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F784E" w14:textId="06DDC454" w:rsidR="00056EC4" w:rsidRDefault="00E9042A" w:rsidP="00977D59">
      <w:pPr>
        <w:pStyle w:val="Heading1"/>
      </w:pPr>
      <w:bookmarkStart w:id="0" w:name="_Toc116981312"/>
      <w:bookmarkStart w:id="1" w:name="_Toc116998365"/>
      <w:bookmarkStart w:id="2" w:name="_Toc128138638"/>
      <w:r w:rsidRPr="00977D59">
        <w:rPr>
          <w:noProof/>
        </w:rPr>
        <w:drawing>
          <wp:anchor distT="0" distB="0" distL="114300" distR="114300" simplePos="0" relativeHeight="251657216" behindDoc="1" locked="1" layoutInCell="1" allowOverlap="0" wp14:anchorId="5E2A6988" wp14:editId="1C1F67F7">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7761078" w14:textId="77777777" w:rsidTr="00431F42">
        <w:trPr>
          <w:cantSplit/>
        </w:trPr>
        <w:tc>
          <w:tcPr>
            <w:tcW w:w="0" w:type="auto"/>
            <w:tcMar>
              <w:top w:w="0" w:type="dxa"/>
              <w:left w:w="0" w:type="dxa"/>
              <w:right w:w="0" w:type="dxa"/>
            </w:tcMar>
          </w:tcPr>
          <w:p w14:paraId="692FF1B0" w14:textId="09F3767D" w:rsidR="009E6C0B" w:rsidRDefault="009E6C0B" w:rsidP="00431F42">
            <w:pPr>
              <w:pStyle w:val="Documenttitle"/>
            </w:pPr>
            <w:r>
              <w:t>Your Health</w:t>
            </w:r>
          </w:p>
          <w:p w14:paraId="1F161153" w14:textId="4FD2E88B" w:rsidR="00A134E8" w:rsidRPr="009E6C0B" w:rsidRDefault="00A134E8" w:rsidP="00431F42">
            <w:pPr>
              <w:pStyle w:val="Documenttitle"/>
              <w:rPr>
                <w:b w:val="0"/>
              </w:rPr>
            </w:pPr>
            <w:r w:rsidRPr="009E6C0B">
              <w:rPr>
                <w:b w:val="0"/>
              </w:rPr>
              <w:t>Report of the Chief Health Officer</w:t>
            </w:r>
          </w:p>
          <w:p w14:paraId="40C74385" w14:textId="5C155B92" w:rsidR="00AD784C" w:rsidRPr="00431F42" w:rsidRDefault="00A134E8" w:rsidP="00431F42">
            <w:pPr>
              <w:pStyle w:val="Documenttitle"/>
            </w:pPr>
            <w:r w:rsidRPr="009E6C0B">
              <w:rPr>
                <w:b w:val="0"/>
              </w:rPr>
              <w:t>Victoria</w:t>
            </w:r>
            <w:r w:rsidR="009E6C0B">
              <w:rPr>
                <w:b w:val="0"/>
                <w:bCs/>
              </w:rPr>
              <w:t>,</w:t>
            </w:r>
            <w:r w:rsidRPr="009E6C0B">
              <w:rPr>
                <w:b w:val="0"/>
              </w:rPr>
              <w:t xml:space="preserve"> 2019</w:t>
            </w:r>
          </w:p>
        </w:tc>
      </w:tr>
      <w:tr w:rsidR="00AD784C" w14:paraId="2F8278B6" w14:textId="77777777" w:rsidTr="00431F42">
        <w:trPr>
          <w:cantSplit/>
        </w:trPr>
        <w:tc>
          <w:tcPr>
            <w:tcW w:w="0" w:type="auto"/>
          </w:tcPr>
          <w:p w14:paraId="4762AC8D" w14:textId="15D77E1F" w:rsidR="00386109" w:rsidRPr="00A1389F" w:rsidRDefault="00622C85" w:rsidP="009315BE">
            <w:pPr>
              <w:pStyle w:val="Documentsubtitle"/>
            </w:pPr>
            <w:r>
              <w:t>Department of Health, Victoria</w:t>
            </w:r>
          </w:p>
        </w:tc>
      </w:tr>
      <w:tr w:rsidR="00430393" w14:paraId="1427F209" w14:textId="77777777" w:rsidTr="00431F42">
        <w:trPr>
          <w:cantSplit/>
        </w:trPr>
        <w:tc>
          <w:tcPr>
            <w:tcW w:w="0" w:type="auto"/>
          </w:tcPr>
          <w:p w14:paraId="3B5DAFA4" w14:textId="77777777" w:rsidR="00430393" w:rsidRDefault="00000000" w:rsidP="00430393">
            <w:pPr>
              <w:pStyle w:val="Bannermarking"/>
            </w:pPr>
            <w:fldSimple w:instr="FILLIN  &quot;Type the protective marking&quot; \d OFFICIAL \o  \* MERGEFORMAT">
              <w:r w:rsidR="00A134E8">
                <w:t>OFFICIAL</w:t>
              </w:r>
            </w:fldSimple>
          </w:p>
        </w:tc>
      </w:tr>
    </w:tbl>
    <w:p w14:paraId="5B7CF35F" w14:textId="0A682FE7" w:rsidR="003E3498" w:rsidRDefault="003E3498" w:rsidP="00FE4081">
      <w:pPr>
        <w:pStyle w:val="Body"/>
      </w:pPr>
    </w:p>
    <w:p w14:paraId="5A026FB5" w14:textId="77777777" w:rsidR="003E3498" w:rsidRDefault="003E3498">
      <w:pPr>
        <w:spacing w:after="0" w:line="240" w:lineRule="auto"/>
        <w:rPr>
          <w:rFonts w:eastAsia="Times"/>
        </w:rPr>
      </w:pPr>
      <w:r>
        <w:br w:type="page"/>
      </w:r>
    </w:p>
    <w:p w14:paraId="227C0212" w14:textId="0A171E51" w:rsidR="001328FF" w:rsidRDefault="001328FF">
      <w:pPr>
        <w:spacing w:after="0" w:line="240" w:lineRule="auto"/>
        <w:rPr>
          <w:rFonts w:eastAsia="Times"/>
        </w:rPr>
      </w:pPr>
    </w:p>
    <w:tbl>
      <w:tblPr>
        <w:tblStyle w:val="TableGrid"/>
        <w:tblW w:w="7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D85E7E" w14:paraId="7599F3C3" w14:textId="77777777" w:rsidTr="006A11C6">
        <w:trPr>
          <w:trHeight w:val="7371"/>
        </w:trPr>
        <w:tc>
          <w:tcPr>
            <w:tcW w:w="7598" w:type="dxa"/>
            <w:vAlign w:val="center"/>
          </w:tcPr>
          <w:p w14:paraId="35BC1836" w14:textId="77777777" w:rsidR="00D85E7E" w:rsidRDefault="00D85E7E" w:rsidP="006A11C6">
            <w:pPr>
              <w:pStyle w:val="Documentsubtitle"/>
              <w:rPr>
                <w:b/>
                <w:color w:val="C63663"/>
                <w:sz w:val="48"/>
                <w:szCs w:val="50"/>
              </w:rPr>
            </w:pPr>
            <w:r>
              <w:rPr>
                <w:b/>
                <w:color w:val="C63663"/>
                <w:sz w:val="48"/>
                <w:szCs w:val="50"/>
              </w:rPr>
              <w:t>Your health</w:t>
            </w:r>
          </w:p>
          <w:p w14:paraId="0BF9A603" w14:textId="77777777" w:rsidR="00D85E7E" w:rsidRPr="00A01AA8" w:rsidRDefault="00D85E7E" w:rsidP="006A11C6">
            <w:pPr>
              <w:pStyle w:val="Documentsubtitle"/>
              <w:rPr>
                <w:bCs/>
                <w:color w:val="C63663"/>
                <w:sz w:val="48"/>
                <w:szCs w:val="50"/>
              </w:rPr>
            </w:pPr>
            <w:r w:rsidRPr="00A01AA8">
              <w:rPr>
                <w:bCs/>
                <w:color w:val="C63663"/>
                <w:sz w:val="48"/>
                <w:szCs w:val="50"/>
              </w:rPr>
              <w:t xml:space="preserve">Report of the Chief Health Officer </w:t>
            </w:r>
            <w:r>
              <w:rPr>
                <w:bCs/>
                <w:color w:val="C63663"/>
                <w:sz w:val="48"/>
                <w:szCs w:val="50"/>
              </w:rPr>
              <w:t xml:space="preserve">Victoria, </w:t>
            </w:r>
            <w:r w:rsidRPr="00A01AA8">
              <w:rPr>
                <w:bCs/>
                <w:color w:val="C63663"/>
                <w:sz w:val="48"/>
                <w:szCs w:val="50"/>
              </w:rPr>
              <w:t>2019</w:t>
            </w:r>
          </w:p>
          <w:p w14:paraId="03628521" w14:textId="77777777" w:rsidR="00D85E7E" w:rsidRDefault="00D85E7E" w:rsidP="00BD3D5F">
            <w:pPr>
              <w:pStyle w:val="Documentsubtitle"/>
            </w:pPr>
          </w:p>
        </w:tc>
      </w:tr>
    </w:tbl>
    <w:p w14:paraId="24ED05FC" w14:textId="77777777" w:rsidR="00FE4081" w:rsidRDefault="00FE4081" w:rsidP="00FE4081">
      <w:pPr>
        <w:pStyle w:val="Body"/>
      </w:pPr>
    </w:p>
    <w:p w14:paraId="639174E0" w14:textId="4FC880BE" w:rsidR="00DE0179" w:rsidRDefault="00DE0179" w:rsidP="00FE4081">
      <w:pPr>
        <w:pStyle w:val="Body"/>
      </w:pPr>
    </w:p>
    <w:p w14:paraId="12C8A9DD" w14:textId="77777777" w:rsidR="00D85E7E" w:rsidRDefault="00DE0179">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D85E7E" w:rsidRPr="00BA26F6" w14:paraId="440C9E2A" w14:textId="77777777" w:rsidTr="00BD3D5F">
        <w:trPr>
          <w:cantSplit/>
          <w:trHeight w:val="7088"/>
        </w:trPr>
        <w:tc>
          <w:tcPr>
            <w:tcW w:w="9288" w:type="dxa"/>
          </w:tcPr>
          <w:p w14:paraId="37293CC2" w14:textId="77777777" w:rsidR="00D85E7E" w:rsidRPr="00BA26F6" w:rsidRDefault="00D85E7E" w:rsidP="00BD3D5F">
            <w:pPr>
              <w:pStyle w:val="Body"/>
              <w:rPr>
                <w:rFonts w:eastAsia="Times New Roman"/>
                <w:color w:val="87189D"/>
                <w:sz w:val="24"/>
                <w:szCs w:val="24"/>
              </w:rPr>
            </w:pPr>
          </w:p>
        </w:tc>
      </w:tr>
      <w:tr w:rsidR="00D85E7E" w14:paraId="0CBFED38" w14:textId="77777777" w:rsidTr="00BD3D5F">
        <w:trPr>
          <w:cantSplit/>
          <w:trHeight w:val="5103"/>
        </w:trPr>
        <w:tc>
          <w:tcPr>
            <w:tcW w:w="9288" w:type="dxa"/>
            <w:vAlign w:val="bottom"/>
          </w:tcPr>
          <w:p w14:paraId="4AEC099F" w14:textId="24821975" w:rsidR="002B51AE" w:rsidRPr="002B51AE" w:rsidRDefault="002B51AE" w:rsidP="002B51AE">
            <w:pPr>
              <w:pStyle w:val="Accessibilitypara"/>
            </w:pPr>
            <w:r w:rsidRPr="002B51AE">
              <w:t xml:space="preserve">To receive this document in another format email </w:t>
            </w:r>
            <w:hyperlink r:id="rId12" w:history="1">
              <w:r w:rsidRPr="002B51AE">
                <w:rPr>
                  <w:rStyle w:val="Hyperlink"/>
                </w:rPr>
                <w:t>Public Health communications</w:t>
              </w:r>
            </w:hyperlink>
            <w:r w:rsidRPr="002B51AE">
              <w:t xml:space="preserve"> &lt;</w:t>
            </w:r>
            <w:r w:rsidR="00024E08" w:rsidRPr="00F375DE">
              <w:t>pph.communications@dhhs.vic.gov.au</w:t>
            </w:r>
            <w:r w:rsidRPr="002B51AE">
              <w:t>&gt;.</w:t>
            </w:r>
          </w:p>
          <w:p w14:paraId="6B55B5A1" w14:textId="77777777" w:rsidR="00D85E7E" w:rsidRPr="0055119B" w:rsidRDefault="00D85E7E" w:rsidP="00BD3D5F">
            <w:pPr>
              <w:pStyle w:val="Imprint"/>
            </w:pPr>
            <w:r w:rsidRPr="0055119B">
              <w:t>Authorised and published by the Victorian Government, 1 Treasury Place, Melbourne.</w:t>
            </w:r>
          </w:p>
          <w:p w14:paraId="5225C66A" w14:textId="12ACDC86" w:rsidR="00D85E7E" w:rsidRPr="0055119B" w:rsidRDefault="00D85E7E" w:rsidP="00BD3D5F">
            <w:pPr>
              <w:pStyle w:val="Imprint"/>
            </w:pPr>
            <w:r w:rsidRPr="0055119B">
              <w:t xml:space="preserve">© State of Victoria, Australia, Department </w:t>
            </w:r>
            <w:r w:rsidRPr="001B058F">
              <w:t xml:space="preserve">of </w:t>
            </w:r>
            <w:r>
              <w:t>Health</w:t>
            </w:r>
            <w:r w:rsidRPr="0055119B">
              <w:t xml:space="preserve">, </w:t>
            </w:r>
            <w:r w:rsidR="00E477DA">
              <w:t>December 2022</w:t>
            </w:r>
            <w:r w:rsidRPr="0055119B">
              <w:t>.</w:t>
            </w:r>
          </w:p>
          <w:p w14:paraId="0E39C420" w14:textId="77777777" w:rsidR="00D85E7E" w:rsidRPr="001C2ECD" w:rsidRDefault="00D85E7E" w:rsidP="00BD3D5F">
            <w:pPr>
              <w:pStyle w:val="Imprint"/>
            </w:pPr>
            <w:r w:rsidRPr="001C2ECD">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925BD84" w14:textId="77777777" w:rsidR="00D85E7E" w:rsidRPr="001C2ECD" w:rsidRDefault="00D85E7E" w:rsidP="00BD3D5F">
            <w:pPr>
              <w:pStyle w:val="Imprint"/>
            </w:pPr>
            <w:r w:rsidRPr="001C2ECD">
              <w:t>In this document, ‘Aboriginal’ refers to both Aboriginal and Torres Strait Islander people. ‘Indigenous’ or ‘Koori/Koorie’ is retained when part of the title of a report, program or quotation.</w:t>
            </w:r>
          </w:p>
          <w:p w14:paraId="7C1D098B" w14:textId="77777777" w:rsidR="000E33A4" w:rsidRDefault="00272D7F" w:rsidP="00FD5394">
            <w:pPr>
              <w:pStyle w:val="Imprint"/>
              <w:rPr>
                <w:b/>
                <w:bCs/>
              </w:rPr>
            </w:pPr>
            <w:r w:rsidRPr="00272D7F">
              <w:rPr>
                <w:b/>
                <w:bCs/>
              </w:rPr>
              <w:t xml:space="preserve">ISSN </w:t>
            </w:r>
            <w:r w:rsidRPr="00272D7F">
              <w:t>2207-3841</w:t>
            </w:r>
            <w:r w:rsidRPr="00272D7F">
              <w:rPr>
                <w:b/>
                <w:bCs/>
              </w:rPr>
              <w:t xml:space="preserve"> - Online (pdf/word)</w:t>
            </w:r>
          </w:p>
          <w:p w14:paraId="50A8C600" w14:textId="1AC1EEDE" w:rsidR="00D544BA" w:rsidRDefault="00D544BA" w:rsidP="00D544BA">
            <w:pPr>
              <w:pStyle w:val="Imprint"/>
              <w:rPr>
                <w:b/>
                <w:bCs/>
              </w:rPr>
            </w:pPr>
            <w:r w:rsidRPr="00272D7F">
              <w:rPr>
                <w:b/>
                <w:bCs/>
              </w:rPr>
              <w:t xml:space="preserve">ISSN </w:t>
            </w:r>
            <w:r w:rsidRPr="00272D7F">
              <w:t>2</w:t>
            </w:r>
            <w:r>
              <w:t>653</w:t>
            </w:r>
            <w:r w:rsidRPr="00272D7F">
              <w:t>-</w:t>
            </w:r>
            <w:r>
              <w:t>7362</w:t>
            </w:r>
            <w:r w:rsidRPr="00272D7F">
              <w:rPr>
                <w:b/>
                <w:bCs/>
              </w:rPr>
              <w:t xml:space="preserve"> - </w:t>
            </w:r>
            <w:r>
              <w:rPr>
                <w:b/>
                <w:bCs/>
              </w:rPr>
              <w:t>Print</w:t>
            </w:r>
          </w:p>
          <w:p w14:paraId="755E26B2" w14:textId="71B0D0CF" w:rsidR="00FD5394" w:rsidRPr="00FD5394" w:rsidRDefault="00D85E7E" w:rsidP="00FD5394">
            <w:pPr>
              <w:pStyle w:val="Imprint"/>
            </w:pPr>
            <w:r w:rsidRPr="0055119B">
              <w:t xml:space="preserve">Available </w:t>
            </w:r>
            <w:r w:rsidR="00FD5394" w:rsidRPr="00FD5394">
              <w:t xml:space="preserve">at </w:t>
            </w:r>
            <w:hyperlink r:id="rId13" w:history="1">
              <w:r w:rsidR="00FD5394" w:rsidRPr="00FD5394">
                <w:rPr>
                  <w:rStyle w:val="Hyperlink"/>
                </w:rPr>
                <w:t xml:space="preserve">Department of Health website </w:t>
              </w:r>
            </w:hyperlink>
            <w:r w:rsidR="00FD5394" w:rsidRPr="00FD5394">
              <w:t> &lt; https://www.health.vic.gov.au/chief-health-officer/publications&gt;</w:t>
            </w:r>
          </w:p>
          <w:p w14:paraId="2C49DD17" w14:textId="32D7DCD7" w:rsidR="00D85E7E" w:rsidRPr="0055119B" w:rsidRDefault="00D85E7E" w:rsidP="00BD3D5F">
            <w:pPr>
              <w:pStyle w:val="Imprint"/>
            </w:pPr>
          </w:p>
          <w:p w14:paraId="28B3974B" w14:textId="0A6CEFA3" w:rsidR="00D85E7E" w:rsidRDefault="00D85E7E" w:rsidP="00BD3D5F">
            <w:pPr>
              <w:pStyle w:val="Body"/>
            </w:pPr>
            <w:r w:rsidRPr="0055119B">
              <w:t xml:space="preserve">Printed </w:t>
            </w:r>
            <w:r w:rsidR="00211791" w:rsidRPr="00211791">
              <w:t xml:space="preserve">by Finsbury Green, </w:t>
            </w:r>
            <w:r w:rsidR="000B234E">
              <w:t xml:space="preserve">Melbourne </w:t>
            </w:r>
            <w:r w:rsidR="00211791" w:rsidRPr="00211791">
              <w:t>(DH 2211315)</w:t>
            </w:r>
          </w:p>
        </w:tc>
      </w:tr>
    </w:tbl>
    <w:p w14:paraId="59FFD602" w14:textId="22AE4638" w:rsidR="00D85E7E" w:rsidRDefault="00D85E7E">
      <w:pPr>
        <w:spacing w:after="0" w:line="240" w:lineRule="auto"/>
      </w:pPr>
      <w:r>
        <w:br w:type="page"/>
      </w:r>
    </w:p>
    <w:p w14:paraId="0A8F0766" w14:textId="77777777" w:rsidR="00DE0179" w:rsidRDefault="00DE0179">
      <w:pPr>
        <w:spacing w:after="0" w:line="240" w:lineRule="auto"/>
        <w:rPr>
          <w:rFonts w:eastAsia="Times"/>
        </w:rPr>
      </w:pPr>
    </w:p>
    <w:sdt>
      <w:sdtPr>
        <w:rPr>
          <w:rFonts w:ascii="Arial" w:eastAsia="Times New Roman" w:hAnsi="Arial" w:cs="Times New Roman"/>
          <w:color w:val="auto"/>
          <w:sz w:val="21"/>
          <w:szCs w:val="20"/>
          <w:lang w:val="en-AU"/>
        </w:rPr>
        <w:id w:val="663130850"/>
        <w:docPartObj>
          <w:docPartGallery w:val="Table of Contents"/>
          <w:docPartUnique/>
        </w:docPartObj>
      </w:sdtPr>
      <w:sdtEndPr>
        <w:rPr>
          <w:b/>
          <w:bCs/>
          <w:noProof/>
        </w:rPr>
      </w:sdtEndPr>
      <w:sdtContent>
        <w:p w14:paraId="3ED47B84" w14:textId="5E3DBE3F" w:rsidR="00E409C6" w:rsidRPr="00E409C6" w:rsidRDefault="00E409C6">
          <w:pPr>
            <w:pStyle w:val="TOCHeading"/>
            <w:rPr>
              <w:rFonts w:ascii="Arial" w:eastAsia="Times New Roman" w:hAnsi="Arial" w:cs="Times New Roman"/>
              <w:b/>
              <w:color w:val="C63663"/>
              <w:sz w:val="48"/>
              <w:szCs w:val="50"/>
              <w:lang w:val="en-AU"/>
            </w:rPr>
          </w:pPr>
          <w:r w:rsidRPr="00E409C6">
            <w:rPr>
              <w:rFonts w:ascii="Arial" w:eastAsia="Times New Roman" w:hAnsi="Arial" w:cs="Times New Roman"/>
              <w:b/>
              <w:color w:val="C63663"/>
              <w:sz w:val="48"/>
              <w:szCs w:val="50"/>
              <w:lang w:val="en-AU"/>
            </w:rPr>
            <w:t>Contents</w:t>
          </w:r>
        </w:p>
        <w:p w14:paraId="160AE390" w14:textId="4B3E66E3" w:rsidR="0049693E" w:rsidRDefault="00E409C6">
          <w:pPr>
            <w:pStyle w:val="TOC1"/>
            <w:rPr>
              <w:rFonts w:asciiTheme="minorHAnsi" w:eastAsiaTheme="minorEastAsia" w:hAnsiTheme="minorHAnsi" w:cstheme="minorBidi"/>
              <w:b w:val="0"/>
              <w:sz w:val="22"/>
              <w:szCs w:val="22"/>
              <w:lang w:eastAsia="en-AU"/>
            </w:rPr>
          </w:pPr>
          <w:r>
            <w:fldChar w:fldCharType="begin"/>
          </w:r>
          <w:r>
            <w:instrText xml:space="preserve"> TOC \o "1-1" \h \z \u </w:instrText>
          </w:r>
          <w:r>
            <w:fldChar w:fldCharType="separate"/>
          </w:r>
          <w:hyperlink w:anchor="_Toc128138638" w:history="1">
            <w:r w:rsidR="0049693E">
              <w:rPr>
                <w:webHidden/>
              </w:rPr>
              <w:tab/>
            </w:r>
            <w:r w:rsidR="0049693E">
              <w:rPr>
                <w:webHidden/>
              </w:rPr>
              <w:fldChar w:fldCharType="begin"/>
            </w:r>
            <w:r w:rsidR="0049693E">
              <w:rPr>
                <w:webHidden/>
              </w:rPr>
              <w:instrText xml:space="preserve"> PAGEREF _Toc128138638 \h </w:instrText>
            </w:r>
            <w:r w:rsidR="0049693E">
              <w:rPr>
                <w:webHidden/>
              </w:rPr>
            </w:r>
            <w:r w:rsidR="0049693E">
              <w:rPr>
                <w:webHidden/>
              </w:rPr>
              <w:fldChar w:fldCharType="separate"/>
            </w:r>
            <w:r w:rsidR="0049693E">
              <w:rPr>
                <w:webHidden/>
              </w:rPr>
              <w:t>1</w:t>
            </w:r>
            <w:r w:rsidR="0049693E">
              <w:rPr>
                <w:webHidden/>
              </w:rPr>
              <w:fldChar w:fldCharType="end"/>
            </w:r>
          </w:hyperlink>
        </w:p>
        <w:p w14:paraId="3AC8D857" w14:textId="61D84265" w:rsidR="0049693E" w:rsidRDefault="00000000">
          <w:pPr>
            <w:pStyle w:val="TOC1"/>
            <w:rPr>
              <w:rFonts w:asciiTheme="minorHAnsi" w:eastAsiaTheme="minorEastAsia" w:hAnsiTheme="minorHAnsi" w:cstheme="minorBidi"/>
              <w:b w:val="0"/>
              <w:sz w:val="22"/>
              <w:szCs w:val="22"/>
              <w:lang w:eastAsia="en-AU"/>
            </w:rPr>
          </w:pPr>
          <w:hyperlink w:anchor="_Toc128138639" w:history="1">
            <w:r w:rsidR="0049693E" w:rsidRPr="000F031A">
              <w:rPr>
                <w:rStyle w:val="Hyperlink"/>
              </w:rPr>
              <w:t>Preface</w:t>
            </w:r>
            <w:r w:rsidR="0049693E">
              <w:rPr>
                <w:webHidden/>
              </w:rPr>
              <w:tab/>
            </w:r>
            <w:r w:rsidR="0049693E">
              <w:rPr>
                <w:webHidden/>
              </w:rPr>
              <w:fldChar w:fldCharType="begin"/>
            </w:r>
            <w:r w:rsidR="0049693E">
              <w:rPr>
                <w:webHidden/>
              </w:rPr>
              <w:instrText xml:space="preserve"> PAGEREF _Toc128138639 \h </w:instrText>
            </w:r>
            <w:r w:rsidR="0049693E">
              <w:rPr>
                <w:webHidden/>
              </w:rPr>
            </w:r>
            <w:r w:rsidR="0049693E">
              <w:rPr>
                <w:webHidden/>
              </w:rPr>
              <w:fldChar w:fldCharType="separate"/>
            </w:r>
            <w:r w:rsidR="0049693E">
              <w:rPr>
                <w:webHidden/>
              </w:rPr>
              <w:t>5</w:t>
            </w:r>
            <w:r w:rsidR="0049693E">
              <w:rPr>
                <w:webHidden/>
              </w:rPr>
              <w:fldChar w:fldCharType="end"/>
            </w:r>
          </w:hyperlink>
        </w:p>
        <w:p w14:paraId="462050F4" w14:textId="36550414" w:rsidR="0049693E" w:rsidRDefault="00000000">
          <w:pPr>
            <w:pStyle w:val="TOC1"/>
            <w:rPr>
              <w:rFonts w:asciiTheme="minorHAnsi" w:eastAsiaTheme="minorEastAsia" w:hAnsiTheme="minorHAnsi" w:cstheme="minorBidi"/>
              <w:b w:val="0"/>
              <w:sz w:val="22"/>
              <w:szCs w:val="22"/>
              <w:lang w:eastAsia="en-AU"/>
            </w:rPr>
          </w:pPr>
          <w:hyperlink w:anchor="_Toc128138640" w:history="1">
            <w:r w:rsidR="0049693E" w:rsidRPr="000F031A">
              <w:rPr>
                <w:rStyle w:val="Hyperlink"/>
              </w:rPr>
              <w:t>Chapter 1 – Introduction</w:t>
            </w:r>
            <w:r w:rsidR="0049693E">
              <w:rPr>
                <w:webHidden/>
              </w:rPr>
              <w:tab/>
            </w:r>
            <w:r w:rsidR="0049693E">
              <w:rPr>
                <w:webHidden/>
              </w:rPr>
              <w:fldChar w:fldCharType="begin"/>
            </w:r>
            <w:r w:rsidR="0049693E">
              <w:rPr>
                <w:webHidden/>
              </w:rPr>
              <w:instrText xml:space="preserve"> PAGEREF _Toc128138640 \h </w:instrText>
            </w:r>
            <w:r w:rsidR="0049693E">
              <w:rPr>
                <w:webHidden/>
              </w:rPr>
            </w:r>
            <w:r w:rsidR="0049693E">
              <w:rPr>
                <w:webHidden/>
              </w:rPr>
              <w:fldChar w:fldCharType="separate"/>
            </w:r>
            <w:r w:rsidR="0049693E">
              <w:rPr>
                <w:webHidden/>
              </w:rPr>
              <w:t>7</w:t>
            </w:r>
            <w:r w:rsidR="0049693E">
              <w:rPr>
                <w:webHidden/>
              </w:rPr>
              <w:fldChar w:fldCharType="end"/>
            </w:r>
          </w:hyperlink>
        </w:p>
        <w:p w14:paraId="60CE8831" w14:textId="0FA08F62" w:rsidR="0049693E" w:rsidRDefault="00000000">
          <w:pPr>
            <w:pStyle w:val="TOC1"/>
            <w:rPr>
              <w:rFonts w:asciiTheme="minorHAnsi" w:eastAsiaTheme="minorEastAsia" w:hAnsiTheme="minorHAnsi" w:cstheme="minorBidi"/>
              <w:b w:val="0"/>
              <w:sz w:val="22"/>
              <w:szCs w:val="22"/>
              <w:lang w:eastAsia="en-AU"/>
            </w:rPr>
          </w:pPr>
          <w:hyperlink w:anchor="_Toc128138641" w:history="1">
            <w:r w:rsidR="0049693E" w:rsidRPr="000F031A">
              <w:rPr>
                <w:rStyle w:val="Hyperlink"/>
              </w:rPr>
              <w:t>Chapter 2 – Climate change and its impacts on health</w:t>
            </w:r>
            <w:r w:rsidR="0049693E">
              <w:rPr>
                <w:webHidden/>
              </w:rPr>
              <w:tab/>
            </w:r>
            <w:r w:rsidR="0049693E">
              <w:rPr>
                <w:webHidden/>
              </w:rPr>
              <w:fldChar w:fldCharType="begin"/>
            </w:r>
            <w:r w:rsidR="0049693E">
              <w:rPr>
                <w:webHidden/>
              </w:rPr>
              <w:instrText xml:space="preserve"> PAGEREF _Toc128138641 \h </w:instrText>
            </w:r>
            <w:r w:rsidR="0049693E">
              <w:rPr>
                <w:webHidden/>
              </w:rPr>
            </w:r>
            <w:r w:rsidR="0049693E">
              <w:rPr>
                <w:webHidden/>
              </w:rPr>
              <w:fldChar w:fldCharType="separate"/>
            </w:r>
            <w:r w:rsidR="0049693E">
              <w:rPr>
                <w:webHidden/>
              </w:rPr>
              <w:t>9</w:t>
            </w:r>
            <w:r w:rsidR="0049693E">
              <w:rPr>
                <w:webHidden/>
              </w:rPr>
              <w:fldChar w:fldCharType="end"/>
            </w:r>
          </w:hyperlink>
        </w:p>
        <w:p w14:paraId="6E4B9AB0" w14:textId="20B4023F" w:rsidR="0049693E" w:rsidRDefault="00000000">
          <w:pPr>
            <w:pStyle w:val="TOC1"/>
            <w:rPr>
              <w:rFonts w:asciiTheme="minorHAnsi" w:eastAsiaTheme="minorEastAsia" w:hAnsiTheme="minorHAnsi" w:cstheme="minorBidi"/>
              <w:b w:val="0"/>
              <w:sz w:val="22"/>
              <w:szCs w:val="22"/>
              <w:lang w:eastAsia="en-AU"/>
            </w:rPr>
          </w:pPr>
          <w:hyperlink w:anchor="_Toc128138642" w:history="1">
            <w:r w:rsidR="0049693E" w:rsidRPr="000F031A">
              <w:rPr>
                <w:rStyle w:val="Hyperlink"/>
              </w:rPr>
              <w:t>Chapter 3 – Environmental Health</w:t>
            </w:r>
            <w:r w:rsidR="0049693E">
              <w:rPr>
                <w:webHidden/>
              </w:rPr>
              <w:tab/>
            </w:r>
            <w:r w:rsidR="0049693E">
              <w:rPr>
                <w:webHidden/>
              </w:rPr>
              <w:fldChar w:fldCharType="begin"/>
            </w:r>
            <w:r w:rsidR="0049693E">
              <w:rPr>
                <w:webHidden/>
              </w:rPr>
              <w:instrText xml:space="preserve"> PAGEREF _Toc128138642 \h </w:instrText>
            </w:r>
            <w:r w:rsidR="0049693E">
              <w:rPr>
                <w:webHidden/>
              </w:rPr>
            </w:r>
            <w:r w:rsidR="0049693E">
              <w:rPr>
                <w:webHidden/>
              </w:rPr>
              <w:fldChar w:fldCharType="separate"/>
            </w:r>
            <w:r w:rsidR="0049693E">
              <w:rPr>
                <w:webHidden/>
              </w:rPr>
              <w:t>16</w:t>
            </w:r>
            <w:r w:rsidR="0049693E">
              <w:rPr>
                <w:webHidden/>
              </w:rPr>
              <w:fldChar w:fldCharType="end"/>
            </w:r>
          </w:hyperlink>
        </w:p>
        <w:p w14:paraId="657A3870" w14:textId="7DCCEF5B" w:rsidR="0049693E" w:rsidRDefault="00000000">
          <w:pPr>
            <w:pStyle w:val="TOC1"/>
            <w:rPr>
              <w:rFonts w:asciiTheme="minorHAnsi" w:eastAsiaTheme="minorEastAsia" w:hAnsiTheme="minorHAnsi" w:cstheme="minorBidi"/>
              <w:b w:val="0"/>
              <w:sz w:val="22"/>
              <w:szCs w:val="22"/>
              <w:lang w:eastAsia="en-AU"/>
            </w:rPr>
          </w:pPr>
          <w:hyperlink w:anchor="_Toc128138643" w:history="1">
            <w:r w:rsidR="0049693E" w:rsidRPr="000F031A">
              <w:rPr>
                <w:rStyle w:val="Hyperlink"/>
              </w:rPr>
              <w:t>Chapter 4 – Water quality and safety</w:t>
            </w:r>
            <w:r w:rsidR="0049693E">
              <w:rPr>
                <w:webHidden/>
              </w:rPr>
              <w:tab/>
            </w:r>
            <w:r w:rsidR="0049693E">
              <w:rPr>
                <w:webHidden/>
              </w:rPr>
              <w:fldChar w:fldCharType="begin"/>
            </w:r>
            <w:r w:rsidR="0049693E">
              <w:rPr>
                <w:webHidden/>
              </w:rPr>
              <w:instrText xml:space="preserve"> PAGEREF _Toc128138643 \h </w:instrText>
            </w:r>
            <w:r w:rsidR="0049693E">
              <w:rPr>
                <w:webHidden/>
              </w:rPr>
            </w:r>
            <w:r w:rsidR="0049693E">
              <w:rPr>
                <w:webHidden/>
              </w:rPr>
              <w:fldChar w:fldCharType="separate"/>
            </w:r>
            <w:r w:rsidR="0049693E">
              <w:rPr>
                <w:webHidden/>
              </w:rPr>
              <w:t>27</w:t>
            </w:r>
            <w:r w:rsidR="0049693E">
              <w:rPr>
                <w:webHidden/>
              </w:rPr>
              <w:fldChar w:fldCharType="end"/>
            </w:r>
          </w:hyperlink>
        </w:p>
        <w:p w14:paraId="1CD40D1C" w14:textId="50B07E13" w:rsidR="0049693E" w:rsidRDefault="00000000">
          <w:pPr>
            <w:pStyle w:val="TOC1"/>
            <w:rPr>
              <w:rFonts w:asciiTheme="minorHAnsi" w:eastAsiaTheme="minorEastAsia" w:hAnsiTheme="minorHAnsi" w:cstheme="minorBidi"/>
              <w:b w:val="0"/>
              <w:sz w:val="22"/>
              <w:szCs w:val="22"/>
              <w:lang w:eastAsia="en-AU"/>
            </w:rPr>
          </w:pPr>
          <w:hyperlink w:anchor="_Toc128138644" w:history="1">
            <w:r w:rsidR="0049693E" w:rsidRPr="000F031A">
              <w:rPr>
                <w:rStyle w:val="Hyperlink"/>
              </w:rPr>
              <w:t>Chapter 5 – Food safety</w:t>
            </w:r>
            <w:r w:rsidR="0049693E">
              <w:rPr>
                <w:webHidden/>
              </w:rPr>
              <w:tab/>
            </w:r>
            <w:r w:rsidR="0049693E">
              <w:rPr>
                <w:webHidden/>
              </w:rPr>
              <w:fldChar w:fldCharType="begin"/>
            </w:r>
            <w:r w:rsidR="0049693E">
              <w:rPr>
                <w:webHidden/>
              </w:rPr>
              <w:instrText xml:space="preserve"> PAGEREF _Toc128138644 \h </w:instrText>
            </w:r>
            <w:r w:rsidR="0049693E">
              <w:rPr>
                <w:webHidden/>
              </w:rPr>
            </w:r>
            <w:r w:rsidR="0049693E">
              <w:rPr>
                <w:webHidden/>
              </w:rPr>
              <w:fldChar w:fldCharType="separate"/>
            </w:r>
            <w:r w:rsidR="0049693E">
              <w:rPr>
                <w:webHidden/>
              </w:rPr>
              <w:t>30</w:t>
            </w:r>
            <w:r w:rsidR="0049693E">
              <w:rPr>
                <w:webHidden/>
              </w:rPr>
              <w:fldChar w:fldCharType="end"/>
            </w:r>
          </w:hyperlink>
        </w:p>
        <w:p w14:paraId="0E07BEA5" w14:textId="4BEAD309" w:rsidR="0049693E" w:rsidRDefault="00000000">
          <w:pPr>
            <w:pStyle w:val="TOC1"/>
            <w:rPr>
              <w:rFonts w:asciiTheme="minorHAnsi" w:eastAsiaTheme="minorEastAsia" w:hAnsiTheme="minorHAnsi" w:cstheme="minorBidi"/>
              <w:b w:val="0"/>
              <w:sz w:val="22"/>
              <w:szCs w:val="22"/>
              <w:lang w:eastAsia="en-AU"/>
            </w:rPr>
          </w:pPr>
          <w:hyperlink w:anchor="_Toc128138645" w:history="1">
            <w:r w:rsidR="0049693E" w:rsidRPr="000F031A">
              <w:rPr>
                <w:rStyle w:val="Hyperlink"/>
              </w:rPr>
              <w:t>Chapter 6 – Victoria’s population: Who we are</w:t>
            </w:r>
            <w:r w:rsidR="0049693E">
              <w:rPr>
                <w:webHidden/>
              </w:rPr>
              <w:tab/>
            </w:r>
            <w:r w:rsidR="0049693E">
              <w:rPr>
                <w:webHidden/>
              </w:rPr>
              <w:fldChar w:fldCharType="begin"/>
            </w:r>
            <w:r w:rsidR="0049693E">
              <w:rPr>
                <w:webHidden/>
              </w:rPr>
              <w:instrText xml:space="preserve"> PAGEREF _Toc128138645 \h </w:instrText>
            </w:r>
            <w:r w:rsidR="0049693E">
              <w:rPr>
                <w:webHidden/>
              </w:rPr>
            </w:r>
            <w:r w:rsidR="0049693E">
              <w:rPr>
                <w:webHidden/>
              </w:rPr>
              <w:fldChar w:fldCharType="separate"/>
            </w:r>
            <w:r w:rsidR="0049693E">
              <w:rPr>
                <w:webHidden/>
              </w:rPr>
              <w:t>35</w:t>
            </w:r>
            <w:r w:rsidR="0049693E">
              <w:rPr>
                <w:webHidden/>
              </w:rPr>
              <w:fldChar w:fldCharType="end"/>
            </w:r>
          </w:hyperlink>
        </w:p>
        <w:p w14:paraId="5A2980C1" w14:textId="0838CD3D" w:rsidR="0049693E" w:rsidRDefault="00000000">
          <w:pPr>
            <w:pStyle w:val="TOC1"/>
            <w:rPr>
              <w:rFonts w:asciiTheme="minorHAnsi" w:eastAsiaTheme="minorEastAsia" w:hAnsiTheme="minorHAnsi" w:cstheme="minorBidi"/>
              <w:b w:val="0"/>
              <w:sz w:val="22"/>
              <w:szCs w:val="22"/>
              <w:lang w:eastAsia="en-AU"/>
            </w:rPr>
          </w:pPr>
          <w:hyperlink w:anchor="_Toc128138646" w:history="1">
            <w:r w:rsidR="0049693E" w:rsidRPr="000F031A">
              <w:rPr>
                <w:rStyle w:val="Hyperlink"/>
              </w:rPr>
              <w:t>Chapter 7 – Health Inequalities</w:t>
            </w:r>
            <w:r w:rsidR="0049693E">
              <w:rPr>
                <w:webHidden/>
              </w:rPr>
              <w:tab/>
            </w:r>
            <w:r w:rsidR="0049693E">
              <w:rPr>
                <w:webHidden/>
              </w:rPr>
              <w:fldChar w:fldCharType="begin"/>
            </w:r>
            <w:r w:rsidR="0049693E">
              <w:rPr>
                <w:webHidden/>
              </w:rPr>
              <w:instrText xml:space="preserve"> PAGEREF _Toc128138646 \h </w:instrText>
            </w:r>
            <w:r w:rsidR="0049693E">
              <w:rPr>
                <w:webHidden/>
              </w:rPr>
            </w:r>
            <w:r w:rsidR="0049693E">
              <w:rPr>
                <w:webHidden/>
              </w:rPr>
              <w:fldChar w:fldCharType="separate"/>
            </w:r>
            <w:r w:rsidR="0049693E">
              <w:rPr>
                <w:webHidden/>
              </w:rPr>
              <w:t>41</w:t>
            </w:r>
            <w:r w:rsidR="0049693E">
              <w:rPr>
                <w:webHidden/>
              </w:rPr>
              <w:fldChar w:fldCharType="end"/>
            </w:r>
          </w:hyperlink>
        </w:p>
        <w:p w14:paraId="053D4A87" w14:textId="170A435D" w:rsidR="0049693E" w:rsidRDefault="00000000">
          <w:pPr>
            <w:pStyle w:val="TOC1"/>
            <w:rPr>
              <w:rFonts w:asciiTheme="minorHAnsi" w:eastAsiaTheme="minorEastAsia" w:hAnsiTheme="minorHAnsi" w:cstheme="minorBidi"/>
              <w:b w:val="0"/>
              <w:sz w:val="22"/>
              <w:szCs w:val="22"/>
              <w:lang w:eastAsia="en-AU"/>
            </w:rPr>
          </w:pPr>
          <w:hyperlink w:anchor="_Toc128138647" w:history="1">
            <w:r w:rsidR="0049693E" w:rsidRPr="000F031A">
              <w:rPr>
                <w:rStyle w:val="Hyperlink"/>
              </w:rPr>
              <w:t>Chapter 8 – Burden of disease</w:t>
            </w:r>
            <w:r w:rsidR="0049693E">
              <w:rPr>
                <w:webHidden/>
              </w:rPr>
              <w:tab/>
            </w:r>
            <w:r w:rsidR="0049693E">
              <w:rPr>
                <w:webHidden/>
              </w:rPr>
              <w:fldChar w:fldCharType="begin"/>
            </w:r>
            <w:r w:rsidR="0049693E">
              <w:rPr>
                <w:webHidden/>
              </w:rPr>
              <w:instrText xml:space="preserve"> PAGEREF _Toc128138647 \h </w:instrText>
            </w:r>
            <w:r w:rsidR="0049693E">
              <w:rPr>
                <w:webHidden/>
              </w:rPr>
            </w:r>
            <w:r w:rsidR="0049693E">
              <w:rPr>
                <w:webHidden/>
              </w:rPr>
              <w:fldChar w:fldCharType="separate"/>
            </w:r>
            <w:r w:rsidR="0049693E">
              <w:rPr>
                <w:webHidden/>
              </w:rPr>
              <w:t>52</w:t>
            </w:r>
            <w:r w:rsidR="0049693E">
              <w:rPr>
                <w:webHidden/>
              </w:rPr>
              <w:fldChar w:fldCharType="end"/>
            </w:r>
          </w:hyperlink>
        </w:p>
        <w:p w14:paraId="1B60CB6D" w14:textId="01ADC275" w:rsidR="0049693E" w:rsidRDefault="00000000">
          <w:pPr>
            <w:pStyle w:val="TOC1"/>
            <w:rPr>
              <w:rFonts w:asciiTheme="minorHAnsi" w:eastAsiaTheme="minorEastAsia" w:hAnsiTheme="minorHAnsi" w:cstheme="minorBidi"/>
              <w:b w:val="0"/>
              <w:sz w:val="22"/>
              <w:szCs w:val="22"/>
              <w:lang w:eastAsia="en-AU"/>
            </w:rPr>
          </w:pPr>
          <w:hyperlink w:anchor="_Toc128138648" w:history="1">
            <w:r w:rsidR="0049693E" w:rsidRPr="000F031A">
              <w:rPr>
                <w:rStyle w:val="Hyperlink"/>
              </w:rPr>
              <w:t>Chapter 9 – Healthy Living</w:t>
            </w:r>
            <w:r w:rsidR="0049693E">
              <w:rPr>
                <w:webHidden/>
              </w:rPr>
              <w:tab/>
            </w:r>
            <w:r w:rsidR="0049693E">
              <w:rPr>
                <w:webHidden/>
              </w:rPr>
              <w:fldChar w:fldCharType="begin"/>
            </w:r>
            <w:r w:rsidR="0049693E">
              <w:rPr>
                <w:webHidden/>
              </w:rPr>
              <w:instrText xml:space="preserve"> PAGEREF _Toc128138648 \h </w:instrText>
            </w:r>
            <w:r w:rsidR="0049693E">
              <w:rPr>
                <w:webHidden/>
              </w:rPr>
            </w:r>
            <w:r w:rsidR="0049693E">
              <w:rPr>
                <w:webHidden/>
              </w:rPr>
              <w:fldChar w:fldCharType="separate"/>
            </w:r>
            <w:r w:rsidR="0049693E">
              <w:rPr>
                <w:webHidden/>
              </w:rPr>
              <w:t>60</w:t>
            </w:r>
            <w:r w:rsidR="0049693E">
              <w:rPr>
                <w:webHidden/>
              </w:rPr>
              <w:fldChar w:fldCharType="end"/>
            </w:r>
          </w:hyperlink>
        </w:p>
        <w:p w14:paraId="6B68D8C8" w14:textId="034DABCD" w:rsidR="0049693E" w:rsidRDefault="00000000">
          <w:pPr>
            <w:pStyle w:val="TOC1"/>
            <w:rPr>
              <w:rFonts w:asciiTheme="minorHAnsi" w:eastAsiaTheme="minorEastAsia" w:hAnsiTheme="minorHAnsi" w:cstheme="minorBidi"/>
              <w:b w:val="0"/>
              <w:sz w:val="22"/>
              <w:szCs w:val="22"/>
              <w:lang w:eastAsia="en-AU"/>
            </w:rPr>
          </w:pPr>
          <w:hyperlink w:anchor="_Toc128138649" w:history="1">
            <w:r w:rsidR="0049693E" w:rsidRPr="000F031A">
              <w:rPr>
                <w:rStyle w:val="Hyperlink"/>
              </w:rPr>
              <w:t>Chapter 10 – Maternal and infant health</w:t>
            </w:r>
            <w:r w:rsidR="0049693E">
              <w:rPr>
                <w:webHidden/>
              </w:rPr>
              <w:tab/>
            </w:r>
            <w:r w:rsidR="0049693E">
              <w:rPr>
                <w:webHidden/>
              </w:rPr>
              <w:fldChar w:fldCharType="begin"/>
            </w:r>
            <w:r w:rsidR="0049693E">
              <w:rPr>
                <w:webHidden/>
              </w:rPr>
              <w:instrText xml:space="preserve"> PAGEREF _Toc128138649 \h </w:instrText>
            </w:r>
            <w:r w:rsidR="0049693E">
              <w:rPr>
                <w:webHidden/>
              </w:rPr>
            </w:r>
            <w:r w:rsidR="0049693E">
              <w:rPr>
                <w:webHidden/>
              </w:rPr>
              <w:fldChar w:fldCharType="separate"/>
            </w:r>
            <w:r w:rsidR="0049693E">
              <w:rPr>
                <w:webHidden/>
              </w:rPr>
              <w:t>75</w:t>
            </w:r>
            <w:r w:rsidR="0049693E">
              <w:rPr>
                <w:webHidden/>
              </w:rPr>
              <w:fldChar w:fldCharType="end"/>
            </w:r>
          </w:hyperlink>
        </w:p>
        <w:p w14:paraId="305155BC" w14:textId="14322EDF" w:rsidR="0049693E" w:rsidRDefault="00000000">
          <w:pPr>
            <w:pStyle w:val="TOC1"/>
            <w:rPr>
              <w:rFonts w:asciiTheme="minorHAnsi" w:eastAsiaTheme="minorEastAsia" w:hAnsiTheme="minorHAnsi" w:cstheme="minorBidi"/>
              <w:b w:val="0"/>
              <w:sz w:val="22"/>
              <w:szCs w:val="22"/>
              <w:lang w:eastAsia="en-AU"/>
            </w:rPr>
          </w:pPr>
          <w:hyperlink w:anchor="_Toc128138650" w:history="1">
            <w:r w:rsidR="0049693E" w:rsidRPr="000F031A">
              <w:rPr>
                <w:rStyle w:val="Hyperlink"/>
              </w:rPr>
              <w:t>Chapter 11 – Child health</w:t>
            </w:r>
            <w:r w:rsidR="0049693E">
              <w:rPr>
                <w:webHidden/>
              </w:rPr>
              <w:tab/>
            </w:r>
            <w:r w:rsidR="0049693E">
              <w:rPr>
                <w:webHidden/>
              </w:rPr>
              <w:fldChar w:fldCharType="begin"/>
            </w:r>
            <w:r w:rsidR="0049693E">
              <w:rPr>
                <w:webHidden/>
              </w:rPr>
              <w:instrText xml:space="preserve"> PAGEREF _Toc128138650 \h </w:instrText>
            </w:r>
            <w:r w:rsidR="0049693E">
              <w:rPr>
                <w:webHidden/>
              </w:rPr>
            </w:r>
            <w:r w:rsidR="0049693E">
              <w:rPr>
                <w:webHidden/>
              </w:rPr>
              <w:fldChar w:fldCharType="separate"/>
            </w:r>
            <w:r w:rsidR="0049693E">
              <w:rPr>
                <w:webHidden/>
              </w:rPr>
              <w:t>78</w:t>
            </w:r>
            <w:r w:rsidR="0049693E">
              <w:rPr>
                <w:webHidden/>
              </w:rPr>
              <w:fldChar w:fldCharType="end"/>
            </w:r>
          </w:hyperlink>
        </w:p>
        <w:p w14:paraId="3B52E87C" w14:textId="7CADB684" w:rsidR="0049693E" w:rsidRDefault="00000000">
          <w:pPr>
            <w:pStyle w:val="TOC1"/>
            <w:rPr>
              <w:rFonts w:asciiTheme="minorHAnsi" w:eastAsiaTheme="minorEastAsia" w:hAnsiTheme="minorHAnsi" w:cstheme="minorBidi"/>
              <w:b w:val="0"/>
              <w:sz w:val="22"/>
              <w:szCs w:val="22"/>
              <w:lang w:eastAsia="en-AU"/>
            </w:rPr>
          </w:pPr>
          <w:hyperlink w:anchor="_Toc128138651" w:history="1">
            <w:r w:rsidR="0049693E" w:rsidRPr="000F031A">
              <w:rPr>
                <w:rStyle w:val="Hyperlink"/>
              </w:rPr>
              <w:t>Chapter 12 – Communicable diseases</w:t>
            </w:r>
            <w:r w:rsidR="0049693E">
              <w:rPr>
                <w:webHidden/>
              </w:rPr>
              <w:tab/>
            </w:r>
            <w:r w:rsidR="0049693E">
              <w:rPr>
                <w:webHidden/>
              </w:rPr>
              <w:fldChar w:fldCharType="begin"/>
            </w:r>
            <w:r w:rsidR="0049693E">
              <w:rPr>
                <w:webHidden/>
              </w:rPr>
              <w:instrText xml:space="preserve"> PAGEREF _Toc128138651 \h </w:instrText>
            </w:r>
            <w:r w:rsidR="0049693E">
              <w:rPr>
                <w:webHidden/>
              </w:rPr>
            </w:r>
            <w:r w:rsidR="0049693E">
              <w:rPr>
                <w:webHidden/>
              </w:rPr>
              <w:fldChar w:fldCharType="separate"/>
            </w:r>
            <w:r w:rsidR="0049693E">
              <w:rPr>
                <w:webHidden/>
              </w:rPr>
              <w:t>82</w:t>
            </w:r>
            <w:r w:rsidR="0049693E">
              <w:rPr>
                <w:webHidden/>
              </w:rPr>
              <w:fldChar w:fldCharType="end"/>
            </w:r>
          </w:hyperlink>
        </w:p>
        <w:p w14:paraId="76ADB90E" w14:textId="590FBDF6" w:rsidR="0049693E" w:rsidRDefault="00000000">
          <w:pPr>
            <w:pStyle w:val="TOC1"/>
            <w:rPr>
              <w:rFonts w:asciiTheme="minorHAnsi" w:eastAsiaTheme="minorEastAsia" w:hAnsiTheme="minorHAnsi" w:cstheme="minorBidi"/>
              <w:b w:val="0"/>
              <w:sz w:val="22"/>
              <w:szCs w:val="22"/>
              <w:lang w:eastAsia="en-AU"/>
            </w:rPr>
          </w:pPr>
          <w:hyperlink w:anchor="_Toc128138652" w:history="1">
            <w:r w:rsidR="0049693E" w:rsidRPr="000F031A">
              <w:rPr>
                <w:rStyle w:val="Hyperlink"/>
              </w:rPr>
              <w:t>Chapter 13 – Immunisation</w:t>
            </w:r>
            <w:r w:rsidR="0049693E">
              <w:rPr>
                <w:webHidden/>
              </w:rPr>
              <w:tab/>
            </w:r>
            <w:r w:rsidR="0049693E">
              <w:rPr>
                <w:webHidden/>
              </w:rPr>
              <w:fldChar w:fldCharType="begin"/>
            </w:r>
            <w:r w:rsidR="0049693E">
              <w:rPr>
                <w:webHidden/>
              </w:rPr>
              <w:instrText xml:space="preserve"> PAGEREF _Toc128138652 \h </w:instrText>
            </w:r>
            <w:r w:rsidR="0049693E">
              <w:rPr>
                <w:webHidden/>
              </w:rPr>
            </w:r>
            <w:r w:rsidR="0049693E">
              <w:rPr>
                <w:webHidden/>
              </w:rPr>
              <w:fldChar w:fldCharType="separate"/>
            </w:r>
            <w:r w:rsidR="0049693E">
              <w:rPr>
                <w:webHidden/>
              </w:rPr>
              <w:t>89</w:t>
            </w:r>
            <w:r w:rsidR="0049693E">
              <w:rPr>
                <w:webHidden/>
              </w:rPr>
              <w:fldChar w:fldCharType="end"/>
            </w:r>
          </w:hyperlink>
        </w:p>
        <w:p w14:paraId="01A15064" w14:textId="0EBE7785" w:rsidR="0049693E" w:rsidRDefault="00000000">
          <w:pPr>
            <w:pStyle w:val="TOC1"/>
            <w:rPr>
              <w:rFonts w:asciiTheme="minorHAnsi" w:eastAsiaTheme="minorEastAsia" w:hAnsiTheme="minorHAnsi" w:cstheme="minorBidi"/>
              <w:b w:val="0"/>
              <w:sz w:val="22"/>
              <w:szCs w:val="22"/>
              <w:lang w:eastAsia="en-AU"/>
            </w:rPr>
          </w:pPr>
          <w:hyperlink w:anchor="_Toc128138653" w:history="1">
            <w:r w:rsidR="0049693E" w:rsidRPr="000F031A">
              <w:rPr>
                <w:rStyle w:val="Hyperlink"/>
              </w:rPr>
              <w:t>Chapter 14 – Non-communicable disease</w:t>
            </w:r>
            <w:r w:rsidR="0049693E">
              <w:rPr>
                <w:webHidden/>
              </w:rPr>
              <w:tab/>
            </w:r>
            <w:r w:rsidR="0049693E">
              <w:rPr>
                <w:webHidden/>
              </w:rPr>
              <w:fldChar w:fldCharType="begin"/>
            </w:r>
            <w:r w:rsidR="0049693E">
              <w:rPr>
                <w:webHidden/>
              </w:rPr>
              <w:instrText xml:space="preserve"> PAGEREF _Toc128138653 \h </w:instrText>
            </w:r>
            <w:r w:rsidR="0049693E">
              <w:rPr>
                <w:webHidden/>
              </w:rPr>
            </w:r>
            <w:r w:rsidR="0049693E">
              <w:rPr>
                <w:webHidden/>
              </w:rPr>
              <w:fldChar w:fldCharType="separate"/>
            </w:r>
            <w:r w:rsidR="0049693E">
              <w:rPr>
                <w:webHidden/>
              </w:rPr>
              <w:t>94</w:t>
            </w:r>
            <w:r w:rsidR="0049693E">
              <w:rPr>
                <w:webHidden/>
              </w:rPr>
              <w:fldChar w:fldCharType="end"/>
            </w:r>
          </w:hyperlink>
        </w:p>
        <w:p w14:paraId="2495BB03" w14:textId="6C16CB44" w:rsidR="0049693E" w:rsidRDefault="00000000">
          <w:pPr>
            <w:pStyle w:val="TOC1"/>
            <w:rPr>
              <w:rFonts w:asciiTheme="minorHAnsi" w:eastAsiaTheme="minorEastAsia" w:hAnsiTheme="minorHAnsi" w:cstheme="minorBidi"/>
              <w:b w:val="0"/>
              <w:sz w:val="22"/>
              <w:szCs w:val="22"/>
              <w:lang w:eastAsia="en-AU"/>
            </w:rPr>
          </w:pPr>
          <w:hyperlink w:anchor="_Toc128138654" w:history="1">
            <w:r w:rsidR="0049693E" w:rsidRPr="000F031A">
              <w:rPr>
                <w:rStyle w:val="Hyperlink"/>
              </w:rPr>
              <w:t>Chapter 15 – Mental health</w:t>
            </w:r>
            <w:r w:rsidR="0049693E">
              <w:rPr>
                <w:webHidden/>
              </w:rPr>
              <w:tab/>
            </w:r>
            <w:r w:rsidR="0049693E">
              <w:rPr>
                <w:webHidden/>
              </w:rPr>
              <w:fldChar w:fldCharType="begin"/>
            </w:r>
            <w:r w:rsidR="0049693E">
              <w:rPr>
                <w:webHidden/>
              </w:rPr>
              <w:instrText xml:space="preserve"> PAGEREF _Toc128138654 \h </w:instrText>
            </w:r>
            <w:r w:rsidR="0049693E">
              <w:rPr>
                <w:webHidden/>
              </w:rPr>
            </w:r>
            <w:r w:rsidR="0049693E">
              <w:rPr>
                <w:webHidden/>
              </w:rPr>
              <w:fldChar w:fldCharType="separate"/>
            </w:r>
            <w:r w:rsidR="0049693E">
              <w:rPr>
                <w:webHidden/>
              </w:rPr>
              <w:t>106</w:t>
            </w:r>
            <w:r w:rsidR="0049693E">
              <w:rPr>
                <w:webHidden/>
              </w:rPr>
              <w:fldChar w:fldCharType="end"/>
            </w:r>
          </w:hyperlink>
        </w:p>
        <w:p w14:paraId="1F341BCA" w14:textId="08D6E3AA" w:rsidR="0049693E" w:rsidRDefault="00000000">
          <w:pPr>
            <w:pStyle w:val="TOC1"/>
            <w:rPr>
              <w:rFonts w:asciiTheme="minorHAnsi" w:eastAsiaTheme="minorEastAsia" w:hAnsiTheme="minorHAnsi" w:cstheme="minorBidi"/>
              <w:b w:val="0"/>
              <w:sz w:val="22"/>
              <w:szCs w:val="22"/>
              <w:lang w:eastAsia="en-AU"/>
            </w:rPr>
          </w:pPr>
          <w:hyperlink w:anchor="_Toc128138655" w:history="1">
            <w:r w:rsidR="0049693E" w:rsidRPr="000F031A">
              <w:rPr>
                <w:rStyle w:val="Hyperlink"/>
              </w:rPr>
              <w:t>Chapter 16 – Injury prevention</w:t>
            </w:r>
            <w:r w:rsidR="0049693E">
              <w:rPr>
                <w:webHidden/>
              </w:rPr>
              <w:tab/>
            </w:r>
            <w:r w:rsidR="0049693E">
              <w:rPr>
                <w:webHidden/>
              </w:rPr>
              <w:fldChar w:fldCharType="begin"/>
            </w:r>
            <w:r w:rsidR="0049693E">
              <w:rPr>
                <w:webHidden/>
              </w:rPr>
              <w:instrText xml:space="preserve"> PAGEREF _Toc128138655 \h </w:instrText>
            </w:r>
            <w:r w:rsidR="0049693E">
              <w:rPr>
                <w:webHidden/>
              </w:rPr>
            </w:r>
            <w:r w:rsidR="0049693E">
              <w:rPr>
                <w:webHidden/>
              </w:rPr>
              <w:fldChar w:fldCharType="separate"/>
            </w:r>
            <w:r w:rsidR="0049693E">
              <w:rPr>
                <w:webHidden/>
              </w:rPr>
              <w:t>111</w:t>
            </w:r>
            <w:r w:rsidR="0049693E">
              <w:rPr>
                <w:webHidden/>
              </w:rPr>
              <w:fldChar w:fldCharType="end"/>
            </w:r>
          </w:hyperlink>
        </w:p>
        <w:p w14:paraId="2D1ACE1E" w14:textId="75B85E4F" w:rsidR="0049693E" w:rsidRDefault="00000000">
          <w:pPr>
            <w:pStyle w:val="TOC1"/>
            <w:rPr>
              <w:rFonts w:asciiTheme="minorHAnsi" w:eastAsiaTheme="minorEastAsia" w:hAnsiTheme="minorHAnsi" w:cstheme="minorBidi"/>
              <w:b w:val="0"/>
              <w:sz w:val="22"/>
              <w:szCs w:val="22"/>
              <w:lang w:eastAsia="en-AU"/>
            </w:rPr>
          </w:pPr>
          <w:hyperlink w:anchor="_Toc128138656" w:history="1">
            <w:r w:rsidR="0049693E" w:rsidRPr="000F031A">
              <w:rPr>
                <w:rStyle w:val="Hyperlink"/>
              </w:rPr>
              <w:t>Chapter 17 – Oral Health</w:t>
            </w:r>
            <w:r w:rsidR="0049693E">
              <w:rPr>
                <w:webHidden/>
              </w:rPr>
              <w:tab/>
            </w:r>
            <w:r w:rsidR="0049693E">
              <w:rPr>
                <w:webHidden/>
              </w:rPr>
              <w:fldChar w:fldCharType="begin"/>
            </w:r>
            <w:r w:rsidR="0049693E">
              <w:rPr>
                <w:webHidden/>
              </w:rPr>
              <w:instrText xml:space="preserve"> PAGEREF _Toc128138656 \h </w:instrText>
            </w:r>
            <w:r w:rsidR="0049693E">
              <w:rPr>
                <w:webHidden/>
              </w:rPr>
            </w:r>
            <w:r w:rsidR="0049693E">
              <w:rPr>
                <w:webHidden/>
              </w:rPr>
              <w:fldChar w:fldCharType="separate"/>
            </w:r>
            <w:r w:rsidR="0049693E">
              <w:rPr>
                <w:webHidden/>
              </w:rPr>
              <w:t>118</w:t>
            </w:r>
            <w:r w:rsidR="0049693E">
              <w:rPr>
                <w:webHidden/>
              </w:rPr>
              <w:fldChar w:fldCharType="end"/>
            </w:r>
          </w:hyperlink>
        </w:p>
        <w:p w14:paraId="786219CB" w14:textId="67FC9D00" w:rsidR="0049693E" w:rsidRDefault="00000000">
          <w:pPr>
            <w:pStyle w:val="TOC1"/>
            <w:rPr>
              <w:rFonts w:asciiTheme="minorHAnsi" w:eastAsiaTheme="minorEastAsia" w:hAnsiTheme="minorHAnsi" w:cstheme="minorBidi"/>
              <w:b w:val="0"/>
              <w:sz w:val="22"/>
              <w:szCs w:val="22"/>
              <w:lang w:eastAsia="en-AU"/>
            </w:rPr>
          </w:pPr>
          <w:hyperlink w:anchor="_Toc128138657" w:history="1">
            <w:r w:rsidR="0049693E" w:rsidRPr="000F031A">
              <w:rPr>
                <w:rStyle w:val="Hyperlink"/>
              </w:rPr>
              <w:t>Appendix A: Text-equivalent descriptions</w:t>
            </w:r>
            <w:r w:rsidR="0049693E">
              <w:rPr>
                <w:webHidden/>
              </w:rPr>
              <w:tab/>
            </w:r>
            <w:r w:rsidR="0049693E">
              <w:rPr>
                <w:webHidden/>
              </w:rPr>
              <w:fldChar w:fldCharType="begin"/>
            </w:r>
            <w:r w:rsidR="0049693E">
              <w:rPr>
                <w:webHidden/>
              </w:rPr>
              <w:instrText xml:space="preserve"> PAGEREF _Toc128138657 \h </w:instrText>
            </w:r>
            <w:r w:rsidR="0049693E">
              <w:rPr>
                <w:webHidden/>
              </w:rPr>
            </w:r>
            <w:r w:rsidR="0049693E">
              <w:rPr>
                <w:webHidden/>
              </w:rPr>
              <w:fldChar w:fldCharType="separate"/>
            </w:r>
            <w:r w:rsidR="0049693E">
              <w:rPr>
                <w:webHidden/>
              </w:rPr>
              <w:t>121</w:t>
            </w:r>
            <w:r w:rsidR="0049693E">
              <w:rPr>
                <w:webHidden/>
              </w:rPr>
              <w:fldChar w:fldCharType="end"/>
            </w:r>
          </w:hyperlink>
        </w:p>
        <w:p w14:paraId="78934ACB" w14:textId="66846E7A" w:rsidR="00E409C6" w:rsidRDefault="00E409C6">
          <w:r>
            <w:rPr>
              <w:noProof/>
            </w:rPr>
            <w:fldChar w:fldCharType="end"/>
          </w:r>
        </w:p>
      </w:sdtContent>
    </w:sdt>
    <w:p w14:paraId="5E3DAEC2" w14:textId="254E9918" w:rsidR="00431F42" w:rsidRDefault="00431F42" w:rsidP="00431F42">
      <w:pPr>
        <w:pStyle w:val="Body"/>
      </w:pPr>
    </w:p>
    <w:p w14:paraId="7CB7F547" w14:textId="460295B8" w:rsidR="00D85E7E" w:rsidRDefault="00D85E7E">
      <w:pPr>
        <w:spacing w:after="0" w:line="240" w:lineRule="auto"/>
        <w:rPr>
          <w:rFonts w:eastAsia="Times"/>
        </w:rPr>
      </w:pPr>
      <w:r>
        <w:br w:type="page"/>
      </w:r>
    </w:p>
    <w:p w14:paraId="4CE63888" w14:textId="2E0326F3" w:rsidR="00387114" w:rsidRPr="00A71CE4" w:rsidRDefault="00387114" w:rsidP="00387114">
      <w:pPr>
        <w:pStyle w:val="Heading1"/>
        <w:spacing w:before="0"/>
      </w:pPr>
      <w:bookmarkStart w:id="3" w:name="_Toc116977915"/>
      <w:bookmarkStart w:id="4" w:name="_Toc128138639"/>
      <w:bookmarkStart w:id="5" w:name="_Hlk66712316"/>
      <w:r>
        <w:lastRenderedPageBreak/>
        <w:t>Preface</w:t>
      </w:r>
      <w:bookmarkEnd w:id="3"/>
      <w:bookmarkEnd w:id="4"/>
    </w:p>
    <w:p w14:paraId="371391BF" w14:textId="77777777" w:rsidR="00387114" w:rsidRPr="0075593B" w:rsidRDefault="00387114" w:rsidP="0075593B">
      <w:pPr>
        <w:pStyle w:val="Body"/>
      </w:pPr>
      <w:r w:rsidRPr="0075593B">
        <w:rPr>
          <w:rFonts w:hint="eastAsia"/>
        </w:rPr>
        <w:t>As Victoria's Chief Health Officer, and on behalf of the Department of Health, I acknowledge and respect Victoria's Traditional Owners as the original custodians of Victoria's land and waters. I honour Elders past and present whose knowledge and wisdom have ensured the continuation of culture and traditional practices.</w:t>
      </w:r>
    </w:p>
    <w:p w14:paraId="01696688" w14:textId="77777777" w:rsidR="00387114" w:rsidRPr="0075593B" w:rsidRDefault="00387114" w:rsidP="005C0FF7">
      <w:r w:rsidRPr="0075593B">
        <w:rPr>
          <w:rFonts w:hint="eastAsia"/>
        </w:rPr>
        <w:t>Welcome to </w:t>
      </w:r>
      <w:r w:rsidRPr="00784894">
        <w:rPr>
          <w:i/>
          <w:iCs/>
        </w:rPr>
        <w:t>Your health: Report of the Chief Health Officer, Victoria, 2019</w:t>
      </w:r>
      <w:r w:rsidRPr="0075593B">
        <w:rPr>
          <w:rFonts w:hint="eastAsia"/>
        </w:rPr>
        <w:t>.</w:t>
      </w:r>
    </w:p>
    <w:p w14:paraId="525FBF34" w14:textId="77777777" w:rsidR="001A7DDD" w:rsidRPr="0075593B" w:rsidRDefault="001A7DDD" w:rsidP="001A7DDD">
      <w:pPr>
        <w:pStyle w:val="Body"/>
      </w:pPr>
      <w:r w:rsidRPr="0075593B">
        <w:rPr>
          <w:rFonts w:hint="eastAsia"/>
        </w:rPr>
        <w:t xml:space="preserve">This is the </w:t>
      </w:r>
      <w:r w:rsidRPr="0075593B">
        <w:t>eight</w:t>
      </w:r>
      <w:r w:rsidRPr="0075593B">
        <w:rPr>
          <w:rFonts w:hint="eastAsia"/>
        </w:rPr>
        <w:t xml:space="preserve">h report published by the Chief Health Officer of Victoria, and the </w:t>
      </w:r>
      <w:r w:rsidRPr="0075593B">
        <w:t>second</w:t>
      </w:r>
      <w:r w:rsidRPr="0075593B">
        <w:rPr>
          <w:rFonts w:hint="eastAsia"/>
        </w:rPr>
        <w:t xml:space="preserve"> since I commenced in this role in 2019. </w:t>
      </w:r>
    </w:p>
    <w:p w14:paraId="3E371345" w14:textId="77777777" w:rsidR="001A7DDD" w:rsidRPr="0075593B" w:rsidRDefault="001A7DDD" w:rsidP="001A7DDD">
      <w:pPr>
        <w:pStyle w:val="Body"/>
      </w:pPr>
      <w:r w:rsidRPr="0075593B">
        <w:rPr>
          <w:rFonts w:hint="eastAsia"/>
        </w:rPr>
        <w:t xml:space="preserve">This report, </w:t>
      </w:r>
      <w:r>
        <w:t xml:space="preserve">published as </w:t>
      </w:r>
      <w:r w:rsidRPr="0075593B">
        <w:rPr>
          <w:rFonts w:hint="eastAsia"/>
        </w:rPr>
        <w:t>a requirement of the </w:t>
      </w:r>
      <w:r w:rsidRPr="0075593B">
        <w:rPr>
          <w:rFonts w:hint="eastAsia"/>
          <w:i/>
        </w:rPr>
        <w:t>Public Health and Wellbeing Act 2008</w:t>
      </w:r>
      <w:r w:rsidRPr="0075593B">
        <w:rPr>
          <w:rFonts w:hint="eastAsia"/>
        </w:rPr>
        <w:t xml:space="preserve">, </w:t>
      </w:r>
      <w:r w:rsidRPr="0075593B">
        <w:t>presents information across a range of key topics t</w:t>
      </w:r>
      <w:r>
        <w:t>hat</w:t>
      </w:r>
      <w:r w:rsidRPr="0075593B">
        <w:t xml:space="preserve"> provide</w:t>
      </w:r>
      <w:r w:rsidRPr="0075593B">
        <w:rPr>
          <w:rFonts w:hint="eastAsia"/>
        </w:rPr>
        <w:t xml:space="preserve"> a snapshot of the health of Victorians in 201</w:t>
      </w:r>
      <w:r w:rsidRPr="0075593B">
        <w:t>9</w:t>
      </w:r>
      <w:r w:rsidRPr="0075593B">
        <w:rPr>
          <w:rFonts w:hint="eastAsia"/>
        </w:rPr>
        <w:t xml:space="preserve">. </w:t>
      </w:r>
    </w:p>
    <w:p w14:paraId="61EB0EB0" w14:textId="59DA3EE4" w:rsidR="001A7DDD" w:rsidRDefault="001A7DDD" w:rsidP="001A7DDD">
      <w:pPr>
        <w:pStyle w:val="Body"/>
      </w:pPr>
      <w:r>
        <w:t xml:space="preserve">Different to previous editions of </w:t>
      </w:r>
      <w:r w:rsidRPr="0028050F">
        <w:rPr>
          <w:i/>
          <w:iCs/>
        </w:rPr>
        <w:t>Your Health</w:t>
      </w:r>
      <w:r>
        <w:rPr>
          <w:i/>
          <w:iCs/>
        </w:rPr>
        <w:t xml:space="preserve"> </w:t>
      </w:r>
      <w:r w:rsidRPr="0028050F">
        <w:t>report that cover a two</w:t>
      </w:r>
      <w:r>
        <w:t xml:space="preserve"> </w:t>
      </w:r>
      <w:r w:rsidR="005028DE">
        <w:t xml:space="preserve">year </w:t>
      </w:r>
      <w:r>
        <w:t xml:space="preserve">period, this report only covers the year of 2019. One of the reasons behind why this report solely captures 2019, relates to the </w:t>
      </w:r>
      <w:r w:rsidRPr="0075593B">
        <w:t xml:space="preserve">record-breaking temperatures </w:t>
      </w:r>
      <w:r>
        <w:t xml:space="preserve">of </w:t>
      </w:r>
      <w:r w:rsidRPr="0075593B">
        <w:t>the 2018</w:t>
      </w:r>
      <w:r>
        <w:t>-</w:t>
      </w:r>
      <w:r w:rsidRPr="0075593B">
        <w:t>19 summer and</w:t>
      </w:r>
      <w:r w:rsidRPr="00CE5A0F">
        <w:t xml:space="preserve"> </w:t>
      </w:r>
      <w:r w:rsidRPr="0075593B">
        <w:t xml:space="preserve">the devastating Eastern Victorian bushfires of </w:t>
      </w:r>
      <w:r>
        <w:t xml:space="preserve">the summer of </w:t>
      </w:r>
      <w:r w:rsidRPr="0075593B">
        <w:t>2019-20</w:t>
      </w:r>
      <w:r>
        <w:t xml:space="preserve">. </w:t>
      </w:r>
    </w:p>
    <w:p w14:paraId="119F60DD" w14:textId="77777777" w:rsidR="001A7DDD" w:rsidRDefault="001A7DDD" w:rsidP="001A7DDD">
      <w:pPr>
        <w:pStyle w:val="Body"/>
      </w:pPr>
      <w:r>
        <w:t xml:space="preserve">As a consequence of those major events, </w:t>
      </w:r>
      <w:r w:rsidRPr="0075593B">
        <w:t xml:space="preserve">climate change </w:t>
      </w:r>
      <w:r>
        <w:t>became</w:t>
      </w:r>
      <w:r w:rsidRPr="0075593B">
        <w:t xml:space="preserve"> a key focus of this report. </w:t>
      </w:r>
    </w:p>
    <w:p w14:paraId="2A53B97B" w14:textId="77777777" w:rsidR="001A7DDD" w:rsidRDefault="001A7DDD" w:rsidP="001A7DDD">
      <w:pPr>
        <w:pStyle w:val="Body"/>
      </w:pPr>
      <w:r w:rsidRPr="0075593B">
        <w:t xml:space="preserve">The catastrophic bushfires </w:t>
      </w:r>
      <w:r>
        <w:t xml:space="preserve">– which killed five people, impacted more than 120 communities, and displaced thousands of Victorians – demonstrated the </w:t>
      </w:r>
      <w:r w:rsidRPr="0075593B">
        <w:t xml:space="preserve">immediate and serious impacts that </w:t>
      </w:r>
      <w:r>
        <w:t xml:space="preserve">climate change can </w:t>
      </w:r>
      <w:r w:rsidRPr="0075593B">
        <w:t>hav</w:t>
      </w:r>
      <w:r>
        <w:t>e</w:t>
      </w:r>
      <w:r w:rsidRPr="0075593B">
        <w:t xml:space="preserve"> on health and wellbeing. </w:t>
      </w:r>
    </w:p>
    <w:p w14:paraId="68FF6A30" w14:textId="77777777" w:rsidR="001A7DDD" w:rsidRDefault="001A7DDD" w:rsidP="001A7DDD">
      <w:pPr>
        <w:pStyle w:val="Body"/>
      </w:pPr>
      <w:r w:rsidRPr="0075593B">
        <w:t xml:space="preserve">The smoke from these fires </w:t>
      </w:r>
      <w:r>
        <w:t>–</w:t>
      </w:r>
      <w:r w:rsidRPr="0075593B">
        <w:t xml:space="preserve"> and </w:t>
      </w:r>
      <w:r>
        <w:t xml:space="preserve">from </w:t>
      </w:r>
      <w:r w:rsidRPr="0075593B">
        <w:t>other fires across state borders –</w:t>
      </w:r>
      <w:r>
        <w:t xml:space="preserve"> </w:t>
      </w:r>
      <w:r w:rsidRPr="0075593B">
        <w:t xml:space="preserve">significantly impacted air quality in population centres, leading to increased hospitalisations and emergency department presentations for respiratory conditions such as asthma and chronic obstructive pulmonary disease (COPD). In Victoria, there was a 95 per cent increase in </w:t>
      </w:r>
      <w:r>
        <w:t xml:space="preserve">asthma-related </w:t>
      </w:r>
      <w:r w:rsidRPr="0075593B">
        <w:t xml:space="preserve">hospitalisations and a 125 per cent increase in </w:t>
      </w:r>
      <w:r>
        <w:t xml:space="preserve">asthma-related </w:t>
      </w:r>
      <w:r w:rsidRPr="0075593B">
        <w:t xml:space="preserve">emergency department presentations in the week beginning 12 January 2020. </w:t>
      </w:r>
      <w:r>
        <w:t>T</w:t>
      </w:r>
      <w:r w:rsidRPr="0075593B">
        <w:t xml:space="preserve">he </w:t>
      </w:r>
      <w:r>
        <w:t xml:space="preserve">health </w:t>
      </w:r>
      <w:r w:rsidRPr="0075593B">
        <w:t>impacts of the 2019-20 bushfires will be felt for years to come.</w:t>
      </w:r>
      <w:r>
        <w:t xml:space="preserve"> </w:t>
      </w:r>
    </w:p>
    <w:p w14:paraId="2999B0B8" w14:textId="77777777" w:rsidR="001A7DDD" w:rsidRDefault="001A7DDD" w:rsidP="001A7DDD">
      <w:pPr>
        <w:pStyle w:val="Body"/>
      </w:pPr>
      <w:r>
        <w:t xml:space="preserve">In addition to devastating bushfires, climate change is also contributing to more extreme heat days, and an increase in the frequency and intensity of extreme rainfall events (and associated flooding). </w:t>
      </w:r>
    </w:p>
    <w:p w14:paraId="081D514C" w14:textId="77777777" w:rsidR="001A7DDD" w:rsidRPr="003B4F33" w:rsidRDefault="001A7DDD" w:rsidP="001A7DDD">
      <w:pPr>
        <w:pStyle w:val="Body"/>
      </w:pPr>
      <w:r>
        <w:t xml:space="preserve">With Victorian climate projections indicating that current climate trends are set to continue, significant, urgent and sustained action is needed to reduce greenhouse gas emissions and support adaptation within our communities. Victoria’s </w:t>
      </w:r>
      <w:r>
        <w:rPr>
          <w:i/>
          <w:iCs/>
        </w:rPr>
        <w:t>Climate Change Act 2017</w:t>
      </w:r>
      <w:r>
        <w:t xml:space="preserve"> provides the state with a legislative foundation to manage climate change risks and drive transition to a climate resilient community and economy. In 2019, the department continued to build on this foundation, with implementation of the department's Environmental sustainability strategy 2018-19 to 2022–23, inclusion of climate change as one of four key focus areas in the Victorian Public </w:t>
      </w:r>
      <w:r w:rsidRPr="003B4F33">
        <w:t>health and wellbeing plan for 2019–2023 and release of the Pilot health and human services climate change adaptation action plan 2019-21.</w:t>
      </w:r>
    </w:p>
    <w:p w14:paraId="67C48AE7" w14:textId="77777777" w:rsidR="001A7DDD" w:rsidRPr="003B4F33" w:rsidRDefault="001A7DDD" w:rsidP="001A7DDD">
      <w:pPr>
        <w:rPr>
          <w:rFonts w:ascii="Calibri" w:hAnsi="Calibri"/>
          <w:sz w:val="22"/>
        </w:rPr>
      </w:pPr>
      <w:r w:rsidRPr="003B4F33">
        <w:t xml:space="preserve">The other reason why this report focuses solely on 2019 is because the COVID19 pandemic first started affecting us in January 2020. Almost three years on, we are still dealing with the social, economic and public health ramifications of the pandemic and still collating data on its impact on Victorians. With that in mind we’ve decided the next </w:t>
      </w:r>
      <w:r w:rsidRPr="003B4F33">
        <w:rPr>
          <w:i/>
          <w:iCs/>
        </w:rPr>
        <w:t>Your Health</w:t>
      </w:r>
      <w:r w:rsidRPr="003B4F33">
        <w:t xml:space="preserve"> report will focus on the COVID-19 affected years, beginning in 2020, so we can provide a comprehensive analysis of the widespread health impacts on the Victorian community.</w:t>
      </w:r>
    </w:p>
    <w:p w14:paraId="7A11A5E4" w14:textId="77777777" w:rsidR="001A7DDD" w:rsidRDefault="001A7DDD" w:rsidP="001A7DDD">
      <w:pPr>
        <w:pStyle w:val="Body"/>
      </w:pPr>
      <w:r w:rsidRPr="003B4F33">
        <w:t xml:space="preserve">Returning to the public health impacts of climate change, you will find many references to climate change in this report. These references reflect the urgent public health reality </w:t>
      </w:r>
      <w:r>
        <w:t xml:space="preserve">our state faces. </w:t>
      </w:r>
    </w:p>
    <w:p w14:paraId="12162433" w14:textId="7DE1396F" w:rsidR="001A7DDD" w:rsidRDefault="001A7DDD" w:rsidP="001A7DDD">
      <w:pPr>
        <w:pStyle w:val="Body"/>
      </w:pPr>
      <w:r>
        <w:lastRenderedPageBreak/>
        <w:t>Victoria’s climate is already changing and the associated impacts on the health and wellbeing of Victorians - far from being consigned to the distant future - are now a lived reality for many</w:t>
      </w:r>
      <w:r w:rsidR="0014175D">
        <w:t>.</w:t>
      </w:r>
    </w:p>
    <w:p w14:paraId="7677827B" w14:textId="1DF26273" w:rsidR="001A7DDD" w:rsidRDefault="001A7DDD" w:rsidP="001A7DDD">
      <w:r>
        <w:t xml:space="preserve">Climate change is far from being consigned to the distant future and is already </w:t>
      </w:r>
      <w:r w:rsidRPr="0075593B">
        <w:t>a lived reality for many</w:t>
      </w:r>
      <w:r>
        <w:t xml:space="preserve"> Victorians and </w:t>
      </w:r>
      <w:r w:rsidR="005554AA">
        <w:t>is</w:t>
      </w:r>
      <w:r>
        <w:t xml:space="preserve"> already impacting their </w:t>
      </w:r>
      <w:r w:rsidRPr="0075593B">
        <w:t>health and wellbeing</w:t>
      </w:r>
      <w:r>
        <w:t xml:space="preserve">. </w:t>
      </w:r>
    </w:p>
    <w:p w14:paraId="61D58D3C" w14:textId="77777777" w:rsidR="001A7DDD" w:rsidRPr="0075593B" w:rsidRDefault="001A7DDD" w:rsidP="001A7DDD">
      <w:r>
        <w:t xml:space="preserve">The point I am making is that climate change is not just an economic or environmental concern. Climate change is a public health emergency – and the emergency became immediate for thousands of Victorians in the summer of 2019-20. Public health has a central role in driving action on climate change, seeking solutions and supporting the community to adapt to its impacts. </w:t>
      </w:r>
    </w:p>
    <w:p w14:paraId="58982E02" w14:textId="77777777" w:rsidR="001A7DDD" w:rsidRDefault="001A7DDD" w:rsidP="001A7DDD">
      <w:r>
        <w:t>That is why u</w:t>
      </w:r>
      <w:r w:rsidRPr="0075593B">
        <w:t>rgent and sustained action is needed to reduce greenhouse gas emissions and support adaptation within our communities.</w:t>
      </w:r>
    </w:p>
    <w:p w14:paraId="4FCB1857" w14:textId="77777777" w:rsidR="003F48F0" w:rsidRPr="006D4C30" w:rsidRDefault="003F48F0" w:rsidP="003F48F0">
      <w:pPr>
        <w:spacing w:before="100" w:beforeAutospacing="1" w:after="100" w:afterAutospacing="1" w:line="240" w:lineRule="auto"/>
        <w:rPr>
          <w:rFonts w:eastAsia="VIC-Regular" w:cs="Arial"/>
          <w:color w:val="2A2736"/>
          <w:szCs w:val="21"/>
          <w:lang w:eastAsia="en-AU"/>
        </w:rPr>
      </w:pPr>
      <w:r w:rsidRPr="006D4C30">
        <w:rPr>
          <w:rFonts w:eastAsia="VIC-Regular" w:cs="Arial"/>
          <w:color w:val="2A2736"/>
          <w:szCs w:val="21"/>
          <w:lang w:eastAsia="en-AU"/>
        </w:rPr>
        <w:t>I encourage readers of this Chief Health Officer report to explore the public health activities and measures outlined in the many linked reports and data sources that form part of this report.</w:t>
      </w:r>
    </w:p>
    <w:p w14:paraId="3D71ADE1" w14:textId="16E0E716" w:rsidR="003F48F0" w:rsidRPr="003F48F0" w:rsidRDefault="003F48F0" w:rsidP="003F48F0">
      <w:pPr>
        <w:spacing w:after="0" w:line="240" w:lineRule="auto"/>
        <w:rPr>
          <w:rFonts w:ascii="VIC-Regular" w:eastAsia="VIC-Regular" w:hAnsi="VIC-Regular"/>
          <w:color w:val="2A2736"/>
          <w:sz w:val="24"/>
          <w:szCs w:val="24"/>
          <w:lang w:eastAsia="en-AU"/>
        </w:rPr>
      </w:pPr>
    </w:p>
    <w:p w14:paraId="4D285645" w14:textId="77777777" w:rsidR="003F48F0" w:rsidRPr="006D4C30" w:rsidRDefault="003F48F0" w:rsidP="003F48F0">
      <w:pPr>
        <w:spacing w:before="100" w:beforeAutospacing="1" w:after="100" w:afterAutospacing="1" w:line="240" w:lineRule="auto"/>
        <w:rPr>
          <w:rFonts w:ascii="VIC-Regular" w:eastAsia="VIC-Regular" w:hAnsi="VIC-Regular"/>
          <w:color w:val="2A2736"/>
          <w:szCs w:val="21"/>
          <w:lang w:eastAsia="en-AU"/>
        </w:rPr>
      </w:pPr>
      <w:r w:rsidRPr="006D4C30">
        <w:rPr>
          <w:rFonts w:eastAsia="VIC-Regular" w:cs="Arial"/>
          <w:color w:val="2A2736"/>
          <w:szCs w:val="21"/>
          <w:lang w:eastAsia="en-AU"/>
        </w:rPr>
        <w:t>Adj Clin Prof Brett Sutton, Chief Health Officer.</w:t>
      </w:r>
    </w:p>
    <w:p w14:paraId="3FDD1B23" w14:textId="4B51D8DD" w:rsidR="00A134E8" w:rsidRDefault="007B468A">
      <w:pPr>
        <w:spacing w:after="0" w:line="240" w:lineRule="auto"/>
        <w:rPr>
          <w:rFonts w:eastAsia="Times"/>
        </w:rPr>
      </w:pPr>
      <w:r>
        <w:br w:type="page"/>
      </w:r>
    </w:p>
    <w:p w14:paraId="2BD91DFA" w14:textId="46E8DD89" w:rsidR="00A134E8" w:rsidRPr="00582D4F" w:rsidRDefault="005731DD" w:rsidP="00582D4F">
      <w:pPr>
        <w:pStyle w:val="Heading1"/>
      </w:pPr>
      <w:bookmarkStart w:id="6" w:name="_Toc116981314"/>
      <w:bookmarkStart w:id="7" w:name="_Toc128138640"/>
      <w:r>
        <w:lastRenderedPageBreak/>
        <w:t xml:space="preserve">Chapter 1 </w:t>
      </w:r>
      <w:r w:rsidR="00743C73">
        <w:t>–</w:t>
      </w:r>
      <w:r>
        <w:t xml:space="preserve"> </w:t>
      </w:r>
      <w:r w:rsidR="004D77E2" w:rsidRPr="00582D4F">
        <w:t>Introduction</w:t>
      </w:r>
      <w:bookmarkEnd w:id="6"/>
      <w:bookmarkEnd w:id="7"/>
      <w:r w:rsidR="004D77E2" w:rsidRPr="00582D4F">
        <w:t xml:space="preserve"> </w:t>
      </w:r>
    </w:p>
    <w:p w14:paraId="07341F2B" w14:textId="5A1D4B0A" w:rsidR="00E65FA7" w:rsidRDefault="00BF6951" w:rsidP="00BF6951">
      <w:pPr>
        <w:pStyle w:val="Body"/>
      </w:pPr>
      <w:r w:rsidRPr="00F4448D">
        <w:t>Keeping Victorians healthy and well is important for individuals, families and the community</w:t>
      </w:r>
      <w:r w:rsidR="00D25488">
        <w:t>,</w:t>
      </w:r>
      <w:r w:rsidR="002062A3" w:rsidRPr="00F4448D">
        <w:t xml:space="preserve"> </w:t>
      </w:r>
      <w:r w:rsidR="005A4138" w:rsidRPr="00F4448D">
        <w:t xml:space="preserve">and </w:t>
      </w:r>
      <w:r w:rsidRPr="00F4448D">
        <w:t xml:space="preserve">crucial for a strong economy and productive workforce. </w:t>
      </w:r>
    </w:p>
    <w:p w14:paraId="1E8781B9" w14:textId="6606169E" w:rsidR="008560DF" w:rsidRPr="00F4448D" w:rsidRDefault="008560DF" w:rsidP="006962B9">
      <w:pPr>
        <w:pStyle w:val="Heading2"/>
      </w:pPr>
      <w:r>
        <w:t xml:space="preserve">Purpose </w:t>
      </w:r>
    </w:p>
    <w:p w14:paraId="6EA9C5B0" w14:textId="6FB357B1" w:rsidR="00D25488" w:rsidRDefault="00BF6951" w:rsidP="00FB2AEF">
      <w:pPr>
        <w:pStyle w:val="Body"/>
      </w:pPr>
      <w:r w:rsidRPr="00F4448D">
        <w:t>Th</w:t>
      </w:r>
      <w:r w:rsidR="00DF04A0">
        <w:t>e</w:t>
      </w:r>
      <w:r w:rsidRPr="00F4448D">
        <w:t xml:space="preserve"> </w:t>
      </w:r>
      <w:r w:rsidRPr="00F4448D">
        <w:rPr>
          <w:i/>
        </w:rPr>
        <w:t xml:space="preserve">Report of the Chief Health Officer Victoria, 2019 </w:t>
      </w:r>
      <w:r w:rsidRPr="00F4448D">
        <w:t>is the eighth</w:t>
      </w:r>
      <w:r w:rsidR="00F62BC7" w:rsidRPr="00F4448D">
        <w:t xml:space="preserve"> </w:t>
      </w:r>
      <w:r w:rsidR="00F62BC7" w:rsidRPr="00F4448D">
        <w:rPr>
          <w:i/>
        </w:rPr>
        <w:t xml:space="preserve">Your </w:t>
      </w:r>
      <w:r w:rsidR="00D25488">
        <w:rPr>
          <w:i/>
        </w:rPr>
        <w:t>h</w:t>
      </w:r>
      <w:r w:rsidR="00F62BC7" w:rsidRPr="00F4448D">
        <w:rPr>
          <w:i/>
        </w:rPr>
        <w:t>ealth</w:t>
      </w:r>
      <w:r w:rsidRPr="00F4448D">
        <w:rPr>
          <w:i/>
        </w:rPr>
        <w:t xml:space="preserve"> </w:t>
      </w:r>
      <w:r w:rsidRPr="00E65E99">
        <w:rPr>
          <w:iCs/>
        </w:rPr>
        <w:t>report</w:t>
      </w:r>
      <w:r w:rsidR="00D25488">
        <w:t>.</w:t>
      </w:r>
      <w:r w:rsidR="00E65FA7" w:rsidRPr="00F4448D">
        <w:t xml:space="preserve"> </w:t>
      </w:r>
    </w:p>
    <w:p w14:paraId="5397AE4A" w14:textId="1E8923C4" w:rsidR="00FB2AEF" w:rsidRDefault="00DF04A0" w:rsidP="00FB2AEF">
      <w:pPr>
        <w:pStyle w:val="Body"/>
      </w:pPr>
      <w:r w:rsidRPr="00F4448D">
        <w:rPr>
          <w:i/>
        </w:rPr>
        <w:t xml:space="preserve">Your </w:t>
      </w:r>
      <w:r>
        <w:rPr>
          <w:i/>
        </w:rPr>
        <w:t>h</w:t>
      </w:r>
      <w:r w:rsidRPr="00F4448D">
        <w:rPr>
          <w:i/>
        </w:rPr>
        <w:t xml:space="preserve">ealth </w:t>
      </w:r>
      <w:r w:rsidR="00D25488">
        <w:t xml:space="preserve">is published </w:t>
      </w:r>
      <w:r>
        <w:t xml:space="preserve">every two years, as required by </w:t>
      </w:r>
      <w:r w:rsidR="00B3196D" w:rsidRPr="00F4448D">
        <w:t>the</w:t>
      </w:r>
      <w:r w:rsidR="00B3196D" w:rsidRPr="00F4448D">
        <w:rPr>
          <w:i/>
        </w:rPr>
        <w:t xml:space="preserve"> Public Health and Wellbeing A</w:t>
      </w:r>
      <w:r w:rsidR="00E65FA7" w:rsidRPr="00F4448D">
        <w:rPr>
          <w:i/>
        </w:rPr>
        <w:t>ct</w:t>
      </w:r>
      <w:r w:rsidR="005A4138" w:rsidRPr="00F4448D">
        <w:rPr>
          <w:i/>
        </w:rPr>
        <w:t xml:space="preserve"> 2008</w:t>
      </w:r>
      <w:r w:rsidR="00E65FA7" w:rsidRPr="00F4448D">
        <w:rPr>
          <w:i/>
        </w:rPr>
        <w:t xml:space="preserve"> (section 21c)</w:t>
      </w:r>
      <w:r>
        <w:rPr>
          <w:iCs/>
        </w:rPr>
        <w:t>. Its</w:t>
      </w:r>
      <w:r w:rsidR="005A4138" w:rsidRPr="00F4448D">
        <w:t xml:space="preserve"> </w:t>
      </w:r>
      <w:r w:rsidR="001A779F">
        <w:t xml:space="preserve">purpose </w:t>
      </w:r>
      <w:r>
        <w:t xml:space="preserve">is to </w:t>
      </w:r>
      <w:r w:rsidR="005A4138" w:rsidRPr="00F4448D">
        <w:t>provid</w:t>
      </w:r>
      <w:r>
        <w:t>e</w:t>
      </w:r>
      <w:r w:rsidR="005A4138" w:rsidRPr="00F4448D">
        <w:t xml:space="preserve"> </w:t>
      </w:r>
      <w:r w:rsidR="00B3196D" w:rsidRPr="00F4448D">
        <w:t xml:space="preserve">a </w:t>
      </w:r>
      <w:r w:rsidR="005A4138" w:rsidRPr="00F4448D">
        <w:t>snapshot</w:t>
      </w:r>
      <w:r w:rsidR="00B3196D" w:rsidRPr="00F4448D">
        <w:t xml:space="preserve"> on </w:t>
      </w:r>
      <w:r w:rsidR="001A779F">
        <w:t>the</w:t>
      </w:r>
      <w:r w:rsidR="00B3196D" w:rsidRPr="00F4448D">
        <w:t xml:space="preserve"> health and wellbeing </w:t>
      </w:r>
      <w:r w:rsidR="005A4138" w:rsidRPr="00F4448D">
        <w:t>of Victorians, as well as the determinants of health in Victoria.</w:t>
      </w:r>
      <w:r w:rsidR="001A779F">
        <w:t xml:space="preserve"> These </w:t>
      </w:r>
      <w:r>
        <w:t xml:space="preserve">biennial </w:t>
      </w:r>
      <w:r w:rsidR="001A779F">
        <w:t xml:space="preserve">reports track </w:t>
      </w:r>
      <w:r>
        <w:t xml:space="preserve">public health </w:t>
      </w:r>
      <w:r w:rsidR="001A779F">
        <w:t xml:space="preserve">over time at a broad population level. </w:t>
      </w:r>
    </w:p>
    <w:p w14:paraId="6451B675" w14:textId="1C305B62" w:rsidR="001A779F" w:rsidRPr="00F4448D" w:rsidRDefault="001A779F" w:rsidP="006962B9">
      <w:pPr>
        <w:pStyle w:val="Heading2"/>
      </w:pPr>
      <w:r>
        <w:t>Theme</w:t>
      </w:r>
    </w:p>
    <w:p w14:paraId="3487B79A" w14:textId="79CD51FA" w:rsidR="00DF04A0" w:rsidRDefault="00DF04A0" w:rsidP="003D028B">
      <w:pPr>
        <w:pStyle w:val="Body"/>
      </w:pPr>
      <w:r w:rsidRPr="00F4448D">
        <w:rPr>
          <w:i/>
        </w:rPr>
        <w:t xml:space="preserve">Your </w:t>
      </w:r>
      <w:r>
        <w:rPr>
          <w:i/>
        </w:rPr>
        <w:t>h</w:t>
      </w:r>
      <w:r w:rsidRPr="00F4448D">
        <w:rPr>
          <w:i/>
        </w:rPr>
        <w:t xml:space="preserve">ealth </w:t>
      </w:r>
      <w:r w:rsidR="008E5B6E" w:rsidRPr="00F4448D">
        <w:t xml:space="preserve">highlights that global climate change is </w:t>
      </w:r>
      <w:r>
        <w:t xml:space="preserve">increasingly impacting </w:t>
      </w:r>
      <w:r w:rsidR="008E5B6E" w:rsidRPr="00F4448D">
        <w:t xml:space="preserve">Victoria’s health. </w:t>
      </w:r>
    </w:p>
    <w:p w14:paraId="39AD36C0" w14:textId="20749A5B" w:rsidR="00D84D96" w:rsidRPr="00F4448D" w:rsidRDefault="001F4CE3" w:rsidP="003D028B">
      <w:pPr>
        <w:pStyle w:val="Body"/>
      </w:pPr>
      <w:r w:rsidRPr="00F4448D">
        <w:t xml:space="preserve">In 2019-20, the </w:t>
      </w:r>
      <w:r w:rsidR="00DF04A0">
        <w:t xml:space="preserve">impact of the </w:t>
      </w:r>
      <w:r w:rsidRPr="00F4448D">
        <w:t xml:space="preserve">Eastern Victorian </w:t>
      </w:r>
      <w:r>
        <w:t>bushfires</w:t>
      </w:r>
      <w:r w:rsidRPr="00F4448D">
        <w:t xml:space="preserve"> </w:t>
      </w:r>
      <w:r w:rsidR="00DF04A0">
        <w:t xml:space="preserve">was </w:t>
      </w:r>
      <w:r w:rsidRPr="00F4448D">
        <w:t>significant</w:t>
      </w:r>
      <w:r w:rsidR="00DF04A0">
        <w:t xml:space="preserve">. </w:t>
      </w:r>
      <w:r w:rsidR="000D1E53">
        <w:t>Five</w:t>
      </w:r>
      <w:r w:rsidR="00686222">
        <w:t xml:space="preserve"> l</w:t>
      </w:r>
      <w:r w:rsidR="00DF04A0">
        <w:t xml:space="preserve">ives were </w:t>
      </w:r>
      <w:r w:rsidRPr="00F4448D">
        <w:t xml:space="preserve">lost, thousands displaced, and numerous communities temporarily isolated. Direct health impacts of this event are outlined in </w:t>
      </w:r>
      <w:r w:rsidR="00DF04A0">
        <w:t>C</w:t>
      </w:r>
      <w:r w:rsidRPr="003745F3">
        <w:t xml:space="preserve">hapter </w:t>
      </w:r>
      <w:r w:rsidR="00804F61" w:rsidRPr="003745F3">
        <w:t>2</w:t>
      </w:r>
      <w:r w:rsidR="00DF04A0">
        <w:t>,</w:t>
      </w:r>
      <w:r w:rsidRPr="00F4448D">
        <w:t xml:space="preserve"> as are other effects that will increase unless urgent</w:t>
      </w:r>
      <w:r w:rsidR="00DF04A0">
        <w:t xml:space="preserve">, </w:t>
      </w:r>
      <w:r w:rsidRPr="00F4448D">
        <w:t>sustained action is taken to reduce greenhouse gas emissions</w:t>
      </w:r>
      <w:r w:rsidR="00AA266C">
        <w:t>.</w:t>
      </w:r>
    </w:p>
    <w:p w14:paraId="687F831C" w14:textId="494A44C9" w:rsidR="007C0755" w:rsidRPr="006E26F6" w:rsidRDefault="00FF3647" w:rsidP="007C0755">
      <w:pPr>
        <w:pStyle w:val="Body"/>
      </w:pPr>
      <w:r w:rsidRPr="00F4448D">
        <w:t xml:space="preserve">At a broader level, </w:t>
      </w:r>
      <w:r w:rsidR="00BD24E7">
        <w:t>C</w:t>
      </w:r>
      <w:r w:rsidR="00BD24E7" w:rsidRPr="003745F3">
        <w:t xml:space="preserve">hapters </w:t>
      </w:r>
      <w:r w:rsidR="00C420B1" w:rsidRPr="003745F3">
        <w:t>3</w:t>
      </w:r>
      <w:r w:rsidR="0014175D">
        <w:t xml:space="preserve"> to </w:t>
      </w:r>
      <w:r w:rsidR="004E12E6" w:rsidRPr="003745F3">
        <w:t>5</w:t>
      </w:r>
      <w:r w:rsidR="004E12E6">
        <w:t xml:space="preserve"> </w:t>
      </w:r>
      <w:r w:rsidR="00AC266A">
        <w:t>discuss</w:t>
      </w:r>
      <w:r w:rsidR="00657DB2">
        <w:t xml:space="preserve"> </w:t>
      </w:r>
      <w:r w:rsidR="00C07542" w:rsidRPr="006E26F6">
        <w:t xml:space="preserve">specific </w:t>
      </w:r>
      <w:r w:rsidR="00F96455" w:rsidRPr="006E26F6">
        <w:t>environmental health</w:t>
      </w:r>
      <w:r w:rsidR="0020332E" w:rsidRPr="006E26F6">
        <w:t xml:space="preserve">, water quality safety </w:t>
      </w:r>
      <w:r w:rsidR="001A62AE" w:rsidRPr="006E26F6">
        <w:t xml:space="preserve">and </w:t>
      </w:r>
      <w:r w:rsidR="00EE405A" w:rsidRPr="006E26F6">
        <w:t>food safety</w:t>
      </w:r>
      <w:r w:rsidR="00F96455" w:rsidRPr="006E26F6">
        <w:t xml:space="preserve"> </w:t>
      </w:r>
      <w:r w:rsidR="00BD0094" w:rsidRPr="006E26F6">
        <w:t>matters</w:t>
      </w:r>
      <w:r w:rsidR="007D49BE" w:rsidRPr="006E26F6">
        <w:t xml:space="preserve">, </w:t>
      </w:r>
      <w:r w:rsidR="00DF04A0">
        <w:t>while C</w:t>
      </w:r>
      <w:r w:rsidRPr="00393E59">
        <w:t xml:space="preserve">hapter </w:t>
      </w:r>
      <w:r w:rsidR="00486C50" w:rsidRPr="00393E59">
        <w:t>6</w:t>
      </w:r>
      <w:r w:rsidRPr="00393E59">
        <w:t xml:space="preserve"> p</w:t>
      </w:r>
      <w:r w:rsidRPr="006E26F6">
        <w:t>rovides an overview of Victoria’s population profile</w:t>
      </w:r>
      <w:r w:rsidR="00CA039E" w:rsidRPr="006E26F6">
        <w:t xml:space="preserve">. </w:t>
      </w:r>
      <w:r w:rsidR="00244E80" w:rsidRPr="006E26F6">
        <w:t>W</w:t>
      </w:r>
      <w:r w:rsidRPr="006E26F6">
        <w:t xml:space="preserve">ide-ranging public health indicators are used </w:t>
      </w:r>
      <w:r w:rsidRPr="00393E59">
        <w:t xml:space="preserve">in </w:t>
      </w:r>
      <w:r w:rsidR="00DF04A0">
        <w:t>C</w:t>
      </w:r>
      <w:r w:rsidRPr="00393E59">
        <w:t xml:space="preserve">hapter </w:t>
      </w:r>
      <w:r w:rsidR="001A4FB7" w:rsidRPr="00393E59">
        <w:t xml:space="preserve">7 </w:t>
      </w:r>
      <w:r w:rsidRPr="00393E59">
        <w:t>to summarise health inequalities across Victorian subgroups</w:t>
      </w:r>
      <w:r w:rsidR="00DF04A0">
        <w:t>. C</w:t>
      </w:r>
      <w:r w:rsidRPr="00393E59">
        <w:t xml:space="preserve">hapter </w:t>
      </w:r>
      <w:r w:rsidR="00AE329B" w:rsidRPr="00393E59">
        <w:t xml:space="preserve">8 </w:t>
      </w:r>
      <w:r w:rsidRPr="00393E59">
        <w:t>measures</w:t>
      </w:r>
      <w:r w:rsidRPr="006E26F6">
        <w:t xml:space="preserve"> Victoria’s overall burden of disease</w:t>
      </w:r>
      <w:r w:rsidR="003850AC" w:rsidRPr="006E26F6">
        <w:t>.</w:t>
      </w:r>
    </w:p>
    <w:p w14:paraId="27A072FD" w14:textId="3BB526A9" w:rsidR="00616EBA" w:rsidRPr="006E26F6" w:rsidRDefault="00667129" w:rsidP="00B3196D">
      <w:pPr>
        <w:pStyle w:val="Body"/>
      </w:pPr>
      <w:r w:rsidRPr="006E26F6">
        <w:t xml:space="preserve">Chapters </w:t>
      </w:r>
      <w:r w:rsidR="002B635B" w:rsidRPr="006E26F6">
        <w:t>9</w:t>
      </w:r>
      <w:r w:rsidR="0014175D">
        <w:t xml:space="preserve"> to </w:t>
      </w:r>
      <w:r w:rsidR="000E3AAF" w:rsidRPr="006E26F6">
        <w:t xml:space="preserve">17 </w:t>
      </w:r>
      <w:r w:rsidR="00AE79B0" w:rsidRPr="006E26F6">
        <w:t>focus on</w:t>
      </w:r>
      <w:r w:rsidR="00EC1939" w:rsidRPr="006E26F6">
        <w:t xml:space="preserve"> </w:t>
      </w:r>
      <w:r w:rsidR="00396084" w:rsidRPr="006E26F6">
        <w:t xml:space="preserve">specific </w:t>
      </w:r>
      <w:r w:rsidR="00493FEE" w:rsidRPr="006E26F6">
        <w:t>domains that</w:t>
      </w:r>
      <w:r w:rsidR="003D028B" w:rsidRPr="006E26F6">
        <w:t xml:space="preserve"> </w:t>
      </w:r>
      <w:r w:rsidR="008E303B" w:rsidRPr="006E26F6">
        <w:t>contribute to and determine</w:t>
      </w:r>
      <w:r w:rsidR="00EB3ADA" w:rsidRPr="006E26F6">
        <w:t xml:space="preserve"> health status</w:t>
      </w:r>
      <w:r w:rsidR="006E4D9D" w:rsidRPr="006E26F6">
        <w:t>, including</w:t>
      </w:r>
      <w:r w:rsidR="002F2FF9" w:rsidRPr="006E26F6">
        <w:t xml:space="preserve"> </w:t>
      </w:r>
      <w:r w:rsidR="00393E59">
        <w:t xml:space="preserve">healthy living, </w:t>
      </w:r>
      <w:r w:rsidR="00E22CDC" w:rsidRPr="006E26F6">
        <w:t>maternal and infant health</w:t>
      </w:r>
      <w:r w:rsidR="008346A2" w:rsidRPr="006E26F6">
        <w:t>,</w:t>
      </w:r>
      <w:r w:rsidR="00F57675" w:rsidRPr="006E26F6">
        <w:t xml:space="preserve"> child health, </w:t>
      </w:r>
      <w:r w:rsidR="007266DF" w:rsidRPr="007266DF">
        <w:t xml:space="preserve">communicable disease, </w:t>
      </w:r>
      <w:r w:rsidR="00E6328C" w:rsidRPr="006E26F6">
        <w:t>mental health,</w:t>
      </w:r>
      <w:r w:rsidR="00371248" w:rsidRPr="006E26F6">
        <w:t xml:space="preserve"> </w:t>
      </w:r>
      <w:r w:rsidR="00DF04A0">
        <w:t xml:space="preserve">and </w:t>
      </w:r>
      <w:r w:rsidR="00CC4610" w:rsidRPr="006E26F6">
        <w:t>oral health</w:t>
      </w:r>
      <w:r w:rsidR="0060530A" w:rsidRPr="006E26F6">
        <w:t>.</w:t>
      </w:r>
      <w:r w:rsidR="003309F0" w:rsidRPr="006E26F6">
        <w:t xml:space="preserve"> </w:t>
      </w:r>
    </w:p>
    <w:p w14:paraId="64CCD780" w14:textId="2D73DCE3" w:rsidR="00E765E3" w:rsidRPr="00F4448D" w:rsidRDefault="00686222" w:rsidP="00E25A8F">
      <w:pPr>
        <w:pStyle w:val="Body"/>
      </w:pPr>
      <w:r>
        <w:t>T</w:t>
      </w:r>
      <w:r w:rsidR="00097DC8">
        <w:t xml:space="preserve">he report </w:t>
      </w:r>
      <w:r>
        <w:t xml:space="preserve">can be read sequentially or </w:t>
      </w:r>
      <w:r w:rsidR="0023066F">
        <w:t>chapters can be read</w:t>
      </w:r>
      <w:r w:rsidR="00097DC8">
        <w:t xml:space="preserve"> individual</w:t>
      </w:r>
      <w:r w:rsidR="0023066F">
        <w:t>ly</w:t>
      </w:r>
      <w:r w:rsidR="00097DC8">
        <w:t>.</w:t>
      </w:r>
      <w:r w:rsidR="00840E1D" w:rsidRPr="00840E1D">
        <w:t xml:space="preserve"> </w:t>
      </w:r>
      <w:r w:rsidR="00840E1D" w:rsidRPr="009F060C">
        <w:t xml:space="preserve">The articles in each </w:t>
      </w:r>
      <w:r w:rsidR="0023066F">
        <w:t xml:space="preserve">chapter </w:t>
      </w:r>
      <w:r w:rsidR="00840E1D" w:rsidRPr="009F060C">
        <w:t>are not an exhaustive examination of each topic</w:t>
      </w:r>
      <w:r w:rsidR="00DF04A0">
        <w:t xml:space="preserve">. Instead, </w:t>
      </w:r>
      <w:r>
        <w:t>t</w:t>
      </w:r>
      <w:r w:rsidR="00840E1D" w:rsidRPr="009F060C">
        <w:t xml:space="preserve">hey present an overview of each topic </w:t>
      </w:r>
      <w:r w:rsidR="0023066F">
        <w:t xml:space="preserve">and provide </w:t>
      </w:r>
      <w:r w:rsidR="00840E1D" w:rsidRPr="009F060C">
        <w:t xml:space="preserve">links to other reports </w:t>
      </w:r>
      <w:r w:rsidR="0023066F">
        <w:t xml:space="preserve">for </w:t>
      </w:r>
      <w:r w:rsidR="00840E1D" w:rsidRPr="009F060C">
        <w:t xml:space="preserve">readers </w:t>
      </w:r>
      <w:r w:rsidR="0023066F">
        <w:t xml:space="preserve">seeking </w:t>
      </w:r>
      <w:r w:rsidR="00840E1D" w:rsidRPr="009F060C">
        <w:t xml:space="preserve">more detailed </w:t>
      </w:r>
      <w:r w:rsidR="0023066F">
        <w:t>information</w:t>
      </w:r>
      <w:r w:rsidR="00840E1D" w:rsidRPr="009F060C">
        <w:t>.</w:t>
      </w:r>
    </w:p>
    <w:p w14:paraId="530B3559" w14:textId="7B277236" w:rsidR="00D24739" w:rsidRDefault="00760BC0" w:rsidP="006962B9">
      <w:pPr>
        <w:pStyle w:val="Heading2"/>
      </w:pPr>
      <w:r>
        <w:t>Scope</w:t>
      </w:r>
    </w:p>
    <w:p w14:paraId="263761D6" w14:textId="5DF6D910" w:rsidR="00FF2A30" w:rsidRDefault="00F62BC7" w:rsidP="00080458">
      <w:pPr>
        <w:pStyle w:val="Body"/>
      </w:pPr>
      <w:r w:rsidRPr="00F4448D">
        <w:t xml:space="preserve">Previous </w:t>
      </w:r>
      <w:r w:rsidRPr="00F4448D">
        <w:rPr>
          <w:i/>
        </w:rPr>
        <w:t xml:space="preserve">Your </w:t>
      </w:r>
      <w:r w:rsidR="0023066F">
        <w:rPr>
          <w:i/>
        </w:rPr>
        <w:t>h</w:t>
      </w:r>
      <w:r w:rsidRPr="00F4448D">
        <w:rPr>
          <w:i/>
        </w:rPr>
        <w:t>ealth</w:t>
      </w:r>
      <w:r w:rsidRPr="00F4448D">
        <w:t xml:space="preserve"> reports consolidate</w:t>
      </w:r>
      <w:r w:rsidR="0023066F">
        <w:t>d</w:t>
      </w:r>
      <w:r w:rsidRPr="00F4448D">
        <w:t xml:space="preserve"> and summarise</w:t>
      </w:r>
      <w:r w:rsidR="0023066F">
        <w:t>d</w:t>
      </w:r>
      <w:r w:rsidRPr="00F4448D">
        <w:t xml:space="preserve"> data over a two-year period</w:t>
      </w:r>
      <w:r w:rsidR="0023066F">
        <w:t>.</w:t>
      </w:r>
      <w:r w:rsidRPr="00F4448D">
        <w:t xml:space="preserve"> </w:t>
      </w:r>
      <w:r w:rsidR="0023066F">
        <w:t>T</w:t>
      </w:r>
      <w:r w:rsidRPr="00F4448D">
        <w:t xml:space="preserve">his report focuses on </w:t>
      </w:r>
      <w:r w:rsidR="00760BC0">
        <w:t>the</w:t>
      </w:r>
      <w:r w:rsidR="00DB79E1">
        <w:t xml:space="preserve"> single</w:t>
      </w:r>
      <w:r w:rsidR="00760BC0">
        <w:t xml:space="preserve"> calendar year of </w:t>
      </w:r>
      <w:r w:rsidRPr="00F4448D">
        <w:t>2019</w:t>
      </w:r>
      <w:r w:rsidR="009B2392">
        <w:t>, with some topics</w:t>
      </w:r>
      <w:r w:rsidR="00CF2285">
        <w:t xml:space="preserve">, such as the 2019-20 summer bushfires, </w:t>
      </w:r>
      <w:r w:rsidR="0023066F">
        <w:t xml:space="preserve">overlapping </w:t>
      </w:r>
      <w:r w:rsidR="00CF2285">
        <w:t xml:space="preserve">into the </w:t>
      </w:r>
      <w:r w:rsidR="0023066F">
        <w:t>first months of 2020</w:t>
      </w:r>
      <w:r w:rsidR="00CF2285">
        <w:t>.</w:t>
      </w:r>
    </w:p>
    <w:p w14:paraId="3AEF5E57" w14:textId="470A81BD" w:rsidR="00F62BC7" w:rsidRPr="00F4448D" w:rsidRDefault="0023066F" w:rsidP="00080458">
      <w:pPr>
        <w:pStyle w:val="Body"/>
        <w:rPr>
          <w:color w:val="365F91" w:themeColor="accent1" w:themeShade="BF"/>
        </w:rPr>
      </w:pPr>
      <w:r>
        <w:t>T</w:t>
      </w:r>
      <w:r w:rsidR="00F355EA">
        <w:t xml:space="preserve">he </w:t>
      </w:r>
      <w:r w:rsidR="00FF2A30">
        <w:t xml:space="preserve">next </w:t>
      </w:r>
      <w:r w:rsidR="00FA6985" w:rsidRPr="001A195C">
        <w:rPr>
          <w:i/>
          <w:iCs/>
        </w:rPr>
        <w:t xml:space="preserve">Your </w:t>
      </w:r>
      <w:r>
        <w:rPr>
          <w:i/>
          <w:iCs/>
        </w:rPr>
        <w:t>h</w:t>
      </w:r>
      <w:r w:rsidR="00FA6985" w:rsidRPr="001A195C">
        <w:rPr>
          <w:i/>
          <w:iCs/>
        </w:rPr>
        <w:t>ealth</w:t>
      </w:r>
      <w:r w:rsidR="00FA6985">
        <w:t xml:space="preserve"> report</w:t>
      </w:r>
      <w:r w:rsidR="00E77ACB">
        <w:t>, due in 2024,</w:t>
      </w:r>
      <w:r w:rsidR="00FA6985">
        <w:t xml:space="preserve"> </w:t>
      </w:r>
      <w:r>
        <w:t xml:space="preserve">will </w:t>
      </w:r>
      <w:r w:rsidR="00FA6985">
        <w:t xml:space="preserve">cover </w:t>
      </w:r>
      <w:r w:rsidR="00867B68">
        <w:t>the initial years of the COVID-19 pandemic</w:t>
      </w:r>
      <w:r w:rsidR="00E57EDD">
        <w:t>,</w:t>
      </w:r>
      <w:r w:rsidR="00867B68">
        <w:t xml:space="preserve"> a</w:t>
      </w:r>
      <w:r w:rsidR="00854C7D">
        <w:t xml:space="preserve">nd </w:t>
      </w:r>
      <w:r w:rsidR="00F02BCC" w:rsidRPr="00F4448D">
        <w:t>focus</w:t>
      </w:r>
      <w:r w:rsidR="00F02BCC">
        <w:t xml:space="preserve"> </w:t>
      </w:r>
      <w:r w:rsidR="00F62BC7" w:rsidRPr="00F4448D">
        <w:t>on the</w:t>
      </w:r>
      <w:r w:rsidR="003745C7">
        <w:t xml:space="preserve"> </w:t>
      </w:r>
      <w:r w:rsidR="00EF4F7E">
        <w:t>impacts of the pandemic</w:t>
      </w:r>
      <w:r w:rsidR="00B64058">
        <w:t xml:space="preserve"> on the </w:t>
      </w:r>
      <w:r w:rsidR="001A195C">
        <w:t xml:space="preserve">Victorian </w:t>
      </w:r>
      <w:r w:rsidR="00B64058">
        <w:t>community.</w:t>
      </w:r>
      <w:r w:rsidR="00F62BC7" w:rsidRPr="00F4448D">
        <w:t xml:space="preserve"> </w:t>
      </w:r>
    </w:p>
    <w:p w14:paraId="142734B2" w14:textId="77777777" w:rsidR="0004731B" w:rsidRDefault="0004731B">
      <w:pPr>
        <w:spacing w:after="0" w:line="240" w:lineRule="auto"/>
        <w:rPr>
          <w:rFonts w:eastAsia="MS Mincho"/>
          <w:b/>
          <w:bCs/>
          <w:color w:val="53565A"/>
          <w:sz w:val="24"/>
          <w:szCs w:val="22"/>
        </w:rPr>
      </w:pPr>
      <w:r>
        <w:br w:type="page"/>
      </w:r>
    </w:p>
    <w:p w14:paraId="3697D3E8" w14:textId="2DE3B86F" w:rsidR="005D1E53" w:rsidRDefault="0010475A" w:rsidP="006962B9">
      <w:pPr>
        <w:pStyle w:val="Heading2"/>
      </w:pPr>
      <w:r>
        <w:lastRenderedPageBreak/>
        <w:t>Data c</w:t>
      </w:r>
      <w:r w:rsidR="005D1E53">
        <w:t>onsiderations</w:t>
      </w:r>
    </w:p>
    <w:p w14:paraId="56DB5A51" w14:textId="75B208A2" w:rsidR="00A4499C" w:rsidRPr="00F4448D" w:rsidRDefault="00A4499C" w:rsidP="001B6473">
      <w:pPr>
        <w:pStyle w:val="Body"/>
        <w:rPr>
          <w:color w:val="365F91" w:themeColor="accent1" w:themeShade="BF"/>
        </w:rPr>
      </w:pPr>
      <w:r w:rsidRPr="00F4448D">
        <w:t xml:space="preserve">The data </w:t>
      </w:r>
      <w:r w:rsidR="0023066F">
        <w:t xml:space="preserve">in </w:t>
      </w:r>
      <w:r w:rsidR="00F50D3B">
        <w:rPr>
          <w:i/>
          <w:iCs/>
        </w:rPr>
        <w:t>Your health</w:t>
      </w:r>
      <w:r w:rsidR="00E36C69" w:rsidRPr="00F4448D">
        <w:t xml:space="preserve"> </w:t>
      </w:r>
      <w:r w:rsidR="0023066F">
        <w:t xml:space="preserve">was </w:t>
      </w:r>
      <w:r w:rsidRPr="00F4448D">
        <w:t>obtained from a variety of sources</w:t>
      </w:r>
      <w:r w:rsidR="0023066F">
        <w:t>,</w:t>
      </w:r>
      <w:r w:rsidRPr="00F4448D">
        <w:t xml:space="preserve"> including </w:t>
      </w:r>
      <w:r w:rsidR="00E36C69" w:rsidRPr="00F4448D">
        <w:t>Victorian and national</w:t>
      </w:r>
      <w:r w:rsidRPr="00F4448D">
        <w:t xml:space="preserve"> databases</w:t>
      </w:r>
      <w:r w:rsidR="00E36C69" w:rsidRPr="00F4448D">
        <w:t xml:space="preserve"> and published sources</w:t>
      </w:r>
      <w:r w:rsidR="00152AD4" w:rsidRPr="00F4448D">
        <w:t>.</w:t>
      </w:r>
      <w:r w:rsidR="006C3DB0" w:rsidRPr="00F4448D">
        <w:t xml:space="preserve"> Data</w:t>
      </w:r>
      <w:r w:rsidRPr="00F4448D">
        <w:t xml:space="preserve"> source</w:t>
      </w:r>
      <w:r w:rsidR="006C3DB0" w:rsidRPr="00F4448D">
        <w:t>s</w:t>
      </w:r>
      <w:r w:rsidR="00C355A6" w:rsidRPr="00F4448D">
        <w:t xml:space="preserve"> and references</w:t>
      </w:r>
      <w:r w:rsidRPr="00F4448D">
        <w:t xml:space="preserve"> </w:t>
      </w:r>
      <w:r w:rsidR="0023066F">
        <w:t xml:space="preserve">are </w:t>
      </w:r>
      <w:r w:rsidRPr="00F4448D">
        <w:t>cite</w:t>
      </w:r>
      <w:r w:rsidR="006C3DB0" w:rsidRPr="00F4448D">
        <w:t>d</w:t>
      </w:r>
      <w:r w:rsidR="00C355A6" w:rsidRPr="00F4448D">
        <w:t xml:space="preserve"> at the </w:t>
      </w:r>
      <w:r w:rsidRPr="00F4448D">
        <w:t>end of each chapter</w:t>
      </w:r>
      <w:r w:rsidR="00C355A6" w:rsidRPr="00F4448D">
        <w:t>.</w:t>
      </w:r>
    </w:p>
    <w:p w14:paraId="6DE4DDE7" w14:textId="1CCB3385" w:rsidR="00A134E8" w:rsidRPr="00F4448D" w:rsidRDefault="0023066F" w:rsidP="001B6473">
      <w:pPr>
        <w:pStyle w:val="Body"/>
      </w:pPr>
      <w:r>
        <w:t>T</w:t>
      </w:r>
      <w:r w:rsidR="001253BB" w:rsidRPr="00F4448D">
        <w:t xml:space="preserve">he </w:t>
      </w:r>
      <w:r>
        <w:t xml:space="preserve">cited </w:t>
      </w:r>
      <w:r w:rsidR="001253BB" w:rsidRPr="00F4448D">
        <w:t>data is the most recent available at the time of data extraction (up to December 201</w:t>
      </w:r>
      <w:r w:rsidR="0091602E" w:rsidRPr="00F4448D">
        <w:t>9</w:t>
      </w:r>
      <w:r w:rsidR="001253BB" w:rsidRPr="00F4448D">
        <w:t xml:space="preserve">). </w:t>
      </w:r>
      <w:r>
        <w:t xml:space="preserve">If </w:t>
      </w:r>
      <w:r w:rsidR="001253BB" w:rsidRPr="00F4448D">
        <w:t xml:space="preserve">the required data for the reporting period </w:t>
      </w:r>
      <w:r>
        <w:t xml:space="preserve">was either </w:t>
      </w:r>
      <w:r w:rsidR="001253BB" w:rsidRPr="00F4448D">
        <w:t>not available, not reliable</w:t>
      </w:r>
      <w:r>
        <w:t>,</w:t>
      </w:r>
      <w:r w:rsidR="001253BB" w:rsidRPr="00F4448D">
        <w:t xml:space="preserve"> or not collected, the most recent and reliable information available </w:t>
      </w:r>
      <w:r>
        <w:t>was used</w:t>
      </w:r>
      <w:r w:rsidR="001253BB" w:rsidRPr="00F4448D">
        <w:t xml:space="preserve">. </w:t>
      </w:r>
      <w:r>
        <w:t xml:space="preserve">When </w:t>
      </w:r>
      <w:r w:rsidR="001253BB" w:rsidRPr="00F4448D">
        <w:t xml:space="preserve">the </w:t>
      </w:r>
      <w:r>
        <w:t>data</w:t>
      </w:r>
      <w:r w:rsidRPr="00F4448D">
        <w:t xml:space="preserve"> </w:t>
      </w:r>
      <w:r w:rsidR="001253BB" w:rsidRPr="00F4448D">
        <w:t>provided f</w:t>
      </w:r>
      <w:r>
        <w:t xml:space="preserve">alls </w:t>
      </w:r>
      <w:r w:rsidR="001253BB" w:rsidRPr="00F4448D">
        <w:t>outside the reporting period</w:t>
      </w:r>
      <w:r w:rsidR="00543212" w:rsidRPr="00F4448D">
        <w:t xml:space="preserve"> (1 January 2019 until 31 December 2</w:t>
      </w:r>
      <w:r w:rsidR="0033075D" w:rsidRPr="00F4448D">
        <w:t>019</w:t>
      </w:r>
      <w:r w:rsidR="004C050D">
        <w:t>)</w:t>
      </w:r>
      <w:r>
        <w:t xml:space="preserve"> it </w:t>
      </w:r>
      <w:r w:rsidR="001253BB" w:rsidRPr="00F4448D">
        <w:t>is noted</w:t>
      </w:r>
      <w:r w:rsidR="0033075D" w:rsidRPr="00F4448D">
        <w:t>.</w:t>
      </w:r>
    </w:p>
    <w:p w14:paraId="3992663C" w14:textId="6AEF691B" w:rsidR="00607F01" w:rsidRDefault="0033075D" w:rsidP="001B6473">
      <w:pPr>
        <w:pStyle w:val="Body"/>
      </w:pPr>
      <w:r w:rsidRPr="00F4448D">
        <w:t>Most of the information provided is specific to the Victorian resident population</w:t>
      </w:r>
      <w:r w:rsidR="0023066F">
        <w:t>. H</w:t>
      </w:r>
      <w:r w:rsidRPr="00F4448D">
        <w:t xml:space="preserve">owever, some sections include information relevant to other jurisdictions and/or all </w:t>
      </w:r>
      <w:r w:rsidR="00763663">
        <w:t xml:space="preserve">of </w:t>
      </w:r>
      <w:r w:rsidRPr="00F4448D">
        <w:t>Australia</w:t>
      </w:r>
      <w:r w:rsidR="00F50D3B">
        <w:t xml:space="preserve">. When information from other jurisdictions is used it is </w:t>
      </w:r>
      <w:r w:rsidRPr="00F4448D">
        <w:t>noted.</w:t>
      </w:r>
    </w:p>
    <w:p w14:paraId="53D1AF38" w14:textId="2678FBB1" w:rsidR="00C6554B" w:rsidRDefault="0010475A" w:rsidP="001B6473">
      <w:pPr>
        <w:pStyle w:val="Body"/>
      </w:pPr>
      <w:r>
        <w:t xml:space="preserve">Common </w:t>
      </w:r>
      <w:r w:rsidR="0080421F">
        <w:t xml:space="preserve">information and data sources </w:t>
      </w:r>
      <w:r w:rsidR="004D4418">
        <w:t xml:space="preserve">referred to in </w:t>
      </w:r>
      <w:r w:rsidR="004D4418" w:rsidRPr="00246F7F">
        <w:rPr>
          <w:i/>
          <w:iCs/>
        </w:rPr>
        <w:t xml:space="preserve">Your </w:t>
      </w:r>
      <w:r w:rsidR="00F50D3B">
        <w:rPr>
          <w:i/>
          <w:iCs/>
        </w:rPr>
        <w:t>h</w:t>
      </w:r>
      <w:r w:rsidR="004D4418" w:rsidRPr="00246F7F">
        <w:rPr>
          <w:i/>
          <w:iCs/>
        </w:rPr>
        <w:t xml:space="preserve">ealth </w:t>
      </w:r>
      <w:r w:rsidR="004D4418">
        <w:t xml:space="preserve">include: </w:t>
      </w:r>
    </w:p>
    <w:p w14:paraId="6533A84C" w14:textId="0A5C8F98" w:rsidR="00AF7C18" w:rsidRDefault="00F50D3B" w:rsidP="00A7481C">
      <w:pPr>
        <w:pStyle w:val="Bullet1"/>
      </w:pPr>
      <w:r>
        <w:t xml:space="preserve">The </w:t>
      </w:r>
      <w:r w:rsidR="00AF7C18">
        <w:t>Australian Bureau of Statistics (ABS)</w:t>
      </w:r>
      <w:r>
        <w:t xml:space="preserve"> –</w:t>
      </w:r>
      <w:r w:rsidR="00CB2981">
        <w:t xml:space="preserve"> </w:t>
      </w:r>
      <w:r w:rsidR="000519C0">
        <w:t>Australia’s n</w:t>
      </w:r>
      <w:r w:rsidR="000519C0" w:rsidRPr="00CB2981">
        <w:t>ational statistical agency providing official statistics on a wide range of economic, social, population</w:t>
      </w:r>
      <w:r>
        <w:t>,</w:t>
      </w:r>
      <w:r w:rsidR="000519C0" w:rsidRPr="00CB2981">
        <w:t xml:space="preserve"> and environmental matters.</w:t>
      </w:r>
    </w:p>
    <w:p w14:paraId="2A72F01F" w14:textId="63B0FF7B" w:rsidR="00AF7C18" w:rsidRDefault="00F50D3B" w:rsidP="00A7481C">
      <w:pPr>
        <w:pStyle w:val="Bullet1"/>
      </w:pPr>
      <w:r>
        <w:t xml:space="preserve">The </w:t>
      </w:r>
      <w:r w:rsidR="00AF7C18">
        <w:t>Australian Institute of Health &amp; Welfare (AIHW)</w:t>
      </w:r>
      <w:r>
        <w:t xml:space="preserve"> –</w:t>
      </w:r>
      <w:r w:rsidR="0009595E">
        <w:t xml:space="preserve"> </w:t>
      </w:r>
      <w:r>
        <w:t>a</w:t>
      </w:r>
      <w:r w:rsidR="00513D90" w:rsidRPr="00513D90">
        <w:t xml:space="preserve">n independent statutory Australian Government agency </w:t>
      </w:r>
      <w:r w:rsidR="00513D90">
        <w:t>that</w:t>
      </w:r>
      <w:r w:rsidR="00B34DFF">
        <w:t xml:space="preserve"> </w:t>
      </w:r>
      <w:r w:rsidR="00B34DFF" w:rsidRPr="00B34DFF">
        <w:t>provide</w:t>
      </w:r>
      <w:r w:rsidR="00104AEB">
        <w:t>s</w:t>
      </w:r>
      <w:r w:rsidR="00B34DFF" w:rsidRPr="00B34DFF">
        <w:t xml:space="preserve"> meaningful information</w:t>
      </w:r>
      <w:r w:rsidR="00982D76">
        <w:t>, reports</w:t>
      </w:r>
      <w:r w:rsidR="00B34DFF" w:rsidRPr="00B34DFF">
        <w:t xml:space="preserve"> statistics</w:t>
      </w:r>
      <w:r w:rsidR="00CB1561">
        <w:t xml:space="preserve"> that draw on national major health</w:t>
      </w:r>
      <w:r>
        <w:t>,</w:t>
      </w:r>
      <w:r w:rsidR="00CB1561">
        <w:t xml:space="preserve"> and welfare </w:t>
      </w:r>
      <w:r w:rsidR="0009595E">
        <w:t xml:space="preserve">datasets. </w:t>
      </w:r>
    </w:p>
    <w:p w14:paraId="4C77B575" w14:textId="4866A2CA" w:rsidR="00056944" w:rsidRDefault="00F50D3B" w:rsidP="00A7481C">
      <w:pPr>
        <w:pStyle w:val="Bullet1"/>
      </w:pPr>
      <w:r>
        <w:t xml:space="preserve">Publicly-released Department of Health reports on Victorian </w:t>
      </w:r>
      <w:r w:rsidRPr="00104AEB">
        <w:rPr>
          <w:rFonts w:hint="eastAsia"/>
        </w:rPr>
        <w:t>hospitals and health services, primary and community health, mental health, alcohol and drug services, ageing and aged care</w:t>
      </w:r>
      <w:r>
        <w:t>,</w:t>
      </w:r>
      <w:r w:rsidRPr="00104AEB">
        <w:rPr>
          <w:rFonts w:hint="eastAsia"/>
        </w:rPr>
        <w:t xml:space="preserve"> and health prevention and </w:t>
      </w:r>
      <w:r w:rsidRPr="000F4C5C">
        <w:t>promotion</w:t>
      </w:r>
      <w:r>
        <w:t xml:space="preserve">. </w:t>
      </w:r>
    </w:p>
    <w:p w14:paraId="380C556F" w14:textId="30D2B0A0" w:rsidR="00D85D94" w:rsidRDefault="00D85D94" w:rsidP="00A7481C">
      <w:pPr>
        <w:pStyle w:val="Bullet1"/>
      </w:pPr>
      <w:r>
        <w:t xml:space="preserve">Publications </w:t>
      </w:r>
      <w:r w:rsidR="00006AF6">
        <w:t xml:space="preserve">and evidence </w:t>
      </w:r>
      <w:r>
        <w:t>from</w:t>
      </w:r>
      <w:r w:rsidR="00006AF6">
        <w:t xml:space="preserve"> </w:t>
      </w:r>
      <w:r>
        <w:t>agencies, organisations</w:t>
      </w:r>
      <w:r w:rsidR="00006AF6">
        <w:t>,</w:t>
      </w:r>
      <w:r>
        <w:t xml:space="preserve"> institutions</w:t>
      </w:r>
      <w:r w:rsidR="00006AF6">
        <w:t xml:space="preserve"> and consultative councils (such as </w:t>
      </w:r>
      <w:r w:rsidR="00F50D3B">
        <w:t xml:space="preserve">the </w:t>
      </w:r>
      <w:r w:rsidR="00006AF6">
        <w:t xml:space="preserve">Cancer Council Victoria and </w:t>
      </w:r>
      <w:r w:rsidR="00F50D3B">
        <w:t xml:space="preserve">the </w:t>
      </w:r>
      <w:r w:rsidR="00006AF6" w:rsidRPr="00E20D32">
        <w:rPr>
          <w:rFonts w:cs="Arial"/>
          <w:color w:val="2A2736"/>
          <w:szCs w:val="21"/>
        </w:rPr>
        <w:t>Environment Protection Authority</w:t>
      </w:r>
      <w:r w:rsidR="00006AF6">
        <w:rPr>
          <w:rFonts w:cs="Arial"/>
          <w:color w:val="2A2736"/>
          <w:szCs w:val="21"/>
        </w:rPr>
        <w:t xml:space="preserve"> Victoria)</w:t>
      </w:r>
      <w:r w:rsidR="00F50D3B">
        <w:rPr>
          <w:rFonts w:cs="Arial"/>
          <w:color w:val="2A2736"/>
          <w:szCs w:val="21"/>
        </w:rPr>
        <w:t>.</w:t>
      </w:r>
    </w:p>
    <w:p w14:paraId="48DD3DD9" w14:textId="4424F393" w:rsidR="00C6554B" w:rsidRDefault="00F50D3B" w:rsidP="00A7481C">
      <w:pPr>
        <w:pStyle w:val="Bullet1"/>
      </w:pPr>
      <w:r>
        <w:t xml:space="preserve">The </w:t>
      </w:r>
      <w:r w:rsidR="001D3365">
        <w:t>Victorian Admitted Episodes Dataset (VAED)</w:t>
      </w:r>
      <w:r>
        <w:t xml:space="preserve"> – a</w:t>
      </w:r>
      <w:r w:rsidR="00DF13A1">
        <w:t xml:space="preserve"> state-wide dataset that</w:t>
      </w:r>
      <w:r w:rsidR="00F77FD9">
        <w:t xml:space="preserve"> collects </w:t>
      </w:r>
      <w:r w:rsidR="00116491">
        <w:t>h</w:t>
      </w:r>
      <w:r w:rsidR="00116491" w:rsidRPr="00116491">
        <w:t xml:space="preserve">ospital admissions data </w:t>
      </w:r>
      <w:r w:rsidR="00F77FD9">
        <w:t>from all</w:t>
      </w:r>
      <w:r w:rsidR="001D3365">
        <w:t xml:space="preserve"> Victorian hospitals (public and private).</w:t>
      </w:r>
    </w:p>
    <w:p w14:paraId="0D2EA0D1" w14:textId="563D727F" w:rsidR="0093457D" w:rsidRDefault="00F50D3B" w:rsidP="00A7481C">
      <w:pPr>
        <w:pStyle w:val="Bullet1"/>
      </w:pPr>
      <w:r>
        <w:t xml:space="preserve">The </w:t>
      </w:r>
      <w:r w:rsidR="0093457D" w:rsidRPr="0093457D">
        <w:t>Victorian Population Health Survey 2019</w:t>
      </w:r>
      <w:r>
        <w:t xml:space="preserve"> – a</w:t>
      </w:r>
      <w:r w:rsidR="00303C08">
        <w:t xml:space="preserve">n </w:t>
      </w:r>
      <w:r w:rsidR="00F97B0C">
        <w:t>annual survey that collects information</w:t>
      </w:r>
      <w:r w:rsidR="00F97B0C" w:rsidRPr="00F97B0C">
        <w:t xml:space="preserve"> on the health and wellbeing of Victorian adults</w:t>
      </w:r>
      <w:r w:rsidR="00D65D76">
        <w:t>.</w:t>
      </w:r>
    </w:p>
    <w:p w14:paraId="434E64DE" w14:textId="77777777" w:rsidR="00C254B9" w:rsidRDefault="00C254B9" w:rsidP="001B6473">
      <w:pPr>
        <w:pStyle w:val="Body"/>
      </w:pPr>
    </w:p>
    <w:p w14:paraId="7EA76517" w14:textId="08230A4A" w:rsidR="00DE7EC9" w:rsidRDefault="00D115EB" w:rsidP="001B6473">
      <w:pPr>
        <w:pStyle w:val="Body"/>
      </w:pPr>
      <w:r>
        <w:t>O</w:t>
      </w:r>
      <w:r w:rsidR="00607F01">
        <w:t xml:space="preserve">n 1 February 2021, the Department of Health and Human Services </w:t>
      </w:r>
      <w:r w:rsidR="00DD6948">
        <w:t>(DHHS)</w:t>
      </w:r>
      <w:r w:rsidR="00607F01">
        <w:t xml:space="preserve"> separated into two new departments: the Department of Health </w:t>
      </w:r>
      <w:r w:rsidR="00DD6948">
        <w:t xml:space="preserve">(DH) </w:t>
      </w:r>
      <w:r w:rsidR="00607F01">
        <w:t>and the Department of Families, Fairness and Housing</w:t>
      </w:r>
      <w:r w:rsidR="00DD6948">
        <w:t xml:space="preserve"> (DFFH)</w:t>
      </w:r>
      <w:r w:rsidR="00607F01">
        <w:t xml:space="preserve">. </w:t>
      </w:r>
      <w:r w:rsidR="00F50D3B">
        <w:t xml:space="preserve">DH </w:t>
      </w:r>
      <w:r w:rsidR="00607F01">
        <w:t xml:space="preserve">is now responsible for </w:t>
      </w:r>
      <w:r w:rsidR="004117B0">
        <w:t>preparing</w:t>
      </w:r>
      <w:r w:rsidR="00607F01">
        <w:t xml:space="preserve"> </w:t>
      </w:r>
      <w:r w:rsidR="00D8424B">
        <w:t xml:space="preserve">and publishing </w:t>
      </w:r>
      <w:r w:rsidR="00F50D3B">
        <w:rPr>
          <w:i/>
          <w:iCs/>
        </w:rPr>
        <w:t xml:space="preserve">Your </w:t>
      </w:r>
      <w:r w:rsidR="00F50D3B" w:rsidRPr="00F50D3B">
        <w:rPr>
          <w:i/>
          <w:iCs/>
        </w:rPr>
        <w:t>health</w:t>
      </w:r>
      <w:r w:rsidR="00F50D3B">
        <w:t xml:space="preserve">. </w:t>
      </w:r>
      <w:r w:rsidR="00EA2AD7">
        <w:t>Throughout</w:t>
      </w:r>
      <w:r w:rsidR="002B3326">
        <w:t xml:space="preserve"> the </w:t>
      </w:r>
      <w:r w:rsidR="00EA2AD7">
        <w:t>report</w:t>
      </w:r>
      <w:r w:rsidR="00567EF8">
        <w:t>,</w:t>
      </w:r>
      <w:r w:rsidR="002B3326">
        <w:t xml:space="preserve"> </w:t>
      </w:r>
      <w:r w:rsidR="007A3BBC">
        <w:t xml:space="preserve">there are </w:t>
      </w:r>
      <w:r w:rsidR="00631189">
        <w:t>references to</w:t>
      </w:r>
      <w:r w:rsidR="00417FC0">
        <w:t xml:space="preserve"> publications</w:t>
      </w:r>
      <w:r w:rsidR="0019124A">
        <w:t xml:space="preserve"> </w:t>
      </w:r>
      <w:r w:rsidR="005A0D18">
        <w:t>and data</w:t>
      </w:r>
      <w:r w:rsidR="00AA649B">
        <w:t xml:space="preserve"> </w:t>
      </w:r>
      <w:r w:rsidR="00F50D3B">
        <w:t xml:space="preserve">produced </w:t>
      </w:r>
      <w:r>
        <w:t>under the</w:t>
      </w:r>
      <w:r w:rsidR="0019124A">
        <w:t xml:space="preserve"> </w:t>
      </w:r>
      <w:r w:rsidR="00253952">
        <w:t>previous department</w:t>
      </w:r>
      <w:r>
        <w:t>’s</w:t>
      </w:r>
      <w:r w:rsidR="00253952">
        <w:t xml:space="preserve"> name, DHHS.</w:t>
      </w:r>
      <w:r w:rsidR="00AA649B">
        <w:t xml:space="preserve"> </w:t>
      </w:r>
    </w:p>
    <w:p w14:paraId="72CCFAD9" w14:textId="77777777" w:rsidR="00CA57FB" w:rsidRDefault="00CA57FB">
      <w:pPr>
        <w:spacing w:after="0" w:line="240" w:lineRule="auto"/>
      </w:pPr>
    </w:p>
    <w:p w14:paraId="0F872EC3" w14:textId="7A3DAC41" w:rsidR="00DE7EC9" w:rsidRDefault="00DE7EC9">
      <w:pPr>
        <w:spacing w:after="0" w:line="240" w:lineRule="auto"/>
        <w:rPr>
          <w:rFonts w:eastAsia="Times"/>
        </w:rPr>
      </w:pPr>
      <w:r>
        <w:br w:type="page"/>
      </w:r>
    </w:p>
    <w:p w14:paraId="67BDE04C" w14:textId="3BF93C5B" w:rsidR="009D6347" w:rsidRPr="00A71CE4" w:rsidRDefault="009D6347" w:rsidP="009D6347">
      <w:pPr>
        <w:pStyle w:val="Heading1"/>
        <w:spacing w:before="0"/>
      </w:pPr>
      <w:bookmarkStart w:id="8" w:name="_Toc115263318"/>
      <w:bookmarkStart w:id="9" w:name="_Toc116981323"/>
      <w:bookmarkStart w:id="10" w:name="_Toc128138641"/>
      <w:r>
        <w:lastRenderedPageBreak/>
        <w:t xml:space="preserve">Chapter </w:t>
      </w:r>
      <w:r w:rsidR="00A02CAB">
        <w:t>2</w:t>
      </w:r>
      <w:r>
        <w:t xml:space="preserve"> – Climate change and its impacts on health</w:t>
      </w:r>
      <w:bookmarkEnd w:id="8"/>
      <w:bookmarkEnd w:id="9"/>
      <w:bookmarkEnd w:id="10"/>
      <w:r>
        <w:t xml:space="preserve"> </w:t>
      </w:r>
    </w:p>
    <w:p w14:paraId="531F2341" w14:textId="77777777" w:rsidR="00F50D3B" w:rsidRDefault="00F50D3B" w:rsidP="009D6347">
      <w:pPr>
        <w:pStyle w:val="Body"/>
      </w:pPr>
      <w:r>
        <w:t xml:space="preserve">Climate change poses an immediate and serious threat to public health in Victoria. </w:t>
      </w:r>
      <w:r w:rsidR="009D6347">
        <w:t xml:space="preserve">The </w:t>
      </w:r>
      <w:r>
        <w:t xml:space="preserve">size and scope of that threat was demonstrated by the </w:t>
      </w:r>
      <w:r w:rsidR="009D6347">
        <w:t>Eastern Victorian bushfires of 2019-20</w:t>
      </w:r>
      <w:r>
        <w:t>.</w:t>
      </w:r>
    </w:p>
    <w:p w14:paraId="51987B02" w14:textId="624D5CCB" w:rsidR="004B312A" w:rsidRDefault="009D6347" w:rsidP="009D6347">
      <w:pPr>
        <w:pStyle w:val="Body"/>
      </w:pPr>
      <w:r>
        <w:t>Victoria’s climate is already changing and impact</w:t>
      </w:r>
      <w:r w:rsidR="00F50D3B">
        <w:t>ing</w:t>
      </w:r>
      <w:r>
        <w:t xml:space="preserve"> the health and wellbeing of </w:t>
      </w:r>
      <w:r w:rsidR="00F50D3B">
        <w:t xml:space="preserve">many </w:t>
      </w:r>
      <w:r>
        <w:t>Victorians</w:t>
      </w:r>
      <w:r w:rsidR="00F50D3B">
        <w:t>.</w:t>
      </w:r>
      <w:r w:rsidR="00A0362F">
        <w:t xml:space="preserve"> </w:t>
      </w:r>
      <w:r>
        <w:t xml:space="preserve">With current climate trends </w:t>
      </w:r>
      <w:r w:rsidR="00F50D3B">
        <w:t xml:space="preserve">projected </w:t>
      </w:r>
      <w:r>
        <w:t xml:space="preserve">to continue, </w:t>
      </w:r>
      <w:r w:rsidR="004B312A">
        <w:t xml:space="preserve">there is an urgent </w:t>
      </w:r>
      <w:r w:rsidR="002E47FD">
        <w:t>need to act to</w:t>
      </w:r>
      <w:r w:rsidRPr="00A20090">
        <w:t xml:space="preserve"> protect the health, safety, and wellbeing of Victorians</w:t>
      </w:r>
      <w:r w:rsidR="004B312A">
        <w:t xml:space="preserve"> </w:t>
      </w:r>
      <w:r>
        <w:t xml:space="preserve">(Department of Health and Human Services 2019). </w:t>
      </w:r>
    </w:p>
    <w:p w14:paraId="7A52BC2A" w14:textId="4CEDBFAC" w:rsidR="009D6347" w:rsidRPr="0015189A" w:rsidRDefault="004B312A" w:rsidP="009D6347">
      <w:pPr>
        <w:pStyle w:val="Body"/>
        <w:rPr>
          <w:rFonts w:ascii="VIC-Regular" w:eastAsia="Times New Roman" w:hAnsi="VIC-Regular"/>
          <w:color w:val="2A2736"/>
        </w:rPr>
      </w:pPr>
      <w:r>
        <w:t xml:space="preserve">That is why the department </w:t>
      </w:r>
      <w:r w:rsidR="009D6347" w:rsidRPr="004C2141">
        <w:t xml:space="preserve">is committed to </w:t>
      </w:r>
      <w:r w:rsidR="00122109">
        <w:t xml:space="preserve">tackling climate change and its impacts on health. </w:t>
      </w:r>
    </w:p>
    <w:p w14:paraId="5309A16D" w14:textId="596E0CAD" w:rsidR="009D6347" w:rsidRDefault="009D6347" w:rsidP="009D6347">
      <w:pPr>
        <w:pStyle w:val="Heading2"/>
      </w:pPr>
      <w:bookmarkStart w:id="11" w:name="_Toc115263319"/>
      <w:bookmarkStart w:id="12" w:name="_Toc116981324"/>
      <w:r>
        <w:t>Victoria’s climate is changing</w:t>
      </w:r>
      <w:bookmarkEnd w:id="11"/>
      <w:bookmarkEnd w:id="12"/>
    </w:p>
    <w:p w14:paraId="77AF7446" w14:textId="77777777" w:rsidR="003E0225" w:rsidRPr="006C01BC" w:rsidRDefault="003E0225" w:rsidP="003E0225">
      <w:pPr>
        <w:pStyle w:val="Body"/>
      </w:pPr>
      <w:r w:rsidRPr="006C01BC">
        <w:t>Increasing concentrations of greenhouse gases in the Earth’s atmosphere are warming the planet at an unprecedented rate. This warming can only be explained by human activity (I</w:t>
      </w:r>
      <w:r>
        <w:t>ntergovernmental Panel on Climate Change, as cited in Department of Environment, Land, Water and Planning, 2019</w:t>
      </w:r>
      <w:r w:rsidRPr="006C01BC">
        <w:t>).</w:t>
      </w:r>
    </w:p>
    <w:p w14:paraId="36CD99FB" w14:textId="3466407E" w:rsidR="009D6347" w:rsidRDefault="009D6347" w:rsidP="009D6347">
      <w:pPr>
        <w:pStyle w:val="Body"/>
      </w:pPr>
      <w:r w:rsidRPr="00FB3ADA">
        <w:rPr>
          <w:i/>
        </w:rPr>
        <w:t>Victoria’s Climate Science Report 2019</w:t>
      </w:r>
      <w:r>
        <w:t xml:space="preserve"> presents striking evidence that </w:t>
      </w:r>
      <w:r w:rsidRPr="001A24F2">
        <w:t>Victoria</w:t>
      </w:r>
      <w:r>
        <w:t xml:space="preserve">’s climate has changed in recent decades </w:t>
      </w:r>
      <w:r w:rsidR="00D64A69">
        <w:t>–</w:t>
      </w:r>
      <w:r w:rsidRPr="001A24F2">
        <w:t xml:space="preserve"> becom</w:t>
      </w:r>
      <w:r>
        <w:t>ing</w:t>
      </w:r>
      <w:r w:rsidRPr="001A24F2">
        <w:t xml:space="preserve"> warmer and drier</w:t>
      </w:r>
      <w:r w:rsidR="009933CB">
        <w:t>.</w:t>
      </w:r>
    </w:p>
    <w:p w14:paraId="0DBEBEA8" w14:textId="77777777" w:rsidR="00404661" w:rsidRDefault="00404661" w:rsidP="00404661">
      <w:pPr>
        <w:pStyle w:val="Bullet1"/>
        <w:numPr>
          <w:ilvl w:val="0"/>
          <w:numId w:val="0"/>
        </w:numPr>
        <w:spacing w:after="120"/>
      </w:pPr>
      <w:r>
        <w:t>Anyone under the age of 23 who has always lived in Victoria has never experienced a year of below-average temperature’ (DELWP, 2019).</w:t>
      </w:r>
    </w:p>
    <w:p w14:paraId="08990BE0" w14:textId="0E986033" w:rsidR="009D6347" w:rsidRDefault="009D6347" w:rsidP="009D6347">
      <w:pPr>
        <w:pStyle w:val="Bullet1"/>
      </w:pPr>
      <w:r>
        <w:t>In 2019, t</w:t>
      </w:r>
      <w:r w:rsidRPr="000E02EF">
        <w:t xml:space="preserve">he average temperature across </w:t>
      </w:r>
      <w:r w:rsidR="00D64A69">
        <w:t xml:space="preserve">Victoria </w:t>
      </w:r>
      <w:r w:rsidRPr="000E02EF">
        <w:t>ha</w:t>
      </w:r>
      <w:r>
        <w:t>d</w:t>
      </w:r>
      <w:r w:rsidRPr="000E02EF">
        <w:t xml:space="preserve"> warmed by just over 1.0°C since official Bureau of Meteorology records began in 1910</w:t>
      </w:r>
      <w:r w:rsidR="009933CB">
        <w:t xml:space="preserve"> </w:t>
      </w:r>
      <w:r w:rsidR="009933CB" w:rsidRPr="001A24F2">
        <w:t>(</w:t>
      </w:r>
      <w:r w:rsidR="00D64A69">
        <w:t>DELWP,</w:t>
      </w:r>
      <w:r w:rsidR="009933CB" w:rsidRPr="001A24F2">
        <w:t xml:space="preserve"> 201</w:t>
      </w:r>
      <w:r w:rsidR="009933CB">
        <w:t>9</w:t>
      </w:r>
      <w:r w:rsidR="009933CB" w:rsidRPr="001A24F2">
        <w:t>)</w:t>
      </w:r>
      <w:r w:rsidRPr="000E02EF">
        <w:t xml:space="preserve">. </w:t>
      </w:r>
    </w:p>
    <w:p w14:paraId="4DCC97CE" w14:textId="0009E451" w:rsidR="009D6347" w:rsidRDefault="009D6347" w:rsidP="009D6347">
      <w:pPr>
        <w:pStyle w:val="Bullet1"/>
      </w:pPr>
      <w:r>
        <w:t>Victoria has experienced an overall increase in the frequency of unusually hot days.</w:t>
      </w:r>
    </w:p>
    <w:p w14:paraId="3CE88763" w14:textId="36E7B6F1" w:rsidR="009D6347" w:rsidRDefault="009D6347" w:rsidP="009D6347">
      <w:pPr>
        <w:pStyle w:val="Bullet1"/>
      </w:pPr>
      <w:r w:rsidRPr="000E02EF">
        <w:t>Over the past 30 years, Victoria’s cool season rainfall has declined compared to last century.</w:t>
      </w:r>
    </w:p>
    <w:p w14:paraId="3F9EBABB" w14:textId="0F9459B4" w:rsidR="009D6347" w:rsidRDefault="00D64A69" w:rsidP="009D6347">
      <w:pPr>
        <w:pStyle w:val="Bullet1"/>
      </w:pPr>
      <w:r>
        <w:t>The m</w:t>
      </w:r>
      <w:r w:rsidR="009D6347" w:rsidRPr="000E02EF">
        <w:t xml:space="preserve">ean sea level for Melbourne has risen by approximately 2 mm per year since 1966. </w:t>
      </w:r>
    </w:p>
    <w:p w14:paraId="476E62A3" w14:textId="013C3141" w:rsidR="009D6347" w:rsidRDefault="009D6347" w:rsidP="00404661">
      <w:pPr>
        <w:pStyle w:val="Bullet1"/>
        <w:spacing w:after="120"/>
      </w:pPr>
      <w:r w:rsidRPr="000E02EF">
        <w:t xml:space="preserve">There has been an increase in dangerous fire weather and </w:t>
      </w:r>
      <w:r w:rsidR="00D64A69">
        <w:t xml:space="preserve">an increase </w:t>
      </w:r>
      <w:r w:rsidRPr="000E02EF">
        <w:t>in the length of the fire season across southern Australia since the 1950s</w:t>
      </w:r>
      <w:r>
        <w:t xml:space="preserve"> (</w:t>
      </w:r>
      <w:r w:rsidR="00D64A69">
        <w:t xml:space="preserve">DELWP, </w:t>
      </w:r>
      <w:r>
        <w:t>2019)</w:t>
      </w:r>
      <w:r w:rsidRPr="000E02EF">
        <w:t>.</w:t>
      </w:r>
    </w:p>
    <w:p w14:paraId="74AA8900" w14:textId="03FEE29A" w:rsidR="008354E7" w:rsidRDefault="003E0225" w:rsidP="008354E7">
      <w:pPr>
        <w:pStyle w:val="Body"/>
      </w:pPr>
      <w:r>
        <w:t>‘A dramatic increase in the number, size, and severity of bushfires in Victoria over the past two decades has underscored a growing realisation by scientists, agencies, and communities that climate change has already altered bushfire risk for the worse. There are clear links between climate, drought, increased fire activity, longer and earlier seasons, and more intense fire behaviour in Victoria’ (DELWP, 2019).</w:t>
      </w:r>
    </w:p>
    <w:p w14:paraId="02525041" w14:textId="0751E157" w:rsidR="009D6347" w:rsidRDefault="009D6347" w:rsidP="008354E7">
      <w:pPr>
        <w:pStyle w:val="Body"/>
      </w:pPr>
      <w:r>
        <w:t>The Bureau of Meteorology reported that 2019 was Victoria’s fifth warmest year and tenth driest year on record (2020).</w:t>
      </w:r>
      <w:r w:rsidRPr="001A24F2">
        <w:t xml:space="preserve"> </w:t>
      </w:r>
      <w:r>
        <w:t>There were also several days of elevated fire danger during spring, including some extreme Forest Fire Danger Index (FFDI) values (Bureau of Meteorology 2019b).</w:t>
      </w:r>
    </w:p>
    <w:p w14:paraId="2ADD7554" w14:textId="246AF6A4" w:rsidR="009D6347" w:rsidRDefault="009D6347" w:rsidP="009D6347">
      <w:pPr>
        <w:pStyle w:val="Body"/>
        <w:rPr>
          <w:noProof/>
        </w:rPr>
      </w:pPr>
      <w:r>
        <w:t>It is estimated that climate change accounted for at least a 30 per cent increase in the risk of fire weather associated with the 2019-20 Eastern Victorian bushfire</w:t>
      </w:r>
      <w:r w:rsidR="00D64A69">
        <w:t>s</w:t>
      </w:r>
      <w:r>
        <w:t xml:space="preserve">, largely driven by an increase in temperature extremes (van Olderborgh </w:t>
      </w:r>
      <w:r w:rsidRPr="00D57CB9">
        <w:t>et</w:t>
      </w:r>
      <w:r w:rsidR="00D64A69" w:rsidRPr="00D57CB9">
        <w:t xml:space="preserve"> </w:t>
      </w:r>
      <w:r w:rsidRPr="00D57CB9">
        <w:t>al</w:t>
      </w:r>
      <w:r w:rsidR="00D64A69">
        <w:t>,</w:t>
      </w:r>
      <w:r>
        <w:t xml:space="preserve"> 2021). The true magnitude of this increased risk was likely to be much higher due to limitations in the climate models used (van Olderborgh </w:t>
      </w:r>
      <w:r w:rsidRPr="00D57CB9">
        <w:t>et</w:t>
      </w:r>
      <w:r w:rsidR="00D64A69" w:rsidRPr="00D57CB9">
        <w:t xml:space="preserve"> </w:t>
      </w:r>
      <w:r w:rsidRPr="00D57CB9">
        <w:t>al</w:t>
      </w:r>
      <w:r w:rsidR="00D64A69">
        <w:t>,</w:t>
      </w:r>
      <w:r>
        <w:t xml:space="preserve"> 2021).</w:t>
      </w:r>
      <w:r w:rsidRPr="005B2D05">
        <w:rPr>
          <w:noProof/>
        </w:rPr>
        <w:t xml:space="preserve"> </w:t>
      </w:r>
    </w:p>
    <w:p w14:paraId="4247DAFA" w14:textId="77777777" w:rsidR="009D6347" w:rsidRDefault="009D6347" w:rsidP="009D6347">
      <w:pPr>
        <w:pStyle w:val="Heading2"/>
      </w:pPr>
      <w:bookmarkStart w:id="13" w:name="_Toc115263320"/>
      <w:bookmarkStart w:id="14" w:name="_Toc116981325"/>
      <w:r>
        <w:t>C</w:t>
      </w:r>
      <w:r w:rsidRPr="0005287D">
        <w:t>limate change</w:t>
      </w:r>
      <w:r>
        <w:t xml:space="preserve"> is</w:t>
      </w:r>
      <w:r w:rsidRPr="0005287D">
        <w:t xml:space="preserve"> affect</w:t>
      </w:r>
      <w:r>
        <w:t>ing</w:t>
      </w:r>
      <w:r w:rsidRPr="0005287D">
        <w:t xml:space="preserve"> health</w:t>
      </w:r>
      <w:bookmarkEnd w:id="13"/>
      <w:bookmarkEnd w:id="14"/>
      <w:r w:rsidRPr="0005287D">
        <w:t xml:space="preserve"> </w:t>
      </w:r>
    </w:p>
    <w:p w14:paraId="59A8813C" w14:textId="0463543B" w:rsidR="009D6347" w:rsidRDefault="009D6347" w:rsidP="009D6347">
      <w:pPr>
        <w:pStyle w:val="Body"/>
      </w:pPr>
      <w:r>
        <w:t>Climate change affects health in myriad ways</w:t>
      </w:r>
      <w:r w:rsidR="0030131E">
        <w:t>. It affects health</w:t>
      </w:r>
      <w:r>
        <w:t xml:space="preserve"> directly due to more intense and frequent extreme events</w:t>
      </w:r>
      <w:r w:rsidR="0030131E">
        <w:t>,</w:t>
      </w:r>
      <w:r>
        <w:t xml:space="preserve"> including heatwaves, floods, drought and bushfires</w:t>
      </w:r>
      <w:r w:rsidR="0030131E">
        <w:t xml:space="preserve">. And it affects health </w:t>
      </w:r>
      <w:r>
        <w:lastRenderedPageBreak/>
        <w:t xml:space="preserve">indirectly </w:t>
      </w:r>
      <w:r w:rsidR="0030131E">
        <w:t xml:space="preserve">due to </w:t>
      </w:r>
      <w:r>
        <w:t xml:space="preserve">worsening air quality, changes in the spread of infectious diseases, risks to food safety and security, water quality, and effects on mental health (Watts </w:t>
      </w:r>
      <w:r w:rsidRPr="00D57CB9">
        <w:t>et al</w:t>
      </w:r>
      <w:r w:rsidR="0030131E">
        <w:t>,</w:t>
      </w:r>
      <w:r>
        <w:t xml:space="preserve"> 2015).</w:t>
      </w:r>
      <w:bookmarkStart w:id="15" w:name="_Hlk114528217"/>
    </w:p>
    <w:p w14:paraId="3D770CA5" w14:textId="0FF8CFA7" w:rsidR="009D6347" w:rsidRPr="00C3508C" w:rsidRDefault="0030131E" w:rsidP="009D6347">
      <w:pPr>
        <w:pStyle w:val="Body"/>
      </w:pPr>
      <w:r>
        <w:t>Social determinants of health influence a population’s vulnerability or resilience to climate-related hazards.</w:t>
      </w:r>
      <w:r w:rsidRPr="001810A4">
        <w:t xml:space="preserve"> </w:t>
      </w:r>
      <w:r w:rsidR="009D6347">
        <w:t>C</w:t>
      </w:r>
      <w:r w:rsidR="009D6347" w:rsidRPr="00631704">
        <w:t>limate change also impact</w:t>
      </w:r>
      <w:r w:rsidR="009D6347">
        <w:t xml:space="preserve">s </w:t>
      </w:r>
      <w:r w:rsidR="009D6347" w:rsidRPr="00631704">
        <w:t>social determinants of health</w:t>
      </w:r>
      <w:r>
        <w:t>,</w:t>
      </w:r>
      <w:r w:rsidR="009D6347" w:rsidRPr="00631704">
        <w:t xml:space="preserve"> such as food security, housing</w:t>
      </w:r>
      <w:r>
        <w:t>,</w:t>
      </w:r>
      <w:r w:rsidR="009D6347" w:rsidRPr="00631704">
        <w:t xml:space="preserve"> and socioeconomic status</w:t>
      </w:r>
      <w:r>
        <w:t xml:space="preserve">. </w:t>
      </w:r>
      <w:r w:rsidR="009D6347" w:rsidRPr="00C3508C">
        <w:t>The</w:t>
      </w:r>
      <w:r w:rsidR="009D6347">
        <w:t xml:space="preserve"> direct and indirect</w:t>
      </w:r>
      <w:r w:rsidR="009D6347" w:rsidRPr="00C3508C">
        <w:t xml:space="preserve"> impacts</w:t>
      </w:r>
      <w:r>
        <w:t xml:space="preserve"> of climate change and </w:t>
      </w:r>
      <w:r w:rsidR="009D6347" w:rsidRPr="00C3508C">
        <w:t>the social determinants of</w:t>
      </w:r>
      <w:r w:rsidR="009D6347">
        <w:t xml:space="preserve"> </w:t>
      </w:r>
      <w:r w:rsidR="009D6347" w:rsidRPr="00C3508C">
        <w:t>health will be felt earlier</w:t>
      </w:r>
      <w:r>
        <w:t>,</w:t>
      </w:r>
      <w:r w:rsidR="009D6347" w:rsidRPr="00C3508C">
        <w:t xml:space="preserve"> and be most pronounced</w:t>
      </w:r>
      <w:r>
        <w:t>, in</w:t>
      </w:r>
      <w:r w:rsidR="009D6347" w:rsidRPr="00C3508C">
        <w:t xml:space="preserve"> </w:t>
      </w:r>
      <w:r>
        <w:t xml:space="preserve">the following </w:t>
      </w:r>
      <w:r w:rsidR="009D6347">
        <w:t xml:space="preserve">priority </w:t>
      </w:r>
      <w:r w:rsidR="009D6347" w:rsidRPr="00C3508C">
        <w:t>communities:</w:t>
      </w:r>
    </w:p>
    <w:p w14:paraId="1B2CDD0D" w14:textId="77777777" w:rsidR="009D6347" w:rsidRPr="00C3508C" w:rsidRDefault="009D6347" w:rsidP="009D6347">
      <w:pPr>
        <w:pStyle w:val="Bullet1"/>
      </w:pPr>
      <w:r w:rsidRPr="00C3508C">
        <w:t>children and young people</w:t>
      </w:r>
    </w:p>
    <w:p w14:paraId="2328FDA9" w14:textId="77777777" w:rsidR="009D6347" w:rsidRPr="00C3508C" w:rsidRDefault="009D6347" w:rsidP="009D6347">
      <w:pPr>
        <w:pStyle w:val="Bullet1"/>
      </w:pPr>
      <w:r w:rsidRPr="00C3508C">
        <w:t>pregnant women</w:t>
      </w:r>
    </w:p>
    <w:p w14:paraId="7698103C" w14:textId="77777777" w:rsidR="009D6347" w:rsidRPr="00C3508C" w:rsidRDefault="009D6347" w:rsidP="009D6347">
      <w:pPr>
        <w:pStyle w:val="Bullet1"/>
      </w:pPr>
      <w:r w:rsidRPr="00C3508C">
        <w:t>people over 65, including those</w:t>
      </w:r>
      <w:r>
        <w:t xml:space="preserve"> </w:t>
      </w:r>
      <w:r w:rsidRPr="00C3508C">
        <w:t>living alone</w:t>
      </w:r>
    </w:p>
    <w:p w14:paraId="42B3D7D1" w14:textId="77777777" w:rsidR="009D6347" w:rsidRPr="00C3508C" w:rsidRDefault="009D6347" w:rsidP="009D6347">
      <w:pPr>
        <w:pStyle w:val="Bullet1"/>
      </w:pPr>
      <w:r w:rsidRPr="00C3508C">
        <w:t>people experiencing homelessness</w:t>
      </w:r>
      <w:r>
        <w:t xml:space="preserve"> </w:t>
      </w:r>
      <w:r w:rsidRPr="00C3508C">
        <w:t>or insecure housing</w:t>
      </w:r>
    </w:p>
    <w:p w14:paraId="086B36E2" w14:textId="77777777" w:rsidR="009D6347" w:rsidRPr="00C3508C" w:rsidRDefault="009D6347" w:rsidP="009D6347">
      <w:pPr>
        <w:pStyle w:val="Bullet1"/>
      </w:pPr>
      <w:r w:rsidRPr="00C3508C">
        <w:t>people experiencing</w:t>
      </w:r>
      <w:r>
        <w:t xml:space="preserve"> </w:t>
      </w:r>
      <w:r w:rsidRPr="00C3508C">
        <w:t>financial hardship</w:t>
      </w:r>
    </w:p>
    <w:p w14:paraId="14253A4C" w14:textId="77777777" w:rsidR="009D6347" w:rsidRPr="00C3508C" w:rsidRDefault="009D6347" w:rsidP="009D6347">
      <w:pPr>
        <w:pStyle w:val="Bullet1"/>
      </w:pPr>
      <w:r w:rsidRPr="00C3508C">
        <w:t xml:space="preserve">Aboriginal </w:t>
      </w:r>
      <w:r>
        <w:t>and Torres Strait Islander peoples</w:t>
      </w:r>
    </w:p>
    <w:p w14:paraId="733A1FF1" w14:textId="5742EC8B" w:rsidR="009D6347" w:rsidRPr="00C3508C" w:rsidRDefault="009D6347" w:rsidP="009D6347">
      <w:pPr>
        <w:pStyle w:val="Bullet1"/>
      </w:pPr>
      <w:r w:rsidRPr="00C3508C">
        <w:t>people with disability</w:t>
      </w:r>
    </w:p>
    <w:p w14:paraId="17E85272" w14:textId="77777777" w:rsidR="009D6347" w:rsidRPr="00C3508C" w:rsidRDefault="009D6347" w:rsidP="009D6347">
      <w:pPr>
        <w:pStyle w:val="Bullet1"/>
      </w:pPr>
      <w:r w:rsidRPr="00C3508C">
        <w:t>Culturally and Linguistically</w:t>
      </w:r>
      <w:r>
        <w:t xml:space="preserve"> </w:t>
      </w:r>
      <w:r w:rsidRPr="00C3508C">
        <w:t>Diverse (CALD) communities and</w:t>
      </w:r>
      <w:r>
        <w:t xml:space="preserve"> </w:t>
      </w:r>
      <w:r w:rsidRPr="00C3508C">
        <w:t>new migrants</w:t>
      </w:r>
    </w:p>
    <w:p w14:paraId="46AF967C" w14:textId="77777777" w:rsidR="009D6347" w:rsidRPr="00C3508C" w:rsidRDefault="009D6347" w:rsidP="009D6347">
      <w:pPr>
        <w:pStyle w:val="Bullet1"/>
      </w:pPr>
      <w:r w:rsidRPr="00C3508C">
        <w:t>people with one or more chronic</w:t>
      </w:r>
      <w:r>
        <w:t xml:space="preserve"> </w:t>
      </w:r>
      <w:r w:rsidRPr="00C3508C">
        <w:t>conditions</w:t>
      </w:r>
    </w:p>
    <w:p w14:paraId="592D004B" w14:textId="255559FD" w:rsidR="009D6347" w:rsidRDefault="00962633" w:rsidP="009D6347">
      <w:pPr>
        <w:pStyle w:val="Bullet1"/>
      </w:pPr>
      <w:r w:rsidRPr="00C3508C">
        <w:t>LGBT</w:t>
      </w:r>
      <w:r>
        <w:t>IQ</w:t>
      </w:r>
      <w:r w:rsidR="009D6347" w:rsidRPr="00C3508C">
        <w:t>+ communities</w:t>
      </w:r>
      <w:r w:rsidR="0030131E">
        <w:t>.</w:t>
      </w:r>
      <w:r w:rsidR="009D6347">
        <w:t xml:space="preserve"> </w:t>
      </w:r>
    </w:p>
    <w:p w14:paraId="2E7110A5" w14:textId="1C99752C" w:rsidR="009D6347" w:rsidRDefault="009D6347" w:rsidP="004226B2">
      <w:pPr>
        <w:pStyle w:val="Bullet1"/>
        <w:numPr>
          <w:ilvl w:val="0"/>
          <w:numId w:val="0"/>
        </w:numPr>
        <w:spacing w:after="120"/>
      </w:pPr>
      <w:r>
        <w:t>(</w:t>
      </w:r>
      <w:r w:rsidRPr="00D93BD0">
        <w:t>Department of Health and Department of Families, Fairness and Housing</w:t>
      </w:r>
      <w:r w:rsidR="0030131E">
        <w:t>,</w:t>
      </w:r>
      <w:r w:rsidRPr="00D93BD0">
        <w:t xml:space="preserve"> 2022</w:t>
      </w:r>
      <w:r>
        <w:t>)</w:t>
      </w:r>
      <w:r w:rsidRPr="00C3508C">
        <w:t xml:space="preserve">. </w:t>
      </w:r>
    </w:p>
    <w:p w14:paraId="666D588C" w14:textId="619CBB87" w:rsidR="009D6347" w:rsidRDefault="0030131E" w:rsidP="009D6347">
      <w:pPr>
        <w:pStyle w:val="Body"/>
      </w:pPr>
      <w:r>
        <w:t>In addition, t</w:t>
      </w:r>
      <w:r w:rsidR="009D6347">
        <w:t>he ability of infrastructure, such as hospitals, to deliver health services is increasingly affected by climate change through more frequent and extreme weather events and sea level rise (Victorian Health and Human Services Building Authority</w:t>
      </w:r>
      <w:r>
        <w:t>,</w:t>
      </w:r>
      <w:r w:rsidR="009D6347">
        <w:t xml:space="preserve"> 2018)</w:t>
      </w:r>
      <w:r w:rsidR="00FF2CDC">
        <w:t>.</w:t>
      </w:r>
    </w:p>
    <w:p w14:paraId="0BEAED98" w14:textId="318ABA32" w:rsidR="009D6347" w:rsidRDefault="009D6347" w:rsidP="009D6347">
      <w:pPr>
        <w:pStyle w:val="Body"/>
      </w:pPr>
      <w:r>
        <w:t>The remainder of this section focuses on two extreme events that impacted the health and wellbeing of Victorians in 2019</w:t>
      </w:r>
      <w:r w:rsidR="0030131E">
        <w:t xml:space="preserve"> –</w:t>
      </w:r>
      <w:r>
        <w:t xml:space="preserve"> the 2018-19 summer heatwaves and the 2019-20 Eastern Victorian bushfires. </w:t>
      </w:r>
    </w:p>
    <w:p w14:paraId="5D9C026B" w14:textId="0D35003F" w:rsidR="009D6347" w:rsidRPr="005D3A42" w:rsidRDefault="009D6347" w:rsidP="00851F9F">
      <w:pPr>
        <w:pStyle w:val="Heading3"/>
      </w:pPr>
      <w:r>
        <w:t>Summer heatwaves</w:t>
      </w:r>
      <w:r w:rsidRPr="005D3A42">
        <w:t xml:space="preserve"> </w:t>
      </w:r>
    </w:p>
    <w:bookmarkEnd w:id="15"/>
    <w:p w14:paraId="45159C1C" w14:textId="019A4795" w:rsidR="009D6347" w:rsidRDefault="009D6347" w:rsidP="009D6347">
      <w:pPr>
        <w:pStyle w:val="Body"/>
      </w:pPr>
      <w:r>
        <w:t xml:space="preserve">During the 2018-19 summer, much of Australia was gripped by </w:t>
      </w:r>
      <w:r w:rsidR="000D1E53">
        <w:t xml:space="preserve">record-breaking </w:t>
      </w:r>
      <w:r>
        <w:t>heatwaves</w:t>
      </w:r>
      <w:r w:rsidR="000D1E53">
        <w:t xml:space="preserve"> </w:t>
      </w:r>
      <w:r>
        <w:t>(Bureau of Meteorology</w:t>
      </w:r>
      <w:r w:rsidR="000D1E53">
        <w:t>,</w:t>
      </w:r>
      <w:r>
        <w:t xml:space="preserve"> 2019). T</w:t>
      </w:r>
      <w:r w:rsidRPr="00866DCB">
        <w:t xml:space="preserve">he 2018−19 summer was </w:t>
      </w:r>
      <w:r>
        <w:t>Victoria’s</w:t>
      </w:r>
      <w:r w:rsidRPr="00866DCB">
        <w:t xml:space="preserve"> hottest on recor</w:t>
      </w:r>
      <w:r>
        <w:t>d</w:t>
      </w:r>
      <w:r w:rsidR="000D1E53">
        <w:t>,</w:t>
      </w:r>
      <w:r>
        <w:t xml:space="preserve"> as well as Australia’s hottest summer on record </w:t>
      </w:r>
      <w:r w:rsidRPr="00866DCB">
        <w:t>by a margin of 0.86°C</w:t>
      </w:r>
      <w:r>
        <w:t xml:space="preserve">. </w:t>
      </w:r>
      <w:r w:rsidR="000D1E53">
        <w:t xml:space="preserve">In addition, </w:t>
      </w:r>
      <w:r w:rsidRPr="00061CF9">
        <w:t xml:space="preserve">January 2019 was </w:t>
      </w:r>
      <w:r w:rsidR="000D1E53" w:rsidRPr="00061CF9">
        <w:t xml:space="preserve">Victoria's </w:t>
      </w:r>
      <w:r w:rsidRPr="00061CF9">
        <w:t>hottest month on record</w:t>
      </w:r>
      <w:r w:rsidR="000D1E53" w:rsidRPr="00061CF9">
        <w:t xml:space="preserve">, as well as Australia’s </w:t>
      </w:r>
      <w:r w:rsidRPr="00061CF9">
        <w:t>hottest month on record by a margin of 0.</w:t>
      </w:r>
      <w:r w:rsidRPr="00061CF9">
        <w:rPr>
          <w:rFonts w:cs="Arial"/>
          <w:szCs w:val="21"/>
        </w:rPr>
        <w:t>99</w:t>
      </w:r>
      <w:r w:rsidRPr="00061CF9">
        <w:rPr>
          <w:rFonts w:cs="Arial"/>
          <w:szCs w:val="21"/>
          <w:lang w:eastAsia="en-AU"/>
        </w:rPr>
        <w:t>°C</w:t>
      </w:r>
      <w:r w:rsidRPr="00061CF9">
        <w:rPr>
          <w:rFonts w:cs="Arial"/>
          <w:szCs w:val="21"/>
        </w:rPr>
        <w:t>.</w:t>
      </w:r>
      <w:r w:rsidRPr="001B7F8F">
        <w:t xml:space="preserve"> On 25 January</w:t>
      </w:r>
      <w:r>
        <w:t>, Kerang reached a maximum of 47.6</w:t>
      </w:r>
      <w:r w:rsidRPr="001B7BAF">
        <w:t>°C – a new Victorian record for January.</w:t>
      </w:r>
      <w:r>
        <w:t xml:space="preserve"> The Bureau of Meteorology attributed the extreme </w:t>
      </w:r>
      <w:r w:rsidR="000D1E53">
        <w:t xml:space="preserve">heat </w:t>
      </w:r>
      <w:r>
        <w:t>to a combination of anthropomorphic climate change and natural variability.</w:t>
      </w:r>
    </w:p>
    <w:p w14:paraId="6912C4D2" w14:textId="10857F82" w:rsidR="009D6347" w:rsidRDefault="009D6347" w:rsidP="009D6347">
      <w:pPr>
        <w:pStyle w:val="Body"/>
      </w:pPr>
      <w:r>
        <w:rPr>
          <w:noProof/>
        </w:rPr>
        <mc:AlternateContent>
          <mc:Choice Requires="wps">
            <w:drawing>
              <wp:anchor distT="45720" distB="45720" distL="114300" distR="114300" simplePos="0" relativeHeight="251659264" behindDoc="0" locked="0" layoutInCell="1" allowOverlap="1" wp14:anchorId="25591D70" wp14:editId="0F3C1763">
                <wp:simplePos x="0" y="0"/>
                <wp:positionH relativeFrom="margin">
                  <wp:align>right</wp:align>
                </wp:positionH>
                <wp:positionV relativeFrom="paragraph">
                  <wp:posOffset>1007745</wp:posOffset>
                </wp:positionV>
                <wp:extent cx="0" cy="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25400">
                          <a:solidFill>
                            <a:srgbClr val="C00000"/>
                          </a:solidFill>
                          <a:miter lim="800000"/>
                          <a:headEnd/>
                          <a:tailEnd/>
                        </a:ln>
                      </wps:spPr>
                      <wps:txbx>
                        <w:txbxContent>
                          <w:p w14:paraId="51945B36" w14:textId="65B65379" w:rsidR="009D6347" w:rsidRDefault="009D6347" w:rsidP="009D6347">
                            <w:pPr>
                              <w:pStyle w:val="Body"/>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591D70" id="_x0000_t202" coordsize="21600,21600" o:spt="202" path="m,l,21600r21600,l21600,xe">
                <v:stroke joinstyle="miter"/>
                <v:path gradientshapeok="t" o:connecttype="rect"/>
              </v:shapetype>
              <v:shape id="Text Box 2" o:spid="_x0000_s1026" type="#_x0000_t202" style="position:absolute;margin-left:-51.2pt;margin-top:79.35pt;width:0;height:0;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" strokecolor="#c00000" strokeweight="2pt">
                <v:textbox>
                  <w:txbxContent>
                    <w:p w14:paraId="51945B36" w14:textId="65B65379" w:rsidR="009D6347" w:rsidRDefault="009D6347" w:rsidP="009D6347">
                      <w:pPr>
                        <w:pStyle w:val="Body"/>
                        <w:jc w:val="center"/>
                      </w:pPr>
                    </w:p>
                  </w:txbxContent>
                </v:textbox>
                <w10:wrap type="square" anchorx="margin"/>
              </v:shape>
            </w:pict>
          </mc:Fallback>
        </mc:AlternateContent>
      </w:r>
      <w:r>
        <w:t>Extreme heat</w:t>
      </w:r>
      <w:r w:rsidRPr="005F0F2D">
        <w:t xml:space="preserve"> can cause </w:t>
      </w:r>
      <w:r>
        <w:t>illnesses</w:t>
      </w:r>
      <w:r w:rsidR="000D1E53">
        <w:t>,</w:t>
      </w:r>
      <w:r>
        <w:t xml:space="preserve"> such as heat cramps and heat exhaustion</w:t>
      </w:r>
      <w:r w:rsidR="000D1E53">
        <w:t xml:space="preserve">, and </w:t>
      </w:r>
      <w:r>
        <w:t xml:space="preserve">lead to </w:t>
      </w:r>
      <w:r w:rsidR="000D1E53">
        <w:t xml:space="preserve">a </w:t>
      </w:r>
      <w:r>
        <w:t>life-threatening condition, heatstroke</w:t>
      </w:r>
      <w:r w:rsidRPr="00E85A4D">
        <w:t xml:space="preserve"> </w:t>
      </w:r>
      <w:r>
        <w:t>(</w:t>
      </w:r>
      <w:r w:rsidR="000D1E53">
        <w:t>DHHS</w:t>
      </w:r>
      <w:r w:rsidRPr="005F0F2D">
        <w:t>, 201</w:t>
      </w:r>
      <w:r>
        <w:t>8</w:t>
      </w:r>
      <w:r w:rsidRPr="005F0F2D">
        <w:t>)</w:t>
      </w:r>
      <w:r>
        <w:t>. Heat can also exacerbate pre-existing medical conditions</w:t>
      </w:r>
      <w:r w:rsidR="000D1E53">
        <w:t>,</w:t>
      </w:r>
      <w:r>
        <w:t xml:space="preserve"> such</w:t>
      </w:r>
      <w:r w:rsidRPr="005F0F2D">
        <w:t xml:space="preserve"> as </w:t>
      </w:r>
      <w:r>
        <w:t>heart disease or diabetes</w:t>
      </w:r>
      <w:r w:rsidR="000D1E53">
        <w:t>,</w:t>
      </w:r>
      <w:r>
        <w:t xml:space="preserve"> and </w:t>
      </w:r>
      <w:r w:rsidRPr="005F0F2D">
        <w:t>increase</w:t>
      </w:r>
      <w:r>
        <w:t xml:space="preserve"> the</w:t>
      </w:r>
      <w:r w:rsidRPr="005F0F2D">
        <w:t xml:space="preserve"> risk of </w:t>
      </w:r>
      <w:r>
        <w:t xml:space="preserve">disease associated with climate-sensitive pathogens </w:t>
      </w:r>
      <w:r w:rsidRPr="005F0F2D">
        <w:t>(</w:t>
      </w:r>
      <w:r w:rsidR="000D1E53">
        <w:t>DHHS</w:t>
      </w:r>
      <w:r w:rsidRPr="005F0F2D">
        <w:t xml:space="preserve">, </w:t>
      </w:r>
      <w:r>
        <w:t xml:space="preserve">2018). </w:t>
      </w:r>
    </w:p>
    <w:p w14:paraId="1854A5C7" w14:textId="77777777" w:rsidR="008354E7" w:rsidRDefault="008354E7" w:rsidP="008354E7">
      <w:pPr>
        <w:pStyle w:val="Body"/>
      </w:pPr>
      <w:r>
        <w:t>There was an association between warmer temperatures and an increase in sporadic (non-outbreak) notifications of salmonellosis in Melbourne for the period of 2000-19. M</w:t>
      </w:r>
      <w:r w:rsidRPr="00601427">
        <w:t>aximum effects on notifications</w:t>
      </w:r>
      <w:r>
        <w:t xml:space="preserve"> were shown four</w:t>
      </w:r>
      <w:r w:rsidRPr="00601427">
        <w:t xml:space="preserve"> weeks after warm temperature periods </w:t>
      </w:r>
      <w:r>
        <w:t xml:space="preserve">(Robinson </w:t>
      </w:r>
      <w:r w:rsidRPr="00053674">
        <w:t>et al</w:t>
      </w:r>
      <w:r>
        <w:t>, 2022).</w:t>
      </w:r>
    </w:p>
    <w:p w14:paraId="29A6F989" w14:textId="61E7E44E" w:rsidR="009D6347" w:rsidRPr="00B40153" w:rsidRDefault="009D6347" w:rsidP="009D6347">
      <w:pPr>
        <w:pStyle w:val="Bullet1"/>
        <w:numPr>
          <w:ilvl w:val="0"/>
          <w:numId w:val="0"/>
        </w:numPr>
        <w:spacing w:after="120"/>
        <w:rPr>
          <w:rStyle w:val="BodyChar"/>
        </w:rPr>
      </w:pPr>
      <w:r w:rsidRPr="00C65DA7">
        <w:t xml:space="preserve">See the ‘Heat health’ section of ‘Chapter </w:t>
      </w:r>
      <w:r w:rsidR="00E16942" w:rsidRPr="00C65DA7">
        <w:t xml:space="preserve">3 </w:t>
      </w:r>
      <w:r w:rsidRPr="00C65DA7">
        <w:t>– Environmental health’, for more information about extreme heat.</w:t>
      </w:r>
      <w:r w:rsidRPr="00B40153">
        <w:rPr>
          <w:rStyle w:val="BodyChar"/>
        </w:rPr>
        <w:t xml:space="preserve"> </w:t>
      </w:r>
    </w:p>
    <w:p w14:paraId="05BFBE56" w14:textId="525D28AB" w:rsidR="009D6347" w:rsidRDefault="009D6347" w:rsidP="009D6347">
      <w:pPr>
        <w:pStyle w:val="Heading3"/>
      </w:pPr>
      <w:bookmarkStart w:id="16" w:name="_Toc115263321"/>
      <w:r>
        <w:lastRenderedPageBreak/>
        <w:t>Eastern Victorian bushfires</w:t>
      </w:r>
      <w:bookmarkEnd w:id="16"/>
    </w:p>
    <w:p w14:paraId="4D0CBCF7" w14:textId="6B5D80FD" w:rsidR="0074215E" w:rsidRDefault="009D6347" w:rsidP="009D6347">
      <w:pPr>
        <w:pStyle w:val="Body"/>
      </w:pPr>
      <w:r>
        <w:t xml:space="preserve">The </w:t>
      </w:r>
      <w:r w:rsidR="000D1E53">
        <w:t xml:space="preserve">Eastern Victorian </w:t>
      </w:r>
      <w:r>
        <w:t>bushfires began on 21 November 2019</w:t>
      </w:r>
      <w:r w:rsidR="000D1E53">
        <w:t xml:space="preserve"> </w:t>
      </w:r>
      <w:r>
        <w:t xml:space="preserve">and </w:t>
      </w:r>
      <w:r w:rsidR="000D1E53">
        <w:t xml:space="preserve">were not </w:t>
      </w:r>
      <w:r>
        <w:t xml:space="preserve">largely contained </w:t>
      </w:r>
      <w:r w:rsidR="000D1E53">
        <w:t xml:space="preserve">until </w:t>
      </w:r>
      <w:r>
        <w:t xml:space="preserve">February 2020 (Bushfire Recovery Victoria, 2021). </w:t>
      </w:r>
    </w:p>
    <w:p w14:paraId="27F59A3F" w14:textId="3460BBE3" w:rsidR="009D6347" w:rsidRDefault="009D6347" w:rsidP="009D6347">
      <w:pPr>
        <w:pStyle w:val="Body"/>
      </w:pPr>
      <w:r w:rsidRPr="00624320">
        <w:t xml:space="preserve">The impacts of the bushfires were </w:t>
      </w:r>
      <w:r w:rsidR="000D1E53" w:rsidRPr="00624320">
        <w:t xml:space="preserve">broad and </w:t>
      </w:r>
      <w:r w:rsidRPr="00624320">
        <w:t>devastating</w:t>
      </w:r>
      <w:r w:rsidR="000D1E53" w:rsidRPr="00624320">
        <w:t>. F</w:t>
      </w:r>
      <w:r w:rsidRPr="00624320">
        <w:t xml:space="preserve">ive lives </w:t>
      </w:r>
      <w:r w:rsidR="000D1E53" w:rsidRPr="00624320">
        <w:t xml:space="preserve">were </w:t>
      </w:r>
      <w:r w:rsidRPr="00624320">
        <w:t xml:space="preserve">lost, </w:t>
      </w:r>
      <w:r w:rsidR="000D1E53" w:rsidRPr="00624320">
        <w:t xml:space="preserve">more than </w:t>
      </w:r>
      <w:r w:rsidRPr="00624320">
        <w:t xml:space="preserve">120 communities impacted, 313 homes destroyed or damaged, </w:t>
      </w:r>
      <w:r w:rsidR="002A3E9D" w:rsidRPr="00624320">
        <w:t xml:space="preserve">and </w:t>
      </w:r>
      <w:r w:rsidRPr="00624320">
        <w:t xml:space="preserve">thousands of people displaced </w:t>
      </w:r>
      <w:r>
        <w:t xml:space="preserve">(including </w:t>
      </w:r>
      <w:r w:rsidR="000D1E53">
        <w:t xml:space="preserve">almost </w:t>
      </w:r>
      <w:r>
        <w:t>2,000 people evacuated from the Mallacoota foreshore by air or sea)</w:t>
      </w:r>
      <w:r w:rsidR="002A3E9D">
        <w:t>. In addition,</w:t>
      </w:r>
      <w:r>
        <w:t xml:space="preserve"> </w:t>
      </w:r>
      <w:r w:rsidRPr="00624320">
        <w:t xml:space="preserve">1.5 million hectares of country </w:t>
      </w:r>
      <w:r w:rsidR="002A3E9D" w:rsidRPr="00624320">
        <w:t xml:space="preserve">were </w:t>
      </w:r>
      <w:r w:rsidRPr="00624320">
        <w:t xml:space="preserve">burnt </w:t>
      </w:r>
      <w:r w:rsidR="000D1E53" w:rsidRPr="00624320">
        <w:t>(</w:t>
      </w:r>
      <w:r w:rsidRPr="00624320">
        <w:t>including more than 1,000 registered Aboriginal cultural heritage places</w:t>
      </w:r>
      <w:r w:rsidR="000D1E53" w:rsidRPr="00624320">
        <w:t>)</w:t>
      </w:r>
      <w:r w:rsidR="002A3E9D">
        <w:t xml:space="preserve"> and</w:t>
      </w:r>
      <w:r>
        <w:t xml:space="preserve"> habitat and biodiversity</w:t>
      </w:r>
      <w:r w:rsidR="002A3E9D">
        <w:t xml:space="preserve"> severly impacted. There were</w:t>
      </w:r>
      <w:r>
        <w:t xml:space="preserve"> </w:t>
      </w:r>
      <w:r w:rsidR="002A3E9D">
        <w:t xml:space="preserve">also significant </w:t>
      </w:r>
      <w:r>
        <w:t>impacts on regional industries and infrastructure (Bushfire Recovery Victoria, 2021). While each of these impacts had potential implications for health and wellbeing, the most widely reported health impacts were associated with air pollution caused by bushfire smoke</w:t>
      </w:r>
      <w:r w:rsidRPr="00C65DA7">
        <w:t>.</w:t>
      </w:r>
      <w:r>
        <w:t xml:space="preserve"> </w:t>
      </w:r>
    </w:p>
    <w:p w14:paraId="315BC6B5" w14:textId="33EA5797" w:rsidR="00E26FB5" w:rsidRDefault="00E26FB5" w:rsidP="009D6347">
      <w:pPr>
        <w:pStyle w:val="Body"/>
      </w:pPr>
      <w:r w:rsidRPr="00624320">
        <w:t>See the ‘Air quality' section of ‘Chapter 3 – Environmental health’, for more information about air quality.</w:t>
      </w:r>
    </w:p>
    <w:p w14:paraId="142B34C9" w14:textId="0F3C78CB" w:rsidR="009D6347" w:rsidRDefault="009D6347" w:rsidP="009D6347">
      <w:pPr>
        <w:pStyle w:val="Body"/>
      </w:pPr>
      <w:r>
        <w:t>Analyses of health data identified significant increases in hospitalisation and emergency department presentation rates in Victoria</w:t>
      </w:r>
      <w:r w:rsidR="002A3E9D">
        <w:t xml:space="preserve"> during</w:t>
      </w:r>
      <w:r>
        <w:t xml:space="preserve"> periods of significant fire activity or air pollution</w:t>
      </w:r>
      <w:r w:rsidR="002A3E9D">
        <w:t xml:space="preserve">. That health data </w:t>
      </w:r>
      <w:r>
        <w:t>includ</w:t>
      </w:r>
      <w:r w:rsidR="002A3E9D">
        <w:t>ed</w:t>
      </w:r>
      <w:r>
        <w:t>:</w:t>
      </w:r>
    </w:p>
    <w:p w14:paraId="7B7AC4BB" w14:textId="77777777" w:rsidR="008354E7" w:rsidRPr="00961291" w:rsidRDefault="008354E7" w:rsidP="008354E7">
      <w:pPr>
        <w:pStyle w:val="Bullet1"/>
        <w:numPr>
          <w:ilvl w:val="0"/>
          <w:numId w:val="0"/>
        </w:numPr>
        <w:ind w:left="284" w:hanging="284"/>
      </w:pPr>
      <w:r w:rsidRPr="00DE3E33">
        <w:rPr>
          <w:b/>
          <w:bCs/>
        </w:rPr>
        <w:t>Hospitalisations</w:t>
      </w:r>
      <w:r>
        <w:rPr>
          <w:i/>
          <w:iCs/>
        </w:rPr>
        <w:t xml:space="preserve"> </w:t>
      </w:r>
      <w:r w:rsidRPr="00961291">
        <w:t>(</w:t>
      </w:r>
      <w:r>
        <w:t>relative to</w:t>
      </w:r>
      <w:r w:rsidRPr="00961291">
        <w:t xml:space="preserve"> the previous </w:t>
      </w:r>
      <w:r>
        <w:t>five</w:t>
      </w:r>
      <w:r w:rsidRPr="00961291">
        <w:t>-year period)</w:t>
      </w:r>
    </w:p>
    <w:p w14:paraId="2FDA2455" w14:textId="77777777" w:rsidR="008354E7" w:rsidRDefault="008354E7" w:rsidP="008354E7">
      <w:pPr>
        <w:pStyle w:val="Bullet1"/>
      </w:pPr>
      <w:r>
        <w:t>a 95% increase for asthma (in the week beginning 12 January 2020)</w:t>
      </w:r>
    </w:p>
    <w:p w14:paraId="5EB0A805" w14:textId="77777777" w:rsidR="008354E7" w:rsidRDefault="008354E7" w:rsidP="008354E7">
      <w:pPr>
        <w:pStyle w:val="Bullet1"/>
      </w:pPr>
      <w:r>
        <w:t xml:space="preserve">a 53% increase for breathing difficulties (in the week beginning 19 January 2020) </w:t>
      </w:r>
    </w:p>
    <w:p w14:paraId="3A2AAB2C" w14:textId="77777777" w:rsidR="008354E7" w:rsidRDefault="008354E7" w:rsidP="008354E7">
      <w:pPr>
        <w:pStyle w:val="Bullet1"/>
      </w:pPr>
      <w:r>
        <w:t>a 50% increase for chronic obstructive pulmonary disease (COPD) with acute exacerbation</w:t>
      </w:r>
    </w:p>
    <w:p w14:paraId="11F58B48" w14:textId="77777777" w:rsidR="008354E7" w:rsidRDefault="008354E7" w:rsidP="008354E7">
      <w:pPr>
        <w:pStyle w:val="Bullet1"/>
      </w:pPr>
      <w:r>
        <w:t xml:space="preserve">a 14% increase for respiratory conditions </w:t>
      </w:r>
    </w:p>
    <w:p w14:paraId="13ED09E6" w14:textId="77777777" w:rsidR="008354E7" w:rsidRDefault="008354E7" w:rsidP="008354E7">
      <w:pPr>
        <w:pStyle w:val="Bullet1"/>
      </w:pPr>
      <w:r>
        <w:t xml:space="preserve">an 11% increase for selected heart conditions </w:t>
      </w:r>
    </w:p>
    <w:p w14:paraId="07A16DA3" w14:textId="77777777" w:rsidR="008354E7" w:rsidRDefault="008354E7" w:rsidP="00851F9F">
      <w:pPr>
        <w:pStyle w:val="Bullet1"/>
        <w:spacing w:after="120"/>
      </w:pPr>
      <w:r>
        <w:t>a 20% increase for acute</w:t>
      </w:r>
      <w:r w:rsidDel="00B311CC">
        <w:t xml:space="preserve"> </w:t>
      </w:r>
      <w:r>
        <w:t xml:space="preserve">myocardial infarction (heart attack) (all in the week beginning 5 January 2020). </w:t>
      </w:r>
    </w:p>
    <w:p w14:paraId="78762EA7" w14:textId="77777777" w:rsidR="008354E7" w:rsidRPr="00F82677" w:rsidRDefault="008354E7" w:rsidP="00851F9F">
      <w:pPr>
        <w:pStyle w:val="Heading4"/>
        <w:rPr>
          <w:i/>
          <w:iCs/>
        </w:rPr>
      </w:pPr>
      <w:r w:rsidRPr="00DE3E33">
        <w:t>Emergency department presentations</w:t>
      </w:r>
      <w:r>
        <w:rPr>
          <w:i/>
          <w:iCs/>
        </w:rPr>
        <w:t xml:space="preserve"> </w:t>
      </w:r>
      <w:r w:rsidRPr="00C3484B">
        <w:t>(</w:t>
      </w:r>
      <w:r>
        <w:t xml:space="preserve">relative to </w:t>
      </w:r>
      <w:r w:rsidRPr="00C3484B">
        <w:t>the previous bushfire season)</w:t>
      </w:r>
    </w:p>
    <w:p w14:paraId="68E8A544" w14:textId="77777777" w:rsidR="008354E7" w:rsidRDefault="008354E7" w:rsidP="008354E7">
      <w:pPr>
        <w:pStyle w:val="Bullet1"/>
      </w:pPr>
      <w:r>
        <w:t xml:space="preserve">a 125% increase in emergency department presentations with a principal diagnosis of asthma in the week beginning 12 January 2020 (note that ACT and NSW had increases of 230% and 54%, retrospectively) </w:t>
      </w:r>
    </w:p>
    <w:p w14:paraId="4019116C" w14:textId="77777777" w:rsidR="008354E7" w:rsidRDefault="008354E7" w:rsidP="008354E7">
      <w:pPr>
        <w:pStyle w:val="Bullet1"/>
      </w:pPr>
      <w:r>
        <w:t>a 60% increase in</w:t>
      </w:r>
      <w:r w:rsidDel="00A62AD5">
        <w:t xml:space="preserve"> </w:t>
      </w:r>
      <w:r>
        <w:t xml:space="preserve">breathing difficulties in the week beginning 12 January 2020. </w:t>
      </w:r>
    </w:p>
    <w:p w14:paraId="1CBE2F68" w14:textId="77777777" w:rsidR="008354E7" w:rsidRDefault="008354E7" w:rsidP="00851F9F">
      <w:pPr>
        <w:pStyle w:val="Heading4"/>
      </w:pPr>
      <w:r>
        <w:t>Excess deaths</w:t>
      </w:r>
    </w:p>
    <w:p w14:paraId="472D7416" w14:textId="77777777" w:rsidR="008354E7" w:rsidRPr="006F684B" w:rsidRDefault="008354E7" w:rsidP="002830AC">
      <w:pPr>
        <w:pStyle w:val="Bullet1"/>
        <w:numPr>
          <w:ilvl w:val="0"/>
          <w:numId w:val="19"/>
        </w:numPr>
        <w:tabs>
          <w:tab w:val="num" w:pos="360"/>
        </w:tabs>
      </w:pPr>
      <w:r>
        <w:t xml:space="preserve">120 excess deaths (any cause). </w:t>
      </w:r>
    </w:p>
    <w:p w14:paraId="35CB3886" w14:textId="77777777" w:rsidR="008354E7" w:rsidRDefault="008354E7" w:rsidP="008354E7">
      <w:pPr>
        <w:pStyle w:val="Bullet1"/>
        <w:numPr>
          <w:ilvl w:val="0"/>
          <w:numId w:val="0"/>
        </w:numPr>
        <w:spacing w:after="120"/>
      </w:pPr>
      <w:r>
        <w:t xml:space="preserve">There were also substantial increases in prescription rates for inhalers dispensed through the Pharmaceutical Benefits Scheme (PBS) in Hume and the Greater Melbourne areas in January 2020, compared to the same period in 2019. </w:t>
      </w:r>
    </w:p>
    <w:p w14:paraId="1AE79D23" w14:textId="4F65B089" w:rsidR="008354E7" w:rsidRDefault="001C0FFE" w:rsidP="008354E7">
      <w:pPr>
        <w:pStyle w:val="Body"/>
      </w:pPr>
      <w:r>
        <w:t>(</w:t>
      </w:r>
      <w:r w:rsidR="008354E7">
        <w:t xml:space="preserve">Sources: Australian Institute of Health and Welfare, 2021, and Borchers Arriagada </w:t>
      </w:r>
      <w:r w:rsidR="008354E7" w:rsidRPr="00053674">
        <w:t>et al</w:t>
      </w:r>
      <w:r w:rsidR="008354E7">
        <w:t>, 2020</w:t>
      </w:r>
      <w:r>
        <w:t>).</w:t>
      </w:r>
    </w:p>
    <w:p w14:paraId="5F3AB480" w14:textId="48CDAF5A" w:rsidR="009D6347" w:rsidRDefault="009D6347" w:rsidP="00851F9F">
      <w:pPr>
        <w:pStyle w:val="Bullet1"/>
        <w:numPr>
          <w:ilvl w:val="0"/>
          <w:numId w:val="0"/>
        </w:numPr>
        <w:spacing w:after="120"/>
      </w:pPr>
      <w:r w:rsidRPr="00753086">
        <w:t>The full</w:t>
      </w:r>
      <w:r>
        <w:t xml:space="preserve"> </w:t>
      </w:r>
      <w:r w:rsidRPr="00753086">
        <w:t>health and related impacts of the 2019–20 bushfires</w:t>
      </w:r>
      <w:r>
        <w:t xml:space="preserve">, </w:t>
      </w:r>
      <w:r w:rsidRPr="00753086">
        <w:t>including the</w:t>
      </w:r>
      <w:r>
        <w:t xml:space="preserve"> long-term</w:t>
      </w:r>
      <w:r w:rsidRPr="00753086">
        <w:t xml:space="preserve"> effects</w:t>
      </w:r>
      <w:r>
        <w:t xml:space="preserve"> on mental health and the effects</w:t>
      </w:r>
      <w:r w:rsidRPr="00753086">
        <w:t xml:space="preserve"> of long-term exposure to bushfire smoke</w:t>
      </w:r>
      <w:r>
        <w:t xml:space="preserve">, </w:t>
      </w:r>
      <w:r w:rsidRPr="00753086">
        <w:t>will not be known for some time</w:t>
      </w:r>
      <w:r>
        <w:t xml:space="preserve"> (</w:t>
      </w:r>
      <w:r w:rsidR="00991564">
        <w:t>AI</w:t>
      </w:r>
      <w:r w:rsidR="00F70A05">
        <w:t>HW</w:t>
      </w:r>
      <w:r w:rsidR="00ED1177">
        <w:t>,</w:t>
      </w:r>
      <w:r>
        <w:t xml:space="preserve"> 2020). </w:t>
      </w:r>
    </w:p>
    <w:p w14:paraId="22B68B70" w14:textId="77777777" w:rsidR="009D6347" w:rsidRDefault="009D6347" w:rsidP="00851F9F">
      <w:pPr>
        <w:pStyle w:val="Body"/>
        <w:spacing w:before="120"/>
        <w:rPr>
          <w:b/>
          <w:bCs/>
          <w:sz w:val="28"/>
          <w:szCs w:val="28"/>
        </w:rPr>
      </w:pPr>
      <w:bookmarkStart w:id="17" w:name="_Toc115263322"/>
      <w:r w:rsidRPr="00A24E8E">
        <w:rPr>
          <w:rStyle w:val="Heading3Char"/>
        </w:rPr>
        <w:t>C</w:t>
      </w:r>
      <w:r>
        <w:rPr>
          <w:rStyle w:val="Heading3Char"/>
        </w:rPr>
        <w:t xml:space="preserve">hief </w:t>
      </w:r>
      <w:r w:rsidRPr="00A24E8E">
        <w:rPr>
          <w:rStyle w:val="Heading3Char"/>
        </w:rPr>
        <w:t>H</w:t>
      </w:r>
      <w:r>
        <w:rPr>
          <w:rStyle w:val="Heading3Char"/>
        </w:rPr>
        <w:t xml:space="preserve">ealth </w:t>
      </w:r>
      <w:r w:rsidRPr="00A24E8E">
        <w:rPr>
          <w:rStyle w:val="Heading3Char"/>
        </w:rPr>
        <w:t>O</w:t>
      </w:r>
      <w:r>
        <w:rPr>
          <w:rStyle w:val="Heading3Char"/>
        </w:rPr>
        <w:t>fficer</w:t>
      </w:r>
      <w:r w:rsidRPr="00A24E8E">
        <w:rPr>
          <w:rStyle w:val="Heading3Char"/>
        </w:rPr>
        <w:t xml:space="preserve"> advisory</w:t>
      </w:r>
      <w:r>
        <w:rPr>
          <w:rStyle w:val="Heading3Char"/>
        </w:rPr>
        <w:t>: Health concerns related to Victorian bushfires</w:t>
      </w:r>
      <w:bookmarkEnd w:id="17"/>
    </w:p>
    <w:p w14:paraId="5010111E" w14:textId="1A3BF763" w:rsidR="009D6347" w:rsidRDefault="009D6347" w:rsidP="009D6347">
      <w:pPr>
        <w:pStyle w:val="Body"/>
      </w:pPr>
      <w:r>
        <w:t xml:space="preserve">On </w:t>
      </w:r>
      <w:r w:rsidR="00243C24">
        <w:t>2</w:t>
      </w:r>
      <w:r>
        <w:t xml:space="preserve">4 January 2020, a Chief Health Officer health advisory was issued to health professionals (updating a 3 January 2020 advisory) in response to the 2019-20 bushfires. The advisory </w:t>
      </w:r>
      <w:r w:rsidR="000F6A4A">
        <w:lastRenderedPageBreak/>
        <w:t>highlight</w:t>
      </w:r>
      <w:r w:rsidR="002A3E9D">
        <w:t>ed</w:t>
      </w:r>
      <w:r>
        <w:t xml:space="preserve"> the broad range of potential health risks faced by Victorian communities during this event</w:t>
      </w:r>
      <w:r w:rsidR="002A3E9D">
        <w:t xml:space="preserve">. It </w:t>
      </w:r>
      <w:r>
        <w:t>includ</w:t>
      </w:r>
      <w:r w:rsidR="002A3E9D">
        <w:t>ed</w:t>
      </w:r>
      <w:r>
        <w:t xml:space="preserve"> advice around:</w:t>
      </w:r>
    </w:p>
    <w:p w14:paraId="136D860A" w14:textId="17D8BDB6" w:rsidR="009D6347" w:rsidRDefault="009D6347" w:rsidP="009D6347">
      <w:pPr>
        <w:pStyle w:val="Bullet1"/>
      </w:pPr>
      <w:r>
        <w:t xml:space="preserve">monitoring </w:t>
      </w:r>
      <w:r w:rsidR="002A3E9D">
        <w:t xml:space="preserve">the </w:t>
      </w:r>
      <w:r>
        <w:t>current fire risk</w:t>
      </w:r>
    </w:p>
    <w:p w14:paraId="6BBBF4D0" w14:textId="1E1AEC7C" w:rsidR="009D6347" w:rsidRDefault="002A3E9D" w:rsidP="009D6347">
      <w:pPr>
        <w:pStyle w:val="Bullet1"/>
      </w:pPr>
      <w:r>
        <w:t xml:space="preserve">the </w:t>
      </w:r>
      <w:r w:rsidR="009D6347">
        <w:t>impacts of bushfire smoke on health</w:t>
      </w:r>
      <w:r>
        <w:t xml:space="preserve"> – </w:t>
      </w:r>
      <w:r w:rsidR="009D6347">
        <w:t xml:space="preserve">including advice </w:t>
      </w:r>
      <w:r w:rsidR="008830D4">
        <w:t>in heavily smoke-affected areas</w:t>
      </w:r>
      <w:r w:rsidR="00594872">
        <w:t xml:space="preserve"> to stay indoors and reduce activity, keep indoor air as clean as possible</w:t>
      </w:r>
      <w:r w:rsidR="0002382F">
        <w:t>,</w:t>
      </w:r>
      <w:r w:rsidR="00594872">
        <w:t xml:space="preserve"> </w:t>
      </w:r>
      <w:r w:rsidR="00BE0C69">
        <w:t>face</w:t>
      </w:r>
      <w:r>
        <w:t>-</w:t>
      </w:r>
      <w:r w:rsidR="00BE0C69">
        <w:t>mask use</w:t>
      </w:r>
      <w:r>
        <w:t>,</w:t>
      </w:r>
      <w:r w:rsidR="00BE0C69">
        <w:t xml:space="preserve"> and</w:t>
      </w:r>
      <w:r>
        <w:t>, in the case of</w:t>
      </w:r>
      <w:r w:rsidR="00BE0C69">
        <w:t xml:space="preserve"> </w:t>
      </w:r>
      <w:r w:rsidR="00F956FE">
        <w:t>sensitive groups</w:t>
      </w:r>
      <w:r>
        <w:t>,</w:t>
      </w:r>
      <w:r w:rsidR="00F956FE">
        <w:t xml:space="preserve"> </w:t>
      </w:r>
      <w:r w:rsidR="002F4079">
        <w:t xml:space="preserve">to </w:t>
      </w:r>
      <w:r w:rsidR="00D910ED">
        <w:t>consider temporar</w:t>
      </w:r>
      <w:r w:rsidR="00BE0C69">
        <w:t>ily</w:t>
      </w:r>
      <w:r w:rsidR="00D910ED">
        <w:t xml:space="preserve"> relocati</w:t>
      </w:r>
      <w:r w:rsidR="00BE0C69">
        <w:t>ng</w:t>
      </w:r>
      <w:r w:rsidR="00694A47">
        <w:t xml:space="preserve"> </w:t>
      </w:r>
    </w:p>
    <w:p w14:paraId="24ABBED5" w14:textId="5D4FCE63" w:rsidR="009D6347" w:rsidRDefault="002A3E9D" w:rsidP="009D6347">
      <w:pPr>
        <w:pStyle w:val="Bullet1"/>
      </w:pPr>
      <w:r>
        <w:t xml:space="preserve">the </w:t>
      </w:r>
      <w:r w:rsidR="009D6347">
        <w:t>risk of contamination of private drinking water in fire-affected areas</w:t>
      </w:r>
    </w:p>
    <w:p w14:paraId="6BC4C12D" w14:textId="5CC9618F" w:rsidR="009D6347" w:rsidRDefault="002A3E9D" w:rsidP="009D6347">
      <w:pPr>
        <w:pStyle w:val="Bullet1"/>
      </w:pPr>
      <w:r>
        <w:t xml:space="preserve">the </w:t>
      </w:r>
      <w:r w:rsidR="009D6347">
        <w:t xml:space="preserve">risk of gastrointestinal illness from contaminated food due to power outages and </w:t>
      </w:r>
      <w:r>
        <w:t xml:space="preserve">the importance of </w:t>
      </w:r>
      <w:r w:rsidR="009D6347">
        <w:t>key protective behaviours (</w:t>
      </w:r>
      <w:r>
        <w:t xml:space="preserve">such as </w:t>
      </w:r>
      <w:r w:rsidR="009D6347">
        <w:t>hygiene and food safety)</w:t>
      </w:r>
    </w:p>
    <w:p w14:paraId="7633C658" w14:textId="7777D649" w:rsidR="009D6347" w:rsidRDefault="009D6347" w:rsidP="009D6347">
      <w:pPr>
        <w:pStyle w:val="Bullet1"/>
      </w:pPr>
      <w:r>
        <w:t xml:space="preserve">protection from mosquito bites and associated risk of Ross River </w:t>
      </w:r>
      <w:r w:rsidR="007B454A">
        <w:t>v</w:t>
      </w:r>
      <w:r>
        <w:t xml:space="preserve">irus and Barmah Forest </w:t>
      </w:r>
      <w:r w:rsidR="007B454A">
        <w:t>v</w:t>
      </w:r>
      <w:r>
        <w:t>irus following rainfall in previously dry mosquito</w:t>
      </w:r>
      <w:r w:rsidR="002A3E9D">
        <w:t>-</w:t>
      </w:r>
      <w:r>
        <w:t xml:space="preserve">breeding </w:t>
      </w:r>
      <w:r w:rsidR="002A3E9D">
        <w:t>areas</w:t>
      </w:r>
    </w:p>
    <w:p w14:paraId="3B4D067F" w14:textId="4B64B4DE" w:rsidR="009D6347" w:rsidRDefault="002A3E9D" w:rsidP="009D6347">
      <w:pPr>
        <w:pStyle w:val="Bullet1"/>
      </w:pPr>
      <w:r>
        <w:t xml:space="preserve">the </w:t>
      </w:r>
      <w:r w:rsidR="009D6347">
        <w:t>risk of zoonotic diseases from contact with injured or dead wildlife</w:t>
      </w:r>
    </w:p>
    <w:p w14:paraId="14FEF89A" w14:textId="2B0B661C" w:rsidR="009D6347" w:rsidRDefault="009D6347" w:rsidP="00851F9F">
      <w:pPr>
        <w:pStyle w:val="Bullet1"/>
        <w:spacing w:after="120"/>
      </w:pPr>
      <w:r>
        <w:t>mental health impacts, self-care</w:t>
      </w:r>
      <w:r w:rsidR="002A3E9D">
        <w:t>,</w:t>
      </w:r>
      <w:r>
        <w:t xml:space="preserve"> and supports. </w:t>
      </w:r>
    </w:p>
    <w:p w14:paraId="08989C48" w14:textId="7EB7837C" w:rsidR="009D6347" w:rsidRDefault="009D6347" w:rsidP="00851F9F">
      <w:pPr>
        <w:pStyle w:val="Heading2"/>
      </w:pPr>
      <w:r>
        <w:t>Victoria’s future climate</w:t>
      </w:r>
    </w:p>
    <w:p w14:paraId="6BBD78D5" w14:textId="77777777" w:rsidR="00E657CA" w:rsidRPr="008560EB" w:rsidRDefault="00E657CA" w:rsidP="00E657CA">
      <w:pPr>
        <w:pStyle w:val="Body"/>
      </w:pPr>
      <w:r>
        <w:t xml:space="preserve">According to </w:t>
      </w:r>
      <w:r w:rsidRPr="008560EB">
        <w:t>climate projections</w:t>
      </w:r>
      <w:r>
        <w:t xml:space="preserve">, </w:t>
      </w:r>
      <w:r w:rsidRPr="008560EB">
        <w:t>by the 2050s</w:t>
      </w:r>
      <w:r>
        <w:t xml:space="preserve"> </w:t>
      </w:r>
      <w:r w:rsidRPr="008560EB">
        <w:t>a high</w:t>
      </w:r>
      <w:r>
        <w:t>-</w:t>
      </w:r>
      <w:r w:rsidRPr="008560EB">
        <w:t>emissions scenario</w:t>
      </w:r>
      <w:r>
        <w:t xml:space="preserve"> would see</w:t>
      </w:r>
      <w:r w:rsidRPr="008560EB">
        <w:t xml:space="preserve">: </w:t>
      </w:r>
    </w:p>
    <w:p w14:paraId="5ED1800F" w14:textId="77777777" w:rsidR="00E657CA" w:rsidRDefault="00E657CA" w:rsidP="00E657CA">
      <w:pPr>
        <w:pStyle w:val="Bullet1"/>
      </w:pPr>
      <w:r>
        <w:t>Victoria’s average annual temperature increase up to 2.4</w:t>
      </w:r>
      <w:r w:rsidRPr="001B7BAF">
        <w:t>°</w:t>
      </w:r>
      <w:r>
        <w:t>C compared to the 1986-2005 average, and the number of very hot days likely double.</w:t>
      </w:r>
    </w:p>
    <w:p w14:paraId="262AA2E2" w14:textId="77777777" w:rsidR="00E657CA" w:rsidRPr="00811CD8" w:rsidRDefault="00E657CA" w:rsidP="00E657CA">
      <w:pPr>
        <w:pStyle w:val="Bullet1"/>
      </w:pPr>
      <w:r w:rsidRPr="00811CD8">
        <w:t>Annual rainfall decrease</w:t>
      </w:r>
      <w:r>
        <w:t xml:space="preserve"> across the state</w:t>
      </w:r>
      <w:r w:rsidRPr="00811CD8">
        <w:t>, especially</w:t>
      </w:r>
      <w:r>
        <w:t xml:space="preserve"> </w:t>
      </w:r>
      <w:r w:rsidRPr="00811CD8">
        <w:t>in the cool season. However, due</w:t>
      </w:r>
      <w:r>
        <w:t xml:space="preserve"> </w:t>
      </w:r>
      <w:r w:rsidRPr="00811CD8">
        <w:t>to natural variability, extreme</w:t>
      </w:r>
      <w:r>
        <w:t xml:space="preserve"> </w:t>
      </w:r>
      <w:r w:rsidRPr="00811CD8">
        <w:t xml:space="preserve">rainfall events </w:t>
      </w:r>
      <w:r>
        <w:t>would</w:t>
      </w:r>
      <w:r w:rsidRPr="00811CD8">
        <w:t xml:space="preserve"> still occur and</w:t>
      </w:r>
      <w:r>
        <w:t xml:space="preserve"> be </w:t>
      </w:r>
      <w:r w:rsidRPr="00811CD8">
        <w:t>likely to be more intense,</w:t>
      </w:r>
      <w:r>
        <w:t xml:space="preserve"> </w:t>
      </w:r>
      <w:r w:rsidRPr="00811CD8">
        <w:t>potentially increasing the risk of</w:t>
      </w:r>
      <w:r>
        <w:t xml:space="preserve"> </w:t>
      </w:r>
      <w:r w:rsidRPr="00811CD8">
        <w:t>flash flooding.</w:t>
      </w:r>
    </w:p>
    <w:p w14:paraId="4CB76D00" w14:textId="77777777" w:rsidR="00E657CA" w:rsidRDefault="00E657CA" w:rsidP="00E657CA">
      <w:pPr>
        <w:pStyle w:val="Bullet1"/>
      </w:pPr>
      <w:r>
        <w:t>The number of high fire-danger days in Victoria increase by up to 60 per cent.</w:t>
      </w:r>
    </w:p>
    <w:p w14:paraId="33DD7BFB" w14:textId="77777777" w:rsidR="00E657CA" w:rsidRDefault="00E657CA" w:rsidP="00031D17">
      <w:pPr>
        <w:pStyle w:val="Bullet1"/>
        <w:spacing w:after="240"/>
      </w:pPr>
      <w:r>
        <w:t>Sea levels continue to rise. By the 2050s, sea levels are projected rise by around 24 cm (relative to 1986-2005) under both medium-and high-emissions scenarios (DELWP, 2019).</w:t>
      </w:r>
    </w:p>
    <w:p w14:paraId="613C2641" w14:textId="2A8075C6" w:rsidR="00DD4ABB" w:rsidRPr="00DD4ABB" w:rsidRDefault="00DD4ABB" w:rsidP="00DD4ABB">
      <w:pPr>
        <w:pStyle w:val="Body"/>
      </w:pPr>
      <w:r>
        <w:rPr>
          <w:noProof/>
        </w:rPr>
        <w:drawing>
          <wp:inline distT="0" distB="0" distL="0" distR="0" wp14:anchorId="1D32EFB1" wp14:editId="354E52A5">
            <wp:extent cx="5904230" cy="3348990"/>
            <wp:effectExtent l="0" t="0" r="1270" b="3810"/>
            <wp:docPr id="11" name="Picture 11" descr="Infographic image of a Map of Victoria displaying key information depicting what Victoria may experience if global emissions continue to increase. These are:&#10;Average annual temperature increase of up to 2.4 degrees Celsius. &#10;Longer fire seasons, with up to double the number of high fire danger days.&#10;Decline in alpine snowfall of 35 to 75%.&#10;Decline in cool season rainfall.&#10;More intense downpours.&#10;Sea levels rising by around 24 centremeters.&#10;Double the number of very hot day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fographic image of a Map of Victoria displaying key information depicting what Victoria may experience if global emissions continue to increase. These are:&#10;Average annual temperature increase of up to 2.4 degrees Celsius. &#10;Longer fire seasons, with up to double the number of high fire danger days.&#10;Decline in alpine snowfall of 35 to 75%.&#10;Decline in cool season rainfall.&#10;More intense downpours.&#10;Sea levels rising by around 24 centremeters.&#10;Double the number of very hot days.&#10;&#10;"/>
                    <pic:cNvPicPr/>
                  </pic:nvPicPr>
                  <pic:blipFill>
                    <a:blip r:embed="rId14"/>
                    <a:stretch>
                      <a:fillRect/>
                    </a:stretch>
                  </pic:blipFill>
                  <pic:spPr>
                    <a:xfrm>
                      <a:off x="0" y="0"/>
                      <a:ext cx="5904230" cy="3348990"/>
                    </a:xfrm>
                    <a:prstGeom prst="rect">
                      <a:avLst/>
                    </a:prstGeom>
                  </pic:spPr>
                </pic:pic>
              </a:graphicData>
            </a:graphic>
          </wp:inline>
        </w:drawing>
      </w:r>
    </w:p>
    <w:p w14:paraId="01825D6C" w14:textId="30292257" w:rsidR="009D6347" w:rsidRDefault="009D6347" w:rsidP="009D6347">
      <w:pPr>
        <w:pStyle w:val="Body"/>
      </w:pPr>
      <w:r>
        <w:lastRenderedPageBreak/>
        <w:t>Climate change is already affecting the health of Victorians. If changes to Victoria’s climate follow the trajectory outlined in the</w:t>
      </w:r>
      <w:r w:rsidR="00603EAD">
        <w:t xml:space="preserve"> DELWP</w:t>
      </w:r>
      <w:r>
        <w:t xml:space="preserve"> projections, future impacts on the health and wellbeing of Victorians will be even greater. </w:t>
      </w:r>
    </w:p>
    <w:p w14:paraId="0146AC9D" w14:textId="71250EEF" w:rsidR="009D6347" w:rsidRDefault="00603EAD" w:rsidP="009D6347">
      <w:pPr>
        <w:pStyle w:val="Body"/>
      </w:pPr>
      <w:r>
        <w:t>Although</w:t>
      </w:r>
      <w:r w:rsidR="009D6347">
        <w:t xml:space="preserve"> climate change </w:t>
      </w:r>
      <w:r w:rsidR="00C67976">
        <w:t xml:space="preserve">is </w:t>
      </w:r>
      <w:r w:rsidR="009D6347">
        <w:t xml:space="preserve">a fundamental threat to health, many of the actions to reduce greenhouse gas emissions can bring health benefits. </w:t>
      </w:r>
    </w:p>
    <w:p w14:paraId="592DBEF5" w14:textId="0CF7276D" w:rsidR="009D6347" w:rsidRDefault="009D6347" w:rsidP="009D6347">
      <w:pPr>
        <w:pStyle w:val="Body"/>
      </w:pPr>
      <w:r>
        <w:t>For example, increas</w:t>
      </w:r>
      <w:r w:rsidR="00C67976">
        <w:t>ed</w:t>
      </w:r>
      <w:r>
        <w:t xml:space="preserve"> use of active transport (such as walking and cycling) reduce</w:t>
      </w:r>
      <w:r w:rsidR="00C67976">
        <w:t>s</w:t>
      </w:r>
      <w:r>
        <w:t xml:space="preserve"> greenhouse gas emissions, </w:t>
      </w:r>
      <w:r w:rsidR="00C67976">
        <w:t xml:space="preserve">while </w:t>
      </w:r>
      <w:r>
        <w:t>help</w:t>
      </w:r>
      <w:r w:rsidR="00C67976">
        <w:t xml:space="preserve">ing </w:t>
      </w:r>
      <w:r>
        <w:t>reduce rates of obesity, diabetes, heart disease, some cancers, and musculoskeletal conditions (</w:t>
      </w:r>
      <w:r w:rsidR="00C67976">
        <w:t xml:space="preserve">DHHS, </w:t>
      </w:r>
      <w:r>
        <w:t>2015).</w:t>
      </w:r>
      <w:r w:rsidR="00C67976">
        <w:t xml:space="preserve"> </w:t>
      </w:r>
      <w:r>
        <w:t xml:space="preserve">Eating a diet </w:t>
      </w:r>
      <w:r w:rsidR="00C67976">
        <w:t xml:space="preserve">with less animal-based and processed foods and more </w:t>
      </w:r>
      <w:r>
        <w:t xml:space="preserve">plant-based foods, </w:t>
      </w:r>
      <w:r w:rsidR="00C67976">
        <w:t xml:space="preserve">such as </w:t>
      </w:r>
      <w:r>
        <w:t>fruits, vegetables, nuts, seeds and whole grains, also has improved health and environmental benefits (Dietz</w:t>
      </w:r>
      <w:r w:rsidR="00C67976">
        <w:t>,</w:t>
      </w:r>
      <w:r>
        <w:t xml:space="preserve"> 2020).  </w:t>
      </w:r>
    </w:p>
    <w:p w14:paraId="4B03ADBC" w14:textId="64FC44D2" w:rsidR="009D6347" w:rsidRDefault="00C67976" w:rsidP="009D6347">
      <w:pPr>
        <w:pStyle w:val="Body"/>
      </w:pPr>
      <w:r>
        <w:t>That is why t</w:t>
      </w:r>
      <w:r w:rsidR="009D6347" w:rsidRPr="00FD4CC0">
        <w:t xml:space="preserve">he department is committed to taking action on climate change and </w:t>
      </w:r>
      <w:r>
        <w:t xml:space="preserve">helping Victorians </w:t>
      </w:r>
      <w:r w:rsidR="009D6347" w:rsidRPr="00FD4CC0">
        <w:t>stay healthy in a changing climate.</w:t>
      </w:r>
      <w:r w:rsidR="009D6347">
        <w:t xml:space="preserve"> Key examples of actions taken in 2019 are outlined below. </w:t>
      </w:r>
    </w:p>
    <w:p w14:paraId="672CD6AB" w14:textId="77777777" w:rsidR="009D6347" w:rsidRDefault="009D6347" w:rsidP="009D6347">
      <w:pPr>
        <w:pStyle w:val="Heading2"/>
      </w:pPr>
      <w:bookmarkStart w:id="18" w:name="_Toc115263323"/>
      <w:bookmarkStart w:id="19" w:name="_Toc116981326"/>
      <w:r w:rsidRPr="00301390">
        <w:t>How Victoria is responding</w:t>
      </w:r>
      <w:bookmarkEnd w:id="18"/>
      <w:bookmarkEnd w:id="19"/>
      <w:r w:rsidRPr="00301390">
        <w:t xml:space="preserve"> </w:t>
      </w:r>
    </w:p>
    <w:p w14:paraId="3E344200" w14:textId="77777777" w:rsidR="009D6347" w:rsidRPr="005378C6" w:rsidRDefault="009D6347" w:rsidP="009D6347">
      <w:pPr>
        <w:pStyle w:val="Heading3"/>
        <w:rPr>
          <w:lang w:eastAsia="en-AU"/>
        </w:rPr>
      </w:pPr>
      <w:bookmarkStart w:id="20" w:name="_Toc115263324"/>
      <w:r w:rsidRPr="005378C6">
        <w:rPr>
          <w:lang w:eastAsia="en-AU"/>
        </w:rPr>
        <w:t>Climate Change Act</w:t>
      </w:r>
      <w:r>
        <w:rPr>
          <w:lang w:eastAsia="en-AU"/>
        </w:rPr>
        <w:t xml:space="preserve"> 2017</w:t>
      </w:r>
      <w:bookmarkEnd w:id="20"/>
    </w:p>
    <w:p w14:paraId="75D4D8B5" w14:textId="41BC94EC" w:rsidR="009D6347" w:rsidRPr="005378C6" w:rsidRDefault="009D6347" w:rsidP="009D6347">
      <w:pPr>
        <w:pStyle w:val="Body"/>
        <w:rPr>
          <w:lang w:eastAsia="en-AU"/>
        </w:rPr>
      </w:pPr>
      <w:r w:rsidRPr="005378C6">
        <w:rPr>
          <w:lang w:eastAsia="en-AU"/>
        </w:rPr>
        <w:t xml:space="preserve">Victoria’s </w:t>
      </w:r>
      <w:r w:rsidRPr="00222B41">
        <w:rPr>
          <w:i/>
          <w:lang w:eastAsia="en-AU"/>
        </w:rPr>
        <w:t>Climate Change Act 2017</w:t>
      </w:r>
      <w:r w:rsidRPr="005378C6">
        <w:rPr>
          <w:lang w:eastAsia="en-AU"/>
        </w:rPr>
        <w:t xml:space="preserve"> </w:t>
      </w:r>
      <w:r w:rsidR="00ED1177">
        <w:rPr>
          <w:lang w:eastAsia="en-AU"/>
        </w:rPr>
        <w:t xml:space="preserve">(the Act) </w:t>
      </w:r>
      <w:r w:rsidRPr="005378C6">
        <w:rPr>
          <w:lang w:eastAsia="en-AU"/>
        </w:rPr>
        <w:t>provides a legislative foundation to manage climate change risks and drive transition to a climate resilient community and economy. </w:t>
      </w:r>
    </w:p>
    <w:p w14:paraId="018A8860" w14:textId="580C3311" w:rsidR="009D6347" w:rsidRPr="005378C6" w:rsidRDefault="009D6347" w:rsidP="009D6347">
      <w:pPr>
        <w:pStyle w:val="Body"/>
        <w:rPr>
          <w:lang w:eastAsia="en-AU"/>
        </w:rPr>
      </w:pPr>
      <w:r w:rsidRPr="005378C6">
        <w:rPr>
          <w:lang w:eastAsia="en-AU"/>
        </w:rPr>
        <w:t xml:space="preserve">The Act includes requirements for the Victorian </w:t>
      </w:r>
      <w:r w:rsidR="00C67976">
        <w:rPr>
          <w:lang w:eastAsia="en-AU"/>
        </w:rPr>
        <w:t>G</w:t>
      </w:r>
      <w:r w:rsidRPr="005378C6">
        <w:rPr>
          <w:lang w:eastAsia="en-AU"/>
        </w:rPr>
        <w:t>overnment to:</w:t>
      </w:r>
    </w:p>
    <w:p w14:paraId="3A9E7EA7" w14:textId="10C0C53D" w:rsidR="009D6347" w:rsidRDefault="009D6347" w:rsidP="009D6347">
      <w:pPr>
        <w:pStyle w:val="Bullet1"/>
        <w:rPr>
          <w:lang w:eastAsia="en-AU"/>
        </w:rPr>
      </w:pPr>
      <w:r w:rsidRPr="005378C6">
        <w:rPr>
          <w:lang w:eastAsia="en-AU"/>
        </w:rPr>
        <w:t>contribute to whole</w:t>
      </w:r>
      <w:r w:rsidR="00C67976">
        <w:rPr>
          <w:lang w:eastAsia="en-AU"/>
        </w:rPr>
        <w:t>-</w:t>
      </w:r>
      <w:r w:rsidRPr="005378C6">
        <w:rPr>
          <w:lang w:eastAsia="en-AU"/>
        </w:rPr>
        <w:t>of</w:t>
      </w:r>
      <w:r w:rsidR="00C67976">
        <w:rPr>
          <w:lang w:eastAsia="en-AU"/>
        </w:rPr>
        <w:t>-</w:t>
      </w:r>
      <w:r w:rsidRPr="005378C6">
        <w:rPr>
          <w:lang w:eastAsia="en-AU"/>
        </w:rPr>
        <w:t xml:space="preserve">government emissions reduction </w:t>
      </w:r>
      <w:r w:rsidR="00C67976">
        <w:rPr>
          <w:lang w:eastAsia="en-AU"/>
        </w:rPr>
        <w:t xml:space="preserve">to </w:t>
      </w:r>
      <w:r w:rsidRPr="005378C6">
        <w:rPr>
          <w:lang w:eastAsia="en-AU"/>
        </w:rPr>
        <w:t>meet net zero emissions by 2050</w:t>
      </w:r>
    </w:p>
    <w:p w14:paraId="6D6D93D9" w14:textId="77777777" w:rsidR="009D6347" w:rsidRPr="005378C6" w:rsidRDefault="009D6347" w:rsidP="009D6347">
      <w:pPr>
        <w:pStyle w:val="Bullet1"/>
        <w:rPr>
          <w:lang w:eastAsia="en-AU"/>
        </w:rPr>
      </w:pPr>
      <w:r>
        <w:rPr>
          <w:lang w:eastAsia="en-AU"/>
        </w:rPr>
        <w:t>prepare whole-of-government and sector emission reduction pledges</w:t>
      </w:r>
    </w:p>
    <w:p w14:paraId="1FCDE691" w14:textId="3C8A58AC" w:rsidR="009D6347" w:rsidRPr="005378C6" w:rsidRDefault="009D6347" w:rsidP="009D6347">
      <w:pPr>
        <w:pStyle w:val="Bullet1"/>
        <w:rPr>
          <w:lang w:eastAsia="en-AU"/>
        </w:rPr>
      </w:pPr>
      <w:r w:rsidRPr="005378C6">
        <w:rPr>
          <w:lang w:eastAsia="en-AU"/>
        </w:rPr>
        <w:t>ensure that any decision</w:t>
      </w:r>
      <w:r w:rsidR="00C67976">
        <w:rPr>
          <w:lang w:eastAsia="en-AU"/>
        </w:rPr>
        <w:t xml:space="preserve">, </w:t>
      </w:r>
      <w:r w:rsidRPr="005378C6">
        <w:rPr>
          <w:lang w:eastAsia="en-AU"/>
        </w:rPr>
        <w:t>policy, program</w:t>
      </w:r>
      <w:r w:rsidR="00C67976">
        <w:rPr>
          <w:lang w:eastAsia="en-AU"/>
        </w:rPr>
        <w:t>,</w:t>
      </w:r>
      <w:r w:rsidRPr="005378C6">
        <w:rPr>
          <w:lang w:eastAsia="en-AU"/>
        </w:rPr>
        <w:t xml:space="preserve"> or process </w:t>
      </w:r>
      <w:r w:rsidR="00723FC7">
        <w:rPr>
          <w:lang w:eastAsia="en-AU"/>
        </w:rPr>
        <w:t xml:space="preserve">that is </w:t>
      </w:r>
      <w:r w:rsidR="00C67976">
        <w:rPr>
          <w:lang w:eastAsia="en-AU"/>
        </w:rPr>
        <w:t>made, developed,</w:t>
      </w:r>
      <w:r w:rsidRPr="005378C6">
        <w:rPr>
          <w:lang w:eastAsia="en-AU"/>
        </w:rPr>
        <w:t xml:space="preserve"> or implemented </w:t>
      </w:r>
      <w:r w:rsidR="00C67976">
        <w:rPr>
          <w:lang w:eastAsia="en-AU"/>
        </w:rPr>
        <w:t xml:space="preserve">by </w:t>
      </w:r>
      <w:r w:rsidR="00C67976" w:rsidRPr="005378C6">
        <w:rPr>
          <w:lang w:eastAsia="en-AU"/>
        </w:rPr>
        <w:t xml:space="preserve">the Victorian Government </w:t>
      </w:r>
      <w:r w:rsidRPr="005378C6">
        <w:rPr>
          <w:lang w:eastAsia="en-AU"/>
        </w:rPr>
        <w:t>takes account of climate change</w:t>
      </w:r>
    </w:p>
    <w:p w14:paraId="39131088" w14:textId="05689752" w:rsidR="009D6347" w:rsidRDefault="009D6347" w:rsidP="009D6347">
      <w:pPr>
        <w:pStyle w:val="Bullet1"/>
        <w:spacing w:after="120"/>
        <w:rPr>
          <w:lang w:eastAsia="en-AU"/>
        </w:rPr>
      </w:pPr>
      <w:r w:rsidRPr="005378C6">
        <w:rPr>
          <w:lang w:eastAsia="en-AU"/>
        </w:rPr>
        <w:t>develop and implement adaptation action plans</w:t>
      </w:r>
      <w:r w:rsidR="00723FC7">
        <w:rPr>
          <w:lang w:eastAsia="en-AU"/>
        </w:rPr>
        <w:t>,</w:t>
      </w:r>
      <w:r w:rsidRPr="005378C6">
        <w:rPr>
          <w:lang w:eastAsia="en-AU"/>
        </w:rPr>
        <w:t xml:space="preserve"> including risks and impacts on systems.</w:t>
      </w:r>
    </w:p>
    <w:p w14:paraId="2B6E12AA" w14:textId="7295A3B0" w:rsidR="009D6347" w:rsidRDefault="009D6347" w:rsidP="009D6347">
      <w:pPr>
        <w:pStyle w:val="Body"/>
      </w:pPr>
      <w:r w:rsidRPr="0049249C">
        <w:t xml:space="preserve">Under the </w:t>
      </w:r>
      <w:r w:rsidRPr="008D4083">
        <w:rPr>
          <w:iCs/>
        </w:rPr>
        <w:t>Climate Change Act</w:t>
      </w:r>
      <w:r w:rsidR="00723FC7">
        <w:t>,</w:t>
      </w:r>
      <w:r w:rsidRPr="0049249C">
        <w:t xml:space="preserve"> state and local governments </w:t>
      </w:r>
      <w:r w:rsidR="00723FC7">
        <w:t xml:space="preserve">also </w:t>
      </w:r>
      <w:r w:rsidRPr="0049249C">
        <w:t>must have regard to climate change when</w:t>
      </w:r>
      <w:r>
        <w:t xml:space="preserve"> undertaking public health and wellbeing planning.</w:t>
      </w:r>
    </w:p>
    <w:p w14:paraId="38CED4C2" w14:textId="71B5811C" w:rsidR="009D6347" w:rsidRDefault="009D6347" w:rsidP="009D6347">
      <w:pPr>
        <w:pStyle w:val="Heading3"/>
      </w:pPr>
      <w:bookmarkStart w:id="21" w:name="_Toc115263325"/>
      <w:r>
        <w:t xml:space="preserve">Victorian public health and wellbeing plan </w:t>
      </w:r>
      <w:bookmarkEnd w:id="21"/>
    </w:p>
    <w:p w14:paraId="54D9EE3F" w14:textId="00FF103C" w:rsidR="00723FC7" w:rsidRDefault="009D6347" w:rsidP="009D6347">
      <w:pPr>
        <w:pStyle w:val="Body"/>
        <w:rPr>
          <w:color w:val="000000" w:themeColor="text1"/>
        </w:rPr>
      </w:pPr>
      <w:r w:rsidRPr="008F1A12">
        <w:t xml:space="preserve">In August 2019, </w:t>
      </w:r>
      <w:r w:rsidR="00723FC7">
        <w:t>DHHS</w:t>
      </w:r>
      <w:r w:rsidRPr="008F1A12">
        <w:t xml:space="preserve"> published </w:t>
      </w:r>
      <w:r>
        <w:t xml:space="preserve">the </w:t>
      </w:r>
      <w:r w:rsidRPr="00222B41">
        <w:rPr>
          <w:i/>
          <w:iCs/>
        </w:rPr>
        <w:t>Victorian</w:t>
      </w:r>
      <w:r w:rsidRPr="00222B41">
        <w:rPr>
          <w:i/>
        </w:rPr>
        <w:t xml:space="preserve"> public health and wellbeing plan 2019</w:t>
      </w:r>
      <w:r w:rsidR="00723FC7">
        <w:rPr>
          <w:i/>
        </w:rPr>
        <w:t>-</w:t>
      </w:r>
      <w:r w:rsidRPr="00222B41">
        <w:rPr>
          <w:i/>
        </w:rPr>
        <w:t>2023</w:t>
      </w:r>
      <w:r>
        <w:rPr>
          <w:color w:val="000000" w:themeColor="text1"/>
        </w:rPr>
        <w:t>.</w:t>
      </w:r>
      <w:r w:rsidRPr="00020AD5">
        <w:rPr>
          <w:color w:val="000000" w:themeColor="text1"/>
        </w:rPr>
        <w:t xml:space="preserve"> </w:t>
      </w:r>
    </w:p>
    <w:p w14:paraId="71C4D783" w14:textId="768B30BE" w:rsidR="009D6347" w:rsidRPr="008F1A12" w:rsidRDefault="009D6347" w:rsidP="009D6347">
      <w:pPr>
        <w:pStyle w:val="Body"/>
        <w:rPr>
          <w:color w:val="D9D9D9" w:themeColor="background1" w:themeShade="D9"/>
        </w:rPr>
      </w:pPr>
      <w:r w:rsidRPr="00AA3071">
        <w:t>The plan sets out a comprehensive approach to deliver</w:t>
      </w:r>
      <w:r>
        <w:t>ing</w:t>
      </w:r>
      <w:r w:rsidRPr="00AA3071">
        <w:t xml:space="preserve"> improved public health and wellbeing outcomes for all Victorians. </w:t>
      </w:r>
    </w:p>
    <w:p w14:paraId="278CAFE8" w14:textId="74DB88FD" w:rsidR="009D6347" w:rsidRPr="008F1A12" w:rsidRDefault="009D6347" w:rsidP="009D6347">
      <w:pPr>
        <w:pStyle w:val="Body"/>
      </w:pPr>
      <w:r>
        <w:t xml:space="preserve">The plan </w:t>
      </w:r>
      <w:r w:rsidRPr="004666A9">
        <w:t xml:space="preserve">recognises that climate change is a leading threat to </w:t>
      </w:r>
      <w:r>
        <w:t xml:space="preserve">the </w:t>
      </w:r>
      <w:r w:rsidRPr="004666A9">
        <w:t xml:space="preserve">health and wellbeing </w:t>
      </w:r>
      <w:r>
        <w:t>of Victorians</w:t>
      </w:r>
      <w:r w:rsidR="00723FC7">
        <w:t xml:space="preserve">. </w:t>
      </w:r>
      <w:r>
        <w:t>‘</w:t>
      </w:r>
      <w:r w:rsidR="00723FC7">
        <w:t>T</w:t>
      </w:r>
      <w:r w:rsidRPr="004666A9">
        <w:t>ackling climate change and its impact on health</w:t>
      </w:r>
      <w:r>
        <w:t>’</w:t>
      </w:r>
      <w:r w:rsidRPr="004666A9">
        <w:t xml:space="preserve"> </w:t>
      </w:r>
      <w:r w:rsidR="00723FC7">
        <w:t xml:space="preserve">is </w:t>
      </w:r>
      <w:r w:rsidRPr="004666A9">
        <w:t>one of</w:t>
      </w:r>
      <w:r>
        <w:t xml:space="preserve"> </w:t>
      </w:r>
      <w:r w:rsidR="00723FC7">
        <w:t xml:space="preserve">the plan’s </w:t>
      </w:r>
      <w:r w:rsidRPr="004666A9">
        <w:t xml:space="preserve">four key focus areas </w:t>
      </w:r>
      <w:r>
        <w:t>– alongside increasing healthy eating, increasing active living</w:t>
      </w:r>
      <w:r w:rsidR="00723FC7">
        <w:t>,</w:t>
      </w:r>
      <w:r>
        <w:t xml:space="preserve"> and reducing tobacco-related harm. Associated strategic actions </w:t>
      </w:r>
      <w:r w:rsidRPr="008F1A12">
        <w:t>aim to achieve resilient and safe communities that are adapting to the public health impacts of climate change</w:t>
      </w:r>
      <w:r w:rsidR="00723FC7">
        <w:t>;</w:t>
      </w:r>
      <w:r w:rsidRPr="008F1A12">
        <w:t xml:space="preserve"> decrease health impacts associated with climate change</w:t>
      </w:r>
      <w:r>
        <w:t xml:space="preserve"> (</w:t>
      </w:r>
      <w:r w:rsidR="00723FC7">
        <w:t xml:space="preserve">such as </w:t>
      </w:r>
      <w:r>
        <w:t xml:space="preserve">fewer deaths from extreme heat events, fewer mosquito-borne diseases, fewer food outbreaks, </w:t>
      </w:r>
      <w:r w:rsidR="00723FC7">
        <w:t xml:space="preserve">and </w:t>
      </w:r>
      <w:r>
        <w:t>fewer algal blooms in drinking water catchments)</w:t>
      </w:r>
      <w:r w:rsidR="00723FC7">
        <w:t>;</w:t>
      </w:r>
      <w:r w:rsidRPr="008F1A12">
        <w:t xml:space="preserve"> and reduce greenhouse gas emissions and realise health co</w:t>
      </w:r>
      <w:r w:rsidRPr="008F1A12">
        <w:rPr>
          <w:rFonts w:ascii="Cambria Math" w:hAnsi="Cambria Math" w:cs="Cambria Math"/>
        </w:rPr>
        <w:t>‐</w:t>
      </w:r>
      <w:r w:rsidRPr="008F1A12">
        <w:t>benefits</w:t>
      </w:r>
      <w:r>
        <w:t xml:space="preserve"> (</w:t>
      </w:r>
      <w:r w:rsidR="00723FC7">
        <w:t xml:space="preserve">DHHS, </w:t>
      </w:r>
      <w:r>
        <w:t>2019)</w:t>
      </w:r>
      <w:r w:rsidRPr="008F1A12">
        <w:t xml:space="preserve">. </w:t>
      </w:r>
    </w:p>
    <w:p w14:paraId="5B451FBC" w14:textId="5EA69165" w:rsidR="0092449E" w:rsidRDefault="009D6347" w:rsidP="009D6347">
      <w:pPr>
        <w:pStyle w:val="Body"/>
      </w:pPr>
      <w:r w:rsidRPr="00A8383B">
        <w:t xml:space="preserve">Under the </w:t>
      </w:r>
      <w:r w:rsidRPr="00222B41">
        <w:rPr>
          <w:i/>
        </w:rPr>
        <w:t>Public Health and Wellbeing Act 2008</w:t>
      </w:r>
      <w:r w:rsidRPr="00A8383B">
        <w:t xml:space="preserve">, </w:t>
      </w:r>
      <w:r w:rsidR="00723FC7">
        <w:t xml:space="preserve">local government areas </w:t>
      </w:r>
      <w:r w:rsidRPr="00A8383B">
        <w:t>are required to prepare a four-year municipal public health and wellbeing plan</w:t>
      </w:r>
      <w:r>
        <w:t xml:space="preserve"> (MPHWP)</w:t>
      </w:r>
      <w:r w:rsidRPr="00A8383B">
        <w:t xml:space="preserve"> </w:t>
      </w:r>
      <w:r w:rsidR="00723FC7">
        <w:t xml:space="preserve">that has </w:t>
      </w:r>
      <w:r w:rsidRPr="00A8383B">
        <w:t>regard to the state public health and wellbeing plan.</w:t>
      </w:r>
    </w:p>
    <w:p w14:paraId="3724C8A0" w14:textId="77777777" w:rsidR="0092449E" w:rsidRDefault="0092449E">
      <w:pPr>
        <w:spacing w:after="0" w:line="240" w:lineRule="auto"/>
        <w:rPr>
          <w:rFonts w:eastAsia="Times"/>
        </w:rPr>
      </w:pPr>
      <w:r>
        <w:br w:type="page"/>
      </w:r>
    </w:p>
    <w:p w14:paraId="05DF61F1" w14:textId="4FC56F5B" w:rsidR="009D6347" w:rsidRPr="000E6277" w:rsidRDefault="009D6347" w:rsidP="009D6347">
      <w:pPr>
        <w:pStyle w:val="Body"/>
        <w:spacing w:before="360" w:line="320" w:lineRule="atLeast"/>
        <w:rPr>
          <w:rFonts w:eastAsia="MS Gothic"/>
          <w:bCs/>
          <w:color w:val="53565A"/>
          <w:sz w:val="30"/>
          <w:szCs w:val="26"/>
        </w:rPr>
      </w:pPr>
      <w:bookmarkStart w:id="22" w:name="_Toc115263326"/>
      <w:r w:rsidRPr="00877EA0">
        <w:rPr>
          <w:rStyle w:val="Heading3Char"/>
        </w:rPr>
        <w:lastRenderedPageBreak/>
        <w:t>Pilot health and human services climate change adaptation action</w:t>
      </w:r>
      <w:bookmarkEnd w:id="22"/>
      <w:r w:rsidRPr="000E6277">
        <w:rPr>
          <w:rFonts w:eastAsia="MS Gothic"/>
          <w:bCs/>
          <w:color w:val="53565A"/>
          <w:sz w:val="30"/>
          <w:szCs w:val="26"/>
        </w:rPr>
        <w:t xml:space="preserve"> plan</w:t>
      </w:r>
    </w:p>
    <w:p w14:paraId="65BD0A94" w14:textId="7E25A7A9" w:rsidR="009D6347" w:rsidRDefault="009D6347" w:rsidP="009D6347">
      <w:pPr>
        <w:pStyle w:val="Body"/>
      </w:pPr>
      <w:r>
        <w:t xml:space="preserve">In 2019, the </w:t>
      </w:r>
      <w:r w:rsidR="00723FC7">
        <w:t xml:space="preserve">DHHS </w:t>
      </w:r>
      <w:r>
        <w:t xml:space="preserve">published the </w:t>
      </w:r>
      <w:r w:rsidRPr="00222B41">
        <w:rPr>
          <w:i/>
        </w:rPr>
        <w:t>Pilot health and human services climate change adaptation action plan 2019-21</w:t>
      </w:r>
      <w:r>
        <w:t>.</w:t>
      </w:r>
      <w:r w:rsidRPr="002A0466">
        <w:rPr>
          <w:rFonts w:eastAsia="Times New Roman"/>
          <w:color w:val="000000" w:themeColor="text1"/>
        </w:rPr>
        <w:t xml:space="preserve"> </w:t>
      </w:r>
      <w:r>
        <w:t>The plan outlined risks to public health and the health and human services and identified actions to address those risks (</w:t>
      </w:r>
      <w:r w:rsidR="00723FC7">
        <w:t xml:space="preserve">DHHS, </w:t>
      </w:r>
      <w:r>
        <w:t>2019).</w:t>
      </w:r>
    </w:p>
    <w:p w14:paraId="204BBA2B" w14:textId="7E8A5779" w:rsidR="009D6347" w:rsidRPr="0082741C" w:rsidRDefault="009D6347" w:rsidP="009D6347">
      <w:pPr>
        <w:pStyle w:val="Body"/>
      </w:pPr>
      <w:r w:rsidRPr="0082741C">
        <w:t xml:space="preserve">Alongside the pilot plan, the department and funded agencies </w:t>
      </w:r>
      <w:r w:rsidR="004B5E3F">
        <w:t>(</w:t>
      </w:r>
      <w:r w:rsidRPr="0082741C">
        <w:t>including public hospitals and health services</w:t>
      </w:r>
      <w:r w:rsidR="004B5E3F">
        <w:t>)</w:t>
      </w:r>
      <w:r w:rsidRPr="0082741C">
        <w:t xml:space="preserve"> </w:t>
      </w:r>
      <w:r w:rsidR="004B5E3F">
        <w:t xml:space="preserve">are </w:t>
      </w:r>
      <w:r w:rsidRPr="0082741C">
        <w:t>undertak</w:t>
      </w:r>
      <w:r w:rsidR="004B5E3F">
        <w:t>ing</w:t>
      </w:r>
      <w:r w:rsidRPr="0082741C">
        <w:t xml:space="preserve"> a wide range of emission reduction initiatives across the health system. </w:t>
      </w:r>
    </w:p>
    <w:p w14:paraId="1431B467" w14:textId="522FC029" w:rsidR="009D6347" w:rsidRDefault="009D6347" w:rsidP="009D6347">
      <w:pPr>
        <w:pStyle w:val="Heading3"/>
      </w:pPr>
      <w:bookmarkStart w:id="23" w:name="_Toc115263327"/>
      <w:r w:rsidRPr="00CD50FE">
        <w:t>Environmental sustainability strategy 2018-19 to 2022–23</w:t>
      </w:r>
      <w:bookmarkEnd w:id="23"/>
    </w:p>
    <w:p w14:paraId="51E29069" w14:textId="3FF9F950" w:rsidR="009D6347" w:rsidRDefault="009D6347" w:rsidP="009D6347">
      <w:pPr>
        <w:pStyle w:val="Bodyafterbullets"/>
      </w:pPr>
      <w:r>
        <w:t xml:space="preserve">The department's </w:t>
      </w:r>
      <w:r w:rsidRPr="00222B41">
        <w:rPr>
          <w:i/>
        </w:rPr>
        <w:t>Environmental sustainability strategy 2018-19 to 2022</w:t>
      </w:r>
      <w:r w:rsidR="004B5E3F">
        <w:rPr>
          <w:i/>
        </w:rPr>
        <w:t>-</w:t>
      </w:r>
      <w:r w:rsidRPr="00222B41">
        <w:rPr>
          <w:i/>
        </w:rPr>
        <w:t>23</w:t>
      </w:r>
      <w:r>
        <w:t xml:space="preserve"> sets out </w:t>
      </w:r>
      <w:r w:rsidR="004B5E3F">
        <w:t xml:space="preserve">its </w:t>
      </w:r>
      <w:r>
        <w:t>commitment to improve the environmental sustainability of the health system (</w:t>
      </w:r>
      <w:r w:rsidR="004B5E3F">
        <w:t xml:space="preserve">DHHS, </w:t>
      </w:r>
      <w:r>
        <w:t xml:space="preserve">2016). </w:t>
      </w:r>
    </w:p>
    <w:p w14:paraId="7BCAE06F" w14:textId="2B732E15" w:rsidR="009D6347" w:rsidRDefault="004B5E3F" w:rsidP="009D6347">
      <w:pPr>
        <w:pStyle w:val="Body"/>
      </w:pPr>
      <w:r>
        <w:t xml:space="preserve">The strategy </w:t>
      </w:r>
      <w:r w:rsidR="009D6347">
        <w:t xml:space="preserve">also includes actions to </w:t>
      </w:r>
      <w:r>
        <w:t xml:space="preserve">make </w:t>
      </w:r>
      <w:r w:rsidR="009D6347">
        <w:t>the health system resilient in the face of climate change (Victorian Health and Human Services Building Authority</w:t>
      </w:r>
      <w:r>
        <w:t>,</w:t>
      </w:r>
      <w:r w:rsidR="009D6347">
        <w:t xml:space="preserve"> 2018). </w:t>
      </w:r>
    </w:p>
    <w:p w14:paraId="31110FCA" w14:textId="7CBBA44E" w:rsidR="009D6347" w:rsidRDefault="009D6347" w:rsidP="009D6347">
      <w:pPr>
        <w:pStyle w:val="Body"/>
      </w:pPr>
      <w:r>
        <w:t xml:space="preserve">In 2019, the </w:t>
      </w:r>
      <w:r w:rsidR="004B5E3F">
        <w:t>e</w:t>
      </w:r>
      <w:r w:rsidRPr="00D90C93">
        <w:t xml:space="preserve">nvironmental sustainability innovation grant program </w:t>
      </w:r>
      <w:r>
        <w:t>also</w:t>
      </w:r>
      <w:r w:rsidRPr="00D90C93">
        <w:t xml:space="preserve"> fund</w:t>
      </w:r>
      <w:r>
        <w:t>ed</w:t>
      </w:r>
      <w:r w:rsidRPr="00D90C93">
        <w:t xml:space="preserve"> </w:t>
      </w:r>
      <w:r>
        <w:t>a number of</w:t>
      </w:r>
      <w:r w:rsidRPr="00D90C93">
        <w:t xml:space="preserve"> projects across</w:t>
      </w:r>
      <w:r>
        <w:t xml:space="preserve"> </w:t>
      </w:r>
      <w:r w:rsidRPr="00D90C93">
        <w:t>health services</w:t>
      </w:r>
      <w:r>
        <w:t xml:space="preserve"> in Victoria.</w:t>
      </w:r>
    </w:p>
    <w:p w14:paraId="76978FD2" w14:textId="77777777" w:rsidR="009D6347" w:rsidRDefault="009D6347" w:rsidP="009D6347">
      <w:pPr>
        <w:pStyle w:val="Heading3"/>
      </w:pPr>
      <w:bookmarkStart w:id="24" w:name="_Toc115263328"/>
      <w:r w:rsidRPr="00636331">
        <w:t>Find out more</w:t>
      </w:r>
      <w:bookmarkEnd w:id="24"/>
    </w:p>
    <w:p w14:paraId="2F756A85" w14:textId="659C3F41" w:rsidR="009D6347" w:rsidRPr="001B0900" w:rsidRDefault="009D6347" w:rsidP="009D6347">
      <w:pPr>
        <w:pStyle w:val="Body"/>
      </w:pPr>
      <w:r>
        <w:t xml:space="preserve">Further information on actions the department is taking to tackle climate change is available from </w:t>
      </w:r>
      <w:r w:rsidR="00041708">
        <w:t>the</w:t>
      </w:r>
      <w:r w:rsidR="00AF5B9B">
        <w:t xml:space="preserve"> department’s </w:t>
      </w:r>
      <w:r w:rsidR="00AF5B9B">
        <w:rPr>
          <w:i/>
          <w:iCs/>
        </w:rPr>
        <w:t xml:space="preserve">Climate change and health </w:t>
      </w:r>
      <w:r w:rsidR="00AF5B9B">
        <w:t>webpage</w:t>
      </w:r>
      <w:r>
        <w:t xml:space="preserve">. </w:t>
      </w:r>
    </w:p>
    <w:p w14:paraId="46843447" w14:textId="4A00DFA1" w:rsidR="009D6347" w:rsidRDefault="00000000" w:rsidP="009D6347">
      <w:pPr>
        <w:pStyle w:val="Body"/>
      </w:pPr>
      <w:hyperlink r:id="rId15" w:history="1">
        <w:r w:rsidR="00AF5B9B">
          <w:rPr>
            <w:rStyle w:val="Hyperlink"/>
            <w:i/>
            <w:iCs/>
          </w:rPr>
          <w:t xml:space="preserve">Climate </w:t>
        </w:r>
        <w:r w:rsidR="009D6347" w:rsidRPr="00CD0866">
          <w:rPr>
            <w:rStyle w:val="Hyperlink"/>
            <w:i/>
            <w:iCs/>
          </w:rPr>
          <w:t>change and health</w:t>
        </w:r>
        <w:r w:rsidR="00AF5B9B">
          <w:rPr>
            <w:rStyle w:val="Hyperlink"/>
          </w:rPr>
          <w:t xml:space="preserve">, which is </w:t>
        </w:r>
        <w:r w:rsidR="009D6347" w:rsidRPr="004631F1">
          <w:rPr>
            <w:rStyle w:val="Hyperlink"/>
          </w:rPr>
          <w:t>on the Better Health Channel</w:t>
        </w:r>
      </w:hyperlink>
      <w:r w:rsidR="005230D3">
        <w:rPr>
          <w:rStyle w:val="Hyperlink"/>
        </w:rPr>
        <w:t xml:space="preserve"> </w:t>
      </w:r>
      <w:r w:rsidR="005230D3">
        <w:t>&lt;</w:t>
      </w:r>
      <w:r w:rsidR="005230D3" w:rsidRPr="00F76C9C">
        <w:t>https://www.betterhealth.vic.gov.au/health/healthyliving/climate-change-and-health</w:t>
      </w:r>
      <w:r w:rsidR="005230D3">
        <w:t>&gt;</w:t>
      </w:r>
      <w:r w:rsidR="00AF5B9B" w:rsidRPr="005230D3">
        <w:rPr>
          <w:rStyle w:val="Hyperlink"/>
          <w:color w:val="000000" w:themeColor="text1"/>
        </w:rPr>
        <w:t>,</w:t>
      </w:r>
      <w:r w:rsidR="009D6347" w:rsidRPr="005230D3">
        <w:rPr>
          <w:color w:val="000000" w:themeColor="text1"/>
        </w:rPr>
        <w:t xml:space="preserve"> </w:t>
      </w:r>
      <w:r w:rsidR="009D6347">
        <w:t xml:space="preserve">includes information and animated videos to </w:t>
      </w:r>
      <w:r w:rsidR="00041708">
        <w:t xml:space="preserve">help </w:t>
      </w:r>
      <w:r w:rsidR="009D6347">
        <w:t>Victorian communities stay healthy in a changing climate</w:t>
      </w:r>
      <w:r w:rsidR="00041708">
        <w:t xml:space="preserve">. The webpage </w:t>
      </w:r>
      <w:r w:rsidR="009D6347">
        <w:t xml:space="preserve">also highlights actions </w:t>
      </w:r>
      <w:r w:rsidR="00041708">
        <w:t xml:space="preserve">individual Victorians </w:t>
      </w:r>
      <w:r w:rsidR="009D6347">
        <w:t xml:space="preserve">can take to reduce </w:t>
      </w:r>
      <w:r w:rsidR="00041708">
        <w:t>their environmental foo</w:t>
      </w:r>
      <w:r w:rsidR="007D79CD">
        <w:t>t</w:t>
      </w:r>
      <w:r w:rsidR="00041708">
        <w:t xml:space="preserve">print </w:t>
      </w:r>
      <w:r w:rsidR="009D6347">
        <w:t xml:space="preserve">while also improving </w:t>
      </w:r>
      <w:r w:rsidR="00041708">
        <w:t xml:space="preserve">their </w:t>
      </w:r>
      <w:r w:rsidR="009D6347">
        <w:t>health.</w:t>
      </w:r>
      <w:r w:rsidR="004B33E8">
        <w:t xml:space="preserve"> </w:t>
      </w:r>
    </w:p>
    <w:p w14:paraId="58D657F7" w14:textId="77777777" w:rsidR="009D6347" w:rsidRDefault="009D6347" w:rsidP="009D6347">
      <w:pPr>
        <w:spacing w:after="0" w:line="240" w:lineRule="auto"/>
        <w:rPr>
          <w:rFonts w:eastAsia="MS Mincho"/>
          <w:b/>
          <w:bCs/>
          <w:iCs/>
          <w:color w:val="000000" w:themeColor="text1"/>
          <w:szCs w:val="26"/>
        </w:rPr>
      </w:pPr>
    </w:p>
    <w:p w14:paraId="31F98635" w14:textId="77777777" w:rsidR="009D6347" w:rsidRPr="00D71B65" w:rsidRDefault="009D6347" w:rsidP="009D6347">
      <w:pPr>
        <w:pStyle w:val="Body"/>
        <w:rPr>
          <w:b/>
        </w:rPr>
      </w:pPr>
      <w:r w:rsidRPr="00D71B65">
        <w:rPr>
          <w:b/>
        </w:rPr>
        <w:t xml:space="preserve">References </w:t>
      </w:r>
    </w:p>
    <w:p w14:paraId="75B5499B" w14:textId="1C761F24" w:rsidR="009D6347" w:rsidRPr="000D5C69" w:rsidRDefault="009D6347" w:rsidP="37B40189">
      <w:pPr>
        <w:pStyle w:val="Body"/>
      </w:pPr>
      <w:r w:rsidRPr="000D5C69">
        <w:t xml:space="preserve">Australian Institute of Health and Welfare 2020, </w:t>
      </w:r>
      <w:r w:rsidR="03194087" w:rsidRPr="000D5C69">
        <w:t>‘</w:t>
      </w:r>
      <w:r w:rsidRPr="000D5C69">
        <w:t>Australian bushfires 2019-20: exploring the short-term health impacts</w:t>
      </w:r>
      <w:r w:rsidR="3D0D1D1C" w:rsidRPr="000D5C69">
        <w:t>’</w:t>
      </w:r>
      <w:r w:rsidRPr="000D5C69">
        <w:t>, AIHW, Australian Government, Canberra</w:t>
      </w:r>
      <w:r w:rsidR="6C8E18C1" w:rsidRPr="000D5C69">
        <w:t xml:space="preserve"> (last updated 12 November 2021)</w:t>
      </w:r>
      <w:r w:rsidRPr="000D5C69">
        <w:t>.</w:t>
      </w:r>
      <w:r>
        <w:t xml:space="preserve"> </w:t>
      </w:r>
    </w:p>
    <w:p w14:paraId="46D5AB5B" w14:textId="3B83DA18" w:rsidR="009D6347" w:rsidRPr="000D5C69" w:rsidRDefault="009D6347" w:rsidP="37B40189">
      <w:pPr>
        <w:pStyle w:val="Body"/>
      </w:pPr>
      <w:r w:rsidRPr="000D5C69">
        <w:t xml:space="preserve">Australian Institute of Health and Welfare 2021, </w:t>
      </w:r>
      <w:r w:rsidR="1F2B566C" w:rsidRPr="000D5C69">
        <w:t>‘</w:t>
      </w:r>
      <w:r w:rsidRPr="000D5C69">
        <w:t>Data update: Short-term health impacts of the 2019-20 Australian bushfires</w:t>
      </w:r>
      <w:r w:rsidR="0E392FCF" w:rsidRPr="000D5C69">
        <w:t>’</w:t>
      </w:r>
      <w:r w:rsidRPr="000D5C69">
        <w:t>, AIHW, Australian Government, Canberra (last updated 28 November 2021).</w:t>
      </w:r>
    </w:p>
    <w:p w14:paraId="0FE8E727" w14:textId="2C114C88" w:rsidR="00D23631" w:rsidRPr="000D5C69" w:rsidRDefault="00D23631" w:rsidP="37B40189">
      <w:pPr>
        <w:pStyle w:val="Body"/>
        <w:rPr>
          <w:rFonts w:cs="Arial"/>
        </w:rPr>
      </w:pPr>
      <w:bookmarkStart w:id="25" w:name="_Hlk114169199"/>
      <w:r w:rsidRPr="000D5C69">
        <w:t xml:space="preserve">Borchers Arriagada </w:t>
      </w:r>
      <w:r w:rsidRPr="000D5C69">
        <w:rPr>
          <w:i/>
        </w:rPr>
        <w:t>et al</w:t>
      </w:r>
      <w:r w:rsidR="00BF6E68" w:rsidRPr="000D5C69">
        <w:t>,</w:t>
      </w:r>
      <w:r w:rsidRPr="000D5C69">
        <w:t xml:space="preserve"> 2020, ‘Unprecedented smoke-related health burden associated with the 2019-20 bushfires in eastern Australia</w:t>
      </w:r>
      <w:r w:rsidR="4BF25D44" w:rsidRPr="000D5C69">
        <w:t>’</w:t>
      </w:r>
      <w:r w:rsidRPr="000D5C69">
        <w:t xml:space="preserve">, </w:t>
      </w:r>
      <w:r w:rsidRPr="000D5C69">
        <w:rPr>
          <w:i/>
        </w:rPr>
        <w:t>Medical Journal of Australia</w:t>
      </w:r>
      <w:r w:rsidRPr="000D5C69">
        <w:t xml:space="preserve">, 213: 282-283  </w:t>
      </w:r>
      <w:hyperlink r:id="rId16" w:history="1">
        <w:r w:rsidRPr="005669DC">
          <w:rPr>
            <w:rStyle w:val="Hyperlink"/>
          </w:rPr>
          <w:t>https://doi.org/10.5694/mja2.50545</w:t>
        </w:r>
      </w:hyperlink>
      <w:r w:rsidR="00D037C9" w:rsidRPr="000D5C69">
        <w:rPr>
          <w:rStyle w:val="Hyperlink"/>
          <w:rFonts w:ascii="Open Sans" w:hAnsi="Open Sans" w:cs="Open Sans"/>
        </w:rPr>
        <w:t xml:space="preserve"> </w:t>
      </w:r>
      <w:r w:rsidR="00424C12" w:rsidRPr="000D5C69">
        <w:rPr>
          <w:rStyle w:val="Hyperlink"/>
          <w:rFonts w:ascii="Open Sans" w:hAnsi="Open Sans" w:cs="Open Sans"/>
        </w:rPr>
        <w:t xml:space="preserve"> </w:t>
      </w:r>
      <w:r w:rsidR="00D037C9" w:rsidRPr="000D5C69">
        <w:rPr>
          <w:rStyle w:val="Hyperlink"/>
          <w:rFonts w:cs="Arial"/>
          <w:color w:val="auto"/>
          <w:u w:val="none"/>
        </w:rPr>
        <w:t>&lt;</w:t>
      </w:r>
      <w:hyperlink r:id="rId17" w:history="1">
        <w:r w:rsidR="00D037C9" w:rsidRPr="000D5C69">
          <w:rPr>
            <w:rStyle w:val="Hyperlink"/>
            <w:rFonts w:cs="Arial"/>
            <w:color w:val="auto"/>
            <w:u w:val="none"/>
          </w:rPr>
          <w:t>https://doi.org/10.5694/mja2.50545</w:t>
        </w:r>
      </w:hyperlink>
      <w:r w:rsidR="00D037C9" w:rsidRPr="000D5C69">
        <w:rPr>
          <w:rStyle w:val="Hyperlink"/>
          <w:rFonts w:cs="Arial"/>
          <w:color w:val="auto"/>
          <w:u w:val="none"/>
        </w:rPr>
        <w:t>&gt;</w:t>
      </w:r>
      <w:r w:rsidR="00E62514">
        <w:rPr>
          <w:rStyle w:val="Hyperlink"/>
          <w:rFonts w:cs="Arial"/>
          <w:color w:val="auto"/>
          <w:u w:val="none"/>
        </w:rPr>
        <w:t>.</w:t>
      </w:r>
    </w:p>
    <w:p w14:paraId="0E1B9934" w14:textId="53895D81" w:rsidR="009D6347" w:rsidRPr="000D5C69" w:rsidRDefault="009D6347" w:rsidP="37B40189">
      <w:pPr>
        <w:pStyle w:val="Body"/>
      </w:pPr>
      <w:r w:rsidRPr="000D5C69">
        <w:t>Bureau of Meteorology 2019, ‘Special Climate Statement 68</w:t>
      </w:r>
      <w:r w:rsidRPr="000D5C69">
        <w:rPr>
          <w:rFonts w:cs="Arial"/>
        </w:rPr>
        <w:t xml:space="preserve"> </w:t>
      </w:r>
      <w:r w:rsidR="00BF6E68" w:rsidRPr="000D5C69">
        <w:rPr>
          <w:rFonts w:cs="Arial"/>
        </w:rPr>
        <w:t xml:space="preserve">– </w:t>
      </w:r>
      <w:r w:rsidRPr="000D5C69">
        <w:t>widespread heatwaves during December 2018 and January 2019’, Australian Government, Canberra (</w:t>
      </w:r>
      <w:r w:rsidR="42B8A156" w:rsidRPr="000D5C69">
        <w:t>last u</w:t>
      </w:r>
      <w:r w:rsidRPr="000D5C69">
        <w:t>pdated 14 March 2019).</w:t>
      </w:r>
    </w:p>
    <w:p w14:paraId="53D11CE2" w14:textId="7387911A" w:rsidR="009D6347" w:rsidRPr="000D5C69" w:rsidRDefault="009D6347" w:rsidP="37B40189">
      <w:pPr>
        <w:pStyle w:val="Body"/>
      </w:pPr>
      <w:r w:rsidRPr="000D5C69">
        <w:t>Bureau of Meteorology 2019b, ‘Special Climate Statement 72</w:t>
      </w:r>
      <w:r w:rsidRPr="000D5C69">
        <w:rPr>
          <w:rFonts w:cs="Arial"/>
        </w:rPr>
        <w:t xml:space="preserve"> ̶ dangerous bushfire weather in spring 2019’, Australian Government, Canberra</w:t>
      </w:r>
      <w:r w:rsidR="0442E743" w:rsidRPr="000D5C69">
        <w:rPr>
          <w:rFonts w:cs="Arial"/>
        </w:rPr>
        <w:t xml:space="preserve"> (last updated 18 December 2019)</w:t>
      </w:r>
      <w:r w:rsidRPr="000D5C69">
        <w:rPr>
          <w:rFonts w:cs="Arial"/>
        </w:rPr>
        <w:t>.</w:t>
      </w:r>
      <w:r>
        <w:t xml:space="preserve"> </w:t>
      </w:r>
    </w:p>
    <w:p w14:paraId="184DDE66" w14:textId="1F655A23" w:rsidR="009D6347" w:rsidRPr="00021715" w:rsidRDefault="009D6347" w:rsidP="009D6347">
      <w:pPr>
        <w:pStyle w:val="Body"/>
      </w:pPr>
      <w:r w:rsidRPr="00021715">
        <w:t>Bureau of Meteorology, 2020, ‘Annual Climate Summary for Victoria – 2019’, &lt;http://www.bom.gov.au/climate/current/annual/vic/archive/2019.summary.shtml&gt; (viewed on 16</w:t>
      </w:r>
      <w:r w:rsidR="00BF6E68">
        <w:t xml:space="preserve"> September </w:t>
      </w:r>
      <w:r w:rsidRPr="00021715">
        <w:t>2022)</w:t>
      </w:r>
      <w:r>
        <w:t>.</w:t>
      </w:r>
    </w:p>
    <w:p w14:paraId="7E59AFCA" w14:textId="77777777" w:rsidR="009D6347" w:rsidRDefault="009D6347" w:rsidP="009D6347">
      <w:pPr>
        <w:pStyle w:val="Body"/>
      </w:pPr>
      <w:r>
        <w:lastRenderedPageBreak/>
        <w:t>Bushfire Recovery Victoria 2021, ‘2019-20 Eastern Victorian bushfires’, &lt;</w:t>
      </w:r>
      <w:r w:rsidRPr="00BC50C3">
        <w:t>https://www.vic.gov.au/2019-20-eastern-victorian-bushfires</w:t>
      </w:r>
      <w:r>
        <w:t>&gt; (viewed on 19 Sept 2022).</w:t>
      </w:r>
    </w:p>
    <w:bookmarkEnd w:id="25"/>
    <w:p w14:paraId="51B9D630" w14:textId="77777777" w:rsidR="009D6347" w:rsidRDefault="009D6347" w:rsidP="009D6347">
      <w:pPr>
        <w:pStyle w:val="Body"/>
      </w:pPr>
      <w:r>
        <w:t>Department of Environment, Land, Water and Planning 2019, ‘Victoria's climate science report 2019’, State Government of Victoria, Melbourne.</w:t>
      </w:r>
    </w:p>
    <w:p w14:paraId="615AC860" w14:textId="77777777" w:rsidR="009D6347" w:rsidRDefault="009D6347" w:rsidP="009D6347">
      <w:pPr>
        <w:pStyle w:val="Body"/>
      </w:pPr>
      <w:r>
        <w:t>Department of Health and Department of Families, Fairness and Housing 2022, ‘Health and human services climate change adaptation action plan 2022-26’, State Government of Victoria, Melbourne.</w:t>
      </w:r>
    </w:p>
    <w:p w14:paraId="72C5FC04" w14:textId="12F68AA7" w:rsidR="009D6347" w:rsidRDefault="009D6347" w:rsidP="009D6347">
      <w:pPr>
        <w:pStyle w:val="Body"/>
      </w:pPr>
      <w:r w:rsidRPr="00795649">
        <w:t>Department of Health and Human Services 2018, </w:t>
      </w:r>
      <w:hyperlink r:id="rId18">
        <w:r w:rsidRPr="387711B3">
          <w:rPr>
            <w:rStyle w:val="Hyperlink"/>
          </w:rPr>
          <w:t>Survive the heat</w:t>
        </w:r>
      </w:hyperlink>
      <w:r w:rsidRPr="00455D84">
        <w:rPr>
          <w:rStyle w:val="Hyperlink"/>
        </w:rPr>
        <w:t>,</w:t>
      </w:r>
      <w:r w:rsidRPr="00795649">
        <w:t xml:space="preserve"> </w:t>
      </w:r>
      <w:r>
        <w:t>&lt;betterhealth.vic.gov.au/heat&gt; (viewed on 20 Sept</w:t>
      </w:r>
      <w:r w:rsidR="00BF6E68">
        <w:t>ember</w:t>
      </w:r>
      <w:r>
        <w:t xml:space="preserve"> 2022). </w:t>
      </w:r>
    </w:p>
    <w:p w14:paraId="306209EF" w14:textId="3D424EFC" w:rsidR="009D6347" w:rsidRPr="00B636E9" w:rsidRDefault="009D6347" w:rsidP="37B40189">
      <w:pPr>
        <w:pStyle w:val="Body"/>
      </w:pPr>
      <w:r w:rsidRPr="00B636E9">
        <w:t xml:space="preserve">Department of Health and Human Services, 2019. </w:t>
      </w:r>
      <w:r w:rsidR="62BA8CBC" w:rsidRPr="00B636E9">
        <w:t>‘</w:t>
      </w:r>
      <w:r w:rsidRPr="00B636E9">
        <w:t>Pilot health and human services climate change adaptation action plan 2019</w:t>
      </w:r>
      <w:r w:rsidR="00BF6E68" w:rsidRPr="00B636E9">
        <w:t>-</w:t>
      </w:r>
      <w:r w:rsidRPr="00B636E9">
        <w:t>21</w:t>
      </w:r>
      <w:r w:rsidR="6DEAB0B0" w:rsidRPr="00B636E9">
        <w:t>'</w:t>
      </w:r>
      <w:r w:rsidRPr="00B636E9">
        <w:t>. State Government of Victoria</w:t>
      </w:r>
      <w:r w:rsidR="6566C6F3" w:rsidRPr="00B636E9">
        <w:t>, Melbourne</w:t>
      </w:r>
      <w:r w:rsidRPr="00B636E9">
        <w:t>.</w:t>
      </w:r>
      <w:r>
        <w:t xml:space="preserve"> </w:t>
      </w:r>
    </w:p>
    <w:p w14:paraId="3C23DFA1" w14:textId="0C2B7317" w:rsidR="009D6347" w:rsidRPr="00B636E9" w:rsidRDefault="009D6347" w:rsidP="37B40189">
      <w:pPr>
        <w:pStyle w:val="Body"/>
      </w:pPr>
      <w:r w:rsidRPr="00B636E9">
        <w:t xml:space="preserve">Department of Health and Human Services, 2019b. </w:t>
      </w:r>
      <w:r w:rsidR="79214BAC" w:rsidRPr="00B636E9">
        <w:t>‘</w:t>
      </w:r>
      <w:r w:rsidRPr="00B636E9">
        <w:t>Victorian public health and wellbeing plan 2019-2023</w:t>
      </w:r>
      <w:r w:rsidR="44DE478D" w:rsidRPr="00B636E9">
        <w:t>'</w:t>
      </w:r>
      <w:r w:rsidRPr="00B636E9">
        <w:t>. State Government of Victoria, Melbourne.</w:t>
      </w:r>
    </w:p>
    <w:p w14:paraId="4746FA1B" w14:textId="77777777" w:rsidR="009D6347" w:rsidRDefault="009D6347" w:rsidP="009D6347">
      <w:pPr>
        <w:pStyle w:val="Body"/>
      </w:pPr>
      <w:r>
        <w:t>Department of Health and Human Services 2020, ‘Chief Health Officer Advisory: Health concerns related to Victorian bushfires’, 24 January 2020 (update to Advisory issued 3 January 2020), State Government of Victoria, Melbourne.</w:t>
      </w:r>
    </w:p>
    <w:p w14:paraId="08F5B6C1" w14:textId="713B5E91" w:rsidR="009D6347" w:rsidRDefault="009D6347" w:rsidP="009D6347">
      <w:pPr>
        <w:pStyle w:val="Body"/>
      </w:pPr>
      <w:r>
        <w:t xml:space="preserve">Dietz WD 2020, ‘Climate change and malnutrition: we need to act now’, </w:t>
      </w:r>
      <w:r w:rsidRPr="0047667D">
        <w:rPr>
          <w:i/>
          <w:iCs/>
        </w:rPr>
        <w:t>Journal of Clinical Investigation</w:t>
      </w:r>
      <w:r>
        <w:t>, vol.130, no.2, pp.</w:t>
      </w:r>
      <w:r w:rsidR="001F3ADD">
        <w:t xml:space="preserve"> </w:t>
      </w:r>
      <w:r>
        <w:t>556-558.</w:t>
      </w:r>
    </w:p>
    <w:p w14:paraId="5570AE87" w14:textId="143DC324" w:rsidR="009D6347" w:rsidRDefault="009D6347" w:rsidP="009D6347">
      <w:pPr>
        <w:pStyle w:val="Body"/>
      </w:pPr>
      <w:r>
        <w:t>Malik A, Li M, Lenzen M, Fry J, Liyanapathirana N, Beyer K, Boylan S, Lee A, Raubenheimer D, Geschke A &amp; Prokopenko M (2022)</w:t>
      </w:r>
      <w:r w:rsidRPr="00CB513C">
        <w:t xml:space="preserve"> </w:t>
      </w:r>
      <w:r>
        <w:t>‘</w:t>
      </w:r>
      <w:r w:rsidRPr="00CB513C">
        <w:t>Impacts of climate change and extreme weather on food supply chains cascade across sectors and regions in Australia</w:t>
      </w:r>
      <w:r>
        <w:t xml:space="preserve">’, </w:t>
      </w:r>
      <w:r w:rsidRPr="00B63E93">
        <w:rPr>
          <w:i/>
          <w:iCs/>
        </w:rPr>
        <w:t>Nature Food</w:t>
      </w:r>
      <w:r>
        <w:t>, vol.3, pp.</w:t>
      </w:r>
      <w:r w:rsidR="001F3ADD">
        <w:t xml:space="preserve"> </w:t>
      </w:r>
      <w:r>
        <w:t>631-643.</w:t>
      </w:r>
      <w:r w:rsidRPr="00CB513C">
        <w:t xml:space="preserve"> </w:t>
      </w:r>
    </w:p>
    <w:p w14:paraId="5EE45585" w14:textId="3F61A5BC" w:rsidR="009D6347" w:rsidRDefault="009D6347" w:rsidP="009D6347">
      <w:pPr>
        <w:pStyle w:val="Body"/>
      </w:pPr>
      <w:r w:rsidRPr="0030078E">
        <w:t>Mora</w:t>
      </w:r>
      <w:r>
        <w:t xml:space="preserve"> C,</w:t>
      </w:r>
      <w:r w:rsidRPr="0030078E">
        <w:t xml:space="preserve"> McKenzie</w:t>
      </w:r>
      <w:r>
        <w:t xml:space="preserve"> T, </w:t>
      </w:r>
      <w:r w:rsidRPr="0030078E">
        <w:t>Gaw</w:t>
      </w:r>
      <w:r>
        <w:t xml:space="preserve"> IM,</w:t>
      </w:r>
      <w:r w:rsidRPr="0030078E">
        <w:t xml:space="preserve"> Dean</w:t>
      </w:r>
      <w:r>
        <w:t xml:space="preserve"> JM,</w:t>
      </w:r>
      <w:r w:rsidRPr="0030078E">
        <w:t xml:space="preserve"> von Hammerstein</w:t>
      </w:r>
      <w:r>
        <w:t xml:space="preserve"> H,</w:t>
      </w:r>
      <w:r w:rsidRPr="0030078E">
        <w:t xml:space="preserve"> Tabatha A</w:t>
      </w:r>
      <w:r>
        <w:t>,</w:t>
      </w:r>
      <w:r w:rsidRPr="0030078E">
        <w:t xml:space="preserve"> Knudson</w:t>
      </w:r>
      <w:r>
        <w:t xml:space="preserve"> TA</w:t>
      </w:r>
      <w:r w:rsidRPr="0030078E">
        <w:t>, Setter</w:t>
      </w:r>
      <w:r>
        <w:t xml:space="preserve"> RO,</w:t>
      </w:r>
      <w:r w:rsidRPr="0030078E">
        <w:t xml:space="preserve"> Smith</w:t>
      </w:r>
      <w:r>
        <w:t xml:space="preserve"> CZ,</w:t>
      </w:r>
      <w:r w:rsidRPr="0030078E">
        <w:t xml:space="preserve"> Webster</w:t>
      </w:r>
      <w:r>
        <w:t xml:space="preserve"> KM,</w:t>
      </w:r>
      <w:r w:rsidRPr="0030078E">
        <w:t xml:space="preserve"> Patz</w:t>
      </w:r>
      <w:r>
        <w:t xml:space="preserve"> JA </w:t>
      </w:r>
      <w:r w:rsidRPr="0030078E">
        <w:t>and Franklin</w:t>
      </w:r>
      <w:r>
        <w:t xml:space="preserve"> EC 2022, ‘</w:t>
      </w:r>
      <w:r w:rsidRPr="00376BEF">
        <w:t>Over half of known human pathogenic diseases</w:t>
      </w:r>
      <w:r>
        <w:t xml:space="preserve"> </w:t>
      </w:r>
      <w:r w:rsidRPr="00376BEF">
        <w:t>can be aggravated by climate change</w:t>
      </w:r>
      <w:r>
        <w:t xml:space="preserve">’, </w:t>
      </w:r>
      <w:r w:rsidRPr="00376BEF">
        <w:rPr>
          <w:i/>
          <w:iCs/>
        </w:rPr>
        <w:t>Nature Climate Change</w:t>
      </w:r>
      <w:r>
        <w:t>, vol. 12, Sept 2022, pp.</w:t>
      </w:r>
      <w:r w:rsidRPr="004C3A6C">
        <w:rPr>
          <w:rFonts w:ascii="Whitney-Book" w:eastAsia="Times New Roman" w:hAnsi="Whitney-Book" w:cs="Whitney-Book"/>
          <w:sz w:val="14"/>
          <w:szCs w:val="14"/>
          <w:lang w:eastAsia="en-AU"/>
        </w:rPr>
        <w:t xml:space="preserve"> </w:t>
      </w:r>
      <w:r w:rsidRPr="004C3A6C">
        <w:t>869</w:t>
      </w:r>
      <w:r w:rsidR="001F3ADD">
        <w:t>-</w:t>
      </w:r>
      <w:r w:rsidRPr="004C3A6C">
        <w:t>875</w:t>
      </w:r>
      <w:r>
        <w:t>.</w:t>
      </w:r>
    </w:p>
    <w:p w14:paraId="78B1BF68" w14:textId="1160AEEF" w:rsidR="009D6347" w:rsidRPr="00D02963" w:rsidRDefault="009D6347" w:rsidP="37B40189">
      <w:pPr>
        <w:pStyle w:val="Body"/>
        <w:rPr>
          <w:highlight w:val="yellow"/>
          <w:lang w:val="fr-FR"/>
        </w:rPr>
      </w:pPr>
      <w:r w:rsidRPr="00D02963">
        <w:t>Parkinson D 2019, ‘Investigating the Increase in Domestic Violence Post Disaster: An Australian Case Study</w:t>
      </w:r>
      <w:r w:rsidRPr="00D02963">
        <w:rPr>
          <w:i/>
        </w:rPr>
        <w:t>’</w:t>
      </w:r>
      <w:r w:rsidRPr="00D02963">
        <w:t xml:space="preserve">, </w:t>
      </w:r>
      <w:r w:rsidRPr="00D02963">
        <w:rPr>
          <w:i/>
          <w:lang w:val="fr-FR"/>
        </w:rPr>
        <w:t>Journal</w:t>
      </w:r>
      <w:r w:rsidRPr="00CC52B4">
        <w:rPr>
          <w:i/>
          <w:lang w:val="fr-FR"/>
        </w:rPr>
        <w:t xml:space="preserve"> of Interpersonal Violence</w:t>
      </w:r>
      <w:r w:rsidRPr="00CC52B4">
        <w:rPr>
          <w:lang w:val="fr-FR"/>
        </w:rPr>
        <w:t>, vol. 34, no.11, pp.</w:t>
      </w:r>
      <w:r w:rsidR="001F3ADD" w:rsidRPr="00CC52B4">
        <w:rPr>
          <w:lang w:val="fr-FR"/>
        </w:rPr>
        <w:t xml:space="preserve"> </w:t>
      </w:r>
      <w:r w:rsidRPr="00CC52B4">
        <w:rPr>
          <w:lang w:val="fr-FR"/>
        </w:rPr>
        <w:t>2333-2362.</w:t>
      </w:r>
    </w:p>
    <w:p w14:paraId="5608EECB" w14:textId="77777777" w:rsidR="009D6347" w:rsidRDefault="009D6347" w:rsidP="009D6347">
      <w:pPr>
        <w:pStyle w:val="Body"/>
      </w:pPr>
      <w:r w:rsidRPr="00C6190C">
        <w:t>Sutton</w:t>
      </w:r>
      <w:r>
        <w:t xml:space="preserve"> B</w:t>
      </w:r>
      <w:r w:rsidRPr="00C6190C">
        <w:t>, Mulvenna</w:t>
      </w:r>
      <w:r>
        <w:t xml:space="preserve"> V</w:t>
      </w:r>
      <w:r w:rsidRPr="00C6190C">
        <w:t>, Voronoff</w:t>
      </w:r>
      <w:r>
        <w:t xml:space="preserve"> D</w:t>
      </w:r>
      <w:r w:rsidRPr="00C6190C">
        <w:t xml:space="preserve"> and Humphrys</w:t>
      </w:r>
      <w:r>
        <w:t xml:space="preserve"> T 2020, ‘Acting on climate change and health in Victoria’ </w:t>
      </w:r>
      <w:r w:rsidRPr="00447580">
        <w:rPr>
          <w:i/>
          <w:iCs/>
        </w:rPr>
        <w:t>Medical Journal of Australia</w:t>
      </w:r>
      <w:r>
        <w:t>, vol. 212, no. 8, pp. 345-346.</w:t>
      </w:r>
    </w:p>
    <w:p w14:paraId="2FBDBEE2" w14:textId="42148D5B" w:rsidR="009D6347" w:rsidRDefault="009D6347" w:rsidP="009D6347">
      <w:pPr>
        <w:pStyle w:val="Body"/>
      </w:pPr>
      <w:r>
        <w:t xml:space="preserve">University of Sydney </w:t>
      </w:r>
      <w:r w:rsidRPr="00543131">
        <w:t>2022</w:t>
      </w:r>
      <w:r w:rsidR="72FC1B97" w:rsidRPr="00543131">
        <w:t>, ‘Climate threat to food supply chains creates ‘domino effect’,</w:t>
      </w:r>
      <w:r w:rsidR="005A2A64">
        <w:t xml:space="preserve"> </w:t>
      </w:r>
      <w:r>
        <w:t>&lt;https://www.sydney.edu.au/news-opinion/news/2022/08/19/climate-threat-to-food-supply-chains-creates--domino-effect-.html&gt;</w:t>
      </w:r>
      <w:r w:rsidR="00CB5118">
        <w:t>.</w:t>
      </w:r>
      <w:r>
        <w:t xml:space="preserve"> </w:t>
      </w:r>
    </w:p>
    <w:p w14:paraId="1D50B57A" w14:textId="201FEB39" w:rsidR="009D6347" w:rsidRDefault="009D6347" w:rsidP="009D6347">
      <w:pPr>
        <w:pStyle w:val="Body"/>
      </w:pPr>
      <w:r>
        <w:t>v</w:t>
      </w:r>
      <w:r w:rsidRPr="0047587C">
        <w:t>an Oldenborgh</w:t>
      </w:r>
      <w:r>
        <w:t xml:space="preserve"> GJ</w:t>
      </w:r>
      <w:r w:rsidRPr="0047587C">
        <w:t>, Krikken</w:t>
      </w:r>
      <w:r>
        <w:t xml:space="preserve"> F</w:t>
      </w:r>
      <w:r w:rsidRPr="0047587C">
        <w:t>, Lewis</w:t>
      </w:r>
      <w:r>
        <w:t xml:space="preserve"> S</w:t>
      </w:r>
      <w:r w:rsidRPr="0047587C">
        <w:t>, Leach</w:t>
      </w:r>
      <w:r>
        <w:t xml:space="preserve"> NJ</w:t>
      </w:r>
      <w:r w:rsidRPr="0047587C">
        <w:t>, Lehner</w:t>
      </w:r>
      <w:r>
        <w:t xml:space="preserve"> F</w:t>
      </w:r>
      <w:r w:rsidRPr="0047587C">
        <w:t>,</w:t>
      </w:r>
      <w:r>
        <w:t xml:space="preserve"> </w:t>
      </w:r>
      <w:r w:rsidRPr="0047587C">
        <w:t>Saunders</w:t>
      </w:r>
      <w:r>
        <w:t xml:space="preserve"> KR, v</w:t>
      </w:r>
      <w:r w:rsidRPr="0047587C">
        <w:t>an Weele</w:t>
      </w:r>
      <w:r>
        <w:t xml:space="preserve"> M</w:t>
      </w:r>
      <w:r w:rsidRPr="0047587C">
        <w:t>, Haustein</w:t>
      </w:r>
      <w:r>
        <w:t xml:space="preserve"> K</w:t>
      </w:r>
      <w:r w:rsidRPr="0047587C">
        <w:t>, Li</w:t>
      </w:r>
      <w:r>
        <w:t xml:space="preserve"> S</w:t>
      </w:r>
      <w:r w:rsidRPr="0047587C">
        <w:t>, Wallom</w:t>
      </w:r>
      <w:r>
        <w:t xml:space="preserve"> D</w:t>
      </w:r>
      <w:r w:rsidRPr="0047587C">
        <w:t xml:space="preserve">, </w:t>
      </w:r>
      <w:r>
        <w:t xml:space="preserve">and </w:t>
      </w:r>
      <w:r w:rsidRPr="0047587C">
        <w:t>Sparrow</w:t>
      </w:r>
      <w:r>
        <w:t xml:space="preserve"> S</w:t>
      </w:r>
      <w:r w:rsidRPr="0047587C">
        <w:t>,</w:t>
      </w:r>
      <w:r>
        <w:t xml:space="preserve"> </w:t>
      </w:r>
      <w:r w:rsidRPr="0047587C">
        <w:t>Arrighi</w:t>
      </w:r>
      <w:r>
        <w:t xml:space="preserve"> J</w:t>
      </w:r>
      <w:r w:rsidRPr="0047587C">
        <w:t>, Singh</w:t>
      </w:r>
      <w:r>
        <w:t xml:space="preserve"> RK</w:t>
      </w:r>
      <w:r w:rsidRPr="0047587C">
        <w:t>,</w:t>
      </w:r>
      <w:r>
        <w:t xml:space="preserve"> </w:t>
      </w:r>
      <w:r w:rsidRPr="0047587C">
        <w:t>van Aalst</w:t>
      </w:r>
      <w:r>
        <w:t xml:space="preserve"> MK, </w:t>
      </w:r>
      <w:r w:rsidRPr="0047587C">
        <w:t>Philip</w:t>
      </w:r>
      <w:r>
        <w:t xml:space="preserve"> SY</w:t>
      </w:r>
      <w:r w:rsidRPr="0047587C">
        <w:t>, Vautard</w:t>
      </w:r>
      <w:r>
        <w:t xml:space="preserve"> R</w:t>
      </w:r>
      <w:r w:rsidRPr="0047587C">
        <w:t>, and</w:t>
      </w:r>
      <w:r>
        <w:t xml:space="preserve"> </w:t>
      </w:r>
      <w:r w:rsidRPr="0047587C">
        <w:t>Otto</w:t>
      </w:r>
      <w:r>
        <w:t xml:space="preserve"> FEL 2021, ‘Attribution of the Australian bushfire risk to anthropogenic climate change’, </w:t>
      </w:r>
      <w:r w:rsidRPr="000F04CC">
        <w:rPr>
          <w:i/>
          <w:iCs/>
        </w:rPr>
        <w:t>Natural Hazards and Earth System Sciences</w:t>
      </w:r>
      <w:r>
        <w:t>, vol 21, pp.</w:t>
      </w:r>
      <w:r w:rsidR="001F3ADD">
        <w:t xml:space="preserve"> </w:t>
      </w:r>
      <w:r>
        <w:t xml:space="preserve">241-960. </w:t>
      </w:r>
    </w:p>
    <w:p w14:paraId="3C4EC6D6" w14:textId="0EE6C65E" w:rsidR="009D6347" w:rsidRPr="00EA4FA8" w:rsidRDefault="009D6347" w:rsidP="37B40189">
      <w:pPr>
        <w:pStyle w:val="Body"/>
      </w:pPr>
      <w:r w:rsidRPr="00EA4FA8">
        <w:t xml:space="preserve">Victorian Health and Human Services Building Authority 2018, </w:t>
      </w:r>
      <w:r w:rsidR="04579092" w:rsidRPr="00EA4FA8">
        <w:t>‘</w:t>
      </w:r>
      <w:r w:rsidRPr="00EA4FA8">
        <w:t>Environmental sustainability strategy 2018–19 to 2022–23</w:t>
      </w:r>
      <w:r w:rsidR="436AA710" w:rsidRPr="00EA4FA8">
        <w:t>’</w:t>
      </w:r>
      <w:r w:rsidRPr="00EA4FA8">
        <w:t>, State Government of Victoria, Melbourne.</w:t>
      </w:r>
    </w:p>
    <w:p w14:paraId="352EDE74" w14:textId="77777777" w:rsidR="009D6347" w:rsidRPr="00261116" w:rsidRDefault="009D6347" w:rsidP="009D6347">
      <w:pPr>
        <w:pStyle w:val="Body"/>
      </w:pPr>
      <w:bookmarkStart w:id="26" w:name="_Hlk114169236"/>
      <w:r w:rsidRPr="00261116">
        <w:t xml:space="preserve">Watts N, Adger W, Agnolucci P, Blackstock J, Byass P, Cai W and Costello A 2015,’ Health and climate change: policy responses to protect public health’, </w:t>
      </w:r>
      <w:r w:rsidRPr="00261116">
        <w:rPr>
          <w:i/>
          <w:iCs/>
        </w:rPr>
        <w:t>The Lancet</w:t>
      </w:r>
      <w:r w:rsidRPr="00261116">
        <w:t>, vol. 386, no. 7.</w:t>
      </w:r>
    </w:p>
    <w:bookmarkEnd w:id="26"/>
    <w:p w14:paraId="224340B1" w14:textId="0224CF69" w:rsidR="009D6347" w:rsidRDefault="009D6347" w:rsidP="0092449E">
      <w:pPr>
        <w:pStyle w:val="Body"/>
      </w:pPr>
      <w:r>
        <w:t xml:space="preserve">Zhang Y, Beggs PJ, McGushin A, Bambrick H, Trueck S, Hanigan IC, Morgan GG, Berry HL, Linnenluecke MK, Johnston FH, Capon AG, Watts N, 2020, ‘The 2020 special report of the MJA-Lancet Countdown on health and climate change: lessons learnt from Australia’s “Black Summer”’, </w:t>
      </w:r>
      <w:r w:rsidRPr="37B40189">
        <w:rPr>
          <w:i/>
          <w:iCs/>
        </w:rPr>
        <w:t>The Medical journal of Australia</w:t>
      </w:r>
      <w:r>
        <w:t>, vol. 213, no.11, pp.</w:t>
      </w:r>
      <w:r w:rsidR="001F3ADD">
        <w:t xml:space="preserve"> </w:t>
      </w:r>
      <w:r>
        <w:t xml:space="preserve">290-492. </w:t>
      </w:r>
      <w:r>
        <w:br w:type="page"/>
      </w:r>
    </w:p>
    <w:p w14:paraId="3D6FBDF0" w14:textId="038FBFF4" w:rsidR="009D6347" w:rsidRPr="00A71CE4" w:rsidRDefault="009D6347" w:rsidP="009D6347">
      <w:pPr>
        <w:pStyle w:val="Heading1"/>
        <w:spacing w:before="0"/>
      </w:pPr>
      <w:bookmarkStart w:id="27" w:name="_Toc116981351"/>
      <w:bookmarkStart w:id="28" w:name="_Toc128138642"/>
      <w:r>
        <w:lastRenderedPageBreak/>
        <w:t xml:space="preserve">Chapter </w:t>
      </w:r>
      <w:r w:rsidR="005233A6">
        <w:t>3</w:t>
      </w:r>
      <w:r>
        <w:t xml:space="preserve"> </w:t>
      </w:r>
      <w:r w:rsidR="00743C73">
        <w:t>–</w:t>
      </w:r>
      <w:r>
        <w:t xml:space="preserve"> Environmental Health</w:t>
      </w:r>
      <w:bookmarkEnd w:id="27"/>
      <w:bookmarkEnd w:id="28"/>
      <w:r>
        <w:t xml:space="preserve"> </w:t>
      </w:r>
    </w:p>
    <w:p w14:paraId="02D67C0E" w14:textId="0CD55B11" w:rsidR="009D6347" w:rsidRPr="004F0605" w:rsidRDefault="009D6347" w:rsidP="009D6347">
      <w:pPr>
        <w:pStyle w:val="Body"/>
      </w:pPr>
      <w:r w:rsidRPr="004F0605">
        <w:t xml:space="preserve">Environmental health </w:t>
      </w:r>
      <w:r w:rsidR="009739A4">
        <w:t xml:space="preserve">is all about </w:t>
      </w:r>
      <w:r>
        <w:t>reducing exposure</w:t>
      </w:r>
      <w:r w:rsidR="009739A4">
        <w:t>s</w:t>
      </w:r>
      <w:r>
        <w:t xml:space="preserve"> </w:t>
      </w:r>
      <w:r w:rsidR="003F2033">
        <w:t xml:space="preserve">to </w:t>
      </w:r>
      <w:r>
        <w:t>environmental factors that cause disease and</w:t>
      </w:r>
      <w:r w:rsidRPr="004F0605">
        <w:t xml:space="preserve"> create environments</w:t>
      </w:r>
      <w:r>
        <w:t xml:space="preserve"> that are good for </w:t>
      </w:r>
      <w:r w:rsidR="009739A4">
        <w:t xml:space="preserve">human </w:t>
      </w:r>
      <w:r>
        <w:t>health</w:t>
      </w:r>
      <w:r w:rsidRPr="004F0605">
        <w:t>. </w:t>
      </w:r>
    </w:p>
    <w:p w14:paraId="7961CCB8" w14:textId="6207B319" w:rsidR="009D6347" w:rsidRPr="004F0605" w:rsidRDefault="009D6347" w:rsidP="009D6347">
      <w:pPr>
        <w:pStyle w:val="Body"/>
      </w:pPr>
      <w:r>
        <w:t>H</w:t>
      </w:r>
      <w:r w:rsidRPr="004F0605">
        <w:t xml:space="preserve">uman health </w:t>
      </w:r>
      <w:r>
        <w:t>is</w:t>
      </w:r>
      <w:r w:rsidRPr="004F0605">
        <w:t xml:space="preserve"> determined by physical, chemical, biological</w:t>
      </w:r>
      <w:r w:rsidR="009739A4">
        <w:t>,</w:t>
      </w:r>
      <w:r w:rsidRPr="004F0605">
        <w:t xml:space="preserve"> and social factors. </w:t>
      </w:r>
      <w:r w:rsidR="009739A4">
        <w:t>The purpose of e</w:t>
      </w:r>
      <w:r w:rsidRPr="004F0605">
        <w:t xml:space="preserve">nvironmental health </w:t>
      </w:r>
      <w:r w:rsidR="009739A4">
        <w:t xml:space="preserve">is </w:t>
      </w:r>
      <w:r w:rsidRPr="004F0605">
        <w:t>to</w:t>
      </w:r>
      <w:r w:rsidR="009739A4">
        <w:t xml:space="preserve"> achieve best possible outcomes for public health</w:t>
      </w:r>
      <w:r w:rsidRPr="004F0605">
        <w:t xml:space="preserve"> </w:t>
      </w:r>
      <w:r w:rsidR="009739A4">
        <w:t xml:space="preserve">by </w:t>
      </w:r>
      <w:r w:rsidRPr="004F0605">
        <w:t>assess</w:t>
      </w:r>
      <w:r w:rsidR="009739A4">
        <w:t>ing</w:t>
      </w:r>
      <w:r w:rsidRPr="004F0605">
        <w:t xml:space="preserve"> and </w:t>
      </w:r>
      <w:r>
        <w:t>manag</w:t>
      </w:r>
      <w:r w:rsidR="009739A4">
        <w:t>ing</w:t>
      </w:r>
      <w:r>
        <w:t xml:space="preserve"> </w:t>
      </w:r>
      <w:r w:rsidR="009739A4">
        <w:t xml:space="preserve">those </w:t>
      </w:r>
      <w:r w:rsidR="009739A4" w:rsidRPr="004F0605">
        <w:t>physical, chemical, biological</w:t>
      </w:r>
      <w:r w:rsidR="009739A4">
        <w:t>,</w:t>
      </w:r>
      <w:r w:rsidR="009739A4" w:rsidRPr="004F0605">
        <w:t xml:space="preserve"> and social </w:t>
      </w:r>
      <w:r w:rsidRPr="004F0605">
        <w:t>factors. </w:t>
      </w:r>
    </w:p>
    <w:p w14:paraId="3484A24A" w14:textId="483C28F0" w:rsidR="009D6347" w:rsidRDefault="009739A4" w:rsidP="009D6347">
      <w:pPr>
        <w:pStyle w:val="Body"/>
      </w:pPr>
      <w:r>
        <w:t>With that in mind, t</w:t>
      </w:r>
      <w:r w:rsidR="009D6347" w:rsidRPr="004F0605">
        <w:t xml:space="preserve">his section of </w:t>
      </w:r>
      <w:r w:rsidR="000C3EA4" w:rsidRPr="003E6699">
        <w:rPr>
          <w:i/>
          <w:iCs/>
        </w:rPr>
        <w:t xml:space="preserve">Your </w:t>
      </w:r>
      <w:r>
        <w:rPr>
          <w:i/>
          <w:iCs/>
        </w:rPr>
        <w:t>h</w:t>
      </w:r>
      <w:r w:rsidR="000C3EA4" w:rsidRPr="003E6699">
        <w:rPr>
          <w:i/>
          <w:iCs/>
        </w:rPr>
        <w:t>ealth</w:t>
      </w:r>
      <w:r w:rsidR="009D6347" w:rsidRPr="003E6699">
        <w:rPr>
          <w:i/>
        </w:rPr>
        <w:t xml:space="preserve"> </w:t>
      </w:r>
      <w:r>
        <w:rPr>
          <w:iCs/>
        </w:rPr>
        <w:t xml:space="preserve">focuses on </w:t>
      </w:r>
      <w:r w:rsidR="009D6347">
        <w:t xml:space="preserve">ambient (outdoor) </w:t>
      </w:r>
      <w:r w:rsidR="009D6347" w:rsidRPr="004F0605">
        <w:t>air quality</w:t>
      </w:r>
      <w:r w:rsidR="009D6347">
        <w:t xml:space="preserve">, </w:t>
      </w:r>
      <w:r w:rsidR="009D6347" w:rsidRPr="004F0605">
        <w:t>indoor air quality</w:t>
      </w:r>
      <w:r>
        <w:t>,</w:t>
      </w:r>
      <w:r w:rsidR="009D6347" w:rsidRPr="004F0605">
        <w:t xml:space="preserve"> </w:t>
      </w:r>
      <w:r w:rsidR="009D6347">
        <w:t>and</w:t>
      </w:r>
      <w:r w:rsidR="009D6347" w:rsidRPr="004F0605">
        <w:t xml:space="preserve"> heat health</w:t>
      </w:r>
      <w:r w:rsidR="009D6347">
        <w:t>.</w:t>
      </w:r>
      <w:r w:rsidR="009D6347" w:rsidRPr="004F0605">
        <w:t> It also discusses the significant thunderstorm asthma event of late 2016.</w:t>
      </w:r>
      <w:r w:rsidR="009D6347">
        <w:t xml:space="preserve"> </w:t>
      </w:r>
    </w:p>
    <w:p w14:paraId="5F52CE8B" w14:textId="77777777" w:rsidR="009D6347" w:rsidRDefault="009D6347" w:rsidP="009D6347">
      <w:pPr>
        <w:pStyle w:val="Heading2"/>
      </w:pPr>
      <w:bookmarkStart w:id="29" w:name="_Toc116981352"/>
      <w:r>
        <w:t>Air quality</w:t>
      </w:r>
      <w:bookmarkEnd w:id="29"/>
      <w:r>
        <w:t xml:space="preserve"> </w:t>
      </w:r>
    </w:p>
    <w:p w14:paraId="2027268E" w14:textId="08C95207" w:rsidR="009D6347" w:rsidRDefault="007A2EF3" w:rsidP="003F13CD">
      <w:r>
        <w:rPr>
          <w:rFonts w:eastAsia="Times"/>
        </w:rPr>
        <w:t xml:space="preserve">Generally, </w:t>
      </w:r>
      <w:r w:rsidR="009D6347" w:rsidRPr="001B00ED">
        <w:rPr>
          <w:rFonts w:eastAsia="Times"/>
        </w:rPr>
        <w:t>Victoria's air quality is good</w:t>
      </w:r>
      <w:r>
        <w:rPr>
          <w:rFonts w:eastAsia="Times"/>
        </w:rPr>
        <w:t xml:space="preserve">, but there are </w:t>
      </w:r>
      <w:r w:rsidR="009D6347">
        <w:rPr>
          <w:rFonts w:eastAsia="Times"/>
        </w:rPr>
        <w:t xml:space="preserve">times </w:t>
      </w:r>
      <w:r>
        <w:rPr>
          <w:rFonts w:eastAsia="Times"/>
        </w:rPr>
        <w:t xml:space="preserve">when </w:t>
      </w:r>
      <w:r w:rsidR="009D6347">
        <w:rPr>
          <w:rFonts w:eastAsia="Times"/>
        </w:rPr>
        <w:t>air pollution occurs at concentrations that affect the environment and human health.</w:t>
      </w:r>
      <w:r w:rsidR="009D6347">
        <w:t xml:space="preserve"> </w:t>
      </w:r>
    </w:p>
    <w:p w14:paraId="18FED281" w14:textId="77777777" w:rsidR="009D6347" w:rsidRDefault="009D6347" w:rsidP="009D6347">
      <w:pPr>
        <w:pStyle w:val="Heading3"/>
        <w:rPr>
          <w:b/>
        </w:rPr>
      </w:pPr>
      <w:r>
        <w:t>Effects of air pollution on health</w:t>
      </w:r>
    </w:p>
    <w:p w14:paraId="02DE6C31" w14:textId="46561E19" w:rsidR="009D6347" w:rsidRDefault="009D6347" w:rsidP="009D6347">
      <w:pPr>
        <w:rPr>
          <w:rFonts w:eastAsia="Times"/>
          <w:szCs w:val="21"/>
        </w:rPr>
      </w:pPr>
      <w:r w:rsidRPr="331DA8E2">
        <w:rPr>
          <w:rFonts w:eastAsia="Times"/>
          <w:szCs w:val="21"/>
        </w:rPr>
        <w:t>Air pollution can cause symptoms immediately upon exposure</w:t>
      </w:r>
      <w:r w:rsidR="007A2EF3">
        <w:rPr>
          <w:rFonts w:eastAsia="Times"/>
          <w:szCs w:val="21"/>
        </w:rPr>
        <w:t xml:space="preserve">. Those symptoms include </w:t>
      </w:r>
      <w:r w:rsidRPr="331DA8E2">
        <w:rPr>
          <w:rFonts w:eastAsia="Times"/>
          <w:szCs w:val="21"/>
        </w:rPr>
        <w:t>coughing, watering eyes, difficulty breathing</w:t>
      </w:r>
      <w:r w:rsidR="007A2EF3">
        <w:rPr>
          <w:rFonts w:eastAsia="Times"/>
          <w:szCs w:val="21"/>
        </w:rPr>
        <w:t>,</w:t>
      </w:r>
      <w:r w:rsidRPr="331DA8E2">
        <w:rPr>
          <w:rFonts w:eastAsia="Times"/>
          <w:szCs w:val="21"/>
        </w:rPr>
        <w:t xml:space="preserve"> and angina.</w:t>
      </w:r>
    </w:p>
    <w:p w14:paraId="3EBF9F44" w14:textId="3412A62A" w:rsidR="00EB5251" w:rsidRPr="003F13CD" w:rsidRDefault="00EB5251" w:rsidP="00EB5251">
      <w:pPr>
        <w:rPr>
          <w:rFonts w:ascii="Source Sans Pro" w:hAnsi="Source Sans Pro"/>
          <w:color w:val="000000" w:themeColor="text1"/>
          <w:sz w:val="27"/>
          <w:szCs w:val="27"/>
          <w:shd w:val="clear" w:color="auto" w:fill="FFFFFF"/>
        </w:rPr>
      </w:pPr>
      <w:r>
        <w:rPr>
          <w:rFonts w:eastAsia="Times"/>
        </w:rPr>
        <w:t xml:space="preserve">Long-term exposure can, over time, affect health or worsen medical conditions (EPA Victoria, 2018). Air pollution can cause allergies and asthma, lung and respiratory diseases, heart disease and some types of cancer. </w:t>
      </w:r>
      <w:r>
        <w:rPr>
          <w:rFonts w:eastAsia="Times"/>
          <w:szCs w:val="21"/>
        </w:rPr>
        <w:t>The Australian Institute of Health and Welfare estimated that in 2015 around 2,566 deaths were attributable to air pollution </w:t>
      </w:r>
      <w:hyperlink r:id="rId19" w:history="1">
        <w:r w:rsidRPr="005669DC">
          <w:rPr>
            <w:rStyle w:val="Hyperlink"/>
            <w:rFonts w:eastAsia="Times"/>
            <w:color w:val="365F91" w:themeColor="accent1" w:themeShade="BF"/>
          </w:rPr>
          <w:t>(AIHW 2020)</w:t>
        </w:r>
      </w:hyperlink>
      <w:r w:rsidR="003F13CD">
        <w:rPr>
          <w:rStyle w:val="Hyperlink"/>
          <w:rFonts w:eastAsia="Times"/>
          <w:szCs w:val="21"/>
        </w:rPr>
        <w:t xml:space="preserve"> </w:t>
      </w:r>
      <w:r w:rsidR="003F13CD" w:rsidRPr="003F13CD">
        <w:rPr>
          <w:rStyle w:val="Hyperlink"/>
          <w:rFonts w:eastAsia="Times"/>
          <w:color w:val="000000" w:themeColor="text1"/>
          <w:szCs w:val="21"/>
        </w:rPr>
        <w:t>&lt;</w:t>
      </w:r>
      <w:r w:rsidR="003F13CD" w:rsidRPr="003F13CD">
        <w:rPr>
          <w:rFonts w:eastAsia="MS Gothic"/>
          <w:color w:val="000000" w:themeColor="text1"/>
        </w:rPr>
        <w:t>Reference | Australia state of the environment 2021 (dcceew.gov.au)</w:t>
      </w:r>
      <w:r w:rsidR="003F13CD" w:rsidRPr="003F13CD">
        <w:rPr>
          <w:color w:val="000000" w:themeColor="text1"/>
        </w:rPr>
        <w:t>&gt;</w:t>
      </w:r>
      <w:r w:rsidRPr="003F13CD">
        <w:rPr>
          <w:rFonts w:ascii="Source Sans Pro" w:hAnsi="Source Sans Pro"/>
          <w:color w:val="000000" w:themeColor="text1"/>
          <w:sz w:val="27"/>
          <w:szCs w:val="27"/>
          <w:shd w:val="clear" w:color="auto" w:fill="FFFFFF"/>
        </w:rPr>
        <w:t xml:space="preserve">. </w:t>
      </w:r>
    </w:p>
    <w:p w14:paraId="7865FC41" w14:textId="77777777" w:rsidR="009D6347" w:rsidRPr="009E7A69" w:rsidRDefault="009D6347" w:rsidP="009D6347">
      <w:pPr>
        <w:pStyle w:val="Heading3"/>
        <w:rPr>
          <w:b/>
        </w:rPr>
      </w:pPr>
      <w:r>
        <w:t>Causes of poor air quality</w:t>
      </w:r>
    </w:p>
    <w:p w14:paraId="7B8B3F53" w14:textId="7C39646D" w:rsidR="009D6347" w:rsidRPr="00D414EB" w:rsidRDefault="009D6347" w:rsidP="009D6347">
      <w:pPr>
        <w:rPr>
          <w:rFonts w:eastAsia="Times"/>
          <w:szCs w:val="21"/>
        </w:rPr>
      </w:pPr>
      <w:r w:rsidRPr="00D414EB">
        <w:rPr>
          <w:rFonts w:eastAsia="Times"/>
          <w:szCs w:val="21"/>
        </w:rPr>
        <w:t>A</w:t>
      </w:r>
      <w:r w:rsidR="007A2EF3">
        <w:rPr>
          <w:rFonts w:eastAsia="Times"/>
          <w:szCs w:val="21"/>
        </w:rPr>
        <w:t>ir quality can be impacted by a</w:t>
      </w:r>
      <w:r w:rsidRPr="00D414EB">
        <w:rPr>
          <w:rFonts w:eastAsia="Times"/>
          <w:szCs w:val="21"/>
        </w:rPr>
        <w:t xml:space="preserve"> range of natural and human sources of air pollution.</w:t>
      </w:r>
    </w:p>
    <w:p w14:paraId="0520C63A" w14:textId="66C39C5B" w:rsidR="009D6347" w:rsidRPr="00D414EB" w:rsidRDefault="009D6347" w:rsidP="009D6347">
      <w:pPr>
        <w:rPr>
          <w:rFonts w:eastAsia="Times"/>
          <w:szCs w:val="21"/>
        </w:rPr>
      </w:pPr>
      <w:r w:rsidRPr="00D414EB">
        <w:rPr>
          <w:rFonts w:eastAsia="Times"/>
          <w:szCs w:val="21"/>
        </w:rPr>
        <w:t xml:space="preserve">Primary air pollutants </w:t>
      </w:r>
      <w:r w:rsidR="007A2EF3">
        <w:rPr>
          <w:rFonts w:eastAsia="Times"/>
          <w:szCs w:val="21"/>
        </w:rPr>
        <w:t xml:space="preserve">– </w:t>
      </w:r>
      <w:r>
        <w:rPr>
          <w:rFonts w:eastAsia="Times"/>
          <w:szCs w:val="21"/>
        </w:rPr>
        <w:t xml:space="preserve">in the form of particles and gas </w:t>
      </w:r>
      <w:r w:rsidR="007A2EF3">
        <w:rPr>
          <w:rFonts w:eastAsia="Times"/>
          <w:szCs w:val="21"/>
        </w:rPr>
        <w:t xml:space="preserve">– </w:t>
      </w:r>
      <w:r w:rsidRPr="00D414EB">
        <w:rPr>
          <w:rFonts w:eastAsia="Times"/>
          <w:szCs w:val="21"/>
        </w:rPr>
        <w:t>are directly emitted through mechanical or combustion processes.</w:t>
      </w:r>
      <w:r w:rsidR="007A2EF3">
        <w:rPr>
          <w:rFonts w:eastAsia="Times"/>
          <w:szCs w:val="21"/>
        </w:rPr>
        <w:t xml:space="preserve"> </w:t>
      </w:r>
      <w:r>
        <w:rPr>
          <w:rFonts w:eastAsia="Times"/>
          <w:szCs w:val="21"/>
        </w:rPr>
        <w:t xml:space="preserve">Inhalable particulate air pollutants </w:t>
      </w:r>
      <w:r w:rsidRPr="00D414EB">
        <w:rPr>
          <w:rFonts w:eastAsia="Times"/>
          <w:szCs w:val="21"/>
        </w:rPr>
        <w:t>are measured in micro</w:t>
      </w:r>
      <w:r>
        <w:rPr>
          <w:rFonts w:eastAsia="Times"/>
          <w:szCs w:val="21"/>
        </w:rPr>
        <w:t>metres</w:t>
      </w:r>
      <w:r w:rsidR="007A2EF3">
        <w:rPr>
          <w:rFonts w:eastAsia="Times"/>
          <w:szCs w:val="21"/>
        </w:rPr>
        <w:t>,</w:t>
      </w:r>
      <w:r>
        <w:rPr>
          <w:rFonts w:eastAsia="Times"/>
          <w:szCs w:val="21"/>
        </w:rPr>
        <w:t xml:space="preserve"> </w:t>
      </w:r>
      <w:r w:rsidRPr="00D414EB">
        <w:rPr>
          <w:rFonts w:eastAsia="Times"/>
          <w:szCs w:val="21"/>
        </w:rPr>
        <w:t>according to the size of the particles.</w:t>
      </w:r>
    </w:p>
    <w:p w14:paraId="5561620E" w14:textId="329A3169" w:rsidR="009D6347" w:rsidRPr="00D414EB" w:rsidRDefault="009D6347" w:rsidP="009D6347">
      <w:pPr>
        <w:rPr>
          <w:rFonts w:eastAsia="Times"/>
          <w:szCs w:val="21"/>
        </w:rPr>
      </w:pPr>
      <w:r w:rsidRPr="00D414EB">
        <w:rPr>
          <w:rFonts w:eastAsia="Times"/>
          <w:szCs w:val="21"/>
        </w:rPr>
        <w:t xml:space="preserve">Examples </w:t>
      </w:r>
      <w:r w:rsidR="007A2EF3">
        <w:rPr>
          <w:rFonts w:eastAsia="Times"/>
          <w:szCs w:val="21"/>
        </w:rPr>
        <w:t xml:space="preserve">of particulate air pollutants </w:t>
      </w:r>
      <w:r w:rsidRPr="00D414EB">
        <w:rPr>
          <w:rFonts w:eastAsia="Times"/>
          <w:szCs w:val="21"/>
        </w:rPr>
        <w:t>include:</w:t>
      </w:r>
    </w:p>
    <w:p w14:paraId="13FB9BC4" w14:textId="48F8BA61" w:rsidR="009D6347" w:rsidRPr="00D414EB" w:rsidRDefault="009D6347" w:rsidP="009D6347">
      <w:pPr>
        <w:pStyle w:val="Bullet1"/>
      </w:pPr>
      <w:r w:rsidRPr="00D414EB">
        <w:t>PM</w:t>
      </w:r>
      <w:r w:rsidRPr="00CE291F">
        <w:rPr>
          <w:vertAlign w:val="subscript"/>
        </w:rPr>
        <w:t>10</w:t>
      </w:r>
      <w:r w:rsidRPr="00D414EB">
        <w:t xml:space="preserve"> (</w:t>
      </w:r>
      <w:r>
        <w:t xml:space="preserve">particles of </w:t>
      </w:r>
      <w:r w:rsidRPr="00D414EB">
        <w:t>10 micro</w:t>
      </w:r>
      <w:r>
        <w:t>metres or smaller</w:t>
      </w:r>
      <w:r w:rsidRPr="00D414EB">
        <w:t xml:space="preserve">) in wind-blown dust from </w:t>
      </w:r>
      <w:r>
        <w:t xml:space="preserve">storms, </w:t>
      </w:r>
      <w:r w:rsidRPr="00D414EB">
        <w:t>unpaved roads</w:t>
      </w:r>
      <w:r>
        <w:t>, earth works and mineral mining</w:t>
      </w:r>
      <w:r w:rsidR="007A2EF3">
        <w:t>.</w:t>
      </w:r>
    </w:p>
    <w:p w14:paraId="3693582A" w14:textId="77777777" w:rsidR="009D6347" w:rsidRDefault="009D6347" w:rsidP="009D6347">
      <w:pPr>
        <w:pStyle w:val="Bullet1"/>
      </w:pPr>
      <w:r w:rsidRPr="00D414EB">
        <w:t>PM</w:t>
      </w:r>
      <w:r w:rsidRPr="00CE291F">
        <w:rPr>
          <w:vertAlign w:val="subscript"/>
        </w:rPr>
        <w:t xml:space="preserve">2.5 </w:t>
      </w:r>
      <w:r w:rsidRPr="00D414EB">
        <w:t>(</w:t>
      </w:r>
      <w:r>
        <w:t xml:space="preserve">particles </w:t>
      </w:r>
      <w:r w:rsidRPr="00D414EB">
        <w:t xml:space="preserve">2.5 </w:t>
      </w:r>
      <w:r>
        <w:t>micrometres or smaller</w:t>
      </w:r>
      <w:r w:rsidRPr="00D414EB">
        <w:t>) in smoke from bushfires, and from burning</w:t>
      </w:r>
      <w:r>
        <w:t xml:space="preserve"> wood,</w:t>
      </w:r>
      <w:r w:rsidRPr="00D414EB">
        <w:t xml:space="preserve"> coal or diesel fuel.</w:t>
      </w:r>
    </w:p>
    <w:p w14:paraId="4DAA124F" w14:textId="77777777" w:rsidR="009D6347" w:rsidRPr="00D414EB" w:rsidRDefault="009D6347" w:rsidP="009D6347">
      <w:pPr>
        <w:pStyle w:val="Bullet1"/>
        <w:numPr>
          <w:ilvl w:val="0"/>
          <w:numId w:val="0"/>
        </w:numPr>
        <w:ind w:left="284"/>
      </w:pPr>
    </w:p>
    <w:p w14:paraId="12EC4A40" w14:textId="0294AAEF" w:rsidR="009D6347" w:rsidRPr="00D414EB" w:rsidRDefault="009D6347" w:rsidP="009D6347">
      <w:pPr>
        <w:rPr>
          <w:rFonts w:eastAsia="Times"/>
          <w:szCs w:val="21"/>
        </w:rPr>
      </w:pPr>
      <w:r w:rsidRPr="00D414EB">
        <w:rPr>
          <w:rFonts w:eastAsia="Times"/>
          <w:szCs w:val="21"/>
        </w:rPr>
        <w:t>Secondary air pollutants are formed from chemical reactions in the atmosphere.</w:t>
      </w:r>
      <w:r w:rsidR="007A2EF3">
        <w:rPr>
          <w:rFonts w:eastAsia="Times"/>
          <w:szCs w:val="21"/>
        </w:rPr>
        <w:t xml:space="preserve"> For example, o</w:t>
      </w:r>
      <w:r w:rsidRPr="00D414EB">
        <w:rPr>
          <w:rFonts w:eastAsia="Times"/>
          <w:szCs w:val="21"/>
        </w:rPr>
        <w:t>zone</w:t>
      </w:r>
      <w:r>
        <w:rPr>
          <w:rFonts w:eastAsia="Times"/>
          <w:szCs w:val="21"/>
        </w:rPr>
        <w:t xml:space="preserve"> gas</w:t>
      </w:r>
      <w:r w:rsidR="007A2EF3">
        <w:rPr>
          <w:rFonts w:eastAsia="Times"/>
          <w:szCs w:val="21"/>
        </w:rPr>
        <w:t xml:space="preserve"> </w:t>
      </w:r>
      <w:r w:rsidRPr="00D414EB">
        <w:rPr>
          <w:rFonts w:eastAsia="Times"/>
          <w:szCs w:val="21"/>
        </w:rPr>
        <w:t>is formed in sunlight from the reaction of volatile organic compounds with nitrous oxides.</w:t>
      </w:r>
    </w:p>
    <w:p w14:paraId="0DE937E5" w14:textId="77777777" w:rsidR="009D6347" w:rsidRPr="009E7A69" w:rsidRDefault="009D6347" w:rsidP="009D6347">
      <w:pPr>
        <w:pStyle w:val="Heading3"/>
        <w:rPr>
          <w:b/>
        </w:rPr>
      </w:pPr>
      <w:r>
        <w:t xml:space="preserve">Air Monitoring in Victoria </w:t>
      </w:r>
    </w:p>
    <w:p w14:paraId="4711F9F9" w14:textId="4FA27197" w:rsidR="009D6347" w:rsidRDefault="009D6347" w:rsidP="009D6347">
      <w:pPr>
        <w:pStyle w:val="Body"/>
        <w:rPr>
          <w:rFonts w:cs="Arial"/>
          <w:color w:val="2A2736"/>
        </w:rPr>
      </w:pPr>
      <w:r>
        <w:rPr>
          <w:rFonts w:cs="Arial"/>
          <w:color w:val="2A2736"/>
        </w:rPr>
        <w:t>Victoria’s air quality was generally good in 2019</w:t>
      </w:r>
      <w:r w:rsidR="007A2EF3">
        <w:rPr>
          <w:rFonts w:cs="Arial"/>
          <w:color w:val="2A2736"/>
        </w:rPr>
        <w:t xml:space="preserve">. However, </w:t>
      </w:r>
      <w:r>
        <w:rPr>
          <w:rFonts w:cs="Arial"/>
          <w:color w:val="2A2736"/>
        </w:rPr>
        <w:t>there were periods of worsened air quality</w:t>
      </w:r>
      <w:r w:rsidR="007A2EF3">
        <w:rPr>
          <w:rFonts w:cs="Arial"/>
          <w:color w:val="2A2736"/>
        </w:rPr>
        <w:t>,</w:t>
      </w:r>
      <w:r>
        <w:rPr>
          <w:rFonts w:cs="Arial"/>
          <w:color w:val="2A2736"/>
        </w:rPr>
        <w:t xml:space="preserve"> due mostly to smoke and urban pollution (</w:t>
      </w:r>
      <w:r w:rsidR="007A2EF3">
        <w:rPr>
          <w:rFonts w:cs="Arial"/>
          <w:color w:val="2A2736"/>
        </w:rPr>
        <w:t>EPA</w:t>
      </w:r>
      <w:r w:rsidR="002C64A8">
        <w:rPr>
          <w:rFonts w:cs="Arial"/>
          <w:color w:val="2A2736"/>
        </w:rPr>
        <w:t xml:space="preserve"> Victoria</w:t>
      </w:r>
      <w:r w:rsidR="007A2EF3">
        <w:rPr>
          <w:rFonts w:cs="Arial"/>
          <w:color w:val="2A2736"/>
        </w:rPr>
        <w:t xml:space="preserve">, </w:t>
      </w:r>
      <w:r>
        <w:rPr>
          <w:rFonts w:cs="Arial"/>
          <w:color w:val="2A2736"/>
        </w:rPr>
        <w:t>2020).</w:t>
      </w:r>
    </w:p>
    <w:p w14:paraId="17AF9EA0" w14:textId="0F3A6124" w:rsidR="009D6347" w:rsidRDefault="007A2EF3" w:rsidP="009D6347">
      <w:pPr>
        <w:pStyle w:val="Body"/>
      </w:pPr>
      <w:r>
        <w:lastRenderedPageBreak/>
        <w:t>S</w:t>
      </w:r>
      <w:r w:rsidR="009D6347">
        <w:t xml:space="preserve">ome periods of poor air quality </w:t>
      </w:r>
      <w:r>
        <w:t xml:space="preserve">were </w:t>
      </w:r>
      <w:r w:rsidR="009D6347">
        <w:t>due to elevated levels of ozone</w:t>
      </w:r>
      <w:r>
        <w:t xml:space="preserve"> gas</w:t>
      </w:r>
      <w:r w:rsidR="009D6347">
        <w:t>, PM</w:t>
      </w:r>
      <w:r w:rsidR="009D6347" w:rsidRPr="0060752A">
        <w:rPr>
          <w:vertAlign w:val="subscript"/>
        </w:rPr>
        <w:t>10</w:t>
      </w:r>
      <w:r w:rsidR="009D6347">
        <w:t xml:space="preserve"> and PM</w:t>
      </w:r>
      <w:r w:rsidR="009D6347" w:rsidRPr="00270281">
        <w:rPr>
          <w:vertAlign w:val="subscript"/>
        </w:rPr>
        <w:t>2.5</w:t>
      </w:r>
      <w:r w:rsidR="009D6347">
        <w:t xml:space="preserve">. </w:t>
      </w:r>
      <w:r>
        <w:t>Overall, though, p</w:t>
      </w:r>
      <w:r w:rsidR="009D6347">
        <w:t>ollutant levels for carbon monoxide, nitrogen dioxide</w:t>
      </w:r>
      <w:r w:rsidR="002C64A8">
        <w:t>,</w:t>
      </w:r>
      <w:r w:rsidR="009D6347">
        <w:t xml:space="preserve"> and sul</w:t>
      </w:r>
      <w:r w:rsidR="002C64A8">
        <w:t>ph</w:t>
      </w:r>
      <w:r w:rsidR="009D6347">
        <w:t xml:space="preserve">ur dioxide were below the national ambient air quality standards in 2019 </w:t>
      </w:r>
      <w:r w:rsidR="00162887">
        <w:t>(</w:t>
      </w:r>
      <w:r w:rsidR="00AA19E2" w:rsidRPr="00AA19E2">
        <w:t xml:space="preserve">National </w:t>
      </w:r>
      <w:r>
        <w:t>E</w:t>
      </w:r>
      <w:r w:rsidR="00AA19E2" w:rsidRPr="00AA19E2">
        <w:t>nvironment Protection</w:t>
      </w:r>
      <w:r w:rsidR="0019013C">
        <w:t xml:space="preserve"> measures</w:t>
      </w:r>
      <w:r w:rsidR="00162887">
        <w:t>, 2019)</w:t>
      </w:r>
      <w:r w:rsidR="00C17931">
        <w:t>.</w:t>
      </w:r>
    </w:p>
    <w:p w14:paraId="47651972" w14:textId="389D8E2B" w:rsidR="009D6347" w:rsidRPr="003F3238" w:rsidRDefault="009D6347" w:rsidP="009D6347">
      <w:pPr>
        <w:pStyle w:val="Body"/>
      </w:pPr>
      <w:r>
        <w:t>Two major bushfires in eastern Victoria in 2019 were the main source</w:t>
      </w:r>
      <w:r w:rsidR="007A2EF3">
        <w:t>s</w:t>
      </w:r>
      <w:r>
        <w:t xml:space="preserve"> of high levels of PM</w:t>
      </w:r>
      <w:r w:rsidRPr="0060752A">
        <w:rPr>
          <w:vertAlign w:val="subscript"/>
        </w:rPr>
        <w:t>2.5</w:t>
      </w:r>
      <w:r>
        <w:t xml:space="preserve"> and ozone</w:t>
      </w:r>
      <w:r w:rsidR="007A2EF3">
        <w:t xml:space="preserve"> gases</w:t>
      </w:r>
      <w:r>
        <w:t xml:space="preserve">. </w:t>
      </w:r>
      <w:r w:rsidR="002C64A8">
        <w:t xml:space="preserve">During 2019, air monitoring stations also recorded increased numbers of days when </w:t>
      </w:r>
      <w:r>
        <w:t>PM</w:t>
      </w:r>
      <w:r w:rsidRPr="0060752A">
        <w:rPr>
          <w:vertAlign w:val="subscript"/>
        </w:rPr>
        <w:t>10</w:t>
      </w:r>
      <w:r w:rsidR="002C64A8">
        <w:t xml:space="preserve"> levels exceeded air quality standards.</w:t>
      </w:r>
      <w:r>
        <w:t xml:space="preserve"> </w:t>
      </w:r>
      <w:r w:rsidR="002C64A8">
        <w:t>S</w:t>
      </w:r>
      <w:r>
        <w:t xml:space="preserve">ome of these </w:t>
      </w:r>
      <w:r w:rsidR="002C64A8">
        <w:t>PM</w:t>
      </w:r>
      <w:r w:rsidR="002C64A8" w:rsidRPr="0060752A">
        <w:rPr>
          <w:vertAlign w:val="subscript"/>
        </w:rPr>
        <w:t>10</w:t>
      </w:r>
      <w:r w:rsidR="002C64A8">
        <w:t xml:space="preserve"> </w:t>
      </w:r>
      <w:r>
        <w:t>exceedances were</w:t>
      </w:r>
      <w:r w:rsidR="002C64A8">
        <w:t xml:space="preserve"> caused by </w:t>
      </w:r>
      <w:r>
        <w:t xml:space="preserve">bushfires, </w:t>
      </w:r>
      <w:r w:rsidR="002C64A8">
        <w:t xml:space="preserve">but </w:t>
      </w:r>
      <w:r>
        <w:t>the majority were from windblown dust most likely related to lower</w:t>
      </w:r>
      <w:r w:rsidR="002C64A8">
        <w:t>-</w:t>
      </w:r>
      <w:r>
        <w:t>than</w:t>
      </w:r>
      <w:r w:rsidR="002C64A8">
        <w:t>-</w:t>
      </w:r>
      <w:r>
        <w:t>average rainfall.</w:t>
      </w:r>
    </w:p>
    <w:p w14:paraId="0C8E0288" w14:textId="0F81DF37" w:rsidR="009D6347" w:rsidRPr="00B0433E" w:rsidRDefault="009D6347" w:rsidP="009D6347">
      <w:pPr>
        <w:pStyle w:val="Body"/>
        <w:rPr>
          <w:color w:val="000000" w:themeColor="text1"/>
          <w:szCs w:val="21"/>
        </w:rPr>
      </w:pPr>
      <w:r w:rsidRPr="00B0433E">
        <w:rPr>
          <w:rFonts w:cs="Arial"/>
          <w:color w:val="000000" w:themeColor="text1"/>
        </w:rPr>
        <w:t>Highlights from</w:t>
      </w:r>
      <w:r w:rsidR="002C64A8" w:rsidRPr="00B0433E">
        <w:rPr>
          <w:rFonts w:cs="Arial"/>
          <w:color w:val="000000" w:themeColor="text1"/>
        </w:rPr>
        <w:t xml:space="preserve"> </w:t>
      </w:r>
      <w:r w:rsidR="002C64A8" w:rsidRPr="00B0433E">
        <w:rPr>
          <w:rFonts w:cs="Arial"/>
          <w:i/>
          <w:iCs/>
          <w:color w:val="000000" w:themeColor="text1"/>
        </w:rPr>
        <w:t>Air pollution in Victoria – a summary of the state of knowledge</w:t>
      </w:r>
      <w:r w:rsidR="002C64A8" w:rsidRPr="00B0433E" w:rsidDel="002C64A8">
        <w:rPr>
          <w:rFonts w:cs="Arial"/>
          <w:color w:val="000000" w:themeColor="text1"/>
        </w:rPr>
        <w:t xml:space="preserve"> </w:t>
      </w:r>
      <w:r w:rsidRPr="00B0433E">
        <w:rPr>
          <w:rFonts w:cs="Arial"/>
          <w:color w:val="000000" w:themeColor="text1"/>
        </w:rPr>
        <w:t>(</w:t>
      </w:r>
      <w:r w:rsidR="002C64A8" w:rsidRPr="00B0433E">
        <w:rPr>
          <w:rFonts w:cs="Arial"/>
          <w:color w:val="000000" w:themeColor="text1"/>
        </w:rPr>
        <w:t>EPA Victoria,</w:t>
      </w:r>
      <w:r w:rsidRPr="00B0433E">
        <w:rPr>
          <w:rFonts w:cs="Arial"/>
          <w:color w:val="000000" w:themeColor="text1"/>
        </w:rPr>
        <w:t xml:space="preserve"> 2018) as well a</w:t>
      </w:r>
      <w:r w:rsidR="002C64A8" w:rsidRPr="00B0433E">
        <w:rPr>
          <w:rFonts w:cs="Arial"/>
          <w:color w:val="000000" w:themeColor="text1"/>
        </w:rPr>
        <w:t>s</w:t>
      </w:r>
      <w:r w:rsidRPr="00B0433E">
        <w:rPr>
          <w:rFonts w:cs="Arial"/>
          <w:color w:val="000000" w:themeColor="text1"/>
        </w:rPr>
        <w:t xml:space="preserve"> the </w:t>
      </w:r>
      <w:r w:rsidRPr="00B0433E">
        <w:rPr>
          <w:rFonts w:cs="Arial"/>
          <w:i/>
          <w:iCs/>
          <w:color w:val="000000" w:themeColor="text1"/>
        </w:rPr>
        <w:t>Air monitoring report 2019</w:t>
      </w:r>
      <w:r w:rsidRPr="00B0433E">
        <w:rPr>
          <w:rFonts w:cs="Arial"/>
          <w:color w:val="000000" w:themeColor="text1"/>
        </w:rPr>
        <w:t xml:space="preserve"> (</w:t>
      </w:r>
      <w:r w:rsidR="002C64A8" w:rsidRPr="00B0433E">
        <w:rPr>
          <w:rFonts w:cs="Arial"/>
          <w:color w:val="000000" w:themeColor="text1"/>
        </w:rPr>
        <w:t xml:space="preserve">EPA </w:t>
      </w:r>
      <w:r w:rsidRPr="00B0433E">
        <w:rPr>
          <w:rFonts w:cs="Arial"/>
          <w:color w:val="000000" w:themeColor="text1"/>
        </w:rPr>
        <w:t>Victoria</w:t>
      </w:r>
      <w:r w:rsidR="002C64A8" w:rsidRPr="00B0433E">
        <w:rPr>
          <w:rFonts w:cs="Arial"/>
          <w:color w:val="000000" w:themeColor="text1"/>
        </w:rPr>
        <w:t>,</w:t>
      </w:r>
      <w:r w:rsidRPr="00B0433E">
        <w:rPr>
          <w:rFonts w:cs="Arial"/>
          <w:color w:val="000000" w:themeColor="text1"/>
        </w:rPr>
        <w:t xml:space="preserve"> 2020) include:</w:t>
      </w:r>
    </w:p>
    <w:p w14:paraId="3F03E643" w14:textId="77777777" w:rsidR="009D6347" w:rsidRPr="00413B0C" w:rsidRDefault="009D6347" w:rsidP="009D6347">
      <w:pPr>
        <w:pStyle w:val="Heading3"/>
      </w:pPr>
      <w:r>
        <w:t>PM</w:t>
      </w:r>
      <w:r w:rsidRPr="00FC31A4">
        <w:rPr>
          <w:vertAlign w:val="subscript"/>
        </w:rPr>
        <w:t>10</w:t>
      </w:r>
      <w:r>
        <w:t xml:space="preserve"> Particles </w:t>
      </w:r>
    </w:p>
    <w:p w14:paraId="410A05B7" w14:textId="5211167B" w:rsidR="001A01B0" w:rsidRPr="001722A5" w:rsidRDefault="002C64A8" w:rsidP="001A01B0">
      <w:pPr>
        <w:pStyle w:val="Body"/>
      </w:pPr>
      <w:r>
        <w:t xml:space="preserve">The medium-term </w:t>
      </w:r>
      <w:r w:rsidR="001A01B0">
        <w:t>trends for air quality with regard to PM</w:t>
      </w:r>
      <w:r w:rsidR="001A01B0" w:rsidRPr="008D1B19">
        <w:rPr>
          <w:vertAlign w:val="subscript"/>
        </w:rPr>
        <w:t>10</w:t>
      </w:r>
      <w:r w:rsidR="00771F8F">
        <w:rPr>
          <w:vertAlign w:val="subscript"/>
        </w:rPr>
        <w:t xml:space="preserve"> </w:t>
      </w:r>
      <w:r>
        <w:t>are improving. However</w:t>
      </w:r>
      <w:r w:rsidR="001A01B0">
        <w:t xml:space="preserve">, there is a </w:t>
      </w:r>
      <w:r>
        <w:t xml:space="preserve">long-term </w:t>
      </w:r>
      <w:r w:rsidR="001A01B0">
        <w:t xml:space="preserve">danger of worsening air quality as a result of more frequent and extensive </w:t>
      </w:r>
      <w:r w:rsidR="00E4654F">
        <w:t xml:space="preserve">dry </w:t>
      </w:r>
      <w:r w:rsidR="00264CF6">
        <w:t xml:space="preserve">conditions and </w:t>
      </w:r>
      <w:r w:rsidR="001A01B0">
        <w:t>bushfires</w:t>
      </w:r>
      <w:r w:rsidR="00005325">
        <w:t xml:space="preserve"> </w:t>
      </w:r>
      <w:bookmarkStart w:id="30" w:name="_Hlk126936975"/>
      <w:r w:rsidR="00005325">
        <w:t xml:space="preserve">(Port Phillip region </w:t>
      </w:r>
      <w:r w:rsidR="00591131">
        <w:t>data</w:t>
      </w:r>
      <w:r w:rsidR="00C73E1E">
        <w:t>,</w:t>
      </w:r>
      <w:r w:rsidR="00C930F7">
        <w:t xml:space="preserve"> </w:t>
      </w:r>
      <w:r w:rsidR="001A01B0">
        <w:t>2019</w:t>
      </w:r>
      <w:bookmarkEnd w:id="30"/>
      <w:r w:rsidR="00005325">
        <w:t>)</w:t>
      </w:r>
      <w:r w:rsidR="009E6326">
        <w:t>.</w:t>
      </w:r>
    </w:p>
    <w:p w14:paraId="13A55D6D" w14:textId="28A40244" w:rsidR="009D6347" w:rsidRPr="001722A5" w:rsidRDefault="009D6347" w:rsidP="009D6347">
      <w:pPr>
        <w:pStyle w:val="Bullet1"/>
      </w:pPr>
      <w:r w:rsidRPr="001722A5">
        <w:t xml:space="preserve">The higher </w:t>
      </w:r>
      <w:r>
        <w:t>levels of</w:t>
      </w:r>
      <w:r w:rsidRPr="001722A5">
        <w:t xml:space="preserve"> PM</w:t>
      </w:r>
      <w:r w:rsidRPr="001722A5">
        <w:rPr>
          <w:vertAlign w:val="subscript"/>
        </w:rPr>
        <w:t>10</w:t>
      </w:r>
      <w:r w:rsidRPr="001722A5">
        <w:t xml:space="preserve"> (coarse) particles </w:t>
      </w:r>
      <w:r>
        <w:t>recorded</w:t>
      </w:r>
      <w:r w:rsidRPr="001722A5">
        <w:t xml:space="preserve"> in Melbourne </w:t>
      </w:r>
      <w:r w:rsidR="002C64A8">
        <w:t xml:space="preserve">between </w:t>
      </w:r>
      <w:r w:rsidRPr="001722A5">
        <w:t>2003</w:t>
      </w:r>
      <w:r w:rsidR="002C64A8">
        <w:t>-</w:t>
      </w:r>
      <w:r w:rsidRPr="001722A5">
        <w:t>2009</w:t>
      </w:r>
      <w:r>
        <w:t xml:space="preserve"> were heavily impacted by major bushfires, planned burns</w:t>
      </w:r>
      <w:r w:rsidR="002C64A8">
        <w:t>,</w:t>
      </w:r>
      <w:r>
        <w:t xml:space="preserve"> and </w:t>
      </w:r>
      <w:r w:rsidR="002C64A8">
        <w:t>the Mille</w:t>
      </w:r>
      <w:r w:rsidR="00010F7E">
        <w:t>n</w:t>
      </w:r>
      <w:r w:rsidR="002C64A8">
        <w:t xml:space="preserve">nium </w:t>
      </w:r>
      <w:r w:rsidR="00010F7E">
        <w:t>d</w:t>
      </w:r>
      <w:r>
        <w:t>rought.</w:t>
      </w:r>
      <w:r w:rsidRPr="001722A5">
        <w:t xml:space="preserve"> Since then, the number of </w:t>
      </w:r>
      <w:r w:rsidR="00010F7E" w:rsidRPr="001722A5">
        <w:t>PM</w:t>
      </w:r>
      <w:r w:rsidR="00010F7E" w:rsidRPr="001722A5">
        <w:rPr>
          <w:vertAlign w:val="subscript"/>
        </w:rPr>
        <w:t>10</w:t>
      </w:r>
      <w:r w:rsidR="00010F7E">
        <w:rPr>
          <w:vertAlign w:val="subscript"/>
        </w:rPr>
        <w:t xml:space="preserve"> </w:t>
      </w:r>
      <w:r w:rsidRPr="001722A5">
        <w:t xml:space="preserve">exceedance days has decreased, excluding Brooklyn </w:t>
      </w:r>
      <w:r w:rsidR="00010F7E">
        <w:t>(</w:t>
      </w:r>
      <w:r w:rsidRPr="001722A5">
        <w:t>which is influenced by localised sources of dust</w:t>
      </w:r>
      <w:r w:rsidR="00010F7E">
        <w:t>)</w:t>
      </w:r>
      <w:r w:rsidRPr="001722A5">
        <w:t>.</w:t>
      </w:r>
    </w:p>
    <w:p w14:paraId="30834E11" w14:textId="31DE27DE" w:rsidR="002F320F" w:rsidRDefault="009D6347" w:rsidP="009D6347">
      <w:pPr>
        <w:pStyle w:val="Bullet1"/>
      </w:pPr>
      <w:r w:rsidRPr="001722A5">
        <w:t xml:space="preserve">In 2019, </w:t>
      </w:r>
      <w:r>
        <w:t>there was an increase in the number of exceedances at many air monitoring stations. T</w:t>
      </w:r>
      <w:r w:rsidRPr="001722A5">
        <w:t>he PM</w:t>
      </w:r>
      <w:r w:rsidRPr="001722A5">
        <w:rPr>
          <w:vertAlign w:val="subscript"/>
        </w:rPr>
        <w:t>10</w:t>
      </w:r>
      <w:r w:rsidRPr="001722A5">
        <w:t xml:space="preserve"> particle 24-hour standard was exceeded for 41 days – </w:t>
      </w:r>
      <w:r w:rsidR="00010F7E">
        <w:t xml:space="preserve">with </w:t>
      </w:r>
      <w:r w:rsidRPr="001722A5">
        <w:t xml:space="preserve">33 of those </w:t>
      </w:r>
      <w:r w:rsidR="00010F7E">
        <w:t xml:space="preserve">days </w:t>
      </w:r>
      <w:r w:rsidRPr="001722A5">
        <w:t xml:space="preserve">attributed to wind-blown dust and eight </w:t>
      </w:r>
      <w:r w:rsidR="00010F7E">
        <w:t xml:space="preserve">caused by </w:t>
      </w:r>
      <w:r w:rsidRPr="001722A5">
        <w:t>fires.</w:t>
      </w:r>
      <w:r w:rsidRPr="006854E9">
        <w:t xml:space="preserve"> </w:t>
      </w:r>
      <w:r>
        <w:t xml:space="preserve">Bureau of Meteorology data indicates that rainfall in 2019 was approximately 28 per cent </w:t>
      </w:r>
      <w:r w:rsidR="00010F7E">
        <w:t xml:space="preserve">below </w:t>
      </w:r>
      <w:r>
        <w:t>the long-term mean.</w:t>
      </w:r>
      <w:r w:rsidR="00794B22">
        <w:t xml:space="preserve"> </w:t>
      </w:r>
    </w:p>
    <w:p w14:paraId="3C0DFF0B" w14:textId="77777777" w:rsidR="009D6347" w:rsidRPr="009E7A69" w:rsidRDefault="009D6347" w:rsidP="009D6347">
      <w:pPr>
        <w:pStyle w:val="Heading3"/>
        <w:rPr>
          <w:b/>
        </w:rPr>
      </w:pPr>
      <w:r>
        <w:t>PM</w:t>
      </w:r>
      <w:r w:rsidRPr="0055077C">
        <w:rPr>
          <w:vertAlign w:val="subscript"/>
        </w:rPr>
        <w:t>2.5</w:t>
      </w:r>
      <w:r>
        <w:t xml:space="preserve"> fine particles </w:t>
      </w:r>
    </w:p>
    <w:p w14:paraId="7FFE0C81" w14:textId="66195A90" w:rsidR="009D6347" w:rsidRPr="00EB59B3" w:rsidRDefault="00010F7E" w:rsidP="009D6347">
      <w:pPr>
        <w:pStyle w:val="Bullet1"/>
      </w:pPr>
      <w:r>
        <w:t>S</w:t>
      </w:r>
      <w:r w:rsidR="009D6347" w:rsidRPr="00EB59B3">
        <w:t>ince 2014, the number of days in Melbourne that exceeded the PM</w:t>
      </w:r>
      <w:r w:rsidR="009D6347" w:rsidRPr="00AF56CA">
        <w:rPr>
          <w:vertAlign w:val="subscript"/>
        </w:rPr>
        <w:t>2.5</w:t>
      </w:r>
      <w:r w:rsidR="009D6347" w:rsidRPr="00EB59B3">
        <w:t xml:space="preserve"> fine particle 24-hour standard has increased</w:t>
      </w:r>
      <w:r>
        <w:t>, c</w:t>
      </w:r>
      <w:r w:rsidRPr="00EB59B3">
        <w:t xml:space="preserve">ompared </w:t>
      </w:r>
      <w:r>
        <w:t xml:space="preserve">to </w:t>
      </w:r>
      <w:r w:rsidRPr="00EB59B3">
        <w:t>earlier years</w:t>
      </w:r>
      <w:r w:rsidR="009D6347" w:rsidRPr="00EB59B3">
        <w:t xml:space="preserve">. This </w:t>
      </w:r>
      <w:r>
        <w:t xml:space="preserve">increase </w:t>
      </w:r>
      <w:r w:rsidR="009D6347" w:rsidRPr="00EB59B3">
        <w:t>is partly due to changes in monitoring technology, with data available every day instead of once every three days.</w:t>
      </w:r>
    </w:p>
    <w:p w14:paraId="5032A3F4" w14:textId="0AC505ED" w:rsidR="009D6347" w:rsidRPr="00EB59B3" w:rsidRDefault="009D6347" w:rsidP="009D6347">
      <w:pPr>
        <w:pStyle w:val="Bullet1"/>
      </w:pPr>
      <w:r w:rsidRPr="00EB59B3">
        <w:t>In 2019, the PM</w:t>
      </w:r>
      <w:r w:rsidRPr="00AF56CA">
        <w:rPr>
          <w:vertAlign w:val="subscript"/>
        </w:rPr>
        <w:t>2.5</w:t>
      </w:r>
      <w:r w:rsidRPr="00EB59B3">
        <w:t xml:space="preserve"> fine particle 24-hour standard was exceeded for 14 days – </w:t>
      </w:r>
      <w:r w:rsidR="00010F7E">
        <w:t xml:space="preserve">with </w:t>
      </w:r>
      <w:r w:rsidRPr="00EB59B3">
        <w:t>12 of those days attributable to land burns and nine due to urban sources</w:t>
      </w:r>
      <w:r w:rsidR="00005325">
        <w:t xml:space="preserve"> </w:t>
      </w:r>
      <w:r w:rsidR="00005325" w:rsidRPr="00005325">
        <w:t>(Port Phillip region data</w:t>
      </w:r>
      <w:r w:rsidR="00C73E1E">
        <w:t>,</w:t>
      </w:r>
      <w:r w:rsidR="00005325" w:rsidRPr="00005325">
        <w:t xml:space="preserve"> 2019</w:t>
      </w:r>
      <w:r w:rsidR="00005325">
        <w:t>)</w:t>
      </w:r>
      <w:r w:rsidRPr="008516BD">
        <w:t>.</w:t>
      </w:r>
    </w:p>
    <w:p w14:paraId="48E7BD5B" w14:textId="77777777" w:rsidR="009D6347" w:rsidRPr="009E7A69" w:rsidRDefault="009D6347" w:rsidP="009D6347">
      <w:pPr>
        <w:pStyle w:val="Heading3"/>
        <w:rPr>
          <w:b/>
        </w:rPr>
      </w:pPr>
      <w:r>
        <w:t>Ozone (ground level)</w:t>
      </w:r>
    </w:p>
    <w:p w14:paraId="7D582572" w14:textId="436E00EC" w:rsidR="009D6347" w:rsidRPr="004E5B1A" w:rsidRDefault="009D6347" w:rsidP="009D6347">
      <w:pPr>
        <w:pStyle w:val="Bullet1"/>
      </w:pPr>
      <w:r w:rsidRPr="004E5B1A">
        <w:t>High ozone concentrations are most likely to occur on days over 30°C with light winds</w:t>
      </w:r>
      <w:r w:rsidR="00AF5B9B">
        <w:t>,</w:t>
      </w:r>
      <w:r w:rsidRPr="004E5B1A">
        <w:t xml:space="preserve"> </w:t>
      </w:r>
      <w:r w:rsidR="00AF5B9B">
        <w:t xml:space="preserve">when </w:t>
      </w:r>
      <w:r w:rsidRPr="0066059A">
        <w:t>precursor</w:t>
      </w:r>
      <w:r w:rsidRPr="004E5B1A">
        <w:t xml:space="preserve"> pollutants react in the atmosphere.</w:t>
      </w:r>
    </w:p>
    <w:p w14:paraId="39A17B01" w14:textId="0C6FEC81" w:rsidR="009D6347" w:rsidRPr="0066059A" w:rsidRDefault="009D6347" w:rsidP="009D6347">
      <w:pPr>
        <w:pStyle w:val="Bullet1"/>
      </w:pPr>
      <w:r w:rsidRPr="0066059A">
        <w:t>Long-term trends (1979 to 2019) show the peak one-hour ozone concentration at a Melbourne station</w:t>
      </w:r>
      <w:r w:rsidR="00005325">
        <w:t xml:space="preserve"> </w:t>
      </w:r>
      <w:r w:rsidRPr="0066059A">
        <w:t>for each year has decreased</w:t>
      </w:r>
      <w:r w:rsidR="00005325">
        <w:t xml:space="preserve"> (Port Phillip region data</w:t>
      </w:r>
      <w:r w:rsidR="00C73E1E">
        <w:t>,</w:t>
      </w:r>
      <w:r w:rsidR="00005325">
        <w:t xml:space="preserve"> 2019)</w:t>
      </w:r>
      <w:r w:rsidRPr="0066059A">
        <w:t>.</w:t>
      </w:r>
    </w:p>
    <w:p w14:paraId="02F8A11F" w14:textId="5CA3A70F" w:rsidR="009D6347" w:rsidRPr="0066059A" w:rsidRDefault="009D6347" w:rsidP="009D6347">
      <w:pPr>
        <w:pStyle w:val="Bullet1"/>
      </w:pPr>
      <w:r w:rsidRPr="0066059A">
        <w:t xml:space="preserve">In 2019, there </w:t>
      </w:r>
      <w:r w:rsidR="00AF5B9B">
        <w:t>wa</w:t>
      </w:r>
      <w:r w:rsidRPr="0066059A">
        <w:t xml:space="preserve">s a slight upward trend due to exceedances of the </w:t>
      </w:r>
      <w:r>
        <w:t>one-hour and four-hour standard recorded at Alphington, Dandenong</w:t>
      </w:r>
      <w:r w:rsidR="00AF5B9B">
        <w:t>,</w:t>
      </w:r>
      <w:r>
        <w:t xml:space="preserve"> and Mooroolbark on 20 December 2019. These exceedances </w:t>
      </w:r>
      <w:r w:rsidR="00AF5B9B">
        <w:t>we</w:t>
      </w:r>
      <w:r>
        <w:t>re attributed to major bushfires across the state.</w:t>
      </w:r>
    </w:p>
    <w:p w14:paraId="0485BD43" w14:textId="0C2B90F0" w:rsidR="009D6347" w:rsidRPr="00A05F8E" w:rsidRDefault="009D6347" w:rsidP="009D6347">
      <w:pPr>
        <w:pStyle w:val="Bullet1"/>
      </w:pPr>
      <w:r w:rsidRPr="00A05F8E">
        <w:t>The annual average concentration of ozone is increasing</w:t>
      </w:r>
      <w:r w:rsidR="00005325">
        <w:t xml:space="preserve"> (Port Phillip region</w:t>
      </w:r>
      <w:r w:rsidR="00C73E1E">
        <w:t xml:space="preserve"> data, 2019</w:t>
      </w:r>
      <w:r w:rsidR="00005325">
        <w:t>)</w:t>
      </w:r>
      <w:r w:rsidRPr="00A05F8E">
        <w:t>.</w:t>
      </w:r>
    </w:p>
    <w:p w14:paraId="19BA7880" w14:textId="77777777" w:rsidR="009D6347" w:rsidRDefault="009D6347" w:rsidP="009D6347">
      <w:pPr>
        <w:pStyle w:val="Bullet1"/>
        <w:rPr>
          <w:szCs w:val="21"/>
        </w:rPr>
      </w:pPr>
      <w:r w:rsidRPr="00A05F8E">
        <w:t>Predictions for hotter, drier conditions increase the risk of higher ozone concentrations in the future</w:t>
      </w:r>
      <w:r>
        <w:t>.</w:t>
      </w:r>
    </w:p>
    <w:p w14:paraId="1AF0322C" w14:textId="74E223AA" w:rsidR="00B0433E" w:rsidRDefault="00B0433E">
      <w:pPr>
        <w:spacing w:after="0" w:line="240" w:lineRule="auto"/>
        <w:rPr>
          <w:rFonts w:eastAsia="Times" w:cs="Arial"/>
          <w:b/>
          <w:color w:val="2A2736"/>
        </w:rPr>
      </w:pPr>
      <w:r>
        <w:rPr>
          <w:rFonts w:cs="Arial"/>
          <w:b/>
          <w:color w:val="2A2736"/>
        </w:rPr>
        <w:br w:type="page"/>
      </w:r>
    </w:p>
    <w:p w14:paraId="17C6E16A" w14:textId="77777777" w:rsidR="009D6347" w:rsidRPr="009E7A69" w:rsidRDefault="009D6347" w:rsidP="009D6347">
      <w:pPr>
        <w:pStyle w:val="Heading3"/>
        <w:rPr>
          <w:b/>
        </w:rPr>
      </w:pPr>
      <w:r>
        <w:lastRenderedPageBreak/>
        <w:t xml:space="preserve">2019-2020 Bushfires </w:t>
      </w:r>
    </w:p>
    <w:p w14:paraId="43C24E6A" w14:textId="486A18BF" w:rsidR="009D6347" w:rsidRDefault="009D6347" w:rsidP="009D6347">
      <w:pPr>
        <w:pStyle w:val="Body"/>
        <w:rPr>
          <w:rStyle w:val="A8"/>
          <w:rFonts w:ascii="Arial" w:eastAsia="MS Gothic" w:hAnsi="Arial" w:cs="Arial"/>
          <w:b w:val="0"/>
          <w:bCs w:val="0"/>
          <w:sz w:val="21"/>
          <w:szCs w:val="21"/>
        </w:rPr>
      </w:pPr>
      <w:r w:rsidRPr="002242D1">
        <w:rPr>
          <w:rStyle w:val="A8"/>
          <w:rFonts w:ascii="Arial" w:eastAsia="MS Gothic" w:hAnsi="Arial" w:cs="Arial"/>
          <w:b w:val="0"/>
          <w:bCs w:val="0"/>
          <w:sz w:val="21"/>
          <w:szCs w:val="21"/>
        </w:rPr>
        <w:t xml:space="preserve">Unprecedented </w:t>
      </w:r>
      <w:r>
        <w:rPr>
          <w:rStyle w:val="A8"/>
          <w:rFonts w:ascii="Arial" w:eastAsia="MS Gothic" w:hAnsi="Arial" w:cs="Arial"/>
          <w:b w:val="0"/>
          <w:bCs w:val="0"/>
          <w:sz w:val="21"/>
          <w:szCs w:val="21"/>
        </w:rPr>
        <w:t>bush</w:t>
      </w:r>
      <w:r w:rsidRPr="002242D1">
        <w:rPr>
          <w:rStyle w:val="A8"/>
          <w:rFonts w:ascii="Arial" w:eastAsia="MS Gothic" w:hAnsi="Arial" w:cs="Arial"/>
          <w:b w:val="0"/>
          <w:bCs w:val="0"/>
          <w:sz w:val="21"/>
          <w:szCs w:val="21"/>
        </w:rPr>
        <w:t>fires burned across south-eastern Australia over the 2019</w:t>
      </w:r>
      <w:r w:rsidR="00AF5B9B">
        <w:rPr>
          <w:rStyle w:val="A8"/>
          <w:rFonts w:ascii="Arial" w:eastAsia="MS Gothic" w:hAnsi="Arial" w:cs="Arial"/>
          <w:b w:val="0"/>
          <w:bCs w:val="0"/>
          <w:sz w:val="21"/>
          <w:szCs w:val="21"/>
        </w:rPr>
        <w:t>-</w:t>
      </w:r>
      <w:r w:rsidRPr="002242D1">
        <w:rPr>
          <w:rStyle w:val="A8"/>
          <w:rFonts w:ascii="Arial" w:eastAsia="MS Gothic" w:hAnsi="Arial" w:cs="Arial"/>
          <w:b w:val="0"/>
          <w:bCs w:val="0"/>
          <w:sz w:val="21"/>
          <w:szCs w:val="21"/>
        </w:rPr>
        <w:t xml:space="preserve">20 </w:t>
      </w:r>
      <w:r>
        <w:rPr>
          <w:rStyle w:val="A8"/>
          <w:rFonts w:ascii="Arial" w:eastAsia="MS Gothic" w:hAnsi="Arial" w:cs="Arial"/>
          <w:b w:val="0"/>
          <w:bCs w:val="0"/>
          <w:sz w:val="21"/>
          <w:szCs w:val="21"/>
        </w:rPr>
        <w:t>summer</w:t>
      </w:r>
      <w:r w:rsidRPr="002242D1">
        <w:rPr>
          <w:rStyle w:val="A8"/>
          <w:rFonts w:ascii="Arial" w:eastAsia="MS Gothic" w:hAnsi="Arial" w:cs="Arial"/>
          <w:b w:val="0"/>
          <w:bCs w:val="0"/>
          <w:sz w:val="21"/>
          <w:szCs w:val="21"/>
        </w:rPr>
        <w:t>.</w:t>
      </w:r>
      <w:r w:rsidRPr="002242D1">
        <w:rPr>
          <w:rStyle w:val="A8"/>
          <w:rFonts w:ascii="Arial" w:eastAsia="MS Gothic" w:hAnsi="Arial" w:cs="Arial"/>
          <w:b w:val="0"/>
          <w:sz w:val="21"/>
          <w:szCs w:val="21"/>
        </w:rPr>
        <w:t xml:space="preserve"> </w:t>
      </w:r>
      <w:r>
        <w:rPr>
          <w:rStyle w:val="A8"/>
          <w:rFonts w:ascii="Arial" w:eastAsia="MS Gothic" w:hAnsi="Arial" w:cs="Arial"/>
          <w:b w:val="0"/>
          <w:sz w:val="21"/>
          <w:szCs w:val="21"/>
        </w:rPr>
        <w:t>Five</w:t>
      </w:r>
      <w:r w:rsidRPr="002242D1">
        <w:rPr>
          <w:rStyle w:val="A8"/>
          <w:rFonts w:ascii="Arial" w:eastAsia="MS Gothic" w:hAnsi="Arial" w:cs="Arial"/>
          <w:b w:val="0"/>
          <w:bCs w:val="0"/>
          <w:sz w:val="21"/>
          <w:szCs w:val="21"/>
        </w:rPr>
        <w:t xml:space="preserve"> people </w:t>
      </w:r>
      <w:r>
        <w:rPr>
          <w:rStyle w:val="A8"/>
          <w:rFonts w:ascii="Arial" w:eastAsia="MS Gothic" w:hAnsi="Arial" w:cs="Arial"/>
          <w:b w:val="0"/>
          <w:bCs w:val="0"/>
          <w:sz w:val="21"/>
          <w:szCs w:val="21"/>
        </w:rPr>
        <w:t xml:space="preserve">in Victoria </w:t>
      </w:r>
      <w:r w:rsidRPr="002242D1">
        <w:rPr>
          <w:rStyle w:val="A8"/>
          <w:rFonts w:ascii="Arial" w:eastAsia="MS Gothic" w:hAnsi="Arial" w:cs="Arial"/>
          <w:b w:val="0"/>
          <w:bCs w:val="0"/>
          <w:sz w:val="21"/>
          <w:szCs w:val="21"/>
        </w:rPr>
        <w:t>lost their lives and about one-fifth of Australia’s temperate broadleaf and mixed forests biome burned.</w:t>
      </w:r>
    </w:p>
    <w:p w14:paraId="1047071C" w14:textId="39FB9A67" w:rsidR="009D6347" w:rsidRDefault="009D6347" w:rsidP="009D6347">
      <w:pPr>
        <w:pStyle w:val="Body"/>
        <w:rPr>
          <w:rStyle w:val="A8"/>
          <w:rFonts w:ascii="Arial" w:eastAsia="MS Gothic" w:hAnsi="Arial" w:cs="Arial"/>
          <w:b w:val="0"/>
          <w:bCs w:val="0"/>
          <w:sz w:val="21"/>
          <w:szCs w:val="21"/>
        </w:rPr>
      </w:pPr>
      <w:r>
        <w:rPr>
          <w:rStyle w:val="A8"/>
          <w:rFonts w:ascii="Arial" w:eastAsia="MS Gothic" w:hAnsi="Arial" w:cs="Arial"/>
          <w:b w:val="0"/>
          <w:bCs w:val="0"/>
          <w:sz w:val="21"/>
          <w:szCs w:val="21"/>
        </w:rPr>
        <w:t xml:space="preserve">Smoke from these bushfires </w:t>
      </w:r>
      <w:r w:rsidR="00AF5B9B">
        <w:rPr>
          <w:rStyle w:val="A8"/>
          <w:rFonts w:ascii="Arial" w:eastAsia="MS Gothic" w:hAnsi="Arial" w:cs="Arial"/>
          <w:b w:val="0"/>
          <w:bCs w:val="0"/>
          <w:sz w:val="21"/>
          <w:szCs w:val="21"/>
        </w:rPr>
        <w:t xml:space="preserve">caused </w:t>
      </w:r>
      <w:r>
        <w:rPr>
          <w:rStyle w:val="A8"/>
          <w:rFonts w:ascii="Arial" w:eastAsia="MS Gothic" w:hAnsi="Arial" w:cs="Arial"/>
          <w:b w:val="0"/>
          <w:bCs w:val="0"/>
          <w:sz w:val="21"/>
          <w:szCs w:val="21"/>
        </w:rPr>
        <w:t>significant air pollution.</w:t>
      </w:r>
    </w:p>
    <w:p w14:paraId="0FE88568" w14:textId="7DB95AE1" w:rsidR="009D6347" w:rsidRDefault="009D6347" w:rsidP="009D6347">
      <w:pPr>
        <w:pStyle w:val="Body"/>
        <w:rPr>
          <w:rStyle w:val="A8"/>
          <w:rFonts w:ascii="Arial" w:eastAsia="MS Gothic" w:hAnsi="Arial" w:cs="Arial"/>
          <w:b w:val="0"/>
          <w:bCs w:val="0"/>
          <w:sz w:val="21"/>
          <w:szCs w:val="21"/>
        </w:rPr>
      </w:pPr>
      <w:r>
        <w:rPr>
          <w:rStyle w:val="A8"/>
          <w:rFonts w:ascii="Arial" w:eastAsia="MS Gothic" w:hAnsi="Arial" w:cs="Arial"/>
          <w:b w:val="0"/>
          <w:bCs w:val="0"/>
          <w:sz w:val="21"/>
          <w:szCs w:val="21"/>
        </w:rPr>
        <w:t>In 2019-2020</w:t>
      </w:r>
      <w:r w:rsidR="00C73E1E">
        <w:rPr>
          <w:rStyle w:val="A8"/>
          <w:rFonts w:ascii="Arial" w:eastAsia="MS Gothic" w:hAnsi="Arial" w:cs="Arial"/>
          <w:b w:val="0"/>
          <w:bCs w:val="0"/>
          <w:sz w:val="21"/>
          <w:szCs w:val="21"/>
        </w:rPr>
        <w:t>, the number of days the PM</w:t>
      </w:r>
      <w:r w:rsidR="00C73E1E" w:rsidRPr="001D14E6">
        <w:rPr>
          <w:rStyle w:val="A8"/>
          <w:rFonts w:ascii="Arial" w:eastAsia="MS Gothic" w:hAnsi="Arial" w:cs="Arial"/>
          <w:b w:val="0"/>
          <w:bCs w:val="0"/>
          <w:sz w:val="21"/>
          <w:szCs w:val="21"/>
          <w:vertAlign w:val="subscript"/>
        </w:rPr>
        <w:t>10</w:t>
      </w:r>
      <w:r w:rsidR="00C73E1E">
        <w:rPr>
          <w:rStyle w:val="A8"/>
          <w:rFonts w:ascii="Arial" w:eastAsia="MS Gothic" w:hAnsi="Arial" w:cs="Arial"/>
          <w:b w:val="0"/>
          <w:bCs w:val="0"/>
          <w:sz w:val="21"/>
          <w:szCs w:val="21"/>
        </w:rPr>
        <w:t xml:space="preserve"> and PM</w:t>
      </w:r>
      <w:r w:rsidR="00C73E1E" w:rsidRPr="001D14E6">
        <w:rPr>
          <w:rStyle w:val="A8"/>
          <w:rFonts w:ascii="Arial" w:eastAsia="MS Gothic" w:hAnsi="Arial" w:cs="Arial"/>
          <w:b w:val="0"/>
          <w:bCs w:val="0"/>
          <w:sz w:val="21"/>
          <w:szCs w:val="21"/>
          <w:vertAlign w:val="subscript"/>
        </w:rPr>
        <w:t>2.5</w:t>
      </w:r>
      <w:r w:rsidR="00C73E1E">
        <w:rPr>
          <w:rStyle w:val="A8"/>
          <w:rFonts w:ascii="Arial" w:eastAsia="MS Gothic" w:hAnsi="Arial" w:cs="Arial"/>
          <w:b w:val="0"/>
          <w:bCs w:val="0"/>
          <w:sz w:val="21"/>
          <w:szCs w:val="21"/>
        </w:rPr>
        <w:t xml:space="preserve"> standards were exceeded annually since 2003</w:t>
      </w:r>
      <w:r w:rsidR="00AF5B9B">
        <w:rPr>
          <w:rStyle w:val="A8"/>
          <w:rFonts w:ascii="Arial" w:eastAsia="MS Gothic" w:hAnsi="Arial" w:cs="Arial"/>
          <w:b w:val="0"/>
          <w:bCs w:val="0"/>
          <w:sz w:val="21"/>
          <w:szCs w:val="21"/>
        </w:rPr>
        <w:t xml:space="preserve"> were </w:t>
      </w:r>
      <w:r>
        <w:rPr>
          <w:rStyle w:val="A8"/>
          <w:rFonts w:ascii="Arial" w:eastAsia="MS Gothic" w:hAnsi="Arial" w:cs="Arial"/>
          <w:b w:val="0"/>
          <w:bCs w:val="0"/>
          <w:sz w:val="21"/>
          <w:szCs w:val="21"/>
        </w:rPr>
        <w:t>mostly due to summer bushfires.</w:t>
      </w:r>
    </w:p>
    <w:p w14:paraId="03BAC0BA" w14:textId="1E264F58" w:rsidR="009D6347" w:rsidRDefault="009D6347" w:rsidP="009D6347">
      <w:pPr>
        <w:pStyle w:val="Body"/>
      </w:pPr>
      <w:r>
        <w:t>Poor air quality caused by smoke from bushfires was associated with an increase in h</w:t>
      </w:r>
      <w:r w:rsidRPr="0061556B">
        <w:t xml:space="preserve">ospitalisations and </w:t>
      </w:r>
      <w:r>
        <w:t>emergency department</w:t>
      </w:r>
      <w:r w:rsidRPr="0061556B">
        <w:t xml:space="preserve"> presentations for respiratory illness</w:t>
      </w:r>
      <w:r>
        <w:t xml:space="preserve"> in Victoria (</w:t>
      </w:r>
      <w:r w:rsidR="00F70A05">
        <w:t>AIHW</w:t>
      </w:r>
      <w:r w:rsidR="00AF5B9B">
        <w:t>,</w:t>
      </w:r>
      <w:r>
        <w:t xml:space="preserve"> 2021). </w:t>
      </w:r>
    </w:p>
    <w:p w14:paraId="0BF6256C" w14:textId="77777777" w:rsidR="009D6347" w:rsidRPr="009E7A69" w:rsidRDefault="009D6347" w:rsidP="009D6347">
      <w:pPr>
        <w:pStyle w:val="Heading3"/>
        <w:rPr>
          <w:b/>
        </w:rPr>
      </w:pPr>
      <w:r>
        <w:t xml:space="preserve">Future outlook for air quality in Victoria </w:t>
      </w:r>
    </w:p>
    <w:p w14:paraId="42590C86" w14:textId="24F7A096" w:rsidR="00AF5B9B" w:rsidRDefault="009D6347" w:rsidP="006C4F89">
      <w:pPr>
        <w:pStyle w:val="Body"/>
        <w:rPr>
          <w:rStyle w:val="A8"/>
          <w:rFonts w:ascii="Arial" w:eastAsia="MS Gothic" w:hAnsi="Arial" w:cs="Arial"/>
          <w:b w:val="0"/>
          <w:sz w:val="21"/>
          <w:szCs w:val="21"/>
        </w:rPr>
      </w:pPr>
      <w:r w:rsidRPr="00D82F1C">
        <w:rPr>
          <w:rStyle w:val="A8"/>
          <w:rFonts w:ascii="Arial" w:eastAsia="MS Gothic" w:hAnsi="Arial" w:cs="Arial"/>
          <w:b w:val="0"/>
          <w:sz w:val="21"/>
          <w:szCs w:val="21"/>
        </w:rPr>
        <w:t xml:space="preserve">Victoria's air quality is good by international standards and has improved significantly over recent </w:t>
      </w:r>
      <w:r w:rsidR="00790BEA" w:rsidRPr="00D82F1C">
        <w:rPr>
          <w:rStyle w:val="A8"/>
          <w:rFonts w:ascii="Arial" w:eastAsia="MS Gothic" w:hAnsi="Arial" w:cs="Arial"/>
          <w:b w:val="0"/>
          <w:sz w:val="21"/>
          <w:szCs w:val="21"/>
        </w:rPr>
        <w:t>decades</w:t>
      </w:r>
      <w:r w:rsidR="00790BEA">
        <w:rPr>
          <w:rStyle w:val="A8"/>
          <w:rFonts w:ascii="Arial" w:eastAsia="MS Gothic" w:hAnsi="Arial" w:cs="Arial"/>
          <w:b w:val="0"/>
          <w:sz w:val="21"/>
          <w:szCs w:val="21"/>
        </w:rPr>
        <w:t xml:space="preserve">. </w:t>
      </w:r>
      <w:r w:rsidR="00AF5B9B">
        <w:rPr>
          <w:rStyle w:val="A8"/>
          <w:rFonts w:ascii="Arial" w:eastAsia="MS Gothic" w:hAnsi="Arial" w:cs="Arial"/>
          <w:b w:val="0"/>
          <w:sz w:val="21"/>
          <w:szCs w:val="21"/>
        </w:rPr>
        <w:t xml:space="preserve">However, Victoria’s air quality </w:t>
      </w:r>
      <w:r w:rsidR="00E46A5D">
        <w:rPr>
          <w:rStyle w:val="A8"/>
          <w:rFonts w:ascii="Arial" w:eastAsia="MS Gothic" w:hAnsi="Arial" w:cs="Arial"/>
          <w:b w:val="0"/>
          <w:sz w:val="21"/>
          <w:szCs w:val="21"/>
        </w:rPr>
        <w:t xml:space="preserve">could </w:t>
      </w:r>
      <w:r w:rsidR="00AF5B9B">
        <w:rPr>
          <w:rStyle w:val="A8"/>
          <w:rFonts w:ascii="Arial" w:eastAsia="MS Gothic" w:hAnsi="Arial" w:cs="Arial"/>
          <w:b w:val="0"/>
          <w:sz w:val="21"/>
          <w:szCs w:val="21"/>
        </w:rPr>
        <w:t>worsen</w:t>
      </w:r>
      <w:r w:rsidR="00E46A5D">
        <w:rPr>
          <w:rStyle w:val="A8"/>
          <w:rFonts w:ascii="Arial" w:eastAsia="MS Gothic" w:hAnsi="Arial" w:cs="Arial"/>
          <w:b w:val="0"/>
          <w:sz w:val="21"/>
          <w:szCs w:val="21"/>
        </w:rPr>
        <w:t xml:space="preserve"> in the future</w:t>
      </w:r>
      <w:r w:rsidR="00AF5B9B">
        <w:rPr>
          <w:rStyle w:val="A8"/>
          <w:rFonts w:ascii="Arial" w:eastAsia="MS Gothic" w:hAnsi="Arial" w:cs="Arial"/>
          <w:b w:val="0"/>
          <w:sz w:val="21"/>
          <w:szCs w:val="21"/>
        </w:rPr>
        <w:t>.</w:t>
      </w:r>
    </w:p>
    <w:p w14:paraId="5C19894E" w14:textId="4AB7946E" w:rsidR="006C4F89" w:rsidRPr="0041010A" w:rsidRDefault="006C4F89" w:rsidP="006C4F89">
      <w:pPr>
        <w:pStyle w:val="Body"/>
      </w:pPr>
      <w:r>
        <w:rPr>
          <w:rStyle w:val="A8"/>
          <w:rFonts w:ascii="Arial" w:eastAsia="MS Gothic" w:hAnsi="Arial" w:cs="Arial"/>
          <w:b w:val="0"/>
          <w:sz w:val="21"/>
          <w:szCs w:val="21"/>
        </w:rPr>
        <w:t xml:space="preserve">While this report is focused on 2019, a new Air Quality Strategy for Victoria, </w:t>
      </w:r>
      <w:bookmarkStart w:id="31" w:name="_Hlk121151326"/>
      <w:r w:rsidR="00C36B2A">
        <w:fldChar w:fldCharType="begin"/>
      </w:r>
      <w:r w:rsidR="00C36B2A">
        <w:instrText xml:space="preserve"> HYPERLINK "https://www.environment.vic.gov.au/sustainability/clean-air-for-all-victorians" </w:instrText>
      </w:r>
      <w:r w:rsidR="00C36B2A">
        <w:fldChar w:fldCharType="separate"/>
      </w:r>
      <w:r w:rsidRPr="003F7430">
        <w:rPr>
          <w:rStyle w:val="Hyperlink"/>
          <w:rFonts w:eastAsia="MS Gothic" w:cs="Arial"/>
          <w:i/>
          <w:iCs/>
          <w:szCs w:val="21"/>
        </w:rPr>
        <w:t>Clean air for all Victorians</w:t>
      </w:r>
      <w:r w:rsidR="00C36B2A">
        <w:rPr>
          <w:rStyle w:val="Hyperlink"/>
          <w:rFonts w:eastAsia="MS Gothic" w:cs="Arial"/>
          <w:i/>
          <w:iCs/>
          <w:szCs w:val="21"/>
        </w:rPr>
        <w:fldChar w:fldCharType="end"/>
      </w:r>
      <w:bookmarkEnd w:id="31"/>
      <w:r w:rsidR="00B0433E">
        <w:rPr>
          <w:rStyle w:val="Hyperlink"/>
          <w:rFonts w:eastAsia="MS Gothic" w:cs="Arial"/>
          <w:i/>
          <w:iCs/>
          <w:szCs w:val="21"/>
        </w:rPr>
        <w:t xml:space="preserve"> </w:t>
      </w:r>
      <w:r w:rsidR="00B0433E">
        <w:rPr>
          <w:rStyle w:val="A8"/>
          <w:rFonts w:ascii="Arial" w:eastAsia="MS Gothic" w:hAnsi="Arial" w:cs="Arial"/>
          <w:b w:val="0"/>
          <w:sz w:val="21"/>
          <w:szCs w:val="21"/>
        </w:rPr>
        <w:t>&lt;</w:t>
      </w:r>
      <w:r w:rsidR="00B0433E" w:rsidRPr="009C714C">
        <w:rPr>
          <w:rStyle w:val="A8"/>
          <w:rFonts w:ascii="Arial" w:eastAsia="MS Gothic" w:hAnsi="Arial" w:cs="Arial"/>
          <w:b w:val="0"/>
          <w:sz w:val="21"/>
          <w:szCs w:val="21"/>
        </w:rPr>
        <w:t>https://www.environment.vic.gov.au/sustainability/clean-air-for-all-victorians</w:t>
      </w:r>
      <w:r w:rsidR="00B0433E">
        <w:rPr>
          <w:rStyle w:val="A8"/>
          <w:rFonts w:ascii="Arial" w:eastAsia="MS Gothic" w:hAnsi="Arial" w:cs="Arial"/>
          <w:b w:val="0"/>
          <w:sz w:val="21"/>
          <w:szCs w:val="21"/>
        </w:rPr>
        <w:t>&gt;</w:t>
      </w:r>
      <w:r>
        <w:rPr>
          <w:rStyle w:val="A8"/>
          <w:rFonts w:ascii="Arial" w:eastAsia="MS Gothic" w:hAnsi="Arial" w:cs="Arial"/>
          <w:b w:val="0"/>
          <w:sz w:val="21"/>
          <w:szCs w:val="21"/>
        </w:rPr>
        <w:t xml:space="preserve">, was released by the Victorian Government in 2022. The </w:t>
      </w:r>
      <w:r w:rsidR="00E46A5D">
        <w:rPr>
          <w:rStyle w:val="A8"/>
          <w:rFonts w:ascii="Arial" w:eastAsia="MS Gothic" w:hAnsi="Arial" w:cs="Arial"/>
          <w:b w:val="0"/>
          <w:sz w:val="21"/>
          <w:szCs w:val="21"/>
        </w:rPr>
        <w:t xml:space="preserve">2022 </w:t>
      </w:r>
      <w:r>
        <w:rPr>
          <w:rStyle w:val="A8"/>
          <w:rFonts w:ascii="Arial" w:eastAsia="MS Gothic" w:hAnsi="Arial" w:cs="Arial"/>
          <w:b w:val="0"/>
          <w:sz w:val="21"/>
          <w:szCs w:val="21"/>
        </w:rPr>
        <w:t>strategy focuses on the main causes of air pollution in Victoria, helping vulnerable Victorians and supporting the broader community, raising the bar on air quality information</w:t>
      </w:r>
      <w:r w:rsidR="00E46A5D">
        <w:rPr>
          <w:rStyle w:val="A8"/>
          <w:rFonts w:ascii="Arial" w:eastAsia="MS Gothic" w:hAnsi="Arial" w:cs="Arial"/>
          <w:b w:val="0"/>
          <w:sz w:val="21"/>
          <w:szCs w:val="21"/>
        </w:rPr>
        <w:t>,</w:t>
      </w:r>
      <w:r>
        <w:rPr>
          <w:rStyle w:val="A8"/>
          <w:rFonts w:ascii="Arial" w:eastAsia="MS Gothic" w:hAnsi="Arial" w:cs="Arial"/>
          <w:b w:val="0"/>
          <w:sz w:val="21"/>
          <w:szCs w:val="21"/>
        </w:rPr>
        <w:t xml:space="preserve"> and ensuring a clean air future.</w:t>
      </w:r>
      <w:r w:rsidR="009C714C">
        <w:rPr>
          <w:rStyle w:val="A8"/>
          <w:rFonts w:ascii="Arial" w:eastAsia="MS Gothic" w:hAnsi="Arial" w:cs="Arial"/>
          <w:b w:val="0"/>
          <w:sz w:val="21"/>
          <w:szCs w:val="21"/>
        </w:rPr>
        <w:t xml:space="preserve"> </w:t>
      </w:r>
    </w:p>
    <w:p w14:paraId="2C1F6977" w14:textId="3401F99B" w:rsidR="009D6347"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 xml:space="preserve">Projected large population growth in Melbourne and regional centres </w:t>
      </w:r>
      <w:r w:rsidR="00E46A5D">
        <w:rPr>
          <w:rStyle w:val="A8"/>
          <w:rFonts w:ascii="Arial" w:eastAsia="MS Gothic" w:hAnsi="Arial" w:cs="Arial"/>
          <w:b w:val="0"/>
          <w:sz w:val="21"/>
          <w:szCs w:val="21"/>
        </w:rPr>
        <w:t xml:space="preserve">will see </w:t>
      </w:r>
      <w:r w:rsidRPr="003C35D4">
        <w:rPr>
          <w:rStyle w:val="A8"/>
          <w:rFonts w:ascii="Arial" w:eastAsia="MS Gothic" w:hAnsi="Arial" w:cs="Arial"/>
          <w:b w:val="0"/>
          <w:sz w:val="21"/>
          <w:szCs w:val="21"/>
        </w:rPr>
        <w:t>associated increase</w:t>
      </w:r>
      <w:r w:rsidR="00E46A5D">
        <w:rPr>
          <w:rStyle w:val="A8"/>
          <w:rFonts w:ascii="Arial" w:eastAsia="MS Gothic" w:hAnsi="Arial" w:cs="Arial"/>
          <w:b w:val="0"/>
          <w:sz w:val="21"/>
          <w:szCs w:val="21"/>
        </w:rPr>
        <w:t>s</w:t>
      </w:r>
      <w:r w:rsidRPr="003C35D4">
        <w:rPr>
          <w:rStyle w:val="A8"/>
          <w:rFonts w:ascii="Arial" w:eastAsia="MS Gothic" w:hAnsi="Arial" w:cs="Arial"/>
          <w:b w:val="0"/>
          <w:sz w:val="21"/>
          <w:szCs w:val="21"/>
        </w:rPr>
        <w:t xml:space="preserve"> in registered vehicles, infrastructure</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and industries. </w:t>
      </w:r>
      <w:r w:rsidR="00E46A5D">
        <w:rPr>
          <w:rStyle w:val="A8"/>
          <w:rFonts w:ascii="Arial" w:eastAsia="MS Gothic" w:hAnsi="Arial" w:cs="Arial"/>
          <w:b w:val="0"/>
          <w:sz w:val="21"/>
          <w:szCs w:val="21"/>
        </w:rPr>
        <w:t xml:space="preserve">Transport, infrastructure, and industry all </w:t>
      </w:r>
      <w:r w:rsidRPr="003C35D4">
        <w:rPr>
          <w:rStyle w:val="A8"/>
          <w:rFonts w:ascii="Arial" w:eastAsia="MS Gothic" w:hAnsi="Arial" w:cs="Arial"/>
          <w:b w:val="0"/>
          <w:sz w:val="21"/>
          <w:szCs w:val="21"/>
        </w:rPr>
        <w:t>affect sources of air pollution and the population’s exposure to air pollution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r w:rsidR="00C20C2C">
        <w:rPr>
          <w:rStyle w:val="A8"/>
          <w:rFonts w:ascii="Arial" w:eastAsia="MS Gothic" w:hAnsi="Arial" w:cs="Arial"/>
          <w:b w:val="0"/>
          <w:sz w:val="21"/>
          <w:szCs w:val="21"/>
        </w:rPr>
        <w:t xml:space="preserve"> </w:t>
      </w:r>
    </w:p>
    <w:p w14:paraId="4C1DBE57" w14:textId="73896856" w:rsidR="009D6347"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 xml:space="preserve">In addition to overall population size, </w:t>
      </w:r>
      <w:r w:rsidR="00E46A5D">
        <w:rPr>
          <w:rStyle w:val="A8"/>
          <w:rFonts w:ascii="Arial" w:eastAsia="MS Gothic" w:hAnsi="Arial" w:cs="Arial"/>
          <w:b w:val="0"/>
          <w:sz w:val="21"/>
          <w:szCs w:val="21"/>
        </w:rPr>
        <w:t xml:space="preserve">the groups </w:t>
      </w:r>
      <w:r w:rsidRPr="003C35D4">
        <w:rPr>
          <w:rStyle w:val="A8"/>
          <w:rFonts w:ascii="Arial" w:eastAsia="MS Gothic" w:hAnsi="Arial" w:cs="Arial"/>
          <w:b w:val="0"/>
          <w:sz w:val="21"/>
          <w:szCs w:val="21"/>
        </w:rPr>
        <w:t>sensitive to air pollution</w:t>
      </w:r>
      <w:r w:rsidR="00E46A5D">
        <w:rPr>
          <w:rStyle w:val="A8"/>
          <w:rFonts w:ascii="Arial" w:eastAsia="MS Gothic" w:hAnsi="Arial" w:cs="Arial"/>
          <w:b w:val="0"/>
          <w:sz w:val="21"/>
          <w:szCs w:val="21"/>
        </w:rPr>
        <w:t xml:space="preserve"> are also projected to increase</w:t>
      </w:r>
      <w:r w:rsidRPr="003C35D4">
        <w:rPr>
          <w:rStyle w:val="A8"/>
          <w:rFonts w:ascii="Arial" w:eastAsia="MS Gothic" w:hAnsi="Arial" w:cs="Arial"/>
          <w:b w:val="0"/>
          <w:sz w:val="21"/>
          <w:szCs w:val="21"/>
        </w:rPr>
        <w:t>. Th</w:t>
      </w:r>
      <w:r w:rsidR="00E46A5D">
        <w:rPr>
          <w:rStyle w:val="A8"/>
          <w:rFonts w:ascii="Arial" w:eastAsia="MS Gothic" w:hAnsi="Arial" w:cs="Arial"/>
          <w:b w:val="0"/>
          <w:sz w:val="21"/>
          <w:szCs w:val="21"/>
        </w:rPr>
        <w:t>ose groups</w:t>
      </w:r>
      <w:r w:rsidRPr="003C35D4">
        <w:rPr>
          <w:rStyle w:val="A8"/>
          <w:rFonts w:ascii="Arial" w:eastAsia="MS Gothic" w:hAnsi="Arial" w:cs="Arial"/>
          <w:b w:val="0"/>
          <w:sz w:val="21"/>
          <w:szCs w:val="21"/>
        </w:rPr>
        <w:t xml:space="preserve"> include people </w:t>
      </w:r>
      <w:r w:rsidR="00E46A5D">
        <w:rPr>
          <w:rStyle w:val="A8"/>
          <w:rFonts w:ascii="Arial" w:eastAsia="MS Gothic" w:hAnsi="Arial" w:cs="Arial"/>
          <w:b w:val="0"/>
          <w:sz w:val="21"/>
          <w:szCs w:val="21"/>
        </w:rPr>
        <w:t xml:space="preserve">aged </w:t>
      </w:r>
      <w:r w:rsidRPr="003C35D4">
        <w:rPr>
          <w:rStyle w:val="A8"/>
          <w:rFonts w:ascii="Arial" w:eastAsia="MS Gothic" w:hAnsi="Arial" w:cs="Arial"/>
          <w:b w:val="0"/>
          <w:sz w:val="21"/>
          <w:szCs w:val="21"/>
        </w:rPr>
        <w:t>over 65 years, people with heart or lung conditions, and children under 14 years of age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p>
    <w:p w14:paraId="2CD4AB3F" w14:textId="03893C0A" w:rsidR="00E46A5D" w:rsidRPr="003C35D4" w:rsidRDefault="009D6347" w:rsidP="009D6347">
      <w:pPr>
        <w:pStyle w:val="Body"/>
        <w:rPr>
          <w:rStyle w:val="A8"/>
          <w:rFonts w:ascii="Arial" w:eastAsia="MS Gothic" w:hAnsi="Arial" w:cs="Arial"/>
          <w:b w:val="0"/>
          <w:sz w:val="21"/>
          <w:szCs w:val="21"/>
        </w:rPr>
      </w:pPr>
      <w:r w:rsidRPr="003C35D4">
        <w:rPr>
          <w:rStyle w:val="A8"/>
          <w:rFonts w:ascii="Arial" w:eastAsia="MS Gothic" w:hAnsi="Arial" w:cs="Arial"/>
          <w:b w:val="0"/>
          <w:sz w:val="21"/>
          <w:szCs w:val="21"/>
        </w:rPr>
        <w:t>Climate change is also predicted to affect future air quality by altering the meteorological variables that influence the development, chemical transformation, dispersion and deposition of air pollutants (</w:t>
      </w:r>
      <w:r w:rsidR="00E46A5D">
        <w:rPr>
          <w:rStyle w:val="A8"/>
          <w:rFonts w:ascii="Arial" w:eastAsia="MS Gothic" w:hAnsi="Arial" w:cs="Arial"/>
          <w:b w:val="0"/>
          <w:sz w:val="21"/>
          <w:szCs w:val="21"/>
        </w:rPr>
        <w:t>EPA</w:t>
      </w:r>
      <w:r w:rsidRPr="003C35D4">
        <w:rPr>
          <w:rStyle w:val="A8"/>
          <w:rFonts w:ascii="Arial" w:eastAsia="MS Gothic" w:hAnsi="Arial" w:cs="Arial"/>
          <w:b w:val="0"/>
          <w:sz w:val="21"/>
          <w:szCs w:val="21"/>
        </w:rPr>
        <w:t xml:space="preserve"> Victoria</w:t>
      </w:r>
      <w:r w:rsidR="00E46A5D">
        <w:rPr>
          <w:rStyle w:val="A8"/>
          <w:rFonts w:ascii="Arial" w:eastAsia="MS Gothic" w:hAnsi="Arial" w:cs="Arial"/>
          <w:b w:val="0"/>
          <w:sz w:val="21"/>
          <w:szCs w:val="21"/>
        </w:rPr>
        <w:t>,</w:t>
      </w:r>
      <w:r w:rsidRPr="003C35D4">
        <w:rPr>
          <w:rStyle w:val="A8"/>
          <w:rFonts w:ascii="Arial" w:eastAsia="MS Gothic" w:hAnsi="Arial" w:cs="Arial"/>
          <w:b w:val="0"/>
          <w:sz w:val="21"/>
          <w:szCs w:val="21"/>
        </w:rPr>
        <w:t xml:space="preserve"> 2018).</w:t>
      </w:r>
      <w:r w:rsidR="00E46A5D">
        <w:t xml:space="preserve"> </w:t>
      </w:r>
    </w:p>
    <w:p w14:paraId="06D39527" w14:textId="5B61497E" w:rsidR="009D6347" w:rsidRPr="001A3B19" w:rsidRDefault="00E46A5D" w:rsidP="009D6347">
      <w:pPr>
        <w:pStyle w:val="Body"/>
      </w:pPr>
      <w:r>
        <w:t>According to p</w:t>
      </w:r>
      <w:r w:rsidR="009D6347">
        <w:t>rojections</w:t>
      </w:r>
      <w:r>
        <w:t xml:space="preserve">, Victoria </w:t>
      </w:r>
      <w:r w:rsidR="009D6347">
        <w:t>is likely to become hotter and drier in the future.</w:t>
      </w:r>
      <w:r>
        <w:t xml:space="preserve"> In </w:t>
      </w:r>
      <w:r w:rsidR="009D6347" w:rsidRPr="001A3B19">
        <w:t>coming decades</w:t>
      </w:r>
      <w:r>
        <w:t>,</w:t>
      </w:r>
      <w:r w:rsidR="009D6347" w:rsidRPr="001A3B19">
        <w:t xml:space="preserve"> Victorians are likely to experience:</w:t>
      </w:r>
    </w:p>
    <w:p w14:paraId="7E0DB662" w14:textId="77777777" w:rsidR="009D6347" w:rsidRPr="004E3F22" w:rsidRDefault="009D6347" w:rsidP="009D6347">
      <w:pPr>
        <w:pStyle w:val="Bullet1"/>
      </w:pPr>
      <w:r w:rsidRPr="004E3F22">
        <w:t>worsening heatwaves and more frequent single days of extreme heat</w:t>
      </w:r>
    </w:p>
    <w:p w14:paraId="6F1AB6CC" w14:textId="58FA7B23" w:rsidR="009D6347" w:rsidRPr="004E3F22" w:rsidRDefault="009D6347" w:rsidP="009D6347">
      <w:pPr>
        <w:pStyle w:val="Bullet1"/>
      </w:pPr>
      <w:r w:rsidRPr="004E3F22">
        <w:t>declining rainfall during autumn</w:t>
      </w:r>
      <w:r w:rsidR="00EE059C">
        <w:t>,</w:t>
      </w:r>
      <w:r w:rsidRPr="004E3F22">
        <w:t xml:space="preserve"> winter and spring </w:t>
      </w:r>
    </w:p>
    <w:p w14:paraId="6EE3B135" w14:textId="6FBE5659" w:rsidR="009D6347" w:rsidRPr="004E3F22" w:rsidRDefault="009D6347" w:rsidP="00B527D3">
      <w:pPr>
        <w:pStyle w:val="Bullet1"/>
        <w:spacing w:after="120"/>
      </w:pPr>
      <w:r w:rsidRPr="004E3F22">
        <w:t>increased bushfire activity, longer and earlier seasons</w:t>
      </w:r>
      <w:r w:rsidR="00E46A5D">
        <w:t>,</w:t>
      </w:r>
      <w:r w:rsidRPr="004E3F22">
        <w:t xml:space="preserve"> and more intense fire behaviour (</w:t>
      </w:r>
      <w:r w:rsidR="00E46A5D">
        <w:t>DELWP,</w:t>
      </w:r>
      <w:r w:rsidRPr="004E3F22">
        <w:t xml:space="preserve"> 2019)</w:t>
      </w:r>
      <w:r w:rsidR="00AB7AB9">
        <w:t>.</w:t>
      </w:r>
      <w:r w:rsidRPr="004E3F22">
        <w:t xml:space="preserve"> </w:t>
      </w:r>
    </w:p>
    <w:p w14:paraId="46C4E252" w14:textId="34C549D5" w:rsidR="009D6347" w:rsidRPr="0041010A" w:rsidRDefault="009D6347" w:rsidP="009D6347">
      <w:pPr>
        <w:pStyle w:val="Body"/>
      </w:pPr>
      <w:r w:rsidRPr="0041010A">
        <w:t xml:space="preserve">These </w:t>
      </w:r>
      <w:r w:rsidR="00E46A5D">
        <w:t xml:space="preserve">shifts </w:t>
      </w:r>
      <w:r w:rsidRPr="0041010A">
        <w:t xml:space="preserve">are all related to the changing climate, and </w:t>
      </w:r>
      <w:r w:rsidR="00E46A5D">
        <w:t xml:space="preserve">will </w:t>
      </w:r>
      <w:r w:rsidRPr="0041010A">
        <w:t>impact the type and scale of exposure to air pollution (</w:t>
      </w:r>
      <w:r w:rsidR="00E46A5D">
        <w:t>EPA</w:t>
      </w:r>
      <w:r w:rsidRPr="0041010A">
        <w:t xml:space="preserve"> Victoria</w:t>
      </w:r>
      <w:r w:rsidR="00E46A5D">
        <w:t>,</w:t>
      </w:r>
      <w:r w:rsidRPr="0041010A">
        <w:t xml:space="preserve"> 2018).</w:t>
      </w:r>
    </w:p>
    <w:p w14:paraId="0A2B395C" w14:textId="288EE8D8" w:rsidR="009D6347" w:rsidRPr="0041010A" w:rsidRDefault="009D6347" w:rsidP="009D6347">
      <w:pPr>
        <w:pStyle w:val="Body"/>
      </w:pPr>
      <w:r w:rsidRPr="0041010A">
        <w:t>Extended dry conditions may also cause large-scale dust events, further reducing air quality (</w:t>
      </w:r>
      <w:r w:rsidR="00E46A5D">
        <w:t xml:space="preserve">EPA </w:t>
      </w:r>
      <w:r w:rsidRPr="0041010A">
        <w:t>Victoria</w:t>
      </w:r>
      <w:r w:rsidR="00E46A5D">
        <w:t>,</w:t>
      </w:r>
      <w:r w:rsidRPr="0041010A">
        <w:t xml:space="preserve"> 2018).</w:t>
      </w:r>
    </w:p>
    <w:p w14:paraId="37444288" w14:textId="77777777" w:rsidR="009D6347" w:rsidRDefault="009D6347" w:rsidP="009D6347">
      <w:pPr>
        <w:pStyle w:val="Heading3"/>
        <w:rPr>
          <w:rFonts w:cs="Arial"/>
          <w:sz w:val="36"/>
          <w:lang w:eastAsia="en-AU"/>
        </w:rPr>
      </w:pPr>
      <w:r>
        <w:t>Find out more</w:t>
      </w:r>
    </w:p>
    <w:p w14:paraId="50B93984" w14:textId="00A30540" w:rsidR="009D6347" w:rsidRPr="00ED75A6" w:rsidRDefault="009D6347" w:rsidP="009D6347">
      <w:pPr>
        <w:pStyle w:val="NormalWeb"/>
        <w:rPr>
          <w:rFonts w:ascii="Arial" w:hAnsi="Arial" w:cs="Arial"/>
          <w:color w:val="2A2736"/>
          <w:sz w:val="21"/>
          <w:szCs w:val="21"/>
        </w:rPr>
      </w:pPr>
      <w:r w:rsidRPr="00ED75A6">
        <w:rPr>
          <w:rFonts w:ascii="Arial" w:hAnsi="Arial" w:cs="Arial"/>
          <w:color w:val="2A2736"/>
          <w:sz w:val="21"/>
          <w:szCs w:val="21"/>
        </w:rPr>
        <w:t>The Environment Protection Authority’s </w:t>
      </w:r>
      <w:hyperlink r:id="rId20" w:tgtFrame="_blank" w:history="1">
        <w:r w:rsidR="00AB7AB9">
          <w:rPr>
            <w:rStyle w:val="Hyperlink"/>
            <w:rFonts w:ascii="Arial" w:eastAsia="MS Gothic" w:hAnsi="Arial" w:cs="Arial"/>
            <w:sz w:val="21"/>
            <w:szCs w:val="21"/>
            <w:lang w:eastAsia="en-US"/>
          </w:rPr>
          <w:t>air quality in Victoria webpage</w:t>
        </w:r>
      </w:hyperlink>
      <w:r w:rsidR="00AB7AB9">
        <w:rPr>
          <w:rStyle w:val="Hyperlink"/>
          <w:rFonts w:ascii="Arial" w:eastAsia="MS Gothic" w:hAnsi="Arial" w:cs="Arial"/>
          <w:sz w:val="21"/>
          <w:szCs w:val="21"/>
          <w:lang w:eastAsia="en-US"/>
        </w:rPr>
        <w:t xml:space="preserve"> </w:t>
      </w:r>
      <w:r w:rsidR="00B0433E">
        <w:rPr>
          <w:rStyle w:val="rpl-text-icongroup"/>
          <w:rFonts w:ascii="Arial" w:hAnsi="Arial" w:cs="Arial"/>
          <w:color w:val="000000" w:themeColor="text1"/>
          <w:sz w:val="21"/>
          <w:szCs w:val="21"/>
        </w:rPr>
        <w:t>&lt;</w:t>
      </w:r>
      <w:r w:rsidR="00B0433E" w:rsidRPr="00B0433E">
        <w:rPr>
          <w:rStyle w:val="rpl-text-icongroup"/>
          <w:rFonts w:ascii="Arial" w:hAnsi="Arial" w:cs="Arial"/>
          <w:sz w:val="21"/>
          <w:szCs w:val="21"/>
        </w:rPr>
        <w:t>https://www.epa.vic.gov.au/</w:t>
      </w:r>
      <w:r w:rsidR="00B0433E">
        <w:rPr>
          <w:rStyle w:val="rpl-text-icongroup"/>
          <w:rFonts w:ascii="Arial" w:hAnsi="Arial" w:cs="Arial"/>
          <w:sz w:val="21"/>
          <w:szCs w:val="21"/>
        </w:rPr>
        <w:t>&gt;.</w:t>
      </w:r>
    </w:p>
    <w:p w14:paraId="43653E80" w14:textId="77777777" w:rsidR="009D6347" w:rsidRDefault="009D6347" w:rsidP="009D6347">
      <w:pPr>
        <w:pStyle w:val="Heading2"/>
      </w:pPr>
      <w:bookmarkStart w:id="32" w:name="_Toc116981353"/>
      <w:r>
        <w:lastRenderedPageBreak/>
        <w:t>Healthy indoor environments</w:t>
      </w:r>
      <w:bookmarkEnd w:id="32"/>
      <w:r>
        <w:t xml:space="preserve">  </w:t>
      </w:r>
    </w:p>
    <w:p w14:paraId="1E1B7C22" w14:textId="0D875C0C" w:rsidR="009D6347" w:rsidRPr="0004607A" w:rsidRDefault="009D6347" w:rsidP="009D6347">
      <w:pPr>
        <w:pStyle w:val="Body"/>
        <w:rPr>
          <w:rFonts w:cs="Arial"/>
          <w:color w:val="2A2736"/>
          <w:szCs w:val="21"/>
        </w:rPr>
      </w:pPr>
      <w:r w:rsidRPr="0041010A">
        <w:t>'Home' means refuge and security</w:t>
      </w:r>
      <w:r w:rsidR="00E46A5D">
        <w:t>:</w:t>
      </w:r>
      <w:r w:rsidRPr="0041010A">
        <w:t xml:space="preserve"> a place to which we turn to replenish our energies (Ryd 1991).</w:t>
      </w:r>
    </w:p>
    <w:p w14:paraId="1F75F0B5" w14:textId="4963436C" w:rsidR="009D6347" w:rsidRPr="0004607A" w:rsidRDefault="00E46A5D" w:rsidP="009D6347">
      <w:pPr>
        <w:pStyle w:val="Body"/>
        <w:rPr>
          <w:rFonts w:cs="Arial"/>
          <w:color w:val="2A2736"/>
          <w:szCs w:val="21"/>
        </w:rPr>
      </w:pPr>
      <w:r>
        <w:t xml:space="preserve">That is why good-quality housing, including </w:t>
      </w:r>
      <w:r w:rsidR="009D6347" w:rsidRPr="0041010A">
        <w:t>good-quality indoor environments</w:t>
      </w:r>
      <w:r>
        <w:t>,</w:t>
      </w:r>
      <w:r w:rsidR="009D6347" w:rsidRPr="0041010A">
        <w:t xml:space="preserve"> is important for </w:t>
      </w:r>
      <w:r>
        <w:t xml:space="preserve">public </w:t>
      </w:r>
      <w:r w:rsidR="009D6347" w:rsidRPr="0041010A">
        <w:t>health.</w:t>
      </w:r>
    </w:p>
    <w:p w14:paraId="0AA006C1" w14:textId="77777777" w:rsidR="009D6347" w:rsidRPr="004E2D64" w:rsidRDefault="009D6347" w:rsidP="009D6347">
      <w:pPr>
        <w:pStyle w:val="Heading2"/>
        <w:spacing w:line="312" w:lineRule="atLeast"/>
        <w:rPr>
          <w:rFonts w:cs="Arial"/>
          <w:b w:val="0"/>
          <w:color w:val="2A2736"/>
          <w:sz w:val="30"/>
          <w:szCs w:val="30"/>
          <w:lang w:eastAsia="en-AU"/>
        </w:rPr>
      </w:pPr>
      <w:bookmarkStart w:id="33" w:name="_Toc116981354"/>
      <w:r w:rsidRPr="004E2D64">
        <w:rPr>
          <w:rFonts w:cs="Arial"/>
          <w:b w:val="0"/>
          <w:bCs/>
          <w:color w:val="2A2736"/>
          <w:sz w:val="30"/>
          <w:szCs w:val="30"/>
        </w:rPr>
        <w:t>Housing a growing population</w:t>
      </w:r>
      <w:bookmarkEnd w:id="33"/>
    </w:p>
    <w:p w14:paraId="382FDA07" w14:textId="77777777" w:rsidR="009D6347" w:rsidRPr="00B0433E" w:rsidRDefault="009D6347" w:rsidP="009D6347">
      <w:pPr>
        <w:pStyle w:val="Body"/>
        <w:rPr>
          <w:rFonts w:cs="Arial"/>
          <w:color w:val="000000" w:themeColor="text1"/>
          <w:szCs w:val="21"/>
        </w:rPr>
      </w:pPr>
      <w:r w:rsidRPr="00B0433E">
        <w:rPr>
          <w:color w:val="000000" w:themeColor="text1"/>
        </w:rPr>
        <w:t>By 205</w:t>
      </w:r>
      <w:r w:rsidRPr="00B0433E">
        <w:rPr>
          <w:rFonts w:cs="Arial"/>
          <w:color w:val="000000" w:themeColor="text1"/>
          <w:szCs w:val="21"/>
        </w:rPr>
        <w:t xml:space="preserve">6, Victoria's population is projected to double to 11.2 million people. </w:t>
      </w:r>
    </w:p>
    <w:p w14:paraId="1ECC1610" w14:textId="0092E43D" w:rsidR="009D6347" w:rsidRPr="004E2D64" w:rsidRDefault="009D6347" w:rsidP="009D6347">
      <w:pPr>
        <w:pStyle w:val="Body"/>
        <w:rPr>
          <w:rFonts w:cs="Arial"/>
          <w:color w:val="2A2736"/>
          <w:szCs w:val="21"/>
        </w:rPr>
      </w:pPr>
      <w:r w:rsidRPr="0041010A">
        <w:t>This increase in population is estimated to be due to natural population increase of 1.</w:t>
      </w:r>
      <w:r>
        <w:rPr>
          <w:rFonts w:cs="Arial"/>
          <w:color w:val="2A2736"/>
          <w:szCs w:val="21"/>
        </w:rPr>
        <w:t>6</w:t>
      </w:r>
      <w:r w:rsidRPr="004E2D64">
        <w:rPr>
          <w:rFonts w:cs="Arial"/>
          <w:color w:val="2A2736"/>
          <w:szCs w:val="21"/>
        </w:rPr>
        <w:t xml:space="preserve"> million people and net migration of </w:t>
      </w:r>
      <w:r>
        <w:rPr>
          <w:rFonts w:cs="Arial"/>
          <w:color w:val="2A2736"/>
          <w:szCs w:val="21"/>
        </w:rPr>
        <w:t>3.2</w:t>
      </w:r>
      <w:r w:rsidRPr="004E2D64">
        <w:rPr>
          <w:rFonts w:cs="Arial"/>
          <w:color w:val="2A2736"/>
          <w:szCs w:val="21"/>
        </w:rPr>
        <w:t xml:space="preserve"> million people (</w:t>
      </w:r>
      <w:r w:rsidR="00E46A5D">
        <w:rPr>
          <w:rFonts w:cs="Arial"/>
          <w:color w:val="2A2736"/>
          <w:szCs w:val="21"/>
        </w:rPr>
        <w:t xml:space="preserve">DELWP, </w:t>
      </w:r>
      <w:r w:rsidRPr="004E2D64">
        <w:rPr>
          <w:rFonts w:cs="Arial"/>
          <w:color w:val="2A2736"/>
          <w:szCs w:val="21"/>
        </w:rPr>
        <w:t>20</w:t>
      </w:r>
      <w:r>
        <w:rPr>
          <w:rFonts w:cs="Arial"/>
          <w:color w:val="2A2736"/>
          <w:szCs w:val="21"/>
        </w:rPr>
        <w:t>19</w:t>
      </w:r>
      <w:r w:rsidRPr="004E2D64">
        <w:rPr>
          <w:rFonts w:cs="Arial"/>
          <w:color w:val="2A2736"/>
          <w:szCs w:val="21"/>
        </w:rPr>
        <w:t>).</w:t>
      </w:r>
    </w:p>
    <w:p w14:paraId="72AB3935" w14:textId="1E4AA1FA" w:rsidR="009D6347" w:rsidRPr="004E2D64" w:rsidRDefault="009D6347" w:rsidP="009D6347">
      <w:pPr>
        <w:pStyle w:val="Body"/>
        <w:rPr>
          <w:rFonts w:cs="Arial"/>
          <w:color w:val="2A2736"/>
          <w:szCs w:val="21"/>
        </w:rPr>
      </w:pPr>
      <w:r w:rsidRPr="0041010A">
        <w:t>Population growth increases the demand for housing.</w:t>
      </w:r>
      <w:r w:rsidR="00FF3C99">
        <w:t xml:space="preserve"> I</w:t>
      </w:r>
      <w:r w:rsidRPr="0041010A">
        <w:t>mproving housing conditions and reducing health risks in the home is essential for protecting public health and maintaining wellbeing (World Health Organization, 2018).</w:t>
      </w:r>
    </w:p>
    <w:p w14:paraId="2DBE8F3B" w14:textId="6B715351" w:rsidR="009D6347" w:rsidRPr="004E2D64" w:rsidRDefault="003A2131" w:rsidP="009D6347">
      <w:pPr>
        <w:pStyle w:val="Body"/>
        <w:rPr>
          <w:rFonts w:cs="Arial"/>
          <w:color w:val="2A2736"/>
          <w:szCs w:val="21"/>
        </w:rPr>
      </w:pPr>
      <w:r>
        <w:t>In addition</w:t>
      </w:r>
      <w:r w:rsidR="009D6347" w:rsidRPr="0041010A">
        <w:t xml:space="preserve">, housing affordability and accessibility </w:t>
      </w:r>
      <w:r>
        <w:t xml:space="preserve">is connected to </w:t>
      </w:r>
      <w:r w:rsidR="009D6347" w:rsidRPr="0041010A">
        <w:t>wellbeing.</w:t>
      </w:r>
    </w:p>
    <w:p w14:paraId="02899059" w14:textId="77777777" w:rsidR="009D6347" w:rsidRPr="004E2D64" w:rsidRDefault="009D6347" w:rsidP="009D6347">
      <w:pPr>
        <w:pStyle w:val="Heading2"/>
        <w:spacing w:line="312" w:lineRule="atLeast"/>
        <w:rPr>
          <w:rFonts w:cs="Arial"/>
          <w:b w:val="0"/>
          <w:color w:val="2A2736"/>
          <w:sz w:val="30"/>
          <w:szCs w:val="30"/>
        </w:rPr>
      </w:pPr>
      <w:bookmarkStart w:id="34" w:name="_Toc116981355"/>
      <w:r w:rsidRPr="004E2D64">
        <w:rPr>
          <w:rFonts w:cs="Arial"/>
          <w:b w:val="0"/>
          <w:bCs/>
          <w:color w:val="2A2736"/>
          <w:sz w:val="30"/>
          <w:szCs w:val="30"/>
        </w:rPr>
        <w:t>Guidelines on housing and health</w:t>
      </w:r>
      <w:bookmarkEnd w:id="34"/>
    </w:p>
    <w:p w14:paraId="72734580" w14:textId="75963472" w:rsidR="009D6347" w:rsidRPr="004E2D64" w:rsidRDefault="009D6347" w:rsidP="009D6347">
      <w:pPr>
        <w:pStyle w:val="Body"/>
        <w:rPr>
          <w:rFonts w:cs="Arial"/>
          <w:color w:val="2A2736"/>
          <w:szCs w:val="21"/>
        </w:rPr>
      </w:pPr>
      <w:r w:rsidRPr="0041010A">
        <w:t xml:space="preserve">The World Health Organization </w:t>
      </w:r>
      <w:r w:rsidR="003A2131">
        <w:t xml:space="preserve">(WHO) publication, </w:t>
      </w:r>
      <w:r w:rsidRPr="00F402BF">
        <w:rPr>
          <w:i/>
          <w:iCs/>
        </w:rPr>
        <w:t>Housing and health guidelines</w:t>
      </w:r>
      <w:r w:rsidRPr="0041010A">
        <w:t xml:space="preserve"> (2018)</w:t>
      </w:r>
      <w:r w:rsidR="003A2131">
        <w:t>,</w:t>
      </w:r>
      <w:r w:rsidRPr="0041010A">
        <w:t xml:space="preserve"> strongly recommend</w:t>
      </w:r>
      <w:r w:rsidR="003A2131">
        <w:t>s</w:t>
      </w:r>
      <w:r w:rsidRPr="0041010A">
        <w:t xml:space="preserve"> that countries consider strategies for preventing or reducing household crowding, </w:t>
      </w:r>
      <w:r w:rsidR="003A2131">
        <w:t xml:space="preserve">increasing </w:t>
      </w:r>
      <w:r w:rsidRPr="0041010A">
        <w:t xml:space="preserve">accessibility for people with </w:t>
      </w:r>
      <w:r w:rsidRPr="004E2D64">
        <w:rPr>
          <w:rFonts w:cs="Arial"/>
          <w:color w:val="2A2736"/>
          <w:szCs w:val="21"/>
        </w:rPr>
        <w:t xml:space="preserve">functional impairments, </w:t>
      </w:r>
      <w:r w:rsidR="003A2131">
        <w:rPr>
          <w:rFonts w:cs="Arial"/>
          <w:color w:val="2A2736"/>
          <w:szCs w:val="21"/>
        </w:rPr>
        <w:t xml:space="preserve">improving </w:t>
      </w:r>
      <w:r w:rsidRPr="004E2D64">
        <w:rPr>
          <w:rFonts w:cs="Arial"/>
          <w:color w:val="2A2736"/>
          <w:szCs w:val="21"/>
        </w:rPr>
        <w:t>home safety</w:t>
      </w:r>
      <w:r w:rsidR="003A2131">
        <w:rPr>
          <w:rFonts w:cs="Arial"/>
          <w:color w:val="2A2736"/>
          <w:szCs w:val="21"/>
        </w:rPr>
        <w:t>,</w:t>
      </w:r>
      <w:r w:rsidRPr="004E2D64">
        <w:rPr>
          <w:rFonts w:cs="Arial"/>
          <w:color w:val="2A2736"/>
          <w:szCs w:val="21"/>
        </w:rPr>
        <w:t xml:space="preserve"> and </w:t>
      </w:r>
      <w:r w:rsidR="003A2131">
        <w:rPr>
          <w:rFonts w:cs="Arial"/>
          <w:color w:val="2A2736"/>
          <w:szCs w:val="21"/>
        </w:rPr>
        <w:t xml:space="preserve">avoiding </w:t>
      </w:r>
      <w:r w:rsidRPr="004E2D64">
        <w:rPr>
          <w:rFonts w:cs="Arial"/>
          <w:color w:val="2A2736"/>
          <w:szCs w:val="21"/>
        </w:rPr>
        <w:t>injuries.</w:t>
      </w:r>
    </w:p>
    <w:p w14:paraId="4B3E2EEC" w14:textId="565CF0B1" w:rsidR="009D6347" w:rsidRDefault="009D6347" w:rsidP="009D6347">
      <w:pPr>
        <w:pStyle w:val="Body"/>
        <w:rPr>
          <w:rFonts w:cs="Arial"/>
          <w:color w:val="2A2736"/>
          <w:szCs w:val="21"/>
        </w:rPr>
      </w:pPr>
      <w:r w:rsidRPr="0041010A">
        <w:t xml:space="preserve">The </w:t>
      </w:r>
      <w:r w:rsidR="003A2131">
        <w:t xml:space="preserve">WHO </w:t>
      </w:r>
      <w:r w:rsidRPr="0041010A">
        <w:t xml:space="preserve">guidelines also recommend safe and well-balanced indoor temperatures to protect people </w:t>
      </w:r>
      <w:r w:rsidR="003A2131">
        <w:t xml:space="preserve">from extremes of heat and cold. </w:t>
      </w:r>
    </w:p>
    <w:p w14:paraId="2B9AE209" w14:textId="03783F27" w:rsidR="009D6347" w:rsidRDefault="009D6347" w:rsidP="009D6347">
      <w:pPr>
        <w:pStyle w:val="Body"/>
        <w:rPr>
          <w:rFonts w:cs="Arial"/>
          <w:color w:val="2A2736"/>
          <w:szCs w:val="21"/>
        </w:rPr>
      </w:pPr>
      <w:r w:rsidRPr="0041010A">
        <w:t xml:space="preserve">Poor housing conditions create multiple </w:t>
      </w:r>
      <w:r w:rsidRPr="00050C2E">
        <w:rPr>
          <w:rFonts w:cs="Arial"/>
          <w:color w:val="2A2736"/>
          <w:szCs w:val="21"/>
        </w:rPr>
        <w:t>health risks. Inadequate housing also tends to be energy inefficient</w:t>
      </w:r>
      <w:r w:rsidR="003A2131">
        <w:rPr>
          <w:rFonts w:cs="Arial"/>
          <w:color w:val="2A2736"/>
          <w:szCs w:val="21"/>
        </w:rPr>
        <w:t xml:space="preserve"> for </w:t>
      </w:r>
      <w:r w:rsidRPr="00050C2E">
        <w:rPr>
          <w:rFonts w:cs="Arial"/>
          <w:color w:val="2A2736"/>
          <w:szCs w:val="21"/>
        </w:rPr>
        <w:t>cooking, heating</w:t>
      </w:r>
      <w:r w:rsidR="003A2131">
        <w:rPr>
          <w:rFonts w:cs="Arial"/>
          <w:color w:val="2A2736"/>
          <w:szCs w:val="21"/>
        </w:rPr>
        <w:t>,</w:t>
      </w:r>
      <w:r w:rsidRPr="00050C2E">
        <w:rPr>
          <w:rFonts w:cs="Arial"/>
          <w:color w:val="2A2736"/>
          <w:szCs w:val="21"/>
        </w:rPr>
        <w:t xml:space="preserve"> and </w:t>
      </w:r>
      <w:r w:rsidR="003A2131">
        <w:rPr>
          <w:rFonts w:cs="Arial"/>
          <w:color w:val="2A2736"/>
          <w:szCs w:val="21"/>
        </w:rPr>
        <w:t xml:space="preserve">cooling – </w:t>
      </w:r>
      <w:r w:rsidRPr="00050C2E">
        <w:rPr>
          <w:rFonts w:cs="Arial"/>
          <w:color w:val="2A2736"/>
          <w:szCs w:val="21"/>
        </w:rPr>
        <w:t xml:space="preserve">creating health risks </w:t>
      </w:r>
      <w:r w:rsidR="003A2131">
        <w:rPr>
          <w:rFonts w:cs="Arial"/>
          <w:color w:val="2A2736"/>
          <w:szCs w:val="21"/>
        </w:rPr>
        <w:t xml:space="preserve">for residents and </w:t>
      </w:r>
      <w:r w:rsidRPr="00050C2E">
        <w:rPr>
          <w:rFonts w:cs="Arial"/>
          <w:color w:val="2A2736"/>
          <w:szCs w:val="21"/>
        </w:rPr>
        <w:t>increasing climate emissions</w:t>
      </w:r>
      <w:r>
        <w:rPr>
          <w:rFonts w:cs="Arial"/>
          <w:color w:val="2A2736"/>
          <w:szCs w:val="21"/>
        </w:rPr>
        <w:t xml:space="preserve"> (WHO</w:t>
      </w:r>
      <w:r w:rsidR="003A2131">
        <w:rPr>
          <w:rFonts w:cs="Arial"/>
          <w:color w:val="2A2736"/>
          <w:szCs w:val="21"/>
        </w:rPr>
        <w:t>,</w:t>
      </w:r>
      <w:r>
        <w:rPr>
          <w:rFonts w:cs="Arial"/>
          <w:color w:val="2A2736"/>
          <w:szCs w:val="21"/>
        </w:rPr>
        <w:t xml:space="preserve"> 2019).</w:t>
      </w:r>
    </w:p>
    <w:p w14:paraId="4FC4FE74" w14:textId="77777777" w:rsidR="00491E7D" w:rsidRDefault="00491E7D" w:rsidP="00491E7D">
      <w:pPr>
        <w:pStyle w:val="Heading4"/>
        <w:rPr>
          <w:sz w:val="21"/>
        </w:rPr>
      </w:pPr>
      <w:r>
        <w:t>Housing and health risks</w:t>
      </w:r>
    </w:p>
    <w:p w14:paraId="17D3BEC2" w14:textId="67C44347" w:rsidR="00491E7D" w:rsidRDefault="00491E7D" w:rsidP="009D6347">
      <w:pPr>
        <w:pStyle w:val="Body"/>
        <w:rPr>
          <w:rFonts w:cs="Arial"/>
          <w:color w:val="2A2736"/>
          <w:szCs w:val="21"/>
        </w:rPr>
      </w:pPr>
      <w:r>
        <w:rPr>
          <w:rFonts w:cs="Arial"/>
          <w:color w:val="2A2736"/>
          <w:szCs w:val="21"/>
        </w:rPr>
        <w:t>Poor housing may increase the risk of reduced brain development, injuries, cardiovascular disease, infections and have respiratory effects. Healthy houses should be safe and free of environmental threats including:</w:t>
      </w:r>
    </w:p>
    <w:p w14:paraId="15A2F40B" w14:textId="1AF9E953"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noise pollution</w:t>
      </w:r>
    </w:p>
    <w:p w14:paraId="4A747400" w14:textId="37C0971D"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indoor air pollution (for example, cigarette or e-cigarette smoke)</w:t>
      </w:r>
    </w:p>
    <w:p w14:paraId="70CB4EC4" w14:textId="0A961EEB"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being structurally unsound or unsafe</w:t>
      </w:r>
    </w:p>
    <w:p w14:paraId="3C2CE65B" w14:textId="19BBF5A2"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green spaces</w:t>
      </w:r>
    </w:p>
    <w:p w14:paraId="5ACB0B36" w14:textId="66B8E04F"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overcrowding</w:t>
      </w:r>
    </w:p>
    <w:p w14:paraId="5D82309B" w14:textId="11590754"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access to water and sanitation</w:t>
      </w:r>
    </w:p>
    <w:p w14:paraId="1F7AE3C1" w14:textId="0259F915"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 lack of access to cycling lanes and walking paths</w:t>
      </w:r>
    </w:p>
    <w:p w14:paraId="50B55094" w14:textId="758E5AF2"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home appliances and household products</w:t>
      </w:r>
    </w:p>
    <w:p w14:paraId="7143E3C2" w14:textId="55966EE5"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ambient air pollution</w:t>
      </w:r>
    </w:p>
    <w:p w14:paraId="522D0438" w14:textId="25B6CE1C" w:rsidR="00491E7D" w:rsidRDefault="00491E7D" w:rsidP="00491E7D">
      <w:pPr>
        <w:pStyle w:val="Body"/>
        <w:numPr>
          <w:ilvl w:val="0"/>
          <w:numId w:val="19"/>
        </w:numPr>
        <w:ind w:left="425" w:hanging="357"/>
        <w:contextualSpacing/>
        <w:rPr>
          <w:rFonts w:cs="Arial"/>
          <w:color w:val="2A2736"/>
          <w:szCs w:val="21"/>
        </w:rPr>
      </w:pPr>
      <w:r>
        <w:rPr>
          <w:rFonts w:cs="Arial"/>
          <w:color w:val="2A2736"/>
          <w:szCs w:val="21"/>
        </w:rPr>
        <w:t>extreme indoor temperatures (heat and cold).</w:t>
      </w:r>
    </w:p>
    <w:p w14:paraId="710DD20C" w14:textId="593590DC" w:rsidR="0092449E" w:rsidRDefault="0092449E">
      <w:pPr>
        <w:spacing w:after="0" w:line="240" w:lineRule="auto"/>
        <w:rPr>
          <w:rFonts w:eastAsia="Times" w:cs="Arial"/>
          <w:color w:val="2A2736"/>
          <w:szCs w:val="21"/>
        </w:rPr>
      </w:pPr>
      <w:r>
        <w:rPr>
          <w:rFonts w:cs="Arial"/>
          <w:color w:val="2A2736"/>
          <w:szCs w:val="21"/>
        </w:rPr>
        <w:br w:type="page"/>
      </w:r>
    </w:p>
    <w:p w14:paraId="320A4BD7" w14:textId="6C7E2D40" w:rsidR="00AB7AB9" w:rsidRPr="008B714E" w:rsidRDefault="00AB7AB9" w:rsidP="00AB7AB9">
      <w:pPr>
        <w:pStyle w:val="Heading2"/>
        <w:spacing w:line="312" w:lineRule="atLeast"/>
        <w:rPr>
          <w:rFonts w:cs="Arial"/>
          <w:b w:val="0"/>
          <w:color w:val="2A2736"/>
          <w:sz w:val="30"/>
          <w:szCs w:val="30"/>
        </w:rPr>
      </w:pPr>
      <w:r>
        <w:rPr>
          <w:rFonts w:cs="Arial"/>
          <w:b w:val="0"/>
          <w:bCs/>
          <w:color w:val="2A2736"/>
          <w:sz w:val="30"/>
          <w:szCs w:val="30"/>
        </w:rPr>
        <w:lastRenderedPageBreak/>
        <w:t>Time spent indoors</w:t>
      </w:r>
    </w:p>
    <w:p w14:paraId="5687B9C1" w14:textId="77777777" w:rsidR="009D6347" w:rsidRPr="00904681" w:rsidRDefault="009D6347" w:rsidP="0085255E">
      <w:pPr>
        <w:pStyle w:val="NormalWeb"/>
        <w:spacing w:after="120" w:afterAutospacing="0" w:line="280" w:lineRule="atLeast"/>
        <w:rPr>
          <w:rFonts w:ascii="Arial" w:hAnsi="Arial" w:cs="Arial"/>
          <w:color w:val="2A2736"/>
          <w:sz w:val="21"/>
          <w:szCs w:val="21"/>
        </w:rPr>
      </w:pPr>
      <w:r w:rsidRPr="00904681">
        <w:rPr>
          <w:rFonts w:ascii="Arial" w:hAnsi="Arial" w:cs="Arial"/>
          <w:color w:val="2A2736"/>
          <w:sz w:val="21"/>
          <w:szCs w:val="21"/>
        </w:rPr>
        <w:t>Research shows that</w:t>
      </w:r>
      <w:r>
        <w:rPr>
          <w:rFonts w:ascii="Arial" w:hAnsi="Arial" w:cs="Arial"/>
          <w:color w:val="2A2736"/>
          <w:sz w:val="21"/>
          <w:szCs w:val="21"/>
        </w:rPr>
        <w:t>:</w:t>
      </w:r>
    </w:p>
    <w:p w14:paraId="2FEE048B" w14:textId="590BAF56" w:rsidR="009D6347" w:rsidRPr="00F739AC" w:rsidRDefault="009D6347" w:rsidP="009D6347">
      <w:pPr>
        <w:pStyle w:val="Bullet1"/>
      </w:pPr>
      <w:r w:rsidRPr="00F739AC">
        <w:t xml:space="preserve">Australians spend </w:t>
      </w:r>
      <w:r w:rsidRPr="0075442B">
        <w:t>80</w:t>
      </w:r>
      <w:r w:rsidR="00D8514F" w:rsidRPr="0075442B">
        <w:t xml:space="preserve"> to </w:t>
      </w:r>
      <w:r w:rsidRPr="0075442B">
        <w:t>100</w:t>
      </w:r>
      <w:r w:rsidRPr="00F739AC">
        <w:t xml:space="preserve"> per cent of their time indoors (at work and at home)</w:t>
      </w:r>
    </w:p>
    <w:p w14:paraId="593123C2" w14:textId="77777777" w:rsidR="009D6347" w:rsidRPr="00F739AC" w:rsidRDefault="009D6347" w:rsidP="009D6347">
      <w:pPr>
        <w:pStyle w:val="Bullet1"/>
      </w:pPr>
      <w:r w:rsidRPr="00F739AC">
        <w:t>42 per cent of women and 22 per cent of men spend more than 80 per cent of their time at home</w:t>
      </w:r>
    </w:p>
    <w:p w14:paraId="4D35AC75" w14:textId="77777777" w:rsidR="009D6347" w:rsidRPr="00F739AC" w:rsidRDefault="009D6347" w:rsidP="009D6347">
      <w:pPr>
        <w:pStyle w:val="Bullet1"/>
      </w:pPr>
      <w:r w:rsidRPr="00F739AC">
        <w:t>time spent indoors increases with age (enHealth, 2012).</w:t>
      </w:r>
    </w:p>
    <w:p w14:paraId="1F25DC52" w14:textId="77777777" w:rsidR="009D6347" w:rsidRPr="008B714E" w:rsidRDefault="009D6347" w:rsidP="009D6347">
      <w:pPr>
        <w:pStyle w:val="Heading2"/>
        <w:spacing w:line="312" w:lineRule="atLeast"/>
        <w:rPr>
          <w:rFonts w:cs="Arial"/>
          <w:b w:val="0"/>
          <w:color w:val="2A2736"/>
          <w:sz w:val="30"/>
          <w:szCs w:val="30"/>
        </w:rPr>
      </w:pPr>
      <w:bookmarkStart w:id="35" w:name="_Toc116981357"/>
      <w:r w:rsidRPr="00733E92">
        <w:rPr>
          <w:rFonts w:cs="Arial"/>
          <w:b w:val="0"/>
          <w:bCs/>
          <w:color w:val="2A2736"/>
          <w:sz w:val="30"/>
          <w:szCs w:val="30"/>
        </w:rPr>
        <w:t>Indoor air quality</w:t>
      </w:r>
      <w:bookmarkEnd w:id="35"/>
    </w:p>
    <w:p w14:paraId="0A820B23" w14:textId="4E2171AF" w:rsidR="009D6347" w:rsidRDefault="009D6347" w:rsidP="009D6347">
      <w:pPr>
        <w:pStyle w:val="Body"/>
        <w:rPr>
          <w:rFonts w:cs="Arial"/>
          <w:color w:val="2A2736"/>
          <w:szCs w:val="21"/>
        </w:rPr>
      </w:pPr>
      <w:r w:rsidRPr="0041010A">
        <w:t xml:space="preserve">The National Health and Medical Research Council (NHMRC) defines indoor air as air within a building occupied for at least one hour by people of </w:t>
      </w:r>
      <w:r w:rsidRPr="007A63BB">
        <w:rPr>
          <w:rFonts w:cs="Arial"/>
          <w:color w:val="2A2736"/>
          <w:szCs w:val="21"/>
        </w:rPr>
        <w:t>varying states of health. This can include office</w:t>
      </w:r>
      <w:r w:rsidR="003A2131">
        <w:rPr>
          <w:rFonts w:cs="Arial"/>
          <w:color w:val="2A2736"/>
          <w:szCs w:val="21"/>
        </w:rPr>
        <w:t>s</w:t>
      </w:r>
      <w:r w:rsidRPr="007A63BB">
        <w:rPr>
          <w:rFonts w:cs="Arial"/>
          <w:color w:val="2A2736"/>
          <w:szCs w:val="21"/>
        </w:rPr>
        <w:t>, classroom</w:t>
      </w:r>
      <w:r w:rsidR="003A2131">
        <w:rPr>
          <w:rFonts w:cs="Arial"/>
          <w:color w:val="2A2736"/>
          <w:szCs w:val="21"/>
        </w:rPr>
        <w:t>s</w:t>
      </w:r>
      <w:r w:rsidRPr="007A63BB" w:rsidDel="000A6131">
        <w:rPr>
          <w:rFonts w:cs="Arial"/>
          <w:color w:val="2A2736"/>
          <w:szCs w:val="21"/>
        </w:rPr>
        <w:t xml:space="preserve">, </w:t>
      </w:r>
      <w:r w:rsidRPr="007A63BB">
        <w:rPr>
          <w:rFonts w:cs="Arial"/>
          <w:color w:val="2A2736"/>
          <w:szCs w:val="21"/>
        </w:rPr>
        <w:t>shopping centre</w:t>
      </w:r>
      <w:r w:rsidR="003A2131">
        <w:rPr>
          <w:rFonts w:cs="Arial"/>
          <w:color w:val="2A2736"/>
          <w:szCs w:val="21"/>
        </w:rPr>
        <w:t>s</w:t>
      </w:r>
      <w:r w:rsidRPr="007A63BB">
        <w:rPr>
          <w:rFonts w:cs="Arial"/>
          <w:color w:val="2A2736"/>
          <w:szCs w:val="21"/>
        </w:rPr>
        <w:t>, hospital</w:t>
      </w:r>
      <w:r w:rsidR="003A2131">
        <w:rPr>
          <w:rFonts w:cs="Arial"/>
          <w:color w:val="2A2736"/>
          <w:szCs w:val="21"/>
        </w:rPr>
        <w:t>s</w:t>
      </w:r>
      <w:r w:rsidRPr="007A63BB">
        <w:rPr>
          <w:rFonts w:cs="Arial"/>
          <w:color w:val="2A2736"/>
          <w:szCs w:val="21"/>
        </w:rPr>
        <w:t xml:space="preserve"> and</w:t>
      </w:r>
      <w:r>
        <w:rPr>
          <w:rFonts w:cs="Arial"/>
          <w:color w:val="2A2736"/>
          <w:szCs w:val="21"/>
        </w:rPr>
        <w:t xml:space="preserve"> </w:t>
      </w:r>
      <w:r w:rsidRPr="007A63BB">
        <w:rPr>
          <w:rFonts w:cs="Arial"/>
          <w:color w:val="2A2736"/>
          <w:szCs w:val="21"/>
        </w:rPr>
        <w:t>home</w:t>
      </w:r>
      <w:r w:rsidR="003A2131">
        <w:rPr>
          <w:rFonts w:cs="Arial"/>
          <w:color w:val="2A2736"/>
          <w:szCs w:val="21"/>
        </w:rPr>
        <w:t>s</w:t>
      </w:r>
      <w:r w:rsidRPr="007A63BB">
        <w:rPr>
          <w:rFonts w:cs="Arial"/>
          <w:color w:val="2A2736"/>
          <w:szCs w:val="21"/>
        </w:rPr>
        <w:t xml:space="preserve">. Indoor air quality can be defined as the totality of attributes of indoor air that affect a person's health and wellbeing. </w:t>
      </w:r>
    </w:p>
    <w:p w14:paraId="39F1ECEC" w14:textId="741312C6" w:rsidR="009D6347" w:rsidRPr="0041010A" w:rsidRDefault="009D6347" w:rsidP="009D6347">
      <w:pPr>
        <w:pStyle w:val="Body"/>
      </w:pPr>
      <w:r w:rsidRPr="0041010A">
        <w:t>Indoor air can contain synthetic and naturally occurring substances – pollutants or allergens – that may affect health. Pollutants and allergens can include dust, mould spores, smoke and combustion products, and volatile organic compounds (VOCs).</w:t>
      </w:r>
    </w:p>
    <w:p w14:paraId="111ADDD9" w14:textId="77777777" w:rsidR="009D6347" w:rsidRPr="00733E92" w:rsidRDefault="009D6347" w:rsidP="009D6347">
      <w:pPr>
        <w:pStyle w:val="Body"/>
        <w:rPr>
          <w:rFonts w:cs="Arial"/>
          <w:color w:val="2A2736"/>
          <w:szCs w:val="21"/>
        </w:rPr>
      </w:pPr>
      <w:r w:rsidRPr="0041010A">
        <w:t>Whether a source of indoor air pollution is a problem or not for health and wellbeing depends on:</w:t>
      </w:r>
    </w:p>
    <w:p w14:paraId="4EBD8594" w14:textId="77777777" w:rsidR="009D6347" w:rsidRPr="00F739AC" w:rsidRDefault="009D6347" w:rsidP="009D6347">
      <w:pPr>
        <w:pStyle w:val="Bullet1"/>
      </w:pPr>
      <w:r w:rsidRPr="00F739AC">
        <w:t>the type of air pollutant (or allergen)</w:t>
      </w:r>
    </w:p>
    <w:p w14:paraId="57BA5E00" w14:textId="77777777" w:rsidR="009D6347" w:rsidRPr="00F739AC" w:rsidRDefault="009D6347" w:rsidP="009D6347">
      <w:pPr>
        <w:pStyle w:val="Bullet1"/>
      </w:pPr>
      <w:r w:rsidRPr="00F739AC">
        <w:t>the amount and rate at which it is released from its source</w:t>
      </w:r>
    </w:p>
    <w:p w14:paraId="23B4FAAC" w14:textId="77777777" w:rsidR="009D6347" w:rsidRPr="00F739AC" w:rsidRDefault="009D6347" w:rsidP="009D6347">
      <w:pPr>
        <w:pStyle w:val="Bullet1"/>
      </w:pPr>
      <w:r w:rsidRPr="00F739AC">
        <w:t xml:space="preserve">the degree of available ventilation to remove it from indoors </w:t>
      </w:r>
    </w:p>
    <w:p w14:paraId="710155B3" w14:textId="1AC42BB8" w:rsidR="009D6347" w:rsidRPr="00F739AC" w:rsidRDefault="009D6347" w:rsidP="009D6347">
      <w:pPr>
        <w:pStyle w:val="Bullet1"/>
      </w:pPr>
      <w:r w:rsidRPr="00F739AC">
        <w:t>the leakiness of the home if the pollution source is outside</w:t>
      </w:r>
    </w:p>
    <w:p w14:paraId="7F3994CE" w14:textId="583CFDE8" w:rsidR="009D6347" w:rsidRPr="00D41FFC" w:rsidRDefault="009D6347" w:rsidP="007831DC">
      <w:pPr>
        <w:pStyle w:val="Bullet1"/>
      </w:pPr>
      <w:r w:rsidRPr="00F739AC">
        <w:t>the sensitivity of the person and any pre-existing conditions (Department of Industry and Science 2014</w:t>
      </w:r>
      <w:r w:rsidR="003A2131">
        <w:t>;</w:t>
      </w:r>
      <w:r w:rsidRPr="00F739AC">
        <w:t xml:space="preserve"> Caitlin McGee</w:t>
      </w:r>
      <w:r w:rsidR="003A2131">
        <w:t>,</w:t>
      </w:r>
      <w:r w:rsidRPr="00F739AC">
        <w:t xml:space="preserve"> 2020</w:t>
      </w:r>
      <w:r w:rsidRPr="00D41FFC">
        <w:t>)</w:t>
      </w:r>
      <w:r>
        <w:t>.</w:t>
      </w:r>
    </w:p>
    <w:p w14:paraId="5F0EA1C3" w14:textId="77777777" w:rsidR="009D6347" w:rsidRPr="00733E92" w:rsidRDefault="009D6347" w:rsidP="009D6347">
      <w:pPr>
        <w:pStyle w:val="Body"/>
        <w:rPr>
          <w:rFonts w:cs="Arial"/>
          <w:color w:val="2A2736"/>
          <w:szCs w:val="21"/>
        </w:rPr>
      </w:pPr>
      <w:r w:rsidRPr="0041010A">
        <w:t xml:space="preserve">Common sources of indoor air pollutants include various human indoor activities, household products, environmental conditions – building construction materials, ventilation, and heating and cooling systems – and external </w:t>
      </w:r>
      <w:r w:rsidRPr="00733E92">
        <w:rPr>
          <w:rFonts w:cs="Arial"/>
          <w:color w:val="2A2736"/>
          <w:szCs w:val="21"/>
        </w:rPr>
        <w:t>factors (from outdoors).</w:t>
      </w:r>
    </w:p>
    <w:p w14:paraId="4F60AAA7" w14:textId="77777777" w:rsidR="009D6347" w:rsidRPr="001B27EE" w:rsidRDefault="009D6347" w:rsidP="001B27EE">
      <w:pPr>
        <w:pStyle w:val="NormalWeb"/>
        <w:spacing w:after="120" w:afterAutospacing="0" w:line="280" w:lineRule="atLeast"/>
        <w:rPr>
          <w:rFonts w:ascii="Arial" w:eastAsia="Times" w:hAnsi="Arial"/>
          <w:sz w:val="21"/>
          <w:szCs w:val="20"/>
          <w:lang w:eastAsia="en-US"/>
        </w:rPr>
      </w:pPr>
      <w:r w:rsidRPr="001B27EE">
        <w:rPr>
          <w:rFonts w:ascii="Arial" w:eastAsia="Times" w:hAnsi="Arial"/>
          <w:sz w:val="21"/>
          <w:szCs w:val="20"/>
          <w:lang w:eastAsia="en-US"/>
        </w:rPr>
        <w:t>Indoor air pollutant levels:</w:t>
      </w:r>
    </w:p>
    <w:p w14:paraId="4A7FA953" w14:textId="77777777" w:rsidR="009D6347" w:rsidRPr="00F739AC" w:rsidRDefault="009D6347" w:rsidP="009D6347">
      <w:pPr>
        <w:pStyle w:val="Bullet1"/>
      </w:pPr>
      <w:r w:rsidRPr="00F739AC">
        <w:t>can sometimes be higher than levels found outdoors</w:t>
      </w:r>
    </w:p>
    <w:p w14:paraId="1E8FBB22" w14:textId="77777777" w:rsidR="009D6347" w:rsidRPr="00F739AC" w:rsidRDefault="009D6347" w:rsidP="009D6347">
      <w:pPr>
        <w:pStyle w:val="Bullet1"/>
      </w:pPr>
      <w:r w:rsidRPr="00F739AC">
        <w:t>may affect people’s health, and in some cases safety</w:t>
      </w:r>
    </w:p>
    <w:p w14:paraId="0B0AC2FF" w14:textId="1EF63C81" w:rsidR="009D6347" w:rsidRPr="00F739AC" w:rsidRDefault="009D6347" w:rsidP="009D6347">
      <w:pPr>
        <w:pStyle w:val="Bullet1"/>
      </w:pPr>
      <w:r w:rsidRPr="00F739AC">
        <w:t>in workplace</w:t>
      </w:r>
      <w:r w:rsidR="001507D1">
        <w:t>s</w:t>
      </w:r>
      <w:r w:rsidRPr="00F739AC">
        <w:t xml:space="preserve"> are managed through occupational health and safety legislation for workers</w:t>
      </w:r>
    </w:p>
    <w:p w14:paraId="36E77A98" w14:textId="49FC4164" w:rsidR="009D6347" w:rsidRPr="00F739AC" w:rsidRDefault="009D6347" w:rsidP="009D6347">
      <w:pPr>
        <w:pStyle w:val="Bullet1"/>
      </w:pPr>
      <w:r w:rsidRPr="00F739AC">
        <w:t>from household appliances</w:t>
      </w:r>
      <w:r w:rsidR="001507D1">
        <w:t>,</w:t>
      </w:r>
      <w:r w:rsidRPr="00F739AC">
        <w:t xml:space="preserve"> are generally regulated by manufacturing design, compliance with instructions for use </w:t>
      </w:r>
      <w:r w:rsidR="001507D1">
        <w:t>(</w:t>
      </w:r>
      <w:r w:rsidRPr="00F739AC">
        <w:t>including maintenance and consumer legislation</w:t>
      </w:r>
      <w:r w:rsidR="001507D1">
        <w:t>)</w:t>
      </w:r>
    </w:p>
    <w:p w14:paraId="6956D768" w14:textId="5624729B" w:rsidR="009D6347" w:rsidRPr="00F739AC" w:rsidRDefault="009D6347" w:rsidP="009D6347">
      <w:pPr>
        <w:pStyle w:val="Bullet1"/>
      </w:pPr>
      <w:r w:rsidRPr="00F739AC">
        <w:t>from use of consumer products</w:t>
      </w:r>
      <w:r w:rsidR="001507D1">
        <w:t>,</w:t>
      </w:r>
      <w:r w:rsidRPr="00F739AC">
        <w:t xml:space="preserve"> are minimised by following safe use instructions on the product label</w:t>
      </w:r>
    </w:p>
    <w:p w14:paraId="4392A7D8" w14:textId="677BE69F" w:rsidR="009D6347" w:rsidRPr="00F739AC" w:rsidRDefault="009D6347" w:rsidP="009D6347">
      <w:pPr>
        <w:pStyle w:val="Bullet1"/>
      </w:pPr>
      <w:r w:rsidRPr="00F739AC">
        <w:t xml:space="preserve">due to personal hobbies or behaviours </w:t>
      </w:r>
      <w:r w:rsidR="001507D1">
        <w:t>(</w:t>
      </w:r>
      <w:r w:rsidRPr="00F739AC">
        <w:t>including the potential misuse of materials or products</w:t>
      </w:r>
      <w:r w:rsidR="001507D1">
        <w:t>)</w:t>
      </w:r>
      <w:r w:rsidRPr="00F739AC">
        <w:t xml:space="preserve"> can also affect indoor air quality and expose people to health hazards. This can be prevented or minimised with community information and guidance.</w:t>
      </w:r>
    </w:p>
    <w:p w14:paraId="6C3DD4FE" w14:textId="77777777" w:rsidR="009D6347" w:rsidRPr="00855F99" w:rsidRDefault="009D6347" w:rsidP="009D6347">
      <w:pPr>
        <w:pStyle w:val="Heading2"/>
        <w:spacing w:line="312" w:lineRule="atLeast"/>
        <w:rPr>
          <w:rFonts w:cs="Arial"/>
          <w:b w:val="0"/>
          <w:color w:val="2A2736"/>
          <w:sz w:val="30"/>
          <w:szCs w:val="30"/>
        </w:rPr>
      </w:pPr>
      <w:bookmarkStart w:id="36" w:name="_Toc116981358"/>
      <w:r>
        <w:rPr>
          <w:rFonts w:cs="Arial"/>
          <w:b w:val="0"/>
          <w:bCs/>
          <w:color w:val="2A2736"/>
          <w:sz w:val="30"/>
          <w:szCs w:val="30"/>
        </w:rPr>
        <w:t>Sensitivity</w:t>
      </w:r>
      <w:r w:rsidRPr="00855F99">
        <w:rPr>
          <w:rFonts w:cs="Arial"/>
          <w:b w:val="0"/>
          <w:bCs/>
          <w:color w:val="2A2736"/>
          <w:sz w:val="30"/>
          <w:szCs w:val="30"/>
        </w:rPr>
        <w:t xml:space="preserve"> to air pollutants</w:t>
      </w:r>
      <w:bookmarkEnd w:id="36"/>
    </w:p>
    <w:p w14:paraId="1B211813" w14:textId="1C20BD2F" w:rsidR="009D6347" w:rsidRPr="006069CF" w:rsidRDefault="009D6347" w:rsidP="009D6347">
      <w:pPr>
        <w:pStyle w:val="Body"/>
        <w:rPr>
          <w:rFonts w:cs="Arial"/>
          <w:color w:val="2A2736"/>
          <w:szCs w:val="21"/>
        </w:rPr>
      </w:pPr>
      <w:r w:rsidRPr="0041010A">
        <w:t xml:space="preserve">Some </w:t>
      </w:r>
      <w:r w:rsidR="001507D1">
        <w:t xml:space="preserve">groups of people </w:t>
      </w:r>
      <w:r w:rsidRPr="0041010A">
        <w:t xml:space="preserve">are more </w:t>
      </w:r>
      <w:r>
        <w:rPr>
          <w:rFonts w:cs="Arial"/>
          <w:color w:val="2A2736"/>
          <w:szCs w:val="21"/>
        </w:rPr>
        <w:t>sensitive</w:t>
      </w:r>
      <w:r w:rsidRPr="006069CF">
        <w:rPr>
          <w:rFonts w:cs="Arial"/>
          <w:color w:val="2A2736"/>
          <w:szCs w:val="21"/>
        </w:rPr>
        <w:t xml:space="preserve"> to air pollutants.</w:t>
      </w:r>
      <w:r>
        <w:rPr>
          <w:rFonts w:cs="Arial"/>
          <w:color w:val="2A2736"/>
          <w:szCs w:val="21"/>
        </w:rPr>
        <w:t xml:space="preserve"> </w:t>
      </w:r>
      <w:r w:rsidRPr="006069CF">
        <w:rPr>
          <w:rFonts w:cs="Arial"/>
          <w:color w:val="2A2736"/>
          <w:szCs w:val="21"/>
        </w:rPr>
        <w:t>Th</w:t>
      </w:r>
      <w:r w:rsidR="001507D1">
        <w:rPr>
          <w:rFonts w:cs="Arial"/>
          <w:color w:val="2A2736"/>
          <w:szCs w:val="21"/>
        </w:rPr>
        <w:t>ese</w:t>
      </w:r>
      <w:r w:rsidRPr="006069CF">
        <w:rPr>
          <w:rFonts w:cs="Arial"/>
          <w:color w:val="2A2736"/>
          <w:szCs w:val="21"/>
        </w:rPr>
        <w:t xml:space="preserve"> </w:t>
      </w:r>
      <w:r w:rsidR="001507D1">
        <w:rPr>
          <w:rFonts w:cs="Arial"/>
          <w:color w:val="2A2736"/>
          <w:szCs w:val="21"/>
        </w:rPr>
        <w:t xml:space="preserve">groups </w:t>
      </w:r>
      <w:r w:rsidRPr="006069CF">
        <w:rPr>
          <w:rFonts w:cs="Arial"/>
          <w:color w:val="2A2736"/>
          <w:szCs w:val="21"/>
        </w:rPr>
        <w:t>include</w:t>
      </w:r>
      <w:r w:rsidR="001507D1">
        <w:rPr>
          <w:rFonts w:cs="Arial"/>
          <w:color w:val="2A2736"/>
          <w:szCs w:val="21"/>
        </w:rPr>
        <w:t xml:space="preserve"> </w:t>
      </w:r>
      <w:r w:rsidRPr="006069CF">
        <w:rPr>
          <w:rFonts w:cs="Arial"/>
          <w:color w:val="2A2736"/>
          <w:szCs w:val="21"/>
        </w:rPr>
        <w:t>young</w:t>
      </w:r>
      <w:r>
        <w:rPr>
          <w:rFonts w:cs="Arial"/>
          <w:color w:val="2A2736"/>
          <w:szCs w:val="21"/>
        </w:rPr>
        <w:t xml:space="preserve"> children</w:t>
      </w:r>
      <w:r w:rsidRPr="006069CF">
        <w:rPr>
          <w:rFonts w:cs="Arial"/>
          <w:color w:val="2A2736"/>
          <w:szCs w:val="21"/>
        </w:rPr>
        <w:t>, people</w:t>
      </w:r>
      <w:r>
        <w:rPr>
          <w:rFonts w:cs="Arial"/>
          <w:color w:val="2A2736"/>
          <w:szCs w:val="21"/>
        </w:rPr>
        <w:t xml:space="preserve"> over the age of 65</w:t>
      </w:r>
      <w:r w:rsidRPr="006069CF">
        <w:rPr>
          <w:rFonts w:cs="Arial"/>
          <w:color w:val="2A2736"/>
          <w:szCs w:val="21"/>
        </w:rPr>
        <w:t>, those with pre-existing respiratory or cardiovascular disease</w:t>
      </w:r>
      <w:r>
        <w:rPr>
          <w:rFonts w:cs="Arial"/>
          <w:color w:val="2A2736"/>
          <w:szCs w:val="21"/>
        </w:rPr>
        <w:t xml:space="preserve">, </w:t>
      </w:r>
      <w:r w:rsidRPr="006069CF">
        <w:rPr>
          <w:rFonts w:cs="Arial"/>
          <w:color w:val="2A2736"/>
          <w:szCs w:val="21"/>
        </w:rPr>
        <w:t>and those who are sensitised to a substance (allergen).</w:t>
      </w:r>
    </w:p>
    <w:p w14:paraId="5FA557DC" w14:textId="3A827F35" w:rsidR="009D6347" w:rsidRPr="006069CF" w:rsidRDefault="009D6347" w:rsidP="009D6347">
      <w:pPr>
        <w:pStyle w:val="Body"/>
        <w:rPr>
          <w:rFonts w:cs="Arial"/>
          <w:color w:val="2A2736"/>
          <w:szCs w:val="21"/>
        </w:rPr>
      </w:pPr>
      <w:r w:rsidRPr="0041010A">
        <w:lastRenderedPageBreak/>
        <w:t xml:space="preserve">Symptoms associated with poor indoor air quality can </w:t>
      </w:r>
      <w:r>
        <w:rPr>
          <w:rFonts w:cs="Arial"/>
          <w:color w:val="2A2736"/>
          <w:szCs w:val="21"/>
        </w:rPr>
        <w:t xml:space="preserve">last for a short period of time or be prolonged. They can range </w:t>
      </w:r>
      <w:r w:rsidRPr="006069CF">
        <w:rPr>
          <w:rFonts w:cs="Arial"/>
          <w:color w:val="2A2736"/>
          <w:szCs w:val="21"/>
        </w:rPr>
        <w:t xml:space="preserve">from mild effects </w:t>
      </w:r>
      <w:r w:rsidR="001507D1">
        <w:rPr>
          <w:rFonts w:cs="Arial"/>
          <w:color w:val="2A2736"/>
          <w:szCs w:val="21"/>
        </w:rPr>
        <w:t>(</w:t>
      </w:r>
      <w:r>
        <w:rPr>
          <w:rFonts w:cs="Arial"/>
          <w:color w:val="2A2736"/>
          <w:szCs w:val="21"/>
        </w:rPr>
        <w:t xml:space="preserve">such as </w:t>
      </w:r>
      <w:r w:rsidRPr="006069CF">
        <w:rPr>
          <w:rFonts w:cs="Arial"/>
          <w:color w:val="2A2736"/>
          <w:szCs w:val="21"/>
        </w:rPr>
        <w:t>eye, nose and throat irritation, headaches</w:t>
      </w:r>
      <w:r w:rsidR="001507D1">
        <w:rPr>
          <w:rFonts w:cs="Arial"/>
          <w:color w:val="2A2736"/>
          <w:szCs w:val="21"/>
        </w:rPr>
        <w:t>,</w:t>
      </w:r>
      <w:r w:rsidRPr="006069CF">
        <w:rPr>
          <w:rFonts w:cs="Arial"/>
          <w:color w:val="2A2736"/>
          <w:szCs w:val="21"/>
        </w:rPr>
        <w:t xml:space="preserve"> and dizziness</w:t>
      </w:r>
      <w:r w:rsidR="001507D1">
        <w:rPr>
          <w:rFonts w:cs="Arial"/>
          <w:color w:val="2A2736"/>
          <w:szCs w:val="21"/>
        </w:rPr>
        <w:t xml:space="preserve">) </w:t>
      </w:r>
      <w:r w:rsidRPr="006069CF">
        <w:rPr>
          <w:rFonts w:cs="Arial"/>
          <w:color w:val="2A2736"/>
          <w:szCs w:val="21"/>
        </w:rPr>
        <w:t xml:space="preserve">to more severe </w:t>
      </w:r>
      <w:r>
        <w:rPr>
          <w:rFonts w:cs="Arial"/>
          <w:color w:val="2A2736"/>
          <w:szCs w:val="21"/>
        </w:rPr>
        <w:t xml:space="preserve">effects </w:t>
      </w:r>
      <w:r w:rsidR="001507D1">
        <w:rPr>
          <w:rFonts w:cs="Arial"/>
          <w:color w:val="2A2736"/>
          <w:szCs w:val="21"/>
        </w:rPr>
        <w:t>(</w:t>
      </w:r>
      <w:r>
        <w:rPr>
          <w:rFonts w:cs="Arial"/>
          <w:color w:val="2A2736"/>
          <w:szCs w:val="21"/>
        </w:rPr>
        <w:t xml:space="preserve">such as </w:t>
      </w:r>
      <w:r w:rsidRPr="006069CF">
        <w:rPr>
          <w:rFonts w:cs="Arial"/>
          <w:color w:val="2A2736"/>
          <w:szCs w:val="21"/>
        </w:rPr>
        <w:t>asthm</w:t>
      </w:r>
      <w:r>
        <w:rPr>
          <w:rFonts w:cs="Arial"/>
          <w:color w:val="2A2736"/>
          <w:szCs w:val="21"/>
        </w:rPr>
        <w:t>a and</w:t>
      </w:r>
      <w:r w:rsidRPr="006069CF">
        <w:rPr>
          <w:rFonts w:cs="Arial"/>
          <w:color w:val="2A2736"/>
          <w:szCs w:val="21"/>
        </w:rPr>
        <w:t xml:space="preserve"> allergic responses</w:t>
      </w:r>
      <w:r w:rsidR="001507D1">
        <w:rPr>
          <w:rFonts w:cs="Arial"/>
          <w:color w:val="2A2736"/>
          <w:szCs w:val="21"/>
        </w:rPr>
        <w:t>)</w:t>
      </w:r>
      <w:r w:rsidRPr="006069CF">
        <w:rPr>
          <w:rFonts w:cs="Arial"/>
          <w:color w:val="2A2736"/>
          <w:szCs w:val="21"/>
        </w:rPr>
        <w:t>.</w:t>
      </w:r>
    </w:p>
    <w:p w14:paraId="65286D49" w14:textId="117A3A93" w:rsidR="009D6347" w:rsidRPr="006069CF" w:rsidRDefault="009D6347" w:rsidP="009D6347">
      <w:pPr>
        <w:pStyle w:val="Body"/>
        <w:rPr>
          <w:rFonts w:cs="Arial"/>
          <w:color w:val="2A2736"/>
          <w:szCs w:val="21"/>
        </w:rPr>
      </w:pPr>
      <w:r w:rsidRPr="0041010A">
        <w:t>Exposure to some indoor air pollutants</w:t>
      </w:r>
      <w:r w:rsidR="001507D1">
        <w:rPr>
          <w:rFonts w:cs="Arial"/>
          <w:color w:val="2A2736"/>
          <w:szCs w:val="21"/>
        </w:rPr>
        <w:t xml:space="preserve"> (</w:t>
      </w:r>
      <w:r>
        <w:rPr>
          <w:rFonts w:cs="Arial"/>
          <w:color w:val="2A2736"/>
          <w:szCs w:val="21"/>
        </w:rPr>
        <w:t>such as formaldehyde and tobacco smoke</w:t>
      </w:r>
      <w:r w:rsidR="001507D1">
        <w:rPr>
          <w:rFonts w:cs="Arial"/>
          <w:color w:val="2A2736"/>
          <w:szCs w:val="21"/>
        </w:rPr>
        <w:t>)</w:t>
      </w:r>
      <w:r w:rsidRPr="006069CF">
        <w:rPr>
          <w:rFonts w:cs="Arial"/>
          <w:color w:val="2A2736"/>
          <w:szCs w:val="21"/>
        </w:rPr>
        <w:t xml:space="preserve"> can increase the risk of developing cancer.</w:t>
      </w:r>
    </w:p>
    <w:p w14:paraId="5AF5659B" w14:textId="77777777" w:rsidR="009D6347" w:rsidRPr="006069CF" w:rsidRDefault="009D6347" w:rsidP="009D6347">
      <w:pPr>
        <w:pStyle w:val="Heading2"/>
        <w:spacing w:line="312" w:lineRule="atLeast"/>
        <w:rPr>
          <w:rFonts w:cs="Arial"/>
          <w:b w:val="0"/>
          <w:color w:val="2A2736"/>
          <w:sz w:val="30"/>
          <w:szCs w:val="30"/>
        </w:rPr>
      </w:pPr>
      <w:bookmarkStart w:id="37" w:name="_Toc116981359"/>
      <w:r w:rsidRPr="006069CF">
        <w:rPr>
          <w:rFonts w:cs="Arial"/>
          <w:b w:val="0"/>
          <w:bCs/>
          <w:color w:val="2A2736"/>
          <w:sz w:val="30"/>
          <w:szCs w:val="30"/>
        </w:rPr>
        <w:t>Indoor air quality in Victoria</w:t>
      </w:r>
      <w:bookmarkEnd w:id="37"/>
    </w:p>
    <w:p w14:paraId="1347CE38" w14:textId="1925D2CD" w:rsidR="009D6347" w:rsidRPr="006069CF" w:rsidRDefault="009D6347" w:rsidP="009D6347">
      <w:pPr>
        <w:pStyle w:val="Body"/>
        <w:rPr>
          <w:rFonts w:cs="Arial"/>
          <w:color w:val="2A2736"/>
          <w:szCs w:val="21"/>
        </w:rPr>
      </w:pPr>
      <w:r w:rsidRPr="0041010A">
        <w:t xml:space="preserve">A CSIRO and Bureau of Meteorology study of indoor air pollutants in 40 typical homes in Melbourne (in temperate urban areas) in 2008 and 2009 found concentrations of indoor air pollutants lower or comparable to concentrations found in previous Australian studies (Commonwealth of Australia 2011; Cheng </w:t>
      </w:r>
      <w:r w:rsidRPr="001112D4">
        <w:t>et al</w:t>
      </w:r>
      <w:r w:rsidR="001507D1">
        <w:t>,</w:t>
      </w:r>
      <w:r w:rsidRPr="0041010A">
        <w:t xml:space="preserve"> 2011).</w:t>
      </w:r>
    </w:p>
    <w:p w14:paraId="44BEE4D4" w14:textId="5B14BB31" w:rsidR="009D6347" w:rsidRPr="006069CF" w:rsidRDefault="009D6347" w:rsidP="009D6347">
      <w:pPr>
        <w:pStyle w:val="Body"/>
        <w:rPr>
          <w:rFonts w:cs="Arial"/>
          <w:color w:val="2A2736"/>
          <w:szCs w:val="21"/>
        </w:rPr>
      </w:pPr>
      <w:r w:rsidRPr="0041010A">
        <w:t>Weekly average concentrations of carbon dioxide, carbon monoxide, nitrogen dioxide, formaldehyde, other carbonyls, BTEX (benzene, toluene, ethylbenzene and xylene)</w:t>
      </w:r>
      <w:r w:rsidR="001507D1">
        <w:t>,</w:t>
      </w:r>
      <w:r w:rsidRPr="0041010A">
        <w:t xml:space="preserve"> and total volatile organic compounds were higher indoors than outdoors, whereas </w:t>
      </w:r>
      <w:r w:rsidR="001507D1" w:rsidRPr="001722A5">
        <w:t>PM</w:t>
      </w:r>
      <w:r w:rsidR="001507D1" w:rsidRPr="001722A5">
        <w:rPr>
          <w:vertAlign w:val="subscript"/>
        </w:rPr>
        <w:t>10</w:t>
      </w:r>
      <w:r w:rsidRPr="0041010A">
        <w:t xml:space="preserve"> fine particles, ozone and fungi concentrations were higher outdoors.</w:t>
      </w:r>
    </w:p>
    <w:p w14:paraId="6A5D727A" w14:textId="214C82EB" w:rsidR="009D6347" w:rsidRPr="006069CF" w:rsidRDefault="009D6347" w:rsidP="009D6347">
      <w:pPr>
        <w:pStyle w:val="Body"/>
        <w:rPr>
          <w:rFonts w:cs="Arial"/>
          <w:color w:val="2A2736"/>
          <w:szCs w:val="21"/>
        </w:rPr>
      </w:pPr>
      <w:r w:rsidRPr="0041010A">
        <w:t xml:space="preserve">In dwellings using gas appliances for cooking, levels of carbon dioxide, carbon monoxide, nitrogen dioxide, </w:t>
      </w:r>
      <w:r w:rsidR="001507D1" w:rsidRPr="001722A5">
        <w:t>PM</w:t>
      </w:r>
      <w:r w:rsidR="001507D1">
        <w:rPr>
          <w:vertAlign w:val="subscript"/>
        </w:rPr>
        <w:t>2.5</w:t>
      </w:r>
      <w:r w:rsidRPr="0041010A">
        <w:t xml:space="preserve">, formaldehyde, benzene and total volatile organic compounds were higher than in households that </w:t>
      </w:r>
      <w:r w:rsidR="001507D1">
        <w:t xml:space="preserve">only </w:t>
      </w:r>
      <w:r w:rsidRPr="0041010A">
        <w:t>used electric cooking appliances.</w:t>
      </w:r>
    </w:p>
    <w:p w14:paraId="6CAC713D" w14:textId="4ACBB992" w:rsidR="000B1D96" w:rsidRPr="0053513C" w:rsidRDefault="000B1D96" w:rsidP="000B1D96">
      <w:pPr>
        <w:pStyle w:val="Body"/>
      </w:pPr>
      <w:r>
        <w:t xml:space="preserve">In addition, dwellings </w:t>
      </w:r>
      <w:r w:rsidRPr="0053513C">
        <w:t>located close to busy roads</w:t>
      </w:r>
      <w:r>
        <w:t xml:space="preserve"> </w:t>
      </w:r>
      <w:r w:rsidRPr="0053513C">
        <w:t>were more likely to have higher</w:t>
      </w:r>
      <w:r>
        <w:t xml:space="preserve"> levels</w:t>
      </w:r>
      <w:r w:rsidRPr="0053513C">
        <w:t xml:space="preserve"> of </w:t>
      </w:r>
      <w:r>
        <w:t>nitrogen dioxide</w:t>
      </w:r>
      <w:r w:rsidRPr="0053513C">
        <w:t xml:space="preserve"> indoors than</w:t>
      </w:r>
      <w:r>
        <w:t xml:space="preserve"> those</w:t>
      </w:r>
      <w:r w:rsidRPr="0053513C">
        <w:t xml:space="preserve"> located far from busy roads.</w:t>
      </w:r>
    </w:p>
    <w:p w14:paraId="2E81193D" w14:textId="77777777" w:rsidR="000B1D96" w:rsidRDefault="000B1D96" w:rsidP="000B1D96">
      <w:pPr>
        <w:pStyle w:val="Body"/>
        <w:rPr>
          <w:rFonts w:cs="Arial"/>
          <w:color w:val="2A2736"/>
          <w:szCs w:val="21"/>
        </w:rPr>
      </w:pPr>
      <w:r w:rsidRPr="006069CF">
        <w:rPr>
          <w:rFonts w:cs="Arial"/>
          <w:color w:val="2A2736"/>
          <w:szCs w:val="21"/>
        </w:rPr>
        <w:t>Australia does not have indoor air quality guideline values.</w:t>
      </w:r>
      <w:r>
        <w:rPr>
          <w:rFonts w:cs="Arial"/>
          <w:color w:val="2A2736"/>
          <w:szCs w:val="21"/>
        </w:rPr>
        <w:t xml:space="preserve"> As a consequence, Australia only has </w:t>
      </w:r>
      <w:r w:rsidRPr="0041010A">
        <w:t xml:space="preserve">a </w:t>
      </w:r>
      <w:r w:rsidRPr="006069CF">
        <w:rPr>
          <w:rFonts w:cs="Arial"/>
          <w:color w:val="2A2736"/>
          <w:szCs w:val="21"/>
        </w:rPr>
        <w:t>general comparison of indoor and outdoor air pollutant concentration</w:t>
      </w:r>
      <w:r>
        <w:rPr>
          <w:rFonts w:cs="Arial"/>
          <w:color w:val="2A2736"/>
          <w:szCs w:val="21"/>
        </w:rPr>
        <w:t>s.</w:t>
      </w:r>
      <w:r w:rsidRPr="006069CF">
        <w:rPr>
          <w:rFonts w:cs="Arial"/>
          <w:color w:val="2A2736"/>
          <w:szCs w:val="21"/>
        </w:rPr>
        <w:t xml:space="preserve"> </w:t>
      </w:r>
    </w:p>
    <w:p w14:paraId="3F54E6C5" w14:textId="77777777" w:rsidR="009D6347" w:rsidRPr="00BD39D4" w:rsidRDefault="009D6347" w:rsidP="009D6347">
      <w:pPr>
        <w:pStyle w:val="Heading2"/>
      </w:pPr>
      <w:bookmarkStart w:id="38" w:name="_Toc116981360"/>
      <w:r w:rsidRPr="00BD39D4">
        <w:t xml:space="preserve">Heat health </w:t>
      </w:r>
      <w:bookmarkEnd w:id="38"/>
    </w:p>
    <w:p w14:paraId="47043A0D" w14:textId="4CA8B0BB" w:rsidR="009D6347" w:rsidRPr="00BD39D4" w:rsidRDefault="009D6347" w:rsidP="009D6347">
      <w:pPr>
        <w:pStyle w:val="Body"/>
      </w:pPr>
      <w:r w:rsidRPr="00BD39D4">
        <w:t xml:space="preserve">The Bureau of Meteorology and Victorian Department of Health define a heatwave as a period of three or more consecutive days of extreme heat. </w:t>
      </w:r>
    </w:p>
    <w:p w14:paraId="4B77AEC2" w14:textId="77777777" w:rsidR="009D6347" w:rsidRPr="00BD39D4" w:rsidRDefault="009D6347" w:rsidP="009D6347">
      <w:pPr>
        <w:pStyle w:val="Heading3"/>
      </w:pPr>
      <w:r w:rsidRPr="00BD39D4">
        <w:t>Heat health and Victoria’s changing climate</w:t>
      </w:r>
    </w:p>
    <w:p w14:paraId="4978173A" w14:textId="74C12F2A" w:rsidR="009D6347" w:rsidRPr="00BD39D4" w:rsidRDefault="009D6347" w:rsidP="009D6347">
      <w:pPr>
        <w:pStyle w:val="Body"/>
      </w:pPr>
      <w:r w:rsidRPr="00BD39D4">
        <w:t>Victoria’s climate has warmed by just over 1.0°C since official records began in 1910 (</w:t>
      </w:r>
      <w:r w:rsidR="001507D1">
        <w:t>DELWP</w:t>
      </w:r>
      <w:r w:rsidRPr="00BD39D4">
        <w:t>, 2019). Victoria has also experienced an overall increase in the frequency of unusually hot days</w:t>
      </w:r>
      <w:r w:rsidRPr="00910FB2">
        <w:t>.</w:t>
      </w:r>
      <w:r w:rsidRPr="00BD39D4">
        <w:t xml:space="preserve"> </w:t>
      </w:r>
    </w:p>
    <w:p w14:paraId="4CF9D12C" w14:textId="4C031F2C" w:rsidR="009D6347" w:rsidRPr="00BD39D4" w:rsidRDefault="009D6347" w:rsidP="009D6347">
      <w:pPr>
        <w:pStyle w:val="Body"/>
      </w:pPr>
      <w:r w:rsidRPr="00BD39D4">
        <w:t>By the 2050s, if the current rate of global warming continues, Victoria could experience around double the number of very hot days each year compared with the 1986</w:t>
      </w:r>
      <w:r w:rsidR="001507D1">
        <w:t>-</w:t>
      </w:r>
      <w:r w:rsidRPr="00BD39D4">
        <w:t>2005 median (</w:t>
      </w:r>
      <w:r w:rsidR="001507D1">
        <w:t xml:space="preserve">DELWP, </w:t>
      </w:r>
      <w:r w:rsidRPr="00BD39D4">
        <w:t>2019).</w:t>
      </w:r>
    </w:p>
    <w:p w14:paraId="2FD2046F" w14:textId="5E853A8C" w:rsidR="009D6347" w:rsidRPr="00BD39D4" w:rsidRDefault="009D6347" w:rsidP="009D6347">
      <w:pPr>
        <w:pStyle w:val="Body"/>
      </w:pPr>
      <w:r w:rsidRPr="00BD39D4">
        <w:t xml:space="preserve">There are reports that Victoria is tracking towards the </w:t>
      </w:r>
      <w:r w:rsidR="00F62B5F">
        <w:t>high</w:t>
      </w:r>
      <w:r w:rsidRPr="00BD39D4">
        <w:t xml:space="preserve"> end of climate projections, with potentially devastating impacts on Victorians, the economy and society (</w:t>
      </w:r>
      <w:r w:rsidR="00F62B5F">
        <w:t xml:space="preserve">DELWP, </w:t>
      </w:r>
      <w:r w:rsidRPr="00BD39D4">
        <w:t>2019).</w:t>
      </w:r>
    </w:p>
    <w:p w14:paraId="664FF7DD" w14:textId="77777777" w:rsidR="009D6347" w:rsidRDefault="009D6347" w:rsidP="009D6347">
      <w:pPr>
        <w:pStyle w:val="Heading3"/>
      </w:pPr>
      <w:r w:rsidRPr="00BD39D4">
        <w:t xml:space="preserve">Health impacts </w:t>
      </w:r>
    </w:p>
    <w:p w14:paraId="58122554" w14:textId="77777777" w:rsidR="00C13755" w:rsidRDefault="00C13755" w:rsidP="007F4FC3">
      <w:pPr>
        <w:pStyle w:val="Body"/>
      </w:pPr>
      <w:r>
        <w:t>Anyone can be affected by heatwaves. Particularly susceptible people include:</w:t>
      </w:r>
    </w:p>
    <w:p w14:paraId="4B2EDDAF" w14:textId="77777777" w:rsidR="00C13755" w:rsidRDefault="00C13755" w:rsidP="00B93A75">
      <w:pPr>
        <w:pStyle w:val="Bullet1"/>
      </w:pPr>
      <w:r>
        <w:t>the elderly and very young people</w:t>
      </w:r>
    </w:p>
    <w:p w14:paraId="5FFB5811" w14:textId="77777777" w:rsidR="00C13755" w:rsidRDefault="00C13755" w:rsidP="00B93A75">
      <w:pPr>
        <w:pStyle w:val="Bullet1"/>
      </w:pPr>
      <w:r>
        <w:t xml:space="preserve">people with existing </w:t>
      </w:r>
      <w:r w:rsidRPr="00BD39D4">
        <w:t>chronic health conditions</w:t>
      </w:r>
    </w:p>
    <w:p w14:paraId="486E67AE" w14:textId="77777777" w:rsidR="00C13755" w:rsidRDefault="00C13755" w:rsidP="00B93A75">
      <w:pPr>
        <w:pStyle w:val="Bullet1"/>
      </w:pPr>
      <w:r>
        <w:t xml:space="preserve">people </w:t>
      </w:r>
      <w:r w:rsidRPr="00BD39D4">
        <w:t>required to be physically active for employment</w:t>
      </w:r>
    </w:p>
    <w:p w14:paraId="4E8C6071" w14:textId="77777777" w:rsidR="00C13755" w:rsidRDefault="00C13755" w:rsidP="00B93A75">
      <w:pPr>
        <w:pStyle w:val="Bullet1"/>
      </w:pPr>
      <w:r w:rsidRPr="00BD39D4">
        <w:t>people who are socially isolated</w:t>
      </w:r>
    </w:p>
    <w:p w14:paraId="7A5CADE8" w14:textId="1E0C7DED" w:rsidR="00C13755" w:rsidRDefault="00C13755" w:rsidP="00B93A75">
      <w:pPr>
        <w:pStyle w:val="Bullet1"/>
      </w:pPr>
      <w:r>
        <w:lastRenderedPageBreak/>
        <w:t>low-income households</w:t>
      </w:r>
      <w:r w:rsidR="00784094">
        <w:t>.</w:t>
      </w:r>
    </w:p>
    <w:p w14:paraId="33592493" w14:textId="77777777" w:rsidR="003560EB" w:rsidRDefault="003560EB" w:rsidP="00F0085A">
      <w:pPr>
        <w:pStyle w:val="Body"/>
        <w:spacing w:before="120"/>
      </w:pPr>
      <w:r>
        <w:t>Extreme heat and heatwaves can have significant impacts on health. The most common forms of extreme heat illness incidences are:</w:t>
      </w:r>
    </w:p>
    <w:p w14:paraId="4A61F87B" w14:textId="2CC39510" w:rsidR="009D6347" w:rsidRPr="00BD39D4" w:rsidRDefault="009D6347" w:rsidP="00B93A75">
      <w:pPr>
        <w:pStyle w:val="Bullet1"/>
      </w:pPr>
      <w:r w:rsidRPr="00BD39D4">
        <w:t>heat cramps, heat exhaustion</w:t>
      </w:r>
      <w:r w:rsidR="00F62B5F">
        <w:t>,</w:t>
      </w:r>
      <w:r w:rsidRPr="00BD39D4">
        <w:t xml:space="preserve"> and heat stroke</w:t>
      </w:r>
    </w:p>
    <w:p w14:paraId="2B865F07" w14:textId="77777777" w:rsidR="009D6347" w:rsidRDefault="009D6347" w:rsidP="00B93A75">
      <w:pPr>
        <w:pStyle w:val="Bullet1"/>
      </w:pPr>
      <w:r w:rsidRPr="00BD39D4">
        <w:t>dehydration</w:t>
      </w:r>
    </w:p>
    <w:p w14:paraId="5CF848F0" w14:textId="2B6A55DC" w:rsidR="00217366" w:rsidRPr="00BD39D4" w:rsidRDefault="00217366" w:rsidP="00B93A75">
      <w:pPr>
        <w:pStyle w:val="Bullet1"/>
      </w:pPr>
      <w:r>
        <w:t>exacerbation</w:t>
      </w:r>
      <w:r w:rsidRPr="00217366">
        <w:t xml:space="preserve"> </w:t>
      </w:r>
      <w:r w:rsidRPr="00BD39D4">
        <w:t>of a pre-existing medical condition</w:t>
      </w:r>
      <w:r>
        <w:t>.</w:t>
      </w:r>
    </w:p>
    <w:p w14:paraId="3FB18A2A" w14:textId="3823F3A9" w:rsidR="009D6347" w:rsidRPr="00BD39D4" w:rsidRDefault="009D6347" w:rsidP="009D6347">
      <w:pPr>
        <w:pStyle w:val="Body"/>
      </w:pPr>
      <w:r w:rsidRPr="00BD39D4">
        <w:t>Heatstroke is a medical emergency that can result in permanent damage to vital organs, or even death, if not treated immediately (</w:t>
      </w:r>
      <w:r w:rsidR="00F62B5F">
        <w:t xml:space="preserve">DELWP, </w:t>
      </w:r>
      <w:r w:rsidRPr="00BD39D4">
        <w:t>2018a).</w:t>
      </w:r>
    </w:p>
    <w:p w14:paraId="190E32B8" w14:textId="56477C53" w:rsidR="009D6347" w:rsidRPr="00BD39D4" w:rsidRDefault="009D6347" w:rsidP="009D6347">
      <w:pPr>
        <w:pStyle w:val="Body"/>
      </w:pPr>
      <w:r w:rsidRPr="00BD39D4">
        <w:t>Extreme heat can also exacerbate pre-existing medical conditions, including heart and kidney disease, asthma</w:t>
      </w:r>
      <w:r w:rsidR="00F62B5F">
        <w:t>,</w:t>
      </w:r>
      <w:r w:rsidRPr="00BD39D4">
        <w:t xml:space="preserve"> and other respiratory illnesses (</w:t>
      </w:r>
      <w:r w:rsidR="00F62B5F">
        <w:t>DHHS,</w:t>
      </w:r>
      <w:r w:rsidRPr="00BD39D4">
        <w:t xml:space="preserve"> 2018a).</w:t>
      </w:r>
    </w:p>
    <w:p w14:paraId="50BC7EEE" w14:textId="164FBC72" w:rsidR="009D6347" w:rsidRPr="00BD39D4" w:rsidRDefault="009D6347" w:rsidP="009D6347">
      <w:pPr>
        <w:pStyle w:val="Body"/>
      </w:pPr>
      <w:r>
        <w:t>Other health impacts include increased risk of drowning as people attempt to cool off</w:t>
      </w:r>
      <w:r w:rsidR="009D4279">
        <w:t xml:space="preserve">, </w:t>
      </w:r>
      <w:r>
        <w:t>and</w:t>
      </w:r>
      <w:r w:rsidR="009D4279">
        <w:t xml:space="preserve"> an increased incidence of foodborne</w:t>
      </w:r>
      <w:r>
        <w:t xml:space="preserve"> </w:t>
      </w:r>
      <w:r w:rsidRPr="00BD39D4">
        <w:t>gastroenteritis</w:t>
      </w:r>
      <w:r w:rsidR="008F5098">
        <w:t xml:space="preserve"> associated with higher ambient temperatures</w:t>
      </w:r>
      <w:r w:rsidRPr="00BD39D4">
        <w:t>.</w:t>
      </w:r>
      <w:r>
        <w:t xml:space="preserve"> Extreme heat is also associated with other environmental hazards that can impact health, notably power outages and bushfires.</w:t>
      </w:r>
    </w:p>
    <w:p w14:paraId="3F85EFF0" w14:textId="4840E659" w:rsidR="009D6347" w:rsidRPr="00BD39D4" w:rsidRDefault="009D6347" w:rsidP="009D6347">
      <w:pPr>
        <w:pStyle w:val="Body"/>
      </w:pPr>
      <w:r w:rsidRPr="00BD39D4">
        <w:t xml:space="preserve">In 2009 and 2014, major heatwaves </w:t>
      </w:r>
      <w:r w:rsidR="00F62B5F">
        <w:t xml:space="preserve">had </w:t>
      </w:r>
      <w:r w:rsidRPr="00BD39D4">
        <w:t xml:space="preserve">catastrophic impacts </w:t>
      </w:r>
      <w:r w:rsidR="00F62B5F">
        <w:t xml:space="preserve">on </w:t>
      </w:r>
      <w:r w:rsidRPr="00BD39D4">
        <w:t>the health of Victorians. I</w:t>
      </w:r>
      <w:r w:rsidR="00F62B5F">
        <w:t>t is estimated that</w:t>
      </w:r>
      <w:r w:rsidRPr="00BD39D4">
        <w:t xml:space="preserve"> heatwaves </w:t>
      </w:r>
      <w:r w:rsidR="00F62B5F">
        <w:t xml:space="preserve">caused </w:t>
      </w:r>
      <w:r w:rsidRPr="00BD39D4">
        <w:t>374 excess deaths in 2009 and 167 in 2014 (</w:t>
      </w:r>
      <w:r w:rsidR="00F62B5F">
        <w:t xml:space="preserve">DHHS, </w:t>
      </w:r>
      <w:r w:rsidRPr="00BD39D4">
        <w:t>2018a).</w:t>
      </w:r>
    </w:p>
    <w:p w14:paraId="105294BF" w14:textId="40911726" w:rsidR="009D6347" w:rsidRPr="00FE028A" w:rsidRDefault="009D6347" w:rsidP="00467FCD">
      <w:pPr>
        <w:pStyle w:val="Body"/>
      </w:pPr>
      <w:r w:rsidRPr="00467FCD">
        <w:t>Extreme heat affects all parts of the health system, with ambulance, emergency departments</w:t>
      </w:r>
      <w:r w:rsidR="00F62B5F">
        <w:t>,</w:t>
      </w:r>
      <w:r w:rsidRPr="00467FCD">
        <w:t xml:space="preserve"> and community health sectors particularly affected (Natural</w:t>
      </w:r>
      <w:r w:rsidRPr="00002408">
        <w:t xml:space="preserve"> Capital Economics</w:t>
      </w:r>
      <w:r w:rsidR="00F62B5F">
        <w:t>,</w:t>
      </w:r>
      <w:r w:rsidRPr="00002408">
        <w:t xml:space="preserve"> 2018).</w:t>
      </w:r>
    </w:p>
    <w:p w14:paraId="0BC3B330" w14:textId="13D2E2AC" w:rsidR="00936984" w:rsidRPr="00467FCD" w:rsidRDefault="00936984" w:rsidP="00467FCD">
      <w:pPr>
        <w:pStyle w:val="Body"/>
      </w:pPr>
      <w:r w:rsidRPr="00002408">
        <w:rPr>
          <w:rFonts w:hint="eastAsia"/>
        </w:rPr>
        <w:t xml:space="preserve">Prevention is the best way to manage heat-related illness. </w:t>
      </w:r>
      <w:r w:rsidR="00F62B5F">
        <w:t>T</w:t>
      </w:r>
      <w:r w:rsidRPr="00002408">
        <w:rPr>
          <w:rFonts w:hint="eastAsia"/>
        </w:rPr>
        <w:t>ips to prevent heat stress include:</w:t>
      </w:r>
    </w:p>
    <w:p w14:paraId="6DBE01CA" w14:textId="77777777" w:rsidR="00936984" w:rsidRPr="00002408" w:rsidRDefault="00936984" w:rsidP="00B93A75">
      <w:pPr>
        <w:pStyle w:val="Bullet1"/>
      </w:pPr>
      <w:r w:rsidRPr="00002408">
        <w:t>Drink plenty of water</w:t>
      </w:r>
      <w:r w:rsidRPr="00002408">
        <w:rPr>
          <w:rFonts w:hint="eastAsia"/>
        </w:rPr>
        <w:t> </w:t>
      </w:r>
    </w:p>
    <w:p w14:paraId="2D579BEB" w14:textId="77777777" w:rsidR="00936984" w:rsidRPr="00002408" w:rsidRDefault="00936984" w:rsidP="00B93A75">
      <w:pPr>
        <w:pStyle w:val="Bullet1"/>
      </w:pPr>
      <w:r w:rsidRPr="00002408">
        <w:t>Avoid exposure to heat</w:t>
      </w:r>
    </w:p>
    <w:p w14:paraId="150551D4" w14:textId="0C4D2487" w:rsidR="00936984" w:rsidRPr="00002408" w:rsidRDefault="00936984" w:rsidP="00B93A75">
      <w:pPr>
        <w:pStyle w:val="Bullet1"/>
      </w:pPr>
      <w:r w:rsidRPr="00002408">
        <w:t>Protect yourself outside</w:t>
      </w:r>
      <w:r w:rsidRPr="00002408">
        <w:rPr>
          <w:rFonts w:hint="eastAsia"/>
        </w:rPr>
        <w:t> </w:t>
      </w:r>
      <w:r w:rsidR="00F62B5F">
        <w:t>(</w:t>
      </w:r>
      <w:r w:rsidRPr="00002408">
        <w:t>‘slip, slop, slap’ to cover skin, ‘seek’ shade and ‘slide’ on sunglasses</w:t>
      </w:r>
      <w:r w:rsidR="00F62B5F">
        <w:t>)</w:t>
      </w:r>
    </w:p>
    <w:p w14:paraId="0820E220" w14:textId="77777777" w:rsidR="00936984" w:rsidRPr="00002408" w:rsidRDefault="00936984" w:rsidP="00B93A75">
      <w:pPr>
        <w:pStyle w:val="Bullet1"/>
      </w:pPr>
      <w:r w:rsidRPr="00002408">
        <w:t>Plan ahead</w:t>
      </w:r>
      <w:r w:rsidRPr="00002408">
        <w:rPr>
          <w:rFonts w:hint="eastAsia"/>
        </w:rPr>
        <w:t> </w:t>
      </w:r>
    </w:p>
    <w:p w14:paraId="708F8A43" w14:textId="77777777" w:rsidR="00936984" w:rsidRPr="00002408" w:rsidRDefault="00936984" w:rsidP="00B93A75">
      <w:pPr>
        <w:pStyle w:val="Bullet1"/>
      </w:pPr>
      <w:r w:rsidRPr="00002408">
        <w:t>Don’t leave kids, older people or pets in cars</w:t>
      </w:r>
    </w:p>
    <w:p w14:paraId="2C8C0DF0" w14:textId="77777777" w:rsidR="00936984" w:rsidRPr="00002408" w:rsidRDefault="00936984" w:rsidP="00B93A75">
      <w:pPr>
        <w:pStyle w:val="Bullet1"/>
      </w:pPr>
      <w:r w:rsidRPr="00002408">
        <w:t>Stay cool</w:t>
      </w:r>
    </w:p>
    <w:p w14:paraId="4C032FDD" w14:textId="77777777" w:rsidR="00936984" w:rsidRPr="00002408" w:rsidRDefault="00936984" w:rsidP="00B93A75">
      <w:pPr>
        <w:pStyle w:val="Bullet1"/>
      </w:pPr>
      <w:r w:rsidRPr="00002408">
        <w:t>Check in on others</w:t>
      </w:r>
    </w:p>
    <w:p w14:paraId="31500A9A" w14:textId="534DDB51" w:rsidR="00936984" w:rsidRPr="00002408" w:rsidRDefault="00936984" w:rsidP="00B93A75">
      <w:pPr>
        <w:pStyle w:val="Bullet1"/>
      </w:pPr>
      <w:r w:rsidRPr="00002408">
        <w:t>Prepare for power failure</w:t>
      </w:r>
      <w:r w:rsidR="00F62B5F">
        <w:t>.</w:t>
      </w:r>
      <w:r w:rsidRPr="00002408">
        <w:rPr>
          <w:rFonts w:hint="eastAsia"/>
        </w:rPr>
        <w:t> </w:t>
      </w:r>
    </w:p>
    <w:p w14:paraId="478C69A7" w14:textId="77777777" w:rsidR="006002E2" w:rsidRPr="00BD39D4" w:rsidRDefault="006002E2" w:rsidP="002356EE">
      <w:pPr>
        <w:pStyle w:val="Heading3"/>
      </w:pPr>
      <w:r w:rsidRPr="00BD39D4">
        <w:t xml:space="preserve">Find out more </w:t>
      </w:r>
    </w:p>
    <w:p w14:paraId="6F7FA12D" w14:textId="33DA55F9" w:rsidR="00AE218E" w:rsidRDefault="006002E2" w:rsidP="006002E2">
      <w:pPr>
        <w:pStyle w:val="Body"/>
      </w:pPr>
      <w:r w:rsidRPr="00BD39D4">
        <w:t xml:space="preserve">For more information about </w:t>
      </w:r>
      <w:r w:rsidR="002737D7">
        <w:t>heat</w:t>
      </w:r>
      <w:r w:rsidR="002E7FB2">
        <w:t xml:space="preserve">, </w:t>
      </w:r>
      <w:r w:rsidRPr="00BD39D4">
        <w:t>its impacts upon health</w:t>
      </w:r>
      <w:r w:rsidR="002E7FB2">
        <w:t xml:space="preserve"> and what you can do </w:t>
      </w:r>
      <w:r w:rsidR="00F62B5F">
        <w:t xml:space="preserve">to prepare for </w:t>
      </w:r>
      <w:r w:rsidR="002E7FB2">
        <w:t>it</w:t>
      </w:r>
      <w:r w:rsidRPr="00BD39D4">
        <w:t xml:space="preserve">, access the </w:t>
      </w:r>
      <w:r w:rsidR="00B41B90">
        <w:t xml:space="preserve">Better </w:t>
      </w:r>
      <w:r w:rsidR="001C0636">
        <w:t>Health Channel</w:t>
      </w:r>
      <w:r w:rsidR="00E2723F">
        <w:t>.</w:t>
      </w:r>
      <w:r w:rsidR="001C0636">
        <w:t xml:space="preserve"> </w:t>
      </w:r>
    </w:p>
    <w:p w14:paraId="37903230" w14:textId="2468A30F" w:rsidR="00660C40" w:rsidRDefault="00000000" w:rsidP="006002E2">
      <w:pPr>
        <w:pStyle w:val="Body"/>
      </w:pPr>
      <w:hyperlink r:id="rId21" w:history="1">
        <w:r w:rsidR="002E7FB2">
          <w:rPr>
            <w:rStyle w:val="Hyperlink"/>
          </w:rPr>
          <w:t>Survive the heat - Better Health Channel</w:t>
        </w:r>
      </w:hyperlink>
      <w:r w:rsidR="00B0433E">
        <w:rPr>
          <w:rStyle w:val="Hyperlink"/>
        </w:rPr>
        <w:t xml:space="preserve"> </w:t>
      </w:r>
      <w:r w:rsidR="006F4631">
        <w:t>&lt;</w:t>
      </w:r>
      <w:r w:rsidR="00A93DEF" w:rsidRPr="00A93DEF">
        <w:t>https://www.betterhealth.vic.gov.au/heat</w:t>
      </w:r>
      <w:r w:rsidR="00523744">
        <w:t>&gt;</w:t>
      </w:r>
      <w:r w:rsidR="00660C40">
        <w:t xml:space="preserve"> </w:t>
      </w:r>
    </w:p>
    <w:p w14:paraId="6046D65B" w14:textId="0CD5A8C7" w:rsidR="004C623E" w:rsidRDefault="00000000" w:rsidP="006002E2">
      <w:pPr>
        <w:pStyle w:val="Body"/>
      </w:pPr>
      <w:hyperlink r:id="rId22" w:history="1">
        <w:r w:rsidR="00B211FA">
          <w:rPr>
            <w:rStyle w:val="Hyperlink"/>
          </w:rPr>
          <w:t>Heat stress and heat-related illness - Better Health Channel</w:t>
        </w:r>
      </w:hyperlink>
      <w:r w:rsidR="00B0433E">
        <w:rPr>
          <w:rStyle w:val="Hyperlink"/>
        </w:rPr>
        <w:t xml:space="preserve"> </w:t>
      </w:r>
      <w:r w:rsidR="00660C40">
        <w:t>&lt;</w:t>
      </w:r>
      <w:r w:rsidR="00D03362" w:rsidRPr="00D03362">
        <w:t>https://www.betterhealth.vic.gov.au/health/healthyliving/heat-stress-and-heat-related-illness</w:t>
      </w:r>
      <w:r w:rsidR="00660C40">
        <w:t>&gt;</w:t>
      </w:r>
    </w:p>
    <w:p w14:paraId="4AA10AC9" w14:textId="72F566CB" w:rsidR="00D871E4" w:rsidRPr="00BD39D4" w:rsidRDefault="00000000" w:rsidP="006002E2">
      <w:pPr>
        <w:pStyle w:val="Body"/>
      </w:pPr>
      <w:hyperlink r:id="rId23" w:history="1">
        <w:r w:rsidR="00D871E4">
          <w:rPr>
            <w:rStyle w:val="Hyperlink"/>
          </w:rPr>
          <w:t>How to cope and stay safe in extreme heat - Better Health Channel</w:t>
        </w:r>
      </w:hyperlink>
      <w:r w:rsidR="006F7D61">
        <w:t xml:space="preserve"> </w:t>
      </w:r>
      <w:r w:rsidR="006F7D61" w:rsidRPr="00BB77A1">
        <w:t>&lt;</w:t>
      </w:r>
      <w:r w:rsidR="00467FCD" w:rsidRPr="00BB77A1">
        <w:t>https://www.betterhealth.vic.gov.au/health/healthyliving/how-to-cope-and-stay-safe-in-extreme-heat</w:t>
      </w:r>
      <w:r w:rsidR="006F7D61" w:rsidRPr="00BB77A1">
        <w:t>&gt;</w:t>
      </w:r>
    </w:p>
    <w:p w14:paraId="4DED1FAD" w14:textId="77777777" w:rsidR="009D6347" w:rsidRPr="00BD39D4" w:rsidRDefault="009D6347" w:rsidP="009D6347">
      <w:pPr>
        <w:pStyle w:val="Heading3"/>
      </w:pPr>
      <w:r w:rsidRPr="00BD39D4">
        <w:t xml:space="preserve">Economic impacts </w:t>
      </w:r>
    </w:p>
    <w:p w14:paraId="1CE4FE60" w14:textId="77CCA83F" w:rsidR="009D6347" w:rsidRPr="00BD39D4" w:rsidRDefault="001323CB" w:rsidP="009D6347">
      <w:pPr>
        <w:pStyle w:val="Body"/>
      </w:pPr>
      <w:r>
        <w:t>I</w:t>
      </w:r>
      <w:r w:rsidR="009D6347" w:rsidRPr="00BD39D4">
        <w:t>t was estimated that heatwaves cost Victoria $87 million annually</w:t>
      </w:r>
      <w:r>
        <w:t xml:space="preserve"> in 2018</w:t>
      </w:r>
      <w:r w:rsidR="00F62B5F">
        <w:t xml:space="preserve">. These </w:t>
      </w:r>
      <w:r w:rsidR="009D6347" w:rsidRPr="00BD39D4">
        <w:t xml:space="preserve">costs </w:t>
      </w:r>
      <w:r w:rsidR="00F62B5F">
        <w:t xml:space="preserve">are </w:t>
      </w:r>
      <w:r w:rsidR="009D6347" w:rsidRPr="00BD39D4">
        <w:t xml:space="preserve">projected to increase significantly </w:t>
      </w:r>
      <w:r w:rsidR="00F62B5F">
        <w:t xml:space="preserve">due to the impact of </w:t>
      </w:r>
      <w:r w:rsidR="009D6347" w:rsidRPr="00BD39D4">
        <w:t>climate change (Natural Capital Economics, 2018).</w:t>
      </w:r>
    </w:p>
    <w:p w14:paraId="17FF6A24" w14:textId="015F77BF" w:rsidR="009D6347" w:rsidRPr="00BD39D4" w:rsidRDefault="009D6347" w:rsidP="009D6347">
      <w:pPr>
        <w:pStyle w:val="Body"/>
      </w:pPr>
      <w:r w:rsidRPr="00BD39D4">
        <w:lastRenderedPageBreak/>
        <w:t>These economic impacts are felt across the Victorian economy, including in the construction, electricity, health, manufacturing, mining, tourism, transport, agriculture</w:t>
      </w:r>
      <w:r w:rsidR="00F62B5F">
        <w:t>,</w:t>
      </w:r>
      <w:r w:rsidRPr="00BD39D4">
        <w:t xml:space="preserve"> and water sectors</w:t>
      </w:r>
      <w:r w:rsidR="00F62B5F">
        <w:t>. However</w:t>
      </w:r>
      <w:r w:rsidRPr="00BD39D4">
        <w:t xml:space="preserve">, the greatest impact </w:t>
      </w:r>
      <w:r w:rsidR="00F62B5F">
        <w:t xml:space="preserve">is </w:t>
      </w:r>
      <w:r w:rsidRPr="00BD39D4">
        <w:t>experienced by the agriculture sector (Natural Capital Economics</w:t>
      </w:r>
      <w:r w:rsidR="00F62B5F">
        <w:t>,</w:t>
      </w:r>
      <w:r w:rsidRPr="00BD39D4">
        <w:t xml:space="preserve"> 2018). The </w:t>
      </w:r>
      <w:r w:rsidR="00F62B5F">
        <w:t xml:space="preserve">increased </w:t>
      </w:r>
      <w:r w:rsidRPr="00BD39D4">
        <w:t xml:space="preserve">impact </w:t>
      </w:r>
      <w:r w:rsidR="00F62B5F">
        <w:t xml:space="preserve">of climate change </w:t>
      </w:r>
      <w:r w:rsidRPr="00BD39D4">
        <w:t>on agriculture will lead to higher food production costs for Victoria.</w:t>
      </w:r>
    </w:p>
    <w:p w14:paraId="3C97A292" w14:textId="46817B6E" w:rsidR="009D6347" w:rsidRPr="00BD39D4" w:rsidRDefault="00F62B5F" w:rsidP="009D6347">
      <w:pPr>
        <w:pStyle w:val="Body"/>
      </w:pPr>
      <w:r>
        <w:t>The i</w:t>
      </w:r>
      <w:r w:rsidR="009D6347" w:rsidRPr="00BD39D4">
        <w:t xml:space="preserve">ncreased frequency and severity of heatwaves </w:t>
      </w:r>
      <w:r>
        <w:t xml:space="preserve">also </w:t>
      </w:r>
      <w:r w:rsidR="009D6347" w:rsidRPr="00BD39D4">
        <w:t>affects the ability of individuals to pay energy bills.</w:t>
      </w:r>
    </w:p>
    <w:p w14:paraId="20449D6C" w14:textId="0D136341" w:rsidR="009D6347" w:rsidRDefault="009D6347" w:rsidP="009D6347">
      <w:pPr>
        <w:pStyle w:val="Body"/>
      </w:pPr>
      <w:r w:rsidRPr="00BD39D4">
        <w:t>Many Victorians already struggle to pay energy bills (Victorian Council of Social Service, 2017)</w:t>
      </w:r>
      <w:r w:rsidR="00F62B5F">
        <w:t>. T</w:t>
      </w:r>
      <w:r w:rsidRPr="00BD39D4">
        <w:t>he number of people expected to experience bill stress during summer will increase as heatwave frequency and severity increase.</w:t>
      </w:r>
    </w:p>
    <w:p w14:paraId="61D1B611" w14:textId="77777777" w:rsidR="009D6347" w:rsidRPr="00BD39D4" w:rsidRDefault="009D6347" w:rsidP="004E50FA">
      <w:pPr>
        <w:pStyle w:val="Heading2"/>
      </w:pPr>
      <w:r>
        <w:t>Extreme heat days in Victoria</w:t>
      </w:r>
    </w:p>
    <w:p w14:paraId="28784975" w14:textId="77777777" w:rsidR="009D6347" w:rsidRPr="00BD39D4" w:rsidRDefault="009D6347" w:rsidP="009D6347">
      <w:pPr>
        <w:pStyle w:val="Body"/>
      </w:pPr>
      <w:r w:rsidRPr="00BD39D4">
        <w:t>The Chief Health Officer issues a heat health alert when the heat health temperature threshold is reached for a specific weather district.</w:t>
      </w:r>
    </w:p>
    <w:p w14:paraId="7F9EF3D3" w14:textId="2557A3FF" w:rsidR="009D6347" w:rsidRPr="00BD39D4" w:rsidRDefault="009D6347" w:rsidP="009D6347">
      <w:pPr>
        <w:pStyle w:val="Body"/>
      </w:pPr>
      <w:r w:rsidRPr="00BD39D4">
        <w:t xml:space="preserve">Victoria’s heat health temperature thresholds are based on academic research, </w:t>
      </w:r>
      <w:r w:rsidR="00E20554">
        <w:t xml:space="preserve">as well as </w:t>
      </w:r>
      <w:r w:rsidRPr="00BD39D4">
        <w:t>past experience and practice.</w:t>
      </w:r>
      <w:r w:rsidR="00192946">
        <w:t xml:space="preserve"> The risk of increased mortality increases when average temperatures rise above h</w:t>
      </w:r>
      <w:r w:rsidRPr="00BD39D4">
        <w:t>eat health temperature thresholds (</w:t>
      </w:r>
      <w:r w:rsidR="00E20554">
        <w:t>DHHS</w:t>
      </w:r>
      <w:r w:rsidRPr="00BD39D4">
        <w:t>, 2018b).</w:t>
      </w:r>
    </w:p>
    <w:p w14:paraId="0FFCD41A" w14:textId="0F7E90D3" w:rsidR="009D6347" w:rsidRPr="00BD39D4" w:rsidRDefault="00AA3740" w:rsidP="009D6347">
      <w:pPr>
        <w:pStyle w:val="Body"/>
      </w:pPr>
      <w:r>
        <w:t>T</w:t>
      </w:r>
      <w:r w:rsidR="007D21E1">
        <w:t>he</w:t>
      </w:r>
      <w:r w:rsidR="000D478A">
        <w:t>re were a</w:t>
      </w:r>
      <w:r w:rsidR="00D521C6">
        <w:t xml:space="preserve"> number of </w:t>
      </w:r>
      <w:r w:rsidR="009D6347" w:rsidRPr="00BD39D4">
        <w:t xml:space="preserve">Heat </w:t>
      </w:r>
      <w:r w:rsidR="00FA69B9">
        <w:t>H</w:t>
      </w:r>
      <w:r w:rsidR="009D6347" w:rsidRPr="00BD39D4">
        <w:t xml:space="preserve">ealth </w:t>
      </w:r>
      <w:r w:rsidR="00FA69B9">
        <w:t>A</w:t>
      </w:r>
      <w:r w:rsidR="009D6347" w:rsidRPr="00BD39D4">
        <w:t xml:space="preserve">lerts issued </w:t>
      </w:r>
      <w:r w:rsidR="00560106">
        <w:t>by</w:t>
      </w:r>
      <w:r w:rsidR="00BF28A0">
        <w:t xml:space="preserve"> Victorian</w:t>
      </w:r>
      <w:r w:rsidR="00560106">
        <w:t xml:space="preserve"> weather </w:t>
      </w:r>
      <w:r w:rsidR="0046449E">
        <w:t xml:space="preserve">forecast </w:t>
      </w:r>
      <w:r w:rsidR="00560106">
        <w:t>district</w:t>
      </w:r>
      <w:r w:rsidR="007D21E1">
        <w:t xml:space="preserve"> in 2019</w:t>
      </w:r>
      <w:r w:rsidR="000A7E25">
        <w:t xml:space="preserve">. </w:t>
      </w:r>
      <w:r w:rsidR="005A6E95">
        <w:t>They</w:t>
      </w:r>
      <w:r w:rsidR="000A7E25">
        <w:t xml:space="preserve"> include</w:t>
      </w:r>
      <w:r w:rsidR="0042034D">
        <w:t xml:space="preserve"> two separate 2019 summer periods</w:t>
      </w:r>
      <w:r w:rsidR="00437B6D">
        <w:t>:</w:t>
      </w:r>
      <w:r w:rsidR="003C0943">
        <w:t xml:space="preserve"> the first</w:t>
      </w:r>
      <w:r w:rsidR="001D667A">
        <w:t xml:space="preserve"> ran</w:t>
      </w:r>
      <w:r w:rsidR="0042034D">
        <w:t xml:space="preserve"> </w:t>
      </w:r>
      <w:r w:rsidR="0087247D">
        <w:t>January to March</w:t>
      </w:r>
      <w:r w:rsidR="003C20A7">
        <w:t>,</w:t>
      </w:r>
      <w:r w:rsidR="0087247D">
        <w:t xml:space="preserve"> </w:t>
      </w:r>
      <w:r w:rsidR="007646E0">
        <w:t>the second ran</w:t>
      </w:r>
      <w:r w:rsidR="007272E0">
        <w:t xml:space="preserve"> </w:t>
      </w:r>
      <w:r w:rsidR="00A959AF">
        <w:t>November to December</w:t>
      </w:r>
      <w:r w:rsidR="00390841">
        <w:t>.</w:t>
      </w:r>
      <w:r w:rsidR="00876A70">
        <w:t xml:space="preserve"> </w:t>
      </w:r>
    </w:p>
    <w:p w14:paraId="1C462672" w14:textId="7A5DBE91" w:rsidR="009D6347" w:rsidRPr="00076F77" w:rsidRDefault="009D6347" w:rsidP="009D6347">
      <w:pPr>
        <w:pStyle w:val="Body"/>
      </w:pPr>
      <w:r w:rsidRPr="00076F77">
        <w:t>Between January</w:t>
      </w:r>
      <w:r w:rsidR="00192946">
        <w:t>-</w:t>
      </w:r>
      <w:r w:rsidRPr="00076F77">
        <w:t xml:space="preserve">March 2019, the Chief Health Officer issued </w:t>
      </w:r>
      <w:r w:rsidR="00192946">
        <w:t>52</w:t>
      </w:r>
      <w:r w:rsidRPr="00076F77">
        <w:t xml:space="preserve"> heat health alerts </w:t>
      </w:r>
      <w:r>
        <w:t>across nine weather districts</w:t>
      </w:r>
      <w:r w:rsidRPr="00076F77">
        <w:t xml:space="preserve"> for 14 forecast extreme heat days. </w:t>
      </w:r>
      <w:r w:rsidR="00192946">
        <w:t>F</w:t>
      </w:r>
      <w:r w:rsidRPr="00076F77">
        <w:t xml:space="preserve">our heatwaves (three or more days of extreme heat) </w:t>
      </w:r>
      <w:r w:rsidR="00192946">
        <w:t xml:space="preserve">were </w:t>
      </w:r>
      <w:r w:rsidRPr="00076F77">
        <w:t>forecast during this period, including:</w:t>
      </w:r>
    </w:p>
    <w:p w14:paraId="4A3DAC3F" w14:textId="2873930F" w:rsidR="009D6347" w:rsidRPr="00076F77" w:rsidRDefault="009D6347" w:rsidP="00D27A21">
      <w:pPr>
        <w:pStyle w:val="Bullet1"/>
      </w:pPr>
      <w:r w:rsidRPr="00076F77">
        <w:t>14</w:t>
      </w:r>
      <w:r w:rsidR="00192946">
        <w:t>-</w:t>
      </w:r>
      <w:r w:rsidRPr="00076F77">
        <w:t>17 January 2019 for Mallee, North Central and Northern Country weather districts</w:t>
      </w:r>
    </w:p>
    <w:p w14:paraId="3B05CCA5" w14:textId="6B81E2C0" w:rsidR="009D6347" w:rsidRPr="00076F77" w:rsidRDefault="009D6347" w:rsidP="00D27A21">
      <w:pPr>
        <w:pStyle w:val="Bullet1"/>
      </w:pPr>
      <w:r w:rsidRPr="00076F77">
        <w:t>14</w:t>
      </w:r>
      <w:r w:rsidR="00192946">
        <w:t>-</w:t>
      </w:r>
      <w:r w:rsidRPr="00076F77">
        <w:t>18 January 2019 for North East weather district</w:t>
      </w:r>
    </w:p>
    <w:p w14:paraId="6888B506" w14:textId="139391E1" w:rsidR="009D6347" w:rsidRPr="00076F77" w:rsidRDefault="009D6347" w:rsidP="00D27A21">
      <w:pPr>
        <w:pStyle w:val="Bullet1"/>
      </w:pPr>
      <w:r w:rsidRPr="00076F77">
        <w:t>23</w:t>
      </w:r>
      <w:r w:rsidR="00192946">
        <w:t>-</w:t>
      </w:r>
      <w:r w:rsidRPr="00076F77">
        <w:t>25 January 2019 for Mallee and North East weather districts</w:t>
      </w:r>
    </w:p>
    <w:p w14:paraId="5F959446" w14:textId="1F501D03" w:rsidR="009D6347" w:rsidRPr="00076F77" w:rsidRDefault="009D6347" w:rsidP="00D27A21">
      <w:pPr>
        <w:pStyle w:val="Bullet1"/>
      </w:pPr>
      <w:r w:rsidRPr="00076F77">
        <w:t>28 February to 2 March 2019 for Central weather district.</w:t>
      </w:r>
    </w:p>
    <w:p w14:paraId="52E2D8B3" w14:textId="39F7AECA" w:rsidR="009D6347" w:rsidRPr="00E578DE" w:rsidRDefault="009D6347" w:rsidP="009D6347">
      <w:pPr>
        <w:pStyle w:val="Body"/>
      </w:pPr>
      <w:r w:rsidRPr="00076F77">
        <w:t>Between November</w:t>
      </w:r>
      <w:r w:rsidR="00192946">
        <w:t>-</w:t>
      </w:r>
      <w:r w:rsidRPr="00076F77">
        <w:t>December</w:t>
      </w:r>
      <w:r w:rsidR="00192946">
        <w:t xml:space="preserve"> 2019</w:t>
      </w:r>
      <w:r w:rsidRPr="00076F77">
        <w:t>, the Chief Health Officer issued</w:t>
      </w:r>
      <w:r w:rsidR="00192946">
        <w:t xml:space="preserve"> 32</w:t>
      </w:r>
      <w:r w:rsidRPr="00076F77">
        <w:t xml:space="preserve"> heat health alerts for eight forecast extreme heat days. </w:t>
      </w:r>
      <w:r w:rsidR="00192946">
        <w:t xml:space="preserve">On </w:t>
      </w:r>
      <w:r w:rsidRPr="00076F77">
        <w:t>28</w:t>
      </w:r>
      <w:r w:rsidR="00192946">
        <w:t>-</w:t>
      </w:r>
      <w:r w:rsidRPr="00076F77">
        <w:t>29 December</w:t>
      </w:r>
      <w:r w:rsidR="00192946">
        <w:t>,</w:t>
      </w:r>
      <w:r w:rsidRPr="00076F77">
        <w:t xml:space="preserve"> extreme heat days </w:t>
      </w:r>
      <w:r w:rsidR="00192946">
        <w:t xml:space="preserve">were forecast </w:t>
      </w:r>
      <w:r w:rsidRPr="00076F77">
        <w:t xml:space="preserve">for all of Victoria. </w:t>
      </w:r>
      <w:r w:rsidR="00192946">
        <w:t>T</w:t>
      </w:r>
      <w:r w:rsidRPr="00E578DE">
        <w:t xml:space="preserve">wo heatwaves (three or more days of extreme heat) </w:t>
      </w:r>
      <w:r w:rsidR="00192946">
        <w:t xml:space="preserve">were </w:t>
      </w:r>
      <w:r w:rsidRPr="00E578DE">
        <w:t>forecast during this period, including:</w:t>
      </w:r>
    </w:p>
    <w:p w14:paraId="63A02CCF" w14:textId="0FFF8C20" w:rsidR="009D6347" w:rsidRPr="00076F77" w:rsidRDefault="009D6347" w:rsidP="00F646C5">
      <w:pPr>
        <w:pStyle w:val="Bullet1"/>
      </w:pPr>
      <w:r w:rsidRPr="00076F77">
        <w:t>27</w:t>
      </w:r>
      <w:r w:rsidR="00192946">
        <w:t>-</w:t>
      </w:r>
      <w:r w:rsidRPr="00076F77">
        <w:t>29 December for Mallee and Northern Country weather districts</w:t>
      </w:r>
    </w:p>
    <w:p w14:paraId="4A933D97" w14:textId="61CA1934" w:rsidR="009D6347" w:rsidRPr="00BD39D4" w:rsidRDefault="009D6347" w:rsidP="00F646C5">
      <w:pPr>
        <w:pStyle w:val="Bullet1"/>
      </w:pPr>
      <w:r w:rsidRPr="00076F77">
        <w:t>27</w:t>
      </w:r>
      <w:r w:rsidR="00192946">
        <w:t>-</w:t>
      </w:r>
      <w:r w:rsidRPr="00076F77">
        <w:t>30 December for North East weather district.</w:t>
      </w:r>
    </w:p>
    <w:p w14:paraId="0DAE996F" w14:textId="77777777" w:rsidR="009D6347" w:rsidRPr="00BD39D4" w:rsidRDefault="009D6347" w:rsidP="009D6347">
      <w:pPr>
        <w:pStyle w:val="Heading3"/>
      </w:pPr>
      <w:r w:rsidRPr="00BD39D4">
        <w:t xml:space="preserve">Victoria’s heat health plan </w:t>
      </w:r>
    </w:p>
    <w:p w14:paraId="7E40E70D" w14:textId="6BBFD59F" w:rsidR="009D6347" w:rsidRPr="00BD39D4" w:rsidRDefault="009D6347" w:rsidP="009D6347">
      <w:pPr>
        <w:pStyle w:val="Body"/>
      </w:pPr>
      <w:r w:rsidRPr="00BD39D4">
        <w:t xml:space="preserve">The </w:t>
      </w:r>
      <w:bookmarkStart w:id="39" w:name="_Hlk121151434"/>
      <w:r w:rsidR="00C36B2A">
        <w:fldChar w:fldCharType="begin"/>
      </w:r>
      <w:r w:rsidR="00C36B2A">
        <w:instrText xml:space="preserve"> HYPERLINK "https://www.health.vic.gov.au/publications/heat-health-plan-for-victoria" \h </w:instrText>
      </w:r>
      <w:r w:rsidR="00C36B2A">
        <w:fldChar w:fldCharType="separate"/>
      </w:r>
      <w:r w:rsidRPr="001F6156">
        <w:rPr>
          <w:rStyle w:val="Hyperlink"/>
          <w:i/>
          <w:iCs/>
        </w:rPr>
        <w:t>Heat health plan for Victoria</w:t>
      </w:r>
      <w:r w:rsidR="00C36B2A">
        <w:rPr>
          <w:rStyle w:val="Hyperlink"/>
          <w:i/>
          <w:iCs/>
        </w:rPr>
        <w:fldChar w:fldCharType="end"/>
      </w:r>
      <w:bookmarkEnd w:id="39"/>
      <w:r w:rsidRPr="001F6156">
        <w:rPr>
          <w:i/>
          <w:iCs/>
        </w:rPr>
        <w:t xml:space="preserve"> </w:t>
      </w:r>
      <w:r w:rsidR="002A60D2">
        <w:t>&lt;</w:t>
      </w:r>
      <w:r w:rsidR="002A60D2" w:rsidRPr="004107DF">
        <w:t>https://www.health.vic.gov.au/publications/heat-health-plan-for-victoria</w:t>
      </w:r>
      <w:r w:rsidR="002A60D2">
        <w:t xml:space="preserve">&gt; </w:t>
      </w:r>
      <w:r w:rsidRPr="00BD39D4">
        <w:t xml:space="preserve">outlines the </w:t>
      </w:r>
      <w:r w:rsidR="00192946">
        <w:t xml:space="preserve">actions the </w:t>
      </w:r>
      <w:r w:rsidRPr="00BD39D4">
        <w:t xml:space="preserve">Department of Health </w:t>
      </w:r>
      <w:r w:rsidR="00192946">
        <w:t xml:space="preserve">takes </w:t>
      </w:r>
      <w:r w:rsidRPr="00BD39D4">
        <w:t>to prepare for and respond to extreme heat</w:t>
      </w:r>
      <w:r w:rsidR="00192946">
        <w:t xml:space="preserve">. It also details </w:t>
      </w:r>
      <w:r w:rsidRPr="00BD39D4">
        <w:t xml:space="preserve">how local government and the health and human services sectors </w:t>
      </w:r>
      <w:r w:rsidR="00192946">
        <w:t xml:space="preserve">should </w:t>
      </w:r>
      <w:r w:rsidRPr="00BD39D4">
        <w:t>prepare and respond to extreme heat.</w:t>
      </w:r>
      <w:r w:rsidR="004107DF">
        <w:t xml:space="preserve"> </w:t>
      </w:r>
    </w:p>
    <w:p w14:paraId="6C40CF78" w14:textId="5173052A" w:rsidR="009D6347" w:rsidRPr="00BD39D4" w:rsidRDefault="009D6347" w:rsidP="001F6156">
      <w:r w:rsidRPr="00BD39D4">
        <w:t>Th</w:t>
      </w:r>
      <w:r w:rsidR="00192946">
        <w:t>ese actions</w:t>
      </w:r>
      <w:r w:rsidRPr="00BD39D4">
        <w:t xml:space="preserve"> include the </w:t>
      </w:r>
      <w:r w:rsidR="002A60D2">
        <w:t>‘</w:t>
      </w:r>
      <w:r w:rsidRPr="002A60D2">
        <w:t>Heat health alert</w:t>
      </w:r>
      <w:r w:rsidR="002A60D2">
        <w:t>’</w:t>
      </w:r>
      <w:r w:rsidRPr="00BD39D4">
        <w:t xml:space="preserve"> system and a comprehensive communications and engagement strategy. </w:t>
      </w:r>
      <w:r>
        <w:t xml:space="preserve">The strategy includes the </w:t>
      </w:r>
      <w:r w:rsidR="00E20156">
        <w:t>state-wide</w:t>
      </w:r>
      <w:r>
        <w:t xml:space="preserve"> </w:t>
      </w:r>
      <w:r w:rsidR="002A60D2" w:rsidRPr="002A60D2">
        <w:t>‘</w:t>
      </w:r>
      <w:r w:rsidRPr="002A60D2">
        <w:t>Survive the Heat</w:t>
      </w:r>
      <w:r w:rsidR="002A60D2" w:rsidRPr="002A60D2">
        <w:t>’</w:t>
      </w:r>
      <w:r>
        <w:t xml:space="preserve"> campaign</w:t>
      </w:r>
      <w:r w:rsidR="00192946">
        <w:t>,</w:t>
      </w:r>
      <w:r>
        <w:t xml:space="preserve"> which aims to minimise the health impacts of extreme heat on the Victorian community, Ambulance Victoria, and health services by encouraging Victorians and visitors to protect themselves and those in their care during extreme heat.</w:t>
      </w:r>
    </w:p>
    <w:p w14:paraId="2D64952B" w14:textId="77777777" w:rsidR="009D6347" w:rsidRPr="00F36A61" w:rsidRDefault="009D6347" w:rsidP="009D6347">
      <w:pPr>
        <w:pStyle w:val="Heading2"/>
        <w:rPr>
          <w:bCs/>
        </w:rPr>
      </w:pPr>
      <w:bookmarkStart w:id="40" w:name="_Toc116981361"/>
      <w:r w:rsidRPr="00F36A61">
        <w:lastRenderedPageBreak/>
        <w:t>Thunderstorm Asthma Program</w:t>
      </w:r>
      <w:bookmarkEnd w:id="40"/>
    </w:p>
    <w:p w14:paraId="06BB6DD0" w14:textId="52D34BC8" w:rsidR="009D6347" w:rsidRPr="0041010A" w:rsidRDefault="009D6347" w:rsidP="009D6347">
      <w:pPr>
        <w:pStyle w:val="Body"/>
      </w:pPr>
      <w:r w:rsidRPr="0041010A">
        <w:t>On 21 November 2016</w:t>
      </w:r>
      <w:r w:rsidR="00192946">
        <w:t>,</w:t>
      </w:r>
      <w:r w:rsidRPr="0041010A">
        <w:t xml:space="preserve"> Victoria experienced the world’s largest epidemic thunderstorm asthma event</w:t>
      </w:r>
      <w:r w:rsidR="007660CB">
        <w:t>. T</w:t>
      </w:r>
      <w:r w:rsidRPr="0041010A">
        <w:t>housands of people develop</w:t>
      </w:r>
      <w:r w:rsidR="007660CB">
        <w:t>ed</w:t>
      </w:r>
      <w:r w:rsidRPr="0041010A">
        <w:t xml:space="preserve"> breathing difficulties in a short period of time. Following this event, the former Department of Health and Human Services (now Department of Health) developed a multi-faceted, comprehensive Epidemic Thunderstorm Asthma Program to address potential future impacts on the community and the Victorian health system. </w:t>
      </w:r>
    </w:p>
    <w:p w14:paraId="5F707A36" w14:textId="0F0F2162" w:rsidR="009D6347" w:rsidRPr="0023242C" w:rsidRDefault="009D6347" w:rsidP="00E672BA">
      <w:pPr>
        <w:pStyle w:val="NormalWeb"/>
        <w:spacing w:after="120" w:afterAutospacing="0" w:line="280" w:lineRule="atLeast"/>
        <w:rPr>
          <w:rFonts w:ascii="Arial" w:hAnsi="Arial" w:cs="Arial"/>
          <w:color w:val="2A2736"/>
          <w:sz w:val="21"/>
          <w:szCs w:val="21"/>
        </w:rPr>
      </w:pPr>
      <w:r>
        <w:rPr>
          <w:rFonts w:ascii="Arial" w:hAnsi="Arial" w:cs="Arial"/>
          <w:color w:val="2A2736"/>
          <w:sz w:val="21"/>
          <w:szCs w:val="21"/>
        </w:rPr>
        <w:t xml:space="preserve">The program </w:t>
      </w:r>
      <w:r w:rsidR="007660CB">
        <w:rPr>
          <w:rFonts w:ascii="Arial" w:hAnsi="Arial" w:cs="Arial"/>
          <w:color w:val="2A2736"/>
          <w:sz w:val="21"/>
          <w:szCs w:val="21"/>
        </w:rPr>
        <w:t>includes</w:t>
      </w:r>
      <w:r w:rsidRPr="0023242C">
        <w:rPr>
          <w:rFonts w:ascii="Arial" w:hAnsi="Arial" w:cs="Arial"/>
          <w:color w:val="2A2736"/>
          <w:sz w:val="21"/>
          <w:szCs w:val="21"/>
        </w:rPr>
        <w:t>:</w:t>
      </w:r>
    </w:p>
    <w:p w14:paraId="6EB67717" w14:textId="1B0A30DA" w:rsidR="00586C96" w:rsidRPr="007156C2" w:rsidRDefault="007660CB" w:rsidP="002D4F72">
      <w:pPr>
        <w:pStyle w:val="Bullet1"/>
        <w:rPr>
          <w:lang w:eastAsia="en-AU"/>
        </w:rPr>
      </w:pPr>
      <w:r>
        <w:rPr>
          <w:lang w:eastAsia="en-AU"/>
        </w:rPr>
        <w:t>A</w:t>
      </w:r>
      <w:r w:rsidR="009D6347" w:rsidRPr="007156C2">
        <w:rPr>
          <w:lang w:eastAsia="en-AU"/>
        </w:rPr>
        <w:t xml:space="preserve"> </w:t>
      </w:r>
      <w:hyperlink r:id="rId24">
        <w:r w:rsidR="009D6347" w:rsidRPr="002A60D2">
          <w:rPr>
            <w:color w:val="004C97"/>
            <w:u w:val="dotted"/>
          </w:rPr>
          <w:t>public health campaign</w:t>
        </w:r>
      </w:hyperlink>
      <w:r w:rsidR="009D6347" w:rsidRPr="007156C2">
        <w:rPr>
          <w:lang w:eastAsia="en-AU"/>
        </w:rPr>
        <w:t xml:space="preserve"> </w:t>
      </w:r>
      <w:r w:rsidR="002A60D2" w:rsidRPr="002A60D2">
        <w:rPr>
          <w:lang w:eastAsia="en-AU"/>
        </w:rPr>
        <w:t>&lt;https://www.betterhealth.vic.gov.au/campaigns/thunderstorm-asthma&gt;</w:t>
      </w:r>
      <w:r w:rsidR="002A60D2">
        <w:rPr>
          <w:lang w:eastAsia="en-AU"/>
        </w:rPr>
        <w:t xml:space="preserve"> </w:t>
      </w:r>
      <w:r w:rsidR="009D6347" w:rsidRPr="007156C2">
        <w:rPr>
          <w:lang w:eastAsia="en-AU"/>
        </w:rPr>
        <w:t>to raise awareness of thunderstorm asthma, help the community prepare for the grass pollen season and improve asthma and hay fever management</w:t>
      </w:r>
      <w:r>
        <w:rPr>
          <w:lang w:eastAsia="en-AU"/>
        </w:rPr>
        <w:t xml:space="preserve"> –</w:t>
      </w:r>
      <w:r w:rsidR="009D6347" w:rsidRPr="007156C2">
        <w:rPr>
          <w:lang w:eastAsia="en-AU"/>
        </w:rPr>
        <w:t xml:space="preserve"> includ</w:t>
      </w:r>
      <w:r>
        <w:rPr>
          <w:lang w:eastAsia="en-AU"/>
        </w:rPr>
        <w:t>i</w:t>
      </w:r>
      <w:r>
        <w:t>ng</w:t>
      </w:r>
      <w:r w:rsidR="009D6347">
        <w:t xml:space="preserve"> a</w:t>
      </w:r>
      <w:r w:rsidR="009D6347" w:rsidRPr="002A60D2">
        <w:rPr>
          <w:color w:val="004C97"/>
          <w:u w:val="dotted"/>
        </w:rPr>
        <w:t>n</w:t>
      </w:r>
      <w:bookmarkStart w:id="41" w:name="_Hlk121151513"/>
      <w:r w:rsidR="00C36B2A" w:rsidRPr="002A60D2">
        <w:rPr>
          <w:color w:val="004C97"/>
          <w:u w:val="dotted"/>
        </w:rPr>
        <w:fldChar w:fldCharType="begin"/>
      </w:r>
      <w:r w:rsidR="00C36B2A" w:rsidRPr="002A60D2">
        <w:rPr>
          <w:color w:val="004C97"/>
          <w:u w:val="dotted"/>
        </w:rPr>
        <w:instrText xml:space="preserve"> HYPERLINK "https://www.health.vic.gov.au/environmental-health/epidemic-thunderstorm-asthma-campaign-toolkit" \h </w:instrText>
      </w:r>
      <w:r w:rsidR="00C36B2A" w:rsidRPr="002A60D2">
        <w:rPr>
          <w:color w:val="004C97"/>
          <w:u w:val="dotted"/>
        </w:rPr>
      </w:r>
      <w:r w:rsidR="00C36B2A" w:rsidRPr="002A60D2">
        <w:rPr>
          <w:color w:val="004C97"/>
          <w:u w:val="dotted"/>
        </w:rPr>
        <w:fldChar w:fldCharType="separate"/>
      </w:r>
      <w:r w:rsidR="009D6347" w:rsidRPr="002A60D2">
        <w:rPr>
          <w:color w:val="004C97"/>
          <w:u w:val="dotted"/>
        </w:rPr>
        <w:t xml:space="preserve"> epidemic thunderstorm asthma campaign toolkit</w:t>
      </w:r>
      <w:r w:rsidR="00C36B2A" w:rsidRPr="002A60D2">
        <w:rPr>
          <w:color w:val="004C97"/>
          <w:u w:val="dotted"/>
        </w:rPr>
        <w:fldChar w:fldCharType="end"/>
      </w:r>
      <w:bookmarkEnd w:id="41"/>
      <w:r w:rsidR="009D6347" w:rsidRPr="007156C2">
        <w:rPr>
          <w:lang w:eastAsia="en-AU"/>
        </w:rPr>
        <w:t xml:space="preserve"> </w:t>
      </w:r>
      <w:r w:rsidR="002A60D2" w:rsidRPr="002A60D2">
        <w:rPr>
          <w:color w:val="000000" w:themeColor="text1"/>
          <w:lang w:eastAsia="en-AU"/>
        </w:rPr>
        <w:t xml:space="preserve">&lt;https://www.health.vic.gov.au/environmental-health/epidemic-thunderstorm-asthma-campaign-toolkit&gt; </w:t>
      </w:r>
      <w:r w:rsidR="009D6347" w:rsidRPr="007156C2">
        <w:rPr>
          <w:lang w:eastAsia="en-AU"/>
        </w:rPr>
        <w:t xml:space="preserve">to </w:t>
      </w:r>
      <w:r>
        <w:rPr>
          <w:lang w:eastAsia="en-AU"/>
        </w:rPr>
        <w:t xml:space="preserve">raise public and health professional awareness of </w:t>
      </w:r>
      <w:r w:rsidR="009D6347" w:rsidRPr="007156C2">
        <w:rPr>
          <w:lang w:eastAsia="en-AU"/>
        </w:rPr>
        <w:t>thunderstorm asthma preparedness messages</w:t>
      </w:r>
      <w:r>
        <w:rPr>
          <w:lang w:eastAsia="en-AU"/>
        </w:rPr>
        <w:t>.</w:t>
      </w:r>
      <w:r w:rsidR="00B93772">
        <w:rPr>
          <w:lang w:eastAsia="en-AU"/>
        </w:rPr>
        <w:t xml:space="preserve"> </w:t>
      </w:r>
    </w:p>
    <w:p w14:paraId="0D322D8F" w14:textId="1F08373C" w:rsidR="009D6347" w:rsidRPr="007156C2" w:rsidRDefault="007660CB" w:rsidP="009D6347">
      <w:pPr>
        <w:pStyle w:val="Bullet1"/>
        <w:rPr>
          <w:lang w:eastAsia="en-AU"/>
        </w:rPr>
      </w:pPr>
      <w:r>
        <w:rPr>
          <w:lang w:eastAsia="en-AU"/>
        </w:rPr>
        <w:t>A</w:t>
      </w:r>
      <w:r w:rsidR="009D6347" w:rsidRPr="1949FE84">
        <w:rPr>
          <w:lang w:eastAsia="en-AU"/>
        </w:rPr>
        <w:t xml:space="preserve"> </w:t>
      </w:r>
      <w:hyperlink r:id="rId25">
        <w:r w:rsidR="009D6347" w:rsidRPr="002A60D2">
          <w:rPr>
            <w:color w:val="004C97"/>
            <w:u w:val="dotted"/>
          </w:rPr>
          <w:t>Victorian epidemic thunderstorm asthma risk forecasting system</w:t>
        </w:r>
      </w:hyperlink>
      <w:r w:rsidR="002A60D2">
        <w:rPr>
          <w:color w:val="C63663"/>
          <w:lang w:eastAsia="en-AU"/>
        </w:rPr>
        <w:t xml:space="preserve"> </w:t>
      </w:r>
      <w:r w:rsidR="002A60D2">
        <w:rPr>
          <w:lang w:eastAsia="en-AU"/>
        </w:rPr>
        <w:t>&lt;</w:t>
      </w:r>
      <w:r w:rsidR="002A60D2" w:rsidRPr="002D4F72">
        <w:rPr>
          <w:lang w:eastAsia="en-AU"/>
        </w:rPr>
        <w:t>https://www.health.vic.gov.au/environmental-health/epidemic-thunderstorm-asthma-risk-forecast</w:t>
      </w:r>
      <w:r w:rsidR="002A60D2">
        <w:rPr>
          <w:lang w:eastAsia="en-AU"/>
        </w:rPr>
        <w:t>&gt;</w:t>
      </w:r>
      <w:r w:rsidR="009D6347" w:rsidRPr="1949FE84">
        <w:rPr>
          <w:lang w:eastAsia="en-AU"/>
        </w:rPr>
        <w:t>, including an expanded Victorian pollen monitoring network</w:t>
      </w:r>
      <w:r w:rsidR="002A60D2">
        <w:rPr>
          <w:lang w:eastAsia="en-AU"/>
        </w:rPr>
        <w:t>.</w:t>
      </w:r>
    </w:p>
    <w:p w14:paraId="590A79D3" w14:textId="481BCAE0" w:rsidR="009D6347" w:rsidRPr="007156C2" w:rsidRDefault="007660CB" w:rsidP="009D6347">
      <w:pPr>
        <w:pStyle w:val="Bullet1"/>
        <w:rPr>
          <w:lang w:eastAsia="en-AU"/>
        </w:rPr>
      </w:pPr>
      <w:r w:rsidRPr="002A60D2">
        <w:rPr>
          <w:color w:val="000000" w:themeColor="text1"/>
          <w:lang w:eastAsia="en-AU"/>
        </w:rPr>
        <w:t>R</w:t>
      </w:r>
      <w:r w:rsidR="009D6347" w:rsidRPr="002A60D2">
        <w:rPr>
          <w:color w:val="000000" w:themeColor="text1"/>
          <w:lang w:eastAsia="en-AU"/>
        </w:rPr>
        <w:t xml:space="preserve">esources for health professionals, including </w:t>
      </w:r>
      <w:r w:rsidR="009D6347" w:rsidRPr="007156C2">
        <w:rPr>
          <w:lang w:eastAsia="en-AU"/>
        </w:rPr>
        <w:t>expert clinical guidelines to identify and manage those at increased risk</w:t>
      </w:r>
      <w:r>
        <w:rPr>
          <w:lang w:eastAsia="en-AU"/>
        </w:rPr>
        <w:t>.</w:t>
      </w:r>
    </w:p>
    <w:p w14:paraId="01F07A4F" w14:textId="0586B490" w:rsidR="009D6347" w:rsidRPr="007156C2" w:rsidRDefault="007660CB" w:rsidP="009D6347">
      <w:pPr>
        <w:pStyle w:val="Bullet1"/>
        <w:rPr>
          <w:lang w:eastAsia="en-AU"/>
        </w:rPr>
      </w:pPr>
      <w:r>
        <w:rPr>
          <w:lang w:eastAsia="en-AU"/>
        </w:rPr>
        <w:t>A</w:t>
      </w:r>
      <w:r w:rsidR="009D6347" w:rsidRPr="007156C2">
        <w:rPr>
          <w:lang w:eastAsia="en-AU"/>
        </w:rPr>
        <w:t xml:space="preserve"> Real-time Health Emergency Monitoring System, </w:t>
      </w:r>
      <w:r>
        <w:rPr>
          <w:lang w:eastAsia="en-AU"/>
        </w:rPr>
        <w:t xml:space="preserve">helping Victoria </w:t>
      </w:r>
      <w:r w:rsidR="009D6347" w:rsidRPr="007156C2">
        <w:rPr>
          <w:lang w:eastAsia="en-AU"/>
        </w:rPr>
        <w:t>more quickly recognise and better manage a surge in demand on health services</w:t>
      </w:r>
      <w:r w:rsidR="005A6E95">
        <w:rPr>
          <w:lang w:eastAsia="en-AU"/>
        </w:rPr>
        <w:t>.</w:t>
      </w:r>
    </w:p>
    <w:p w14:paraId="0190D656" w14:textId="1B125740" w:rsidR="009D6347" w:rsidRPr="007156C2" w:rsidRDefault="007660CB" w:rsidP="009D6347">
      <w:pPr>
        <w:pStyle w:val="Bullet1"/>
        <w:rPr>
          <w:lang w:eastAsia="en-AU"/>
        </w:rPr>
      </w:pPr>
      <w:r>
        <w:rPr>
          <w:lang w:eastAsia="en-AU"/>
        </w:rPr>
        <w:t>R</w:t>
      </w:r>
      <w:r w:rsidR="009D6347" w:rsidRPr="007156C2">
        <w:rPr>
          <w:lang w:eastAsia="en-AU"/>
        </w:rPr>
        <w:t xml:space="preserve">evised </w:t>
      </w:r>
      <w:r w:rsidR="009D6347">
        <w:rPr>
          <w:lang w:eastAsia="en-AU"/>
        </w:rPr>
        <w:t>s</w:t>
      </w:r>
      <w:r w:rsidR="009D6347" w:rsidRPr="007156C2">
        <w:rPr>
          <w:lang w:eastAsia="en-AU"/>
        </w:rPr>
        <w:t xml:space="preserve">tate </w:t>
      </w:r>
      <w:r w:rsidR="009D6347">
        <w:rPr>
          <w:lang w:eastAsia="en-AU"/>
        </w:rPr>
        <w:t>h</w:t>
      </w:r>
      <w:r w:rsidR="009D6347" w:rsidRPr="007156C2">
        <w:rPr>
          <w:lang w:eastAsia="en-AU"/>
        </w:rPr>
        <w:t xml:space="preserve">ealth </w:t>
      </w:r>
      <w:r w:rsidR="009D6347">
        <w:rPr>
          <w:lang w:eastAsia="en-AU"/>
        </w:rPr>
        <w:t>e</w:t>
      </w:r>
      <w:r w:rsidR="009D6347" w:rsidRPr="007156C2">
        <w:rPr>
          <w:lang w:eastAsia="en-AU"/>
        </w:rPr>
        <w:t xml:space="preserve">mergency </w:t>
      </w:r>
      <w:r w:rsidR="009D6347">
        <w:rPr>
          <w:lang w:eastAsia="en-AU"/>
        </w:rPr>
        <w:t>r</w:t>
      </w:r>
      <w:r w:rsidR="009D6347" w:rsidRPr="007156C2">
        <w:rPr>
          <w:lang w:eastAsia="en-AU"/>
        </w:rPr>
        <w:t xml:space="preserve">esponse </w:t>
      </w:r>
      <w:r w:rsidR="009D6347">
        <w:rPr>
          <w:lang w:eastAsia="en-AU"/>
        </w:rPr>
        <w:t>a</w:t>
      </w:r>
      <w:r w:rsidR="009D6347" w:rsidRPr="007156C2">
        <w:rPr>
          <w:lang w:eastAsia="en-AU"/>
        </w:rPr>
        <w:t xml:space="preserve">rrangements to improve how </w:t>
      </w:r>
      <w:r w:rsidRPr="007156C2">
        <w:rPr>
          <w:lang w:eastAsia="en-AU"/>
        </w:rPr>
        <w:t xml:space="preserve">health services </w:t>
      </w:r>
      <w:r w:rsidR="009D6347" w:rsidRPr="007156C2">
        <w:rPr>
          <w:lang w:eastAsia="en-AU"/>
        </w:rPr>
        <w:t>plan, communicate</w:t>
      </w:r>
      <w:r>
        <w:rPr>
          <w:lang w:eastAsia="en-AU"/>
        </w:rPr>
        <w:t>,</w:t>
      </w:r>
      <w:r w:rsidR="009D6347" w:rsidRPr="007156C2">
        <w:rPr>
          <w:lang w:eastAsia="en-AU"/>
        </w:rPr>
        <w:t xml:space="preserve"> and work during emergencies </w:t>
      </w:r>
      <w:r>
        <w:rPr>
          <w:lang w:eastAsia="en-AU"/>
        </w:rPr>
        <w:t xml:space="preserve">– </w:t>
      </w:r>
      <w:r w:rsidR="009D6347" w:rsidRPr="007156C2">
        <w:rPr>
          <w:lang w:eastAsia="en-AU"/>
        </w:rPr>
        <w:t>and</w:t>
      </w:r>
      <w:r w:rsidR="00927D95">
        <w:rPr>
          <w:lang w:eastAsia="en-AU"/>
        </w:rPr>
        <w:t xml:space="preserve"> </w:t>
      </w:r>
      <w:r w:rsidR="009D6347" w:rsidRPr="007156C2">
        <w:rPr>
          <w:lang w:eastAsia="en-AU"/>
        </w:rPr>
        <w:t>better meet community health needs</w:t>
      </w:r>
      <w:r w:rsidR="00927D95">
        <w:rPr>
          <w:lang w:eastAsia="en-AU"/>
        </w:rPr>
        <w:t>.</w:t>
      </w:r>
    </w:p>
    <w:p w14:paraId="2C7B461C" w14:textId="29A9E86D" w:rsidR="009D6347" w:rsidRPr="007156C2" w:rsidRDefault="00927D95" w:rsidP="009D6347">
      <w:pPr>
        <w:pStyle w:val="Bullet1"/>
        <w:rPr>
          <w:lang w:eastAsia="en-AU"/>
        </w:rPr>
      </w:pPr>
      <w:r>
        <w:rPr>
          <w:lang w:eastAsia="en-AU"/>
        </w:rPr>
        <w:t>R</w:t>
      </w:r>
      <w:r w:rsidR="009D6347" w:rsidRPr="007156C2">
        <w:rPr>
          <w:lang w:eastAsia="en-AU"/>
        </w:rPr>
        <w:t>esearch to better understand the phenomena of epidemic thunderstorm asthma</w:t>
      </w:r>
      <w:r w:rsidR="009D6347">
        <w:rPr>
          <w:lang w:eastAsia="en-AU"/>
        </w:rPr>
        <w:t>.</w:t>
      </w:r>
    </w:p>
    <w:p w14:paraId="2C13E458" w14:textId="4DA8A9ED" w:rsidR="0082054D" w:rsidRPr="0082054D" w:rsidRDefault="0082054D" w:rsidP="00FC478E">
      <w:pPr>
        <w:pStyle w:val="Heading2"/>
      </w:pPr>
      <w:r w:rsidRPr="0082054D">
        <w:t>Sunset Review of Public Health and Wellbeing Regulations</w:t>
      </w:r>
    </w:p>
    <w:p w14:paraId="788FAFB3" w14:textId="55D7D51E" w:rsidR="00AB20EB" w:rsidRDefault="0082054D" w:rsidP="00E67B17">
      <w:r>
        <w:t>Victorians enjoy one of the highest standards of health and wellbeing in the developed world</w:t>
      </w:r>
      <w:r w:rsidR="00927D95">
        <w:t xml:space="preserve">. Those standards </w:t>
      </w:r>
      <w:r>
        <w:t xml:space="preserve">could not be achieved without laws and regulations that protect and promote public health and wellbeing. In 2019, the Public Health and Wellbeing Regulations 2009, which were made under the </w:t>
      </w:r>
      <w:r w:rsidRPr="0082054D">
        <w:t>Public Health and Wellbeing Act 2008,</w:t>
      </w:r>
      <w:r>
        <w:t xml:space="preserve"> were due to expire (sunset)</w:t>
      </w:r>
      <w:r w:rsidR="00927D95">
        <w:t xml:space="preserve">. Before they expired, the regulations were </w:t>
      </w:r>
      <w:r>
        <w:t>review</w:t>
      </w:r>
      <w:r w:rsidR="00927D95">
        <w:t>ed and n</w:t>
      </w:r>
      <w:r>
        <w:t xml:space="preserve">ew Public Health and Wellbeing Regulations drafted </w:t>
      </w:r>
      <w:r w:rsidR="00927D95">
        <w:t xml:space="preserve">following </w:t>
      </w:r>
      <w:r>
        <w:t xml:space="preserve">a rigorous impact assessment and </w:t>
      </w:r>
      <w:r w:rsidR="005F4583">
        <w:t xml:space="preserve">public </w:t>
      </w:r>
      <w:r>
        <w:t xml:space="preserve">consultation process. </w:t>
      </w:r>
    </w:p>
    <w:p w14:paraId="1E2A8E6E" w14:textId="720983DB" w:rsidR="00216D08" w:rsidRPr="00714BD2" w:rsidRDefault="00216D08" w:rsidP="00AB20EB">
      <w:pPr>
        <w:rPr>
          <w:rFonts w:eastAsia="VIC-Regular"/>
        </w:rPr>
      </w:pPr>
      <w:r w:rsidRPr="00AB20EB">
        <w:rPr>
          <w:rFonts w:hint="eastAsia"/>
        </w:rPr>
        <w:t>The Public Health and Wellbeing Regulations 2019 provide a framework for businesses, councils, the Department of Health and individuals to protect the health and wellbeing of Victorians.</w:t>
      </w:r>
      <w:r w:rsidR="00AB20EB">
        <w:t xml:space="preserve"> </w:t>
      </w:r>
      <w:r w:rsidRPr="00AB20EB">
        <w:rPr>
          <w:rFonts w:eastAsia="VIC-Regular" w:hint="eastAsia"/>
        </w:rPr>
        <w:t>The regulations cover a range of measures t</w:t>
      </w:r>
      <w:r w:rsidR="00927D95">
        <w:rPr>
          <w:rFonts w:eastAsia="VIC-Regular"/>
        </w:rPr>
        <w:t>hat</w:t>
      </w:r>
      <w:r w:rsidRPr="00AB20EB">
        <w:rPr>
          <w:rFonts w:eastAsia="VIC-Regular" w:hint="eastAsia"/>
        </w:rPr>
        <w:t xml:space="preserve"> prevent and respond to the spread of infectious diseases</w:t>
      </w:r>
      <w:r w:rsidR="00927D95">
        <w:rPr>
          <w:rFonts w:eastAsia="VIC-Regular"/>
        </w:rPr>
        <w:t>. The regulations also</w:t>
      </w:r>
      <w:r w:rsidRPr="00AB20EB">
        <w:rPr>
          <w:rFonts w:eastAsia="VIC-Regular" w:hint="eastAsia"/>
        </w:rPr>
        <w:t xml:space="preserve"> minimise public health risks associated with certain businesses, such as aquatic facilities, tattooists</w:t>
      </w:r>
      <w:r w:rsidR="00927D95">
        <w:rPr>
          <w:rFonts w:eastAsia="VIC-Regular"/>
        </w:rPr>
        <w:t>,</w:t>
      </w:r>
      <w:r w:rsidRPr="00AB20EB">
        <w:rPr>
          <w:rFonts w:eastAsia="VIC-Regular" w:hint="eastAsia"/>
        </w:rPr>
        <w:t xml:space="preserve"> and businesses that perform skin penetration procedures.</w:t>
      </w:r>
    </w:p>
    <w:p w14:paraId="663008C7" w14:textId="2C256FB9" w:rsidR="00216D08" w:rsidRDefault="00927D95" w:rsidP="00714BD2">
      <w:r>
        <w:t>Due to increased public health risks from climate change, s</w:t>
      </w:r>
      <w:r w:rsidR="002A11B1">
        <w:t xml:space="preserve">ignificant amendments </w:t>
      </w:r>
      <w:r>
        <w:t xml:space="preserve">were made to the regulations. Those amendments included </w:t>
      </w:r>
      <w:r w:rsidR="002A11B1">
        <w:t xml:space="preserve">expanding the regulations that control vector-borne infectious disease risks. </w:t>
      </w:r>
      <w:r w:rsidR="003666D3">
        <w:t>Climate change, urban development</w:t>
      </w:r>
      <w:r>
        <w:t>,</w:t>
      </w:r>
      <w:r w:rsidR="003666D3">
        <w:t xml:space="preserve"> and increased global travel are influencing the spread and distribution of disease-causing pathogens and disease vectors</w:t>
      </w:r>
      <w:r>
        <w:t>, such as mosquitos</w:t>
      </w:r>
      <w:r w:rsidR="003666D3">
        <w:t>.</w:t>
      </w:r>
      <w:r w:rsidR="002A11B1">
        <w:t xml:space="preserve"> </w:t>
      </w:r>
      <w:r w:rsidR="000B6A33">
        <w:t>The new regulations allow for the control of emerging and potential vector-borne disease risks</w:t>
      </w:r>
      <w:r w:rsidR="00690A8B">
        <w:t xml:space="preserve"> </w:t>
      </w:r>
      <w:r>
        <w:t xml:space="preserve">– </w:t>
      </w:r>
      <w:r w:rsidR="000B6A33">
        <w:t>reduc</w:t>
      </w:r>
      <w:r>
        <w:t>ing</w:t>
      </w:r>
      <w:r w:rsidR="000B6A33">
        <w:t xml:space="preserve"> the risk of vector-borne infectious diseases. </w:t>
      </w:r>
      <w:r w:rsidR="008B375F">
        <w:t xml:space="preserve">The </w:t>
      </w:r>
      <w:r>
        <w:t xml:space="preserve">amendments </w:t>
      </w:r>
      <w:r w:rsidR="008B375F">
        <w:t>will help prevent and minimise infectious diseases caused by mosquitoes or other disease vectors</w:t>
      </w:r>
      <w:r w:rsidR="00FC17E7">
        <w:t xml:space="preserve"> and </w:t>
      </w:r>
      <w:r w:rsidR="008B375F">
        <w:t>allow for a more rapid response to emerging and potential disease threats.</w:t>
      </w:r>
      <w:r w:rsidR="00FC5AC0">
        <w:t xml:space="preserve"> </w:t>
      </w:r>
    </w:p>
    <w:p w14:paraId="2ECBA109" w14:textId="3A1B4D0C" w:rsidR="002C36A5" w:rsidRPr="002C36A5" w:rsidRDefault="00AE76F4" w:rsidP="002C36A5">
      <w:r>
        <w:t>Below is a</w:t>
      </w:r>
      <w:r w:rsidR="002C36A5">
        <w:t xml:space="preserve"> summary of the </w:t>
      </w:r>
      <w:r w:rsidR="00C94686">
        <w:t xml:space="preserve">full list of areas covered in the </w:t>
      </w:r>
      <w:r w:rsidR="001C6134">
        <w:t>2019</w:t>
      </w:r>
      <w:r w:rsidR="00927D95">
        <w:t xml:space="preserve"> review</w:t>
      </w:r>
      <w:r w:rsidR="00A87B02">
        <w:t>:</w:t>
      </w:r>
    </w:p>
    <w:p w14:paraId="54EDA7F1" w14:textId="55A10137" w:rsidR="002C36A5" w:rsidRPr="002C36A5" w:rsidRDefault="00000000" w:rsidP="00F646C5">
      <w:pPr>
        <w:pStyle w:val="Bullet1"/>
      </w:pPr>
      <w:hyperlink r:id="rId26" w:history="1">
        <w:r w:rsidR="00AE76F4">
          <w:t>a</w:t>
        </w:r>
        <w:r w:rsidR="002C36A5" w:rsidRPr="002C36A5">
          <w:rPr>
            <w:rFonts w:hint="eastAsia"/>
          </w:rPr>
          <w:t>rbovirus control</w:t>
        </w:r>
      </w:hyperlink>
      <w:r w:rsidR="002C36A5" w:rsidRPr="002C36A5">
        <w:rPr>
          <w:rFonts w:hint="eastAsia"/>
        </w:rPr>
        <w:t> (vector-borne infectious disease control)</w:t>
      </w:r>
    </w:p>
    <w:p w14:paraId="507F7E63" w14:textId="1CB88DB3" w:rsidR="00120E35" w:rsidRPr="00B97817" w:rsidRDefault="00000000" w:rsidP="00F646C5">
      <w:pPr>
        <w:pStyle w:val="Bullet1"/>
      </w:pPr>
      <w:hyperlink r:id="rId27" w:history="1">
        <w:r w:rsidR="00AE76F4">
          <w:t>r</w:t>
        </w:r>
        <w:r w:rsidR="002C36A5" w:rsidRPr="002C36A5">
          <w:rPr>
            <w:rFonts w:hint="eastAsia"/>
          </w:rPr>
          <w:t>egistered premises</w:t>
        </w:r>
      </w:hyperlink>
      <w:r w:rsidR="002C36A5" w:rsidRPr="002C36A5">
        <w:rPr>
          <w:rFonts w:hint="eastAsia"/>
        </w:rPr>
        <w:t xml:space="preserve"> (hairdressing, cosmetic application, beauty therapy, colonic irrigation, skin </w:t>
      </w:r>
      <w:r w:rsidR="002C36A5" w:rsidRPr="00B97817">
        <w:rPr>
          <w:rFonts w:hint="eastAsia"/>
        </w:rPr>
        <w:t xml:space="preserve">penetration and tattooing) </w:t>
      </w:r>
      <w:r w:rsidR="00EA4A62" w:rsidRPr="00B97817">
        <w:t>in regard to</w:t>
      </w:r>
      <w:r w:rsidR="002C36A5" w:rsidRPr="00B97817">
        <w:rPr>
          <w:rFonts w:hint="eastAsia"/>
        </w:rPr>
        <w:t xml:space="preserve"> infection control</w:t>
      </w:r>
    </w:p>
    <w:p w14:paraId="7C6168C6" w14:textId="4AEF34AF" w:rsidR="002C36A5" w:rsidRPr="00C218C0" w:rsidRDefault="00000000" w:rsidP="00F646C5">
      <w:pPr>
        <w:pStyle w:val="Bullet1"/>
      </w:pPr>
      <w:hyperlink r:id="rId28" w:history="1">
        <w:r w:rsidR="00360DED" w:rsidRPr="00B97817">
          <w:t>a</w:t>
        </w:r>
        <w:r w:rsidR="002C36A5" w:rsidRPr="00B97817">
          <w:rPr>
            <w:rFonts w:hint="eastAsia"/>
          </w:rPr>
          <w:t>quatic facilities</w:t>
        </w:r>
      </w:hyperlink>
      <w:r w:rsidR="00EA4A62" w:rsidRPr="00B97817">
        <w:t xml:space="preserve"> (</w:t>
      </w:r>
      <w:r w:rsidR="00360DED" w:rsidRPr="00B97817">
        <w:t>s</w:t>
      </w:r>
      <w:r w:rsidR="00120E35" w:rsidRPr="00B97817">
        <w:t xml:space="preserve">ee the ‘Aquatic facilities’ section of ‘Chapter 4 </w:t>
      </w:r>
      <w:r w:rsidR="0087086D" w:rsidRPr="00042981">
        <w:t>– Water Quality and Safety’</w:t>
      </w:r>
      <w:r w:rsidR="00120E35" w:rsidRPr="00042981">
        <w:t xml:space="preserve"> for more information about </w:t>
      </w:r>
      <w:r w:rsidR="00FE296A" w:rsidRPr="00C218C0">
        <w:t>aquatic facilities</w:t>
      </w:r>
      <w:r w:rsidR="00360DED" w:rsidRPr="00C218C0">
        <w:t>)</w:t>
      </w:r>
    </w:p>
    <w:p w14:paraId="3FFD660C" w14:textId="15C65A86" w:rsidR="002C36A5" w:rsidRPr="002C36A5" w:rsidRDefault="00000000" w:rsidP="00F646C5">
      <w:pPr>
        <w:pStyle w:val="Bullet1"/>
      </w:pPr>
      <w:hyperlink r:id="rId29" w:history="1">
        <w:r w:rsidR="00360DED">
          <w:t>c</w:t>
        </w:r>
        <w:r w:rsidR="002C36A5" w:rsidRPr="002C36A5">
          <w:rPr>
            <w:rFonts w:hint="eastAsia"/>
          </w:rPr>
          <w:t>ooling tower systems</w:t>
        </w:r>
      </w:hyperlink>
    </w:p>
    <w:p w14:paraId="7740A669" w14:textId="758B823F" w:rsidR="002C36A5" w:rsidRPr="002C36A5" w:rsidRDefault="00000000" w:rsidP="00F646C5">
      <w:pPr>
        <w:pStyle w:val="Bullet1"/>
      </w:pPr>
      <w:hyperlink r:id="rId30" w:history="1">
        <w:r w:rsidR="00360DED">
          <w:t>l</w:t>
        </w:r>
        <w:r w:rsidR="002C36A5" w:rsidRPr="002C36A5">
          <w:rPr>
            <w:rFonts w:hint="eastAsia"/>
          </w:rPr>
          <w:t>egionella risks in certain premises</w:t>
        </w:r>
      </w:hyperlink>
      <w:r w:rsidR="002C36A5" w:rsidRPr="002C36A5">
        <w:rPr>
          <w:rFonts w:hint="eastAsia"/>
        </w:rPr>
        <w:t> (water delivery systems)</w:t>
      </w:r>
    </w:p>
    <w:p w14:paraId="063CF200" w14:textId="0410943D" w:rsidR="002C36A5" w:rsidRPr="002C36A5" w:rsidRDefault="00000000" w:rsidP="00F646C5">
      <w:pPr>
        <w:pStyle w:val="Bullet1"/>
      </w:pPr>
      <w:hyperlink r:id="rId31" w:history="1">
        <w:r w:rsidR="00360DED">
          <w:t>p</w:t>
        </w:r>
        <w:r w:rsidR="002C36A5" w:rsidRPr="002C36A5">
          <w:rPr>
            <w:rFonts w:hint="eastAsia"/>
          </w:rPr>
          <w:t>est control</w:t>
        </w:r>
      </w:hyperlink>
      <w:r w:rsidR="002C36A5" w:rsidRPr="002C36A5">
        <w:rPr>
          <w:rFonts w:hint="eastAsia"/>
        </w:rPr>
        <w:t> (licenses, qualifications</w:t>
      </w:r>
      <w:r w:rsidR="00360DED">
        <w:t>,</w:t>
      </w:r>
      <w:r w:rsidR="002C36A5" w:rsidRPr="002C36A5">
        <w:rPr>
          <w:rFonts w:hint="eastAsia"/>
        </w:rPr>
        <w:t xml:space="preserve"> and training)</w:t>
      </w:r>
    </w:p>
    <w:p w14:paraId="6B1C942F" w14:textId="0B13AAA0" w:rsidR="002C36A5" w:rsidRPr="002C36A5" w:rsidRDefault="00000000" w:rsidP="00F646C5">
      <w:pPr>
        <w:pStyle w:val="Bullet1"/>
      </w:pPr>
      <w:hyperlink r:id="rId32" w:history="1">
        <w:r w:rsidR="00360DED">
          <w:t>n</w:t>
        </w:r>
        <w:r w:rsidR="002C36A5" w:rsidRPr="002C36A5">
          <w:rPr>
            <w:rFonts w:hint="eastAsia"/>
          </w:rPr>
          <w:t>otification of infectious diseases, micro-organisms</w:t>
        </w:r>
        <w:r w:rsidR="00360DED">
          <w:t>,</w:t>
        </w:r>
        <w:r w:rsidR="002C36A5" w:rsidRPr="002C36A5">
          <w:rPr>
            <w:rFonts w:hint="eastAsia"/>
          </w:rPr>
          <w:t xml:space="preserve"> and medical conditions</w:t>
        </w:r>
      </w:hyperlink>
    </w:p>
    <w:p w14:paraId="426DB307" w14:textId="0C857406" w:rsidR="002C36A5" w:rsidRPr="002C36A5" w:rsidRDefault="00000000" w:rsidP="00F646C5">
      <w:pPr>
        <w:pStyle w:val="Bullet1"/>
      </w:pPr>
      <w:hyperlink r:id="rId33" w:history="1">
        <w:r w:rsidR="00360DED">
          <w:t>i</w:t>
        </w:r>
        <w:r w:rsidR="002C36A5" w:rsidRPr="002C36A5">
          <w:rPr>
            <w:rFonts w:hint="eastAsia"/>
          </w:rPr>
          <w:t>mmunisation and exclusions</w:t>
        </w:r>
      </w:hyperlink>
      <w:r w:rsidR="002C36A5" w:rsidRPr="002C36A5">
        <w:rPr>
          <w:rFonts w:hint="eastAsia"/>
        </w:rPr>
        <w:t xml:space="preserve"> (infectious disease prevention in schools and </w:t>
      </w:r>
      <w:r w:rsidR="002C36A5" w:rsidRPr="00E1384D">
        <w:rPr>
          <w:rFonts w:cs="Arial"/>
        </w:rPr>
        <w:t>children’s</w:t>
      </w:r>
      <w:r w:rsidR="002C36A5" w:rsidRPr="002C36A5">
        <w:rPr>
          <w:rFonts w:hint="eastAsia"/>
        </w:rPr>
        <w:t xml:space="preserve"> services)</w:t>
      </w:r>
    </w:p>
    <w:p w14:paraId="0579F960" w14:textId="76C0D0FC" w:rsidR="002C36A5" w:rsidRPr="002C36A5" w:rsidRDefault="00360DED" w:rsidP="00F646C5">
      <w:pPr>
        <w:pStyle w:val="Bullet1"/>
      </w:pPr>
      <w:r>
        <w:t>c</w:t>
      </w:r>
      <w:r w:rsidR="002C36A5" w:rsidRPr="002C36A5">
        <w:rPr>
          <w:rFonts w:hint="eastAsia"/>
        </w:rPr>
        <w:t>losed court orders for prescribed diseases</w:t>
      </w:r>
    </w:p>
    <w:p w14:paraId="33608595" w14:textId="5E1E4656" w:rsidR="002C36A5" w:rsidRPr="002C36A5" w:rsidRDefault="00360DED" w:rsidP="00F646C5">
      <w:pPr>
        <w:pStyle w:val="Bullet1"/>
      </w:pPr>
      <w:r>
        <w:t>i</w:t>
      </w:r>
      <w:r w:rsidR="002C36A5" w:rsidRPr="002C36A5">
        <w:rPr>
          <w:rFonts w:hint="eastAsia"/>
        </w:rPr>
        <w:t>nformation to sex workers and clients upon request</w:t>
      </w:r>
    </w:p>
    <w:p w14:paraId="3A03F835" w14:textId="4A7D3592" w:rsidR="002C36A5" w:rsidRDefault="00360DED" w:rsidP="00F646C5">
      <w:pPr>
        <w:pStyle w:val="Bullet1"/>
      </w:pPr>
      <w:r>
        <w:t>c</w:t>
      </w:r>
      <w:r w:rsidR="002C36A5" w:rsidRPr="002C36A5">
        <w:rPr>
          <w:rFonts w:hint="eastAsia"/>
        </w:rPr>
        <w:t>onsultative councils.</w:t>
      </w:r>
    </w:p>
    <w:p w14:paraId="2598A440" w14:textId="77777777" w:rsidR="00972FC1" w:rsidRDefault="00972FC1" w:rsidP="00972FC1">
      <w:pPr>
        <w:pStyle w:val="Heading3"/>
      </w:pPr>
      <w:r>
        <w:t>Find out more</w:t>
      </w:r>
    </w:p>
    <w:p w14:paraId="3400DC21" w14:textId="4B1E2061" w:rsidR="00972FC1" w:rsidRPr="008F29BC" w:rsidRDefault="00972FC1" w:rsidP="002A60D2">
      <w:pPr>
        <w:pStyle w:val="Body"/>
        <w:rPr>
          <w:i/>
          <w:iCs/>
        </w:rPr>
      </w:pPr>
      <w:r w:rsidRPr="209BF6EC">
        <w:rPr>
          <w:color w:val="2A2736"/>
          <w:szCs w:val="21"/>
        </w:rPr>
        <w:t xml:space="preserve">For more information </w:t>
      </w:r>
      <w:r w:rsidRPr="000F6CBA">
        <w:t xml:space="preserve">about </w:t>
      </w:r>
      <w:r>
        <w:t xml:space="preserve">the </w:t>
      </w:r>
      <w:r w:rsidRPr="00B9360F">
        <w:rPr>
          <w:i/>
          <w:iCs/>
        </w:rPr>
        <w:t>Sunset Review of Public Health and Wellbeing Regulations 2019</w:t>
      </w:r>
      <w:r>
        <w:t>:</w:t>
      </w:r>
      <w:r w:rsidR="002A60D2">
        <w:t xml:space="preserve"> </w:t>
      </w:r>
      <w:r w:rsidR="002C36A5" w:rsidRPr="002C36A5">
        <w:rPr>
          <w:i/>
          <w:iCs/>
        </w:rPr>
        <w:t>Public Health and Wellbeing Regulations 2019</w:t>
      </w:r>
      <w:r w:rsidR="002C36A5">
        <w:rPr>
          <w:i/>
          <w:iCs/>
        </w:rPr>
        <w:t xml:space="preserve"> </w:t>
      </w:r>
      <w:r>
        <w:rPr>
          <w:rStyle w:val="BodyChar"/>
        </w:rPr>
        <w:t xml:space="preserve">on </w:t>
      </w:r>
      <w:r w:rsidRPr="0036236A">
        <w:rPr>
          <w:rStyle w:val="BodyChar"/>
        </w:rPr>
        <w:t>the department’s website</w:t>
      </w:r>
      <w:r w:rsidRPr="000F6CBA">
        <w:rPr>
          <w:i/>
          <w:iCs/>
        </w:rPr>
        <w:t xml:space="preserve">, </w:t>
      </w:r>
      <w:hyperlink r:id="rId34">
        <w:r w:rsidRPr="00FE71EF">
          <w:rPr>
            <w:color w:val="004C97"/>
            <w:u w:val="dotted"/>
          </w:rPr>
          <w:t>health.vic</w:t>
        </w:r>
      </w:hyperlink>
      <w:r w:rsidRPr="0036236A">
        <w:rPr>
          <w:i/>
          <w:iCs/>
        </w:rPr>
        <w:t xml:space="preserve"> </w:t>
      </w:r>
      <w:r w:rsidR="002C36A5">
        <w:t>&lt;</w:t>
      </w:r>
      <w:r w:rsidR="002C36A5" w:rsidRPr="002C36A5">
        <w:rPr>
          <w:i/>
          <w:iCs/>
        </w:rPr>
        <w:t>https://www.health.vic.gov.au/legislation/public-health-and-wellbeing-regulations-2019</w:t>
      </w:r>
      <w:r w:rsidRPr="000F6CBA">
        <w:rPr>
          <w:i/>
          <w:iCs/>
        </w:rPr>
        <w:t>&gt;</w:t>
      </w:r>
      <w:r w:rsidRPr="07CD2806">
        <w:rPr>
          <w:i/>
          <w:iCs/>
        </w:rPr>
        <w:t>.</w:t>
      </w:r>
    </w:p>
    <w:p w14:paraId="0039EF71" w14:textId="77777777" w:rsidR="0031674B" w:rsidRPr="00FC4CE9" w:rsidRDefault="0031674B" w:rsidP="0031674B">
      <w:pPr>
        <w:pStyle w:val="NormalWeb"/>
        <w:rPr>
          <w:rFonts w:ascii="Arial" w:hAnsi="Arial" w:cs="Arial"/>
          <w:b/>
          <w:color w:val="2A2736"/>
          <w:sz w:val="21"/>
          <w:szCs w:val="21"/>
        </w:rPr>
      </w:pPr>
      <w:r w:rsidRPr="00FC4CE9">
        <w:rPr>
          <w:rFonts w:ascii="Arial" w:hAnsi="Arial" w:cs="Arial"/>
          <w:b/>
          <w:color w:val="2A2736"/>
          <w:sz w:val="21"/>
          <w:szCs w:val="21"/>
        </w:rPr>
        <w:t xml:space="preserve">References </w:t>
      </w:r>
    </w:p>
    <w:p w14:paraId="4FECB290" w14:textId="5888EE4D"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Australian Institute of Health and Welfare (AIHW) </w:t>
      </w:r>
      <w:r w:rsidR="422B7C68" w:rsidRPr="0092449E">
        <w:rPr>
          <w:rFonts w:ascii="Arial" w:hAnsi="Arial" w:cs="Arial"/>
          <w:color w:val="2A2736"/>
          <w:sz w:val="21"/>
          <w:szCs w:val="21"/>
        </w:rPr>
        <w:t>‘</w:t>
      </w:r>
      <w:r w:rsidRPr="0092449E">
        <w:rPr>
          <w:rFonts w:ascii="Arial" w:hAnsi="Arial" w:cs="Arial"/>
          <w:color w:val="2A2736"/>
          <w:sz w:val="21"/>
          <w:szCs w:val="21"/>
        </w:rPr>
        <w:t>Data update: Short term health impacts of the 2019-20 Australian bushfires</w:t>
      </w:r>
      <w:r w:rsidR="5BDDCEDB" w:rsidRPr="0092449E">
        <w:rPr>
          <w:rFonts w:ascii="Arial" w:hAnsi="Arial" w:cs="Arial"/>
          <w:color w:val="2A2736"/>
          <w:sz w:val="21"/>
          <w:szCs w:val="21"/>
        </w:rPr>
        <w:t>’</w:t>
      </w:r>
      <w:r w:rsidRPr="0092449E">
        <w:rPr>
          <w:rFonts w:ascii="Arial" w:hAnsi="Arial" w:cs="Arial"/>
          <w:color w:val="2A2736"/>
          <w:sz w:val="21"/>
          <w:szCs w:val="21"/>
        </w:rPr>
        <w:t xml:space="preserve">, </w:t>
      </w:r>
      <w:r w:rsidR="795422CA" w:rsidRPr="0092449E">
        <w:rPr>
          <w:rFonts w:ascii="Arial" w:hAnsi="Arial" w:cs="Arial"/>
          <w:color w:val="2A2736"/>
          <w:sz w:val="21"/>
          <w:szCs w:val="21"/>
        </w:rPr>
        <w:t xml:space="preserve">Australian Government, Canberra, (last updated </w:t>
      </w:r>
      <w:r w:rsidR="525CEEEC" w:rsidRPr="0092449E">
        <w:rPr>
          <w:rFonts w:ascii="Arial" w:hAnsi="Arial" w:cs="Arial"/>
          <w:color w:val="2A2736"/>
          <w:sz w:val="21"/>
          <w:szCs w:val="21"/>
        </w:rPr>
        <w:t xml:space="preserve">12 </w:t>
      </w:r>
      <w:r w:rsidRPr="0092449E">
        <w:rPr>
          <w:rFonts w:ascii="Arial" w:hAnsi="Arial" w:cs="Arial"/>
          <w:color w:val="2A2736"/>
          <w:sz w:val="21"/>
          <w:szCs w:val="21"/>
        </w:rPr>
        <w:t>November 2021</w:t>
      </w:r>
      <w:r w:rsidR="5D8D12E0" w:rsidRPr="0092449E">
        <w:rPr>
          <w:rFonts w:ascii="Arial" w:hAnsi="Arial" w:cs="Arial"/>
          <w:color w:val="2A2736"/>
          <w:sz w:val="21"/>
          <w:szCs w:val="21"/>
        </w:rPr>
        <w:t>).</w:t>
      </w:r>
    </w:p>
    <w:p w14:paraId="468B257D" w14:textId="0B9C984A" w:rsidR="00170651" w:rsidRPr="0092449E" w:rsidRDefault="00170651" w:rsidP="00CA5E54">
      <w:pPr>
        <w:pStyle w:val="Body"/>
        <w:rPr>
          <w:rFonts w:cs="Arial"/>
          <w:szCs w:val="21"/>
        </w:rPr>
      </w:pPr>
      <w:r w:rsidRPr="0092449E">
        <w:rPr>
          <w:rFonts w:cs="Arial"/>
          <w:szCs w:val="21"/>
        </w:rPr>
        <w:t xml:space="preserve">Bureau of Meteorology 2018, </w:t>
      </w:r>
      <w:r w:rsidR="7CE00D2F" w:rsidRPr="0092449E">
        <w:rPr>
          <w:rFonts w:cs="Arial"/>
          <w:szCs w:val="21"/>
        </w:rPr>
        <w:t>‘</w:t>
      </w:r>
      <w:r w:rsidRPr="0092449E">
        <w:rPr>
          <w:rFonts w:cs="Arial"/>
          <w:szCs w:val="21"/>
        </w:rPr>
        <w:t>Understanding heatwaves</w:t>
      </w:r>
      <w:r w:rsidR="58C9FC58" w:rsidRPr="0092449E">
        <w:rPr>
          <w:rFonts w:cs="Arial"/>
          <w:szCs w:val="21"/>
        </w:rPr>
        <w:t>’</w:t>
      </w:r>
      <w:r w:rsidRPr="0092449E">
        <w:rPr>
          <w:rFonts w:cs="Arial"/>
          <w:szCs w:val="21"/>
        </w:rPr>
        <w:t xml:space="preserve">, Bureau of Meteorology, </w:t>
      </w:r>
      <w:r w:rsidR="3BF5BC7F" w:rsidRPr="0092449E">
        <w:rPr>
          <w:rFonts w:cs="Arial"/>
          <w:szCs w:val="21"/>
        </w:rPr>
        <w:t xml:space="preserve">Australian Government, </w:t>
      </w:r>
      <w:r w:rsidRPr="0092449E">
        <w:rPr>
          <w:rFonts w:cs="Arial"/>
          <w:szCs w:val="21"/>
        </w:rPr>
        <w:t>Canberra.</w:t>
      </w:r>
    </w:p>
    <w:p w14:paraId="632A0AD1" w14:textId="4A740CB0"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Cheng M, Galbally I, Gillett R, Keywood M, Lawson S, Molloy S and Powell J 2011, </w:t>
      </w:r>
      <w:r w:rsidR="25306EA2" w:rsidRPr="0092449E">
        <w:rPr>
          <w:rFonts w:ascii="Arial" w:hAnsi="Arial" w:cs="Arial"/>
          <w:color w:val="2A2736"/>
          <w:sz w:val="21"/>
          <w:szCs w:val="21"/>
        </w:rPr>
        <w:t>‘</w:t>
      </w:r>
      <w:r w:rsidRPr="0092449E">
        <w:rPr>
          <w:rFonts w:ascii="Arial" w:hAnsi="Arial" w:cs="Arial"/>
          <w:color w:val="2A2736"/>
          <w:sz w:val="21"/>
          <w:szCs w:val="21"/>
        </w:rPr>
        <w:t>Indoor air project: part 1 main report: indoor air in typical Australian dwellings</w:t>
      </w:r>
      <w:r w:rsidR="0F9D9BB7" w:rsidRPr="0092449E">
        <w:rPr>
          <w:rFonts w:ascii="Arial" w:hAnsi="Arial" w:cs="Arial"/>
          <w:color w:val="2A2736"/>
          <w:sz w:val="21"/>
          <w:szCs w:val="21"/>
        </w:rPr>
        <w:t>’</w:t>
      </w:r>
      <w:r w:rsidRPr="0092449E">
        <w:rPr>
          <w:rFonts w:ascii="Arial" w:hAnsi="Arial" w:cs="Arial"/>
          <w:color w:val="2A2736"/>
          <w:sz w:val="21"/>
          <w:szCs w:val="21"/>
        </w:rPr>
        <w:t>, Commonwealth Government of Australia, Department of the Environment, Water, Heritage and the Arts, Canberra.</w:t>
      </w:r>
    </w:p>
    <w:p w14:paraId="5EEDEF08" w14:textId="222FBCAA" w:rsidR="00170651" w:rsidRPr="0092449E" w:rsidRDefault="00170651" w:rsidP="00CA5E54">
      <w:pPr>
        <w:pStyle w:val="Body"/>
        <w:rPr>
          <w:rFonts w:cs="Arial"/>
          <w:szCs w:val="21"/>
        </w:rPr>
      </w:pPr>
      <w:r w:rsidRPr="0092449E">
        <w:rPr>
          <w:rFonts w:cs="Arial"/>
          <w:szCs w:val="21"/>
        </w:rPr>
        <w:t>Coates L, Haynes K, O'Brien J, McAneney J and Dimer de Oliveira F 2014, 'Exploring 167 years of vulnerability: An examination of extreme heat events in Australia 1844-2010', Environmental Science &amp; Policy, vol 42, Oct</w:t>
      </w:r>
      <w:r w:rsidR="001F3ADD" w:rsidRPr="0092449E">
        <w:rPr>
          <w:rFonts w:cs="Arial"/>
          <w:szCs w:val="21"/>
        </w:rPr>
        <w:t>ober</w:t>
      </w:r>
      <w:r w:rsidRPr="0092449E">
        <w:rPr>
          <w:rFonts w:cs="Arial"/>
          <w:szCs w:val="21"/>
        </w:rPr>
        <w:t xml:space="preserve"> 2014.</w:t>
      </w:r>
    </w:p>
    <w:p w14:paraId="68F7F074" w14:textId="059D6BA5"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Commonwealth Government of Australia 2011, </w:t>
      </w:r>
      <w:r w:rsidR="4AA29FB7" w:rsidRPr="0092449E">
        <w:rPr>
          <w:rFonts w:ascii="Arial" w:hAnsi="Arial" w:cs="Arial"/>
          <w:color w:val="2A2736"/>
          <w:sz w:val="21"/>
          <w:szCs w:val="21"/>
        </w:rPr>
        <w:t>‘</w:t>
      </w:r>
      <w:r w:rsidRPr="0092449E">
        <w:rPr>
          <w:rFonts w:ascii="Arial" w:hAnsi="Arial" w:cs="Arial"/>
          <w:color w:val="2A2736"/>
          <w:sz w:val="21"/>
          <w:szCs w:val="21"/>
        </w:rPr>
        <w:t>Indoor air quality: Australian state of the environment report</w:t>
      </w:r>
      <w:r w:rsidR="02529611"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0AD07739" w14:textId="1EB6C564"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Department of Environment and Energy 2012, </w:t>
      </w:r>
      <w:r w:rsidR="421DA68D" w:rsidRPr="0092449E">
        <w:rPr>
          <w:rFonts w:ascii="Arial" w:hAnsi="Arial" w:cs="Arial"/>
          <w:color w:val="2A2736"/>
          <w:sz w:val="21"/>
          <w:szCs w:val="21"/>
        </w:rPr>
        <w:t>‘</w:t>
      </w:r>
      <w:r w:rsidRPr="0092449E">
        <w:rPr>
          <w:rFonts w:ascii="Arial" w:hAnsi="Arial" w:cs="Arial"/>
          <w:color w:val="2A2736"/>
          <w:sz w:val="21"/>
          <w:szCs w:val="21"/>
        </w:rPr>
        <w:t>Your home: Australia's guide to environmentally sustainable homes</w:t>
      </w:r>
      <w:r w:rsidR="78CFCD77"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7A7A7A74" w14:textId="6787AF72"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Department of Environment, Land, Water and Planning 2019, </w:t>
      </w:r>
      <w:r w:rsidR="693731F3" w:rsidRPr="0092449E">
        <w:rPr>
          <w:rFonts w:ascii="Arial" w:hAnsi="Arial" w:cs="Arial"/>
          <w:color w:val="2A2736"/>
          <w:sz w:val="21"/>
          <w:szCs w:val="21"/>
        </w:rPr>
        <w:t>‘</w:t>
      </w:r>
      <w:r w:rsidRPr="0092449E">
        <w:rPr>
          <w:rFonts w:ascii="Arial" w:hAnsi="Arial" w:cs="Arial"/>
          <w:color w:val="2A2736"/>
          <w:sz w:val="21"/>
          <w:szCs w:val="21"/>
        </w:rPr>
        <w:t>Victoria in future 2019: population and household projections to 2056</w:t>
      </w:r>
      <w:r w:rsidR="76461B21" w:rsidRPr="0092449E">
        <w:rPr>
          <w:rFonts w:ascii="Arial" w:hAnsi="Arial" w:cs="Arial"/>
          <w:color w:val="2A2736"/>
          <w:sz w:val="21"/>
          <w:szCs w:val="21"/>
        </w:rPr>
        <w:t>’</w:t>
      </w:r>
      <w:r w:rsidRPr="0092449E">
        <w:rPr>
          <w:rFonts w:ascii="Arial" w:hAnsi="Arial" w:cs="Arial"/>
          <w:color w:val="2A2736"/>
          <w:sz w:val="21"/>
          <w:szCs w:val="21"/>
        </w:rPr>
        <w:t>, State Government of Victoria, Melbourne.</w:t>
      </w:r>
    </w:p>
    <w:p w14:paraId="47B8AF8C" w14:textId="54BB50A0"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Department of Environment, Land, Water and Planning 2019, ‘Victoria's climate science report 2019’, State Government of Victoria, Melbourne</w:t>
      </w:r>
      <w:r w:rsidR="0069756B" w:rsidRPr="0092449E">
        <w:rPr>
          <w:rFonts w:ascii="Arial" w:hAnsi="Arial" w:cs="Arial"/>
          <w:color w:val="2A2736"/>
          <w:sz w:val="21"/>
          <w:szCs w:val="21"/>
        </w:rPr>
        <w:t>.</w:t>
      </w:r>
    </w:p>
    <w:p w14:paraId="13336DFF" w14:textId="1BC9BDD9" w:rsidR="00170651" w:rsidRPr="0092449E" w:rsidRDefault="00170651" w:rsidP="00CA5E54">
      <w:pPr>
        <w:pStyle w:val="Body"/>
        <w:rPr>
          <w:rFonts w:cs="Arial"/>
          <w:szCs w:val="21"/>
          <w:highlight w:val="yellow"/>
        </w:rPr>
      </w:pPr>
      <w:r w:rsidRPr="0092449E">
        <w:rPr>
          <w:rFonts w:cs="Arial"/>
          <w:szCs w:val="21"/>
        </w:rPr>
        <w:t>Department of Health and Human Services 2018a, </w:t>
      </w:r>
      <w:r w:rsidR="16635C27" w:rsidRPr="0092449E">
        <w:rPr>
          <w:rFonts w:cs="Arial"/>
          <w:szCs w:val="21"/>
        </w:rPr>
        <w:t>'Survive the heat’</w:t>
      </w:r>
      <w:r w:rsidRPr="0092449E">
        <w:rPr>
          <w:rFonts w:cs="Arial"/>
          <w:szCs w:val="21"/>
        </w:rPr>
        <w:t xml:space="preserve">, </w:t>
      </w:r>
      <w:r w:rsidR="16635C27" w:rsidRPr="0092449E">
        <w:rPr>
          <w:rFonts w:cs="Arial"/>
          <w:szCs w:val="21"/>
        </w:rPr>
        <w:t>State Government of Victoria, Melbourne</w:t>
      </w:r>
      <w:r w:rsidR="005A6E95" w:rsidRPr="0092449E">
        <w:rPr>
          <w:rFonts w:cs="Arial"/>
          <w:szCs w:val="21"/>
        </w:rPr>
        <w:t>.</w:t>
      </w:r>
    </w:p>
    <w:p w14:paraId="370F84D6" w14:textId="1A469B24" w:rsidR="00170651" w:rsidRPr="0092449E" w:rsidRDefault="00170651" w:rsidP="00CA5E54">
      <w:pPr>
        <w:pStyle w:val="Body"/>
        <w:rPr>
          <w:rFonts w:cs="Arial"/>
          <w:szCs w:val="21"/>
        </w:rPr>
      </w:pPr>
      <w:r w:rsidRPr="0092449E">
        <w:rPr>
          <w:rFonts w:cs="Arial"/>
          <w:szCs w:val="21"/>
        </w:rPr>
        <w:t xml:space="preserve">Department of Health and Human Services 2018b, </w:t>
      </w:r>
      <w:r w:rsidR="7263C434" w:rsidRPr="0092449E">
        <w:rPr>
          <w:rFonts w:cs="Arial"/>
          <w:szCs w:val="21"/>
        </w:rPr>
        <w:t>‘</w:t>
      </w:r>
      <w:r w:rsidRPr="0092449E">
        <w:rPr>
          <w:rFonts w:cs="Arial"/>
          <w:szCs w:val="21"/>
        </w:rPr>
        <w:t>Heat health alerts</w:t>
      </w:r>
      <w:r w:rsidR="150409E7" w:rsidRPr="0092449E">
        <w:rPr>
          <w:rFonts w:cs="Arial"/>
          <w:szCs w:val="21"/>
        </w:rPr>
        <w:t>’,</w:t>
      </w:r>
      <w:r w:rsidRPr="0092449E">
        <w:rPr>
          <w:rFonts w:cs="Arial"/>
          <w:szCs w:val="21"/>
        </w:rPr>
        <w:t xml:space="preserve"> State Government of Victoria, Melbourne.</w:t>
      </w:r>
    </w:p>
    <w:p w14:paraId="6967DE3B" w14:textId="5AB73B43" w:rsidR="00170651" w:rsidRPr="0092449E" w:rsidRDefault="00170651" w:rsidP="00CA5E54">
      <w:pPr>
        <w:pStyle w:val="NormalWeb"/>
        <w:shd w:val="clear" w:color="auto" w:fill="FFFFFF" w:themeFill="background1"/>
        <w:spacing w:before="0" w:beforeAutospacing="0" w:after="120" w:afterAutospacing="0" w:line="280" w:lineRule="atLeast"/>
        <w:rPr>
          <w:rStyle w:val="Hyperlink"/>
          <w:rFonts w:ascii="Arial" w:eastAsia="MS Gothic" w:hAnsi="Arial" w:cs="Arial"/>
          <w:sz w:val="21"/>
          <w:szCs w:val="21"/>
        </w:rPr>
      </w:pPr>
      <w:r w:rsidRPr="0092449E">
        <w:rPr>
          <w:rFonts w:ascii="Arial" w:hAnsi="Arial" w:cs="Arial"/>
          <w:color w:val="313131"/>
          <w:sz w:val="21"/>
          <w:szCs w:val="21"/>
        </w:rPr>
        <w:lastRenderedPageBreak/>
        <w:t xml:space="preserve">Department of Industry and Science 2014, Caitlin McGee 2020, </w:t>
      </w:r>
      <w:r w:rsidR="42CAA73F" w:rsidRPr="0092449E">
        <w:rPr>
          <w:rFonts w:ascii="Arial" w:hAnsi="Arial" w:cs="Arial"/>
          <w:color w:val="313131"/>
          <w:sz w:val="21"/>
          <w:szCs w:val="21"/>
        </w:rPr>
        <w:t>‘</w:t>
      </w:r>
      <w:r w:rsidRPr="0092449E">
        <w:rPr>
          <w:rFonts w:ascii="Arial" w:hAnsi="Arial" w:cs="Arial"/>
          <w:color w:val="2A2736"/>
          <w:sz w:val="21"/>
          <w:szCs w:val="21"/>
        </w:rPr>
        <w:t>Australia’s Guide to Environmentally Sustainable Homes</w:t>
      </w:r>
      <w:r w:rsidR="6EBCB2A5" w:rsidRPr="0092449E">
        <w:rPr>
          <w:rFonts w:ascii="Arial" w:hAnsi="Arial" w:cs="Arial"/>
          <w:color w:val="2A2736"/>
          <w:sz w:val="21"/>
          <w:szCs w:val="21"/>
        </w:rPr>
        <w:t>’</w:t>
      </w:r>
      <w:r w:rsidRPr="0092449E">
        <w:rPr>
          <w:rFonts w:ascii="Arial" w:hAnsi="Arial" w:cs="Arial"/>
          <w:color w:val="2A2736"/>
          <w:sz w:val="21"/>
          <w:szCs w:val="21"/>
        </w:rPr>
        <w:t xml:space="preserve">, Commonwealth Government of Australia, Canberra </w:t>
      </w:r>
      <w:r w:rsidR="001F3ADD" w:rsidRPr="0092449E">
        <w:rPr>
          <w:rFonts w:ascii="Arial" w:hAnsi="Arial" w:cs="Arial"/>
          <w:color w:val="2A2736"/>
          <w:sz w:val="21"/>
          <w:szCs w:val="21"/>
        </w:rPr>
        <w:t>(</w:t>
      </w:r>
      <w:r w:rsidR="068F3072" w:rsidRPr="0092449E">
        <w:rPr>
          <w:rFonts w:ascii="Arial" w:hAnsi="Arial" w:cs="Arial"/>
          <w:color w:val="2A2736"/>
          <w:sz w:val="21"/>
          <w:szCs w:val="21"/>
        </w:rPr>
        <w:t>v</w:t>
      </w:r>
      <w:r w:rsidRPr="0092449E">
        <w:rPr>
          <w:rFonts w:ascii="Arial" w:hAnsi="Arial" w:cs="Arial"/>
          <w:color w:val="2A2736"/>
          <w:sz w:val="21"/>
          <w:szCs w:val="21"/>
        </w:rPr>
        <w:t>iewed</w:t>
      </w:r>
      <w:r w:rsidR="42C33C4B" w:rsidRPr="0092449E">
        <w:rPr>
          <w:rFonts w:ascii="Arial" w:hAnsi="Arial" w:cs="Arial"/>
          <w:color w:val="2A2736"/>
          <w:sz w:val="21"/>
          <w:szCs w:val="21"/>
        </w:rPr>
        <w:t xml:space="preserve"> on</w:t>
      </w:r>
      <w:r w:rsidRPr="0092449E">
        <w:rPr>
          <w:rFonts w:ascii="Arial" w:hAnsi="Arial" w:cs="Arial"/>
          <w:color w:val="2A2736"/>
          <w:sz w:val="21"/>
          <w:szCs w:val="21"/>
        </w:rPr>
        <w:t xml:space="preserve"> 21 September 2022</w:t>
      </w:r>
      <w:r w:rsidR="276FFAA2" w:rsidRPr="0092449E">
        <w:rPr>
          <w:rFonts w:ascii="Arial" w:hAnsi="Arial" w:cs="Arial"/>
          <w:color w:val="2A2736"/>
          <w:sz w:val="21"/>
          <w:szCs w:val="21"/>
        </w:rPr>
        <w:t>)</w:t>
      </w:r>
      <w:hyperlink r:id="rId35" w:history="1"/>
      <w:r w:rsidR="015D5140" w:rsidRPr="0092449E">
        <w:rPr>
          <w:rStyle w:val="Hyperlink"/>
          <w:rFonts w:ascii="Arial" w:eastAsia="MS Gothic" w:hAnsi="Arial" w:cs="Arial"/>
          <w:color w:val="auto"/>
          <w:sz w:val="21"/>
          <w:szCs w:val="21"/>
          <w:u w:val="none"/>
        </w:rPr>
        <w:t>.</w:t>
      </w:r>
    </w:p>
    <w:p w14:paraId="776E010F" w14:textId="77777777" w:rsidR="00943792" w:rsidRPr="0092449E" w:rsidRDefault="00170651" w:rsidP="00CA5E54">
      <w:pPr>
        <w:pStyle w:val="CommentText"/>
        <w:rPr>
          <w:rFonts w:cs="Arial"/>
          <w:color w:val="313131"/>
          <w:szCs w:val="21"/>
          <w:lang w:eastAsia="en-AU"/>
        </w:rPr>
      </w:pPr>
      <w:r w:rsidRPr="0092449E">
        <w:rPr>
          <w:rFonts w:cs="Arial"/>
          <w:color w:val="313131"/>
          <w:szCs w:val="21"/>
          <w:lang w:eastAsia="en-AU"/>
        </w:rPr>
        <w:t xml:space="preserve">D'Souza RM, Becker NG, Hall G, Moodie KB. </w:t>
      </w:r>
      <w:r w:rsidR="4A670442" w:rsidRPr="0092449E">
        <w:rPr>
          <w:rFonts w:cs="Arial"/>
          <w:color w:val="313131"/>
          <w:szCs w:val="21"/>
          <w:lang w:eastAsia="en-AU"/>
        </w:rPr>
        <w:t>‘</w:t>
      </w:r>
      <w:r w:rsidRPr="0092449E">
        <w:rPr>
          <w:rFonts w:cs="Arial"/>
          <w:color w:val="313131"/>
          <w:szCs w:val="21"/>
          <w:lang w:eastAsia="en-AU"/>
        </w:rPr>
        <w:t>Does ambient temperature affect foodborne disease?</w:t>
      </w:r>
      <w:r w:rsidR="2418CEFF" w:rsidRPr="0092449E">
        <w:rPr>
          <w:rFonts w:cs="Arial"/>
          <w:color w:val="313131"/>
          <w:szCs w:val="21"/>
          <w:lang w:eastAsia="en-AU"/>
        </w:rPr>
        <w:t>’</w:t>
      </w:r>
      <w:r w:rsidRPr="0092449E">
        <w:rPr>
          <w:rFonts w:cs="Arial"/>
          <w:color w:val="313131"/>
          <w:szCs w:val="21"/>
          <w:lang w:eastAsia="en-AU"/>
        </w:rPr>
        <w:t xml:space="preserve"> Epidemiology. 2004 Jan;15(1):86-92.</w:t>
      </w:r>
    </w:p>
    <w:p w14:paraId="40ABA7D5" w14:textId="609EB341"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enHealth 2012, </w:t>
      </w:r>
      <w:r w:rsidR="0FBAB346" w:rsidRPr="0092449E">
        <w:rPr>
          <w:rFonts w:ascii="Arial" w:hAnsi="Arial" w:cs="Arial"/>
          <w:color w:val="2A2736"/>
          <w:sz w:val="21"/>
          <w:szCs w:val="21"/>
        </w:rPr>
        <w:t>‘</w:t>
      </w:r>
      <w:r w:rsidRPr="0092449E">
        <w:rPr>
          <w:rFonts w:ascii="Arial" w:hAnsi="Arial" w:cs="Arial"/>
          <w:color w:val="2A2736"/>
          <w:sz w:val="21"/>
          <w:szCs w:val="21"/>
        </w:rPr>
        <w:t>Australian exposure factor guidance: guidelines for assessing human health risks from environmental hazards</w:t>
      </w:r>
      <w:r w:rsidR="79D41E74" w:rsidRPr="0092449E">
        <w:rPr>
          <w:rFonts w:ascii="Arial" w:hAnsi="Arial" w:cs="Arial"/>
          <w:color w:val="2A2736"/>
          <w:sz w:val="21"/>
          <w:szCs w:val="21"/>
        </w:rPr>
        <w:t>’</w:t>
      </w:r>
      <w:r w:rsidRPr="0092449E">
        <w:rPr>
          <w:rFonts w:ascii="Arial" w:hAnsi="Arial" w:cs="Arial"/>
          <w:color w:val="2A2736"/>
          <w:sz w:val="21"/>
          <w:szCs w:val="21"/>
        </w:rPr>
        <w:t>, Commonwealth Government of Australia, Canberra.</w:t>
      </w:r>
    </w:p>
    <w:p w14:paraId="14525DDD" w14:textId="47338568"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Environment Protection Authority Victoria 2018, </w:t>
      </w:r>
      <w:r w:rsidR="50EC6DD0" w:rsidRPr="0092449E">
        <w:rPr>
          <w:rFonts w:ascii="Arial" w:hAnsi="Arial" w:cs="Arial"/>
          <w:color w:val="2A2736"/>
          <w:sz w:val="21"/>
          <w:szCs w:val="21"/>
        </w:rPr>
        <w:t>‘</w:t>
      </w:r>
      <w:r w:rsidRPr="0092449E">
        <w:rPr>
          <w:rFonts w:ascii="Arial" w:hAnsi="Arial" w:cs="Arial"/>
          <w:color w:val="2A2736"/>
          <w:sz w:val="21"/>
          <w:szCs w:val="21"/>
        </w:rPr>
        <w:t>Air pollution in Victoria: a summary of the state of knowledge</w:t>
      </w:r>
      <w:r w:rsidR="4B94B2B8" w:rsidRPr="0092449E">
        <w:rPr>
          <w:rFonts w:ascii="Arial" w:hAnsi="Arial" w:cs="Arial"/>
          <w:color w:val="2A2736"/>
          <w:sz w:val="21"/>
          <w:szCs w:val="21"/>
        </w:rPr>
        <w:t>’</w:t>
      </w:r>
      <w:r w:rsidRPr="0092449E">
        <w:rPr>
          <w:rFonts w:ascii="Arial" w:hAnsi="Arial" w:cs="Arial"/>
          <w:color w:val="2A2736"/>
          <w:sz w:val="21"/>
          <w:szCs w:val="21"/>
        </w:rPr>
        <w:t xml:space="preserve"> August 2018, Environment Protection Authority Victoria, Melbourne</w:t>
      </w:r>
      <w:r w:rsidR="00EC1514" w:rsidRPr="0092449E">
        <w:rPr>
          <w:rFonts w:ascii="Arial" w:hAnsi="Arial" w:cs="Arial"/>
          <w:color w:val="2A2736"/>
          <w:sz w:val="21"/>
          <w:szCs w:val="21"/>
        </w:rPr>
        <w:t>.</w:t>
      </w:r>
    </w:p>
    <w:p w14:paraId="36E7A5B4" w14:textId="4D785579"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Environment Protection Authority Victoria 2020, </w:t>
      </w:r>
      <w:r w:rsidR="5BCFCA8B" w:rsidRPr="0092449E">
        <w:rPr>
          <w:rFonts w:ascii="Arial" w:hAnsi="Arial" w:cs="Arial"/>
          <w:color w:val="2A2736"/>
          <w:sz w:val="21"/>
          <w:szCs w:val="21"/>
        </w:rPr>
        <w:t>‘</w:t>
      </w:r>
      <w:r w:rsidRPr="0092449E">
        <w:rPr>
          <w:rFonts w:ascii="Arial" w:hAnsi="Arial" w:cs="Arial"/>
          <w:color w:val="2A2736"/>
          <w:sz w:val="21"/>
          <w:szCs w:val="21"/>
        </w:rPr>
        <w:t>Air monitoring report 2019 – Compliance with the National Environment Protection (Ambient Air Quality) Measure</w:t>
      </w:r>
      <w:r w:rsidR="504BAF00" w:rsidRPr="0092449E">
        <w:rPr>
          <w:rFonts w:ascii="Arial" w:hAnsi="Arial" w:cs="Arial"/>
          <w:color w:val="2A2736"/>
          <w:sz w:val="21"/>
          <w:szCs w:val="21"/>
        </w:rPr>
        <w:t>’</w:t>
      </w:r>
      <w:r w:rsidRPr="0092449E">
        <w:rPr>
          <w:rFonts w:ascii="Arial" w:hAnsi="Arial" w:cs="Arial"/>
          <w:color w:val="2A2736"/>
          <w:sz w:val="21"/>
          <w:szCs w:val="21"/>
        </w:rPr>
        <w:t>, Publication 1875</w:t>
      </w:r>
      <w:r w:rsidR="001F3ADD" w:rsidRPr="0092449E">
        <w:rPr>
          <w:rFonts w:ascii="Arial" w:hAnsi="Arial" w:cs="Arial"/>
          <w:color w:val="2A2736"/>
          <w:sz w:val="21"/>
          <w:szCs w:val="21"/>
        </w:rPr>
        <w:t>,</w:t>
      </w:r>
      <w:r w:rsidRPr="0092449E">
        <w:rPr>
          <w:rFonts w:ascii="Arial" w:hAnsi="Arial" w:cs="Arial"/>
          <w:color w:val="2A2736"/>
          <w:sz w:val="21"/>
          <w:szCs w:val="21"/>
        </w:rPr>
        <w:t xml:space="preserve"> August 2020, Environment Protection Authority Victoria, Melbourne</w:t>
      </w:r>
      <w:r w:rsidR="00897A54" w:rsidRPr="0092449E">
        <w:rPr>
          <w:rFonts w:ascii="Arial" w:hAnsi="Arial" w:cs="Arial"/>
          <w:color w:val="2A2736"/>
          <w:sz w:val="21"/>
          <w:szCs w:val="21"/>
        </w:rPr>
        <w:t>.</w:t>
      </w:r>
    </w:p>
    <w:p w14:paraId="6FCCA9A1" w14:textId="51FBBBC5" w:rsidR="00170651" w:rsidRPr="0092449E" w:rsidRDefault="00170651" w:rsidP="00CA5E54">
      <w:pPr>
        <w:pStyle w:val="CommentText"/>
        <w:rPr>
          <w:rFonts w:eastAsia="Times" w:cs="Arial"/>
          <w:szCs w:val="21"/>
        </w:rPr>
      </w:pPr>
      <w:r w:rsidRPr="0092449E">
        <w:rPr>
          <w:rFonts w:eastAsia="Times" w:cs="Arial"/>
          <w:szCs w:val="21"/>
        </w:rPr>
        <w:t xml:space="preserve">Natural Capital Economics 2018, </w:t>
      </w:r>
      <w:r w:rsidR="387FA83C" w:rsidRPr="0092449E">
        <w:rPr>
          <w:rFonts w:eastAsia="Times" w:cs="Arial"/>
          <w:szCs w:val="21"/>
        </w:rPr>
        <w:t>‘</w:t>
      </w:r>
      <w:r w:rsidRPr="0092449E">
        <w:rPr>
          <w:rFonts w:eastAsia="Times" w:cs="Arial"/>
          <w:szCs w:val="21"/>
        </w:rPr>
        <w:t>Heatwaves in Victoria: a vulnerability assessment</w:t>
      </w:r>
      <w:r w:rsidR="75878499" w:rsidRPr="0092449E">
        <w:rPr>
          <w:rFonts w:eastAsia="Times" w:cs="Arial"/>
          <w:szCs w:val="21"/>
        </w:rPr>
        <w:t>’</w:t>
      </w:r>
      <w:r w:rsidRPr="0092449E">
        <w:rPr>
          <w:rFonts w:eastAsia="Times" w:cs="Arial"/>
          <w:szCs w:val="21"/>
        </w:rPr>
        <w:t xml:space="preserve">, report prepared for Victorian Department of Environment, Land, Water and Planning, Melbourne. </w:t>
      </w:r>
    </w:p>
    <w:p w14:paraId="19946B05" w14:textId="77777777"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Ryd H 1991, 'My home is my castle: psychological perspectives on "sick buildings"', Building and Environment, vol. 26, no. 2.</w:t>
      </w:r>
    </w:p>
    <w:p w14:paraId="6DDA5716" w14:textId="2625DA6B"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State Government of Victoria 2018, </w:t>
      </w:r>
      <w:r w:rsidR="20F8A0E2" w:rsidRPr="0092449E">
        <w:rPr>
          <w:rFonts w:ascii="Arial" w:hAnsi="Arial" w:cs="Arial"/>
          <w:color w:val="2A2736"/>
          <w:sz w:val="21"/>
          <w:szCs w:val="21"/>
        </w:rPr>
        <w:t>‘</w:t>
      </w:r>
      <w:r w:rsidRPr="0092449E">
        <w:rPr>
          <w:rFonts w:ascii="Arial" w:hAnsi="Arial" w:cs="Arial"/>
          <w:color w:val="2A2736"/>
          <w:sz w:val="21"/>
          <w:szCs w:val="21"/>
        </w:rPr>
        <w:t>Gas Safety (Gas Installation) Regulations</w:t>
      </w:r>
      <w:r w:rsidR="6E1C718E" w:rsidRPr="0092449E">
        <w:rPr>
          <w:rFonts w:ascii="Arial" w:hAnsi="Arial" w:cs="Arial"/>
          <w:color w:val="2A2736"/>
          <w:sz w:val="21"/>
          <w:szCs w:val="21"/>
        </w:rPr>
        <w:t>’</w:t>
      </w:r>
      <w:r w:rsidRPr="0092449E">
        <w:rPr>
          <w:rFonts w:ascii="Arial" w:hAnsi="Arial" w:cs="Arial"/>
          <w:color w:val="2A2736"/>
          <w:sz w:val="21"/>
          <w:szCs w:val="21"/>
        </w:rPr>
        <w:t>, State Government of Victoria, Melbourne.</w:t>
      </w:r>
    </w:p>
    <w:p w14:paraId="6C4BD0A4" w14:textId="6AD429E8" w:rsidR="00170651" w:rsidRPr="0092449E" w:rsidRDefault="00170651" w:rsidP="00CA5E54">
      <w:pPr>
        <w:pStyle w:val="Body"/>
        <w:rPr>
          <w:rFonts w:cs="Arial"/>
          <w:szCs w:val="21"/>
        </w:rPr>
      </w:pPr>
      <w:r w:rsidRPr="0092449E">
        <w:rPr>
          <w:rFonts w:cs="Arial"/>
          <w:szCs w:val="21"/>
        </w:rPr>
        <w:t xml:space="preserve">Victorian Council of Social Service 2017, </w:t>
      </w:r>
      <w:r w:rsidR="60A4EB7D" w:rsidRPr="0092449E">
        <w:rPr>
          <w:rFonts w:cs="Arial"/>
          <w:szCs w:val="21"/>
        </w:rPr>
        <w:t>‘</w:t>
      </w:r>
      <w:r w:rsidRPr="0092449E">
        <w:rPr>
          <w:rFonts w:cs="Arial"/>
          <w:szCs w:val="21"/>
        </w:rPr>
        <w:t>Power struggles: everyday battles to stay connected</w:t>
      </w:r>
      <w:r w:rsidR="0F1548A3" w:rsidRPr="0092449E">
        <w:rPr>
          <w:rFonts w:cs="Arial"/>
          <w:szCs w:val="21"/>
        </w:rPr>
        <w:t>’,</w:t>
      </w:r>
      <w:r w:rsidRPr="0092449E">
        <w:rPr>
          <w:rFonts w:cs="Arial"/>
          <w:szCs w:val="21"/>
        </w:rPr>
        <w:t xml:space="preserve"> Victorian Council of Social Service, Melbourne.</w:t>
      </w:r>
    </w:p>
    <w:p w14:paraId="339001EA" w14:textId="1B5DF9B4" w:rsidR="00170651" w:rsidRPr="0092449E" w:rsidRDefault="00170651" w:rsidP="00CA5E54">
      <w:pPr>
        <w:pStyle w:val="NormalWeb"/>
        <w:spacing w:before="0" w:beforeAutospacing="0" w:after="120" w:afterAutospacing="0" w:line="280" w:lineRule="atLeast"/>
        <w:rPr>
          <w:rFonts w:ascii="Arial" w:hAnsi="Arial" w:cs="Arial"/>
          <w:color w:val="2A2736"/>
          <w:sz w:val="21"/>
          <w:szCs w:val="21"/>
          <w:highlight w:val="yellow"/>
        </w:rPr>
      </w:pPr>
      <w:r w:rsidRPr="0092449E">
        <w:rPr>
          <w:rFonts w:ascii="Arial" w:hAnsi="Arial" w:cs="Arial"/>
          <w:color w:val="2A2736"/>
          <w:sz w:val="21"/>
          <w:szCs w:val="21"/>
        </w:rPr>
        <w:t xml:space="preserve">World Health Organization 2018, </w:t>
      </w:r>
      <w:r w:rsidR="06595FD7" w:rsidRPr="0092449E">
        <w:rPr>
          <w:rFonts w:ascii="Arial" w:hAnsi="Arial" w:cs="Arial"/>
          <w:color w:val="2A2736"/>
          <w:sz w:val="21"/>
          <w:szCs w:val="21"/>
        </w:rPr>
        <w:t>‘</w:t>
      </w:r>
      <w:r w:rsidRPr="0092449E">
        <w:rPr>
          <w:rFonts w:ascii="Arial" w:hAnsi="Arial" w:cs="Arial"/>
          <w:color w:val="2A2736"/>
          <w:sz w:val="21"/>
          <w:szCs w:val="21"/>
        </w:rPr>
        <w:t>Housing and health guidelines</w:t>
      </w:r>
      <w:r w:rsidR="21262CF0" w:rsidRPr="0092449E">
        <w:rPr>
          <w:rFonts w:ascii="Arial" w:hAnsi="Arial" w:cs="Arial"/>
          <w:color w:val="2A2736"/>
          <w:sz w:val="21"/>
          <w:szCs w:val="21"/>
        </w:rPr>
        <w:t>’</w:t>
      </w:r>
      <w:r w:rsidRPr="0092449E">
        <w:rPr>
          <w:rFonts w:ascii="Arial" w:hAnsi="Arial" w:cs="Arial"/>
          <w:color w:val="2A2736"/>
          <w:sz w:val="21"/>
          <w:szCs w:val="21"/>
        </w:rPr>
        <w:t>, World Health Organization, Geneva.</w:t>
      </w:r>
    </w:p>
    <w:p w14:paraId="36A63BDC" w14:textId="7C5DFA63" w:rsidR="00170651" w:rsidRPr="0092449E" w:rsidRDefault="00170651" w:rsidP="00CA5E54">
      <w:pPr>
        <w:pStyle w:val="NormalWeb"/>
        <w:spacing w:before="0" w:beforeAutospacing="0" w:after="120" w:afterAutospacing="0" w:line="280" w:lineRule="atLeast"/>
        <w:rPr>
          <w:rFonts w:ascii="Arial" w:hAnsi="Arial" w:cs="Arial"/>
          <w:color w:val="2A2736"/>
          <w:sz w:val="21"/>
          <w:szCs w:val="21"/>
        </w:rPr>
      </w:pPr>
      <w:r w:rsidRPr="0092449E">
        <w:rPr>
          <w:rFonts w:ascii="Arial" w:hAnsi="Arial" w:cs="Arial"/>
          <w:color w:val="2A2736"/>
          <w:sz w:val="21"/>
          <w:szCs w:val="21"/>
        </w:rPr>
        <w:t xml:space="preserve">World Health Organization 2019, </w:t>
      </w:r>
      <w:r w:rsidR="7EDD0C8E" w:rsidRPr="0092449E">
        <w:rPr>
          <w:rFonts w:ascii="Arial" w:hAnsi="Arial" w:cs="Arial"/>
          <w:color w:val="2A2736"/>
          <w:sz w:val="21"/>
          <w:szCs w:val="21"/>
        </w:rPr>
        <w:t>‘</w:t>
      </w:r>
      <w:r w:rsidRPr="0092449E">
        <w:rPr>
          <w:rFonts w:ascii="Arial" w:hAnsi="Arial" w:cs="Arial"/>
          <w:color w:val="2A2736"/>
          <w:sz w:val="21"/>
          <w:szCs w:val="21"/>
        </w:rPr>
        <w:t>Healthy housing – Raising Standards, reducing inequalities</w:t>
      </w:r>
      <w:r w:rsidR="045C080E" w:rsidRPr="0092449E">
        <w:rPr>
          <w:rFonts w:ascii="Arial" w:hAnsi="Arial" w:cs="Arial"/>
          <w:color w:val="2A2736"/>
          <w:sz w:val="21"/>
          <w:szCs w:val="21"/>
        </w:rPr>
        <w:t>’</w:t>
      </w:r>
      <w:r w:rsidRPr="0092449E">
        <w:rPr>
          <w:rFonts w:ascii="Arial" w:hAnsi="Arial" w:cs="Arial"/>
          <w:color w:val="2A2736"/>
          <w:sz w:val="21"/>
          <w:szCs w:val="21"/>
        </w:rPr>
        <w:t>, World Health Organization, Geneva</w:t>
      </w:r>
      <w:r w:rsidR="00EB6A49" w:rsidRPr="0092449E">
        <w:rPr>
          <w:rFonts w:ascii="Arial" w:hAnsi="Arial" w:cs="Arial"/>
          <w:color w:val="2A2736"/>
          <w:sz w:val="21"/>
          <w:szCs w:val="21"/>
        </w:rPr>
        <w:t>.</w:t>
      </w:r>
    </w:p>
    <w:p w14:paraId="543F43A5" w14:textId="77777777" w:rsidR="00360DED" w:rsidRDefault="00360DED">
      <w:pPr>
        <w:spacing w:after="0" w:line="240" w:lineRule="auto"/>
        <w:rPr>
          <w:rFonts w:eastAsia="MS Gothic" w:cs="Arial"/>
          <w:bCs/>
          <w:color w:val="C63663"/>
          <w:kern w:val="32"/>
          <w:sz w:val="44"/>
          <w:szCs w:val="44"/>
        </w:rPr>
      </w:pPr>
      <w:bookmarkStart w:id="42" w:name="_Toc116981362"/>
      <w:r>
        <w:br w:type="page"/>
      </w:r>
    </w:p>
    <w:p w14:paraId="76E12F62" w14:textId="7C7543BB" w:rsidR="009D6347" w:rsidRDefault="009D6347" w:rsidP="009D6347">
      <w:pPr>
        <w:pStyle w:val="Heading1"/>
        <w:spacing w:before="0"/>
      </w:pPr>
      <w:bookmarkStart w:id="43" w:name="_Toc128138643"/>
      <w:r>
        <w:lastRenderedPageBreak/>
        <w:t xml:space="preserve">Chapter </w:t>
      </w:r>
      <w:r w:rsidR="005233A6">
        <w:t>4</w:t>
      </w:r>
      <w:r>
        <w:t xml:space="preserve"> </w:t>
      </w:r>
      <w:r w:rsidR="00743C73">
        <w:t>–</w:t>
      </w:r>
      <w:r>
        <w:t xml:space="preserve"> Water quality </w:t>
      </w:r>
      <w:r w:rsidR="001F0114">
        <w:t xml:space="preserve">and </w:t>
      </w:r>
      <w:r>
        <w:t>safety</w:t>
      </w:r>
      <w:bookmarkEnd w:id="42"/>
      <w:bookmarkEnd w:id="43"/>
    </w:p>
    <w:p w14:paraId="37E3BC83" w14:textId="0F6DB539" w:rsidR="009D6347" w:rsidRPr="003744DA" w:rsidRDefault="009D6347" w:rsidP="009D6347">
      <w:pPr>
        <w:pStyle w:val="Body"/>
        <w:rPr>
          <w:szCs w:val="21"/>
        </w:rPr>
      </w:pPr>
      <w:r w:rsidRPr="003744DA">
        <w:rPr>
          <w:szCs w:val="21"/>
        </w:rPr>
        <w:t xml:space="preserve">The </w:t>
      </w:r>
      <w:r w:rsidRPr="003744DA">
        <w:rPr>
          <w:i/>
          <w:iCs/>
          <w:szCs w:val="21"/>
        </w:rPr>
        <w:t>Safe Drinking Water Act 2003</w:t>
      </w:r>
      <w:r w:rsidRPr="003744DA">
        <w:rPr>
          <w:szCs w:val="21"/>
        </w:rPr>
        <w:t xml:space="preserve"> and the Safe Drinking Water Regulations 2015 provide the framework to ensure</w:t>
      </w:r>
      <w:r w:rsidR="001040C6">
        <w:rPr>
          <w:szCs w:val="21"/>
        </w:rPr>
        <w:t xml:space="preserve"> </w:t>
      </w:r>
      <w:r w:rsidRPr="003744DA">
        <w:rPr>
          <w:szCs w:val="21"/>
        </w:rPr>
        <w:t>drinking water supplied by water agencies is safe and aesthetically pleasant to drink. Safe drinking water is essential for maintaining public health and supporting the health and wellbeing of communities.</w:t>
      </w:r>
    </w:p>
    <w:p w14:paraId="36C3B572" w14:textId="420545C0" w:rsidR="009D6347" w:rsidRPr="003744DA" w:rsidRDefault="00DC091F" w:rsidP="009D6347">
      <w:pPr>
        <w:pStyle w:val="Body"/>
        <w:rPr>
          <w:szCs w:val="21"/>
        </w:rPr>
      </w:pPr>
      <w:r>
        <w:rPr>
          <w:szCs w:val="21"/>
        </w:rPr>
        <w:t>T</w:t>
      </w:r>
      <w:r w:rsidR="009D6347" w:rsidRPr="003744DA">
        <w:rPr>
          <w:szCs w:val="21"/>
        </w:rPr>
        <w:t xml:space="preserve">he </w:t>
      </w:r>
      <w:r w:rsidR="009D6347" w:rsidRPr="003744DA">
        <w:rPr>
          <w:i/>
          <w:iCs/>
          <w:szCs w:val="21"/>
        </w:rPr>
        <w:t>Health (Fluoridation) Act 1973</w:t>
      </w:r>
      <w:r>
        <w:rPr>
          <w:szCs w:val="21"/>
        </w:rPr>
        <w:t xml:space="preserve"> allows</w:t>
      </w:r>
      <w:r w:rsidR="009D6347" w:rsidRPr="003744DA">
        <w:rPr>
          <w:szCs w:val="21"/>
        </w:rPr>
        <w:t xml:space="preserve"> the department </w:t>
      </w:r>
      <w:r>
        <w:rPr>
          <w:szCs w:val="21"/>
        </w:rPr>
        <w:t xml:space="preserve">to </w:t>
      </w:r>
      <w:r w:rsidR="009D6347" w:rsidRPr="003744DA">
        <w:rPr>
          <w:szCs w:val="21"/>
        </w:rPr>
        <w:t>oversee the extension of water fluoridation in Victoria and the compliance of fluoridation plants.</w:t>
      </w:r>
    </w:p>
    <w:p w14:paraId="0D14B7AD" w14:textId="358753D0" w:rsidR="009D6347" w:rsidRPr="003744DA" w:rsidRDefault="009D6347" w:rsidP="009D6347">
      <w:pPr>
        <w:pStyle w:val="Body"/>
        <w:rPr>
          <w:szCs w:val="21"/>
        </w:rPr>
      </w:pPr>
      <w:r w:rsidRPr="003744DA">
        <w:rPr>
          <w:szCs w:val="21"/>
        </w:rPr>
        <w:t>Public aquatic facilities are important for maintaining and promoting active lifestyles and providing health benefits.</w:t>
      </w:r>
      <w:r w:rsidRPr="003744DA">
        <w:rPr>
          <w:rFonts w:ascii="Cambria" w:eastAsia="Cambria" w:hAnsi="Cambria" w:cs="Cambria"/>
          <w:szCs w:val="21"/>
        </w:rPr>
        <w:t xml:space="preserve"> </w:t>
      </w:r>
      <w:r w:rsidRPr="003744DA">
        <w:rPr>
          <w:szCs w:val="21"/>
        </w:rPr>
        <w:t>Public aquatic facilities are regulated under the</w:t>
      </w:r>
      <w:r w:rsidRPr="003744DA">
        <w:rPr>
          <w:rFonts w:ascii="Cambria" w:eastAsia="Cambria" w:hAnsi="Cambria" w:cs="Cambria"/>
          <w:szCs w:val="21"/>
        </w:rPr>
        <w:t xml:space="preserve"> </w:t>
      </w:r>
      <w:bookmarkStart w:id="44" w:name="_Hlk121152377"/>
      <w:r w:rsidR="00C36B2A">
        <w:fldChar w:fldCharType="begin"/>
      </w:r>
      <w:r w:rsidR="00C36B2A">
        <w:instrText xml:space="preserve"> HYPERLINK "https://www.health.vic.gov.au/legislation/public-health-and-wellbeing-act-2008" \h </w:instrText>
      </w:r>
      <w:r w:rsidR="00C36B2A">
        <w:fldChar w:fldCharType="separate"/>
      </w:r>
      <w:r w:rsidRPr="003744DA">
        <w:rPr>
          <w:rStyle w:val="Hyperlink"/>
          <w:rFonts w:eastAsia="Arial" w:cs="Arial"/>
          <w:i/>
          <w:iCs/>
          <w:szCs w:val="21"/>
        </w:rPr>
        <w:t xml:space="preserve">Public Health and Wellbeing Act 2008 </w:t>
      </w:r>
      <w:r w:rsidRPr="003744DA">
        <w:rPr>
          <w:rStyle w:val="Hyperlink"/>
          <w:rFonts w:eastAsia="Arial" w:cs="Arial"/>
          <w:szCs w:val="21"/>
        </w:rPr>
        <w:t>and the Public Health and Wellbeing Regulations 2019</w:t>
      </w:r>
      <w:r w:rsidR="00C36B2A">
        <w:rPr>
          <w:rStyle w:val="Hyperlink"/>
          <w:rFonts w:eastAsia="Arial" w:cs="Arial"/>
          <w:szCs w:val="21"/>
        </w:rPr>
        <w:fldChar w:fldCharType="end"/>
      </w:r>
      <w:bookmarkEnd w:id="44"/>
      <w:r w:rsidRPr="003744DA">
        <w:rPr>
          <w:szCs w:val="21"/>
        </w:rPr>
        <w:t xml:space="preserve">. </w:t>
      </w:r>
      <w:r w:rsidR="00A331E4">
        <w:rPr>
          <w:szCs w:val="21"/>
        </w:rPr>
        <w:t>&lt;</w:t>
      </w:r>
      <w:r w:rsidR="00A331E4" w:rsidRPr="00A331E4">
        <w:rPr>
          <w:szCs w:val="21"/>
        </w:rPr>
        <w:t>https://www.health.vic.gov.au/legislation/public-health-and-wellbeing-act-2008</w:t>
      </w:r>
      <w:r w:rsidR="00A331E4">
        <w:rPr>
          <w:szCs w:val="21"/>
        </w:rPr>
        <w:t>&gt;</w:t>
      </w:r>
    </w:p>
    <w:p w14:paraId="6ED7127B" w14:textId="77777777" w:rsidR="009D6347" w:rsidRDefault="009D6347" w:rsidP="009D6347">
      <w:pPr>
        <w:pStyle w:val="Heading2"/>
      </w:pPr>
      <w:bookmarkStart w:id="45" w:name="_Toc116981363"/>
      <w:r w:rsidRPr="79B937F6">
        <w:rPr>
          <w:rFonts w:eastAsia="Arial" w:cs="Arial"/>
          <w:szCs w:val="32"/>
        </w:rPr>
        <w:t>Safe drinking water</w:t>
      </w:r>
      <w:bookmarkEnd w:id="45"/>
    </w:p>
    <w:p w14:paraId="4BECE016" w14:textId="101D1022" w:rsidR="009D6347" w:rsidRPr="003744DA" w:rsidRDefault="009D6347" w:rsidP="009D6347">
      <w:pPr>
        <w:rPr>
          <w:szCs w:val="21"/>
        </w:rPr>
      </w:pPr>
      <w:r w:rsidRPr="003744DA">
        <w:rPr>
          <w:rFonts w:eastAsia="Arial" w:cs="Arial"/>
          <w:color w:val="2A2736"/>
          <w:szCs w:val="21"/>
        </w:rPr>
        <w:t>Access to safe, good quality drinking water is fundamental to community and individual health and wellbeing.</w:t>
      </w:r>
      <w:r w:rsidRPr="003744DA">
        <w:rPr>
          <w:rFonts w:ascii="Cambria" w:eastAsia="Cambria" w:hAnsi="Cambria" w:cs="Cambria"/>
          <w:color w:val="2A2736"/>
          <w:szCs w:val="21"/>
        </w:rPr>
        <w:t xml:space="preserve"> </w:t>
      </w:r>
      <w:r w:rsidRPr="005E2650">
        <w:rPr>
          <w:rFonts w:eastAsia="Arial" w:cs="Arial"/>
          <w:color w:val="2A2736"/>
          <w:szCs w:val="21"/>
        </w:rPr>
        <w:t xml:space="preserve">In 2019, </w:t>
      </w:r>
      <w:r w:rsidRPr="003744DA">
        <w:rPr>
          <w:rFonts w:eastAsia="Arial" w:cs="Arial"/>
          <w:color w:val="2A2736"/>
          <w:szCs w:val="21"/>
        </w:rPr>
        <w:t xml:space="preserve">Victoria's safe drinking water regulatory framework </w:t>
      </w:r>
      <w:r w:rsidR="001040C6">
        <w:rPr>
          <w:rFonts w:eastAsia="Arial" w:cs="Arial"/>
          <w:color w:val="2A2736"/>
          <w:szCs w:val="21"/>
        </w:rPr>
        <w:t>performed well</w:t>
      </w:r>
      <w:r w:rsidRPr="003744DA">
        <w:rPr>
          <w:rFonts w:eastAsia="Arial" w:cs="Arial"/>
          <w:color w:val="2A2736"/>
          <w:szCs w:val="21"/>
        </w:rPr>
        <w:t>.</w:t>
      </w:r>
    </w:p>
    <w:p w14:paraId="595D78F1" w14:textId="2FB4E2FB" w:rsidR="009D6347" w:rsidRPr="003744DA" w:rsidRDefault="001040C6" w:rsidP="009D6347">
      <w:pPr>
        <w:rPr>
          <w:szCs w:val="21"/>
        </w:rPr>
      </w:pPr>
      <w:r>
        <w:rPr>
          <w:rFonts w:eastAsia="Arial" w:cs="Arial"/>
          <w:color w:val="2A2736"/>
          <w:szCs w:val="21"/>
        </w:rPr>
        <w:t xml:space="preserve">One highlight was the </w:t>
      </w:r>
      <w:r w:rsidRPr="003744DA">
        <w:rPr>
          <w:rFonts w:eastAsia="Arial" w:cs="Arial"/>
          <w:color w:val="2A2736"/>
          <w:szCs w:val="21"/>
        </w:rPr>
        <w:t>Mallee Towns Drinking Water Supply Project</w:t>
      </w:r>
      <w:r>
        <w:rPr>
          <w:rFonts w:eastAsia="Arial" w:cs="Arial"/>
          <w:color w:val="2A2736"/>
          <w:szCs w:val="21"/>
        </w:rPr>
        <w:t xml:space="preserve">. Under the project, </w:t>
      </w:r>
      <w:r w:rsidR="009D6347" w:rsidRPr="003744DA">
        <w:rPr>
          <w:rFonts w:eastAsia="Arial" w:cs="Arial"/>
          <w:color w:val="2A2736"/>
          <w:szCs w:val="21"/>
        </w:rPr>
        <w:t>Grampians Wimmera Mallee Water upgrade</w:t>
      </w:r>
      <w:r>
        <w:rPr>
          <w:rFonts w:eastAsia="Arial" w:cs="Arial"/>
          <w:color w:val="2A2736"/>
          <w:szCs w:val="21"/>
        </w:rPr>
        <w:t>d</w:t>
      </w:r>
      <w:r w:rsidR="009D6347" w:rsidRPr="003744DA">
        <w:rPr>
          <w:rFonts w:eastAsia="Arial" w:cs="Arial"/>
          <w:color w:val="2A2736"/>
          <w:szCs w:val="21"/>
        </w:rPr>
        <w:t xml:space="preserve"> regulated </w:t>
      </w:r>
      <w:r w:rsidR="009D6347">
        <w:rPr>
          <w:rFonts w:eastAsia="Arial" w:cs="Arial"/>
          <w:color w:val="2A2736"/>
          <w:szCs w:val="21"/>
        </w:rPr>
        <w:t xml:space="preserve">(non-potable) </w:t>
      </w:r>
      <w:r w:rsidR="009D6347" w:rsidRPr="003744DA">
        <w:rPr>
          <w:rFonts w:eastAsia="Arial" w:cs="Arial"/>
          <w:color w:val="2A2736"/>
          <w:szCs w:val="21"/>
        </w:rPr>
        <w:t xml:space="preserve">supplies </w:t>
      </w:r>
      <w:r w:rsidR="009D6347">
        <w:rPr>
          <w:rFonts w:eastAsia="Arial" w:cs="Arial"/>
          <w:color w:val="2A2736"/>
          <w:szCs w:val="21"/>
        </w:rPr>
        <w:t xml:space="preserve">to </w:t>
      </w:r>
      <w:r w:rsidR="009D6347" w:rsidRPr="003744DA">
        <w:rPr>
          <w:rFonts w:eastAsia="Arial" w:cs="Arial"/>
          <w:color w:val="2A2736"/>
          <w:szCs w:val="21"/>
        </w:rPr>
        <w:t>Brim, Beulah and Woomelang</w:t>
      </w:r>
      <w:r>
        <w:rPr>
          <w:rFonts w:eastAsia="Arial" w:cs="Arial"/>
          <w:color w:val="2A2736"/>
          <w:szCs w:val="21"/>
        </w:rPr>
        <w:t xml:space="preserve"> </w:t>
      </w:r>
      <w:r w:rsidRPr="003744DA">
        <w:rPr>
          <w:rFonts w:eastAsia="Arial" w:cs="Arial"/>
          <w:color w:val="2A2736"/>
          <w:szCs w:val="21"/>
        </w:rPr>
        <w:t>in August 2019</w:t>
      </w:r>
      <w:r w:rsidR="009D6347" w:rsidRPr="003744DA">
        <w:rPr>
          <w:rFonts w:eastAsia="Arial" w:cs="Arial"/>
          <w:color w:val="2A2736"/>
          <w:szCs w:val="21"/>
        </w:rPr>
        <w:t xml:space="preserve">, returning these </w:t>
      </w:r>
      <w:r w:rsidR="00D561DB">
        <w:rPr>
          <w:rFonts w:eastAsia="Arial" w:cs="Arial"/>
          <w:color w:val="2A2736"/>
          <w:szCs w:val="21"/>
        </w:rPr>
        <w:t>communities</w:t>
      </w:r>
      <w:r>
        <w:rPr>
          <w:rFonts w:eastAsia="Arial" w:cs="Arial"/>
          <w:color w:val="2A2736"/>
          <w:szCs w:val="21"/>
        </w:rPr>
        <w:t xml:space="preserve"> </w:t>
      </w:r>
      <w:r w:rsidR="009D6347" w:rsidRPr="003744DA">
        <w:rPr>
          <w:rFonts w:eastAsia="Arial" w:cs="Arial"/>
          <w:color w:val="2A2736"/>
          <w:szCs w:val="21"/>
        </w:rPr>
        <w:t>to reticulated drinking water.</w:t>
      </w:r>
    </w:p>
    <w:p w14:paraId="71F5A44B" w14:textId="4B79FA72" w:rsidR="009D6347" w:rsidRPr="003744DA" w:rsidRDefault="009D6347" w:rsidP="009D6347">
      <w:pPr>
        <w:rPr>
          <w:szCs w:val="21"/>
        </w:rPr>
      </w:pPr>
      <w:r w:rsidRPr="003744DA">
        <w:rPr>
          <w:rFonts w:eastAsia="Arial" w:cs="Arial"/>
          <w:color w:val="2A2736"/>
          <w:szCs w:val="21"/>
        </w:rPr>
        <w:t xml:space="preserve">Climate change </w:t>
      </w:r>
      <w:r w:rsidR="008167A3">
        <w:rPr>
          <w:rFonts w:eastAsia="Arial" w:cs="Arial"/>
          <w:color w:val="2A2736"/>
          <w:szCs w:val="21"/>
        </w:rPr>
        <w:t xml:space="preserve">is an ongoing challenge because it will deliver </w:t>
      </w:r>
      <w:r w:rsidRPr="003744DA">
        <w:rPr>
          <w:rFonts w:eastAsia="Arial" w:cs="Arial"/>
          <w:color w:val="2A2736"/>
          <w:szCs w:val="21"/>
        </w:rPr>
        <w:t xml:space="preserve">warmer temperatures, </w:t>
      </w:r>
      <w:r w:rsidR="008167A3">
        <w:rPr>
          <w:rFonts w:eastAsia="Arial" w:cs="Arial"/>
          <w:color w:val="2A2736"/>
          <w:szCs w:val="21"/>
        </w:rPr>
        <w:t xml:space="preserve">more </w:t>
      </w:r>
      <w:r w:rsidRPr="003744DA">
        <w:rPr>
          <w:rFonts w:eastAsia="Arial" w:cs="Arial"/>
          <w:color w:val="2A2736"/>
          <w:szCs w:val="21"/>
        </w:rPr>
        <w:t xml:space="preserve">extreme events and alter </w:t>
      </w:r>
      <w:r w:rsidR="008167A3">
        <w:rPr>
          <w:rFonts w:eastAsia="Arial" w:cs="Arial"/>
          <w:color w:val="2A2736"/>
          <w:szCs w:val="21"/>
        </w:rPr>
        <w:t xml:space="preserve">water </w:t>
      </w:r>
      <w:r w:rsidRPr="003744DA">
        <w:rPr>
          <w:rFonts w:eastAsia="Arial" w:cs="Arial"/>
          <w:color w:val="2A2736"/>
          <w:szCs w:val="21"/>
        </w:rPr>
        <w:t>flow regimes</w:t>
      </w:r>
      <w:r w:rsidR="008167A3">
        <w:rPr>
          <w:rFonts w:eastAsia="Arial" w:cs="Arial"/>
          <w:color w:val="2A2736"/>
          <w:szCs w:val="21"/>
        </w:rPr>
        <w:t xml:space="preserve">. These changes will increase the risk of </w:t>
      </w:r>
      <w:r w:rsidRPr="003744DA">
        <w:rPr>
          <w:rFonts w:eastAsia="Arial" w:cs="Arial"/>
          <w:color w:val="2A2736"/>
          <w:szCs w:val="21"/>
        </w:rPr>
        <w:t>harmful algal blooms, floods and bushfires</w:t>
      </w:r>
      <w:r w:rsidR="008167A3">
        <w:rPr>
          <w:rFonts w:eastAsia="Arial" w:cs="Arial"/>
          <w:color w:val="2A2736"/>
          <w:szCs w:val="21"/>
        </w:rPr>
        <w:t xml:space="preserve"> – </w:t>
      </w:r>
      <w:r w:rsidRPr="003744DA">
        <w:rPr>
          <w:rFonts w:eastAsia="Arial" w:cs="Arial"/>
          <w:color w:val="2A2736"/>
          <w:szCs w:val="21"/>
        </w:rPr>
        <w:t>creat</w:t>
      </w:r>
      <w:r w:rsidR="008167A3">
        <w:rPr>
          <w:rFonts w:eastAsia="Arial" w:cs="Arial"/>
          <w:color w:val="2A2736"/>
          <w:szCs w:val="21"/>
        </w:rPr>
        <w:t xml:space="preserve">ing </w:t>
      </w:r>
      <w:r w:rsidRPr="003744DA">
        <w:rPr>
          <w:rFonts w:eastAsia="Arial" w:cs="Arial"/>
          <w:color w:val="2A2736"/>
          <w:szCs w:val="21"/>
        </w:rPr>
        <w:t xml:space="preserve">challenges for </w:t>
      </w:r>
      <w:r w:rsidR="008167A3">
        <w:rPr>
          <w:rFonts w:eastAsia="Arial" w:cs="Arial"/>
          <w:color w:val="2A2736"/>
          <w:szCs w:val="21"/>
        </w:rPr>
        <w:t xml:space="preserve">securing ongoing </w:t>
      </w:r>
      <w:r w:rsidRPr="003744DA">
        <w:rPr>
          <w:rFonts w:eastAsia="Arial" w:cs="Arial"/>
          <w:color w:val="2A2736"/>
          <w:szCs w:val="21"/>
        </w:rPr>
        <w:t xml:space="preserve">drinking water supplies </w:t>
      </w:r>
      <w:r w:rsidR="008167A3">
        <w:rPr>
          <w:rFonts w:eastAsia="Arial" w:cs="Arial"/>
          <w:color w:val="2A2736"/>
          <w:szCs w:val="21"/>
        </w:rPr>
        <w:t xml:space="preserve">that are </w:t>
      </w:r>
      <w:r w:rsidRPr="003744DA">
        <w:rPr>
          <w:rFonts w:eastAsia="Arial" w:cs="Arial"/>
          <w:color w:val="2A2736"/>
          <w:szCs w:val="21"/>
        </w:rPr>
        <w:t>safe and aesthetically acceptable.</w:t>
      </w:r>
    </w:p>
    <w:p w14:paraId="77ACBCEA" w14:textId="3B5DAC4A" w:rsidR="009D6347" w:rsidRPr="003744DA" w:rsidRDefault="008167A3" w:rsidP="009D6347">
      <w:pPr>
        <w:rPr>
          <w:szCs w:val="21"/>
        </w:rPr>
      </w:pPr>
      <w:r>
        <w:rPr>
          <w:rFonts w:eastAsia="Arial" w:cs="Arial"/>
          <w:color w:val="2A2736"/>
          <w:szCs w:val="21"/>
        </w:rPr>
        <w:t>In 2019, t</w:t>
      </w:r>
      <w:r w:rsidR="009D6347" w:rsidRPr="003744DA">
        <w:rPr>
          <w:rFonts w:eastAsia="Arial" w:cs="Arial"/>
          <w:color w:val="2A2736"/>
          <w:szCs w:val="21"/>
        </w:rPr>
        <w:t>he department support</w:t>
      </w:r>
      <w:r>
        <w:rPr>
          <w:rFonts w:eastAsia="Arial" w:cs="Arial"/>
          <w:color w:val="2A2736"/>
          <w:szCs w:val="21"/>
        </w:rPr>
        <w:t>ed</w:t>
      </w:r>
      <w:r w:rsidR="009D6347" w:rsidRPr="003744DA">
        <w:rPr>
          <w:rFonts w:eastAsia="Arial" w:cs="Arial"/>
          <w:color w:val="2A2736"/>
          <w:szCs w:val="21"/>
        </w:rPr>
        <w:t xml:space="preserve"> water agencies responding to drinking water incidents</w:t>
      </w:r>
      <w:r>
        <w:rPr>
          <w:rFonts w:eastAsia="Arial" w:cs="Arial"/>
          <w:color w:val="2A2736"/>
          <w:szCs w:val="21"/>
        </w:rPr>
        <w:t>,</w:t>
      </w:r>
      <w:r w:rsidR="009D6347" w:rsidRPr="003744DA">
        <w:rPr>
          <w:rFonts w:eastAsia="Arial" w:cs="Arial"/>
          <w:color w:val="2A2736"/>
          <w:szCs w:val="21"/>
        </w:rPr>
        <w:t xml:space="preserve"> including:</w:t>
      </w:r>
    </w:p>
    <w:p w14:paraId="38D85DF6" w14:textId="6B349777" w:rsidR="009D6347" w:rsidRPr="003744DA" w:rsidRDefault="008167A3" w:rsidP="009D6347">
      <w:pPr>
        <w:pStyle w:val="Bullet1"/>
      </w:pPr>
      <w:r>
        <w:t xml:space="preserve">The 2019 bushfires. </w:t>
      </w:r>
      <w:r w:rsidR="009D6347" w:rsidRPr="003744DA">
        <w:t xml:space="preserve">During the bushfires, </w:t>
      </w:r>
      <w:r>
        <w:t xml:space="preserve">the department delivered </w:t>
      </w:r>
      <w:r w:rsidR="009D6347" w:rsidRPr="003744DA">
        <w:t>proactive contingency planning and emergency response arrangements</w:t>
      </w:r>
      <w:r>
        <w:t>. In addition,</w:t>
      </w:r>
      <w:r w:rsidR="009D6347" w:rsidRPr="003744DA">
        <w:t xml:space="preserve"> the department</w:t>
      </w:r>
      <w:r>
        <w:t xml:space="preserve"> </w:t>
      </w:r>
      <w:r w:rsidR="009D6347" w:rsidRPr="003744DA">
        <w:t>enabled East Gippsland Water to cart drinking water to Buchan</w:t>
      </w:r>
      <w:r>
        <w:t xml:space="preserve">, maintaining a </w:t>
      </w:r>
      <w:r w:rsidR="009D6347" w:rsidRPr="003744DA">
        <w:t>safe supply of drinking water</w:t>
      </w:r>
      <w:r>
        <w:t xml:space="preserve"> for the community. The department also helped </w:t>
      </w:r>
      <w:r w:rsidR="009D6347" w:rsidRPr="003744DA">
        <w:t>Melbourne Water protect water quality within the Upper Yarra Reservoir from the impact of debris within burnt areas of the catchment.</w:t>
      </w:r>
    </w:p>
    <w:p w14:paraId="5F997112" w14:textId="11FC2F0E" w:rsidR="009D6347" w:rsidRPr="003744DA" w:rsidRDefault="009D6347" w:rsidP="009D6347">
      <w:pPr>
        <w:pStyle w:val="Bullet1"/>
      </w:pPr>
      <w:r w:rsidRPr="003744DA">
        <w:t>Algal blooms within the Goulburn system</w:t>
      </w:r>
      <w:r w:rsidR="008167A3">
        <w:t>. The algal blooms</w:t>
      </w:r>
      <w:r w:rsidRPr="003744DA">
        <w:t xml:space="preserve"> created water treatment challenges at Goulburn Valley Water’s Tatura, Kyabram, Rushworth and Tongala water treatment plants. The ability to operate the water treatment plant at Tongala was affected</w:t>
      </w:r>
      <w:r w:rsidR="008167A3">
        <w:t xml:space="preserve"> and – due to concerns about the removal of microorganisms – </w:t>
      </w:r>
      <w:r w:rsidRPr="003744DA">
        <w:t>Goulburn Valley Water issued a boil water advisory to the township.</w:t>
      </w:r>
    </w:p>
    <w:p w14:paraId="1C939D0D" w14:textId="2268D4D9" w:rsidR="009D6347" w:rsidRPr="003744DA" w:rsidRDefault="009D6347" w:rsidP="009D6347">
      <w:pPr>
        <w:pStyle w:val="Bullet1"/>
      </w:pPr>
      <w:r w:rsidRPr="003744DA">
        <w:t xml:space="preserve">A boil water advisory </w:t>
      </w:r>
      <w:r w:rsidR="008167A3">
        <w:t xml:space="preserve">in Red Cliffs. The boil water advisory </w:t>
      </w:r>
      <w:r w:rsidRPr="003744DA">
        <w:t xml:space="preserve">was issued due </w:t>
      </w:r>
      <w:r w:rsidR="002A74B4">
        <w:t xml:space="preserve">to </w:t>
      </w:r>
      <w:r w:rsidRPr="003744DA">
        <w:t>a blue-green algal bloom in the Murray River</w:t>
      </w:r>
      <w:r w:rsidR="008167A3">
        <w:t>. The algal bloom</w:t>
      </w:r>
      <w:r w:rsidRPr="003744DA">
        <w:t xml:space="preserve"> compromis</w:t>
      </w:r>
      <w:r w:rsidR="008167A3">
        <w:t xml:space="preserve">ed </w:t>
      </w:r>
      <w:r w:rsidRPr="003744DA">
        <w:t>Lower Murray Water’s Red Cliffs water treatment filtration system’s capability to reliably remove microorganisms.</w:t>
      </w:r>
    </w:p>
    <w:p w14:paraId="65FCC992" w14:textId="0B7C108A" w:rsidR="009D6347" w:rsidRDefault="009D6347" w:rsidP="00CA5E54">
      <w:pPr>
        <w:pStyle w:val="Bullet1"/>
        <w:spacing w:after="120"/>
      </w:pPr>
      <w:r w:rsidRPr="003744DA">
        <w:t xml:space="preserve">A boil water advisory </w:t>
      </w:r>
      <w:r w:rsidR="008167A3">
        <w:t xml:space="preserve">in Oxley. The boil water </w:t>
      </w:r>
      <w:r w:rsidRPr="003744DA">
        <w:t xml:space="preserve">was issued to customers in Oxley as a result of </w:t>
      </w:r>
      <w:r w:rsidR="00576011">
        <w:t xml:space="preserve">the </w:t>
      </w:r>
      <w:r w:rsidRPr="003744DA">
        <w:t>inadequate disinfection of drinking water at North East Water’s Oxley water treatment plant.</w:t>
      </w:r>
    </w:p>
    <w:p w14:paraId="4D715C6E" w14:textId="2A644E75" w:rsidR="009D6347" w:rsidRPr="003744DA" w:rsidRDefault="009D6347" w:rsidP="009D6347">
      <w:pPr>
        <w:rPr>
          <w:szCs w:val="21"/>
        </w:rPr>
      </w:pPr>
      <w:r w:rsidRPr="003744DA">
        <w:rPr>
          <w:rFonts w:eastAsia="Arial" w:cs="Arial"/>
          <w:color w:val="2A2736"/>
          <w:szCs w:val="21"/>
        </w:rPr>
        <w:t>The department continued to implement its Better regulatory practice framework</w:t>
      </w:r>
      <w:r w:rsidR="00576011">
        <w:rPr>
          <w:rFonts w:eastAsia="Arial" w:cs="Arial"/>
          <w:color w:val="2A2736"/>
          <w:szCs w:val="21"/>
        </w:rPr>
        <w:t xml:space="preserve">. The framework </w:t>
      </w:r>
      <w:r w:rsidRPr="003744DA">
        <w:rPr>
          <w:rFonts w:eastAsia="Arial" w:cs="Arial"/>
          <w:color w:val="2A2736"/>
          <w:szCs w:val="21"/>
        </w:rPr>
        <w:t xml:space="preserve">encompasses a risk-based approach, </w:t>
      </w:r>
      <w:r w:rsidR="00576011">
        <w:rPr>
          <w:rFonts w:eastAsia="Arial" w:cs="Arial"/>
          <w:color w:val="2A2736"/>
          <w:szCs w:val="21"/>
        </w:rPr>
        <w:t>with the department prov</w:t>
      </w:r>
      <w:r w:rsidR="00B10E15">
        <w:rPr>
          <w:rFonts w:eastAsia="Arial" w:cs="Arial"/>
          <w:color w:val="2A2736"/>
          <w:szCs w:val="21"/>
        </w:rPr>
        <w:t>i</w:t>
      </w:r>
      <w:r w:rsidR="00576011">
        <w:rPr>
          <w:rFonts w:eastAsia="Arial" w:cs="Arial"/>
          <w:color w:val="2A2736"/>
          <w:szCs w:val="21"/>
        </w:rPr>
        <w:t xml:space="preserve">ding regulatory oversight in </w:t>
      </w:r>
      <w:r w:rsidRPr="003744DA">
        <w:rPr>
          <w:rFonts w:eastAsia="Arial" w:cs="Arial"/>
          <w:color w:val="2A2736"/>
          <w:szCs w:val="21"/>
        </w:rPr>
        <w:t>collaborat</w:t>
      </w:r>
      <w:r w:rsidR="00576011">
        <w:rPr>
          <w:rFonts w:eastAsia="Arial" w:cs="Arial"/>
          <w:color w:val="2A2736"/>
          <w:szCs w:val="21"/>
        </w:rPr>
        <w:t xml:space="preserve">ion </w:t>
      </w:r>
      <w:r w:rsidRPr="003744DA">
        <w:rPr>
          <w:rFonts w:eastAsia="Arial" w:cs="Arial"/>
          <w:color w:val="2A2736"/>
          <w:szCs w:val="21"/>
        </w:rPr>
        <w:t>with stakeholders and water agencies.</w:t>
      </w:r>
    </w:p>
    <w:p w14:paraId="10F3C6F9" w14:textId="77777777" w:rsidR="009D6347" w:rsidRDefault="009D6347" w:rsidP="009D6347">
      <w:pPr>
        <w:pStyle w:val="Heading2"/>
      </w:pPr>
      <w:bookmarkStart w:id="46" w:name="_Toc116981364"/>
      <w:r w:rsidRPr="79B937F6">
        <w:rPr>
          <w:rFonts w:eastAsia="Arial" w:cs="Arial"/>
          <w:szCs w:val="32"/>
        </w:rPr>
        <w:lastRenderedPageBreak/>
        <w:t>Water fluoridation</w:t>
      </w:r>
      <w:bookmarkEnd w:id="46"/>
      <w:r w:rsidRPr="79B937F6">
        <w:rPr>
          <w:rFonts w:eastAsia="Arial" w:cs="Arial"/>
          <w:szCs w:val="32"/>
        </w:rPr>
        <w:t xml:space="preserve">  </w:t>
      </w:r>
    </w:p>
    <w:p w14:paraId="7324FE38" w14:textId="77777777" w:rsidR="009D6347" w:rsidRDefault="009D6347" w:rsidP="009D6347">
      <w:pPr>
        <w:pStyle w:val="Body"/>
      </w:pPr>
      <w:r w:rsidRPr="79B937F6">
        <w:t>A person’s oral health is key to their overall general health and wellbeing. Community water fluoridation is the most effective population-wide intervention to prevent tooth decay.</w:t>
      </w:r>
    </w:p>
    <w:p w14:paraId="6D399A49" w14:textId="5C7A4ED0" w:rsidR="009D6347" w:rsidRDefault="009D6347" w:rsidP="009D6347">
      <w:pPr>
        <w:pStyle w:val="Body"/>
      </w:pPr>
      <w:r w:rsidRPr="79B937F6">
        <w:t>Water agencies operating water fluoridation plants undertook a gap analysis of the</w:t>
      </w:r>
      <w:r w:rsidR="00576011">
        <w:t>ir plants’</w:t>
      </w:r>
      <w:r w:rsidRPr="79B937F6">
        <w:t xml:space="preserve"> design, operation and performance against the requirements of the Code of practice for fluoridation of drinking water supplies </w:t>
      </w:r>
      <w:r w:rsidR="00576011">
        <w:t>(</w:t>
      </w:r>
      <w:r w:rsidRPr="79B937F6">
        <w:t>Second edition published in 2018</w:t>
      </w:r>
      <w:r w:rsidR="00576011">
        <w:t>)</w:t>
      </w:r>
      <w:r w:rsidR="002A74B4">
        <w:t>.</w:t>
      </w:r>
    </w:p>
    <w:p w14:paraId="55E0CABE" w14:textId="4DE02995" w:rsidR="009D6347" w:rsidRDefault="009D6347" w:rsidP="009D6347">
      <w:pPr>
        <w:pStyle w:val="Body"/>
      </w:pPr>
      <w:r w:rsidRPr="79B937F6">
        <w:t>The department approved the addition of fluoride to the Kallista drinking water supply</w:t>
      </w:r>
      <w:r w:rsidR="00576011">
        <w:t>. This project</w:t>
      </w:r>
      <w:r w:rsidRPr="79B937F6">
        <w:t xml:space="preserve"> </w:t>
      </w:r>
      <w:r w:rsidR="00576011">
        <w:t xml:space="preserve">delivered for the first time </w:t>
      </w:r>
      <w:r w:rsidRPr="79B937F6">
        <w:t>fluoridated drinking water to approximately 16,000 people in Kallista, Macclesfield, Menzies Creek, Monbulk, The Patch, Avonsleigh, Clematis, Cockatoo, Emerald</w:t>
      </w:r>
      <w:r w:rsidR="00576011">
        <w:t>,</w:t>
      </w:r>
      <w:r w:rsidRPr="79B937F6">
        <w:t xml:space="preserve"> and Gembrook.</w:t>
      </w:r>
    </w:p>
    <w:p w14:paraId="2BCECE57" w14:textId="77777777" w:rsidR="009D6347" w:rsidRDefault="009D6347" w:rsidP="009D6347">
      <w:pPr>
        <w:pStyle w:val="Heading2"/>
      </w:pPr>
      <w:bookmarkStart w:id="47" w:name="_Toc116981365"/>
      <w:r w:rsidRPr="79B937F6">
        <w:rPr>
          <w:rFonts w:eastAsia="Arial" w:cs="Arial"/>
          <w:szCs w:val="32"/>
        </w:rPr>
        <w:t>Aquatic facilities</w:t>
      </w:r>
      <w:bookmarkEnd w:id="47"/>
      <w:r w:rsidRPr="79B937F6">
        <w:rPr>
          <w:rFonts w:eastAsia="Arial" w:cs="Arial"/>
          <w:szCs w:val="32"/>
        </w:rPr>
        <w:t xml:space="preserve"> </w:t>
      </w:r>
    </w:p>
    <w:p w14:paraId="53F2EA74" w14:textId="428AF52F" w:rsidR="00576011" w:rsidRDefault="00576011" w:rsidP="009D6347">
      <w:pPr>
        <w:pStyle w:val="Body"/>
      </w:pPr>
      <w:r>
        <w:t>P</w:t>
      </w:r>
      <w:r w:rsidR="009D6347" w:rsidRPr="79B937F6">
        <w:t xml:space="preserve">ublic aquatic facilities are vital for maintaining and promoting active lifestyles </w:t>
      </w:r>
      <w:r>
        <w:t xml:space="preserve">and </w:t>
      </w:r>
      <w:r w:rsidR="009D6347" w:rsidRPr="79B937F6">
        <w:t>improved health and wellbeing</w:t>
      </w:r>
      <w:r>
        <w:t xml:space="preserve">. However, aquatic </w:t>
      </w:r>
      <w:r w:rsidR="009D6347" w:rsidRPr="79B937F6">
        <w:t xml:space="preserve">facilities have </w:t>
      </w:r>
      <w:r>
        <w:t xml:space="preserve">also </w:t>
      </w:r>
      <w:r w:rsidR="009D6347" w:rsidRPr="79B937F6">
        <w:t xml:space="preserve">been associated with outbreaks of illness. </w:t>
      </w:r>
    </w:p>
    <w:p w14:paraId="37CEA7FD" w14:textId="1B4B59EC" w:rsidR="009D6347" w:rsidRDefault="009D6347" w:rsidP="009D6347">
      <w:pPr>
        <w:pStyle w:val="Body"/>
      </w:pPr>
      <w:r w:rsidRPr="79B937F6">
        <w:t>Aquatic facility users, especially children, can be affected by disease-causing microorganisms that are passed through contaminated pool water</w:t>
      </w:r>
      <w:r w:rsidR="00576011">
        <w:t xml:space="preserve"> and</w:t>
      </w:r>
      <w:r w:rsidRPr="79B937F6">
        <w:t xml:space="preserve"> contaminated surfaces</w:t>
      </w:r>
      <w:r w:rsidR="00576011">
        <w:t xml:space="preserve">, as well as </w:t>
      </w:r>
      <w:r w:rsidRPr="79B937F6">
        <w:t xml:space="preserve">through </w:t>
      </w:r>
      <w:r w:rsidRPr="00112503">
        <w:t>person</w:t>
      </w:r>
      <w:r w:rsidRPr="00112503" w:rsidDel="00D8514F">
        <w:t>-to-</w:t>
      </w:r>
      <w:r w:rsidRPr="00112503">
        <w:t>person</w:t>
      </w:r>
      <w:r w:rsidRPr="79B937F6">
        <w:t xml:space="preserve"> contact.</w:t>
      </w:r>
    </w:p>
    <w:p w14:paraId="090AC42F" w14:textId="49FCB041" w:rsidR="00576011" w:rsidRDefault="009D6347" w:rsidP="009D6347">
      <w:pPr>
        <w:pStyle w:val="Body"/>
      </w:pPr>
      <w:r w:rsidRPr="79B937F6">
        <w:t xml:space="preserve">Outbreaks of illness associated with aquatic facilities, particularly cryptosporidiosis, are expected to increase with climate change </w:t>
      </w:r>
      <w:r w:rsidR="00576011">
        <w:t xml:space="preserve">because </w:t>
      </w:r>
      <w:r w:rsidRPr="79B937F6">
        <w:t xml:space="preserve">patronage increases on hot days. </w:t>
      </w:r>
      <w:r w:rsidR="00576011">
        <w:t>C</w:t>
      </w:r>
      <w:r w:rsidRPr="79B937F6">
        <w:t xml:space="preserve">limate change may also affect the availability of water and energy. </w:t>
      </w:r>
    </w:p>
    <w:p w14:paraId="0E0F5A39" w14:textId="7E029B01" w:rsidR="009D6347" w:rsidRDefault="009D6347" w:rsidP="009D6347">
      <w:pPr>
        <w:pStyle w:val="Body"/>
      </w:pPr>
      <w:r w:rsidRPr="79B937F6">
        <w:t xml:space="preserve">The water restrictions imposed on aquatic facilities during the </w:t>
      </w:r>
      <w:r w:rsidR="00576011">
        <w:t>M</w:t>
      </w:r>
      <w:r w:rsidRPr="79B937F6">
        <w:t xml:space="preserve">illennium drought led the aquatics industry to find novel solutions to conserve water including rainwater for topping up pools and reusing filter-backwash water. These initiatives have the potential to increase public health risk. </w:t>
      </w:r>
    </w:p>
    <w:p w14:paraId="7E04F0DB" w14:textId="45017D0F" w:rsidR="009D6347" w:rsidRDefault="009D6347" w:rsidP="009D6347">
      <w:pPr>
        <w:pStyle w:val="Heading3"/>
      </w:pPr>
      <w:r w:rsidRPr="79B937F6">
        <w:t>Public health and wellbeing regulations</w:t>
      </w:r>
    </w:p>
    <w:p w14:paraId="19448A9F" w14:textId="77777777" w:rsidR="00576011" w:rsidRDefault="009D6347" w:rsidP="009D6347">
      <w:pPr>
        <w:rPr>
          <w:rFonts w:eastAsia="Arial" w:cs="Arial"/>
          <w:color w:val="2A2736"/>
          <w:szCs w:val="21"/>
        </w:rPr>
      </w:pPr>
      <w:r w:rsidRPr="00F45E7B">
        <w:rPr>
          <w:rFonts w:eastAsia="Arial" w:cs="Arial"/>
          <w:color w:val="2A2736"/>
          <w:szCs w:val="21"/>
        </w:rPr>
        <w:t>In 2019</w:t>
      </w:r>
      <w:r w:rsidR="00576011">
        <w:rPr>
          <w:rFonts w:eastAsia="Arial" w:cs="Arial"/>
          <w:color w:val="2A2736"/>
          <w:szCs w:val="21"/>
        </w:rPr>
        <w:t>,</w:t>
      </w:r>
      <w:r w:rsidRPr="00F45E7B">
        <w:rPr>
          <w:rFonts w:eastAsia="Arial" w:cs="Arial"/>
          <w:color w:val="2A2736"/>
          <w:szCs w:val="21"/>
        </w:rPr>
        <w:t xml:space="preserve"> the department reviewed the Public Health and Wellbeing regulations</w:t>
      </w:r>
      <w:r w:rsidR="00576011">
        <w:rPr>
          <w:rFonts w:eastAsia="Arial" w:cs="Arial"/>
          <w:color w:val="2A2736"/>
          <w:szCs w:val="21"/>
        </w:rPr>
        <w:t xml:space="preserve"> (the Sunset Review)</w:t>
      </w:r>
      <w:r w:rsidRPr="00F45E7B">
        <w:rPr>
          <w:rFonts w:eastAsia="Arial" w:cs="Arial"/>
          <w:color w:val="2A2736"/>
          <w:szCs w:val="21"/>
        </w:rPr>
        <w:t>.</w:t>
      </w:r>
      <w:r w:rsidR="00A964D1">
        <w:rPr>
          <w:rFonts w:eastAsia="Arial" w:cs="Arial"/>
          <w:color w:val="2A2736"/>
          <w:szCs w:val="21"/>
        </w:rPr>
        <w:t xml:space="preserve"> </w:t>
      </w:r>
    </w:p>
    <w:p w14:paraId="1E98EB96" w14:textId="1553A5C3" w:rsidR="009D6347" w:rsidRPr="00F45E7B" w:rsidRDefault="00576011" w:rsidP="009D6347">
      <w:pPr>
        <w:rPr>
          <w:szCs w:val="21"/>
        </w:rPr>
      </w:pPr>
      <w:r>
        <w:rPr>
          <w:rFonts w:eastAsia="Arial" w:cs="Arial"/>
          <w:color w:val="2A2736"/>
          <w:szCs w:val="21"/>
        </w:rPr>
        <w:t>T</w:t>
      </w:r>
      <w:r w:rsidR="009247BF">
        <w:rPr>
          <w:rFonts w:eastAsia="Arial" w:cs="Arial"/>
          <w:color w:val="2A2736"/>
          <w:szCs w:val="21"/>
        </w:rPr>
        <w:t>he</w:t>
      </w:r>
      <w:r w:rsidR="009D6347" w:rsidRPr="00F45E7B">
        <w:rPr>
          <w:rFonts w:eastAsia="Arial" w:cs="Arial"/>
          <w:color w:val="2A2736"/>
          <w:szCs w:val="21"/>
        </w:rPr>
        <w:t xml:space="preserve"> </w:t>
      </w:r>
      <w:r>
        <w:rPr>
          <w:rFonts w:eastAsia="Arial" w:cs="Arial"/>
          <w:color w:val="2A2736"/>
          <w:szCs w:val="21"/>
        </w:rPr>
        <w:t xml:space="preserve">purpose of the Sunset Review was </w:t>
      </w:r>
      <w:r w:rsidR="009D6347" w:rsidRPr="00F45E7B">
        <w:rPr>
          <w:rFonts w:eastAsia="Arial" w:cs="Arial"/>
          <w:color w:val="2A2736"/>
          <w:szCs w:val="21"/>
        </w:rPr>
        <w:t xml:space="preserve">to strengthen the aquatic facility regulatory provisions for inclusion in the Public Health and Wellbeing Regulations 2019 </w:t>
      </w:r>
      <w:r>
        <w:rPr>
          <w:rFonts w:eastAsia="Arial" w:cs="Arial"/>
          <w:color w:val="2A2736"/>
          <w:szCs w:val="21"/>
        </w:rPr>
        <w:t xml:space="preserve">and </w:t>
      </w:r>
      <w:r w:rsidR="009D6347" w:rsidRPr="00F45E7B">
        <w:rPr>
          <w:rFonts w:eastAsia="Arial" w:cs="Arial"/>
          <w:color w:val="2A2736"/>
          <w:szCs w:val="21"/>
        </w:rPr>
        <w:t xml:space="preserve">address current and emerging water quality risks to aquatic facilities. </w:t>
      </w:r>
    </w:p>
    <w:p w14:paraId="6B928DDD" w14:textId="1A3E52EC" w:rsidR="009D6347" w:rsidRPr="00F45E7B" w:rsidRDefault="009D6347" w:rsidP="009D6347">
      <w:pPr>
        <w:rPr>
          <w:szCs w:val="21"/>
        </w:rPr>
      </w:pPr>
      <w:r w:rsidRPr="00F45E7B">
        <w:rPr>
          <w:rFonts w:eastAsia="Arial" w:cs="Arial"/>
          <w:color w:val="2A2736"/>
          <w:szCs w:val="21"/>
        </w:rPr>
        <w:t>Key changes to the regulations include</w:t>
      </w:r>
      <w:r w:rsidR="00576011">
        <w:rPr>
          <w:rFonts w:eastAsia="Arial" w:cs="Arial"/>
          <w:color w:val="2A2736"/>
          <w:szCs w:val="21"/>
        </w:rPr>
        <w:t>d</w:t>
      </w:r>
      <w:r w:rsidRPr="00F45E7B">
        <w:rPr>
          <w:rFonts w:eastAsia="Arial" w:cs="Arial"/>
          <w:color w:val="2A2736"/>
          <w:szCs w:val="21"/>
        </w:rPr>
        <w:t>:</w:t>
      </w:r>
    </w:p>
    <w:p w14:paraId="70595636" w14:textId="77777777" w:rsidR="009D6347" w:rsidRPr="00F45E7B" w:rsidRDefault="009D6347" w:rsidP="009D6347">
      <w:pPr>
        <w:pStyle w:val="Bullet1"/>
      </w:pPr>
      <w:r w:rsidRPr="00F45E7B">
        <w:t>broadening the definition of an aquatic facility to include new and emerging aquatic facilities that pose a risk to public health</w:t>
      </w:r>
    </w:p>
    <w:p w14:paraId="2E4D4A6F" w14:textId="7F941861" w:rsidR="009D6347" w:rsidRPr="00F45E7B" w:rsidRDefault="00743C73" w:rsidP="009D6347">
      <w:pPr>
        <w:pStyle w:val="Bullet1"/>
      </w:pPr>
      <w:r>
        <w:t xml:space="preserve">the </w:t>
      </w:r>
      <w:r w:rsidR="009D6347" w:rsidRPr="00F45E7B">
        <w:t>risk-based characterisation of aquatic facilities (category 1 and category 2)</w:t>
      </w:r>
    </w:p>
    <w:p w14:paraId="662D3EB1" w14:textId="4D21206C" w:rsidR="009D6347" w:rsidRPr="00F45E7B" w:rsidRDefault="00576011" w:rsidP="009D6347">
      <w:pPr>
        <w:pStyle w:val="Bullet1"/>
      </w:pPr>
      <w:r>
        <w:t xml:space="preserve">the </w:t>
      </w:r>
      <w:r w:rsidR="009D6347" w:rsidRPr="00F45E7B">
        <w:t>registration of category 1 aquatic facilities with council, commencing 14 December 2020</w:t>
      </w:r>
    </w:p>
    <w:p w14:paraId="70CAF93E" w14:textId="58284FAC" w:rsidR="009D6347" w:rsidRPr="00F45E7B" w:rsidRDefault="00576011" w:rsidP="009D6347">
      <w:pPr>
        <w:pStyle w:val="Bullet1"/>
      </w:pPr>
      <w:r>
        <w:t>em</w:t>
      </w:r>
      <w:r w:rsidR="009D6347" w:rsidRPr="00F45E7B">
        <w:t>power</w:t>
      </w:r>
      <w:r>
        <w:t>ing</w:t>
      </w:r>
      <w:r w:rsidR="009D6347" w:rsidRPr="00F45E7B">
        <w:t xml:space="preserve"> council</w:t>
      </w:r>
      <w:r>
        <w:t>s</w:t>
      </w:r>
      <w:r w:rsidR="009D6347" w:rsidRPr="00F45E7B">
        <w:t xml:space="preserve"> to issue infringement penalties to facilitate compliance </w:t>
      </w:r>
    </w:p>
    <w:p w14:paraId="35C8C3C6" w14:textId="32902C30" w:rsidR="009D6347" w:rsidRPr="00BD0CB7" w:rsidRDefault="00743C73" w:rsidP="009D6347">
      <w:pPr>
        <w:pStyle w:val="Bullet1"/>
        <w:rPr>
          <w:i/>
          <w:iCs/>
        </w:rPr>
      </w:pPr>
      <w:r>
        <w:t xml:space="preserve">the </w:t>
      </w:r>
      <w:r w:rsidR="009D6347" w:rsidRPr="00F45E7B">
        <w:t xml:space="preserve">duty to manage the risks to human health arising from pathogenic microorganisms in the water in accordance with the regulations and the </w:t>
      </w:r>
      <w:r w:rsidR="009D6347" w:rsidRPr="00BD0CB7">
        <w:rPr>
          <w:i/>
          <w:iCs/>
        </w:rPr>
        <w:t>Water quality guidelines for public aquatic facilities</w:t>
      </w:r>
      <w:r w:rsidR="006476AC" w:rsidRPr="00BD0CB7">
        <w:rPr>
          <w:i/>
          <w:iCs/>
        </w:rPr>
        <w:t xml:space="preserve"> </w:t>
      </w:r>
      <w:r w:rsidRPr="00BD0CB7">
        <w:rPr>
          <w:i/>
          <w:iCs/>
        </w:rPr>
        <w:t>–</w:t>
      </w:r>
      <w:r w:rsidR="009D6347" w:rsidRPr="00BD0CB7">
        <w:rPr>
          <w:i/>
          <w:iCs/>
        </w:rPr>
        <w:t xml:space="preserve"> managing public health risks </w:t>
      </w:r>
    </w:p>
    <w:p w14:paraId="720B4D55" w14:textId="77777777" w:rsidR="009D6347" w:rsidRPr="00F45E7B" w:rsidRDefault="009D6347" w:rsidP="009D6347">
      <w:pPr>
        <w:pStyle w:val="Bullet1"/>
      </w:pPr>
      <w:r w:rsidRPr="00F45E7B">
        <w:t>broadening the outbreak response provision for pathogenic microorganisms</w:t>
      </w:r>
    </w:p>
    <w:p w14:paraId="36A29DE1" w14:textId="22FC8A21" w:rsidR="009D6347" w:rsidRPr="00F45E7B" w:rsidRDefault="00743C73" w:rsidP="009D6347">
      <w:pPr>
        <w:pStyle w:val="Bullet1"/>
      </w:pPr>
      <w:r>
        <w:t xml:space="preserve">the </w:t>
      </w:r>
      <w:r w:rsidR="009D6347" w:rsidRPr="00F45E7B">
        <w:t xml:space="preserve">procedure for responding to non-compliance with microbiological parameters. </w:t>
      </w:r>
    </w:p>
    <w:p w14:paraId="178F9F13" w14:textId="21F3C522" w:rsidR="009D6347" w:rsidRDefault="009D6347" w:rsidP="009D6347">
      <w:pPr>
        <w:pStyle w:val="Heading3"/>
      </w:pPr>
      <w:r w:rsidRPr="79B937F6">
        <w:lastRenderedPageBreak/>
        <w:t xml:space="preserve">Water quality guidelines for public aquatic facilities </w:t>
      </w:r>
      <w:r w:rsidR="00743C73">
        <w:t>–</w:t>
      </w:r>
      <w:r w:rsidRPr="79B937F6">
        <w:t xml:space="preserve"> managing public health risks</w:t>
      </w:r>
    </w:p>
    <w:p w14:paraId="7BD669AD" w14:textId="46BBBBE9" w:rsidR="009D6347" w:rsidRDefault="009D6347" w:rsidP="009D6347">
      <w:pPr>
        <w:pStyle w:val="Body"/>
      </w:pPr>
      <w:r w:rsidRPr="79B937F6">
        <w:t xml:space="preserve">The department published </w:t>
      </w:r>
      <w:r w:rsidRPr="00BD0CB7">
        <w:rPr>
          <w:i/>
          <w:iCs/>
        </w:rPr>
        <w:t xml:space="preserve">Water quality guidelines for public aquatic facilities </w:t>
      </w:r>
      <w:r w:rsidR="00743C73" w:rsidRPr="00BD0CB7">
        <w:rPr>
          <w:i/>
          <w:iCs/>
        </w:rPr>
        <w:t>–</w:t>
      </w:r>
      <w:r w:rsidRPr="00BD0CB7">
        <w:rPr>
          <w:i/>
          <w:iCs/>
        </w:rPr>
        <w:t xml:space="preserve"> managing public health risks</w:t>
      </w:r>
      <w:r w:rsidRPr="79B937F6">
        <w:t xml:space="preserve"> to </w:t>
      </w:r>
      <w:r w:rsidR="00743C73">
        <w:t xml:space="preserve">help </w:t>
      </w:r>
      <w:r w:rsidRPr="79B937F6">
        <w:t>organisations and people who operate public aquatic facilities reduce risks to public health. The guidelines also advi</w:t>
      </w:r>
      <w:r w:rsidR="00743C73">
        <w:t>se</w:t>
      </w:r>
      <w:r w:rsidRPr="79B937F6">
        <w:t xml:space="preserve"> local and state government environmental health officers </w:t>
      </w:r>
      <w:r w:rsidR="00743C73">
        <w:t xml:space="preserve">on </w:t>
      </w:r>
      <w:r w:rsidRPr="79B937F6">
        <w:t xml:space="preserve">their regulatory and advisory roles. </w:t>
      </w:r>
      <w:r w:rsidR="00743C73">
        <w:t>In addition, t</w:t>
      </w:r>
      <w:r w:rsidRPr="79B937F6">
        <w:t>he water quality guidelines assist aquatic facilities</w:t>
      </w:r>
      <w:r w:rsidR="002414B2">
        <w:t xml:space="preserve"> </w:t>
      </w:r>
      <w:r w:rsidR="002414B2" w:rsidRPr="00147891">
        <w:t>to</w:t>
      </w:r>
      <w:r w:rsidRPr="79B937F6">
        <w:t xml:space="preserve"> develop their water quality risk management plan to address public health risks relating to water quality</w:t>
      </w:r>
      <w:r w:rsidR="00743C73">
        <w:t>;</w:t>
      </w:r>
      <w:r w:rsidRPr="79B937F6">
        <w:t xml:space="preserve"> describe treatment and monitoring requirements to manage microbial risk</w:t>
      </w:r>
      <w:r w:rsidR="00743C73">
        <w:t>;</w:t>
      </w:r>
      <w:r w:rsidRPr="79B937F6">
        <w:t xml:space="preserve"> provide practical information for operators </w:t>
      </w:r>
      <w:r w:rsidR="00743C73">
        <w:t>(</w:t>
      </w:r>
      <w:r w:rsidRPr="79B937F6">
        <w:t>including a trouble shooting guide</w:t>
      </w:r>
      <w:r w:rsidR="00743C73">
        <w:t>);</w:t>
      </w:r>
      <w:r w:rsidRPr="79B937F6">
        <w:t xml:space="preserve"> provide an inspection checklist</w:t>
      </w:r>
      <w:r w:rsidR="00743C73">
        <w:t>;</w:t>
      </w:r>
      <w:r w:rsidRPr="79B937F6">
        <w:t xml:space="preserve"> and outline healthy swimming practices to maintain water quality and minimise contamination.</w:t>
      </w:r>
    </w:p>
    <w:p w14:paraId="1A9DACBC" w14:textId="0D7D41A8" w:rsidR="009D6347" w:rsidRDefault="009D6347" w:rsidP="009D6347">
      <w:r w:rsidRPr="79B937F6">
        <w:rPr>
          <w:rFonts w:eastAsia="Arial" w:cs="Arial"/>
          <w:b/>
          <w:bCs/>
          <w:color w:val="000000" w:themeColor="text1"/>
          <w:szCs w:val="21"/>
        </w:rPr>
        <w:t xml:space="preserve"> References </w:t>
      </w:r>
    </w:p>
    <w:p w14:paraId="2DF8679D" w14:textId="3E375FA6" w:rsidR="009D6347" w:rsidRPr="00105F7E" w:rsidRDefault="009D6347" w:rsidP="009D6347">
      <w:r w:rsidRPr="00A77A2B">
        <w:rPr>
          <w:rFonts w:eastAsia="Arial" w:cs="Arial"/>
          <w:color w:val="000000" w:themeColor="text1"/>
          <w:szCs w:val="21"/>
        </w:rPr>
        <w:t xml:space="preserve">Drinking water quality annual reports available </w:t>
      </w:r>
      <w:r w:rsidRPr="00D575C3">
        <w:rPr>
          <w:rFonts w:eastAsia="Arial" w:cs="Arial"/>
          <w:color w:val="000000" w:themeColor="text1"/>
          <w:szCs w:val="21"/>
        </w:rPr>
        <w:t xml:space="preserve">at </w:t>
      </w:r>
      <w:bookmarkStart w:id="48" w:name="_Hlk121152415"/>
      <w:r w:rsidR="00C36B2A" w:rsidRPr="00D575C3">
        <w:fldChar w:fldCharType="begin"/>
      </w:r>
      <w:r w:rsidR="00C36B2A" w:rsidRPr="00D575C3">
        <w:instrText xml:space="preserve"> HYPERLINK "https://www.health.vic.gov.au/water/drinking-water-quality-annual-reports" \h </w:instrText>
      </w:r>
      <w:r w:rsidR="00C36B2A" w:rsidRPr="00D575C3">
        <w:fldChar w:fldCharType="separate"/>
      </w:r>
      <w:r w:rsidRPr="00D575C3">
        <w:rPr>
          <w:rStyle w:val="Hyperlink"/>
          <w:rFonts w:eastAsia="Arial" w:cs="Arial"/>
          <w:szCs w:val="21"/>
        </w:rPr>
        <w:t>https://www.health.vic.gov.au/water/drinking-water-quality-annual-reports</w:t>
      </w:r>
      <w:r w:rsidR="00C36B2A" w:rsidRPr="00D575C3">
        <w:rPr>
          <w:rStyle w:val="Hyperlink"/>
          <w:rFonts w:eastAsia="Arial" w:cs="Arial"/>
          <w:szCs w:val="21"/>
        </w:rPr>
        <w:fldChar w:fldCharType="end"/>
      </w:r>
      <w:bookmarkEnd w:id="48"/>
      <w:r w:rsidR="00105F7E" w:rsidRPr="00D575C3">
        <w:rPr>
          <w:rStyle w:val="Hyperlink"/>
          <w:rFonts w:eastAsia="Arial" w:cs="Arial"/>
          <w:szCs w:val="21"/>
        </w:rPr>
        <w:t xml:space="preserve"> </w:t>
      </w:r>
      <w:r w:rsidR="00105F7E" w:rsidRPr="00D575C3">
        <w:rPr>
          <w:rStyle w:val="Hyperlink"/>
          <w:rFonts w:eastAsia="Arial" w:cs="Arial"/>
          <w:szCs w:val="21"/>
          <w:u w:val="none"/>
        </w:rPr>
        <w:t xml:space="preserve"> </w:t>
      </w:r>
      <w:r w:rsidR="00105F7E" w:rsidRPr="00105F7E">
        <w:rPr>
          <w:rStyle w:val="Hyperlink"/>
          <w:rFonts w:eastAsia="Arial" w:cs="Arial"/>
          <w:color w:val="auto"/>
          <w:szCs w:val="21"/>
          <w:u w:val="none"/>
        </w:rPr>
        <w:t>&lt;https://www.health.vic.gov.au/water/drinking-water-quality-annual-reports</w:t>
      </w:r>
      <w:r w:rsidR="00105F7E">
        <w:rPr>
          <w:rStyle w:val="Hyperlink"/>
          <w:rFonts w:eastAsia="Arial" w:cs="Arial"/>
          <w:color w:val="auto"/>
          <w:szCs w:val="21"/>
          <w:u w:val="none"/>
        </w:rPr>
        <w:t>&gt;</w:t>
      </w:r>
      <w:r w:rsidR="002A60D2">
        <w:rPr>
          <w:rStyle w:val="Hyperlink"/>
          <w:rFonts w:eastAsia="Arial" w:cs="Arial"/>
          <w:color w:val="auto"/>
          <w:szCs w:val="21"/>
          <w:u w:val="none"/>
        </w:rPr>
        <w:t>.</w:t>
      </w:r>
    </w:p>
    <w:p w14:paraId="2FC52410" w14:textId="3E281E2D" w:rsidR="009D6347" w:rsidRDefault="009D6347" w:rsidP="002A1848">
      <w:pPr>
        <w:rPr>
          <w:rFonts w:eastAsia="Times"/>
        </w:rPr>
      </w:pPr>
      <w:r w:rsidRPr="79B937F6">
        <w:rPr>
          <w:rFonts w:eastAsia="Arial" w:cs="Arial"/>
          <w:szCs w:val="21"/>
        </w:rPr>
        <w:t xml:space="preserve"> </w:t>
      </w:r>
      <w:r>
        <w:br w:type="page"/>
      </w:r>
    </w:p>
    <w:p w14:paraId="39053681" w14:textId="42D67736" w:rsidR="009D6347" w:rsidRPr="00A71CE4" w:rsidRDefault="009D6347" w:rsidP="009D6347">
      <w:pPr>
        <w:pStyle w:val="Heading1"/>
        <w:spacing w:before="0"/>
      </w:pPr>
      <w:bookmarkStart w:id="49" w:name="_Toc116981366"/>
      <w:bookmarkStart w:id="50" w:name="_Toc128138644"/>
      <w:r>
        <w:lastRenderedPageBreak/>
        <w:t xml:space="preserve">Chapter </w:t>
      </w:r>
      <w:r w:rsidR="005233A6">
        <w:t>5</w:t>
      </w:r>
      <w:r>
        <w:t xml:space="preserve"> </w:t>
      </w:r>
      <w:r w:rsidR="00743C73">
        <w:t>–</w:t>
      </w:r>
      <w:r>
        <w:t xml:space="preserve"> Food safety</w:t>
      </w:r>
      <w:bookmarkEnd w:id="49"/>
      <w:bookmarkEnd w:id="50"/>
      <w:r>
        <w:t xml:space="preserve"> </w:t>
      </w:r>
    </w:p>
    <w:p w14:paraId="458ABD28" w14:textId="6857DD59" w:rsidR="009D7305" w:rsidRDefault="005C5F28" w:rsidP="009872BA">
      <w:pPr>
        <w:pStyle w:val="Body"/>
        <w:rPr>
          <w:szCs w:val="21"/>
        </w:rPr>
      </w:pPr>
      <w:r w:rsidRPr="000F6CBA">
        <w:rPr>
          <w:szCs w:val="21"/>
        </w:rPr>
        <w:t xml:space="preserve">The role of the </w:t>
      </w:r>
      <w:r w:rsidR="005262D2">
        <w:rPr>
          <w:szCs w:val="21"/>
        </w:rPr>
        <w:t xml:space="preserve">department’s </w:t>
      </w:r>
      <w:r w:rsidRPr="000F6CBA">
        <w:rPr>
          <w:szCs w:val="21"/>
        </w:rPr>
        <w:t>Food Safety Unit (FSU) is to</w:t>
      </w:r>
      <w:r w:rsidR="009D7305">
        <w:rPr>
          <w:szCs w:val="21"/>
        </w:rPr>
        <w:t>:</w:t>
      </w:r>
      <w:r w:rsidRPr="000F6CBA">
        <w:rPr>
          <w:szCs w:val="21"/>
        </w:rPr>
        <w:t xml:space="preserve"> protect the community from foodborne illness and food-related harm</w:t>
      </w:r>
      <w:r w:rsidR="009D7305">
        <w:rPr>
          <w:szCs w:val="21"/>
        </w:rPr>
        <w:t>;</w:t>
      </w:r>
      <w:r w:rsidRPr="000F6CBA">
        <w:rPr>
          <w:szCs w:val="21"/>
        </w:rPr>
        <w:t xml:space="preserve"> support public health through strategic regulatory policy development</w:t>
      </w:r>
      <w:r w:rsidR="009D7305">
        <w:rPr>
          <w:szCs w:val="21"/>
        </w:rPr>
        <w:t>;</w:t>
      </w:r>
      <w:r w:rsidRPr="000F6CBA">
        <w:rPr>
          <w:szCs w:val="21"/>
        </w:rPr>
        <w:t xml:space="preserve"> and influence thinking, policy and programs </w:t>
      </w:r>
      <w:r w:rsidR="009D7305">
        <w:rPr>
          <w:szCs w:val="21"/>
        </w:rPr>
        <w:t xml:space="preserve">that create </w:t>
      </w:r>
      <w:r w:rsidRPr="000F6CBA">
        <w:rPr>
          <w:szCs w:val="21"/>
        </w:rPr>
        <w:t xml:space="preserve">a healthier community. </w:t>
      </w:r>
    </w:p>
    <w:p w14:paraId="63D97B31" w14:textId="1D2FF8BB" w:rsidR="005C5F28" w:rsidRPr="000F6CBA" w:rsidRDefault="005C5F28" w:rsidP="009872BA">
      <w:pPr>
        <w:pStyle w:val="Body"/>
        <w:rPr>
          <w:szCs w:val="21"/>
        </w:rPr>
      </w:pPr>
      <w:r w:rsidRPr="000F6CBA">
        <w:rPr>
          <w:szCs w:val="21"/>
        </w:rPr>
        <w:t>The FSU is a multi-disciplinary unit with expertise in food sciences, food technology, microbiology, chemistry, nutrition/dietetics, social science, public health, regulatory policy</w:t>
      </w:r>
      <w:r w:rsidR="009D7305">
        <w:rPr>
          <w:szCs w:val="21"/>
        </w:rPr>
        <w:t>,</w:t>
      </w:r>
      <w:r w:rsidRPr="000F6CBA">
        <w:rPr>
          <w:szCs w:val="21"/>
        </w:rPr>
        <w:t xml:space="preserve"> and environmental health.</w:t>
      </w:r>
      <w:r w:rsidR="009D7305">
        <w:rPr>
          <w:szCs w:val="21"/>
        </w:rPr>
        <w:t xml:space="preserve"> It </w:t>
      </w:r>
      <w:r w:rsidRPr="000F6CBA">
        <w:rPr>
          <w:szCs w:val="21"/>
        </w:rPr>
        <w:t xml:space="preserve">works closely with local councils and peak organisations, Victorian and national food regulators, </w:t>
      </w:r>
      <w:r w:rsidR="009D7305">
        <w:rPr>
          <w:szCs w:val="21"/>
        </w:rPr>
        <w:t xml:space="preserve">as well as </w:t>
      </w:r>
      <w:r w:rsidRPr="000F6CBA">
        <w:rPr>
          <w:szCs w:val="21"/>
        </w:rPr>
        <w:t>a range of public health areas in the department</w:t>
      </w:r>
      <w:r w:rsidR="009D7305">
        <w:rPr>
          <w:szCs w:val="21"/>
        </w:rPr>
        <w:t>. Those departmental public health areas</w:t>
      </w:r>
      <w:r w:rsidRPr="000F6CBA">
        <w:rPr>
          <w:szCs w:val="21"/>
        </w:rPr>
        <w:t xml:space="preserve"> includ</w:t>
      </w:r>
      <w:r w:rsidR="009D7305">
        <w:rPr>
          <w:szCs w:val="21"/>
        </w:rPr>
        <w:t>e</w:t>
      </w:r>
      <w:r w:rsidRPr="000F6CBA">
        <w:rPr>
          <w:szCs w:val="21"/>
        </w:rPr>
        <w:t xml:space="preserve"> </w:t>
      </w:r>
      <w:r w:rsidR="009D7305">
        <w:rPr>
          <w:szCs w:val="21"/>
        </w:rPr>
        <w:t>c</w:t>
      </w:r>
      <w:r w:rsidRPr="000F6CBA">
        <w:rPr>
          <w:szCs w:val="21"/>
        </w:rPr>
        <w:t xml:space="preserve">ommunicable </w:t>
      </w:r>
      <w:r w:rsidR="009D7305">
        <w:rPr>
          <w:szCs w:val="21"/>
        </w:rPr>
        <w:t>d</w:t>
      </w:r>
      <w:r w:rsidRPr="000F6CBA">
        <w:rPr>
          <w:szCs w:val="21"/>
        </w:rPr>
        <w:t>iseases teams and the Office of the Chief Health Officer – especially where outbreaks of illness are suspected to be foodborne.</w:t>
      </w:r>
    </w:p>
    <w:p w14:paraId="304E8880" w14:textId="285085A4" w:rsidR="009D6347" w:rsidRDefault="005C5F28" w:rsidP="009872BA">
      <w:pPr>
        <w:pStyle w:val="Body"/>
        <w:rPr>
          <w:szCs w:val="21"/>
        </w:rPr>
      </w:pPr>
      <w:r w:rsidRPr="000F6CBA">
        <w:rPr>
          <w:szCs w:val="21"/>
        </w:rPr>
        <w:t>Key activities in 2019 include</w:t>
      </w:r>
      <w:r w:rsidR="009D7305">
        <w:rPr>
          <w:szCs w:val="21"/>
        </w:rPr>
        <w:t>d:</w:t>
      </w:r>
      <w:r w:rsidRPr="000F6CBA">
        <w:rPr>
          <w:szCs w:val="21"/>
        </w:rPr>
        <w:t xml:space="preserve"> the advancement of </w:t>
      </w:r>
      <w:r w:rsidR="009D7305">
        <w:rPr>
          <w:szCs w:val="21"/>
        </w:rPr>
        <w:t xml:space="preserve">both </w:t>
      </w:r>
      <w:r w:rsidRPr="000F6CBA">
        <w:rPr>
          <w:szCs w:val="21"/>
        </w:rPr>
        <w:t xml:space="preserve">the National and Victorian Foodborne Illness Reduction </w:t>
      </w:r>
      <w:r w:rsidR="009D7305">
        <w:rPr>
          <w:szCs w:val="21"/>
        </w:rPr>
        <w:t>s</w:t>
      </w:r>
      <w:r w:rsidRPr="000F6CBA">
        <w:rPr>
          <w:szCs w:val="21"/>
        </w:rPr>
        <w:t>trateg</w:t>
      </w:r>
      <w:r w:rsidR="00B24C92">
        <w:rPr>
          <w:szCs w:val="21"/>
        </w:rPr>
        <w:t>ies</w:t>
      </w:r>
      <w:r w:rsidR="008564B6">
        <w:rPr>
          <w:szCs w:val="21"/>
        </w:rPr>
        <w:t xml:space="preserve">; </w:t>
      </w:r>
      <w:r w:rsidRPr="000F6CBA">
        <w:rPr>
          <w:szCs w:val="21"/>
        </w:rPr>
        <w:t>an update on the Anaphylaxis Notification Scheme; and the establishment and commencement of work by the Food Safety Reform Program</w:t>
      </w:r>
      <w:r w:rsidR="009D6347" w:rsidRPr="4501F8E3">
        <w:rPr>
          <w:szCs w:val="21"/>
        </w:rPr>
        <w:t xml:space="preserve">. </w:t>
      </w:r>
      <w:r w:rsidR="00FB4994">
        <w:rPr>
          <w:szCs w:val="21"/>
        </w:rPr>
        <w:t xml:space="preserve">Reporting on the </w:t>
      </w:r>
      <w:r w:rsidR="00FB4994" w:rsidRPr="000F6CBA">
        <w:rPr>
          <w:szCs w:val="21"/>
        </w:rPr>
        <w:t xml:space="preserve">implementation and embedding of the Victorian Kilojoule Labelling Scheme </w:t>
      </w:r>
      <w:r w:rsidR="0011237D">
        <w:rPr>
          <w:szCs w:val="21"/>
        </w:rPr>
        <w:t xml:space="preserve">can be found in </w:t>
      </w:r>
      <w:r w:rsidR="00D9695F">
        <w:rPr>
          <w:szCs w:val="21"/>
        </w:rPr>
        <w:t xml:space="preserve">the Healthy eating section of </w:t>
      </w:r>
      <w:r w:rsidR="009D7305">
        <w:rPr>
          <w:szCs w:val="21"/>
        </w:rPr>
        <w:t>‘</w:t>
      </w:r>
      <w:r w:rsidR="00A11076">
        <w:rPr>
          <w:szCs w:val="21"/>
        </w:rPr>
        <w:t xml:space="preserve">Chapter </w:t>
      </w:r>
      <w:r w:rsidR="005655F6">
        <w:rPr>
          <w:szCs w:val="21"/>
        </w:rPr>
        <w:t>9</w:t>
      </w:r>
      <w:r w:rsidR="009D7305">
        <w:rPr>
          <w:szCs w:val="21"/>
        </w:rPr>
        <w:t xml:space="preserve"> –</w:t>
      </w:r>
      <w:r w:rsidR="005655F6">
        <w:rPr>
          <w:szCs w:val="21"/>
        </w:rPr>
        <w:t xml:space="preserve"> Health</w:t>
      </w:r>
      <w:r w:rsidR="005808CD">
        <w:rPr>
          <w:szCs w:val="21"/>
        </w:rPr>
        <w:t>y</w:t>
      </w:r>
      <w:r w:rsidR="005655F6">
        <w:rPr>
          <w:szCs w:val="21"/>
        </w:rPr>
        <w:t xml:space="preserve"> </w:t>
      </w:r>
      <w:r w:rsidR="005808CD">
        <w:rPr>
          <w:szCs w:val="21"/>
        </w:rPr>
        <w:t>l</w:t>
      </w:r>
      <w:r w:rsidR="005655F6">
        <w:rPr>
          <w:szCs w:val="21"/>
        </w:rPr>
        <w:t>iving</w:t>
      </w:r>
      <w:r w:rsidR="009D7305">
        <w:rPr>
          <w:szCs w:val="21"/>
        </w:rPr>
        <w:t>’</w:t>
      </w:r>
      <w:r w:rsidR="005808CD">
        <w:rPr>
          <w:szCs w:val="21"/>
        </w:rPr>
        <w:t>.</w:t>
      </w:r>
    </w:p>
    <w:p w14:paraId="4FD76001" w14:textId="77777777" w:rsidR="009D6347" w:rsidRDefault="009D6347" w:rsidP="009D6347">
      <w:pPr>
        <w:pStyle w:val="Heading2"/>
      </w:pPr>
      <w:r w:rsidRPr="4C8EF378">
        <w:t>The Australian Foodborne Illness Reduction Strategy 2018-2021</w:t>
      </w:r>
    </w:p>
    <w:p w14:paraId="2B789636" w14:textId="2D8A0E8E" w:rsidR="009D7305" w:rsidRDefault="0061380D" w:rsidP="009872BA">
      <w:pPr>
        <w:pStyle w:val="Body"/>
      </w:pPr>
      <w:r w:rsidRPr="000F6CBA">
        <w:t>In April 2017, the Australia and New Zealand Ministerial Forum on Food Regulation (the Forum) agreed that</w:t>
      </w:r>
      <w:r w:rsidR="009D7305">
        <w:t>, overall,</w:t>
      </w:r>
      <w:r w:rsidRPr="000F6CBA">
        <w:t xml:space="preserve"> the food regulation system </w:t>
      </w:r>
      <w:r w:rsidR="009D7305">
        <w:t>wa</w:t>
      </w:r>
      <w:r w:rsidRPr="000F6CBA">
        <w:t>s producing strong food safety outcomes</w:t>
      </w:r>
      <w:r w:rsidR="009D7305">
        <w:t>. In addition, the Forum</w:t>
      </w:r>
      <w:r w:rsidRPr="000F6CBA">
        <w:t xml:space="preserve"> identified three priority areas for 2018</w:t>
      </w:r>
      <w:r w:rsidR="009D7305">
        <w:t>-</w:t>
      </w:r>
      <w:r w:rsidRPr="000F6CBA">
        <w:t xml:space="preserve">2021 and beyond. </w:t>
      </w:r>
    </w:p>
    <w:p w14:paraId="148AE779" w14:textId="4E988051" w:rsidR="009D6347" w:rsidRDefault="0061380D" w:rsidP="009872BA">
      <w:pPr>
        <w:pStyle w:val="Body"/>
      </w:pPr>
      <w:r w:rsidRPr="000F6CBA">
        <w:t xml:space="preserve">One of these priorities </w:t>
      </w:r>
      <w:r w:rsidR="009D7305">
        <w:t xml:space="preserve">was </w:t>
      </w:r>
      <w:r w:rsidRPr="000F6CBA">
        <w:t xml:space="preserve">to reduce foodborne illness, particularly </w:t>
      </w:r>
      <w:r w:rsidR="009D7305">
        <w:t xml:space="preserve">foodborne illness </w:t>
      </w:r>
      <w:r w:rsidRPr="000F6CBA">
        <w:t xml:space="preserve">related to </w:t>
      </w:r>
      <w:r w:rsidR="009D7305" w:rsidRPr="00B32B8F">
        <w:t>c</w:t>
      </w:r>
      <w:r w:rsidRPr="00B32B8F">
        <w:t>ampylobacter</w:t>
      </w:r>
      <w:r w:rsidRPr="000F6CBA">
        <w:t xml:space="preserve"> and </w:t>
      </w:r>
      <w:r w:rsidR="009D7305" w:rsidRPr="00B32B8F">
        <w:t>s</w:t>
      </w:r>
      <w:r w:rsidRPr="00B32B8F">
        <w:t>almonella</w:t>
      </w:r>
      <w:r w:rsidRPr="000F6CBA">
        <w:t xml:space="preserve">. </w:t>
      </w:r>
      <w:r w:rsidRPr="004A2099">
        <w:t>Forum Ministers – including</w:t>
      </w:r>
      <w:r w:rsidRPr="000F6CBA">
        <w:t xml:space="preserve"> the Victorian Minister for Health and the </w:t>
      </w:r>
      <w:r w:rsidR="009D7305">
        <w:t xml:space="preserve">Victorian </w:t>
      </w:r>
      <w:r w:rsidRPr="000F6CBA">
        <w:t>Minister for Agriculture – requested the development of an Australian strategy, noting that New Zealand had an existing strategy for both pathogens. The</w:t>
      </w:r>
      <w:r w:rsidR="009D7305">
        <w:t xml:space="preserve"> Ministers</w:t>
      </w:r>
      <w:r w:rsidRPr="000F6CBA">
        <w:t xml:space="preserve"> recognised that success requires a concerted national effort, collaboration and partnerships across the food supply chain. The </w:t>
      </w:r>
      <w:r w:rsidRPr="000F6CBA">
        <w:rPr>
          <w:i/>
          <w:iCs/>
        </w:rPr>
        <w:t>Australian Foodborne Illness Reduction Strategy 2018-2021</w:t>
      </w:r>
      <w:r w:rsidRPr="000F6CBA">
        <w:t xml:space="preserve"> was </w:t>
      </w:r>
      <w:r w:rsidR="009D7305">
        <w:t xml:space="preserve">developed and </w:t>
      </w:r>
      <w:r w:rsidRPr="000F6CBA">
        <w:t>endorsed on 29 June 2018</w:t>
      </w:r>
      <w:r w:rsidR="009D6347" w:rsidRPr="4C8EF378">
        <w:t xml:space="preserve">. </w:t>
      </w:r>
    </w:p>
    <w:p w14:paraId="2FDED005" w14:textId="77777777" w:rsidR="009D6347" w:rsidRDefault="009D6347" w:rsidP="009D6347">
      <w:pPr>
        <w:pStyle w:val="Heading2"/>
        <w:rPr>
          <w:sz w:val="30"/>
          <w:szCs w:val="30"/>
        </w:rPr>
      </w:pPr>
      <w:r w:rsidRPr="4C8EF378">
        <w:rPr>
          <w:sz w:val="30"/>
          <w:szCs w:val="30"/>
        </w:rPr>
        <w:t>The Victorian Foodborne Illness Reduction Strategy 2019-2022</w:t>
      </w:r>
    </w:p>
    <w:p w14:paraId="332144C1" w14:textId="04704AD6" w:rsidR="009D7305" w:rsidRDefault="00247A9D" w:rsidP="009872BA">
      <w:pPr>
        <w:pStyle w:val="Body"/>
      </w:pPr>
      <w:r w:rsidRPr="000F6CBA">
        <w:t>With the</w:t>
      </w:r>
      <w:r w:rsidR="009D7305">
        <w:t xml:space="preserve"> </w:t>
      </w:r>
      <w:r w:rsidR="009D7305" w:rsidRPr="000F6CBA">
        <w:rPr>
          <w:i/>
          <w:iCs/>
        </w:rPr>
        <w:t>Australian Foodborne Illness Reduction Strategy 2018-2021</w:t>
      </w:r>
      <w:r w:rsidR="009D7305">
        <w:t xml:space="preserve"> </w:t>
      </w:r>
      <w:r w:rsidRPr="000F6CBA">
        <w:t>endorse</w:t>
      </w:r>
      <w:r w:rsidR="009D7305">
        <w:t>d</w:t>
      </w:r>
      <w:r w:rsidRPr="000F6CBA">
        <w:t xml:space="preserve"> </w:t>
      </w:r>
      <w:r w:rsidR="009D7305">
        <w:t xml:space="preserve">it was timely to update Victoria’s foodborne illness strategy. The </w:t>
      </w:r>
      <w:r w:rsidR="009D7305" w:rsidRPr="000F6CBA">
        <w:rPr>
          <w:i/>
          <w:iCs/>
        </w:rPr>
        <w:t>Victorian Salmonella Strategy 2017-2020</w:t>
      </w:r>
      <w:r w:rsidR="009D7305" w:rsidRPr="000F6CBA">
        <w:t xml:space="preserve"> was </w:t>
      </w:r>
      <w:r w:rsidR="009D7305">
        <w:t xml:space="preserve">already </w:t>
      </w:r>
      <w:r w:rsidR="009D7305" w:rsidRPr="000F6CBA">
        <w:t>in place</w:t>
      </w:r>
      <w:r w:rsidR="009D7305">
        <w:t>, but the department reviewed and updated the state-wide strategy, releasing the</w:t>
      </w:r>
      <w:r w:rsidRPr="000F6CBA">
        <w:t xml:space="preserve"> </w:t>
      </w:r>
      <w:r w:rsidR="009D7305">
        <w:t xml:space="preserve">updated </w:t>
      </w:r>
      <w:r w:rsidRPr="000F6CBA">
        <w:rPr>
          <w:i/>
          <w:iCs/>
        </w:rPr>
        <w:t>Victorian Foodborne Illness Reduction Strategy 2019-2022</w:t>
      </w:r>
      <w:r w:rsidR="009D7305">
        <w:rPr>
          <w:i/>
          <w:iCs/>
        </w:rPr>
        <w:t>.</w:t>
      </w:r>
      <w:r w:rsidRPr="000F6CBA">
        <w:t xml:space="preserve"> </w:t>
      </w:r>
    </w:p>
    <w:p w14:paraId="17B59A7A" w14:textId="3DBEF505" w:rsidR="00247A9D" w:rsidRPr="000F6CBA" w:rsidRDefault="009D7305" w:rsidP="009872BA">
      <w:pPr>
        <w:pStyle w:val="Body"/>
      </w:pPr>
      <w:r>
        <w:t xml:space="preserve">The updated strategy </w:t>
      </w:r>
      <w:r w:rsidR="00247A9D" w:rsidRPr="000F6CBA">
        <w:t xml:space="preserve">is focused on the reduction of foodborne illness arising from </w:t>
      </w:r>
      <w:r w:rsidRPr="008565F7">
        <w:t>s</w:t>
      </w:r>
      <w:r w:rsidR="00247A9D" w:rsidRPr="008565F7">
        <w:t>almonella</w:t>
      </w:r>
      <w:r w:rsidR="00247A9D" w:rsidRPr="000F6CBA">
        <w:t xml:space="preserve"> and </w:t>
      </w:r>
      <w:r w:rsidRPr="008565F7">
        <w:t>c</w:t>
      </w:r>
      <w:r w:rsidR="00247A9D" w:rsidRPr="008565F7">
        <w:t>ampylobacter</w:t>
      </w:r>
      <w:r w:rsidR="00247A9D" w:rsidRPr="000F6CBA">
        <w:t xml:space="preserve">, </w:t>
      </w:r>
      <w:r>
        <w:t xml:space="preserve">and </w:t>
      </w:r>
      <w:r w:rsidR="00247A9D" w:rsidRPr="000F6CBA">
        <w:t>align</w:t>
      </w:r>
      <w:r>
        <w:t>s</w:t>
      </w:r>
      <w:r w:rsidR="00247A9D" w:rsidRPr="000F6CBA">
        <w:t xml:space="preserve"> with the national</w:t>
      </w:r>
      <w:r>
        <w:t xml:space="preserve"> strategy</w:t>
      </w:r>
      <w:r w:rsidR="00247A9D" w:rsidRPr="000F6CBA">
        <w:t xml:space="preserve">. Due to recent outbreaks and higher mortality rate, the Victorian strategy also includes infections with </w:t>
      </w:r>
      <w:r w:rsidRPr="008565F7">
        <w:t>l</w:t>
      </w:r>
      <w:r w:rsidR="00247A9D" w:rsidRPr="008565F7">
        <w:t>isteria spp</w:t>
      </w:r>
      <w:r w:rsidR="00247A9D" w:rsidRPr="000F6CBA">
        <w:t xml:space="preserve">. </w:t>
      </w:r>
    </w:p>
    <w:p w14:paraId="2CF3F7C3" w14:textId="2811F76A" w:rsidR="00247A9D" w:rsidRPr="000F6CBA" w:rsidRDefault="009D7305" w:rsidP="009872BA">
      <w:pPr>
        <w:pStyle w:val="Body"/>
      </w:pPr>
      <w:r>
        <w:t>M</w:t>
      </w:r>
      <w:r w:rsidR="00247A9D" w:rsidRPr="000F6CBA">
        <w:t xml:space="preserve">ore than 200 </w:t>
      </w:r>
      <w:r w:rsidRPr="000F6CBA">
        <w:t xml:space="preserve">common and often preventable </w:t>
      </w:r>
      <w:r w:rsidR="00247A9D" w:rsidRPr="000F6CBA">
        <w:t xml:space="preserve">diseases can be spread through food, </w:t>
      </w:r>
      <w:r>
        <w:t xml:space="preserve">with </w:t>
      </w:r>
      <w:r w:rsidR="00247A9D" w:rsidRPr="000F6CBA">
        <w:t>severe or fatal</w:t>
      </w:r>
      <w:r>
        <w:t xml:space="preserve"> consequences</w:t>
      </w:r>
      <w:r w:rsidR="00247A9D" w:rsidRPr="000F6CBA">
        <w:t xml:space="preserve">. </w:t>
      </w:r>
      <w:r w:rsidR="00773F75">
        <w:t xml:space="preserve">Disease outbreaks </w:t>
      </w:r>
      <w:r w:rsidR="00247A9D" w:rsidRPr="000F6CBA">
        <w:t xml:space="preserve">can </w:t>
      </w:r>
      <w:r w:rsidR="00773F75">
        <w:t xml:space="preserve">create </w:t>
      </w:r>
      <w:r w:rsidR="00247A9D" w:rsidRPr="000F6CBA">
        <w:t>a substantial burden for the economy</w:t>
      </w:r>
      <w:r w:rsidR="00773F75">
        <w:t xml:space="preserve"> and community</w:t>
      </w:r>
      <w:r w:rsidR="00247A9D" w:rsidRPr="000F6CBA">
        <w:t>. Often</w:t>
      </w:r>
      <w:r w:rsidR="00773F75">
        <w:t>,</w:t>
      </w:r>
      <w:r w:rsidR="00247A9D" w:rsidRPr="000F6CBA">
        <w:t xml:space="preserve"> the most serious complications arise in the most vulnerable populations</w:t>
      </w:r>
      <w:r w:rsidR="00773F75">
        <w:t xml:space="preserve"> – </w:t>
      </w:r>
      <w:r w:rsidR="00247A9D" w:rsidRPr="000F6CBA">
        <w:t xml:space="preserve">including children, pregnant women, older </w:t>
      </w:r>
      <w:r w:rsidR="00773F75">
        <w:t xml:space="preserve">people, and </w:t>
      </w:r>
      <w:r w:rsidR="00247A9D" w:rsidRPr="000F6CBA">
        <w:t>people with weakened immune system</w:t>
      </w:r>
      <w:r w:rsidR="00773F75">
        <w:t>s</w:t>
      </w:r>
      <w:r w:rsidR="00247A9D" w:rsidRPr="000F6CBA">
        <w:t xml:space="preserve">. </w:t>
      </w:r>
    </w:p>
    <w:p w14:paraId="2674CB95" w14:textId="1512EA06" w:rsidR="00247A9D" w:rsidRPr="000F6CBA" w:rsidRDefault="00247A9D" w:rsidP="009872BA">
      <w:pPr>
        <w:pStyle w:val="Body"/>
      </w:pPr>
      <w:r w:rsidRPr="00B471C2">
        <w:t>Campylobacter</w:t>
      </w:r>
      <w:r w:rsidR="00773F75">
        <w:t>,</w:t>
      </w:r>
      <w:r w:rsidRPr="000F6CBA">
        <w:t xml:space="preserve"> </w:t>
      </w:r>
      <w:r w:rsidR="00773F75">
        <w:t xml:space="preserve">which </w:t>
      </w:r>
      <w:r w:rsidRPr="000F6CBA">
        <w:t>is the most notified cause of gastroenteritis in Australia</w:t>
      </w:r>
      <w:r w:rsidR="00773F75">
        <w:t xml:space="preserve">, </w:t>
      </w:r>
      <w:r w:rsidRPr="000F6CBA">
        <w:t xml:space="preserve">was the most notified enteric condition in Victoria, with 6,669 notifications received in 2018 and </w:t>
      </w:r>
      <w:r w:rsidRPr="0029779E">
        <w:t>7</w:t>
      </w:r>
      <w:r w:rsidR="00773F75" w:rsidRPr="0029779E">
        <w:t>,</w:t>
      </w:r>
      <w:r w:rsidR="0094304D" w:rsidRPr="0029779E">
        <w:t xml:space="preserve">292 </w:t>
      </w:r>
      <w:r w:rsidRPr="0029779E">
        <w:t>in</w:t>
      </w:r>
      <w:r w:rsidRPr="000F6CBA">
        <w:t xml:space="preserve"> 2019 (</w:t>
      </w:r>
      <w:bookmarkStart w:id="51" w:name="_Hlk122446848"/>
      <w:r w:rsidR="0070592D">
        <w:t xml:space="preserve">Chapter 5, </w:t>
      </w:r>
      <w:bookmarkEnd w:id="51"/>
      <w:r w:rsidRPr="000F6CBA">
        <w:lastRenderedPageBreak/>
        <w:t xml:space="preserve">Table 1). </w:t>
      </w:r>
      <w:r w:rsidRPr="000F6CBA">
        <w:rPr>
          <w:i/>
          <w:iCs/>
        </w:rPr>
        <w:t>Foodborne Illness in Australia – annual incident circa 2010</w:t>
      </w:r>
      <w:r w:rsidRPr="000F6CBA">
        <w:t xml:space="preserve"> estimated the median number of domestically</w:t>
      </w:r>
      <w:r w:rsidR="00773F75">
        <w:t>-</w:t>
      </w:r>
      <w:r w:rsidRPr="000F6CBA">
        <w:t xml:space="preserve">acquired cases of gastroenteritis due to </w:t>
      </w:r>
      <w:r w:rsidR="00773F75" w:rsidRPr="00CF0349">
        <w:t>c</w:t>
      </w:r>
      <w:r w:rsidRPr="00CF0349">
        <w:t>ampylobacter</w:t>
      </w:r>
      <w:r w:rsidRPr="000F6CBA">
        <w:t xml:space="preserve"> in Australia </w:t>
      </w:r>
      <w:r w:rsidR="00773F75">
        <w:t xml:space="preserve">at </w:t>
      </w:r>
      <w:r w:rsidRPr="000F6CBA">
        <w:t>234,000</w:t>
      </w:r>
      <w:r w:rsidR="00773F75">
        <w:t xml:space="preserve">. Of those </w:t>
      </w:r>
      <w:r w:rsidR="00773F75" w:rsidRPr="000F6CBA">
        <w:t>234,000</w:t>
      </w:r>
      <w:r w:rsidR="00773F75">
        <w:t xml:space="preserve"> cases – which </w:t>
      </w:r>
      <w:r w:rsidRPr="000F6CBA">
        <w:t>includ</w:t>
      </w:r>
      <w:r w:rsidR="00773F75">
        <w:t>ed</w:t>
      </w:r>
      <w:r w:rsidRPr="000F6CBA">
        <w:t xml:space="preserve"> 3,200 hospitalisations and three deaths</w:t>
      </w:r>
      <w:r w:rsidR="00773F75">
        <w:t xml:space="preserve"> – 77</w:t>
      </w:r>
      <w:r w:rsidR="00773F75" w:rsidRPr="000F6CBA">
        <w:t xml:space="preserve"> per cent were foodborne. </w:t>
      </w:r>
    </w:p>
    <w:p w14:paraId="69B2E180" w14:textId="24B1E4E1" w:rsidR="00247A9D" w:rsidRPr="0026496B" w:rsidRDefault="00247A9D" w:rsidP="009872BA">
      <w:pPr>
        <w:pStyle w:val="Body"/>
        <w:rPr>
          <w:i/>
          <w:iCs/>
        </w:rPr>
      </w:pPr>
      <w:r w:rsidRPr="000F6CBA">
        <w:t xml:space="preserve">Foodborne disease outbreaks caused by </w:t>
      </w:r>
      <w:r w:rsidR="00773F75" w:rsidRPr="00B0083A">
        <w:t>s</w:t>
      </w:r>
      <w:r w:rsidRPr="00B0083A">
        <w:t>almonella</w:t>
      </w:r>
      <w:r w:rsidRPr="000F6CBA">
        <w:t xml:space="preserve"> in Australia have significantly increased over the past 20 years</w:t>
      </w:r>
      <w:r w:rsidR="00706069">
        <w:t>. C</w:t>
      </w:r>
      <w:r w:rsidRPr="000F6CBA">
        <w:t xml:space="preserve">ompared to similar countries, </w:t>
      </w:r>
      <w:r w:rsidR="00706069">
        <w:t xml:space="preserve">Australia now has </w:t>
      </w:r>
      <w:r w:rsidRPr="000F6CBA">
        <w:t>one of the highest rates</w:t>
      </w:r>
      <w:r w:rsidR="00706069">
        <w:t xml:space="preserve"> of salmonella</w:t>
      </w:r>
      <w:r w:rsidRPr="000F6CBA">
        <w:t xml:space="preserve">. There are an estimated 56,200 cases of salmonellosis </w:t>
      </w:r>
      <w:r w:rsidR="00706069">
        <w:t xml:space="preserve">a </w:t>
      </w:r>
      <w:r w:rsidRPr="000F6CBA">
        <w:t>year, including 2,100 hospitalisations and 15 deaths. In Australia</w:t>
      </w:r>
      <w:r w:rsidR="00706069">
        <w:t>,</w:t>
      </w:r>
      <w:r w:rsidRPr="000F6CBA">
        <w:t xml:space="preserve"> 72 per cent of </w:t>
      </w:r>
      <w:r w:rsidR="00706069" w:rsidRPr="000F6CBA">
        <w:t xml:space="preserve">salmonellosis </w:t>
      </w:r>
      <w:r w:rsidRPr="000F6CBA">
        <w:t>are considered foodborne. In 2018</w:t>
      </w:r>
      <w:r w:rsidR="00706069">
        <w:t>,</w:t>
      </w:r>
      <w:r w:rsidRPr="000F6CBA">
        <w:t xml:space="preserve"> </w:t>
      </w:r>
      <w:r w:rsidR="00706069">
        <w:t xml:space="preserve">Victoria had </w:t>
      </w:r>
      <w:r w:rsidRPr="000F6CBA">
        <w:t>3,075 notifications for salmonellosis</w:t>
      </w:r>
      <w:r w:rsidR="00706069">
        <w:t>, followed by</w:t>
      </w:r>
      <w:r w:rsidRPr="000F6CBA">
        <w:t xml:space="preserve"> </w:t>
      </w:r>
      <w:r w:rsidRPr="001425B1">
        <w:t>3,</w:t>
      </w:r>
      <w:r w:rsidR="009B3C31" w:rsidRPr="001425B1">
        <w:t>198</w:t>
      </w:r>
      <w:r w:rsidR="009B3C31" w:rsidRPr="000F6CBA">
        <w:t xml:space="preserve"> </w:t>
      </w:r>
      <w:r w:rsidRPr="000F6CBA">
        <w:t>in 2019 (</w:t>
      </w:r>
      <w:r w:rsidR="0070592D" w:rsidRPr="0070592D">
        <w:t xml:space="preserve">Chapter 5, </w:t>
      </w:r>
      <w:r w:rsidRPr="000F6CBA">
        <w:t xml:space="preserve">Table 1). </w:t>
      </w:r>
    </w:p>
    <w:p w14:paraId="116DFC4F" w14:textId="745341DE" w:rsidR="009D6347" w:rsidRDefault="00247A9D" w:rsidP="009872BA">
      <w:pPr>
        <w:pStyle w:val="Body"/>
        <w:spacing w:after="240"/>
      </w:pPr>
      <w:r w:rsidRPr="000F6CBA">
        <w:t xml:space="preserve">Almost all cases of listeriosis are foodborne transmissions. In </w:t>
      </w:r>
      <w:r w:rsidR="00706069">
        <w:t xml:space="preserve">2017, </w:t>
      </w:r>
      <w:r w:rsidRPr="000F6CBA">
        <w:t xml:space="preserve">Victoria </w:t>
      </w:r>
      <w:r w:rsidR="00706069">
        <w:t xml:space="preserve">had </w:t>
      </w:r>
      <w:r w:rsidRPr="000F6CBA">
        <w:t xml:space="preserve">151 notifications of </w:t>
      </w:r>
      <w:r w:rsidR="00706069" w:rsidRPr="0026496B">
        <w:t>l</w:t>
      </w:r>
      <w:r w:rsidRPr="0026496B">
        <w:t>isteria monocytogenes</w:t>
      </w:r>
      <w:r w:rsidRPr="000F6CBA">
        <w:t xml:space="preserve"> in food, with 16 reported non-perinatal cases of listeriosis resulting in 14 hospitalisations and two deaths</w:t>
      </w:r>
      <w:r w:rsidR="00706069">
        <w:t xml:space="preserve">. In addition, there were </w:t>
      </w:r>
      <w:r w:rsidRPr="000F6CBA">
        <w:t xml:space="preserve">three perinatal cases, one </w:t>
      </w:r>
      <w:r w:rsidR="00706069">
        <w:t xml:space="preserve">of which </w:t>
      </w:r>
      <w:r w:rsidRPr="000F6CBA">
        <w:t>resul</w:t>
      </w:r>
      <w:r w:rsidR="00706069">
        <w:t>ted</w:t>
      </w:r>
      <w:r w:rsidRPr="000F6CBA">
        <w:t xml:space="preserve"> in foetal death. While the incidence of illness related to </w:t>
      </w:r>
      <w:r w:rsidR="00706069" w:rsidRPr="0026496B">
        <w:t>c</w:t>
      </w:r>
      <w:r w:rsidRPr="0026496B">
        <w:t>ampylobacter</w:t>
      </w:r>
      <w:r w:rsidRPr="000F6CBA">
        <w:t xml:space="preserve"> and </w:t>
      </w:r>
      <w:r w:rsidR="00706069" w:rsidRPr="0026496B">
        <w:t>s</w:t>
      </w:r>
      <w:r w:rsidRPr="0026496B">
        <w:t>almonella</w:t>
      </w:r>
      <w:r w:rsidRPr="000F6CBA">
        <w:t xml:space="preserve"> are considerably higher than </w:t>
      </w:r>
      <w:r w:rsidR="00706069" w:rsidRPr="0026496B">
        <w:t>l</w:t>
      </w:r>
      <w:r w:rsidRPr="0026496B">
        <w:t>isteria</w:t>
      </w:r>
      <w:r w:rsidRPr="000F6CBA">
        <w:t>, case-fatality for listeriosis can be up to 30 per cent for vulnerable populations, compared with much lower rates for mortality attributed to campylobacteriosis and salmonellosis. There were 27 notifications of invasive listeriosis in 2018</w:t>
      </w:r>
      <w:r w:rsidR="00706069">
        <w:t>, followed by</w:t>
      </w:r>
      <w:r w:rsidRPr="000F6CBA">
        <w:t xml:space="preserve"> 12 in 2019 </w:t>
      </w:r>
      <w:r w:rsidR="009D6347" w:rsidRPr="07CD2806">
        <w:t>(</w:t>
      </w:r>
      <w:r w:rsidR="0070592D" w:rsidRPr="0070592D">
        <w:t xml:space="preserve">Chapter 5, </w:t>
      </w:r>
      <w:r w:rsidR="009D6347" w:rsidRPr="07CD2806">
        <w:t xml:space="preserve">Table 1). </w:t>
      </w:r>
    </w:p>
    <w:p w14:paraId="4C971094" w14:textId="286815FC" w:rsidR="00573445" w:rsidRPr="00573445" w:rsidRDefault="0070592D" w:rsidP="00573445">
      <w:pPr>
        <w:rPr>
          <w:rFonts w:eastAsia="Arial" w:cs="Arial"/>
          <w:sz w:val="20"/>
        </w:rPr>
      </w:pPr>
      <w:r>
        <w:rPr>
          <w:rFonts w:eastAsia="Arial" w:cs="Arial"/>
          <w:b/>
          <w:sz w:val="20"/>
        </w:rPr>
        <w:t xml:space="preserve">Chapter 5, </w:t>
      </w:r>
      <w:r w:rsidR="009D6347" w:rsidRPr="001425B1">
        <w:rPr>
          <w:rFonts w:eastAsia="Arial" w:cs="Arial"/>
          <w:b/>
          <w:sz w:val="20"/>
        </w:rPr>
        <w:t>Table</w:t>
      </w:r>
      <w:r w:rsidR="009D6347" w:rsidRPr="4C8EF378">
        <w:rPr>
          <w:rFonts w:eastAsia="Arial" w:cs="Arial"/>
          <w:b/>
          <w:bCs/>
          <w:sz w:val="20"/>
        </w:rPr>
        <w:t xml:space="preserve"> 1</w:t>
      </w:r>
      <w:r w:rsidR="00361D76">
        <w:rPr>
          <w:rFonts w:eastAsia="Arial" w:cs="Arial"/>
          <w:b/>
          <w:bCs/>
          <w:sz w:val="20"/>
        </w:rPr>
        <w:t>.</w:t>
      </w:r>
      <w:r w:rsidR="00361D76" w:rsidRPr="4C8EF378">
        <w:rPr>
          <w:rFonts w:eastAsia="Arial" w:cs="Arial"/>
          <w:b/>
          <w:bCs/>
          <w:sz w:val="20"/>
        </w:rPr>
        <w:t xml:space="preserve"> </w:t>
      </w:r>
      <w:r w:rsidR="009D6347" w:rsidRPr="4C8EF378">
        <w:rPr>
          <w:rFonts w:eastAsia="Arial" w:cs="Arial"/>
          <w:b/>
          <w:bCs/>
          <w:sz w:val="20"/>
        </w:rPr>
        <w:t>Human case notifications of infection caused by foodborne pathogens in Victoria</w:t>
      </w:r>
      <w:r w:rsidR="00101BC4">
        <w:rPr>
          <w:rFonts w:eastAsia="Arial" w:cs="Arial"/>
          <w:b/>
          <w:bCs/>
          <w:sz w:val="20"/>
        </w:rPr>
        <w:t xml:space="preserve"> 2010 – 2019</w:t>
      </w:r>
      <w:r w:rsidR="00573445">
        <w:rPr>
          <w:rFonts w:eastAsia="Arial" w:cs="Arial"/>
          <w:b/>
          <w:bCs/>
          <w:sz w:val="20"/>
        </w:rPr>
        <w:t xml:space="preserve">. </w:t>
      </w:r>
      <w:bookmarkStart w:id="52" w:name="_Hlk128042523"/>
      <w:r w:rsidR="00573445" w:rsidRPr="00573445">
        <w:rPr>
          <w:rFonts w:eastAsia="Arial" w:cs="Arial"/>
          <w:sz w:val="20"/>
        </w:rPr>
        <w:t>(</w:t>
      </w:r>
      <w:r w:rsidR="00A44585">
        <w:rPr>
          <w:rFonts w:eastAsia="Arial" w:cs="Arial"/>
          <w:sz w:val="20"/>
        </w:rPr>
        <w:t xml:space="preserve">Go to </w:t>
      </w:r>
      <w:r w:rsidR="00573445" w:rsidRPr="00573445">
        <w:rPr>
          <w:rFonts w:eastAsia="Arial" w:cs="Arial"/>
          <w:sz w:val="20"/>
        </w:rPr>
        <w:t>Appendix A, Chapter 5, Table 1 for accessible table content)</w:t>
      </w:r>
      <w:bookmarkEnd w:id="52"/>
    </w:p>
    <w:tbl>
      <w:tblPr>
        <w:tblW w:w="0" w:type="auto"/>
        <w:tblBorders>
          <w:top w:val="single" w:sz="8" w:space="0" w:color="A6A9AD"/>
          <w:bottom w:val="single" w:sz="8" w:space="0" w:color="A6A9AD"/>
          <w:insideH w:val="single" w:sz="8" w:space="0" w:color="A6A9AD"/>
          <w:insideV w:val="single" w:sz="8" w:space="0" w:color="A6A9AD"/>
        </w:tblBorders>
        <w:tblCellMar>
          <w:left w:w="0" w:type="dxa"/>
          <w:right w:w="0" w:type="dxa"/>
        </w:tblCellMar>
        <w:tblLook w:val="04A0" w:firstRow="1" w:lastRow="0" w:firstColumn="1" w:lastColumn="0" w:noHBand="0" w:noVBand="1"/>
      </w:tblPr>
      <w:tblGrid>
        <w:gridCol w:w="1734"/>
        <w:gridCol w:w="755"/>
        <w:gridCol w:w="755"/>
        <w:gridCol w:w="755"/>
        <w:gridCol w:w="757"/>
        <w:gridCol w:w="757"/>
        <w:gridCol w:w="757"/>
        <w:gridCol w:w="757"/>
        <w:gridCol w:w="757"/>
        <w:gridCol w:w="757"/>
        <w:gridCol w:w="757"/>
      </w:tblGrid>
      <w:tr w:rsidR="009A1905" w:rsidRPr="00FC5932" w14:paraId="718CA7EA" w14:textId="77777777" w:rsidTr="00573445">
        <w:trPr>
          <w:trHeight w:val="454"/>
        </w:trPr>
        <w:tc>
          <w:tcPr>
            <w:tcW w:w="1734" w:type="dxa"/>
            <w:tcBorders>
              <w:top w:val="nil"/>
            </w:tcBorders>
            <w:shd w:val="clear" w:color="auto" w:fill="auto"/>
            <w:tcMar>
              <w:top w:w="0" w:type="dxa"/>
              <w:left w:w="108" w:type="dxa"/>
              <w:bottom w:w="0" w:type="dxa"/>
              <w:right w:w="108" w:type="dxa"/>
            </w:tcMar>
            <w:vAlign w:val="center"/>
          </w:tcPr>
          <w:p w14:paraId="7AC1828A" w14:textId="77777777" w:rsidR="009A1905" w:rsidRPr="00FC5932" w:rsidRDefault="009A1905" w:rsidP="0049377F">
            <w:pPr>
              <w:spacing w:after="0"/>
              <w:rPr>
                <w:rFonts w:cs="Arial"/>
                <w:szCs w:val="21"/>
              </w:rPr>
            </w:pPr>
          </w:p>
        </w:tc>
        <w:tc>
          <w:tcPr>
            <w:tcW w:w="755" w:type="dxa"/>
            <w:shd w:val="clear" w:color="auto" w:fill="FFFFFF" w:themeFill="background1"/>
            <w:tcMar>
              <w:top w:w="0" w:type="dxa"/>
              <w:left w:w="108" w:type="dxa"/>
              <w:bottom w:w="0" w:type="dxa"/>
              <w:right w:w="108" w:type="dxa"/>
            </w:tcMar>
            <w:vAlign w:val="center"/>
            <w:hideMark/>
          </w:tcPr>
          <w:p w14:paraId="6CB9EA6F" w14:textId="77777777" w:rsidR="009A1905" w:rsidRPr="001425B1" w:rsidRDefault="009A1905" w:rsidP="0049377F">
            <w:pPr>
              <w:spacing w:after="0"/>
              <w:rPr>
                <w:rFonts w:cs="Arial"/>
                <w:b/>
                <w:szCs w:val="21"/>
              </w:rPr>
            </w:pPr>
            <w:r w:rsidRPr="001425B1">
              <w:rPr>
                <w:rFonts w:cs="Arial"/>
                <w:b/>
                <w:szCs w:val="21"/>
              </w:rPr>
              <w:t>2010</w:t>
            </w:r>
          </w:p>
        </w:tc>
        <w:tc>
          <w:tcPr>
            <w:tcW w:w="755" w:type="dxa"/>
            <w:shd w:val="clear" w:color="auto" w:fill="FFFFFF" w:themeFill="background1"/>
            <w:tcMar>
              <w:top w:w="0" w:type="dxa"/>
              <w:left w:w="108" w:type="dxa"/>
              <w:bottom w:w="0" w:type="dxa"/>
              <w:right w:w="108" w:type="dxa"/>
            </w:tcMar>
            <w:vAlign w:val="center"/>
            <w:hideMark/>
          </w:tcPr>
          <w:p w14:paraId="336384E8" w14:textId="77777777" w:rsidR="009A1905" w:rsidRPr="001425B1" w:rsidRDefault="009A1905" w:rsidP="0049377F">
            <w:pPr>
              <w:spacing w:after="0"/>
              <w:rPr>
                <w:rFonts w:cs="Arial"/>
                <w:b/>
                <w:szCs w:val="21"/>
              </w:rPr>
            </w:pPr>
            <w:r w:rsidRPr="001425B1">
              <w:rPr>
                <w:rFonts w:cs="Arial"/>
                <w:b/>
                <w:szCs w:val="21"/>
              </w:rPr>
              <w:t>2011</w:t>
            </w:r>
          </w:p>
        </w:tc>
        <w:tc>
          <w:tcPr>
            <w:tcW w:w="755" w:type="dxa"/>
            <w:shd w:val="clear" w:color="auto" w:fill="FFFFFF" w:themeFill="background1"/>
            <w:tcMar>
              <w:top w:w="0" w:type="dxa"/>
              <w:left w:w="108" w:type="dxa"/>
              <w:bottom w:w="0" w:type="dxa"/>
              <w:right w:w="108" w:type="dxa"/>
            </w:tcMar>
            <w:vAlign w:val="center"/>
            <w:hideMark/>
          </w:tcPr>
          <w:p w14:paraId="0BEE975E" w14:textId="77777777" w:rsidR="009A1905" w:rsidRPr="001425B1" w:rsidRDefault="009A1905" w:rsidP="0049377F">
            <w:pPr>
              <w:spacing w:after="0"/>
              <w:rPr>
                <w:rFonts w:cs="Arial"/>
                <w:b/>
                <w:szCs w:val="21"/>
              </w:rPr>
            </w:pPr>
            <w:r w:rsidRPr="001425B1">
              <w:rPr>
                <w:rFonts w:cs="Arial"/>
                <w:b/>
                <w:szCs w:val="21"/>
              </w:rPr>
              <w:t>2012</w:t>
            </w:r>
          </w:p>
        </w:tc>
        <w:tc>
          <w:tcPr>
            <w:tcW w:w="757" w:type="dxa"/>
            <w:shd w:val="clear" w:color="auto" w:fill="FFFFFF" w:themeFill="background1"/>
            <w:tcMar>
              <w:top w:w="0" w:type="dxa"/>
              <w:left w:w="108" w:type="dxa"/>
              <w:bottom w:w="0" w:type="dxa"/>
              <w:right w:w="108" w:type="dxa"/>
            </w:tcMar>
            <w:vAlign w:val="center"/>
            <w:hideMark/>
          </w:tcPr>
          <w:p w14:paraId="5B31B7E1" w14:textId="77777777" w:rsidR="009A1905" w:rsidRPr="001425B1" w:rsidRDefault="009A1905" w:rsidP="0049377F">
            <w:pPr>
              <w:spacing w:after="0"/>
              <w:rPr>
                <w:rFonts w:cs="Arial"/>
                <w:b/>
                <w:szCs w:val="21"/>
              </w:rPr>
            </w:pPr>
            <w:r w:rsidRPr="001425B1">
              <w:rPr>
                <w:rFonts w:cs="Arial"/>
                <w:b/>
                <w:szCs w:val="21"/>
              </w:rPr>
              <w:t>2013</w:t>
            </w:r>
          </w:p>
        </w:tc>
        <w:tc>
          <w:tcPr>
            <w:tcW w:w="757" w:type="dxa"/>
            <w:shd w:val="clear" w:color="auto" w:fill="FFFFFF" w:themeFill="background1"/>
            <w:tcMar>
              <w:top w:w="0" w:type="dxa"/>
              <w:left w:w="108" w:type="dxa"/>
              <w:bottom w:w="0" w:type="dxa"/>
              <w:right w:w="108" w:type="dxa"/>
            </w:tcMar>
            <w:vAlign w:val="center"/>
            <w:hideMark/>
          </w:tcPr>
          <w:p w14:paraId="1D681E90" w14:textId="77777777" w:rsidR="009A1905" w:rsidRPr="001425B1" w:rsidRDefault="009A1905" w:rsidP="0049377F">
            <w:pPr>
              <w:spacing w:after="0"/>
              <w:rPr>
                <w:rFonts w:cs="Arial"/>
                <w:b/>
                <w:szCs w:val="21"/>
              </w:rPr>
            </w:pPr>
            <w:r w:rsidRPr="001425B1">
              <w:rPr>
                <w:rFonts w:cs="Arial"/>
                <w:b/>
                <w:szCs w:val="21"/>
              </w:rPr>
              <w:t>2014</w:t>
            </w:r>
          </w:p>
        </w:tc>
        <w:tc>
          <w:tcPr>
            <w:tcW w:w="757" w:type="dxa"/>
            <w:shd w:val="clear" w:color="auto" w:fill="FFFFFF" w:themeFill="background1"/>
            <w:tcMar>
              <w:top w:w="0" w:type="dxa"/>
              <w:left w:w="108" w:type="dxa"/>
              <w:bottom w:w="0" w:type="dxa"/>
              <w:right w:w="108" w:type="dxa"/>
            </w:tcMar>
            <w:vAlign w:val="center"/>
            <w:hideMark/>
          </w:tcPr>
          <w:p w14:paraId="3E693C66" w14:textId="77777777" w:rsidR="009A1905" w:rsidRPr="001425B1" w:rsidRDefault="009A1905" w:rsidP="0049377F">
            <w:pPr>
              <w:spacing w:after="0"/>
              <w:rPr>
                <w:rFonts w:cs="Arial"/>
                <w:b/>
                <w:szCs w:val="21"/>
              </w:rPr>
            </w:pPr>
            <w:r w:rsidRPr="001425B1">
              <w:rPr>
                <w:rFonts w:cs="Arial"/>
                <w:b/>
                <w:szCs w:val="21"/>
              </w:rPr>
              <w:t>2015</w:t>
            </w:r>
          </w:p>
        </w:tc>
        <w:tc>
          <w:tcPr>
            <w:tcW w:w="757" w:type="dxa"/>
            <w:shd w:val="clear" w:color="auto" w:fill="FFFFFF" w:themeFill="background1"/>
            <w:tcMar>
              <w:top w:w="0" w:type="dxa"/>
              <w:left w:w="108" w:type="dxa"/>
              <w:bottom w:w="0" w:type="dxa"/>
              <w:right w:w="108" w:type="dxa"/>
            </w:tcMar>
            <w:vAlign w:val="center"/>
            <w:hideMark/>
          </w:tcPr>
          <w:p w14:paraId="663EF6D6" w14:textId="77777777" w:rsidR="009A1905" w:rsidRPr="001425B1" w:rsidRDefault="009A1905" w:rsidP="0049377F">
            <w:pPr>
              <w:spacing w:after="0"/>
              <w:rPr>
                <w:rFonts w:cs="Arial"/>
                <w:b/>
                <w:szCs w:val="21"/>
              </w:rPr>
            </w:pPr>
            <w:r w:rsidRPr="001425B1">
              <w:rPr>
                <w:rFonts w:cs="Arial"/>
                <w:b/>
                <w:szCs w:val="21"/>
              </w:rPr>
              <w:t>2016</w:t>
            </w:r>
          </w:p>
        </w:tc>
        <w:tc>
          <w:tcPr>
            <w:tcW w:w="757" w:type="dxa"/>
            <w:shd w:val="clear" w:color="auto" w:fill="FFFFFF" w:themeFill="background1"/>
            <w:tcMar>
              <w:top w:w="0" w:type="dxa"/>
              <w:left w:w="108" w:type="dxa"/>
              <w:bottom w:w="0" w:type="dxa"/>
              <w:right w:w="108" w:type="dxa"/>
            </w:tcMar>
            <w:vAlign w:val="center"/>
            <w:hideMark/>
          </w:tcPr>
          <w:p w14:paraId="18904B28" w14:textId="77777777" w:rsidR="009A1905" w:rsidRPr="001425B1" w:rsidRDefault="009A1905" w:rsidP="0049377F">
            <w:pPr>
              <w:spacing w:after="0"/>
              <w:rPr>
                <w:rFonts w:cs="Arial"/>
                <w:b/>
                <w:szCs w:val="21"/>
              </w:rPr>
            </w:pPr>
            <w:r w:rsidRPr="001425B1">
              <w:rPr>
                <w:rFonts w:cs="Arial"/>
                <w:b/>
                <w:szCs w:val="21"/>
              </w:rPr>
              <w:t>2017</w:t>
            </w:r>
          </w:p>
        </w:tc>
        <w:tc>
          <w:tcPr>
            <w:tcW w:w="757" w:type="dxa"/>
            <w:shd w:val="clear" w:color="auto" w:fill="FFFFFF" w:themeFill="background1"/>
            <w:tcMar>
              <w:top w:w="0" w:type="dxa"/>
              <w:left w:w="108" w:type="dxa"/>
              <w:bottom w:w="0" w:type="dxa"/>
              <w:right w:w="108" w:type="dxa"/>
            </w:tcMar>
            <w:vAlign w:val="center"/>
            <w:hideMark/>
          </w:tcPr>
          <w:p w14:paraId="72A00815" w14:textId="77777777" w:rsidR="009A1905" w:rsidRPr="001425B1" w:rsidRDefault="009A1905" w:rsidP="0049377F">
            <w:pPr>
              <w:spacing w:after="0"/>
              <w:rPr>
                <w:rFonts w:cs="Arial"/>
                <w:b/>
                <w:szCs w:val="21"/>
              </w:rPr>
            </w:pPr>
            <w:r w:rsidRPr="001425B1">
              <w:rPr>
                <w:rFonts w:cs="Arial"/>
                <w:b/>
                <w:szCs w:val="21"/>
              </w:rPr>
              <w:t>2018</w:t>
            </w:r>
          </w:p>
        </w:tc>
        <w:tc>
          <w:tcPr>
            <w:tcW w:w="757" w:type="dxa"/>
            <w:shd w:val="clear" w:color="auto" w:fill="FFFFFF" w:themeFill="background1"/>
            <w:tcMar>
              <w:top w:w="0" w:type="dxa"/>
              <w:left w:w="108" w:type="dxa"/>
              <w:bottom w:w="0" w:type="dxa"/>
              <w:right w:w="108" w:type="dxa"/>
            </w:tcMar>
            <w:vAlign w:val="center"/>
            <w:hideMark/>
          </w:tcPr>
          <w:p w14:paraId="00630392" w14:textId="77777777" w:rsidR="009A1905" w:rsidRPr="001425B1" w:rsidRDefault="009A1905" w:rsidP="0049377F">
            <w:pPr>
              <w:spacing w:after="0"/>
              <w:rPr>
                <w:rFonts w:cs="Arial"/>
                <w:b/>
                <w:szCs w:val="21"/>
              </w:rPr>
            </w:pPr>
            <w:r w:rsidRPr="001425B1">
              <w:rPr>
                <w:rFonts w:cs="Arial"/>
                <w:b/>
                <w:szCs w:val="21"/>
              </w:rPr>
              <w:t>2019</w:t>
            </w:r>
          </w:p>
        </w:tc>
      </w:tr>
      <w:tr w:rsidR="009A1905" w:rsidRPr="00FC5932" w14:paraId="56E7C8BF" w14:textId="77777777" w:rsidTr="00573445">
        <w:trPr>
          <w:trHeight w:val="454"/>
        </w:trPr>
        <w:tc>
          <w:tcPr>
            <w:tcW w:w="1734" w:type="dxa"/>
            <w:tcMar>
              <w:top w:w="0" w:type="dxa"/>
              <w:left w:w="108" w:type="dxa"/>
              <w:bottom w:w="0" w:type="dxa"/>
              <w:right w:w="108" w:type="dxa"/>
            </w:tcMar>
            <w:vAlign w:val="center"/>
            <w:hideMark/>
          </w:tcPr>
          <w:p w14:paraId="3C12BED6" w14:textId="77777777" w:rsidR="009A1905" w:rsidRPr="00FC5932" w:rsidRDefault="009A1905" w:rsidP="0049377F">
            <w:pPr>
              <w:spacing w:after="0"/>
              <w:rPr>
                <w:rFonts w:cs="Arial"/>
                <w:b/>
                <w:bCs/>
                <w:i/>
                <w:iCs/>
                <w:szCs w:val="21"/>
              </w:rPr>
            </w:pPr>
            <w:r w:rsidRPr="00FC5932">
              <w:rPr>
                <w:rFonts w:cs="Arial"/>
                <w:b/>
                <w:bCs/>
                <w:i/>
                <w:iCs/>
                <w:szCs w:val="21"/>
              </w:rPr>
              <w:t>Campylobacter</w:t>
            </w:r>
          </w:p>
        </w:tc>
        <w:tc>
          <w:tcPr>
            <w:tcW w:w="755" w:type="dxa"/>
            <w:tcMar>
              <w:top w:w="0" w:type="dxa"/>
              <w:left w:w="108" w:type="dxa"/>
              <w:bottom w:w="0" w:type="dxa"/>
              <w:right w:w="108" w:type="dxa"/>
            </w:tcMar>
            <w:vAlign w:val="center"/>
            <w:hideMark/>
          </w:tcPr>
          <w:p w14:paraId="362FDF26" w14:textId="77777777" w:rsidR="009A1905" w:rsidRPr="00FC5932" w:rsidRDefault="009A1905" w:rsidP="0049377F">
            <w:pPr>
              <w:spacing w:after="0"/>
              <w:rPr>
                <w:rFonts w:cs="Arial"/>
                <w:sz w:val="20"/>
              </w:rPr>
            </w:pPr>
            <w:r w:rsidRPr="00FC5932">
              <w:rPr>
                <w:rFonts w:cs="Arial"/>
                <w:sz w:val="20"/>
              </w:rPr>
              <w:t>6,636</w:t>
            </w:r>
          </w:p>
        </w:tc>
        <w:tc>
          <w:tcPr>
            <w:tcW w:w="755" w:type="dxa"/>
            <w:tcMar>
              <w:top w:w="0" w:type="dxa"/>
              <w:left w:w="108" w:type="dxa"/>
              <w:bottom w:w="0" w:type="dxa"/>
              <w:right w:w="108" w:type="dxa"/>
            </w:tcMar>
            <w:vAlign w:val="center"/>
            <w:hideMark/>
          </w:tcPr>
          <w:p w14:paraId="6590929D" w14:textId="77777777" w:rsidR="009A1905" w:rsidRPr="00FC5932" w:rsidRDefault="009A1905" w:rsidP="0049377F">
            <w:pPr>
              <w:spacing w:after="0"/>
              <w:rPr>
                <w:rFonts w:cs="Arial"/>
                <w:sz w:val="20"/>
              </w:rPr>
            </w:pPr>
            <w:r w:rsidRPr="00FC5932">
              <w:rPr>
                <w:rFonts w:cs="Arial"/>
                <w:sz w:val="20"/>
              </w:rPr>
              <w:t>6,798</w:t>
            </w:r>
          </w:p>
        </w:tc>
        <w:tc>
          <w:tcPr>
            <w:tcW w:w="755" w:type="dxa"/>
            <w:tcMar>
              <w:top w:w="0" w:type="dxa"/>
              <w:left w:w="108" w:type="dxa"/>
              <w:bottom w:w="0" w:type="dxa"/>
              <w:right w:w="108" w:type="dxa"/>
            </w:tcMar>
            <w:vAlign w:val="center"/>
            <w:hideMark/>
          </w:tcPr>
          <w:p w14:paraId="76557AC2" w14:textId="77777777" w:rsidR="009A1905" w:rsidRPr="00FC5932" w:rsidRDefault="009A1905" w:rsidP="0049377F">
            <w:pPr>
              <w:spacing w:after="0"/>
              <w:rPr>
                <w:rFonts w:cs="Arial"/>
                <w:sz w:val="20"/>
              </w:rPr>
            </w:pPr>
            <w:r w:rsidRPr="00FC5932">
              <w:rPr>
                <w:rFonts w:cs="Arial"/>
                <w:sz w:val="20"/>
              </w:rPr>
              <w:t>6,004</w:t>
            </w:r>
          </w:p>
        </w:tc>
        <w:tc>
          <w:tcPr>
            <w:tcW w:w="757" w:type="dxa"/>
            <w:tcMar>
              <w:top w:w="0" w:type="dxa"/>
              <w:left w:w="108" w:type="dxa"/>
              <w:bottom w:w="0" w:type="dxa"/>
              <w:right w:w="108" w:type="dxa"/>
            </w:tcMar>
            <w:vAlign w:val="center"/>
            <w:hideMark/>
          </w:tcPr>
          <w:p w14:paraId="485349A1" w14:textId="77777777" w:rsidR="009A1905" w:rsidRPr="00FC5932" w:rsidRDefault="009A1905" w:rsidP="0049377F">
            <w:pPr>
              <w:spacing w:after="0"/>
              <w:rPr>
                <w:rFonts w:cs="Arial"/>
                <w:sz w:val="20"/>
              </w:rPr>
            </w:pPr>
            <w:r w:rsidRPr="00FC5932">
              <w:rPr>
                <w:rFonts w:cs="Arial"/>
                <w:sz w:val="20"/>
              </w:rPr>
              <w:t>5,890</w:t>
            </w:r>
          </w:p>
        </w:tc>
        <w:tc>
          <w:tcPr>
            <w:tcW w:w="757" w:type="dxa"/>
            <w:tcMar>
              <w:top w:w="0" w:type="dxa"/>
              <w:left w:w="108" w:type="dxa"/>
              <w:bottom w:w="0" w:type="dxa"/>
              <w:right w:w="108" w:type="dxa"/>
            </w:tcMar>
            <w:vAlign w:val="center"/>
            <w:hideMark/>
          </w:tcPr>
          <w:p w14:paraId="3E3C87B8" w14:textId="77777777" w:rsidR="009A1905" w:rsidRPr="00FC5932" w:rsidRDefault="009A1905" w:rsidP="0049377F">
            <w:pPr>
              <w:spacing w:after="0"/>
              <w:rPr>
                <w:rFonts w:cs="Arial"/>
                <w:sz w:val="20"/>
              </w:rPr>
            </w:pPr>
            <w:r w:rsidRPr="00FC5932">
              <w:rPr>
                <w:rFonts w:cs="Arial"/>
                <w:sz w:val="20"/>
              </w:rPr>
              <w:t>7,236</w:t>
            </w:r>
          </w:p>
        </w:tc>
        <w:tc>
          <w:tcPr>
            <w:tcW w:w="757" w:type="dxa"/>
            <w:tcMar>
              <w:top w:w="0" w:type="dxa"/>
              <w:left w:w="108" w:type="dxa"/>
              <w:bottom w:w="0" w:type="dxa"/>
              <w:right w:w="108" w:type="dxa"/>
            </w:tcMar>
            <w:vAlign w:val="center"/>
            <w:hideMark/>
          </w:tcPr>
          <w:p w14:paraId="332F7CB4" w14:textId="77777777" w:rsidR="009A1905" w:rsidRPr="00FC5932" w:rsidRDefault="009A1905" w:rsidP="0049377F">
            <w:pPr>
              <w:spacing w:after="0"/>
              <w:rPr>
                <w:rFonts w:cs="Arial"/>
                <w:sz w:val="20"/>
              </w:rPr>
            </w:pPr>
            <w:r w:rsidRPr="00FC5932">
              <w:rPr>
                <w:rFonts w:cs="Arial"/>
                <w:sz w:val="20"/>
              </w:rPr>
              <w:t>8,243</w:t>
            </w:r>
          </w:p>
        </w:tc>
        <w:tc>
          <w:tcPr>
            <w:tcW w:w="757" w:type="dxa"/>
            <w:tcMar>
              <w:top w:w="0" w:type="dxa"/>
              <w:left w:w="108" w:type="dxa"/>
              <w:bottom w:w="0" w:type="dxa"/>
              <w:right w:w="108" w:type="dxa"/>
            </w:tcMar>
            <w:vAlign w:val="center"/>
            <w:hideMark/>
          </w:tcPr>
          <w:p w14:paraId="3FCFDD95" w14:textId="77777777" w:rsidR="009A1905" w:rsidRPr="00FC5932" w:rsidRDefault="009A1905" w:rsidP="0049377F">
            <w:pPr>
              <w:spacing w:after="0"/>
              <w:rPr>
                <w:rFonts w:cs="Arial"/>
                <w:sz w:val="20"/>
              </w:rPr>
            </w:pPr>
            <w:r w:rsidRPr="00FC5932">
              <w:rPr>
                <w:rFonts w:cs="Arial"/>
                <w:sz w:val="20"/>
              </w:rPr>
              <w:t>8,238</w:t>
            </w:r>
          </w:p>
        </w:tc>
        <w:tc>
          <w:tcPr>
            <w:tcW w:w="757" w:type="dxa"/>
            <w:tcMar>
              <w:top w:w="0" w:type="dxa"/>
              <w:left w:w="108" w:type="dxa"/>
              <w:bottom w:w="0" w:type="dxa"/>
              <w:right w:w="108" w:type="dxa"/>
            </w:tcMar>
            <w:vAlign w:val="center"/>
            <w:hideMark/>
          </w:tcPr>
          <w:p w14:paraId="24746EF4" w14:textId="77777777" w:rsidR="009A1905" w:rsidRPr="00FC5932" w:rsidRDefault="009A1905" w:rsidP="0049377F">
            <w:pPr>
              <w:spacing w:after="0"/>
              <w:rPr>
                <w:rFonts w:cs="Arial"/>
                <w:sz w:val="20"/>
              </w:rPr>
            </w:pPr>
            <w:r w:rsidRPr="00FC5932">
              <w:rPr>
                <w:rFonts w:cs="Arial"/>
                <w:sz w:val="20"/>
              </w:rPr>
              <w:t>6,863</w:t>
            </w:r>
          </w:p>
        </w:tc>
        <w:tc>
          <w:tcPr>
            <w:tcW w:w="757" w:type="dxa"/>
            <w:tcMar>
              <w:top w:w="0" w:type="dxa"/>
              <w:left w:w="108" w:type="dxa"/>
              <w:bottom w:w="0" w:type="dxa"/>
              <w:right w:w="108" w:type="dxa"/>
            </w:tcMar>
            <w:vAlign w:val="center"/>
            <w:hideMark/>
          </w:tcPr>
          <w:p w14:paraId="21D1479B" w14:textId="77777777" w:rsidR="009A1905" w:rsidRPr="00FC5932" w:rsidRDefault="009A1905" w:rsidP="0049377F">
            <w:pPr>
              <w:spacing w:after="0"/>
              <w:rPr>
                <w:rFonts w:cs="Arial"/>
                <w:sz w:val="20"/>
              </w:rPr>
            </w:pPr>
            <w:r w:rsidRPr="00FC5932">
              <w:rPr>
                <w:rFonts w:cs="Arial"/>
                <w:sz w:val="20"/>
              </w:rPr>
              <w:t>6</w:t>
            </w:r>
            <w:r>
              <w:rPr>
                <w:rFonts w:cs="Arial"/>
                <w:sz w:val="20"/>
              </w:rPr>
              <w:t>,</w:t>
            </w:r>
            <w:r w:rsidRPr="00FC5932">
              <w:rPr>
                <w:rFonts w:cs="Arial"/>
                <w:sz w:val="20"/>
              </w:rPr>
              <w:t>669</w:t>
            </w:r>
          </w:p>
        </w:tc>
        <w:tc>
          <w:tcPr>
            <w:tcW w:w="757" w:type="dxa"/>
            <w:tcMar>
              <w:top w:w="0" w:type="dxa"/>
              <w:left w:w="108" w:type="dxa"/>
              <w:bottom w:w="0" w:type="dxa"/>
              <w:right w:w="108" w:type="dxa"/>
            </w:tcMar>
            <w:vAlign w:val="center"/>
            <w:hideMark/>
          </w:tcPr>
          <w:p w14:paraId="74B4CB4A" w14:textId="77777777" w:rsidR="009A1905" w:rsidRPr="00FC5932" w:rsidRDefault="009A1905" w:rsidP="0049377F">
            <w:pPr>
              <w:spacing w:after="0"/>
              <w:rPr>
                <w:rFonts w:cs="Arial"/>
                <w:sz w:val="20"/>
              </w:rPr>
            </w:pPr>
            <w:r w:rsidRPr="00FC5932">
              <w:rPr>
                <w:rFonts w:cs="Arial"/>
                <w:sz w:val="20"/>
              </w:rPr>
              <w:t>7</w:t>
            </w:r>
            <w:r>
              <w:rPr>
                <w:rFonts w:cs="Arial"/>
                <w:sz w:val="20"/>
              </w:rPr>
              <w:t>,</w:t>
            </w:r>
            <w:r w:rsidRPr="00FC5932">
              <w:rPr>
                <w:rFonts w:cs="Arial"/>
                <w:sz w:val="20"/>
              </w:rPr>
              <w:t>292</w:t>
            </w:r>
          </w:p>
        </w:tc>
      </w:tr>
      <w:tr w:rsidR="009A1905" w:rsidRPr="00FC5932" w14:paraId="513FFA58" w14:textId="77777777" w:rsidTr="00573445">
        <w:trPr>
          <w:trHeight w:val="454"/>
        </w:trPr>
        <w:tc>
          <w:tcPr>
            <w:tcW w:w="1734" w:type="dxa"/>
            <w:tcMar>
              <w:top w:w="0" w:type="dxa"/>
              <w:left w:w="108" w:type="dxa"/>
              <w:bottom w:w="0" w:type="dxa"/>
              <w:right w:w="108" w:type="dxa"/>
            </w:tcMar>
            <w:vAlign w:val="center"/>
            <w:hideMark/>
          </w:tcPr>
          <w:p w14:paraId="150D32C3" w14:textId="77777777" w:rsidR="009A1905" w:rsidRPr="00FC5932" w:rsidRDefault="009A1905" w:rsidP="0049377F">
            <w:pPr>
              <w:spacing w:after="0"/>
              <w:rPr>
                <w:rFonts w:cs="Arial"/>
                <w:b/>
                <w:bCs/>
                <w:i/>
                <w:iCs/>
                <w:szCs w:val="21"/>
              </w:rPr>
            </w:pPr>
            <w:r w:rsidRPr="00FC5932">
              <w:rPr>
                <w:rFonts w:cs="Arial"/>
                <w:b/>
                <w:bCs/>
                <w:i/>
                <w:iCs/>
                <w:szCs w:val="21"/>
              </w:rPr>
              <w:t>Listeria</w:t>
            </w:r>
          </w:p>
        </w:tc>
        <w:tc>
          <w:tcPr>
            <w:tcW w:w="755" w:type="dxa"/>
            <w:tcMar>
              <w:top w:w="0" w:type="dxa"/>
              <w:left w:w="108" w:type="dxa"/>
              <w:bottom w:w="0" w:type="dxa"/>
              <w:right w:w="108" w:type="dxa"/>
            </w:tcMar>
            <w:vAlign w:val="center"/>
            <w:hideMark/>
          </w:tcPr>
          <w:p w14:paraId="3661217B" w14:textId="77777777" w:rsidR="009A1905" w:rsidRPr="00FC5932" w:rsidRDefault="009A1905" w:rsidP="0049377F">
            <w:pPr>
              <w:spacing w:after="0"/>
              <w:rPr>
                <w:rFonts w:cs="Arial"/>
                <w:sz w:val="20"/>
              </w:rPr>
            </w:pPr>
            <w:r w:rsidRPr="00FC5932">
              <w:rPr>
                <w:rFonts w:cs="Arial"/>
                <w:sz w:val="20"/>
              </w:rPr>
              <w:t>28</w:t>
            </w:r>
          </w:p>
        </w:tc>
        <w:tc>
          <w:tcPr>
            <w:tcW w:w="755" w:type="dxa"/>
            <w:tcMar>
              <w:top w:w="0" w:type="dxa"/>
              <w:left w:w="108" w:type="dxa"/>
              <w:bottom w:w="0" w:type="dxa"/>
              <w:right w:w="108" w:type="dxa"/>
            </w:tcMar>
            <w:vAlign w:val="center"/>
            <w:hideMark/>
          </w:tcPr>
          <w:p w14:paraId="474E3FD4" w14:textId="77777777" w:rsidR="009A1905" w:rsidRPr="00FC5932" w:rsidRDefault="009A1905" w:rsidP="0049377F">
            <w:pPr>
              <w:spacing w:after="0"/>
              <w:rPr>
                <w:rFonts w:cs="Arial"/>
                <w:sz w:val="20"/>
              </w:rPr>
            </w:pPr>
            <w:r w:rsidRPr="00FC5932">
              <w:rPr>
                <w:rFonts w:cs="Arial"/>
                <w:sz w:val="20"/>
              </w:rPr>
              <w:t>19</w:t>
            </w:r>
          </w:p>
        </w:tc>
        <w:tc>
          <w:tcPr>
            <w:tcW w:w="755" w:type="dxa"/>
            <w:tcMar>
              <w:top w:w="0" w:type="dxa"/>
              <w:left w:w="108" w:type="dxa"/>
              <w:bottom w:w="0" w:type="dxa"/>
              <w:right w:w="108" w:type="dxa"/>
            </w:tcMar>
            <w:vAlign w:val="center"/>
            <w:hideMark/>
          </w:tcPr>
          <w:p w14:paraId="1FF3812F" w14:textId="77777777" w:rsidR="009A1905" w:rsidRPr="00FC5932" w:rsidRDefault="009A1905" w:rsidP="0049377F">
            <w:pPr>
              <w:spacing w:after="0"/>
              <w:rPr>
                <w:rFonts w:cs="Arial"/>
                <w:sz w:val="20"/>
              </w:rPr>
            </w:pPr>
            <w:r w:rsidRPr="00FC5932">
              <w:rPr>
                <w:rFonts w:cs="Arial"/>
                <w:sz w:val="20"/>
              </w:rPr>
              <w:t>35</w:t>
            </w:r>
          </w:p>
        </w:tc>
        <w:tc>
          <w:tcPr>
            <w:tcW w:w="757" w:type="dxa"/>
            <w:tcMar>
              <w:top w:w="0" w:type="dxa"/>
              <w:left w:w="108" w:type="dxa"/>
              <w:bottom w:w="0" w:type="dxa"/>
              <w:right w:w="108" w:type="dxa"/>
            </w:tcMar>
            <w:vAlign w:val="center"/>
            <w:hideMark/>
          </w:tcPr>
          <w:p w14:paraId="5BAFA165" w14:textId="77777777" w:rsidR="009A1905" w:rsidRPr="00FC5932" w:rsidRDefault="009A1905" w:rsidP="0049377F">
            <w:pPr>
              <w:spacing w:after="0"/>
              <w:rPr>
                <w:rFonts w:cs="Arial"/>
                <w:sz w:val="20"/>
              </w:rPr>
            </w:pPr>
            <w:r w:rsidRPr="00FC5932">
              <w:rPr>
                <w:rFonts w:cs="Arial"/>
                <w:sz w:val="20"/>
              </w:rPr>
              <w:t>24</w:t>
            </w:r>
          </w:p>
        </w:tc>
        <w:tc>
          <w:tcPr>
            <w:tcW w:w="757" w:type="dxa"/>
            <w:tcMar>
              <w:top w:w="0" w:type="dxa"/>
              <w:left w:w="108" w:type="dxa"/>
              <w:bottom w:w="0" w:type="dxa"/>
              <w:right w:w="108" w:type="dxa"/>
            </w:tcMar>
            <w:vAlign w:val="center"/>
            <w:hideMark/>
          </w:tcPr>
          <w:p w14:paraId="7BCF77CE" w14:textId="77777777" w:rsidR="009A1905" w:rsidRPr="00FC5932" w:rsidRDefault="009A1905" w:rsidP="0049377F">
            <w:pPr>
              <w:spacing w:after="0"/>
              <w:rPr>
                <w:rFonts w:cs="Arial"/>
                <w:sz w:val="20"/>
              </w:rPr>
            </w:pPr>
            <w:r w:rsidRPr="00FC5932">
              <w:rPr>
                <w:rFonts w:cs="Arial"/>
                <w:sz w:val="20"/>
              </w:rPr>
              <w:t>21</w:t>
            </w:r>
          </w:p>
        </w:tc>
        <w:tc>
          <w:tcPr>
            <w:tcW w:w="757" w:type="dxa"/>
            <w:tcMar>
              <w:top w:w="0" w:type="dxa"/>
              <w:left w:w="108" w:type="dxa"/>
              <w:bottom w:w="0" w:type="dxa"/>
              <w:right w:w="108" w:type="dxa"/>
            </w:tcMar>
            <w:vAlign w:val="center"/>
            <w:hideMark/>
          </w:tcPr>
          <w:p w14:paraId="61340B0D" w14:textId="77777777" w:rsidR="009A1905" w:rsidRPr="00FC5932" w:rsidRDefault="009A1905" w:rsidP="0049377F">
            <w:pPr>
              <w:spacing w:after="0"/>
              <w:rPr>
                <w:rFonts w:cs="Arial"/>
                <w:sz w:val="20"/>
              </w:rPr>
            </w:pPr>
            <w:r w:rsidRPr="00FC5932">
              <w:rPr>
                <w:rFonts w:cs="Arial"/>
                <w:sz w:val="20"/>
              </w:rPr>
              <w:t>22</w:t>
            </w:r>
          </w:p>
        </w:tc>
        <w:tc>
          <w:tcPr>
            <w:tcW w:w="757" w:type="dxa"/>
            <w:tcMar>
              <w:top w:w="0" w:type="dxa"/>
              <w:left w:w="108" w:type="dxa"/>
              <w:bottom w:w="0" w:type="dxa"/>
              <w:right w:w="108" w:type="dxa"/>
            </w:tcMar>
            <w:vAlign w:val="center"/>
            <w:hideMark/>
          </w:tcPr>
          <w:p w14:paraId="2498DD3F" w14:textId="77777777" w:rsidR="009A1905" w:rsidRPr="00FC5932" w:rsidRDefault="009A1905" w:rsidP="0049377F">
            <w:pPr>
              <w:spacing w:after="0"/>
              <w:rPr>
                <w:rFonts w:cs="Arial"/>
                <w:sz w:val="20"/>
              </w:rPr>
            </w:pPr>
            <w:r w:rsidRPr="00FC5932">
              <w:rPr>
                <w:rFonts w:cs="Arial"/>
                <w:sz w:val="20"/>
              </w:rPr>
              <w:t>25</w:t>
            </w:r>
          </w:p>
        </w:tc>
        <w:tc>
          <w:tcPr>
            <w:tcW w:w="757" w:type="dxa"/>
            <w:tcMar>
              <w:top w:w="0" w:type="dxa"/>
              <w:left w:w="108" w:type="dxa"/>
              <w:bottom w:w="0" w:type="dxa"/>
              <w:right w:w="108" w:type="dxa"/>
            </w:tcMar>
            <w:vAlign w:val="center"/>
            <w:hideMark/>
          </w:tcPr>
          <w:p w14:paraId="176C8677" w14:textId="77777777" w:rsidR="009A1905" w:rsidRPr="00FC5932" w:rsidRDefault="009A1905" w:rsidP="0049377F">
            <w:pPr>
              <w:spacing w:after="0"/>
              <w:rPr>
                <w:rFonts w:cs="Arial"/>
                <w:sz w:val="20"/>
              </w:rPr>
            </w:pPr>
            <w:r w:rsidRPr="00FC5932">
              <w:rPr>
                <w:rFonts w:cs="Arial"/>
                <w:sz w:val="20"/>
              </w:rPr>
              <w:t>19</w:t>
            </w:r>
          </w:p>
        </w:tc>
        <w:tc>
          <w:tcPr>
            <w:tcW w:w="757" w:type="dxa"/>
            <w:tcMar>
              <w:top w:w="0" w:type="dxa"/>
              <w:left w:w="108" w:type="dxa"/>
              <w:bottom w:w="0" w:type="dxa"/>
              <w:right w:w="108" w:type="dxa"/>
            </w:tcMar>
            <w:vAlign w:val="center"/>
            <w:hideMark/>
          </w:tcPr>
          <w:p w14:paraId="396F4F22" w14:textId="77777777" w:rsidR="009A1905" w:rsidRPr="00FC5932" w:rsidRDefault="009A1905" w:rsidP="0049377F">
            <w:pPr>
              <w:spacing w:after="0"/>
              <w:rPr>
                <w:rFonts w:cs="Arial"/>
                <w:sz w:val="20"/>
              </w:rPr>
            </w:pPr>
            <w:r w:rsidRPr="00FC5932">
              <w:rPr>
                <w:rFonts w:cs="Arial"/>
                <w:sz w:val="20"/>
              </w:rPr>
              <w:t>27</w:t>
            </w:r>
          </w:p>
        </w:tc>
        <w:tc>
          <w:tcPr>
            <w:tcW w:w="757" w:type="dxa"/>
            <w:tcMar>
              <w:top w:w="0" w:type="dxa"/>
              <w:left w:w="108" w:type="dxa"/>
              <w:bottom w:w="0" w:type="dxa"/>
              <w:right w:w="108" w:type="dxa"/>
            </w:tcMar>
            <w:vAlign w:val="center"/>
            <w:hideMark/>
          </w:tcPr>
          <w:p w14:paraId="7E3BA543" w14:textId="77777777" w:rsidR="009A1905" w:rsidRPr="00FC5932" w:rsidRDefault="009A1905" w:rsidP="0049377F">
            <w:pPr>
              <w:spacing w:after="0"/>
              <w:rPr>
                <w:rFonts w:cs="Arial"/>
                <w:sz w:val="20"/>
              </w:rPr>
            </w:pPr>
            <w:r w:rsidRPr="00FC5932">
              <w:rPr>
                <w:rFonts w:cs="Arial"/>
                <w:sz w:val="20"/>
              </w:rPr>
              <w:t>12</w:t>
            </w:r>
          </w:p>
        </w:tc>
      </w:tr>
      <w:tr w:rsidR="009A1905" w:rsidRPr="00FC5932" w14:paraId="4DCCF63B" w14:textId="77777777" w:rsidTr="00573445">
        <w:trPr>
          <w:trHeight w:val="454"/>
        </w:trPr>
        <w:tc>
          <w:tcPr>
            <w:tcW w:w="1734" w:type="dxa"/>
            <w:tcMar>
              <w:top w:w="0" w:type="dxa"/>
              <w:left w:w="108" w:type="dxa"/>
              <w:bottom w:w="0" w:type="dxa"/>
              <w:right w:w="108" w:type="dxa"/>
            </w:tcMar>
            <w:vAlign w:val="center"/>
            <w:hideMark/>
          </w:tcPr>
          <w:p w14:paraId="1E73D750" w14:textId="77777777" w:rsidR="009A1905" w:rsidRPr="00FC5932" w:rsidRDefault="009A1905" w:rsidP="0049377F">
            <w:pPr>
              <w:spacing w:after="0"/>
              <w:rPr>
                <w:rFonts w:cs="Arial"/>
                <w:b/>
                <w:bCs/>
                <w:i/>
                <w:iCs/>
                <w:szCs w:val="21"/>
              </w:rPr>
            </w:pPr>
            <w:r w:rsidRPr="00FC5932">
              <w:rPr>
                <w:rFonts w:cs="Arial"/>
                <w:b/>
                <w:bCs/>
                <w:i/>
                <w:iCs/>
                <w:szCs w:val="21"/>
              </w:rPr>
              <w:t>Salmonella</w:t>
            </w:r>
          </w:p>
        </w:tc>
        <w:tc>
          <w:tcPr>
            <w:tcW w:w="755" w:type="dxa"/>
            <w:tcMar>
              <w:top w:w="0" w:type="dxa"/>
              <w:left w:w="108" w:type="dxa"/>
              <w:bottom w:w="0" w:type="dxa"/>
              <w:right w:w="108" w:type="dxa"/>
            </w:tcMar>
            <w:vAlign w:val="center"/>
            <w:hideMark/>
          </w:tcPr>
          <w:p w14:paraId="5D17EDA1"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262</w:t>
            </w:r>
          </w:p>
        </w:tc>
        <w:tc>
          <w:tcPr>
            <w:tcW w:w="755" w:type="dxa"/>
            <w:tcMar>
              <w:top w:w="0" w:type="dxa"/>
              <w:left w:w="108" w:type="dxa"/>
              <w:bottom w:w="0" w:type="dxa"/>
              <w:right w:w="108" w:type="dxa"/>
            </w:tcMar>
            <w:vAlign w:val="center"/>
            <w:hideMark/>
          </w:tcPr>
          <w:p w14:paraId="7A0423F5"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695</w:t>
            </w:r>
          </w:p>
        </w:tc>
        <w:tc>
          <w:tcPr>
            <w:tcW w:w="755" w:type="dxa"/>
            <w:tcMar>
              <w:top w:w="0" w:type="dxa"/>
              <w:left w:w="108" w:type="dxa"/>
              <w:bottom w:w="0" w:type="dxa"/>
              <w:right w:w="108" w:type="dxa"/>
            </w:tcMar>
            <w:vAlign w:val="center"/>
            <w:hideMark/>
          </w:tcPr>
          <w:p w14:paraId="0BE4727B"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505</w:t>
            </w:r>
          </w:p>
        </w:tc>
        <w:tc>
          <w:tcPr>
            <w:tcW w:w="757" w:type="dxa"/>
            <w:tcMar>
              <w:top w:w="0" w:type="dxa"/>
              <w:left w:w="108" w:type="dxa"/>
              <w:bottom w:w="0" w:type="dxa"/>
              <w:right w:w="108" w:type="dxa"/>
            </w:tcMar>
            <w:vAlign w:val="center"/>
            <w:hideMark/>
          </w:tcPr>
          <w:p w14:paraId="5608918E" w14:textId="77777777" w:rsidR="009A1905" w:rsidRPr="00FC5932" w:rsidRDefault="009A1905" w:rsidP="0049377F">
            <w:pPr>
              <w:spacing w:after="0"/>
              <w:rPr>
                <w:rFonts w:cs="Arial"/>
                <w:sz w:val="20"/>
              </w:rPr>
            </w:pPr>
            <w:r w:rsidRPr="00FC5932">
              <w:rPr>
                <w:rFonts w:cs="Arial"/>
                <w:sz w:val="20"/>
              </w:rPr>
              <w:t>2</w:t>
            </w:r>
            <w:r>
              <w:rPr>
                <w:rFonts w:cs="Arial"/>
                <w:sz w:val="20"/>
              </w:rPr>
              <w:t>,</w:t>
            </w:r>
            <w:r w:rsidRPr="00FC5932">
              <w:rPr>
                <w:rFonts w:cs="Arial"/>
                <w:sz w:val="20"/>
              </w:rPr>
              <w:t>943</w:t>
            </w:r>
          </w:p>
        </w:tc>
        <w:tc>
          <w:tcPr>
            <w:tcW w:w="757" w:type="dxa"/>
            <w:tcMar>
              <w:top w:w="0" w:type="dxa"/>
              <w:left w:w="108" w:type="dxa"/>
              <w:bottom w:w="0" w:type="dxa"/>
              <w:right w:w="108" w:type="dxa"/>
            </w:tcMar>
            <w:vAlign w:val="center"/>
            <w:hideMark/>
          </w:tcPr>
          <w:p w14:paraId="21C4C942"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692</w:t>
            </w:r>
          </w:p>
        </w:tc>
        <w:tc>
          <w:tcPr>
            <w:tcW w:w="757" w:type="dxa"/>
            <w:tcMar>
              <w:top w:w="0" w:type="dxa"/>
              <w:left w:w="108" w:type="dxa"/>
              <w:bottom w:w="0" w:type="dxa"/>
              <w:right w:w="108" w:type="dxa"/>
            </w:tcMar>
            <w:vAlign w:val="center"/>
            <w:hideMark/>
          </w:tcPr>
          <w:p w14:paraId="1569A632"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467</w:t>
            </w:r>
          </w:p>
        </w:tc>
        <w:tc>
          <w:tcPr>
            <w:tcW w:w="757" w:type="dxa"/>
            <w:tcMar>
              <w:top w:w="0" w:type="dxa"/>
              <w:left w:w="108" w:type="dxa"/>
              <w:bottom w:w="0" w:type="dxa"/>
              <w:right w:w="108" w:type="dxa"/>
            </w:tcMar>
            <w:vAlign w:val="center"/>
            <w:hideMark/>
          </w:tcPr>
          <w:p w14:paraId="11198F01" w14:textId="77777777" w:rsidR="009A1905" w:rsidRPr="00FC5932" w:rsidRDefault="009A1905" w:rsidP="0049377F">
            <w:pPr>
              <w:spacing w:after="0"/>
              <w:rPr>
                <w:rFonts w:cs="Arial"/>
                <w:sz w:val="20"/>
              </w:rPr>
            </w:pPr>
            <w:r w:rsidRPr="00FC5932">
              <w:rPr>
                <w:rFonts w:cs="Arial"/>
                <w:sz w:val="20"/>
              </w:rPr>
              <w:t>4</w:t>
            </w:r>
            <w:r>
              <w:rPr>
                <w:rFonts w:cs="Arial"/>
                <w:sz w:val="20"/>
              </w:rPr>
              <w:t>,</w:t>
            </w:r>
            <w:r w:rsidRPr="00FC5932">
              <w:rPr>
                <w:rFonts w:cs="Arial"/>
                <w:sz w:val="20"/>
              </w:rPr>
              <w:t>088</w:t>
            </w:r>
          </w:p>
        </w:tc>
        <w:tc>
          <w:tcPr>
            <w:tcW w:w="757" w:type="dxa"/>
            <w:tcMar>
              <w:top w:w="0" w:type="dxa"/>
              <w:left w:w="108" w:type="dxa"/>
              <w:bottom w:w="0" w:type="dxa"/>
              <w:right w:w="108" w:type="dxa"/>
            </w:tcMar>
            <w:vAlign w:val="center"/>
            <w:hideMark/>
          </w:tcPr>
          <w:p w14:paraId="1C8FCDBE"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229</w:t>
            </w:r>
          </w:p>
        </w:tc>
        <w:tc>
          <w:tcPr>
            <w:tcW w:w="757" w:type="dxa"/>
            <w:tcMar>
              <w:top w:w="0" w:type="dxa"/>
              <w:left w:w="108" w:type="dxa"/>
              <w:bottom w:w="0" w:type="dxa"/>
              <w:right w:w="108" w:type="dxa"/>
            </w:tcMar>
            <w:vAlign w:val="center"/>
            <w:hideMark/>
          </w:tcPr>
          <w:p w14:paraId="53D4A439"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075</w:t>
            </w:r>
          </w:p>
        </w:tc>
        <w:tc>
          <w:tcPr>
            <w:tcW w:w="757" w:type="dxa"/>
            <w:tcMar>
              <w:top w:w="0" w:type="dxa"/>
              <w:left w:w="108" w:type="dxa"/>
              <w:bottom w:w="0" w:type="dxa"/>
              <w:right w:w="108" w:type="dxa"/>
            </w:tcMar>
            <w:vAlign w:val="center"/>
            <w:hideMark/>
          </w:tcPr>
          <w:p w14:paraId="1FAD135F" w14:textId="77777777" w:rsidR="009A1905" w:rsidRPr="00FC5932" w:rsidRDefault="009A1905" w:rsidP="0049377F">
            <w:pPr>
              <w:spacing w:after="0"/>
              <w:rPr>
                <w:rFonts w:cs="Arial"/>
                <w:sz w:val="20"/>
              </w:rPr>
            </w:pPr>
            <w:r w:rsidRPr="00FC5932">
              <w:rPr>
                <w:rFonts w:cs="Arial"/>
                <w:sz w:val="20"/>
              </w:rPr>
              <w:t>3</w:t>
            </w:r>
            <w:r>
              <w:rPr>
                <w:rFonts w:cs="Arial"/>
                <w:sz w:val="20"/>
              </w:rPr>
              <w:t>,</w:t>
            </w:r>
            <w:r w:rsidRPr="00FC5932">
              <w:rPr>
                <w:rFonts w:cs="Arial"/>
                <w:sz w:val="20"/>
              </w:rPr>
              <w:t>198</w:t>
            </w:r>
          </w:p>
        </w:tc>
      </w:tr>
    </w:tbl>
    <w:p w14:paraId="5FFD9B0D" w14:textId="6D7A615E" w:rsidR="00706069" w:rsidRDefault="008F29BC" w:rsidP="00573445">
      <w:pPr>
        <w:pStyle w:val="Body"/>
        <w:spacing w:before="120"/>
        <w:rPr>
          <w:rFonts w:eastAsia="Arial" w:cs="Arial"/>
          <w:szCs w:val="21"/>
        </w:rPr>
      </w:pPr>
      <w:r w:rsidRPr="000F6CBA">
        <w:rPr>
          <w:rFonts w:eastAsia="Arial" w:cs="Arial"/>
          <w:szCs w:val="21"/>
        </w:rPr>
        <w:t>Foodborne illness can have a significant impact on public health, wellbeing, food production</w:t>
      </w:r>
      <w:r w:rsidR="00706069">
        <w:rPr>
          <w:rFonts w:eastAsia="Arial" w:cs="Arial"/>
          <w:szCs w:val="21"/>
        </w:rPr>
        <w:t>,</w:t>
      </w:r>
      <w:r w:rsidRPr="000F6CBA">
        <w:rPr>
          <w:rFonts w:eastAsia="Arial" w:cs="Arial"/>
          <w:szCs w:val="21"/>
        </w:rPr>
        <w:t xml:space="preserve"> and processing industries. In Australia</w:t>
      </w:r>
      <w:r w:rsidR="00706069">
        <w:rPr>
          <w:rFonts w:eastAsia="Arial" w:cs="Arial"/>
          <w:szCs w:val="21"/>
        </w:rPr>
        <w:t>,</w:t>
      </w:r>
      <w:r w:rsidRPr="000F6CBA">
        <w:rPr>
          <w:rFonts w:eastAsia="Arial" w:cs="Arial"/>
          <w:szCs w:val="21"/>
        </w:rPr>
        <w:t xml:space="preserve"> an estimated 4.1 million domestically</w:t>
      </w:r>
      <w:r w:rsidR="00706069">
        <w:rPr>
          <w:rFonts w:eastAsia="Arial" w:cs="Arial"/>
          <w:szCs w:val="21"/>
        </w:rPr>
        <w:t>-</w:t>
      </w:r>
      <w:r w:rsidRPr="000F6CBA">
        <w:rPr>
          <w:rFonts w:eastAsia="Arial" w:cs="Arial"/>
          <w:szCs w:val="21"/>
        </w:rPr>
        <w:t>acquired cases of foodborne gastroenteritis occur</w:t>
      </w:r>
      <w:r w:rsidR="00706069">
        <w:rPr>
          <w:rFonts w:eastAsia="Arial" w:cs="Arial"/>
          <w:szCs w:val="21"/>
        </w:rPr>
        <w:t xml:space="preserve"> every year</w:t>
      </w:r>
      <w:r w:rsidRPr="000F6CBA">
        <w:rPr>
          <w:rFonts w:eastAsia="Arial" w:cs="Arial"/>
          <w:szCs w:val="21"/>
        </w:rPr>
        <w:t xml:space="preserve">, at an estimated </w:t>
      </w:r>
      <w:r w:rsidR="00706069">
        <w:rPr>
          <w:rFonts w:eastAsia="Arial" w:cs="Arial"/>
          <w:szCs w:val="21"/>
        </w:rPr>
        <w:t xml:space="preserve">annual </w:t>
      </w:r>
      <w:r w:rsidRPr="000F6CBA">
        <w:rPr>
          <w:rFonts w:eastAsia="Arial" w:cs="Arial"/>
          <w:szCs w:val="21"/>
        </w:rPr>
        <w:t xml:space="preserve">cost of $1.2 billion. </w:t>
      </w:r>
    </w:p>
    <w:p w14:paraId="23178902" w14:textId="3FFFFADD" w:rsidR="00706069" w:rsidRDefault="008F29BC" w:rsidP="00840617">
      <w:pPr>
        <w:pStyle w:val="Body"/>
        <w:rPr>
          <w:rFonts w:eastAsia="Arial" w:cs="Arial"/>
          <w:szCs w:val="21"/>
        </w:rPr>
      </w:pPr>
      <w:r w:rsidRPr="000F6CBA">
        <w:rPr>
          <w:rFonts w:eastAsia="Arial" w:cs="Arial"/>
          <w:szCs w:val="21"/>
        </w:rPr>
        <w:t>A safe food supply chain is critical for food security and consumer trust</w:t>
      </w:r>
      <w:r w:rsidR="00706069">
        <w:rPr>
          <w:rFonts w:eastAsia="Arial" w:cs="Arial"/>
          <w:szCs w:val="21"/>
        </w:rPr>
        <w:t xml:space="preserve">, </w:t>
      </w:r>
      <w:r w:rsidRPr="000F6CBA">
        <w:rPr>
          <w:rFonts w:eastAsia="Arial" w:cs="Arial"/>
          <w:szCs w:val="21"/>
        </w:rPr>
        <w:t xml:space="preserve">domestically and internationally. The </w:t>
      </w:r>
      <w:r w:rsidRPr="000F6CBA">
        <w:rPr>
          <w:rFonts w:eastAsia="Arial" w:cs="Arial"/>
          <w:i/>
          <w:szCs w:val="21"/>
        </w:rPr>
        <w:t>Victorian Foodborne Illness Reduction Strategy 2019</w:t>
      </w:r>
      <w:r w:rsidR="00706069">
        <w:rPr>
          <w:rFonts w:eastAsia="Arial" w:cs="Arial"/>
          <w:i/>
          <w:szCs w:val="21"/>
        </w:rPr>
        <w:t>-</w:t>
      </w:r>
      <w:r w:rsidRPr="000F6CBA">
        <w:rPr>
          <w:rFonts w:eastAsia="Arial" w:cs="Arial"/>
          <w:i/>
          <w:szCs w:val="21"/>
        </w:rPr>
        <w:t>2022</w:t>
      </w:r>
      <w:r w:rsidRPr="000F6CBA">
        <w:rPr>
          <w:rFonts w:eastAsia="Arial" w:cs="Arial"/>
          <w:szCs w:val="21"/>
        </w:rPr>
        <w:t xml:space="preserve"> aims to protect consumers and </w:t>
      </w:r>
      <w:r w:rsidR="00706069">
        <w:rPr>
          <w:rFonts w:eastAsia="Arial" w:cs="Arial"/>
          <w:szCs w:val="21"/>
        </w:rPr>
        <w:t xml:space="preserve">the </w:t>
      </w:r>
      <w:r w:rsidRPr="000F6CBA">
        <w:rPr>
          <w:rFonts w:eastAsia="Arial" w:cs="Arial"/>
          <w:szCs w:val="21"/>
        </w:rPr>
        <w:t>food industry from the impact of foodborne disease</w:t>
      </w:r>
      <w:r w:rsidR="00706069">
        <w:rPr>
          <w:rFonts w:eastAsia="Arial" w:cs="Arial"/>
          <w:szCs w:val="21"/>
        </w:rPr>
        <w:t>.</w:t>
      </w:r>
    </w:p>
    <w:p w14:paraId="4235465A" w14:textId="77777777" w:rsidR="002E12BA" w:rsidRDefault="002E12BA" w:rsidP="002E12BA">
      <w:pPr>
        <w:pStyle w:val="Heading3"/>
      </w:pPr>
      <w:r>
        <w:t>Find out more</w:t>
      </w:r>
    </w:p>
    <w:p w14:paraId="4A06BA82" w14:textId="3B4445CF" w:rsidR="00BF2B3D" w:rsidRDefault="00987DC3" w:rsidP="009872BA">
      <w:pPr>
        <w:pStyle w:val="Body"/>
      </w:pPr>
      <w:r w:rsidRPr="001425B1">
        <w:rPr>
          <w:color w:val="2A2736"/>
          <w:szCs w:val="21"/>
        </w:rPr>
        <w:t>F</w:t>
      </w:r>
      <w:r w:rsidR="00881590" w:rsidRPr="001425B1">
        <w:rPr>
          <w:color w:val="2A2736"/>
          <w:szCs w:val="21"/>
        </w:rPr>
        <w:t>ind</w:t>
      </w:r>
      <w:r w:rsidRPr="001425B1">
        <w:rPr>
          <w:color w:val="2A2736"/>
          <w:szCs w:val="21"/>
        </w:rPr>
        <w:t xml:space="preserve"> </w:t>
      </w:r>
      <w:r w:rsidR="00964C19" w:rsidRPr="001425B1">
        <w:rPr>
          <w:color w:val="2A2736"/>
          <w:szCs w:val="21"/>
        </w:rPr>
        <w:t>out more</w:t>
      </w:r>
      <w:r w:rsidRPr="001425B1">
        <w:rPr>
          <w:color w:val="2A2736"/>
          <w:szCs w:val="21"/>
        </w:rPr>
        <w:t xml:space="preserve"> </w:t>
      </w:r>
      <w:r w:rsidR="008F29BC" w:rsidRPr="001425B1">
        <w:t xml:space="preserve">about </w:t>
      </w:r>
      <w:r w:rsidR="00357540" w:rsidRPr="001425B1">
        <w:t>Food Safety</w:t>
      </w:r>
      <w:r w:rsidR="00964C19" w:rsidRPr="001425B1">
        <w:t xml:space="preserve"> at</w:t>
      </w:r>
      <w:r w:rsidR="00BF2B3D" w:rsidRPr="001425B1">
        <w:t>:</w:t>
      </w:r>
    </w:p>
    <w:p w14:paraId="19E5EC5F" w14:textId="16B9636A" w:rsidR="009D6347" w:rsidRPr="008F29BC" w:rsidRDefault="008F29BC" w:rsidP="009D6347">
      <w:pPr>
        <w:rPr>
          <w:i/>
          <w:iCs/>
        </w:rPr>
      </w:pPr>
      <w:r w:rsidRPr="000F6CBA">
        <w:rPr>
          <w:i/>
          <w:iCs/>
        </w:rPr>
        <w:t xml:space="preserve">Victorian Foodborne Illness Reduction Strategy 2019-2021 </w:t>
      </w:r>
      <w:r w:rsidR="0036236A">
        <w:rPr>
          <w:rStyle w:val="BodyChar"/>
        </w:rPr>
        <w:t xml:space="preserve">on </w:t>
      </w:r>
      <w:r w:rsidRPr="0036236A">
        <w:rPr>
          <w:rStyle w:val="BodyChar"/>
        </w:rPr>
        <w:t>the department’s website</w:t>
      </w:r>
      <w:r w:rsidRPr="000F6CBA">
        <w:rPr>
          <w:i/>
          <w:iCs/>
        </w:rPr>
        <w:t xml:space="preserve">, </w:t>
      </w:r>
      <w:hyperlink r:id="rId36">
        <w:r w:rsidRPr="00FE71EF">
          <w:rPr>
            <w:color w:val="004C97"/>
            <w:u w:val="dotted"/>
          </w:rPr>
          <w:t>health.vic</w:t>
        </w:r>
      </w:hyperlink>
      <w:r w:rsidRPr="0036236A">
        <w:rPr>
          <w:i/>
          <w:iCs/>
        </w:rPr>
        <w:t xml:space="preserve"> </w:t>
      </w:r>
      <w:r w:rsidRPr="00062954">
        <w:t>&lt;https://www.health.vic.gov.au/publications/food-surveillance-2018-2019&gt;</w:t>
      </w:r>
      <w:r w:rsidR="009D6347" w:rsidRPr="00062954">
        <w:t>.</w:t>
      </w:r>
    </w:p>
    <w:p w14:paraId="24A9A552" w14:textId="33A9AEC4" w:rsidR="009D6347" w:rsidRPr="00874A21" w:rsidRDefault="009D6347" w:rsidP="009D6347">
      <w:pPr>
        <w:rPr>
          <w:rFonts w:eastAsia="Arial" w:cs="Arial"/>
          <w:szCs w:val="21"/>
        </w:rPr>
      </w:pPr>
      <w:r w:rsidRPr="00A0601A">
        <w:rPr>
          <w:rFonts w:eastAsia="Arial" w:cs="Arial"/>
          <w:szCs w:val="21"/>
        </w:rPr>
        <w:t>Joint Australia New Zealand Food Safety Regulation Framework, including the Forum (now call</w:t>
      </w:r>
      <w:r w:rsidR="002908AB" w:rsidRPr="00A0601A">
        <w:rPr>
          <w:rFonts w:eastAsia="Arial" w:cs="Arial"/>
          <w:szCs w:val="21"/>
        </w:rPr>
        <w:t>ed</w:t>
      </w:r>
      <w:r w:rsidRPr="00A0601A">
        <w:rPr>
          <w:rFonts w:eastAsia="Arial" w:cs="Arial"/>
          <w:szCs w:val="21"/>
        </w:rPr>
        <w:t xml:space="preserve"> the Minister’s Meeting), </w:t>
      </w:r>
      <w:r w:rsidR="00A0601A">
        <w:rPr>
          <w:rStyle w:val="BodyChar"/>
        </w:rPr>
        <w:t xml:space="preserve">on </w:t>
      </w:r>
      <w:r w:rsidR="00A0601A" w:rsidRPr="0036236A">
        <w:rPr>
          <w:rStyle w:val="BodyChar"/>
        </w:rPr>
        <w:t>the department’s website</w:t>
      </w:r>
      <w:r w:rsidR="00A0601A" w:rsidRPr="00A0601A" w:rsidDel="00A0601A">
        <w:rPr>
          <w:rFonts w:eastAsia="Arial" w:cs="Arial"/>
          <w:szCs w:val="21"/>
        </w:rPr>
        <w:t xml:space="preserve"> </w:t>
      </w:r>
      <w:hyperlink r:id="rId37">
        <w:r w:rsidRPr="00A0601A">
          <w:rPr>
            <w:rStyle w:val="Hyperlink"/>
            <w:rFonts w:eastAsia="Arial" w:cs="Arial"/>
            <w:szCs w:val="21"/>
          </w:rPr>
          <w:t>health.vic</w:t>
        </w:r>
      </w:hyperlink>
      <w:r w:rsidRPr="00874A21">
        <w:rPr>
          <w:rFonts w:eastAsia="Arial" w:cs="Arial"/>
          <w:szCs w:val="21"/>
        </w:rPr>
        <w:t xml:space="preserve"> &lt;https://www.health.vic.gov.au/food-safety/food-safety-laws-and-regulations&gt;.</w:t>
      </w:r>
    </w:p>
    <w:p w14:paraId="4FFF0D62" w14:textId="77777777" w:rsidR="006C656B" w:rsidRDefault="006C656B" w:rsidP="009D6347"/>
    <w:p w14:paraId="20A698C6" w14:textId="77777777" w:rsidR="009D6347" w:rsidRDefault="009D6347" w:rsidP="009D6347">
      <w:pPr>
        <w:pStyle w:val="Heading2"/>
      </w:pPr>
      <w:bookmarkStart w:id="53" w:name="_Toc116981368"/>
      <w:r>
        <w:lastRenderedPageBreak/>
        <w:t>Anaphylaxis Notification System</w:t>
      </w:r>
    </w:p>
    <w:p w14:paraId="323FA8DD" w14:textId="77777777" w:rsidR="009D6347" w:rsidRDefault="009D6347" w:rsidP="009D6347">
      <w:pPr>
        <w:pStyle w:val="Heading3"/>
        <w:rPr>
          <w:szCs w:val="30"/>
        </w:rPr>
      </w:pPr>
      <w:r w:rsidRPr="063F7C4A">
        <w:t>Background</w:t>
      </w:r>
    </w:p>
    <w:p w14:paraId="4F3E0452" w14:textId="77777777" w:rsidR="009D6347" w:rsidRPr="002852DC" w:rsidRDefault="009D6347" w:rsidP="00047710">
      <w:pPr>
        <w:pStyle w:val="Body"/>
      </w:pPr>
      <w:r w:rsidRPr="002852DC">
        <w:t xml:space="preserve">Anaphylaxis is a severe, potentially life-threatening hypersensitivity reaction characterized by rapid onset of breathing or circulatory problems that may be accompanied by skin and mucosal changes, and other systemic symptoms (Safer Care Victoria, 2019). </w:t>
      </w:r>
    </w:p>
    <w:p w14:paraId="1938960F" w14:textId="074C7D2A" w:rsidR="009D6347" w:rsidRPr="002852DC" w:rsidRDefault="00DE0BE1" w:rsidP="00047710">
      <w:pPr>
        <w:pStyle w:val="Body"/>
      </w:pPr>
      <w:r>
        <w:t xml:space="preserve">Since </w:t>
      </w:r>
      <w:r w:rsidR="009D6347" w:rsidRPr="4501F8E3">
        <w:t xml:space="preserve">1 November 2018, Victorian hospitals </w:t>
      </w:r>
      <w:r>
        <w:t xml:space="preserve">have been required to </w:t>
      </w:r>
      <w:r w:rsidR="009D6347" w:rsidRPr="4501F8E3">
        <w:t xml:space="preserve">notify anaphylaxis cases presenting for treatment. Cases of anaphylaxis attributed to packaged food </w:t>
      </w:r>
      <w:r>
        <w:t xml:space="preserve">must </w:t>
      </w:r>
      <w:r w:rsidR="009D6347" w:rsidRPr="4501F8E3">
        <w:t xml:space="preserve">be notified immediately after initial diagnosis, and within five days if anaphylaxis is attributed to any other suspected cause. </w:t>
      </w:r>
      <w:r>
        <w:t>A</w:t>
      </w:r>
      <w:r w:rsidRPr="4501F8E3">
        <w:t xml:space="preserve">naphylaxis </w:t>
      </w:r>
      <w:r>
        <w:t>n</w:t>
      </w:r>
      <w:r w:rsidR="009D6347" w:rsidRPr="4501F8E3">
        <w:t>otifications are made through an electronic web form</w:t>
      </w:r>
      <w:r>
        <w:t>,</w:t>
      </w:r>
      <w:r w:rsidR="67BDAC4A" w:rsidRPr="0EC0DF69">
        <w:t xml:space="preserve"> which is integrated into the department’s database</w:t>
      </w:r>
      <w:r w:rsidR="009D6347" w:rsidRPr="0EC0DF69">
        <w:t>.</w:t>
      </w:r>
      <w:r w:rsidR="199791EC" w:rsidRPr="0EC0DF69">
        <w:t xml:space="preserve"> </w:t>
      </w:r>
      <w:r>
        <w:t>T</w:t>
      </w:r>
      <w:r w:rsidR="4E90A7C0" w:rsidRPr="0B8E47E8">
        <w:t>his notification system</w:t>
      </w:r>
      <w:r>
        <w:t>, which is a world first,</w:t>
      </w:r>
      <w:r w:rsidR="2404407F" w:rsidRPr="0B8E47E8">
        <w:t xml:space="preserve"> </w:t>
      </w:r>
      <w:r w:rsidR="310B7CD6" w:rsidRPr="0B8E47E8">
        <w:t>has resulted in multiple food recalls and a growing dataset to inform preventative strategies.</w:t>
      </w:r>
    </w:p>
    <w:p w14:paraId="2AE16FE1" w14:textId="0B2A6145" w:rsidR="009D6347" w:rsidRPr="002852DC" w:rsidRDefault="009D6347" w:rsidP="00047710">
      <w:pPr>
        <w:pStyle w:val="Body"/>
      </w:pPr>
      <w:r w:rsidRPr="00E1767F">
        <w:t xml:space="preserve">The </w:t>
      </w:r>
      <w:r w:rsidRPr="00C17EE8">
        <w:rPr>
          <w:i/>
          <w:iCs/>
        </w:rPr>
        <w:t>Public Health and Wellbeing Act 2008</w:t>
      </w:r>
      <w:r w:rsidRPr="00E1767F">
        <w:t xml:space="preserve"> was amended to</w:t>
      </w:r>
      <w:r w:rsidRPr="4501F8E3">
        <w:t xml:space="preserve"> require Victorian public and private hospitals to make these notifications to the Victorian Department of Health. The amendments were in response to the Victorian coroner’s recommendation following a child</w:t>
      </w:r>
      <w:r w:rsidR="00DE0BE1">
        <w:t>’s</w:t>
      </w:r>
      <w:r w:rsidRPr="4501F8E3">
        <w:t xml:space="preserve"> death </w:t>
      </w:r>
      <w:r w:rsidR="00DE0BE1">
        <w:t xml:space="preserve">from </w:t>
      </w:r>
      <w:r w:rsidRPr="4501F8E3">
        <w:t>anaphylaxis aft</w:t>
      </w:r>
      <w:r w:rsidR="00DE0BE1">
        <w:t xml:space="preserve">er </w:t>
      </w:r>
      <w:r w:rsidRPr="4501F8E3">
        <w:t>consum</w:t>
      </w:r>
      <w:r w:rsidR="00DE0BE1">
        <w:t xml:space="preserve">ing </w:t>
      </w:r>
      <w:r w:rsidRPr="4501F8E3">
        <w:t xml:space="preserve">mislabelled food.   </w:t>
      </w:r>
    </w:p>
    <w:p w14:paraId="258DC795" w14:textId="77777777" w:rsidR="009D6347" w:rsidRDefault="009D6347" w:rsidP="009D6347">
      <w:pPr>
        <w:pStyle w:val="Heading3"/>
        <w:rPr>
          <w:szCs w:val="30"/>
        </w:rPr>
      </w:pPr>
      <w:r w:rsidRPr="063F7C4A">
        <w:t>Notification system objectives</w:t>
      </w:r>
    </w:p>
    <w:p w14:paraId="46251405" w14:textId="1EF9FC26" w:rsidR="009D6347" w:rsidRDefault="009D6347" w:rsidP="00047710">
      <w:pPr>
        <w:pStyle w:val="Body"/>
      </w:pPr>
      <w:r w:rsidRPr="063F7C4A">
        <w:rPr>
          <w:rFonts w:eastAsia="Arial" w:cs="Arial"/>
          <w:color w:val="000000" w:themeColor="text1"/>
          <w:szCs w:val="21"/>
        </w:rPr>
        <w:t>The notification system seeks to minimise morbidity and mortality associated with anaphylaxis by identifying</w:t>
      </w:r>
      <w:r w:rsidR="00CE1C01">
        <w:rPr>
          <w:rFonts w:eastAsia="Arial" w:cs="Arial"/>
          <w:color w:val="000000" w:themeColor="text1"/>
          <w:szCs w:val="21"/>
        </w:rPr>
        <w:t xml:space="preserve"> </w:t>
      </w:r>
      <w:r w:rsidRPr="002E12EE">
        <w:t>mislabelled packaged foods in the marketplace and poor allergen management at council-registered food premises serving unpackaged food</w:t>
      </w:r>
      <w:r w:rsidR="00BD7527">
        <w:t>.</w:t>
      </w:r>
    </w:p>
    <w:p w14:paraId="177DE3BA" w14:textId="33EC17A0" w:rsidR="009D6347" w:rsidRDefault="005D56FC" w:rsidP="00047710">
      <w:pPr>
        <w:pStyle w:val="Body"/>
      </w:pPr>
      <w:r>
        <w:t>Th</w:t>
      </w:r>
      <w:r w:rsidR="00A67577">
        <w:t>e aim of the system</w:t>
      </w:r>
      <w:r>
        <w:t xml:space="preserve"> </w:t>
      </w:r>
      <w:r w:rsidR="00A67577">
        <w:t xml:space="preserve">is to reduce public health risks by </w:t>
      </w:r>
      <w:r>
        <w:t>facilitat</w:t>
      </w:r>
      <w:r w:rsidR="00A67577">
        <w:t>ing</w:t>
      </w:r>
      <w:r w:rsidR="009D6347" w:rsidRPr="063F7C4A">
        <w:t xml:space="preserve"> timely and appropriate public health action.</w:t>
      </w:r>
      <w:r w:rsidR="009D6347">
        <w:t xml:space="preserve"> In</w:t>
      </w:r>
      <w:r w:rsidR="00A67577">
        <w:t xml:space="preserve"> addition, in</w:t>
      </w:r>
      <w:r w:rsidR="009D6347" w:rsidRPr="00A359AD">
        <w:t>vestigations may lead to</w:t>
      </w:r>
      <w:r w:rsidR="00A67577">
        <w:t>:</w:t>
      </w:r>
      <w:r w:rsidR="009D6347" w:rsidRPr="00A359AD">
        <w:t xml:space="preserve"> </w:t>
      </w:r>
      <w:r w:rsidR="00A67577">
        <w:t xml:space="preserve">the </w:t>
      </w:r>
      <w:r w:rsidR="009D6347" w:rsidRPr="00A359AD">
        <w:t>provision of advice, information</w:t>
      </w:r>
      <w:r w:rsidR="00A67577">
        <w:t>,</w:t>
      </w:r>
      <w:r w:rsidR="009D6347" w:rsidRPr="00A359AD">
        <w:t xml:space="preserve"> and education on allergen management</w:t>
      </w:r>
      <w:r w:rsidR="00A67577">
        <w:t>;</w:t>
      </w:r>
      <w:r w:rsidR="009D6347" w:rsidRPr="00A359AD">
        <w:t xml:space="preserve"> </w:t>
      </w:r>
      <w:r w:rsidR="00A67577">
        <w:t xml:space="preserve">the issuing of </w:t>
      </w:r>
      <w:r w:rsidR="009D6347" w:rsidRPr="00A359AD">
        <w:t>a Food Act order</w:t>
      </w:r>
      <w:r w:rsidR="00A67577">
        <w:t>;</w:t>
      </w:r>
      <w:r w:rsidR="009D6347" w:rsidRPr="00A359AD">
        <w:t xml:space="preserve"> or prosecution.</w:t>
      </w:r>
      <w:r w:rsidR="009D6347">
        <w:t xml:space="preserve">  </w:t>
      </w:r>
    </w:p>
    <w:p w14:paraId="53961D3A" w14:textId="5F87C2FC" w:rsidR="009D6347" w:rsidRDefault="009D6347" w:rsidP="009D6347">
      <w:pPr>
        <w:pStyle w:val="Heading3"/>
      </w:pPr>
      <w:r w:rsidRPr="063F7C4A">
        <w:t>Investigation and response</w:t>
      </w:r>
      <w:r>
        <w:t xml:space="preserve"> </w:t>
      </w:r>
    </w:p>
    <w:p w14:paraId="40EC1EED" w14:textId="36F59C9B" w:rsidR="009D6347" w:rsidRPr="00B63662" w:rsidRDefault="00A67577" w:rsidP="00590143">
      <w:pPr>
        <w:pStyle w:val="Body"/>
      </w:pPr>
      <w:r>
        <w:t>Regarding investigations, t</w:t>
      </w:r>
      <w:r w:rsidR="009D6347" w:rsidRPr="00B63662">
        <w:t xml:space="preserve">he </w:t>
      </w:r>
      <w:r>
        <w:t xml:space="preserve">FSU </w:t>
      </w:r>
      <w:r w:rsidR="009D6347" w:rsidRPr="00B63662">
        <w:t xml:space="preserve">Investigation and Compliance team leads </w:t>
      </w:r>
      <w:r>
        <w:t xml:space="preserve">the </w:t>
      </w:r>
      <w:r w:rsidR="009D6347" w:rsidRPr="00B63662">
        <w:t>assessment, investigation, and implementation of appropriate public health response</w:t>
      </w:r>
      <w:r>
        <w:t>s. The team</w:t>
      </w:r>
      <w:r w:rsidR="009D6347" w:rsidRPr="00B63662">
        <w:t xml:space="preserve"> collabora</w:t>
      </w:r>
      <w:r>
        <w:t>tes</w:t>
      </w:r>
      <w:r w:rsidR="009D6347" w:rsidRPr="00B63662">
        <w:t xml:space="preserve"> with the epidemiologist, hospitals, food regulators</w:t>
      </w:r>
      <w:r>
        <w:t>,</w:t>
      </w:r>
      <w:r w:rsidR="009D6347" w:rsidRPr="00B63662">
        <w:t xml:space="preserve"> and local councils. </w:t>
      </w:r>
    </w:p>
    <w:p w14:paraId="3D6B304E" w14:textId="7E9CC7B9" w:rsidR="009D6347" w:rsidRPr="00914C81" w:rsidRDefault="009D6347" w:rsidP="009D6347">
      <w:pPr>
        <w:pStyle w:val="Heading3"/>
        <w:spacing w:after="0" w:afterAutospacing="1"/>
        <w:rPr>
          <w:rStyle w:val="BodyChar"/>
        </w:rPr>
      </w:pPr>
      <w:r w:rsidRPr="063F7C4A">
        <w:t>Outcomes</w:t>
      </w:r>
      <w:r>
        <w:t xml:space="preserve"> </w:t>
      </w:r>
    </w:p>
    <w:p w14:paraId="542901BE" w14:textId="17B100D0" w:rsidR="009D6347" w:rsidRDefault="00A67577" w:rsidP="00EC4422">
      <w:pPr>
        <w:pStyle w:val="Body"/>
      </w:pPr>
      <w:r>
        <w:t xml:space="preserve">In 2019, </w:t>
      </w:r>
      <w:r w:rsidR="009D6347" w:rsidRPr="063F7C4A">
        <w:t xml:space="preserve">2,054 cases of anaphylaxis were </w:t>
      </w:r>
      <w:r>
        <w:t>notified. Those cases</w:t>
      </w:r>
      <w:r w:rsidR="009D6347" w:rsidRPr="063F7C4A">
        <w:t xml:space="preserve"> equat</w:t>
      </w:r>
      <w:r>
        <w:t>e</w:t>
      </w:r>
      <w:r w:rsidR="009D6347" w:rsidRPr="063F7C4A">
        <w:t xml:space="preserve"> to a monthly average of 171 and a rate of 33 per 100,000 population. </w:t>
      </w:r>
    </w:p>
    <w:p w14:paraId="541F8062" w14:textId="7C78DB23" w:rsidR="00792A45" w:rsidRDefault="009D6347" w:rsidP="00EC4422">
      <w:pPr>
        <w:pStyle w:val="Body"/>
      </w:pPr>
      <w:r w:rsidRPr="063F7C4A">
        <w:t>Cases attributed to consumption of food account for 1,240 cases</w:t>
      </w:r>
      <w:r w:rsidR="00A67577">
        <w:t xml:space="preserve"> – or 60 per cent of total cases</w:t>
      </w:r>
      <w:r w:rsidRPr="063F7C4A">
        <w:t>. Of these</w:t>
      </w:r>
      <w:r w:rsidR="00A67577">
        <w:t xml:space="preserve"> cases</w:t>
      </w:r>
      <w:r w:rsidR="00473376">
        <w:t>:</w:t>
      </w:r>
    </w:p>
    <w:p w14:paraId="698F70D8" w14:textId="437BDB08" w:rsidR="00792A45" w:rsidRPr="00A01DA9" w:rsidRDefault="009D6347" w:rsidP="00F646C5">
      <w:pPr>
        <w:pStyle w:val="Bullet1"/>
      </w:pPr>
      <w:r>
        <w:t>364 (29 per cent) were due to packaged food</w:t>
      </w:r>
    </w:p>
    <w:p w14:paraId="06144265" w14:textId="018E8B91" w:rsidR="00792A45" w:rsidRPr="00792A45" w:rsidRDefault="009D6347" w:rsidP="00F646C5">
      <w:pPr>
        <w:pStyle w:val="Bullet1"/>
        <w:rPr>
          <w:rFonts w:eastAsia="Arial" w:cs="Arial"/>
        </w:rPr>
      </w:pPr>
      <w:r>
        <w:t>458 (37 per cent) were due to unpackaged food from food premises</w:t>
      </w:r>
    </w:p>
    <w:p w14:paraId="4434B4F5" w14:textId="3AE08075" w:rsidR="009D6347" w:rsidRPr="00792A45" w:rsidRDefault="009D6347" w:rsidP="00F646C5">
      <w:pPr>
        <w:pStyle w:val="Bullet1"/>
        <w:rPr>
          <w:rFonts w:eastAsia="Arial" w:cs="Arial"/>
        </w:rPr>
      </w:pPr>
      <w:r>
        <w:t>418 (34 per cent) were due to food</w:t>
      </w:r>
      <w:r w:rsidR="00A67577">
        <w:t>/</w:t>
      </w:r>
      <w:r>
        <w:t>other</w:t>
      </w:r>
      <w:r w:rsidR="00A67577">
        <w:t>.</w:t>
      </w:r>
    </w:p>
    <w:p w14:paraId="0405A0B5" w14:textId="51ACDDFF" w:rsidR="009D6347" w:rsidRDefault="00A67577" w:rsidP="00CB2782">
      <w:pPr>
        <w:spacing w:after="40"/>
        <w:rPr>
          <w:rFonts w:ascii="Calibri" w:eastAsia="Calibri" w:hAnsi="Calibri" w:cs="Calibri"/>
          <w:szCs w:val="21"/>
        </w:rPr>
      </w:pPr>
      <w:r>
        <w:rPr>
          <w:rStyle w:val="BodyChar"/>
        </w:rPr>
        <w:t>The a</w:t>
      </w:r>
      <w:r w:rsidR="009D6347" w:rsidRPr="00EC4422">
        <w:rPr>
          <w:rStyle w:val="BodyChar"/>
        </w:rPr>
        <w:t xml:space="preserve">ssessment and investigation of cases attributed to </w:t>
      </w:r>
      <w:r>
        <w:rPr>
          <w:rStyle w:val="BodyChar"/>
        </w:rPr>
        <w:t xml:space="preserve">the </w:t>
      </w:r>
      <w:r w:rsidR="009D6347" w:rsidRPr="00EC4422">
        <w:rPr>
          <w:rStyle w:val="BodyChar"/>
        </w:rPr>
        <w:t>consumption of food resulted in</w:t>
      </w:r>
      <w:r w:rsidR="00CB2782" w:rsidRPr="00EC4422">
        <w:rPr>
          <w:rStyle w:val="BodyChar"/>
        </w:rPr>
        <w:t xml:space="preserve"> t</w:t>
      </w:r>
      <w:r w:rsidR="009D6347" w:rsidRPr="00EC4422">
        <w:rPr>
          <w:rStyle w:val="BodyChar"/>
        </w:rPr>
        <w:t>wo packaged food recalls</w:t>
      </w:r>
      <w:r w:rsidR="00CB2782" w:rsidRPr="00EC4422">
        <w:rPr>
          <w:rStyle w:val="BodyChar"/>
        </w:rPr>
        <w:t xml:space="preserve"> and </w:t>
      </w:r>
      <w:r w:rsidR="0027019F" w:rsidRPr="00EC4422">
        <w:rPr>
          <w:rStyle w:val="BodyChar"/>
        </w:rPr>
        <w:t>92</w:t>
      </w:r>
      <w:r w:rsidR="009D6347" w:rsidRPr="00EC4422">
        <w:rPr>
          <w:rStyle w:val="BodyChar"/>
        </w:rPr>
        <w:t xml:space="preserve"> referrals to local councils for further investigation.</w:t>
      </w:r>
      <w:r w:rsidR="009D6347" w:rsidRPr="063F7C4A">
        <w:t xml:space="preserve"> </w:t>
      </w:r>
    </w:p>
    <w:p w14:paraId="117E68BA" w14:textId="77777777" w:rsidR="0027019F" w:rsidRDefault="0027019F" w:rsidP="0027019F"/>
    <w:p w14:paraId="66F30237" w14:textId="28DFF038" w:rsidR="009D6347" w:rsidRPr="005A0FE0" w:rsidRDefault="009D6347" w:rsidP="005710A7">
      <w:pPr>
        <w:pStyle w:val="Body"/>
      </w:pPr>
      <w:r w:rsidRPr="063F7C4A">
        <w:lastRenderedPageBreak/>
        <w:t xml:space="preserve">There were 814 notified </w:t>
      </w:r>
      <w:r w:rsidR="00A67577">
        <w:t xml:space="preserve">or </w:t>
      </w:r>
      <w:r w:rsidR="00A67577" w:rsidRPr="063F7C4A">
        <w:t>40 per cent</w:t>
      </w:r>
      <w:r w:rsidR="00A67577">
        <w:t xml:space="preserve"> of total</w:t>
      </w:r>
      <w:r w:rsidR="00A67577" w:rsidRPr="063F7C4A">
        <w:t xml:space="preserve"> </w:t>
      </w:r>
      <w:r w:rsidRPr="063F7C4A">
        <w:t>cases attributed to suspected causes other than consumption of food</w:t>
      </w:r>
      <w:r w:rsidR="00A67577">
        <w:t>. Those cases included</w:t>
      </w:r>
      <w:r w:rsidRPr="063F7C4A">
        <w:t>:</w:t>
      </w:r>
    </w:p>
    <w:p w14:paraId="13A8D63E" w14:textId="77777777" w:rsidR="009D6347" w:rsidRPr="0027019F" w:rsidRDefault="009D6347" w:rsidP="00F646C5">
      <w:pPr>
        <w:pStyle w:val="Bullet1"/>
        <w:rPr>
          <w:rFonts w:eastAsia="Arial" w:cs="Arial"/>
          <w:szCs w:val="21"/>
        </w:rPr>
      </w:pPr>
      <w:r>
        <w:t>u</w:t>
      </w:r>
      <w:r w:rsidRPr="063F7C4A">
        <w:t>nknown cause: 320 (16 per cent)</w:t>
      </w:r>
    </w:p>
    <w:p w14:paraId="4F2FCF54" w14:textId="77777777" w:rsidR="009D6347" w:rsidRPr="0027019F" w:rsidRDefault="009D6347" w:rsidP="00F646C5">
      <w:pPr>
        <w:pStyle w:val="Bullet1"/>
        <w:rPr>
          <w:rFonts w:eastAsia="Arial" w:cs="Arial"/>
          <w:szCs w:val="21"/>
        </w:rPr>
      </w:pPr>
      <w:r>
        <w:t>d</w:t>
      </w:r>
      <w:r w:rsidRPr="063F7C4A">
        <w:t>rug: 255 (12 per cent)</w:t>
      </w:r>
    </w:p>
    <w:p w14:paraId="7831BC4D" w14:textId="77777777" w:rsidR="009D6347" w:rsidRPr="0027019F" w:rsidRDefault="009D6347" w:rsidP="00F646C5">
      <w:pPr>
        <w:pStyle w:val="Bullet1"/>
        <w:rPr>
          <w:rFonts w:eastAsia="Arial" w:cs="Arial"/>
          <w:szCs w:val="21"/>
        </w:rPr>
      </w:pPr>
      <w:r>
        <w:t>i</w:t>
      </w:r>
      <w:r w:rsidRPr="063F7C4A">
        <w:t>nsect venom: 163 (8 per cent)</w:t>
      </w:r>
    </w:p>
    <w:p w14:paraId="2711E0AB" w14:textId="77777777" w:rsidR="009D6347" w:rsidRPr="0027019F" w:rsidRDefault="009D6347" w:rsidP="00F646C5">
      <w:pPr>
        <w:pStyle w:val="Bullet1"/>
        <w:rPr>
          <w:rFonts w:eastAsia="Arial" w:cs="Arial"/>
          <w:szCs w:val="21"/>
        </w:rPr>
      </w:pPr>
      <w:r>
        <w:t>o</w:t>
      </w:r>
      <w:r w:rsidRPr="063F7C4A">
        <w:t>ther cause: 71 (3 per cent)</w:t>
      </w:r>
    </w:p>
    <w:p w14:paraId="73E4BBFC" w14:textId="30F20D4F" w:rsidR="009D6347" w:rsidRPr="0027019F" w:rsidRDefault="009D6347" w:rsidP="00F646C5">
      <w:pPr>
        <w:pStyle w:val="Bullet1"/>
        <w:rPr>
          <w:rFonts w:eastAsia="Arial" w:cs="Arial"/>
          <w:szCs w:val="21"/>
        </w:rPr>
      </w:pPr>
      <w:r>
        <w:t>v</w:t>
      </w:r>
      <w:r w:rsidRPr="063F7C4A">
        <w:t>accine: 4 (</w:t>
      </w:r>
      <w:r w:rsidR="00A068FF">
        <w:t xml:space="preserve">less than </w:t>
      </w:r>
      <w:r w:rsidRPr="063F7C4A">
        <w:t>1 per cent)</w:t>
      </w:r>
    </w:p>
    <w:p w14:paraId="510E6D37" w14:textId="2F4CF185" w:rsidR="009D6347" w:rsidRDefault="009D6347" w:rsidP="00F646C5">
      <w:pPr>
        <w:pStyle w:val="Bullet1"/>
      </w:pPr>
      <w:r>
        <w:t>b</w:t>
      </w:r>
      <w:r w:rsidRPr="063F7C4A">
        <w:t>lood</w:t>
      </w:r>
      <w:r w:rsidR="00A67577">
        <w:t>-</w:t>
      </w:r>
      <w:r w:rsidRPr="063F7C4A">
        <w:t>derived product: 1 (</w:t>
      </w:r>
      <w:r w:rsidR="00A068FF">
        <w:t xml:space="preserve">less than </w:t>
      </w:r>
      <w:r w:rsidRPr="063F7C4A">
        <w:t>1 per cent)</w:t>
      </w:r>
      <w:r w:rsidR="00116ABA">
        <w:t>.</w:t>
      </w:r>
    </w:p>
    <w:p w14:paraId="078E521D" w14:textId="54C79870" w:rsidR="009D6347" w:rsidRDefault="009D6347" w:rsidP="009D6347">
      <w:pPr>
        <w:pStyle w:val="Heading2"/>
      </w:pPr>
      <w:r w:rsidRPr="4C8EF378">
        <w:rPr>
          <w:bCs/>
        </w:rPr>
        <w:t>I</w:t>
      </w:r>
      <w:r w:rsidRPr="4C8EF378">
        <w:rPr>
          <w:bCs/>
          <w:szCs w:val="32"/>
        </w:rPr>
        <w:t>ntroduction of the Food Safety Ref</w:t>
      </w:r>
      <w:r w:rsidRPr="4C8EF378">
        <w:rPr>
          <w:bCs/>
        </w:rPr>
        <w:t xml:space="preserve">orms Program </w:t>
      </w:r>
    </w:p>
    <w:p w14:paraId="6384F4FB" w14:textId="3E3D2A77" w:rsidR="00A67577" w:rsidRDefault="007E5511" w:rsidP="0051732F">
      <w:pPr>
        <w:rPr>
          <w:rFonts w:eastAsia="Arial" w:cs="Arial"/>
          <w:szCs w:val="21"/>
        </w:rPr>
      </w:pPr>
      <w:r w:rsidRPr="000F6CBA">
        <w:rPr>
          <w:rFonts w:eastAsia="Arial" w:cs="Arial"/>
          <w:szCs w:val="21"/>
        </w:rPr>
        <w:t xml:space="preserve">The Small Business Regulation Review (Retail) is a key component of the Victorian Government’s commitment to reduce unnecessary regulatory burden on small business. The review sought to understand small business experience in terms of starting a business, particularly the regulatory requirements. The review involved </w:t>
      </w:r>
      <w:r w:rsidR="00A67577">
        <w:rPr>
          <w:rFonts w:eastAsia="Arial" w:cs="Arial"/>
          <w:szCs w:val="21"/>
        </w:rPr>
        <w:t xml:space="preserve">a </w:t>
      </w:r>
      <w:r w:rsidRPr="000F6CBA">
        <w:rPr>
          <w:rFonts w:eastAsia="Arial" w:cs="Arial"/>
          <w:szCs w:val="21"/>
        </w:rPr>
        <w:t>broad engagement with the small business sector</w:t>
      </w:r>
      <w:r w:rsidR="00A67577">
        <w:rPr>
          <w:rFonts w:eastAsia="Arial" w:cs="Arial"/>
          <w:szCs w:val="21"/>
        </w:rPr>
        <w:t>,</w:t>
      </w:r>
      <w:r w:rsidRPr="000F6CBA">
        <w:rPr>
          <w:rFonts w:eastAsia="Arial" w:cs="Arial"/>
          <w:szCs w:val="21"/>
        </w:rPr>
        <w:t xml:space="preserve"> including surveys, industry round tables, written submissions, individual meetings, and interviews.</w:t>
      </w:r>
      <w:r w:rsidR="00A67577">
        <w:rPr>
          <w:rFonts w:eastAsia="Arial" w:cs="Arial"/>
          <w:szCs w:val="21"/>
        </w:rPr>
        <w:t xml:space="preserve"> </w:t>
      </w:r>
    </w:p>
    <w:p w14:paraId="0D94CAD3" w14:textId="2E678280" w:rsidR="007E5511" w:rsidRPr="000F6CBA" w:rsidRDefault="00A67577" w:rsidP="0051732F">
      <w:pPr>
        <w:rPr>
          <w:rFonts w:eastAsia="Arial" w:cs="Arial"/>
          <w:szCs w:val="21"/>
        </w:rPr>
      </w:pPr>
      <w:r>
        <w:rPr>
          <w:rFonts w:eastAsia="Arial" w:cs="Arial"/>
          <w:szCs w:val="21"/>
        </w:rPr>
        <w:t>T</w:t>
      </w:r>
      <w:r w:rsidR="007E5511" w:rsidRPr="000F6CBA">
        <w:rPr>
          <w:rFonts w:eastAsia="Arial" w:cs="Arial"/>
          <w:szCs w:val="21"/>
        </w:rPr>
        <w:t xml:space="preserve">he review identified three key objectives: </w:t>
      </w:r>
    </w:p>
    <w:p w14:paraId="2035A8BE" w14:textId="54063EBE" w:rsidR="007E5511" w:rsidRPr="000F6CBA" w:rsidRDefault="00A67577" w:rsidP="002830AC">
      <w:pPr>
        <w:numPr>
          <w:ilvl w:val="0"/>
          <w:numId w:val="18"/>
        </w:numPr>
        <w:contextualSpacing/>
        <w:rPr>
          <w:szCs w:val="21"/>
        </w:rPr>
      </w:pPr>
      <w:r>
        <w:rPr>
          <w:szCs w:val="21"/>
        </w:rPr>
        <w:t xml:space="preserve">Make </w:t>
      </w:r>
      <w:r w:rsidR="007E5511" w:rsidRPr="000F6CBA">
        <w:rPr>
          <w:szCs w:val="21"/>
        </w:rPr>
        <w:t>it is easier and faster to comply with relevant regulation</w:t>
      </w:r>
      <w:r>
        <w:rPr>
          <w:szCs w:val="21"/>
        </w:rPr>
        <w:t>.</w:t>
      </w:r>
    </w:p>
    <w:p w14:paraId="45973B51" w14:textId="0EA1DB7D" w:rsidR="007E5511" w:rsidRPr="000F6CBA" w:rsidRDefault="00A67577" w:rsidP="002830AC">
      <w:pPr>
        <w:numPr>
          <w:ilvl w:val="0"/>
          <w:numId w:val="18"/>
        </w:numPr>
        <w:contextualSpacing/>
        <w:rPr>
          <w:szCs w:val="21"/>
        </w:rPr>
      </w:pPr>
      <w:r>
        <w:rPr>
          <w:szCs w:val="21"/>
        </w:rPr>
        <w:t>P</w:t>
      </w:r>
      <w:r w:rsidR="007E5511" w:rsidRPr="000F6CBA">
        <w:rPr>
          <w:szCs w:val="21"/>
        </w:rPr>
        <w:t>rovide confidence and certainty in the regulatory system</w:t>
      </w:r>
      <w:r>
        <w:rPr>
          <w:szCs w:val="21"/>
        </w:rPr>
        <w:t>.</w:t>
      </w:r>
    </w:p>
    <w:p w14:paraId="55CB7867" w14:textId="726E036E" w:rsidR="007E5511" w:rsidRPr="000F6CBA" w:rsidRDefault="00A67577" w:rsidP="002830AC">
      <w:pPr>
        <w:numPr>
          <w:ilvl w:val="0"/>
          <w:numId w:val="18"/>
        </w:numPr>
        <w:ind w:left="714" w:hanging="357"/>
        <w:rPr>
          <w:szCs w:val="21"/>
        </w:rPr>
      </w:pPr>
      <w:r>
        <w:rPr>
          <w:szCs w:val="21"/>
        </w:rPr>
        <w:t>E</w:t>
      </w:r>
      <w:r w:rsidR="007E5511" w:rsidRPr="000F6CBA">
        <w:rPr>
          <w:szCs w:val="21"/>
        </w:rPr>
        <w:t>nsure unique regulatory compliance needs are met.</w:t>
      </w:r>
    </w:p>
    <w:p w14:paraId="79D6E96C" w14:textId="1EBC5669" w:rsidR="007E5511" w:rsidRPr="000F6CBA" w:rsidRDefault="007E5511" w:rsidP="003F0E7F">
      <w:pPr>
        <w:pStyle w:val="Body"/>
      </w:pPr>
      <w:r w:rsidRPr="000F6CBA">
        <w:t xml:space="preserve">The review recommended several reforms to </w:t>
      </w:r>
      <w:r w:rsidR="00A67577">
        <w:t xml:space="preserve">help </w:t>
      </w:r>
      <w:r w:rsidRPr="000F6CBA">
        <w:t>food businesses and local government better understand</w:t>
      </w:r>
      <w:r w:rsidR="005262D2">
        <w:t xml:space="preserve">, </w:t>
      </w:r>
      <w:r w:rsidRPr="000F6CBA">
        <w:t>apply food safety regulation</w:t>
      </w:r>
      <w:r w:rsidR="005262D2">
        <w:t>,</w:t>
      </w:r>
      <w:r w:rsidRPr="000F6CBA">
        <w:t xml:space="preserve"> and </w:t>
      </w:r>
      <w:r w:rsidR="005262D2">
        <w:t xml:space="preserve">meet </w:t>
      </w:r>
      <w:r w:rsidRPr="000F6CBA">
        <w:t xml:space="preserve">their obligations under the Victorian </w:t>
      </w:r>
      <w:r w:rsidRPr="000F6CBA">
        <w:rPr>
          <w:i/>
          <w:iCs/>
        </w:rPr>
        <w:t>Food Act 1984</w:t>
      </w:r>
      <w:r w:rsidRPr="000F6CBA">
        <w:t xml:space="preserve">. These recommendations led to the creation of the Food Safety Reform Program (the Program) in the </w:t>
      </w:r>
      <w:r w:rsidR="005262D2">
        <w:t>FSU</w:t>
      </w:r>
      <w:r w:rsidRPr="000F6CBA">
        <w:t>.</w:t>
      </w:r>
    </w:p>
    <w:p w14:paraId="675334BE" w14:textId="3A4BB078" w:rsidR="009D6347" w:rsidRDefault="007E5511" w:rsidP="003F0E7F">
      <w:pPr>
        <w:pStyle w:val="Body"/>
      </w:pPr>
      <w:r w:rsidRPr="000F6CBA">
        <w:t xml:space="preserve">The </w:t>
      </w:r>
      <w:r w:rsidR="00AE6296">
        <w:t>P</w:t>
      </w:r>
      <w:r w:rsidRPr="000F6CBA">
        <w:t>rogram is implementing changes over the next few years to make it simpler, clearer, and quicker for food businesses to operate in Victoria. The Program manages a group of interrelated projects under four main themes, each aligned to the key objectives of the review being ‘quicker, simpler; clearer</w:t>
      </w:r>
      <w:r w:rsidR="00AE6296">
        <w:t>’</w:t>
      </w:r>
      <w:r w:rsidR="009D6347" w:rsidRPr="07CD2806">
        <w:t xml:space="preserve">). </w:t>
      </w:r>
    </w:p>
    <w:p w14:paraId="7E1B3895" w14:textId="77777777" w:rsidR="009D6347" w:rsidRDefault="009D6347" w:rsidP="009D6347">
      <w:pPr>
        <w:pStyle w:val="Heading3"/>
        <w:spacing w:afterAutospacing="1"/>
      </w:pPr>
      <w:r w:rsidRPr="07CD2806">
        <w:t>Key achievements during 2019</w:t>
      </w:r>
    </w:p>
    <w:p w14:paraId="6CF3278E" w14:textId="2ECEAC9D" w:rsidR="006347C3" w:rsidRPr="000F6CBA" w:rsidRDefault="006347C3" w:rsidP="003F0E7F">
      <w:pPr>
        <w:pStyle w:val="Body"/>
      </w:pPr>
      <w:r w:rsidRPr="000F6CBA">
        <w:t xml:space="preserve">Since June 2018, when the </w:t>
      </w:r>
      <w:r w:rsidR="00AE6296">
        <w:t>P</w:t>
      </w:r>
      <w:r w:rsidRPr="000F6CBA">
        <w:t xml:space="preserve">rogram was officially launched, the </w:t>
      </w:r>
      <w:r w:rsidR="00AE6296">
        <w:t xml:space="preserve">FSU </w:t>
      </w:r>
      <w:r w:rsidRPr="000F6CBA">
        <w:t>has engaged extensively with councils, food businesses</w:t>
      </w:r>
      <w:r w:rsidR="00AE6296">
        <w:t>,</w:t>
      </w:r>
      <w:r w:rsidRPr="000F6CBA">
        <w:t xml:space="preserve"> and the food industry via meetings and forums</w:t>
      </w:r>
      <w:r w:rsidR="00AE6296">
        <w:t xml:space="preserve">, as well as through </w:t>
      </w:r>
      <w:r w:rsidRPr="000F6CBA">
        <w:t xml:space="preserve">regular website updates, newsletters, and flyers. </w:t>
      </w:r>
    </w:p>
    <w:p w14:paraId="47416959" w14:textId="77777777" w:rsidR="006347C3" w:rsidRPr="000F6CBA" w:rsidRDefault="006347C3" w:rsidP="00E93019">
      <w:pPr>
        <w:pStyle w:val="Heading4"/>
      </w:pPr>
      <w:r w:rsidRPr="000F6CBA">
        <w:t>Quicker</w:t>
      </w:r>
    </w:p>
    <w:p w14:paraId="3373516D" w14:textId="03BE9364" w:rsidR="006347C3" w:rsidRPr="000F6CBA" w:rsidRDefault="0084353A" w:rsidP="004E4D67">
      <w:pPr>
        <w:pStyle w:val="Body"/>
      </w:pPr>
      <w:r>
        <w:t xml:space="preserve">One of the </w:t>
      </w:r>
      <w:r w:rsidR="006347C3" w:rsidRPr="0B8E47E8">
        <w:t>key goal</w:t>
      </w:r>
      <w:r>
        <w:t>s</w:t>
      </w:r>
      <w:r w:rsidR="006347C3" w:rsidRPr="0B8E47E8">
        <w:t xml:space="preserve"> </w:t>
      </w:r>
      <w:r>
        <w:t xml:space="preserve">of </w:t>
      </w:r>
      <w:r w:rsidR="006347C3" w:rsidRPr="0B8E47E8">
        <w:t>the Program</w:t>
      </w:r>
      <w:r>
        <w:t xml:space="preserve"> is to make </w:t>
      </w:r>
      <w:r w:rsidRPr="0B8E47E8">
        <w:t xml:space="preserve">it </w:t>
      </w:r>
      <w:r>
        <w:t xml:space="preserve">easier </w:t>
      </w:r>
      <w:r w:rsidRPr="0B8E47E8">
        <w:t>for food businesses and councils to manage the registration of food premises</w:t>
      </w:r>
      <w:r w:rsidR="006347C3" w:rsidRPr="0B8E47E8">
        <w:t xml:space="preserve">. </w:t>
      </w:r>
    </w:p>
    <w:p w14:paraId="6A07911F" w14:textId="369A701C" w:rsidR="006347C3" w:rsidRPr="000F6CBA" w:rsidRDefault="006347C3" w:rsidP="004E4D67">
      <w:pPr>
        <w:pStyle w:val="Body"/>
        <w:rPr>
          <w:szCs w:val="21"/>
        </w:rPr>
      </w:pPr>
      <w:r w:rsidRPr="000F6CBA">
        <w:rPr>
          <w:szCs w:val="21"/>
        </w:rPr>
        <w:t xml:space="preserve">Streatrader, the </w:t>
      </w:r>
      <w:r w:rsidR="0084353A">
        <w:rPr>
          <w:szCs w:val="21"/>
        </w:rPr>
        <w:t xml:space="preserve">FSU’s </w:t>
      </w:r>
      <w:r w:rsidRPr="000F6CBA">
        <w:rPr>
          <w:szCs w:val="21"/>
        </w:rPr>
        <w:t xml:space="preserve">online registration system for temporary and mobile food businesses, was </w:t>
      </w:r>
      <w:r w:rsidR="0084353A">
        <w:rPr>
          <w:szCs w:val="21"/>
        </w:rPr>
        <w:t xml:space="preserve">revamped. The revamp made the system: </w:t>
      </w:r>
      <w:r w:rsidRPr="000F6CBA">
        <w:rPr>
          <w:szCs w:val="21"/>
        </w:rPr>
        <w:t>less administratively burdensome for councils</w:t>
      </w:r>
      <w:r w:rsidR="0084353A">
        <w:rPr>
          <w:szCs w:val="21"/>
        </w:rPr>
        <w:t>;</w:t>
      </w:r>
      <w:r w:rsidRPr="000F6CBA">
        <w:rPr>
          <w:szCs w:val="21"/>
        </w:rPr>
        <w:t xml:space="preserve"> quicker for businesses and community groups to participate in events at short notice</w:t>
      </w:r>
      <w:r w:rsidR="0084353A">
        <w:rPr>
          <w:szCs w:val="21"/>
        </w:rPr>
        <w:t>;</w:t>
      </w:r>
      <w:r w:rsidRPr="000F6CBA">
        <w:rPr>
          <w:szCs w:val="21"/>
        </w:rPr>
        <w:t xml:space="preserve"> and easier for organisers to quickly access and manage their event registrations. Since May 2019, mobile and temporary food businesses can lodge a statement</w:t>
      </w:r>
      <w:r w:rsidR="0084353A">
        <w:rPr>
          <w:szCs w:val="21"/>
        </w:rPr>
        <w:t>-</w:t>
      </w:r>
      <w:r w:rsidRPr="000F6CBA">
        <w:rPr>
          <w:szCs w:val="21"/>
        </w:rPr>
        <w:t>of</w:t>
      </w:r>
      <w:r w:rsidR="0084353A">
        <w:rPr>
          <w:szCs w:val="21"/>
        </w:rPr>
        <w:t>-</w:t>
      </w:r>
      <w:r w:rsidRPr="000F6CBA">
        <w:rPr>
          <w:szCs w:val="21"/>
        </w:rPr>
        <w:t xml:space="preserve">trade one business day prior to an event with their principal and/or trading council. </w:t>
      </w:r>
    </w:p>
    <w:p w14:paraId="10549B53" w14:textId="77777777" w:rsidR="006347C3" w:rsidRPr="000F6CBA" w:rsidRDefault="006347C3" w:rsidP="00E93019">
      <w:pPr>
        <w:pStyle w:val="Heading4"/>
      </w:pPr>
      <w:r w:rsidRPr="000F6CBA">
        <w:lastRenderedPageBreak/>
        <w:t>Simpler</w:t>
      </w:r>
    </w:p>
    <w:p w14:paraId="18D77B2C" w14:textId="044D20F4" w:rsidR="006347C3" w:rsidRPr="000F6CBA" w:rsidRDefault="006347C3" w:rsidP="003C7187">
      <w:pPr>
        <w:pStyle w:val="Body"/>
      </w:pPr>
      <w:r w:rsidRPr="000F6CBA">
        <w:t xml:space="preserve">Preliminary work </w:t>
      </w:r>
      <w:r w:rsidR="0084353A">
        <w:t xml:space="preserve">focused </w:t>
      </w:r>
      <w:r w:rsidRPr="000F6CBA">
        <w:t>on simplifying record keeping requirements for some types of food premises and working with local councils to review and improve the way</w:t>
      </w:r>
      <w:r w:rsidR="0084353A">
        <w:t>s</w:t>
      </w:r>
      <w:r w:rsidRPr="000F6CBA">
        <w:t xml:space="preserve"> food premises are assessed and classified. The aim of this work </w:t>
      </w:r>
      <w:r w:rsidR="0084353A">
        <w:t>wa</w:t>
      </w:r>
      <w:r w:rsidRPr="000F6CBA">
        <w:t>s to develop an improved classification system that accurately classifie</w:t>
      </w:r>
      <w:r w:rsidR="0084353A">
        <w:t>d</w:t>
      </w:r>
      <w:r w:rsidRPr="000F6CBA">
        <w:t xml:space="preserve"> food premises based on the level of risk their activities </w:t>
      </w:r>
      <w:r w:rsidR="0084353A">
        <w:t xml:space="preserve">could </w:t>
      </w:r>
      <w:r w:rsidRPr="000F6CBA">
        <w:t xml:space="preserve">pose to public health.  </w:t>
      </w:r>
    </w:p>
    <w:p w14:paraId="1BF7F090" w14:textId="666D3001" w:rsidR="0084353A" w:rsidRDefault="006347C3" w:rsidP="003C7187">
      <w:pPr>
        <w:pStyle w:val="Body"/>
      </w:pPr>
      <w:r w:rsidRPr="000F6CBA">
        <w:t xml:space="preserve">By implementing system changes to Streatrader, the </w:t>
      </w:r>
      <w:r w:rsidR="0084353A">
        <w:t xml:space="preserve">FSU </w:t>
      </w:r>
      <w:r w:rsidRPr="000F6CBA">
        <w:t>simplified how local councils record their assessments of mobile and temporary food premises, making it easier for E</w:t>
      </w:r>
      <w:r w:rsidR="006D790A">
        <w:t xml:space="preserve">nvironmental </w:t>
      </w:r>
      <w:r w:rsidRPr="000F6CBA">
        <w:t>H</w:t>
      </w:r>
      <w:r w:rsidR="006D790A">
        <w:t xml:space="preserve">ealth </w:t>
      </w:r>
      <w:r w:rsidRPr="000F6CBA">
        <w:t>O</w:t>
      </w:r>
      <w:r w:rsidR="006D790A">
        <w:t>fficer</w:t>
      </w:r>
      <w:r w:rsidRPr="000F6CBA">
        <w:t>s</w:t>
      </w:r>
      <w:r w:rsidR="006D790A">
        <w:t xml:space="preserve"> (EHO</w:t>
      </w:r>
      <w:r w:rsidR="00A81B84">
        <w:t>s</w:t>
      </w:r>
      <w:r w:rsidR="006D790A">
        <w:t>)</w:t>
      </w:r>
      <w:r w:rsidRPr="000F6CBA">
        <w:t xml:space="preserve"> to capture and analyse data in real time</w:t>
      </w:r>
      <w:r w:rsidR="001B46A8">
        <w:t>.</w:t>
      </w:r>
      <w:r w:rsidR="00FE4D8B">
        <w:t xml:space="preserve"> </w:t>
      </w:r>
    </w:p>
    <w:p w14:paraId="2D1891D2" w14:textId="35B60407" w:rsidR="006347C3" w:rsidRPr="000F6CBA" w:rsidRDefault="0084353A" w:rsidP="003C7187">
      <w:pPr>
        <w:pStyle w:val="Body"/>
      </w:pPr>
      <w:r>
        <w:t>In addition, w</w:t>
      </w:r>
      <w:r w:rsidR="006347C3" w:rsidRPr="000F6CBA">
        <w:t xml:space="preserve">ork has commenced to make it simpler for local councils to access relevant information and guidance materials </w:t>
      </w:r>
      <w:r>
        <w:t xml:space="preserve">through </w:t>
      </w:r>
      <w:r w:rsidR="006347C3" w:rsidRPr="000F6CBA">
        <w:t xml:space="preserve">the creation of a new, online information hub for EHOs and other local council staff. </w:t>
      </w:r>
    </w:p>
    <w:p w14:paraId="229EF7DD" w14:textId="77777777" w:rsidR="006347C3" w:rsidRPr="000F6CBA" w:rsidRDefault="006347C3" w:rsidP="00E93019">
      <w:pPr>
        <w:pStyle w:val="Heading4"/>
      </w:pPr>
      <w:r w:rsidRPr="000F6CBA">
        <w:t>Clearer</w:t>
      </w:r>
    </w:p>
    <w:p w14:paraId="47979334" w14:textId="0B361DCF" w:rsidR="006347C3" w:rsidRPr="000F6CBA" w:rsidRDefault="006347C3" w:rsidP="003C7187">
      <w:pPr>
        <w:pStyle w:val="Body"/>
      </w:pPr>
      <w:r w:rsidRPr="000F6CBA">
        <w:rPr>
          <w:sz w:val="20"/>
        </w:rPr>
        <w:t>I</w:t>
      </w:r>
      <w:r w:rsidRPr="000F6CBA">
        <w:t>n 2018 and 2019</w:t>
      </w:r>
      <w:r w:rsidR="0084353A">
        <w:t>,</w:t>
      </w:r>
      <w:r w:rsidRPr="000F6CBA">
        <w:t xml:space="preserve"> the </w:t>
      </w:r>
      <w:r w:rsidR="0084353A">
        <w:t xml:space="preserve">FSU </w:t>
      </w:r>
      <w:r w:rsidRPr="000F6CBA">
        <w:t xml:space="preserve">worked with councils and food businesses to develop guidance materials on how to interpret and apply the Act. </w:t>
      </w:r>
      <w:r w:rsidR="0084353A">
        <w:t xml:space="preserve">A </w:t>
      </w:r>
      <w:r w:rsidRPr="000F6CBA">
        <w:t xml:space="preserve">range of guidance </w:t>
      </w:r>
      <w:r w:rsidR="0084353A">
        <w:t xml:space="preserve">materials have been produced </w:t>
      </w:r>
      <w:r w:rsidRPr="000F6CBA">
        <w:t>for councils, starting with a package addressing the enforcement tools available to EHOs under the Act</w:t>
      </w:r>
      <w:r w:rsidR="0084353A">
        <w:t xml:space="preserve">. That information package </w:t>
      </w:r>
      <w:r w:rsidRPr="000F6CBA">
        <w:t>includ</w:t>
      </w:r>
      <w:r w:rsidR="0084353A">
        <w:t>es</w:t>
      </w:r>
      <w:r w:rsidRPr="000F6CBA">
        <w:t xml:space="preserve"> a comprehensive enforcement guide, </w:t>
      </w:r>
      <w:r w:rsidR="0084353A">
        <w:t xml:space="preserve">as well as </w:t>
      </w:r>
      <w:r w:rsidRPr="000F6CBA">
        <w:t>a prosecution tool kit made up of case studies, an animation, podcasts</w:t>
      </w:r>
      <w:r w:rsidR="0084353A">
        <w:t>,</w:t>
      </w:r>
      <w:r w:rsidRPr="000F6CBA">
        <w:t xml:space="preserve"> and templates.</w:t>
      </w:r>
    </w:p>
    <w:p w14:paraId="1CF71B64" w14:textId="028CA500" w:rsidR="006347C3" w:rsidRPr="000F6CBA" w:rsidRDefault="0084353A" w:rsidP="003C7187">
      <w:pPr>
        <w:pStyle w:val="Body"/>
      </w:pPr>
      <w:r>
        <w:t xml:space="preserve">The </w:t>
      </w:r>
      <w:r w:rsidR="00E16ED4">
        <w:t xml:space="preserve">department </w:t>
      </w:r>
      <w:r>
        <w:t>also provided p</w:t>
      </w:r>
      <w:r w:rsidR="006347C3" w:rsidRPr="000F6CBA">
        <w:t xml:space="preserve">rofessional development and training for council staff </w:t>
      </w:r>
      <w:r w:rsidR="00E16ED4">
        <w:t xml:space="preserve">and </w:t>
      </w:r>
      <w:r w:rsidR="006347C3" w:rsidRPr="000F6CBA">
        <w:t xml:space="preserve">EHOs. The </w:t>
      </w:r>
      <w:r w:rsidR="00E16ED4">
        <w:t xml:space="preserve">FSU held </w:t>
      </w:r>
      <w:r w:rsidR="006347C3" w:rsidRPr="000F6CBA">
        <w:t xml:space="preserve">regular workshops </w:t>
      </w:r>
      <w:r w:rsidR="00E16ED4">
        <w:t xml:space="preserve">across the state </w:t>
      </w:r>
      <w:r w:rsidR="006347C3" w:rsidRPr="000F6CBA">
        <w:t xml:space="preserve">to encourage dialogue and </w:t>
      </w:r>
      <w:r w:rsidR="006347C3" w:rsidRPr="00D718D6">
        <w:t>peer</w:t>
      </w:r>
      <w:r w:rsidR="006347C3" w:rsidRPr="00D718D6" w:rsidDel="002E1676">
        <w:t>-</w:t>
      </w:r>
      <w:r w:rsidR="006347C3" w:rsidRPr="00D718D6">
        <w:t>to</w:t>
      </w:r>
      <w:r w:rsidR="006347C3" w:rsidRPr="00D718D6" w:rsidDel="002E1676">
        <w:t>-</w:t>
      </w:r>
      <w:r w:rsidR="006347C3" w:rsidRPr="00D718D6">
        <w:t>peer learning</w:t>
      </w:r>
      <w:r w:rsidR="006347C3" w:rsidRPr="000F6CBA">
        <w:t xml:space="preserve"> among EHOs, such as theoretical and practical training on risk-based assessments</w:t>
      </w:r>
      <w:r w:rsidR="00E16ED4">
        <w:t>.</w:t>
      </w:r>
      <w:r w:rsidR="006347C3" w:rsidRPr="000F6CBA">
        <w:t xml:space="preserve"> The training was designed to </w:t>
      </w:r>
      <w:r w:rsidR="00E16ED4">
        <w:t xml:space="preserve">give </w:t>
      </w:r>
      <w:r w:rsidR="006347C3" w:rsidRPr="000F6CBA">
        <w:t>EHOs the skills to promote, embed</w:t>
      </w:r>
      <w:r w:rsidR="00E16ED4">
        <w:t>,</w:t>
      </w:r>
      <w:r w:rsidR="006347C3" w:rsidRPr="000F6CBA">
        <w:t xml:space="preserve"> and deliver a consistent, risk-based approach to food safety assessments. This </w:t>
      </w:r>
      <w:r w:rsidR="00E16ED4">
        <w:t xml:space="preserve">initiative </w:t>
      </w:r>
      <w:r w:rsidR="006347C3" w:rsidRPr="000F6CBA">
        <w:t xml:space="preserve">was </w:t>
      </w:r>
      <w:r w:rsidR="00E16ED4">
        <w:t xml:space="preserve">supported </w:t>
      </w:r>
      <w:r w:rsidR="006347C3" w:rsidRPr="000F6CBA">
        <w:t>by the development of a guide and training program on risk-based food safety assessments</w:t>
      </w:r>
      <w:r w:rsidR="00E16ED4">
        <w:t xml:space="preserve">. That </w:t>
      </w:r>
      <w:r w:rsidR="00E16ED4" w:rsidRPr="000F6CBA">
        <w:t>guide and training program on risk-based food safety assessments</w:t>
      </w:r>
      <w:r w:rsidR="006347C3" w:rsidRPr="000F6CBA">
        <w:t xml:space="preserve"> aimed to address inconsistencies across Victorian local councils by providing a uniform approach to risk-based food safety assessments. </w:t>
      </w:r>
      <w:r w:rsidR="00E16ED4">
        <w:t xml:space="preserve">By </w:t>
      </w:r>
      <w:r w:rsidR="006347C3" w:rsidRPr="000F6CBA">
        <w:t xml:space="preserve">the end of 2019, half of </w:t>
      </w:r>
      <w:r w:rsidR="00E16ED4">
        <w:t xml:space="preserve">Victoria’s </w:t>
      </w:r>
      <w:r w:rsidR="006347C3" w:rsidRPr="000F6CBA">
        <w:t xml:space="preserve">79 councils had completed the training. </w:t>
      </w:r>
    </w:p>
    <w:p w14:paraId="4EE29B93" w14:textId="37E21DBC" w:rsidR="006347C3" w:rsidRPr="000F6CBA" w:rsidRDefault="006347C3" w:rsidP="003C7187">
      <w:pPr>
        <w:pStyle w:val="Body"/>
      </w:pPr>
      <w:r w:rsidRPr="000F6CBA">
        <w:t xml:space="preserve">In addition to the training program and risk-based assessment guide, local councils were supported to implement a risk-based approach with the development of a food safety management policy template and associated guidance material.  </w:t>
      </w:r>
    </w:p>
    <w:bookmarkEnd w:id="53"/>
    <w:p w14:paraId="5C558162" w14:textId="77777777" w:rsidR="00761474" w:rsidRDefault="00761474" w:rsidP="00761474">
      <w:pPr>
        <w:spacing w:after="0" w:line="240" w:lineRule="auto"/>
        <w:rPr>
          <w:rFonts w:eastAsia="MS Mincho"/>
          <w:b/>
          <w:bCs/>
          <w:iCs/>
          <w:color w:val="000000" w:themeColor="text1"/>
          <w:szCs w:val="26"/>
        </w:rPr>
      </w:pPr>
      <w:r>
        <w:rPr>
          <w:rFonts w:eastAsia="MS Mincho"/>
          <w:b/>
          <w:bCs/>
          <w:iCs/>
          <w:color w:val="000000" w:themeColor="text1"/>
          <w:szCs w:val="26"/>
        </w:rPr>
        <w:t xml:space="preserve">References </w:t>
      </w:r>
    </w:p>
    <w:p w14:paraId="57516C5C" w14:textId="05B9FA3B" w:rsidR="00761474" w:rsidRPr="00230D22" w:rsidRDefault="00761474" w:rsidP="00761474">
      <w:pPr>
        <w:pStyle w:val="Body"/>
      </w:pPr>
      <w:r w:rsidRPr="00230D22">
        <w:t xml:space="preserve">Safer Care Victoria 2019, </w:t>
      </w:r>
      <w:r w:rsidRPr="00230D22">
        <w:rPr>
          <w:i/>
          <w:iCs/>
        </w:rPr>
        <w:t>Anaphylaxis clinical care standard</w:t>
      </w:r>
      <w:r w:rsidRPr="00230D22">
        <w:t>, viewed on 15 September 2022, State Government of Victoria, Melbourne &lt;https://www.safercare.vic.gov.au/sites/default/files/2019-02/Anaphylaxis%20Clinical%20Care%20Standard_WEB_0.pdf&gt;</w:t>
      </w:r>
      <w:r w:rsidR="0070592D">
        <w:t>.</w:t>
      </w:r>
    </w:p>
    <w:p w14:paraId="4F7BCC84" w14:textId="228EB786" w:rsidR="009D6347" w:rsidRDefault="009D6347" w:rsidP="003C7187">
      <w:pPr>
        <w:pStyle w:val="Body"/>
      </w:pPr>
      <w:r>
        <w:br w:type="page"/>
      </w:r>
    </w:p>
    <w:p w14:paraId="4C8A7875" w14:textId="4878A068" w:rsidR="00A134E8" w:rsidRPr="005731DD" w:rsidRDefault="005731DD" w:rsidP="005731DD">
      <w:pPr>
        <w:pStyle w:val="Heading1"/>
      </w:pPr>
      <w:bookmarkStart w:id="54" w:name="_Toc116981315"/>
      <w:bookmarkStart w:id="55" w:name="_Toc128138645"/>
      <w:r>
        <w:lastRenderedPageBreak/>
        <w:t xml:space="preserve">Chapter </w:t>
      </w:r>
      <w:r w:rsidR="000E13E3">
        <w:t>6</w:t>
      </w:r>
      <w:r>
        <w:t xml:space="preserve"> </w:t>
      </w:r>
      <w:r w:rsidR="00E16ED4">
        <w:t>–</w:t>
      </w:r>
      <w:r>
        <w:t xml:space="preserve"> </w:t>
      </w:r>
      <w:r w:rsidR="00A134E8" w:rsidRPr="005731DD">
        <w:t>Victoria’s population</w:t>
      </w:r>
      <w:r w:rsidR="00DD5077">
        <w:t>: Who we are</w:t>
      </w:r>
      <w:bookmarkEnd w:id="54"/>
      <w:bookmarkEnd w:id="55"/>
      <w:r w:rsidR="00A134E8" w:rsidRPr="005731DD">
        <w:t xml:space="preserve"> </w:t>
      </w:r>
    </w:p>
    <w:p w14:paraId="30AB4937" w14:textId="5E1FE101" w:rsidR="00EE559A" w:rsidRDefault="00411C87" w:rsidP="00EE559A">
      <w:pPr>
        <w:pStyle w:val="Body"/>
      </w:pPr>
      <w:r w:rsidRPr="00411C87">
        <w:rPr>
          <w:i/>
          <w:iCs/>
        </w:rPr>
        <w:t>Your</w:t>
      </w:r>
      <w:r w:rsidR="0005619B" w:rsidRPr="00411C87">
        <w:rPr>
          <w:i/>
        </w:rPr>
        <w:t xml:space="preserve"> </w:t>
      </w:r>
      <w:r w:rsidR="00E16ED4">
        <w:rPr>
          <w:i/>
        </w:rPr>
        <w:t>h</w:t>
      </w:r>
      <w:r w:rsidR="0005619B" w:rsidRPr="00411C87">
        <w:rPr>
          <w:i/>
        </w:rPr>
        <w:t xml:space="preserve">ealth </w:t>
      </w:r>
      <w:r w:rsidR="0005619B">
        <w:t>highlight</w:t>
      </w:r>
      <w:r w:rsidR="00EE559A">
        <w:t>s health and wellbeing trends and inequalities across Victorian populations.</w:t>
      </w:r>
      <w:r w:rsidR="00EE559A" w:rsidRPr="00EE559A">
        <w:t xml:space="preserve"> </w:t>
      </w:r>
      <w:r w:rsidR="00EE559A">
        <w:t>Th</w:t>
      </w:r>
      <w:r w:rsidR="00D85CB2">
        <w:t>is</w:t>
      </w:r>
      <w:r w:rsidR="00EE559A">
        <w:t xml:space="preserve"> section looks at the population profile of Victoria, </w:t>
      </w:r>
      <w:r w:rsidR="002C0140">
        <w:t>and explore</w:t>
      </w:r>
      <w:r w:rsidR="00D351C0">
        <w:t>s</w:t>
      </w:r>
      <w:r w:rsidR="00F4287B">
        <w:t xml:space="preserve"> demographic</w:t>
      </w:r>
      <w:r w:rsidR="002C0140">
        <w:t xml:space="preserve"> </w:t>
      </w:r>
      <w:r w:rsidR="00126EA7">
        <w:t xml:space="preserve">trends </w:t>
      </w:r>
      <w:r w:rsidR="00F4287B">
        <w:t xml:space="preserve">and differences </w:t>
      </w:r>
      <w:r w:rsidR="00126EA7">
        <w:t>by</w:t>
      </w:r>
      <w:r w:rsidR="002C0140">
        <w:t xml:space="preserve"> </w:t>
      </w:r>
      <w:r w:rsidR="00D351C0">
        <w:t xml:space="preserve">age, gender, </w:t>
      </w:r>
      <w:r w:rsidR="00D351C0" w:rsidRPr="00D351C0">
        <w:t xml:space="preserve">Aboriginal and Torres Strait Islander </w:t>
      </w:r>
      <w:r w:rsidR="00126EA7">
        <w:t>status, cultural diversity, income</w:t>
      </w:r>
      <w:r w:rsidR="00E16ED4">
        <w:t>,</w:t>
      </w:r>
      <w:r w:rsidR="00126EA7">
        <w:t xml:space="preserve"> and </w:t>
      </w:r>
      <w:r w:rsidR="00962633" w:rsidRPr="00C3508C">
        <w:t>LGBT</w:t>
      </w:r>
      <w:r w:rsidR="00962633">
        <w:t>IQ</w:t>
      </w:r>
      <w:r w:rsidR="00962633" w:rsidRPr="00C3508C">
        <w:t xml:space="preserve">+ </w:t>
      </w:r>
      <w:r w:rsidR="00F4287B">
        <w:t>status</w:t>
      </w:r>
      <w:r w:rsidR="00B55185">
        <w:t>.</w:t>
      </w:r>
    </w:p>
    <w:p w14:paraId="6AD5D324" w14:textId="77777777" w:rsidR="004B36AC" w:rsidRPr="004B36AC" w:rsidRDefault="004B36AC" w:rsidP="004B36AC">
      <w:pPr>
        <w:pStyle w:val="Heading2"/>
        <w:rPr>
          <w:bCs/>
        </w:rPr>
      </w:pPr>
      <w:bookmarkStart w:id="56" w:name="_Toc116981316"/>
      <w:r w:rsidRPr="004B36AC">
        <w:rPr>
          <w:bCs/>
        </w:rPr>
        <w:t>Key Statistics</w:t>
      </w:r>
      <w:bookmarkEnd w:id="56"/>
      <w:r w:rsidRPr="004B36AC">
        <w:rPr>
          <w:bCs/>
        </w:rPr>
        <w:t>  </w:t>
      </w:r>
    </w:p>
    <w:p w14:paraId="2811FD85" w14:textId="216D7925" w:rsidR="004B36AC" w:rsidRPr="004B36AC" w:rsidRDefault="004B36AC" w:rsidP="004B36AC">
      <w:pPr>
        <w:pStyle w:val="Body"/>
      </w:pPr>
      <w:r w:rsidRPr="004B36AC">
        <w:t>With a population of 6.5 million in June 2019, Victoria is Australia's second-most populous state after New South Wales (</w:t>
      </w:r>
      <w:r w:rsidR="00147AEE">
        <w:t>ABS</w:t>
      </w:r>
      <w:r w:rsidR="00FF0334">
        <w:t>,</w:t>
      </w:r>
      <w:r w:rsidRPr="004B36AC">
        <w:t xml:space="preserve"> 2018-19). </w:t>
      </w:r>
    </w:p>
    <w:p w14:paraId="5537B174" w14:textId="4B91F468" w:rsidR="004B36AC" w:rsidRPr="004B36AC" w:rsidRDefault="004B36AC" w:rsidP="004B36AC">
      <w:pPr>
        <w:pStyle w:val="Body"/>
      </w:pPr>
      <w:r w:rsidRPr="004B36AC">
        <w:t>Victoria represents approximately 25 per cent of Australia's population (</w:t>
      </w:r>
      <w:r w:rsidR="00207CFE">
        <w:t>ABS</w:t>
      </w:r>
      <w:r w:rsidR="00806D85">
        <w:t>,</w:t>
      </w:r>
      <w:r w:rsidRPr="004B36AC">
        <w:t xml:space="preserve"> 2019). </w:t>
      </w:r>
    </w:p>
    <w:p w14:paraId="549F9CAF" w14:textId="7FCD3D34" w:rsidR="004B36AC" w:rsidRPr="004B36AC" w:rsidRDefault="004B36AC" w:rsidP="004B36AC">
      <w:pPr>
        <w:pStyle w:val="Body"/>
      </w:pPr>
      <w:r w:rsidRPr="007E7CC3">
        <w:t>Melbourne</w:t>
      </w:r>
      <w:r w:rsidR="00E16ED4" w:rsidRPr="007E7CC3">
        <w:t>’s population</w:t>
      </w:r>
      <w:r w:rsidRPr="007E7CC3">
        <w:t xml:space="preserve"> grew the fastest of all capital cities in the country in 2019, with an increase of 2.1</w:t>
      </w:r>
      <w:r w:rsidR="00CA245E" w:rsidRPr="007E7CC3">
        <w:t xml:space="preserve"> per cent</w:t>
      </w:r>
      <w:r w:rsidRPr="007E7CC3">
        <w:t>.</w:t>
      </w:r>
      <w:r w:rsidRPr="004B36AC">
        <w:t xml:space="preserve"> Net overseas migration was the major contributor to this increase in population (</w:t>
      </w:r>
      <w:r w:rsidR="00207CFE">
        <w:t>ABS</w:t>
      </w:r>
      <w:r w:rsidR="00FF0334">
        <w:t>,</w:t>
      </w:r>
      <w:r w:rsidRPr="004B36AC">
        <w:t xml:space="preserve"> 2018-19). </w:t>
      </w:r>
    </w:p>
    <w:p w14:paraId="0A4AD4D9" w14:textId="2F9B5B67" w:rsidR="004B36AC" w:rsidRPr="004B36AC" w:rsidRDefault="004B36AC" w:rsidP="004B36AC">
      <w:pPr>
        <w:pStyle w:val="Body"/>
      </w:pPr>
      <w:r w:rsidRPr="004B36AC">
        <w:t>Victorians have the second</w:t>
      </w:r>
      <w:r w:rsidR="00E16ED4">
        <w:t>-</w:t>
      </w:r>
      <w:r w:rsidRPr="004B36AC">
        <w:t>highest life expectancy at birth in Australia, close behind the ACT. Life expectancy at birth is 81.9 for males and 85.8 for females in Victoria (</w:t>
      </w:r>
      <w:r w:rsidR="00207CFE">
        <w:t>ABS</w:t>
      </w:r>
      <w:r w:rsidRPr="004B36AC">
        <w:t>, 2018-2020).  </w:t>
      </w:r>
    </w:p>
    <w:p w14:paraId="73D43231" w14:textId="176B4068" w:rsidR="004B36AC" w:rsidRPr="004B36AC" w:rsidRDefault="004B36AC" w:rsidP="004B36AC">
      <w:pPr>
        <w:pStyle w:val="Body"/>
      </w:pPr>
      <w:r w:rsidRPr="004B36AC">
        <w:t>The proportion of Victorian adults who reported being in excellent or very good health was 40</w:t>
      </w:r>
      <w:r w:rsidR="00CA245E" w:rsidRPr="00CA245E">
        <w:t xml:space="preserve"> </w:t>
      </w:r>
      <w:r w:rsidR="00CA245E">
        <w:t>per cent</w:t>
      </w:r>
      <w:r w:rsidRPr="004B36AC">
        <w:t>, while 21 per cent of Victorians reported being in fair or poor health (</w:t>
      </w:r>
      <w:r w:rsidR="00806D85">
        <w:t>VAHI,</w:t>
      </w:r>
      <w:r w:rsidRPr="004B36AC">
        <w:t xml:space="preserve"> 2021).  </w:t>
      </w:r>
    </w:p>
    <w:p w14:paraId="67610839" w14:textId="286F58A6" w:rsidR="00930350" w:rsidRDefault="00497853" w:rsidP="00075526">
      <w:pPr>
        <w:pStyle w:val="Heading2"/>
      </w:pPr>
      <w:bookmarkStart w:id="57" w:name="_Toc116981317"/>
      <w:r>
        <w:t>Age and sex distribution</w:t>
      </w:r>
      <w:bookmarkEnd w:id="57"/>
    </w:p>
    <w:p w14:paraId="6C245BF3" w14:textId="57CA2FD1" w:rsidR="00D45D23" w:rsidRPr="00D45D23" w:rsidRDefault="00E16ED4" w:rsidP="00D45D23">
      <w:pPr>
        <w:pStyle w:val="Body"/>
      </w:pPr>
      <w:r>
        <w:rPr>
          <w:rStyle w:val="normaltextrun"/>
        </w:rPr>
        <w:t xml:space="preserve">In </w:t>
      </w:r>
      <w:r w:rsidR="00D45D23" w:rsidRPr="00D45D23">
        <w:rPr>
          <w:rStyle w:val="normaltextrun"/>
        </w:rPr>
        <w:t>June 2019, there were slightly more females (50.5 per cent of total Victorian population) than males (49.5 per cent) (</w:t>
      </w:r>
      <w:r w:rsidR="00806D85">
        <w:rPr>
          <w:rStyle w:val="normaltextrun"/>
        </w:rPr>
        <w:t>ABS,</w:t>
      </w:r>
      <w:r w:rsidR="00D45D23" w:rsidRPr="00D45D23">
        <w:rPr>
          <w:rStyle w:val="normaltextrun"/>
        </w:rPr>
        <w:t xml:space="preserve"> 2019).</w:t>
      </w:r>
      <w:r w:rsidR="00D45D23" w:rsidRPr="00D45D23">
        <w:rPr>
          <w:rStyle w:val="eop"/>
        </w:rPr>
        <w:t> </w:t>
      </w:r>
      <w:r w:rsidR="00D738D3">
        <w:rPr>
          <w:rStyle w:val="eop"/>
        </w:rPr>
        <w:t xml:space="preserve"> </w:t>
      </w:r>
    </w:p>
    <w:p w14:paraId="49E86433" w14:textId="489ED663" w:rsidR="00D45D23" w:rsidRPr="00D45D23" w:rsidRDefault="00D45D23" w:rsidP="00D45D23">
      <w:pPr>
        <w:pStyle w:val="Body"/>
      </w:pPr>
      <w:r w:rsidRPr="00D45D23">
        <w:rPr>
          <w:rStyle w:val="normaltextrun"/>
        </w:rPr>
        <w:t>The median age of Victorians</w:t>
      </w:r>
      <w:r w:rsidR="00D6740E">
        <w:rPr>
          <w:rStyle w:val="normaltextrun"/>
        </w:rPr>
        <w:t xml:space="preserve"> </w:t>
      </w:r>
      <w:r w:rsidR="00E16ED4">
        <w:rPr>
          <w:rStyle w:val="normaltextrun"/>
        </w:rPr>
        <w:t xml:space="preserve">in </w:t>
      </w:r>
      <w:r w:rsidRPr="00D45D23">
        <w:rPr>
          <w:rStyle w:val="normaltextrun"/>
        </w:rPr>
        <w:t>June 2019 was 37 years</w:t>
      </w:r>
      <w:r w:rsidR="00E16ED4">
        <w:rPr>
          <w:rStyle w:val="normaltextrun"/>
        </w:rPr>
        <w:t xml:space="preserve"> – </w:t>
      </w:r>
      <w:r w:rsidR="00C46C3F">
        <w:rPr>
          <w:rStyle w:val="normaltextrun"/>
        </w:rPr>
        <w:t>the same as</w:t>
      </w:r>
      <w:r w:rsidR="00386D0B">
        <w:rPr>
          <w:rStyle w:val="normaltextrun"/>
        </w:rPr>
        <w:t xml:space="preserve"> </w:t>
      </w:r>
      <w:r w:rsidR="00C32378">
        <w:rPr>
          <w:rStyle w:val="normaltextrun"/>
        </w:rPr>
        <w:t>2018</w:t>
      </w:r>
      <w:r w:rsidRPr="00D45D23">
        <w:rPr>
          <w:rStyle w:val="normaltextrun"/>
        </w:rPr>
        <w:t>. Greater Melbourne had a younger age distribution than the rest of Victoria, as younger adults tend to migrate out of regional areas to pursue work and education in the capital city (</w:t>
      </w:r>
      <w:r w:rsidR="00611AE1">
        <w:rPr>
          <w:rStyle w:val="normaltextrun"/>
        </w:rPr>
        <w:t>ABS</w:t>
      </w:r>
      <w:r w:rsidRPr="00D45D23">
        <w:rPr>
          <w:rStyle w:val="normaltextrun"/>
        </w:rPr>
        <w:t>, 2019a).</w:t>
      </w:r>
      <w:r w:rsidRPr="00D45D23">
        <w:rPr>
          <w:rStyle w:val="eop"/>
        </w:rPr>
        <w:t> </w:t>
      </w:r>
    </w:p>
    <w:p w14:paraId="271CB9CB" w14:textId="0864773A" w:rsidR="00F62582" w:rsidRPr="00441AEA" w:rsidRDefault="00F62582" w:rsidP="0070592D">
      <w:pPr>
        <w:pStyle w:val="Body"/>
        <w:rPr>
          <w:sz w:val="18"/>
          <w:szCs w:val="18"/>
        </w:rPr>
      </w:pPr>
      <w:r w:rsidRPr="00F62582">
        <w:t>Like many Western countries, the population is projected to increase. </w:t>
      </w:r>
      <w:r w:rsidR="00E16ED4">
        <w:t>In</w:t>
      </w:r>
      <w:r w:rsidRPr="00F62582">
        <w:t xml:space="preserve"> June 2019, 15.5 per cent of Victorians were aged 65 years and over (</w:t>
      </w:r>
      <w:r w:rsidR="00B24946">
        <w:t>ABS</w:t>
      </w:r>
      <w:r w:rsidR="004A0CEB">
        <w:t>,</w:t>
      </w:r>
      <w:r w:rsidRPr="00F62582">
        <w:t xml:space="preserve"> 2019). By 2056, this figure is expected to reach 23.1 per cent (</w:t>
      </w:r>
      <w:r w:rsidR="00611AE1">
        <w:t>ABS,</w:t>
      </w:r>
      <w:r w:rsidRPr="00F62582">
        <w:t xml:space="preserve"> 2017-base). </w:t>
      </w:r>
      <w:r w:rsidRPr="00CA1AF8">
        <w:rPr>
          <w:b/>
          <w:szCs w:val="21"/>
        </w:rPr>
        <w:t> </w:t>
      </w:r>
    </w:p>
    <w:p w14:paraId="43D30538" w14:textId="10855983" w:rsidR="00075526" w:rsidRDefault="00075526" w:rsidP="00075526">
      <w:pPr>
        <w:pStyle w:val="Heading2"/>
      </w:pPr>
      <w:bookmarkStart w:id="58" w:name="_Toc116981318"/>
      <w:r>
        <w:t>Aboriginal and Torres Strait Islander people living in Victoria</w:t>
      </w:r>
      <w:bookmarkEnd w:id="58"/>
    </w:p>
    <w:p w14:paraId="117BFD81" w14:textId="50C1EC66" w:rsidR="00075526" w:rsidRDefault="00075526" w:rsidP="00075526">
      <w:pPr>
        <w:pStyle w:val="Body"/>
        <w:rPr>
          <w:rFonts w:eastAsia="Arial" w:cs="Arial"/>
          <w:color w:val="000000" w:themeColor="text1"/>
        </w:rPr>
      </w:pPr>
      <w:r w:rsidRPr="1FBB76C1">
        <w:rPr>
          <w:rFonts w:eastAsia="Arial" w:cs="Arial"/>
          <w:color w:val="000000" w:themeColor="text1"/>
        </w:rPr>
        <w:t xml:space="preserve">Aboriginal people living in Victoria are a strong and culturally diverse group, representing </w:t>
      </w:r>
      <w:r w:rsidR="00E16ED4">
        <w:rPr>
          <w:rFonts w:eastAsia="Arial" w:cs="Arial"/>
          <w:color w:val="000000" w:themeColor="text1"/>
        </w:rPr>
        <w:t>more than</w:t>
      </w:r>
      <w:r w:rsidR="00E16ED4" w:rsidRPr="1FBB76C1">
        <w:rPr>
          <w:rFonts w:eastAsia="Arial" w:cs="Arial"/>
          <w:color w:val="000000" w:themeColor="text1"/>
        </w:rPr>
        <w:t xml:space="preserve"> </w:t>
      </w:r>
      <w:r w:rsidRPr="1FBB76C1">
        <w:rPr>
          <w:rFonts w:eastAsia="Arial" w:cs="Arial"/>
          <w:color w:val="000000" w:themeColor="text1"/>
        </w:rPr>
        <w:t>250 language, social</w:t>
      </w:r>
      <w:r w:rsidR="00E16ED4">
        <w:rPr>
          <w:rFonts w:eastAsia="Arial" w:cs="Arial"/>
          <w:color w:val="000000" w:themeColor="text1"/>
        </w:rPr>
        <w:t>,</w:t>
      </w:r>
      <w:r w:rsidRPr="1FBB76C1">
        <w:rPr>
          <w:rFonts w:eastAsia="Arial" w:cs="Arial"/>
          <w:color w:val="000000" w:themeColor="text1"/>
        </w:rPr>
        <w:t xml:space="preserve"> or national groups from across Australia.</w:t>
      </w:r>
      <w:r w:rsidR="00E16ED4">
        <w:rPr>
          <w:rFonts w:eastAsia="Arial" w:cs="Arial"/>
          <w:color w:val="000000" w:themeColor="text1"/>
        </w:rPr>
        <w:t xml:space="preserve"> In </w:t>
      </w:r>
      <w:r w:rsidR="00F05ED1">
        <w:rPr>
          <w:rFonts w:eastAsia="Arial" w:cs="Arial"/>
          <w:color w:val="000000" w:themeColor="text1"/>
        </w:rPr>
        <w:t xml:space="preserve">2016, </w:t>
      </w:r>
      <w:r w:rsidRPr="00C564C4">
        <w:rPr>
          <w:rFonts w:eastAsia="Arial" w:cs="Arial"/>
          <w:color w:val="000000" w:themeColor="text1"/>
        </w:rPr>
        <w:t>47,788 Aboriginal people ma</w:t>
      </w:r>
      <w:r w:rsidR="00E16ED4" w:rsidRPr="00C564C4">
        <w:rPr>
          <w:rFonts w:eastAsia="Arial" w:cs="Arial"/>
          <w:color w:val="000000" w:themeColor="text1"/>
        </w:rPr>
        <w:t>d</w:t>
      </w:r>
      <w:r w:rsidRPr="00C564C4">
        <w:rPr>
          <w:rFonts w:eastAsia="Arial" w:cs="Arial"/>
          <w:color w:val="000000" w:themeColor="text1"/>
        </w:rPr>
        <w:t xml:space="preserve">e up the Victorian Aboriginal Community, </w:t>
      </w:r>
      <w:r w:rsidR="4F1DD322" w:rsidRPr="00C564C4">
        <w:rPr>
          <w:rFonts w:eastAsia="Arial" w:cs="Arial"/>
          <w:color w:val="000000" w:themeColor="text1"/>
        </w:rPr>
        <w:t xml:space="preserve">totalling </w:t>
      </w:r>
      <w:r w:rsidRPr="00C564C4">
        <w:rPr>
          <w:rFonts w:eastAsia="Arial" w:cs="Arial"/>
          <w:color w:val="000000" w:themeColor="text1"/>
        </w:rPr>
        <w:t>approximately 0.8 per cent of the Victorian population</w:t>
      </w:r>
      <w:r w:rsidR="004A55B5" w:rsidRPr="00C564C4">
        <w:rPr>
          <w:rFonts w:eastAsia="Arial" w:cs="Arial"/>
          <w:color w:val="000000" w:themeColor="text1"/>
        </w:rPr>
        <w:t xml:space="preserve"> </w:t>
      </w:r>
      <w:r w:rsidR="00F05ED1">
        <w:rPr>
          <w:rFonts w:eastAsia="Arial" w:cs="Arial"/>
          <w:color w:val="000000" w:themeColor="text1"/>
        </w:rPr>
        <w:t>(</w:t>
      </w:r>
      <w:r w:rsidR="006631D4">
        <w:rPr>
          <w:rFonts w:eastAsia="Arial" w:cs="Arial"/>
          <w:color w:val="000000" w:themeColor="text1"/>
        </w:rPr>
        <w:t>ABS</w:t>
      </w:r>
      <w:r w:rsidR="00F05ED1" w:rsidRPr="00F05ED1">
        <w:rPr>
          <w:rFonts w:eastAsia="Arial" w:cs="Arial"/>
          <w:color w:val="000000" w:themeColor="text1"/>
        </w:rPr>
        <w:t>, 2016</w:t>
      </w:r>
      <w:r w:rsidR="00F05ED1">
        <w:rPr>
          <w:rFonts w:eastAsia="Arial" w:cs="Arial"/>
          <w:color w:val="000000" w:themeColor="text1"/>
        </w:rPr>
        <w:t>)</w:t>
      </w:r>
      <w:r w:rsidRPr="1FBB76C1">
        <w:rPr>
          <w:rFonts w:eastAsia="Arial" w:cs="Arial"/>
          <w:color w:val="000000" w:themeColor="text1"/>
        </w:rPr>
        <w:t>.</w:t>
      </w:r>
    </w:p>
    <w:p w14:paraId="5CB8EE44" w14:textId="62E564BD" w:rsidR="00075526" w:rsidRDefault="00075526" w:rsidP="00075526">
      <w:pPr>
        <w:pStyle w:val="Body"/>
        <w:rPr>
          <w:rFonts w:eastAsia="Arial" w:cs="Arial"/>
          <w:color w:val="000000" w:themeColor="text1"/>
          <w:vertAlign w:val="superscript"/>
        </w:rPr>
      </w:pPr>
      <w:r w:rsidRPr="1FBB76C1">
        <w:rPr>
          <w:rFonts w:eastAsia="Arial" w:cs="Arial"/>
          <w:color w:val="000000" w:themeColor="text1"/>
        </w:rPr>
        <w:t>Aboriginal people living in Victoria are a young demographic, with 95</w:t>
      </w:r>
      <w:r w:rsidR="00B70D7E" w:rsidRPr="00B70D7E">
        <w:t xml:space="preserve"> </w:t>
      </w:r>
      <w:r w:rsidR="00B70D7E">
        <w:t>per cent</w:t>
      </w:r>
      <w:r w:rsidRPr="1FBB76C1">
        <w:rPr>
          <w:rFonts w:eastAsia="Arial" w:cs="Arial"/>
          <w:color w:val="000000" w:themeColor="text1"/>
        </w:rPr>
        <w:t xml:space="preserve"> aged between 0</w:t>
      </w:r>
      <w:r w:rsidR="001E7B00" w:rsidRPr="00832126">
        <w:rPr>
          <w:rFonts w:eastAsia="Arial" w:cs="Arial"/>
          <w:color w:val="000000" w:themeColor="text1"/>
        </w:rPr>
        <w:t xml:space="preserve"> to </w:t>
      </w:r>
      <w:r w:rsidRPr="1FBB76C1">
        <w:rPr>
          <w:rFonts w:eastAsia="Arial" w:cs="Arial"/>
          <w:color w:val="000000" w:themeColor="text1"/>
        </w:rPr>
        <w:t>64 years. Between 2011-2016 there was a 12</w:t>
      </w:r>
      <w:r w:rsidR="00B70D7E" w:rsidRPr="00B70D7E">
        <w:t xml:space="preserve"> </w:t>
      </w:r>
      <w:r w:rsidR="00B70D7E">
        <w:t>per cent</w:t>
      </w:r>
      <w:r w:rsidRPr="1FBB76C1">
        <w:rPr>
          <w:rFonts w:eastAsia="Arial" w:cs="Arial"/>
          <w:color w:val="000000" w:themeColor="text1"/>
        </w:rPr>
        <w:t xml:space="preserve"> increase in the Aboriginal population</w:t>
      </w:r>
      <w:r w:rsidR="00E16ED4">
        <w:rPr>
          <w:rFonts w:eastAsia="Arial" w:cs="Arial"/>
          <w:color w:val="000000" w:themeColor="text1"/>
        </w:rPr>
        <w:t>,</w:t>
      </w:r>
      <w:r w:rsidRPr="1FBB76C1">
        <w:rPr>
          <w:rFonts w:eastAsia="Arial" w:cs="Arial"/>
          <w:color w:val="000000" w:themeColor="text1"/>
        </w:rPr>
        <w:t xml:space="preserve"> indicating this population is growing at a </w:t>
      </w:r>
      <w:r w:rsidR="00A72A2D">
        <w:rPr>
          <w:rFonts w:eastAsia="Arial" w:cs="Arial"/>
          <w:color w:val="000000" w:themeColor="text1"/>
        </w:rPr>
        <w:t>slightly</w:t>
      </w:r>
      <w:r w:rsidRPr="1FBB76C1">
        <w:rPr>
          <w:rFonts w:eastAsia="Arial" w:cs="Arial"/>
          <w:color w:val="000000" w:themeColor="text1"/>
        </w:rPr>
        <w:t xml:space="preserve"> faster rate than </w:t>
      </w:r>
      <w:r w:rsidR="00A72A2D">
        <w:rPr>
          <w:rFonts w:eastAsia="Arial" w:cs="Arial"/>
          <w:color w:val="000000" w:themeColor="text1"/>
        </w:rPr>
        <w:t xml:space="preserve">Victoria’s total </w:t>
      </w:r>
      <w:r w:rsidRPr="1FBB76C1">
        <w:rPr>
          <w:rFonts w:eastAsia="Arial" w:cs="Arial"/>
          <w:color w:val="000000" w:themeColor="text1"/>
        </w:rPr>
        <w:t>population</w:t>
      </w:r>
      <w:r w:rsidR="006C42CA">
        <w:rPr>
          <w:rFonts w:eastAsia="Arial" w:cs="Arial"/>
          <w:color w:val="000000" w:themeColor="text1"/>
        </w:rPr>
        <w:t>, which increased by</w:t>
      </w:r>
      <w:r w:rsidR="00A72A2D">
        <w:rPr>
          <w:rFonts w:eastAsia="Arial" w:cs="Arial"/>
          <w:color w:val="000000" w:themeColor="text1"/>
        </w:rPr>
        <w:t xml:space="preserve"> 11 per cent </w:t>
      </w:r>
      <w:r w:rsidR="006C42CA">
        <w:rPr>
          <w:rFonts w:eastAsia="Arial" w:cs="Arial"/>
          <w:color w:val="000000" w:themeColor="text1"/>
        </w:rPr>
        <w:t xml:space="preserve">over the same period </w:t>
      </w:r>
      <w:r w:rsidR="00A72A2D">
        <w:rPr>
          <w:rFonts w:eastAsia="Arial" w:cs="Arial"/>
          <w:color w:val="000000" w:themeColor="text1"/>
        </w:rPr>
        <w:t>(</w:t>
      </w:r>
      <w:r w:rsidR="006631D4">
        <w:rPr>
          <w:rFonts w:eastAsia="Arial" w:cs="Arial"/>
          <w:color w:val="000000" w:themeColor="text1"/>
        </w:rPr>
        <w:t>ABS</w:t>
      </w:r>
      <w:r w:rsidR="00A72A2D" w:rsidRPr="00F05ED1">
        <w:rPr>
          <w:rFonts w:eastAsia="Arial" w:cs="Arial"/>
          <w:color w:val="000000" w:themeColor="text1"/>
        </w:rPr>
        <w:t>, 2016</w:t>
      </w:r>
      <w:r w:rsidR="00A72A2D">
        <w:rPr>
          <w:rFonts w:eastAsia="Arial" w:cs="Arial"/>
          <w:color w:val="000000" w:themeColor="text1"/>
        </w:rPr>
        <w:t>)</w:t>
      </w:r>
      <w:r w:rsidRPr="1FBB76C1">
        <w:rPr>
          <w:rFonts w:eastAsia="Arial" w:cs="Arial"/>
          <w:color w:val="000000" w:themeColor="text1"/>
        </w:rPr>
        <w:t>.</w:t>
      </w:r>
      <w:r w:rsidR="00A72A2D">
        <w:rPr>
          <w:rFonts w:eastAsia="Arial" w:cs="Arial"/>
          <w:color w:val="000000" w:themeColor="text1"/>
        </w:rPr>
        <w:t xml:space="preserve"> </w:t>
      </w:r>
    </w:p>
    <w:p w14:paraId="0895C879" w14:textId="2D6AE9BA" w:rsidR="56EB67CC" w:rsidRDefault="6ACFB2CB" w:rsidP="56EB67CC">
      <w:pPr>
        <w:pStyle w:val="Body"/>
        <w:rPr>
          <w:rFonts w:eastAsia="Arial" w:cs="Arial"/>
          <w:color w:val="000000" w:themeColor="text1"/>
        </w:rPr>
      </w:pPr>
      <w:r w:rsidRPr="7B8B08F9">
        <w:rPr>
          <w:rFonts w:eastAsia="Arial" w:cs="Arial"/>
          <w:color w:val="000000" w:themeColor="text1"/>
        </w:rPr>
        <w:t xml:space="preserve">The department released </w:t>
      </w:r>
      <w:r w:rsidR="626F861A" w:rsidRPr="7B8B08F9">
        <w:rPr>
          <w:rFonts w:eastAsia="Arial" w:cs="Arial"/>
          <w:color w:val="000000" w:themeColor="text1"/>
        </w:rPr>
        <w:t xml:space="preserve">the </w:t>
      </w:r>
      <w:hyperlink r:id="rId38" w:history="1">
        <w:r w:rsidRPr="00281799">
          <w:rPr>
            <w:rFonts w:eastAsia="Arial" w:cs="Arial"/>
            <w:i/>
            <w:iCs/>
            <w:color w:val="000000" w:themeColor="text1"/>
          </w:rPr>
          <w:t>Aboriginal and Torres Strait Islander summary surveillance of notifiable conditions in Victoria</w:t>
        </w:r>
        <w:hyperlink w:history="1">
          <w:r w:rsidR="517D64F0" w:rsidRPr="7B8B08F9">
            <w:rPr>
              <w:rFonts w:eastAsia="Arial" w:cs="Arial"/>
            </w:rPr>
            <w:t xml:space="preserve"> interactive report</w:t>
          </w:r>
        </w:hyperlink>
      </w:hyperlink>
      <w:r w:rsidR="62B3615A" w:rsidRPr="7B8B08F9">
        <w:rPr>
          <w:rFonts w:eastAsia="Arial" w:cs="Arial"/>
          <w:color w:val="000000" w:themeColor="text1"/>
        </w:rPr>
        <w:t xml:space="preserve"> in 2019</w:t>
      </w:r>
      <w:r w:rsidR="2F8F1356" w:rsidRPr="7B8B08F9">
        <w:rPr>
          <w:rFonts w:eastAsia="Arial" w:cs="Arial"/>
          <w:color w:val="000000" w:themeColor="text1"/>
        </w:rPr>
        <w:t xml:space="preserve">. The </w:t>
      </w:r>
      <w:r w:rsidR="25915744" w:rsidRPr="7B8B08F9">
        <w:rPr>
          <w:rFonts w:eastAsia="Arial" w:cs="Arial"/>
          <w:color w:val="000000" w:themeColor="text1"/>
        </w:rPr>
        <w:t>report is refreshed daily</w:t>
      </w:r>
      <w:r w:rsidR="74CC8511" w:rsidRPr="7B8B08F9">
        <w:rPr>
          <w:rFonts w:eastAsia="Arial" w:cs="Arial"/>
          <w:color w:val="000000" w:themeColor="text1"/>
        </w:rPr>
        <w:t>. The</w:t>
      </w:r>
      <w:r w:rsidR="25915744" w:rsidRPr="7B8B08F9">
        <w:rPr>
          <w:rFonts w:eastAsia="Arial" w:cs="Arial"/>
          <w:color w:val="000000" w:themeColor="text1"/>
        </w:rPr>
        <w:t xml:space="preserve"> </w:t>
      </w:r>
      <w:r w:rsidR="2F8F1356" w:rsidRPr="7B8B08F9">
        <w:rPr>
          <w:rFonts w:eastAsia="Arial" w:cs="Arial"/>
          <w:color w:val="000000" w:themeColor="text1"/>
        </w:rPr>
        <w:t>department prioritise</w:t>
      </w:r>
      <w:r w:rsidR="74607F76" w:rsidRPr="7B8B08F9">
        <w:rPr>
          <w:rFonts w:eastAsia="Arial" w:cs="Arial"/>
          <w:color w:val="000000" w:themeColor="text1"/>
        </w:rPr>
        <w:t>s</w:t>
      </w:r>
      <w:r w:rsidR="2F8F1356" w:rsidRPr="7B8B08F9">
        <w:rPr>
          <w:rFonts w:eastAsia="Arial" w:cs="Arial"/>
          <w:color w:val="000000" w:themeColor="text1"/>
        </w:rPr>
        <w:t xml:space="preserve"> data completeness for </w:t>
      </w:r>
      <w:r w:rsidR="0723E0D1" w:rsidRPr="7B8B08F9">
        <w:rPr>
          <w:rFonts w:eastAsia="Arial" w:cs="Arial"/>
          <w:color w:val="000000" w:themeColor="text1"/>
        </w:rPr>
        <w:t>18 notifiable conditions for r</w:t>
      </w:r>
      <w:r w:rsidR="67DA5E44" w:rsidRPr="7B8B08F9">
        <w:rPr>
          <w:rFonts w:eastAsia="Arial" w:cs="Arial"/>
          <w:color w:val="000000" w:themeColor="text1"/>
        </w:rPr>
        <w:t>ep</w:t>
      </w:r>
      <w:r w:rsidR="0723E0D1" w:rsidRPr="7B8B08F9">
        <w:rPr>
          <w:rFonts w:eastAsia="Arial" w:cs="Arial"/>
          <w:color w:val="000000" w:themeColor="text1"/>
        </w:rPr>
        <w:t>orting completeness by the Communicable Disea</w:t>
      </w:r>
      <w:r w:rsidR="00D719F9">
        <w:rPr>
          <w:rFonts w:eastAsia="Arial" w:cs="Arial"/>
          <w:color w:val="000000" w:themeColor="text1"/>
        </w:rPr>
        <w:t>s</w:t>
      </w:r>
      <w:r w:rsidR="0723E0D1" w:rsidRPr="7B8B08F9">
        <w:rPr>
          <w:rFonts w:eastAsia="Arial" w:cs="Arial"/>
          <w:color w:val="000000" w:themeColor="text1"/>
        </w:rPr>
        <w:t>es Network Australia due to the public health importance of th</w:t>
      </w:r>
      <w:r w:rsidR="00AD62E0">
        <w:rPr>
          <w:rFonts w:eastAsia="Arial" w:cs="Arial"/>
          <w:color w:val="000000" w:themeColor="text1"/>
        </w:rPr>
        <w:t>o</w:t>
      </w:r>
      <w:r w:rsidR="0723E0D1" w:rsidRPr="7B8B08F9">
        <w:rPr>
          <w:rFonts w:eastAsia="Arial" w:cs="Arial"/>
          <w:color w:val="000000" w:themeColor="text1"/>
        </w:rPr>
        <w:t xml:space="preserve">se </w:t>
      </w:r>
      <w:r w:rsidR="007B1FBE" w:rsidRPr="7B8B08F9">
        <w:rPr>
          <w:rFonts w:eastAsia="Arial" w:cs="Arial"/>
          <w:color w:val="000000" w:themeColor="text1"/>
        </w:rPr>
        <w:t>conditions</w:t>
      </w:r>
      <w:r w:rsidR="0723E0D1" w:rsidRPr="7B8B08F9">
        <w:rPr>
          <w:rFonts w:eastAsia="Arial" w:cs="Arial"/>
          <w:color w:val="000000" w:themeColor="text1"/>
        </w:rPr>
        <w:t xml:space="preserve"> in this population group.</w:t>
      </w:r>
    </w:p>
    <w:p w14:paraId="43C240CD" w14:textId="4CE12442" w:rsidR="00F16EB0" w:rsidRDefault="00F16EB0" w:rsidP="00F16EB0">
      <w:pPr>
        <w:pStyle w:val="Heading4"/>
      </w:pPr>
      <w:r>
        <w:lastRenderedPageBreak/>
        <w:t>Aboriginal health and wellbeing reform</w:t>
      </w:r>
    </w:p>
    <w:p w14:paraId="36B95082" w14:textId="0EAC3A4F" w:rsidR="00AD62E0" w:rsidRPr="00DF2531" w:rsidRDefault="00F16EB0" w:rsidP="002A7FF8">
      <w:pPr>
        <w:pStyle w:val="Body"/>
        <w:rPr>
          <w:rStyle w:val="Hyperlink"/>
          <w:szCs w:val="21"/>
        </w:rPr>
      </w:pPr>
      <w:r w:rsidRPr="261266A1">
        <w:t xml:space="preserve">Korin Korin Balit-Djak (KKBD) </w:t>
      </w:r>
      <w:r w:rsidR="00AD62E0">
        <w:t>is</w:t>
      </w:r>
      <w:r w:rsidRPr="261266A1">
        <w:t xml:space="preserve"> the primary source of Aboriginal reform for the health system in recognition of the need for self-determination across all areas of Government and in </w:t>
      </w:r>
      <w:r w:rsidR="00AD62E0">
        <w:t xml:space="preserve">the </w:t>
      </w:r>
      <w:r w:rsidRPr="261266A1">
        <w:t>community. Self-determination is the only policy approach that has produced effective and sustainable outcomes for Indigenous peoples</w:t>
      </w:r>
      <w:r w:rsidR="00AD62E0">
        <w:t>,</w:t>
      </w:r>
      <w:r w:rsidRPr="261266A1">
        <w:t xml:space="preserve"> according to international and Australian evidence.</w:t>
      </w:r>
      <w:r w:rsidR="00751E45">
        <w:t xml:space="preserve"> </w:t>
      </w:r>
      <w:r w:rsidR="009C5198">
        <w:t>(</w:t>
      </w:r>
      <w:r w:rsidR="00AD62E0">
        <w:t xml:space="preserve">DHHS </w:t>
      </w:r>
      <w:bookmarkStart w:id="59" w:name="_Hlk121152659"/>
      <w:r w:rsidR="00C36B2A" w:rsidRPr="00DF2531">
        <w:fldChar w:fldCharType="begin"/>
      </w:r>
      <w:r w:rsidR="00C36B2A" w:rsidRPr="00DF2531">
        <w:instrText xml:space="preserve"> HYPERLINK "file:///C:/Users/vidxgsm/Downloads/self-determination-scoping-paper.pdf" \h </w:instrText>
      </w:r>
      <w:r w:rsidR="00C36B2A" w:rsidRPr="00DF2531">
        <w:fldChar w:fldCharType="separate"/>
      </w:r>
      <w:r w:rsidR="00AD62E0" w:rsidRPr="00DF2531">
        <w:rPr>
          <w:rStyle w:val="Hyperlink"/>
          <w:szCs w:val="21"/>
        </w:rPr>
        <w:t>S</w:t>
      </w:r>
      <w:r w:rsidR="009C5198" w:rsidRPr="00DF2531">
        <w:rPr>
          <w:rStyle w:val="Hyperlink"/>
          <w:szCs w:val="21"/>
        </w:rPr>
        <w:t>elf-determination-scoping-paper</w:t>
      </w:r>
      <w:r w:rsidR="00C36B2A" w:rsidRPr="00DF2531">
        <w:rPr>
          <w:rStyle w:val="Hyperlink"/>
          <w:szCs w:val="21"/>
        </w:rPr>
        <w:fldChar w:fldCharType="end"/>
      </w:r>
      <w:bookmarkEnd w:id="59"/>
      <w:r w:rsidR="004D3831" w:rsidRPr="00DF2531">
        <w:rPr>
          <w:rStyle w:val="Hyperlink"/>
          <w:szCs w:val="21"/>
        </w:rPr>
        <w:t>)</w:t>
      </w:r>
      <w:r w:rsidR="00644A60" w:rsidRPr="00DF2531">
        <w:rPr>
          <w:rStyle w:val="Hyperlink"/>
          <w:szCs w:val="21"/>
        </w:rPr>
        <w:t xml:space="preserve">. </w:t>
      </w:r>
    </w:p>
    <w:p w14:paraId="0E3CDC0E" w14:textId="08E16365" w:rsidR="00F16EB0" w:rsidRDefault="00AD62E0" w:rsidP="002A7FF8">
      <w:pPr>
        <w:pStyle w:val="Body"/>
      </w:pPr>
      <w:r w:rsidRPr="008231F3">
        <w:rPr>
          <w:rStyle w:val="Hyperlink"/>
          <w:color w:val="auto"/>
          <w:szCs w:val="21"/>
          <w:u w:val="none"/>
        </w:rPr>
        <w:t>KKBD</w:t>
      </w:r>
      <w:r w:rsidR="00F16EB0" w:rsidRPr="008231F3">
        <w:t xml:space="preserve"> covers </w:t>
      </w:r>
      <w:r w:rsidR="00F16EB0" w:rsidRPr="261266A1">
        <w:t xml:space="preserve">five domains </w:t>
      </w:r>
      <w:r>
        <w:t xml:space="preserve">relating </w:t>
      </w:r>
      <w:r w:rsidR="00F16EB0" w:rsidRPr="261266A1">
        <w:t>to the health, wellbeing, and safety of Aboriginal people in Victoria:</w:t>
      </w:r>
    </w:p>
    <w:p w14:paraId="4FD2C7EC" w14:textId="77777777" w:rsidR="00F16EB0" w:rsidRDefault="00F16EB0" w:rsidP="00503691">
      <w:pPr>
        <w:pStyle w:val="Bullet1"/>
      </w:pPr>
      <w:r w:rsidRPr="209BF6EC">
        <w:t>Aboriginal community leadership</w:t>
      </w:r>
    </w:p>
    <w:p w14:paraId="644C8378" w14:textId="77777777" w:rsidR="00F16EB0" w:rsidRDefault="00F16EB0" w:rsidP="00503691">
      <w:pPr>
        <w:pStyle w:val="Bullet1"/>
      </w:pPr>
      <w:r w:rsidRPr="209BF6EC">
        <w:t>prioritising Aboriginal culture and community</w:t>
      </w:r>
    </w:p>
    <w:p w14:paraId="665C9185" w14:textId="77777777" w:rsidR="00F16EB0" w:rsidRDefault="00F16EB0" w:rsidP="00503691">
      <w:pPr>
        <w:pStyle w:val="Bullet1"/>
      </w:pPr>
      <w:r w:rsidRPr="209BF6EC">
        <w:t>system reform across the health and human services sector</w:t>
      </w:r>
    </w:p>
    <w:p w14:paraId="08478FFC" w14:textId="705EFD68" w:rsidR="00F16EB0" w:rsidRDefault="00F16EB0" w:rsidP="00503691">
      <w:pPr>
        <w:pStyle w:val="Bullet1"/>
      </w:pPr>
      <w:r w:rsidRPr="209BF6EC">
        <w:t>safe, secure, strong families</w:t>
      </w:r>
      <w:r w:rsidR="00AD62E0">
        <w:t>,</w:t>
      </w:r>
      <w:r w:rsidRPr="209BF6EC">
        <w:t xml:space="preserve"> and individuals</w:t>
      </w:r>
    </w:p>
    <w:p w14:paraId="3C6B62E8" w14:textId="0C45083B" w:rsidR="00F16EB0" w:rsidRDefault="00F16EB0" w:rsidP="00503691">
      <w:pPr>
        <w:pStyle w:val="Bullet1"/>
      </w:pPr>
      <w:r w:rsidRPr="209BF6EC">
        <w:t>physically, socially</w:t>
      </w:r>
      <w:r w:rsidR="00AD62E0">
        <w:t>,</w:t>
      </w:r>
      <w:r w:rsidRPr="209BF6EC">
        <w:t xml:space="preserve"> and emotionally healthy Aboriginal communities.</w:t>
      </w:r>
    </w:p>
    <w:p w14:paraId="3ECD84AD" w14:textId="2714D911" w:rsidR="001A14F0" w:rsidRDefault="00A72685" w:rsidP="00A72685">
      <w:pPr>
        <w:pStyle w:val="Heading3"/>
      </w:pPr>
      <w:r>
        <w:t>Find out more</w:t>
      </w:r>
    </w:p>
    <w:p w14:paraId="4357843B" w14:textId="2BFF9E13" w:rsidR="00F16EB0" w:rsidRDefault="00C519FD" w:rsidP="00AD1D96">
      <w:pPr>
        <w:pStyle w:val="Body"/>
      </w:pPr>
      <w:r>
        <w:t xml:space="preserve">Find out more about </w:t>
      </w:r>
      <w:hyperlink r:id="rId39" w:history="1">
        <w:r w:rsidR="007E3816" w:rsidRPr="007E3816">
          <w:rPr>
            <w:rStyle w:val="Hyperlink"/>
            <w:szCs w:val="21"/>
          </w:rPr>
          <w:t>Aboriginal Health</w:t>
        </w:r>
      </w:hyperlink>
      <w:r w:rsidR="00F16EB0" w:rsidRPr="209BF6EC">
        <w:t>.</w:t>
      </w:r>
      <w:r w:rsidR="008B308B">
        <w:t xml:space="preserve"> &lt;</w:t>
      </w:r>
      <w:r w:rsidR="008B308B" w:rsidRPr="008B308B">
        <w:t>https://www.health.vic.gov.au/health-strategies/aboriginal-health</w:t>
      </w:r>
      <w:r w:rsidR="008B308B">
        <w:t>&gt;</w:t>
      </w:r>
      <w:r w:rsidR="0070592D">
        <w:t>.</w:t>
      </w:r>
    </w:p>
    <w:p w14:paraId="2FC92AD2" w14:textId="29AB0996" w:rsidR="00887069" w:rsidRDefault="00125E19" w:rsidP="00AD1D96">
      <w:pPr>
        <w:pStyle w:val="Body"/>
      </w:pPr>
      <w:r>
        <w:rPr>
          <w:color w:val="2A2736"/>
          <w:szCs w:val="21"/>
        </w:rPr>
        <w:t xml:space="preserve">Find out </w:t>
      </w:r>
      <w:r w:rsidR="007F4967">
        <w:rPr>
          <w:color w:val="2A2736"/>
          <w:szCs w:val="21"/>
        </w:rPr>
        <w:t xml:space="preserve">more about </w:t>
      </w:r>
      <w:r w:rsidR="00887069">
        <w:t>Aboriginal and Torres Strait Islander people Living in Victoria</w:t>
      </w:r>
      <w:r w:rsidR="007C360D">
        <w:t xml:space="preserve"> in </w:t>
      </w:r>
      <w:r w:rsidR="009D3A0A">
        <w:t>‘</w:t>
      </w:r>
      <w:r w:rsidR="00887069">
        <w:t>Chapter 7 – Health inequalities</w:t>
      </w:r>
      <w:r w:rsidR="009D3A0A">
        <w:t>’</w:t>
      </w:r>
      <w:r w:rsidR="00290E21">
        <w:t>.</w:t>
      </w:r>
    </w:p>
    <w:p w14:paraId="773C0342" w14:textId="646A7478" w:rsidR="00A134E8" w:rsidRDefault="00497853" w:rsidP="0039496D">
      <w:pPr>
        <w:pStyle w:val="Heading2"/>
      </w:pPr>
      <w:bookmarkStart w:id="60" w:name="_Toc116981319"/>
      <w:r>
        <w:t xml:space="preserve">Rural and regional </w:t>
      </w:r>
      <w:r w:rsidR="0039496D">
        <w:t>Victorians</w:t>
      </w:r>
      <w:bookmarkEnd w:id="60"/>
    </w:p>
    <w:p w14:paraId="1FD57687" w14:textId="61E1884F" w:rsidR="000C005B" w:rsidRDefault="000C005B" w:rsidP="000C005B">
      <w:pPr>
        <w:pStyle w:val="Body"/>
      </w:pPr>
      <w:r>
        <w:t xml:space="preserve">Victoria is largely an urbanised state, with 75 per cent of people living in Greater Melbourne and the other 25 </w:t>
      </w:r>
      <w:r w:rsidR="1EB0913E">
        <w:t>per cent living</w:t>
      </w:r>
      <w:r w:rsidR="46B85887">
        <w:t xml:space="preserve"> </w:t>
      </w:r>
      <w:r>
        <w:t>in regional and rural Victoria (</w:t>
      </w:r>
      <w:r w:rsidR="00842A61">
        <w:t>ABS</w:t>
      </w:r>
      <w:r>
        <w:t>, 2019).</w:t>
      </w:r>
    </w:p>
    <w:p w14:paraId="5B30CA92" w14:textId="68CE6D61" w:rsidR="000C005B" w:rsidRDefault="000C005B" w:rsidP="000C005B">
      <w:pPr>
        <w:pStyle w:val="Body"/>
      </w:pPr>
      <w:r>
        <w:t>From 2011</w:t>
      </w:r>
      <w:r w:rsidR="00AD62E0">
        <w:t>-</w:t>
      </w:r>
      <w:r>
        <w:t xml:space="preserve">2016, </w:t>
      </w:r>
      <w:r w:rsidR="00AD62E0">
        <w:t xml:space="preserve">Victoria’s </w:t>
      </w:r>
      <w:r>
        <w:t>10 largest regional city municipalities all experienced population growth</w:t>
      </w:r>
      <w:r w:rsidR="00BE5197">
        <w:t>. The regional city growth</w:t>
      </w:r>
      <w:r>
        <w:t xml:space="preserve"> rang</w:t>
      </w:r>
      <w:r w:rsidR="00BE5197">
        <w:t>ed</w:t>
      </w:r>
      <w:r>
        <w:t xml:space="preserve"> from an annual growth rate of more than 2 per cent (Greater Geelong and Wodonga) to 0.5 per cent in Latrobe and Horsham (</w:t>
      </w:r>
      <w:r w:rsidR="00BE5197">
        <w:t xml:space="preserve">DELWP, </w:t>
      </w:r>
      <w:r>
        <w:t xml:space="preserve">2020). </w:t>
      </w:r>
    </w:p>
    <w:p w14:paraId="73379124" w14:textId="0D8B4007" w:rsidR="000C005B" w:rsidRDefault="006E4D7B" w:rsidP="000C005B">
      <w:pPr>
        <w:pStyle w:val="Body"/>
      </w:pPr>
      <w:r>
        <w:t>People living in rural and regional areas can</w:t>
      </w:r>
      <w:r w:rsidR="000C005B">
        <w:t xml:space="preserve"> experience barriers accessing health care </w:t>
      </w:r>
      <w:r w:rsidR="000C005B" w:rsidRPr="00D84A9F">
        <w:t>due to geographic spread, low</w:t>
      </w:r>
      <w:r w:rsidR="00BE5197">
        <w:t>-</w:t>
      </w:r>
      <w:r w:rsidR="000C005B" w:rsidRPr="00D84A9F">
        <w:t>population density, limited infrastructure, and the higher costs of delivering rural and remote health care</w:t>
      </w:r>
      <w:r w:rsidR="000C005B">
        <w:t xml:space="preserve"> (</w:t>
      </w:r>
      <w:r w:rsidR="00842A61">
        <w:t>AIHW</w:t>
      </w:r>
      <w:r w:rsidR="000C005B">
        <w:t>, 2018)</w:t>
      </w:r>
      <w:r w:rsidR="000C005B" w:rsidRPr="00D84A9F">
        <w:t>.</w:t>
      </w:r>
      <w:r>
        <w:t xml:space="preserve"> They can also be </w:t>
      </w:r>
      <w:r w:rsidR="009722AB">
        <w:t>disproportionately</w:t>
      </w:r>
      <w:r>
        <w:t xml:space="preserve"> affected by natural disasters such as </w:t>
      </w:r>
      <w:r w:rsidR="009722AB">
        <w:t xml:space="preserve">droughts, </w:t>
      </w:r>
      <w:r>
        <w:t xml:space="preserve">bushfires, </w:t>
      </w:r>
      <w:r w:rsidR="009722AB">
        <w:t xml:space="preserve">and floods. </w:t>
      </w:r>
    </w:p>
    <w:p w14:paraId="79F7CAC4" w14:textId="5CF93FBE" w:rsidR="0039496D" w:rsidRDefault="0039496D" w:rsidP="00CE50B6">
      <w:pPr>
        <w:pStyle w:val="Heading2"/>
      </w:pPr>
      <w:bookmarkStart w:id="61" w:name="_Toc116981320"/>
      <w:r>
        <w:t>Cultural diversity</w:t>
      </w:r>
      <w:bookmarkEnd w:id="61"/>
    </w:p>
    <w:p w14:paraId="1CEDF7BB" w14:textId="7A2065D2" w:rsidR="00006D70" w:rsidRPr="00006D70" w:rsidRDefault="00006D70" w:rsidP="00006D70">
      <w:pPr>
        <w:rPr>
          <w:rFonts w:cs="Arial"/>
          <w:szCs w:val="21"/>
        </w:rPr>
      </w:pPr>
      <w:r w:rsidRPr="00006D70">
        <w:rPr>
          <w:rFonts w:cs="Arial"/>
          <w:szCs w:val="21"/>
        </w:rPr>
        <w:t>Victoria is one of the most culturally</w:t>
      </w:r>
      <w:r w:rsidR="00BE5197">
        <w:rPr>
          <w:rFonts w:cs="Arial"/>
          <w:szCs w:val="21"/>
        </w:rPr>
        <w:t>-</w:t>
      </w:r>
      <w:r w:rsidRPr="00006D70">
        <w:rPr>
          <w:rFonts w:cs="Arial"/>
          <w:szCs w:val="21"/>
        </w:rPr>
        <w:t>diverse societies in the world</w:t>
      </w:r>
      <w:r w:rsidR="00BE5197">
        <w:rPr>
          <w:rFonts w:cs="Arial"/>
          <w:szCs w:val="21"/>
        </w:rPr>
        <w:t xml:space="preserve">. It </w:t>
      </w:r>
      <w:r w:rsidRPr="00006D70">
        <w:rPr>
          <w:rFonts w:cs="Arial"/>
          <w:szCs w:val="21"/>
        </w:rPr>
        <w:t>is also among the fastest growing and most diverse states in Australia.</w:t>
      </w:r>
      <w:r w:rsidRPr="00006D70">
        <w:rPr>
          <w:szCs w:val="21"/>
        </w:rPr>
        <w:t xml:space="preserve"> </w:t>
      </w:r>
    </w:p>
    <w:p w14:paraId="70458617" w14:textId="6020F812" w:rsidR="00006D70" w:rsidRPr="00006D70" w:rsidRDefault="00006D70" w:rsidP="00006D70">
      <w:pPr>
        <w:rPr>
          <w:rFonts w:cs="Arial"/>
        </w:rPr>
      </w:pPr>
      <w:r w:rsidRPr="1949FE84">
        <w:rPr>
          <w:rFonts w:cs="Arial"/>
        </w:rPr>
        <w:t>The proportion of overseas-born Victoria</w:t>
      </w:r>
      <w:r w:rsidR="00016F48">
        <w:rPr>
          <w:rFonts w:cs="Arial"/>
        </w:rPr>
        <w:t>n residents</w:t>
      </w:r>
      <w:r w:rsidR="000C1D0C">
        <w:rPr>
          <w:rFonts w:cs="Arial"/>
        </w:rPr>
        <w:t xml:space="preserve"> where </w:t>
      </w:r>
      <w:r w:rsidRPr="1949FE84">
        <w:rPr>
          <w:rFonts w:cs="Arial"/>
        </w:rPr>
        <w:t xml:space="preserve">English </w:t>
      </w:r>
      <w:r w:rsidR="002C7EE4">
        <w:rPr>
          <w:rFonts w:cs="Arial"/>
        </w:rPr>
        <w:t xml:space="preserve">is not their primary language </w:t>
      </w:r>
      <w:r w:rsidR="00127576">
        <w:rPr>
          <w:rFonts w:cs="Arial"/>
        </w:rPr>
        <w:t xml:space="preserve">(LOTE) </w:t>
      </w:r>
      <w:r w:rsidRPr="1949FE84">
        <w:rPr>
          <w:rFonts w:cs="Arial"/>
        </w:rPr>
        <w:t>is 77.7</w:t>
      </w:r>
      <w:r w:rsidR="008F33E0" w:rsidRPr="008F33E0">
        <w:t xml:space="preserve"> </w:t>
      </w:r>
      <w:r w:rsidR="008F33E0">
        <w:t>per cent</w:t>
      </w:r>
      <w:r w:rsidRPr="1949FE84">
        <w:rPr>
          <w:rFonts w:cs="Arial"/>
        </w:rPr>
        <w:t xml:space="preserve">. This is the highest for all Australian states and territories (DPC, 2017). </w:t>
      </w:r>
    </w:p>
    <w:p w14:paraId="3636134C" w14:textId="3B236F06" w:rsidR="00006D70" w:rsidRPr="00006D70" w:rsidRDefault="00006D70" w:rsidP="00006D70">
      <w:pPr>
        <w:rPr>
          <w:rFonts w:cs="Arial"/>
          <w:szCs w:val="21"/>
        </w:rPr>
      </w:pPr>
      <w:r w:rsidRPr="00006D70">
        <w:rPr>
          <w:rFonts w:cs="Arial"/>
          <w:szCs w:val="21"/>
        </w:rPr>
        <w:t>A</w:t>
      </w:r>
      <w:r w:rsidR="00BE5197">
        <w:rPr>
          <w:rFonts w:cs="Arial"/>
          <w:szCs w:val="21"/>
        </w:rPr>
        <w:t xml:space="preserve">ccording to </w:t>
      </w:r>
      <w:r w:rsidRPr="00006D70">
        <w:rPr>
          <w:rFonts w:cs="Arial"/>
          <w:szCs w:val="21"/>
        </w:rPr>
        <w:t>the 2016 Census:</w:t>
      </w:r>
    </w:p>
    <w:p w14:paraId="538F16A9" w14:textId="59670DB3" w:rsidR="00006D70" w:rsidRPr="00C24EDC" w:rsidRDefault="00006D70" w:rsidP="006E7A85">
      <w:pPr>
        <w:pStyle w:val="Bullet1"/>
      </w:pPr>
      <w:r w:rsidRPr="00C24EDC">
        <w:t>28.4</w:t>
      </w:r>
      <w:r w:rsidR="008F33E0" w:rsidRPr="00C24EDC">
        <w:t xml:space="preserve"> per cent</w:t>
      </w:r>
      <w:r w:rsidRPr="00C24EDC">
        <w:t xml:space="preserve"> of Victoria</w:t>
      </w:r>
      <w:r w:rsidR="00BE5197" w:rsidRPr="00C24EDC">
        <w:t xml:space="preserve">ns </w:t>
      </w:r>
      <w:r w:rsidRPr="00C24EDC">
        <w:t>were born overseas</w:t>
      </w:r>
    </w:p>
    <w:p w14:paraId="0EB8BC2D" w14:textId="29F69105" w:rsidR="00C24EDC" w:rsidRPr="00C24EDC" w:rsidRDefault="00006D70" w:rsidP="00A268E1">
      <w:pPr>
        <w:pStyle w:val="Bullet1"/>
        <w:spacing w:after="120"/>
      </w:pPr>
      <w:r w:rsidRPr="00C24EDC">
        <w:t>49.1</w:t>
      </w:r>
      <w:r w:rsidR="008F33E0" w:rsidRPr="00C24EDC">
        <w:t xml:space="preserve"> per cent</w:t>
      </w:r>
      <w:r w:rsidRPr="00C24EDC">
        <w:t xml:space="preserve"> of Victorians were either born overseas or have a parent who was born overseas</w:t>
      </w:r>
      <w:r w:rsidR="00C24EDC" w:rsidRPr="00C24EDC">
        <w:t>.</w:t>
      </w:r>
    </w:p>
    <w:p w14:paraId="4D51F649" w14:textId="29F69105" w:rsidR="00006D70" w:rsidRPr="00006D70" w:rsidRDefault="00006D70" w:rsidP="00006D70">
      <w:pPr>
        <w:rPr>
          <w:rFonts w:cs="Arial"/>
          <w:szCs w:val="21"/>
        </w:rPr>
      </w:pPr>
      <w:r w:rsidRPr="00006D70">
        <w:rPr>
          <w:rFonts w:cs="Arial"/>
          <w:szCs w:val="21"/>
        </w:rPr>
        <w:t>Victorians come from more than 240 countries, speak 234 languages and dialects</w:t>
      </w:r>
      <w:r w:rsidR="00BE5197">
        <w:rPr>
          <w:rFonts w:cs="Arial"/>
          <w:szCs w:val="21"/>
        </w:rPr>
        <w:t>,</w:t>
      </w:r>
      <w:r w:rsidRPr="00006D70">
        <w:rPr>
          <w:rFonts w:cs="Arial"/>
          <w:szCs w:val="21"/>
        </w:rPr>
        <w:t xml:space="preserve"> and follow 135 religious faiths (Victorian Multicultural Commission</w:t>
      </w:r>
      <w:r w:rsidR="00BE5197">
        <w:rPr>
          <w:rFonts w:cs="Arial"/>
          <w:szCs w:val="21"/>
        </w:rPr>
        <w:t>,</w:t>
      </w:r>
      <w:r w:rsidRPr="00006D70">
        <w:rPr>
          <w:rFonts w:cs="Arial"/>
          <w:szCs w:val="21"/>
        </w:rPr>
        <w:t xml:space="preserve"> 2018). </w:t>
      </w:r>
    </w:p>
    <w:p w14:paraId="5C622489" w14:textId="6548604F" w:rsidR="00006D70" w:rsidRPr="00006D70" w:rsidRDefault="00006D70" w:rsidP="00006D70">
      <w:pPr>
        <w:rPr>
          <w:rFonts w:cs="Arial"/>
        </w:rPr>
      </w:pPr>
      <w:r w:rsidRPr="1949FE84">
        <w:rPr>
          <w:rFonts w:cs="Arial"/>
        </w:rPr>
        <w:lastRenderedPageBreak/>
        <w:t xml:space="preserve">A large number of overseas-born Victorians came to Australia as refugees from </w:t>
      </w:r>
      <w:r w:rsidR="608CAC6B" w:rsidRPr="1949FE84">
        <w:rPr>
          <w:rFonts w:cs="Arial"/>
        </w:rPr>
        <w:t>conflict</w:t>
      </w:r>
      <w:r w:rsidR="46BC860F" w:rsidRPr="1949FE84">
        <w:rPr>
          <w:rFonts w:cs="Arial"/>
        </w:rPr>
        <w:t xml:space="preserve"> zone</w:t>
      </w:r>
      <w:r w:rsidR="608CAC6B" w:rsidRPr="1949FE84">
        <w:rPr>
          <w:rFonts w:cs="Arial"/>
        </w:rPr>
        <w:t>s</w:t>
      </w:r>
      <w:r w:rsidR="00BE5197">
        <w:rPr>
          <w:rFonts w:cs="Arial"/>
        </w:rPr>
        <w:t xml:space="preserve"> such as</w:t>
      </w:r>
      <w:r w:rsidRPr="1949FE84">
        <w:rPr>
          <w:rFonts w:cs="Arial"/>
        </w:rPr>
        <w:t xml:space="preserve"> (</w:t>
      </w:r>
      <w:r w:rsidRPr="1949FE84">
        <w:rPr>
          <w:rFonts w:eastAsia="Times" w:cs="Arial"/>
        </w:rPr>
        <w:t>State Government of Victoria</w:t>
      </w:r>
      <w:r w:rsidRPr="1949FE84">
        <w:rPr>
          <w:rFonts w:cs="Arial"/>
        </w:rPr>
        <w:t>, 2016):</w:t>
      </w:r>
    </w:p>
    <w:p w14:paraId="3C2089B1" w14:textId="77777777" w:rsidR="00006D70" w:rsidRPr="00006D70" w:rsidRDefault="00006D70" w:rsidP="006E7A85">
      <w:pPr>
        <w:pStyle w:val="Bullet1"/>
      </w:pPr>
      <w:r w:rsidRPr="00006D70">
        <w:t>the Second World War in Europe</w:t>
      </w:r>
    </w:p>
    <w:p w14:paraId="474F10AF" w14:textId="6B93AE30" w:rsidR="00006D70" w:rsidRPr="00006D70" w:rsidRDefault="00006D70" w:rsidP="006E7A85">
      <w:pPr>
        <w:pStyle w:val="Bullet1"/>
      </w:pPr>
      <w:r w:rsidRPr="00006D70">
        <w:t>Indo-China</w:t>
      </w:r>
    </w:p>
    <w:p w14:paraId="3F3FEB0E" w14:textId="1B8E61F3" w:rsidR="00006D70" w:rsidRPr="00006D70" w:rsidRDefault="00006D70" w:rsidP="006E7A85">
      <w:pPr>
        <w:pStyle w:val="Bullet1"/>
      </w:pPr>
      <w:r w:rsidRPr="00006D70">
        <w:t>the republics of the former Yugoslavia</w:t>
      </w:r>
    </w:p>
    <w:p w14:paraId="12295DFE" w14:textId="77777777" w:rsidR="00006D70" w:rsidRPr="00006D70" w:rsidRDefault="00006D70" w:rsidP="006E7A85">
      <w:pPr>
        <w:pStyle w:val="Bullet1"/>
      </w:pPr>
      <w:r w:rsidRPr="00006D70">
        <w:t>the Horn of Africa</w:t>
      </w:r>
    </w:p>
    <w:p w14:paraId="58078DF2" w14:textId="77777777" w:rsidR="00006D70" w:rsidRPr="00006D70" w:rsidRDefault="00006D70" w:rsidP="006E7A85">
      <w:pPr>
        <w:pStyle w:val="Bullet1"/>
      </w:pPr>
      <w:r w:rsidRPr="00006D70">
        <w:t>the Middle East</w:t>
      </w:r>
    </w:p>
    <w:p w14:paraId="34DD715B" w14:textId="77777777" w:rsidR="00006D70" w:rsidRDefault="00006D70" w:rsidP="006E7A85">
      <w:pPr>
        <w:pStyle w:val="Bullet1"/>
      </w:pPr>
      <w:r w:rsidRPr="00006D70">
        <w:t>Afghanistan.</w:t>
      </w:r>
    </w:p>
    <w:p w14:paraId="7C4D8BAF" w14:textId="088FAB3E" w:rsidR="006E7A85" w:rsidRPr="00FA18F0" w:rsidRDefault="00FA18F0" w:rsidP="00FA18F0">
      <w:pPr>
        <w:rPr>
          <w:rFonts w:cs="Arial"/>
          <w:i/>
          <w:sz w:val="16"/>
          <w:szCs w:val="14"/>
        </w:rPr>
      </w:pPr>
      <w:r w:rsidRPr="00FA18F0">
        <w:rPr>
          <w:rFonts w:cs="Arial"/>
          <w:i/>
          <w:iCs/>
          <w:sz w:val="16"/>
          <w:szCs w:val="14"/>
        </w:rPr>
        <w:t>Please note: Content within this section is reflected in the previous 2017-18 Your Health report. At the time of writing this report there was no new 2019 data analysis available.</w:t>
      </w:r>
    </w:p>
    <w:p w14:paraId="1D3EF58B" w14:textId="23BC71F6" w:rsidR="00475C34" w:rsidRPr="00BD1A34" w:rsidRDefault="0070592D" w:rsidP="00475C34">
      <w:pPr>
        <w:rPr>
          <w:rFonts w:cs="Arial"/>
        </w:rPr>
      </w:pPr>
      <w:r>
        <w:rPr>
          <w:rFonts w:cs="Arial"/>
        </w:rPr>
        <w:t xml:space="preserve">Chapter 6, </w:t>
      </w:r>
      <w:r w:rsidR="00475C34" w:rsidRPr="1949FE84">
        <w:rPr>
          <w:rFonts w:cs="Arial"/>
        </w:rPr>
        <w:t xml:space="preserve">Table 1 shows changes in migration occurring in Victoria. The proportion of people born in England, for example, decreased </w:t>
      </w:r>
      <w:r w:rsidR="00BE5197">
        <w:rPr>
          <w:rFonts w:cs="Arial"/>
        </w:rPr>
        <w:t xml:space="preserve">between </w:t>
      </w:r>
      <w:r w:rsidR="00475C34" w:rsidRPr="1949FE84">
        <w:rPr>
          <w:rFonts w:cs="Arial"/>
        </w:rPr>
        <w:t xml:space="preserve">the 2011 Census </w:t>
      </w:r>
      <w:r w:rsidR="00BE5197">
        <w:rPr>
          <w:rFonts w:cs="Arial"/>
        </w:rPr>
        <w:t xml:space="preserve">and the </w:t>
      </w:r>
      <w:r w:rsidR="00475C34" w:rsidRPr="1949FE84">
        <w:rPr>
          <w:rFonts w:cs="Arial"/>
        </w:rPr>
        <w:t>2016 Census. The number of people born in India, China, New Zealand and Vietnam increased over the same period</w:t>
      </w:r>
      <w:r w:rsidR="00475C34" w:rsidRPr="1949FE84">
        <w:rPr>
          <w:rFonts w:cs="Arial"/>
          <w:color w:val="2A2736"/>
        </w:rPr>
        <w:t xml:space="preserve"> </w:t>
      </w:r>
      <w:r w:rsidR="00475C34" w:rsidRPr="1949FE84">
        <w:rPr>
          <w:rFonts w:cs="Arial"/>
        </w:rPr>
        <w:t>(</w:t>
      </w:r>
      <w:r w:rsidR="00BE5197">
        <w:rPr>
          <w:rFonts w:cs="Arial"/>
        </w:rPr>
        <w:t>VMC,</w:t>
      </w:r>
      <w:r w:rsidR="00475C34" w:rsidRPr="1949FE84">
        <w:rPr>
          <w:rFonts w:cs="Arial"/>
        </w:rPr>
        <w:t xml:space="preserve"> 2017).</w:t>
      </w:r>
    </w:p>
    <w:p w14:paraId="4D576127" w14:textId="77777777" w:rsidR="00A44585" w:rsidRDefault="0070592D" w:rsidP="00A44585">
      <w:pPr>
        <w:pStyle w:val="Caption"/>
        <w:keepNext/>
        <w:spacing w:after="120"/>
        <w:rPr>
          <w:b/>
          <w:i w:val="0"/>
          <w:color w:val="000000" w:themeColor="text1"/>
          <w:sz w:val="21"/>
          <w:szCs w:val="21"/>
        </w:rPr>
      </w:pPr>
      <w:r>
        <w:rPr>
          <w:b/>
          <w:i w:val="0"/>
          <w:color w:val="auto"/>
          <w:sz w:val="21"/>
          <w:szCs w:val="20"/>
        </w:rPr>
        <w:t xml:space="preserve">Chapter 6, </w:t>
      </w:r>
      <w:r w:rsidR="006C23B4" w:rsidRPr="00AD29E0">
        <w:rPr>
          <w:b/>
          <w:i w:val="0"/>
          <w:color w:val="auto"/>
          <w:sz w:val="21"/>
          <w:szCs w:val="20"/>
        </w:rPr>
        <w:t>Table</w:t>
      </w:r>
      <w:r w:rsidR="006C23B4" w:rsidRPr="00AD29E0">
        <w:rPr>
          <w:i w:val="0"/>
          <w:color w:val="auto"/>
          <w:sz w:val="21"/>
          <w:szCs w:val="20"/>
        </w:rPr>
        <w:t xml:space="preserve"> </w:t>
      </w:r>
      <w:r w:rsidR="006C23B4" w:rsidRPr="00AD29E0">
        <w:rPr>
          <w:i w:val="0"/>
          <w:color w:val="auto"/>
          <w:sz w:val="21"/>
          <w:szCs w:val="20"/>
        </w:rPr>
        <w:fldChar w:fldCharType="begin"/>
      </w:r>
      <w:r w:rsidR="006C23B4" w:rsidRPr="00AD29E0">
        <w:rPr>
          <w:i w:val="0"/>
          <w:color w:val="auto"/>
          <w:sz w:val="21"/>
          <w:szCs w:val="20"/>
        </w:rPr>
        <w:instrText xml:space="preserve"> SEQ Table \* ARABIC </w:instrText>
      </w:r>
      <w:r w:rsidR="006C23B4" w:rsidRPr="00AD29E0">
        <w:rPr>
          <w:i w:val="0"/>
          <w:color w:val="auto"/>
          <w:sz w:val="21"/>
          <w:szCs w:val="20"/>
        </w:rPr>
        <w:fldChar w:fldCharType="separate"/>
      </w:r>
      <w:r w:rsidR="006C23B4" w:rsidRPr="00AD29E0">
        <w:rPr>
          <w:b/>
          <w:i w:val="0"/>
          <w:color w:val="000000" w:themeColor="text1"/>
          <w:sz w:val="21"/>
          <w:szCs w:val="21"/>
        </w:rPr>
        <w:t>1</w:t>
      </w:r>
      <w:r w:rsidR="006C23B4" w:rsidRPr="00AD29E0">
        <w:rPr>
          <w:i w:val="0"/>
          <w:color w:val="auto"/>
          <w:sz w:val="21"/>
          <w:szCs w:val="20"/>
        </w:rPr>
        <w:fldChar w:fldCharType="end"/>
      </w:r>
      <w:r w:rsidR="00272BD6" w:rsidRPr="00AD29E0">
        <w:rPr>
          <w:b/>
          <w:i w:val="0"/>
          <w:color w:val="000000" w:themeColor="text1"/>
          <w:sz w:val="21"/>
          <w:szCs w:val="21"/>
        </w:rPr>
        <w:t>. Common countries of birth for Victorians</w:t>
      </w:r>
      <w:r w:rsidR="00AD29E0">
        <w:rPr>
          <w:b/>
          <w:i w:val="0"/>
          <w:color w:val="000000" w:themeColor="text1"/>
          <w:sz w:val="21"/>
          <w:szCs w:val="21"/>
        </w:rPr>
        <w:t>,</w:t>
      </w:r>
      <w:r w:rsidR="00272BD6" w:rsidRPr="00AD29E0">
        <w:rPr>
          <w:b/>
          <w:i w:val="0"/>
          <w:color w:val="000000" w:themeColor="text1"/>
          <w:sz w:val="21"/>
          <w:szCs w:val="21"/>
        </w:rPr>
        <w:t xml:space="preserve"> 2016 and 20</w:t>
      </w:r>
      <w:r w:rsidR="00B423FD" w:rsidRPr="00AD29E0">
        <w:rPr>
          <w:b/>
          <w:i w:val="0"/>
          <w:color w:val="000000" w:themeColor="text1"/>
          <w:sz w:val="21"/>
          <w:szCs w:val="21"/>
        </w:rPr>
        <w:t>11</w:t>
      </w:r>
      <w:r w:rsidR="00573445">
        <w:rPr>
          <w:b/>
          <w:i w:val="0"/>
          <w:color w:val="000000" w:themeColor="text1"/>
          <w:sz w:val="21"/>
          <w:szCs w:val="21"/>
        </w:rPr>
        <w:t xml:space="preserve"> </w:t>
      </w:r>
      <w:bookmarkStart w:id="62" w:name="_Hlk128042634"/>
    </w:p>
    <w:p w14:paraId="2E526DE0" w14:textId="3BF551FE" w:rsidR="00006D70" w:rsidRPr="0092449E" w:rsidRDefault="00573445" w:rsidP="00AD29E0">
      <w:pPr>
        <w:pStyle w:val="Caption"/>
        <w:keepNext/>
        <w:rPr>
          <w:b/>
          <w:i w:val="0"/>
          <w:iCs w:val="0"/>
          <w:color w:val="000000" w:themeColor="text1"/>
          <w:sz w:val="21"/>
          <w:szCs w:val="21"/>
        </w:rPr>
      </w:pPr>
      <w:r w:rsidRPr="0092449E">
        <w:rPr>
          <w:rFonts w:eastAsia="Arial" w:cs="Arial"/>
          <w:i w:val="0"/>
          <w:iCs w:val="0"/>
          <w:color w:val="000000" w:themeColor="text1"/>
          <w:sz w:val="21"/>
          <w:szCs w:val="21"/>
        </w:rPr>
        <w:t>(</w:t>
      </w:r>
      <w:r w:rsidR="00A44585">
        <w:rPr>
          <w:rFonts w:eastAsia="Arial" w:cs="Arial"/>
          <w:i w:val="0"/>
          <w:iCs w:val="0"/>
          <w:color w:val="000000" w:themeColor="text1"/>
          <w:sz w:val="21"/>
          <w:szCs w:val="21"/>
        </w:rPr>
        <w:t xml:space="preserve">Go to </w:t>
      </w:r>
      <w:r w:rsidRPr="0092449E">
        <w:rPr>
          <w:rFonts w:eastAsia="Arial" w:cs="Arial"/>
          <w:i w:val="0"/>
          <w:iCs w:val="0"/>
          <w:color w:val="000000" w:themeColor="text1"/>
          <w:sz w:val="21"/>
          <w:szCs w:val="21"/>
        </w:rPr>
        <w:t>Appendix A, Chapter 6, Table 1 for accessible table content)</w:t>
      </w:r>
    </w:p>
    <w:tbl>
      <w:tblPr>
        <w:tblStyle w:val="GridTable1Light"/>
        <w:tblW w:w="9090" w:type="dxa"/>
        <w:tblLook w:val="04A0" w:firstRow="1" w:lastRow="0" w:firstColumn="1" w:lastColumn="0" w:noHBand="0" w:noVBand="1"/>
      </w:tblPr>
      <w:tblGrid>
        <w:gridCol w:w="3836"/>
        <w:gridCol w:w="1561"/>
        <w:gridCol w:w="1066"/>
        <w:gridCol w:w="1561"/>
        <w:gridCol w:w="1066"/>
      </w:tblGrid>
      <w:tr w:rsidR="00006D70" w:rsidRPr="000359D8" w14:paraId="3F5CD608" w14:textId="77777777" w:rsidTr="001B2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bookmarkEnd w:id="62"/>
          <w:p w14:paraId="6A2CED59" w14:textId="77777777" w:rsidR="00006D70" w:rsidRPr="00CA5EAE" w:rsidRDefault="00006D70" w:rsidP="001B2E83">
            <w:pPr>
              <w:rPr>
                <w:rFonts w:cs="Arial"/>
                <w:szCs w:val="21"/>
              </w:rPr>
            </w:pPr>
            <w:r w:rsidRPr="00CA5EAE">
              <w:rPr>
                <w:rFonts w:cs="Arial"/>
                <w:szCs w:val="21"/>
              </w:rPr>
              <w:t>Country of birth</w:t>
            </w:r>
          </w:p>
        </w:tc>
        <w:tc>
          <w:tcPr>
            <w:tcW w:w="0" w:type="auto"/>
            <w:hideMark/>
          </w:tcPr>
          <w:p w14:paraId="589A7142"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Victoria 2016</w:t>
            </w:r>
          </w:p>
        </w:tc>
        <w:tc>
          <w:tcPr>
            <w:tcW w:w="0" w:type="auto"/>
            <w:hideMark/>
          </w:tcPr>
          <w:p w14:paraId="37F7C978"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per cent</w:t>
            </w:r>
          </w:p>
        </w:tc>
        <w:tc>
          <w:tcPr>
            <w:tcW w:w="0" w:type="auto"/>
            <w:hideMark/>
          </w:tcPr>
          <w:p w14:paraId="37F8C7ED"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Victoria 2011</w:t>
            </w:r>
          </w:p>
        </w:tc>
        <w:tc>
          <w:tcPr>
            <w:tcW w:w="0" w:type="auto"/>
            <w:hideMark/>
          </w:tcPr>
          <w:p w14:paraId="5E1AA5F0" w14:textId="77777777" w:rsidR="00006D70" w:rsidRPr="00CA5EAE"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CA5EAE">
              <w:rPr>
                <w:rFonts w:cs="Arial"/>
                <w:szCs w:val="21"/>
              </w:rPr>
              <w:t>per cent</w:t>
            </w:r>
          </w:p>
        </w:tc>
      </w:tr>
      <w:tr w:rsidR="00006D70" w:rsidRPr="000359D8" w14:paraId="68157E0F"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678BD5AF" w14:textId="77777777" w:rsidR="00006D70" w:rsidRPr="00CA5EAE" w:rsidRDefault="00006D70" w:rsidP="001B2E83">
            <w:pPr>
              <w:rPr>
                <w:rFonts w:cs="Arial"/>
                <w:szCs w:val="21"/>
              </w:rPr>
            </w:pPr>
            <w:r w:rsidRPr="00CA5EAE">
              <w:rPr>
                <w:rFonts w:cs="Arial"/>
                <w:szCs w:val="21"/>
              </w:rPr>
              <w:t>Australia</w:t>
            </w:r>
          </w:p>
        </w:tc>
        <w:tc>
          <w:tcPr>
            <w:tcW w:w="0" w:type="auto"/>
            <w:hideMark/>
          </w:tcPr>
          <w:p w14:paraId="7A91802C"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3,845,493</w:t>
            </w:r>
          </w:p>
        </w:tc>
        <w:tc>
          <w:tcPr>
            <w:tcW w:w="0" w:type="auto"/>
            <w:hideMark/>
          </w:tcPr>
          <w:p w14:paraId="3AEF23E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64.9</w:t>
            </w:r>
          </w:p>
        </w:tc>
        <w:tc>
          <w:tcPr>
            <w:tcW w:w="0" w:type="auto"/>
            <w:hideMark/>
          </w:tcPr>
          <w:p w14:paraId="03402703"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3,670,934</w:t>
            </w:r>
          </w:p>
        </w:tc>
        <w:tc>
          <w:tcPr>
            <w:tcW w:w="0" w:type="auto"/>
            <w:hideMark/>
          </w:tcPr>
          <w:p w14:paraId="4F25616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68.6</w:t>
            </w:r>
          </w:p>
        </w:tc>
      </w:tr>
      <w:tr w:rsidR="00006D70" w:rsidRPr="000359D8" w14:paraId="0E39606E"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B9202A8" w14:textId="77777777" w:rsidR="00006D70" w:rsidRPr="00CA5EAE" w:rsidRDefault="00006D70" w:rsidP="001B2E83">
            <w:pPr>
              <w:rPr>
                <w:rFonts w:cs="Arial"/>
                <w:szCs w:val="21"/>
              </w:rPr>
            </w:pPr>
            <w:r w:rsidRPr="00CA5EAE">
              <w:rPr>
                <w:rFonts w:cs="Arial"/>
                <w:szCs w:val="21"/>
              </w:rPr>
              <w:t>England</w:t>
            </w:r>
          </w:p>
        </w:tc>
        <w:tc>
          <w:tcPr>
            <w:tcW w:w="0" w:type="auto"/>
            <w:hideMark/>
          </w:tcPr>
          <w:p w14:paraId="4B7CAE83"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171,443</w:t>
            </w:r>
          </w:p>
        </w:tc>
        <w:tc>
          <w:tcPr>
            <w:tcW w:w="0" w:type="auto"/>
            <w:hideMark/>
          </w:tcPr>
          <w:p w14:paraId="093FBC5F"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2.9</w:t>
            </w:r>
          </w:p>
        </w:tc>
        <w:tc>
          <w:tcPr>
            <w:tcW w:w="0" w:type="auto"/>
            <w:hideMark/>
          </w:tcPr>
          <w:p w14:paraId="6D2A47C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172,068</w:t>
            </w:r>
          </w:p>
        </w:tc>
        <w:tc>
          <w:tcPr>
            <w:tcW w:w="0" w:type="auto"/>
            <w:hideMark/>
          </w:tcPr>
          <w:p w14:paraId="0A0F7648"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3.2</w:t>
            </w:r>
          </w:p>
        </w:tc>
      </w:tr>
      <w:tr w:rsidR="00006D70" w:rsidRPr="000359D8" w14:paraId="223AA51A"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4A351F3F" w14:textId="77777777" w:rsidR="00006D70" w:rsidRPr="00CA5EAE" w:rsidRDefault="00006D70" w:rsidP="001B2E83">
            <w:pPr>
              <w:rPr>
                <w:rFonts w:cs="Arial"/>
                <w:szCs w:val="21"/>
              </w:rPr>
            </w:pPr>
            <w:r w:rsidRPr="00CA5EAE">
              <w:rPr>
                <w:rFonts w:cs="Arial"/>
                <w:szCs w:val="21"/>
              </w:rPr>
              <w:t>India</w:t>
            </w:r>
          </w:p>
        </w:tc>
        <w:tc>
          <w:tcPr>
            <w:tcW w:w="0" w:type="auto"/>
            <w:hideMark/>
          </w:tcPr>
          <w:p w14:paraId="72FC921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169,802</w:t>
            </w:r>
          </w:p>
        </w:tc>
        <w:tc>
          <w:tcPr>
            <w:tcW w:w="0" w:type="auto"/>
            <w:hideMark/>
          </w:tcPr>
          <w:p w14:paraId="5E7CA2BD"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2.9</w:t>
            </w:r>
          </w:p>
        </w:tc>
        <w:tc>
          <w:tcPr>
            <w:tcW w:w="0" w:type="auto"/>
            <w:hideMark/>
          </w:tcPr>
          <w:p w14:paraId="6E7C239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111,787</w:t>
            </w:r>
          </w:p>
        </w:tc>
        <w:tc>
          <w:tcPr>
            <w:tcW w:w="0" w:type="auto"/>
            <w:hideMark/>
          </w:tcPr>
          <w:p w14:paraId="2B6D7BFF"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2.1</w:t>
            </w:r>
          </w:p>
        </w:tc>
      </w:tr>
      <w:tr w:rsidR="00006D70" w:rsidRPr="000359D8" w14:paraId="34FCA4CB"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3EDCAA84" w14:textId="77777777" w:rsidR="00006D70" w:rsidRPr="00CA5EAE" w:rsidRDefault="00006D70" w:rsidP="001B2E83">
            <w:pPr>
              <w:rPr>
                <w:rFonts w:cs="Arial"/>
                <w:szCs w:val="21"/>
              </w:rPr>
            </w:pPr>
            <w:r w:rsidRPr="00CA5EAE">
              <w:rPr>
                <w:rFonts w:cs="Arial"/>
                <w:szCs w:val="21"/>
              </w:rPr>
              <w:t>China (excludes SARs and Taiwan)</w:t>
            </w:r>
          </w:p>
        </w:tc>
        <w:tc>
          <w:tcPr>
            <w:tcW w:w="0" w:type="auto"/>
            <w:hideMark/>
          </w:tcPr>
          <w:p w14:paraId="32865C27"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160,652</w:t>
            </w:r>
          </w:p>
        </w:tc>
        <w:tc>
          <w:tcPr>
            <w:tcW w:w="0" w:type="auto"/>
            <w:hideMark/>
          </w:tcPr>
          <w:p w14:paraId="678A019B"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2.7</w:t>
            </w:r>
          </w:p>
        </w:tc>
        <w:tc>
          <w:tcPr>
            <w:tcW w:w="0" w:type="auto"/>
            <w:hideMark/>
          </w:tcPr>
          <w:p w14:paraId="346C956A"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93,896</w:t>
            </w:r>
          </w:p>
        </w:tc>
        <w:tc>
          <w:tcPr>
            <w:tcW w:w="0" w:type="auto"/>
            <w:hideMark/>
          </w:tcPr>
          <w:p w14:paraId="44ACD1E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1.8</w:t>
            </w:r>
          </w:p>
        </w:tc>
      </w:tr>
      <w:tr w:rsidR="00006D70" w:rsidRPr="000359D8" w14:paraId="65915357"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5B4AC37B" w14:textId="77777777" w:rsidR="00006D70" w:rsidRPr="00CA5EAE" w:rsidRDefault="00006D70" w:rsidP="001B2E83">
            <w:pPr>
              <w:rPr>
                <w:rFonts w:cs="Arial"/>
                <w:szCs w:val="21"/>
              </w:rPr>
            </w:pPr>
            <w:r w:rsidRPr="00CA5EAE">
              <w:rPr>
                <w:rFonts w:cs="Arial"/>
                <w:szCs w:val="21"/>
              </w:rPr>
              <w:t>New Zealand</w:t>
            </w:r>
          </w:p>
        </w:tc>
        <w:tc>
          <w:tcPr>
            <w:tcW w:w="0" w:type="auto"/>
            <w:hideMark/>
          </w:tcPr>
          <w:p w14:paraId="5E3A2750"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93,253</w:t>
            </w:r>
          </w:p>
        </w:tc>
        <w:tc>
          <w:tcPr>
            <w:tcW w:w="0" w:type="auto"/>
            <w:hideMark/>
          </w:tcPr>
          <w:p w14:paraId="78031BE6"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1.6</w:t>
            </w:r>
          </w:p>
        </w:tc>
        <w:tc>
          <w:tcPr>
            <w:tcW w:w="0" w:type="auto"/>
            <w:hideMark/>
          </w:tcPr>
          <w:p w14:paraId="2A523FB7"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80,234</w:t>
            </w:r>
          </w:p>
        </w:tc>
        <w:tc>
          <w:tcPr>
            <w:tcW w:w="0" w:type="auto"/>
            <w:hideMark/>
          </w:tcPr>
          <w:p w14:paraId="30631E62"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1.5</w:t>
            </w:r>
          </w:p>
        </w:tc>
      </w:tr>
      <w:tr w:rsidR="00006D70" w:rsidRPr="000359D8" w14:paraId="67E2405B"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3372439" w14:textId="77777777" w:rsidR="00006D70" w:rsidRPr="00CA5EAE" w:rsidRDefault="00006D70" w:rsidP="001B2E83">
            <w:pPr>
              <w:rPr>
                <w:rFonts w:cs="Arial"/>
                <w:szCs w:val="21"/>
              </w:rPr>
            </w:pPr>
            <w:r w:rsidRPr="00CA5EAE">
              <w:rPr>
                <w:rFonts w:cs="Arial"/>
                <w:szCs w:val="21"/>
              </w:rPr>
              <w:t>Vietnam</w:t>
            </w:r>
          </w:p>
        </w:tc>
        <w:tc>
          <w:tcPr>
            <w:tcW w:w="0" w:type="auto"/>
            <w:hideMark/>
          </w:tcPr>
          <w:p w14:paraId="45755C99"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80,787</w:t>
            </w:r>
          </w:p>
        </w:tc>
        <w:tc>
          <w:tcPr>
            <w:tcW w:w="0" w:type="auto"/>
            <w:hideMark/>
          </w:tcPr>
          <w:p w14:paraId="426E34C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1.4</w:t>
            </w:r>
          </w:p>
        </w:tc>
        <w:tc>
          <w:tcPr>
            <w:tcW w:w="0" w:type="auto"/>
            <w:hideMark/>
          </w:tcPr>
          <w:p w14:paraId="18EB459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68,296</w:t>
            </w:r>
          </w:p>
        </w:tc>
        <w:tc>
          <w:tcPr>
            <w:tcW w:w="0" w:type="auto"/>
            <w:hideMark/>
          </w:tcPr>
          <w:p w14:paraId="14D91AB5" w14:textId="77777777" w:rsidR="00006D70" w:rsidRPr="00CA5EAE"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CA5EAE">
              <w:rPr>
                <w:rFonts w:cs="Arial"/>
                <w:szCs w:val="21"/>
              </w:rPr>
              <w:t>1.3</w:t>
            </w:r>
          </w:p>
        </w:tc>
      </w:tr>
    </w:tbl>
    <w:p w14:paraId="01BA15F8" w14:textId="77777777" w:rsidR="00DE1D22" w:rsidRDefault="00DE1D22" w:rsidP="004139D3">
      <w:pPr>
        <w:spacing w:after="0" w:line="240" w:lineRule="auto"/>
        <w:rPr>
          <w:rFonts w:cs="Arial"/>
          <w:szCs w:val="21"/>
        </w:rPr>
      </w:pPr>
    </w:p>
    <w:p w14:paraId="45A7868B" w14:textId="66561529" w:rsidR="00DE1D22" w:rsidRDefault="0070592D" w:rsidP="00DE1D22">
      <w:pPr>
        <w:rPr>
          <w:rFonts w:cs="Arial"/>
          <w:szCs w:val="21"/>
        </w:rPr>
      </w:pPr>
      <w:r>
        <w:rPr>
          <w:rFonts w:cs="Arial"/>
          <w:szCs w:val="21"/>
        </w:rPr>
        <w:t xml:space="preserve">Chapter 6, </w:t>
      </w:r>
      <w:r w:rsidR="00DE1D22" w:rsidRPr="00BD1A34">
        <w:rPr>
          <w:rFonts w:cs="Arial"/>
          <w:szCs w:val="21"/>
        </w:rPr>
        <w:t>Table 2 shows the languages spoken at home in Victorian households and the changes that reflect changing patterns of migration. The top five</w:t>
      </w:r>
      <w:r>
        <w:rPr>
          <w:rFonts w:cs="Arial"/>
          <w:szCs w:val="21"/>
        </w:rPr>
        <w:t xml:space="preserve"> languages other than English (</w:t>
      </w:r>
      <w:r w:rsidR="00DE1D22" w:rsidRPr="00BD1A34">
        <w:rPr>
          <w:rFonts w:cs="Arial"/>
          <w:szCs w:val="21"/>
        </w:rPr>
        <w:t>LOTE</w:t>
      </w:r>
      <w:r>
        <w:rPr>
          <w:rFonts w:cs="Arial"/>
          <w:szCs w:val="21"/>
        </w:rPr>
        <w:t>)</w:t>
      </w:r>
      <w:r w:rsidR="00DE1D22" w:rsidRPr="00BD1A34">
        <w:rPr>
          <w:rFonts w:cs="Arial"/>
          <w:szCs w:val="21"/>
        </w:rPr>
        <w:t xml:space="preserve"> in 2016 were Mandarin, Italian, Greek, Vietnamese, and Arabic</w:t>
      </w:r>
      <w:r w:rsidR="00DE1D22" w:rsidRPr="00BD1A34">
        <w:rPr>
          <w:rFonts w:cs="Arial"/>
          <w:color w:val="2A2736"/>
          <w:szCs w:val="21"/>
        </w:rPr>
        <w:t xml:space="preserve"> </w:t>
      </w:r>
      <w:r w:rsidR="00DE1D22" w:rsidRPr="00BD1A34">
        <w:rPr>
          <w:rFonts w:cs="Arial"/>
          <w:szCs w:val="21"/>
        </w:rPr>
        <w:t>(</w:t>
      </w:r>
      <w:r w:rsidR="00BE5197">
        <w:rPr>
          <w:rFonts w:cs="Arial"/>
          <w:szCs w:val="21"/>
        </w:rPr>
        <w:t xml:space="preserve">VMC, </w:t>
      </w:r>
      <w:r w:rsidR="00DE1D22" w:rsidRPr="00BD1A34">
        <w:rPr>
          <w:rFonts w:cs="Arial"/>
          <w:szCs w:val="21"/>
        </w:rPr>
        <w:t>2017).</w:t>
      </w:r>
    </w:p>
    <w:p w14:paraId="033C0C1C" w14:textId="77777777" w:rsidR="00A44585" w:rsidRDefault="0070592D" w:rsidP="004139D3">
      <w:pPr>
        <w:spacing w:after="0" w:line="240" w:lineRule="auto"/>
        <w:rPr>
          <w:b/>
        </w:rPr>
      </w:pPr>
      <w:r w:rsidRPr="000A1E42">
        <w:rPr>
          <w:b/>
          <w:iCs/>
        </w:rPr>
        <w:t>Chapter 6</w:t>
      </w:r>
      <w:r>
        <w:rPr>
          <w:b/>
          <w:i/>
        </w:rPr>
        <w:t xml:space="preserve">, </w:t>
      </w:r>
      <w:r w:rsidRPr="00AD29E0">
        <w:rPr>
          <w:b/>
        </w:rPr>
        <w:t>Table</w:t>
      </w:r>
      <w:r>
        <w:rPr>
          <w:b/>
        </w:rPr>
        <w:t xml:space="preserve"> </w:t>
      </w:r>
      <w:r w:rsidRPr="0070592D">
        <w:rPr>
          <w:b/>
        </w:rPr>
        <w:t>2. Languages spoken at home in Victoria, 2016 and 2011</w:t>
      </w:r>
      <w:r w:rsidR="00573445">
        <w:rPr>
          <w:b/>
        </w:rPr>
        <w:t xml:space="preserve"> </w:t>
      </w:r>
    </w:p>
    <w:p w14:paraId="7A736D8F" w14:textId="59D55D07" w:rsidR="00573445" w:rsidRPr="00573445" w:rsidRDefault="00573445" w:rsidP="004139D3">
      <w:pPr>
        <w:rPr>
          <w:bCs/>
        </w:rPr>
      </w:pPr>
      <w:r w:rsidRPr="00573445">
        <w:rPr>
          <w:bCs/>
        </w:rPr>
        <w:t>(</w:t>
      </w:r>
      <w:r w:rsidR="00A44585">
        <w:rPr>
          <w:bCs/>
        </w:rPr>
        <w:t xml:space="preserve">Go to </w:t>
      </w:r>
      <w:r w:rsidRPr="00573445">
        <w:rPr>
          <w:bCs/>
        </w:rPr>
        <w:t xml:space="preserve">Appendix A, Chapter 6, Table </w:t>
      </w:r>
      <w:r>
        <w:rPr>
          <w:bCs/>
        </w:rPr>
        <w:t>2</w:t>
      </w:r>
      <w:r w:rsidRPr="00573445">
        <w:rPr>
          <w:bCs/>
        </w:rPr>
        <w:t xml:space="preserve"> for accessible table content)</w:t>
      </w:r>
    </w:p>
    <w:tbl>
      <w:tblPr>
        <w:tblStyle w:val="GridTable1Light"/>
        <w:tblW w:w="9090" w:type="dxa"/>
        <w:tblLook w:val="04A0" w:firstRow="1" w:lastRow="0" w:firstColumn="1" w:lastColumn="0" w:noHBand="0" w:noVBand="1"/>
      </w:tblPr>
      <w:tblGrid>
        <w:gridCol w:w="4700"/>
        <w:gridCol w:w="1334"/>
        <w:gridCol w:w="861"/>
        <w:gridCol w:w="1334"/>
        <w:gridCol w:w="861"/>
      </w:tblGrid>
      <w:tr w:rsidR="00006D70" w:rsidRPr="00BD1A34" w14:paraId="142717A4" w14:textId="77777777" w:rsidTr="001B2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D063B5" w14:textId="224A0FC6" w:rsidR="00006D70" w:rsidRPr="00BD1A34" w:rsidRDefault="00006D70" w:rsidP="001B2E83">
            <w:pPr>
              <w:rPr>
                <w:rFonts w:cs="Arial"/>
                <w:szCs w:val="21"/>
              </w:rPr>
            </w:pPr>
            <w:r w:rsidRPr="00BD1A34">
              <w:rPr>
                <w:rFonts w:cs="Arial"/>
                <w:szCs w:val="21"/>
              </w:rPr>
              <w:t>Languages, top responses 2016</w:t>
            </w:r>
          </w:p>
        </w:tc>
        <w:tc>
          <w:tcPr>
            <w:tcW w:w="0" w:type="auto"/>
            <w:hideMark/>
          </w:tcPr>
          <w:p w14:paraId="648DF0F7"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Victoria 2016</w:t>
            </w:r>
          </w:p>
        </w:tc>
        <w:tc>
          <w:tcPr>
            <w:tcW w:w="0" w:type="auto"/>
            <w:hideMark/>
          </w:tcPr>
          <w:p w14:paraId="3462283F"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per cent</w:t>
            </w:r>
          </w:p>
        </w:tc>
        <w:tc>
          <w:tcPr>
            <w:tcW w:w="0" w:type="auto"/>
            <w:hideMark/>
          </w:tcPr>
          <w:p w14:paraId="34AEBDAC"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Victoria 2011</w:t>
            </w:r>
          </w:p>
        </w:tc>
        <w:tc>
          <w:tcPr>
            <w:tcW w:w="0" w:type="auto"/>
            <w:hideMark/>
          </w:tcPr>
          <w:p w14:paraId="2EAF3F96" w14:textId="77777777" w:rsidR="00006D70" w:rsidRPr="00BD1A34" w:rsidRDefault="00006D70" w:rsidP="001B2E83">
            <w:pPr>
              <w:cnfStyle w:val="100000000000" w:firstRow="1" w:lastRow="0" w:firstColumn="0" w:lastColumn="0" w:oddVBand="0" w:evenVBand="0" w:oddHBand="0" w:evenHBand="0" w:firstRowFirstColumn="0" w:firstRowLastColumn="0" w:lastRowFirstColumn="0" w:lastRowLastColumn="0"/>
              <w:rPr>
                <w:rFonts w:cs="Arial"/>
                <w:szCs w:val="21"/>
              </w:rPr>
            </w:pPr>
            <w:r w:rsidRPr="00BD1A34">
              <w:rPr>
                <w:rFonts w:cs="Arial"/>
                <w:szCs w:val="21"/>
              </w:rPr>
              <w:t>per cent</w:t>
            </w:r>
          </w:p>
        </w:tc>
      </w:tr>
      <w:tr w:rsidR="00006D70" w:rsidRPr="00BD1A34" w14:paraId="1C7C1537"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3AC2A042" w14:textId="77777777" w:rsidR="00006D70" w:rsidRPr="00BD1A34" w:rsidRDefault="00006D70" w:rsidP="001B2E83">
            <w:pPr>
              <w:rPr>
                <w:rFonts w:cs="Arial"/>
                <w:szCs w:val="21"/>
              </w:rPr>
            </w:pPr>
            <w:r w:rsidRPr="00BD1A34">
              <w:rPr>
                <w:rFonts w:cs="Arial"/>
                <w:szCs w:val="21"/>
              </w:rPr>
              <w:t>Only English spoken at home</w:t>
            </w:r>
          </w:p>
        </w:tc>
        <w:tc>
          <w:tcPr>
            <w:tcW w:w="0" w:type="auto"/>
            <w:hideMark/>
          </w:tcPr>
          <w:p w14:paraId="578AC7DC"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4,026,811</w:t>
            </w:r>
          </w:p>
        </w:tc>
        <w:tc>
          <w:tcPr>
            <w:tcW w:w="0" w:type="auto"/>
            <w:hideMark/>
          </w:tcPr>
          <w:p w14:paraId="0222327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67.9</w:t>
            </w:r>
          </w:p>
        </w:tc>
        <w:tc>
          <w:tcPr>
            <w:tcW w:w="0" w:type="auto"/>
            <w:hideMark/>
          </w:tcPr>
          <w:p w14:paraId="74F7D101"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3,874,861</w:t>
            </w:r>
          </w:p>
        </w:tc>
        <w:tc>
          <w:tcPr>
            <w:tcW w:w="0" w:type="auto"/>
            <w:hideMark/>
          </w:tcPr>
          <w:p w14:paraId="621A0D4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72.4</w:t>
            </w:r>
          </w:p>
        </w:tc>
      </w:tr>
      <w:tr w:rsidR="00006D70" w:rsidRPr="00BD1A34" w14:paraId="6C5B392D"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5F46B033" w14:textId="77777777" w:rsidR="00006D70" w:rsidRPr="00BD1A34" w:rsidRDefault="00006D70" w:rsidP="001B2E83">
            <w:pPr>
              <w:rPr>
                <w:rFonts w:cs="Arial"/>
                <w:szCs w:val="21"/>
              </w:rPr>
            </w:pPr>
            <w:r w:rsidRPr="00BD1A34">
              <w:rPr>
                <w:rFonts w:cs="Arial"/>
                <w:szCs w:val="21"/>
              </w:rPr>
              <w:t>Mandarin</w:t>
            </w:r>
          </w:p>
        </w:tc>
        <w:tc>
          <w:tcPr>
            <w:tcW w:w="0" w:type="auto"/>
            <w:hideMark/>
          </w:tcPr>
          <w:p w14:paraId="35E290D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191,793</w:t>
            </w:r>
          </w:p>
        </w:tc>
        <w:tc>
          <w:tcPr>
            <w:tcW w:w="0" w:type="auto"/>
            <w:hideMark/>
          </w:tcPr>
          <w:p w14:paraId="4FDB225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3.2</w:t>
            </w:r>
          </w:p>
        </w:tc>
        <w:tc>
          <w:tcPr>
            <w:tcW w:w="0" w:type="auto"/>
            <w:hideMark/>
          </w:tcPr>
          <w:p w14:paraId="24C0E063"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103,742</w:t>
            </w:r>
          </w:p>
        </w:tc>
        <w:tc>
          <w:tcPr>
            <w:tcW w:w="0" w:type="auto"/>
            <w:hideMark/>
          </w:tcPr>
          <w:p w14:paraId="166CF0B6"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w:t>
            </w:r>
          </w:p>
        </w:tc>
      </w:tr>
      <w:tr w:rsidR="00006D70" w:rsidRPr="00BD1A34" w14:paraId="5B0C6363"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2AD62FF" w14:textId="77777777" w:rsidR="00006D70" w:rsidRPr="00BD1A34" w:rsidRDefault="00006D70" w:rsidP="001B2E83">
            <w:pPr>
              <w:rPr>
                <w:rFonts w:cs="Arial"/>
                <w:szCs w:val="21"/>
              </w:rPr>
            </w:pPr>
            <w:r w:rsidRPr="00BD1A34">
              <w:rPr>
                <w:rFonts w:cs="Arial"/>
                <w:szCs w:val="21"/>
              </w:rPr>
              <w:t>Italian</w:t>
            </w:r>
          </w:p>
        </w:tc>
        <w:tc>
          <w:tcPr>
            <w:tcW w:w="0" w:type="auto"/>
            <w:hideMark/>
          </w:tcPr>
          <w:p w14:paraId="50BB76A0"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112,272</w:t>
            </w:r>
          </w:p>
        </w:tc>
        <w:tc>
          <w:tcPr>
            <w:tcW w:w="0" w:type="auto"/>
            <w:hideMark/>
          </w:tcPr>
          <w:p w14:paraId="42C2B57D"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w:t>
            </w:r>
          </w:p>
        </w:tc>
        <w:tc>
          <w:tcPr>
            <w:tcW w:w="0" w:type="auto"/>
            <w:hideMark/>
          </w:tcPr>
          <w:p w14:paraId="42B9535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124,856</w:t>
            </w:r>
          </w:p>
        </w:tc>
        <w:tc>
          <w:tcPr>
            <w:tcW w:w="0" w:type="auto"/>
            <w:hideMark/>
          </w:tcPr>
          <w:p w14:paraId="5ABE8BF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2.3</w:t>
            </w:r>
          </w:p>
        </w:tc>
      </w:tr>
      <w:tr w:rsidR="00006D70" w:rsidRPr="00BD1A34" w14:paraId="4B79008F"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54DB2F2" w14:textId="77777777" w:rsidR="00006D70" w:rsidRPr="00BD1A34" w:rsidRDefault="00006D70" w:rsidP="001B2E83">
            <w:pPr>
              <w:rPr>
                <w:rFonts w:cs="Arial"/>
                <w:szCs w:val="21"/>
              </w:rPr>
            </w:pPr>
            <w:r w:rsidRPr="00BD1A34">
              <w:rPr>
                <w:rFonts w:cs="Arial"/>
                <w:szCs w:val="21"/>
              </w:rPr>
              <w:t>Greek</w:t>
            </w:r>
          </w:p>
        </w:tc>
        <w:tc>
          <w:tcPr>
            <w:tcW w:w="0" w:type="auto"/>
            <w:hideMark/>
          </w:tcPr>
          <w:p w14:paraId="10D6A98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110,707</w:t>
            </w:r>
          </w:p>
        </w:tc>
        <w:tc>
          <w:tcPr>
            <w:tcW w:w="0" w:type="auto"/>
            <w:hideMark/>
          </w:tcPr>
          <w:p w14:paraId="16339CE8"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1.9 </w:t>
            </w:r>
          </w:p>
        </w:tc>
        <w:tc>
          <w:tcPr>
            <w:tcW w:w="0" w:type="auto"/>
            <w:hideMark/>
          </w:tcPr>
          <w:p w14:paraId="55172E7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116,802 </w:t>
            </w:r>
          </w:p>
        </w:tc>
        <w:tc>
          <w:tcPr>
            <w:tcW w:w="0" w:type="auto"/>
            <w:hideMark/>
          </w:tcPr>
          <w:p w14:paraId="755EA8A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2.2 </w:t>
            </w:r>
          </w:p>
        </w:tc>
      </w:tr>
      <w:tr w:rsidR="00006D70" w:rsidRPr="00BD1A34" w14:paraId="06B2EEEE"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7C174B62" w14:textId="77777777" w:rsidR="00006D70" w:rsidRPr="00BD1A34" w:rsidRDefault="00006D70" w:rsidP="001B2E83">
            <w:pPr>
              <w:rPr>
                <w:rFonts w:cs="Arial"/>
                <w:szCs w:val="21"/>
              </w:rPr>
            </w:pPr>
            <w:r w:rsidRPr="00BD1A34">
              <w:rPr>
                <w:rFonts w:cs="Arial"/>
                <w:szCs w:val="21"/>
              </w:rPr>
              <w:t>Vietnamese</w:t>
            </w:r>
          </w:p>
        </w:tc>
        <w:tc>
          <w:tcPr>
            <w:tcW w:w="0" w:type="auto"/>
            <w:hideMark/>
          </w:tcPr>
          <w:p w14:paraId="24B3DBD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103,430 </w:t>
            </w:r>
          </w:p>
        </w:tc>
        <w:tc>
          <w:tcPr>
            <w:tcW w:w="0" w:type="auto"/>
            <w:hideMark/>
          </w:tcPr>
          <w:p w14:paraId="2305E761"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1.7 </w:t>
            </w:r>
          </w:p>
        </w:tc>
        <w:tc>
          <w:tcPr>
            <w:tcW w:w="0" w:type="auto"/>
            <w:hideMark/>
          </w:tcPr>
          <w:p w14:paraId="348A3C05"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86,592 </w:t>
            </w:r>
          </w:p>
        </w:tc>
        <w:tc>
          <w:tcPr>
            <w:tcW w:w="0" w:type="auto"/>
            <w:hideMark/>
          </w:tcPr>
          <w:p w14:paraId="362D661B"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1.6 </w:t>
            </w:r>
          </w:p>
        </w:tc>
      </w:tr>
      <w:tr w:rsidR="00006D70" w:rsidRPr="00BD1A34" w14:paraId="4C6669BA"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1984E120" w14:textId="77777777" w:rsidR="00006D70" w:rsidRPr="00BD1A34" w:rsidRDefault="00006D70" w:rsidP="001B2E83">
            <w:pPr>
              <w:rPr>
                <w:rFonts w:cs="Arial"/>
                <w:szCs w:val="21"/>
              </w:rPr>
            </w:pPr>
            <w:r w:rsidRPr="00BD1A34">
              <w:rPr>
                <w:rFonts w:cs="Arial"/>
                <w:szCs w:val="21"/>
              </w:rPr>
              <w:t>Arabic</w:t>
            </w:r>
          </w:p>
        </w:tc>
        <w:tc>
          <w:tcPr>
            <w:tcW w:w="0" w:type="auto"/>
            <w:hideMark/>
          </w:tcPr>
          <w:p w14:paraId="19BD591A"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79,589 </w:t>
            </w:r>
          </w:p>
        </w:tc>
        <w:tc>
          <w:tcPr>
            <w:tcW w:w="0" w:type="auto"/>
            <w:hideMark/>
          </w:tcPr>
          <w:p w14:paraId="100FF112"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1.3 </w:t>
            </w:r>
          </w:p>
        </w:tc>
        <w:tc>
          <w:tcPr>
            <w:tcW w:w="0" w:type="auto"/>
            <w:hideMark/>
          </w:tcPr>
          <w:p w14:paraId="4EA002F9"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68,437 </w:t>
            </w:r>
          </w:p>
        </w:tc>
        <w:tc>
          <w:tcPr>
            <w:tcW w:w="0" w:type="auto"/>
            <w:hideMark/>
          </w:tcPr>
          <w:p w14:paraId="6B9EF69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1.3 </w:t>
            </w:r>
          </w:p>
        </w:tc>
      </w:tr>
      <w:tr w:rsidR="00006D70" w:rsidRPr="00BD1A34" w14:paraId="12701C96" w14:textId="77777777" w:rsidTr="001B2E83">
        <w:tc>
          <w:tcPr>
            <w:cnfStyle w:val="001000000000" w:firstRow="0" w:lastRow="0" w:firstColumn="1" w:lastColumn="0" w:oddVBand="0" w:evenVBand="0" w:oddHBand="0" w:evenHBand="0" w:firstRowFirstColumn="0" w:firstRowLastColumn="0" w:lastRowFirstColumn="0" w:lastRowLastColumn="0"/>
            <w:tcW w:w="0" w:type="auto"/>
            <w:hideMark/>
          </w:tcPr>
          <w:p w14:paraId="0FF2D605" w14:textId="77777777" w:rsidR="00006D70" w:rsidRPr="00BD1A34" w:rsidRDefault="00006D70" w:rsidP="001B2E83">
            <w:pPr>
              <w:rPr>
                <w:rFonts w:cs="Arial"/>
                <w:szCs w:val="21"/>
              </w:rPr>
            </w:pPr>
            <w:r w:rsidRPr="00BD1A34">
              <w:rPr>
                <w:rFonts w:cs="Arial"/>
                <w:szCs w:val="21"/>
              </w:rPr>
              <w:t>Households where a language other than English (LOTE) language is spoken</w:t>
            </w:r>
          </w:p>
        </w:tc>
        <w:tc>
          <w:tcPr>
            <w:tcW w:w="0" w:type="auto"/>
            <w:hideMark/>
          </w:tcPr>
          <w:p w14:paraId="7209424C"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624,141 </w:t>
            </w:r>
          </w:p>
        </w:tc>
        <w:tc>
          <w:tcPr>
            <w:tcW w:w="0" w:type="auto"/>
            <w:hideMark/>
          </w:tcPr>
          <w:p w14:paraId="68415E8F"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27.8 </w:t>
            </w:r>
          </w:p>
        </w:tc>
        <w:tc>
          <w:tcPr>
            <w:tcW w:w="0" w:type="auto"/>
            <w:hideMark/>
          </w:tcPr>
          <w:p w14:paraId="2ED58504"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503,888 </w:t>
            </w:r>
          </w:p>
        </w:tc>
        <w:tc>
          <w:tcPr>
            <w:tcW w:w="0" w:type="auto"/>
            <w:hideMark/>
          </w:tcPr>
          <w:p w14:paraId="505CC7F7" w14:textId="77777777" w:rsidR="00006D70" w:rsidRPr="00BD1A34" w:rsidRDefault="00006D70" w:rsidP="001B2E83">
            <w:pPr>
              <w:cnfStyle w:val="000000000000" w:firstRow="0" w:lastRow="0" w:firstColumn="0" w:lastColumn="0" w:oddVBand="0" w:evenVBand="0" w:oddHBand="0" w:evenHBand="0" w:firstRowFirstColumn="0" w:firstRowLastColumn="0" w:lastRowFirstColumn="0" w:lastRowLastColumn="0"/>
              <w:rPr>
                <w:rFonts w:cs="Arial"/>
                <w:szCs w:val="21"/>
              </w:rPr>
            </w:pPr>
            <w:r w:rsidRPr="00BD1A34">
              <w:rPr>
                <w:rFonts w:cs="Arial"/>
                <w:szCs w:val="21"/>
              </w:rPr>
              <w:t>25.9 </w:t>
            </w:r>
          </w:p>
        </w:tc>
      </w:tr>
    </w:tbl>
    <w:p w14:paraId="6FB35EC7" w14:textId="7646E9DB" w:rsidR="00D52A97" w:rsidRDefault="00D52A97" w:rsidP="00006D70">
      <w:pPr>
        <w:rPr>
          <w:rFonts w:cs="Arial"/>
        </w:rPr>
      </w:pPr>
      <w:r w:rsidRPr="1949FE84">
        <w:rPr>
          <w:rFonts w:cs="Arial"/>
        </w:rPr>
        <w:lastRenderedPageBreak/>
        <w:t xml:space="preserve">LGAs in </w:t>
      </w:r>
      <w:r w:rsidR="00BE5197" w:rsidRPr="1949FE84">
        <w:rPr>
          <w:rFonts w:cs="Arial"/>
        </w:rPr>
        <w:t>Metropolitan Melbourne</w:t>
      </w:r>
      <w:r w:rsidR="00BE5197">
        <w:rPr>
          <w:rFonts w:cs="Arial"/>
        </w:rPr>
        <w:t xml:space="preserve">’s </w:t>
      </w:r>
      <w:r w:rsidRPr="1949FE84">
        <w:rPr>
          <w:rFonts w:cs="Arial"/>
        </w:rPr>
        <w:t>north</w:t>
      </w:r>
      <w:r w:rsidR="00BE5197">
        <w:rPr>
          <w:rFonts w:cs="Arial"/>
        </w:rPr>
        <w:t>-</w:t>
      </w:r>
      <w:r w:rsidRPr="1949FE84">
        <w:rPr>
          <w:rFonts w:cs="Arial"/>
        </w:rPr>
        <w:t>east (such as Brimbank and Wyndham) and south</w:t>
      </w:r>
      <w:r w:rsidR="00BE5197">
        <w:rPr>
          <w:rFonts w:cs="Arial"/>
        </w:rPr>
        <w:t>-</w:t>
      </w:r>
      <w:r w:rsidRPr="1949FE84">
        <w:rPr>
          <w:rFonts w:cs="Arial"/>
        </w:rPr>
        <w:t>east (Casey, Monash</w:t>
      </w:r>
      <w:r w:rsidR="00BE5197">
        <w:rPr>
          <w:rFonts w:cs="Arial"/>
        </w:rPr>
        <w:t>,</w:t>
      </w:r>
      <w:r w:rsidRPr="1949FE84">
        <w:rPr>
          <w:rFonts w:cs="Arial"/>
        </w:rPr>
        <w:t xml:space="preserve"> and Greater Dandenong) have the largest number of overseas-born</w:t>
      </w:r>
      <w:r w:rsidR="00BE5197">
        <w:rPr>
          <w:rFonts w:cs="Arial"/>
        </w:rPr>
        <w:t xml:space="preserve"> residents</w:t>
      </w:r>
      <w:r w:rsidRPr="1949FE84">
        <w:rPr>
          <w:rFonts w:cs="Arial"/>
        </w:rPr>
        <w:t xml:space="preserve">. </w:t>
      </w:r>
    </w:p>
    <w:p w14:paraId="417D530E" w14:textId="1D59EFF3" w:rsidR="00006D70" w:rsidRPr="00BD1A34" w:rsidRDefault="00006D70" w:rsidP="00006D70">
      <w:pPr>
        <w:rPr>
          <w:rFonts w:cs="Arial"/>
        </w:rPr>
      </w:pPr>
      <w:r w:rsidRPr="1949FE84">
        <w:rPr>
          <w:rFonts w:cs="Arial"/>
        </w:rPr>
        <w:t xml:space="preserve">For inner city LGAs, the overseas-born </w:t>
      </w:r>
      <w:r w:rsidR="0B6E78A8" w:rsidRPr="1949FE84">
        <w:rPr>
          <w:rFonts w:cs="Arial"/>
        </w:rPr>
        <w:t>population</w:t>
      </w:r>
      <w:r w:rsidR="608CAC6B" w:rsidRPr="1949FE84">
        <w:rPr>
          <w:rFonts w:cs="Arial"/>
        </w:rPr>
        <w:t xml:space="preserve"> </w:t>
      </w:r>
      <w:r w:rsidRPr="1949FE84">
        <w:rPr>
          <w:rFonts w:cs="Arial"/>
        </w:rPr>
        <w:t xml:space="preserve">in the City of Melbourne is increasing rapidly. In Regional Victoria, LGAs with significant numbers of overseas-born </w:t>
      </w:r>
      <w:r w:rsidR="45244E88" w:rsidRPr="1949FE84">
        <w:rPr>
          <w:rFonts w:cs="Arial"/>
        </w:rPr>
        <w:t xml:space="preserve">persons </w:t>
      </w:r>
      <w:r w:rsidR="00BE5197">
        <w:rPr>
          <w:rFonts w:cs="Arial"/>
        </w:rPr>
        <w:t xml:space="preserve">have </w:t>
      </w:r>
      <w:r w:rsidRPr="1949FE84">
        <w:rPr>
          <w:rFonts w:cs="Arial"/>
        </w:rPr>
        <w:t>larger regional urban centres, such as Greater Geelong, Ballarat, Greater Bendigo, Greater Shepparton, Latrobe</w:t>
      </w:r>
      <w:r w:rsidR="00BE5197">
        <w:rPr>
          <w:rFonts w:cs="Arial"/>
        </w:rPr>
        <w:t>,</w:t>
      </w:r>
      <w:r w:rsidRPr="1949FE84">
        <w:rPr>
          <w:rFonts w:cs="Arial"/>
        </w:rPr>
        <w:t xml:space="preserve"> and Mildura.</w:t>
      </w:r>
    </w:p>
    <w:p w14:paraId="7FE81B7F" w14:textId="73F2DC39" w:rsidR="00006D70" w:rsidRPr="00BD1A34" w:rsidRDefault="00BE5197" w:rsidP="00006D70">
      <w:pPr>
        <w:rPr>
          <w:rFonts w:cs="Arial"/>
          <w:szCs w:val="21"/>
        </w:rPr>
      </w:pPr>
      <w:r>
        <w:rPr>
          <w:rFonts w:cs="Arial"/>
          <w:szCs w:val="21"/>
        </w:rPr>
        <w:t>The department has developed and published</w:t>
      </w:r>
      <w:r w:rsidR="0070592D">
        <w:rPr>
          <w:rFonts w:cs="Arial"/>
          <w:szCs w:val="21"/>
        </w:rPr>
        <w:t xml:space="preserve"> the</w:t>
      </w:r>
      <w:r>
        <w:rPr>
          <w:rFonts w:cs="Arial"/>
          <w:szCs w:val="21"/>
        </w:rPr>
        <w:t xml:space="preserve"> </w:t>
      </w:r>
      <w:bookmarkStart w:id="63" w:name="_Hlk121152746"/>
      <w:r w:rsidR="00C36B2A">
        <w:fldChar w:fldCharType="begin"/>
      </w:r>
      <w:r w:rsidR="00C36B2A">
        <w:instrText xml:space="preserve"> HYPERLINK "https://www.health.vic.gov.au/publications/delivering-for-diversity-cultural-diversity-plan-2016-2019" </w:instrText>
      </w:r>
      <w:r w:rsidR="00C36B2A">
        <w:fldChar w:fldCharType="separate"/>
      </w:r>
      <w:r w:rsidRPr="00C2081C">
        <w:rPr>
          <w:rStyle w:val="Hyperlink"/>
          <w:rFonts w:cs="Arial"/>
          <w:i/>
          <w:iCs/>
          <w:szCs w:val="21"/>
        </w:rPr>
        <w:t>Cultural diversity plan 2016-2019</w:t>
      </w:r>
      <w:r w:rsidR="00C36B2A">
        <w:rPr>
          <w:rStyle w:val="Hyperlink"/>
          <w:rFonts w:cs="Arial"/>
          <w:i/>
          <w:iCs/>
          <w:szCs w:val="21"/>
        </w:rPr>
        <w:fldChar w:fldCharType="end"/>
      </w:r>
      <w:bookmarkEnd w:id="63"/>
      <w:r>
        <w:rPr>
          <w:rFonts w:cs="Arial"/>
          <w:szCs w:val="21"/>
        </w:rPr>
        <w:t>.</w:t>
      </w:r>
      <w:r w:rsidR="0070592D" w:rsidRPr="0070592D">
        <w:rPr>
          <w:rFonts w:cs="Arial"/>
          <w:szCs w:val="21"/>
        </w:rPr>
        <w:t xml:space="preserve"> &lt;https://www.health.vic.gov.au/publications/delivering-for-diversity-cultural-diversity-plan-2016-2019&gt;</w:t>
      </w:r>
      <w:r w:rsidR="0070592D">
        <w:rPr>
          <w:rFonts w:cs="Arial"/>
          <w:szCs w:val="21"/>
        </w:rPr>
        <w:t>.</w:t>
      </w:r>
      <w:r>
        <w:rPr>
          <w:rFonts w:cs="Arial"/>
          <w:szCs w:val="21"/>
        </w:rPr>
        <w:t xml:space="preserve"> The plan spells out the actions being taken </w:t>
      </w:r>
      <w:r w:rsidR="00006D70" w:rsidRPr="00BD1A34">
        <w:rPr>
          <w:rFonts w:cs="Arial"/>
          <w:szCs w:val="21"/>
        </w:rPr>
        <w:t xml:space="preserve">to embed cultural diversity in </w:t>
      </w:r>
      <w:r>
        <w:rPr>
          <w:rFonts w:cs="Arial"/>
          <w:szCs w:val="21"/>
        </w:rPr>
        <w:t xml:space="preserve">all </w:t>
      </w:r>
      <w:r w:rsidR="00006D70" w:rsidRPr="00BD1A34">
        <w:rPr>
          <w:rFonts w:cs="Arial"/>
          <w:szCs w:val="21"/>
        </w:rPr>
        <w:t>policies, practices</w:t>
      </w:r>
      <w:r>
        <w:rPr>
          <w:rFonts w:cs="Arial"/>
          <w:szCs w:val="21"/>
        </w:rPr>
        <w:t>,</w:t>
      </w:r>
      <w:r w:rsidR="00006D70" w:rsidRPr="00BD1A34">
        <w:rPr>
          <w:rFonts w:cs="Arial"/>
          <w:szCs w:val="21"/>
        </w:rPr>
        <w:t xml:space="preserve"> and programs</w:t>
      </w:r>
      <w:r>
        <w:rPr>
          <w:rFonts w:cs="Arial"/>
          <w:szCs w:val="21"/>
        </w:rPr>
        <w:t xml:space="preserve">, as well as the department’s goal </w:t>
      </w:r>
      <w:r w:rsidR="00006D70" w:rsidRPr="00BD1A34">
        <w:rPr>
          <w:rFonts w:cs="Arial"/>
          <w:szCs w:val="21"/>
        </w:rPr>
        <w:t>to deliver inclusive, safe</w:t>
      </w:r>
      <w:r>
        <w:rPr>
          <w:rFonts w:cs="Arial"/>
          <w:szCs w:val="21"/>
        </w:rPr>
        <w:t>,</w:t>
      </w:r>
      <w:r w:rsidR="00006D70" w:rsidRPr="00BD1A34">
        <w:rPr>
          <w:rFonts w:cs="Arial"/>
          <w:szCs w:val="21"/>
        </w:rPr>
        <w:t xml:space="preserve"> and accessible services to all Victorians. </w:t>
      </w:r>
      <w:r>
        <w:rPr>
          <w:rFonts w:cs="Arial"/>
          <w:szCs w:val="21"/>
        </w:rPr>
        <w:t xml:space="preserve">These plans </w:t>
      </w:r>
      <w:r w:rsidR="00006D70" w:rsidRPr="00BD1A34">
        <w:rPr>
          <w:rFonts w:cs="Arial"/>
          <w:szCs w:val="21"/>
        </w:rPr>
        <w:t xml:space="preserve">build on </w:t>
      </w:r>
      <w:r>
        <w:rPr>
          <w:rFonts w:cs="Arial"/>
          <w:szCs w:val="21"/>
        </w:rPr>
        <w:t xml:space="preserve">the department’s </w:t>
      </w:r>
      <w:r w:rsidR="00006D70" w:rsidRPr="00BD1A34">
        <w:rPr>
          <w:rFonts w:cs="Arial"/>
          <w:szCs w:val="21"/>
        </w:rPr>
        <w:t>efforts to improve services for culturally and linguistically diverse communities, including recently arrived migrants, refugees</w:t>
      </w:r>
      <w:r>
        <w:rPr>
          <w:rFonts w:cs="Arial"/>
          <w:szCs w:val="21"/>
        </w:rPr>
        <w:t>,</w:t>
      </w:r>
      <w:r w:rsidR="00006D70" w:rsidRPr="00BD1A34">
        <w:rPr>
          <w:rFonts w:cs="Arial"/>
          <w:szCs w:val="21"/>
        </w:rPr>
        <w:t xml:space="preserve"> and asylum seekers.</w:t>
      </w:r>
      <w:r w:rsidR="003433C6">
        <w:rPr>
          <w:rFonts w:cs="Arial"/>
          <w:szCs w:val="21"/>
        </w:rPr>
        <w:t xml:space="preserve"> </w:t>
      </w:r>
    </w:p>
    <w:p w14:paraId="7C0D5169" w14:textId="1B05CF91" w:rsidR="0039496D" w:rsidRDefault="0039496D" w:rsidP="00CE50B6">
      <w:pPr>
        <w:pStyle w:val="Heading2"/>
      </w:pPr>
      <w:bookmarkStart w:id="64" w:name="_Toc116981321"/>
      <w:r>
        <w:t>Low</w:t>
      </w:r>
      <w:bookmarkEnd w:id="64"/>
      <w:r w:rsidR="0064549D">
        <w:t xml:space="preserve"> household income</w:t>
      </w:r>
    </w:p>
    <w:p w14:paraId="233A40DF" w14:textId="65976F44" w:rsidR="00090164" w:rsidRDefault="00090164" w:rsidP="00090164">
      <w:pPr>
        <w:pStyle w:val="Body"/>
      </w:pPr>
      <w:r>
        <w:t xml:space="preserve">In Victoria, 18.6 per cent of households reported a combined income of less than $40,000 </w:t>
      </w:r>
      <w:r w:rsidR="003348A3">
        <w:t xml:space="preserve">a </w:t>
      </w:r>
      <w:r>
        <w:t xml:space="preserve">year, while 29.4 per cent of households reported a combined income of </w:t>
      </w:r>
      <w:r w:rsidR="003348A3">
        <w:t xml:space="preserve">more than </w:t>
      </w:r>
      <w:r w:rsidR="1922EBB2">
        <w:t>$</w:t>
      </w:r>
      <w:r>
        <w:t>100,000 (</w:t>
      </w:r>
      <w:r w:rsidR="006C6FD7" w:rsidRPr="0093412D">
        <w:t>VAHI</w:t>
      </w:r>
      <w:r w:rsidR="003348A3">
        <w:t>,</w:t>
      </w:r>
      <w:r>
        <w:t xml:space="preserve"> 2019). </w:t>
      </w:r>
    </w:p>
    <w:p w14:paraId="0CD75EA4" w14:textId="71D33442" w:rsidR="00090164" w:rsidRPr="006527C1" w:rsidRDefault="00090164" w:rsidP="00090164">
      <w:pPr>
        <w:pStyle w:val="Body"/>
      </w:pPr>
      <w:r>
        <w:t>Women were more likely to report a household income of less than $40,000 (20.7 per cent), and less likely to report a household income of more than $100,000 (26 per cent) compared to men (33 per cent) (V</w:t>
      </w:r>
      <w:r w:rsidR="003348A3">
        <w:t>AHI,</w:t>
      </w:r>
      <w:r>
        <w:t xml:space="preserve"> 2019).</w:t>
      </w:r>
    </w:p>
    <w:p w14:paraId="29F52102" w14:textId="77777777" w:rsidR="004139D3" w:rsidRDefault="0070592D" w:rsidP="004139D3">
      <w:pPr>
        <w:pStyle w:val="Caption"/>
        <w:spacing w:after="0"/>
        <w:rPr>
          <w:b/>
          <w:i w:val="0"/>
          <w:color w:val="000000"/>
          <w:sz w:val="21"/>
          <w:szCs w:val="21"/>
          <w:lang w:eastAsia="en-AU"/>
        </w:rPr>
      </w:pPr>
      <w:r>
        <w:rPr>
          <w:b/>
          <w:i w:val="0"/>
          <w:color w:val="000000" w:themeColor="text1"/>
          <w:sz w:val="21"/>
          <w:szCs w:val="21"/>
        </w:rPr>
        <w:t xml:space="preserve">Chapter 6, </w:t>
      </w:r>
      <w:r w:rsidR="00153626" w:rsidRPr="004C789F">
        <w:rPr>
          <w:b/>
          <w:i w:val="0"/>
          <w:color w:val="000000" w:themeColor="text1"/>
          <w:sz w:val="21"/>
          <w:szCs w:val="21"/>
        </w:rPr>
        <w:t xml:space="preserve">Table </w:t>
      </w:r>
      <w:r w:rsidR="00153626" w:rsidRPr="004C789F">
        <w:rPr>
          <w:b/>
          <w:i w:val="0"/>
          <w:color w:val="000000" w:themeColor="text1"/>
          <w:sz w:val="21"/>
          <w:szCs w:val="21"/>
        </w:rPr>
        <w:fldChar w:fldCharType="begin"/>
      </w:r>
      <w:r w:rsidR="00153626" w:rsidRPr="004C789F">
        <w:rPr>
          <w:b/>
          <w:i w:val="0"/>
          <w:color w:val="000000" w:themeColor="text1"/>
          <w:sz w:val="21"/>
          <w:szCs w:val="21"/>
        </w:rPr>
        <w:instrText xml:space="preserve"> SEQ Table \* ARABIC </w:instrText>
      </w:r>
      <w:r w:rsidR="00153626" w:rsidRPr="004C789F">
        <w:rPr>
          <w:b/>
          <w:i w:val="0"/>
          <w:color w:val="000000" w:themeColor="text1"/>
          <w:sz w:val="21"/>
          <w:szCs w:val="21"/>
        </w:rPr>
        <w:fldChar w:fldCharType="separate"/>
      </w:r>
      <w:r w:rsidR="00153626" w:rsidRPr="004C789F">
        <w:rPr>
          <w:b/>
          <w:i w:val="0"/>
          <w:color w:val="000000" w:themeColor="text1"/>
          <w:sz w:val="21"/>
          <w:szCs w:val="21"/>
        </w:rPr>
        <w:t>3</w:t>
      </w:r>
      <w:r w:rsidR="00153626" w:rsidRPr="004C789F">
        <w:rPr>
          <w:b/>
          <w:i w:val="0"/>
          <w:color w:val="000000" w:themeColor="text1"/>
          <w:sz w:val="21"/>
          <w:szCs w:val="21"/>
        </w:rPr>
        <w:fldChar w:fldCharType="end"/>
      </w:r>
      <w:r w:rsidR="00153626" w:rsidRPr="004C789F">
        <w:rPr>
          <w:b/>
          <w:i w:val="0"/>
          <w:color w:val="000000" w:themeColor="text1"/>
          <w:sz w:val="21"/>
          <w:szCs w:val="21"/>
        </w:rPr>
        <w:t xml:space="preserve">. </w:t>
      </w:r>
      <w:r w:rsidR="00090164" w:rsidRPr="004C789F">
        <w:rPr>
          <w:b/>
          <w:i w:val="0"/>
          <w:color w:val="000000" w:themeColor="text1"/>
          <w:sz w:val="21"/>
          <w:szCs w:val="21"/>
          <w:lang w:eastAsia="en-AU"/>
        </w:rPr>
        <w:t xml:space="preserve">Crude </w:t>
      </w:r>
      <w:r w:rsidR="00090164" w:rsidRPr="004C789F">
        <w:rPr>
          <w:b/>
          <w:i w:val="0"/>
          <w:color w:val="000000"/>
          <w:sz w:val="21"/>
          <w:szCs w:val="21"/>
          <w:lang w:eastAsia="en-AU"/>
        </w:rPr>
        <w:t>prevalence of household income by gender, Victoria 2019</w:t>
      </w:r>
      <w:r w:rsidR="00A7272C">
        <w:rPr>
          <w:b/>
          <w:i w:val="0"/>
          <w:color w:val="000000"/>
          <w:sz w:val="21"/>
          <w:szCs w:val="21"/>
          <w:lang w:eastAsia="en-AU"/>
        </w:rPr>
        <w:t xml:space="preserve"> </w:t>
      </w:r>
    </w:p>
    <w:p w14:paraId="082FA23C" w14:textId="58B4C4F7" w:rsidR="00A7272C" w:rsidRPr="00A7272C" w:rsidRDefault="00A7272C" w:rsidP="004139D3">
      <w:pPr>
        <w:pStyle w:val="Caption"/>
        <w:spacing w:after="120"/>
        <w:rPr>
          <w:bCs/>
          <w:i w:val="0"/>
          <w:color w:val="000000"/>
          <w:sz w:val="21"/>
          <w:szCs w:val="21"/>
          <w:lang w:eastAsia="en-AU"/>
        </w:rPr>
      </w:pPr>
      <w:r w:rsidRPr="00A7272C">
        <w:rPr>
          <w:bCs/>
          <w:i w:val="0"/>
          <w:color w:val="000000"/>
          <w:sz w:val="21"/>
          <w:szCs w:val="21"/>
          <w:lang w:eastAsia="en-AU"/>
        </w:rPr>
        <w:t>(</w:t>
      </w:r>
      <w:r w:rsidR="004139D3">
        <w:rPr>
          <w:bCs/>
          <w:i w:val="0"/>
          <w:color w:val="000000"/>
          <w:sz w:val="21"/>
          <w:szCs w:val="21"/>
          <w:lang w:eastAsia="en-AU"/>
        </w:rPr>
        <w:t xml:space="preserve">Go to </w:t>
      </w:r>
      <w:r w:rsidRPr="00A7272C">
        <w:rPr>
          <w:bCs/>
          <w:i w:val="0"/>
          <w:color w:val="000000"/>
          <w:sz w:val="21"/>
          <w:szCs w:val="21"/>
          <w:lang w:eastAsia="en-AU"/>
        </w:rPr>
        <w:t xml:space="preserve">Appendix A, Chapter 6, Table </w:t>
      </w:r>
      <w:r>
        <w:rPr>
          <w:bCs/>
          <w:i w:val="0"/>
          <w:color w:val="000000"/>
          <w:sz w:val="21"/>
          <w:szCs w:val="21"/>
          <w:lang w:eastAsia="en-AU"/>
        </w:rPr>
        <w:t>3</w:t>
      </w:r>
      <w:r w:rsidRPr="00A7272C">
        <w:rPr>
          <w:bCs/>
          <w:i w:val="0"/>
          <w:color w:val="000000"/>
          <w:sz w:val="21"/>
          <w:szCs w:val="21"/>
          <w:lang w:eastAsia="en-AU"/>
        </w:rPr>
        <w:t xml:space="preserve"> for accessible table content)</w:t>
      </w:r>
    </w:p>
    <w:tbl>
      <w:tblPr>
        <w:tblStyle w:val="TableGrid"/>
        <w:tblW w:w="0" w:type="auto"/>
        <w:tblLook w:val="04A0" w:firstRow="1" w:lastRow="0" w:firstColumn="1" w:lastColumn="0" w:noHBand="0" w:noVBand="1"/>
      </w:tblPr>
      <w:tblGrid>
        <w:gridCol w:w="2322"/>
        <w:gridCol w:w="2322"/>
        <w:gridCol w:w="2322"/>
        <w:gridCol w:w="2322"/>
      </w:tblGrid>
      <w:tr w:rsidR="00090164" w14:paraId="12BB52C4" w14:textId="77777777" w:rsidTr="00AD6608">
        <w:trPr>
          <w:tblHeader/>
        </w:trPr>
        <w:tc>
          <w:tcPr>
            <w:tcW w:w="2322" w:type="dxa"/>
            <w:vAlign w:val="bottom"/>
          </w:tcPr>
          <w:p w14:paraId="387FD9CD" w14:textId="77777777" w:rsidR="00090164" w:rsidRPr="00A101FA" w:rsidRDefault="00090164" w:rsidP="001B2E83">
            <w:pPr>
              <w:pStyle w:val="Tablecolhead"/>
            </w:pPr>
            <w:r w:rsidRPr="00A101FA">
              <w:t>Income</w:t>
            </w:r>
          </w:p>
        </w:tc>
        <w:tc>
          <w:tcPr>
            <w:tcW w:w="2322" w:type="dxa"/>
            <w:vAlign w:val="center"/>
          </w:tcPr>
          <w:p w14:paraId="1BD35C73" w14:textId="77777777" w:rsidR="00090164" w:rsidRPr="00A101FA" w:rsidRDefault="00090164" w:rsidP="001B2E83">
            <w:pPr>
              <w:pStyle w:val="Tablecolhead"/>
            </w:pPr>
            <w:r w:rsidRPr="00A101FA">
              <w:t>Males %</w:t>
            </w:r>
          </w:p>
        </w:tc>
        <w:tc>
          <w:tcPr>
            <w:tcW w:w="2322" w:type="dxa"/>
            <w:vAlign w:val="center"/>
          </w:tcPr>
          <w:p w14:paraId="168E6C7D" w14:textId="77777777" w:rsidR="00090164" w:rsidRPr="00A101FA" w:rsidRDefault="00090164" w:rsidP="001B2E83">
            <w:pPr>
              <w:pStyle w:val="Tablecolhead"/>
            </w:pPr>
            <w:r w:rsidRPr="00A101FA">
              <w:t>Females %</w:t>
            </w:r>
          </w:p>
        </w:tc>
        <w:tc>
          <w:tcPr>
            <w:tcW w:w="2322" w:type="dxa"/>
            <w:vAlign w:val="center"/>
          </w:tcPr>
          <w:p w14:paraId="70E4C08A" w14:textId="77777777" w:rsidR="00090164" w:rsidRPr="00A101FA" w:rsidRDefault="00090164" w:rsidP="001B2E83">
            <w:pPr>
              <w:pStyle w:val="Tablecolhead"/>
            </w:pPr>
            <w:r w:rsidRPr="00A101FA">
              <w:t>Total</w:t>
            </w:r>
          </w:p>
        </w:tc>
      </w:tr>
      <w:tr w:rsidR="00090164" w14:paraId="21FCEC6C" w14:textId="77777777" w:rsidTr="001B2E83">
        <w:tc>
          <w:tcPr>
            <w:tcW w:w="2322" w:type="dxa"/>
            <w:vAlign w:val="bottom"/>
          </w:tcPr>
          <w:p w14:paraId="3762DA95" w14:textId="77777777" w:rsidR="00090164" w:rsidRDefault="00090164" w:rsidP="001B2E83">
            <w:pPr>
              <w:pStyle w:val="Body"/>
            </w:pPr>
            <w:r>
              <w:rPr>
                <w:color w:val="000000"/>
                <w:lang w:eastAsia="en-AU"/>
              </w:rPr>
              <w:t>&lt;20,000</w:t>
            </w:r>
          </w:p>
        </w:tc>
        <w:tc>
          <w:tcPr>
            <w:tcW w:w="2322" w:type="dxa"/>
            <w:vAlign w:val="center"/>
          </w:tcPr>
          <w:p w14:paraId="66685480" w14:textId="77777777" w:rsidR="00090164" w:rsidRDefault="00090164" w:rsidP="001B2E83">
            <w:pPr>
              <w:pStyle w:val="Body"/>
            </w:pPr>
            <w:r>
              <w:rPr>
                <w:color w:val="000000"/>
                <w:lang w:eastAsia="en-AU"/>
              </w:rPr>
              <w:t>4.7</w:t>
            </w:r>
          </w:p>
        </w:tc>
        <w:tc>
          <w:tcPr>
            <w:tcW w:w="2322" w:type="dxa"/>
            <w:vAlign w:val="center"/>
          </w:tcPr>
          <w:p w14:paraId="4B7EB28D" w14:textId="77777777" w:rsidR="00090164" w:rsidRDefault="00090164" w:rsidP="001B2E83">
            <w:pPr>
              <w:pStyle w:val="Body"/>
            </w:pPr>
            <w:r>
              <w:rPr>
                <w:color w:val="000000"/>
                <w:lang w:eastAsia="en-AU"/>
              </w:rPr>
              <w:t>4.8</w:t>
            </w:r>
          </w:p>
        </w:tc>
        <w:tc>
          <w:tcPr>
            <w:tcW w:w="2322" w:type="dxa"/>
            <w:vAlign w:val="center"/>
          </w:tcPr>
          <w:p w14:paraId="5694B552" w14:textId="77777777" w:rsidR="00090164" w:rsidRDefault="00090164" w:rsidP="001B2E83">
            <w:pPr>
              <w:pStyle w:val="Body"/>
            </w:pPr>
            <w:r>
              <w:rPr>
                <w:color w:val="000000"/>
                <w:lang w:eastAsia="en-AU"/>
              </w:rPr>
              <w:t>4.7</w:t>
            </w:r>
          </w:p>
        </w:tc>
      </w:tr>
      <w:tr w:rsidR="00090164" w14:paraId="2AA17238" w14:textId="77777777" w:rsidTr="001B2E83">
        <w:tc>
          <w:tcPr>
            <w:tcW w:w="2322" w:type="dxa"/>
            <w:vAlign w:val="bottom"/>
          </w:tcPr>
          <w:p w14:paraId="7F06B8B5" w14:textId="77777777" w:rsidR="00090164" w:rsidRDefault="00090164" w:rsidP="001B2E83">
            <w:pPr>
              <w:pStyle w:val="Body"/>
            </w:pPr>
            <w:r>
              <w:rPr>
                <w:color w:val="000000"/>
                <w:lang w:eastAsia="en-AU"/>
              </w:rPr>
              <w:t>&gt;=20,000 to &lt;40,000</w:t>
            </w:r>
          </w:p>
        </w:tc>
        <w:tc>
          <w:tcPr>
            <w:tcW w:w="2322" w:type="dxa"/>
            <w:vAlign w:val="center"/>
          </w:tcPr>
          <w:p w14:paraId="3FE8F0EA" w14:textId="77777777" w:rsidR="00090164" w:rsidRDefault="00090164" w:rsidP="001B2E83">
            <w:pPr>
              <w:pStyle w:val="Body"/>
            </w:pPr>
            <w:r>
              <w:rPr>
                <w:color w:val="000000"/>
                <w:lang w:eastAsia="en-AU"/>
              </w:rPr>
              <w:t>11.8</w:t>
            </w:r>
          </w:p>
        </w:tc>
        <w:tc>
          <w:tcPr>
            <w:tcW w:w="2322" w:type="dxa"/>
            <w:vAlign w:val="center"/>
          </w:tcPr>
          <w:p w14:paraId="666F0FE8" w14:textId="77777777" w:rsidR="00090164" w:rsidRDefault="00090164" w:rsidP="001B2E83">
            <w:pPr>
              <w:pStyle w:val="Body"/>
            </w:pPr>
            <w:r>
              <w:rPr>
                <w:color w:val="000000"/>
                <w:lang w:eastAsia="en-AU"/>
              </w:rPr>
              <w:t>15.9</w:t>
            </w:r>
          </w:p>
        </w:tc>
        <w:tc>
          <w:tcPr>
            <w:tcW w:w="2322" w:type="dxa"/>
            <w:vAlign w:val="center"/>
          </w:tcPr>
          <w:p w14:paraId="4DC21B63" w14:textId="77777777" w:rsidR="00090164" w:rsidRDefault="00090164" w:rsidP="001B2E83">
            <w:pPr>
              <w:pStyle w:val="Body"/>
            </w:pPr>
            <w:r>
              <w:rPr>
                <w:color w:val="000000"/>
                <w:lang w:eastAsia="en-AU"/>
              </w:rPr>
              <w:t>13.9</w:t>
            </w:r>
          </w:p>
        </w:tc>
      </w:tr>
      <w:tr w:rsidR="00090164" w14:paraId="68E5B96E" w14:textId="77777777" w:rsidTr="001B2E83">
        <w:tc>
          <w:tcPr>
            <w:tcW w:w="2322" w:type="dxa"/>
            <w:vAlign w:val="bottom"/>
          </w:tcPr>
          <w:p w14:paraId="0EA78C3D" w14:textId="77777777" w:rsidR="00090164" w:rsidRDefault="00090164" w:rsidP="001B2E83">
            <w:pPr>
              <w:pStyle w:val="Body"/>
            </w:pPr>
            <w:r>
              <w:rPr>
                <w:color w:val="000000"/>
                <w:lang w:eastAsia="en-AU"/>
              </w:rPr>
              <w:t>&gt;=40,000 to &lt;60,000</w:t>
            </w:r>
          </w:p>
        </w:tc>
        <w:tc>
          <w:tcPr>
            <w:tcW w:w="2322" w:type="dxa"/>
            <w:vAlign w:val="center"/>
          </w:tcPr>
          <w:p w14:paraId="4CBBB4FC" w14:textId="77777777" w:rsidR="00090164" w:rsidRDefault="00090164" w:rsidP="001B2E83">
            <w:pPr>
              <w:pStyle w:val="Body"/>
            </w:pPr>
            <w:r>
              <w:rPr>
                <w:color w:val="000000"/>
                <w:lang w:eastAsia="en-AU"/>
              </w:rPr>
              <w:t>11.4</w:t>
            </w:r>
          </w:p>
        </w:tc>
        <w:tc>
          <w:tcPr>
            <w:tcW w:w="2322" w:type="dxa"/>
            <w:vAlign w:val="center"/>
          </w:tcPr>
          <w:p w14:paraId="581B038F" w14:textId="77777777" w:rsidR="00090164" w:rsidRDefault="00090164" w:rsidP="001B2E83">
            <w:pPr>
              <w:pStyle w:val="Body"/>
            </w:pPr>
            <w:r>
              <w:rPr>
                <w:color w:val="000000"/>
                <w:lang w:eastAsia="en-AU"/>
              </w:rPr>
              <w:t>11.0</w:t>
            </w:r>
          </w:p>
        </w:tc>
        <w:tc>
          <w:tcPr>
            <w:tcW w:w="2322" w:type="dxa"/>
            <w:vAlign w:val="center"/>
          </w:tcPr>
          <w:p w14:paraId="1F6460E3" w14:textId="77777777" w:rsidR="00090164" w:rsidRDefault="00090164" w:rsidP="001B2E83">
            <w:pPr>
              <w:pStyle w:val="Body"/>
            </w:pPr>
            <w:r>
              <w:rPr>
                <w:color w:val="000000"/>
                <w:lang w:eastAsia="en-AU"/>
              </w:rPr>
              <w:t>11.2</w:t>
            </w:r>
          </w:p>
        </w:tc>
      </w:tr>
      <w:tr w:rsidR="00090164" w14:paraId="76DB6E4B" w14:textId="77777777" w:rsidTr="001B2E83">
        <w:tc>
          <w:tcPr>
            <w:tcW w:w="2322" w:type="dxa"/>
            <w:vAlign w:val="bottom"/>
          </w:tcPr>
          <w:p w14:paraId="5007B06A" w14:textId="77777777" w:rsidR="00090164" w:rsidRDefault="00090164" w:rsidP="001B2E83">
            <w:pPr>
              <w:pStyle w:val="Body"/>
            </w:pPr>
            <w:r>
              <w:rPr>
                <w:color w:val="000000"/>
                <w:lang w:eastAsia="en-AU"/>
              </w:rPr>
              <w:t>&gt;=60,000 to &lt;80,000</w:t>
            </w:r>
          </w:p>
        </w:tc>
        <w:tc>
          <w:tcPr>
            <w:tcW w:w="2322" w:type="dxa"/>
            <w:vAlign w:val="center"/>
          </w:tcPr>
          <w:p w14:paraId="5207AB39" w14:textId="77777777" w:rsidR="00090164" w:rsidRDefault="00090164" w:rsidP="001B2E83">
            <w:pPr>
              <w:pStyle w:val="Body"/>
            </w:pPr>
            <w:r>
              <w:rPr>
                <w:color w:val="000000"/>
                <w:lang w:eastAsia="en-AU"/>
              </w:rPr>
              <w:t>10.3</w:t>
            </w:r>
          </w:p>
        </w:tc>
        <w:tc>
          <w:tcPr>
            <w:tcW w:w="2322" w:type="dxa"/>
            <w:vAlign w:val="center"/>
          </w:tcPr>
          <w:p w14:paraId="0B4085F3" w14:textId="77777777" w:rsidR="00090164" w:rsidRDefault="00090164" w:rsidP="001B2E83">
            <w:pPr>
              <w:pStyle w:val="Body"/>
            </w:pPr>
            <w:r>
              <w:rPr>
                <w:color w:val="000000"/>
                <w:lang w:eastAsia="en-AU"/>
              </w:rPr>
              <w:t>8.9</w:t>
            </w:r>
          </w:p>
        </w:tc>
        <w:tc>
          <w:tcPr>
            <w:tcW w:w="2322" w:type="dxa"/>
            <w:vAlign w:val="center"/>
          </w:tcPr>
          <w:p w14:paraId="455F5F65" w14:textId="77777777" w:rsidR="00090164" w:rsidRDefault="00090164" w:rsidP="001B2E83">
            <w:pPr>
              <w:pStyle w:val="Body"/>
            </w:pPr>
            <w:r>
              <w:rPr>
                <w:color w:val="000000"/>
                <w:lang w:eastAsia="en-AU"/>
              </w:rPr>
              <w:t>9.6</w:t>
            </w:r>
          </w:p>
        </w:tc>
      </w:tr>
      <w:tr w:rsidR="00090164" w14:paraId="42CE892C" w14:textId="77777777" w:rsidTr="001B2E83">
        <w:tc>
          <w:tcPr>
            <w:tcW w:w="2322" w:type="dxa"/>
            <w:vAlign w:val="bottom"/>
          </w:tcPr>
          <w:p w14:paraId="5B2333D2" w14:textId="77777777" w:rsidR="00090164" w:rsidRDefault="00090164" w:rsidP="001B2E83">
            <w:pPr>
              <w:pStyle w:val="Body"/>
            </w:pPr>
            <w:r>
              <w:rPr>
                <w:color w:val="000000"/>
                <w:lang w:eastAsia="en-AU"/>
              </w:rPr>
              <w:t>&gt;=80,000 to &lt;100,000</w:t>
            </w:r>
          </w:p>
        </w:tc>
        <w:tc>
          <w:tcPr>
            <w:tcW w:w="2322" w:type="dxa"/>
            <w:vAlign w:val="center"/>
          </w:tcPr>
          <w:p w14:paraId="7087F3CD" w14:textId="77777777" w:rsidR="00090164" w:rsidRDefault="00090164" w:rsidP="001B2E83">
            <w:pPr>
              <w:pStyle w:val="Body"/>
            </w:pPr>
            <w:r>
              <w:rPr>
                <w:color w:val="000000"/>
                <w:lang w:eastAsia="en-AU"/>
              </w:rPr>
              <w:t>10.1</w:t>
            </w:r>
          </w:p>
        </w:tc>
        <w:tc>
          <w:tcPr>
            <w:tcW w:w="2322" w:type="dxa"/>
            <w:vAlign w:val="center"/>
          </w:tcPr>
          <w:p w14:paraId="2AA0EA9F" w14:textId="77777777" w:rsidR="00090164" w:rsidRDefault="00090164" w:rsidP="001B2E83">
            <w:pPr>
              <w:pStyle w:val="Body"/>
            </w:pPr>
            <w:r>
              <w:rPr>
                <w:color w:val="000000"/>
                <w:lang w:eastAsia="en-AU"/>
              </w:rPr>
              <w:t>7.7</w:t>
            </w:r>
          </w:p>
        </w:tc>
        <w:tc>
          <w:tcPr>
            <w:tcW w:w="2322" w:type="dxa"/>
            <w:vAlign w:val="center"/>
          </w:tcPr>
          <w:p w14:paraId="7A55A602" w14:textId="77777777" w:rsidR="00090164" w:rsidRDefault="00090164" w:rsidP="001B2E83">
            <w:pPr>
              <w:pStyle w:val="Body"/>
            </w:pPr>
            <w:r>
              <w:rPr>
                <w:color w:val="000000"/>
                <w:lang w:eastAsia="en-AU"/>
              </w:rPr>
              <w:t>8.9</w:t>
            </w:r>
          </w:p>
        </w:tc>
      </w:tr>
      <w:tr w:rsidR="00090164" w14:paraId="32C4C920" w14:textId="77777777" w:rsidTr="001B2E83">
        <w:tc>
          <w:tcPr>
            <w:tcW w:w="2322" w:type="dxa"/>
            <w:vAlign w:val="bottom"/>
          </w:tcPr>
          <w:p w14:paraId="08712CF0" w14:textId="77777777" w:rsidR="00090164" w:rsidRDefault="00090164" w:rsidP="001B2E83">
            <w:pPr>
              <w:pStyle w:val="Body"/>
            </w:pPr>
            <w:r>
              <w:rPr>
                <w:color w:val="000000"/>
                <w:lang w:eastAsia="en-AU"/>
              </w:rPr>
              <w:t>100,000+</w:t>
            </w:r>
          </w:p>
        </w:tc>
        <w:tc>
          <w:tcPr>
            <w:tcW w:w="2322" w:type="dxa"/>
            <w:vAlign w:val="center"/>
          </w:tcPr>
          <w:p w14:paraId="78D59F64" w14:textId="77777777" w:rsidR="00090164" w:rsidRDefault="00090164" w:rsidP="001B2E83">
            <w:pPr>
              <w:pStyle w:val="Body"/>
            </w:pPr>
            <w:r>
              <w:rPr>
                <w:color w:val="000000"/>
                <w:lang w:eastAsia="en-AU"/>
              </w:rPr>
              <w:t>33.0</w:t>
            </w:r>
          </w:p>
        </w:tc>
        <w:tc>
          <w:tcPr>
            <w:tcW w:w="2322" w:type="dxa"/>
            <w:vAlign w:val="center"/>
          </w:tcPr>
          <w:p w14:paraId="3650C5FA" w14:textId="77777777" w:rsidR="00090164" w:rsidRDefault="00090164" w:rsidP="001B2E83">
            <w:pPr>
              <w:pStyle w:val="Body"/>
            </w:pPr>
            <w:r>
              <w:rPr>
                <w:color w:val="000000"/>
                <w:lang w:eastAsia="en-AU"/>
              </w:rPr>
              <w:t>26.1</w:t>
            </w:r>
          </w:p>
        </w:tc>
        <w:tc>
          <w:tcPr>
            <w:tcW w:w="2322" w:type="dxa"/>
            <w:vAlign w:val="center"/>
          </w:tcPr>
          <w:p w14:paraId="53C7CB08" w14:textId="77777777" w:rsidR="00090164" w:rsidRDefault="00090164" w:rsidP="001B2E83">
            <w:pPr>
              <w:pStyle w:val="Body"/>
            </w:pPr>
            <w:r>
              <w:rPr>
                <w:color w:val="000000"/>
                <w:lang w:eastAsia="en-AU"/>
              </w:rPr>
              <w:t>29.4</w:t>
            </w:r>
          </w:p>
        </w:tc>
      </w:tr>
      <w:tr w:rsidR="00090164" w14:paraId="7803B31A" w14:textId="77777777" w:rsidTr="001B2E83">
        <w:tc>
          <w:tcPr>
            <w:tcW w:w="2322" w:type="dxa"/>
          </w:tcPr>
          <w:p w14:paraId="42649496" w14:textId="77777777" w:rsidR="00090164" w:rsidRDefault="00090164" w:rsidP="001B2E83">
            <w:pPr>
              <w:pStyle w:val="Body"/>
            </w:pPr>
            <w:r w:rsidRPr="00594990">
              <w:t>Don't know/Refused to answer</w:t>
            </w:r>
          </w:p>
        </w:tc>
        <w:tc>
          <w:tcPr>
            <w:tcW w:w="2322" w:type="dxa"/>
          </w:tcPr>
          <w:p w14:paraId="27A50EAB" w14:textId="77777777" w:rsidR="00090164" w:rsidRDefault="00090164" w:rsidP="001B2E83">
            <w:pPr>
              <w:pStyle w:val="Body"/>
            </w:pPr>
            <w:r w:rsidRPr="00594990">
              <w:t>18.6</w:t>
            </w:r>
          </w:p>
        </w:tc>
        <w:tc>
          <w:tcPr>
            <w:tcW w:w="2322" w:type="dxa"/>
          </w:tcPr>
          <w:p w14:paraId="0230773D" w14:textId="77777777" w:rsidR="00090164" w:rsidRDefault="00090164" w:rsidP="001B2E83">
            <w:pPr>
              <w:pStyle w:val="Body"/>
            </w:pPr>
            <w:r w:rsidRPr="00594990">
              <w:t>25.6</w:t>
            </w:r>
          </w:p>
        </w:tc>
        <w:tc>
          <w:tcPr>
            <w:tcW w:w="2322" w:type="dxa"/>
          </w:tcPr>
          <w:p w14:paraId="185B0CB8" w14:textId="77777777" w:rsidR="00090164" w:rsidRDefault="00090164" w:rsidP="001B2E83">
            <w:pPr>
              <w:pStyle w:val="Body"/>
            </w:pPr>
            <w:r w:rsidRPr="00594990">
              <w:t>22.2</w:t>
            </w:r>
          </w:p>
        </w:tc>
      </w:tr>
    </w:tbl>
    <w:p w14:paraId="40FAEF7F" w14:textId="227D20CC" w:rsidR="00090164" w:rsidRPr="00982A08" w:rsidRDefault="00090164" w:rsidP="00090164">
      <w:pPr>
        <w:pStyle w:val="Body"/>
        <w:rPr>
          <w:sz w:val="18"/>
          <w:szCs w:val="16"/>
        </w:rPr>
      </w:pPr>
      <w:r w:rsidRPr="00982A08">
        <w:rPr>
          <w:sz w:val="18"/>
          <w:szCs w:val="16"/>
        </w:rPr>
        <w:t>Source: V</w:t>
      </w:r>
      <w:r w:rsidR="003348A3">
        <w:rPr>
          <w:sz w:val="18"/>
          <w:szCs w:val="16"/>
        </w:rPr>
        <w:t xml:space="preserve">AHI, </w:t>
      </w:r>
      <w:r w:rsidRPr="007A1C4D">
        <w:rPr>
          <w:i/>
          <w:iCs/>
          <w:sz w:val="18"/>
          <w:szCs w:val="16"/>
        </w:rPr>
        <w:t>Victorian Population Health Survey 2019</w:t>
      </w:r>
      <w:r w:rsidRPr="00982A08">
        <w:rPr>
          <w:sz w:val="18"/>
          <w:szCs w:val="16"/>
        </w:rPr>
        <w:t xml:space="preserve">, State of Victoria, Melbourne. </w:t>
      </w:r>
    </w:p>
    <w:p w14:paraId="47DF80ED" w14:textId="1DEF3CAF" w:rsidR="00090164" w:rsidRPr="00A6759F" w:rsidRDefault="00090164" w:rsidP="00090164">
      <w:pPr>
        <w:pStyle w:val="Body"/>
      </w:pPr>
      <w:r>
        <w:t xml:space="preserve">Income and the distribution of money has a significant impact on health. Victorians </w:t>
      </w:r>
      <w:r w:rsidR="003348A3">
        <w:t xml:space="preserve">with a </w:t>
      </w:r>
      <w:r>
        <w:t xml:space="preserve">reported total household income less than $40,000 were more likely to be diagnosed with two or more chronic diseases, </w:t>
      </w:r>
      <w:r w:rsidR="003348A3">
        <w:t xml:space="preserve">more likely to </w:t>
      </w:r>
      <w:r>
        <w:t xml:space="preserve">be diagnosed with anxiety or depression, </w:t>
      </w:r>
      <w:r w:rsidR="003348A3">
        <w:t xml:space="preserve">more likely to </w:t>
      </w:r>
      <w:r>
        <w:t>report high to very high levels of psychological distress</w:t>
      </w:r>
      <w:r w:rsidR="00982C63">
        <w:t>,</w:t>
      </w:r>
      <w:r w:rsidR="002C672D">
        <w:t xml:space="preserve"> </w:t>
      </w:r>
      <w:r w:rsidR="003348A3">
        <w:t xml:space="preserve">more likely to </w:t>
      </w:r>
      <w:r w:rsidR="002C672D">
        <w:t xml:space="preserve">smoke cigarettes, </w:t>
      </w:r>
      <w:r w:rsidR="00982C63">
        <w:t xml:space="preserve">and </w:t>
      </w:r>
      <w:r w:rsidR="003348A3">
        <w:t xml:space="preserve">more likely to </w:t>
      </w:r>
      <w:r w:rsidR="002C672D">
        <w:t>consume alcohol at harmful levels</w:t>
      </w:r>
      <w:r>
        <w:t xml:space="preserve"> (V</w:t>
      </w:r>
      <w:r w:rsidR="003348A3">
        <w:t xml:space="preserve">AHI, </w:t>
      </w:r>
      <w:r>
        <w:t>2021).</w:t>
      </w:r>
    </w:p>
    <w:p w14:paraId="36AC556E" w14:textId="22724177" w:rsidR="00BC409A" w:rsidRPr="00A6759F" w:rsidRDefault="00BC409A" w:rsidP="00BC409A">
      <w:pPr>
        <w:pStyle w:val="Heading2"/>
      </w:pPr>
      <w:bookmarkStart w:id="65" w:name="_Toc116981322"/>
      <w:r w:rsidRPr="00E350A7">
        <w:lastRenderedPageBreak/>
        <w:t>Index of relative socio-economic disadvantage</w:t>
      </w:r>
      <w:bookmarkEnd w:id="65"/>
      <w:r>
        <w:t xml:space="preserve">  </w:t>
      </w:r>
    </w:p>
    <w:p w14:paraId="0C561EE7" w14:textId="38B2FDD8" w:rsidR="00BC409A" w:rsidRPr="00DD7427" w:rsidRDefault="00BC409A" w:rsidP="00BC409A">
      <w:pPr>
        <w:pStyle w:val="Body"/>
        <w:rPr>
          <w:lang w:eastAsia="en-AU"/>
        </w:rPr>
      </w:pPr>
      <w:r w:rsidRPr="00DD7427">
        <w:rPr>
          <w:lang w:eastAsia="en-AU"/>
        </w:rPr>
        <w:t>The Index of Relative Socioeconomic Disadvantage (IRSD) is a general socioeconomic index summaris</w:t>
      </w:r>
      <w:r w:rsidR="003348A3">
        <w:rPr>
          <w:lang w:eastAsia="en-AU"/>
        </w:rPr>
        <w:t>ing</w:t>
      </w:r>
      <w:r w:rsidRPr="00DD7427">
        <w:rPr>
          <w:lang w:eastAsia="en-AU"/>
        </w:rPr>
        <w:t xml:space="preserve"> information about the economic and social conditions of people and households within an area (</w:t>
      </w:r>
      <w:r w:rsidR="000A5D79">
        <w:rPr>
          <w:lang w:eastAsia="en-AU"/>
        </w:rPr>
        <w:t>ABS,</w:t>
      </w:r>
      <w:r w:rsidRPr="00DD7427">
        <w:rPr>
          <w:lang w:eastAsia="en-AU"/>
        </w:rPr>
        <w:t xml:space="preserve"> 2018</w:t>
      </w:r>
      <w:r>
        <w:rPr>
          <w:lang w:eastAsia="en-AU"/>
        </w:rPr>
        <w:t>b</w:t>
      </w:r>
      <w:r w:rsidRPr="00DD7427">
        <w:rPr>
          <w:lang w:eastAsia="en-AU"/>
        </w:rPr>
        <w:t>). </w:t>
      </w:r>
    </w:p>
    <w:p w14:paraId="5EEC3166" w14:textId="1EC8729F" w:rsidR="00BC409A" w:rsidRPr="00DD7427" w:rsidRDefault="00BC409A" w:rsidP="00BC409A">
      <w:pPr>
        <w:pStyle w:val="Body"/>
        <w:rPr>
          <w:lang w:eastAsia="en-AU"/>
        </w:rPr>
      </w:pPr>
      <w:r w:rsidRPr="00DD7427">
        <w:rPr>
          <w:lang w:eastAsia="en-AU"/>
        </w:rPr>
        <w:t>Unlike other indexes, th</w:t>
      </w:r>
      <w:r w:rsidR="003348A3">
        <w:rPr>
          <w:lang w:eastAsia="en-AU"/>
        </w:rPr>
        <w:t xml:space="preserve">e IRSD </w:t>
      </w:r>
      <w:r w:rsidRPr="00DD7427">
        <w:rPr>
          <w:lang w:eastAsia="en-AU"/>
        </w:rPr>
        <w:t xml:space="preserve">only </w:t>
      </w:r>
      <w:r w:rsidR="003348A3">
        <w:rPr>
          <w:lang w:eastAsia="en-AU"/>
        </w:rPr>
        <w:t xml:space="preserve">includes </w:t>
      </w:r>
      <w:r w:rsidRPr="00DD7427">
        <w:rPr>
          <w:lang w:eastAsia="en-AU"/>
        </w:rPr>
        <w:t>measures of relative disadvantage (</w:t>
      </w:r>
      <w:r w:rsidR="000A5D79">
        <w:rPr>
          <w:lang w:eastAsia="en-AU"/>
        </w:rPr>
        <w:t>ABS,</w:t>
      </w:r>
      <w:r w:rsidRPr="00DD7427">
        <w:rPr>
          <w:lang w:eastAsia="en-AU"/>
        </w:rPr>
        <w:t xml:space="preserve"> 2018</w:t>
      </w:r>
      <w:r>
        <w:rPr>
          <w:lang w:eastAsia="en-AU"/>
        </w:rPr>
        <w:t>b</w:t>
      </w:r>
      <w:r w:rsidRPr="00DD7427">
        <w:rPr>
          <w:lang w:eastAsia="en-AU"/>
        </w:rPr>
        <w:t>). </w:t>
      </w:r>
    </w:p>
    <w:p w14:paraId="3714E5AC" w14:textId="66AC5624" w:rsidR="005D46FB" w:rsidRDefault="00BC409A" w:rsidP="005D46FB">
      <w:pPr>
        <w:pStyle w:val="Body"/>
        <w:rPr>
          <w:lang w:eastAsia="en-AU"/>
        </w:rPr>
      </w:pPr>
      <w:r w:rsidRPr="00DD7427">
        <w:rPr>
          <w:lang w:eastAsia="en-AU"/>
        </w:rPr>
        <w:t xml:space="preserve">Each </w:t>
      </w:r>
      <w:r w:rsidR="003348A3">
        <w:rPr>
          <w:lang w:eastAsia="en-AU"/>
        </w:rPr>
        <w:t xml:space="preserve">LGA </w:t>
      </w:r>
      <w:r w:rsidRPr="00DD7427">
        <w:rPr>
          <w:lang w:eastAsia="en-AU"/>
        </w:rPr>
        <w:t xml:space="preserve">in Victoria can be mapped </w:t>
      </w:r>
      <w:r w:rsidR="003348A3">
        <w:rPr>
          <w:lang w:eastAsia="en-AU"/>
        </w:rPr>
        <w:t xml:space="preserve">from </w:t>
      </w:r>
      <w:r w:rsidRPr="00DD7427">
        <w:rPr>
          <w:lang w:eastAsia="en-AU"/>
        </w:rPr>
        <w:t>most disadvantaged to least disadvantaged. </w:t>
      </w:r>
      <w:r w:rsidR="005D46FB" w:rsidRPr="00DD7427">
        <w:rPr>
          <w:lang w:eastAsia="en-AU"/>
        </w:rPr>
        <w:t xml:space="preserve">These </w:t>
      </w:r>
      <w:r w:rsidR="003348A3">
        <w:rPr>
          <w:lang w:eastAsia="en-AU"/>
        </w:rPr>
        <w:t xml:space="preserve">LGA </w:t>
      </w:r>
      <w:r w:rsidR="005D46FB" w:rsidRPr="00DD7427">
        <w:rPr>
          <w:lang w:eastAsia="en-AU"/>
        </w:rPr>
        <w:t xml:space="preserve">maps show that rural </w:t>
      </w:r>
      <w:r w:rsidR="003348A3">
        <w:rPr>
          <w:lang w:eastAsia="en-AU"/>
        </w:rPr>
        <w:t xml:space="preserve">LGAs </w:t>
      </w:r>
      <w:r w:rsidR="005D46FB" w:rsidRPr="00DD7427">
        <w:rPr>
          <w:lang w:eastAsia="en-AU"/>
        </w:rPr>
        <w:t xml:space="preserve">are more likely </w:t>
      </w:r>
      <w:r w:rsidR="003348A3">
        <w:rPr>
          <w:lang w:eastAsia="en-AU"/>
        </w:rPr>
        <w:t xml:space="preserve">than </w:t>
      </w:r>
      <w:r w:rsidR="003348A3" w:rsidRPr="00DD7427">
        <w:rPr>
          <w:lang w:eastAsia="en-AU"/>
        </w:rPr>
        <w:t xml:space="preserve">metropolitan </w:t>
      </w:r>
      <w:r w:rsidR="003348A3">
        <w:rPr>
          <w:lang w:eastAsia="en-AU"/>
        </w:rPr>
        <w:t xml:space="preserve">LGAs </w:t>
      </w:r>
      <w:r w:rsidR="005D46FB" w:rsidRPr="00DD7427">
        <w:rPr>
          <w:lang w:eastAsia="en-AU"/>
        </w:rPr>
        <w:t>to be classified as most disadvantaged. </w:t>
      </w:r>
    </w:p>
    <w:p w14:paraId="2788049C" w14:textId="77777777" w:rsidR="00BC409A" w:rsidRPr="00A6759F" w:rsidRDefault="00BC409A" w:rsidP="00BC409A">
      <w:pPr>
        <w:spacing w:after="0" w:line="240" w:lineRule="auto"/>
        <w:rPr>
          <w:rFonts w:eastAsia="MS Mincho"/>
          <w:b/>
          <w:bCs/>
          <w:color w:val="000000" w:themeColor="text1"/>
        </w:rPr>
      </w:pPr>
      <w:r w:rsidRPr="0AEE9A3C">
        <w:rPr>
          <w:rFonts w:eastAsia="MS Mincho"/>
          <w:b/>
          <w:bCs/>
          <w:color w:val="000000" w:themeColor="text1"/>
        </w:rPr>
        <w:t xml:space="preserve">References </w:t>
      </w:r>
    </w:p>
    <w:p w14:paraId="1C14DA7C" w14:textId="6F92645B" w:rsidR="00DA5975" w:rsidRPr="008F1A9B" w:rsidRDefault="00DA5975" w:rsidP="00DA5975">
      <w:pPr>
        <w:pStyle w:val="Body"/>
        <w:rPr>
          <w:rFonts w:eastAsia="Arial" w:cs="Arial"/>
          <w:color w:val="000000" w:themeColor="text1"/>
          <w:highlight w:val="yellow"/>
        </w:rPr>
      </w:pPr>
      <w:r w:rsidRPr="0093412D">
        <w:rPr>
          <w:rFonts w:eastAsia="Arial" w:cs="Arial"/>
          <w:color w:val="000000" w:themeColor="text1"/>
        </w:rPr>
        <w:t xml:space="preserve">Australian Bureau of Statistics. 2014. '3238.0 - Estimates and Projections, Aboriginal and Torres Strait Islander Australians, 2001 to 2026'. </w:t>
      </w:r>
      <w:r w:rsidR="64F75E71" w:rsidRPr="0093412D">
        <w:rPr>
          <w:rFonts w:eastAsia="Arial" w:cs="Arial"/>
          <w:color w:val="000000" w:themeColor="text1"/>
        </w:rPr>
        <w:t>ABS</w:t>
      </w:r>
      <w:r w:rsidR="006108F4">
        <w:rPr>
          <w:rFonts w:eastAsia="Arial" w:cs="Arial"/>
          <w:color w:val="000000" w:themeColor="text1"/>
        </w:rPr>
        <w:t>,</w:t>
      </w:r>
      <w:r w:rsidR="64F75E71" w:rsidRPr="0093412D">
        <w:rPr>
          <w:rFonts w:eastAsia="Arial" w:cs="Arial"/>
          <w:color w:val="000000" w:themeColor="text1"/>
        </w:rPr>
        <w:t xml:space="preserve"> Canberra</w:t>
      </w:r>
      <w:r w:rsidR="006108F4">
        <w:rPr>
          <w:rFonts w:eastAsia="Arial" w:cs="Arial"/>
          <w:color w:val="000000" w:themeColor="text1"/>
        </w:rPr>
        <w:t>.</w:t>
      </w:r>
    </w:p>
    <w:p w14:paraId="670E781F" w14:textId="0593612B" w:rsidR="00DA5975" w:rsidRPr="008F1A9B" w:rsidRDefault="00DA5975" w:rsidP="00DA5975">
      <w:pPr>
        <w:pStyle w:val="Body"/>
        <w:rPr>
          <w:rFonts w:cs="Arial"/>
          <w:color w:val="2A2736"/>
          <w:highlight w:val="yellow"/>
        </w:rPr>
      </w:pPr>
      <w:r>
        <w:rPr>
          <w:rFonts w:cs="Arial"/>
          <w:color w:val="2A2736"/>
        </w:rPr>
        <w:t xml:space="preserve">Australian Bureau of Statistics 2018b, </w:t>
      </w:r>
      <w:r w:rsidR="014B8C77" w:rsidRPr="0093412D">
        <w:rPr>
          <w:rFonts w:cs="Arial"/>
          <w:color w:val="2A2736"/>
        </w:rPr>
        <w:t>‘</w:t>
      </w:r>
      <w:r>
        <w:rPr>
          <w:rFonts w:cs="Arial"/>
          <w:color w:val="2A2736"/>
        </w:rPr>
        <w:t xml:space="preserve">Local government area (LGA) Index of Relative Socio-economic Disadvantage, distribution of statistical area level 1 </w:t>
      </w:r>
      <w:r w:rsidRPr="0093412D">
        <w:rPr>
          <w:rFonts w:cs="Arial"/>
          <w:color w:val="2A2736"/>
        </w:rPr>
        <w:t>deciles</w:t>
      </w:r>
      <w:r w:rsidR="2D3D97DD" w:rsidRPr="0093412D">
        <w:rPr>
          <w:rFonts w:cs="Arial"/>
          <w:color w:val="2A2736"/>
        </w:rPr>
        <w:t>’</w:t>
      </w:r>
      <w:r>
        <w:rPr>
          <w:rFonts w:cs="Arial"/>
          <w:color w:val="2A2736"/>
        </w:rPr>
        <w:t>, 2016, ABS, Canberra.</w:t>
      </w:r>
    </w:p>
    <w:p w14:paraId="31233C7E" w14:textId="652B6CF3" w:rsidR="00DA5975" w:rsidRPr="00F62582" w:rsidRDefault="00DA5975" w:rsidP="009B7CAE">
      <w:pPr>
        <w:pStyle w:val="Body"/>
        <w:spacing w:after="0" w:line="240" w:lineRule="auto"/>
      </w:pPr>
      <w:r w:rsidRPr="00F62582">
        <w:t xml:space="preserve">Australian Bureau of Statistics 2019, </w:t>
      </w:r>
      <w:r w:rsidR="40F70D29" w:rsidRPr="0093412D">
        <w:t>‘</w:t>
      </w:r>
      <w:r w:rsidRPr="00F62582">
        <w:t xml:space="preserve">31010 Australian Demographic </w:t>
      </w:r>
      <w:r w:rsidRPr="0093412D">
        <w:t>Statistics</w:t>
      </w:r>
      <w:r w:rsidR="35A03657" w:rsidRPr="0093412D">
        <w:t>’</w:t>
      </w:r>
      <w:r w:rsidRPr="00F62582">
        <w:t xml:space="preserve">, 2019, </w:t>
      </w:r>
      <w:r w:rsidR="38C6C4EC" w:rsidRPr="0093412D">
        <w:t>ABS, Canberra (</w:t>
      </w:r>
      <w:r w:rsidRPr="00F62582">
        <w:t>viewed 11 October 2022</w:t>
      </w:r>
      <w:r w:rsidR="64F288AF" w:rsidRPr="0093412D">
        <w:t>)</w:t>
      </w:r>
      <w:r w:rsidRPr="00F62582">
        <w:t xml:space="preserve"> &lt;https://www.abs.gov.au/AUSSTATS/abs@.nsf/DetailsPage/3101.0Mar%202019?OpenDocument&gt; </w:t>
      </w:r>
    </w:p>
    <w:p w14:paraId="2FD47196" w14:textId="4D15E437" w:rsidR="00DA5975" w:rsidRPr="00FC4CE9" w:rsidRDefault="00DA5975" w:rsidP="00DA5975">
      <w:pPr>
        <w:pStyle w:val="Body"/>
      </w:pPr>
      <w:r w:rsidRPr="00F62582">
        <w:t>Australian Bureau of Statistics 2017</w:t>
      </w:r>
      <w:r w:rsidR="5063A092" w:rsidRPr="0093412D">
        <w:t>‘</w:t>
      </w:r>
      <w:r w:rsidRPr="00F62582">
        <w:t xml:space="preserve">Population </w:t>
      </w:r>
      <w:r w:rsidRPr="0093412D">
        <w:t>Projections</w:t>
      </w:r>
      <w:r w:rsidR="6BF3A8D2" w:rsidRPr="0093412D">
        <w:t>’</w:t>
      </w:r>
      <w:r w:rsidRPr="00F62582">
        <w:t xml:space="preserve">, Australia, ABS, </w:t>
      </w:r>
      <w:r w:rsidR="64A2576D" w:rsidRPr="0093412D">
        <w:t>Canberra</w:t>
      </w:r>
      <w:r w:rsidRPr="0093412D">
        <w:t xml:space="preserve"> </w:t>
      </w:r>
      <w:r w:rsidR="6FF966B4" w:rsidRPr="0093412D">
        <w:t>(</w:t>
      </w:r>
      <w:r w:rsidRPr="00F62582">
        <w:t>viewed 11 October 2022</w:t>
      </w:r>
      <w:r w:rsidR="377EBA39" w:rsidRPr="0093412D">
        <w:t>)</w:t>
      </w:r>
      <w:r w:rsidRPr="00F62582">
        <w:t xml:space="preserve"> &lt;https://www.abs.gov.au/statistics/people/population/population-projections-australia/latest-release&gt;.</w:t>
      </w:r>
      <w:r w:rsidRPr="00FC4CE9">
        <w:t> </w:t>
      </w:r>
    </w:p>
    <w:p w14:paraId="041649BC" w14:textId="4BD5A1BF" w:rsidR="00DA5975" w:rsidRPr="00F62582" w:rsidRDefault="00DA5975" w:rsidP="00DA5975">
      <w:pPr>
        <w:pStyle w:val="Body"/>
      </w:pPr>
      <w:r w:rsidRPr="00F62582">
        <w:t xml:space="preserve">Australian Bureau of Statistics 2018-19, </w:t>
      </w:r>
      <w:r w:rsidR="65F8985A" w:rsidRPr="0093412D">
        <w:t>‘</w:t>
      </w:r>
      <w:r w:rsidRPr="00FC4CE9">
        <w:t xml:space="preserve">Regional </w:t>
      </w:r>
      <w:r w:rsidRPr="0093412D">
        <w:t>population</w:t>
      </w:r>
      <w:r w:rsidR="1248551E" w:rsidRPr="0093412D">
        <w:t>’</w:t>
      </w:r>
      <w:r w:rsidRPr="00F62582">
        <w:t xml:space="preserve">, ABS, </w:t>
      </w:r>
      <w:r w:rsidR="1F562EDF" w:rsidRPr="0093412D">
        <w:t>(</w:t>
      </w:r>
      <w:r w:rsidRPr="00F62582">
        <w:t>viewed 11 October 2022</w:t>
      </w:r>
      <w:r w:rsidR="79613A8D" w:rsidRPr="0093412D">
        <w:t>)</w:t>
      </w:r>
      <w:r w:rsidRPr="00F62582">
        <w:t xml:space="preserve"> &lt;https://www.abs.gov.au/statistics/people/population/regional-population/2018-19&gt;. </w:t>
      </w:r>
    </w:p>
    <w:p w14:paraId="66175449" w14:textId="28F614B9" w:rsidR="00DA5975" w:rsidRDefault="00DA5975" w:rsidP="00DA5975">
      <w:pPr>
        <w:pStyle w:val="Body"/>
      </w:pPr>
      <w:r w:rsidRPr="00FC4CE9">
        <w:t>Australian Bureau of Statistics</w:t>
      </w:r>
      <w:r w:rsidR="003A3CBB">
        <w:t xml:space="preserve"> </w:t>
      </w:r>
      <w:r w:rsidRPr="00FC4CE9">
        <w:t>2019</w:t>
      </w:r>
      <w:r w:rsidR="4FCB77A4" w:rsidRPr="004E243B">
        <w:t>,</w:t>
      </w:r>
      <w:r w:rsidRPr="00FC4CE9">
        <w:t xml:space="preserve"> '2071.0 - Census of Population and Housing: Reflecting Australia - Stories from the Census, 2016'</w:t>
      </w:r>
      <w:r w:rsidR="50A3F774" w:rsidRPr="004E243B">
        <w:t>, ABS</w:t>
      </w:r>
      <w:r w:rsidR="00AB2A55">
        <w:t>,</w:t>
      </w:r>
      <w:r w:rsidR="50A3F774" w:rsidRPr="004E243B">
        <w:t xml:space="preserve"> Canberra</w:t>
      </w:r>
      <w:r w:rsidRPr="00FC4CE9">
        <w:t>.</w:t>
      </w:r>
    </w:p>
    <w:p w14:paraId="28096E0E" w14:textId="1BC8AF28" w:rsidR="00DA5975" w:rsidRPr="00F62582" w:rsidRDefault="00DA5975" w:rsidP="00DA5975">
      <w:pPr>
        <w:pStyle w:val="Body"/>
      </w:pPr>
      <w:r w:rsidRPr="00F62582">
        <w:t xml:space="preserve">Australian Bureau of Statistics 2019a, </w:t>
      </w:r>
      <w:r w:rsidR="77BD82DA" w:rsidRPr="004E243B">
        <w:t>‘</w:t>
      </w:r>
      <w:r w:rsidRPr="00FC4CE9">
        <w:t xml:space="preserve">Regional population by age and </w:t>
      </w:r>
      <w:r w:rsidRPr="004E243B">
        <w:t>sex</w:t>
      </w:r>
      <w:r w:rsidR="5EB1493D" w:rsidRPr="004E243B">
        <w:t>’</w:t>
      </w:r>
      <w:r w:rsidRPr="00F62582">
        <w:t>, ABS</w:t>
      </w:r>
      <w:r w:rsidR="18C77C56" w:rsidRPr="004E243B">
        <w:t xml:space="preserve"> Canberra</w:t>
      </w:r>
      <w:r w:rsidRPr="004E243B">
        <w:t xml:space="preserve">, </w:t>
      </w:r>
      <w:r w:rsidR="6A0142E3" w:rsidRPr="004E243B">
        <w:t>(</w:t>
      </w:r>
      <w:r w:rsidRPr="00F62582">
        <w:t>viewed 12 October 2022</w:t>
      </w:r>
      <w:r w:rsidR="2738F1A9" w:rsidRPr="004E243B">
        <w:t>)</w:t>
      </w:r>
      <w:r w:rsidRPr="00F62582">
        <w:t xml:space="preserve"> &lt;https://www.abs.gov.au/statistics/people/population/regional-population-age-and-sex/2019&gt;. </w:t>
      </w:r>
    </w:p>
    <w:p w14:paraId="0CCFDA64" w14:textId="0324B45D" w:rsidR="00DA5975" w:rsidRDefault="00DA5975" w:rsidP="00DA5975">
      <w:pPr>
        <w:pStyle w:val="Body"/>
      </w:pPr>
      <w:r w:rsidRPr="00F62582">
        <w:t xml:space="preserve">Australian Bureau of Statistics 2018-2020, </w:t>
      </w:r>
      <w:r w:rsidR="68E75CC4" w:rsidRPr="004E243B">
        <w:t>‘</w:t>
      </w:r>
      <w:r w:rsidRPr="00FC4CE9">
        <w:t xml:space="preserve">Life </w:t>
      </w:r>
      <w:r w:rsidRPr="004E243B">
        <w:t>tables</w:t>
      </w:r>
      <w:r w:rsidR="5E09DE74" w:rsidRPr="004E243B">
        <w:t>’</w:t>
      </w:r>
      <w:r w:rsidRPr="00F62582">
        <w:t xml:space="preserve">, ABS, </w:t>
      </w:r>
      <w:r w:rsidR="1A030398" w:rsidRPr="004E243B">
        <w:t>Canberra</w:t>
      </w:r>
      <w:r w:rsidR="001E447B">
        <w:t>.</w:t>
      </w:r>
      <w:r w:rsidRPr="004E243B">
        <w:t xml:space="preserve"> </w:t>
      </w:r>
      <w:r w:rsidR="75F42718" w:rsidRPr="004E243B">
        <w:t>(</w:t>
      </w:r>
      <w:r w:rsidRPr="00F62582">
        <w:t>viewed 12 October 2022</w:t>
      </w:r>
      <w:r w:rsidR="6AD44B9B" w:rsidRPr="004E243B">
        <w:t>)</w:t>
      </w:r>
      <w:r w:rsidRPr="00F62582">
        <w:t xml:space="preserve"> &lt;https://www.abs.gov.au/statistics/people/population/life-tables/latest-release&gt;. </w:t>
      </w:r>
    </w:p>
    <w:p w14:paraId="1CF9F6DC" w14:textId="5A52579B" w:rsidR="00DA5975" w:rsidRDefault="00DA5975" w:rsidP="00DA5975">
      <w:pPr>
        <w:pStyle w:val="Body"/>
      </w:pPr>
      <w:r w:rsidRPr="00EB0F50">
        <w:t>Australian Institute of Health and Welfare 2018</w:t>
      </w:r>
      <w:r w:rsidR="14A7C81C" w:rsidRPr="004E243B">
        <w:t>,</w:t>
      </w:r>
      <w:r w:rsidRPr="004E243B">
        <w:t xml:space="preserve"> </w:t>
      </w:r>
      <w:r w:rsidR="459715E8" w:rsidRPr="004E243B">
        <w:t>‘</w:t>
      </w:r>
      <w:r w:rsidRPr="00EB0F50">
        <w:t xml:space="preserve">Survey of Health Care: selected findings for rural and remote </w:t>
      </w:r>
      <w:r w:rsidRPr="004E243B">
        <w:t>Australians</w:t>
      </w:r>
      <w:r w:rsidR="7EBA8691" w:rsidRPr="004E243B">
        <w:t>’</w:t>
      </w:r>
      <w:r w:rsidRPr="00EB0F50">
        <w:t>, AIHW, Australian</w:t>
      </w:r>
      <w:r>
        <w:t xml:space="preserve"> </w:t>
      </w:r>
      <w:r w:rsidRPr="00EB0F50">
        <w:t xml:space="preserve">Government, </w:t>
      </w:r>
      <w:r w:rsidR="47F593EC" w:rsidRPr="004E243B">
        <w:t>(viewed</w:t>
      </w:r>
      <w:r w:rsidRPr="00EB0F50">
        <w:t xml:space="preserve"> 02 August 2022</w:t>
      </w:r>
      <w:r w:rsidR="250E2370" w:rsidRPr="004E243B">
        <w:t>)</w:t>
      </w:r>
      <w:r w:rsidRPr="004E243B">
        <w:t>.</w:t>
      </w:r>
    </w:p>
    <w:p w14:paraId="3C80292B" w14:textId="2733CD05" w:rsidR="00DA5975" w:rsidRPr="00FC4CE9" w:rsidRDefault="00DA5975" w:rsidP="00DA5975">
      <w:pPr>
        <w:pStyle w:val="Body"/>
      </w:pPr>
      <w:r w:rsidRPr="00FC4CE9">
        <w:t>Department of Health and Human Services</w:t>
      </w:r>
      <w:r w:rsidRPr="004E243B">
        <w:t xml:space="preserve"> </w:t>
      </w:r>
      <w:r w:rsidRPr="00FC4CE9">
        <w:t>2019</w:t>
      </w:r>
      <w:r w:rsidR="50FF1F69" w:rsidRPr="004E243B">
        <w:t>,</w:t>
      </w:r>
      <w:r w:rsidRPr="00FC4CE9">
        <w:t xml:space="preserve"> 'Cultural Determinants of Health Literature Review KKBD'.</w:t>
      </w:r>
    </w:p>
    <w:p w14:paraId="1BB828E5" w14:textId="0D37DBBB" w:rsidR="00DA5975" w:rsidRDefault="00DA5975" w:rsidP="00DA5975">
      <w:pPr>
        <w:pStyle w:val="Body"/>
      </w:pPr>
      <w:r>
        <w:t xml:space="preserve">Department of Land, Water and Planning 2020, </w:t>
      </w:r>
      <w:r w:rsidR="4B657976" w:rsidRPr="004E243B">
        <w:t>‘</w:t>
      </w:r>
      <w:r>
        <w:t xml:space="preserve">Population and Housing in Regional Victoria </w:t>
      </w:r>
      <w:r w:rsidRPr="004E243B">
        <w:t>2019</w:t>
      </w:r>
      <w:r w:rsidR="1F1F7679" w:rsidRPr="004E243B">
        <w:t>’</w:t>
      </w:r>
      <w:r>
        <w:t>, The State of Victoria Department of Environment, Land, Water and Planning 2020, Melbourne</w:t>
      </w:r>
      <w:r w:rsidR="009B7CAE">
        <w:t>.</w:t>
      </w:r>
    </w:p>
    <w:p w14:paraId="097BF092" w14:textId="1BBBD595" w:rsidR="00DA5975" w:rsidRDefault="00000000" w:rsidP="00DA5975">
      <w:pPr>
        <w:pStyle w:val="Body"/>
      </w:pPr>
      <w:hyperlink r:id="rId40" w:history="1"/>
      <w:r w:rsidR="00DA5975" w:rsidRPr="00A71778">
        <w:t>State Government of Victoria. (2016). Discover Victoria’s diverse population</w:t>
      </w:r>
      <w:r w:rsidR="00DA5975" w:rsidRPr="00A71778" w:rsidDel="00897F2E">
        <w:t xml:space="preserve">. </w:t>
      </w:r>
      <w:r w:rsidR="00DA5975" w:rsidRPr="00A71778">
        <w:t xml:space="preserve">Available at: </w:t>
      </w:r>
      <w:bookmarkStart w:id="66" w:name="_Hlk121152790"/>
      <w:r w:rsidR="00C36B2A" w:rsidRPr="00A71778">
        <w:fldChar w:fldCharType="begin"/>
      </w:r>
      <w:r w:rsidR="00C36B2A" w:rsidRPr="00A71778">
        <w:instrText xml:space="preserve"> HYPERLINK "https://www.vic.gov.au/discover-victorias-diverse-population" </w:instrText>
      </w:r>
      <w:r w:rsidR="00C36B2A" w:rsidRPr="00A71778">
        <w:fldChar w:fldCharType="separate"/>
      </w:r>
      <w:r w:rsidR="00DA5975" w:rsidRPr="00A71778">
        <w:rPr>
          <w:rStyle w:val="Hyperlink"/>
        </w:rPr>
        <w:t>https://www.vic.gov.au/discover-victorias-diverse-population</w:t>
      </w:r>
      <w:r w:rsidR="00C36B2A" w:rsidRPr="00A71778">
        <w:rPr>
          <w:rStyle w:val="Hyperlink"/>
        </w:rPr>
        <w:fldChar w:fldCharType="end"/>
      </w:r>
      <w:bookmarkEnd w:id="66"/>
      <w:r w:rsidR="00DA5975" w:rsidRPr="00A71778">
        <w:t>.</w:t>
      </w:r>
      <w:r w:rsidR="00F21671" w:rsidRPr="00A71778">
        <w:t xml:space="preserve"> &lt;https://www.vic.gov.au/discover-victorias-diverse-population&gt;</w:t>
      </w:r>
      <w:r w:rsidR="0012622B">
        <w:t>.</w:t>
      </w:r>
    </w:p>
    <w:p w14:paraId="1884177D" w14:textId="65623A34" w:rsidR="002414A8" w:rsidRPr="00742879" w:rsidRDefault="002414A8" w:rsidP="00DA5975">
      <w:pPr>
        <w:pStyle w:val="Body"/>
      </w:pPr>
      <w:r w:rsidRPr="00742879">
        <w:t>I</w:t>
      </w:r>
      <w:r w:rsidRPr="008162C9">
        <w:t>n</w:t>
      </w:r>
      <w:r w:rsidRPr="00BD4A34">
        <w:t>digenous House of Learning, Self-Determination: Background Concepts; Scoping paper 1</w:t>
      </w:r>
      <w:r w:rsidRPr="00897F2E">
        <w:t xml:space="preserve">. Available at: </w:t>
      </w:r>
      <w:r w:rsidR="0012622B">
        <w:t>&lt;</w:t>
      </w:r>
      <w:r w:rsidRPr="00897F2E">
        <w:t>https://conte</w:t>
      </w:r>
      <w:r w:rsidRPr="007E46AE">
        <w:t>nt.health.vic.gov.au/sites/default/files/migrated/files/collections/research-and-reports/s/self-determination-scoping-paper.pdf</w:t>
      </w:r>
      <w:r w:rsidR="0012622B">
        <w:t>&gt;.</w:t>
      </w:r>
    </w:p>
    <w:p w14:paraId="23C5310F" w14:textId="5275F7A4" w:rsidR="00DA5975" w:rsidRPr="008F38B6" w:rsidDel="00897F2E" w:rsidRDefault="00DA5975" w:rsidP="00897F2E">
      <w:pPr>
        <w:pStyle w:val="Body"/>
        <w:rPr>
          <w:rStyle w:val="BodyChar"/>
          <w:highlight w:val="yellow"/>
        </w:rPr>
      </w:pPr>
      <w:r w:rsidRPr="00F62582">
        <w:t xml:space="preserve">Victorian Agency for Health Information 2021, </w:t>
      </w:r>
      <w:r w:rsidR="102AFAF2" w:rsidRPr="00794D90">
        <w:t>‘</w:t>
      </w:r>
      <w:r w:rsidRPr="00F62582">
        <w:t xml:space="preserve">Victorian Population Health Survey 2019: summary of </w:t>
      </w:r>
      <w:r w:rsidRPr="00794D90">
        <w:t>results</w:t>
      </w:r>
      <w:r w:rsidR="55085AD6" w:rsidRPr="00794D90">
        <w:t>’</w:t>
      </w:r>
      <w:r w:rsidRPr="00F62582">
        <w:t>, State of Victoria, Melbourne.</w:t>
      </w:r>
    </w:p>
    <w:p w14:paraId="5EF7CF49" w14:textId="3A0D406C" w:rsidR="00DA5975" w:rsidRPr="00FC4CE9" w:rsidRDefault="00DA5975" w:rsidP="00DA5975">
      <w:pPr>
        <w:pStyle w:val="Body"/>
      </w:pPr>
      <w:r w:rsidRPr="00C07AC7">
        <w:lastRenderedPageBreak/>
        <w:t xml:space="preserve">Victorian Government, </w:t>
      </w:r>
      <w:hyperlink r:id="rId41">
        <w:r w:rsidRPr="00C07AC7">
          <w:t>Victorian Government Aboriginal Affairs Report 2019</w:t>
        </w:r>
      </w:hyperlink>
      <w:r w:rsidR="00415C4E" w:rsidRPr="00C07AC7">
        <w:t xml:space="preserve">. Available at: </w:t>
      </w:r>
      <w:r w:rsidR="0012622B">
        <w:t>&lt;</w:t>
      </w:r>
      <w:r w:rsidR="00897F2E" w:rsidRPr="00C07AC7">
        <w:t>https://www.firstpeoplesrelations.vic.gov.au/victorian-government-aboriginal-affairs-report-2019</w:t>
      </w:r>
      <w:r w:rsidR="0012622B">
        <w:t>&gt;.</w:t>
      </w:r>
    </w:p>
    <w:p w14:paraId="7042028A" w14:textId="5F6B75B1" w:rsidR="00DA5975" w:rsidRPr="00FC4CE9" w:rsidRDefault="00DA5975" w:rsidP="00DA5975">
      <w:pPr>
        <w:pStyle w:val="Body"/>
      </w:pPr>
      <w:r w:rsidRPr="00FC4CE9">
        <w:t xml:space="preserve">Victorian Multicultural Commission Annual Report 2019-20 (n.d.). [online] Available at: </w:t>
      </w:r>
      <w:r w:rsidR="0012622B">
        <w:t>&lt;</w:t>
      </w:r>
      <w:r w:rsidRPr="00FC4CE9">
        <w:t>https://www.multiculturalcommission.vic.gov.au/sites/default/files/2021-10/Victorian-Multicultural-Commission-2019-20-Annual-Report_1.pdf</w:t>
      </w:r>
      <w:r w:rsidR="0012622B">
        <w:t>&gt;</w:t>
      </w:r>
      <w:r w:rsidRPr="00FC4CE9">
        <w:t xml:space="preserve"> </w:t>
      </w:r>
      <w:r w:rsidR="434BC498" w:rsidRPr="00B57844">
        <w:t>(view</w:t>
      </w:r>
      <w:r w:rsidRPr="00B57844">
        <w:t>ed</w:t>
      </w:r>
      <w:r w:rsidRPr="00FC4CE9">
        <w:t xml:space="preserve"> 12 </w:t>
      </w:r>
      <w:r w:rsidRPr="00B57844">
        <w:t>Oct</w:t>
      </w:r>
      <w:r w:rsidR="1CA21149" w:rsidRPr="00B57844">
        <w:t>ober</w:t>
      </w:r>
      <w:r w:rsidRPr="00FC4CE9">
        <w:t xml:space="preserve"> 2022</w:t>
      </w:r>
      <w:r w:rsidR="656D3761" w:rsidRPr="00B57844">
        <w:t>)</w:t>
      </w:r>
      <w:r w:rsidR="0012622B">
        <w:t>.</w:t>
      </w:r>
    </w:p>
    <w:p w14:paraId="6F652A48" w14:textId="69262112" w:rsidR="00CE50B6" w:rsidRDefault="00BC409A" w:rsidP="00CE50B6">
      <w:pPr>
        <w:pStyle w:val="Body"/>
      </w:pPr>
      <w:r>
        <w:br w:type="page"/>
      </w:r>
    </w:p>
    <w:p w14:paraId="04F20753" w14:textId="1BCAFE3A" w:rsidR="00A134E8" w:rsidRPr="00603DCE" w:rsidRDefault="00603DCE" w:rsidP="00603DCE">
      <w:pPr>
        <w:pStyle w:val="Heading1"/>
      </w:pPr>
      <w:bookmarkStart w:id="67" w:name="_Toc116981327"/>
      <w:bookmarkStart w:id="68" w:name="_Toc128138646"/>
      <w:r>
        <w:lastRenderedPageBreak/>
        <w:t xml:space="preserve">Chapter </w:t>
      </w:r>
      <w:r w:rsidR="0038134B">
        <w:t>7</w:t>
      </w:r>
      <w:r>
        <w:t xml:space="preserve"> </w:t>
      </w:r>
      <w:r w:rsidR="003348A3">
        <w:t>–</w:t>
      </w:r>
      <w:r>
        <w:t xml:space="preserve"> </w:t>
      </w:r>
      <w:r w:rsidR="004D77E2" w:rsidRPr="00603DCE">
        <w:t>Health Inequalities</w:t>
      </w:r>
      <w:bookmarkEnd w:id="67"/>
      <w:bookmarkEnd w:id="68"/>
      <w:r w:rsidR="004D77E2" w:rsidRPr="00603DCE">
        <w:t xml:space="preserve"> </w:t>
      </w:r>
    </w:p>
    <w:p w14:paraId="58602C95" w14:textId="73F9CC23" w:rsidR="00B06A8B" w:rsidRPr="00CC71E3" w:rsidRDefault="007729F7" w:rsidP="00233F82">
      <w:pPr>
        <w:pStyle w:val="Body"/>
        <w:rPr>
          <w:rFonts w:cs="Arial"/>
          <w:color w:val="111111"/>
        </w:rPr>
      </w:pPr>
      <w:r w:rsidRPr="00233F82">
        <w:t xml:space="preserve">The Victorian Health Promotion Foundation (VicHealth) </w:t>
      </w:r>
      <w:r w:rsidR="0096215E">
        <w:t>has been a</w:t>
      </w:r>
      <w:r w:rsidR="0096215E" w:rsidRPr="00233F82">
        <w:t xml:space="preserve"> pioneer</w:t>
      </w:r>
      <w:r w:rsidRPr="00233F82">
        <w:t xml:space="preserve"> in health promotion</w:t>
      </w:r>
      <w:r w:rsidR="0096215E">
        <w:t xml:space="preserve"> since 1987</w:t>
      </w:r>
      <w:r w:rsidR="00B06A8B">
        <w:t xml:space="preserve">. </w:t>
      </w:r>
      <w:r w:rsidR="00A2040D" w:rsidRPr="00CC71E3">
        <w:rPr>
          <w:rFonts w:cs="Arial"/>
        </w:rPr>
        <w:t>It’s</w:t>
      </w:r>
      <w:r w:rsidR="00B06A8B" w:rsidRPr="00CC71E3">
        <w:rPr>
          <w:rFonts w:cs="Arial"/>
        </w:rPr>
        <w:t xml:space="preserve"> </w:t>
      </w:r>
      <w:bookmarkStart w:id="69" w:name="_Hlk121152848"/>
      <w:r w:rsidR="00C36B2A" w:rsidRPr="00CC71E3">
        <w:fldChar w:fldCharType="begin"/>
      </w:r>
      <w:r w:rsidR="00C36B2A" w:rsidRPr="00CC71E3">
        <w:rPr>
          <w:rFonts w:cs="Arial"/>
        </w:rPr>
        <w:instrText xml:space="preserve"> HYPERLINK "https://www.vichealth.vic.gov.au/-/media/ResourceCentre/PublicationsandResources/Health-Inequalities/The-VicHealth-Health-Equity-Strategy-2017-19.pdf?la=en&amp;hash=DE7A49041CDF9AA2E0E6524A3E80A45F29182524" </w:instrText>
      </w:r>
      <w:r w:rsidR="00C36B2A" w:rsidRPr="00CC71E3">
        <w:fldChar w:fldCharType="separate"/>
      </w:r>
      <w:r w:rsidR="00B06A8B" w:rsidRPr="00CC71E3">
        <w:rPr>
          <w:rStyle w:val="Hyperlink"/>
          <w:rFonts w:eastAsia="MS Gothic" w:cs="Arial"/>
        </w:rPr>
        <w:t>VicHealth Health Equity Strategy 2017-2019</w:t>
      </w:r>
      <w:r w:rsidR="00C36B2A" w:rsidRPr="00CC71E3">
        <w:rPr>
          <w:rStyle w:val="Hyperlink"/>
          <w:rFonts w:eastAsia="MS Gothic" w:cs="Arial"/>
        </w:rPr>
        <w:fldChar w:fldCharType="end"/>
      </w:r>
      <w:bookmarkEnd w:id="69"/>
      <w:r w:rsidR="00B06A8B" w:rsidRPr="00CC71E3">
        <w:rPr>
          <w:rFonts w:cs="Arial"/>
        </w:rPr>
        <w:t xml:space="preserve"> </w:t>
      </w:r>
      <w:r w:rsidR="003348A3" w:rsidRPr="00CC71E3">
        <w:rPr>
          <w:rFonts w:cs="Arial"/>
        </w:rPr>
        <w:t xml:space="preserve">– </w:t>
      </w:r>
      <w:r w:rsidR="00B06A8B" w:rsidRPr="00CC71E3">
        <w:rPr>
          <w:rFonts w:cs="Arial"/>
          <w:i/>
          <w:iCs/>
          <w:color w:val="111111"/>
        </w:rPr>
        <w:t>Fair Foundations: The VicHealth framework for health equity</w:t>
      </w:r>
      <w:r w:rsidR="00B06A8B" w:rsidRPr="00CC71E3">
        <w:rPr>
          <w:rFonts w:cs="Arial"/>
          <w:color w:val="111111"/>
        </w:rPr>
        <w:t xml:space="preserve"> </w:t>
      </w:r>
      <w:r w:rsidR="003348A3" w:rsidRPr="00CC71E3">
        <w:rPr>
          <w:rFonts w:cs="Arial"/>
          <w:color w:val="111111"/>
        </w:rPr>
        <w:t>–</w:t>
      </w:r>
      <w:r w:rsidR="00A92E7E" w:rsidRPr="00CC71E3">
        <w:rPr>
          <w:rFonts w:cs="Arial"/>
          <w:color w:val="111111"/>
        </w:rPr>
        <w:t xml:space="preserve"> describes </w:t>
      </w:r>
      <w:r w:rsidR="00B06A8B" w:rsidRPr="00CC71E3">
        <w:rPr>
          <w:rFonts w:cs="Arial"/>
          <w:color w:val="111111"/>
        </w:rPr>
        <w:t>the distinction between health inequalities and health inequities</w:t>
      </w:r>
      <w:r w:rsidR="003348A3" w:rsidRPr="00CC71E3">
        <w:rPr>
          <w:rFonts w:cs="Arial"/>
          <w:color w:val="111111"/>
        </w:rPr>
        <w:t>.</w:t>
      </w:r>
      <w:r w:rsidR="00CC71E3">
        <w:rPr>
          <w:rFonts w:cs="Arial"/>
          <w:color w:val="111111"/>
        </w:rPr>
        <w:t xml:space="preserve"> &lt;</w:t>
      </w:r>
      <w:r w:rsidR="00CC71E3" w:rsidRPr="00CC71E3">
        <w:rPr>
          <w:rFonts w:cs="Arial"/>
          <w:color w:val="111111"/>
        </w:rPr>
        <w:t>https://www.vichealth.vic.gov.au/-/media/ResourceCentre/PublicationsandResources/Health-Inequalities/The-VicHealth-Health-Equity-Strategy-2017-19.pdf?la=en&amp;hash=DE7A49041CDF9AA2E0E6524A3E80A45F29182524</w:t>
      </w:r>
      <w:r w:rsidR="00CC71E3">
        <w:rPr>
          <w:rFonts w:cs="Arial"/>
          <w:color w:val="111111"/>
        </w:rPr>
        <w:t>&gt;</w:t>
      </w:r>
      <w:r w:rsidR="00EC219F">
        <w:rPr>
          <w:rFonts w:cs="Arial"/>
          <w:color w:val="111111"/>
        </w:rPr>
        <w:t>.</w:t>
      </w:r>
    </w:p>
    <w:p w14:paraId="790ACCD7" w14:textId="02233664" w:rsidR="003348A3" w:rsidRPr="00CC71E3" w:rsidRDefault="003348A3" w:rsidP="00233F82">
      <w:pPr>
        <w:pStyle w:val="Body"/>
        <w:rPr>
          <w:rFonts w:cs="Arial"/>
          <w:color w:val="111111"/>
        </w:rPr>
      </w:pPr>
      <w:r w:rsidRPr="00CC71E3">
        <w:rPr>
          <w:rFonts w:cs="Arial"/>
          <w:color w:val="111111"/>
        </w:rPr>
        <w:t>According to VicHealth:</w:t>
      </w:r>
    </w:p>
    <w:p w14:paraId="7C9B40BE" w14:textId="2D5DB9EE" w:rsidR="00B06A8B" w:rsidRPr="00233F82" w:rsidRDefault="00B06A8B" w:rsidP="007A383F">
      <w:pPr>
        <w:pStyle w:val="Bullet1"/>
      </w:pPr>
      <w:r w:rsidRPr="00233F82">
        <w:t>Health inequalities are differences in health status between population groups</w:t>
      </w:r>
      <w:r w:rsidR="003348A3">
        <w:t>.</w:t>
      </w:r>
    </w:p>
    <w:p w14:paraId="3BE5A77F" w14:textId="769E3A4C" w:rsidR="002C791B" w:rsidRDefault="00B06A8B" w:rsidP="007A383F">
      <w:pPr>
        <w:pStyle w:val="Bullet1"/>
      </w:pPr>
      <w:r w:rsidRPr="00233F82">
        <w:t>Health inequities are differences in health status between population groups that are socially produced, systematic in their unequal distribution across the population, avoidable</w:t>
      </w:r>
      <w:r w:rsidR="003348A3">
        <w:t>,</w:t>
      </w:r>
      <w:r w:rsidRPr="00233F82">
        <w:t xml:space="preserve"> and unfair</w:t>
      </w:r>
      <w:r w:rsidR="00F3753A" w:rsidDel="00676C31">
        <w:t xml:space="preserve"> </w:t>
      </w:r>
      <w:r w:rsidR="00011568">
        <w:t>(</w:t>
      </w:r>
      <w:bookmarkStart w:id="70" w:name="_Hlk121152889"/>
      <w:r w:rsidR="00C36B2A">
        <w:fldChar w:fldCharType="begin"/>
      </w:r>
      <w:r w:rsidR="00C36B2A">
        <w:instrText xml:space="preserve"> HYPERLINK "https://www.vichealth.vic.gov.au/media-and-resources/publications/the-vichealth-framework-for-health-equity" \h </w:instrText>
      </w:r>
      <w:r w:rsidR="00C36B2A">
        <w:fldChar w:fldCharType="separate"/>
      </w:r>
      <w:r w:rsidR="004E20B9" w:rsidRPr="0C533E9E">
        <w:rPr>
          <w:rStyle w:val="Hyperlink"/>
        </w:rPr>
        <w:t>VicHealth</w:t>
      </w:r>
      <w:r w:rsidR="00C36B2A">
        <w:rPr>
          <w:rStyle w:val="Hyperlink"/>
        </w:rPr>
        <w:fldChar w:fldCharType="end"/>
      </w:r>
      <w:bookmarkEnd w:id="70"/>
      <w:r w:rsidR="00F3753A">
        <w:rPr>
          <w:rStyle w:val="Hyperlink"/>
        </w:rPr>
        <w:t>, 2015</w:t>
      </w:r>
      <w:r w:rsidR="004E20B9">
        <w:t>)</w:t>
      </w:r>
      <w:r w:rsidR="003348A3">
        <w:t>.</w:t>
      </w:r>
      <w:r w:rsidR="00106D30">
        <w:t xml:space="preserve"> &lt;</w:t>
      </w:r>
      <w:r w:rsidR="00106D30" w:rsidRPr="00106D30">
        <w:t>https://www.vichealth.vic.gov.au/media-and-resources/publications/the-vichealth-framework-for-health-equity</w:t>
      </w:r>
      <w:r w:rsidR="00106D30">
        <w:t>&gt;</w:t>
      </w:r>
      <w:r w:rsidR="00EC219F">
        <w:t>.</w:t>
      </w:r>
    </w:p>
    <w:p w14:paraId="3392D228" w14:textId="3595FE39" w:rsidR="000454B8" w:rsidRPr="004C1D67" w:rsidRDefault="00944E5F" w:rsidP="004C1D67">
      <w:pPr>
        <w:pStyle w:val="Body"/>
      </w:pPr>
      <w:r>
        <w:t xml:space="preserve">Climate change </w:t>
      </w:r>
      <w:r w:rsidR="00E058BD">
        <w:t>is exacerbating existing inequalities</w:t>
      </w:r>
      <w:r w:rsidR="003348A3">
        <w:t xml:space="preserve"> </w:t>
      </w:r>
      <w:r w:rsidR="007015BC">
        <w:t xml:space="preserve">through </w:t>
      </w:r>
      <w:r w:rsidR="003348A3">
        <w:t xml:space="preserve">the </w:t>
      </w:r>
      <w:r w:rsidR="00E32D1F">
        <w:t xml:space="preserve">greater </w:t>
      </w:r>
      <w:r w:rsidR="00383DD9">
        <w:t xml:space="preserve">exposure and </w:t>
      </w:r>
      <w:r w:rsidR="00E32D1F">
        <w:t xml:space="preserve">vulnerability of </w:t>
      </w:r>
      <w:r w:rsidR="00CD3297">
        <w:t>priority</w:t>
      </w:r>
      <w:r w:rsidR="00E32D1F">
        <w:t xml:space="preserve"> </w:t>
      </w:r>
      <w:r w:rsidR="00891914">
        <w:t>groups</w:t>
      </w:r>
      <w:r w:rsidR="00AE6A1E">
        <w:t xml:space="preserve"> to climate hazards</w:t>
      </w:r>
      <w:r w:rsidR="00AB7247">
        <w:t xml:space="preserve"> and </w:t>
      </w:r>
      <w:r w:rsidR="00B01E1F">
        <w:t xml:space="preserve">the </w:t>
      </w:r>
      <w:r w:rsidR="00AB7247">
        <w:t xml:space="preserve">disproportionate loss </w:t>
      </w:r>
      <w:r w:rsidR="00B01E1F">
        <w:t>of</w:t>
      </w:r>
      <w:r w:rsidR="00AB7247">
        <w:t xml:space="preserve"> assets and incomes </w:t>
      </w:r>
      <w:r w:rsidR="00162938">
        <w:t xml:space="preserve">experienced by </w:t>
      </w:r>
      <w:r w:rsidR="00267B71">
        <w:t>these groups</w:t>
      </w:r>
      <w:r w:rsidR="00BF579A">
        <w:t xml:space="preserve"> (</w:t>
      </w:r>
      <w:r w:rsidR="00290A27">
        <w:t xml:space="preserve">Nazrul Islam </w:t>
      </w:r>
      <w:r w:rsidR="00064F6C">
        <w:t xml:space="preserve">and Winkel </w:t>
      </w:r>
      <w:r w:rsidR="00960701">
        <w:t>2017)</w:t>
      </w:r>
      <w:r w:rsidR="00267B71">
        <w:t xml:space="preserve">. </w:t>
      </w:r>
    </w:p>
    <w:p w14:paraId="067FE660" w14:textId="77777777" w:rsidR="009F409E" w:rsidRPr="00C153E5" w:rsidRDefault="009F409E" w:rsidP="00C153E5">
      <w:pPr>
        <w:pStyle w:val="Heading3"/>
      </w:pPr>
      <w:r w:rsidRPr="00C153E5">
        <w:t>Determinants of health</w:t>
      </w:r>
    </w:p>
    <w:p w14:paraId="73B5B714" w14:textId="5D2742D9" w:rsidR="009F409E" w:rsidRPr="00C153E5" w:rsidRDefault="009F409E" w:rsidP="00C153E5">
      <w:pPr>
        <w:pStyle w:val="Body"/>
      </w:pPr>
      <w:r w:rsidRPr="00C153E5">
        <w:t>Health is determined by a complex interaction between genetic inheritance, behavioural risk factors (also known as health behaviours or lifestyle risk factors), access to quality and affordable healthcare, and the social determinants of health (Tarlov</w:t>
      </w:r>
      <w:r w:rsidR="003348A3">
        <w:t>,</w:t>
      </w:r>
      <w:r w:rsidRPr="00C153E5">
        <w:t xml:space="preserve"> 1990).</w:t>
      </w:r>
    </w:p>
    <w:p w14:paraId="4E12046C" w14:textId="77777777" w:rsidR="009F409E" w:rsidRPr="001D13E5" w:rsidRDefault="009F409E" w:rsidP="001D13E5">
      <w:pPr>
        <w:pStyle w:val="Body"/>
      </w:pPr>
      <w:r w:rsidRPr="001D13E5">
        <w:t xml:space="preserve">It is the social determinants that make the largest impact on health, followed in descending order by behavioural risk factors, access to quality healthcare, and genetic inheritance. </w:t>
      </w:r>
    </w:p>
    <w:p w14:paraId="24408AF0" w14:textId="489763BD" w:rsidR="009F409E" w:rsidRPr="001D13E5" w:rsidRDefault="009F409E" w:rsidP="001D13E5">
      <w:pPr>
        <w:pStyle w:val="Heading3"/>
      </w:pPr>
      <w:r w:rsidRPr="001D13E5">
        <w:t>The social determinants of health</w:t>
      </w:r>
    </w:p>
    <w:p w14:paraId="5B1EDBA6" w14:textId="2C22E5EC" w:rsidR="009F409E" w:rsidRPr="001D13E5" w:rsidRDefault="009F409E" w:rsidP="001D13E5">
      <w:pPr>
        <w:pStyle w:val="Body"/>
        <w:rPr>
          <w:rFonts w:ascii="Helvetica" w:eastAsia="Helvetica" w:hAnsi="Helvetica" w:cs="Helvetica"/>
          <w:sz w:val="20"/>
        </w:rPr>
      </w:pPr>
      <w:r w:rsidRPr="001D13E5">
        <w:t xml:space="preserve">The World Health Organization (WHO) defines the social determinants of health as: </w:t>
      </w:r>
      <w:r w:rsidR="003348A3">
        <w:t>'T</w:t>
      </w:r>
      <w:r w:rsidRPr="001D13E5">
        <w:t>he conditions in which people are born, grow, work, live, and age, and the wider set of forces and systems shaping the conditions of daily life</w:t>
      </w:r>
      <w:r w:rsidR="003348A3">
        <w:t>’</w:t>
      </w:r>
      <w:r w:rsidRPr="001D13E5">
        <w:t xml:space="preserve"> </w:t>
      </w:r>
      <w:r w:rsidR="003348A3">
        <w:t xml:space="preserve">– </w:t>
      </w:r>
      <w:r w:rsidRPr="001D13E5">
        <w:t>including the distribution of money, power</w:t>
      </w:r>
      <w:r w:rsidR="003348A3">
        <w:t>,</w:t>
      </w:r>
      <w:r w:rsidRPr="001D13E5">
        <w:t xml:space="preserve"> and resources (</w:t>
      </w:r>
      <w:r w:rsidR="003348A3">
        <w:t xml:space="preserve">WHO, </w:t>
      </w:r>
      <w:r w:rsidRPr="001D13E5">
        <w:t xml:space="preserve">2008). </w:t>
      </w:r>
    </w:p>
    <w:p w14:paraId="49DD4D90" w14:textId="77777777" w:rsidR="009F409E" w:rsidRPr="001D13E5" w:rsidRDefault="009F409E" w:rsidP="001D13E5">
      <w:pPr>
        <w:pStyle w:val="Body"/>
      </w:pPr>
      <w:r w:rsidRPr="001D13E5">
        <w:t>The WHO report recognises 10 social determinants of health: the social gradient (socioeconomic status), stress, early life, social exclusion, work, unemployment, social support, addiction, food, and transport.</w:t>
      </w:r>
    </w:p>
    <w:p w14:paraId="49F57A7C" w14:textId="285114C5" w:rsidR="009F409E" w:rsidRPr="001D13E5" w:rsidRDefault="009F409E" w:rsidP="001D13E5">
      <w:pPr>
        <w:pStyle w:val="Body"/>
      </w:pPr>
      <w:r w:rsidRPr="001D13E5">
        <w:t>Although social determinants make the greatest contribution to health, public health practice among high-income countries continues to place the primary focus on the behaviours of individuals that pose a risk to health</w:t>
      </w:r>
      <w:r w:rsidR="003348A3">
        <w:t xml:space="preserve"> – or </w:t>
      </w:r>
      <w:r w:rsidRPr="001D13E5">
        <w:t>behavioural risk factors (Baum</w:t>
      </w:r>
      <w:r w:rsidR="003348A3">
        <w:t>,</w:t>
      </w:r>
      <w:r w:rsidRPr="001D13E5">
        <w:t xml:space="preserve"> 2011). This </w:t>
      </w:r>
      <w:r w:rsidR="003348A3">
        <w:t xml:space="preserve">approach </w:t>
      </w:r>
      <w:r w:rsidRPr="001D13E5">
        <w:t xml:space="preserve">may be partly due to the domination of the biomedical model of health in guiding modern clinical medicine and epidemiology (Ansari </w:t>
      </w:r>
      <w:r w:rsidRPr="001112D4">
        <w:t>et al</w:t>
      </w:r>
      <w:r w:rsidR="003348A3">
        <w:t>,</w:t>
      </w:r>
      <w:r w:rsidRPr="001D13E5">
        <w:t xml:space="preserve"> 2003). The biomedical model of health attributes disease to proximate biological factors at the individual</w:t>
      </w:r>
      <w:r w:rsidR="005149A9">
        <w:t xml:space="preserve"> level</w:t>
      </w:r>
      <w:r w:rsidRPr="001D13E5">
        <w:t>, and largely ignores the psychological, social, cultural, economic, and environmental causes of ill-health (Johnson</w:t>
      </w:r>
      <w:r w:rsidR="005149A9">
        <w:t>,</w:t>
      </w:r>
      <w:r w:rsidRPr="001D13E5">
        <w:t xml:space="preserve"> 2013).</w:t>
      </w:r>
    </w:p>
    <w:p w14:paraId="6968B379" w14:textId="2C25E817" w:rsidR="009F409E" w:rsidRPr="001D13E5" w:rsidRDefault="009F409E" w:rsidP="001D13E5">
      <w:pPr>
        <w:pStyle w:val="Body"/>
      </w:pPr>
      <w:r w:rsidRPr="001D13E5">
        <w:t xml:space="preserve">The policy and intervention implications of </w:t>
      </w:r>
      <w:r w:rsidR="005149A9">
        <w:t xml:space="preserve">the biomedical model </w:t>
      </w:r>
      <w:r w:rsidRPr="001D13E5">
        <w:t>are that chronic diseases can be prevented through the adoption of healthy behavioural choices</w:t>
      </w:r>
      <w:r w:rsidR="005149A9">
        <w:t>. This approach</w:t>
      </w:r>
      <w:r w:rsidRPr="001D13E5">
        <w:t xml:space="preserve"> </w:t>
      </w:r>
      <w:r w:rsidR="005149A9">
        <w:t xml:space="preserve">avoids social determinants of disease by </w:t>
      </w:r>
      <w:r w:rsidRPr="001D13E5">
        <w:t>inferring disease in populations can be fully explained by risk factors for disease in individuals (Shy</w:t>
      </w:r>
      <w:r w:rsidR="005149A9">
        <w:t>,</w:t>
      </w:r>
      <w:r w:rsidRPr="001D13E5">
        <w:t xml:space="preserve"> 1997).</w:t>
      </w:r>
    </w:p>
    <w:p w14:paraId="70BA0D49" w14:textId="74F7F58D" w:rsidR="009F409E" w:rsidRPr="001D13E5" w:rsidRDefault="005149A9" w:rsidP="001D13E5">
      <w:pPr>
        <w:pStyle w:val="Body"/>
      </w:pPr>
      <w:r>
        <w:lastRenderedPageBreak/>
        <w:t>C</w:t>
      </w:r>
      <w:r w:rsidR="009F409E" w:rsidRPr="001D13E5">
        <w:t xml:space="preserve">urrent evidence suggests that the gains to be made by addressing behavioural risk factors are </w:t>
      </w:r>
      <w:r>
        <w:t xml:space="preserve">less </w:t>
      </w:r>
      <w:r w:rsidR="009F409E" w:rsidRPr="001D13E5">
        <w:t xml:space="preserve">than the gains </w:t>
      </w:r>
      <w:r>
        <w:t xml:space="preserve">to </w:t>
      </w:r>
      <w:r w:rsidR="009F409E" w:rsidRPr="001D13E5">
        <w:t>be made by addressing the social determinants of health (Tarlov</w:t>
      </w:r>
      <w:r>
        <w:t>,</w:t>
      </w:r>
      <w:r w:rsidR="009F409E" w:rsidRPr="001D13E5">
        <w:t xml:space="preserve"> 1999) (Braveman </w:t>
      </w:r>
      <w:r w:rsidR="009F409E" w:rsidRPr="001112D4">
        <w:t>et al</w:t>
      </w:r>
      <w:r>
        <w:t>,</w:t>
      </w:r>
      <w:r w:rsidR="009F409E" w:rsidRPr="001D13E5">
        <w:t xml:space="preserve"> 2011). For example, a risk</w:t>
      </w:r>
      <w:r>
        <w:t>-</w:t>
      </w:r>
      <w:r w:rsidR="009F409E" w:rsidRPr="001D13E5">
        <w:t>factor analysis found that 29 risk factors</w:t>
      </w:r>
      <w:r>
        <w:t xml:space="preserve"> (</w:t>
      </w:r>
      <w:r w:rsidR="009F409E" w:rsidRPr="001D13E5">
        <w:t>of which 27 were behavioural</w:t>
      </w:r>
      <w:r>
        <w:t>)</w:t>
      </w:r>
      <w:r w:rsidR="009F409E" w:rsidRPr="001D13E5">
        <w:t xml:space="preserve"> </w:t>
      </w:r>
      <w:r>
        <w:t xml:space="preserve">accounted for </w:t>
      </w:r>
      <w:r w:rsidR="009F409E" w:rsidRPr="001D13E5">
        <w:t>only 31.5</w:t>
      </w:r>
      <w:r w:rsidR="0005041A" w:rsidRPr="0005041A">
        <w:t xml:space="preserve"> </w:t>
      </w:r>
      <w:r w:rsidR="0005041A">
        <w:t>per cent</w:t>
      </w:r>
      <w:r w:rsidR="009F409E" w:rsidRPr="001D13E5">
        <w:t xml:space="preserve"> of the total burden of disease and injury in Australia in 2011 (</w:t>
      </w:r>
      <w:r w:rsidR="000A5D79">
        <w:t>AIHW</w:t>
      </w:r>
      <w:r>
        <w:t>,</w:t>
      </w:r>
      <w:r w:rsidR="009F409E" w:rsidRPr="001D13E5">
        <w:t xml:space="preserve"> 2016).</w:t>
      </w:r>
    </w:p>
    <w:p w14:paraId="2C9C8BAD" w14:textId="1698C7AB" w:rsidR="009F409E" w:rsidRPr="00BA2DF3" w:rsidRDefault="005149A9" w:rsidP="001D13E5">
      <w:pPr>
        <w:pStyle w:val="Body"/>
      </w:pPr>
      <w:r>
        <w:t>T</w:t>
      </w:r>
      <w:r w:rsidR="009F409E" w:rsidRPr="00BA2DF3">
        <w:t xml:space="preserve">he focus on behavioural risk factors is predicated on the assumption that all individuals in a society are equally free and able to choose a healthy lifestyle. Therefore, </w:t>
      </w:r>
      <w:r>
        <w:t xml:space="preserve">individuals </w:t>
      </w:r>
      <w:r w:rsidR="009F409E" w:rsidRPr="00BA2DF3">
        <w:t xml:space="preserve">who engage in unhealthy behaviours are seen to be </w:t>
      </w:r>
      <w:r>
        <w:t xml:space="preserve">people </w:t>
      </w:r>
      <w:r w:rsidR="009F409E" w:rsidRPr="00BA2DF3">
        <w:t xml:space="preserve">engaging in irresponsible behaviour </w:t>
      </w:r>
      <w:r>
        <w:t xml:space="preserve">who need </w:t>
      </w:r>
      <w:r w:rsidR="009F409E" w:rsidRPr="00BA2DF3">
        <w:t xml:space="preserve">to be held </w:t>
      </w:r>
      <w:r>
        <w:t xml:space="preserve">to </w:t>
      </w:r>
      <w:r w:rsidR="009F409E" w:rsidRPr="00BA2DF3">
        <w:t>account</w:t>
      </w:r>
      <w:r>
        <w:t xml:space="preserve"> </w:t>
      </w:r>
      <w:r w:rsidR="009F409E" w:rsidRPr="00BA2DF3">
        <w:t xml:space="preserve">for their own ill-health (Brown 2013). This </w:t>
      </w:r>
      <w:r>
        <w:t xml:space="preserve">narrow approach </w:t>
      </w:r>
      <w:r w:rsidR="009F409E" w:rsidRPr="00BA2DF3">
        <w:t xml:space="preserve">stigmatises </w:t>
      </w:r>
      <w:r>
        <w:t xml:space="preserve">people </w:t>
      </w:r>
      <w:r w:rsidR="009F409E" w:rsidRPr="00BA2DF3">
        <w:t xml:space="preserve">who engage in unhealthy behaviours </w:t>
      </w:r>
      <w:r>
        <w:t xml:space="preserve">and </w:t>
      </w:r>
      <w:r w:rsidR="009F409E" w:rsidRPr="00BA2DF3">
        <w:t xml:space="preserve">shifts the focus of responsibility for </w:t>
      </w:r>
      <w:r>
        <w:t xml:space="preserve">public </w:t>
      </w:r>
      <w:r w:rsidR="009F409E" w:rsidRPr="00BA2DF3">
        <w:t xml:space="preserve">health away from the government and private sector </w:t>
      </w:r>
      <w:r>
        <w:t>on</w:t>
      </w:r>
      <w:r w:rsidR="009F409E" w:rsidRPr="00BA2DF3">
        <w:t xml:space="preserve">to the </w:t>
      </w:r>
      <w:r>
        <w:t xml:space="preserve">private </w:t>
      </w:r>
      <w:r w:rsidR="009F409E" w:rsidRPr="00BA2DF3">
        <w:t>individual (Baum</w:t>
      </w:r>
      <w:r>
        <w:t>,</w:t>
      </w:r>
      <w:r w:rsidR="009F409E" w:rsidRPr="00BA2DF3">
        <w:t xml:space="preserve"> 2011) (Baum and Fisher</w:t>
      </w:r>
      <w:r>
        <w:t>,</w:t>
      </w:r>
      <w:r w:rsidR="009F409E" w:rsidRPr="00BA2DF3">
        <w:t xml:space="preserve"> 2011</w:t>
      </w:r>
      <w:r w:rsidR="009F409E" w:rsidRPr="352A14CF">
        <w:t>)</w:t>
      </w:r>
      <w:r w:rsidR="009F409E" w:rsidRPr="00BA2DF3">
        <w:t>.</w:t>
      </w:r>
    </w:p>
    <w:p w14:paraId="0CA743E4" w14:textId="5ACFA985" w:rsidR="009F409E" w:rsidRPr="00BA2DF3" w:rsidRDefault="005149A9" w:rsidP="001D13E5">
      <w:pPr>
        <w:pStyle w:val="Body"/>
      </w:pPr>
      <w:r>
        <w:t xml:space="preserve">This individualised approach doesn’t take into account, for instance, that </w:t>
      </w:r>
      <w:r w:rsidR="009F409E" w:rsidRPr="00BA2DF3">
        <w:t>an individual may consume a nutritionally poor</w:t>
      </w:r>
      <w:r>
        <w:t xml:space="preserve">, </w:t>
      </w:r>
      <w:r w:rsidR="009F409E" w:rsidRPr="00BA2DF3">
        <w:t xml:space="preserve">obesogenic </w:t>
      </w:r>
      <w:r>
        <w:t xml:space="preserve">diet </w:t>
      </w:r>
      <w:r w:rsidR="009F409E" w:rsidRPr="00BA2DF3">
        <w:t xml:space="preserve">out of necessity </w:t>
      </w:r>
      <w:r>
        <w:t xml:space="preserve">rather than </w:t>
      </w:r>
      <w:r w:rsidR="009F409E" w:rsidRPr="00BA2DF3">
        <w:t>choice because they lack the economic resources to purchase more expensive healthier dietary options</w:t>
      </w:r>
      <w:r>
        <w:t xml:space="preserve">. Likewise, </w:t>
      </w:r>
      <w:r w:rsidR="00A6584F">
        <w:t xml:space="preserve">people </w:t>
      </w:r>
      <w:r w:rsidR="009F409E" w:rsidRPr="00BA2DF3">
        <w:t>may smoke or take recreational drugs to cope with stressful and disadvantaged circumstances (Baum</w:t>
      </w:r>
      <w:r w:rsidR="00A6584F">
        <w:t>,</w:t>
      </w:r>
      <w:r w:rsidR="009F409E" w:rsidRPr="00BA2DF3">
        <w:t xml:space="preserve"> 2011).</w:t>
      </w:r>
      <w:r w:rsidR="00A6584F">
        <w:t xml:space="preserve"> The </w:t>
      </w:r>
      <w:r w:rsidR="009F409E" w:rsidRPr="00BA2DF3">
        <w:t>focus</w:t>
      </w:r>
      <w:r w:rsidR="00A6584F">
        <w:t xml:space="preserve"> </w:t>
      </w:r>
      <w:r w:rsidR="009F409E" w:rsidRPr="00BA2DF3">
        <w:t>on behavioural risk factors</w:t>
      </w:r>
      <w:r w:rsidR="00A6584F">
        <w:t xml:space="preserve"> entrenches and exacerbates </w:t>
      </w:r>
      <w:r w:rsidR="009F409E" w:rsidRPr="00BA2DF3">
        <w:t xml:space="preserve">health inequalities because </w:t>
      </w:r>
      <w:r w:rsidR="00A6584F">
        <w:t>people</w:t>
      </w:r>
      <w:r w:rsidR="009F409E" w:rsidRPr="00BA2DF3">
        <w:t xml:space="preserve"> </w:t>
      </w:r>
      <w:r w:rsidR="00A6584F">
        <w:t xml:space="preserve">higher </w:t>
      </w:r>
      <w:r w:rsidR="009F409E" w:rsidRPr="00BA2DF3">
        <w:t>up the socioeconomic ladder have less stressful lives, more resources, and greater motivation to alter their behaviour (Baum and Fisher</w:t>
      </w:r>
      <w:r w:rsidR="00A6584F">
        <w:t>,</w:t>
      </w:r>
      <w:r w:rsidR="009F409E" w:rsidRPr="00BA2DF3">
        <w:t xml:space="preserve"> 2011).</w:t>
      </w:r>
    </w:p>
    <w:p w14:paraId="07E445B8" w14:textId="2E5567A7" w:rsidR="009F409E" w:rsidRDefault="009F409E" w:rsidP="00C4361A">
      <w:pPr>
        <w:pStyle w:val="Body"/>
      </w:pPr>
      <w:r w:rsidRPr="062923B3">
        <w:t>Despite the vast amount of published literature in health promotion, there is little supporting evidence that health promotion interventions designed to promote behavioural change in individuals work. A Cochrane systematic review</w:t>
      </w:r>
      <w:r w:rsidR="00A6584F">
        <w:t xml:space="preserve">, which </w:t>
      </w:r>
      <w:r w:rsidRPr="062923B3">
        <w:t>evaluated the effectiveness of interventions to reduce behavioural risk factors</w:t>
      </w:r>
      <w:r w:rsidR="00A6584F">
        <w:t>,</w:t>
      </w:r>
      <w:r w:rsidRPr="062923B3">
        <w:t xml:space="preserve"> concluded that the balance of evidence show</w:t>
      </w:r>
      <w:r w:rsidR="00A6584F">
        <w:t>ed</w:t>
      </w:r>
      <w:r w:rsidRPr="062923B3">
        <w:t xml:space="preserve"> that health promotion interventions </w:t>
      </w:r>
      <w:r w:rsidR="00A6584F">
        <w:t xml:space="preserve">had </w:t>
      </w:r>
      <w:r w:rsidRPr="062923B3">
        <w:t xml:space="preserve">limited success, </w:t>
      </w:r>
      <w:r w:rsidR="00A6584F">
        <w:t xml:space="preserve">but the </w:t>
      </w:r>
      <w:r w:rsidRPr="062923B3">
        <w:t xml:space="preserve">often modest improvements are not sustained in the long-term (Ebrahim </w:t>
      </w:r>
      <w:r w:rsidRPr="001112D4">
        <w:t>et al</w:t>
      </w:r>
      <w:r w:rsidR="00A6584F">
        <w:t>,</w:t>
      </w:r>
      <w:r w:rsidRPr="062923B3">
        <w:t xml:space="preserve"> 2011).</w:t>
      </w:r>
      <w:r w:rsidR="00071D89">
        <w:t xml:space="preserve"> T</w:t>
      </w:r>
      <w:r w:rsidR="00A6584F">
        <w:t xml:space="preserve">he Cochrane review </w:t>
      </w:r>
      <w:r w:rsidR="00071D89">
        <w:t xml:space="preserve">reinforces the importance of </w:t>
      </w:r>
      <w:r w:rsidR="00460156">
        <w:t xml:space="preserve">community-wide, structural influences on health, such as </w:t>
      </w:r>
      <w:r w:rsidR="00581E84">
        <w:t xml:space="preserve">green space for exercise, access to affordable fresh healthy food, </w:t>
      </w:r>
      <w:r w:rsidR="000F49F4">
        <w:t>factors to reduce workplace and/or financial stress</w:t>
      </w:r>
      <w:r w:rsidR="00A6584F">
        <w:t>,</w:t>
      </w:r>
      <w:r w:rsidR="000F49F4">
        <w:t xml:space="preserve"> and a reduction in family and other forms of violence. </w:t>
      </w:r>
    </w:p>
    <w:p w14:paraId="24CB932C" w14:textId="77777777" w:rsidR="009F409E" w:rsidRDefault="009F409E" w:rsidP="00837976">
      <w:pPr>
        <w:pStyle w:val="Body"/>
      </w:pPr>
      <w:r>
        <w:t>In 2019, the proportions of adults in Victoria who had been diagnosed by a doctor with two or more chronic diseases were significantly more likely to:</w:t>
      </w:r>
    </w:p>
    <w:p w14:paraId="30D9D288" w14:textId="1D76504E" w:rsidR="009F409E" w:rsidRPr="00666F41" w:rsidRDefault="00A6584F" w:rsidP="005F3926">
      <w:pPr>
        <w:pStyle w:val="Bullet1"/>
      </w:pPr>
      <w:r>
        <w:t>r</w:t>
      </w:r>
      <w:r w:rsidR="009F409E" w:rsidRPr="00666F41">
        <w:t>ent (35.2</w:t>
      </w:r>
      <w:r w:rsidR="00F008A6" w:rsidRPr="00F008A6">
        <w:t xml:space="preserve"> </w:t>
      </w:r>
      <w:r w:rsidR="00F008A6">
        <w:t>per cent</w:t>
      </w:r>
      <w:r w:rsidR="009F409E" w:rsidRPr="00666F41">
        <w:t>) than own their own home (24.5</w:t>
      </w:r>
      <w:r w:rsidR="00F008A6" w:rsidRPr="00F008A6">
        <w:t xml:space="preserve"> </w:t>
      </w:r>
      <w:r w:rsidR="00F008A6">
        <w:t>per cent</w:t>
      </w:r>
      <w:r w:rsidR="009F409E" w:rsidRPr="00666F41">
        <w:t>)</w:t>
      </w:r>
    </w:p>
    <w:p w14:paraId="2F6E7330" w14:textId="71400E71" w:rsidR="009F409E" w:rsidRPr="00666F41" w:rsidRDefault="00A6584F" w:rsidP="005F3926">
      <w:pPr>
        <w:pStyle w:val="Bullet1"/>
      </w:pPr>
      <w:r>
        <w:t>h</w:t>
      </w:r>
      <w:r w:rsidR="009F409E" w:rsidRPr="00666F41">
        <w:t xml:space="preserve">ave </w:t>
      </w:r>
      <w:r>
        <w:t xml:space="preserve">not </w:t>
      </w:r>
      <w:r w:rsidR="009F409E" w:rsidRPr="00666F41">
        <w:t>completed high school (33.9</w:t>
      </w:r>
      <w:r w:rsidR="00F008A6" w:rsidRPr="00F008A6">
        <w:t xml:space="preserve"> </w:t>
      </w:r>
      <w:r w:rsidR="00F008A6">
        <w:t>per cent</w:t>
      </w:r>
      <w:r w:rsidR="009F409E" w:rsidRPr="00666F41">
        <w:t xml:space="preserve">) than </w:t>
      </w:r>
      <w:r>
        <w:t xml:space="preserve">attended </w:t>
      </w:r>
      <w:r w:rsidR="009F409E" w:rsidRPr="00666F41">
        <w:t>university (23.5</w:t>
      </w:r>
      <w:r w:rsidR="00F008A6" w:rsidRPr="00F008A6">
        <w:t xml:space="preserve"> </w:t>
      </w:r>
      <w:r w:rsidR="00F008A6">
        <w:t>per cent</w:t>
      </w:r>
      <w:r w:rsidR="009F409E" w:rsidRPr="00666F41">
        <w:t>)</w:t>
      </w:r>
    </w:p>
    <w:p w14:paraId="3B45D2BA" w14:textId="4176F1B2" w:rsidR="009F409E" w:rsidRPr="00666F41" w:rsidRDefault="00A6584F" w:rsidP="005F3926">
      <w:pPr>
        <w:pStyle w:val="Bullet1"/>
      </w:pPr>
      <w:r>
        <w:t>b</w:t>
      </w:r>
      <w:r w:rsidR="009F409E" w:rsidRPr="00666F41">
        <w:t>e unemployed (33.7</w:t>
      </w:r>
      <w:r w:rsidR="00F008A6" w:rsidRPr="00F008A6">
        <w:t xml:space="preserve"> </w:t>
      </w:r>
      <w:r w:rsidR="00F008A6">
        <w:t>per cent</w:t>
      </w:r>
      <w:r w:rsidR="009F409E" w:rsidRPr="00666F41">
        <w:t>) than employed (23</w:t>
      </w:r>
      <w:r w:rsidR="00C533D3">
        <w:t>.</w:t>
      </w:r>
      <w:r w:rsidR="009F409E" w:rsidRPr="00666F41">
        <w:t>2</w:t>
      </w:r>
      <w:r w:rsidR="00F008A6" w:rsidRPr="00F008A6">
        <w:t xml:space="preserve"> </w:t>
      </w:r>
      <w:r w:rsidR="00F008A6">
        <w:t>per cent</w:t>
      </w:r>
      <w:r w:rsidR="009F409E" w:rsidRPr="00666F41">
        <w:t>)</w:t>
      </w:r>
    </w:p>
    <w:p w14:paraId="00B1FEB1" w14:textId="74EC79B6" w:rsidR="009F409E" w:rsidRPr="00666F41" w:rsidRDefault="001E5EE2" w:rsidP="005F3926">
      <w:pPr>
        <w:pStyle w:val="Bullet1"/>
      </w:pPr>
      <w:r>
        <w:t>have</w:t>
      </w:r>
      <w:r w:rsidR="009F409E" w:rsidRPr="00666F41">
        <w:t xml:space="preserve"> a total annual household income of less than $40,000 (36.8</w:t>
      </w:r>
      <w:r w:rsidR="00F008A6" w:rsidRPr="00F008A6">
        <w:t xml:space="preserve"> </w:t>
      </w:r>
      <w:r w:rsidR="00F008A6">
        <w:t>per cent</w:t>
      </w:r>
      <w:r w:rsidR="009F409E" w:rsidRPr="00666F41">
        <w:t>) than a household income of $100,000 or more (21.2</w:t>
      </w:r>
      <w:r w:rsidR="00F008A6" w:rsidRPr="00F008A6">
        <w:t xml:space="preserve"> </w:t>
      </w:r>
      <w:r w:rsidR="00F008A6">
        <w:t>per cent</w:t>
      </w:r>
      <w:r w:rsidR="009F409E" w:rsidRPr="00666F41">
        <w:t xml:space="preserve">) </w:t>
      </w:r>
    </w:p>
    <w:p w14:paraId="47848CF7" w14:textId="32F5AD6E" w:rsidR="009F409E" w:rsidRDefault="001E5EE2" w:rsidP="005F3926">
      <w:pPr>
        <w:pStyle w:val="Bullet1"/>
      </w:pPr>
      <w:r>
        <w:t>b</w:t>
      </w:r>
      <w:r w:rsidRPr="00666F41">
        <w:t>e</w:t>
      </w:r>
      <w:r w:rsidR="009F409E" w:rsidRPr="00666F41">
        <w:t xml:space="preserve"> Aboriginal (43.2</w:t>
      </w:r>
      <w:r w:rsidR="00F008A6" w:rsidRPr="00F008A6">
        <w:t xml:space="preserve"> </w:t>
      </w:r>
      <w:r w:rsidR="00F008A6">
        <w:t>per cent</w:t>
      </w:r>
      <w:r w:rsidR="009F409E" w:rsidRPr="00666F41">
        <w:t>) than non-Aboriginal (27.4</w:t>
      </w:r>
      <w:r w:rsidR="00F008A6" w:rsidRPr="00F008A6">
        <w:t xml:space="preserve"> </w:t>
      </w:r>
      <w:r w:rsidR="00F008A6">
        <w:t>per cent</w:t>
      </w:r>
      <w:r w:rsidR="009F409E" w:rsidRPr="00666F41">
        <w:t>)</w:t>
      </w:r>
      <w:r w:rsidR="009F409E">
        <w:t>.</w:t>
      </w:r>
    </w:p>
    <w:p w14:paraId="088ABFCF" w14:textId="5DE37430" w:rsidR="00494C05" w:rsidRDefault="00494C05" w:rsidP="00494C05">
      <w:pPr>
        <w:pStyle w:val="Heading2"/>
      </w:pPr>
      <w:bookmarkStart w:id="71" w:name="_Toc116981329"/>
      <w:r>
        <w:t>Aboriginal and Torres Strait Islander peoples in Victoria</w:t>
      </w:r>
      <w:bookmarkEnd w:id="71"/>
      <w:r>
        <w:t xml:space="preserve">  </w:t>
      </w:r>
    </w:p>
    <w:p w14:paraId="1025960E" w14:textId="1E0AEC34" w:rsidR="00494C05" w:rsidRDefault="00494C05" w:rsidP="00494C05">
      <w:pPr>
        <w:pStyle w:val="Body"/>
        <w:rPr>
          <w:rFonts w:eastAsia="Arial" w:cs="Arial"/>
          <w:color w:val="000000" w:themeColor="text1"/>
        </w:rPr>
      </w:pPr>
      <w:r w:rsidRPr="352A14CF">
        <w:rPr>
          <w:rFonts w:eastAsia="Arial" w:cs="Arial"/>
          <w:color w:val="000000" w:themeColor="text1"/>
        </w:rPr>
        <w:t>Aboriginal people and communities in Victoria are strong and rich in culture</w:t>
      </w:r>
      <w:r w:rsidR="00A6584F">
        <w:rPr>
          <w:rFonts w:eastAsia="Arial" w:cs="Arial"/>
          <w:color w:val="000000" w:themeColor="text1"/>
        </w:rPr>
        <w:t xml:space="preserve">, but they </w:t>
      </w:r>
      <w:r w:rsidRPr="68AD148D">
        <w:rPr>
          <w:rFonts w:eastAsia="Arial" w:cs="Arial"/>
          <w:color w:val="000000" w:themeColor="text1"/>
        </w:rPr>
        <w:t>experience higher rates of ill-health than non-Aboriginal Victorians. Evidence indicates that th</w:t>
      </w:r>
      <w:r w:rsidR="00A6584F">
        <w:rPr>
          <w:rFonts w:eastAsia="Arial" w:cs="Arial"/>
          <w:color w:val="000000" w:themeColor="text1"/>
        </w:rPr>
        <w:t>ese higher rates of ill-health</w:t>
      </w:r>
      <w:r w:rsidRPr="68AD148D">
        <w:rPr>
          <w:rFonts w:eastAsia="Arial" w:cs="Arial"/>
          <w:color w:val="000000" w:themeColor="text1"/>
        </w:rPr>
        <w:t xml:space="preserve"> </w:t>
      </w:r>
      <w:r w:rsidR="00A6584F">
        <w:rPr>
          <w:rFonts w:eastAsia="Arial" w:cs="Arial"/>
          <w:color w:val="000000" w:themeColor="text1"/>
        </w:rPr>
        <w:t xml:space="preserve">are </w:t>
      </w:r>
      <w:r w:rsidRPr="68AD148D">
        <w:rPr>
          <w:rFonts w:eastAsia="Arial" w:cs="Arial"/>
          <w:color w:val="000000" w:themeColor="text1"/>
        </w:rPr>
        <w:t>linked to contemporary experiences of racism, socioeconomic disadvantage and social exclusion in society, as well as the ongoing impacts and legacy of intergenerational trauma and colonisation, including disconnection from Country, culture, family and spirituality</w:t>
      </w:r>
      <w:r w:rsidR="00721A45">
        <w:rPr>
          <w:rFonts w:eastAsia="Arial" w:cs="Arial"/>
          <w:color w:val="000000" w:themeColor="text1"/>
        </w:rPr>
        <w:t xml:space="preserve"> (The Family Matters Report</w:t>
      </w:r>
      <w:r w:rsidR="00A6584F">
        <w:rPr>
          <w:rFonts w:eastAsia="Arial" w:cs="Arial"/>
          <w:color w:val="000000" w:themeColor="text1"/>
        </w:rPr>
        <w:t>,</w:t>
      </w:r>
      <w:r w:rsidR="00721A45">
        <w:rPr>
          <w:rFonts w:eastAsia="Arial" w:cs="Arial"/>
          <w:color w:val="000000" w:themeColor="text1"/>
        </w:rPr>
        <w:t xml:space="preserve"> 2020)</w:t>
      </w:r>
      <w:r w:rsidR="00721A45" w:rsidRPr="68AD148D">
        <w:rPr>
          <w:rFonts w:eastAsia="Arial" w:cs="Arial"/>
          <w:color w:val="000000" w:themeColor="text1"/>
        </w:rPr>
        <w:t>.</w:t>
      </w:r>
    </w:p>
    <w:p w14:paraId="1664EE00" w14:textId="131E16E3" w:rsidR="00A6584F" w:rsidRDefault="005C5EEA" w:rsidP="00494C05">
      <w:pPr>
        <w:pStyle w:val="Body"/>
        <w:rPr>
          <w:rFonts w:eastAsia="Arial" w:cs="Arial"/>
          <w:color w:val="000000" w:themeColor="text1"/>
        </w:rPr>
      </w:pPr>
      <w:r>
        <w:rPr>
          <w:rFonts w:eastAsia="Arial" w:cs="Arial"/>
          <w:color w:val="000000" w:themeColor="text1"/>
        </w:rPr>
        <w:t xml:space="preserve">Climate change </w:t>
      </w:r>
      <w:r w:rsidR="00512CC6" w:rsidRPr="00C03A02">
        <w:rPr>
          <w:rFonts w:eastAsia="Arial" w:cs="Arial"/>
          <w:color w:val="000000" w:themeColor="text1"/>
        </w:rPr>
        <w:t>may compound the health inequities already experienced by Aboriginal Victorians</w:t>
      </w:r>
      <w:r w:rsidR="00A05BBD">
        <w:rPr>
          <w:rFonts w:eastAsia="Arial" w:cs="Arial"/>
          <w:color w:val="000000" w:themeColor="text1"/>
        </w:rPr>
        <w:t xml:space="preserve"> (</w:t>
      </w:r>
      <w:r w:rsidR="00BC57FA">
        <w:rPr>
          <w:rFonts w:eastAsia="Arial" w:cs="Arial"/>
          <w:color w:val="000000" w:themeColor="text1"/>
        </w:rPr>
        <w:t xml:space="preserve">Nursey-Bray </w:t>
      </w:r>
      <w:r w:rsidR="00BC57FA" w:rsidRPr="00BE0D2F">
        <w:rPr>
          <w:rFonts w:eastAsia="Arial" w:cs="Arial"/>
          <w:color w:val="000000" w:themeColor="text1"/>
        </w:rPr>
        <w:t>et al</w:t>
      </w:r>
      <w:r w:rsidR="00A6584F">
        <w:rPr>
          <w:rFonts w:eastAsia="Arial" w:cs="Arial"/>
          <w:color w:val="000000" w:themeColor="text1"/>
        </w:rPr>
        <w:t>,</w:t>
      </w:r>
      <w:r w:rsidR="001D4C17">
        <w:rPr>
          <w:rFonts w:eastAsia="Arial" w:cs="Arial"/>
          <w:color w:val="000000" w:themeColor="text1"/>
        </w:rPr>
        <w:t xml:space="preserve"> 2019)</w:t>
      </w:r>
      <w:r w:rsidR="00512CC6" w:rsidRPr="00C03A02">
        <w:rPr>
          <w:rFonts w:eastAsia="Arial" w:cs="Arial"/>
          <w:color w:val="000000" w:themeColor="text1"/>
        </w:rPr>
        <w:t>.</w:t>
      </w:r>
      <w:r w:rsidR="00512CC6">
        <w:rPr>
          <w:rFonts w:eastAsia="Arial" w:cs="Arial"/>
          <w:color w:val="000000" w:themeColor="text1"/>
        </w:rPr>
        <w:t xml:space="preserve"> Moreover, c</w:t>
      </w:r>
      <w:r w:rsidR="00512CC6" w:rsidRPr="00C03A02">
        <w:rPr>
          <w:rFonts w:eastAsia="Arial" w:cs="Arial"/>
          <w:color w:val="000000" w:themeColor="text1"/>
        </w:rPr>
        <w:t>limate chang</w:t>
      </w:r>
      <w:r w:rsidR="00512CC6">
        <w:rPr>
          <w:rFonts w:eastAsia="Arial" w:cs="Arial"/>
          <w:color w:val="000000" w:themeColor="text1"/>
        </w:rPr>
        <w:t>e impacts on</w:t>
      </w:r>
      <w:r w:rsidR="00A66E98">
        <w:rPr>
          <w:rFonts w:eastAsia="Arial" w:cs="Arial"/>
          <w:color w:val="000000" w:themeColor="text1"/>
        </w:rPr>
        <w:t xml:space="preserve"> Country </w:t>
      </w:r>
      <w:r w:rsidR="00512CC6">
        <w:rPr>
          <w:rFonts w:eastAsia="Arial" w:cs="Arial"/>
          <w:color w:val="000000" w:themeColor="text1"/>
        </w:rPr>
        <w:t>also impact</w:t>
      </w:r>
      <w:r w:rsidR="00A66E98">
        <w:rPr>
          <w:rFonts w:eastAsia="Arial" w:cs="Arial"/>
          <w:color w:val="000000" w:themeColor="text1"/>
        </w:rPr>
        <w:t xml:space="preserve"> the cultural determinants of Aboriginal health and wellbeing</w:t>
      </w:r>
      <w:r w:rsidR="007354CB">
        <w:rPr>
          <w:rFonts w:eastAsia="Arial" w:cs="Arial"/>
          <w:color w:val="000000" w:themeColor="text1"/>
        </w:rPr>
        <w:t xml:space="preserve"> (Nursey-Bray </w:t>
      </w:r>
      <w:r w:rsidR="007354CB" w:rsidRPr="00BE0D2F">
        <w:rPr>
          <w:rFonts w:eastAsia="Arial" w:cs="Arial"/>
          <w:color w:val="000000" w:themeColor="text1"/>
        </w:rPr>
        <w:t>et al</w:t>
      </w:r>
      <w:r w:rsidR="00A6584F">
        <w:rPr>
          <w:rFonts w:eastAsia="Arial" w:cs="Arial"/>
          <w:color w:val="000000" w:themeColor="text1"/>
        </w:rPr>
        <w:t>,</w:t>
      </w:r>
      <w:r w:rsidR="007354CB">
        <w:rPr>
          <w:rFonts w:eastAsia="Arial" w:cs="Arial"/>
          <w:color w:val="000000" w:themeColor="text1"/>
        </w:rPr>
        <w:t xml:space="preserve"> 2019, </w:t>
      </w:r>
      <w:r w:rsidR="007354CB" w:rsidRPr="00B02D67">
        <w:t>N</w:t>
      </w:r>
      <w:r w:rsidR="007354CB">
        <w:t xml:space="preserve">ational Environmental </w:t>
      </w:r>
      <w:r w:rsidR="007354CB">
        <w:lastRenderedPageBreak/>
        <w:t>Science Program</w:t>
      </w:r>
      <w:r w:rsidR="007354CB" w:rsidRPr="00B02D67">
        <w:t xml:space="preserve"> E</w:t>
      </w:r>
      <w:r w:rsidR="007354CB">
        <w:t xml:space="preserve">arth </w:t>
      </w:r>
      <w:r w:rsidR="007354CB" w:rsidRPr="00B02D67">
        <w:t>S</w:t>
      </w:r>
      <w:r w:rsidR="007354CB">
        <w:t>ystems and Climate Change Hub</w:t>
      </w:r>
      <w:r w:rsidR="007354CB" w:rsidRPr="00B02D67">
        <w:t xml:space="preserve"> 2021</w:t>
      </w:r>
      <w:r w:rsidR="007354CB">
        <w:rPr>
          <w:rFonts w:eastAsia="Arial" w:cs="Arial"/>
          <w:color w:val="000000" w:themeColor="text1"/>
        </w:rPr>
        <w:t>).</w:t>
      </w:r>
      <w:r w:rsidR="00512CC6" w:rsidRPr="00C03A02">
        <w:rPr>
          <w:rFonts w:eastAsia="Arial" w:cs="Arial"/>
          <w:color w:val="000000" w:themeColor="text1"/>
        </w:rPr>
        <w:t xml:space="preserve"> </w:t>
      </w:r>
      <w:r w:rsidR="0084589E">
        <w:rPr>
          <w:rFonts w:eastAsia="Arial" w:cs="Arial"/>
          <w:color w:val="000000" w:themeColor="text1"/>
        </w:rPr>
        <w:t>Conversely</w:t>
      </w:r>
      <w:r w:rsidR="00B36866">
        <w:rPr>
          <w:rFonts w:eastAsia="Arial" w:cs="Arial"/>
          <w:color w:val="000000" w:themeColor="text1"/>
        </w:rPr>
        <w:t xml:space="preserve">, </w:t>
      </w:r>
      <w:r w:rsidR="002302E3" w:rsidRPr="002302E3">
        <w:rPr>
          <w:rFonts w:eastAsia="Arial" w:cs="Arial"/>
          <w:color w:val="000000" w:themeColor="text1"/>
        </w:rPr>
        <w:t>Aboriginal</w:t>
      </w:r>
      <w:r w:rsidR="00906815" w:rsidRPr="00C03A02">
        <w:rPr>
          <w:rFonts w:eastAsia="Arial" w:cs="Arial"/>
          <w:color w:val="000000" w:themeColor="text1"/>
        </w:rPr>
        <w:t xml:space="preserve"> </w:t>
      </w:r>
      <w:r w:rsidR="00906815" w:rsidRPr="00906815">
        <w:rPr>
          <w:rFonts w:eastAsia="Arial" w:cs="Arial"/>
          <w:color w:val="000000" w:themeColor="text1"/>
        </w:rPr>
        <w:t>and Torres Strait Islander peoples have</w:t>
      </w:r>
      <w:r w:rsidR="00EB38CC">
        <w:rPr>
          <w:rFonts w:eastAsia="Arial" w:cs="Arial"/>
          <w:color w:val="000000" w:themeColor="text1"/>
        </w:rPr>
        <w:t xml:space="preserve"> </w:t>
      </w:r>
      <w:r w:rsidR="00EB38CC" w:rsidRPr="00FC143F">
        <w:rPr>
          <w:rFonts w:eastAsia="Arial" w:cs="Arial"/>
          <w:color w:val="000000" w:themeColor="text1"/>
        </w:rPr>
        <w:t xml:space="preserve">been actively </w:t>
      </w:r>
      <w:r w:rsidR="00F35C5E">
        <w:rPr>
          <w:rFonts w:eastAsia="Arial" w:cs="Arial"/>
          <w:color w:val="000000" w:themeColor="text1"/>
        </w:rPr>
        <w:t>Caring for Country and</w:t>
      </w:r>
      <w:r w:rsidR="00EB38CC" w:rsidRPr="00FC143F">
        <w:rPr>
          <w:rFonts w:eastAsia="Arial" w:cs="Arial"/>
          <w:color w:val="000000" w:themeColor="text1"/>
        </w:rPr>
        <w:t xml:space="preserve"> observing and adapting to changing environments for millennia (</w:t>
      </w:r>
      <w:r w:rsidR="00EB38CC">
        <w:rPr>
          <w:rFonts w:eastAsia="Arial" w:cs="Arial"/>
          <w:color w:val="000000" w:themeColor="text1"/>
        </w:rPr>
        <w:t xml:space="preserve">Nursey-Bray </w:t>
      </w:r>
      <w:r w:rsidR="00EB38CC" w:rsidRPr="00BE0D2F">
        <w:rPr>
          <w:rFonts w:eastAsia="Arial" w:cs="Arial"/>
          <w:color w:val="000000" w:themeColor="text1"/>
        </w:rPr>
        <w:t>et</w:t>
      </w:r>
      <w:r w:rsidR="00A6584F" w:rsidRPr="00BE0D2F">
        <w:rPr>
          <w:rFonts w:eastAsia="Arial" w:cs="Arial"/>
          <w:color w:val="000000" w:themeColor="text1"/>
        </w:rPr>
        <w:t xml:space="preserve"> </w:t>
      </w:r>
      <w:r w:rsidR="00EB38CC" w:rsidRPr="00BE0D2F">
        <w:rPr>
          <w:rFonts w:eastAsia="Arial" w:cs="Arial"/>
          <w:color w:val="000000" w:themeColor="text1"/>
        </w:rPr>
        <w:t>al</w:t>
      </w:r>
      <w:r w:rsidR="00A6584F">
        <w:rPr>
          <w:rFonts w:eastAsia="Arial" w:cs="Arial"/>
          <w:color w:val="000000" w:themeColor="text1"/>
        </w:rPr>
        <w:t>,</w:t>
      </w:r>
      <w:r w:rsidR="00EB38CC">
        <w:rPr>
          <w:rFonts w:eastAsia="Arial" w:cs="Arial"/>
          <w:color w:val="000000" w:themeColor="text1"/>
        </w:rPr>
        <w:t xml:space="preserve"> 2019, </w:t>
      </w:r>
      <w:r w:rsidR="00EB38CC" w:rsidRPr="00FC143F">
        <w:rPr>
          <w:rFonts w:eastAsia="Arial" w:cs="Arial"/>
          <w:color w:val="000000" w:themeColor="text1"/>
        </w:rPr>
        <w:t xml:space="preserve">Ford </w:t>
      </w:r>
      <w:r w:rsidR="00EB38CC" w:rsidRPr="00BE0D2F">
        <w:rPr>
          <w:rFonts w:eastAsia="Arial" w:cs="Arial"/>
          <w:color w:val="000000" w:themeColor="text1"/>
        </w:rPr>
        <w:t>et al</w:t>
      </w:r>
      <w:r w:rsidR="00EB38CC" w:rsidRPr="00FC143F">
        <w:rPr>
          <w:rFonts w:eastAsia="Arial" w:cs="Arial"/>
          <w:color w:val="000000" w:themeColor="text1"/>
        </w:rPr>
        <w:t>, 2020</w:t>
      </w:r>
      <w:r w:rsidR="00512CC6" w:rsidRPr="00C03A02">
        <w:rPr>
          <w:rFonts w:eastAsia="Arial" w:cs="Arial"/>
          <w:color w:val="000000" w:themeColor="text1"/>
        </w:rPr>
        <w:t xml:space="preserve">). </w:t>
      </w:r>
    </w:p>
    <w:p w14:paraId="5CA7033F" w14:textId="1861AE15" w:rsidR="00390177" w:rsidRDefault="00512CC6" w:rsidP="00494C05">
      <w:pPr>
        <w:pStyle w:val="Body"/>
        <w:rPr>
          <w:rFonts w:eastAsia="Arial" w:cs="Arial"/>
          <w:color w:val="000000" w:themeColor="text1"/>
        </w:rPr>
      </w:pPr>
      <w:r w:rsidRPr="00C03A02">
        <w:rPr>
          <w:rFonts w:eastAsia="Arial" w:cs="Arial"/>
          <w:color w:val="000000" w:themeColor="text1"/>
        </w:rPr>
        <w:t>Aboriginal self-determination and connection to culture, Country and community, improve health and wellbeing</w:t>
      </w:r>
      <w:r w:rsidR="00A6584F">
        <w:rPr>
          <w:rFonts w:eastAsia="Arial" w:cs="Arial"/>
          <w:color w:val="000000" w:themeColor="text1"/>
        </w:rPr>
        <w:t>. Self-determination</w:t>
      </w:r>
      <w:r w:rsidRPr="00C03A02">
        <w:rPr>
          <w:rFonts w:eastAsia="Arial" w:cs="Arial"/>
          <w:color w:val="000000" w:themeColor="text1"/>
        </w:rPr>
        <w:t xml:space="preserve"> </w:t>
      </w:r>
      <w:r>
        <w:rPr>
          <w:rFonts w:eastAsia="Arial" w:cs="Arial"/>
          <w:color w:val="000000" w:themeColor="text1"/>
        </w:rPr>
        <w:t xml:space="preserve">also </w:t>
      </w:r>
      <w:r w:rsidRPr="00C03A02">
        <w:rPr>
          <w:rFonts w:eastAsia="Arial" w:cs="Arial"/>
          <w:color w:val="000000" w:themeColor="text1"/>
        </w:rPr>
        <w:t>underpin</w:t>
      </w:r>
      <w:r w:rsidR="00A6584F">
        <w:rPr>
          <w:rFonts w:eastAsia="Arial" w:cs="Arial"/>
          <w:color w:val="000000" w:themeColor="text1"/>
        </w:rPr>
        <w:t>s</w:t>
      </w:r>
      <w:r w:rsidRPr="00C03A02">
        <w:rPr>
          <w:rFonts w:eastAsia="Arial" w:cs="Arial"/>
          <w:color w:val="000000" w:themeColor="text1"/>
        </w:rPr>
        <w:t xml:space="preserve"> </w:t>
      </w:r>
      <w:r w:rsidR="00A6584F">
        <w:rPr>
          <w:rFonts w:eastAsia="Arial" w:cs="Arial"/>
          <w:color w:val="000000" w:themeColor="text1"/>
        </w:rPr>
        <w:t xml:space="preserve">the </w:t>
      </w:r>
      <w:r w:rsidRPr="00C03A02">
        <w:rPr>
          <w:rFonts w:eastAsia="Arial" w:cs="Arial"/>
          <w:color w:val="000000" w:themeColor="text1"/>
        </w:rPr>
        <w:t>resilience of Aboriginal Victorians to climate change (</w:t>
      </w:r>
      <w:r w:rsidR="00A6584F">
        <w:rPr>
          <w:rFonts w:eastAsia="Arial" w:cs="Arial"/>
          <w:color w:val="000000" w:themeColor="text1"/>
        </w:rPr>
        <w:t xml:space="preserve">DHHS, </w:t>
      </w:r>
      <w:r w:rsidRPr="00C03A02">
        <w:rPr>
          <w:rFonts w:eastAsia="Arial" w:cs="Arial"/>
          <w:color w:val="000000" w:themeColor="text1"/>
        </w:rPr>
        <w:t>2017</w:t>
      </w:r>
      <w:r>
        <w:rPr>
          <w:rFonts w:eastAsia="Arial" w:cs="Arial"/>
          <w:color w:val="000000" w:themeColor="text1"/>
        </w:rPr>
        <w:t xml:space="preserve">, Ford </w:t>
      </w:r>
      <w:r w:rsidRPr="00BE0D2F">
        <w:rPr>
          <w:rFonts w:eastAsia="Arial" w:cs="Arial"/>
          <w:color w:val="000000" w:themeColor="text1"/>
        </w:rPr>
        <w:t>et</w:t>
      </w:r>
      <w:r w:rsidR="00A6584F" w:rsidRPr="00BE0D2F">
        <w:rPr>
          <w:rFonts w:eastAsia="Arial" w:cs="Arial"/>
          <w:color w:val="000000" w:themeColor="text1"/>
        </w:rPr>
        <w:t xml:space="preserve"> </w:t>
      </w:r>
      <w:r w:rsidRPr="00BE0D2F">
        <w:rPr>
          <w:rFonts w:eastAsia="Arial" w:cs="Arial"/>
          <w:color w:val="000000" w:themeColor="text1"/>
        </w:rPr>
        <w:t>al</w:t>
      </w:r>
      <w:r>
        <w:rPr>
          <w:rFonts w:eastAsia="Arial" w:cs="Arial"/>
          <w:color w:val="000000" w:themeColor="text1"/>
        </w:rPr>
        <w:t>, 2020</w:t>
      </w:r>
      <w:r w:rsidRPr="00C03A02">
        <w:rPr>
          <w:rFonts w:eastAsia="Arial" w:cs="Arial"/>
          <w:color w:val="000000" w:themeColor="text1"/>
        </w:rPr>
        <w:t>).</w:t>
      </w:r>
    </w:p>
    <w:p w14:paraId="3377803D" w14:textId="60D0F237" w:rsidR="00A6584F" w:rsidRDefault="00A6584F" w:rsidP="00A6584F">
      <w:pPr>
        <w:pStyle w:val="Body"/>
        <w:rPr>
          <w:rFonts w:eastAsia="Arial" w:cs="Arial"/>
          <w:color w:val="000000" w:themeColor="text1"/>
        </w:rPr>
      </w:pPr>
      <w:r w:rsidRPr="352A14CF">
        <w:rPr>
          <w:rFonts w:eastAsia="Arial" w:cs="Arial"/>
          <w:color w:val="000000" w:themeColor="text1"/>
        </w:rPr>
        <w:t xml:space="preserve">To achieve optimal Aboriginal health and wellbeing outcomes, </w:t>
      </w:r>
      <w:r>
        <w:rPr>
          <w:rFonts w:eastAsia="Arial" w:cs="Arial"/>
          <w:color w:val="000000" w:themeColor="text1"/>
        </w:rPr>
        <w:t>Victoria’s</w:t>
      </w:r>
      <w:r w:rsidRPr="352A14CF">
        <w:rPr>
          <w:rFonts w:eastAsia="Arial" w:cs="Arial"/>
          <w:color w:val="000000" w:themeColor="text1"/>
        </w:rPr>
        <w:t xml:space="preserve"> health system must recognise the strength of culture and </w:t>
      </w:r>
      <w:r>
        <w:rPr>
          <w:rFonts w:eastAsia="Arial" w:cs="Arial"/>
          <w:color w:val="000000" w:themeColor="text1"/>
        </w:rPr>
        <w:t xml:space="preserve">deliver </w:t>
      </w:r>
      <w:r w:rsidRPr="352A14CF">
        <w:rPr>
          <w:rFonts w:eastAsia="Arial" w:cs="Arial"/>
          <w:color w:val="000000" w:themeColor="text1"/>
        </w:rPr>
        <w:t xml:space="preserve">holistic health and wellbeing services that are culturally safe and free from racial discrimination. </w:t>
      </w:r>
    </w:p>
    <w:p w14:paraId="426A9EE7" w14:textId="4AE9227D" w:rsidR="00494C05" w:rsidRDefault="00494C05" w:rsidP="00494C05">
      <w:pPr>
        <w:pStyle w:val="Body"/>
        <w:rPr>
          <w:color w:val="000000" w:themeColor="text1"/>
        </w:rPr>
      </w:pPr>
      <w:r w:rsidRPr="68AD148D">
        <w:rPr>
          <w:color w:val="000000" w:themeColor="text1"/>
        </w:rPr>
        <w:t>Key data on Aboriginal Victorians’ health, wellbeing and safety includes</w:t>
      </w:r>
      <w:r w:rsidR="00D45BF5">
        <w:rPr>
          <w:color w:val="000000" w:themeColor="text1"/>
        </w:rPr>
        <w:t xml:space="preserve"> </w:t>
      </w:r>
      <w:r w:rsidRPr="68AD148D">
        <w:rPr>
          <w:color w:val="000000" w:themeColor="text1"/>
        </w:rPr>
        <w:t>(V</w:t>
      </w:r>
      <w:r w:rsidR="0019496A">
        <w:rPr>
          <w:color w:val="000000" w:themeColor="text1"/>
        </w:rPr>
        <w:t xml:space="preserve">ictorian </w:t>
      </w:r>
      <w:r w:rsidRPr="68AD148D">
        <w:rPr>
          <w:color w:val="000000" w:themeColor="text1"/>
        </w:rPr>
        <w:t>G</w:t>
      </w:r>
      <w:r w:rsidR="00780EB7">
        <w:rPr>
          <w:color w:val="000000" w:themeColor="text1"/>
        </w:rPr>
        <w:t xml:space="preserve">overnment </w:t>
      </w:r>
      <w:r w:rsidRPr="68AD148D">
        <w:rPr>
          <w:color w:val="000000" w:themeColor="text1"/>
        </w:rPr>
        <w:t>A</w:t>
      </w:r>
      <w:r w:rsidR="00780EB7">
        <w:rPr>
          <w:color w:val="000000" w:themeColor="text1"/>
        </w:rPr>
        <w:t xml:space="preserve">boriginal </w:t>
      </w:r>
      <w:r w:rsidRPr="68AD148D">
        <w:rPr>
          <w:color w:val="000000" w:themeColor="text1"/>
        </w:rPr>
        <w:t>A</w:t>
      </w:r>
      <w:r w:rsidR="00780EB7">
        <w:rPr>
          <w:color w:val="000000" w:themeColor="text1"/>
        </w:rPr>
        <w:t xml:space="preserve">ffairs </w:t>
      </w:r>
      <w:r w:rsidRPr="68AD148D">
        <w:rPr>
          <w:color w:val="000000" w:themeColor="text1"/>
        </w:rPr>
        <w:t>R</w:t>
      </w:r>
      <w:r w:rsidR="00780EB7">
        <w:rPr>
          <w:color w:val="000000" w:themeColor="text1"/>
        </w:rPr>
        <w:t>eport</w:t>
      </w:r>
      <w:r w:rsidRPr="68AD148D">
        <w:rPr>
          <w:color w:val="000000" w:themeColor="text1"/>
        </w:rPr>
        <w:t xml:space="preserve">, 2019):  </w:t>
      </w:r>
    </w:p>
    <w:p w14:paraId="15657604" w14:textId="5E153DEB" w:rsidR="00B33678" w:rsidRPr="00B33678" w:rsidRDefault="00B33678" w:rsidP="00B235CF">
      <w:pPr>
        <w:pStyle w:val="Heading3"/>
      </w:pPr>
      <w:r w:rsidRPr="00B33678">
        <w:t>Overall health and wellbeing</w:t>
      </w:r>
    </w:p>
    <w:p w14:paraId="0F5EDDD6" w14:textId="3E1E9F04" w:rsidR="00494C05" w:rsidRPr="000A57CC" w:rsidRDefault="0010355B" w:rsidP="00C81618">
      <w:pPr>
        <w:pStyle w:val="Bullet1"/>
      </w:pPr>
      <w:r>
        <w:t>T</w:t>
      </w:r>
      <w:r w:rsidR="00494C05" w:rsidRPr="00C81618">
        <w:t xml:space="preserve">he </w:t>
      </w:r>
      <w:r w:rsidR="00494C05" w:rsidRPr="0074261B">
        <w:t xml:space="preserve">overall life expectancy of Aboriginal people is improving, </w:t>
      </w:r>
      <w:r w:rsidRPr="0074261B">
        <w:t xml:space="preserve">but </w:t>
      </w:r>
      <w:r w:rsidR="00494C05" w:rsidRPr="0074261B">
        <w:t xml:space="preserve">a </w:t>
      </w:r>
      <w:r w:rsidRPr="0074261B">
        <w:t xml:space="preserve">seven-year </w:t>
      </w:r>
      <w:r w:rsidR="00494C05" w:rsidRPr="0074261B">
        <w:t xml:space="preserve">gap </w:t>
      </w:r>
      <w:r w:rsidRPr="0074261B">
        <w:t xml:space="preserve">remains </w:t>
      </w:r>
      <w:r w:rsidR="00494C05" w:rsidRPr="0074261B">
        <w:t>between Aboriginal and non-Aboriginal Victorians</w:t>
      </w:r>
      <w:r w:rsidR="0078747F" w:rsidRPr="0074261B">
        <w:t>.</w:t>
      </w:r>
      <w:r w:rsidR="00C17D74" w:rsidRPr="0074261B">
        <w:t xml:space="preserve"> </w:t>
      </w:r>
    </w:p>
    <w:p w14:paraId="5C39C1A3" w14:textId="42CFE59B" w:rsidR="00494C05" w:rsidRPr="000A57CC" w:rsidRDefault="00494C05" w:rsidP="00C81618">
      <w:pPr>
        <w:pStyle w:val="Bullet1"/>
        <w:spacing w:after="120"/>
      </w:pPr>
      <w:r w:rsidRPr="000A57CC">
        <w:t>The rate of Aboriginal people living in Victoria who rate their own health as ‘excellent’ or ‘very good’ is 36.9 per cent</w:t>
      </w:r>
      <w:r w:rsidR="008B0F28" w:rsidRPr="000A57CC">
        <w:t>.</w:t>
      </w:r>
      <w:r w:rsidR="004055FB" w:rsidRPr="000A57CC">
        <w:t xml:space="preserve"> </w:t>
      </w:r>
    </w:p>
    <w:p w14:paraId="7613A4BA" w14:textId="77777777" w:rsidR="00D93029" w:rsidRPr="00D93029" w:rsidRDefault="00D93029" w:rsidP="00B235CF">
      <w:pPr>
        <w:pStyle w:val="Heading3"/>
        <w:rPr>
          <w:rFonts w:eastAsia="Arial" w:cs="Arial"/>
          <w:szCs w:val="21"/>
        </w:rPr>
      </w:pPr>
      <w:r w:rsidRPr="00D93029">
        <w:t>Chronic disease</w:t>
      </w:r>
    </w:p>
    <w:p w14:paraId="6AA37199" w14:textId="60E36E6E" w:rsidR="00D93029" w:rsidRPr="00D93029" w:rsidRDefault="00D93029" w:rsidP="000A57CC">
      <w:pPr>
        <w:pStyle w:val="Bullet1"/>
      </w:pPr>
      <w:r>
        <w:t xml:space="preserve">The incidence rate for cancer </w:t>
      </w:r>
      <w:r w:rsidR="0010355B">
        <w:t xml:space="preserve">is </w:t>
      </w:r>
      <w:r>
        <w:t xml:space="preserve">higher for Aboriginal people than non-Aboriginal people, at 57.7 per 10,000 for men and 49.9 per 10,000 for women, compared with 34.7 and 28.6 per 10,000. </w:t>
      </w:r>
    </w:p>
    <w:p w14:paraId="1B49E881" w14:textId="2113BE29" w:rsidR="00D93029" w:rsidRPr="000A57CC" w:rsidRDefault="00D93029" w:rsidP="000A57CC">
      <w:pPr>
        <w:pStyle w:val="Bullet1"/>
      </w:pPr>
      <w:r w:rsidRPr="00221E57">
        <w:t>Rates of smoking continu</w:t>
      </w:r>
      <w:r w:rsidRPr="000A57CC">
        <w:t xml:space="preserve">e </w:t>
      </w:r>
      <w:r w:rsidR="0010355B">
        <w:t xml:space="preserve">their </w:t>
      </w:r>
      <w:r w:rsidRPr="000A57CC">
        <w:t xml:space="preserve">long-term downward trend, </w:t>
      </w:r>
      <w:r w:rsidR="0010355B">
        <w:t xml:space="preserve">but </w:t>
      </w:r>
      <w:r w:rsidRPr="000A57CC">
        <w:t xml:space="preserve">are still high </w:t>
      </w:r>
      <w:r w:rsidR="0010355B">
        <w:t>(</w:t>
      </w:r>
      <w:r w:rsidRPr="000A57CC">
        <w:t xml:space="preserve">39.8 per cent in 2014-15 </w:t>
      </w:r>
      <w:r w:rsidR="0010355B">
        <w:t xml:space="preserve">compared to </w:t>
      </w:r>
      <w:r w:rsidRPr="000A57CC">
        <w:t>47 per cent in 2004-05</w:t>
      </w:r>
      <w:r w:rsidR="0010355B">
        <w:t>)</w:t>
      </w:r>
      <w:r w:rsidRPr="000A57CC">
        <w:t xml:space="preserve">. </w:t>
      </w:r>
      <w:r w:rsidR="0010355B">
        <w:t>A</w:t>
      </w:r>
      <w:r w:rsidRPr="000A57CC">
        <w:t xml:space="preserve"> similar decrease in </w:t>
      </w:r>
      <w:r w:rsidR="0010355B">
        <w:t xml:space="preserve">smoking </w:t>
      </w:r>
      <w:r w:rsidRPr="000A57CC">
        <w:t xml:space="preserve">rates </w:t>
      </w:r>
      <w:r w:rsidR="0010355B">
        <w:t xml:space="preserve">was recorded </w:t>
      </w:r>
      <w:r w:rsidRPr="000A57CC">
        <w:t xml:space="preserve">among young Aboriginal people aged </w:t>
      </w:r>
      <w:r w:rsidRPr="00A9259D">
        <w:t>15</w:t>
      </w:r>
      <w:r w:rsidR="003B09FD" w:rsidRPr="00A9259D">
        <w:t xml:space="preserve"> to </w:t>
      </w:r>
      <w:r w:rsidRPr="00A9259D">
        <w:t>24</w:t>
      </w:r>
      <w:r w:rsidR="0010355B">
        <w:t xml:space="preserve">, with </w:t>
      </w:r>
      <w:r w:rsidRPr="000A57CC">
        <w:t xml:space="preserve">56.1 per cent </w:t>
      </w:r>
      <w:r w:rsidR="0010355B">
        <w:t xml:space="preserve">reporting </w:t>
      </w:r>
      <w:r w:rsidR="006144AA">
        <w:t xml:space="preserve">they </w:t>
      </w:r>
      <w:r w:rsidR="0010355B">
        <w:t xml:space="preserve">had </w:t>
      </w:r>
      <w:r w:rsidRPr="000A57CC">
        <w:t xml:space="preserve">never smoked </w:t>
      </w:r>
      <w:r w:rsidR="0010355B">
        <w:t xml:space="preserve">in 2014-15 compared to </w:t>
      </w:r>
      <w:r w:rsidRPr="000A57CC">
        <w:t xml:space="preserve">44.3 per cent in 2002. </w:t>
      </w:r>
    </w:p>
    <w:p w14:paraId="36264AE3" w14:textId="1289EE58" w:rsidR="00D93029" w:rsidRPr="00D93029" w:rsidRDefault="00D93029" w:rsidP="00D93029">
      <w:pPr>
        <w:pStyle w:val="Bullet1"/>
        <w:rPr>
          <w:szCs w:val="21"/>
        </w:rPr>
      </w:pPr>
      <w:r w:rsidRPr="1949FE84">
        <w:rPr>
          <w:rFonts w:eastAsia="Arial" w:cs="Arial"/>
        </w:rPr>
        <w:t>Rates of severe psychological distress increased by 4.3 per cent between 2011-13 and 2</w:t>
      </w:r>
      <w:r w:rsidR="0099737B">
        <w:rPr>
          <w:rFonts w:eastAsia="Arial" w:cs="Arial"/>
        </w:rPr>
        <w:t>01</w:t>
      </w:r>
      <w:r w:rsidRPr="1949FE84">
        <w:rPr>
          <w:rFonts w:eastAsia="Arial" w:cs="Arial"/>
        </w:rPr>
        <w:t xml:space="preserve">4-15 (from 31.5 to 35.8 per cent), while self-harm related emergency presentations increased from 5.3 per 1,000 to 7.5 per 1,000 (2008-9 and 2017-18). </w:t>
      </w:r>
    </w:p>
    <w:p w14:paraId="51E13829" w14:textId="2D905DBF" w:rsidR="00B33678" w:rsidRPr="00D93029" w:rsidRDefault="00D93029" w:rsidP="00B235CF">
      <w:pPr>
        <w:pStyle w:val="Heading3"/>
      </w:pPr>
      <w:r w:rsidRPr="00D93029">
        <w:t>Service use and accessibility</w:t>
      </w:r>
    </w:p>
    <w:p w14:paraId="541A9ACD" w14:textId="0CA11EFA" w:rsidR="00441765" w:rsidRPr="004B202D" w:rsidRDefault="00441765" w:rsidP="00523988">
      <w:pPr>
        <w:pStyle w:val="Bullet1"/>
        <w:spacing w:before="100" w:beforeAutospacing="1"/>
        <w:rPr>
          <w:color w:val="000000"/>
          <w:szCs w:val="21"/>
        </w:rPr>
      </w:pPr>
      <w:r w:rsidRPr="56EB67CC">
        <w:rPr>
          <w:color w:val="000000" w:themeColor="text1"/>
        </w:rPr>
        <w:t>More Aboriginal Victorians of all ages received health checks or assessments in 2019</w:t>
      </w:r>
      <w:r w:rsidR="0010355B">
        <w:rPr>
          <w:color w:val="000000" w:themeColor="text1"/>
        </w:rPr>
        <w:t>-</w:t>
      </w:r>
      <w:r w:rsidRPr="56EB67CC">
        <w:rPr>
          <w:color w:val="000000" w:themeColor="text1"/>
        </w:rPr>
        <w:t>20 than in 2008</w:t>
      </w:r>
      <w:r w:rsidR="0010355B">
        <w:rPr>
          <w:color w:val="000000" w:themeColor="text1"/>
        </w:rPr>
        <w:t>-</w:t>
      </w:r>
      <w:r w:rsidRPr="56EB67CC">
        <w:rPr>
          <w:color w:val="000000" w:themeColor="text1"/>
        </w:rPr>
        <w:t xml:space="preserve">09. </w:t>
      </w:r>
      <w:r w:rsidR="0010355B">
        <w:rPr>
          <w:color w:val="000000" w:themeColor="text1"/>
        </w:rPr>
        <w:t xml:space="preserve">More than three </w:t>
      </w:r>
      <w:r w:rsidRPr="56EB67CC">
        <w:rPr>
          <w:color w:val="000000" w:themeColor="text1"/>
        </w:rPr>
        <w:t xml:space="preserve">times as many Aboriginal Victorians aged </w:t>
      </w:r>
      <w:r w:rsidRPr="00A9259D">
        <w:rPr>
          <w:color w:val="000000" w:themeColor="text1"/>
        </w:rPr>
        <w:t>15</w:t>
      </w:r>
      <w:r w:rsidR="007B3F6C" w:rsidRPr="00A9259D">
        <w:rPr>
          <w:color w:val="000000" w:themeColor="text1"/>
        </w:rPr>
        <w:t xml:space="preserve"> to </w:t>
      </w:r>
      <w:r w:rsidRPr="00A9259D">
        <w:rPr>
          <w:color w:val="000000" w:themeColor="text1"/>
        </w:rPr>
        <w:t>54</w:t>
      </w:r>
      <w:r w:rsidRPr="56EB67CC">
        <w:rPr>
          <w:color w:val="000000" w:themeColor="text1"/>
        </w:rPr>
        <w:t xml:space="preserve"> years received health checks or assessments in 2019</w:t>
      </w:r>
      <w:r w:rsidR="0010355B">
        <w:rPr>
          <w:color w:val="000000" w:themeColor="text1"/>
        </w:rPr>
        <w:t>-</w:t>
      </w:r>
      <w:r w:rsidRPr="56EB67CC">
        <w:rPr>
          <w:color w:val="000000" w:themeColor="text1"/>
        </w:rPr>
        <w:t xml:space="preserve">20 than </w:t>
      </w:r>
      <w:r w:rsidR="0010355B">
        <w:rPr>
          <w:color w:val="000000" w:themeColor="text1"/>
        </w:rPr>
        <w:t xml:space="preserve">did </w:t>
      </w:r>
      <w:r w:rsidRPr="56EB67CC">
        <w:rPr>
          <w:color w:val="000000" w:themeColor="text1"/>
        </w:rPr>
        <w:t>in 2008</w:t>
      </w:r>
      <w:r w:rsidR="0010355B">
        <w:rPr>
          <w:color w:val="000000" w:themeColor="text1"/>
        </w:rPr>
        <w:t>-</w:t>
      </w:r>
      <w:r w:rsidRPr="56EB67CC">
        <w:rPr>
          <w:color w:val="000000" w:themeColor="text1"/>
        </w:rPr>
        <w:t xml:space="preserve">09, with almost </w:t>
      </w:r>
      <w:r w:rsidR="0010355B">
        <w:rPr>
          <w:color w:val="000000" w:themeColor="text1"/>
        </w:rPr>
        <w:t xml:space="preserve">six </w:t>
      </w:r>
      <w:r w:rsidRPr="56EB67CC">
        <w:rPr>
          <w:color w:val="000000" w:themeColor="text1"/>
        </w:rPr>
        <w:t xml:space="preserve">times the number of adults </w:t>
      </w:r>
      <w:r w:rsidR="0010355B">
        <w:rPr>
          <w:color w:val="000000" w:themeColor="text1"/>
        </w:rPr>
        <w:t xml:space="preserve">aged </w:t>
      </w:r>
      <w:r w:rsidRPr="56EB67CC">
        <w:rPr>
          <w:color w:val="000000" w:themeColor="text1"/>
        </w:rPr>
        <w:t xml:space="preserve">over 55, and </w:t>
      </w:r>
      <w:r w:rsidR="0010355B">
        <w:rPr>
          <w:color w:val="000000" w:themeColor="text1"/>
        </w:rPr>
        <w:t xml:space="preserve">more than six </w:t>
      </w:r>
      <w:r w:rsidRPr="56EB67CC">
        <w:rPr>
          <w:color w:val="000000" w:themeColor="text1"/>
        </w:rPr>
        <w:t xml:space="preserve">times the number of children </w:t>
      </w:r>
      <w:r w:rsidR="0010355B">
        <w:rPr>
          <w:color w:val="000000" w:themeColor="text1"/>
        </w:rPr>
        <w:t xml:space="preserve">aged </w:t>
      </w:r>
      <w:r w:rsidRPr="00A9259D">
        <w:rPr>
          <w:color w:val="000000" w:themeColor="text1"/>
        </w:rPr>
        <w:t>0</w:t>
      </w:r>
      <w:r w:rsidR="007B3F6C" w:rsidRPr="00A9259D">
        <w:rPr>
          <w:color w:val="000000" w:themeColor="text1"/>
        </w:rPr>
        <w:t xml:space="preserve"> to </w:t>
      </w:r>
      <w:r w:rsidRPr="00A9259D">
        <w:rPr>
          <w:color w:val="000000" w:themeColor="text1"/>
        </w:rPr>
        <w:t>14</w:t>
      </w:r>
      <w:r w:rsidRPr="56EB67CC">
        <w:rPr>
          <w:color w:val="000000" w:themeColor="text1"/>
        </w:rPr>
        <w:t xml:space="preserve"> years</w:t>
      </w:r>
      <w:r w:rsidR="0010355B">
        <w:rPr>
          <w:color w:val="000000" w:themeColor="text1"/>
        </w:rPr>
        <w:t>,</w:t>
      </w:r>
      <w:r w:rsidRPr="56EB67CC">
        <w:rPr>
          <w:color w:val="000000" w:themeColor="text1"/>
        </w:rPr>
        <w:t xml:space="preserve"> receiving checks or assessments. (Victorian Government Aboriginal Affairs Report</w:t>
      </w:r>
      <w:r w:rsidR="0010355B">
        <w:rPr>
          <w:color w:val="000000" w:themeColor="text1"/>
        </w:rPr>
        <w:t>,</w:t>
      </w:r>
      <w:r w:rsidRPr="56EB67CC">
        <w:rPr>
          <w:color w:val="000000" w:themeColor="text1"/>
        </w:rPr>
        <w:t xml:space="preserve"> 2021). </w:t>
      </w:r>
    </w:p>
    <w:p w14:paraId="14DA97D4" w14:textId="3BF64DE5" w:rsidR="00D93029" w:rsidRPr="00FC7841" w:rsidRDefault="00D93029" w:rsidP="00FC7841">
      <w:pPr>
        <w:pStyle w:val="Bullet1"/>
        <w:spacing w:before="100" w:beforeAutospacing="1"/>
        <w:rPr>
          <w:color w:val="000000" w:themeColor="text1"/>
        </w:rPr>
      </w:pPr>
      <w:r w:rsidRPr="00FC7841">
        <w:rPr>
          <w:color w:val="000000" w:themeColor="text1"/>
        </w:rPr>
        <w:t xml:space="preserve">Disability services were made available to 45.5 per cent of Aboriginal people in Victoria </w:t>
      </w:r>
      <w:r w:rsidR="0010355B" w:rsidRPr="00FC7841">
        <w:rPr>
          <w:color w:val="000000" w:themeColor="text1"/>
        </w:rPr>
        <w:t xml:space="preserve">as participants in </w:t>
      </w:r>
      <w:r w:rsidRPr="00FC7841">
        <w:rPr>
          <w:color w:val="000000" w:themeColor="text1"/>
        </w:rPr>
        <w:t>the N</w:t>
      </w:r>
      <w:r w:rsidR="0010355B" w:rsidRPr="00FC7841">
        <w:rPr>
          <w:color w:val="000000" w:themeColor="text1"/>
        </w:rPr>
        <w:t xml:space="preserve">ational </w:t>
      </w:r>
      <w:r w:rsidRPr="00FC7841">
        <w:rPr>
          <w:color w:val="000000" w:themeColor="text1"/>
        </w:rPr>
        <w:t>D</w:t>
      </w:r>
      <w:r w:rsidR="0010355B" w:rsidRPr="00FC7841">
        <w:rPr>
          <w:color w:val="000000" w:themeColor="text1"/>
        </w:rPr>
        <w:t xml:space="preserve">isability </w:t>
      </w:r>
      <w:r w:rsidRPr="00FC7841">
        <w:rPr>
          <w:color w:val="000000" w:themeColor="text1"/>
        </w:rPr>
        <w:t>I</w:t>
      </w:r>
      <w:r w:rsidR="0010355B" w:rsidRPr="00FC7841">
        <w:rPr>
          <w:color w:val="000000" w:themeColor="text1"/>
        </w:rPr>
        <w:t xml:space="preserve">nsurance </w:t>
      </w:r>
      <w:r w:rsidRPr="00FC7841">
        <w:rPr>
          <w:color w:val="000000" w:themeColor="text1"/>
        </w:rPr>
        <w:t>S</w:t>
      </w:r>
      <w:r w:rsidR="0010355B" w:rsidRPr="00FC7841">
        <w:rPr>
          <w:color w:val="000000" w:themeColor="text1"/>
        </w:rPr>
        <w:t>cheme</w:t>
      </w:r>
      <w:r w:rsidRPr="00FC7841">
        <w:rPr>
          <w:color w:val="000000" w:themeColor="text1"/>
        </w:rPr>
        <w:t xml:space="preserve"> (3,483 identified as</w:t>
      </w:r>
      <w:r w:rsidR="0010355B" w:rsidRPr="00FC7841">
        <w:rPr>
          <w:color w:val="000000" w:themeColor="text1"/>
        </w:rPr>
        <w:t xml:space="preserve"> participants</w:t>
      </w:r>
      <w:r w:rsidRPr="00FC7841">
        <w:rPr>
          <w:color w:val="000000" w:themeColor="text1"/>
        </w:rPr>
        <w:t>)</w:t>
      </w:r>
      <w:r w:rsidR="0010355B" w:rsidRPr="00FC7841">
        <w:rPr>
          <w:color w:val="000000" w:themeColor="text1"/>
        </w:rPr>
        <w:t>.</w:t>
      </w:r>
    </w:p>
    <w:p w14:paraId="20FF5C43" w14:textId="77777777" w:rsidR="00D93029" w:rsidRDefault="00D93029" w:rsidP="00D93029">
      <w:pPr>
        <w:pStyle w:val="Bullet1"/>
      </w:pPr>
      <w:r>
        <w:t xml:space="preserve">Aboriginal Elders and older people accessed aged care services at a rate of 7.6 per cent during the 2017-18 period. </w:t>
      </w:r>
    </w:p>
    <w:p w14:paraId="7F832B50" w14:textId="731719D6" w:rsidR="00D93029" w:rsidRDefault="00962633" w:rsidP="00D93029">
      <w:pPr>
        <w:pStyle w:val="Bullet1"/>
        <w:rPr>
          <w:rFonts w:eastAsia="Arial" w:cs="Arial"/>
        </w:rPr>
      </w:pPr>
      <w:r w:rsidRPr="00C3508C">
        <w:t>LGBT</w:t>
      </w:r>
      <w:r>
        <w:t>IQ</w:t>
      </w:r>
      <w:r w:rsidRPr="00C3508C">
        <w:t xml:space="preserve">+ </w:t>
      </w:r>
      <w:r w:rsidR="00D93029" w:rsidRPr="68AD148D">
        <w:t xml:space="preserve">services accessed by Aboriginal people were provided via programs such as </w:t>
      </w:r>
      <w:r w:rsidR="00D93029">
        <w:t>Nanyubak Yapaneyeputj: Dreaming together retreat, with 60 participants attending</w:t>
      </w:r>
      <w:r w:rsidR="0010355B">
        <w:t>.</w:t>
      </w:r>
      <w:r w:rsidR="00D93029">
        <w:t xml:space="preserve"> </w:t>
      </w:r>
      <w:r w:rsidR="00D93029" w:rsidRPr="68AD148D">
        <w:t xml:space="preserve"> </w:t>
      </w:r>
    </w:p>
    <w:p w14:paraId="304599AF" w14:textId="11090BA8" w:rsidR="00A32DED" w:rsidRPr="00D93029" w:rsidRDefault="00D93029" w:rsidP="00D93029">
      <w:pPr>
        <w:pStyle w:val="Bullet1"/>
        <w:rPr>
          <w:szCs w:val="21"/>
        </w:rPr>
      </w:pPr>
      <w:r w:rsidRPr="1949FE84">
        <w:rPr>
          <w:rFonts w:eastAsia="Arial" w:cs="Arial"/>
        </w:rPr>
        <w:t>The number of Aboriginal people employed in the health or social services sector almost doubled between 2006 and 2016</w:t>
      </w:r>
      <w:r w:rsidR="00AB44C7">
        <w:rPr>
          <w:rFonts w:eastAsia="Arial" w:cs="Arial"/>
        </w:rPr>
        <w:t>.</w:t>
      </w:r>
    </w:p>
    <w:p w14:paraId="04B7EAD4" w14:textId="77777777" w:rsidR="00F45ECE" w:rsidRDefault="00F45ECE" w:rsidP="00F45ECE">
      <w:pPr>
        <w:pStyle w:val="Heading3"/>
      </w:pPr>
      <w:r>
        <w:lastRenderedPageBreak/>
        <w:t>Find out more</w:t>
      </w:r>
    </w:p>
    <w:p w14:paraId="65E75932" w14:textId="4082B559" w:rsidR="00494C05" w:rsidRDefault="00A27FA3" w:rsidP="00494C05">
      <w:pPr>
        <w:pStyle w:val="Body"/>
      </w:pPr>
      <w:r>
        <w:rPr>
          <w:color w:val="2A2736"/>
          <w:szCs w:val="21"/>
        </w:rPr>
        <w:t xml:space="preserve">Find out more about </w:t>
      </w:r>
      <w:r>
        <w:t>Aboriginal and Torres Strait Islander health inequalities</w:t>
      </w:r>
      <w:r w:rsidR="00070056">
        <w:t xml:space="preserve"> in </w:t>
      </w:r>
      <w:r w:rsidR="0010355B">
        <w:t>‘</w:t>
      </w:r>
      <w:r w:rsidR="00693107" w:rsidRPr="00693107">
        <w:t xml:space="preserve">Chapter 9 – </w:t>
      </w:r>
      <w:r w:rsidR="004156E0">
        <w:t>Healthy Living</w:t>
      </w:r>
      <w:r w:rsidR="0010355B">
        <w:t>’</w:t>
      </w:r>
      <w:r w:rsidR="004156E0">
        <w:t xml:space="preserve"> and </w:t>
      </w:r>
      <w:r w:rsidR="0010355B">
        <w:t>‘</w:t>
      </w:r>
      <w:r w:rsidR="004156E0">
        <w:t xml:space="preserve">Chapter </w:t>
      </w:r>
      <w:r w:rsidR="004156E0" w:rsidRPr="00AB44C7">
        <w:t>10</w:t>
      </w:r>
      <w:r w:rsidR="004156E0">
        <w:t xml:space="preserve"> </w:t>
      </w:r>
      <w:r w:rsidR="0010355B">
        <w:t>–</w:t>
      </w:r>
      <w:r w:rsidR="00070056">
        <w:t xml:space="preserve"> </w:t>
      </w:r>
      <w:r w:rsidR="004156E0">
        <w:t>Maternal and infant health</w:t>
      </w:r>
      <w:r w:rsidR="0010355B">
        <w:t>’</w:t>
      </w:r>
      <w:r w:rsidR="00070056">
        <w:t>.</w:t>
      </w:r>
    </w:p>
    <w:p w14:paraId="7238E125" w14:textId="77777777" w:rsidR="00C4060E" w:rsidRDefault="00C4060E" w:rsidP="00B235CF">
      <w:pPr>
        <w:pStyle w:val="Heading3"/>
      </w:pPr>
      <w:r>
        <w:t>Aboriginal self-determination</w:t>
      </w:r>
    </w:p>
    <w:p w14:paraId="0B2246D9" w14:textId="5C5D8CE2" w:rsidR="00C4060E" w:rsidRPr="00EE559A" w:rsidRDefault="00C4060E" w:rsidP="00C4060E">
      <w:pPr>
        <w:pStyle w:val="Body"/>
      </w:pPr>
      <w:r w:rsidRPr="00EE559A">
        <w:t xml:space="preserve">This is a significant time for Aboriginal communities in Victoria. </w:t>
      </w:r>
      <w:r w:rsidR="008D46CA">
        <w:t>Since 2015, t</w:t>
      </w:r>
      <w:r w:rsidRPr="00EE559A">
        <w:t xml:space="preserve">he Victorian Government has committed to Aboriginal self-determination as the guiding principle and policy for Aboriginal affairs and </w:t>
      </w:r>
      <w:r w:rsidR="008D46CA">
        <w:t xml:space="preserve">adopted </w:t>
      </w:r>
      <w:r w:rsidRPr="00EE559A">
        <w:t xml:space="preserve">a vision that </w:t>
      </w:r>
      <w:r w:rsidR="008D46CA">
        <w:t>‘</w:t>
      </w:r>
      <w:r w:rsidRPr="00EE559A">
        <w:t>all Aboriginal Victorian people, families and communities are healthy, safe, resilient, thriving and living culturally rich lives</w:t>
      </w:r>
      <w:r w:rsidR="008D46CA">
        <w:t>’</w:t>
      </w:r>
      <w:r w:rsidRPr="00EE559A">
        <w:t xml:space="preserve"> (</w:t>
      </w:r>
      <w:r w:rsidRPr="00851351">
        <w:rPr>
          <w:i/>
          <w:iCs/>
        </w:rPr>
        <w:t>Victorian Aboriginal Affairs Framework 2018-2023</w:t>
      </w:r>
      <w:r w:rsidRPr="00EE559A">
        <w:t>)</w:t>
      </w:r>
      <w:r>
        <w:t>.</w:t>
      </w:r>
    </w:p>
    <w:p w14:paraId="3D04B6CB" w14:textId="75F12166" w:rsidR="00C4060E" w:rsidRPr="00EE559A" w:rsidRDefault="00C4060E" w:rsidP="00C4060E">
      <w:pPr>
        <w:pStyle w:val="Body"/>
      </w:pPr>
      <w:r w:rsidRPr="00EE559A">
        <w:t>The department has committed to improving Aboriginal cultural safety and advancing self-determination through multiple frameworks and plans, including:</w:t>
      </w:r>
    </w:p>
    <w:p w14:paraId="78E559EB" w14:textId="7DE724B9" w:rsidR="00C4060E" w:rsidRPr="00963188" w:rsidRDefault="00C4060E" w:rsidP="00C4060E">
      <w:pPr>
        <w:pStyle w:val="Bullet1"/>
      </w:pPr>
      <w:r w:rsidRPr="004E3A3D">
        <w:rPr>
          <w:i/>
          <w:iCs/>
        </w:rPr>
        <w:t>Korin Korin Balit-Djak</w:t>
      </w:r>
      <w:r w:rsidR="008D46CA">
        <w:t xml:space="preserve"> – </w:t>
      </w:r>
      <w:r w:rsidRPr="261266A1">
        <w:t>Aboriginal health, wellbeing and safety strategic plan 2017-2027</w:t>
      </w:r>
    </w:p>
    <w:p w14:paraId="11B773DA" w14:textId="7729FC93" w:rsidR="00C4060E" w:rsidRPr="00963188" w:rsidRDefault="00C4060E" w:rsidP="00C4060E">
      <w:pPr>
        <w:pStyle w:val="Bullet1"/>
      </w:pPr>
      <w:r w:rsidRPr="004E3A3D">
        <w:rPr>
          <w:i/>
          <w:iCs/>
        </w:rPr>
        <w:t>Balit Murrup</w:t>
      </w:r>
      <w:r w:rsidRPr="261266A1">
        <w:t xml:space="preserve"> </w:t>
      </w:r>
      <w:r w:rsidR="008D46CA">
        <w:t xml:space="preserve">– </w:t>
      </w:r>
      <w:r w:rsidRPr="261266A1">
        <w:t>social and emotional wellbeing framework 2017-2027</w:t>
      </w:r>
    </w:p>
    <w:p w14:paraId="45E41FD4" w14:textId="2778C0C0" w:rsidR="00C4060E" w:rsidRPr="00963188" w:rsidRDefault="008D46CA" w:rsidP="00C4060E">
      <w:pPr>
        <w:pStyle w:val="Bullet1"/>
      </w:pPr>
      <w:r>
        <w:t>t</w:t>
      </w:r>
      <w:r w:rsidR="00C4060E" w:rsidRPr="261266A1">
        <w:t xml:space="preserve">he department’s Aboriginal and Torres Strait Islander Cultural Safety Framework </w:t>
      </w:r>
    </w:p>
    <w:p w14:paraId="5BA5D33E" w14:textId="77777777" w:rsidR="00C4060E" w:rsidRPr="00963188" w:rsidRDefault="00C4060E" w:rsidP="00C4060E">
      <w:pPr>
        <w:pStyle w:val="Bullet1"/>
      </w:pPr>
      <w:r w:rsidRPr="261266A1">
        <w:t xml:space="preserve">Victoria’s implementation of the Closing the Gap Jurisdictional Implementation Plan </w:t>
      </w:r>
    </w:p>
    <w:p w14:paraId="03A5D974" w14:textId="5E873CD2" w:rsidR="00C4060E" w:rsidRDefault="008D46CA" w:rsidP="008D6090">
      <w:pPr>
        <w:pStyle w:val="Bullet1"/>
        <w:spacing w:after="120"/>
      </w:pPr>
      <w:r>
        <w:t>t</w:t>
      </w:r>
      <w:r w:rsidR="00C4060E" w:rsidRPr="261266A1">
        <w:t>argets committed under the Victorian Aboriginal Affairs Framework (VAAF) 2018-2023.</w:t>
      </w:r>
    </w:p>
    <w:p w14:paraId="213DA557" w14:textId="3EA13C77" w:rsidR="00C4060E" w:rsidRPr="00257D57" w:rsidRDefault="00C4060E" w:rsidP="00C4060E">
      <w:pPr>
        <w:pStyle w:val="Body"/>
      </w:pPr>
      <w:r w:rsidRPr="00257D57">
        <w:t xml:space="preserve">The </w:t>
      </w:r>
      <w:r w:rsidR="008D46CA">
        <w:t>VAAF</w:t>
      </w:r>
      <w:r w:rsidRPr="00257D57">
        <w:t xml:space="preserve"> is the Victorian Government’s framework for working with Aboriginal Victorians, organisations and the wider community to drive action and improve outcomes.</w:t>
      </w:r>
    </w:p>
    <w:p w14:paraId="54FCC289" w14:textId="77777777" w:rsidR="00C4060E" w:rsidRPr="00257D57" w:rsidRDefault="00C4060E" w:rsidP="00C4060E">
      <w:pPr>
        <w:pStyle w:val="Body"/>
      </w:pPr>
      <w:r w:rsidRPr="00257D57">
        <w:t>The VAAF is guided by the following Aboriginal self</w:t>
      </w:r>
      <w:r w:rsidRPr="00257D57">
        <w:rPr>
          <w:rFonts w:ascii="Cambria Math" w:hAnsi="Cambria Math" w:cs="Cambria Math"/>
        </w:rPr>
        <w:t>‑</w:t>
      </w:r>
      <w:r w:rsidRPr="00257D57">
        <w:t>determination enablers:</w:t>
      </w:r>
    </w:p>
    <w:p w14:paraId="7FBFE9FE" w14:textId="57FEC205" w:rsidR="00C4060E" w:rsidRPr="00B001A6" w:rsidRDefault="00C4060E" w:rsidP="00C4060E">
      <w:pPr>
        <w:pStyle w:val="Body"/>
        <w:rPr>
          <w:color w:val="2A2736"/>
        </w:rPr>
      </w:pPr>
      <w:r w:rsidRPr="261266A1">
        <w:rPr>
          <w:color w:val="2A2736"/>
        </w:rPr>
        <w:t>1. Prioritise culture</w:t>
      </w:r>
      <w:r w:rsidR="008D46CA">
        <w:rPr>
          <w:color w:val="2A2736"/>
        </w:rPr>
        <w:t>.</w:t>
      </w:r>
    </w:p>
    <w:p w14:paraId="0080A884" w14:textId="6BBDBD58" w:rsidR="00C4060E" w:rsidRPr="00B001A6" w:rsidRDefault="00C4060E" w:rsidP="00C4060E">
      <w:pPr>
        <w:pStyle w:val="Body"/>
        <w:rPr>
          <w:color w:val="2A2736"/>
        </w:rPr>
      </w:pPr>
      <w:r w:rsidRPr="261266A1">
        <w:rPr>
          <w:color w:val="2A2736"/>
        </w:rPr>
        <w:t>2. Address trauma and support healing</w:t>
      </w:r>
      <w:r w:rsidR="008D46CA">
        <w:rPr>
          <w:color w:val="2A2736"/>
        </w:rPr>
        <w:t>.</w:t>
      </w:r>
    </w:p>
    <w:p w14:paraId="62CD9183" w14:textId="4B73CFC3" w:rsidR="00C4060E" w:rsidRPr="00B001A6" w:rsidRDefault="00C4060E" w:rsidP="00C4060E">
      <w:pPr>
        <w:pStyle w:val="Body"/>
        <w:rPr>
          <w:color w:val="2A2736"/>
        </w:rPr>
      </w:pPr>
      <w:r w:rsidRPr="261266A1">
        <w:rPr>
          <w:color w:val="2A2736"/>
        </w:rPr>
        <w:t>3. Address racism and promote cultural safety</w:t>
      </w:r>
      <w:r w:rsidR="008D46CA">
        <w:rPr>
          <w:color w:val="2A2736"/>
        </w:rPr>
        <w:t>.</w:t>
      </w:r>
    </w:p>
    <w:p w14:paraId="03544C53" w14:textId="77777777" w:rsidR="00C4060E" w:rsidRDefault="00C4060E" w:rsidP="00C4060E">
      <w:pPr>
        <w:pStyle w:val="Body"/>
        <w:rPr>
          <w:color w:val="2A2736"/>
        </w:rPr>
      </w:pPr>
      <w:r w:rsidRPr="261266A1">
        <w:rPr>
          <w:color w:val="2A2736"/>
        </w:rPr>
        <w:t>4. Transfer power and resources to communities.</w:t>
      </w:r>
    </w:p>
    <w:p w14:paraId="5D0F682D" w14:textId="022D285B" w:rsidR="00A134E8" w:rsidRDefault="00ED475E" w:rsidP="00ED475E">
      <w:pPr>
        <w:pStyle w:val="Heading2"/>
      </w:pPr>
      <w:bookmarkStart w:id="72" w:name="_Toc116981330"/>
      <w:r>
        <w:t>Rural and regional Victorians</w:t>
      </w:r>
      <w:bookmarkEnd w:id="72"/>
    </w:p>
    <w:p w14:paraId="15D112AF" w14:textId="4EE98BFB" w:rsidR="00BB1B4E" w:rsidRDefault="00BB1B4E" w:rsidP="00BB1B4E">
      <w:pPr>
        <w:pStyle w:val="Body"/>
        <w:rPr>
          <w:rFonts w:eastAsia="Arial" w:cs="Arial"/>
          <w:color w:val="000000" w:themeColor="text1"/>
        </w:rPr>
      </w:pPr>
      <w:r>
        <w:t xml:space="preserve">In 2019, there were no statistically significant differences in the proportions of </w:t>
      </w:r>
      <w:r w:rsidR="1EEF97E3">
        <w:t xml:space="preserve">rural or metropolitan dwelling Victorian </w:t>
      </w:r>
      <w:r>
        <w:t>adults who smoked or met the national guidelines for alcohol consumption, fruit and vegetable consumption, and physical activity (</w:t>
      </w:r>
      <w:r w:rsidR="00505443">
        <w:rPr>
          <w:rFonts w:eastAsia="Arial" w:cs="Arial"/>
          <w:color w:val="000000" w:themeColor="text1"/>
        </w:rPr>
        <w:t>VAHI</w:t>
      </w:r>
      <w:r w:rsidR="008D46CA">
        <w:rPr>
          <w:rFonts w:eastAsia="Arial" w:cs="Arial"/>
          <w:color w:val="000000" w:themeColor="text1"/>
        </w:rPr>
        <w:t>,</w:t>
      </w:r>
      <w:r w:rsidRPr="1949FE84">
        <w:rPr>
          <w:rFonts w:eastAsia="Arial" w:cs="Arial"/>
          <w:color w:val="000000" w:themeColor="text1"/>
        </w:rPr>
        <w:t xml:space="preserve"> 2021). In contrast, 24.6</w:t>
      </w:r>
      <w:r w:rsidR="00667222" w:rsidRPr="00667222">
        <w:t xml:space="preserve"> </w:t>
      </w:r>
      <w:r w:rsidR="00667222">
        <w:t>per cent</w:t>
      </w:r>
      <w:r w:rsidRPr="1949FE84">
        <w:rPr>
          <w:rFonts w:eastAsia="Arial" w:cs="Arial"/>
          <w:color w:val="000000" w:themeColor="text1"/>
        </w:rPr>
        <w:t xml:space="preserve"> (95</w:t>
      </w:r>
      <w:r w:rsidR="00667222" w:rsidRPr="00667222">
        <w:t xml:space="preserve"> </w:t>
      </w:r>
      <w:r w:rsidR="00667222">
        <w:t>per cent</w:t>
      </w:r>
      <w:r w:rsidRPr="1949FE84">
        <w:rPr>
          <w:rFonts w:eastAsia="Arial" w:cs="Arial"/>
          <w:color w:val="000000" w:themeColor="text1"/>
        </w:rPr>
        <w:t xml:space="preserve"> confidence interval (CI): 22.1-27.2</w:t>
      </w:r>
      <w:r w:rsidR="00667222" w:rsidRPr="00667222">
        <w:t xml:space="preserve"> </w:t>
      </w:r>
      <w:r w:rsidR="00667222">
        <w:t>per cent</w:t>
      </w:r>
      <w:r w:rsidRPr="1949FE84">
        <w:rPr>
          <w:rFonts w:eastAsia="Arial" w:cs="Arial"/>
          <w:color w:val="000000" w:themeColor="text1"/>
        </w:rPr>
        <w:t>) of adults liv</w:t>
      </w:r>
      <w:r w:rsidR="008D46CA">
        <w:rPr>
          <w:rFonts w:eastAsia="Arial" w:cs="Arial"/>
          <w:color w:val="000000" w:themeColor="text1"/>
        </w:rPr>
        <w:t>ing</w:t>
      </w:r>
      <w:r w:rsidRPr="1949FE84">
        <w:rPr>
          <w:rFonts w:eastAsia="Arial" w:cs="Arial"/>
          <w:color w:val="000000" w:themeColor="text1"/>
        </w:rPr>
        <w:t xml:space="preserve"> in rural Victoria were obese compared with 19.1</w:t>
      </w:r>
      <w:r w:rsidR="00C15396" w:rsidRPr="00C15396">
        <w:t xml:space="preserve"> </w:t>
      </w:r>
      <w:r w:rsidR="00C15396">
        <w:t>per cent</w:t>
      </w:r>
      <w:r w:rsidRPr="1949FE84">
        <w:rPr>
          <w:rFonts w:eastAsia="Arial" w:cs="Arial"/>
          <w:color w:val="000000" w:themeColor="text1"/>
        </w:rPr>
        <w:t xml:space="preserve"> (95</w:t>
      </w:r>
      <w:r w:rsidR="00C15396" w:rsidRPr="00C15396">
        <w:t xml:space="preserve"> </w:t>
      </w:r>
      <w:r w:rsidR="00C15396">
        <w:t>per cent</w:t>
      </w:r>
      <w:r w:rsidRPr="1949FE84">
        <w:rPr>
          <w:rFonts w:eastAsia="Arial" w:cs="Arial"/>
          <w:color w:val="000000" w:themeColor="text1"/>
        </w:rPr>
        <w:t xml:space="preserve"> CI: 17.6-20.7</w:t>
      </w:r>
      <w:r w:rsidR="00C15396" w:rsidRPr="00C15396">
        <w:t xml:space="preserve"> </w:t>
      </w:r>
      <w:r w:rsidR="00C15396">
        <w:t>per cent</w:t>
      </w:r>
      <w:r w:rsidRPr="1949FE84">
        <w:rPr>
          <w:rFonts w:eastAsia="Arial" w:cs="Arial"/>
          <w:color w:val="000000" w:themeColor="text1"/>
        </w:rPr>
        <w:t>) of adults liv</w:t>
      </w:r>
      <w:r w:rsidR="008D46CA">
        <w:rPr>
          <w:rFonts w:eastAsia="Arial" w:cs="Arial"/>
          <w:color w:val="000000" w:themeColor="text1"/>
        </w:rPr>
        <w:t>ing</w:t>
      </w:r>
      <w:r w:rsidRPr="1949FE84">
        <w:rPr>
          <w:rFonts w:eastAsia="Arial" w:cs="Arial"/>
          <w:color w:val="000000" w:themeColor="text1"/>
        </w:rPr>
        <w:t xml:space="preserve"> in metropolitan Victoria.</w:t>
      </w:r>
    </w:p>
    <w:p w14:paraId="10C68BF5" w14:textId="101B5514" w:rsidR="00BB1B4E" w:rsidRDefault="00BB1B4E" w:rsidP="00BB1B4E">
      <w:pPr>
        <w:pStyle w:val="Body"/>
      </w:pPr>
      <w:r w:rsidRPr="2B49E6FA">
        <w:rPr>
          <w:rFonts w:eastAsia="Arial" w:cs="Arial"/>
          <w:color w:val="000000" w:themeColor="text1"/>
          <w:szCs w:val="21"/>
        </w:rPr>
        <w:t xml:space="preserve">There were also no </w:t>
      </w:r>
      <w:r>
        <w:t>statistically significant differences in the proportions of adults who had ever been told by a doctor that they had asthma, arthritis, cancer, heart disease, osteoporosis, type 2 diabetes, or stroke. Similarly, there</w:t>
      </w:r>
      <w:r w:rsidRPr="2B49E6FA">
        <w:rPr>
          <w:rFonts w:eastAsia="Arial" w:cs="Arial"/>
          <w:color w:val="000000" w:themeColor="text1"/>
          <w:szCs w:val="21"/>
        </w:rPr>
        <w:t xml:space="preserve"> were no </w:t>
      </w:r>
      <w:r>
        <w:t xml:space="preserve">statistically significant differences in the proportions of adults who reported high or very high psychological distress or had ever been told by a doctor that they had depression or anxiety. Overall, adults who lived in rural Victoria reported similar levels </w:t>
      </w:r>
      <w:r w:rsidR="008D46CA">
        <w:t xml:space="preserve">of </w:t>
      </w:r>
      <w:r>
        <w:t xml:space="preserve">health as </w:t>
      </w:r>
      <w:r w:rsidR="008D46CA">
        <w:t xml:space="preserve">adults who lived in </w:t>
      </w:r>
      <w:r>
        <w:t>metropolitan</w:t>
      </w:r>
      <w:r w:rsidR="008D46CA">
        <w:t xml:space="preserve"> Victoria</w:t>
      </w:r>
      <w:r>
        <w:t>.</w:t>
      </w:r>
    </w:p>
    <w:p w14:paraId="1B2CC634" w14:textId="5EFD86B2" w:rsidR="00ED475E" w:rsidRDefault="00ED475E" w:rsidP="00ED475E">
      <w:pPr>
        <w:pStyle w:val="Heading2"/>
      </w:pPr>
      <w:bookmarkStart w:id="73" w:name="_Toc116981332"/>
      <w:r>
        <w:t>Refugees</w:t>
      </w:r>
      <w:r w:rsidR="00B67F14">
        <w:t xml:space="preserve">, </w:t>
      </w:r>
      <w:r>
        <w:t>asylum seekers</w:t>
      </w:r>
      <w:bookmarkEnd w:id="73"/>
      <w:r w:rsidR="008D46CA">
        <w:t>,</w:t>
      </w:r>
      <w:r w:rsidR="00B67F14">
        <w:t xml:space="preserve"> and displaced persons</w:t>
      </w:r>
    </w:p>
    <w:p w14:paraId="2DF29AB1" w14:textId="65B4B1FF" w:rsidR="00B77D56" w:rsidRDefault="00F103E5" w:rsidP="00D80916">
      <w:pPr>
        <w:pStyle w:val="Body"/>
      </w:pPr>
      <w:r>
        <w:t>Globally, c</w:t>
      </w:r>
      <w:r w:rsidR="00D80916">
        <w:t xml:space="preserve">limate change is </w:t>
      </w:r>
      <w:r>
        <w:t xml:space="preserve">contributing to </w:t>
      </w:r>
      <w:r w:rsidR="00D80916">
        <w:t xml:space="preserve">displacement and making life harder for those already forced to flee. </w:t>
      </w:r>
      <w:r w:rsidR="00B77D56" w:rsidRPr="000346A7">
        <w:t xml:space="preserve">The 1951 Refugee Convention offers protection to </w:t>
      </w:r>
      <w:r w:rsidR="0095429E">
        <w:t>people</w:t>
      </w:r>
      <w:r w:rsidR="00B77D56" w:rsidRPr="000346A7">
        <w:t xml:space="preserve"> fleeing war and conflict </w:t>
      </w:r>
      <w:r w:rsidR="00B77D56" w:rsidRPr="000346A7">
        <w:lastRenderedPageBreak/>
        <w:t xml:space="preserve">who face persecution </w:t>
      </w:r>
      <w:r w:rsidR="008D46CA">
        <w:t xml:space="preserve">on </w:t>
      </w:r>
      <w:r w:rsidR="00B77D56" w:rsidRPr="000346A7">
        <w:t>grounds of race, religion, nationality, membership in a particular social group or political opinion</w:t>
      </w:r>
      <w:r w:rsidR="002A6168">
        <w:t xml:space="preserve"> </w:t>
      </w:r>
      <w:r w:rsidR="002A6168" w:rsidRPr="002A6168">
        <w:t>(</w:t>
      </w:r>
      <w:r w:rsidR="002A41DE" w:rsidRPr="002A41DE">
        <w:t>U</w:t>
      </w:r>
      <w:r w:rsidR="00A04373">
        <w:t>NHCR</w:t>
      </w:r>
      <w:r w:rsidR="002A41DE">
        <w:t xml:space="preserve">, </w:t>
      </w:r>
      <w:r w:rsidR="00A8584F">
        <w:t>1951</w:t>
      </w:r>
      <w:r w:rsidR="005861E7" w:rsidRPr="002A6168">
        <w:t>)</w:t>
      </w:r>
      <w:r w:rsidR="005861E7" w:rsidRPr="000346A7">
        <w:t>.</w:t>
      </w:r>
      <w:r w:rsidR="000346A7">
        <w:t xml:space="preserve"> However, </w:t>
      </w:r>
      <w:r w:rsidR="008D46CA">
        <w:t xml:space="preserve">people </w:t>
      </w:r>
      <w:r w:rsidR="000346A7" w:rsidRPr="006B35A4">
        <w:t xml:space="preserve">who leave their countries </w:t>
      </w:r>
      <w:r w:rsidR="008D46CA">
        <w:t xml:space="preserve">because </w:t>
      </w:r>
      <w:r w:rsidR="000346A7" w:rsidRPr="006B35A4">
        <w:t xml:space="preserve">of climate change or disasters do not </w:t>
      </w:r>
      <w:r w:rsidR="00CC1987">
        <w:t xml:space="preserve">currently </w:t>
      </w:r>
      <w:r w:rsidR="000346A7" w:rsidRPr="006B35A4">
        <w:t>qualify for protection under international law. </w:t>
      </w:r>
      <w:r w:rsidR="00D80916">
        <w:t>The impacts of climate change may both trigger displacement and worsen living conditions or hamper return for those who have already been displaced (United Nations Refugee Agency, 2019)</w:t>
      </w:r>
      <w:r w:rsidR="00603827">
        <w:t>.</w:t>
      </w:r>
      <w:r w:rsidR="008602E0">
        <w:t xml:space="preserve"> </w:t>
      </w:r>
    </w:p>
    <w:p w14:paraId="29D67D74" w14:textId="601D6FC2" w:rsidR="00D80916" w:rsidRDefault="00D80916" w:rsidP="00D80916">
      <w:pPr>
        <w:pStyle w:val="Body"/>
      </w:pPr>
      <w:r>
        <w:t xml:space="preserve">Victoria has a proud history of successfully settling humanitarian entrants and providing responsive and needs-based services to support new arrivals to settle into our thriving multicultural state. Victoria is typically the largest recipient of refugees in Australia, welcoming </w:t>
      </w:r>
      <w:r w:rsidR="008D46CA">
        <w:t xml:space="preserve">an average of </w:t>
      </w:r>
      <w:r>
        <w:t xml:space="preserve">around 4,000 refugees </w:t>
      </w:r>
      <w:r w:rsidR="008D46CA">
        <w:t xml:space="preserve">a </w:t>
      </w:r>
      <w:r>
        <w:t xml:space="preserve">year. </w:t>
      </w:r>
    </w:p>
    <w:p w14:paraId="24979B8A" w14:textId="6455436F" w:rsidR="00D80916" w:rsidRDefault="00D80916" w:rsidP="00D80916">
      <w:pPr>
        <w:pStyle w:val="Body"/>
      </w:pPr>
      <w:r>
        <w:t xml:space="preserve">While many refugees arrive in Australia as part of the offshore humanitarian program on permanent visas, a number of refugees and people seeking asylum reside for extended periods of time in the community on temporary visas. </w:t>
      </w:r>
    </w:p>
    <w:p w14:paraId="6736D326" w14:textId="77777777" w:rsidR="00D80916" w:rsidRDefault="00D80916" w:rsidP="003B43AD">
      <w:pPr>
        <w:pStyle w:val="Heading3"/>
      </w:pPr>
      <w:r>
        <w:t>Refugees and asylum seekers face more complex health needs</w:t>
      </w:r>
    </w:p>
    <w:p w14:paraId="3D4F46BA" w14:textId="6530FE24" w:rsidR="00D80916" w:rsidRDefault="00D80916" w:rsidP="00D80916">
      <w:pPr>
        <w:pStyle w:val="Body"/>
      </w:pPr>
      <w:r>
        <w:t xml:space="preserve">Refugees and people seeking asylum live with greater social and economic disadvantage </w:t>
      </w:r>
      <w:r w:rsidR="008D46CA">
        <w:t xml:space="preserve">and </w:t>
      </w:r>
      <w:r>
        <w:t>are more likely to experience health inequalities related to climate caused displacement (Victorian Government, 2019).</w:t>
      </w:r>
    </w:p>
    <w:p w14:paraId="255912F5" w14:textId="55A697B3" w:rsidR="00D80916" w:rsidRDefault="00D80916" w:rsidP="00D80916">
      <w:pPr>
        <w:pStyle w:val="Body"/>
      </w:pPr>
      <w:r>
        <w:t xml:space="preserve">People seeking asylum are one of the most vulnerable and disadvantaged groups in </w:t>
      </w:r>
      <w:r w:rsidR="008D46CA">
        <w:t xml:space="preserve">the Victorian </w:t>
      </w:r>
      <w:r>
        <w:t xml:space="preserve">community. </w:t>
      </w:r>
      <w:r w:rsidR="008D46CA">
        <w:t xml:space="preserve">Almost </w:t>
      </w:r>
      <w:r w:rsidRPr="0056203B">
        <w:t xml:space="preserve">60 per cent of asylum seekers in Australia have been close to death, 59 per cent have been forcibly separated from family, and more than half live with post-traumatic stress disorder </w:t>
      </w:r>
      <w:r w:rsidR="006427E0">
        <w:t>(PTS</w:t>
      </w:r>
      <w:r w:rsidR="00CD403D">
        <w:t xml:space="preserve">D) </w:t>
      </w:r>
      <w:r w:rsidRPr="0056203B">
        <w:t>or major depressive disorder (DHHS, 2019).</w:t>
      </w:r>
    </w:p>
    <w:p w14:paraId="6538FC1F" w14:textId="7366FA91" w:rsidR="00D80916" w:rsidRDefault="00D80916" w:rsidP="001F1AA7">
      <w:pPr>
        <w:rPr>
          <w:rFonts w:eastAsia="Times"/>
        </w:rPr>
      </w:pPr>
      <w:r>
        <w:rPr>
          <w:rFonts w:eastAsia="Times"/>
        </w:rPr>
        <w:t xml:space="preserve">In addition, people on temporary visas can experience the mental health impacts of: </w:t>
      </w:r>
    </w:p>
    <w:p w14:paraId="562D172A" w14:textId="77777777" w:rsidR="00D80916" w:rsidRDefault="00D80916" w:rsidP="00CD0524">
      <w:pPr>
        <w:pStyle w:val="Bullet1"/>
      </w:pPr>
      <w:r>
        <w:t>prolonged uncertainty</w:t>
      </w:r>
    </w:p>
    <w:p w14:paraId="1ADE814C" w14:textId="77777777" w:rsidR="00D80916" w:rsidRDefault="00D80916" w:rsidP="00CD0524">
      <w:pPr>
        <w:pStyle w:val="Bullet1"/>
      </w:pPr>
      <w:r>
        <w:t>indefinite separation from family in precarious circumstances</w:t>
      </w:r>
    </w:p>
    <w:p w14:paraId="65130EAF" w14:textId="77777777" w:rsidR="00D80916" w:rsidRDefault="00D80916" w:rsidP="001F1AA7">
      <w:pPr>
        <w:pStyle w:val="Bullet1"/>
        <w:spacing w:after="120"/>
      </w:pPr>
      <w:r>
        <w:t>barriers to accessing services due to their visa, Medicare, or income status.</w:t>
      </w:r>
    </w:p>
    <w:p w14:paraId="272733C1" w14:textId="452AF8A0" w:rsidR="00D80916" w:rsidRDefault="00C17D74" w:rsidP="00D80916">
      <w:pPr>
        <w:pStyle w:val="Body"/>
      </w:pPr>
      <w:r>
        <w:t>I</w:t>
      </w:r>
      <w:r w:rsidR="00D80916">
        <w:t xml:space="preserve">t is estimated that 6,000 people could be reliant on Victorian Government support to meet </w:t>
      </w:r>
      <w:r w:rsidR="008D46CA">
        <w:t xml:space="preserve">their </w:t>
      </w:r>
      <w:r w:rsidR="00D80916">
        <w:t>basic health and wellbeing needs. Th</w:t>
      </w:r>
      <w:r w:rsidR="008D46CA">
        <w:t xml:space="preserve">ese asylum seekers </w:t>
      </w:r>
      <w:r w:rsidR="00D80916">
        <w:t xml:space="preserve">include families and people with complex physical and mental health needs who have no income or savings. </w:t>
      </w:r>
    </w:p>
    <w:p w14:paraId="25F94756" w14:textId="3485E250" w:rsidR="00D80916" w:rsidRDefault="00D80916" w:rsidP="003B43AD">
      <w:pPr>
        <w:pStyle w:val="Heading3"/>
      </w:pPr>
      <w:r>
        <w:t xml:space="preserve">Health supports </w:t>
      </w:r>
      <w:r w:rsidR="0AEE9C90" w:rsidRPr="1949FE84">
        <w:t>for</w:t>
      </w:r>
      <w:r>
        <w:t xml:space="preserve"> asylum seekers and refugees</w:t>
      </w:r>
    </w:p>
    <w:p w14:paraId="67326803" w14:textId="215EC686" w:rsidR="00D80916" w:rsidRDefault="00D80916" w:rsidP="00D80916">
      <w:pPr>
        <w:pStyle w:val="Body"/>
      </w:pPr>
      <w:r>
        <w:t>The Victorian Government is committed to facilitating a safe, welcoming</w:t>
      </w:r>
      <w:r w:rsidR="008D46CA">
        <w:t>,</w:t>
      </w:r>
      <w:r>
        <w:t xml:space="preserve"> and inclusive society, in which services and support </w:t>
      </w:r>
      <w:r w:rsidR="008D46CA">
        <w:t xml:space="preserve">are universally accessible, </w:t>
      </w:r>
      <w:r>
        <w:t>regardless of visa status.</w:t>
      </w:r>
    </w:p>
    <w:p w14:paraId="13CD16A8" w14:textId="4BF2C644" w:rsidR="00D80916" w:rsidRDefault="00D80916" w:rsidP="00D80916">
      <w:pPr>
        <w:pStyle w:val="Body"/>
      </w:pPr>
      <w:r>
        <w:t>In Victoria, all refugees and people seeking asylum can access state-funded healthcare as admitted, non-admitted or emergency patients</w:t>
      </w:r>
      <w:r w:rsidR="008D46CA">
        <w:t>, regardless of their visa or Medicare status</w:t>
      </w:r>
      <w:r>
        <w:t xml:space="preserve">. </w:t>
      </w:r>
    </w:p>
    <w:p w14:paraId="3DEADD29" w14:textId="384965FA" w:rsidR="00D80916" w:rsidRDefault="00D80916" w:rsidP="00D80916">
      <w:pPr>
        <w:pStyle w:val="Body"/>
      </w:pPr>
      <w:r>
        <w:t>The Victorian Government committed $3 million in 2019</w:t>
      </w:r>
      <w:r w:rsidR="008D46CA">
        <w:t>-</w:t>
      </w:r>
      <w:r>
        <w:t xml:space="preserve">20 to address rising asylum seeker destitution and vulnerability. The funds </w:t>
      </w:r>
      <w:r w:rsidR="008D46CA">
        <w:t xml:space="preserve">were to </w:t>
      </w:r>
      <w:r>
        <w:t xml:space="preserve">boost the capacity of specialist asylum seeker programs to deliver crisis support and engage Victorian Government services in the immediate and longer-term response. </w:t>
      </w:r>
    </w:p>
    <w:p w14:paraId="76333539" w14:textId="033EBA4B" w:rsidR="00D80916" w:rsidRDefault="008D46CA" w:rsidP="00D80916">
      <w:pPr>
        <w:pStyle w:val="Body"/>
      </w:pPr>
      <w:r>
        <w:t>Victoria will provide p</w:t>
      </w:r>
      <w:r w:rsidR="00D80916">
        <w:t>eople seeking asylum with primary health care, mental health support, case coordination, and assistance for</w:t>
      </w:r>
      <w:r w:rsidR="00D80916">
        <w:rPr>
          <w:rFonts w:ascii="Cambria" w:eastAsia="Times New Roman" w:hAnsi="Cambria"/>
          <w:sz w:val="20"/>
        </w:rPr>
        <w:t xml:space="preserve"> </w:t>
      </w:r>
      <w:r w:rsidR="00D80916">
        <w:t>employment pathways, legal assistance</w:t>
      </w:r>
      <w:r>
        <w:t>,</w:t>
      </w:r>
      <w:r w:rsidR="00D80916">
        <w:t xml:space="preserve"> and basic needs. </w:t>
      </w:r>
    </w:p>
    <w:p w14:paraId="4B618090" w14:textId="77777777" w:rsidR="00D80916" w:rsidRDefault="00D80916" w:rsidP="00A33A9A">
      <w:pPr>
        <w:pStyle w:val="Heading3"/>
      </w:pPr>
      <w:r>
        <w:lastRenderedPageBreak/>
        <w:t>Find out more</w:t>
      </w:r>
    </w:p>
    <w:p w14:paraId="2D351265" w14:textId="7640C641" w:rsidR="00A33A9A" w:rsidRDefault="00D80916" w:rsidP="00D80916">
      <w:pPr>
        <w:pStyle w:val="Body"/>
      </w:pPr>
      <w:r>
        <w:t>Find out more about </w:t>
      </w:r>
      <w:bookmarkStart w:id="74" w:name="_Hlk121152943"/>
      <w:r w:rsidR="00C36B2A" w:rsidRPr="005669DC">
        <w:fldChar w:fldCharType="begin"/>
      </w:r>
      <w:r w:rsidR="00C36B2A" w:rsidRPr="005669DC">
        <w:instrText xml:space="preserve"> HYPERLINK "https://www.health.vic.gov.au/populations/refugee-and-asylum-seeker-health-and-wellbeing" </w:instrText>
      </w:r>
      <w:r w:rsidR="00C36B2A" w:rsidRPr="005669DC">
        <w:fldChar w:fldCharType="separate"/>
      </w:r>
      <w:r w:rsidRPr="005669DC">
        <w:rPr>
          <w:rStyle w:val="Hyperlink"/>
        </w:rPr>
        <w:t>Refugee and asylum seeker health and wellbeing</w:t>
      </w:r>
      <w:r w:rsidR="00C36B2A" w:rsidRPr="005669DC">
        <w:rPr>
          <w:rStyle w:val="Hyperlink"/>
        </w:rPr>
        <w:fldChar w:fldCharType="end"/>
      </w:r>
      <w:bookmarkEnd w:id="74"/>
      <w:r w:rsidRPr="005669DC">
        <w:t>.</w:t>
      </w:r>
      <w:r w:rsidR="00E23FC0" w:rsidRPr="005669DC">
        <w:t xml:space="preserve"> &lt;</w:t>
      </w:r>
      <w:r w:rsidR="00E23FC0" w:rsidRPr="00E23FC0">
        <w:t>https://www.health.vic.gov.au/populations/refugee-and-asylum-seeker-health-and-wellbeing</w:t>
      </w:r>
      <w:r w:rsidR="00E23FC0">
        <w:t>&gt;</w:t>
      </w:r>
      <w:r w:rsidR="008D6090">
        <w:t>.</w:t>
      </w:r>
    </w:p>
    <w:p w14:paraId="221B3898" w14:textId="77777777" w:rsidR="006F417F" w:rsidRDefault="006F417F" w:rsidP="006F417F">
      <w:pPr>
        <w:pStyle w:val="Heading2"/>
      </w:pPr>
      <w:bookmarkStart w:id="75" w:name="_Toc116981333"/>
      <w:r>
        <w:t>Sex and gender inequalities in health</w:t>
      </w:r>
      <w:bookmarkEnd w:id="75"/>
    </w:p>
    <w:p w14:paraId="6ED2E3C7" w14:textId="27E8D8F0" w:rsidR="00514D82" w:rsidRDefault="006F417F" w:rsidP="006F417F">
      <w:pPr>
        <w:spacing w:after="200" w:line="276" w:lineRule="auto"/>
      </w:pPr>
      <w:r>
        <w:t xml:space="preserve">While there are no universally accepted definitions of sex and gender, they are different and should not be used interchangeably. </w:t>
      </w:r>
    </w:p>
    <w:p w14:paraId="0956DB77" w14:textId="0BDFDB4B" w:rsidR="006F417F" w:rsidRPr="00926390" w:rsidRDefault="006F417F" w:rsidP="006F417F">
      <w:pPr>
        <w:spacing w:after="200" w:line="276" w:lineRule="auto"/>
      </w:pPr>
      <w:r>
        <w:t>The</w:t>
      </w:r>
      <w:r w:rsidRPr="00926390">
        <w:rPr>
          <w:rFonts w:eastAsia="Calibri" w:cs="Arial"/>
          <w:b/>
          <w:bCs/>
          <w:color w:val="000000"/>
          <w:kern w:val="24"/>
          <w:sz w:val="32"/>
          <w:szCs w:val="32"/>
          <w:lang w:eastAsia="en-AU"/>
        </w:rPr>
        <w:t xml:space="preserve"> </w:t>
      </w:r>
      <w:r w:rsidR="00514D82">
        <w:t>WHO</w:t>
      </w:r>
      <w:r w:rsidRPr="00926390">
        <w:t xml:space="preserve"> </w:t>
      </w:r>
      <w:r w:rsidR="00514D82">
        <w:t xml:space="preserve">has </w:t>
      </w:r>
      <w:r w:rsidRPr="00926390">
        <w:t>define</w:t>
      </w:r>
      <w:r w:rsidR="00514D82">
        <w:t>d</w:t>
      </w:r>
      <w:r w:rsidRPr="00926390">
        <w:t xml:space="preserve"> these concepts:</w:t>
      </w:r>
      <w:r w:rsidRPr="00926390">
        <w:rPr>
          <w:b/>
          <w:bCs/>
        </w:rPr>
        <w:t xml:space="preserve"> </w:t>
      </w:r>
    </w:p>
    <w:p w14:paraId="642E1934" w14:textId="77777777" w:rsidR="006F417F" w:rsidRPr="00926390" w:rsidRDefault="006F417F" w:rsidP="00B76F17">
      <w:pPr>
        <w:pStyle w:val="Bullet1"/>
      </w:pPr>
      <w:r w:rsidRPr="009060C0">
        <w:t>Sex ‘refers to the different biological and physiological characteristics of females, males and intersex persons, such as chromosomes, hormones and reproductive organs’.</w:t>
      </w:r>
    </w:p>
    <w:p w14:paraId="5789C9D7" w14:textId="70B5CB8A" w:rsidR="006F417F" w:rsidRPr="00926390" w:rsidRDefault="006F417F" w:rsidP="004C611A">
      <w:pPr>
        <w:pStyle w:val="Bullet1"/>
        <w:spacing w:after="120"/>
      </w:pPr>
      <w:r w:rsidRPr="009060C0">
        <w:t>‘Gender refers to the characteristics of women, men, girls</w:t>
      </w:r>
      <w:r w:rsidR="00514D82">
        <w:t>,</w:t>
      </w:r>
      <w:r w:rsidRPr="009060C0">
        <w:t xml:space="preserve"> and boys that are socially constructed. This includes norms, behaviours and roles associated with being a woman, man, girl</w:t>
      </w:r>
      <w:r w:rsidR="00514D82">
        <w:t>,</w:t>
      </w:r>
      <w:r w:rsidRPr="009060C0">
        <w:t xml:space="preserve"> or boy, as well as relationships with each other. As a social construct, gender varies from society to society and can change over time’</w:t>
      </w:r>
      <w:r w:rsidR="00C276A4">
        <w:t xml:space="preserve"> (WHO, 2022)</w:t>
      </w:r>
      <w:r w:rsidRPr="009060C0">
        <w:t xml:space="preserve">. </w:t>
      </w:r>
    </w:p>
    <w:p w14:paraId="5C1110CD" w14:textId="6C646DB9" w:rsidR="006F417F" w:rsidRPr="00926390" w:rsidRDefault="006F417F" w:rsidP="006F417F">
      <w:pPr>
        <w:spacing w:after="200" w:line="276" w:lineRule="auto"/>
      </w:pPr>
      <w:r w:rsidRPr="00926390">
        <w:t>Sex and gender interact with each other</w:t>
      </w:r>
      <w:r w:rsidR="00C83C4C">
        <w:t xml:space="preserve">. They also interact </w:t>
      </w:r>
      <w:r w:rsidRPr="00926390">
        <w:t xml:space="preserve">with age, </w:t>
      </w:r>
      <w:r>
        <w:t>socio-economic status</w:t>
      </w:r>
      <w:r w:rsidRPr="00926390">
        <w:t>, religion, ethnici</w:t>
      </w:r>
      <w:r>
        <w:t>ty and other social and economic determinants of health</w:t>
      </w:r>
      <w:r w:rsidR="00780D43">
        <w:t xml:space="preserve">. This </w:t>
      </w:r>
      <w:r w:rsidR="00C83C4C">
        <w:t xml:space="preserve">interaction </w:t>
      </w:r>
      <w:r w:rsidR="00780D43">
        <w:t xml:space="preserve">is </w:t>
      </w:r>
      <w:r w:rsidR="00C83C4C">
        <w:t xml:space="preserve">known as </w:t>
      </w:r>
      <w:r w:rsidRPr="00926390">
        <w:t>intersectionality</w:t>
      </w:r>
      <w:r>
        <w:t>.</w:t>
      </w:r>
    </w:p>
    <w:p w14:paraId="04FE279F" w14:textId="63D25614" w:rsidR="000E5ED5" w:rsidRDefault="006F417F" w:rsidP="006F417F">
      <w:pPr>
        <w:spacing w:after="200" w:line="276" w:lineRule="auto"/>
      </w:pPr>
      <w:r w:rsidRPr="00D20BAA">
        <w:t>The</w:t>
      </w:r>
      <w:r>
        <w:t>re is ample evidence that r</w:t>
      </w:r>
      <w:r w:rsidRPr="00D20BAA">
        <w:t xml:space="preserve">isk of developing certain diseases, the way </w:t>
      </w:r>
      <w:r>
        <w:t>people</w:t>
      </w:r>
      <w:r w:rsidRPr="00D20BAA">
        <w:t xml:space="preserve"> present with disease, how well </w:t>
      </w:r>
      <w:r>
        <w:t>people</w:t>
      </w:r>
      <w:r w:rsidRPr="00D20BAA">
        <w:t xml:space="preserve"> respond to treatments, and </w:t>
      </w:r>
      <w:r>
        <w:t>people’s</w:t>
      </w:r>
      <w:r w:rsidRPr="00D20BAA">
        <w:t xml:space="preserve"> health seeking behaviour</w:t>
      </w:r>
      <w:r w:rsidRPr="000F226C">
        <w:t xml:space="preserve">, are all influenced by </w:t>
      </w:r>
      <w:r w:rsidR="00C83C4C">
        <w:t xml:space="preserve">either </w:t>
      </w:r>
      <w:r w:rsidRPr="000F226C">
        <w:t>sex</w:t>
      </w:r>
      <w:r w:rsidR="00C83C4C">
        <w:t xml:space="preserve"> or</w:t>
      </w:r>
      <w:r w:rsidRPr="000F226C">
        <w:t xml:space="preserve"> gender</w:t>
      </w:r>
      <w:r>
        <w:t xml:space="preserve"> or both sex and gender</w:t>
      </w:r>
      <w:r w:rsidRPr="00D20BAA">
        <w:t xml:space="preserve">. </w:t>
      </w:r>
    </w:p>
    <w:p w14:paraId="15BE5E32" w14:textId="43882AA1" w:rsidR="006F417F" w:rsidRDefault="006F417F" w:rsidP="006F417F">
      <w:pPr>
        <w:spacing w:after="200" w:line="276" w:lineRule="auto"/>
      </w:pPr>
      <w:r>
        <w:t>Th</w:t>
      </w:r>
      <w:r w:rsidR="00C83C4C">
        <w:t>at is because th</w:t>
      </w:r>
      <w:r>
        <w:t xml:space="preserve">ere are conditions unique to females, such as peripartum cardiomyopathy, </w:t>
      </w:r>
      <w:r w:rsidR="00C83C4C">
        <w:t xml:space="preserve">as well as </w:t>
      </w:r>
      <w:r>
        <w:t xml:space="preserve">chronic illnesses </w:t>
      </w:r>
      <w:r w:rsidR="00C83C4C">
        <w:t xml:space="preserve">that </w:t>
      </w:r>
      <w:r>
        <w:t xml:space="preserve">have different prevalence rates in different sexes. For example, overall, cancer is more prevalent </w:t>
      </w:r>
      <w:r w:rsidR="2465A9A5">
        <w:t>among</w:t>
      </w:r>
      <w:r>
        <w:t xml:space="preserve"> males</w:t>
      </w:r>
      <w:r w:rsidR="00C83C4C">
        <w:t>,</w:t>
      </w:r>
      <w:r>
        <w:t xml:space="preserve"> </w:t>
      </w:r>
      <w:r w:rsidR="00A84168">
        <w:t>who</w:t>
      </w:r>
      <w:r>
        <w:t xml:space="preserve"> also have </w:t>
      </w:r>
      <w:r w:rsidR="0B1B4022">
        <w:t xml:space="preserve">a </w:t>
      </w:r>
      <w:r>
        <w:t xml:space="preserve">higher mortality than females. </w:t>
      </w:r>
      <w:r w:rsidR="00C83C4C">
        <w:t xml:space="preserve">However, although </w:t>
      </w:r>
      <w:r>
        <w:t xml:space="preserve">there are common risk factors for developing chronic conditions, such as obesity, </w:t>
      </w:r>
      <w:r w:rsidR="3AD43751">
        <w:t xml:space="preserve">the </w:t>
      </w:r>
      <w:r>
        <w:t xml:space="preserve">incidence of heart failure is higher </w:t>
      </w:r>
      <w:r w:rsidR="00C83C4C">
        <w:t xml:space="preserve">among </w:t>
      </w:r>
      <w:r>
        <w:t xml:space="preserve">women </w:t>
      </w:r>
      <w:r w:rsidR="00C83C4C">
        <w:t xml:space="preserve">who are obese </w:t>
      </w:r>
      <w:r>
        <w:t>than men who are obese</w:t>
      </w:r>
      <w:r w:rsidR="00C276A4">
        <w:t xml:space="preserve"> (</w:t>
      </w:r>
      <w:r w:rsidR="00C276A4" w:rsidRPr="000B3F94">
        <w:rPr>
          <w:rStyle w:val="Strong"/>
          <w:rFonts w:cs="Arial"/>
          <w:b w:val="0"/>
          <w:color w:val="383838"/>
          <w:bdr w:val="none" w:sz="0" w:space="0" w:color="auto" w:frame="1"/>
        </w:rPr>
        <w:t>Mauvais-Jarvis</w:t>
      </w:r>
      <w:r w:rsidR="00C276A4">
        <w:rPr>
          <w:rStyle w:val="Strong"/>
          <w:rFonts w:cs="Arial"/>
          <w:b w:val="0"/>
          <w:color w:val="383838"/>
          <w:bdr w:val="none" w:sz="0" w:space="0" w:color="auto" w:frame="1"/>
        </w:rPr>
        <w:t>, 2020)</w:t>
      </w:r>
      <w:r>
        <w:t>.</w:t>
      </w:r>
    </w:p>
    <w:p w14:paraId="14721941" w14:textId="32222C8E" w:rsidR="00371AAD" w:rsidRDefault="00A717B4" w:rsidP="006F417F">
      <w:pPr>
        <w:spacing w:after="200" w:line="276" w:lineRule="auto"/>
      </w:pPr>
      <w:r>
        <w:t xml:space="preserve">Some climate-related health impacts also differ between genders. For example, </w:t>
      </w:r>
      <w:r w:rsidR="00874795">
        <w:t>male suicide rates have been found to increase faster with increasing temperatures</w:t>
      </w:r>
      <w:r w:rsidR="00AC410C">
        <w:t>, and</w:t>
      </w:r>
      <w:r w:rsidR="00874795">
        <w:t xml:space="preserve"> </w:t>
      </w:r>
      <w:r>
        <w:t>mortality from heatwaves is higher in women</w:t>
      </w:r>
      <w:r w:rsidR="00D759D4">
        <w:t xml:space="preserve"> (Beggs </w:t>
      </w:r>
      <w:r w:rsidR="00D759D4" w:rsidRPr="00BE0D2F">
        <w:t>et al</w:t>
      </w:r>
      <w:r w:rsidR="00C83C4C">
        <w:t>,</w:t>
      </w:r>
      <w:r w:rsidR="00D759D4">
        <w:t xml:space="preserve"> 2019</w:t>
      </w:r>
      <w:r w:rsidR="00C83C4C">
        <w:t>;</w:t>
      </w:r>
      <w:r w:rsidR="0078271C">
        <w:t xml:space="preserve"> Malone</w:t>
      </w:r>
      <w:r w:rsidR="00C83C4C">
        <w:t>,</w:t>
      </w:r>
      <w:r w:rsidR="0078271C">
        <w:t xml:space="preserve"> </w:t>
      </w:r>
      <w:r w:rsidR="00621EF3">
        <w:t>2009</w:t>
      </w:r>
      <w:r w:rsidR="00D759D4">
        <w:t>)</w:t>
      </w:r>
      <w:r w:rsidR="00974EA9">
        <w:t xml:space="preserve">. </w:t>
      </w:r>
      <w:r w:rsidR="00545087">
        <w:t>W</w:t>
      </w:r>
      <w:r>
        <w:t xml:space="preserve">omen are </w:t>
      </w:r>
      <w:r w:rsidR="00545087">
        <w:t xml:space="preserve">also </w:t>
      </w:r>
      <w:r>
        <w:t>disproportionately impacted by climate change</w:t>
      </w:r>
      <w:r w:rsidR="00545087">
        <w:t xml:space="preserve"> in </w:t>
      </w:r>
      <w:r>
        <w:t>emergency and disaster situation</w:t>
      </w:r>
      <w:r w:rsidR="008B6C94">
        <w:t>s</w:t>
      </w:r>
      <w:r w:rsidR="00C83C4C">
        <w:t>, such as</w:t>
      </w:r>
      <w:r w:rsidR="008B6C94">
        <w:t xml:space="preserve"> through increases in violence against women</w:t>
      </w:r>
      <w:r w:rsidR="00D435C0">
        <w:t xml:space="preserve"> </w:t>
      </w:r>
      <w:r w:rsidR="005E59A8">
        <w:t xml:space="preserve">following bushfires </w:t>
      </w:r>
      <w:r w:rsidR="00D435C0">
        <w:t>(</w:t>
      </w:r>
      <w:r w:rsidR="005E59A8">
        <w:t>Parkinson</w:t>
      </w:r>
      <w:r w:rsidR="00C83C4C">
        <w:t>,</w:t>
      </w:r>
      <w:r w:rsidR="005E59A8">
        <w:t xml:space="preserve"> 2011 and 2019)</w:t>
      </w:r>
      <w:r>
        <w:t xml:space="preserve">. </w:t>
      </w:r>
      <w:r w:rsidR="00FF231A">
        <w:t>These situations</w:t>
      </w:r>
      <w:r>
        <w:t xml:space="preserve"> also place pressure on people to conform to gender stereotypes and </w:t>
      </w:r>
      <w:r w:rsidR="00FF231A">
        <w:t xml:space="preserve">can </w:t>
      </w:r>
      <w:r>
        <w:t>exacerbate existing gender inequalities</w:t>
      </w:r>
      <w:r w:rsidR="00C83C4C">
        <w:t xml:space="preserve"> – </w:t>
      </w:r>
      <w:r w:rsidR="00147A7C">
        <w:t>resulting in</w:t>
      </w:r>
      <w:r>
        <w:t xml:space="preserve"> unequal health, social</w:t>
      </w:r>
      <w:r w:rsidR="00C83C4C">
        <w:t>,</w:t>
      </w:r>
      <w:r>
        <w:t xml:space="preserve"> and economic outcomes for people of all genders</w:t>
      </w:r>
      <w:r w:rsidR="00147A7C">
        <w:t xml:space="preserve"> (</w:t>
      </w:r>
      <w:r w:rsidR="00230D20">
        <w:t>Tyler and Fairbrother</w:t>
      </w:r>
      <w:r w:rsidR="00C83C4C">
        <w:t>,</w:t>
      </w:r>
      <w:r w:rsidR="00230D20">
        <w:t xml:space="preserve"> </w:t>
      </w:r>
      <w:r w:rsidR="00565CA0">
        <w:t>2013)</w:t>
      </w:r>
      <w:r>
        <w:t xml:space="preserve">. </w:t>
      </w:r>
    </w:p>
    <w:p w14:paraId="2F740DB4" w14:textId="64140D3D" w:rsidR="006F417F" w:rsidRDefault="006F417F" w:rsidP="006F417F">
      <w:pPr>
        <w:spacing w:after="200" w:line="276" w:lineRule="auto"/>
      </w:pPr>
      <w:r>
        <w:t xml:space="preserve">Despite </w:t>
      </w:r>
      <w:r w:rsidRPr="000B3F94">
        <w:rPr>
          <w:rFonts w:eastAsia="Times"/>
        </w:rPr>
        <w:t>fundamental differences within and between the sexes</w:t>
      </w:r>
      <w:r>
        <w:t>, research is often</w:t>
      </w:r>
      <w:r w:rsidRPr="000B3F94">
        <w:t xml:space="preserve"> </w:t>
      </w:r>
      <w:r w:rsidRPr="000B3F94">
        <w:rPr>
          <w:rFonts w:eastAsia="Times"/>
        </w:rPr>
        <w:t xml:space="preserve">conducted in males </w:t>
      </w:r>
      <w:r>
        <w:t xml:space="preserve">only, but findings </w:t>
      </w:r>
      <w:r w:rsidR="7535EDBE">
        <w:t xml:space="preserve">are </w:t>
      </w:r>
      <w:r w:rsidRPr="000B3F94">
        <w:rPr>
          <w:rFonts w:eastAsia="Times"/>
        </w:rPr>
        <w:t>generalised</w:t>
      </w:r>
      <w:r>
        <w:t xml:space="preserve"> </w:t>
      </w:r>
      <w:r w:rsidRPr="000B3F94">
        <w:rPr>
          <w:rFonts w:eastAsia="Times"/>
        </w:rPr>
        <w:t xml:space="preserve">to females. </w:t>
      </w:r>
      <w:r>
        <w:t>Clinical guidelines are not sex</w:t>
      </w:r>
      <w:r w:rsidR="00C83C4C">
        <w:t>-</w:t>
      </w:r>
      <w:r>
        <w:t>specific, for example</w:t>
      </w:r>
      <w:r w:rsidR="00C83C4C">
        <w:t>,</w:t>
      </w:r>
      <w:r>
        <w:t xml:space="preserve"> in relation to preventing </w:t>
      </w:r>
      <w:r w:rsidR="05DD55C8">
        <w:t xml:space="preserve">type 2 </w:t>
      </w:r>
      <w:r w:rsidRPr="000B3F94">
        <w:rPr>
          <w:rFonts w:eastAsia="Times"/>
        </w:rPr>
        <w:t xml:space="preserve">diabetes </w:t>
      </w:r>
      <w:r>
        <w:t xml:space="preserve">in women who have had </w:t>
      </w:r>
      <w:r w:rsidRPr="000B3F94">
        <w:rPr>
          <w:rFonts w:eastAsia="Times"/>
        </w:rPr>
        <w:t>gestational diabetes</w:t>
      </w:r>
      <w:r>
        <w:t>.</w:t>
      </w:r>
    </w:p>
    <w:p w14:paraId="123E6C03" w14:textId="5293B2A6" w:rsidR="006F417F" w:rsidRDefault="00C83C4C" w:rsidP="006F417F">
      <w:pPr>
        <w:autoSpaceDE w:val="0"/>
        <w:autoSpaceDN w:val="0"/>
        <w:adjustRightInd w:val="0"/>
      </w:pPr>
      <w:r>
        <w:t xml:space="preserve">A lack of </w:t>
      </w:r>
      <w:r w:rsidR="006F417F" w:rsidRPr="00E720F4">
        <w:t xml:space="preserve">due consideration to sex and gender in health research, policy and practice, </w:t>
      </w:r>
      <w:r>
        <w:t xml:space="preserve">can contribute to </w:t>
      </w:r>
      <w:r w:rsidR="006F417F">
        <w:t>lower standard</w:t>
      </w:r>
      <w:r>
        <w:t>s</w:t>
      </w:r>
      <w:r w:rsidR="006F417F">
        <w:t xml:space="preserve"> of </w:t>
      </w:r>
      <w:r w:rsidR="006F417F" w:rsidRPr="00E720F4">
        <w:t xml:space="preserve">care, </w:t>
      </w:r>
      <w:r>
        <w:t xml:space="preserve">an </w:t>
      </w:r>
      <w:r w:rsidR="006F417F">
        <w:t>increase</w:t>
      </w:r>
      <w:r>
        <w:t>d</w:t>
      </w:r>
      <w:r w:rsidR="006F417F">
        <w:t xml:space="preserve"> likelihood of</w:t>
      </w:r>
      <w:r w:rsidR="006F417F" w:rsidRPr="00E720F4">
        <w:t xml:space="preserve"> adverse health events</w:t>
      </w:r>
      <w:r>
        <w:t>,</w:t>
      </w:r>
      <w:r w:rsidR="006F417F" w:rsidRPr="00E720F4">
        <w:t xml:space="preserve"> and higher health costs</w:t>
      </w:r>
      <w:r>
        <w:t>.</w:t>
      </w:r>
      <w:r w:rsidR="006F417F" w:rsidRPr="00E720F4">
        <w:t xml:space="preserve"> </w:t>
      </w:r>
    </w:p>
    <w:p w14:paraId="7FC27CB6" w14:textId="7E93D0C2" w:rsidR="006F417F" w:rsidRPr="000B3F94" w:rsidRDefault="006F417F" w:rsidP="006F417F">
      <w:pPr>
        <w:autoSpaceDE w:val="0"/>
        <w:autoSpaceDN w:val="0"/>
        <w:adjustRightInd w:val="0"/>
      </w:pPr>
      <w:r>
        <w:lastRenderedPageBreak/>
        <w:t xml:space="preserve">In partnership with the Victorian Agency for Health Information </w:t>
      </w:r>
      <w:r w:rsidR="00CD3A0A">
        <w:t xml:space="preserve">(VAHI) </w:t>
      </w:r>
      <w:r>
        <w:t xml:space="preserve">and Safer Care Victoria, the </w:t>
      </w:r>
      <w:r w:rsidR="00C83C4C">
        <w:t xml:space="preserve">department </w:t>
      </w:r>
      <w:r>
        <w:t xml:space="preserve">is embedding the inclusion of sex and gender </w:t>
      </w:r>
      <w:r w:rsidRPr="00A11128">
        <w:t xml:space="preserve">in study design, data </w:t>
      </w:r>
      <w:r>
        <w:t xml:space="preserve">collection, </w:t>
      </w:r>
      <w:r w:rsidRPr="00A11128">
        <w:t xml:space="preserve">analysis and </w:t>
      </w:r>
      <w:r>
        <w:t>interpretation as part of quality</w:t>
      </w:r>
      <w:r w:rsidR="00C83C4C">
        <w:t>-</w:t>
      </w:r>
      <w:r>
        <w:t xml:space="preserve">improvement initiatives. </w:t>
      </w:r>
    </w:p>
    <w:p w14:paraId="63375936" w14:textId="77777777" w:rsidR="006F417F" w:rsidRPr="009708D6" w:rsidRDefault="006F417F" w:rsidP="006F417F">
      <w:pPr>
        <w:pStyle w:val="Body"/>
        <w:rPr>
          <w:i/>
          <w:iCs/>
        </w:rPr>
      </w:pPr>
      <w:r w:rsidRPr="009708D6">
        <w:rPr>
          <w:rFonts w:eastAsia="Times New Roman"/>
          <w:i/>
          <w:iCs/>
        </w:rPr>
        <w:t>Snapshot of sex and gender differences in health conditions and outcomes</w:t>
      </w:r>
    </w:p>
    <w:p w14:paraId="5D6659A3" w14:textId="5E087AF0" w:rsidR="006F417F" w:rsidRPr="000B3F94" w:rsidRDefault="006F417F" w:rsidP="00B76F17">
      <w:pPr>
        <w:pStyle w:val="Bullet1"/>
      </w:pPr>
      <w:r w:rsidRPr="000B3F94">
        <w:t xml:space="preserve">The </w:t>
      </w:r>
      <w:r w:rsidR="6CEC0B7D">
        <w:t xml:space="preserve">reference range of the </w:t>
      </w:r>
      <w:r w:rsidR="5B1C39CB">
        <w:t>diagnos</w:t>
      </w:r>
      <w:r w:rsidR="7B9C8422">
        <w:t>tic</w:t>
      </w:r>
      <w:r w:rsidR="5B1C39CB">
        <w:t xml:space="preserve"> </w:t>
      </w:r>
      <w:r w:rsidR="226CF450">
        <w:t>blood test</w:t>
      </w:r>
      <w:r w:rsidRPr="000B3F94">
        <w:t xml:space="preserve"> for heart attack </w:t>
      </w:r>
      <w:r w:rsidR="67D892AB">
        <w:t xml:space="preserve">(serum troponin) </w:t>
      </w:r>
      <w:r w:rsidRPr="000B3F94">
        <w:t>favours male biology, which means that many</w:t>
      </w:r>
      <w:r>
        <w:t xml:space="preserve"> women</w:t>
      </w:r>
      <w:r w:rsidRPr="000B3F94">
        <w:t xml:space="preserve"> experience a delayed diagnosis or a misdiagnosis.</w:t>
      </w:r>
    </w:p>
    <w:p w14:paraId="3A89A712" w14:textId="77777777" w:rsidR="006F417F" w:rsidRPr="000B3F94" w:rsidRDefault="006F417F" w:rsidP="00B76F17">
      <w:pPr>
        <w:pStyle w:val="Bullet1"/>
      </w:pPr>
      <w:r w:rsidRPr="000B3F94">
        <w:t>Women often underestimate their risk of myocardial infarction compared with men and seek consultation later than men</w:t>
      </w:r>
      <w:r>
        <w:t>.</w:t>
      </w:r>
    </w:p>
    <w:p w14:paraId="4DDB23BF" w14:textId="77777777" w:rsidR="006F417F" w:rsidRPr="000B3F94" w:rsidRDefault="006F417F" w:rsidP="00B76F17">
      <w:pPr>
        <w:pStyle w:val="Bullet1"/>
      </w:pPr>
      <w:r w:rsidRPr="000B3F94">
        <w:t xml:space="preserve">With the onset of menopause, the risk of cardiovascular disease, breast cancer, and osteoporosis increases significantly. </w:t>
      </w:r>
    </w:p>
    <w:p w14:paraId="6AF737CB" w14:textId="2010EF8D" w:rsidR="006F417F" w:rsidRPr="000B3F94" w:rsidRDefault="006F417F" w:rsidP="00B76F17">
      <w:pPr>
        <w:pStyle w:val="Bullet1"/>
      </w:pPr>
      <w:r w:rsidRPr="000B3F94">
        <w:t xml:space="preserve">Orthopaedic devices are designed </w:t>
      </w:r>
      <w:r w:rsidR="4EA5FC15">
        <w:t xml:space="preserve">based </w:t>
      </w:r>
      <w:r w:rsidRPr="000B3F94">
        <w:t xml:space="preserve">on </w:t>
      </w:r>
      <w:r w:rsidR="1DC67C05">
        <w:t>the</w:t>
      </w:r>
      <w:r w:rsidRPr="000B3F94">
        <w:t xml:space="preserve"> anatomy </w:t>
      </w:r>
      <w:r w:rsidR="6D7637C2">
        <w:t>of men</w:t>
      </w:r>
      <w:r w:rsidR="00C83C4C">
        <w:t>,</w:t>
      </w:r>
      <w:r w:rsidR="5B1C39CB">
        <w:t xml:space="preserve"> </w:t>
      </w:r>
      <w:r w:rsidRPr="000B3F94">
        <w:t>which contributes to higher complications and higher avoidable costs of care for women.</w:t>
      </w:r>
    </w:p>
    <w:p w14:paraId="4F9B0115" w14:textId="1C667A41" w:rsidR="006F417F" w:rsidRDefault="006F417F" w:rsidP="00BB18FE">
      <w:pPr>
        <w:pStyle w:val="Bullet1"/>
      </w:pPr>
      <w:r w:rsidRPr="000B3F94">
        <w:t>Autoimmune diseases affect approximately 8</w:t>
      </w:r>
      <w:r>
        <w:t xml:space="preserve"> per cent</w:t>
      </w:r>
      <w:r w:rsidRPr="000B3F94">
        <w:t xml:space="preserve"> of the global population, but close to 80</w:t>
      </w:r>
      <w:r>
        <w:t xml:space="preserve"> per cent</w:t>
      </w:r>
      <w:r w:rsidRPr="000B3F94">
        <w:t xml:space="preserve"> of those </w:t>
      </w:r>
      <w:r w:rsidR="6636BD7B">
        <w:t>impacted</w:t>
      </w:r>
      <w:r w:rsidRPr="000B3F94">
        <w:t xml:space="preserve"> are</w:t>
      </w:r>
      <w:r>
        <w:t xml:space="preserve"> women.</w:t>
      </w:r>
      <w:r w:rsidRPr="000B3F94">
        <w:t xml:space="preserve"> </w:t>
      </w:r>
    </w:p>
    <w:p w14:paraId="1083D3A5" w14:textId="05112B7B" w:rsidR="00655AF8" w:rsidRDefault="00655AF8" w:rsidP="00655AF8">
      <w:pPr>
        <w:pStyle w:val="Heading2"/>
      </w:pPr>
      <w:r>
        <w:t xml:space="preserve">Lesbian, gay, bisexual, trans and gender diverse, intersex, queer and/or questioning </w:t>
      </w:r>
      <w:r w:rsidRPr="00B37FC1">
        <w:t>(LGBTIQ</w:t>
      </w:r>
      <w:r>
        <w:t>+)</w:t>
      </w:r>
      <w:r w:rsidRPr="00B37FC1">
        <w:t xml:space="preserve"> </w:t>
      </w:r>
      <w:r>
        <w:t xml:space="preserve">Victorians  </w:t>
      </w:r>
    </w:p>
    <w:p w14:paraId="2C5B22E1" w14:textId="05112B7B" w:rsidR="00655AF8" w:rsidRPr="00585DCC" w:rsidRDefault="00655AF8" w:rsidP="00655AF8">
      <w:pPr>
        <w:pStyle w:val="Heading3"/>
      </w:pPr>
      <w:r w:rsidRPr="00585DCC">
        <w:t>How many people identify as LGBTIQ+?</w:t>
      </w:r>
    </w:p>
    <w:p w14:paraId="3F55E595" w14:textId="73DB6B9A" w:rsidR="00655AF8" w:rsidRDefault="00655AF8" w:rsidP="00655AF8">
      <w:pPr>
        <w:pStyle w:val="Body"/>
      </w:pPr>
      <w:r>
        <w:t xml:space="preserve">The proportion of lesbian, gay, bisexual, trans and gender diverse, intersex, queer and/or questioning (LGBTIQ+) people living in Victoria </w:t>
      </w:r>
      <w:r w:rsidR="00C83C4C">
        <w:t xml:space="preserve">is </w:t>
      </w:r>
      <w:r>
        <w:t>difficult to accurately estimate.</w:t>
      </w:r>
    </w:p>
    <w:p w14:paraId="5D5568C8" w14:textId="07BC9426" w:rsidR="00655AF8" w:rsidRDefault="00655AF8" w:rsidP="00655AF8">
      <w:pPr>
        <w:pStyle w:val="Body"/>
      </w:pPr>
      <w:r>
        <w:t>Based on current available research from Australia and overseas, people who identify as lesbian, gay or bisexual account for 3-4</w:t>
      </w:r>
      <w:r w:rsidRPr="002804B1">
        <w:t xml:space="preserve"> </w:t>
      </w:r>
      <w:r>
        <w:t>per cent of the general population and 4-7</w:t>
      </w:r>
      <w:r w:rsidRPr="00C42B82">
        <w:t xml:space="preserve"> </w:t>
      </w:r>
      <w:r>
        <w:t xml:space="preserve">per cent of the population aged under 25 (Carman </w:t>
      </w:r>
      <w:r w:rsidRPr="00BE0D2F">
        <w:t>et al</w:t>
      </w:r>
      <w:r w:rsidR="00C83C4C">
        <w:t>,</w:t>
      </w:r>
      <w:r>
        <w:t xml:space="preserve"> 2020a</w:t>
      </w:r>
      <w:r w:rsidR="00C83C4C">
        <w:t>;</w:t>
      </w:r>
      <w:r>
        <w:t xml:space="preserve"> Wilson </w:t>
      </w:r>
      <w:r w:rsidR="00C83C4C">
        <w:t xml:space="preserve">and </w:t>
      </w:r>
      <w:r>
        <w:t>Shalley, 2018). When this question is framed around experiences of same</w:t>
      </w:r>
      <w:r w:rsidR="00C83C4C">
        <w:t>-</w:t>
      </w:r>
      <w:r>
        <w:t>gender attraction and behaviour, rather than identi</w:t>
      </w:r>
      <w:r w:rsidR="00C83C4C">
        <w:t xml:space="preserve">ty </w:t>
      </w:r>
      <w:r>
        <w:t>th</w:t>
      </w:r>
      <w:r w:rsidR="00C83C4C">
        <w:t>e</w:t>
      </w:r>
      <w:r>
        <w:t xml:space="preserve"> figure rises as high as 9</w:t>
      </w:r>
      <w:r w:rsidRPr="00C42B82">
        <w:t xml:space="preserve"> </w:t>
      </w:r>
      <w:r>
        <w:t>per cent</w:t>
      </w:r>
      <w:r w:rsidRPr="00C42B82">
        <w:t xml:space="preserve"> </w:t>
      </w:r>
      <w:r>
        <w:t>for men and 19</w:t>
      </w:r>
      <w:r w:rsidRPr="00C42B82">
        <w:t xml:space="preserve"> </w:t>
      </w:r>
      <w:r>
        <w:t xml:space="preserve">per cent for women (Richters </w:t>
      </w:r>
      <w:r w:rsidRPr="00BE0D2F">
        <w:t>et al</w:t>
      </w:r>
      <w:r w:rsidR="00C83C4C">
        <w:t>,</w:t>
      </w:r>
      <w:r>
        <w:t xml:space="preserve"> 2014). Other studies have found that 1</w:t>
      </w:r>
      <w:r w:rsidRPr="00C42B82">
        <w:t xml:space="preserve"> </w:t>
      </w:r>
      <w:r>
        <w:t xml:space="preserve">per cent of people identify as trans and gender diverse (Carman </w:t>
      </w:r>
      <w:r w:rsidRPr="00BE0D2F">
        <w:t>et al</w:t>
      </w:r>
      <w:r w:rsidR="00C83C4C">
        <w:t>,</w:t>
      </w:r>
      <w:r>
        <w:t xml:space="preserve"> 2020a), and 1.7</w:t>
      </w:r>
      <w:r w:rsidRPr="00C42B82">
        <w:t xml:space="preserve"> </w:t>
      </w:r>
      <w:r>
        <w:t xml:space="preserve">per cent of people are born with some kind of intersex variation (Blackless </w:t>
      </w:r>
      <w:r w:rsidRPr="00BE0D2F">
        <w:t>et al</w:t>
      </w:r>
      <w:r w:rsidR="00C83C4C">
        <w:t>,</w:t>
      </w:r>
      <w:r>
        <w:t xml:space="preserve"> 2000).</w:t>
      </w:r>
    </w:p>
    <w:p w14:paraId="30A1B0D3" w14:textId="1D1D4B9D" w:rsidR="00655AF8" w:rsidRDefault="00655AF8" w:rsidP="00655AF8">
      <w:pPr>
        <w:pStyle w:val="Body"/>
      </w:pPr>
      <w:r>
        <w:t xml:space="preserve">Work to improve the availability and quality of the data is underway. This </w:t>
      </w:r>
      <w:r w:rsidR="00C83C4C">
        <w:t xml:space="preserve">work </w:t>
      </w:r>
      <w:r>
        <w:t>will enable better estimates of the number of LGBTIQ+ people living in Victoria and assist in developing targeted programs and initiatives to promote their health and wellbeing.</w:t>
      </w:r>
    </w:p>
    <w:p w14:paraId="46096545" w14:textId="05112B7B" w:rsidR="00655AF8" w:rsidRDefault="00655AF8" w:rsidP="00655AF8">
      <w:pPr>
        <w:pStyle w:val="Heading3"/>
      </w:pPr>
      <w:r>
        <w:t>Health outcomes for LGBTIQ+ people</w:t>
      </w:r>
    </w:p>
    <w:p w14:paraId="717EE101" w14:textId="5D648B2C" w:rsidR="00655AF8" w:rsidRDefault="00FC3E45" w:rsidP="00655AF8">
      <w:pPr>
        <w:pStyle w:val="Body"/>
      </w:pPr>
      <w:r>
        <w:t>M</w:t>
      </w:r>
      <w:r w:rsidR="00655AF8">
        <w:t>any LGBTIQ+ people live happy, healthy and connected lives</w:t>
      </w:r>
      <w:r>
        <w:t>, but</w:t>
      </w:r>
      <w:r w:rsidR="00655AF8">
        <w:t xml:space="preserve"> many </w:t>
      </w:r>
      <w:r>
        <w:t xml:space="preserve">also </w:t>
      </w:r>
      <w:r w:rsidR="00655AF8">
        <w:t>face discrimination and poor health and wellbeing outcomes.</w:t>
      </w:r>
    </w:p>
    <w:p w14:paraId="2B8AD482" w14:textId="78FD3541" w:rsidR="00655AF8" w:rsidRDefault="00655AF8" w:rsidP="00655AF8">
      <w:pPr>
        <w:pStyle w:val="Body"/>
      </w:pPr>
      <w:r>
        <w:t>LGBTIQ+ Australians have been found to experience lower overall life satisfaction, and worse physical and mental health outcomes (Perales</w:t>
      </w:r>
      <w:r w:rsidR="00FC3E45">
        <w:t>,</w:t>
      </w:r>
      <w:r>
        <w:t xml:space="preserve"> 2019). Many studies have shown that LGBTIQ+ people have poorer health outcomes in </w:t>
      </w:r>
      <w:r w:rsidR="00C86D75">
        <w:t xml:space="preserve">areas such as </w:t>
      </w:r>
      <w:r>
        <w:t xml:space="preserve">anxiety, depression, suicide and self-harm, alcohol and drug use, HIV and </w:t>
      </w:r>
      <w:r w:rsidR="00C86D75">
        <w:t>sexually transmitted infection (</w:t>
      </w:r>
      <w:r>
        <w:t>STI</w:t>
      </w:r>
      <w:r w:rsidR="00C86D75">
        <w:t>)</w:t>
      </w:r>
      <w:r>
        <w:t xml:space="preserve"> prevalence, obesity, risk for some cancers, asthma and cardiovascular disease (Carman </w:t>
      </w:r>
      <w:r w:rsidRPr="00BE0D2F">
        <w:t>et al</w:t>
      </w:r>
      <w:r w:rsidR="00C86D75">
        <w:t>,</w:t>
      </w:r>
      <w:r>
        <w:t xml:space="preserve"> 2020b). This issue is particularly important for trans and gender diverse people, with 25</w:t>
      </w:r>
      <w:r w:rsidRPr="00C42B82">
        <w:t xml:space="preserve"> </w:t>
      </w:r>
      <w:r>
        <w:t>per cent of young trans Australians having been diagnosed with</w:t>
      </w:r>
      <w:r w:rsidR="00F54113">
        <w:t xml:space="preserve"> post</w:t>
      </w:r>
      <w:r w:rsidR="00B67F14">
        <w:t>-</w:t>
      </w:r>
      <w:r w:rsidR="00F54113">
        <w:t>traumatic stress disorder (</w:t>
      </w:r>
      <w:r>
        <w:t>PTSD</w:t>
      </w:r>
      <w:r w:rsidR="00F54113">
        <w:t>)</w:t>
      </w:r>
      <w:r>
        <w:t xml:space="preserve"> at some point in their lives (Strauss </w:t>
      </w:r>
      <w:r w:rsidRPr="00BE0D2F">
        <w:t>et al</w:t>
      </w:r>
      <w:r w:rsidR="00C86D75">
        <w:t>,</w:t>
      </w:r>
      <w:r>
        <w:t xml:space="preserve"> 2017).</w:t>
      </w:r>
    </w:p>
    <w:p w14:paraId="08073D7F" w14:textId="471E54C4" w:rsidR="00655AF8" w:rsidRDefault="00655AF8" w:rsidP="00655AF8">
      <w:pPr>
        <w:pStyle w:val="Body"/>
      </w:pPr>
      <w:r>
        <w:lastRenderedPageBreak/>
        <w:t>Experiences of discrimination contribute to poor health and wellbeing outcomes. In Australia, 61</w:t>
      </w:r>
      <w:r w:rsidRPr="00C42B82">
        <w:t xml:space="preserve"> </w:t>
      </w:r>
      <w:r>
        <w:t>per cent of LGBTIQ+ young people have reported experiencing homophobic verbal abuse, 18</w:t>
      </w:r>
      <w:r w:rsidRPr="00C42B82">
        <w:t xml:space="preserve"> </w:t>
      </w:r>
      <w:r>
        <w:t>per cent have reported experiencing homophobic physical abuse</w:t>
      </w:r>
      <w:r w:rsidR="00C86D75">
        <w:t>,</w:t>
      </w:r>
      <w:r>
        <w:t xml:space="preserve"> and 24</w:t>
      </w:r>
      <w:r w:rsidRPr="00C42B82">
        <w:t xml:space="preserve"> </w:t>
      </w:r>
      <w:r>
        <w:t xml:space="preserve">per cent have experienced verbal and physical abuse in their family home (Hillier </w:t>
      </w:r>
      <w:r w:rsidRPr="00BE0D2F">
        <w:t>et al</w:t>
      </w:r>
      <w:r w:rsidR="00C86D75">
        <w:t>,</w:t>
      </w:r>
      <w:r>
        <w:t xml:space="preserve"> 2010).</w:t>
      </w:r>
    </w:p>
    <w:p w14:paraId="18CEE271" w14:textId="05112B7B" w:rsidR="00655AF8" w:rsidRDefault="00655AF8" w:rsidP="00655AF8">
      <w:pPr>
        <w:pStyle w:val="Heading3"/>
      </w:pPr>
      <w:r>
        <w:t>Health supports for LGBTIQ+ Victorians</w:t>
      </w:r>
    </w:p>
    <w:p w14:paraId="53D1D075" w14:textId="7D3C876A" w:rsidR="00655AF8" w:rsidRPr="00585DCC" w:rsidRDefault="00655AF8" w:rsidP="00655AF8">
      <w:pPr>
        <w:pStyle w:val="Body"/>
      </w:pPr>
      <w:r>
        <w:t>The Victorian Government is committed to ensuring all Victorians have safe, healthy</w:t>
      </w:r>
      <w:r w:rsidR="00C86D75">
        <w:t>,</w:t>
      </w:r>
      <w:r>
        <w:t xml:space="preserve"> happy lives, and LGBTIQ+ Victorians full</w:t>
      </w:r>
      <w:r w:rsidR="00C86D75">
        <w:t>y</w:t>
      </w:r>
      <w:r>
        <w:t xml:space="preserve"> participa</w:t>
      </w:r>
      <w:r w:rsidR="00C86D75">
        <w:t>te</w:t>
      </w:r>
      <w:r>
        <w:t xml:space="preserve"> in </w:t>
      </w:r>
      <w:r w:rsidR="00C86D75">
        <w:t xml:space="preserve">the state’s </w:t>
      </w:r>
      <w:r>
        <w:t>economic, educational, political, community</w:t>
      </w:r>
      <w:r w:rsidR="00C86D75">
        <w:t>,</w:t>
      </w:r>
      <w:r>
        <w:t xml:space="preserve"> and social life.</w:t>
      </w:r>
    </w:p>
    <w:p w14:paraId="306E0E7E" w14:textId="1623EB64" w:rsidR="00C86D75" w:rsidRDefault="00655AF8" w:rsidP="00655AF8">
      <w:pPr>
        <w:pStyle w:val="Body"/>
      </w:pPr>
      <w:r>
        <w:t>The Victorian Government has delivered programs and initiatives to support LGBTIQ+ Victorians to live healthy lives (</w:t>
      </w:r>
      <w:r w:rsidR="00C86D75">
        <w:t xml:space="preserve">DHHS, </w:t>
      </w:r>
      <w:r>
        <w:t>2019; Department of Treasury and Finance</w:t>
      </w:r>
      <w:r w:rsidR="00C86D75">
        <w:t>,</w:t>
      </w:r>
      <w:r>
        <w:t xml:space="preserve"> 2019). </w:t>
      </w:r>
    </w:p>
    <w:p w14:paraId="3336F651" w14:textId="13C6A6DA" w:rsidR="00655AF8" w:rsidRPr="00585DCC" w:rsidRDefault="00655AF8" w:rsidP="00655AF8">
      <w:pPr>
        <w:pStyle w:val="Body"/>
      </w:pPr>
      <w:r>
        <w:t xml:space="preserve">These </w:t>
      </w:r>
      <w:r w:rsidR="00C86D75">
        <w:t xml:space="preserve">programs and initiatives </w:t>
      </w:r>
      <w:r>
        <w:t>include:</w:t>
      </w:r>
    </w:p>
    <w:p w14:paraId="5E9444C9" w14:textId="4CCCBC29" w:rsidR="00655AF8" w:rsidRPr="00585DCC" w:rsidRDefault="00C86D75" w:rsidP="00655AF8">
      <w:pPr>
        <w:pStyle w:val="Bullet1"/>
      </w:pPr>
      <w:r>
        <w:t>f</w:t>
      </w:r>
      <w:r w:rsidR="00655AF8" w:rsidRPr="00585DCC">
        <w:t>unding for homelessness providers to ensure young LGBTIQ+ Victorians can access safe and inclusive services across the entire homelessness sector</w:t>
      </w:r>
    </w:p>
    <w:p w14:paraId="791FB82B" w14:textId="7C994595" w:rsidR="00655AF8" w:rsidRPr="00585DCC" w:rsidRDefault="00C86D75" w:rsidP="00655AF8">
      <w:pPr>
        <w:pStyle w:val="Bullet1"/>
      </w:pPr>
      <w:r>
        <w:t>e</w:t>
      </w:r>
      <w:r w:rsidR="00655AF8" w:rsidRPr="00585DCC">
        <w:t>xtended funding for mental health support and family counselling services</w:t>
      </w:r>
    </w:p>
    <w:p w14:paraId="50E95211" w14:textId="654DEFDB" w:rsidR="00655AF8" w:rsidRPr="00585DCC" w:rsidRDefault="00C86D75" w:rsidP="00655AF8">
      <w:pPr>
        <w:pStyle w:val="Bullet1"/>
      </w:pPr>
      <w:r>
        <w:t>i</w:t>
      </w:r>
      <w:r w:rsidR="00655AF8" w:rsidRPr="00585DCC">
        <w:t xml:space="preserve">ncreased support for services for victims of </w:t>
      </w:r>
      <w:r>
        <w:t>c</w:t>
      </w:r>
      <w:r w:rsidR="00655AF8" w:rsidRPr="00585DCC">
        <w:t xml:space="preserve">onversion </w:t>
      </w:r>
      <w:r>
        <w:t>t</w:t>
      </w:r>
      <w:r w:rsidR="00655AF8" w:rsidRPr="00585DCC">
        <w:t>herapy</w:t>
      </w:r>
    </w:p>
    <w:p w14:paraId="21FE272D" w14:textId="254CC666" w:rsidR="00655AF8" w:rsidRPr="00585DCC" w:rsidRDefault="00C86D75" w:rsidP="00655AF8">
      <w:pPr>
        <w:pStyle w:val="Bullet1"/>
      </w:pPr>
      <w:r>
        <w:t>e</w:t>
      </w:r>
      <w:r w:rsidR="00655AF8" w:rsidRPr="00585DCC">
        <w:t>xpanded capacity to support and better meet the needs of trans</w:t>
      </w:r>
      <w:r>
        <w:t>-</w:t>
      </w:r>
      <w:r w:rsidR="00655AF8" w:rsidRPr="00585DCC">
        <w:t xml:space="preserve"> and gender</w:t>
      </w:r>
      <w:r>
        <w:t>-</w:t>
      </w:r>
      <w:r w:rsidR="00655AF8" w:rsidRPr="00585DCC">
        <w:t>diverse Victorians, through the creation of two multidisciplinary clinics and a targeted</w:t>
      </w:r>
      <w:r>
        <w:t>,</w:t>
      </w:r>
      <w:r w:rsidR="00655AF8" w:rsidRPr="00585DCC">
        <w:t xml:space="preserve"> state-wide health professional training program focused on inclusive and responsive healthcare</w:t>
      </w:r>
    </w:p>
    <w:p w14:paraId="2E31AA63" w14:textId="0D64037C" w:rsidR="00655AF8" w:rsidRPr="00585DCC" w:rsidRDefault="00C86D75" w:rsidP="00655AF8">
      <w:pPr>
        <w:pStyle w:val="Bullet1"/>
      </w:pPr>
      <w:r>
        <w:t>p</w:t>
      </w:r>
      <w:r w:rsidR="00655AF8" w:rsidRPr="00585DCC">
        <w:t>ursuing Rainbow Tick accreditation across all family violence services to provide additional support to LGBTIQ+ victim survivors.</w:t>
      </w:r>
    </w:p>
    <w:p w14:paraId="426264EB" w14:textId="05112B7B" w:rsidR="00655AF8" w:rsidRDefault="00655AF8" w:rsidP="00655AF8">
      <w:pPr>
        <w:pStyle w:val="Heading3"/>
      </w:pPr>
      <w:r>
        <w:t>Find out more</w:t>
      </w:r>
    </w:p>
    <w:p w14:paraId="53C653C0" w14:textId="6FC9E2D9" w:rsidR="00655AF8" w:rsidRDefault="00655AF8" w:rsidP="00655AF8">
      <w:pPr>
        <w:pStyle w:val="Body"/>
      </w:pPr>
      <w:r>
        <w:t xml:space="preserve">Find out more about </w:t>
      </w:r>
      <w:bookmarkStart w:id="76" w:name="_Hlk121152992"/>
      <w:r w:rsidR="00C36B2A">
        <w:fldChar w:fldCharType="begin"/>
      </w:r>
      <w:r w:rsidR="00C36B2A">
        <w:instrText xml:space="preserve"> HYPERLINK "https://www.health.vic.gov.au/populations/understanding-lgbtiq-health" \h </w:instrText>
      </w:r>
      <w:r w:rsidR="00C36B2A">
        <w:fldChar w:fldCharType="separate"/>
      </w:r>
      <w:r w:rsidRPr="7B135B89">
        <w:rPr>
          <w:rStyle w:val="Hyperlink"/>
        </w:rPr>
        <w:t>the health and wellbeing of lesbian, gay, bisexual, trans and gender diverse, intersex and queer people</w:t>
      </w:r>
      <w:r w:rsidR="00C36B2A">
        <w:rPr>
          <w:rStyle w:val="Hyperlink"/>
        </w:rPr>
        <w:fldChar w:fldCharType="end"/>
      </w:r>
      <w:bookmarkEnd w:id="76"/>
      <w:r>
        <w:t>.</w:t>
      </w:r>
      <w:r w:rsidR="004A708F">
        <w:t xml:space="preserve"> &lt;</w:t>
      </w:r>
      <w:r w:rsidR="004A708F" w:rsidRPr="004A708F">
        <w:t>https://www.health.vic.gov.au/populations/understanding-lgbtiq-health</w:t>
      </w:r>
      <w:r w:rsidR="004A708F">
        <w:t>&gt;</w:t>
      </w:r>
      <w:r w:rsidR="008D6090">
        <w:t>.</w:t>
      </w:r>
    </w:p>
    <w:p w14:paraId="06D3CB6C" w14:textId="77777777" w:rsidR="00D25E63" w:rsidRDefault="00D25E63" w:rsidP="00D25E63">
      <w:pPr>
        <w:spacing w:after="0" w:line="240" w:lineRule="auto"/>
        <w:rPr>
          <w:rFonts w:eastAsia="MS Mincho"/>
          <w:b/>
          <w:bCs/>
          <w:iCs/>
          <w:color w:val="000000"/>
          <w:szCs w:val="26"/>
        </w:rPr>
      </w:pPr>
      <w:r w:rsidRPr="00FC4CE9">
        <w:rPr>
          <w:rFonts w:eastAsia="MS Mincho"/>
          <w:b/>
          <w:bCs/>
          <w:iCs/>
          <w:color w:val="000000"/>
          <w:szCs w:val="26"/>
        </w:rPr>
        <w:t xml:space="preserve">References </w:t>
      </w:r>
    </w:p>
    <w:p w14:paraId="69FD1013" w14:textId="415514DC" w:rsidR="00D25E63" w:rsidRPr="00FC4CE9" w:rsidRDefault="00D25E63" w:rsidP="00D25E63">
      <w:pPr>
        <w:pStyle w:val="Body"/>
        <w:rPr>
          <w:rFonts w:eastAsia="Arial" w:cs="Arial"/>
          <w:color w:val="000000" w:themeColor="text1"/>
        </w:rPr>
      </w:pPr>
      <w:r w:rsidRPr="00FC4CE9">
        <w:rPr>
          <w:rFonts w:eastAsia="Arial" w:cs="Arial"/>
          <w:color w:val="000000" w:themeColor="text1"/>
        </w:rPr>
        <w:t>American Heart Association, 2021, ‘Obesity and Cardiovascular Disease: A Scientific Statement from the American Heart Association’, Circulation, vol. 143, no. 21, pp. e984-e1010</w:t>
      </w:r>
      <w:r w:rsidR="00B81A13">
        <w:rPr>
          <w:rFonts w:eastAsia="Arial" w:cs="Arial"/>
          <w:color w:val="000000" w:themeColor="text1"/>
        </w:rPr>
        <w:t>, &lt;</w:t>
      </w:r>
      <w:r w:rsidRPr="00FC4CE9">
        <w:rPr>
          <w:rFonts w:eastAsia="Arial" w:cs="Arial"/>
          <w:color w:val="000000" w:themeColor="text1"/>
        </w:rPr>
        <w:t>https://doi.org/10.1161/CIR.0000000000000973</w:t>
      </w:r>
      <w:r w:rsidR="00B81A13">
        <w:rPr>
          <w:rFonts w:eastAsia="Arial" w:cs="Arial"/>
          <w:color w:val="000000" w:themeColor="text1"/>
        </w:rPr>
        <w:t>&gt;</w:t>
      </w:r>
      <w:r w:rsidR="008D6090">
        <w:rPr>
          <w:rFonts w:eastAsia="Arial" w:cs="Arial"/>
          <w:color w:val="000000" w:themeColor="text1"/>
        </w:rPr>
        <w:t>.</w:t>
      </w:r>
    </w:p>
    <w:p w14:paraId="2C5E9BD8" w14:textId="12393D27" w:rsidR="00D25E63" w:rsidRPr="00905C19" w:rsidRDefault="00D25E63" w:rsidP="00D25E63">
      <w:pPr>
        <w:rPr>
          <w:rFonts w:eastAsia="Calibri" w:cs="Arial"/>
          <w:lang w:val="en-US"/>
        </w:rPr>
      </w:pPr>
      <w:r w:rsidRPr="00905C19">
        <w:rPr>
          <w:rFonts w:eastAsia="Calibri" w:cs="Arial"/>
          <w:lang w:val="en-US"/>
        </w:rPr>
        <w:t xml:space="preserve">Ansari, Z., N. J. Carson, M. J. Ackland, L. Vaughan and A. Serraglio 2003. </w:t>
      </w:r>
      <w:r w:rsidR="67D44A19" w:rsidRPr="00905C19">
        <w:rPr>
          <w:rFonts w:eastAsia="Calibri" w:cs="Arial"/>
          <w:lang w:val="en-US"/>
        </w:rPr>
        <w:t>‘</w:t>
      </w:r>
      <w:r w:rsidRPr="00905C19">
        <w:rPr>
          <w:rFonts w:eastAsia="Calibri" w:cs="Arial"/>
          <w:lang w:val="en-US"/>
        </w:rPr>
        <w:t>A public health model of the social determinants of health</w:t>
      </w:r>
      <w:r w:rsidR="688BAC9A" w:rsidRPr="00905C19">
        <w:rPr>
          <w:rFonts w:eastAsia="Calibri" w:cs="Arial"/>
          <w:lang w:val="en-US"/>
        </w:rPr>
        <w:t>’</w:t>
      </w:r>
      <w:r w:rsidRPr="00905C19">
        <w:rPr>
          <w:rFonts w:eastAsia="Calibri" w:cs="Arial"/>
          <w:lang w:val="en-US"/>
        </w:rPr>
        <w:t xml:space="preserve"> </w:t>
      </w:r>
      <w:r w:rsidRPr="00905C19">
        <w:rPr>
          <w:rFonts w:eastAsia="Calibri" w:cs="Arial"/>
          <w:u w:val="single"/>
          <w:lang w:val="en-US"/>
        </w:rPr>
        <w:t>Sozial- und Praventivmedizin</w:t>
      </w:r>
      <w:r w:rsidRPr="00905C19">
        <w:rPr>
          <w:rFonts w:eastAsia="Calibri" w:cs="Arial"/>
          <w:lang w:val="en-US"/>
        </w:rPr>
        <w:t xml:space="preserve"> </w:t>
      </w:r>
      <w:r w:rsidRPr="00A614FE">
        <w:rPr>
          <w:rFonts w:eastAsia="Calibri" w:cs="Arial"/>
          <w:lang w:val="en-US"/>
        </w:rPr>
        <w:t>48</w:t>
      </w:r>
      <w:r w:rsidRPr="00905C19">
        <w:rPr>
          <w:rFonts w:eastAsia="Calibri" w:cs="Arial"/>
          <w:lang w:val="en-US"/>
        </w:rPr>
        <w:t>(4): 242-51.</w:t>
      </w:r>
    </w:p>
    <w:p w14:paraId="448D795F" w14:textId="789FE15D" w:rsidR="00D25E63" w:rsidRPr="00905C19" w:rsidRDefault="00D25E63" w:rsidP="00D25E63">
      <w:pPr>
        <w:spacing w:line="257" w:lineRule="auto"/>
        <w:rPr>
          <w:rFonts w:eastAsia="Calibri" w:cs="Arial"/>
        </w:rPr>
      </w:pPr>
      <w:r w:rsidRPr="00905C19">
        <w:rPr>
          <w:rFonts w:eastAsia="Calibri" w:cs="Arial"/>
        </w:rPr>
        <w:t xml:space="preserve">Australian Institute of Health and Welfare 2016. </w:t>
      </w:r>
      <w:r w:rsidR="57CBF4FA" w:rsidRPr="00905C19">
        <w:rPr>
          <w:rFonts w:eastAsia="Calibri" w:cs="Arial"/>
        </w:rPr>
        <w:t>‘</w:t>
      </w:r>
      <w:r w:rsidRPr="00905C19">
        <w:rPr>
          <w:rFonts w:eastAsia="Calibri" w:cs="Arial"/>
        </w:rPr>
        <w:t>Australian Burden of Disease Study: Impact and causes of illness and death in Aboriginal and Torres Strait Islander people 2011.</w:t>
      </w:r>
      <w:r w:rsidR="55FF01A2" w:rsidRPr="00905C19">
        <w:rPr>
          <w:rFonts w:eastAsia="Calibri" w:cs="Arial"/>
        </w:rPr>
        <w:t>’</w:t>
      </w:r>
      <w:r w:rsidRPr="00905C19">
        <w:rPr>
          <w:rFonts w:eastAsia="Calibri" w:cs="Arial"/>
        </w:rPr>
        <w:t xml:space="preserve"> </w:t>
      </w:r>
      <w:r w:rsidRPr="005A187D">
        <w:rPr>
          <w:rFonts w:eastAsia="Calibri" w:cs="Arial"/>
        </w:rPr>
        <w:t>Australian Burden of Disease Study</w:t>
      </w:r>
      <w:r w:rsidRPr="00905C19">
        <w:rPr>
          <w:rFonts w:eastAsia="Calibri" w:cs="Arial"/>
        </w:rPr>
        <w:t xml:space="preserve"> series no. 6. Cat. no. BOD 7. AIHW</w:t>
      </w:r>
      <w:r w:rsidR="008D6090">
        <w:rPr>
          <w:rFonts w:eastAsia="Calibri" w:cs="Arial"/>
        </w:rPr>
        <w:t>,</w:t>
      </w:r>
      <w:r w:rsidRPr="00905C19">
        <w:rPr>
          <w:rFonts w:eastAsia="Calibri" w:cs="Arial"/>
        </w:rPr>
        <w:t xml:space="preserve"> Canberra.</w:t>
      </w:r>
    </w:p>
    <w:p w14:paraId="02760B6E" w14:textId="0CED370D" w:rsidR="00D25E63" w:rsidRPr="00905C19" w:rsidRDefault="00D25E63" w:rsidP="00D25E63">
      <w:pPr>
        <w:jc w:val="both"/>
        <w:rPr>
          <w:rFonts w:eastAsia="Calibri" w:cs="Arial"/>
          <w:lang w:val="en-US"/>
        </w:rPr>
      </w:pPr>
      <w:r w:rsidRPr="00905C19">
        <w:rPr>
          <w:rFonts w:eastAsia="Calibri" w:cs="Arial"/>
          <w:lang w:val="en-US"/>
        </w:rPr>
        <w:t>Baum, F. 2011</w:t>
      </w:r>
      <w:r w:rsidR="50CC1303" w:rsidRPr="00905C19">
        <w:rPr>
          <w:rFonts w:eastAsia="Calibri" w:cs="Arial"/>
          <w:lang w:val="en-US"/>
        </w:rPr>
        <w:t>,</w:t>
      </w:r>
      <w:r w:rsidRPr="00905C19">
        <w:rPr>
          <w:rFonts w:eastAsia="Calibri" w:cs="Arial"/>
          <w:lang w:val="en-US"/>
        </w:rPr>
        <w:t xml:space="preserve"> </w:t>
      </w:r>
      <w:r w:rsidR="78A515E9" w:rsidRPr="00905C19">
        <w:rPr>
          <w:rFonts w:eastAsia="Calibri" w:cs="Arial"/>
          <w:lang w:val="en-US"/>
        </w:rPr>
        <w:t>‘</w:t>
      </w:r>
      <w:r w:rsidRPr="00905C19">
        <w:rPr>
          <w:rFonts w:eastAsia="Calibri" w:cs="Arial"/>
          <w:lang w:val="en-US"/>
        </w:rPr>
        <w:t>From Norm to Eric: avoiding lifestyle drift in Australian health policy</w:t>
      </w:r>
      <w:r w:rsidR="4168E8DF" w:rsidRPr="00905C19">
        <w:rPr>
          <w:rFonts w:eastAsia="Calibri" w:cs="Arial"/>
          <w:lang w:val="en-US"/>
        </w:rPr>
        <w:t>’,</w:t>
      </w:r>
      <w:r w:rsidRPr="00905C19">
        <w:rPr>
          <w:rFonts w:eastAsia="Calibri" w:cs="Arial"/>
          <w:lang w:val="en-US"/>
        </w:rPr>
        <w:t xml:space="preserve"> </w:t>
      </w:r>
      <w:r w:rsidRPr="008B18CA">
        <w:rPr>
          <w:rFonts w:eastAsia="Calibri" w:cs="Arial"/>
          <w:lang w:val="en-US"/>
        </w:rPr>
        <w:t>Australian and New Zealand Journal of Public Health 35(5): 404-6.</w:t>
      </w:r>
    </w:p>
    <w:p w14:paraId="05A12D3E" w14:textId="23D5D56C" w:rsidR="00D25E63" w:rsidRPr="00905C19" w:rsidRDefault="00D25E63" w:rsidP="00D25E63">
      <w:pPr>
        <w:spacing w:line="257" w:lineRule="auto"/>
        <w:rPr>
          <w:rFonts w:eastAsia="Calibri" w:cs="Arial"/>
        </w:rPr>
      </w:pPr>
      <w:r w:rsidRPr="00905C19">
        <w:rPr>
          <w:rFonts w:eastAsia="Calibri" w:cs="Arial"/>
        </w:rPr>
        <w:t>Baum, F. and M. Fisher 2011</w:t>
      </w:r>
      <w:r w:rsidR="79C463A3" w:rsidRPr="00905C19">
        <w:rPr>
          <w:rFonts w:eastAsia="Calibri" w:cs="Arial"/>
        </w:rPr>
        <w:t>,</w:t>
      </w:r>
      <w:r w:rsidRPr="00905C19">
        <w:rPr>
          <w:rFonts w:eastAsia="Calibri" w:cs="Arial"/>
        </w:rPr>
        <w:t xml:space="preserve"> </w:t>
      </w:r>
      <w:r w:rsidR="5FF20A8B" w:rsidRPr="00905C19">
        <w:rPr>
          <w:rFonts w:eastAsia="Calibri" w:cs="Arial"/>
        </w:rPr>
        <w:t>‘</w:t>
      </w:r>
      <w:r w:rsidRPr="00905C19">
        <w:rPr>
          <w:rFonts w:eastAsia="Calibri" w:cs="Arial"/>
        </w:rPr>
        <w:t>Are the national preventive health initiatives likely to reduce health inequities?</w:t>
      </w:r>
      <w:r w:rsidR="513CFA87" w:rsidRPr="00905C19">
        <w:rPr>
          <w:rFonts w:eastAsia="Calibri" w:cs="Arial"/>
        </w:rPr>
        <w:t>’</w:t>
      </w:r>
      <w:r w:rsidRPr="00905C19">
        <w:rPr>
          <w:rFonts w:eastAsia="Calibri" w:cs="Arial"/>
        </w:rPr>
        <w:t xml:space="preserve"> </w:t>
      </w:r>
      <w:r w:rsidRPr="00FB0ECE">
        <w:rPr>
          <w:rFonts w:eastAsia="Calibri" w:cs="Arial"/>
        </w:rPr>
        <w:t xml:space="preserve">Australian Journal of Primary Health </w:t>
      </w:r>
      <w:r w:rsidRPr="000558A5">
        <w:rPr>
          <w:rFonts w:eastAsia="Calibri" w:cs="Arial"/>
        </w:rPr>
        <w:t>17</w:t>
      </w:r>
      <w:r w:rsidRPr="00905C19">
        <w:rPr>
          <w:rFonts w:eastAsia="Calibri" w:cs="Arial"/>
        </w:rPr>
        <w:t>(4): 320-6.</w:t>
      </w:r>
    </w:p>
    <w:p w14:paraId="1351526F" w14:textId="43B19D98"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Beggs PJ, Zhang Y, Bambrick H, Berry HL, Linnenluecke MK, Trueck S, et al. 2019, </w:t>
      </w:r>
      <w:r w:rsidR="508A569D" w:rsidRPr="00905C19">
        <w:rPr>
          <w:rFonts w:eastAsia="Arial" w:cs="Arial"/>
          <w:color w:val="000000" w:themeColor="text1"/>
        </w:rPr>
        <w:t>‘</w:t>
      </w:r>
      <w:r w:rsidRPr="00FC4CE9">
        <w:rPr>
          <w:rFonts w:eastAsia="Arial" w:cs="Arial"/>
          <w:color w:val="000000" w:themeColor="text1"/>
        </w:rPr>
        <w:t xml:space="preserve">The 2019 report of the MJA– Lancet Countdown on health and climate change: a turbulent year with mixed </w:t>
      </w:r>
      <w:r w:rsidRPr="00905C19">
        <w:rPr>
          <w:rFonts w:eastAsia="Arial" w:cs="Arial"/>
          <w:color w:val="000000" w:themeColor="text1"/>
        </w:rPr>
        <w:t>progress</w:t>
      </w:r>
      <w:r w:rsidR="5D993FCB" w:rsidRPr="00905C19">
        <w:rPr>
          <w:rFonts w:eastAsia="Arial" w:cs="Arial"/>
          <w:color w:val="000000" w:themeColor="text1"/>
        </w:rPr>
        <w:t>’,</w:t>
      </w:r>
      <w:r w:rsidRPr="00FC4CE9">
        <w:rPr>
          <w:rFonts w:eastAsia="Arial" w:cs="Arial"/>
          <w:color w:val="000000" w:themeColor="text1"/>
        </w:rPr>
        <w:t xml:space="preserve"> Medical Journal of Australia. 211(11):490-1. e21.</w:t>
      </w:r>
    </w:p>
    <w:p w14:paraId="31D42B8E" w14:textId="77777777" w:rsidR="00D25E63" w:rsidRPr="008D5F88" w:rsidRDefault="00D25E63" w:rsidP="00D25E63">
      <w:pPr>
        <w:pStyle w:val="Body"/>
      </w:pPr>
      <w:r w:rsidRPr="008D5F88">
        <w:lastRenderedPageBreak/>
        <w:t xml:space="preserve">Blackless, M, Charuvastra, A, Derryck, A, Fausto-Sterling, A, Lauzanne, K &amp; Lee, E 2000, ‘How sexually dimorphic are we? Review and synthesis’, </w:t>
      </w:r>
      <w:r w:rsidRPr="008D5F88">
        <w:rPr>
          <w:i/>
          <w:iCs/>
        </w:rPr>
        <w:t>American Journal of Human Biology</w:t>
      </w:r>
      <w:r w:rsidRPr="008D5F88">
        <w:t>, vol. 12, no. 2, pp. 151-166.</w:t>
      </w:r>
    </w:p>
    <w:p w14:paraId="3397BCDE" w14:textId="057805E3" w:rsidR="00D25E63" w:rsidRPr="00EE74D4" w:rsidRDefault="00D25E63" w:rsidP="00D25E63">
      <w:pPr>
        <w:jc w:val="both"/>
        <w:rPr>
          <w:rFonts w:eastAsia="Calibri" w:cs="Arial"/>
          <w:lang w:val="en-US"/>
        </w:rPr>
      </w:pPr>
      <w:r w:rsidRPr="00006C67">
        <w:rPr>
          <w:rFonts w:eastAsia="Calibri" w:cs="Arial"/>
          <w:lang w:val="en-US"/>
        </w:rPr>
        <w:t>Braveman, P., S. Egerter and D. R. Williams 2011</w:t>
      </w:r>
      <w:r w:rsidR="0DFCA377" w:rsidRPr="00006C67">
        <w:rPr>
          <w:rFonts w:eastAsia="Calibri" w:cs="Arial"/>
          <w:lang w:val="en-US"/>
        </w:rPr>
        <w:t>,</w:t>
      </w:r>
      <w:r w:rsidRPr="00006C67">
        <w:rPr>
          <w:rFonts w:eastAsia="Calibri" w:cs="Arial"/>
          <w:lang w:val="en-US"/>
        </w:rPr>
        <w:t xml:space="preserve"> </w:t>
      </w:r>
      <w:r w:rsidR="574C6B0D" w:rsidRPr="00006C67">
        <w:rPr>
          <w:rFonts w:eastAsia="Calibri" w:cs="Arial"/>
          <w:lang w:val="en-US"/>
        </w:rPr>
        <w:t>‘</w:t>
      </w:r>
      <w:r w:rsidRPr="00006C67">
        <w:rPr>
          <w:rFonts w:eastAsia="Calibri" w:cs="Arial"/>
          <w:lang w:val="en-US"/>
        </w:rPr>
        <w:t>The social determinants of health: coming of age</w:t>
      </w:r>
      <w:r w:rsidR="07479E18" w:rsidRPr="00006C67">
        <w:rPr>
          <w:rFonts w:eastAsia="Calibri" w:cs="Arial"/>
          <w:lang w:val="en-US"/>
        </w:rPr>
        <w:t>’</w:t>
      </w:r>
      <w:r w:rsidRPr="00EE74D4">
        <w:rPr>
          <w:rFonts w:eastAsia="Calibri" w:cs="Arial"/>
          <w:lang w:val="en-US"/>
        </w:rPr>
        <w:t xml:space="preserve"> Annual Review of Public Health 32: 381-98.</w:t>
      </w:r>
    </w:p>
    <w:p w14:paraId="5F355D69" w14:textId="325FAA68" w:rsidR="00D25E63" w:rsidRPr="00006C67" w:rsidRDefault="00D25E63" w:rsidP="00D25E63">
      <w:pPr>
        <w:spacing w:line="257" w:lineRule="auto"/>
        <w:rPr>
          <w:rFonts w:eastAsia="Calibri" w:cs="Arial"/>
          <w:lang w:val="en-US"/>
        </w:rPr>
      </w:pPr>
      <w:r w:rsidRPr="00EE74D4">
        <w:rPr>
          <w:rFonts w:eastAsia="Calibri" w:cs="Arial"/>
          <w:lang w:val="en-US"/>
        </w:rPr>
        <w:t>Brown, R. C. H. 2013</w:t>
      </w:r>
      <w:r w:rsidR="1E62FECB" w:rsidRPr="00243BA7">
        <w:rPr>
          <w:rFonts w:eastAsia="Calibri" w:cs="Arial"/>
          <w:lang w:val="en-US"/>
        </w:rPr>
        <w:t>,</w:t>
      </w:r>
      <w:r w:rsidRPr="00243BA7">
        <w:rPr>
          <w:rFonts w:eastAsia="Calibri" w:cs="Arial"/>
          <w:lang w:val="en-US"/>
        </w:rPr>
        <w:t xml:space="preserve"> </w:t>
      </w:r>
      <w:r w:rsidR="0C8DB654" w:rsidRPr="00243BA7">
        <w:rPr>
          <w:rFonts w:eastAsia="Calibri" w:cs="Arial"/>
          <w:lang w:val="en-US"/>
        </w:rPr>
        <w:t>'</w:t>
      </w:r>
      <w:r w:rsidRPr="00243BA7">
        <w:rPr>
          <w:rFonts w:eastAsia="Calibri" w:cs="Arial"/>
          <w:lang w:val="en-US"/>
        </w:rPr>
        <w:t>Moral responsibility for (un)healthy behaviour.</w:t>
      </w:r>
      <w:r w:rsidR="426478B9" w:rsidRPr="00243BA7">
        <w:rPr>
          <w:rFonts w:eastAsia="Calibri" w:cs="Arial"/>
          <w:lang w:val="en-US"/>
        </w:rPr>
        <w:t>'</w:t>
      </w:r>
      <w:r w:rsidRPr="00243BA7">
        <w:rPr>
          <w:rFonts w:eastAsia="Calibri" w:cs="Arial"/>
          <w:lang w:val="en-US"/>
        </w:rPr>
        <w:t xml:space="preserve"> Journal of Medical Ethics</w:t>
      </w:r>
      <w:r w:rsidRPr="00006C67">
        <w:rPr>
          <w:rFonts w:eastAsia="Calibri" w:cs="Arial"/>
          <w:lang w:val="en-US"/>
        </w:rPr>
        <w:t xml:space="preserve"> </w:t>
      </w:r>
      <w:r w:rsidRPr="00006C67">
        <w:rPr>
          <w:rFonts w:eastAsia="Calibri" w:cs="Arial"/>
          <w:b/>
          <w:lang w:val="en-US"/>
        </w:rPr>
        <w:t>39</w:t>
      </w:r>
      <w:r w:rsidRPr="00006C67">
        <w:rPr>
          <w:rFonts w:eastAsia="Calibri" w:cs="Arial"/>
          <w:lang w:val="en-US"/>
        </w:rPr>
        <w:t>: 695-8.</w:t>
      </w:r>
    </w:p>
    <w:p w14:paraId="1D4D75A7" w14:textId="5F5E21FF"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Burrowes K. 2021, ‘Gender bias in medicine and medical research is still putting women’s health at risk’, The Conversation, 10 March 2021, </w:t>
      </w:r>
      <w:r w:rsidR="008F2C6F">
        <w:rPr>
          <w:rFonts w:eastAsia="Arial" w:cs="Arial"/>
          <w:color w:val="000000" w:themeColor="text1"/>
        </w:rPr>
        <w:t>&lt;</w:t>
      </w:r>
      <w:r w:rsidRPr="00FC4CE9">
        <w:rPr>
          <w:rFonts w:eastAsia="Arial" w:cs="Arial"/>
          <w:color w:val="000000" w:themeColor="text1"/>
        </w:rPr>
        <w:t>https://theconversation.com/gender-bias-in-medicine-and-medical-research-is-still-putting-womens-health-at-risk-156495</w:t>
      </w:r>
      <w:r w:rsidR="008F2C6F">
        <w:rPr>
          <w:rFonts w:eastAsia="Arial" w:cs="Arial"/>
          <w:color w:val="000000" w:themeColor="text1"/>
        </w:rPr>
        <w:t>&gt;</w:t>
      </w:r>
      <w:r w:rsidR="00914A6B">
        <w:rPr>
          <w:rFonts w:eastAsia="Arial" w:cs="Arial"/>
          <w:color w:val="000000" w:themeColor="text1"/>
        </w:rPr>
        <w:t>.</w:t>
      </w:r>
    </w:p>
    <w:p w14:paraId="3FA7440F" w14:textId="77777777" w:rsidR="00D25E63" w:rsidRPr="008D5F88" w:rsidRDefault="00D25E63" w:rsidP="00D25E63">
      <w:pPr>
        <w:pStyle w:val="Body"/>
      </w:pPr>
      <w:r w:rsidRPr="008D5F88">
        <w:t xml:space="preserve">Carman, M, Farrugia, C, Bourne, A, Power, J &amp; Rosenberg, S 2020a, </w:t>
      </w:r>
      <w:r w:rsidRPr="008D5F88">
        <w:rPr>
          <w:i/>
          <w:iCs/>
        </w:rPr>
        <w:t>Research Matters: How many people are LGBTIQ?</w:t>
      </w:r>
      <w:r w:rsidRPr="008D5F88">
        <w:t>, Rainbow Health Victoria, Melbourne.</w:t>
      </w:r>
    </w:p>
    <w:p w14:paraId="0EEADCBA" w14:textId="77777777" w:rsidR="00D25E63" w:rsidRPr="008D5F88" w:rsidRDefault="00D25E63" w:rsidP="00D25E63">
      <w:pPr>
        <w:pStyle w:val="Body"/>
      </w:pPr>
      <w:r w:rsidRPr="008D5F88">
        <w:t xml:space="preserve">Carman, M, Rosenberg, S, Bourne, A &amp; Parsons, M 2020b, </w:t>
      </w:r>
      <w:r w:rsidRPr="008D5F88">
        <w:rPr>
          <w:i/>
          <w:iCs/>
        </w:rPr>
        <w:t>Research Matters: Why do we need LGBTIQ-inclusive services?</w:t>
      </w:r>
      <w:r w:rsidRPr="008D5F88">
        <w:t>, Rainbow Health Victoria, Melbourne.</w:t>
      </w:r>
    </w:p>
    <w:p w14:paraId="3CA4008E" w14:textId="7A0D97FA" w:rsidR="002414A8" w:rsidRPr="00A61248" w:rsidRDefault="002414A8" w:rsidP="00D25E63">
      <w:pPr>
        <w:pStyle w:val="Body"/>
      </w:pPr>
      <w:r w:rsidRPr="00A61248">
        <w:t xml:space="preserve">Department of Health and Human Services 2017, </w:t>
      </w:r>
      <w:hyperlink r:id="rId42" w:history="1">
        <w:r w:rsidRPr="00E121F9">
          <w:rPr>
            <w:rStyle w:val="Hyperlink"/>
          </w:rPr>
          <w:t xml:space="preserve">Balit Murrup: Aboriginal social emotional wellbeing framework 2017-2027. </w:t>
        </w:r>
        <w:r w:rsidRPr="00077EFF">
          <w:rPr>
            <w:rStyle w:val="Hyperlink"/>
            <w:color w:val="000000" w:themeColor="text1"/>
            <w:u w:val="none"/>
          </w:rPr>
          <w:t>Available at</w:t>
        </w:r>
      </w:hyperlink>
      <w:r w:rsidRPr="00A61248">
        <w:t>:</w:t>
      </w:r>
      <w:r w:rsidRPr="00A61248">
        <w:rPr>
          <w:rStyle w:val="Hyperlink"/>
          <w:u w:val="none"/>
        </w:rPr>
        <w:t xml:space="preserve"> </w:t>
      </w:r>
      <w:r w:rsidR="00D53E29" w:rsidRPr="00C35C51">
        <w:rPr>
          <w:rStyle w:val="Hyperlink"/>
          <w:color w:val="000000" w:themeColor="text1"/>
          <w:u w:val="none"/>
        </w:rPr>
        <w:t>&lt;</w:t>
      </w:r>
      <w:r w:rsidR="009D4BF0" w:rsidRPr="00C35C51">
        <w:rPr>
          <w:rStyle w:val="Hyperlink"/>
          <w:color w:val="000000" w:themeColor="text1"/>
          <w:u w:val="none"/>
        </w:rPr>
        <w:t>https</w:t>
      </w:r>
      <w:r w:rsidR="009D4BF0" w:rsidRPr="001030F8">
        <w:rPr>
          <w:rStyle w:val="Hyperlink"/>
          <w:color w:val="auto"/>
          <w:u w:val="none"/>
        </w:rPr>
        <w:t>://www.dhhs.vic.gov.au/sites/default/files/documents/201710/Balit-Murrup-Aboriginal-social-and-emotional-wellbeing-framework-2017-2027.pdf</w:t>
      </w:r>
      <w:r w:rsidR="00D53E29">
        <w:rPr>
          <w:rStyle w:val="Hyperlink"/>
          <w:color w:val="auto"/>
          <w:u w:val="none"/>
        </w:rPr>
        <w:t>&gt;</w:t>
      </w:r>
      <w:r w:rsidR="00914A6B">
        <w:rPr>
          <w:rStyle w:val="Hyperlink"/>
          <w:color w:val="auto"/>
          <w:u w:val="none"/>
        </w:rPr>
        <w:t>.</w:t>
      </w:r>
    </w:p>
    <w:p w14:paraId="3E9E9374" w14:textId="0DD17BF7" w:rsidR="00D25E63" w:rsidRDefault="00D25E63" w:rsidP="00D25E63">
      <w:pPr>
        <w:pStyle w:val="Body"/>
        <w:rPr>
          <w:rStyle w:val="Hyperlink"/>
          <w:color w:val="auto"/>
          <w:u w:val="none"/>
        </w:rPr>
      </w:pPr>
      <w:r w:rsidRPr="00A61248">
        <w:t xml:space="preserve">Department of Health and Human Services 2017, </w:t>
      </w:r>
      <w:bookmarkStart w:id="77" w:name="_Hlk121153060"/>
      <w:r w:rsidR="00C36B2A" w:rsidRPr="000A4526">
        <w:rPr>
          <w:highlight w:val="yellow"/>
        </w:rPr>
        <w:fldChar w:fldCharType="begin"/>
      </w:r>
      <w:r w:rsidR="00C36B2A" w:rsidRPr="00A61248">
        <w:instrText xml:space="preserve"> HYPERLINK "https://www.health.vic.gov.au/health-strategies/korin-korin-balit-djak-aboriginal-health-wellbeing-and-safety-strategic-plan-2017" \h </w:instrText>
      </w:r>
      <w:r w:rsidR="00C36B2A" w:rsidRPr="000A4526">
        <w:rPr>
          <w:highlight w:val="yellow"/>
        </w:rPr>
      </w:r>
      <w:r w:rsidR="00C36B2A" w:rsidRPr="000A4526">
        <w:rPr>
          <w:highlight w:val="yellow"/>
        </w:rPr>
        <w:fldChar w:fldCharType="separate"/>
      </w:r>
      <w:r w:rsidRPr="00A61248">
        <w:rPr>
          <w:rStyle w:val="Hyperlink"/>
        </w:rPr>
        <w:t>Korin Korin Balit-Djak: Aboriginal health, wellbeing and safety strategic plan 2017–2027</w:t>
      </w:r>
      <w:r w:rsidR="00C36B2A" w:rsidRPr="000A4526">
        <w:rPr>
          <w:rStyle w:val="Hyperlink"/>
          <w:highlight w:val="yellow"/>
        </w:rPr>
        <w:fldChar w:fldCharType="end"/>
      </w:r>
      <w:bookmarkEnd w:id="77"/>
      <w:r w:rsidR="002414A8" w:rsidRPr="00A61248">
        <w:rPr>
          <w:rStyle w:val="Hyperlink"/>
        </w:rPr>
        <w:t xml:space="preserve">. </w:t>
      </w:r>
      <w:r w:rsidR="002414A8" w:rsidRPr="00077EFF">
        <w:rPr>
          <w:rStyle w:val="Hyperlink"/>
          <w:color w:val="000000" w:themeColor="text1"/>
          <w:u w:val="none"/>
        </w:rPr>
        <w:t>Available at:</w:t>
      </w:r>
      <w:r w:rsidR="00010ED1" w:rsidRPr="00077EFF">
        <w:rPr>
          <w:rStyle w:val="Hyperlink"/>
          <w:color w:val="000000" w:themeColor="text1"/>
        </w:rPr>
        <w:t xml:space="preserve"> </w:t>
      </w:r>
      <w:r w:rsidR="00D53E29" w:rsidRPr="00B500B6">
        <w:rPr>
          <w:rStyle w:val="Hyperlink"/>
          <w:color w:val="000000" w:themeColor="text1"/>
          <w:u w:val="none"/>
        </w:rPr>
        <w:t>&lt;</w:t>
      </w:r>
      <w:r w:rsidR="00134AF7" w:rsidRPr="001030F8">
        <w:rPr>
          <w:rStyle w:val="Hyperlink"/>
          <w:color w:val="auto"/>
          <w:u w:val="none"/>
        </w:rPr>
        <w:t>https://www.health.vic.gov.au/health-strategies/korin-korin-balit-djak-aboriginal-health-wellbeing-and-safety-strategic-plan-2017</w:t>
      </w:r>
      <w:r w:rsidR="00D53E29">
        <w:rPr>
          <w:rStyle w:val="Hyperlink"/>
          <w:color w:val="auto"/>
          <w:u w:val="none"/>
        </w:rPr>
        <w:t>&gt;</w:t>
      </w:r>
      <w:r w:rsidR="00914A6B">
        <w:rPr>
          <w:rStyle w:val="Hyperlink"/>
          <w:color w:val="auto"/>
          <w:u w:val="none"/>
        </w:rPr>
        <w:t>.</w:t>
      </w:r>
    </w:p>
    <w:p w14:paraId="648B97D0" w14:textId="21400D2C" w:rsidR="00D25E63" w:rsidRPr="00C81E77" w:rsidRDefault="00D25E63" w:rsidP="00D25E63">
      <w:pPr>
        <w:pStyle w:val="Body"/>
      </w:pPr>
      <w:r w:rsidRPr="00C81E77">
        <w:t>Department of Health and Human Services 2019, State Government of Victoria, Melbourne,</w:t>
      </w:r>
      <w:r w:rsidR="00914A6B">
        <w:t xml:space="preserve"> </w:t>
      </w:r>
      <w:r w:rsidR="008A75AD" w:rsidRPr="00C81E77">
        <w:t>Trans and gender diverse health and wellbeing</w:t>
      </w:r>
      <w:r w:rsidRPr="00C81E77">
        <w:t xml:space="preserve"> </w:t>
      </w:r>
      <w:r w:rsidR="031CF2BC" w:rsidRPr="00C81E77">
        <w:t>(</w:t>
      </w:r>
      <w:r w:rsidRPr="00C81E77">
        <w:t>viewed 07 October 2022</w:t>
      </w:r>
      <w:r w:rsidR="1443D4FD" w:rsidRPr="00C81E77">
        <w:t>)</w:t>
      </w:r>
      <w:r w:rsidRPr="00C81E77">
        <w:t>, &lt;https://www.health.vic.gov.au/populations/trans-and-gender-diverse-health-and-wellbeing&gt;.</w:t>
      </w:r>
    </w:p>
    <w:p w14:paraId="5A4BFC20" w14:textId="68556635" w:rsidR="00D25E63" w:rsidRPr="00FC4CE9" w:rsidRDefault="00D25E63" w:rsidP="00D25E63">
      <w:pPr>
        <w:pStyle w:val="Body"/>
        <w:rPr>
          <w:rFonts w:eastAsia="Arial" w:cs="Arial"/>
          <w:color w:val="000000" w:themeColor="text1"/>
        </w:rPr>
      </w:pPr>
      <w:r w:rsidRPr="00C81E77">
        <w:rPr>
          <w:rFonts w:eastAsia="Arial" w:cs="Arial"/>
          <w:color w:val="000000" w:themeColor="text1"/>
        </w:rPr>
        <w:t>Department of Health and Human Services.2022</w:t>
      </w:r>
      <w:r w:rsidR="4685FDE2" w:rsidRPr="00C81E77">
        <w:rPr>
          <w:rFonts w:eastAsia="Arial" w:cs="Arial"/>
          <w:color w:val="000000" w:themeColor="text1"/>
        </w:rPr>
        <w:t>,</w:t>
      </w:r>
      <w:r w:rsidR="008B726B" w:rsidRPr="00C81E77">
        <w:rPr>
          <w:rFonts w:eastAsia="Arial" w:cs="Arial"/>
          <w:color w:val="000000" w:themeColor="text1"/>
        </w:rPr>
        <w:t xml:space="preserve"> </w:t>
      </w:r>
      <w:hyperlink r:id="rId43" w:history="1">
        <w:r w:rsidR="008B726B" w:rsidRPr="00C81E77">
          <w:rPr>
            <w:rStyle w:val="Hyperlink"/>
          </w:rPr>
          <w:t>Refugee and asylum seeker health and wellbeing</w:t>
        </w:r>
      </w:hyperlink>
      <w:r w:rsidR="008B726B" w:rsidRPr="00C81E77">
        <w:t>.</w:t>
      </w:r>
      <w:r w:rsidRPr="00C81E77">
        <w:rPr>
          <w:rFonts w:eastAsia="Arial" w:cs="Arial"/>
          <w:color w:val="000000" w:themeColor="text1"/>
        </w:rPr>
        <w:t xml:space="preserve"> [online] Available at: </w:t>
      </w:r>
      <w:r w:rsidR="00914A6B">
        <w:rPr>
          <w:rFonts w:eastAsia="Arial" w:cs="Arial"/>
          <w:color w:val="000000" w:themeColor="text1"/>
        </w:rPr>
        <w:t>&lt;</w:t>
      </w:r>
      <w:r w:rsidRPr="00C81E77">
        <w:rPr>
          <w:rFonts w:eastAsia="Arial" w:cs="Arial"/>
          <w:color w:val="000000" w:themeColor="text1"/>
        </w:rPr>
        <w:t>https://www.health.vic.gov.au/sites/default/files/migrated/files/collections/factsheets/s/stepping-in-to-support-people-seeking-asylum---factsheet.docx</w:t>
      </w:r>
      <w:r w:rsidR="002830AC">
        <w:rPr>
          <w:rFonts w:eastAsia="Arial" w:cs="Arial"/>
          <w:color w:val="000000" w:themeColor="text1"/>
        </w:rPr>
        <w:t>&gt;</w:t>
      </w:r>
      <w:r w:rsidRPr="00C81E77">
        <w:rPr>
          <w:rFonts w:eastAsia="Arial" w:cs="Arial"/>
          <w:color w:val="000000" w:themeColor="text1"/>
        </w:rPr>
        <w:t xml:space="preserve"> </w:t>
      </w:r>
      <w:r w:rsidR="16812C30" w:rsidRPr="00C81E77">
        <w:rPr>
          <w:rFonts w:eastAsia="Arial" w:cs="Arial"/>
          <w:color w:val="000000" w:themeColor="text1"/>
        </w:rPr>
        <w:t>(view</w:t>
      </w:r>
      <w:r w:rsidRPr="00C81E77">
        <w:rPr>
          <w:rFonts w:eastAsia="Arial" w:cs="Arial"/>
          <w:color w:val="000000" w:themeColor="text1"/>
        </w:rPr>
        <w:t>ed 6 Oc</w:t>
      </w:r>
      <w:r w:rsidR="5BB4B994" w:rsidRPr="00C81E77">
        <w:rPr>
          <w:rFonts w:eastAsia="Arial" w:cs="Arial"/>
          <w:color w:val="000000" w:themeColor="text1"/>
        </w:rPr>
        <w:t>tober</w:t>
      </w:r>
      <w:r w:rsidRPr="00C81E77">
        <w:rPr>
          <w:rFonts w:eastAsia="Arial" w:cs="Arial"/>
          <w:color w:val="000000" w:themeColor="text1"/>
        </w:rPr>
        <w:t xml:space="preserve"> 2022</w:t>
      </w:r>
      <w:r w:rsidR="627074C1" w:rsidRPr="00C81E77">
        <w:rPr>
          <w:rFonts w:eastAsia="Arial" w:cs="Arial"/>
          <w:color w:val="000000" w:themeColor="text1"/>
        </w:rPr>
        <w:t>)</w:t>
      </w:r>
      <w:r w:rsidRPr="00C81E77">
        <w:rPr>
          <w:rFonts w:eastAsia="Arial" w:cs="Arial"/>
          <w:color w:val="000000" w:themeColor="text1"/>
        </w:rPr>
        <w:t>.</w:t>
      </w:r>
    </w:p>
    <w:p w14:paraId="3014313E" w14:textId="77777777" w:rsidR="00D25E63" w:rsidRPr="008D5F88" w:rsidRDefault="00D25E63" w:rsidP="00D25E63">
      <w:pPr>
        <w:pStyle w:val="Body"/>
      </w:pPr>
      <w:r w:rsidRPr="008D5F88">
        <w:t xml:space="preserve">Department of Treasury and Finance, 2019, ‘Budget Paper No. 3: Service Delivery’, </w:t>
      </w:r>
      <w:r w:rsidRPr="008D5F88">
        <w:rPr>
          <w:i/>
          <w:iCs/>
        </w:rPr>
        <w:t>2019-20 State Budget</w:t>
      </w:r>
      <w:r w:rsidRPr="008D5F88">
        <w:t>, State Government of Victoria, Melbourne.</w:t>
      </w:r>
    </w:p>
    <w:p w14:paraId="6E2A00A2" w14:textId="710A0A65" w:rsidR="00D25E63" w:rsidRPr="00430E9F" w:rsidRDefault="00D25E63" w:rsidP="00D25E63">
      <w:pPr>
        <w:jc w:val="both"/>
        <w:rPr>
          <w:rFonts w:eastAsia="Calibri" w:cs="Arial"/>
          <w:lang w:val="en-US"/>
        </w:rPr>
      </w:pPr>
      <w:r w:rsidRPr="00A61248">
        <w:rPr>
          <w:rFonts w:eastAsia="Calibri" w:cs="Arial"/>
          <w:lang w:val="en-US"/>
        </w:rPr>
        <w:t>Ebrahim, S., F. Taylor, K. Ward, A. Beswick, M. Burke and G. Davey Smith 2011</w:t>
      </w:r>
      <w:r w:rsidR="109AA494" w:rsidRPr="00A61248">
        <w:rPr>
          <w:rFonts w:eastAsia="Calibri" w:cs="Arial"/>
          <w:lang w:val="en-US"/>
        </w:rPr>
        <w:t>,</w:t>
      </w:r>
      <w:r w:rsidRPr="00A61248">
        <w:rPr>
          <w:rFonts w:eastAsia="Calibri" w:cs="Arial"/>
          <w:lang w:val="en-US"/>
        </w:rPr>
        <w:t xml:space="preserve"> </w:t>
      </w:r>
      <w:r w:rsidR="06107599" w:rsidRPr="00A61248">
        <w:rPr>
          <w:rFonts w:eastAsia="Calibri" w:cs="Arial"/>
          <w:lang w:val="en-US"/>
        </w:rPr>
        <w:t>‘</w:t>
      </w:r>
      <w:r w:rsidRPr="00A61248">
        <w:rPr>
          <w:rFonts w:eastAsia="Calibri" w:cs="Arial"/>
          <w:lang w:val="en-US"/>
        </w:rPr>
        <w:t xml:space="preserve">Multiple risk factor interventions for primary prevention of coronary heart </w:t>
      </w:r>
      <w:r w:rsidRPr="00430E9F">
        <w:rPr>
          <w:rFonts w:eastAsia="Calibri" w:cs="Arial"/>
          <w:lang w:val="en-US"/>
        </w:rPr>
        <w:t>disease</w:t>
      </w:r>
      <w:r w:rsidR="52E8FA25" w:rsidRPr="00430E9F">
        <w:rPr>
          <w:rFonts w:eastAsia="Calibri" w:cs="Arial"/>
          <w:lang w:val="en-US"/>
        </w:rPr>
        <w:t>'</w:t>
      </w:r>
      <w:r w:rsidRPr="00430E9F">
        <w:rPr>
          <w:rFonts w:eastAsia="Calibri" w:cs="Arial"/>
          <w:lang w:val="en-US"/>
        </w:rPr>
        <w:t xml:space="preserve"> Cochrane Database Syst Rev</w:t>
      </w:r>
      <w:r w:rsidRPr="00430E9F">
        <w:rPr>
          <w:rFonts w:eastAsia="Calibri" w:cs="Arial"/>
          <w:u w:val="single"/>
          <w:lang w:val="en-US"/>
        </w:rPr>
        <w:t xml:space="preserve"> </w:t>
      </w:r>
      <w:r w:rsidRPr="00430E9F">
        <w:rPr>
          <w:rFonts w:eastAsia="Calibri" w:cs="Arial"/>
          <w:lang w:val="en-US"/>
        </w:rPr>
        <w:t>(1): CD001561.</w:t>
      </w:r>
    </w:p>
    <w:p w14:paraId="5C673A51" w14:textId="43A2D6E1" w:rsidR="00D25E63" w:rsidRDefault="00000000" w:rsidP="00D25E63">
      <w:pPr>
        <w:pStyle w:val="Body"/>
      </w:pPr>
      <w:hyperlink r:id="rId44" w:history="1">
        <w:r w:rsidR="00D25E63" w:rsidRPr="00B500B6">
          <w:rPr>
            <w:rStyle w:val="Hyperlink"/>
          </w:rPr>
          <w:t>Family</w:t>
        </w:r>
        <w:r w:rsidR="002414A8" w:rsidRPr="00B500B6">
          <w:rPr>
            <w:rStyle w:val="Hyperlink"/>
          </w:rPr>
          <w:t xml:space="preserve"> </w:t>
        </w:r>
        <w:r w:rsidR="00D25E63" w:rsidRPr="00B500B6">
          <w:rPr>
            <w:rStyle w:val="Hyperlink"/>
          </w:rPr>
          <w:t>Matters</w:t>
        </w:r>
        <w:r w:rsidR="002414A8" w:rsidRPr="00B500B6">
          <w:rPr>
            <w:rStyle w:val="Hyperlink"/>
          </w:rPr>
          <w:t>, 2020,The  Family Matters r</w:t>
        </w:r>
        <w:r w:rsidR="00D25E63" w:rsidRPr="00B500B6">
          <w:rPr>
            <w:rStyle w:val="Hyperlink"/>
          </w:rPr>
          <w:t>eport</w:t>
        </w:r>
        <w:r w:rsidR="002414A8" w:rsidRPr="00B500B6">
          <w:rPr>
            <w:rStyle w:val="Hyperlink"/>
          </w:rPr>
          <w:t xml:space="preserve"> </w:t>
        </w:r>
        <w:r w:rsidR="00D25E63" w:rsidRPr="00B500B6">
          <w:rPr>
            <w:rStyle w:val="Hyperlink"/>
          </w:rPr>
          <w:t>2020</w:t>
        </w:r>
      </w:hyperlink>
      <w:r w:rsidR="002414A8" w:rsidRPr="00F47A93">
        <w:rPr>
          <w:rStyle w:val="Hyperlink"/>
          <w:color w:val="auto"/>
        </w:rPr>
        <w:t>.</w:t>
      </w:r>
      <w:r w:rsidR="002414A8" w:rsidRPr="0051029A">
        <w:rPr>
          <w:rStyle w:val="Hyperlink"/>
          <w:color w:val="auto"/>
          <w:u w:val="none"/>
        </w:rPr>
        <w:t xml:space="preserve"> Available at:</w:t>
      </w:r>
      <w:r w:rsidR="00D25E63" w:rsidRPr="00DF601C">
        <w:t xml:space="preserve"> </w:t>
      </w:r>
      <w:r w:rsidR="00D25E63" w:rsidRPr="00F47A93">
        <w:t>&lt;</w:t>
      </w:r>
      <w:r w:rsidR="00E67B0F" w:rsidRPr="00E67B0F">
        <w:t>https://www.familymatters.org.au/wp-content/uploads/2020/11/FamilyMattersReport2020_LR.pdf</w:t>
      </w:r>
      <w:r w:rsidR="00D25E63" w:rsidRPr="00F47A93">
        <w:t>&gt;</w:t>
      </w:r>
      <w:r w:rsidR="00077EFF">
        <w:t>.</w:t>
      </w:r>
    </w:p>
    <w:p w14:paraId="7F350BD1" w14:textId="77777777" w:rsidR="00D25E63" w:rsidRDefault="00D25E63" w:rsidP="00D25E63">
      <w:pPr>
        <w:pStyle w:val="Body"/>
        <w:rPr>
          <w:rFonts w:eastAsia="Calibri" w:cs="Arial"/>
          <w:szCs w:val="21"/>
        </w:rPr>
      </w:pPr>
      <w:r>
        <w:rPr>
          <w:rFonts w:eastAsia="Calibri" w:cs="Arial"/>
          <w:szCs w:val="21"/>
        </w:rPr>
        <w:t xml:space="preserve">Ford JD, King N, Galappaththi EK, Pearce T, McDowell G, Harper SL, 2020 ‘The Resilience of Indigenous Peoples to Environmental Change’, </w:t>
      </w:r>
      <w:r w:rsidRPr="004823E2">
        <w:rPr>
          <w:rFonts w:eastAsia="Calibri" w:cs="Arial"/>
          <w:i/>
          <w:szCs w:val="21"/>
        </w:rPr>
        <w:t>One Earth</w:t>
      </w:r>
      <w:r>
        <w:rPr>
          <w:rFonts w:eastAsia="Calibri" w:cs="Arial"/>
          <w:szCs w:val="21"/>
        </w:rPr>
        <w:t>, Vol.2, Issue 6, pp.532-543.</w:t>
      </w:r>
    </w:p>
    <w:p w14:paraId="31133B53" w14:textId="77777777" w:rsidR="00D25E63" w:rsidRPr="008D5F88" w:rsidRDefault="00D25E63" w:rsidP="00D25E63">
      <w:pPr>
        <w:pStyle w:val="Body"/>
      </w:pPr>
      <w:r w:rsidRPr="008D5F88">
        <w:t xml:space="preserve">Hillier, L, Jones, T, Monagle, M, Overton, N, Gahan, L, Blackman, J, &amp; Mitchell, A 2010, </w:t>
      </w:r>
      <w:r w:rsidRPr="008D5F88">
        <w:rPr>
          <w:i/>
          <w:iCs/>
        </w:rPr>
        <w:t>Writing themselves in 3: the third national study on the sexual health and wellbeing of same sex attracted and gender questioning young people</w:t>
      </w:r>
      <w:r w:rsidRPr="008D5F88">
        <w:t>, Australian Research Centre in Sex, Health and Society, La Trobe University, Melbourne.</w:t>
      </w:r>
    </w:p>
    <w:p w14:paraId="49D7B64B" w14:textId="5E7EA315" w:rsidR="00D25E63" w:rsidRPr="00EF670E" w:rsidRDefault="00D25E63" w:rsidP="00D25E63">
      <w:pPr>
        <w:jc w:val="both"/>
        <w:rPr>
          <w:rFonts w:eastAsia="Calibri" w:cs="Arial"/>
          <w:szCs w:val="21"/>
        </w:rPr>
      </w:pPr>
      <w:r w:rsidRPr="00EE484B">
        <w:rPr>
          <w:rFonts w:eastAsia="Calibri" w:cs="Arial"/>
          <w:szCs w:val="21"/>
        </w:rPr>
        <w:lastRenderedPageBreak/>
        <w:t>Hutchinson K. 2019, ‘Why women are more likely to have dodgy hip implants or other medical devices’, The Conversation, 12 August 2021</w:t>
      </w:r>
      <w:r w:rsidR="00F125C8">
        <w:rPr>
          <w:rFonts w:eastAsia="Calibri" w:cs="Arial"/>
          <w:szCs w:val="21"/>
        </w:rPr>
        <w:t xml:space="preserve">. </w:t>
      </w:r>
      <w:r w:rsidR="00F125C8" w:rsidRPr="0051029A">
        <w:rPr>
          <w:rStyle w:val="Hyperlink"/>
          <w:color w:val="auto"/>
          <w:u w:val="none"/>
        </w:rPr>
        <w:t>Available at:</w:t>
      </w:r>
      <w:r w:rsidRPr="00EE484B">
        <w:rPr>
          <w:rFonts w:eastAsia="Calibri" w:cs="Arial"/>
          <w:szCs w:val="21"/>
        </w:rPr>
        <w:t xml:space="preserve"> </w:t>
      </w:r>
      <w:r w:rsidR="00B529BC">
        <w:rPr>
          <w:rFonts w:eastAsia="Calibri" w:cs="Arial"/>
          <w:szCs w:val="21"/>
        </w:rPr>
        <w:t>&lt;</w:t>
      </w:r>
      <w:r w:rsidRPr="00EE484B">
        <w:rPr>
          <w:rFonts w:eastAsia="Calibri" w:cs="Arial"/>
          <w:szCs w:val="21"/>
        </w:rPr>
        <w:t>https://theconversation.com/why-women-are-more-likely-to-have-dodgy-hip-implants-or-other-medical-devices-121363</w:t>
      </w:r>
      <w:r w:rsidR="00F357ED">
        <w:rPr>
          <w:rFonts w:eastAsia="Calibri" w:cs="Arial"/>
          <w:szCs w:val="21"/>
        </w:rPr>
        <w:t>&gt;.</w:t>
      </w:r>
    </w:p>
    <w:p w14:paraId="73793E99" w14:textId="26BD395E" w:rsidR="00D25E63" w:rsidRPr="00714DFD" w:rsidRDefault="00D25E63" w:rsidP="00D25E63">
      <w:pPr>
        <w:jc w:val="both"/>
        <w:rPr>
          <w:rFonts w:eastAsia="Calibri" w:cs="Arial"/>
          <w:lang w:val="en-US"/>
        </w:rPr>
      </w:pPr>
      <w:r w:rsidRPr="00EA04D0">
        <w:rPr>
          <w:rFonts w:eastAsia="Calibri" w:cs="Arial"/>
          <w:lang w:val="en-US"/>
        </w:rPr>
        <w:t xml:space="preserve">Johnson, S. </w:t>
      </w:r>
      <w:r w:rsidRPr="00CC3C42">
        <w:rPr>
          <w:rFonts w:eastAsia="Calibri" w:cs="Arial"/>
          <w:lang w:val="en-US"/>
        </w:rPr>
        <w:t>2013</w:t>
      </w:r>
      <w:r w:rsidR="23A5B3AA" w:rsidRPr="00CC3C42">
        <w:rPr>
          <w:rFonts w:eastAsia="Calibri" w:cs="Arial"/>
          <w:lang w:val="en-US"/>
        </w:rPr>
        <w:t>,</w:t>
      </w:r>
      <w:r w:rsidRPr="00CC3C42">
        <w:rPr>
          <w:rFonts w:eastAsia="Calibri" w:cs="Arial"/>
          <w:lang w:val="en-US"/>
        </w:rPr>
        <w:t xml:space="preserve"> </w:t>
      </w:r>
      <w:r w:rsidR="076635C7" w:rsidRPr="00CC3C42">
        <w:rPr>
          <w:rFonts w:eastAsia="Calibri" w:cs="Arial"/>
          <w:lang w:val="en-US"/>
        </w:rPr>
        <w:t>'</w:t>
      </w:r>
      <w:r w:rsidRPr="00CC3C42">
        <w:rPr>
          <w:rFonts w:eastAsia="Calibri" w:cs="Arial"/>
          <w:lang w:val="en-US"/>
        </w:rPr>
        <w:t>Increasing psychology's role in health research and health care</w:t>
      </w:r>
      <w:r w:rsidR="51DFC292" w:rsidRPr="00CC3C42">
        <w:rPr>
          <w:rFonts w:eastAsia="Calibri" w:cs="Arial"/>
          <w:lang w:val="en-US"/>
        </w:rPr>
        <w:t>’</w:t>
      </w:r>
      <w:r w:rsidRPr="00CC3C42">
        <w:rPr>
          <w:rFonts w:eastAsia="Calibri" w:cs="Arial"/>
          <w:lang w:val="en-US"/>
        </w:rPr>
        <w:t xml:space="preserve"> </w:t>
      </w:r>
      <w:r w:rsidRPr="00714DFD">
        <w:rPr>
          <w:rFonts w:eastAsia="Calibri" w:cs="Arial"/>
          <w:lang w:val="en-US"/>
        </w:rPr>
        <w:t>American Psychologist</w:t>
      </w:r>
      <w:r w:rsidRPr="00EA04D0">
        <w:rPr>
          <w:rFonts w:eastAsia="Calibri" w:cs="Arial"/>
          <w:lang w:val="en-US"/>
        </w:rPr>
        <w:t xml:space="preserve"> </w:t>
      </w:r>
      <w:r w:rsidRPr="00714DFD">
        <w:rPr>
          <w:rFonts w:eastAsia="Calibri" w:cs="Arial"/>
          <w:lang w:val="en-US"/>
        </w:rPr>
        <w:t>68</w:t>
      </w:r>
      <w:r w:rsidRPr="00CC3C42">
        <w:rPr>
          <w:rFonts w:eastAsia="Calibri" w:cs="Arial"/>
          <w:lang w:val="en-US"/>
        </w:rPr>
        <w:t>(5): 311321.</w:t>
      </w:r>
    </w:p>
    <w:p w14:paraId="0D636E3E" w14:textId="287F9F27" w:rsidR="00D25E63" w:rsidRPr="00861A53" w:rsidRDefault="00D25E63" w:rsidP="00D25E63">
      <w:pPr>
        <w:spacing w:line="257" w:lineRule="auto"/>
        <w:rPr>
          <w:rFonts w:eastAsia="Calibri" w:cs="Arial"/>
        </w:rPr>
      </w:pPr>
      <w:r w:rsidRPr="00714DFD">
        <w:rPr>
          <w:rFonts w:eastAsia="Calibri" w:cs="Arial"/>
        </w:rPr>
        <w:t>Kawachi, I., Subramanian, S.V &amp; Almeida-Filho, N. 2002</w:t>
      </w:r>
      <w:r w:rsidR="2F99A74C" w:rsidRPr="00861A53">
        <w:rPr>
          <w:rFonts w:eastAsia="Calibri" w:cs="Arial"/>
        </w:rPr>
        <w:t>,</w:t>
      </w:r>
      <w:r w:rsidRPr="00861A53">
        <w:rPr>
          <w:rFonts w:eastAsia="Calibri" w:cs="Arial"/>
        </w:rPr>
        <w:t xml:space="preserve"> A glossary for health inequalities. Journal of Epidemiology and Community Health 56</w:t>
      </w:r>
      <w:r w:rsidRPr="00714DFD">
        <w:rPr>
          <w:rFonts w:eastAsia="Calibri" w:cs="Arial"/>
          <w:b/>
        </w:rPr>
        <w:t xml:space="preserve"> </w:t>
      </w:r>
      <w:r w:rsidRPr="00861A53">
        <w:rPr>
          <w:rFonts w:eastAsia="Calibri" w:cs="Arial"/>
        </w:rPr>
        <w:t>(9): 647-52</w:t>
      </w:r>
      <w:r w:rsidR="00861A53">
        <w:rPr>
          <w:rFonts w:eastAsia="Calibri" w:cs="Arial"/>
        </w:rPr>
        <w:t>.</w:t>
      </w:r>
    </w:p>
    <w:p w14:paraId="3A890156" w14:textId="491992C3"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Malone E. </w:t>
      </w:r>
      <w:r w:rsidR="64D9E325" w:rsidRPr="00861A53">
        <w:rPr>
          <w:rFonts w:eastAsia="Arial" w:cs="Arial"/>
          <w:color w:val="000000" w:themeColor="text1"/>
        </w:rPr>
        <w:t>2009, ‘</w:t>
      </w:r>
      <w:r w:rsidRPr="00FC4CE9">
        <w:rPr>
          <w:rFonts w:eastAsia="Arial" w:cs="Arial"/>
          <w:color w:val="000000" w:themeColor="text1"/>
        </w:rPr>
        <w:t xml:space="preserve">Vulnerability and resilience in the face of climate change: current research and needs for population </w:t>
      </w:r>
      <w:r w:rsidRPr="00997726">
        <w:rPr>
          <w:rFonts w:eastAsia="Arial" w:cs="Arial"/>
          <w:color w:val="000000" w:themeColor="text1"/>
        </w:rPr>
        <w:t>information</w:t>
      </w:r>
      <w:r w:rsidR="02A31F3F" w:rsidRPr="00997726">
        <w:rPr>
          <w:rFonts w:eastAsia="Arial" w:cs="Arial"/>
          <w:color w:val="000000" w:themeColor="text1"/>
        </w:rPr>
        <w:t>’</w:t>
      </w:r>
      <w:r w:rsidRPr="00997726">
        <w:rPr>
          <w:rFonts w:eastAsia="Arial" w:cs="Arial"/>
          <w:color w:val="000000" w:themeColor="text1"/>
        </w:rPr>
        <w:t>.</w:t>
      </w:r>
      <w:r w:rsidRPr="00FC4CE9">
        <w:rPr>
          <w:rFonts w:eastAsia="Arial" w:cs="Arial"/>
          <w:color w:val="000000" w:themeColor="text1"/>
        </w:rPr>
        <w:t xml:space="preserve"> Population Action International: Washington, DC.</w:t>
      </w:r>
    </w:p>
    <w:p w14:paraId="35051EA7" w14:textId="6E65F4F2" w:rsidR="00D25E63" w:rsidRDefault="00D25E63" w:rsidP="00D25E63">
      <w:pPr>
        <w:pStyle w:val="Body"/>
        <w:rPr>
          <w:rFonts w:eastAsia="Arial" w:cs="Arial"/>
          <w:color w:val="000000" w:themeColor="text1"/>
        </w:rPr>
      </w:pPr>
      <w:r w:rsidRPr="00FC4CE9">
        <w:rPr>
          <w:rFonts w:eastAsia="Arial" w:cs="Arial"/>
          <w:color w:val="000000" w:themeColor="text1"/>
        </w:rPr>
        <w:t>Mauvais-Jarvis et al. 2020, ‘Sex and gender: Modifiers of health, disease, and medicine’, Lancet, vol. 396, pp. 565–82</w:t>
      </w:r>
      <w:r w:rsidR="00997726" w:rsidRPr="007E7595">
        <w:rPr>
          <w:rFonts w:eastAsia="Arial" w:cs="Arial"/>
          <w:color w:val="000000" w:themeColor="text1"/>
        </w:rPr>
        <w:t>.</w:t>
      </w:r>
    </w:p>
    <w:p w14:paraId="2075C16A" w14:textId="246ECCD1" w:rsidR="00D25E63" w:rsidRDefault="00D25E63" w:rsidP="00D25E63">
      <w:pPr>
        <w:pStyle w:val="Body"/>
      </w:pPr>
      <w:r w:rsidRPr="00C933F6">
        <w:t>National Environmental Science Program Earth Systems and Climate Change Hub 2021</w:t>
      </w:r>
      <w:r w:rsidR="206B4BEB" w:rsidRPr="00997726">
        <w:t>, ‘</w:t>
      </w:r>
      <w:r w:rsidRPr="00C933F6">
        <w:t xml:space="preserve">National First Peoples Gathering on Climate Change: Summary Fact </w:t>
      </w:r>
      <w:r w:rsidRPr="00997726">
        <w:t>Sheet</w:t>
      </w:r>
      <w:r w:rsidR="12ADFC87" w:rsidRPr="007E7595">
        <w:t>'</w:t>
      </w:r>
      <w:r w:rsidRPr="00C933F6">
        <w:t xml:space="preserve"> National Environmental Science Program, Earth System and Climate Change Hub, Melbourne.</w:t>
      </w:r>
    </w:p>
    <w:p w14:paraId="6089C3B1" w14:textId="333C5C39" w:rsidR="00D25E63" w:rsidRPr="005C1CE6" w:rsidRDefault="00D25E63" w:rsidP="00D25E63">
      <w:pPr>
        <w:spacing w:line="257" w:lineRule="auto"/>
        <w:rPr>
          <w:rFonts w:eastAsia="Calibri" w:cs="Arial"/>
        </w:rPr>
      </w:pPr>
      <w:r w:rsidRPr="007E7595">
        <w:rPr>
          <w:rFonts w:eastAsia="Calibri" w:cs="Arial"/>
        </w:rPr>
        <w:t xml:space="preserve">Nazrul Islam, S. and Winkel, J. </w:t>
      </w:r>
      <w:r w:rsidRPr="005C1CE6">
        <w:rPr>
          <w:rFonts w:eastAsia="Calibri" w:cs="Arial"/>
        </w:rPr>
        <w:t xml:space="preserve">2017 </w:t>
      </w:r>
      <w:r w:rsidR="7A878723" w:rsidRPr="005C1CE6">
        <w:rPr>
          <w:rFonts w:eastAsia="Calibri" w:cs="Arial"/>
        </w:rPr>
        <w:t>'</w:t>
      </w:r>
      <w:r w:rsidRPr="005C1CE6">
        <w:rPr>
          <w:rFonts w:eastAsia="Calibri" w:cs="Arial"/>
        </w:rPr>
        <w:t>Climate change and social inequality</w:t>
      </w:r>
      <w:r w:rsidR="337D39E9" w:rsidRPr="005C1CE6">
        <w:rPr>
          <w:rFonts w:eastAsia="Calibri" w:cs="Arial"/>
        </w:rPr>
        <w:t>',</w:t>
      </w:r>
      <w:r w:rsidRPr="005C1CE6">
        <w:rPr>
          <w:rFonts w:eastAsia="Calibri" w:cs="Arial"/>
        </w:rPr>
        <w:t xml:space="preserve"> Department of Economics and Social Affairs working paper no. 152. United Nations. </w:t>
      </w:r>
    </w:p>
    <w:p w14:paraId="20254262" w14:textId="77777777" w:rsidR="00D25E63" w:rsidRDefault="00D25E63" w:rsidP="00D25E63">
      <w:pPr>
        <w:pStyle w:val="Body"/>
      </w:pPr>
      <w:r>
        <w:t xml:space="preserve">Nursey-Bray M, Palmer R, Smith TF, Rist P 2019. ‘Old ways for new days: Australian Indigenous peoples and climate change’, </w:t>
      </w:r>
      <w:r w:rsidRPr="36A6EA1A">
        <w:rPr>
          <w:i/>
          <w:iCs/>
        </w:rPr>
        <w:t>Local Environment,</w:t>
      </w:r>
      <w:r>
        <w:t xml:space="preserve"> Vol.24, No.5, pp.473-486.</w:t>
      </w:r>
    </w:p>
    <w:p w14:paraId="50705E5A" w14:textId="4D75AFF9"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Parkinson D. </w:t>
      </w:r>
      <w:r w:rsidR="7A8CEEBE" w:rsidRPr="005C1CE6">
        <w:rPr>
          <w:rFonts w:eastAsia="Arial" w:cs="Arial"/>
          <w:color w:val="000000" w:themeColor="text1"/>
        </w:rPr>
        <w:t>2011, ‘</w:t>
      </w:r>
      <w:r w:rsidRPr="00FC4CE9">
        <w:rPr>
          <w:rFonts w:eastAsia="Arial" w:cs="Arial"/>
          <w:color w:val="000000" w:themeColor="text1"/>
        </w:rPr>
        <w:t xml:space="preserve">The way he tells it: relationships after Black </w:t>
      </w:r>
      <w:r w:rsidRPr="00B96080">
        <w:rPr>
          <w:rFonts w:eastAsia="Arial" w:cs="Arial"/>
          <w:color w:val="000000" w:themeColor="text1"/>
        </w:rPr>
        <w:t>Saturday</w:t>
      </w:r>
      <w:r w:rsidR="76DF6627" w:rsidRPr="00B96080">
        <w:rPr>
          <w:rFonts w:eastAsia="Arial" w:cs="Arial"/>
          <w:color w:val="000000" w:themeColor="text1"/>
        </w:rPr>
        <w:t>’</w:t>
      </w:r>
      <w:r w:rsidRPr="00B96080">
        <w:rPr>
          <w:rFonts w:eastAsia="Arial" w:cs="Arial"/>
          <w:color w:val="000000" w:themeColor="text1"/>
        </w:rPr>
        <w:t>.</w:t>
      </w:r>
      <w:r w:rsidRPr="00FC4CE9">
        <w:rPr>
          <w:rFonts w:eastAsia="Arial" w:cs="Arial"/>
          <w:color w:val="000000" w:themeColor="text1"/>
        </w:rPr>
        <w:t xml:space="preserve"> Vol. 1 Executive summary and recommendations. Wangaratta, Victoria: Women's Health Goulburn North East</w:t>
      </w:r>
      <w:r w:rsidR="00B96080">
        <w:rPr>
          <w:rFonts w:eastAsia="Arial" w:cs="Arial"/>
          <w:color w:val="000000" w:themeColor="text1"/>
        </w:rPr>
        <w:t>.</w:t>
      </w:r>
      <w:r w:rsidRPr="00B96080">
        <w:rPr>
          <w:rFonts w:eastAsia="Arial" w:cs="Arial"/>
          <w:color w:val="000000" w:themeColor="text1"/>
        </w:rPr>
        <w:t xml:space="preserve"> </w:t>
      </w:r>
      <w:r w:rsidRPr="00FC4CE9">
        <w:rPr>
          <w:rFonts w:eastAsia="Arial" w:cs="Arial"/>
          <w:color w:val="000000" w:themeColor="text1"/>
        </w:rPr>
        <w:t xml:space="preserve">Available </w:t>
      </w:r>
      <w:r w:rsidR="003A1BB5">
        <w:rPr>
          <w:rFonts w:eastAsia="Arial" w:cs="Arial"/>
          <w:color w:val="000000" w:themeColor="text1"/>
        </w:rPr>
        <w:t>at</w:t>
      </w:r>
      <w:r w:rsidRPr="00FC4CE9">
        <w:rPr>
          <w:rFonts w:eastAsia="Arial" w:cs="Arial"/>
          <w:color w:val="000000" w:themeColor="text1"/>
        </w:rPr>
        <w:t xml:space="preserve">: </w:t>
      </w:r>
      <w:r w:rsidR="00872F0A">
        <w:rPr>
          <w:rFonts w:eastAsia="Arial" w:cs="Arial"/>
          <w:color w:val="000000" w:themeColor="text1"/>
        </w:rPr>
        <w:t>&lt;</w:t>
      </w:r>
      <w:r w:rsidRPr="00FC4CE9">
        <w:rPr>
          <w:rFonts w:eastAsia="Arial" w:cs="Arial"/>
          <w:color w:val="000000" w:themeColor="text1"/>
        </w:rPr>
        <w:t>https://www.genderanddisaster.com.au/ info-hub/research-resources</w:t>
      </w:r>
      <w:r w:rsidRPr="00B96080">
        <w:rPr>
          <w:rFonts w:eastAsia="Arial" w:cs="Arial"/>
          <w:color w:val="000000" w:themeColor="text1"/>
        </w:rPr>
        <w:t>/</w:t>
      </w:r>
      <w:r w:rsidR="00E375CC">
        <w:rPr>
          <w:rFonts w:eastAsia="Arial" w:cs="Arial"/>
          <w:color w:val="000000" w:themeColor="text1"/>
        </w:rPr>
        <w:t>&gt;</w:t>
      </w:r>
      <w:r w:rsidRPr="00B96080">
        <w:rPr>
          <w:rFonts w:eastAsia="Arial" w:cs="Arial"/>
          <w:color w:val="000000" w:themeColor="text1"/>
        </w:rPr>
        <w:t>.</w:t>
      </w:r>
      <w:r w:rsidRPr="00FC4CE9">
        <w:rPr>
          <w:rFonts w:eastAsia="Arial" w:cs="Arial"/>
          <w:color w:val="000000" w:themeColor="text1"/>
        </w:rPr>
        <w:t xml:space="preserve"> </w:t>
      </w:r>
    </w:p>
    <w:p w14:paraId="01E077BE" w14:textId="2ED4BE2B" w:rsidR="00D25E63" w:rsidRPr="00FC4CE9" w:rsidRDefault="00D25E63" w:rsidP="00D25E63">
      <w:pPr>
        <w:pStyle w:val="Body"/>
        <w:rPr>
          <w:rFonts w:eastAsia="Arial" w:cs="Arial"/>
          <w:color w:val="000000" w:themeColor="text1"/>
        </w:rPr>
      </w:pPr>
      <w:r w:rsidRPr="00FC4CE9">
        <w:rPr>
          <w:rFonts w:eastAsia="Arial" w:cs="Arial"/>
          <w:color w:val="000000" w:themeColor="text1"/>
        </w:rPr>
        <w:t xml:space="preserve">Parkinson D. </w:t>
      </w:r>
      <w:r w:rsidR="17EC03D9" w:rsidRPr="00B96080">
        <w:rPr>
          <w:rFonts w:eastAsia="Arial" w:cs="Arial"/>
          <w:color w:val="000000" w:themeColor="text1"/>
        </w:rPr>
        <w:t>2019,</w:t>
      </w:r>
      <w:r w:rsidRPr="00B96080">
        <w:rPr>
          <w:rFonts w:eastAsia="Arial" w:cs="Arial"/>
          <w:color w:val="000000" w:themeColor="text1"/>
        </w:rPr>
        <w:t xml:space="preserve"> </w:t>
      </w:r>
      <w:r w:rsidR="214AFC19" w:rsidRPr="00B96080">
        <w:rPr>
          <w:rFonts w:eastAsia="Arial" w:cs="Arial"/>
          <w:color w:val="000000" w:themeColor="text1"/>
        </w:rPr>
        <w:t>‘</w:t>
      </w:r>
      <w:r w:rsidRPr="00FC4CE9">
        <w:rPr>
          <w:rFonts w:eastAsia="Arial" w:cs="Arial"/>
          <w:color w:val="000000" w:themeColor="text1"/>
        </w:rPr>
        <w:t xml:space="preserve">Investigating the increase in domestic violence post disaster: an Australian case </w:t>
      </w:r>
      <w:r w:rsidRPr="00B96080">
        <w:rPr>
          <w:rFonts w:eastAsia="Arial" w:cs="Arial"/>
          <w:color w:val="000000" w:themeColor="text1"/>
        </w:rPr>
        <w:t>study</w:t>
      </w:r>
      <w:r w:rsidR="5F5606A1" w:rsidRPr="00E375CC">
        <w:rPr>
          <w:rFonts w:eastAsia="Arial" w:cs="Arial"/>
          <w:color w:val="000000" w:themeColor="text1"/>
        </w:rPr>
        <w:t>’</w:t>
      </w:r>
      <w:r w:rsidRPr="005B22CD">
        <w:rPr>
          <w:rFonts w:eastAsia="Arial" w:cs="Arial"/>
          <w:color w:val="000000" w:themeColor="text1"/>
        </w:rPr>
        <w:t>.</w:t>
      </w:r>
      <w:r w:rsidRPr="00FC4CE9">
        <w:rPr>
          <w:rFonts w:eastAsia="Arial" w:cs="Arial"/>
          <w:color w:val="000000" w:themeColor="text1"/>
        </w:rPr>
        <w:t xml:space="preserve"> Journal of Interpersonal Violence</w:t>
      </w:r>
      <w:r w:rsidR="00752DF1">
        <w:rPr>
          <w:rFonts w:eastAsia="Arial" w:cs="Arial"/>
          <w:color w:val="000000" w:themeColor="text1"/>
        </w:rPr>
        <w:t xml:space="preserve">, </w:t>
      </w:r>
      <w:r w:rsidRPr="00FC4CE9">
        <w:rPr>
          <w:rFonts w:eastAsia="Arial" w:cs="Arial"/>
          <w:color w:val="000000" w:themeColor="text1"/>
        </w:rPr>
        <w:t>34(11):2333-62.</w:t>
      </w:r>
    </w:p>
    <w:p w14:paraId="1B5E6DB9" w14:textId="77777777" w:rsidR="00D25E63" w:rsidRPr="008D5F88" w:rsidRDefault="00D25E63" w:rsidP="00D25E63">
      <w:pPr>
        <w:pStyle w:val="Body"/>
      </w:pPr>
      <w:r w:rsidRPr="008D5F88">
        <w:t xml:space="preserve">Perales, F 2019, ‘The health and wellbeing of Australian lesbian, gay and bisexual people: a systematic assessment using a longitudinal national sample’, </w:t>
      </w:r>
      <w:r w:rsidRPr="008D5F88">
        <w:rPr>
          <w:i/>
          <w:iCs/>
        </w:rPr>
        <w:t>Australian and New Zealand Journal of Public Health</w:t>
      </w:r>
      <w:r w:rsidRPr="008D5F88">
        <w:t>, vol. 43, no. 3, pp. 281-287.</w:t>
      </w:r>
    </w:p>
    <w:p w14:paraId="10A40071" w14:textId="77777777" w:rsidR="00D25E63" w:rsidRPr="008D5F88" w:rsidRDefault="00D25E63" w:rsidP="00D25E63">
      <w:pPr>
        <w:pStyle w:val="Body"/>
      </w:pPr>
      <w:r w:rsidRPr="008D5F88">
        <w:t xml:space="preserve">Richters, J, Altman, D, Badcock, P, Smith A, de Visser R, Grulich A, Rissel C, &amp; Simpson J 2014 ‘Sexual identity, sexual attraction and sexual experience: the Second Australian Study of Health and Relationships’, </w:t>
      </w:r>
      <w:r w:rsidRPr="008D5F88">
        <w:rPr>
          <w:i/>
          <w:iCs/>
        </w:rPr>
        <w:t>Sexual Health</w:t>
      </w:r>
      <w:r w:rsidRPr="008D5F88">
        <w:t>, vol. 11, no. 5, pp. 451–460.</w:t>
      </w:r>
    </w:p>
    <w:p w14:paraId="7EB1BC4C" w14:textId="68786E10" w:rsidR="00D25E63" w:rsidRPr="00FC4CE9" w:rsidRDefault="00D25E63" w:rsidP="00D25E63">
      <w:pPr>
        <w:pStyle w:val="Body"/>
        <w:rPr>
          <w:rFonts w:eastAsia="Arial" w:cs="Arial"/>
          <w:color w:val="000000" w:themeColor="text1"/>
        </w:rPr>
      </w:pPr>
      <w:r w:rsidRPr="00FC4CE9">
        <w:rPr>
          <w:rFonts w:eastAsia="Arial" w:cs="Arial"/>
          <w:color w:val="000000" w:themeColor="text1"/>
        </w:rPr>
        <w:t>Refugees, U.N.H.C. for (n.d.). </w:t>
      </w:r>
      <w:r w:rsidRPr="00FC4CE9">
        <w:rPr>
          <w:rFonts w:eastAsia="Arial" w:cs="Arial"/>
          <w:i/>
          <w:iCs/>
          <w:color w:val="000000" w:themeColor="text1"/>
        </w:rPr>
        <w:t>Climate change and disaster displacement in the Global Compact on Refugees</w:t>
      </w:r>
      <w:r w:rsidRPr="00FC4CE9">
        <w:rPr>
          <w:rFonts w:eastAsia="Arial" w:cs="Arial"/>
          <w:color w:val="000000" w:themeColor="text1"/>
        </w:rPr>
        <w:t xml:space="preserve">. [online] UNHCR. Available at: </w:t>
      </w:r>
      <w:r w:rsidR="00660DDE">
        <w:rPr>
          <w:rFonts w:eastAsia="Arial" w:cs="Arial"/>
          <w:color w:val="000000" w:themeColor="text1"/>
        </w:rPr>
        <w:t>&lt;</w:t>
      </w:r>
      <w:r w:rsidRPr="00FC4CE9">
        <w:rPr>
          <w:rFonts w:eastAsia="Arial" w:cs="Arial"/>
          <w:color w:val="000000" w:themeColor="text1"/>
        </w:rPr>
        <w:t>https://www.unhcr.org/en-au/protection/environment/5c9e13297/climate-change-disaster-displacement-global-compact-refugees.html</w:t>
      </w:r>
      <w:r w:rsidR="00660DDE">
        <w:rPr>
          <w:rFonts w:eastAsia="Arial" w:cs="Arial"/>
          <w:color w:val="000000" w:themeColor="text1"/>
        </w:rPr>
        <w:t>&gt;</w:t>
      </w:r>
      <w:r w:rsidRPr="276FAD30">
        <w:rPr>
          <w:rFonts w:eastAsia="Arial" w:cs="Arial"/>
          <w:color w:val="000000" w:themeColor="text1"/>
        </w:rPr>
        <w:t xml:space="preserve"> </w:t>
      </w:r>
      <w:r w:rsidR="39E477DA" w:rsidRPr="276FAD30">
        <w:rPr>
          <w:rFonts w:eastAsia="Arial" w:cs="Arial"/>
          <w:color w:val="000000" w:themeColor="text1"/>
        </w:rPr>
        <w:t>(view</w:t>
      </w:r>
      <w:r w:rsidRPr="276FAD30">
        <w:rPr>
          <w:rFonts w:eastAsia="Arial" w:cs="Arial"/>
          <w:color w:val="000000" w:themeColor="text1"/>
        </w:rPr>
        <w:t>ed</w:t>
      </w:r>
      <w:r w:rsidRPr="00FC4CE9">
        <w:rPr>
          <w:rFonts w:eastAsia="Arial" w:cs="Arial"/>
          <w:color w:val="000000" w:themeColor="text1"/>
        </w:rPr>
        <w:t xml:space="preserve"> 6 </w:t>
      </w:r>
      <w:r w:rsidRPr="276FAD30">
        <w:rPr>
          <w:rFonts w:eastAsia="Arial" w:cs="Arial"/>
          <w:color w:val="000000" w:themeColor="text1"/>
        </w:rPr>
        <w:t>Oct</w:t>
      </w:r>
      <w:r w:rsidR="32785562" w:rsidRPr="276FAD30">
        <w:rPr>
          <w:rFonts w:eastAsia="Arial" w:cs="Arial"/>
          <w:color w:val="000000" w:themeColor="text1"/>
        </w:rPr>
        <w:t>ober</w:t>
      </w:r>
      <w:r w:rsidRPr="00FC4CE9">
        <w:rPr>
          <w:rFonts w:eastAsia="Arial" w:cs="Arial"/>
          <w:color w:val="000000" w:themeColor="text1"/>
        </w:rPr>
        <w:t xml:space="preserve"> 2022</w:t>
      </w:r>
      <w:r w:rsidR="46D7DEEB" w:rsidRPr="276FAD30">
        <w:rPr>
          <w:rFonts w:eastAsia="Arial" w:cs="Arial"/>
          <w:color w:val="000000" w:themeColor="text1"/>
        </w:rPr>
        <w:t>)</w:t>
      </w:r>
      <w:r w:rsidRPr="276FAD30">
        <w:rPr>
          <w:rFonts w:eastAsia="Arial" w:cs="Arial"/>
          <w:color w:val="000000" w:themeColor="text1"/>
        </w:rPr>
        <w:t>.</w:t>
      </w:r>
    </w:p>
    <w:p w14:paraId="0391BA3B" w14:textId="4D93927D" w:rsidR="00D25E63" w:rsidRPr="00CC600B" w:rsidRDefault="00D25E63" w:rsidP="00D25E63">
      <w:pPr>
        <w:jc w:val="both"/>
        <w:rPr>
          <w:rFonts w:eastAsia="Calibri" w:cs="Arial"/>
          <w:lang w:val="en-US"/>
        </w:rPr>
      </w:pPr>
      <w:r w:rsidRPr="00C01D2E">
        <w:rPr>
          <w:rFonts w:eastAsia="Calibri" w:cs="Arial"/>
          <w:lang w:val="en-US"/>
        </w:rPr>
        <w:t>Shy, C. M. 1997</w:t>
      </w:r>
      <w:r w:rsidR="2CEC0791" w:rsidRPr="00C01D2E">
        <w:rPr>
          <w:rFonts w:eastAsia="Calibri" w:cs="Arial"/>
          <w:lang w:val="en-US"/>
        </w:rPr>
        <w:t>,</w:t>
      </w:r>
      <w:r w:rsidRPr="00C01D2E">
        <w:rPr>
          <w:rFonts w:eastAsia="Calibri" w:cs="Arial"/>
          <w:lang w:val="en-US"/>
        </w:rPr>
        <w:t xml:space="preserve"> </w:t>
      </w:r>
      <w:r w:rsidR="2E3861F5" w:rsidRPr="00C01D2E">
        <w:rPr>
          <w:rFonts w:eastAsia="Calibri" w:cs="Arial"/>
          <w:lang w:val="en-US"/>
        </w:rPr>
        <w:t>'</w:t>
      </w:r>
      <w:r w:rsidRPr="00C01D2E">
        <w:rPr>
          <w:rFonts w:eastAsia="Calibri" w:cs="Arial"/>
          <w:lang w:val="en-US"/>
        </w:rPr>
        <w:t>The failure of academic epidemiology: witness for the prosecution</w:t>
      </w:r>
      <w:r w:rsidR="70AF8156" w:rsidRPr="00C01D2E">
        <w:rPr>
          <w:rFonts w:eastAsia="Calibri" w:cs="Arial"/>
          <w:lang w:val="en-US"/>
        </w:rPr>
        <w:t>'</w:t>
      </w:r>
      <w:r w:rsidRPr="00C01D2E">
        <w:rPr>
          <w:rFonts w:eastAsia="Calibri" w:cs="Arial"/>
          <w:lang w:val="en-US"/>
        </w:rPr>
        <w:t xml:space="preserve"> American Journal of Epidemiology </w:t>
      </w:r>
      <w:r w:rsidRPr="00CC600B">
        <w:rPr>
          <w:rFonts w:eastAsia="Calibri" w:cs="Arial"/>
          <w:lang w:val="en-US"/>
        </w:rPr>
        <w:t>145(6): 479-84.</w:t>
      </w:r>
    </w:p>
    <w:p w14:paraId="08A21E69" w14:textId="77777777" w:rsidR="00D25E63" w:rsidRPr="008D5F88" w:rsidRDefault="00D25E63" w:rsidP="00D25E63">
      <w:pPr>
        <w:pStyle w:val="Body"/>
      </w:pPr>
      <w:r w:rsidRPr="008D5F88">
        <w:t xml:space="preserve">Strauss, P, Cook, A, Winter, S, Watson, V, Wright Toussaint, D &amp; Lin, A 2017, </w:t>
      </w:r>
      <w:r w:rsidRPr="008D5F88">
        <w:rPr>
          <w:i/>
          <w:iCs/>
        </w:rPr>
        <w:t>Trans Pathways: the mental health experiences and care pathways of trans young people</w:t>
      </w:r>
      <w:r w:rsidRPr="008D5F88">
        <w:t>, Telethon Kids Institute, Perth.</w:t>
      </w:r>
    </w:p>
    <w:p w14:paraId="4E7565BB" w14:textId="2BB8C478" w:rsidR="00D25E63" w:rsidRPr="00D03101" w:rsidRDefault="00D25E63" w:rsidP="00D25E63">
      <w:pPr>
        <w:spacing w:line="257" w:lineRule="auto"/>
        <w:rPr>
          <w:rFonts w:eastAsia="Calibri" w:cs="Arial"/>
          <w:lang w:val="en-US"/>
        </w:rPr>
      </w:pPr>
      <w:r w:rsidRPr="00471A99">
        <w:rPr>
          <w:rFonts w:eastAsia="Calibri" w:cs="Arial"/>
          <w:lang w:val="en-US"/>
        </w:rPr>
        <w:t xml:space="preserve">Tarlov, A. R. </w:t>
      </w:r>
      <w:r w:rsidRPr="00B03FED">
        <w:rPr>
          <w:rFonts w:eastAsia="Calibri" w:cs="Arial"/>
          <w:lang w:val="en-US"/>
        </w:rPr>
        <w:t>1999</w:t>
      </w:r>
      <w:r w:rsidR="78AC958B" w:rsidRPr="00B03FED">
        <w:rPr>
          <w:rFonts w:eastAsia="Calibri" w:cs="Arial"/>
          <w:lang w:val="en-US"/>
        </w:rPr>
        <w:t>,</w:t>
      </w:r>
      <w:r w:rsidR="26D7D4CB" w:rsidRPr="00B03FED">
        <w:rPr>
          <w:rFonts w:eastAsia="Calibri" w:cs="Arial"/>
          <w:lang w:val="en-US"/>
        </w:rPr>
        <w:t>'</w:t>
      </w:r>
      <w:r w:rsidRPr="00B03FED">
        <w:rPr>
          <w:rFonts w:eastAsia="Calibri" w:cs="Arial"/>
          <w:lang w:val="en-US"/>
        </w:rPr>
        <w:t>Public policy frameworks for improving population health</w:t>
      </w:r>
      <w:r w:rsidR="5E368384" w:rsidRPr="00B03FED">
        <w:rPr>
          <w:rFonts w:eastAsia="Calibri" w:cs="Arial"/>
          <w:lang w:val="en-US"/>
        </w:rPr>
        <w:t>'</w:t>
      </w:r>
      <w:r w:rsidRPr="00B03FED">
        <w:rPr>
          <w:rFonts w:eastAsia="Calibri" w:cs="Arial"/>
          <w:lang w:val="en-US"/>
        </w:rPr>
        <w:t xml:space="preserve"> </w:t>
      </w:r>
      <w:r w:rsidRPr="009B727C">
        <w:rPr>
          <w:rFonts w:eastAsia="Calibri" w:cs="Arial"/>
          <w:lang w:val="en-US"/>
        </w:rPr>
        <w:t>A</w:t>
      </w:r>
      <w:r w:rsidRPr="00471A99">
        <w:rPr>
          <w:rFonts w:eastAsia="Calibri" w:cs="Arial"/>
          <w:lang w:val="en-US"/>
        </w:rPr>
        <w:t>nnals of the New York Academy of Science 896: 281-93.</w:t>
      </w:r>
    </w:p>
    <w:p w14:paraId="08CC8AA2" w14:textId="77777777" w:rsidR="00D25E63" w:rsidRPr="00FC4CE9" w:rsidRDefault="00D25E63" w:rsidP="00D25E63">
      <w:pPr>
        <w:pStyle w:val="Body"/>
        <w:rPr>
          <w:rFonts w:eastAsia="Arial" w:cs="Arial"/>
          <w:color w:val="000000" w:themeColor="text1"/>
        </w:rPr>
      </w:pPr>
      <w:r w:rsidRPr="00FC4CE9">
        <w:rPr>
          <w:rFonts w:eastAsia="Arial" w:cs="Arial"/>
          <w:color w:val="000000" w:themeColor="text1"/>
        </w:rPr>
        <w:t>Tyler, M &amp; Fairbrother, P, 2013, ‘Gender, masculinity and bushfire: Australia in an international context’, Australian Journal of Emergency Management, vol. 28, no. 2, pp. 20-25.</w:t>
      </w:r>
    </w:p>
    <w:p w14:paraId="29EF1835" w14:textId="3AFE4711" w:rsidR="00D25E63" w:rsidRPr="00C0322C" w:rsidRDefault="00D25E63" w:rsidP="00D25E63">
      <w:pPr>
        <w:spacing w:line="257" w:lineRule="auto"/>
        <w:rPr>
          <w:rStyle w:val="Hyperlink"/>
          <w:color w:val="auto"/>
          <w:u w:val="none"/>
        </w:rPr>
      </w:pPr>
      <w:r w:rsidRPr="00CC2698">
        <w:lastRenderedPageBreak/>
        <w:t>Vi</w:t>
      </w:r>
      <w:r w:rsidRPr="004269E4">
        <w:t xml:space="preserve">cHealth 2015 </w:t>
      </w:r>
      <w:r w:rsidR="498007EC" w:rsidRPr="004269E4">
        <w:t>‘</w:t>
      </w:r>
      <w:hyperlink r:id="rId45" w:history="1">
        <w:r w:rsidRPr="00507BB6">
          <w:rPr>
            <w:rStyle w:val="Hyperlink"/>
          </w:rPr>
          <w:t>Fair Foundations: The VicHealth framework for health equity</w:t>
        </w:r>
      </w:hyperlink>
      <w:r w:rsidR="73E97408" w:rsidRPr="004269E4">
        <w:t>’</w:t>
      </w:r>
      <w:r w:rsidRPr="004269E4">
        <w:t>. Victoria, Melbourne</w:t>
      </w:r>
      <w:r w:rsidR="00C0322C">
        <w:t>.</w:t>
      </w:r>
      <w:r w:rsidR="00253EAF">
        <w:t xml:space="preserve"> </w:t>
      </w:r>
      <w:r w:rsidR="005800D6" w:rsidRPr="0051029A">
        <w:rPr>
          <w:rStyle w:val="Hyperlink"/>
          <w:color w:val="auto"/>
          <w:u w:val="none"/>
        </w:rPr>
        <w:t>Available at:</w:t>
      </w:r>
      <w:r w:rsidR="005800D6" w:rsidRPr="00DF601C">
        <w:t xml:space="preserve"> </w:t>
      </w:r>
      <w:r w:rsidR="00253EAF" w:rsidRPr="00253EAF">
        <w:rPr>
          <w:rStyle w:val="Hyperlink"/>
          <w:color w:val="auto"/>
          <w:u w:val="none"/>
        </w:rPr>
        <w:t>&lt;http://www.vichealth.vic.gov.au/media-and-resources/publications/the-vichealth-framework-for-health-equity</w:t>
      </w:r>
      <w:r w:rsidR="00253EAF" w:rsidRPr="004269E4">
        <w:rPr>
          <w:rStyle w:val="Hyperlink"/>
          <w:color w:val="auto"/>
          <w:u w:val="none"/>
        </w:rPr>
        <w:t>&gt;</w:t>
      </w:r>
      <w:r w:rsidR="00C0322C">
        <w:rPr>
          <w:rStyle w:val="Hyperlink"/>
          <w:color w:val="auto"/>
          <w:u w:val="none"/>
        </w:rPr>
        <w:t>.</w:t>
      </w:r>
    </w:p>
    <w:p w14:paraId="54807B4D" w14:textId="7ECF86CC" w:rsidR="00D25E63" w:rsidRDefault="00D25E63" w:rsidP="00D25E63">
      <w:pPr>
        <w:pStyle w:val="Body"/>
        <w:rPr>
          <w:rFonts w:eastAsia="Arial" w:cs="Arial"/>
          <w:color w:val="000000" w:themeColor="text1"/>
        </w:rPr>
      </w:pPr>
      <w:r w:rsidRPr="5AEB9CE4">
        <w:rPr>
          <w:rFonts w:eastAsia="Arial" w:cs="Arial"/>
          <w:color w:val="000000" w:themeColor="text1"/>
        </w:rPr>
        <w:t>Victorian Agency for Health Information 2021</w:t>
      </w:r>
      <w:r w:rsidR="34B32389" w:rsidRPr="001844E3">
        <w:rPr>
          <w:rFonts w:eastAsia="Arial" w:cs="Arial"/>
          <w:color w:val="000000" w:themeColor="text1"/>
        </w:rPr>
        <w:t>,</w:t>
      </w:r>
      <w:r w:rsidRPr="001844E3">
        <w:rPr>
          <w:rFonts w:eastAsia="Arial" w:cs="Arial"/>
          <w:color w:val="000000" w:themeColor="text1"/>
        </w:rPr>
        <w:t xml:space="preserve"> </w:t>
      </w:r>
      <w:r w:rsidR="4C7F2A4D" w:rsidRPr="00760C4E">
        <w:rPr>
          <w:rFonts w:eastAsia="Arial" w:cs="Arial"/>
          <w:color w:val="000000" w:themeColor="text1"/>
        </w:rPr>
        <w:t>‘</w:t>
      </w:r>
      <w:r w:rsidRPr="5AEB9CE4">
        <w:rPr>
          <w:rFonts w:eastAsia="Arial" w:cs="Arial"/>
          <w:color w:val="000000" w:themeColor="text1"/>
        </w:rPr>
        <w:t xml:space="preserve">Victorian Population Health Survey 2019: summary of </w:t>
      </w:r>
      <w:r w:rsidRPr="00760C4E">
        <w:rPr>
          <w:rFonts w:eastAsia="Arial" w:cs="Arial"/>
          <w:color w:val="000000" w:themeColor="text1"/>
        </w:rPr>
        <w:t>results</w:t>
      </w:r>
      <w:r w:rsidR="3C216382" w:rsidRPr="00760C4E">
        <w:rPr>
          <w:rFonts w:eastAsia="Arial" w:cs="Arial"/>
          <w:color w:val="000000" w:themeColor="text1"/>
        </w:rPr>
        <w:t>’</w:t>
      </w:r>
      <w:r w:rsidRPr="5AEB9CE4">
        <w:rPr>
          <w:rFonts w:eastAsia="Arial" w:cs="Arial"/>
          <w:color w:val="000000" w:themeColor="text1"/>
        </w:rPr>
        <w:t>, State of Victoria, Melbourne.</w:t>
      </w:r>
    </w:p>
    <w:p w14:paraId="60070ED7" w14:textId="00B4883C" w:rsidR="00D25E63" w:rsidRDefault="00D25E63" w:rsidP="00D25E63">
      <w:pPr>
        <w:pStyle w:val="Body"/>
      </w:pPr>
      <w:r w:rsidRPr="25D289DE">
        <w:rPr>
          <w:szCs w:val="21"/>
        </w:rPr>
        <w:t xml:space="preserve">Victorian Government, </w:t>
      </w:r>
      <w:hyperlink r:id="rId46">
        <w:r w:rsidRPr="25D289DE">
          <w:rPr>
            <w:rStyle w:val="Hyperlink"/>
          </w:rPr>
          <w:t>Victorian Government Aboriginal Affairs Report 2019_0.pdf,</w:t>
        </w:r>
      </w:hyperlink>
      <w:r w:rsidRPr="25D289DE">
        <w:t xml:space="preserve"> 2019</w:t>
      </w:r>
      <w:r w:rsidR="00253EAF">
        <w:t xml:space="preserve">. </w:t>
      </w:r>
      <w:r w:rsidR="002414A8" w:rsidRPr="00760C4E">
        <w:t xml:space="preserve">Available at: </w:t>
      </w:r>
      <w:r w:rsidR="00517D90">
        <w:t>&lt;</w:t>
      </w:r>
      <w:r w:rsidR="002414A8" w:rsidRPr="00760C4E">
        <w:t>https://www.firstpeoplesrelations</w:t>
      </w:r>
      <w:r w:rsidR="002414A8" w:rsidRPr="00517D90">
        <w:t>.vic.gov.au/victorian-government-aboriginal-affairs-report-2019</w:t>
      </w:r>
      <w:r w:rsidR="00517D90">
        <w:t>&gt;.</w:t>
      </w:r>
      <w:r w:rsidR="002414A8" w:rsidRPr="00517D90" w:rsidDel="002414A8">
        <w:t xml:space="preserve"> </w:t>
      </w:r>
    </w:p>
    <w:p w14:paraId="09D12E18" w14:textId="54D5B17F" w:rsidR="00D25E63" w:rsidRDefault="004509F3" w:rsidP="00D25E63">
      <w:pPr>
        <w:pStyle w:val="Body"/>
        <w:rPr>
          <w:color w:val="000000"/>
        </w:rPr>
      </w:pPr>
      <w:r w:rsidRPr="25D289DE">
        <w:rPr>
          <w:szCs w:val="21"/>
        </w:rPr>
        <w:t xml:space="preserve">Victorian Government, </w:t>
      </w:r>
      <w:hyperlink r:id="rId47" w:history="1">
        <w:r w:rsidR="00D25E63" w:rsidRPr="00CC2698">
          <w:rPr>
            <w:rStyle w:val="Hyperlink"/>
          </w:rPr>
          <w:t>Victorian Government Aboriginal Affairs Report 2021</w:t>
        </w:r>
      </w:hyperlink>
      <w:r w:rsidR="00D25E63">
        <w:rPr>
          <w:color w:val="000000"/>
        </w:rPr>
        <w:t xml:space="preserve"> </w:t>
      </w:r>
      <w:r w:rsidR="003820DC" w:rsidRPr="0051029A">
        <w:rPr>
          <w:rStyle w:val="Hyperlink"/>
          <w:color w:val="auto"/>
          <w:u w:val="none"/>
        </w:rPr>
        <w:t>Available at:</w:t>
      </w:r>
      <w:r w:rsidR="003820DC" w:rsidRPr="00DF601C">
        <w:t xml:space="preserve"> </w:t>
      </w:r>
      <w:r w:rsidR="006465CF">
        <w:rPr>
          <w:color w:val="000000"/>
        </w:rPr>
        <w:t>&lt;</w:t>
      </w:r>
      <w:r w:rsidR="006465CF" w:rsidRPr="006465CF">
        <w:rPr>
          <w:color w:val="000000"/>
        </w:rPr>
        <w:t>https://www.firstpeoplesrelations.vic.gov.au/victorian-government-aboriginal-affairs-report-2021/health-and-wellbeing</w:t>
      </w:r>
      <w:r w:rsidR="006465CF" w:rsidRPr="00CC2698">
        <w:rPr>
          <w:color w:val="000000"/>
        </w:rPr>
        <w:t>&gt;</w:t>
      </w:r>
      <w:r w:rsidR="003C5BCF">
        <w:rPr>
          <w:color w:val="000000"/>
        </w:rPr>
        <w:t>.</w:t>
      </w:r>
    </w:p>
    <w:p w14:paraId="38E1F5FB" w14:textId="7AD456A4" w:rsidR="00D25E63" w:rsidRPr="0084653D" w:rsidRDefault="00D25E63" w:rsidP="00D25E63">
      <w:pPr>
        <w:pStyle w:val="Body"/>
        <w:rPr>
          <w:rStyle w:val="Hyperlink"/>
          <w:color w:val="auto"/>
        </w:rPr>
      </w:pPr>
      <w:r w:rsidRPr="00CC2698">
        <w:rPr>
          <w:rFonts w:eastAsia="Arial" w:cs="Arial"/>
          <w:color w:val="000000" w:themeColor="text1"/>
        </w:rPr>
        <w:t xml:space="preserve">Victorian Government. (2019). </w:t>
      </w:r>
      <w:hyperlink r:id="rId48" w:history="1">
        <w:r w:rsidR="007822BE" w:rsidRPr="00843606">
          <w:rPr>
            <w:rStyle w:val="Hyperlink"/>
            <w:rFonts w:eastAsia="Arial" w:cs="Arial"/>
          </w:rPr>
          <w:t>Victorian</w:t>
        </w:r>
        <w:r w:rsidR="00AC1286" w:rsidRPr="00843606">
          <w:rPr>
            <w:rStyle w:val="Hyperlink"/>
            <w:rFonts w:eastAsia="Arial" w:cs="Arial"/>
          </w:rPr>
          <w:t xml:space="preserve"> public health and wellbeing plan </w:t>
        </w:r>
        <w:r w:rsidR="00843606" w:rsidRPr="00843606">
          <w:rPr>
            <w:rStyle w:val="Hyperlink"/>
            <w:rFonts w:eastAsia="Arial" w:cs="Arial"/>
          </w:rPr>
          <w:t>2019-</w:t>
        </w:r>
        <w:r w:rsidR="00AC1286" w:rsidRPr="00843606">
          <w:rPr>
            <w:rStyle w:val="Hyperlink"/>
            <w:rFonts w:eastAsia="Arial" w:cs="Arial"/>
          </w:rPr>
          <w:t>2023</w:t>
        </w:r>
      </w:hyperlink>
      <w:r w:rsidR="00843606">
        <w:rPr>
          <w:rFonts w:eastAsia="Arial" w:cs="Arial"/>
          <w:color w:val="000000" w:themeColor="text1"/>
        </w:rPr>
        <w:t>.</w:t>
      </w:r>
      <w:r w:rsidRPr="003E27AF">
        <w:rPr>
          <w:rFonts w:eastAsia="Arial" w:cs="Arial"/>
          <w:color w:val="000000" w:themeColor="text1"/>
        </w:rPr>
        <w:t xml:space="preserve"> </w:t>
      </w:r>
      <w:r w:rsidR="002414A8" w:rsidRPr="00CC2698">
        <w:rPr>
          <w:rFonts w:eastAsia="Arial" w:cs="Arial"/>
          <w:color w:val="000000" w:themeColor="text1"/>
        </w:rPr>
        <w:t xml:space="preserve">Available at: </w:t>
      </w:r>
      <w:r w:rsidR="0084653D" w:rsidRPr="00843606">
        <w:rPr>
          <w:rFonts w:eastAsia="Arial" w:cs="Arial"/>
          <w:color w:val="000000" w:themeColor="text1"/>
        </w:rPr>
        <w:t>&lt;</w:t>
      </w:r>
      <w:r w:rsidRPr="007822BE">
        <w:rPr>
          <w:rFonts w:eastAsia="Arial"/>
        </w:rPr>
        <w:t>https://www.health.vic.gov.au/publications/victorian-public-health-and-wellbeing-plan-2019-2023</w:t>
      </w:r>
      <w:r w:rsidR="0084653D" w:rsidRPr="00843606">
        <w:rPr>
          <w:rStyle w:val="Hyperlink"/>
          <w:rFonts w:eastAsia="Arial"/>
          <w:color w:val="auto"/>
          <w:u w:val="none"/>
        </w:rPr>
        <w:t>&gt;</w:t>
      </w:r>
      <w:r w:rsidR="00843606">
        <w:rPr>
          <w:rStyle w:val="Hyperlink"/>
          <w:rFonts w:eastAsia="Arial"/>
          <w:color w:val="auto"/>
          <w:u w:val="none"/>
        </w:rPr>
        <w:t>.</w:t>
      </w:r>
    </w:p>
    <w:p w14:paraId="4FA67EEA" w14:textId="77777777" w:rsidR="00D25E63" w:rsidRDefault="00D25E63" w:rsidP="00D25E63">
      <w:pPr>
        <w:pStyle w:val="Body"/>
      </w:pPr>
      <w:r w:rsidRPr="008D5F88">
        <w:t xml:space="preserve">Wilson, T &amp; Shalley, F 2018, ‘Estimates of Australia’s non-heterosexual population’, </w:t>
      </w:r>
      <w:r w:rsidRPr="008D5F88">
        <w:rPr>
          <w:i/>
          <w:iCs/>
        </w:rPr>
        <w:t>Australian Population Studies</w:t>
      </w:r>
      <w:r w:rsidRPr="008D5F88">
        <w:t>, vol. 2, no. 1, pp. 26-38.</w:t>
      </w:r>
    </w:p>
    <w:p w14:paraId="415FC3F4" w14:textId="11B91621" w:rsidR="00D25E63" w:rsidRPr="003C675F" w:rsidRDefault="00D25E63" w:rsidP="00D25E63">
      <w:pPr>
        <w:spacing w:line="257" w:lineRule="auto"/>
        <w:rPr>
          <w:rFonts w:eastAsia="Calibri" w:cs="Arial"/>
          <w:lang w:val="en-US"/>
        </w:rPr>
      </w:pPr>
      <w:r w:rsidRPr="0093456C">
        <w:rPr>
          <w:rFonts w:eastAsia="Calibri" w:cs="Arial"/>
          <w:lang w:val="en-US"/>
        </w:rPr>
        <w:t>World Health Organization</w:t>
      </w:r>
      <w:r w:rsidRPr="003C675F">
        <w:rPr>
          <w:rFonts w:eastAsia="Calibri" w:cs="Arial"/>
          <w:lang w:val="en-US"/>
        </w:rPr>
        <w:t xml:space="preserve"> 2008 </w:t>
      </w:r>
      <w:r w:rsidR="05DFF51C" w:rsidRPr="003C675F">
        <w:rPr>
          <w:rFonts w:eastAsia="Calibri" w:cs="Arial"/>
          <w:lang w:val="en-US"/>
        </w:rPr>
        <w:t>‘</w:t>
      </w:r>
      <w:r w:rsidRPr="003C675F">
        <w:rPr>
          <w:rFonts w:eastAsia="Calibri" w:cs="Arial"/>
          <w:lang w:val="en-US"/>
        </w:rPr>
        <w:t>Closing the gap in a generation: health equity through action on the social determinants of health</w:t>
      </w:r>
      <w:r w:rsidR="4FFB13E7" w:rsidRPr="003C675F">
        <w:rPr>
          <w:rFonts w:eastAsia="Calibri" w:cs="Arial"/>
          <w:lang w:val="en-US"/>
        </w:rPr>
        <w:t>’</w:t>
      </w:r>
      <w:r w:rsidRPr="003C675F">
        <w:rPr>
          <w:rFonts w:eastAsia="Calibri" w:cs="Arial"/>
          <w:lang w:val="en-US"/>
        </w:rPr>
        <w:t>. Final report of the Commission on the Social Determinants of Health Geneva, World Health Organization.</w:t>
      </w:r>
    </w:p>
    <w:p w14:paraId="3C7CD247" w14:textId="2F3EE3E2" w:rsidR="008932FA" w:rsidRPr="008932FA" w:rsidRDefault="00D25E63" w:rsidP="00D25E63">
      <w:pPr>
        <w:pStyle w:val="Body"/>
        <w:rPr>
          <w:rFonts w:eastAsia="Arial"/>
          <w:color w:val="004C97"/>
          <w:u w:val="dotted"/>
        </w:rPr>
      </w:pPr>
      <w:r w:rsidRPr="003C675F">
        <w:rPr>
          <w:rFonts w:eastAsia="Arial" w:cs="Arial"/>
          <w:color w:val="000000" w:themeColor="text1"/>
        </w:rPr>
        <w:t>World Health Organization</w:t>
      </w:r>
      <w:r w:rsidR="002414A8" w:rsidRPr="003C675F">
        <w:rPr>
          <w:rFonts w:eastAsia="Arial" w:cs="Arial"/>
          <w:color w:val="000000" w:themeColor="text1"/>
        </w:rPr>
        <w:t>, 2022</w:t>
      </w:r>
      <w:r w:rsidRPr="0093456C">
        <w:rPr>
          <w:rFonts w:eastAsia="Arial" w:cs="Arial"/>
          <w:color w:val="000000" w:themeColor="text1"/>
        </w:rPr>
        <w:t xml:space="preserve"> Gender. </w:t>
      </w:r>
      <w:r w:rsidR="002414A8" w:rsidRPr="0093456C">
        <w:rPr>
          <w:rFonts w:eastAsia="Arial" w:cs="Arial"/>
          <w:color w:val="000000" w:themeColor="text1"/>
        </w:rPr>
        <w:t xml:space="preserve">Available at: </w:t>
      </w:r>
      <w:hyperlink w:history="1"/>
      <w:r w:rsidR="008932FA" w:rsidRPr="0093456C">
        <w:rPr>
          <w:rStyle w:val="Hyperlink"/>
          <w:rFonts w:eastAsia="Arial"/>
          <w:color w:val="auto"/>
          <w:u w:val="none"/>
        </w:rPr>
        <w:t>&lt;https://www.who.int/europe/health-topics/gender#tab=tab_1&gt;</w:t>
      </w:r>
      <w:r w:rsidR="002830AC">
        <w:rPr>
          <w:rStyle w:val="Hyperlink"/>
          <w:rFonts w:eastAsia="Arial"/>
          <w:color w:val="auto"/>
          <w:u w:val="none"/>
        </w:rPr>
        <w:t>.</w:t>
      </w:r>
    </w:p>
    <w:p w14:paraId="48B2A75E" w14:textId="4F9A5FCB" w:rsidR="00225396" w:rsidRDefault="002D7B08">
      <w:pPr>
        <w:spacing w:after="0" w:line="240" w:lineRule="auto"/>
        <w:rPr>
          <w:rFonts w:eastAsia="Times"/>
        </w:rPr>
      </w:pPr>
      <w:r>
        <w:br w:type="page"/>
      </w:r>
    </w:p>
    <w:p w14:paraId="7660C28A" w14:textId="0886E23D" w:rsidR="00A134E8" w:rsidRPr="00A71CE4" w:rsidRDefault="00182F51" w:rsidP="00A134E8">
      <w:pPr>
        <w:pStyle w:val="Heading1"/>
        <w:spacing w:before="0"/>
      </w:pPr>
      <w:bookmarkStart w:id="78" w:name="_Toc116981334"/>
      <w:bookmarkStart w:id="79" w:name="_Toc128138647"/>
      <w:r>
        <w:lastRenderedPageBreak/>
        <w:t xml:space="preserve">Chapter </w:t>
      </w:r>
      <w:r w:rsidR="00227C22">
        <w:t>8</w:t>
      </w:r>
      <w:r>
        <w:t xml:space="preserve"> </w:t>
      </w:r>
      <w:r w:rsidR="00C86D75">
        <w:t>–</w:t>
      </w:r>
      <w:r>
        <w:t xml:space="preserve"> </w:t>
      </w:r>
      <w:r w:rsidR="004D77E2">
        <w:t>Burden of disease</w:t>
      </w:r>
      <w:bookmarkEnd w:id="78"/>
      <w:bookmarkEnd w:id="79"/>
      <w:r w:rsidR="004D77E2">
        <w:t xml:space="preserve"> </w:t>
      </w:r>
    </w:p>
    <w:p w14:paraId="38404C81" w14:textId="5499D8C7" w:rsidR="00065E0B" w:rsidRDefault="00E245BD" w:rsidP="009E47A8">
      <w:pPr>
        <w:pStyle w:val="Body"/>
      </w:pPr>
      <w:r w:rsidRPr="00310B2F">
        <w:t>Burden of disease is an indication of the impact of living with illness and injury and dying prematurely. It is measured using disability-adjusted life years (DALY), which is the number of years of healthy life lost due to death and illness</w:t>
      </w:r>
      <w:r w:rsidR="00065E0B">
        <w:t xml:space="preserve"> (AIHW, 2018)</w:t>
      </w:r>
      <w:r w:rsidR="00065E0B" w:rsidRPr="00310B2F">
        <w:t>.</w:t>
      </w:r>
    </w:p>
    <w:p w14:paraId="0F7996FC" w14:textId="3445B6D5" w:rsidR="00E245BD" w:rsidRDefault="00E245BD" w:rsidP="009E47A8">
      <w:pPr>
        <w:pStyle w:val="Body"/>
      </w:pPr>
      <w:r>
        <w:t>In</w:t>
      </w:r>
      <w:r w:rsidRPr="00E245BD">
        <w:t xml:space="preserve"> Australia</w:t>
      </w:r>
      <w:r>
        <w:t>, burden of disease</w:t>
      </w:r>
      <w:r w:rsidRPr="00E245BD">
        <w:t xml:space="preserve"> is measured for </w:t>
      </w:r>
      <w:r w:rsidR="002A0265">
        <w:t xml:space="preserve">more than </w:t>
      </w:r>
      <w:r>
        <w:t>200</w:t>
      </w:r>
      <w:r w:rsidRPr="00E245BD">
        <w:t xml:space="preserve"> diseases and injuries (grouped into 17 disease groups)</w:t>
      </w:r>
      <w:r w:rsidR="002A0265">
        <w:t xml:space="preserve">. In addition, the burden of disease </w:t>
      </w:r>
      <w:r>
        <w:t>tak</w:t>
      </w:r>
      <w:r w:rsidR="002A0265">
        <w:t>es</w:t>
      </w:r>
      <w:r>
        <w:t xml:space="preserve"> </w:t>
      </w:r>
      <w:r w:rsidRPr="00E245BD">
        <w:t>into account</w:t>
      </w:r>
      <w:r>
        <w:t xml:space="preserve"> </w:t>
      </w:r>
      <w:r w:rsidRPr="00E245BD">
        <w:t>modifiable risk factors to disease burden</w:t>
      </w:r>
      <w:r>
        <w:t xml:space="preserve">, </w:t>
      </w:r>
      <w:r w:rsidRPr="00E245BD">
        <w:t>age at death and severity of disease to estimate the total health loss</w:t>
      </w:r>
      <w:r w:rsidR="00065E0B">
        <w:t xml:space="preserve"> (AIHW, 2018)</w:t>
      </w:r>
      <w:r w:rsidR="00065E0B" w:rsidRPr="00310B2F">
        <w:t>.</w:t>
      </w:r>
      <w:r w:rsidRPr="00E245BD">
        <w:t xml:space="preserve"> </w:t>
      </w:r>
    </w:p>
    <w:p w14:paraId="5B3FE534" w14:textId="7183E025" w:rsidR="009E47A8" w:rsidRDefault="009E47A8" w:rsidP="009E47A8">
      <w:pPr>
        <w:pStyle w:val="Body"/>
      </w:pPr>
      <w:r>
        <w:t>A</w:t>
      </w:r>
      <w:r w:rsidRPr="006B04B2">
        <w:rPr>
          <w:rFonts w:hint="eastAsia"/>
        </w:rPr>
        <w:t xml:space="preserve"> large proportion of the disease burden can be </w:t>
      </w:r>
      <w:r>
        <w:t>prevented, and their impacts reduced or avoided</w:t>
      </w:r>
      <w:r w:rsidR="002A0265">
        <w:t>,</w:t>
      </w:r>
      <w:r>
        <w:t xml:space="preserve"> by individuals making healthier lifestyle choices. </w:t>
      </w:r>
    </w:p>
    <w:p w14:paraId="274DC2F1" w14:textId="6B3AD251" w:rsidR="00BC65B3" w:rsidRDefault="00BC65B3" w:rsidP="001F0515">
      <w:pPr>
        <w:pStyle w:val="Body"/>
      </w:pPr>
      <w:r w:rsidRPr="00BC65B3">
        <w:rPr>
          <w:rFonts w:hint="eastAsia"/>
        </w:rPr>
        <w:t xml:space="preserve">This section </w:t>
      </w:r>
      <w:r w:rsidR="002A0265">
        <w:t xml:space="preserve">gives an overview of </w:t>
      </w:r>
      <w:r w:rsidRPr="00BC65B3">
        <w:rPr>
          <w:rFonts w:hint="eastAsia"/>
        </w:rPr>
        <w:t>the disease groups that have a</w:t>
      </w:r>
      <w:r w:rsidR="008266BB">
        <w:t xml:space="preserve"> major</w:t>
      </w:r>
      <w:r w:rsidRPr="00BC65B3">
        <w:rPr>
          <w:rFonts w:hint="eastAsia"/>
        </w:rPr>
        <w:t xml:space="preserve"> impact on Australians. </w:t>
      </w:r>
      <w:r w:rsidRPr="00BC65B3">
        <w:rPr>
          <w:rFonts w:hint="eastAsia"/>
        </w:rPr>
        <w:br/>
        <w:t>It draws on:</w:t>
      </w:r>
    </w:p>
    <w:p w14:paraId="5AFEBFF0" w14:textId="4AA35666" w:rsidR="00974F3F" w:rsidRDefault="002A0265" w:rsidP="007A383F">
      <w:pPr>
        <w:pStyle w:val="Bullet1"/>
      </w:pPr>
      <w:r>
        <w:t>l</w:t>
      </w:r>
      <w:r w:rsidR="00974F3F">
        <w:t>eading causes of disease and injury</w:t>
      </w:r>
    </w:p>
    <w:p w14:paraId="400405CF" w14:textId="77367353" w:rsidR="00974F3F" w:rsidRDefault="002A0265" w:rsidP="007A383F">
      <w:pPr>
        <w:pStyle w:val="Bullet1"/>
      </w:pPr>
      <w:r>
        <w:t>c</w:t>
      </w:r>
      <w:r w:rsidR="00974F3F">
        <w:t>auses of death in Victoria</w:t>
      </w:r>
    </w:p>
    <w:p w14:paraId="3776C5FE" w14:textId="7EF3230C" w:rsidR="00974F3F" w:rsidRDefault="002A0265" w:rsidP="007A383F">
      <w:pPr>
        <w:pStyle w:val="Bullet1"/>
      </w:pPr>
      <w:r>
        <w:t>o</w:t>
      </w:r>
      <w:r w:rsidR="00195032">
        <w:t>verw</w:t>
      </w:r>
      <w:r w:rsidR="001A1186">
        <w:t>eight</w:t>
      </w:r>
      <w:r w:rsidR="00195032">
        <w:t xml:space="preserve"> </w:t>
      </w:r>
      <w:r w:rsidR="00974F3F">
        <w:t xml:space="preserve">and obesity </w:t>
      </w:r>
    </w:p>
    <w:p w14:paraId="1DAB0640" w14:textId="509472C7" w:rsidR="00974F3F" w:rsidRDefault="002A0265" w:rsidP="007A383F">
      <w:pPr>
        <w:pStyle w:val="Bullet1"/>
      </w:pPr>
      <w:r>
        <w:t>a</w:t>
      </w:r>
      <w:r w:rsidR="00974F3F">
        <w:t>lcohol use</w:t>
      </w:r>
    </w:p>
    <w:p w14:paraId="310B5B37" w14:textId="3A67614D" w:rsidR="0014168C" w:rsidRDefault="002A0265" w:rsidP="007A383F">
      <w:pPr>
        <w:pStyle w:val="Bullet1"/>
      </w:pPr>
      <w:r>
        <w:t>s</w:t>
      </w:r>
      <w:r w:rsidR="00974F3F">
        <w:t xml:space="preserve">moking and </w:t>
      </w:r>
      <w:r>
        <w:t>v</w:t>
      </w:r>
      <w:r w:rsidR="00974F3F">
        <w:t>aping</w:t>
      </w:r>
      <w:r>
        <w:t>.</w:t>
      </w:r>
    </w:p>
    <w:p w14:paraId="78983AE8" w14:textId="7AFF6B08" w:rsidR="00ED5448" w:rsidRPr="00077EFF" w:rsidRDefault="00ED5448" w:rsidP="00ED5448">
      <w:pPr>
        <w:rPr>
          <w:rFonts w:cs="Arial"/>
          <w:i/>
          <w:iCs/>
          <w:sz w:val="18"/>
          <w:szCs w:val="18"/>
        </w:rPr>
      </w:pPr>
      <w:r w:rsidRPr="00077EFF">
        <w:rPr>
          <w:rFonts w:cs="Arial"/>
          <w:i/>
          <w:iCs/>
          <w:sz w:val="18"/>
          <w:szCs w:val="18"/>
        </w:rPr>
        <w:t>Please note: Some content within this</w:t>
      </w:r>
      <w:r w:rsidR="00FC7B92" w:rsidRPr="00077EFF">
        <w:rPr>
          <w:rFonts w:cs="Arial"/>
          <w:i/>
          <w:iCs/>
          <w:sz w:val="18"/>
          <w:szCs w:val="18"/>
        </w:rPr>
        <w:t xml:space="preserve"> chapter</w:t>
      </w:r>
      <w:r w:rsidRPr="00077EFF">
        <w:rPr>
          <w:rFonts w:cs="Arial"/>
          <w:i/>
          <w:iCs/>
          <w:sz w:val="18"/>
          <w:szCs w:val="18"/>
        </w:rPr>
        <w:t xml:space="preserve"> is reflected in the previous 2017-18 Your Health report. At the time of writing this report there was no new 2019 data analysis available.</w:t>
      </w:r>
    </w:p>
    <w:p w14:paraId="0C357CD8" w14:textId="77777777" w:rsidR="00FF77F3" w:rsidRDefault="00FF77F3" w:rsidP="00FF77F3">
      <w:pPr>
        <w:pStyle w:val="Heading2"/>
      </w:pPr>
      <w:bookmarkStart w:id="80" w:name="_Toc116981335"/>
      <w:r>
        <w:t xml:space="preserve">Leading causes of disease and injury </w:t>
      </w:r>
      <w:bookmarkEnd w:id="80"/>
    </w:p>
    <w:p w14:paraId="7B0317CC" w14:textId="606592D6" w:rsidR="00FF77F3" w:rsidRDefault="00FF77F3" w:rsidP="00FF77F3">
      <w:pPr>
        <w:pStyle w:val="Body"/>
      </w:pPr>
      <w:r w:rsidRPr="7CC0383C">
        <w:t>In Australia, most of the total burden of disease in 2018 was from chronic diseases and injury (</w:t>
      </w:r>
      <w:r w:rsidR="008B7E89">
        <w:t>AIHW,</w:t>
      </w:r>
      <w:r w:rsidRPr="7CC0383C">
        <w:t xml:space="preserve"> 2021). </w:t>
      </w:r>
    </w:p>
    <w:p w14:paraId="2CB2EDF4" w14:textId="77777777" w:rsidR="00C81E77" w:rsidRDefault="00C81E77" w:rsidP="00FF77F3">
      <w:pPr>
        <w:pStyle w:val="Body"/>
      </w:pPr>
      <w:r w:rsidRPr="00C81E77">
        <w:t>The five leading disease groups in 2018 were</w:t>
      </w:r>
      <w:r>
        <w:t>:</w:t>
      </w:r>
    </w:p>
    <w:p w14:paraId="2D2EC72E" w14:textId="1F683318" w:rsidR="00C81E77" w:rsidRDefault="002830AC" w:rsidP="006A11C6">
      <w:pPr>
        <w:pStyle w:val="Bullet1"/>
      </w:pPr>
      <w:r>
        <w:t>cancer (</w:t>
      </w:r>
      <w:r w:rsidR="00C81E77">
        <w:t>18 per cent</w:t>
      </w:r>
      <w:r>
        <w:t>)</w:t>
      </w:r>
    </w:p>
    <w:p w14:paraId="156F6433" w14:textId="7B7CD13E" w:rsidR="00C81E77" w:rsidRDefault="002830AC" w:rsidP="006A11C6">
      <w:pPr>
        <w:pStyle w:val="Bullet1"/>
      </w:pPr>
      <w:r>
        <w:t xml:space="preserve">musculoskeletal </w:t>
      </w:r>
      <w:r w:rsidR="00C81E77">
        <w:t xml:space="preserve">conditions </w:t>
      </w:r>
      <w:r>
        <w:t>(</w:t>
      </w:r>
      <w:r w:rsidR="00C81E77">
        <w:t>13 per cent</w:t>
      </w:r>
      <w:r>
        <w:t>)</w:t>
      </w:r>
    </w:p>
    <w:p w14:paraId="04E61402" w14:textId="59124661" w:rsidR="00C81E77" w:rsidRDefault="002830AC" w:rsidP="006A11C6">
      <w:pPr>
        <w:pStyle w:val="Bullet1"/>
      </w:pPr>
      <w:r>
        <w:t xml:space="preserve">cardiovascular </w:t>
      </w:r>
      <w:r w:rsidR="00C81E77">
        <w:t xml:space="preserve">diseases </w:t>
      </w:r>
      <w:r>
        <w:t>(</w:t>
      </w:r>
      <w:r w:rsidR="00C81E77">
        <w:t>13 per cent</w:t>
      </w:r>
      <w:r>
        <w:t>)</w:t>
      </w:r>
    </w:p>
    <w:p w14:paraId="1E5BD50E" w14:textId="2D22D8CC" w:rsidR="00C81E77" w:rsidRDefault="002830AC" w:rsidP="006A11C6">
      <w:pPr>
        <w:pStyle w:val="Bullet1"/>
      </w:pPr>
      <w:r>
        <w:t xml:space="preserve">mental </w:t>
      </w:r>
      <w:r w:rsidR="00C81E77">
        <w:t xml:space="preserve">and substance use disorders </w:t>
      </w:r>
      <w:r>
        <w:t>(</w:t>
      </w:r>
      <w:r w:rsidR="00C81E77">
        <w:t>13 per cent</w:t>
      </w:r>
      <w:r>
        <w:t>)</w:t>
      </w:r>
    </w:p>
    <w:p w14:paraId="24A630B4" w14:textId="3AC71451" w:rsidR="00FF77F3" w:rsidRPr="006A11C6" w:rsidRDefault="002830AC" w:rsidP="006A11C6">
      <w:pPr>
        <w:pStyle w:val="Bullet1"/>
      </w:pPr>
      <w:r>
        <w:t>injuries (</w:t>
      </w:r>
      <w:r w:rsidR="00C81E77">
        <w:t>8.4 per cent</w:t>
      </w:r>
      <w:r>
        <w:t>)</w:t>
      </w:r>
      <w:r w:rsidR="00C81E77">
        <w:t xml:space="preserve">. </w:t>
      </w:r>
    </w:p>
    <w:p w14:paraId="0E16DBFF" w14:textId="77777777" w:rsidR="00FF77F3" w:rsidRDefault="00FF77F3" w:rsidP="00FF77F3">
      <w:pPr>
        <w:pStyle w:val="Heading3"/>
      </w:pPr>
      <w:r w:rsidRPr="7CC0383C">
        <w:t>Some population groups face a greater burden than others</w:t>
      </w:r>
    </w:p>
    <w:p w14:paraId="1E028CF9" w14:textId="77777777" w:rsidR="00FF77F3" w:rsidRPr="00892A8C" w:rsidRDefault="00FF77F3" w:rsidP="00FF77F3">
      <w:pPr>
        <w:pStyle w:val="Body"/>
      </w:pPr>
      <w:r w:rsidRPr="00310B2F">
        <w:t>There is considerable variation in deaths and years of life lost across population groups.</w:t>
      </w:r>
    </w:p>
    <w:p w14:paraId="62E6DCEF" w14:textId="77777777" w:rsidR="00FF77F3" w:rsidRPr="00892A8C" w:rsidRDefault="00FF77F3" w:rsidP="00FF77F3">
      <w:pPr>
        <w:pStyle w:val="Body"/>
      </w:pPr>
      <w:r w:rsidRPr="00310B2F">
        <w:t>People in remote areas face a burden 1.4 times higher than those in major cities.</w:t>
      </w:r>
    </w:p>
    <w:p w14:paraId="4DB6AAAB" w14:textId="6E75847E" w:rsidR="00FF77F3" w:rsidRPr="00892A8C" w:rsidRDefault="00FF77F3" w:rsidP="00FF77F3">
      <w:pPr>
        <w:pStyle w:val="Body"/>
      </w:pPr>
      <w:r w:rsidRPr="00310B2F">
        <w:t xml:space="preserve">People in low socioeconomic groups face a burden 1.6 times higher than </w:t>
      </w:r>
      <w:r w:rsidR="00444CDB">
        <w:t>those in</w:t>
      </w:r>
      <w:r w:rsidRPr="00310B2F">
        <w:t xml:space="preserve"> the highest socioeconomic groups (</w:t>
      </w:r>
      <w:r w:rsidR="008B7E89">
        <w:t>AIHW,</w:t>
      </w:r>
      <w:r w:rsidRPr="00310B2F">
        <w:t xml:space="preserve"> 2021).</w:t>
      </w:r>
    </w:p>
    <w:p w14:paraId="6D4B5F48" w14:textId="4D26BA38" w:rsidR="003876F1" w:rsidRDefault="00816C5F" w:rsidP="00247801">
      <w:pPr>
        <w:pStyle w:val="Body"/>
      </w:pPr>
      <w:r>
        <w:t>I</w:t>
      </w:r>
      <w:r w:rsidR="00FF77F3" w:rsidRPr="00310B2F">
        <w:t>n 2018, Aboriginal Australians experienced twice the rate of disease burden compared with non-Aboriginal Australians. This rate ratio has remained stable between 2013</w:t>
      </w:r>
      <w:r w:rsidR="00444CDB">
        <w:t>-</w:t>
      </w:r>
      <w:r w:rsidR="00FF77F3" w:rsidRPr="00310B2F">
        <w:t>2018 (</w:t>
      </w:r>
      <w:r w:rsidR="008B7E89">
        <w:t>AIHW,</w:t>
      </w:r>
      <w:r w:rsidR="00FF77F3" w:rsidRPr="00310B2F">
        <w:t xml:space="preserve"> 2021).</w:t>
      </w:r>
      <w:r w:rsidR="00D67416">
        <w:t xml:space="preserve"> </w:t>
      </w:r>
    </w:p>
    <w:p w14:paraId="1728A310" w14:textId="77777777" w:rsidR="00FF77F3" w:rsidRDefault="00FF77F3" w:rsidP="00FF77F3">
      <w:pPr>
        <w:pStyle w:val="Heading3"/>
        <w:rPr>
          <w:szCs w:val="30"/>
        </w:rPr>
      </w:pPr>
      <w:r w:rsidRPr="2A0A81E2">
        <w:t>Modifiable risk factors</w:t>
      </w:r>
    </w:p>
    <w:p w14:paraId="2BE69C46" w14:textId="126D1E9C" w:rsidR="00444CDB" w:rsidRDefault="00444CDB" w:rsidP="00FF77F3">
      <w:r>
        <w:t xml:space="preserve">More than a </w:t>
      </w:r>
      <w:r w:rsidR="00FF77F3">
        <w:t xml:space="preserve">third of </w:t>
      </w:r>
      <w:r>
        <w:t xml:space="preserve">Australia’s </w:t>
      </w:r>
      <w:r w:rsidR="00FF77F3" w:rsidRPr="00D032B7">
        <w:t xml:space="preserve">disease burden is </w:t>
      </w:r>
      <w:r w:rsidR="00FF77F3">
        <w:t xml:space="preserve">preventable. </w:t>
      </w:r>
    </w:p>
    <w:p w14:paraId="1DF58464" w14:textId="560834CD" w:rsidR="00444CDB" w:rsidRDefault="00FF77F3" w:rsidP="00FF77F3">
      <w:r>
        <w:lastRenderedPageBreak/>
        <w:t xml:space="preserve">In 2018, 38 per cent of the burden of disease could have been prevented by reducing or avoiding the exposure to the modifiable risk factors examined in this study. The risk factors contributing to the </w:t>
      </w:r>
      <w:r w:rsidR="45C5D423">
        <w:t>greatest</w:t>
      </w:r>
      <w:r>
        <w:t xml:space="preserve"> burden were smoking (8.6</w:t>
      </w:r>
      <w:r w:rsidR="00E278E5" w:rsidRPr="00E278E5">
        <w:t xml:space="preserve"> </w:t>
      </w:r>
      <w:r w:rsidR="00E278E5">
        <w:t>per cent</w:t>
      </w:r>
      <w:r>
        <w:t>)</w:t>
      </w:r>
      <w:r w:rsidR="00444CDB">
        <w:t xml:space="preserve">, </w:t>
      </w:r>
      <w:r>
        <w:t>overweight and obesity (8.4</w:t>
      </w:r>
      <w:r w:rsidR="00E278E5" w:rsidRPr="00E278E5">
        <w:t xml:space="preserve"> </w:t>
      </w:r>
      <w:r w:rsidR="00E278E5">
        <w:t>per cent</w:t>
      </w:r>
      <w:r>
        <w:t>), dietary risk factors (5.4</w:t>
      </w:r>
      <w:r w:rsidR="00E278E5" w:rsidRPr="00E278E5">
        <w:t xml:space="preserve"> </w:t>
      </w:r>
      <w:r w:rsidR="00E278E5">
        <w:t>per cent</w:t>
      </w:r>
      <w:r>
        <w:t>), high blood pressure (5.1</w:t>
      </w:r>
      <w:r w:rsidR="00E278E5" w:rsidRPr="00E278E5">
        <w:t xml:space="preserve"> </w:t>
      </w:r>
      <w:r w:rsidR="00E278E5">
        <w:t>per cent</w:t>
      </w:r>
      <w:r>
        <w:t>)</w:t>
      </w:r>
      <w:r w:rsidR="00444CDB">
        <w:t>,</w:t>
      </w:r>
      <w:r>
        <w:t xml:space="preserve"> and alcohol use (4.5</w:t>
      </w:r>
      <w:r w:rsidR="00E278E5" w:rsidRPr="00E278E5">
        <w:t xml:space="preserve"> </w:t>
      </w:r>
      <w:r w:rsidR="00E278E5">
        <w:t>per cent</w:t>
      </w:r>
      <w:r>
        <w:t xml:space="preserve">). </w:t>
      </w:r>
    </w:p>
    <w:p w14:paraId="0D045503" w14:textId="5BD4A58C" w:rsidR="00FF77F3" w:rsidRDefault="00444CDB" w:rsidP="00FF77F3">
      <w:r>
        <w:t>T</w:t>
      </w:r>
      <w:r w:rsidR="00FF77F3">
        <w:t>obacco use remains the leading risk factor causing burden, the gap between tobacco use and overweight (including obesity) has almost closed (</w:t>
      </w:r>
      <w:r w:rsidR="008B7E89">
        <w:t>AIHW</w:t>
      </w:r>
      <w:r>
        <w:t>,</w:t>
      </w:r>
      <w:r w:rsidR="00FF77F3">
        <w:t xml:space="preserve"> 2021).</w:t>
      </w:r>
    </w:p>
    <w:p w14:paraId="442F5C4E" w14:textId="17A6C10F" w:rsidR="00DE7016" w:rsidRDefault="00FF77F3" w:rsidP="00FF77F3">
      <w:r>
        <w:t>Almost half of all deaths (49</w:t>
      </w:r>
      <w:r w:rsidR="00E278E5" w:rsidRPr="00E278E5">
        <w:t xml:space="preserve"> </w:t>
      </w:r>
      <w:r w:rsidR="00E278E5">
        <w:t>per cent</w:t>
      </w:r>
      <w:r>
        <w:t>) and fatal burden (48</w:t>
      </w:r>
      <w:r w:rsidR="0004378F">
        <w:t xml:space="preserve"> per cent</w:t>
      </w:r>
      <w:r>
        <w:t xml:space="preserve">) could be attributed to the modifiable risk factors included in the study. This is due to </w:t>
      </w:r>
      <w:r w:rsidR="00444CDB">
        <w:t xml:space="preserve">the fact that </w:t>
      </w:r>
      <w:r>
        <w:t xml:space="preserve">a high proportion of leading causes of fatal burden, such as cancer and cardiovascular disease, </w:t>
      </w:r>
      <w:r w:rsidR="00444CDB">
        <w:t xml:space="preserve">are </w:t>
      </w:r>
      <w:r>
        <w:t>attributable to these risk factors (</w:t>
      </w:r>
      <w:r w:rsidR="008B7E89">
        <w:t>AIHW,</w:t>
      </w:r>
      <w:r>
        <w:t xml:space="preserve"> 2021).</w:t>
      </w:r>
    </w:p>
    <w:p w14:paraId="2016404E" w14:textId="379E4AFE" w:rsidR="00FF77F3" w:rsidRDefault="00FF77F3" w:rsidP="00FF77F3">
      <w:pPr>
        <w:pStyle w:val="Heading3"/>
      </w:pPr>
      <w:r w:rsidRPr="2A0A81E2">
        <w:t xml:space="preserve">Trends in risk factors in Victoria </w:t>
      </w:r>
    </w:p>
    <w:p w14:paraId="10ADAAA2" w14:textId="0C9B6DB9" w:rsidR="00FF77F3" w:rsidRDefault="00FF77F3" w:rsidP="00FF77F3">
      <w:pPr>
        <w:pStyle w:val="Body"/>
      </w:pPr>
      <w:r w:rsidRPr="220F8625">
        <w:t xml:space="preserve">Smoking is still the greatest contributor to the disease burden, responsible for 8.6 per cent of the disease burden in Australia. </w:t>
      </w:r>
    </w:p>
    <w:p w14:paraId="7177C877" w14:textId="71403DAA" w:rsidR="00FF77F3" w:rsidRDefault="00FF77F3" w:rsidP="00FF77F3">
      <w:pPr>
        <w:pStyle w:val="Body"/>
      </w:pPr>
      <w:r w:rsidRPr="4E928B3B">
        <w:t>However, when all dietary factors are considered together – overweight and obesity (8.4 per cent), dietary risks (5.4 per cent)</w:t>
      </w:r>
      <w:r w:rsidR="00B4196E">
        <w:t>,</w:t>
      </w:r>
      <w:r w:rsidRPr="4E928B3B">
        <w:t xml:space="preserve"> and high blood glucose (4.3 per cent) </w:t>
      </w:r>
      <w:r w:rsidR="00B4196E">
        <w:t xml:space="preserve">– it shows how </w:t>
      </w:r>
      <w:r w:rsidRPr="4E928B3B">
        <w:t>important it is to address diet-related factors when discussing efforts to reduce the disease burden in Australia.</w:t>
      </w:r>
    </w:p>
    <w:p w14:paraId="5BE2B994" w14:textId="25451B88" w:rsidR="00495C9F" w:rsidRDefault="00495C9F" w:rsidP="00B24E70">
      <w:pPr>
        <w:pStyle w:val="Heading2"/>
      </w:pPr>
      <w:bookmarkStart w:id="81" w:name="_Toc116981336"/>
      <w:r>
        <w:t>Causes of death in Victoria</w:t>
      </w:r>
      <w:bookmarkEnd w:id="81"/>
    </w:p>
    <w:p w14:paraId="6813F560" w14:textId="77777777" w:rsidR="00E805A5" w:rsidRPr="0019383F" w:rsidRDefault="00E805A5" w:rsidP="00E805A5">
      <w:pPr>
        <w:pStyle w:val="Heading3"/>
      </w:pPr>
      <w:r w:rsidRPr="0019383F">
        <w:t xml:space="preserve">Leading causes of death </w:t>
      </w:r>
      <w:r>
        <w:t xml:space="preserve">in </w:t>
      </w:r>
      <w:r w:rsidRPr="0019383F">
        <w:t>2019</w:t>
      </w:r>
    </w:p>
    <w:p w14:paraId="60B96307" w14:textId="027BDA41" w:rsidR="00E805A5" w:rsidRDefault="00E805A5" w:rsidP="00E805A5">
      <w:pPr>
        <w:pStyle w:val="Body"/>
      </w:pPr>
      <w:r>
        <w:t>In 2019 there were 43,944 deaths in Victoria</w:t>
      </w:r>
      <w:r w:rsidR="00B4196E">
        <w:t>:</w:t>
      </w:r>
      <w:r>
        <w:t xml:space="preserve"> 22,879 were male and 21,065 female (</w:t>
      </w:r>
      <w:r w:rsidR="008B7E89">
        <w:t>ABS</w:t>
      </w:r>
      <w:r>
        <w:t>, 2019).</w:t>
      </w:r>
    </w:p>
    <w:p w14:paraId="4318E6C0" w14:textId="5216250B" w:rsidR="00E805A5" w:rsidRDefault="00E805A5" w:rsidP="00E805A5">
      <w:pPr>
        <w:pStyle w:val="Body"/>
        <w:rPr>
          <w:rFonts w:cs="Arial"/>
          <w:color w:val="2A2736"/>
        </w:rPr>
      </w:pPr>
      <w:r>
        <w:rPr>
          <w:rFonts w:cs="Arial"/>
          <w:color w:val="2A2736"/>
        </w:rPr>
        <w:t xml:space="preserve">Ischaemic heart diseases remained the leading cause of death for males and females, accounting for 11.09 per cent of all deaths </w:t>
      </w:r>
      <w:r>
        <w:t>(</w:t>
      </w:r>
      <w:r w:rsidR="008B7E89">
        <w:t>ABS</w:t>
      </w:r>
      <w:r>
        <w:t>, 2019)</w:t>
      </w:r>
      <w:r>
        <w:rPr>
          <w:rFonts w:cs="Arial"/>
          <w:color w:val="2A2736"/>
        </w:rPr>
        <w:t>. </w:t>
      </w:r>
    </w:p>
    <w:p w14:paraId="2D591A1C" w14:textId="3CF28608" w:rsidR="00E805A5" w:rsidRDefault="00E805A5" w:rsidP="00E805A5">
      <w:pPr>
        <w:pStyle w:val="Body"/>
        <w:rPr>
          <w:rFonts w:cs="Arial"/>
          <w:color w:val="2A2736"/>
        </w:rPr>
      </w:pPr>
      <w:r>
        <w:rPr>
          <w:rFonts w:cs="Arial"/>
          <w:color w:val="2A2736"/>
        </w:rPr>
        <w:t>Th</w:t>
      </w:r>
      <w:r w:rsidR="00B4196E">
        <w:rPr>
          <w:rFonts w:cs="Arial"/>
          <w:color w:val="2A2736"/>
        </w:rPr>
        <w:t xml:space="preserve">e second leading cause of death </w:t>
      </w:r>
      <w:r>
        <w:rPr>
          <w:rFonts w:cs="Arial"/>
          <w:color w:val="2A2736"/>
        </w:rPr>
        <w:t xml:space="preserve">was 'malignant neoplasms of digestive organs' (including pancreatic, intestinal, liver, gastric and oesophageal cancers), </w:t>
      </w:r>
      <w:r w:rsidR="00F86C5E">
        <w:rPr>
          <w:rFonts w:cs="Arial"/>
          <w:color w:val="2A2736"/>
        </w:rPr>
        <w:t xml:space="preserve">which </w:t>
      </w:r>
      <w:r>
        <w:rPr>
          <w:rFonts w:cs="Arial"/>
          <w:color w:val="2A2736"/>
        </w:rPr>
        <w:t>account</w:t>
      </w:r>
      <w:r w:rsidR="00F86C5E">
        <w:rPr>
          <w:rFonts w:cs="Arial"/>
          <w:color w:val="2A2736"/>
        </w:rPr>
        <w:t>ed</w:t>
      </w:r>
      <w:r>
        <w:rPr>
          <w:rFonts w:cs="Arial"/>
          <w:color w:val="2A2736"/>
        </w:rPr>
        <w:t xml:space="preserve"> for 8.25 per cent of all deaths </w:t>
      </w:r>
      <w:r>
        <w:t>(</w:t>
      </w:r>
      <w:r w:rsidR="008B7E89">
        <w:t>ABS</w:t>
      </w:r>
      <w:r>
        <w:t>, 2019)</w:t>
      </w:r>
      <w:r>
        <w:rPr>
          <w:rFonts w:cs="Arial"/>
          <w:color w:val="2A2736"/>
        </w:rPr>
        <w:t>.</w:t>
      </w:r>
    </w:p>
    <w:p w14:paraId="4E4B6D27" w14:textId="4098832D" w:rsidR="00E805A5" w:rsidRDefault="00E805A5" w:rsidP="00E805A5">
      <w:pPr>
        <w:pStyle w:val="Body"/>
      </w:pPr>
      <w:r>
        <w:t>Other forms of heart disease and cerebrovascular diseases were the third and fifth leading causes of death, counting for 6.18 and 5.48 per cent of all deaths, respectively (</w:t>
      </w:r>
      <w:r w:rsidR="008B7E89">
        <w:t>ABS</w:t>
      </w:r>
      <w:r>
        <w:t xml:space="preserve">, 2019). These numbers highlight the significant burden of cardiovascular diseases on the Victorian population.  </w:t>
      </w:r>
    </w:p>
    <w:p w14:paraId="3EA747DC" w14:textId="7CE0F0A9" w:rsidR="00E805A5" w:rsidRDefault="00210168" w:rsidP="00CE1304">
      <w:pPr>
        <w:pStyle w:val="Tablecaption"/>
        <w:spacing w:before="0" w:after="0" w:line="240" w:lineRule="auto"/>
      </w:pPr>
      <w:r>
        <w:t xml:space="preserve">Chapter 8, </w:t>
      </w:r>
      <w:r w:rsidR="00E805A5">
        <w:t>Table 1. Ten leading causes of death in Victoria in 2019.</w:t>
      </w:r>
    </w:p>
    <w:p w14:paraId="5C7D84B8" w14:textId="288136B5" w:rsidR="00A7272C" w:rsidRPr="00CE1304" w:rsidRDefault="00A7272C" w:rsidP="00A7272C">
      <w:pPr>
        <w:rPr>
          <w:szCs w:val="21"/>
        </w:rPr>
      </w:pPr>
      <w:r w:rsidRPr="00CE1304">
        <w:rPr>
          <w:rFonts w:eastAsia="Arial" w:cs="Arial"/>
          <w:szCs w:val="21"/>
        </w:rPr>
        <w:t>(</w:t>
      </w:r>
      <w:r w:rsidR="004139D3" w:rsidRPr="00CE1304">
        <w:rPr>
          <w:rFonts w:eastAsia="Arial" w:cs="Arial"/>
          <w:szCs w:val="21"/>
        </w:rPr>
        <w:t xml:space="preserve">Go to </w:t>
      </w:r>
      <w:r w:rsidRPr="00CE1304">
        <w:rPr>
          <w:rFonts w:eastAsia="Arial" w:cs="Arial"/>
          <w:szCs w:val="21"/>
        </w:rPr>
        <w:t>Appendix A, Chapter 8, Table 1 for accessible table content)</w:t>
      </w:r>
    </w:p>
    <w:tbl>
      <w:tblPr>
        <w:tblStyle w:val="TableGrid"/>
        <w:tblW w:w="0" w:type="auto"/>
        <w:tblLook w:val="04A0" w:firstRow="1" w:lastRow="0" w:firstColumn="1" w:lastColumn="0" w:noHBand="0" w:noVBand="1"/>
      </w:tblPr>
      <w:tblGrid>
        <w:gridCol w:w="4246"/>
        <w:gridCol w:w="800"/>
        <w:gridCol w:w="1057"/>
        <w:gridCol w:w="1045"/>
        <w:gridCol w:w="2140"/>
      </w:tblGrid>
      <w:tr w:rsidR="00E805A5" w14:paraId="724A48BB" w14:textId="77777777" w:rsidTr="00CE1304">
        <w:trPr>
          <w:tblHeader/>
        </w:trPr>
        <w:tc>
          <w:tcPr>
            <w:tcW w:w="0" w:type="auto"/>
          </w:tcPr>
          <w:p w14:paraId="327CA2D5" w14:textId="77777777" w:rsidR="00E805A5" w:rsidRPr="00A7272C" w:rsidRDefault="00E805A5" w:rsidP="004A6796">
            <w:pPr>
              <w:pStyle w:val="Tablecolhead"/>
              <w:rPr>
                <w:color w:val="000000" w:themeColor="text1"/>
              </w:rPr>
            </w:pPr>
            <w:r w:rsidRPr="00A7272C">
              <w:rPr>
                <w:color w:val="000000" w:themeColor="text1"/>
              </w:rPr>
              <w:t>Causes of Death</w:t>
            </w:r>
          </w:p>
        </w:tc>
        <w:tc>
          <w:tcPr>
            <w:tcW w:w="0" w:type="auto"/>
          </w:tcPr>
          <w:p w14:paraId="727F8C09" w14:textId="77777777" w:rsidR="00E805A5" w:rsidRPr="00A7272C" w:rsidRDefault="00E805A5" w:rsidP="004A6796">
            <w:pPr>
              <w:pStyle w:val="Tablecolhead"/>
              <w:rPr>
                <w:color w:val="000000" w:themeColor="text1"/>
              </w:rPr>
            </w:pPr>
            <w:r w:rsidRPr="00A7272C">
              <w:rPr>
                <w:color w:val="000000" w:themeColor="text1"/>
              </w:rPr>
              <w:t>Males</w:t>
            </w:r>
          </w:p>
        </w:tc>
        <w:tc>
          <w:tcPr>
            <w:tcW w:w="0" w:type="auto"/>
          </w:tcPr>
          <w:p w14:paraId="222C1A20" w14:textId="77777777" w:rsidR="00E805A5" w:rsidRPr="00A7272C" w:rsidRDefault="00E805A5" w:rsidP="004A6796">
            <w:pPr>
              <w:pStyle w:val="Tablecolhead"/>
              <w:rPr>
                <w:color w:val="000000" w:themeColor="text1"/>
              </w:rPr>
            </w:pPr>
            <w:r w:rsidRPr="00A7272C">
              <w:rPr>
                <w:color w:val="000000" w:themeColor="text1"/>
              </w:rPr>
              <w:t>Females</w:t>
            </w:r>
          </w:p>
        </w:tc>
        <w:tc>
          <w:tcPr>
            <w:tcW w:w="0" w:type="auto"/>
          </w:tcPr>
          <w:p w14:paraId="10F303FC" w14:textId="77777777" w:rsidR="00E805A5" w:rsidRPr="00A7272C" w:rsidRDefault="00E805A5" w:rsidP="004A6796">
            <w:pPr>
              <w:pStyle w:val="Tablecolhead"/>
              <w:rPr>
                <w:color w:val="000000" w:themeColor="text1"/>
              </w:rPr>
            </w:pPr>
            <w:r w:rsidRPr="00A7272C">
              <w:rPr>
                <w:color w:val="000000" w:themeColor="text1"/>
              </w:rPr>
              <w:t>Persons</w:t>
            </w:r>
          </w:p>
        </w:tc>
        <w:tc>
          <w:tcPr>
            <w:tcW w:w="0" w:type="auto"/>
          </w:tcPr>
          <w:p w14:paraId="55ECA387" w14:textId="77777777" w:rsidR="00E805A5" w:rsidRPr="00A7272C" w:rsidRDefault="00E805A5" w:rsidP="004A6796">
            <w:pPr>
              <w:pStyle w:val="Tablecolhead"/>
              <w:rPr>
                <w:color w:val="000000" w:themeColor="text1"/>
              </w:rPr>
            </w:pPr>
            <w:r w:rsidRPr="00A7272C">
              <w:rPr>
                <w:color w:val="000000" w:themeColor="text1"/>
              </w:rPr>
              <w:t>Percentage of all deaths</w:t>
            </w:r>
          </w:p>
        </w:tc>
      </w:tr>
      <w:tr w:rsidR="00E805A5" w14:paraId="05BE8AD5" w14:textId="77777777" w:rsidTr="004A6796">
        <w:tc>
          <w:tcPr>
            <w:tcW w:w="0" w:type="auto"/>
          </w:tcPr>
          <w:p w14:paraId="26D53435" w14:textId="77777777" w:rsidR="00E805A5" w:rsidRDefault="00E805A5" w:rsidP="004A6796">
            <w:pPr>
              <w:pStyle w:val="Tabletext"/>
            </w:pPr>
            <w:r w:rsidRPr="000F441B">
              <w:t>Ischaemic heart diseases</w:t>
            </w:r>
          </w:p>
        </w:tc>
        <w:tc>
          <w:tcPr>
            <w:tcW w:w="0" w:type="auto"/>
            <w:vAlign w:val="bottom"/>
          </w:tcPr>
          <w:p w14:paraId="5C409BE9" w14:textId="77777777" w:rsidR="00E805A5" w:rsidRDefault="00E805A5" w:rsidP="004A6796">
            <w:pPr>
              <w:pStyle w:val="Tabletext"/>
            </w:pPr>
            <w:r w:rsidRPr="00D326B6">
              <w:t>2,985</w:t>
            </w:r>
          </w:p>
        </w:tc>
        <w:tc>
          <w:tcPr>
            <w:tcW w:w="0" w:type="auto"/>
            <w:vAlign w:val="bottom"/>
          </w:tcPr>
          <w:p w14:paraId="35AA1E80" w14:textId="77777777" w:rsidR="00E805A5" w:rsidRDefault="00E805A5" w:rsidP="004A6796">
            <w:pPr>
              <w:pStyle w:val="Tabletext"/>
            </w:pPr>
            <w:r w:rsidRPr="00D326B6">
              <w:t>1,888</w:t>
            </w:r>
          </w:p>
        </w:tc>
        <w:tc>
          <w:tcPr>
            <w:tcW w:w="0" w:type="auto"/>
            <w:vAlign w:val="bottom"/>
          </w:tcPr>
          <w:p w14:paraId="5A60DAB5" w14:textId="77777777" w:rsidR="00E805A5" w:rsidRDefault="00E805A5" w:rsidP="004A6796">
            <w:pPr>
              <w:pStyle w:val="Tabletext"/>
            </w:pPr>
            <w:r w:rsidRPr="00D326B6">
              <w:t>4,873</w:t>
            </w:r>
          </w:p>
        </w:tc>
        <w:tc>
          <w:tcPr>
            <w:tcW w:w="0" w:type="auto"/>
          </w:tcPr>
          <w:p w14:paraId="50B33329" w14:textId="77777777" w:rsidR="00E805A5" w:rsidRDefault="00E805A5" w:rsidP="004A6796">
            <w:pPr>
              <w:pStyle w:val="Tabletext"/>
            </w:pPr>
            <w:r w:rsidRPr="00FE3B11">
              <w:t>11.09</w:t>
            </w:r>
          </w:p>
        </w:tc>
      </w:tr>
      <w:tr w:rsidR="00E805A5" w14:paraId="07923264" w14:textId="77777777" w:rsidTr="004A6796">
        <w:tc>
          <w:tcPr>
            <w:tcW w:w="0" w:type="auto"/>
          </w:tcPr>
          <w:p w14:paraId="79E0C62C" w14:textId="77777777" w:rsidR="00E805A5" w:rsidRDefault="00E805A5" w:rsidP="004A6796">
            <w:pPr>
              <w:pStyle w:val="Tabletext"/>
            </w:pPr>
            <w:r w:rsidRPr="000F441B">
              <w:t>Malignant neoplasms of digestive organs</w:t>
            </w:r>
          </w:p>
        </w:tc>
        <w:tc>
          <w:tcPr>
            <w:tcW w:w="0" w:type="auto"/>
            <w:vAlign w:val="bottom"/>
          </w:tcPr>
          <w:p w14:paraId="3F1F7A0C" w14:textId="77777777" w:rsidR="00E805A5" w:rsidRDefault="00E805A5" w:rsidP="004A6796">
            <w:pPr>
              <w:pStyle w:val="Tabletext"/>
            </w:pPr>
            <w:r w:rsidRPr="00D326B6">
              <w:t>2,095</w:t>
            </w:r>
          </w:p>
        </w:tc>
        <w:tc>
          <w:tcPr>
            <w:tcW w:w="0" w:type="auto"/>
            <w:vAlign w:val="bottom"/>
          </w:tcPr>
          <w:p w14:paraId="359A0623" w14:textId="77777777" w:rsidR="00E805A5" w:rsidRDefault="00E805A5" w:rsidP="004A6796">
            <w:pPr>
              <w:pStyle w:val="Tabletext"/>
            </w:pPr>
            <w:r w:rsidRPr="00D326B6">
              <w:t>1,529</w:t>
            </w:r>
          </w:p>
        </w:tc>
        <w:tc>
          <w:tcPr>
            <w:tcW w:w="0" w:type="auto"/>
            <w:vAlign w:val="bottom"/>
          </w:tcPr>
          <w:p w14:paraId="70EA3624" w14:textId="77777777" w:rsidR="00E805A5" w:rsidRDefault="00E805A5" w:rsidP="004A6796">
            <w:pPr>
              <w:pStyle w:val="Tabletext"/>
            </w:pPr>
            <w:r w:rsidRPr="00D326B6">
              <w:t>3,624</w:t>
            </w:r>
          </w:p>
        </w:tc>
        <w:tc>
          <w:tcPr>
            <w:tcW w:w="0" w:type="auto"/>
          </w:tcPr>
          <w:p w14:paraId="642C0394" w14:textId="77777777" w:rsidR="00E805A5" w:rsidRDefault="00E805A5" w:rsidP="004A6796">
            <w:pPr>
              <w:pStyle w:val="Tabletext"/>
            </w:pPr>
            <w:r w:rsidRPr="00FE3B11">
              <w:t>8.25</w:t>
            </w:r>
          </w:p>
        </w:tc>
      </w:tr>
      <w:tr w:rsidR="00E805A5" w14:paraId="79E31E28" w14:textId="77777777" w:rsidTr="004A6796">
        <w:tc>
          <w:tcPr>
            <w:tcW w:w="0" w:type="auto"/>
          </w:tcPr>
          <w:p w14:paraId="0EA3CFD7" w14:textId="77777777" w:rsidR="00E805A5" w:rsidRDefault="00E805A5" w:rsidP="004A6796">
            <w:pPr>
              <w:pStyle w:val="Tabletext"/>
            </w:pPr>
            <w:r w:rsidRPr="000F441B">
              <w:t xml:space="preserve">Other forms of heart disease </w:t>
            </w:r>
          </w:p>
        </w:tc>
        <w:tc>
          <w:tcPr>
            <w:tcW w:w="0" w:type="auto"/>
            <w:vAlign w:val="bottom"/>
          </w:tcPr>
          <w:p w14:paraId="3D6936B5" w14:textId="77777777" w:rsidR="00E805A5" w:rsidRDefault="00E805A5" w:rsidP="004A6796">
            <w:pPr>
              <w:pStyle w:val="Tabletext"/>
            </w:pPr>
            <w:r w:rsidRPr="00D326B6">
              <w:t>1,254</w:t>
            </w:r>
          </w:p>
        </w:tc>
        <w:tc>
          <w:tcPr>
            <w:tcW w:w="0" w:type="auto"/>
            <w:vAlign w:val="bottom"/>
          </w:tcPr>
          <w:p w14:paraId="0864A229" w14:textId="77777777" w:rsidR="00E805A5" w:rsidRDefault="00E805A5" w:rsidP="004A6796">
            <w:pPr>
              <w:pStyle w:val="Tabletext"/>
            </w:pPr>
            <w:r w:rsidRPr="00D326B6">
              <w:t>1,461</w:t>
            </w:r>
          </w:p>
        </w:tc>
        <w:tc>
          <w:tcPr>
            <w:tcW w:w="0" w:type="auto"/>
            <w:vAlign w:val="bottom"/>
          </w:tcPr>
          <w:p w14:paraId="17ADC1A9" w14:textId="77777777" w:rsidR="00E805A5" w:rsidRDefault="00E805A5" w:rsidP="004A6796">
            <w:pPr>
              <w:pStyle w:val="Tabletext"/>
            </w:pPr>
            <w:r w:rsidRPr="00D326B6">
              <w:t>2,715</w:t>
            </w:r>
          </w:p>
        </w:tc>
        <w:tc>
          <w:tcPr>
            <w:tcW w:w="0" w:type="auto"/>
          </w:tcPr>
          <w:p w14:paraId="7FEB1DCC" w14:textId="77777777" w:rsidR="00E805A5" w:rsidRDefault="00E805A5" w:rsidP="004A6796">
            <w:pPr>
              <w:pStyle w:val="Tabletext"/>
            </w:pPr>
            <w:r w:rsidRPr="00FE3B11">
              <w:t>6.18</w:t>
            </w:r>
          </w:p>
        </w:tc>
      </w:tr>
      <w:tr w:rsidR="00E805A5" w14:paraId="1DDD5335" w14:textId="77777777" w:rsidTr="004A6796">
        <w:tc>
          <w:tcPr>
            <w:tcW w:w="0" w:type="auto"/>
          </w:tcPr>
          <w:p w14:paraId="1908D8E6" w14:textId="77777777" w:rsidR="00E805A5" w:rsidRDefault="00E805A5" w:rsidP="004A6796">
            <w:pPr>
              <w:pStyle w:val="Tabletext"/>
            </w:pPr>
            <w:r w:rsidRPr="000F441B">
              <w:t xml:space="preserve">Organic, including symptomatic, mental disorders </w:t>
            </w:r>
          </w:p>
        </w:tc>
        <w:tc>
          <w:tcPr>
            <w:tcW w:w="0" w:type="auto"/>
            <w:vAlign w:val="bottom"/>
          </w:tcPr>
          <w:p w14:paraId="0375A67B" w14:textId="77777777" w:rsidR="00E805A5" w:rsidRDefault="00E805A5" w:rsidP="004A6796">
            <w:pPr>
              <w:pStyle w:val="Tabletext"/>
            </w:pPr>
            <w:r w:rsidRPr="00D326B6">
              <w:t>913</w:t>
            </w:r>
          </w:p>
        </w:tc>
        <w:tc>
          <w:tcPr>
            <w:tcW w:w="0" w:type="auto"/>
            <w:vAlign w:val="bottom"/>
          </w:tcPr>
          <w:p w14:paraId="538075A1" w14:textId="77777777" w:rsidR="00E805A5" w:rsidRDefault="00E805A5" w:rsidP="004A6796">
            <w:pPr>
              <w:pStyle w:val="Tabletext"/>
            </w:pPr>
            <w:r w:rsidRPr="00D326B6">
              <w:t>1,576</w:t>
            </w:r>
          </w:p>
        </w:tc>
        <w:tc>
          <w:tcPr>
            <w:tcW w:w="0" w:type="auto"/>
            <w:vAlign w:val="bottom"/>
          </w:tcPr>
          <w:p w14:paraId="022D7D21" w14:textId="77777777" w:rsidR="00E805A5" w:rsidRDefault="00E805A5" w:rsidP="004A6796">
            <w:pPr>
              <w:pStyle w:val="Tabletext"/>
            </w:pPr>
            <w:r w:rsidRPr="00D326B6">
              <w:t>2,489</w:t>
            </w:r>
          </w:p>
        </w:tc>
        <w:tc>
          <w:tcPr>
            <w:tcW w:w="0" w:type="auto"/>
          </w:tcPr>
          <w:p w14:paraId="26261416" w14:textId="77777777" w:rsidR="00E805A5" w:rsidRDefault="00E805A5" w:rsidP="004A6796">
            <w:pPr>
              <w:pStyle w:val="Tabletext"/>
            </w:pPr>
            <w:r w:rsidRPr="00FE3B11">
              <w:t>5.66</w:t>
            </w:r>
          </w:p>
        </w:tc>
      </w:tr>
      <w:tr w:rsidR="00E805A5" w14:paraId="543FFBAD" w14:textId="77777777" w:rsidTr="004A6796">
        <w:tc>
          <w:tcPr>
            <w:tcW w:w="0" w:type="auto"/>
          </w:tcPr>
          <w:p w14:paraId="4ECDE01C" w14:textId="77777777" w:rsidR="00E805A5" w:rsidRDefault="00E805A5" w:rsidP="004A6796">
            <w:pPr>
              <w:pStyle w:val="Tabletext"/>
            </w:pPr>
            <w:r w:rsidRPr="000F441B">
              <w:t xml:space="preserve">Cerebrovascular diseases </w:t>
            </w:r>
          </w:p>
        </w:tc>
        <w:tc>
          <w:tcPr>
            <w:tcW w:w="0" w:type="auto"/>
            <w:vAlign w:val="bottom"/>
          </w:tcPr>
          <w:p w14:paraId="4B1B736E" w14:textId="77777777" w:rsidR="00E805A5" w:rsidRDefault="00E805A5" w:rsidP="004A6796">
            <w:pPr>
              <w:pStyle w:val="Tabletext"/>
            </w:pPr>
            <w:r w:rsidRPr="00D326B6">
              <w:t>1,015</w:t>
            </w:r>
          </w:p>
        </w:tc>
        <w:tc>
          <w:tcPr>
            <w:tcW w:w="0" w:type="auto"/>
            <w:vAlign w:val="bottom"/>
          </w:tcPr>
          <w:p w14:paraId="772813F5" w14:textId="77777777" w:rsidR="00E805A5" w:rsidRDefault="00E805A5" w:rsidP="004A6796">
            <w:pPr>
              <w:pStyle w:val="Tabletext"/>
            </w:pPr>
            <w:r w:rsidRPr="00D326B6">
              <w:t>1,392</w:t>
            </w:r>
          </w:p>
        </w:tc>
        <w:tc>
          <w:tcPr>
            <w:tcW w:w="0" w:type="auto"/>
            <w:vAlign w:val="bottom"/>
          </w:tcPr>
          <w:p w14:paraId="57928567" w14:textId="77777777" w:rsidR="00E805A5" w:rsidRDefault="00E805A5" w:rsidP="004A6796">
            <w:pPr>
              <w:pStyle w:val="Tabletext"/>
            </w:pPr>
            <w:r w:rsidRPr="00D326B6">
              <w:t>2,407</w:t>
            </w:r>
          </w:p>
        </w:tc>
        <w:tc>
          <w:tcPr>
            <w:tcW w:w="0" w:type="auto"/>
          </w:tcPr>
          <w:p w14:paraId="2B14B3BC" w14:textId="77777777" w:rsidR="00E805A5" w:rsidRDefault="00E805A5" w:rsidP="004A6796">
            <w:pPr>
              <w:pStyle w:val="Tabletext"/>
            </w:pPr>
            <w:r w:rsidRPr="00FE3B11">
              <w:t>5.48</w:t>
            </w:r>
          </w:p>
        </w:tc>
      </w:tr>
      <w:tr w:rsidR="00E805A5" w14:paraId="22129C6B" w14:textId="77777777" w:rsidTr="004A6796">
        <w:tc>
          <w:tcPr>
            <w:tcW w:w="0" w:type="auto"/>
          </w:tcPr>
          <w:p w14:paraId="35A70785" w14:textId="77777777" w:rsidR="00E805A5" w:rsidRDefault="00E805A5" w:rsidP="004A6796">
            <w:pPr>
              <w:pStyle w:val="Tabletext"/>
            </w:pPr>
            <w:r w:rsidRPr="000F441B">
              <w:t>Malignant neoplasms of respiratory and intrathoracic organs</w:t>
            </w:r>
          </w:p>
        </w:tc>
        <w:tc>
          <w:tcPr>
            <w:tcW w:w="0" w:type="auto"/>
            <w:vAlign w:val="bottom"/>
          </w:tcPr>
          <w:p w14:paraId="63D853D4" w14:textId="77777777" w:rsidR="00E805A5" w:rsidRDefault="00E805A5" w:rsidP="004A6796">
            <w:pPr>
              <w:pStyle w:val="Tabletext"/>
            </w:pPr>
            <w:r w:rsidRPr="00D326B6">
              <w:t>1,341</w:t>
            </w:r>
          </w:p>
        </w:tc>
        <w:tc>
          <w:tcPr>
            <w:tcW w:w="0" w:type="auto"/>
            <w:vAlign w:val="bottom"/>
          </w:tcPr>
          <w:p w14:paraId="7D14D609" w14:textId="77777777" w:rsidR="00E805A5" w:rsidRDefault="00E805A5" w:rsidP="004A6796">
            <w:pPr>
              <w:pStyle w:val="Tabletext"/>
            </w:pPr>
            <w:r w:rsidRPr="00D326B6">
              <w:t>913</w:t>
            </w:r>
          </w:p>
        </w:tc>
        <w:tc>
          <w:tcPr>
            <w:tcW w:w="0" w:type="auto"/>
            <w:vAlign w:val="bottom"/>
          </w:tcPr>
          <w:p w14:paraId="2364184C" w14:textId="77777777" w:rsidR="00E805A5" w:rsidRDefault="00E805A5" w:rsidP="004A6796">
            <w:pPr>
              <w:pStyle w:val="Tabletext"/>
            </w:pPr>
            <w:r w:rsidRPr="00D326B6">
              <w:t>2,254</w:t>
            </w:r>
          </w:p>
        </w:tc>
        <w:tc>
          <w:tcPr>
            <w:tcW w:w="0" w:type="auto"/>
          </w:tcPr>
          <w:p w14:paraId="5204ED5B" w14:textId="77777777" w:rsidR="00E805A5" w:rsidRDefault="00E805A5" w:rsidP="004A6796">
            <w:pPr>
              <w:pStyle w:val="Tabletext"/>
            </w:pPr>
            <w:r w:rsidRPr="00FE3B11">
              <w:t>5.13</w:t>
            </w:r>
          </w:p>
        </w:tc>
      </w:tr>
      <w:tr w:rsidR="00E805A5" w14:paraId="15FF98F7" w14:textId="77777777" w:rsidTr="004A6796">
        <w:tc>
          <w:tcPr>
            <w:tcW w:w="0" w:type="auto"/>
          </w:tcPr>
          <w:p w14:paraId="3F077EFA" w14:textId="77777777" w:rsidR="00E805A5" w:rsidRDefault="00E805A5" w:rsidP="004A6796">
            <w:pPr>
              <w:pStyle w:val="Tabletext"/>
            </w:pPr>
            <w:r w:rsidRPr="000F441B">
              <w:lastRenderedPageBreak/>
              <w:t>Chronic lower respiratory diseases</w:t>
            </w:r>
          </w:p>
        </w:tc>
        <w:tc>
          <w:tcPr>
            <w:tcW w:w="0" w:type="auto"/>
            <w:vAlign w:val="bottom"/>
          </w:tcPr>
          <w:p w14:paraId="1D9F08F3" w14:textId="77777777" w:rsidR="00E805A5" w:rsidRDefault="00E805A5" w:rsidP="004A6796">
            <w:pPr>
              <w:pStyle w:val="Tabletext"/>
            </w:pPr>
            <w:r w:rsidRPr="00D326B6">
              <w:t>1,031</w:t>
            </w:r>
          </w:p>
        </w:tc>
        <w:tc>
          <w:tcPr>
            <w:tcW w:w="0" w:type="auto"/>
            <w:vAlign w:val="bottom"/>
          </w:tcPr>
          <w:p w14:paraId="79271ABB" w14:textId="77777777" w:rsidR="00E805A5" w:rsidRDefault="00E805A5" w:rsidP="004A6796">
            <w:pPr>
              <w:pStyle w:val="Tabletext"/>
            </w:pPr>
            <w:r w:rsidRPr="00D326B6">
              <w:t>975</w:t>
            </w:r>
          </w:p>
        </w:tc>
        <w:tc>
          <w:tcPr>
            <w:tcW w:w="0" w:type="auto"/>
            <w:vAlign w:val="bottom"/>
          </w:tcPr>
          <w:p w14:paraId="6C396A92" w14:textId="77777777" w:rsidR="00E805A5" w:rsidRDefault="00E805A5" w:rsidP="004A6796">
            <w:pPr>
              <w:pStyle w:val="Tabletext"/>
            </w:pPr>
            <w:r w:rsidRPr="00D326B6">
              <w:t>2,006</w:t>
            </w:r>
          </w:p>
        </w:tc>
        <w:tc>
          <w:tcPr>
            <w:tcW w:w="0" w:type="auto"/>
          </w:tcPr>
          <w:p w14:paraId="71BA5FF1" w14:textId="77777777" w:rsidR="00E805A5" w:rsidRDefault="00E805A5" w:rsidP="004A6796">
            <w:pPr>
              <w:pStyle w:val="Tabletext"/>
            </w:pPr>
            <w:r w:rsidRPr="00FE3B11">
              <w:t>4.56</w:t>
            </w:r>
          </w:p>
        </w:tc>
      </w:tr>
      <w:tr w:rsidR="00E805A5" w14:paraId="1CA3BDF0" w14:textId="77777777" w:rsidTr="004A6796">
        <w:tc>
          <w:tcPr>
            <w:tcW w:w="0" w:type="auto"/>
          </w:tcPr>
          <w:p w14:paraId="099BEB50" w14:textId="77777777" w:rsidR="00E805A5" w:rsidRDefault="00E805A5" w:rsidP="004A6796">
            <w:pPr>
              <w:pStyle w:val="Tabletext"/>
            </w:pPr>
            <w:r w:rsidRPr="000F441B">
              <w:t>Other degenerative diseases of the nervous system</w:t>
            </w:r>
          </w:p>
        </w:tc>
        <w:tc>
          <w:tcPr>
            <w:tcW w:w="0" w:type="auto"/>
            <w:vAlign w:val="bottom"/>
          </w:tcPr>
          <w:p w14:paraId="3D9F1CA7" w14:textId="77777777" w:rsidR="00E805A5" w:rsidRDefault="00E805A5" w:rsidP="004A6796">
            <w:pPr>
              <w:pStyle w:val="Tabletext"/>
            </w:pPr>
            <w:r w:rsidRPr="00D326B6">
              <w:t>561</w:t>
            </w:r>
          </w:p>
        </w:tc>
        <w:tc>
          <w:tcPr>
            <w:tcW w:w="0" w:type="auto"/>
            <w:vAlign w:val="bottom"/>
          </w:tcPr>
          <w:p w14:paraId="1C1AFC2D" w14:textId="77777777" w:rsidR="00E805A5" w:rsidRDefault="00E805A5" w:rsidP="004A6796">
            <w:pPr>
              <w:pStyle w:val="Tabletext"/>
            </w:pPr>
            <w:r w:rsidRPr="00D326B6">
              <w:t>977</w:t>
            </w:r>
          </w:p>
        </w:tc>
        <w:tc>
          <w:tcPr>
            <w:tcW w:w="0" w:type="auto"/>
            <w:vAlign w:val="bottom"/>
          </w:tcPr>
          <w:p w14:paraId="52490517" w14:textId="77777777" w:rsidR="00E805A5" w:rsidRDefault="00E805A5" w:rsidP="004A6796">
            <w:pPr>
              <w:pStyle w:val="Tabletext"/>
            </w:pPr>
            <w:r w:rsidRPr="00D326B6">
              <w:t>1,538</w:t>
            </w:r>
          </w:p>
        </w:tc>
        <w:tc>
          <w:tcPr>
            <w:tcW w:w="0" w:type="auto"/>
          </w:tcPr>
          <w:p w14:paraId="56552CC7" w14:textId="77777777" w:rsidR="00E805A5" w:rsidRDefault="00E805A5" w:rsidP="004A6796">
            <w:pPr>
              <w:pStyle w:val="Tabletext"/>
            </w:pPr>
            <w:r w:rsidRPr="00FE3B11">
              <w:t>3.50</w:t>
            </w:r>
          </w:p>
        </w:tc>
      </w:tr>
      <w:tr w:rsidR="00E805A5" w14:paraId="4AAA8083" w14:textId="77777777" w:rsidTr="004A6796">
        <w:tc>
          <w:tcPr>
            <w:tcW w:w="0" w:type="auto"/>
          </w:tcPr>
          <w:p w14:paraId="50BA6C64" w14:textId="77777777" w:rsidR="00E805A5" w:rsidRDefault="00E805A5" w:rsidP="004A6796">
            <w:pPr>
              <w:pStyle w:val="Tabletext"/>
            </w:pPr>
            <w:r w:rsidRPr="000F441B">
              <w:t>Fall</w:t>
            </w:r>
            <w:r>
              <w:t>s</w:t>
            </w:r>
          </w:p>
        </w:tc>
        <w:tc>
          <w:tcPr>
            <w:tcW w:w="0" w:type="auto"/>
            <w:vAlign w:val="bottom"/>
          </w:tcPr>
          <w:p w14:paraId="1ADD07C1" w14:textId="77777777" w:rsidR="00E805A5" w:rsidRDefault="00E805A5" w:rsidP="004A6796">
            <w:pPr>
              <w:pStyle w:val="Tabletext"/>
            </w:pPr>
            <w:r w:rsidRPr="00D326B6">
              <w:t>664</w:t>
            </w:r>
          </w:p>
        </w:tc>
        <w:tc>
          <w:tcPr>
            <w:tcW w:w="0" w:type="auto"/>
            <w:vAlign w:val="bottom"/>
          </w:tcPr>
          <w:p w14:paraId="2C7F3F45" w14:textId="77777777" w:rsidR="00E805A5" w:rsidRDefault="00E805A5" w:rsidP="004A6796">
            <w:pPr>
              <w:pStyle w:val="Tabletext"/>
            </w:pPr>
            <w:r w:rsidRPr="00D326B6">
              <w:t>688</w:t>
            </w:r>
          </w:p>
        </w:tc>
        <w:tc>
          <w:tcPr>
            <w:tcW w:w="0" w:type="auto"/>
            <w:vAlign w:val="bottom"/>
          </w:tcPr>
          <w:p w14:paraId="28AB10D6" w14:textId="77777777" w:rsidR="00E805A5" w:rsidRDefault="00E805A5" w:rsidP="004A6796">
            <w:pPr>
              <w:pStyle w:val="Tabletext"/>
            </w:pPr>
            <w:r w:rsidRPr="00D326B6">
              <w:t>1,352</w:t>
            </w:r>
          </w:p>
        </w:tc>
        <w:tc>
          <w:tcPr>
            <w:tcW w:w="0" w:type="auto"/>
          </w:tcPr>
          <w:p w14:paraId="45B1A241" w14:textId="77777777" w:rsidR="00E805A5" w:rsidRDefault="00E805A5" w:rsidP="004A6796">
            <w:pPr>
              <w:pStyle w:val="Tabletext"/>
            </w:pPr>
            <w:r w:rsidRPr="00FE3B11">
              <w:t>3.08</w:t>
            </w:r>
          </w:p>
        </w:tc>
      </w:tr>
      <w:tr w:rsidR="00E805A5" w14:paraId="77353B9E" w14:textId="77777777" w:rsidTr="004A6796">
        <w:tc>
          <w:tcPr>
            <w:tcW w:w="0" w:type="auto"/>
          </w:tcPr>
          <w:p w14:paraId="0A1106D2" w14:textId="77777777" w:rsidR="00E805A5" w:rsidRPr="000F441B" w:rsidRDefault="00E805A5" w:rsidP="004A6796">
            <w:pPr>
              <w:pStyle w:val="Tabletext"/>
            </w:pPr>
            <w:r w:rsidRPr="00D326B6">
              <w:t xml:space="preserve">Diabetes mellitus </w:t>
            </w:r>
          </w:p>
        </w:tc>
        <w:tc>
          <w:tcPr>
            <w:tcW w:w="0" w:type="auto"/>
            <w:vAlign w:val="bottom"/>
          </w:tcPr>
          <w:p w14:paraId="4A3F68FA" w14:textId="77777777" w:rsidR="00E805A5" w:rsidRPr="00D326B6" w:rsidRDefault="00E805A5" w:rsidP="004A6796">
            <w:pPr>
              <w:pStyle w:val="Tabletext"/>
            </w:pPr>
            <w:r w:rsidRPr="00D326B6">
              <w:t>674</w:t>
            </w:r>
          </w:p>
        </w:tc>
        <w:tc>
          <w:tcPr>
            <w:tcW w:w="0" w:type="auto"/>
            <w:vAlign w:val="bottom"/>
          </w:tcPr>
          <w:p w14:paraId="7DAB0B9E" w14:textId="77777777" w:rsidR="00E805A5" w:rsidRPr="00D326B6" w:rsidRDefault="00E805A5" w:rsidP="004A6796">
            <w:pPr>
              <w:pStyle w:val="Tabletext"/>
            </w:pPr>
            <w:r w:rsidRPr="00D326B6">
              <w:t>592</w:t>
            </w:r>
          </w:p>
        </w:tc>
        <w:tc>
          <w:tcPr>
            <w:tcW w:w="0" w:type="auto"/>
            <w:vAlign w:val="bottom"/>
          </w:tcPr>
          <w:p w14:paraId="25E9B392" w14:textId="77777777" w:rsidR="00E805A5" w:rsidRPr="00D326B6" w:rsidRDefault="00E805A5" w:rsidP="004A6796">
            <w:pPr>
              <w:pStyle w:val="Tabletext"/>
            </w:pPr>
            <w:r w:rsidRPr="00D326B6">
              <w:t>1,266</w:t>
            </w:r>
          </w:p>
        </w:tc>
        <w:tc>
          <w:tcPr>
            <w:tcW w:w="0" w:type="auto"/>
          </w:tcPr>
          <w:p w14:paraId="119AB598" w14:textId="77777777" w:rsidR="00E805A5" w:rsidRDefault="00E805A5" w:rsidP="004A6796">
            <w:pPr>
              <w:pStyle w:val="Tabletext"/>
            </w:pPr>
            <w:r w:rsidRPr="00FE3B11">
              <w:t>2.88</w:t>
            </w:r>
          </w:p>
        </w:tc>
      </w:tr>
    </w:tbl>
    <w:p w14:paraId="503D0D77" w14:textId="08AC640C" w:rsidR="00E805A5" w:rsidRPr="007F29A7" w:rsidRDefault="00E805A5" w:rsidP="00E805A5">
      <w:pPr>
        <w:pStyle w:val="Body"/>
      </w:pPr>
      <w:r>
        <w:t xml:space="preserve">Source: </w:t>
      </w:r>
      <w:hyperlink r:id="rId49" w:anchor="key-statistics" w:history="1">
        <w:r w:rsidR="00F86C5E" w:rsidRPr="001C33A2">
          <w:rPr>
            <w:rStyle w:val="Hyperlink"/>
          </w:rPr>
          <w:t xml:space="preserve">ABS </w:t>
        </w:r>
        <w:r w:rsidRPr="001C33A2">
          <w:rPr>
            <w:rStyle w:val="Hyperlink"/>
          </w:rPr>
          <w:t>2019, Causes of Death</w:t>
        </w:r>
      </w:hyperlink>
      <w:r w:rsidR="00BA1275">
        <w:t xml:space="preserve"> </w:t>
      </w:r>
      <w:r w:rsidR="00BA1275" w:rsidRPr="0051029A">
        <w:rPr>
          <w:rStyle w:val="Hyperlink"/>
          <w:color w:val="auto"/>
          <w:u w:val="none"/>
        </w:rPr>
        <w:t>Available at:</w:t>
      </w:r>
      <w:r w:rsidR="00BA1275" w:rsidRPr="00DF601C">
        <w:t xml:space="preserve"> </w:t>
      </w:r>
      <w:r w:rsidR="007F29A7">
        <w:rPr>
          <w:rStyle w:val="Hyperlink"/>
          <w:color w:val="auto"/>
          <w:u w:val="none"/>
        </w:rPr>
        <w:t>&lt;</w:t>
      </w:r>
      <w:r w:rsidR="007F29A7" w:rsidRPr="007F29A7">
        <w:rPr>
          <w:rStyle w:val="Hyperlink"/>
          <w:color w:val="auto"/>
          <w:u w:val="none"/>
        </w:rPr>
        <w:t>https://www.abs.gov.au/statistics/health/causes-death/causes-death-australia/2019#key-statistics</w:t>
      </w:r>
      <w:r w:rsidR="007F29A7">
        <w:rPr>
          <w:rStyle w:val="Hyperlink"/>
          <w:color w:val="auto"/>
          <w:u w:val="none"/>
        </w:rPr>
        <w:t>&gt;</w:t>
      </w:r>
      <w:r w:rsidR="00210168">
        <w:rPr>
          <w:rStyle w:val="Hyperlink"/>
          <w:color w:val="auto"/>
          <w:u w:val="none"/>
        </w:rPr>
        <w:t>.</w:t>
      </w:r>
    </w:p>
    <w:p w14:paraId="494705BF" w14:textId="77777777" w:rsidR="00E805A5" w:rsidRDefault="00E805A5" w:rsidP="00E805A5">
      <w:pPr>
        <w:pStyle w:val="Heading3"/>
      </w:pPr>
      <w:r>
        <w:t>Perinatal mortality</w:t>
      </w:r>
    </w:p>
    <w:p w14:paraId="44B43B8A" w14:textId="5FF2C71E" w:rsidR="00E805A5" w:rsidRDefault="00E805A5" w:rsidP="00E805A5">
      <w:pPr>
        <w:pStyle w:val="Body"/>
      </w:pPr>
      <w:r>
        <w:t xml:space="preserve">In 2019, 78,954 babies were born in Victoria, 433 more </w:t>
      </w:r>
      <w:r w:rsidR="00F86C5E">
        <w:t xml:space="preserve">births </w:t>
      </w:r>
      <w:r>
        <w:t xml:space="preserve">than in 2018. Of these </w:t>
      </w:r>
      <w:r w:rsidR="00F86C5E">
        <w:t xml:space="preserve">births </w:t>
      </w:r>
      <w:r>
        <w:t>there were 860 perinatal deaths, giving an adjusted perinatal mortality rate of 8.7 per 1</w:t>
      </w:r>
      <w:r w:rsidR="00F86C5E">
        <w:t>,</w:t>
      </w:r>
      <w:r>
        <w:t xml:space="preserve">000 births. This </w:t>
      </w:r>
      <w:r w:rsidR="00F86C5E">
        <w:t>wa</w:t>
      </w:r>
      <w:r>
        <w:t>s a slight increase from 8.6 per 1</w:t>
      </w:r>
      <w:r w:rsidR="00F86C5E">
        <w:t>,</w:t>
      </w:r>
      <w:r>
        <w:t xml:space="preserve">000 perinatal deaths in 2018 (CCOPMM, 2021). </w:t>
      </w:r>
    </w:p>
    <w:p w14:paraId="515CFE17" w14:textId="2F84FDB6" w:rsidR="00E805A5" w:rsidRDefault="00E805A5" w:rsidP="00E805A5">
      <w:pPr>
        <w:pStyle w:val="Body"/>
      </w:pPr>
      <w:r>
        <w:t xml:space="preserve">Congenital anomaly (including termination of pregnancy for congenital anomaly) </w:t>
      </w:r>
      <w:r w:rsidR="00F86C5E">
        <w:t>wa</w:t>
      </w:r>
      <w:r>
        <w:t>s the most common cause of death for adjusted stillbirths and neonatal deaths. Congenital anomaly account</w:t>
      </w:r>
      <w:r w:rsidR="00F86C5E">
        <w:t>ed</w:t>
      </w:r>
      <w:r>
        <w:t xml:space="preserve"> for 43 per cent of all adjusted perinatal deaths (CCOPMM, 2021). </w:t>
      </w:r>
    </w:p>
    <w:p w14:paraId="778C93D7" w14:textId="77777777" w:rsidR="00E805A5" w:rsidRDefault="00E805A5" w:rsidP="00E805A5">
      <w:pPr>
        <w:pStyle w:val="Heading3"/>
      </w:pPr>
      <w:r>
        <w:t>Intentional self-harm (suicides)</w:t>
      </w:r>
    </w:p>
    <w:p w14:paraId="671096FD" w14:textId="1C0606A3" w:rsidR="00E805A5" w:rsidRDefault="00E805A5" w:rsidP="00E805A5">
      <w:pPr>
        <w:pStyle w:val="Body"/>
      </w:pPr>
      <w:r>
        <w:t>In 2019</w:t>
      </w:r>
      <w:r w:rsidR="00F86C5E">
        <w:t>,</w:t>
      </w:r>
      <w:r>
        <w:t xml:space="preserve"> there were 717 deaths in Victoria due to intentional self-harm (suicides). Males accounted for 548 of these deaths (76.43 per cent) and females accounted for 169 (23.57 per cent) (</w:t>
      </w:r>
      <w:r w:rsidR="00453566">
        <w:t>ABS</w:t>
      </w:r>
      <w:r>
        <w:t xml:space="preserve">, 2019). </w:t>
      </w:r>
    </w:p>
    <w:p w14:paraId="027D59BB" w14:textId="24E8D3F9" w:rsidR="00E805A5" w:rsidRDefault="00E805A5" w:rsidP="00E805A5">
      <w:pPr>
        <w:pStyle w:val="Body"/>
      </w:pPr>
      <w:r>
        <w:t>For males, the age-standardised death rate from suicide was 16 per 100,000 persons in 2019, compared with a rate of 5.5 per 100,000 for females (</w:t>
      </w:r>
      <w:r w:rsidR="00453566">
        <w:t>ABS</w:t>
      </w:r>
      <w:r>
        <w:t>, 2019). The total age-standardised rate of deaths due to intentional self-harm was 10.7 per 100,000 persons for all Victorians (</w:t>
      </w:r>
      <w:r w:rsidR="00453566">
        <w:t>ABS</w:t>
      </w:r>
      <w:r>
        <w:t xml:space="preserve">, 2019). </w:t>
      </w:r>
    </w:p>
    <w:p w14:paraId="1DE80B0A" w14:textId="1D2E5078" w:rsidR="00E805A5" w:rsidRDefault="00E805A5" w:rsidP="00E805A5">
      <w:pPr>
        <w:pStyle w:val="Body"/>
      </w:pPr>
      <w:r>
        <w:t>For every suicide, there are many more people deeply affected including families, friends</w:t>
      </w:r>
      <w:r w:rsidR="00F86C5E">
        <w:t>,</w:t>
      </w:r>
      <w:r>
        <w:t xml:space="preserve"> and colleagues. </w:t>
      </w:r>
    </w:p>
    <w:p w14:paraId="0EA1DC3E" w14:textId="77777777" w:rsidR="00E805A5" w:rsidRDefault="00E805A5" w:rsidP="00E805A5">
      <w:pPr>
        <w:pStyle w:val="Heading4"/>
      </w:pPr>
      <w:r>
        <w:t>Crisis Helplines</w:t>
      </w:r>
    </w:p>
    <w:p w14:paraId="728AEAD2" w14:textId="77777777" w:rsidR="00E805A5" w:rsidRDefault="00E805A5" w:rsidP="00E805A5">
      <w:pPr>
        <w:pStyle w:val="Body"/>
      </w:pPr>
      <w:r>
        <w:t>Lifeline: 13 11 14</w:t>
      </w:r>
    </w:p>
    <w:p w14:paraId="565F7240" w14:textId="77777777" w:rsidR="00E805A5" w:rsidRDefault="00E805A5" w:rsidP="00E805A5">
      <w:pPr>
        <w:pStyle w:val="Body"/>
      </w:pPr>
      <w:r>
        <w:t>Suicide Call Back Service - 1300 659 467</w:t>
      </w:r>
    </w:p>
    <w:p w14:paraId="1BFE1FB4" w14:textId="082A0E23" w:rsidR="00E805A5" w:rsidRDefault="00E805A5" w:rsidP="00E805A5">
      <w:pPr>
        <w:pStyle w:val="Body"/>
      </w:pPr>
      <w:r>
        <w:t>Kids Helpline (for young people aged 5 to 25 years): 1800 55 1800</w:t>
      </w:r>
    </w:p>
    <w:p w14:paraId="7F1303A5" w14:textId="506D0FAF" w:rsidR="00E805A5" w:rsidRPr="004A4702" w:rsidRDefault="00E805A5" w:rsidP="00E805A5">
      <w:pPr>
        <w:pStyle w:val="Body"/>
        <w:rPr>
          <w:i/>
        </w:rPr>
      </w:pPr>
      <w:r w:rsidRPr="004A4702">
        <w:rPr>
          <w:i/>
        </w:rPr>
        <w:t>Note</w:t>
      </w:r>
      <w:r w:rsidR="004A4702" w:rsidRPr="004A4702">
        <w:rPr>
          <w:i/>
          <w:iCs/>
        </w:rPr>
        <w:t>:</w:t>
      </w:r>
      <w:r w:rsidRPr="004A4702">
        <w:rPr>
          <w:i/>
        </w:rPr>
        <w:t xml:space="preserve"> Care needs to be taken when interpreting Victorian Causes of death data for 2017, 2018, and 2019 due to an issue with death registrations – </w:t>
      </w:r>
      <w:bookmarkStart w:id="82" w:name="_Hlk121153374"/>
      <w:r w:rsidR="00C36B2A">
        <w:fldChar w:fldCharType="begin"/>
      </w:r>
      <w:r w:rsidR="00C36B2A">
        <w:instrText xml:space="preserve"> HYPERLINK "https://www.abs.gov.au/methodologies/causes-death-australia-methodology/2019" </w:instrText>
      </w:r>
      <w:r w:rsidR="00C36B2A">
        <w:fldChar w:fldCharType="separate"/>
      </w:r>
      <w:r w:rsidRPr="004A4702">
        <w:rPr>
          <w:rStyle w:val="Hyperlink"/>
          <w:i/>
          <w:iCs/>
        </w:rPr>
        <w:t>see technical note on the ABS website for further information</w:t>
      </w:r>
      <w:r w:rsidR="00C36B2A">
        <w:rPr>
          <w:rStyle w:val="Hyperlink"/>
          <w:i/>
          <w:iCs/>
        </w:rPr>
        <w:fldChar w:fldCharType="end"/>
      </w:r>
      <w:bookmarkEnd w:id="82"/>
      <w:r w:rsidRPr="004A4702">
        <w:rPr>
          <w:i/>
        </w:rPr>
        <w:t>.</w:t>
      </w:r>
      <w:r w:rsidR="007F29A7">
        <w:rPr>
          <w:i/>
        </w:rPr>
        <w:t xml:space="preserve"> </w:t>
      </w:r>
      <w:r w:rsidR="007F29A7" w:rsidRPr="007F29A7">
        <w:rPr>
          <w:iCs/>
        </w:rPr>
        <w:t>&lt;https://www.abs.gov.au/methodologies/causes-death-australia-methodology/2019</w:t>
      </w:r>
      <w:r w:rsidR="007F29A7">
        <w:rPr>
          <w:iCs/>
        </w:rPr>
        <w:t>&gt;</w:t>
      </w:r>
      <w:r w:rsidR="00210168">
        <w:rPr>
          <w:iCs/>
        </w:rPr>
        <w:t>.</w:t>
      </w:r>
    </w:p>
    <w:p w14:paraId="00FCAD3D" w14:textId="77777777" w:rsidR="00E805A5" w:rsidRPr="00504E65" w:rsidRDefault="00E805A5" w:rsidP="00E805A5">
      <w:pPr>
        <w:pStyle w:val="Heading3"/>
        <w:rPr>
          <w:szCs w:val="30"/>
        </w:rPr>
      </w:pPr>
      <w:r w:rsidRPr="64CFF3CB">
        <w:t>What the Victorian Government is doing</w:t>
      </w:r>
    </w:p>
    <w:p w14:paraId="788EAC70" w14:textId="76FE9F42" w:rsidR="00E805A5" w:rsidRDefault="00E805A5" w:rsidP="00E805A5">
      <w:pPr>
        <w:pStyle w:val="Body"/>
      </w:pPr>
      <w:r w:rsidRPr="00504E65">
        <w:rPr>
          <w:rFonts w:cs="Arial"/>
          <w:color w:val="2A2736"/>
        </w:rPr>
        <w:t>In addition to measures to support</w:t>
      </w:r>
      <w:r w:rsidRPr="00504E65">
        <w:t xml:space="preserve"> healthy eating and </w:t>
      </w:r>
      <w:hyperlink r:id="rId50" w:history="1">
        <w:r w:rsidRPr="00504E65">
          <w:rPr>
            <w:rStyle w:val="Hyperlink"/>
          </w:rPr>
          <w:t>active living</w:t>
        </w:r>
      </w:hyperlink>
      <w:r w:rsidRPr="00504E65">
        <w:t xml:space="preserve"> </w:t>
      </w:r>
      <w:r>
        <w:t xml:space="preserve"> &lt;</w:t>
      </w:r>
      <w:r w:rsidRPr="00461D97">
        <w:t>https://www.health.vic.gov.au/health-strategies/increasing-activ</w:t>
      </w:r>
      <w:r w:rsidRPr="00504E65">
        <w:rPr>
          <w:rFonts w:cs="Arial"/>
          <w:color w:val="2A2736"/>
        </w:rPr>
        <w:t>e-living&gt; the Victorian Government through VicHealth also funds programs and initiatives that cont</w:t>
      </w:r>
      <w:r>
        <w:t>ribute to</w:t>
      </w:r>
      <w:r w:rsidRPr="00210168">
        <w:rPr>
          <w:rStyle w:val="Hyperlink"/>
        </w:rPr>
        <w:t> </w:t>
      </w:r>
      <w:bookmarkStart w:id="83" w:name="_Hlk121153422"/>
      <w:r w:rsidR="00C36B2A" w:rsidRPr="00210168">
        <w:rPr>
          <w:rStyle w:val="Hyperlink"/>
        </w:rPr>
        <w:fldChar w:fldCharType="begin"/>
      </w:r>
      <w:r w:rsidR="00C36B2A" w:rsidRPr="00210168">
        <w:rPr>
          <w:rStyle w:val="Hyperlink"/>
        </w:rPr>
        <w:instrText xml:space="preserve"> HYPERLINK "https://www.vichealth.vic.gov.au/media-and-resources/publications/obesity-consensus" \t "_blank" </w:instrText>
      </w:r>
      <w:r w:rsidR="00C36B2A" w:rsidRPr="00210168">
        <w:rPr>
          <w:rStyle w:val="Hyperlink"/>
        </w:rPr>
      </w:r>
      <w:r w:rsidR="00C36B2A" w:rsidRPr="00210168">
        <w:rPr>
          <w:rStyle w:val="Hyperlink"/>
        </w:rPr>
        <w:fldChar w:fldCharType="separate"/>
      </w:r>
      <w:r w:rsidRPr="00210168">
        <w:rPr>
          <w:rStyle w:val="Hyperlink"/>
        </w:rPr>
        <w:t>obesity prevention</w:t>
      </w:r>
      <w:r w:rsidR="00C36B2A" w:rsidRPr="00210168">
        <w:rPr>
          <w:rStyle w:val="Hyperlink"/>
        </w:rPr>
        <w:fldChar w:fldCharType="end"/>
      </w:r>
      <w:bookmarkEnd w:id="83"/>
      <w:r w:rsidRPr="00504E65">
        <w:rPr>
          <w:rFonts w:cs="Arial"/>
          <w:color w:val="2A2736"/>
        </w:rPr>
        <w:t>.</w:t>
      </w:r>
      <w:r w:rsidR="00461D97">
        <w:rPr>
          <w:rFonts w:cs="Arial"/>
          <w:color w:val="2A2736"/>
        </w:rPr>
        <w:t xml:space="preserve"> &lt;</w:t>
      </w:r>
      <w:r w:rsidR="00461D97" w:rsidRPr="00461D97">
        <w:rPr>
          <w:rFonts w:cs="Arial"/>
          <w:color w:val="2A2736"/>
        </w:rPr>
        <w:t>https://www.vichealth.vic.gov.au/media-and-resources/publications/obesity-consensus</w:t>
      </w:r>
      <w:r w:rsidR="00461D97">
        <w:rPr>
          <w:rFonts w:cs="Arial"/>
          <w:color w:val="2A2736"/>
        </w:rPr>
        <w:t>&gt;</w:t>
      </w:r>
      <w:r w:rsidR="00103269">
        <w:rPr>
          <w:rFonts w:cs="Arial"/>
          <w:color w:val="2A2736"/>
        </w:rPr>
        <w:t>.</w:t>
      </w:r>
    </w:p>
    <w:p w14:paraId="6B583E58" w14:textId="77777777" w:rsidR="0021619D" w:rsidRDefault="0021619D" w:rsidP="0021619D">
      <w:pPr>
        <w:pStyle w:val="Heading2"/>
      </w:pPr>
      <w:r>
        <w:lastRenderedPageBreak/>
        <w:t>Smoking and vaping</w:t>
      </w:r>
    </w:p>
    <w:p w14:paraId="335CA0D1" w14:textId="77777777" w:rsidR="0021619D" w:rsidRDefault="0021619D" w:rsidP="0021619D">
      <w:pPr>
        <w:pStyle w:val="Body"/>
      </w:pPr>
      <w:r w:rsidRPr="00B34735">
        <w:t>Despite considerable progress in reducing smoking rates in Victoria, tobacco use remains the leading contributor to the burden of disease and premature death</w:t>
      </w:r>
      <w:r>
        <w:t>s</w:t>
      </w:r>
      <w:r w:rsidRPr="00B34735">
        <w:t>. </w:t>
      </w:r>
    </w:p>
    <w:p w14:paraId="03924CAB" w14:textId="2077521C" w:rsidR="0021619D" w:rsidRPr="004507BF" w:rsidRDefault="0021619D" w:rsidP="0021619D">
      <w:pPr>
        <w:pStyle w:val="Body"/>
      </w:pPr>
      <w:r w:rsidRPr="004507BF">
        <w:t xml:space="preserve">The proportion of Victorians who are </w:t>
      </w:r>
      <w:r w:rsidRPr="00E25C2D">
        <w:t>daily smokers</w:t>
      </w:r>
      <w:r w:rsidRPr="004507BF">
        <w:t xml:space="preserve"> continued to decline from 11.7</w:t>
      </w:r>
      <w:r>
        <w:t xml:space="preserve"> percent</w:t>
      </w:r>
      <w:r w:rsidRPr="004507BF">
        <w:t xml:space="preserve"> in 2016 to </w:t>
      </w:r>
      <w:r w:rsidRPr="00E25C2D">
        <w:t>10.2 percent in 2019</w:t>
      </w:r>
      <w:r w:rsidR="00E25C2D" w:rsidRPr="00E25C2D">
        <w:t>.</w:t>
      </w:r>
      <w:r w:rsidRPr="004507BF">
        <w:t xml:space="preserve"> This </w:t>
      </w:r>
      <w:r w:rsidR="00FE1CCF">
        <w:t xml:space="preserve">decline </w:t>
      </w:r>
      <w:r w:rsidRPr="004507BF">
        <w:t xml:space="preserve">coincided with an increase in </w:t>
      </w:r>
      <w:r w:rsidR="00FE1CCF">
        <w:t xml:space="preserve">the proportion of </w:t>
      </w:r>
      <w:r w:rsidRPr="004507BF">
        <w:t>Victorians using e-cigarette</w:t>
      </w:r>
      <w:r>
        <w:t>s, or vaping,</w:t>
      </w:r>
      <w:r w:rsidRPr="004507BF">
        <w:t xml:space="preserve"> </w:t>
      </w:r>
      <w:r w:rsidR="00FE1CCF">
        <w:t xml:space="preserve">which rose </w:t>
      </w:r>
      <w:r w:rsidRPr="004507BF">
        <w:t>from 0.9</w:t>
      </w:r>
      <w:r>
        <w:t xml:space="preserve"> per</w:t>
      </w:r>
      <w:r w:rsidR="00FE1CCF">
        <w:t xml:space="preserve"> </w:t>
      </w:r>
      <w:r>
        <w:t>cent</w:t>
      </w:r>
      <w:r w:rsidRPr="004507BF">
        <w:t xml:space="preserve"> in 2016 to 2.</w:t>
      </w:r>
      <w:r>
        <w:t>4 per</w:t>
      </w:r>
      <w:r w:rsidR="00FE1CCF">
        <w:t xml:space="preserve"> </w:t>
      </w:r>
      <w:r>
        <w:t>cent</w:t>
      </w:r>
      <w:r w:rsidRPr="004507BF">
        <w:t xml:space="preserve"> in 2019.</w:t>
      </w:r>
    </w:p>
    <w:p w14:paraId="1E93EE53" w14:textId="7A524AC5" w:rsidR="0021619D" w:rsidRPr="00D3146B" w:rsidRDefault="0021619D" w:rsidP="0021619D">
      <w:pPr>
        <w:pStyle w:val="Body"/>
      </w:pPr>
      <w:r w:rsidRPr="00B34735">
        <w:t>Smoking increases the risk of lung cancer, cardiovascular disease, chronic obstructive pulmonary disease</w:t>
      </w:r>
      <w:r w:rsidR="00FE1CCF">
        <w:t>,</w:t>
      </w:r>
      <w:r w:rsidRPr="00B34735">
        <w:t xml:space="preserve"> and many other illnesses</w:t>
      </w:r>
      <w:r w:rsidR="00FE1CCF">
        <w:t>. E</w:t>
      </w:r>
      <w:r w:rsidRPr="00B34735">
        <w:t>vidence suggests that smoking kills almost two</w:t>
      </w:r>
      <w:r w:rsidR="00FE1CCF">
        <w:t>-</w:t>
      </w:r>
      <w:r w:rsidRPr="00B34735">
        <w:t>in</w:t>
      </w:r>
      <w:r w:rsidR="00FE1CCF">
        <w:t>-</w:t>
      </w:r>
      <w:r w:rsidRPr="00B34735">
        <w:t>three regular users.</w:t>
      </w:r>
      <w:r w:rsidRPr="00D3146B">
        <w:t xml:space="preserve"> </w:t>
      </w:r>
      <w:r w:rsidRPr="00B34735">
        <w:t>Smokers die on average 10 years younger than non-smokers</w:t>
      </w:r>
      <w:r w:rsidRPr="00D3146B">
        <w:t xml:space="preserve"> </w:t>
      </w:r>
      <w:r>
        <w:t>(</w:t>
      </w:r>
      <w:r w:rsidRPr="00B34735">
        <w:t xml:space="preserve">Banks </w:t>
      </w:r>
      <w:r w:rsidRPr="00B37D67">
        <w:t>et al</w:t>
      </w:r>
      <w:r w:rsidR="00FE1CCF">
        <w:t>,</w:t>
      </w:r>
      <w:r w:rsidRPr="00B34735">
        <w:t xml:space="preserve"> 2015)</w:t>
      </w:r>
      <w:r w:rsidRPr="00D3146B">
        <w:t>.</w:t>
      </w:r>
    </w:p>
    <w:p w14:paraId="2C2AB474" w14:textId="2BF7EDC0" w:rsidR="0021619D" w:rsidRPr="004507BF" w:rsidRDefault="0021619D" w:rsidP="0021619D">
      <w:pPr>
        <w:pStyle w:val="Body"/>
      </w:pPr>
      <w:r w:rsidRPr="00B34735">
        <w:t>Smoking is responsible for approximately 8.</w:t>
      </w:r>
      <w:r w:rsidRPr="00D87828">
        <w:rPr>
          <w:rStyle w:val="BodyChar"/>
        </w:rPr>
        <w:t>6 per cent of the disease</w:t>
      </w:r>
      <w:r w:rsidRPr="00B34735">
        <w:t xml:space="preserve"> burden and almost 13</w:t>
      </w:r>
      <w:r w:rsidRPr="00D87828">
        <w:t xml:space="preserve"> </w:t>
      </w:r>
      <w:r w:rsidRPr="00D87828">
        <w:rPr>
          <w:rStyle w:val="BodyChar"/>
        </w:rPr>
        <w:t>per cent</w:t>
      </w:r>
      <w:r w:rsidRPr="00B34735">
        <w:t xml:space="preserve"> of deaths in Australia</w:t>
      </w:r>
      <w:r>
        <w:t>.</w:t>
      </w:r>
      <w:r w:rsidRPr="00B34735">
        <w:t xml:space="preserve"> </w:t>
      </w:r>
      <w:r w:rsidRPr="00D80361">
        <w:t xml:space="preserve">Smoking contributes to 21.5 per cent of the cancer burden and 39.3 per </w:t>
      </w:r>
      <w:r w:rsidR="00AB25A6">
        <w:t xml:space="preserve">cent </w:t>
      </w:r>
      <w:r w:rsidRPr="00D80361">
        <w:t xml:space="preserve">of the respiratory disease burden </w:t>
      </w:r>
      <w:r w:rsidRPr="00B34735">
        <w:t>(Australian Burden of Disease Study</w:t>
      </w:r>
      <w:r w:rsidR="00FE1CCF">
        <w:t>,</w:t>
      </w:r>
      <w:r w:rsidRPr="00B34735">
        <w:t xml:space="preserve"> 2018). </w:t>
      </w:r>
      <w:r w:rsidRPr="004507BF">
        <w:t xml:space="preserve"> </w:t>
      </w:r>
    </w:p>
    <w:p w14:paraId="7D5998DC" w14:textId="6340034F" w:rsidR="0021619D" w:rsidRPr="007B3881" w:rsidRDefault="0021619D" w:rsidP="0021619D">
      <w:pPr>
        <w:pStyle w:val="Body"/>
      </w:pPr>
      <w:r w:rsidRPr="0075525C">
        <w:t xml:space="preserve">While the long-term harms </w:t>
      </w:r>
      <w:r>
        <w:t>are</w:t>
      </w:r>
      <w:r w:rsidRPr="0075525C">
        <w:t xml:space="preserve"> not </w:t>
      </w:r>
      <w:r>
        <w:t>yet</w:t>
      </w:r>
      <w:r w:rsidRPr="0075525C">
        <w:t xml:space="preserve"> known, </w:t>
      </w:r>
      <w:r w:rsidRPr="004D47BB">
        <w:t xml:space="preserve">there is increasing evidence that the use of e-cigarettes, with or without nicotine, can </w:t>
      </w:r>
      <w:r w:rsidR="00FE1CCF">
        <w:t xml:space="preserve">also </w:t>
      </w:r>
      <w:r w:rsidRPr="004D47BB">
        <w:t>lead to adverse health impacts</w:t>
      </w:r>
      <w:r>
        <w:rPr>
          <w:rFonts w:cs="Arial"/>
          <w:color w:val="2A2736"/>
        </w:rPr>
        <w:t xml:space="preserve">. </w:t>
      </w:r>
      <w:r w:rsidRPr="00481FFF">
        <w:t>Numerous potentially hazardous substances and particulate matter have been identified in the emissions from e</w:t>
      </w:r>
      <w:r>
        <w:noBreakHyphen/>
      </w:r>
      <w:r w:rsidRPr="00481FFF">
        <w:t xml:space="preserve">cigarettes that are likely to cause diseases such </w:t>
      </w:r>
      <w:r w:rsidR="00AB25A6">
        <w:t xml:space="preserve">as </w:t>
      </w:r>
      <w:r w:rsidRPr="00481FFF">
        <w:t>cancer and respiratory disease.  </w:t>
      </w:r>
    </w:p>
    <w:p w14:paraId="17ACF622" w14:textId="537562A9" w:rsidR="00495C9F" w:rsidRDefault="00495C9F" w:rsidP="00B24E70">
      <w:pPr>
        <w:pStyle w:val="Heading2"/>
      </w:pPr>
      <w:bookmarkStart w:id="84" w:name="_Toc116981337"/>
      <w:r>
        <w:t>Overweight and obesity</w:t>
      </w:r>
      <w:bookmarkEnd w:id="84"/>
    </w:p>
    <w:p w14:paraId="6F184153" w14:textId="17E4CA97" w:rsidR="00FE1CCF" w:rsidRDefault="00B663C3" w:rsidP="00B663C3">
      <w:r w:rsidRPr="0086510B">
        <w:t xml:space="preserve">Overweight and obesity </w:t>
      </w:r>
      <w:r w:rsidR="3B2751C0">
        <w:t>wa</w:t>
      </w:r>
      <w:r w:rsidRPr="0086510B">
        <w:t xml:space="preserve">s the second leading cause of modifiable disease burden in Australia in 2018, </w:t>
      </w:r>
      <w:r w:rsidR="00FE1CCF">
        <w:t xml:space="preserve">accounting for </w:t>
      </w:r>
      <w:r w:rsidRPr="0086510B">
        <w:t>8.4</w:t>
      </w:r>
      <w:r w:rsidR="00AA6EB8" w:rsidRPr="00AA6EB8">
        <w:t xml:space="preserve"> </w:t>
      </w:r>
      <w:r w:rsidR="00AA6EB8">
        <w:t>per cent</w:t>
      </w:r>
      <w:r w:rsidRPr="0086510B">
        <w:t xml:space="preserve"> of all disease burden. </w:t>
      </w:r>
    </w:p>
    <w:p w14:paraId="2798D266" w14:textId="3F3CCF82" w:rsidR="00B663C3" w:rsidRPr="0086510B" w:rsidRDefault="00B663C3" w:rsidP="00B663C3">
      <w:r w:rsidRPr="0086510B">
        <w:t>Overweight (including obesity) contributed to 10</w:t>
      </w:r>
      <w:r w:rsidR="00AA6EB8" w:rsidRPr="00AA6EB8">
        <w:t xml:space="preserve"> </w:t>
      </w:r>
      <w:r w:rsidR="00AA6EB8">
        <w:t>per cent</w:t>
      </w:r>
      <w:r w:rsidRPr="0086510B">
        <w:t xml:space="preserve"> of deaths, 9.6</w:t>
      </w:r>
      <w:r w:rsidR="00AA6EB8" w:rsidRPr="00AA6EB8">
        <w:t xml:space="preserve"> </w:t>
      </w:r>
      <w:r w:rsidR="00AA6EB8">
        <w:t>per cent</w:t>
      </w:r>
      <w:r w:rsidRPr="0086510B">
        <w:t xml:space="preserve"> of fatal burden and 7.4</w:t>
      </w:r>
      <w:r w:rsidR="00AA6EB8" w:rsidRPr="00AA6EB8">
        <w:t xml:space="preserve"> </w:t>
      </w:r>
      <w:r w:rsidR="00AA6EB8">
        <w:t>per cent</w:t>
      </w:r>
      <w:r w:rsidRPr="0086510B">
        <w:t xml:space="preserve"> of non-fatal burden (</w:t>
      </w:r>
      <w:r w:rsidR="00453566">
        <w:t>AIHW,</w:t>
      </w:r>
      <w:r w:rsidRPr="0086510B">
        <w:t xml:space="preserve"> 2021).</w:t>
      </w:r>
    </w:p>
    <w:p w14:paraId="2CCC4DF3" w14:textId="1CA36D8F" w:rsidR="00B663C3" w:rsidRPr="0086510B" w:rsidRDefault="00B663C3" w:rsidP="00B663C3">
      <w:pPr>
        <w:pStyle w:val="Body"/>
      </w:pPr>
      <w:r w:rsidRPr="0086510B">
        <w:t>Overweight and obesity are significant risk factors for hypertension, cardiovascular disease, type 2 diabetes, gallbladder disease, musculoskeletal disorders, some cancers (endometrial, breast and bowel), psychological disorders</w:t>
      </w:r>
      <w:r w:rsidR="00FE1CCF">
        <w:t>,</w:t>
      </w:r>
      <w:r w:rsidRPr="0086510B">
        <w:t xml:space="preserve"> and breathing difficulties (</w:t>
      </w:r>
      <w:r w:rsidR="00453566">
        <w:t>WHO,</w:t>
      </w:r>
      <w:r w:rsidRPr="0086510B">
        <w:t xml:space="preserve"> 2013).  </w:t>
      </w:r>
    </w:p>
    <w:p w14:paraId="5207222E" w14:textId="353E45C1" w:rsidR="007F36E9" w:rsidRDefault="002C00C2" w:rsidP="00F13750">
      <w:pPr>
        <w:pStyle w:val="Body"/>
      </w:pPr>
      <w:r>
        <w:t>In Victoria</w:t>
      </w:r>
      <w:r w:rsidR="00E17017">
        <w:t xml:space="preserve">, the proportion of adults who were overweight </w:t>
      </w:r>
      <w:r w:rsidR="003E7F71">
        <w:t xml:space="preserve">in 2019 </w:t>
      </w:r>
      <w:r w:rsidR="00E17017">
        <w:t>was 51.6</w:t>
      </w:r>
      <w:r w:rsidR="00FE1CCF">
        <w:t xml:space="preserve"> per cent</w:t>
      </w:r>
      <w:r w:rsidR="00E17017">
        <w:t xml:space="preserve">. </w:t>
      </w:r>
      <w:r w:rsidR="00A12E79">
        <w:t xml:space="preserve">Chapter 8, </w:t>
      </w:r>
      <w:r w:rsidR="0064663A" w:rsidRPr="00C10E10">
        <w:t>Table 2 shows t</w:t>
      </w:r>
      <w:r w:rsidR="00FE1CCF" w:rsidRPr="00C10E10">
        <w:t>he p</w:t>
      </w:r>
      <w:r w:rsidR="00C67006" w:rsidRPr="00C10E10">
        <w:t>roportion</w:t>
      </w:r>
      <w:r w:rsidR="00A04DD0" w:rsidRPr="00C10E10">
        <w:t xml:space="preserve"> of </w:t>
      </w:r>
      <w:r w:rsidR="00C16D63" w:rsidRPr="00C10E10">
        <w:t xml:space="preserve">men </w:t>
      </w:r>
      <w:r w:rsidR="00C67006" w:rsidRPr="00C10E10">
        <w:t xml:space="preserve">overweight </w:t>
      </w:r>
      <w:r w:rsidR="00D87A1C" w:rsidRPr="00C10E10">
        <w:t>and/</w:t>
      </w:r>
      <w:r w:rsidR="00C67006" w:rsidRPr="00C10E10">
        <w:t>or obese</w:t>
      </w:r>
      <w:r w:rsidR="009A7F37" w:rsidRPr="00C10E10">
        <w:t xml:space="preserve"> </w:t>
      </w:r>
      <w:r w:rsidR="00FE1CCF" w:rsidRPr="00C10E10">
        <w:t xml:space="preserve">was </w:t>
      </w:r>
      <w:r w:rsidR="009A7F37" w:rsidRPr="00C10E10">
        <w:t>significantly higher</w:t>
      </w:r>
      <w:r w:rsidR="00D87A1C" w:rsidRPr="00C10E10">
        <w:t>,</w:t>
      </w:r>
      <w:r w:rsidR="009A7F37" w:rsidRPr="00C10E10">
        <w:t xml:space="preserve"> compared w</w:t>
      </w:r>
      <w:r w:rsidR="009A7F37">
        <w:t>ith wome</w:t>
      </w:r>
      <w:r w:rsidR="009A7F37" w:rsidRPr="00706AD8">
        <w:t>n</w:t>
      </w:r>
      <w:r w:rsidR="0064663A" w:rsidRPr="00706AD8">
        <w:t>.</w:t>
      </w:r>
      <w:r w:rsidR="009A7F37">
        <w:t xml:space="preserve"> </w:t>
      </w:r>
      <w:r w:rsidR="00A75BEB">
        <w:t>Rates of</w:t>
      </w:r>
      <w:r w:rsidR="00CE58A1">
        <w:t xml:space="preserve"> obes</w:t>
      </w:r>
      <w:r w:rsidR="00A75BEB">
        <w:t>ity</w:t>
      </w:r>
      <w:r w:rsidR="00CE58A1">
        <w:t xml:space="preserve"> </w:t>
      </w:r>
      <w:r w:rsidR="00FE1CCF">
        <w:t>we</w:t>
      </w:r>
      <w:r w:rsidR="00A75BEB">
        <w:t>re also</w:t>
      </w:r>
      <w:r w:rsidR="00CE58A1">
        <w:t xml:space="preserve"> higher among people who did not complete high school or who rented their home, compared with the proportion in all Victorian adults</w:t>
      </w:r>
      <w:r w:rsidR="00D87A1C">
        <w:t xml:space="preserve"> (VAHI, 2019).</w:t>
      </w:r>
    </w:p>
    <w:p w14:paraId="0B01010B" w14:textId="4FFD51E2" w:rsidR="009265A3" w:rsidRDefault="00210168" w:rsidP="00CE1304">
      <w:pPr>
        <w:pStyle w:val="Body"/>
        <w:spacing w:after="0" w:line="240" w:lineRule="auto"/>
        <w:rPr>
          <w:b/>
          <w:bCs/>
        </w:rPr>
      </w:pPr>
      <w:r>
        <w:rPr>
          <w:b/>
        </w:rPr>
        <w:t xml:space="preserve">Chapter 8, </w:t>
      </w:r>
      <w:r w:rsidR="009265A3" w:rsidRPr="00706AD8">
        <w:rPr>
          <w:b/>
        </w:rPr>
        <w:t>Table</w:t>
      </w:r>
      <w:r w:rsidR="009265A3">
        <w:rPr>
          <w:b/>
        </w:rPr>
        <w:t xml:space="preserve"> </w:t>
      </w:r>
      <w:r w:rsidR="00E6241C" w:rsidRPr="00706AD8">
        <w:rPr>
          <w:b/>
          <w:bCs/>
        </w:rPr>
        <w:t>2</w:t>
      </w:r>
      <w:r w:rsidR="009265A3" w:rsidRPr="00706AD8">
        <w:rPr>
          <w:b/>
        </w:rPr>
        <w:t>.</w:t>
      </w:r>
      <w:r w:rsidR="009265A3" w:rsidRPr="00296A6D">
        <w:rPr>
          <w:b/>
          <w:bCs/>
        </w:rPr>
        <w:t xml:space="preserve"> Proportion </w:t>
      </w:r>
      <w:r w:rsidR="00296A6D" w:rsidRPr="00296A6D">
        <w:rPr>
          <w:b/>
          <w:bCs/>
        </w:rPr>
        <w:t>of overweight and obese Victorian adults (aged 18 and over)</w:t>
      </w:r>
    </w:p>
    <w:p w14:paraId="2B8F2887" w14:textId="77777777" w:rsidR="00A7272C" w:rsidRPr="00CE1304" w:rsidRDefault="00A7272C" w:rsidP="00CE1304">
      <w:pPr>
        <w:rPr>
          <w:szCs w:val="21"/>
        </w:rPr>
      </w:pPr>
      <w:r w:rsidRPr="00CE1304">
        <w:rPr>
          <w:rFonts w:eastAsia="Arial" w:cs="Arial"/>
          <w:szCs w:val="21"/>
        </w:rPr>
        <w:t>(See Appendix A, Chapter 8, Table 1 for accessible table content)</w:t>
      </w:r>
    </w:p>
    <w:tbl>
      <w:tblPr>
        <w:tblStyle w:val="TableGrid"/>
        <w:tblW w:w="0" w:type="auto"/>
        <w:tblLook w:val="04A0" w:firstRow="1" w:lastRow="0" w:firstColumn="1" w:lastColumn="0" w:noHBand="0" w:noVBand="1"/>
      </w:tblPr>
      <w:tblGrid>
        <w:gridCol w:w="2492"/>
        <w:gridCol w:w="2141"/>
        <w:gridCol w:w="2275"/>
        <w:gridCol w:w="2380"/>
      </w:tblGrid>
      <w:tr w:rsidR="00E908D1" w14:paraId="2C96973B" w14:textId="77777777" w:rsidTr="00E908D1">
        <w:tc>
          <w:tcPr>
            <w:tcW w:w="2492" w:type="dxa"/>
          </w:tcPr>
          <w:p w14:paraId="71704CB1" w14:textId="6A1216D3" w:rsidR="00E908D1" w:rsidRPr="00A7272C" w:rsidRDefault="00E908D1" w:rsidP="00E908D1">
            <w:pPr>
              <w:pStyle w:val="Body"/>
              <w:rPr>
                <w:b/>
                <w:bCs/>
              </w:rPr>
            </w:pPr>
            <w:r w:rsidRPr="00A7272C">
              <w:rPr>
                <w:b/>
                <w:bCs/>
              </w:rPr>
              <w:t>Body mass index</w:t>
            </w:r>
            <w:r w:rsidR="009C30DD" w:rsidRPr="00A7272C">
              <w:rPr>
                <w:b/>
                <w:bCs/>
              </w:rPr>
              <w:t xml:space="preserve"> (BMI)</w:t>
            </w:r>
          </w:p>
        </w:tc>
        <w:tc>
          <w:tcPr>
            <w:tcW w:w="2141" w:type="dxa"/>
          </w:tcPr>
          <w:p w14:paraId="7BCFFBAC" w14:textId="5AE1BFE7" w:rsidR="00E908D1" w:rsidRPr="00A7272C" w:rsidRDefault="00E908D1" w:rsidP="00E908D1">
            <w:pPr>
              <w:pStyle w:val="Body"/>
              <w:rPr>
                <w:b/>
                <w:bCs/>
              </w:rPr>
            </w:pPr>
            <w:r w:rsidRPr="00A7272C">
              <w:rPr>
                <w:b/>
                <w:bCs/>
              </w:rPr>
              <w:t>Men</w:t>
            </w:r>
          </w:p>
        </w:tc>
        <w:tc>
          <w:tcPr>
            <w:tcW w:w="2275" w:type="dxa"/>
          </w:tcPr>
          <w:p w14:paraId="7C3B1E4E" w14:textId="218BEBEB" w:rsidR="00E908D1" w:rsidRPr="00A7272C" w:rsidRDefault="00E908D1" w:rsidP="00E908D1">
            <w:pPr>
              <w:pStyle w:val="Body"/>
              <w:rPr>
                <w:b/>
                <w:bCs/>
              </w:rPr>
            </w:pPr>
            <w:r w:rsidRPr="00A7272C">
              <w:rPr>
                <w:b/>
                <w:bCs/>
              </w:rPr>
              <w:t>Women</w:t>
            </w:r>
          </w:p>
        </w:tc>
        <w:tc>
          <w:tcPr>
            <w:tcW w:w="2380" w:type="dxa"/>
          </w:tcPr>
          <w:p w14:paraId="030687DB" w14:textId="5EDC099A" w:rsidR="00E908D1" w:rsidRPr="00A7272C" w:rsidRDefault="00E908D1" w:rsidP="00E908D1">
            <w:pPr>
              <w:pStyle w:val="Body"/>
              <w:rPr>
                <w:b/>
                <w:bCs/>
              </w:rPr>
            </w:pPr>
            <w:r w:rsidRPr="00A7272C">
              <w:rPr>
                <w:b/>
                <w:bCs/>
              </w:rPr>
              <w:t xml:space="preserve">Overall </w:t>
            </w:r>
          </w:p>
        </w:tc>
      </w:tr>
      <w:tr w:rsidR="00E908D1" w14:paraId="339544FB" w14:textId="77777777" w:rsidTr="00E908D1">
        <w:tc>
          <w:tcPr>
            <w:tcW w:w="2492" w:type="dxa"/>
          </w:tcPr>
          <w:p w14:paraId="28346E88" w14:textId="60F42FC6" w:rsidR="00E908D1" w:rsidRPr="00A7272C" w:rsidRDefault="00E908D1" w:rsidP="00F13750">
            <w:pPr>
              <w:pStyle w:val="Body"/>
            </w:pPr>
            <w:r w:rsidRPr="00A7272C">
              <w:t>Overweight</w:t>
            </w:r>
            <w:r w:rsidR="004F1B48" w:rsidRPr="00A7272C">
              <w:t xml:space="preserve"> </w:t>
            </w:r>
            <w:r w:rsidRPr="00A7272C">
              <w:t>(BMI ≥ 25 kg/m</w:t>
            </w:r>
            <w:r w:rsidRPr="00A7272C">
              <w:rPr>
                <w:vertAlign w:val="superscript"/>
              </w:rPr>
              <w:t>2</w:t>
            </w:r>
            <w:r w:rsidRPr="00A7272C">
              <w:t>)</w:t>
            </w:r>
          </w:p>
        </w:tc>
        <w:tc>
          <w:tcPr>
            <w:tcW w:w="2141" w:type="dxa"/>
          </w:tcPr>
          <w:p w14:paraId="5B9E4640" w14:textId="1DA10D23" w:rsidR="00E908D1" w:rsidRDefault="00D45FE5" w:rsidP="00F13750">
            <w:pPr>
              <w:pStyle w:val="Body"/>
            </w:pPr>
            <w:r>
              <w:t>58.6</w:t>
            </w:r>
            <w:r w:rsidR="001146C0">
              <w:t>%</w:t>
            </w:r>
          </w:p>
        </w:tc>
        <w:tc>
          <w:tcPr>
            <w:tcW w:w="2275" w:type="dxa"/>
          </w:tcPr>
          <w:p w14:paraId="7E811572" w14:textId="3EB65951" w:rsidR="00E908D1" w:rsidRDefault="00D45FE5" w:rsidP="00F13750">
            <w:pPr>
              <w:pStyle w:val="Body"/>
            </w:pPr>
            <w:r>
              <w:t>44.9</w:t>
            </w:r>
            <w:r w:rsidR="001146C0">
              <w:t>%</w:t>
            </w:r>
          </w:p>
        </w:tc>
        <w:tc>
          <w:tcPr>
            <w:tcW w:w="2380" w:type="dxa"/>
          </w:tcPr>
          <w:p w14:paraId="39209F8A" w14:textId="69B1B318" w:rsidR="00E908D1" w:rsidRDefault="00D45FE5" w:rsidP="00F13750">
            <w:pPr>
              <w:pStyle w:val="Body"/>
            </w:pPr>
            <w:r>
              <w:t>51.6</w:t>
            </w:r>
            <w:r w:rsidR="001146C0">
              <w:t>%</w:t>
            </w:r>
          </w:p>
        </w:tc>
      </w:tr>
      <w:tr w:rsidR="00E908D1" w14:paraId="6FBD70ED" w14:textId="77777777" w:rsidTr="00E908D1">
        <w:tc>
          <w:tcPr>
            <w:tcW w:w="2492" w:type="dxa"/>
          </w:tcPr>
          <w:p w14:paraId="00840E7B" w14:textId="2509F59C" w:rsidR="00E908D1" w:rsidRPr="00A7272C" w:rsidRDefault="004F1B48" w:rsidP="00F13750">
            <w:pPr>
              <w:pStyle w:val="Body"/>
            </w:pPr>
            <w:r w:rsidRPr="00A7272C">
              <w:t>Overweight, but not obese (25 ≥ BMI &lt; 30 kg/m</w:t>
            </w:r>
            <w:r w:rsidRPr="00A7272C">
              <w:rPr>
                <w:vertAlign w:val="superscript"/>
              </w:rPr>
              <w:t>2</w:t>
            </w:r>
            <w:r w:rsidRPr="00A7272C">
              <w:t>)</w:t>
            </w:r>
          </w:p>
        </w:tc>
        <w:tc>
          <w:tcPr>
            <w:tcW w:w="2141" w:type="dxa"/>
          </w:tcPr>
          <w:p w14:paraId="5798E4FC" w14:textId="3C489FC1" w:rsidR="00E908D1" w:rsidRDefault="00E6315C" w:rsidP="00F13750">
            <w:pPr>
              <w:pStyle w:val="Body"/>
            </w:pPr>
            <w:r>
              <w:t>37.9</w:t>
            </w:r>
            <w:r w:rsidR="001146C0">
              <w:t>%</w:t>
            </w:r>
          </w:p>
        </w:tc>
        <w:tc>
          <w:tcPr>
            <w:tcW w:w="2275" w:type="dxa"/>
          </w:tcPr>
          <w:p w14:paraId="652C281F" w14:textId="748D3D22" w:rsidR="00E908D1" w:rsidRDefault="00E6315C" w:rsidP="00F13750">
            <w:pPr>
              <w:pStyle w:val="Body"/>
            </w:pPr>
            <w:r>
              <w:t>25.2</w:t>
            </w:r>
            <w:r w:rsidR="001146C0">
              <w:t>%</w:t>
            </w:r>
          </w:p>
        </w:tc>
        <w:tc>
          <w:tcPr>
            <w:tcW w:w="2380" w:type="dxa"/>
          </w:tcPr>
          <w:p w14:paraId="6A0C2A3E" w14:textId="61309DBF" w:rsidR="00E908D1" w:rsidRDefault="00E6315C" w:rsidP="00F13750">
            <w:pPr>
              <w:pStyle w:val="Body"/>
            </w:pPr>
            <w:r>
              <w:t>31.3</w:t>
            </w:r>
            <w:r w:rsidR="001146C0">
              <w:t>%</w:t>
            </w:r>
          </w:p>
        </w:tc>
      </w:tr>
      <w:tr w:rsidR="00E908D1" w14:paraId="2FCFB24F" w14:textId="77777777" w:rsidTr="00E908D1">
        <w:tc>
          <w:tcPr>
            <w:tcW w:w="2492" w:type="dxa"/>
          </w:tcPr>
          <w:p w14:paraId="737AEABA" w14:textId="42687E45" w:rsidR="00E908D1" w:rsidRPr="00A7272C" w:rsidRDefault="00E6315C" w:rsidP="00F13750">
            <w:pPr>
              <w:pStyle w:val="Body"/>
            </w:pPr>
            <w:r w:rsidRPr="00A7272C">
              <w:t>O</w:t>
            </w:r>
            <w:r w:rsidR="00E908D1" w:rsidRPr="00A7272C">
              <w:t>bese</w:t>
            </w:r>
          </w:p>
        </w:tc>
        <w:tc>
          <w:tcPr>
            <w:tcW w:w="2141" w:type="dxa"/>
          </w:tcPr>
          <w:p w14:paraId="381140D7" w14:textId="49258043" w:rsidR="00E908D1" w:rsidRDefault="001146C0" w:rsidP="00F13750">
            <w:pPr>
              <w:pStyle w:val="Body"/>
            </w:pPr>
            <w:r>
              <w:t>20.7%</w:t>
            </w:r>
          </w:p>
        </w:tc>
        <w:tc>
          <w:tcPr>
            <w:tcW w:w="2275" w:type="dxa"/>
          </w:tcPr>
          <w:p w14:paraId="4D8BD8B5" w14:textId="696F30D8" w:rsidR="00E908D1" w:rsidRDefault="001146C0" w:rsidP="00F13750">
            <w:pPr>
              <w:pStyle w:val="Body"/>
            </w:pPr>
            <w:r>
              <w:t>19.8%</w:t>
            </w:r>
          </w:p>
        </w:tc>
        <w:tc>
          <w:tcPr>
            <w:tcW w:w="2380" w:type="dxa"/>
          </w:tcPr>
          <w:p w14:paraId="09056A67" w14:textId="21209629" w:rsidR="00E908D1" w:rsidRDefault="00E6315C" w:rsidP="00F13750">
            <w:pPr>
              <w:pStyle w:val="Body"/>
            </w:pPr>
            <w:r>
              <w:t>20.3</w:t>
            </w:r>
            <w:r w:rsidR="001146C0">
              <w:t>%</w:t>
            </w:r>
          </w:p>
        </w:tc>
      </w:tr>
      <w:tr w:rsidR="006D2B0D" w14:paraId="6B079DF1" w14:textId="77777777" w:rsidTr="00E908D1">
        <w:tc>
          <w:tcPr>
            <w:tcW w:w="2492" w:type="dxa"/>
          </w:tcPr>
          <w:p w14:paraId="736B3747" w14:textId="406D7C91" w:rsidR="006D2B0D" w:rsidRPr="00A7272C" w:rsidRDefault="00C734ED" w:rsidP="00F13750">
            <w:pPr>
              <w:pStyle w:val="Body"/>
            </w:pPr>
            <w:r w:rsidRPr="00A7272C">
              <w:t>Normal weight (BMI 18.5–25 kg/m</w:t>
            </w:r>
            <w:r w:rsidRPr="00A7272C">
              <w:rPr>
                <w:vertAlign w:val="superscript"/>
              </w:rPr>
              <w:t>2</w:t>
            </w:r>
            <w:r w:rsidRPr="00A7272C">
              <w:t>)</w:t>
            </w:r>
          </w:p>
        </w:tc>
        <w:tc>
          <w:tcPr>
            <w:tcW w:w="2141" w:type="dxa"/>
          </w:tcPr>
          <w:p w14:paraId="7334896A" w14:textId="5D36F07C" w:rsidR="006D2B0D" w:rsidRDefault="00A71626" w:rsidP="00F13750">
            <w:pPr>
              <w:pStyle w:val="Body"/>
            </w:pPr>
            <w:r>
              <w:t>34.0%</w:t>
            </w:r>
          </w:p>
        </w:tc>
        <w:tc>
          <w:tcPr>
            <w:tcW w:w="2275" w:type="dxa"/>
          </w:tcPr>
          <w:p w14:paraId="418893A1" w14:textId="449A3AE5" w:rsidR="006D2B0D" w:rsidRDefault="00A71626" w:rsidP="00F13750">
            <w:pPr>
              <w:pStyle w:val="Body"/>
            </w:pPr>
            <w:r>
              <w:t>39.4%</w:t>
            </w:r>
          </w:p>
        </w:tc>
        <w:tc>
          <w:tcPr>
            <w:tcW w:w="2380" w:type="dxa"/>
          </w:tcPr>
          <w:p w14:paraId="2F946586" w14:textId="621186BD" w:rsidR="006D2B0D" w:rsidRDefault="00C734ED" w:rsidP="00F13750">
            <w:pPr>
              <w:pStyle w:val="Body"/>
            </w:pPr>
            <w:r>
              <w:t>36.8%</w:t>
            </w:r>
          </w:p>
        </w:tc>
      </w:tr>
    </w:tbl>
    <w:p w14:paraId="7D70D520" w14:textId="3F182223" w:rsidR="00C055C5" w:rsidRDefault="00C055C5" w:rsidP="00CB1834">
      <w:pPr>
        <w:pStyle w:val="Body"/>
        <w:spacing w:before="120"/>
      </w:pPr>
      <w:r>
        <w:lastRenderedPageBreak/>
        <w:t>The proportion of adults who were normal weight was 36.8</w:t>
      </w:r>
      <w:r w:rsidR="00FE1CCF">
        <w:t xml:space="preserve"> per cent</w:t>
      </w:r>
      <w:r>
        <w:t xml:space="preserve"> overall</w:t>
      </w:r>
      <w:r w:rsidR="00C43E7A">
        <w:t xml:space="preserve">, </w:t>
      </w:r>
      <w:r>
        <w:t>significantly lower in men (34</w:t>
      </w:r>
      <w:r w:rsidR="00FE1CCF">
        <w:t xml:space="preserve"> per cent</w:t>
      </w:r>
      <w:r>
        <w:t>) compared with women (39.4</w:t>
      </w:r>
      <w:r w:rsidR="00FE1CCF">
        <w:t xml:space="preserve"> per cent</w:t>
      </w:r>
      <w:r>
        <w:t>)</w:t>
      </w:r>
      <w:r w:rsidR="00CB1834">
        <w:t>.</w:t>
      </w:r>
      <w:r w:rsidR="00A75BEB">
        <w:t xml:space="preserve"> </w:t>
      </w:r>
    </w:p>
    <w:p w14:paraId="0E244CC0" w14:textId="1A757053" w:rsidR="00AE63F2" w:rsidRDefault="00690B4C" w:rsidP="00B663C3">
      <w:pPr>
        <w:pStyle w:val="Body"/>
        <w:rPr>
          <w:rFonts w:cs="Arial"/>
        </w:rPr>
      </w:pPr>
      <w:r>
        <w:rPr>
          <w:rFonts w:cs="Arial"/>
        </w:rPr>
        <w:t xml:space="preserve">Over </w:t>
      </w:r>
      <w:r w:rsidR="00433C24">
        <w:rPr>
          <w:rFonts w:cs="Arial"/>
        </w:rPr>
        <w:t xml:space="preserve">the past five years, </w:t>
      </w:r>
      <w:r w:rsidR="00224E44">
        <w:rPr>
          <w:rFonts w:cs="Arial"/>
        </w:rPr>
        <w:t>estimates</w:t>
      </w:r>
      <w:r w:rsidR="00433C24">
        <w:rPr>
          <w:rFonts w:cs="Arial"/>
        </w:rPr>
        <w:t xml:space="preserve"> </w:t>
      </w:r>
      <w:r w:rsidR="00AE63F2">
        <w:rPr>
          <w:rFonts w:cs="Arial"/>
        </w:rPr>
        <w:t>of adults who were overweight,</w:t>
      </w:r>
      <w:r w:rsidR="009605A5">
        <w:rPr>
          <w:rFonts w:cs="Arial"/>
        </w:rPr>
        <w:t xml:space="preserve"> but not obese</w:t>
      </w:r>
      <w:r w:rsidR="00D912CB">
        <w:rPr>
          <w:rFonts w:cs="Arial"/>
        </w:rPr>
        <w:t>,</w:t>
      </w:r>
      <w:r w:rsidR="009605A5">
        <w:rPr>
          <w:rFonts w:cs="Arial"/>
        </w:rPr>
        <w:t xml:space="preserve"> have</w:t>
      </w:r>
      <w:r w:rsidR="00D912CB">
        <w:rPr>
          <w:rFonts w:cs="Arial"/>
        </w:rPr>
        <w:t xml:space="preserve"> </w:t>
      </w:r>
      <w:r w:rsidR="00FE1CCF">
        <w:rPr>
          <w:rFonts w:cs="Arial"/>
        </w:rPr>
        <w:t xml:space="preserve">slightly </w:t>
      </w:r>
      <w:r w:rsidR="00D912CB">
        <w:rPr>
          <w:rFonts w:cs="Arial"/>
        </w:rPr>
        <w:t>increased</w:t>
      </w:r>
      <w:r w:rsidR="00FE1CCF">
        <w:rPr>
          <w:rFonts w:cs="Arial"/>
        </w:rPr>
        <w:t xml:space="preserve"> </w:t>
      </w:r>
      <w:r w:rsidR="00646C75">
        <w:t>(VAHI, 2019)</w:t>
      </w:r>
      <w:r w:rsidR="00D912CB">
        <w:rPr>
          <w:rFonts w:cs="Arial"/>
        </w:rPr>
        <w:t>.</w:t>
      </w:r>
      <w:r w:rsidR="00AE63F2">
        <w:rPr>
          <w:rFonts w:cs="Arial"/>
        </w:rPr>
        <w:t xml:space="preserve"> </w:t>
      </w:r>
      <w:r w:rsidR="00B812AF" w:rsidRPr="00B812AF">
        <w:rPr>
          <w:rFonts w:cs="Arial"/>
        </w:rPr>
        <w:t>To</w:t>
      </w:r>
      <w:r w:rsidR="00756E3F">
        <w:rPr>
          <w:rFonts w:cs="Arial"/>
        </w:rPr>
        <w:t xml:space="preserve"> prevent and</w:t>
      </w:r>
      <w:r w:rsidR="00B812AF" w:rsidRPr="00B812AF">
        <w:rPr>
          <w:rFonts w:cs="Arial"/>
        </w:rPr>
        <w:t xml:space="preserve"> </w:t>
      </w:r>
      <w:r w:rsidR="00B56C23">
        <w:rPr>
          <w:rFonts w:cs="Arial"/>
        </w:rPr>
        <w:t xml:space="preserve">reduce </w:t>
      </w:r>
      <w:r w:rsidR="009D04D9">
        <w:rPr>
          <w:rFonts w:cs="Arial"/>
        </w:rPr>
        <w:t>current</w:t>
      </w:r>
      <w:r w:rsidR="00E4236C">
        <w:rPr>
          <w:rFonts w:cs="Arial"/>
        </w:rPr>
        <w:t xml:space="preserve"> rates</w:t>
      </w:r>
      <w:r w:rsidR="00C671FF">
        <w:rPr>
          <w:rFonts w:cs="Arial"/>
        </w:rPr>
        <w:t xml:space="preserve"> </w:t>
      </w:r>
      <w:r w:rsidR="00AB25A6">
        <w:rPr>
          <w:rFonts w:cs="Arial"/>
        </w:rPr>
        <w:t xml:space="preserve">of </w:t>
      </w:r>
      <w:r w:rsidR="00756E3F">
        <w:rPr>
          <w:rFonts w:cs="Arial"/>
        </w:rPr>
        <w:t>overweight and obesity</w:t>
      </w:r>
      <w:r w:rsidR="00B812AF" w:rsidRPr="00B812AF">
        <w:rPr>
          <w:rFonts w:cs="Arial"/>
        </w:rPr>
        <w:t xml:space="preserve">, </w:t>
      </w:r>
      <w:r w:rsidR="003C2189">
        <w:rPr>
          <w:rFonts w:cs="Arial"/>
        </w:rPr>
        <w:t xml:space="preserve">Victorians </w:t>
      </w:r>
      <w:r w:rsidR="00B812AF" w:rsidRPr="00B812AF">
        <w:rPr>
          <w:rFonts w:cs="Arial"/>
        </w:rPr>
        <w:t>need to choose healthier, lower-energy foods</w:t>
      </w:r>
      <w:r w:rsidR="003C2189">
        <w:rPr>
          <w:rFonts w:cs="Arial"/>
        </w:rPr>
        <w:t>,</w:t>
      </w:r>
      <w:r w:rsidR="00B812AF" w:rsidRPr="00B812AF">
        <w:rPr>
          <w:rFonts w:cs="Arial"/>
        </w:rPr>
        <w:t xml:space="preserve"> and be more physically active.</w:t>
      </w:r>
      <w:r w:rsidR="00756E3F">
        <w:rPr>
          <w:rFonts w:cs="Arial"/>
        </w:rPr>
        <w:t xml:space="preserve"> </w:t>
      </w:r>
    </w:p>
    <w:p w14:paraId="63EFF656" w14:textId="20150084" w:rsidR="00B663C3" w:rsidRPr="0086510B" w:rsidRDefault="00B663C3" w:rsidP="00B663C3">
      <w:pPr>
        <w:pStyle w:val="Body"/>
        <w:rPr>
          <w:rFonts w:cs="Arial"/>
        </w:rPr>
      </w:pPr>
      <w:r w:rsidRPr="0086510B">
        <w:rPr>
          <w:rFonts w:cs="Arial"/>
        </w:rPr>
        <w:t xml:space="preserve">In addition, </w:t>
      </w:r>
      <w:r w:rsidR="000E4315">
        <w:rPr>
          <w:rFonts w:cs="Arial"/>
        </w:rPr>
        <w:t xml:space="preserve">almost </w:t>
      </w:r>
      <w:r w:rsidRPr="0086510B">
        <w:rPr>
          <w:rFonts w:cs="Arial"/>
        </w:rPr>
        <w:t>a quarter</w:t>
      </w:r>
      <w:r>
        <w:rPr>
          <w:rFonts w:cs="Arial"/>
        </w:rPr>
        <w:t xml:space="preserve"> (22.6</w:t>
      </w:r>
      <w:r w:rsidR="00205F7F" w:rsidRPr="00205F7F">
        <w:t xml:space="preserve"> </w:t>
      </w:r>
      <w:r w:rsidR="00205F7F">
        <w:t>per cent</w:t>
      </w:r>
      <w:r>
        <w:rPr>
          <w:rFonts w:cs="Arial"/>
        </w:rPr>
        <w:t>)</w:t>
      </w:r>
      <w:r w:rsidRPr="0086510B">
        <w:rPr>
          <w:rFonts w:cs="Arial"/>
        </w:rPr>
        <w:t xml:space="preserve"> of Australian children are overweight or obese (</w:t>
      </w:r>
      <w:r w:rsidR="00A00F96">
        <w:rPr>
          <w:rFonts w:cs="Arial"/>
        </w:rPr>
        <w:t>ABS,</w:t>
      </w:r>
      <w:r w:rsidRPr="0086510B">
        <w:rPr>
          <w:rFonts w:cs="Arial"/>
        </w:rPr>
        <w:t xml:space="preserve"> 2018). </w:t>
      </w:r>
    </w:p>
    <w:p w14:paraId="07CA1B29" w14:textId="33E1D4A6" w:rsidR="00B663C3" w:rsidRPr="0086510B" w:rsidRDefault="00B663C3" w:rsidP="00B663C3">
      <w:pPr>
        <w:pStyle w:val="Body"/>
        <w:rPr>
          <w:rFonts w:cs="Arial"/>
        </w:rPr>
      </w:pPr>
      <w:r w:rsidRPr="0086510B">
        <w:rPr>
          <w:rFonts w:cs="Arial"/>
        </w:rPr>
        <w:t xml:space="preserve">This </w:t>
      </w:r>
      <w:r w:rsidR="000E4315">
        <w:rPr>
          <w:rFonts w:cs="Arial"/>
        </w:rPr>
        <w:t xml:space="preserve">figure </w:t>
      </w:r>
      <w:r w:rsidRPr="0086510B">
        <w:rPr>
          <w:rFonts w:cs="Arial"/>
        </w:rPr>
        <w:t>is concerning</w:t>
      </w:r>
      <w:r w:rsidR="000E4315">
        <w:rPr>
          <w:rFonts w:cs="Arial"/>
        </w:rPr>
        <w:t xml:space="preserve"> because </w:t>
      </w:r>
      <w:r w:rsidRPr="0086510B">
        <w:rPr>
          <w:rFonts w:cs="Arial"/>
        </w:rPr>
        <w:t xml:space="preserve">obese children and adolescents are five times more likely to be obese in adulthood than those who are not obese, with 80 per cent of obese adolescents </w:t>
      </w:r>
      <w:r w:rsidR="000E4315">
        <w:rPr>
          <w:rFonts w:cs="Arial"/>
        </w:rPr>
        <w:t xml:space="preserve">becoming </w:t>
      </w:r>
      <w:r w:rsidRPr="0086510B">
        <w:rPr>
          <w:rFonts w:cs="Arial"/>
        </w:rPr>
        <w:t xml:space="preserve">obese </w:t>
      </w:r>
      <w:r w:rsidR="000E4315">
        <w:rPr>
          <w:rFonts w:cs="Arial"/>
        </w:rPr>
        <w:t xml:space="preserve">adults </w:t>
      </w:r>
      <w:r w:rsidRPr="0086510B">
        <w:rPr>
          <w:rFonts w:cs="Arial"/>
        </w:rPr>
        <w:t xml:space="preserve">(Simmonds </w:t>
      </w:r>
      <w:r w:rsidRPr="00B37D67">
        <w:rPr>
          <w:rFonts w:cs="Arial"/>
        </w:rPr>
        <w:t>et al</w:t>
      </w:r>
      <w:r w:rsidR="000E4315">
        <w:rPr>
          <w:rFonts w:cs="Arial"/>
        </w:rPr>
        <w:t>,</w:t>
      </w:r>
      <w:r w:rsidRPr="0086510B">
        <w:rPr>
          <w:rFonts w:cs="Arial"/>
        </w:rPr>
        <w:t xml:space="preserve"> 2016).</w:t>
      </w:r>
    </w:p>
    <w:p w14:paraId="61938A22" w14:textId="1FF6D220" w:rsidR="00B663C3" w:rsidRDefault="00B663C3" w:rsidP="00FE23FC">
      <w:pPr>
        <w:pStyle w:val="Heading3"/>
        <w:rPr>
          <w:szCs w:val="24"/>
        </w:rPr>
      </w:pPr>
      <w:r w:rsidRPr="2A0A81E2">
        <w:t>Dietary factors</w:t>
      </w:r>
    </w:p>
    <w:p w14:paraId="74271DDA" w14:textId="79A7BCA4" w:rsidR="00B663C3" w:rsidRDefault="00B663C3" w:rsidP="00B663C3">
      <w:pPr>
        <w:pStyle w:val="Body"/>
      </w:pPr>
      <w:r>
        <w:t xml:space="preserve">Dietary risk factors </w:t>
      </w:r>
      <w:r w:rsidR="551CA7FD">
        <w:t>we</w:t>
      </w:r>
      <w:r>
        <w:t xml:space="preserve">re the </w:t>
      </w:r>
      <w:r w:rsidR="00EC1C64">
        <w:t>third</w:t>
      </w:r>
      <w:r>
        <w:t xml:space="preserve"> leading cause of modifiable disease burden in Australia in 2018, contributing to 9.9 per cent of deaths and 8.8 per cent of fatal burden. In addition, overweight and obesity </w:t>
      </w:r>
      <w:r w:rsidR="000E4315">
        <w:t xml:space="preserve">were </w:t>
      </w:r>
      <w:r>
        <w:t>linked to diet (</w:t>
      </w:r>
      <w:r w:rsidR="005830C1">
        <w:t>AIHW</w:t>
      </w:r>
      <w:r>
        <w:t xml:space="preserve"> 2021).  </w:t>
      </w:r>
    </w:p>
    <w:p w14:paraId="11C7A977" w14:textId="32FCE5B3" w:rsidR="00DA0B6D" w:rsidRPr="000B5668" w:rsidRDefault="00B663C3" w:rsidP="00DA0B6D">
      <w:pPr>
        <w:pStyle w:val="Body"/>
      </w:pPr>
      <w:r>
        <w:t>Among these dietary risk factors, a diet low in legumes contributed the most to disease burden (1.2</w:t>
      </w:r>
      <w:r w:rsidR="00E02A92" w:rsidRPr="00E02A92">
        <w:t xml:space="preserve"> </w:t>
      </w:r>
      <w:r w:rsidR="00E02A92">
        <w:t>per cent</w:t>
      </w:r>
      <w:r>
        <w:t>), followed by a diet low in wholegrains/high fibre cereals, a diet high in sodium and high in red meat (all 0.9</w:t>
      </w:r>
      <w:r w:rsidR="00E02A92" w:rsidRPr="00E02A92">
        <w:t xml:space="preserve"> </w:t>
      </w:r>
      <w:r w:rsidR="00E02A92">
        <w:t>per cent</w:t>
      </w:r>
      <w:r>
        <w:t>), a diet low in fruit (0.8</w:t>
      </w:r>
      <w:r w:rsidR="00B939B2" w:rsidRPr="00B939B2">
        <w:t xml:space="preserve"> </w:t>
      </w:r>
      <w:r w:rsidR="00B939B2">
        <w:t>per cent</w:t>
      </w:r>
      <w:r>
        <w:t>), low in nuts/seeds (0.7</w:t>
      </w:r>
      <w:r w:rsidR="00B939B2" w:rsidRPr="00B939B2">
        <w:t xml:space="preserve"> </w:t>
      </w:r>
      <w:r w:rsidR="00B939B2">
        <w:t>per cent</w:t>
      </w:r>
      <w:r>
        <w:t>)</w:t>
      </w:r>
      <w:r w:rsidR="000E4315">
        <w:t>,</w:t>
      </w:r>
      <w:r>
        <w:t xml:space="preserve"> and low in vegetables (0.6</w:t>
      </w:r>
      <w:r w:rsidR="00B939B2" w:rsidRPr="00B939B2">
        <w:t xml:space="preserve"> </w:t>
      </w:r>
      <w:r w:rsidR="00B939B2">
        <w:t>per cent</w:t>
      </w:r>
      <w:r>
        <w:t>).</w:t>
      </w:r>
      <w:r w:rsidR="00DA0B6D">
        <w:t xml:space="preserve">  </w:t>
      </w:r>
    </w:p>
    <w:p w14:paraId="294E7258" w14:textId="11F81AD7" w:rsidR="00B663C3" w:rsidRDefault="0046716A" w:rsidP="00B663C3">
      <w:pPr>
        <w:pStyle w:val="Body"/>
      </w:pPr>
      <w:r w:rsidRPr="00EB3360">
        <w:t>See the ‘Healthy eating’ section of ‘Chapter 9 – Healthy Eating</w:t>
      </w:r>
      <w:r w:rsidR="00476E41" w:rsidRPr="00EB3360">
        <w:t>’</w:t>
      </w:r>
      <w:r w:rsidRPr="00EB3360">
        <w:t xml:space="preserve"> for more information about dietary factors.</w:t>
      </w:r>
    </w:p>
    <w:p w14:paraId="5855B438" w14:textId="77777777" w:rsidR="00155C80" w:rsidRPr="00504E65" w:rsidRDefault="00155C80" w:rsidP="00155C80">
      <w:pPr>
        <w:pStyle w:val="Heading3"/>
      </w:pPr>
      <w:r w:rsidRPr="00504E65">
        <w:t>High blood glucose burden</w:t>
      </w:r>
    </w:p>
    <w:p w14:paraId="6AEFA2B4" w14:textId="77777777" w:rsidR="00155C80" w:rsidRPr="00504E65" w:rsidRDefault="00155C80" w:rsidP="00155C80">
      <w:pPr>
        <w:pStyle w:val="Body"/>
        <w:rPr>
          <w:rFonts w:cs="Arial"/>
        </w:rPr>
      </w:pPr>
      <w:r w:rsidRPr="00504E65">
        <w:rPr>
          <w:rFonts w:cs="Arial"/>
        </w:rPr>
        <w:t xml:space="preserve">The rate of type 2 diabetes has risen in recent decades, particularly among older people. </w:t>
      </w:r>
    </w:p>
    <w:p w14:paraId="0641D5D8" w14:textId="77777777" w:rsidR="00155C80" w:rsidRPr="00504E65" w:rsidRDefault="00155C80" w:rsidP="00155C80">
      <w:pPr>
        <w:pStyle w:val="Body"/>
        <w:rPr>
          <w:rFonts w:cs="Arial"/>
        </w:rPr>
      </w:pPr>
      <w:r w:rsidRPr="00504E65">
        <w:rPr>
          <w:rFonts w:cs="Arial"/>
        </w:rPr>
        <w:t>In 2019, 5.7 per cent of Victorians reported having type 2 diabetes (</w:t>
      </w:r>
      <w:r>
        <w:rPr>
          <w:rFonts w:cs="Arial"/>
        </w:rPr>
        <w:t>VAHI</w:t>
      </w:r>
      <w:r w:rsidRPr="00504E65">
        <w:rPr>
          <w:rFonts w:cs="Arial"/>
        </w:rPr>
        <w:t xml:space="preserve"> 2021).</w:t>
      </w:r>
    </w:p>
    <w:p w14:paraId="4185693E" w14:textId="77777777" w:rsidR="00B663C3" w:rsidRDefault="00B663C3" w:rsidP="00FE23FC">
      <w:pPr>
        <w:pStyle w:val="Heading3"/>
        <w:rPr>
          <w:szCs w:val="24"/>
        </w:rPr>
      </w:pPr>
      <w:r w:rsidRPr="2A0A81E2">
        <w:t>Physical inactivity</w:t>
      </w:r>
    </w:p>
    <w:p w14:paraId="3623501B" w14:textId="2E0B8F9D" w:rsidR="00B663C3" w:rsidRPr="000B5668" w:rsidRDefault="00B663C3" w:rsidP="00B663C3">
      <w:pPr>
        <w:pStyle w:val="Body"/>
      </w:pPr>
      <w:r w:rsidRPr="000B5668">
        <w:t>In 2018, physical inactivity contributed to 8,253 (5.2</w:t>
      </w:r>
      <w:r w:rsidR="00B939B2" w:rsidRPr="00B939B2">
        <w:t xml:space="preserve"> </w:t>
      </w:r>
      <w:r w:rsidR="00B939B2">
        <w:t>per cent</w:t>
      </w:r>
      <w:r w:rsidRPr="000B5668">
        <w:t xml:space="preserve">) deaths, 3.6 per cent of fatal burden (84,717 years of life lost </w:t>
      </w:r>
      <w:r w:rsidR="000E4315">
        <w:t xml:space="preserve">or </w:t>
      </w:r>
      <w:r w:rsidRPr="000B5668">
        <w:t xml:space="preserve">YLL) and 1.5 per cent of non-fatal burden (37,966 years lived with disability </w:t>
      </w:r>
      <w:r w:rsidR="000E4315">
        <w:t xml:space="preserve">or </w:t>
      </w:r>
      <w:r w:rsidRPr="000B5668">
        <w:t>YLD) in Australia (</w:t>
      </w:r>
      <w:r w:rsidR="00A00F96">
        <w:t>AIHW,</w:t>
      </w:r>
      <w:r w:rsidRPr="000B5668">
        <w:t xml:space="preserve"> 2021). </w:t>
      </w:r>
    </w:p>
    <w:p w14:paraId="549FF672" w14:textId="2662E9E2" w:rsidR="008E0F58" w:rsidRPr="000B5668" w:rsidRDefault="008E0F58" w:rsidP="00B663C3">
      <w:pPr>
        <w:pStyle w:val="Body"/>
      </w:pPr>
      <w:r w:rsidRPr="00EB3360">
        <w:t xml:space="preserve">See the ‘Active Living’ section of ‘Chapter 9 </w:t>
      </w:r>
      <w:r w:rsidR="000E4315" w:rsidRPr="00EB3360">
        <w:t>–</w:t>
      </w:r>
      <w:r w:rsidRPr="00EB3360">
        <w:t xml:space="preserve"> Health</w:t>
      </w:r>
      <w:r w:rsidR="00AB25A6">
        <w:t>y</w:t>
      </w:r>
      <w:r w:rsidRPr="00EB3360">
        <w:t xml:space="preserve"> Living’ for more information about physical inactivity.</w:t>
      </w:r>
    </w:p>
    <w:p w14:paraId="03C4FAD2" w14:textId="77777777" w:rsidR="00B663C3" w:rsidRDefault="00B663C3" w:rsidP="00B663C3">
      <w:pPr>
        <w:pStyle w:val="Heading3"/>
      </w:pPr>
      <w:r>
        <w:t>Preventing or modifying risk factors</w:t>
      </w:r>
    </w:p>
    <w:p w14:paraId="36D70A0E" w14:textId="3E028164" w:rsidR="00B663C3" w:rsidRPr="00504E65" w:rsidRDefault="000E4315" w:rsidP="00B663C3">
      <w:pPr>
        <w:rPr>
          <w:rFonts w:eastAsia="Arial" w:cs="Arial"/>
          <w:color w:val="2A2736"/>
        </w:rPr>
      </w:pPr>
      <w:r>
        <w:rPr>
          <w:rFonts w:eastAsia="Arial" w:cs="Arial"/>
          <w:color w:val="2A2736"/>
        </w:rPr>
        <w:t>M</w:t>
      </w:r>
      <w:r w:rsidR="00B663C3" w:rsidRPr="00504E65">
        <w:rPr>
          <w:rFonts w:eastAsia="Arial" w:cs="Arial"/>
          <w:color w:val="2A2736"/>
        </w:rPr>
        <w:t xml:space="preserve">any </w:t>
      </w:r>
      <w:r w:rsidRPr="0086510B">
        <w:t xml:space="preserve">disease burden </w:t>
      </w:r>
      <w:r w:rsidR="00B663C3" w:rsidRPr="00504E65">
        <w:rPr>
          <w:rFonts w:eastAsia="Arial" w:cs="Arial"/>
          <w:color w:val="2A2736"/>
        </w:rPr>
        <w:t>risk factors can be prevented or modified.</w:t>
      </w:r>
      <w:r w:rsidR="00B663C3" w:rsidRPr="64CFF3CB">
        <w:rPr>
          <w:rFonts w:eastAsia="Arial" w:cs="Arial"/>
          <w:color w:val="2A2736"/>
        </w:rPr>
        <w:t xml:space="preserve"> </w:t>
      </w:r>
    </w:p>
    <w:p w14:paraId="72A984AA" w14:textId="5F8CD142" w:rsidR="00B663C3" w:rsidRPr="00504E65" w:rsidRDefault="009F45EF" w:rsidP="00B663C3">
      <w:pPr>
        <w:rPr>
          <w:rFonts w:eastAsia="Arial" w:cs="Arial"/>
          <w:color w:val="2A2736"/>
        </w:rPr>
      </w:pPr>
      <w:r>
        <w:rPr>
          <w:rFonts w:eastAsia="Arial" w:cs="Arial"/>
          <w:color w:val="2A2736"/>
        </w:rPr>
        <w:t>For example, people</w:t>
      </w:r>
      <w:r w:rsidRPr="00504E65">
        <w:rPr>
          <w:rFonts w:eastAsia="Arial" w:cs="Arial"/>
          <w:color w:val="2A2736"/>
        </w:rPr>
        <w:t xml:space="preserve"> </w:t>
      </w:r>
      <w:r w:rsidR="00B663C3" w:rsidRPr="00504E65">
        <w:rPr>
          <w:rFonts w:eastAsia="Arial" w:cs="Arial"/>
          <w:color w:val="2A2736"/>
        </w:rPr>
        <w:t>can work towards quitting smoking, reducing alcohol intake, exercising more</w:t>
      </w:r>
      <w:r>
        <w:rPr>
          <w:rFonts w:eastAsia="Arial" w:cs="Arial"/>
          <w:color w:val="2A2736"/>
        </w:rPr>
        <w:t>,</w:t>
      </w:r>
      <w:r w:rsidR="00B663C3" w:rsidRPr="00504E65">
        <w:rPr>
          <w:rFonts w:eastAsia="Arial" w:cs="Arial"/>
          <w:color w:val="2A2736"/>
        </w:rPr>
        <w:t xml:space="preserve"> and eating more fruit and vegetables.</w:t>
      </w:r>
    </w:p>
    <w:p w14:paraId="6C5355D5" w14:textId="714B2E05" w:rsidR="00B663C3" w:rsidRPr="00504E65" w:rsidRDefault="00B663C3" w:rsidP="00B663C3">
      <w:pPr>
        <w:rPr>
          <w:rFonts w:eastAsia="Arial" w:cs="Arial"/>
          <w:color w:val="2A2736"/>
        </w:rPr>
      </w:pPr>
      <w:r w:rsidRPr="00504E65">
        <w:rPr>
          <w:rFonts w:eastAsia="Arial" w:cs="Arial"/>
          <w:color w:val="2A2736"/>
        </w:rPr>
        <w:t xml:space="preserve">However, according to the social determinants of health framework, some groups in society have </w:t>
      </w:r>
      <w:r w:rsidR="009F45EF">
        <w:rPr>
          <w:rFonts w:eastAsia="Arial" w:cs="Arial"/>
          <w:color w:val="2A2736"/>
        </w:rPr>
        <w:t xml:space="preserve">more </w:t>
      </w:r>
      <w:r w:rsidRPr="00504E65">
        <w:rPr>
          <w:rFonts w:eastAsia="Arial" w:cs="Arial"/>
          <w:color w:val="2A2736"/>
        </w:rPr>
        <w:t xml:space="preserve">access </w:t>
      </w:r>
      <w:r w:rsidR="009F45EF">
        <w:rPr>
          <w:rFonts w:eastAsia="Arial" w:cs="Arial"/>
          <w:color w:val="2A2736"/>
        </w:rPr>
        <w:t xml:space="preserve">than others </w:t>
      </w:r>
      <w:r w:rsidRPr="00504E65">
        <w:rPr>
          <w:rFonts w:eastAsia="Arial" w:cs="Arial"/>
          <w:color w:val="2A2736"/>
        </w:rPr>
        <w:t>to the resources needed to address risk factors.</w:t>
      </w:r>
      <w:r w:rsidRPr="64CFF3CB">
        <w:rPr>
          <w:rFonts w:eastAsia="Arial" w:cs="Arial"/>
          <w:color w:val="2A2736"/>
        </w:rPr>
        <w:t xml:space="preserve"> </w:t>
      </w:r>
    </w:p>
    <w:p w14:paraId="28609422" w14:textId="179B63FF" w:rsidR="00B63C8B" w:rsidRDefault="00B63C8B" w:rsidP="00B63C8B">
      <w:pPr>
        <w:pStyle w:val="Heading2"/>
      </w:pPr>
      <w:bookmarkStart w:id="85" w:name="_Toc116981338"/>
      <w:r>
        <w:lastRenderedPageBreak/>
        <w:t>Alcohol use</w:t>
      </w:r>
    </w:p>
    <w:p w14:paraId="1C1F9872" w14:textId="77777777" w:rsidR="00B63C8B" w:rsidRPr="00450076" w:rsidRDefault="00B63C8B" w:rsidP="00B63C8B">
      <w:pPr>
        <w:pStyle w:val="Body"/>
      </w:pPr>
      <w:r w:rsidRPr="00450076">
        <w:t>The consumption of alcohol is a major cause of preventable disease and illness in Australia.  </w:t>
      </w:r>
    </w:p>
    <w:p w14:paraId="03281AD2" w14:textId="77777777" w:rsidR="00B63C8B" w:rsidRPr="00450076" w:rsidRDefault="00B63C8B" w:rsidP="00B63C8B">
      <w:pPr>
        <w:pStyle w:val="Heading3"/>
      </w:pPr>
      <w:r w:rsidRPr="00450076">
        <w:t>Prevalence of alcohol consumption  </w:t>
      </w:r>
    </w:p>
    <w:p w14:paraId="34998FC1" w14:textId="03DBCE18" w:rsidR="00B63C8B" w:rsidRPr="00450076" w:rsidRDefault="00B63C8B" w:rsidP="00B63C8B">
      <w:pPr>
        <w:pStyle w:val="Body"/>
      </w:pPr>
      <w:r w:rsidRPr="00450076">
        <w:t xml:space="preserve">While overall alcohol consumption is declining, </w:t>
      </w:r>
      <w:r w:rsidR="009F45EF">
        <w:t xml:space="preserve">the </w:t>
      </w:r>
      <w:r w:rsidRPr="00450076">
        <w:t xml:space="preserve">prevalence of </w:t>
      </w:r>
      <w:r w:rsidR="009F45EF">
        <w:t>at-</w:t>
      </w:r>
      <w:r w:rsidRPr="00450076">
        <w:t>risk drinking remains high. </w:t>
      </w:r>
      <w:r w:rsidR="009F45EF">
        <w:t xml:space="preserve">In 2019, 18 </w:t>
      </w:r>
      <w:r w:rsidRPr="00450076">
        <w:t xml:space="preserve">per cent of Australians consumed alcohol at levels </w:t>
      </w:r>
      <w:r w:rsidR="009F45EF">
        <w:t xml:space="preserve">that </w:t>
      </w:r>
      <w:r w:rsidRPr="00450076">
        <w:t>placing them at lifetime risk of an alcohol-related disease or injury (</w:t>
      </w:r>
      <w:r w:rsidRPr="00262A39">
        <w:rPr>
          <w:i/>
          <w:iCs/>
        </w:rPr>
        <w:t>Alcohol, tobacco and other drugs in Australia</w:t>
      </w:r>
      <w:r w:rsidRPr="00450076">
        <w:t xml:space="preserve">, </w:t>
      </w:r>
      <w:r w:rsidR="005C0CE8">
        <w:t>AIHW</w:t>
      </w:r>
      <w:r w:rsidRPr="00450076">
        <w:t>, 2020).   </w:t>
      </w:r>
    </w:p>
    <w:p w14:paraId="022CB211" w14:textId="77777777" w:rsidR="00B63C8B" w:rsidRPr="00450076" w:rsidRDefault="00B63C8B" w:rsidP="00B63C8B">
      <w:pPr>
        <w:pStyle w:val="Body"/>
      </w:pPr>
      <w:r w:rsidRPr="00450076">
        <w:t>Some cohorts are drinking at riskier levels than others:  </w:t>
      </w:r>
    </w:p>
    <w:p w14:paraId="07B7DD38" w14:textId="227E1921" w:rsidR="00B63C8B" w:rsidRPr="00450076" w:rsidRDefault="009F45EF" w:rsidP="002830AC">
      <w:pPr>
        <w:pStyle w:val="Body"/>
        <w:numPr>
          <w:ilvl w:val="0"/>
          <w:numId w:val="16"/>
        </w:numPr>
      </w:pPr>
      <w:r>
        <w:t>M</w:t>
      </w:r>
      <w:r w:rsidR="00B63C8B" w:rsidRPr="00450076">
        <w:t>en are more than twice as likely as women to drink at risky levels (26 per cent and 10 per cent, respectively)</w:t>
      </w:r>
      <w:r>
        <w:t>.</w:t>
      </w:r>
      <w:r w:rsidR="00B63C8B" w:rsidRPr="00450076">
        <w:t> </w:t>
      </w:r>
    </w:p>
    <w:p w14:paraId="33AE52D0" w14:textId="764A8BDE" w:rsidR="00B63C8B" w:rsidRPr="00450076" w:rsidRDefault="009F45EF" w:rsidP="002830AC">
      <w:pPr>
        <w:pStyle w:val="Body"/>
        <w:numPr>
          <w:ilvl w:val="0"/>
          <w:numId w:val="17"/>
        </w:numPr>
      </w:pPr>
      <w:r>
        <w:t>M</w:t>
      </w:r>
      <w:r w:rsidR="00B63C8B" w:rsidRPr="00450076">
        <w:t xml:space="preserve">en </w:t>
      </w:r>
      <w:r>
        <w:t xml:space="preserve">aged </w:t>
      </w:r>
      <w:r w:rsidR="00B63C8B" w:rsidRPr="00450076">
        <w:t xml:space="preserve">in their 50s </w:t>
      </w:r>
      <w:r>
        <w:t xml:space="preserve">are </w:t>
      </w:r>
      <w:r w:rsidR="00B63C8B" w:rsidRPr="00450076">
        <w:t>the most likely (30 per cent) to drink at risky levels (</w:t>
      </w:r>
      <w:r w:rsidR="005C0CE8">
        <w:t>AIHW,</w:t>
      </w:r>
      <w:r w:rsidR="00B63C8B" w:rsidRPr="00450076">
        <w:t xml:space="preserve"> 2019). This </w:t>
      </w:r>
      <w:r>
        <w:t xml:space="preserve">trend </w:t>
      </w:r>
      <w:r w:rsidR="00B63C8B" w:rsidRPr="00450076">
        <w:t>has changed since 2016</w:t>
      </w:r>
      <w:r>
        <w:t>,</w:t>
      </w:r>
      <w:r w:rsidR="00B63C8B" w:rsidRPr="00450076">
        <w:t xml:space="preserve"> when men </w:t>
      </w:r>
      <w:r>
        <w:t xml:space="preserve">aged </w:t>
      </w:r>
      <w:r w:rsidR="00B63C8B" w:rsidRPr="00450076">
        <w:t>in their 40s were most likely to drink at risky levels</w:t>
      </w:r>
      <w:r>
        <w:t>.</w:t>
      </w:r>
      <w:r w:rsidR="00B63C8B" w:rsidRPr="00450076">
        <w:t> </w:t>
      </w:r>
    </w:p>
    <w:p w14:paraId="41ABB924" w14:textId="3B708DAF" w:rsidR="00B63C8B" w:rsidRPr="00450076" w:rsidRDefault="009F45EF" w:rsidP="002830AC">
      <w:pPr>
        <w:pStyle w:val="Body"/>
        <w:numPr>
          <w:ilvl w:val="0"/>
          <w:numId w:val="17"/>
        </w:numPr>
      </w:pPr>
      <w:r>
        <w:t>A</w:t>
      </w:r>
      <w:r w:rsidR="00B63C8B" w:rsidRPr="00450076">
        <w:t xml:space="preserve">mong women, those aged in their 40s </w:t>
      </w:r>
      <w:r>
        <w:t xml:space="preserve">are </w:t>
      </w:r>
      <w:r w:rsidR="00B63C8B" w:rsidRPr="00450076">
        <w:t>the most likely (13 per cent) to drink at risky levels (</w:t>
      </w:r>
      <w:r w:rsidR="005C0CE8">
        <w:t>AIHW</w:t>
      </w:r>
      <w:r w:rsidR="00B63C8B" w:rsidRPr="00450076">
        <w:t xml:space="preserve">, 2019). This has also changed since 2016 when women </w:t>
      </w:r>
      <w:r>
        <w:t xml:space="preserve">aged </w:t>
      </w:r>
      <w:r w:rsidR="00B63C8B" w:rsidRPr="00450076">
        <w:t>in their 50s were most likely to drink at risky levels</w:t>
      </w:r>
      <w:r>
        <w:t>.</w:t>
      </w:r>
      <w:r w:rsidR="00B63C8B" w:rsidRPr="00450076">
        <w:t> </w:t>
      </w:r>
    </w:p>
    <w:p w14:paraId="73EA5E86" w14:textId="1596ED0E" w:rsidR="00B63C8B" w:rsidRPr="00450076" w:rsidRDefault="00B63C8B" w:rsidP="00B63C8B">
      <w:pPr>
        <w:pStyle w:val="Body"/>
      </w:pPr>
      <w:r w:rsidRPr="00450076">
        <w:t>In 2019, four</w:t>
      </w:r>
      <w:r w:rsidR="009F45EF">
        <w:t>-</w:t>
      </w:r>
      <w:r w:rsidRPr="00450076">
        <w:t>in</w:t>
      </w:r>
      <w:r w:rsidR="009F45EF">
        <w:t>-</w:t>
      </w:r>
      <w:r w:rsidRPr="00450076">
        <w:t>five Australian adults consumed alcohol in the previous 12 months and one</w:t>
      </w:r>
      <w:r w:rsidR="009F45EF">
        <w:t>-</w:t>
      </w:r>
      <w:r w:rsidRPr="00450076">
        <w:t>in</w:t>
      </w:r>
      <w:r w:rsidR="009F45EF">
        <w:t>-</w:t>
      </w:r>
      <w:r w:rsidRPr="00450076">
        <w:t>seven consumed 11 or more standard drinks at least once in the previous 12 months (</w:t>
      </w:r>
      <w:r w:rsidRPr="00262A39">
        <w:rPr>
          <w:i/>
          <w:iCs/>
        </w:rPr>
        <w:t>National Drug Strategy Household Survey 2019</w:t>
      </w:r>
      <w:r w:rsidRPr="00450076">
        <w:t xml:space="preserve">, </w:t>
      </w:r>
      <w:r w:rsidR="005C0CE8">
        <w:t>AIHW</w:t>
      </w:r>
      <w:r w:rsidRPr="00450076">
        <w:t>, 2020). </w:t>
      </w:r>
    </w:p>
    <w:p w14:paraId="013924EF" w14:textId="77777777" w:rsidR="00B63C8B" w:rsidRPr="00450076" w:rsidRDefault="00B63C8B" w:rsidP="00B63C8B">
      <w:pPr>
        <w:pStyle w:val="Heading3"/>
      </w:pPr>
      <w:r w:rsidRPr="00450076">
        <w:t>Harm caused by alcohol  </w:t>
      </w:r>
    </w:p>
    <w:p w14:paraId="084A87D2" w14:textId="77777777" w:rsidR="00B63C8B" w:rsidRPr="00450076" w:rsidRDefault="00B63C8B" w:rsidP="00B63C8B">
      <w:pPr>
        <w:pStyle w:val="Body"/>
      </w:pPr>
      <w:r w:rsidRPr="00450076">
        <w:t>Harms caused by excessive alcohol consumption are not limited to alcohol dependence.  </w:t>
      </w:r>
    </w:p>
    <w:p w14:paraId="2E493019" w14:textId="28564492" w:rsidR="00B63C8B" w:rsidRPr="00450076" w:rsidRDefault="00B63C8B" w:rsidP="00B63C8B">
      <w:pPr>
        <w:pStyle w:val="Body"/>
      </w:pPr>
      <w:r w:rsidRPr="00450076">
        <w:t>For example, chronic use of alcohol was estimated to contribute 3.3 per cent of Australia’s cancer burden in 2017-18 (</w:t>
      </w:r>
      <w:r w:rsidRPr="00262A39">
        <w:rPr>
          <w:i/>
          <w:iCs/>
        </w:rPr>
        <w:t>Cancer in Australia</w:t>
      </w:r>
      <w:r w:rsidRPr="00450076">
        <w:t xml:space="preserve">, </w:t>
      </w:r>
      <w:r w:rsidR="005C0CE8">
        <w:t>AIHW</w:t>
      </w:r>
      <w:r w:rsidRPr="00450076">
        <w:t>, 2019). </w:t>
      </w:r>
    </w:p>
    <w:p w14:paraId="48C705E3" w14:textId="77777777" w:rsidR="00B63C8B" w:rsidRPr="00450076" w:rsidRDefault="00B63C8B" w:rsidP="00B63C8B">
      <w:pPr>
        <w:pStyle w:val="Body"/>
      </w:pPr>
      <w:r w:rsidRPr="00450076">
        <w:t>In addition, alcohol is associated with increased:  </w:t>
      </w:r>
    </w:p>
    <w:p w14:paraId="1639ACA6" w14:textId="4F8F4A8F" w:rsidR="00B63C8B" w:rsidRPr="00450076" w:rsidRDefault="009F45EF" w:rsidP="007A383F">
      <w:pPr>
        <w:pStyle w:val="Bullet1"/>
      </w:pPr>
      <w:r>
        <w:t>A</w:t>
      </w:r>
      <w:r w:rsidR="00B63C8B" w:rsidRPr="00450076">
        <w:t>busive behaviour</w:t>
      </w:r>
      <w:r>
        <w:t xml:space="preserve">. In the previous 12 months, </w:t>
      </w:r>
      <w:r w:rsidR="00B63C8B" w:rsidRPr="00450076">
        <w:t>21 per cent of people had been verbally or physically abused, or put in fear by someone under the influence of alcohol (</w:t>
      </w:r>
      <w:r w:rsidR="00B63C8B" w:rsidRPr="00262A39">
        <w:rPr>
          <w:i/>
          <w:iCs/>
        </w:rPr>
        <w:t>National Drug Strategy Household Survey 2019</w:t>
      </w:r>
      <w:r w:rsidR="00B63C8B" w:rsidRPr="00450076">
        <w:t xml:space="preserve">, </w:t>
      </w:r>
      <w:r w:rsidR="006E2CED">
        <w:t>AIHW</w:t>
      </w:r>
      <w:r w:rsidR="00B63C8B" w:rsidRPr="00450076">
        <w:t>)</w:t>
      </w:r>
      <w:r>
        <w:t>.</w:t>
      </w:r>
      <w:r w:rsidR="00B63C8B" w:rsidRPr="00450076">
        <w:t> </w:t>
      </w:r>
    </w:p>
    <w:p w14:paraId="3DA10990" w14:textId="0503F3C8" w:rsidR="00B63C8B" w:rsidRPr="00450076" w:rsidRDefault="009F45EF" w:rsidP="007A383F">
      <w:pPr>
        <w:pStyle w:val="Bullet1"/>
      </w:pPr>
      <w:r>
        <w:t>I</w:t>
      </w:r>
      <w:r w:rsidR="00B63C8B" w:rsidRPr="00450076">
        <w:t>njury and violence, including family violence</w:t>
      </w:r>
      <w:r>
        <w:t>. F</w:t>
      </w:r>
      <w:r w:rsidR="00B63C8B" w:rsidRPr="00450076">
        <w:t>or example, in 2017-18 in Victoria, alcohol was involved in 11,818 ‘definite or possible’ family violence incidences (Turning Point</w:t>
      </w:r>
      <w:r>
        <w:t>,</w:t>
      </w:r>
      <w:r w:rsidR="00B63C8B" w:rsidRPr="00450076">
        <w:t xml:space="preserve"> 2017a)</w:t>
      </w:r>
      <w:r>
        <w:t>.</w:t>
      </w:r>
      <w:r w:rsidR="00B63C8B" w:rsidRPr="00450076">
        <w:t>  </w:t>
      </w:r>
    </w:p>
    <w:p w14:paraId="65F8A80F" w14:textId="743C26BA" w:rsidR="00B63C8B" w:rsidRPr="00450076" w:rsidRDefault="009F45EF" w:rsidP="007A383F">
      <w:pPr>
        <w:pStyle w:val="Bullet1"/>
      </w:pPr>
      <w:r>
        <w:t>P</w:t>
      </w:r>
      <w:r w:rsidR="00B63C8B" w:rsidRPr="00450076">
        <w:t>ressure on our emergency health system</w:t>
      </w:r>
      <w:r>
        <w:t>.</w:t>
      </w:r>
      <w:r w:rsidR="00B63C8B" w:rsidRPr="00450076">
        <w:t xml:space="preserve"> </w:t>
      </w:r>
      <w:r>
        <w:t>In 2017-18, a</w:t>
      </w:r>
      <w:r w:rsidR="00B63C8B" w:rsidRPr="00450076">
        <w:t>lcohol intoxication account</w:t>
      </w:r>
      <w:r>
        <w:t>ed</w:t>
      </w:r>
      <w:r w:rsidR="00B63C8B" w:rsidRPr="00450076">
        <w:t xml:space="preserve"> for 34,843 ambulance attendances (Turning Point</w:t>
      </w:r>
      <w:r>
        <w:t>,</w:t>
      </w:r>
      <w:r w:rsidR="00B63C8B" w:rsidRPr="00450076">
        <w:t xml:space="preserve"> 2017b).  </w:t>
      </w:r>
    </w:p>
    <w:p w14:paraId="0F5443FC" w14:textId="1ED055C2" w:rsidR="00B63C8B" w:rsidRPr="00450076" w:rsidRDefault="00B63C8B" w:rsidP="00B63C8B">
      <w:pPr>
        <w:pStyle w:val="Body"/>
      </w:pPr>
      <w:r w:rsidRPr="00450076">
        <w:t xml:space="preserve">In Victoria, a third of people presenting to </w:t>
      </w:r>
      <w:r w:rsidR="009F45EF">
        <w:t xml:space="preserve">the </w:t>
      </w:r>
      <w:r w:rsidRPr="00450076">
        <w:t>specialist alcohol and other drug treatment system list</w:t>
      </w:r>
      <w:r w:rsidR="009F45EF">
        <w:t>ed</w:t>
      </w:r>
      <w:r w:rsidRPr="00450076">
        <w:t xml:space="preserve"> alcohol as their primary drug of concern (Turning Point</w:t>
      </w:r>
      <w:r w:rsidR="009F45EF">
        <w:t>,</w:t>
      </w:r>
      <w:r w:rsidRPr="00450076">
        <w:t xml:space="preserve"> 2017c).  </w:t>
      </w:r>
    </w:p>
    <w:p w14:paraId="2EC0C9AE" w14:textId="77777777" w:rsidR="00B63C8B" w:rsidRPr="00450076" w:rsidRDefault="00B63C8B" w:rsidP="00B63C8B">
      <w:pPr>
        <w:pStyle w:val="Heading3"/>
        <w:rPr>
          <w:rFonts w:eastAsia="Times"/>
        </w:rPr>
      </w:pPr>
      <w:r w:rsidRPr="00450076">
        <w:t>Responding to alcohol harms  </w:t>
      </w:r>
    </w:p>
    <w:p w14:paraId="3505D55A" w14:textId="77777777" w:rsidR="00B63C8B" w:rsidRPr="00450076" w:rsidRDefault="00B63C8B" w:rsidP="00B63C8B">
      <w:pPr>
        <w:pStyle w:val="Body"/>
      </w:pPr>
      <w:r w:rsidRPr="00450076">
        <w:t>In 2019, the Victorian Government invested $273 million in alcohol and other drug services, an increase of 65 per cent through the previous five state budgets.</w:t>
      </w:r>
      <w:r>
        <w:t>  </w:t>
      </w:r>
      <w:r w:rsidRPr="00450076">
        <w:t> </w:t>
      </w:r>
    </w:p>
    <w:p w14:paraId="388DC5F5" w14:textId="77777777" w:rsidR="00B63C8B" w:rsidRPr="00450076" w:rsidRDefault="00B63C8B" w:rsidP="00B63C8B">
      <w:pPr>
        <w:pStyle w:val="Heading3"/>
      </w:pPr>
      <w:r w:rsidRPr="00450076">
        <w:lastRenderedPageBreak/>
        <w:t>Find out more   </w:t>
      </w:r>
    </w:p>
    <w:p w14:paraId="31F02032" w14:textId="4FEA5ABD" w:rsidR="00B63C8B" w:rsidRPr="00450076" w:rsidRDefault="00B63C8B" w:rsidP="00B63C8B">
      <w:pPr>
        <w:pStyle w:val="Body"/>
      </w:pPr>
      <w:r w:rsidRPr="00450076">
        <w:t>For more information on alcohol treatment services, visit the department’s </w:t>
      </w:r>
      <w:hyperlink r:id="rId51" w:tgtFrame="_blank" w:history="1">
        <w:r w:rsidRPr="00262A39">
          <w:rPr>
            <w:rStyle w:val="Hyperlink"/>
            <w:i/>
            <w:iCs/>
          </w:rPr>
          <w:t xml:space="preserve">Alcohol and other drug treatment services </w:t>
        </w:r>
        <w:r w:rsidRPr="00450076">
          <w:rPr>
            <w:rStyle w:val="Hyperlink"/>
          </w:rPr>
          <w:t>page</w:t>
        </w:r>
      </w:hyperlink>
      <w:r w:rsidRPr="00450076">
        <w:t>.  </w:t>
      </w:r>
      <w:r w:rsidR="0046793F">
        <w:t>&lt;</w:t>
      </w:r>
      <w:r w:rsidR="0046793F" w:rsidRPr="0046793F">
        <w:t>https://www.health.vic.gov.au/alcohol-and-drugs/alcohol-and-other-drug-treatment-services</w:t>
      </w:r>
      <w:r w:rsidR="00807061">
        <w:t>&gt;</w:t>
      </w:r>
      <w:r w:rsidR="00210168">
        <w:t>.</w:t>
      </w:r>
    </w:p>
    <w:p w14:paraId="09705A6F" w14:textId="545EFB02" w:rsidR="00A81F4B" w:rsidRPr="00450076" w:rsidRDefault="00B63C8B" w:rsidP="00B63C8B">
      <w:pPr>
        <w:pStyle w:val="Body"/>
      </w:pPr>
      <w:r w:rsidRPr="00450076">
        <w:t>For more information on links between alcohol and cancer, visit the Cancer Council </w:t>
      </w:r>
      <w:hyperlink r:id="rId52" w:anchor="_ga=2.153393851.2034685423.1555048939-1873530676.1555048939" w:tgtFrame="_blank" w:history="1">
        <w:r w:rsidRPr="00262A39">
          <w:rPr>
            <w:rStyle w:val="Hyperlink"/>
            <w:i/>
            <w:iCs/>
          </w:rPr>
          <w:t>Australia's Impact: cancer and alcohol </w:t>
        </w:r>
        <w:r w:rsidRPr="00450076">
          <w:rPr>
            <w:rStyle w:val="Hyperlink"/>
          </w:rPr>
          <w:t>page</w:t>
        </w:r>
      </w:hyperlink>
      <w:r w:rsidRPr="00450076">
        <w:t>.</w:t>
      </w:r>
      <w:r w:rsidR="00210168">
        <w:t xml:space="preserve"> </w:t>
      </w:r>
      <w:r w:rsidR="00A81F4B">
        <w:t>&lt;</w:t>
      </w:r>
      <w:r w:rsidR="00807061" w:rsidRPr="00807061">
        <w:t>https://wiki.cancer.org.au/policy/Alcohol/Impact:_Alcohol_and_cancer#_ga=2.153393851.2034685423.1555048939-1873530676.1555048939</w:t>
      </w:r>
      <w:r w:rsidR="00807061">
        <w:t>&gt;</w:t>
      </w:r>
      <w:r w:rsidR="00210168">
        <w:t>.</w:t>
      </w:r>
    </w:p>
    <w:bookmarkEnd w:id="85"/>
    <w:p w14:paraId="1174E01D" w14:textId="6FEE2141" w:rsidR="003F22FD" w:rsidRPr="00FC4CE9" w:rsidRDefault="003F22FD" w:rsidP="003F22FD">
      <w:pPr>
        <w:pStyle w:val="Body"/>
        <w:rPr>
          <w:b/>
          <w:bCs/>
        </w:rPr>
      </w:pPr>
      <w:r w:rsidRPr="00FC4CE9">
        <w:rPr>
          <w:rFonts w:eastAsia="Arial" w:cs="Arial"/>
          <w:b/>
          <w:bCs/>
          <w:color w:val="000000" w:themeColor="text1"/>
        </w:rPr>
        <w:t>References</w:t>
      </w:r>
      <w:r>
        <w:rPr>
          <w:b/>
          <w:bCs/>
        </w:rPr>
        <w:t xml:space="preserve"> </w:t>
      </w:r>
    </w:p>
    <w:p w14:paraId="4BC66D82" w14:textId="16EAB55E" w:rsidR="003F22FD" w:rsidRDefault="003F22FD" w:rsidP="003F22FD">
      <w:pPr>
        <w:pStyle w:val="Body"/>
      </w:pPr>
      <w:r>
        <w:t xml:space="preserve">Australian Bureau of Statistics 2019, </w:t>
      </w:r>
      <w:hyperlink r:id="rId53" w:anchor=":~:text=Media%20releases-,Key%20statistics,was%2012.9%20per%20100%2C000%20people." w:history="1">
        <w:r w:rsidRPr="00DF22D6">
          <w:rPr>
            <w:rStyle w:val="Hyperlink"/>
          </w:rPr>
          <w:t>Causes of Death</w:t>
        </w:r>
      </w:hyperlink>
      <w:r>
        <w:t xml:space="preserve"> 2019, Australia, Australian Bureau of Statistics, Canberra</w:t>
      </w:r>
      <w:r w:rsidR="00166526">
        <w:t>. Available at</w:t>
      </w:r>
      <w:r w:rsidR="00807061">
        <w:t xml:space="preserve"> &lt;</w:t>
      </w:r>
      <w:r w:rsidR="00807061" w:rsidRPr="00807061">
        <w:t>https://www.abs.gov.au/statistics/health/causes-death/causes-death-australia/2019#:~:text=Media%20releases-,Key%20statistics,was%2012.9%20per%20100%2C000%20people</w:t>
      </w:r>
      <w:r w:rsidR="00807061">
        <w:t>&gt;</w:t>
      </w:r>
      <w:r w:rsidR="00604ADC">
        <w:t>.</w:t>
      </w:r>
    </w:p>
    <w:p w14:paraId="1663FE2E" w14:textId="5E5B4F0B" w:rsidR="003F22FD" w:rsidRDefault="003F22FD" w:rsidP="003F22FD">
      <w:pPr>
        <w:pStyle w:val="Body"/>
        <w:rPr>
          <w:rFonts w:cs="Arial"/>
          <w:color w:val="2A2736"/>
        </w:rPr>
      </w:pPr>
      <w:r>
        <w:rPr>
          <w:rFonts w:cs="Arial"/>
          <w:color w:val="2A2736"/>
        </w:rPr>
        <w:t xml:space="preserve">Australian Bureau of Statistics 2018, </w:t>
      </w:r>
      <w:r w:rsidR="0FA3C880" w:rsidRPr="00604ADC">
        <w:rPr>
          <w:rFonts w:cs="Arial"/>
          <w:color w:val="2A2736"/>
        </w:rPr>
        <w:t>‘</w:t>
      </w:r>
      <w:r>
        <w:rPr>
          <w:rFonts w:cs="Arial"/>
          <w:color w:val="2A2736"/>
        </w:rPr>
        <w:t>National health survey 2017–</w:t>
      </w:r>
      <w:r w:rsidRPr="00604ADC">
        <w:rPr>
          <w:rFonts w:cs="Arial"/>
          <w:color w:val="2A2736"/>
        </w:rPr>
        <w:t>18</w:t>
      </w:r>
      <w:r w:rsidR="72E8AFD5" w:rsidRPr="00604ADC">
        <w:rPr>
          <w:rFonts w:cs="Arial"/>
          <w:color w:val="2A2736"/>
        </w:rPr>
        <w:t>’</w:t>
      </w:r>
      <w:r>
        <w:rPr>
          <w:rFonts w:cs="Arial"/>
          <w:color w:val="2A2736"/>
        </w:rPr>
        <w:t>, Australian Bureau of Statistics, Canberra.</w:t>
      </w:r>
    </w:p>
    <w:p w14:paraId="151AD80C" w14:textId="55FE1777" w:rsidR="003F22FD" w:rsidRDefault="003F22FD" w:rsidP="003F22FD">
      <w:pPr>
        <w:pStyle w:val="Body"/>
        <w:rPr>
          <w:rFonts w:cs="Arial"/>
          <w:color w:val="2A2736"/>
        </w:rPr>
      </w:pPr>
      <w:r>
        <w:rPr>
          <w:rFonts w:cs="Arial"/>
          <w:color w:val="2A2736"/>
        </w:rPr>
        <w:t xml:space="preserve">Australian Bureau of Statistics 2019, </w:t>
      </w:r>
      <w:r w:rsidR="11A5B676" w:rsidRPr="00604ADC">
        <w:rPr>
          <w:rFonts w:cs="Arial"/>
          <w:color w:val="2A2736"/>
        </w:rPr>
        <w:t>‘</w:t>
      </w:r>
      <w:r>
        <w:rPr>
          <w:rFonts w:cs="Arial"/>
          <w:color w:val="2A2736"/>
        </w:rPr>
        <w:t xml:space="preserve">Causes of Death, Victoria </w:t>
      </w:r>
      <w:r w:rsidRPr="00604ADC">
        <w:rPr>
          <w:rFonts w:cs="Arial"/>
          <w:color w:val="2A2736"/>
        </w:rPr>
        <w:t>2019</w:t>
      </w:r>
      <w:r w:rsidR="4890E8B5" w:rsidRPr="00604ADC">
        <w:rPr>
          <w:rFonts w:cs="Arial"/>
          <w:color w:val="2A2736"/>
        </w:rPr>
        <w:t>’</w:t>
      </w:r>
      <w:r>
        <w:rPr>
          <w:rFonts w:cs="Arial"/>
          <w:color w:val="2A2736"/>
        </w:rPr>
        <w:t>, Australian Bureau of Statistics, Canberra.</w:t>
      </w:r>
    </w:p>
    <w:p w14:paraId="41DEF3B7" w14:textId="6331F141" w:rsidR="003F22FD" w:rsidRDefault="003F22FD" w:rsidP="003F22FD">
      <w:pPr>
        <w:pStyle w:val="Body"/>
        <w:rPr>
          <w:rFonts w:cs="Arial"/>
          <w:color w:val="2A2736"/>
        </w:rPr>
      </w:pPr>
      <w:r>
        <w:rPr>
          <w:rFonts w:cs="Arial"/>
          <w:color w:val="2A2736"/>
        </w:rPr>
        <w:t xml:space="preserve">Australian Institute of Health and Welfare 2019, </w:t>
      </w:r>
      <w:r w:rsidR="6B9E3E4D" w:rsidRPr="00604ADC">
        <w:rPr>
          <w:rFonts w:cs="Arial"/>
          <w:color w:val="2A2736"/>
        </w:rPr>
        <w:t>‘</w:t>
      </w:r>
      <w:r>
        <w:rPr>
          <w:rFonts w:cs="Arial"/>
          <w:color w:val="2A2736"/>
        </w:rPr>
        <w:t xml:space="preserve">Australian burden of disease study: impact and causes of illness and death in Australia </w:t>
      </w:r>
      <w:r w:rsidRPr="00604ADC">
        <w:rPr>
          <w:rFonts w:cs="Arial"/>
          <w:color w:val="2A2736"/>
        </w:rPr>
        <w:t>2015</w:t>
      </w:r>
      <w:r w:rsidR="16DC0F33" w:rsidRPr="00604ADC">
        <w:rPr>
          <w:rFonts w:cs="Arial"/>
          <w:color w:val="2A2736"/>
        </w:rPr>
        <w:t>’</w:t>
      </w:r>
      <w:r>
        <w:rPr>
          <w:rFonts w:cs="Arial"/>
          <w:color w:val="2A2736"/>
        </w:rPr>
        <w:t>, Australian Institute of Health and Welfare, Canberra. </w:t>
      </w:r>
    </w:p>
    <w:p w14:paraId="21388587" w14:textId="40575055" w:rsidR="003F22FD" w:rsidRPr="00450076" w:rsidRDefault="003F22FD" w:rsidP="003F22FD">
      <w:pPr>
        <w:pStyle w:val="Body"/>
      </w:pPr>
      <w:r w:rsidRPr="00450076">
        <w:t xml:space="preserve">Australian Institute of Health and Welfare 2019, </w:t>
      </w:r>
      <w:hyperlink r:id="rId54" w:tgtFrame="_blank" w:history="1">
        <w:r w:rsidRPr="00450076">
          <w:rPr>
            <w:rStyle w:val="Hyperlink"/>
          </w:rPr>
          <w:t>Cancer in Australia</w:t>
        </w:r>
      </w:hyperlink>
      <w:r w:rsidRPr="00450076">
        <w:t>, Australian Government, Canberra</w:t>
      </w:r>
      <w:r w:rsidR="0050395F">
        <w:t>. Available at</w:t>
      </w:r>
      <w:r w:rsidRPr="00450076">
        <w:t> </w:t>
      </w:r>
      <w:r w:rsidR="00807061">
        <w:t>&lt;</w:t>
      </w:r>
      <w:r w:rsidR="00807061" w:rsidRPr="00807061">
        <w:t>https://www.aihw.gov.au/getmedia/8c9fcf52-0055-41a0-96d9-f81b0feb98cf/aihw-can-123.pdf.aspx?inline=true</w:t>
      </w:r>
      <w:r w:rsidR="00807061">
        <w:t>&gt;</w:t>
      </w:r>
      <w:r w:rsidR="00210168">
        <w:t>.</w:t>
      </w:r>
    </w:p>
    <w:p w14:paraId="106761EA" w14:textId="38D68B76" w:rsidR="003F22FD" w:rsidRPr="00450076" w:rsidRDefault="003F22FD" w:rsidP="003F22FD">
      <w:pPr>
        <w:pStyle w:val="Body"/>
      </w:pPr>
      <w:r w:rsidRPr="00450076">
        <w:t xml:space="preserve">Australian Institute of Health and Welfare 2020, </w:t>
      </w:r>
      <w:hyperlink r:id="rId55" w:tgtFrame="_blank" w:history="1">
        <w:r w:rsidRPr="00450076">
          <w:rPr>
            <w:rStyle w:val="Hyperlink"/>
          </w:rPr>
          <w:t>National drug strategy household survey (NDSHS) 2019</w:t>
        </w:r>
      </w:hyperlink>
      <w:r w:rsidRPr="00450076">
        <w:t>, Australian Institute of Health and Welfare, Canberra</w:t>
      </w:r>
      <w:r w:rsidR="0050395F">
        <w:t>.</w:t>
      </w:r>
      <w:r w:rsidR="0050395F" w:rsidRPr="0050395F">
        <w:t xml:space="preserve"> </w:t>
      </w:r>
      <w:r w:rsidR="0050395F">
        <w:t>Available at</w:t>
      </w:r>
      <w:r w:rsidRPr="00450076">
        <w:t> </w:t>
      </w:r>
      <w:r w:rsidR="00807061">
        <w:t>&lt;</w:t>
      </w:r>
      <w:r w:rsidR="00807061" w:rsidRPr="00807061">
        <w:t>https://www.aihw.gov.au/getmedia/77dbea6e-f071-495c-b71e-3a632237269d/aihw-phe-270.pdf.aspx?inline=true</w:t>
      </w:r>
      <w:r w:rsidR="00807061">
        <w:t>&gt;</w:t>
      </w:r>
      <w:r w:rsidR="00533D6E">
        <w:t>.</w:t>
      </w:r>
    </w:p>
    <w:p w14:paraId="692407A0" w14:textId="14B445ED" w:rsidR="003F22FD" w:rsidRPr="008906E1" w:rsidRDefault="003F22FD" w:rsidP="003F22FD">
      <w:pPr>
        <w:pStyle w:val="Body"/>
        <w:rPr>
          <w:rFonts w:cs="Arial"/>
          <w:color w:val="2A2736"/>
        </w:rPr>
      </w:pPr>
      <w:r w:rsidRPr="008906E1">
        <w:rPr>
          <w:rFonts w:cs="Arial"/>
          <w:color w:val="2A2736"/>
        </w:rPr>
        <w:t xml:space="preserve">Australian Institute of Health and Welfare 2020, </w:t>
      </w:r>
      <w:r w:rsidR="57815A32" w:rsidRPr="00644369">
        <w:rPr>
          <w:rFonts w:cs="Arial"/>
          <w:color w:val="2A2736"/>
        </w:rPr>
        <w:t>‘</w:t>
      </w:r>
      <w:r w:rsidRPr="008906E1">
        <w:rPr>
          <w:rFonts w:cs="Arial"/>
          <w:color w:val="2A2736"/>
        </w:rPr>
        <w:t xml:space="preserve">Overweight and obesity among Australian children and </w:t>
      </w:r>
      <w:r w:rsidRPr="00644369">
        <w:rPr>
          <w:rFonts w:cs="Arial"/>
          <w:color w:val="2A2736"/>
        </w:rPr>
        <w:t>adults</w:t>
      </w:r>
      <w:r w:rsidR="496063F0" w:rsidRPr="00644369">
        <w:rPr>
          <w:rFonts w:cs="Arial"/>
          <w:color w:val="2A2736"/>
        </w:rPr>
        <w:t>’</w:t>
      </w:r>
      <w:r w:rsidRPr="004D54A4">
        <w:rPr>
          <w:rFonts w:cs="Arial"/>
          <w:color w:val="2A2736"/>
        </w:rPr>
        <w:t>.</w:t>
      </w:r>
      <w:r w:rsidRPr="008906E1">
        <w:rPr>
          <w:rFonts w:cs="Arial"/>
          <w:color w:val="2A2736"/>
        </w:rPr>
        <w:t xml:space="preserve"> Cat. no. PHE 274. Canberra: AIHW.</w:t>
      </w:r>
    </w:p>
    <w:p w14:paraId="2645791E" w14:textId="5BB931C1" w:rsidR="003F22FD" w:rsidRPr="004D54A4" w:rsidRDefault="003F22FD" w:rsidP="003F22FD">
      <w:pPr>
        <w:pStyle w:val="Body"/>
        <w:rPr>
          <w:rFonts w:eastAsia="Arial" w:cs="Arial"/>
        </w:rPr>
      </w:pPr>
      <w:r w:rsidRPr="004D54A4">
        <w:rPr>
          <w:rFonts w:eastAsia="Arial" w:cs="Arial"/>
        </w:rPr>
        <w:t>Australian Institute of Health and Welfare 2021</w:t>
      </w:r>
      <w:r w:rsidR="5488AED9" w:rsidRPr="004D54A4">
        <w:rPr>
          <w:rFonts w:eastAsia="Arial" w:cs="Arial"/>
        </w:rPr>
        <w:t>,</w:t>
      </w:r>
      <w:r w:rsidRPr="004D54A4">
        <w:rPr>
          <w:rFonts w:eastAsia="Arial" w:cs="Arial"/>
        </w:rPr>
        <w:t xml:space="preserve"> </w:t>
      </w:r>
      <w:r w:rsidR="587D184D" w:rsidRPr="004D54A4">
        <w:rPr>
          <w:rFonts w:eastAsia="Arial" w:cs="Arial"/>
        </w:rPr>
        <w:t>‘</w:t>
      </w:r>
      <w:r w:rsidRPr="004D54A4">
        <w:rPr>
          <w:rFonts w:eastAsia="Arial" w:cs="Arial"/>
        </w:rPr>
        <w:t>Australian Burden of Disease Study: impact and causes of illness and death in Australia 2018</w:t>
      </w:r>
      <w:r w:rsidR="572D629B" w:rsidRPr="004D54A4">
        <w:rPr>
          <w:rFonts w:eastAsia="Arial" w:cs="Arial"/>
        </w:rPr>
        <w:t>’</w:t>
      </w:r>
      <w:r w:rsidRPr="004D54A4">
        <w:rPr>
          <w:rFonts w:eastAsia="Arial" w:cs="Arial"/>
        </w:rPr>
        <w:t>. Australian Burden of Disease Study series no. 23. Cat. no. BOD 29. Canberra: AIHW.</w:t>
      </w:r>
      <w:r w:rsidRPr="004D54A4">
        <w:rPr>
          <w:rFonts w:eastAsia="Arial" w:cs="Arial"/>
          <w:color w:val="000000" w:themeColor="text1"/>
        </w:rPr>
        <w:t xml:space="preserve"> </w:t>
      </w:r>
    </w:p>
    <w:p w14:paraId="52442E44" w14:textId="42ADDA36" w:rsidR="003F22FD" w:rsidRPr="00CD60B6" w:rsidRDefault="003F22FD" w:rsidP="003F22FD">
      <w:pPr>
        <w:pStyle w:val="Body"/>
        <w:rPr>
          <w:rFonts w:eastAsia="Arial" w:cs="Arial"/>
        </w:rPr>
      </w:pPr>
      <w:r w:rsidRPr="004D54A4">
        <w:rPr>
          <w:rFonts w:eastAsia="Arial" w:cs="Arial"/>
          <w:color w:val="000000" w:themeColor="text1"/>
        </w:rPr>
        <w:t xml:space="preserve">Australian Institute of Health and Welfare </w:t>
      </w:r>
      <w:r w:rsidRPr="00CD60B6">
        <w:rPr>
          <w:rFonts w:eastAsia="Arial" w:cs="Arial"/>
          <w:color w:val="000000" w:themeColor="text1"/>
        </w:rPr>
        <w:t>2021</w:t>
      </w:r>
      <w:r w:rsidR="66747035" w:rsidRPr="00CD60B6">
        <w:rPr>
          <w:rFonts w:eastAsia="Arial" w:cs="Arial"/>
          <w:color w:val="000000" w:themeColor="text1"/>
        </w:rPr>
        <w:t>,</w:t>
      </w:r>
      <w:r w:rsidRPr="00CD60B6">
        <w:rPr>
          <w:rFonts w:eastAsia="Arial" w:cs="Arial"/>
          <w:color w:val="45494B"/>
        </w:rPr>
        <w:t xml:space="preserve"> </w:t>
      </w:r>
      <w:hyperlink r:id="rId56">
        <w:r w:rsidRPr="004D54A4">
          <w:rPr>
            <w:rStyle w:val="Hyperlink"/>
            <w:rFonts w:eastAsia="Arial"/>
            <w:i/>
          </w:rPr>
          <w:t>Australian Burden of Disease Study 2018: Interactive data on risk factor burden</w:t>
        </w:r>
      </w:hyperlink>
      <w:r w:rsidRPr="00533D6E">
        <w:rPr>
          <w:rFonts w:eastAsia="Arial" w:cs="Arial"/>
          <w:color w:val="45494B"/>
        </w:rPr>
        <w:t xml:space="preserve">, </w:t>
      </w:r>
      <w:r w:rsidRPr="004D54A4">
        <w:rPr>
          <w:rFonts w:eastAsia="Arial" w:cs="Arial"/>
          <w:color w:val="000000" w:themeColor="text1"/>
        </w:rPr>
        <w:t xml:space="preserve">AIHW, Australian Government, </w:t>
      </w:r>
      <w:r w:rsidR="21D9B790" w:rsidRPr="00CD60B6">
        <w:rPr>
          <w:rFonts w:eastAsia="Arial" w:cs="Arial"/>
          <w:color w:val="000000" w:themeColor="text1"/>
        </w:rPr>
        <w:t>(view</w:t>
      </w:r>
      <w:r w:rsidRPr="00CD60B6">
        <w:rPr>
          <w:rFonts w:eastAsia="Arial" w:cs="Arial"/>
          <w:color w:val="000000" w:themeColor="text1"/>
        </w:rPr>
        <w:t>ed 06 October 2022</w:t>
      </w:r>
      <w:r w:rsidR="59118F70" w:rsidRPr="00CD60B6">
        <w:rPr>
          <w:rFonts w:eastAsia="Arial" w:cs="Arial"/>
          <w:color w:val="000000" w:themeColor="text1"/>
        </w:rPr>
        <w:t>)</w:t>
      </w:r>
      <w:r w:rsidRPr="00CD60B6">
        <w:rPr>
          <w:rFonts w:eastAsia="Arial" w:cs="Arial"/>
          <w:color w:val="000000" w:themeColor="text1"/>
        </w:rPr>
        <w:t xml:space="preserve">. </w:t>
      </w:r>
      <w:r w:rsidR="003C59A1">
        <w:t xml:space="preserve">Available at </w:t>
      </w:r>
      <w:r w:rsidR="00807061" w:rsidRPr="00CD60B6">
        <w:rPr>
          <w:rFonts w:eastAsia="Arial" w:cs="Arial"/>
          <w:color w:val="000000" w:themeColor="text1"/>
        </w:rPr>
        <w:t>&lt;https://www.aihw.gov.au/reports/burden-of-disease/abds-2018-interactive-data-risk-factors&gt;</w:t>
      </w:r>
      <w:r w:rsidR="008245B0">
        <w:rPr>
          <w:rFonts w:eastAsia="Arial" w:cs="Arial"/>
          <w:color w:val="000000" w:themeColor="text1"/>
        </w:rPr>
        <w:t>.</w:t>
      </w:r>
    </w:p>
    <w:p w14:paraId="1CAFD3A7" w14:textId="22991DEA" w:rsidR="003F22FD" w:rsidRPr="0071202A" w:rsidRDefault="003F22FD" w:rsidP="003F22FD">
      <w:pPr>
        <w:pStyle w:val="Body"/>
        <w:rPr>
          <w:rFonts w:eastAsia="Arial" w:cs="Arial"/>
          <w:color w:val="000000" w:themeColor="text1"/>
        </w:rPr>
      </w:pPr>
      <w:r w:rsidRPr="00CD60B6">
        <w:rPr>
          <w:rFonts w:eastAsia="Arial" w:cs="Arial"/>
          <w:color w:val="000000" w:themeColor="text1"/>
        </w:rPr>
        <w:t xml:space="preserve">Australian Institute of Health and Welfare </w:t>
      </w:r>
      <w:r w:rsidRPr="0071202A">
        <w:rPr>
          <w:rFonts w:eastAsia="Arial" w:cs="Arial"/>
          <w:color w:val="000000" w:themeColor="text1"/>
        </w:rPr>
        <w:t>2021</w:t>
      </w:r>
      <w:r w:rsidR="1385C956" w:rsidRPr="0071202A">
        <w:rPr>
          <w:rFonts w:eastAsia="Arial" w:cs="Arial"/>
          <w:color w:val="000000" w:themeColor="text1"/>
        </w:rPr>
        <w:t>,</w:t>
      </w:r>
      <w:r w:rsidRPr="0071202A">
        <w:rPr>
          <w:rFonts w:eastAsia="Arial" w:cs="Arial"/>
          <w:color w:val="45494B"/>
        </w:rPr>
        <w:t xml:space="preserve"> </w:t>
      </w:r>
      <w:hyperlink r:id="rId57">
        <w:r w:rsidRPr="004D54A4">
          <w:rPr>
            <w:rStyle w:val="Hyperlink"/>
            <w:rFonts w:eastAsia="Arial"/>
            <w:i/>
          </w:rPr>
          <w:t>Australian Burden of Disease Study 2018: key findings for Aboriginal and Torres Strait Islander people</w:t>
        </w:r>
      </w:hyperlink>
      <w:r w:rsidRPr="00533D6E">
        <w:rPr>
          <w:rFonts w:eastAsia="Arial" w:cs="Arial"/>
          <w:color w:val="45494B"/>
        </w:rPr>
        <w:t>,</w:t>
      </w:r>
      <w:r w:rsidRPr="004D54A4">
        <w:rPr>
          <w:rFonts w:eastAsia="Arial" w:cs="Arial"/>
          <w:color w:val="45494B"/>
        </w:rPr>
        <w:t xml:space="preserve"> </w:t>
      </w:r>
      <w:r w:rsidRPr="00CD60B6">
        <w:rPr>
          <w:rFonts w:eastAsia="Arial" w:cs="Arial"/>
          <w:color w:val="000000" w:themeColor="text1"/>
        </w:rPr>
        <w:t xml:space="preserve">AIHW, Australian Government, </w:t>
      </w:r>
      <w:r w:rsidR="4A3B695A" w:rsidRPr="0071202A">
        <w:rPr>
          <w:rFonts w:eastAsia="Arial" w:cs="Arial"/>
          <w:color w:val="000000" w:themeColor="text1"/>
        </w:rPr>
        <w:t>(view</w:t>
      </w:r>
      <w:r w:rsidRPr="0071202A">
        <w:rPr>
          <w:rFonts w:eastAsia="Arial" w:cs="Arial"/>
          <w:color w:val="000000" w:themeColor="text1"/>
        </w:rPr>
        <w:t>ed 06 October 2022</w:t>
      </w:r>
      <w:r w:rsidR="026DA1DC" w:rsidRPr="0071202A">
        <w:rPr>
          <w:rFonts w:eastAsia="Arial" w:cs="Arial"/>
          <w:color w:val="000000" w:themeColor="text1"/>
        </w:rPr>
        <w:t>)</w:t>
      </w:r>
      <w:r w:rsidRPr="0071202A">
        <w:rPr>
          <w:rFonts w:eastAsia="Arial" w:cs="Arial"/>
          <w:color w:val="000000" w:themeColor="text1"/>
        </w:rPr>
        <w:t xml:space="preserve">. </w:t>
      </w:r>
      <w:r w:rsidR="003C59A1">
        <w:t xml:space="preserve">Available at </w:t>
      </w:r>
      <w:r w:rsidR="00807061" w:rsidRPr="0071202A">
        <w:rPr>
          <w:rFonts w:eastAsia="Arial" w:cs="Arial"/>
          <w:color w:val="000000" w:themeColor="text1"/>
        </w:rPr>
        <w:t>&lt;https://www.aihw.gov.au/reports/burden-of-disease/australian-bod-study-2018-key-findings-indigenous&gt;</w:t>
      </w:r>
      <w:r w:rsidR="008245B0">
        <w:rPr>
          <w:rFonts w:eastAsia="Arial" w:cs="Arial"/>
          <w:color w:val="000000" w:themeColor="text1"/>
        </w:rPr>
        <w:t>.</w:t>
      </w:r>
    </w:p>
    <w:p w14:paraId="20576531" w14:textId="33401310" w:rsidR="003F22FD" w:rsidRPr="00450076" w:rsidRDefault="003F22FD" w:rsidP="003F22FD">
      <w:pPr>
        <w:pStyle w:val="Body"/>
      </w:pPr>
      <w:r w:rsidRPr="00450076">
        <w:t xml:space="preserve">Australian Institute of Health and Welfare 2022, </w:t>
      </w:r>
      <w:hyperlink r:id="rId58" w:tgtFrame="_blank" w:history="1">
        <w:r w:rsidRPr="00450076">
          <w:rPr>
            <w:rStyle w:val="Hyperlink"/>
          </w:rPr>
          <w:t>Alcohol, tobacco and other drugs in Australia</w:t>
        </w:r>
      </w:hyperlink>
      <w:r w:rsidRPr="00450076">
        <w:t>, Australian Government, Canberra</w:t>
      </w:r>
      <w:r w:rsidR="003C59A1">
        <w:t>. Available at</w:t>
      </w:r>
      <w:r w:rsidRPr="00450076">
        <w:t> </w:t>
      </w:r>
      <w:r w:rsidR="00807061">
        <w:t>&lt;</w:t>
      </w:r>
      <w:r w:rsidR="00807061" w:rsidRPr="00807061">
        <w:t>https://www.aihw.gov.au/reports/alcohol/alcohol-tobacco-other-drugs-australia/contents/about</w:t>
      </w:r>
      <w:r w:rsidR="00807061">
        <w:t>&gt;</w:t>
      </w:r>
      <w:r w:rsidR="00432062">
        <w:t>.</w:t>
      </w:r>
    </w:p>
    <w:p w14:paraId="53D1D321" w14:textId="73FAD859" w:rsidR="003F22FD" w:rsidRDefault="003F22FD" w:rsidP="003F22FD">
      <w:pPr>
        <w:pStyle w:val="Body"/>
      </w:pPr>
      <w:r>
        <w:lastRenderedPageBreak/>
        <w:t xml:space="preserve">Consultative Council on Obstetric and Paediatric Mortality and Morbidity (CCOPMM), 2021, </w:t>
      </w:r>
      <w:r w:rsidRPr="006C215B">
        <w:rPr>
          <w:i/>
          <w:iCs/>
        </w:rPr>
        <w:t>Victoria’s Mothers, Babies and Children 2019,</w:t>
      </w:r>
      <w:r>
        <w:t xml:space="preserve"> Safer Care Victoria, Victorian Government, Melbourne</w:t>
      </w:r>
      <w:r w:rsidR="00432062">
        <w:t>.</w:t>
      </w:r>
    </w:p>
    <w:p w14:paraId="339D7A06" w14:textId="77777777" w:rsidR="003F22FD" w:rsidRDefault="003F22FD" w:rsidP="003F22FD">
      <w:pPr>
        <w:pStyle w:val="Body"/>
        <w:rPr>
          <w:rFonts w:cs="Arial"/>
          <w:color w:val="2A2736"/>
        </w:rPr>
      </w:pPr>
      <w:r>
        <w:rPr>
          <w:rFonts w:cs="Arial"/>
          <w:color w:val="2A2736"/>
        </w:rPr>
        <w:t>Simmonds M, Llewellyn A, Owen C and Woolacott N, 2016, 'Predicting adult obesity from childhood obesity: a systematic review and meta-analysis', Obesity Reviews, vol. 174, no. 2.</w:t>
      </w:r>
    </w:p>
    <w:p w14:paraId="3B5EF446" w14:textId="7D406C07" w:rsidR="003F22FD" w:rsidRPr="00450076" w:rsidRDefault="003F22FD" w:rsidP="003F22FD">
      <w:pPr>
        <w:pStyle w:val="Body"/>
      </w:pPr>
      <w:r w:rsidRPr="00450076">
        <w:t xml:space="preserve">Turning Point 2017a – AODstats 2019, </w:t>
      </w:r>
      <w:hyperlink r:id="rId59" w:tgtFrame="_blank" w:history="1">
        <w:r w:rsidRPr="00450076">
          <w:rPr>
            <w:rStyle w:val="Hyperlink"/>
          </w:rPr>
          <w:t>Alcohol and family violence</w:t>
        </w:r>
      </w:hyperlink>
      <w:r w:rsidRPr="00450076">
        <w:t>, Turning Point, Melbourne</w:t>
      </w:r>
      <w:r w:rsidR="00486553">
        <w:t>.</w:t>
      </w:r>
      <w:r w:rsidRPr="00450076">
        <w:t> </w:t>
      </w:r>
      <w:r w:rsidR="00127C44" w:rsidRPr="00127C44">
        <w:t xml:space="preserve"> </w:t>
      </w:r>
      <w:r w:rsidR="00127C44">
        <w:t>Available at</w:t>
      </w:r>
      <w:r w:rsidRPr="00450076">
        <w:t> </w:t>
      </w:r>
      <w:r w:rsidR="00486553">
        <w:t>&lt;</w:t>
      </w:r>
      <w:r w:rsidR="00486553" w:rsidRPr="00486553">
        <w:t>https://aodstats.org.au/explore-data/family-violence/</w:t>
      </w:r>
      <w:r w:rsidR="00486553">
        <w:t>&gt;</w:t>
      </w:r>
      <w:r w:rsidR="00B025BF">
        <w:t>.</w:t>
      </w:r>
    </w:p>
    <w:p w14:paraId="44CDEED5" w14:textId="7F5CC4B7" w:rsidR="003F22FD" w:rsidRPr="00450076" w:rsidRDefault="003F22FD" w:rsidP="003F22FD">
      <w:pPr>
        <w:pStyle w:val="Body"/>
      </w:pPr>
      <w:r w:rsidRPr="00450076">
        <w:t xml:space="preserve">Turning Point 2017b, AODstats 2019 </w:t>
      </w:r>
      <w:hyperlink r:id="rId60" w:tgtFrame="_blank" w:history="1">
        <w:r w:rsidRPr="00450076">
          <w:rPr>
            <w:rStyle w:val="Hyperlink"/>
          </w:rPr>
          <w:t>Ambulance and alcohol and drug statistics</w:t>
        </w:r>
      </w:hyperlink>
      <w:r w:rsidRPr="00450076">
        <w:t>, Turning Point, Melbourne</w:t>
      </w:r>
      <w:r w:rsidR="00486553">
        <w:t>.</w:t>
      </w:r>
      <w:r w:rsidR="00127C44" w:rsidRPr="00127C44">
        <w:t xml:space="preserve"> </w:t>
      </w:r>
      <w:r w:rsidR="00127C44">
        <w:t>Available at</w:t>
      </w:r>
      <w:r w:rsidRPr="00450076">
        <w:t> </w:t>
      </w:r>
      <w:r w:rsidR="00486553">
        <w:t>&lt;</w:t>
      </w:r>
      <w:r w:rsidR="00486553" w:rsidRPr="00486553">
        <w:t>https://aodstats.org.au/explore-data/ambulance-attendances/</w:t>
      </w:r>
      <w:r w:rsidR="00486553">
        <w:t>&gt;</w:t>
      </w:r>
      <w:r w:rsidR="00B025BF">
        <w:t>.</w:t>
      </w:r>
    </w:p>
    <w:p w14:paraId="2B502D35" w14:textId="30E6D138" w:rsidR="003F22FD" w:rsidRPr="00450076" w:rsidRDefault="003F22FD" w:rsidP="003F22FD">
      <w:pPr>
        <w:pStyle w:val="Body"/>
      </w:pPr>
      <w:r w:rsidRPr="00450076">
        <w:t xml:space="preserve">Turning Point 2017c, AODstats 2019 </w:t>
      </w:r>
      <w:hyperlink r:id="rId61" w:tgtFrame="_blank" w:history="1">
        <w:r w:rsidRPr="00450076">
          <w:rPr>
            <w:rStyle w:val="Hyperlink"/>
          </w:rPr>
          <w:t>Specialist alcohol and drug treatment</w:t>
        </w:r>
      </w:hyperlink>
      <w:r w:rsidRPr="00450076">
        <w:t>, Turning Point, Melbourne. </w:t>
      </w:r>
      <w:r w:rsidR="00127C44" w:rsidRPr="00127C44">
        <w:t xml:space="preserve"> </w:t>
      </w:r>
      <w:r w:rsidR="00127C44">
        <w:t>Available at</w:t>
      </w:r>
      <w:r w:rsidRPr="00450076">
        <w:t> </w:t>
      </w:r>
      <w:r w:rsidR="00486553">
        <w:t>&lt;</w:t>
      </w:r>
      <w:r w:rsidR="00486553" w:rsidRPr="00486553">
        <w:t>https://aodstats.org.au/explore-data/treatment-services-vadc/</w:t>
      </w:r>
      <w:r w:rsidR="00486553">
        <w:t>&gt;</w:t>
      </w:r>
      <w:r w:rsidR="00B025BF">
        <w:t>.</w:t>
      </w:r>
    </w:p>
    <w:p w14:paraId="3DE31D33" w14:textId="205CC1A6" w:rsidR="003F22FD" w:rsidRPr="00450076" w:rsidRDefault="003F22FD" w:rsidP="003F22FD">
      <w:pPr>
        <w:pStyle w:val="Body"/>
      </w:pPr>
      <w:r>
        <w:t xml:space="preserve">Victorian Agency for Health Information 2019, </w:t>
      </w:r>
      <w:r w:rsidR="2E0AF861" w:rsidRPr="002F62EB">
        <w:t>‘</w:t>
      </w:r>
      <w:r>
        <w:t xml:space="preserve">Victorian Population Health Survey </w:t>
      </w:r>
      <w:r w:rsidRPr="002F62EB">
        <w:t>2019</w:t>
      </w:r>
      <w:r w:rsidR="2E4C89FB" w:rsidRPr="002F62EB">
        <w:t>’</w:t>
      </w:r>
      <w:r w:rsidRPr="002F62EB">
        <w:t xml:space="preserve">, </w:t>
      </w:r>
      <w:r w:rsidR="72E967B2" w:rsidRPr="002F62EB">
        <w:t>State of Victoria</w:t>
      </w:r>
      <w:r>
        <w:t>, Melbourne.</w:t>
      </w:r>
    </w:p>
    <w:p w14:paraId="4CE40A4A" w14:textId="2E75E05E" w:rsidR="003F22FD" w:rsidRDefault="003F22FD" w:rsidP="003F22FD">
      <w:pPr>
        <w:pStyle w:val="Body"/>
        <w:rPr>
          <w:rFonts w:cs="Arial"/>
          <w:color w:val="2A2736"/>
        </w:rPr>
      </w:pPr>
      <w:r>
        <w:t xml:space="preserve">Victorian Agency for Health Information 2021, </w:t>
      </w:r>
      <w:r w:rsidR="17369432" w:rsidRPr="002F62EB">
        <w:t>‘</w:t>
      </w:r>
      <w:r>
        <w:t xml:space="preserve">Victorian Population Health Survey 2019: summary of </w:t>
      </w:r>
      <w:r w:rsidRPr="002F62EB">
        <w:t>results</w:t>
      </w:r>
      <w:r w:rsidR="0E652318" w:rsidRPr="002F62EB">
        <w:t>’</w:t>
      </w:r>
      <w:r>
        <w:t>, State of Victoria, Melbourne</w:t>
      </w:r>
      <w:r>
        <w:rPr>
          <w:rFonts w:cs="Arial"/>
          <w:color w:val="2A2736"/>
        </w:rPr>
        <w:t>.</w:t>
      </w:r>
    </w:p>
    <w:p w14:paraId="636B8DC6" w14:textId="64D78EF4" w:rsidR="003F22FD" w:rsidRDefault="003F22FD" w:rsidP="003F22FD">
      <w:pPr>
        <w:pStyle w:val="Body"/>
        <w:rPr>
          <w:rFonts w:cs="Arial"/>
          <w:color w:val="2A2736"/>
        </w:rPr>
      </w:pPr>
      <w:r>
        <w:rPr>
          <w:rFonts w:cs="Arial"/>
          <w:color w:val="2A2736"/>
        </w:rPr>
        <w:t xml:space="preserve">World Health Organization 2013, </w:t>
      </w:r>
      <w:r w:rsidR="0530A71B" w:rsidRPr="002F62EB">
        <w:rPr>
          <w:rFonts w:cs="Arial"/>
          <w:color w:val="2A2736"/>
        </w:rPr>
        <w:t>‘</w:t>
      </w:r>
      <w:r>
        <w:rPr>
          <w:rFonts w:cs="Arial"/>
          <w:color w:val="2A2736"/>
        </w:rPr>
        <w:t xml:space="preserve">Overweight and obesity fact sheet number </w:t>
      </w:r>
      <w:r w:rsidRPr="002F62EB">
        <w:rPr>
          <w:rFonts w:cs="Arial"/>
          <w:color w:val="2A2736"/>
        </w:rPr>
        <w:t>311</w:t>
      </w:r>
      <w:r w:rsidR="47E77FB0" w:rsidRPr="002F62EB">
        <w:rPr>
          <w:rFonts w:cs="Arial"/>
          <w:color w:val="2A2736"/>
        </w:rPr>
        <w:t>’</w:t>
      </w:r>
      <w:r>
        <w:rPr>
          <w:rFonts w:cs="Arial"/>
          <w:color w:val="2A2736"/>
        </w:rPr>
        <w:t>, World Health Organization, Geneva.</w:t>
      </w:r>
    </w:p>
    <w:p w14:paraId="4A940EB4" w14:textId="2841A67F" w:rsidR="00D541AC" w:rsidRDefault="000E5EC6">
      <w:pPr>
        <w:spacing w:after="0" w:line="240" w:lineRule="auto"/>
        <w:rPr>
          <w:rFonts w:eastAsia="Times"/>
        </w:rPr>
      </w:pPr>
      <w:r>
        <w:br w:type="page"/>
      </w:r>
    </w:p>
    <w:p w14:paraId="14CC8375" w14:textId="01F2281E" w:rsidR="00A134E8" w:rsidRPr="00A71CE4" w:rsidRDefault="00FE43E5" w:rsidP="00A134E8">
      <w:pPr>
        <w:pStyle w:val="Heading1"/>
        <w:spacing w:before="0"/>
      </w:pPr>
      <w:bookmarkStart w:id="86" w:name="_Toc116981340"/>
      <w:bookmarkStart w:id="87" w:name="_Toc128138648"/>
      <w:r>
        <w:lastRenderedPageBreak/>
        <w:t xml:space="preserve">Chapter </w:t>
      </w:r>
      <w:r w:rsidR="00D74A0D">
        <w:t>9</w:t>
      </w:r>
      <w:r>
        <w:t xml:space="preserve"> </w:t>
      </w:r>
      <w:r w:rsidR="009F45EF">
        <w:t>–</w:t>
      </w:r>
      <w:r>
        <w:t xml:space="preserve"> </w:t>
      </w:r>
      <w:r w:rsidR="004D77E2">
        <w:t>Healthy Living</w:t>
      </w:r>
      <w:bookmarkEnd w:id="86"/>
      <w:bookmarkEnd w:id="87"/>
      <w:r w:rsidR="004D77E2">
        <w:t xml:space="preserve"> </w:t>
      </w:r>
    </w:p>
    <w:p w14:paraId="414671CD" w14:textId="69F946F6" w:rsidR="004E1880" w:rsidRDefault="00C22825" w:rsidP="006B606B">
      <w:pPr>
        <w:pStyle w:val="Body"/>
      </w:pPr>
      <w:r w:rsidRPr="006B606B">
        <w:t xml:space="preserve">This section </w:t>
      </w:r>
      <w:r w:rsidR="009F45EF">
        <w:t xml:space="preserve">of </w:t>
      </w:r>
      <w:r w:rsidR="009F45EF">
        <w:rPr>
          <w:i/>
          <w:iCs/>
        </w:rPr>
        <w:t xml:space="preserve">Your health </w:t>
      </w:r>
      <w:r w:rsidRPr="006B606B">
        <w:t xml:space="preserve">provides information </w:t>
      </w:r>
      <w:r w:rsidR="0059379B" w:rsidRPr="006B606B">
        <w:t xml:space="preserve">on </w:t>
      </w:r>
      <w:r w:rsidR="004E1880">
        <w:t xml:space="preserve">healthy living, including </w:t>
      </w:r>
      <w:r w:rsidR="0059379B" w:rsidRPr="006B606B">
        <w:t xml:space="preserve">the recommended </w:t>
      </w:r>
      <w:r w:rsidR="009F45EF">
        <w:t xml:space="preserve">daily </w:t>
      </w:r>
      <w:r w:rsidR="69716441">
        <w:t>i</w:t>
      </w:r>
      <w:r w:rsidR="0059379B" w:rsidRPr="006B606B">
        <w:t xml:space="preserve">ntake of </w:t>
      </w:r>
      <w:r w:rsidRPr="006B606B">
        <w:t>fruit and vegetables</w:t>
      </w:r>
      <w:r w:rsidR="004E1880">
        <w:t xml:space="preserve"> </w:t>
      </w:r>
      <w:r w:rsidR="006B606B" w:rsidRPr="006B606B">
        <w:t xml:space="preserve">and the </w:t>
      </w:r>
      <w:r w:rsidR="009F45EF">
        <w:t xml:space="preserve">recommended daily </w:t>
      </w:r>
      <w:r w:rsidR="006B606B" w:rsidRPr="006B606B">
        <w:t xml:space="preserve">amount of </w:t>
      </w:r>
      <w:r w:rsidRPr="006B606B">
        <w:t>physical activity</w:t>
      </w:r>
      <w:r w:rsidR="004E1880">
        <w:t xml:space="preserve">. </w:t>
      </w:r>
      <w:r w:rsidRPr="006B606B">
        <w:t xml:space="preserve">It also discusses </w:t>
      </w:r>
      <w:r w:rsidR="00D861B2">
        <w:t>the</w:t>
      </w:r>
      <w:r w:rsidRPr="006B606B">
        <w:t xml:space="preserve"> importan</w:t>
      </w:r>
      <w:r w:rsidR="004E1880">
        <w:t>ce of</w:t>
      </w:r>
      <w:r w:rsidRPr="006B606B">
        <w:t xml:space="preserve"> </w:t>
      </w:r>
      <w:r w:rsidR="004E1880">
        <w:t xml:space="preserve">quitting </w:t>
      </w:r>
      <w:r w:rsidRPr="006B606B">
        <w:t>smok</w:t>
      </w:r>
      <w:r w:rsidR="004E1880">
        <w:t>ing</w:t>
      </w:r>
      <w:r w:rsidR="00950ECC">
        <w:t xml:space="preserve">. </w:t>
      </w:r>
    </w:p>
    <w:p w14:paraId="35F11EDE" w14:textId="653E5815" w:rsidR="00B24E70" w:rsidRDefault="00B24E70" w:rsidP="008403FD">
      <w:pPr>
        <w:pStyle w:val="Heading2"/>
      </w:pPr>
      <w:bookmarkStart w:id="88" w:name="_Toc116981341"/>
      <w:r>
        <w:t>Healthy eating</w:t>
      </w:r>
      <w:bookmarkEnd w:id="88"/>
    </w:p>
    <w:p w14:paraId="26FE2B41" w14:textId="77777777" w:rsidR="00295E03" w:rsidRPr="00F83F5C" w:rsidRDefault="00295E03" w:rsidP="00295E03">
      <w:pPr>
        <w:pStyle w:val="Body"/>
      </w:pPr>
      <w:r w:rsidRPr="00F83F5C">
        <w:t>Poor diet is a leading contributor to chronic disease and premature death in Victoria.</w:t>
      </w:r>
    </w:p>
    <w:p w14:paraId="7FCE23B7" w14:textId="124E774C" w:rsidR="00295E03" w:rsidRPr="00F83F5C" w:rsidRDefault="00295E03" w:rsidP="00295E03">
      <w:pPr>
        <w:pStyle w:val="Body"/>
      </w:pPr>
      <w:r w:rsidRPr="00F83F5C">
        <w:t xml:space="preserve">Good nutrition is essential for health and wellbeing </w:t>
      </w:r>
      <w:r w:rsidR="00510BB4">
        <w:t xml:space="preserve">because it helps </w:t>
      </w:r>
      <w:r w:rsidRPr="00F83F5C">
        <w:t>maintain mental and physical health, a healthy weight, resistance to infection</w:t>
      </w:r>
      <w:r w:rsidR="00510BB4">
        <w:t>,</w:t>
      </w:r>
      <w:r w:rsidRPr="00F83F5C">
        <w:t xml:space="preserve"> and protect against chronic disease. For infants and children, good nutrition is essential for optimal growth, development</w:t>
      </w:r>
      <w:r w:rsidR="00510BB4">
        <w:t>,</w:t>
      </w:r>
      <w:r w:rsidRPr="00F83F5C">
        <w:t xml:space="preserve"> and learning. </w:t>
      </w:r>
    </w:p>
    <w:p w14:paraId="223D3225" w14:textId="1F7127FB" w:rsidR="00295E03" w:rsidRPr="00F83F5C" w:rsidRDefault="00295E03" w:rsidP="00295E03">
      <w:pPr>
        <w:pStyle w:val="Body"/>
      </w:pPr>
      <w:r w:rsidRPr="00F83F5C">
        <w:t>Poor diet increases the risk of cardiovascular disease, type 2 diabetes</w:t>
      </w:r>
      <w:r w:rsidR="00510BB4">
        <w:t>,</w:t>
      </w:r>
      <w:r w:rsidRPr="00F83F5C">
        <w:t xml:space="preserve"> and some cancers associated with </w:t>
      </w:r>
      <w:hyperlink r:id="rId62" w:history="1">
        <w:r w:rsidRPr="00F83F5C">
          <w:t>obesity</w:t>
        </w:r>
      </w:hyperlink>
      <w:r w:rsidRPr="00F83F5C">
        <w:t>.</w:t>
      </w:r>
    </w:p>
    <w:p w14:paraId="20B9894A" w14:textId="39FF4A10" w:rsidR="00295E03" w:rsidRPr="00F83F5C" w:rsidRDefault="00295E03" w:rsidP="00295E03">
      <w:pPr>
        <w:pStyle w:val="Body"/>
      </w:pPr>
      <w:r w:rsidRPr="00F83F5C">
        <w:t>Healthy eating has strong links to promoting mental health and treating mental illness, such as depression. For example</w:t>
      </w:r>
      <w:r w:rsidR="71A4BC8D">
        <w:t>,</w:t>
      </w:r>
      <w:r w:rsidRPr="00F83F5C">
        <w:t xml:space="preserve"> people who eat a healthy diet (a diet rich in vegetables, fruits, wholegrains, fish) are up to 35 per cent less likely to experience depression</w:t>
      </w:r>
      <w:r w:rsidR="00510BB4">
        <w:t>. C</w:t>
      </w:r>
      <w:r w:rsidRPr="00F83F5C">
        <w:t>onversely, a diet high in processed and nutritionally poor foods can increase the risk of developing depression</w:t>
      </w:r>
      <w:r w:rsidR="00FC4ECC">
        <w:t xml:space="preserve"> (Deakin University Food and Mood Centre, 2018)</w:t>
      </w:r>
      <w:r w:rsidRPr="00F83F5C">
        <w:t xml:space="preserve">. </w:t>
      </w:r>
    </w:p>
    <w:p w14:paraId="08D4992E" w14:textId="6C61D23C" w:rsidR="00295E03" w:rsidRPr="00F83F5C" w:rsidRDefault="00295E03" w:rsidP="00295E03">
      <w:pPr>
        <w:pStyle w:val="Body"/>
      </w:pPr>
      <w:r w:rsidRPr="00F83F5C">
        <w:t>Promoting healthy eating offers co-benefits for mitigating climate change</w:t>
      </w:r>
      <w:r w:rsidR="00AC19A8">
        <w:t xml:space="preserve"> and reducing environmental impacts</w:t>
      </w:r>
      <w:r w:rsidRPr="00F83F5C">
        <w:t>. For example</w:t>
      </w:r>
      <w:r w:rsidR="000A6A32" w:rsidRPr="00F83F5C">
        <w:t>,</w:t>
      </w:r>
      <w:r w:rsidRPr="00F83F5C">
        <w:t xml:space="preserve"> a diet high in fruit and vegetables and low in highly processed, discretionary foods can have less impact on the environment. </w:t>
      </w:r>
    </w:p>
    <w:p w14:paraId="5F051D27" w14:textId="77777777" w:rsidR="00295E03" w:rsidRDefault="00295E03" w:rsidP="00295E03">
      <w:pPr>
        <w:pStyle w:val="Heading3"/>
        <w:rPr>
          <w:sz w:val="36"/>
          <w:lang w:eastAsia="en-AU"/>
        </w:rPr>
      </w:pPr>
      <w:r>
        <w:t>Dietary recommendations</w:t>
      </w:r>
    </w:p>
    <w:p w14:paraId="623C37C9" w14:textId="77777777" w:rsidR="00295E03" w:rsidRPr="00F83F5C" w:rsidRDefault="00295E03" w:rsidP="00295E03">
      <w:pPr>
        <w:pStyle w:val="Body"/>
      </w:pPr>
      <w:r w:rsidRPr="00F83F5C">
        <w:t>Dietary recommendations for health focus on encouraging a wide variety of nutritious foods from the five food groups every day. These recommendations are outlined in the </w:t>
      </w:r>
      <w:hyperlink r:id="rId63" w:tgtFrame="_blank" w:history="1">
        <w:r w:rsidRPr="00F83F5C">
          <w:t>2013 Australian dietary guidelines</w:t>
        </w:r>
      </w:hyperlink>
      <w:r w:rsidRPr="00F83F5C">
        <w:t>.</w:t>
      </w:r>
    </w:p>
    <w:p w14:paraId="3B34F2F6" w14:textId="77777777" w:rsidR="00295E03" w:rsidRPr="00F83F5C" w:rsidRDefault="00295E03" w:rsidP="00295E03">
      <w:pPr>
        <w:pStyle w:val="Body"/>
      </w:pPr>
      <w:r w:rsidRPr="00F83F5C">
        <w:t>Fruits and vegetables are important core foods that should form the foundation of a healthy diet.</w:t>
      </w:r>
    </w:p>
    <w:p w14:paraId="79599224" w14:textId="7FA4D505" w:rsidR="00295E03" w:rsidRPr="00F83F5C" w:rsidRDefault="00295E03" w:rsidP="00295E03">
      <w:pPr>
        <w:pStyle w:val="Body"/>
      </w:pPr>
      <w:r w:rsidRPr="00F83F5C">
        <w:t>These foods provide essential vitamins, minerals</w:t>
      </w:r>
      <w:r w:rsidR="00510BB4">
        <w:t>,</w:t>
      </w:r>
      <w:r w:rsidRPr="00F83F5C">
        <w:t xml:space="preserve"> and dietary fibre. They are critical for the prevention of many chronic diseases.</w:t>
      </w:r>
    </w:p>
    <w:p w14:paraId="7C4879EB" w14:textId="1B244820" w:rsidR="00295E03" w:rsidRPr="00F83F5C" w:rsidRDefault="00295E03" w:rsidP="00295E03">
      <w:pPr>
        <w:pStyle w:val="Body"/>
      </w:pPr>
      <w:r w:rsidRPr="00F83F5C">
        <w:t>It is important to reduce discretionary food and drink that is high in energy, saturated fat, added sugar and/or salt</w:t>
      </w:r>
      <w:r w:rsidR="00510BB4">
        <w:t xml:space="preserve"> – including junk food</w:t>
      </w:r>
      <w:r w:rsidRPr="00F83F5C">
        <w:t xml:space="preserve"> </w:t>
      </w:r>
      <w:r w:rsidR="00510BB4">
        <w:t xml:space="preserve">such as </w:t>
      </w:r>
      <w:r w:rsidRPr="00F83F5C">
        <w:t>sugar-sweetened beverages, many takeaway or ‘fast foods’</w:t>
      </w:r>
      <w:r w:rsidR="00510BB4">
        <w:t>,</w:t>
      </w:r>
      <w:r w:rsidRPr="00F83F5C">
        <w:t xml:space="preserve"> and alcohol.</w:t>
      </w:r>
    </w:p>
    <w:p w14:paraId="037A1C8B" w14:textId="6230628E" w:rsidR="00295E03" w:rsidRPr="00154E8A" w:rsidRDefault="00295E03" w:rsidP="00295E03">
      <w:pPr>
        <w:pStyle w:val="Body"/>
      </w:pPr>
      <w:r w:rsidRPr="00F83F5C">
        <w:t xml:space="preserve">Sugar-sweetened beverages </w:t>
      </w:r>
      <w:r w:rsidR="00510BB4">
        <w:t xml:space="preserve">in particular </w:t>
      </w:r>
      <w:r w:rsidRPr="00F83F5C">
        <w:t>are associated with lower intakes of nutrients</w:t>
      </w:r>
      <w:r w:rsidR="00510BB4">
        <w:t xml:space="preserve"> and an </w:t>
      </w:r>
      <w:r w:rsidRPr="00F83F5C">
        <w:t xml:space="preserve">increased risk of weight gain and </w:t>
      </w:r>
      <w:r w:rsidRPr="00154E8A">
        <w:t>obesity, diabetes</w:t>
      </w:r>
      <w:r w:rsidR="00510BB4">
        <w:t>,</w:t>
      </w:r>
      <w:r w:rsidRPr="00154E8A">
        <w:t xml:space="preserve"> and tooth decay (</w:t>
      </w:r>
      <w:r w:rsidR="00510BB4">
        <w:t>NHMRC,</w:t>
      </w:r>
      <w:r w:rsidRPr="00154E8A">
        <w:t xml:space="preserve"> 2013).</w:t>
      </w:r>
    </w:p>
    <w:p w14:paraId="7EA5B0D2" w14:textId="77777777" w:rsidR="00295E03" w:rsidRDefault="00295E03" w:rsidP="00295E03">
      <w:pPr>
        <w:pStyle w:val="Heading3"/>
        <w:rPr>
          <w:sz w:val="36"/>
          <w:lang w:eastAsia="en-AU"/>
        </w:rPr>
      </w:pPr>
      <w:r>
        <w:t>The state of healthy eating in Victoria</w:t>
      </w:r>
    </w:p>
    <w:p w14:paraId="357D6E90" w14:textId="61C64652" w:rsidR="00295E03" w:rsidRPr="0054504E" w:rsidRDefault="00295E03" w:rsidP="00295E03">
      <w:pPr>
        <w:pStyle w:val="Body"/>
      </w:pPr>
      <w:r w:rsidRPr="0054504E">
        <w:t xml:space="preserve">The following data relates to measures based on </w:t>
      </w:r>
      <w:r w:rsidR="00077EFF" w:rsidRPr="0054504E">
        <w:t>nationally</w:t>
      </w:r>
      <w:r w:rsidR="00077EFF">
        <w:t xml:space="preserve"> agreed</w:t>
      </w:r>
      <w:r w:rsidRPr="0054504E">
        <w:t xml:space="preserve"> standards</w:t>
      </w:r>
      <w:r w:rsidR="00816FEB">
        <w:t xml:space="preserve"> (</w:t>
      </w:r>
      <w:r w:rsidR="00510BB4">
        <w:t>NHMRC</w:t>
      </w:r>
      <w:r w:rsidR="00816FEB">
        <w:t>,</w:t>
      </w:r>
      <w:r w:rsidR="00816FEB" w:rsidRPr="00776103">
        <w:t xml:space="preserve"> 2013</w:t>
      </w:r>
      <w:r w:rsidR="00816FEB">
        <w:t>)</w:t>
      </w:r>
      <w:r w:rsidRPr="0054504E">
        <w:t>, including:</w:t>
      </w:r>
    </w:p>
    <w:p w14:paraId="280750F9" w14:textId="73B7A985" w:rsidR="00295E03" w:rsidRPr="0054504E" w:rsidRDefault="00510BB4" w:rsidP="000A6A32">
      <w:pPr>
        <w:pStyle w:val="Bullet1"/>
      </w:pPr>
      <w:r>
        <w:t>T</w:t>
      </w:r>
      <w:r w:rsidR="00295E03" w:rsidRPr="0054504E">
        <w:t>he proportion of adults, adolescents</w:t>
      </w:r>
      <w:r>
        <w:t>,</w:t>
      </w:r>
      <w:r w:rsidR="00295E03" w:rsidRPr="0054504E">
        <w:t xml:space="preserve"> and children who report</w:t>
      </w:r>
      <w:r>
        <w:t>ed</w:t>
      </w:r>
      <w:r w:rsidR="00295E03" w:rsidRPr="0054504E">
        <w:t xml:space="preserve"> consuming the recommended serves of fruit and vegetables to meet the 2013 Australian dietary guidelines</w:t>
      </w:r>
      <w:r>
        <w:t>.</w:t>
      </w:r>
    </w:p>
    <w:p w14:paraId="3BBA1EF3" w14:textId="62E84C8C" w:rsidR="00295E03" w:rsidRPr="0054504E" w:rsidRDefault="00510BB4" w:rsidP="000A6A32">
      <w:pPr>
        <w:pStyle w:val="Bullet1"/>
      </w:pPr>
      <w:r>
        <w:t>T</w:t>
      </w:r>
      <w:r w:rsidR="00295E03" w:rsidRPr="0054504E">
        <w:t>he proportion of adults, adolescents</w:t>
      </w:r>
      <w:r>
        <w:t>,</w:t>
      </w:r>
      <w:r w:rsidR="00295E03" w:rsidRPr="0054504E">
        <w:t xml:space="preserve"> and children who consume</w:t>
      </w:r>
      <w:r>
        <w:t>d</w:t>
      </w:r>
      <w:r w:rsidR="00295E03" w:rsidRPr="0054504E">
        <w:t xml:space="preserve"> sugar-sweetened beverages daily</w:t>
      </w:r>
      <w:r>
        <w:t>.</w:t>
      </w:r>
    </w:p>
    <w:p w14:paraId="6E42167C" w14:textId="382ECE3F" w:rsidR="00295E03" w:rsidRPr="00442695" w:rsidRDefault="00510BB4" w:rsidP="000A6A32">
      <w:pPr>
        <w:pStyle w:val="Bullet1"/>
      </w:pPr>
      <w:r>
        <w:lastRenderedPageBreak/>
        <w:t>T</w:t>
      </w:r>
      <w:r w:rsidR="00295E03" w:rsidRPr="0054504E">
        <w:t>he proportion of adults who consume</w:t>
      </w:r>
      <w:r>
        <w:t>d</w:t>
      </w:r>
      <w:r w:rsidR="00295E03" w:rsidRPr="0054504E">
        <w:t xml:space="preserve"> fast food/takeaway (meals or snacks such as burgers, pizza, fried chicken or chips from fast food chains or local take-away places) daily, weekly, </w:t>
      </w:r>
      <w:r w:rsidR="00295E03" w:rsidRPr="00442695">
        <w:t>monthly</w:t>
      </w:r>
      <w:r>
        <w:t>,</w:t>
      </w:r>
      <w:r w:rsidR="00295E03" w:rsidRPr="00442695">
        <w:t xml:space="preserve"> or </w:t>
      </w:r>
      <w:r>
        <w:t>annual</w:t>
      </w:r>
      <w:r w:rsidR="00295E03" w:rsidRPr="00442695">
        <w:t>ly</w:t>
      </w:r>
      <w:r>
        <w:t>.</w:t>
      </w:r>
    </w:p>
    <w:p w14:paraId="78657473" w14:textId="1F2D0492" w:rsidR="00295E03" w:rsidRPr="00442695" w:rsidRDefault="00295E03" w:rsidP="000A6A32">
      <w:pPr>
        <w:pStyle w:val="Bullet1"/>
      </w:pPr>
      <w:r w:rsidRPr="00442695">
        <w:t xml:space="preserve">Food insecurity with hunger was measured by asking the question: </w:t>
      </w:r>
      <w:r w:rsidR="00510BB4">
        <w:t>‘</w:t>
      </w:r>
      <w:r w:rsidRPr="00442695">
        <w:t>In the past 12 months was there any time when you ran out of food and couldn’t afford to buy more?</w:t>
      </w:r>
      <w:r w:rsidR="00510BB4">
        <w:t>’</w:t>
      </w:r>
    </w:p>
    <w:p w14:paraId="67316513" w14:textId="1D151A33" w:rsidR="00295E03" w:rsidRPr="00442695" w:rsidRDefault="00295E03" w:rsidP="000A6A32">
      <w:pPr>
        <w:pStyle w:val="Bullet1"/>
      </w:pPr>
      <w:r w:rsidRPr="00442695">
        <w:t>Food insecurity without hunger was measured by asking about: worrying about running out of money to buy food; reliance on unhealthy low-cost food as a strategy to avoid running out of money to buy food</w:t>
      </w:r>
      <w:r w:rsidR="00510BB4">
        <w:t>;</w:t>
      </w:r>
      <w:r w:rsidRPr="00442695">
        <w:t xml:space="preserve"> and not always having healthy food because of the belief that healthy food was too expensive.</w:t>
      </w:r>
    </w:p>
    <w:p w14:paraId="6CFF6922" w14:textId="77777777" w:rsidR="00295E03" w:rsidRDefault="00295E03" w:rsidP="00295E03">
      <w:pPr>
        <w:pStyle w:val="Heading4"/>
      </w:pPr>
      <w:r>
        <w:t>Fruit and vegetable intake</w:t>
      </w:r>
    </w:p>
    <w:p w14:paraId="1D713863" w14:textId="52BE0616" w:rsidR="00295E03" w:rsidRPr="0054504E" w:rsidRDefault="00295E03" w:rsidP="00295E03">
      <w:pPr>
        <w:pStyle w:val="Body"/>
      </w:pPr>
      <w:r w:rsidRPr="0054504E">
        <w:t xml:space="preserve">Many Victorians </w:t>
      </w:r>
      <w:r w:rsidR="00510BB4">
        <w:t xml:space="preserve">do not </w:t>
      </w:r>
      <w:r w:rsidRPr="0054504E">
        <w:t>consum</w:t>
      </w:r>
      <w:r w:rsidR="00510BB4">
        <w:t>e</w:t>
      </w:r>
      <w:r w:rsidRPr="0054504E">
        <w:t xml:space="preserve"> enough of the foods and drinks they need to stay healthy</w:t>
      </w:r>
      <w:r w:rsidR="0035760A">
        <w:t>.</w:t>
      </w:r>
      <w:r w:rsidR="00E06775">
        <w:t xml:space="preserve"> </w:t>
      </w:r>
      <w:r w:rsidR="00510BB4">
        <w:t>For instance</w:t>
      </w:r>
      <w:r w:rsidRPr="0054504E">
        <w:t>, fruit and vegetable intake for children and adults remain</w:t>
      </w:r>
      <w:r w:rsidR="00510BB4">
        <w:t>s</w:t>
      </w:r>
      <w:r w:rsidRPr="0054504E">
        <w:t xml:space="preserve"> low and falls short of recommendations.</w:t>
      </w:r>
    </w:p>
    <w:p w14:paraId="1B8CEB55" w14:textId="497188B9" w:rsidR="00295E03" w:rsidRPr="0054504E" w:rsidRDefault="00295E03" w:rsidP="00295E03">
      <w:pPr>
        <w:pStyle w:val="Body"/>
      </w:pPr>
      <w:r w:rsidRPr="0054504E">
        <w:t xml:space="preserve">In 2019, only </w:t>
      </w:r>
      <w:r w:rsidRPr="00FD4BC4">
        <w:t>3.6 per cent of adults in Victoria met the recommended minimum daily serves for vegetables and fruit</w:t>
      </w:r>
      <w:r w:rsidR="0020272E" w:rsidRPr="00FD4BC4">
        <w:t>.</w:t>
      </w:r>
      <w:r w:rsidRPr="0054504E">
        <w:t xml:space="preserve"> This low </w:t>
      </w:r>
      <w:r w:rsidR="00510BB4">
        <w:t xml:space="preserve">rate </w:t>
      </w:r>
      <w:r w:rsidRPr="0054504E">
        <w:t xml:space="preserve">remained unchanged </w:t>
      </w:r>
      <w:r w:rsidR="00510BB4">
        <w:t xml:space="preserve">between </w:t>
      </w:r>
      <w:r w:rsidRPr="0054504E">
        <w:t>2015</w:t>
      </w:r>
      <w:r w:rsidR="00510BB4">
        <w:t>-</w:t>
      </w:r>
      <w:r w:rsidRPr="0054504E">
        <w:t>2019</w:t>
      </w:r>
      <w:r w:rsidR="00510BB4">
        <w:t>.</w:t>
      </w:r>
      <w:r w:rsidRPr="0054504E">
        <w:t xml:space="preserve"> Fruit and vegetable consumption was lower in </w:t>
      </w:r>
      <w:r w:rsidR="00510BB4">
        <w:t xml:space="preserve">Victorians aged </w:t>
      </w:r>
      <w:r w:rsidRPr="00FD4BC4">
        <w:t>25</w:t>
      </w:r>
      <w:r w:rsidR="00940117" w:rsidRPr="00FD4BC4">
        <w:t xml:space="preserve"> to</w:t>
      </w:r>
      <w:r w:rsidR="00FD4BC4">
        <w:t xml:space="preserve"> </w:t>
      </w:r>
      <w:r w:rsidRPr="00FD4BC4">
        <w:t>34</w:t>
      </w:r>
      <w:r w:rsidR="00510BB4" w:rsidRPr="00FD4BC4">
        <w:t>,</w:t>
      </w:r>
      <w:r w:rsidRPr="0054504E">
        <w:t xml:space="preserve"> with only 1.6 per cent meeting both fruit and vegetable guidelines</w:t>
      </w:r>
      <w:r w:rsidR="00376D05">
        <w:t>,</w:t>
      </w:r>
      <w:r w:rsidRPr="0054504E">
        <w:t xml:space="preserve"> and higher in older adults,</w:t>
      </w:r>
      <w:r w:rsidR="00376D05">
        <w:t xml:space="preserve"> with </w:t>
      </w:r>
      <w:r w:rsidRPr="0054504E">
        <w:t xml:space="preserve">6.1 per cent </w:t>
      </w:r>
      <w:r w:rsidR="00376D05">
        <w:t xml:space="preserve">aged between </w:t>
      </w:r>
      <w:r w:rsidRPr="00070F23">
        <w:t>75</w:t>
      </w:r>
      <w:r w:rsidR="00940117" w:rsidRPr="00070F23">
        <w:t xml:space="preserve"> to </w:t>
      </w:r>
      <w:r w:rsidRPr="00070F23">
        <w:t>84</w:t>
      </w:r>
      <w:r w:rsidRPr="0054504E">
        <w:t xml:space="preserve"> eating sufficient fruit and vegetables (</w:t>
      </w:r>
      <w:r w:rsidR="00070F23">
        <w:t>VAHI</w:t>
      </w:r>
      <w:r w:rsidRPr="0054504E">
        <w:t>, 2021a).</w:t>
      </w:r>
    </w:p>
    <w:p w14:paraId="082CECA8" w14:textId="0609C554" w:rsidR="00295E03" w:rsidRPr="0054504E" w:rsidRDefault="00376D05" w:rsidP="00295E03">
      <w:pPr>
        <w:pStyle w:val="Body"/>
      </w:pPr>
      <w:r>
        <w:t xml:space="preserve">In 2017-18, only 6.5 per cent of </w:t>
      </w:r>
      <w:r w:rsidR="00295E03" w:rsidRPr="0054504E">
        <w:t xml:space="preserve">Victorian children aged </w:t>
      </w:r>
      <w:r w:rsidR="00295E03" w:rsidRPr="002B1537">
        <w:t>2</w:t>
      </w:r>
      <w:r w:rsidR="00940117" w:rsidRPr="002B1537">
        <w:t xml:space="preserve"> to </w:t>
      </w:r>
      <w:r w:rsidR="00295E03" w:rsidRPr="002B1537">
        <w:t>17</w:t>
      </w:r>
      <w:r w:rsidR="00295E03" w:rsidRPr="0054504E">
        <w:t>, met the daily intake guidelines for both vegetables and fruit (</w:t>
      </w:r>
      <w:r w:rsidR="001C3ED3">
        <w:t>ABS,</w:t>
      </w:r>
      <w:r w:rsidR="00295E03" w:rsidRPr="0054504E">
        <w:t xml:space="preserve"> 2018).</w:t>
      </w:r>
    </w:p>
    <w:p w14:paraId="3E7F952A" w14:textId="5E014EEE" w:rsidR="00295E03" w:rsidRPr="0054504E" w:rsidRDefault="00295E03" w:rsidP="00295E03">
      <w:pPr>
        <w:pStyle w:val="Body"/>
      </w:pPr>
      <w:r w:rsidRPr="0054504E">
        <w:t>When looking at fruit and vegetable intake separately, 5.7 per cent of Victorian adults met vegetable consumption guidelines and 40.6 per cent consumed enough fruit (</w:t>
      </w:r>
      <w:r w:rsidR="00914009">
        <w:t>VAHI</w:t>
      </w:r>
      <w:r w:rsidRPr="0054504E">
        <w:t>, 2021a).</w:t>
      </w:r>
    </w:p>
    <w:p w14:paraId="3F8A4593" w14:textId="454C9B4E" w:rsidR="00295E03" w:rsidRPr="004F71AC" w:rsidRDefault="00295E03" w:rsidP="00295E03">
      <w:pPr>
        <w:pStyle w:val="Body"/>
      </w:pPr>
      <w:r w:rsidRPr="004F71AC">
        <w:t xml:space="preserve">The proportion of men meeting fruit and vegetable consumption guidelines (combined or separately) was significantly lower than for women. For example, 1 per cent </w:t>
      </w:r>
      <w:r w:rsidR="00B412D2" w:rsidRPr="00506B52">
        <w:t>of</w:t>
      </w:r>
      <w:r w:rsidR="00B412D2" w:rsidRPr="00341E7C">
        <w:t xml:space="preserve"> </w:t>
      </w:r>
      <w:r w:rsidRPr="004F71AC">
        <w:t xml:space="preserve">men met both fruit and vegetable recommendation daily serves compared with 6.1 per cent of women </w:t>
      </w:r>
      <w:r w:rsidR="0022510C" w:rsidRPr="0054504E">
        <w:t>(</w:t>
      </w:r>
      <w:r w:rsidR="0022510C">
        <w:t>VAHI</w:t>
      </w:r>
      <w:r w:rsidR="0022510C" w:rsidRPr="0054504E">
        <w:t>, 2021a).</w:t>
      </w:r>
      <w:r w:rsidR="0022510C" w:rsidRPr="004F71AC">
        <w:t xml:space="preserve"> </w:t>
      </w:r>
    </w:p>
    <w:p w14:paraId="369BDFA9" w14:textId="3112F69B" w:rsidR="00295E03" w:rsidRPr="004F71AC" w:rsidRDefault="00376D05" w:rsidP="00295E03">
      <w:pPr>
        <w:pStyle w:val="Body"/>
      </w:pPr>
      <w:r>
        <w:t xml:space="preserve">In 2019, of </w:t>
      </w:r>
      <w:r w:rsidR="00295E03" w:rsidRPr="004F71AC">
        <w:t xml:space="preserve">Victorian children </w:t>
      </w:r>
      <w:r>
        <w:t xml:space="preserve">aged </w:t>
      </w:r>
      <w:r w:rsidR="00295E03" w:rsidRPr="00207F4E">
        <w:t>4</w:t>
      </w:r>
      <w:r w:rsidR="00940117" w:rsidRPr="00207F4E">
        <w:t xml:space="preserve"> to </w:t>
      </w:r>
      <w:r w:rsidR="00295E03" w:rsidRPr="00207F4E">
        <w:t>12:</w:t>
      </w:r>
      <w:r w:rsidR="00295E03" w:rsidRPr="004F71AC">
        <w:t xml:space="preserve"> </w:t>
      </w:r>
    </w:p>
    <w:p w14:paraId="14E02645" w14:textId="41100164" w:rsidR="00295E03" w:rsidRPr="004F71AC" w:rsidRDefault="00295E03" w:rsidP="000A6A32">
      <w:pPr>
        <w:pStyle w:val="Bullet1"/>
      </w:pPr>
      <w:r w:rsidRPr="00862E92">
        <w:t>2.4 per cent met the minimum guidelines for daily vegetable consumption.</w:t>
      </w:r>
      <w:r w:rsidRPr="004F71AC">
        <w:t xml:space="preserve"> Overall</w:t>
      </w:r>
      <w:r w:rsidR="3BFBD8FB">
        <w:t>,</w:t>
      </w:r>
      <w:r w:rsidRPr="004F71AC">
        <w:t xml:space="preserve"> this is consistent with previous surveys (2013, 2017), except for children living in a one-parent family of which there has been a significant decrease (from 2017</w:t>
      </w:r>
      <w:r w:rsidR="00376D05">
        <w:t>-</w:t>
      </w:r>
      <w:r w:rsidRPr="004F71AC">
        <w:t>2019) in the proportion meeting the recommended vegetable intake.</w:t>
      </w:r>
    </w:p>
    <w:p w14:paraId="1BA5B487" w14:textId="4624E747" w:rsidR="00295E03" w:rsidRPr="0054504E" w:rsidRDefault="00295E03" w:rsidP="00CC76F4">
      <w:pPr>
        <w:pStyle w:val="Bullet1"/>
      </w:pPr>
      <w:r w:rsidRPr="00F81293">
        <w:t xml:space="preserve">Around three-quarters (74.3 per cent) met the minimum guidelines for daily fruit consumption </w:t>
      </w:r>
      <w:r w:rsidR="00376D05">
        <w:t xml:space="preserve">– </w:t>
      </w:r>
      <w:r w:rsidRPr="00FE208C">
        <w:t>similar to previous</w:t>
      </w:r>
      <w:r w:rsidRPr="004F71AC">
        <w:t xml:space="preserve"> survey results. Children living in the least disadvantaged areas, those in couple families and those aged </w:t>
      </w:r>
      <w:r w:rsidRPr="00F81293" w:rsidDel="003C3152">
        <w:t>to</w:t>
      </w:r>
      <w:r w:rsidR="00D8514F" w:rsidRPr="00F81293">
        <w:t xml:space="preserve"> </w:t>
      </w:r>
      <w:r w:rsidR="003C3152" w:rsidRPr="00F81293">
        <w:t>4 to 8</w:t>
      </w:r>
      <w:r w:rsidRPr="004F71AC">
        <w:t xml:space="preserve"> years old were more likely to meet the guidelines</w:t>
      </w:r>
      <w:r w:rsidR="00376D05">
        <w:t xml:space="preserve">, </w:t>
      </w:r>
      <w:r w:rsidRPr="004F71AC">
        <w:t xml:space="preserve">compared with other cohorts </w:t>
      </w:r>
      <w:r w:rsidRPr="002E2374">
        <w:rPr>
          <w:rFonts w:eastAsia="Times New Roman"/>
        </w:rPr>
        <w:t>(Department of Education and Training</w:t>
      </w:r>
      <w:r w:rsidR="00376D05">
        <w:rPr>
          <w:rFonts w:eastAsia="Times New Roman"/>
        </w:rPr>
        <w:t>,</w:t>
      </w:r>
      <w:r w:rsidRPr="002E2374">
        <w:rPr>
          <w:rFonts w:eastAsia="Times New Roman"/>
        </w:rPr>
        <w:t xml:space="preserve"> 2020)</w:t>
      </w:r>
      <w:r w:rsidR="002E2374">
        <w:rPr>
          <w:rFonts w:eastAsia="Times New Roman"/>
        </w:rPr>
        <w:t>.</w:t>
      </w:r>
    </w:p>
    <w:p w14:paraId="3F0B61CE" w14:textId="77777777" w:rsidR="00295E03" w:rsidRPr="0024360B" w:rsidRDefault="00295E03" w:rsidP="00295E03">
      <w:pPr>
        <w:pStyle w:val="Heading4"/>
      </w:pPr>
      <w:r w:rsidRPr="0024360B">
        <w:t>Sugar sweetened beverages </w:t>
      </w:r>
    </w:p>
    <w:p w14:paraId="32B3EF9B" w14:textId="2D98AE4F" w:rsidR="00295E03" w:rsidRPr="0054504E" w:rsidRDefault="00295E03" w:rsidP="00295E03">
      <w:pPr>
        <w:pStyle w:val="Body"/>
      </w:pPr>
      <w:r w:rsidRPr="0054504E">
        <w:t xml:space="preserve">In 2017, </w:t>
      </w:r>
      <w:r w:rsidR="00376D05">
        <w:t xml:space="preserve">10 </w:t>
      </w:r>
      <w:r w:rsidRPr="0054504E">
        <w:t>per cent of Victorian adults consumed sugar-sweetened beverages daily (</w:t>
      </w:r>
      <w:r w:rsidR="00376D05">
        <w:t>DHHS,</w:t>
      </w:r>
      <w:r w:rsidRPr="0054504E">
        <w:t xml:space="preserve"> 2018). </w:t>
      </w:r>
    </w:p>
    <w:p w14:paraId="3BFBE9FF" w14:textId="4EDA7BA3" w:rsidR="00295E03" w:rsidRPr="0054504E" w:rsidRDefault="00295E03" w:rsidP="00295E03">
      <w:pPr>
        <w:pStyle w:val="Body"/>
      </w:pPr>
      <w:r w:rsidRPr="0054504E">
        <w:t>A significantly higher proportion of men (13.4 per cent) were daily consumers of sugar-sweetened beverages compared with women (6.7 per cent) (</w:t>
      </w:r>
      <w:r w:rsidR="00376D05">
        <w:t xml:space="preserve">DHHS, </w:t>
      </w:r>
      <w:r w:rsidRPr="0054504E">
        <w:t>2018).</w:t>
      </w:r>
    </w:p>
    <w:p w14:paraId="4A4CA990" w14:textId="21C47634" w:rsidR="00295E03" w:rsidRPr="0054504E" w:rsidRDefault="00295E03" w:rsidP="00295E03">
      <w:pPr>
        <w:pStyle w:val="Body"/>
      </w:pPr>
      <w:r w:rsidRPr="0054504E">
        <w:t>Daily consumption of sugar-sweetened beverages varied significantly between population subgroups</w:t>
      </w:r>
      <w:r w:rsidR="00376D05">
        <w:t xml:space="preserve">, including between </w:t>
      </w:r>
      <w:r w:rsidR="00961A59">
        <w:t>Local Government Areas (</w:t>
      </w:r>
      <w:r w:rsidR="00376D05">
        <w:t>LGAs</w:t>
      </w:r>
      <w:r w:rsidR="00961A59">
        <w:t>)</w:t>
      </w:r>
      <w:r w:rsidR="00376D05">
        <w:t xml:space="preserve"> </w:t>
      </w:r>
      <w:r w:rsidRPr="0054504E">
        <w:t>(</w:t>
      </w:r>
      <w:r w:rsidR="00376D05">
        <w:t>DHHS,</w:t>
      </w:r>
      <w:r w:rsidRPr="0054504E">
        <w:t xml:space="preserve"> 2018).</w:t>
      </w:r>
    </w:p>
    <w:p w14:paraId="7A11CF8D" w14:textId="577631A3" w:rsidR="00295E03" w:rsidRPr="0054504E" w:rsidRDefault="00376D05" w:rsidP="00295E03">
      <w:pPr>
        <w:pStyle w:val="Body"/>
      </w:pPr>
      <w:r>
        <w:lastRenderedPageBreak/>
        <w:t xml:space="preserve">Of </w:t>
      </w:r>
      <w:r w:rsidR="00295E03" w:rsidRPr="0054504E">
        <w:t xml:space="preserve">Victorian children aged </w:t>
      </w:r>
      <w:r w:rsidRPr="00967BEC">
        <w:t>2</w:t>
      </w:r>
      <w:r w:rsidR="007B46EE" w:rsidRPr="00967BEC">
        <w:t xml:space="preserve"> to </w:t>
      </w:r>
      <w:r w:rsidR="00295E03" w:rsidRPr="00967BEC">
        <w:t>17,</w:t>
      </w:r>
      <w:r w:rsidR="00295E03" w:rsidRPr="0054504E">
        <w:t xml:space="preserve"> almost one-third (31.0 per cent) consume</w:t>
      </w:r>
      <w:r>
        <w:t>d</w:t>
      </w:r>
      <w:r w:rsidR="00295E03" w:rsidRPr="0054504E">
        <w:t xml:space="preserve"> sugar-sweetened drinks </w:t>
      </w:r>
      <w:r w:rsidR="00295E03" w:rsidRPr="00967BEC">
        <w:t>one</w:t>
      </w:r>
      <w:r w:rsidR="00D8514F" w:rsidRPr="00967BEC">
        <w:t xml:space="preserve"> to</w:t>
      </w:r>
      <w:r w:rsidR="00D8514F">
        <w:t xml:space="preserve"> </w:t>
      </w:r>
      <w:r w:rsidR="00295E03" w:rsidRPr="0054504E">
        <w:t xml:space="preserve">three days </w:t>
      </w:r>
      <w:r>
        <w:t xml:space="preserve">a </w:t>
      </w:r>
      <w:r w:rsidR="00295E03" w:rsidRPr="0054504E">
        <w:t>week</w:t>
      </w:r>
      <w:r>
        <w:t>. O</w:t>
      </w:r>
      <w:r w:rsidR="00295E03" w:rsidRPr="0054504E">
        <w:t>ne</w:t>
      </w:r>
      <w:r>
        <w:t>-</w:t>
      </w:r>
      <w:r w:rsidR="00295E03" w:rsidRPr="0054504E">
        <w:t>in</w:t>
      </w:r>
      <w:r>
        <w:t>-</w:t>
      </w:r>
      <w:r w:rsidR="00295E03" w:rsidRPr="0054504E">
        <w:t xml:space="preserve">20 (5.1 per cent) </w:t>
      </w:r>
      <w:r>
        <w:t xml:space="preserve">children </w:t>
      </w:r>
      <w:r w:rsidR="00295E03" w:rsidRPr="0054504E">
        <w:t xml:space="preserve">drank </w:t>
      </w:r>
      <w:r>
        <w:t xml:space="preserve">sugar-sweetened drinks </w:t>
      </w:r>
      <w:r w:rsidR="00295E03" w:rsidRPr="0054504E">
        <w:t>daily (</w:t>
      </w:r>
      <w:r w:rsidR="001C3ED3">
        <w:t>ABS,</w:t>
      </w:r>
      <w:r w:rsidR="00295E03" w:rsidRPr="0054504E">
        <w:t xml:space="preserve"> 2018).</w:t>
      </w:r>
    </w:p>
    <w:p w14:paraId="1854570D" w14:textId="1D64E011" w:rsidR="00295E03" w:rsidRPr="00850FD1" w:rsidRDefault="00295E03" w:rsidP="00295E03">
      <w:pPr>
        <w:pStyle w:val="Body"/>
      </w:pPr>
      <w:r w:rsidRPr="00850FD1">
        <w:t xml:space="preserve">Overall, sugar-sweetened beverage consumption has decreased. </w:t>
      </w:r>
    </w:p>
    <w:p w14:paraId="769C46E4" w14:textId="6C5B218A" w:rsidR="00295E03" w:rsidRPr="00850FD1" w:rsidRDefault="00295E03" w:rsidP="00295E03">
      <w:pPr>
        <w:pStyle w:val="Body"/>
      </w:pPr>
      <w:r w:rsidRPr="00850FD1">
        <w:t xml:space="preserve">In the 2018-19 National Aboriginal and Torres Strait Islander Health Survey (NATSIHS), around half of Aboriginal Victorians aged </w:t>
      </w:r>
      <w:r w:rsidRPr="00967BEC">
        <w:t>15</w:t>
      </w:r>
      <w:r w:rsidR="003C3152" w:rsidRPr="00967BEC">
        <w:t xml:space="preserve"> to </w:t>
      </w:r>
      <w:r w:rsidRPr="00967BEC">
        <w:t>24</w:t>
      </w:r>
      <w:r w:rsidRPr="00850FD1">
        <w:t xml:space="preserve"> years (51.2 per cent) reported either not drinking sugary drinks or drinking them on only one or two days per week. However, around a quarter (24.5 per cent) reported drinking sugary drinks every day. </w:t>
      </w:r>
    </w:p>
    <w:p w14:paraId="6458895E" w14:textId="77777777" w:rsidR="00295E03" w:rsidRPr="0024360B" w:rsidRDefault="00295E03" w:rsidP="0024360B">
      <w:pPr>
        <w:pStyle w:val="Heading4"/>
      </w:pPr>
      <w:r w:rsidRPr="0024360B">
        <w:t xml:space="preserve">Takeaway or ‘Fast’ foods </w:t>
      </w:r>
    </w:p>
    <w:p w14:paraId="339AD4C2" w14:textId="6EED43A3" w:rsidR="00295E03" w:rsidRDefault="00295E03" w:rsidP="003243E5">
      <w:pPr>
        <w:pStyle w:val="Body"/>
      </w:pPr>
      <w:r w:rsidRPr="00B03F2F">
        <w:t xml:space="preserve">In 2019, 18.8 per cent of Victorians surveyed ate takeaway foods </w:t>
      </w:r>
      <w:r w:rsidR="00376D05">
        <w:t>(</w:t>
      </w:r>
      <w:r w:rsidRPr="00B03F2F">
        <w:t>such as burgers, pizza, fried chicken or chips</w:t>
      </w:r>
      <w:r w:rsidR="00376D05">
        <w:t>)</w:t>
      </w:r>
      <w:r w:rsidRPr="00B03F2F">
        <w:t xml:space="preserve"> more than once a week. More males (24.3 per cent) compared </w:t>
      </w:r>
      <w:r w:rsidR="00376D05">
        <w:t xml:space="preserve">to </w:t>
      </w:r>
      <w:r w:rsidRPr="00B03F2F">
        <w:t>females (13.1</w:t>
      </w:r>
      <w:r>
        <w:t xml:space="preserve"> per cent</w:t>
      </w:r>
      <w:r w:rsidRPr="00B03F2F">
        <w:t>) ate takeaway more than once per week. Younger adults (</w:t>
      </w:r>
      <w:r w:rsidR="00376D05">
        <w:t xml:space="preserve">aged </w:t>
      </w:r>
      <w:r w:rsidRPr="00944F0E">
        <w:t>18</w:t>
      </w:r>
      <w:r w:rsidR="003C3152" w:rsidRPr="00944F0E">
        <w:t xml:space="preserve"> to </w:t>
      </w:r>
      <w:r w:rsidRPr="00944F0E">
        <w:t>34</w:t>
      </w:r>
      <w:r w:rsidRPr="00B03F2F">
        <w:t xml:space="preserve">) were also more likely to eat fast food more than once </w:t>
      </w:r>
      <w:r w:rsidR="00376D05">
        <w:t xml:space="preserve">a </w:t>
      </w:r>
      <w:r w:rsidRPr="00B03F2F">
        <w:t>week</w:t>
      </w:r>
      <w:r w:rsidR="00376D05">
        <w:t>. F</w:t>
      </w:r>
      <w:r w:rsidRPr="00B03F2F">
        <w:t>or example</w:t>
      </w:r>
      <w:r w:rsidR="00376D05">
        <w:t>,</w:t>
      </w:r>
      <w:r w:rsidRPr="00B03F2F">
        <w:t xml:space="preserve"> 44.8 per cent of </w:t>
      </w:r>
      <w:r w:rsidRPr="00944F0E">
        <w:t>18</w:t>
      </w:r>
      <w:r w:rsidR="003C3152" w:rsidRPr="00944F0E">
        <w:t xml:space="preserve"> to </w:t>
      </w:r>
      <w:r w:rsidRPr="00944F0E">
        <w:t>24</w:t>
      </w:r>
      <w:r w:rsidRPr="00B03F2F">
        <w:t xml:space="preserve"> year old males</w:t>
      </w:r>
      <w:r w:rsidR="00376D05">
        <w:t xml:space="preserve"> ate fast food more than once a week</w:t>
      </w:r>
      <w:r w:rsidRPr="00B03F2F">
        <w:t xml:space="preserve"> (</w:t>
      </w:r>
      <w:r w:rsidR="00E77DA7">
        <w:t>VAHI</w:t>
      </w:r>
      <w:r w:rsidRPr="00B03F2F">
        <w:t xml:space="preserve">, 2021b). </w:t>
      </w:r>
    </w:p>
    <w:p w14:paraId="53E089B0" w14:textId="77777777" w:rsidR="00295E03" w:rsidRPr="00EA7915" w:rsidRDefault="00295E03" w:rsidP="00EA7915">
      <w:pPr>
        <w:pStyle w:val="Heading4"/>
      </w:pPr>
      <w:r w:rsidRPr="00EA7915">
        <w:t xml:space="preserve">Food insecurity </w:t>
      </w:r>
    </w:p>
    <w:p w14:paraId="680EFFAC" w14:textId="77777777" w:rsidR="00295E03" w:rsidRPr="006B09C4" w:rsidRDefault="00295E03" w:rsidP="00295E03">
      <w:pPr>
        <w:pStyle w:val="Body"/>
        <w:rPr>
          <w:b/>
          <w:bCs/>
        </w:rPr>
      </w:pPr>
      <w:r w:rsidRPr="006B09C4">
        <w:rPr>
          <w:b/>
          <w:bCs/>
        </w:rPr>
        <w:t>Food insecurity with hunger</w:t>
      </w:r>
    </w:p>
    <w:p w14:paraId="2273686A" w14:textId="5535E653" w:rsidR="00295E03" w:rsidRPr="006B09C4" w:rsidRDefault="00295E03" w:rsidP="00295E03">
      <w:pPr>
        <w:pStyle w:val="Body"/>
      </w:pPr>
      <w:r w:rsidRPr="006B09C4">
        <w:t xml:space="preserve">In 2019, 6.5 per cent of adults ran out of food and could not afford to buy more and 5.9 per cent of children aged </w:t>
      </w:r>
      <w:r w:rsidRPr="003F22AD">
        <w:t>0</w:t>
      </w:r>
      <w:r w:rsidR="003C3152" w:rsidRPr="003F22AD">
        <w:t xml:space="preserve"> to </w:t>
      </w:r>
      <w:r w:rsidRPr="003F22AD">
        <w:t>12</w:t>
      </w:r>
      <w:r w:rsidRPr="006B09C4">
        <w:t xml:space="preserve"> lived in households that ran out of food and could not afford to buy more (</w:t>
      </w:r>
      <w:r w:rsidR="003F22AD">
        <w:t>VAHI</w:t>
      </w:r>
      <w:r w:rsidR="00376D05">
        <w:t>,</w:t>
      </w:r>
      <w:r w:rsidRPr="006B09C4">
        <w:t xml:space="preserve"> 2021).  </w:t>
      </w:r>
    </w:p>
    <w:p w14:paraId="407978CF" w14:textId="77777777" w:rsidR="00295E03" w:rsidRPr="006B09C4" w:rsidRDefault="00295E03" w:rsidP="00295E03">
      <w:pPr>
        <w:pStyle w:val="Body"/>
      </w:pPr>
      <w:r w:rsidRPr="006B09C4">
        <w:rPr>
          <w:b/>
          <w:bCs/>
        </w:rPr>
        <w:t>Food insecurity without hunger</w:t>
      </w:r>
      <w:r w:rsidRPr="006B09C4">
        <w:t xml:space="preserve"> </w:t>
      </w:r>
    </w:p>
    <w:p w14:paraId="0F1C6FEC" w14:textId="77777777" w:rsidR="00295E03" w:rsidRPr="006B09C4" w:rsidRDefault="00295E03" w:rsidP="00295E03">
      <w:pPr>
        <w:pStyle w:val="Body"/>
      </w:pPr>
      <w:r w:rsidRPr="006B09C4">
        <w:t>In 201</w:t>
      </w:r>
      <w:r>
        <w:t>4</w:t>
      </w:r>
      <w:r w:rsidRPr="006B09C4">
        <w:t>, 37 per cent (1,689,066) of Victorian adults surveyed reported experiencing food insecurity without hunger:</w:t>
      </w:r>
    </w:p>
    <w:p w14:paraId="50FE7897" w14:textId="105D39BC" w:rsidR="00295E03" w:rsidRPr="006B09C4" w:rsidRDefault="001B58C0" w:rsidP="000A6A32">
      <w:pPr>
        <w:pStyle w:val="Bullet1"/>
      </w:pPr>
      <w:r>
        <w:t>One</w:t>
      </w:r>
      <w:r w:rsidR="00376D05">
        <w:t>-</w:t>
      </w:r>
      <w:r w:rsidR="00295E03" w:rsidRPr="006B09C4">
        <w:t>in</w:t>
      </w:r>
      <w:r w:rsidR="00376D05">
        <w:t>-</w:t>
      </w:r>
      <w:r>
        <w:t>eight</w:t>
      </w:r>
      <w:r w:rsidR="00295E03" w:rsidRPr="006B09C4">
        <w:t xml:space="preserve"> adults worried about running out of money to buy food</w:t>
      </w:r>
    </w:p>
    <w:p w14:paraId="4D651A1D" w14:textId="1F77357B" w:rsidR="00295E03" w:rsidRPr="006B09C4" w:rsidRDefault="001B58C0" w:rsidP="000A6A32">
      <w:pPr>
        <w:pStyle w:val="Bullet1"/>
      </w:pPr>
      <w:r>
        <w:t>One</w:t>
      </w:r>
      <w:r w:rsidR="00376D05">
        <w:t>-</w:t>
      </w:r>
      <w:r w:rsidR="00295E03" w:rsidRPr="006B09C4">
        <w:t>in</w:t>
      </w:r>
      <w:r w:rsidR="00376D05">
        <w:t>-</w:t>
      </w:r>
      <w:r>
        <w:t>eight</w:t>
      </w:r>
      <w:r w:rsidR="00295E03" w:rsidRPr="006B09C4">
        <w:t xml:space="preserve"> parents relied on unhealthy low-cost food for their children as a strategy to avoid running out of money to buy food and </w:t>
      </w:r>
    </w:p>
    <w:p w14:paraId="3AA79B89" w14:textId="52D7DFF4" w:rsidR="00295E03" w:rsidRPr="006B09C4" w:rsidRDefault="001B58C0" w:rsidP="000A6A32">
      <w:pPr>
        <w:pStyle w:val="Bullet1"/>
      </w:pPr>
      <w:r>
        <w:t>One</w:t>
      </w:r>
      <w:r w:rsidR="00376D05">
        <w:t>-</w:t>
      </w:r>
      <w:r w:rsidR="00295E03" w:rsidRPr="006B09C4">
        <w:t>in</w:t>
      </w:r>
      <w:r w:rsidR="00376D05">
        <w:t>-</w:t>
      </w:r>
      <w:r>
        <w:t>five</w:t>
      </w:r>
      <w:r w:rsidR="00295E03" w:rsidRPr="006B09C4">
        <w:t xml:space="preserve"> adults did not always have healthy food because they believed that healthy food was too expensive </w:t>
      </w:r>
    </w:p>
    <w:p w14:paraId="4B0697CF" w14:textId="77777777" w:rsidR="00295E03" w:rsidRPr="006B09C4" w:rsidRDefault="00295E03" w:rsidP="00295E03">
      <w:pPr>
        <w:pStyle w:val="Body"/>
        <w:ind w:left="284"/>
      </w:pPr>
      <w:r w:rsidRPr="006B09C4">
        <w:t>(</w:t>
      </w:r>
      <w:r w:rsidRPr="006D7183">
        <w:rPr>
          <w:i/>
          <w:iCs/>
        </w:rPr>
        <w:t>Challenges to healthy eating – food insecurity in Victoria: findings from the 2014 Victorian Population Health Survey</w:t>
      </w:r>
      <w:r w:rsidRPr="006B09C4">
        <w:t xml:space="preserve">). </w:t>
      </w:r>
    </w:p>
    <w:p w14:paraId="56FAAD26" w14:textId="0D891C82" w:rsidR="00295E03" w:rsidRPr="006B09C4" w:rsidRDefault="00295E03" w:rsidP="00295E03">
      <w:pPr>
        <w:pStyle w:val="Body"/>
      </w:pPr>
      <w:r w:rsidRPr="006B09C4">
        <w:t xml:space="preserve">Food insecurity is disproportionately experienced by some key sub-populations. These </w:t>
      </w:r>
      <w:r w:rsidR="001B58C0">
        <w:t xml:space="preserve">at-risk groups </w:t>
      </w:r>
      <w:r w:rsidRPr="006B09C4">
        <w:t xml:space="preserve">include: younger adults (aged </w:t>
      </w:r>
      <w:r w:rsidRPr="0071345E">
        <w:t>18</w:t>
      </w:r>
      <w:r w:rsidR="003C3152" w:rsidRPr="0071345E">
        <w:t xml:space="preserve"> to </w:t>
      </w:r>
      <w:r w:rsidRPr="0071345E">
        <w:t>44</w:t>
      </w:r>
      <w:r w:rsidRPr="006B09C4">
        <w:t xml:space="preserve"> years)</w:t>
      </w:r>
      <w:r w:rsidR="001B58C0">
        <w:t>;</w:t>
      </w:r>
      <w:r w:rsidRPr="006B09C4">
        <w:t xml:space="preserve"> adults identifying as Aboriginal and/or Torres </w:t>
      </w:r>
      <w:r>
        <w:t>S</w:t>
      </w:r>
      <w:r w:rsidRPr="006B09C4">
        <w:t>trait Islander (almost one</w:t>
      </w:r>
      <w:r w:rsidR="001B58C0">
        <w:t>-</w:t>
      </w:r>
      <w:r w:rsidRPr="006B09C4">
        <w:t>in</w:t>
      </w:r>
      <w:r w:rsidR="001B58C0">
        <w:t>-</w:t>
      </w:r>
      <w:r w:rsidRPr="006B09C4">
        <w:t>five)</w:t>
      </w:r>
      <w:r w:rsidR="001B58C0">
        <w:t>;</w:t>
      </w:r>
      <w:r w:rsidRPr="006B09C4">
        <w:t xml:space="preserve"> </w:t>
      </w:r>
      <w:r w:rsidR="001B58C0">
        <w:t xml:space="preserve">people </w:t>
      </w:r>
      <w:r w:rsidRPr="006B09C4">
        <w:t>who were widowed, divorced/separated or never married</w:t>
      </w:r>
      <w:r w:rsidR="001B58C0">
        <w:t>;</w:t>
      </w:r>
      <w:r w:rsidRPr="006B09C4">
        <w:t xml:space="preserve"> single parents; </w:t>
      </w:r>
      <w:r w:rsidR="001B58C0">
        <w:t xml:space="preserve">people </w:t>
      </w:r>
      <w:r w:rsidRPr="006B09C4">
        <w:t xml:space="preserve">who were unemployed and/or had a low household income (of &lt; $40,000); </w:t>
      </w:r>
      <w:r w:rsidR="001B58C0">
        <w:t xml:space="preserve">people who </w:t>
      </w:r>
      <w:r w:rsidRPr="006B09C4">
        <w:t>rented their home; and adults who lived in rural Victoria (</w:t>
      </w:r>
      <w:r w:rsidRPr="00743F54">
        <w:rPr>
          <w:i/>
          <w:iCs/>
        </w:rPr>
        <w:t>Challenges to healthy eating – food insecurity in Victoria: findings from the 2014 Victorian Population Health Survey</w:t>
      </w:r>
      <w:r w:rsidR="001B58C0">
        <w:t>;</w:t>
      </w:r>
      <w:r w:rsidRPr="006B09C4">
        <w:t xml:space="preserve"> </w:t>
      </w:r>
      <w:r w:rsidR="0062655F">
        <w:t>VAHI</w:t>
      </w:r>
      <w:r w:rsidR="001B58C0">
        <w:t>,</w:t>
      </w:r>
      <w:r w:rsidRPr="006B09C4">
        <w:t xml:space="preserve"> 2021).</w:t>
      </w:r>
    </w:p>
    <w:p w14:paraId="69D1798C" w14:textId="028DD8E6" w:rsidR="00295E03" w:rsidRPr="006B09C4" w:rsidRDefault="00295E03" w:rsidP="00295E03">
      <w:pPr>
        <w:pStyle w:val="Body"/>
      </w:pPr>
      <w:r w:rsidRPr="006B09C4">
        <w:t xml:space="preserve">In addition, adults who were food insecure </w:t>
      </w:r>
      <w:r w:rsidR="001B58C0">
        <w:t>(</w:t>
      </w:r>
      <w:r w:rsidRPr="006B09C4">
        <w:t>with or without hunger</w:t>
      </w:r>
      <w:r w:rsidR="001B58C0">
        <w:t>)</w:t>
      </w:r>
      <w:r w:rsidRPr="006B09C4">
        <w:t xml:space="preserve"> were more likely to abstain from the consumption of alcohol than those who were food secure</w:t>
      </w:r>
      <w:r w:rsidR="001B58C0">
        <w:t>. H</w:t>
      </w:r>
      <w:r w:rsidRPr="006B09C4">
        <w:t xml:space="preserve">owever </w:t>
      </w:r>
      <w:r w:rsidR="001B58C0">
        <w:t xml:space="preserve">adults who </w:t>
      </w:r>
      <w:r w:rsidRPr="006B09C4">
        <w:t xml:space="preserve">did drink alcohol were more likely to consume a higher quantity of alcohol </w:t>
      </w:r>
      <w:r w:rsidR="001B58C0">
        <w:t xml:space="preserve">when they were </w:t>
      </w:r>
      <w:r w:rsidRPr="006B09C4">
        <w:t xml:space="preserve">drinking. </w:t>
      </w:r>
    </w:p>
    <w:p w14:paraId="2430DB89" w14:textId="302D93E8" w:rsidR="00295E03" w:rsidRPr="006B09C4" w:rsidRDefault="00295E03" w:rsidP="00295E03">
      <w:pPr>
        <w:pStyle w:val="Body"/>
      </w:pPr>
      <w:r w:rsidRPr="006B09C4">
        <w:t xml:space="preserve">Food insecurity in Victoria is strongly associated with obesity. This is referred to as the ‘food insecurity–obesity paradox’. More than </w:t>
      </w:r>
      <w:r w:rsidR="001B58C0">
        <w:t>one-</w:t>
      </w:r>
      <w:r w:rsidRPr="006B09C4">
        <w:t>in</w:t>
      </w:r>
      <w:r w:rsidR="001B58C0">
        <w:t>-three</w:t>
      </w:r>
      <w:r w:rsidRPr="006B09C4">
        <w:t xml:space="preserve"> obese adults in Victoria were food insecure with or without hunger (</w:t>
      </w:r>
      <w:r w:rsidRPr="00743F54">
        <w:rPr>
          <w:i/>
          <w:iCs/>
        </w:rPr>
        <w:t>Challenges to healthy eating – food insecurity in Victoria: findings from the 2014 Victorian Population Health Survey</w:t>
      </w:r>
      <w:r w:rsidR="0062655F" w:rsidRPr="0006467A">
        <w:t>, VAHI</w:t>
      </w:r>
      <w:r w:rsidR="006E31B3" w:rsidRPr="0006467A">
        <w:t>, 2021</w:t>
      </w:r>
      <w:r w:rsidRPr="006B09C4">
        <w:t>).</w:t>
      </w:r>
    </w:p>
    <w:p w14:paraId="18C1A832" w14:textId="42F78185" w:rsidR="00D85F58" w:rsidRPr="00A05F82" w:rsidRDefault="00D85F58" w:rsidP="00D464CD">
      <w:pPr>
        <w:pStyle w:val="Heading3"/>
      </w:pPr>
      <w:r>
        <w:lastRenderedPageBreak/>
        <w:t>The kilojoule labelling s</w:t>
      </w:r>
      <w:r w:rsidRPr="4501F8E3">
        <w:t>cheme</w:t>
      </w:r>
    </w:p>
    <w:p w14:paraId="585E44A7" w14:textId="3F95E3CE" w:rsidR="00D85F58" w:rsidRPr="000F6CBA" w:rsidRDefault="00D85F58" w:rsidP="00D85F58">
      <w:r w:rsidRPr="000F6CBA">
        <w:rPr>
          <w:rFonts w:eastAsia="Arial" w:cs="Arial"/>
          <w:szCs w:val="21"/>
        </w:rPr>
        <w:t>The Kilojoule Labelling Scheme is a Victorian Government initiative that came into effect in mid</w:t>
      </w:r>
      <w:r w:rsidR="004C56F1">
        <w:rPr>
          <w:rFonts w:eastAsia="Arial" w:cs="Arial"/>
          <w:szCs w:val="21"/>
        </w:rPr>
        <w:t>-</w:t>
      </w:r>
      <w:r w:rsidRPr="000F6CBA">
        <w:rPr>
          <w:rFonts w:eastAsia="Arial" w:cs="Arial"/>
          <w:szCs w:val="21"/>
        </w:rPr>
        <w:t>2018</w:t>
      </w:r>
      <w:r w:rsidRPr="000F6CBA">
        <w:rPr>
          <w:rFonts w:eastAsia="Arial" w:cs="Arial"/>
          <w:color w:val="000000"/>
          <w:szCs w:val="21"/>
        </w:rPr>
        <w:t>.</w:t>
      </w:r>
      <w:r w:rsidRPr="000F6CBA">
        <w:rPr>
          <w:rFonts w:eastAsia="Arial" w:cs="Arial"/>
          <w:szCs w:val="21"/>
        </w:rPr>
        <w:t xml:space="preserve"> The scheme was designed to empower Victorian consumers by enabling them to compare the kilojoule (kJ) content of meals within and between large chain food outlets</w:t>
      </w:r>
      <w:r w:rsidR="004C56F1">
        <w:rPr>
          <w:rFonts w:eastAsia="Arial" w:cs="Arial"/>
          <w:szCs w:val="21"/>
        </w:rPr>
        <w:t xml:space="preserve">, </w:t>
      </w:r>
      <w:r w:rsidRPr="000F6CBA">
        <w:rPr>
          <w:rFonts w:eastAsia="Arial" w:cs="Arial"/>
          <w:szCs w:val="21"/>
        </w:rPr>
        <w:t xml:space="preserve">and monitor and adjust their overall daily energy intake. </w:t>
      </w:r>
    </w:p>
    <w:p w14:paraId="337CA73D" w14:textId="70AAC6CD" w:rsidR="00D85F58" w:rsidRPr="000F6CBA" w:rsidRDefault="00D85F58" w:rsidP="00D85F58">
      <w:r w:rsidRPr="000F6CBA">
        <w:rPr>
          <w:rFonts w:eastAsia="Arial" w:cs="Arial"/>
          <w:color w:val="000000"/>
          <w:szCs w:val="21"/>
        </w:rPr>
        <w:t>Kilojoule labelling is a cost effective and practical health scheme that complements a range of Victorian Government initiatives designed to combat preventable chronic diseases such as obesity, heart disease, diabetes, thrombosis, cholesterol, high blood pressure</w:t>
      </w:r>
      <w:r w:rsidR="004C56F1">
        <w:rPr>
          <w:rFonts w:eastAsia="Arial" w:cs="Arial"/>
          <w:color w:val="000000"/>
          <w:szCs w:val="21"/>
        </w:rPr>
        <w:t>,</w:t>
      </w:r>
      <w:r w:rsidRPr="000F6CBA">
        <w:rPr>
          <w:rFonts w:eastAsia="Arial" w:cs="Arial"/>
          <w:color w:val="000000"/>
          <w:szCs w:val="21"/>
        </w:rPr>
        <w:t xml:space="preserve"> and some cancers. Contributing to this disease burden are increased consumption of energy-dense foods (high kJ) and reduced physical activity. </w:t>
      </w:r>
    </w:p>
    <w:p w14:paraId="5028B091" w14:textId="2877589B" w:rsidR="00D85F58" w:rsidRPr="000F6CBA" w:rsidRDefault="00D85F58" w:rsidP="00D85F58">
      <w:r w:rsidRPr="000F6CBA">
        <w:rPr>
          <w:rFonts w:eastAsia="Arial" w:cs="Arial"/>
          <w:color w:val="000000"/>
          <w:szCs w:val="21"/>
        </w:rPr>
        <w:t xml:space="preserve">Approximately two-thirds of Victorians are either obese or overweight. Obesity is estimated to cost Victoria $14.4 billion a year when economic and social factors are considered. The scheme assists in addressing this significant public health issue in Victoria and is a significant addition to the efforts underway through the </w:t>
      </w:r>
      <w:hyperlink r:id="rId64">
        <w:r w:rsidRPr="000F6CBA">
          <w:rPr>
            <w:rFonts w:eastAsia="Arial" w:cs="Arial"/>
            <w:color w:val="004C97"/>
            <w:szCs w:val="21"/>
            <w:u w:val="dotted"/>
          </w:rPr>
          <w:t>Victorian Healthy Choices initiative</w:t>
        </w:r>
      </w:hyperlink>
      <w:r w:rsidR="00F83B42">
        <w:rPr>
          <w:rFonts w:eastAsia="Arial" w:cs="Arial"/>
          <w:color w:val="000000"/>
          <w:szCs w:val="21"/>
        </w:rPr>
        <w:t xml:space="preserve">. </w:t>
      </w:r>
      <w:r w:rsidRPr="000F6CBA">
        <w:rPr>
          <w:rFonts w:eastAsia="Arial" w:cs="Arial"/>
          <w:color w:val="000000"/>
          <w:szCs w:val="21"/>
        </w:rPr>
        <w:t xml:space="preserve">&lt;https://www.health.vic.gov.au/preventive-health/healthy-choices&gt;. </w:t>
      </w:r>
    </w:p>
    <w:p w14:paraId="440A899C" w14:textId="77777777" w:rsidR="00D85F58" w:rsidRPr="000F6CBA" w:rsidRDefault="00D85F58" w:rsidP="00D85F58">
      <w:r w:rsidRPr="000F6CBA">
        <w:rPr>
          <w:rFonts w:eastAsia="Arial" w:cs="Arial"/>
          <w:color w:val="000000"/>
          <w:szCs w:val="21"/>
        </w:rPr>
        <w:t xml:space="preserve">Kilojoule labelling aims to promote healthy food and drink options in places where people tend to spend their time. Many people are unaware that a single fast-food meal may contain most of an adult’s recommended daily kJ intake. </w:t>
      </w:r>
    </w:p>
    <w:p w14:paraId="634E04D4" w14:textId="1B1D1C95" w:rsidR="00D85F58" w:rsidRPr="000F6CBA" w:rsidRDefault="00D85F58" w:rsidP="00D85F58">
      <w:r w:rsidRPr="000F6CBA">
        <w:rPr>
          <w:rFonts w:eastAsia="Arial" w:cs="Arial"/>
          <w:color w:val="000000"/>
          <w:szCs w:val="21"/>
        </w:rPr>
        <w:t>Implementation of the scheme has resulted in approximately 3</w:t>
      </w:r>
      <w:r w:rsidR="004C56F1">
        <w:rPr>
          <w:rFonts w:eastAsia="Arial" w:cs="Arial"/>
          <w:color w:val="000000"/>
          <w:szCs w:val="21"/>
        </w:rPr>
        <w:t>,</w:t>
      </w:r>
      <w:r w:rsidRPr="000F6CBA">
        <w:rPr>
          <w:rFonts w:eastAsia="Arial" w:cs="Arial"/>
          <w:color w:val="000000"/>
          <w:szCs w:val="21"/>
        </w:rPr>
        <w:t xml:space="preserve">000 Victorian chain food businesses, plus approximately 570 supermarkets being required to display kJ information. </w:t>
      </w:r>
    </w:p>
    <w:p w14:paraId="431C2D14" w14:textId="77777777" w:rsidR="00D85F58" w:rsidRDefault="00D85F58" w:rsidP="00D85F58">
      <w:r w:rsidRPr="000F6CBA">
        <w:rPr>
          <w:rFonts w:eastAsia="Arial" w:cs="Arial"/>
          <w:szCs w:val="21"/>
        </w:rPr>
        <w:t>The scheme requires large chain food outlets/restaurants and large chain supermarkets to display</w:t>
      </w:r>
      <w:r w:rsidRPr="4501F8E3">
        <w:rPr>
          <w:rFonts w:eastAsia="Arial" w:cs="Arial"/>
          <w:szCs w:val="21"/>
        </w:rPr>
        <w:t>:</w:t>
      </w:r>
    </w:p>
    <w:p w14:paraId="2AFA3FF8" w14:textId="60EFA726" w:rsidR="00D85F58" w:rsidRDefault="00D85F58" w:rsidP="007A383F">
      <w:pPr>
        <w:pStyle w:val="Bullet1"/>
      </w:pPr>
      <w:r w:rsidRPr="4501F8E3">
        <w:t xml:space="preserve">the average kJ content of standardised, </w:t>
      </w:r>
      <w:r w:rsidRPr="00132B46">
        <w:t>ready</w:t>
      </w:r>
      <w:r w:rsidR="00D8514F" w:rsidRPr="00132B46">
        <w:t xml:space="preserve"> to</w:t>
      </w:r>
      <w:r w:rsidR="00D8514F">
        <w:t xml:space="preserve"> </w:t>
      </w:r>
      <w:r w:rsidRPr="4501F8E3">
        <w:t>eat food and non-alcoholic drinks on menus, menu boards, posters, food labels and price tags</w:t>
      </w:r>
    </w:p>
    <w:p w14:paraId="5D74CF8E" w14:textId="50D2DE23" w:rsidR="00D85F58" w:rsidRDefault="00D85F58" w:rsidP="007A383F">
      <w:pPr>
        <w:pStyle w:val="Bullet1"/>
      </w:pPr>
      <w:r w:rsidRPr="4501F8E3">
        <w:t>the statement ‘The average adult daily energy intake is 8,700</w:t>
      </w:r>
      <w:r w:rsidR="00F82161">
        <w:t xml:space="preserve"> </w:t>
      </w:r>
      <w:r w:rsidRPr="4501F8E3">
        <w:t xml:space="preserve">kJ’ on menus, menu boards and display cabinets where food is displayed for sale. </w:t>
      </w:r>
    </w:p>
    <w:p w14:paraId="654B58D8" w14:textId="77777777" w:rsidR="00D85F58" w:rsidRDefault="00D85F58" w:rsidP="00D85F58">
      <w:r w:rsidRPr="4501F8E3">
        <w:rPr>
          <w:rFonts w:eastAsia="Arial" w:cs="Arial"/>
          <w:color w:val="000000" w:themeColor="text1"/>
          <w:szCs w:val="21"/>
        </w:rPr>
        <w:t>The key objectives of the scheme are</w:t>
      </w:r>
      <w:r w:rsidRPr="4C8EF378">
        <w:rPr>
          <w:rFonts w:eastAsia="Arial" w:cs="Arial"/>
          <w:color w:val="000000" w:themeColor="text1"/>
          <w:szCs w:val="21"/>
        </w:rPr>
        <w:t xml:space="preserve"> to</w:t>
      </w:r>
      <w:r w:rsidRPr="4501F8E3">
        <w:rPr>
          <w:rFonts w:eastAsia="Arial" w:cs="Arial"/>
          <w:color w:val="000000" w:themeColor="text1"/>
          <w:szCs w:val="21"/>
        </w:rPr>
        <w:t xml:space="preserve">: </w:t>
      </w:r>
    </w:p>
    <w:p w14:paraId="169C43A4" w14:textId="66E17113" w:rsidR="00D85F58" w:rsidRDefault="00D85F58" w:rsidP="007A383F">
      <w:pPr>
        <w:pStyle w:val="Bullet1"/>
      </w:pPr>
      <w:r w:rsidRPr="4501F8E3">
        <w:t>provide consumers with consistent and transparent kilojoule information about food and drinks at point</w:t>
      </w:r>
      <w:r w:rsidR="004C56F1">
        <w:t>-</w:t>
      </w:r>
      <w:r w:rsidRPr="4501F8E3">
        <w:t>of</w:t>
      </w:r>
      <w:r w:rsidR="004C56F1">
        <w:t>-</w:t>
      </w:r>
      <w:r w:rsidRPr="4501F8E3">
        <w:t>sale in qualifying chain food outlets</w:t>
      </w:r>
    </w:p>
    <w:p w14:paraId="03DBB702" w14:textId="77777777" w:rsidR="00D85F58" w:rsidRDefault="00D85F58" w:rsidP="007A383F">
      <w:pPr>
        <w:pStyle w:val="Bullet1"/>
      </w:pPr>
      <w:r w:rsidRPr="4C8EF378">
        <w:t xml:space="preserve">allow consumers to compare relative kilojoule content of food and drinks for sale </w:t>
      </w:r>
    </w:p>
    <w:p w14:paraId="1F0885B2" w14:textId="77777777" w:rsidR="00D85F58" w:rsidRPr="00681564" w:rsidRDefault="00D85F58" w:rsidP="007A383F">
      <w:pPr>
        <w:pStyle w:val="Bullet1"/>
      </w:pPr>
      <w:r w:rsidRPr="4501F8E3">
        <w:t xml:space="preserve">improve consumers’ general awareness about the recommended daily kilojoule intake and how this contributes to maintaining a healthy weight. </w:t>
      </w:r>
    </w:p>
    <w:p w14:paraId="24FDB975" w14:textId="12D1ACD3" w:rsidR="00D85F58" w:rsidRPr="0011511B" w:rsidRDefault="00D85F58" w:rsidP="00D85F58">
      <w:pPr>
        <w:pStyle w:val="DHHSbody"/>
        <w:rPr>
          <w:color w:val="000000" w:themeColor="text1"/>
          <w:sz w:val="21"/>
          <w:szCs w:val="21"/>
        </w:rPr>
      </w:pPr>
      <w:bookmarkStart w:id="89" w:name="_Hlk119355541"/>
      <w:r w:rsidRPr="0011511B">
        <w:rPr>
          <w:bCs/>
          <w:color w:val="000000" w:themeColor="text1"/>
          <w:sz w:val="21"/>
          <w:szCs w:val="21"/>
        </w:rPr>
        <w:t xml:space="preserve">The </w:t>
      </w:r>
      <w:r w:rsidRPr="0011511B">
        <w:rPr>
          <w:b/>
          <w:color w:val="000000" w:themeColor="text1"/>
          <w:sz w:val="21"/>
          <w:szCs w:val="21"/>
        </w:rPr>
        <w:t>kJ menu surveillance program</w:t>
      </w:r>
      <w:r w:rsidRPr="0011511B">
        <w:rPr>
          <w:color w:val="000000" w:themeColor="text1"/>
          <w:sz w:val="21"/>
          <w:szCs w:val="21"/>
        </w:rPr>
        <w:t xml:space="preserve"> reviewed a sample of large chain food premises to ascertain level of compliance with changes to the </w:t>
      </w:r>
      <w:r w:rsidR="00192656" w:rsidRPr="00344DDA">
        <w:rPr>
          <w:rFonts w:cs="Arial"/>
          <w:i/>
          <w:iCs/>
          <w:sz w:val="21"/>
          <w:szCs w:val="21"/>
        </w:rPr>
        <w:t>V</w:t>
      </w:r>
      <w:r w:rsidR="00192656" w:rsidRPr="00344DDA">
        <w:rPr>
          <w:rStyle w:val="Emphasis"/>
          <w:rFonts w:eastAsia="VIC-Regular" w:cs="Arial"/>
          <w:i w:val="0"/>
          <w:sz w:val="21"/>
          <w:szCs w:val="21"/>
        </w:rPr>
        <w:t>i</w:t>
      </w:r>
      <w:r w:rsidR="00192656" w:rsidRPr="00344DDA">
        <w:rPr>
          <w:rStyle w:val="Emphasis"/>
          <w:rFonts w:eastAsia="VIC-Regular" w:cs="Arial"/>
          <w:sz w:val="21"/>
          <w:szCs w:val="21"/>
        </w:rPr>
        <w:t>ctorian Food Act 1984</w:t>
      </w:r>
      <w:r w:rsidRPr="0011511B">
        <w:rPr>
          <w:color w:val="000000" w:themeColor="text1"/>
          <w:sz w:val="21"/>
          <w:szCs w:val="21"/>
        </w:rPr>
        <w:t>, that came into effect on 1 May 2018</w:t>
      </w:r>
      <w:bookmarkEnd w:id="89"/>
      <w:r w:rsidRPr="0011511B">
        <w:rPr>
          <w:color w:val="000000" w:themeColor="text1"/>
          <w:sz w:val="21"/>
          <w:szCs w:val="21"/>
        </w:rPr>
        <w:t xml:space="preserve">. Approximately one year later in April/May 2019 further surveillance was undertaken to compare results against the baseline results obtained in 2018. </w:t>
      </w:r>
    </w:p>
    <w:p w14:paraId="34C09565" w14:textId="77777777" w:rsidR="00D85F58" w:rsidRPr="00681564" w:rsidRDefault="00D85F58" w:rsidP="00D85F58">
      <w:pPr>
        <w:rPr>
          <w:rFonts w:eastAsia="Arial" w:cs="Arial"/>
          <w:color w:val="000000" w:themeColor="text1"/>
          <w:szCs w:val="21"/>
        </w:rPr>
      </w:pPr>
      <w:r w:rsidRPr="00681564">
        <w:rPr>
          <w:rFonts w:eastAsia="Arial" w:cs="Arial"/>
          <w:color w:val="000000" w:themeColor="text1"/>
          <w:szCs w:val="21"/>
        </w:rPr>
        <w:t>A summary of some results across the 110 large chain food</w:t>
      </w:r>
      <w:r w:rsidRPr="00681564">
        <w:t xml:space="preserve"> premise reviews:</w:t>
      </w:r>
    </w:p>
    <w:p w14:paraId="5B302000" w14:textId="77777777" w:rsidR="00D85F58" w:rsidRPr="00681564" w:rsidRDefault="00D85F58" w:rsidP="007A383F">
      <w:pPr>
        <w:pStyle w:val="Bullet1"/>
      </w:pPr>
      <w:r w:rsidRPr="00681564">
        <w:t>Menu boards in large chain food businesses displaying kJ content increased from 80 per cent in 2018 to 100 per cent in 2019.</w:t>
      </w:r>
    </w:p>
    <w:p w14:paraId="604897CF" w14:textId="7D314D65" w:rsidR="00D85F58" w:rsidRPr="0011511B" w:rsidRDefault="00D85F58" w:rsidP="007A383F">
      <w:pPr>
        <w:pStyle w:val="Bullet1"/>
      </w:pPr>
      <w:r w:rsidRPr="0011511B">
        <w:t xml:space="preserve">In printed menus and posters, the kJ content of standard food items displayed increased from 75 per cent in 2018 to 100 per cent in 2019. </w:t>
      </w:r>
    </w:p>
    <w:p w14:paraId="5BF4CB0C" w14:textId="1B2C1515" w:rsidR="00D85F58" w:rsidRPr="00681564" w:rsidRDefault="00D85F58" w:rsidP="00D85F58">
      <w:pPr>
        <w:rPr>
          <w:rFonts w:eastAsia="Arial" w:cs="Arial"/>
          <w:color w:val="000000" w:themeColor="text1"/>
          <w:szCs w:val="21"/>
        </w:rPr>
      </w:pPr>
      <w:r w:rsidRPr="00681564">
        <w:rPr>
          <w:color w:val="000000" w:themeColor="text1"/>
        </w:rPr>
        <w:t xml:space="preserve">Additionally, between June 2018 and March 2019 </w:t>
      </w:r>
      <w:r w:rsidR="004C56F1">
        <w:rPr>
          <w:color w:val="000000" w:themeColor="text1"/>
        </w:rPr>
        <w:t xml:space="preserve">the department reviewed </w:t>
      </w:r>
      <w:r w:rsidRPr="00681564">
        <w:rPr>
          <w:color w:val="000000" w:themeColor="text1"/>
        </w:rPr>
        <w:t>141 websites</w:t>
      </w:r>
      <w:r w:rsidR="004C56F1">
        <w:rPr>
          <w:color w:val="000000" w:themeColor="text1"/>
        </w:rPr>
        <w:t xml:space="preserve"> and found </w:t>
      </w:r>
      <w:r w:rsidRPr="00681564">
        <w:rPr>
          <w:color w:val="000000" w:themeColor="text1"/>
        </w:rPr>
        <w:t xml:space="preserve">that 100 per cent of food business websites provided nutrition/kJ information in PDF format displayed the kJ content for standard food items. </w:t>
      </w:r>
    </w:p>
    <w:p w14:paraId="4F81909F" w14:textId="795751E1" w:rsidR="006A3391" w:rsidRPr="00D85F58" w:rsidRDefault="00F82161" w:rsidP="00D85F58">
      <w:pPr>
        <w:rPr>
          <w:rFonts w:eastAsia="Arial" w:cs="Arial"/>
          <w:color w:val="000000" w:themeColor="text1"/>
          <w:szCs w:val="21"/>
        </w:rPr>
      </w:pPr>
      <w:r>
        <w:rPr>
          <w:rFonts w:eastAsia="Arial" w:cs="Arial"/>
          <w:color w:val="000000" w:themeColor="text1"/>
          <w:szCs w:val="21"/>
        </w:rPr>
        <w:lastRenderedPageBreak/>
        <w:t xml:space="preserve">The </w:t>
      </w:r>
      <w:r w:rsidR="00D85F58">
        <w:rPr>
          <w:rFonts w:eastAsia="Arial" w:cs="Arial"/>
          <w:color w:val="000000" w:themeColor="text1"/>
          <w:szCs w:val="21"/>
        </w:rPr>
        <w:t xml:space="preserve">full list of </w:t>
      </w:r>
      <w:r w:rsidR="00D85F58" w:rsidRPr="4501F8E3">
        <w:rPr>
          <w:rFonts w:eastAsia="Arial" w:cs="Arial"/>
          <w:color w:val="000000" w:themeColor="text1"/>
          <w:szCs w:val="21"/>
        </w:rPr>
        <w:t>results are published on the department’s</w:t>
      </w:r>
      <w:r w:rsidR="00D85F58" w:rsidRPr="4501F8E3">
        <w:rPr>
          <w:rFonts w:eastAsia="Arial" w:cs="Arial"/>
          <w:color w:val="004C97"/>
          <w:szCs w:val="21"/>
          <w:u w:val="dotted"/>
        </w:rPr>
        <w:t xml:space="preserve"> </w:t>
      </w:r>
      <w:hyperlink r:id="rId65">
        <w:r w:rsidR="00D85F58" w:rsidRPr="4501F8E3">
          <w:rPr>
            <w:rFonts w:eastAsia="Arial" w:cs="Arial"/>
            <w:color w:val="004C97"/>
            <w:szCs w:val="21"/>
            <w:u w:val="dotted"/>
          </w:rPr>
          <w:t>health.vic website</w:t>
        </w:r>
      </w:hyperlink>
      <w:r w:rsidR="00D85F58">
        <w:rPr>
          <w:rFonts w:eastAsia="Arial" w:cs="Arial"/>
          <w:color w:val="000000" w:themeColor="text1"/>
          <w:szCs w:val="21"/>
        </w:rPr>
        <w:t>.</w:t>
      </w:r>
      <w:r w:rsidR="00032632">
        <w:rPr>
          <w:rFonts w:eastAsia="Arial" w:cs="Arial"/>
          <w:color w:val="000000" w:themeColor="text1"/>
          <w:szCs w:val="21"/>
        </w:rPr>
        <w:t xml:space="preserve"> </w:t>
      </w:r>
      <w:r w:rsidR="00D85F58" w:rsidRPr="4501F8E3">
        <w:rPr>
          <w:rFonts w:eastAsia="Arial" w:cs="Arial"/>
          <w:color w:val="000000" w:themeColor="text1"/>
          <w:szCs w:val="21"/>
        </w:rPr>
        <w:t>&lt;https://www.health.vic.gov.au/publications/kilojoule-labelling-scheme-victoria&gt;</w:t>
      </w:r>
      <w:r w:rsidR="00F83B42">
        <w:rPr>
          <w:rFonts w:eastAsia="Arial" w:cs="Arial"/>
          <w:color w:val="000000" w:themeColor="text1"/>
          <w:szCs w:val="21"/>
        </w:rPr>
        <w:t>.</w:t>
      </w:r>
    </w:p>
    <w:p w14:paraId="173089AB" w14:textId="7762E9E8" w:rsidR="009C1D83" w:rsidRPr="00D85F58" w:rsidRDefault="00295E03" w:rsidP="007147A7">
      <w:pPr>
        <w:pStyle w:val="Heading3"/>
      </w:pPr>
      <w:r>
        <w:t>What the Victorian Government is doing</w:t>
      </w:r>
      <w:r w:rsidR="006D41D9">
        <w:t xml:space="preserve"> </w:t>
      </w:r>
    </w:p>
    <w:p w14:paraId="394CBC8E" w14:textId="761B9FB0" w:rsidR="004C56F1" w:rsidRDefault="00560E82" w:rsidP="00295E03">
      <w:pPr>
        <w:pStyle w:val="Body"/>
      </w:pPr>
      <w:r>
        <w:t xml:space="preserve">In addition to the </w:t>
      </w:r>
      <w:r w:rsidRPr="000F6CBA">
        <w:rPr>
          <w:rFonts w:eastAsia="Arial" w:cs="Arial"/>
          <w:szCs w:val="21"/>
        </w:rPr>
        <w:t>Kilojoule Labelling Scheme</w:t>
      </w:r>
      <w:r>
        <w:rPr>
          <w:rFonts w:eastAsia="Arial" w:cs="Arial"/>
          <w:szCs w:val="21"/>
        </w:rPr>
        <w:t>,</w:t>
      </w:r>
      <w:r>
        <w:t xml:space="preserve"> </w:t>
      </w:r>
      <w:r w:rsidR="00235317">
        <w:t xml:space="preserve">the </w:t>
      </w:r>
      <w:r w:rsidR="00295E03" w:rsidRPr="005D0916">
        <w:t xml:space="preserve">Victorian Government </w:t>
      </w:r>
      <w:r w:rsidR="004C56F1">
        <w:t xml:space="preserve">is taking a range of complementary </w:t>
      </w:r>
      <w:r w:rsidR="00295E03" w:rsidRPr="005D0916">
        <w:t xml:space="preserve">actions to </w:t>
      </w:r>
      <w:r w:rsidR="004C56F1">
        <w:t xml:space="preserve">ensure sustained change. </w:t>
      </w:r>
    </w:p>
    <w:p w14:paraId="460F8365" w14:textId="5015290D" w:rsidR="00295E03" w:rsidRPr="005D0916" w:rsidRDefault="004C56F1" w:rsidP="00295E03">
      <w:pPr>
        <w:pStyle w:val="Body"/>
      </w:pPr>
      <w:r>
        <w:t>Those actions include</w:t>
      </w:r>
      <w:r w:rsidR="00295E03" w:rsidRPr="005D0916">
        <w:t>:</w:t>
      </w:r>
    </w:p>
    <w:p w14:paraId="5C30945B" w14:textId="2F8A52C6" w:rsidR="00295E03" w:rsidRPr="000906F2" w:rsidRDefault="00295E03" w:rsidP="000A6A32">
      <w:pPr>
        <w:pStyle w:val="Bullet1"/>
      </w:pPr>
      <w:r w:rsidRPr="000906F2">
        <w:t>Promoting the </w:t>
      </w:r>
      <w:hyperlink r:id="rId66">
        <w:r w:rsidRPr="000906F2">
          <w:t>Healthy Choices policy/guidelines</w:t>
        </w:r>
      </w:hyperlink>
      <w:r w:rsidRPr="000906F2">
        <w:t> to increase provision and promotion of healthy foods and drinks, and reduce unhealthy food and drinks in health services, sport and recreation centres, parks and workplaces, supported by the </w:t>
      </w:r>
      <w:hyperlink r:id="rId67">
        <w:r w:rsidR="0DCEA8B1">
          <w:t>Healthy Eating Advisory Service</w:t>
        </w:r>
      </w:hyperlink>
      <w:r w:rsidR="7F189FA7">
        <w:t>.</w:t>
      </w:r>
      <w:r w:rsidRPr="000906F2">
        <w:t xml:space="preserve"> </w:t>
      </w:r>
    </w:p>
    <w:p w14:paraId="4EB8441E" w14:textId="080D542B" w:rsidR="00295E03" w:rsidRDefault="00295E03" w:rsidP="000A6A32">
      <w:pPr>
        <w:pStyle w:val="Bullet1"/>
      </w:pPr>
      <w:r>
        <w:t xml:space="preserve">Promoting </w:t>
      </w:r>
      <w:r w:rsidR="004C56F1">
        <w:t xml:space="preserve">the </w:t>
      </w:r>
      <w:r>
        <w:t xml:space="preserve">uptake of aligned healthy food policies and guidelines in early years services and schools, supported by the Healthy Eating Advisory Service. </w:t>
      </w:r>
    </w:p>
    <w:p w14:paraId="0E1A23AB" w14:textId="77777777" w:rsidR="00295E03" w:rsidRPr="00A2270E" w:rsidRDefault="00295E03" w:rsidP="000A6A32">
      <w:pPr>
        <w:pStyle w:val="Bullet1"/>
        <w:rPr>
          <w:rFonts w:eastAsia="Arial" w:cs="Arial"/>
          <w:color w:val="000000" w:themeColor="text1"/>
          <w:szCs w:val="21"/>
        </w:rPr>
      </w:pPr>
      <w:r w:rsidRPr="0C6521A9">
        <w:t xml:space="preserve">Delivering a healthy and more sustainable food procurement policy across government departments. </w:t>
      </w:r>
    </w:p>
    <w:p w14:paraId="1BD718C3" w14:textId="48341DD2" w:rsidR="00295E03" w:rsidRPr="006D5671" w:rsidRDefault="004C56F1" w:rsidP="000A6A32">
      <w:pPr>
        <w:pStyle w:val="Bullet1"/>
        <w:rPr>
          <w:rFonts w:eastAsia="Arial" w:cs="Arial"/>
        </w:rPr>
      </w:pPr>
      <w:r>
        <w:t xml:space="preserve">Delivering the </w:t>
      </w:r>
      <w:r w:rsidR="00295E03" w:rsidRPr="006D5671">
        <w:t xml:space="preserve">Healthy Schools, Healthy Early Childhood Services and Healthy Workplaces </w:t>
      </w:r>
      <w:hyperlink r:id="rId68">
        <w:r w:rsidR="00295E03" w:rsidRPr="006D5671">
          <w:t>Achievement Program</w:t>
        </w:r>
      </w:hyperlink>
      <w:r w:rsidR="00295E03" w:rsidRPr="006D5671">
        <w:t xml:space="preserve"> (led by Cancer Council Victoria)</w:t>
      </w:r>
      <w:r>
        <w:t xml:space="preserve">. This initiative </w:t>
      </w:r>
      <w:r w:rsidR="00295E03" w:rsidRPr="006D5671">
        <w:t xml:space="preserve">is a free health and wellbeing program that provides quality health promotion benchmarks and Victorian </w:t>
      </w:r>
      <w:r>
        <w:t>G</w:t>
      </w:r>
      <w:r w:rsidR="00295E03" w:rsidRPr="006D5671">
        <w:t xml:space="preserve">overnment recognition for key areas of health </w:t>
      </w:r>
      <w:r>
        <w:t>–</w:t>
      </w:r>
      <w:r w:rsidR="00295E03" w:rsidRPr="006D5671">
        <w:t xml:space="preserve"> including healthy eating and oral health, mental health, physical activity, sexual health, tobacco, alcohol</w:t>
      </w:r>
      <w:r w:rsidR="00627973">
        <w:t>,</w:t>
      </w:r>
      <w:r w:rsidR="00295E03" w:rsidRPr="006D5671">
        <w:t xml:space="preserve"> and other drugs.  </w:t>
      </w:r>
    </w:p>
    <w:p w14:paraId="43A20157" w14:textId="13532800" w:rsidR="00295E03" w:rsidRPr="008B181B" w:rsidRDefault="00627973" w:rsidP="000A6A32">
      <w:pPr>
        <w:pStyle w:val="Bullet1"/>
      </w:pPr>
      <w:r>
        <w:t>Delivering t</w:t>
      </w:r>
      <w:r w:rsidR="00295E03" w:rsidRPr="008B181B">
        <w:t>he INFANT (Infant Feeding Active Play and NuTrition) program</w:t>
      </w:r>
      <w:r>
        <w:t>. INFANT</w:t>
      </w:r>
      <w:r w:rsidR="00295E03" w:rsidRPr="008B181B">
        <w:t xml:space="preserve"> </w:t>
      </w:r>
      <w:r>
        <w:t xml:space="preserve">helps </w:t>
      </w:r>
      <w:r w:rsidR="00295E03" w:rsidRPr="008B181B">
        <w:t>first</w:t>
      </w:r>
      <w:r>
        <w:t>-</w:t>
      </w:r>
      <w:r w:rsidR="00295E03" w:rsidRPr="008B181B">
        <w:t>time parents establish healthy eating and physical activity behaviours for themselves and their children. It has shown sustained (at age</w:t>
      </w:r>
      <w:r>
        <w:t>s</w:t>
      </w:r>
      <w:r w:rsidR="00295E03" w:rsidRPr="008B181B">
        <w:t xml:space="preserve"> two and five) and positive impacts on fruit, vegetable, water and sugar-sweetened beverage intake and less television watching. </w:t>
      </w:r>
      <w:r w:rsidR="00295E03" w:rsidRPr="008B181B">
        <w:rPr>
          <w:rFonts w:cs="Arial"/>
        </w:rPr>
        <w:t xml:space="preserve">The </w:t>
      </w:r>
      <w:r>
        <w:rPr>
          <w:rFonts w:cs="Arial"/>
        </w:rPr>
        <w:t>d</w:t>
      </w:r>
      <w:r w:rsidR="00295E03" w:rsidRPr="008B181B">
        <w:rPr>
          <w:rFonts w:cs="Arial"/>
        </w:rPr>
        <w:t>epartment is providing funding to the Institute for Physical Activity and Nutrition at Deakin University to enhance implementation of INFANT across Victoria in 2021. </w:t>
      </w:r>
    </w:p>
    <w:p w14:paraId="391A2EE9" w14:textId="1CD7D0DF" w:rsidR="00295E03" w:rsidRPr="008B181B" w:rsidRDefault="00627973" w:rsidP="000A6A32">
      <w:pPr>
        <w:pStyle w:val="Bullet1"/>
      </w:pPr>
      <w:r>
        <w:t xml:space="preserve">Delivering </w:t>
      </w:r>
      <w:r w:rsidR="00295E03" w:rsidRPr="008B181B">
        <w:t xml:space="preserve">Life! </w:t>
      </w:r>
      <w:r>
        <w:t xml:space="preserve">– </w:t>
      </w:r>
      <w:r w:rsidR="00295E03" w:rsidRPr="008B181B">
        <w:t xml:space="preserve">a free healthy lifestyle program that helps Victorians improve their eating habits, increase physical activity and manage stress. Run by experienced health professionals, </w:t>
      </w:r>
      <w:r>
        <w:t xml:space="preserve">Life! </w:t>
      </w:r>
      <w:r w:rsidR="00295E03" w:rsidRPr="008B181B">
        <w:t>offers group courses or a telephone health coaching service. The program supports participants with making small lifestyle changes to reduce the risk of type 2 diabetes and cardiovascular disease. Life! is funded by the Victorian Government and coordinated by Diabetes Victoria.</w:t>
      </w:r>
    </w:p>
    <w:p w14:paraId="3C868559" w14:textId="778DD651" w:rsidR="00295E03" w:rsidRPr="00D52FBE" w:rsidRDefault="00627973" w:rsidP="000A6A32">
      <w:pPr>
        <w:pStyle w:val="Bullet1"/>
      </w:pPr>
      <w:r>
        <w:t>Supporting t</w:t>
      </w:r>
      <w:r w:rsidR="00295E03" w:rsidRPr="00D52FBE">
        <w:t>he Victorian Aboriginal Community Controlled Health Organisation (VACCHO)’s Nutrition team</w:t>
      </w:r>
      <w:r>
        <w:t>. The team</w:t>
      </w:r>
      <w:r w:rsidR="00295E03" w:rsidRPr="00D52FBE">
        <w:t xml:space="preserve"> works collaboratively with Member ACCOs and key stakeholders to improve food </w:t>
      </w:r>
      <w:r w:rsidR="00295E03">
        <w:t xml:space="preserve">and </w:t>
      </w:r>
      <w:r w:rsidR="00295E03" w:rsidRPr="00D52FBE">
        <w:t>nutrition outcomes for Aboriginal and Torres Strait Islander communities across Victoria. VACCHO’s work with the Victorian Government is based on a commitment to Aboriginal self-determination. For more information </w:t>
      </w:r>
      <w:hyperlink r:id="rId69">
        <w:r w:rsidR="0DCEA8B1">
          <w:t>visit the VACCHO website</w:t>
        </w:r>
      </w:hyperlink>
      <w:r>
        <w:t>.</w:t>
      </w:r>
    </w:p>
    <w:p w14:paraId="0FB685F8" w14:textId="51804A2A" w:rsidR="00295E03" w:rsidRPr="00D52FBE" w:rsidRDefault="00627973" w:rsidP="000A6A32">
      <w:pPr>
        <w:pStyle w:val="Bullet1"/>
      </w:pPr>
      <w:r>
        <w:rPr>
          <w:rFonts w:cs="Arial"/>
        </w:rPr>
        <w:t xml:space="preserve">Delivering the </w:t>
      </w:r>
      <w:r w:rsidR="00295E03" w:rsidRPr="00D52FBE">
        <w:rPr>
          <w:rFonts w:cs="Arial"/>
        </w:rPr>
        <w:t>Victorian Healthy Eating Enterprise (VHEE)</w:t>
      </w:r>
      <w:r>
        <w:rPr>
          <w:rFonts w:cs="Arial"/>
        </w:rPr>
        <w:t>. VHEE</w:t>
      </w:r>
      <w:r w:rsidR="00295E03" w:rsidRPr="00D52FBE">
        <w:rPr>
          <w:rFonts w:cs="Arial"/>
        </w:rPr>
        <w:t xml:space="preserve"> provides a coordinated platform </w:t>
      </w:r>
      <w:r>
        <w:rPr>
          <w:rFonts w:cs="Arial"/>
        </w:rPr>
        <w:t xml:space="preserve">where </w:t>
      </w:r>
      <w:r w:rsidR="00295E03" w:rsidRPr="00D52FBE">
        <w:rPr>
          <w:rFonts w:cs="Arial"/>
        </w:rPr>
        <w:t>local governments, businesses, community health services, academics, health professionals</w:t>
      </w:r>
      <w:r>
        <w:rPr>
          <w:rFonts w:cs="Arial"/>
        </w:rPr>
        <w:t>,</w:t>
      </w:r>
      <w:r w:rsidR="00295E03" w:rsidRPr="00D52FBE">
        <w:rPr>
          <w:rFonts w:cs="Arial"/>
        </w:rPr>
        <w:t xml:space="preserve"> and peak health bodies</w:t>
      </w:r>
      <w:r>
        <w:rPr>
          <w:rFonts w:cs="Arial"/>
        </w:rPr>
        <w:t xml:space="preserve"> can</w:t>
      </w:r>
      <w:r w:rsidR="00295E03" w:rsidRPr="00D52FBE">
        <w:rPr>
          <w:rFonts w:cs="Arial"/>
        </w:rPr>
        <w:t xml:space="preserve"> collaborate and progress collective action on a healthy food system and vibrant healthy eating culture across Victoria. </w:t>
      </w:r>
    </w:p>
    <w:p w14:paraId="683E3E61" w14:textId="5C200946" w:rsidR="00295E03" w:rsidRPr="006D5671" w:rsidRDefault="00627973" w:rsidP="000A6A32">
      <w:pPr>
        <w:pStyle w:val="Bullet1"/>
      </w:pPr>
      <w:r>
        <w:t xml:space="preserve">Delivering </w:t>
      </w:r>
      <w:hyperlink r:id="rId70">
        <w:r w:rsidR="00295E03" w:rsidRPr="006D5671">
          <w:rPr>
            <w:i/>
          </w:rPr>
          <w:t>Healthy Kids, Healthy Futures</w:t>
        </w:r>
      </w:hyperlink>
      <w:r>
        <w:t xml:space="preserve"> – t</w:t>
      </w:r>
      <w:r w:rsidR="00295E03" w:rsidRPr="006D5671">
        <w:t xml:space="preserve">he Victorian Government’s five-year action plan to support children and young people to be healthy, active and well. </w:t>
      </w:r>
      <w:r>
        <w:t xml:space="preserve">The plan </w:t>
      </w:r>
      <w:r w:rsidR="00295E03" w:rsidRPr="006D5671">
        <w:t>aims to lay the foundations for life-long health and wellbeing. It has a focus on creating places that support children and young people to be healthy and well, provid</w:t>
      </w:r>
      <w:r>
        <w:t>ing</w:t>
      </w:r>
      <w:r w:rsidR="00295E03" w:rsidRPr="006D5671">
        <w:t xml:space="preserve"> and promot</w:t>
      </w:r>
      <w:r>
        <w:t>ing</w:t>
      </w:r>
      <w:r w:rsidR="00295E03" w:rsidRPr="006D5671">
        <w:t xml:space="preserve"> healthy food and drink, </w:t>
      </w:r>
      <w:r>
        <w:t xml:space="preserve">creating </w:t>
      </w:r>
      <w:r w:rsidR="00295E03" w:rsidRPr="006D5671">
        <w:t>more opportunities to be active throughout the day</w:t>
      </w:r>
      <w:r>
        <w:t>,</w:t>
      </w:r>
      <w:r w:rsidR="00295E03" w:rsidRPr="006D5671">
        <w:t xml:space="preserve"> and support</w:t>
      </w:r>
      <w:r>
        <w:t>ing</w:t>
      </w:r>
      <w:r w:rsidR="00295E03" w:rsidRPr="006D5671">
        <w:t xml:space="preserve"> mental wellbeing in places </w:t>
      </w:r>
      <w:r>
        <w:t xml:space="preserve">where </w:t>
      </w:r>
      <w:r w:rsidR="00295E03" w:rsidRPr="006D5671">
        <w:t xml:space="preserve">children spend their time. </w:t>
      </w:r>
    </w:p>
    <w:p w14:paraId="36EBED6D" w14:textId="2F8E1BE6" w:rsidR="00295E03" w:rsidRPr="006D5671" w:rsidRDefault="00627973" w:rsidP="000A6A32">
      <w:pPr>
        <w:pStyle w:val="Bullet1"/>
      </w:pPr>
      <w:r>
        <w:rPr>
          <w:iCs/>
        </w:rPr>
        <w:lastRenderedPageBreak/>
        <w:t xml:space="preserve">Delivering </w:t>
      </w:r>
      <w:r w:rsidR="00295E03" w:rsidRPr="006D5671">
        <w:rPr>
          <w:i/>
        </w:rPr>
        <w:t>Vic Kids Eat Well</w:t>
      </w:r>
      <w:r>
        <w:t xml:space="preserve"> – a</w:t>
      </w:r>
      <w:r w:rsidR="00295E03" w:rsidRPr="006D5671">
        <w:t>n exciting new state-wide initiative (led by Cancer Council Victoria and Nutrition Australia) that aims to boost healthy food and drink options in the places children spend their time</w:t>
      </w:r>
      <w:r>
        <w:t>,</w:t>
      </w:r>
      <w:r w:rsidR="00295E03" w:rsidRPr="006D5671">
        <w:t xml:space="preserve"> including schools, out of school hours care, sports clubs, recreation facilities</w:t>
      </w:r>
      <w:r>
        <w:t>,</w:t>
      </w:r>
      <w:r w:rsidR="00295E03" w:rsidRPr="006D5671">
        <w:t xml:space="preserve"> and council and community facilities.  </w:t>
      </w:r>
    </w:p>
    <w:p w14:paraId="66024F3C" w14:textId="1076AEC7" w:rsidR="00295E03" w:rsidRPr="00627973" w:rsidRDefault="00627973" w:rsidP="009B0513">
      <w:pPr>
        <w:pStyle w:val="Bullet1"/>
        <w:spacing w:after="120"/>
        <w:rPr>
          <w:szCs w:val="21"/>
        </w:rPr>
      </w:pPr>
      <w:r>
        <w:rPr>
          <w:iCs/>
        </w:rPr>
        <w:t xml:space="preserve">Supporting </w:t>
      </w:r>
      <w:r w:rsidR="00295E03" w:rsidRPr="006D5671">
        <w:rPr>
          <w:i/>
        </w:rPr>
        <w:t>Healthy Kids Advisors</w:t>
      </w:r>
      <w:r>
        <w:t>.</w:t>
      </w:r>
      <w:r w:rsidR="00295E03" w:rsidRPr="006D5671">
        <w:t xml:space="preserve"> Delivered by the Stephanie Alexander Kitchen Garden Foundation and supported by the Australian and Victorian Governments</w:t>
      </w:r>
      <w:r>
        <w:t>,</w:t>
      </w:r>
      <w:r w:rsidR="00295E03" w:rsidRPr="006D5671">
        <w:t xml:space="preserve"> </w:t>
      </w:r>
      <w:r>
        <w:t xml:space="preserve">the program </w:t>
      </w:r>
      <w:r w:rsidR="00295E03" w:rsidRPr="006D5671">
        <w:t>provid</w:t>
      </w:r>
      <w:r>
        <w:t>es</w:t>
      </w:r>
      <w:r w:rsidR="00295E03" w:rsidRPr="006D5671">
        <w:t xml:space="preserve"> hands-on support in 13 priority areas to help achieve fairer health outcomes, with a focus on healthy eating and supporting implementation of Vic Kids Eat Well. </w:t>
      </w:r>
      <w:r w:rsidR="00295E03" w:rsidRPr="1949FE84">
        <w:t xml:space="preserve">As part of </w:t>
      </w:r>
      <w:r>
        <w:t xml:space="preserve">VicHealth’s </w:t>
      </w:r>
      <w:r w:rsidR="00295E03" w:rsidRPr="1949FE84">
        <w:t xml:space="preserve">collective effort with </w:t>
      </w:r>
      <w:r>
        <w:t xml:space="preserve">its </w:t>
      </w:r>
      <w:r w:rsidR="00295E03" w:rsidRPr="1949FE84">
        <w:t xml:space="preserve">partners, Healthy Kids Advisors are active in areas that align with VicHealth’s </w:t>
      </w:r>
      <w:hyperlink r:id="rId71" w:tgtFrame="_blank" w:history="1">
        <w:r w:rsidR="00295E03" w:rsidRPr="00627973">
          <w:rPr>
            <w:rStyle w:val="normaltextrun"/>
            <w:rFonts w:eastAsia="MS Mincho" w:cs="Arial"/>
            <w:u w:val="single"/>
            <w:shd w:val="clear" w:color="auto" w:fill="FFFFFF"/>
          </w:rPr>
          <w:t>Local Government Partnerships</w:t>
        </w:r>
      </w:hyperlink>
      <w:r w:rsidR="00295E03" w:rsidRPr="1949FE84">
        <w:t>. These partnerships aim to support local action to ensure all children and young people have the opportunity to grow up active, socially connected</w:t>
      </w:r>
      <w:r>
        <w:t>,</w:t>
      </w:r>
      <w:r w:rsidR="00295E03" w:rsidRPr="1949FE84">
        <w:t xml:space="preserve"> and healthy. </w:t>
      </w:r>
    </w:p>
    <w:p w14:paraId="6EA56F6D" w14:textId="77777777" w:rsidR="00295E03" w:rsidRPr="005D0916" w:rsidRDefault="00295E03" w:rsidP="00295E03">
      <w:pPr>
        <w:pStyle w:val="Body"/>
      </w:pPr>
      <w:r w:rsidRPr="005D0916">
        <w:t>Through VicHealth, the Victorian Government also funds </w:t>
      </w:r>
      <w:hyperlink r:id="rId72" w:tgtFrame="_blank" w:history="1">
        <w:r w:rsidRPr="005D0916">
          <w:t xml:space="preserve">programs and initiatives that contribute to </w:t>
        </w:r>
        <w:r>
          <w:t xml:space="preserve">healthy food systems and </w:t>
        </w:r>
        <w:r w:rsidRPr="005D0916">
          <w:t>obesity prevention</w:t>
        </w:r>
      </w:hyperlink>
      <w:r>
        <w:t>.</w:t>
      </w:r>
    </w:p>
    <w:p w14:paraId="5BB09518" w14:textId="77777777" w:rsidR="00295E03" w:rsidRDefault="00295E03" w:rsidP="00295E03">
      <w:pPr>
        <w:pStyle w:val="Heading3"/>
      </w:pPr>
      <w:r>
        <w:t>Find out more</w:t>
      </w:r>
    </w:p>
    <w:p w14:paraId="20549FB3" w14:textId="71D85DDC" w:rsidR="00295E03" w:rsidRPr="005D0916" w:rsidRDefault="00295E03" w:rsidP="00295E03">
      <w:pPr>
        <w:pStyle w:val="Body"/>
      </w:pPr>
      <w:r w:rsidRPr="005D0916">
        <w:t>For more information on healthy eating, please visit the department’s </w:t>
      </w:r>
      <w:hyperlink r:id="rId73" w:history="1">
        <w:r w:rsidR="00A43FC9" w:rsidRPr="009E6494">
          <w:rPr>
            <w:rStyle w:val="Hyperlink"/>
          </w:rPr>
          <w:t>Healthy eating webpage</w:t>
        </w:r>
      </w:hyperlink>
      <w:r w:rsidR="00D422EB">
        <w:t xml:space="preserve"> &lt;</w:t>
      </w:r>
      <w:r w:rsidR="00D422EB" w:rsidRPr="00D422EB">
        <w:t>https://www.health.vic.gov.au/preventive-health/healthy-eating-nutrition</w:t>
      </w:r>
      <w:r w:rsidR="00D422EB">
        <w:t>&gt;</w:t>
      </w:r>
      <w:r w:rsidR="00F83B42">
        <w:t>.</w:t>
      </w:r>
      <w:r w:rsidR="00F436CE">
        <w:t xml:space="preserve"> </w:t>
      </w:r>
    </w:p>
    <w:p w14:paraId="32DC9ADE" w14:textId="19F38A7E" w:rsidR="00DF7358" w:rsidRDefault="00DF7358" w:rsidP="00DF7358">
      <w:pPr>
        <w:pStyle w:val="Heading2"/>
      </w:pPr>
      <w:bookmarkStart w:id="90" w:name="_Toc116981342"/>
      <w:r>
        <w:t>Active living</w:t>
      </w:r>
      <w:bookmarkEnd w:id="90"/>
      <w:r>
        <w:t xml:space="preserve"> </w:t>
      </w:r>
    </w:p>
    <w:p w14:paraId="542DFB82" w14:textId="13B86E9A" w:rsidR="00DF7358" w:rsidRPr="003C5619" w:rsidRDefault="00DF7358" w:rsidP="00DF7358">
      <w:pPr>
        <w:rPr>
          <w:rFonts w:cstheme="minorHAnsi"/>
        </w:rPr>
      </w:pPr>
      <w:r w:rsidRPr="003C5619">
        <w:t>Leading an active life improves our health and wellbeing. </w:t>
      </w:r>
      <w:r w:rsidRPr="003C5619">
        <w:rPr>
          <w:rFonts w:cstheme="minorHAnsi"/>
        </w:rPr>
        <w:t xml:space="preserve">Regular physical activity promotes healthy growth and development, and together with healthy eating helps to maintain healthy weight and </w:t>
      </w:r>
      <w:r w:rsidRPr="003C5619">
        <w:t>helps to prevent and treat many diseases such as: heart disease; some cancers; diabetes; and musculoskeletal conditions. (Booth, Roberts and Laye</w:t>
      </w:r>
      <w:r w:rsidR="00314BC6">
        <w:t>,</w:t>
      </w:r>
      <w:r w:rsidRPr="003C5619">
        <w:t xml:space="preserve"> 2012; Pedersen and Saltin</w:t>
      </w:r>
      <w:r w:rsidR="00314BC6">
        <w:t>,</w:t>
      </w:r>
      <w:r w:rsidRPr="003C5619">
        <w:t xml:space="preserve"> 2015). </w:t>
      </w:r>
      <w:r w:rsidRPr="003C5619">
        <w:rPr>
          <w:rFonts w:cstheme="minorHAnsi"/>
        </w:rPr>
        <w:t>Physical activity also improves mood, concentration and sleep and can alleviate the severity of mental health issues, such as depression and anxiety (</w:t>
      </w:r>
      <w:r w:rsidRPr="003C5619">
        <w:t>Department of Health</w:t>
      </w:r>
      <w:r w:rsidR="00314BC6">
        <w:t>,</w:t>
      </w:r>
      <w:r w:rsidRPr="003C5619">
        <w:t xml:space="preserve"> 2021</w:t>
      </w:r>
      <w:r w:rsidR="00314BC6">
        <w:t>;</w:t>
      </w:r>
      <w:r w:rsidRPr="003C5619">
        <w:t xml:space="preserve"> </w:t>
      </w:r>
      <w:r w:rsidRPr="003C5619">
        <w:rPr>
          <w:rFonts w:cstheme="minorHAnsi"/>
        </w:rPr>
        <w:t xml:space="preserve">Better Health Channel). </w:t>
      </w:r>
      <w:r w:rsidR="00672593">
        <w:rPr>
          <w:rFonts w:cstheme="minorHAnsi"/>
        </w:rPr>
        <w:t>P</w:t>
      </w:r>
      <w:r w:rsidR="00621E16">
        <w:rPr>
          <w:rFonts w:cstheme="minorHAnsi"/>
        </w:rPr>
        <w:t>hysical activity in the form of active transport (</w:t>
      </w:r>
      <w:r w:rsidR="00314BC6">
        <w:rPr>
          <w:rFonts w:cstheme="minorHAnsi"/>
        </w:rPr>
        <w:t>such as</w:t>
      </w:r>
      <w:r w:rsidR="00DB496A">
        <w:rPr>
          <w:rFonts w:cstheme="minorHAnsi"/>
        </w:rPr>
        <w:t xml:space="preserve"> walking or cycling </w:t>
      </w:r>
      <w:r w:rsidR="0095621C">
        <w:rPr>
          <w:rFonts w:cstheme="minorHAnsi"/>
        </w:rPr>
        <w:t>instead of driving)</w:t>
      </w:r>
      <w:r w:rsidR="004F1C9C">
        <w:rPr>
          <w:rFonts w:cstheme="minorHAnsi"/>
        </w:rPr>
        <w:t xml:space="preserve"> can also reduce emissions associated with climate change and improve local air quality. </w:t>
      </w:r>
    </w:p>
    <w:p w14:paraId="0316814C" w14:textId="6D3A36A9" w:rsidR="00D0348D" w:rsidRDefault="00314BC6" w:rsidP="00DF7358">
      <w:r>
        <w:t xml:space="preserve">Victorians’ </w:t>
      </w:r>
      <w:r w:rsidR="00DF7358" w:rsidRPr="003C5619">
        <w:t>lifestyles have become increasingly sedentary over recent decades</w:t>
      </w:r>
      <w:r>
        <w:t>. This transition is</w:t>
      </w:r>
      <w:r w:rsidR="00DF7358" w:rsidRPr="003C5619">
        <w:t xml:space="preserve"> largely the result of </w:t>
      </w:r>
      <w:r>
        <w:t xml:space="preserve">the </w:t>
      </w:r>
      <w:r w:rsidR="00DF7358" w:rsidRPr="003C5619">
        <w:t xml:space="preserve">transition to desk-based work, the emergence of technology-saving devices, and </w:t>
      </w:r>
      <w:r>
        <w:t>the</w:t>
      </w:r>
      <w:r w:rsidRPr="003C5619">
        <w:t xml:space="preserve"> </w:t>
      </w:r>
      <w:r w:rsidR="00DF7358" w:rsidRPr="003C5619">
        <w:t xml:space="preserve">increased dependence on screen-based activities. Evidence indicates that prolonged sitting (or lying) is associated with premature mortality, type 2 diabetes, and risk factors for cardiovascular disease, irrespective of time spent being active (Dempsey, Biddle, Buman </w:t>
      </w:r>
      <w:r w:rsidR="00DF7358" w:rsidRPr="00B37D67">
        <w:t>et al</w:t>
      </w:r>
      <w:r w:rsidR="00DF7358" w:rsidRPr="003C5619">
        <w:t xml:space="preserve">, 2020). </w:t>
      </w:r>
    </w:p>
    <w:p w14:paraId="6D4FF0B2" w14:textId="77777777" w:rsidR="00D0348D" w:rsidRDefault="00D0348D">
      <w:pPr>
        <w:spacing w:after="0" w:line="240" w:lineRule="auto"/>
      </w:pPr>
      <w:r>
        <w:br w:type="page"/>
      </w:r>
    </w:p>
    <w:p w14:paraId="116AF6A3" w14:textId="77777777" w:rsidR="00DF7358" w:rsidRPr="00FB44CB" w:rsidRDefault="00DF7358" w:rsidP="00DF7358">
      <w:pPr>
        <w:pStyle w:val="Heading3"/>
      </w:pPr>
      <w:r w:rsidRPr="00FB44CB">
        <w:lastRenderedPageBreak/>
        <w:t>How much physical activity is enough? </w:t>
      </w:r>
    </w:p>
    <w:p w14:paraId="4F847D45" w14:textId="36B6F6AF" w:rsidR="00DF7358" w:rsidRPr="00B42F4C" w:rsidRDefault="00F83B42" w:rsidP="00DF7358">
      <w:pPr>
        <w:pStyle w:val="Body"/>
      </w:pPr>
      <w:r>
        <w:t xml:space="preserve">Chapter 9, </w:t>
      </w:r>
      <w:r w:rsidR="00CC418C">
        <w:t>Table 1</w:t>
      </w:r>
      <w:r w:rsidR="00DF7358" w:rsidRPr="00B42F4C">
        <w:t xml:space="preserve"> outlines Australia’s physical activity and sedentary behaviour guidelines for adults</w:t>
      </w:r>
      <w:r w:rsidR="00ED56A2">
        <w:t>.</w:t>
      </w:r>
    </w:p>
    <w:p w14:paraId="28C6976F" w14:textId="47EAF807" w:rsidR="00DF7358" w:rsidRDefault="00F83B42" w:rsidP="00DF7358">
      <w:pPr>
        <w:pStyle w:val="Tablecaption"/>
      </w:pPr>
      <w:r>
        <w:t xml:space="preserve">Chapter 9, </w:t>
      </w:r>
      <w:r w:rsidR="00DF7358" w:rsidRPr="00B42F4C">
        <w:t xml:space="preserve">Table </w:t>
      </w:r>
      <w:r w:rsidR="00A10939" w:rsidRPr="00A43FC9">
        <w:t>1.</w:t>
      </w:r>
      <w:r w:rsidR="00A10939">
        <w:t xml:space="preserve"> </w:t>
      </w:r>
      <w:r w:rsidR="00DF7358" w:rsidRPr="00B42F4C">
        <w:t>Australia’s physical activity and sedentary behaviour guidelines for adults</w:t>
      </w:r>
      <w:r w:rsidR="003F173C">
        <w:t xml:space="preserve"> </w:t>
      </w:r>
      <w:r w:rsidR="003F173C" w:rsidRPr="003F173C">
        <w:t>(Department of Health, 2014).</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D53494" w:rsidRPr="00F1511A" w14:paraId="60D2D6BD" w14:textId="77777777" w:rsidTr="00657D93">
        <w:trPr>
          <w:trHeight w:val="80"/>
        </w:trPr>
        <w:tc>
          <w:tcPr>
            <w:tcW w:w="8720" w:type="dxa"/>
            <w:gridSpan w:val="2"/>
            <w:shd w:val="clear" w:color="auto" w:fill="D9D9D9" w:themeFill="background1" w:themeFillShade="D9"/>
          </w:tcPr>
          <w:p w14:paraId="405D92BB" w14:textId="77777777" w:rsidR="00D53494" w:rsidRPr="003C6DB5" w:rsidRDefault="00D53494" w:rsidP="00BD3D5F">
            <w:pPr>
              <w:pStyle w:val="Tablecolhead"/>
              <w:jc w:val="center"/>
              <w:rPr>
                <w:rFonts w:cs="Arial"/>
                <w:color w:val="000000" w:themeColor="text1"/>
                <w:szCs w:val="21"/>
                <w:lang w:eastAsia="en-AU"/>
              </w:rPr>
            </w:pPr>
            <w:r w:rsidRPr="001B3BF3">
              <w:rPr>
                <w:rFonts w:cs="Arial"/>
                <w:color w:val="000000" w:themeColor="text1"/>
                <w:szCs w:val="21"/>
              </w:rPr>
              <w:t>Australia’s physical activity and sedentary behaviour guidelines for adults</w:t>
            </w:r>
          </w:p>
        </w:tc>
      </w:tr>
      <w:tr w:rsidR="00D53494" w:rsidRPr="00F1511A" w14:paraId="70E2371B" w14:textId="77777777" w:rsidTr="00657D93">
        <w:trPr>
          <w:trHeight w:val="80"/>
        </w:trPr>
        <w:tc>
          <w:tcPr>
            <w:tcW w:w="8720" w:type="dxa"/>
            <w:gridSpan w:val="2"/>
            <w:shd w:val="clear" w:color="auto" w:fill="F2F2F2" w:themeFill="background1" w:themeFillShade="F2"/>
          </w:tcPr>
          <w:p w14:paraId="13850374" w14:textId="1B1F2CEB" w:rsidR="00D53494" w:rsidRPr="003C6DB5" w:rsidRDefault="00D53494" w:rsidP="00BD3D5F">
            <w:pPr>
              <w:pStyle w:val="Tablecolhead"/>
              <w:jc w:val="center"/>
              <w:rPr>
                <w:rFonts w:cs="Arial"/>
                <w:color w:val="000000" w:themeColor="text1"/>
                <w:szCs w:val="21"/>
              </w:rPr>
            </w:pPr>
            <w:r>
              <w:rPr>
                <w:rFonts w:cs="Arial"/>
                <w:color w:val="000000" w:themeColor="text1"/>
                <w:szCs w:val="21"/>
              </w:rPr>
              <w:t xml:space="preserve">Aged </w:t>
            </w:r>
            <w:r w:rsidRPr="006C3669">
              <w:rPr>
                <w:rFonts w:cs="Arial"/>
                <w:color w:val="000000" w:themeColor="text1"/>
                <w:szCs w:val="21"/>
              </w:rPr>
              <w:t>18</w:t>
            </w:r>
            <w:r w:rsidR="003C3152" w:rsidRPr="006C3669">
              <w:rPr>
                <w:rFonts w:cs="Arial"/>
                <w:color w:val="000000" w:themeColor="text1"/>
                <w:szCs w:val="21"/>
              </w:rPr>
              <w:t xml:space="preserve"> to </w:t>
            </w:r>
            <w:r w:rsidRPr="006C3669">
              <w:rPr>
                <w:rFonts w:cs="Arial"/>
                <w:color w:val="000000" w:themeColor="text1"/>
                <w:szCs w:val="21"/>
              </w:rPr>
              <w:t>64</w:t>
            </w:r>
            <w:r>
              <w:rPr>
                <w:rFonts w:cs="Arial"/>
                <w:color w:val="000000" w:themeColor="text1"/>
                <w:szCs w:val="21"/>
              </w:rPr>
              <w:t xml:space="preserve"> years</w:t>
            </w:r>
          </w:p>
        </w:tc>
      </w:tr>
      <w:tr w:rsidR="00D53494" w:rsidRPr="00F1511A" w14:paraId="58A91A3A" w14:textId="77777777" w:rsidTr="00657D93">
        <w:trPr>
          <w:trHeight w:val="917"/>
        </w:trPr>
        <w:tc>
          <w:tcPr>
            <w:tcW w:w="1228" w:type="dxa"/>
            <w:shd w:val="clear" w:color="auto" w:fill="FFFFFF"/>
          </w:tcPr>
          <w:p w14:paraId="3168E8F7" w14:textId="77777777" w:rsidR="00D53494" w:rsidRPr="001B3BF3" w:rsidRDefault="00D53494" w:rsidP="00BD3D5F">
            <w:pPr>
              <w:pStyle w:val="Tablecolhead"/>
              <w:rPr>
                <w:b w:val="0"/>
                <w:bCs/>
                <w:color w:val="000000" w:themeColor="text1"/>
                <w:szCs w:val="21"/>
              </w:rPr>
            </w:pPr>
            <w:r w:rsidRPr="001B3BF3">
              <w:rPr>
                <w:b w:val="0"/>
                <w:bCs/>
                <w:color w:val="000000" w:themeColor="text1"/>
                <w:szCs w:val="21"/>
              </w:rPr>
              <w:t xml:space="preserve">Physical activity </w:t>
            </w:r>
          </w:p>
          <w:p w14:paraId="20BE23C6" w14:textId="77777777" w:rsidR="00D53494" w:rsidRPr="001B3BF3" w:rsidRDefault="00D53494" w:rsidP="00BD3D5F">
            <w:pPr>
              <w:pStyle w:val="Tablecolhead"/>
              <w:rPr>
                <w:b w:val="0"/>
                <w:bCs/>
                <w:color w:val="0070C0"/>
                <w:szCs w:val="21"/>
              </w:rPr>
            </w:pPr>
          </w:p>
        </w:tc>
        <w:tc>
          <w:tcPr>
            <w:tcW w:w="7492" w:type="dxa"/>
            <w:shd w:val="clear" w:color="auto" w:fill="FFFFFF"/>
          </w:tcPr>
          <w:p w14:paraId="396F26D1" w14:textId="77777777" w:rsidR="00D53494" w:rsidRPr="001B3BF3" w:rsidRDefault="00D53494" w:rsidP="002830AC">
            <w:pPr>
              <w:pStyle w:val="Tablebullet1"/>
              <w:numPr>
                <w:ilvl w:val="0"/>
                <w:numId w:val="11"/>
              </w:numPr>
              <w:ind w:left="270" w:hanging="270"/>
              <w:rPr>
                <w:rFonts w:cs="Arial"/>
                <w:szCs w:val="21"/>
              </w:rPr>
            </w:pPr>
            <w:r w:rsidRPr="001B3BF3">
              <w:rPr>
                <w:rFonts w:cs="Arial"/>
                <w:szCs w:val="21"/>
              </w:rPr>
              <w:t>Doing any physical activity is better than doing none. If you do no physical activity right now, start by doing some, then slowly build up to the recommended amount.</w:t>
            </w:r>
          </w:p>
          <w:p w14:paraId="7830E921" w14:textId="77777777" w:rsidR="00D53494" w:rsidRPr="001B3BF3" w:rsidRDefault="00D53494" w:rsidP="00BD3D5F">
            <w:pPr>
              <w:pStyle w:val="Tablebullet1"/>
              <w:rPr>
                <w:rFonts w:cs="Arial"/>
                <w:szCs w:val="21"/>
                <w:lang w:eastAsia="en-AU"/>
              </w:rPr>
            </w:pPr>
            <w:r w:rsidRPr="001B3BF3">
              <w:rPr>
                <w:rFonts w:eastAsia="Times" w:cs="Arial"/>
                <w:szCs w:val="21"/>
              </w:rPr>
              <w:t xml:space="preserve">Adults </w:t>
            </w:r>
            <w:r w:rsidRPr="001B3BF3">
              <w:rPr>
                <w:rFonts w:cs="Arial"/>
                <w:szCs w:val="21"/>
              </w:rPr>
              <w:t>should</w:t>
            </w:r>
            <w:r w:rsidRPr="001B3BF3">
              <w:rPr>
                <w:rFonts w:eastAsia="Times" w:cs="Arial"/>
                <w:szCs w:val="21"/>
              </w:rPr>
              <w:t xml:space="preserve"> be active most days, preferably every day</w:t>
            </w:r>
            <w:r w:rsidRPr="001B3BF3">
              <w:rPr>
                <w:rFonts w:cs="Arial"/>
                <w:szCs w:val="21"/>
                <w:lang w:eastAsia="en-AU"/>
              </w:rPr>
              <w:t xml:space="preserve">. </w:t>
            </w:r>
          </w:p>
          <w:p w14:paraId="076C8297" w14:textId="77777777" w:rsidR="00D53494" w:rsidRPr="001B3BF3" w:rsidRDefault="00D53494" w:rsidP="00BD3D5F">
            <w:pPr>
              <w:pStyle w:val="Tablebullet1"/>
              <w:rPr>
                <w:rFonts w:eastAsia="Times" w:cs="Arial"/>
                <w:szCs w:val="21"/>
              </w:rPr>
            </w:pPr>
            <w:r w:rsidRPr="001B3BF3">
              <w:rPr>
                <w:rFonts w:eastAsia="Times" w:cs="Arial"/>
                <w:szCs w:val="21"/>
              </w:rPr>
              <w:t>Each week, adults should do either:</w:t>
            </w:r>
          </w:p>
          <w:p w14:paraId="68DA8809" w14:textId="24226008" w:rsidR="00D53494" w:rsidRPr="001B3BF3" w:rsidRDefault="00D53494" w:rsidP="002830AC">
            <w:pPr>
              <w:pStyle w:val="Tablebullet1"/>
              <w:numPr>
                <w:ilvl w:val="0"/>
                <w:numId w:val="9"/>
              </w:numPr>
              <w:rPr>
                <w:rFonts w:cs="Arial"/>
                <w:szCs w:val="21"/>
                <w:lang w:eastAsia="en-AU"/>
              </w:rPr>
            </w:pPr>
            <w:r w:rsidRPr="001B3BF3">
              <w:rPr>
                <w:rFonts w:cs="Arial"/>
                <w:szCs w:val="21"/>
                <w:lang w:eastAsia="en-AU"/>
              </w:rPr>
              <w:t>2.5 to 5 hours of moderate intensity physical activity – such as a brisk walk, golf, mowing the lawn or swimming</w:t>
            </w:r>
            <w:r w:rsidR="00ED56A2">
              <w:rPr>
                <w:rFonts w:cs="Arial"/>
                <w:szCs w:val="21"/>
                <w:lang w:eastAsia="en-AU"/>
              </w:rPr>
              <w:t>;</w:t>
            </w:r>
          </w:p>
          <w:p w14:paraId="22A1AF6B" w14:textId="77777777" w:rsidR="00D53494" w:rsidRPr="00E1594D" w:rsidRDefault="00D53494" w:rsidP="002830AC">
            <w:pPr>
              <w:pStyle w:val="Tablebullet1"/>
              <w:numPr>
                <w:ilvl w:val="0"/>
                <w:numId w:val="10"/>
              </w:numPr>
              <w:rPr>
                <w:rFonts w:cs="Arial"/>
                <w:szCs w:val="21"/>
                <w:lang w:eastAsia="en-AU"/>
              </w:rPr>
            </w:pPr>
            <w:r w:rsidRPr="00E1594D">
              <w:rPr>
                <w:rFonts w:cs="Arial"/>
                <w:szCs w:val="21"/>
                <w:lang w:eastAsia="en-AU"/>
              </w:rPr>
              <w:t>1.25 to 2.5 hours of vigorous intensity physical activity – such as jogging, aerobics, fast cycling, soccer or netball or an equivalent combination of moderate and vigorous activities.</w:t>
            </w:r>
          </w:p>
          <w:p w14:paraId="2FD34FCC" w14:textId="06BEF3BB" w:rsidR="00D53494" w:rsidRPr="001B3BF3" w:rsidRDefault="00D53494" w:rsidP="00BD3D5F">
            <w:pPr>
              <w:pStyle w:val="Tablebullet1"/>
              <w:rPr>
                <w:rFonts w:cs="Arial"/>
                <w:color w:val="0070C0"/>
                <w:szCs w:val="21"/>
                <w:lang w:eastAsia="en-AU"/>
              </w:rPr>
            </w:pPr>
            <w:r w:rsidRPr="00E1594D">
              <w:rPr>
                <w:rFonts w:eastAsia="Times" w:cs="Arial"/>
                <w:szCs w:val="21"/>
              </w:rPr>
              <w:t xml:space="preserve">Include muscle-strengthening activities as part of your daily physical activity on at least </w:t>
            </w:r>
            <w:r w:rsidR="00314BC6" w:rsidRPr="00E1594D">
              <w:rPr>
                <w:rFonts w:eastAsia="Times" w:cs="Arial"/>
                <w:szCs w:val="21"/>
              </w:rPr>
              <w:t>two</w:t>
            </w:r>
            <w:r w:rsidRPr="00E1594D">
              <w:rPr>
                <w:rFonts w:eastAsia="Times" w:cs="Arial"/>
                <w:szCs w:val="21"/>
              </w:rPr>
              <w:t xml:space="preserve"> days each week.</w:t>
            </w:r>
          </w:p>
        </w:tc>
      </w:tr>
      <w:tr w:rsidR="00D53494" w:rsidRPr="00F1511A" w14:paraId="0C2557D8" w14:textId="77777777" w:rsidTr="00657D93">
        <w:trPr>
          <w:trHeight w:val="917"/>
        </w:trPr>
        <w:tc>
          <w:tcPr>
            <w:tcW w:w="1228" w:type="dxa"/>
            <w:shd w:val="clear" w:color="auto" w:fill="FFFFFF"/>
          </w:tcPr>
          <w:p w14:paraId="6A600A18" w14:textId="77777777" w:rsidR="00D53494" w:rsidRPr="001B3BF3" w:rsidRDefault="00D53494" w:rsidP="00BD3D5F">
            <w:pPr>
              <w:pStyle w:val="Tablecolhead"/>
              <w:rPr>
                <w:b w:val="0"/>
                <w:color w:val="auto"/>
                <w:szCs w:val="21"/>
              </w:rPr>
            </w:pPr>
            <w:r w:rsidRPr="001B3BF3">
              <w:rPr>
                <w:b w:val="0"/>
                <w:color w:val="auto"/>
                <w:szCs w:val="21"/>
              </w:rPr>
              <w:t>Sedentary behaviour</w:t>
            </w:r>
          </w:p>
        </w:tc>
        <w:tc>
          <w:tcPr>
            <w:tcW w:w="7492" w:type="dxa"/>
            <w:shd w:val="clear" w:color="auto" w:fill="FFFFFF"/>
          </w:tcPr>
          <w:p w14:paraId="0170318F" w14:textId="77777777" w:rsidR="00D53494" w:rsidRPr="001B3BF3" w:rsidRDefault="00D53494" w:rsidP="00BD3D5F">
            <w:pPr>
              <w:pStyle w:val="Tablebullet1"/>
              <w:rPr>
                <w:rFonts w:cs="Arial"/>
                <w:szCs w:val="21"/>
              </w:rPr>
            </w:pPr>
            <w:r w:rsidRPr="001B3BF3">
              <w:rPr>
                <w:rFonts w:cs="Arial"/>
                <w:szCs w:val="21"/>
              </w:rPr>
              <w:t>Minimise the amount of time spent in prolonged sitting.</w:t>
            </w:r>
          </w:p>
          <w:p w14:paraId="4829F192" w14:textId="77777777" w:rsidR="00D53494" w:rsidRPr="003C6DB5" w:rsidRDefault="00D53494" w:rsidP="00BD3D5F">
            <w:pPr>
              <w:pStyle w:val="Tablebullet1"/>
              <w:rPr>
                <w:rFonts w:cs="Arial"/>
                <w:szCs w:val="21"/>
              </w:rPr>
            </w:pPr>
            <w:r w:rsidRPr="001B3BF3">
              <w:rPr>
                <w:rFonts w:cs="Arial"/>
                <w:szCs w:val="21"/>
              </w:rPr>
              <w:t xml:space="preserve">Break up </w:t>
            </w:r>
            <w:r w:rsidRPr="00F1511A">
              <w:rPr>
                <w:rFonts w:cs="Arial"/>
                <w:szCs w:val="21"/>
              </w:rPr>
              <w:t>long periods of sitting as often as possible</w:t>
            </w:r>
            <w:r w:rsidRPr="001B3BF3">
              <w:rPr>
                <w:rFonts w:cs="Arial"/>
                <w:szCs w:val="21"/>
              </w:rPr>
              <w:t xml:space="preserve">. </w:t>
            </w:r>
          </w:p>
        </w:tc>
      </w:tr>
      <w:tr w:rsidR="00D53494" w:rsidRPr="00F1511A" w14:paraId="2D580076" w14:textId="77777777" w:rsidTr="00657D93">
        <w:trPr>
          <w:trHeight w:val="212"/>
        </w:trPr>
        <w:tc>
          <w:tcPr>
            <w:tcW w:w="8720" w:type="dxa"/>
            <w:gridSpan w:val="2"/>
            <w:shd w:val="clear" w:color="auto" w:fill="F2F2F2" w:themeFill="background1" w:themeFillShade="F2"/>
          </w:tcPr>
          <w:p w14:paraId="0FA7A455" w14:textId="77777777" w:rsidR="00D53494" w:rsidRPr="006A41CB" w:rsidRDefault="00D53494" w:rsidP="00BD3D5F">
            <w:pPr>
              <w:pStyle w:val="Tablebullet1"/>
              <w:numPr>
                <w:ilvl w:val="0"/>
                <w:numId w:val="0"/>
              </w:numPr>
              <w:jc w:val="center"/>
              <w:rPr>
                <w:rFonts w:cs="Arial"/>
                <w:b/>
                <w:bCs/>
                <w:szCs w:val="21"/>
              </w:rPr>
            </w:pPr>
            <w:r w:rsidRPr="006A41CB">
              <w:rPr>
                <w:rFonts w:cs="Arial"/>
                <w:b/>
                <w:bCs/>
                <w:color w:val="000000" w:themeColor="text1"/>
                <w:szCs w:val="21"/>
              </w:rPr>
              <w:t>Aged 65 years or over</w:t>
            </w:r>
          </w:p>
        </w:tc>
      </w:tr>
      <w:tr w:rsidR="00D53494" w:rsidRPr="00F1511A" w14:paraId="3CD73D9C" w14:textId="77777777" w:rsidTr="00657D93">
        <w:trPr>
          <w:trHeight w:val="917"/>
        </w:trPr>
        <w:tc>
          <w:tcPr>
            <w:tcW w:w="1228" w:type="dxa"/>
            <w:shd w:val="clear" w:color="auto" w:fill="FFFFFF"/>
          </w:tcPr>
          <w:p w14:paraId="24166F75" w14:textId="77777777" w:rsidR="00D53494" w:rsidRPr="001B3BF3" w:rsidRDefault="00D53494" w:rsidP="00BD3D5F">
            <w:pPr>
              <w:pStyle w:val="Tablecolhead"/>
              <w:rPr>
                <w:b w:val="0"/>
                <w:bCs/>
                <w:color w:val="000000" w:themeColor="text1"/>
                <w:szCs w:val="21"/>
              </w:rPr>
            </w:pPr>
            <w:r w:rsidRPr="001B3BF3">
              <w:rPr>
                <w:b w:val="0"/>
                <w:bCs/>
                <w:color w:val="000000" w:themeColor="text1"/>
                <w:szCs w:val="21"/>
              </w:rPr>
              <w:t xml:space="preserve">Physical activity </w:t>
            </w:r>
          </w:p>
          <w:p w14:paraId="0BBEA503" w14:textId="77777777" w:rsidR="00D53494" w:rsidRPr="001B3BF3" w:rsidRDefault="00D53494" w:rsidP="00BD3D5F">
            <w:pPr>
              <w:pStyle w:val="Tablecolhead"/>
              <w:rPr>
                <w:b w:val="0"/>
                <w:bCs/>
                <w:color w:val="0070C0"/>
                <w:szCs w:val="21"/>
              </w:rPr>
            </w:pPr>
          </w:p>
        </w:tc>
        <w:tc>
          <w:tcPr>
            <w:tcW w:w="7492" w:type="dxa"/>
            <w:shd w:val="clear" w:color="auto" w:fill="FFFFFF"/>
          </w:tcPr>
          <w:p w14:paraId="2BCD1ED6"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Adults over 65 years should do at least 30 minutes of moderate intensity physical activity on most, preferably all, days.</w:t>
            </w:r>
          </w:p>
          <w:p w14:paraId="7724BACD" w14:textId="669913AA"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 xml:space="preserve">If you find 30 minutes difficult right now, start with just 10 minutes once or twice a day. After </w:t>
            </w:r>
            <w:r w:rsidR="004125B7">
              <w:rPr>
                <w:rFonts w:ascii="Arial" w:hAnsi="Arial" w:cs="Arial"/>
                <w:sz w:val="21"/>
                <w:szCs w:val="21"/>
                <w:lang w:eastAsia="en-US"/>
              </w:rPr>
              <w:t>two</w:t>
            </w:r>
            <w:r w:rsidRPr="001B3BF3">
              <w:rPr>
                <w:rFonts w:ascii="Arial" w:hAnsi="Arial" w:cs="Arial"/>
                <w:sz w:val="21"/>
                <w:szCs w:val="21"/>
                <w:lang w:eastAsia="en-US"/>
              </w:rPr>
              <w:t xml:space="preserve"> weeks, increase to 15 minutes twice a day.</w:t>
            </w:r>
          </w:p>
          <w:p w14:paraId="571F3A1D"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If you can do more than 30 minutes, you will get extra benefits.</w:t>
            </w:r>
          </w:p>
          <w:p w14:paraId="64055D40" w14:textId="77777777" w:rsidR="00D53494" w:rsidRPr="001B3BF3" w:rsidRDefault="00D53494" w:rsidP="002830AC">
            <w:pPr>
              <w:pStyle w:val="NormalWeb"/>
              <w:numPr>
                <w:ilvl w:val="0"/>
                <w:numId w:val="12"/>
              </w:numPr>
              <w:shd w:val="clear" w:color="auto" w:fill="FFFFFF"/>
              <w:spacing w:before="0" w:beforeAutospacing="0" w:after="120" w:afterAutospacing="0"/>
              <w:ind w:left="179" w:hanging="179"/>
              <w:rPr>
                <w:rFonts w:ascii="Arial" w:hAnsi="Arial" w:cs="Arial"/>
                <w:sz w:val="21"/>
                <w:szCs w:val="21"/>
                <w:lang w:eastAsia="en-US"/>
              </w:rPr>
            </w:pPr>
            <w:r w:rsidRPr="001B3BF3">
              <w:rPr>
                <w:rFonts w:ascii="Arial" w:hAnsi="Arial" w:cs="Arial"/>
                <w:sz w:val="21"/>
                <w:szCs w:val="21"/>
                <w:lang w:eastAsia="en-US"/>
              </w:rPr>
              <w:t>Over the course of the week, try to incorporate different types of activities.</w:t>
            </w:r>
          </w:p>
        </w:tc>
      </w:tr>
      <w:tr w:rsidR="00D53494" w:rsidRPr="00F1511A" w14:paraId="125186D2" w14:textId="77777777" w:rsidTr="00657D93">
        <w:trPr>
          <w:trHeight w:val="917"/>
        </w:trPr>
        <w:tc>
          <w:tcPr>
            <w:tcW w:w="1228" w:type="dxa"/>
            <w:shd w:val="clear" w:color="auto" w:fill="FFFFFF"/>
          </w:tcPr>
          <w:p w14:paraId="28636FF3" w14:textId="77777777" w:rsidR="00D53494" w:rsidRPr="001B3BF3" w:rsidRDefault="00D53494" w:rsidP="00BD3D5F">
            <w:pPr>
              <w:pStyle w:val="Tablecolhead"/>
              <w:rPr>
                <w:b w:val="0"/>
                <w:bCs/>
                <w:color w:val="0070C0"/>
                <w:szCs w:val="21"/>
              </w:rPr>
            </w:pPr>
            <w:r w:rsidRPr="001B3BF3">
              <w:rPr>
                <w:b w:val="0"/>
                <w:color w:val="auto"/>
                <w:szCs w:val="21"/>
              </w:rPr>
              <w:t>Sedentary behaviour</w:t>
            </w:r>
          </w:p>
        </w:tc>
        <w:tc>
          <w:tcPr>
            <w:tcW w:w="7492" w:type="dxa"/>
            <w:shd w:val="clear" w:color="auto" w:fill="FFFFFF"/>
          </w:tcPr>
          <w:p w14:paraId="3BBB0F94" w14:textId="5DD83B1B" w:rsidR="00D53494" w:rsidRPr="001B3BF3" w:rsidRDefault="00D53494" w:rsidP="005C4E8F">
            <w:pPr>
              <w:pStyle w:val="Tablebullet1"/>
              <w:rPr>
                <w:rFonts w:cs="Arial"/>
                <w:color w:val="0070C0"/>
                <w:szCs w:val="21"/>
                <w:lang w:eastAsia="en-AU"/>
              </w:rPr>
            </w:pPr>
            <w:r w:rsidRPr="001B3BF3">
              <w:rPr>
                <w:rFonts w:cs="Arial"/>
                <w:szCs w:val="21"/>
              </w:rPr>
              <w:t>Try to reduce the time you spend sitting down – break that time up as often as you can</w:t>
            </w:r>
            <w:r w:rsidR="004125B7">
              <w:rPr>
                <w:rFonts w:cs="Arial"/>
                <w:szCs w:val="21"/>
              </w:rPr>
              <w:t>.</w:t>
            </w:r>
          </w:p>
        </w:tc>
      </w:tr>
    </w:tbl>
    <w:p w14:paraId="1EA040FB" w14:textId="77777777" w:rsidR="00DF7358" w:rsidRPr="00B42F4C" w:rsidRDefault="00DF7358" w:rsidP="00DF7358">
      <w:pPr>
        <w:pStyle w:val="Body"/>
      </w:pPr>
    </w:p>
    <w:p w14:paraId="04E99CA7" w14:textId="455212E6" w:rsidR="00DF7358" w:rsidRDefault="00F83B42" w:rsidP="003F173C">
      <w:pPr>
        <w:pStyle w:val="Body"/>
      </w:pPr>
      <w:r>
        <w:t xml:space="preserve">Chapter 9, </w:t>
      </w:r>
      <w:r w:rsidR="00A03703">
        <w:t>Table 2</w:t>
      </w:r>
      <w:r w:rsidR="00DF7358" w:rsidRPr="00B42F4C">
        <w:t xml:space="preserve"> outline</w:t>
      </w:r>
      <w:r w:rsidR="00A03703">
        <w:t>s</w:t>
      </w:r>
      <w:r w:rsidR="00DF7358" w:rsidRPr="00B42F4C">
        <w:t xml:space="preserve"> Australia’s movement guidelines for children 0</w:t>
      </w:r>
      <w:r w:rsidR="0039079F" w:rsidRPr="0061138A">
        <w:t xml:space="preserve"> to</w:t>
      </w:r>
      <w:r w:rsidR="0039079F">
        <w:t xml:space="preserve"> </w:t>
      </w:r>
      <w:r w:rsidR="00DF7358" w:rsidRPr="00B42F4C">
        <w:t>5 years</w:t>
      </w:r>
      <w:r w:rsidR="00077EFF">
        <w:t>.</w:t>
      </w:r>
      <w:r w:rsidR="00DF7358" w:rsidRPr="00B42F4C">
        <w:t xml:space="preserve"> </w:t>
      </w:r>
    </w:p>
    <w:p w14:paraId="0706DDCA" w14:textId="77777777" w:rsidR="00AC767B" w:rsidRPr="00B42F4C" w:rsidRDefault="00AC767B" w:rsidP="00DF7358">
      <w:pPr>
        <w:pStyle w:val="Body"/>
      </w:pPr>
    </w:p>
    <w:p w14:paraId="112B6061" w14:textId="3538D79E" w:rsidR="00DF7358" w:rsidRDefault="00F83B42" w:rsidP="00DF7358">
      <w:pPr>
        <w:pStyle w:val="Tablecolhead"/>
        <w:rPr>
          <w:color w:val="auto"/>
        </w:rPr>
      </w:pPr>
      <w:r>
        <w:rPr>
          <w:color w:val="auto"/>
        </w:rPr>
        <w:t xml:space="preserve">Chapter 9, </w:t>
      </w:r>
      <w:r w:rsidR="00DF7358" w:rsidRPr="0061138A">
        <w:rPr>
          <w:color w:val="auto"/>
        </w:rPr>
        <w:t xml:space="preserve">Table </w:t>
      </w:r>
      <w:r w:rsidR="00A03703" w:rsidRPr="0061138A">
        <w:rPr>
          <w:color w:val="auto"/>
        </w:rPr>
        <w:t>2.</w:t>
      </w:r>
      <w:r w:rsidR="00DF7358" w:rsidRPr="003C5619">
        <w:rPr>
          <w:color w:val="auto"/>
        </w:rPr>
        <w:t xml:space="preserve"> Australian 24-Hour Movement Guidelines for the Early Years (birth to 5 years): An Integration of Physical Activity, Sedentary Behaviour, and Sleep (Department of Health, 2017)</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E20C2B" w:rsidRPr="00F1511A" w14:paraId="760F02F2" w14:textId="77777777" w:rsidTr="00BD3D5F">
        <w:trPr>
          <w:trHeight w:val="244"/>
        </w:trPr>
        <w:tc>
          <w:tcPr>
            <w:tcW w:w="8720" w:type="dxa"/>
            <w:gridSpan w:val="2"/>
            <w:shd w:val="clear" w:color="auto" w:fill="F2F2F2" w:themeFill="background1" w:themeFillShade="F2"/>
          </w:tcPr>
          <w:p w14:paraId="6435912B" w14:textId="77777777" w:rsidR="00E20C2B" w:rsidRPr="00630C17" w:rsidRDefault="00E20C2B" w:rsidP="00BD3D5F">
            <w:pPr>
              <w:pStyle w:val="Tablebullet1"/>
              <w:numPr>
                <w:ilvl w:val="0"/>
                <w:numId w:val="0"/>
              </w:numPr>
              <w:ind w:left="227" w:hanging="227"/>
              <w:jc w:val="center"/>
              <w:rPr>
                <w:color w:val="000000" w:themeColor="text1"/>
                <w:szCs w:val="21"/>
              </w:rPr>
            </w:pPr>
            <w:r w:rsidRPr="006A41CB">
              <w:rPr>
                <w:rFonts w:cs="Arial"/>
                <w:b/>
                <w:bCs/>
                <w:color w:val="000000" w:themeColor="text1"/>
                <w:szCs w:val="21"/>
              </w:rPr>
              <w:t>Infants (aged less than 1 year)</w:t>
            </w:r>
          </w:p>
        </w:tc>
      </w:tr>
      <w:tr w:rsidR="00E20C2B" w:rsidRPr="00F1511A" w14:paraId="5EC73C79" w14:textId="77777777" w:rsidTr="00BD3D5F">
        <w:trPr>
          <w:trHeight w:val="917"/>
        </w:trPr>
        <w:tc>
          <w:tcPr>
            <w:tcW w:w="1228" w:type="dxa"/>
            <w:shd w:val="clear" w:color="auto" w:fill="FFFFFF"/>
          </w:tcPr>
          <w:p w14:paraId="38F1066F" w14:textId="77777777" w:rsidR="00E20C2B" w:rsidRPr="00630C17" w:rsidRDefault="00E20C2B" w:rsidP="00BD3D5F">
            <w:pPr>
              <w:pStyle w:val="Tablecolhead"/>
              <w:rPr>
                <w:b w:val="0"/>
                <w:bCs/>
                <w:color w:val="000000" w:themeColor="text1"/>
                <w:szCs w:val="21"/>
              </w:rPr>
            </w:pPr>
            <w:r w:rsidRPr="00630C17">
              <w:rPr>
                <w:b w:val="0"/>
                <w:bCs/>
                <w:color w:val="000000" w:themeColor="text1"/>
                <w:szCs w:val="21"/>
              </w:rPr>
              <w:t xml:space="preserve">Physical activity </w:t>
            </w:r>
          </w:p>
          <w:p w14:paraId="1190A85E" w14:textId="77777777" w:rsidR="00E20C2B" w:rsidRPr="00630C17" w:rsidRDefault="00E20C2B" w:rsidP="00BD3D5F">
            <w:pPr>
              <w:pStyle w:val="Tablecolhead"/>
              <w:rPr>
                <w:b w:val="0"/>
                <w:bCs/>
                <w:color w:val="000000" w:themeColor="text1"/>
                <w:szCs w:val="21"/>
              </w:rPr>
            </w:pPr>
          </w:p>
        </w:tc>
        <w:tc>
          <w:tcPr>
            <w:tcW w:w="7492" w:type="dxa"/>
            <w:shd w:val="clear" w:color="auto" w:fill="FFFFFF"/>
          </w:tcPr>
          <w:p w14:paraId="7597E208" w14:textId="55CADF2F" w:rsidR="00E20C2B" w:rsidRPr="00630C17" w:rsidRDefault="00E20C2B" w:rsidP="00BD3D5F">
            <w:pPr>
              <w:pStyle w:val="Tablebullet1"/>
              <w:rPr>
                <w:color w:val="000000" w:themeColor="text1"/>
                <w:szCs w:val="21"/>
                <w:lang w:eastAsia="en-AU"/>
              </w:rPr>
            </w:pPr>
            <w:r w:rsidRPr="00630C17">
              <w:rPr>
                <w:color w:val="000000" w:themeColor="text1"/>
                <w:szCs w:val="21"/>
              </w:rPr>
              <w:t xml:space="preserve">Being physically active several times a day in a variety of ways, particularly through supervised interactive floor-based play, including crawling. </w:t>
            </w:r>
            <w:r w:rsidR="004125B7">
              <w:rPr>
                <w:color w:val="000000" w:themeColor="text1"/>
                <w:szCs w:val="21"/>
              </w:rPr>
              <w:t xml:space="preserve">More is better. </w:t>
            </w:r>
            <w:r w:rsidRPr="00630C17">
              <w:rPr>
                <w:color w:val="000000" w:themeColor="text1"/>
                <w:szCs w:val="21"/>
              </w:rPr>
              <w:t xml:space="preserve">For those not yet mobile, this includes at least 30 minutes of tummy </w:t>
            </w:r>
            <w:r w:rsidRPr="00630C17">
              <w:rPr>
                <w:color w:val="000000" w:themeColor="text1"/>
                <w:szCs w:val="21"/>
              </w:rPr>
              <w:lastRenderedPageBreak/>
              <w:t>time, which includes reaching and grasping, pushing</w:t>
            </w:r>
            <w:r w:rsidR="004125B7">
              <w:rPr>
                <w:color w:val="000000" w:themeColor="text1"/>
                <w:szCs w:val="21"/>
              </w:rPr>
              <w:t>,</w:t>
            </w:r>
            <w:r w:rsidRPr="00630C17">
              <w:rPr>
                <w:color w:val="000000" w:themeColor="text1"/>
                <w:szCs w:val="21"/>
              </w:rPr>
              <w:t xml:space="preserve"> and pulling</w:t>
            </w:r>
            <w:r w:rsidR="004125B7">
              <w:rPr>
                <w:color w:val="000000" w:themeColor="text1"/>
                <w:szCs w:val="21"/>
              </w:rPr>
              <w:t xml:space="preserve">. This activity should be </w:t>
            </w:r>
            <w:r w:rsidRPr="00630C17">
              <w:rPr>
                <w:color w:val="000000" w:themeColor="text1"/>
                <w:szCs w:val="21"/>
              </w:rPr>
              <w:t>spread throughout the day while awake</w:t>
            </w:r>
            <w:r w:rsidR="004125B7">
              <w:rPr>
                <w:color w:val="000000" w:themeColor="text1"/>
                <w:szCs w:val="21"/>
              </w:rPr>
              <w:t>.</w:t>
            </w:r>
          </w:p>
        </w:tc>
      </w:tr>
      <w:tr w:rsidR="00E20C2B" w:rsidRPr="00F1511A" w14:paraId="547C7A06" w14:textId="77777777" w:rsidTr="00BD3D5F">
        <w:trPr>
          <w:trHeight w:val="917"/>
        </w:trPr>
        <w:tc>
          <w:tcPr>
            <w:tcW w:w="1228" w:type="dxa"/>
            <w:shd w:val="clear" w:color="auto" w:fill="FFFFFF"/>
          </w:tcPr>
          <w:p w14:paraId="1C67D9A2" w14:textId="77777777" w:rsidR="00E20C2B" w:rsidRPr="00630C17" w:rsidRDefault="00E20C2B" w:rsidP="00BD3D5F">
            <w:pPr>
              <w:pStyle w:val="Tablecolhead"/>
              <w:rPr>
                <w:b w:val="0"/>
                <w:bCs/>
                <w:color w:val="000000" w:themeColor="text1"/>
                <w:szCs w:val="21"/>
              </w:rPr>
            </w:pPr>
            <w:r w:rsidRPr="00630C17">
              <w:rPr>
                <w:b w:val="0"/>
                <w:bCs/>
                <w:color w:val="000000" w:themeColor="text1"/>
                <w:szCs w:val="21"/>
              </w:rPr>
              <w:lastRenderedPageBreak/>
              <w:t>Sedentary behaviour</w:t>
            </w:r>
          </w:p>
        </w:tc>
        <w:tc>
          <w:tcPr>
            <w:tcW w:w="7492" w:type="dxa"/>
            <w:shd w:val="clear" w:color="auto" w:fill="FFFFFF"/>
          </w:tcPr>
          <w:p w14:paraId="5714D000" w14:textId="5D0D7837" w:rsidR="00E20C2B" w:rsidRPr="00630C17" w:rsidRDefault="00E20C2B" w:rsidP="00BD3D5F">
            <w:pPr>
              <w:pStyle w:val="Tablebullet1"/>
              <w:rPr>
                <w:color w:val="000000" w:themeColor="text1"/>
                <w:szCs w:val="21"/>
                <w:lang w:eastAsia="en-AU"/>
              </w:rPr>
            </w:pPr>
            <w:r w:rsidRPr="00630C17">
              <w:rPr>
                <w:color w:val="000000" w:themeColor="text1"/>
                <w:szCs w:val="21"/>
              </w:rPr>
              <w:t xml:space="preserve">Not being restrained for more than </w:t>
            </w:r>
            <w:r w:rsidR="004125B7">
              <w:rPr>
                <w:color w:val="000000" w:themeColor="text1"/>
                <w:szCs w:val="21"/>
              </w:rPr>
              <w:t xml:space="preserve">one </w:t>
            </w:r>
            <w:r w:rsidRPr="00630C17">
              <w:rPr>
                <w:color w:val="000000" w:themeColor="text1"/>
                <w:szCs w:val="21"/>
              </w:rPr>
              <w:t>hour at a time (</w:t>
            </w:r>
            <w:r w:rsidR="004125B7">
              <w:rPr>
                <w:color w:val="000000" w:themeColor="text1"/>
                <w:szCs w:val="21"/>
              </w:rPr>
              <w:t xml:space="preserve">such as </w:t>
            </w:r>
            <w:r w:rsidRPr="00630C17">
              <w:rPr>
                <w:color w:val="000000" w:themeColor="text1"/>
                <w:szCs w:val="21"/>
              </w:rPr>
              <w:t>in a stroller, car seat</w:t>
            </w:r>
            <w:r w:rsidR="004125B7">
              <w:rPr>
                <w:color w:val="000000" w:themeColor="text1"/>
                <w:szCs w:val="21"/>
              </w:rPr>
              <w:t>,</w:t>
            </w:r>
            <w:r w:rsidRPr="00630C17">
              <w:rPr>
                <w:color w:val="000000" w:themeColor="text1"/>
                <w:szCs w:val="21"/>
              </w:rPr>
              <w:t xml:space="preserve"> or highchair). Screen time is not recommended. When sedentary, engaging in pursuits such as reading, singing, puzzles and storytelling with a caregiver is encouraged</w:t>
            </w:r>
            <w:r w:rsidR="00A21D76">
              <w:rPr>
                <w:color w:val="000000" w:themeColor="text1"/>
                <w:szCs w:val="21"/>
              </w:rPr>
              <w:t>.</w:t>
            </w:r>
          </w:p>
        </w:tc>
      </w:tr>
      <w:tr w:rsidR="00E20C2B" w:rsidRPr="00F1511A" w14:paraId="47E3F099" w14:textId="77777777" w:rsidTr="00BD3D5F">
        <w:trPr>
          <w:trHeight w:val="917"/>
        </w:trPr>
        <w:tc>
          <w:tcPr>
            <w:tcW w:w="1228" w:type="dxa"/>
            <w:shd w:val="clear" w:color="auto" w:fill="FFFFFF"/>
          </w:tcPr>
          <w:p w14:paraId="466212D8"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Sleep</w:t>
            </w:r>
          </w:p>
        </w:tc>
        <w:tc>
          <w:tcPr>
            <w:tcW w:w="7492" w:type="dxa"/>
            <w:shd w:val="clear" w:color="auto" w:fill="FFFFFF"/>
          </w:tcPr>
          <w:p w14:paraId="3B79BA11" w14:textId="356E9A62" w:rsidR="00E20C2B" w:rsidRPr="00630C17" w:rsidRDefault="00E20C2B" w:rsidP="00BD3D5F">
            <w:pPr>
              <w:pStyle w:val="Tablebullet1"/>
              <w:rPr>
                <w:color w:val="000000" w:themeColor="text1"/>
                <w:szCs w:val="21"/>
                <w:lang w:eastAsia="en-AU"/>
              </w:rPr>
            </w:pPr>
            <w:r w:rsidRPr="0061138A">
              <w:rPr>
                <w:color w:val="000000" w:themeColor="text1"/>
                <w:szCs w:val="21"/>
                <w:lang w:eastAsia="en-AU"/>
              </w:rPr>
              <w:t>14</w:t>
            </w:r>
            <w:r w:rsidR="00D8514F" w:rsidRPr="0061138A">
              <w:rPr>
                <w:color w:val="000000" w:themeColor="text1"/>
                <w:szCs w:val="21"/>
                <w:lang w:eastAsia="en-AU"/>
              </w:rPr>
              <w:t xml:space="preserve"> to </w:t>
            </w:r>
            <w:r w:rsidRPr="0061138A">
              <w:rPr>
                <w:color w:val="000000" w:themeColor="text1"/>
                <w:szCs w:val="21"/>
                <w:lang w:eastAsia="en-AU"/>
              </w:rPr>
              <w:t>17</w:t>
            </w:r>
            <w:r w:rsidRPr="00630C17">
              <w:rPr>
                <w:color w:val="000000" w:themeColor="text1"/>
                <w:szCs w:val="21"/>
                <w:lang w:eastAsia="en-AU"/>
              </w:rPr>
              <w:t xml:space="preserve"> hours (for those aged </w:t>
            </w:r>
            <w:r w:rsidRPr="0061138A">
              <w:rPr>
                <w:color w:val="000000" w:themeColor="text1"/>
                <w:szCs w:val="21"/>
                <w:lang w:eastAsia="en-AU"/>
              </w:rPr>
              <w:t>0</w:t>
            </w:r>
            <w:r w:rsidR="007914AE" w:rsidRPr="0061138A">
              <w:rPr>
                <w:color w:val="000000" w:themeColor="text1"/>
                <w:szCs w:val="21"/>
                <w:lang w:eastAsia="en-AU"/>
              </w:rPr>
              <w:t xml:space="preserve"> to </w:t>
            </w:r>
            <w:r w:rsidRPr="0061138A">
              <w:rPr>
                <w:color w:val="000000" w:themeColor="text1"/>
                <w:szCs w:val="21"/>
                <w:lang w:eastAsia="en-AU"/>
              </w:rPr>
              <w:t>3 months</w:t>
            </w:r>
            <w:r w:rsidRPr="00630C17">
              <w:rPr>
                <w:color w:val="000000" w:themeColor="text1"/>
                <w:szCs w:val="21"/>
                <w:lang w:eastAsia="en-AU"/>
              </w:rPr>
              <w:t>) and 12</w:t>
            </w:r>
            <w:r w:rsidR="00D8514F" w:rsidRPr="0061138A">
              <w:rPr>
                <w:color w:val="000000" w:themeColor="text1"/>
                <w:szCs w:val="21"/>
                <w:lang w:eastAsia="en-AU"/>
              </w:rPr>
              <w:t xml:space="preserve"> to </w:t>
            </w:r>
            <w:r w:rsidRPr="0061138A">
              <w:rPr>
                <w:color w:val="000000" w:themeColor="text1"/>
                <w:szCs w:val="21"/>
                <w:lang w:eastAsia="en-AU"/>
              </w:rPr>
              <w:t>16</w:t>
            </w:r>
            <w:r w:rsidRPr="00630C17">
              <w:rPr>
                <w:color w:val="000000" w:themeColor="text1"/>
                <w:szCs w:val="21"/>
                <w:lang w:eastAsia="en-AU"/>
              </w:rPr>
              <w:t xml:space="preserve"> hours (for those aged </w:t>
            </w:r>
            <w:r w:rsidRPr="0061138A">
              <w:rPr>
                <w:color w:val="000000" w:themeColor="text1"/>
                <w:szCs w:val="21"/>
                <w:lang w:eastAsia="en-AU"/>
              </w:rPr>
              <w:t>4</w:t>
            </w:r>
            <w:r w:rsidR="00AD6822" w:rsidRPr="0061138A">
              <w:rPr>
                <w:color w:val="000000" w:themeColor="text1"/>
                <w:szCs w:val="21"/>
                <w:lang w:eastAsia="en-AU"/>
              </w:rPr>
              <w:t xml:space="preserve"> to</w:t>
            </w:r>
            <w:r w:rsidR="00A319D0" w:rsidRPr="0061138A">
              <w:rPr>
                <w:color w:val="000000" w:themeColor="text1"/>
                <w:szCs w:val="21"/>
                <w:lang w:eastAsia="en-AU"/>
              </w:rPr>
              <w:t xml:space="preserve"> </w:t>
            </w:r>
            <w:r w:rsidRPr="0061138A">
              <w:rPr>
                <w:color w:val="000000" w:themeColor="text1"/>
                <w:szCs w:val="21"/>
                <w:lang w:eastAsia="en-AU"/>
              </w:rPr>
              <w:t>11</w:t>
            </w:r>
            <w:r w:rsidRPr="00630C17">
              <w:rPr>
                <w:color w:val="000000" w:themeColor="text1"/>
                <w:szCs w:val="21"/>
                <w:lang w:eastAsia="en-AU"/>
              </w:rPr>
              <w:t xml:space="preserve"> months) of good quality sleep, including naps. </w:t>
            </w:r>
          </w:p>
        </w:tc>
      </w:tr>
      <w:tr w:rsidR="00E20C2B" w:rsidRPr="00F1511A" w14:paraId="0FAE48D8" w14:textId="77777777" w:rsidTr="00BD3D5F">
        <w:trPr>
          <w:trHeight w:val="370"/>
        </w:trPr>
        <w:tc>
          <w:tcPr>
            <w:tcW w:w="8720" w:type="dxa"/>
            <w:gridSpan w:val="2"/>
            <w:shd w:val="clear" w:color="auto" w:fill="F2F2F2" w:themeFill="background1" w:themeFillShade="F2"/>
          </w:tcPr>
          <w:p w14:paraId="0E91EFEE" w14:textId="2F4E9157" w:rsidR="00E20C2B" w:rsidRPr="00630C17" w:rsidRDefault="00E20C2B" w:rsidP="00BD3D5F">
            <w:pPr>
              <w:pStyle w:val="Tablecolhead"/>
              <w:jc w:val="center"/>
              <w:rPr>
                <w:color w:val="000000" w:themeColor="text1"/>
                <w:sz w:val="18"/>
                <w:szCs w:val="18"/>
                <w:lang w:eastAsia="en-AU"/>
              </w:rPr>
            </w:pPr>
            <w:r w:rsidRPr="00630C17">
              <w:rPr>
                <w:color w:val="000000" w:themeColor="text1"/>
                <w:szCs w:val="21"/>
                <w:lang w:eastAsia="en-AU"/>
              </w:rPr>
              <w:t>Toddlers (</w:t>
            </w:r>
            <w:r w:rsidRPr="0061138A">
              <w:rPr>
                <w:color w:val="000000" w:themeColor="text1"/>
                <w:szCs w:val="21"/>
                <w:lang w:eastAsia="en-AU"/>
              </w:rPr>
              <w:t>aged 1</w:t>
            </w:r>
            <w:r w:rsidR="00536BF0" w:rsidRPr="0061138A">
              <w:rPr>
                <w:color w:val="000000" w:themeColor="text1"/>
                <w:szCs w:val="21"/>
                <w:lang w:eastAsia="en-AU"/>
              </w:rPr>
              <w:t xml:space="preserve"> to</w:t>
            </w:r>
            <w:r w:rsidR="00475538" w:rsidRPr="0061138A">
              <w:rPr>
                <w:color w:val="000000" w:themeColor="text1"/>
                <w:szCs w:val="21"/>
                <w:lang w:eastAsia="en-AU"/>
              </w:rPr>
              <w:t xml:space="preserve"> </w:t>
            </w:r>
            <w:r w:rsidRPr="00630C17">
              <w:rPr>
                <w:color w:val="000000" w:themeColor="text1"/>
                <w:szCs w:val="21"/>
                <w:lang w:eastAsia="en-AU"/>
              </w:rPr>
              <w:t>2 years)</w:t>
            </w:r>
          </w:p>
        </w:tc>
      </w:tr>
      <w:tr w:rsidR="00E20C2B" w:rsidRPr="00F1511A" w14:paraId="5BA73158" w14:textId="77777777" w:rsidTr="00BD3D5F">
        <w:trPr>
          <w:trHeight w:val="917"/>
        </w:trPr>
        <w:tc>
          <w:tcPr>
            <w:tcW w:w="1228" w:type="dxa"/>
            <w:shd w:val="clear" w:color="auto" w:fill="FFFFFF"/>
          </w:tcPr>
          <w:p w14:paraId="2C2D2F9B"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 xml:space="preserve">Physical activity </w:t>
            </w:r>
          </w:p>
          <w:p w14:paraId="5C881C6E" w14:textId="77777777" w:rsidR="00E20C2B" w:rsidRPr="001B3BF3" w:rsidRDefault="00E20C2B" w:rsidP="00BD3D5F">
            <w:pPr>
              <w:pStyle w:val="Tablecolhead"/>
              <w:rPr>
                <w:b w:val="0"/>
                <w:bCs/>
                <w:color w:val="0070C0"/>
                <w:szCs w:val="21"/>
              </w:rPr>
            </w:pPr>
          </w:p>
        </w:tc>
        <w:tc>
          <w:tcPr>
            <w:tcW w:w="7492" w:type="dxa"/>
            <w:shd w:val="clear" w:color="auto" w:fill="FFFFFF"/>
          </w:tcPr>
          <w:p w14:paraId="6CB7A0F8" w14:textId="20213D9B" w:rsidR="00E20C2B" w:rsidRPr="001B3BF3" w:rsidRDefault="00E20C2B" w:rsidP="00BD3D5F">
            <w:pPr>
              <w:pStyle w:val="Tablebullet1"/>
              <w:rPr>
                <w:b/>
                <w:szCs w:val="21"/>
                <w:lang w:eastAsia="en-AU"/>
              </w:rPr>
            </w:pPr>
            <w:r w:rsidRPr="001B3BF3">
              <w:rPr>
                <w:szCs w:val="21"/>
              </w:rPr>
              <w:t>At least 180 minutes spent in a variety of physical activities, including energetic play, spread throughout the day</w:t>
            </w:r>
            <w:r w:rsidR="004125B7">
              <w:rPr>
                <w:szCs w:val="21"/>
              </w:rPr>
              <w:t>. M</w:t>
            </w:r>
            <w:r w:rsidRPr="001B3BF3">
              <w:rPr>
                <w:szCs w:val="21"/>
              </w:rPr>
              <w:t>ore is better</w:t>
            </w:r>
            <w:r w:rsidR="004125B7">
              <w:rPr>
                <w:szCs w:val="21"/>
              </w:rPr>
              <w:t>.</w:t>
            </w:r>
          </w:p>
        </w:tc>
      </w:tr>
      <w:tr w:rsidR="00E20C2B" w:rsidRPr="00F1511A" w14:paraId="31698F59" w14:textId="77777777" w:rsidTr="00BD3D5F">
        <w:trPr>
          <w:trHeight w:val="917"/>
        </w:trPr>
        <w:tc>
          <w:tcPr>
            <w:tcW w:w="1228" w:type="dxa"/>
            <w:shd w:val="clear" w:color="auto" w:fill="FFFFFF"/>
          </w:tcPr>
          <w:p w14:paraId="381CE27F" w14:textId="77777777" w:rsidR="00E20C2B" w:rsidRPr="001B3BF3" w:rsidRDefault="00E20C2B" w:rsidP="00BD3D5F">
            <w:pPr>
              <w:pStyle w:val="Tablecolhead"/>
              <w:rPr>
                <w:b w:val="0"/>
                <w:bCs/>
                <w:color w:val="0070C0"/>
                <w:szCs w:val="21"/>
              </w:rPr>
            </w:pPr>
            <w:r w:rsidRPr="001B3BF3">
              <w:rPr>
                <w:b w:val="0"/>
                <w:bCs/>
                <w:color w:val="000000" w:themeColor="text1"/>
                <w:szCs w:val="21"/>
              </w:rPr>
              <w:t>Sedentary behaviour</w:t>
            </w:r>
          </w:p>
        </w:tc>
        <w:tc>
          <w:tcPr>
            <w:tcW w:w="7492" w:type="dxa"/>
            <w:shd w:val="clear" w:color="auto" w:fill="FFFFFF"/>
          </w:tcPr>
          <w:p w14:paraId="472A00B2" w14:textId="4E1205FE" w:rsidR="00E20C2B" w:rsidRPr="001B3BF3" w:rsidRDefault="00E20C2B" w:rsidP="00BD3D5F">
            <w:pPr>
              <w:pStyle w:val="Tablebullet1"/>
              <w:rPr>
                <w:b/>
                <w:szCs w:val="21"/>
                <w:lang w:eastAsia="en-AU"/>
              </w:rPr>
            </w:pPr>
            <w:r w:rsidRPr="001B3BF3">
              <w:rPr>
                <w:szCs w:val="21"/>
                <w:lang w:eastAsia="en-AU"/>
              </w:rPr>
              <w:t xml:space="preserve">Not being restrained for more than </w:t>
            </w:r>
            <w:r w:rsidR="004125B7">
              <w:rPr>
                <w:szCs w:val="21"/>
                <w:lang w:eastAsia="en-AU"/>
              </w:rPr>
              <w:t xml:space="preserve">one </w:t>
            </w:r>
            <w:r w:rsidRPr="001B3BF3">
              <w:rPr>
                <w:szCs w:val="21"/>
                <w:lang w:eastAsia="en-AU"/>
              </w:rPr>
              <w:t>hour at a time (</w:t>
            </w:r>
            <w:r w:rsidR="004125B7">
              <w:rPr>
                <w:szCs w:val="21"/>
                <w:lang w:eastAsia="en-AU"/>
              </w:rPr>
              <w:t xml:space="preserve">such as </w:t>
            </w:r>
            <w:r w:rsidRPr="001B3BF3">
              <w:rPr>
                <w:szCs w:val="21"/>
                <w:lang w:eastAsia="en-AU"/>
              </w:rPr>
              <w:t>in a stroller, car seat</w:t>
            </w:r>
            <w:r w:rsidR="004125B7">
              <w:rPr>
                <w:szCs w:val="21"/>
                <w:lang w:eastAsia="en-AU"/>
              </w:rPr>
              <w:t>,</w:t>
            </w:r>
            <w:r w:rsidRPr="001B3BF3">
              <w:rPr>
                <w:szCs w:val="21"/>
                <w:lang w:eastAsia="en-AU"/>
              </w:rPr>
              <w:t xml:space="preserve"> or highchair) or sitting for extended periods. For those younger than </w:t>
            </w:r>
            <w:r w:rsidR="004125B7">
              <w:rPr>
                <w:szCs w:val="21"/>
                <w:lang w:eastAsia="en-AU"/>
              </w:rPr>
              <w:t>two</w:t>
            </w:r>
            <w:r w:rsidRPr="001B3BF3">
              <w:rPr>
                <w:szCs w:val="21"/>
                <w:lang w:eastAsia="en-AU"/>
              </w:rPr>
              <w:t xml:space="preserve"> years, sedentary screen time is not recommended. For those aged </w:t>
            </w:r>
            <w:r w:rsidR="004125B7">
              <w:rPr>
                <w:szCs w:val="21"/>
                <w:lang w:eastAsia="en-AU"/>
              </w:rPr>
              <w:t>two</w:t>
            </w:r>
            <w:r w:rsidRPr="001B3BF3">
              <w:rPr>
                <w:szCs w:val="21"/>
                <w:lang w:eastAsia="en-AU"/>
              </w:rPr>
              <w:t xml:space="preserve"> years, sedentary screen time should be no more than </w:t>
            </w:r>
            <w:r w:rsidR="004125B7">
              <w:rPr>
                <w:szCs w:val="21"/>
                <w:lang w:eastAsia="en-AU"/>
              </w:rPr>
              <w:t>one</w:t>
            </w:r>
            <w:r w:rsidRPr="001B3BF3">
              <w:rPr>
                <w:szCs w:val="21"/>
                <w:lang w:eastAsia="en-AU"/>
              </w:rPr>
              <w:t xml:space="preserve"> hour</w:t>
            </w:r>
            <w:r w:rsidR="004125B7">
              <w:rPr>
                <w:szCs w:val="21"/>
                <w:lang w:eastAsia="en-AU"/>
              </w:rPr>
              <w:t>. L</w:t>
            </w:r>
            <w:r w:rsidRPr="001B3BF3">
              <w:rPr>
                <w:szCs w:val="21"/>
                <w:lang w:eastAsia="en-AU"/>
              </w:rPr>
              <w:t xml:space="preserve">ess </w:t>
            </w:r>
            <w:r w:rsidR="004125B7">
              <w:rPr>
                <w:szCs w:val="21"/>
                <w:lang w:eastAsia="en-AU"/>
              </w:rPr>
              <w:t xml:space="preserve">screen time </w:t>
            </w:r>
            <w:r w:rsidRPr="001B3BF3">
              <w:rPr>
                <w:szCs w:val="21"/>
                <w:lang w:eastAsia="en-AU"/>
              </w:rPr>
              <w:t>is better. When sedentary, engaging in pursuits such as reading, singing, puzzles and storytelling with a caregiver is encouraged</w:t>
            </w:r>
            <w:r w:rsidR="004125B7">
              <w:rPr>
                <w:szCs w:val="21"/>
                <w:lang w:eastAsia="en-AU"/>
              </w:rPr>
              <w:t>.</w:t>
            </w:r>
          </w:p>
        </w:tc>
      </w:tr>
      <w:tr w:rsidR="00E20C2B" w:rsidRPr="00F1511A" w14:paraId="2BD19C0C" w14:textId="77777777" w:rsidTr="00BD3D5F">
        <w:trPr>
          <w:trHeight w:val="917"/>
        </w:trPr>
        <w:tc>
          <w:tcPr>
            <w:tcW w:w="1228" w:type="dxa"/>
            <w:shd w:val="clear" w:color="auto" w:fill="FFFFFF"/>
          </w:tcPr>
          <w:p w14:paraId="39AD0546" w14:textId="77777777" w:rsidR="00E20C2B" w:rsidRPr="001B3BF3" w:rsidRDefault="00E20C2B" w:rsidP="00BD3D5F">
            <w:pPr>
              <w:pStyle w:val="Tablecolhead"/>
              <w:rPr>
                <w:b w:val="0"/>
                <w:bCs/>
                <w:color w:val="0070C0"/>
                <w:szCs w:val="21"/>
              </w:rPr>
            </w:pPr>
            <w:r w:rsidRPr="001B3BF3">
              <w:rPr>
                <w:b w:val="0"/>
                <w:bCs/>
                <w:color w:val="000000" w:themeColor="text1"/>
                <w:szCs w:val="21"/>
              </w:rPr>
              <w:t>Sleep</w:t>
            </w:r>
          </w:p>
        </w:tc>
        <w:tc>
          <w:tcPr>
            <w:tcW w:w="7492" w:type="dxa"/>
            <w:shd w:val="clear" w:color="auto" w:fill="FFFFFF"/>
          </w:tcPr>
          <w:p w14:paraId="3DB03442" w14:textId="1A6891F1" w:rsidR="00E20C2B" w:rsidRPr="001B3BF3" w:rsidRDefault="00E20C2B" w:rsidP="00BD3D5F">
            <w:pPr>
              <w:pStyle w:val="Tablebullet1"/>
              <w:rPr>
                <w:b/>
                <w:szCs w:val="21"/>
                <w:lang w:eastAsia="en-AU"/>
              </w:rPr>
            </w:pPr>
            <w:r w:rsidRPr="001B3BF3">
              <w:rPr>
                <w:szCs w:val="21"/>
                <w:lang w:eastAsia="en-AU"/>
              </w:rPr>
              <w:t>11</w:t>
            </w:r>
            <w:r w:rsidR="00D8514F" w:rsidRPr="0061138A">
              <w:rPr>
                <w:szCs w:val="21"/>
                <w:lang w:eastAsia="en-AU"/>
              </w:rPr>
              <w:t xml:space="preserve"> to</w:t>
            </w:r>
            <w:r w:rsidR="00D8514F">
              <w:rPr>
                <w:szCs w:val="21"/>
                <w:lang w:eastAsia="en-AU"/>
              </w:rPr>
              <w:t xml:space="preserve"> </w:t>
            </w:r>
            <w:r w:rsidRPr="001B3BF3">
              <w:rPr>
                <w:szCs w:val="21"/>
                <w:lang w:eastAsia="en-AU"/>
              </w:rPr>
              <w:t>14 hours of good quality sleep, including naps, with consistent sleep and wake up times</w:t>
            </w:r>
            <w:r>
              <w:rPr>
                <w:szCs w:val="21"/>
                <w:lang w:eastAsia="en-AU"/>
              </w:rPr>
              <w:t>.</w:t>
            </w:r>
            <w:r w:rsidRPr="001B3BF3">
              <w:rPr>
                <w:b/>
                <w:szCs w:val="21"/>
                <w:lang w:eastAsia="en-AU"/>
              </w:rPr>
              <w:t xml:space="preserve"> </w:t>
            </w:r>
          </w:p>
        </w:tc>
      </w:tr>
      <w:tr w:rsidR="00E20C2B" w:rsidRPr="00F1511A" w14:paraId="26A50D64" w14:textId="77777777" w:rsidTr="00BD3D5F">
        <w:trPr>
          <w:trHeight w:val="292"/>
        </w:trPr>
        <w:tc>
          <w:tcPr>
            <w:tcW w:w="8720" w:type="dxa"/>
            <w:gridSpan w:val="2"/>
            <w:shd w:val="clear" w:color="auto" w:fill="F2F2F2" w:themeFill="background1" w:themeFillShade="F2"/>
          </w:tcPr>
          <w:p w14:paraId="235C4A8F" w14:textId="77777777" w:rsidR="00E20C2B" w:rsidRPr="001B3BF3" w:rsidRDefault="00E20C2B" w:rsidP="00BD3D5F">
            <w:pPr>
              <w:pStyle w:val="Tablecolhead"/>
              <w:jc w:val="center"/>
              <w:rPr>
                <w:szCs w:val="21"/>
                <w:lang w:eastAsia="en-AU"/>
              </w:rPr>
            </w:pPr>
            <w:r w:rsidRPr="006A41CB">
              <w:rPr>
                <w:color w:val="000000" w:themeColor="text1"/>
                <w:szCs w:val="21"/>
                <w:lang w:eastAsia="en-AU"/>
              </w:rPr>
              <w:t>Pre-schoolers (3 to 5 years)</w:t>
            </w:r>
          </w:p>
        </w:tc>
      </w:tr>
      <w:tr w:rsidR="00E20C2B" w:rsidRPr="00F1511A" w14:paraId="5F1CD9D6" w14:textId="77777777" w:rsidTr="00BD3D5F">
        <w:trPr>
          <w:trHeight w:val="917"/>
        </w:trPr>
        <w:tc>
          <w:tcPr>
            <w:tcW w:w="1228" w:type="dxa"/>
            <w:shd w:val="clear" w:color="auto" w:fill="FFFFFF"/>
          </w:tcPr>
          <w:p w14:paraId="24FF8D12" w14:textId="77777777" w:rsidR="00E20C2B" w:rsidRPr="001B3BF3" w:rsidRDefault="00E20C2B" w:rsidP="00BD3D5F">
            <w:pPr>
              <w:pStyle w:val="Tablecolhead"/>
              <w:rPr>
                <w:b w:val="0"/>
                <w:bCs/>
                <w:color w:val="000000" w:themeColor="text1"/>
                <w:szCs w:val="21"/>
              </w:rPr>
            </w:pPr>
            <w:r w:rsidRPr="001B3BF3">
              <w:rPr>
                <w:b w:val="0"/>
                <w:bCs/>
                <w:color w:val="000000" w:themeColor="text1"/>
                <w:szCs w:val="21"/>
              </w:rPr>
              <w:t xml:space="preserve">Physical activity </w:t>
            </w:r>
          </w:p>
          <w:p w14:paraId="7AD3B9E9" w14:textId="77777777" w:rsidR="00E20C2B" w:rsidRPr="001B3BF3" w:rsidRDefault="00E20C2B" w:rsidP="00BD3D5F">
            <w:pPr>
              <w:pStyle w:val="Tablecolhead"/>
              <w:rPr>
                <w:b w:val="0"/>
                <w:bCs/>
                <w:color w:val="0070C0"/>
                <w:szCs w:val="21"/>
              </w:rPr>
            </w:pPr>
          </w:p>
        </w:tc>
        <w:tc>
          <w:tcPr>
            <w:tcW w:w="7492" w:type="dxa"/>
            <w:shd w:val="clear" w:color="auto" w:fill="FFFFFF"/>
          </w:tcPr>
          <w:p w14:paraId="27901FB3" w14:textId="1C3D7B90" w:rsidR="00E20C2B" w:rsidRPr="001B3BF3" w:rsidRDefault="00E20C2B" w:rsidP="00BD3D5F">
            <w:pPr>
              <w:pStyle w:val="Tablebullet1"/>
              <w:rPr>
                <w:szCs w:val="21"/>
                <w:lang w:eastAsia="en-AU"/>
              </w:rPr>
            </w:pPr>
            <w:r w:rsidRPr="001B3BF3">
              <w:rPr>
                <w:szCs w:val="21"/>
              </w:rPr>
              <w:t>At least 180 minutes spent in a variety of physical activities, of which at least 60 minutes is energetic play spread throughout the day</w:t>
            </w:r>
            <w:r w:rsidR="00A67481">
              <w:rPr>
                <w:szCs w:val="21"/>
              </w:rPr>
              <w:t>. M</w:t>
            </w:r>
            <w:r w:rsidRPr="001B3BF3">
              <w:rPr>
                <w:szCs w:val="21"/>
              </w:rPr>
              <w:t>ore is better</w:t>
            </w:r>
            <w:r w:rsidR="00A67481">
              <w:rPr>
                <w:szCs w:val="21"/>
                <w:lang w:eastAsia="en-AU"/>
              </w:rPr>
              <w:t>.</w:t>
            </w:r>
          </w:p>
        </w:tc>
      </w:tr>
      <w:tr w:rsidR="00E20C2B" w:rsidRPr="00F1511A" w14:paraId="1F793F66" w14:textId="77777777" w:rsidTr="00BD3D5F">
        <w:trPr>
          <w:trHeight w:val="917"/>
        </w:trPr>
        <w:tc>
          <w:tcPr>
            <w:tcW w:w="1228" w:type="dxa"/>
            <w:shd w:val="clear" w:color="auto" w:fill="FFFFFF"/>
          </w:tcPr>
          <w:p w14:paraId="70DDCF57" w14:textId="77777777" w:rsidR="00E20C2B" w:rsidRPr="001B3BF3" w:rsidRDefault="00E20C2B" w:rsidP="00BD3D5F">
            <w:pPr>
              <w:pStyle w:val="Tablecolhead"/>
              <w:rPr>
                <w:b w:val="0"/>
                <w:bCs/>
                <w:color w:val="0070C0"/>
                <w:szCs w:val="21"/>
              </w:rPr>
            </w:pPr>
            <w:r w:rsidRPr="001B3BF3">
              <w:rPr>
                <w:b w:val="0"/>
                <w:bCs/>
                <w:color w:val="000000" w:themeColor="text1"/>
                <w:szCs w:val="21"/>
              </w:rPr>
              <w:t>Sedentary behaviour</w:t>
            </w:r>
          </w:p>
        </w:tc>
        <w:tc>
          <w:tcPr>
            <w:tcW w:w="7492" w:type="dxa"/>
            <w:shd w:val="clear" w:color="auto" w:fill="FFFFFF"/>
          </w:tcPr>
          <w:p w14:paraId="08682C54" w14:textId="21537706" w:rsidR="00E20C2B" w:rsidRPr="001B3BF3" w:rsidRDefault="00E20C2B" w:rsidP="00BD3D5F">
            <w:pPr>
              <w:pStyle w:val="Tablebullet1"/>
              <w:rPr>
                <w:szCs w:val="21"/>
                <w:lang w:eastAsia="en-AU"/>
              </w:rPr>
            </w:pPr>
            <w:r w:rsidRPr="001B3BF3">
              <w:rPr>
                <w:szCs w:val="21"/>
                <w:lang w:eastAsia="en-AU"/>
              </w:rPr>
              <w:t xml:space="preserve">Not being restrained for more than </w:t>
            </w:r>
            <w:r w:rsidR="00A67481">
              <w:rPr>
                <w:szCs w:val="21"/>
                <w:lang w:eastAsia="en-AU"/>
              </w:rPr>
              <w:t xml:space="preserve">one </w:t>
            </w:r>
            <w:r w:rsidRPr="001B3BF3">
              <w:rPr>
                <w:szCs w:val="21"/>
                <w:lang w:eastAsia="en-AU"/>
              </w:rPr>
              <w:t>hour at a time (</w:t>
            </w:r>
            <w:r w:rsidR="00A67481">
              <w:rPr>
                <w:szCs w:val="21"/>
                <w:lang w:eastAsia="en-AU"/>
              </w:rPr>
              <w:t>such as</w:t>
            </w:r>
            <w:r w:rsidRPr="001B3BF3">
              <w:rPr>
                <w:szCs w:val="21"/>
                <w:lang w:eastAsia="en-AU"/>
              </w:rPr>
              <w:t xml:space="preserve"> in a stroller or car seat) or sitting for extended periods. Sedentary screen time should be no more than</w:t>
            </w:r>
            <w:r w:rsidR="00A67481">
              <w:rPr>
                <w:szCs w:val="21"/>
                <w:lang w:eastAsia="en-AU"/>
              </w:rPr>
              <w:t xml:space="preserve"> one </w:t>
            </w:r>
            <w:r w:rsidRPr="001B3BF3">
              <w:rPr>
                <w:szCs w:val="21"/>
                <w:lang w:eastAsia="en-AU"/>
              </w:rPr>
              <w:t>hour</w:t>
            </w:r>
            <w:r w:rsidR="00A67481">
              <w:rPr>
                <w:szCs w:val="21"/>
                <w:lang w:eastAsia="en-AU"/>
              </w:rPr>
              <w:t>. L</w:t>
            </w:r>
            <w:r w:rsidRPr="001B3BF3">
              <w:rPr>
                <w:szCs w:val="21"/>
                <w:lang w:eastAsia="en-AU"/>
              </w:rPr>
              <w:t xml:space="preserve">ess </w:t>
            </w:r>
            <w:r w:rsidR="00A67481">
              <w:rPr>
                <w:szCs w:val="21"/>
                <w:lang w:eastAsia="en-AU"/>
              </w:rPr>
              <w:t xml:space="preserve">screen time </w:t>
            </w:r>
            <w:r w:rsidRPr="001B3BF3">
              <w:rPr>
                <w:szCs w:val="21"/>
                <w:lang w:eastAsia="en-AU"/>
              </w:rPr>
              <w:t>is better. When sedentary, engaging in pursuits such as reading, singing, puzzles and storytelling with a caregiver is encouraged</w:t>
            </w:r>
            <w:r w:rsidR="00A67481">
              <w:rPr>
                <w:szCs w:val="21"/>
                <w:lang w:eastAsia="en-AU"/>
              </w:rPr>
              <w:t>.</w:t>
            </w:r>
          </w:p>
        </w:tc>
      </w:tr>
      <w:tr w:rsidR="00E20C2B" w:rsidRPr="00F1511A" w14:paraId="285877B8" w14:textId="77777777" w:rsidTr="00BD3D5F">
        <w:trPr>
          <w:trHeight w:val="917"/>
        </w:trPr>
        <w:tc>
          <w:tcPr>
            <w:tcW w:w="1228" w:type="dxa"/>
            <w:shd w:val="clear" w:color="auto" w:fill="FFFFFF"/>
          </w:tcPr>
          <w:p w14:paraId="0981FE54" w14:textId="77777777" w:rsidR="00E20C2B" w:rsidRPr="001B3BF3" w:rsidRDefault="00E20C2B" w:rsidP="00BD3D5F">
            <w:pPr>
              <w:pStyle w:val="Tablecolhead"/>
              <w:rPr>
                <w:b w:val="0"/>
                <w:bCs/>
                <w:color w:val="0070C0"/>
                <w:szCs w:val="21"/>
              </w:rPr>
            </w:pPr>
            <w:r w:rsidRPr="001B3BF3">
              <w:rPr>
                <w:b w:val="0"/>
                <w:bCs/>
                <w:color w:val="000000" w:themeColor="text1"/>
                <w:szCs w:val="21"/>
              </w:rPr>
              <w:t>Sleep</w:t>
            </w:r>
          </w:p>
        </w:tc>
        <w:tc>
          <w:tcPr>
            <w:tcW w:w="7492" w:type="dxa"/>
            <w:shd w:val="clear" w:color="auto" w:fill="FFFFFF"/>
          </w:tcPr>
          <w:p w14:paraId="5B06A0ED" w14:textId="4105160D" w:rsidR="00E20C2B" w:rsidRPr="001B3BF3" w:rsidRDefault="00E20C2B" w:rsidP="00BD3D5F">
            <w:pPr>
              <w:pStyle w:val="Tablebullet1"/>
              <w:rPr>
                <w:szCs w:val="21"/>
                <w:lang w:eastAsia="en-AU"/>
              </w:rPr>
            </w:pPr>
            <w:r w:rsidRPr="001B3BF3">
              <w:rPr>
                <w:szCs w:val="21"/>
                <w:lang w:eastAsia="en-AU"/>
              </w:rPr>
              <w:t>10</w:t>
            </w:r>
            <w:r w:rsidR="00D8514F" w:rsidRPr="00A312F3">
              <w:rPr>
                <w:szCs w:val="21"/>
                <w:lang w:eastAsia="en-AU"/>
              </w:rPr>
              <w:t xml:space="preserve"> to </w:t>
            </w:r>
            <w:r w:rsidRPr="00A312F3">
              <w:rPr>
                <w:szCs w:val="21"/>
                <w:lang w:eastAsia="en-AU"/>
              </w:rPr>
              <w:t>13</w:t>
            </w:r>
            <w:r w:rsidRPr="001B3BF3">
              <w:rPr>
                <w:szCs w:val="21"/>
                <w:lang w:eastAsia="en-AU"/>
              </w:rPr>
              <w:t xml:space="preserve"> hours of good quality sleep, which may include a nap, with consistent sleep and wake up times</w:t>
            </w:r>
            <w:r w:rsidR="00A67481">
              <w:rPr>
                <w:szCs w:val="21"/>
                <w:lang w:eastAsia="en-AU"/>
              </w:rPr>
              <w:t>.</w:t>
            </w:r>
          </w:p>
        </w:tc>
      </w:tr>
    </w:tbl>
    <w:p w14:paraId="31EC644B" w14:textId="23BFD672" w:rsidR="00DF7358" w:rsidRPr="00733C70" w:rsidRDefault="00DF7358" w:rsidP="001F260D">
      <w:pPr>
        <w:pStyle w:val="Body"/>
      </w:pPr>
    </w:p>
    <w:p w14:paraId="31A56A51" w14:textId="68C9B211" w:rsidR="001F260D" w:rsidRDefault="00F83B42" w:rsidP="00722880">
      <w:pPr>
        <w:pStyle w:val="Body"/>
      </w:pPr>
      <w:r>
        <w:t xml:space="preserve">Chapter 9, </w:t>
      </w:r>
      <w:r w:rsidR="00BC2DF4" w:rsidRPr="00A312F3">
        <w:t xml:space="preserve">Table 3 </w:t>
      </w:r>
      <w:r w:rsidR="001F260D" w:rsidRPr="00A312F3">
        <w:t>outline</w:t>
      </w:r>
      <w:r w:rsidR="00BC2DF4" w:rsidRPr="00A312F3">
        <w:t>s</w:t>
      </w:r>
      <w:r w:rsidR="001F260D" w:rsidRPr="00B42F4C">
        <w:t xml:space="preserve"> Australia’s movement guidelines for </w:t>
      </w:r>
      <w:r w:rsidR="00A67481">
        <w:t>c</w:t>
      </w:r>
      <w:r w:rsidR="001F260D" w:rsidRPr="00E764A3">
        <w:t xml:space="preserve">hildren and young people (aged </w:t>
      </w:r>
      <w:r w:rsidR="001F260D" w:rsidRPr="00A312F3">
        <w:t>5</w:t>
      </w:r>
      <w:r w:rsidR="00EC64EC" w:rsidRPr="00A312F3">
        <w:t xml:space="preserve"> to</w:t>
      </w:r>
      <w:r w:rsidR="00A21D76">
        <w:t xml:space="preserve"> </w:t>
      </w:r>
      <w:r w:rsidR="001F260D" w:rsidRPr="00A312F3">
        <w:t>17</w:t>
      </w:r>
      <w:r w:rsidR="001F260D" w:rsidRPr="00E764A3">
        <w:t xml:space="preserve"> years</w:t>
      </w:r>
      <w:r w:rsidR="005F6036">
        <w:t>)</w:t>
      </w:r>
      <w:r w:rsidR="003F173C">
        <w:t>.</w:t>
      </w:r>
    </w:p>
    <w:p w14:paraId="3FC09F3A" w14:textId="75C0A9EC" w:rsidR="00306B09" w:rsidRPr="00660878" w:rsidRDefault="00F83B42" w:rsidP="00306B09">
      <w:pPr>
        <w:autoSpaceDE w:val="0"/>
        <w:autoSpaceDN w:val="0"/>
        <w:adjustRightInd w:val="0"/>
        <w:rPr>
          <w:rFonts w:cs="Arial"/>
          <w:b/>
          <w:bCs/>
        </w:rPr>
      </w:pPr>
      <w:r>
        <w:rPr>
          <w:rFonts w:cs="Arial"/>
          <w:b/>
          <w:bCs/>
        </w:rPr>
        <w:t xml:space="preserve">Chapter 9, </w:t>
      </w:r>
      <w:r w:rsidR="00306B09" w:rsidRPr="00660878">
        <w:rPr>
          <w:rFonts w:cs="Arial"/>
          <w:b/>
          <w:bCs/>
        </w:rPr>
        <w:t xml:space="preserve">Table </w:t>
      </w:r>
      <w:r w:rsidR="00BC2DF4">
        <w:rPr>
          <w:rFonts w:cs="Arial"/>
          <w:b/>
          <w:bCs/>
        </w:rPr>
        <w:t>3.</w:t>
      </w:r>
      <w:r w:rsidR="00306B09" w:rsidRPr="00660878">
        <w:rPr>
          <w:rFonts w:cs="Arial"/>
          <w:b/>
          <w:bCs/>
        </w:rPr>
        <w:t xml:space="preserve"> Australia’s 24</w:t>
      </w:r>
      <w:r w:rsidR="00A67481" w:rsidRPr="00660878">
        <w:rPr>
          <w:rFonts w:cs="Arial"/>
          <w:b/>
          <w:bCs/>
        </w:rPr>
        <w:t>-</w:t>
      </w:r>
      <w:r w:rsidR="00306B09" w:rsidRPr="00660878">
        <w:rPr>
          <w:rFonts w:cs="Arial"/>
          <w:b/>
          <w:bCs/>
        </w:rPr>
        <w:t xml:space="preserve">hour </w:t>
      </w:r>
      <w:r w:rsidR="00A67481" w:rsidRPr="00660878">
        <w:rPr>
          <w:rFonts w:cs="Arial"/>
          <w:b/>
          <w:bCs/>
        </w:rPr>
        <w:t>m</w:t>
      </w:r>
      <w:r w:rsidR="00306B09" w:rsidRPr="00660878">
        <w:rPr>
          <w:rFonts w:cs="Arial"/>
          <w:b/>
          <w:bCs/>
        </w:rPr>
        <w:t xml:space="preserve">ovement </w:t>
      </w:r>
      <w:r w:rsidR="00A67481" w:rsidRPr="00660878">
        <w:rPr>
          <w:rFonts w:cs="Arial"/>
          <w:b/>
          <w:bCs/>
        </w:rPr>
        <w:t>g</w:t>
      </w:r>
      <w:r w:rsidR="00306B09" w:rsidRPr="00660878">
        <w:rPr>
          <w:rFonts w:cs="Arial"/>
          <w:b/>
          <w:bCs/>
        </w:rPr>
        <w:t>uidelines for children and young people (5 to 17 years) (Department of Health</w:t>
      </w:r>
      <w:r w:rsidR="00A67481" w:rsidRPr="00660878">
        <w:rPr>
          <w:rFonts w:cs="Arial"/>
          <w:b/>
          <w:bCs/>
        </w:rPr>
        <w:t>,</w:t>
      </w:r>
      <w:r w:rsidR="00306B09" w:rsidRPr="00660878">
        <w:rPr>
          <w:rFonts w:cs="Arial"/>
          <w:b/>
          <w:bCs/>
        </w:rPr>
        <w:t xml:space="preserve"> 2019)</w:t>
      </w:r>
    </w:p>
    <w:tbl>
      <w:tblPr>
        <w:tblW w:w="8720" w:type="dxa"/>
        <w:tblCellMar>
          <w:top w:w="15" w:type="dxa"/>
          <w:left w:w="15" w:type="dxa"/>
          <w:bottom w:w="15" w:type="dxa"/>
          <w:right w:w="15" w:type="dxa"/>
        </w:tblCellMar>
        <w:tblLook w:val="04A0" w:firstRow="1" w:lastRow="0" w:firstColumn="1" w:lastColumn="0" w:noHBand="0" w:noVBand="1"/>
      </w:tblPr>
      <w:tblGrid>
        <w:gridCol w:w="1228"/>
        <w:gridCol w:w="7492"/>
      </w:tblGrid>
      <w:tr w:rsidR="001E15BF" w:rsidRPr="00B42F4C" w14:paraId="08B693D5" w14:textId="77777777" w:rsidTr="00E764A3">
        <w:trPr>
          <w:trHeight w:val="80"/>
          <w:tblHeader/>
        </w:trPr>
        <w:tc>
          <w:tcPr>
            <w:tcW w:w="1228" w:type="dxa"/>
            <w:shd w:val="clear" w:color="auto" w:fill="F6F6F9"/>
          </w:tcPr>
          <w:p w14:paraId="1370046F" w14:textId="77777777" w:rsidR="001E15BF" w:rsidRPr="00B42F4C" w:rsidRDefault="001E15BF" w:rsidP="003706CC">
            <w:pPr>
              <w:pStyle w:val="Tablecolhead"/>
              <w:rPr>
                <w:b w:val="0"/>
                <w:bCs/>
                <w:color w:val="auto"/>
                <w:sz w:val="18"/>
                <w:szCs w:val="18"/>
                <w:lang w:eastAsia="en-AU"/>
              </w:rPr>
            </w:pPr>
          </w:p>
        </w:tc>
        <w:tc>
          <w:tcPr>
            <w:tcW w:w="7492" w:type="dxa"/>
            <w:shd w:val="clear" w:color="auto" w:fill="F6F6F9"/>
          </w:tcPr>
          <w:p w14:paraId="4B66D557" w14:textId="6A82ED53" w:rsidR="001E15BF" w:rsidRPr="004A7176" w:rsidRDefault="001E15BF" w:rsidP="003706CC">
            <w:pPr>
              <w:pStyle w:val="Tablecolhead"/>
              <w:jc w:val="center"/>
              <w:rPr>
                <w:color w:val="auto"/>
                <w:szCs w:val="21"/>
                <w:lang w:eastAsia="en-AU"/>
              </w:rPr>
            </w:pPr>
            <w:r w:rsidRPr="004A7176">
              <w:rPr>
                <w:color w:val="auto"/>
                <w:szCs w:val="21"/>
                <w:lang w:eastAsia="en-AU"/>
              </w:rPr>
              <w:t>Children and young people (aged 5</w:t>
            </w:r>
            <w:r w:rsidR="00475538">
              <w:rPr>
                <w:color w:val="auto"/>
                <w:szCs w:val="21"/>
                <w:lang w:eastAsia="en-AU"/>
              </w:rPr>
              <w:t xml:space="preserve"> to </w:t>
            </w:r>
            <w:r w:rsidRPr="004A7176">
              <w:rPr>
                <w:color w:val="auto"/>
                <w:szCs w:val="21"/>
                <w:lang w:eastAsia="en-AU"/>
              </w:rPr>
              <w:t>17 years)</w:t>
            </w:r>
          </w:p>
        </w:tc>
      </w:tr>
      <w:tr w:rsidR="001E15BF" w:rsidRPr="00344123" w14:paraId="322F00E1" w14:textId="77777777" w:rsidTr="00E764A3">
        <w:trPr>
          <w:trHeight w:val="917"/>
        </w:trPr>
        <w:tc>
          <w:tcPr>
            <w:tcW w:w="1228" w:type="dxa"/>
            <w:shd w:val="clear" w:color="auto" w:fill="FFFFFF"/>
          </w:tcPr>
          <w:p w14:paraId="5F5218E3" w14:textId="77777777" w:rsidR="001E15BF" w:rsidRPr="004A7176" w:rsidRDefault="001E15BF" w:rsidP="003706CC">
            <w:pPr>
              <w:pStyle w:val="Tablecolhead"/>
              <w:rPr>
                <w:b w:val="0"/>
                <w:bCs/>
                <w:color w:val="auto"/>
                <w:szCs w:val="21"/>
              </w:rPr>
            </w:pPr>
            <w:r w:rsidRPr="004A7176">
              <w:rPr>
                <w:b w:val="0"/>
                <w:bCs/>
                <w:color w:val="auto"/>
                <w:szCs w:val="21"/>
              </w:rPr>
              <w:t xml:space="preserve">Physical activity </w:t>
            </w:r>
          </w:p>
          <w:p w14:paraId="6B919361" w14:textId="77777777" w:rsidR="001E15BF" w:rsidRPr="00B42F4C" w:rsidRDefault="001E15BF" w:rsidP="003706CC">
            <w:pPr>
              <w:pStyle w:val="Tablecolhead"/>
              <w:rPr>
                <w:b w:val="0"/>
                <w:bCs/>
                <w:color w:val="auto"/>
                <w:sz w:val="18"/>
                <w:szCs w:val="18"/>
              </w:rPr>
            </w:pPr>
          </w:p>
        </w:tc>
        <w:tc>
          <w:tcPr>
            <w:tcW w:w="7492" w:type="dxa"/>
            <w:shd w:val="clear" w:color="auto" w:fill="FFFFFF"/>
          </w:tcPr>
          <w:p w14:paraId="53CA2ABF" w14:textId="3604AD88" w:rsidR="00A67481" w:rsidRPr="004A7176" w:rsidRDefault="001E15BF" w:rsidP="001E15BF">
            <w:pPr>
              <w:pStyle w:val="Tablebullet1"/>
              <w:rPr>
                <w:szCs w:val="21"/>
                <w:lang w:eastAsia="en-AU"/>
              </w:rPr>
            </w:pPr>
            <w:r w:rsidRPr="004A7176">
              <w:rPr>
                <w:szCs w:val="21"/>
                <w:lang w:eastAsia="en-AU"/>
              </w:rPr>
              <w:t>Accumulating 60 minutes or more of moderate to vigorous physical activity per day involving mainly aerobic activities</w:t>
            </w:r>
            <w:r w:rsidR="00A67481" w:rsidRPr="004A7176">
              <w:rPr>
                <w:szCs w:val="21"/>
                <w:lang w:eastAsia="en-AU"/>
              </w:rPr>
              <w:t>.</w:t>
            </w:r>
          </w:p>
          <w:p w14:paraId="07838C26" w14:textId="79997153" w:rsidR="00124EBF" w:rsidRPr="004A7176" w:rsidRDefault="00124EBF" w:rsidP="001740E0">
            <w:pPr>
              <w:pStyle w:val="Tablebullet1"/>
              <w:rPr>
                <w:szCs w:val="21"/>
              </w:rPr>
            </w:pPr>
            <w:r w:rsidRPr="004A7176">
              <w:rPr>
                <w:szCs w:val="21"/>
              </w:rPr>
              <w:lastRenderedPageBreak/>
              <w:t>Activities that are vigorous, as well as those that strengthen muscle and bone, should be incorporated</w:t>
            </w:r>
            <w:r w:rsidR="00D41461" w:rsidRPr="004A7176">
              <w:rPr>
                <w:szCs w:val="21"/>
              </w:rPr>
              <w:t>.</w:t>
            </w:r>
          </w:p>
          <w:p w14:paraId="4ACFE50D" w14:textId="5C35DBE3" w:rsidR="009C1105" w:rsidRPr="004A7176" w:rsidRDefault="009C1105" w:rsidP="009C1105">
            <w:pPr>
              <w:pStyle w:val="Tablebullet1"/>
              <w:rPr>
                <w:szCs w:val="21"/>
                <w:lang w:eastAsia="en-AU"/>
              </w:rPr>
            </w:pPr>
            <w:r w:rsidRPr="004A7176">
              <w:rPr>
                <w:szCs w:val="21"/>
                <w:lang w:eastAsia="en-AU"/>
              </w:rPr>
              <w:t>Several hours of a variety of light physical activities</w:t>
            </w:r>
            <w:r w:rsidR="00A67481" w:rsidRPr="004A7176">
              <w:rPr>
                <w:szCs w:val="21"/>
                <w:lang w:eastAsia="en-AU"/>
              </w:rPr>
              <w:t>.</w:t>
            </w:r>
          </w:p>
        </w:tc>
      </w:tr>
      <w:tr w:rsidR="001E15BF" w:rsidRPr="00344123" w14:paraId="6C8A3F86" w14:textId="77777777" w:rsidTr="00E764A3">
        <w:trPr>
          <w:trHeight w:val="917"/>
        </w:trPr>
        <w:tc>
          <w:tcPr>
            <w:tcW w:w="1228" w:type="dxa"/>
            <w:shd w:val="clear" w:color="auto" w:fill="FFFFFF"/>
          </w:tcPr>
          <w:p w14:paraId="5050C44A" w14:textId="4891EB8A" w:rsidR="001E15BF" w:rsidRPr="004A7176" w:rsidRDefault="001E15BF" w:rsidP="003706CC">
            <w:pPr>
              <w:pStyle w:val="Tablecolhead"/>
              <w:rPr>
                <w:b w:val="0"/>
                <w:bCs/>
                <w:color w:val="auto"/>
                <w:szCs w:val="21"/>
              </w:rPr>
            </w:pPr>
            <w:r w:rsidRPr="004A7176">
              <w:rPr>
                <w:b w:val="0"/>
                <w:bCs/>
                <w:color w:val="auto"/>
                <w:szCs w:val="21"/>
              </w:rPr>
              <w:lastRenderedPageBreak/>
              <w:t>Sedentary behaviour</w:t>
            </w:r>
          </w:p>
        </w:tc>
        <w:tc>
          <w:tcPr>
            <w:tcW w:w="7492" w:type="dxa"/>
            <w:shd w:val="clear" w:color="auto" w:fill="FFFFFF"/>
          </w:tcPr>
          <w:p w14:paraId="0EA01BDC" w14:textId="6C820AF4" w:rsidR="00DD1BF0" w:rsidRPr="004A7176" w:rsidRDefault="001E15BF" w:rsidP="001E15BF">
            <w:pPr>
              <w:pStyle w:val="Tablebullet1"/>
              <w:rPr>
                <w:szCs w:val="21"/>
                <w:lang w:eastAsia="en-AU"/>
              </w:rPr>
            </w:pPr>
            <w:r w:rsidRPr="004A7176">
              <w:rPr>
                <w:szCs w:val="21"/>
                <w:lang w:eastAsia="en-AU"/>
              </w:rPr>
              <w:t>Limiting sedentary recreational screen time to no more than 2 hours per day</w:t>
            </w:r>
            <w:r w:rsidR="00AC4AEE" w:rsidRPr="004A7176">
              <w:rPr>
                <w:szCs w:val="21"/>
                <w:lang w:eastAsia="en-AU"/>
              </w:rPr>
              <w:t xml:space="preserve"> (excluding </w:t>
            </w:r>
            <w:r w:rsidR="00FC056C" w:rsidRPr="004A7176">
              <w:rPr>
                <w:szCs w:val="21"/>
                <w:lang w:eastAsia="en-AU"/>
              </w:rPr>
              <w:t>screen</w:t>
            </w:r>
            <w:r w:rsidR="00A67481" w:rsidRPr="004A7176">
              <w:rPr>
                <w:szCs w:val="21"/>
                <w:lang w:eastAsia="en-AU"/>
              </w:rPr>
              <w:t>-</w:t>
            </w:r>
            <w:r w:rsidR="00FC056C" w:rsidRPr="004A7176">
              <w:rPr>
                <w:szCs w:val="21"/>
                <w:lang w:eastAsia="en-AU"/>
              </w:rPr>
              <w:t>based act</w:t>
            </w:r>
            <w:r w:rsidR="00E9473F" w:rsidRPr="004A7176">
              <w:rPr>
                <w:szCs w:val="21"/>
                <w:lang w:eastAsia="en-AU"/>
              </w:rPr>
              <w:t>ivities</w:t>
            </w:r>
            <w:r w:rsidR="00FC056C" w:rsidRPr="004A7176">
              <w:rPr>
                <w:szCs w:val="21"/>
                <w:lang w:eastAsia="en-AU"/>
              </w:rPr>
              <w:t xml:space="preserve"> f</w:t>
            </w:r>
            <w:r w:rsidR="00E9473F" w:rsidRPr="004A7176">
              <w:rPr>
                <w:szCs w:val="21"/>
                <w:lang w:eastAsia="en-AU"/>
              </w:rPr>
              <w:t>o</w:t>
            </w:r>
            <w:r w:rsidR="00FC056C" w:rsidRPr="004A7176">
              <w:rPr>
                <w:szCs w:val="21"/>
                <w:lang w:eastAsia="en-AU"/>
              </w:rPr>
              <w:t>r educational uses)</w:t>
            </w:r>
            <w:r w:rsidR="001F260D" w:rsidRPr="004A7176">
              <w:rPr>
                <w:szCs w:val="21"/>
                <w:lang w:eastAsia="en-AU"/>
              </w:rPr>
              <w:t xml:space="preserve">. </w:t>
            </w:r>
          </w:p>
          <w:p w14:paraId="5BF3EA97" w14:textId="1F84BF6E" w:rsidR="00A67481" w:rsidRPr="004A7176" w:rsidRDefault="00DD1BF0" w:rsidP="001E15BF">
            <w:pPr>
              <w:pStyle w:val="Tablebullet1"/>
              <w:rPr>
                <w:szCs w:val="21"/>
                <w:lang w:eastAsia="en-AU"/>
              </w:rPr>
            </w:pPr>
            <w:r w:rsidRPr="004A7176">
              <w:rPr>
                <w:szCs w:val="21"/>
                <w:lang w:eastAsia="en-AU"/>
              </w:rPr>
              <w:t>Breaking up long periods of sitting as often as possible</w:t>
            </w:r>
            <w:r w:rsidR="00A67481" w:rsidRPr="004A7176">
              <w:rPr>
                <w:szCs w:val="21"/>
                <w:lang w:eastAsia="en-AU"/>
              </w:rPr>
              <w:t>.</w:t>
            </w:r>
            <w:r w:rsidR="001E15BF" w:rsidRPr="004A7176">
              <w:rPr>
                <w:szCs w:val="21"/>
                <w:lang w:eastAsia="en-AU"/>
              </w:rPr>
              <w:t xml:space="preserve"> </w:t>
            </w:r>
          </w:p>
          <w:p w14:paraId="45872459" w14:textId="161F3DCA" w:rsidR="001E15BF" w:rsidRPr="004A7176" w:rsidRDefault="001F260D" w:rsidP="001740E0">
            <w:pPr>
              <w:pStyle w:val="Tablebullet1"/>
              <w:rPr>
                <w:szCs w:val="21"/>
                <w:lang w:eastAsia="en-AU"/>
              </w:rPr>
            </w:pPr>
            <w:r w:rsidRPr="004A7176">
              <w:rPr>
                <w:szCs w:val="21"/>
                <w:lang w:eastAsia="en-AU"/>
              </w:rPr>
              <w:t xml:space="preserve">For greater health benefits, replace sedentary time with additional </w:t>
            </w:r>
            <w:r w:rsidRPr="00874234">
              <w:rPr>
                <w:szCs w:val="21"/>
                <w:lang w:eastAsia="en-AU"/>
              </w:rPr>
              <w:t>moderate</w:t>
            </w:r>
            <w:r w:rsidR="00D8514F" w:rsidRPr="00874234">
              <w:rPr>
                <w:szCs w:val="21"/>
                <w:lang w:eastAsia="en-AU"/>
              </w:rPr>
              <w:t xml:space="preserve"> to </w:t>
            </w:r>
            <w:r w:rsidRPr="00874234">
              <w:rPr>
                <w:szCs w:val="21"/>
                <w:lang w:eastAsia="en-AU"/>
              </w:rPr>
              <w:t>vigorous</w:t>
            </w:r>
            <w:r w:rsidRPr="004A7176">
              <w:rPr>
                <w:szCs w:val="21"/>
                <w:lang w:eastAsia="en-AU"/>
              </w:rPr>
              <w:t xml:space="preserve"> physical activity, while preserving sufficient sleep</w:t>
            </w:r>
            <w:r w:rsidR="00A67481" w:rsidRPr="004A7176">
              <w:rPr>
                <w:szCs w:val="21"/>
                <w:lang w:eastAsia="en-AU"/>
              </w:rPr>
              <w:t>.</w:t>
            </w:r>
          </w:p>
        </w:tc>
      </w:tr>
      <w:tr w:rsidR="001E15BF" w:rsidRPr="00344123" w14:paraId="521ABADD" w14:textId="77777777" w:rsidTr="00E764A3">
        <w:trPr>
          <w:trHeight w:val="917"/>
        </w:trPr>
        <w:tc>
          <w:tcPr>
            <w:tcW w:w="1228" w:type="dxa"/>
            <w:shd w:val="clear" w:color="auto" w:fill="FFFFFF"/>
          </w:tcPr>
          <w:p w14:paraId="226D5C89" w14:textId="05EF43C3" w:rsidR="001E15BF" w:rsidRPr="004A7176" w:rsidRDefault="001E15BF" w:rsidP="003706CC">
            <w:pPr>
              <w:pStyle w:val="Tablecolhead"/>
              <w:rPr>
                <w:b w:val="0"/>
                <w:bCs/>
                <w:color w:val="auto"/>
                <w:szCs w:val="21"/>
              </w:rPr>
            </w:pPr>
            <w:r w:rsidRPr="004A7176">
              <w:rPr>
                <w:b w:val="0"/>
                <w:bCs/>
                <w:color w:val="auto"/>
                <w:szCs w:val="21"/>
              </w:rPr>
              <w:t>Sleep</w:t>
            </w:r>
          </w:p>
        </w:tc>
        <w:tc>
          <w:tcPr>
            <w:tcW w:w="7492" w:type="dxa"/>
            <w:shd w:val="clear" w:color="auto" w:fill="FFFFFF"/>
          </w:tcPr>
          <w:p w14:paraId="2540F021" w14:textId="0B3E4C32" w:rsidR="001F260D" w:rsidRPr="004A7176" w:rsidRDefault="001F260D" w:rsidP="001F260D">
            <w:pPr>
              <w:pStyle w:val="Tablebullet1"/>
              <w:rPr>
                <w:szCs w:val="21"/>
                <w:lang w:eastAsia="en-AU"/>
              </w:rPr>
            </w:pPr>
            <w:r w:rsidRPr="004A7176">
              <w:rPr>
                <w:szCs w:val="21"/>
                <w:lang w:eastAsia="en-AU"/>
              </w:rPr>
              <w:t xml:space="preserve">An uninterrupted </w:t>
            </w:r>
            <w:r w:rsidRPr="00874234">
              <w:rPr>
                <w:szCs w:val="21"/>
                <w:lang w:eastAsia="en-AU"/>
              </w:rPr>
              <w:t>9</w:t>
            </w:r>
            <w:r w:rsidR="00D8514F" w:rsidRPr="00874234">
              <w:rPr>
                <w:szCs w:val="21"/>
                <w:lang w:eastAsia="en-AU"/>
              </w:rPr>
              <w:t xml:space="preserve"> to </w:t>
            </w:r>
            <w:r w:rsidRPr="00874234">
              <w:rPr>
                <w:szCs w:val="21"/>
                <w:lang w:eastAsia="en-AU"/>
              </w:rPr>
              <w:t>11</w:t>
            </w:r>
            <w:r w:rsidRPr="004A7176">
              <w:rPr>
                <w:szCs w:val="21"/>
                <w:lang w:eastAsia="en-AU"/>
              </w:rPr>
              <w:t xml:space="preserve"> hours of sleep per night for those </w:t>
            </w:r>
            <w:r w:rsidRPr="00874234">
              <w:rPr>
                <w:szCs w:val="21"/>
                <w:lang w:eastAsia="en-AU"/>
              </w:rPr>
              <w:t>aged 5</w:t>
            </w:r>
            <w:r w:rsidR="003C3152" w:rsidRPr="00874234">
              <w:rPr>
                <w:szCs w:val="21"/>
                <w:lang w:eastAsia="en-AU"/>
              </w:rPr>
              <w:t xml:space="preserve"> to </w:t>
            </w:r>
            <w:r w:rsidRPr="00874234">
              <w:rPr>
                <w:szCs w:val="21"/>
                <w:lang w:eastAsia="en-AU"/>
              </w:rPr>
              <w:t>13</w:t>
            </w:r>
            <w:r w:rsidRPr="004A7176">
              <w:rPr>
                <w:szCs w:val="21"/>
                <w:lang w:eastAsia="en-AU"/>
              </w:rPr>
              <w:t xml:space="preserve"> years and </w:t>
            </w:r>
            <w:r w:rsidRPr="00874234">
              <w:rPr>
                <w:szCs w:val="21"/>
                <w:lang w:eastAsia="en-AU"/>
              </w:rPr>
              <w:t>8</w:t>
            </w:r>
            <w:r w:rsidR="00D8514F" w:rsidRPr="00874234">
              <w:rPr>
                <w:szCs w:val="21"/>
                <w:lang w:eastAsia="en-AU"/>
              </w:rPr>
              <w:t xml:space="preserve"> to </w:t>
            </w:r>
            <w:r w:rsidRPr="00874234">
              <w:rPr>
                <w:szCs w:val="21"/>
                <w:lang w:eastAsia="en-AU"/>
              </w:rPr>
              <w:t>10</w:t>
            </w:r>
            <w:r w:rsidRPr="004A7176">
              <w:rPr>
                <w:szCs w:val="21"/>
                <w:lang w:eastAsia="en-AU"/>
              </w:rPr>
              <w:t xml:space="preserve"> hours per night for those aged </w:t>
            </w:r>
            <w:r w:rsidRPr="00874234">
              <w:rPr>
                <w:szCs w:val="21"/>
                <w:lang w:eastAsia="en-AU"/>
              </w:rPr>
              <w:t>14</w:t>
            </w:r>
            <w:r w:rsidR="003C3152" w:rsidRPr="00874234">
              <w:rPr>
                <w:szCs w:val="21"/>
                <w:lang w:eastAsia="en-AU"/>
              </w:rPr>
              <w:t xml:space="preserve"> to </w:t>
            </w:r>
            <w:r w:rsidRPr="00874234">
              <w:rPr>
                <w:szCs w:val="21"/>
                <w:lang w:eastAsia="en-AU"/>
              </w:rPr>
              <w:t>17</w:t>
            </w:r>
            <w:r w:rsidRPr="004A7176">
              <w:rPr>
                <w:szCs w:val="21"/>
                <w:lang w:eastAsia="en-AU"/>
              </w:rPr>
              <w:t xml:space="preserve"> years</w:t>
            </w:r>
            <w:r w:rsidR="00A67481" w:rsidRPr="004A7176">
              <w:rPr>
                <w:szCs w:val="21"/>
                <w:lang w:eastAsia="en-AU"/>
              </w:rPr>
              <w:t>.</w:t>
            </w:r>
            <w:r w:rsidRPr="004A7176">
              <w:rPr>
                <w:szCs w:val="21"/>
                <w:lang w:eastAsia="en-AU"/>
              </w:rPr>
              <w:t xml:space="preserve"> </w:t>
            </w:r>
          </w:p>
          <w:p w14:paraId="5883C49E" w14:textId="401443C8" w:rsidR="001E15BF" w:rsidRPr="004A7176" w:rsidRDefault="001F260D" w:rsidP="001F260D">
            <w:pPr>
              <w:pStyle w:val="Tablebullet1"/>
              <w:rPr>
                <w:szCs w:val="21"/>
                <w:lang w:eastAsia="en-AU"/>
              </w:rPr>
            </w:pPr>
            <w:r w:rsidRPr="004A7176">
              <w:rPr>
                <w:szCs w:val="21"/>
                <w:lang w:eastAsia="en-AU"/>
              </w:rPr>
              <w:t xml:space="preserve">Consistent bed and wake-up times. Activities that are vigorous, as well as those that strengthen muscle and bone should be incorporated at least </w:t>
            </w:r>
            <w:r w:rsidR="00A67481" w:rsidRPr="004A7176">
              <w:rPr>
                <w:szCs w:val="21"/>
                <w:lang w:eastAsia="en-AU"/>
              </w:rPr>
              <w:t>three</w:t>
            </w:r>
            <w:r w:rsidRPr="004A7176">
              <w:rPr>
                <w:szCs w:val="21"/>
                <w:lang w:eastAsia="en-AU"/>
              </w:rPr>
              <w:t xml:space="preserve"> days per week. </w:t>
            </w:r>
          </w:p>
        </w:tc>
      </w:tr>
    </w:tbl>
    <w:p w14:paraId="6B9ACE7D" w14:textId="77777777" w:rsidR="00DF7358" w:rsidRPr="0014430E" w:rsidRDefault="00DF7358" w:rsidP="00DF7358">
      <w:pPr>
        <w:pStyle w:val="Heading3"/>
        <w:rPr>
          <w:sz w:val="21"/>
        </w:rPr>
      </w:pPr>
      <w:r>
        <w:t>Physical activity in Victoria</w:t>
      </w:r>
    </w:p>
    <w:p w14:paraId="2CF09177" w14:textId="77777777" w:rsidR="00DF7358" w:rsidRPr="002E4FCE" w:rsidRDefault="00DF7358" w:rsidP="002E4FCE">
      <w:pPr>
        <w:pStyle w:val="Heading4"/>
      </w:pPr>
      <w:r w:rsidRPr="002E4FCE">
        <w:t>Adults</w:t>
      </w:r>
    </w:p>
    <w:p w14:paraId="24095CF8" w14:textId="3DB339B6" w:rsidR="00DF7358" w:rsidRPr="00384FB5" w:rsidRDefault="00DF7358" w:rsidP="00DF7358">
      <w:pPr>
        <w:pStyle w:val="Body"/>
      </w:pPr>
      <w:r w:rsidRPr="00384FB5">
        <w:t>In 2019, 51.1 per cent of Victorian adults did sufficient physical activity (met the physical activity guidelines). This proportion was similar in men (53.0</w:t>
      </w:r>
      <w:r w:rsidR="0022579E" w:rsidRPr="00D87828">
        <w:rPr>
          <w:rStyle w:val="BodyChar"/>
        </w:rPr>
        <w:t xml:space="preserve"> per cent</w:t>
      </w:r>
      <w:r w:rsidRPr="00384FB5">
        <w:t>) and women (48.7</w:t>
      </w:r>
      <w:r w:rsidR="0022579E" w:rsidRPr="00D87828">
        <w:rPr>
          <w:rStyle w:val="BodyChar"/>
        </w:rPr>
        <w:t xml:space="preserve"> per cent</w:t>
      </w:r>
      <w:r w:rsidRPr="00384FB5">
        <w:t xml:space="preserve">) and remained stable since 2015. The proportion of adults who met physical activity guidelines was significantly higher for those aged </w:t>
      </w:r>
      <w:r w:rsidRPr="009843A8">
        <w:t>65</w:t>
      </w:r>
      <w:r w:rsidR="00294004" w:rsidRPr="009843A8">
        <w:t xml:space="preserve"> to </w:t>
      </w:r>
      <w:r w:rsidRPr="009843A8">
        <w:t>84</w:t>
      </w:r>
      <w:r w:rsidRPr="00384FB5">
        <w:t xml:space="preserve"> years and for people who had a tertiary university degree or a total annual household income of $100,000 or more. There were no significant differences between rural Victorians and those from metropolitan areas (</w:t>
      </w:r>
      <w:r w:rsidR="00A67481">
        <w:t>VAHI,</w:t>
      </w:r>
      <w:r w:rsidRPr="00384FB5">
        <w:t xml:space="preserve"> 2021).</w:t>
      </w:r>
    </w:p>
    <w:p w14:paraId="16406EA9" w14:textId="2613AB0A" w:rsidR="00DF7358" w:rsidRPr="00384FB5" w:rsidRDefault="00DF7358" w:rsidP="00DF7358">
      <w:pPr>
        <w:pStyle w:val="Body"/>
      </w:pPr>
      <w:r w:rsidRPr="00384FB5">
        <w:t>The proportion of adults who were sedentary (did no physical activity) was 1.8</w:t>
      </w:r>
      <w:r w:rsidR="0022579E" w:rsidRPr="00D87828">
        <w:rPr>
          <w:rStyle w:val="BodyChar"/>
        </w:rPr>
        <w:t xml:space="preserve"> per cent</w:t>
      </w:r>
      <w:r w:rsidRPr="00384FB5">
        <w:t xml:space="preserve"> overall. This proportion was similar in men (1.9</w:t>
      </w:r>
      <w:r w:rsidR="0022579E" w:rsidRPr="00D87828">
        <w:rPr>
          <w:rStyle w:val="BodyChar"/>
        </w:rPr>
        <w:t xml:space="preserve"> per cent</w:t>
      </w:r>
      <w:r w:rsidRPr="00384FB5">
        <w:t>) and women (1.8</w:t>
      </w:r>
      <w:r w:rsidR="0022579E" w:rsidRPr="00D87828">
        <w:rPr>
          <w:rStyle w:val="BodyChar"/>
        </w:rPr>
        <w:t xml:space="preserve"> per cent</w:t>
      </w:r>
      <w:r w:rsidRPr="00384FB5">
        <w:t xml:space="preserve">). </w:t>
      </w:r>
    </w:p>
    <w:p w14:paraId="24AA8C8C" w14:textId="449AD8EF" w:rsidR="00DF7358" w:rsidRPr="00384FB5" w:rsidRDefault="00DF7358" w:rsidP="00DF7358">
      <w:pPr>
        <w:pStyle w:val="Body"/>
      </w:pPr>
      <w:r w:rsidRPr="00384FB5">
        <w:t>Nearly one quarter (24.3 per cent) of adults spent eight hours or more sitting on a typical weekday in 2019. This proportion was significantly higher in men (27.4</w:t>
      </w:r>
      <w:r w:rsidR="0022579E" w:rsidRPr="00D87828">
        <w:rPr>
          <w:rStyle w:val="BodyChar"/>
        </w:rPr>
        <w:t xml:space="preserve"> per cent</w:t>
      </w:r>
      <w:r w:rsidRPr="00384FB5">
        <w:t>) compared with women (21.4</w:t>
      </w:r>
      <w:r w:rsidR="0022579E" w:rsidRPr="00D87828">
        <w:rPr>
          <w:rStyle w:val="BodyChar"/>
        </w:rPr>
        <w:t xml:space="preserve"> per cent</w:t>
      </w:r>
      <w:r w:rsidRPr="00384FB5">
        <w:t>) (</w:t>
      </w:r>
      <w:r w:rsidR="00A67481">
        <w:t xml:space="preserve">VAHI, </w:t>
      </w:r>
      <w:r w:rsidRPr="00384FB5">
        <w:t>2021).</w:t>
      </w:r>
    </w:p>
    <w:p w14:paraId="07EE8F2C" w14:textId="77777777" w:rsidR="00DF7358" w:rsidRPr="002E4FCE" w:rsidRDefault="00DF7358" w:rsidP="002E4FCE">
      <w:pPr>
        <w:pStyle w:val="Heading4"/>
      </w:pPr>
      <w:r w:rsidRPr="002E4FCE">
        <w:t>Children and young people</w:t>
      </w:r>
    </w:p>
    <w:p w14:paraId="65F7504B" w14:textId="3DBCE877" w:rsidR="00DF7358" w:rsidRPr="00384FB5" w:rsidRDefault="00DF7358" w:rsidP="00DF7358">
      <w:pPr>
        <w:pStyle w:val="Body"/>
        <w:rPr>
          <w:rFonts w:eastAsia="Times New Roman"/>
        </w:rPr>
      </w:pPr>
      <w:r w:rsidRPr="00384FB5">
        <w:t xml:space="preserve">For Victorian children aged </w:t>
      </w:r>
      <w:r w:rsidRPr="00730E5E">
        <w:t>5</w:t>
      </w:r>
      <w:r w:rsidR="00F63D38" w:rsidRPr="00730E5E">
        <w:t xml:space="preserve"> to </w:t>
      </w:r>
      <w:r w:rsidRPr="00730E5E">
        <w:t>12</w:t>
      </w:r>
      <w:r w:rsidRPr="00384FB5">
        <w:t xml:space="preserve"> years in 2019, around half (52.2 per cent) were physically active for an hour every day. This represent</w:t>
      </w:r>
      <w:r w:rsidR="00A67481">
        <w:t>ed</w:t>
      </w:r>
      <w:r w:rsidRPr="00384FB5">
        <w:t xml:space="preserve"> a significant decrease from 2013, when 62.2 per cent of </w:t>
      </w:r>
      <w:r w:rsidR="00A67481">
        <w:t xml:space="preserve">children aged </w:t>
      </w:r>
      <w:r w:rsidRPr="00730E5E">
        <w:t>5</w:t>
      </w:r>
      <w:r w:rsidR="00F63D38" w:rsidRPr="00730E5E">
        <w:t xml:space="preserve"> to </w:t>
      </w:r>
      <w:r w:rsidRPr="00730E5E">
        <w:t>12</w:t>
      </w:r>
      <w:r w:rsidRPr="00384FB5">
        <w:t xml:space="preserve"> were physically active for an hour </w:t>
      </w:r>
      <w:r w:rsidR="00A67481">
        <w:t xml:space="preserve">a </w:t>
      </w:r>
      <w:r w:rsidRPr="00384FB5">
        <w:t>day (</w:t>
      </w:r>
      <w:r w:rsidRPr="00384FB5">
        <w:rPr>
          <w:rFonts w:eastAsia="Times New Roman"/>
        </w:rPr>
        <w:t>Department of Education and Training</w:t>
      </w:r>
      <w:r w:rsidR="00A67481">
        <w:rPr>
          <w:rFonts w:eastAsia="Times New Roman"/>
        </w:rPr>
        <w:t>,</w:t>
      </w:r>
      <w:r w:rsidRPr="00384FB5">
        <w:rPr>
          <w:rFonts w:eastAsia="Times New Roman"/>
        </w:rPr>
        <w:t xml:space="preserve"> 2020). </w:t>
      </w:r>
    </w:p>
    <w:p w14:paraId="5BD027C2" w14:textId="79569A3B" w:rsidR="00DF7358" w:rsidRPr="00384FB5" w:rsidRDefault="00DF7358" w:rsidP="00DF7358">
      <w:pPr>
        <w:pStyle w:val="Body"/>
      </w:pPr>
      <w:r w:rsidRPr="00384FB5">
        <w:t xml:space="preserve">For older children, </w:t>
      </w:r>
      <w:r w:rsidR="00A67481">
        <w:t xml:space="preserve">less </w:t>
      </w:r>
      <w:r w:rsidRPr="00384FB5">
        <w:t xml:space="preserve">than </w:t>
      </w:r>
      <w:r w:rsidR="00A67481">
        <w:t>one-</w:t>
      </w:r>
      <w:r w:rsidRPr="00384FB5">
        <w:t>in</w:t>
      </w:r>
      <w:r w:rsidR="00A67481">
        <w:t>-four</w:t>
      </w:r>
      <w:r w:rsidRPr="00384FB5">
        <w:t xml:space="preserve"> (24 per cent) Year 5, 8</w:t>
      </w:r>
      <w:r w:rsidR="00A67481">
        <w:t>,</w:t>
      </w:r>
      <w:r w:rsidRPr="00384FB5">
        <w:t xml:space="preserve"> and 11 students met the national guidelines for 60 minutes of physical activity per day in 2018. Male students were more likely to meet this guideline</w:t>
      </w:r>
      <w:r w:rsidR="00A67481">
        <w:t>. P</w:t>
      </w:r>
      <w:r w:rsidRPr="00384FB5">
        <w:t>hysical activity rates decline</w:t>
      </w:r>
      <w:r w:rsidR="00A67481">
        <w:t>d</w:t>
      </w:r>
      <w:r w:rsidRPr="00384FB5">
        <w:t xml:space="preserve"> with year level</w:t>
      </w:r>
      <w:r w:rsidR="00A67481">
        <w:t xml:space="preserve">s, falling </w:t>
      </w:r>
      <w:r w:rsidRPr="00384FB5">
        <w:t>from 31 per cent in Year 5 to 12 per cent in Year 11 (Department of Education and Training</w:t>
      </w:r>
      <w:r w:rsidR="00A67481">
        <w:t>,</w:t>
      </w:r>
      <w:r w:rsidRPr="00384FB5">
        <w:t xml:space="preserve"> 2019).</w:t>
      </w:r>
    </w:p>
    <w:p w14:paraId="5B922780" w14:textId="16EDB1A1" w:rsidR="00DF7358" w:rsidRPr="00384FB5" w:rsidRDefault="00DF7358" w:rsidP="00DF7358">
      <w:pPr>
        <w:pStyle w:val="Body"/>
      </w:pPr>
      <w:r w:rsidRPr="00384FB5">
        <w:t xml:space="preserve">Data from 2011-12 and 2012-13 collated by the Australian Institute of Health and Welfare showed that 59.9 per cent of Aboriginal children </w:t>
      </w:r>
      <w:r w:rsidRPr="00730E5E">
        <w:t>aged 5</w:t>
      </w:r>
      <w:r w:rsidR="00F63D38" w:rsidRPr="00730E5E">
        <w:t xml:space="preserve"> to </w:t>
      </w:r>
      <w:r w:rsidRPr="00730E5E">
        <w:t>12</w:t>
      </w:r>
      <w:r w:rsidRPr="00384FB5">
        <w:t xml:space="preserve"> and 33.4 per cent aged </w:t>
      </w:r>
      <w:r w:rsidRPr="00730E5E">
        <w:t>13</w:t>
      </w:r>
      <w:r w:rsidR="00F63D38" w:rsidRPr="00730E5E">
        <w:t xml:space="preserve"> to </w:t>
      </w:r>
      <w:r w:rsidRPr="00730E5E">
        <w:t>17</w:t>
      </w:r>
      <w:r w:rsidRPr="00384FB5">
        <w:t xml:space="preserve"> met the physical activity guidelines</w:t>
      </w:r>
      <w:r w:rsidR="00A67481">
        <w:t>. This result is</w:t>
      </w:r>
      <w:r w:rsidRPr="00384FB5">
        <w:t xml:space="preserve"> higher than for non-Aboriginal children</w:t>
      </w:r>
      <w:r w:rsidR="00A67481">
        <w:t>,</w:t>
      </w:r>
      <w:r w:rsidRPr="00384FB5">
        <w:t xml:space="preserve"> who were at 45.1 per cent</w:t>
      </w:r>
      <w:r w:rsidR="00A67481">
        <w:t xml:space="preserve"> for </w:t>
      </w:r>
      <w:r w:rsidR="00A67481" w:rsidRPr="00384FB5">
        <w:t>age</w:t>
      </w:r>
      <w:r w:rsidR="00A67481">
        <w:t>s</w:t>
      </w:r>
      <w:r w:rsidR="00A67481" w:rsidRPr="00384FB5">
        <w:t xml:space="preserve"> </w:t>
      </w:r>
      <w:r w:rsidR="00A67481" w:rsidRPr="00730E5E">
        <w:t>5</w:t>
      </w:r>
      <w:r w:rsidR="00F63D38" w:rsidRPr="00730E5E">
        <w:t xml:space="preserve"> to </w:t>
      </w:r>
      <w:r w:rsidR="00A67481" w:rsidRPr="00730E5E">
        <w:t>12</w:t>
      </w:r>
      <w:r w:rsidR="00A67481" w:rsidRPr="00384FB5">
        <w:t xml:space="preserve"> </w:t>
      </w:r>
      <w:r w:rsidRPr="00384FB5">
        <w:t xml:space="preserve">and 19 per cent for </w:t>
      </w:r>
      <w:r w:rsidR="00A67481" w:rsidRPr="00384FB5">
        <w:t>age</w:t>
      </w:r>
      <w:r w:rsidR="00A67481">
        <w:t>s</w:t>
      </w:r>
      <w:r w:rsidR="00A67481" w:rsidRPr="00384FB5">
        <w:t xml:space="preserve"> </w:t>
      </w:r>
      <w:r w:rsidR="00A67481" w:rsidRPr="00730E5E">
        <w:t>13</w:t>
      </w:r>
      <w:r w:rsidR="00F63D38" w:rsidRPr="00730E5E">
        <w:t xml:space="preserve"> to </w:t>
      </w:r>
      <w:r w:rsidR="00A67481" w:rsidRPr="00730E5E">
        <w:t>17</w:t>
      </w:r>
      <w:r w:rsidR="00A67481" w:rsidRPr="00384FB5">
        <w:t xml:space="preserve"> </w:t>
      </w:r>
      <w:r w:rsidRPr="00384FB5">
        <w:t>(</w:t>
      </w:r>
      <w:r w:rsidR="00564A1B">
        <w:t>AIHW</w:t>
      </w:r>
      <w:r w:rsidRPr="00384FB5">
        <w:t xml:space="preserve">, 2018). </w:t>
      </w:r>
    </w:p>
    <w:p w14:paraId="1102342B" w14:textId="79D5798A" w:rsidR="00DF7358" w:rsidRPr="00384FB5" w:rsidRDefault="00DF7358" w:rsidP="00DF7358">
      <w:pPr>
        <w:pStyle w:val="Body"/>
      </w:pPr>
      <w:r w:rsidRPr="00384FB5">
        <w:t xml:space="preserve">The 2018-19 National Aboriginal and Torres Strait Islander Health Survey (NATSIHS), found that very few Aboriginal and Torres Strait Islander young people met the physical activity guidelines for </w:t>
      </w:r>
      <w:r w:rsidRPr="00384FB5">
        <w:lastRenderedPageBreak/>
        <w:t xml:space="preserve">daily exercise (5 per cent for </w:t>
      </w:r>
      <w:r w:rsidR="00135C07">
        <w:t xml:space="preserve">those aged </w:t>
      </w:r>
      <w:r w:rsidRPr="00730E5E">
        <w:t>15</w:t>
      </w:r>
      <w:r w:rsidR="002C7CB2" w:rsidRPr="00730E5E">
        <w:t xml:space="preserve"> to</w:t>
      </w:r>
      <w:r w:rsidRPr="00730E5E">
        <w:t>17</w:t>
      </w:r>
      <w:r w:rsidRPr="00384FB5">
        <w:t xml:space="preserve"> and 12 per cent for </w:t>
      </w:r>
      <w:r w:rsidR="00135C07">
        <w:t xml:space="preserve">those aged </w:t>
      </w:r>
      <w:r w:rsidRPr="00730E5E">
        <w:t>18</w:t>
      </w:r>
      <w:r w:rsidR="00125DEF" w:rsidRPr="00730E5E">
        <w:t xml:space="preserve"> to </w:t>
      </w:r>
      <w:r w:rsidRPr="00730E5E">
        <w:t>24</w:t>
      </w:r>
      <w:r w:rsidRPr="00384FB5">
        <w:t>) (</w:t>
      </w:r>
      <w:r w:rsidR="00564A1B">
        <w:t>ABS,</w:t>
      </w:r>
      <w:r w:rsidRPr="00384FB5">
        <w:t xml:space="preserve"> 2019).</w:t>
      </w:r>
    </w:p>
    <w:p w14:paraId="1C9800DB" w14:textId="77777777" w:rsidR="00DF7358" w:rsidRPr="00384FB5" w:rsidRDefault="00DF7358" w:rsidP="002E4FCE">
      <w:pPr>
        <w:pStyle w:val="Heading4"/>
        <w:rPr>
          <w:b w:val="0"/>
        </w:rPr>
      </w:pPr>
      <w:r w:rsidRPr="00384FB5">
        <w:t>Screen time</w:t>
      </w:r>
    </w:p>
    <w:p w14:paraId="0E65A3FC" w14:textId="0DA48D4F" w:rsidR="00DF7358" w:rsidRPr="00384FB5" w:rsidRDefault="00DF7358" w:rsidP="00DF7358">
      <w:pPr>
        <w:pStyle w:val="Body"/>
      </w:pPr>
      <w:r w:rsidRPr="00384FB5">
        <w:t>In 2019, one-in-five (20.2 percent) of Victorian children (</w:t>
      </w:r>
      <w:r w:rsidRPr="00730E5E">
        <w:t>5</w:t>
      </w:r>
      <w:r w:rsidR="002C7CB2" w:rsidRPr="00730E5E">
        <w:t xml:space="preserve"> to </w:t>
      </w:r>
      <w:r w:rsidRPr="00730E5E">
        <w:t>12</w:t>
      </w:r>
      <w:r w:rsidRPr="00384FB5">
        <w:t xml:space="preserve"> years) exceeded the recommended two hours per day or less of recreational screen time, which can be associated with increased levels of sedentary behaviour (Department of Education and Training 2020). This represents an increase from previous years.</w:t>
      </w:r>
    </w:p>
    <w:p w14:paraId="6C50A687" w14:textId="7CCDD202" w:rsidR="00DF7358" w:rsidRPr="00384FB5" w:rsidRDefault="00DF7358" w:rsidP="00DF7358">
      <w:pPr>
        <w:pStyle w:val="Body"/>
      </w:pPr>
      <w:r w:rsidRPr="00384FB5">
        <w:t xml:space="preserve">In 2018, almost two-thirds (64 per cent) of Victorian secondary school students (aged </w:t>
      </w:r>
      <w:r w:rsidRPr="00730E5E">
        <w:t>10</w:t>
      </w:r>
      <w:r w:rsidR="002C7CB2" w:rsidRPr="00730E5E">
        <w:t xml:space="preserve"> to </w:t>
      </w:r>
      <w:r w:rsidRPr="00730E5E">
        <w:t>17</w:t>
      </w:r>
      <w:r w:rsidRPr="00384FB5">
        <w:t xml:space="preserve"> years) surveyed, reported exceeding the recommended amount of two hours recreational screen time per day</w:t>
      </w:r>
      <w:r w:rsidR="00007301">
        <w:t xml:space="preserve">. </w:t>
      </w:r>
      <w:r w:rsidRPr="00384FB5">
        <w:t>The proportion of Year 11 students exceeding recommended screen time was markedly higher than students in Year 5 (78 per cent compared to 51 per cent) (Department of Education and Training</w:t>
      </w:r>
      <w:r w:rsidR="001C2D98">
        <w:t>,</w:t>
      </w:r>
      <w:r w:rsidRPr="00384FB5">
        <w:t xml:space="preserve"> 2019).</w:t>
      </w:r>
    </w:p>
    <w:p w14:paraId="6D117AC8" w14:textId="77777777" w:rsidR="00DF7358" w:rsidRPr="002E4FCE" w:rsidRDefault="00DF7358" w:rsidP="002E4FCE">
      <w:pPr>
        <w:pStyle w:val="Heading3"/>
      </w:pPr>
      <w:r w:rsidRPr="002E4FCE">
        <w:t>What the Victorian Government is doing</w:t>
      </w:r>
    </w:p>
    <w:p w14:paraId="52A040AB" w14:textId="523FB6D5" w:rsidR="00DF7358" w:rsidRPr="00384FB5" w:rsidRDefault="00DF7358" w:rsidP="00DF7358">
      <w:pPr>
        <w:pStyle w:val="Body"/>
      </w:pPr>
      <w:r>
        <w:t>For more information on measures to increase active living, visit the </w:t>
      </w:r>
      <w:hyperlink r:id="rId74" w:history="1">
        <w:r w:rsidR="00B52227" w:rsidRPr="00E02E7E">
          <w:rPr>
            <w:rStyle w:val="Hyperlink"/>
          </w:rPr>
          <w:t>department’s active living webpage</w:t>
        </w:r>
      </w:hyperlink>
      <w:r w:rsidR="001A5380">
        <w:t xml:space="preserve"> &lt;</w:t>
      </w:r>
      <w:r w:rsidR="001A5380" w:rsidRPr="001A5380">
        <w:t>https://www.health.vic.gov.au/chief-health-officer/active-living</w:t>
      </w:r>
      <w:r w:rsidR="001A5380">
        <w:t>&gt;</w:t>
      </w:r>
      <w:r>
        <w:t>.</w:t>
      </w:r>
    </w:p>
    <w:p w14:paraId="0E817C56" w14:textId="3C1A6AE1" w:rsidR="008403FD" w:rsidRPr="00A73536" w:rsidRDefault="008403FD" w:rsidP="00A73536">
      <w:pPr>
        <w:pStyle w:val="Heading2"/>
      </w:pPr>
      <w:bookmarkStart w:id="91" w:name="_Toc116981343"/>
      <w:r w:rsidRPr="00A73536">
        <w:t>Tobacco and vape</w:t>
      </w:r>
      <w:r w:rsidR="001C2D98">
        <w:t>-</w:t>
      </w:r>
      <w:r w:rsidRPr="00A73536">
        <w:t>free living</w:t>
      </w:r>
      <w:bookmarkEnd w:id="91"/>
      <w:r w:rsidRPr="00A73536">
        <w:t xml:space="preserve"> </w:t>
      </w:r>
    </w:p>
    <w:p w14:paraId="188B990E" w14:textId="2D19D4DA" w:rsidR="008403FD" w:rsidRPr="003A420D" w:rsidRDefault="001C2D98" w:rsidP="00A73536">
      <w:pPr>
        <w:pStyle w:val="Heading3"/>
      </w:pPr>
      <w:r>
        <w:t>H</w:t>
      </w:r>
      <w:r w:rsidR="008403FD" w:rsidRPr="00A73536">
        <w:t>arms from tobacco use</w:t>
      </w:r>
    </w:p>
    <w:p w14:paraId="3E7B6F33" w14:textId="77777777" w:rsidR="008403FD" w:rsidRPr="007C1FC0" w:rsidRDefault="008403FD" w:rsidP="008403FD">
      <w:pPr>
        <w:rPr>
          <w:rFonts w:eastAsia="Times"/>
        </w:rPr>
      </w:pPr>
      <w:r w:rsidRPr="007C1FC0">
        <w:rPr>
          <w:rFonts w:eastAsia="Times"/>
        </w:rPr>
        <w:t xml:space="preserve">Despite considerable progress in reducing smoking rates in Victoria, tobacco use remains a leading contributor to the burden of disease and premature deaths. </w:t>
      </w:r>
    </w:p>
    <w:p w14:paraId="2065CB73" w14:textId="5F8ED911" w:rsidR="008403FD" w:rsidRPr="007C1FC0" w:rsidRDefault="008403FD" w:rsidP="008403FD">
      <w:pPr>
        <w:rPr>
          <w:rFonts w:eastAsia="Times"/>
        </w:rPr>
      </w:pPr>
      <w:r w:rsidRPr="007C1FC0">
        <w:rPr>
          <w:rFonts w:eastAsia="Times"/>
        </w:rPr>
        <w:t>Smoking is responsible for approximately 8.6</w:t>
      </w:r>
      <w:r w:rsidR="00064844" w:rsidRPr="00D87828">
        <w:rPr>
          <w:rStyle w:val="BodyChar"/>
        </w:rPr>
        <w:t xml:space="preserve"> per cent</w:t>
      </w:r>
      <w:r w:rsidRPr="007C1FC0">
        <w:rPr>
          <w:rFonts w:eastAsia="Times"/>
        </w:rPr>
        <w:t xml:space="preserve"> of the disease burden and almost 13</w:t>
      </w:r>
      <w:r w:rsidR="00064844" w:rsidRPr="00D87828">
        <w:rPr>
          <w:rStyle w:val="BodyChar"/>
        </w:rPr>
        <w:t xml:space="preserve"> per cent</w:t>
      </w:r>
      <w:r w:rsidRPr="007C1FC0">
        <w:rPr>
          <w:rFonts w:eastAsia="Times"/>
        </w:rPr>
        <w:t xml:space="preserve"> of deaths in Australia (Australian Burden of Disease Study</w:t>
      </w:r>
      <w:r w:rsidR="001C2D98">
        <w:rPr>
          <w:rFonts w:eastAsia="Times"/>
        </w:rPr>
        <w:t>,</w:t>
      </w:r>
      <w:r w:rsidRPr="007C1FC0">
        <w:rPr>
          <w:rFonts w:eastAsia="Times"/>
        </w:rPr>
        <w:t xml:space="preserve"> 2018). </w:t>
      </w:r>
      <w:r w:rsidRPr="7BF6DC86">
        <w:rPr>
          <w:rFonts w:eastAsia="Times"/>
        </w:rPr>
        <w:t>Smoking increases the risk of lung cancer, cardiovascular disease, chronic obstructive pulmonary disease</w:t>
      </w:r>
      <w:r w:rsidR="001C2D98">
        <w:rPr>
          <w:rFonts w:eastAsia="Times"/>
        </w:rPr>
        <w:t>,</w:t>
      </w:r>
      <w:r w:rsidRPr="7BF6DC86">
        <w:rPr>
          <w:rFonts w:eastAsia="Times"/>
        </w:rPr>
        <w:t xml:space="preserve"> and many other illnesses. </w:t>
      </w:r>
      <w:r w:rsidRPr="007C1FC0">
        <w:rPr>
          <w:rFonts w:eastAsia="Times"/>
        </w:rPr>
        <w:t>Smokers die on</w:t>
      </w:r>
      <w:r w:rsidRPr="2DCC874D">
        <w:rPr>
          <w:color w:val="2A2736"/>
          <w:sz w:val="24"/>
          <w:szCs w:val="24"/>
        </w:rPr>
        <w:t xml:space="preserve"> </w:t>
      </w:r>
      <w:r w:rsidRPr="007C1FC0">
        <w:rPr>
          <w:rFonts w:eastAsia="Times"/>
        </w:rPr>
        <w:t>average 10 years younger</w:t>
      </w:r>
      <w:r w:rsidRPr="2DCC874D">
        <w:rPr>
          <w:color w:val="2A2736"/>
          <w:sz w:val="24"/>
          <w:szCs w:val="24"/>
        </w:rPr>
        <w:t xml:space="preserve"> </w:t>
      </w:r>
      <w:r w:rsidRPr="007C1FC0">
        <w:rPr>
          <w:rFonts w:eastAsia="Times"/>
        </w:rPr>
        <w:t>than non-smokers and around two-thirds of smokers will die from a smoking-related illness in Australia</w:t>
      </w:r>
      <w:r>
        <w:rPr>
          <w:rFonts w:eastAsia="Times"/>
        </w:rPr>
        <w:t xml:space="preserve"> </w:t>
      </w:r>
      <w:r w:rsidRPr="7BF6DC86">
        <w:rPr>
          <w:rFonts w:eastAsia="Times"/>
        </w:rPr>
        <w:t xml:space="preserve">(Banks </w:t>
      </w:r>
      <w:r w:rsidRPr="009C7875">
        <w:rPr>
          <w:rFonts w:eastAsia="Times"/>
        </w:rPr>
        <w:t>et al</w:t>
      </w:r>
      <w:r w:rsidR="001C2D98">
        <w:rPr>
          <w:rFonts w:eastAsia="Times"/>
        </w:rPr>
        <w:t>,</w:t>
      </w:r>
      <w:r w:rsidRPr="7BF6DC86">
        <w:rPr>
          <w:rFonts w:eastAsia="Times"/>
        </w:rPr>
        <w:t xml:space="preserve"> 2015)</w:t>
      </w:r>
      <w:r w:rsidRPr="007C1FC0">
        <w:rPr>
          <w:rFonts w:eastAsia="Times"/>
        </w:rPr>
        <w:t xml:space="preserve">.  </w:t>
      </w:r>
    </w:p>
    <w:p w14:paraId="7C3ABF09" w14:textId="420F5217" w:rsidR="008403FD" w:rsidRPr="007C1FC0" w:rsidRDefault="008403FD" w:rsidP="008403FD">
      <w:pPr>
        <w:rPr>
          <w:rFonts w:eastAsia="Times"/>
        </w:rPr>
      </w:pPr>
      <w:r w:rsidRPr="007C1FC0">
        <w:rPr>
          <w:rFonts w:eastAsia="Times"/>
        </w:rPr>
        <w:t xml:space="preserve">In Victoria, smoking claims approximately 4,400 lives </w:t>
      </w:r>
      <w:r w:rsidR="001C2D98">
        <w:rPr>
          <w:rFonts w:eastAsia="Times"/>
        </w:rPr>
        <w:t>a</w:t>
      </w:r>
      <w:r w:rsidR="001C2D98" w:rsidRPr="007C1FC0">
        <w:rPr>
          <w:rFonts w:eastAsia="Times"/>
        </w:rPr>
        <w:t xml:space="preserve"> </w:t>
      </w:r>
      <w:r w:rsidRPr="007C1FC0">
        <w:rPr>
          <w:rFonts w:eastAsia="Times"/>
        </w:rPr>
        <w:t>year.</w:t>
      </w:r>
      <w:r>
        <w:rPr>
          <w:rFonts w:eastAsia="Times"/>
        </w:rPr>
        <w:t xml:space="preserve"> </w:t>
      </w:r>
      <w:r w:rsidRPr="007C1FC0">
        <w:rPr>
          <w:rFonts w:eastAsia="Times"/>
        </w:rPr>
        <w:t xml:space="preserve">These deaths are </w:t>
      </w:r>
      <w:r w:rsidR="001C2D98">
        <w:rPr>
          <w:rFonts w:eastAsia="Times"/>
        </w:rPr>
        <w:t xml:space="preserve">all </w:t>
      </w:r>
      <w:r w:rsidRPr="007C1FC0">
        <w:rPr>
          <w:rFonts w:eastAsia="Times"/>
        </w:rPr>
        <w:t>avoidable</w:t>
      </w:r>
      <w:r w:rsidR="001C2D98">
        <w:rPr>
          <w:rFonts w:eastAsia="Times"/>
        </w:rPr>
        <w:t>.</w:t>
      </w:r>
      <w:r w:rsidRPr="007C1FC0">
        <w:rPr>
          <w:rFonts w:eastAsia="Times"/>
        </w:rPr>
        <w:t xml:space="preserve"> </w:t>
      </w:r>
      <w:r>
        <w:rPr>
          <w:rFonts w:eastAsia="Times"/>
        </w:rPr>
        <w:t>(</w:t>
      </w:r>
      <w:r w:rsidRPr="007C1FC0">
        <w:rPr>
          <w:rFonts w:eastAsia="Times"/>
        </w:rPr>
        <w:t>Creating Preferred Futures</w:t>
      </w:r>
      <w:r w:rsidR="001C2D98">
        <w:rPr>
          <w:rFonts w:eastAsia="Times"/>
        </w:rPr>
        <w:t>,</w:t>
      </w:r>
      <w:r w:rsidRPr="007C1FC0">
        <w:rPr>
          <w:rFonts w:eastAsia="Times"/>
        </w:rPr>
        <w:t xml:space="preserve"> 2018).</w:t>
      </w:r>
    </w:p>
    <w:p w14:paraId="74BFA850" w14:textId="60CD0901" w:rsidR="008403FD" w:rsidRPr="007C1FC0" w:rsidRDefault="001C2D98" w:rsidP="008403FD">
      <w:pPr>
        <w:rPr>
          <w:rFonts w:eastAsia="Times"/>
        </w:rPr>
      </w:pPr>
      <w:r>
        <w:rPr>
          <w:rFonts w:eastAsia="Times"/>
        </w:rPr>
        <w:t xml:space="preserve">Besides </w:t>
      </w:r>
      <w:r w:rsidRPr="007C1FC0">
        <w:rPr>
          <w:rFonts w:eastAsia="Times"/>
        </w:rPr>
        <w:t>caus</w:t>
      </w:r>
      <w:r>
        <w:rPr>
          <w:rFonts w:eastAsia="Times"/>
        </w:rPr>
        <w:t>ing</w:t>
      </w:r>
      <w:r w:rsidRPr="007C1FC0">
        <w:rPr>
          <w:rFonts w:eastAsia="Times"/>
        </w:rPr>
        <w:t xml:space="preserve"> considerable distress for individuals, families and communities</w:t>
      </w:r>
      <w:r>
        <w:rPr>
          <w:rFonts w:eastAsia="Times"/>
        </w:rPr>
        <w:t xml:space="preserve">, smoking </w:t>
      </w:r>
      <w:r w:rsidR="008403FD" w:rsidRPr="007C1FC0">
        <w:rPr>
          <w:rFonts w:eastAsia="Times"/>
        </w:rPr>
        <w:t>costs the Victorian economy approximately $3.7 billion in tangible costs such as health care, and $5.8 billion in intangible costs associated with the loss of life every year (Creating Preferred Futures</w:t>
      </w:r>
      <w:r>
        <w:rPr>
          <w:rFonts w:eastAsia="Times"/>
        </w:rPr>
        <w:t>,</w:t>
      </w:r>
      <w:r w:rsidR="008403FD" w:rsidRPr="007C1FC0">
        <w:rPr>
          <w:rFonts w:eastAsia="Times"/>
        </w:rPr>
        <w:t xml:space="preserve"> 2018).</w:t>
      </w:r>
    </w:p>
    <w:p w14:paraId="77A90290" w14:textId="34DF6499" w:rsidR="008403FD" w:rsidRPr="007C1FC0" w:rsidRDefault="008403FD" w:rsidP="008403FD">
      <w:pPr>
        <w:rPr>
          <w:rFonts w:eastAsia="Times"/>
        </w:rPr>
      </w:pPr>
      <w:r w:rsidRPr="007C1FC0">
        <w:rPr>
          <w:rFonts w:eastAsia="Times"/>
        </w:rPr>
        <w:t>The health burden of tobacco use does not just affect people who smoke.</w:t>
      </w:r>
      <w:r w:rsidRPr="00682E63">
        <w:rPr>
          <w:rFonts w:eastAsia="Times" w:cs="Arial"/>
          <w:color w:val="202124"/>
          <w:shd w:val="clear" w:color="auto" w:fill="FFFFFF"/>
        </w:rPr>
        <w:t xml:space="preserve"> </w:t>
      </w:r>
      <w:r>
        <w:rPr>
          <w:rFonts w:cs="Arial"/>
          <w:color w:val="202124"/>
          <w:shd w:val="clear" w:color="auto" w:fill="FFFFFF"/>
        </w:rPr>
        <w:t xml:space="preserve">Inhaling </w:t>
      </w:r>
      <w:r w:rsidR="4C2C2967">
        <w:rPr>
          <w:rFonts w:eastAsia="Times" w:cs="Arial"/>
          <w:color w:val="202124"/>
          <w:shd w:val="clear" w:color="auto" w:fill="FFFFFF"/>
        </w:rPr>
        <w:t>second-hand</w:t>
      </w:r>
      <w:r>
        <w:rPr>
          <w:rFonts w:eastAsia="Times" w:cs="Arial"/>
          <w:color w:val="202124"/>
          <w:shd w:val="clear" w:color="auto" w:fill="FFFFFF"/>
        </w:rPr>
        <w:t xml:space="preserve"> smoke</w:t>
      </w:r>
      <w:r>
        <w:rPr>
          <w:rFonts w:cs="Arial"/>
          <w:color w:val="202124"/>
          <w:shd w:val="clear" w:color="auto" w:fill="FFFFFF"/>
        </w:rPr>
        <w:t xml:space="preserve"> or aerosol from a cigarette, cigar, pipe, hookah, or e-cigarette can </w:t>
      </w:r>
      <w:r w:rsidR="369A65E9">
        <w:rPr>
          <w:rFonts w:cs="Arial"/>
          <w:color w:val="202124"/>
          <w:shd w:val="clear" w:color="auto" w:fill="FFFFFF"/>
        </w:rPr>
        <w:t xml:space="preserve">also </w:t>
      </w:r>
      <w:r>
        <w:rPr>
          <w:rFonts w:cs="Arial"/>
          <w:color w:val="202124"/>
          <w:shd w:val="clear" w:color="auto" w:fill="FFFFFF"/>
        </w:rPr>
        <w:t>lead to adverse health impacts. The toxins from third-hand smoke can also remain in carpets, walls, furniture, clothing, hair</w:t>
      </w:r>
      <w:r w:rsidR="00B678FE">
        <w:rPr>
          <w:rFonts w:cs="Arial"/>
          <w:color w:val="202124"/>
          <w:shd w:val="clear" w:color="auto" w:fill="FFFFFF"/>
        </w:rPr>
        <w:t>,</w:t>
      </w:r>
      <w:r>
        <w:rPr>
          <w:rFonts w:cs="Arial"/>
          <w:color w:val="202124"/>
          <w:shd w:val="clear" w:color="auto" w:fill="FFFFFF"/>
        </w:rPr>
        <w:t xml:space="preserve"> and toys.</w:t>
      </w:r>
    </w:p>
    <w:p w14:paraId="29D4581B" w14:textId="2C5D7A94" w:rsidR="008403FD" w:rsidRPr="007C1FC0" w:rsidRDefault="008403FD" w:rsidP="008403FD">
      <w:pPr>
        <w:rPr>
          <w:rFonts w:eastAsia="Times"/>
        </w:rPr>
      </w:pPr>
      <w:r w:rsidRPr="007C1FC0">
        <w:rPr>
          <w:rFonts w:eastAsia="Times"/>
        </w:rPr>
        <w:t xml:space="preserve">Children who live in a smoking household are significantly more likely to suffer from bronchiolitis and other respiratory conditions (Jones </w:t>
      </w:r>
      <w:r w:rsidRPr="009C7875">
        <w:rPr>
          <w:rFonts w:eastAsia="Times"/>
        </w:rPr>
        <w:t>et al</w:t>
      </w:r>
      <w:r w:rsidR="00B678FE">
        <w:rPr>
          <w:rFonts w:eastAsia="Times"/>
        </w:rPr>
        <w:t>,</w:t>
      </w:r>
      <w:r w:rsidRPr="007C1FC0">
        <w:rPr>
          <w:rFonts w:eastAsia="Times"/>
        </w:rPr>
        <w:t xml:space="preserve"> 2011)</w:t>
      </w:r>
      <w:r w:rsidR="00B678FE">
        <w:rPr>
          <w:rFonts w:eastAsia="Times"/>
        </w:rPr>
        <w:t xml:space="preserve">. In addition, </w:t>
      </w:r>
      <w:r w:rsidRPr="007C1FC0">
        <w:rPr>
          <w:rFonts w:eastAsia="Times"/>
        </w:rPr>
        <w:t>infants are at greater risk of sudden infant death syndrome (SIDS).</w:t>
      </w:r>
    </w:p>
    <w:p w14:paraId="5244DF25" w14:textId="77777777" w:rsidR="008403FD" w:rsidRDefault="008403FD" w:rsidP="008403FD">
      <w:pPr>
        <w:pStyle w:val="Heading3"/>
      </w:pPr>
      <w:r w:rsidRPr="00681EAE">
        <w:t>Increase in e-cigarette use or vaping</w:t>
      </w:r>
    </w:p>
    <w:p w14:paraId="37317864" w14:textId="0B7645FA" w:rsidR="008403FD" w:rsidRPr="00DF5C4B" w:rsidRDefault="008403FD" w:rsidP="008403FD">
      <w:pPr>
        <w:rPr>
          <w:rFonts w:eastAsia="Times"/>
        </w:rPr>
      </w:pPr>
      <w:r w:rsidRPr="7BF6DC86">
        <w:rPr>
          <w:rFonts w:eastAsia="Times"/>
        </w:rPr>
        <w:t>In 2019, there was an increasing prevalence in e-cigarette use, or vaping</w:t>
      </w:r>
      <w:r w:rsidR="001F3ADD">
        <w:rPr>
          <w:rFonts w:eastAsia="Times"/>
        </w:rPr>
        <w:t xml:space="preserve">. That increased prevalence of vaping </w:t>
      </w:r>
      <w:r w:rsidRPr="7BF6DC86">
        <w:rPr>
          <w:rFonts w:eastAsia="Times"/>
        </w:rPr>
        <w:t>includ</w:t>
      </w:r>
      <w:r w:rsidR="001F3ADD">
        <w:rPr>
          <w:rFonts w:eastAsia="Times"/>
        </w:rPr>
        <w:t>ed</w:t>
      </w:r>
      <w:r w:rsidRPr="7BF6DC86">
        <w:rPr>
          <w:rFonts w:eastAsia="Times"/>
        </w:rPr>
        <w:t xml:space="preserve"> young people and </w:t>
      </w:r>
      <w:r w:rsidR="00C50744">
        <w:rPr>
          <w:rFonts w:eastAsia="Times"/>
        </w:rPr>
        <w:t xml:space="preserve">people who </w:t>
      </w:r>
      <w:r w:rsidR="001F3ADD">
        <w:rPr>
          <w:rFonts w:eastAsia="Times"/>
        </w:rPr>
        <w:t xml:space="preserve">had </w:t>
      </w:r>
      <w:r w:rsidR="00C50744">
        <w:rPr>
          <w:rFonts w:eastAsia="Times"/>
        </w:rPr>
        <w:t>never smoked</w:t>
      </w:r>
      <w:r w:rsidRPr="7BF6DC86">
        <w:rPr>
          <w:rFonts w:eastAsia="Times"/>
        </w:rPr>
        <w:t xml:space="preserve">. </w:t>
      </w:r>
      <w:r w:rsidRPr="007342B8">
        <w:rPr>
          <w:rFonts w:eastAsia="Times"/>
        </w:rPr>
        <w:t xml:space="preserve">The proportion of </w:t>
      </w:r>
      <w:r w:rsidRPr="007342B8">
        <w:rPr>
          <w:rFonts w:eastAsia="Times"/>
        </w:rPr>
        <w:lastRenderedPageBreak/>
        <w:t>Victorians using e-cigarettes rose from 0.9</w:t>
      </w:r>
      <w:r w:rsidR="003227E3" w:rsidRPr="007342B8">
        <w:rPr>
          <w:rStyle w:val="BodyChar"/>
        </w:rPr>
        <w:t xml:space="preserve"> per cent</w:t>
      </w:r>
      <w:r w:rsidRPr="007342B8">
        <w:rPr>
          <w:rFonts w:eastAsia="Times"/>
        </w:rPr>
        <w:t xml:space="preserve"> in 2016 to 2.4</w:t>
      </w:r>
      <w:r w:rsidR="003227E3" w:rsidRPr="007342B8">
        <w:rPr>
          <w:rStyle w:val="BodyChar"/>
        </w:rPr>
        <w:t xml:space="preserve"> per cent</w:t>
      </w:r>
      <w:r w:rsidRPr="007342B8">
        <w:rPr>
          <w:rFonts w:eastAsia="Times"/>
        </w:rPr>
        <w:t xml:space="preserve"> in 2019. Lifetime use of e-cigarettes for people aged 18</w:t>
      </w:r>
      <w:r w:rsidR="00E808C3">
        <w:rPr>
          <w:rFonts w:eastAsia="Times"/>
        </w:rPr>
        <w:t xml:space="preserve"> to </w:t>
      </w:r>
      <w:r w:rsidRPr="007342B8">
        <w:rPr>
          <w:rFonts w:eastAsia="Times"/>
        </w:rPr>
        <w:t>24 rose from 19.2 per</w:t>
      </w:r>
      <w:r w:rsidR="001F3ADD" w:rsidRPr="007342B8">
        <w:rPr>
          <w:rFonts w:eastAsia="Times"/>
        </w:rPr>
        <w:t xml:space="preserve"> </w:t>
      </w:r>
      <w:r w:rsidRPr="007342B8">
        <w:rPr>
          <w:rFonts w:eastAsia="Times"/>
        </w:rPr>
        <w:t>cent to 26 per</w:t>
      </w:r>
      <w:r w:rsidR="001F3ADD" w:rsidRPr="007342B8">
        <w:rPr>
          <w:rFonts w:eastAsia="Times"/>
        </w:rPr>
        <w:t xml:space="preserve"> </w:t>
      </w:r>
      <w:r w:rsidRPr="007342B8">
        <w:rPr>
          <w:rFonts w:eastAsia="Times"/>
        </w:rPr>
        <w:t>cent, and for 25</w:t>
      </w:r>
      <w:r w:rsidR="00E808C3">
        <w:rPr>
          <w:rFonts w:eastAsia="Times"/>
        </w:rPr>
        <w:t xml:space="preserve"> to </w:t>
      </w:r>
      <w:r w:rsidRPr="007342B8">
        <w:rPr>
          <w:rFonts w:eastAsia="Times"/>
        </w:rPr>
        <w:t>29 year olds</w:t>
      </w:r>
      <w:r w:rsidR="001F3ADD" w:rsidRPr="007342B8">
        <w:rPr>
          <w:rFonts w:eastAsia="Times"/>
        </w:rPr>
        <w:t xml:space="preserve"> rose</w:t>
      </w:r>
      <w:r w:rsidRPr="007342B8">
        <w:rPr>
          <w:rFonts w:eastAsia="Times"/>
        </w:rPr>
        <w:t xml:space="preserve"> from 14.8 per</w:t>
      </w:r>
      <w:r w:rsidR="001F3ADD" w:rsidRPr="007342B8">
        <w:rPr>
          <w:rFonts w:eastAsia="Times"/>
        </w:rPr>
        <w:t xml:space="preserve"> </w:t>
      </w:r>
      <w:r w:rsidRPr="007342B8">
        <w:rPr>
          <w:rFonts w:eastAsia="Times"/>
        </w:rPr>
        <w:t>cent to 20 per</w:t>
      </w:r>
      <w:r w:rsidR="001F3ADD" w:rsidRPr="007342B8">
        <w:rPr>
          <w:rFonts w:eastAsia="Times"/>
        </w:rPr>
        <w:t xml:space="preserve"> </w:t>
      </w:r>
      <w:r w:rsidRPr="007342B8">
        <w:rPr>
          <w:rFonts w:eastAsia="Times"/>
        </w:rPr>
        <w:t>cent (National Household Drug Survey</w:t>
      </w:r>
      <w:r w:rsidR="001F3ADD" w:rsidRPr="007342B8">
        <w:rPr>
          <w:rFonts w:eastAsia="Times"/>
        </w:rPr>
        <w:t>,</w:t>
      </w:r>
      <w:r w:rsidRPr="007342B8">
        <w:rPr>
          <w:rFonts w:eastAsia="Times"/>
        </w:rPr>
        <w:t xml:space="preserve"> 2019).</w:t>
      </w:r>
    </w:p>
    <w:p w14:paraId="7FE46805" w14:textId="1EC7911C" w:rsidR="008403FD" w:rsidRPr="00DF5C4B" w:rsidRDefault="001F3ADD" w:rsidP="008403FD">
      <w:pPr>
        <w:rPr>
          <w:rFonts w:eastAsia="Times"/>
        </w:rPr>
      </w:pPr>
      <w:r>
        <w:rPr>
          <w:rFonts w:eastAsia="Times"/>
        </w:rPr>
        <w:t>E-cigarettes are</w:t>
      </w:r>
      <w:r w:rsidR="008403FD" w:rsidRPr="3D3148C7">
        <w:rPr>
          <w:rFonts w:eastAsia="Times"/>
        </w:rPr>
        <w:t xml:space="preserve"> promoted by advocates as a tool for smoking cessation and harm minimisation due to the perception that vaping is less harmful than smoking. However, many smokers who use e-cigarettes continue to smoke</w:t>
      </w:r>
      <w:r>
        <w:rPr>
          <w:rFonts w:eastAsia="Times"/>
        </w:rPr>
        <w:t xml:space="preserve">, </w:t>
      </w:r>
      <w:r w:rsidR="008403FD" w:rsidRPr="3D3148C7">
        <w:rPr>
          <w:rFonts w:eastAsia="Times"/>
        </w:rPr>
        <w:t>which does not lead to meaningful reductions in health risks and may be more harmful than smoking in isolation. The evidence that e-cigarettes are effective in assisting with smoking cessation is inconclusive.</w:t>
      </w:r>
    </w:p>
    <w:p w14:paraId="787783E5" w14:textId="25E58E3B" w:rsidR="008403FD" w:rsidRPr="00DF5C4B" w:rsidRDefault="008403FD" w:rsidP="008403FD">
      <w:pPr>
        <w:rPr>
          <w:rFonts w:eastAsia="Times"/>
        </w:rPr>
      </w:pPr>
      <w:r w:rsidRPr="00DF5C4B">
        <w:rPr>
          <w:rFonts w:eastAsia="Times"/>
        </w:rPr>
        <w:t>The growing use of e-cigarettes is of significant concern</w:t>
      </w:r>
      <w:r w:rsidR="001F3ADD">
        <w:rPr>
          <w:rFonts w:eastAsia="Times"/>
        </w:rPr>
        <w:t>. It is a concern because</w:t>
      </w:r>
      <w:r w:rsidRPr="00DF5C4B">
        <w:rPr>
          <w:rFonts w:eastAsia="Times"/>
        </w:rPr>
        <w:t xml:space="preserve"> there is increasing evidence that the use of e-cigarettes, with or without nicotine, can lead to adverse health </w:t>
      </w:r>
      <w:r w:rsidR="00961B9A">
        <w:rPr>
          <w:rFonts w:eastAsia="Times"/>
        </w:rPr>
        <w:t>and wellbeing</w:t>
      </w:r>
      <w:r w:rsidRPr="00DF5C4B">
        <w:rPr>
          <w:rFonts w:eastAsia="Times"/>
        </w:rPr>
        <w:t xml:space="preserve"> impacts</w:t>
      </w:r>
      <w:r w:rsidR="00B821DA">
        <w:rPr>
          <w:rFonts w:eastAsia="Times"/>
        </w:rPr>
        <w:t>. Th</w:t>
      </w:r>
      <w:r w:rsidR="001F3ADD">
        <w:rPr>
          <w:rFonts w:eastAsia="Times"/>
        </w:rPr>
        <w:t>ose health and wellbeing impacts</w:t>
      </w:r>
      <w:r w:rsidR="00961B9A">
        <w:rPr>
          <w:rFonts w:eastAsia="Times"/>
        </w:rPr>
        <w:t xml:space="preserve"> includ</w:t>
      </w:r>
      <w:r w:rsidR="00B821DA">
        <w:rPr>
          <w:rFonts w:eastAsia="Times"/>
        </w:rPr>
        <w:t>e</w:t>
      </w:r>
      <w:r w:rsidR="00961B9A">
        <w:rPr>
          <w:rFonts w:eastAsia="Times"/>
        </w:rPr>
        <w:t xml:space="preserve"> </w:t>
      </w:r>
      <w:r w:rsidR="00B92622">
        <w:rPr>
          <w:rFonts w:eastAsia="Times"/>
        </w:rPr>
        <w:t xml:space="preserve">nicotine </w:t>
      </w:r>
      <w:r w:rsidR="00961B9A">
        <w:rPr>
          <w:rFonts w:eastAsia="Times"/>
        </w:rPr>
        <w:t xml:space="preserve">dependence, </w:t>
      </w:r>
      <w:r w:rsidR="00961B9A" w:rsidRPr="00961B9A">
        <w:rPr>
          <w:rFonts w:eastAsia="Times"/>
        </w:rPr>
        <w:t>poisoning</w:t>
      </w:r>
      <w:r w:rsidR="00961B9A">
        <w:rPr>
          <w:rFonts w:eastAsia="Times"/>
        </w:rPr>
        <w:t xml:space="preserve">, seizures (caused by </w:t>
      </w:r>
      <w:r w:rsidR="00961B9A" w:rsidRPr="00961B9A">
        <w:rPr>
          <w:rFonts w:eastAsia="Times"/>
        </w:rPr>
        <w:t>acute nicotine toxicit</w:t>
      </w:r>
      <w:r w:rsidR="00961B9A">
        <w:rPr>
          <w:rFonts w:eastAsia="Times"/>
        </w:rPr>
        <w:t xml:space="preserve">y), </w:t>
      </w:r>
      <w:r w:rsidR="00961B9A" w:rsidRPr="00961B9A">
        <w:rPr>
          <w:rFonts w:eastAsia="Times"/>
        </w:rPr>
        <w:t>burns and injuries</w:t>
      </w:r>
      <w:r w:rsidR="00961B9A">
        <w:rPr>
          <w:rFonts w:eastAsia="Times"/>
        </w:rPr>
        <w:t>,</w:t>
      </w:r>
      <w:r w:rsidR="00961B9A" w:rsidRPr="00961B9A">
        <w:rPr>
          <w:rFonts w:eastAsia="Times"/>
        </w:rPr>
        <w:t xml:space="preserve"> lung injury</w:t>
      </w:r>
      <w:r w:rsidR="001F3ADD">
        <w:rPr>
          <w:rFonts w:eastAsia="Times"/>
        </w:rPr>
        <w:t>,</w:t>
      </w:r>
      <w:r w:rsidR="00961B9A">
        <w:rPr>
          <w:rFonts w:eastAsia="Times"/>
        </w:rPr>
        <w:t xml:space="preserve"> a</w:t>
      </w:r>
      <w:r w:rsidR="00961B9A" w:rsidRPr="00961B9A">
        <w:rPr>
          <w:rFonts w:eastAsia="Times"/>
        </w:rPr>
        <w:t xml:space="preserve">nd </w:t>
      </w:r>
      <w:r w:rsidR="001F3ADD">
        <w:rPr>
          <w:rFonts w:eastAsia="Times"/>
        </w:rPr>
        <w:t xml:space="preserve">an </w:t>
      </w:r>
      <w:r w:rsidR="00961B9A" w:rsidRPr="00961B9A">
        <w:rPr>
          <w:rFonts w:eastAsia="Times"/>
        </w:rPr>
        <w:t>increased smoking uptake in no</w:t>
      </w:r>
      <w:r w:rsidR="00961B9A">
        <w:rPr>
          <w:rFonts w:eastAsia="Times"/>
        </w:rPr>
        <w:t>n-</w:t>
      </w:r>
      <w:r w:rsidR="00961B9A" w:rsidRPr="00961B9A">
        <w:rPr>
          <w:rFonts w:eastAsia="Times"/>
        </w:rPr>
        <w:t>smokers</w:t>
      </w:r>
      <w:r w:rsidR="00961B9A">
        <w:rPr>
          <w:rFonts w:eastAsia="Times"/>
        </w:rPr>
        <w:t xml:space="preserve"> (Banks, 2022)</w:t>
      </w:r>
      <w:r w:rsidR="00961B9A" w:rsidRPr="00961B9A">
        <w:rPr>
          <w:rFonts w:eastAsia="Times"/>
        </w:rPr>
        <w:t>.</w:t>
      </w:r>
      <w:r w:rsidR="00961B9A" w:rsidRPr="00DF5C4B">
        <w:rPr>
          <w:rFonts w:eastAsia="Times"/>
        </w:rPr>
        <w:t xml:space="preserve"> The</w:t>
      </w:r>
      <w:r w:rsidRPr="00DF5C4B">
        <w:rPr>
          <w:rFonts w:eastAsia="Times"/>
        </w:rPr>
        <w:t xml:space="preserve"> long-term effects </w:t>
      </w:r>
      <w:r w:rsidR="001F3ADD">
        <w:rPr>
          <w:rFonts w:eastAsia="Times"/>
        </w:rPr>
        <w:t xml:space="preserve">of vaping </w:t>
      </w:r>
      <w:r w:rsidRPr="00DF5C4B">
        <w:rPr>
          <w:rFonts w:eastAsia="Times"/>
        </w:rPr>
        <w:t xml:space="preserve">will not be known for many years. </w:t>
      </w:r>
    </w:p>
    <w:p w14:paraId="7F39DB91" w14:textId="4C8D8474" w:rsidR="00FB76AD" w:rsidRDefault="008403FD" w:rsidP="008403FD">
      <w:pPr>
        <w:rPr>
          <w:rFonts w:eastAsia="Times"/>
        </w:rPr>
      </w:pPr>
      <w:r w:rsidRPr="00DF5C4B">
        <w:rPr>
          <w:rFonts w:eastAsia="Times"/>
        </w:rPr>
        <w:t xml:space="preserve">While the </w:t>
      </w:r>
      <w:r w:rsidRPr="35154438">
        <w:rPr>
          <w:rFonts w:eastAsia="Times"/>
        </w:rPr>
        <w:t>aerosol</w:t>
      </w:r>
      <w:r w:rsidR="7CAD8C6C" w:rsidRPr="35154438">
        <w:rPr>
          <w:rFonts w:eastAsia="Times"/>
        </w:rPr>
        <w:t>s</w:t>
      </w:r>
      <w:r w:rsidRPr="00DF5C4B">
        <w:rPr>
          <w:rFonts w:eastAsia="Times"/>
        </w:rPr>
        <w:t xml:space="preserve"> emitted from e-cigarettes </w:t>
      </w:r>
      <w:r w:rsidR="001F3ADD">
        <w:rPr>
          <w:rFonts w:eastAsia="Times"/>
        </w:rPr>
        <w:t xml:space="preserve">do not </w:t>
      </w:r>
      <w:r w:rsidRPr="00DF5C4B">
        <w:rPr>
          <w:rFonts w:eastAsia="Times"/>
        </w:rPr>
        <w:t xml:space="preserve">contain tar </w:t>
      </w:r>
      <w:r w:rsidR="001F3ADD">
        <w:rPr>
          <w:rFonts w:eastAsia="Times"/>
        </w:rPr>
        <w:t xml:space="preserve">or </w:t>
      </w:r>
      <w:r w:rsidRPr="00DF5C4B">
        <w:rPr>
          <w:rFonts w:eastAsia="Times"/>
        </w:rPr>
        <w:t xml:space="preserve">some of the chemicals found in ignited tobacco smoke, </w:t>
      </w:r>
      <w:r w:rsidR="001F3ADD">
        <w:rPr>
          <w:rFonts w:eastAsia="Times"/>
        </w:rPr>
        <w:t xml:space="preserve">they do </w:t>
      </w:r>
      <w:r w:rsidR="00750DD9">
        <w:rPr>
          <w:rFonts w:eastAsia="Times"/>
        </w:rPr>
        <w:t xml:space="preserve">contain </w:t>
      </w:r>
      <w:r w:rsidRPr="00DF5C4B">
        <w:rPr>
          <w:rFonts w:eastAsia="Times"/>
        </w:rPr>
        <w:t>numerous potentially hazardous substances</w:t>
      </w:r>
      <w:r w:rsidR="00750DD9">
        <w:rPr>
          <w:rFonts w:eastAsia="Times"/>
        </w:rPr>
        <w:t>. P</w:t>
      </w:r>
      <w:r w:rsidRPr="00DF5C4B">
        <w:rPr>
          <w:rFonts w:eastAsia="Times"/>
        </w:rPr>
        <w:t xml:space="preserve">articulate matter </w:t>
      </w:r>
      <w:r w:rsidR="00750DD9">
        <w:rPr>
          <w:rFonts w:eastAsia="Times"/>
        </w:rPr>
        <w:t xml:space="preserve">has also </w:t>
      </w:r>
      <w:r w:rsidRPr="00DF5C4B">
        <w:rPr>
          <w:rFonts w:eastAsia="Times"/>
        </w:rPr>
        <w:t xml:space="preserve">been identified in </w:t>
      </w:r>
      <w:r w:rsidR="00750DD9">
        <w:rPr>
          <w:rFonts w:eastAsia="Times"/>
        </w:rPr>
        <w:t xml:space="preserve">e-cigarette </w:t>
      </w:r>
      <w:r w:rsidRPr="00DF5C4B">
        <w:rPr>
          <w:rFonts w:eastAsia="Times"/>
        </w:rPr>
        <w:t xml:space="preserve">emissions.  </w:t>
      </w:r>
    </w:p>
    <w:p w14:paraId="1C0BE09B" w14:textId="74ABB8B3" w:rsidR="008403FD" w:rsidRPr="00DF5C4B" w:rsidRDefault="00750DD9" w:rsidP="008403FD">
      <w:pPr>
        <w:rPr>
          <w:rFonts w:eastAsia="Times"/>
        </w:rPr>
      </w:pPr>
      <w:r>
        <w:t>In 2019, a</w:t>
      </w:r>
      <w:r w:rsidR="0007685D">
        <w:t xml:space="preserve"> chemical assessment of </w:t>
      </w:r>
      <w:r w:rsidR="00961B9A">
        <w:t>non-nicotine</w:t>
      </w:r>
      <w:r w:rsidR="00616FAE">
        <w:t xml:space="preserve"> e-liquids</w:t>
      </w:r>
      <w:r w:rsidR="004718E5">
        <w:t xml:space="preserve"> and</w:t>
      </w:r>
      <w:r w:rsidR="00961B9A">
        <w:t xml:space="preserve"> e-cigarette emissions</w:t>
      </w:r>
      <w:r w:rsidR="00FC786D">
        <w:t xml:space="preserve"> conducted</w:t>
      </w:r>
      <w:r w:rsidR="0074007B">
        <w:t xml:space="preserve"> by the National Industrial Chemicals Notification and Assessment Scheme (NICNAS</w:t>
      </w:r>
      <w:r w:rsidR="007E0E30">
        <w:t xml:space="preserve">) </w:t>
      </w:r>
      <w:r w:rsidR="00961B9A">
        <w:t xml:space="preserve">identified 243 unique chemicals. </w:t>
      </w:r>
      <w:r w:rsidR="00E04D43">
        <w:t>Th</w:t>
      </w:r>
      <w:r>
        <w:t xml:space="preserve">e chemicals </w:t>
      </w:r>
      <w:r w:rsidR="00E04D43">
        <w:t xml:space="preserve">included </w:t>
      </w:r>
      <w:r w:rsidR="00961B9A">
        <w:t>carbonyls such as acetaldehyde, acetone, acrolein and formaldehyde, which have been associated with adverse health outcomes in humans (</w:t>
      </w:r>
      <w:r w:rsidR="00961B9A">
        <w:rPr>
          <w:rFonts w:eastAsia="Times"/>
        </w:rPr>
        <w:t>Banks</w:t>
      </w:r>
      <w:r w:rsidR="00834EAE">
        <w:rPr>
          <w:rFonts w:eastAsia="Times"/>
        </w:rPr>
        <w:t xml:space="preserve"> </w:t>
      </w:r>
      <w:r w:rsidR="00834EAE" w:rsidRPr="009C7875">
        <w:rPr>
          <w:rFonts w:eastAsia="Times"/>
        </w:rPr>
        <w:t>et al</w:t>
      </w:r>
      <w:r w:rsidR="00961B9A">
        <w:rPr>
          <w:rFonts w:eastAsia="Times"/>
        </w:rPr>
        <w:t>, 2022)</w:t>
      </w:r>
      <w:r w:rsidR="00961B9A">
        <w:t xml:space="preserve">. </w:t>
      </w:r>
    </w:p>
    <w:p w14:paraId="0EB449E4" w14:textId="7AD9A336" w:rsidR="008403FD" w:rsidRPr="00DF5C4B" w:rsidRDefault="008403FD" w:rsidP="008403FD">
      <w:pPr>
        <w:rPr>
          <w:rFonts w:eastAsia="Times"/>
        </w:rPr>
      </w:pPr>
      <w:r w:rsidRPr="3D3148C7">
        <w:rPr>
          <w:rFonts w:eastAsia="Times"/>
        </w:rPr>
        <w:t xml:space="preserve">E-cigarettes are sold in fruity and confectionary flavours known to appeal to young people. As many of these products contain nicotine, vaping could lead to nicotine addiction for a new generation of people. </w:t>
      </w:r>
      <w:r w:rsidR="00750DD9">
        <w:rPr>
          <w:rFonts w:eastAsia="Times"/>
        </w:rPr>
        <w:t>Vaping</w:t>
      </w:r>
      <w:r w:rsidRPr="3D3148C7">
        <w:rPr>
          <w:rFonts w:eastAsia="Times"/>
        </w:rPr>
        <w:t xml:space="preserve"> also renormalises behaviours that resemble smoking and undermines the considerable progress made to date to reduce smoking rates in the community.</w:t>
      </w:r>
    </w:p>
    <w:p w14:paraId="3583706B" w14:textId="35DA3C46" w:rsidR="008403FD" w:rsidRDefault="00750DD9" w:rsidP="008403FD">
      <w:pPr>
        <w:rPr>
          <w:rFonts w:eastAsia="Times"/>
        </w:rPr>
      </w:pPr>
      <w:r>
        <w:rPr>
          <w:rFonts w:eastAsia="Times"/>
        </w:rPr>
        <w:t>I</w:t>
      </w:r>
      <w:r w:rsidR="008403FD" w:rsidRPr="7BF6DC86">
        <w:rPr>
          <w:rFonts w:eastAsia="Times"/>
        </w:rPr>
        <w:t xml:space="preserve">n 2018, a Victorian child died after ingesting nicotine intended for use in an </w:t>
      </w:r>
      <w:r w:rsidR="008403FD" w:rsidRPr="00851DB7">
        <w:rPr>
          <w:rFonts w:eastAsia="Times"/>
        </w:rPr>
        <w:t>e</w:t>
      </w:r>
      <w:r w:rsidR="008403FD" w:rsidRPr="00851DB7">
        <w:rPr>
          <w:rFonts w:eastAsia="Times"/>
        </w:rPr>
        <w:noBreakHyphen/>
        <w:t>cigarette.</w:t>
      </w:r>
      <w:r w:rsidR="008403FD" w:rsidRPr="7BF6DC86">
        <w:rPr>
          <w:rFonts w:eastAsia="Times"/>
        </w:rPr>
        <w:t xml:space="preserve"> This </w:t>
      </w:r>
      <w:r>
        <w:rPr>
          <w:rFonts w:eastAsia="Times"/>
        </w:rPr>
        <w:t xml:space="preserve">tragedy </w:t>
      </w:r>
      <w:r w:rsidR="008403FD" w:rsidRPr="7BF6DC86">
        <w:rPr>
          <w:rFonts w:eastAsia="Times"/>
        </w:rPr>
        <w:t xml:space="preserve">led to a recommendation </w:t>
      </w:r>
      <w:r>
        <w:rPr>
          <w:rFonts w:eastAsia="Times"/>
        </w:rPr>
        <w:t xml:space="preserve">– </w:t>
      </w:r>
      <w:r w:rsidR="008403FD" w:rsidRPr="7BF6DC86">
        <w:rPr>
          <w:rFonts w:eastAsia="Times"/>
        </w:rPr>
        <w:t>in the Consultative Council on Obstetric and Paediatric Mortality and Morbidity</w:t>
      </w:r>
      <w:r>
        <w:rPr>
          <w:rFonts w:eastAsia="Times"/>
        </w:rPr>
        <w:t>’s</w:t>
      </w:r>
      <w:r w:rsidR="008403FD" w:rsidRPr="7BF6DC86">
        <w:rPr>
          <w:rFonts w:eastAsia="Times"/>
        </w:rPr>
        <w:t xml:space="preserve"> </w:t>
      </w:r>
      <w:r w:rsidR="008403FD" w:rsidRPr="002B70CA">
        <w:rPr>
          <w:rFonts w:eastAsia="Times"/>
          <w:i/>
          <w:iCs/>
        </w:rPr>
        <w:t>Victoria's mothers, babies and children report 2018</w:t>
      </w:r>
      <w:r>
        <w:rPr>
          <w:rFonts w:eastAsia="Times"/>
        </w:rPr>
        <w:t xml:space="preserve"> –</w:t>
      </w:r>
      <w:r w:rsidR="008403FD" w:rsidRPr="7BF6DC86">
        <w:rPr>
          <w:rFonts w:eastAsia="Times"/>
        </w:rPr>
        <w:t xml:space="preserve"> to strengthen the regulation and education on e-cigarettes and liquid nicotine.</w:t>
      </w:r>
    </w:p>
    <w:p w14:paraId="0E7C8261" w14:textId="210C2E8A" w:rsidR="008403FD" w:rsidRDefault="008403FD" w:rsidP="008403FD">
      <w:pPr>
        <w:rPr>
          <w:rFonts w:eastAsia="Times"/>
        </w:rPr>
      </w:pPr>
      <w:r w:rsidRPr="3D3148C7">
        <w:rPr>
          <w:rFonts w:eastAsia="Times"/>
        </w:rPr>
        <w:t xml:space="preserve">In late 2019, an outbreak of e-cigarette related lung illness in the United States resulted in 2,807 known lung injury cases requiring hospitalisation and 68 confirmed deaths. </w:t>
      </w:r>
      <w:r w:rsidR="00750DD9">
        <w:rPr>
          <w:rFonts w:eastAsia="Times"/>
        </w:rPr>
        <w:t>T</w:t>
      </w:r>
      <w:r w:rsidRPr="3D3148C7">
        <w:rPr>
          <w:rFonts w:eastAsia="Times"/>
        </w:rPr>
        <w:t>his outbreak was primarily linked to Vitamin E acetate</w:t>
      </w:r>
      <w:r w:rsidR="00750DD9">
        <w:rPr>
          <w:rFonts w:eastAsia="Times"/>
        </w:rPr>
        <w:t>, which is</w:t>
      </w:r>
      <w:r w:rsidRPr="3D3148C7">
        <w:rPr>
          <w:rFonts w:eastAsia="Times"/>
        </w:rPr>
        <w:t xml:space="preserve"> used in e-cigarette products containing Tetrahydrocannabinol (THC), the principal psychoactive constituent of cannabis</w:t>
      </w:r>
      <w:r w:rsidR="00750DD9">
        <w:rPr>
          <w:rFonts w:eastAsia="Times"/>
        </w:rPr>
        <w:t>. T</w:t>
      </w:r>
      <w:r w:rsidRPr="3D3148C7">
        <w:rPr>
          <w:rFonts w:eastAsia="Times"/>
        </w:rPr>
        <w:t>he</w:t>
      </w:r>
      <w:r w:rsidR="006E4706">
        <w:rPr>
          <w:rFonts w:eastAsia="Times"/>
        </w:rPr>
        <w:t xml:space="preserve"> </w:t>
      </w:r>
      <w:r w:rsidR="00750DD9">
        <w:rPr>
          <w:rFonts w:eastAsia="Times"/>
        </w:rPr>
        <w:t xml:space="preserve">US </w:t>
      </w:r>
      <w:r w:rsidR="006E4706">
        <w:rPr>
          <w:rFonts w:eastAsia="Times"/>
        </w:rPr>
        <w:t xml:space="preserve">incident </w:t>
      </w:r>
      <w:r w:rsidRPr="3D3148C7">
        <w:rPr>
          <w:rFonts w:eastAsia="Times"/>
        </w:rPr>
        <w:t xml:space="preserve">highlighted the uncertainty around the ingredients in e-cigarette products and the lack of knowledge of the impacts of inhaling the aerosol </w:t>
      </w:r>
      <w:r w:rsidR="00750DD9">
        <w:rPr>
          <w:rFonts w:eastAsia="Times"/>
        </w:rPr>
        <w:t xml:space="preserve">created by </w:t>
      </w:r>
      <w:r w:rsidRPr="3D3148C7">
        <w:rPr>
          <w:rFonts w:eastAsia="Times"/>
        </w:rPr>
        <w:t>heating these substances.</w:t>
      </w:r>
    </w:p>
    <w:p w14:paraId="59A27DFB" w14:textId="32385368" w:rsidR="008403FD" w:rsidRDefault="008403FD" w:rsidP="008403FD">
      <w:pPr>
        <w:rPr>
          <w:rFonts w:eastAsia="Times"/>
          <w:szCs w:val="21"/>
        </w:rPr>
      </w:pPr>
      <w:r w:rsidRPr="3D3148C7">
        <w:rPr>
          <w:rFonts w:eastAsia="Times"/>
          <w:szCs w:val="21"/>
        </w:rPr>
        <w:t xml:space="preserve">Victoria continues to take a precautionary approach </w:t>
      </w:r>
      <w:r w:rsidR="00750DD9">
        <w:rPr>
          <w:rFonts w:eastAsia="Times"/>
          <w:szCs w:val="21"/>
        </w:rPr>
        <w:t>on</w:t>
      </w:r>
      <w:r w:rsidR="00750DD9" w:rsidRPr="3D3148C7">
        <w:rPr>
          <w:rFonts w:eastAsia="Times"/>
          <w:szCs w:val="21"/>
        </w:rPr>
        <w:t xml:space="preserve"> </w:t>
      </w:r>
      <w:r w:rsidRPr="3D3148C7">
        <w:rPr>
          <w:rFonts w:eastAsia="Times"/>
          <w:szCs w:val="21"/>
        </w:rPr>
        <w:t>the use of e-cigarette products. No e-cigarette products have been approved by the Therapeutic Goods Administration as safe and effective for smoking cessation</w:t>
      </w:r>
      <w:r w:rsidR="00750DD9">
        <w:rPr>
          <w:rFonts w:eastAsia="Times"/>
          <w:szCs w:val="21"/>
        </w:rPr>
        <w:t xml:space="preserve">. </w:t>
      </w:r>
    </w:p>
    <w:p w14:paraId="49C7EF9C" w14:textId="6C4E998D" w:rsidR="008403FD" w:rsidRDefault="008403FD" w:rsidP="006A215E">
      <w:pPr>
        <w:pStyle w:val="Heading3"/>
        <w:rPr>
          <w:szCs w:val="30"/>
        </w:rPr>
      </w:pPr>
      <w:r w:rsidRPr="7BF6DC86">
        <w:t>At-risk cohorts</w:t>
      </w:r>
    </w:p>
    <w:p w14:paraId="163FFCF4" w14:textId="2681AAAE" w:rsidR="008403FD" w:rsidRDefault="00750DD9" w:rsidP="00B43A59">
      <w:pPr>
        <w:pStyle w:val="Body"/>
      </w:pPr>
      <w:r>
        <w:t>Although overall</w:t>
      </w:r>
      <w:r w:rsidRPr="3D3148C7">
        <w:t xml:space="preserve"> </w:t>
      </w:r>
      <w:r w:rsidR="008403FD" w:rsidRPr="3D3148C7">
        <w:t xml:space="preserve">smoking rates have declined, the prevalence of smoking continues to be high in certain population groups </w:t>
      </w:r>
      <w:r>
        <w:t xml:space="preserve">– </w:t>
      </w:r>
      <w:r w:rsidR="008403FD" w:rsidRPr="3D3148C7">
        <w:t>including Aboriginal communities</w:t>
      </w:r>
      <w:r>
        <w:t>;</w:t>
      </w:r>
      <w:r w:rsidR="008403FD" w:rsidRPr="3D3148C7">
        <w:t xml:space="preserve"> people who identify as </w:t>
      </w:r>
      <w:r w:rsidR="00DE49A2" w:rsidRPr="00C3508C">
        <w:t>LGBT</w:t>
      </w:r>
      <w:r w:rsidR="00DE49A2">
        <w:t>IQ</w:t>
      </w:r>
      <w:r w:rsidR="00DE49A2" w:rsidRPr="00C3508C">
        <w:t>+</w:t>
      </w:r>
      <w:r>
        <w:t>;</w:t>
      </w:r>
      <w:r w:rsidR="00DE49A2" w:rsidRPr="00C3508C">
        <w:t xml:space="preserve"> </w:t>
      </w:r>
      <w:r>
        <w:t xml:space="preserve">and </w:t>
      </w:r>
      <w:r w:rsidR="008403FD" w:rsidRPr="3D3148C7">
        <w:t>people experiencing homelessness, mental illness or social</w:t>
      </w:r>
      <w:r>
        <w:t>,</w:t>
      </w:r>
      <w:r w:rsidR="008403FD" w:rsidRPr="3D3148C7">
        <w:t xml:space="preserve"> and economic disadvantage. Th</w:t>
      </w:r>
      <w:r>
        <w:t>at</w:t>
      </w:r>
      <w:r w:rsidR="008403FD" w:rsidRPr="3D3148C7">
        <w:t xml:space="preserve"> means the most vulnerable members of </w:t>
      </w:r>
      <w:r>
        <w:t xml:space="preserve">the </w:t>
      </w:r>
      <w:r w:rsidR="008403FD" w:rsidRPr="3D3148C7">
        <w:t xml:space="preserve">community are at higher risk of health harms. </w:t>
      </w:r>
    </w:p>
    <w:p w14:paraId="2FD7E8D8" w14:textId="60FBDBC1" w:rsidR="008403FD" w:rsidRPr="00681EAE" w:rsidRDefault="008403FD" w:rsidP="008403FD">
      <w:pPr>
        <w:rPr>
          <w:rFonts w:eastAsia="Times"/>
        </w:rPr>
      </w:pPr>
      <w:r w:rsidRPr="00681EAE">
        <w:rPr>
          <w:rFonts w:eastAsia="Times"/>
        </w:rPr>
        <w:lastRenderedPageBreak/>
        <w:t>The Australian Bureau of Statistics (ABS) National Aboriginal and Torres Strait Islander Health Survey, 2018-19</w:t>
      </w:r>
      <w:r w:rsidR="00750DD9">
        <w:rPr>
          <w:rFonts w:eastAsia="Times"/>
        </w:rPr>
        <w:t>,</w:t>
      </w:r>
      <w:r w:rsidRPr="00681EAE">
        <w:rPr>
          <w:rFonts w:eastAsia="Times"/>
        </w:rPr>
        <w:t xml:space="preserve"> showed that rates of smoking amongst Aboriginal people in Victoria had reduced from 39.8</w:t>
      </w:r>
      <w:r w:rsidR="00B43A59" w:rsidRPr="00D87828">
        <w:rPr>
          <w:rStyle w:val="BodyChar"/>
        </w:rPr>
        <w:t xml:space="preserve"> per cent</w:t>
      </w:r>
      <w:r w:rsidRPr="00681EAE">
        <w:rPr>
          <w:rFonts w:eastAsia="Times"/>
        </w:rPr>
        <w:t xml:space="preserve"> in 2014-15 to 35.5</w:t>
      </w:r>
      <w:r w:rsidR="00B43A59" w:rsidRPr="00D87828">
        <w:rPr>
          <w:rStyle w:val="BodyChar"/>
        </w:rPr>
        <w:t xml:space="preserve"> per cent</w:t>
      </w:r>
      <w:r w:rsidRPr="00681EAE">
        <w:rPr>
          <w:rFonts w:eastAsia="Times"/>
        </w:rPr>
        <w:t xml:space="preserve"> in 2018-19.  </w:t>
      </w:r>
    </w:p>
    <w:p w14:paraId="090C75E5" w14:textId="3C899DF4" w:rsidR="008403FD" w:rsidRDefault="008403FD" w:rsidP="008403FD">
      <w:pPr>
        <w:rPr>
          <w:rFonts w:eastAsia="Times"/>
        </w:rPr>
      </w:pPr>
      <w:r w:rsidRPr="5919196D">
        <w:rPr>
          <w:rFonts w:eastAsia="Times"/>
        </w:rPr>
        <w:t>Aboriginal women are significantly more likely to smoke during pregnancy and the percentage is increasing</w:t>
      </w:r>
      <w:r w:rsidR="00750DD9">
        <w:rPr>
          <w:rFonts w:eastAsia="Times"/>
        </w:rPr>
        <w:t xml:space="preserve">, with </w:t>
      </w:r>
      <w:r w:rsidRPr="5919196D">
        <w:rPr>
          <w:rFonts w:eastAsia="Times"/>
        </w:rPr>
        <w:t>42.3 per cent of Aboriginal women smok</w:t>
      </w:r>
      <w:r w:rsidR="00750DD9">
        <w:rPr>
          <w:rFonts w:eastAsia="Times"/>
        </w:rPr>
        <w:t>ing</w:t>
      </w:r>
      <w:r w:rsidRPr="5919196D">
        <w:rPr>
          <w:rFonts w:eastAsia="Times"/>
        </w:rPr>
        <w:t xml:space="preserve"> during pregnancy (up from 40.2 per cent in 2018) compared </w:t>
      </w:r>
      <w:r w:rsidR="00750DD9">
        <w:rPr>
          <w:rFonts w:eastAsia="Times"/>
        </w:rPr>
        <w:t xml:space="preserve">to </w:t>
      </w:r>
      <w:r w:rsidRPr="5919196D">
        <w:rPr>
          <w:rFonts w:eastAsia="Times"/>
        </w:rPr>
        <w:t>7.3 per cent of non-Aboriginal women</w:t>
      </w:r>
      <w:r w:rsidR="00376436">
        <w:rPr>
          <w:rFonts w:eastAsia="Times"/>
        </w:rPr>
        <w:t>.</w:t>
      </w:r>
      <w:r w:rsidRPr="5919196D">
        <w:rPr>
          <w:rFonts w:eastAsia="Times"/>
        </w:rPr>
        <w:t xml:space="preserve"> Smoking in pregnancy is linked with stillbirths and neonatal deaths</w:t>
      </w:r>
      <w:r w:rsidRPr="7BF6DC86">
        <w:rPr>
          <w:rFonts w:eastAsia="Arial" w:cs="Arial"/>
          <w:color w:val="2A2736"/>
          <w:sz w:val="24"/>
          <w:szCs w:val="24"/>
        </w:rPr>
        <w:t xml:space="preserve"> </w:t>
      </w:r>
      <w:r w:rsidRPr="5919196D">
        <w:rPr>
          <w:rFonts w:eastAsia="Times"/>
        </w:rPr>
        <w:t>(Consultative Council on Obstetric and Paediatric Mortality and Morbidity</w:t>
      </w:r>
      <w:r w:rsidR="00750DD9">
        <w:rPr>
          <w:rFonts w:eastAsia="Times"/>
        </w:rPr>
        <w:t>,</w:t>
      </w:r>
      <w:r w:rsidRPr="5919196D">
        <w:rPr>
          <w:rFonts w:eastAsia="Times"/>
        </w:rPr>
        <w:t xml:space="preserve"> 2019). </w:t>
      </w:r>
    </w:p>
    <w:p w14:paraId="0B0BF7AB" w14:textId="067D5BA8" w:rsidR="008C3EE5" w:rsidRDefault="00E0198E" w:rsidP="008C3EE5">
      <w:pPr>
        <w:rPr>
          <w:rFonts w:eastAsia="Times"/>
        </w:rPr>
      </w:pPr>
      <w:r>
        <w:rPr>
          <w:rFonts w:eastAsia="Times"/>
        </w:rPr>
        <w:t>Find out more about</w:t>
      </w:r>
      <w:r w:rsidR="00722D2F">
        <w:rPr>
          <w:rFonts w:eastAsia="Times"/>
        </w:rPr>
        <w:t xml:space="preserve"> at</w:t>
      </w:r>
      <w:r w:rsidR="00986801">
        <w:rPr>
          <w:rFonts w:eastAsia="Times"/>
        </w:rPr>
        <w:t>-</w:t>
      </w:r>
      <w:r w:rsidR="00722D2F">
        <w:rPr>
          <w:rFonts w:eastAsia="Times"/>
        </w:rPr>
        <w:t>risk cohorts</w:t>
      </w:r>
      <w:r w:rsidR="0091059E">
        <w:rPr>
          <w:rFonts w:eastAsia="Times"/>
        </w:rPr>
        <w:t xml:space="preserve"> </w:t>
      </w:r>
      <w:r w:rsidR="00986801">
        <w:rPr>
          <w:rFonts w:eastAsia="Times"/>
        </w:rPr>
        <w:t xml:space="preserve">in </w:t>
      </w:r>
      <w:r w:rsidR="00750DD9">
        <w:rPr>
          <w:rFonts w:eastAsia="Times"/>
        </w:rPr>
        <w:t>‘</w:t>
      </w:r>
      <w:r w:rsidR="008C3EE5">
        <w:t xml:space="preserve">Chapter </w:t>
      </w:r>
      <w:r w:rsidR="00C1349D">
        <w:t>10</w:t>
      </w:r>
      <w:r w:rsidR="008C3EE5">
        <w:t xml:space="preserve"> </w:t>
      </w:r>
      <w:r w:rsidR="00750DD9">
        <w:t>–</w:t>
      </w:r>
      <w:r w:rsidR="008C3EE5">
        <w:t xml:space="preserve"> Maternal and infant health</w:t>
      </w:r>
      <w:r w:rsidR="00986801">
        <w:t>.</w:t>
      </w:r>
      <w:r w:rsidR="00750DD9">
        <w:t>’</w:t>
      </w:r>
    </w:p>
    <w:p w14:paraId="3E139A59" w14:textId="5D0405DB" w:rsidR="008403FD" w:rsidRDefault="008403FD" w:rsidP="008403FD">
      <w:pPr>
        <w:rPr>
          <w:rFonts w:eastAsia="Times"/>
        </w:rPr>
      </w:pPr>
      <w:r w:rsidRPr="7BF6DC86">
        <w:rPr>
          <w:rFonts w:eastAsia="Times"/>
          <w:szCs w:val="21"/>
        </w:rPr>
        <w:t xml:space="preserve">Socioeconomically disadvantaged individuals are more likely to be current smokers. </w:t>
      </w:r>
      <w:r w:rsidR="00750DD9">
        <w:rPr>
          <w:rFonts w:eastAsia="Times"/>
          <w:szCs w:val="21"/>
        </w:rPr>
        <w:t>T</w:t>
      </w:r>
      <w:r w:rsidRPr="7BF6DC86">
        <w:rPr>
          <w:rFonts w:eastAsia="Times"/>
          <w:szCs w:val="21"/>
        </w:rPr>
        <w:t>he proportion of adults who were daily smokers was significantly higher in people who did not complete high school; were unemployed; had a total annual household income of less than $40,000; or rented their home (Victorian Population Health Survey 2019)</w:t>
      </w:r>
      <w:r w:rsidR="00B52227">
        <w:rPr>
          <w:rFonts w:eastAsia="Times"/>
          <w:szCs w:val="21"/>
        </w:rPr>
        <w:t>.</w:t>
      </w:r>
    </w:p>
    <w:p w14:paraId="11151F1A" w14:textId="77777777" w:rsidR="008403FD" w:rsidRDefault="008403FD" w:rsidP="008403FD">
      <w:pPr>
        <w:rPr>
          <w:rFonts w:eastAsia="Times"/>
        </w:rPr>
      </w:pPr>
      <w:r w:rsidRPr="7BF6DC86">
        <w:rPr>
          <w:rFonts w:eastAsia="Times"/>
          <w:szCs w:val="21"/>
        </w:rPr>
        <w:t xml:space="preserve">A focus on priority populations, with continued high rates of smoking, is essential to further reduce Victoria's smoking rates and the devastating health effects of tobacco use on the Victorian community. </w:t>
      </w:r>
    </w:p>
    <w:p w14:paraId="7256E8F5" w14:textId="77777777" w:rsidR="008403FD" w:rsidRDefault="008403FD" w:rsidP="006A215E">
      <w:pPr>
        <w:pStyle w:val="Heading3"/>
      </w:pPr>
      <w:r w:rsidRPr="7BF6DC86">
        <w:t>Key statistics</w:t>
      </w:r>
      <w:r w:rsidRPr="7BF6DC86">
        <w:rPr>
          <w:rFonts w:eastAsia="Arial" w:cs="Arial"/>
          <w:color w:val="2A2736"/>
          <w:sz w:val="36"/>
          <w:szCs w:val="36"/>
        </w:rPr>
        <w:t xml:space="preserve"> </w:t>
      </w:r>
    </w:p>
    <w:p w14:paraId="0B33E7E8" w14:textId="77777777" w:rsidR="008403FD" w:rsidRDefault="008403FD" w:rsidP="00B27E0C">
      <w:pPr>
        <w:pStyle w:val="Heading4"/>
      </w:pPr>
      <w:r w:rsidRPr="2DCC874D">
        <w:t>Smoking and vaping prevalence</w:t>
      </w:r>
    </w:p>
    <w:p w14:paraId="7F126A7D" w14:textId="5B078E23" w:rsidR="008403FD" w:rsidRDefault="008403FD" w:rsidP="008403FD">
      <w:r>
        <w:t>The proportion of Victorians who are daily smokers continued to decline from 11.7</w:t>
      </w:r>
      <w:r w:rsidR="00626EDB" w:rsidRPr="00D87828">
        <w:rPr>
          <w:rStyle w:val="BodyChar"/>
        </w:rPr>
        <w:t xml:space="preserve"> per cent</w:t>
      </w:r>
      <w:r>
        <w:t xml:space="preserve"> in 2016 to 10.2</w:t>
      </w:r>
      <w:r w:rsidR="00626EDB" w:rsidRPr="00D87828">
        <w:rPr>
          <w:rStyle w:val="BodyChar"/>
        </w:rPr>
        <w:t xml:space="preserve"> per cent</w:t>
      </w:r>
      <w:r>
        <w:t xml:space="preserve"> in 2019. This coincided with an increase in Victorians using e-cigarettes from </w:t>
      </w:r>
      <w:r w:rsidRPr="004868E3">
        <w:t>0.9</w:t>
      </w:r>
      <w:r w:rsidR="00626EDB" w:rsidRPr="00D87828">
        <w:rPr>
          <w:rStyle w:val="BodyChar"/>
        </w:rPr>
        <w:t xml:space="preserve"> per cent</w:t>
      </w:r>
      <w:r w:rsidRPr="004868E3">
        <w:t xml:space="preserve"> in 2016 to </w:t>
      </w:r>
      <w:r>
        <w:t>2.4</w:t>
      </w:r>
      <w:r w:rsidR="00626EDB" w:rsidRPr="00D87828">
        <w:rPr>
          <w:rStyle w:val="BodyChar"/>
        </w:rPr>
        <w:t xml:space="preserve"> per cent</w:t>
      </w:r>
      <w:r>
        <w:t xml:space="preserve"> in 2019.</w:t>
      </w:r>
    </w:p>
    <w:p w14:paraId="008C3094" w14:textId="4BE4CDF3" w:rsidR="008403FD" w:rsidRDefault="00161D3E" w:rsidP="008403FD">
      <w:pPr>
        <w:rPr>
          <w:rFonts w:eastAsia="Times"/>
          <w:szCs w:val="21"/>
        </w:rPr>
      </w:pPr>
      <w:r>
        <w:rPr>
          <w:rFonts w:eastAsia="Times"/>
          <w:szCs w:val="21"/>
        </w:rPr>
        <w:t xml:space="preserve">Among </w:t>
      </w:r>
      <w:r w:rsidR="008403FD" w:rsidRPr="7BF6DC86">
        <w:rPr>
          <w:rFonts w:eastAsia="Times"/>
          <w:szCs w:val="21"/>
        </w:rPr>
        <w:t>Aboriginal women</w:t>
      </w:r>
      <w:r w:rsidR="0087310B">
        <w:rPr>
          <w:rFonts w:eastAsia="Times"/>
          <w:szCs w:val="21"/>
        </w:rPr>
        <w:t xml:space="preserve">, </w:t>
      </w:r>
      <w:r w:rsidR="0087310B" w:rsidRPr="7BF6DC86">
        <w:rPr>
          <w:rFonts w:eastAsia="Times"/>
          <w:szCs w:val="21"/>
        </w:rPr>
        <w:t>42.3 per cent</w:t>
      </w:r>
      <w:r w:rsidR="008403FD" w:rsidRPr="7BF6DC86">
        <w:rPr>
          <w:rFonts w:eastAsia="Times"/>
          <w:szCs w:val="21"/>
        </w:rPr>
        <w:t xml:space="preserve"> smoked during pregnancy (up from 40.2 per cent in 2018) compared </w:t>
      </w:r>
      <w:r w:rsidR="00750DD9">
        <w:rPr>
          <w:rFonts w:eastAsia="Times"/>
          <w:szCs w:val="21"/>
        </w:rPr>
        <w:t>to</w:t>
      </w:r>
      <w:r w:rsidR="00750DD9" w:rsidRPr="7BF6DC86">
        <w:rPr>
          <w:rFonts w:eastAsia="Times"/>
          <w:szCs w:val="21"/>
        </w:rPr>
        <w:t xml:space="preserve"> </w:t>
      </w:r>
      <w:r w:rsidR="008403FD" w:rsidRPr="7BF6DC86">
        <w:rPr>
          <w:rFonts w:eastAsia="Times"/>
          <w:szCs w:val="21"/>
        </w:rPr>
        <w:t>7.3 per cent of non-Aboriginal women</w:t>
      </w:r>
      <w:r w:rsidR="008403FD">
        <w:rPr>
          <w:rFonts w:eastAsia="Times"/>
          <w:szCs w:val="21"/>
        </w:rPr>
        <w:t>.</w:t>
      </w:r>
    </w:p>
    <w:p w14:paraId="1D305849" w14:textId="37D778C1" w:rsidR="008403FD" w:rsidRDefault="0087310B" w:rsidP="008403FD">
      <w:pPr>
        <w:rPr>
          <w:rFonts w:eastAsia="Times"/>
          <w:szCs w:val="21"/>
        </w:rPr>
      </w:pPr>
      <w:r>
        <w:rPr>
          <w:rFonts w:eastAsia="Times"/>
          <w:szCs w:val="21"/>
        </w:rPr>
        <w:t>Four</w:t>
      </w:r>
      <w:r w:rsidR="008403FD" w:rsidRPr="7BF6DC86">
        <w:rPr>
          <w:rFonts w:eastAsia="Times"/>
          <w:szCs w:val="21"/>
        </w:rPr>
        <w:t xml:space="preserve"> per cent of Victorian students aged </w:t>
      </w:r>
      <w:r w:rsidR="008403FD" w:rsidRPr="0067357A">
        <w:rPr>
          <w:rFonts w:eastAsia="Times"/>
          <w:szCs w:val="21"/>
        </w:rPr>
        <w:t>12</w:t>
      </w:r>
      <w:r w:rsidR="00125DEF" w:rsidRPr="0067357A">
        <w:rPr>
          <w:rFonts w:eastAsia="Times"/>
          <w:szCs w:val="21"/>
        </w:rPr>
        <w:t xml:space="preserve"> to</w:t>
      </w:r>
      <w:r w:rsidR="001125D1" w:rsidRPr="0067357A">
        <w:rPr>
          <w:rFonts w:eastAsia="Times"/>
          <w:szCs w:val="21"/>
        </w:rPr>
        <w:t xml:space="preserve"> </w:t>
      </w:r>
      <w:r w:rsidR="008403FD" w:rsidRPr="0067357A">
        <w:rPr>
          <w:rFonts w:eastAsia="Times"/>
          <w:szCs w:val="21"/>
        </w:rPr>
        <w:t>17</w:t>
      </w:r>
      <w:r w:rsidR="008403FD" w:rsidRPr="7BF6DC86">
        <w:rPr>
          <w:rFonts w:eastAsia="Times"/>
          <w:szCs w:val="21"/>
        </w:rPr>
        <w:t xml:space="preserve"> currently smoke (Centre for Behavioural Research in Cancer 2017).</w:t>
      </w:r>
    </w:p>
    <w:p w14:paraId="62B7BD0A" w14:textId="6040502A" w:rsidR="008403FD" w:rsidRDefault="0087310B" w:rsidP="008403FD">
      <w:r>
        <w:t>Four</w:t>
      </w:r>
      <w:r w:rsidR="008403FD">
        <w:t xml:space="preserve"> per</w:t>
      </w:r>
      <w:r w:rsidR="00750DD9">
        <w:t xml:space="preserve"> </w:t>
      </w:r>
      <w:r w:rsidR="008403FD">
        <w:t xml:space="preserve">cent of Victorian students aged </w:t>
      </w:r>
      <w:r w:rsidR="008403FD" w:rsidRPr="0067357A">
        <w:t>12</w:t>
      </w:r>
      <w:r w:rsidR="00125DEF" w:rsidRPr="0067357A">
        <w:t xml:space="preserve"> to </w:t>
      </w:r>
      <w:r w:rsidR="008403FD" w:rsidRPr="0067357A">
        <w:t>17</w:t>
      </w:r>
      <w:r w:rsidR="008403FD">
        <w:t xml:space="preserve"> years used an e-cigarette in the last month.</w:t>
      </w:r>
    </w:p>
    <w:p w14:paraId="3DDC09C7" w14:textId="4D740838" w:rsidR="008403FD" w:rsidRDefault="008403FD" w:rsidP="00B27E0C">
      <w:pPr>
        <w:pStyle w:val="Heading4"/>
      </w:pPr>
      <w:r w:rsidRPr="2DCC874D">
        <w:t>Burden of disease</w:t>
      </w:r>
    </w:p>
    <w:p w14:paraId="3D6FF10F" w14:textId="4F29D12B" w:rsidR="008403FD" w:rsidRDefault="008403FD" w:rsidP="008403FD">
      <w:pPr>
        <w:rPr>
          <w:rFonts w:eastAsia="Times"/>
          <w:szCs w:val="21"/>
        </w:rPr>
      </w:pPr>
      <w:r w:rsidRPr="7BF6DC86">
        <w:rPr>
          <w:rFonts w:eastAsia="Times"/>
          <w:szCs w:val="21"/>
        </w:rPr>
        <w:t>Tobacco use contributed to 13 per cent of all Australian deaths in 2018</w:t>
      </w:r>
      <w:r w:rsidR="00321C9E">
        <w:rPr>
          <w:rFonts w:eastAsia="Times"/>
          <w:szCs w:val="21"/>
        </w:rPr>
        <w:t>.</w:t>
      </w:r>
      <w:r w:rsidRPr="7BF6DC86">
        <w:rPr>
          <w:rFonts w:eastAsia="Times"/>
          <w:szCs w:val="21"/>
        </w:rPr>
        <w:t xml:space="preserve"> </w:t>
      </w:r>
    </w:p>
    <w:p w14:paraId="0A7F9728" w14:textId="66F4D955" w:rsidR="008403FD" w:rsidRDefault="00321C9E" w:rsidP="008403FD">
      <w:pPr>
        <w:rPr>
          <w:rFonts w:eastAsia="Times"/>
          <w:szCs w:val="21"/>
        </w:rPr>
      </w:pPr>
      <w:r>
        <w:rPr>
          <w:rFonts w:eastAsia="Times"/>
          <w:szCs w:val="21"/>
        </w:rPr>
        <w:t>Nine</w:t>
      </w:r>
      <w:r w:rsidR="008403FD" w:rsidRPr="7BF6DC86">
        <w:rPr>
          <w:rFonts w:eastAsia="Times"/>
          <w:szCs w:val="21"/>
        </w:rPr>
        <w:t xml:space="preserve"> per cent of </w:t>
      </w:r>
      <w:r w:rsidR="00750DD9">
        <w:rPr>
          <w:rFonts w:eastAsia="Times"/>
          <w:szCs w:val="21"/>
        </w:rPr>
        <w:t xml:space="preserve">Australia’s </w:t>
      </w:r>
      <w:r w:rsidR="008403FD" w:rsidRPr="7BF6DC86">
        <w:rPr>
          <w:rFonts w:eastAsia="Times"/>
          <w:szCs w:val="21"/>
        </w:rPr>
        <w:t>disease and injury burden is attributable to tobacco smoking.</w:t>
      </w:r>
    </w:p>
    <w:p w14:paraId="5BD690AD" w14:textId="3AB11DCA" w:rsidR="008403FD" w:rsidRDefault="00290B27" w:rsidP="008403FD">
      <w:pPr>
        <w:rPr>
          <w:rFonts w:eastAsia="Times"/>
          <w:szCs w:val="21"/>
        </w:rPr>
      </w:pPr>
      <w:r w:rsidRPr="00D80361">
        <w:t xml:space="preserve">Smoking contributes to 21.5 per cent of the cancer burden and 39.3 per </w:t>
      </w:r>
      <w:r w:rsidR="00B52227">
        <w:t xml:space="preserve">cent </w:t>
      </w:r>
      <w:r w:rsidRPr="00D80361">
        <w:t>of the respiratory disease burden</w:t>
      </w:r>
      <w:r>
        <w:t>.</w:t>
      </w:r>
      <w:r w:rsidR="00B3422D">
        <w:rPr>
          <w:rFonts w:eastAsia="Times"/>
          <w:szCs w:val="21"/>
        </w:rPr>
        <w:t xml:space="preserve"> </w:t>
      </w:r>
    </w:p>
    <w:p w14:paraId="51793110" w14:textId="276F8D5F" w:rsidR="008403FD" w:rsidRDefault="008403FD" w:rsidP="00B27E0C">
      <w:pPr>
        <w:pStyle w:val="Heading4"/>
      </w:pPr>
      <w:r w:rsidRPr="7BF6DC86">
        <w:t>Efforts to support tobacco and vape</w:t>
      </w:r>
      <w:r w:rsidR="0067357A">
        <w:t>-</w:t>
      </w:r>
      <w:r w:rsidRPr="7BF6DC86">
        <w:t>free living</w:t>
      </w:r>
    </w:p>
    <w:p w14:paraId="315C0216" w14:textId="5A42723C" w:rsidR="008403FD" w:rsidRDefault="008403FD" w:rsidP="008403FD">
      <w:pPr>
        <w:rPr>
          <w:rFonts w:eastAsia="Times"/>
          <w:szCs w:val="21"/>
        </w:rPr>
      </w:pPr>
      <w:r w:rsidRPr="7BF6DC86">
        <w:rPr>
          <w:rFonts w:eastAsia="Arial" w:cs="Arial"/>
          <w:color w:val="2A2736"/>
          <w:sz w:val="24"/>
          <w:szCs w:val="24"/>
        </w:rPr>
        <w:t>T</w:t>
      </w:r>
      <w:r w:rsidRPr="7BF6DC86">
        <w:rPr>
          <w:rFonts w:eastAsia="Times"/>
          <w:szCs w:val="21"/>
        </w:rPr>
        <w:t>he department's activities to support tobacco and vape</w:t>
      </w:r>
      <w:r w:rsidR="00750DD9">
        <w:rPr>
          <w:rFonts w:eastAsia="Times"/>
          <w:szCs w:val="21"/>
        </w:rPr>
        <w:t>-</w:t>
      </w:r>
      <w:r w:rsidRPr="7BF6DC86">
        <w:rPr>
          <w:rFonts w:eastAsia="Times"/>
          <w:szCs w:val="21"/>
        </w:rPr>
        <w:t xml:space="preserve">free living include: </w:t>
      </w:r>
    </w:p>
    <w:p w14:paraId="31C8E693" w14:textId="37D095A4" w:rsidR="008403FD" w:rsidRDefault="008403FD" w:rsidP="00A7481C">
      <w:pPr>
        <w:pStyle w:val="Bullet1"/>
        <w:rPr>
          <w:rFonts w:ascii="Arial,Times New Roman" w:eastAsia="Arial,Times New Roman" w:hAnsi="Arial,Times New Roman" w:cs="Arial,Times New Roman"/>
          <w:color w:val="2A2736"/>
        </w:rPr>
      </w:pPr>
      <w:r w:rsidRPr="10BC4C7F">
        <w:t xml:space="preserve">developing an e-cigarette and nicotine communication plan </w:t>
      </w:r>
      <w:r w:rsidR="00565D89">
        <w:t xml:space="preserve">with </w:t>
      </w:r>
      <w:r w:rsidRPr="10BC4C7F">
        <w:t>a short video, a factsheet and a social media campaign</w:t>
      </w:r>
      <w:r w:rsidR="00565D89">
        <w:t xml:space="preserve"> designed to </w:t>
      </w:r>
      <w:r w:rsidRPr="10BC4C7F">
        <w:t>build community awareness around child safety</w:t>
      </w:r>
    </w:p>
    <w:p w14:paraId="0342746A" w14:textId="1FC75738"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advocating, on behalf of the Victorian Government, for a nationally consistent approach to regulating e-cigarette products</w:t>
      </w:r>
      <w:r w:rsidR="00565D89">
        <w:rPr>
          <w:szCs w:val="21"/>
        </w:rPr>
        <w:t>,</w:t>
      </w:r>
      <w:r w:rsidRPr="7BF6DC86">
        <w:rPr>
          <w:szCs w:val="21"/>
        </w:rPr>
        <w:t xml:space="preserve"> with a focus on child safety </w:t>
      </w:r>
    </w:p>
    <w:p w14:paraId="2778C646" w14:textId="08805893" w:rsidR="008403FD" w:rsidRPr="007C5855" w:rsidRDefault="008403FD" w:rsidP="00A7481C">
      <w:pPr>
        <w:pStyle w:val="Bullet1"/>
        <w:rPr>
          <w:rFonts w:ascii="Arial,Times New Roman" w:eastAsia="Arial,Times New Roman" w:hAnsi="Arial,Times New Roman" w:cs="Arial,Times New Roman"/>
          <w:color w:val="2A2736"/>
        </w:rPr>
      </w:pPr>
      <w:r w:rsidRPr="7DA4A0EF">
        <w:t>funding local councils, via the Municipal Association of Victoria</w:t>
      </w:r>
      <w:r w:rsidR="00565D89">
        <w:t>,</w:t>
      </w:r>
      <w:r w:rsidRPr="7DA4A0EF">
        <w:t xml:space="preserve"> to deliver the Tobacco Education and Enforcement Program and carry </w:t>
      </w:r>
      <w:r w:rsidRPr="7309643E">
        <w:t>out enforcement</w:t>
      </w:r>
      <w:r w:rsidRPr="7DA4A0EF">
        <w:t xml:space="preserve"> of the </w:t>
      </w:r>
      <w:r w:rsidRPr="7DA4A0EF">
        <w:rPr>
          <w:i/>
        </w:rPr>
        <w:t>Tobacco Act 1987</w:t>
      </w:r>
    </w:p>
    <w:p w14:paraId="5F5B3503" w14:textId="5D8E7905"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lastRenderedPageBreak/>
        <w:t xml:space="preserve">Implementing amendments to the </w:t>
      </w:r>
      <w:r w:rsidRPr="7BF6DC86">
        <w:rPr>
          <w:i/>
          <w:iCs/>
          <w:szCs w:val="21"/>
        </w:rPr>
        <w:t>Tobacco Act 1987</w:t>
      </w:r>
      <w:r w:rsidRPr="7BF6DC86">
        <w:rPr>
          <w:szCs w:val="21"/>
        </w:rPr>
        <w:t>, made in August 2017,</w:t>
      </w:r>
      <w:r w:rsidR="00565D89">
        <w:rPr>
          <w:szCs w:val="21"/>
        </w:rPr>
        <w:t xml:space="preserve"> that</w:t>
      </w:r>
      <w:r w:rsidRPr="7BF6DC86">
        <w:rPr>
          <w:szCs w:val="21"/>
        </w:rPr>
        <w:t xml:space="preserve"> includ</w:t>
      </w:r>
      <w:r w:rsidR="00565D89">
        <w:rPr>
          <w:szCs w:val="21"/>
        </w:rPr>
        <w:t>e</w:t>
      </w:r>
      <w:r w:rsidRPr="7BF6DC86">
        <w:rPr>
          <w:szCs w:val="21"/>
        </w:rPr>
        <w:t xml:space="preserve"> banning smoking in outdoor dining areas and regulating e-cigarette products in the same way as tobacco products</w:t>
      </w:r>
    </w:p>
    <w:p w14:paraId="490D8CCE" w14:textId="77777777" w:rsidR="008403FD" w:rsidRDefault="008403FD" w:rsidP="00A7481C">
      <w:pPr>
        <w:pStyle w:val="Bullet1"/>
        <w:rPr>
          <w:rFonts w:ascii="Arial,Times New Roman" w:eastAsia="Arial,Times New Roman" w:hAnsi="Arial,Times New Roman" w:cs="Arial,Times New Roman"/>
          <w:i/>
          <w:iCs/>
          <w:color w:val="2A2736"/>
          <w:szCs w:val="21"/>
        </w:rPr>
      </w:pPr>
      <w:r w:rsidRPr="7BF6DC86">
        <w:rPr>
          <w:szCs w:val="21"/>
        </w:rPr>
        <w:t xml:space="preserve">strengthening and expanding existing interpretation and enforcement guidance documents for local councils related to the </w:t>
      </w:r>
      <w:r w:rsidRPr="7BF6DC86">
        <w:rPr>
          <w:i/>
          <w:iCs/>
          <w:szCs w:val="21"/>
        </w:rPr>
        <w:t>Tobacco Act 1987</w:t>
      </w:r>
    </w:p>
    <w:p w14:paraId="27DF9713" w14:textId="77777777"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responding to queries in the dedicated tobacco email inbox and through the tobacco information line</w:t>
      </w:r>
    </w:p>
    <w:p w14:paraId="47B37E62" w14:textId="77777777" w:rsidR="008403FD" w:rsidRDefault="008403FD" w:rsidP="00A7481C">
      <w:pPr>
        <w:pStyle w:val="Bullet1"/>
        <w:rPr>
          <w:rFonts w:ascii="Arial,Times New Roman" w:eastAsia="Arial,Times New Roman" w:hAnsi="Arial,Times New Roman" w:cs="Arial,Times New Roman"/>
          <w:color w:val="2A2736"/>
          <w:szCs w:val="21"/>
        </w:rPr>
      </w:pPr>
      <w:r>
        <w:rPr>
          <w:szCs w:val="21"/>
        </w:rPr>
        <w:t xml:space="preserve">funding </w:t>
      </w:r>
      <w:r w:rsidRPr="7BF6DC86">
        <w:rPr>
          <w:szCs w:val="21"/>
        </w:rPr>
        <w:t>smoking cessation services through the Victorian Quitline</w:t>
      </w:r>
    </w:p>
    <w:p w14:paraId="4C043E35" w14:textId="3DC58B36" w:rsidR="008403FD" w:rsidRDefault="008403FD" w:rsidP="00A7481C">
      <w:pPr>
        <w:pStyle w:val="Bullet1"/>
        <w:rPr>
          <w:rFonts w:ascii="Arial,Times New Roman" w:eastAsia="Arial,Times New Roman" w:hAnsi="Arial,Times New Roman" w:cs="Arial,Times New Roman"/>
          <w:color w:val="2A2736"/>
          <w:szCs w:val="21"/>
        </w:rPr>
      </w:pPr>
      <w:r w:rsidRPr="7BF6DC86">
        <w:rPr>
          <w:szCs w:val="21"/>
        </w:rPr>
        <w:t>funding anti-smoking campaigns</w:t>
      </w:r>
      <w:r w:rsidR="00565D89">
        <w:rPr>
          <w:szCs w:val="21"/>
        </w:rPr>
        <w:t xml:space="preserve"> </w:t>
      </w:r>
      <w:r w:rsidRPr="7BF6DC86">
        <w:rPr>
          <w:szCs w:val="21"/>
        </w:rPr>
        <w:t>across television, radio, print and social media</w:t>
      </w:r>
    </w:p>
    <w:p w14:paraId="59D35177" w14:textId="16F48FD0" w:rsidR="008403FD" w:rsidRDefault="008403FD" w:rsidP="00A7481C">
      <w:pPr>
        <w:pStyle w:val="Bullet1"/>
        <w:rPr>
          <w:rFonts w:ascii="Arial,Times New Roman" w:eastAsia="Arial,Times New Roman" w:hAnsi="Arial,Times New Roman" w:cs="Arial,Times New Roman"/>
          <w:color w:val="2A2736"/>
        </w:rPr>
      </w:pPr>
      <w:r w:rsidRPr="01D70D65">
        <w:t>coordinati</w:t>
      </w:r>
      <w:r w:rsidR="00565D89">
        <w:t>ng</w:t>
      </w:r>
      <w:r w:rsidRPr="01D70D65">
        <w:t xml:space="preserve"> initiatives led by Aboriginal Victorians to reduce smoking in communities based on the principle of self</w:t>
      </w:r>
      <w:r w:rsidR="00502C92">
        <w:t>-</w:t>
      </w:r>
      <w:r w:rsidRPr="01D70D65">
        <w:t>determination</w:t>
      </w:r>
    </w:p>
    <w:p w14:paraId="1AE936BF" w14:textId="5E2E2C56" w:rsidR="008403FD" w:rsidRPr="00750C11" w:rsidRDefault="008403FD" w:rsidP="00A7481C">
      <w:pPr>
        <w:pStyle w:val="Bullet1"/>
        <w:rPr>
          <w:rFonts w:ascii="Arial,Times New Roman" w:eastAsia="Arial,Times New Roman" w:hAnsi="Arial,Times New Roman" w:cs="Arial,Times New Roman"/>
          <w:color w:val="2A2736"/>
        </w:rPr>
      </w:pPr>
      <w:r w:rsidRPr="01D70D65">
        <w:t>work by Safer Care Victoria to reduce the risk factors for stillbirths</w:t>
      </w:r>
      <w:r w:rsidR="00565D89">
        <w:t>,</w:t>
      </w:r>
      <w:r w:rsidRPr="01D70D65">
        <w:t xml:space="preserve"> including encouraging smoking cessation.</w:t>
      </w:r>
    </w:p>
    <w:p w14:paraId="7FE6022B" w14:textId="7A74009E" w:rsidR="008403FD" w:rsidRDefault="008403FD" w:rsidP="008403FD">
      <w:pPr>
        <w:rPr>
          <w:color w:val="2A2736"/>
          <w:szCs w:val="21"/>
        </w:rPr>
      </w:pPr>
      <w:r w:rsidRPr="7BF6DC86">
        <w:rPr>
          <w:rFonts w:eastAsia="Times"/>
          <w:szCs w:val="21"/>
        </w:rPr>
        <w:t xml:space="preserve">For more information, please visit the department's </w:t>
      </w:r>
      <w:hyperlink r:id="rId75">
        <w:r w:rsidRPr="7BF6DC86">
          <w:rPr>
            <w:rFonts w:eastAsia="Times"/>
            <w:szCs w:val="21"/>
          </w:rPr>
          <w:t xml:space="preserve">tobacco reforms </w:t>
        </w:r>
        <w:r w:rsidR="00B52227">
          <w:rPr>
            <w:rFonts w:eastAsia="Times"/>
            <w:szCs w:val="21"/>
          </w:rPr>
          <w:t>web</w:t>
        </w:r>
        <w:r w:rsidRPr="7BF6DC86">
          <w:rPr>
            <w:rFonts w:eastAsia="Times"/>
            <w:szCs w:val="21"/>
          </w:rPr>
          <w:t>page</w:t>
        </w:r>
      </w:hyperlink>
      <w:r w:rsidRPr="7BF6DC86">
        <w:rPr>
          <w:rFonts w:eastAsia="Times"/>
          <w:szCs w:val="21"/>
        </w:rPr>
        <w:t xml:space="preserve"> </w:t>
      </w:r>
      <w:r w:rsidR="00146160">
        <w:rPr>
          <w:rFonts w:eastAsia="Times"/>
          <w:szCs w:val="21"/>
        </w:rPr>
        <w:t>&lt;</w:t>
      </w:r>
      <w:r w:rsidR="00B52227" w:rsidRPr="00B52227">
        <w:rPr>
          <w:rFonts w:eastAsia="Times"/>
          <w:szCs w:val="21"/>
        </w:rPr>
        <w:t>https://www.health.vic.gov.au/public-health/tobacco-reforms</w:t>
      </w:r>
      <w:r w:rsidR="00B52227">
        <w:rPr>
          <w:rFonts w:eastAsia="Times"/>
          <w:szCs w:val="21"/>
        </w:rPr>
        <w:t xml:space="preserve">&gt; </w:t>
      </w:r>
      <w:r>
        <w:rPr>
          <w:rFonts w:eastAsia="Times"/>
          <w:szCs w:val="21"/>
        </w:rPr>
        <w:t>or</w:t>
      </w:r>
      <w:r w:rsidRPr="7BF6DC86">
        <w:rPr>
          <w:rFonts w:eastAsia="Times"/>
          <w:szCs w:val="21"/>
        </w:rPr>
        <w:t xml:space="preserve"> the Better Health Channel</w:t>
      </w:r>
      <w:r w:rsidR="00B52227">
        <w:rPr>
          <w:rFonts w:eastAsia="Times"/>
          <w:szCs w:val="21"/>
        </w:rPr>
        <w:t xml:space="preserve"> &lt;</w:t>
      </w:r>
      <w:r w:rsidR="00B52227" w:rsidRPr="00B52227">
        <w:rPr>
          <w:rFonts w:eastAsia="Times"/>
          <w:szCs w:val="21"/>
        </w:rPr>
        <w:t>https://www.betterhealth.vic.gov.au/healthyliving/smoking-and-tobacco</w:t>
      </w:r>
      <w:r w:rsidR="00B52227">
        <w:rPr>
          <w:rFonts w:eastAsia="Times"/>
          <w:szCs w:val="21"/>
        </w:rPr>
        <w:t>&gt;</w:t>
      </w:r>
      <w:r>
        <w:rPr>
          <w:rFonts w:eastAsia="Times"/>
          <w:szCs w:val="21"/>
        </w:rPr>
        <w:t>.</w:t>
      </w:r>
    </w:p>
    <w:p w14:paraId="0B9E6037" w14:textId="3F3DDB8E" w:rsidR="008403FD" w:rsidRDefault="008403FD" w:rsidP="007665B1">
      <w:pPr>
        <w:pStyle w:val="Heading3"/>
      </w:pPr>
      <w:r w:rsidRPr="7BF6DC86">
        <w:t>Find out more</w:t>
      </w:r>
    </w:p>
    <w:p w14:paraId="55DDD6A0" w14:textId="21148A5A" w:rsidR="008403FD" w:rsidRDefault="003E23B1" w:rsidP="008403FD">
      <w:pPr>
        <w:rPr>
          <w:rFonts w:eastAsia="Times"/>
          <w:szCs w:val="21"/>
        </w:rPr>
      </w:pPr>
      <w:r>
        <w:rPr>
          <w:rFonts w:eastAsia="Times"/>
          <w:szCs w:val="21"/>
        </w:rPr>
        <w:t>Find out more about t</w:t>
      </w:r>
      <w:r w:rsidR="008403FD" w:rsidRPr="7BF6DC86">
        <w:rPr>
          <w:rFonts w:eastAsia="Times"/>
          <w:szCs w:val="21"/>
        </w:rPr>
        <w:t xml:space="preserve">obacco and e-cigarette use </w:t>
      </w:r>
      <w:r w:rsidR="00F83B42">
        <w:rPr>
          <w:rFonts w:eastAsia="Times"/>
          <w:szCs w:val="21"/>
        </w:rPr>
        <w:t>at</w:t>
      </w:r>
      <w:r w:rsidR="00F83B42" w:rsidRPr="7BF6DC86">
        <w:rPr>
          <w:rFonts w:eastAsia="Times"/>
          <w:szCs w:val="21"/>
        </w:rPr>
        <w:t xml:space="preserve"> </w:t>
      </w:r>
      <w:r w:rsidR="008403FD" w:rsidRPr="7BF6DC86">
        <w:rPr>
          <w:rFonts w:eastAsia="Times"/>
          <w:szCs w:val="21"/>
        </w:rPr>
        <w:t xml:space="preserve">the following </w:t>
      </w:r>
      <w:r w:rsidR="00F83B42">
        <w:rPr>
          <w:rFonts w:eastAsia="Times"/>
          <w:szCs w:val="21"/>
        </w:rPr>
        <w:t>webpages</w:t>
      </w:r>
      <w:r w:rsidR="008403FD" w:rsidRPr="7BF6DC86">
        <w:rPr>
          <w:rFonts w:eastAsia="Times"/>
          <w:szCs w:val="21"/>
        </w:rPr>
        <w:t xml:space="preserve">: </w:t>
      </w:r>
    </w:p>
    <w:p w14:paraId="3A7F9E41" w14:textId="337CC091" w:rsidR="008403FD" w:rsidRPr="00F83B42" w:rsidRDefault="00000000" w:rsidP="00077EFF">
      <w:pPr>
        <w:pStyle w:val="Bullet1"/>
        <w:rPr>
          <w:rStyle w:val="Hyperlink"/>
        </w:rPr>
      </w:pPr>
      <w:hyperlink r:id="rId76">
        <w:r w:rsidR="008403FD" w:rsidRPr="00F83B42">
          <w:rPr>
            <w:rStyle w:val="Hyperlink"/>
          </w:rPr>
          <w:t>Victorian Population Health Survey 2019 – Summary of results | Victorian Agency for Health Information (vahi.vic.gov.au)</w:t>
        </w:r>
      </w:hyperlink>
      <w:r w:rsidR="00F83B42" w:rsidRPr="00B52227">
        <w:rPr>
          <w:rStyle w:val="Hyperlink"/>
          <w:color w:val="000000" w:themeColor="text1"/>
          <w:u w:val="none"/>
        </w:rPr>
        <w:t xml:space="preserve"> &lt;</w:t>
      </w:r>
      <w:r w:rsidR="00F83B42" w:rsidRPr="7BF6DC86">
        <w:rPr>
          <w:szCs w:val="21"/>
        </w:rPr>
        <w:t>Victorian Population Health Survey 2019 – Summary of results | Victorian Agency for Health Information (vahi.vic.gov.au)</w:t>
      </w:r>
      <w:r w:rsidR="00F83B42">
        <w:rPr>
          <w:szCs w:val="21"/>
        </w:rPr>
        <w:t>&gt;</w:t>
      </w:r>
    </w:p>
    <w:p w14:paraId="4CE6ED31" w14:textId="53F43AD0" w:rsidR="008403FD" w:rsidRDefault="00000000" w:rsidP="00A7481C">
      <w:pPr>
        <w:pStyle w:val="Bullet1"/>
        <w:rPr>
          <w:rFonts w:ascii="Arial,Times New Roman" w:eastAsia="Arial,Times New Roman" w:hAnsi="Arial,Times New Roman" w:cs="Arial,Times New Roman"/>
          <w:color w:val="000000" w:themeColor="text1"/>
          <w:szCs w:val="21"/>
        </w:rPr>
      </w:pPr>
      <w:hyperlink r:id="rId77">
        <w:r w:rsidR="008403FD" w:rsidRPr="006E635B">
          <w:rPr>
            <w:rStyle w:val="Hyperlink"/>
          </w:rPr>
          <w:t>https://www.tobaccoinaustralia.org.au/home.aspx</w:t>
        </w:r>
      </w:hyperlink>
      <w:r w:rsidR="008403FD" w:rsidRPr="7BF6DC86">
        <w:rPr>
          <w:szCs w:val="21"/>
        </w:rPr>
        <w:t xml:space="preserve"> </w:t>
      </w:r>
      <w:r w:rsidR="006E635B" w:rsidRPr="006E635B">
        <w:rPr>
          <w:color w:val="000000" w:themeColor="text1"/>
          <w:szCs w:val="21"/>
        </w:rPr>
        <w:t>&lt;</w:t>
      </w:r>
      <w:r w:rsidR="006E635B" w:rsidRPr="006E635B">
        <w:rPr>
          <w:rStyle w:val="Hyperlink"/>
          <w:color w:val="000000" w:themeColor="text1"/>
          <w:u w:val="none"/>
        </w:rPr>
        <w:t>https://www.tobaccoinaustralia.org.au/home.aspx&gt;</w:t>
      </w:r>
      <w:r w:rsidR="006E635B" w:rsidRPr="006E635B">
        <w:rPr>
          <w:color w:val="000000" w:themeColor="text1"/>
          <w:szCs w:val="21"/>
        </w:rPr>
        <w:t xml:space="preserve"> </w:t>
      </w:r>
      <w:r w:rsidR="008403FD" w:rsidRPr="7BF6DC86">
        <w:rPr>
          <w:szCs w:val="21"/>
        </w:rPr>
        <w:t>(Cancer Council Victoria)</w:t>
      </w:r>
    </w:p>
    <w:p w14:paraId="522658E0" w14:textId="04592859" w:rsidR="008403FD" w:rsidRDefault="00000000" w:rsidP="00A7481C">
      <w:pPr>
        <w:pStyle w:val="Bullet1"/>
        <w:rPr>
          <w:rFonts w:ascii="Arial,Times New Roman" w:eastAsia="Arial,Times New Roman" w:hAnsi="Arial,Times New Roman" w:cs="Arial,Times New Roman"/>
          <w:color w:val="000000" w:themeColor="text1"/>
          <w:szCs w:val="21"/>
        </w:rPr>
      </w:pPr>
      <w:hyperlink r:id="rId78" w:history="1">
        <w:r w:rsidR="008403FD" w:rsidRPr="005573F5">
          <w:rPr>
            <w:rStyle w:val="Hyperlink"/>
          </w:rPr>
          <w:t xml:space="preserve">smoking and tobacco </w:t>
        </w:r>
        <w:r w:rsidR="00565D89" w:rsidRPr="005573F5">
          <w:rPr>
            <w:rStyle w:val="Hyperlink"/>
          </w:rPr>
          <w:t>–</w:t>
        </w:r>
        <w:r w:rsidR="008403FD" w:rsidRPr="005573F5">
          <w:rPr>
            <w:rStyle w:val="Hyperlink"/>
          </w:rPr>
          <w:t xml:space="preserve"> </w:t>
        </w:r>
        <w:r w:rsidR="006E635B" w:rsidRPr="005573F5">
          <w:rPr>
            <w:rStyle w:val="Hyperlink"/>
          </w:rPr>
          <w:t>betterhealth.vic.gov.au</w:t>
        </w:r>
      </w:hyperlink>
      <w:r w:rsidR="008403FD" w:rsidRPr="7BF6DC86">
        <w:rPr>
          <w:szCs w:val="21"/>
        </w:rPr>
        <w:t xml:space="preserve"> </w:t>
      </w:r>
      <w:r w:rsidR="006E635B">
        <w:rPr>
          <w:szCs w:val="21"/>
        </w:rPr>
        <w:t>&lt;</w:t>
      </w:r>
      <w:r w:rsidR="006E635B" w:rsidRPr="006E635B">
        <w:rPr>
          <w:szCs w:val="21"/>
        </w:rPr>
        <w:t>https://www.betterhealth.vic.gov.au/healthyliving/smoking-and-tobacco</w:t>
      </w:r>
      <w:r w:rsidR="006E635B">
        <w:rPr>
          <w:szCs w:val="21"/>
        </w:rPr>
        <w:t>&gt;</w:t>
      </w:r>
    </w:p>
    <w:p w14:paraId="242C6EAE" w14:textId="5C99A8BC" w:rsidR="008403FD" w:rsidRDefault="00000000" w:rsidP="00A7481C">
      <w:pPr>
        <w:pStyle w:val="Bullet1"/>
        <w:rPr>
          <w:rFonts w:ascii="Arial,Times New Roman" w:eastAsia="Arial,Times New Roman" w:hAnsi="Arial,Times New Roman" w:cs="Arial,Times New Roman"/>
          <w:color w:val="000000" w:themeColor="text1"/>
          <w:szCs w:val="21"/>
          <w:u w:val="single"/>
        </w:rPr>
      </w:pPr>
      <w:hyperlink r:id="rId79" w:history="1">
        <w:r w:rsidR="005573F5" w:rsidRPr="005573F5">
          <w:rPr>
            <w:rStyle w:val="Hyperlink"/>
          </w:rPr>
          <w:t>e-cigarettes https://www.betterhealth.vic.gov.au/health/healthyliving/e-cigarettes- Better Health Channel</w:t>
        </w:r>
      </w:hyperlink>
      <w:r w:rsidR="005573F5">
        <w:t xml:space="preserve"> &lt;</w:t>
      </w:r>
      <w:r w:rsidR="005573F5" w:rsidRPr="005573F5">
        <w:t>https://www.betterhealth.vic.gov.au/health/healthyliving/e-cigarettes</w:t>
      </w:r>
      <w:r w:rsidR="005573F5">
        <w:t>&gt;</w:t>
      </w:r>
    </w:p>
    <w:p w14:paraId="579ED2DD" w14:textId="7716CE07" w:rsidR="008403FD" w:rsidRPr="006E635B" w:rsidRDefault="005573F5" w:rsidP="00A7481C">
      <w:pPr>
        <w:pStyle w:val="Bullet1"/>
        <w:rPr>
          <w:rStyle w:val="Hyperlink"/>
        </w:rPr>
      </w:pPr>
      <w:r w:rsidRPr="00146160">
        <w:rPr>
          <w:szCs w:val="21"/>
        </w:rPr>
        <w:t xml:space="preserve"> </w:t>
      </w:r>
      <w:hyperlink r:id="rId80">
        <w:r w:rsidRPr="00146160">
          <w:rPr>
            <w:szCs w:val="21"/>
          </w:rPr>
          <w:t>Talking about vaping with young people – Alcohol and Drug Foundation (adf.org.au)</w:t>
        </w:r>
      </w:hyperlink>
      <w:r w:rsidRPr="00146160">
        <w:rPr>
          <w:szCs w:val="21"/>
        </w:rPr>
        <w:t xml:space="preserve"> &lt;</w:t>
      </w:r>
      <w:r w:rsidR="00146160" w:rsidRPr="00146160">
        <w:rPr>
          <w:szCs w:val="21"/>
        </w:rPr>
        <w:t>https://adf.org.au/talking-about-drugs/vaping/vaping-youth/talking-about-vaping/&gt;</w:t>
      </w:r>
      <w:r w:rsidRPr="00146160">
        <w:rPr>
          <w:szCs w:val="21"/>
        </w:rPr>
        <w:t xml:space="preserve"> – Alcohol and Drug Foundation</w:t>
      </w:r>
      <w:r w:rsidR="00146160" w:rsidRPr="00146160">
        <w:rPr>
          <w:szCs w:val="21"/>
        </w:rPr>
        <w:t xml:space="preserve"> &lt;https://adf.org.au</w:t>
      </w:r>
      <w:r w:rsidRPr="00146160">
        <w:rPr>
          <w:szCs w:val="21"/>
        </w:rPr>
        <w:t>&gt;</w:t>
      </w:r>
      <w:r w:rsidR="008403FD" w:rsidRPr="00146160">
        <w:rPr>
          <w:szCs w:val="21"/>
        </w:rPr>
        <w:t xml:space="preserve"> </w:t>
      </w:r>
    </w:p>
    <w:p w14:paraId="030C5755" w14:textId="781A27FC" w:rsidR="008403FD" w:rsidRDefault="00000000" w:rsidP="00A7481C">
      <w:pPr>
        <w:pStyle w:val="Bullet1"/>
        <w:rPr>
          <w:rFonts w:ascii="Arial,Times New Roman" w:eastAsia="Arial,Times New Roman" w:hAnsi="Arial,Times New Roman" w:cs="Arial,Times New Roman"/>
          <w:color w:val="000000" w:themeColor="text1"/>
          <w:szCs w:val="21"/>
          <w:u w:val="single"/>
        </w:rPr>
      </w:pPr>
      <w:hyperlink r:id="rId81">
        <w:r w:rsidR="008403FD" w:rsidRPr="005905EC">
          <w:rPr>
            <w:rStyle w:val="Hyperlink"/>
          </w:rPr>
          <w:t>https://www.rch.org.au/kidsinfo/fact_sheets/E-cigarettes_and_teens/</w:t>
        </w:r>
      </w:hyperlink>
      <w:r w:rsidR="005905EC">
        <w:rPr>
          <w:szCs w:val="21"/>
        </w:rPr>
        <w:t xml:space="preserve"> &lt;</w:t>
      </w:r>
      <w:r w:rsidR="005905EC" w:rsidRPr="7BF6DC86">
        <w:rPr>
          <w:szCs w:val="21"/>
        </w:rPr>
        <w:t>https://www.rch.org.au/kidsinfo/fact_sheets/E-cigarettes_and_teens/</w:t>
      </w:r>
      <w:r w:rsidR="005905EC">
        <w:rPr>
          <w:szCs w:val="21"/>
        </w:rPr>
        <w:t>&gt;</w:t>
      </w:r>
    </w:p>
    <w:p w14:paraId="0B7F12B3" w14:textId="60A5C49F" w:rsidR="008403FD" w:rsidRPr="005905EC" w:rsidRDefault="00000000" w:rsidP="00A7481C">
      <w:pPr>
        <w:pStyle w:val="Bullet1"/>
        <w:rPr>
          <w:rStyle w:val="Hyperlink"/>
          <w:color w:val="000000" w:themeColor="text1"/>
          <w:u w:val="none"/>
        </w:rPr>
      </w:pPr>
      <w:hyperlink r:id="rId82">
        <w:r w:rsidR="008403FD" w:rsidRPr="005905EC">
          <w:rPr>
            <w:rStyle w:val="Hyperlink"/>
          </w:rPr>
          <w:t>https://www.quit.org.au/resources/resources-communities-and-places/e-cigarettes-and-vaping/</w:t>
        </w:r>
      </w:hyperlink>
      <w:r w:rsidR="005905EC">
        <w:rPr>
          <w:rStyle w:val="Hyperlink"/>
        </w:rPr>
        <w:t xml:space="preserve"> </w:t>
      </w:r>
      <w:r w:rsidR="005905EC" w:rsidRPr="005905EC">
        <w:rPr>
          <w:rStyle w:val="Hyperlink"/>
          <w:color w:val="000000" w:themeColor="text1"/>
          <w:u w:val="none"/>
        </w:rPr>
        <w:t>&lt;https://www.quit.org.au/resources/resources-communities-and-places/e-cigarettes-and-vaping/&gt;</w:t>
      </w:r>
    </w:p>
    <w:p w14:paraId="24FD2710" w14:textId="523DD289" w:rsidR="008403FD" w:rsidRPr="005905EC" w:rsidRDefault="00000000" w:rsidP="00A7481C">
      <w:pPr>
        <w:pStyle w:val="Bullet1"/>
        <w:rPr>
          <w:rStyle w:val="Hyperlink"/>
        </w:rPr>
      </w:pPr>
      <w:hyperlink r:id="rId83" w:history="1">
        <w:r w:rsidR="005905EC" w:rsidRPr="00057ED3">
          <w:rPr>
            <w:rStyle w:val="Hyperlink"/>
          </w:rPr>
          <w:t>https://www.cdc.gov/tobacco/basic_information/e-cigarettes/severe-lung-disease.html</w:t>
        </w:r>
      </w:hyperlink>
      <w:r w:rsidR="005905EC">
        <w:rPr>
          <w:rStyle w:val="Hyperlink"/>
        </w:rPr>
        <w:t xml:space="preserve"> </w:t>
      </w:r>
      <w:r w:rsidR="005905EC" w:rsidRPr="005905EC">
        <w:rPr>
          <w:rStyle w:val="Hyperlink"/>
          <w:color w:val="000000" w:themeColor="text1"/>
          <w:u w:val="none"/>
        </w:rPr>
        <w:t>&lt;</w:t>
      </w:r>
      <w:hyperlink r:id="rId84">
        <w:r w:rsidR="005905EC" w:rsidRPr="00146160">
          <w:rPr>
            <w:rStyle w:val="Hyperlink"/>
            <w:color w:val="000000" w:themeColor="text1"/>
            <w:u w:val="none"/>
          </w:rPr>
          <w:t>https://www.quit.org.au/resources/resources-communities-and-places/e-cigarettes-and-vaping/</w:t>
        </w:r>
      </w:hyperlink>
      <w:r w:rsidR="005905EC" w:rsidRPr="00146160">
        <w:rPr>
          <w:rStyle w:val="Hyperlink"/>
          <w:color w:val="000000" w:themeColor="text1"/>
          <w:u w:val="none"/>
        </w:rPr>
        <w:t>&gt;</w:t>
      </w:r>
    </w:p>
    <w:p w14:paraId="37315C92" w14:textId="34853453" w:rsidR="008403FD" w:rsidRDefault="008403FD" w:rsidP="008403FD">
      <w:r w:rsidRPr="7BF6DC86">
        <w:rPr>
          <w:rFonts w:eastAsia="Times"/>
          <w:szCs w:val="21"/>
        </w:rPr>
        <w:t xml:space="preserve">For information and support to quit smoking or nicotine addiction, visit </w:t>
      </w:r>
      <w:r w:rsidR="00146160">
        <w:rPr>
          <w:rFonts w:eastAsia="Times"/>
          <w:szCs w:val="21"/>
        </w:rPr>
        <w:t xml:space="preserve">the </w:t>
      </w:r>
      <w:hyperlink r:id="rId85" w:history="1">
        <w:r w:rsidR="00146160" w:rsidRPr="00E02E7E">
          <w:rPr>
            <w:rStyle w:val="Hyperlink"/>
            <w:rFonts w:eastAsia="Times"/>
            <w:szCs w:val="21"/>
          </w:rPr>
          <w:t>Quit Victoria</w:t>
        </w:r>
      </w:hyperlink>
      <w:r w:rsidR="00146160">
        <w:rPr>
          <w:rFonts w:eastAsia="Times"/>
          <w:szCs w:val="21"/>
        </w:rPr>
        <w:t xml:space="preserve"> webpage &lt;</w:t>
      </w:r>
      <w:r w:rsidR="00146160" w:rsidRPr="00146160">
        <w:rPr>
          <w:rFonts w:eastAsia="Times"/>
          <w:szCs w:val="21"/>
        </w:rPr>
        <w:t>https://www.quit.org.au/</w:t>
      </w:r>
      <w:r w:rsidR="00146160">
        <w:rPr>
          <w:rFonts w:eastAsia="Times"/>
          <w:szCs w:val="21"/>
        </w:rPr>
        <w:t>&gt;</w:t>
      </w:r>
      <w:r w:rsidRPr="7BF6DC86">
        <w:rPr>
          <w:rFonts w:eastAsia="Times"/>
          <w:szCs w:val="21"/>
        </w:rPr>
        <w:t>.</w:t>
      </w:r>
    </w:p>
    <w:p w14:paraId="7C007873" w14:textId="77777777" w:rsidR="00226C10" w:rsidRDefault="00226C10" w:rsidP="00226C10">
      <w:pPr>
        <w:pStyle w:val="Body"/>
        <w:rPr>
          <w:b/>
        </w:rPr>
      </w:pPr>
      <w:r w:rsidRPr="00E80ACC">
        <w:rPr>
          <w:b/>
        </w:rPr>
        <w:t xml:space="preserve">References </w:t>
      </w:r>
    </w:p>
    <w:p w14:paraId="10A565FB" w14:textId="4FE44F47" w:rsidR="00226C10" w:rsidRPr="004A488E" w:rsidRDefault="00226C10" w:rsidP="00226C10">
      <w:pPr>
        <w:pStyle w:val="Body"/>
      </w:pPr>
      <w:r w:rsidRPr="004A488E">
        <w:t>Australian Bureau of Statistics 2018, National health survey: first results 2017</w:t>
      </w:r>
      <w:r w:rsidR="00565D89">
        <w:t>-</w:t>
      </w:r>
      <w:r w:rsidRPr="004A488E">
        <w:t xml:space="preserve">18 </w:t>
      </w:r>
      <w:r w:rsidR="00565D89">
        <w:t xml:space="preserve">– </w:t>
      </w:r>
      <w:r w:rsidRPr="004A488E">
        <w:t xml:space="preserve">State and territory findings Australian Bureau of Statistics, Canberra. [cited 19 September 2022]. Available </w:t>
      </w:r>
      <w:r w:rsidR="00077EFF">
        <w:t>at</w:t>
      </w:r>
      <w:r w:rsidRPr="004A488E">
        <w:t>:</w:t>
      </w:r>
      <w:bookmarkStart w:id="92" w:name="_Hlk121153933"/>
      <w:r w:rsidR="00C36B2A">
        <w:fldChar w:fldCharType="begin"/>
      </w:r>
      <w:r w:rsidR="00146160">
        <w:instrText>HYPERLINK "http://www.abs.gov.au/statistics/health/health-conditions-and-risks/dietary-behaviour/2017-18" \l "state-and-territory-findings"</w:instrText>
      </w:r>
      <w:r w:rsidR="00C36B2A">
        <w:fldChar w:fldCharType="separate"/>
      </w:r>
      <w:r w:rsidR="00146160">
        <w:rPr>
          <w:rStyle w:val="Hyperlink"/>
        </w:rPr>
        <w:t>https://www.abs.gov.au/statistics/health/health-conditions-and-risks/dietary-behaviour/2017-18#state-and-territory-findings</w:t>
      </w:r>
      <w:r w:rsidR="00C36B2A">
        <w:rPr>
          <w:rStyle w:val="Hyperlink"/>
        </w:rPr>
        <w:fldChar w:fldCharType="end"/>
      </w:r>
      <w:bookmarkEnd w:id="92"/>
      <w:r w:rsidR="00E26599">
        <w:t xml:space="preserve"> &lt;</w:t>
      </w:r>
      <w:r w:rsidR="00146160" w:rsidRPr="00146160">
        <w:t>https://www.abs.gov.au/statistics/health/health-conditions-and-risks/dietary-behaviour/2017-18#state-and-territory-findings</w:t>
      </w:r>
      <w:r w:rsidR="00E26599">
        <w:t>&gt;</w:t>
      </w:r>
      <w:r w:rsidR="00E54D33">
        <w:t>.</w:t>
      </w:r>
    </w:p>
    <w:p w14:paraId="344613A5" w14:textId="163B4AB8" w:rsidR="00226C10" w:rsidRDefault="00226C10" w:rsidP="00226C10">
      <w:pPr>
        <w:pStyle w:val="Body"/>
      </w:pPr>
      <w:r w:rsidRPr="004A488E">
        <w:lastRenderedPageBreak/>
        <w:t xml:space="preserve">Australian Bureau of Statistics 2020, </w:t>
      </w:r>
      <w:r w:rsidR="399E8415" w:rsidRPr="006C0AAC">
        <w:t>‘</w:t>
      </w:r>
      <w:r w:rsidRPr="004A488E">
        <w:t xml:space="preserve">National Aboriginal and Torres Strait Islander Health </w:t>
      </w:r>
      <w:r w:rsidRPr="006C0AAC">
        <w:t>Survey</w:t>
      </w:r>
      <w:r w:rsidR="30F90243" w:rsidRPr="006C0AAC">
        <w:t>’</w:t>
      </w:r>
      <w:r w:rsidRPr="004A488E">
        <w:t>, 2018-19</w:t>
      </w:r>
      <w:r w:rsidRPr="006C0AAC">
        <w:t>.</w:t>
      </w:r>
      <w:r w:rsidR="004D06DF" w:rsidRPr="004D06DF">
        <w:t xml:space="preserve"> </w:t>
      </w:r>
      <w:r w:rsidR="004D06DF" w:rsidRPr="00384FB5">
        <w:t>ABS, Canberra</w:t>
      </w:r>
      <w:r w:rsidRPr="004A488E">
        <w:t>.</w:t>
      </w:r>
    </w:p>
    <w:p w14:paraId="7F6C6306" w14:textId="477446FA" w:rsidR="00226C10" w:rsidRDefault="00226C10" w:rsidP="00226C10">
      <w:pPr>
        <w:pStyle w:val="Body"/>
      </w:pPr>
      <w:r w:rsidRPr="003142D4">
        <w:rPr>
          <w:rFonts w:eastAsia="Arial" w:cs="Arial"/>
          <w:color w:val="2A2736"/>
          <w:szCs w:val="21"/>
        </w:rPr>
        <w:t>A</w:t>
      </w:r>
      <w:r w:rsidRPr="7BF6DC86">
        <w:rPr>
          <w:szCs w:val="21"/>
        </w:rPr>
        <w:t>ustralian Bureau of Statistics</w:t>
      </w:r>
      <w:r w:rsidRPr="006C0AAC">
        <w:t xml:space="preserve">, </w:t>
      </w:r>
      <w:r w:rsidR="4D57F961" w:rsidRPr="006C0AAC">
        <w:t>‘</w:t>
      </w:r>
      <w:r w:rsidRPr="006C0AAC">
        <w:t>National Aboriginal and Torres Strait Islander social survey 2018</w:t>
      </w:r>
      <w:r w:rsidR="00565D89" w:rsidRPr="006C0AAC">
        <w:t>-</w:t>
      </w:r>
      <w:r w:rsidRPr="00055E1E">
        <w:t>19</w:t>
      </w:r>
      <w:r w:rsidR="1C3C5DD6" w:rsidRPr="00055E1E">
        <w:t>'</w:t>
      </w:r>
      <w:r w:rsidRPr="00055E1E">
        <w:t>, ABS, Canberra.</w:t>
      </w:r>
    </w:p>
    <w:p w14:paraId="6EAD7CA3" w14:textId="48E363F5" w:rsidR="00226C10" w:rsidRPr="00146160" w:rsidRDefault="00000000" w:rsidP="00226C10">
      <w:pPr>
        <w:pStyle w:val="Body"/>
      </w:pPr>
      <w:hyperlink r:id="rId86" w:anchor="data-download" w:history="1">
        <w:r w:rsidR="00226C10" w:rsidRPr="00B078F6">
          <w:rPr>
            <w:rStyle w:val="Hyperlink"/>
          </w:rPr>
          <w:t>Australian Bureau of Statistics 2020, 4715.0 National Aboriginal and Torres Strait Islander Health Survey, Australia: 2018</w:t>
        </w:r>
        <w:r w:rsidR="00565D89" w:rsidRPr="00B078F6">
          <w:rPr>
            <w:rStyle w:val="Hyperlink"/>
          </w:rPr>
          <w:t>-</w:t>
        </w:r>
        <w:r w:rsidR="00226C10" w:rsidRPr="00B078F6">
          <w:rPr>
            <w:rStyle w:val="Hyperlink"/>
          </w:rPr>
          <w:t>19 (Table 21.3 in Health risk factors - diet, body mass, blood pressure, physical activity data download). ABS, Canberra. [cited 28 September 2022]</w:t>
        </w:r>
      </w:hyperlink>
      <w:r w:rsidR="00226C10" w:rsidRPr="00384FB5">
        <w:t xml:space="preserve"> Available </w:t>
      </w:r>
      <w:r w:rsidR="00077EFF">
        <w:t>at</w:t>
      </w:r>
      <w:r w:rsidR="00226C10" w:rsidRPr="00384FB5">
        <w:t xml:space="preserve">: </w:t>
      </w:r>
      <w:r w:rsidR="00E26599" w:rsidRPr="00146160">
        <w:rPr>
          <w:rStyle w:val="Hyperlink"/>
          <w:color w:val="auto"/>
          <w:u w:val="none"/>
        </w:rPr>
        <w:t>&lt;https://www.abs.gov.au/statistics/people/aboriginal-and-torres-strait-islander-peoples/national-aboriginal-and-torres-strait-islander-health-survey/latest-release#data-download&gt;</w:t>
      </w:r>
      <w:r w:rsidR="005905EC" w:rsidRPr="00146160">
        <w:rPr>
          <w:rStyle w:val="Hyperlink"/>
          <w:color w:val="auto"/>
          <w:u w:val="none"/>
        </w:rPr>
        <w:t>.</w:t>
      </w:r>
    </w:p>
    <w:p w14:paraId="1093712E" w14:textId="065DC61B" w:rsidR="00226C10" w:rsidRPr="008763BB" w:rsidRDefault="00226C10" w:rsidP="00226C10">
      <w:pPr>
        <w:pStyle w:val="Body"/>
      </w:pPr>
      <w:r w:rsidRPr="00F650AC">
        <w:t>Australian Institute of Health and Welfare 2018</w:t>
      </w:r>
      <w:r w:rsidR="2F39B644" w:rsidRPr="00F650AC">
        <w:t>,</w:t>
      </w:r>
      <w:r w:rsidRPr="00F650AC">
        <w:t xml:space="preserve"> </w:t>
      </w:r>
      <w:r w:rsidR="5871B172" w:rsidRPr="00F650AC">
        <w:t>‘</w:t>
      </w:r>
      <w:r w:rsidRPr="00F650AC">
        <w:t>Aboriginal and Torres Strait Islander Health Performance Framework (HPF) report 2017</w:t>
      </w:r>
      <w:r w:rsidR="37B7EDE2" w:rsidRPr="00F650AC">
        <w:t>’</w:t>
      </w:r>
      <w:r w:rsidRPr="00F650AC">
        <w:t>. Canberra: AIHW.</w:t>
      </w:r>
      <w:r w:rsidRPr="00384FB5">
        <w:t xml:space="preserve"> </w:t>
      </w:r>
    </w:p>
    <w:p w14:paraId="03699DD9" w14:textId="4081A4A3" w:rsidR="00226C10" w:rsidRPr="008763BB" w:rsidRDefault="00226C10" w:rsidP="00226C10">
      <w:pPr>
        <w:pStyle w:val="Body"/>
      </w:pPr>
      <w:r w:rsidRPr="008763BB">
        <w:t>Australian Institute of Health and Welfare</w:t>
      </w:r>
      <w:r w:rsidR="414934AC" w:rsidRPr="008763BB">
        <w:t xml:space="preserve"> 2018</w:t>
      </w:r>
      <w:r w:rsidRPr="008763BB">
        <w:t>, Australian burden of disease study: impact and causes of illness and death in Australia 2018, Australian Institute of Health and Welfare, Canberra.</w:t>
      </w:r>
    </w:p>
    <w:p w14:paraId="05D940CA" w14:textId="114BB33A" w:rsidR="00226C10" w:rsidRPr="008763BB" w:rsidRDefault="00226C10" w:rsidP="00226C10">
      <w:pPr>
        <w:pStyle w:val="Body"/>
      </w:pPr>
      <w:r w:rsidRPr="008763BB">
        <w:t>Australian Institute of Health and Welfare</w:t>
      </w:r>
      <w:r w:rsidR="18C1CB90" w:rsidRPr="008763BB">
        <w:t xml:space="preserve"> 2019</w:t>
      </w:r>
      <w:r w:rsidRPr="008763BB">
        <w:t>, National drug strategy household survey 2019: detailed findings, Australian Institute of Health and Welfare, Canberra.</w:t>
      </w:r>
    </w:p>
    <w:p w14:paraId="7A972646" w14:textId="77777777" w:rsidR="00226C10" w:rsidRPr="001301D4" w:rsidRDefault="00226C10" w:rsidP="00226C10">
      <w:pPr>
        <w:pStyle w:val="Body"/>
      </w:pPr>
      <w:r w:rsidRPr="001301D4">
        <w:t>Banks E, Joshy G, Weber M, Liu B and Grenfell R 2015, ‘Tobacco smoking and all-cause mortality in a large Australian cohort study: findings from a mature epidemic with current low smoking prevalence’, BMC Medicine vol. 13, no. 1.</w:t>
      </w:r>
    </w:p>
    <w:p w14:paraId="13A441AB" w14:textId="56C78F22" w:rsidR="00226C10" w:rsidRPr="00B57800" w:rsidRDefault="00226C10" w:rsidP="00226C10">
      <w:pPr>
        <w:pStyle w:val="Body"/>
      </w:pPr>
      <w:r w:rsidRPr="00B57800">
        <w:t>Banks E, Yazidjoglou A, Brown S, Nguyen M, Martin M, Beckwith K, Daluwatta A, Campbell S, Joshy G</w:t>
      </w:r>
      <w:r w:rsidR="224364D5" w:rsidRPr="00B57800">
        <w:t xml:space="preserve"> 2022,</w:t>
      </w:r>
      <w:r w:rsidRPr="00B57800">
        <w:t xml:space="preserve"> </w:t>
      </w:r>
      <w:r w:rsidR="26CECEE1" w:rsidRPr="00B57800">
        <w:t>‘</w:t>
      </w:r>
      <w:r w:rsidRPr="00B57800">
        <w:t>Electronic cigarettes and health outcomes: systematic review of global evidence</w:t>
      </w:r>
      <w:r w:rsidR="1F53B55C" w:rsidRPr="00B57800">
        <w:t>’</w:t>
      </w:r>
      <w:r w:rsidRPr="00B57800">
        <w:t>. Report for the Australian Department of Health. National Centre for Epidemiology and Population Health, Canberra: April 2022.</w:t>
      </w:r>
    </w:p>
    <w:p w14:paraId="1F7808E0" w14:textId="77777777" w:rsidR="00226C10" w:rsidRDefault="00226C10" w:rsidP="00226C10">
      <w:pPr>
        <w:pStyle w:val="Body"/>
      </w:pPr>
      <w:r w:rsidRPr="00384FB5">
        <w:t>Booth F, Roberts C and Laye M 2012, ‘Lack of exercise is a major cause of chronic diseases’, Comprehensive Physiology, vol. 2, no. 2.</w:t>
      </w:r>
    </w:p>
    <w:p w14:paraId="5AF9455A" w14:textId="38200782" w:rsidR="00226C10" w:rsidRPr="003869E1" w:rsidRDefault="00226C10" w:rsidP="00226C10">
      <w:pPr>
        <w:pStyle w:val="Body"/>
      </w:pPr>
      <w:r w:rsidRPr="003869E1">
        <w:t xml:space="preserve">Centre for Behavioural Research in Cancer 2018, </w:t>
      </w:r>
      <w:r w:rsidR="0A775E11" w:rsidRPr="003869E1">
        <w:t>‘</w:t>
      </w:r>
      <w:r w:rsidRPr="003869E1">
        <w:t>Victorian secondary school students' use of licit and illicit substances in 2017: results from the 2017 Australian Secondary Students' Alcohol and Drugs (ASSAD) Survey</w:t>
      </w:r>
      <w:r w:rsidR="01791477" w:rsidRPr="003869E1">
        <w:t>’</w:t>
      </w:r>
      <w:r w:rsidRPr="003869E1">
        <w:t>, Cancer Council Victoria, Melbourne.</w:t>
      </w:r>
    </w:p>
    <w:p w14:paraId="27E66E94" w14:textId="0B82AD88" w:rsidR="00226C10" w:rsidRPr="003869E1" w:rsidRDefault="00226C10" w:rsidP="00226C10">
      <w:pPr>
        <w:pStyle w:val="Body"/>
      </w:pPr>
      <w:r w:rsidRPr="003869E1">
        <w:t>Consultative Council on Obstetric and Paediatric Mortality and Morbidity</w:t>
      </w:r>
      <w:r w:rsidR="2CB41149" w:rsidRPr="003869E1">
        <w:t xml:space="preserve"> 2019</w:t>
      </w:r>
      <w:r w:rsidRPr="003869E1">
        <w:t xml:space="preserve">, </w:t>
      </w:r>
      <w:r w:rsidR="515A8C6A" w:rsidRPr="003869E1">
        <w:t>‘</w:t>
      </w:r>
      <w:r w:rsidRPr="003869E1">
        <w:t>Victoria's mothers, babies and children report 2019</w:t>
      </w:r>
      <w:r w:rsidR="5D188461" w:rsidRPr="003869E1">
        <w:t>’</w:t>
      </w:r>
      <w:r w:rsidRPr="003869E1">
        <w:t>, State Government of Victoria, Melbourne.</w:t>
      </w:r>
    </w:p>
    <w:p w14:paraId="4E2CF849" w14:textId="0FE48E71" w:rsidR="00226C10" w:rsidRPr="003869E1" w:rsidRDefault="00226C10" w:rsidP="00226C10">
      <w:pPr>
        <w:pStyle w:val="Body"/>
      </w:pPr>
      <w:r w:rsidRPr="003869E1">
        <w:t xml:space="preserve">Creating Preferred Futures 2018, </w:t>
      </w:r>
      <w:r w:rsidR="1E85D483" w:rsidRPr="003869E1">
        <w:t>‘</w:t>
      </w:r>
      <w:r w:rsidRPr="003869E1">
        <w:t>An analysis of the social costs of smoking in Victoria 2015</w:t>
      </w:r>
      <w:r w:rsidR="00565D89" w:rsidRPr="003869E1">
        <w:t>-</w:t>
      </w:r>
      <w:r w:rsidRPr="003869E1">
        <w:t>16</w:t>
      </w:r>
      <w:r w:rsidR="029D05A7" w:rsidRPr="003869E1">
        <w:t>'</w:t>
      </w:r>
      <w:r w:rsidRPr="003869E1">
        <w:t>, Creating Preferred Futures, Hobart.</w:t>
      </w:r>
    </w:p>
    <w:p w14:paraId="1680BC57" w14:textId="10873403" w:rsidR="00226C10" w:rsidRPr="00233472" w:rsidRDefault="00226C10" w:rsidP="00226C10">
      <w:pPr>
        <w:pStyle w:val="Body"/>
      </w:pPr>
      <w:r w:rsidRPr="003869E1">
        <w:t>Dempsey PC, Biddle SJH, Buman MP, Chastin S, Ekelund U, Friedenreich CM, Katzmarzyk PT, Leitzmann MF, Stamatakis E, van der Ploeg HP, Willumsen J, Bull F</w:t>
      </w:r>
      <w:r w:rsidR="6A276D8F" w:rsidRPr="003869E1">
        <w:t xml:space="preserve"> 2020,</w:t>
      </w:r>
      <w:r w:rsidRPr="003869E1">
        <w:t xml:space="preserve"> </w:t>
      </w:r>
      <w:r w:rsidR="79F0E13C" w:rsidRPr="003869E1">
        <w:t>‘</w:t>
      </w:r>
      <w:r w:rsidRPr="003869E1">
        <w:t>New global guidelines on sedentary behaviour and health for adults: broadening the behavioural targets</w:t>
      </w:r>
      <w:r w:rsidR="7FC0B782" w:rsidRPr="003869E1">
        <w:t>’</w:t>
      </w:r>
      <w:r w:rsidRPr="003869E1">
        <w:t>. Int J Behav Nutr Phys Act. 2020 Nov 26;17(1):151.</w:t>
      </w:r>
      <w:r w:rsidRPr="00384FB5">
        <w:t xml:space="preserve"> </w:t>
      </w:r>
    </w:p>
    <w:p w14:paraId="63C6093B" w14:textId="77777777" w:rsidR="00226C10" w:rsidRPr="00384FB5" w:rsidRDefault="00226C10" w:rsidP="00226C10">
      <w:pPr>
        <w:pStyle w:val="Body"/>
      </w:pPr>
      <w:r w:rsidRPr="00384FB5">
        <w:t>Department of Education and Training 2019, ‘About You’ Victorian Student Health and Wellbeing Survey, Summary Findings 2018, State Government of Victoria, Melbourne.</w:t>
      </w:r>
    </w:p>
    <w:p w14:paraId="3F5CFC0B" w14:textId="68E4D594" w:rsidR="00226C10" w:rsidRPr="00384FB5" w:rsidRDefault="00226C10" w:rsidP="00226C10">
      <w:pPr>
        <w:pStyle w:val="Body"/>
        <w:rPr>
          <w:rFonts w:eastAsia="Times New Roman"/>
        </w:rPr>
      </w:pPr>
      <w:r w:rsidRPr="009729F2">
        <w:rPr>
          <w:rFonts w:eastAsia="Times New Roman"/>
        </w:rPr>
        <w:t xml:space="preserve">Department of Education and Training 2020, </w:t>
      </w:r>
      <w:r w:rsidR="5D8A7B52" w:rsidRPr="009729F2">
        <w:rPr>
          <w:rFonts w:eastAsia="Times New Roman"/>
        </w:rPr>
        <w:t>‘</w:t>
      </w:r>
      <w:r w:rsidRPr="009729F2">
        <w:rPr>
          <w:rFonts w:eastAsia="Times New Roman"/>
        </w:rPr>
        <w:t>Victorian Child Health and Wellbeing Survey; summary of findings 2019</w:t>
      </w:r>
      <w:r w:rsidR="6101AB54" w:rsidRPr="009729F2">
        <w:rPr>
          <w:rFonts w:eastAsia="Times New Roman"/>
        </w:rPr>
        <w:t>’</w:t>
      </w:r>
      <w:r w:rsidRPr="009729F2">
        <w:rPr>
          <w:rFonts w:eastAsia="Times New Roman"/>
        </w:rPr>
        <w:t>, State of Victoria, Melbourne.</w:t>
      </w:r>
      <w:r w:rsidRPr="00384FB5">
        <w:rPr>
          <w:rFonts w:eastAsia="Times New Roman"/>
        </w:rPr>
        <w:t xml:space="preserve"> </w:t>
      </w:r>
    </w:p>
    <w:p w14:paraId="6D3E0324" w14:textId="75C67D40" w:rsidR="00226C10" w:rsidRPr="009729F2" w:rsidRDefault="00000000" w:rsidP="00226C10">
      <w:pPr>
        <w:pStyle w:val="Body"/>
        <w:rPr>
          <w:rStyle w:val="Hyperlink"/>
          <w:color w:val="auto"/>
        </w:rPr>
      </w:pPr>
      <w:hyperlink r:id="rId87" w:history="1">
        <w:r w:rsidR="00226C10" w:rsidRPr="003647EF">
          <w:rPr>
            <w:rStyle w:val="Hyperlink"/>
          </w:rPr>
          <w:t xml:space="preserve">Department of Health 2014, </w:t>
        </w:r>
        <w:r w:rsidR="31447855" w:rsidRPr="003647EF">
          <w:rPr>
            <w:rStyle w:val="Hyperlink"/>
          </w:rPr>
          <w:t>‘</w:t>
        </w:r>
        <w:r w:rsidR="00226C10" w:rsidRPr="003647EF">
          <w:rPr>
            <w:rStyle w:val="Hyperlink"/>
          </w:rPr>
          <w:t>Australia's physical activity and sedentary behaviour guidelines</w:t>
        </w:r>
        <w:r w:rsidR="1FED2ECC" w:rsidRPr="003647EF">
          <w:rPr>
            <w:rStyle w:val="Hyperlink"/>
          </w:rPr>
          <w:t>’</w:t>
        </w:r>
        <w:r w:rsidR="00226C10" w:rsidRPr="003647EF">
          <w:rPr>
            <w:rStyle w:val="Hyperlink"/>
          </w:rPr>
          <w:t>. Canberra: Australian Government; 2014</w:t>
        </w:r>
      </w:hyperlink>
      <w:r w:rsidR="00226C10" w:rsidRPr="009729F2">
        <w:t xml:space="preserve"> </w:t>
      </w:r>
      <w:r w:rsidR="74BC9065" w:rsidRPr="00494255">
        <w:t>(</w:t>
      </w:r>
      <w:r w:rsidR="0EEBA284" w:rsidRPr="009729F2">
        <w:t>view</w:t>
      </w:r>
      <w:r w:rsidR="00226C10" w:rsidRPr="009729F2">
        <w:t>ed 22 September 2022</w:t>
      </w:r>
      <w:r w:rsidR="204935A7" w:rsidRPr="000F7E65">
        <w:t>)</w:t>
      </w:r>
      <w:r w:rsidR="00226C10" w:rsidRPr="009729F2">
        <w:t xml:space="preserve">. Available </w:t>
      </w:r>
      <w:r w:rsidR="00077EFF">
        <w:t>at</w:t>
      </w:r>
      <w:r w:rsidR="00E26599" w:rsidRPr="009729F2">
        <w:t xml:space="preserve"> </w:t>
      </w:r>
      <w:r w:rsidR="00E26599" w:rsidRPr="004A46BB">
        <w:rPr>
          <w:rStyle w:val="Hyperlink"/>
          <w:color w:val="auto"/>
          <w:u w:val="none"/>
        </w:rPr>
        <w:t>&lt;https://www.health.gov.au/health-topics/physical-activity-and-exercise/physical-activity-and-exercise-guidelines-for-all-australians&gt;</w:t>
      </w:r>
      <w:r w:rsidR="0063793D" w:rsidRPr="004A46BB">
        <w:rPr>
          <w:rStyle w:val="Hyperlink"/>
          <w:color w:val="auto"/>
          <w:u w:val="none"/>
        </w:rPr>
        <w:t>.</w:t>
      </w:r>
    </w:p>
    <w:p w14:paraId="7F0B716A" w14:textId="5ABFE600" w:rsidR="00226C10" w:rsidRPr="00E37DAE" w:rsidRDefault="00000000" w:rsidP="00226C10">
      <w:pPr>
        <w:pStyle w:val="Body"/>
        <w:rPr>
          <w:rStyle w:val="Hyperlink"/>
          <w:color w:val="auto"/>
        </w:rPr>
      </w:pPr>
      <w:hyperlink r:id="rId88" w:history="1">
        <w:r w:rsidR="00226C10" w:rsidRPr="00515D52">
          <w:rPr>
            <w:rStyle w:val="Hyperlink"/>
          </w:rPr>
          <w:t xml:space="preserve">Department of Health 2017, </w:t>
        </w:r>
        <w:r w:rsidR="0AF64312" w:rsidRPr="00515D52">
          <w:rPr>
            <w:rStyle w:val="Hyperlink"/>
          </w:rPr>
          <w:t>‘</w:t>
        </w:r>
        <w:r w:rsidR="00226C10" w:rsidRPr="00515D52">
          <w:rPr>
            <w:rStyle w:val="Hyperlink"/>
          </w:rPr>
          <w:t>24-hour movement guidelines – birth to 5 years</w:t>
        </w:r>
        <w:r w:rsidR="3D49A7CA" w:rsidRPr="00515D52">
          <w:rPr>
            <w:rStyle w:val="Hyperlink"/>
          </w:rPr>
          <w:t>’</w:t>
        </w:r>
        <w:r w:rsidR="00226C10" w:rsidRPr="00515D52">
          <w:rPr>
            <w:rStyle w:val="Hyperlink"/>
          </w:rPr>
          <w:t>. Canberra: Australian Government 2017</w:t>
        </w:r>
      </w:hyperlink>
      <w:r w:rsidR="00226C10" w:rsidRPr="009729F2">
        <w:t xml:space="preserve"> </w:t>
      </w:r>
      <w:r w:rsidR="67544805" w:rsidRPr="00AD553B">
        <w:t>(</w:t>
      </w:r>
      <w:r w:rsidR="07A43887" w:rsidRPr="009729F2">
        <w:t>view</w:t>
      </w:r>
      <w:r w:rsidR="00226C10" w:rsidRPr="009729F2">
        <w:t>ed 28 September 2022</w:t>
      </w:r>
      <w:r w:rsidR="34673634" w:rsidRPr="00AD553B">
        <w:t>)</w:t>
      </w:r>
      <w:r w:rsidR="00226C10" w:rsidRPr="009729F2">
        <w:t xml:space="preserve"> Available </w:t>
      </w:r>
      <w:r w:rsidR="00077EFF">
        <w:t>at</w:t>
      </w:r>
      <w:r w:rsidR="00226C10" w:rsidRPr="009729F2">
        <w:t xml:space="preserve"> </w:t>
      </w:r>
      <w:r w:rsidR="00E26599" w:rsidRPr="00195329">
        <w:rPr>
          <w:rStyle w:val="Hyperlink"/>
          <w:color w:val="auto"/>
          <w:u w:val="none"/>
        </w:rPr>
        <w:t>&lt;https://www.health.gov.au/resources/publications/24-hour-movement-guidelines-birth-to-5-years-brochure&gt;</w:t>
      </w:r>
      <w:r w:rsidR="0063793D" w:rsidRPr="00195329">
        <w:rPr>
          <w:rStyle w:val="Hyperlink"/>
          <w:color w:val="auto"/>
          <w:u w:val="none"/>
        </w:rPr>
        <w:t>.</w:t>
      </w:r>
    </w:p>
    <w:p w14:paraId="750ADABA" w14:textId="0EE7819E" w:rsidR="00226C10" w:rsidRPr="005C0361" w:rsidRDefault="00000000" w:rsidP="00226C10">
      <w:pPr>
        <w:pStyle w:val="Body"/>
        <w:rPr>
          <w:rStyle w:val="Hyperlink"/>
          <w:color w:val="auto"/>
        </w:rPr>
      </w:pPr>
      <w:hyperlink r:id="rId89" w:history="1">
        <w:r w:rsidR="00226C10" w:rsidRPr="003E28E4">
          <w:rPr>
            <w:rStyle w:val="Hyperlink"/>
          </w:rPr>
          <w:t xml:space="preserve">Department of Health 2019, </w:t>
        </w:r>
        <w:r w:rsidR="550D089D" w:rsidRPr="003E28E4">
          <w:rPr>
            <w:rStyle w:val="Hyperlink"/>
          </w:rPr>
          <w:t>‘</w:t>
        </w:r>
        <w:r w:rsidR="00226C10" w:rsidRPr="003E28E4">
          <w:rPr>
            <w:rStyle w:val="Hyperlink"/>
          </w:rPr>
          <w:t>24-hour movement guidelines – children and young people</w:t>
        </w:r>
        <w:r w:rsidR="7B7990C5" w:rsidRPr="003E28E4">
          <w:rPr>
            <w:rStyle w:val="Hyperlink"/>
          </w:rPr>
          <w:t>’</w:t>
        </w:r>
        <w:r w:rsidR="00226C10" w:rsidRPr="003E28E4">
          <w:rPr>
            <w:rStyle w:val="Hyperlink"/>
          </w:rPr>
          <w:t xml:space="preserve"> (5 to 17 years). Canberra: Australian Government 2019</w:t>
        </w:r>
      </w:hyperlink>
      <w:r w:rsidR="00226C10" w:rsidRPr="009729F2">
        <w:t xml:space="preserve"> </w:t>
      </w:r>
      <w:r w:rsidR="4750C8A6" w:rsidRPr="009729F2">
        <w:t>(</w:t>
      </w:r>
      <w:r w:rsidR="03DF35E1" w:rsidRPr="009729F2">
        <w:t>view</w:t>
      </w:r>
      <w:r w:rsidR="00226C10" w:rsidRPr="009729F2">
        <w:t>ed September 2022</w:t>
      </w:r>
      <w:r w:rsidR="2C2A7C44" w:rsidRPr="009729F2">
        <w:t>)</w:t>
      </w:r>
      <w:r w:rsidR="00226C10" w:rsidRPr="009729F2">
        <w:t xml:space="preserve"> Available </w:t>
      </w:r>
      <w:r w:rsidR="00077EFF">
        <w:t>at</w:t>
      </w:r>
      <w:r w:rsidR="00226C10" w:rsidRPr="009729F2">
        <w:t xml:space="preserve"> </w:t>
      </w:r>
      <w:r w:rsidR="00F60944" w:rsidRPr="005C0361">
        <w:rPr>
          <w:rStyle w:val="Hyperlink"/>
          <w:u w:val="none"/>
        </w:rPr>
        <w:t>&lt;</w:t>
      </w:r>
      <w:r w:rsidR="005C0361" w:rsidRPr="005C0361">
        <w:rPr>
          <w:rStyle w:val="Hyperlink"/>
          <w:color w:val="auto"/>
          <w:u w:val="none"/>
        </w:rPr>
        <w:t>https://www.health.gov.au/resources/publications/24-hour-movement-guidelines-children-and-young-people-5-to-17-years-brochure</w:t>
      </w:r>
      <w:r w:rsidR="00F60944">
        <w:rPr>
          <w:rStyle w:val="Hyperlink"/>
          <w:color w:val="auto"/>
          <w:u w:val="none"/>
        </w:rPr>
        <w:t>&gt;</w:t>
      </w:r>
      <w:r w:rsidR="00195329">
        <w:rPr>
          <w:rStyle w:val="Hyperlink"/>
          <w:color w:val="auto"/>
          <w:u w:val="none"/>
        </w:rPr>
        <w:t>.</w:t>
      </w:r>
    </w:p>
    <w:p w14:paraId="3C760F13" w14:textId="076C5B37" w:rsidR="00226C10" w:rsidRPr="009729F2" w:rsidRDefault="00000000" w:rsidP="00226C10">
      <w:pPr>
        <w:pStyle w:val="Body"/>
        <w:rPr>
          <w:rFonts w:eastAsia="Times New Roman"/>
        </w:rPr>
      </w:pPr>
      <w:hyperlink r:id="rId90" w:history="1">
        <w:r w:rsidR="00226C10" w:rsidRPr="00F9146D">
          <w:rPr>
            <w:rStyle w:val="Hyperlink"/>
          </w:rPr>
          <w:t>Department of Health 2021</w:t>
        </w:r>
        <w:r w:rsidR="65218B34" w:rsidRPr="00F9146D">
          <w:rPr>
            <w:rStyle w:val="Hyperlink"/>
          </w:rPr>
          <w:t>,</w:t>
        </w:r>
        <w:r w:rsidR="00226C10" w:rsidRPr="00F9146D">
          <w:rPr>
            <w:rStyle w:val="Hyperlink"/>
          </w:rPr>
          <w:t xml:space="preserve"> </w:t>
        </w:r>
        <w:r w:rsidR="411CA5A4" w:rsidRPr="00F9146D">
          <w:rPr>
            <w:rStyle w:val="Hyperlink"/>
          </w:rPr>
          <w:t>‘</w:t>
        </w:r>
        <w:r w:rsidR="00226C10" w:rsidRPr="00F9146D">
          <w:rPr>
            <w:rStyle w:val="Hyperlink"/>
          </w:rPr>
          <w:t>About physical activity and exercise</w:t>
        </w:r>
        <w:r w:rsidR="2A7F838B" w:rsidRPr="00F9146D">
          <w:rPr>
            <w:rStyle w:val="Hyperlink"/>
          </w:rPr>
          <w:t>’</w:t>
        </w:r>
        <w:r w:rsidR="00226C10" w:rsidRPr="00F9146D">
          <w:rPr>
            <w:rStyle w:val="Hyperlink"/>
          </w:rPr>
          <w:t>. Australian Government, Canberra</w:t>
        </w:r>
      </w:hyperlink>
      <w:r w:rsidR="00226C10" w:rsidRPr="009729F2">
        <w:t xml:space="preserve">. </w:t>
      </w:r>
      <w:r w:rsidR="38822905" w:rsidRPr="009729F2">
        <w:t xml:space="preserve">(viewed </w:t>
      </w:r>
      <w:r w:rsidR="00226C10" w:rsidRPr="009729F2">
        <w:t>22 September 2022</w:t>
      </w:r>
      <w:r w:rsidR="7F98BCC2" w:rsidRPr="009729F2">
        <w:t>)</w:t>
      </w:r>
      <w:r w:rsidR="00226C10" w:rsidRPr="009729F2">
        <w:t xml:space="preserve">. Available </w:t>
      </w:r>
      <w:r w:rsidR="00077EFF">
        <w:t>at</w:t>
      </w:r>
      <w:r w:rsidR="00A02BD0">
        <w:t xml:space="preserve"> </w:t>
      </w:r>
      <w:r w:rsidR="005905EC" w:rsidRPr="005905EC">
        <w:rPr>
          <w:color w:val="000000" w:themeColor="text1"/>
        </w:rPr>
        <w:t>&lt;https://www.health.gov.au/health-topics/physical-activity-and-exercise/about-physical-activity-and-exercise</w:t>
      </w:r>
      <w:r w:rsidR="005905EC" w:rsidRPr="005905EC">
        <w:rPr>
          <w:rStyle w:val="Hyperlink"/>
          <w:color w:val="000000" w:themeColor="text1"/>
          <w:u w:val="none"/>
        </w:rPr>
        <w:t>&gt;</w:t>
      </w:r>
      <w:r w:rsidR="00F9146D" w:rsidRPr="005905EC">
        <w:rPr>
          <w:rStyle w:val="Hyperlink"/>
          <w:color w:val="000000" w:themeColor="text1"/>
          <w:u w:val="none"/>
        </w:rPr>
        <w:t>.</w:t>
      </w:r>
    </w:p>
    <w:p w14:paraId="182D2F56" w14:textId="354FE22E" w:rsidR="00226C10" w:rsidRPr="009729F2" w:rsidRDefault="00000000" w:rsidP="00226C10">
      <w:pPr>
        <w:pStyle w:val="Body"/>
      </w:pPr>
      <w:hyperlink r:id="rId91" w:history="1">
        <w:r w:rsidR="00226C10" w:rsidRPr="00954B3C">
          <w:rPr>
            <w:rStyle w:val="Hyperlink"/>
          </w:rPr>
          <w:t xml:space="preserve">Department of Health and Human Services 2018, </w:t>
        </w:r>
        <w:r w:rsidR="42964800" w:rsidRPr="00954B3C">
          <w:rPr>
            <w:rStyle w:val="Hyperlink"/>
          </w:rPr>
          <w:t>‘</w:t>
        </w:r>
        <w:r w:rsidR="00226C10" w:rsidRPr="00954B3C">
          <w:rPr>
            <w:rStyle w:val="Hyperlink"/>
          </w:rPr>
          <w:t>Victorian Population Health Survey, 2017, Selected results</w:t>
        </w:r>
      </w:hyperlink>
      <w:r w:rsidR="00226C10" w:rsidRPr="009729F2">
        <w:t>, dashboard</w:t>
      </w:r>
      <w:r w:rsidR="033B9DF7" w:rsidRPr="009729F2">
        <w:t>’</w:t>
      </w:r>
      <w:r w:rsidR="00226C10" w:rsidRPr="009729F2">
        <w:t xml:space="preserve"> </w:t>
      </w:r>
      <w:r w:rsidR="1E3EED36" w:rsidRPr="009729F2">
        <w:t>(viewed</w:t>
      </w:r>
      <w:r w:rsidR="00226C10" w:rsidRPr="009729F2">
        <w:t xml:space="preserve"> 19 September 2022</w:t>
      </w:r>
      <w:r w:rsidR="31A3D737" w:rsidRPr="009729F2">
        <w:t>)</w:t>
      </w:r>
      <w:r w:rsidR="00226C10" w:rsidRPr="009729F2">
        <w:t xml:space="preserve">. Available </w:t>
      </w:r>
      <w:r w:rsidR="00077EFF">
        <w:t>at</w:t>
      </w:r>
      <w:r w:rsidR="00226C10" w:rsidRPr="009729F2">
        <w:t xml:space="preserve"> </w:t>
      </w:r>
      <w:r w:rsidR="00E26599" w:rsidRPr="009729F2">
        <w:t>&lt;http://www.health.vic.gov.au/population-health-systems/victorian-population-health-survey-2017&gt;</w:t>
      </w:r>
      <w:r w:rsidR="005905EC">
        <w:t>.</w:t>
      </w:r>
      <w:r w:rsidR="00226C10" w:rsidRPr="004A488E">
        <w:t xml:space="preserve"> </w:t>
      </w:r>
    </w:p>
    <w:p w14:paraId="187DAB25" w14:textId="17D3D99C" w:rsidR="00226C10" w:rsidRPr="009729F2" w:rsidRDefault="00226C10" w:rsidP="00226C10">
      <w:pPr>
        <w:pStyle w:val="Body"/>
      </w:pPr>
      <w:r w:rsidRPr="009729F2">
        <w:t xml:space="preserve">Department of Health 2021, </w:t>
      </w:r>
      <w:r w:rsidR="4B8C28AE" w:rsidRPr="009729F2">
        <w:t>‘</w:t>
      </w:r>
      <w:hyperlink r:id="rId92" w:history="1">
        <w:r w:rsidRPr="007C2806">
          <w:rPr>
            <w:rStyle w:val="Hyperlink"/>
          </w:rPr>
          <w:t>Better Health Channel, Exercise and mental health</w:t>
        </w:r>
        <w:r w:rsidR="27E9ED98" w:rsidRPr="007C2806">
          <w:rPr>
            <w:rStyle w:val="Hyperlink"/>
          </w:rPr>
          <w:t>’</w:t>
        </w:r>
      </w:hyperlink>
      <w:r w:rsidRPr="009729F2">
        <w:t xml:space="preserve">. State of Victoria, Melbourne. </w:t>
      </w:r>
      <w:r w:rsidR="7310754F" w:rsidRPr="009729F2">
        <w:t>(viewed</w:t>
      </w:r>
      <w:r w:rsidRPr="009729F2">
        <w:t xml:space="preserve"> 23 September 2022</w:t>
      </w:r>
      <w:r w:rsidR="4C521736" w:rsidRPr="009729F2">
        <w:t>)</w:t>
      </w:r>
      <w:r w:rsidRPr="009729F2">
        <w:t xml:space="preserve"> Available </w:t>
      </w:r>
      <w:r w:rsidR="00077EFF">
        <w:t>at</w:t>
      </w:r>
      <w:r w:rsidR="00A02BD0">
        <w:t xml:space="preserve"> </w:t>
      </w:r>
      <w:r w:rsidR="00CA67B9" w:rsidRPr="00CA67B9">
        <w:t>&lt;https://www.betterhealth.vic.gov.au/health/healthyliving/exercise-and-mental-health&gt;</w:t>
      </w:r>
      <w:r w:rsidR="007C2806" w:rsidRPr="00CA67B9">
        <w:t>.</w:t>
      </w:r>
    </w:p>
    <w:p w14:paraId="281B670F" w14:textId="0E7B567D" w:rsidR="00226C10" w:rsidRPr="00A411E4" w:rsidRDefault="00226C10" w:rsidP="00226C10">
      <w:pPr>
        <w:pStyle w:val="Body"/>
        <w:rPr>
          <w:rStyle w:val="Hyperlink"/>
          <w:color w:val="auto"/>
        </w:rPr>
      </w:pPr>
      <w:r w:rsidRPr="00CA67B9">
        <w:rPr>
          <w:rFonts w:cs="Arial"/>
        </w:rPr>
        <w:t>Food and Mood Centre, Deakin University</w:t>
      </w:r>
      <w:r w:rsidR="0128F201" w:rsidRPr="00A411E4">
        <w:rPr>
          <w:rFonts w:cs="Arial"/>
        </w:rPr>
        <w:t xml:space="preserve"> 2018</w:t>
      </w:r>
      <w:r w:rsidRPr="00A411E4">
        <w:rPr>
          <w:rFonts w:cs="Arial"/>
        </w:rPr>
        <w:t xml:space="preserve"> </w:t>
      </w:r>
      <w:r w:rsidR="4A5B1475" w:rsidRPr="00A411E4">
        <w:rPr>
          <w:rFonts w:cs="Arial"/>
        </w:rPr>
        <w:t>‘</w:t>
      </w:r>
      <w:hyperlink r:id="rId93" w:history="1">
        <w:r w:rsidR="00040BF3" w:rsidRPr="00040BF3">
          <w:rPr>
            <w:rStyle w:val="Hyperlink"/>
            <w:rFonts w:cs="Arial"/>
          </w:rPr>
          <w:t>Nutrition and diet infographic</w:t>
        </w:r>
        <w:r w:rsidR="4FF70E27" w:rsidRPr="00040BF3">
          <w:rPr>
            <w:rStyle w:val="Hyperlink"/>
            <w:rFonts w:cs="Arial"/>
          </w:rPr>
          <w:t>'</w:t>
        </w:r>
      </w:hyperlink>
      <w:r w:rsidR="4FF70E27" w:rsidRPr="00A411E4">
        <w:rPr>
          <w:rFonts w:cs="Arial"/>
        </w:rPr>
        <w:t>(viewed</w:t>
      </w:r>
      <w:r w:rsidRPr="00A411E4">
        <w:t xml:space="preserve"> 23 September 2022</w:t>
      </w:r>
      <w:r w:rsidR="5ADABCBD" w:rsidRPr="00A411E4">
        <w:t>)</w:t>
      </w:r>
      <w:r w:rsidRPr="00A411E4">
        <w:t xml:space="preserve">. Available </w:t>
      </w:r>
      <w:r w:rsidR="00077EFF">
        <w:t>at</w:t>
      </w:r>
      <w:r w:rsidRPr="00A411E4">
        <w:rPr>
          <w:rStyle w:val="rpl-text-icongroup"/>
          <w:rFonts w:cs="Arial"/>
        </w:rPr>
        <w:t xml:space="preserve"> </w:t>
      </w:r>
      <w:r w:rsidR="00864EA2" w:rsidRPr="00A411E4">
        <w:rPr>
          <w:rStyle w:val="Hyperlink"/>
          <w:color w:val="auto"/>
          <w:u w:val="none"/>
        </w:rPr>
        <w:t>&lt;https://foodandmoodcentre.com.au/2018/04/diet-and-nutrition-infographic/&gt;</w:t>
      </w:r>
      <w:r w:rsidR="00AF02D8">
        <w:rPr>
          <w:rStyle w:val="Hyperlink"/>
          <w:color w:val="auto"/>
          <w:u w:val="none"/>
        </w:rPr>
        <w:t>.</w:t>
      </w:r>
    </w:p>
    <w:p w14:paraId="3E4D8244" w14:textId="293DC3EC" w:rsidR="00226C10" w:rsidRPr="00165269" w:rsidRDefault="00226C10" w:rsidP="00226C10">
      <w:pPr>
        <w:pStyle w:val="Body"/>
      </w:pPr>
      <w:r>
        <w:t xml:space="preserve">Jones L, Hashim A, McKeever T, Cook D, Britton J and Leonardi-Bee J 2011, ‘Parental and household smoking and the increased risk of bronchitis, bronchiolitis and other lower respiratory </w:t>
      </w:r>
      <w:r w:rsidRPr="00165269">
        <w:t>infections in infancy: systematic review and meta-analysis’, Respiratory research, vol. 12, no. 1.</w:t>
      </w:r>
      <w:r w:rsidR="00BE2C11" w:rsidDel="00BE2C11">
        <w:t xml:space="preserve"> </w:t>
      </w:r>
    </w:p>
    <w:p w14:paraId="3E8B400C" w14:textId="4068FEBD" w:rsidR="00226C10" w:rsidRPr="007F2DA3" w:rsidRDefault="00226C10" w:rsidP="00226C10">
      <w:pPr>
        <w:pStyle w:val="Body"/>
      </w:pPr>
      <w:r w:rsidRPr="007F2DA3">
        <w:t xml:space="preserve">National Health and Medical Research Council 2013, </w:t>
      </w:r>
      <w:r w:rsidR="260A58FB" w:rsidRPr="007F2DA3">
        <w:t>‘</w:t>
      </w:r>
      <w:r w:rsidRPr="007F2DA3">
        <w:t>Australian dietary guidelines</w:t>
      </w:r>
      <w:r w:rsidR="47C639DA" w:rsidRPr="007F2DA3">
        <w:t>’</w:t>
      </w:r>
      <w:r w:rsidRPr="007F2DA3">
        <w:t>, National Health and Medical Research Council, Canberra.</w:t>
      </w:r>
    </w:p>
    <w:p w14:paraId="7F24E1ED" w14:textId="49CCD676" w:rsidR="00226C10" w:rsidRPr="00384FB5" w:rsidRDefault="00226C10" w:rsidP="00226C10">
      <w:pPr>
        <w:pStyle w:val="Body"/>
      </w:pPr>
      <w:r w:rsidRPr="00165269">
        <w:rPr>
          <w:color w:val="000000" w:themeColor="text1"/>
        </w:rPr>
        <w:t xml:space="preserve">Pedersen B and Saltin B 2015, ‘Exercise as medicine: evidence for prescribing exercise as therapy in </w:t>
      </w:r>
      <w:r w:rsidRPr="00384FB5">
        <w:t xml:space="preserve">26 different chronic diseases’, </w:t>
      </w:r>
      <w:r w:rsidR="00565D89" w:rsidRPr="00384FB5">
        <w:t>Scandinavian</w:t>
      </w:r>
      <w:r w:rsidRPr="00384FB5">
        <w:t xml:space="preserve"> Journal of Medicine, Science and Sports, vol. 25.</w:t>
      </w:r>
    </w:p>
    <w:p w14:paraId="44FC2B92" w14:textId="59629812" w:rsidR="00226C10" w:rsidRPr="008A5493" w:rsidRDefault="00226C10" w:rsidP="00226C10">
      <w:pPr>
        <w:pStyle w:val="Body"/>
      </w:pPr>
      <w:r w:rsidRPr="008A5493">
        <w:t xml:space="preserve">Victorian Agency for Health Information 2017, </w:t>
      </w:r>
      <w:r w:rsidR="7139F538" w:rsidRPr="008A5493">
        <w:t>‘</w:t>
      </w:r>
      <w:r w:rsidRPr="008A5493">
        <w:t>Challenges to healthy eating – food insecurity in Victoria: findings from the 2014 Victorian Population Health Survey</w:t>
      </w:r>
      <w:r w:rsidR="27D4E641" w:rsidRPr="008A5493">
        <w:t>’</w:t>
      </w:r>
      <w:r w:rsidRPr="008A5493">
        <w:t>, State of Victoria, Melbourne.</w:t>
      </w:r>
    </w:p>
    <w:p w14:paraId="19205E3A" w14:textId="02F86524" w:rsidR="00226C10" w:rsidRPr="008A5493" w:rsidRDefault="00226C10" w:rsidP="00226C10">
      <w:pPr>
        <w:pStyle w:val="Body"/>
      </w:pPr>
      <w:r w:rsidRPr="008A5493">
        <w:t xml:space="preserve">Victorian Agency for Health Information 2021, </w:t>
      </w:r>
      <w:r w:rsidR="7C6A192C" w:rsidRPr="008A5493">
        <w:t>‘</w:t>
      </w:r>
      <w:r w:rsidRPr="008A5493">
        <w:t>Victorian Population Health Survey 2019: summary of results</w:t>
      </w:r>
      <w:r w:rsidR="5B8BBA8C" w:rsidRPr="008A5493">
        <w:t>’</w:t>
      </w:r>
      <w:r w:rsidRPr="008A5493">
        <w:t>, State of Victoria, Melbourne.</w:t>
      </w:r>
    </w:p>
    <w:p w14:paraId="09CB96EA" w14:textId="4A7D7CD3" w:rsidR="00226C10" w:rsidRPr="008A5493" w:rsidRDefault="00226C10" w:rsidP="00226C10">
      <w:pPr>
        <w:pStyle w:val="Body"/>
      </w:pPr>
      <w:r w:rsidRPr="008A5493">
        <w:t xml:space="preserve">Victorian Agency for Health Information 2021a, </w:t>
      </w:r>
      <w:r w:rsidR="664CF1B5" w:rsidRPr="008A5493">
        <w:t>‘</w:t>
      </w:r>
      <w:r w:rsidRPr="008A5493">
        <w:t>Victorian Population Health Survey 2019: summary of results</w:t>
      </w:r>
      <w:r w:rsidR="038134A1" w:rsidRPr="008A5493">
        <w:t>’</w:t>
      </w:r>
      <w:r w:rsidRPr="008A5493">
        <w:t>, State of Victoria, Melbourne.</w:t>
      </w:r>
    </w:p>
    <w:p w14:paraId="62693931" w14:textId="0043DE99" w:rsidR="00226C10" w:rsidRPr="008A5493" w:rsidRDefault="00226C10" w:rsidP="00226C10">
      <w:pPr>
        <w:rPr>
          <w:rFonts w:cs="Arial"/>
          <w:b/>
        </w:rPr>
      </w:pPr>
      <w:r w:rsidRPr="008A5493">
        <w:rPr>
          <w:rFonts w:cs="Arial"/>
        </w:rPr>
        <w:t xml:space="preserve">Victorian Agency for Health Information 2021b, </w:t>
      </w:r>
      <w:hyperlink r:id="rId94" w:history="1">
        <w:r w:rsidR="5885D1BF" w:rsidRPr="0076138B">
          <w:rPr>
            <w:rStyle w:val="Hyperlink"/>
            <w:rFonts w:cs="Arial"/>
          </w:rPr>
          <w:t>‘</w:t>
        </w:r>
        <w:r w:rsidRPr="0076138B">
          <w:rPr>
            <w:rStyle w:val="Hyperlink"/>
            <w:rFonts w:cs="Arial"/>
          </w:rPr>
          <w:t>Victorian Population Health Survey 2019: dashboard</w:t>
        </w:r>
        <w:r w:rsidR="13E7117C" w:rsidRPr="0076138B">
          <w:rPr>
            <w:rStyle w:val="Hyperlink"/>
            <w:rFonts w:cs="Arial"/>
          </w:rPr>
          <w:t>’</w:t>
        </w:r>
        <w:r w:rsidRPr="0076138B">
          <w:rPr>
            <w:rStyle w:val="Hyperlink"/>
            <w:rFonts w:cs="Arial"/>
          </w:rPr>
          <w:t xml:space="preserve"> </w:t>
        </w:r>
        <w:r w:rsidR="1EA9C155" w:rsidRPr="0076138B">
          <w:rPr>
            <w:rStyle w:val="Hyperlink"/>
            <w:rFonts w:cs="Arial"/>
          </w:rPr>
          <w:t>(viewed</w:t>
        </w:r>
        <w:r w:rsidRPr="0076138B">
          <w:rPr>
            <w:rStyle w:val="Hyperlink"/>
            <w:rFonts w:cs="Arial"/>
          </w:rPr>
          <w:t xml:space="preserve"> 23 September 2022</w:t>
        </w:r>
        <w:r w:rsidR="4267D638" w:rsidRPr="0076138B">
          <w:rPr>
            <w:rStyle w:val="Hyperlink"/>
            <w:rFonts w:cs="Arial"/>
          </w:rPr>
          <w:t>)</w:t>
        </w:r>
      </w:hyperlink>
      <w:r w:rsidRPr="008A5493">
        <w:rPr>
          <w:rFonts w:cs="Arial"/>
        </w:rPr>
        <w:t xml:space="preserve">. Available </w:t>
      </w:r>
      <w:r w:rsidR="00077EFF">
        <w:rPr>
          <w:rFonts w:cs="Arial"/>
        </w:rPr>
        <w:t>at</w:t>
      </w:r>
      <w:r w:rsidR="00A02BD0">
        <w:rPr>
          <w:rFonts w:cs="Arial"/>
        </w:rPr>
        <w:t xml:space="preserve"> </w:t>
      </w:r>
      <w:r w:rsidR="00864EA2" w:rsidRPr="008A5493">
        <w:rPr>
          <w:rStyle w:val="Hyperlink"/>
          <w:rFonts w:eastAsia="MS Gothic" w:cs="Arial"/>
          <w:color w:val="auto"/>
          <w:u w:val="none"/>
        </w:rPr>
        <w:t>&lt;https://vahi.vic.gov.au/report/population-health/victorian-population-health-survey-2019-summary-results&gt;</w:t>
      </w:r>
      <w:r w:rsidR="006F3EFA">
        <w:rPr>
          <w:rStyle w:val="Hyperlink"/>
          <w:rFonts w:eastAsia="MS Gothic" w:cs="Arial"/>
          <w:color w:val="auto"/>
          <w:u w:val="none"/>
        </w:rPr>
        <w:t>.</w:t>
      </w:r>
    </w:p>
    <w:p w14:paraId="7F5B3C0F" w14:textId="7322AD91" w:rsidR="00511D16" w:rsidRDefault="00FC03A4">
      <w:pPr>
        <w:spacing w:after="0" w:line="240" w:lineRule="auto"/>
        <w:rPr>
          <w:rFonts w:eastAsia="Times"/>
        </w:rPr>
      </w:pPr>
      <w:r>
        <w:br w:type="page"/>
      </w:r>
    </w:p>
    <w:p w14:paraId="0358D4E8" w14:textId="524C37DF" w:rsidR="00A134E8" w:rsidRPr="00A71CE4" w:rsidRDefault="008473F7" w:rsidP="00A134E8">
      <w:pPr>
        <w:pStyle w:val="Heading1"/>
        <w:spacing w:before="0"/>
      </w:pPr>
      <w:bookmarkStart w:id="93" w:name="_Toc116981344"/>
      <w:bookmarkStart w:id="94" w:name="_Toc128138649"/>
      <w:r>
        <w:lastRenderedPageBreak/>
        <w:t xml:space="preserve">Chapter </w:t>
      </w:r>
      <w:r w:rsidR="00385CD0">
        <w:t>10</w:t>
      </w:r>
      <w:r>
        <w:t xml:space="preserve"> </w:t>
      </w:r>
      <w:r w:rsidR="00565D89">
        <w:t>–</w:t>
      </w:r>
      <w:r>
        <w:t xml:space="preserve"> </w:t>
      </w:r>
      <w:r w:rsidR="004D77E2">
        <w:t>Maternal and infant health</w:t>
      </w:r>
      <w:bookmarkEnd w:id="93"/>
      <w:bookmarkEnd w:id="94"/>
      <w:r w:rsidR="004D77E2">
        <w:t xml:space="preserve"> </w:t>
      </w:r>
    </w:p>
    <w:p w14:paraId="51770E89" w14:textId="77777777" w:rsidR="001C4B38" w:rsidRDefault="001C4B38" w:rsidP="001C4B38">
      <w:pPr>
        <w:rPr>
          <w:rFonts w:eastAsia="Times"/>
        </w:rPr>
      </w:pPr>
      <w:r w:rsidRPr="56C37722">
        <w:rPr>
          <w:rFonts w:eastAsia="Times"/>
          <w:szCs w:val="21"/>
        </w:rPr>
        <w:t>Being born healthy is fundamental to Aboriginal babies having a strong start to life. For Aboriginal babies to have a greater chance of being born at a healthy birthweight, their mothers must be supported and healthy before and during pregnancy.</w:t>
      </w:r>
    </w:p>
    <w:p w14:paraId="66FC95C9" w14:textId="77777777" w:rsidR="00C9725A" w:rsidRDefault="00C9725A" w:rsidP="00C9725A">
      <w:pPr>
        <w:pStyle w:val="Heading2"/>
      </w:pPr>
      <w:bookmarkStart w:id="95" w:name="_Toc116981345"/>
      <w:r>
        <w:t>Improving health outcomes for Aboriginal women and babies</w:t>
      </w:r>
      <w:bookmarkEnd w:id="95"/>
      <w:r>
        <w:t xml:space="preserve">  </w:t>
      </w:r>
    </w:p>
    <w:p w14:paraId="030B228E" w14:textId="51083908" w:rsidR="00C9725A" w:rsidRDefault="00C9725A" w:rsidP="00C9725A">
      <w:pPr>
        <w:rPr>
          <w:rFonts w:eastAsia="Times"/>
        </w:rPr>
      </w:pPr>
      <w:r w:rsidRPr="56C37722">
        <w:rPr>
          <w:rFonts w:eastAsia="Times"/>
        </w:rPr>
        <w:t>Although the mortality rate for babies born to Aboriginal women has decreased in recent years, Aboriginal mothers and babies continue to have poorer outcomes than non-Aboriginal mothers and babies (</w:t>
      </w:r>
      <w:r w:rsidR="00926D23">
        <w:rPr>
          <w:rFonts w:eastAsia="Times"/>
        </w:rPr>
        <w:t>DHHS,</w:t>
      </w:r>
      <w:r w:rsidRPr="56C37722">
        <w:rPr>
          <w:rFonts w:eastAsia="Times"/>
        </w:rPr>
        <w:t xml:space="preserve"> 2017). </w:t>
      </w:r>
    </w:p>
    <w:p w14:paraId="5D394F97" w14:textId="3F10FCFD" w:rsidR="00C9725A" w:rsidRDefault="00C9725A" w:rsidP="00C9725A">
      <w:pPr>
        <w:rPr>
          <w:rFonts w:eastAsia="Times"/>
        </w:rPr>
      </w:pPr>
      <w:r w:rsidRPr="56C37722">
        <w:rPr>
          <w:rFonts w:eastAsia="Times"/>
        </w:rPr>
        <w:t xml:space="preserve">A gap still exists between Aboriginal and non-Aboriginal women </w:t>
      </w:r>
      <w:r w:rsidR="00926D23">
        <w:rPr>
          <w:rFonts w:eastAsia="Times"/>
        </w:rPr>
        <w:t xml:space="preserve">in </w:t>
      </w:r>
      <w:r w:rsidRPr="56C37722">
        <w:rPr>
          <w:rFonts w:eastAsia="Times"/>
        </w:rPr>
        <w:t>two key</w:t>
      </w:r>
      <w:r w:rsidR="00926D23">
        <w:rPr>
          <w:rFonts w:eastAsia="Times"/>
        </w:rPr>
        <w:t xml:space="preserve"> areas</w:t>
      </w:r>
      <w:r w:rsidRPr="56C37722">
        <w:rPr>
          <w:rFonts w:eastAsia="Times"/>
        </w:rPr>
        <w:t xml:space="preserve">: smoking during pregnancy and breastfeeding. </w:t>
      </w:r>
    </w:p>
    <w:p w14:paraId="7AAF41ED" w14:textId="77777777" w:rsidR="00C9725A" w:rsidRDefault="00C9725A" w:rsidP="00C9725A">
      <w:pPr>
        <w:pStyle w:val="Heading3"/>
        <w:rPr>
          <w:color w:val="2A2736"/>
        </w:rPr>
      </w:pPr>
      <w:r w:rsidRPr="61383438">
        <w:rPr>
          <w:bCs w:val="0"/>
          <w:color w:val="2A2736"/>
        </w:rPr>
        <w:t>Smoking during pregnancy</w:t>
      </w:r>
    </w:p>
    <w:p w14:paraId="30810B6C" w14:textId="6BF06011" w:rsidR="00C9725A" w:rsidRDefault="00C9725A" w:rsidP="00C9725A">
      <w:pPr>
        <w:rPr>
          <w:rFonts w:eastAsia="Times"/>
          <w:szCs w:val="21"/>
        </w:rPr>
      </w:pPr>
      <w:r w:rsidRPr="61383438">
        <w:rPr>
          <w:rFonts w:eastAsia="Times"/>
          <w:szCs w:val="21"/>
        </w:rPr>
        <w:t>There are many risks associated with smoking during pregnancy, including miscarriage, early labour and growth</w:t>
      </w:r>
      <w:r w:rsidR="00926D23">
        <w:rPr>
          <w:rFonts w:eastAsia="Times"/>
          <w:szCs w:val="21"/>
        </w:rPr>
        <w:t>,</w:t>
      </w:r>
      <w:r w:rsidRPr="61383438">
        <w:rPr>
          <w:rFonts w:eastAsia="Times"/>
          <w:szCs w:val="21"/>
        </w:rPr>
        <w:t xml:space="preserve"> and developmental problems for babies. </w:t>
      </w:r>
    </w:p>
    <w:p w14:paraId="619FFE7B" w14:textId="77777777" w:rsidR="00C9725A" w:rsidRDefault="00C9725A" w:rsidP="00C9725A">
      <w:pPr>
        <w:rPr>
          <w:szCs w:val="21"/>
        </w:rPr>
      </w:pPr>
      <w:r w:rsidRPr="56C37722">
        <w:rPr>
          <w:rFonts w:eastAsia="Times"/>
        </w:rPr>
        <w:t xml:space="preserve">Victorian 2019 data indicates that:  </w:t>
      </w:r>
    </w:p>
    <w:p w14:paraId="51F2A321" w14:textId="09C64869" w:rsidR="00C9725A" w:rsidRDefault="00C9725A" w:rsidP="0048139E">
      <w:pPr>
        <w:pStyle w:val="Bullet1"/>
      </w:pPr>
      <w:r w:rsidRPr="56C37722">
        <w:t>42.3 per cent of Aboriginal women smoked during pregnancy (up from 40.2 per cent in 2018) compared</w:t>
      </w:r>
      <w:r w:rsidR="00926D23">
        <w:t xml:space="preserve"> to</w:t>
      </w:r>
      <w:r w:rsidRPr="56C37722">
        <w:t xml:space="preserve"> 7.3 per cent of non-Aboriginal women. </w:t>
      </w:r>
    </w:p>
    <w:p w14:paraId="6468F8C9" w14:textId="16D49719" w:rsidR="00C9725A" w:rsidRDefault="00C9725A" w:rsidP="0048139E">
      <w:pPr>
        <w:pStyle w:val="Bullet1"/>
      </w:pPr>
      <w:r w:rsidRPr="56C37722">
        <w:t xml:space="preserve">11.3 per cent of Aboriginal women gave birth preterm (before 37 weeks) compared </w:t>
      </w:r>
      <w:r w:rsidR="00926D23">
        <w:t>to</w:t>
      </w:r>
      <w:r w:rsidR="00926D23" w:rsidRPr="56C37722">
        <w:t xml:space="preserve"> </w:t>
      </w:r>
      <w:r w:rsidRPr="56C37722">
        <w:t xml:space="preserve">7.3 per cent of non-Aboriginal women. </w:t>
      </w:r>
    </w:p>
    <w:p w14:paraId="2A1D2205" w14:textId="74B56156" w:rsidR="00C9725A" w:rsidRDefault="00C9725A" w:rsidP="00A02BD0">
      <w:pPr>
        <w:pStyle w:val="Bullet1"/>
        <w:spacing w:after="120"/>
      </w:pPr>
      <w:r w:rsidRPr="56C37722">
        <w:t xml:space="preserve">11.7 per cent of babies born to Aboriginal women had low birthweight (&lt; 2,500 grams) compared </w:t>
      </w:r>
      <w:r w:rsidR="00926D23">
        <w:t xml:space="preserve">to </w:t>
      </w:r>
      <w:r w:rsidRPr="56C37722">
        <w:t xml:space="preserve">6.9 per cent of babies born to non-Aboriginal women. </w:t>
      </w:r>
    </w:p>
    <w:p w14:paraId="6139EE92" w14:textId="32AFCFFD" w:rsidR="00C9725A" w:rsidRDefault="00C9725A" w:rsidP="00C9725A">
      <w:pPr>
        <w:rPr>
          <w:rFonts w:eastAsia="Times"/>
          <w:szCs w:val="21"/>
        </w:rPr>
      </w:pPr>
      <w:r w:rsidRPr="61383438">
        <w:rPr>
          <w:rFonts w:eastAsia="Times"/>
          <w:szCs w:val="21"/>
        </w:rPr>
        <w:t xml:space="preserve">Further effort is required to strengthen the effectiveness of smoking cessation programs available to Aboriginal mothers. This includes better promotion, accessibility, </w:t>
      </w:r>
      <w:r w:rsidR="00926D23">
        <w:rPr>
          <w:rFonts w:eastAsia="Times"/>
          <w:szCs w:val="21"/>
        </w:rPr>
        <w:t xml:space="preserve">and </w:t>
      </w:r>
      <w:r w:rsidRPr="61383438">
        <w:rPr>
          <w:rFonts w:eastAsia="Times"/>
          <w:szCs w:val="21"/>
        </w:rPr>
        <w:t>affordability</w:t>
      </w:r>
      <w:r w:rsidR="00926D23">
        <w:rPr>
          <w:rFonts w:eastAsia="Times"/>
          <w:szCs w:val="21"/>
        </w:rPr>
        <w:t>,</w:t>
      </w:r>
      <w:r w:rsidRPr="61383438">
        <w:rPr>
          <w:rFonts w:eastAsia="Times"/>
          <w:szCs w:val="21"/>
        </w:rPr>
        <w:t xml:space="preserve"> </w:t>
      </w:r>
      <w:r w:rsidR="00926D23">
        <w:rPr>
          <w:rFonts w:eastAsia="Times"/>
          <w:szCs w:val="21"/>
        </w:rPr>
        <w:t xml:space="preserve">as well as the </w:t>
      </w:r>
      <w:r w:rsidRPr="61383438">
        <w:rPr>
          <w:rFonts w:eastAsia="Times"/>
          <w:szCs w:val="21"/>
        </w:rPr>
        <w:t xml:space="preserve">cultural appropriateness of programs. </w:t>
      </w:r>
    </w:p>
    <w:p w14:paraId="06822E56" w14:textId="1DCAF301" w:rsidR="00C9725A" w:rsidRDefault="00C9725A" w:rsidP="00C9725A">
      <w:pPr>
        <w:rPr>
          <w:rFonts w:eastAsia="Times"/>
        </w:rPr>
      </w:pPr>
      <w:r w:rsidRPr="56C37722">
        <w:rPr>
          <w:rFonts w:eastAsia="Times"/>
        </w:rPr>
        <w:t>Any improvements in smoking rates will achieve better health outcomes for Aboriginal mothers and infants (</w:t>
      </w:r>
      <w:r w:rsidR="00926D23">
        <w:rPr>
          <w:rFonts w:eastAsia="Times"/>
        </w:rPr>
        <w:t xml:space="preserve">DHHS, </w:t>
      </w:r>
      <w:r w:rsidRPr="56C37722">
        <w:rPr>
          <w:rFonts w:eastAsia="Times"/>
        </w:rPr>
        <w:t xml:space="preserve">2017). </w:t>
      </w:r>
    </w:p>
    <w:p w14:paraId="2A14D4D5" w14:textId="63E5513B" w:rsidR="002E5544" w:rsidRDefault="002E5544" w:rsidP="00C9725A">
      <w:pPr>
        <w:rPr>
          <w:rFonts w:eastAsia="Times"/>
        </w:rPr>
      </w:pPr>
      <w:r w:rsidRPr="00BB482B">
        <w:rPr>
          <w:rFonts w:eastAsia="Times"/>
        </w:rPr>
        <w:t>See the ‘</w:t>
      </w:r>
      <w:r w:rsidRPr="00BB482B">
        <w:t>Tobacco and vape</w:t>
      </w:r>
      <w:r w:rsidR="00824414">
        <w:t>-</w:t>
      </w:r>
      <w:r w:rsidRPr="00BB482B">
        <w:t>free living’</w:t>
      </w:r>
      <w:r w:rsidRPr="00BB482B">
        <w:rPr>
          <w:rFonts w:eastAsia="Times"/>
        </w:rPr>
        <w:t xml:space="preserve"> </w:t>
      </w:r>
      <w:r w:rsidR="00926D23" w:rsidRPr="00BB482B">
        <w:rPr>
          <w:rFonts w:eastAsia="Times"/>
        </w:rPr>
        <w:t xml:space="preserve">section </w:t>
      </w:r>
      <w:r w:rsidRPr="00BB482B">
        <w:rPr>
          <w:rFonts w:eastAsia="Times"/>
        </w:rPr>
        <w:t xml:space="preserve">of ‘Chapter </w:t>
      </w:r>
      <w:r w:rsidR="00C1349D" w:rsidRPr="00824414">
        <w:rPr>
          <w:rFonts w:eastAsia="Times"/>
        </w:rPr>
        <w:t>9</w:t>
      </w:r>
      <w:r w:rsidRPr="00824414">
        <w:rPr>
          <w:rFonts w:eastAsia="Times"/>
        </w:rPr>
        <w:t xml:space="preserve"> </w:t>
      </w:r>
      <w:r w:rsidR="00C1349D" w:rsidRPr="0037686B">
        <w:rPr>
          <w:rFonts w:eastAsia="Times"/>
        </w:rPr>
        <w:t>–</w:t>
      </w:r>
      <w:r w:rsidRPr="0037686B">
        <w:rPr>
          <w:rFonts w:eastAsia="Times"/>
        </w:rPr>
        <w:t xml:space="preserve"> </w:t>
      </w:r>
      <w:r w:rsidR="00C1349D" w:rsidRPr="00B37D67">
        <w:rPr>
          <w:rFonts w:eastAsia="Times"/>
        </w:rPr>
        <w:t>Healthy Living’</w:t>
      </w:r>
      <w:r w:rsidRPr="009C7875">
        <w:rPr>
          <w:rFonts w:eastAsia="Times"/>
        </w:rPr>
        <w:t xml:space="preserve"> for more information</w:t>
      </w:r>
      <w:r w:rsidR="005644D1" w:rsidRPr="00BB482B">
        <w:rPr>
          <w:rFonts w:eastAsia="Times"/>
        </w:rPr>
        <w:t xml:space="preserve"> about smoking</w:t>
      </w:r>
      <w:r w:rsidR="00C1349D" w:rsidRPr="00BB482B">
        <w:rPr>
          <w:rFonts w:eastAsia="Times"/>
        </w:rPr>
        <w:t>.</w:t>
      </w:r>
    </w:p>
    <w:p w14:paraId="4B383DCF" w14:textId="77777777" w:rsidR="00C9725A" w:rsidRDefault="00C9725A" w:rsidP="00C9725A">
      <w:pPr>
        <w:pStyle w:val="Heading3"/>
      </w:pPr>
      <w:r w:rsidRPr="61383438">
        <w:rPr>
          <w:bCs w:val="0"/>
          <w:color w:val="2A2736"/>
        </w:rPr>
        <w:t>Breastfeeding</w:t>
      </w:r>
    </w:p>
    <w:p w14:paraId="47A7FA40" w14:textId="37426336" w:rsidR="00C9725A" w:rsidRDefault="00C9725A" w:rsidP="00C9725A">
      <w:r w:rsidRPr="61383438">
        <w:rPr>
          <w:rFonts w:eastAsia="Times"/>
          <w:szCs w:val="21"/>
        </w:rPr>
        <w:t>Breastfeeding promotes and supports the healthy development and growth of infants (</w:t>
      </w:r>
      <w:r w:rsidR="00926D23">
        <w:rPr>
          <w:rFonts w:eastAsia="Times"/>
          <w:szCs w:val="21"/>
        </w:rPr>
        <w:t xml:space="preserve">DHHS, </w:t>
      </w:r>
      <w:r w:rsidRPr="61383438">
        <w:rPr>
          <w:rFonts w:eastAsia="Times"/>
          <w:szCs w:val="21"/>
        </w:rPr>
        <w:t>2017).</w:t>
      </w:r>
    </w:p>
    <w:p w14:paraId="1238511B" w14:textId="08E4F100" w:rsidR="00C9725A" w:rsidRDefault="004324C5" w:rsidP="00C9725A">
      <w:r>
        <w:rPr>
          <w:rFonts w:eastAsia="Times"/>
          <w:szCs w:val="21"/>
        </w:rPr>
        <w:t>Breastfeeding</w:t>
      </w:r>
      <w:r w:rsidR="00C9725A" w:rsidRPr="61383438">
        <w:rPr>
          <w:rFonts w:eastAsia="Times"/>
          <w:szCs w:val="21"/>
        </w:rPr>
        <w:t xml:space="preserve"> is one of the most highly effective preventive measures a mother can take to protect the health of her infant and herself. It offers protection against several childhood health concerns</w:t>
      </w:r>
      <w:r w:rsidR="00926D23">
        <w:rPr>
          <w:rFonts w:eastAsia="Times"/>
          <w:szCs w:val="21"/>
        </w:rPr>
        <w:t>,</w:t>
      </w:r>
      <w:r w:rsidR="00C9725A" w:rsidRPr="61383438">
        <w:rPr>
          <w:rFonts w:eastAsia="Times"/>
          <w:szCs w:val="21"/>
        </w:rPr>
        <w:t xml:space="preserve"> such as infections, diabetes, childhood obesity</w:t>
      </w:r>
      <w:r w:rsidR="00926D23">
        <w:rPr>
          <w:rFonts w:eastAsia="Times"/>
          <w:szCs w:val="21"/>
        </w:rPr>
        <w:t>,</w:t>
      </w:r>
      <w:r w:rsidR="00C9725A" w:rsidRPr="61383438">
        <w:rPr>
          <w:rFonts w:eastAsia="Times"/>
          <w:szCs w:val="21"/>
        </w:rPr>
        <w:t xml:space="preserve"> and asthma. </w:t>
      </w:r>
    </w:p>
    <w:p w14:paraId="158C22D9" w14:textId="175288E2" w:rsidR="00C9725A" w:rsidRDefault="00C9725A" w:rsidP="00C9725A">
      <w:r w:rsidRPr="61383438">
        <w:rPr>
          <w:rFonts w:eastAsia="Times"/>
          <w:szCs w:val="21"/>
        </w:rPr>
        <w:t xml:space="preserve">Breastfeeding also contributes to better health outcomes for mothers and promotes opportunities for bonding between </w:t>
      </w:r>
      <w:r w:rsidR="00926D23">
        <w:rPr>
          <w:rFonts w:eastAsia="Times"/>
          <w:szCs w:val="21"/>
        </w:rPr>
        <w:t xml:space="preserve">a </w:t>
      </w:r>
      <w:r w:rsidRPr="61383438">
        <w:rPr>
          <w:rFonts w:eastAsia="Times"/>
          <w:szCs w:val="21"/>
        </w:rPr>
        <w:t xml:space="preserve">mother and </w:t>
      </w:r>
      <w:r w:rsidR="00926D23">
        <w:rPr>
          <w:rFonts w:eastAsia="Times"/>
          <w:szCs w:val="21"/>
        </w:rPr>
        <w:t xml:space="preserve">their </w:t>
      </w:r>
      <w:r w:rsidRPr="61383438">
        <w:rPr>
          <w:rFonts w:eastAsia="Times"/>
          <w:szCs w:val="21"/>
        </w:rPr>
        <w:t xml:space="preserve">baby. </w:t>
      </w:r>
    </w:p>
    <w:p w14:paraId="3C218E7D" w14:textId="734C6876" w:rsidR="00C9725A" w:rsidRDefault="00C9725A" w:rsidP="00C9725A">
      <w:r w:rsidRPr="0037686B">
        <w:rPr>
          <w:rFonts w:eastAsia="Times"/>
        </w:rPr>
        <w:t>Aboriginal women are less likely to initiate breastfeeding than non-Aboriginal women: 87 per cent compared with 94.6 per cent respectively (</w:t>
      </w:r>
      <w:r w:rsidR="00926D23" w:rsidRPr="0037686B">
        <w:rPr>
          <w:rFonts w:eastAsia="Times"/>
        </w:rPr>
        <w:t xml:space="preserve">DHHS, </w:t>
      </w:r>
      <w:r w:rsidRPr="0037686B">
        <w:rPr>
          <w:rFonts w:eastAsia="Times"/>
        </w:rPr>
        <w:t>2017).</w:t>
      </w:r>
    </w:p>
    <w:p w14:paraId="6E6418F7" w14:textId="691A9756" w:rsidR="00C9725A" w:rsidRDefault="00C9725A" w:rsidP="00C9725A">
      <w:r w:rsidRPr="49B6AB04">
        <w:rPr>
          <w:rFonts w:eastAsia="Times"/>
        </w:rPr>
        <w:lastRenderedPageBreak/>
        <w:t xml:space="preserve">In addition, the 2010 Australian National Infant Feeding Survey found the rates of Aboriginal infants exclusively breastfed (less than one month) </w:t>
      </w:r>
      <w:r w:rsidR="00926D23">
        <w:rPr>
          <w:rFonts w:eastAsia="Times"/>
        </w:rPr>
        <w:t xml:space="preserve">was </w:t>
      </w:r>
      <w:r w:rsidRPr="49B6AB04">
        <w:rPr>
          <w:rFonts w:eastAsia="Times"/>
        </w:rPr>
        <w:t xml:space="preserve">59 per cent compared </w:t>
      </w:r>
      <w:r w:rsidR="00926D23">
        <w:rPr>
          <w:rFonts w:eastAsia="Times"/>
        </w:rPr>
        <w:t xml:space="preserve">to 61 per cent for </w:t>
      </w:r>
      <w:r w:rsidRPr="49B6AB04">
        <w:rPr>
          <w:rFonts w:eastAsia="Times"/>
        </w:rPr>
        <w:t>non-Aboriginal infants (</w:t>
      </w:r>
      <w:r w:rsidR="000E4D3A">
        <w:rPr>
          <w:rFonts w:eastAsia="Times"/>
        </w:rPr>
        <w:t>AIHW,</w:t>
      </w:r>
      <w:r w:rsidRPr="49B6AB04">
        <w:rPr>
          <w:rFonts w:eastAsia="Times"/>
        </w:rPr>
        <w:t xml:space="preserve"> 2011). </w:t>
      </w:r>
    </w:p>
    <w:p w14:paraId="111EA77B" w14:textId="3C2CBEF8" w:rsidR="00C9725A" w:rsidRDefault="00926D23" w:rsidP="00C9725A">
      <w:r>
        <w:rPr>
          <w:rFonts w:eastAsia="Times"/>
        </w:rPr>
        <w:t xml:space="preserve">The department </w:t>
      </w:r>
      <w:r w:rsidR="00C9725A" w:rsidRPr="56C37722">
        <w:rPr>
          <w:rFonts w:eastAsia="Times"/>
        </w:rPr>
        <w:t>is continuing to work to improve the health outcomes of all women and babies, including those from the Aboriginal community.</w:t>
      </w:r>
    </w:p>
    <w:p w14:paraId="48425800" w14:textId="77777777" w:rsidR="00CF0F10" w:rsidRDefault="00CF0F10" w:rsidP="0095074E">
      <w:pPr>
        <w:pStyle w:val="Heading3"/>
        <w:rPr>
          <w:rFonts w:eastAsia="Times"/>
          <w:szCs w:val="21"/>
        </w:rPr>
      </w:pPr>
      <w:r w:rsidRPr="56C37722">
        <w:t>Aboriginal Led Service Delivery</w:t>
      </w:r>
      <w:r w:rsidRPr="56C37722">
        <w:rPr>
          <w:rFonts w:eastAsia="Times"/>
          <w:szCs w:val="21"/>
        </w:rPr>
        <w:t xml:space="preserve"> </w:t>
      </w:r>
    </w:p>
    <w:p w14:paraId="3436CB8C" w14:textId="0E3F40E4" w:rsidR="00CF0F10" w:rsidRPr="00F927DF" w:rsidRDefault="00CF0F10" w:rsidP="00F927DF">
      <w:pPr>
        <w:pStyle w:val="Heading4"/>
      </w:pPr>
      <w:r w:rsidRPr="00F927DF">
        <w:t xml:space="preserve">Koori Maternity Services </w:t>
      </w:r>
    </w:p>
    <w:p w14:paraId="61194ADD" w14:textId="4CEEB0C2" w:rsidR="00CF0F10" w:rsidRDefault="00CF0F10" w:rsidP="00CF0F10">
      <w:pPr>
        <w:rPr>
          <w:szCs w:val="21"/>
        </w:rPr>
      </w:pPr>
      <w:r w:rsidRPr="56C37722">
        <w:rPr>
          <w:rFonts w:eastAsia="Times"/>
          <w:szCs w:val="21"/>
        </w:rPr>
        <w:t xml:space="preserve">Koori Maternity Services (KMS) aim to increase access to earlier antenatal care, reduce smoking rates during pregnancy for Aboriginal women, reduce the proportion of Aboriginal babies born </w:t>
      </w:r>
      <w:r w:rsidR="00926D23">
        <w:rPr>
          <w:rFonts w:eastAsia="Times"/>
          <w:szCs w:val="21"/>
        </w:rPr>
        <w:t>prematurely</w:t>
      </w:r>
      <w:r w:rsidRPr="56C37722">
        <w:rPr>
          <w:rFonts w:eastAsia="Times"/>
          <w:szCs w:val="21"/>
        </w:rPr>
        <w:t>, and reduce the number of deaths of Aboriginal babies during pregnancy or soon after birth.</w:t>
      </w:r>
    </w:p>
    <w:p w14:paraId="2259FBC5" w14:textId="1F4330AD" w:rsidR="00CF0F10" w:rsidRDefault="00573973" w:rsidP="00CF0F10">
      <w:pPr>
        <w:rPr>
          <w:rFonts w:eastAsia="Times"/>
          <w:szCs w:val="21"/>
        </w:rPr>
      </w:pPr>
      <w:r>
        <w:rPr>
          <w:rFonts w:eastAsia="Times"/>
          <w:szCs w:val="21"/>
        </w:rPr>
        <w:t xml:space="preserve">KMS has </w:t>
      </w:r>
      <w:r w:rsidR="00CF0F10" w:rsidRPr="56C37722">
        <w:rPr>
          <w:rFonts w:eastAsia="Times"/>
          <w:szCs w:val="21"/>
        </w:rPr>
        <w:t>14 sites across Victoria</w:t>
      </w:r>
      <w:r>
        <w:rPr>
          <w:rFonts w:eastAsia="Times"/>
          <w:szCs w:val="21"/>
        </w:rPr>
        <w:t xml:space="preserve">. It operates as </w:t>
      </w:r>
      <w:r w:rsidR="00CF0F10" w:rsidRPr="56C37722">
        <w:rPr>
          <w:rFonts w:eastAsia="Times"/>
          <w:szCs w:val="21"/>
        </w:rPr>
        <w:t xml:space="preserve">an integral </w:t>
      </w:r>
      <w:r>
        <w:rPr>
          <w:rFonts w:eastAsia="Times"/>
          <w:szCs w:val="21"/>
        </w:rPr>
        <w:t xml:space="preserve">part </w:t>
      </w:r>
      <w:r w:rsidR="00CF0F10" w:rsidRPr="56C37722">
        <w:rPr>
          <w:rFonts w:eastAsia="Times"/>
          <w:szCs w:val="21"/>
        </w:rPr>
        <w:t xml:space="preserve">of Victoria’s maternity service system </w:t>
      </w:r>
      <w:r>
        <w:rPr>
          <w:rFonts w:eastAsia="Times"/>
          <w:szCs w:val="21"/>
        </w:rPr>
        <w:t xml:space="preserve">– </w:t>
      </w:r>
      <w:r w:rsidR="00CF0F10" w:rsidRPr="56C37722">
        <w:rPr>
          <w:rFonts w:eastAsia="Times"/>
          <w:szCs w:val="21"/>
        </w:rPr>
        <w:t>offer</w:t>
      </w:r>
      <w:r>
        <w:rPr>
          <w:rFonts w:eastAsia="Times"/>
          <w:szCs w:val="21"/>
        </w:rPr>
        <w:t>ing</w:t>
      </w:r>
      <w:r w:rsidR="00CF0F10" w:rsidRPr="56C37722">
        <w:rPr>
          <w:rFonts w:eastAsia="Times"/>
          <w:szCs w:val="21"/>
        </w:rPr>
        <w:t xml:space="preserve"> flexible, person-centred care</w:t>
      </w:r>
      <w:r>
        <w:rPr>
          <w:rFonts w:eastAsia="Times"/>
          <w:szCs w:val="21"/>
        </w:rPr>
        <w:t xml:space="preserve"> that is </w:t>
      </w:r>
      <w:r w:rsidR="00CF0F10" w:rsidRPr="56C37722">
        <w:rPr>
          <w:rFonts w:eastAsia="Times"/>
          <w:szCs w:val="21"/>
        </w:rPr>
        <w:t xml:space="preserve">strengthened by Aboriginal culture and practice and built </w:t>
      </w:r>
      <w:r>
        <w:rPr>
          <w:rFonts w:eastAsia="Times"/>
          <w:szCs w:val="21"/>
        </w:rPr>
        <w:t xml:space="preserve">on </w:t>
      </w:r>
      <w:r w:rsidR="00CF0F10" w:rsidRPr="56C37722">
        <w:rPr>
          <w:rFonts w:eastAsia="Times"/>
          <w:szCs w:val="21"/>
        </w:rPr>
        <w:t>respectful trusting relationships between women</w:t>
      </w:r>
      <w:r w:rsidR="006523E1">
        <w:rPr>
          <w:rFonts w:eastAsia="Times"/>
          <w:szCs w:val="21"/>
        </w:rPr>
        <w:t>,</w:t>
      </w:r>
      <w:r w:rsidR="00CF0F10" w:rsidRPr="56C37722">
        <w:rPr>
          <w:rFonts w:eastAsia="Times"/>
          <w:szCs w:val="21"/>
        </w:rPr>
        <w:t xml:space="preserve"> their families and </w:t>
      </w:r>
      <w:r>
        <w:rPr>
          <w:rFonts w:eastAsia="Times"/>
          <w:szCs w:val="21"/>
        </w:rPr>
        <w:t xml:space="preserve">KMS </w:t>
      </w:r>
      <w:r w:rsidR="00CF0F10" w:rsidRPr="56C37722">
        <w:rPr>
          <w:rFonts w:eastAsia="Times"/>
          <w:szCs w:val="21"/>
        </w:rPr>
        <w:t>staff.</w:t>
      </w:r>
    </w:p>
    <w:p w14:paraId="6BCA28E7" w14:textId="77777777" w:rsidR="00CF0F10" w:rsidRPr="00F927DF" w:rsidRDefault="00CF0F10" w:rsidP="00F927DF">
      <w:pPr>
        <w:pStyle w:val="Heading4"/>
      </w:pPr>
      <w:r w:rsidRPr="00F927DF">
        <w:t xml:space="preserve">Aboriginal Maternal Child Health </w:t>
      </w:r>
    </w:p>
    <w:p w14:paraId="4590296B" w14:textId="029417F5" w:rsidR="00CF0F10" w:rsidRDefault="00CF0F10" w:rsidP="00CF0F10">
      <w:pPr>
        <w:rPr>
          <w:rFonts w:eastAsia="Times"/>
          <w:szCs w:val="21"/>
        </w:rPr>
      </w:pPr>
      <w:r w:rsidRPr="56C37722">
        <w:rPr>
          <w:rFonts w:eastAsia="Times"/>
          <w:szCs w:val="21"/>
        </w:rPr>
        <w:t xml:space="preserve">The objectives of Aboriginal </w:t>
      </w:r>
      <w:r w:rsidR="00530602">
        <w:rPr>
          <w:rFonts w:eastAsia="Times"/>
          <w:szCs w:val="21"/>
        </w:rPr>
        <w:t>Maternal Child Health (</w:t>
      </w:r>
      <w:r w:rsidRPr="56C37722">
        <w:rPr>
          <w:rFonts w:eastAsia="Times"/>
          <w:szCs w:val="21"/>
        </w:rPr>
        <w:t>MCH</w:t>
      </w:r>
      <w:r w:rsidR="00530602">
        <w:rPr>
          <w:rFonts w:eastAsia="Times"/>
          <w:szCs w:val="21"/>
        </w:rPr>
        <w:t>)</w:t>
      </w:r>
      <w:r w:rsidRPr="56C37722">
        <w:rPr>
          <w:rFonts w:eastAsia="Times"/>
          <w:szCs w:val="21"/>
        </w:rPr>
        <w:t xml:space="preserve"> services are to improve access to and participation in the Universal MCH program and ensure the provision of </w:t>
      </w:r>
      <w:r w:rsidR="00573973">
        <w:rPr>
          <w:rFonts w:eastAsia="Times"/>
          <w:szCs w:val="21"/>
        </w:rPr>
        <w:t xml:space="preserve">its services are </w:t>
      </w:r>
      <w:r w:rsidRPr="56C37722">
        <w:rPr>
          <w:rFonts w:eastAsia="Times"/>
          <w:szCs w:val="21"/>
        </w:rPr>
        <w:t>culturally responsive and flexible.</w:t>
      </w:r>
    </w:p>
    <w:p w14:paraId="4691BF51" w14:textId="4660F0A8" w:rsidR="00CF0F10" w:rsidRDefault="00CF0F10" w:rsidP="00CF0F10">
      <w:pPr>
        <w:rPr>
          <w:rFonts w:eastAsia="Times"/>
          <w:szCs w:val="21"/>
        </w:rPr>
      </w:pPr>
      <w:r w:rsidRPr="56C37722">
        <w:rPr>
          <w:rFonts w:eastAsia="Times"/>
          <w:szCs w:val="21"/>
        </w:rPr>
        <w:t>This flexible program</w:t>
      </w:r>
      <w:r w:rsidR="00573973">
        <w:rPr>
          <w:rFonts w:eastAsia="Times"/>
          <w:szCs w:val="21"/>
        </w:rPr>
        <w:t xml:space="preserve"> includes </w:t>
      </w:r>
      <w:r w:rsidRPr="56C37722">
        <w:rPr>
          <w:rFonts w:eastAsia="Times"/>
          <w:szCs w:val="21"/>
        </w:rPr>
        <w:t xml:space="preserve">the </w:t>
      </w:r>
      <w:r w:rsidR="00573973">
        <w:rPr>
          <w:rFonts w:eastAsia="Times"/>
          <w:szCs w:val="21"/>
        </w:rPr>
        <w:t>10</w:t>
      </w:r>
      <w:r w:rsidR="00573973" w:rsidRPr="56C37722">
        <w:rPr>
          <w:rFonts w:eastAsia="Times"/>
          <w:szCs w:val="21"/>
        </w:rPr>
        <w:t xml:space="preserve"> </w:t>
      </w:r>
      <w:r w:rsidRPr="56C37722">
        <w:rPr>
          <w:rFonts w:eastAsia="Times"/>
          <w:szCs w:val="21"/>
        </w:rPr>
        <w:t>Key Ages and Stages (KAS) consultations for Aboriginal mothers, families and children aged 0</w:t>
      </w:r>
      <w:r w:rsidR="006D3873">
        <w:rPr>
          <w:rFonts w:eastAsia="Times"/>
          <w:szCs w:val="21"/>
        </w:rPr>
        <w:t xml:space="preserve"> </w:t>
      </w:r>
      <w:r w:rsidR="00BF6954">
        <w:rPr>
          <w:rFonts w:eastAsia="Times"/>
          <w:szCs w:val="21"/>
        </w:rPr>
        <w:t xml:space="preserve">to </w:t>
      </w:r>
      <w:r w:rsidRPr="56C37722">
        <w:rPr>
          <w:rFonts w:eastAsia="Times"/>
          <w:szCs w:val="21"/>
        </w:rPr>
        <w:t>5 years.</w:t>
      </w:r>
      <w:r w:rsidR="00573973">
        <w:rPr>
          <w:rFonts w:eastAsia="Times"/>
          <w:szCs w:val="21"/>
        </w:rPr>
        <w:t xml:space="preserve"> Services are </w:t>
      </w:r>
      <w:r w:rsidRPr="56C37722">
        <w:rPr>
          <w:rFonts w:eastAsia="Times"/>
          <w:szCs w:val="21"/>
        </w:rPr>
        <w:t xml:space="preserve">shaped around </w:t>
      </w:r>
      <w:r w:rsidR="00573973">
        <w:rPr>
          <w:rFonts w:eastAsia="Times"/>
          <w:szCs w:val="21"/>
        </w:rPr>
        <w:t xml:space="preserve">the </w:t>
      </w:r>
      <w:r w:rsidRPr="56C37722">
        <w:rPr>
          <w:rFonts w:eastAsia="Times"/>
          <w:szCs w:val="21"/>
        </w:rPr>
        <w:t xml:space="preserve">needs </w:t>
      </w:r>
      <w:r w:rsidR="00573973">
        <w:rPr>
          <w:rFonts w:eastAsia="Times"/>
          <w:szCs w:val="21"/>
        </w:rPr>
        <w:t xml:space="preserve">of </w:t>
      </w:r>
      <w:r w:rsidR="00573973" w:rsidRPr="56C37722">
        <w:rPr>
          <w:rFonts w:eastAsia="Times"/>
          <w:szCs w:val="21"/>
        </w:rPr>
        <w:t xml:space="preserve">Aboriginal children and families </w:t>
      </w:r>
      <w:r w:rsidRPr="56C37722">
        <w:rPr>
          <w:rFonts w:eastAsia="Times"/>
          <w:szCs w:val="21"/>
        </w:rPr>
        <w:t xml:space="preserve">rather </w:t>
      </w:r>
      <w:r w:rsidR="00573973">
        <w:rPr>
          <w:rFonts w:eastAsia="Times"/>
          <w:szCs w:val="21"/>
        </w:rPr>
        <w:t xml:space="preserve">than the requirements of </w:t>
      </w:r>
      <w:r w:rsidRPr="56C37722">
        <w:rPr>
          <w:rFonts w:eastAsia="Times"/>
          <w:szCs w:val="21"/>
        </w:rPr>
        <w:t xml:space="preserve">existing system structures. </w:t>
      </w:r>
    </w:p>
    <w:p w14:paraId="60657146" w14:textId="19DC2121" w:rsidR="00CF0F10" w:rsidRDefault="00573973" w:rsidP="00CF0F10">
      <w:pPr>
        <w:rPr>
          <w:rFonts w:eastAsia="Times"/>
          <w:szCs w:val="21"/>
        </w:rPr>
      </w:pPr>
      <w:r>
        <w:rPr>
          <w:rFonts w:eastAsia="Times"/>
          <w:szCs w:val="21"/>
        </w:rPr>
        <w:t xml:space="preserve">The success of </w:t>
      </w:r>
      <w:r w:rsidR="00CF0F10" w:rsidRPr="56C37722">
        <w:rPr>
          <w:rFonts w:eastAsia="Times"/>
          <w:szCs w:val="21"/>
        </w:rPr>
        <w:t xml:space="preserve">MCH </w:t>
      </w:r>
      <w:r>
        <w:rPr>
          <w:rFonts w:eastAsia="Times"/>
          <w:szCs w:val="21"/>
        </w:rPr>
        <w:t>depends on</w:t>
      </w:r>
      <w:r w:rsidRPr="56C37722">
        <w:rPr>
          <w:rFonts w:eastAsia="Times"/>
          <w:szCs w:val="21"/>
        </w:rPr>
        <w:t xml:space="preserve"> the delivery of flexible and culturally responsive </w:t>
      </w:r>
      <w:r>
        <w:rPr>
          <w:rFonts w:eastAsia="Times"/>
          <w:szCs w:val="21"/>
        </w:rPr>
        <w:t xml:space="preserve">services through </w:t>
      </w:r>
      <w:r w:rsidR="00CF0F10" w:rsidRPr="56C37722">
        <w:rPr>
          <w:rFonts w:eastAsia="Times"/>
          <w:szCs w:val="21"/>
        </w:rPr>
        <w:t>str</w:t>
      </w:r>
      <w:r>
        <w:rPr>
          <w:rFonts w:eastAsia="Times"/>
          <w:szCs w:val="21"/>
        </w:rPr>
        <w:t>ong</w:t>
      </w:r>
      <w:r w:rsidR="00CF0F10" w:rsidRPr="56C37722">
        <w:rPr>
          <w:rFonts w:eastAsia="Times"/>
          <w:szCs w:val="21"/>
        </w:rPr>
        <w:t xml:space="preserve"> partnerships </w:t>
      </w:r>
      <w:r>
        <w:rPr>
          <w:rFonts w:eastAsia="Times"/>
          <w:szCs w:val="21"/>
        </w:rPr>
        <w:t xml:space="preserve">with maternal care </w:t>
      </w:r>
      <w:r w:rsidR="00CF0F10" w:rsidRPr="56C37722">
        <w:rPr>
          <w:rFonts w:eastAsia="Times"/>
          <w:szCs w:val="21"/>
        </w:rPr>
        <w:t>providers and local Aboriginal communities.</w:t>
      </w:r>
    </w:p>
    <w:p w14:paraId="2EB76505" w14:textId="77777777" w:rsidR="00CF0F10" w:rsidRDefault="00CF0F10" w:rsidP="006D4FC9">
      <w:pPr>
        <w:pStyle w:val="Heading3"/>
      </w:pPr>
      <w:r w:rsidRPr="61383438">
        <w:t>Find out more</w:t>
      </w:r>
    </w:p>
    <w:p w14:paraId="60145AF4" w14:textId="5659D586" w:rsidR="00CF0F10" w:rsidRPr="000F2D6C" w:rsidRDefault="00CF0F10" w:rsidP="00CF0F10">
      <w:pPr>
        <w:rPr>
          <w:color w:val="2A2736"/>
          <w:szCs w:val="21"/>
        </w:rPr>
      </w:pPr>
      <w:r w:rsidRPr="000F2D6C">
        <w:rPr>
          <w:rFonts w:eastAsia="Times"/>
          <w:szCs w:val="21"/>
        </w:rPr>
        <w:t>The Better Health Channel’s</w:t>
      </w:r>
      <w:r w:rsidRPr="000F2D6C">
        <w:rPr>
          <w:color w:val="2A2736"/>
          <w:szCs w:val="21"/>
        </w:rPr>
        <w:t xml:space="preserve"> </w:t>
      </w:r>
      <w:bookmarkStart w:id="96" w:name="_Hlk122451858"/>
      <w:r w:rsidR="00701A2D" w:rsidRPr="000F2D6C">
        <w:fldChar w:fldCharType="begin"/>
      </w:r>
      <w:r w:rsidR="00610123">
        <w:instrText xml:space="preserve">HYPERLINK "https://www.betterhealth.vic.gov.au/health/HealthyLiving/pregnancy-and-smoking" \h </w:instrText>
      </w:r>
      <w:r w:rsidR="00701A2D" w:rsidRPr="000F2D6C">
        <w:fldChar w:fldCharType="separate"/>
      </w:r>
      <w:r w:rsidR="00610123">
        <w:rPr>
          <w:rStyle w:val="Hyperlink"/>
          <w:szCs w:val="21"/>
        </w:rPr>
        <w:t>pregnancy and smoking webpage</w:t>
      </w:r>
      <w:r w:rsidR="00701A2D" w:rsidRPr="000F2D6C">
        <w:rPr>
          <w:rStyle w:val="Hyperlink"/>
          <w:szCs w:val="21"/>
        </w:rPr>
        <w:fldChar w:fldCharType="end"/>
      </w:r>
      <w:bookmarkEnd w:id="96"/>
      <w:r w:rsidRPr="000F2D6C">
        <w:rPr>
          <w:color w:val="2A2736"/>
          <w:szCs w:val="21"/>
        </w:rPr>
        <w:t>.</w:t>
      </w:r>
      <w:r w:rsidR="00864EA2" w:rsidRPr="000F2D6C">
        <w:rPr>
          <w:color w:val="2A2736"/>
          <w:szCs w:val="21"/>
        </w:rPr>
        <w:t xml:space="preserve"> &lt;https://www.betterhealth.vic.gov.au/health/HealthyLiving/pregnancy-and-smoking&gt;</w:t>
      </w:r>
    </w:p>
    <w:p w14:paraId="07F23AFB" w14:textId="647B07EC" w:rsidR="00CF0F10" w:rsidRPr="000F2D6C" w:rsidRDefault="00CF0F10" w:rsidP="00CF0F10">
      <w:pPr>
        <w:rPr>
          <w:szCs w:val="21"/>
        </w:rPr>
      </w:pPr>
      <w:r w:rsidRPr="000F2D6C">
        <w:rPr>
          <w:rFonts w:eastAsia="Times"/>
          <w:szCs w:val="21"/>
        </w:rPr>
        <w:t>The Better Health Channel’s</w:t>
      </w:r>
      <w:r w:rsidRPr="000F2D6C">
        <w:rPr>
          <w:color w:val="2A2736"/>
          <w:szCs w:val="21"/>
        </w:rPr>
        <w:t xml:space="preserve"> </w:t>
      </w:r>
      <w:bookmarkStart w:id="97" w:name="_Hlk121154170"/>
      <w:r w:rsidR="00C36B2A" w:rsidRPr="000F2D6C">
        <w:fldChar w:fldCharType="begin"/>
      </w:r>
      <w:r w:rsidR="00610123">
        <w:instrText xml:space="preserve">HYPERLINK "https://www.betterhealth.vic.gov.au/health/healthyliving/breastfeeding" \h </w:instrText>
      </w:r>
      <w:r w:rsidR="00C36B2A" w:rsidRPr="000F2D6C">
        <w:fldChar w:fldCharType="separate"/>
      </w:r>
      <w:r w:rsidR="00610123">
        <w:rPr>
          <w:rStyle w:val="Hyperlink"/>
          <w:szCs w:val="21"/>
        </w:rPr>
        <w:t>breastfeeding webpage</w:t>
      </w:r>
      <w:r w:rsidR="00C36B2A" w:rsidRPr="000F2D6C">
        <w:rPr>
          <w:rStyle w:val="Hyperlink"/>
          <w:szCs w:val="21"/>
        </w:rPr>
        <w:fldChar w:fldCharType="end"/>
      </w:r>
      <w:bookmarkEnd w:id="97"/>
      <w:r w:rsidRPr="000F2D6C">
        <w:rPr>
          <w:color w:val="2A2736"/>
          <w:szCs w:val="21"/>
        </w:rPr>
        <w:t>.</w:t>
      </w:r>
      <w:r w:rsidR="00864EA2" w:rsidRPr="000F2D6C">
        <w:rPr>
          <w:color w:val="2A2736"/>
          <w:szCs w:val="21"/>
        </w:rPr>
        <w:t xml:space="preserve"> &lt;https://www.betterhealth.vic.gov.au/health/healthyliving/breastfeeding&gt;</w:t>
      </w:r>
    </w:p>
    <w:p w14:paraId="72CD57B8" w14:textId="56D9621B" w:rsidR="00CF0F10" w:rsidRPr="000F2D6C" w:rsidRDefault="00CF0F10" w:rsidP="00CF0F10">
      <w:pPr>
        <w:pStyle w:val="Body"/>
        <w:rPr>
          <w:szCs w:val="21"/>
        </w:rPr>
      </w:pPr>
      <w:r w:rsidRPr="000F2D6C">
        <w:rPr>
          <w:szCs w:val="21"/>
        </w:rPr>
        <w:t xml:space="preserve">The Department of Health </w:t>
      </w:r>
      <w:r w:rsidRPr="000F2D6C">
        <w:rPr>
          <w:color w:val="004C97"/>
          <w:szCs w:val="21"/>
          <w:u w:val="dotted"/>
        </w:rPr>
        <w:t>A</w:t>
      </w:r>
      <w:bookmarkStart w:id="98" w:name="_Hlk121154182"/>
      <w:r w:rsidR="00C36B2A" w:rsidRPr="000F2D6C">
        <w:fldChar w:fldCharType="begin"/>
      </w:r>
      <w:r w:rsidR="00C36B2A" w:rsidRPr="000F2D6C">
        <w:rPr>
          <w:szCs w:val="21"/>
        </w:rPr>
        <w:instrText xml:space="preserve"> HYPERLINK "https://www.health.vic.gov.au/patient-care/aboriginal-maternity-services" \h </w:instrText>
      </w:r>
      <w:r w:rsidR="00C36B2A" w:rsidRPr="000F2D6C">
        <w:fldChar w:fldCharType="separate"/>
      </w:r>
      <w:r w:rsidRPr="000F2D6C">
        <w:rPr>
          <w:rStyle w:val="Hyperlink"/>
          <w:szCs w:val="21"/>
        </w:rPr>
        <w:t>boriginal-maternity-services</w:t>
      </w:r>
      <w:r w:rsidR="00C36B2A" w:rsidRPr="000F2D6C">
        <w:rPr>
          <w:rStyle w:val="Hyperlink"/>
          <w:szCs w:val="21"/>
        </w:rPr>
        <w:fldChar w:fldCharType="end"/>
      </w:r>
      <w:bookmarkEnd w:id="98"/>
      <w:r w:rsidR="00454CE6">
        <w:rPr>
          <w:rStyle w:val="Hyperlink"/>
          <w:szCs w:val="21"/>
        </w:rPr>
        <w:t xml:space="preserve"> </w:t>
      </w:r>
      <w:r w:rsidR="00454CE6" w:rsidRPr="00E50DC4">
        <w:rPr>
          <w:rStyle w:val="Hyperlink"/>
          <w:color w:val="000000" w:themeColor="text1"/>
          <w:szCs w:val="21"/>
          <w:u w:val="none"/>
        </w:rPr>
        <w:t>webpage</w:t>
      </w:r>
      <w:r w:rsidRPr="00E50DC4">
        <w:rPr>
          <w:color w:val="000000" w:themeColor="text1"/>
          <w:szCs w:val="21"/>
        </w:rPr>
        <w:t xml:space="preserve"> </w:t>
      </w:r>
      <w:r w:rsidR="00864EA2" w:rsidRPr="000F2D6C">
        <w:rPr>
          <w:szCs w:val="21"/>
        </w:rPr>
        <w:t>&lt;https://www.health.vic.gov.au/patient-care/aboriginal-maternity-services&gt;</w:t>
      </w:r>
    </w:p>
    <w:p w14:paraId="4AAB11F3" w14:textId="3D630F36" w:rsidR="00CF0F10" w:rsidRPr="000F2D6C" w:rsidRDefault="00CF0F10" w:rsidP="00CF0F10">
      <w:pPr>
        <w:pStyle w:val="Body"/>
        <w:rPr>
          <w:szCs w:val="21"/>
        </w:rPr>
      </w:pPr>
      <w:r w:rsidRPr="000F2D6C">
        <w:rPr>
          <w:szCs w:val="21"/>
        </w:rPr>
        <w:t xml:space="preserve">The Department of Health </w:t>
      </w:r>
      <w:hyperlink r:id="rId95" w:history="1">
        <w:r w:rsidR="00E50DC4" w:rsidRPr="00E50DC4">
          <w:rPr>
            <w:rStyle w:val="Hyperlink"/>
            <w:szCs w:val="21"/>
          </w:rPr>
          <w:t>Aboriginal led maternal child health services</w:t>
        </w:r>
      </w:hyperlink>
      <w:r w:rsidRPr="000F2D6C">
        <w:rPr>
          <w:szCs w:val="21"/>
        </w:rPr>
        <w:t xml:space="preserve"> </w:t>
      </w:r>
      <w:r w:rsidR="00E50DC4">
        <w:rPr>
          <w:szCs w:val="21"/>
        </w:rPr>
        <w:t xml:space="preserve">webpage </w:t>
      </w:r>
      <w:r w:rsidR="00864EA2" w:rsidRPr="000F2D6C">
        <w:rPr>
          <w:szCs w:val="21"/>
        </w:rPr>
        <w:t>&lt;https://www.health.vic.gov.au/maternal-child-health/aboriginal-maternal-and-child-health-aboriginal-led-mch-services&gt;</w:t>
      </w:r>
      <w:r w:rsidR="00851322">
        <w:rPr>
          <w:szCs w:val="21"/>
        </w:rPr>
        <w:t>.</w:t>
      </w:r>
    </w:p>
    <w:p w14:paraId="4C233E0A" w14:textId="77777777" w:rsidR="00CF0F10" w:rsidRDefault="00CF0F10" w:rsidP="00CF0F10">
      <w:pPr>
        <w:pStyle w:val="Heading2"/>
      </w:pPr>
      <w:bookmarkStart w:id="99" w:name="_Toc116981346"/>
      <w:r>
        <w:t>Safe sleeping of infants</w:t>
      </w:r>
      <w:bookmarkEnd w:id="99"/>
      <w:r>
        <w:t xml:space="preserve">  </w:t>
      </w:r>
    </w:p>
    <w:p w14:paraId="7F0FD0DB" w14:textId="77777777" w:rsidR="00CF0F10" w:rsidRDefault="00CF0F10" w:rsidP="00CF0F10">
      <w:pPr>
        <w:rPr>
          <w:rFonts w:eastAsia="Times"/>
          <w:szCs w:val="21"/>
        </w:rPr>
      </w:pPr>
      <w:r w:rsidRPr="65C65545">
        <w:rPr>
          <w:rFonts w:eastAsia="Times"/>
        </w:rPr>
        <w:t xml:space="preserve">It is vital for all parents, carers and service providers to ensure infants are safe when they sleep. </w:t>
      </w:r>
    </w:p>
    <w:p w14:paraId="1CCC6FDA" w14:textId="032C2069" w:rsidR="00CF0F10" w:rsidRDefault="00CF0F10" w:rsidP="00CF0F10">
      <w:pPr>
        <w:rPr>
          <w:rFonts w:eastAsia="Times"/>
        </w:rPr>
      </w:pPr>
      <w:r w:rsidRPr="65C65545">
        <w:rPr>
          <w:rFonts w:eastAsia="Times"/>
          <w:szCs w:val="21"/>
        </w:rPr>
        <w:t>The need for state</w:t>
      </w:r>
      <w:r w:rsidR="00573973">
        <w:rPr>
          <w:rFonts w:eastAsia="Times"/>
          <w:szCs w:val="21"/>
        </w:rPr>
        <w:t>-</w:t>
      </w:r>
      <w:r w:rsidRPr="65C65545">
        <w:rPr>
          <w:rFonts w:eastAsia="Times"/>
          <w:szCs w:val="21"/>
        </w:rPr>
        <w:t xml:space="preserve">wide safe infant sleeping guidance has been highlighted through recent coronial findings. They have called for consistent advice to be provided to parents regarding the practice of co-sleeping (sharing the same sleep surface). </w:t>
      </w:r>
    </w:p>
    <w:p w14:paraId="69EBAF45" w14:textId="0282E686" w:rsidR="00CF0F10" w:rsidRDefault="00CF0F10" w:rsidP="00CF0F10">
      <w:pPr>
        <w:rPr>
          <w:rFonts w:eastAsia="Arial" w:cs="Arial"/>
          <w:sz w:val="20"/>
          <w:vertAlign w:val="superscript"/>
        </w:rPr>
      </w:pPr>
      <w:r w:rsidRPr="65C65545">
        <w:rPr>
          <w:rFonts w:eastAsia="Times"/>
          <w:szCs w:val="21"/>
        </w:rPr>
        <w:lastRenderedPageBreak/>
        <w:t xml:space="preserve">Although the rates of </w:t>
      </w:r>
      <w:r>
        <w:rPr>
          <w:rFonts w:eastAsia="Times"/>
          <w:szCs w:val="21"/>
        </w:rPr>
        <w:t>sudden unexpected death in infants (</w:t>
      </w:r>
      <w:r w:rsidRPr="65C65545">
        <w:rPr>
          <w:rFonts w:eastAsia="Times"/>
          <w:szCs w:val="21"/>
        </w:rPr>
        <w:t>SUDI</w:t>
      </w:r>
      <w:r>
        <w:rPr>
          <w:rFonts w:eastAsia="Times"/>
          <w:szCs w:val="21"/>
        </w:rPr>
        <w:t>)</w:t>
      </w:r>
      <w:r w:rsidRPr="65C65545">
        <w:rPr>
          <w:rFonts w:eastAsia="Times"/>
          <w:szCs w:val="21"/>
        </w:rPr>
        <w:t xml:space="preserve"> continue to decline in Australia, it remains a significant cause of death in infants under one year of age. In 2018</w:t>
      </w:r>
      <w:r w:rsidR="00573973">
        <w:rPr>
          <w:rFonts w:eastAsia="Times"/>
          <w:szCs w:val="21"/>
        </w:rPr>
        <w:t>,</w:t>
      </w:r>
      <w:r w:rsidRPr="65C65545">
        <w:rPr>
          <w:rFonts w:eastAsia="Times"/>
          <w:szCs w:val="21"/>
        </w:rPr>
        <w:t xml:space="preserve"> there were 93 deaths classified as SUDI in Australia</w:t>
      </w:r>
      <w:r w:rsidR="00573973">
        <w:rPr>
          <w:rFonts w:eastAsia="Times"/>
          <w:szCs w:val="21"/>
        </w:rPr>
        <w:t xml:space="preserve">. Those deaths </w:t>
      </w:r>
      <w:r w:rsidRPr="65C65545">
        <w:rPr>
          <w:rFonts w:eastAsia="Times"/>
          <w:szCs w:val="21"/>
        </w:rPr>
        <w:t>include</w:t>
      </w:r>
      <w:r w:rsidR="00573973">
        <w:rPr>
          <w:rFonts w:eastAsia="Times"/>
          <w:szCs w:val="21"/>
        </w:rPr>
        <w:t>d</w:t>
      </w:r>
      <w:r w:rsidRPr="65C65545">
        <w:rPr>
          <w:rFonts w:eastAsia="Times"/>
          <w:szCs w:val="21"/>
        </w:rPr>
        <w:t xml:space="preserve"> </w:t>
      </w:r>
      <w:r>
        <w:rPr>
          <w:rFonts w:eastAsia="Times"/>
          <w:szCs w:val="21"/>
        </w:rPr>
        <w:t>sudden infant death syndrome (</w:t>
      </w:r>
      <w:r w:rsidRPr="65C65545">
        <w:rPr>
          <w:rFonts w:eastAsia="Times"/>
          <w:szCs w:val="21"/>
        </w:rPr>
        <w:t>SIDS</w:t>
      </w:r>
      <w:r>
        <w:rPr>
          <w:rFonts w:eastAsia="Times"/>
          <w:szCs w:val="21"/>
        </w:rPr>
        <w:t>)</w:t>
      </w:r>
      <w:r w:rsidRPr="65C65545">
        <w:rPr>
          <w:rFonts w:eastAsia="Times"/>
          <w:szCs w:val="21"/>
        </w:rPr>
        <w:t xml:space="preserve"> and fatal sleeping accidents (a rate of 0.3 deaths per 1,000 births).</w:t>
      </w:r>
      <w:r w:rsidRPr="65C65545">
        <w:rPr>
          <w:rFonts w:eastAsia="Times"/>
        </w:rPr>
        <w:t xml:space="preserve"> </w:t>
      </w:r>
    </w:p>
    <w:p w14:paraId="11AFE94C" w14:textId="1963F37F" w:rsidR="00CF0F10" w:rsidRDefault="00CF0F10" w:rsidP="00CF0F10">
      <w:pPr>
        <w:rPr>
          <w:rFonts w:eastAsia="Times"/>
        </w:rPr>
      </w:pPr>
      <w:r w:rsidRPr="65C65545">
        <w:rPr>
          <w:rFonts w:eastAsia="Times"/>
        </w:rPr>
        <w:t xml:space="preserve">The safest place for babies to sleep </w:t>
      </w:r>
      <w:r w:rsidR="00573973">
        <w:rPr>
          <w:rFonts w:eastAsia="Times"/>
        </w:rPr>
        <w:t xml:space="preserve">during </w:t>
      </w:r>
      <w:r w:rsidR="00573973" w:rsidRPr="65C65545">
        <w:rPr>
          <w:rFonts w:eastAsia="Times"/>
        </w:rPr>
        <w:t>the first 6</w:t>
      </w:r>
      <w:r w:rsidR="001C1F91">
        <w:rPr>
          <w:rFonts w:eastAsia="Times"/>
        </w:rPr>
        <w:t xml:space="preserve"> to </w:t>
      </w:r>
      <w:r w:rsidR="00573973" w:rsidRPr="65C65545">
        <w:rPr>
          <w:rFonts w:eastAsia="Times"/>
        </w:rPr>
        <w:t xml:space="preserve">12 months of </w:t>
      </w:r>
      <w:r w:rsidR="00573973">
        <w:rPr>
          <w:rFonts w:eastAsia="Times"/>
        </w:rPr>
        <w:t xml:space="preserve">their </w:t>
      </w:r>
      <w:r w:rsidR="00573973" w:rsidRPr="65C65545">
        <w:rPr>
          <w:rFonts w:eastAsia="Times"/>
        </w:rPr>
        <w:t xml:space="preserve">life </w:t>
      </w:r>
      <w:r w:rsidRPr="65C65545">
        <w:rPr>
          <w:rFonts w:eastAsia="Times"/>
        </w:rPr>
        <w:t>is in their own cot, located in the same room as an adult caregive</w:t>
      </w:r>
      <w:r w:rsidR="00573973">
        <w:rPr>
          <w:rFonts w:eastAsia="Times"/>
        </w:rPr>
        <w:t>r</w:t>
      </w:r>
      <w:r w:rsidRPr="65C65545">
        <w:rPr>
          <w:rFonts w:eastAsia="Times"/>
        </w:rPr>
        <w:t xml:space="preserve"> (</w:t>
      </w:r>
      <w:r w:rsidR="00573973">
        <w:rPr>
          <w:rFonts w:eastAsia="Times"/>
        </w:rPr>
        <w:t>DHHS,</w:t>
      </w:r>
      <w:r w:rsidRPr="65C65545">
        <w:rPr>
          <w:rFonts w:eastAsia="Times"/>
        </w:rPr>
        <w:t xml:space="preserve"> 2017).</w:t>
      </w:r>
    </w:p>
    <w:p w14:paraId="2495CC6C" w14:textId="29BD95AC" w:rsidR="00CF0F10" w:rsidRDefault="00CF0F10" w:rsidP="00CF0F10">
      <w:pPr>
        <w:rPr>
          <w:rFonts w:eastAsia="Times"/>
          <w:szCs w:val="21"/>
        </w:rPr>
      </w:pPr>
      <w:r w:rsidRPr="61383438">
        <w:rPr>
          <w:rFonts w:eastAsia="Times"/>
          <w:szCs w:val="21"/>
        </w:rPr>
        <w:t>Babies should also sleep in a lightweight sleeping bag of the correct size that has a fitted neck, armholes or sleeves and no hood (</w:t>
      </w:r>
      <w:r w:rsidR="00573973">
        <w:rPr>
          <w:rFonts w:eastAsia="Times"/>
          <w:szCs w:val="21"/>
        </w:rPr>
        <w:t>DHHS,</w:t>
      </w:r>
      <w:r w:rsidRPr="61383438">
        <w:rPr>
          <w:rFonts w:eastAsia="Times"/>
          <w:szCs w:val="21"/>
        </w:rPr>
        <w:t xml:space="preserve"> 2017). </w:t>
      </w:r>
    </w:p>
    <w:p w14:paraId="21D00D79" w14:textId="77777777" w:rsidR="00CF0F10" w:rsidRDefault="00CF0F10" w:rsidP="00CF0F10">
      <w:pPr>
        <w:rPr>
          <w:rFonts w:eastAsia="Times"/>
          <w:szCs w:val="21"/>
        </w:rPr>
      </w:pPr>
      <w:r w:rsidRPr="61383438">
        <w:rPr>
          <w:rFonts w:eastAsia="Times"/>
          <w:szCs w:val="21"/>
        </w:rPr>
        <w:t>Factors that contribute to the risk of sudden unexpected death in infancy include:</w:t>
      </w:r>
    </w:p>
    <w:p w14:paraId="45A1A450"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exposure to smoke (both before and after birth)</w:t>
      </w:r>
    </w:p>
    <w:p w14:paraId="6529643B"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sharing a bed with an adult (especially if the adult is affected by alcohol or drugs)</w:t>
      </w:r>
    </w:p>
    <w:p w14:paraId="7FF71D19" w14:textId="77777777" w:rsidR="00CF0F10" w:rsidRDefault="00CF0F10" w:rsidP="0048139E">
      <w:pPr>
        <w:pStyle w:val="Bullet1"/>
        <w:rPr>
          <w:rFonts w:ascii="Arial,Times New Roman,Times" w:eastAsia="Arial,Times New Roman,Times" w:hAnsi="Arial,Times New Roman,Times" w:cs="Arial,Times New Roman,Times"/>
          <w:color w:val="2A2736"/>
        </w:rPr>
      </w:pPr>
      <w:r w:rsidRPr="2DA223D6">
        <w:t xml:space="preserve">an unsafe sleeping environment and/or position (Better Health Channel). </w:t>
      </w:r>
    </w:p>
    <w:p w14:paraId="462436FA" w14:textId="6F7D094C" w:rsidR="00CF0F10" w:rsidRDefault="00CF0F10" w:rsidP="00CF0F10">
      <w:pPr>
        <w:rPr>
          <w:rFonts w:eastAsia="Times"/>
          <w:szCs w:val="21"/>
        </w:rPr>
      </w:pPr>
      <w:r w:rsidRPr="65C65545">
        <w:rPr>
          <w:rFonts w:eastAsia="Times"/>
          <w:szCs w:val="21"/>
        </w:rPr>
        <w:t>It is essential that all families – including parents, extended family</w:t>
      </w:r>
      <w:r w:rsidR="00573973">
        <w:rPr>
          <w:rFonts w:eastAsia="Times"/>
          <w:szCs w:val="21"/>
        </w:rPr>
        <w:t>,</w:t>
      </w:r>
      <w:r w:rsidRPr="65C65545">
        <w:rPr>
          <w:rFonts w:eastAsia="Times"/>
          <w:szCs w:val="21"/>
        </w:rPr>
        <w:t xml:space="preserve"> and other caregivers – receive clear and consistent information about safe sleeping and reducing the risk of SUDI. </w:t>
      </w:r>
      <w:r w:rsidR="00573973">
        <w:rPr>
          <w:rFonts w:eastAsia="Times"/>
          <w:szCs w:val="21"/>
        </w:rPr>
        <w:t>P</w:t>
      </w:r>
      <w:r w:rsidRPr="65C65545">
        <w:rPr>
          <w:rFonts w:eastAsia="Times"/>
          <w:szCs w:val="21"/>
        </w:rPr>
        <w:t xml:space="preserve">arents </w:t>
      </w:r>
      <w:r w:rsidR="00573973">
        <w:rPr>
          <w:rFonts w:eastAsia="Times"/>
          <w:szCs w:val="21"/>
        </w:rPr>
        <w:t xml:space="preserve">should </w:t>
      </w:r>
      <w:r w:rsidRPr="65C65545">
        <w:rPr>
          <w:rFonts w:eastAsia="Times"/>
          <w:szCs w:val="21"/>
        </w:rPr>
        <w:t>discuss safe sleeping before and after birth and to complete a safe sleeping checklist with their maternal child health nurse at home.</w:t>
      </w:r>
    </w:p>
    <w:p w14:paraId="765DE810" w14:textId="77777777" w:rsidR="00CF0F10" w:rsidRPr="00CF0F10" w:rsidRDefault="00CF0F10" w:rsidP="00CF0F10">
      <w:pPr>
        <w:rPr>
          <w:rFonts w:eastAsia="Times"/>
          <w:color w:val="000000" w:themeColor="text1"/>
          <w:szCs w:val="21"/>
        </w:rPr>
      </w:pPr>
      <w:r w:rsidRPr="61383438">
        <w:rPr>
          <w:rFonts w:eastAsia="Times"/>
          <w:szCs w:val="21"/>
        </w:rPr>
        <w:t>The risk of unexpected death during sleep in infants can be minimised by following safe sleeping guideli</w:t>
      </w:r>
      <w:r w:rsidRPr="00CF0F10">
        <w:rPr>
          <w:rFonts w:eastAsia="Times"/>
          <w:color w:val="000000" w:themeColor="text1"/>
          <w:szCs w:val="21"/>
        </w:rPr>
        <w:t xml:space="preserve">nes, outlined in: </w:t>
      </w:r>
    </w:p>
    <w:p w14:paraId="0B9CA673" w14:textId="11BD73F1" w:rsidR="00CF0F10" w:rsidRDefault="00CF0F10" w:rsidP="0048139E">
      <w:pPr>
        <w:pStyle w:val="Bullet1"/>
        <w:rPr>
          <w:rFonts w:eastAsia="Arial" w:cs="Arial"/>
          <w:color w:val="C63663"/>
        </w:rPr>
      </w:pPr>
      <w:r w:rsidRPr="00CF0F10">
        <w:rPr>
          <w:color w:val="000000" w:themeColor="text1"/>
        </w:rPr>
        <w:t>the</w:t>
      </w:r>
      <w:r w:rsidRPr="002C7213">
        <w:rPr>
          <w:color w:val="000000" w:themeColor="text1"/>
        </w:rPr>
        <w:t xml:space="preserve"> </w:t>
      </w:r>
      <w:bookmarkStart w:id="100" w:name="_Hlk121154258"/>
      <w:r w:rsidR="00C36B2A" w:rsidRPr="002C7213">
        <w:fldChar w:fldCharType="begin"/>
      </w:r>
      <w:r w:rsidR="00C36B2A" w:rsidRPr="002C7213">
        <w:rPr>
          <w:color w:val="000000" w:themeColor="text1"/>
        </w:rPr>
        <w:instrText xml:space="preserve"> HYPERLINK "http://www.betterhealth.vic.gov.au/health/healthyliving/babies-and-safety" \h </w:instrText>
      </w:r>
      <w:r w:rsidR="00C36B2A" w:rsidRPr="002C7213">
        <w:fldChar w:fldCharType="separate"/>
      </w:r>
      <w:r w:rsidRPr="002C7213">
        <w:t>B</w:t>
      </w:r>
      <w:r w:rsidRPr="002C7213">
        <w:rPr>
          <w:rStyle w:val="Hyperlink"/>
          <w:color w:val="000000" w:themeColor="text1"/>
          <w:u w:val="none"/>
        </w:rPr>
        <w:t>etter Health Channel</w:t>
      </w:r>
      <w:r w:rsidR="00C36B2A" w:rsidRPr="002C7213">
        <w:rPr>
          <w:rStyle w:val="Hyperlink"/>
          <w:color w:val="000000" w:themeColor="text1"/>
          <w:u w:val="none"/>
        </w:rPr>
        <w:fldChar w:fldCharType="end"/>
      </w:r>
      <w:bookmarkEnd w:id="100"/>
      <w:r w:rsidR="001310BF">
        <w:rPr>
          <w:rStyle w:val="Hyperlink"/>
        </w:rPr>
        <w:t xml:space="preserve"> </w:t>
      </w:r>
      <w:hyperlink r:id="rId96" w:history="1">
        <w:r w:rsidR="002C7213">
          <w:rPr>
            <w:rStyle w:val="Hyperlink"/>
          </w:rPr>
          <w:t>babies and safety</w:t>
        </w:r>
      </w:hyperlink>
      <w:r w:rsidR="000F2D6C" w:rsidRPr="002C7213">
        <w:rPr>
          <w:rStyle w:val="Hyperlink"/>
          <w:color w:val="000000" w:themeColor="text1"/>
          <w:u w:val="none"/>
        </w:rPr>
        <w:t xml:space="preserve"> </w:t>
      </w:r>
      <w:r w:rsidR="002C7213" w:rsidRPr="002C7213">
        <w:rPr>
          <w:rStyle w:val="Hyperlink"/>
          <w:color w:val="000000" w:themeColor="text1"/>
          <w:u w:val="none"/>
        </w:rPr>
        <w:t>webpage</w:t>
      </w:r>
      <w:r w:rsidR="002C7213" w:rsidRPr="002C7213">
        <w:rPr>
          <w:rStyle w:val="Hyperlink"/>
          <w:color w:val="000000" w:themeColor="text1"/>
        </w:rPr>
        <w:t xml:space="preserve"> </w:t>
      </w:r>
      <w:r w:rsidR="001310BF" w:rsidRPr="001310BF">
        <w:rPr>
          <w:rStyle w:val="Hyperlink"/>
          <w:color w:val="auto"/>
          <w:u w:val="none"/>
        </w:rPr>
        <w:t>&lt;http://www.betterhealth.vic.gov.au/health/healthyliving/babies-and-safety</w:t>
      </w:r>
      <w:r w:rsidR="001310BF">
        <w:rPr>
          <w:rStyle w:val="Hyperlink"/>
          <w:color w:val="auto"/>
          <w:u w:val="none"/>
        </w:rPr>
        <w:t>&gt;</w:t>
      </w:r>
    </w:p>
    <w:p w14:paraId="13AA4E57" w14:textId="5A2A4F25" w:rsidR="00CF0F10" w:rsidRPr="00A468D1" w:rsidRDefault="00CF0F10" w:rsidP="00851322">
      <w:pPr>
        <w:pStyle w:val="Bullet1"/>
        <w:spacing w:after="240"/>
        <w:rPr>
          <w:rFonts w:eastAsia="Arial" w:cs="Arial"/>
          <w:color w:val="2A2736"/>
        </w:rPr>
      </w:pPr>
      <w:r w:rsidRPr="2DA223D6">
        <w:rPr>
          <w:color w:val="2A2736"/>
        </w:rPr>
        <w:t xml:space="preserve">the publication </w:t>
      </w:r>
      <w:bookmarkStart w:id="101" w:name="_Hlk122451997"/>
      <w:r w:rsidR="00701A2D">
        <w:fldChar w:fldCharType="begin"/>
      </w:r>
      <w:r w:rsidR="00701A2D">
        <w:instrText xml:space="preserve"> HYPERLINK "https://www.accc.gov.au/publications/keeping-baby-safe-a-guide-to-infant-and-nursery-products" \h </w:instrText>
      </w:r>
      <w:r w:rsidR="00701A2D">
        <w:fldChar w:fldCharType="separate"/>
      </w:r>
      <w:r w:rsidRPr="2DA223D6">
        <w:rPr>
          <w:rStyle w:val="Hyperlink"/>
        </w:rPr>
        <w:t>Keeping baby safe: A guide to infant and nursery products</w:t>
      </w:r>
      <w:r w:rsidR="00701A2D">
        <w:rPr>
          <w:rStyle w:val="Hyperlink"/>
        </w:rPr>
        <w:fldChar w:fldCharType="end"/>
      </w:r>
      <w:bookmarkEnd w:id="101"/>
      <w:r w:rsidR="00F53C83">
        <w:t xml:space="preserve"> webpage </w:t>
      </w:r>
      <w:r w:rsidR="001310BF">
        <w:rPr>
          <w:color w:val="2A2736"/>
        </w:rPr>
        <w:t>&lt;</w:t>
      </w:r>
      <w:r w:rsidR="001310BF" w:rsidRPr="00A468D1">
        <w:rPr>
          <w:color w:val="2A2736"/>
        </w:rPr>
        <w:t>https://www.accc.gov.au/publications/keeping-baby-safe-a-guide</w:t>
      </w:r>
      <w:r w:rsidR="001310BF" w:rsidRPr="00A468D1" w:rsidDel="00D8514F">
        <w:rPr>
          <w:color w:val="2A2736"/>
        </w:rPr>
        <w:t>-to-</w:t>
      </w:r>
      <w:r w:rsidR="001310BF" w:rsidRPr="00A468D1">
        <w:rPr>
          <w:color w:val="2A2736"/>
        </w:rPr>
        <w:t>infant-and-nursery-products&gt;</w:t>
      </w:r>
      <w:r w:rsidR="00EF484C">
        <w:rPr>
          <w:color w:val="2A2736"/>
        </w:rPr>
        <w:t>.</w:t>
      </w:r>
    </w:p>
    <w:p w14:paraId="6B11F521" w14:textId="77777777" w:rsidR="00405D49" w:rsidRDefault="00405D49" w:rsidP="00405D49">
      <w:pPr>
        <w:spacing w:after="0" w:line="240" w:lineRule="auto"/>
        <w:rPr>
          <w:rFonts w:eastAsia="MS Mincho"/>
          <w:b/>
          <w:color w:val="000000"/>
        </w:rPr>
      </w:pPr>
      <w:r w:rsidRPr="00FC4CE9">
        <w:rPr>
          <w:rFonts w:eastAsia="MS Mincho"/>
          <w:b/>
          <w:color w:val="000000"/>
        </w:rPr>
        <w:t xml:space="preserve">References </w:t>
      </w:r>
    </w:p>
    <w:p w14:paraId="2AF5D419" w14:textId="04B55613" w:rsidR="00405D49" w:rsidRPr="0035354F" w:rsidRDefault="00405D49" w:rsidP="00405D49">
      <w:pPr>
        <w:pStyle w:val="Body"/>
      </w:pPr>
      <w:r w:rsidRPr="0035354F">
        <w:t>Australian Bureau of Statistics</w:t>
      </w:r>
      <w:r w:rsidR="2A9BCF74" w:rsidRPr="0035354F">
        <w:t>2019,</w:t>
      </w:r>
      <w:r w:rsidRPr="0035354F">
        <w:t xml:space="preserve"> </w:t>
      </w:r>
      <w:r w:rsidR="3DA92C05" w:rsidRPr="0035354F">
        <w:t>‘</w:t>
      </w:r>
      <w:r w:rsidRPr="0035354F">
        <w:t>Causes of Death, Australia 2019</w:t>
      </w:r>
      <w:r w:rsidR="43D14E2E" w:rsidRPr="0035354F">
        <w:t>’</w:t>
      </w:r>
      <w:r w:rsidRPr="0035354F">
        <w:t>. ABS, Canberra. 2020 Oct</w:t>
      </w:r>
      <w:r w:rsidR="00573973" w:rsidRPr="0035354F">
        <w:t>ober</w:t>
      </w:r>
      <w:r w:rsidRPr="0035354F">
        <w:t xml:space="preserve">. </w:t>
      </w:r>
      <w:r w:rsidR="044D9A31" w:rsidRPr="0035354F">
        <w:t>(viewed</w:t>
      </w:r>
      <w:r w:rsidRPr="0035354F">
        <w:t xml:space="preserve"> May 7, 2021</w:t>
      </w:r>
      <w:r w:rsidR="3EC1D416" w:rsidRPr="0035354F">
        <w:t>)</w:t>
      </w:r>
      <w:r w:rsidRPr="0035354F">
        <w:t>.</w:t>
      </w:r>
    </w:p>
    <w:p w14:paraId="33D68625" w14:textId="5E86F407" w:rsidR="00405D49" w:rsidRPr="00EB4FAB" w:rsidRDefault="00405D49" w:rsidP="00405D49">
      <w:pPr>
        <w:rPr>
          <w:rFonts w:eastAsia="Times"/>
          <w:highlight w:val="yellow"/>
        </w:rPr>
      </w:pPr>
      <w:r w:rsidRPr="0035354F">
        <w:rPr>
          <w:rFonts w:eastAsia="Times"/>
        </w:rPr>
        <w:t xml:space="preserve">Australian Institute of Health and Welfare 2011, </w:t>
      </w:r>
      <w:r w:rsidR="160E4FF2" w:rsidRPr="0035354F">
        <w:rPr>
          <w:rFonts w:eastAsia="Times"/>
        </w:rPr>
        <w:t>‘</w:t>
      </w:r>
      <w:r w:rsidRPr="0035354F">
        <w:rPr>
          <w:rFonts w:eastAsia="Times"/>
        </w:rPr>
        <w:t>Australian national infant feeding survey: indicator results</w:t>
      </w:r>
      <w:r w:rsidR="0AA88918" w:rsidRPr="0035354F">
        <w:rPr>
          <w:rFonts w:eastAsia="Times"/>
        </w:rPr>
        <w:t>’</w:t>
      </w:r>
      <w:r w:rsidRPr="0035354F">
        <w:rPr>
          <w:rFonts w:eastAsia="Times"/>
        </w:rPr>
        <w:t>, AIHW, Canberra.</w:t>
      </w:r>
      <w:r w:rsidRPr="276FAD30">
        <w:rPr>
          <w:rFonts w:eastAsia="Times"/>
        </w:rPr>
        <w:t xml:space="preserve"> </w:t>
      </w:r>
    </w:p>
    <w:p w14:paraId="47E502B9" w14:textId="4C3DE45B" w:rsidR="00405D49" w:rsidRPr="0035354F" w:rsidRDefault="00405D49" w:rsidP="00405D49">
      <w:pPr>
        <w:rPr>
          <w:rFonts w:eastAsia="Times"/>
        </w:rPr>
      </w:pPr>
      <w:r w:rsidRPr="0035354F">
        <w:rPr>
          <w:rFonts w:eastAsia="Times"/>
        </w:rPr>
        <w:t xml:space="preserve">Better Health Channel 2018, </w:t>
      </w:r>
      <w:r w:rsidR="3BC928BD" w:rsidRPr="0035354F">
        <w:rPr>
          <w:rFonts w:eastAsia="Times"/>
        </w:rPr>
        <w:t>‘</w:t>
      </w:r>
      <w:r w:rsidRPr="0035354F">
        <w:rPr>
          <w:rFonts w:eastAsia="Times"/>
        </w:rPr>
        <w:t>Pregnancy and smoking</w:t>
      </w:r>
      <w:r w:rsidR="252B044F" w:rsidRPr="0035354F">
        <w:rPr>
          <w:rFonts w:eastAsia="Times"/>
        </w:rPr>
        <w:t>’</w:t>
      </w:r>
      <w:r w:rsidRPr="0035354F">
        <w:rPr>
          <w:rFonts w:eastAsia="Times"/>
        </w:rPr>
        <w:t>, State Government of Victoria, Melbourne.</w:t>
      </w:r>
      <w:r w:rsidRPr="276FAD30">
        <w:rPr>
          <w:rFonts w:eastAsia="Times"/>
        </w:rPr>
        <w:t xml:space="preserve"> </w:t>
      </w:r>
    </w:p>
    <w:p w14:paraId="37A63F69" w14:textId="24ADC757" w:rsidR="00405D49" w:rsidRPr="0035354F" w:rsidRDefault="00405D49" w:rsidP="00405D49">
      <w:pPr>
        <w:pStyle w:val="Body"/>
      </w:pPr>
      <w:r w:rsidRPr="0035354F">
        <w:t xml:space="preserve">Department of Health and Human Services 2017, </w:t>
      </w:r>
      <w:r w:rsidR="475CF25C" w:rsidRPr="0035354F">
        <w:t>‘</w:t>
      </w:r>
      <w:r w:rsidRPr="0035354F">
        <w:t>Victoria’s Mothers, Babies and Children 2016</w:t>
      </w:r>
      <w:r w:rsidR="6FD2E336" w:rsidRPr="0035354F">
        <w:t>’</w:t>
      </w:r>
      <w:r w:rsidRPr="0035354F">
        <w:t>, State Government of Victoria, Melbourne.</w:t>
      </w:r>
    </w:p>
    <w:p w14:paraId="7FDB6E91" w14:textId="52010497" w:rsidR="00405D49" w:rsidRPr="0035354F" w:rsidRDefault="00405D49" w:rsidP="00405D49">
      <w:pPr>
        <w:rPr>
          <w:color w:val="2A2736"/>
          <w:sz w:val="24"/>
          <w:szCs w:val="24"/>
        </w:rPr>
      </w:pPr>
      <w:r w:rsidRPr="0035354F">
        <w:rPr>
          <w:rFonts w:eastAsia="Times"/>
        </w:rPr>
        <w:t xml:space="preserve">Department of Health and Human Services 2017, </w:t>
      </w:r>
      <w:r w:rsidR="6DEC7031" w:rsidRPr="0035354F">
        <w:rPr>
          <w:rFonts w:eastAsia="Times"/>
        </w:rPr>
        <w:t>‘</w:t>
      </w:r>
      <w:r w:rsidRPr="0035354F">
        <w:rPr>
          <w:rFonts w:eastAsia="Times"/>
        </w:rPr>
        <w:t>Victoria's mothers, babies and children 2017</w:t>
      </w:r>
      <w:r w:rsidR="516272B0" w:rsidRPr="0035354F">
        <w:rPr>
          <w:rFonts w:eastAsia="Times"/>
        </w:rPr>
        <w:t>’</w:t>
      </w:r>
      <w:r w:rsidRPr="0035354F">
        <w:rPr>
          <w:rFonts w:eastAsia="Times"/>
        </w:rPr>
        <w:t>, State Government of Victoria, Melbourne</w:t>
      </w:r>
      <w:r w:rsidRPr="0035354F">
        <w:rPr>
          <w:color w:val="2A2736"/>
          <w:sz w:val="24"/>
          <w:szCs w:val="24"/>
        </w:rPr>
        <w:t>.</w:t>
      </w:r>
    </w:p>
    <w:p w14:paraId="202D9F33" w14:textId="18AA4CF0" w:rsidR="00405D49" w:rsidRPr="0035354F" w:rsidRDefault="00405D49" w:rsidP="00405D49">
      <w:pPr>
        <w:rPr>
          <w:rFonts w:eastAsia="Times"/>
        </w:rPr>
      </w:pPr>
      <w:r w:rsidRPr="0035354F">
        <w:rPr>
          <w:rFonts w:eastAsia="Times"/>
        </w:rPr>
        <w:t xml:space="preserve">Department of Premier and Cabinet 2021, </w:t>
      </w:r>
      <w:r w:rsidR="5F72E819" w:rsidRPr="0035354F">
        <w:rPr>
          <w:rFonts w:eastAsia="Times"/>
        </w:rPr>
        <w:t>‘</w:t>
      </w:r>
      <w:r w:rsidRPr="0035354F">
        <w:rPr>
          <w:rFonts w:eastAsia="Times"/>
        </w:rPr>
        <w:t>The Victorians Closing the Gap Implementation Plan 2021-2023</w:t>
      </w:r>
      <w:r w:rsidR="21F36E48" w:rsidRPr="0035354F">
        <w:rPr>
          <w:rFonts w:eastAsia="Times"/>
        </w:rPr>
        <w:t>'</w:t>
      </w:r>
      <w:r w:rsidRPr="0035354F">
        <w:rPr>
          <w:rFonts w:eastAsia="Times"/>
        </w:rPr>
        <w:t>, State Government of Victoria, Melbourne</w:t>
      </w:r>
      <w:r w:rsidR="0035354F" w:rsidRPr="0035354F">
        <w:rPr>
          <w:rFonts w:eastAsia="Times"/>
        </w:rPr>
        <w:t>.</w:t>
      </w:r>
    </w:p>
    <w:p w14:paraId="11411802" w14:textId="6F5CB1F4" w:rsidR="00405D49" w:rsidRPr="0035354F" w:rsidRDefault="00405D49" w:rsidP="00405D49">
      <w:pPr>
        <w:rPr>
          <w:rFonts w:eastAsia="Times"/>
        </w:rPr>
      </w:pPr>
      <w:r w:rsidRPr="0035354F">
        <w:rPr>
          <w:rFonts w:eastAsia="Times"/>
        </w:rPr>
        <w:t xml:space="preserve">Safer Care Victoria 2019, </w:t>
      </w:r>
      <w:r w:rsidR="659A18E1" w:rsidRPr="0035354F">
        <w:rPr>
          <w:rFonts w:eastAsia="Times"/>
        </w:rPr>
        <w:t>‘</w:t>
      </w:r>
      <w:r w:rsidRPr="0035354F">
        <w:rPr>
          <w:rFonts w:eastAsia="Times"/>
        </w:rPr>
        <w:t>Victoria’s Mothers, babies and children 2019</w:t>
      </w:r>
      <w:r w:rsidR="170DBD55" w:rsidRPr="0035354F">
        <w:rPr>
          <w:rFonts w:eastAsia="Times"/>
        </w:rPr>
        <w:t>’</w:t>
      </w:r>
      <w:r w:rsidRPr="0035354F">
        <w:rPr>
          <w:rFonts w:eastAsia="Times"/>
        </w:rPr>
        <w:t>, State Government of Victoria, Melbourne</w:t>
      </w:r>
      <w:r w:rsidR="0035354F" w:rsidRPr="0035354F">
        <w:rPr>
          <w:rFonts w:eastAsia="Times"/>
        </w:rPr>
        <w:t>.</w:t>
      </w:r>
    </w:p>
    <w:p w14:paraId="092ED09B" w14:textId="3F2052E3" w:rsidR="00A134E8" w:rsidRDefault="006F7D50">
      <w:pPr>
        <w:spacing w:after="0" w:line="240" w:lineRule="auto"/>
        <w:rPr>
          <w:rFonts w:eastAsia="Times"/>
        </w:rPr>
      </w:pPr>
      <w:r>
        <w:br w:type="page"/>
      </w:r>
    </w:p>
    <w:p w14:paraId="690C8ADF" w14:textId="2ADAA6DD" w:rsidR="00A134E8" w:rsidRPr="00A71CE4" w:rsidRDefault="008473F7" w:rsidP="00A134E8">
      <w:pPr>
        <w:pStyle w:val="Heading1"/>
        <w:spacing w:before="0"/>
      </w:pPr>
      <w:bookmarkStart w:id="102" w:name="_Toc116981347"/>
      <w:bookmarkStart w:id="103" w:name="_Toc128138650"/>
      <w:r>
        <w:lastRenderedPageBreak/>
        <w:t xml:space="preserve">Chapter </w:t>
      </w:r>
      <w:r w:rsidR="00FC4F48">
        <w:t>11</w:t>
      </w:r>
      <w:r>
        <w:t xml:space="preserve"> </w:t>
      </w:r>
      <w:r w:rsidR="00573973">
        <w:t>–</w:t>
      </w:r>
      <w:r>
        <w:t xml:space="preserve"> </w:t>
      </w:r>
      <w:r w:rsidR="004D77E2">
        <w:t>Child health</w:t>
      </w:r>
      <w:bookmarkEnd w:id="102"/>
      <w:bookmarkEnd w:id="103"/>
      <w:r w:rsidR="004D77E2">
        <w:t xml:space="preserve"> </w:t>
      </w:r>
    </w:p>
    <w:p w14:paraId="2777EEEB" w14:textId="1F99F1D3" w:rsidR="003624D1" w:rsidRDefault="005B680C" w:rsidP="00913AFF">
      <w:pPr>
        <w:pStyle w:val="Body"/>
      </w:pPr>
      <w:bookmarkStart w:id="104" w:name="_Toc116981348"/>
      <w:r w:rsidRPr="00CD506B">
        <w:t xml:space="preserve">Childhood is a </w:t>
      </w:r>
      <w:r w:rsidR="00CD506B">
        <w:t>criti</w:t>
      </w:r>
      <w:r w:rsidR="002108D1">
        <w:t xml:space="preserve">cally important period </w:t>
      </w:r>
      <w:r w:rsidRPr="00CD506B">
        <w:t xml:space="preserve">for healthy </w:t>
      </w:r>
      <w:r w:rsidR="008904B8">
        <w:t xml:space="preserve">lifestyle </w:t>
      </w:r>
      <w:r w:rsidRPr="00CD506B">
        <w:t>development, learning, and establishing the foundations for future wellbeing.</w:t>
      </w:r>
      <w:r w:rsidR="00CD506B" w:rsidRPr="00CD506B">
        <w:t xml:space="preserve"> </w:t>
      </w:r>
    </w:p>
    <w:p w14:paraId="17F06FBE" w14:textId="4CC62FD2" w:rsidR="00D5671C" w:rsidRPr="00CD506B" w:rsidRDefault="003624D1" w:rsidP="00913AFF">
      <w:pPr>
        <w:pStyle w:val="Body"/>
      </w:pPr>
      <w:r w:rsidRPr="003624D1">
        <w:t xml:space="preserve">Most </w:t>
      </w:r>
      <w:r>
        <w:t xml:space="preserve">Victorian </w:t>
      </w:r>
      <w:r w:rsidRPr="003624D1">
        <w:t>children are healthy,</w:t>
      </w:r>
      <w:r w:rsidR="00AC5BAC">
        <w:t xml:space="preserve"> well</w:t>
      </w:r>
      <w:r w:rsidR="00FD403E">
        <w:t>,</w:t>
      </w:r>
      <w:r w:rsidR="00AC5BAC">
        <w:t xml:space="preserve"> and</w:t>
      </w:r>
      <w:r w:rsidRPr="003624D1">
        <w:t xml:space="preserve"> safe</w:t>
      </w:r>
      <w:r>
        <w:t>. However</w:t>
      </w:r>
      <w:r w:rsidR="00E34BF2">
        <w:t>,</w:t>
      </w:r>
      <w:r>
        <w:t xml:space="preserve"> by u</w:t>
      </w:r>
      <w:r w:rsidR="00CD506B" w:rsidRPr="00CD506B">
        <w:t>nderstanding and targeting risk factors in children</w:t>
      </w:r>
      <w:r w:rsidR="00FB0F65">
        <w:t xml:space="preserve"> at an early age</w:t>
      </w:r>
      <w:r>
        <w:t xml:space="preserve">, we </w:t>
      </w:r>
      <w:r w:rsidR="00CD506B" w:rsidRPr="00CD506B">
        <w:t xml:space="preserve">can </w:t>
      </w:r>
      <w:r w:rsidR="00CD3B5F">
        <w:t xml:space="preserve">equip </w:t>
      </w:r>
      <w:r>
        <w:t>them</w:t>
      </w:r>
      <w:r w:rsidR="00CD3B5F">
        <w:t xml:space="preserve"> with health</w:t>
      </w:r>
      <w:r w:rsidR="003723F9">
        <w:t>y</w:t>
      </w:r>
      <w:r w:rsidR="00CD3B5F">
        <w:t xml:space="preserve"> habits and </w:t>
      </w:r>
      <w:r w:rsidR="00BB61C1">
        <w:t>help prevent</w:t>
      </w:r>
      <w:r w:rsidR="00CD506B" w:rsidRPr="00CD506B">
        <w:t xml:space="preserve"> chronic disease in adulthood</w:t>
      </w:r>
      <w:r w:rsidR="00CD3B5F">
        <w:t>.</w:t>
      </w:r>
    </w:p>
    <w:p w14:paraId="4D8C0EA2" w14:textId="31F47EFE" w:rsidR="00913AFF" w:rsidRDefault="00913AFF" w:rsidP="00913AFF">
      <w:pPr>
        <w:pStyle w:val="Body"/>
      </w:pPr>
      <w:r>
        <w:t>T</w:t>
      </w:r>
      <w:r w:rsidRPr="00913AFF">
        <w:t>his</w:t>
      </w:r>
      <w:r>
        <w:t xml:space="preserve"> </w:t>
      </w:r>
      <w:r w:rsidR="001823DD">
        <w:t>chapter</w:t>
      </w:r>
      <w:r w:rsidR="001823DD" w:rsidRPr="00913AFF">
        <w:t xml:space="preserve"> </w:t>
      </w:r>
      <w:r w:rsidR="00EA7C36">
        <w:t xml:space="preserve">includes: </w:t>
      </w:r>
    </w:p>
    <w:p w14:paraId="38A7D3D5" w14:textId="46B4B5F2" w:rsidR="00913AFF" w:rsidRDefault="00EA7C36" w:rsidP="00331A2B">
      <w:pPr>
        <w:pStyle w:val="Bullet1"/>
      </w:pPr>
      <w:r w:rsidRPr="00EA7C36">
        <w:t>Overweight and obesity in children</w:t>
      </w:r>
    </w:p>
    <w:p w14:paraId="6D004A96" w14:textId="32E29F9E" w:rsidR="00913AFF" w:rsidRDefault="00EA7C36" w:rsidP="00331A2B">
      <w:pPr>
        <w:pStyle w:val="Bullet1"/>
      </w:pPr>
      <w:r w:rsidRPr="00EA7C36">
        <w:t>Mental health and wellbeing</w:t>
      </w:r>
    </w:p>
    <w:p w14:paraId="3B17ED83" w14:textId="1556E82B" w:rsidR="00EA7C36" w:rsidRDefault="00EA7C36" w:rsidP="00331A2B">
      <w:pPr>
        <w:pStyle w:val="Bullet1"/>
      </w:pPr>
      <w:r w:rsidRPr="00EA7C36">
        <w:t>Allergie</w:t>
      </w:r>
      <w:r>
        <w:t>s in children</w:t>
      </w:r>
      <w:r w:rsidR="00E4675D">
        <w:t>.</w:t>
      </w:r>
    </w:p>
    <w:p w14:paraId="387C79A0" w14:textId="19765DFC" w:rsidR="006B4B65" w:rsidRDefault="006B4B65" w:rsidP="006B4B65">
      <w:pPr>
        <w:pStyle w:val="Heading2"/>
      </w:pPr>
      <w:bookmarkStart w:id="105" w:name="_Hlk116992963"/>
      <w:r w:rsidRPr="00837BA3">
        <w:t>Overweight and obesity in children</w:t>
      </w:r>
      <w:bookmarkEnd w:id="104"/>
      <w:r w:rsidR="00A64EC8">
        <w:t xml:space="preserve"> </w:t>
      </w:r>
    </w:p>
    <w:bookmarkEnd w:id="105"/>
    <w:p w14:paraId="6F3150BC" w14:textId="214048AD" w:rsidR="00837BA3" w:rsidRPr="00837BA3" w:rsidRDefault="00837BA3" w:rsidP="00837BA3">
      <w:pPr>
        <w:pStyle w:val="Body"/>
      </w:pPr>
      <w:r w:rsidRPr="00837BA3">
        <w:t xml:space="preserve">Approximately one quarter of Australian children </w:t>
      </w:r>
      <w:r w:rsidR="004A6206">
        <w:t xml:space="preserve">– some as young as two-years-old – </w:t>
      </w:r>
      <w:r w:rsidR="0030114F">
        <w:t xml:space="preserve">are </w:t>
      </w:r>
      <w:r w:rsidRPr="00837BA3">
        <w:t>at an unhealthy weight</w:t>
      </w:r>
      <w:r w:rsidR="004A6206">
        <w:t xml:space="preserve"> </w:t>
      </w:r>
      <w:r w:rsidRPr="00837BA3">
        <w:rPr>
          <w:rFonts w:cs="Arial"/>
          <w:color w:val="2A2736"/>
        </w:rPr>
        <w:t>(</w:t>
      </w:r>
      <w:r w:rsidR="000E4D3A">
        <w:rPr>
          <w:rFonts w:cs="Arial"/>
          <w:color w:val="2A2736"/>
        </w:rPr>
        <w:t>ABS,</w:t>
      </w:r>
      <w:r w:rsidRPr="00837BA3">
        <w:rPr>
          <w:rFonts w:cs="Arial"/>
          <w:color w:val="2A2736"/>
        </w:rPr>
        <w:t xml:space="preserve"> 2018</w:t>
      </w:r>
      <w:r w:rsidR="00EE10FD">
        <w:rPr>
          <w:rFonts w:cs="Arial"/>
          <w:color w:val="2A2736"/>
        </w:rPr>
        <w:t>)</w:t>
      </w:r>
      <w:r w:rsidRPr="00837BA3">
        <w:rPr>
          <w:rFonts w:cs="Arial"/>
          <w:color w:val="2A2736"/>
        </w:rPr>
        <w:t>.  </w:t>
      </w:r>
    </w:p>
    <w:p w14:paraId="51F31D7A" w14:textId="57610984" w:rsidR="00837BA3" w:rsidRPr="00837BA3" w:rsidRDefault="00837BA3" w:rsidP="00837BA3">
      <w:pPr>
        <w:pStyle w:val="Body"/>
        <w:rPr>
          <w:rFonts w:cs="Arial"/>
          <w:color w:val="2A2736"/>
          <w:sz w:val="24"/>
          <w:szCs w:val="24"/>
          <w:lang w:eastAsia="en-AU"/>
        </w:rPr>
      </w:pPr>
      <w:r w:rsidRPr="00837BA3">
        <w:t>Unhealthy weight can have short</w:t>
      </w:r>
      <w:r w:rsidR="00FD403E">
        <w:t>-</w:t>
      </w:r>
      <w:r w:rsidRPr="00837BA3">
        <w:t xml:space="preserve"> and long</w:t>
      </w:r>
      <w:r w:rsidR="00FD403E">
        <w:t>-</w:t>
      </w:r>
      <w:r w:rsidRPr="00837BA3">
        <w:t>term effects on physical and mental health and wellbeing</w:t>
      </w:r>
      <w:r w:rsidR="004A6206">
        <w:t xml:space="preserve">. It carries an </w:t>
      </w:r>
      <w:r w:rsidRPr="00837BA3">
        <w:t xml:space="preserve">increased risk of chronic diseases </w:t>
      </w:r>
      <w:r w:rsidR="004A6206">
        <w:t xml:space="preserve">– such as </w:t>
      </w:r>
      <w:r w:rsidRPr="00837BA3">
        <w:t xml:space="preserve">diabetes, cardiovascular disease and cancer, </w:t>
      </w:r>
      <w:r w:rsidR="004A6206">
        <w:t xml:space="preserve">and </w:t>
      </w:r>
      <w:r w:rsidRPr="00837BA3">
        <w:t>poor mental health</w:t>
      </w:r>
      <w:r w:rsidR="004A6206">
        <w:t xml:space="preserve"> – </w:t>
      </w:r>
      <w:r w:rsidRPr="00837BA3">
        <w:t xml:space="preserve">and </w:t>
      </w:r>
      <w:r w:rsidR="004A6206">
        <w:t xml:space="preserve">a </w:t>
      </w:r>
      <w:r w:rsidRPr="00837BA3">
        <w:t>reduced life expectancy (</w:t>
      </w:r>
      <w:r w:rsidR="00813A74">
        <w:t>Simmonds</w:t>
      </w:r>
      <w:r w:rsidR="00376436">
        <w:t xml:space="preserve"> </w:t>
      </w:r>
      <w:r w:rsidR="00376436" w:rsidRPr="00C953A7">
        <w:t>et al</w:t>
      </w:r>
      <w:r w:rsidR="00376436">
        <w:t>,</w:t>
      </w:r>
      <w:r w:rsidR="00813A74">
        <w:t xml:space="preserve"> 2016</w:t>
      </w:r>
      <w:r w:rsidR="00813A74" w:rsidRPr="005141CA">
        <w:t>)</w:t>
      </w:r>
      <w:r w:rsidRPr="005141CA">
        <w:t>.</w:t>
      </w:r>
      <w:r w:rsidRPr="005141CA">
        <w:rPr>
          <w:rFonts w:cs="Arial"/>
          <w:color w:val="2A2736"/>
        </w:rPr>
        <w:t xml:space="preserve"> Children with</w:t>
      </w:r>
      <w:r w:rsidRPr="00837BA3">
        <w:rPr>
          <w:rFonts w:cs="Arial"/>
          <w:color w:val="2A2736"/>
        </w:rPr>
        <w:t xml:space="preserve"> a major depressive disorder have also been found to be significantly more likely to be either underweight or obese (Department of Health</w:t>
      </w:r>
      <w:r w:rsidR="004A6206">
        <w:rPr>
          <w:rFonts w:cs="Arial"/>
          <w:color w:val="2A2736"/>
        </w:rPr>
        <w:t>,</w:t>
      </w:r>
      <w:r w:rsidRPr="00837BA3">
        <w:rPr>
          <w:rFonts w:cs="Arial"/>
          <w:color w:val="2A2736"/>
        </w:rPr>
        <w:t xml:space="preserve"> 2015).</w:t>
      </w:r>
      <w:r w:rsidRPr="00837BA3">
        <w:rPr>
          <w:rFonts w:cs="Arial"/>
          <w:color w:val="2A2736"/>
          <w:sz w:val="24"/>
          <w:szCs w:val="24"/>
          <w:lang w:eastAsia="en-AU"/>
        </w:rPr>
        <w:t>  </w:t>
      </w:r>
    </w:p>
    <w:p w14:paraId="76BEC1C9" w14:textId="20A6629E" w:rsidR="00837BA3" w:rsidRPr="00837BA3" w:rsidRDefault="00837BA3" w:rsidP="00837BA3">
      <w:pPr>
        <w:pStyle w:val="Body"/>
      </w:pPr>
      <w:r w:rsidRPr="00837BA3">
        <w:t>Children with an unhealthy weight are at increased risk of adult obesity</w:t>
      </w:r>
      <w:r w:rsidR="004A6206">
        <w:t>, with</w:t>
      </w:r>
      <w:r w:rsidRPr="00837BA3">
        <w:t xml:space="preserve"> about 80 per cent of obese adolescents becom</w:t>
      </w:r>
      <w:r w:rsidR="004A6206">
        <w:t>ing</w:t>
      </w:r>
      <w:r w:rsidRPr="00837BA3">
        <w:t xml:space="preserve"> obese adults (Simmonds </w:t>
      </w:r>
      <w:r w:rsidRPr="00454918">
        <w:t>et al</w:t>
      </w:r>
      <w:r w:rsidR="004A6206">
        <w:t>,</w:t>
      </w:r>
      <w:r w:rsidRPr="00837BA3">
        <w:t xml:space="preserve"> 2016).</w:t>
      </w:r>
    </w:p>
    <w:p w14:paraId="0F1D2E83" w14:textId="32A208DD" w:rsidR="00837BA3" w:rsidRPr="00837BA3" w:rsidRDefault="00837BA3" w:rsidP="00837BA3">
      <w:pPr>
        <w:pStyle w:val="Body"/>
      </w:pPr>
      <w:r w:rsidRPr="00837BA3">
        <w:rPr>
          <w:rFonts w:cs="Arial"/>
          <w:color w:val="2A2736"/>
        </w:rPr>
        <w:t>As with many other health and wellbeing issues, overweight and obesity are more common in children living in more disadvantaged areas (</w:t>
      </w:r>
      <w:r w:rsidR="000E4D3A">
        <w:rPr>
          <w:rFonts w:cs="Arial"/>
          <w:color w:val="2A2736"/>
        </w:rPr>
        <w:t>AIHW,</w:t>
      </w:r>
      <w:r w:rsidRPr="00837BA3">
        <w:rPr>
          <w:rFonts w:cs="Arial"/>
          <w:color w:val="2A2736"/>
        </w:rPr>
        <w:t xml:space="preserve"> 2018).  </w:t>
      </w:r>
      <w:r w:rsidRPr="00837BA3">
        <w:t>  </w:t>
      </w:r>
    </w:p>
    <w:p w14:paraId="6D8E200B" w14:textId="77777777" w:rsidR="00837BA3" w:rsidRDefault="00837BA3" w:rsidP="00837BA3">
      <w:pPr>
        <w:pStyle w:val="Body"/>
        <w:rPr>
          <w:rFonts w:cs="Arial"/>
          <w:color w:val="2A2736"/>
        </w:rPr>
      </w:pPr>
      <w:r w:rsidRPr="00837BA3">
        <w:t>There are several factors that can lead to increased likelihood of unhealthy</w:t>
      </w:r>
      <w:r w:rsidRPr="00837BA3">
        <w:rPr>
          <w:rFonts w:cs="Arial"/>
          <w:color w:val="2A2736"/>
        </w:rPr>
        <w:t xml:space="preserve"> weight in children. </w:t>
      </w:r>
    </w:p>
    <w:p w14:paraId="1677980E" w14:textId="281B1CBA" w:rsidR="00864AFD" w:rsidRPr="00837BA3" w:rsidRDefault="004A6206" w:rsidP="00837BA3">
      <w:pPr>
        <w:pStyle w:val="Body"/>
      </w:pPr>
      <w:r>
        <w:t>According to the World Health Organisation</w:t>
      </w:r>
      <w:r w:rsidR="000D7FBA">
        <w:t xml:space="preserve"> (WHO)</w:t>
      </w:r>
      <w:r>
        <w:t xml:space="preserve">, </w:t>
      </w:r>
      <w:r w:rsidR="00864AFD" w:rsidRPr="00837BA3">
        <w:t>there is clear evidence that children’s exposure to unhealthy food marketing contributes to increasing rates of overweight and obesity in children (</w:t>
      </w:r>
      <w:r>
        <w:t>WHO,</w:t>
      </w:r>
      <w:r w:rsidR="00864AFD" w:rsidRPr="00837BA3">
        <w:t xml:space="preserve"> 2010).</w:t>
      </w:r>
    </w:p>
    <w:p w14:paraId="007038A4" w14:textId="2ADEB596" w:rsidR="00837BA3" w:rsidRPr="00837BA3" w:rsidRDefault="00837BA3" w:rsidP="00837BA3">
      <w:pPr>
        <w:pStyle w:val="Body"/>
      </w:pPr>
      <w:r w:rsidRPr="00837BA3">
        <w:t xml:space="preserve">The </w:t>
      </w:r>
      <w:r w:rsidR="002B52F9">
        <w:t xml:space="preserve">targeted </w:t>
      </w:r>
      <w:r w:rsidRPr="00837BA3">
        <w:t xml:space="preserve">promotion </w:t>
      </w:r>
      <w:r w:rsidR="002B52F9">
        <w:t xml:space="preserve">to children </w:t>
      </w:r>
      <w:r w:rsidRPr="00837BA3">
        <w:t>of unhealthy foods that offer little nutritional value</w:t>
      </w:r>
      <w:r w:rsidR="004A6206">
        <w:t xml:space="preserve">, and </w:t>
      </w:r>
      <w:r w:rsidRPr="00837BA3">
        <w:t>are high in energy, salt</w:t>
      </w:r>
      <w:r w:rsidR="004A6206">
        <w:t>,</w:t>
      </w:r>
      <w:r w:rsidRPr="00837BA3">
        <w:t xml:space="preserve"> and fat</w:t>
      </w:r>
      <w:r w:rsidR="004A6206">
        <w:t>,</w:t>
      </w:r>
      <w:r w:rsidRPr="00837BA3">
        <w:t xml:space="preserve"> is a significant driver in encouraging children to want unhealthy foods (Nutrition Australia</w:t>
      </w:r>
      <w:r w:rsidR="002B52F9">
        <w:t>,</w:t>
      </w:r>
      <w:r w:rsidRPr="00837BA3">
        <w:t xml:space="preserve"> 2017).</w:t>
      </w:r>
    </w:p>
    <w:p w14:paraId="6C399BC1" w14:textId="6101F904" w:rsidR="00837BA3" w:rsidRPr="00837BA3" w:rsidRDefault="002B52F9" w:rsidP="00837BA3">
      <w:pPr>
        <w:pStyle w:val="Body"/>
      </w:pPr>
      <w:r w:rsidRPr="00D812FD">
        <w:t>In 2019, o</w:t>
      </w:r>
      <w:r w:rsidR="00837BA3" w:rsidRPr="00D812FD">
        <w:t>nly 2.4 per cent (approximately 1</w:t>
      </w:r>
      <w:r w:rsidRPr="00D812FD">
        <w:t>-</w:t>
      </w:r>
      <w:r w:rsidR="00837BA3" w:rsidRPr="00D812FD">
        <w:t>in</w:t>
      </w:r>
      <w:r w:rsidRPr="00D812FD">
        <w:t>-</w:t>
      </w:r>
      <w:r w:rsidR="00837BA3" w:rsidRPr="00D812FD">
        <w:t xml:space="preserve">40) of Victorian children were found to eat the recommended amount of vegetables, regardless of age or level of </w:t>
      </w:r>
      <w:r w:rsidR="002D757A" w:rsidRPr="00D812FD">
        <w:t>disadvantage.</w:t>
      </w:r>
      <w:r w:rsidR="00837BA3" w:rsidRPr="00D812FD">
        <w:t xml:space="preserve"> Three-quarters of Victorian children met the national minimum guidelines for fruit consumption</w:t>
      </w:r>
      <w:r w:rsidRPr="00D812FD">
        <w:t>,</w:t>
      </w:r>
      <w:r w:rsidR="00837BA3">
        <w:t xml:space="preserve"> </w:t>
      </w:r>
      <w:r w:rsidR="00837BA3" w:rsidRPr="00837BA3">
        <w:t>with children living in least disadvantaged areas being were more likely to be meeting the guidelines when compared with other areas (Department of Education and Training</w:t>
      </w:r>
      <w:r w:rsidR="00EA61EC">
        <w:t xml:space="preserve"> (DET)</w:t>
      </w:r>
      <w:r>
        <w:t>,</w:t>
      </w:r>
      <w:r w:rsidR="00837BA3" w:rsidRPr="00837BA3">
        <w:t xml:space="preserve"> 2020).</w:t>
      </w:r>
    </w:p>
    <w:p w14:paraId="79193372" w14:textId="2FF501EE" w:rsidR="00837BA3" w:rsidRPr="00837BA3" w:rsidRDefault="00837BA3" w:rsidP="00837BA3">
      <w:pPr>
        <w:pStyle w:val="Body"/>
      </w:pPr>
      <w:r w:rsidRPr="00837BA3">
        <w:t>Physical activity is a key factor in maintaining healthy weight and reducing the risk of disease. It can also alleviate the severity of mental health issues, such as depression and anxiety (</w:t>
      </w:r>
      <w:r w:rsidR="006D0B13">
        <w:t>DET</w:t>
      </w:r>
      <w:r w:rsidR="002B52F9">
        <w:t>,</w:t>
      </w:r>
      <w:r w:rsidRPr="00837BA3">
        <w:t xml:space="preserve"> 2020). </w:t>
      </w:r>
    </w:p>
    <w:p w14:paraId="56D79D37" w14:textId="2FCA18F8" w:rsidR="00837BA3" w:rsidRPr="00837BA3" w:rsidRDefault="00837BA3" w:rsidP="00837BA3">
      <w:pPr>
        <w:pStyle w:val="Body"/>
      </w:pPr>
      <w:r w:rsidRPr="00837BA3">
        <w:t xml:space="preserve">In 2019, the number of Victorian children </w:t>
      </w:r>
      <w:r w:rsidR="002B52F9">
        <w:t xml:space="preserve">who </w:t>
      </w:r>
      <w:r w:rsidRPr="00837BA3">
        <w:t>were active for an hour a day decreased to 52.2 per cent, down from 62.2 per cent in 2013 and 59.4 percent in 2017 (</w:t>
      </w:r>
      <w:r w:rsidR="006D0B13">
        <w:t>DET</w:t>
      </w:r>
      <w:r w:rsidR="002B52F9">
        <w:t>,</w:t>
      </w:r>
      <w:r w:rsidRPr="00837BA3">
        <w:t xml:space="preserve"> 2020). </w:t>
      </w:r>
    </w:p>
    <w:p w14:paraId="28B72A1D" w14:textId="0BD4F61D" w:rsidR="00837BA3" w:rsidRDefault="00837BA3" w:rsidP="00837BA3">
      <w:pPr>
        <w:pStyle w:val="Body"/>
      </w:pPr>
      <w:r w:rsidRPr="00837BA3">
        <w:t xml:space="preserve">Many of the actions </w:t>
      </w:r>
      <w:r w:rsidR="004324C5">
        <w:t xml:space="preserve">that can be taken </w:t>
      </w:r>
      <w:r w:rsidRPr="00837BA3">
        <w:t xml:space="preserve">to prevent unhealthy weight </w:t>
      </w:r>
      <w:r w:rsidR="004324C5">
        <w:t>– such as h</w:t>
      </w:r>
      <w:r w:rsidR="004324C5" w:rsidRPr="00837BA3">
        <w:t>ealthy eating</w:t>
      </w:r>
      <w:r w:rsidR="004324C5">
        <w:t xml:space="preserve">, </w:t>
      </w:r>
      <w:r w:rsidR="004324C5" w:rsidRPr="00837BA3">
        <w:t>sustainable diets, walking</w:t>
      </w:r>
      <w:r w:rsidR="004324C5">
        <w:t>,</w:t>
      </w:r>
      <w:r w:rsidR="004324C5" w:rsidRPr="00837BA3">
        <w:t xml:space="preserve"> and cycling </w:t>
      </w:r>
      <w:r w:rsidR="004324C5">
        <w:t>– have co-benefits because they also</w:t>
      </w:r>
      <w:r w:rsidRPr="00837BA3">
        <w:t xml:space="preserve"> reduc</w:t>
      </w:r>
      <w:r w:rsidR="004324C5">
        <w:t>e</w:t>
      </w:r>
      <w:r w:rsidRPr="00837BA3">
        <w:t xml:space="preserve"> </w:t>
      </w:r>
      <w:r w:rsidR="00E77817">
        <w:t xml:space="preserve">emissions </w:t>
      </w:r>
      <w:r w:rsidR="00E77817">
        <w:lastRenderedPageBreak/>
        <w:t xml:space="preserve">associated with climate change, </w:t>
      </w:r>
      <w:r w:rsidR="004324C5">
        <w:t xml:space="preserve">as well as </w:t>
      </w:r>
      <w:r w:rsidR="00E77817">
        <w:t xml:space="preserve">broader </w:t>
      </w:r>
      <w:r w:rsidRPr="00837BA3">
        <w:t>environmental impact</w:t>
      </w:r>
      <w:r w:rsidR="00E77817">
        <w:t>s</w:t>
      </w:r>
      <w:r w:rsidR="004324C5">
        <w:t xml:space="preserve"> </w:t>
      </w:r>
      <w:r w:rsidRPr="00837BA3">
        <w:t>(Department of Health, 2019).</w:t>
      </w:r>
    </w:p>
    <w:p w14:paraId="789387E5" w14:textId="56C85FD1" w:rsidR="00A56348" w:rsidRDefault="00A56348" w:rsidP="00A56348">
      <w:pPr>
        <w:pStyle w:val="Heading2"/>
      </w:pPr>
      <w:bookmarkStart w:id="106" w:name="_Toc116981349"/>
      <w:r>
        <w:t>Mental health and wellbeing</w:t>
      </w:r>
    </w:p>
    <w:p w14:paraId="4ED14324" w14:textId="23BAECCA" w:rsidR="00A56348" w:rsidRDefault="004324C5" w:rsidP="00A56348">
      <w:pPr>
        <w:pStyle w:val="Body"/>
      </w:pPr>
      <w:r>
        <w:t>In 2019, a</w:t>
      </w:r>
      <w:r w:rsidR="00A56348">
        <w:t>nalysis of the global burden disease database found that</w:t>
      </w:r>
      <w:r>
        <w:t>,</w:t>
      </w:r>
      <w:r w:rsidR="00A56348">
        <w:t xml:space="preserve"> over the past 30 years, there has been a substantial observed increase in the prevalence of mental health conditions </w:t>
      </w:r>
      <w:r>
        <w:t xml:space="preserve">– particularly anxiety, depression, and eating disorders such as anorexia nervosa and bulimia nervosa – </w:t>
      </w:r>
      <w:r w:rsidR="00A56348">
        <w:t xml:space="preserve">among </w:t>
      </w:r>
      <w:r>
        <w:t xml:space="preserve">people </w:t>
      </w:r>
      <w:r w:rsidR="00A56348">
        <w:t xml:space="preserve">under the age of 20 (Piao et al., 2022). </w:t>
      </w:r>
    </w:p>
    <w:p w14:paraId="4D09AC18" w14:textId="4E14BEF9" w:rsidR="00A56348" w:rsidRDefault="00A56348" w:rsidP="00A56348">
      <w:pPr>
        <w:pStyle w:val="Body"/>
      </w:pPr>
      <w:r>
        <w:t xml:space="preserve">The most recent national mental health survey for children and young people was conducted in 2013-14. </w:t>
      </w:r>
      <w:r w:rsidR="004324C5">
        <w:t>T</w:t>
      </w:r>
      <w:r>
        <w:t xml:space="preserve">he ‘Second Australian Child and Adolescent Survey of Mental Health and Wellbeing’ </w:t>
      </w:r>
      <w:r w:rsidR="004324C5">
        <w:t xml:space="preserve">found </w:t>
      </w:r>
      <w:r>
        <w:t>that 13.9</w:t>
      </w:r>
      <w:r w:rsidR="00355307">
        <w:t xml:space="preserve"> per cent</w:t>
      </w:r>
      <w:r w:rsidR="0029757A">
        <w:t xml:space="preserve"> </w:t>
      </w:r>
      <w:r>
        <w:t xml:space="preserve">of children aged </w:t>
      </w:r>
      <w:r w:rsidRPr="005E097A">
        <w:t>4</w:t>
      </w:r>
      <w:r w:rsidR="00BD6820" w:rsidRPr="005E097A">
        <w:t xml:space="preserve"> to </w:t>
      </w:r>
      <w:r w:rsidRPr="005E097A">
        <w:t>17</w:t>
      </w:r>
      <w:r>
        <w:t xml:space="preserve"> </w:t>
      </w:r>
      <w:r w:rsidR="004324C5">
        <w:t xml:space="preserve">who were surveyed had </w:t>
      </w:r>
      <w:r>
        <w:t xml:space="preserve">experienced a mental disorder. The most common </w:t>
      </w:r>
      <w:r w:rsidR="004324C5">
        <w:t xml:space="preserve">mental disorders were </w:t>
      </w:r>
      <w:r>
        <w:t>anxiety, depressi</w:t>
      </w:r>
      <w:r w:rsidR="004324C5">
        <w:t>on</w:t>
      </w:r>
      <w:r>
        <w:t>, attention deficit hyperactivity (ADHD)</w:t>
      </w:r>
      <w:r w:rsidR="004324C5">
        <w:t>,</w:t>
      </w:r>
      <w:r>
        <w:t xml:space="preserve"> and conduct disorder (Lawrence </w:t>
      </w:r>
      <w:r w:rsidRPr="005E097A">
        <w:t>et al</w:t>
      </w:r>
      <w:r w:rsidR="004324C5">
        <w:t>,</w:t>
      </w:r>
      <w:r>
        <w:t xml:space="preserve"> 2015). </w:t>
      </w:r>
    </w:p>
    <w:p w14:paraId="071C03C4" w14:textId="535C7D0D" w:rsidR="00A56348" w:rsidRDefault="004324C5" w:rsidP="00A56348">
      <w:pPr>
        <w:pStyle w:val="Body"/>
      </w:pPr>
      <w:r>
        <w:t xml:space="preserve">In 2018, </w:t>
      </w:r>
      <w:r w:rsidR="00A56348">
        <w:t>the Victorian Student Health and Wellbeing Survey found that 20.4</w:t>
      </w:r>
      <w:r w:rsidR="00CB33AD">
        <w:t xml:space="preserve"> per cent</w:t>
      </w:r>
      <w:r w:rsidR="00A56348">
        <w:t xml:space="preserve"> of students experienc</w:t>
      </w:r>
      <w:r>
        <w:t>ed</w:t>
      </w:r>
      <w:r w:rsidR="00A56348">
        <w:t xml:space="preserve"> psychological distress</w:t>
      </w:r>
      <w:r>
        <w:t xml:space="preserve"> – </w:t>
      </w:r>
      <w:r w:rsidR="00A56348">
        <w:t>an increase of 2.6</w:t>
      </w:r>
      <w:r w:rsidR="00CB33AD">
        <w:t xml:space="preserve"> per cent</w:t>
      </w:r>
      <w:r w:rsidR="00A56348">
        <w:t xml:space="preserve"> from the previous survey in 2016. Conversely, 67.3</w:t>
      </w:r>
      <w:r w:rsidR="00CB33AD">
        <w:t xml:space="preserve"> per cent</w:t>
      </w:r>
      <w:r w:rsidR="00A56348">
        <w:t xml:space="preserve"> of Victorian students reported high levels of psychological resilience. However, </w:t>
      </w:r>
      <w:r>
        <w:t>psychological resilience</w:t>
      </w:r>
      <w:r w:rsidDel="004324C5">
        <w:t xml:space="preserve"> </w:t>
      </w:r>
      <w:r w:rsidR="00A56348">
        <w:t>had decreased by 1.5</w:t>
      </w:r>
      <w:r w:rsidR="00CB33AD">
        <w:t xml:space="preserve"> per cent</w:t>
      </w:r>
      <w:r w:rsidR="00A56348">
        <w:t xml:space="preserve"> from the 2016 survey (Department of Education and Training</w:t>
      </w:r>
      <w:r w:rsidR="00EA61EC">
        <w:t xml:space="preserve"> (DET)</w:t>
      </w:r>
      <w:r w:rsidR="00A56348">
        <w:t xml:space="preserve">, 2019). </w:t>
      </w:r>
    </w:p>
    <w:p w14:paraId="2AD14B23" w14:textId="2E1BE69C" w:rsidR="001B750D" w:rsidRDefault="001B750D" w:rsidP="00A56348">
      <w:pPr>
        <w:pStyle w:val="Body"/>
      </w:pPr>
      <w:r w:rsidRPr="00313DAD">
        <w:t xml:space="preserve">Climate change can </w:t>
      </w:r>
      <w:r w:rsidR="001728B8" w:rsidRPr="00313DAD">
        <w:t xml:space="preserve">impact mental health </w:t>
      </w:r>
      <w:r w:rsidRPr="00313DAD">
        <w:t>directly and indirectly</w:t>
      </w:r>
      <w:r w:rsidR="00964379">
        <w:t>.</w:t>
      </w:r>
      <w:r w:rsidR="002F07FD" w:rsidRPr="00313DAD">
        <w:t xml:space="preserve"> </w:t>
      </w:r>
      <w:r w:rsidR="00964379">
        <w:t xml:space="preserve">Increasingly, </w:t>
      </w:r>
      <w:r w:rsidR="00F25C61">
        <w:t>language</w:t>
      </w:r>
      <w:r w:rsidR="00917A51">
        <w:t xml:space="preserve"> such as ecological or climate anxiety</w:t>
      </w:r>
      <w:r w:rsidR="00964379">
        <w:t xml:space="preserve">, </w:t>
      </w:r>
      <w:r w:rsidR="00917A51">
        <w:t>grief</w:t>
      </w:r>
      <w:r w:rsidR="00964379">
        <w:t>,</w:t>
      </w:r>
      <w:r w:rsidR="00917A51">
        <w:t xml:space="preserve"> </w:t>
      </w:r>
      <w:r w:rsidR="00B247BE">
        <w:t xml:space="preserve">and existential loss </w:t>
      </w:r>
      <w:r w:rsidR="00964379">
        <w:t xml:space="preserve">are </w:t>
      </w:r>
      <w:r w:rsidR="00547271">
        <w:t>being used</w:t>
      </w:r>
      <w:r w:rsidR="00917A51">
        <w:t xml:space="preserve"> to describe some of the impacts </w:t>
      </w:r>
      <w:r w:rsidR="007C00C7">
        <w:t xml:space="preserve">associated with </w:t>
      </w:r>
      <w:r w:rsidR="00917A51">
        <w:t>the threat of climate change</w:t>
      </w:r>
      <w:r w:rsidR="00992D4A">
        <w:t xml:space="preserve"> (Cunsolo </w:t>
      </w:r>
      <w:r w:rsidR="00992D4A" w:rsidRPr="00AD55A8">
        <w:t>et al</w:t>
      </w:r>
      <w:r w:rsidR="00964379">
        <w:t>,</w:t>
      </w:r>
      <w:r w:rsidR="00992D4A">
        <w:t xml:space="preserve"> 2020</w:t>
      </w:r>
      <w:r w:rsidR="00964379">
        <w:t>;</w:t>
      </w:r>
      <w:r w:rsidR="00215DAA">
        <w:t xml:space="preserve"> Gunasiri </w:t>
      </w:r>
      <w:r w:rsidR="00215DAA" w:rsidRPr="00AD55A8">
        <w:t>et al</w:t>
      </w:r>
      <w:r w:rsidR="00964379">
        <w:t>,</w:t>
      </w:r>
      <w:r w:rsidR="00215DAA">
        <w:t xml:space="preserve"> 2022)</w:t>
      </w:r>
      <w:r w:rsidR="00F25C61">
        <w:t xml:space="preserve">. </w:t>
      </w:r>
      <w:r w:rsidR="007C00C7">
        <w:t>T</w:t>
      </w:r>
      <w:r w:rsidR="002F07FD" w:rsidRPr="00313DAD">
        <w:t xml:space="preserve">he psychological effects of climate change </w:t>
      </w:r>
      <w:r w:rsidR="00313DAD" w:rsidRPr="00313DAD">
        <w:t>can be significant</w:t>
      </w:r>
      <w:r w:rsidR="002F07FD" w:rsidRPr="00313DAD">
        <w:t xml:space="preserve"> for young </w:t>
      </w:r>
      <w:r w:rsidR="00BB3AC7">
        <w:t>Australians</w:t>
      </w:r>
      <w:r w:rsidR="00C1781C">
        <w:t xml:space="preserve"> </w:t>
      </w:r>
      <w:r w:rsidR="001D3F9C">
        <w:t xml:space="preserve">(Gunasiri </w:t>
      </w:r>
      <w:r w:rsidR="001D3F9C" w:rsidRPr="00AD55A8">
        <w:t>et al</w:t>
      </w:r>
      <w:r w:rsidR="00964379">
        <w:t>,</w:t>
      </w:r>
      <w:r w:rsidR="001D3F9C">
        <w:t xml:space="preserve"> 2022</w:t>
      </w:r>
      <w:r w:rsidR="00964379">
        <w:t>;</w:t>
      </w:r>
      <w:r w:rsidR="001D3F9C">
        <w:t xml:space="preserve"> Sustainability Victoria</w:t>
      </w:r>
      <w:r w:rsidR="00964379">
        <w:t>,</w:t>
      </w:r>
      <w:r w:rsidR="001D3F9C">
        <w:t xml:space="preserve"> 2020</w:t>
      </w:r>
      <w:r w:rsidR="00A77850">
        <w:t>a</w:t>
      </w:r>
      <w:r w:rsidR="001D3F9C">
        <w:t>)</w:t>
      </w:r>
      <w:r w:rsidR="00F405EB" w:rsidRPr="00313DAD">
        <w:t>.</w:t>
      </w:r>
      <w:r w:rsidR="00917A51">
        <w:t xml:space="preserve"> </w:t>
      </w:r>
      <w:r w:rsidR="00D21230">
        <w:t>Conversely,</w:t>
      </w:r>
      <w:r w:rsidR="00A96C1C">
        <w:t xml:space="preserve"> </w:t>
      </w:r>
      <w:r w:rsidR="00964379">
        <w:t xml:space="preserve">the mental health and wellbeing of children and young people can benefit from a </w:t>
      </w:r>
      <w:r w:rsidR="00A96C1C">
        <w:t xml:space="preserve">connection to nature and participation in climate change and sustainability </w:t>
      </w:r>
      <w:r w:rsidR="00BC1E76">
        <w:t xml:space="preserve">action </w:t>
      </w:r>
      <w:r w:rsidR="00751CFF">
        <w:t xml:space="preserve">(Gunasiri </w:t>
      </w:r>
      <w:r w:rsidR="00751CFF" w:rsidRPr="00AC061E">
        <w:t>et al</w:t>
      </w:r>
      <w:r w:rsidR="00964379">
        <w:t xml:space="preserve">, </w:t>
      </w:r>
      <w:r w:rsidR="00751CFF">
        <w:t>2022</w:t>
      </w:r>
      <w:r w:rsidR="00964379">
        <w:t xml:space="preserve">; </w:t>
      </w:r>
      <w:r w:rsidR="00A77850">
        <w:t>Sustainability Victoria</w:t>
      </w:r>
      <w:r w:rsidR="00964379">
        <w:t>,</w:t>
      </w:r>
      <w:r w:rsidR="00A77850">
        <w:t xml:space="preserve"> 2020b). </w:t>
      </w:r>
    </w:p>
    <w:p w14:paraId="58C93105" w14:textId="1A17D3DF" w:rsidR="00A56348" w:rsidRDefault="00A56348" w:rsidP="00A56348">
      <w:pPr>
        <w:pStyle w:val="Body"/>
      </w:pPr>
      <w:r>
        <w:t xml:space="preserve">In 2019, the </w:t>
      </w:r>
      <w:r w:rsidR="00964379">
        <w:t xml:space="preserve">Victorian Government launched the </w:t>
      </w:r>
      <w:r>
        <w:t xml:space="preserve">Mental Health in Schools </w:t>
      </w:r>
      <w:r w:rsidR="00964379">
        <w:t>p</w:t>
      </w:r>
      <w:r>
        <w:t>rogram. Th</w:t>
      </w:r>
      <w:r w:rsidR="00964379">
        <w:t>e</w:t>
      </w:r>
      <w:r>
        <w:t xml:space="preserve"> </w:t>
      </w:r>
      <w:r w:rsidR="00964379">
        <w:t>p</w:t>
      </w:r>
      <w:r>
        <w:t>rogram support</w:t>
      </w:r>
      <w:r w:rsidR="00964379">
        <w:t>s</w:t>
      </w:r>
      <w:r>
        <w:t xml:space="preserve"> the mental health and wellbeing needs of Victorian students by </w:t>
      </w:r>
      <w:r w:rsidR="00964379">
        <w:t xml:space="preserve">giving </w:t>
      </w:r>
      <w:r>
        <w:t>them access to services from mental health professionals as part of a school-based health and wellbeing team. The</w:t>
      </w:r>
      <w:r w:rsidR="00964379">
        <w:t xml:space="preserve"> school-based health and wellbeing </w:t>
      </w:r>
      <w:r>
        <w:t xml:space="preserve">teams </w:t>
      </w:r>
      <w:r w:rsidR="00964379">
        <w:t xml:space="preserve">deliver </w:t>
      </w:r>
      <w:r>
        <w:t>prevention and early intervention activities</w:t>
      </w:r>
      <w:r w:rsidR="00964379">
        <w:t xml:space="preserve">, as well as </w:t>
      </w:r>
      <w:r>
        <w:t xml:space="preserve">more tailored and intensive support (Department of Premier </w:t>
      </w:r>
      <w:r w:rsidR="00964379">
        <w:t xml:space="preserve">and </w:t>
      </w:r>
      <w:r>
        <w:t xml:space="preserve">Cabinet, 2019). </w:t>
      </w:r>
    </w:p>
    <w:bookmarkEnd w:id="106"/>
    <w:p w14:paraId="486A8668" w14:textId="77777777" w:rsidR="00C85BB0" w:rsidRDefault="00C85BB0" w:rsidP="00815AFE">
      <w:pPr>
        <w:pStyle w:val="Heading3"/>
      </w:pPr>
      <w:r>
        <w:t>Find out more </w:t>
      </w:r>
    </w:p>
    <w:p w14:paraId="53864B41" w14:textId="2DD489D8" w:rsidR="00C85BB0" w:rsidRPr="0040595D" w:rsidRDefault="00C85BB0" w:rsidP="00815AFE">
      <w:pPr>
        <w:pStyle w:val="Body"/>
        <w:rPr>
          <w:color w:val="2A2736"/>
        </w:rPr>
      </w:pPr>
      <w:r w:rsidRPr="001F7330">
        <w:rPr>
          <w:i/>
          <w:iCs/>
          <w:color w:val="2A2736"/>
        </w:rPr>
        <w:t>The </w:t>
      </w:r>
      <w:r w:rsidRPr="001F7330">
        <w:rPr>
          <w:i/>
          <w:iCs/>
        </w:rPr>
        <w:t>State of Victoria’s Children Report 2019</w:t>
      </w:r>
      <w:r w:rsidRPr="0040595D">
        <w:rPr>
          <w:color w:val="2A2736"/>
        </w:rPr>
        <w:t>, published by the Department of Education and Training in 2022.</w:t>
      </w:r>
      <w:r w:rsidRPr="0040595D">
        <w:t xml:space="preserve"> </w:t>
      </w:r>
      <w:r w:rsidR="00BA6EE7">
        <w:t xml:space="preserve">Available at </w:t>
      </w:r>
      <w:r w:rsidR="00911067">
        <w:t>&lt;</w:t>
      </w:r>
      <w:r w:rsidRPr="0040595D">
        <w:rPr>
          <w:color w:val="2A2736"/>
        </w:rPr>
        <w:t>https://www.vic.gov.au/state-victorias-children-report</w:t>
      </w:r>
      <w:r w:rsidR="00911067">
        <w:rPr>
          <w:color w:val="2A2736"/>
        </w:rPr>
        <w:t>&gt;</w:t>
      </w:r>
      <w:r w:rsidR="000F2D6C">
        <w:rPr>
          <w:color w:val="2A2736"/>
        </w:rPr>
        <w:t>.</w:t>
      </w:r>
    </w:p>
    <w:p w14:paraId="30ADA5CE" w14:textId="37218A53" w:rsidR="00050213" w:rsidRDefault="00050213" w:rsidP="00050213">
      <w:pPr>
        <w:pStyle w:val="Heading2"/>
      </w:pPr>
      <w:bookmarkStart w:id="107" w:name="_Toc116977952"/>
      <w:bookmarkStart w:id="108" w:name="_Toc116981350"/>
      <w:r w:rsidRPr="00071267">
        <w:t>Allergies</w:t>
      </w:r>
      <w:bookmarkEnd w:id="107"/>
      <w:r>
        <w:t xml:space="preserve"> </w:t>
      </w:r>
    </w:p>
    <w:p w14:paraId="21E7F70D" w14:textId="77777777" w:rsidR="004145B1" w:rsidRDefault="00050213" w:rsidP="00050213">
      <w:pPr>
        <w:pStyle w:val="Body"/>
        <w:rPr>
          <w:shd w:val="clear" w:color="auto" w:fill="FFFFFF"/>
        </w:rPr>
      </w:pPr>
      <w:r w:rsidRPr="00DD272F">
        <w:rPr>
          <w:shd w:val="clear" w:color="auto" w:fill="FFFFFF"/>
        </w:rPr>
        <w:t xml:space="preserve">The most sudden and severe form of an allergic reaction is anaphylaxis. </w:t>
      </w:r>
    </w:p>
    <w:p w14:paraId="10BEA7BB" w14:textId="1AA9CD14" w:rsidR="00050213" w:rsidRPr="00DD272F" w:rsidRDefault="00050213" w:rsidP="00050213">
      <w:pPr>
        <w:pStyle w:val="Body"/>
        <w:rPr>
          <w:rFonts w:eastAsiaTheme="minorHAnsi"/>
          <w:shd w:val="clear" w:color="auto" w:fill="FFFFFF"/>
        </w:rPr>
      </w:pPr>
      <w:r w:rsidRPr="00DD272F">
        <w:rPr>
          <w:shd w:val="clear" w:color="auto" w:fill="FFFFFF"/>
        </w:rPr>
        <w:t>Anaphylaxis is a severe</w:t>
      </w:r>
      <w:r w:rsidR="004145B1">
        <w:rPr>
          <w:shd w:val="clear" w:color="auto" w:fill="FFFFFF"/>
        </w:rPr>
        <w:t xml:space="preserve">, </w:t>
      </w:r>
      <w:r w:rsidRPr="00DD272F">
        <w:rPr>
          <w:shd w:val="clear" w:color="auto" w:fill="FFFFFF"/>
        </w:rPr>
        <w:t>potentially life-threatening allergic reaction that causes the immune system to release a flood of chemicals</w:t>
      </w:r>
      <w:r w:rsidR="004145B1">
        <w:rPr>
          <w:shd w:val="clear" w:color="auto" w:fill="FFFFFF"/>
        </w:rPr>
        <w:t>. Those chemicals</w:t>
      </w:r>
      <w:r w:rsidRPr="00DD272F">
        <w:rPr>
          <w:shd w:val="clear" w:color="auto" w:fill="FFFFFF"/>
        </w:rPr>
        <w:t xml:space="preserve"> can </w:t>
      </w:r>
      <w:r w:rsidR="004145B1">
        <w:rPr>
          <w:shd w:val="clear" w:color="auto" w:fill="FFFFFF"/>
        </w:rPr>
        <w:t xml:space="preserve">send people </w:t>
      </w:r>
      <w:r w:rsidRPr="00DD272F">
        <w:rPr>
          <w:shd w:val="clear" w:color="auto" w:fill="FFFFFF"/>
        </w:rPr>
        <w:t>into shock</w:t>
      </w:r>
      <w:r w:rsidR="004145B1">
        <w:rPr>
          <w:shd w:val="clear" w:color="auto" w:fill="FFFFFF"/>
        </w:rPr>
        <w:t>;</w:t>
      </w:r>
      <w:r w:rsidRPr="00DD272F">
        <w:rPr>
          <w:shd w:val="clear" w:color="auto" w:fill="FFFFFF"/>
        </w:rPr>
        <w:t xml:space="preserve"> </w:t>
      </w:r>
      <w:r w:rsidR="004145B1">
        <w:rPr>
          <w:shd w:val="clear" w:color="auto" w:fill="FFFFFF"/>
        </w:rPr>
        <w:t xml:space="preserve">dropping their </w:t>
      </w:r>
      <w:r w:rsidRPr="00DD272F">
        <w:rPr>
          <w:shd w:val="clear" w:color="auto" w:fill="FFFFFF"/>
        </w:rPr>
        <w:t xml:space="preserve">blood pressure, </w:t>
      </w:r>
      <w:r w:rsidR="004145B1">
        <w:rPr>
          <w:shd w:val="clear" w:color="auto" w:fill="FFFFFF"/>
        </w:rPr>
        <w:t xml:space="preserve">narrowing their </w:t>
      </w:r>
      <w:r w:rsidRPr="00DD272F">
        <w:rPr>
          <w:shd w:val="clear" w:color="auto" w:fill="FFFFFF"/>
        </w:rPr>
        <w:t xml:space="preserve">airways, </w:t>
      </w:r>
      <w:r w:rsidR="004145B1">
        <w:rPr>
          <w:shd w:val="clear" w:color="auto" w:fill="FFFFFF"/>
        </w:rPr>
        <w:t xml:space="preserve">and </w:t>
      </w:r>
      <w:r w:rsidRPr="00DD272F">
        <w:rPr>
          <w:shd w:val="clear" w:color="auto" w:fill="FFFFFF"/>
        </w:rPr>
        <w:t>impacting their ability to breath</w:t>
      </w:r>
      <w:r w:rsidR="00EF2AD3">
        <w:rPr>
          <w:shd w:val="clear" w:color="auto" w:fill="FFFFFF"/>
        </w:rPr>
        <w:t>e</w:t>
      </w:r>
      <w:r w:rsidRPr="00DD272F">
        <w:rPr>
          <w:shd w:val="clear" w:color="auto" w:fill="FFFFFF"/>
        </w:rPr>
        <w:t>. </w:t>
      </w:r>
      <w:r w:rsidRPr="00FE3329">
        <w:rPr>
          <w:rFonts w:eastAsiaTheme="minorHAnsi"/>
          <w:shd w:val="clear" w:color="auto" w:fill="FFFFFF"/>
        </w:rPr>
        <w:t>Medication, food</w:t>
      </w:r>
      <w:r w:rsidR="004145B1">
        <w:rPr>
          <w:rFonts w:eastAsiaTheme="minorHAnsi"/>
          <w:shd w:val="clear" w:color="auto" w:fill="FFFFFF"/>
        </w:rPr>
        <w:t>,</w:t>
      </w:r>
      <w:r w:rsidRPr="00FE3329">
        <w:rPr>
          <w:rFonts w:eastAsiaTheme="minorHAnsi"/>
          <w:shd w:val="clear" w:color="auto" w:fill="FFFFFF"/>
        </w:rPr>
        <w:t xml:space="preserve"> and insect venom are the three main causes of anaphylaxis.</w:t>
      </w:r>
    </w:p>
    <w:p w14:paraId="7D3566E1" w14:textId="369CDBBB" w:rsidR="00050213" w:rsidRPr="00DD272F" w:rsidRDefault="004145B1" w:rsidP="00050213">
      <w:pPr>
        <w:pStyle w:val="Body"/>
        <w:rPr>
          <w:shd w:val="clear" w:color="auto" w:fill="FFFFFF"/>
        </w:rPr>
      </w:pPr>
      <w:r>
        <w:rPr>
          <w:shd w:val="clear" w:color="auto" w:fill="FFFFFF"/>
        </w:rPr>
        <w:t>S</w:t>
      </w:r>
      <w:r w:rsidR="00050213" w:rsidRPr="00DD272F">
        <w:rPr>
          <w:shd w:val="clear" w:color="auto" w:fill="FFFFFF"/>
        </w:rPr>
        <w:t>evere anaphylaxis is more common</w:t>
      </w:r>
      <w:r>
        <w:rPr>
          <w:shd w:val="clear" w:color="auto" w:fill="FFFFFF"/>
        </w:rPr>
        <w:t xml:space="preserve"> among children. For children aged 0</w:t>
      </w:r>
      <w:r w:rsidR="00B72AD0">
        <w:rPr>
          <w:shd w:val="clear" w:color="auto" w:fill="FFFFFF"/>
        </w:rPr>
        <w:t xml:space="preserve"> to </w:t>
      </w:r>
      <w:r>
        <w:rPr>
          <w:shd w:val="clear" w:color="auto" w:fill="FFFFFF"/>
        </w:rPr>
        <w:t>17</w:t>
      </w:r>
      <w:r w:rsidR="00E116DC">
        <w:rPr>
          <w:shd w:val="clear" w:color="auto" w:fill="FFFFFF"/>
        </w:rPr>
        <w:t xml:space="preserve"> years</w:t>
      </w:r>
      <w:r>
        <w:rPr>
          <w:shd w:val="clear" w:color="auto" w:fill="FFFFFF"/>
        </w:rPr>
        <w:t xml:space="preserve">, 72 </w:t>
      </w:r>
      <w:r w:rsidR="00050213" w:rsidRPr="00FE3329">
        <w:rPr>
          <w:color w:val="2A2736"/>
          <w:lang w:eastAsia="en-AU"/>
        </w:rPr>
        <w:t>per 100,000 population</w:t>
      </w:r>
      <w:r>
        <w:rPr>
          <w:color w:val="2A2736"/>
          <w:lang w:eastAsia="en-AU"/>
        </w:rPr>
        <w:t xml:space="preserve"> </w:t>
      </w:r>
      <w:r w:rsidR="00050213" w:rsidRPr="00DD272F">
        <w:rPr>
          <w:shd w:val="clear" w:color="auto" w:fill="FFFFFF"/>
        </w:rPr>
        <w:t>present to hospital with anaphylaxis</w:t>
      </w:r>
      <w:r>
        <w:rPr>
          <w:shd w:val="clear" w:color="auto" w:fill="FFFFFF"/>
        </w:rPr>
        <w:t xml:space="preserve"> in 2019</w:t>
      </w:r>
      <w:r w:rsidR="00050213" w:rsidRPr="00DD272F">
        <w:rPr>
          <w:shd w:val="clear" w:color="auto" w:fill="FFFFFF"/>
        </w:rPr>
        <w:t xml:space="preserve">, compared to 43 per 100,000 </w:t>
      </w:r>
      <w:r>
        <w:rPr>
          <w:shd w:val="clear" w:color="auto" w:fill="FFFFFF"/>
        </w:rPr>
        <w:t xml:space="preserve">for adults </w:t>
      </w:r>
      <w:r w:rsidR="00050213" w:rsidRPr="00DD272F">
        <w:rPr>
          <w:shd w:val="clear" w:color="auto" w:fill="FFFFFF"/>
        </w:rPr>
        <w:t>(V</w:t>
      </w:r>
      <w:r>
        <w:rPr>
          <w:shd w:val="clear" w:color="auto" w:fill="FFFFFF"/>
        </w:rPr>
        <w:t xml:space="preserve">AHI, </w:t>
      </w:r>
      <w:r w:rsidR="00050213" w:rsidRPr="00DD272F">
        <w:rPr>
          <w:shd w:val="clear" w:color="auto" w:fill="FFFFFF"/>
        </w:rPr>
        <w:t>2019).</w:t>
      </w:r>
      <w:r w:rsidR="00050213" w:rsidRPr="00DD272F">
        <w:rPr>
          <w:color w:val="2A2736"/>
        </w:rPr>
        <w:t>  </w:t>
      </w:r>
    </w:p>
    <w:p w14:paraId="04B8BD8D" w14:textId="60695EF3" w:rsidR="00050213" w:rsidRPr="00DD272F" w:rsidRDefault="00050213" w:rsidP="00050213">
      <w:pPr>
        <w:pStyle w:val="Body"/>
        <w:rPr>
          <w:shd w:val="clear" w:color="auto" w:fill="FFFFFF"/>
        </w:rPr>
      </w:pPr>
      <w:r w:rsidRPr="0093094C">
        <w:rPr>
          <w:shd w:val="clear" w:color="auto" w:fill="FFFFFF"/>
        </w:rPr>
        <w:lastRenderedPageBreak/>
        <w:t>Hospital da</w:t>
      </w:r>
      <w:r w:rsidRPr="00E11640">
        <w:rPr>
          <w:shd w:val="clear" w:color="auto" w:fill="FFFFFF"/>
        </w:rPr>
        <w:t xml:space="preserve">ta shows a significantly increasing trend of Victorian children being affected by anaphylaxis over the past decade. </w:t>
      </w:r>
      <w:r w:rsidRPr="00AD55A8">
        <w:rPr>
          <w:shd w:val="clear" w:color="auto" w:fill="FFFFFF"/>
        </w:rPr>
        <w:t xml:space="preserve">In 2019, </w:t>
      </w:r>
      <w:r w:rsidR="00872A85" w:rsidRPr="00AD55A8">
        <w:rPr>
          <w:shd w:val="clear" w:color="auto" w:fill="FFFFFF"/>
        </w:rPr>
        <w:t xml:space="preserve">Victoria had </w:t>
      </w:r>
      <w:r w:rsidRPr="00AD55A8">
        <w:rPr>
          <w:shd w:val="clear" w:color="auto" w:fill="FFFFFF"/>
        </w:rPr>
        <w:t>1</w:t>
      </w:r>
      <w:r w:rsidR="00872A85" w:rsidRPr="00AD55A8">
        <w:rPr>
          <w:shd w:val="clear" w:color="auto" w:fill="FFFFFF"/>
        </w:rPr>
        <w:t>,</w:t>
      </w:r>
      <w:r w:rsidRPr="00AD55A8">
        <w:rPr>
          <w:shd w:val="clear" w:color="auto" w:fill="FFFFFF"/>
        </w:rPr>
        <w:t>027 hospitalisations of children due to anaphylaxis, up from 298 in 2009</w:t>
      </w:r>
      <w:r w:rsidR="003A433C" w:rsidRPr="00AD55A8">
        <w:t>.</w:t>
      </w:r>
    </w:p>
    <w:p w14:paraId="3218B111" w14:textId="25F2E61D" w:rsidR="0056412F" w:rsidRPr="00DD272F" w:rsidRDefault="0056412F" w:rsidP="0056412F">
      <w:pPr>
        <w:pStyle w:val="Body"/>
        <w:rPr>
          <w:shd w:val="clear" w:color="auto" w:fill="FFFFFF"/>
        </w:rPr>
      </w:pPr>
      <w:r w:rsidRPr="00DD272F">
        <w:rPr>
          <w:shd w:val="clear" w:color="auto" w:fill="FFFFFF"/>
        </w:rPr>
        <w:t>The</w:t>
      </w:r>
      <w:r w:rsidRPr="00FE3329">
        <w:rPr>
          <w:rFonts w:eastAsiaTheme="minorHAnsi"/>
          <w:shd w:val="clear" w:color="auto" w:fill="FFFFFF"/>
        </w:rPr>
        <w:t xml:space="preserve"> most common cause of anaphylaxis in children</w:t>
      </w:r>
      <w:r w:rsidRPr="00DD272F">
        <w:rPr>
          <w:shd w:val="clear" w:color="auto" w:fill="FFFFFF"/>
        </w:rPr>
        <w:t xml:space="preserve"> is food allergies</w:t>
      </w:r>
      <w:r w:rsidRPr="00FE3329">
        <w:rPr>
          <w:rFonts w:eastAsiaTheme="minorHAnsi"/>
          <w:shd w:val="clear" w:color="auto" w:fill="FFFFFF"/>
        </w:rPr>
        <w:t xml:space="preserve">, </w:t>
      </w:r>
      <w:r w:rsidR="00872A85">
        <w:rPr>
          <w:rFonts w:eastAsiaTheme="minorHAnsi"/>
          <w:shd w:val="clear" w:color="auto" w:fill="FFFFFF"/>
        </w:rPr>
        <w:t xml:space="preserve">which is </w:t>
      </w:r>
      <w:r w:rsidRPr="00FE3329">
        <w:rPr>
          <w:rFonts w:eastAsiaTheme="minorHAnsi"/>
          <w:shd w:val="clear" w:color="auto" w:fill="FFFFFF"/>
        </w:rPr>
        <w:t xml:space="preserve">responsible for more than </w:t>
      </w:r>
      <w:r w:rsidRPr="00DF769B">
        <w:rPr>
          <w:rFonts w:eastAsiaTheme="minorHAnsi"/>
          <w:shd w:val="clear" w:color="auto" w:fill="FFFFFF"/>
        </w:rPr>
        <w:t>8</w:t>
      </w:r>
      <w:r w:rsidRPr="00DF769B">
        <w:rPr>
          <w:shd w:val="clear" w:color="auto" w:fill="FFFFFF"/>
        </w:rPr>
        <w:t>1</w:t>
      </w:r>
      <w:r w:rsidRPr="00DF769B">
        <w:rPr>
          <w:rFonts w:eastAsiaTheme="minorHAnsi"/>
          <w:shd w:val="clear" w:color="auto" w:fill="FFFFFF"/>
        </w:rPr>
        <w:t xml:space="preserve"> per cent</w:t>
      </w:r>
      <w:r w:rsidRPr="00FE3329">
        <w:rPr>
          <w:rFonts w:eastAsiaTheme="minorHAnsi"/>
          <w:shd w:val="clear" w:color="auto" w:fill="FFFFFF"/>
        </w:rPr>
        <w:t xml:space="preserve"> of hospital presentations</w:t>
      </w:r>
      <w:r w:rsidRPr="00DD272F">
        <w:rPr>
          <w:shd w:val="clear" w:color="auto" w:fill="FFFFFF"/>
        </w:rPr>
        <w:t xml:space="preserve"> (</w:t>
      </w:r>
      <w:r w:rsidR="00872A85">
        <w:rPr>
          <w:shd w:val="clear" w:color="auto" w:fill="FFFFFF"/>
        </w:rPr>
        <w:t>VAHI,</w:t>
      </w:r>
      <w:r w:rsidRPr="00DD272F">
        <w:rPr>
          <w:shd w:val="clear" w:color="auto" w:fill="FFFFFF"/>
        </w:rPr>
        <w:t xml:space="preserve"> 2019). </w:t>
      </w:r>
      <w:r w:rsidR="00D22698" w:rsidRPr="00DD272F">
        <w:rPr>
          <w:rFonts w:cs="Arial"/>
          <w:color w:val="111111"/>
          <w:shd w:val="clear" w:color="auto" w:fill="FFFFFF"/>
        </w:rPr>
        <w:t xml:space="preserve">In particular, there has been concerning growth in </w:t>
      </w:r>
      <w:r w:rsidR="00B02B37">
        <w:rPr>
          <w:rFonts w:cs="Arial"/>
          <w:color w:val="111111"/>
          <w:shd w:val="clear" w:color="auto" w:fill="FFFFFF"/>
        </w:rPr>
        <w:t xml:space="preserve">food allergies among </w:t>
      </w:r>
      <w:r w:rsidR="00D22698" w:rsidRPr="00DD272F">
        <w:rPr>
          <w:rFonts w:cs="Arial"/>
          <w:color w:val="111111"/>
          <w:shd w:val="clear" w:color="auto" w:fill="FFFFFF"/>
        </w:rPr>
        <w:t>children aged 0</w:t>
      </w:r>
      <w:r w:rsidR="00601257">
        <w:rPr>
          <w:rFonts w:cs="Arial"/>
          <w:color w:val="111111"/>
          <w:shd w:val="clear" w:color="auto" w:fill="FFFFFF"/>
        </w:rPr>
        <w:t xml:space="preserve"> to </w:t>
      </w:r>
      <w:r w:rsidR="00D22698" w:rsidRPr="00DD272F">
        <w:rPr>
          <w:rFonts w:cs="Arial"/>
          <w:color w:val="111111"/>
          <w:shd w:val="clear" w:color="auto" w:fill="FFFFFF"/>
        </w:rPr>
        <w:t>4</w:t>
      </w:r>
      <w:r w:rsidR="00E116DC">
        <w:rPr>
          <w:rFonts w:cs="Arial"/>
          <w:color w:val="111111"/>
          <w:shd w:val="clear" w:color="auto" w:fill="FFFFFF"/>
        </w:rPr>
        <w:t xml:space="preserve"> years</w:t>
      </w:r>
      <w:r w:rsidR="00B02B37">
        <w:rPr>
          <w:rFonts w:cs="Arial"/>
          <w:color w:val="111111"/>
          <w:shd w:val="clear" w:color="auto" w:fill="FFFFFF"/>
        </w:rPr>
        <w:t xml:space="preserve">. This age group has </w:t>
      </w:r>
      <w:r w:rsidR="00D22698" w:rsidRPr="00DD272F">
        <w:rPr>
          <w:rFonts w:cs="Arial"/>
          <w:color w:val="111111"/>
          <w:shd w:val="clear" w:color="auto" w:fill="FFFFFF"/>
        </w:rPr>
        <w:t>the highest rate of food reaction anaphylaxis</w:t>
      </w:r>
      <w:r w:rsidR="00B02B37">
        <w:rPr>
          <w:rFonts w:cs="Arial"/>
          <w:color w:val="111111"/>
          <w:shd w:val="clear" w:color="auto" w:fill="FFFFFF"/>
        </w:rPr>
        <w:t>.</w:t>
      </w:r>
    </w:p>
    <w:p w14:paraId="3E8854E1" w14:textId="5389BC47" w:rsidR="00E71CB6" w:rsidRDefault="00A50D70" w:rsidP="0090000B">
      <w:pPr>
        <w:rPr>
          <w:rFonts w:cs="Arial"/>
          <w:color w:val="111111"/>
          <w:shd w:val="clear" w:color="auto" w:fill="FFFFFF"/>
        </w:rPr>
      </w:pPr>
      <w:r>
        <w:rPr>
          <w:rFonts w:cs="Arial"/>
          <w:color w:val="111111"/>
          <w:shd w:val="clear" w:color="auto" w:fill="FFFFFF"/>
        </w:rPr>
        <w:t>F</w:t>
      </w:r>
      <w:r w:rsidR="00B02B37" w:rsidRPr="00FE3329">
        <w:rPr>
          <w:rFonts w:cs="Arial"/>
          <w:color w:val="111111"/>
          <w:shd w:val="clear" w:color="auto" w:fill="FFFFFF"/>
        </w:rPr>
        <w:t xml:space="preserve">or children </w:t>
      </w:r>
      <w:r w:rsidR="00B02B37" w:rsidRPr="00DD272F">
        <w:rPr>
          <w:rFonts w:cs="Arial"/>
          <w:color w:val="111111"/>
          <w:shd w:val="clear" w:color="auto" w:fill="FFFFFF"/>
        </w:rPr>
        <w:t>of all age groups</w:t>
      </w:r>
      <w:r w:rsidR="00B02B37">
        <w:rPr>
          <w:rFonts w:cs="Arial"/>
          <w:color w:val="111111"/>
          <w:shd w:val="clear" w:color="auto" w:fill="FFFFFF"/>
        </w:rPr>
        <w:t>,</w:t>
      </w:r>
      <w:r w:rsidR="0090000B" w:rsidRPr="00FE3329">
        <w:rPr>
          <w:rFonts w:cs="Arial"/>
          <w:color w:val="111111"/>
          <w:shd w:val="clear" w:color="auto" w:fill="FFFFFF"/>
        </w:rPr>
        <w:t xml:space="preserve"> the</w:t>
      </w:r>
      <w:r w:rsidR="00B02B37">
        <w:rPr>
          <w:rFonts w:cs="Arial"/>
          <w:color w:val="111111"/>
          <w:shd w:val="clear" w:color="auto" w:fill="FFFFFF"/>
        </w:rPr>
        <w:t xml:space="preserve"> </w:t>
      </w:r>
      <w:r w:rsidR="00B02B37" w:rsidRPr="00DD272F">
        <w:rPr>
          <w:rFonts w:cs="Arial"/>
          <w:color w:val="111111"/>
          <w:shd w:val="clear" w:color="auto" w:fill="FFFFFF"/>
        </w:rPr>
        <w:t>anaphylaxis</w:t>
      </w:r>
      <w:r w:rsidR="0090000B" w:rsidRPr="00FE3329">
        <w:rPr>
          <w:rFonts w:cs="Arial"/>
          <w:color w:val="111111"/>
          <w:shd w:val="clear" w:color="auto" w:fill="FFFFFF"/>
        </w:rPr>
        <w:t xml:space="preserve"> rate per 100,000 population increased much faster than any other age group during the four years </w:t>
      </w:r>
      <w:r w:rsidR="00B02B37">
        <w:rPr>
          <w:rFonts w:cs="Arial"/>
          <w:color w:val="111111"/>
          <w:shd w:val="clear" w:color="auto" w:fill="FFFFFF"/>
        </w:rPr>
        <w:t xml:space="preserve">to 2019 </w:t>
      </w:r>
      <w:r w:rsidR="0090000B" w:rsidRPr="00FE3329">
        <w:rPr>
          <w:rFonts w:cs="Arial"/>
          <w:color w:val="111111"/>
          <w:shd w:val="clear" w:color="auto" w:fill="FFFFFF"/>
        </w:rPr>
        <w:t>(</w:t>
      </w:r>
      <w:r w:rsidR="00B02B37">
        <w:rPr>
          <w:rFonts w:cs="Arial"/>
          <w:color w:val="111111"/>
          <w:shd w:val="clear" w:color="auto" w:fill="FFFFFF"/>
        </w:rPr>
        <w:t xml:space="preserve">VAHI, </w:t>
      </w:r>
      <w:r w:rsidR="0090000B" w:rsidRPr="00FE3329">
        <w:rPr>
          <w:rFonts w:cs="Arial"/>
          <w:color w:val="111111"/>
          <w:shd w:val="clear" w:color="auto" w:fill="FFFFFF"/>
        </w:rPr>
        <w:t>201</w:t>
      </w:r>
      <w:r w:rsidR="0090000B" w:rsidRPr="00DD272F">
        <w:rPr>
          <w:rFonts w:cs="Arial"/>
          <w:color w:val="111111"/>
          <w:shd w:val="clear" w:color="auto" w:fill="FFFFFF"/>
        </w:rPr>
        <w:t>9</w:t>
      </w:r>
      <w:r w:rsidR="0090000B" w:rsidRPr="00FE3329">
        <w:rPr>
          <w:rFonts w:cs="Arial"/>
          <w:color w:val="111111"/>
          <w:shd w:val="clear" w:color="auto" w:fill="FFFFFF"/>
        </w:rPr>
        <w:t>)</w:t>
      </w:r>
      <w:r w:rsidR="0090000B" w:rsidRPr="00DD272F">
        <w:rPr>
          <w:rFonts w:cs="Arial"/>
          <w:color w:val="111111"/>
          <w:shd w:val="clear" w:color="auto" w:fill="FFFFFF"/>
        </w:rPr>
        <w:t>.</w:t>
      </w:r>
    </w:p>
    <w:p w14:paraId="191BDDEB" w14:textId="30684EEE" w:rsidR="00545D16" w:rsidRDefault="003D513B" w:rsidP="002B6A64">
      <w:pPr>
        <w:pStyle w:val="Body"/>
        <w:rPr>
          <w:shd w:val="clear" w:color="auto" w:fill="FFFFFF"/>
        </w:rPr>
      </w:pPr>
      <w:r>
        <w:rPr>
          <w:shd w:val="clear" w:color="auto" w:fill="FFFFFF"/>
        </w:rPr>
        <w:t>P</w:t>
      </w:r>
      <w:r w:rsidR="005973FB">
        <w:rPr>
          <w:shd w:val="clear" w:color="auto" w:fill="FFFFFF"/>
        </w:rPr>
        <w:t xml:space="preserve">eanut allergies </w:t>
      </w:r>
      <w:r w:rsidR="00D112DC">
        <w:rPr>
          <w:shd w:val="clear" w:color="auto" w:fill="FFFFFF"/>
        </w:rPr>
        <w:t xml:space="preserve">– an allergy </w:t>
      </w:r>
      <w:r w:rsidR="00D112DC" w:rsidRPr="003C1FC6">
        <w:rPr>
          <w:shd w:val="clear" w:color="auto" w:fill="FFFFFF"/>
        </w:rPr>
        <w:t xml:space="preserve">children rarely grow out of </w:t>
      </w:r>
      <w:r w:rsidR="00D112DC">
        <w:rPr>
          <w:shd w:val="clear" w:color="auto" w:fill="FFFFFF"/>
        </w:rPr>
        <w:t xml:space="preserve">– </w:t>
      </w:r>
      <w:r w:rsidR="005973FB">
        <w:rPr>
          <w:shd w:val="clear" w:color="auto" w:fill="FFFFFF"/>
        </w:rPr>
        <w:t>are</w:t>
      </w:r>
      <w:r w:rsidR="003C1FC6" w:rsidRPr="003C1FC6">
        <w:rPr>
          <w:shd w:val="clear" w:color="auto" w:fill="FFFFFF"/>
        </w:rPr>
        <w:t xml:space="preserve"> one of the</w:t>
      </w:r>
      <w:r w:rsidR="00DB32AC">
        <w:rPr>
          <w:shd w:val="clear" w:color="auto" w:fill="FFFFFF"/>
        </w:rPr>
        <w:t xml:space="preserve"> </w:t>
      </w:r>
      <w:r w:rsidR="003C1FC6" w:rsidRPr="003C1FC6">
        <w:rPr>
          <w:shd w:val="clear" w:color="auto" w:fill="FFFFFF"/>
        </w:rPr>
        <w:t>most common childhood food</w:t>
      </w:r>
      <w:r w:rsidR="00DB32AC">
        <w:rPr>
          <w:shd w:val="clear" w:color="auto" w:fill="FFFFFF"/>
        </w:rPr>
        <w:t xml:space="preserve"> </w:t>
      </w:r>
      <w:r w:rsidR="003C1FC6" w:rsidRPr="003C1FC6">
        <w:rPr>
          <w:shd w:val="clear" w:color="auto" w:fill="FFFFFF"/>
        </w:rPr>
        <w:t>allergies.</w:t>
      </w:r>
      <w:r w:rsidR="00DB32AC">
        <w:rPr>
          <w:shd w:val="clear" w:color="auto" w:fill="FFFFFF"/>
        </w:rPr>
        <w:t xml:space="preserve"> </w:t>
      </w:r>
      <w:r w:rsidR="00506285">
        <w:rPr>
          <w:shd w:val="clear" w:color="auto" w:fill="FFFFFF"/>
        </w:rPr>
        <w:t xml:space="preserve">A study conducted in </w:t>
      </w:r>
      <w:r w:rsidR="00452EC3">
        <w:rPr>
          <w:shd w:val="clear" w:color="auto" w:fill="FFFFFF"/>
        </w:rPr>
        <w:t>Melbourne</w:t>
      </w:r>
      <w:r w:rsidR="00506285">
        <w:rPr>
          <w:shd w:val="clear" w:color="auto" w:fill="FFFFFF"/>
        </w:rPr>
        <w:t xml:space="preserve"> in 2011 </w:t>
      </w:r>
      <w:r w:rsidR="00B70C20">
        <w:rPr>
          <w:shd w:val="clear" w:color="auto" w:fill="FFFFFF"/>
        </w:rPr>
        <w:t>found the</w:t>
      </w:r>
      <w:r w:rsidR="00B70C20" w:rsidRPr="00B70C20">
        <w:rPr>
          <w:shd w:val="clear" w:color="auto" w:fill="FFFFFF"/>
        </w:rPr>
        <w:t xml:space="preserve"> prevalence of any sensiti</w:t>
      </w:r>
      <w:r w:rsidR="00CC77F4">
        <w:rPr>
          <w:shd w:val="clear" w:color="auto" w:fill="FFFFFF"/>
        </w:rPr>
        <w:t>s</w:t>
      </w:r>
      <w:r w:rsidR="00B70C20" w:rsidRPr="00B70C20">
        <w:rPr>
          <w:shd w:val="clear" w:color="auto" w:fill="FFFFFF"/>
        </w:rPr>
        <w:t xml:space="preserve">ation to </w:t>
      </w:r>
      <w:r w:rsidR="006C7316" w:rsidRPr="00B70C20">
        <w:rPr>
          <w:shd w:val="clear" w:color="auto" w:fill="FFFFFF"/>
        </w:rPr>
        <w:t>peanut</w:t>
      </w:r>
      <w:r w:rsidR="00B70C20" w:rsidRPr="00B70C20">
        <w:rPr>
          <w:shd w:val="clear" w:color="auto" w:fill="FFFFFF"/>
        </w:rPr>
        <w:t xml:space="preserve"> was 8.9</w:t>
      </w:r>
      <w:r w:rsidR="00AB63D0">
        <w:rPr>
          <w:shd w:val="clear" w:color="auto" w:fill="FFFFFF"/>
        </w:rPr>
        <w:t xml:space="preserve"> per cent</w:t>
      </w:r>
      <w:r w:rsidR="003A70FC">
        <w:rPr>
          <w:shd w:val="clear" w:color="auto" w:fill="FFFFFF"/>
        </w:rPr>
        <w:t xml:space="preserve"> in the </w:t>
      </w:r>
      <w:r w:rsidR="003A70FC" w:rsidRPr="005973FB">
        <w:rPr>
          <w:shd w:val="clear" w:color="auto" w:fill="FFFFFF"/>
        </w:rPr>
        <w:t>paediatric populatio</w:t>
      </w:r>
      <w:r w:rsidR="003A70FC">
        <w:rPr>
          <w:shd w:val="clear" w:color="auto" w:fill="FFFFFF"/>
        </w:rPr>
        <w:t>n</w:t>
      </w:r>
      <w:r w:rsidR="00B70C20">
        <w:rPr>
          <w:shd w:val="clear" w:color="auto" w:fill="FFFFFF"/>
        </w:rPr>
        <w:t xml:space="preserve">, with </w:t>
      </w:r>
      <w:r w:rsidR="003A70FC">
        <w:rPr>
          <w:shd w:val="clear" w:color="auto" w:fill="FFFFFF"/>
        </w:rPr>
        <w:t xml:space="preserve">a 3 </w:t>
      </w:r>
      <w:r w:rsidR="00AB63D0">
        <w:rPr>
          <w:shd w:val="clear" w:color="auto" w:fill="FFFFFF"/>
        </w:rPr>
        <w:t>per ce</w:t>
      </w:r>
      <w:r>
        <w:rPr>
          <w:shd w:val="clear" w:color="auto" w:fill="FFFFFF"/>
        </w:rPr>
        <w:t>n</w:t>
      </w:r>
      <w:r w:rsidR="00AB63D0">
        <w:rPr>
          <w:shd w:val="clear" w:color="auto" w:fill="FFFFFF"/>
        </w:rPr>
        <w:t xml:space="preserve">t </w:t>
      </w:r>
      <w:r w:rsidR="003A70FC">
        <w:rPr>
          <w:shd w:val="clear" w:color="auto" w:fill="FFFFFF"/>
        </w:rPr>
        <w:t xml:space="preserve">prevalence of </w:t>
      </w:r>
      <w:r w:rsidRPr="003D513B">
        <w:rPr>
          <w:shd w:val="clear" w:color="auto" w:fill="FFFFFF"/>
        </w:rPr>
        <w:t>challenge-proven peanut allerg</w:t>
      </w:r>
      <w:r w:rsidR="00B91DAB">
        <w:rPr>
          <w:shd w:val="clear" w:color="auto" w:fill="FFFFFF"/>
        </w:rPr>
        <w:t>ies</w:t>
      </w:r>
      <w:r w:rsidR="0079196D">
        <w:rPr>
          <w:shd w:val="clear" w:color="auto" w:fill="FFFFFF"/>
        </w:rPr>
        <w:t xml:space="preserve"> (</w:t>
      </w:r>
      <w:r w:rsidR="0079196D" w:rsidRPr="00F218A9">
        <w:t xml:space="preserve">Osborne </w:t>
      </w:r>
      <w:r w:rsidR="0079196D" w:rsidRPr="00C953A7">
        <w:t>et al</w:t>
      </w:r>
      <w:r w:rsidR="0079196D">
        <w:t>, 2011)</w:t>
      </w:r>
      <w:r w:rsidR="003A70FC">
        <w:rPr>
          <w:shd w:val="clear" w:color="auto" w:fill="FFFFFF"/>
        </w:rPr>
        <w:t xml:space="preserve"> </w:t>
      </w:r>
      <w:r w:rsidR="005973FB" w:rsidRPr="005973FB">
        <w:rPr>
          <w:shd w:val="clear" w:color="auto" w:fill="FFFFFF"/>
        </w:rPr>
        <w:t>often associated with severe reactions and fatalities</w:t>
      </w:r>
      <w:r w:rsidR="0079196D">
        <w:rPr>
          <w:shd w:val="clear" w:color="auto" w:fill="FFFFFF"/>
        </w:rPr>
        <w:t>.</w:t>
      </w:r>
      <w:r w:rsidR="00305860">
        <w:rPr>
          <w:shd w:val="clear" w:color="auto" w:fill="FFFFFF"/>
        </w:rPr>
        <w:t xml:space="preserve"> </w:t>
      </w:r>
    </w:p>
    <w:p w14:paraId="3AC8ACD7" w14:textId="019E0DEA" w:rsidR="00897002" w:rsidRDefault="002553E9" w:rsidP="00851322">
      <w:pPr>
        <w:pStyle w:val="Body"/>
        <w:spacing w:after="240"/>
        <w:rPr>
          <w:shd w:val="clear" w:color="auto" w:fill="FFFFFF"/>
        </w:rPr>
      </w:pPr>
      <w:r>
        <w:rPr>
          <w:shd w:val="clear" w:color="auto" w:fill="FFFFFF"/>
        </w:rPr>
        <w:t>Methods for preventing peanut allergies</w:t>
      </w:r>
      <w:r w:rsidR="00BB1F3B">
        <w:rPr>
          <w:shd w:val="clear" w:color="auto" w:fill="FFFFFF"/>
        </w:rPr>
        <w:t xml:space="preserve"> </w:t>
      </w:r>
      <w:r>
        <w:rPr>
          <w:shd w:val="clear" w:color="auto" w:fill="FFFFFF"/>
        </w:rPr>
        <w:t>require further research across population groups</w:t>
      </w:r>
      <w:r w:rsidR="0051142B">
        <w:rPr>
          <w:shd w:val="clear" w:color="auto" w:fill="FFFFFF"/>
        </w:rPr>
        <w:t>.</w:t>
      </w:r>
      <w:r w:rsidR="00897002">
        <w:rPr>
          <w:shd w:val="clear" w:color="auto" w:fill="FFFFFF"/>
        </w:rPr>
        <w:t xml:space="preserve"> </w:t>
      </w:r>
      <w:r w:rsidR="00352FD0">
        <w:rPr>
          <w:shd w:val="clear" w:color="auto" w:fill="FFFFFF"/>
        </w:rPr>
        <w:t>In 2018-19</w:t>
      </w:r>
      <w:r w:rsidR="00A05DD1">
        <w:rPr>
          <w:shd w:val="clear" w:color="auto" w:fill="FFFFFF"/>
        </w:rPr>
        <w:t>,</w:t>
      </w:r>
      <w:r w:rsidR="00352FD0">
        <w:rPr>
          <w:shd w:val="clear" w:color="auto" w:fill="FFFFFF"/>
        </w:rPr>
        <w:t xml:space="preserve"> a Melbourne </w:t>
      </w:r>
      <w:r w:rsidR="00775818">
        <w:rPr>
          <w:shd w:val="clear" w:color="auto" w:fill="FFFFFF"/>
        </w:rPr>
        <w:t xml:space="preserve">study identified that earlier </w:t>
      </w:r>
      <w:r w:rsidR="00775818">
        <w:t>peanut introduction</w:t>
      </w:r>
      <w:r w:rsidR="004017EB">
        <w:t xml:space="preserve"> </w:t>
      </w:r>
      <w:r w:rsidR="004017EB">
        <w:rPr>
          <w:shd w:val="clear" w:color="auto" w:fill="FFFFFF"/>
        </w:rPr>
        <w:t xml:space="preserve">(between </w:t>
      </w:r>
      <w:r w:rsidR="00F54439">
        <w:rPr>
          <w:shd w:val="clear" w:color="auto" w:fill="FFFFFF"/>
        </w:rPr>
        <w:t xml:space="preserve">the age of </w:t>
      </w:r>
      <w:r w:rsidR="004017EB" w:rsidRPr="00385667">
        <w:rPr>
          <w:shd w:val="clear" w:color="auto" w:fill="FFFFFF"/>
        </w:rPr>
        <w:t>6</w:t>
      </w:r>
      <w:r w:rsidR="00B96C76" w:rsidRPr="00385667">
        <w:rPr>
          <w:shd w:val="clear" w:color="auto" w:fill="FFFFFF"/>
        </w:rPr>
        <w:t xml:space="preserve"> to </w:t>
      </w:r>
      <w:r w:rsidR="004017EB" w:rsidRPr="00385667">
        <w:rPr>
          <w:shd w:val="clear" w:color="auto" w:fill="FFFFFF"/>
        </w:rPr>
        <w:t>12</w:t>
      </w:r>
      <w:r w:rsidR="004017EB">
        <w:rPr>
          <w:shd w:val="clear" w:color="auto" w:fill="FFFFFF"/>
        </w:rPr>
        <w:t xml:space="preserve"> months) </w:t>
      </w:r>
      <w:r w:rsidR="00775818">
        <w:t xml:space="preserve">was significantly </w:t>
      </w:r>
      <w:r w:rsidR="00EB7EA0">
        <w:t>linked</w:t>
      </w:r>
      <w:r w:rsidR="00775818">
        <w:t xml:space="preserve"> with lower risk of peanut allergy among infants of Australian</w:t>
      </w:r>
      <w:r w:rsidR="00F54439">
        <w:t>-</w:t>
      </w:r>
      <w:r w:rsidR="00775818">
        <w:t>born parents, but not among infants of East Asian ancestry</w:t>
      </w:r>
      <w:r w:rsidR="009761BC">
        <w:t xml:space="preserve"> (Soria</w:t>
      </w:r>
      <w:r w:rsidR="00815D67">
        <w:t>no, 2022)</w:t>
      </w:r>
      <w:r w:rsidR="00775818">
        <w:t xml:space="preserve">. </w:t>
      </w:r>
      <w:r w:rsidR="00F54439">
        <w:rPr>
          <w:shd w:val="clear" w:color="auto" w:fill="FFFFFF"/>
        </w:rPr>
        <w:t>S</w:t>
      </w:r>
      <w:r w:rsidR="00897002">
        <w:rPr>
          <w:shd w:val="clear" w:color="auto" w:fill="FFFFFF"/>
        </w:rPr>
        <w:t>ome research suggest</w:t>
      </w:r>
      <w:r w:rsidR="00F54439">
        <w:rPr>
          <w:shd w:val="clear" w:color="auto" w:fill="FFFFFF"/>
        </w:rPr>
        <w:t xml:space="preserve">s that the </w:t>
      </w:r>
      <w:r w:rsidR="00897002">
        <w:rPr>
          <w:shd w:val="clear" w:color="auto" w:fill="FFFFFF"/>
        </w:rPr>
        <w:t>t</w:t>
      </w:r>
      <w:r w:rsidR="00897002" w:rsidRPr="00CC4AAD">
        <w:rPr>
          <w:shd w:val="clear" w:color="auto" w:fill="FFFFFF"/>
        </w:rPr>
        <w:t xml:space="preserve">iming of </w:t>
      </w:r>
      <w:r w:rsidR="00897002">
        <w:rPr>
          <w:shd w:val="clear" w:color="auto" w:fill="FFFFFF"/>
        </w:rPr>
        <w:t xml:space="preserve">peanut </w:t>
      </w:r>
      <w:r w:rsidR="00897002" w:rsidRPr="00CC4AAD">
        <w:rPr>
          <w:shd w:val="clear" w:color="auto" w:fill="FFFFFF"/>
        </w:rPr>
        <w:t xml:space="preserve">introduction </w:t>
      </w:r>
      <w:r w:rsidR="00897002">
        <w:rPr>
          <w:shd w:val="clear" w:color="auto" w:fill="FFFFFF"/>
        </w:rPr>
        <w:t>into an infant</w:t>
      </w:r>
      <w:r w:rsidR="00F54439">
        <w:rPr>
          <w:shd w:val="clear" w:color="auto" w:fill="FFFFFF"/>
        </w:rPr>
        <w:t>’</w:t>
      </w:r>
      <w:r w:rsidR="00897002">
        <w:rPr>
          <w:shd w:val="clear" w:color="auto" w:fill="FFFFFF"/>
        </w:rPr>
        <w:t>s</w:t>
      </w:r>
      <w:r w:rsidR="00897002" w:rsidRPr="00CC4AAD">
        <w:rPr>
          <w:shd w:val="clear" w:color="auto" w:fill="FFFFFF"/>
        </w:rPr>
        <w:t xml:space="preserve"> </w:t>
      </w:r>
      <w:r w:rsidR="00F54439">
        <w:rPr>
          <w:shd w:val="clear" w:color="auto" w:fill="FFFFFF"/>
        </w:rPr>
        <w:t xml:space="preserve">diet </w:t>
      </w:r>
      <w:r w:rsidR="00897002" w:rsidRPr="00CC4AAD">
        <w:rPr>
          <w:shd w:val="clear" w:color="auto" w:fill="FFFFFF"/>
        </w:rPr>
        <w:t>may influence the</w:t>
      </w:r>
      <w:r w:rsidR="00897002">
        <w:rPr>
          <w:shd w:val="clear" w:color="auto" w:fill="FFFFFF"/>
        </w:rPr>
        <w:t xml:space="preserve"> </w:t>
      </w:r>
      <w:r w:rsidR="00897002" w:rsidRPr="00CC4AAD">
        <w:rPr>
          <w:shd w:val="clear" w:color="auto" w:fill="FFFFFF"/>
        </w:rPr>
        <w:t xml:space="preserve">risk of allergic or autoimmune disease, </w:t>
      </w:r>
      <w:r w:rsidR="00F54439">
        <w:rPr>
          <w:shd w:val="clear" w:color="auto" w:fill="FFFFFF"/>
        </w:rPr>
        <w:t xml:space="preserve">but </w:t>
      </w:r>
      <w:r w:rsidR="00897002" w:rsidRPr="00CC4AAD">
        <w:rPr>
          <w:shd w:val="clear" w:color="auto" w:fill="FFFFFF"/>
        </w:rPr>
        <w:t>the evidence has not been</w:t>
      </w:r>
      <w:r w:rsidR="00897002">
        <w:rPr>
          <w:shd w:val="clear" w:color="auto" w:fill="FFFFFF"/>
        </w:rPr>
        <w:t xml:space="preserve"> </w:t>
      </w:r>
      <w:r w:rsidR="00897002" w:rsidRPr="00CC4AAD">
        <w:rPr>
          <w:shd w:val="clear" w:color="auto" w:fill="FFFFFF"/>
        </w:rPr>
        <w:t xml:space="preserve">comprehensively </w:t>
      </w:r>
      <w:r w:rsidR="00815D67">
        <w:rPr>
          <w:shd w:val="clear" w:color="auto" w:fill="FFFFFF"/>
        </w:rPr>
        <w:t>summarised.</w:t>
      </w:r>
    </w:p>
    <w:p w14:paraId="72E2E850" w14:textId="77777777" w:rsidR="00683B0E" w:rsidRPr="00FC4CE9" w:rsidRDefault="00683B0E" w:rsidP="00683B0E">
      <w:pPr>
        <w:spacing w:after="0" w:line="240" w:lineRule="auto"/>
        <w:rPr>
          <w:rFonts w:eastAsia="MS Mincho"/>
          <w:b/>
          <w:bCs/>
          <w:iCs/>
          <w:color w:val="000000"/>
          <w:szCs w:val="26"/>
        </w:rPr>
      </w:pPr>
      <w:r w:rsidRPr="36A6EA1A">
        <w:rPr>
          <w:rFonts w:eastAsia="MS Mincho"/>
          <w:b/>
          <w:bCs/>
          <w:color w:val="000000" w:themeColor="text1"/>
          <w:szCs w:val="21"/>
        </w:rPr>
        <w:t>References</w:t>
      </w:r>
    </w:p>
    <w:p w14:paraId="05F728F2" w14:textId="30283717" w:rsidR="00683B0E" w:rsidRPr="00A203B8" w:rsidRDefault="00683B0E" w:rsidP="00683B0E">
      <w:pPr>
        <w:rPr>
          <w:rFonts w:eastAsia="Times" w:cs="Arial"/>
          <w:color w:val="2A2736"/>
        </w:rPr>
      </w:pPr>
      <w:r w:rsidRPr="00A203B8">
        <w:rPr>
          <w:rFonts w:eastAsia="Times" w:cs="Arial"/>
          <w:color w:val="2A2736"/>
        </w:rPr>
        <w:t xml:space="preserve">Australian Bureau of Statistics 2018, </w:t>
      </w:r>
      <w:r w:rsidR="259F3C51" w:rsidRPr="00A203B8">
        <w:rPr>
          <w:rFonts w:eastAsia="Times" w:cs="Arial"/>
          <w:color w:val="2A2736"/>
        </w:rPr>
        <w:t>‘</w:t>
      </w:r>
      <w:r w:rsidRPr="00A203B8">
        <w:rPr>
          <w:rFonts w:eastAsia="Times" w:cs="Arial"/>
          <w:color w:val="2A2736"/>
        </w:rPr>
        <w:t>National health survey 2017</w:t>
      </w:r>
      <w:r w:rsidR="00F54439" w:rsidRPr="00A203B8">
        <w:rPr>
          <w:rFonts w:eastAsia="Times" w:cs="Arial"/>
          <w:color w:val="2A2736"/>
        </w:rPr>
        <w:t>-</w:t>
      </w:r>
      <w:r w:rsidRPr="00A203B8">
        <w:rPr>
          <w:rFonts w:eastAsia="Times" w:cs="Arial"/>
          <w:color w:val="2A2736"/>
        </w:rPr>
        <w:t>18</w:t>
      </w:r>
      <w:r w:rsidR="03690021" w:rsidRPr="00A203B8">
        <w:rPr>
          <w:rFonts w:eastAsia="Times" w:cs="Arial"/>
          <w:color w:val="2A2736"/>
        </w:rPr>
        <w:t>'</w:t>
      </w:r>
      <w:r w:rsidRPr="00A203B8">
        <w:rPr>
          <w:rFonts w:eastAsia="Times" w:cs="Arial"/>
          <w:color w:val="2A2736"/>
        </w:rPr>
        <w:t>, Australian Bureau of Statistics, Canberra. </w:t>
      </w:r>
    </w:p>
    <w:p w14:paraId="75EA8455" w14:textId="677936D6" w:rsidR="00683B0E" w:rsidRPr="00A203B8" w:rsidRDefault="00683B0E" w:rsidP="00683B0E">
      <w:pPr>
        <w:rPr>
          <w:rFonts w:eastAsia="Times"/>
        </w:rPr>
      </w:pPr>
      <w:r w:rsidRPr="00A203B8">
        <w:rPr>
          <w:rFonts w:eastAsia="Times"/>
        </w:rPr>
        <w:t xml:space="preserve">Australian Institute of Health and Welfare 2014, </w:t>
      </w:r>
      <w:r w:rsidR="7264514D" w:rsidRPr="00A203B8">
        <w:rPr>
          <w:rFonts w:eastAsia="Times"/>
        </w:rPr>
        <w:t>‘</w:t>
      </w:r>
      <w:r w:rsidRPr="00A203B8">
        <w:rPr>
          <w:rFonts w:eastAsia="Times"/>
        </w:rPr>
        <w:t>Suicide and hospitalised self-harm in Australia: trends and analysis, Injury research and statistics</w:t>
      </w:r>
      <w:r w:rsidR="2123C292" w:rsidRPr="00A203B8">
        <w:rPr>
          <w:rFonts w:eastAsia="Times"/>
        </w:rPr>
        <w:t>’</w:t>
      </w:r>
      <w:r w:rsidRPr="00A203B8">
        <w:rPr>
          <w:rFonts w:eastAsia="Times"/>
        </w:rPr>
        <w:t>, Australian Institute of Health and Welfare, Canberra. </w:t>
      </w:r>
    </w:p>
    <w:p w14:paraId="40E3A877" w14:textId="2E0BC02D" w:rsidR="00683B0E" w:rsidRPr="00A203B8" w:rsidRDefault="00683B0E" w:rsidP="00683B0E">
      <w:pPr>
        <w:rPr>
          <w:rFonts w:eastAsia="Times" w:cs="Arial"/>
          <w:color w:val="2A2736"/>
        </w:rPr>
      </w:pPr>
      <w:r w:rsidRPr="00A203B8">
        <w:rPr>
          <w:rFonts w:eastAsia="Times" w:cs="Arial"/>
          <w:color w:val="2A2736"/>
        </w:rPr>
        <w:t xml:space="preserve">Australian Institute of Health and Welfare 2018, </w:t>
      </w:r>
      <w:r w:rsidR="1492B5BF" w:rsidRPr="00A203B8">
        <w:rPr>
          <w:rFonts w:eastAsia="Times" w:cs="Arial"/>
          <w:color w:val="2A2736"/>
        </w:rPr>
        <w:t>‘</w:t>
      </w:r>
      <w:r w:rsidRPr="00A203B8">
        <w:rPr>
          <w:rFonts w:eastAsia="Times" w:cs="Arial"/>
          <w:color w:val="2A2736"/>
        </w:rPr>
        <w:t>Data tables: children's headline indicators</w:t>
      </w:r>
      <w:r w:rsidR="672A91AA" w:rsidRPr="00A203B8">
        <w:rPr>
          <w:rFonts w:eastAsia="Times" w:cs="Arial"/>
          <w:color w:val="2A2736"/>
        </w:rPr>
        <w:t>’</w:t>
      </w:r>
      <w:r w:rsidRPr="00A203B8">
        <w:rPr>
          <w:rFonts w:eastAsia="Times" w:cs="Arial"/>
          <w:color w:val="2A2736"/>
        </w:rPr>
        <w:t>, Australian Institute of Health and Welfare, Canberra. </w:t>
      </w:r>
    </w:p>
    <w:p w14:paraId="78C2B32C" w14:textId="15DB5553" w:rsidR="00683B0E" w:rsidRPr="00A203B8" w:rsidRDefault="00683B0E" w:rsidP="00683B0E">
      <w:pPr>
        <w:rPr>
          <w:rFonts w:eastAsia="Times"/>
        </w:rPr>
      </w:pPr>
      <w:r w:rsidRPr="00A203B8">
        <w:rPr>
          <w:rFonts w:eastAsia="Times"/>
        </w:rPr>
        <w:t xml:space="preserve">Centre for Suicide Prevention Studies 2010, </w:t>
      </w:r>
      <w:r w:rsidR="7D9E2D21" w:rsidRPr="00A203B8">
        <w:rPr>
          <w:rFonts w:eastAsia="Times"/>
        </w:rPr>
        <w:t>‘</w:t>
      </w:r>
      <w:r w:rsidRPr="00A203B8">
        <w:rPr>
          <w:rFonts w:eastAsia="Times"/>
        </w:rPr>
        <w:t>The Australian national epidemiological study of self-injury</w:t>
      </w:r>
      <w:r w:rsidR="11771C17" w:rsidRPr="00A203B8">
        <w:rPr>
          <w:rFonts w:eastAsia="Times"/>
        </w:rPr>
        <w:t>'</w:t>
      </w:r>
      <w:r w:rsidRPr="00A203B8">
        <w:rPr>
          <w:rFonts w:eastAsia="Times"/>
        </w:rPr>
        <w:t>, Centre for Suicide Prevention Studies, Brisbane.</w:t>
      </w:r>
    </w:p>
    <w:p w14:paraId="606085EF" w14:textId="3350F73D" w:rsidR="00683B0E" w:rsidRPr="002210EE" w:rsidRDefault="00683B0E" w:rsidP="00683B0E">
      <w:pPr>
        <w:rPr>
          <w:rFonts w:eastAsia="Times"/>
        </w:rPr>
      </w:pPr>
      <w:r w:rsidRPr="00A203B8">
        <w:rPr>
          <w:rFonts w:eastAsia="Times"/>
        </w:rPr>
        <w:t>Cunsolo A, Harper SL, Minor K, Hayes K, Williams KG, Howard C</w:t>
      </w:r>
      <w:r w:rsidR="44F4557A" w:rsidRPr="00A203B8">
        <w:rPr>
          <w:rFonts w:eastAsia="Times"/>
        </w:rPr>
        <w:t xml:space="preserve"> 2020,</w:t>
      </w:r>
      <w:r w:rsidRPr="00A203B8">
        <w:rPr>
          <w:rFonts w:eastAsia="Times"/>
        </w:rPr>
        <w:t xml:space="preserve"> </w:t>
      </w:r>
      <w:r w:rsidR="00F54439" w:rsidRPr="00A203B8">
        <w:rPr>
          <w:rFonts w:eastAsia="Times"/>
        </w:rPr>
        <w:t>‘</w:t>
      </w:r>
      <w:r w:rsidRPr="00A203B8">
        <w:rPr>
          <w:rFonts w:eastAsia="Times"/>
        </w:rPr>
        <w:t>Ecological grief and anxiety: the start of a healthy response to climate change?</w:t>
      </w:r>
      <w:r w:rsidR="00F54439" w:rsidRPr="00A203B8">
        <w:rPr>
          <w:rFonts w:eastAsia="Times"/>
        </w:rPr>
        <w:t>’</w:t>
      </w:r>
      <w:r w:rsidRPr="00A203B8">
        <w:rPr>
          <w:rFonts w:eastAsia="Times"/>
        </w:rPr>
        <w:t xml:space="preserve"> </w:t>
      </w:r>
      <w:r w:rsidRPr="00A203B8">
        <w:rPr>
          <w:rFonts w:eastAsia="Times"/>
          <w:i/>
        </w:rPr>
        <w:t>Lancet Planetary Health</w:t>
      </w:r>
      <w:r w:rsidRPr="00A203B8">
        <w:rPr>
          <w:rFonts w:eastAsia="Times"/>
        </w:rPr>
        <w:t>;4(7):e261-e3</w:t>
      </w:r>
      <w:r w:rsidR="002210EE" w:rsidRPr="00A203B8">
        <w:rPr>
          <w:rFonts w:eastAsia="Times"/>
        </w:rPr>
        <w:t>.</w:t>
      </w:r>
    </w:p>
    <w:p w14:paraId="71FF11D7" w14:textId="6C24408B" w:rsidR="00683B0E" w:rsidRPr="006E7791" w:rsidRDefault="00683B0E" w:rsidP="00683B0E">
      <w:pPr>
        <w:rPr>
          <w:rFonts w:eastAsia="Times"/>
        </w:rPr>
      </w:pPr>
      <w:r w:rsidRPr="002210EE">
        <w:rPr>
          <w:rFonts w:eastAsia="Times"/>
        </w:rPr>
        <w:t>Department of Education and Training</w:t>
      </w:r>
      <w:r w:rsidR="00F54439" w:rsidRPr="002210EE">
        <w:rPr>
          <w:rFonts w:eastAsia="Times"/>
        </w:rPr>
        <w:t>,</w:t>
      </w:r>
      <w:r w:rsidRPr="002210EE">
        <w:rPr>
          <w:rFonts w:eastAsia="Times"/>
        </w:rPr>
        <w:t xml:space="preserve"> 2017, </w:t>
      </w:r>
      <w:r w:rsidR="56209F56" w:rsidRPr="002210EE">
        <w:rPr>
          <w:rFonts w:eastAsia="Times"/>
        </w:rPr>
        <w:t>‘</w:t>
      </w:r>
      <w:r w:rsidRPr="00A203B8">
        <w:rPr>
          <w:rFonts w:eastAsia="Times"/>
        </w:rPr>
        <w:t>The state of Victoria's children 2016: why place matters</w:t>
      </w:r>
      <w:r w:rsidR="6A989BEF" w:rsidRPr="006E7791">
        <w:rPr>
          <w:rFonts w:eastAsia="Times"/>
        </w:rPr>
        <w:t>’</w:t>
      </w:r>
      <w:r w:rsidRPr="006E7791">
        <w:rPr>
          <w:rFonts w:eastAsia="Times"/>
        </w:rPr>
        <w:t>, State Government of Victoria, Melbourne.</w:t>
      </w:r>
    </w:p>
    <w:p w14:paraId="615C5426" w14:textId="3C6A6BA6" w:rsidR="00683B0E" w:rsidRPr="006E7791" w:rsidRDefault="00683B0E" w:rsidP="00683B0E">
      <w:pPr>
        <w:rPr>
          <w:rFonts w:eastAsia="Times"/>
        </w:rPr>
      </w:pPr>
      <w:r w:rsidRPr="006E7791">
        <w:rPr>
          <w:rFonts w:eastAsia="Times"/>
        </w:rPr>
        <w:t xml:space="preserve">Department of Education and Training 2019, </w:t>
      </w:r>
      <w:r w:rsidR="408DCC6B" w:rsidRPr="006E7791">
        <w:rPr>
          <w:rFonts w:eastAsia="Times"/>
        </w:rPr>
        <w:t>‘</w:t>
      </w:r>
      <w:r w:rsidRPr="006E7791">
        <w:rPr>
          <w:rFonts w:eastAsia="Times"/>
          <w:i/>
        </w:rPr>
        <w:t xml:space="preserve">Victorian Student Health and Wellbeing Survey Summary Findings </w:t>
      </w:r>
      <w:r w:rsidRPr="00A203B8">
        <w:rPr>
          <w:rFonts w:eastAsia="Times"/>
          <w:i/>
          <w:iCs/>
        </w:rPr>
        <w:t>2018</w:t>
      </w:r>
      <w:r w:rsidR="2CFB1666" w:rsidRPr="00A203B8">
        <w:rPr>
          <w:rFonts w:eastAsia="Times"/>
          <w:i/>
          <w:iCs/>
        </w:rPr>
        <w:t>’</w:t>
      </w:r>
      <w:r w:rsidRPr="006E7791">
        <w:rPr>
          <w:rFonts w:eastAsia="Times"/>
        </w:rPr>
        <w:t>, State Government of Victoria, Melbourne.</w:t>
      </w:r>
    </w:p>
    <w:p w14:paraId="2E151723" w14:textId="0B59F9AC" w:rsidR="00683B0E" w:rsidRPr="00A203B8" w:rsidRDefault="00683B0E" w:rsidP="00683B0E">
      <w:pPr>
        <w:rPr>
          <w:rFonts w:eastAsia="Times" w:cs="Arial"/>
          <w:color w:val="2A2736"/>
        </w:rPr>
      </w:pPr>
      <w:r w:rsidRPr="006E7791">
        <w:rPr>
          <w:rFonts w:eastAsia="Times" w:cs="Arial"/>
          <w:color w:val="2A2736"/>
        </w:rPr>
        <w:t xml:space="preserve">Department of Education and Training 2020, </w:t>
      </w:r>
      <w:r w:rsidR="2A4DA2B7" w:rsidRPr="006E7791">
        <w:rPr>
          <w:rFonts w:eastAsia="Times" w:cs="Arial"/>
          <w:color w:val="2A2736"/>
        </w:rPr>
        <w:t>‘</w:t>
      </w:r>
      <w:r w:rsidRPr="00A203B8">
        <w:rPr>
          <w:rFonts w:eastAsia="Times" w:cs="Arial"/>
          <w:color w:val="2A2736"/>
        </w:rPr>
        <w:t>Victorian Child Health and Wellbeing Survey Summary Findings 2019</w:t>
      </w:r>
      <w:r w:rsidR="6934444E" w:rsidRPr="00A203B8">
        <w:rPr>
          <w:rFonts w:eastAsia="Times" w:cs="Arial"/>
          <w:color w:val="2A2736"/>
        </w:rPr>
        <w:t>’</w:t>
      </w:r>
      <w:r w:rsidRPr="00A203B8">
        <w:rPr>
          <w:rFonts w:eastAsia="Times" w:cs="Arial"/>
          <w:color w:val="2A2736"/>
        </w:rPr>
        <w:t>, State Government of Victoria, East Melbourne.</w:t>
      </w:r>
      <w:r w:rsidRPr="00FC4CE9">
        <w:rPr>
          <w:rFonts w:eastAsia="Times" w:cs="Arial"/>
          <w:color w:val="2A2736"/>
        </w:rPr>
        <w:t xml:space="preserve"> </w:t>
      </w:r>
    </w:p>
    <w:p w14:paraId="7A2571AD" w14:textId="72544D75" w:rsidR="00683B0E" w:rsidRPr="00A203B8" w:rsidRDefault="00683B0E" w:rsidP="00683B0E">
      <w:pPr>
        <w:rPr>
          <w:rFonts w:eastAsia="Times"/>
        </w:rPr>
      </w:pPr>
      <w:r w:rsidRPr="00A203B8">
        <w:rPr>
          <w:rFonts w:eastAsia="Times"/>
        </w:rPr>
        <w:t xml:space="preserve">Department of Health 2015, </w:t>
      </w:r>
      <w:r w:rsidR="2D533C20" w:rsidRPr="00A203B8">
        <w:rPr>
          <w:rFonts w:eastAsia="Times"/>
        </w:rPr>
        <w:t>‘</w:t>
      </w:r>
      <w:r w:rsidRPr="00A203B8">
        <w:rPr>
          <w:rFonts w:eastAsia="Times"/>
        </w:rPr>
        <w:t>The mental health of children and adolescents: report on the second Australian Child and Adolescent Survey of Mental health and Wellbeing</w:t>
      </w:r>
      <w:r w:rsidR="7D884E26" w:rsidRPr="00A203B8">
        <w:rPr>
          <w:rFonts w:eastAsia="Times"/>
        </w:rPr>
        <w:t>’</w:t>
      </w:r>
      <w:r w:rsidRPr="00A203B8">
        <w:rPr>
          <w:rFonts w:eastAsia="Times"/>
        </w:rPr>
        <w:t>, Commonwealth Government of Australia, Canberra.</w:t>
      </w:r>
    </w:p>
    <w:p w14:paraId="0987037F" w14:textId="7D3CA0EC" w:rsidR="00683B0E" w:rsidRPr="00A203B8" w:rsidRDefault="00683B0E" w:rsidP="00683B0E">
      <w:pPr>
        <w:rPr>
          <w:rFonts w:eastAsia="Times" w:cs="Arial"/>
          <w:color w:val="2A2736"/>
        </w:rPr>
      </w:pPr>
      <w:r w:rsidRPr="00A203B8">
        <w:rPr>
          <w:rFonts w:eastAsia="Times" w:cs="Arial"/>
          <w:color w:val="2A2736"/>
        </w:rPr>
        <w:t xml:space="preserve">Department of Health, 2019, </w:t>
      </w:r>
      <w:r w:rsidR="7E7AA617" w:rsidRPr="00A203B8">
        <w:rPr>
          <w:rFonts w:eastAsia="Times" w:cs="Arial"/>
          <w:i/>
          <w:color w:val="2A2736"/>
        </w:rPr>
        <w:t>‘</w:t>
      </w:r>
      <w:r w:rsidRPr="00A203B8">
        <w:rPr>
          <w:rFonts w:eastAsia="Times" w:cs="Arial"/>
          <w:i/>
          <w:color w:val="2A2736"/>
        </w:rPr>
        <w:t>Victorian Public Health and Wellbeing Plan 2019-2023</w:t>
      </w:r>
      <w:r w:rsidR="1413F00B" w:rsidRPr="00A203B8">
        <w:rPr>
          <w:rFonts w:eastAsia="Times" w:cs="Arial"/>
          <w:i/>
          <w:color w:val="2A2736"/>
        </w:rPr>
        <w:t>'</w:t>
      </w:r>
      <w:r w:rsidRPr="00A203B8">
        <w:rPr>
          <w:rFonts w:eastAsia="Times" w:cs="Arial"/>
          <w:color w:val="2A2736"/>
        </w:rPr>
        <w:t>, State of Victoria, Melbourne.</w:t>
      </w:r>
      <w:r w:rsidRPr="00FC4CE9">
        <w:rPr>
          <w:rFonts w:eastAsia="Times" w:cs="Arial"/>
          <w:color w:val="2A2736"/>
        </w:rPr>
        <w:t xml:space="preserve"> </w:t>
      </w:r>
    </w:p>
    <w:p w14:paraId="0EC8782E" w14:textId="073691C1" w:rsidR="00683B0E" w:rsidRPr="00A203B8" w:rsidRDefault="00683B0E" w:rsidP="00683B0E">
      <w:pPr>
        <w:rPr>
          <w:rFonts w:eastAsia="Times"/>
        </w:rPr>
      </w:pPr>
      <w:r w:rsidRPr="00A203B8">
        <w:rPr>
          <w:rFonts w:eastAsia="Times"/>
        </w:rPr>
        <w:lastRenderedPageBreak/>
        <w:t>Department of Premier and Cabinet</w:t>
      </w:r>
      <w:r w:rsidR="00F54439" w:rsidRPr="00A203B8">
        <w:rPr>
          <w:rFonts w:eastAsia="Times"/>
        </w:rPr>
        <w:t>,</w:t>
      </w:r>
      <w:r w:rsidRPr="00A203B8">
        <w:rPr>
          <w:rFonts w:eastAsia="Times"/>
        </w:rPr>
        <w:t xml:space="preserve"> 2019, </w:t>
      </w:r>
      <w:bookmarkStart w:id="109" w:name="_Hlk122452093"/>
      <w:r w:rsidR="00701A2D">
        <w:fldChar w:fldCharType="begin"/>
      </w:r>
      <w:r w:rsidR="00701A2D">
        <w:instrText xml:space="preserve"> HYPERLINK "https://www.premier.vic.gov.au/expanding-mental-health-support-to-victorian-students-0" </w:instrText>
      </w:r>
      <w:r w:rsidR="00701A2D">
        <w:fldChar w:fldCharType="separate"/>
      </w:r>
      <w:r w:rsidRPr="00A203B8">
        <w:rPr>
          <w:rStyle w:val="Hyperlink"/>
          <w:rFonts w:eastAsia="Times"/>
        </w:rPr>
        <w:t>‘Expanding Mental Health Support to Victorian Students</w:t>
      </w:r>
      <w:r w:rsidR="00F54439" w:rsidRPr="00A203B8">
        <w:rPr>
          <w:rStyle w:val="Hyperlink"/>
          <w:rFonts w:eastAsia="Times"/>
        </w:rPr>
        <w:t>.</w:t>
      </w:r>
      <w:r w:rsidRPr="00A203B8">
        <w:rPr>
          <w:rStyle w:val="Hyperlink"/>
          <w:rFonts w:eastAsia="Times"/>
        </w:rPr>
        <w:t xml:space="preserve">’ </w:t>
      </w:r>
      <w:r w:rsidR="764FD3DE" w:rsidRPr="00A203B8">
        <w:rPr>
          <w:rStyle w:val="Hyperlink"/>
          <w:rFonts w:eastAsia="Times"/>
        </w:rPr>
        <w:t>(viewed</w:t>
      </w:r>
      <w:r w:rsidRPr="00A203B8">
        <w:rPr>
          <w:rStyle w:val="Hyperlink"/>
          <w:rFonts w:eastAsia="Times"/>
        </w:rPr>
        <w:t>19 October 2022</w:t>
      </w:r>
      <w:r w:rsidR="5F438C48" w:rsidRPr="00A203B8">
        <w:rPr>
          <w:rStyle w:val="Hyperlink"/>
          <w:rFonts w:eastAsia="Times"/>
        </w:rPr>
        <w:t>)</w:t>
      </w:r>
      <w:r w:rsidR="00701A2D">
        <w:rPr>
          <w:rStyle w:val="Hyperlink"/>
          <w:rFonts w:eastAsia="Times"/>
        </w:rPr>
        <w:fldChar w:fldCharType="end"/>
      </w:r>
      <w:bookmarkEnd w:id="109"/>
      <w:r w:rsidRPr="00A203B8">
        <w:rPr>
          <w:rFonts w:eastAsia="Times"/>
        </w:rPr>
        <w:t xml:space="preserve"> </w:t>
      </w:r>
      <w:r w:rsidR="00377E2F">
        <w:rPr>
          <w:rFonts w:eastAsia="Times"/>
        </w:rPr>
        <w:t>available at &lt;</w:t>
      </w:r>
      <w:r w:rsidR="00902121" w:rsidRPr="00A203B8">
        <w:rPr>
          <w:rFonts w:eastAsia="Times"/>
        </w:rPr>
        <w:t>https://www.premier.vic.gov.au/expanding-mental-health-support-to-victorian-students-0&gt;</w:t>
      </w:r>
      <w:r w:rsidR="00C65B1D" w:rsidRPr="00A203B8">
        <w:rPr>
          <w:rFonts w:eastAsia="Times"/>
        </w:rPr>
        <w:t>.</w:t>
      </w:r>
    </w:p>
    <w:p w14:paraId="3BB7294B" w14:textId="4896CD7B" w:rsidR="00683B0E" w:rsidRPr="00A203B8" w:rsidRDefault="00683B0E" w:rsidP="00683B0E">
      <w:pPr>
        <w:rPr>
          <w:rFonts w:eastAsia="Times" w:cs="Arial"/>
          <w:shd w:val="clear" w:color="auto" w:fill="FFFFFF"/>
        </w:rPr>
      </w:pPr>
      <w:r w:rsidRPr="00A203B8">
        <w:rPr>
          <w:rFonts w:eastAsia="Times" w:cs="Arial"/>
          <w:color w:val="222222"/>
          <w:shd w:val="clear" w:color="auto" w:fill="FFFFFF"/>
        </w:rPr>
        <w:t>Gunasiri, H.; Wang, Y.; Watkins, E.-M.; Capetola, T.; Henderson-Wilson, C.; Patrick, R. Hope</w:t>
      </w:r>
      <w:r w:rsidR="295832FA" w:rsidRPr="00A203B8">
        <w:rPr>
          <w:rFonts w:eastAsia="Times" w:cs="Arial"/>
          <w:color w:val="222222"/>
          <w:shd w:val="clear" w:color="auto" w:fill="FFFFFF"/>
        </w:rPr>
        <w:t xml:space="preserve"> 2022,</w:t>
      </w:r>
      <w:r w:rsidRPr="00A203B8">
        <w:rPr>
          <w:rFonts w:eastAsia="Times" w:cs="Arial"/>
          <w:color w:val="222222"/>
          <w:shd w:val="clear" w:color="auto" w:fill="FFFFFF"/>
        </w:rPr>
        <w:t xml:space="preserve"> </w:t>
      </w:r>
      <w:hyperlink r:id="rId97" w:history="1">
        <w:r w:rsidR="45EDC9AE" w:rsidRPr="00A203B8">
          <w:rPr>
            <w:rStyle w:val="Hyperlink"/>
            <w:rFonts w:eastAsia="Times" w:cs="Arial"/>
            <w:i/>
            <w:iCs/>
            <w:shd w:val="clear" w:color="auto" w:fill="FFFFFF"/>
          </w:rPr>
          <w:t>‘</w:t>
        </w:r>
        <w:r w:rsidRPr="00A203B8">
          <w:rPr>
            <w:rStyle w:val="Hyperlink"/>
            <w:rFonts w:eastAsia="Times" w:cs="Arial"/>
            <w:i/>
            <w:iCs/>
            <w:shd w:val="clear" w:color="auto" w:fill="FFFFFF"/>
          </w:rPr>
          <w:t>Coping and Eco-Anxiety: Young People’s Mental Health in a Climate-Impacted Australia</w:t>
        </w:r>
        <w:r w:rsidR="15B53366" w:rsidRPr="00A203B8">
          <w:rPr>
            <w:rStyle w:val="Hyperlink"/>
            <w:rFonts w:eastAsia="Times" w:cs="Arial"/>
            <w:i/>
            <w:iCs/>
            <w:shd w:val="clear" w:color="auto" w:fill="FFFFFF"/>
          </w:rPr>
          <w:t>’</w:t>
        </w:r>
      </w:hyperlink>
      <w:r w:rsidRPr="00A203B8">
        <w:rPr>
          <w:rFonts w:eastAsia="Times" w:cs="Arial"/>
          <w:color w:val="222222"/>
          <w:shd w:val="clear" w:color="auto" w:fill="FFFFFF"/>
        </w:rPr>
        <w:t>. </w:t>
      </w:r>
      <w:r w:rsidRPr="00A203B8">
        <w:rPr>
          <w:rFonts w:eastAsia="Times"/>
          <w:color w:val="222222"/>
          <w:shd w:val="clear" w:color="auto" w:fill="FFFFFF"/>
        </w:rPr>
        <w:t>Int. J. Environ. Res. Public Health</w:t>
      </w:r>
      <w:r w:rsidRPr="00A203B8">
        <w:rPr>
          <w:rFonts w:eastAsia="Times" w:cs="Arial"/>
          <w:color w:val="222222"/>
          <w:shd w:val="clear" w:color="auto" w:fill="FFFFFF"/>
        </w:rPr>
        <w:t>, </w:t>
      </w:r>
      <w:r w:rsidRPr="00A203B8">
        <w:rPr>
          <w:rFonts w:eastAsia="Times"/>
          <w:color w:val="222222"/>
          <w:shd w:val="clear" w:color="auto" w:fill="FFFFFF"/>
        </w:rPr>
        <w:t>19</w:t>
      </w:r>
      <w:r w:rsidRPr="00A203B8">
        <w:rPr>
          <w:rFonts w:eastAsia="Times" w:cs="Arial"/>
          <w:color w:val="222222"/>
          <w:shd w:val="clear" w:color="auto" w:fill="FFFFFF"/>
        </w:rPr>
        <w:t>, 5528.</w:t>
      </w:r>
      <w:r w:rsidR="00902121" w:rsidRPr="00A203B8">
        <w:rPr>
          <w:rFonts w:eastAsia="Times" w:cs="Arial"/>
          <w:color w:val="222222"/>
          <w:shd w:val="clear" w:color="auto" w:fill="FFFFFF"/>
        </w:rPr>
        <w:t xml:space="preserve"> </w:t>
      </w:r>
      <w:r w:rsidR="00377E2F">
        <w:rPr>
          <w:rFonts w:eastAsia="Times" w:cs="Arial"/>
          <w:color w:val="222222"/>
          <w:shd w:val="clear" w:color="auto" w:fill="FFFFFF"/>
        </w:rPr>
        <w:t xml:space="preserve">Available at </w:t>
      </w:r>
      <w:r w:rsidR="00902121" w:rsidRPr="00A203B8">
        <w:rPr>
          <w:rFonts w:eastAsia="Times" w:cs="Arial"/>
          <w:shd w:val="clear" w:color="auto" w:fill="FFFFFF"/>
        </w:rPr>
        <w:t>&lt;https://doi.org/10.3390/ijerph19095528&gt;</w:t>
      </w:r>
      <w:r w:rsidR="0091657D" w:rsidRPr="00A203B8">
        <w:rPr>
          <w:rFonts w:eastAsia="Times" w:cs="Arial"/>
          <w:shd w:val="clear" w:color="auto" w:fill="FFFFFF"/>
        </w:rPr>
        <w:t>.</w:t>
      </w:r>
    </w:p>
    <w:p w14:paraId="7CB7FF01" w14:textId="4A328ABF" w:rsidR="00683B0E" w:rsidRPr="00A203B8" w:rsidRDefault="00683B0E" w:rsidP="00683B0E">
      <w:pPr>
        <w:rPr>
          <w:rFonts w:eastAsia="Times" w:cs="Arial"/>
          <w:color w:val="222222"/>
          <w:shd w:val="clear" w:color="auto" w:fill="FFFFFF"/>
        </w:rPr>
      </w:pPr>
      <w:r w:rsidRPr="00A203B8">
        <w:rPr>
          <w:rFonts w:eastAsia="Times" w:cs="Arial"/>
          <w:color w:val="222222"/>
          <w:shd w:val="clear" w:color="auto" w:fill="FFFFFF"/>
        </w:rPr>
        <w:t>Hayes K, Blashki G, Wiseman J, Burke S, Reifels L</w:t>
      </w:r>
      <w:r w:rsidR="26C9F81D" w:rsidRPr="00A203B8">
        <w:rPr>
          <w:rFonts w:eastAsia="Times" w:cs="Arial"/>
          <w:color w:val="222222"/>
          <w:shd w:val="clear" w:color="auto" w:fill="FFFFFF"/>
        </w:rPr>
        <w:t xml:space="preserve"> 2018,</w:t>
      </w:r>
      <w:r w:rsidRPr="00A203B8">
        <w:rPr>
          <w:rFonts w:eastAsia="Times" w:cs="Arial"/>
          <w:color w:val="222222"/>
          <w:shd w:val="clear" w:color="auto" w:fill="FFFFFF"/>
        </w:rPr>
        <w:t xml:space="preserve"> </w:t>
      </w:r>
      <w:r w:rsidR="00F54439" w:rsidRPr="00A203B8">
        <w:rPr>
          <w:rFonts w:eastAsia="Times" w:cs="Arial"/>
          <w:color w:val="222222"/>
          <w:shd w:val="clear" w:color="auto" w:fill="FFFFFF"/>
        </w:rPr>
        <w:t>‘</w:t>
      </w:r>
      <w:r w:rsidRPr="00A203B8">
        <w:rPr>
          <w:rFonts w:eastAsia="Times" w:cs="Arial"/>
          <w:color w:val="222222"/>
          <w:shd w:val="clear" w:color="auto" w:fill="FFFFFF"/>
        </w:rPr>
        <w:t>Climate change and mental health: Risks, impacts and priority actions</w:t>
      </w:r>
      <w:r w:rsidR="00F54439" w:rsidRPr="00A203B8">
        <w:rPr>
          <w:rFonts w:eastAsia="Times" w:cs="Arial"/>
          <w:color w:val="222222"/>
          <w:shd w:val="clear" w:color="auto" w:fill="FFFFFF"/>
        </w:rPr>
        <w:t>,’</w:t>
      </w:r>
      <w:r w:rsidRPr="00A203B8">
        <w:rPr>
          <w:rFonts w:eastAsia="Times" w:cs="Arial"/>
          <w:color w:val="222222"/>
          <w:shd w:val="clear" w:color="auto" w:fill="FFFFFF"/>
        </w:rPr>
        <w:t xml:space="preserve"> </w:t>
      </w:r>
      <w:r w:rsidRPr="00A203B8">
        <w:rPr>
          <w:rFonts w:eastAsia="Times" w:cs="Arial"/>
          <w:i/>
          <w:color w:val="222222"/>
          <w:shd w:val="clear" w:color="auto" w:fill="FFFFFF"/>
        </w:rPr>
        <w:t>International Journal of Mental Health Systems</w:t>
      </w:r>
      <w:r w:rsidRPr="00A203B8">
        <w:rPr>
          <w:rFonts w:eastAsia="Times" w:cs="Arial"/>
          <w:color w:val="222222"/>
          <w:shd w:val="clear" w:color="auto" w:fill="FFFFFF"/>
        </w:rPr>
        <w:t>;12(1):28.</w:t>
      </w:r>
    </w:p>
    <w:p w14:paraId="39BEC49F" w14:textId="76662B01" w:rsidR="00683B0E" w:rsidRPr="00A203B8" w:rsidRDefault="00683B0E" w:rsidP="00683B0E">
      <w:pPr>
        <w:rPr>
          <w:rFonts w:eastAsia="Times"/>
        </w:rPr>
      </w:pPr>
      <w:r w:rsidRPr="00A203B8">
        <w:rPr>
          <w:rFonts w:eastAsia="Times"/>
        </w:rPr>
        <w:t>Lawrence D, Johnson S, Hafekost J, Boterhoven de Haan K, Sawyer M, Ainley J and Zubrick S</w:t>
      </w:r>
      <w:r w:rsidR="00F54439" w:rsidRPr="00A203B8">
        <w:rPr>
          <w:rFonts w:eastAsia="Times"/>
        </w:rPr>
        <w:t>,</w:t>
      </w:r>
      <w:r w:rsidRPr="00A203B8">
        <w:rPr>
          <w:rFonts w:eastAsia="Times"/>
        </w:rPr>
        <w:t xml:space="preserve"> 2015</w:t>
      </w:r>
      <w:r w:rsidR="00F54439" w:rsidRPr="00A203B8">
        <w:rPr>
          <w:rFonts w:eastAsia="Times"/>
        </w:rPr>
        <w:t>.</w:t>
      </w:r>
      <w:r w:rsidRPr="00A203B8">
        <w:rPr>
          <w:rFonts w:eastAsia="Times"/>
        </w:rPr>
        <w:t xml:space="preserve"> </w:t>
      </w:r>
      <w:r w:rsidR="3D839F37" w:rsidRPr="00A203B8">
        <w:rPr>
          <w:rFonts w:eastAsia="Times"/>
        </w:rPr>
        <w:t>‘</w:t>
      </w:r>
      <w:r w:rsidRPr="00A203B8">
        <w:rPr>
          <w:rFonts w:eastAsia="Times"/>
        </w:rPr>
        <w:t>The mental health of children and adolescents: report on the second Australian Child and Adolescent Survey of Mental Health and Wellbeing</w:t>
      </w:r>
      <w:r w:rsidR="73ACFC12" w:rsidRPr="00A203B8">
        <w:rPr>
          <w:rFonts w:eastAsia="Times"/>
        </w:rPr>
        <w:t>’</w:t>
      </w:r>
      <w:r w:rsidRPr="00A203B8">
        <w:rPr>
          <w:rFonts w:eastAsia="Times"/>
        </w:rPr>
        <w:t>, Commonwealth Government of Australia, Canberra.</w:t>
      </w:r>
    </w:p>
    <w:p w14:paraId="6689D9F5" w14:textId="308C9FF2" w:rsidR="00683B0E" w:rsidRPr="00A203B8" w:rsidRDefault="00683B0E" w:rsidP="00683B0E">
      <w:pPr>
        <w:rPr>
          <w:rFonts w:eastAsia="Times" w:cs="Arial"/>
          <w:color w:val="2A2736"/>
        </w:rPr>
      </w:pPr>
      <w:r w:rsidRPr="00A203B8">
        <w:rPr>
          <w:rFonts w:eastAsia="Times" w:cs="Arial"/>
          <w:color w:val="2A2736"/>
        </w:rPr>
        <w:t xml:space="preserve">Nutrition Australia 2017, </w:t>
      </w:r>
      <w:r w:rsidR="25B79873" w:rsidRPr="00A203B8">
        <w:rPr>
          <w:rFonts w:eastAsia="Times" w:cs="Arial"/>
          <w:color w:val="2A2736"/>
        </w:rPr>
        <w:t>‘</w:t>
      </w:r>
      <w:r w:rsidRPr="00A203B8">
        <w:rPr>
          <w:rFonts w:eastAsia="Times" w:cs="Arial"/>
          <w:color w:val="2A2736"/>
        </w:rPr>
        <w:t>Tipping the scales: we must halt obesity to save Australian lives</w:t>
      </w:r>
      <w:r w:rsidR="51A9A3D9" w:rsidRPr="00A203B8">
        <w:rPr>
          <w:rFonts w:eastAsia="Times" w:cs="Arial"/>
          <w:color w:val="2A2736"/>
        </w:rPr>
        <w:t>’</w:t>
      </w:r>
      <w:r w:rsidRPr="00A203B8">
        <w:rPr>
          <w:rFonts w:eastAsia="Times" w:cs="Arial"/>
          <w:color w:val="2A2736"/>
        </w:rPr>
        <w:t>, Nutrition Australia. </w:t>
      </w:r>
    </w:p>
    <w:p w14:paraId="1372D723" w14:textId="64C947FE" w:rsidR="00F218A9" w:rsidRPr="00A203B8" w:rsidRDefault="00F218A9" w:rsidP="00F218A9">
      <w:pPr>
        <w:rPr>
          <w:rFonts w:eastAsia="Times"/>
        </w:rPr>
      </w:pPr>
      <w:r w:rsidRPr="00A203B8">
        <w:rPr>
          <w:rFonts w:eastAsia="Times"/>
        </w:rPr>
        <w:t>Osborne N.J.</w:t>
      </w:r>
      <w:r w:rsidR="00EB045B" w:rsidRPr="00A203B8">
        <w:rPr>
          <w:rFonts w:eastAsia="Times"/>
        </w:rPr>
        <w:t xml:space="preserve">, </w:t>
      </w:r>
      <w:r w:rsidRPr="00A203B8">
        <w:rPr>
          <w:rFonts w:eastAsia="Times"/>
        </w:rPr>
        <w:t>Koplin J.J.</w:t>
      </w:r>
      <w:r w:rsidR="00EB045B" w:rsidRPr="00A203B8">
        <w:rPr>
          <w:rFonts w:eastAsia="Times"/>
        </w:rPr>
        <w:t xml:space="preserve">, </w:t>
      </w:r>
      <w:r w:rsidRPr="00A203B8">
        <w:rPr>
          <w:rFonts w:eastAsia="Times"/>
        </w:rPr>
        <w:t>Martin P.E.</w:t>
      </w:r>
      <w:r w:rsidR="00EB045B" w:rsidRPr="00A203B8">
        <w:rPr>
          <w:rFonts w:eastAsia="Times"/>
        </w:rPr>
        <w:t xml:space="preserve">, </w:t>
      </w:r>
      <w:r w:rsidRPr="00A203B8">
        <w:rPr>
          <w:rFonts w:eastAsia="Times"/>
        </w:rPr>
        <w:t>Gurrin L.C.</w:t>
      </w:r>
      <w:r w:rsidR="00EB045B" w:rsidRPr="00A203B8">
        <w:rPr>
          <w:rFonts w:eastAsia="Times"/>
        </w:rPr>
        <w:t xml:space="preserve">, </w:t>
      </w:r>
      <w:r w:rsidRPr="00A203B8">
        <w:rPr>
          <w:rFonts w:eastAsia="Times"/>
        </w:rPr>
        <w:t>Lowe A.J.</w:t>
      </w:r>
      <w:r w:rsidR="00EB045B" w:rsidRPr="00A203B8">
        <w:rPr>
          <w:rFonts w:eastAsia="Times"/>
        </w:rPr>
        <w:t xml:space="preserve">, </w:t>
      </w:r>
      <w:r w:rsidRPr="00A203B8">
        <w:rPr>
          <w:rFonts w:eastAsia="Times"/>
        </w:rPr>
        <w:t>Matheson M.C</w:t>
      </w:r>
      <w:r w:rsidR="00F54439" w:rsidRPr="00A203B8">
        <w:rPr>
          <w:rFonts w:eastAsia="Times"/>
        </w:rPr>
        <w:t xml:space="preserve">. </w:t>
      </w:r>
      <w:r w:rsidRPr="00A203B8">
        <w:rPr>
          <w:rFonts w:eastAsia="Times"/>
        </w:rPr>
        <w:t>et al</w:t>
      </w:r>
      <w:r w:rsidR="00F54439" w:rsidRPr="00A203B8">
        <w:rPr>
          <w:rFonts w:eastAsia="Times"/>
        </w:rPr>
        <w:t xml:space="preserve">, </w:t>
      </w:r>
      <w:r w:rsidR="00A03EEF" w:rsidRPr="00A203B8">
        <w:rPr>
          <w:rFonts w:eastAsia="Times"/>
        </w:rPr>
        <w:t>2011</w:t>
      </w:r>
      <w:r w:rsidR="00F54439" w:rsidRPr="00A203B8">
        <w:rPr>
          <w:rFonts w:eastAsia="Times"/>
        </w:rPr>
        <w:t>.</w:t>
      </w:r>
      <w:r w:rsidR="00A03EEF" w:rsidRPr="00A203B8">
        <w:rPr>
          <w:rFonts w:eastAsia="Times"/>
        </w:rPr>
        <w:t xml:space="preserve"> </w:t>
      </w:r>
      <w:r w:rsidR="00815D67" w:rsidRPr="00A203B8">
        <w:rPr>
          <w:rFonts w:eastAsia="Times"/>
        </w:rPr>
        <w:t>‘</w:t>
      </w:r>
      <w:r w:rsidRPr="00A203B8">
        <w:rPr>
          <w:rFonts w:eastAsia="Times"/>
        </w:rPr>
        <w:t>Prevalence of challenge-proven IgE-mediated food allergy using population-based sampling and predetermined challenge criteria in infants</w:t>
      </w:r>
      <w:r w:rsidR="00815D67" w:rsidRPr="00A203B8">
        <w:rPr>
          <w:rFonts w:eastAsia="Times"/>
        </w:rPr>
        <w:t>’</w:t>
      </w:r>
      <w:r w:rsidRPr="00A203B8">
        <w:rPr>
          <w:rFonts w:eastAsia="Times"/>
        </w:rPr>
        <w:t>.</w:t>
      </w:r>
      <w:r w:rsidR="00A03EEF" w:rsidRPr="00A203B8">
        <w:rPr>
          <w:rFonts w:eastAsia="Times"/>
        </w:rPr>
        <w:t xml:space="preserve"> </w:t>
      </w:r>
      <w:r w:rsidRPr="00A203B8">
        <w:rPr>
          <w:rFonts w:eastAsia="Times"/>
        </w:rPr>
        <w:t>J Allergy Clin Immunol; 127 (e1-2): 668-676</w:t>
      </w:r>
      <w:r w:rsidR="00F54439" w:rsidRPr="00A203B8">
        <w:rPr>
          <w:rFonts w:eastAsia="Times"/>
        </w:rPr>
        <w:t>.</w:t>
      </w:r>
    </w:p>
    <w:p w14:paraId="517B6FCF" w14:textId="18A594E5" w:rsidR="00683B0E" w:rsidRDefault="00683B0E" w:rsidP="00683B0E">
      <w:pPr>
        <w:rPr>
          <w:rFonts w:eastAsia="Times"/>
        </w:rPr>
      </w:pPr>
      <w:r w:rsidRPr="00FC4CE9">
        <w:rPr>
          <w:rFonts w:eastAsia="Times"/>
        </w:rPr>
        <w:t>Piao J, Huang, Y, Han C, Li Y, Xu Y, Liu Y and He X</w:t>
      </w:r>
      <w:r w:rsidR="00F54439">
        <w:rPr>
          <w:rFonts w:eastAsia="Times"/>
        </w:rPr>
        <w:t xml:space="preserve">, </w:t>
      </w:r>
      <w:r w:rsidRPr="00FC4CE9">
        <w:rPr>
          <w:rFonts w:eastAsia="Times"/>
        </w:rPr>
        <w:t>2022</w:t>
      </w:r>
      <w:r w:rsidR="00F54439">
        <w:rPr>
          <w:rFonts w:eastAsia="Times"/>
        </w:rPr>
        <w:t>.</w:t>
      </w:r>
      <w:r w:rsidRPr="00FC4CE9">
        <w:rPr>
          <w:rFonts w:eastAsia="Times"/>
        </w:rPr>
        <w:t xml:space="preserve"> ‘Alarming changes in the global burden of mental disorders in children and adolescents from 1990 to 2019: a systematic analysis for the Global Burden of Disease study,’ European Journal of Child &amp; Adolescent Psychiatry, p</w:t>
      </w:r>
      <w:r w:rsidR="00F54439">
        <w:rPr>
          <w:rFonts w:eastAsia="Times"/>
        </w:rPr>
        <w:t>p</w:t>
      </w:r>
      <w:r w:rsidRPr="00FC4CE9">
        <w:rPr>
          <w:rFonts w:eastAsia="Times"/>
        </w:rPr>
        <w:t>. 1-19</w:t>
      </w:r>
      <w:r w:rsidR="00F54439">
        <w:rPr>
          <w:rFonts w:eastAsia="Times"/>
        </w:rPr>
        <w:t>.</w:t>
      </w:r>
    </w:p>
    <w:p w14:paraId="077D2FF2" w14:textId="234DC406" w:rsidR="00683B0E" w:rsidRPr="00FC4CE9" w:rsidRDefault="00683B0E" w:rsidP="00683B0E">
      <w:pPr>
        <w:spacing w:before="120"/>
        <w:rPr>
          <w:rFonts w:eastAsia="Times" w:cs="Arial"/>
          <w:color w:val="2A2736"/>
        </w:rPr>
      </w:pPr>
      <w:r w:rsidRPr="00FC4CE9">
        <w:rPr>
          <w:rFonts w:eastAsia="Times" w:cs="Arial"/>
          <w:color w:val="2A2736"/>
        </w:rPr>
        <w:t xml:space="preserve">Simmonds M, Llewellyn A, Owen C and Woolacott N 2016, ‘Predicting adult obesity from childhood obesity: a systematic review and meta-analysis’, </w:t>
      </w:r>
      <w:r w:rsidRPr="00FC4CE9">
        <w:rPr>
          <w:rFonts w:eastAsia="Times" w:cs="Arial"/>
          <w:i/>
          <w:iCs/>
          <w:color w:val="2A2736"/>
        </w:rPr>
        <w:t>Obesity Reviews</w:t>
      </w:r>
      <w:r w:rsidRPr="00FC4CE9">
        <w:rPr>
          <w:rFonts w:eastAsia="Times" w:cs="Arial"/>
          <w:color w:val="2A2736"/>
        </w:rPr>
        <w:t>, vol.174, no. 2, pp. 95</w:t>
      </w:r>
      <w:r w:rsidR="00F54439">
        <w:rPr>
          <w:rFonts w:eastAsia="Times" w:cs="Arial"/>
          <w:color w:val="2A2736"/>
        </w:rPr>
        <w:t>-</w:t>
      </w:r>
      <w:r w:rsidRPr="00FC4CE9">
        <w:rPr>
          <w:rFonts w:eastAsia="Times" w:cs="Arial"/>
          <w:color w:val="2A2736"/>
        </w:rPr>
        <w:t>107. </w:t>
      </w:r>
    </w:p>
    <w:p w14:paraId="68A4FEEC" w14:textId="036E4F63" w:rsidR="00683B0E" w:rsidRPr="008E70D4" w:rsidRDefault="00683B0E" w:rsidP="00683B0E">
      <w:pPr>
        <w:rPr>
          <w:rFonts w:eastAsia="Times"/>
        </w:rPr>
      </w:pPr>
      <w:r w:rsidRPr="008E70D4">
        <w:rPr>
          <w:rFonts w:eastAsia="Times"/>
        </w:rPr>
        <w:t xml:space="preserve">Sustainability Victoria 2020a, </w:t>
      </w:r>
      <w:r w:rsidR="6F7A6667" w:rsidRPr="008E70D4">
        <w:rPr>
          <w:rFonts w:eastAsia="Times"/>
        </w:rPr>
        <w:t>‘</w:t>
      </w:r>
      <w:r w:rsidRPr="008E70D4">
        <w:rPr>
          <w:rFonts w:eastAsia="Times"/>
        </w:rPr>
        <w:t>Linking Climate Change and Health Impacts, Social Research Exploring Awareness among Victorians and our Healthcare Professionals of the Health Effects of Climate Change</w:t>
      </w:r>
      <w:r w:rsidR="492D8C72" w:rsidRPr="008E70D4">
        <w:rPr>
          <w:rFonts w:eastAsia="Times"/>
        </w:rPr>
        <w:t>’ State Government of Victoria, Melbourne</w:t>
      </w:r>
      <w:r w:rsidRPr="008E70D4">
        <w:rPr>
          <w:rFonts w:eastAsia="Times"/>
        </w:rPr>
        <w:t>.</w:t>
      </w:r>
      <w:r w:rsidRPr="00FC4CE9">
        <w:rPr>
          <w:rFonts w:eastAsia="Times"/>
        </w:rPr>
        <w:t xml:space="preserve"> </w:t>
      </w:r>
    </w:p>
    <w:p w14:paraId="1CD4A3CA" w14:textId="1D3FA364" w:rsidR="00683B0E" w:rsidRPr="008E70D4" w:rsidRDefault="00683B0E" w:rsidP="00683B0E">
      <w:pPr>
        <w:rPr>
          <w:rFonts w:eastAsia="Times"/>
        </w:rPr>
      </w:pPr>
      <w:r w:rsidRPr="008E70D4">
        <w:rPr>
          <w:rFonts w:eastAsia="Times"/>
        </w:rPr>
        <w:t xml:space="preserve">Sustainability Victoria 2020b, </w:t>
      </w:r>
      <w:r w:rsidR="47E2C9D0" w:rsidRPr="008E70D4">
        <w:rPr>
          <w:rFonts w:eastAsia="Times"/>
        </w:rPr>
        <w:t>‘</w:t>
      </w:r>
      <w:r w:rsidRPr="008E70D4">
        <w:rPr>
          <w:rFonts w:eastAsia="Times"/>
        </w:rPr>
        <w:t>ResourceSmart Schools and wellbeing main study: Exploring student wellbeing impacts of the ResourceSmart Schools program</w:t>
      </w:r>
      <w:r w:rsidR="5C05A02B" w:rsidRPr="008E70D4">
        <w:rPr>
          <w:rFonts w:eastAsia="Times"/>
        </w:rPr>
        <w:t>’, State of Victoria, Melbourne</w:t>
      </w:r>
      <w:r w:rsidR="00550890" w:rsidRPr="008E70D4">
        <w:rPr>
          <w:rFonts w:eastAsia="Times"/>
        </w:rPr>
        <w:t>.</w:t>
      </w:r>
    </w:p>
    <w:p w14:paraId="6AE61E55" w14:textId="1949479A" w:rsidR="005756DF" w:rsidRPr="008E70D4" w:rsidRDefault="005756DF" w:rsidP="00683B0E">
      <w:pPr>
        <w:rPr>
          <w:rFonts w:cs="Arial"/>
          <w:color w:val="111111"/>
          <w:shd w:val="clear" w:color="auto" w:fill="FFFFFF"/>
        </w:rPr>
      </w:pPr>
      <w:r w:rsidRPr="008E70D4">
        <w:t>Soriano V, Peters R, Moreno-Betancur, M, Ponsonby A, Gell G, Odoi A, Perrett K, Tang M, PhD; Gurrin T, Allen KJ, Dharmage and S, Koplin J</w:t>
      </w:r>
      <w:r w:rsidR="0C6A1344" w:rsidRPr="008E70D4">
        <w:t xml:space="preserve"> 2022</w:t>
      </w:r>
      <w:r w:rsidRPr="008E70D4">
        <w:t>, ‘Association Between Earlier Introduction of Peanut and Prevalence of Peanut Allergy in Infants in Australia</w:t>
      </w:r>
      <w:r w:rsidR="00F54439" w:rsidRPr="008E70D4">
        <w:t>,</w:t>
      </w:r>
      <w:r w:rsidRPr="008E70D4">
        <w:t>’</w:t>
      </w:r>
      <w:r w:rsidRPr="008E70D4">
        <w:rPr>
          <w:i/>
        </w:rPr>
        <w:t xml:space="preserve"> </w:t>
      </w:r>
      <w:r w:rsidRPr="008E70D4">
        <w:t xml:space="preserve">JAMA;328(1):48-56. </w:t>
      </w:r>
      <w:r w:rsidR="00F54439" w:rsidRPr="008E70D4">
        <w:t>D</w:t>
      </w:r>
      <w:r w:rsidRPr="008E70D4">
        <w:t>oi:10.1001/jama.2022.9224</w:t>
      </w:r>
      <w:r w:rsidR="00F54439" w:rsidRPr="008E70D4">
        <w:t>.</w:t>
      </w:r>
    </w:p>
    <w:p w14:paraId="249C401F" w14:textId="03017B5C" w:rsidR="00683B0E" w:rsidRPr="00FC4CE9" w:rsidRDefault="00683B0E" w:rsidP="00683B0E">
      <w:pPr>
        <w:rPr>
          <w:rFonts w:eastAsia="Times"/>
        </w:rPr>
      </w:pPr>
      <w:r w:rsidRPr="00FC4CE9">
        <w:rPr>
          <w:rFonts w:eastAsia="Times"/>
        </w:rPr>
        <w:t>Victorian Injury Surveillance Unit 2017, Hazard, Monash University Accident Research Centre, Melbourne.</w:t>
      </w:r>
    </w:p>
    <w:p w14:paraId="1954A088" w14:textId="7B808BB1" w:rsidR="00683B0E" w:rsidRPr="008E70D4" w:rsidRDefault="00683B0E" w:rsidP="00683B0E">
      <w:pPr>
        <w:spacing w:before="120"/>
        <w:rPr>
          <w:rFonts w:eastAsia="Times"/>
        </w:rPr>
      </w:pPr>
      <w:r w:rsidRPr="008E70D4">
        <w:rPr>
          <w:rFonts w:eastAsia="Times" w:cs="Arial"/>
          <w:color w:val="2A2736"/>
        </w:rPr>
        <w:t xml:space="preserve">World Health Organization 2010, </w:t>
      </w:r>
      <w:r w:rsidR="14460DD3" w:rsidRPr="008E70D4">
        <w:rPr>
          <w:rFonts w:eastAsia="Times" w:cs="Arial"/>
          <w:color w:val="2A2736"/>
        </w:rPr>
        <w:t>‘</w:t>
      </w:r>
      <w:r w:rsidRPr="008E70D4">
        <w:rPr>
          <w:rFonts w:eastAsia="Times" w:cs="Arial"/>
          <w:color w:val="2A2736"/>
        </w:rPr>
        <w:t>Recommendations on the marketing of foods and non-alcoholic beverages to children</w:t>
      </w:r>
      <w:r w:rsidR="60ECA401" w:rsidRPr="008E70D4">
        <w:rPr>
          <w:rFonts w:eastAsia="Times" w:cs="Arial"/>
          <w:color w:val="2A2736"/>
        </w:rPr>
        <w:t>’</w:t>
      </w:r>
      <w:r w:rsidRPr="008E70D4">
        <w:rPr>
          <w:rFonts w:eastAsia="Times" w:cs="Arial"/>
          <w:color w:val="2A2736"/>
        </w:rPr>
        <w:t>, World Health Organization, Geneva. </w:t>
      </w:r>
    </w:p>
    <w:bookmarkEnd w:id="108"/>
    <w:p w14:paraId="382A5376" w14:textId="5565E04E" w:rsidR="00596586" w:rsidRDefault="00FE4859">
      <w:pPr>
        <w:spacing w:after="0" w:line="240" w:lineRule="auto"/>
        <w:rPr>
          <w:rFonts w:eastAsia="Times"/>
        </w:rPr>
      </w:pPr>
      <w:r>
        <w:br w:type="page"/>
      </w:r>
    </w:p>
    <w:p w14:paraId="12350698" w14:textId="7965E1CF" w:rsidR="00A134E8" w:rsidRPr="00A71CE4" w:rsidRDefault="008473F7" w:rsidP="00A134E8">
      <w:pPr>
        <w:pStyle w:val="Heading1"/>
        <w:spacing w:before="0"/>
      </w:pPr>
      <w:bookmarkStart w:id="110" w:name="_Toc116981370"/>
      <w:bookmarkStart w:id="111" w:name="_Toc128138651"/>
      <w:r>
        <w:lastRenderedPageBreak/>
        <w:t xml:space="preserve">Chapter 12 </w:t>
      </w:r>
      <w:r w:rsidR="00F54439">
        <w:t>–</w:t>
      </w:r>
      <w:r>
        <w:t xml:space="preserve"> </w:t>
      </w:r>
      <w:r w:rsidR="004D77E2">
        <w:t>Communicable diseases</w:t>
      </w:r>
      <w:bookmarkEnd w:id="110"/>
      <w:bookmarkEnd w:id="111"/>
      <w:r w:rsidR="004D77E2">
        <w:t xml:space="preserve"> </w:t>
      </w:r>
    </w:p>
    <w:p w14:paraId="59B6E1A9" w14:textId="3C848B0A" w:rsidR="002745FE" w:rsidRDefault="001246CD" w:rsidP="002A0BB2">
      <w:pPr>
        <w:pStyle w:val="Bullet1"/>
        <w:numPr>
          <w:ilvl w:val="0"/>
          <w:numId w:val="0"/>
        </w:numPr>
        <w:spacing w:after="120"/>
      </w:pPr>
      <w:r>
        <w:t>Th</w:t>
      </w:r>
      <w:r w:rsidR="002745FE">
        <w:t xml:space="preserve">is section of </w:t>
      </w:r>
      <w:r w:rsidR="003E6699" w:rsidRPr="002745FE">
        <w:rPr>
          <w:i/>
          <w:iCs/>
        </w:rPr>
        <w:t xml:space="preserve">Your </w:t>
      </w:r>
      <w:r w:rsidR="002745FE">
        <w:rPr>
          <w:i/>
          <w:iCs/>
        </w:rPr>
        <w:t>h</w:t>
      </w:r>
      <w:r w:rsidR="003E6699" w:rsidRPr="002745FE">
        <w:rPr>
          <w:i/>
          <w:iCs/>
        </w:rPr>
        <w:t>ealth</w:t>
      </w:r>
      <w:r w:rsidRPr="002745FE">
        <w:rPr>
          <w:i/>
        </w:rPr>
        <w:t xml:space="preserve"> </w:t>
      </w:r>
      <w:r>
        <w:t xml:space="preserve">highlights some of the improved ways the department is undertaking surveillance of communicable disease. </w:t>
      </w:r>
    </w:p>
    <w:p w14:paraId="66DA5266" w14:textId="5FE9CCFE" w:rsidR="001246CD" w:rsidRPr="001246CD" w:rsidRDefault="001246CD" w:rsidP="00073D49">
      <w:pPr>
        <w:pStyle w:val="Bullet1"/>
        <w:numPr>
          <w:ilvl w:val="0"/>
          <w:numId w:val="0"/>
        </w:numPr>
      </w:pPr>
      <w:r>
        <w:t xml:space="preserve">It also examines key topics that had a significant impact on communicable disease experience in Victoria in </w:t>
      </w:r>
      <w:r w:rsidR="00761DD8" w:rsidRPr="00761DD8">
        <w:t>201</w:t>
      </w:r>
      <w:r w:rsidR="00761DD8">
        <w:t xml:space="preserve">9 </w:t>
      </w:r>
      <w:r>
        <w:t xml:space="preserve">– </w:t>
      </w:r>
      <w:r w:rsidR="000154EF">
        <w:t xml:space="preserve">antimicrobial resistance, </w:t>
      </w:r>
      <w:r>
        <w:t>Buruli (Bairnsdale) ulcers, seasonal influenza</w:t>
      </w:r>
      <w:r w:rsidR="000154EF">
        <w:t>, measles</w:t>
      </w:r>
      <w:r w:rsidR="002745FE">
        <w:t>,</w:t>
      </w:r>
      <w:r>
        <w:t xml:space="preserve"> and </w:t>
      </w:r>
      <w:r w:rsidR="00124F79">
        <w:t>syphilis.</w:t>
      </w:r>
    </w:p>
    <w:p w14:paraId="4221F5DB" w14:textId="77777777" w:rsidR="001B0A0E" w:rsidRDefault="001B0A0E" w:rsidP="001B0A0E">
      <w:pPr>
        <w:pStyle w:val="Heading2"/>
      </w:pPr>
      <w:bookmarkStart w:id="112" w:name="_Toc116981371"/>
      <w:r>
        <w:t xml:space="preserve">Antimicrobial resistance  </w:t>
      </w:r>
    </w:p>
    <w:p w14:paraId="2BE19938" w14:textId="7F2D37A7" w:rsidR="001B0A0E" w:rsidRDefault="001B0A0E" w:rsidP="002745FE">
      <w:pPr>
        <w:pStyle w:val="Body"/>
      </w:pPr>
      <w:r>
        <w:t xml:space="preserve">Antimicrobials are medicines that kill or attack </w:t>
      </w:r>
      <w:r w:rsidR="002745FE">
        <w:t xml:space="preserve">infection-causing </w:t>
      </w:r>
      <w:r>
        <w:t>germs such as viruses, bacteria, parasites</w:t>
      </w:r>
      <w:r w:rsidR="002745FE">
        <w:t>,</w:t>
      </w:r>
      <w:r>
        <w:t xml:space="preserve"> and fungi. </w:t>
      </w:r>
      <w:r w:rsidR="002745FE">
        <w:t>Over the past century, a</w:t>
      </w:r>
      <w:r>
        <w:t>ntimicrobials</w:t>
      </w:r>
      <w:r w:rsidR="002745FE">
        <w:t xml:space="preserve"> – </w:t>
      </w:r>
      <w:r>
        <w:t>especially antibiotics</w:t>
      </w:r>
      <w:r w:rsidR="002745FE">
        <w:t xml:space="preserve"> –</w:t>
      </w:r>
      <w:r>
        <w:t xml:space="preserve"> have been a vital tool in treating infections in humans and animals and improv</w:t>
      </w:r>
      <w:r w:rsidR="00966CD1">
        <w:t>ing</w:t>
      </w:r>
      <w:r>
        <w:t xml:space="preserve"> health outcomes. </w:t>
      </w:r>
    </w:p>
    <w:p w14:paraId="7F65EAC3" w14:textId="570DDF7F" w:rsidR="00966CD1" w:rsidRDefault="001B0A0E" w:rsidP="001B0A0E">
      <w:pPr>
        <w:pStyle w:val="Body"/>
      </w:pPr>
      <w:r>
        <w:t xml:space="preserve">Antimicrobial resistance (AMR) occurs when the organisms that cause infections develop defences against these medicines. </w:t>
      </w:r>
      <w:r w:rsidR="00966CD1">
        <w:t xml:space="preserve">As a result of AMR, antimicrobials </w:t>
      </w:r>
      <w:r>
        <w:t xml:space="preserve">medicines are less effective at stopping infections. </w:t>
      </w:r>
    </w:p>
    <w:p w14:paraId="08BFB7D6" w14:textId="53BAA460" w:rsidR="001B0A0E" w:rsidRDefault="001B0A0E" w:rsidP="001B0A0E">
      <w:pPr>
        <w:pStyle w:val="Body"/>
      </w:pPr>
      <w:r>
        <w:t xml:space="preserve">AMR has become a major factor in limiting the effectiveness of antimicrobials and is jeopardising health outcomes. If not effectively addressed, </w:t>
      </w:r>
      <w:r w:rsidR="00EF2AD3">
        <w:t xml:space="preserve">AMR </w:t>
      </w:r>
      <w:r>
        <w:t xml:space="preserve">will make the fight against infections much harder. </w:t>
      </w:r>
    </w:p>
    <w:p w14:paraId="3DFC52F3" w14:textId="2A973247" w:rsidR="001B0A0E" w:rsidRDefault="001B0A0E" w:rsidP="001B0A0E">
      <w:pPr>
        <w:pStyle w:val="Body"/>
      </w:pPr>
      <w:r>
        <w:t xml:space="preserve">The World Health Organization recognises that AMR ‘poses a profound threat to human health’, and ‘threatens the very core of modern medicine and the sustainability of an effective global public health response to the enduring threat from infectious diseases’ </w:t>
      </w:r>
      <w:r w:rsidR="00AB7C56">
        <w:t>(</w:t>
      </w:r>
      <w:r w:rsidR="00CC6C67">
        <w:t>WHO,</w:t>
      </w:r>
      <w:r w:rsidR="00AB7C56">
        <w:t xml:space="preserve"> 2015</w:t>
      </w:r>
      <w:r w:rsidR="00CB5A21">
        <w:t xml:space="preserve">). </w:t>
      </w:r>
      <w:r>
        <w:t xml:space="preserve">   </w:t>
      </w:r>
    </w:p>
    <w:p w14:paraId="140715B0" w14:textId="15E6EC68" w:rsidR="001B0A0E" w:rsidRDefault="001B0A0E" w:rsidP="001B0A0E">
      <w:pPr>
        <w:pStyle w:val="Body"/>
      </w:pPr>
      <w:r>
        <w:t xml:space="preserve">Globally, about </w:t>
      </w:r>
      <w:r w:rsidRPr="005114DB">
        <w:t xml:space="preserve">700,000 people </w:t>
      </w:r>
      <w:r w:rsidR="00CC6C67" w:rsidRPr="005114DB">
        <w:t xml:space="preserve">a year </w:t>
      </w:r>
      <w:r w:rsidRPr="005114DB">
        <w:t>die from infections caused by antimicrobial</w:t>
      </w:r>
      <w:r w:rsidR="00CC6C67" w:rsidRPr="005114DB">
        <w:t>-</w:t>
      </w:r>
      <w:r w:rsidRPr="005114DB">
        <w:t xml:space="preserve">resistant pathogens. Without interventions, it is estimated that the associated death toll </w:t>
      </w:r>
      <w:r w:rsidR="00CC6C67" w:rsidRPr="005114DB">
        <w:t xml:space="preserve">from AMR </w:t>
      </w:r>
      <w:r w:rsidRPr="005114DB">
        <w:t xml:space="preserve">will increase to 10 million </w:t>
      </w:r>
      <w:r w:rsidR="00CC6C67" w:rsidRPr="005114DB">
        <w:t xml:space="preserve">a </w:t>
      </w:r>
      <w:r w:rsidRPr="005114DB">
        <w:t>year</w:t>
      </w:r>
      <w:r w:rsidR="00C3345D" w:rsidRPr="005114DB">
        <w:t xml:space="preserve"> </w:t>
      </w:r>
      <w:r w:rsidR="00CC6C67" w:rsidRPr="005114DB">
        <w:t xml:space="preserve">by 2050 </w:t>
      </w:r>
      <w:r w:rsidR="00C3345D" w:rsidRPr="005114DB">
        <w:t>(</w:t>
      </w:r>
      <w:r w:rsidR="00C3345D">
        <w:t>HM Government and Wellcome Trust</w:t>
      </w:r>
      <w:r w:rsidR="00CC6C67">
        <w:t>,</w:t>
      </w:r>
      <w:r w:rsidR="00C3345D">
        <w:t xml:space="preserve"> 2016).</w:t>
      </w:r>
      <w:r w:rsidRPr="0005191B">
        <w:rPr>
          <w:highlight w:val="cyan"/>
        </w:rPr>
        <w:t xml:space="preserve"> </w:t>
      </w:r>
    </w:p>
    <w:p w14:paraId="6ED7B981" w14:textId="3A40DA3B" w:rsidR="001B0A0E" w:rsidRDefault="001B0A0E" w:rsidP="001B0A0E">
      <w:pPr>
        <w:pStyle w:val="Body"/>
      </w:pPr>
      <w:r>
        <w:t xml:space="preserve">Approximately 290 deaths each year in Australia are due to infections from eight resistant bacteria. </w:t>
      </w:r>
      <w:r w:rsidR="00CC6C67">
        <w:t>B</w:t>
      </w:r>
      <w:r>
        <w:t>etween 2015 and 2050</w:t>
      </w:r>
      <w:r w:rsidR="00CC6C67">
        <w:t>, it is estimated that</w:t>
      </w:r>
      <w:r>
        <w:t xml:space="preserve"> a total of 10,430 people will die due to AMR </w:t>
      </w:r>
      <w:r w:rsidR="00553CEA">
        <w:t>(OECD</w:t>
      </w:r>
      <w:r w:rsidR="00EF2AD3">
        <w:t>,</w:t>
      </w:r>
      <w:r w:rsidR="00553CEA">
        <w:t xml:space="preserve"> 2018).</w:t>
      </w:r>
      <w:r>
        <w:t xml:space="preserve"> </w:t>
      </w:r>
    </w:p>
    <w:p w14:paraId="64F48F62" w14:textId="54EA0522" w:rsidR="001B0A0E" w:rsidRDefault="001B0A0E" w:rsidP="001B0A0E">
      <w:pPr>
        <w:pStyle w:val="Body"/>
      </w:pPr>
      <w:r>
        <w:t>Victorian health services are already affected by AMR</w:t>
      </w:r>
      <w:r w:rsidR="00CC6C67">
        <w:t xml:space="preserve">. The </w:t>
      </w:r>
      <w:r>
        <w:t xml:space="preserve">importation of resistant organisms from overseas and local transmission </w:t>
      </w:r>
      <w:r w:rsidR="00CC6C67">
        <w:t xml:space="preserve">have </w:t>
      </w:r>
      <w:r>
        <w:t>caus</w:t>
      </w:r>
      <w:r w:rsidR="00CC6C67">
        <w:t xml:space="preserve">ed </w:t>
      </w:r>
      <w:r>
        <w:t xml:space="preserve">an increasing number of outbreaks in hospitals and aged care </w:t>
      </w:r>
      <w:r w:rsidR="00CC6C67">
        <w:t xml:space="preserve">facilities, </w:t>
      </w:r>
      <w:r>
        <w:t>disrupti</w:t>
      </w:r>
      <w:r w:rsidR="00CC6C67">
        <w:t>ng</w:t>
      </w:r>
      <w:r>
        <w:t xml:space="preserve"> care and </w:t>
      </w:r>
      <w:r w:rsidR="00CC6C67">
        <w:t xml:space="preserve">resulting in </w:t>
      </w:r>
      <w:r>
        <w:t xml:space="preserve">significant economic costs. </w:t>
      </w:r>
    </w:p>
    <w:p w14:paraId="152D96D1" w14:textId="4D6FF0FE" w:rsidR="001B0A0E" w:rsidRDefault="001B0A0E" w:rsidP="001B0A0E">
      <w:pPr>
        <w:pStyle w:val="Body"/>
      </w:pPr>
      <w:r>
        <w:t>In Victoria, the department leads the public</w:t>
      </w:r>
      <w:r w:rsidR="00CC6C67">
        <w:t xml:space="preserve"> </w:t>
      </w:r>
      <w:r>
        <w:t>health response to AMR</w:t>
      </w:r>
      <w:r w:rsidR="00CC6C67">
        <w:t xml:space="preserve">. The public health response </w:t>
      </w:r>
      <w:r>
        <w:t>includes surveillance</w:t>
      </w:r>
      <w:r w:rsidR="00CC6C67">
        <w:t xml:space="preserve"> and </w:t>
      </w:r>
      <w:r>
        <w:t>outbreak response</w:t>
      </w:r>
      <w:r w:rsidR="00CC6C67">
        <w:t>,</w:t>
      </w:r>
      <w:r>
        <w:t xml:space="preserve"> as well as developing guidelines and engaging with stakeholders. </w:t>
      </w:r>
      <w:r w:rsidR="00CC6C67">
        <w:t xml:space="preserve">The department has </w:t>
      </w:r>
      <w:r>
        <w:t>developed guidelines for two highly resistant microorganisms that spread within and between healthcare facilities, along with AMR response procedures for notifiable diseases identified in community settings.</w:t>
      </w:r>
    </w:p>
    <w:p w14:paraId="10FF9F34" w14:textId="1687593C" w:rsidR="001B0A0E" w:rsidRDefault="001B0A0E" w:rsidP="001B0A0E">
      <w:pPr>
        <w:pStyle w:val="Body"/>
        <w:rPr>
          <w:i/>
          <w:iCs/>
        </w:rPr>
      </w:pPr>
      <w:r>
        <w:t xml:space="preserve">The </w:t>
      </w:r>
      <w:r w:rsidRPr="2AC9C859">
        <w:rPr>
          <w:i/>
          <w:iCs/>
        </w:rPr>
        <w:t>Victorian guideline on carbapenemase-</w:t>
      </w:r>
      <w:r w:rsidRPr="000441C6">
        <w:t>producing</w:t>
      </w:r>
      <w:r w:rsidRPr="2AC9C859">
        <w:rPr>
          <w:i/>
          <w:iCs/>
        </w:rPr>
        <w:t xml:space="preserve"> </w:t>
      </w:r>
      <w:r w:rsidR="00CC6C67">
        <w:rPr>
          <w:i/>
          <w:iCs/>
        </w:rPr>
        <w:t>e</w:t>
      </w:r>
      <w:r w:rsidRPr="2AC9C859">
        <w:rPr>
          <w:i/>
          <w:iCs/>
        </w:rPr>
        <w:t>nterobacterales</w:t>
      </w:r>
      <w:r>
        <w:t xml:space="preserve"> </w:t>
      </w:r>
      <w:r w:rsidRPr="2AC9C859">
        <w:rPr>
          <w:i/>
          <w:iCs/>
        </w:rPr>
        <w:t>for health services</w:t>
      </w:r>
      <w:r>
        <w:t xml:space="preserve">, was developed for Victoria in 2015 and updated in 2018 following an outbreak of </w:t>
      </w:r>
      <w:r w:rsidR="00CC6C67">
        <w:rPr>
          <w:i/>
        </w:rPr>
        <w:t>k</w:t>
      </w:r>
      <w:r w:rsidRPr="00D762EA">
        <w:rPr>
          <w:i/>
        </w:rPr>
        <w:t>lebsiella pneumoniae</w:t>
      </w:r>
      <w:r>
        <w:t xml:space="preserve"> within a metropolitan healthcare facility (</w:t>
      </w:r>
      <w:r w:rsidR="00CC6C67">
        <w:t>DHHS,</w:t>
      </w:r>
      <w:r>
        <w:t xml:space="preserve"> 2018). </w:t>
      </w:r>
    </w:p>
    <w:p w14:paraId="398B481C" w14:textId="25305B3F" w:rsidR="001B0A0E" w:rsidRDefault="001B0A0E" w:rsidP="001B0A0E">
      <w:pPr>
        <w:pStyle w:val="Body"/>
      </w:pPr>
      <w:r w:rsidRPr="004A3D05">
        <w:t>In 2019</w:t>
      </w:r>
      <w:r w:rsidR="00CC6C67" w:rsidRPr="004A3D05">
        <w:t>,</w:t>
      </w:r>
      <w:r w:rsidRPr="004A3D05">
        <w:t xml:space="preserve"> there were </w:t>
      </w:r>
      <w:r w:rsidR="00CC6C67" w:rsidRPr="004A3D05">
        <w:t xml:space="preserve">nine </w:t>
      </w:r>
      <w:r w:rsidRPr="004A3D05">
        <w:t xml:space="preserve">outbreaks of </w:t>
      </w:r>
      <w:r w:rsidR="00CC6C67" w:rsidRPr="004A3D05">
        <w:rPr>
          <w:i/>
        </w:rPr>
        <w:t>c</w:t>
      </w:r>
      <w:r w:rsidRPr="004A3D05">
        <w:rPr>
          <w:i/>
        </w:rPr>
        <w:t>arbapenemase-</w:t>
      </w:r>
      <w:r w:rsidRPr="004A3D05">
        <w:t>producing</w:t>
      </w:r>
      <w:r w:rsidRPr="004A3D05">
        <w:rPr>
          <w:i/>
        </w:rPr>
        <w:t xml:space="preserve"> </w:t>
      </w:r>
      <w:r w:rsidR="00CC6C67" w:rsidRPr="004A3D05">
        <w:rPr>
          <w:i/>
        </w:rPr>
        <w:t>e</w:t>
      </w:r>
      <w:r w:rsidRPr="004A3D05">
        <w:rPr>
          <w:i/>
        </w:rPr>
        <w:t>nterobacterales</w:t>
      </w:r>
      <w:r w:rsidRPr="004A3D05">
        <w:t xml:space="preserve"> detected in Victorian hospitals and long-term residential care facilities.</w:t>
      </w:r>
    </w:p>
    <w:p w14:paraId="2F5A392F" w14:textId="1C3E614B" w:rsidR="001B0A0E" w:rsidRDefault="001B0A0E" w:rsidP="001B0A0E">
      <w:pPr>
        <w:pStyle w:val="Body"/>
        <w:rPr>
          <w:i/>
          <w:iCs/>
        </w:rPr>
      </w:pPr>
      <w:r w:rsidRPr="4A728997">
        <w:rPr>
          <w:i/>
          <w:iCs/>
        </w:rPr>
        <w:t xml:space="preserve">Candida </w:t>
      </w:r>
      <w:r w:rsidR="00CC6C67">
        <w:rPr>
          <w:i/>
          <w:iCs/>
        </w:rPr>
        <w:t>a</w:t>
      </w:r>
      <w:r w:rsidRPr="4A728997">
        <w:rPr>
          <w:i/>
          <w:iCs/>
        </w:rPr>
        <w:t>uris</w:t>
      </w:r>
      <w:r>
        <w:t xml:space="preserve"> is a yeast species first isolated in Japan in 2009. </w:t>
      </w:r>
      <w:r w:rsidRPr="4A728997">
        <w:rPr>
          <w:i/>
          <w:iCs/>
        </w:rPr>
        <w:t xml:space="preserve">Candida </w:t>
      </w:r>
      <w:r w:rsidR="00CC6C67">
        <w:rPr>
          <w:i/>
          <w:iCs/>
        </w:rPr>
        <w:t>a</w:t>
      </w:r>
      <w:r w:rsidRPr="4A728997">
        <w:rPr>
          <w:i/>
          <w:iCs/>
        </w:rPr>
        <w:t>uris</w:t>
      </w:r>
      <w:r>
        <w:t xml:space="preserve"> is often resistant to common antifungal medicines and can spread in hospitals and aged care facilities. </w:t>
      </w:r>
      <w:r w:rsidR="00CC6C67">
        <w:t xml:space="preserve">In 2019, it was </w:t>
      </w:r>
      <w:r>
        <w:t xml:space="preserve">made a notifiable condition in Victoria. Also in 2019, the department </w:t>
      </w:r>
      <w:r w:rsidR="00E20F41">
        <w:t xml:space="preserve">– </w:t>
      </w:r>
      <w:r>
        <w:t xml:space="preserve">together with health services, </w:t>
      </w:r>
      <w:r>
        <w:lastRenderedPageBreak/>
        <w:t>laboratories, infection prevention and control, and infectious disease experts</w:t>
      </w:r>
      <w:r w:rsidR="00E20F41">
        <w:t xml:space="preserve"> –</w:t>
      </w:r>
      <w:r>
        <w:t xml:space="preserve"> developed and published the first </w:t>
      </w:r>
      <w:r w:rsidRPr="4A728997">
        <w:rPr>
          <w:i/>
          <w:iCs/>
        </w:rPr>
        <w:t>Victorian Guidelines on Candida Auris for health services</w:t>
      </w:r>
      <w:r>
        <w:t>.</w:t>
      </w:r>
    </w:p>
    <w:p w14:paraId="53E4801A" w14:textId="6240D0E5" w:rsidR="00E20F41" w:rsidRDefault="001B0A0E" w:rsidP="001B0A0E">
      <w:pPr>
        <w:pStyle w:val="Body"/>
      </w:pPr>
      <w:r>
        <w:t>Climate change, population growth, international travel</w:t>
      </w:r>
      <w:r w:rsidR="00E20F41">
        <w:t>,</w:t>
      </w:r>
      <w:r>
        <w:t xml:space="preserve"> and the global economy are all intertwined</w:t>
      </w:r>
      <w:r w:rsidR="00E20F41">
        <w:t xml:space="preserve"> – </w:t>
      </w:r>
      <w:r>
        <w:t xml:space="preserve">and are amplifying the consequences of AMR and communicable disease threats. Antibiotic overuse and misuse </w:t>
      </w:r>
      <w:r w:rsidR="00E20F41">
        <w:t xml:space="preserve">– together with </w:t>
      </w:r>
      <w:r>
        <w:t>the detection of resistant organisms in the animal, food production and environment sectors</w:t>
      </w:r>
      <w:r w:rsidR="00E20F41">
        <w:t xml:space="preserve"> –</w:t>
      </w:r>
      <w:r>
        <w:t xml:space="preserve"> </w:t>
      </w:r>
      <w:r w:rsidR="00E20F41">
        <w:t xml:space="preserve">have the potential to </w:t>
      </w:r>
      <w:r>
        <w:t xml:space="preserve">cause </w:t>
      </w:r>
      <w:r w:rsidR="00E20F41">
        <w:t xml:space="preserve">significant </w:t>
      </w:r>
      <w:r>
        <w:t xml:space="preserve">economic loss and ultimately affect human and animal health. </w:t>
      </w:r>
    </w:p>
    <w:p w14:paraId="324524B0" w14:textId="08C42FDB" w:rsidR="001B0A0E" w:rsidRDefault="00E20F41" w:rsidP="001B0A0E">
      <w:pPr>
        <w:pStyle w:val="Body"/>
      </w:pPr>
      <w:r>
        <w:t>A</w:t>
      </w:r>
      <w:r w:rsidR="001B0A0E">
        <w:t xml:space="preserve"> cross-sector approach is </w:t>
      </w:r>
      <w:r>
        <w:t xml:space="preserve">needed </w:t>
      </w:r>
      <w:r w:rsidR="001B0A0E">
        <w:t>to respond to AMR and minimise the impacts on the Victorian community.</w:t>
      </w:r>
      <w:r>
        <w:t xml:space="preserve"> That is why t</w:t>
      </w:r>
      <w:r w:rsidR="001B0A0E">
        <w:t>he department, in conjunction with Agriculture Victoria, the Environmental Protection Authority and sector representatives</w:t>
      </w:r>
      <w:r>
        <w:t>,</w:t>
      </w:r>
      <w:r w:rsidR="001B0A0E">
        <w:t xml:space="preserve"> is developing a </w:t>
      </w:r>
      <w:r>
        <w:t>10</w:t>
      </w:r>
      <w:r w:rsidR="001B0A0E">
        <w:t xml:space="preserve">-year Victorian strategy to address AMR. </w:t>
      </w:r>
    </w:p>
    <w:p w14:paraId="48203C96" w14:textId="349532FD" w:rsidR="00554F5A" w:rsidRDefault="00554F5A" w:rsidP="00FE766A">
      <w:pPr>
        <w:pStyle w:val="Heading2"/>
      </w:pPr>
      <w:r>
        <w:t>Buruli Ulcer</w:t>
      </w:r>
      <w:bookmarkEnd w:id="112"/>
    </w:p>
    <w:p w14:paraId="2DA4CFF9" w14:textId="191B362A" w:rsidR="000A58C0" w:rsidRPr="00B67826" w:rsidRDefault="000A58C0" w:rsidP="000A58C0">
      <w:pPr>
        <w:rPr>
          <w:rFonts w:eastAsia="Times"/>
        </w:rPr>
      </w:pPr>
      <w:r w:rsidRPr="00B67826">
        <w:rPr>
          <w:rFonts w:eastAsia="Times"/>
        </w:rPr>
        <w:t xml:space="preserve">Classified by the World Health Organisation as a neglected tropical disease, Buruli ulcer (also known as Bairnsdale or Daintree ulcer) is an infection of skin and soft tissue caused by the environmental pathogen </w:t>
      </w:r>
      <w:r w:rsidR="007F4730">
        <w:rPr>
          <w:rFonts w:eastAsia="Times"/>
          <w:i/>
          <w:iCs/>
        </w:rPr>
        <w:t>m</w:t>
      </w:r>
      <w:r w:rsidRPr="00B67826">
        <w:rPr>
          <w:rFonts w:eastAsia="Times"/>
          <w:i/>
          <w:iCs/>
        </w:rPr>
        <w:t>ycobacterium ulcerans</w:t>
      </w:r>
      <w:r w:rsidRPr="00B67826">
        <w:rPr>
          <w:rFonts w:eastAsia="Times"/>
        </w:rPr>
        <w:t xml:space="preserve">. Although generally not fatal, </w:t>
      </w:r>
      <w:r w:rsidR="007F4730" w:rsidRPr="00B67826">
        <w:rPr>
          <w:rFonts w:eastAsia="Times"/>
        </w:rPr>
        <w:t xml:space="preserve">Buruli ulcer </w:t>
      </w:r>
      <w:r w:rsidR="007F4730">
        <w:rPr>
          <w:rFonts w:eastAsia="Times"/>
        </w:rPr>
        <w:t xml:space="preserve">can </w:t>
      </w:r>
      <w:r w:rsidRPr="00B67826">
        <w:rPr>
          <w:rFonts w:eastAsia="Times"/>
        </w:rPr>
        <w:t>result in long</w:t>
      </w:r>
      <w:r w:rsidR="007F4730">
        <w:rPr>
          <w:rFonts w:eastAsia="Times"/>
        </w:rPr>
        <w:t>-</w:t>
      </w:r>
      <w:r w:rsidRPr="00B67826">
        <w:rPr>
          <w:rFonts w:eastAsia="Times"/>
        </w:rPr>
        <w:t xml:space="preserve">term cosmetic and functional deformity if effective treatment is unavailable or delayed. </w:t>
      </w:r>
      <w:r w:rsidRPr="5919196D">
        <w:rPr>
          <w:rFonts w:eastAsia="Times"/>
        </w:rPr>
        <w:t>Early</w:t>
      </w:r>
      <w:r w:rsidR="19055794" w:rsidRPr="5919196D">
        <w:rPr>
          <w:rFonts w:eastAsia="Times"/>
        </w:rPr>
        <w:t xml:space="preserve"> recognition, </w:t>
      </w:r>
      <w:r w:rsidRPr="00B67826">
        <w:rPr>
          <w:rFonts w:eastAsia="Times"/>
        </w:rPr>
        <w:t xml:space="preserve">diagnosis and treatment with antibiotics can minimise </w:t>
      </w:r>
      <w:r w:rsidR="007F4730">
        <w:rPr>
          <w:rFonts w:eastAsia="Times"/>
        </w:rPr>
        <w:t xml:space="preserve">the </w:t>
      </w:r>
      <w:r w:rsidRPr="00B67826">
        <w:rPr>
          <w:rFonts w:eastAsia="Times"/>
        </w:rPr>
        <w:t xml:space="preserve">progression of symptoms. </w:t>
      </w:r>
    </w:p>
    <w:p w14:paraId="07FDFFE8" w14:textId="2AA8BAB4" w:rsidR="007F4730" w:rsidRDefault="000A58C0" w:rsidP="000A58C0">
      <w:pPr>
        <w:rPr>
          <w:rFonts w:eastAsia="Times"/>
        </w:rPr>
      </w:pPr>
      <w:r w:rsidRPr="00B67826">
        <w:rPr>
          <w:rFonts w:eastAsia="Times"/>
        </w:rPr>
        <w:t>A geographically</w:t>
      </w:r>
      <w:r w:rsidR="007F4730">
        <w:rPr>
          <w:rFonts w:eastAsia="Times"/>
        </w:rPr>
        <w:t>-</w:t>
      </w:r>
      <w:r w:rsidRPr="00B67826">
        <w:rPr>
          <w:rFonts w:eastAsia="Times"/>
        </w:rPr>
        <w:t>restricted disease, Buruli ulcer has been reported in 33 countries in Africa, the Americas, Asia and Western Pacific</w:t>
      </w:r>
      <w:r w:rsidR="007F4730">
        <w:rPr>
          <w:rFonts w:eastAsia="Times"/>
        </w:rPr>
        <w:t>. M</w:t>
      </w:r>
      <w:r w:rsidRPr="00B67826">
        <w:rPr>
          <w:rFonts w:eastAsia="Times"/>
        </w:rPr>
        <w:t>ost cases occur in tropical and subtropical regions</w:t>
      </w:r>
      <w:r w:rsidR="007F4730">
        <w:rPr>
          <w:rFonts w:eastAsia="Times"/>
        </w:rPr>
        <w:t>,</w:t>
      </w:r>
      <w:r w:rsidRPr="00B67826">
        <w:rPr>
          <w:rFonts w:eastAsia="Times"/>
        </w:rPr>
        <w:t xml:space="preserve"> except Australia, China</w:t>
      </w:r>
      <w:r w:rsidR="007F4730">
        <w:rPr>
          <w:rFonts w:eastAsia="Times"/>
        </w:rPr>
        <w:t>,</w:t>
      </w:r>
      <w:r w:rsidRPr="00B67826">
        <w:rPr>
          <w:rFonts w:eastAsia="Times"/>
        </w:rPr>
        <w:t xml:space="preserve"> and Japan. </w:t>
      </w:r>
    </w:p>
    <w:p w14:paraId="26CB464C" w14:textId="0D3B4997" w:rsidR="000A58C0" w:rsidRPr="00B67826" w:rsidRDefault="000A58C0" w:rsidP="000A58C0">
      <w:pPr>
        <w:rPr>
          <w:rFonts w:eastAsia="Times"/>
        </w:rPr>
      </w:pPr>
      <w:r w:rsidRPr="00B67826">
        <w:rPr>
          <w:rFonts w:eastAsia="Times"/>
        </w:rPr>
        <w:t xml:space="preserve">In Australia, </w:t>
      </w:r>
      <w:r w:rsidR="007F4730">
        <w:rPr>
          <w:rFonts w:eastAsia="Times"/>
        </w:rPr>
        <w:t xml:space="preserve">the </w:t>
      </w:r>
      <w:r w:rsidRPr="00B67826">
        <w:rPr>
          <w:rFonts w:eastAsia="Times"/>
        </w:rPr>
        <w:t xml:space="preserve">majority of </w:t>
      </w:r>
      <w:r w:rsidR="007F4730" w:rsidRPr="00B67826">
        <w:rPr>
          <w:rFonts w:eastAsia="Times"/>
        </w:rPr>
        <w:t xml:space="preserve">Buruli ulcer </w:t>
      </w:r>
      <w:r w:rsidRPr="00B67826">
        <w:rPr>
          <w:rFonts w:eastAsia="Times"/>
        </w:rPr>
        <w:t>cases occur in Victoria</w:t>
      </w:r>
      <w:r w:rsidR="007F4730">
        <w:rPr>
          <w:rFonts w:eastAsia="Times"/>
        </w:rPr>
        <w:t xml:space="preserve">. In Victoria, </w:t>
      </w:r>
      <w:r w:rsidR="007F4730" w:rsidRPr="00B67826">
        <w:rPr>
          <w:rFonts w:eastAsia="Times"/>
        </w:rPr>
        <w:t>Buruli ulcer</w:t>
      </w:r>
      <w:r w:rsidR="007F4730">
        <w:rPr>
          <w:rFonts w:eastAsia="Times"/>
        </w:rPr>
        <w:t xml:space="preserve"> </w:t>
      </w:r>
      <w:r w:rsidRPr="00B67826">
        <w:rPr>
          <w:rFonts w:eastAsia="Times"/>
        </w:rPr>
        <w:t xml:space="preserve">was first reported in East Gippsland in the 1930s before appearing in Philip Island, Westernport region and many coastal areas around Port Philip Bay – </w:t>
      </w:r>
      <w:r w:rsidR="007F4730">
        <w:rPr>
          <w:rFonts w:eastAsia="Times"/>
        </w:rPr>
        <w:t xml:space="preserve">including </w:t>
      </w:r>
      <w:r w:rsidRPr="00B67826">
        <w:rPr>
          <w:rFonts w:eastAsia="Times"/>
        </w:rPr>
        <w:t>Frankston, the Bellarine peninsula</w:t>
      </w:r>
      <w:r w:rsidR="007F4730">
        <w:rPr>
          <w:rFonts w:eastAsia="Times"/>
        </w:rPr>
        <w:t>,</w:t>
      </w:r>
      <w:r w:rsidRPr="00B67826">
        <w:rPr>
          <w:rFonts w:eastAsia="Times"/>
        </w:rPr>
        <w:t xml:space="preserve"> and</w:t>
      </w:r>
      <w:r w:rsidR="007F4730">
        <w:rPr>
          <w:rFonts w:eastAsia="Times"/>
        </w:rPr>
        <w:t>,</w:t>
      </w:r>
      <w:r w:rsidRPr="00B67826">
        <w:rPr>
          <w:rFonts w:eastAsia="Times"/>
        </w:rPr>
        <w:t xml:space="preserve"> more recently</w:t>
      </w:r>
      <w:r w:rsidR="007F4730">
        <w:rPr>
          <w:rFonts w:eastAsia="Times"/>
        </w:rPr>
        <w:t>,</w:t>
      </w:r>
      <w:r w:rsidRPr="00B67826">
        <w:rPr>
          <w:rFonts w:eastAsia="Times"/>
        </w:rPr>
        <w:t xml:space="preserve"> the Mornington </w:t>
      </w:r>
      <w:r w:rsidR="007F4730">
        <w:rPr>
          <w:rFonts w:eastAsia="Times"/>
        </w:rPr>
        <w:t>P</w:t>
      </w:r>
      <w:r w:rsidRPr="00B67826">
        <w:rPr>
          <w:rFonts w:eastAsia="Times"/>
        </w:rPr>
        <w:t xml:space="preserve">eninsula and </w:t>
      </w:r>
      <w:r w:rsidR="007F4730">
        <w:rPr>
          <w:rFonts w:eastAsia="Times"/>
        </w:rPr>
        <w:t xml:space="preserve">the </w:t>
      </w:r>
      <w:r w:rsidRPr="00B67826">
        <w:rPr>
          <w:rFonts w:eastAsia="Times"/>
        </w:rPr>
        <w:t xml:space="preserve">southeast bayside suburbs of Melbourne. </w:t>
      </w:r>
    </w:p>
    <w:p w14:paraId="5F5485FC" w14:textId="215C40C0" w:rsidR="000A58C0" w:rsidRPr="00B67826" w:rsidRDefault="000A58C0" w:rsidP="000A58C0">
      <w:pPr>
        <w:rPr>
          <w:rFonts w:eastAsia="Times"/>
        </w:rPr>
      </w:pPr>
      <w:r w:rsidRPr="00B67826">
        <w:rPr>
          <w:rFonts w:eastAsia="Times"/>
        </w:rPr>
        <w:t>Since becoming notifiable in 2004, there was a significant increase in case numbers</w:t>
      </w:r>
      <w:r w:rsidR="007F4730">
        <w:rPr>
          <w:rFonts w:eastAsia="Times"/>
        </w:rPr>
        <w:t xml:space="preserve">. </w:t>
      </w:r>
      <w:r w:rsidR="007F4730" w:rsidRPr="00B67826">
        <w:rPr>
          <w:rFonts w:eastAsia="Times"/>
        </w:rPr>
        <w:t>Buruli ulcer</w:t>
      </w:r>
      <w:r w:rsidR="007F4730">
        <w:rPr>
          <w:rFonts w:eastAsia="Times"/>
        </w:rPr>
        <w:t xml:space="preserve"> notifications </w:t>
      </w:r>
      <w:r w:rsidRPr="00B67826">
        <w:rPr>
          <w:rFonts w:eastAsia="Times"/>
        </w:rPr>
        <w:t>exceed</w:t>
      </w:r>
      <w:r w:rsidR="007F4730">
        <w:rPr>
          <w:rFonts w:eastAsia="Times"/>
        </w:rPr>
        <w:t>ed</w:t>
      </w:r>
      <w:r w:rsidRPr="00B67826">
        <w:rPr>
          <w:rFonts w:eastAsia="Times"/>
        </w:rPr>
        <w:t xml:space="preserve"> 100 cases for the first time in 2015</w:t>
      </w:r>
      <w:r w:rsidR="007F4730">
        <w:rPr>
          <w:rFonts w:eastAsia="Times"/>
        </w:rPr>
        <w:t>, reaching</w:t>
      </w:r>
      <w:r w:rsidRPr="00B67826">
        <w:rPr>
          <w:rFonts w:eastAsia="Times"/>
        </w:rPr>
        <w:t xml:space="preserve"> a peak of 340 cases in 2018. </w:t>
      </w:r>
      <w:r w:rsidRPr="006A11C6">
        <w:rPr>
          <w:rFonts w:eastAsia="Times"/>
        </w:rPr>
        <w:t xml:space="preserve">In </w:t>
      </w:r>
      <w:r w:rsidRPr="00993E93">
        <w:rPr>
          <w:rFonts w:eastAsia="Times"/>
        </w:rPr>
        <w:t xml:space="preserve">2019, Victoria continued to experience </w:t>
      </w:r>
      <w:r w:rsidR="003534F0">
        <w:rPr>
          <w:rFonts w:eastAsia="Times"/>
        </w:rPr>
        <w:t xml:space="preserve">a </w:t>
      </w:r>
      <w:r w:rsidRPr="00993E93">
        <w:rPr>
          <w:rFonts w:eastAsia="Times"/>
        </w:rPr>
        <w:t>high number of cases</w:t>
      </w:r>
      <w:r w:rsidR="007F4730" w:rsidRPr="00993E93">
        <w:rPr>
          <w:rFonts w:eastAsia="Times"/>
        </w:rPr>
        <w:t>,</w:t>
      </w:r>
      <w:r w:rsidRPr="00993E93">
        <w:rPr>
          <w:rFonts w:eastAsia="Times"/>
        </w:rPr>
        <w:t xml:space="preserve"> with 299 cases notified (rate 4.6 per 100,000).</w:t>
      </w:r>
      <w:r w:rsidRPr="00B67826">
        <w:rPr>
          <w:rFonts w:eastAsia="Times"/>
        </w:rPr>
        <w:t xml:space="preserve"> </w:t>
      </w:r>
    </w:p>
    <w:p w14:paraId="48A4ED1D" w14:textId="44EC0F1E" w:rsidR="000A58C0" w:rsidRPr="00B67826" w:rsidRDefault="000A58C0" w:rsidP="000A58C0">
      <w:pPr>
        <w:rPr>
          <w:rFonts w:eastAsia="Times"/>
        </w:rPr>
      </w:pPr>
      <w:r w:rsidRPr="00B67826">
        <w:rPr>
          <w:rFonts w:eastAsia="Times"/>
        </w:rPr>
        <w:t>In addition to high case numbers, Victoria</w:t>
      </w:r>
      <w:r w:rsidR="007F4730">
        <w:rPr>
          <w:rFonts w:eastAsia="Times"/>
        </w:rPr>
        <w:t xml:space="preserve">’s </w:t>
      </w:r>
      <w:r w:rsidRPr="00B67826">
        <w:rPr>
          <w:rFonts w:eastAsia="Times"/>
        </w:rPr>
        <w:t xml:space="preserve">endemic areas </w:t>
      </w:r>
      <w:r w:rsidR="007F4730">
        <w:rPr>
          <w:rFonts w:eastAsia="Times"/>
        </w:rPr>
        <w:t xml:space="preserve">also expanded to </w:t>
      </w:r>
      <w:r w:rsidRPr="00B67826">
        <w:rPr>
          <w:rFonts w:eastAsia="Times"/>
        </w:rPr>
        <w:t>Aireys Inlet on the Surf Coast and the Geelong suburb of Belmont</w:t>
      </w:r>
      <w:r w:rsidR="007F4730">
        <w:rPr>
          <w:rFonts w:eastAsia="Times"/>
        </w:rPr>
        <w:t xml:space="preserve"> </w:t>
      </w:r>
      <w:r w:rsidR="007F4730" w:rsidRPr="00B67826">
        <w:rPr>
          <w:rFonts w:eastAsia="Times"/>
        </w:rPr>
        <w:t>in 2019</w:t>
      </w:r>
      <w:r w:rsidRPr="00B67826">
        <w:rPr>
          <w:rFonts w:eastAsia="Times"/>
        </w:rPr>
        <w:t xml:space="preserve">.  </w:t>
      </w:r>
    </w:p>
    <w:p w14:paraId="48F04522" w14:textId="3305C15C" w:rsidR="000A58C0" w:rsidRPr="00C40894" w:rsidRDefault="000A58C0" w:rsidP="000A58C0">
      <w:pPr>
        <w:rPr>
          <w:rFonts w:eastAsia="Times"/>
        </w:rPr>
      </w:pPr>
      <w:r w:rsidRPr="5932A43A">
        <w:rPr>
          <w:rFonts w:eastAsia="Times"/>
        </w:rPr>
        <w:t>The transmission of Buruli ulcer is not fully understood</w:t>
      </w:r>
      <w:r w:rsidR="007F4730">
        <w:rPr>
          <w:rFonts w:eastAsia="Times"/>
        </w:rPr>
        <w:t xml:space="preserve">. </w:t>
      </w:r>
      <w:r w:rsidR="004E6044">
        <w:rPr>
          <w:rFonts w:eastAsia="Times"/>
        </w:rPr>
        <w:t>In Victoria, p</w:t>
      </w:r>
      <w:r w:rsidRPr="5932A43A">
        <w:rPr>
          <w:rFonts w:eastAsia="Times"/>
        </w:rPr>
        <w:t xml:space="preserve">ossums may be an important reservoir of </w:t>
      </w:r>
      <w:r w:rsidR="004E6044" w:rsidRPr="5932A43A">
        <w:rPr>
          <w:rFonts w:eastAsia="Times"/>
        </w:rPr>
        <w:t>Buruli ulcer</w:t>
      </w:r>
      <w:r w:rsidR="004E6044">
        <w:rPr>
          <w:rFonts w:eastAsia="Times"/>
        </w:rPr>
        <w:t>,</w:t>
      </w:r>
      <w:r w:rsidRPr="5932A43A">
        <w:rPr>
          <w:rFonts w:eastAsia="Times"/>
        </w:rPr>
        <w:t xml:space="preserve"> </w:t>
      </w:r>
      <w:r w:rsidR="5E202AC5" w:rsidRPr="5919196D">
        <w:rPr>
          <w:rFonts w:eastAsia="Times"/>
        </w:rPr>
        <w:t>as the bacteria can be isolated from possum faeces in high-risk</w:t>
      </w:r>
      <w:r w:rsidRPr="5919196D">
        <w:rPr>
          <w:rFonts w:eastAsia="Times"/>
        </w:rPr>
        <w:t xml:space="preserve"> </w:t>
      </w:r>
      <w:r w:rsidR="7EBE6090" w:rsidRPr="5919196D">
        <w:rPr>
          <w:rFonts w:eastAsia="Times"/>
        </w:rPr>
        <w:t>areas</w:t>
      </w:r>
      <w:r w:rsidR="004E6044">
        <w:rPr>
          <w:rFonts w:eastAsia="Times"/>
        </w:rPr>
        <w:t>, while</w:t>
      </w:r>
      <w:r w:rsidR="7EBE6090" w:rsidRPr="5919196D">
        <w:rPr>
          <w:rFonts w:eastAsia="Times"/>
        </w:rPr>
        <w:t xml:space="preserve"> </w:t>
      </w:r>
      <w:r w:rsidR="004E6044">
        <w:rPr>
          <w:rFonts w:eastAsia="Times"/>
        </w:rPr>
        <w:t>m</w:t>
      </w:r>
      <w:r w:rsidRPr="5919196D">
        <w:rPr>
          <w:rFonts w:eastAsia="Times"/>
        </w:rPr>
        <w:t xml:space="preserve">osquitoes </w:t>
      </w:r>
      <w:r w:rsidRPr="5932A43A">
        <w:rPr>
          <w:rFonts w:eastAsia="Times"/>
        </w:rPr>
        <w:t xml:space="preserve">play a role in transmitting </w:t>
      </w:r>
      <w:r w:rsidR="004E6044">
        <w:rPr>
          <w:rFonts w:eastAsia="Times"/>
        </w:rPr>
        <w:t>the disease</w:t>
      </w:r>
      <w:r w:rsidRPr="5932A43A">
        <w:rPr>
          <w:rFonts w:eastAsia="Times"/>
        </w:rPr>
        <w:t xml:space="preserve"> to humans. </w:t>
      </w:r>
      <w:r w:rsidR="004E6044" w:rsidRPr="5932A43A">
        <w:rPr>
          <w:rFonts w:eastAsia="Times"/>
        </w:rPr>
        <w:t xml:space="preserve">Buruli ulcer </w:t>
      </w:r>
      <w:r w:rsidRPr="5932A43A">
        <w:rPr>
          <w:rFonts w:eastAsia="Times"/>
        </w:rPr>
        <w:t xml:space="preserve">is not spread </w:t>
      </w:r>
      <w:r w:rsidRPr="00993E93">
        <w:rPr>
          <w:rFonts w:eastAsia="Times"/>
        </w:rPr>
        <w:t>person</w:t>
      </w:r>
      <w:r w:rsidR="00D8514F" w:rsidRPr="00993E93">
        <w:rPr>
          <w:rFonts w:eastAsia="Times"/>
        </w:rPr>
        <w:t xml:space="preserve"> to </w:t>
      </w:r>
      <w:r w:rsidRPr="00993E93">
        <w:rPr>
          <w:rFonts w:eastAsia="Times"/>
        </w:rPr>
        <w:t>person</w:t>
      </w:r>
      <w:r w:rsidRPr="5932A43A">
        <w:rPr>
          <w:rFonts w:eastAsia="Times"/>
        </w:rPr>
        <w:t xml:space="preserve">. </w:t>
      </w:r>
    </w:p>
    <w:p w14:paraId="4498F28E" w14:textId="77777777" w:rsidR="000A58C0" w:rsidRPr="00F27B95" w:rsidRDefault="000A58C0" w:rsidP="000A58C0">
      <w:pPr>
        <w:pStyle w:val="Heading3"/>
      </w:pPr>
      <w:r>
        <w:t>Responding to the disease</w:t>
      </w:r>
    </w:p>
    <w:p w14:paraId="6C849CD0" w14:textId="73F67C4D" w:rsidR="004E6044" w:rsidRDefault="000A58C0" w:rsidP="000A58C0">
      <w:r>
        <w:t xml:space="preserve">The </w:t>
      </w:r>
      <w:r w:rsidR="004E6044">
        <w:t>d</w:t>
      </w:r>
      <w:r>
        <w:t>epartment is partner</w:t>
      </w:r>
      <w:r w:rsidR="004E6044">
        <w:t>ing</w:t>
      </w:r>
      <w:r>
        <w:t xml:space="preserve"> in a large research project to investigate how </w:t>
      </w:r>
      <w:r w:rsidR="004E6044" w:rsidRPr="5932A43A">
        <w:rPr>
          <w:rFonts w:eastAsia="Times"/>
        </w:rPr>
        <w:t xml:space="preserve">Buruli ulcer </w:t>
      </w:r>
      <w:r>
        <w:t xml:space="preserve">is transmitted and identify effective ways to prevent and reduce infections. </w:t>
      </w:r>
    </w:p>
    <w:p w14:paraId="3A9E1D2F" w14:textId="2222875F" w:rsidR="000A58C0" w:rsidRPr="00F27B95" w:rsidRDefault="000A58C0" w:rsidP="000A58C0">
      <w:r>
        <w:t>The Beating Buruli in Victoria project commenced in 2018</w:t>
      </w:r>
      <w:r w:rsidR="004E6044">
        <w:t xml:space="preserve">. The department </w:t>
      </w:r>
      <w:r>
        <w:t xml:space="preserve">developed </w:t>
      </w:r>
      <w:r w:rsidR="004E6044">
        <w:t xml:space="preserve">the project </w:t>
      </w:r>
      <w:r>
        <w:t>in partnership with the Doherty Institute, Barwon Health, Austin Health, Agriculture Victoria, the University of Melbourne</w:t>
      </w:r>
      <w:r w:rsidR="004E6044">
        <w:t>,</w:t>
      </w:r>
      <w:r>
        <w:t xml:space="preserve"> and the Mornington Peninsula Shire. Research </w:t>
      </w:r>
      <w:r w:rsidR="004E6044">
        <w:t xml:space="preserve">is </w:t>
      </w:r>
      <w:r>
        <w:t xml:space="preserve">ongoing and findings will </w:t>
      </w:r>
      <w:r>
        <w:lastRenderedPageBreak/>
        <w:t xml:space="preserve">be used to inform future policies and public health interventions to stop the rise and spread of disease.  </w:t>
      </w:r>
    </w:p>
    <w:p w14:paraId="48DE068B" w14:textId="66A01C8B" w:rsidR="000A58C0" w:rsidRPr="00C40894" w:rsidRDefault="000A58C0" w:rsidP="00C40894">
      <w:pPr>
        <w:rPr>
          <w:rFonts w:eastAsia="MS Mincho"/>
          <w:color w:val="2A2736"/>
          <w:lang w:eastAsia="en-AU"/>
        </w:rPr>
      </w:pPr>
      <w:r w:rsidRPr="00881590">
        <w:t>To find out more, see</w:t>
      </w:r>
      <w:r w:rsidR="003534F0">
        <w:t xml:space="preserve"> the</w:t>
      </w:r>
      <w:r>
        <w:t xml:space="preserve"> </w:t>
      </w:r>
      <w:hyperlink r:id="rId98" w:history="1">
        <w:r w:rsidRPr="003534F0">
          <w:rPr>
            <w:color w:val="0070C0"/>
          </w:rPr>
          <w:t>Beating Buruli in Victoria</w:t>
        </w:r>
        <w:r w:rsidRPr="00881590">
          <w:t xml:space="preserve"> project</w:t>
        </w:r>
      </w:hyperlink>
      <w:r w:rsidR="003534F0">
        <w:t xml:space="preserve"> webpage</w:t>
      </w:r>
      <w:r w:rsidR="009D70B8" w:rsidRPr="00881590">
        <w:t xml:space="preserve"> </w:t>
      </w:r>
      <w:r w:rsidR="003534F0">
        <w:t xml:space="preserve">at </w:t>
      </w:r>
      <w:r w:rsidR="009D70B8" w:rsidRPr="00881590">
        <w:t>&lt;</w:t>
      </w:r>
      <w:r w:rsidR="009D70B8" w:rsidRPr="009D70B8">
        <w:rPr>
          <w:color w:val="2A2736"/>
          <w:lang w:eastAsia="en-AU"/>
        </w:rPr>
        <w:t>https://www.health.vic.gov.au/infectious-diseases/beating-buruli-in-victoria</w:t>
      </w:r>
      <w:r w:rsidR="009D70B8">
        <w:rPr>
          <w:color w:val="2A2736"/>
          <w:lang w:eastAsia="en-AU"/>
        </w:rPr>
        <w:t>&gt;</w:t>
      </w:r>
      <w:r w:rsidR="003534F0">
        <w:rPr>
          <w:color w:val="2A2736"/>
          <w:lang w:eastAsia="en-AU"/>
        </w:rPr>
        <w:t>.</w:t>
      </w:r>
    </w:p>
    <w:p w14:paraId="7CCAAEF0" w14:textId="77777777" w:rsidR="008D7A4C" w:rsidRPr="00EB3678" w:rsidRDefault="008D7A4C" w:rsidP="00EB3678">
      <w:pPr>
        <w:pStyle w:val="Heading2"/>
      </w:pPr>
      <w:bookmarkStart w:id="113" w:name="_Toc116981372"/>
      <w:r>
        <w:t>Seasonal Influenza</w:t>
      </w:r>
      <w:bookmarkEnd w:id="113"/>
      <w:r>
        <w:t xml:space="preserve"> </w:t>
      </w:r>
    </w:p>
    <w:p w14:paraId="06A615CB" w14:textId="2731F160" w:rsidR="008D7A4C" w:rsidRDefault="004E6044" w:rsidP="008D7A4C">
      <w:pPr>
        <w:pStyle w:val="Body"/>
      </w:pPr>
      <w:r>
        <w:t xml:space="preserve">In </w:t>
      </w:r>
      <w:r w:rsidR="008D7A4C" w:rsidRPr="7A10E631">
        <w:t>2019</w:t>
      </w:r>
      <w:r>
        <w:t xml:space="preserve">, the prolonged </w:t>
      </w:r>
      <w:r w:rsidR="008D7A4C" w:rsidRPr="7A10E631">
        <w:t xml:space="preserve">influenza season resulted in sustained demand for health services throughout Victoria </w:t>
      </w:r>
      <w:r>
        <w:t xml:space="preserve">between </w:t>
      </w:r>
      <w:r w:rsidR="008D7A4C" w:rsidRPr="7A10E631">
        <w:t>April</w:t>
      </w:r>
      <w:r w:rsidR="003534F0">
        <w:t xml:space="preserve"> </w:t>
      </w:r>
      <w:r>
        <w:t>-</w:t>
      </w:r>
      <w:r w:rsidR="003534F0">
        <w:t xml:space="preserve"> </w:t>
      </w:r>
      <w:r w:rsidR="008D7A4C" w:rsidRPr="7A10E631">
        <w:t>October 2019</w:t>
      </w:r>
      <w:r w:rsidR="008D7A4C">
        <w:t xml:space="preserve">. Increased numbers of people presented to health services with influenza-like illness (ILI), with emergency department presentations and hospital admissions peaking in July. </w:t>
      </w:r>
    </w:p>
    <w:p w14:paraId="2C9EAFBD" w14:textId="5160EF84" w:rsidR="008D7A4C" w:rsidRDefault="008D7A4C" w:rsidP="008D7A4C">
      <w:pPr>
        <w:pStyle w:val="Body"/>
        <w:rPr>
          <w:szCs w:val="21"/>
        </w:rPr>
      </w:pPr>
      <w:r w:rsidRPr="7A10E631">
        <w:rPr>
          <w:szCs w:val="21"/>
        </w:rPr>
        <w:t>The very young and the very old were particularly affected</w:t>
      </w:r>
      <w:r w:rsidR="004E6044">
        <w:rPr>
          <w:szCs w:val="21"/>
        </w:rPr>
        <w:t xml:space="preserve"> by ILI</w:t>
      </w:r>
      <w:r w:rsidRPr="7A10E631">
        <w:rPr>
          <w:szCs w:val="21"/>
        </w:rPr>
        <w:t>. Most children hospitalised with influenza were aged under five years</w:t>
      </w:r>
      <w:r w:rsidR="004E6044">
        <w:rPr>
          <w:szCs w:val="21"/>
        </w:rPr>
        <w:t>. A</w:t>
      </w:r>
      <w:r w:rsidRPr="7A10E631">
        <w:rPr>
          <w:szCs w:val="21"/>
        </w:rPr>
        <w:t xml:space="preserve"> record number of respiratory outbreaks due to influenza were </w:t>
      </w:r>
      <w:r w:rsidR="004E6044">
        <w:rPr>
          <w:szCs w:val="21"/>
        </w:rPr>
        <w:t xml:space="preserve">also </w:t>
      </w:r>
      <w:r w:rsidRPr="7A10E631">
        <w:rPr>
          <w:szCs w:val="21"/>
        </w:rPr>
        <w:t xml:space="preserve">reported in </w:t>
      </w:r>
      <w:r>
        <w:rPr>
          <w:szCs w:val="21"/>
        </w:rPr>
        <w:t xml:space="preserve">residential </w:t>
      </w:r>
      <w:r w:rsidRPr="7A10E631">
        <w:rPr>
          <w:szCs w:val="21"/>
        </w:rPr>
        <w:t>aged care facilities.</w:t>
      </w:r>
    </w:p>
    <w:p w14:paraId="5EC8B8D4" w14:textId="1F06F449" w:rsidR="008D7A4C" w:rsidRDefault="00E93699" w:rsidP="008D7A4C">
      <w:pPr>
        <w:pStyle w:val="Body"/>
      </w:pPr>
      <w:r>
        <w:t>I</w:t>
      </w:r>
      <w:r w:rsidR="008E4897">
        <w:t>n</w:t>
      </w:r>
      <w:r w:rsidR="004E6044">
        <w:t xml:space="preserve"> 2019 t</w:t>
      </w:r>
      <w:r w:rsidR="008D7A4C">
        <w:t>here were 69,599 laboratory-confirmed cases of influenza notified to the department</w:t>
      </w:r>
      <w:r w:rsidR="004E6044">
        <w:t xml:space="preserve"> – </w:t>
      </w:r>
      <w:r w:rsidR="008D7A4C">
        <w:t>a higher total than 2017 and 3.9 times higher than the five-year average for 2014-2018</w:t>
      </w:r>
      <w:r w:rsidR="00582FEF">
        <w:t>.</w:t>
      </w:r>
    </w:p>
    <w:p w14:paraId="3E06BA36" w14:textId="3ADB8451" w:rsidR="008D7A4C" w:rsidRDefault="00563DAD" w:rsidP="008D7A4C">
      <w:pPr>
        <w:pStyle w:val="Body"/>
      </w:pPr>
      <w:r>
        <w:t>T</w:t>
      </w:r>
      <w:r w:rsidR="00D7594E">
        <w:t>he</w:t>
      </w:r>
      <w:r w:rsidR="008D7A4C" w:rsidRPr="00803C0D">
        <w:t xml:space="preserve"> number of </w:t>
      </w:r>
      <w:r w:rsidR="00AE50C8">
        <w:t xml:space="preserve">influenza </w:t>
      </w:r>
      <w:r w:rsidR="008D7A4C" w:rsidRPr="00803C0D">
        <w:t xml:space="preserve">notifications began to rise in late-March, peaked in mid-July, and did not fall to inter-seasonal levels until late November. </w:t>
      </w:r>
      <w:r w:rsidR="008D7A4C">
        <w:t>Laboratory testing indicated there was an early peak of influenza type A, followed by a smaller peak of influenza type B</w:t>
      </w:r>
      <w:r w:rsidR="00FA35CF">
        <w:t>.</w:t>
      </w:r>
    </w:p>
    <w:p w14:paraId="083F4D6A" w14:textId="2144F1F1" w:rsidR="008D7A4C" w:rsidRDefault="00563DAD" w:rsidP="008D7A4C">
      <w:pPr>
        <w:pStyle w:val="Body"/>
      </w:pPr>
      <w:r>
        <w:t>T</w:t>
      </w:r>
      <w:r w:rsidR="008D7A4C" w:rsidRPr="00A34F1C">
        <w:t>h</w:t>
      </w:r>
      <w:r w:rsidR="004E6044">
        <w:t>e</w:t>
      </w:r>
      <w:r w:rsidR="008D7A4C" w:rsidRPr="00A34F1C">
        <w:t xml:space="preserve"> </w:t>
      </w:r>
      <w:r w:rsidR="004E6044">
        <w:t xml:space="preserve">influenza </w:t>
      </w:r>
      <w:r w:rsidR="008D7A4C" w:rsidRPr="00A34F1C">
        <w:t>types affect</w:t>
      </w:r>
      <w:r w:rsidR="006A11C6">
        <w:t>ed</w:t>
      </w:r>
      <w:r w:rsidR="008D7A4C" w:rsidRPr="00A34F1C">
        <w:t xml:space="preserve"> different age groups</w:t>
      </w:r>
      <w:r w:rsidR="004E6044">
        <w:t xml:space="preserve">. The </w:t>
      </w:r>
      <w:r w:rsidR="008D7A4C" w:rsidRPr="00A34F1C">
        <w:t xml:space="preserve">highest rates of type A </w:t>
      </w:r>
      <w:r w:rsidR="004E6044">
        <w:t xml:space="preserve">influenza were for people </w:t>
      </w:r>
      <w:r w:rsidR="008D7A4C" w:rsidRPr="00A34F1C">
        <w:t xml:space="preserve">under five years of age and those aged 75 years and older. Type B was most common in </w:t>
      </w:r>
      <w:r w:rsidR="00315951">
        <w:t xml:space="preserve">people </w:t>
      </w:r>
      <w:r w:rsidR="008D7A4C" w:rsidRPr="00A34F1C">
        <w:t>aged five to nine years old.</w:t>
      </w:r>
    </w:p>
    <w:p w14:paraId="10A9A3AA" w14:textId="77777777" w:rsidR="008D7A4C" w:rsidRDefault="008D7A4C" w:rsidP="008D7A4C">
      <w:pPr>
        <w:pStyle w:val="Heading3"/>
      </w:pPr>
      <w:r w:rsidRPr="7A10E631">
        <w:t>Hospitalisations and deaths</w:t>
      </w:r>
    </w:p>
    <w:p w14:paraId="56F8643C" w14:textId="3DB99877" w:rsidR="008D7A4C" w:rsidRDefault="008D7A4C" w:rsidP="008D7A4C">
      <w:pPr>
        <w:pStyle w:val="Body"/>
      </w:pPr>
      <w:r>
        <w:t>Data from the Influenza Complications Alert Network (FluCAN) indicated decreased severity of influenza infections nationally in 2019 compared with 2017</w:t>
      </w:r>
      <w:r w:rsidR="00315951">
        <w:t xml:space="preserve">. There were a </w:t>
      </w:r>
      <w:r>
        <w:t xml:space="preserve">lower percentage of laboratory-confirmed influenza cases admitted directly to </w:t>
      </w:r>
      <w:r w:rsidR="00D40ECB">
        <w:t>intensive care units (</w:t>
      </w:r>
      <w:r>
        <w:t>ICU</w:t>
      </w:r>
      <w:r w:rsidR="00D40ECB">
        <w:t>)</w:t>
      </w:r>
      <w:r>
        <w:t>, but higher numbers of hospitalised cases across Australia.</w:t>
      </w:r>
    </w:p>
    <w:p w14:paraId="122A2379" w14:textId="59129325" w:rsidR="008D7A4C" w:rsidRDefault="008D7A4C" w:rsidP="008D7A4C">
      <w:pPr>
        <w:pStyle w:val="Body"/>
        <w:rPr>
          <w:szCs w:val="21"/>
        </w:rPr>
      </w:pPr>
      <w:r>
        <w:rPr>
          <w:szCs w:val="21"/>
        </w:rPr>
        <w:t xml:space="preserve">In Victoria, there were </w:t>
      </w:r>
      <w:r w:rsidRPr="00EA664D">
        <w:rPr>
          <w:szCs w:val="21"/>
        </w:rPr>
        <w:t>12,122 influenza-related hospital admissions in 2019, with almost half (49</w:t>
      </w:r>
      <w:r w:rsidR="002E7B43" w:rsidRPr="00EA664D">
        <w:rPr>
          <w:szCs w:val="21"/>
        </w:rPr>
        <w:t xml:space="preserve"> per cent</w:t>
      </w:r>
      <w:r w:rsidRPr="00EA664D">
        <w:rPr>
          <w:szCs w:val="21"/>
        </w:rPr>
        <w:t xml:space="preserve">) aged </w:t>
      </w:r>
      <w:r w:rsidRPr="00EA664D">
        <w:rPr>
          <w:rFonts w:cs="Arial"/>
          <w:szCs w:val="21"/>
        </w:rPr>
        <w:t>≥</w:t>
      </w:r>
      <w:r w:rsidRPr="00EA664D">
        <w:rPr>
          <w:szCs w:val="21"/>
        </w:rPr>
        <w:t>65 years, and 7</w:t>
      </w:r>
      <w:r w:rsidR="002E7B43" w:rsidRPr="00EA664D">
        <w:rPr>
          <w:szCs w:val="21"/>
        </w:rPr>
        <w:t xml:space="preserve"> per cent</w:t>
      </w:r>
      <w:r w:rsidRPr="00EA664D">
        <w:rPr>
          <w:szCs w:val="21"/>
        </w:rPr>
        <w:t xml:space="preserve"> aged &lt;5 years.</w:t>
      </w:r>
    </w:p>
    <w:p w14:paraId="759F8BFB" w14:textId="2F80B57D" w:rsidR="008D7A4C" w:rsidRDefault="008D7A4C" w:rsidP="008D7A4C">
      <w:pPr>
        <w:pStyle w:val="Body"/>
        <w:rPr>
          <w:szCs w:val="21"/>
        </w:rPr>
      </w:pPr>
      <w:r w:rsidRPr="7A10E631">
        <w:rPr>
          <w:szCs w:val="21"/>
        </w:rPr>
        <w:t xml:space="preserve">The Australian Bureau of Statistics reported </w:t>
      </w:r>
      <w:r>
        <w:rPr>
          <w:szCs w:val="21"/>
        </w:rPr>
        <w:t>1,135 deaths</w:t>
      </w:r>
      <w:r w:rsidRPr="7A10E631">
        <w:rPr>
          <w:szCs w:val="21"/>
        </w:rPr>
        <w:t xml:space="preserve"> </w:t>
      </w:r>
      <w:r>
        <w:t xml:space="preserve">in Victoria </w:t>
      </w:r>
      <w:r w:rsidRPr="7A10E631">
        <w:rPr>
          <w:szCs w:val="21"/>
        </w:rPr>
        <w:t xml:space="preserve">due to influenza and pneumonia in 2019, which </w:t>
      </w:r>
      <w:r>
        <w:rPr>
          <w:szCs w:val="21"/>
        </w:rPr>
        <w:t>wa</w:t>
      </w:r>
      <w:r w:rsidRPr="7A10E631">
        <w:rPr>
          <w:szCs w:val="21"/>
        </w:rPr>
        <w:t xml:space="preserve">s slightly lower than the </w:t>
      </w:r>
      <w:r>
        <w:rPr>
          <w:szCs w:val="21"/>
        </w:rPr>
        <w:t>1,161</w:t>
      </w:r>
      <w:r w:rsidRPr="7A10E631">
        <w:rPr>
          <w:szCs w:val="21"/>
        </w:rPr>
        <w:t xml:space="preserve"> </w:t>
      </w:r>
      <w:r>
        <w:rPr>
          <w:szCs w:val="21"/>
        </w:rPr>
        <w:t xml:space="preserve">deaths </w:t>
      </w:r>
      <w:r w:rsidRPr="7A10E631">
        <w:rPr>
          <w:szCs w:val="21"/>
        </w:rPr>
        <w:t>reported for 2017</w:t>
      </w:r>
      <w:r>
        <w:rPr>
          <w:szCs w:val="21"/>
        </w:rPr>
        <w:t>.</w:t>
      </w:r>
    </w:p>
    <w:p w14:paraId="04CA10C7" w14:textId="77777777" w:rsidR="008D7A4C" w:rsidRDefault="008D7A4C" w:rsidP="008D7A4C">
      <w:pPr>
        <w:pStyle w:val="Heading3"/>
      </w:pPr>
      <w:r>
        <w:t>Influenza prevention</w:t>
      </w:r>
    </w:p>
    <w:p w14:paraId="56F247AE" w14:textId="77777777" w:rsidR="008D7A4C" w:rsidRDefault="008D7A4C" w:rsidP="008D7A4C">
      <w:pPr>
        <w:pStyle w:val="Body"/>
      </w:pPr>
      <w:r w:rsidRPr="7A10E631">
        <w:t>The National Immunisation Program (NIP) includes free vaccination for groups known to be vulnerable to severe influenza infection.</w:t>
      </w:r>
    </w:p>
    <w:p w14:paraId="27B4D08E" w14:textId="3DFC7384" w:rsidR="008D7A4C" w:rsidRDefault="008D7A4C" w:rsidP="008D7A4C">
      <w:pPr>
        <w:pStyle w:val="Body"/>
      </w:pPr>
      <w:r w:rsidRPr="7A10E631">
        <w:t>Th</w:t>
      </w:r>
      <w:r w:rsidR="00315951">
        <w:t>o</w:t>
      </w:r>
      <w:r w:rsidRPr="7A10E631">
        <w:t>s</w:t>
      </w:r>
      <w:r w:rsidR="00315951">
        <w:t>e groups</w:t>
      </w:r>
      <w:r w:rsidRPr="7A10E631">
        <w:t xml:space="preserve"> include:</w:t>
      </w:r>
    </w:p>
    <w:p w14:paraId="5EB1921A" w14:textId="77777777" w:rsidR="008D7A4C" w:rsidRDefault="008D7A4C" w:rsidP="007A2BED">
      <w:pPr>
        <w:pStyle w:val="Bullet1"/>
        <w:rPr>
          <w:rFonts w:eastAsia="Arial" w:cs="Arial"/>
        </w:rPr>
      </w:pPr>
      <w:r w:rsidRPr="7A10E631">
        <w:t xml:space="preserve">people with underlying medical conditions </w:t>
      </w:r>
    </w:p>
    <w:p w14:paraId="5D3EEA54" w14:textId="77777777" w:rsidR="008D7A4C" w:rsidRDefault="008D7A4C" w:rsidP="007A2BED">
      <w:pPr>
        <w:pStyle w:val="Bullet1"/>
        <w:rPr>
          <w:rFonts w:eastAsia="Arial" w:cs="Arial"/>
        </w:rPr>
      </w:pPr>
      <w:r w:rsidRPr="7A10E631">
        <w:t xml:space="preserve">Aboriginal and Torres Strait Islander peoples </w:t>
      </w:r>
    </w:p>
    <w:p w14:paraId="51B06E28" w14:textId="77777777" w:rsidR="008D7A4C" w:rsidRDefault="008D7A4C" w:rsidP="007A2BED">
      <w:pPr>
        <w:pStyle w:val="Bullet1"/>
        <w:rPr>
          <w:rFonts w:eastAsia="Arial" w:cs="Arial"/>
        </w:rPr>
      </w:pPr>
      <w:r w:rsidRPr="7A10E631">
        <w:t xml:space="preserve">those aged 65 years and older </w:t>
      </w:r>
    </w:p>
    <w:p w14:paraId="787EE5F8" w14:textId="74CF9AF5" w:rsidR="008D7A4C" w:rsidRDefault="008D7A4C" w:rsidP="007A2BED">
      <w:pPr>
        <w:pStyle w:val="Bullet1"/>
        <w:rPr>
          <w:rFonts w:eastAsia="Arial" w:cs="Arial"/>
        </w:rPr>
      </w:pPr>
      <w:r>
        <w:t xml:space="preserve">those who are </w:t>
      </w:r>
      <w:r w:rsidRPr="7A10E631">
        <w:t>pregnant</w:t>
      </w:r>
      <w:r w:rsidR="007A2BED">
        <w:t>.</w:t>
      </w:r>
      <w:r w:rsidRPr="7A10E631">
        <w:t xml:space="preserve"> </w:t>
      </w:r>
    </w:p>
    <w:p w14:paraId="37495B72" w14:textId="77777777" w:rsidR="008D7A4C" w:rsidRDefault="008D7A4C" w:rsidP="008D7A4C">
      <w:pPr>
        <w:pStyle w:val="Body"/>
      </w:pPr>
    </w:p>
    <w:p w14:paraId="1446041A" w14:textId="6D58496C" w:rsidR="008D7A4C" w:rsidRDefault="008D7A4C" w:rsidP="008D7A4C">
      <w:pPr>
        <w:pStyle w:val="Body"/>
      </w:pPr>
      <w:r w:rsidRPr="7A10E631">
        <w:lastRenderedPageBreak/>
        <w:t xml:space="preserve">To help provide further community protection, </w:t>
      </w:r>
      <w:r>
        <w:t xml:space="preserve">in 2019 </w:t>
      </w:r>
      <w:r w:rsidRPr="7A10E631">
        <w:t xml:space="preserve">the Victorian </w:t>
      </w:r>
      <w:r w:rsidR="00315951">
        <w:t>G</w:t>
      </w:r>
      <w:r w:rsidRPr="7A10E631">
        <w:t xml:space="preserve">overnment </w:t>
      </w:r>
      <w:r>
        <w:t>continued</w:t>
      </w:r>
      <w:r w:rsidRPr="7A10E631">
        <w:t xml:space="preserve"> </w:t>
      </w:r>
      <w:r w:rsidR="00D41464">
        <w:t>an additional</w:t>
      </w:r>
      <w:r w:rsidRPr="7A10E631">
        <w:t xml:space="preserve"> </w:t>
      </w:r>
      <w:r>
        <w:t>vaccination</w:t>
      </w:r>
      <w:r w:rsidRPr="7A10E631">
        <w:t xml:space="preserve"> program for children aged </w:t>
      </w:r>
      <w:r w:rsidR="00C82754">
        <w:t>between</w:t>
      </w:r>
      <w:r w:rsidR="00C82754" w:rsidRPr="7A10E631">
        <w:t xml:space="preserve"> </w:t>
      </w:r>
      <w:r w:rsidRPr="7A10E631">
        <w:t xml:space="preserve">six months </w:t>
      </w:r>
      <w:r w:rsidR="00C82754">
        <w:t xml:space="preserve">and </w:t>
      </w:r>
      <w:r w:rsidRPr="7A10E631">
        <w:t>five years.</w:t>
      </w:r>
    </w:p>
    <w:p w14:paraId="5D180B32" w14:textId="6F05A2C0" w:rsidR="008D7A4C" w:rsidRDefault="00C82754" w:rsidP="008D7A4C">
      <w:pPr>
        <w:pStyle w:val="Body"/>
      </w:pPr>
      <w:r>
        <w:t>In addition</w:t>
      </w:r>
      <w:r w:rsidR="008D7A4C">
        <w:t>, f</w:t>
      </w:r>
      <w:r w:rsidR="008D7A4C" w:rsidRPr="7A10E631">
        <w:t xml:space="preserve">rom May 2018 Australian Government-subsidised </w:t>
      </w:r>
      <w:r w:rsidR="008D7A4C">
        <w:t xml:space="preserve">aged care </w:t>
      </w:r>
      <w:r w:rsidR="008D7A4C" w:rsidRPr="7A10E631">
        <w:t xml:space="preserve">providers were required to offer free influenza vaccination to all staff and volunteers. </w:t>
      </w:r>
    </w:p>
    <w:p w14:paraId="07016AB0" w14:textId="77777777" w:rsidR="008D7A4C" w:rsidRDefault="008D7A4C" w:rsidP="008D7A4C">
      <w:pPr>
        <w:pStyle w:val="Heading3"/>
        <w:rPr>
          <w:szCs w:val="32"/>
        </w:rPr>
      </w:pPr>
      <w:r w:rsidRPr="7A10E631">
        <w:t>Vaccine effectiveness</w:t>
      </w:r>
    </w:p>
    <w:p w14:paraId="5C66A7B2" w14:textId="77777777" w:rsidR="008D7A4C" w:rsidRPr="00803C0D" w:rsidRDefault="008D7A4C" w:rsidP="008D7A4C">
      <w:pPr>
        <w:pStyle w:val="Body"/>
      </w:pPr>
      <w:r w:rsidRPr="00803C0D">
        <w:t>Findings from the World Health Organization Collaborating Centre for Reference and Research on Influenza indicated moderate effectiveness of the influenza vaccine used in 2019.</w:t>
      </w:r>
    </w:p>
    <w:p w14:paraId="693C359F" w14:textId="1CA0BD38" w:rsidR="008D7A4C" w:rsidRPr="00803C0D" w:rsidRDefault="008D7A4C" w:rsidP="008D7A4C">
      <w:pPr>
        <w:pStyle w:val="Body"/>
      </w:pPr>
      <w:r w:rsidRPr="00803C0D">
        <w:t>Based on national data, vaccinated individuals were 46</w:t>
      </w:r>
      <w:r w:rsidR="002604B7">
        <w:rPr>
          <w:szCs w:val="21"/>
        </w:rPr>
        <w:t xml:space="preserve"> per cent</w:t>
      </w:r>
      <w:r w:rsidRPr="00803C0D">
        <w:t xml:space="preserve"> less likely to present to a general practitioner (GP) with </w:t>
      </w:r>
      <w:r w:rsidRPr="000F2D6C">
        <w:t xml:space="preserve">an </w:t>
      </w:r>
      <w:r w:rsidR="006B6EC9" w:rsidRPr="000F2D6C">
        <w:t>influenza</w:t>
      </w:r>
      <w:r w:rsidR="001810F5" w:rsidRPr="000F2D6C">
        <w:t>-</w:t>
      </w:r>
      <w:r w:rsidR="00DD1A7C" w:rsidRPr="000F2D6C">
        <w:t>like</w:t>
      </w:r>
      <w:r w:rsidR="00DD1A7C">
        <w:t xml:space="preserve"> illness (</w:t>
      </w:r>
      <w:r w:rsidRPr="00803C0D">
        <w:t>ILI</w:t>
      </w:r>
      <w:r w:rsidR="00DD1A7C">
        <w:t>)</w:t>
      </w:r>
      <w:r w:rsidRPr="00803C0D">
        <w:t xml:space="preserve"> and test positive for influenza</w:t>
      </w:r>
      <w:r w:rsidR="00C82754">
        <w:t xml:space="preserve"> and</w:t>
      </w:r>
      <w:r w:rsidRPr="00803C0D">
        <w:t xml:space="preserve"> 43</w:t>
      </w:r>
      <w:r w:rsidR="008F219A">
        <w:rPr>
          <w:szCs w:val="21"/>
        </w:rPr>
        <w:t xml:space="preserve"> per cent</w:t>
      </w:r>
      <w:r w:rsidRPr="00803C0D">
        <w:t xml:space="preserve"> less likely to be hospitalised due to influenza, compared to unvaccinated individuals. </w:t>
      </w:r>
    </w:p>
    <w:p w14:paraId="45E20C6C" w14:textId="77777777" w:rsidR="008D7A4C" w:rsidRPr="00803C0D" w:rsidRDefault="008D7A4C" w:rsidP="008D7A4C">
      <w:pPr>
        <w:pStyle w:val="Body"/>
      </w:pPr>
      <w:r w:rsidRPr="00803C0D">
        <w:t>The Influenza A strains contained within the vaccine w</w:t>
      </w:r>
      <w:r>
        <w:t>ere</w:t>
      </w:r>
      <w:r w:rsidRPr="00803C0D">
        <w:t xml:space="preserve"> replaced for the 2020 southern hemisphere influenza season.</w:t>
      </w:r>
    </w:p>
    <w:p w14:paraId="0C036826" w14:textId="77777777" w:rsidR="008D7A4C" w:rsidRPr="00803C0D" w:rsidRDefault="008D7A4C" w:rsidP="008D7A4C">
      <w:pPr>
        <w:pStyle w:val="Body"/>
      </w:pPr>
      <w:r w:rsidRPr="00803C0D">
        <w:t>The prolonged</w:t>
      </w:r>
      <w:r>
        <w:t xml:space="preserve"> </w:t>
      </w:r>
      <w:r w:rsidRPr="00803C0D">
        <w:t xml:space="preserve">influenza </w:t>
      </w:r>
      <w:r>
        <w:t xml:space="preserve">season </w:t>
      </w:r>
      <w:r w:rsidRPr="00803C0D">
        <w:t>in 201</w:t>
      </w:r>
      <w:r>
        <w:t>9</w:t>
      </w:r>
      <w:r w:rsidRPr="00803C0D">
        <w:t xml:space="preserve"> placed pressure on all areas of the Victorian health system.</w:t>
      </w:r>
    </w:p>
    <w:p w14:paraId="79BF3645" w14:textId="77777777" w:rsidR="008D7A4C" w:rsidRPr="00803C0D" w:rsidRDefault="008D7A4C" w:rsidP="008D7A4C">
      <w:pPr>
        <w:pStyle w:val="Body"/>
      </w:pPr>
      <w:r>
        <w:t>Future enhancements to influenza d</w:t>
      </w:r>
      <w:r w:rsidRPr="00803C0D">
        <w:t xml:space="preserve">ata collection </w:t>
      </w:r>
      <w:r>
        <w:t>and linkage with hospitalisation and mortality datasets will be integral to ensuring</w:t>
      </w:r>
      <w:r w:rsidRPr="00803C0D">
        <w:t xml:space="preserve"> early warning</w:t>
      </w:r>
      <w:r>
        <w:t xml:space="preserve">, </w:t>
      </w:r>
      <w:r w:rsidRPr="00803C0D">
        <w:t xml:space="preserve">appropriate </w:t>
      </w:r>
      <w:r>
        <w:t>planning and action</w:t>
      </w:r>
      <w:r w:rsidRPr="00803C0D">
        <w:t xml:space="preserve"> for future influenza seasons.</w:t>
      </w:r>
    </w:p>
    <w:p w14:paraId="2CD29C99" w14:textId="08CEEA56" w:rsidR="001F7568" w:rsidRDefault="001F7568" w:rsidP="001F7568">
      <w:pPr>
        <w:pStyle w:val="Heading2"/>
        <w:rPr>
          <w:bCs/>
          <w:szCs w:val="32"/>
        </w:rPr>
      </w:pPr>
      <w:r>
        <w:t>Measles</w:t>
      </w:r>
    </w:p>
    <w:p w14:paraId="37CA928D" w14:textId="2AE1DD26" w:rsidR="00C82754" w:rsidRDefault="001F7568" w:rsidP="001F7568">
      <w:pPr>
        <w:rPr>
          <w:color w:val="333333"/>
          <w:shd w:val="clear" w:color="auto" w:fill="FFFFFF"/>
        </w:rPr>
      </w:pPr>
      <w:r>
        <w:rPr>
          <w:color w:val="333333"/>
          <w:shd w:val="clear" w:color="auto" w:fill="FFFFFF"/>
        </w:rPr>
        <w:t>In Victoria, there were 57 notified measles cases in 2019</w:t>
      </w:r>
      <w:r w:rsidR="00C82754">
        <w:rPr>
          <w:color w:val="333333"/>
          <w:shd w:val="clear" w:color="auto" w:fill="FFFFFF"/>
        </w:rPr>
        <w:t xml:space="preserve"> –</w:t>
      </w:r>
      <w:r>
        <w:rPr>
          <w:color w:val="333333"/>
          <w:shd w:val="clear" w:color="auto" w:fill="FFFFFF"/>
        </w:rPr>
        <w:t xml:space="preserve"> the most since 2014. </w:t>
      </w:r>
    </w:p>
    <w:p w14:paraId="369F50A2" w14:textId="6C409BFF" w:rsidR="00C82754" w:rsidRDefault="001F7568" w:rsidP="001F7568">
      <w:pPr>
        <w:rPr>
          <w:color w:val="333333"/>
          <w:shd w:val="clear" w:color="auto" w:fill="FFFFFF"/>
        </w:rPr>
      </w:pPr>
      <w:r>
        <w:rPr>
          <w:color w:val="333333"/>
          <w:shd w:val="clear" w:color="auto" w:fill="FFFFFF"/>
        </w:rPr>
        <w:t>Th</w:t>
      </w:r>
      <w:r w:rsidR="00C82754">
        <w:rPr>
          <w:color w:val="333333"/>
          <w:shd w:val="clear" w:color="auto" w:fill="FFFFFF"/>
        </w:rPr>
        <w:t>e</w:t>
      </w:r>
      <w:r>
        <w:rPr>
          <w:color w:val="333333"/>
          <w:shd w:val="clear" w:color="auto" w:fill="FFFFFF"/>
        </w:rPr>
        <w:t xml:space="preserve"> increase </w:t>
      </w:r>
      <w:r w:rsidR="00C82754">
        <w:rPr>
          <w:color w:val="333333"/>
          <w:shd w:val="clear" w:color="auto" w:fill="FFFFFF"/>
        </w:rPr>
        <w:t xml:space="preserve">in local measles cases coincided with </w:t>
      </w:r>
      <w:r>
        <w:rPr>
          <w:color w:val="333333"/>
          <w:shd w:val="clear" w:color="auto" w:fill="FFFFFF"/>
        </w:rPr>
        <w:t xml:space="preserve">a global rise in measles </w:t>
      </w:r>
      <w:r w:rsidR="00C82754">
        <w:rPr>
          <w:color w:val="333333"/>
          <w:shd w:val="clear" w:color="auto" w:fill="FFFFFF"/>
        </w:rPr>
        <w:t xml:space="preserve">– with international </w:t>
      </w:r>
      <w:r>
        <w:rPr>
          <w:color w:val="333333"/>
          <w:shd w:val="clear" w:color="auto" w:fill="FFFFFF"/>
        </w:rPr>
        <w:t xml:space="preserve">cases and deaths </w:t>
      </w:r>
      <w:r w:rsidR="00C82754">
        <w:rPr>
          <w:color w:val="333333"/>
          <w:shd w:val="clear" w:color="auto" w:fill="FFFFFF"/>
        </w:rPr>
        <w:t xml:space="preserve">at their </w:t>
      </w:r>
      <w:r>
        <w:rPr>
          <w:color w:val="333333"/>
          <w:shd w:val="clear" w:color="auto" w:fill="FFFFFF"/>
        </w:rPr>
        <w:t xml:space="preserve">highest level in 23 years </w:t>
      </w:r>
      <w:r w:rsidR="0011683D">
        <w:rPr>
          <w:color w:val="333333"/>
          <w:shd w:val="clear" w:color="auto" w:fill="FFFFFF"/>
        </w:rPr>
        <w:t>(Patel</w:t>
      </w:r>
      <w:r w:rsidR="002D186B">
        <w:rPr>
          <w:color w:val="333333"/>
          <w:shd w:val="clear" w:color="auto" w:fill="FFFFFF"/>
        </w:rPr>
        <w:t xml:space="preserve"> </w:t>
      </w:r>
      <w:r w:rsidR="002D186B" w:rsidRPr="00C953A7">
        <w:rPr>
          <w:color w:val="333333"/>
          <w:shd w:val="clear" w:color="auto" w:fill="FFFFFF"/>
        </w:rPr>
        <w:t>et al</w:t>
      </w:r>
      <w:r w:rsidR="002D186B">
        <w:rPr>
          <w:color w:val="333333"/>
          <w:shd w:val="clear" w:color="auto" w:fill="FFFFFF"/>
        </w:rPr>
        <w:t>, 2020</w:t>
      </w:r>
      <w:r w:rsidR="00D63BEB">
        <w:rPr>
          <w:color w:val="333333"/>
          <w:shd w:val="clear" w:color="auto" w:fill="FFFFFF"/>
        </w:rPr>
        <w:t>)</w:t>
      </w:r>
      <w:r>
        <w:rPr>
          <w:color w:val="333333"/>
          <w:shd w:val="clear" w:color="auto" w:fill="FFFFFF"/>
        </w:rPr>
        <w:t xml:space="preserve">. All Victorian cases were either acquired overseas or could be linked back to measles cases who had travelled overseas. </w:t>
      </w:r>
    </w:p>
    <w:p w14:paraId="065FAE56" w14:textId="05AD8625" w:rsidR="00C82754" w:rsidRDefault="001F7568" w:rsidP="001F7568">
      <w:pPr>
        <w:rPr>
          <w:color w:val="333333"/>
          <w:shd w:val="clear" w:color="auto" w:fill="FFFFFF"/>
        </w:rPr>
      </w:pPr>
      <w:r>
        <w:rPr>
          <w:color w:val="333333"/>
          <w:shd w:val="clear" w:color="auto" w:fill="FFFFFF"/>
        </w:rPr>
        <w:t xml:space="preserve">Two large </w:t>
      </w:r>
      <w:r w:rsidR="00C82754">
        <w:rPr>
          <w:color w:val="333333"/>
          <w:shd w:val="clear" w:color="auto" w:fill="FFFFFF"/>
        </w:rPr>
        <w:t xml:space="preserve">measles </w:t>
      </w:r>
      <w:r>
        <w:rPr>
          <w:color w:val="333333"/>
          <w:shd w:val="clear" w:color="auto" w:fill="FFFFFF"/>
        </w:rPr>
        <w:t>clusters accounted for many of the infections</w:t>
      </w:r>
      <w:r w:rsidR="00C82754">
        <w:rPr>
          <w:color w:val="333333"/>
          <w:shd w:val="clear" w:color="auto" w:fill="FFFFFF"/>
        </w:rPr>
        <w:t xml:space="preserve">. </w:t>
      </w:r>
    </w:p>
    <w:p w14:paraId="03837C55" w14:textId="2E67E51E" w:rsidR="00C82754" w:rsidRDefault="00C82754" w:rsidP="001F7568">
      <w:pPr>
        <w:rPr>
          <w:color w:val="333333"/>
          <w:shd w:val="clear" w:color="auto" w:fill="FFFFFF"/>
        </w:rPr>
      </w:pPr>
      <w:r>
        <w:rPr>
          <w:color w:val="333333"/>
          <w:shd w:val="clear" w:color="auto" w:fill="FFFFFF"/>
        </w:rPr>
        <w:t>O</w:t>
      </w:r>
      <w:r w:rsidR="001F7568">
        <w:rPr>
          <w:color w:val="333333"/>
          <w:shd w:val="clear" w:color="auto" w:fill="FFFFFF"/>
        </w:rPr>
        <w:t xml:space="preserve">ne </w:t>
      </w:r>
      <w:r>
        <w:rPr>
          <w:color w:val="333333"/>
          <w:shd w:val="clear" w:color="auto" w:fill="FFFFFF"/>
        </w:rPr>
        <w:t xml:space="preserve">cluster had 11 </w:t>
      </w:r>
      <w:r w:rsidR="001F7568">
        <w:rPr>
          <w:color w:val="333333"/>
          <w:shd w:val="clear" w:color="auto" w:fill="FFFFFF"/>
        </w:rPr>
        <w:t xml:space="preserve">cases, with the index case a traveller from Vietnam who attended several social functions </w:t>
      </w:r>
      <w:r>
        <w:rPr>
          <w:color w:val="333333"/>
          <w:shd w:val="clear" w:color="auto" w:fill="FFFFFF"/>
        </w:rPr>
        <w:t>(</w:t>
      </w:r>
      <w:r w:rsidR="001F7568">
        <w:rPr>
          <w:color w:val="333333"/>
          <w:shd w:val="clear" w:color="auto" w:fill="FFFFFF"/>
        </w:rPr>
        <w:t>whilst unknowingly infectious</w:t>
      </w:r>
      <w:r>
        <w:rPr>
          <w:color w:val="333333"/>
          <w:shd w:val="clear" w:color="auto" w:fill="FFFFFF"/>
        </w:rPr>
        <w:t>)</w:t>
      </w:r>
      <w:r w:rsidR="001F7568">
        <w:rPr>
          <w:color w:val="333333"/>
          <w:shd w:val="clear" w:color="auto" w:fill="FFFFFF"/>
        </w:rPr>
        <w:t xml:space="preserve"> during his stay in Victoria</w:t>
      </w:r>
      <w:r>
        <w:rPr>
          <w:color w:val="333333"/>
          <w:shd w:val="clear" w:color="auto" w:fill="FFFFFF"/>
        </w:rPr>
        <w:t xml:space="preserve">. </w:t>
      </w:r>
    </w:p>
    <w:p w14:paraId="35498D51" w14:textId="000D81A6" w:rsidR="00C82754" w:rsidRDefault="00C82754" w:rsidP="001F7568">
      <w:pPr>
        <w:rPr>
          <w:color w:val="333333"/>
          <w:shd w:val="clear" w:color="auto" w:fill="FFFFFF"/>
        </w:rPr>
      </w:pPr>
      <w:r>
        <w:rPr>
          <w:color w:val="333333"/>
          <w:shd w:val="clear" w:color="auto" w:fill="FFFFFF"/>
        </w:rPr>
        <w:t xml:space="preserve">The </w:t>
      </w:r>
      <w:r w:rsidR="001F7568">
        <w:rPr>
          <w:color w:val="333333"/>
          <w:shd w:val="clear" w:color="auto" w:fill="FFFFFF"/>
        </w:rPr>
        <w:t xml:space="preserve">other cluster of eight </w:t>
      </w:r>
      <w:r>
        <w:rPr>
          <w:color w:val="333333"/>
          <w:shd w:val="clear" w:color="auto" w:fill="FFFFFF"/>
        </w:rPr>
        <w:t xml:space="preserve">measles </w:t>
      </w:r>
      <w:r w:rsidR="001F7568">
        <w:rPr>
          <w:color w:val="333333"/>
          <w:shd w:val="clear" w:color="auto" w:fill="FFFFFF"/>
        </w:rPr>
        <w:t xml:space="preserve">cases </w:t>
      </w:r>
      <w:r>
        <w:rPr>
          <w:color w:val="333333"/>
          <w:shd w:val="clear" w:color="auto" w:fill="FFFFFF"/>
        </w:rPr>
        <w:t xml:space="preserve">was </w:t>
      </w:r>
      <w:r w:rsidR="001F7568">
        <w:rPr>
          <w:color w:val="333333"/>
          <w:shd w:val="clear" w:color="auto" w:fill="FFFFFF"/>
        </w:rPr>
        <w:t xml:space="preserve">among seasonal </w:t>
      </w:r>
      <w:r w:rsidR="009C633B">
        <w:rPr>
          <w:color w:val="333333"/>
          <w:shd w:val="clear" w:color="auto" w:fill="FFFFFF"/>
        </w:rPr>
        <w:t xml:space="preserve">agricultural </w:t>
      </w:r>
      <w:r w:rsidR="001F7568">
        <w:rPr>
          <w:color w:val="333333"/>
          <w:shd w:val="clear" w:color="auto" w:fill="FFFFFF"/>
        </w:rPr>
        <w:t>workers from Samoa. In late 2019</w:t>
      </w:r>
      <w:r>
        <w:rPr>
          <w:color w:val="333333"/>
          <w:shd w:val="clear" w:color="auto" w:fill="FFFFFF"/>
        </w:rPr>
        <w:t>,</w:t>
      </w:r>
      <w:r w:rsidR="001F7568">
        <w:rPr>
          <w:color w:val="333333"/>
          <w:shd w:val="clear" w:color="auto" w:fill="FFFFFF"/>
        </w:rPr>
        <w:t xml:space="preserve"> Samoa experienced a large measles outbreak with many cases and deaths, especially among young children. </w:t>
      </w:r>
    </w:p>
    <w:p w14:paraId="139BDA7A" w14:textId="6C8EB143" w:rsidR="00C82754" w:rsidRDefault="001F7568" w:rsidP="001F7568">
      <w:pPr>
        <w:rPr>
          <w:color w:val="333333"/>
          <w:shd w:val="clear" w:color="auto" w:fill="FFFFFF"/>
        </w:rPr>
      </w:pPr>
      <w:r>
        <w:rPr>
          <w:color w:val="333333"/>
          <w:shd w:val="clear" w:color="auto" w:fill="FFFFFF"/>
        </w:rPr>
        <w:t>The ages of the Victorian measles cases in 2019 ranged from 10 months to 54 years, with a median of 28 years. Of those aged over 12 months, nine were not vaccinated</w:t>
      </w:r>
      <w:r w:rsidR="00C82754">
        <w:rPr>
          <w:color w:val="333333"/>
          <w:shd w:val="clear" w:color="auto" w:fill="FFFFFF"/>
        </w:rPr>
        <w:t xml:space="preserve">. Another </w:t>
      </w:r>
      <w:r>
        <w:rPr>
          <w:color w:val="333333"/>
          <w:shd w:val="clear" w:color="auto" w:fill="FFFFFF"/>
        </w:rPr>
        <w:t xml:space="preserve">nine </w:t>
      </w:r>
      <w:r w:rsidR="00C82754">
        <w:rPr>
          <w:color w:val="333333"/>
          <w:shd w:val="clear" w:color="auto" w:fill="FFFFFF"/>
        </w:rPr>
        <w:t xml:space="preserve">cases had only </w:t>
      </w:r>
      <w:r>
        <w:rPr>
          <w:color w:val="333333"/>
          <w:shd w:val="clear" w:color="auto" w:fill="FFFFFF"/>
        </w:rPr>
        <w:t>received a single</w:t>
      </w:r>
      <w:r w:rsidR="00391F3C">
        <w:rPr>
          <w:color w:val="333333"/>
          <w:shd w:val="clear" w:color="auto" w:fill="FFFFFF"/>
        </w:rPr>
        <w:t xml:space="preserve"> dose of</w:t>
      </w:r>
      <w:r>
        <w:rPr>
          <w:color w:val="333333"/>
          <w:shd w:val="clear" w:color="auto" w:fill="FFFFFF"/>
        </w:rPr>
        <w:t xml:space="preserve"> </w:t>
      </w:r>
      <w:r w:rsidR="00C82754">
        <w:rPr>
          <w:color w:val="333333"/>
          <w:shd w:val="clear" w:color="auto" w:fill="FFFFFF"/>
        </w:rPr>
        <w:t xml:space="preserve">the </w:t>
      </w:r>
      <w:r>
        <w:rPr>
          <w:color w:val="333333"/>
          <w:shd w:val="clear" w:color="auto" w:fill="FFFFFF"/>
        </w:rPr>
        <w:t>measles vaccine</w:t>
      </w:r>
      <w:r w:rsidR="00391F3C">
        <w:rPr>
          <w:color w:val="333333"/>
          <w:shd w:val="clear" w:color="auto" w:fill="FFFFFF"/>
        </w:rPr>
        <w:t>.</w:t>
      </w:r>
      <w:r>
        <w:rPr>
          <w:color w:val="333333"/>
          <w:shd w:val="clear" w:color="auto" w:fill="FFFFFF"/>
        </w:rPr>
        <w:t xml:space="preserve"> </w:t>
      </w:r>
    </w:p>
    <w:p w14:paraId="0FFB8096" w14:textId="1143B07A" w:rsidR="001F7568" w:rsidRDefault="001F7568" w:rsidP="001F7568">
      <w:pPr>
        <w:rPr>
          <w:rFonts w:ascii="Calibri" w:hAnsi="Calibri"/>
          <w:color w:val="333333"/>
          <w:sz w:val="22"/>
          <w:shd w:val="clear" w:color="auto" w:fill="FFFFFF"/>
        </w:rPr>
      </w:pPr>
      <w:r>
        <w:rPr>
          <w:color w:val="333333"/>
          <w:shd w:val="clear" w:color="auto" w:fill="FFFFFF"/>
        </w:rPr>
        <w:t xml:space="preserve">For most adult cases, </w:t>
      </w:r>
      <w:r w:rsidR="00C82754">
        <w:rPr>
          <w:color w:val="333333"/>
          <w:shd w:val="clear" w:color="auto" w:fill="FFFFFF"/>
        </w:rPr>
        <w:t xml:space="preserve">their </w:t>
      </w:r>
      <w:r>
        <w:rPr>
          <w:color w:val="333333"/>
          <w:shd w:val="clear" w:color="auto" w:fill="FFFFFF"/>
        </w:rPr>
        <w:t>vaccination status was unable to be determined.</w:t>
      </w:r>
    </w:p>
    <w:p w14:paraId="56419633" w14:textId="7E267828" w:rsidR="001F7568" w:rsidRDefault="001810F5" w:rsidP="001F7568">
      <w:pPr>
        <w:rPr>
          <w:color w:val="333333"/>
          <w:shd w:val="clear" w:color="auto" w:fill="FFFFFF"/>
        </w:rPr>
      </w:pPr>
      <w:r>
        <w:rPr>
          <w:color w:val="333333"/>
          <w:shd w:val="clear" w:color="auto" w:fill="FFFFFF"/>
        </w:rPr>
        <w:t>Measles-Mumps-Rubella (</w:t>
      </w:r>
      <w:r w:rsidR="001F7568">
        <w:rPr>
          <w:color w:val="333333"/>
          <w:shd w:val="clear" w:color="auto" w:fill="FFFFFF"/>
        </w:rPr>
        <w:t>MMR</w:t>
      </w:r>
      <w:r>
        <w:rPr>
          <w:color w:val="333333"/>
          <w:shd w:val="clear" w:color="auto" w:fill="FFFFFF"/>
        </w:rPr>
        <w:t>)</w:t>
      </w:r>
      <w:r w:rsidR="001F7568">
        <w:rPr>
          <w:color w:val="333333"/>
          <w:shd w:val="clear" w:color="auto" w:fill="FFFFFF"/>
        </w:rPr>
        <w:t xml:space="preserve"> vaccine is free for all adults born during or since 1966 without documented evidence of their vaccine status. Two doses spaced by a minimum of 4 weeks is recommended. </w:t>
      </w:r>
    </w:p>
    <w:p w14:paraId="2D2C0AC1" w14:textId="77777777" w:rsidR="001F7568" w:rsidRDefault="001F7568" w:rsidP="001F7568">
      <w:pPr>
        <w:rPr>
          <w:color w:val="333333"/>
          <w:shd w:val="clear" w:color="auto" w:fill="FFFFFF"/>
        </w:rPr>
      </w:pPr>
      <w:r>
        <w:rPr>
          <w:color w:val="333333"/>
          <w:shd w:val="clear" w:color="auto" w:fill="FFFFFF"/>
        </w:rPr>
        <w:t>MMR vaccine is contraindicated for pregnant women and people who are immunosuppressed.</w:t>
      </w:r>
    </w:p>
    <w:p w14:paraId="1CD337CA" w14:textId="39082D4E" w:rsidR="00523719" w:rsidRDefault="0087012E" w:rsidP="0087012E">
      <w:pPr>
        <w:pStyle w:val="Heading2"/>
      </w:pPr>
      <w:r w:rsidRPr="0087012E">
        <w:lastRenderedPageBreak/>
        <w:t>Syphilis</w:t>
      </w:r>
    </w:p>
    <w:p w14:paraId="555D5AB3" w14:textId="10BBB2F3" w:rsidR="00D96A35" w:rsidRPr="00D96A35" w:rsidRDefault="00D96A35" w:rsidP="00D96A35">
      <w:pPr>
        <w:pStyle w:val="Body"/>
      </w:pPr>
      <w:r w:rsidRPr="00D96A35">
        <w:t xml:space="preserve">In 2019, there was a continued surge in cases of infectious syphilis in the Mildura </w:t>
      </w:r>
      <w:r w:rsidR="002000A1">
        <w:t>Local Government Area (</w:t>
      </w:r>
      <w:r w:rsidR="00C82754">
        <w:t>LGA</w:t>
      </w:r>
      <w:r w:rsidR="002000A1">
        <w:t>)</w:t>
      </w:r>
      <w:r w:rsidRPr="00D96A35">
        <w:t>, with 28 cases notified. Th</w:t>
      </w:r>
      <w:r w:rsidR="00C82754">
        <w:t>ere is</w:t>
      </w:r>
      <w:r w:rsidRPr="00D96A35">
        <w:t xml:space="preserve"> </w:t>
      </w:r>
      <w:r w:rsidR="00C82754">
        <w:t xml:space="preserve">a trend </w:t>
      </w:r>
      <w:r w:rsidRPr="00D96A35">
        <w:t>of increasing syphilis notifications across Victoria</w:t>
      </w:r>
      <w:r w:rsidR="00C82754">
        <w:t>,</w:t>
      </w:r>
      <w:r w:rsidRPr="00D96A35">
        <w:t xml:space="preserve"> however</w:t>
      </w:r>
      <w:r w:rsidR="00C82754">
        <w:t>,</w:t>
      </w:r>
      <w:r w:rsidRPr="00D96A35">
        <w:t xml:space="preserve"> the rate of infection in Mildura LGA (per 100,000 population) was twice the state-wide average. Case numbers in Mildura LGA began to rise in 2017, prior to which there had been an average of fewer than two cases notified per year since 2007.</w:t>
      </w:r>
    </w:p>
    <w:p w14:paraId="796D575F" w14:textId="01B22164" w:rsidR="00D96A35" w:rsidRPr="00D96A35" w:rsidRDefault="00D96A35" w:rsidP="00D96A35">
      <w:pPr>
        <w:pStyle w:val="Body"/>
      </w:pPr>
      <w:r w:rsidRPr="00D96A35">
        <w:t xml:space="preserve">Of the 28 cases notified in Mildura LGA in 2019, the majority were female, </w:t>
      </w:r>
      <w:r w:rsidR="0075445F">
        <w:t xml:space="preserve">and </w:t>
      </w:r>
      <w:r w:rsidRPr="00D96A35">
        <w:t>all were of reproductive age (15</w:t>
      </w:r>
      <w:r w:rsidR="0075445F">
        <w:t>-</w:t>
      </w:r>
      <w:r w:rsidRPr="00D96A35">
        <w:t>49 years). This contrasted with trends across the rest of Victoria</w:t>
      </w:r>
      <w:r w:rsidR="0075445F">
        <w:t>,</w:t>
      </w:r>
      <w:r w:rsidRPr="00D96A35">
        <w:t xml:space="preserve"> where males represented the overwhelming majority of notified infections.</w:t>
      </w:r>
    </w:p>
    <w:p w14:paraId="6287A2A7" w14:textId="77777777" w:rsidR="00D22BD3" w:rsidRPr="00D22BD3" w:rsidRDefault="00D22BD3" w:rsidP="00D22BD3">
      <w:r w:rsidRPr="00D22BD3">
        <w:t xml:space="preserve">Several key public health actions were taken in response to the increased cases in the Mildura area, including: </w:t>
      </w:r>
    </w:p>
    <w:p w14:paraId="0877D69C" w14:textId="77777777" w:rsidR="00D22BD3" w:rsidRPr="00D22BD3" w:rsidRDefault="00D22BD3" w:rsidP="00E073F1">
      <w:pPr>
        <w:pStyle w:val="Bullet1"/>
      </w:pPr>
      <w:r w:rsidRPr="00D22BD3">
        <w:t xml:space="preserve">communication with local healthcare providers and the Primary Health Network </w:t>
      </w:r>
    </w:p>
    <w:p w14:paraId="7870CE66" w14:textId="77777777" w:rsidR="00D22BD3" w:rsidRPr="00D22BD3" w:rsidRDefault="00D22BD3" w:rsidP="00E073F1">
      <w:pPr>
        <w:pStyle w:val="Bullet1"/>
      </w:pPr>
      <w:r w:rsidRPr="00D22BD3">
        <w:t>workforce education and support</w:t>
      </w:r>
    </w:p>
    <w:p w14:paraId="3028EC2E" w14:textId="7A2BE26E" w:rsidR="00D22BD3" w:rsidRPr="00D22BD3" w:rsidRDefault="00D22BD3" w:rsidP="00E073F1">
      <w:pPr>
        <w:pStyle w:val="Bullet1"/>
      </w:pPr>
      <w:r w:rsidRPr="00D22BD3">
        <w:t>public communications promoting syphilis awareness, prevention, testing</w:t>
      </w:r>
      <w:r w:rsidR="00815887">
        <w:t>,</w:t>
      </w:r>
      <w:r w:rsidRPr="00D22BD3">
        <w:t xml:space="preserve"> and treatment.</w:t>
      </w:r>
    </w:p>
    <w:p w14:paraId="75531945" w14:textId="69848895" w:rsidR="00D22BD3" w:rsidRPr="00D22BD3" w:rsidRDefault="00D22BD3" w:rsidP="00D22BD3">
      <w:r w:rsidRPr="00D22BD3">
        <w:t xml:space="preserve">Syphilis is a sexually transmissible infection caused by the bacterium </w:t>
      </w:r>
      <w:r w:rsidR="00815887">
        <w:rPr>
          <w:i/>
          <w:iCs/>
        </w:rPr>
        <w:t>t</w:t>
      </w:r>
      <w:r w:rsidRPr="00D22BD3">
        <w:rPr>
          <w:i/>
          <w:iCs/>
        </w:rPr>
        <w:t>reponema pallidum</w:t>
      </w:r>
      <w:r w:rsidRPr="00D22BD3">
        <w:t>. Syphilis is curable</w:t>
      </w:r>
      <w:r w:rsidR="00815887">
        <w:t>, but</w:t>
      </w:r>
      <w:r w:rsidRPr="00D22BD3">
        <w:t>, if untreated, can lead to serious complications. Syphilis during pregnancy can cause miscarriage, birth defects, and still births. Regular testing, early treatment, partner management</w:t>
      </w:r>
      <w:r w:rsidR="00815887">
        <w:t>,</w:t>
      </w:r>
      <w:r w:rsidRPr="00D22BD3">
        <w:t xml:space="preserve"> and practicing safe sex reduce</w:t>
      </w:r>
      <w:r w:rsidR="00815887">
        <w:t>s</w:t>
      </w:r>
      <w:r w:rsidRPr="00D22BD3">
        <w:t xml:space="preserve"> the risk of acquiring and spreading syphilis.</w:t>
      </w:r>
    </w:p>
    <w:p w14:paraId="7B656FA2" w14:textId="77777777" w:rsidR="00693828" w:rsidRDefault="00693828" w:rsidP="00693828">
      <w:pPr>
        <w:pStyle w:val="Heading2"/>
      </w:pPr>
      <w:bookmarkStart w:id="114" w:name="_Toc116981374"/>
      <w:r>
        <w:t>Improved processes and reporting for notifiable conditions</w:t>
      </w:r>
      <w:bookmarkEnd w:id="114"/>
      <w:r>
        <w:t xml:space="preserve"> </w:t>
      </w:r>
    </w:p>
    <w:p w14:paraId="62EBFC49" w14:textId="45107FEA" w:rsidR="00815887" w:rsidRDefault="00815887" w:rsidP="00693828">
      <w:pPr>
        <w:pStyle w:val="Body"/>
      </w:pPr>
      <w:r>
        <w:t>Globally, i</w:t>
      </w:r>
      <w:r w:rsidR="00693828">
        <w:t>nfectious diseases and other conditions of public health concern occur frequently</w:t>
      </w:r>
      <w:r>
        <w:t xml:space="preserve"> and require c</w:t>
      </w:r>
      <w:r w:rsidR="00693828">
        <w:t xml:space="preserve">onstant vigilance to minimise their spread. </w:t>
      </w:r>
    </w:p>
    <w:p w14:paraId="7D78885E" w14:textId="19A17AAD" w:rsidR="00693828" w:rsidRDefault="00693828" w:rsidP="00693828">
      <w:pPr>
        <w:pStyle w:val="Body"/>
      </w:pPr>
      <w:r>
        <w:t xml:space="preserve">Notification is a vital step in efforts to enable public health action to control the spread of infection and prevent further harmful exposures.  </w:t>
      </w:r>
    </w:p>
    <w:p w14:paraId="14147B5B" w14:textId="015DE594" w:rsidR="00693828" w:rsidRDefault="00693828" w:rsidP="00693828">
      <w:pPr>
        <w:pStyle w:val="Body"/>
      </w:pPr>
      <w:r>
        <w:t xml:space="preserve">Medical practitioners and pathology services continue to play a vital role in protecting public health by notifying cases of specific infectious diseases and other medical conditions to the Department of Health. This notification is required under the </w:t>
      </w:r>
      <w:r w:rsidRPr="75383307">
        <w:rPr>
          <w:i/>
          <w:iCs/>
        </w:rPr>
        <w:t>Public Health and Wellbeing Act 2008</w:t>
      </w:r>
      <w:r>
        <w:t xml:space="preserve">. </w:t>
      </w:r>
    </w:p>
    <w:p w14:paraId="70CD199D" w14:textId="25081BC9" w:rsidR="00693828" w:rsidRDefault="00693828" w:rsidP="00693828">
      <w:pPr>
        <w:pStyle w:val="Body"/>
      </w:pPr>
      <w:r>
        <w:t xml:space="preserve">Notification </w:t>
      </w:r>
      <w:r w:rsidR="00815887">
        <w:t>under the Act</w:t>
      </w:r>
      <w:r>
        <w:t xml:space="preserve">: </w:t>
      </w:r>
    </w:p>
    <w:p w14:paraId="075C87C9" w14:textId="3EE92EBC" w:rsidR="00693828" w:rsidRDefault="00693828" w:rsidP="00E073F1">
      <w:pPr>
        <w:pStyle w:val="Bullet1"/>
      </w:pPr>
      <w:r>
        <w:t>provides a crucial early warning of potential threat</w:t>
      </w:r>
      <w:r w:rsidR="00815887">
        <w:t>s</w:t>
      </w:r>
      <w:r>
        <w:t xml:space="preserve"> to public health </w:t>
      </w:r>
    </w:p>
    <w:p w14:paraId="03D1E54B" w14:textId="77777777" w:rsidR="00693828" w:rsidRDefault="00693828" w:rsidP="00E073F1">
      <w:pPr>
        <w:pStyle w:val="Bullet1"/>
      </w:pPr>
      <w:r>
        <w:t xml:space="preserve">enables the department to respond to prevent or control the spread of disease </w:t>
      </w:r>
    </w:p>
    <w:p w14:paraId="2656155C" w14:textId="77777777" w:rsidR="00693828" w:rsidRDefault="00693828" w:rsidP="00E073F1">
      <w:pPr>
        <w:pStyle w:val="Bullet1"/>
      </w:pPr>
      <w:r>
        <w:t xml:space="preserve">allows for the identification of emerging trends and the implementation of appropriate policy responses and public health interventions. </w:t>
      </w:r>
    </w:p>
    <w:p w14:paraId="4F7E3D38" w14:textId="70A0F517" w:rsidR="00693828" w:rsidRDefault="00693828" w:rsidP="00693828">
      <w:pPr>
        <w:pStyle w:val="Body"/>
      </w:pPr>
      <w:r>
        <w:t xml:space="preserve">In 2019, the department </w:t>
      </w:r>
      <w:r w:rsidR="00316E74">
        <w:t xml:space="preserve">began </w:t>
      </w:r>
      <w:r>
        <w:t>the gradual implementation of electronic reporting of test results for pathology services</w:t>
      </w:r>
      <w:r w:rsidR="00316E74">
        <w:t>. The purpose of this reform is</w:t>
      </w:r>
      <w:r>
        <w:t xml:space="preserve"> to </w:t>
      </w:r>
      <w:r w:rsidR="00316E74">
        <w:t xml:space="preserve">enable </w:t>
      </w:r>
      <w:r>
        <w:t>prompt notification</w:t>
      </w:r>
      <w:r w:rsidR="00316E74">
        <w:t xml:space="preserve">, as well as </w:t>
      </w:r>
      <w:r>
        <w:t>more timely surveillance and monitoring. Electronic notifications will simplify the notification process for pathology services to fulfil legal requirements to notify positive pathology results to the department.</w:t>
      </w:r>
    </w:p>
    <w:p w14:paraId="38FF5C2B" w14:textId="2D13CABC" w:rsidR="00693828" w:rsidRDefault="00693828" w:rsidP="00693828">
      <w:pPr>
        <w:pStyle w:val="Body"/>
      </w:pPr>
      <w:r>
        <w:t>The department has continued to develop secure online reporting of notifiable conditions for medical practitioners. The online forms now capture more detailed</w:t>
      </w:r>
      <w:r w:rsidR="00316E74">
        <w:t>,</w:t>
      </w:r>
      <w:r>
        <w:t xml:space="preserve"> disease specific information at the time on initial notification</w:t>
      </w:r>
      <w:r w:rsidR="00316E74">
        <w:t>,</w:t>
      </w:r>
      <w:r>
        <w:t xml:space="preserve"> which supports earlier response and interventions.</w:t>
      </w:r>
    </w:p>
    <w:p w14:paraId="377FBAC2" w14:textId="45FD5F57" w:rsidR="00693828" w:rsidRDefault="00693828" w:rsidP="00693828">
      <w:pPr>
        <w:pStyle w:val="Body"/>
      </w:pPr>
      <w:r>
        <w:t xml:space="preserve">Further details on notifiable conditions and links to notify are available on the department’s website </w:t>
      </w:r>
      <w:hyperlink r:id="rId99" w:history="1">
        <w:r w:rsidR="00D61C06">
          <w:rPr>
            <w:rStyle w:val="Hyperlink"/>
          </w:rPr>
          <w:t>health.vic.gov.au/notify</w:t>
        </w:r>
      </w:hyperlink>
      <w:r w:rsidR="00D61C06">
        <w:t xml:space="preserve"> </w:t>
      </w:r>
      <w:r>
        <w:t>&lt;</w:t>
      </w:r>
      <w:r w:rsidR="00D61C06" w:rsidRPr="00D61C06">
        <w:t>https://www.health.vic.gov.au/infectious-diseases/notifiable-infectious-diseases-conditions-and-micro-organisms</w:t>
      </w:r>
      <w:r>
        <w:t>&gt;.</w:t>
      </w:r>
    </w:p>
    <w:p w14:paraId="3A2C75D9" w14:textId="4D368A3C" w:rsidR="00693828" w:rsidRDefault="00693828" w:rsidP="00693828">
      <w:pPr>
        <w:pStyle w:val="Body"/>
      </w:pPr>
      <w:r>
        <w:lastRenderedPageBreak/>
        <w:t xml:space="preserve">Prior to 2019, the department's Health Protection Branch </w:t>
      </w:r>
      <w:r w:rsidR="00316E74">
        <w:t xml:space="preserve">had </w:t>
      </w:r>
      <w:r>
        <w:t>produc</w:t>
      </w:r>
      <w:r w:rsidR="00316E74">
        <w:t>ed</w:t>
      </w:r>
      <w:r>
        <w:t xml:space="preserve"> more than 200 </w:t>
      </w:r>
      <w:r w:rsidR="00316E74">
        <w:t xml:space="preserve">daily </w:t>
      </w:r>
      <w:r>
        <w:t>reports on notifiable conditions for almost 20 years. These daily reports provided surveillance data on communicable diseases and other conditions notifiable under public health and wellbeing legislation at state</w:t>
      </w:r>
      <w:r w:rsidR="00316E74">
        <w:t>-</w:t>
      </w:r>
      <w:r>
        <w:t xml:space="preserve">wide and local government levels.  </w:t>
      </w:r>
    </w:p>
    <w:p w14:paraId="56B1E9B6" w14:textId="5BBF5701" w:rsidR="00693828" w:rsidRDefault="00693828" w:rsidP="00693828">
      <w:pPr>
        <w:pStyle w:val="Body"/>
      </w:pPr>
      <w:r>
        <w:t xml:space="preserve">During 2019, the branch fully transitioned from the 200 fixed PDF and Excel reports to the new interactive reporting </w:t>
      </w:r>
      <w:r w:rsidR="00316E74">
        <w:t xml:space="preserve">platform </w:t>
      </w:r>
      <w:r>
        <w:t xml:space="preserve">powered by Microsoft's Power BI platform.  </w:t>
      </w:r>
    </w:p>
    <w:p w14:paraId="025FC9D5" w14:textId="4D634C75" w:rsidR="00693828" w:rsidRDefault="00693828" w:rsidP="00693828">
      <w:pPr>
        <w:pStyle w:val="Body"/>
      </w:pPr>
      <w:r>
        <w:t>This new platform allows the branch to publish content directly to the web more efficiently</w:t>
      </w:r>
      <w:r w:rsidR="00316E74">
        <w:t xml:space="preserve">. In addition, the data is more interactive. </w:t>
      </w:r>
    </w:p>
    <w:p w14:paraId="2FCE9445" w14:textId="72DDB11E" w:rsidR="00693828" w:rsidRDefault="00693828" w:rsidP="00693828">
      <w:pPr>
        <w:pStyle w:val="Body"/>
      </w:pPr>
      <w:r>
        <w:t xml:space="preserve">The reports have enhanced </w:t>
      </w:r>
      <w:r w:rsidR="00316E74">
        <w:t xml:space="preserve">the </w:t>
      </w:r>
      <w:r>
        <w:t>user experience for health sector</w:t>
      </w:r>
      <w:r w:rsidR="00316E74">
        <w:t xml:space="preserve"> and</w:t>
      </w:r>
      <w:r>
        <w:t xml:space="preserve"> local government</w:t>
      </w:r>
      <w:r w:rsidR="00316E74">
        <w:t xml:space="preserve"> workers</w:t>
      </w:r>
      <w:r>
        <w:t xml:space="preserve">, </w:t>
      </w:r>
      <w:r w:rsidR="00316E74">
        <w:t xml:space="preserve">as well as </w:t>
      </w:r>
      <w:r>
        <w:t>researchers and students</w:t>
      </w:r>
      <w:r w:rsidR="00316E74">
        <w:t xml:space="preserve">. </w:t>
      </w:r>
      <w:r>
        <w:t xml:space="preserve"> </w:t>
      </w:r>
    </w:p>
    <w:p w14:paraId="231AF522" w14:textId="42E30990" w:rsidR="00693828" w:rsidRDefault="00693828" w:rsidP="0054388C">
      <w:pPr>
        <w:pStyle w:val="Body"/>
        <w:spacing w:after="240"/>
      </w:pPr>
      <w:r>
        <w:t xml:space="preserve">Visit the </w:t>
      </w:r>
      <w:hyperlink r:id="rId100">
        <w:r w:rsidRPr="75383307">
          <w:rPr>
            <w:rStyle w:val="Hyperlink"/>
          </w:rPr>
          <w:t>interactive communicable disease reports</w:t>
        </w:r>
      </w:hyperlink>
      <w:r>
        <w:t>.</w:t>
      </w:r>
      <w:r w:rsidR="003871BA">
        <w:t xml:space="preserve"> webpage a</w:t>
      </w:r>
      <w:r w:rsidR="001165EC">
        <w:t>vailable at</w:t>
      </w:r>
      <w:r w:rsidR="000F2D6C">
        <w:t xml:space="preserve"> </w:t>
      </w:r>
      <w:r w:rsidR="00851322" w:rsidRPr="00851322">
        <w:rPr>
          <w:color w:val="000000" w:themeColor="text1"/>
        </w:rPr>
        <w:t>&lt;</w:t>
      </w:r>
      <w:hyperlink r:id="rId101" w:history="1">
        <w:r w:rsidR="00851322" w:rsidRPr="00851322">
          <w:rPr>
            <w:rStyle w:val="Hyperlink"/>
            <w:color w:val="000000" w:themeColor="text1"/>
            <w:u w:val="none"/>
          </w:rPr>
          <w:t>https://www.health.vic.gov.au/infectious-diseases/interactive-infectious-disease-reports</w:t>
        </w:r>
      </w:hyperlink>
      <w:r w:rsidR="00851322">
        <w:t>&gt;.</w:t>
      </w:r>
    </w:p>
    <w:p w14:paraId="58D71088" w14:textId="77777777" w:rsidR="000B75F4" w:rsidRDefault="000B75F4" w:rsidP="000B75F4">
      <w:pPr>
        <w:spacing w:after="0" w:line="240" w:lineRule="auto"/>
        <w:rPr>
          <w:rFonts w:eastAsia="MS Mincho"/>
          <w:b/>
          <w:bCs/>
          <w:color w:val="000000"/>
          <w:szCs w:val="21"/>
        </w:rPr>
      </w:pPr>
      <w:r w:rsidRPr="36A6EA1A">
        <w:rPr>
          <w:rFonts w:eastAsia="MS Mincho"/>
          <w:b/>
          <w:bCs/>
          <w:color w:val="000000" w:themeColor="text1"/>
          <w:szCs w:val="21"/>
        </w:rPr>
        <w:t xml:space="preserve">References </w:t>
      </w:r>
    </w:p>
    <w:p w14:paraId="4DA2064D" w14:textId="745F1F6D" w:rsidR="000B75F4" w:rsidRPr="00FC4CE9" w:rsidRDefault="000B75F4" w:rsidP="000B75F4">
      <w:pPr>
        <w:rPr>
          <w:rFonts w:eastAsia="Times"/>
        </w:rPr>
      </w:pPr>
      <w:r w:rsidRPr="00FC4CE9">
        <w:rPr>
          <w:rFonts w:eastAsia="Times"/>
        </w:rPr>
        <w:t>Australian Bureau of Statistics 2020 3303.0 Causes of Death, Victoria, 2019</w:t>
      </w:r>
      <w:r w:rsidR="00316E74">
        <w:rPr>
          <w:rFonts w:eastAsia="Times"/>
        </w:rPr>
        <w:t>.</w:t>
      </w:r>
    </w:p>
    <w:p w14:paraId="5BD88A18" w14:textId="1F9B6C45" w:rsidR="000B75F4" w:rsidRPr="00FC4CE9" w:rsidRDefault="00000000" w:rsidP="000B75F4">
      <w:pPr>
        <w:rPr>
          <w:rFonts w:eastAsia="Times"/>
          <w:szCs w:val="21"/>
        </w:rPr>
      </w:pPr>
      <w:hyperlink r:id="rId102">
        <w:r w:rsidR="000B75F4" w:rsidRPr="00FC4CE9">
          <w:rPr>
            <w:rFonts w:eastAsia="Times"/>
            <w:color w:val="004C97"/>
            <w:u w:val="dotted"/>
          </w:rPr>
          <w:t>Australian Sentinel Practitioners Research Network</w:t>
        </w:r>
      </w:hyperlink>
      <w:r w:rsidR="000B75F4" w:rsidRPr="00FC4CE9">
        <w:rPr>
          <w:rFonts w:eastAsia="Times"/>
        </w:rPr>
        <w:t xml:space="preserve"> (ASPREN)</w:t>
      </w:r>
      <w:r w:rsidR="005F0A47">
        <w:rPr>
          <w:rFonts w:eastAsia="Times"/>
        </w:rPr>
        <w:t xml:space="preserve">. </w:t>
      </w:r>
      <w:r w:rsidR="001165EC">
        <w:rPr>
          <w:rFonts w:eastAsia="Times"/>
        </w:rPr>
        <w:t xml:space="preserve">Available at </w:t>
      </w:r>
      <w:r w:rsidR="00DC0E10" w:rsidRPr="00DC0E10">
        <w:rPr>
          <w:rFonts w:eastAsia="Times"/>
        </w:rPr>
        <w:t>&lt;</w:t>
      </w:r>
      <w:r w:rsidR="000B75F4" w:rsidRPr="00DC0E10">
        <w:rPr>
          <w:rFonts w:eastAsia="Times"/>
        </w:rPr>
        <w:t>https://aspren.dmac.adelaide.edu.au/</w:t>
      </w:r>
      <w:r w:rsidR="00DC0E10" w:rsidRPr="00DC0E10">
        <w:rPr>
          <w:rFonts w:eastAsia="Times"/>
        </w:rPr>
        <w:t>&gt;</w:t>
      </w:r>
      <w:r w:rsidR="00404BA0">
        <w:rPr>
          <w:rFonts w:eastAsia="Times"/>
        </w:rPr>
        <w:t>.</w:t>
      </w:r>
    </w:p>
    <w:p w14:paraId="1D36978F" w14:textId="66F6E51D" w:rsidR="000B75F4" w:rsidRPr="00B47A58" w:rsidRDefault="000B75F4" w:rsidP="000B75F4">
      <w:pPr>
        <w:spacing w:before="100" w:beforeAutospacing="1" w:after="100" w:afterAutospacing="1" w:line="240" w:lineRule="auto"/>
        <w:rPr>
          <w:color w:val="2A2736"/>
          <w:lang w:eastAsia="en-AU"/>
        </w:rPr>
      </w:pPr>
      <w:r w:rsidRPr="00B47A58">
        <w:rPr>
          <w:color w:val="2A2736"/>
          <w:lang w:eastAsia="en-AU"/>
        </w:rPr>
        <w:t>Carson C, Lavender C, Handasyde K, O'Brien C, Hewitt N and Johnson P</w:t>
      </w:r>
      <w:r w:rsidR="5E656940" w:rsidRPr="00B47A58">
        <w:rPr>
          <w:color w:val="2A2736"/>
          <w:lang w:eastAsia="en-AU"/>
        </w:rPr>
        <w:t xml:space="preserve"> 2014,</w:t>
      </w:r>
      <w:r w:rsidRPr="00B47A58">
        <w:rPr>
          <w:color w:val="2A2736"/>
          <w:lang w:eastAsia="en-AU"/>
        </w:rPr>
        <w:t xml:space="preserve"> </w:t>
      </w:r>
      <w:r w:rsidR="7E0E7A00" w:rsidRPr="00B47A58">
        <w:rPr>
          <w:color w:val="2A2736"/>
          <w:lang w:eastAsia="en-AU"/>
        </w:rPr>
        <w:t>‘</w:t>
      </w:r>
      <w:r w:rsidRPr="00B47A58">
        <w:rPr>
          <w:color w:val="2A2736"/>
          <w:lang w:eastAsia="en-AU"/>
        </w:rPr>
        <w:t>Potential wildlife sentinels for monitoring the endemic spread of human Buruli ulcer in South-East Australia</w:t>
      </w:r>
      <w:r w:rsidR="128CD171" w:rsidRPr="00B47A58">
        <w:rPr>
          <w:color w:val="2A2736"/>
          <w:lang w:eastAsia="en-AU"/>
        </w:rPr>
        <w:t>’</w:t>
      </w:r>
      <w:r w:rsidRPr="00B47A58">
        <w:rPr>
          <w:color w:val="2A2736"/>
          <w:lang w:eastAsia="en-AU"/>
        </w:rPr>
        <w:t>. PLoS Negl Trop Dis.; 8 (1): e2668</w:t>
      </w:r>
      <w:r w:rsidR="00316E74" w:rsidRPr="00B47A58">
        <w:rPr>
          <w:color w:val="2A2736"/>
          <w:lang w:eastAsia="en-AU"/>
        </w:rPr>
        <w:t>.</w:t>
      </w:r>
    </w:p>
    <w:p w14:paraId="5260FE72" w14:textId="09F0CE84" w:rsidR="000B75F4" w:rsidRPr="00B47A58" w:rsidRDefault="000B75F4" w:rsidP="000B75F4">
      <w:pPr>
        <w:rPr>
          <w:rFonts w:eastAsia="Times"/>
        </w:rPr>
      </w:pPr>
      <w:r w:rsidRPr="00B47A58">
        <w:rPr>
          <w:rFonts w:eastAsia="Times"/>
        </w:rPr>
        <w:t xml:space="preserve">Cheng AC, Dwyer DE, Holmes M, Irving L, Simpson G, Senenayake S, Korman T, Friedman ND, Cooley L, Wark P, Holwell A, Bowler S, Upham J, Fatovich DM, Waterer G, Blyth CC, Crawford N, Buttery J, Marshall HS, Clark JE, Francis J, Macartney K, Kotsimbos T, Kelly P </w:t>
      </w:r>
      <w:r w:rsidR="62EF5944" w:rsidRPr="00B47A58">
        <w:rPr>
          <w:rFonts w:eastAsia="Times"/>
        </w:rPr>
        <w:t>20</w:t>
      </w:r>
      <w:r w:rsidR="5E82592D" w:rsidRPr="00B47A58">
        <w:rPr>
          <w:rFonts w:eastAsia="Times"/>
        </w:rPr>
        <w:t>18</w:t>
      </w:r>
      <w:r w:rsidR="62EF5944" w:rsidRPr="00B47A58">
        <w:rPr>
          <w:rFonts w:eastAsia="Times"/>
        </w:rPr>
        <w:t>,</w:t>
      </w:r>
      <w:r w:rsidRPr="00B47A58">
        <w:rPr>
          <w:rFonts w:eastAsia="Times"/>
        </w:rPr>
        <w:t xml:space="preserve"> </w:t>
      </w:r>
      <w:r w:rsidR="5FF6ADEB" w:rsidRPr="00B47A58">
        <w:rPr>
          <w:rFonts w:eastAsia="Times"/>
        </w:rPr>
        <w:t>‘</w:t>
      </w:r>
      <w:r w:rsidRPr="00B47A58">
        <w:rPr>
          <w:rFonts w:eastAsia="Times"/>
        </w:rPr>
        <w:t>Influenza epidemiology in patients admitted to sentinel Australian hospitals in 2019: the Influenza Complications Alert Network</w:t>
      </w:r>
      <w:r w:rsidR="4B6C834E" w:rsidRPr="00B47A58">
        <w:rPr>
          <w:rFonts w:eastAsia="Times"/>
        </w:rPr>
        <w:t>’</w:t>
      </w:r>
      <w:r w:rsidRPr="00B47A58">
        <w:rPr>
          <w:rFonts w:eastAsia="Times"/>
        </w:rPr>
        <w:t xml:space="preserve"> (FluCAN). </w:t>
      </w:r>
      <w:r w:rsidRPr="00B47A58">
        <w:rPr>
          <w:rFonts w:eastAsia="Times"/>
          <w:i/>
        </w:rPr>
        <w:t>Communicable Diseases Intelligence</w:t>
      </w:r>
      <w:r w:rsidRPr="00B47A58">
        <w:rPr>
          <w:rFonts w:eastAsia="Times"/>
        </w:rPr>
        <w:t>. 2022 Apr 26;46. doi: 10.33321/cdi.2022.46.14. PMID: 35469560.</w:t>
      </w:r>
    </w:p>
    <w:p w14:paraId="6E0E4FC6" w14:textId="1B4DD013" w:rsidR="000B75F4" w:rsidRPr="00B47A58" w:rsidRDefault="000B75F4" w:rsidP="000B75F4">
      <w:pPr>
        <w:spacing w:before="100" w:beforeAutospacing="1" w:after="100" w:afterAutospacing="1" w:line="240" w:lineRule="auto"/>
        <w:rPr>
          <w:color w:val="2A2736"/>
          <w:lang w:eastAsia="en-AU"/>
        </w:rPr>
      </w:pPr>
      <w:r w:rsidRPr="00B47A58">
        <w:rPr>
          <w:color w:val="2A2736"/>
          <w:lang w:eastAsia="en-AU"/>
        </w:rPr>
        <w:t>Fyfe J, Lavender C, Handasyde K, Legione A, O'Brien C and Stinear T</w:t>
      </w:r>
      <w:r w:rsidR="447C0F23" w:rsidRPr="00B47A58">
        <w:rPr>
          <w:color w:val="2A2736"/>
          <w:lang w:eastAsia="en-AU"/>
        </w:rPr>
        <w:t>, 2010</w:t>
      </w:r>
      <w:r w:rsidRPr="00B47A58">
        <w:rPr>
          <w:color w:val="2A2736"/>
          <w:lang w:eastAsia="en-AU"/>
        </w:rPr>
        <w:t xml:space="preserve"> </w:t>
      </w:r>
      <w:r w:rsidR="13C3A474" w:rsidRPr="00B47A58">
        <w:rPr>
          <w:color w:val="2A2736"/>
          <w:lang w:eastAsia="en-AU"/>
        </w:rPr>
        <w:t>‘</w:t>
      </w:r>
      <w:r w:rsidRPr="00B47A58">
        <w:rPr>
          <w:color w:val="2A2736"/>
          <w:lang w:eastAsia="en-AU"/>
        </w:rPr>
        <w:t xml:space="preserve">A major role for mammals in the ecology of </w:t>
      </w:r>
      <w:r w:rsidRPr="005C0FF7">
        <w:rPr>
          <w:i/>
          <w:color w:val="2A2736"/>
          <w:lang w:eastAsia="en-AU"/>
        </w:rPr>
        <w:t>Mycobacterium ulcerans</w:t>
      </w:r>
      <w:r w:rsidRPr="00B47A58">
        <w:rPr>
          <w:color w:val="2A2736"/>
          <w:lang w:eastAsia="en-AU"/>
        </w:rPr>
        <w:t>’. PLoS Negl Trop Dis.; 4(8): e791</w:t>
      </w:r>
      <w:r w:rsidR="00316E74" w:rsidRPr="00B47A58">
        <w:rPr>
          <w:color w:val="2A2736"/>
          <w:lang w:eastAsia="en-AU"/>
        </w:rPr>
        <w:t>.</w:t>
      </w:r>
    </w:p>
    <w:p w14:paraId="36176281" w14:textId="491484F8" w:rsidR="000B75F4" w:rsidRPr="005F0A47" w:rsidRDefault="00000000" w:rsidP="000B75F4">
      <w:pPr>
        <w:spacing w:beforeAutospacing="1" w:afterAutospacing="1" w:line="240" w:lineRule="auto"/>
        <w:rPr>
          <w:highlight w:val="yellow"/>
          <w:lang w:eastAsia="en-AU"/>
        </w:rPr>
      </w:pPr>
      <w:hyperlink r:id="rId103" w:history="1">
        <w:r w:rsidR="000B75F4" w:rsidRPr="009A4691">
          <w:rPr>
            <w:rStyle w:val="Hyperlink"/>
            <w:lang w:eastAsia="en-AU"/>
          </w:rPr>
          <w:t>HM Government and Wellcome Trust 2016, The Review on Antimicrobial Resistance. Tracking drug-resistant infections globally: final report and recommendations, London</w:t>
        </w:r>
      </w:hyperlink>
      <w:r w:rsidR="000B75F4" w:rsidRPr="00B47A58">
        <w:rPr>
          <w:color w:val="2A2736"/>
          <w:lang w:eastAsia="en-AU"/>
        </w:rPr>
        <w:t>. Available at</w:t>
      </w:r>
      <w:r w:rsidR="005F0A47" w:rsidRPr="00CB16CD">
        <w:rPr>
          <w:color w:val="2A2736"/>
          <w:lang w:eastAsia="en-AU"/>
        </w:rPr>
        <w:t xml:space="preserve"> </w:t>
      </w:r>
      <w:r w:rsidR="005F0A47" w:rsidRPr="00CB16CD">
        <w:rPr>
          <w:lang w:eastAsia="en-AU"/>
        </w:rPr>
        <w:t>&lt;https://amr-review.org/Publications.html&gt;</w:t>
      </w:r>
      <w:r w:rsidR="009A4691" w:rsidRPr="008F1572">
        <w:rPr>
          <w:lang w:eastAsia="en-AU"/>
        </w:rPr>
        <w:t>.</w:t>
      </w:r>
    </w:p>
    <w:p w14:paraId="3A2AC734" w14:textId="4A1F5753" w:rsidR="000B75F4" w:rsidRPr="00FC4CE9" w:rsidRDefault="000B75F4" w:rsidP="000B75F4">
      <w:pPr>
        <w:spacing w:before="100" w:beforeAutospacing="1" w:after="100" w:afterAutospacing="1" w:line="240" w:lineRule="auto"/>
        <w:rPr>
          <w:color w:val="2A2736"/>
          <w:highlight w:val="yellow"/>
          <w:lang w:eastAsia="en-AU"/>
        </w:rPr>
      </w:pPr>
      <w:r w:rsidRPr="001750DB">
        <w:rPr>
          <w:color w:val="2A2736"/>
          <w:lang w:eastAsia="en-AU"/>
        </w:rPr>
        <w:t>Johnson P, Azuolas J, Lavender C, Wishart E, Stinear T and Hayman J</w:t>
      </w:r>
      <w:r w:rsidR="2664430E" w:rsidRPr="001750DB">
        <w:rPr>
          <w:color w:val="2A2736"/>
          <w:lang w:eastAsia="en-AU"/>
        </w:rPr>
        <w:t>, 2007</w:t>
      </w:r>
      <w:r w:rsidRPr="001750DB">
        <w:rPr>
          <w:color w:val="2A2736"/>
          <w:lang w:eastAsia="en-AU"/>
        </w:rPr>
        <w:t xml:space="preserve"> </w:t>
      </w:r>
      <w:r w:rsidR="46BAE670" w:rsidRPr="001750DB">
        <w:rPr>
          <w:color w:val="2A2736"/>
          <w:lang w:eastAsia="en-AU"/>
        </w:rPr>
        <w:t>‘</w:t>
      </w:r>
      <w:r w:rsidRPr="005C0FF7">
        <w:rPr>
          <w:i/>
          <w:color w:val="2A2736"/>
          <w:lang w:eastAsia="en-AU"/>
        </w:rPr>
        <w:t>Mycobacterium ulcerans</w:t>
      </w:r>
      <w:r w:rsidRPr="001750DB">
        <w:rPr>
          <w:color w:val="2A2736"/>
          <w:lang w:eastAsia="en-AU"/>
        </w:rPr>
        <w:t xml:space="preserve"> in mosquitoes captured during outbreak of Buruli ulcer</w:t>
      </w:r>
      <w:r w:rsidR="47394E7A" w:rsidRPr="001750DB">
        <w:rPr>
          <w:color w:val="2A2736"/>
          <w:lang w:eastAsia="en-AU"/>
        </w:rPr>
        <w:t>’</w:t>
      </w:r>
      <w:r w:rsidRPr="001750DB">
        <w:rPr>
          <w:color w:val="2A2736"/>
          <w:lang w:eastAsia="en-AU"/>
        </w:rPr>
        <w:t>, South-Eastern Australia. Emerging Infectious Diseases. Nov; 13(11).</w:t>
      </w:r>
    </w:p>
    <w:p w14:paraId="1628F5A7" w14:textId="07F84E6F" w:rsidR="000B75F4" w:rsidRPr="00485B1F" w:rsidRDefault="000B75F4" w:rsidP="000B75F4">
      <w:pPr>
        <w:spacing w:before="100" w:beforeAutospacing="1" w:after="100" w:afterAutospacing="1" w:line="240" w:lineRule="auto"/>
        <w:rPr>
          <w:color w:val="2A2736"/>
          <w:lang w:eastAsia="en-AU"/>
        </w:rPr>
      </w:pPr>
      <w:r w:rsidRPr="00485B1F">
        <w:rPr>
          <w:color w:val="2A2736"/>
          <w:lang w:eastAsia="en-AU"/>
        </w:rPr>
        <w:t xml:space="preserve">Johnson P, Veitch M, Leslie D, Flood P and Hayman J </w:t>
      </w:r>
      <w:r w:rsidR="4F5DA31B" w:rsidRPr="00485B1F">
        <w:rPr>
          <w:color w:val="2A2736"/>
          <w:lang w:eastAsia="en-AU"/>
        </w:rPr>
        <w:t>(1996),</w:t>
      </w:r>
      <w:r w:rsidRPr="00485B1F">
        <w:rPr>
          <w:color w:val="2A2736"/>
          <w:lang w:eastAsia="en-AU"/>
        </w:rPr>
        <w:t xml:space="preserve"> </w:t>
      </w:r>
      <w:r w:rsidR="53927924" w:rsidRPr="00485B1F">
        <w:rPr>
          <w:color w:val="2A2736"/>
          <w:lang w:eastAsia="en-AU"/>
        </w:rPr>
        <w:t>‘</w:t>
      </w:r>
      <w:r w:rsidRPr="00485B1F">
        <w:rPr>
          <w:color w:val="2A2736"/>
          <w:lang w:eastAsia="en-AU"/>
        </w:rPr>
        <w:t xml:space="preserve">The emergence of </w:t>
      </w:r>
      <w:r w:rsidRPr="005C0FF7">
        <w:rPr>
          <w:i/>
          <w:color w:val="2A2736"/>
          <w:lang w:eastAsia="en-AU"/>
        </w:rPr>
        <w:t>Mycobacterium ulcerans</w:t>
      </w:r>
      <w:r w:rsidRPr="00485B1F">
        <w:rPr>
          <w:color w:val="2A2736"/>
          <w:lang w:eastAsia="en-AU"/>
        </w:rPr>
        <w:t xml:space="preserve"> infection near Melbourne</w:t>
      </w:r>
      <w:r w:rsidR="1E5AF380" w:rsidRPr="00485B1F">
        <w:rPr>
          <w:color w:val="2A2736"/>
          <w:lang w:eastAsia="en-AU"/>
        </w:rPr>
        <w:t>’</w:t>
      </w:r>
      <w:r w:rsidRPr="00485B1F">
        <w:rPr>
          <w:color w:val="2A2736"/>
          <w:lang w:eastAsia="en-AU"/>
        </w:rPr>
        <w:t>. MJA.  164.</w:t>
      </w:r>
    </w:p>
    <w:p w14:paraId="3C64C064" w14:textId="0AD01844" w:rsidR="000B75F4" w:rsidRPr="00485B1F" w:rsidRDefault="000B75F4" w:rsidP="000B75F4">
      <w:pPr>
        <w:spacing w:before="100" w:beforeAutospacing="1" w:after="100" w:afterAutospacing="1" w:line="240" w:lineRule="auto"/>
        <w:rPr>
          <w:color w:val="2A2736"/>
          <w:lang w:eastAsia="en-AU"/>
        </w:rPr>
      </w:pPr>
      <w:r w:rsidRPr="00485B1F">
        <w:rPr>
          <w:color w:val="2A2736"/>
          <w:lang w:eastAsia="en-AU"/>
        </w:rPr>
        <w:t xml:space="preserve">Lavender C, Fyfe J, Azuolas J, Brown K, Evans R and Ray L </w:t>
      </w:r>
      <w:r w:rsidR="0C0B10DA" w:rsidRPr="00485B1F">
        <w:rPr>
          <w:color w:val="2A2736"/>
          <w:lang w:eastAsia="en-AU"/>
        </w:rPr>
        <w:t>2011,</w:t>
      </w:r>
      <w:r w:rsidRPr="00485B1F">
        <w:rPr>
          <w:color w:val="2A2736"/>
          <w:lang w:eastAsia="en-AU"/>
        </w:rPr>
        <w:t xml:space="preserve"> </w:t>
      </w:r>
      <w:r w:rsidR="555BE7DD" w:rsidRPr="00485B1F">
        <w:rPr>
          <w:color w:val="2A2736"/>
          <w:lang w:eastAsia="en-AU"/>
        </w:rPr>
        <w:t>‘</w:t>
      </w:r>
      <w:r w:rsidRPr="00485B1F">
        <w:rPr>
          <w:color w:val="2A2736"/>
          <w:lang w:eastAsia="en-AU"/>
        </w:rPr>
        <w:t xml:space="preserve">Risk of Buruli ulcer and detection of </w:t>
      </w:r>
      <w:r w:rsidRPr="005C0FF7">
        <w:rPr>
          <w:i/>
          <w:color w:val="2A2736"/>
          <w:lang w:eastAsia="en-AU"/>
        </w:rPr>
        <w:t>Mycobacterium ulcerans</w:t>
      </w:r>
      <w:r w:rsidRPr="00485B1F">
        <w:rPr>
          <w:color w:val="2A2736"/>
          <w:lang w:eastAsia="en-AU"/>
        </w:rPr>
        <w:t xml:space="preserve"> in mosquitoes in South-Eastern Australia</w:t>
      </w:r>
      <w:r w:rsidR="2EADCCEC" w:rsidRPr="00485B1F">
        <w:rPr>
          <w:color w:val="2A2736"/>
          <w:lang w:eastAsia="en-AU"/>
        </w:rPr>
        <w:t>’</w:t>
      </w:r>
      <w:r w:rsidRPr="00485B1F">
        <w:rPr>
          <w:color w:val="2A2736"/>
          <w:lang w:eastAsia="en-AU"/>
        </w:rPr>
        <w:t>. PLoS Negl Trop Dis; 5(9): e1305.</w:t>
      </w:r>
    </w:p>
    <w:p w14:paraId="00358311" w14:textId="5589B9C8" w:rsidR="000B75F4" w:rsidRPr="00330161" w:rsidRDefault="000B75F4" w:rsidP="000B75F4">
      <w:pPr>
        <w:spacing w:before="100" w:beforeAutospacing="1" w:after="100" w:afterAutospacing="1" w:line="240" w:lineRule="auto"/>
        <w:rPr>
          <w:color w:val="2A2736"/>
          <w:lang w:eastAsia="en-AU"/>
        </w:rPr>
      </w:pPr>
      <w:r w:rsidRPr="00330161">
        <w:rPr>
          <w:color w:val="2A2736"/>
          <w:lang w:eastAsia="en-AU"/>
        </w:rPr>
        <w:t xml:space="preserve">O’Brien, Wynne JW, Buultjens AH, Michalski WP, Stinear TP, Friedman ND, Hughes A, Athan E </w:t>
      </w:r>
      <w:r w:rsidR="3A3CC721" w:rsidRPr="00330161">
        <w:rPr>
          <w:color w:val="2A2736"/>
          <w:lang w:eastAsia="en-AU"/>
        </w:rPr>
        <w:t>2017,</w:t>
      </w:r>
      <w:r w:rsidRPr="00330161">
        <w:rPr>
          <w:color w:val="2A2736"/>
          <w:lang w:eastAsia="en-AU"/>
        </w:rPr>
        <w:t xml:space="preserve"> </w:t>
      </w:r>
      <w:r w:rsidR="5870CA6C" w:rsidRPr="00330161">
        <w:rPr>
          <w:color w:val="2A2736"/>
          <w:lang w:eastAsia="en-AU"/>
        </w:rPr>
        <w:t>‘</w:t>
      </w:r>
      <w:r w:rsidRPr="00330161">
        <w:rPr>
          <w:color w:val="2A2736"/>
          <w:lang w:eastAsia="en-AU"/>
        </w:rPr>
        <w:t xml:space="preserve">Exposure Risk for Infection and the Lack of Human-to-Human Transmission of </w:t>
      </w:r>
      <w:r w:rsidRPr="00330161">
        <w:rPr>
          <w:i/>
          <w:color w:val="2A2736"/>
          <w:lang w:eastAsia="en-AU"/>
        </w:rPr>
        <w:t>Mycobacterium ulcerans</w:t>
      </w:r>
      <w:r w:rsidRPr="00330161">
        <w:rPr>
          <w:color w:val="2A2736"/>
          <w:lang w:eastAsia="en-AU"/>
        </w:rPr>
        <w:t xml:space="preserve"> Disease, Australia</w:t>
      </w:r>
      <w:r w:rsidR="21543AB1" w:rsidRPr="00330161">
        <w:rPr>
          <w:color w:val="2A2736"/>
          <w:lang w:eastAsia="en-AU"/>
        </w:rPr>
        <w:t>’</w:t>
      </w:r>
      <w:r w:rsidRPr="00330161">
        <w:rPr>
          <w:color w:val="2A2736"/>
          <w:lang w:eastAsia="en-AU"/>
        </w:rPr>
        <w:t>. Emerging Infectious Diseases. May; 23(5).</w:t>
      </w:r>
    </w:p>
    <w:p w14:paraId="1FF1C246" w14:textId="1AF2BA33" w:rsidR="000B75F4" w:rsidRDefault="00000000" w:rsidP="000B75F4">
      <w:pPr>
        <w:spacing w:beforeAutospacing="1" w:afterAutospacing="1" w:line="240" w:lineRule="auto"/>
        <w:rPr>
          <w:color w:val="2A2736"/>
          <w:szCs w:val="21"/>
          <w:lang w:eastAsia="en-AU"/>
        </w:rPr>
      </w:pPr>
      <w:hyperlink r:id="rId104" w:history="1">
        <w:r w:rsidR="000B75F4" w:rsidRPr="003E2903">
          <w:rPr>
            <w:rStyle w:val="Hyperlink"/>
            <w:lang w:eastAsia="en-AU"/>
          </w:rPr>
          <w:t>OECD 2018, Stemming the superbug tide: just a few dollars more, OECD Health Policy Studies, OECD Publishing, Paris</w:t>
        </w:r>
      </w:hyperlink>
      <w:r w:rsidR="000B75F4" w:rsidRPr="276FAD30">
        <w:rPr>
          <w:color w:val="2A2736"/>
          <w:lang w:eastAsia="en-AU"/>
        </w:rPr>
        <w:t>. Available at</w:t>
      </w:r>
      <w:r w:rsidR="000F2D6C" w:rsidRPr="000F2D6C">
        <w:t xml:space="preserve"> </w:t>
      </w:r>
      <w:r w:rsidR="00851322">
        <w:t>&lt;</w:t>
      </w:r>
      <w:r w:rsidR="000F2D6C" w:rsidRPr="000F2D6C">
        <w:rPr>
          <w:color w:val="2A2736"/>
          <w:lang w:eastAsia="en-AU"/>
        </w:rPr>
        <w:t>https://www.oecd-ilibrary.org/social-issues-migration-health/stemming-the-superbug-tide_9789264307599-en</w:t>
      </w:r>
      <w:r w:rsidR="000B75F4" w:rsidRPr="276FAD30">
        <w:rPr>
          <w:color w:val="2A2736"/>
          <w:lang w:eastAsia="en-AU"/>
        </w:rPr>
        <w:t xml:space="preserve"> </w:t>
      </w:r>
      <w:r w:rsidR="00E2755A">
        <w:rPr>
          <w:color w:val="2A2736"/>
          <w:lang w:eastAsia="en-AU"/>
        </w:rPr>
        <w:t>&lt;</w:t>
      </w:r>
      <w:r w:rsidR="003E2903" w:rsidRPr="00F22C58">
        <w:rPr>
          <w:color w:val="2A2736"/>
          <w:lang w:eastAsia="en-AU"/>
        </w:rPr>
        <w:t>https://www.oecd-ilibrary.org/social-issues-migration-health/stemming-the-superbug-tide_9789264307599-en</w:t>
      </w:r>
      <w:r w:rsidR="00351005">
        <w:rPr>
          <w:color w:val="2A2736"/>
          <w:lang w:eastAsia="en-AU"/>
        </w:rPr>
        <w:t>&gt;.</w:t>
      </w:r>
    </w:p>
    <w:p w14:paraId="18B6B985" w14:textId="55DF35CB" w:rsidR="000B75F4" w:rsidRPr="00E568D3" w:rsidRDefault="000B75F4" w:rsidP="000B75F4">
      <w:pPr>
        <w:rPr>
          <w:rFonts w:eastAsia="Times"/>
        </w:rPr>
      </w:pPr>
      <w:r w:rsidRPr="001B4884">
        <w:rPr>
          <w:rFonts w:eastAsia="Times"/>
        </w:rPr>
        <w:t>Patel MK, Goodson JL, Alexander JP Jr., et al</w:t>
      </w:r>
      <w:r w:rsidR="53472A66" w:rsidRPr="001B4884">
        <w:rPr>
          <w:rFonts w:eastAsia="Times"/>
        </w:rPr>
        <w:t xml:space="preserve"> 2020,</w:t>
      </w:r>
      <w:r w:rsidRPr="001B4884">
        <w:rPr>
          <w:rFonts w:eastAsia="Times"/>
        </w:rPr>
        <w:t xml:space="preserve"> </w:t>
      </w:r>
      <w:r w:rsidR="0A50C202" w:rsidRPr="001B4884">
        <w:rPr>
          <w:rFonts w:eastAsia="Times"/>
        </w:rPr>
        <w:t>‘</w:t>
      </w:r>
      <w:r w:rsidRPr="001B4884">
        <w:rPr>
          <w:rFonts w:eastAsia="Times"/>
        </w:rPr>
        <w:t>Progress Toward Regional Measles Elimination — Worldwide 2000–2019</w:t>
      </w:r>
      <w:r w:rsidR="58251201" w:rsidRPr="001B4884">
        <w:rPr>
          <w:rFonts w:eastAsia="Times"/>
        </w:rPr>
        <w:t>’</w:t>
      </w:r>
      <w:r w:rsidRPr="001B4884">
        <w:rPr>
          <w:rFonts w:eastAsia="Times"/>
        </w:rPr>
        <w:t xml:space="preserve">. MMWR Morb Mortal Wkly Rep;69:1700–1705. DOI: </w:t>
      </w:r>
      <w:r w:rsidR="00410261">
        <w:rPr>
          <w:rFonts w:eastAsia="Times"/>
        </w:rPr>
        <w:t>&lt;</w:t>
      </w:r>
      <w:r w:rsidRPr="001B4884">
        <w:rPr>
          <w:rFonts w:eastAsia="Times"/>
        </w:rPr>
        <w:t>http://dx.doi.org/10.15585/mmwr.mm6945a6</w:t>
      </w:r>
      <w:r w:rsidR="00436689">
        <w:rPr>
          <w:rFonts w:eastAsia="Times"/>
        </w:rPr>
        <w:t>&gt;</w:t>
      </w:r>
      <w:r w:rsidRPr="276FAD30">
        <w:rPr>
          <w:rFonts w:eastAsia="Times"/>
        </w:rPr>
        <w:t xml:space="preserve"> </w:t>
      </w:r>
    </w:p>
    <w:p w14:paraId="34F7ED1F" w14:textId="66ED0345" w:rsidR="000B75F4" w:rsidRPr="00FC4CE9" w:rsidRDefault="000B75F4" w:rsidP="000B75F4">
      <w:pPr>
        <w:spacing w:before="100" w:beforeAutospacing="1" w:after="100" w:afterAutospacing="1" w:line="240" w:lineRule="auto"/>
        <w:rPr>
          <w:color w:val="2A2736"/>
          <w:highlight w:val="yellow"/>
          <w:lang w:eastAsia="en-AU"/>
        </w:rPr>
      </w:pPr>
      <w:r w:rsidRPr="00E568D3">
        <w:rPr>
          <w:color w:val="2A2736"/>
          <w:lang w:eastAsia="en-AU"/>
        </w:rPr>
        <w:t>Quek T, Athan E, Henry M, Pasco J, Redden-Hoare J and Hughes A</w:t>
      </w:r>
      <w:r w:rsidR="7A06472D" w:rsidRPr="00E568D3">
        <w:rPr>
          <w:color w:val="2A2736"/>
          <w:lang w:eastAsia="en-AU"/>
        </w:rPr>
        <w:t xml:space="preserve"> 2007,</w:t>
      </w:r>
      <w:r w:rsidRPr="00E568D3">
        <w:rPr>
          <w:color w:val="2A2736"/>
          <w:lang w:eastAsia="en-AU"/>
        </w:rPr>
        <w:t xml:space="preserve"> </w:t>
      </w:r>
      <w:r w:rsidR="3D02C2FE" w:rsidRPr="00E568D3">
        <w:rPr>
          <w:color w:val="2A2736"/>
          <w:lang w:eastAsia="en-AU"/>
        </w:rPr>
        <w:t>‘</w:t>
      </w:r>
      <w:r w:rsidRPr="00E568D3">
        <w:rPr>
          <w:color w:val="2A2736"/>
          <w:lang w:eastAsia="en-AU"/>
        </w:rPr>
        <w:t xml:space="preserve">Risk factors for </w:t>
      </w:r>
      <w:r w:rsidRPr="005C0FF7">
        <w:rPr>
          <w:i/>
          <w:color w:val="2A2736"/>
          <w:lang w:eastAsia="en-AU"/>
        </w:rPr>
        <w:t>Mycobacterium ulcerans</w:t>
      </w:r>
      <w:r w:rsidRPr="00E568D3">
        <w:rPr>
          <w:color w:val="2A2736"/>
          <w:lang w:eastAsia="en-AU"/>
        </w:rPr>
        <w:t xml:space="preserve"> infection, South-Eastern Australia’. Emerging Infectious Diseases.; 13 (11).</w:t>
      </w:r>
    </w:p>
    <w:p w14:paraId="265094E1" w14:textId="5C3510AC" w:rsidR="000B75F4" w:rsidRPr="00952D67" w:rsidRDefault="000B75F4" w:rsidP="000B75F4">
      <w:pPr>
        <w:spacing w:before="100" w:beforeAutospacing="1" w:after="100" w:afterAutospacing="1" w:line="240" w:lineRule="auto"/>
        <w:rPr>
          <w:color w:val="2A2736"/>
          <w:lang w:eastAsia="en-AU"/>
        </w:rPr>
      </w:pPr>
      <w:r w:rsidRPr="00952D67">
        <w:rPr>
          <w:color w:val="2A2736"/>
          <w:lang w:eastAsia="en-AU"/>
        </w:rPr>
        <w:t xml:space="preserve">Wallace J, Mangas K, Porter J, Marcsisin R, Pidot S and Howden B </w:t>
      </w:r>
      <w:r w:rsidR="7BE96495" w:rsidRPr="00952D67">
        <w:rPr>
          <w:color w:val="2A2736"/>
          <w:lang w:eastAsia="en-AU"/>
        </w:rPr>
        <w:t>2017,</w:t>
      </w:r>
      <w:r w:rsidRPr="00952D67">
        <w:rPr>
          <w:color w:val="2A2736"/>
          <w:lang w:eastAsia="en-AU"/>
        </w:rPr>
        <w:t xml:space="preserve"> </w:t>
      </w:r>
      <w:r w:rsidR="164F3413" w:rsidRPr="00952D67">
        <w:rPr>
          <w:color w:val="2A2736"/>
          <w:lang w:eastAsia="en-AU"/>
        </w:rPr>
        <w:t>‘</w:t>
      </w:r>
      <w:r w:rsidRPr="005C0FF7">
        <w:rPr>
          <w:i/>
          <w:color w:val="2A2736"/>
          <w:lang w:eastAsia="en-AU"/>
        </w:rPr>
        <w:t>Mycobac</w:t>
      </w:r>
      <w:r w:rsidR="008D14A6">
        <w:rPr>
          <w:i/>
          <w:color w:val="2A2736"/>
          <w:lang w:eastAsia="en-AU"/>
        </w:rPr>
        <w:t>t</w:t>
      </w:r>
      <w:r w:rsidRPr="005C0FF7">
        <w:rPr>
          <w:i/>
          <w:color w:val="2A2736"/>
          <w:lang w:eastAsia="en-AU"/>
        </w:rPr>
        <w:t>erium ulcerans</w:t>
      </w:r>
      <w:r w:rsidRPr="00952D67">
        <w:rPr>
          <w:color w:val="2A2736"/>
          <w:lang w:eastAsia="en-AU"/>
        </w:rPr>
        <w:t xml:space="preserve"> low infectious dose and mechanical transmission support insect bites and puncturing injuries in the spread of Buruli ulcer’. PLoS Negl Trop Dis.; 11 (4): e0005553.</w:t>
      </w:r>
    </w:p>
    <w:p w14:paraId="7C6C54AD" w14:textId="10B45B54" w:rsidR="000B75F4" w:rsidRPr="00FE2458" w:rsidRDefault="00000000" w:rsidP="000B75F4">
      <w:pPr>
        <w:spacing w:beforeAutospacing="1" w:after="160" w:afterAutospacing="1" w:line="240" w:lineRule="auto"/>
        <w:rPr>
          <w:color w:val="2A2736"/>
          <w:lang w:eastAsia="en-AU"/>
        </w:rPr>
      </w:pPr>
      <w:hyperlink r:id="rId105" w:anchor="tab=tab_1" w:history="1">
        <w:r w:rsidR="000B75F4" w:rsidRPr="00306E01">
          <w:rPr>
            <w:rStyle w:val="Hyperlink"/>
            <w:lang w:eastAsia="en-AU"/>
          </w:rPr>
          <w:t>World Health Organisation 2022. Buruli Ulcer (</w:t>
        </w:r>
        <w:r w:rsidR="000B75F4" w:rsidRPr="00306E01">
          <w:rPr>
            <w:rStyle w:val="Hyperlink"/>
            <w:i/>
            <w:lang w:eastAsia="en-AU"/>
          </w:rPr>
          <w:t>Mycobacterium ulcerans</w:t>
        </w:r>
        <w:r w:rsidR="000B75F4" w:rsidRPr="00306E01">
          <w:rPr>
            <w:rStyle w:val="Hyperlink"/>
            <w:lang w:eastAsia="en-AU"/>
          </w:rPr>
          <w:t xml:space="preserve"> infection)</w:t>
        </w:r>
      </w:hyperlink>
      <w:r w:rsidR="000B75F4" w:rsidRPr="276FAD30">
        <w:rPr>
          <w:color w:val="2A2736"/>
          <w:lang w:eastAsia="en-AU"/>
        </w:rPr>
        <w:t>. Available at</w:t>
      </w:r>
      <w:r w:rsidR="00C40FB5" w:rsidRPr="276FAD30">
        <w:rPr>
          <w:rStyle w:val="Hyperlink"/>
          <w:lang w:eastAsia="en-AU"/>
        </w:rPr>
        <w:t xml:space="preserve"> </w:t>
      </w:r>
      <w:r w:rsidR="000B75F4" w:rsidRPr="276FAD30">
        <w:rPr>
          <w:color w:val="2A2736"/>
          <w:lang w:eastAsia="en-AU"/>
        </w:rPr>
        <w:t>&lt;</w:t>
      </w:r>
      <w:r w:rsidR="000B75F4" w:rsidRPr="276FAD30">
        <w:rPr>
          <w:lang w:eastAsia="en-AU"/>
        </w:rPr>
        <w:t>https://www.who.int/health-topics/buruli-ulcer#tab=tab_1</w:t>
      </w:r>
      <w:r w:rsidR="000B75F4" w:rsidRPr="276FAD30">
        <w:rPr>
          <w:color w:val="2A2736"/>
          <w:lang w:eastAsia="en-AU"/>
        </w:rPr>
        <w:t>&gt;</w:t>
      </w:r>
      <w:r w:rsidR="00B93FBE">
        <w:rPr>
          <w:color w:val="2A2736"/>
          <w:lang w:eastAsia="en-AU"/>
        </w:rPr>
        <w:t>.</w:t>
      </w:r>
    </w:p>
    <w:p w14:paraId="62F961FD" w14:textId="31E50FF2" w:rsidR="000B75F4" w:rsidRDefault="00000000" w:rsidP="000B75F4">
      <w:pPr>
        <w:spacing w:beforeAutospacing="1" w:afterAutospacing="1" w:line="240" w:lineRule="auto"/>
        <w:rPr>
          <w:color w:val="2A2736"/>
          <w:szCs w:val="21"/>
          <w:lang w:eastAsia="en-AU"/>
        </w:rPr>
      </w:pPr>
      <w:hyperlink r:id="rId106" w:anchor=":~:text=In%202015%2C%20the%20WHA%20adopted%20the%20Global%20Action,action%20plan%20%28NAP%29%20aligned%20with%20the%20GAP%20objectives" w:history="1">
        <w:r w:rsidR="000B75F4" w:rsidRPr="00E516CA">
          <w:rPr>
            <w:rStyle w:val="Hyperlink"/>
            <w:szCs w:val="21"/>
            <w:lang w:eastAsia="en-AU"/>
          </w:rPr>
          <w:t>World Health Organization 2015, Global action plan on antimicrobial resistance, WHO, Geneva</w:t>
        </w:r>
      </w:hyperlink>
      <w:r w:rsidR="000B75F4" w:rsidRPr="36A6EA1A">
        <w:rPr>
          <w:color w:val="2A2736"/>
          <w:szCs w:val="21"/>
          <w:lang w:eastAsia="en-AU"/>
        </w:rPr>
        <w:t>. Available at</w:t>
      </w:r>
      <w:r w:rsidR="000F2D6C">
        <w:rPr>
          <w:color w:val="2A2736"/>
          <w:szCs w:val="21"/>
          <w:lang w:eastAsia="en-AU"/>
        </w:rPr>
        <w:t xml:space="preserve"> </w:t>
      </w:r>
      <w:r w:rsidR="000B75F4" w:rsidRPr="00913778">
        <w:rPr>
          <w:color w:val="2A2736"/>
          <w:szCs w:val="21"/>
          <w:lang w:eastAsia="en-AU"/>
        </w:rPr>
        <w:t>&lt;</w:t>
      </w:r>
      <w:r w:rsidR="002414A8" w:rsidRPr="00913778">
        <w:rPr>
          <w:color w:val="2A2736"/>
          <w:szCs w:val="21"/>
          <w:lang w:eastAsia="en-AU"/>
        </w:rPr>
        <w:t>https://cdn.who.int/media/docs/default-source/antimicrobial-resistance/iacg-amr-national-action-plans-110618.pdf?sfvrsn=53e4eb22_4#:~:text=In%202015%2C%20the%20WHA%20adopted%20the%20Global%20Action,action%20plan%20%28NAP%29%20aligned%20with%20the%20GAP%20objectives&gt;</w:t>
      </w:r>
      <w:r w:rsidR="00CD2C0D">
        <w:rPr>
          <w:color w:val="2A2736"/>
          <w:szCs w:val="21"/>
          <w:lang w:eastAsia="en-AU"/>
        </w:rPr>
        <w:t>.</w:t>
      </w:r>
    </w:p>
    <w:p w14:paraId="14310B8B" w14:textId="231BC0A9" w:rsidR="000B75F4" w:rsidRPr="00C40FB5" w:rsidRDefault="00000000" w:rsidP="000B75F4">
      <w:pPr>
        <w:spacing w:before="100" w:beforeAutospacing="1" w:after="100" w:afterAutospacing="1" w:line="240" w:lineRule="auto"/>
        <w:rPr>
          <w:lang w:eastAsia="en-AU"/>
        </w:rPr>
      </w:pPr>
      <w:hyperlink r:id="rId107" w:anchor="tab=tab_1" w:history="1">
        <w:r w:rsidR="000B75F4" w:rsidRPr="00E516CA">
          <w:rPr>
            <w:rStyle w:val="Hyperlink"/>
            <w:lang w:eastAsia="en-AU"/>
          </w:rPr>
          <w:t>World Health Organisation 2022. Neglected Tropical Diseases</w:t>
        </w:r>
      </w:hyperlink>
      <w:r w:rsidR="000B75F4" w:rsidRPr="00FC4CE9">
        <w:rPr>
          <w:color w:val="2A2736"/>
          <w:lang w:eastAsia="en-AU"/>
        </w:rPr>
        <w:t>. Available at</w:t>
      </w:r>
      <w:r w:rsidR="00B93FBE">
        <w:rPr>
          <w:color w:val="2A2736"/>
          <w:lang w:eastAsia="en-AU"/>
        </w:rPr>
        <w:t xml:space="preserve"> </w:t>
      </w:r>
      <w:r w:rsidR="00C40FB5">
        <w:rPr>
          <w:lang w:eastAsia="en-AU"/>
        </w:rPr>
        <w:t>&lt;</w:t>
      </w:r>
      <w:r w:rsidR="00C40FB5" w:rsidRPr="00C40FB5">
        <w:rPr>
          <w:lang w:eastAsia="en-AU"/>
        </w:rPr>
        <w:t>https://www.who.int/health-topics/neglected-tropical-diseases#tab=tab_1</w:t>
      </w:r>
      <w:r w:rsidR="00C40FB5">
        <w:rPr>
          <w:lang w:eastAsia="en-AU"/>
        </w:rPr>
        <w:t>&gt;</w:t>
      </w:r>
      <w:r w:rsidR="00E516CA">
        <w:rPr>
          <w:lang w:eastAsia="en-AU"/>
        </w:rPr>
        <w:t>.</w:t>
      </w:r>
    </w:p>
    <w:p w14:paraId="389484CD" w14:textId="7ABAE9EF" w:rsidR="000B75F4" w:rsidRPr="00D22BD3" w:rsidRDefault="00000000" w:rsidP="000B75F4">
      <w:pPr>
        <w:rPr>
          <w:rFonts w:cs="Arial"/>
          <w:szCs w:val="21"/>
        </w:rPr>
      </w:pPr>
      <w:hyperlink r:id="rId108" w:anchor="tab=tab_1" w:history="1">
        <w:r w:rsidR="000B75F4" w:rsidRPr="00E516CA">
          <w:rPr>
            <w:rStyle w:val="Hyperlink"/>
            <w:rFonts w:cs="Arial"/>
            <w:szCs w:val="21"/>
          </w:rPr>
          <w:t>World Health Organization 2022. Syphilis</w:t>
        </w:r>
      </w:hyperlink>
      <w:r w:rsidR="000B75F4" w:rsidRPr="00D22BD3">
        <w:rPr>
          <w:rFonts w:cs="Arial"/>
          <w:szCs w:val="21"/>
        </w:rPr>
        <w:t xml:space="preserve">. Available </w:t>
      </w:r>
      <w:r w:rsidR="00C4288E">
        <w:rPr>
          <w:rFonts w:cs="Arial"/>
          <w:szCs w:val="21"/>
        </w:rPr>
        <w:t xml:space="preserve">at </w:t>
      </w:r>
      <w:r w:rsidR="000B75F4" w:rsidRPr="00D22BD3">
        <w:rPr>
          <w:rFonts w:cs="Arial"/>
          <w:szCs w:val="21"/>
        </w:rPr>
        <w:t>&lt;</w:t>
      </w:r>
      <w:r w:rsidR="000B75F4" w:rsidRPr="003F6F1F">
        <w:rPr>
          <w:rFonts w:cs="Arial"/>
          <w:szCs w:val="21"/>
        </w:rPr>
        <w:t>https://www.who.int/health-topics/syphilis#tab=tab_1</w:t>
      </w:r>
      <w:r w:rsidR="000B75F4" w:rsidRPr="00D22BD3">
        <w:rPr>
          <w:rFonts w:cs="Arial"/>
          <w:szCs w:val="21"/>
        </w:rPr>
        <w:t>&gt;</w:t>
      </w:r>
      <w:r w:rsidR="00E516CA">
        <w:rPr>
          <w:rFonts w:cs="Arial"/>
          <w:szCs w:val="21"/>
        </w:rPr>
        <w:t>.</w:t>
      </w:r>
    </w:p>
    <w:p w14:paraId="6D3A7E80" w14:textId="634E5AA5" w:rsidR="00D33896" w:rsidRDefault="001A1B3F">
      <w:pPr>
        <w:spacing w:after="0" w:line="240" w:lineRule="auto"/>
        <w:rPr>
          <w:rFonts w:eastAsia="Times"/>
        </w:rPr>
      </w:pPr>
      <w:r>
        <w:br w:type="page"/>
      </w:r>
    </w:p>
    <w:p w14:paraId="26FFBD49" w14:textId="3DE0C00A" w:rsidR="00A134E8" w:rsidRPr="00A71CE4" w:rsidRDefault="008473F7" w:rsidP="00A134E8">
      <w:pPr>
        <w:pStyle w:val="Heading1"/>
        <w:spacing w:before="0"/>
      </w:pPr>
      <w:bookmarkStart w:id="115" w:name="_Toc116981375"/>
      <w:bookmarkStart w:id="116" w:name="_Toc128138652"/>
      <w:r>
        <w:lastRenderedPageBreak/>
        <w:t xml:space="preserve">Chapter 13 </w:t>
      </w:r>
      <w:r w:rsidR="00316E74">
        <w:t>–</w:t>
      </w:r>
      <w:r>
        <w:t xml:space="preserve"> </w:t>
      </w:r>
      <w:r w:rsidR="004D77E2">
        <w:t>Immunisation</w:t>
      </w:r>
      <w:bookmarkEnd w:id="115"/>
      <w:bookmarkEnd w:id="116"/>
      <w:r w:rsidR="004D77E2">
        <w:t xml:space="preserve"> </w:t>
      </w:r>
    </w:p>
    <w:p w14:paraId="3775541A" w14:textId="77777777" w:rsidR="00EB0968" w:rsidRDefault="00EB0968" w:rsidP="00EB0968">
      <w:pPr>
        <w:pStyle w:val="Body"/>
        <w:rPr>
          <w:sz w:val="20"/>
          <w:lang w:eastAsia="en-AU"/>
        </w:rPr>
      </w:pPr>
      <w:r>
        <w:t xml:space="preserve">Immunisation prevents many illnesses in children and adults. </w:t>
      </w:r>
    </w:p>
    <w:p w14:paraId="2B283BF1" w14:textId="77777777" w:rsidR="00EB0968" w:rsidRDefault="00EB0968" w:rsidP="00EB0968">
      <w:pPr>
        <w:pStyle w:val="Body"/>
      </w:pPr>
      <w:r>
        <w:t>It provides benefits not only for individuals but also for the health of the wider community. When enough people are immunised, disease spread is reduced.</w:t>
      </w:r>
    </w:p>
    <w:p w14:paraId="419065DE" w14:textId="77777777" w:rsidR="00EB0968" w:rsidRDefault="00EB0968" w:rsidP="00EB0968">
      <w:pPr>
        <w:pStyle w:val="Body"/>
      </w:pPr>
      <w:r>
        <w:t>One of the key priorities of the National Immunisation Strategy for Australia 2019-2024 is to improve immunisation coverage. This includes strategies to facilitate access to immunisation services for all Australians, regardless of financial or geographical barriers.</w:t>
      </w:r>
    </w:p>
    <w:p w14:paraId="5BA0BCE7" w14:textId="19B219C9" w:rsidR="00EB0968" w:rsidRDefault="00EB0968" w:rsidP="00EB0968">
      <w:pPr>
        <w:pStyle w:val="Body"/>
      </w:pPr>
      <w:r>
        <w:t xml:space="preserve">This section of </w:t>
      </w:r>
      <w:r w:rsidR="003E6699" w:rsidRPr="003E6699">
        <w:rPr>
          <w:i/>
          <w:iCs/>
        </w:rPr>
        <w:t>Your</w:t>
      </w:r>
      <w:r w:rsidRPr="003E6699">
        <w:rPr>
          <w:i/>
        </w:rPr>
        <w:t xml:space="preserve"> </w:t>
      </w:r>
      <w:r w:rsidR="00316E74">
        <w:rPr>
          <w:i/>
        </w:rPr>
        <w:t>h</w:t>
      </w:r>
      <w:r w:rsidRPr="003E6699">
        <w:rPr>
          <w:i/>
        </w:rPr>
        <w:t xml:space="preserve">ealth </w:t>
      </w:r>
      <w:r>
        <w:t xml:space="preserve">provides information on: </w:t>
      </w:r>
    </w:p>
    <w:p w14:paraId="407BE028" w14:textId="77777777" w:rsidR="00EB0968" w:rsidRDefault="00EB0968" w:rsidP="00EB0968">
      <w:pPr>
        <w:pStyle w:val="Bullet1"/>
      </w:pPr>
      <w:r>
        <w:t>vaccination coverage in Victoria</w:t>
      </w:r>
    </w:p>
    <w:p w14:paraId="6B532A22" w14:textId="77777777" w:rsidR="00EB0968" w:rsidRDefault="00EB0968" w:rsidP="00EB0968">
      <w:pPr>
        <w:pStyle w:val="Bullet1"/>
      </w:pPr>
      <w:r>
        <w:t xml:space="preserve">services available to support Victorians who require highly individualised assessment and additional care to receive vaccinations, including high-risk or vulnerable individuals </w:t>
      </w:r>
    </w:p>
    <w:p w14:paraId="70843EC1" w14:textId="77777777" w:rsidR="00EB0968" w:rsidRDefault="00EB0968" w:rsidP="00EB0968">
      <w:pPr>
        <w:pStyle w:val="Bullet1"/>
      </w:pPr>
      <w:r>
        <w:t>how adverse events from immunisations are tracked and reported</w:t>
      </w:r>
    </w:p>
    <w:p w14:paraId="1C685B3D" w14:textId="3893223F" w:rsidR="00EB0968" w:rsidRDefault="00EB0968" w:rsidP="00EB0968">
      <w:pPr>
        <w:pStyle w:val="Bullet1"/>
      </w:pPr>
      <w:r>
        <w:t>immunisation services available to asylum seeker and refugees</w:t>
      </w:r>
      <w:r w:rsidR="0041039A">
        <w:t>.</w:t>
      </w:r>
    </w:p>
    <w:p w14:paraId="6A810701" w14:textId="77777777" w:rsidR="00EB0968" w:rsidRPr="00C4288E" w:rsidRDefault="00EB0968" w:rsidP="00EB0968">
      <w:pPr>
        <w:pStyle w:val="Heading2"/>
        <w:rPr>
          <w:sz w:val="20"/>
          <w:szCs w:val="20"/>
        </w:rPr>
      </w:pPr>
      <w:bookmarkStart w:id="117" w:name="_Toc115619063"/>
      <w:bookmarkStart w:id="118" w:name="_Toc116981376"/>
      <w:r>
        <w:t>Vaccination coverage in Victoria</w:t>
      </w:r>
      <w:bookmarkEnd w:id="117"/>
      <w:bookmarkEnd w:id="118"/>
    </w:p>
    <w:p w14:paraId="72F69504" w14:textId="77777777" w:rsidR="00EB0968" w:rsidRDefault="00EB0968" w:rsidP="00EB0968">
      <w:pPr>
        <w:pStyle w:val="Heading3"/>
      </w:pPr>
      <w:bookmarkStart w:id="119" w:name="_Toc115619064"/>
      <w:r>
        <w:t>National Immunisation Program</w:t>
      </w:r>
      <w:bookmarkEnd w:id="119"/>
    </w:p>
    <w:p w14:paraId="78BFAA9E" w14:textId="71866FA8" w:rsidR="00EB0968" w:rsidRPr="00273242" w:rsidRDefault="00EB0968" w:rsidP="00EB0968">
      <w:pPr>
        <w:pStyle w:val="Body"/>
      </w:pPr>
      <w:r w:rsidRPr="00273242">
        <w:t xml:space="preserve">The National Immunisation Program (NIP) </w:t>
      </w:r>
      <w:r w:rsidR="006E23E8">
        <w:t>s</w:t>
      </w:r>
      <w:r w:rsidRPr="00273242">
        <w:t xml:space="preserve">chedule is a series of immunisations given at specific times throughout a person’s life. The immunisations range from birth through to adulthood. Victoria has a schedule of vaccines provided free under the </w:t>
      </w:r>
      <w:r w:rsidR="006E23E8">
        <w:t>NIP</w:t>
      </w:r>
      <w:r w:rsidRPr="00273242">
        <w:t xml:space="preserve"> and Victorian immunisation programs (Victorian Department of Health, 2019). </w:t>
      </w:r>
    </w:p>
    <w:p w14:paraId="6C016C74" w14:textId="76C0D336" w:rsidR="00EB0968" w:rsidRPr="00273242" w:rsidRDefault="00EB0968" w:rsidP="00EB0968">
      <w:pPr>
        <w:pStyle w:val="Body"/>
      </w:pPr>
      <w:r w:rsidRPr="00273242">
        <w:t>These vaccines are free for children, adolescents</w:t>
      </w:r>
      <w:r w:rsidR="006E23E8">
        <w:t>,</w:t>
      </w:r>
      <w:r w:rsidRPr="00273242">
        <w:t xml:space="preserve"> and adults at scheduled ages. Additional vaccines are recommended for people with increased risk factors, and catch-up vaccines are free for certain groups of people (such as refugees and asylum seekers). </w:t>
      </w:r>
    </w:p>
    <w:p w14:paraId="0DAA7E21" w14:textId="77777777" w:rsidR="00EB0968" w:rsidRPr="00273242" w:rsidRDefault="00EB0968" w:rsidP="00EB0968">
      <w:pPr>
        <w:pStyle w:val="Body"/>
      </w:pPr>
      <w:r w:rsidRPr="00273242">
        <w:t>Vaccines on the NIP provide protection from the following diseases:</w:t>
      </w:r>
    </w:p>
    <w:p w14:paraId="60B55F53" w14:textId="77777777" w:rsidR="00EB0968" w:rsidRDefault="00EB0968" w:rsidP="00EB0968">
      <w:pPr>
        <w:pStyle w:val="Bullet1"/>
      </w:pPr>
      <w:r>
        <w:t xml:space="preserve">Hepatitis B </w:t>
      </w:r>
    </w:p>
    <w:p w14:paraId="2916DADB" w14:textId="77777777" w:rsidR="00EB0968" w:rsidRDefault="00EB0968" w:rsidP="00EB0968">
      <w:pPr>
        <w:pStyle w:val="Bullet1"/>
      </w:pPr>
      <w:r>
        <w:t xml:space="preserve">Diphtheria </w:t>
      </w:r>
    </w:p>
    <w:p w14:paraId="6CD6C605" w14:textId="77777777" w:rsidR="00EB0968" w:rsidRDefault="00EB0968" w:rsidP="00EB0968">
      <w:pPr>
        <w:pStyle w:val="Bullet1"/>
      </w:pPr>
      <w:r>
        <w:t xml:space="preserve">Tetanus </w:t>
      </w:r>
    </w:p>
    <w:p w14:paraId="06778C14" w14:textId="77777777" w:rsidR="00EB0968" w:rsidRDefault="00EB0968" w:rsidP="00EB0968">
      <w:pPr>
        <w:pStyle w:val="Bullet1"/>
      </w:pPr>
      <w:r>
        <w:t xml:space="preserve">Poliomyelitis  </w:t>
      </w:r>
    </w:p>
    <w:p w14:paraId="3345A239" w14:textId="77777777" w:rsidR="00EB0968" w:rsidRDefault="00EB0968" w:rsidP="00EB0968">
      <w:pPr>
        <w:pStyle w:val="Bullet1"/>
      </w:pPr>
      <w:r>
        <w:t xml:space="preserve">Pertussis (whooping cough)  </w:t>
      </w:r>
    </w:p>
    <w:p w14:paraId="116D3F13" w14:textId="77777777" w:rsidR="00EB0968" w:rsidRDefault="00EB0968" w:rsidP="00EB0968">
      <w:pPr>
        <w:pStyle w:val="Bullet1"/>
      </w:pPr>
      <w:r>
        <w:t xml:space="preserve">Haemophilus influenzae type B </w:t>
      </w:r>
    </w:p>
    <w:p w14:paraId="271971A1" w14:textId="77777777" w:rsidR="00EB0968" w:rsidRDefault="00EB0968" w:rsidP="00EB0968">
      <w:pPr>
        <w:pStyle w:val="Bullet1"/>
      </w:pPr>
      <w:r>
        <w:t xml:space="preserve">Pneumococcal disease </w:t>
      </w:r>
    </w:p>
    <w:p w14:paraId="1628EA09" w14:textId="77777777" w:rsidR="00EB0968" w:rsidRDefault="00EB0968" w:rsidP="00EB0968">
      <w:pPr>
        <w:pStyle w:val="Bullet1"/>
      </w:pPr>
      <w:r>
        <w:t xml:space="preserve">Meningococcal B </w:t>
      </w:r>
    </w:p>
    <w:p w14:paraId="3AA705C1" w14:textId="4D766436" w:rsidR="00EB0968" w:rsidRDefault="00EB0968" w:rsidP="00EB0968">
      <w:pPr>
        <w:pStyle w:val="Bullet1"/>
      </w:pPr>
      <w:r>
        <w:t xml:space="preserve">Influenza </w:t>
      </w:r>
    </w:p>
    <w:p w14:paraId="34949694" w14:textId="77777777" w:rsidR="00EB0968" w:rsidRDefault="00EB0968" w:rsidP="00EB0968">
      <w:pPr>
        <w:pStyle w:val="Bullet1"/>
      </w:pPr>
      <w:r>
        <w:t xml:space="preserve">Tuberculosis  </w:t>
      </w:r>
    </w:p>
    <w:p w14:paraId="436180F6" w14:textId="77777777" w:rsidR="00EB0968" w:rsidRDefault="00EB0968" w:rsidP="00EB0968">
      <w:pPr>
        <w:pStyle w:val="Bullet1"/>
      </w:pPr>
      <w:r>
        <w:t>Measles</w:t>
      </w:r>
    </w:p>
    <w:p w14:paraId="0E9D2501" w14:textId="77777777" w:rsidR="00EB0968" w:rsidRDefault="00EB0968" w:rsidP="00EB0968">
      <w:pPr>
        <w:pStyle w:val="Bullet1"/>
      </w:pPr>
      <w:r>
        <w:t xml:space="preserve">Mumps </w:t>
      </w:r>
    </w:p>
    <w:p w14:paraId="3DA13D5A" w14:textId="77777777" w:rsidR="00EB0968" w:rsidRDefault="00EB0968" w:rsidP="00EB0968">
      <w:pPr>
        <w:pStyle w:val="Bullet1"/>
      </w:pPr>
      <w:r>
        <w:t xml:space="preserve">Rubella </w:t>
      </w:r>
    </w:p>
    <w:p w14:paraId="6DBB830E" w14:textId="77777777" w:rsidR="00EB0968" w:rsidRDefault="00EB0968" w:rsidP="00EB0968">
      <w:pPr>
        <w:pStyle w:val="Bullet1"/>
      </w:pPr>
      <w:r>
        <w:t>Meningococcal ACWY</w:t>
      </w:r>
    </w:p>
    <w:p w14:paraId="4D9F965D" w14:textId="77777777" w:rsidR="00EB0968" w:rsidRDefault="00EB0968" w:rsidP="00EB0968">
      <w:pPr>
        <w:pStyle w:val="Bullet1"/>
      </w:pPr>
      <w:r>
        <w:t xml:space="preserve">Varicella (chickenpox)  </w:t>
      </w:r>
    </w:p>
    <w:p w14:paraId="7E58455F" w14:textId="77777777" w:rsidR="00EB0968" w:rsidRDefault="00EB0968" w:rsidP="00EB0968">
      <w:pPr>
        <w:pStyle w:val="Bullet1"/>
      </w:pPr>
      <w:r>
        <w:t xml:space="preserve">Human Papillomavirus </w:t>
      </w:r>
    </w:p>
    <w:p w14:paraId="1B6A5AAE" w14:textId="061634E9" w:rsidR="00EB0968" w:rsidRPr="00A06201" w:rsidRDefault="00EB0968" w:rsidP="00EB0968">
      <w:pPr>
        <w:pStyle w:val="Bullet1"/>
      </w:pPr>
      <w:r>
        <w:lastRenderedPageBreak/>
        <w:t>Herpes zoster (shingles)</w:t>
      </w:r>
      <w:r w:rsidR="006E23E8">
        <w:t>.</w:t>
      </w:r>
    </w:p>
    <w:p w14:paraId="5A2580C7" w14:textId="77777777" w:rsidR="00EB0968" w:rsidRDefault="00EB0968" w:rsidP="00EB0968">
      <w:pPr>
        <w:pStyle w:val="Heading3"/>
      </w:pPr>
      <w:bookmarkStart w:id="120" w:name="_Toc115619065"/>
      <w:r w:rsidRPr="00153FD2">
        <w:t>National Immunisation Strategy and the National Partnership Agreement on Essential Medicines</w:t>
      </w:r>
      <w:bookmarkEnd w:id="120"/>
    </w:p>
    <w:p w14:paraId="6BCA3BA4" w14:textId="5F367ACB" w:rsidR="00EB0968" w:rsidRDefault="00EB0968" w:rsidP="00EB0968">
      <w:pPr>
        <w:pStyle w:val="Body"/>
      </w:pPr>
      <w:r>
        <w:t>The 2019</w:t>
      </w:r>
      <w:r w:rsidR="006E23E8">
        <w:t>-</w:t>
      </w:r>
      <w:r>
        <w:t>2024 National Immunisation Strategy for Australia</w:t>
      </w:r>
      <w:r w:rsidR="737E47E7">
        <w:t>, published in 2019,</w:t>
      </w:r>
      <w:r>
        <w:t xml:space="preserve"> identifies eight strategic priorities, including </w:t>
      </w:r>
      <w:r w:rsidR="444E8C01">
        <w:t>improving</w:t>
      </w:r>
      <w:r>
        <w:t xml:space="preserve"> immunisation coverage (Australian Government Department of Health, 2018). </w:t>
      </w:r>
    </w:p>
    <w:p w14:paraId="485EEB41" w14:textId="5B6004F3" w:rsidR="00EB0968" w:rsidRDefault="00EB0968" w:rsidP="00EB0968">
      <w:pPr>
        <w:pStyle w:val="Body"/>
      </w:pPr>
      <w:r>
        <w:t xml:space="preserve">The Immunisation Unit of the </w:t>
      </w:r>
      <w:r w:rsidR="00B173CA">
        <w:t>department</w:t>
      </w:r>
      <w:r>
        <w:t xml:space="preserve"> has aligned </w:t>
      </w:r>
      <w:r w:rsidR="006E23E8">
        <w:t xml:space="preserve">its </w:t>
      </w:r>
      <w:r>
        <w:t>strategic priorities with the Commonwealth</w:t>
      </w:r>
      <w:r w:rsidR="006E23E8">
        <w:t>. Those priorities are</w:t>
      </w:r>
      <w:r>
        <w:t xml:space="preserve"> to</w:t>
      </w:r>
      <w:r w:rsidR="006E23E8">
        <w:t>:</w:t>
      </w:r>
      <w:r>
        <w:t xml:space="preserve"> maintain and/or improve immunisation coverage rates for federal</w:t>
      </w:r>
      <w:r w:rsidR="006E23E8">
        <w:t>-</w:t>
      </w:r>
      <w:r>
        <w:t xml:space="preserve"> and state</w:t>
      </w:r>
      <w:r w:rsidR="006E23E8">
        <w:t>-</w:t>
      </w:r>
      <w:r>
        <w:t xml:space="preserve">funded vaccines; </w:t>
      </w:r>
      <w:r w:rsidR="006E23E8">
        <w:t xml:space="preserve">and </w:t>
      </w:r>
      <w:r>
        <w:t xml:space="preserve">protect as many Victorians as possible, including vulnerable Victorians, </w:t>
      </w:r>
      <w:r w:rsidR="006E23E8">
        <w:t xml:space="preserve">from </w:t>
      </w:r>
      <w:r>
        <w:t xml:space="preserve">vaccine-preventable disease.  </w:t>
      </w:r>
    </w:p>
    <w:p w14:paraId="60533469" w14:textId="73196C40" w:rsidR="006E23E8" w:rsidRDefault="00EB0968" w:rsidP="00EB0968">
      <w:pPr>
        <w:pStyle w:val="Body"/>
      </w:pPr>
      <w:r>
        <w:t>Consistent with the WHO target for the western Pacific region, Australian governments have agreed to a target of 95</w:t>
      </w:r>
      <w:r w:rsidR="000B501C">
        <w:rPr>
          <w:szCs w:val="21"/>
        </w:rPr>
        <w:t xml:space="preserve"> per cent</w:t>
      </w:r>
      <w:r>
        <w:t xml:space="preserve"> immunisation coverage for children aged </w:t>
      </w:r>
      <w:r w:rsidR="006E23E8">
        <w:t>one</w:t>
      </w:r>
      <w:r>
        <w:t xml:space="preserve">, </w:t>
      </w:r>
      <w:r w:rsidR="006E23E8">
        <w:t>two</w:t>
      </w:r>
      <w:r>
        <w:t xml:space="preserve"> and </w:t>
      </w:r>
      <w:r w:rsidR="006E23E8">
        <w:t>five</w:t>
      </w:r>
      <w:r>
        <w:t xml:space="preserve"> years by 2020. This target is reflected in the second National Partnership Agreement on Essential Vaccines (NPEV)</w:t>
      </w:r>
      <w:r w:rsidR="006E23E8">
        <w:t xml:space="preserve">. </w:t>
      </w:r>
    </w:p>
    <w:p w14:paraId="7C73ED02" w14:textId="4B17F5E1" w:rsidR="00EB0968" w:rsidRDefault="006E23E8" w:rsidP="00EB0968">
      <w:pPr>
        <w:pStyle w:val="Body"/>
      </w:pPr>
      <w:r>
        <w:t>Under the NPEV</w:t>
      </w:r>
      <w:r w:rsidR="00EB0968">
        <w:t xml:space="preserve">, the Victorian </w:t>
      </w:r>
      <w:r>
        <w:t>G</w:t>
      </w:r>
      <w:r w:rsidR="00EB0968">
        <w:t>overnment</w:t>
      </w:r>
      <w:r>
        <w:t xml:space="preserve"> and </w:t>
      </w:r>
      <w:r w:rsidR="00EB0968">
        <w:t>other states and territories ha</w:t>
      </w:r>
      <w:r>
        <w:t>ve</w:t>
      </w:r>
      <w:r w:rsidR="00EB0968">
        <w:t xml:space="preserve"> committed to improve vaccination coverage rates among </w:t>
      </w:r>
      <w:r>
        <w:t>five</w:t>
      </w:r>
      <w:r w:rsidR="00EB0968">
        <w:t>-year-old children (including Aboriginal and Torres Strait Islander children) to the target of 95</w:t>
      </w:r>
      <w:r w:rsidR="000B501C">
        <w:rPr>
          <w:szCs w:val="21"/>
        </w:rPr>
        <w:t xml:space="preserve"> per cent</w:t>
      </w:r>
      <w:r w:rsidR="00EB0968">
        <w:t xml:space="preserve"> (Australian Government Department of Health, 2018).</w:t>
      </w:r>
    </w:p>
    <w:p w14:paraId="0658621D" w14:textId="77777777" w:rsidR="00EB0968" w:rsidRDefault="00EB0968" w:rsidP="00EB0968">
      <w:pPr>
        <w:pStyle w:val="Heading3"/>
      </w:pPr>
      <w:bookmarkStart w:id="121" w:name="_Toc115619066"/>
      <w:r w:rsidRPr="00F20C9B">
        <w:t>Victoria maintains high vaccination coverage in children</w:t>
      </w:r>
      <w:bookmarkEnd w:id="121"/>
    </w:p>
    <w:p w14:paraId="02B0DF25" w14:textId="483A30EF" w:rsidR="006E23E8" w:rsidRDefault="00EB0968" w:rsidP="00EB0968">
      <w:pPr>
        <w:pStyle w:val="Body"/>
      </w:pPr>
      <w:r w:rsidRPr="00F71BB7">
        <w:t xml:space="preserve">Comparison of vaccination coverage of Victorian </w:t>
      </w:r>
      <w:r w:rsidR="006E23E8">
        <w:t>children at ages one</w:t>
      </w:r>
      <w:r w:rsidRPr="00F71BB7">
        <w:t xml:space="preserve">, </w:t>
      </w:r>
      <w:r w:rsidR="006E23E8">
        <w:t>two</w:t>
      </w:r>
      <w:r w:rsidRPr="00F71BB7">
        <w:t xml:space="preserve"> and </w:t>
      </w:r>
      <w:r w:rsidR="006E23E8">
        <w:t xml:space="preserve">five years </w:t>
      </w:r>
      <w:r w:rsidRPr="00F71BB7">
        <w:t xml:space="preserve">over time shows that Victoria has achieved high vaccination rates </w:t>
      </w:r>
      <w:r w:rsidR="006E23E8">
        <w:t xml:space="preserve">– and those vaccination rates </w:t>
      </w:r>
      <w:r w:rsidRPr="00F71BB7">
        <w:t xml:space="preserve">continue to climb. </w:t>
      </w:r>
    </w:p>
    <w:p w14:paraId="5426FD96" w14:textId="0C405FAD" w:rsidR="006E23E8" w:rsidRDefault="006E23E8" w:rsidP="00EB0968">
      <w:pPr>
        <w:pStyle w:val="Body"/>
      </w:pPr>
      <w:r>
        <w:t>Between 2016-2017, t</w:t>
      </w:r>
      <w:r w:rsidR="00EB0968" w:rsidRPr="00F71BB7">
        <w:t xml:space="preserve">here was a slight decline in vaccination rates for </w:t>
      </w:r>
      <w:r>
        <w:t>two</w:t>
      </w:r>
      <w:r w:rsidR="00EB0968" w:rsidRPr="00F71BB7">
        <w:t>-year-old Victorians</w:t>
      </w:r>
      <w:r>
        <w:t xml:space="preserve">. This decline was </w:t>
      </w:r>
      <w:r w:rsidR="00EB0968" w:rsidRPr="00F71BB7">
        <w:t>attributed to changes to the definition of fully immunised for measuring coverage rates in previous years</w:t>
      </w:r>
      <w:r>
        <w:t>,</w:t>
      </w:r>
      <w:r w:rsidR="00EB0968" w:rsidRPr="00F71BB7">
        <w:t xml:space="preserve"> causing a temporary lag in coverage, as well as </w:t>
      </w:r>
      <w:r>
        <w:t xml:space="preserve">2017 </w:t>
      </w:r>
      <w:r w:rsidR="00EB0968" w:rsidRPr="00F71BB7">
        <w:t xml:space="preserve">changes to diphtheria, tetanus and pertussis dose reporting in this age cohort. </w:t>
      </w:r>
    </w:p>
    <w:p w14:paraId="07B893BB" w14:textId="3AFEE845" w:rsidR="00EB0968" w:rsidRPr="00F71BB7" w:rsidRDefault="00EB0968" w:rsidP="00EB0968">
      <w:pPr>
        <w:pStyle w:val="Body"/>
      </w:pPr>
      <w:r w:rsidRPr="00F71BB7">
        <w:t xml:space="preserve">Vaccination rates climbed </w:t>
      </w:r>
      <w:r w:rsidR="006E23E8">
        <w:t xml:space="preserve">between 2018-2019, </w:t>
      </w:r>
      <w:r w:rsidRPr="00F71BB7">
        <w:t>following this decline.</w:t>
      </w:r>
    </w:p>
    <w:p w14:paraId="4F083251" w14:textId="4AC4B8D4" w:rsidR="00EB0968" w:rsidRPr="00F71BB7" w:rsidRDefault="006E23E8" w:rsidP="00EB0968">
      <w:pPr>
        <w:pStyle w:val="Body"/>
      </w:pPr>
      <w:r w:rsidRPr="00920FB4">
        <w:t xml:space="preserve">In 2019, </w:t>
      </w:r>
      <w:r w:rsidR="00EB0968" w:rsidRPr="00920FB4">
        <w:t>95.69</w:t>
      </w:r>
      <w:r w:rsidR="00207A51" w:rsidRPr="00920FB4">
        <w:rPr>
          <w:szCs w:val="21"/>
        </w:rPr>
        <w:t xml:space="preserve"> per cent</w:t>
      </w:r>
      <w:r w:rsidR="00EB0968" w:rsidRPr="00920FB4">
        <w:t xml:space="preserve"> of Victorian children were up to date with their vaccinations by age five, meeting the NPEV target</w:t>
      </w:r>
      <w:r w:rsidRPr="00920FB4">
        <w:t>. W</w:t>
      </w:r>
      <w:r w:rsidR="00EB0968" w:rsidRPr="00920FB4">
        <w:t xml:space="preserve">ork will continue to maintain this high vaccination coverage rate (Australian Government Department of Health, 2018). </w:t>
      </w:r>
    </w:p>
    <w:p w14:paraId="34CA149D" w14:textId="77777777" w:rsidR="00EB0968" w:rsidRPr="006F6E4C" w:rsidRDefault="00EB0968" w:rsidP="00EB0968">
      <w:pPr>
        <w:pStyle w:val="Body"/>
      </w:pPr>
      <w:r w:rsidRPr="006F6E4C">
        <w:t>A review of the No Jab No Play legislation (introduced in 2016) is planned for 2020, to investigate its effects on childcare aged children and make further recommendations for improving vaccination coverage under the NIP for childcare-aged children.</w:t>
      </w:r>
    </w:p>
    <w:p w14:paraId="0C0EE8AB" w14:textId="77777777" w:rsidR="00EB0968" w:rsidRDefault="00EB0968" w:rsidP="009D3C6D">
      <w:pPr>
        <w:pStyle w:val="Heading2"/>
        <w:rPr>
          <w:b w:val="0"/>
        </w:rPr>
      </w:pPr>
      <w:r w:rsidRPr="007F132A">
        <w:t xml:space="preserve">Maintaining safe and accessible vaccination services </w:t>
      </w:r>
    </w:p>
    <w:p w14:paraId="33008C76" w14:textId="77777777" w:rsidR="00EB0968" w:rsidRDefault="00EB0968" w:rsidP="00CB2B98">
      <w:pPr>
        <w:pStyle w:val="Heading3"/>
      </w:pPr>
      <w:r w:rsidRPr="0007298E">
        <w:t>Hospital-based immunisation services</w:t>
      </w:r>
    </w:p>
    <w:p w14:paraId="37196861" w14:textId="0CF40A97" w:rsidR="00EB0968" w:rsidRDefault="00EB0968" w:rsidP="00EB0968">
      <w:pPr>
        <w:pStyle w:val="Body"/>
      </w:pPr>
      <w:r>
        <w:t xml:space="preserve">The Victorian Government is committed to ensuring the NIP is accessible to all Victorians and continues to support strategies designed to increase vaccination rates in high-risk groups through targeted initiatives.  </w:t>
      </w:r>
    </w:p>
    <w:p w14:paraId="64C61F16" w14:textId="0946F2BD" w:rsidR="00EB0968" w:rsidRDefault="00EB0968" w:rsidP="00EB0968">
      <w:pPr>
        <w:pStyle w:val="Body"/>
      </w:pPr>
      <w:r>
        <w:lastRenderedPageBreak/>
        <w:t xml:space="preserve">In line with this commitment, the </w:t>
      </w:r>
      <w:r w:rsidR="006E23E8">
        <w:t>department</w:t>
      </w:r>
      <w:r>
        <w:t xml:space="preserve"> provides funding for specialist immunisation services at three Victorian Hospitals: </w:t>
      </w:r>
    </w:p>
    <w:p w14:paraId="1FA384A2" w14:textId="77777777" w:rsidR="00EB0968" w:rsidRDefault="00EB0968" w:rsidP="00EB0968">
      <w:pPr>
        <w:pStyle w:val="Bullet1"/>
      </w:pPr>
      <w:r>
        <w:t xml:space="preserve">Sunshine Hospital </w:t>
      </w:r>
    </w:p>
    <w:p w14:paraId="5F23F512" w14:textId="01DAF2C3" w:rsidR="00EB0968" w:rsidRDefault="00EB0968" w:rsidP="00EB0968">
      <w:pPr>
        <w:pStyle w:val="Bullet1"/>
      </w:pPr>
      <w:r>
        <w:t xml:space="preserve">Royal Children’s Hospital </w:t>
      </w:r>
      <w:r w:rsidR="006E23E8">
        <w:t>(RCH)</w:t>
      </w:r>
    </w:p>
    <w:p w14:paraId="017D928D" w14:textId="72FAFB7F" w:rsidR="00EB0968" w:rsidRDefault="00EB0968" w:rsidP="00F6566D">
      <w:pPr>
        <w:pStyle w:val="Bullet1"/>
        <w:spacing w:after="120"/>
      </w:pPr>
      <w:r>
        <w:t>Monash Medical Centre</w:t>
      </w:r>
      <w:r w:rsidR="006E23E8">
        <w:t>.</w:t>
      </w:r>
      <w:r>
        <w:t xml:space="preserve"> </w:t>
      </w:r>
    </w:p>
    <w:p w14:paraId="496BEAFD" w14:textId="77777777" w:rsidR="00EB0968" w:rsidRDefault="00EB0968" w:rsidP="00EB0968">
      <w:pPr>
        <w:pStyle w:val="Body"/>
      </w:pPr>
      <w:r>
        <w:t xml:space="preserve">These services provide comprehensive support to Victorians who require highly individualised assessment and support to receive vaccinations appropriate for their age.  </w:t>
      </w:r>
    </w:p>
    <w:p w14:paraId="4C22B57E" w14:textId="77777777" w:rsidR="00EB0968" w:rsidRDefault="00EB0968" w:rsidP="00EB0968">
      <w:pPr>
        <w:pStyle w:val="Body"/>
      </w:pPr>
      <w:r>
        <w:t xml:space="preserve">Key aspects of these services include: </w:t>
      </w:r>
    </w:p>
    <w:p w14:paraId="6A996FF3" w14:textId="479FDBDC" w:rsidR="00EB0968" w:rsidRDefault="00EB0968" w:rsidP="006062F2">
      <w:pPr>
        <w:pStyle w:val="Bullet1"/>
      </w:pPr>
      <w:r>
        <w:t>Dedicated immunisation telephone advice services</w:t>
      </w:r>
      <w:r w:rsidR="006E23E8">
        <w:t>. These services</w:t>
      </w:r>
      <w:r>
        <w:t xml:space="preserve"> support health professionals and members of the public.  </w:t>
      </w:r>
    </w:p>
    <w:p w14:paraId="1B689A91" w14:textId="04005A7D" w:rsidR="00EB0968" w:rsidRDefault="00EB0968" w:rsidP="006062F2">
      <w:pPr>
        <w:pStyle w:val="Bullet1"/>
      </w:pPr>
      <w:r>
        <w:t>In-reach vaccination models targeting vaccination of Victoria’s most vulnerable populations</w:t>
      </w:r>
      <w:r w:rsidR="006E23E8">
        <w:t xml:space="preserve">. Those vulnerable populations </w:t>
      </w:r>
      <w:r>
        <w:t>includ</w:t>
      </w:r>
      <w:r w:rsidR="006E23E8">
        <w:t>e</w:t>
      </w:r>
      <w:r>
        <w:t xml:space="preserve"> neonates and young children, Aboriginal and Torres Strait Islander people, oncology patients, and pregnant people. These models include promotion of appropriate maternal vaccinations and Hepatitis B vaccine birth doses.  </w:t>
      </w:r>
    </w:p>
    <w:p w14:paraId="16FE65A0" w14:textId="1C9C1BA5" w:rsidR="00EB0968" w:rsidRDefault="00EB0968" w:rsidP="006062F2">
      <w:pPr>
        <w:pStyle w:val="Bullet1"/>
      </w:pPr>
      <w:r>
        <w:t>Specialist immunisation clinics</w:t>
      </w:r>
      <w:r w:rsidR="006E23E8">
        <w:t>. These clinics</w:t>
      </w:r>
      <w:r>
        <w:t xml:space="preserve"> support</w:t>
      </w:r>
      <w:r w:rsidR="006E23E8">
        <w:t>:</w:t>
      </w:r>
      <w:r>
        <w:t xml:space="preserve"> Victorians after previous adverse reactions to immunisation, those at high-risk of adverse reaction to a vaccine or vaccines, those with underlying complex medical conditions, those with vaccine hesitancy, and people whose needs are unable to be met in a traditional vaccination setting.  </w:t>
      </w:r>
    </w:p>
    <w:p w14:paraId="388D6066" w14:textId="2BDD3F31" w:rsidR="00EB0968" w:rsidRDefault="00EB0968" w:rsidP="006062F2">
      <w:pPr>
        <w:pStyle w:val="Bullet1"/>
      </w:pPr>
      <w:r>
        <w:t xml:space="preserve">Assessments </w:t>
      </w:r>
      <w:r w:rsidR="006E23E8">
        <w:t xml:space="preserve">at the RCH </w:t>
      </w:r>
      <w:r>
        <w:t>of children for medical and special risk exemptions under the ‘No Jab No Play and No Jab No Pay’ policies.</w:t>
      </w:r>
    </w:p>
    <w:p w14:paraId="22B80884" w14:textId="77777777" w:rsidR="00EB0968" w:rsidRDefault="00EB0968" w:rsidP="006062F2">
      <w:pPr>
        <w:pStyle w:val="Bullet1"/>
      </w:pPr>
      <w:r>
        <w:t xml:space="preserve">Provision of clinical immunisation education to health professionals to support immunisation services.  </w:t>
      </w:r>
    </w:p>
    <w:p w14:paraId="092B732B" w14:textId="779CEF8A" w:rsidR="00EB0968" w:rsidRDefault="00EB0968" w:rsidP="00EB0968">
      <w:pPr>
        <w:pStyle w:val="Body"/>
      </w:pPr>
      <w:r>
        <w:t xml:space="preserve">Quarterly reports provided from each of the specialist immunisation services have shown an increase in vaccination coverage in </w:t>
      </w:r>
      <w:r w:rsidR="00C4288E">
        <w:t>targeted</w:t>
      </w:r>
      <w:r w:rsidR="006E23E8">
        <w:t xml:space="preserve"> </w:t>
      </w:r>
      <w:r>
        <w:t xml:space="preserve">high-risk groups.  </w:t>
      </w:r>
    </w:p>
    <w:p w14:paraId="62EDE979" w14:textId="77777777" w:rsidR="00EB0968" w:rsidRDefault="00EB0968" w:rsidP="00EB0968">
      <w:pPr>
        <w:pStyle w:val="Heading3"/>
      </w:pPr>
      <w:bookmarkStart w:id="122" w:name="_Toc115619067"/>
      <w:r w:rsidRPr="0061233D">
        <w:t>Adverse event management and reporting</w:t>
      </w:r>
      <w:bookmarkEnd w:id="122"/>
    </w:p>
    <w:p w14:paraId="5C22B147" w14:textId="18C84B64" w:rsidR="00EB0968" w:rsidRDefault="00EB0968" w:rsidP="00EB0968">
      <w:pPr>
        <w:pStyle w:val="Body"/>
      </w:pPr>
      <w:r>
        <w:t xml:space="preserve">Surveillance of Adverse Events Following Vaccination In the Community (SAEFVIC) is a public health partnership initiative of the Victorian Immunisation Program funded by the </w:t>
      </w:r>
      <w:r w:rsidR="00B173CA">
        <w:t>department</w:t>
      </w:r>
      <w:r>
        <w:t xml:space="preserve">. SAEFVIC is a specialist vaccine safety service that helps immunisation providers report and manage children and adults who have had an adverse event following immunisation. </w:t>
      </w:r>
    </w:p>
    <w:p w14:paraId="39F7E755" w14:textId="5CCD045D" w:rsidR="00EB0968" w:rsidRDefault="00EB0968" w:rsidP="00EB0968">
      <w:pPr>
        <w:pStyle w:val="Body"/>
      </w:pPr>
      <w:r>
        <w:t>Victoria is responsible for coordinating local monitoring and surveillance of adverse events following immunisation and reporting them to the Commonwealth under the NPEV.</w:t>
      </w:r>
    </w:p>
    <w:p w14:paraId="767268FD" w14:textId="402D55C0" w:rsidR="00EB0968" w:rsidRDefault="00B173CA" w:rsidP="00EB0968">
      <w:pPr>
        <w:pStyle w:val="Body"/>
      </w:pPr>
      <w:r>
        <w:t>SAEFVIC</w:t>
      </w:r>
      <w:r w:rsidDel="00B173CA">
        <w:t xml:space="preserve"> </w:t>
      </w:r>
      <w:r w:rsidR="00EB0968">
        <w:t xml:space="preserve">was established in 2007 and now comprises two units: </w:t>
      </w:r>
    </w:p>
    <w:p w14:paraId="1E32AC32" w14:textId="77777777" w:rsidR="00EB0968" w:rsidRDefault="00EB0968" w:rsidP="006062F2">
      <w:pPr>
        <w:pStyle w:val="Bullet1"/>
      </w:pPr>
      <w:r>
        <w:t xml:space="preserve">Clinical and surveillance </w:t>
      </w:r>
    </w:p>
    <w:p w14:paraId="660A2147" w14:textId="60115104" w:rsidR="00EB0968" w:rsidRDefault="00EB0968" w:rsidP="00CE59B0">
      <w:pPr>
        <w:pStyle w:val="Bullet1"/>
      </w:pPr>
      <w:r>
        <w:t>Epidemiology and signal investigation</w:t>
      </w:r>
      <w:r w:rsidR="00B173CA">
        <w:t>.</w:t>
      </w:r>
      <w:r>
        <w:t xml:space="preserve"> </w:t>
      </w:r>
    </w:p>
    <w:p w14:paraId="2DAB9E26" w14:textId="135DE34B" w:rsidR="00EB0968" w:rsidRDefault="00EB0968" w:rsidP="00EB0968">
      <w:pPr>
        <w:pStyle w:val="Body"/>
      </w:pPr>
      <w:r>
        <w:t xml:space="preserve">SAEFVIC is based at the Murdoch Children’s Research Institute and has a dedicated outpatient clinic at the </w:t>
      </w:r>
      <w:r w:rsidR="00B173CA">
        <w:t>RCH</w:t>
      </w:r>
      <w:r>
        <w:t>. It also provides regional clinical support via telehealth (Murdoch Children’s Research Centre). The SAEFVIC team includes immunisation nurses, administrative and research staff, epidemiologists, statisticians, data managers</w:t>
      </w:r>
      <w:r w:rsidR="00B173CA">
        <w:t>,</w:t>
      </w:r>
      <w:r>
        <w:t xml:space="preserve"> and clinicians. </w:t>
      </w:r>
    </w:p>
    <w:p w14:paraId="1C9F56B6" w14:textId="77777777" w:rsidR="00EB0968" w:rsidRDefault="00EB0968" w:rsidP="00EB0968">
      <w:pPr>
        <w:pStyle w:val="Heading2"/>
      </w:pPr>
      <w:bookmarkStart w:id="123" w:name="_Toc115619068"/>
      <w:bookmarkStart w:id="124" w:name="_Toc116981377"/>
      <w:r>
        <w:lastRenderedPageBreak/>
        <w:t>Refugee and asylum seeker vaccination programs</w:t>
      </w:r>
      <w:bookmarkEnd w:id="123"/>
      <w:bookmarkEnd w:id="124"/>
      <w:r>
        <w:t xml:space="preserve"> </w:t>
      </w:r>
    </w:p>
    <w:p w14:paraId="27CE4B27" w14:textId="13E569BF" w:rsidR="00EB0968" w:rsidRDefault="00EB0968" w:rsidP="00EB0968">
      <w:pPr>
        <w:pStyle w:val="Body"/>
      </w:pPr>
      <w:r>
        <w:t>In recognition of the difficulties many refugees and asylum seekers experience in accessing medical care, the 2016–17 State Budget provided an additional $10.9 million over four years to support the increasing number of refugees settling in Victoria (</w:t>
      </w:r>
      <w:r w:rsidR="00B173CA">
        <w:t>DHHS</w:t>
      </w:r>
      <w:r>
        <w:t>, 2016).</w:t>
      </w:r>
    </w:p>
    <w:p w14:paraId="3025E924" w14:textId="63169263" w:rsidR="00EB0968" w:rsidRDefault="00EB0968" w:rsidP="00EB0968">
      <w:pPr>
        <w:pStyle w:val="Body"/>
      </w:pPr>
      <w:r>
        <w:t>Of this funding, more than $2.3 million was set aside to help refugees and asylum seekers in Victoria complete vaccine schedules according to Australian recommendations (</w:t>
      </w:r>
      <w:r w:rsidR="00B173CA">
        <w:t>DHHS</w:t>
      </w:r>
      <w:r>
        <w:t>, 2016).</w:t>
      </w:r>
    </w:p>
    <w:p w14:paraId="396DD8FA" w14:textId="77777777" w:rsidR="00EB0968" w:rsidRDefault="00EB0968" w:rsidP="00EB0968">
      <w:pPr>
        <w:pStyle w:val="Body"/>
      </w:pPr>
      <w:r>
        <w:t>This funding supported the establishment of the Program for Refugee Immunisation Monitoring and Education (PRIME).</w:t>
      </w:r>
    </w:p>
    <w:p w14:paraId="4629D2ED" w14:textId="73FABD2C" w:rsidR="00EB0968" w:rsidRDefault="00EB0968" w:rsidP="00EB0968">
      <w:pPr>
        <w:pStyle w:val="Heading3"/>
      </w:pPr>
      <w:bookmarkStart w:id="125" w:name="_Toc115619069"/>
      <w:r w:rsidRPr="00E64986">
        <w:t>Program for Refugee Immunisation Monitoring and Education</w:t>
      </w:r>
      <w:bookmarkEnd w:id="125"/>
      <w:r w:rsidR="00275C4C">
        <w:t xml:space="preserve"> </w:t>
      </w:r>
    </w:p>
    <w:p w14:paraId="4D8D9B59" w14:textId="75383FAF" w:rsidR="00EB0968" w:rsidRDefault="00EB0968" w:rsidP="00EB0968">
      <w:pPr>
        <w:pStyle w:val="Body"/>
      </w:pPr>
      <w:r>
        <w:t xml:space="preserve">PRIME has four participating vaccination sites, with oversight from the Immunisation Unit at the </w:t>
      </w:r>
      <w:r w:rsidR="00B173CA">
        <w:t>department</w:t>
      </w:r>
      <w:r>
        <w:t xml:space="preserve"> and an Evaluation Reference Group (ERG). The four sites are</w:t>
      </w:r>
      <w:r w:rsidR="00B173CA">
        <w:t xml:space="preserve"> the</w:t>
      </w:r>
      <w:r>
        <w:t>:</w:t>
      </w:r>
    </w:p>
    <w:p w14:paraId="4C8D8996" w14:textId="77777777" w:rsidR="00EB0968" w:rsidRDefault="00EB0968" w:rsidP="006062F2">
      <w:pPr>
        <w:pStyle w:val="Bullet1"/>
      </w:pPr>
      <w:r>
        <w:t>City of Greater Dandenong</w:t>
      </w:r>
    </w:p>
    <w:p w14:paraId="6CE41AAD" w14:textId="77777777" w:rsidR="00EB0968" w:rsidRDefault="00EB0968" w:rsidP="006062F2">
      <w:pPr>
        <w:pStyle w:val="Bullet1"/>
      </w:pPr>
      <w:r>
        <w:t>City of Whittlesea and Hume</w:t>
      </w:r>
    </w:p>
    <w:p w14:paraId="05E0613A" w14:textId="77777777" w:rsidR="00EB0968" w:rsidRDefault="00EB0968" w:rsidP="006062F2">
      <w:pPr>
        <w:pStyle w:val="Bullet1"/>
      </w:pPr>
      <w:r>
        <w:t>Asylum Seeker Resource Centre</w:t>
      </w:r>
    </w:p>
    <w:p w14:paraId="0BFEA3A6" w14:textId="08873B3C" w:rsidR="00EB0968" w:rsidRDefault="00EB0968" w:rsidP="006062F2">
      <w:pPr>
        <w:pStyle w:val="Bullet1"/>
      </w:pPr>
      <w:r>
        <w:t>Cabrini Asylum Seeker and Refugee Health Hub</w:t>
      </w:r>
      <w:r w:rsidR="00DF373B">
        <w:t>.</w:t>
      </w:r>
    </w:p>
    <w:p w14:paraId="42D8C5E9" w14:textId="77777777" w:rsidR="00EB0968" w:rsidRDefault="00EB0968" w:rsidP="00AF50ED">
      <w:pPr>
        <w:pStyle w:val="Heading4"/>
      </w:pPr>
      <w:r>
        <w:t>Key aspects of PRIME include:</w:t>
      </w:r>
    </w:p>
    <w:p w14:paraId="112D54BD" w14:textId="77777777" w:rsidR="00EB0968" w:rsidRDefault="00EB0968" w:rsidP="006062F2">
      <w:pPr>
        <w:pStyle w:val="Bullet1"/>
      </w:pPr>
      <w:r>
        <w:t>Developing and maintaining referral pathways between settlement providers and immunisation services in primary care and local government areas and within asylum seeker agencies.</w:t>
      </w:r>
    </w:p>
    <w:p w14:paraId="13188904" w14:textId="09F022C6" w:rsidR="00EB0968" w:rsidRDefault="00EB0968" w:rsidP="006062F2">
      <w:pPr>
        <w:pStyle w:val="Bullet1"/>
      </w:pPr>
      <w:r>
        <w:t>Community education and engagement</w:t>
      </w:r>
      <w:r w:rsidR="00B173CA">
        <w:t>. This engagement is carried out t</w:t>
      </w:r>
      <w:r>
        <w:t>hrough community liaison officers, community education, outreach, word of mouth</w:t>
      </w:r>
      <w:r w:rsidR="00B173CA">
        <w:t>,</w:t>
      </w:r>
      <w:r>
        <w:t xml:space="preserve"> and project delivery within trusted services. </w:t>
      </w:r>
    </w:p>
    <w:p w14:paraId="2F4D1454" w14:textId="5C72C5B1" w:rsidR="00EB0968" w:rsidRDefault="00EB0968" w:rsidP="006062F2">
      <w:pPr>
        <w:pStyle w:val="Bullet1"/>
      </w:pPr>
      <w:r>
        <w:t>Provider engagement</w:t>
      </w:r>
      <w:r w:rsidR="00B173CA">
        <w:t>. This is achieved</w:t>
      </w:r>
      <w:r>
        <w:t xml:space="preserve"> through liaison, outreach</w:t>
      </w:r>
      <w:r w:rsidR="00B173CA">
        <w:t>,</w:t>
      </w:r>
      <w:r>
        <w:t xml:space="preserve"> and technical support for primary care providers.   </w:t>
      </w:r>
    </w:p>
    <w:p w14:paraId="3B11A4FF" w14:textId="13B43F03" w:rsidR="00EB0968" w:rsidRDefault="00EB0968" w:rsidP="006062F2">
      <w:pPr>
        <w:pStyle w:val="Bullet1"/>
      </w:pPr>
      <w:r>
        <w:t>Expanding service provision</w:t>
      </w:r>
      <w:r w:rsidR="00B173CA">
        <w:t>. This is delivered</w:t>
      </w:r>
      <w:r>
        <w:t xml:space="preserve"> through targeted sessions, opportunistic immunisation aligned with other systems</w:t>
      </w:r>
      <w:r w:rsidR="00B173CA">
        <w:t>,</w:t>
      </w:r>
      <w:r>
        <w:t xml:space="preserve"> and home visiting programs.</w:t>
      </w:r>
    </w:p>
    <w:p w14:paraId="2EF3933E" w14:textId="77777777" w:rsidR="00EB0968" w:rsidRDefault="00EB0968" w:rsidP="006062F2">
      <w:pPr>
        <w:pStyle w:val="Bullet1"/>
      </w:pPr>
      <w:r>
        <w:t>New systems to enable the tracking and follow-up required to ensure completion of catch-up vaccination.</w:t>
      </w:r>
    </w:p>
    <w:p w14:paraId="19519FD0" w14:textId="77777777" w:rsidR="00EB0968" w:rsidRDefault="00EB0968" w:rsidP="00AF50ED">
      <w:pPr>
        <w:pStyle w:val="Heading4"/>
      </w:pPr>
      <w:r w:rsidRPr="00A65AA3">
        <w:t>Outcomes of PRIME</w:t>
      </w:r>
    </w:p>
    <w:p w14:paraId="6B6CB358" w14:textId="207DBD9A" w:rsidR="00EB0968" w:rsidRDefault="00EB0968" w:rsidP="00EB0968">
      <w:pPr>
        <w:pStyle w:val="Body"/>
      </w:pPr>
      <w:r>
        <w:t>Program data collected by partner organisations indicates that 14.7</w:t>
      </w:r>
      <w:r w:rsidR="002C32F8">
        <w:rPr>
          <w:szCs w:val="21"/>
        </w:rPr>
        <w:t xml:space="preserve"> per cent</w:t>
      </w:r>
      <w:r>
        <w:t xml:space="preserve"> of refugees and asylum seekers referred </w:t>
      </w:r>
      <w:r w:rsidR="00B173CA">
        <w:t xml:space="preserve">to </w:t>
      </w:r>
      <w:r>
        <w:t xml:space="preserve">PRIME were up to date with their vaccinations at </w:t>
      </w:r>
      <w:r w:rsidR="00B173CA">
        <w:t xml:space="preserve">the </w:t>
      </w:r>
      <w:r>
        <w:t xml:space="preserve">time of </w:t>
      </w:r>
      <w:r w:rsidR="00B173CA">
        <w:t xml:space="preserve">their </w:t>
      </w:r>
      <w:r>
        <w:t xml:space="preserve">referral. </w:t>
      </w:r>
    </w:p>
    <w:p w14:paraId="44292D6E" w14:textId="12DF7BE3" w:rsidR="00EB0968" w:rsidRDefault="00EB0968" w:rsidP="00EB0968">
      <w:pPr>
        <w:pStyle w:val="Body"/>
      </w:pPr>
      <w:r>
        <w:t>Of the refugees and asylum seekers referred to PRIME after residing in Victoria for 12 months or more, just 28</w:t>
      </w:r>
      <w:r w:rsidR="002C32F8">
        <w:rPr>
          <w:szCs w:val="21"/>
        </w:rPr>
        <w:t xml:space="preserve"> per cent</w:t>
      </w:r>
      <w:r>
        <w:t xml:space="preserve"> were up to date with their vaccinations.</w:t>
      </w:r>
    </w:p>
    <w:p w14:paraId="7AC0B58A" w14:textId="489B4254" w:rsidR="00EB0968" w:rsidRDefault="00EB0968" w:rsidP="0054388C">
      <w:pPr>
        <w:pStyle w:val="Body"/>
        <w:spacing w:after="240"/>
      </w:pPr>
      <w:r>
        <w:t>Over the three years of PRIME</w:t>
      </w:r>
      <w:r w:rsidR="00B173CA">
        <w:t>,</w:t>
      </w:r>
      <w:r>
        <w:t xml:space="preserve"> to November 2019, 91.2</w:t>
      </w:r>
      <w:r w:rsidR="002C32F8">
        <w:rPr>
          <w:szCs w:val="21"/>
        </w:rPr>
        <w:t xml:space="preserve"> per cent</w:t>
      </w:r>
      <w:r>
        <w:t xml:space="preserve"> of refugees and asylum seekers who had been in the program 12 months or longer were up to date with their vaccinations. This </w:t>
      </w:r>
      <w:r w:rsidR="00B173CA">
        <w:t xml:space="preserve">result </w:t>
      </w:r>
      <w:r>
        <w:t>highlights the success of PRIME in supporting refugee and asylum seekers to complete their catch-up immunisation schedule (</w:t>
      </w:r>
      <w:r w:rsidR="00B173CA">
        <w:t>DHHS</w:t>
      </w:r>
      <w:r>
        <w:t>, 2020)</w:t>
      </w:r>
      <w:r w:rsidR="005229DB">
        <w:t xml:space="preserve">. </w:t>
      </w:r>
    </w:p>
    <w:p w14:paraId="73FA7818" w14:textId="77777777" w:rsidR="00CE1E68" w:rsidRDefault="00CE1E68" w:rsidP="00CE1E68">
      <w:pPr>
        <w:spacing w:after="0" w:line="240" w:lineRule="auto"/>
        <w:rPr>
          <w:rFonts w:eastAsia="MS Mincho"/>
          <w:b/>
          <w:bCs/>
          <w:iCs/>
          <w:color w:val="000000"/>
          <w:szCs w:val="26"/>
        </w:rPr>
      </w:pPr>
      <w:r w:rsidRPr="00FC4CE9">
        <w:rPr>
          <w:rFonts w:eastAsia="MS Mincho"/>
          <w:b/>
          <w:bCs/>
          <w:iCs/>
          <w:color w:val="000000"/>
          <w:szCs w:val="26"/>
        </w:rPr>
        <w:t xml:space="preserve">References </w:t>
      </w:r>
    </w:p>
    <w:p w14:paraId="6ADE2A06" w14:textId="40ED0696" w:rsidR="00CE1E68" w:rsidRPr="001C545B" w:rsidRDefault="00CE1E68" w:rsidP="00CE1E68">
      <w:r w:rsidRPr="00FC4CE9">
        <w:t xml:space="preserve">Australian Government Department of Health, 2018. </w:t>
      </w:r>
      <w:hyperlink r:id="rId109" w:history="1">
        <w:r w:rsidRPr="001C545B">
          <w:rPr>
            <w:rStyle w:val="Hyperlink"/>
          </w:rPr>
          <w:t>National Immunisation Strategy for Australia 2019 to 2024</w:t>
        </w:r>
      </w:hyperlink>
      <w:r w:rsidRPr="005D5CDC">
        <w:t>.</w:t>
      </w:r>
      <w:r w:rsidR="00C4288E">
        <w:t xml:space="preserve"> Available at</w:t>
      </w:r>
      <w:r w:rsidRPr="005D5CDC">
        <w:t xml:space="preserve"> </w:t>
      </w:r>
      <w:r w:rsidR="001C545B" w:rsidRPr="005D5CDC">
        <w:t>&lt;https://www.health.gov.au/resources/publications/national-immunisation-strategy-for-australia-2019-to-2024&gt;</w:t>
      </w:r>
      <w:r w:rsidR="00C4288E">
        <w:t>.</w:t>
      </w:r>
      <w:r w:rsidRPr="001C545B">
        <w:t xml:space="preserve"> </w:t>
      </w:r>
    </w:p>
    <w:p w14:paraId="67FF2B61" w14:textId="65799544" w:rsidR="00CE1E68" w:rsidRDefault="00CE1E68" w:rsidP="00CE1E68">
      <w:pPr>
        <w:rPr>
          <w:rFonts w:eastAsia="MS Mincho"/>
        </w:rPr>
      </w:pPr>
      <w:r w:rsidRPr="00FC4CE9">
        <w:lastRenderedPageBreak/>
        <w:t xml:space="preserve">Australian Government Department of Health, 2018. </w:t>
      </w:r>
      <w:bookmarkStart w:id="126" w:name="_Hlk122452489"/>
      <w:r w:rsidR="00701A2D">
        <w:fldChar w:fldCharType="begin"/>
      </w:r>
      <w:r w:rsidR="00701A2D">
        <w:instrText xml:space="preserve"> HYPERLINK "https://www.health.gov.au/health-topics/immunisation/childhood-immunisation-coverage/historical-coverage-data-tables-for-all-children." </w:instrText>
      </w:r>
      <w:r w:rsidR="00701A2D">
        <w:fldChar w:fldCharType="separate"/>
      </w:r>
      <w:r w:rsidRPr="00E76A45">
        <w:rPr>
          <w:rStyle w:val="Hyperlink"/>
        </w:rPr>
        <w:t>Historical coverage data tables for all children</w:t>
      </w:r>
      <w:r w:rsidR="00701A2D">
        <w:rPr>
          <w:rStyle w:val="Hyperlink"/>
        </w:rPr>
        <w:fldChar w:fldCharType="end"/>
      </w:r>
      <w:bookmarkEnd w:id="126"/>
      <w:r w:rsidRPr="00FC4CE9">
        <w:t xml:space="preserve">. </w:t>
      </w:r>
      <w:r w:rsidR="00C4288E">
        <w:t>Available at</w:t>
      </w:r>
      <w:r w:rsidR="007D0A4F">
        <w:t xml:space="preserve"> </w:t>
      </w:r>
      <w:r w:rsidR="00E76A45">
        <w:t>&lt;</w:t>
      </w:r>
      <w:r w:rsidRPr="00E76A45">
        <w:t>https://www.health.gov.au/health-topics/immunisation/childhood-immunisation-coverage/historical-coverage-data-tables-for-all-children</w:t>
      </w:r>
      <w:r w:rsidR="00E76A45" w:rsidRPr="00E76A45">
        <w:t>&gt;</w:t>
      </w:r>
      <w:r w:rsidR="00C4288E">
        <w:t>.</w:t>
      </w:r>
      <w:r w:rsidRPr="00E76A45">
        <w:rPr>
          <w:rFonts w:eastAsia="MS Mincho"/>
        </w:rPr>
        <w:t xml:space="preserve"> </w:t>
      </w:r>
    </w:p>
    <w:p w14:paraId="4330042D" w14:textId="5BDE7820" w:rsidR="00CE1E68" w:rsidRPr="00F654AB" w:rsidRDefault="00CE1E68" w:rsidP="00CE1E68">
      <w:r w:rsidRPr="00F654AB">
        <w:t xml:space="preserve">Department of Health and Human Services 2016, </w:t>
      </w:r>
      <w:r w:rsidR="7EF55A8C" w:rsidRPr="00F654AB">
        <w:t>‘</w:t>
      </w:r>
      <w:r w:rsidRPr="00F654AB">
        <w:t>2016-17 State Budget: Refugee and asylum seeker health and wellbeing in Victoria</w:t>
      </w:r>
      <w:r w:rsidR="0C5DA2ED" w:rsidRPr="00F654AB">
        <w:t>’</w:t>
      </w:r>
      <w:r w:rsidRPr="00F654AB">
        <w:t>, State Government of Victoria, Melbourne.</w:t>
      </w:r>
    </w:p>
    <w:p w14:paraId="241D0752" w14:textId="77777777" w:rsidR="00CE1E68" w:rsidRPr="00FC4CE9" w:rsidRDefault="00CE1E68" w:rsidP="00CE1E68">
      <w:r w:rsidRPr="00FC4CE9">
        <w:t xml:space="preserve">Department of Health and Human Services 2020, PRIME: Program for refugee immunisation monitoring and education. Briefingpaper:2016-2019 outcomes. </w:t>
      </w:r>
    </w:p>
    <w:p w14:paraId="08AE8785" w14:textId="559289DA" w:rsidR="00CE1E68" w:rsidRDefault="00000000" w:rsidP="00CE1E68">
      <w:pPr>
        <w:pStyle w:val="Body"/>
      </w:pPr>
      <w:hyperlink r:id="rId110" w:history="1">
        <w:r w:rsidR="00CE1E68" w:rsidRPr="00BF2A1C">
          <w:rPr>
            <w:rStyle w:val="Hyperlink"/>
          </w:rPr>
          <w:t>Murdoch Children’s Research Centre (n.d), SAEFVIC</w:t>
        </w:r>
      </w:hyperlink>
      <w:r w:rsidR="00CE1E68" w:rsidRPr="00D94BDE">
        <w:t xml:space="preserve">. </w:t>
      </w:r>
      <w:r w:rsidR="00CE1E68">
        <w:t>Available at</w:t>
      </w:r>
      <w:r w:rsidR="007D0A4F">
        <w:t xml:space="preserve"> </w:t>
      </w:r>
      <w:r w:rsidR="00276032">
        <w:t>&lt;</w:t>
      </w:r>
      <w:r w:rsidR="00276032" w:rsidRPr="00276032">
        <w:t>https://www.mcri.edu.au/research/research-areas/infection-and-immunity/saefvic</w:t>
      </w:r>
      <w:r w:rsidR="00276032">
        <w:t>&gt;</w:t>
      </w:r>
      <w:r w:rsidR="007F276A">
        <w:t>.</w:t>
      </w:r>
    </w:p>
    <w:p w14:paraId="2A91ABAB" w14:textId="265360FC" w:rsidR="00CE1E68" w:rsidRDefault="00000000" w:rsidP="00CE1E68">
      <w:pPr>
        <w:pStyle w:val="Body"/>
      </w:pPr>
      <w:hyperlink r:id="rId111" w:history="1">
        <w:r w:rsidR="003E6DEE" w:rsidRPr="007F276A">
          <w:rPr>
            <w:rStyle w:val="Hyperlink"/>
          </w:rPr>
          <w:t>National Partnership on Essential Vaccines, 2017</w:t>
        </w:r>
      </w:hyperlink>
      <w:r w:rsidR="00CE1E68" w:rsidRPr="00D94BDE">
        <w:t>. Available at</w:t>
      </w:r>
      <w:r w:rsidR="007D0A4F">
        <w:t xml:space="preserve"> </w:t>
      </w:r>
      <w:r w:rsidR="00276032">
        <w:t>&lt;</w:t>
      </w:r>
      <w:r w:rsidR="00276032" w:rsidRPr="00276032">
        <w:t>https://federalfinancialrelations.gov.au/sites/federalfinancialrelations.gov.au/files/2021-01/essential_vaccines_np.pdf</w:t>
      </w:r>
      <w:r w:rsidR="00276032">
        <w:t>&gt;</w:t>
      </w:r>
      <w:r w:rsidR="007F276A">
        <w:t>.</w:t>
      </w:r>
      <w:r w:rsidR="00CE1E68" w:rsidRPr="00D94BDE">
        <w:t xml:space="preserve"> </w:t>
      </w:r>
    </w:p>
    <w:p w14:paraId="31739B5C" w14:textId="5EB30F14" w:rsidR="00CE1E68" w:rsidRDefault="00CE1E68" w:rsidP="00CE1E68">
      <w:r w:rsidRPr="00FC4CE9">
        <w:t xml:space="preserve">Victorian Department of Health, 2019. </w:t>
      </w:r>
      <w:hyperlink r:id="rId112" w:history="1">
        <w:r w:rsidRPr="00F350D9">
          <w:rPr>
            <w:rStyle w:val="Hyperlink"/>
          </w:rPr>
          <w:t>Immunisation schedule Victoria and vaccine eligibility criteria</w:t>
        </w:r>
      </w:hyperlink>
      <w:r w:rsidRPr="00FC4CE9">
        <w:t xml:space="preserve">. </w:t>
      </w:r>
      <w:r w:rsidR="00A41B44">
        <w:t xml:space="preserve"> </w:t>
      </w:r>
      <w:r w:rsidR="00C4288E">
        <w:t xml:space="preserve">Available at </w:t>
      </w:r>
      <w:r w:rsidR="00A41B44">
        <w:t>&lt;</w:t>
      </w:r>
      <w:r w:rsidR="00A41B44" w:rsidRPr="00A41B44">
        <w:t>https://www.health.vic.gov.au/immunisation/immunisation-schedule-victoria-and-vaccine-eligibility-criteria</w:t>
      </w:r>
      <w:r w:rsidR="00F350D9">
        <w:t>&gt;</w:t>
      </w:r>
      <w:r w:rsidR="00EC18D5">
        <w:t>.</w:t>
      </w:r>
    </w:p>
    <w:p w14:paraId="33F66C5F" w14:textId="324EAD41" w:rsidR="00A134E8" w:rsidRDefault="000366C5">
      <w:pPr>
        <w:spacing w:after="0" w:line="240" w:lineRule="auto"/>
        <w:rPr>
          <w:rFonts w:eastAsia="Times"/>
        </w:rPr>
      </w:pPr>
      <w:r>
        <w:br w:type="page"/>
      </w:r>
    </w:p>
    <w:p w14:paraId="68018545" w14:textId="19F4F298" w:rsidR="00A134E8" w:rsidRDefault="008473F7" w:rsidP="00A134E8">
      <w:pPr>
        <w:pStyle w:val="Heading1"/>
        <w:spacing w:before="0"/>
      </w:pPr>
      <w:bookmarkStart w:id="127" w:name="_Toc116981378"/>
      <w:bookmarkStart w:id="128" w:name="_Toc128138653"/>
      <w:r>
        <w:lastRenderedPageBreak/>
        <w:t xml:space="preserve">Chapter 14 </w:t>
      </w:r>
      <w:r w:rsidR="00B173CA">
        <w:t>–</w:t>
      </w:r>
      <w:r>
        <w:t xml:space="preserve"> </w:t>
      </w:r>
      <w:r w:rsidR="004D77E2">
        <w:t>Non</w:t>
      </w:r>
      <w:r w:rsidR="00B173CA">
        <w:t>-</w:t>
      </w:r>
      <w:r w:rsidR="004D77E2">
        <w:t>communicable disease</w:t>
      </w:r>
      <w:bookmarkEnd w:id="127"/>
      <w:bookmarkEnd w:id="128"/>
      <w:r w:rsidR="004D77E2">
        <w:t xml:space="preserve"> </w:t>
      </w:r>
    </w:p>
    <w:p w14:paraId="4A0BF5F5" w14:textId="2ED79C42" w:rsidR="00B173CA" w:rsidRDefault="005D0207" w:rsidP="00E64E98">
      <w:pPr>
        <w:pStyle w:val="Body"/>
      </w:pPr>
      <w:r>
        <w:t>Non</w:t>
      </w:r>
      <w:r w:rsidR="00B173CA">
        <w:t>-</w:t>
      </w:r>
      <w:r>
        <w:t xml:space="preserve">communicable disease </w:t>
      </w:r>
      <w:r w:rsidR="00B173CA">
        <w:t xml:space="preserve">typically </w:t>
      </w:r>
      <w:r w:rsidR="00B502B6">
        <w:t>refers to chronic disease</w:t>
      </w:r>
      <w:r w:rsidR="00B173CA">
        <w:t>.</w:t>
      </w:r>
    </w:p>
    <w:p w14:paraId="721A15D3" w14:textId="55249993" w:rsidR="004D27FF" w:rsidRDefault="00B173CA" w:rsidP="00E64E98">
      <w:pPr>
        <w:pStyle w:val="Body"/>
      </w:pPr>
      <w:r>
        <w:t>Chronic disease</w:t>
      </w:r>
      <w:r w:rsidR="00B502B6">
        <w:t xml:space="preserve"> is </w:t>
      </w:r>
      <w:r w:rsidR="005D0207">
        <w:t>a broad classification that refers to illnesses that persist over a long period of time</w:t>
      </w:r>
      <w:r w:rsidR="7153CAE1">
        <w:t xml:space="preserve"> or</w:t>
      </w:r>
      <w:r w:rsidR="005D0207">
        <w:t xml:space="preserve"> constantly recur. </w:t>
      </w:r>
      <w:r w:rsidR="004D27FF" w:rsidRPr="004D27FF">
        <w:t xml:space="preserve">Chronic diseases </w:t>
      </w:r>
      <w:r w:rsidR="006747E5">
        <w:t xml:space="preserve">can have significant </w:t>
      </w:r>
      <w:r w:rsidR="004D27FF" w:rsidRPr="004D27FF">
        <w:t xml:space="preserve">impacts on a person’s </w:t>
      </w:r>
      <w:r w:rsidR="00811774">
        <w:t>wellbeing and individual circumstances</w:t>
      </w:r>
      <w:r>
        <w:t>,</w:t>
      </w:r>
      <w:r w:rsidR="00811774">
        <w:t xml:space="preserve"> </w:t>
      </w:r>
      <w:r w:rsidR="004D27FF" w:rsidRPr="004D27FF">
        <w:t xml:space="preserve">including </w:t>
      </w:r>
      <w:r>
        <w:t xml:space="preserve">their </w:t>
      </w:r>
      <w:r w:rsidR="004D27FF" w:rsidRPr="004D27FF">
        <w:t>quality of life</w:t>
      </w:r>
      <w:r>
        <w:t>,</w:t>
      </w:r>
      <w:r w:rsidR="004D27FF" w:rsidRPr="004D27FF">
        <w:t xml:space="preserve"> and social and economic</w:t>
      </w:r>
      <w:r>
        <w:t xml:space="preserve"> standing</w:t>
      </w:r>
      <w:r w:rsidR="00811774">
        <w:t>.</w:t>
      </w:r>
    </w:p>
    <w:p w14:paraId="0840327E" w14:textId="408D4200" w:rsidR="00B173CA" w:rsidRDefault="00B173CA" w:rsidP="005807DC">
      <w:pPr>
        <w:pStyle w:val="Body"/>
      </w:pPr>
      <w:r>
        <w:t>C</w:t>
      </w:r>
      <w:r w:rsidR="00E64E98">
        <w:t>hronic disease is the biggest</w:t>
      </w:r>
      <w:r w:rsidR="009638EE">
        <w:t xml:space="preserve"> </w:t>
      </w:r>
      <w:r w:rsidR="00E64E98">
        <w:t>challenge facing Victoria’s healthcare system.</w:t>
      </w:r>
      <w:r w:rsidR="008E2D7D">
        <w:t xml:space="preserve"> </w:t>
      </w:r>
    </w:p>
    <w:p w14:paraId="63739376" w14:textId="5F0970FB" w:rsidR="00B1302A" w:rsidRDefault="008E2D7D" w:rsidP="005807DC">
      <w:pPr>
        <w:pStyle w:val="Body"/>
      </w:pPr>
      <w:r w:rsidRPr="00532284">
        <w:t>This section</w:t>
      </w:r>
      <w:r w:rsidR="00986B75" w:rsidRPr="00532284">
        <w:t xml:space="preserve"> includes summarise</w:t>
      </w:r>
      <w:r w:rsidR="00532284">
        <w:t>d dat</w:t>
      </w:r>
      <w:r w:rsidR="00F86307">
        <w:t>a</w:t>
      </w:r>
      <w:r w:rsidR="00532284">
        <w:t xml:space="preserve"> from the following</w:t>
      </w:r>
      <w:r w:rsidR="00986B75" w:rsidRPr="00532284">
        <w:t xml:space="preserve"> major</w:t>
      </w:r>
      <w:r w:rsidR="00532284">
        <w:t xml:space="preserve"> chronic</w:t>
      </w:r>
      <w:r w:rsidR="00986B75" w:rsidRPr="00532284">
        <w:t xml:space="preserve"> disease </w:t>
      </w:r>
      <w:r w:rsidR="00532284" w:rsidRPr="00532284">
        <w:t>group</w:t>
      </w:r>
      <w:r w:rsidR="00532284">
        <w:t>s.</w:t>
      </w:r>
    </w:p>
    <w:p w14:paraId="117C35CA" w14:textId="2BEA1E9D" w:rsidR="0078747B" w:rsidRDefault="00EA6825" w:rsidP="00DF373B">
      <w:pPr>
        <w:pStyle w:val="Bullet1"/>
      </w:pPr>
      <w:r>
        <w:t>m</w:t>
      </w:r>
      <w:r w:rsidR="0078747B">
        <w:t>ulti-morbidity</w:t>
      </w:r>
    </w:p>
    <w:p w14:paraId="4A1C6BD5" w14:textId="40477C66" w:rsidR="00F32C4C" w:rsidRPr="00F32C4C" w:rsidRDefault="00F32C4C" w:rsidP="00DF373B">
      <w:pPr>
        <w:pStyle w:val="Bullet1"/>
      </w:pPr>
      <w:r w:rsidRPr="00F32C4C">
        <w:t>cancer (including skin cancers)</w:t>
      </w:r>
    </w:p>
    <w:p w14:paraId="3F61A93D" w14:textId="77777777" w:rsidR="00F32C4C" w:rsidRPr="00F32C4C" w:rsidRDefault="00F32C4C" w:rsidP="00DF373B">
      <w:pPr>
        <w:pStyle w:val="Bullet1"/>
      </w:pPr>
      <w:r w:rsidRPr="00F32C4C">
        <w:t>heart disease</w:t>
      </w:r>
    </w:p>
    <w:p w14:paraId="20A6615A" w14:textId="77777777" w:rsidR="00F32C4C" w:rsidRPr="00F32C4C" w:rsidRDefault="00F32C4C" w:rsidP="00DF373B">
      <w:pPr>
        <w:pStyle w:val="Bullet1"/>
      </w:pPr>
      <w:r w:rsidRPr="00F32C4C">
        <w:t>stroke</w:t>
      </w:r>
    </w:p>
    <w:p w14:paraId="29F18B85" w14:textId="77777777" w:rsidR="00F32C4C" w:rsidRPr="00F32C4C" w:rsidRDefault="00F32C4C" w:rsidP="00DF373B">
      <w:pPr>
        <w:pStyle w:val="Bullet1"/>
      </w:pPr>
      <w:r w:rsidRPr="00F32C4C">
        <w:t>diabetes </w:t>
      </w:r>
    </w:p>
    <w:p w14:paraId="26D9BDB5" w14:textId="5BD3E6B1" w:rsidR="005B1E24" w:rsidRPr="00F32C4C" w:rsidRDefault="005B1E24" w:rsidP="00DF373B">
      <w:pPr>
        <w:pStyle w:val="Bullet1"/>
      </w:pPr>
      <w:r>
        <w:t>asthma</w:t>
      </w:r>
    </w:p>
    <w:p w14:paraId="179A378D" w14:textId="2A17F00F" w:rsidR="00B1302A" w:rsidRPr="00F140CB" w:rsidRDefault="00F32C4C" w:rsidP="00DF373B">
      <w:pPr>
        <w:pStyle w:val="Bullet1"/>
      </w:pPr>
      <w:r w:rsidRPr="00F140CB">
        <w:t>musculoskeletal conditions</w:t>
      </w:r>
      <w:r w:rsidR="00F24A43" w:rsidRPr="00F140CB">
        <w:t>.</w:t>
      </w:r>
    </w:p>
    <w:p w14:paraId="2EB32E85" w14:textId="4452E02D" w:rsidR="0078747B" w:rsidRDefault="0078747B" w:rsidP="0078747B">
      <w:pPr>
        <w:pStyle w:val="Heading2"/>
      </w:pPr>
      <w:bookmarkStart w:id="129" w:name="_Toc116981379"/>
      <w:r>
        <w:t>Multi-morbidity</w:t>
      </w:r>
    </w:p>
    <w:p w14:paraId="2B0C7FBB" w14:textId="0AF63035" w:rsidR="0078747B" w:rsidRDefault="00B173CA" w:rsidP="0078747B">
      <w:r>
        <w:t>M</w:t>
      </w:r>
      <w:r w:rsidR="0078747B">
        <w:t>ulti-morbidity refers to an individual experiencing and living with two or more co-existing chronic conditions. Ageing populations and the increase in long-term conditions mean that the number of people with multiple health conditions is set to rise</w:t>
      </w:r>
      <w:r w:rsidR="006B2B81">
        <w:t xml:space="preserve"> (VAHI, 2022)</w:t>
      </w:r>
    </w:p>
    <w:p w14:paraId="198CF37D" w14:textId="23E9A1B4" w:rsidR="0078747B" w:rsidRDefault="0078747B" w:rsidP="0078747B">
      <w:r>
        <w:t xml:space="preserve">Managing multiple long term health conditions can have a significant </w:t>
      </w:r>
      <w:r w:rsidR="00EA6825" w:rsidRPr="004D27FF">
        <w:t>impact</w:t>
      </w:r>
      <w:r w:rsidRPr="004D27FF">
        <w:t xml:space="preserve"> on a person’s </w:t>
      </w:r>
      <w:r>
        <w:t>wellbeing, and often require complex ongoing care.</w:t>
      </w:r>
    </w:p>
    <w:p w14:paraId="4F65D1FC" w14:textId="38F964E3" w:rsidR="0078747B" w:rsidRDefault="0078747B" w:rsidP="0078747B">
      <w:r>
        <w:t xml:space="preserve">In 2019, the proportion of </w:t>
      </w:r>
      <w:r w:rsidRPr="0007249D">
        <w:t>Victorian adults who reported being diagnosed with two or more of seven common chronic diseases (excluding asthma) was 19.6</w:t>
      </w:r>
      <w:r w:rsidR="00B173CA" w:rsidRPr="0007249D">
        <w:t xml:space="preserve"> per cent</w:t>
      </w:r>
      <w:r w:rsidRPr="0007249D">
        <w:t xml:space="preserve"> overall</w:t>
      </w:r>
      <w:r w:rsidR="0007249D" w:rsidRPr="0007249D">
        <w:t>.</w:t>
      </w:r>
      <w:r>
        <w:t xml:space="preserve"> This proportion was significantly lower in men (16.7</w:t>
      </w:r>
      <w:r w:rsidR="00B173CA">
        <w:t xml:space="preserve"> per cent</w:t>
      </w:r>
      <w:r>
        <w:t>) compared with women (22.1</w:t>
      </w:r>
      <w:r w:rsidR="00B173CA">
        <w:t xml:space="preserve"> per cent</w:t>
      </w:r>
      <w:r>
        <w:t xml:space="preserve">) </w:t>
      </w:r>
      <w:r w:rsidR="006B2B81">
        <w:t>(VAHI, 2022).</w:t>
      </w:r>
    </w:p>
    <w:p w14:paraId="629303B9" w14:textId="1041877B" w:rsidR="0023276C" w:rsidRDefault="0023276C" w:rsidP="0023276C">
      <w:pPr>
        <w:pStyle w:val="Heading2"/>
      </w:pPr>
      <w:r>
        <w:t>Cancer</w:t>
      </w:r>
      <w:bookmarkEnd w:id="129"/>
      <w:r>
        <w:t xml:space="preserve"> </w:t>
      </w:r>
    </w:p>
    <w:p w14:paraId="3DB3FCF4" w14:textId="77777777" w:rsidR="00B173CA" w:rsidRDefault="0023276C" w:rsidP="0023276C">
      <w:pPr>
        <w:pStyle w:val="Body"/>
        <w:rPr>
          <w:rFonts w:cs="Arial"/>
          <w:color w:val="2A2736"/>
        </w:rPr>
      </w:pPr>
      <w:r w:rsidRPr="58C92786">
        <w:rPr>
          <w:rFonts w:cs="Arial"/>
          <w:color w:val="2A2736"/>
        </w:rPr>
        <w:t xml:space="preserve">Cancer is a leading contributor to the burden of disease in Victoria. </w:t>
      </w:r>
    </w:p>
    <w:p w14:paraId="3D02C518" w14:textId="5E5CC2BA" w:rsidR="0023276C" w:rsidRDefault="0023276C" w:rsidP="0023276C">
      <w:pPr>
        <w:pStyle w:val="Body"/>
      </w:pPr>
      <w:r>
        <w:t xml:space="preserve">In 2019, cancers were diagnosed in 19,931 men and 15,981 women. </w:t>
      </w:r>
      <w:r w:rsidRPr="0007249D">
        <w:t xml:space="preserve">This equates to 98 new diagnoses every day </w:t>
      </w:r>
      <w:r w:rsidR="00B173CA" w:rsidRPr="0007249D">
        <w:t xml:space="preserve">or </w:t>
      </w:r>
      <w:r w:rsidRPr="0007249D">
        <w:t>one every 15 minutes (Cancer Council Victoria</w:t>
      </w:r>
      <w:r w:rsidR="00B173CA" w:rsidRPr="0007249D">
        <w:t>,</w:t>
      </w:r>
      <w:r w:rsidRPr="0007249D">
        <w:t xml:space="preserve"> 2020).</w:t>
      </w:r>
      <w:r w:rsidR="0005191B" w:rsidRPr="0007249D">
        <w:t xml:space="preserve"> </w:t>
      </w:r>
    </w:p>
    <w:p w14:paraId="2E501159" w14:textId="1712A3D4" w:rsidR="0023276C" w:rsidRDefault="0023276C" w:rsidP="0023276C">
      <w:pPr>
        <w:pStyle w:val="Body"/>
      </w:pPr>
      <w:r w:rsidRPr="00E87549">
        <w:rPr>
          <w:rFonts w:cs="Arial"/>
          <w:color w:val="2A2736"/>
        </w:rPr>
        <w:t>At least one</w:t>
      </w:r>
      <w:r w:rsidR="00B173CA">
        <w:rPr>
          <w:rFonts w:cs="Arial"/>
          <w:color w:val="2A2736"/>
        </w:rPr>
        <w:t>-</w:t>
      </w:r>
      <w:r w:rsidRPr="00E87549">
        <w:rPr>
          <w:rFonts w:cs="Arial"/>
          <w:color w:val="2A2736"/>
        </w:rPr>
        <w:t>in</w:t>
      </w:r>
      <w:r w:rsidR="00B173CA">
        <w:rPr>
          <w:rFonts w:cs="Arial"/>
          <w:color w:val="2A2736"/>
        </w:rPr>
        <w:t>-</w:t>
      </w:r>
      <w:r w:rsidRPr="00E87549">
        <w:rPr>
          <w:rFonts w:cs="Arial"/>
          <w:color w:val="2A2736"/>
        </w:rPr>
        <w:t xml:space="preserve">three Victorians will develop a cancer by the age of 75, </w:t>
      </w:r>
      <w:r w:rsidR="00FA2AFC">
        <w:rPr>
          <w:rFonts w:cs="Arial"/>
          <w:color w:val="2A2736"/>
        </w:rPr>
        <w:t xml:space="preserve">equating to more than one-in-three men and almost one-in-three women </w:t>
      </w:r>
      <w:r>
        <w:t>(Cancer Council Victoria</w:t>
      </w:r>
      <w:r w:rsidR="00FA2AFC">
        <w:t>,</w:t>
      </w:r>
      <w:r>
        <w:t xml:space="preserve"> 2020).</w:t>
      </w:r>
    </w:p>
    <w:p w14:paraId="50B63ED3" w14:textId="11554358" w:rsidR="0023276C" w:rsidRDefault="0023276C" w:rsidP="0023276C">
      <w:pPr>
        <w:pStyle w:val="Body"/>
        <w:rPr>
          <w:rFonts w:cs="Arial"/>
          <w:color w:val="2A2736"/>
        </w:rPr>
      </w:pPr>
      <w:r>
        <w:t>Age-standardised rates of incidence for all cancers in Victoria from 1982-2019 increased by an average of 0.6</w:t>
      </w:r>
      <w:r w:rsidR="004713B8">
        <w:rPr>
          <w:szCs w:val="21"/>
        </w:rPr>
        <w:t xml:space="preserve"> per cent</w:t>
      </w:r>
      <w:r>
        <w:t xml:space="preserve"> per year </w:t>
      </w:r>
      <w:r w:rsidR="00FA2AFC">
        <w:t xml:space="preserve">for </w:t>
      </w:r>
      <w:r>
        <w:t>both men and women (Cancer Council Victoria</w:t>
      </w:r>
      <w:r w:rsidR="00FA2AFC">
        <w:t>,</w:t>
      </w:r>
      <w:r>
        <w:t xml:space="preserve"> 2020).</w:t>
      </w:r>
    </w:p>
    <w:p w14:paraId="7A950708" w14:textId="0F054A2F" w:rsidR="0023276C" w:rsidRPr="00E87549" w:rsidRDefault="0023276C" w:rsidP="0023276C">
      <w:pPr>
        <w:pStyle w:val="Body"/>
        <w:rPr>
          <w:rFonts w:cs="Arial"/>
          <w:color w:val="2A2736"/>
        </w:rPr>
      </w:pPr>
      <w:r>
        <w:t xml:space="preserve">Cancer was strongly related to age, with less than </w:t>
      </w:r>
      <w:r w:rsidR="00FA2AFC">
        <w:t>one</w:t>
      </w:r>
      <w:r w:rsidR="007C2FC8">
        <w:t xml:space="preserve"> per cent</w:t>
      </w:r>
      <w:r>
        <w:t xml:space="preserve"> of tumours occurring before age 20 and 61</w:t>
      </w:r>
      <w:r w:rsidR="004713B8">
        <w:rPr>
          <w:szCs w:val="21"/>
        </w:rPr>
        <w:t xml:space="preserve"> per cent</w:t>
      </w:r>
      <w:r>
        <w:t xml:space="preserve"> occurring in persons older than 65 years (Cancer Council Victoria</w:t>
      </w:r>
      <w:r w:rsidR="00FA2AFC">
        <w:t>,</w:t>
      </w:r>
      <w:r>
        <w:t xml:space="preserve"> 2020).</w:t>
      </w:r>
    </w:p>
    <w:p w14:paraId="777FE173" w14:textId="52A034ED" w:rsidR="0016692F" w:rsidRDefault="0023276C" w:rsidP="0023276C">
      <w:pPr>
        <w:pStyle w:val="Body"/>
      </w:pPr>
      <w:r w:rsidRPr="0050560A">
        <w:rPr>
          <w:rFonts w:cs="Arial"/>
          <w:color w:val="2A2736"/>
        </w:rPr>
        <w:t xml:space="preserve">The </w:t>
      </w:r>
      <w:r w:rsidRPr="0007249D">
        <w:rPr>
          <w:rFonts w:cs="Arial"/>
          <w:color w:val="2A2736"/>
        </w:rPr>
        <w:t>five most common cancers in Victoria are prostate, breast, bowel, lung</w:t>
      </w:r>
      <w:r w:rsidR="00FA2AFC" w:rsidRPr="0007249D">
        <w:rPr>
          <w:rFonts w:cs="Arial"/>
          <w:color w:val="2A2736"/>
        </w:rPr>
        <w:t>,</w:t>
      </w:r>
      <w:r w:rsidRPr="0007249D">
        <w:rPr>
          <w:rFonts w:cs="Arial"/>
          <w:color w:val="2A2736"/>
        </w:rPr>
        <w:t xml:space="preserve"> and melanoma</w:t>
      </w:r>
      <w:r w:rsidR="00FA2AFC" w:rsidRPr="0007249D">
        <w:rPr>
          <w:rFonts w:cs="Arial"/>
          <w:color w:val="2A2736"/>
        </w:rPr>
        <w:t>. These most common cancers</w:t>
      </w:r>
      <w:r w:rsidRPr="0007249D">
        <w:rPr>
          <w:rFonts w:cs="Arial"/>
          <w:color w:val="2A2736"/>
        </w:rPr>
        <w:t xml:space="preserve"> </w:t>
      </w:r>
      <w:r w:rsidRPr="0007249D">
        <w:t>account for 57</w:t>
      </w:r>
      <w:r w:rsidR="004713B8" w:rsidRPr="0007249D">
        <w:rPr>
          <w:szCs w:val="21"/>
        </w:rPr>
        <w:t xml:space="preserve"> per cent</w:t>
      </w:r>
      <w:r w:rsidRPr="0007249D">
        <w:t xml:space="preserve"> of all new cancers and 46</w:t>
      </w:r>
      <w:r w:rsidR="004713B8" w:rsidRPr="0007249D">
        <w:rPr>
          <w:szCs w:val="21"/>
        </w:rPr>
        <w:t xml:space="preserve"> per cent</w:t>
      </w:r>
      <w:r w:rsidRPr="0007249D">
        <w:t xml:space="preserve"> of all cancer deaths</w:t>
      </w:r>
      <w:r w:rsidR="0005191B" w:rsidRPr="0007249D">
        <w:t xml:space="preserve"> </w:t>
      </w:r>
      <w:r w:rsidRPr="004770D4">
        <w:t>(Cancer Council Victoria</w:t>
      </w:r>
      <w:r w:rsidR="00FA2AFC">
        <w:t>,</w:t>
      </w:r>
      <w:r w:rsidRPr="004770D4">
        <w:t xml:space="preserve"> 2020).</w:t>
      </w:r>
      <w:r w:rsidR="0016692F">
        <w:t xml:space="preserve"> </w:t>
      </w:r>
    </w:p>
    <w:p w14:paraId="78FA8BE8" w14:textId="3B7F7516" w:rsidR="0016692F" w:rsidRDefault="0016692F" w:rsidP="0023276C">
      <w:pPr>
        <w:pStyle w:val="Body"/>
      </w:pPr>
    </w:p>
    <w:p w14:paraId="631A9E18" w14:textId="3A7FFE9B" w:rsidR="00044947" w:rsidRDefault="00044947" w:rsidP="00982786">
      <w:pPr>
        <w:pStyle w:val="Body"/>
        <w:spacing w:after="0" w:line="240" w:lineRule="auto"/>
        <w:rPr>
          <w:rFonts w:eastAsia="Times New Roman"/>
          <w:b/>
          <w:iCs/>
          <w:color w:val="000000" w:themeColor="text1"/>
          <w:szCs w:val="21"/>
        </w:rPr>
      </w:pPr>
      <w:r>
        <w:rPr>
          <w:rFonts w:eastAsia="Times New Roman"/>
          <w:b/>
          <w:iCs/>
          <w:color w:val="000000" w:themeColor="text1"/>
          <w:szCs w:val="21"/>
        </w:rPr>
        <w:lastRenderedPageBreak/>
        <w:t xml:space="preserve">Chapter 14, </w:t>
      </w:r>
      <w:r w:rsidR="00827B21" w:rsidRPr="00044947">
        <w:rPr>
          <w:rFonts w:eastAsia="Times New Roman"/>
          <w:b/>
          <w:iCs/>
          <w:color w:val="000000" w:themeColor="text1"/>
          <w:szCs w:val="21"/>
        </w:rPr>
        <w:t>Figure 1. Leading cancer types by sex, Victoria 2019 – number and percent of new cases (incidence) for the most common cancers</w:t>
      </w:r>
    </w:p>
    <w:p w14:paraId="41F64C4B" w14:textId="231E4EA0" w:rsidR="00C769BB" w:rsidRPr="00A4591D" w:rsidRDefault="00C769BB" w:rsidP="00C769BB">
      <w:pPr>
        <w:pStyle w:val="Body"/>
        <w:rPr>
          <w:rFonts w:eastAsia="Times New Roman"/>
          <w:b/>
          <w:iCs/>
          <w:color w:val="000000" w:themeColor="text1"/>
          <w:szCs w:val="21"/>
        </w:rPr>
      </w:pPr>
      <w:r>
        <w:rPr>
          <w:rFonts w:eastAsia="Times New Roman"/>
          <w:bCs/>
          <w:iCs/>
          <w:color w:val="000000" w:themeColor="text1"/>
          <w:szCs w:val="21"/>
        </w:rPr>
        <w:t>(</w:t>
      </w:r>
      <w:r w:rsidR="00982786">
        <w:rPr>
          <w:rFonts w:eastAsia="Times New Roman"/>
          <w:bCs/>
          <w:iCs/>
          <w:color w:val="000000" w:themeColor="text1"/>
          <w:szCs w:val="21"/>
        </w:rPr>
        <w:t>Go to</w:t>
      </w:r>
      <w:r>
        <w:rPr>
          <w:rFonts w:eastAsia="Times New Roman"/>
          <w:bCs/>
          <w:iCs/>
          <w:color w:val="000000" w:themeColor="text1"/>
          <w:szCs w:val="21"/>
        </w:rPr>
        <w:t xml:space="preserve"> Appendix A, Figure 1 for assessable Figure content)</w:t>
      </w:r>
    </w:p>
    <w:p w14:paraId="0D9E2C82" w14:textId="5CBB12E2" w:rsidR="00827B21" w:rsidRDefault="00044947" w:rsidP="0023276C">
      <w:pPr>
        <w:pStyle w:val="Body"/>
      </w:pPr>
      <w:r w:rsidRPr="00044947">
        <w:rPr>
          <w:noProof/>
        </w:rPr>
        <w:drawing>
          <wp:inline distT="0" distB="0" distL="0" distR="0" wp14:anchorId="01FB48F2" wp14:editId="79604209">
            <wp:extent cx="5904230" cy="3700780"/>
            <wp:effectExtent l="0" t="0" r="1270" b="0"/>
            <wp:docPr id="6" name="Picture 6" descr="Victoria's ten leading cancer types by incidence, sex and per centage in 2019. Detailed alternative description in Appendix A as Chapter 14,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s ten leading cancer types by incidence, sex and per centage in 2019. Detailed alternative description in Appendix A as Chapter 14, Figure 1."/>
                    <pic:cNvPicPr/>
                  </pic:nvPicPr>
                  <pic:blipFill>
                    <a:blip r:embed="rId113"/>
                    <a:stretch>
                      <a:fillRect/>
                    </a:stretch>
                  </pic:blipFill>
                  <pic:spPr>
                    <a:xfrm>
                      <a:off x="0" y="0"/>
                      <a:ext cx="5904230" cy="3700780"/>
                    </a:xfrm>
                    <a:prstGeom prst="rect">
                      <a:avLst/>
                    </a:prstGeom>
                  </pic:spPr>
                </pic:pic>
              </a:graphicData>
            </a:graphic>
          </wp:inline>
        </w:drawing>
      </w:r>
    </w:p>
    <w:p w14:paraId="39E46B47" w14:textId="66CA4404" w:rsidR="005019EC" w:rsidRDefault="005019EC" w:rsidP="0023276C">
      <w:pPr>
        <w:pStyle w:val="Body"/>
      </w:pPr>
    </w:p>
    <w:p w14:paraId="06108B58" w14:textId="2F04F9ED" w:rsidR="0023276C" w:rsidRPr="004770D4" w:rsidRDefault="00245D1F" w:rsidP="0023276C">
      <w:pPr>
        <w:pStyle w:val="Body"/>
      </w:pPr>
      <w:r>
        <w:t xml:space="preserve">The 2019 Victorian leading cancer types by </w:t>
      </w:r>
      <w:r w:rsidR="0023276C" w:rsidRPr="00A40D61">
        <w:t xml:space="preserve">There was an average of 236 diagnoses of cancer in Aboriginal Victorians each year between 2014-2018. Overall incidence rates were significantly higher for Aboriginal Victorians (561 and 497 new cases per 100,000 </w:t>
      </w:r>
      <w:r w:rsidR="00FA2AFC">
        <w:t xml:space="preserve">for </w:t>
      </w:r>
      <w:r w:rsidR="0023276C" w:rsidRPr="00A40D61">
        <w:t xml:space="preserve">Aboriginal men and women respectively) than for non-Aboriginal Victorians (348 and 288 new cases per 100,000 </w:t>
      </w:r>
      <w:r w:rsidR="00FA2AFC">
        <w:t xml:space="preserve">for </w:t>
      </w:r>
      <w:r w:rsidR="0023276C" w:rsidRPr="00A40D61">
        <w:t>non-Aboriginal respectively) (</w:t>
      </w:r>
      <w:r w:rsidR="0023276C" w:rsidRPr="004770D4">
        <w:t>Cancer Council Victoria</w:t>
      </w:r>
      <w:r w:rsidR="00FA2AFC">
        <w:t>,</w:t>
      </w:r>
      <w:r w:rsidR="0023276C" w:rsidRPr="004770D4">
        <w:t xml:space="preserve"> 2020).</w:t>
      </w:r>
    </w:p>
    <w:p w14:paraId="7EFB087D" w14:textId="77777777" w:rsidR="00FA2AFC" w:rsidRPr="00412E23" w:rsidRDefault="0023276C" w:rsidP="0023276C">
      <w:pPr>
        <w:pStyle w:val="Body"/>
      </w:pPr>
      <w:r w:rsidRPr="004770D4">
        <w:t xml:space="preserve">While an average of </w:t>
      </w:r>
      <w:r w:rsidRPr="00412E23">
        <w:t xml:space="preserve">31 Victorians die from cancer every day, death rates continue to decline. </w:t>
      </w:r>
    </w:p>
    <w:p w14:paraId="43BE5B2D" w14:textId="31C0A186" w:rsidR="0023276C" w:rsidRDefault="0023276C" w:rsidP="0023276C">
      <w:pPr>
        <w:pStyle w:val="Body"/>
      </w:pPr>
      <w:r w:rsidRPr="00412E23">
        <w:t xml:space="preserve">Since 1982, annual decreases </w:t>
      </w:r>
      <w:r w:rsidR="00FA2AFC" w:rsidRPr="00412E23">
        <w:t xml:space="preserve">in death rates </w:t>
      </w:r>
      <w:r w:rsidRPr="00412E23">
        <w:t>of 1.6 per cent for males and 1.3 per cent for females have been recorded (Cancer Council Victoria</w:t>
      </w:r>
      <w:r w:rsidR="00FA2AFC" w:rsidRPr="00412E23">
        <w:t>,</w:t>
      </w:r>
      <w:r w:rsidRPr="00412E23">
        <w:t xml:space="preserve"> 2020).</w:t>
      </w:r>
    </w:p>
    <w:p w14:paraId="78BCADA1" w14:textId="7422919B" w:rsidR="0023276C" w:rsidRPr="00DC0B85" w:rsidRDefault="0023276C" w:rsidP="0023276C">
      <w:pPr>
        <w:pStyle w:val="Body"/>
      </w:pPr>
      <w:r w:rsidRPr="00DC0B85">
        <w:t>These reductions reflect earlier detection of cancers through screening</w:t>
      </w:r>
      <w:r w:rsidR="00FA2AFC">
        <w:t xml:space="preserve">, </w:t>
      </w:r>
      <w:r>
        <w:t>an improved understanding of risk factors (including genetics)</w:t>
      </w:r>
      <w:r w:rsidRPr="00DC0B85">
        <w:t xml:space="preserve">, reductions in tobacco use </w:t>
      </w:r>
      <w:r w:rsidR="00FA2AFC">
        <w:t>(</w:t>
      </w:r>
      <w:r w:rsidRPr="00DC0B85">
        <w:t>especially in males</w:t>
      </w:r>
      <w:r w:rsidR="00FA2AFC">
        <w:t xml:space="preserve">), </w:t>
      </w:r>
      <w:r w:rsidRPr="00DC0B85">
        <w:t>and improvements in treatment. </w:t>
      </w:r>
    </w:p>
    <w:p w14:paraId="795DE2FC" w14:textId="2E2B36FE" w:rsidR="0023276C" w:rsidRDefault="0023276C" w:rsidP="0023276C">
      <w:pPr>
        <w:pStyle w:val="Body"/>
      </w:pPr>
      <w:r w:rsidRPr="00A40D61">
        <w:t xml:space="preserve">There were 429 cancer deaths of Aboriginal Victorians </w:t>
      </w:r>
      <w:r w:rsidR="00FA2AFC">
        <w:t>between</w:t>
      </w:r>
      <w:r w:rsidRPr="00A40D61">
        <w:t xml:space="preserve"> 2014-2018, an average of 86 deaths </w:t>
      </w:r>
      <w:r w:rsidR="00FA2AFC">
        <w:t>a</w:t>
      </w:r>
      <w:r w:rsidR="00FA2AFC" w:rsidRPr="00A40D61">
        <w:t xml:space="preserve"> </w:t>
      </w:r>
      <w:r w:rsidRPr="00A40D61">
        <w:t xml:space="preserve">year. Cancer mortality rates in Aboriginal </w:t>
      </w:r>
      <w:r w:rsidR="00FA2AFC">
        <w:t xml:space="preserve">Victorians </w:t>
      </w:r>
      <w:r w:rsidR="00FA2AFC" w:rsidRPr="00A40D61">
        <w:t>(222 and 187 deaths per 100,000</w:t>
      </w:r>
      <w:r w:rsidR="00FA2AFC">
        <w:t xml:space="preserve"> for men and women </w:t>
      </w:r>
      <w:r w:rsidR="00FA2AFC" w:rsidRPr="00A40D61">
        <w:t xml:space="preserve">respectively) </w:t>
      </w:r>
      <w:r w:rsidR="00FA2AFC">
        <w:t xml:space="preserve">were </w:t>
      </w:r>
      <w:r w:rsidRPr="00A40D61">
        <w:t xml:space="preserve">more than twice those of other </w:t>
      </w:r>
      <w:r w:rsidR="00FA2AFC">
        <w:t xml:space="preserve">non-Aboriginal </w:t>
      </w:r>
      <w:r w:rsidRPr="00A40D61">
        <w:t>Victorians (99.2 and 71.8 deaths per 100,000 respectively) (Cancer Council Victoria</w:t>
      </w:r>
      <w:r w:rsidR="00FA2AFC">
        <w:t>,</w:t>
      </w:r>
      <w:r w:rsidRPr="00A40D61">
        <w:t xml:space="preserve"> 2020</w:t>
      </w:r>
      <w:r w:rsidRPr="004770D4">
        <w:t>).</w:t>
      </w:r>
    </w:p>
    <w:p w14:paraId="21D9D429" w14:textId="78ADB985" w:rsidR="0023276C" w:rsidRPr="00A40D61" w:rsidRDefault="0023276C" w:rsidP="0023276C">
      <w:pPr>
        <w:pStyle w:val="Body"/>
      </w:pPr>
      <w:r>
        <w:t>Overall</w:t>
      </w:r>
      <w:r w:rsidR="00FA2AFC">
        <w:t>, the</w:t>
      </w:r>
      <w:r>
        <w:t xml:space="preserve"> five-year cancer survival </w:t>
      </w:r>
      <w:r w:rsidR="00FA2AFC">
        <w:t xml:space="preserve">rate </w:t>
      </w:r>
      <w:r>
        <w:t>was 69</w:t>
      </w:r>
      <w:r w:rsidR="00A801C2">
        <w:rPr>
          <w:szCs w:val="21"/>
        </w:rPr>
        <w:t xml:space="preserve"> per cent</w:t>
      </w:r>
      <w:r>
        <w:t>, an increase from 67</w:t>
      </w:r>
      <w:r w:rsidR="00A801C2">
        <w:rPr>
          <w:szCs w:val="21"/>
        </w:rPr>
        <w:t xml:space="preserve"> per cent</w:t>
      </w:r>
      <w:r>
        <w:t xml:space="preserve"> from 2009-2013</w:t>
      </w:r>
      <w:r w:rsidR="00FA2AFC">
        <w:t xml:space="preserve"> </w:t>
      </w:r>
      <w:r>
        <w:t>and 46</w:t>
      </w:r>
      <w:r w:rsidR="00A801C2">
        <w:rPr>
          <w:szCs w:val="21"/>
        </w:rPr>
        <w:t xml:space="preserve"> per cent</w:t>
      </w:r>
      <w:r>
        <w:t xml:space="preserve"> in 1982-1986 </w:t>
      </w:r>
      <w:r w:rsidRPr="004770D4">
        <w:t>(Cancer Council Victoria</w:t>
      </w:r>
      <w:r w:rsidR="00FA2AFC">
        <w:t>,</w:t>
      </w:r>
      <w:r w:rsidRPr="004770D4">
        <w:t xml:space="preserve"> 2020).</w:t>
      </w:r>
    </w:p>
    <w:p w14:paraId="364B396C" w14:textId="77777777" w:rsidR="0023276C" w:rsidRDefault="0023276C" w:rsidP="0023276C">
      <w:pPr>
        <w:pStyle w:val="Heading2"/>
      </w:pPr>
      <w:bookmarkStart w:id="130" w:name="_Toc116981380"/>
      <w:r>
        <w:t>Melanoma</w:t>
      </w:r>
      <w:bookmarkEnd w:id="130"/>
      <w:r>
        <w:t xml:space="preserve"> </w:t>
      </w:r>
    </w:p>
    <w:p w14:paraId="7EE6A318" w14:textId="77299225" w:rsidR="0023276C" w:rsidRDefault="0023276C" w:rsidP="0023276C">
      <w:pPr>
        <w:pStyle w:val="Body"/>
      </w:pPr>
      <w:r w:rsidRPr="009D0D50">
        <w:t xml:space="preserve">Melanoma is </w:t>
      </w:r>
      <w:r>
        <w:t xml:space="preserve">a type of skin cancer that usually </w:t>
      </w:r>
      <w:r w:rsidRPr="009D0D50">
        <w:t>occurs on parts of the body that have been overexposed to the sun</w:t>
      </w:r>
      <w:r>
        <w:t xml:space="preserve"> (Cancer Council Victoria</w:t>
      </w:r>
      <w:r w:rsidR="00FA2AFC">
        <w:t>,</w:t>
      </w:r>
      <w:r>
        <w:t xml:space="preserve"> 2021).</w:t>
      </w:r>
    </w:p>
    <w:p w14:paraId="710BDF21" w14:textId="3D65700F" w:rsidR="0023276C" w:rsidRDefault="00FA2AFC" w:rsidP="0023276C">
      <w:pPr>
        <w:pStyle w:val="Body"/>
      </w:pPr>
      <w:r>
        <w:lastRenderedPageBreak/>
        <w:t xml:space="preserve">In rare cases, </w:t>
      </w:r>
      <w:r w:rsidR="0023276C" w:rsidRPr="009D0D50">
        <w:t>melanomas can start inside the eye or in a part of the skin or body that has never been exposed to the sun</w:t>
      </w:r>
      <w:r w:rsidR="00A53F66">
        <w:t>,</w:t>
      </w:r>
      <w:r w:rsidR="0023276C" w:rsidRPr="009D0D50">
        <w:t xml:space="preserve"> such as the nervous system, mucous membrane (</w:t>
      </w:r>
      <w:r>
        <w:t xml:space="preserve">such as the </w:t>
      </w:r>
      <w:r w:rsidR="0023276C" w:rsidRPr="009D0D50">
        <w:t>lining of the mouth</w:t>
      </w:r>
      <w:r>
        <w:t xml:space="preserve"> or</w:t>
      </w:r>
      <w:r w:rsidR="0023276C" w:rsidRPr="009D0D50">
        <w:t xml:space="preserve"> digestive tract), soles of the feet, palms, and under the nails</w:t>
      </w:r>
      <w:r w:rsidR="0023276C">
        <w:t xml:space="preserve"> (Cancer Council Victoria</w:t>
      </w:r>
      <w:r>
        <w:t>,</w:t>
      </w:r>
      <w:r w:rsidR="0023276C">
        <w:t xml:space="preserve"> 2021).</w:t>
      </w:r>
    </w:p>
    <w:p w14:paraId="6F7BE84D" w14:textId="6FC7C610" w:rsidR="0023276C" w:rsidRDefault="0023276C" w:rsidP="0023276C">
      <w:pPr>
        <w:pStyle w:val="Body"/>
      </w:pPr>
      <w:r w:rsidRPr="009D0D50">
        <w:t>Although it is one of the less common types of skin cancer, melanoma is considered the most serious because it is more likely to spread to other parts of the body, especially if not detected early. The earlier melanoma is found, the more successful treatment is likely to be</w:t>
      </w:r>
      <w:r>
        <w:t xml:space="preserve"> (Cancer Council Victoria</w:t>
      </w:r>
      <w:r w:rsidR="00FA2AFC">
        <w:t>,</w:t>
      </w:r>
      <w:r>
        <w:t xml:space="preserve"> 2021).</w:t>
      </w:r>
    </w:p>
    <w:p w14:paraId="7F8BC0CA" w14:textId="77777777" w:rsidR="0023276C" w:rsidRPr="00D567DF" w:rsidRDefault="0023276C" w:rsidP="007B3159">
      <w:pPr>
        <w:pStyle w:val="Heading3"/>
      </w:pPr>
      <w:r w:rsidRPr="00D567DF">
        <w:t>Incidence</w:t>
      </w:r>
      <w:r>
        <w:t xml:space="preserve"> and mortality</w:t>
      </w:r>
    </w:p>
    <w:p w14:paraId="2F6FF819" w14:textId="77777777" w:rsidR="0023276C" w:rsidRDefault="0023276C" w:rsidP="0023276C">
      <w:pPr>
        <w:pStyle w:val="Body"/>
      </w:pPr>
      <w:r w:rsidRPr="00D567DF">
        <w:t>Australia has one of the highest rates of melanoma in the world. </w:t>
      </w:r>
    </w:p>
    <w:p w14:paraId="758DB484" w14:textId="702A9012" w:rsidR="0023276C" w:rsidRDefault="0023276C" w:rsidP="0023276C">
      <w:pPr>
        <w:pStyle w:val="Body"/>
      </w:pPr>
      <w:r>
        <w:t>I</w:t>
      </w:r>
      <w:r w:rsidRPr="002003DF">
        <w:t>n 2019, 2</w:t>
      </w:r>
      <w:r>
        <w:t>,</w:t>
      </w:r>
      <w:r w:rsidRPr="002003DF">
        <w:t>840 Victorians were diagnosed with melanoma. Of these</w:t>
      </w:r>
      <w:r w:rsidR="00FA2AFC">
        <w:t xml:space="preserve"> cases</w:t>
      </w:r>
      <w:r w:rsidRPr="002003DF">
        <w:t>, 1</w:t>
      </w:r>
      <w:r>
        <w:t>,</w:t>
      </w:r>
      <w:r w:rsidRPr="002003DF">
        <w:t xml:space="preserve">633 </w:t>
      </w:r>
      <w:r w:rsidR="00FA2AFC">
        <w:t>(</w:t>
      </w:r>
      <w:r w:rsidR="00FA2AFC" w:rsidRPr="002003DF">
        <w:t>57.5</w:t>
      </w:r>
      <w:r w:rsidR="00FA2AFC">
        <w:rPr>
          <w:szCs w:val="21"/>
        </w:rPr>
        <w:t xml:space="preserve"> per cent)</w:t>
      </w:r>
      <w:r w:rsidR="00FA2AFC" w:rsidRPr="002003DF">
        <w:t xml:space="preserve"> </w:t>
      </w:r>
      <w:r w:rsidR="00FA2AFC">
        <w:t xml:space="preserve">were </w:t>
      </w:r>
      <w:r w:rsidRPr="002003DF">
        <w:t>males and 1</w:t>
      </w:r>
      <w:r>
        <w:t>,</w:t>
      </w:r>
      <w:r w:rsidRPr="002003DF">
        <w:t xml:space="preserve">207 </w:t>
      </w:r>
      <w:r w:rsidR="00FA2AFC">
        <w:t>(</w:t>
      </w:r>
      <w:r w:rsidR="00FA2AFC" w:rsidRPr="002003DF">
        <w:t>42.5</w:t>
      </w:r>
      <w:r w:rsidR="00FA2AFC">
        <w:rPr>
          <w:szCs w:val="21"/>
        </w:rPr>
        <w:t xml:space="preserve"> per cent</w:t>
      </w:r>
      <w:r w:rsidR="00FA2AFC">
        <w:t xml:space="preserve">) </w:t>
      </w:r>
      <w:r w:rsidRPr="002003DF">
        <w:t>females</w:t>
      </w:r>
      <w:r w:rsidR="00FA2AFC">
        <w:t xml:space="preserve"> </w:t>
      </w:r>
      <w:r>
        <w:t>(Cancer Council Victoria</w:t>
      </w:r>
      <w:r w:rsidR="00FA2AFC">
        <w:t>,</w:t>
      </w:r>
      <w:r>
        <w:t xml:space="preserve"> 2021).</w:t>
      </w:r>
    </w:p>
    <w:p w14:paraId="58531933" w14:textId="17893B51" w:rsidR="0023276C" w:rsidRDefault="0023276C" w:rsidP="0023276C">
      <w:pPr>
        <w:pStyle w:val="Body"/>
      </w:pPr>
      <w:r w:rsidRPr="002003DF">
        <w:t xml:space="preserve">The median age at diagnosis of melanoma is 63 years in males and 59 in </w:t>
      </w:r>
      <w:r w:rsidRPr="008C266A">
        <w:t>females</w:t>
      </w:r>
      <w:r>
        <w:t xml:space="preserve"> (Cancer Council Victoria</w:t>
      </w:r>
      <w:r w:rsidR="00FA2AFC">
        <w:t>,</w:t>
      </w:r>
      <w:r>
        <w:t xml:space="preserve"> 2021)</w:t>
      </w:r>
      <w:r w:rsidR="0001644D">
        <w:t xml:space="preserve"> (Chapter 14, Figure 2 and 3)</w:t>
      </w:r>
      <w:r>
        <w:t>.</w:t>
      </w:r>
    </w:p>
    <w:p w14:paraId="2E0C63CE" w14:textId="76D979C4" w:rsidR="0001644D" w:rsidRDefault="0001644D" w:rsidP="00D0348D">
      <w:pPr>
        <w:pStyle w:val="Body"/>
        <w:spacing w:after="0" w:line="240" w:lineRule="auto"/>
        <w:rPr>
          <w:rFonts w:eastAsia="Times New Roman"/>
          <w:bCs/>
          <w:iCs/>
          <w:color w:val="000000" w:themeColor="text1"/>
          <w:szCs w:val="21"/>
        </w:rPr>
      </w:pPr>
      <w:r w:rsidRPr="00A4591D">
        <w:rPr>
          <w:rFonts w:eastAsia="Times New Roman"/>
          <w:b/>
          <w:iCs/>
          <w:color w:val="000000" w:themeColor="text1"/>
          <w:szCs w:val="21"/>
        </w:rPr>
        <w:t>Chapter 14, Figure 2. Distribution of melanoma incidence in 2019, by sex within age groups</w:t>
      </w:r>
      <w:r w:rsidR="00A4591D" w:rsidRPr="00A4591D">
        <w:rPr>
          <w:rFonts w:eastAsia="Times New Roman"/>
          <w:b/>
          <w:iCs/>
          <w:color w:val="000000" w:themeColor="text1"/>
          <w:szCs w:val="21"/>
        </w:rPr>
        <w:t xml:space="preserve"> </w:t>
      </w:r>
      <w:r w:rsidR="00A4591D" w:rsidRPr="007E3CCE">
        <w:rPr>
          <w:rFonts w:eastAsia="Times New Roman"/>
          <w:bCs/>
          <w:iCs/>
          <w:color w:val="000000" w:themeColor="text1"/>
          <w:szCs w:val="21"/>
        </w:rPr>
        <w:t>Source</w:t>
      </w:r>
      <w:r w:rsidR="007E3CCE" w:rsidRPr="007E3CCE">
        <w:rPr>
          <w:rFonts w:eastAsia="Times New Roman"/>
          <w:bCs/>
          <w:iCs/>
          <w:color w:val="000000" w:themeColor="text1"/>
          <w:szCs w:val="21"/>
        </w:rPr>
        <w:t>:</w:t>
      </w:r>
      <w:r w:rsidR="00A4591D" w:rsidRPr="007E3CCE">
        <w:rPr>
          <w:rFonts w:eastAsia="Times New Roman"/>
          <w:bCs/>
          <w:iCs/>
          <w:color w:val="000000" w:themeColor="text1"/>
          <w:szCs w:val="21"/>
        </w:rPr>
        <w:t xml:space="preserve"> Victorian Cancer Registry (2021)</w:t>
      </w:r>
    </w:p>
    <w:p w14:paraId="102155E8" w14:textId="3197D08E" w:rsidR="00C769BB" w:rsidRPr="00A4591D" w:rsidRDefault="00C769BB" w:rsidP="0023276C">
      <w:pPr>
        <w:pStyle w:val="Body"/>
        <w:rPr>
          <w:rFonts w:eastAsia="Times New Roman"/>
          <w:b/>
          <w:iCs/>
          <w:color w:val="000000" w:themeColor="text1"/>
          <w:szCs w:val="21"/>
        </w:rPr>
      </w:pPr>
      <w:r>
        <w:rPr>
          <w:rFonts w:eastAsia="Times New Roman"/>
          <w:bCs/>
          <w:iCs/>
          <w:color w:val="000000" w:themeColor="text1"/>
          <w:szCs w:val="21"/>
        </w:rPr>
        <w:t>(</w:t>
      </w:r>
      <w:r w:rsidR="00D0348D">
        <w:rPr>
          <w:rFonts w:eastAsia="Times New Roman"/>
          <w:bCs/>
          <w:iCs/>
          <w:color w:val="000000" w:themeColor="text1"/>
          <w:szCs w:val="21"/>
        </w:rPr>
        <w:t>Go to</w:t>
      </w:r>
      <w:r>
        <w:rPr>
          <w:rFonts w:eastAsia="Times New Roman"/>
          <w:bCs/>
          <w:iCs/>
          <w:color w:val="000000" w:themeColor="text1"/>
          <w:szCs w:val="21"/>
        </w:rPr>
        <w:t xml:space="preserve"> Appendix A, Figure 2 for assessable Figure content)</w:t>
      </w:r>
    </w:p>
    <w:p w14:paraId="3D8E14B5" w14:textId="505E2AEE" w:rsidR="0001644D" w:rsidRDefault="00A4591D" w:rsidP="0023276C">
      <w:pPr>
        <w:pStyle w:val="Body"/>
      </w:pPr>
      <w:r>
        <w:rPr>
          <w:noProof/>
        </w:rPr>
        <w:drawing>
          <wp:inline distT="0" distB="0" distL="0" distR="0" wp14:anchorId="47A1D715" wp14:editId="21E7EB99">
            <wp:extent cx="5781675" cy="2590800"/>
            <wp:effectExtent l="0" t="0" r="9525" b="0"/>
            <wp:docPr id="8" name="Picture 8" descr="Victoria's distribution of melanoma incidence by sex and five year age group brackets in 2019. Source Victorian Cancer Registry. Detailed alternative description in Appendix A as Chapter 14, 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s distribution of melanoma incidence by sex and five year age group brackets in 2019. Source Victorian Cancer Registry. Detailed alternative description in Appendix A as Chapter 14, Figure 2."/>
                    <pic:cNvPicPr/>
                  </pic:nvPicPr>
                  <pic:blipFill>
                    <a:blip r:embed="rId114"/>
                    <a:stretch>
                      <a:fillRect/>
                    </a:stretch>
                  </pic:blipFill>
                  <pic:spPr>
                    <a:xfrm>
                      <a:off x="0" y="0"/>
                      <a:ext cx="5781675" cy="2590800"/>
                    </a:xfrm>
                    <a:prstGeom prst="rect">
                      <a:avLst/>
                    </a:prstGeom>
                  </pic:spPr>
                </pic:pic>
              </a:graphicData>
            </a:graphic>
          </wp:inline>
        </w:drawing>
      </w:r>
    </w:p>
    <w:p w14:paraId="659D92C2" w14:textId="77777777" w:rsidR="0054388C" w:rsidRDefault="0054388C">
      <w:pPr>
        <w:spacing w:after="0" w:line="240" w:lineRule="auto"/>
        <w:rPr>
          <w:b/>
          <w:iCs/>
          <w:color w:val="000000" w:themeColor="text1"/>
          <w:szCs w:val="21"/>
        </w:rPr>
      </w:pPr>
      <w:r>
        <w:rPr>
          <w:b/>
          <w:iCs/>
          <w:color w:val="000000" w:themeColor="text1"/>
          <w:szCs w:val="21"/>
        </w:rPr>
        <w:br w:type="page"/>
      </w:r>
    </w:p>
    <w:p w14:paraId="785E47DF" w14:textId="77777777" w:rsidR="00D0348D" w:rsidRDefault="0001644D" w:rsidP="00D0348D">
      <w:pPr>
        <w:pStyle w:val="Body"/>
        <w:spacing w:after="0" w:line="240" w:lineRule="auto"/>
        <w:rPr>
          <w:rFonts w:eastAsia="Times New Roman"/>
          <w:b/>
          <w:iCs/>
          <w:color w:val="000000" w:themeColor="text1"/>
          <w:szCs w:val="21"/>
        </w:rPr>
      </w:pPr>
      <w:r w:rsidRPr="00A4591D">
        <w:rPr>
          <w:rFonts w:eastAsia="Times New Roman"/>
          <w:b/>
          <w:iCs/>
          <w:color w:val="000000" w:themeColor="text1"/>
          <w:szCs w:val="21"/>
        </w:rPr>
        <w:lastRenderedPageBreak/>
        <w:t>Chapter 14, Figure 3. Distribution of melanoma incidence in 2019 compared to the distribution of the Victorian population in 2019, by five-year age brackets</w:t>
      </w:r>
      <w:r w:rsidR="00A4591D" w:rsidRPr="00A4591D">
        <w:rPr>
          <w:rFonts w:eastAsia="Times New Roman"/>
          <w:b/>
          <w:iCs/>
          <w:color w:val="000000" w:themeColor="text1"/>
          <w:szCs w:val="21"/>
        </w:rPr>
        <w:t xml:space="preserve"> </w:t>
      </w:r>
    </w:p>
    <w:p w14:paraId="6A42BC8B" w14:textId="18AB22AF" w:rsidR="00A4591D" w:rsidRDefault="00A4591D" w:rsidP="00D0348D">
      <w:pPr>
        <w:pStyle w:val="Body"/>
        <w:spacing w:after="0" w:line="240" w:lineRule="auto"/>
        <w:rPr>
          <w:rFonts w:eastAsia="Times New Roman"/>
          <w:bCs/>
          <w:iCs/>
          <w:color w:val="000000" w:themeColor="text1"/>
          <w:szCs w:val="21"/>
        </w:rPr>
      </w:pPr>
      <w:r w:rsidRPr="007E3CCE">
        <w:rPr>
          <w:rFonts w:eastAsia="Times New Roman"/>
          <w:bCs/>
          <w:iCs/>
          <w:color w:val="000000" w:themeColor="text1"/>
          <w:szCs w:val="21"/>
        </w:rPr>
        <w:t>Source</w:t>
      </w:r>
      <w:r w:rsidR="007E3CCE" w:rsidRPr="007E3CCE">
        <w:rPr>
          <w:rFonts w:eastAsia="Times New Roman"/>
          <w:bCs/>
          <w:iCs/>
          <w:color w:val="000000" w:themeColor="text1"/>
          <w:szCs w:val="21"/>
        </w:rPr>
        <w:t>:</w:t>
      </w:r>
      <w:r w:rsidRPr="007E3CCE">
        <w:rPr>
          <w:rFonts w:eastAsia="Times New Roman"/>
          <w:bCs/>
          <w:iCs/>
          <w:color w:val="000000" w:themeColor="text1"/>
          <w:szCs w:val="21"/>
        </w:rPr>
        <w:t xml:space="preserve"> Victorian Cancer Registry</w:t>
      </w:r>
      <w:r w:rsidR="00C769BB">
        <w:rPr>
          <w:rFonts w:eastAsia="Times New Roman"/>
          <w:bCs/>
          <w:iCs/>
          <w:color w:val="000000" w:themeColor="text1"/>
          <w:szCs w:val="21"/>
        </w:rPr>
        <w:t xml:space="preserve"> (</w:t>
      </w:r>
      <w:r w:rsidRPr="007E3CCE">
        <w:rPr>
          <w:rFonts w:eastAsia="Times New Roman"/>
          <w:bCs/>
          <w:iCs/>
          <w:color w:val="000000" w:themeColor="text1"/>
          <w:szCs w:val="21"/>
        </w:rPr>
        <w:t>2021)</w:t>
      </w:r>
    </w:p>
    <w:p w14:paraId="625BA364" w14:textId="12FD40C9" w:rsidR="00C769BB" w:rsidRPr="00A4591D" w:rsidRDefault="00C769BB" w:rsidP="00D0348D">
      <w:pPr>
        <w:pStyle w:val="Body"/>
        <w:spacing w:line="240" w:lineRule="auto"/>
        <w:rPr>
          <w:rFonts w:eastAsia="Times New Roman"/>
          <w:b/>
          <w:iCs/>
          <w:color w:val="000000" w:themeColor="text1"/>
          <w:szCs w:val="21"/>
        </w:rPr>
      </w:pPr>
      <w:r>
        <w:rPr>
          <w:rFonts w:eastAsia="Times New Roman"/>
          <w:bCs/>
          <w:iCs/>
          <w:color w:val="000000" w:themeColor="text1"/>
          <w:szCs w:val="21"/>
        </w:rPr>
        <w:t>(</w:t>
      </w:r>
      <w:r w:rsidR="00D0348D">
        <w:rPr>
          <w:rFonts w:eastAsia="Times New Roman"/>
          <w:bCs/>
          <w:iCs/>
          <w:color w:val="000000" w:themeColor="text1"/>
          <w:szCs w:val="21"/>
        </w:rPr>
        <w:t xml:space="preserve">Go to </w:t>
      </w:r>
      <w:r>
        <w:rPr>
          <w:rFonts w:eastAsia="Times New Roman"/>
          <w:bCs/>
          <w:iCs/>
          <w:color w:val="000000" w:themeColor="text1"/>
          <w:szCs w:val="21"/>
        </w:rPr>
        <w:t>Appendix A, Figure 3 for assessable Figure content)</w:t>
      </w:r>
    </w:p>
    <w:p w14:paraId="0EFBEA5B" w14:textId="29353AAE" w:rsidR="0001644D" w:rsidRDefault="00A4591D" w:rsidP="0023276C">
      <w:pPr>
        <w:pStyle w:val="Body"/>
      </w:pPr>
      <w:r>
        <w:rPr>
          <w:noProof/>
        </w:rPr>
        <w:drawing>
          <wp:inline distT="0" distB="0" distL="0" distR="0" wp14:anchorId="7A18F275" wp14:editId="5D4E5F2A">
            <wp:extent cx="5904230" cy="3627120"/>
            <wp:effectExtent l="0" t="0" r="1270" b="0"/>
            <wp:docPr id="9" name="Picture 9" descr="Victoria's distribution of melanoma incidence by sex and per centage compared to the distribution of the Victorian population by age in five year age group brackets in 2019. Source Victorian Cancer Registry (2021). Detailed alternative description in Appendix A as Chapter 14, 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s distribution of melanoma incidence by sex and per centage compared to the distribution of the Victorian population by age in five year age group brackets in 2019. Source Victorian Cancer Registry (2021). Detailed alternative description in Appendix A as Chapter 14, Figure 3."/>
                    <pic:cNvPicPr/>
                  </pic:nvPicPr>
                  <pic:blipFill>
                    <a:blip r:embed="rId115"/>
                    <a:stretch>
                      <a:fillRect/>
                    </a:stretch>
                  </pic:blipFill>
                  <pic:spPr>
                    <a:xfrm>
                      <a:off x="0" y="0"/>
                      <a:ext cx="5904230" cy="3627120"/>
                    </a:xfrm>
                    <a:prstGeom prst="rect">
                      <a:avLst/>
                    </a:prstGeom>
                  </pic:spPr>
                </pic:pic>
              </a:graphicData>
            </a:graphic>
          </wp:inline>
        </w:drawing>
      </w:r>
    </w:p>
    <w:p w14:paraId="06FA8D14" w14:textId="2AF5AD76" w:rsidR="0023276C" w:rsidRPr="002759F9" w:rsidRDefault="0023276C" w:rsidP="0023276C">
      <w:pPr>
        <w:pStyle w:val="Body"/>
      </w:pPr>
      <w:r w:rsidRPr="002759F9">
        <w:t>In 2019, there were 189 male and 81 female deaths caused by melanoma (Cancer Council Victoria</w:t>
      </w:r>
      <w:r w:rsidR="00FA2AFC">
        <w:t>,</w:t>
      </w:r>
      <w:r w:rsidRPr="002759F9">
        <w:t xml:space="preserve"> 2020). </w:t>
      </w:r>
    </w:p>
    <w:p w14:paraId="5502D9AF" w14:textId="6AADEC13" w:rsidR="0023276C" w:rsidRDefault="00182A62" w:rsidP="0023276C">
      <w:pPr>
        <w:pStyle w:val="Body"/>
      </w:pPr>
      <w:r>
        <w:t>In 2019, melanoma a</w:t>
      </w:r>
      <w:r w:rsidR="0023276C" w:rsidRPr="002003DF">
        <w:t>ccount</w:t>
      </w:r>
      <w:r>
        <w:t>ed</w:t>
      </w:r>
      <w:r w:rsidR="0023276C" w:rsidRPr="002003DF">
        <w:t xml:space="preserve"> for 7.9</w:t>
      </w:r>
      <w:r w:rsidR="00153D2B">
        <w:rPr>
          <w:szCs w:val="21"/>
        </w:rPr>
        <w:t xml:space="preserve"> per cent</w:t>
      </w:r>
      <w:r w:rsidR="0023276C" w:rsidRPr="002003DF">
        <w:t xml:space="preserve"> of all cancers diagnosed and 2.4</w:t>
      </w:r>
      <w:r w:rsidR="00153D2B">
        <w:rPr>
          <w:szCs w:val="21"/>
        </w:rPr>
        <w:t xml:space="preserve"> per cent</w:t>
      </w:r>
      <w:r w:rsidR="0023276C" w:rsidRPr="002003DF">
        <w:t xml:space="preserve"> of all cancer-related deaths</w:t>
      </w:r>
      <w:r>
        <w:t>. M</w:t>
      </w:r>
      <w:r w:rsidR="0023276C" w:rsidRPr="002003DF">
        <w:t xml:space="preserve">elanoma was the </w:t>
      </w:r>
      <w:r w:rsidR="00FA2AFC">
        <w:t>fif</w:t>
      </w:r>
      <w:r w:rsidR="0023276C" w:rsidRPr="002003DF">
        <w:t xml:space="preserve">th most diagnosed cancer and the </w:t>
      </w:r>
      <w:r w:rsidR="00FA2AFC">
        <w:t>fourteen</w:t>
      </w:r>
      <w:r w:rsidR="0023276C" w:rsidRPr="002003DF">
        <w:t>th most common cause of cancer-related death in Victoria</w:t>
      </w:r>
      <w:r w:rsidR="0023276C">
        <w:t xml:space="preserve"> (Cancer Council Victoria</w:t>
      </w:r>
      <w:r w:rsidR="00FA2AFC">
        <w:t>,</w:t>
      </w:r>
      <w:r w:rsidR="0023276C">
        <w:t xml:space="preserve"> 2021).</w:t>
      </w:r>
    </w:p>
    <w:p w14:paraId="1DE576E4" w14:textId="0819618C" w:rsidR="0023276C" w:rsidRDefault="00C769BB" w:rsidP="0023276C">
      <w:pPr>
        <w:pStyle w:val="Body"/>
      </w:pPr>
      <w:r>
        <w:t>Chapter 14, Figure 4 shows that, s</w:t>
      </w:r>
      <w:r w:rsidR="0023276C" w:rsidRPr="00D14911">
        <w:t>ince 1982</w:t>
      </w:r>
      <w:r w:rsidR="00182A62">
        <w:t>,</w:t>
      </w:r>
      <w:r w:rsidR="0023276C" w:rsidRPr="00D14911">
        <w:t xml:space="preserve"> </w:t>
      </w:r>
      <w:r w:rsidR="00754F05">
        <w:t xml:space="preserve">the </w:t>
      </w:r>
      <w:r w:rsidR="0023276C" w:rsidRPr="00D14911">
        <w:t>incidence of melanoma has increased by an average of 1.7</w:t>
      </w:r>
      <w:r w:rsidR="00002B74">
        <w:rPr>
          <w:szCs w:val="21"/>
        </w:rPr>
        <w:t xml:space="preserve"> per cent</w:t>
      </w:r>
      <w:r w:rsidR="0023276C" w:rsidRPr="00D14911">
        <w:t xml:space="preserve"> per year in males and 0.7</w:t>
      </w:r>
      <w:r w:rsidR="00002B74">
        <w:rPr>
          <w:szCs w:val="21"/>
        </w:rPr>
        <w:t xml:space="preserve"> per cent</w:t>
      </w:r>
      <w:r w:rsidR="0023276C" w:rsidRPr="00D14911">
        <w:t xml:space="preserve"> in females. Over the past 37 years, mortality from melanoma has decreased by 0.2</w:t>
      </w:r>
      <w:r w:rsidR="00002B74">
        <w:rPr>
          <w:szCs w:val="21"/>
        </w:rPr>
        <w:t xml:space="preserve"> per cent</w:t>
      </w:r>
      <w:r w:rsidR="0023276C" w:rsidRPr="00D14911">
        <w:t xml:space="preserve"> per year in males and 1.5</w:t>
      </w:r>
      <w:r w:rsidR="00002B74">
        <w:rPr>
          <w:szCs w:val="21"/>
        </w:rPr>
        <w:t xml:space="preserve"> per cent</w:t>
      </w:r>
      <w:r w:rsidR="0023276C" w:rsidRPr="00D14911">
        <w:t xml:space="preserve"> per year in females</w:t>
      </w:r>
      <w:r w:rsidR="0023276C">
        <w:t xml:space="preserve"> (Cancer Council Victoria</w:t>
      </w:r>
      <w:r w:rsidR="00182A62">
        <w:t>,</w:t>
      </w:r>
      <w:r w:rsidR="0023276C">
        <w:t xml:space="preserve"> 2021).</w:t>
      </w:r>
    </w:p>
    <w:p w14:paraId="40F98F46" w14:textId="77777777" w:rsidR="0054388C" w:rsidRDefault="0054388C">
      <w:pPr>
        <w:spacing w:after="0" w:line="240" w:lineRule="auto"/>
        <w:rPr>
          <w:b/>
          <w:iCs/>
          <w:color w:val="000000" w:themeColor="text1"/>
          <w:szCs w:val="21"/>
        </w:rPr>
      </w:pPr>
      <w:r>
        <w:rPr>
          <w:b/>
          <w:iCs/>
          <w:color w:val="000000" w:themeColor="text1"/>
          <w:szCs w:val="21"/>
        </w:rPr>
        <w:br w:type="page"/>
      </w:r>
    </w:p>
    <w:p w14:paraId="7335ED32" w14:textId="69140B12" w:rsidR="00C769BB" w:rsidRDefault="00C769BB" w:rsidP="00D0348D">
      <w:pPr>
        <w:spacing w:after="0" w:line="240" w:lineRule="auto"/>
      </w:pPr>
      <w:r w:rsidRPr="00C769BB">
        <w:rPr>
          <w:b/>
          <w:iCs/>
          <w:color w:val="000000" w:themeColor="text1"/>
          <w:szCs w:val="21"/>
        </w:rPr>
        <w:lastRenderedPageBreak/>
        <w:t>Chapter 14, Figure 4. Trend in incidence and mortality of melanoma for the period 1982-2019, by sex</w:t>
      </w:r>
      <w:r>
        <w:rPr>
          <w:b/>
          <w:iCs/>
          <w:color w:val="000000" w:themeColor="text1"/>
          <w:szCs w:val="21"/>
        </w:rPr>
        <w:t xml:space="preserve"> </w:t>
      </w:r>
      <w:r w:rsidRPr="00C769BB">
        <w:rPr>
          <w:bCs/>
          <w:iCs/>
          <w:color w:val="000000" w:themeColor="text1"/>
          <w:szCs w:val="21"/>
        </w:rPr>
        <w:t>Source: Victorian Cancer Registry</w:t>
      </w:r>
      <w:r>
        <w:rPr>
          <w:bCs/>
          <w:iCs/>
          <w:color w:val="000000" w:themeColor="text1"/>
          <w:szCs w:val="21"/>
        </w:rPr>
        <w:t xml:space="preserve"> (</w:t>
      </w:r>
      <w:r w:rsidRPr="00C769BB">
        <w:rPr>
          <w:bCs/>
          <w:iCs/>
          <w:color w:val="000000" w:themeColor="text1"/>
          <w:szCs w:val="21"/>
        </w:rPr>
        <w:t>2021)</w:t>
      </w:r>
      <w:r>
        <w:rPr>
          <w:bCs/>
          <w:iCs/>
          <w:color w:val="000000" w:themeColor="text1"/>
          <w:szCs w:val="21"/>
        </w:rPr>
        <w:t>.</w:t>
      </w:r>
      <w:r>
        <w:t xml:space="preserve"> </w:t>
      </w:r>
    </w:p>
    <w:p w14:paraId="45D4D934" w14:textId="7A5B3239" w:rsidR="00C769BB" w:rsidRPr="00A7272C" w:rsidRDefault="00C769BB" w:rsidP="00C769BB">
      <w:r w:rsidRPr="00C769BB">
        <w:rPr>
          <w:szCs w:val="21"/>
        </w:rPr>
        <w:t>(</w:t>
      </w:r>
      <w:r w:rsidR="00D0348D">
        <w:rPr>
          <w:rFonts w:eastAsia="Arial" w:cs="Arial"/>
          <w:szCs w:val="21"/>
        </w:rPr>
        <w:t>Go to</w:t>
      </w:r>
      <w:r w:rsidRPr="00C769BB">
        <w:rPr>
          <w:rFonts w:eastAsia="Arial" w:cs="Arial"/>
          <w:szCs w:val="21"/>
        </w:rPr>
        <w:t xml:space="preserve"> Appendix A, Chapter 14, </w:t>
      </w:r>
      <w:r w:rsidR="0074608F">
        <w:rPr>
          <w:rFonts w:eastAsia="Arial" w:cs="Arial"/>
          <w:szCs w:val="21"/>
        </w:rPr>
        <w:t>Figure</w:t>
      </w:r>
      <w:r w:rsidRPr="00C769BB">
        <w:rPr>
          <w:rFonts w:eastAsia="Arial" w:cs="Arial"/>
          <w:szCs w:val="21"/>
        </w:rPr>
        <w:t xml:space="preserve"> 4 for accessible table content)</w:t>
      </w:r>
    </w:p>
    <w:p w14:paraId="50BFEE8E" w14:textId="29C5B0FD" w:rsidR="00C769BB" w:rsidRDefault="00C769BB" w:rsidP="0023276C">
      <w:pPr>
        <w:pStyle w:val="Body"/>
      </w:pPr>
      <w:r>
        <w:rPr>
          <w:noProof/>
        </w:rPr>
        <w:drawing>
          <wp:inline distT="0" distB="0" distL="0" distR="0" wp14:anchorId="2023B147" wp14:editId="2DDE2DD2">
            <wp:extent cx="5904230" cy="2775585"/>
            <wp:effectExtent l="0" t="0" r="1270" b="5715"/>
            <wp:docPr id="10" name="Picture 10" descr="Trend in incidence an mortality of melanoma for the period 198202019 by sex in Victoria. Since 1982, the incidence of melanoma has increased by an average of 1.7 per cent per year in males and 0.7 per cent in females. Over the past 37 years, mortality from melanoma has decreased by 0.2 per cent per year in males and 1.5 per cent per year in females. Source: Cancer Council Victoria (2021). Detailed alternative description in Appendix A as Chapter 14, 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rend in incidence an mortality of melanoma for the period 198202019 by sex in Victoria. Since 1982, the incidence of melanoma has increased by an average of 1.7 per cent per year in males and 0.7 per cent in females. Over the past 37 years, mortality from melanoma has decreased by 0.2 per cent per year in males and 1.5 per cent per year in females. Source: Cancer Council Victoria (2021). Detailed alternative description in Appendix A as Chapter 14, Figure 4."/>
                    <pic:cNvPicPr/>
                  </pic:nvPicPr>
                  <pic:blipFill>
                    <a:blip r:embed="rId116"/>
                    <a:stretch>
                      <a:fillRect/>
                    </a:stretch>
                  </pic:blipFill>
                  <pic:spPr>
                    <a:xfrm>
                      <a:off x="0" y="0"/>
                      <a:ext cx="5904230" cy="2775585"/>
                    </a:xfrm>
                    <a:prstGeom prst="rect">
                      <a:avLst/>
                    </a:prstGeom>
                  </pic:spPr>
                </pic:pic>
              </a:graphicData>
            </a:graphic>
          </wp:inline>
        </w:drawing>
      </w:r>
    </w:p>
    <w:p w14:paraId="5BD38893" w14:textId="77777777" w:rsidR="0023276C" w:rsidRPr="000A0006" w:rsidRDefault="0023276C" w:rsidP="007B3159">
      <w:pPr>
        <w:pStyle w:val="Heading3"/>
      </w:pPr>
      <w:r w:rsidRPr="000A0006">
        <w:t>Survival rates</w:t>
      </w:r>
    </w:p>
    <w:p w14:paraId="5D2B5B86" w14:textId="10104710" w:rsidR="0023276C" w:rsidRPr="000A0006" w:rsidRDefault="0023276C" w:rsidP="0023276C">
      <w:pPr>
        <w:pStyle w:val="Body"/>
      </w:pPr>
      <w:r w:rsidRPr="000A0006">
        <w:t xml:space="preserve">Five-year survival </w:t>
      </w:r>
      <w:r w:rsidR="00471EA8">
        <w:t xml:space="preserve">rates </w:t>
      </w:r>
      <w:r w:rsidRPr="000A0006">
        <w:t xml:space="preserve">for melanoma </w:t>
      </w:r>
      <w:r w:rsidR="00471EA8">
        <w:t xml:space="preserve">increased from 88 per cent </w:t>
      </w:r>
      <w:r w:rsidRPr="000A0006">
        <w:t xml:space="preserve">between 1989-1993 </w:t>
      </w:r>
      <w:r w:rsidR="00471EA8">
        <w:t xml:space="preserve">to 92 per cent between </w:t>
      </w:r>
      <w:r w:rsidRPr="000A0006">
        <w:t xml:space="preserve">2014-2018 </w:t>
      </w:r>
      <w:r>
        <w:t>(Cancer Council Victoria</w:t>
      </w:r>
      <w:r w:rsidR="00471EA8">
        <w:t>,</w:t>
      </w:r>
      <w:r>
        <w:t xml:space="preserve"> 2021).</w:t>
      </w:r>
    </w:p>
    <w:p w14:paraId="636301A3" w14:textId="77777777" w:rsidR="0023276C" w:rsidRPr="000A0006" w:rsidRDefault="0023276C" w:rsidP="0023276C">
      <w:pPr>
        <w:pStyle w:val="Body"/>
      </w:pPr>
      <w:r w:rsidRPr="000A0006">
        <w:t xml:space="preserve">Increasing sun protection and early detection are key to further </w:t>
      </w:r>
      <w:r>
        <w:t xml:space="preserve">reducing the disease burden of </w:t>
      </w:r>
      <w:r w:rsidRPr="000A0006">
        <w:t>melanoma.</w:t>
      </w:r>
    </w:p>
    <w:p w14:paraId="358CB4FE" w14:textId="77777777" w:rsidR="0023276C" w:rsidRDefault="0023276C" w:rsidP="0023276C">
      <w:pPr>
        <w:pStyle w:val="Heading2"/>
      </w:pPr>
      <w:bookmarkStart w:id="131" w:name="_Toc116981381"/>
      <w:r>
        <w:t>Non-melanoma skin cancer</w:t>
      </w:r>
      <w:bookmarkEnd w:id="131"/>
      <w:r>
        <w:t xml:space="preserve">  </w:t>
      </w:r>
    </w:p>
    <w:p w14:paraId="0D2B4F1A" w14:textId="77777777" w:rsidR="00471EA8" w:rsidRDefault="0023276C" w:rsidP="0023276C">
      <w:pPr>
        <w:pStyle w:val="Body"/>
      </w:pPr>
      <w:r w:rsidRPr="00E26C62">
        <w:t>Non-melanoma skin cancer is the most commonly treated cancer in Australia. It includes basal cell carcinoma and squamous cell carcinoma.</w:t>
      </w:r>
      <w:r>
        <w:t xml:space="preserve"> </w:t>
      </w:r>
    </w:p>
    <w:p w14:paraId="720839BB" w14:textId="7494D7E5" w:rsidR="0023276C" w:rsidRPr="00E26C62" w:rsidRDefault="0023276C" w:rsidP="0023276C">
      <w:pPr>
        <w:pStyle w:val="Body"/>
      </w:pPr>
      <w:r w:rsidRPr="0017157F">
        <w:t>Rare types of non-melanoma skin cancer include Merkel cell carcinoma and angiosarcoma. </w:t>
      </w:r>
    </w:p>
    <w:p w14:paraId="409BA362" w14:textId="77777777" w:rsidR="0023276C" w:rsidRPr="00E26C62" w:rsidRDefault="0023276C" w:rsidP="007B3159">
      <w:pPr>
        <w:pStyle w:val="Heading3"/>
      </w:pPr>
      <w:r w:rsidRPr="00E26C62">
        <w:t>Prevalence of non-melanoma skin cancer</w:t>
      </w:r>
    </w:p>
    <w:p w14:paraId="2DD7C889" w14:textId="02F35522" w:rsidR="0023276C" w:rsidRDefault="0023276C" w:rsidP="0023276C">
      <w:pPr>
        <w:pStyle w:val="Body"/>
      </w:pPr>
      <w:r>
        <w:t xml:space="preserve">There are estimated to be </w:t>
      </w:r>
      <w:r w:rsidR="00471EA8">
        <w:t xml:space="preserve">more than </w:t>
      </w:r>
      <w:r>
        <w:t>40,000 new diagnoses of the common types of non-melanoma skin cancers (basal and squamous cell carcinomas) each year in Victoria (Cancer Council Victoria</w:t>
      </w:r>
      <w:r w:rsidR="00471EA8">
        <w:t>,</w:t>
      </w:r>
      <w:r>
        <w:t xml:space="preserve"> 2020).</w:t>
      </w:r>
    </w:p>
    <w:p w14:paraId="4A34F2C1" w14:textId="4C15BD89" w:rsidR="0023276C" w:rsidRDefault="0023276C" w:rsidP="0023276C">
      <w:pPr>
        <w:pStyle w:val="Body"/>
      </w:pPr>
      <w:r>
        <w:t>These skin cancers are not reported to the Victorian Cancer Registry</w:t>
      </w:r>
      <w:r w:rsidR="00471EA8">
        <w:t>. T</w:t>
      </w:r>
      <w:r>
        <w:t xml:space="preserve">herefore only an estimate of </w:t>
      </w:r>
      <w:r w:rsidR="00471EA8">
        <w:t xml:space="preserve">their </w:t>
      </w:r>
      <w:r>
        <w:t xml:space="preserve">incidence can be provided. </w:t>
      </w:r>
    </w:p>
    <w:p w14:paraId="6C51BEC9" w14:textId="4F2F10A5" w:rsidR="0023276C" w:rsidRDefault="0023276C" w:rsidP="0023276C">
      <w:pPr>
        <w:pStyle w:val="Body"/>
      </w:pPr>
      <w:r>
        <w:t xml:space="preserve">Non-melanoma skin cancers </w:t>
      </w:r>
      <w:r w:rsidRPr="00E77070">
        <w:t>are often self-detected and are usually removed in doctors’ surgeries, sometimes without histological confirmation due to destructive treatment techniques, or treatment with topical creams where tumour sites are only excised in post-treatment testing</w:t>
      </w:r>
      <w:r>
        <w:t xml:space="preserve"> (Staples</w:t>
      </w:r>
      <w:r w:rsidR="00471EA8">
        <w:t>,</w:t>
      </w:r>
      <w:r>
        <w:t xml:space="preserve"> 2006).</w:t>
      </w:r>
    </w:p>
    <w:p w14:paraId="17111BB5" w14:textId="3136964B" w:rsidR="0023276C" w:rsidRDefault="0023276C" w:rsidP="0023276C">
      <w:pPr>
        <w:pStyle w:val="Body"/>
      </w:pPr>
      <w:r w:rsidRPr="00E77070">
        <w:t>To overcome this</w:t>
      </w:r>
      <w:r w:rsidR="00471EA8">
        <w:t xml:space="preserve"> lack of data</w:t>
      </w:r>
      <w:r w:rsidRPr="00E77070">
        <w:t>, datasets such as Medicare item codes for skin cancer treatments (that is, excisions, curettage, laser or liquid nitrogen cryotherapy treatments) are used as a proxy measure. </w:t>
      </w:r>
    </w:p>
    <w:p w14:paraId="0660BDCF" w14:textId="784F858B" w:rsidR="0023276C" w:rsidRPr="009202A8" w:rsidRDefault="00471EA8" w:rsidP="0023276C">
      <w:pPr>
        <w:pStyle w:val="Body"/>
      </w:pPr>
      <w:r>
        <w:lastRenderedPageBreak/>
        <w:t>In 2021, n</w:t>
      </w:r>
      <w:r w:rsidR="0023276C">
        <w:t>on-melanoma skin cancers</w:t>
      </w:r>
      <w:r w:rsidR="0023276C" w:rsidRPr="009202A8">
        <w:t xml:space="preserve"> accounted for 1,148,214 paid Medicare services</w:t>
      </w:r>
      <w:r>
        <w:t>,</w:t>
      </w:r>
      <w:r w:rsidR="0023276C" w:rsidRPr="009202A8">
        <w:t xml:space="preserve"> </w:t>
      </w:r>
      <w:r w:rsidR="0023276C">
        <w:t>Australia</w:t>
      </w:r>
      <w:r>
        <w:t>-</w:t>
      </w:r>
      <w:r w:rsidR="0023276C">
        <w:t>wide</w:t>
      </w:r>
      <w:r>
        <w:t xml:space="preserve">. The figure is extracted from </w:t>
      </w:r>
      <w:r w:rsidR="0023276C" w:rsidRPr="009202A8">
        <w:t xml:space="preserve">data on </w:t>
      </w:r>
      <w:r w:rsidR="0023276C">
        <w:t>non-melanoma skin cancers</w:t>
      </w:r>
      <w:r w:rsidR="0023276C" w:rsidRPr="009202A8">
        <w:t xml:space="preserve"> excisions, curettage, laser, or liquid nitrogen cryotherapy treatments</w:t>
      </w:r>
      <w:r w:rsidR="0023276C">
        <w:t xml:space="preserve"> (Services Australia</w:t>
      </w:r>
      <w:r>
        <w:t>,</w:t>
      </w:r>
      <w:r w:rsidR="0023276C">
        <w:t xml:space="preserve"> 2022).</w:t>
      </w:r>
      <w:r w:rsidR="0023276C" w:rsidRPr="009202A8">
        <w:t xml:space="preserve"> </w:t>
      </w:r>
    </w:p>
    <w:p w14:paraId="485E5383" w14:textId="162E7E61" w:rsidR="0023276C" w:rsidRPr="004A7C47" w:rsidRDefault="0023276C" w:rsidP="0023276C">
      <w:pPr>
        <w:pStyle w:val="Body"/>
      </w:pPr>
      <w:r w:rsidRPr="004A7C47">
        <w:t xml:space="preserve">Findings from the annual </w:t>
      </w:r>
      <w:r w:rsidR="00F6352A" w:rsidRPr="00C4288E">
        <w:t>Bettering of Evaluation and Care of Health (</w:t>
      </w:r>
      <w:r w:rsidRPr="00C4288E">
        <w:t>BEACH</w:t>
      </w:r>
      <w:r w:rsidR="00F6352A" w:rsidRPr="00C4288E">
        <w:t>)</w:t>
      </w:r>
      <w:r w:rsidRPr="00C4288E">
        <w:t xml:space="preserve"> surveys</w:t>
      </w:r>
      <w:r w:rsidRPr="004A7C47">
        <w:t xml:space="preserve"> of general practice</w:t>
      </w:r>
      <w:r w:rsidR="00471EA8">
        <w:t>,</w:t>
      </w:r>
      <w:r w:rsidRPr="004A7C47">
        <w:t xml:space="preserve"> conducted </w:t>
      </w:r>
      <w:r w:rsidR="00471EA8">
        <w:t>between</w:t>
      </w:r>
      <w:r w:rsidR="00471EA8" w:rsidRPr="004A7C47">
        <w:t xml:space="preserve"> </w:t>
      </w:r>
      <w:r w:rsidRPr="004A7C47">
        <w:t>2006</w:t>
      </w:r>
      <w:r w:rsidR="00471EA8">
        <w:t>-</w:t>
      </w:r>
      <w:r w:rsidRPr="004A7C47">
        <w:t>2016</w:t>
      </w:r>
      <w:r w:rsidR="00471EA8">
        <w:t>,</w:t>
      </w:r>
      <w:r w:rsidRPr="004A7C47">
        <w:t xml:space="preserve"> showed that skin cancer predominated as the cancer most often managed (by way of medications, clinical and procedural treatments, ordering of pathology or imaging tests) in GP-patient encounters, and was consistently among the top </w:t>
      </w:r>
      <w:r w:rsidR="00471EA8">
        <w:t>10</w:t>
      </w:r>
      <w:r w:rsidR="00471EA8" w:rsidRPr="004A7C47">
        <w:t xml:space="preserve"> </w:t>
      </w:r>
      <w:r w:rsidRPr="004A7C47">
        <w:t>conditions managed by GPs (Britt</w:t>
      </w:r>
      <w:r w:rsidR="00471EA8">
        <w:t>,</w:t>
      </w:r>
      <w:r w:rsidRPr="004A7C47">
        <w:t xml:space="preserve"> 2016). </w:t>
      </w:r>
    </w:p>
    <w:p w14:paraId="65B6B3F6" w14:textId="05441B42" w:rsidR="0023276C" w:rsidRDefault="0023276C" w:rsidP="0023276C">
      <w:pPr>
        <w:pStyle w:val="Body"/>
      </w:pPr>
      <w:r w:rsidRPr="00CC719A">
        <w:t xml:space="preserve">Despite the high incidence rate of </w:t>
      </w:r>
      <w:r w:rsidR="006507D6">
        <w:t>non-melanoma skin cancer</w:t>
      </w:r>
      <w:r w:rsidRPr="00CC719A">
        <w:t xml:space="preserve"> mortality rates are relatively low. </w:t>
      </w:r>
      <w:r w:rsidR="00471EA8">
        <w:t>In 2019, t</w:t>
      </w:r>
      <w:r>
        <w:t xml:space="preserve">he </w:t>
      </w:r>
      <w:r w:rsidR="00471EA8">
        <w:t xml:space="preserve">ABS </w:t>
      </w:r>
      <w:r>
        <w:t>reported 122 deaths in Victoria from non-melanoma skin cancers</w:t>
      </w:r>
      <w:r w:rsidRPr="00CC719A">
        <w:t xml:space="preserve"> (ABS</w:t>
      </w:r>
      <w:r w:rsidR="00471EA8">
        <w:t>,</w:t>
      </w:r>
      <w:r w:rsidRPr="00CC719A">
        <w:t xml:space="preserve"> 2019).</w:t>
      </w:r>
    </w:p>
    <w:p w14:paraId="2D22C95F" w14:textId="77777777" w:rsidR="0023276C" w:rsidRPr="00596EF7" w:rsidRDefault="0023276C" w:rsidP="00AD4096">
      <w:pPr>
        <w:pStyle w:val="Heading3"/>
      </w:pPr>
      <w:r w:rsidRPr="00596EF7">
        <w:t>Cost of treatment</w:t>
      </w:r>
    </w:p>
    <w:p w14:paraId="2A9415A8" w14:textId="17415F37" w:rsidR="0023276C" w:rsidRPr="005B4DD3" w:rsidRDefault="0023276C" w:rsidP="0023276C">
      <w:pPr>
        <w:pStyle w:val="Body"/>
      </w:pPr>
      <w:r w:rsidRPr="00B37839">
        <w:t>Non-melanoma skin cancer places a substantial cost burden on the health system. It accounts for 8.1 per cent of all health system spending on cancer in Australia – excluding cancer screening (</w:t>
      </w:r>
      <w:r w:rsidR="001C2009">
        <w:t>AIHW,</w:t>
      </w:r>
      <w:r w:rsidRPr="00B37839">
        <w:t xml:space="preserve"> 2016).</w:t>
      </w:r>
    </w:p>
    <w:p w14:paraId="0E0FA733" w14:textId="77777777" w:rsidR="0023276C" w:rsidRPr="00E55300" w:rsidRDefault="0023276C" w:rsidP="0023276C">
      <w:pPr>
        <w:pStyle w:val="Body"/>
      </w:pPr>
      <w:r w:rsidRPr="00C675F1">
        <w:t xml:space="preserve">In 2015-16 non-melanoma skin cancer </w:t>
      </w:r>
      <w:r>
        <w:t>incurred</w:t>
      </w:r>
      <w:r w:rsidRPr="00C675F1">
        <w:t xml:space="preserve"> the second highest estimated expenditure by cancer site in Australia, costing an estimated $1.005 billion (AIHW, 2021). </w:t>
      </w:r>
    </w:p>
    <w:p w14:paraId="098E08DA" w14:textId="77777777" w:rsidR="0023276C" w:rsidRPr="00E55300" w:rsidRDefault="0023276C" w:rsidP="0023276C">
      <w:pPr>
        <w:pStyle w:val="Body"/>
      </w:pPr>
      <w:r w:rsidRPr="00E55300">
        <w:t xml:space="preserve">Non-melanoma </w:t>
      </w:r>
      <w:r w:rsidRPr="001653FD">
        <w:t xml:space="preserve">skin cancers accounted for </w:t>
      </w:r>
      <w:r w:rsidRPr="00E55300">
        <w:t>one quarter of a</w:t>
      </w:r>
      <w:r w:rsidRPr="001653FD">
        <w:t>ll cancer-related hospitalisations in</w:t>
      </w:r>
      <w:r w:rsidRPr="00E55300">
        <w:t xml:space="preserve"> Australia in 2019-20 (AIHW, 2021).</w:t>
      </w:r>
      <w:r w:rsidRPr="001653FD">
        <w:t> </w:t>
      </w:r>
    </w:p>
    <w:p w14:paraId="0ABFE922" w14:textId="1B3A08BA" w:rsidR="0023276C" w:rsidRPr="00846735" w:rsidRDefault="0023276C" w:rsidP="0023276C">
      <w:pPr>
        <w:pStyle w:val="Body"/>
      </w:pPr>
      <w:r w:rsidRPr="00846735">
        <w:t>The risk of non-melanoma skin cancer increases with age</w:t>
      </w:r>
      <w:r w:rsidR="00471EA8">
        <w:t>. T</w:t>
      </w:r>
      <w:r w:rsidRPr="00846735">
        <w:t xml:space="preserve">he ageing of the Victorian population is likely to contribute to an increase in the number of cancers treated and </w:t>
      </w:r>
      <w:r w:rsidR="00471EA8">
        <w:t xml:space="preserve">an increase in </w:t>
      </w:r>
      <w:r w:rsidRPr="00846735">
        <w:t>the economic burden of non-melanoma skin cancer. This burden falls not only on primary care, but also on hospitals through admissions and outpatient services.</w:t>
      </w:r>
    </w:p>
    <w:p w14:paraId="0E1BC84D" w14:textId="22BAE486" w:rsidR="0023276C" w:rsidRPr="005B4DD3" w:rsidRDefault="0023276C" w:rsidP="0023276C">
      <w:pPr>
        <w:pStyle w:val="Body"/>
      </w:pPr>
      <w:r w:rsidRPr="005B4DD3">
        <w:t xml:space="preserve">In 2012–13, there were 12,700 Victorian public hospitals admissions for treating melanoma and non-melanoma skin cancer. The cost </w:t>
      </w:r>
      <w:r w:rsidR="00471EA8" w:rsidRPr="005B4DD3">
        <w:t xml:space="preserve">for </w:t>
      </w:r>
      <w:r w:rsidR="00471EA8">
        <w:t xml:space="preserve">treating </w:t>
      </w:r>
      <w:r w:rsidR="00471EA8" w:rsidRPr="005B4DD3">
        <w:t xml:space="preserve">non-melanoma skin cancer </w:t>
      </w:r>
      <w:r w:rsidRPr="005B4DD3">
        <w:t xml:space="preserve">was $29 million (Shih </w:t>
      </w:r>
      <w:r w:rsidRPr="00133EC3">
        <w:t>et al</w:t>
      </w:r>
      <w:r w:rsidR="00471EA8">
        <w:t>,</w:t>
      </w:r>
      <w:r w:rsidRPr="005B4DD3">
        <w:t xml:space="preserve"> 2017).</w:t>
      </w:r>
      <w:r w:rsidR="00471EA8">
        <w:t xml:space="preserve"> In a</w:t>
      </w:r>
      <w:r w:rsidRPr="005B4DD3">
        <w:t xml:space="preserve">ddition, there were 14,000 outpatient treatments for managing skin cancer in Victoria (Shih </w:t>
      </w:r>
      <w:r w:rsidRPr="00133EC3">
        <w:t>et al</w:t>
      </w:r>
      <w:r w:rsidR="00471EA8">
        <w:t>,</w:t>
      </w:r>
      <w:r w:rsidRPr="005B4DD3">
        <w:t xml:space="preserve"> 2017). </w:t>
      </w:r>
    </w:p>
    <w:p w14:paraId="5ADFDBB5" w14:textId="304D1D02" w:rsidR="0023276C" w:rsidRPr="00846735" w:rsidRDefault="0023276C" w:rsidP="0023276C">
      <w:pPr>
        <w:pStyle w:val="Body"/>
      </w:pPr>
      <w:r w:rsidRPr="005B4DD3">
        <w:t xml:space="preserve">In total, </w:t>
      </w:r>
      <w:r w:rsidR="00471EA8" w:rsidRPr="005B4DD3">
        <w:t>treat</w:t>
      </w:r>
      <w:r w:rsidR="00981966">
        <w:t>ing</w:t>
      </w:r>
      <w:r w:rsidR="00471EA8" w:rsidRPr="005B4DD3">
        <w:t xml:space="preserve"> skin cancer in Victorian public hospitals </w:t>
      </w:r>
      <w:r w:rsidRPr="005B4DD3">
        <w:t xml:space="preserve">is estimated to </w:t>
      </w:r>
      <w:r w:rsidR="00471EA8">
        <w:t xml:space="preserve">annually </w:t>
      </w:r>
      <w:r w:rsidRPr="005B4DD3">
        <w:t>cost about $50 million (</w:t>
      </w:r>
      <w:r w:rsidR="00471EA8">
        <w:t xml:space="preserve">between </w:t>
      </w:r>
      <w:r w:rsidRPr="005B4DD3">
        <w:t>$49.3</w:t>
      </w:r>
      <w:r w:rsidR="00471EA8">
        <w:t xml:space="preserve"> million and </w:t>
      </w:r>
      <w:r w:rsidRPr="005B4DD3">
        <w:t>$55.7 million)</w:t>
      </w:r>
      <w:r w:rsidR="00471EA8">
        <w:t xml:space="preserve">. That </w:t>
      </w:r>
      <w:r w:rsidRPr="005B4DD3">
        <w:t>cost ris</w:t>
      </w:r>
      <w:r w:rsidR="00471EA8">
        <w:t>es</w:t>
      </w:r>
      <w:r w:rsidRPr="005B4DD3">
        <w:t xml:space="preserve"> to between $121</w:t>
      </w:r>
      <w:r w:rsidR="00471EA8">
        <w:t xml:space="preserve"> million and</w:t>
      </w:r>
      <w:r w:rsidRPr="005B4DD3">
        <w:t xml:space="preserve"> $127 million when private hospital admissions are </w:t>
      </w:r>
      <w:r w:rsidR="00471EA8">
        <w:t xml:space="preserve">included </w:t>
      </w:r>
      <w:r w:rsidRPr="005B4DD3">
        <w:t xml:space="preserve">(Shih </w:t>
      </w:r>
      <w:r w:rsidRPr="006B18F4">
        <w:t>et al</w:t>
      </w:r>
      <w:r w:rsidR="00471EA8">
        <w:t>,</w:t>
      </w:r>
      <w:r w:rsidRPr="005B4DD3">
        <w:t xml:space="preserve"> 2017).</w:t>
      </w:r>
    </w:p>
    <w:p w14:paraId="58FC8F43" w14:textId="77777777" w:rsidR="0023276C" w:rsidRPr="00B43193" w:rsidRDefault="0023276C" w:rsidP="00AD4096">
      <w:pPr>
        <w:pStyle w:val="Heading3"/>
      </w:pPr>
      <w:r w:rsidRPr="00B43193">
        <w:t>Cost-effectiveness of prevention</w:t>
      </w:r>
    </w:p>
    <w:p w14:paraId="1DCEE15C" w14:textId="7877C6D3" w:rsidR="00471EA8" w:rsidRPr="00B43193" w:rsidRDefault="0023276C" w:rsidP="0023276C">
      <w:pPr>
        <w:pStyle w:val="Body"/>
      </w:pPr>
      <w:r w:rsidRPr="00B43193">
        <w:t>Nearly all non-melanoma skin cancer in Australia can be attributed to high exposure to ultraviolet radiation, making it largely preventable with sun protective behaviours</w:t>
      </w:r>
      <w:r>
        <w:t>.</w:t>
      </w:r>
      <w:r w:rsidR="00471EA8">
        <w:t xml:space="preserve"> </w:t>
      </w:r>
    </w:p>
    <w:p w14:paraId="5CD6D47C" w14:textId="470BCB3B" w:rsidR="0023276C" w:rsidRPr="008E4A16" w:rsidRDefault="00490B8A" w:rsidP="0023276C">
      <w:pPr>
        <w:pStyle w:val="Body"/>
      </w:pPr>
      <w:r>
        <w:t xml:space="preserve">On a per patient measure, Victoria spends 30 times more on the </w:t>
      </w:r>
      <w:r w:rsidR="0023276C" w:rsidRPr="008E4A16">
        <w:t>treat</w:t>
      </w:r>
      <w:r>
        <w:t>ment of</w:t>
      </w:r>
      <w:r w:rsidR="0023276C" w:rsidRPr="008E4A16">
        <w:t xml:space="preserve"> skin cancer </w:t>
      </w:r>
      <w:r w:rsidR="0041790C">
        <w:t xml:space="preserve">than </w:t>
      </w:r>
      <w:r>
        <w:t xml:space="preserve">the </w:t>
      </w:r>
      <w:r w:rsidR="0023276C" w:rsidRPr="008E4A16">
        <w:t xml:space="preserve">prevention </w:t>
      </w:r>
      <w:r>
        <w:t xml:space="preserve">of skin cancer </w:t>
      </w:r>
      <w:r w:rsidR="0023276C" w:rsidRPr="00190EB0">
        <w:t xml:space="preserve">(Shih </w:t>
      </w:r>
      <w:r w:rsidR="0023276C" w:rsidRPr="006B18F4">
        <w:t>et al</w:t>
      </w:r>
      <w:r>
        <w:t>,</w:t>
      </w:r>
      <w:r w:rsidR="0023276C" w:rsidRPr="00190EB0">
        <w:t xml:space="preserve"> 2017)</w:t>
      </w:r>
      <w:r w:rsidR="0023276C">
        <w:t>.</w:t>
      </w:r>
    </w:p>
    <w:p w14:paraId="38A288C4" w14:textId="2A8066FC" w:rsidR="0023276C" w:rsidRPr="00190EB0" w:rsidRDefault="0023276C" w:rsidP="0023276C">
      <w:pPr>
        <w:pStyle w:val="Body"/>
      </w:pPr>
      <w:r w:rsidRPr="00190EB0">
        <w:t xml:space="preserve">Economic evaluations show prevention programs are highly cost effective, with the Victorian SunSmart program returning $2.22 for every dollar invested (Shih </w:t>
      </w:r>
      <w:r w:rsidRPr="006B18F4">
        <w:t>et al</w:t>
      </w:r>
      <w:r w:rsidR="00490B8A">
        <w:t>,</w:t>
      </w:r>
      <w:r w:rsidRPr="00190EB0">
        <w:t xml:space="preserve"> 2017).</w:t>
      </w:r>
    </w:p>
    <w:p w14:paraId="7B92927E" w14:textId="3FAF1765" w:rsidR="00490B8A" w:rsidRDefault="0023276C" w:rsidP="0023276C">
      <w:pPr>
        <w:pStyle w:val="Body"/>
      </w:pPr>
      <w:r w:rsidRPr="00190EB0">
        <w:t>From 1988</w:t>
      </w:r>
      <w:r w:rsidR="00490B8A">
        <w:t>-</w:t>
      </w:r>
      <w:r w:rsidRPr="00190EB0">
        <w:t xml:space="preserve">2011, it is estimated that SunSmart Victoria prevented more than 43,000 cases of skin cancer, including 32,200 non-melanoma skin cancer, and 1,400 skin cancer deaths (Shih </w:t>
      </w:r>
      <w:r w:rsidRPr="006B18F4">
        <w:t>et al</w:t>
      </w:r>
      <w:r w:rsidR="00490B8A">
        <w:t>,</w:t>
      </w:r>
      <w:r w:rsidRPr="00190EB0">
        <w:t xml:space="preserve"> 2017). </w:t>
      </w:r>
    </w:p>
    <w:p w14:paraId="4E659A5F" w14:textId="2BE7CBEE" w:rsidR="0023276C" w:rsidRPr="00190EB0" w:rsidRDefault="00490B8A" w:rsidP="0023276C">
      <w:pPr>
        <w:pStyle w:val="Body"/>
      </w:pPr>
      <w:r w:rsidRPr="00190EB0">
        <w:t>SunSmart Victoria</w:t>
      </w:r>
      <w:r>
        <w:t xml:space="preserve">’s success </w:t>
      </w:r>
      <w:r w:rsidR="0023276C" w:rsidRPr="00190EB0">
        <w:t xml:space="preserve">demonstrates </w:t>
      </w:r>
      <w:r>
        <w:t xml:space="preserve">the economic and health </w:t>
      </w:r>
      <w:r w:rsidR="0023276C" w:rsidRPr="00190EB0">
        <w:t xml:space="preserve">effectiveness </w:t>
      </w:r>
      <w:r>
        <w:t xml:space="preserve">of prevention measures </w:t>
      </w:r>
      <w:r w:rsidR="0023276C" w:rsidRPr="00190EB0">
        <w:t xml:space="preserve">(Shih </w:t>
      </w:r>
      <w:r w:rsidR="0023276C" w:rsidRPr="006B18F4">
        <w:t>et al</w:t>
      </w:r>
      <w:r>
        <w:t>,</w:t>
      </w:r>
      <w:r w:rsidR="0023276C" w:rsidRPr="00190EB0">
        <w:t xml:space="preserve"> 2017).</w:t>
      </w:r>
    </w:p>
    <w:p w14:paraId="3B4215C5" w14:textId="47D9450B" w:rsidR="00F01836" w:rsidRPr="008F12BF" w:rsidRDefault="00F01836" w:rsidP="00FE3B7F">
      <w:pPr>
        <w:pStyle w:val="Heading2"/>
        <w:rPr>
          <w:szCs w:val="21"/>
        </w:rPr>
      </w:pPr>
      <w:bookmarkStart w:id="132" w:name="_Toc116981382"/>
      <w:r>
        <w:lastRenderedPageBreak/>
        <w:t>Heart Disease</w:t>
      </w:r>
      <w:bookmarkEnd w:id="132"/>
    </w:p>
    <w:p w14:paraId="4083C014" w14:textId="77777777" w:rsidR="00F01836" w:rsidRPr="00F01836" w:rsidRDefault="00F01836" w:rsidP="00FE3B7F">
      <w:pPr>
        <w:pStyle w:val="Body"/>
      </w:pPr>
      <w:r w:rsidRPr="00F01836">
        <w:t xml:space="preserve">Heart disease is one of the leading causes of death in Australia and Victoria. </w:t>
      </w:r>
    </w:p>
    <w:p w14:paraId="196C906A" w14:textId="76873AAE" w:rsidR="00F01836" w:rsidRPr="00F01836" w:rsidRDefault="00F01836" w:rsidP="00FE3B7F">
      <w:pPr>
        <w:pStyle w:val="Body"/>
      </w:pPr>
      <w:r w:rsidRPr="00F01836">
        <w:t>Heart disease is a collective term for many different diseases of the heart. The term commonly includes diseases such as coronary or ischaemic heart disease, heart failure, cardiomyopathy and congenital heart disease (</w:t>
      </w:r>
      <w:r w:rsidR="00490B8A">
        <w:t>VAHI</w:t>
      </w:r>
      <w:r w:rsidRPr="00F01836">
        <w:t>, 2021).</w:t>
      </w:r>
      <w:r w:rsidRPr="00F01836">
        <w:rPr>
          <w:sz w:val="24"/>
          <w:szCs w:val="24"/>
        </w:rPr>
        <w:t xml:space="preserve"> </w:t>
      </w:r>
    </w:p>
    <w:p w14:paraId="46B6F0D5" w14:textId="7089ABFA" w:rsidR="00490B8A" w:rsidRDefault="00F01836" w:rsidP="00FE3B7F">
      <w:pPr>
        <w:pStyle w:val="Body"/>
        <w:rPr>
          <w:rFonts w:eastAsia="Arial" w:cs="Arial"/>
        </w:rPr>
      </w:pPr>
      <w:r w:rsidRPr="00F01836">
        <w:rPr>
          <w:rFonts w:eastAsia="Arial" w:cs="Arial"/>
        </w:rPr>
        <w:t xml:space="preserve">Coronary heart disease is the most common form of heart disease in Australia. The two major forms of coronary heart disease are heart attack (also known as acute myocardial infarction) and angina. </w:t>
      </w:r>
    </w:p>
    <w:p w14:paraId="3104CF14" w14:textId="0CFBE62C" w:rsidR="00490B8A" w:rsidRDefault="00F01836" w:rsidP="00FE3B7F">
      <w:pPr>
        <w:pStyle w:val="Body"/>
        <w:rPr>
          <w:rFonts w:eastAsia="Arial" w:cs="Arial"/>
        </w:rPr>
      </w:pPr>
      <w:r w:rsidRPr="00F01836">
        <w:rPr>
          <w:rFonts w:eastAsia="Arial" w:cs="Arial"/>
        </w:rPr>
        <w:t xml:space="preserve">A heart attack is caused when blood supply to the heart is completely blocked, often causing damage to the heart muscle and its function. </w:t>
      </w:r>
    </w:p>
    <w:p w14:paraId="74ED017B" w14:textId="1243D9AB" w:rsidR="00F01836" w:rsidRPr="00F01836" w:rsidRDefault="00F01836" w:rsidP="00FE3B7F">
      <w:pPr>
        <w:pStyle w:val="Body"/>
      </w:pPr>
      <w:r w:rsidRPr="00F01836">
        <w:rPr>
          <w:rFonts w:eastAsia="Arial" w:cs="Arial"/>
        </w:rPr>
        <w:t>Angina is a chronic condition where short episodes of chest pain occur periodically, caused by a temporary shortage of blood supply to the heart. Angina is not usually life-threatening</w:t>
      </w:r>
      <w:r w:rsidR="00490B8A">
        <w:rPr>
          <w:rFonts w:eastAsia="Arial" w:cs="Arial"/>
        </w:rPr>
        <w:t>,</w:t>
      </w:r>
      <w:r w:rsidRPr="00F01836">
        <w:rPr>
          <w:rFonts w:eastAsia="Arial" w:cs="Arial"/>
        </w:rPr>
        <w:t xml:space="preserve"> but can be associated with increased risk of heart attack.</w:t>
      </w:r>
    </w:p>
    <w:p w14:paraId="435EB6C2" w14:textId="3E68CB9A" w:rsidR="00F01836" w:rsidRPr="00F01836" w:rsidRDefault="00F01836" w:rsidP="00FE3B7F">
      <w:pPr>
        <w:pStyle w:val="Body"/>
        <w:rPr>
          <w:sz w:val="24"/>
          <w:szCs w:val="24"/>
        </w:rPr>
      </w:pPr>
      <w:r w:rsidRPr="00F01836">
        <w:t>Coronary or ischaemic heart disease remains the leading cause of death in Victoria for males and females. It accounts for 11.67 per cent of all deaths (</w:t>
      </w:r>
      <w:r w:rsidR="00A70AB5">
        <w:t>ABS,</w:t>
      </w:r>
      <w:r w:rsidRPr="00F01836">
        <w:t xml:space="preserve"> 2019).</w:t>
      </w:r>
    </w:p>
    <w:p w14:paraId="2395F9AF" w14:textId="77777777" w:rsidR="00F01836" w:rsidRPr="00F01836" w:rsidRDefault="00F01836" w:rsidP="00FE3B7F">
      <w:pPr>
        <w:pStyle w:val="Body"/>
      </w:pPr>
      <w:r w:rsidRPr="00F01836">
        <w:t xml:space="preserve">Several heart disease risk factors are modifiable and include:  </w:t>
      </w:r>
    </w:p>
    <w:p w14:paraId="4B9873CF" w14:textId="77777777" w:rsidR="00F01836" w:rsidRPr="00F01836" w:rsidRDefault="00F01836" w:rsidP="00FE3B7F">
      <w:pPr>
        <w:pStyle w:val="Bullet1"/>
        <w:rPr>
          <w:rFonts w:eastAsia="Arial" w:cs="Arial"/>
        </w:rPr>
      </w:pPr>
      <w:r w:rsidRPr="00F01836">
        <w:t>smoking</w:t>
      </w:r>
    </w:p>
    <w:p w14:paraId="329F9FBF" w14:textId="77777777" w:rsidR="00F01836" w:rsidRPr="00F01836" w:rsidRDefault="00F01836" w:rsidP="00FE3B7F">
      <w:pPr>
        <w:pStyle w:val="Bullet1"/>
        <w:rPr>
          <w:rFonts w:eastAsia="Arial" w:cs="Arial"/>
        </w:rPr>
      </w:pPr>
      <w:r w:rsidRPr="00F01836">
        <w:t>high cholesterol</w:t>
      </w:r>
    </w:p>
    <w:p w14:paraId="30C02A2B" w14:textId="77777777" w:rsidR="00F01836" w:rsidRPr="00F01836" w:rsidRDefault="00F01836" w:rsidP="00FE3B7F">
      <w:pPr>
        <w:pStyle w:val="Bullet1"/>
        <w:rPr>
          <w:rFonts w:eastAsia="Arial" w:cs="Arial"/>
        </w:rPr>
      </w:pPr>
      <w:r w:rsidRPr="00F01836">
        <w:t>high blood pressure</w:t>
      </w:r>
    </w:p>
    <w:p w14:paraId="707242AD" w14:textId="323C92E6" w:rsidR="204F71C8" w:rsidRDefault="00452F70" w:rsidP="5919196D">
      <w:pPr>
        <w:pStyle w:val="Bullet1"/>
        <w:rPr>
          <w:rFonts w:eastAsia="Arial" w:cs="Arial"/>
        </w:rPr>
      </w:pPr>
      <w:r>
        <w:rPr>
          <w:rFonts w:eastAsia="Arial" w:cs="Arial"/>
        </w:rPr>
        <w:t>d</w:t>
      </w:r>
      <w:r w:rsidR="204F71C8" w:rsidRPr="5919196D">
        <w:rPr>
          <w:rFonts w:eastAsia="Arial" w:cs="Arial"/>
        </w:rPr>
        <w:t>iabetes</w:t>
      </w:r>
    </w:p>
    <w:p w14:paraId="571E8DE9" w14:textId="77777777" w:rsidR="00F01836" w:rsidRPr="00F01836" w:rsidRDefault="00F01836" w:rsidP="00FE3B7F">
      <w:pPr>
        <w:pStyle w:val="Bullet1"/>
        <w:rPr>
          <w:rFonts w:eastAsia="Arial" w:cs="Arial"/>
        </w:rPr>
      </w:pPr>
      <w:r w:rsidRPr="00F01836">
        <w:t>inactivity</w:t>
      </w:r>
    </w:p>
    <w:p w14:paraId="4A36F8C3" w14:textId="77777777" w:rsidR="00F01836" w:rsidRPr="00F01836" w:rsidRDefault="00F01836" w:rsidP="00FE3B7F">
      <w:pPr>
        <w:pStyle w:val="Bullet1"/>
        <w:rPr>
          <w:rFonts w:eastAsia="Arial" w:cs="Arial"/>
        </w:rPr>
      </w:pPr>
      <w:r w:rsidRPr="00F01836">
        <w:t>overweight and obesity</w:t>
      </w:r>
    </w:p>
    <w:p w14:paraId="39F237DE" w14:textId="77777777" w:rsidR="00F01836" w:rsidRPr="00F01836" w:rsidRDefault="00F01836" w:rsidP="00FE3B7F">
      <w:pPr>
        <w:pStyle w:val="Bullet1"/>
        <w:rPr>
          <w:rFonts w:eastAsia="Arial" w:cs="Arial"/>
        </w:rPr>
      </w:pPr>
      <w:r w:rsidRPr="00F01836">
        <w:t>unhealthy diet</w:t>
      </w:r>
    </w:p>
    <w:p w14:paraId="1C561020" w14:textId="69A33B61" w:rsidR="00F01836" w:rsidRPr="00FE3B7F" w:rsidRDefault="00F01836" w:rsidP="0025312D">
      <w:pPr>
        <w:pStyle w:val="Bullet1"/>
        <w:spacing w:after="120"/>
        <w:rPr>
          <w:rFonts w:eastAsia="Arial" w:cs="Arial"/>
        </w:rPr>
      </w:pPr>
      <w:r w:rsidRPr="00F01836">
        <w:t>depression and social isolation (Heart Foundation</w:t>
      </w:r>
      <w:r w:rsidR="00490B8A">
        <w:t>,</w:t>
      </w:r>
      <w:r w:rsidRPr="00F01836">
        <w:t xml:space="preserve"> 2022).</w:t>
      </w:r>
    </w:p>
    <w:p w14:paraId="2CB55240" w14:textId="69F5BCA6" w:rsidR="00F01836" w:rsidRPr="00FE3B7F" w:rsidRDefault="00F01836" w:rsidP="00FE3B7F">
      <w:pPr>
        <w:pStyle w:val="Body"/>
      </w:pPr>
      <w:r w:rsidRPr="00FE3B7F">
        <w:t xml:space="preserve">Prevalence of heart disease is higher among </w:t>
      </w:r>
      <w:r w:rsidR="00282EBF">
        <w:t xml:space="preserve">the </w:t>
      </w:r>
      <w:r w:rsidRPr="00FE3B7F">
        <w:t>low</w:t>
      </w:r>
      <w:r w:rsidR="00282EBF">
        <w:t>est</w:t>
      </w:r>
      <w:r w:rsidRPr="00FE3B7F">
        <w:t xml:space="preserve"> socioeconomic group</w:t>
      </w:r>
      <w:r w:rsidR="00282EBF">
        <w:t>s</w:t>
      </w:r>
      <w:r w:rsidRPr="00FE3B7F">
        <w:t xml:space="preserve"> and Aboriginal and Torres Strait Islander people (Heart Foundation</w:t>
      </w:r>
      <w:r w:rsidR="00282EBF">
        <w:t>,</w:t>
      </w:r>
      <w:r w:rsidRPr="00FE3B7F">
        <w:t xml:space="preserve"> 2022).</w:t>
      </w:r>
    </w:p>
    <w:p w14:paraId="432124B0" w14:textId="31B8A52D" w:rsidR="00F01836" w:rsidRPr="00FE3B7F" w:rsidRDefault="00F01836" w:rsidP="00FE3B7F">
      <w:pPr>
        <w:pStyle w:val="Body"/>
      </w:pPr>
      <w:r w:rsidRPr="00FE3B7F">
        <w:t>Overall, people in lower socioeconomic groups, Aboriginal and Torres Strait Islander peoples</w:t>
      </w:r>
      <w:r w:rsidR="00282EBF">
        <w:t>,</w:t>
      </w:r>
      <w:r w:rsidRPr="00FE3B7F">
        <w:t xml:space="preserve"> and those living in remote areas have higher rates of hospitalisation and death resulting from heart disease than other Australians (Heart Foundation</w:t>
      </w:r>
      <w:r w:rsidR="00282EBF">
        <w:t>,</w:t>
      </w:r>
      <w:r w:rsidRPr="00FE3B7F">
        <w:t xml:space="preserve"> 2022).</w:t>
      </w:r>
    </w:p>
    <w:p w14:paraId="698939B2" w14:textId="32AC6D20" w:rsidR="00F01836" w:rsidRPr="00FE3B7F" w:rsidRDefault="00F01836" w:rsidP="00FE3B7F">
      <w:pPr>
        <w:pStyle w:val="Body"/>
      </w:pPr>
      <w:r w:rsidRPr="00FE3B7F">
        <w:t xml:space="preserve">The prevalence of </w:t>
      </w:r>
      <w:r w:rsidRPr="00FB6839">
        <w:t xml:space="preserve">self-reported doctor-diagnosed heart disease in Victorians was 7.3 per cent, with significantly higher prevalence observed in males </w:t>
      </w:r>
      <w:r w:rsidR="00282EBF" w:rsidRPr="00FB6839">
        <w:t>(</w:t>
      </w:r>
      <w:r w:rsidRPr="00FB6839">
        <w:t>9 per cent</w:t>
      </w:r>
      <w:r w:rsidR="00282EBF" w:rsidRPr="00FB6839">
        <w:t>)</w:t>
      </w:r>
      <w:r w:rsidRPr="00FB6839">
        <w:t xml:space="preserve"> than females </w:t>
      </w:r>
      <w:r w:rsidR="00282EBF" w:rsidRPr="00FB6839">
        <w:t>(</w:t>
      </w:r>
      <w:r w:rsidRPr="00FB6839">
        <w:t>5.8 per cent</w:t>
      </w:r>
      <w:r w:rsidR="00282EBF" w:rsidRPr="00FB6839">
        <w:t>)</w:t>
      </w:r>
      <w:r w:rsidR="0016692F" w:rsidRPr="00FB6839">
        <w:t xml:space="preserve"> </w:t>
      </w:r>
      <w:r w:rsidRPr="00FE3B7F">
        <w:t>(</w:t>
      </w:r>
      <w:r w:rsidR="00282EBF">
        <w:t>DHHS,</w:t>
      </w:r>
      <w:r w:rsidRPr="00FE3B7F">
        <w:t xml:space="preserve"> 2019).</w:t>
      </w:r>
    </w:p>
    <w:p w14:paraId="637B3903" w14:textId="77777777" w:rsidR="00F01836" w:rsidRPr="00F01836" w:rsidRDefault="00F01836" w:rsidP="00F01836">
      <w:pPr>
        <w:pStyle w:val="Heading2"/>
      </w:pPr>
      <w:bookmarkStart w:id="133" w:name="_Toc116981383"/>
      <w:r w:rsidRPr="00F01836">
        <w:t>Stroke</w:t>
      </w:r>
      <w:bookmarkEnd w:id="133"/>
      <w:r w:rsidRPr="00F01836">
        <w:t xml:space="preserve"> </w:t>
      </w:r>
    </w:p>
    <w:p w14:paraId="288D31CD" w14:textId="1D0496CB" w:rsidR="002539BD" w:rsidRDefault="00F01836" w:rsidP="00394D0A">
      <w:pPr>
        <w:pStyle w:val="Body"/>
      </w:pPr>
      <w:r w:rsidRPr="00394D0A">
        <w:t>Stroke occurs when a blood vessel supplying blood to the brain either block</w:t>
      </w:r>
      <w:r w:rsidR="00282EBF">
        <w:t>s</w:t>
      </w:r>
      <w:r w:rsidRPr="00394D0A">
        <w:t xml:space="preserve"> </w:t>
      </w:r>
      <w:r w:rsidR="00282EBF">
        <w:t>(</w:t>
      </w:r>
      <w:r w:rsidRPr="00394D0A">
        <w:t>ischaemic stroke</w:t>
      </w:r>
      <w:r w:rsidR="00282EBF">
        <w:t>)</w:t>
      </w:r>
      <w:r w:rsidRPr="00394D0A">
        <w:t xml:space="preserve"> or ruptures and bleed</w:t>
      </w:r>
      <w:r w:rsidR="00282EBF">
        <w:t>s (</w:t>
      </w:r>
      <w:r w:rsidRPr="00394D0A">
        <w:t>haemorrhagic stroke</w:t>
      </w:r>
      <w:r w:rsidR="00282EBF">
        <w:t>)</w:t>
      </w:r>
      <w:r w:rsidRPr="00394D0A">
        <w:t xml:space="preserve"> (Stroke Foundation</w:t>
      </w:r>
      <w:r w:rsidR="00282EBF">
        <w:t>,</w:t>
      </w:r>
      <w:r w:rsidRPr="00394D0A">
        <w:t xml:space="preserve"> 2022). Ischaemic stroke accounts for about 80 per cent of stroke</w:t>
      </w:r>
      <w:r w:rsidR="00CD2569">
        <w:t xml:space="preserve">, while </w:t>
      </w:r>
      <w:r w:rsidRPr="00394D0A">
        <w:t>haemorrhagic stroke accounts for about 20 per cent (</w:t>
      </w:r>
      <w:r w:rsidR="00CD2569">
        <w:t xml:space="preserve">VAHI, </w:t>
      </w:r>
      <w:r w:rsidRPr="00394D0A">
        <w:t>2021).</w:t>
      </w:r>
    </w:p>
    <w:p w14:paraId="31483C7E" w14:textId="79AAF798" w:rsidR="002539BD" w:rsidRDefault="00CD2569" w:rsidP="00394D0A">
      <w:pPr>
        <w:pStyle w:val="Body"/>
      </w:pPr>
      <w:r>
        <w:t>Both kinds of stroke can</w:t>
      </w:r>
      <w:r w:rsidRPr="00394D0A">
        <w:t xml:space="preserve"> </w:t>
      </w:r>
      <w:r w:rsidR="00F01836" w:rsidRPr="00394D0A">
        <w:t>result in part of the brain dying, leading to sudden impairment that can affect a number of bodily functions.</w:t>
      </w:r>
    </w:p>
    <w:p w14:paraId="6F033220" w14:textId="372CCB21" w:rsidR="00797C99" w:rsidRDefault="00F01836" w:rsidP="00394D0A">
      <w:pPr>
        <w:pStyle w:val="Body"/>
      </w:pPr>
      <w:r w:rsidRPr="00394D0A">
        <w:t>Stroke often causes paralysis of parts of the body normally controlled by the area of the brain affected by the stroke. It can also cause speech problems and other symptoms, such as difficulties with swallowing, vision</w:t>
      </w:r>
      <w:r w:rsidR="00CD2569">
        <w:t>,</w:t>
      </w:r>
      <w:r w:rsidRPr="00394D0A">
        <w:t xml:space="preserve"> and thinking (</w:t>
      </w:r>
      <w:r w:rsidR="00A70AB5">
        <w:t>AIHW,</w:t>
      </w:r>
      <w:r w:rsidRPr="00394D0A">
        <w:t xml:space="preserve"> 2021). </w:t>
      </w:r>
    </w:p>
    <w:p w14:paraId="01B355BD" w14:textId="2EE980ED" w:rsidR="00C86BF2" w:rsidRDefault="00F01836" w:rsidP="00394D0A">
      <w:pPr>
        <w:pStyle w:val="Body"/>
      </w:pPr>
      <w:r w:rsidRPr="00394D0A">
        <w:lastRenderedPageBreak/>
        <w:t>In 2019, stroke was the third leading cause of death in Victoria</w:t>
      </w:r>
      <w:r w:rsidR="00CD2569">
        <w:t xml:space="preserve">. It was </w:t>
      </w:r>
      <w:r w:rsidRPr="00394D0A">
        <w:t>responsible for more than 5.4 per cent of all deaths in the state, with females more likely to die from stroke than males (</w:t>
      </w:r>
      <w:r w:rsidR="00A70AB5">
        <w:t>ABS,</w:t>
      </w:r>
      <w:r w:rsidRPr="00394D0A">
        <w:t xml:space="preserve"> 2019).</w:t>
      </w:r>
    </w:p>
    <w:p w14:paraId="09471C75" w14:textId="5D8C49BA" w:rsidR="00F01836" w:rsidRPr="00394D0A" w:rsidRDefault="00F01836" w:rsidP="00394D0A">
      <w:pPr>
        <w:pStyle w:val="Body"/>
      </w:pPr>
      <w:r w:rsidRPr="00394D0A">
        <w:t>In Victoria, 2.3 per cent of people have self-reported prevalence of stroke and was not significantly different between the sexes (</w:t>
      </w:r>
      <w:r w:rsidR="00CD2569">
        <w:t>DHHS,</w:t>
      </w:r>
      <w:r w:rsidRPr="00394D0A">
        <w:t xml:space="preserve"> 2019).</w:t>
      </w:r>
    </w:p>
    <w:p w14:paraId="081B6B5B" w14:textId="02ACB9B2" w:rsidR="00F01836" w:rsidRPr="00394D0A" w:rsidRDefault="00F01836" w:rsidP="00394D0A">
      <w:pPr>
        <w:pStyle w:val="Body"/>
      </w:pPr>
      <w:r w:rsidRPr="00394D0A">
        <w:t xml:space="preserve">This data also identified that the prevalence of stroke decreased significantly with increasing total annual household income for females. No significant trend was observed for males.  </w:t>
      </w:r>
    </w:p>
    <w:p w14:paraId="32171B28" w14:textId="143E9323" w:rsidR="004632E3" w:rsidRDefault="004632E3" w:rsidP="00E33979">
      <w:pPr>
        <w:pStyle w:val="Heading2"/>
      </w:pPr>
      <w:bookmarkStart w:id="134" w:name="_Toc116981384"/>
      <w:r w:rsidRPr="003C4F9A">
        <w:t>Diabetes</w:t>
      </w:r>
      <w:bookmarkEnd w:id="134"/>
    </w:p>
    <w:p w14:paraId="355B3190" w14:textId="375CA03B" w:rsidR="003C4F9A" w:rsidRPr="003C4F9A" w:rsidRDefault="003C4F9A" w:rsidP="003C4F9A">
      <w:pPr>
        <w:rPr>
          <w:rFonts w:eastAsia="Arial" w:cs="Arial"/>
          <w:color w:val="000000" w:themeColor="text1"/>
        </w:rPr>
      </w:pPr>
      <w:r w:rsidRPr="003C4F9A">
        <w:rPr>
          <w:rFonts w:eastAsia="Arial" w:cs="Arial"/>
          <w:color w:val="000000" w:themeColor="text1"/>
        </w:rPr>
        <w:t>Diabetes mellitus (also called diabetes) is a common chronic condition characterised by high blood glucose (sugar) levels (</w:t>
      </w:r>
      <w:r w:rsidR="00CD2569">
        <w:rPr>
          <w:rFonts w:eastAsia="Arial" w:cs="Arial"/>
          <w:color w:val="000000" w:themeColor="text1"/>
        </w:rPr>
        <w:t>DHHS,</w:t>
      </w:r>
      <w:r w:rsidRPr="003C4F9A">
        <w:rPr>
          <w:rFonts w:eastAsia="Arial" w:cs="Arial"/>
          <w:color w:val="000000" w:themeColor="text1"/>
        </w:rPr>
        <w:t xml:space="preserve"> 2019).</w:t>
      </w:r>
    </w:p>
    <w:p w14:paraId="0689238E" w14:textId="623288F5" w:rsidR="003C4F9A" w:rsidRPr="003C4F9A" w:rsidRDefault="003C4F9A" w:rsidP="003C4F9A">
      <w:pPr>
        <w:rPr>
          <w:rFonts w:eastAsia="Arial" w:cs="Arial"/>
          <w:color w:val="000000" w:themeColor="text1"/>
        </w:rPr>
      </w:pPr>
      <w:r w:rsidRPr="003C4F9A">
        <w:rPr>
          <w:rFonts w:eastAsia="Arial" w:cs="Arial"/>
          <w:color w:val="000000" w:themeColor="text1"/>
        </w:rPr>
        <w:t>The two main types of diabetes are type 1 (insulin-dependent) diabetes and type 2 diabetes (</w:t>
      </w:r>
      <w:r w:rsidR="00CD2569">
        <w:rPr>
          <w:rFonts w:eastAsia="Arial" w:cs="Arial"/>
          <w:color w:val="000000" w:themeColor="text1"/>
        </w:rPr>
        <w:t>DHHS,</w:t>
      </w:r>
      <w:r w:rsidRPr="003C4F9A">
        <w:rPr>
          <w:rFonts w:eastAsia="Arial" w:cs="Arial"/>
          <w:color w:val="000000" w:themeColor="text1"/>
        </w:rPr>
        <w:t xml:space="preserve"> 2019). </w:t>
      </w:r>
    </w:p>
    <w:p w14:paraId="5625A194" w14:textId="3CD90C22" w:rsidR="003C4F9A" w:rsidRPr="003C4F9A" w:rsidRDefault="003C4F9A" w:rsidP="003C4F9A">
      <w:pPr>
        <w:rPr>
          <w:rFonts w:eastAsia="Arial" w:cs="Arial"/>
          <w:color w:val="000000" w:themeColor="text1"/>
        </w:rPr>
      </w:pPr>
      <w:r w:rsidRPr="003C4F9A">
        <w:rPr>
          <w:rFonts w:eastAsia="Arial" w:cs="Arial"/>
          <w:color w:val="000000" w:themeColor="text1"/>
        </w:rPr>
        <w:t xml:space="preserve">Gestational diabetes is another form of </w:t>
      </w:r>
      <w:r w:rsidR="00CD2569">
        <w:rPr>
          <w:rFonts w:eastAsia="Arial" w:cs="Arial"/>
          <w:color w:val="000000" w:themeColor="text1"/>
        </w:rPr>
        <w:t>diabetes</w:t>
      </w:r>
      <w:r w:rsidR="00CD2569" w:rsidRPr="003C4F9A">
        <w:rPr>
          <w:rFonts w:eastAsia="Arial" w:cs="Arial"/>
          <w:color w:val="000000" w:themeColor="text1"/>
        </w:rPr>
        <w:t xml:space="preserve"> </w:t>
      </w:r>
      <w:r w:rsidRPr="003C4F9A">
        <w:rPr>
          <w:rFonts w:eastAsia="Arial" w:cs="Arial"/>
          <w:color w:val="000000" w:themeColor="text1"/>
        </w:rPr>
        <w:t>that affects women during pregnancy, although they have had no prior diagnosis of diabetes (Diabetes Australia, 2022).</w:t>
      </w:r>
    </w:p>
    <w:p w14:paraId="7CB47DEF" w14:textId="7D8C7CCB" w:rsidR="003C4F9A" w:rsidRPr="003C4F9A" w:rsidRDefault="003C4F9A" w:rsidP="003C4F9A">
      <w:pPr>
        <w:rPr>
          <w:rFonts w:eastAsia="Arial" w:cs="Arial"/>
          <w:color w:val="000000" w:themeColor="text1"/>
        </w:rPr>
      </w:pPr>
      <w:r w:rsidRPr="006F4D0D">
        <w:rPr>
          <w:rFonts w:eastAsia="Arial" w:cs="Arial"/>
          <w:color w:val="000000" w:themeColor="text1"/>
        </w:rPr>
        <w:t xml:space="preserve">In Victoria, 6.2 per cent of people have self-reported doctor-diagnosed diabetes. The </w:t>
      </w:r>
      <w:r w:rsidR="00CD2569" w:rsidRPr="006F4D0D">
        <w:rPr>
          <w:rFonts w:eastAsia="Arial" w:cs="Arial"/>
          <w:color w:val="000000" w:themeColor="text1"/>
        </w:rPr>
        <w:t xml:space="preserve">overall </w:t>
      </w:r>
      <w:r w:rsidRPr="006F4D0D">
        <w:rPr>
          <w:rFonts w:eastAsia="Arial" w:cs="Arial"/>
          <w:color w:val="000000" w:themeColor="text1"/>
        </w:rPr>
        <w:t>proportion of adults that reported being diagnosed with type 1 diabetes was 0.5 per cent</w:t>
      </w:r>
      <w:r w:rsidR="00CD2569" w:rsidRPr="006F4D0D">
        <w:rPr>
          <w:rFonts w:eastAsia="Arial" w:cs="Arial"/>
          <w:color w:val="000000" w:themeColor="text1"/>
        </w:rPr>
        <w:t>, while the figure for</w:t>
      </w:r>
      <w:r w:rsidRPr="006F4D0D">
        <w:rPr>
          <w:rFonts w:eastAsia="Arial" w:cs="Arial"/>
          <w:color w:val="000000" w:themeColor="text1"/>
        </w:rPr>
        <w:t xml:space="preserve"> type 2 diabetes was 5.7 per cent</w:t>
      </w:r>
      <w:r w:rsidR="006F4D0D" w:rsidRPr="006F4D0D">
        <w:rPr>
          <w:rFonts w:eastAsia="Arial" w:cs="Arial"/>
          <w:color w:val="000000" w:themeColor="text1"/>
        </w:rPr>
        <w:t>.</w:t>
      </w:r>
      <w:r w:rsidRPr="003C4F9A">
        <w:rPr>
          <w:rFonts w:eastAsia="Arial" w:cs="Arial"/>
          <w:color w:val="000000" w:themeColor="text1"/>
        </w:rPr>
        <w:t xml:space="preserve"> This figure remained stable for 2015-2019 (</w:t>
      </w:r>
      <w:r w:rsidR="00CD2569">
        <w:rPr>
          <w:rFonts w:eastAsia="Arial" w:cs="Arial"/>
          <w:color w:val="000000" w:themeColor="text1"/>
        </w:rPr>
        <w:t xml:space="preserve">DHHS, </w:t>
      </w:r>
      <w:r w:rsidRPr="003C4F9A">
        <w:rPr>
          <w:rFonts w:eastAsia="Arial" w:cs="Arial"/>
          <w:color w:val="000000" w:themeColor="text1"/>
        </w:rPr>
        <w:t>2019).</w:t>
      </w:r>
    </w:p>
    <w:p w14:paraId="33502B7E" w14:textId="4EB70261" w:rsidR="003C4F9A" w:rsidRPr="003C4F9A" w:rsidRDefault="003C4F9A" w:rsidP="003C4F9A">
      <w:pPr>
        <w:rPr>
          <w:rFonts w:ascii="Calibri" w:eastAsia="Calibri" w:hAnsi="Calibri" w:cs="Calibri"/>
          <w:color w:val="000000" w:themeColor="text1"/>
          <w:sz w:val="22"/>
          <w:szCs w:val="22"/>
        </w:rPr>
      </w:pPr>
      <w:r w:rsidRPr="003C4F9A">
        <w:rPr>
          <w:rFonts w:eastAsia="Arial" w:cs="Arial"/>
          <w:color w:val="000000" w:themeColor="text1"/>
        </w:rPr>
        <w:t xml:space="preserve">The prevalence of diabetes increases with age, </w:t>
      </w:r>
      <w:r w:rsidR="00CD2569">
        <w:rPr>
          <w:rFonts w:eastAsia="Arial" w:cs="Arial"/>
          <w:color w:val="000000" w:themeColor="text1"/>
        </w:rPr>
        <w:t xml:space="preserve">and is </w:t>
      </w:r>
      <w:r w:rsidRPr="003C4F9A">
        <w:rPr>
          <w:rFonts w:eastAsia="Arial" w:cs="Arial"/>
          <w:color w:val="000000" w:themeColor="text1"/>
        </w:rPr>
        <w:t xml:space="preserve">highest in people </w:t>
      </w:r>
      <w:r w:rsidR="00CD2569">
        <w:rPr>
          <w:rFonts w:eastAsia="Arial" w:cs="Arial"/>
          <w:color w:val="000000" w:themeColor="text1"/>
        </w:rPr>
        <w:t xml:space="preserve">aged </w:t>
      </w:r>
      <w:r w:rsidRPr="003C4F9A">
        <w:rPr>
          <w:rFonts w:eastAsia="Arial" w:cs="Arial"/>
          <w:color w:val="000000" w:themeColor="text1"/>
        </w:rPr>
        <w:t xml:space="preserve">55 or older. Compared with the proportion in all Victorian adults, the proportion of adults who reported being diagnosed with type 2 diabetes was significantly higher in people who: were unemployed; had a total annual household income of less than $40,000; or rented their homes </w:t>
      </w:r>
      <w:r w:rsidRPr="003C4F9A">
        <w:rPr>
          <w:color w:val="000000" w:themeColor="text1"/>
        </w:rPr>
        <w:t>(</w:t>
      </w:r>
      <w:r w:rsidR="00CD2569">
        <w:rPr>
          <w:color w:val="000000" w:themeColor="text1"/>
        </w:rPr>
        <w:t xml:space="preserve">VAHI, </w:t>
      </w:r>
      <w:r w:rsidRPr="003C4F9A">
        <w:rPr>
          <w:rFonts w:eastAsia="Arial" w:cs="Arial"/>
          <w:color w:val="000000" w:themeColor="text1"/>
        </w:rPr>
        <w:t>2021).</w:t>
      </w:r>
      <w:r w:rsidRPr="003C4F9A">
        <w:rPr>
          <w:rFonts w:ascii="Calibri" w:eastAsia="Calibri" w:hAnsi="Calibri" w:cs="Calibri"/>
          <w:color w:val="000000" w:themeColor="text1"/>
          <w:sz w:val="22"/>
          <w:szCs w:val="22"/>
        </w:rPr>
        <w:t xml:space="preserve"> </w:t>
      </w:r>
    </w:p>
    <w:p w14:paraId="25A14962" w14:textId="77777777" w:rsidR="003C4F9A" w:rsidRPr="001154B8" w:rsidRDefault="003C4F9A" w:rsidP="003C4F9A">
      <w:pPr>
        <w:pStyle w:val="Heading3"/>
      </w:pPr>
      <w:r w:rsidRPr="001154B8">
        <w:t>Type 1 diabetes</w:t>
      </w:r>
    </w:p>
    <w:p w14:paraId="3788E874" w14:textId="77777777" w:rsidR="003C4F9A" w:rsidRDefault="003C4F9A" w:rsidP="003C4F9A">
      <w:pPr>
        <w:rPr>
          <w:rFonts w:eastAsia="Arial" w:cs="Arial"/>
          <w:color w:val="000000" w:themeColor="text1"/>
          <w:szCs w:val="21"/>
        </w:rPr>
      </w:pPr>
      <w:r w:rsidRPr="09733C3B">
        <w:rPr>
          <w:rFonts w:eastAsia="Arial" w:cs="Arial"/>
          <w:color w:val="000000" w:themeColor="text1"/>
          <w:szCs w:val="21"/>
        </w:rPr>
        <w:t>Type 1 diabetes is an autoimmune disease in which the body’s immune system destroys the insulin-producing cells of the pancreas.</w:t>
      </w:r>
    </w:p>
    <w:p w14:paraId="1A4A784B" w14:textId="77777777" w:rsidR="003C4F9A" w:rsidRDefault="003C4F9A" w:rsidP="003C4F9A">
      <w:pPr>
        <w:rPr>
          <w:rFonts w:eastAsia="Arial" w:cs="Arial"/>
          <w:color w:val="000000" w:themeColor="text1"/>
          <w:szCs w:val="21"/>
        </w:rPr>
      </w:pPr>
      <w:r w:rsidRPr="09733C3B">
        <w:rPr>
          <w:rFonts w:eastAsia="Arial" w:cs="Arial"/>
          <w:color w:val="000000" w:themeColor="text1"/>
          <w:szCs w:val="21"/>
        </w:rPr>
        <w:t>This means the affected individual is unable to produce enough insulin, which is an essential hormone for controlling glucose levels in the blood.</w:t>
      </w:r>
    </w:p>
    <w:p w14:paraId="35F59A08" w14:textId="5DE32578" w:rsidR="003C4F9A" w:rsidRDefault="003C4F9A" w:rsidP="003C4F9A">
      <w:pPr>
        <w:rPr>
          <w:rFonts w:eastAsia="Arial" w:cs="Arial"/>
          <w:color w:val="000000" w:themeColor="text1"/>
          <w:szCs w:val="21"/>
        </w:rPr>
      </w:pPr>
      <w:r w:rsidRPr="09733C3B">
        <w:rPr>
          <w:rFonts w:eastAsia="Arial" w:cs="Arial"/>
          <w:color w:val="000000" w:themeColor="text1"/>
          <w:szCs w:val="21"/>
        </w:rPr>
        <w:t xml:space="preserve">Type 1 diabetes most commonly begins in </w:t>
      </w:r>
      <w:r w:rsidR="00CD2569">
        <w:rPr>
          <w:rFonts w:eastAsia="Arial" w:cs="Arial"/>
          <w:color w:val="000000" w:themeColor="text1"/>
          <w:szCs w:val="21"/>
        </w:rPr>
        <w:t>people</w:t>
      </w:r>
      <w:r w:rsidR="00CD2569" w:rsidRPr="09733C3B">
        <w:rPr>
          <w:rFonts w:eastAsia="Arial" w:cs="Arial"/>
          <w:color w:val="000000" w:themeColor="text1"/>
          <w:szCs w:val="21"/>
        </w:rPr>
        <w:t xml:space="preserve"> </w:t>
      </w:r>
      <w:r w:rsidRPr="09733C3B">
        <w:rPr>
          <w:rFonts w:eastAsia="Arial" w:cs="Arial"/>
          <w:color w:val="000000" w:themeColor="text1"/>
          <w:szCs w:val="21"/>
        </w:rPr>
        <w:t>under the age of 30 years. People with type 1 diabetes require replacement insulin injections several times a day for life.</w:t>
      </w:r>
    </w:p>
    <w:p w14:paraId="2A22F502" w14:textId="1D922D16" w:rsidR="003C4F9A" w:rsidRDefault="003C4F9A" w:rsidP="003C4F9A">
      <w:pPr>
        <w:rPr>
          <w:rFonts w:eastAsia="Arial" w:cs="Arial"/>
          <w:color w:val="000000" w:themeColor="text1"/>
          <w:szCs w:val="21"/>
        </w:rPr>
      </w:pPr>
      <w:r w:rsidRPr="09733C3B">
        <w:rPr>
          <w:rFonts w:eastAsia="Arial" w:cs="Arial"/>
          <w:color w:val="000000" w:themeColor="text1"/>
          <w:szCs w:val="21"/>
        </w:rPr>
        <w:t>Unlike type 2 diabetes</w:t>
      </w:r>
      <w:r w:rsidR="00194BD8" w:rsidRPr="007C7FF4">
        <w:rPr>
          <w:rFonts w:eastAsia="Arial" w:cs="Arial"/>
          <w:color w:val="000000" w:themeColor="text1"/>
          <w:szCs w:val="21"/>
        </w:rPr>
        <w:t xml:space="preserve">, described </w:t>
      </w:r>
      <w:r w:rsidR="002B2C53" w:rsidRPr="007C7FF4">
        <w:rPr>
          <w:rFonts w:eastAsia="Arial" w:cs="Arial"/>
          <w:color w:val="000000" w:themeColor="text1"/>
          <w:szCs w:val="21"/>
        </w:rPr>
        <w:t xml:space="preserve">in the </w:t>
      </w:r>
      <w:r w:rsidR="00A26EBB" w:rsidRPr="007C7FF4">
        <w:rPr>
          <w:rFonts w:eastAsia="Arial" w:cs="Arial"/>
          <w:color w:val="000000" w:themeColor="text1"/>
          <w:szCs w:val="21"/>
        </w:rPr>
        <w:t>following</w:t>
      </w:r>
      <w:r w:rsidR="002B2C53" w:rsidRPr="007C7FF4">
        <w:rPr>
          <w:rFonts w:eastAsia="Arial" w:cs="Arial"/>
          <w:color w:val="000000" w:themeColor="text1"/>
          <w:szCs w:val="21"/>
        </w:rPr>
        <w:t xml:space="preserve"> section, </w:t>
      </w:r>
      <w:r w:rsidRPr="007C7FF4">
        <w:rPr>
          <w:rFonts w:eastAsia="Arial" w:cs="Arial"/>
          <w:color w:val="000000" w:themeColor="text1"/>
          <w:szCs w:val="21"/>
        </w:rPr>
        <w:t>it is</w:t>
      </w:r>
      <w:r w:rsidRPr="09733C3B">
        <w:rPr>
          <w:rFonts w:eastAsia="Arial" w:cs="Arial"/>
          <w:color w:val="000000" w:themeColor="text1"/>
          <w:szCs w:val="21"/>
        </w:rPr>
        <w:t xml:space="preserve"> not caused by lifestyle factors (Diabetes Australia, 2022).</w:t>
      </w:r>
    </w:p>
    <w:p w14:paraId="1A1E07E0" w14:textId="1FDD80CD" w:rsidR="003C4F9A" w:rsidRDefault="003C4F9A" w:rsidP="003C4F9A">
      <w:pPr>
        <w:rPr>
          <w:color w:val="000000" w:themeColor="text1"/>
        </w:rPr>
      </w:pPr>
      <w:r w:rsidRPr="294B2BFB">
        <w:rPr>
          <w:rFonts w:eastAsia="Arial" w:cs="Arial"/>
          <w:color w:val="000000" w:themeColor="text1"/>
        </w:rPr>
        <w:t xml:space="preserve">Type 1 diabetes accounts for approximately 10 per cent of cases of diabetes </w:t>
      </w:r>
      <w:r w:rsidR="72B0FA8C" w:rsidRPr="5919196D">
        <w:rPr>
          <w:rFonts w:eastAsia="Arial" w:cs="Arial"/>
          <w:color w:val="000000" w:themeColor="text1"/>
        </w:rPr>
        <w:t xml:space="preserve">in </w:t>
      </w:r>
      <w:r w:rsidRPr="294B2BFB">
        <w:rPr>
          <w:rFonts w:eastAsia="Arial" w:cs="Arial"/>
          <w:color w:val="000000" w:themeColor="text1"/>
        </w:rPr>
        <w:t>Victoria (Diabetes Australia, 2022).</w:t>
      </w:r>
    </w:p>
    <w:p w14:paraId="0D20CE0E" w14:textId="77777777" w:rsidR="003C4F9A" w:rsidRPr="00805A37" w:rsidRDefault="003C4F9A" w:rsidP="003C4F9A">
      <w:pPr>
        <w:pStyle w:val="Heading3"/>
      </w:pPr>
      <w:r w:rsidRPr="00805A37">
        <w:t>Type 2 diabetes</w:t>
      </w:r>
    </w:p>
    <w:p w14:paraId="3E8DB2F9" w14:textId="733383C6" w:rsidR="003C4F9A" w:rsidRPr="003C4F9A" w:rsidRDefault="003C4F9A" w:rsidP="003C4F9A">
      <w:pPr>
        <w:rPr>
          <w:rFonts w:eastAsia="Arial" w:cs="Arial"/>
          <w:color w:val="000000" w:themeColor="text1"/>
        </w:rPr>
      </w:pPr>
      <w:r w:rsidRPr="003C4F9A">
        <w:rPr>
          <w:rFonts w:eastAsia="Arial" w:cs="Arial"/>
          <w:color w:val="000000" w:themeColor="text1"/>
        </w:rPr>
        <w:t>Type 2 diabetes is the most common form of diabetes</w:t>
      </w:r>
      <w:r w:rsidR="00CD2569">
        <w:rPr>
          <w:rFonts w:eastAsia="Arial" w:cs="Arial"/>
          <w:color w:val="000000" w:themeColor="text1"/>
        </w:rPr>
        <w:t xml:space="preserve">. It </w:t>
      </w:r>
      <w:r w:rsidRPr="003C4F9A">
        <w:rPr>
          <w:rFonts w:eastAsia="Arial" w:cs="Arial"/>
          <w:color w:val="000000" w:themeColor="text1"/>
        </w:rPr>
        <w:t xml:space="preserve">occurs mostly in </w:t>
      </w:r>
      <w:r w:rsidRPr="00790476">
        <w:rPr>
          <w:rFonts w:eastAsia="Arial" w:cs="Arial"/>
          <w:color w:val="000000" w:themeColor="text1"/>
        </w:rPr>
        <w:t xml:space="preserve">people </w:t>
      </w:r>
      <w:r w:rsidR="00CD2569">
        <w:rPr>
          <w:rFonts w:eastAsia="Arial" w:cs="Arial"/>
          <w:color w:val="000000" w:themeColor="text1"/>
        </w:rPr>
        <w:t xml:space="preserve">aged </w:t>
      </w:r>
      <w:r w:rsidR="00F7368B" w:rsidRPr="00790476">
        <w:rPr>
          <w:rFonts w:eastAsia="Arial" w:cs="Arial"/>
          <w:color w:val="000000" w:themeColor="text1"/>
        </w:rPr>
        <w:t>40</w:t>
      </w:r>
      <w:r w:rsidRPr="00790476">
        <w:rPr>
          <w:rFonts w:eastAsia="Arial" w:cs="Arial"/>
          <w:color w:val="000000" w:themeColor="text1"/>
        </w:rPr>
        <w:t xml:space="preserve"> </w:t>
      </w:r>
      <w:r w:rsidRPr="003C4F9A">
        <w:rPr>
          <w:rFonts w:eastAsia="Arial" w:cs="Arial"/>
          <w:color w:val="000000" w:themeColor="text1"/>
        </w:rPr>
        <w:t>or older.</w:t>
      </w:r>
    </w:p>
    <w:p w14:paraId="5D17C3A9" w14:textId="77777777" w:rsidR="003C4F9A" w:rsidRPr="003C4F9A" w:rsidRDefault="003C4F9A" w:rsidP="003C4F9A">
      <w:pPr>
        <w:rPr>
          <w:rFonts w:eastAsia="Arial" w:cs="Arial"/>
          <w:color w:val="000000" w:themeColor="text1"/>
        </w:rPr>
      </w:pPr>
      <w:r w:rsidRPr="003C4F9A">
        <w:rPr>
          <w:rFonts w:eastAsia="Arial" w:cs="Arial"/>
          <w:color w:val="000000" w:themeColor="text1"/>
        </w:rPr>
        <w:t>Risk factors for type 2 diabetes include being overweight or obese and having a family history of the condition (Diabetes Australia, 2022).</w:t>
      </w:r>
    </w:p>
    <w:p w14:paraId="359A9DCF" w14:textId="77777777" w:rsidR="00CD2569" w:rsidRDefault="003C4F9A" w:rsidP="003C4F9A">
      <w:pPr>
        <w:rPr>
          <w:rFonts w:eastAsia="Arial" w:cs="Arial"/>
          <w:color w:val="000000" w:themeColor="text1"/>
        </w:rPr>
      </w:pPr>
      <w:r w:rsidRPr="003C4F9A">
        <w:rPr>
          <w:rFonts w:eastAsia="Arial" w:cs="Arial"/>
          <w:color w:val="000000" w:themeColor="text1"/>
        </w:rPr>
        <w:lastRenderedPageBreak/>
        <w:t xml:space="preserve">Type 2 diabetes accounts for around 85 per cent of all cases of diabetes (Diabetes Australia, 2022). It is caused by insufficient production of insulin and/or the body becoming resistant to insulin levels in the blood. </w:t>
      </w:r>
    </w:p>
    <w:p w14:paraId="012B72F4" w14:textId="4C674686" w:rsidR="00CD2569" w:rsidRPr="003C4F9A" w:rsidRDefault="00CD2569" w:rsidP="003C4F9A">
      <w:pPr>
        <w:rPr>
          <w:rFonts w:eastAsia="Arial" w:cs="Arial"/>
          <w:color w:val="000000" w:themeColor="text1"/>
        </w:rPr>
      </w:pPr>
      <w:r>
        <w:rPr>
          <w:rFonts w:eastAsia="Arial" w:cs="Arial"/>
          <w:color w:val="000000" w:themeColor="text1"/>
        </w:rPr>
        <w:t>Although t</w:t>
      </w:r>
      <w:r w:rsidR="003C4F9A" w:rsidRPr="003C4F9A">
        <w:rPr>
          <w:rFonts w:eastAsia="Arial" w:cs="Arial"/>
          <w:color w:val="000000" w:themeColor="text1"/>
        </w:rPr>
        <w:t xml:space="preserve">ype 2 diabetes </w:t>
      </w:r>
      <w:r>
        <w:rPr>
          <w:rFonts w:eastAsia="Arial" w:cs="Arial"/>
          <w:color w:val="000000" w:themeColor="text1"/>
        </w:rPr>
        <w:t xml:space="preserve">mostly </w:t>
      </w:r>
      <w:r w:rsidR="003C4F9A" w:rsidRPr="003C4F9A">
        <w:rPr>
          <w:rFonts w:eastAsia="Arial" w:cs="Arial"/>
          <w:color w:val="000000" w:themeColor="text1"/>
        </w:rPr>
        <w:t xml:space="preserve">occurs in people </w:t>
      </w:r>
      <w:r>
        <w:rPr>
          <w:rFonts w:eastAsia="Arial" w:cs="Arial"/>
          <w:color w:val="000000" w:themeColor="text1"/>
        </w:rPr>
        <w:t xml:space="preserve">aged </w:t>
      </w:r>
      <w:r w:rsidR="003C4F9A" w:rsidRPr="003C4F9A">
        <w:rPr>
          <w:rFonts w:eastAsia="Arial" w:cs="Arial"/>
          <w:color w:val="000000" w:themeColor="text1"/>
        </w:rPr>
        <w:t xml:space="preserve">over </w:t>
      </w:r>
      <w:r w:rsidR="003C4F9A" w:rsidRPr="00790476">
        <w:rPr>
          <w:rFonts w:eastAsia="Arial" w:cs="Arial"/>
          <w:color w:val="000000" w:themeColor="text1"/>
        </w:rPr>
        <w:t>40</w:t>
      </w:r>
      <w:r>
        <w:rPr>
          <w:rFonts w:eastAsia="Arial" w:cs="Arial"/>
          <w:color w:val="000000" w:themeColor="text1"/>
        </w:rPr>
        <w:t xml:space="preserve">, </w:t>
      </w:r>
      <w:r w:rsidR="003C4F9A" w:rsidRPr="003C4F9A">
        <w:rPr>
          <w:rFonts w:eastAsia="Arial" w:cs="Arial"/>
          <w:color w:val="000000" w:themeColor="text1"/>
        </w:rPr>
        <w:t xml:space="preserve">the disease is becoming increasingly prevalent in younger age groups </w:t>
      </w:r>
      <w:r w:rsidR="003C4F9A" w:rsidRPr="003C4F9A">
        <w:rPr>
          <w:color w:val="000000" w:themeColor="text1"/>
        </w:rPr>
        <w:t>(</w:t>
      </w:r>
      <w:r>
        <w:rPr>
          <w:color w:val="000000" w:themeColor="text1"/>
        </w:rPr>
        <w:t xml:space="preserve">VAHI, </w:t>
      </w:r>
      <w:r w:rsidR="003C4F9A" w:rsidRPr="003C4F9A">
        <w:rPr>
          <w:rFonts w:eastAsia="Arial" w:cs="Arial"/>
          <w:color w:val="000000" w:themeColor="text1"/>
        </w:rPr>
        <w:t>2021).</w:t>
      </w:r>
      <w:r>
        <w:rPr>
          <w:rFonts w:eastAsia="Arial" w:cs="Arial"/>
          <w:color w:val="000000" w:themeColor="text1"/>
        </w:rPr>
        <w:t xml:space="preserve"> </w:t>
      </w:r>
    </w:p>
    <w:p w14:paraId="44EA84D2" w14:textId="7FEA3B94" w:rsidR="003C4F9A" w:rsidRPr="003C4F9A" w:rsidRDefault="003C4F9A" w:rsidP="003C4F9A">
      <w:pPr>
        <w:rPr>
          <w:rFonts w:eastAsia="Arial" w:cs="Arial"/>
          <w:color w:val="000000" w:themeColor="text1"/>
        </w:rPr>
      </w:pPr>
      <w:r w:rsidRPr="003C4F9A">
        <w:rPr>
          <w:rFonts w:eastAsia="Arial" w:cs="Arial"/>
          <w:color w:val="000000" w:themeColor="text1"/>
        </w:rPr>
        <w:t>In some cases of type 2 diabetes, appropriate diet and exercise can control the condition. More severe cases require treatment with medications, insulin injections</w:t>
      </w:r>
      <w:r w:rsidR="00CD2569">
        <w:rPr>
          <w:rFonts w:eastAsia="Arial" w:cs="Arial"/>
          <w:color w:val="000000" w:themeColor="text1"/>
        </w:rPr>
        <w:t>,</w:t>
      </w:r>
      <w:r w:rsidRPr="003C4F9A">
        <w:rPr>
          <w:rFonts w:eastAsia="Arial" w:cs="Arial"/>
          <w:color w:val="000000" w:themeColor="text1"/>
        </w:rPr>
        <w:t xml:space="preserve"> or a combination of </w:t>
      </w:r>
      <w:r w:rsidR="00CD2569">
        <w:rPr>
          <w:rFonts w:eastAsia="Arial" w:cs="Arial"/>
          <w:color w:val="000000" w:themeColor="text1"/>
        </w:rPr>
        <w:t xml:space="preserve">medication and insulin injections </w:t>
      </w:r>
      <w:r w:rsidRPr="003C4F9A">
        <w:rPr>
          <w:rFonts w:eastAsia="Arial" w:cs="Arial"/>
          <w:color w:val="000000" w:themeColor="text1"/>
        </w:rPr>
        <w:t>(</w:t>
      </w:r>
      <w:r w:rsidR="00CD2569">
        <w:rPr>
          <w:rFonts w:eastAsia="Arial" w:cs="Arial"/>
          <w:color w:val="000000" w:themeColor="text1"/>
        </w:rPr>
        <w:t>DHHS,</w:t>
      </w:r>
      <w:r w:rsidRPr="003C4F9A">
        <w:rPr>
          <w:rFonts w:eastAsia="Arial" w:cs="Arial"/>
          <w:color w:val="000000" w:themeColor="text1"/>
        </w:rPr>
        <w:t xml:space="preserve"> 2018).</w:t>
      </w:r>
    </w:p>
    <w:p w14:paraId="73F63424" w14:textId="77777777" w:rsidR="003C4F9A" w:rsidRPr="00805A37" w:rsidRDefault="003C4F9A" w:rsidP="003C4F9A">
      <w:pPr>
        <w:pStyle w:val="Heading3"/>
      </w:pPr>
      <w:r w:rsidRPr="00805A37">
        <w:t>Gestational Diabetes</w:t>
      </w:r>
    </w:p>
    <w:p w14:paraId="2CFABC67" w14:textId="77777777" w:rsidR="00CD2569" w:rsidRDefault="003C4F9A" w:rsidP="003C4F9A">
      <w:pPr>
        <w:pStyle w:val="Body"/>
        <w:rPr>
          <w:color w:val="000000" w:themeColor="text1"/>
        </w:rPr>
      </w:pPr>
      <w:r w:rsidRPr="003C4F9A">
        <w:rPr>
          <w:color w:val="000000" w:themeColor="text1"/>
        </w:rPr>
        <w:t xml:space="preserve">Gestational diabetes occurs during pregnancy. </w:t>
      </w:r>
    </w:p>
    <w:p w14:paraId="5FFCEF34" w14:textId="14E92E79" w:rsidR="00CD2569" w:rsidRDefault="003C4F9A" w:rsidP="003C4F9A">
      <w:pPr>
        <w:pStyle w:val="Body"/>
        <w:rPr>
          <w:color w:val="000000" w:themeColor="text1"/>
        </w:rPr>
      </w:pPr>
      <w:r w:rsidRPr="003C4F9A">
        <w:rPr>
          <w:color w:val="000000" w:themeColor="text1"/>
        </w:rPr>
        <w:t>It is usually detected around weeks 24</w:t>
      </w:r>
      <w:r w:rsidR="00CD2569">
        <w:rPr>
          <w:color w:val="000000" w:themeColor="text1"/>
        </w:rPr>
        <w:t>-</w:t>
      </w:r>
      <w:r w:rsidRPr="003C4F9A">
        <w:rPr>
          <w:color w:val="000000" w:themeColor="text1"/>
        </w:rPr>
        <w:t>28 of pregnancy, although it can develop earlier. The condition usually disappears once the baby is born</w:t>
      </w:r>
      <w:r w:rsidR="00CD2569">
        <w:rPr>
          <w:color w:val="000000" w:themeColor="text1"/>
        </w:rPr>
        <w:t>. H</w:t>
      </w:r>
      <w:r w:rsidRPr="003C4F9A">
        <w:rPr>
          <w:color w:val="000000" w:themeColor="text1"/>
        </w:rPr>
        <w:t>owever, a history of gestational diabetes increases a woman’s risk of developing type 2 diabetes later in life (</w:t>
      </w:r>
      <w:r w:rsidR="00CD2569">
        <w:rPr>
          <w:color w:val="000000" w:themeColor="text1"/>
        </w:rPr>
        <w:t>VAHI,</w:t>
      </w:r>
      <w:r w:rsidRPr="003C4F9A">
        <w:rPr>
          <w:rFonts w:eastAsia="Arial" w:cs="Arial"/>
          <w:color w:val="000000" w:themeColor="text1"/>
        </w:rPr>
        <w:t xml:space="preserve"> 2021)</w:t>
      </w:r>
      <w:r w:rsidRPr="003C4F9A">
        <w:rPr>
          <w:color w:val="000000" w:themeColor="text1"/>
        </w:rPr>
        <w:t xml:space="preserve">. </w:t>
      </w:r>
    </w:p>
    <w:p w14:paraId="473B50B3" w14:textId="6FA61437" w:rsidR="003C4F9A" w:rsidRDefault="003C4F9A" w:rsidP="003C4F9A">
      <w:pPr>
        <w:pStyle w:val="Body"/>
        <w:rPr>
          <w:rFonts w:eastAsia="Arial" w:cs="Arial"/>
          <w:color w:val="000000" w:themeColor="text1"/>
        </w:rPr>
      </w:pPr>
      <w:r w:rsidRPr="003C4F9A">
        <w:rPr>
          <w:color w:val="000000" w:themeColor="text1"/>
        </w:rPr>
        <w:t xml:space="preserve">In 2019, gestational diabetes was reported in 2.2 per cent </w:t>
      </w:r>
      <w:r w:rsidRPr="003C4F9A">
        <w:rPr>
          <w:rFonts w:eastAsia="Arial" w:cs="Arial"/>
          <w:color w:val="000000" w:themeColor="text1"/>
        </w:rPr>
        <w:t>of adult women in Victoria (</w:t>
      </w:r>
      <w:r w:rsidR="00CD2569">
        <w:rPr>
          <w:rFonts w:eastAsia="Arial" w:cs="Arial"/>
          <w:color w:val="000000" w:themeColor="text1"/>
        </w:rPr>
        <w:t xml:space="preserve">DHHS, </w:t>
      </w:r>
      <w:r w:rsidRPr="003C4F9A">
        <w:rPr>
          <w:rFonts w:eastAsia="Arial" w:cs="Arial"/>
          <w:color w:val="000000" w:themeColor="text1"/>
        </w:rPr>
        <w:t>2019).</w:t>
      </w:r>
    </w:p>
    <w:p w14:paraId="45820CA3" w14:textId="77777777" w:rsidR="00AD1B79" w:rsidRDefault="00AD1B79" w:rsidP="00AD1B79">
      <w:pPr>
        <w:pStyle w:val="Heading2"/>
      </w:pPr>
      <w:r>
        <w:t>Asthma</w:t>
      </w:r>
    </w:p>
    <w:p w14:paraId="52F91BF0" w14:textId="77777777" w:rsidR="00CD2569" w:rsidRDefault="001B6B7D" w:rsidP="009B3201">
      <w:pPr>
        <w:pStyle w:val="Body"/>
        <w:rPr>
          <w:color w:val="000000" w:themeColor="text1"/>
        </w:rPr>
      </w:pPr>
      <w:r w:rsidRPr="009B3201">
        <w:rPr>
          <w:color w:val="000000" w:themeColor="text1"/>
        </w:rPr>
        <w:t xml:space="preserve">Asthma is a common chronic inflammatory condition of the airways. </w:t>
      </w:r>
    </w:p>
    <w:p w14:paraId="0903C514" w14:textId="3285635E" w:rsidR="00B22AF9" w:rsidRPr="009B3201" w:rsidRDefault="001B6B7D" w:rsidP="009B3201">
      <w:pPr>
        <w:pStyle w:val="Body"/>
        <w:rPr>
          <w:color w:val="000000" w:themeColor="text1"/>
        </w:rPr>
      </w:pPr>
      <w:r w:rsidRPr="009B3201">
        <w:rPr>
          <w:color w:val="000000" w:themeColor="text1"/>
        </w:rPr>
        <w:t>People with asthma experience episodes of wheezing, breathlessness</w:t>
      </w:r>
      <w:r w:rsidR="00CD2569">
        <w:rPr>
          <w:color w:val="000000" w:themeColor="text1"/>
        </w:rPr>
        <w:t>,</w:t>
      </w:r>
      <w:r w:rsidRPr="009B3201">
        <w:rPr>
          <w:color w:val="000000" w:themeColor="text1"/>
        </w:rPr>
        <w:t xml:space="preserve"> and chest tightness due to widespread narrowing of the airways</w:t>
      </w:r>
      <w:r w:rsidR="00132406" w:rsidRPr="009B3201">
        <w:rPr>
          <w:color w:val="000000" w:themeColor="text1"/>
        </w:rPr>
        <w:t xml:space="preserve"> (</w:t>
      </w:r>
      <w:r w:rsidR="00222913" w:rsidRPr="0031435C">
        <w:rPr>
          <w:color w:val="000000" w:themeColor="text1"/>
        </w:rPr>
        <w:t xml:space="preserve">Department of Health and Aged Care, </w:t>
      </w:r>
      <w:r w:rsidR="00D47395" w:rsidRPr="0031435C">
        <w:rPr>
          <w:color w:val="000000" w:themeColor="text1"/>
        </w:rPr>
        <w:t>20</w:t>
      </w:r>
      <w:r w:rsidR="00D47395" w:rsidRPr="00846A9C">
        <w:rPr>
          <w:color w:val="000000" w:themeColor="text1"/>
        </w:rPr>
        <w:t>18)</w:t>
      </w:r>
    </w:p>
    <w:p w14:paraId="19795B2D" w14:textId="69FB9A67" w:rsidR="00B22AF9" w:rsidRPr="009B3201" w:rsidRDefault="00B74F35" w:rsidP="009B3201">
      <w:pPr>
        <w:pStyle w:val="Body"/>
        <w:rPr>
          <w:color w:val="000000" w:themeColor="text1"/>
        </w:rPr>
      </w:pPr>
      <w:r w:rsidRPr="009B3201">
        <w:rPr>
          <w:color w:val="000000" w:themeColor="text1"/>
        </w:rPr>
        <w:t>In 2019, the</w:t>
      </w:r>
      <w:r w:rsidR="00CD2569">
        <w:rPr>
          <w:color w:val="000000" w:themeColor="text1"/>
        </w:rPr>
        <w:t xml:space="preserve"> overall</w:t>
      </w:r>
      <w:r w:rsidRPr="009B3201">
        <w:rPr>
          <w:color w:val="000000" w:themeColor="text1"/>
        </w:rPr>
        <w:t xml:space="preserve"> </w:t>
      </w:r>
      <w:r w:rsidRPr="007C7FF4">
        <w:rPr>
          <w:color w:val="000000" w:themeColor="text1"/>
        </w:rPr>
        <w:t>proportion of Victorian adults who reported ever being diagnosed with asthma was 21.7</w:t>
      </w:r>
      <w:r w:rsidR="00CD2569" w:rsidRPr="007C7FF4">
        <w:rPr>
          <w:color w:val="000000" w:themeColor="text1"/>
        </w:rPr>
        <w:t xml:space="preserve"> per cent.</w:t>
      </w:r>
      <w:r w:rsidRPr="007C7FF4">
        <w:rPr>
          <w:color w:val="000000" w:themeColor="text1"/>
        </w:rPr>
        <w:t xml:space="preserve"> </w:t>
      </w:r>
      <w:r w:rsidR="00CD2569">
        <w:rPr>
          <w:color w:val="000000" w:themeColor="text1"/>
        </w:rPr>
        <w:t xml:space="preserve">The proportion was </w:t>
      </w:r>
      <w:r w:rsidRPr="009B3201">
        <w:rPr>
          <w:color w:val="000000" w:themeColor="text1"/>
        </w:rPr>
        <w:t>significantly lower in men (19.4</w:t>
      </w:r>
      <w:r w:rsidR="00CD2569">
        <w:rPr>
          <w:color w:val="000000" w:themeColor="text1"/>
        </w:rPr>
        <w:t xml:space="preserve"> per cent</w:t>
      </w:r>
      <w:r w:rsidRPr="009B3201">
        <w:rPr>
          <w:color w:val="000000" w:themeColor="text1"/>
        </w:rPr>
        <w:t xml:space="preserve">) </w:t>
      </w:r>
      <w:r w:rsidR="00CD2569">
        <w:rPr>
          <w:color w:val="000000" w:themeColor="text1"/>
        </w:rPr>
        <w:t xml:space="preserve">than </w:t>
      </w:r>
      <w:r w:rsidRPr="009B3201">
        <w:rPr>
          <w:color w:val="000000" w:themeColor="text1"/>
        </w:rPr>
        <w:t>women (23.7</w:t>
      </w:r>
      <w:r w:rsidR="00CD2569">
        <w:rPr>
          <w:color w:val="000000" w:themeColor="text1"/>
        </w:rPr>
        <w:t xml:space="preserve"> per cent</w:t>
      </w:r>
      <w:r w:rsidRPr="009B3201">
        <w:rPr>
          <w:color w:val="000000" w:themeColor="text1"/>
        </w:rPr>
        <w:t>).</w:t>
      </w:r>
    </w:p>
    <w:p w14:paraId="559B8565" w14:textId="39F82136" w:rsidR="00C06CBD" w:rsidRPr="00C06CBD" w:rsidRDefault="00C06CBD" w:rsidP="009B3201">
      <w:pPr>
        <w:pStyle w:val="Body"/>
      </w:pPr>
      <w:r>
        <w:t xml:space="preserve">The </w:t>
      </w:r>
      <w:r w:rsidR="00CD2569">
        <w:t xml:space="preserve">overall </w:t>
      </w:r>
      <w:r>
        <w:t>proportion of adults who reported being diagnosed with asthma in the previous year was 11.7</w:t>
      </w:r>
      <w:r w:rsidR="00CD2569">
        <w:t xml:space="preserve"> per cent</w:t>
      </w:r>
      <w:r>
        <w:t>. Th</w:t>
      </w:r>
      <w:r w:rsidR="00CD2569">
        <w:t>e</w:t>
      </w:r>
      <w:r>
        <w:t xml:space="preserve"> proportion was significantly lower in men (10.2</w:t>
      </w:r>
      <w:r w:rsidR="00CD2569">
        <w:t xml:space="preserve"> per cent</w:t>
      </w:r>
      <w:r>
        <w:t xml:space="preserve">) </w:t>
      </w:r>
      <w:r w:rsidR="00CD2569">
        <w:t xml:space="preserve">than </w:t>
      </w:r>
      <w:r>
        <w:t>women (15.4</w:t>
      </w:r>
      <w:r w:rsidR="00CD2569">
        <w:t xml:space="preserve"> per cent</w:t>
      </w:r>
      <w:r>
        <w:t>)</w:t>
      </w:r>
      <w:r w:rsidR="005B1E24">
        <w:t>. (VAHI, 2022)</w:t>
      </w:r>
    </w:p>
    <w:p w14:paraId="525A263C" w14:textId="7F1ED919" w:rsidR="00B22AF9" w:rsidRDefault="00FD44FB" w:rsidP="003C4F9A">
      <w:pPr>
        <w:spacing w:after="0" w:line="240" w:lineRule="auto"/>
        <w:rPr>
          <w:rFonts w:eastAsia="MS Mincho"/>
          <w:b/>
          <w:bCs/>
          <w:color w:val="000000" w:themeColor="text1"/>
        </w:rPr>
      </w:pPr>
      <w:r w:rsidRPr="007C416E">
        <w:rPr>
          <w:rFonts w:eastAsia="VIC-Regular" w:hint="eastAsia"/>
          <w:color w:val="000000" w:themeColor="text1"/>
        </w:rPr>
        <w:t>Asthma cannot be cured</w:t>
      </w:r>
      <w:r w:rsidR="00CD2569">
        <w:rPr>
          <w:rFonts w:eastAsia="VIC-Regular"/>
          <w:color w:val="000000" w:themeColor="text1"/>
        </w:rPr>
        <w:t>. However</w:t>
      </w:r>
      <w:r w:rsidRPr="007C416E">
        <w:rPr>
          <w:rFonts w:eastAsia="VIC-Regular" w:hint="eastAsia"/>
          <w:color w:val="000000" w:themeColor="text1"/>
        </w:rPr>
        <w:t>, with good management, people with asthma can lead normal, active lives. A range of programs and services are available to support people with asthma</w:t>
      </w:r>
      <w:r w:rsidR="00EF747C">
        <w:rPr>
          <w:color w:val="000000" w:themeColor="text1"/>
        </w:rPr>
        <w:t xml:space="preserve"> (Better Health Channe</w:t>
      </w:r>
      <w:r w:rsidR="007C416E">
        <w:rPr>
          <w:color w:val="000000" w:themeColor="text1"/>
        </w:rPr>
        <w:t>l, 2021)</w:t>
      </w:r>
      <w:r w:rsidRPr="007C416E">
        <w:rPr>
          <w:rFonts w:hint="eastAsia"/>
          <w:color w:val="000000" w:themeColor="text1"/>
        </w:rPr>
        <w:t>.</w:t>
      </w:r>
    </w:p>
    <w:p w14:paraId="0A063D97" w14:textId="533EA4E3" w:rsidR="004632E3" w:rsidRDefault="004632E3" w:rsidP="00E33979">
      <w:pPr>
        <w:pStyle w:val="Heading2"/>
        <w:rPr>
          <w:rFonts w:eastAsia="Times"/>
        </w:rPr>
      </w:pPr>
      <w:bookmarkStart w:id="135" w:name="_Toc116981385"/>
      <w:r w:rsidRPr="001154B8">
        <w:t>Musculoskeletal</w:t>
      </w:r>
      <w:bookmarkEnd w:id="135"/>
      <w:r w:rsidR="00E33979" w:rsidRPr="001154B8">
        <w:t xml:space="preserve"> conditions</w:t>
      </w:r>
    </w:p>
    <w:p w14:paraId="1D9ADC7C" w14:textId="0CA35E15" w:rsidR="00AD3064" w:rsidRDefault="003118D5" w:rsidP="00672F7B">
      <w:pPr>
        <w:pStyle w:val="Body"/>
      </w:pPr>
      <w:r>
        <w:t>The</w:t>
      </w:r>
      <w:r w:rsidR="006945F0">
        <w:t xml:space="preserve"> most recent national </w:t>
      </w:r>
      <w:r w:rsidR="00681816">
        <w:t>data</w:t>
      </w:r>
      <w:r w:rsidR="006945F0">
        <w:t xml:space="preserve"> in 2017-</w:t>
      </w:r>
      <w:r w:rsidR="00AD3064">
        <w:t>20</w:t>
      </w:r>
      <w:r w:rsidR="006945F0">
        <w:t xml:space="preserve">18 </w:t>
      </w:r>
      <w:r w:rsidR="00AD3064">
        <w:t xml:space="preserve">estimates that seven million or </w:t>
      </w:r>
      <w:r w:rsidR="006945F0">
        <w:t xml:space="preserve">almost </w:t>
      </w:r>
      <w:r w:rsidR="00AD3064">
        <w:t>one-</w:t>
      </w:r>
      <w:r w:rsidR="006945F0">
        <w:t>in</w:t>
      </w:r>
      <w:r w:rsidR="00AD3064">
        <w:t>-three</w:t>
      </w:r>
      <w:r w:rsidR="006945F0">
        <w:t xml:space="preserve"> (29</w:t>
      </w:r>
      <w:r w:rsidR="00AD3064">
        <w:t xml:space="preserve"> per cent</w:t>
      </w:r>
      <w:r w:rsidR="006945F0">
        <w:t xml:space="preserve">) Australians </w:t>
      </w:r>
      <w:r>
        <w:t>ha</w:t>
      </w:r>
      <w:r w:rsidR="00116941">
        <w:t>ve</w:t>
      </w:r>
      <w:r>
        <w:t xml:space="preserve"> </w:t>
      </w:r>
      <w:r w:rsidR="00EF7808">
        <w:t>a</w:t>
      </w:r>
      <w:r>
        <w:t xml:space="preserve"> </w:t>
      </w:r>
      <w:r w:rsidR="005C78B7">
        <w:t>musculoskeletal condition</w:t>
      </w:r>
      <w:r w:rsidR="00AD3064">
        <w:t xml:space="preserve"> </w:t>
      </w:r>
      <w:r w:rsidR="002E22E0">
        <w:t>(AIHW, 2020).</w:t>
      </w:r>
      <w:r w:rsidR="00F533CF">
        <w:t xml:space="preserve"> </w:t>
      </w:r>
    </w:p>
    <w:p w14:paraId="119A591A" w14:textId="2F3493CA" w:rsidR="007C107C" w:rsidRDefault="00446409" w:rsidP="00672F7B">
      <w:pPr>
        <w:pStyle w:val="Body"/>
      </w:pPr>
      <w:r>
        <w:t xml:space="preserve">The World Health Organisation </w:t>
      </w:r>
      <w:r w:rsidR="00AD3064">
        <w:t xml:space="preserve">states </w:t>
      </w:r>
      <w:r w:rsidR="005569F1">
        <w:t>that</w:t>
      </w:r>
      <w:r>
        <w:t xml:space="preserve"> </w:t>
      </w:r>
      <w:r w:rsidR="00AD3064">
        <w:t>‘</w:t>
      </w:r>
      <w:r>
        <w:t xml:space="preserve">musculoskeletal </w:t>
      </w:r>
      <w:r w:rsidR="000C20CF">
        <w:t>condition</w:t>
      </w:r>
      <w:r w:rsidR="005569F1">
        <w:t>s</w:t>
      </w:r>
      <w:r>
        <w:t xml:space="preserve"> </w:t>
      </w:r>
      <w:r w:rsidR="000C20CF" w:rsidRPr="000C20CF">
        <w:t>are the leading contributor to disability worldwide</w:t>
      </w:r>
      <w:r w:rsidR="00AD3064">
        <w:t>’</w:t>
      </w:r>
      <w:r w:rsidR="000C20CF">
        <w:t xml:space="preserve"> (WHO, 2022). </w:t>
      </w:r>
      <w:r w:rsidR="009F1E4C">
        <w:t>In Victoria,</w:t>
      </w:r>
      <w:r w:rsidR="00AD4DEB">
        <w:t xml:space="preserve"> osteoporosis and arthritis are </w:t>
      </w:r>
      <w:r w:rsidR="00600E04">
        <w:t>two of the most</w:t>
      </w:r>
      <w:r w:rsidR="00496547">
        <w:t xml:space="preserve"> prevalent </w:t>
      </w:r>
      <w:r w:rsidR="009F1E4C">
        <w:t>chronic musculoskeletal</w:t>
      </w:r>
      <w:r w:rsidR="00AD4DEB">
        <w:t xml:space="preserve"> </w:t>
      </w:r>
      <w:r w:rsidR="00496547">
        <w:t>conditions.</w:t>
      </w:r>
    </w:p>
    <w:p w14:paraId="18384738" w14:textId="1764D05E" w:rsidR="000A1D91" w:rsidRPr="00805A37" w:rsidRDefault="000A1D91" w:rsidP="000A1D91">
      <w:pPr>
        <w:pStyle w:val="Heading3"/>
      </w:pPr>
      <w:r>
        <w:t xml:space="preserve">Osteoporosis </w:t>
      </w:r>
    </w:p>
    <w:p w14:paraId="790188E6" w14:textId="4B45182F" w:rsidR="009D1807" w:rsidRDefault="003A0330" w:rsidP="00454A7D">
      <w:pPr>
        <w:pStyle w:val="Body"/>
      </w:pPr>
      <w:r>
        <w:t xml:space="preserve">Osteoporosis is </w:t>
      </w:r>
      <w:r w:rsidR="00B139E5">
        <w:t>a mostly</w:t>
      </w:r>
      <w:r>
        <w:t xml:space="preserve"> preventable condition</w:t>
      </w:r>
      <w:r w:rsidR="00AD3064">
        <w:t>. It is caused when</w:t>
      </w:r>
      <w:r>
        <w:t xml:space="preserve"> </w:t>
      </w:r>
      <w:r w:rsidR="00BE6036">
        <w:t xml:space="preserve">bones lose mineral </w:t>
      </w:r>
      <w:r w:rsidR="009D1F83">
        <w:t>(such as calcium) more</w:t>
      </w:r>
      <w:r w:rsidR="00BE6036">
        <w:t xml:space="preserve"> </w:t>
      </w:r>
      <w:r w:rsidR="0080033D">
        <w:t xml:space="preserve">quickly than </w:t>
      </w:r>
      <w:r w:rsidR="00AD3064">
        <w:t xml:space="preserve">they can be </w:t>
      </w:r>
      <w:r w:rsidR="0080033D">
        <w:t>replace</w:t>
      </w:r>
      <w:r w:rsidR="00AD3064">
        <w:t xml:space="preserve">d </w:t>
      </w:r>
      <w:r w:rsidR="00E31569">
        <w:t xml:space="preserve">(Better Health, </w:t>
      </w:r>
      <w:r w:rsidR="00F0568A">
        <w:t>2019)</w:t>
      </w:r>
      <w:r w:rsidR="0080033D">
        <w:t xml:space="preserve">. This </w:t>
      </w:r>
      <w:r w:rsidR="00AD3064">
        <w:t xml:space="preserve">loss of minerals </w:t>
      </w:r>
      <w:r w:rsidR="0080033D">
        <w:t>leads to</w:t>
      </w:r>
      <w:r>
        <w:t xml:space="preserve"> a progressive loss of bone density and strength</w:t>
      </w:r>
      <w:r w:rsidR="00AD3064">
        <w:t>. As a result</w:t>
      </w:r>
      <w:r w:rsidR="0080033D">
        <w:t xml:space="preserve">, </w:t>
      </w:r>
      <w:r w:rsidR="00AD3064">
        <w:t xml:space="preserve">bones </w:t>
      </w:r>
      <w:r w:rsidR="00E31569">
        <w:t>fracture</w:t>
      </w:r>
      <w:r w:rsidR="0080033D">
        <w:t xml:space="preserve"> more</w:t>
      </w:r>
      <w:r w:rsidR="00E31569">
        <w:t xml:space="preserve"> easily</w:t>
      </w:r>
      <w:r>
        <w:t xml:space="preserve">. </w:t>
      </w:r>
      <w:r w:rsidR="00AD3064">
        <w:t xml:space="preserve">This </w:t>
      </w:r>
      <w:r w:rsidR="00AD3064">
        <w:lastRenderedPageBreak/>
        <w:t>increases the risk of injury from an incident as s</w:t>
      </w:r>
      <w:r w:rsidR="00787C18">
        <w:t>imple</w:t>
      </w:r>
      <w:r>
        <w:t xml:space="preserve"> </w:t>
      </w:r>
      <w:r w:rsidR="00AD3064">
        <w:t xml:space="preserve">as </w:t>
      </w:r>
      <w:r>
        <w:t>falling out of a bed or chair, or tripping while walking</w:t>
      </w:r>
      <w:r w:rsidR="00F54713">
        <w:t xml:space="preserve"> (VAHI, 2022)</w:t>
      </w:r>
      <w:r>
        <w:t xml:space="preserve">. </w:t>
      </w:r>
    </w:p>
    <w:p w14:paraId="709278FE" w14:textId="2777C8CD" w:rsidR="00AD3064" w:rsidRDefault="003A0330" w:rsidP="00454A7D">
      <w:pPr>
        <w:pStyle w:val="Body"/>
      </w:pPr>
      <w:r>
        <w:t xml:space="preserve">Often people are not aware they have osteoporosis because </w:t>
      </w:r>
      <w:r w:rsidR="00616BC2">
        <w:t xml:space="preserve">it </w:t>
      </w:r>
      <w:r>
        <w:t xml:space="preserve">lacks obvious symptoms. </w:t>
      </w:r>
    </w:p>
    <w:p w14:paraId="299C44DE" w14:textId="47D551A9" w:rsidR="00A134E8" w:rsidRDefault="000058E7" w:rsidP="00454A7D">
      <w:pPr>
        <w:pStyle w:val="Body"/>
      </w:pPr>
      <w:r>
        <w:t xml:space="preserve">In 2019, </w:t>
      </w:r>
      <w:r w:rsidR="003D6EF3">
        <w:t>t</w:t>
      </w:r>
      <w:r w:rsidR="00631D85">
        <w:t xml:space="preserve">he </w:t>
      </w:r>
      <w:r w:rsidR="00AD3064">
        <w:t xml:space="preserve">overall </w:t>
      </w:r>
      <w:r w:rsidR="00631D85">
        <w:t xml:space="preserve">proportion of </w:t>
      </w:r>
      <w:r w:rsidR="00EC5F94">
        <w:t>Victorian</w:t>
      </w:r>
      <w:r w:rsidR="00631D85">
        <w:t xml:space="preserve"> adults who </w:t>
      </w:r>
      <w:r w:rsidR="003D6EF3">
        <w:t>self-</w:t>
      </w:r>
      <w:r w:rsidR="00631D85">
        <w:t xml:space="preserve">reported </w:t>
      </w:r>
      <w:r w:rsidR="00AD3064">
        <w:t xml:space="preserve">after a </w:t>
      </w:r>
      <w:r w:rsidR="00631D85">
        <w:t>diagnos</w:t>
      </w:r>
      <w:r w:rsidR="00AD3064">
        <w:t xml:space="preserve">is of </w:t>
      </w:r>
      <w:r w:rsidR="00631D85">
        <w:t>osteoporosis was 6.4</w:t>
      </w:r>
      <w:r w:rsidR="00AD3064">
        <w:t xml:space="preserve"> per cent</w:t>
      </w:r>
      <w:r w:rsidR="00631D85">
        <w:t>. Th</w:t>
      </w:r>
      <w:r w:rsidR="00AD3064">
        <w:t>e</w:t>
      </w:r>
      <w:r w:rsidR="00631D85">
        <w:t xml:space="preserve"> proportion was significantly lower in men (3.3</w:t>
      </w:r>
      <w:r w:rsidR="00AD3064">
        <w:t xml:space="preserve"> per cent</w:t>
      </w:r>
      <w:r w:rsidR="00631D85">
        <w:t xml:space="preserve">) </w:t>
      </w:r>
      <w:r w:rsidR="00AD3064">
        <w:t xml:space="preserve">than </w:t>
      </w:r>
      <w:r w:rsidR="00631D85">
        <w:t>women (8.9</w:t>
      </w:r>
      <w:r w:rsidR="00AD3064">
        <w:t xml:space="preserve"> per cent</w:t>
      </w:r>
      <w:r w:rsidR="00631D85">
        <w:t>). Estimates for 2015</w:t>
      </w:r>
      <w:r w:rsidR="00AD3064">
        <w:t>-</w:t>
      </w:r>
      <w:r w:rsidR="00631D85">
        <w:t>2019 were stable</w:t>
      </w:r>
      <w:r w:rsidR="001165CE">
        <w:t>, but increas</w:t>
      </w:r>
      <w:r w:rsidR="00AD3064">
        <w:t>ed</w:t>
      </w:r>
      <w:r w:rsidR="001165CE">
        <w:t xml:space="preserve"> slightly.</w:t>
      </w:r>
    </w:p>
    <w:p w14:paraId="794AE414" w14:textId="4C6E4407" w:rsidR="009A478E" w:rsidRDefault="009A23B2" w:rsidP="009A478E">
      <w:pPr>
        <w:pStyle w:val="Body"/>
      </w:pPr>
      <w:r>
        <w:t xml:space="preserve">From a young age, both men and women can </w:t>
      </w:r>
      <w:r w:rsidR="009A478E">
        <w:t>implement the following preventative steps</w:t>
      </w:r>
      <w:r>
        <w:t xml:space="preserve"> </w:t>
      </w:r>
      <w:r w:rsidR="009A478E">
        <w:t xml:space="preserve">to combat </w:t>
      </w:r>
      <w:r>
        <w:t xml:space="preserve">osteoporosis. </w:t>
      </w:r>
      <w:r w:rsidR="00AD3064">
        <w:t xml:space="preserve">Preventative measures </w:t>
      </w:r>
      <w:r w:rsidR="009A478E">
        <w:t>include</w:t>
      </w:r>
      <w:r w:rsidR="00AD3064">
        <w:t>:</w:t>
      </w:r>
      <w:r w:rsidR="009A478E">
        <w:t xml:space="preserve"> eating a variety of healthy foods (</w:t>
      </w:r>
      <w:r w:rsidR="00AD3064">
        <w:t xml:space="preserve">such as </w:t>
      </w:r>
      <w:r w:rsidR="009A478E">
        <w:t>fresh fruit, vegetables</w:t>
      </w:r>
      <w:r w:rsidR="00AD3064">
        <w:t>,</w:t>
      </w:r>
      <w:r w:rsidR="009A478E">
        <w:t xml:space="preserve"> and whole grains)</w:t>
      </w:r>
      <w:r w:rsidR="00AD3064">
        <w:t xml:space="preserve">; </w:t>
      </w:r>
      <w:r w:rsidR="009A478E">
        <w:t>having a calcium</w:t>
      </w:r>
      <w:r w:rsidR="00AD3064">
        <w:t>-</w:t>
      </w:r>
      <w:r w:rsidR="009A478E">
        <w:t>rich diet</w:t>
      </w:r>
      <w:r w:rsidR="00AD3064">
        <w:t>;</w:t>
      </w:r>
      <w:r w:rsidR="009A478E">
        <w:t xml:space="preserve"> absorbing enough vitamin D</w:t>
      </w:r>
      <w:r w:rsidR="00AD3064">
        <w:t>;</w:t>
      </w:r>
      <w:r w:rsidR="009A478E">
        <w:t xml:space="preserve"> and performing regular weight-bearing and strength-training activities. Avoiding smoking and limiting caffeine and alcohol consumption will also reduce risks of osteoporosis later in life</w:t>
      </w:r>
      <w:r w:rsidR="00E057F2">
        <w:t xml:space="preserve"> </w:t>
      </w:r>
      <w:r w:rsidR="00C140A2">
        <w:t>(Department of Health, 2021).</w:t>
      </w:r>
      <w:r w:rsidR="009A478E">
        <w:t xml:space="preserve"> </w:t>
      </w:r>
    </w:p>
    <w:p w14:paraId="164967C9" w14:textId="47A2EAEF" w:rsidR="00F3324B" w:rsidRDefault="00F3324B" w:rsidP="00454A7D">
      <w:pPr>
        <w:pStyle w:val="Body"/>
      </w:pPr>
      <w:r>
        <w:t>There is no standard treatment for osteoporosis. It often depends on individual needs, but can include osteoporosis medications, as well and performing a range falls prevention exercise to reduce risk of fractures</w:t>
      </w:r>
      <w:r w:rsidR="00112243">
        <w:t xml:space="preserve"> (Department of Health, 2021)</w:t>
      </w:r>
      <w:r>
        <w:t xml:space="preserve">. </w:t>
      </w:r>
    </w:p>
    <w:p w14:paraId="779BF12F" w14:textId="3D349909" w:rsidR="00CE5F57" w:rsidRDefault="005B17C9" w:rsidP="00454A7D">
      <w:pPr>
        <w:pStyle w:val="Body"/>
      </w:pPr>
      <w:r>
        <w:t>F</w:t>
      </w:r>
      <w:r w:rsidR="000C69E6">
        <w:t xml:space="preserve">ind out more about falls prevention in </w:t>
      </w:r>
      <w:r w:rsidR="00AD3064">
        <w:t>‘</w:t>
      </w:r>
      <w:r w:rsidR="00CE5F57">
        <w:t xml:space="preserve">Chapter 16 </w:t>
      </w:r>
      <w:r w:rsidR="00AD3064">
        <w:t>–</w:t>
      </w:r>
      <w:r w:rsidR="00CE5F57">
        <w:t xml:space="preserve"> </w:t>
      </w:r>
      <w:r w:rsidR="00CC5467">
        <w:t>Injury prevention</w:t>
      </w:r>
      <w:r w:rsidR="00AD3064">
        <w:t>’</w:t>
      </w:r>
      <w:r w:rsidR="0083011F">
        <w:t>.</w:t>
      </w:r>
    </w:p>
    <w:p w14:paraId="1C526F0F" w14:textId="775BD1CD" w:rsidR="000A1D91" w:rsidRPr="00805A37" w:rsidRDefault="000A1D91" w:rsidP="000A1D91">
      <w:pPr>
        <w:pStyle w:val="Heading3"/>
      </w:pPr>
      <w:r>
        <w:t xml:space="preserve">Arthritis </w:t>
      </w:r>
    </w:p>
    <w:p w14:paraId="72A7A5B9" w14:textId="1246ABCA" w:rsidR="00AD3064" w:rsidRDefault="00013FD5" w:rsidP="00324F39">
      <w:pPr>
        <w:pStyle w:val="Body"/>
        <w:rPr>
          <w:rFonts w:eastAsia="MS Mincho"/>
          <w:color w:val="000000" w:themeColor="text1"/>
        </w:rPr>
      </w:pPr>
      <w:r w:rsidRPr="00013FD5">
        <w:rPr>
          <w:rFonts w:eastAsia="MS Mincho"/>
          <w:color w:val="000000" w:themeColor="text1"/>
        </w:rPr>
        <w:t xml:space="preserve">Arthritis </w:t>
      </w:r>
      <w:r w:rsidR="00440730">
        <w:rPr>
          <w:rFonts w:eastAsia="MS Mincho"/>
          <w:color w:val="000000" w:themeColor="text1"/>
        </w:rPr>
        <w:t xml:space="preserve">is a general term that refers to </w:t>
      </w:r>
      <w:r w:rsidR="00AD3064">
        <w:rPr>
          <w:rFonts w:eastAsia="MS Mincho"/>
          <w:color w:val="000000" w:themeColor="text1"/>
        </w:rPr>
        <w:t xml:space="preserve">more than </w:t>
      </w:r>
      <w:r w:rsidR="00440730">
        <w:rPr>
          <w:rFonts w:eastAsia="MS Mincho"/>
          <w:color w:val="000000" w:themeColor="text1"/>
        </w:rPr>
        <w:t>150 different conditions that</w:t>
      </w:r>
      <w:r w:rsidR="00C80067">
        <w:rPr>
          <w:rFonts w:eastAsia="MS Mincho"/>
          <w:color w:val="000000" w:themeColor="text1"/>
        </w:rPr>
        <w:t xml:space="preserve"> affect the muscles, bones</w:t>
      </w:r>
      <w:r w:rsidR="00AD3064">
        <w:rPr>
          <w:rFonts w:eastAsia="MS Mincho"/>
          <w:color w:val="000000" w:themeColor="text1"/>
        </w:rPr>
        <w:t>,</w:t>
      </w:r>
      <w:r w:rsidR="00C80067">
        <w:rPr>
          <w:rFonts w:eastAsia="MS Mincho"/>
          <w:color w:val="000000" w:themeColor="text1"/>
        </w:rPr>
        <w:t xml:space="preserve"> and joints. </w:t>
      </w:r>
    </w:p>
    <w:p w14:paraId="200271BC" w14:textId="14F0BDA2" w:rsidR="00324F39" w:rsidRPr="00CA39C3" w:rsidRDefault="00DE7C16" w:rsidP="00324F39">
      <w:pPr>
        <w:pStyle w:val="Body"/>
        <w:rPr>
          <w:rFonts w:eastAsia="MS Mincho"/>
          <w:color w:val="000000" w:themeColor="text1"/>
        </w:rPr>
      </w:pPr>
      <w:r>
        <w:rPr>
          <w:rFonts w:eastAsia="MS Mincho"/>
          <w:color w:val="000000" w:themeColor="text1"/>
        </w:rPr>
        <w:t>People who have arthritis often experience</w:t>
      </w:r>
      <w:r w:rsidRPr="00DE7C16">
        <w:rPr>
          <w:rFonts w:eastAsia="MS Mincho"/>
          <w:color w:val="000000" w:themeColor="text1"/>
        </w:rPr>
        <w:t xml:space="preserve"> joints </w:t>
      </w:r>
      <w:r w:rsidR="00F706B7">
        <w:rPr>
          <w:rFonts w:eastAsia="MS Mincho"/>
          <w:color w:val="000000" w:themeColor="text1"/>
        </w:rPr>
        <w:t>that</w:t>
      </w:r>
      <w:r w:rsidRPr="00DE7C16">
        <w:rPr>
          <w:rFonts w:eastAsia="MS Mincho"/>
          <w:color w:val="000000" w:themeColor="text1"/>
        </w:rPr>
        <w:t xml:space="preserve"> are inflamed, causing discomfort </w:t>
      </w:r>
      <w:r w:rsidRPr="00CA39C3">
        <w:rPr>
          <w:rFonts w:eastAsia="MS Mincho"/>
          <w:color w:val="000000" w:themeColor="text1"/>
        </w:rPr>
        <w:t>and pain.</w:t>
      </w:r>
      <w:r w:rsidR="005D2344" w:rsidRPr="00CA39C3">
        <w:rPr>
          <w:rFonts w:eastAsia="MS Mincho"/>
          <w:color w:val="000000" w:themeColor="text1"/>
        </w:rPr>
        <w:t xml:space="preserve"> </w:t>
      </w:r>
    </w:p>
    <w:p w14:paraId="170D6C15" w14:textId="71942B2F" w:rsidR="008A7A89" w:rsidRDefault="00F422C1" w:rsidP="00FB60E7">
      <w:pPr>
        <w:pStyle w:val="Body"/>
        <w:rPr>
          <w:rFonts w:eastAsia="MS Mincho"/>
          <w:color w:val="000000" w:themeColor="text1"/>
        </w:rPr>
      </w:pPr>
      <w:r>
        <w:rPr>
          <w:rFonts w:eastAsia="MS Mincho"/>
          <w:color w:val="000000" w:themeColor="text1"/>
        </w:rPr>
        <w:t>Two of the</w:t>
      </w:r>
      <w:r w:rsidR="00302157" w:rsidRPr="00CA39C3">
        <w:rPr>
          <w:rFonts w:eastAsia="MS Mincho"/>
          <w:color w:val="000000" w:themeColor="text1"/>
        </w:rPr>
        <w:t xml:space="preserve"> most commo</w:t>
      </w:r>
      <w:r w:rsidR="00324F39" w:rsidRPr="00CA39C3">
        <w:rPr>
          <w:rFonts w:eastAsia="MS Mincho"/>
          <w:color w:val="000000" w:themeColor="text1"/>
        </w:rPr>
        <w:t xml:space="preserve">n forms of </w:t>
      </w:r>
      <w:r w:rsidR="00185DF9" w:rsidRPr="00CA39C3">
        <w:rPr>
          <w:rFonts w:eastAsia="MS Mincho"/>
          <w:color w:val="000000" w:themeColor="text1"/>
        </w:rPr>
        <w:t>arthritis are osteoarthritis</w:t>
      </w:r>
      <w:r w:rsidR="00AD3064">
        <w:rPr>
          <w:rFonts w:eastAsia="MS Mincho"/>
          <w:color w:val="000000" w:themeColor="text1"/>
        </w:rPr>
        <w:t xml:space="preserve"> (</w:t>
      </w:r>
      <w:r w:rsidR="00185DF9" w:rsidRPr="00CA39C3">
        <w:rPr>
          <w:rFonts w:eastAsia="MS Mincho"/>
          <w:color w:val="000000" w:themeColor="text1"/>
        </w:rPr>
        <w:t xml:space="preserve">a </w:t>
      </w:r>
      <w:r w:rsidR="000B3D35" w:rsidRPr="00CA39C3">
        <w:rPr>
          <w:rFonts w:eastAsia="MS Mincho"/>
          <w:color w:val="000000" w:themeColor="text1"/>
        </w:rPr>
        <w:t>degenerative condition affecting the weight-bearing</w:t>
      </w:r>
      <w:r w:rsidR="00CA39C3" w:rsidRPr="00CA39C3">
        <w:rPr>
          <w:rFonts w:eastAsia="MS Mincho"/>
          <w:color w:val="000000" w:themeColor="text1"/>
        </w:rPr>
        <w:t xml:space="preserve"> </w:t>
      </w:r>
      <w:r w:rsidR="00AD3064">
        <w:rPr>
          <w:rFonts w:eastAsia="MS Mincho"/>
          <w:color w:val="000000" w:themeColor="text1"/>
        </w:rPr>
        <w:t xml:space="preserve">joints </w:t>
      </w:r>
      <w:r w:rsidR="00CA39C3" w:rsidRPr="00CA39C3">
        <w:rPr>
          <w:rFonts w:eastAsia="MS Mincho"/>
          <w:color w:val="000000" w:themeColor="text1"/>
        </w:rPr>
        <w:t>such as hips, knees, ankles, hands</w:t>
      </w:r>
      <w:r w:rsidR="00AD3064">
        <w:rPr>
          <w:rFonts w:eastAsia="MS Mincho"/>
          <w:color w:val="000000" w:themeColor="text1"/>
        </w:rPr>
        <w:t>,</w:t>
      </w:r>
      <w:r w:rsidR="00CA39C3" w:rsidRPr="00CA39C3">
        <w:rPr>
          <w:rFonts w:eastAsia="MS Mincho"/>
          <w:color w:val="000000" w:themeColor="text1"/>
        </w:rPr>
        <w:t xml:space="preserve"> and </w:t>
      </w:r>
      <w:r w:rsidR="00AD3064">
        <w:rPr>
          <w:rFonts w:eastAsia="MS Mincho"/>
          <w:color w:val="000000" w:themeColor="text1"/>
        </w:rPr>
        <w:t xml:space="preserve">the </w:t>
      </w:r>
      <w:r w:rsidR="00CA39C3" w:rsidRPr="00CA39C3">
        <w:rPr>
          <w:rFonts w:eastAsia="MS Mincho"/>
          <w:color w:val="000000" w:themeColor="text1"/>
        </w:rPr>
        <w:t>spine)</w:t>
      </w:r>
      <w:r w:rsidR="00AD3064">
        <w:rPr>
          <w:rFonts w:eastAsia="MS Mincho"/>
          <w:color w:val="000000" w:themeColor="text1"/>
        </w:rPr>
        <w:t xml:space="preserve"> and</w:t>
      </w:r>
      <w:r w:rsidR="00F34BAE">
        <w:rPr>
          <w:rFonts w:eastAsia="MS Mincho"/>
          <w:color w:val="000000" w:themeColor="text1"/>
        </w:rPr>
        <w:t xml:space="preserve"> </w:t>
      </w:r>
      <w:r w:rsidR="00FB60E7">
        <w:rPr>
          <w:rFonts w:eastAsia="MS Mincho"/>
          <w:color w:val="000000" w:themeColor="text1"/>
        </w:rPr>
        <w:t>rheumatoid</w:t>
      </w:r>
      <w:r w:rsidR="00F34BAE">
        <w:rPr>
          <w:rFonts w:eastAsia="MS Mincho"/>
          <w:color w:val="000000" w:themeColor="text1"/>
        </w:rPr>
        <w:t xml:space="preserve"> arthritis</w:t>
      </w:r>
      <w:r w:rsidR="00AD3064">
        <w:rPr>
          <w:rFonts w:eastAsia="MS Mincho"/>
          <w:color w:val="000000" w:themeColor="text1"/>
        </w:rPr>
        <w:t xml:space="preserve"> (</w:t>
      </w:r>
      <w:r w:rsidR="00FB60E7" w:rsidRPr="00FB60E7">
        <w:rPr>
          <w:rFonts w:eastAsia="MS Mincho"/>
          <w:color w:val="000000" w:themeColor="text1"/>
        </w:rPr>
        <w:t>an autoimmune disease where the body’s immune system attacks its own tissues</w:t>
      </w:r>
      <w:r w:rsidR="00AD3064">
        <w:rPr>
          <w:rFonts w:eastAsia="MS Mincho"/>
          <w:color w:val="000000" w:themeColor="text1"/>
        </w:rPr>
        <w:t>)</w:t>
      </w:r>
      <w:r w:rsidR="00FB60E7" w:rsidRPr="00FB60E7">
        <w:rPr>
          <w:rFonts w:eastAsia="MS Mincho"/>
          <w:color w:val="000000" w:themeColor="text1"/>
        </w:rPr>
        <w:t>.</w:t>
      </w:r>
      <w:r w:rsidR="004F2904">
        <w:rPr>
          <w:rFonts w:eastAsia="MS Mincho"/>
          <w:color w:val="000000" w:themeColor="text1"/>
        </w:rPr>
        <w:t xml:space="preserve"> </w:t>
      </w:r>
    </w:p>
    <w:p w14:paraId="5A4AC945" w14:textId="28FED5E7" w:rsidR="0019431F" w:rsidRDefault="008A7A89" w:rsidP="0054388C">
      <w:pPr>
        <w:pStyle w:val="Body"/>
        <w:spacing w:after="240"/>
      </w:pPr>
      <w:r>
        <w:t xml:space="preserve">In 2019, </w:t>
      </w:r>
      <w:r w:rsidR="0019431F">
        <w:t>t</w:t>
      </w:r>
      <w:r>
        <w:t xml:space="preserve">he </w:t>
      </w:r>
      <w:r w:rsidR="00AD3064">
        <w:t xml:space="preserve">overall </w:t>
      </w:r>
      <w:r>
        <w:t xml:space="preserve">proportion of adults who reported </w:t>
      </w:r>
      <w:r w:rsidR="00AD3064">
        <w:t xml:space="preserve">a </w:t>
      </w:r>
      <w:r>
        <w:t>diagnos</w:t>
      </w:r>
      <w:r w:rsidR="00AD3064">
        <w:t>is</w:t>
      </w:r>
      <w:r>
        <w:t xml:space="preserve"> with </w:t>
      </w:r>
      <w:r w:rsidRPr="00781820">
        <w:t>arthritis was 20.9</w:t>
      </w:r>
      <w:r w:rsidR="00AD3064" w:rsidRPr="00781820">
        <w:t xml:space="preserve"> per cent. The proportion was</w:t>
      </w:r>
      <w:r w:rsidR="00B84BA3" w:rsidRPr="00781820">
        <w:t xml:space="preserve"> </w:t>
      </w:r>
      <w:r w:rsidRPr="00781820">
        <w:t>significantly lower in men (17.3</w:t>
      </w:r>
      <w:r w:rsidR="00AD3064" w:rsidRPr="00781820">
        <w:t xml:space="preserve"> per cent</w:t>
      </w:r>
      <w:r w:rsidRPr="00781820">
        <w:t xml:space="preserve">) </w:t>
      </w:r>
      <w:r w:rsidR="00AD3064" w:rsidRPr="00781820">
        <w:t xml:space="preserve">than </w:t>
      </w:r>
      <w:r w:rsidRPr="00781820">
        <w:t>women (24</w:t>
      </w:r>
      <w:r w:rsidR="00AD3064" w:rsidRPr="00781820">
        <w:t xml:space="preserve"> per cent</w:t>
      </w:r>
      <w:r w:rsidRPr="00781820">
        <w:t xml:space="preserve">) </w:t>
      </w:r>
      <w:r w:rsidR="001E0403">
        <w:t>(VAHI, 2022)</w:t>
      </w:r>
      <w:r w:rsidR="000E7EE0">
        <w:t>.</w:t>
      </w:r>
    </w:p>
    <w:p w14:paraId="7F988490" w14:textId="77777777" w:rsidR="00EB1B9A" w:rsidRDefault="00EB1B9A" w:rsidP="00752539">
      <w:pPr>
        <w:spacing w:line="240" w:lineRule="auto"/>
        <w:rPr>
          <w:rFonts w:eastAsia="MS Mincho"/>
          <w:b/>
          <w:bCs/>
          <w:iCs/>
          <w:color w:val="000000"/>
          <w:szCs w:val="26"/>
        </w:rPr>
      </w:pPr>
      <w:r w:rsidRPr="00FC4CE9">
        <w:rPr>
          <w:rFonts w:eastAsia="MS Mincho"/>
          <w:b/>
          <w:bCs/>
          <w:iCs/>
          <w:color w:val="000000"/>
          <w:szCs w:val="26"/>
        </w:rPr>
        <w:t xml:space="preserve">References </w:t>
      </w:r>
    </w:p>
    <w:p w14:paraId="5A1EA141" w14:textId="77777777" w:rsidR="00EB1B9A" w:rsidRDefault="00EB1B9A" w:rsidP="00EB1B9A">
      <w:pPr>
        <w:pStyle w:val="Body"/>
        <w:rPr>
          <w:rFonts w:cs="Arial"/>
        </w:rPr>
      </w:pPr>
      <w:r w:rsidRPr="00FC4CE9">
        <w:rPr>
          <w:rFonts w:cs="Arial"/>
        </w:rPr>
        <w:t>Australian Bureau of Statistics 2019, Underlying cause of death, All causes, Victoria, 2019, ABS Canberra.</w:t>
      </w:r>
    </w:p>
    <w:p w14:paraId="641D2310" w14:textId="68C24161" w:rsidR="00EB1B9A" w:rsidRPr="00FC4CE9" w:rsidRDefault="00EB1B9A" w:rsidP="00EB1B9A">
      <w:pPr>
        <w:rPr>
          <w:rFonts w:eastAsia="Arial" w:cs="Arial"/>
          <w:color w:val="000000"/>
        </w:rPr>
      </w:pPr>
      <w:r w:rsidRPr="00FC4CE9">
        <w:rPr>
          <w:rFonts w:eastAsia="Arial" w:cs="Arial"/>
          <w:color w:val="000000"/>
        </w:rPr>
        <w:t>Australian Institute of Health and Welfare (2021)</w:t>
      </w:r>
      <w:r w:rsidRPr="00FC4CE9">
        <w:rPr>
          <w:rFonts w:ascii="Open Sans" w:eastAsia="Open Sans" w:hAnsi="Open Sans" w:cs="Open Sans"/>
          <w:color w:val="000000"/>
        </w:rPr>
        <w:t xml:space="preserve"> </w:t>
      </w:r>
      <w:hyperlink r:id="rId117" w:history="1">
        <w:hyperlink w:history="1">
          <w:r w:rsidRPr="00FC4CE9">
            <w:rPr>
              <w:rFonts w:eastAsia="Arial" w:cs="Arial"/>
              <w:i/>
              <w:iCs/>
            </w:rPr>
            <w:t>Heart, stroke and vascular disease</w:t>
          </w:r>
          <w:r w:rsidR="00AD3064">
            <w:rPr>
              <w:rFonts w:eastAsia="Arial" w:cs="Arial"/>
              <w:i/>
              <w:iCs/>
            </w:rPr>
            <w:t xml:space="preserve"> – </w:t>
          </w:r>
          <w:r w:rsidRPr="00FC4CE9">
            <w:rPr>
              <w:rFonts w:eastAsia="Arial" w:cs="Arial"/>
              <w:i/>
              <w:iCs/>
            </w:rPr>
            <w:t>Australian factsHeart, stroke and vascular disease</w:t>
          </w:r>
          <w:r w:rsidR="00AD3064">
            <w:rPr>
              <w:rFonts w:eastAsia="Arial" w:cs="Arial"/>
              <w:i/>
              <w:iCs/>
            </w:rPr>
            <w:t xml:space="preserve"> – </w:t>
          </w:r>
          <w:r w:rsidRPr="00FC4CE9">
            <w:rPr>
              <w:rFonts w:eastAsia="Arial" w:cs="Arial"/>
              <w:i/>
              <w:iCs/>
            </w:rPr>
            <w:t>Australian facts</w:t>
          </w:r>
        </w:hyperlink>
      </w:hyperlink>
      <w:r w:rsidRPr="00FC4CE9">
        <w:rPr>
          <w:rFonts w:ascii="Open Sans" w:eastAsia="Open Sans" w:hAnsi="Open Sans" w:cs="Open Sans"/>
          <w:color w:val="000000"/>
        </w:rPr>
        <w:t xml:space="preserve">, </w:t>
      </w:r>
      <w:r w:rsidRPr="00FC4CE9">
        <w:rPr>
          <w:rFonts w:eastAsia="Arial" w:cs="Arial"/>
          <w:color w:val="000000"/>
        </w:rPr>
        <w:t>AIHW, Australian Government.</w:t>
      </w:r>
    </w:p>
    <w:p w14:paraId="4CD6FE98" w14:textId="77777777" w:rsidR="00EB1B9A" w:rsidRDefault="00EB1B9A" w:rsidP="00EB1B9A">
      <w:pPr>
        <w:pStyle w:val="Body"/>
      </w:pPr>
      <w:r>
        <w:t>Australian Bureau of Statistics. Causes of Death, Australia. Canberra, ACT; 2019 Report No.: Catalogue No 3303.0.</w:t>
      </w:r>
    </w:p>
    <w:p w14:paraId="6EF1E8A1" w14:textId="33ECF261" w:rsidR="00EB1B9A" w:rsidRPr="0035584C" w:rsidRDefault="00EB1B9A" w:rsidP="00EB1B9A">
      <w:pPr>
        <w:pStyle w:val="Body"/>
        <w:rPr>
          <w:rFonts w:cs="Arial"/>
          <w:color w:val="2A2736"/>
        </w:rPr>
      </w:pPr>
      <w:r w:rsidRPr="0035584C">
        <w:rPr>
          <w:rFonts w:cs="Arial"/>
          <w:color w:val="2A2736"/>
        </w:rPr>
        <w:t xml:space="preserve">Australian Institute of Health and Welfare 2016, </w:t>
      </w:r>
      <w:r w:rsidR="29862036" w:rsidRPr="0035584C">
        <w:rPr>
          <w:rFonts w:cs="Arial"/>
          <w:color w:val="2A2736"/>
        </w:rPr>
        <w:t>‘</w:t>
      </w:r>
      <w:r w:rsidRPr="0035584C">
        <w:rPr>
          <w:rFonts w:cs="Arial"/>
          <w:color w:val="2A2736"/>
        </w:rPr>
        <w:t>Skin cancer in Australia, Australian Institute of Health and Welfare</w:t>
      </w:r>
      <w:r w:rsidR="6EBDEEB9" w:rsidRPr="0035584C">
        <w:rPr>
          <w:rFonts w:cs="Arial"/>
          <w:color w:val="2A2736"/>
        </w:rPr>
        <w:t>’</w:t>
      </w:r>
      <w:r w:rsidRPr="0035584C">
        <w:rPr>
          <w:rFonts w:cs="Arial"/>
          <w:color w:val="2A2736"/>
        </w:rPr>
        <w:t>, Canberra.</w:t>
      </w:r>
    </w:p>
    <w:p w14:paraId="51765968" w14:textId="49D8DB43" w:rsidR="00EB1B9A" w:rsidRPr="00FC4CE9" w:rsidRDefault="00EB1B9A" w:rsidP="00EB1B9A">
      <w:pPr>
        <w:rPr>
          <w:rFonts w:eastAsia="Arial" w:cs="Arial"/>
          <w:color w:val="000000"/>
        </w:rPr>
      </w:pPr>
      <w:r w:rsidRPr="00FC4CE9">
        <w:rPr>
          <w:rFonts w:eastAsia="Arial" w:cs="Arial"/>
          <w:color w:val="000000"/>
        </w:rPr>
        <w:t>Australian Institute of Health and Welfare (AIHW) 2020, Arthritis, Australian Government, Canberra retrieved from &lt;www.aihw.gov.au/reports/chronic-musculoskeletal-conditions/arthritis-snapshot/contents/arthritis&gt;</w:t>
      </w:r>
      <w:r w:rsidR="00A03158">
        <w:rPr>
          <w:rFonts w:eastAsia="Arial" w:cs="Arial"/>
          <w:color w:val="000000"/>
        </w:rPr>
        <w:t>.</w:t>
      </w:r>
    </w:p>
    <w:p w14:paraId="4450BA6E" w14:textId="23E9167C" w:rsidR="00EB1B9A" w:rsidRPr="00FA1879" w:rsidRDefault="00EB1B9A" w:rsidP="00EB1B9A">
      <w:pPr>
        <w:pStyle w:val="Body"/>
      </w:pPr>
      <w:r w:rsidRPr="00126A38">
        <w:t>Australian Institute of Health cand Welfare</w:t>
      </w:r>
      <w:r w:rsidR="54B7A4AF" w:rsidRPr="00126A38">
        <w:t xml:space="preserve"> 2021,</w:t>
      </w:r>
      <w:r w:rsidRPr="00126A38">
        <w:t xml:space="preserve"> </w:t>
      </w:r>
      <w:bookmarkStart w:id="136" w:name="_Hlk122452803"/>
      <w:r w:rsidR="00701A2D">
        <w:fldChar w:fldCharType="begin"/>
      </w:r>
      <w:r w:rsidR="00701A2D">
        <w:instrText xml:space="preserve"> HYPERLINK "https://www.aihw.gov.au/getmedia/6bff10f3-3ec8-43d7-a967-55c5168da174/aihw-can-142.pdf.aspx?inline=true" \h </w:instrText>
      </w:r>
      <w:r w:rsidR="00701A2D">
        <w:fldChar w:fldCharType="separate"/>
      </w:r>
      <w:r w:rsidRPr="005818FF">
        <w:rPr>
          <w:rStyle w:val="Hyperlink"/>
        </w:rPr>
        <w:t>Health system expenditure on cancer and other neoplasms in Australia 2015-</w:t>
      </w:r>
      <w:r w:rsidR="002E5FFC" w:rsidRPr="005818FF">
        <w:rPr>
          <w:rStyle w:val="Hyperlink"/>
        </w:rPr>
        <w:t>20</w:t>
      </w:r>
      <w:r w:rsidRPr="005818FF">
        <w:rPr>
          <w:rStyle w:val="Hyperlink"/>
        </w:rPr>
        <w:t>16</w:t>
      </w:r>
      <w:r w:rsidR="00701A2D">
        <w:rPr>
          <w:rStyle w:val="Hyperlink"/>
        </w:rPr>
        <w:fldChar w:fldCharType="end"/>
      </w:r>
      <w:bookmarkEnd w:id="136"/>
      <w:r w:rsidRPr="00FA1879">
        <w:t>. Australian Government</w:t>
      </w:r>
      <w:r w:rsidR="00A8484F">
        <w:t xml:space="preserve">. Available at </w:t>
      </w:r>
      <w:r w:rsidR="00A962B2" w:rsidRPr="00FA1879">
        <w:lastRenderedPageBreak/>
        <w:t>&lt;https://www.aihw.gov.au/getmedia/6bff10f3-3ec8-43d7-a967-55c5168da174/aihw-can-142.pdf.aspx?inline=true&gt;</w:t>
      </w:r>
      <w:r w:rsidR="000B17D6">
        <w:t>.</w:t>
      </w:r>
    </w:p>
    <w:p w14:paraId="680CEB05" w14:textId="175D8E7B" w:rsidR="00EB1B9A" w:rsidRDefault="00EB1B9A" w:rsidP="00EB1B9A">
      <w:pPr>
        <w:pStyle w:val="Body"/>
        <w:rPr>
          <w:rFonts w:cs="Arial"/>
          <w:szCs w:val="21"/>
        </w:rPr>
      </w:pPr>
      <w:r w:rsidRPr="008F12BF">
        <w:rPr>
          <w:rFonts w:cs="Arial"/>
          <w:szCs w:val="21"/>
        </w:rPr>
        <w:t xml:space="preserve">Australian Institute of Health and Welfare. </w:t>
      </w:r>
      <w:bookmarkStart w:id="137" w:name="_Hlk121155081"/>
      <w:r w:rsidR="00C36B2A">
        <w:fldChar w:fldCharType="begin"/>
      </w:r>
      <w:r w:rsidR="00C36B2A">
        <w:instrText xml:space="preserve"> HYPERLINK "https://www.aihw.gov.au/getmedia/0ea708eb-dd6e-4499-9080-1cc7b5990e64/aihw-can-144.pdf.aspx?inline=true" </w:instrText>
      </w:r>
      <w:r w:rsidR="00C36B2A">
        <w:fldChar w:fldCharType="separate"/>
      </w:r>
      <w:r>
        <w:t>C</w:t>
      </w:r>
      <w:r w:rsidRPr="008F12BF">
        <w:rPr>
          <w:rStyle w:val="Hyperlink"/>
          <w:szCs w:val="21"/>
        </w:rPr>
        <w:t>ancer in Australia 2021</w:t>
      </w:r>
      <w:r w:rsidR="00C36B2A">
        <w:rPr>
          <w:rStyle w:val="Hyperlink"/>
          <w:szCs w:val="21"/>
        </w:rPr>
        <w:fldChar w:fldCharType="end"/>
      </w:r>
      <w:bookmarkEnd w:id="137"/>
      <w:r>
        <w:rPr>
          <w:rStyle w:val="Hyperlink"/>
          <w:szCs w:val="21"/>
        </w:rPr>
        <w:t>.</w:t>
      </w:r>
      <w:r w:rsidRPr="008F12BF">
        <w:rPr>
          <w:rFonts w:cs="Arial"/>
          <w:szCs w:val="21"/>
        </w:rPr>
        <w:t xml:space="preserve"> Australian Government 2021</w:t>
      </w:r>
      <w:r w:rsidR="00A962B2">
        <w:rPr>
          <w:rFonts w:cs="Arial"/>
          <w:szCs w:val="21"/>
        </w:rPr>
        <w:t xml:space="preserve">. </w:t>
      </w:r>
      <w:hyperlink r:id="rId118" w:history="1">
        <w:r w:rsidR="003D7AC1" w:rsidRPr="003D7AC1">
          <w:rPr>
            <w:rStyle w:val="Hyperlink"/>
            <w:rFonts w:cs="Arial"/>
            <w:color w:val="000000" w:themeColor="text1"/>
            <w:szCs w:val="21"/>
            <w:u w:val="none"/>
          </w:rPr>
          <w:t>Available</w:t>
        </w:r>
      </w:hyperlink>
      <w:r w:rsidR="003D7AC1" w:rsidRPr="003D7AC1">
        <w:rPr>
          <w:rStyle w:val="Hyperlink"/>
          <w:rFonts w:cs="Arial"/>
          <w:color w:val="000000" w:themeColor="text1"/>
          <w:szCs w:val="21"/>
          <w:u w:val="none"/>
        </w:rPr>
        <w:t xml:space="preserve"> at</w:t>
      </w:r>
      <w:r w:rsidR="00A8484F" w:rsidRPr="003D7AC1">
        <w:rPr>
          <w:rFonts w:cs="Arial"/>
          <w:color w:val="000000" w:themeColor="text1"/>
          <w:szCs w:val="21"/>
        </w:rPr>
        <w:t xml:space="preserve"> </w:t>
      </w:r>
      <w:r w:rsidR="00A962B2">
        <w:rPr>
          <w:rFonts w:cs="Arial"/>
          <w:szCs w:val="21"/>
        </w:rPr>
        <w:t>&lt;</w:t>
      </w:r>
      <w:r w:rsidR="00A962B2" w:rsidRPr="00A962B2">
        <w:rPr>
          <w:rFonts w:cs="Arial"/>
          <w:szCs w:val="21"/>
        </w:rPr>
        <w:t>https://www.aihw.gov.au/getmedia/0ea708eb-dd6e-4499-9080-1cc7b5990e64/aihw-can-144.pdf.aspx?inline=true</w:t>
      </w:r>
      <w:r w:rsidR="00A962B2">
        <w:rPr>
          <w:rFonts w:cs="Arial"/>
          <w:szCs w:val="21"/>
        </w:rPr>
        <w:t>&gt;</w:t>
      </w:r>
      <w:r w:rsidR="000B17D6">
        <w:rPr>
          <w:rFonts w:cs="Arial"/>
          <w:szCs w:val="21"/>
        </w:rPr>
        <w:t>.</w:t>
      </w:r>
    </w:p>
    <w:p w14:paraId="52A10F95" w14:textId="1DB409F5" w:rsidR="00EB1B9A" w:rsidRPr="00FC4CE9" w:rsidRDefault="00EB1B9A" w:rsidP="00EB1B9A">
      <w:pPr>
        <w:rPr>
          <w:rFonts w:eastAsia="Arial" w:cs="Arial"/>
          <w:color w:val="000000"/>
        </w:rPr>
      </w:pPr>
      <w:r w:rsidRPr="00125EC5">
        <w:rPr>
          <w:rFonts w:eastAsia="Arial" w:cs="Arial"/>
          <w:color w:val="000000" w:themeColor="text1"/>
        </w:rPr>
        <w:t xml:space="preserve">Australian Institute of Health and Welfare (AIHW) 2022, </w:t>
      </w:r>
      <w:r w:rsidR="21C60627" w:rsidRPr="00125EC5">
        <w:rPr>
          <w:rFonts w:eastAsia="Arial" w:cs="Arial"/>
          <w:color w:val="000000" w:themeColor="text1"/>
        </w:rPr>
        <w:t>‘</w:t>
      </w:r>
      <w:r w:rsidRPr="00125EC5">
        <w:rPr>
          <w:rFonts w:eastAsia="Arial" w:cs="Arial"/>
          <w:color w:val="000000" w:themeColor="text1"/>
        </w:rPr>
        <w:t>Diabetes: Australian facts</w:t>
      </w:r>
      <w:r w:rsidR="7A1D8DF9" w:rsidRPr="00125EC5">
        <w:rPr>
          <w:rFonts w:eastAsia="Arial" w:cs="Arial"/>
          <w:color w:val="000000" w:themeColor="text1"/>
        </w:rPr>
        <w:t>’</w:t>
      </w:r>
      <w:r w:rsidRPr="00125EC5">
        <w:rPr>
          <w:rFonts w:eastAsia="Arial" w:cs="Arial"/>
          <w:color w:val="000000" w:themeColor="text1"/>
        </w:rPr>
        <w:t xml:space="preserve">, </w:t>
      </w:r>
      <w:r w:rsidR="7AC90CAD" w:rsidRPr="00125EC5">
        <w:rPr>
          <w:rFonts w:eastAsia="Arial" w:cs="Arial"/>
          <w:color w:val="000000" w:themeColor="text1"/>
        </w:rPr>
        <w:t>(</w:t>
      </w:r>
      <w:r w:rsidRPr="00125EC5">
        <w:rPr>
          <w:rFonts w:eastAsia="Arial" w:cs="Arial"/>
          <w:color w:val="000000" w:themeColor="text1"/>
        </w:rPr>
        <w:t>viewed 16 September 2022</w:t>
      </w:r>
      <w:r w:rsidR="5A5A6B65" w:rsidRPr="00125EC5">
        <w:rPr>
          <w:rFonts w:eastAsia="Arial" w:cs="Arial"/>
          <w:color w:val="000000" w:themeColor="text1"/>
        </w:rPr>
        <w:t>)</w:t>
      </w:r>
      <w:r w:rsidRPr="00125EC5">
        <w:rPr>
          <w:rFonts w:eastAsia="Arial" w:cs="Arial"/>
          <w:color w:val="000000" w:themeColor="text1"/>
        </w:rPr>
        <w:t xml:space="preserve">, </w:t>
      </w:r>
      <w:r w:rsidR="00551308">
        <w:rPr>
          <w:rFonts w:eastAsia="Arial" w:cs="Arial"/>
          <w:color w:val="000000" w:themeColor="text1"/>
        </w:rPr>
        <w:t>&lt;</w:t>
      </w:r>
      <w:r w:rsidRPr="00125EC5">
        <w:rPr>
          <w:rFonts w:eastAsia="Arial" w:cs="Arial"/>
          <w:color w:val="000000" w:themeColor="text1"/>
        </w:rPr>
        <w:t>https://www.aihw.gov.au/reports/diabetes/diabetes</w:t>
      </w:r>
      <w:r w:rsidR="00A0433D">
        <w:rPr>
          <w:rFonts w:eastAsia="Arial" w:cs="Arial"/>
          <w:color w:val="000000" w:themeColor="text1"/>
        </w:rPr>
        <w:t>&gt;.</w:t>
      </w:r>
      <w:r w:rsidRPr="276FAD30">
        <w:rPr>
          <w:rFonts w:eastAsia="Arial" w:cs="Arial"/>
          <w:color w:val="000000" w:themeColor="text1"/>
        </w:rPr>
        <w:t xml:space="preserve"> </w:t>
      </w:r>
    </w:p>
    <w:p w14:paraId="07DFAF22" w14:textId="4D21382D" w:rsidR="00EB1B9A" w:rsidRPr="007714BA" w:rsidRDefault="00EB1B9A" w:rsidP="00EB1B9A">
      <w:pPr>
        <w:pStyle w:val="Body"/>
        <w:rPr>
          <w:rFonts w:cs="Arial"/>
          <w:color w:val="212529"/>
          <w:shd w:val="clear" w:color="auto" w:fill="FFFFFF"/>
        </w:rPr>
      </w:pPr>
      <w:r w:rsidRPr="276FAD30">
        <w:rPr>
          <w:rFonts w:cs="Arial"/>
          <w:color w:val="212529"/>
          <w:shd w:val="clear" w:color="auto" w:fill="FFFFFF"/>
        </w:rPr>
        <w:t>Britt H, Miller GC, Bayram C, Henderson J, Valenti L, Harrison C, Pan Y, Charles J, Pollack AJ, Chambers T, Gordon J, Wong C</w:t>
      </w:r>
      <w:r w:rsidR="59408546" w:rsidRPr="276FAD30">
        <w:rPr>
          <w:rFonts w:cs="Arial"/>
          <w:color w:val="212529"/>
          <w:shd w:val="clear" w:color="auto" w:fill="FFFFFF"/>
        </w:rPr>
        <w:t xml:space="preserve"> 2016,</w:t>
      </w:r>
      <w:r w:rsidRPr="00050C65">
        <w:rPr>
          <w:rFonts w:cs="Arial"/>
          <w:color w:val="212529"/>
          <w:shd w:val="clear" w:color="auto" w:fill="FFFFFF"/>
        </w:rPr>
        <w:t> </w:t>
      </w:r>
      <w:hyperlink r:id="rId119" w:tooltip="Citation:Britt H, Miller GC, Bayram C, Henderson J, Valenti L, Harrison C, Pan Y, Charles J, Pollack AJ, Chambers T, Gordon J, Wong C. 2016" w:history="1">
        <w:r w:rsidRPr="00D63310">
          <w:rPr>
            <w:rStyle w:val="Hyperlink"/>
            <w:color w:val="000000" w:themeColor="text1"/>
            <w:u w:val="none"/>
          </w:rPr>
          <w:t>A decade of Australian general practice activity 2006-07 to 2015-16. General practice series no.41.</w:t>
        </w:r>
      </w:hyperlink>
      <w:r w:rsidRPr="00D63310">
        <w:rPr>
          <w:rStyle w:val="Hyperlink"/>
          <w:color w:val="000000" w:themeColor="text1"/>
          <w:u w:val="none"/>
        </w:rPr>
        <w:t> Sydney, Australia: Sydney University Press; 2016</w:t>
      </w:r>
      <w:r w:rsidR="00D63310">
        <w:rPr>
          <w:rStyle w:val="Hyperlink"/>
          <w:color w:val="000000" w:themeColor="text1"/>
          <w:u w:val="none"/>
        </w:rPr>
        <w:t>.</w:t>
      </w:r>
      <w:r w:rsidR="00E26B37">
        <w:rPr>
          <w:rStyle w:val="Hyperlink"/>
          <w:color w:val="000000" w:themeColor="text1"/>
          <w:u w:val="none"/>
        </w:rPr>
        <w:t xml:space="preserve"> </w:t>
      </w:r>
      <w:r w:rsidR="005770CD">
        <w:rPr>
          <w:rStyle w:val="Hyperlink"/>
          <w:color w:val="000000" w:themeColor="text1"/>
          <w:u w:val="none"/>
        </w:rPr>
        <w:t xml:space="preserve">Available </w:t>
      </w:r>
      <w:r w:rsidR="00E26B37">
        <w:rPr>
          <w:rStyle w:val="Hyperlink"/>
          <w:color w:val="000000" w:themeColor="text1"/>
          <w:u w:val="none"/>
        </w:rPr>
        <w:t>a</w:t>
      </w:r>
      <w:r w:rsidR="00E26B37">
        <w:rPr>
          <w:rFonts w:cs="Arial"/>
          <w:color w:val="212529"/>
          <w:shd w:val="clear" w:color="auto" w:fill="FFFFFF"/>
        </w:rPr>
        <w:t xml:space="preserve">t </w:t>
      </w:r>
      <w:r>
        <w:t> </w:t>
      </w:r>
      <w:bookmarkStart w:id="138" w:name="_Hlk122452872"/>
      <w:r w:rsidR="00701A2D">
        <w:fldChar w:fldCharType="begin"/>
      </w:r>
      <w:r w:rsidR="00701A2D">
        <w:instrText xml:space="preserve"> HYPERLINK "https://ses.library.usyd.edu.au/bitstream/2123/15482/5/9781743325162_ONLINE.pdf" </w:instrText>
      </w:r>
      <w:r w:rsidR="00701A2D">
        <w:fldChar w:fldCharType="separate"/>
      </w:r>
      <w:r w:rsidR="00A044E1" w:rsidRPr="00767705">
        <w:rPr>
          <w:rStyle w:val="Hyperlink"/>
          <w:shd w:val="clear" w:color="auto" w:fill="FFFFFF"/>
        </w:rPr>
        <w:t>https://ses.library.usyd.edu.au/bitstream/2123/15482/5/9781743325162_ONLINE.pdf</w:t>
      </w:r>
      <w:r w:rsidR="00701A2D">
        <w:rPr>
          <w:rStyle w:val="Hyperlink"/>
          <w:shd w:val="clear" w:color="auto" w:fill="FFFFFF"/>
        </w:rPr>
        <w:fldChar w:fldCharType="end"/>
      </w:r>
      <w:bookmarkEnd w:id="138"/>
      <w:r w:rsidR="00A044E1" w:rsidRPr="000E746D">
        <w:rPr>
          <w:rStyle w:val="Hyperlink"/>
          <w:color w:val="000000" w:themeColor="text1"/>
          <w:u w:val="none"/>
          <w:shd w:val="clear" w:color="auto" w:fill="FFFFFF"/>
        </w:rPr>
        <w:t>.</w:t>
      </w:r>
      <w:r w:rsidR="00A8484F" w:rsidRPr="000E746D">
        <w:rPr>
          <w:rStyle w:val="Hyperlink"/>
          <w:color w:val="000000" w:themeColor="text1"/>
          <w:u w:val="none"/>
          <w:shd w:val="clear" w:color="auto" w:fill="FFFFFF"/>
        </w:rPr>
        <w:t>&lt;https://ses.library.usyd.edu.au/bitstream/2123/15482/5/9781743325162_ONLINE.pdf&gt;</w:t>
      </w:r>
      <w:r w:rsidRPr="00CF2168">
        <w:rPr>
          <w:rFonts w:cs="Arial"/>
          <w:color w:val="212529"/>
          <w:shd w:val="clear" w:color="auto" w:fill="FFFFFF"/>
        </w:rPr>
        <w:t>.</w:t>
      </w:r>
    </w:p>
    <w:p w14:paraId="794534ED" w14:textId="1B920FB8" w:rsidR="00EB1B9A" w:rsidRDefault="00EB1B9A" w:rsidP="00EB1B9A">
      <w:pPr>
        <w:pStyle w:val="Body"/>
        <w:rPr>
          <w:rFonts w:cs="Arial"/>
          <w:szCs w:val="21"/>
        </w:rPr>
      </w:pPr>
      <w:r w:rsidRPr="007714BA">
        <w:rPr>
          <w:rFonts w:cs="Arial"/>
          <w:szCs w:val="21"/>
        </w:rPr>
        <w:t>Cancer Council Victoria 2020, </w:t>
      </w:r>
      <w:bookmarkStart w:id="139" w:name="_Hlk122452966"/>
      <w:r w:rsidR="00701A2D">
        <w:fldChar w:fldCharType="begin"/>
      </w:r>
      <w:r w:rsidR="00701A2D">
        <w:instrText xml:space="preserve"> HYPERLINK "https://www.cancervic.org.au/downloads/cec/cancer-in-vic/Cancer-in-Victoria-2019.pdf" </w:instrText>
      </w:r>
      <w:r w:rsidR="00701A2D">
        <w:fldChar w:fldCharType="separate"/>
      </w:r>
      <w:r w:rsidRPr="007714BA">
        <w:rPr>
          <w:rStyle w:val="Hyperlink"/>
          <w:szCs w:val="21"/>
        </w:rPr>
        <w:t>Cancer in Victoria: Statistics and Trends 2019 (PDF) </w:t>
      </w:r>
      <w:r w:rsidR="00701A2D">
        <w:rPr>
          <w:rStyle w:val="Hyperlink"/>
          <w:szCs w:val="21"/>
        </w:rPr>
        <w:fldChar w:fldCharType="end"/>
      </w:r>
      <w:bookmarkEnd w:id="139"/>
      <w:r w:rsidRPr="007714BA">
        <w:rPr>
          <w:rFonts w:cs="Arial"/>
          <w:szCs w:val="21"/>
        </w:rPr>
        <w:t>Cancer Council Victoria, Melbourne.</w:t>
      </w:r>
      <w:r w:rsidR="008F6744">
        <w:rPr>
          <w:rFonts w:cs="Arial"/>
          <w:szCs w:val="21"/>
        </w:rPr>
        <w:t xml:space="preserve"> Available </w:t>
      </w:r>
      <w:r w:rsidR="0054388C">
        <w:rPr>
          <w:rFonts w:cs="Arial"/>
          <w:szCs w:val="21"/>
        </w:rPr>
        <w:t xml:space="preserve">at </w:t>
      </w:r>
      <w:r w:rsidR="004A066C">
        <w:rPr>
          <w:rFonts w:cs="Arial"/>
          <w:szCs w:val="21"/>
        </w:rPr>
        <w:t>&lt;</w:t>
      </w:r>
      <w:r w:rsidR="004A066C" w:rsidRPr="004A066C">
        <w:rPr>
          <w:rFonts w:cs="Arial"/>
          <w:szCs w:val="21"/>
        </w:rPr>
        <w:t>https://www.cancervic.org.au/downloads/cec/cancer-in-vic/Cancer-in-Victoria-2019.pdf</w:t>
      </w:r>
      <w:r w:rsidR="004A066C">
        <w:rPr>
          <w:rFonts w:cs="Arial"/>
          <w:szCs w:val="21"/>
        </w:rPr>
        <w:t>&gt;</w:t>
      </w:r>
      <w:r w:rsidR="00851E1A">
        <w:rPr>
          <w:rFonts w:cs="Arial"/>
          <w:szCs w:val="21"/>
        </w:rPr>
        <w:t>.</w:t>
      </w:r>
      <w:r w:rsidRPr="007714BA">
        <w:rPr>
          <w:rFonts w:cs="Arial"/>
          <w:szCs w:val="21"/>
        </w:rPr>
        <w:t> </w:t>
      </w:r>
    </w:p>
    <w:p w14:paraId="6F0C56C4" w14:textId="482D871F" w:rsidR="00EB1B9A" w:rsidRDefault="00EB1B9A" w:rsidP="00EB1B9A">
      <w:pPr>
        <w:pStyle w:val="Body"/>
      </w:pPr>
      <w:r>
        <w:t xml:space="preserve">Cancer Council Victoria 2021, </w:t>
      </w:r>
      <w:bookmarkStart w:id="140" w:name="_Hlk121155171"/>
      <w:r w:rsidR="00C36B2A">
        <w:fldChar w:fldCharType="begin"/>
      </w:r>
      <w:r w:rsidR="00C36B2A">
        <w:instrText xml:space="preserve"> HYPERLINK "https://www.cancervic.org.au/research/vcr/fact-sheets-and-annual-reports/melanoma-factsheet.html" </w:instrText>
      </w:r>
      <w:r w:rsidR="00C36B2A">
        <w:fldChar w:fldCharType="separate"/>
      </w:r>
      <w:r w:rsidRPr="00497FC7">
        <w:rPr>
          <w:rStyle w:val="Hyperlink"/>
        </w:rPr>
        <w:t>Melanoma Fact Sheet</w:t>
      </w:r>
      <w:r w:rsidR="00C36B2A">
        <w:rPr>
          <w:rStyle w:val="Hyperlink"/>
        </w:rPr>
        <w:fldChar w:fldCharType="end"/>
      </w:r>
      <w:bookmarkEnd w:id="140"/>
      <w:r>
        <w:t xml:space="preserve"> Cancer Council Victoria, Melbourne.</w:t>
      </w:r>
      <w:r w:rsidR="00882D46">
        <w:t xml:space="preserve"> </w:t>
      </w:r>
      <w:r w:rsidR="00B11D4F">
        <w:rPr>
          <w:rFonts w:cs="Arial"/>
          <w:szCs w:val="21"/>
        </w:rPr>
        <w:t>Available at</w:t>
      </w:r>
      <w:r w:rsidR="00B11D4F" w:rsidRPr="000E746D">
        <w:t xml:space="preserve"> </w:t>
      </w:r>
      <w:r w:rsidR="00882D46">
        <w:t>&lt;</w:t>
      </w:r>
      <w:r w:rsidR="00882D46" w:rsidRPr="00882D46">
        <w:t>https://www.cancervic.org.au/research/vcr/fact-sheets-and-annual-reports/melanoma-factsheet.html</w:t>
      </w:r>
      <w:r w:rsidR="00882D46">
        <w:t>&gt;</w:t>
      </w:r>
      <w:r w:rsidR="00851E1A">
        <w:t>.</w:t>
      </w:r>
    </w:p>
    <w:p w14:paraId="476981FB" w14:textId="5B760EA1" w:rsidR="00EB1B9A" w:rsidRPr="0004087F" w:rsidRDefault="00EB1B9A" w:rsidP="00EB1B9A">
      <w:pPr>
        <w:rPr>
          <w:rFonts w:eastAsia="Arial" w:cs="Arial"/>
          <w:color w:val="000000"/>
          <w:highlight w:val="yellow"/>
        </w:rPr>
      </w:pPr>
      <w:r w:rsidRPr="00245C73">
        <w:rPr>
          <w:rFonts w:eastAsia="Arial" w:cs="Arial"/>
          <w:color w:val="000000" w:themeColor="text1"/>
        </w:rPr>
        <w:t xml:space="preserve">Department of Health and Human Services 2019, </w:t>
      </w:r>
      <w:r w:rsidR="2FE47BA1" w:rsidRPr="00245C73">
        <w:rPr>
          <w:rFonts w:eastAsia="Arial" w:cs="Arial"/>
          <w:color w:val="000000" w:themeColor="text1"/>
        </w:rPr>
        <w:t>‘</w:t>
      </w:r>
      <w:r w:rsidRPr="00245C73">
        <w:rPr>
          <w:rFonts w:eastAsia="Arial" w:cs="Arial"/>
          <w:color w:val="000000" w:themeColor="text1"/>
        </w:rPr>
        <w:t>Victorian Population Health Survey 2019: Selected survey findings</w:t>
      </w:r>
      <w:r w:rsidR="43B68626" w:rsidRPr="00245C73">
        <w:rPr>
          <w:rFonts w:eastAsia="Arial" w:cs="Arial"/>
          <w:color w:val="000000" w:themeColor="text1"/>
        </w:rPr>
        <w:t>’</w:t>
      </w:r>
      <w:r w:rsidRPr="00245C73">
        <w:rPr>
          <w:rFonts w:eastAsia="Arial" w:cs="Arial"/>
          <w:color w:val="000000" w:themeColor="text1"/>
        </w:rPr>
        <w:t>, State of Victoria, Melbourne.</w:t>
      </w:r>
      <w:r w:rsidRPr="42375AF8">
        <w:rPr>
          <w:rFonts w:eastAsia="Arial" w:cs="Arial"/>
          <w:color w:val="000000" w:themeColor="text1"/>
        </w:rPr>
        <w:t xml:space="preserve"> </w:t>
      </w:r>
    </w:p>
    <w:p w14:paraId="35AC5FDD" w14:textId="71E58C15" w:rsidR="00EB1B9A" w:rsidRPr="0004087F" w:rsidRDefault="00EB1B9A" w:rsidP="00EB1B9A">
      <w:pPr>
        <w:pStyle w:val="Body"/>
        <w:rPr>
          <w:rFonts w:cs="Arial"/>
        </w:rPr>
      </w:pPr>
      <w:r w:rsidRPr="0004087F">
        <w:rPr>
          <w:rFonts w:cs="Arial"/>
        </w:rPr>
        <w:t xml:space="preserve">Department of Health and Human Services 2019 </w:t>
      </w:r>
      <w:r w:rsidR="0DF3E7DF" w:rsidRPr="0004087F">
        <w:rPr>
          <w:rFonts w:cs="Arial"/>
        </w:rPr>
        <w:t>‘</w:t>
      </w:r>
      <w:r w:rsidRPr="0004087F">
        <w:rPr>
          <w:rFonts w:cs="Arial"/>
        </w:rPr>
        <w:t>Victorian population health survey 2019</w:t>
      </w:r>
      <w:r w:rsidR="11E83CB7" w:rsidRPr="0004087F">
        <w:rPr>
          <w:rFonts w:cs="Arial"/>
        </w:rPr>
        <w:t>’</w:t>
      </w:r>
      <w:r w:rsidRPr="0004087F">
        <w:rPr>
          <w:rFonts w:cs="Arial"/>
        </w:rPr>
        <w:t xml:space="preserve"> State Government of Victoria, Melbourne.</w:t>
      </w:r>
    </w:p>
    <w:p w14:paraId="5DBA14F4" w14:textId="2EE5B8A1" w:rsidR="00EB1B9A" w:rsidRPr="000E746D" w:rsidRDefault="00EB1B9A" w:rsidP="42375AF8">
      <w:pPr>
        <w:rPr>
          <w:rFonts w:eastAsia="Arial" w:cs="Arial"/>
          <w:color w:val="000000" w:themeColor="text1"/>
        </w:rPr>
      </w:pPr>
      <w:r w:rsidRPr="000E746D">
        <w:rPr>
          <w:rFonts w:eastAsia="Arial" w:cs="Arial"/>
          <w:color w:val="000000" w:themeColor="text1"/>
        </w:rPr>
        <w:t xml:space="preserve">Department of Health 2021, </w:t>
      </w:r>
      <w:r w:rsidR="2E044BC9" w:rsidRPr="000E746D">
        <w:rPr>
          <w:rFonts w:eastAsia="Arial" w:cs="Arial"/>
          <w:color w:val="000000" w:themeColor="text1"/>
        </w:rPr>
        <w:t>‘</w:t>
      </w:r>
      <w:hyperlink r:id="rId120" w:history="1">
        <w:r w:rsidRPr="00095E96">
          <w:rPr>
            <w:rStyle w:val="Hyperlink"/>
            <w:rFonts w:eastAsia="Arial" w:cs="Arial"/>
          </w:rPr>
          <w:t>Better Health Channel, Asthma explained</w:t>
        </w:r>
        <w:r w:rsidR="6D1618FB" w:rsidRPr="00095E96">
          <w:rPr>
            <w:rStyle w:val="Hyperlink"/>
            <w:rFonts w:eastAsia="Arial" w:cs="Arial"/>
          </w:rPr>
          <w:t>’</w:t>
        </w:r>
      </w:hyperlink>
      <w:r w:rsidRPr="000E746D">
        <w:rPr>
          <w:rFonts w:eastAsia="Arial" w:cs="Arial"/>
          <w:color w:val="000000" w:themeColor="text1"/>
        </w:rPr>
        <w:t xml:space="preserve">. State of Victoria, Melbourne. Available </w:t>
      </w:r>
      <w:r w:rsidR="00B11D4F">
        <w:rPr>
          <w:rFonts w:eastAsia="Arial" w:cs="Arial"/>
          <w:color w:val="000000" w:themeColor="text1"/>
        </w:rPr>
        <w:t>at</w:t>
      </w:r>
      <w:r w:rsidRPr="000E746D">
        <w:rPr>
          <w:rFonts w:eastAsia="Arial" w:cs="Arial"/>
          <w:color w:val="000000" w:themeColor="text1"/>
        </w:rPr>
        <w:t xml:space="preserve"> </w:t>
      </w:r>
      <w:r w:rsidR="00175965" w:rsidRPr="001459A0">
        <w:rPr>
          <w:rFonts w:eastAsia="Arial" w:cs="Arial"/>
          <w:color w:val="000000" w:themeColor="text1"/>
        </w:rPr>
        <w:t>&lt;https://www.betterhealth.vic.gov.au/health/conditionsandtreatments/asthma</w:t>
      </w:r>
      <w:r w:rsidR="000E746D">
        <w:rPr>
          <w:rFonts w:eastAsia="Arial" w:cs="Arial"/>
          <w:color w:val="000000" w:themeColor="text1"/>
        </w:rPr>
        <w:t>&gt;</w:t>
      </w:r>
      <w:r w:rsidR="001459A0">
        <w:rPr>
          <w:rFonts w:eastAsia="Arial" w:cs="Arial"/>
          <w:color w:val="000000" w:themeColor="text1"/>
        </w:rPr>
        <w:t>.</w:t>
      </w:r>
    </w:p>
    <w:p w14:paraId="30E6676B" w14:textId="1A1A26D9" w:rsidR="00EB1B9A" w:rsidRPr="000E746D" w:rsidRDefault="00EB1B9A" w:rsidP="00EB1B9A">
      <w:pPr>
        <w:rPr>
          <w:rFonts w:eastAsia="Arial" w:cs="Arial"/>
          <w:color w:val="000000"/>
        </w:rPr>
      </w:pPr>
      <w:r w:rsidRPr="000E746D">
        <w:rPr>
          <w:rFonts w:eastAsia="Arial" w:cs="Arial"/>
          <w:color w:val="000000" w:themeColor="text1"/>
        </w:rPr>
        <w:t xml:space="preserve">Department of Health 2021, </w:t>
      </w:r>
      <w:r w:rsidR="3CC17CBF" w:rsidRPr="000E746D">
        <w:rPr>
          <w:rFonts w:eastAsia="Arial" w:cs="Arial"/>
          <w:color w:val="000000" w:themeColor="text1"/>
        </w:rPr>
        <w:t>‘</w:t>
      </w:r>
      <w:r w:rsidRPr="000E746D">
        <w:rPr>
          <w:rFonts w:eastAsia="Arial" w:cs="Arial"/>
          <w:color w:val="000000" w:themeColor="text1"/>
        </w:rPr>
        <w:t xml:space="preserve">Better Health Channel, </w:t>
      </w:r>
      <w:r w:rsidR="002E5FFC" w:rsidRPr="000E746D">
        <w:rPr>
          <w:rFonts w:eastAsia="Arial" w:cs="Arial"/>
          <w:color w:val="000000" w:themeColor="text1"/>
        </w:rPr>
        <w:t>Osteoporosis</w:t>
      </w:r>
      <w:r w:rsidR="70B84FA2" w:rsidRPr="000E746D">
        <w:rPr>
          <w:rFonts w:eastAsia="Arial" w:cs="Arial"/>
          <w:color w:val="000000" w:themeColor="text1"/>
        </w:rPr>
        <w:t>’</w:t>
      </w:r>
      <w:r w:rsidRPr="000E746D">
        <w:rPr>
          <w:rFonts w:eastAsia="Arial" w:cs="Arial"/>
          <w:color w:val="000000" w:themeColor="text1"/>
        </w:rPr>
        <w:t xml:space="preserve">. State of Victoria, Melbourne. Available </w:t>
      </w:r>
      <w:r w:rsidR="00CE26B8">
        <w:rPr>
          <w:rFonts w:eastAsia="Arial" w:cs="Arial"/>
          <w:color w:val="000000" w:themeColor="text1"/>
        </w:rPr>
        <w:t>at</w:t>
      </w:r>
      <w:r w:rsidRPr="000E746D">
        <w:rPr>
          <w:rFonts w:eastAsia="Arial" w:cs="Arial"/>
          <w:color w:val="000000" w:themeColor="text1"/>
        </w:rPr>
        <w:t xml:space="preserve"> &lt;www.betterhealth.vic.gov.au/health/conditionsandtreatments/osteoporosis&gt;</w:t>
      </w:r>
      <w:r w:rsidR="00D94C08">
        <w:rPr>
          <w:rFonts w:eastAsia="Arial" w:cs="Arial"/>
          <w:color w:val="000000" w:themeColor="text1"/>
        </w:rPr>
        <w:t>.</w:t>
      </w:r>
    </w:p>
    <w:p w14:paraId="121A4E50" w14:textId="2A741D2D" w:rsidR="00EB1B9A" w:rsidRPr="000E746D" w:rsidRDefault="00EB1B9A" w:rsidP="00EB1B9A">
      <w:pPr>
        <w:rPr>
          <w:rFonts w:eastAsia="Arial" w:cs="Arial"/>
          <w:color w:val="000000"/>
        </w:rPr>
      </w:pPr>
      <w:r w:rsidRPr="000E746D">
        <w:rPr>
          <w:rFonts w:eastAsia="Arial" w:cs="Arial"/>
          <w:color w:val="000000" w:themeColor="text1"/>
        </w:rPr>
        <w:t xml:space="preserve">Diabetes Australia 2022, </w:t>
      </w:r>
      <w:r w:rsidR="29F57588" w:rsidRPr="000E746D">
        <w:rPr>
          <w:rFonts w:eastAsia="Arial" w:cs="Arial"/>
          <w:color w:val="000000" w:themeColor="text1"/>
        </w:rPr>
        <w:t>‘</w:t>
      </w:r>
      <w:r w:rsidRPr="000E746D">
        <w:rPr>
          <w:rFonts w:eastAsia="Arial" w:cs="Arial"/>
          <w:color w:val="000000" w:themeColor="text1"/>
        </w:rPr>
        <w:t>About Diabetes</w:t>
      </w:r>
      <w:r w:rsidR="64677A9A" w:rsidRPr="000E746D">
        <w:rPr>
          <w:rFonts w:eastAsia="Arial" w:cs="Arial"/>
          <w:color w:val="000000" w:themeColor="text1"/>
        </w:rPr>
        <w:t>’</w:t>
      </w:r>
      <w:r w:rsidRPr="000E746D">
        <w:rPr>
          <w:rFonts w:eastAsia="Arial" w:cs="Arial"/>
          <w:color w:val="000000" w:themeColor="text1"/>
        </w:rPr>
        <w:t xml:space="preserve">, </w:t>
      </w:r>
      <w:r w:rsidR="1CF24A12" w:rsidRPr="000E746D">
        <w:rPr>
          <w:rFonts w:eastAsia="Arial" w:cs="Arial"/>
          <w:color w:val="000000" w:themeColor="text1"/>
        </w:rPr>
        <w:t>(</w:t>
      </w:r>
      <w:r w:rsidRPr="000E746D">
        <w:rPr>
          <w:rFonts w:eastAsia="Arial" w:cs="Arial"/>
          <w:color w:val="000000" w:themeColor="text1"/>
        </w:rPr>
        <w:t>viewed 16 September 2022</w:t>
      </w:r>
      <w:r w:rsidR="554C48A7" w:rsidRPr="000E746D">
        <w:rPr>
          <w:rFonts w:eastAsia="Arial" w:cs="Arial"/>
          <w:color w:val="000000" w:themeColor="text1"/>
        </w:rPr>
        <w:t>)</w:t>
      </w:r>
      <w:r w:rsidR="00D94C08">
        <w:rPr>
          <w:rFonts w:eastAsia="Arial" w:cs="Arial"/>
          <w:color w:val="000000" w:themeColor="text1"/>
        </w:rPr>
        <w:t>. Available at &lt;</w:t>
      </w:r>
      <w:r w:rsidRPr="000E746D">
        <w:rPr>
          <w:rFonts w:eastAsia="Arial" w:cs="Arial"/>
          <w:color w:val="000000" w:themeColor="text1"/>
        </w:rPr>
        <w:t>https://www.diabetesaustralia.com.au/about-diabetes/what-is-diabetes/</w:t>
      </w:r>
      <w:r w:rsidR="00D94C08">
        <w:rPr>
          <w:rFonts w:eastAsia="Arial" w:cs="Arial"/>
          <w:color w:val="000000" w:themeColor="text1"/>
        </w:rPr>
        <w:t>&gt;.</w:t>
      </w:r>
    </w:p>
    <w:p w14:paraId="163B0FC2" w14:textId="2432EEF7" w:rsidR="00EB1B9A" w:rsidRPr="000E746D" w:rsidRDefault="00EB1B9A" w:rsidP="00EB1B9A">
      <w:pPr>
        <w:pStyle w:val="Body"/>
        <w:rPr>
          <w:rFonts w:cs="Arial"/>
        </w:rPr>
      </w:pPr>
      <w:r w:rsidRPr="000E746D">
        <w:rPr>
          <w:rFonts w:cs="Arial"/>
        </w:rPr>
        <w:t>Heart Foundation 2022</w:t>
      </w:r>
      <w:r w:rsidR="5C5F0ED1" w:rsidRPr="000E746D">
        <w:rPr>
          <w:rFonts w:cs="Arial"/>
        </w:rPr>
        <w:t>,</w:t>
      </w:r>
      <w:r w:rsidRPr="000E746D">
        <w:rPr>
          <w:rFonts w:cs="Arial"/>
        </w:rPr>
        <w:t xml:space="preserve"> </w:t>
      </w:r>
      <w:r w:rsidR="5ACB2162" w:rsidRPr="000E746D">
        <w:rPr>
          <w:rFonts w:cs="Arial"/>
        </w:rPr>
        <w:t>‘</w:t>
      </w:r>
      <w:r w:rsidRPr="000E746D">
        <w:rPr>
          <w:rFonts w:cs="Arial"/>
        </w:rPr>
        <w:t>Are you at risk of heart disease?</w:t>
      </w:r>
      <w:r w:rsidR="1873EBE5" w:rsidRPr="000E746D">
        <w:rPr>
          <w:rFonts w:cs="Arial"/>
        </w:rPr>
        <w:t>’</w:t>
      </w:r>
      <w:r w:rsidRPr="000E746D">
        <w:rPr>
          <w:rFonts w:cs="Arial"/>
        </w:rPr>
        <w:t xml:space="preserve"> </w:t>
      </w:r>
      <w:r w:rsidR="7544BA26" w:rsidRPr="000E746D">
        <w:rPr>
          <w:rFonts w:cs="Arial"/>
        </w:rPr>
        <w:t>(v</w:t>
      </w:r>
      <w:r w:rsidRPr="000E746D">
        <w:rPr>
          <w:rFonts w:cs="Arial"/>
        </w:rPr>
        <w:t>iewed 15 September 2022</w:t>
      </w:r>
      <w:r w:rsidR="5FCCDA90" w:rsidRPr="000E746D">
        <w:rPr>
          <w:rFonts w:cs="Arial"/>
        </w:rPr>
        <w:t>)</w:t>
      </w:r>
      <w:r w:rsidR="006903DF">
        <w:rPr>
          <w:rFonts w:cs="Arial"/>
        </w:rPr>
        <w:t>. Available at &lt;</w:t>
      </w:r>
      <w:r w:rsidRPr="000E746D">
        <w:rPr>
          <w:rFonts w:cs="Arial"/>
        </w:rPr>
        <w:t>https://www.heartfoundation.org.au/bundles/your-heart/are-you-at-risk-of-heart-disease</w:t>
      </w:r>
      <w:r w:rsidR="006903DF">
        <w:rPr>
          <w:rFonts w:cs="Arial"/>
        </w:rPr>
        <w:t>&gt;.</w:t>
      </w:r>
    </w:p>
    <w:p w14:paraId="72D83DE5" w14:textId="4D71CCE0" w:rsidR="00EB1B9A" w:rsidRPr="000E746D" w:rsidRDefault="00EB1B9A" w:rsidP="00EB1B9A">
      <w:pPr>
        <w:pStyle w:val="Body"/>
        <w:rPr>
          <w:rFonts w:cs="Arial"/>
        </w:rPr>
      </w:pPr>
      <w:r w:rsidRPr="000E746D">
        <w:rPr>
          <w:rFonts w:cs="Arial"/>
        </w:rPr>
        <w:t>Services Australia</w:t>
      </w:r>
      <w:r w:rsidR="5D24FD59" w:rsidRPr="000E746D">
        <w:rPr>
          <w:rFonts w:cs="Arial"/>
        </w:rPr>
        <w:t xml:space="preserve"> 2022</w:t>
      </w:r>
      <w:r w:rsidRPr="000E746D">
        <w:rPr>
          <w:rFonts w:cs="Arial"/>
        </w:rPr>
        <w:t>. </w:t>
      </w:r>
      <w:hyperlink r:id="rId121">
        <w:r w:rsidRPr="000E746D">
          <w:rPr>
            <w:rStyle w:val="Hyperlink"/>
            <w:rFonts w:cs="Arial"/>
            <w:i/>
            <w:iCs/>
          </w:rPr>
          <w:t>Medicare Item Reports.</w:t>
        </w:r>
      </w:hyperlink>
      <w:r w:rsidRPr="000E746D">
        <w:rPr>
          <w:rFonts w:cs="Arial"/>
        </w:rPr>
        <w:t> [homepage on the internet] Canberra Australia</w:t>
      </w:r>
      <w:r w:rsidR="002E2A1A">
        <w:rPr>
          <w:rFonts w:cs="Arial"/>
        </w:rPr>
        <w:t>.</w:t>
      </w:r>
      <w:r w:rsidRPr="000E746D">
        <w:rPr>
          <w:rFonts w:cs="Arial"/>
        </w:rPr>
        <w:t xml:space="preserve"> Available </w:t>
      </w:r>
      <w:r w:rsidR="006903DF">
        <w:rPr>
          <w:rFonts w:cs="Arial"/>
        </w:rPr>
        <w:t>at</w:t>
      </w:r>
      <w:r w:rsidRPr="000E746D">
        <w:rPr>
          <w:rFonts w:cs="Arial"/>
        </w:rPr>
        <w:t>: </w:t>
      </w:r>
      <w:hyperlink r:id="rId122">
        <w:r w:rsidRPr="000E746D">
          <w:rPr>
            <w:rStyle w:val="Hyperlink"/>
            <w:rFonts w:cs="Arial"/>
          </w:rPr>
          <w:t>http://medicarestatistics.humanservices.gov.au/statistics/mbs_item.jsp</w:t>
        </w:r>
      </w:hyperlink>
      <w:r w:rsidRPr="000E746D">
        <w:rPr>
          <w:rFonts w:cs="Arial"/>
        </w:rPr>
        <w:t>.</w:t>
      </w:r>
      <w:r w:rsidR="00191052" w:rsidRPr="000E746D">
        <w:rPr>
          <w:rFonts w:cs="Arial"/>
        </w:rPr>
        <w:t xml:space="preserve"> </w:t>
      </w:r>
      <w:r w:rsidR="001F51EC" w:rsidRPr="000E746D">
        <w:rPr>
          <w:rFonts w:cs="Arial"/>
        </w:rPr>
        <w:t>&lt;</w:t>
      </w:r>
      <w:r w:rsidR="00191052" w:rsidRPr="000E746D">
        <w:rPr>
          <w:rFonts w:cs="Arial"/>
        </w:rPr>
        <w:t>http://medicarestatistics.humanservices.gov.au/statistics/mbs_item.jsp&gt;</w:t>
      </w:r>
      <w:r w:rsidR="0054388C">
        <w:rPr>
          <w:rFonts w:cs="Arial"/>
        </w:rPr>
        <w:t>.</w:t>
      </w:r>
    </w:p>
    <w:p w14:paraId="6CCB71C6" w14:textId="77777777" w:rsidR="00EB1B9A" w:rsidRDefault="00EB1B9A" w:rsidP="00EB1B9A">
      <w:pPr>
        <w:pStyle w:val="Body"/>
        <w:rPr>
          <w:rFonts w:cs="Arial"/>
        </w:rPr>
      </w:pPr>
      <w:r w:rsidRPr="008F12BF">
        <w:rPr>
          <w:rFonts w:cs="Arial"/>
        </w:rPr>
        <w:t>Shih S, Carter R, Heward S and Sinclair C 2017, ‘Skin cancer has a large impact on our public hospitals but prevention programs continue to demonstrate strong economic credentials’, Australian New Zealand Journal of Public Health, vol. 41, no. 4, pp. 371–76.</w:t>
      </w:r>
    </w:p>
    <w:p w14:paraId="53D8B53C" w14:textId="38407C9E" w:rsidR="00EB1B9A" w:rsidRPr="000E746D" w:rsidRDefault="06161C28" w:rsidP="00EB1B9A">
      <w:pPr>
        <w:pStyle w:val="Body"/>
        <w:rPr>
          <w:rFonts w:cs="Arial"/>
          <w:color w:val="212529"/>
          <w:shd w:val="clear" w:color="auto" w:fill="FFFFFF"/>
        </w:rPr>
      </w:pPr>
      <w:r w:rsidRPr="000E746D">
        <w:rPr>
          <w:rFonts w:cs="Arial"/>
          <w:color w:val="212529"/>
          <w:shd w:val="clear" w:color="auto" w:fill="FFFFFF"/>
        </w:rPr>
        <w:t>Staples MP, Elwood M, Burton RC, Williams JL, Marks R, Giles GG</w:t>
      </w:r>
      <w:r w:rsidR="31391A22" w:rsidRPr="000E746D">
        <w:rPr>
          <w:rFonts w:cs="Arial"/>
          <w:color w:val="212529"/>
        </w:rPr>
        <w:t xml:space="preserve"> 2006,</w:t>
      </w:r>
      <w:r w:rsidRPr="000E746D">
        <w:rPr>
          <w:rFonts w:cs="Arial"/>
          <w:color w:val="212529"/>
        </w:rPr>
        <w:t> </w:t>
      </w:r>
      <w:r w:rsidR="501F7DF2" w:rsidRPr="000C78DB">
        <w:rPr>
          <w:rFonts w:cs="Arial"/>
          <w:color w:val="000000" w:themeColor="text1"/>
        </w:rPr>
        <w:t>‘</w:t>
      </w:r>
      <w:r w:rsidR="00E6E23B" w:rsidRPr="000C78DB">
        <w:rPr>
          <w:i/>
          <w:iCs/>
          <w:color w:val="000000" w:themeColor="text1"/>
        </w:rPr>
        <w:t>'</w:t>
      </w:r>
      <w:r w:rsidR="00E6E23B" w:rsidRPr="000C78DB">
        <w:rPr>
          <w:color w:val="000000" w:themeColor="text1"/>
        </w:rPr>
        <w:t>Non-melanoma skin cancer in Australia: the 2002 national survey and trends since 1985.’</w:t>
      </w:r>
      <w:r w:rsidRPr="000C78DB">
        <w:rPr>
          <w:i/>
          <w:iCs/>
          <w:color w:val="000000" w:themeColor="text1"/>
        </w:rPr>
        <w:t xml:space="preserve"> Med J Aust 2006 Jan 2;184(1):6-10 </w:t>
      </w:r>
      <w:r w:rsidRPr="000C78DB">
        <w:rPr>
          <w:color w:val="000000" w:themeColor="text1"/>
        </w:rPr>
        <w:t xml:space="preserve">Available </w:t>
      </w:r>
      <w:r w:rsidR="002E2A1A" w:rsidRPr="000C78DB">
        <w:rPr>
          <w:color w:val="000000" w:themeColor="text1"/>
        </w:rPr>
        <w:t>at</w:t>
      </w:r>
      <w:r w:rsidRPr="000E746D">
        <w:rPr>
          <w:i/>
          <w:iCs/>
          <w:color w:val="1B599B"/>
        </w:rPr>
        <w:t>: </w:t>
      </w:r>
      <w:hyperlink r:id="rId123">
        <w:r w:rsidRPr="000E746D">
          <w:rPr>
            <w:rStyle w:val="Hyperlink"/>
            <w:color w:val="1B599B"/>
          </w:rPr>
          <w:t>http://www.ncbi.nlm.nih.gov/pubmed/16398622</w:t>
        </w:r>
      </w:hyperlink>
      <w:r w:rsidRPr="000E746D">
        <w:rPr>
          <w:rFonts w:cs="Arial"/>
          <w:color w:val="212529"/>
          <w:shd w:val="clear" w:color="auto" w:fill="FFFFFF"/>
        </w:rPr>
        <w:t>.</w:t>
      </w:r>
      <w:r w:rsidR="48CB8160" w:rsidRPr="000E746D">
        <w:rPr>
          <w:rFonts w:cs="Arial"/>
          <w:color w:val="212529"/>
          <w:shd w:val="clear" w:color="auto" w:fill="FFFFFF"/>
        </w:rPr>
        <w:t xml:space="preserve"> &lt;http://www.ncbi.nlm.nih.gov/pubmed/16398622&gt;</w:t>
      </w:r>
      <w:r w:rsidR="000E746D">
        <w:rPr>
          <w:rFonts w:cs="Arial"/>
          <w:color w:val="212529"/>
          <w:shd w:val="clear" w:color="auto" w:fill="FFFFFF"/>
        </w:rPr>
        <w:t>.</w:t>
      </w:r>
    </w:p>
    <w:p w14:paraId="3BADA5D3" w14:textId="313A285B" w:rsidR="00EB1B9A" w:rsidRPr="000E746D" w:rsidRDefault="00EB1B9A" w:rsidP="00EB1B9A">
      <w:pPr>
        <w:rPr>
          <w:rFonts w:eastAsia="Arial" w:cs="Arial"/>
          <w:color w:val="000000"/>
        </w:rPr>
      </w:pPr>
      <w:r w:rsidRPr="000E746D">
        <w:rPr>
          <w:rFonts w:eastAsia="Arial" w:cs="Arial"/>
          <w:color w:val="000000" w:themeColor="text1"/>
        </w:rPr>
        <w:lastRenderedPageBreak/>
        <w:t xml:space="preserve">Stroke Foundation 2022, </w:t>
      </w:r>
      <w:r w:rsidR="7C701F71" w:rsidRPr="000E746D">
        <w:rPr>
          <w:rFonts w:eastAsia="Arial" w:cs="Arial"/>
          <w:color w:val="000000" w:themeColor="text1"/>
        </w:rPr>
        <w:t>‘</w:t>
      </w:r>
      <w:hyperlink r:id="rId124" w:history="1">
        <w:r w:rsidRPr="000E746D">
          <w:rPr>
            <w:rStyle w:val="Hyperlink"/>
            <w:rFonts w:eastAsia="Arial"/>
          </w:rPr>
          <w:t>What is a stroke</w:t>
        </w:r>
      </w:hyperlink>
      <w:r w:rsidR="3384892C" w:rsidRPr="000E746D">
        <w:rPr>
          <w:rFonts w:eastAsia="Arial" w:cs="Arial"/>
        </w:rPr>
        <w:t>'</w:t>
      </w:r>
      <w:r w:rsidRPr="000E746D">
        <w:rPr>
          <w:rFonts w:eastAsia="Arial" w:cs="Arial"/>
          <w:color w:val="000000" w:themeColor="text1"/>
        </w:rPr>
        <w:t xml:space="preserve">, </w:t>
      </w:r>
      <w:r w:rsidR="6E6A01B1" w:rsidRPr="000E746D">
        <w:rPr>
          <w:rFonts w:eastAsia="Arial" w:cs="Arial"/>
          <w:color w:val="000000" w:themeColor="text1"/>
        </w:rPr>
        <w:t>(</w:t>
      </w:r>
      <w:r w:rsidRPr="000E746D">
        <w:rPr>
          <w:rFonts w:eastAsia="Arial" w:cs="Arial"/>
          <w:color w:val="000000" w:themeColor="text1"/>
        </w:rPr>
        <w:t>viewed 16 September 2022</w:t>
      </w:r>
      <w:r w:rsidR="30FF53A8" w:rsidRPr="000E746D">
        <w:rPr>
          <w:rFonts w:eastAsia="Arial" w:cs="Arial"/>
          <w:color w:val="000000" w:themeColor="text1"/>
        </w:rPr>
        <w:t>)</w:t>
      </w:r>
      <w:r w:rsidR="00267EF7">
        <w:rPr>
          <w:rFonts w:eastAsia="Arial" w:cs="Arial"/>
          <w:color w:val="000000" w:themeColor="text1"/>
        </w:rPr>
        <w:t xml:space="preserve">. Available at </w:t>
      </w:r>
      <w:r w:rsidR="000E746D">
        <w:rPr>
          <w:rFonts w:eastAsia="Arial" w:cs="Arial"/>
          <w:color w:val="000000" w:themeColor="text1"/>
        </w:rPr>
        <w:t>&lt;</w:t>
      </w:r>
      <w:r w:rsidRPr="000E746D">
        <w:rPr>
          <w:rFonts w:eastAsia="Arial" w:cs="Arial"/>
          <w:color w:val="000000" w:themeColor="text1"/>
        </w:rPr>
        <w:t>https://strokefoundation.org.au/about-stroke/learn/what-is-a-stroke</w:t>
      </w:r>
      <w:r w:rsidR="000E746D">
        <w:rPr>
          <w:rFonts w:eastAsia="Arial" w:cs="Arial"/>
          <w:color w:val="000000" w:themeColor="text1"/>
        </w:rPr>
        <w:t>&gt;</w:t>
      </w:r>
      <w:r w:rsidRPr="000E746D">
        <w:rPr>
          <w:rFonts w:eastAsia="Arial" w:cs="Arial"/>
          <w:color w:val="000000" w:themeColor="text1"/>
        </w:rPr>
        <w:t xml:space="preserve">. </w:t>
      </w:r>
    </w:p>
    <w:p w14:paraId="0FBF6021" w14:textId="77777777" w:rsidR="00EB1B9A" w:rsidRDefault="00EB1B9A" w:rsidP="00EB1B9A">
      <w:pPr>
        <w:rPr>
          <w:rFonts w:eastAsia="Arial" w:cs="Arial"/>
          <w:color w:val="000000"/>
        </w:rPr>
      </w:pPr>
      <w:r w:rsidRPr="00FC4CE9">
        <w:rPr>
          <w:rFonts w:eastAsia="Arial" w:cs="Arial"/>
          <w:color w:val="000000"/>
        </w:rPr>
        <w:t>Victorian Agency for Health Information 2021, Victorian Population Health Survey 2019: summary of results, State of Victoria, Melbourne.</w:t>
      </w:r>
    </w:p>
    <w:p w14:paraId="7CBA668D" w14:textId="3AA66D5A" w:rsidR="000E7EE0" w:rsidRDefault="00EB1B9A" w:rsidP="00E116DC">
      <w:r w:rsidRPr="0D20B932">
        <w:rPr>
          <w:rFonts w:eastAsia="Arial" w:cs="Arial"/>
          <w:color w:val="000000" w:themeColor="text1"/>
        </w:rPr>
        <w:t>World Health Organisation 2022</w:t>
      </w:r>
      <w:r w:rsidR="532C8A7F" w:rsidRPr="0D20B932">
        <w:rPr>
          <w:rFonts w:eastAsia="Arial" w:cs="Arial"/>
          <w:color w:val="000000" w:themeColor="text1"/>
        </w:rPr>
        <w:t>,</w:t>
      </w:r>
      <w:r w:rsidRPr="0D20B932">
        <w:rPr>
          <w:rFonts w:eastAsia="Arial" w:cs="Arial"/>
          <w:color w:val="000000" w:themeColor="text1"/>
        </w:rPr>
        <w:t xml:space="preserve"> </w:t>
      </w:r>
      <w:hyperlink r:id="rId125">
        <w:r w:rsidRPr="005C0FF7">
          <w:rPr>
            <w:rStyle w:val="Hyperlink"/>
            <w:rFonts w:eastAsia="Arial" w:cs="Arial"/>
            <w:u w:val="none"/>
          </w:rPr>
          <w:t>Musculoskeletal health</w:t>
        </w:r>
      </w:hyperlink>
      <w:r w:rsidR="002B6C61">
        <w:rPr>
          <w:rStyle w:val="Hyperlink"/>
          <w:rFonts w:eastAsia="Arial" w:cs="Arial"/>
          <w:u w:val="none"/>
        </w:rPr>
        <w:t xml:space="preserve">. </w:t>
      </w:r>
      <w:r w:rsidR="00267EF7">
        <w:rPr>
          <w:rFonts w:eastAsia="Arial" w:cs="Arial"/>
          <w:color w:val="000000" w:themeColor="text1"/>
        </w:rPr>
        <w:t xml:space="preserve">Available at </w:t>
      </w:r>
      <w:r w:rsidR="00FA5366" w:rsidRPr="0D20B932">
        <w:rPr>
          <w:rFonts w:eastAsia="Arial" w:cs="Arial"/>
          <w:color w:val="000000" w:themeColor="text1"/>
        </w:rPr>
        <w:t>&lt;</w:t>
      </w:r>
      <w:r w:rsidRPr="0D20B932">
        <w:rPr>
          <w:rFonts w:eastAsia="Arial" w:cs="Arial"/>
          <w:color w:val="000000" w:themeColor="text1"/>
        </w:rPr>
        <w:t>www.who.int/news-room/fact-sheets/detail/musculoskeletal-conditions</w:t>
      </w:r>
      <w:r w:rsidR="00FA5366" w:rsidRPr="0D20B932">
        <w:rPr>
          <w:rFonts w:eastAsia="Arial" w:cs="Arial"/>
          <w:color w:val="000000" w:themeColor="text1"/>
        </w:rPr>
        <w:t>&gt;</w:t>
      </w:r>
      <w:r w:rsidR="000E746D">
        <w:rPr>
          <w:rFonts w:eastAsia="Arial" w:cs="Arial"/>
          <w:color w:val="000000" w:themeColor="text1"/>
        </w:rPr>
        <w:t>.</w:t>
      </w:r>
      <w:r w:rsidR="000E7EE0">
        <w:br w:type="page"/>
      </w:r>
    </w:p>
    <w:p w14:paraId="684F253E" w14:textId="2F9B40E7" w:rsidR="00A134E8" w:rsidRDefault="008473F7" w:rsidP="00A134E8">
      <w:pPr>
        <w:pStyle w:val="Heading1"/>
        <w:spacing w:before="0"/>
      </w:pPr>
      <w:bookmarkStart w:id="141" w:name="_Toc116981386"/>
      <w:bookmarkStart w:id="142" w:name="_Toc128138654"/>
      <w:r>
        <w:lastRenderedPageBreak/>
        <w:t xml:space="preserve">Chapter 15 </w:t>
      </w:r>
      <w:r w:rsidR="002E5FFC">
        <w:t>–</w:t>
      </w:r>
      <w:r>
        <w:t xml:space="preserve"> </w:t>
      </w:r>
      <w:r w:rsidR="004D77E2">
        <w:t>Mental health</w:t>
      </w:r>
      <w:bookmarkEnd w:id="141"/>
      <w:bookmarkEnd w:id="142"/>
      <w:r w:rsidR="004D77E2">
        <w:t xml:space="preserve"> </w:t>
      </w:r>
    </w:p>
    <w:p w14:paraId="78DA20A7" w14:textId="77777777" w:rsidR="002E5FFC" w:rsidRDefault="00A651C4" w:rsidP="00A651C4">
      <w:pPr>
        <w:pStyle w:val="Body"/>
      </w:pPr>
      <w:bookmarkStart w:id="143" w:name="_Toc116981387"/>
      <w:r w:rsidRPr="00A651C4">
        <w:t>Mental health is a key component of overall health and wellbeing (WHO</w:t>
      </w:r>
      <w:r w:rsidR="002E5FFC">
        <w:t>,</w:t>
      </w:r>
      <w:r w:rsidRPr="00A651C4">
        <w:t xml:space="preserve"> 2021</w:t>
      </w:r>
      <w:r w:rsidR="405D709B">
        <w:t>) and</w:t>
      </w:r>
      <w:r w:rsidR="009B1BE9">
        <w:t xml:space="preserve"> affects not only </w:t>
      </w:r>
      <w:r w:rsidR="00603F4A">
        <w:t xml:space="preserve">the individual </w:t>
      </w:r>
      <w:r w:rsidR="009B1BE9" w:rsidRPr="00CF05DA">
        <w:t>but also their</w:t>
      </w:r>
      <w:r w:rsidR="00696EE3">
        <w:t xml:space="preserve"> friends,</w:t>
      </w:r>
      <w:r w:rsidR="009B1BE9" w:rsidRPr="00CF05DA">
        <w:t xml:space="preserve"> families</w:t>
      </w:r>
      <w:r w:rsidR="002E5FFC">
        <w:t>,</w:t>
      </w:r>
      <w:r w:rsidR="009B1BE9" w:rsidRPr="00CF05DA">
        <w:t xml:space="preserve"> and carers</w:t>
      </w:r>
      <w:r w:rsidR="00603F4A">
        <w:t>.</w:t>
      </w:r>
      <w:r w:rsidR="00CF05DA">
        <w:t xml:space="preserve"> </w:t>
      </w:r>
    </w:p>
    <w:p w14:paraId="0C5D78C5" w14:textId="508424FE" w:rsidR="006C4D0C" w:rsidRDefault="00CF05DA" w:rsidP="00A651C4">
      <w:pPr>
        <w:pStyle w:val="Body"/>
      </w:pPr>
      <w:r w:rsidRPr="00CF05DA">
        <w:t xml:space="preserve">Mental health </w:t>
      </w:r>
      <w:r w:rsidR="00925E72">
        <w:t>impacts and is impacted by</w:t>
      </w:r>
      <w:r w:rsidR="008F4F3B">
        <w:t xml:space="preserve"> a wide range of lifestyle and</w:t>
      </w:r>
      <w:r w:rsidRPr="00CF05DA">
        <w:t xml:space="preserve"> socioeconomic factors, including access to services, living conditions</w:t>
      </w:r>
      <w:r w:rsidR="002E5FFC">
        <w:t>,</w:t>
      </w:r>
      <w:r w:rsidRPr="00CF05DA">
        <w:t xml:space="preserve"> and employment status.</w:t>
      </w:r>
    </w:p>
    <w:p w14:paraId="34BEB472" w14:textId="55F8C58F" w:rsidR="008F4F3B" w:rsidRDefault="00A200BE" w:rsidP="00A651C4">
      <w:pPr>
        <w:pStyle w:val="Body"/>
      </w:pPr>
      <w:r>
        <w:t>Several socioeconomic and environmental determinants of mental health are also negatively affected by climate change</w:t>
      </w:r>
      <w:r w:rsidR="00907C0D">
        <w:t xml:space="preserve"> </w:t>
      </w:r>
      <w:r w:rsidR="003273F8">
        <w:t>(</w:t>
      </w:r>
      <w:r w:rsidR="002E5FFC">
        <w:t>WHO,</w:t>
      </w:r>
      <w:r w:rsidR="003273F8">
        <w:t xml:space="preserve"> 2022)</w:t>
      </w:r>
      <w:r w:rsidR="004134FA">
        <w:t>.</w:t>
      </w:r>
    </w:p>
    <w:p w14:paraId="68C649FC" w14:textId="78F39C43" w:rsidR="00A651C4" w:rsidRDefault="008F4F3B" w:rsidP="00A651C4">
      <w:pPr>
        <w:pStyle w:val="Body"/>
      </w:pPr>
      <w:r>
        <w:t>This section includes:</w:t>
      </w:r>
    </w:p>
    <w:p w14:paraId="655AC9F1" w14:textId="21F48B7A" w:rsidR="008F4F3B" w:rsidRDefault="008F4F3B" w:rsidP="002830AC">
      <w:pPr>
        <w:pStyle w:val="Body"/>
        <w:numPr>
          <w:ilvl w:val="0"/>
          <w:numId w:val="14"/>
        </w:numPr>
      </w:pPr>
      <w:r>
        <w:t>Mental illness and mental wellbeing</w:t>
      </w:r>
    </w:p>
    <w:p w14:paraId="77AD9183" w14:textId="54CED791" w:rsidR="008F4F3B" w:rsidRPr="001D7ECD" w:rsidRDefault="00922A5D" w:rsidP="002830AC">
      <w:pPr>
        <w:pStyle w:val="Body"/>
        <w:numPr>
          <w:ilvl w:val="0"/>
          <w:numId w:val="14"/>
        </w:numPr>
        <w:rPr>
          <w:i/>
          <w:iCs/>
        </w:rPr>
      </w:pPr>
      <w:r w:rsidRPr="001D7ECD">
        <w:rPr>
          <w:i/>
          <w:iCs/>
        </w:rPr>
        <w:t xml:space="preserve">Royal Commission into Victoria’s Mental Health System Interim Report 2019 </w:t>
      </w:r>
    </w:p>
    <w:p w14:paraId="6CC266EE" w14:textId="38120333" w:rsidR="008F4F3B" w:rsidRDefault="00AC3B79" w:rsidP="002830AC">
      <w:pPr>
        <w:pStyle w:val="Body"/>
        <w:numPr>
          <w:ilvl w:val="0"/>
          <w:numId w:val="14"/>
        </w:numPr>
      </w:pPr>
      <w:r>
        <w:t>Suicide prevention</w:t>
      </w:r>
      <w:r w:rsidR="00495765">
        <w:t>.</w:t>
      </w:r>
    </w:p>
    <w:p w14:paraId="5DF9E9C1" w14:textId="521ACA0E" w:rsidR="00186E10" w:rsidRDefault="00186E10" w:rsidP="00186E10">
      <w:pPr>
        <w:pStyle w:val="Heading2"/>
      </w:pPr>
      <w:r>
        <w:t>Mental illness and mental wellbeing</w:t>
      </w:r>
      <w:bookmarkEnd w:id="143"/>
      <w:r>
        <w:t xml:space="preserve">  </w:t>
      </w:r>
    </w:p>
    <w:p w14:paraId="578982C7" w14:textId="46EA3176" w:rsidR="00186E10" w:rsidRPr="002914B4" w:rsidRDefault="00186E10" w:rsidP="00186E10">
      <w:pPr>
        <w:pStyle w:val="Body"/>
      </w:pPr>
      <w:r w:rsidRPr="002914B4">
        <w:t xml:space="preserve">Mental health is </w:t>
      </w:r>
      <w:r>
        <w:t>a</w:t>
      </w:r>
      <w:r w:rsidR="00330376">
        <w:t>n</w:t>
      </w:r>
      <w:r>
        <w:t xml:space="preserve"> important factor</w:t>
      </w:r>
      <w:r w:rsidRPr="002914B4">
        <w:t xml:space="preserve"> </w:t>
      </w:r>
      <w:r>
        <w:t>for</w:t>
      </w:r>
      <w:r w:rsidRPr="002914B4">
        <w:t xml:space="preserve"> individual and community wellbeing, and significantly contributes to the social, cultural and economic life of Victoria.</w:t>
      </w:r>
      <w:r>
        <w:t xml:space="preserve"> </w:t>
      </w:r>
    </w:p>
    <w:p w14:paraId="68D1736B" w14:textId="77777777" w:rsidR="002E5FFC" w:rsidRDefault="00186E10" w:rsidP="00186E10">
      <w:pPr>
        <w:pStyle w:val="Body"/>
      </w:pPr>
      <w:r>
        <w:t>Many</w:t>
      </w:r>
      <w:r w:rsidRPr="002914B4">
        <w:t xml:space="preserve"> Victorians report positively on </w:t>
      </w:r>
      <w:r>
        <w:t xml:space="preserve">some </w:t>
      </w:r>
      <w:r w:rsidRPr="002914B4">
        <w:t>indicators which can contribute to mental wellbeing</w:t>
      </w:r>
      <w:r w:rsidR="002E5FFC">
        <w:t xml:space="preserve">. </w:t>
      </w:r>
    </w:p>
    <w:p w14:paraId="516AFB30" w14:textId="0794D0BE" w:rsidR="00186E10" w:rsidRPr="002914B4" w:rsidRDefault="002E5FFC" w:rsidP="00186E10">
      <w:pPr>
        <w:pStyle w:val="Body"/>
      </w:pPr>
      <w:r>
        <w:t>F</w:t>
      </w:r>
      <w:r w:rsidR="00186E10" w:rsidRPr="002914B4">
        <w:t xml:space="preserve">or example, </w:t>
      </w:r>
      <w:r w:rsidR="00186E10">
        <w:t>in 2019,</w:t>
      </w:r>
      <w:r>
        <w:t xml:space="preserve"> </w:t>
      </w:r>
      <w:r w:rsidR="00186E10">
        <w:t>75.2</w:t>
      </w:r>
      <w:r w:rsidR="00186E10" w:rsidRPr="002914B4">
        <w:t xml:space="preserve"> per cent of Victorians report</w:t>
      </w:r>
      <w:r>
        <w:t>ed</w:t>
      </w:r>
      <w:r w:rsidR="00186E10" w:rsidRPr="002914B4">
        <w:t xml:space="preserve"> that they </w:t>
      </w:r>
      <w:r>
        <w:t xml:space="preserve">had </w:t>
      </w:r>
      <w:r w:rsidR="00186E10" w:rsidRPr="002914B4">
        <w:t>very high or high satisfaction with life (</w:t>
      </w:r>
      <w:r>
        <w:t xml:space="preserve">VAHI, </w:t>
      </w:r>
      <w:r w:rsidR="00186E10">
        <w:t>2021</w:t>
      </w:r>
      <w:r w:rsidR="00186E10" w:rsidRPr="002914B4">
        <w:t>).</w:t>
      </w:r>
      <w:r w:rsidR="00186E10" w:rsidRPr="0060530E">
        <w:t xml:space="preserve"> </w:t>
      </w:r>
      <w:r w:rsidR="00186E10">
        <w:t>However, one</w:t>
      </w:r>
      <w:r>
        <w:t>-</w:t>
      </w:r>
      <w:r w:rsidR="00186E10" w:rsidRPr="002914B4">
        <w:t>in</w:t>
      </w:r>
      <w:r>
        <w:t>-</w:t>
      </w:r>
      <w:r w:rsidR="00186E10" w:rsidRPr="002914B4">
        <w:t>five Victorians</w:t>
      </w:r>
      <w:r w:rsidR="00186E10">
        <w:t xml:space="preserve"> </w:t>
      </w:r>
      <w:r w:rsidR="00186E10" w:rsidRPr="002914B4">
        <w:t>will experience a mental health condition</w:t>
      </w:r>
      <w:r w:rsidR="00186E10">
        <w:t xml:space="preserve"> each year</w:t>
      </w:r>
      <w:r w:rsidR="00186E10" w:rsidRPr="002914B4">
        <w:t xml:space="preserve"> and 45 per cent of Victorians experiencing one during their lifetime (</w:t>
      </w:r>
      <w:r w:rsidR="00A70AB5">
        <w:t>ABS,</w:t>
      </w:r>
      <w:r w:rsidR="00186E10" w:rsidRPr="002914B4">
        <w:t xml:space="preserve"> 20</w:t>
      </w:r>
      <w:r w:rsidR="00186E10">
        <w:t>18</w:t>
      </w:r>
      <w:r w:rsidR="00186E10" w:rsidRPr="002914B4">
        <w:t>).</w:t>
      </w:r>
      <w:r w:rsidR="00186E10">
        <w:t xml:space="preserve">  </w:t>
      </w:r>
    </w:p>
    <w:p w14:paraId="103333B0" w14:textId="1891FB8F" w:rsidR="00186E10" w:rsidRPr="002914B4" w:rsidRDefault="00186E10" w:rsidP="00186E10">
      <w:pPr>
        <w:pStyle w:val="Body"/>
      </w:pPr>
      <w:r>
        <w:t xml:space="preserve">In 2019, 29.8 </w:t>
      </w:r>
      <w:r w:rsidRPr="002914B4">
        <w:t xml:space="preserve">per cent of Victorian adults </w:t>
      </w:r>
      <w:r>
        <w:t xml:space="preserve">reported </w:t>
      </w:r>
      <w:r w:rsidR="002E5FFC">
        <w:t xml:space="preserve">that they had, during their life, </w:t>
      </w:r>
      <w:r w:rsidRPr="002914B4">
        <w:t>be</w:t>
      </w:r>
      <w:r w:rsidR="002E5FFC">
        <w:t>en</w:t>
      </w:r>
      <w:r w:rsidRPr="002914B4">
        <w:t xml:space="preserve"> diagnosed </w:t>
      </w:r>
      <w:r>
        <w:t xml:space="preserve">by a doctor </w:t>
      </w:r>
      <w:r w:rsidRPr="002914B4">
        <w:t>with depression or anxiety</w:t>
      </w:r>
      <w:r w:rsidR="002E5FFC">
        <w:t xml:space="preserve">, while </w:t>
      </w:r>
      <w:r>
        <w:t>14.9</w:t>
      </w:r>
      <w:r w:rsidR="00DF7943">
        <w:t xml:space="preserve"> </w:t>
      </w:r>
      <w:r>
        <w:t xml:space="preserve">per cent </w:t>
      </w:r>
      <w:r w:rsidR="002E5FFC">
        <w:t xml:space="preserve">had been </w:t>
      </w:r>
      <w:r>
        <w:t>diagnosed in the previous 12 months (</w:t>
      </w:r>
      <w:r w:rsidR="002E5FFC">
        <w:t xml:space="preserve">VAHI, </w:t>
      </w:r>
      <w:r>
        <w:t>2021).</w:t>
      </w:r>
      <w:r w:rsidRPr="00612679">
        <w:t xml:space="preserve"> </w:t>
      </w:r>
      <w:r w:rsidRPr="002914B4">
        <w:t xml:space="preserve">A large body of research </w:t>
      </w:r>
      <w:r>
        <w:t>indicates</w:t>
      </w:r>
      <w:r w:rsidRPr="002914B4">
        <w:t xml:space="preserve"> </w:t>
      </w:r>
      <w:r w:rsidR="002E5FFC">
        <w:t xml:space="preserve">that </w:t>
      </w:r>
      <w:r w:rsidRPr="002914B4">
        <w:t>social isolation and loneliness have detrimental physical and mental health consequences (Holt-Lunstad, Smith, Baker, Harris and Stephenson</w:t>
      </w:r>
      <w:r w:rsidR="002E5FFC">
        <w:t>,</w:t>
      </w:r>
      <w:r w:rsidRPr="002914B4">
        <w:t xml:space="preserve"> 2015). </w:t>
      </w:r>
    </w:p>
    <w:p w14:paraId="175292D9" w14:textId="316D749C" w:rsidR="00186E10" w:rsidRPr="002914B4" w:rsidRDefault="00186E10" w:rsidP="00186E10">
      <w:pPr>
        <w:pStyle w:val="Body"/>
        <w:rPr>
          <w:szCs w:val="21"/>
        </w:rPr>
      </w:pPr>
      <w:r w:rsidRPr="00582ADA">
        <w:t>In 2019, 18.1 per cent of adults reported high or very high levels of psychological distress,</w:t>
      </w:r>
      <w:r>
        <w:t xml:space="preserve"> </w:t>
      </w:r>
      <w:r w:rsidRPr="002914B4">
        <w:t>an important risk factor for a number of physical and mental health conditions</w:t>
      </w:r>
      <w:r>
        <w:t xml:space="preserve"> (</w:t>
      </w:r>
      <w:r w:rsidR="002E5FFC">
        <w:t xml:space="preserve">VAHI, </w:t>
      </w:r>
      <w:r>
        <w:t>2021).</w:t>
      </w:r>
    </w:p>
    <w:p w14:paraId="55D8533E" w14:textId="6EE6805F" w:rsidR="00186E10" w:rsidRPr="002914B4" w:rsidRDefault="00186E10" w:rsidP="00186E10">
      <w:pPr>
        <w:pStyle w:val="Body"/>
      </w:pPr>
      <w:r>
        <w:t xml:space="preserve">Those who </w:t>
      </w:r>
      <w:r w:rsidRPr="002914B4">
        <w:t xml:space="preserve">do not feel </w:t>
      </w:r>
      <w:r>
        <w:t xml:space="preserve">connected or </w:t>
      </w:r>
      <w:r w:rsidRPr="002914B4">
        <w:t>valued by society are more likely to report psychological distress, low income</w:t>
      </w:r>
      <w:r w:rsidR="002E5FFC">
        <w:t>,</w:t>
      </w:r>
      <w:r w:rsidRPr="002914B4">
        <w:t xml:space="preserve"> and poor or fair self-reported health</w:t>
      </w:r>
      <w:r>
        <w:t>.</w:t>
      </w:r>
      <w:r w:rsidRPr="005E5FEA">
        <w:t xml:space="preserve"> </w:t>
      </w:r>
    </w:p>
    <w:p w14:paraId="66FE4524" w14:textId="1830A4DE" w:rsidR="00186E10" w:rsidRPr="002914B4" w:rsidRDefault="002E5FFC" w:rsidP="00186E10">
      <w:pPr>
        <w:pStyle w:val="Body"/>
      </w:pPr>
      <w:r>
        <w:t>In addition, c</w:t>
      </w:r>
      <w:r w:rsidR="00186E10">
        <w:t>ulturally diverse, disadvantaged</w:t>
      </w:r>
      <w:r>
        <w:t>,</w:t>
      </w:r>
      <w:r w:rsidR="00186E10">
        <w:t xml:space="preserve"> and vulnerable community groups </w:t>
      </w:r>
      <w:r>
        <w:t xml:space="preserve">have a </w:t>
      </w:r>
      <w:r w:rsidR="00186E10" w:rsidRPr="002914B4">
        <w:t xml:space="preserve">higher risk of poor mental health and mental illness </w:t>
      </w:r>
      <w:r w:rsidR="00186E10">
        <w:t>due to</w:t>
      </w:r>
      <w:r w:rsidR="00186E10" w:rsidRPr="002914B4">
        <w:t xml:space="preserve"> greater exposure to </w:t>
      </w:r>
      <w:r w:rsidR="00186E10">
        <w:t>adverse</w:t>
      </w:r>
      <w:r w:rsidR="00186E10" w:rsidRPr="002914B4">
        <w:t xml:space="preserve"> social, economic and environmental circumstances.</w:t>
      </w:r>
    </w:p>
    <w:p w14:paraId="43AF6B31" w14:textId="77777777" w:rsidR="00186E10" w:rsidRPr="002914B4" w:rsidRDefault="00186E10" w:rsidP="00186E10">
      <w:pPr>
        <w:pStyle w:val="Heading3"/>
      </w:pPr>
      <w:r w:rsidRPr="002914B4">
        <w:t>Burden of disease</w:t>
      </w:r>
    </w:p>
    <w:p w14:paraId="3BB00CF8" w14:textId="3C742C17" w:rsidR="00186E10" w:rsidRPr="002914B4" w:rsidRDefault="00186E10" w:rsidP="00186E10">
      <w:pPr>
        <w:pStyle w:val="Body"/>
      </w:pPr>
      <w:r w:rsidRPr="002914B4">
        <w:t>T</w:t>
      </w:r>
      <w:r>
        <w:t>hirteen</w:t>
      </w:r>
      <w:r w:rsidRPr="002914B4">
        <w:t xml:space="preserve"> per cent of Australia's disease burden is due to mental and </w:t>
      </w:r>
      <w:r>
        <w:t>substance</w:t>
      </w:r>
      <w:r w:rsidR="002E5FFC">
        <w:t>-</w:t>
      </w:r>
      <w:r>
        <w:t>use</w:t>
      </w:r>
      <w:r w:rsidRPr="002914B4">
        <w:t xml:space="preserve"> disorders, with most of the burden being </w:t>
      </w:r>
      <w:r w:rsidR="002E5FFC">
        <w:t xml:space="preserve">a </w:t>
      </w:r>
      <w:r w:rsidRPr="002914B4">
        <w:t>non-fatal (disability) burden</w:t>
      </w:r>
      <w:r>
        <w:t>. Mental and substance</w:t>
      </w:r>
      <w:r w:rsidR="002E5FFC">
        <w:t>-</w:t>
      </w:r>
      <w:r>
        <w:t>use disorders were the second largest disease group contributing to non-fatal burden in Australia between 2003</w:t>
      </w:r>
      <w:r w:rsidR="002E5FFC">
        <w:t>-</w:t>
      </w:r>
      <w:r>
        <w:t>2018 (</w:t>
      </w:r>
      <w:r w:rsidR="00A70AB5">
        <w:t>AIHW,</w:t>
      </w:r>
      <w:r>
        <w:t xml:space="preserve"> 2021). </w:t>
      </w:r>
    </w:p>
    <w:p w14:paraId="6BEE5B96" w14:textId="77777777" w:rsidR="00186E10" w:rsidRPr="002914B4" w:rsidRDefault="00186E10" w:rsidP="00186E10">
      <w:pPr>
        <w:pStyle w:val="Heading3"/>
      </w:pPr>
      <w:r w:rsidRPr="002914B4">
        <w:lastRenderedPageBreak/>
        <w:t>Depression and anxiety</w:t>
      </w:r>
    </w:p>
    <w:p w14:paraId="323C6D00" w14:textId="6265A0CC" w:rsidR="00186E10" w:rsidRPr="00C42AAC" w:rsidRDefault="00186E10" w:rsidP="00186E10">
      <w:pPr>
        <w:pStyle w:val="Body"/>
      </w:pPr>
      <w:r w:rsidRPr="0036548F">
        <w:t xml:space="preserve">Overall, 29.8 per cent of Victorian adults in 2019 reported </w:t>
      </w:r>
      <w:r w:rsidR="002E5FFC" w:rsidRPr="0036548F">
        <w:t xml:space="preserve">that they had been </w:t>
      </w:r>
      <w:r w:rsidRPr="0036548F">
        <w:t>diagnosed with depression or anxiety by a doctor</w:t>
      </w:r>
      <w:r w:rsidR="002E5FFC" w:rsidRPr="0036548F">
        <w:t xml:space="preserve"> during their lifetime</w:t>
      </w:r>
      <w:r w:rsidRPr="0036548F">
        <w:t xml:space="preserve">. This </w:t>
      </w:r>
      <w:r w:rsidR="002E5FFC" w:rsidRPr="0036548F">
        <w:t xml:space="preserve">figure </w:t>
      </w:r>
      <w:r w:rsidRPr="0036548F">
        <w:t xml:space="preserve">was significantly higher in females (36 per cent) </w:t>
      </w:r>
      <w:r w:rsidR="002E5FFC" w:rsidRPr="0036548F">
        <w:t xml:space="preserve">than </w:t>
      </w:r>
      <w:r w:rsidRPr="0036548F">
        <w:t xml:space="preserve">males (23.7 per cent) </w:t>
      </w:r>
      <w:r w:rsidRPr="00C42AAC">
        <w:t>(</w:t>
      </w:r>
      <w:r w:rsidR="000B5F23">
        <w:t>VAHI</w:t>
      </w:r>
      <w:r w:rsidR="002E5FFC">
        <w:t>,</w:t>
      </w:r>
      <w:r w:rsidRPr="00C42AAC">
        <w:t xml:space="preserve"> 2021).</w:t>
      </w:r>
    </w:p>
    <w:p w14:paraId="532E54DE" w14:textId="6FD69024" w:rsidR="00186E10" w:rsidRPr="00C42AAC" w:rsidRDefault="00186E10" w:rsidP="00186E10">
      <w:pPr>
        <w:pStyle w:val="Body"/>
      </w:pPr>
      <w:r w:rsidRPr="0036548F">
        <w:t xml:space="preserve">The </w:t>
      </w:r>
      <w:r w:rsidR="002E5FFC" w:rsidRPr="0036548F">
        <w:t xml:space="preserve">overall </w:t>
      </w:r>
      <w:r w:rsidRPr="0036548F">
        <w:t xml:space="preserve">proportion of adults who were diagnosed with anxiety or depression by a doctor </w:t>
      </w:r>
      <w:r w:rsidR="002E5FFC" w:rsidRPr="0036548F">
        <w:t xml:space="preserve">during </w:t>
      </w:r>
      <w:r w:rsidRPr="0036548F">
        <w:t>2019 was 15 per cent</w:t>
      </w:r>
      <w:r w:rsidR="002E5FFC" w:rsidRPr="0036548F">
        <w:t xml:space="preserve">. This figure was </w:t>
      </w:r>
      <w:r w:rsidRPr="0036548F">
        <w:t xml:space="preserve">significantly lower in men (11.4 per cent) </w:t>
      </w:r>
      <w:r w:rsidR="002E5FFC" w:rsidRPr="0036548F">
        <w:t xml:space="preserve">than </w:t>
      </w:r>
      <w:r w:rsidRPr="0036548F">
        <w:t>women (18.8 per cent) (V</w:t>
      </w:r>
      <w:r w:rsidR="002E5FFC" w:rsidRPr="0036548F">
        <w:t xml:space="preserve">AHI, </w:t>
      </w:r>
      <w:r w:rsidRPr="0036548F">
        <w:t>2021).</w:t>
      </w:r>
    </w:p>
    <w:p w14:paraId="337AA782" w14:textId="0F09EB1F" w:rsidR="00186E10" w:rsidRDefault="00186E10" w:rsidP="00186E10">
      <w:pPr>
        <w:pStyle w:val="Body"/>
        <w:rPr>
          <w:szCs w:val="21"/>
        </w:rPr>
      </w:pPr>
      <w:r w:rsidRPr="00C42AAC">
        <w:t xml:space="preserve">The proportion of adults reporting a diagnosis of depression </w:t>
      </w:r>
      <w:r>
        <w:t xml:space="preserve">or anxiety was similar </w:t>
      </w:r>
      <w:r w:rsidR="002E5FFC">
        <w:t xml:space="preserve">between the </w:t>
      </w:r>
      <w:r>
        <w:t>ages 18</w:t>
      </w:r>
      <w:r w:rsidR="00CD461C">
        <w:t xml:space="preserve"> to </w:t>
      </w:r>
      <w:r>
        <w:t xml:space="preserve">75. </w:t>
      </w:r>
      <w:r w:rsidR="002E5FFC">
        <w:t>However, a</w:t>
      </w:r>
      <w:r>
        <w:t>dults aged 75 years or older</w:t>
      </w:r>
      <w:r w:rsidR="002E5FFC">
        <w:t xml:space="preserve"> </w:t>
      </w:r>
      <w:r>
        <w:t xml:space="preserve">were less likely to report having been diagnosed </w:t>
      </w:r>
      <w:r w:rsidR="002E5FFC">
        <w:t xml:space="preserve">with depression or anxiety during their lifetime, </w:t>
      </w:r>
      <w:r>
        <w:t>compared with other age groups (</w:t>
      </w:r>
      <w:r w:rsidR="000B5F23">
        <w:t>VAHI</w:t>
      </w:r>
      <w:r w:rsidR="002E5FFC">
        <w:t>,</w:t>
      </w:r>
      <w:r>
        <w:t xml:space="preserve"> 2021).</w:t>
      </w:r>
    </w:p>
    <w:p w14:paraId="0378FE6C" w14:textId="372C5CA3" w:rsidR="00186E10" w:rsidRPr="002914B4" w:rsidRDefault="00186E10" w:rsidP="00186E10">
      <w:pPr>
        <w:pStyle w:val="Body"/>
      </w:pPr>
      <w:r w:rsidRPr="002914B4">
        <w:t xml:space="preserve">The lifetime prevalence of self-reported doctor-diagnosed depression or anxiety increased significantly for both males and females between </w:t>
      </w:r>
      <w:r>
        <w:t>2015</w:t>
      </w:r>
      <w:r w:rsidR="00512352">
        <w:t>-</w:t>
      </w:r>
      <w:r>
        <w:t>2019 (</w:t>
      </w:r>
      <w:r w:rsidR="000B5F23">
        <w:t>VAHI</w:t>
      </w:r>
      <w:r w:rsidR="00512352">
        <w:t>,</w:t>
      </w:r>
      <w:r>
        <w:t xml:space="preserve"> 2021).</w:t>
      </w:r>
    </w:p>
    <w:p w14:paraId="53C520B1" w14:textId="77777777" w:rsidR="00186E10" w:rsidRPr="002914B4" w:rsidRDefault="00186E10" w:rsidP="00186E10">
      <w:pPr>
        <w:pStyle w:val="Heading3"/>
      </w:pPr>
      <w:r w:rsidRPr="002914B4">
        <w:t>Psychological distress</w:t>
      </w:r>
    </w:p>
    <w:p w14:paraId="4C840DA0" w14:textId="6841F896" w:rsidR="00186E10" w:rsidRPr="002914B4" w:rsidRDefault="00186E10" w:rsidP="00186E10">
      <w:pPr>
        <w:pStyle w:val="Body"/>
        <w:rPr>
          <w:szCs w:val="21"/>
        </w:rPr>
      </w:pPr>
      <w:r w:rsidRPr="002914B4">
        <w:t xml:space="preserve">In </w:t>
      </w:r>
      <w:r>
        <w:t>2019, 18.</w:t>
      </w:r>
      <w:r w:rsidRPr="002914B4">
        <w:t xml:space="preserve">1 per cent of Victorian adults experienced high or very high levels of psychological distress. </w:t>
      </w:r>
      <w:r w:rsidR="00571EE9">
        <w:t xml:space="preserve">Rates of psychological distress were </w:t>
      </w:r>
      <w:r w:rsidRPr="002914B4">
        <w:t>significantly higher in females (</w:t>
      </w:r>
      <w:r>
        <w:t>21</w:t>
      </w:r>
      <w:r w:rsidRPr="002914B4">
        <w:t xml:space="preserve"> per cent) </w:t>
      </w:r>
      <w:r w:rsidR="00571EE9">
        <w:t xml:space="preserve">than </w:t>
      </w:r>
      <w:r w:rsidRPr="002914B4">
        <w:t>males (</w:t>
      </w:r>
      <w:r>
        <w:t>15.6</w:t>
      </w:r>
      <w:r w:rsidRPr="002914B4">
        <w:t xml:space="preserve"> per cent) </w:t>
      </w:r>
      <w:r>
        <w:t>(</w:t>
      </w:r>
      <w:r w:rsidR="000B5F23">
        <w:t>VAHI</w:t>
      </w:r>
      <w:r w:rsidR="00571EE9">
        <w:t>,</w:t>
      </w:r>
      <w:r>
        <w:t xml:space="preserve"> 2021).</w:t>
      </w:r>
    </w:p>
    <w:p w14:paraId="010B9F7A" w14:textId="45EA7B9E" w:rsidR="00186E10" w:rsidRPr="002914B4" w:rsidRDefault="00186E10" w:rsidP="00186E10">
      <w:pPr>
        <w:pStyle w:val="Body"/>
        <w:rPr>
          <w:szCs w:val="21"/>
        </w:rPr>
      </w:pPr>
      <w:r w:rsidRPr="002914B4">
        <w:t>Very high levels of psychological distress were significantly higher in men and women who</w:t>
      </w:r>
      <w:r w:rsidR="00571EE9">
        <w:t>:</w:t>
      </w:r>
      <w:r w:rsidRPr="002914B4">
        <w:t xml:space="preserve"> </w:t>
      </w:r>
      <w:r>
        <w:t>were Aboriginal</w:t>
      </w:r>
      <w:r w:rsidR="00571EE9">
        <w:t>;</w:t>
      </w:r>
      <w:r>
        <w:t xml:space="preserve"> </w:t>
      </w:r>
      <w:r w:rsidRPr="002914B4">
        <w:t xml:space="preserve">had not completed high school; were </w:t>
      </w:r>
      <w:r>
        <w:t>unemployed</w:t>
      </w:r>
      <w:r w:rsidRPr="002914B4">
        <w:t xml:space="preserve">; </w:t>
      </w:r>
      <w:r>
        <w:t>were widowed, divorced</w:t>
      </w:r>
      <w:r w:rsidR="00571EE9">
        <w:t>,</w:t>
      </w:r>
      <w:r>
        <w:t xml:space="preserve"> or never married; </w:t>
      </w:r>
      <w:r w:rsidRPr="002914B4">
        <w:t>or had a total annual household income of less than $40,000</w:t>
      </w:r>
      <w:r>
        <w:t xml:space="preserve"> (</w:t>
      </w:r>
      <w:r w:rsidR="000B5F23">
        <w:t>VAHI</w:t>
      </w:r>
      <w:r w:rsidR="00571EE9">
        <w:t>,</w:t>
      </w:r>
      <w:r>
        <w:t xml:space="preserve"> 2021).</w:t>
      </w:r>
    </w:p>
    <w:p w14:paraId="35F1B176" w14:textId="7F1B4680" w:rsidR="00186E10" w:rsidRPr="002914B4" w:rsidRDefault="00186E10" w:rsidP="00186E10">
      <w:pPr>
        <w:pStyle w:val="Body"/>
      </w:pPr>
      <w:r w:rsidRPr="002914B4">
        <w:t>Thirty</w:t>
      </w:r>
      <w:r>
        <w:t xml:space="preserve">-one </w:t>
      </w:r>
      <w:r w:rsidRPr="002914B4">
        <w:t>per cent of Aboriginal respondents in the 201</w:t>
      </w:r>
      <w:r>
        <w:t>8-</w:t>
      </w:r>
      <w:r w:rsidR="00571EE9">
        <w:t>20</w:t>
      </w:r>
      <w:r>
        <w:t>19</w:t>
      </w:r>
      <w:r w:rsidRPr="002914B4">
        <w:t xml:space="preserve"> National Aboriginal and Torres Strait Islander health survey reported high or very high psychological distress, nearly three times that of the non-Aboriginal rate </w:t>
      </w:r>
      <w:r>
        <w:t>at 13 per cent over the same period</w:t>
      </w:r>
      <w:r w:rsidRPr="002914B4">
        <w:t xml:space="preserve"> (</w:t>
      </w:r>
      <w:r w:rsidR="00A70AB5">
        <w:t>ABS,</w:t>
      </w:r>
      <w:r w:rsidRPr="002914B4">
        <w:t xml:space="preserve"> 201</w:t>
      </w:r>
      <w:r>
        <w:t>9</w:t>
      </w:r>
      <w:r w:rsidRPr="002914B4">
        <w:t>).</w:t>
      </w:r>
    </w:p>
    <w:p w14:paraId="1431C0CE" w14:textId="2965BE4F" w:rsidR="00186E10" w:rsidRPr="002914B4" w:rsidRDefault="00186E10" w:rsidP="00186E10">
      <w:pPr>
        <w:pStyle w:val="Body"/>
      </w:pPr>
      <w:r>
        <w:t>One</w:t>
      </w:r>
      <w:r w:rsidR="00571EE9">
        <w:t>-</w:t>
      </w:r>
      <w:r w:rsidRPr="002914B4">
        <w:t>in</w:t>
      </w:r>
      <w:r w:rsidR="00571EE9">
        <w:t>-</w:t>
      </w:r>
      <w:r>
        <w:t>five</w:t>
      </w:r>
      <w:r w:rsidRPr="002914B4">
        <w:t xml:space="preserve"> (</w:t>
      </w:r>
      <w:r>
        <w:t>20</w:t>
      </w:r>
      <w:r w:rsidRPr="002914B4">
        <w:t xml:space="preserve"> per cent) </w:t>
      </w:r>
      <w:r w:rsidR="00571EE9">
        <w:t xml:space="preserve">of </w:t>
      </w:r>
      <w:r w:rsidRPr="002914B4">
        <w:t>Victorian students in years 5, 8 and 11 experience</w:t>
      </w:r>
      <w:r w:rsidR="00571EE9">
        <w:t>d</w:t>
      </w:r>
      <w:r w:rsidRPr="002914B4">
        <w:t xml:space="preserve"> psychological distress (Department of Education and Training</w:t>
      </w:r>
      <w:r w:rsidR="00174518">
        <w:t>,</w:t>
      </w:r>
      <w:r w:rsidRPr="002914B4">
        <w:t xml:space="preserve"> 201</w:t>
      </w:r>
      <w:r>
        <w:t>9</w:t>
      </w:r>
      <w:r w:rsidRPr="002914B4">
        <w:t>).</w:t>
      </w:r>
    </w:p>
    <w:p w14:paraId="53BE61F9" w14:textId="77777777" w:rsidR="00186E10" w:rsidRPr="002914B4" w:rsidRDefault="00186E10" w:rsidP="001E0F64">
      <w:pPr>
        <w:pStyle w:val="Heading3"/>
      </w:pPr>
      <w:r w:rsidRPr="007B724A">
        <w:t>Social isolation and loneliness</w:t>
      </w:r>
    </w:p>
    <w:p w14:paraId="49C15DB4" w14:textId="62580482" w:rsidR="00186E10" w:rsidRPr="002914B4" w:rsidRDefault="00186E10" w:rsidP="00186E10">
      <w:pPr>
        <w:pStyle w:val="Body"/>
      </w:pPr>
      <w:r>
        <w:t xml:space="preserve">In 2018, the </w:t>
      </w:r>
      <w:r w:rsidRPr="002914B4">
        <w:t>A</w:t>
      </w:r>
      <w:r>
        <w:t>ustralian Loneliness Report</w:t>
      </w:r>
      <w:r w:rsidRPr="002914B4">
        <w:t xml:space="preserve"> estimate</w:t>
      </w:r>
      <w:r>
        <w:t>d</w:t>
      </w:r>
      <w:r w:rsidRPr="002914B4">
        <w:t xml:space="preserve"> that </w:t>
      </w:r>
      <w:r w:rsidRPr="0036532D">
        <w:t>one</w:t>
      </w:r>
      <w:r w:rsidR="00174518" w:rsidRPr="0036532D">
        <w:t>-</w:t>
      </w:r>
      <w:r w:rsidRPr="0036532D">
        <w:t>in</w:t>
      </w:r>
      <w:r w:rsidR="00174518" w:rsidRPr="0036532D">
        <w:t>-</w:t>
      </w:r>
      <w:r w:rsidRPr="0036532D">
        <w:t>four Australian adults aged between 18</w:t>
      </w:r>
      <w:r w:rsidR="002E5734">
        <w:t xml:space="preserve"> </w:t>
      </w:r>
      <w:r w:rsidR="00CD461C">
        <w:t xml:space="preserve">to </w:t>
      </w:r>
      <w:r w:rsidRPr="0036532D">
        <w:t xml:space="preserve">89 </w:t>
      </w:r>
      <w:r w:rsidR="00174518" w:rsidRPr="0036532D">
        <w:t xml:space="preserve">years </w:t>
      </w:r>
      <w:r w:rsidRPr="0036532D">
        <w:t xml:space="preserve">experienced loneliness </w:t>
      </w:r>
      <w:r w:rsidRPr="002914B4">
        <w:t>(Australian Psychological Society and Swinburne University</w:t>
      </w:r>
      <w:r w:rsidR="00174518">
        <w:t>,</w:t>
      </w:r>
      <w:r w:rsidRPr="002914B4">
        <w:t xml:space="preserve"> 2018). </w:t>
      </w:r>
      <w:r w:rsidR="00174518">
        <w:t>S</w:t>
      </w:r>
      <w:r>
        <w:t xml:space="preserve">ocial isolation and loneliness have been found to predict not only mental health conditions </w:t>
      </w:r>
      <w:r w:rsidR="00174518">
        <w:t>(</w:t>
      </w:r>
      <w:r>
        <w:t>such as depression</w:t>
      </w:r>
      <w:r w:rsidR="00174518">
        <w:t>),</w:t>
      </w:r>
      <w:r>
        <w:t xml:space="preserve"> but a range of other health conditions </w:t>
      </w:r>
      <w:r w:rsidR="00174518">
        <w:t xml:space="preserve">(such as </w:t>
      </w:r>
      <w:r>
        <w:t>cardiovascular disease and cognitive decline</w:t>
      </w:r>
      <w:r w:rsidR="00174518">
        <w:t>)</w:t>
      </w:r>
      <w:r>
        <w:t xml:space="preserve"> (Smith and Lim, 2020). </w:t>
      </w:r>
    </w:p>
    <w:p w14:paraId="1A34B0D6" w14:textId="77777777" w:rsidR="00186E10" w:rsidRPr="002914B4" w:rsidRDefault="00186E10" w:rsidP="00186E10">
      <w:pPr>
        <w:pStyle w:val="Body"/>
      </w:pPr>
      <w:r w:rsidRPr="002914B4">
        <w:t>Social isolation and loneliness can occur across the community, but can be more prevalent in certain group</w:t>
      </w:r>
      <w:r>
        <w:t>s</w:t>
      </w:r>
      <w:r w:rsidRPr="002914B4">
        <w:t>, including:</w:t>
      </w:r>
    </w:p>
    <w:p w14:paraId="7270D18A" w14:textId="77777777" w:rsidR="00186E10" w:rsidRPr="002914B4" w:rsidRDefault="00186E10" w:rsidP="00E073F1">
      <w:pPr>
        <w:pStyle w:val="Bullet1"/>
      </w:pPr>
      <w:r w:rsidRPr="002914B4">
        <w:t>older people</w:t>
      </w:r>
    </w:p>
    <w:p w14:paraId="6D238621" w14:textId="77777777" w:rsidR="00186E10" w:rsidRPr="002914B4" w:rsidRDefault="00186E10" w:rsidP="00E073F1">
      <w:pPr>
        <w:pStyle w:val="Bullet1"/>
      </w:pPr>
      <w:r w:rsidRPr="002914B4">
        <w:t>those from lower socioeconomic groups</w:t>
      </w:r>
    </w:p>
    <w:p w14:paraId="06DD8884" w14:textId="77777777" w:rsidR="00186E10" w:rsidRPr="002914B4" w:rsidRDefault="00186E10" w:rsidP="00E073F1">
      <w:pPr>
        <w:pStyle w:val="Bullet1"/>
      </w:pPr>
      <w:r w:rsidRPr="002914B4">
        <w:t>Aboriginal people</w:t>
      </w:r>
    </w:p>
    <w:p w14:paraId="7BCAF269" w14:textId="77777777" w:rsidR="00186E10" w:rsidRPr="002914B4" w:rsidRDefault="00186E10" w:rsidP="00E073F1">
      <w:pPr>
        <w:pStyle w:val="Bullet1"/>
      </w:pPr>
      <w:r w:rsidRPr="002914B4">
        <w:t>people who speak a language other than English</w:t>
      </w:r>
    </w:p>
    <w:p w14:paraId="33C2AAC5" w14:textId="77777777" w:rsidR="00186E10" w:rsidRPr="002914B4" w:rsidRDefault="00186E10" w:rsidP="00E073F1">
      <w:pPr>
        <w:pStyle w:val="Bullet1"/>
      </w:pPr>
      <w:r w:rsidRPr="002914B4">
        <w:t>people living with a disability</w:t>
      </w:r>
    </w:p>
    <w:p w14:paraId="4E1E0E86" w14:textId="77777777" w:rsidR="00186E10" w:rsidRPr="002914B4" w:rsidRDefault="00186E10" w:rsidP="00E073F1">
      <w:pPr>
        <w:pStyle w:val="Bullet1"/>
      </w:pPr>
      <w:r>
        <w:t xml:space="preserve">people </w:t>
      </w:r>
      <w:r w:rsidRPr="002914B4">
        <w:t xml:space="preserve">in housing stress or </w:t>
      </w:r>
      <w:r>
        <w:t xml:space="preserve">experiencing </w:t>
      </w:r>
      <w:r w:rsidRPr="002914B4">
        <w:t>homelessness</w:t>
      </w:r>
    </w:p>
    <w:p w14:paraId="7220050A" w14:textId="77777777" w:rsidR="00186E10" w:rsidRPr="002914B4" w:rsidRDefault="00186E10" w:rsidP="00E073F1">
      <w:pPr>
        <w:pStyle w:val="Bullet1"/>
      </w:pPr>
      <w:r w:rsidRPr="002914B4">
        <w:t>those who are single, childless or living alone</w:t>
      </w:r>
    </w:p>
    <w:p w14:paraId="516E5315" w14:textId="0F31CDCE" w:rsidR="00186E10" w:rsidRPr="002914B4" w:rsidRDefault="00186E10" w:rsidP="002E6180">
      <w:pPr>
        <w:pStyle w:val="Bullet1"/>
        <w:spacing w:after="120"/>
      </w:pPr>
      <w:r w:rsidRPr="002914B4">
        <w:lastRenderedPageBreak/>
        <w:t>those with low levels of literacy where this reduces access to information and services (Commissioner for Senior Victorians</w:t>
      </w:r>
      <w:r w:rsidR="00174518">
        <w:t>,</w:t>
      </w:r>
      <w:r w:rsidRPr="002914B4">
        <w:t xml:space="preserve"> 2016). </w:t>
      </w:r>
    </w:p>
    <w:p w14:paraId="10762F9D" w14:textId="3E21E658" w:rsidR="00186E10" w:rsidRPr="002914B4" w:rsidRDefault="00186E10" w:rsidP="00186E10">
      <w:pPr>
        <w:pStyle w:val="Body"/>
      </w:pPr>
      <w:r w:rsidRPr="002914B4">
        <w:t>A study of older Victorians found 10 per cent aged 60 or older experienced loneliness</w:t>
      </w:r>
      <w:r w:rsidR="00174518">
        <w:t xml:space="preserve">. In addition, reported rates of loneliness </w:t>
      </w:r>
      <w:r w:rsidRPr="002914B4">
        <w:t>increased as people aged (Commissioner for Senior Victorians</w:t>
      </w:r>
      <w:r w:rsidR="00174518">
        <w:t>,</w:t>
      </w:r>
      <w:r w:rsidRPr="002914B4">
        <w:t xml:space="preserve"> 2016). This study also identified ‘life events, traumas and transitions’ as risk factors for loneliness in older Victorians. </w:t>
      </w:r>
    </w:p>
    <w:p w14:paraId="210D4B7D" w14:textId="358E964F" w:rsidR="00186E10" w:rsidRPr="002914B4" w:rsidRDefault="00186E10" w:rsidP="00186E10">
      <w:pPr>
        <w:pStyle w:val="Body"/>
      </w:pPr>
      <w:r w:rsidRPr="002914B4">
        <w:t xml:space="preserve">Examples of </w:t>
      </w:r>
      <w:r w:rsidR="00174518">
        <w:t xml:space="preserve">events </w:t>
      </w:r>
      <w:r w:rsidRPr="002914B4">
        <w:t>that could trigger loneliness or worsen existing social isolation include: </w:t>
      </w:r>
    </w:p>
    <w:p w14:paraId="1615CFC2" w14:textId="77777777" w:rsidR="00186E10" w:rsidRPr="002914B4" w:rsidRDefault="00186E10" w:rsidP="00E073F1">
      <w:pPr>
        <w:pStyle w:val="Bullet1"/>
      </w:pPr>
      <w:r w:rsidRPr="002914B4">
        <w:t>retirement</w:t>
      </w:r>
    </w:p>
    <w:p w14:paraId="5DCFF4AE" w14:textId="77777777" w:rsidR="00186E10" w:rsidRPr="002914B4" w:rsidRDefault="00186E10" w:rsidP="00E073F1">
      <w:pPr>
        <w:pStyle w:val="Bullet1"/>
      </w:pPr>
      <w:r w:rsidRPr="002914B4">
        <w:t>relocation to a new area</w:t>
      </w:r>
    </w:p>
    <w:p w14:paraId="0DEAA1B0" w14:textId="77777777" w:rsidR="00186E10" w:rsidRPr="002914B4" w:rsidRDefault="00186E10" w:rsidP="00E073F1">
      <w:pPr>
        <w:pStyle w:val="Bullet1"/>
      </w:pPr>
      <w:r w:rsidRPr="002914B4">
        <w:t>adjustment to loss of a partner</w:t>
      </w:r>
    </w:p>
    <w:p w14:paraId="7D4994AE" w14:textId="77777777" w:rsidR="00186E10" w:rsidRPr="002914B4" w:rsidRDefault="00186E10" w:rsidP="00E073F1">
      <w:pPr>
        <w:pStyle w:val="Bullet1"/>
      </w:pPr>
      <w:r w:rsidRPr="002914B4">
        <w:t>the onset of health conditions</w:t>
      </w:r>
    </w:p>
    <w:p w14:paraId="0AD9DCD0" w14:textId="77777777" w:rsidR="00186E10" w:rsidRPr="002914B4" w:rsidRDefault="00186E10" w:rsidP="00E073F1">
      <w:pPr>
        <w:pStyle w:val="Bullet1"/>
      </w:pPr>
      <w:r w:rsidRPr="002914B4">
        <w:t>changes in lifestyle associated with becoming a carer</w:t>
      </w:r>
      <w:r>
        <w:t>.</w:t>
      </w:r>
    </w:p>
    <w:p w14:paraId="7CCE9918" w14:textId="77777777" w:rsidR="00186E10" w:rsidRPr="00D573D9" w:rsidRDefault="00186E10" w:rsidP="001E0F64">
      <w:pPr>
        <w:pStyle w:val="Heading3"/>
      </w:pPr>
      <w:r w:rsidRPr="00D573D9">
        <w:t xml:space="preserve">Sought professional help for a mental health problem </w:t>
      </w:r>
    </w:p>
    <w:p w14:paraId="1CD4392A" w14:textId="1757393D" w:rsidR="00186E10" w:rsidRDefault="00186E10" w:rsidP="00186E10">
      <w:pPr>
        <w:pStyle w:val="Body"/>
        <w:rPr>
          <w:szCs w:val="21"/>
        </w:rPr>
      </w:pPr>
      <w:r w:rsidRPr="46E21BC7">
        <w:t xml:space="preserve">In 2019, the </w:t>
      </w:r>
      <w:r w:rsidR="00174518">
        <w:t xml:space="preserve">overall </w:t>
      </w:r>
      <w:r w:rsidRPr="009E5C46">
        <w:t>proportion of adults who sought professional help for a mental</w:t>
      </w:r>
      <w:r w:rsidR="00174518" w:rsidRPr="009E5C46">
        <w:t>-</w:t>
      </w:r>
      <w:r w:rsidRPr="009E5C46">
        <w:t>health</w:t>
      </w:r>
      <w:r w:rsidR="00174518" w:rsidRPr="009E5C46">
        <w:t xml:space="preserve"> </w:t>
      </w:r>
      <w:r w:rsidRPr="009E5C46">
        <w:t xml:space="preserve">related problem in the </w:t>
      </w:r>
      <w:r w:rsidR="00174518" w:rsidRPr="009E5C46">
        <w:t xml:space="preserve">past 12 months </w:t>
      </w:r>
      <w:r w:rsidRPr="009E5C46">
        <w:t>was 18.8</w:t>
      </w:r>
      <w:r w:rsidR="00174518" w:rsidRPr="009E5C46">
        <w:t xml:space="preserve"> </w:t>
      </w:r>
      <w:r w:rsidRPr="009E5C46">
        <w:t>per cent</w:t>
      </w:r>
      <w:r w:rsidR="00283A0E" w:rsidRPr="009E5C46">
        <w:t>.</w:t>
      </w:r>
      <w:r>
        <w:t xml:space="preserve"> </w:t>
      </w:r>
      <w:r w:rsidRPr="46E21BC7">
        <w:t>(</w:t>
      </w:r>
      <w:r w:rsidR="00283A0E">
        <w:t>VAHI</w:t>
      </w:r>
      <w:r w:rsidRPr="46E21BC7">
        <w:t xml:space="preserve"> 2021). This proportion was significantly lower in men (14</w:t>
      </w:r>
      <w:r w:rsidR="00174518">
        <w:t xml:space="preserve"> </w:t>
      </w:r>
      <w:r>
        <w:t>per cent</w:t>
      </w:r>
      <w:r w:rsidRPr="46E21BC7">
        <w:t xml:space="preserve">) </w:t>
      </w:r>
      <w:r w:rsidR="00174518">
        <w:t xml:space="preserve">than </w:t>
      </w:r>
      <w:r w:rsidRPr="46E21BC7">
        <w:t>women (23.8</w:t>
      </w:r>
      <w:r w:rsidR="00174518">
        <w:t xml:space="preserve"> </w:t>
      </w:r>
      <w:r>
        <w:t>per cent</w:t>
      </w:r>
      <w:r w:rsidRPr="46E21BC7">
        <w:t xml:space="preserve">). </w:t>
      </w:r>
    </w:p>
    <w:p w14:paraId="14A1B516" w14:textId="6278A6E0" w:rsidR="00186E10" w:rsidRPr="00D573D9" w:rsidRDefault="00174518" w:rsidP="00186E10">
      <w:pPr>
        <w:pStyle w:val="Body"/>
      </w:pPr>
      <w:r>
        <w:t>In 2019</w:t>
      </w:r>
      <w:r w:rsidR="00186E10" w:rsidRPr="007C0A18">
        <w:t>, the proportion of adults who sought professional help for a mental</w:t>
      </w:r>
      <w:r>
        <w:t>-</w:t>
      </w:r>
      <w:r w:rsidR="00186E10" w:rsidRPr="007C0A18">
        <w:t>health</w:t>
      </w:r>
      <w:r>
        <w:t xml:space="preserve"> </w:t>
      </w:r>
      <w:r w:rsidR="00186E10" w:rsidRPr="007C0A18">
        <w:t>re</w:t>
      </w:r>
      <w:r w:rsidR="00186E10" w:rsidRPr="009D61AE">
        <w:t>lated problem was sign</w:t>
      </w:r>
      <w:r w:rsidR="00186E10" w:rsidRPr="008D1459">
        <w:t>ificantly higher in people who</w:t>
      </w:r>
      <w:r>
        <w:t>:</w:t>
      </w:r>
      <w:r w:rsidR="00186E10" w:rsidRPr="008D1459">
        <w:t xml:space="preserve"> </w:t>
      </w:r>
      <w:r>
        <w:t xml:space="preserve">were </w:t>
      </w:r>
      <w:r w:rsidR="00186E10" w:rsidRPr="008D1459">
        <w:t xml:space="preserve">born in Australia; </w:t>
      </w:r>
      <w:r>
        <w:t xml:space="preserve">were </w:t>
      </w:r>
      <w:r w:rsidR="00186E10" w:rsidRPr="008D1459">
        <w:t>widowed, divorced/separated</w:t>
      </w:r>
      <w:r>
        <w:t>,</w:t>
      </w:r>
      <w:r w:rsidR="00186E10" w:rsidRPr="008D1459">
        <w:t xml:space="preserve"> or never married; </w:t>
      </w:r>
      <w:r>
        <w:t xml:space="preserve">were </w:t>
      </w:r>
      <w:r w:rsidR="00186E10" w:rsidRPr="008D1459">
        <w:t>unemployed; or had a total annual household income of less than $40,000</w:t>
      </w:r>
      <w:r w:rsidR="00186E10" w:rsidRPr="00F251ED">
        <w:t xml:space="preserve"> (</w:t>
      </w:r>
      <w:r w:rsidR="00283A0E">
        <w:t>VAHI</w:t>
      </w:r>
      <w:r>
        <w:t>,</w:t>
      </w:r>
      <w:r w:rsidR="00186E10" w:rsidRPr="00E32209">
        <w:t xml:space="preserve"> 2021).</w:t>
      </w:r>
    </w:p>
    <w:p w14:paraId="1AACC2A5" w14:textId="77777777" w:rsidR="00186E10" w:rsidRPr="002914B4" w:rsidRDefault="00186E10" w:rsidP="00186E10">
      <w:pPr>
        <w:pStyle w:val="Heading3"/>
      </w:pPr>
      <w:r w:rsidRPr="002914B4">
        <w:t>Support for Victorians with mental illness</w:t>
      </w:r>
    </w:p>
    <w:p w14:paraId="4163A2A7" w14:textId="5855EA0B" w:rsidR="00174518" w:rsidRDefault="00186E10" w:rsidP="00186E10">
      <w:pPr>
        <w:pStyle w:val="Body"/>
      </w:pPr>
      <w:r w:rsidRPr="002914B4">
        <w:t>In 20</w:t>
      </w:r>
      <w:r>
        <w:t>18-</w:t>
      </w:r>
      <w:r w:rsidR="00174518">
        <w:t>20</w:t>
      </w:r>
      <w:r>
        <w:t>19</w:t>
      </w:r>
      <w:r w:rsidRPr="002914B4">
        <w:t>, $1.</w:t>
      </w:r>
      <w:r>
        <w:t>54</w:t>
      </w:r>
      <w:r w:rsidRPr="002914B4">
        <w:t xml:space="preserve"> billion was invested in mental health clinical services in Victoria</w:t>
      </w:r>
      <w:r w:rsidR="00174518">
        <w:t>. A</w:t>
      </w:r>
      <w:r w:rsidRPr="002914B4">
        <w:t>n additional $1</w:t>
      </w:r>
      <w:r>
        <w:t>18.5</w:t>
      </w:r>
      <w:r w:rsidRPr="002914B4">
        <w:t xml:space="preserve"> million </w:t>
      </w:r>
      <w:r w:rsidR="00174518">
        <w:t xml:space="preserve">was </w:t>
      </w:r>
      <w:r w:rsidRPr="002914B4">
        <w:t xml:space="preserve">provided for </w:t>
      </w:r>
      <w:r>
        <w:t>c</w:t>
      </w:r>
      <w:r w:rsidRPr="002914B4">
        <w:t>ommunity mental health support services (</w:t>
      </w:r>
      <w:r w:rsidR="00174518">
        <w:t>DHHS</w:t>
      </w:r>
      <w:r w:rsidRPr="002914B4">
        <w:t xml:space="preserve">, </w:t>
      </w:r>
      <w:r>
        <w:t>2020</w:t>
      </w:r>
      <w:r w:rsidRPr="002914B4">
        <w:t xml:space="preserve">). </w:t>
      </w:r>
    </w:p>
    <w:p w14:paraId="70B3E983" w14:textId="09B3798F" w:rsidR="00186E10" w:rsidRPr="002914B4" w:rsidRDefault="00186E10" w:rsidP="00186E10">
      <w:pPr>
        <w:pStyle w:val="Body"/>
      </w:pPr>
      <w:r w:rsidRPr="002914B4">
        <w:t>Services include</w:t>
      </w:r>
      <w:r w:rsidR="00174518">
        <w:t>d</w:t>
      </w:r>
      <w:r w:rsidRPr="002914B4">
        <w:t xml:space="preserve"> hospital-based care </w:t>
      </w:r>
      <w:r>
        <w:t>and community programs</w:t>
      </w:r>
      <w:r w:rsidRPr="002914B4">
        <w:t xml:space="preserve"> for at-risk </w:t>
      </w:r>
      <w:r>
        <w:t>groups</w:t>
      </w:r>
      <w:r w:rsidR="00174518">
        <w:t xml:space="preserve"> (</w:t>
      </w:r>
      <w:r w:rsidRPr="002914B4">
        <w:t>including LGBTIQ+</w:t>
      </w:r>
      <w:r>
        <w:t xml:space="preserve"> and </w:t>
      </w:r>
      <w:r w:rsidRPr="002914B4">
        <w:t>Aboriginal and Torres Strait Islander communities</w:t>
      </w:r>
      <w:r w:rsidR="00174518">
        <w:t>)</w:t>
      </w:r>
      <w:r>
        <w:t xml:space="preserve"> as well as supports for asylum seekers </w:t>
      </w:r>
      <w:r w:rsidRPr="002914B4">
        <w:t>(</w:t>
      </w:r>
      <w:r w:rsidR="00174518">
        <w:t>DHHS</w:t>
      </w:r>
      <w:r w:rsidRPr="002914B4">
        <w:t>, 201</w:t>
      </w:r>
      <w:r>
        <w:t>9</w:t>
      </w:r>
      <w:r w:rsidRPr="002914B4">
        <w:t xml:space="preserve">). </w:t>
      </w:r>
      <w:r>
        <w:t>Investments were also made for initiatives to strengthen and enhance the mental health workforce</w:t>
      </w:r>
      <w:r w:rsidR="00174518">
        <w:t>,</w:t>
      </w:r>
      <w:r>
        <w:t xml:space="preserve"> including more support for psychiatrists and a transition to practice program for nurses.</w:t>
      </w:r>
    </w:p>
    <w:p w14:paraId="411241EC" w14:textId="250939FB" w:rsidR="00186E10" w:rsidRDefault="00186E10" w:rsidP="00186E10">
      <w:pPr>
        <w:pStyle w:val="Body"/>
      </w:pPr>
      <w:r w:rsidRPr="002914B4">
        <w:t>For information about mental health services in Victoria, visit </w:t>
      </w:r>
      <w:hyperlink r:id="rId126" w:tgtFrame="_blank" w:history="1">
        <w:r w:rsidRPr="002914B4">
          <w:rPr>
            <w:rStyle w:val="Hyperlink"/>
          </w:rPr>
          <w:t>the Better Health Channel</w:t>
        </w:r>
      </w:hyperlink>
      <w:r w:rsidR="000E746D">
        <w:rPr>
          <w:rStyle w:val="Hyperlink"/>
        </w:rPr>
        <w:t xml:space="preserve"> </w:t>
      </w:r>
      <w:r w:rsidR="000E746D" w:rsidRPr="000E746D">
        <w:rPr>
          <w:color w:val="000000" w:themeColor="text1"/>
        </w:rPr>
        <w:t>&lt;https://www.betterhealth.vic.gov.au/servicesandsupport/mental-health-services&gt;</w:t>
      </w:r>
      <w:r w:rsidRPr="002914B4">
        <w:t>. The </w:t>
      </w:r>
      <w:hyperlink r:id="rId127" w:tgtFrame="_blank" w:history="1">
        <w:r w:rsidRPr="002914B4">
          <w:rPr>
            <w:rStyle w:val="Hyperlink"/>
          </w:rPr>
          <w:t>Mental Health Foundation</w:t>
        </w:r>
      </w:hyperlink>
      <w:r w:rsidRPr="002914B4">
        <w:t> </w:t>
      </w:r>
      <w:r w:rsidR="000E746D" w:rsidRPr="000E746D">
        <w:t xml:space="preserve">&lt;https://www.mhfa.org.au/&gt; </w:t>
      </w:r>
      <w:r w:rsidRPr="002914B4">
        <w:t>also provides information and online support groups as well as practical tips to support mental health.</w:t>
      </w:r>
      <w:r w:rsidR="00DC3DEE">
        <w:t xml:space="preserve"> </w:t>
      </w:r>
    </w:p>
    <w:p w14:paraId="7477D3F9" w14:textId="77777777" w:rsidR="00186E10" w:rsidRPr="002914B4" w:rsidRDefault="00186E10" w:rsidP="007D047A">
      <w:pPr>
        <w:pStyle w:val="Heading2"/>
      </w:pPr>
      <w:bookmarkStart w:id="144" w:name="_Toc116981388"/>
      <w:r>
        <w:t>Royal Commission into Victoria’s Mental Health System Interim Report 2019</w:t>
      </w:r>
      <w:bookmarkEnd w:id="144"/>
    </w:p>
    <w:p w14:paraId="4DA22C1C" w14:textId="77777777" w:rsidR="00174518" w:rsidRDefault="00186E10" w:rsidP="00186E10">
      <w:pPr>
        <w:pStyle w:val="Body"/>
      </w:pPr>
      <w:r w:rsidRPr="00126D99">
        <w:t xml:space="preserve">The Royal Commission into Victoria’s Mental Health System delivered its interim report in November 2019. </w:t>
      </w:r>
    </w:p>
    <w:p w14:paraId="340BDE1C" w14:textId="37F85A04" w:rsidR="00186E10" w:rsidRPr="00126D99" w:rsidRDefault="00186E10" w:rsidP="00186E10">
      <w:pPr>
        <w:pStyle w:val="Body"/>
      </w:pPr>
      <w:r w:rsidRPr="00126D99">
        <w:t xml:space="preserve">The interim report contained nine priority recommendations to address immediate needs and lay the foundations for a new approach to mental health. The report created a key opportunity to commence work on issues fundamental to improving Victoria’s mental health and wellbeing system before the final report was released in March 2021. </w:t>
      </w:r>
    </w:p>
    <w:p w14:paraId="2D573C44" w14:textId="2A3CC2BE" w:rsidR="00E74EF2" w:rsidRDefault="00E74EF2" w:rsidP="00186E10">
      <w:pPr>
        <w:pStyle w:val="Body"/>
      </w:pPr>
      <w:r>
        <w:lastRenderedPageBreak/>
        <w:t>A key</w:t>
      </w:r>
      <w:r w:rsidR="00186E10" w:rsidRPr="00126D99">
        <w:t xml:space="preserve"> recommendation </w:t>
      </w:r>
      <w:r>
        <w:t xml:space="preserve">was </w:t>
      </w:r>
      <w:r w:rsidR="00186E10" w:rsidRPr="00126D99">
        <w:t xml:space="preserve">the establishment of a reform office to commence work on implementation and build the relationships and foundations </w:t>
      </w:r>
      <w:r>
        <w:t xml:space="preserve">necessary </w:t>
      </w:r>
      <w:r w:rsidR="00186E10" w:rsidRPr="00126D99">
        <w:t xml:space="preserve">for </w:t>
      </w:r>
      <w:r>
        <w:t xml:space="preserve">an ongoing </w:t>
      </w:r>
      <w:r w:rsidR="00186E10" w:rsidRPr="00126D99">
        <w:t xml:space="preserve">reform program. </w:t>
      </w:r>
    </w:p>
    <w:p w14:paraId="4654AC51" w14:textId="0AEE347E" w:rsidR="00186E10" w:rsidRPr="00126D99" w:rsidRDefault="00186E10" w:rsidP="00186E10">
      <w:pPr>
        <w:pStyle w:val="Body"/>
      </w:pPr>
      <w:r w:rsidRPr="00126D99">
        <w:t>Other recommendations included</w:t>
      </w:r>
      <w:r w:rsidR="00E74EF2">
        <w:t>:</w:t>
      </w:r>
      <w:r w:rsidRPr="00126D99">
        <w:t xml:space="preserve"> expanding acute beds across the system (</w:t>
      </w:r>
      <w:r w:rsidR="00E74EF2">
        <w:t xml:space="preserve">such as </w:t>
      </w:r>
      <w:r w:rsidRPr="00126D99">
        <w:t>hospital</w:t>
      </w:r>
      <w:r w:rsidR="00E74EF2">
        <w:t>-</w:t>
      </w:r>
      <w:r w:rsidRPr="00126D99">
        <w:t>in</w:t>
      </w:r>
      <w:r w:rsidR="00E74EF2">
        <w:t>-</w:t>
      </w:r>
      <w:r w:rsidRPr="00126D99">
        <w:t>the</w:t>
      </w:r>
      <w:r w:rsidR="00E74EF2">
        <w:t>-</w:t>
      </w:r>
      <w:r w:rsidRPr="00126D99">
        <w:t xml:space="preserve">home and using private beds for public patients), </w:t>
      </w:r>
      <w:r w:rsidR="00E74EF2">
        <w:t xml:space="preserve">establishing </w:t>
      </w:r>
      <w:r w:rsidRPr="00126D99">
        <w:t xml:space="preserve">new Aboriginal social and wellbeing teams, expanding post-suicide outreach programs so that they cover the whole state, and focusing on new and expanded workforces </w:t>
      </w:r>
      <w:r w:rsidR="00E74EF2">
        <w:t xml:space="preserve">(such as </w:t>
      </w:r>
      <w:r w:rsidRPr="00126D99">
        <w:t>training and employing more people with lived experience of mental ill health</w:t>
      </w:r>
      <w:r w:rsidR="00E74EF2">
        <w:t>)</w:t>
      </w:r>
      <w:r w:rsidRPr="00126D99">
        <w:t xml:space="preserve">. </w:t>
      </w:r>
    </w:p>
    <w:p w14:paraId="39637897" w14:textId="77777777" w:rsidR="00186E10" w:rsidRDefault="00186E10" w:rsidP="00186E10">
      <w:pPr>
        <w:pStyle w:val="Body"/>
      </w:pPr>
      <w:r w:rsidRPr="00126D99">
        <w:t xml:space="preserve">Work on implementing the recommendations commenced in 2020. </w:t>
      </w:r>
    </w:p>
    <w:p w14:paraId="3816188A" w14:textId="16C9D86A" w:rsidR="00186E10" w:rsidRPr="0072087D" w:rsidRDefault="00186E10" w:rsidP="007D047A">
      <w:pPr>
        <w:pStyle w:val="Heading2"/>
      </w:pPr>
      <w:bookmarkStart w:id="145" w:name="_Toc116981389"/>
      <w:r w:rsidRPr="00C87F2E">
        <w:t>Suicide prevention</w:t>
      </w:r>
      <w:bookmarkEnd w:id="145"/>
    </w:p>
    <w:p w14:paraId="42B83E40" w14:textId="05793CF4" w:rsidR="00186E10" w:rsidRPr="0072087D" w:rsidRDefault="00186E10" w:rsidP="00186E10">
      <w:pPr>
        <w:pStyle w:val="Body"/>
      </w:pPr>
      <w:r w:rsidRPr="00F14E93">
        <w:t xml:space="preserve">There was a slight decrease in the suicide rate in 2019, at 10.7 </w:t>
      </w:r>
      <w:r w:rsidR="00E74EF2">
        <w:t xml:space="preserve">per 100,000 population, </w:t>
      </w:r>
      <w:r w:rsidRPr="00F14E93">
        <w:t>compared with 10.8 in 2018 (</w:t>
      </w:r>
      <w:r w:rsidR="00153B98">
        <w:t>AIHW</w:t>
      </w:r>
      <w:r w:rsidRPr="00F14E93">
        <w:t xml:space="preserve">, 2020). </w:t>
      </w:r>
    </w:p>
    <w:p w14:paraId="3138E81B" w14:textId="64966AA8" w:rsidR="00186E10" w:rsidRPr="00AC1F98" w:rsidRDefault="00186E10" w:rsidP="00186E10">
      <w:pPr>
        <w:pStyle w:val="Body"/>
        <w:rPr>
          <w:i/>
          <w:iCs/>
        </w:rPr>
      </w:pPr>
      <w:r w:rsidRPr="0072087D">
        <w:t xml:space="preserve">Released in July 2016, </w:t>
      </w:r>
      <w:r w:rsidRPr="00C87F2E">
        <w:t xml:space="preserve">the </w:t>
      </w:r>
      <w:r w:rsidRPr="00F14E93">
        <w:rPr>
          <w:i/>
        </w:rPr>
        <w:t>Victorian suicide prevention framework 2016</w:t>
      </w:r>
      <w:r w:rsidR="00E74EF2">
        <w:rPr>
          <w:i/>
        </w:rPr>
        <w:t>-</w:t>
      </w:r>
      <w:r w:rsidRPr="00F14E93">
        <w:rPr>
          <w:i/>
        </w:rPr>
        <w:t>25</w:t>
      </w:r>
      <w:r w:rsidRPr="00C87F2E">
        <w:t xml:space="preserve"> set Victoria’s priorities for suicide prevention as part of </w:t>
      </w:r>
      <w:r w:rsidRPr="00C87F2E">
        <w:rPr>
          <w:i/>
          <w:iCs/>
        </w:rPr>
        <w:t xml:space="preserve">Victoria’s 10-year mental health plan. </w:t>
      </w:r>
      <w:r w:rsidRPr="00C87F2E">
        <w:t>The framework outline</w:t>
      </w:r>
      <w:r w:rsidR="00E74EF2">
        <w:t>d</w:t>
      </w:r>
      <w:r w:rsidRPr="00C87F2E">
        <w:t xml:space="preserve"> five </w:t>
      </w:r>
      <w:r w:rsidR="00E74EF2">
        <w:t xml:space="preserve">key </w:t>
      </w:r>
      <w:r w:rsidRPr="00C87F2E">
        <w:t>objectives</w:t>
      </w:r>
      <w:r>
        <w:t>,</w:t>
      </w:r>
      <w:r w:rsidRPr="0072087D">
        <w:t xml:space="preserve"> with</w:t>
      </w:r>
      <w:r w:rsidRPr="00C87F2E">
        <w:t xml:space="preserve"> the overall goal to halve Victoria’s suicide rate by 2025 (</w:t>
      </w:r>
      <w:r w:rsidR="00E74EF2">
        <w:t xml:space="preserve">DHHS, </w:t>
      </w:r>
      <w:r w:rsidRPr="00C87F2E">
        <w:t xml:space="preserve">2016). </w:t>
      </w:r>
    </w:p>
    <w:p w14:paraId="6F2D18E4" w14:textId="79869ADA" w:rsidR="00186E10" w:rsidRDefault="00186E10" w:rsidP="00186E10">
      <w:pPr>
        <w:pStyle w:val="Body"/>
      </w:pPr>
      <w:r w:rsidRPr="00F14E93">
        <w:t xml:space="preserve">The framework is supported by investment of </w:t>
      </w:r>
      <w:r w:rsidRPr="0072087D">
        <w:t xml:space="preserve">$27 million </w:t>
      </w:r>
      <w:r>
        <w:t xml:space="preserve">in 2016-17 </w:t>
      </w:r>
      <w:r w:rsidRPr="0072087D">
        <w:t>over four years to</w:t>
      </w:r>
      <w:r w:rsidRPr="00C42AAC">
        <w:t xml:space="preserve"> </w:t>
      </w:r>
      <w:r w:rsidRPr="00F14E93">
        <w:t>enable action across the five objectives and</w:t>
      </w:r>
      <w:r w:rsidRPr="0072087D">
        <w:t xml:space="preserve"> support the implementation of</w:t>
      </w:r>
      <w:r w:rsidRPr="00C42AAC">
        <w:t xml:space="preserve"> </w:t>
      </w:r>
      <w:r w:rsidRPr="00F14E93">
        <w:t>the</w:t>
      </w:r>
      <w:r w:rsidRPr="0072087D">
        <w:t xml:space="preserve"> two flagship</w:t>
      </w:r>
      <w:r w:rsidRPr="00C87F2E">
        <w:t xml:space="preserve"> initiatives</w:t>
      </w:r>
      <w:r w:rsidRPr="00C42AAC">
        <w:t xml:space="preserve"> </w:t>
      </w:r>
      <w:r w:rsidRPr="00F14E93">
        <w:t>–place-based suicide prevention trials and the Hospital Outreach Post-suicidal Engagement initiative.</w:t>
      </w:r>
    </w:p>
    <w:p w14:paraId="3020CECD" w14:textId="77777777" w:rsidR="00186E10" w:rsidRPr="008C0D44" w:rsidRDefault="00186E10" w:rsidP="00500FD6">
      <w:pPr>
        <w:pStyle w:val="Heading3"/>
      </w:pPr>
      <w:r w:rsidRPr="008C0D44">
        <w:t>Place-based suicide prevention trials</w:t>
      </w:r>
    </w:p>
    <w:p w14:paraId="75AA5E91" w14:textId="3BEF85A5" w:rsidR="00186E10" w:rsidRDefault="00186E10" w:rsidP="00186E10">
      <w:pPr>
        <w:pStyle w:val="Body"/>
      </w:pPr>
      <w:r>
        <w:t>Since 2016</w:t>
      </w:r>
      <w:r w:rsidR="00E74EF2">
        <w:t>,</w:t>
      </w:r>
      <w:r>
        <w:t xml:space="preserve"> the Victorian Government and Primary Health Networks have partnered to support </w:t>
      </w:r>
      <w:r w:rsidR="00E60D4D">
        <w:t xml:space="preserve">the development and implementation of </w:t>
      </w:r>
      <w:r>
        <w:t xml:space="preserve">coordinated, place-based approaches to suicide prevention in 12 trial sites across Victoria. </w:t>
      </w:r>
    </w:p>
    <w:p w14:paraId="23FAE78C" w14:textId="76493DC2" w:rsidR="00186E10" w:rsidRDefault="00186E10" w:rsidP="00186E10">
      <w:pPr>
        <w:pStyle w:val="Body"/>
      </w:pPr>
      <w:r>
        <w:t xml:space="preserve">Each </w:t>
      </w:r>
      <w:r w:rsidR="00E60D4D">
        <w:t xml:space="preserve">trial </w:t>
      </w:r>
      <w:r>
        <w:t>site actively engag</w:t>
      </w:r>
      <w:r w:rsidR="00E60D4D">
        <w:t>ed</w:t>
      </w:r>
      <w:r>
        <w:t xml:space="preserve"> with the local community and established governance structures, review</w:t>
      </w:r>
      <w:r w:rsidR="00E60D4D">
        <w:t>ing</w:t>
      </w:r>
      <w:r>
        <w:t xml:space="preserve"> groups at risk of suicide and develop</w:t>
      </w:r>
      <w:r w:rsidR="00E60D4D">
        <w:t>ing</w:t>
      </w:r>
      <w:r>
        <w:t xml:space="preserve"> action plans. </w:t>
      </w:r>
    </w:p>
    <w:p w14:paraId="6B91BDE6" w14:textId="40B68199" w:rsidR="00186E10" w:rsidRDefault="00186E10" w:rsidP="00186E10">
      <w:pPr>
        <w:pStyle w:val="Body"/>
      </w:pPr>
      <w:r>
        <w:t xml:space="preserve">Local activities </w:t>
      </w:r>
      <w:r w:rsidR="00E60D4D">
        <w:t xml:space="preserve">have </w:t>
      </w:r>
      <w:r>
        <w:t>include</w:t>
      </w:r>
      <w:r w:rsidR="00E60D4D">
        <w:t>d</w:t>
      </w:r>
      <w:r>
        <w:t xml:space="preserve"> training to build the confidence and skills of people with lived experience in talking about suicide, supporting GPs to recognise and help people at risk of suicide</w:t>
      </w:r>
      <w:r w:rsidR="00E60D4D">
        <w:t>,</w:t>
      </w:r>
      <w:r>
        <w:t xml:space="preserve"> and working with the community to develop a protocol for response after a suicide.</w:t>
      </w:r>
    </w:p>
    <w:p w14:paraId="512F0ACD" w14:textId="47FE45A5" w:rsidR="00186E10" w:rsidRPr="00810315" w:rsidRDefault="00186E10" w:rsidP="00500FD6">
      <w:pPr>
        <w:pStyle w:val="Heading3"/>
        <w:rPr>
          <w:color w:val="000000" w:themeColor="text1"/>
        </w:rPr>
      </w:pPr>
      <w:r w:rsidRPr="00810315">
        <w:rPr>
          <w:color w:val="000000" w:themeColor="text1"/>
        </w:rPr>
        <w:t>Hospital Outreach Post-Suicidal Engagement initiative</w:t>
      </w:r>
    </w:p>
    <w:p w14:paraId="7D9FA919" w14:textId="08D8DEF0" w:rsidR="00E60D4D" w:rsidRDefault="00186E10" w:rsidP="00186E10">
      <w:pPr>
        <w:pStyle w:val="Body"/>
      </w:pPr>
      <w:r w:rsidRPr="00810315">
        <w:rPr>
          <w:color w:val="000000" w:themeColor="text1"/>
        </w:rPr>
        <w:t xml:space="preserve">The </w:t>
      </w:r>
      <w:r w:rsidR="00CC7E58" w:rsidRPr="00810315">
        <w:rPr>
          <w:color w:val="000000" w:themeColor="text1"/>
        </w:rPr>
        <w:t>Hospital Outreach Post-Suicidal Engagement</w:t>
      </w:r>
      <w:r w:rsidRPr="00810315">
        <w:rPr>
          <w:color w:val="000000" w:themeColor="text1"/>
        </w:rPr>
        <w:t xml:space="preserve"> initiative </w:t>
      </w:r>
      <w:r w:rsidR="00E116DC">
        <w:rPr>
          <w:color w:val="000000" w:themeColor="text1"/>
        </w:rPr>
        <w:t xml:space="preserve">(HOPE) </w:t>
      </w:r>
      <w:r w:rsidRPr="00810315">
        <w:rPr>
          <w:color w:val="000000" w:themeColor="text1"/>
        </w:rPr>
        <w:t xml:space="preserve">provides practical, </w:t>
      </w:r>
      <w:r>
        <w:t xml:space="preserve">tailored and accessible psychosocial support and assertive outreach for people following a suicide attempt, self-harm or suicidal crisis. </w:t>
      </w:r>
    </w:p>
    <w:p w14:paraId="14BE4A32" w14:textId="72D33C33" w:rsidR="00186E10" w:rsidRDefault="00186E10" w:rsidP="00186E10">
      <w:pPr>
        <w:pStyle w:val="Body"/>
      </w:pPr>
      <w:r>
        <w:t>HOPE teams work with individuals and their personal support networks (families, carers</w:t>
      </w:r>
      <w:r w:rsidR="00E60D4D">
        <w:t>,</w:t>
      </w:r>
      <w:r>
        <w:t xml:space="preserve"> or other supporters) for up to three months, helping them identify and build protective factors against suicide. </w:t>
      </w:r>
    </w:p>
    <w:p w14:paraId="63310CF8" w14:textId="77777777" w:rsidR="00186E10" w:rsidRDefault="00186E10" w:rsidP="00186E10">
      <w:pPr>
        <w:pStyle w:val="Body"/>
      </w:pPr>
      <w:r>
        <w:t>The HOPE initiative began with six sites, with service delivery commencing in 2017. In 2018-19, the State Budget allocated an additional $18.7 million to expand the HOPE initiative to another six sites in Victoria, demonstrating the commitment to innovative, person-centred and trauma-informed psychosocial responses to suicide prevention.</w:t>
      </w:r>
    </w:p>
    <w:p w14:paraId="6BCB77C2" w14:textId="2CB97321" w:rsidR="00186E10" w:rsidRPr="007E3F2D" w:rsidRDefault="00186E10" w:rsidP="00AC1F98">
      <w:pPr>
        <w:spacing w:before="60" w:after="60" w:line="259" w:lineRule="auto"/>
      </w:pPr>
      <w:r w:rsidRPr="007E3F2D">
        <w:rPr>
          <w:rFonts w:eastAsia="Times"/>
        </w:rPr>
        <w:t>In its interim report, the Royal Commission into Victoria’s Mental Health System recommended</w:t>
      </w:r>
      <w:r>
        <w:rPr>
          <w:rFonts w:eastAsia="Times"/>
        </w:rPr>
        <w:t xml:space="preserve"> further</w:t>
      </w:r>
      <w:r w:rsidRPr="007E3F2D">
        <w:rPr>
          <w:rFonts w:eastAsia="Times"/>
        </w:rPr>
        <w:t xml:space="preserve"> expan</w:t>
      </w:r>
      <w:r>
        <w:rPr>
          <w:rFonts w:eastAsia="Times"/>
        </w:rPr>
        <w:t>sion of</w:t>
      </w:r>
      <w:r w:rsidRPr="007E3F2D">
        <w:rPr>
          <w:rFonts w:eastAsia="Times"/>
        </w:rPr>
        <w:t xml:space="preserve"> the HOPE </w:t>
      </w:r>
      <w:r>
        <w:rPr>
          <w:rFonts w:eastAsia="Times"/>
        </w:rPr>
        <w:t>initiative</w:t>
      </w:r>
      <w:r w:rsidRPr="007E3F2D">
        <w:rPr>
          <w:rFonts w:eastAsia="Times"/>
        </w:rPr>
        <w:t xml:space="preserve"> to all area mental health services to provide universal </w:t>
      </w:r>
      <w:r w:rsidRPr="007E3F2D">
        <w:rPr>
          <w:rFonts w:eastAsia="Times"/>
        </w:rPr>
        <w:lastRenderedPageBreak/>
        <w:t xml:space="preserve">access to </w:t>
      </w:r>
      <w:r>
        <w:rPr>
          <w:rFonts w:eastAsia="Times"/>
        </w:rPr>
        <w:t xml:space="preserve">the service </w:t>
      </w:r>
      <w:r w:rsidRPr="007E3F2D">
        <w:rPr>
          <w:rFonts w:eastAsia="Times"/>
        </w:rPr>
        <w:t>(recommendation 3).</w:t>
      </w:r>
      <w:r w:rsidR="00E60D4D">
        <w:rPr>
          <w:rFonts w:eastAsia="Times"/>
        </w:rPr>
        <w:t xml:space="preserve"> </w:t>
      </w:r>
      <w:r w:rsidRPr="007E3F2D">
        <w:rPr>
          <w:rFonts w:eastAsia="Times"/>
        </w:rPr>
        <w:t>The recommendation also included expanded referral pathways, subregional outreach</w:t>
      </w:r>
      <w:r w:rsidR="00E60D4D">
        <w:rPr>
          <w:rFonts w:eastAsia="Times"/>
        </w:rPr>
        <w:t>,</w:t>
      </w:r>
      <w:r w:rsidRPr="007E3F2D">
        <w:rPr>
          <w:rFonts w:eastAsia="Times"/>
        </w:rPr>
        <w:t xml:space="preserve"> and extended service hours.</w:t>
      </w:r>
    </w:p>
    <w:p w14:paraId="77BE3C5E" w14:textId="66FD3B11" w:rsidR="00186E10" w:rsidRDefault="00186E10" w:rsidP="00662CA6">
      <w:pPr>
        <w:pStyle w:val="Body"/>
        <w:spacing w:after="240"/>
      </w:pPr>
      <w:r>
        <w:t>In the 12</w:t>
      </w:r>
      <w:r w:rsidR="00E60D4D">
        <w:t>-</w:t>
      </w:r>
      <w:r>
        <w:t xml:space="preserve">18 months up to the end of 2019, the initiative supported more than 800 people and their families following a suicide attempt. </w:t>
      </w:r>
    </w:p>
    <w:p w14:paraId="32E173D3" w14:textId="72302EC6" w:rsidR="00186E10" w:rsidRPr="00186E10" w:rsidRDefault="00186E10" w:rsidP="00186E10">
      <w:pPr>
        <w:spacing w:after="0" w:line="240" w:lineRule="auto"/>
        <w:rPr>
          <w:rFonts w:eastAsia="MS Mincho"/>
          <w:b/>
          <w:bCs/>
          <w:iCs/>
          <w:color w:val="000000" w:themeColor="text1"/>
          <w:szCs w:val="26"/>
        </w:rPr>
      </w:pPr>
      <w:r>
        <w:rPr>
          <w:rFonts w:eastAsia="MS Mincho"/>
          <w:b/>
          <w:bCs/>
          <w:iCs/>
          <w:color w:val="000000" w:themeColor="text1"/>
          <w:szCs w:val="26"/>
        </w:rPr>
        <w:t xml:space="preserve">References </w:t>
      </w:r>
      <w:r w:rsidRPr="00EB539F">
        <w:rPr>
          <w:i/>
          <w:iCs/>
          <w:color w:val="4F81BD" w:themeColor="accent1"/>
        </w:rPr>
        <w:t xml:space="preserve"> </w:t>
      </w:r>
    </w:p>
    <w:p w14:paraId="43D6CF68" w14:textId="658BE326" w:rsidR="00186E10" w:rsidRPr="006A11C6" w:rsidRDefault="00186E10" w:rsidP="00186E10">
      <w:pPr>
        <w:pStyle w:val="Body"/>
      </w:pPr>
      <w:r w:rsidRPr="006A11C6">
        <w:t>Australian Bureau of Statistics2018</w:t>
      </w:r>
      <w:r w:rsidR="7C24DB1F" w:rsidRPr="006A11C6">
        <w:t>,</w:t>
      </w:r>
      <w:r w:rsidRPr="006A11C6">
        <w:t xml:space="preserve"> ‘</w:t>
      </w:r>
      <w:bookmarkStart w:id="146" w:name="_Hlk122453437"/>
      <w:r w:rsidR="00701A2D" w:rsidRPr="006A11C6">
        <w:fldChar w:fldCharType="begin"/>
      </w:r>
      <w:r w:rsidR="00701A2D" w:rsidRPr="006A11C6">
        <w:instrText xml:space="preserve"> HYPERLINK "https://www.abs.gov.au/statistics/health/health-conditions-and-risks/national-health-survey-first-results/latest-release" \l "mental-and-behavioural-conditions" \h </w:instrText>
      </w:r>
      <w:r w:rsidR="00701A2D" w:rsidRPr="006A11C6">
        <w:fldChar w:fldCharType="separate"/>
      </w:r>
      <w:r w:rsidRPr="006A11C6">
        <w:rPr>
          <w:rStyle w:val="Hyperlink"/>
        </w:rPr>
        <w:t>National Health Survey: First results, 2017-18</w:t>
      </w:r>
      <w:r w:rsidR="00701A2D" w:rsidRPr="006A11C6">
        <w:rPr>
          <w:rStyle w:val="Hyperlink"/>
        </w:rPr>
        <w:fldChar w:fldCharType="end"/>
      </w:r>
      <w:bookmarkEnd w:id="146"/>
      <w:r w:rsidRPr="006A11C6">
        <w:t xml:space="preserve">’ </w:t>
      </w:r>
      <w:r w:rsidR="19EF26A6" w:rsidRPr="006A11C6">
        <w:t>(</w:t>
      </w:r>
      <w:r w:rsidR="006A11C6" w:rsidRPr="006A11C6">
        <w:t xml:space="preserve">viewed </w:t>
      </w:r>
      <w:r w:rsidRPr="006A11C6">
        <w:t>28 September 2022</w:t>
      </w:r>
      <w:r w:rsidR="6F88F84F" w:rsidRPr="006A11C6">
        <w:t>)</w:t>
      </w:r>
      <w:r w:rsidR="00E47CEF" w:rsidRPr="006A11C6">
        <w:t>.</w:t>
      </w:r>
      <w:r w:rsidR="000E746D" w:rsidRPr="000E746D">
        <w:t xml:space="preserve"> </w:t>
      </w:r>
      <w:r w:rsidR="006B07B4">
        <w:t xml:space="preserve">Available at </w:t>
      </w:r>
      <w:r w:rsidR="00E47CEF" w:rsidRPr="006A11C6">
        <w:t>&lt;</w:t>
      </w:r>
      <w:r w:rsidRPr="006A11C6">
        <w:t>https://www.abs.gov.au/statistics/health/health-conditions-and-risks/national-health-survey-first-results/latest-release#mental-and-behavioural-conditions</w:t>
      </w:r>
      <w:r w:rsidR="00E47CEF" w:rsidRPr="006A11C6">
        <w:rPr>
          <w:rStyle w:val="Hyperlink"/>
          <w:color w:val="auto"/>
          <w:u w:val="none"/>
        </w:rPr>
        <w:t>&gt;</w:t>
      </w:r>
      <w:r w:rsidRPr="006A11C6">
        <w:t xml:space="preserve"> </w:t>
      </w:r>
    </w:p>
    <w:p w14:paraId="22DF97E8" w14:textId="1FED93F2" w:rsidR="00186E10" w:rsidRPr="006A11C6" w:rsidRDefault="00186E10" w:rsidP="00186E10">
      <w:pPr>
        <w:pStyle w:val="Body"/>
      </w:pPr>
      <w:r w:rsidRPr="006A11C6">
        <w:t>Australian Bureau of Statistics 2019</w:t>
      </w:r>
      <w:r w:rsidR="599BB6C5" w:rsidRPr="006A11C6">
        <w:t>,</w:t>
      </w:r>
      <w:r w:rsidRPr="006A11C6">
        <w:t xml:space="preserve"> ‘</w:t>
      </w:r>
      <w:hyperlink r:id="rId128">
        <w:r w:rsidRPr="006A11C6">
          <w:rPr>
            <w:rStyle w:val="Hyperlink"/>
          </w:rPr>
          <w:t>National Aboriginal and Torres Strait Islander Health Survey, 2018-19</w:t>
        </w:r>
      </w:hyperlink>
      <w:r w:rsidRPr="006A11C6">
        <w:t xml:space="preserve">’ </w:t>
      </w:r>
      <w:r w:rsidR="6585D352" w:rsidRPr="006A11C6">
        <w:t>(view</w:t>
      </w:r>
      <w:r w:rsidRPr="006A11C6">
        <w:t>ed 28 September 2022</w:t>
      </w:r>
      <w:r w:rsidR="5ED2FD92" w:rsidRPr="006A11C6">
        <w:t>)</w:t>
      </w:r>
      <w:r w:rsidR="00E47CEF" w:rsidRPr="006A11C6">
        <w:t>.</w:t>
      </w:r>
      <w:r w:rsidR="00E47CEF" w:rsidRPr="00CD067F">
        <w:rPr>
          <w:color w:val="000000" w:themeColor="text1"/>
        </w:rPr>
        <w:t xml:space="preserve"> </w:t>
      </w:r>
      <w:hyperlink r:id="rId129" w:history="1">
        <w:r w:rsidR="00CD067F" w:rsidRPr="00CD067F">
          <w:rPr>
            <w:rStyle w:val="Hyperlink"/>
            <w:color w:val="000000" w:themeColor="text1"/>
            <w:u w:val="none"/>
          </w:rPr>
          <w:t xml:space="preserve">Available at </w:t>
        </w:r>
      </w:hyperlink>
      <w:r w:rsidR="00E47CEF" w:rsidRPr="006A11C6">
        <w:t>&lt;</w:t>
      </w:r>
      <w:r w:rsidRPr="006A11C6">
        <w:t>https://www.abs.gov.au/statistics/people/aboriginal-and-torres-strait-islander-peoples/national-aboriginal-and-torres-strait-islander-health-survey/latest-release</w:t>
      </w:r>
      <w:r w:rsidR="00E47CEF" w:rsidRPr="006A11C6">
        <w:t>&gt;</w:t>
      </w:r>
      <w:r w:rsidR="00CD067F">
        <w:t>.</w:t>
      </w:r>
    </w:p>
    <w:p w14:paraId="76D371ED" w14:textId="38A2D70B" w:rsidR="00186E10" w:rsidRPr="006A11C6" w:rsidRDefault="00186E10" w:rsidP="00186E10">
      <w:pPr>
        <w:pStyle w:val="Body"/>
        <w:rPr>
          <w:rStyle w:val="Hyperlink"/>
          <w:color w:val="auto"/>
          <w:u w:val="none"/>
        </w:rPr>
      </w:pPr>
      <w:r w:rsidRPr="006A11C6">
        <w:t>Australian Institute of Health and Welfare 2021</w:t>
      </w:r>
      <w:r w:rsidR="137B624E" w:rsidRPr="006A11C6">
        <w:t>,</w:t>
      </w:r>
      <w:r w:rsidRPr="006A11C6">
        <w:t xml:space="preserve"> ‘</w:t>
      </w:r>
      <w:hyperlink r:id="rId130">
        <w:r w:rsidRPr="006A11C6">
          <w:rPr>
            <w:rStyle w:val="Hyperlink"/>
          </w:rPr>
          <w:t>Australian Burden of Disease Study: Impact and causes of illness and death in Australia 2018</w:t>
        </w:r>
      </w:hyperlink>
      <w:r w:rsidRPr="006A11C6">
        <w:t xml:space="preserve">’ </w:t>
      </w:r>
      <w:r w:rsidR="04CD3B3F" w:rsidRPr="006A11C6">
        <w:t>(view</w:t>
      </w:r>
      <w:r w:rsidRPr="006A11C6">
        <w:t>ed 28 September 2022</w:t>
      </w:r>
      <w:r w:rsidR="32C54B24" w:rsidRPr="006A11C6">
        <w:t>)</w:t>
      </w:r>
      <w:r w:rsidR="001D2281" w:rsidRPr="006A11C6">
        <w:t xml:space="preserve">. </w:t>
      </w:r>
      <w:r w:rsidR="00CD067F">
        <w:t xml:space="preserve">Available at </w:t>
      </w:r>
      <w:r w:rsidR="001D2281" w:rsidRPr="006A11C6">
        <w:t>&lt;</w:t>
      </w:r>
      <w:r w:rsidRPr="006A11C6">
        <w:t>https://www.aihw.gov.au/reports/burden-of-disease/abds-impact-and-causes-of-illness-and-death-in-aus/summary</w:t>
      </w:r>
      <w:r w:rsidR="001D2281" w:rsidRPr="006A11C6">
        <w:rPr>
          <w:rStyle w:val="Hyperlink"/>
          <w:color w:val="auto"/>
          <w:u w:val="none"/>
        </w:rPr>
        <w:t>&gt;</w:t>
      </w:r>
      <w:r w:rsidR="00CD067F">
        <w:rPr>
          <w:rStyle w:val="Hyperlink"/>
          <w:color w:val="auto"/>
          <w:u w:val="none"/>
        </w:rPr>
        <w:t>.</w:t>
      </w:r>
    </w:p>
    <w:p w14:paraId="28C6785A" w14:textId="54E86D60" w:rsidR="00186E10" w:rsidRPr="006A11C6" w:rsidRDefault="00186E10" w:rsidP="00186E10">
      <w:pPr>
        <w:pStyle w:val="Body"/>
      </w:pPr>
      <w:r w:rsidRPr="006A11C6">
        <w:t>Australian Institute of Health and Welfare 2020</w:t>
      </w:r>
      <w:r w:rsidR="5E2387EF" w:rsidRPr="006A11C6">
        <w:t>,</w:t>
      </w:r>
      <w:r w:rsidRPr="006A11C6">
        <w:t xml:space="preserve"> ‘Suicide and self-harm monitoring’ </w:t>
      </w:r>
      <w:r w:rsidR="68CD77E0" w:rsidRPr="006A11C6">
        <w:t>(view</w:t>
      </w:r>
      <w:r w:rsidRPr="006A11C6">
        <w:t>ed 6 October</w:t>
      </w:r>
      <w:r w:rsidR="77D4CAF5" w:rsidRPr="006A11C6">
        <w:t>)</w:t>
      </w:r>
      <w:r w:rsidR="00CD067F">
        <w:t>. Available at &lt;</w:t>
      </w:r>
      <w:r w:rsidRPr="006A11C6">
        <w:t>https://www.aihw.gov.au/suicide-self-harm-monitoring/data</w:t>
      </w:r>
      <w:r w:rsidR="00CD067F">
        <w:t>&gt;.</w:t>
      </w:r>
    </w:p>
    <w:p w14:paraId="64810914" w14:textId="65F90D87" w:rsidR="00382906" w:rsidRPr="006A11C6" w:rsidRDefault="00B31219" w:rsidP="00186E10">
      <w:pPr>
        <w:pStyle w:val="Body"/>
      </w:pPr>
      <w:r w:rsidRPr="006A11C6">
        <w:t>Department</w:t>
      </w:r>
      <w:r w:rsidR="00382906" w:rsidRPr="006A11C6">
        <w:t xml:space="preserve"> of Health and Aged Care</w:t>
      </w:r>
      <w:r w:rsidR="00672289" w:rsidRPr="006A11C6">
        <w:t xml:space="preserve"> 2018</w:t>
      </w:r>
      <w:r w:rsidR="3281C8FA" w:rsidRPr="006A11C6">
        <w:t>,</w:t>
      </w:r>
      <w:r w:rsidRPr="006A11C6">
        <w:t xml:space="preserve"> ‘What we’re doing about lung and respiratory conditions’</w:t>
      </w:r>
      <w:r w:rsidR="00CD067F">
        <w:t>. A</w:t>
      </w:r>
      <w:r w:rsidR="00471BD5" w:rsidRPr="006A11C6">
        <w:t>vailable at &lt;www.health.gov.au/health-topics/chronic-conditions&gt;</w:t>
      </w:r>
      <w:r w:rsidR="00CD067F">
        <w:t>.</w:t>
      </w:r>
    </w:p>
    <w:p w14:paraId="6103D3DC" w14:textId="4A05F849" w:rsidR="00186E10" w:rsidRPr="00CD067F" w:rsidRDefault="00186E10" w:rsidP="00186E10">
      <w:pPr>
        <w:pStyle w:val="Body"/>
        <w:rPr>
          <w:rFonts w:cs="VIC"/>
          <w:color w:val="000000" w:themeColor="text1"/>
          <w:szCs w:val="21"/>
        </w:rPr>
      </w:pPr>
      <w:r w:rsidRPr="006A11C6">
        <w:t>Department of Health and Human Services 2020</w:t>
      </w:r>
      <w:r w:rsidR="1BF04368" w:rsidRPr="006A11C6">
        <w:t xml:space="preserve">, </w:t>
      </w:r>
      <w:r w:rsidRPr="006A11C6">
        <w:t>‘Victoria’s Mental Health Services Annual Report 2019-20’</w:t>
      </w:r>
      <w:r w:rsidR="00CD067F">
        <w:t>. A</w:t>
      </w:r>
      <w:r w:rsidRPr="006A11C6">
        <w:t xml:space="preserve">vailable </w:t>
      </w:r>
      <w:r w:rsidRPr="00CD067F">
        <w:rPr>
          <w:szCs w:val="21"/>
        </w:rPr>
        <w:t xml:space="preserve">at </w:t>
      </w:r>
      <w:r w:rsidRPr="00CD067F">
        <w:rPr>
          <w:rFonts w:cs="VIC"/>
          <w:color w:val="000000" w:themeColor="text1"/>
          <w:szCs w:val="21"/>
        </w:rPr>
        <w:t>&lt;</w:t>
      </w:r>
      <w:r w:rsidR="00D3364E" w:rsidRPr="00D3364E">
        <w:rPr>
          <w:rFonts w:cs="VIC"/>
          <w:color w:val="000000" w:themeColor="text1"/>
          <w:szCs w:val="21"/>
        </w:rPr>
        <w:t>https://www.health.vic.gov.au/priorities-and-transformation/victorias-mental-health-services-annual-report-2019-20</w:t>
      </w:r>
      <w:r w:rsidRPr="00CD067F">
        <w:rPr>
          <w:rFonts w:cs="VIC"/>
          <w:color w:val="000000" w:themeColor="text1"/>
          <w:szCs w:val="21"/>
        </w:rPr>
        <w:t>&gt;</w:t>
      </w:r>
      <w:r w:rsidR="00CD067F">
        <w:rPr>
          <w:rFonts w:cs="VIC"/>
          <w:color w:val="000000" w:themeColor="text1"/>
          <w:szCs w:val="21"/>
        </w:rPr>
        <w:t>.</w:t>
      </w:r>
    </w:p>
    <w:p w14:paraId="6AE37D7B" w14:textId="77A8E873" w:rsidR="00186E10" w:rsidRPr="006A11C6" w:rsidRDefault="00186E10" w:rsidP="00186E10">
      <w:pPr>
        <w:pStyle w:val="Body"/>
      </w:pPr>
      <w:r w:rsidRPr="006A11C6">
        <w:t>Department of Health and Human Services 2020</w:t>
      </w:r>
      <w:r w:rsidR="506CAF93" w:rsidRPr="006A11C6">
        <w:t>,</w:t>
      </w:r>
      <w:r w:rsidRPr="006A11C6">
        <w:t xml:space="preserve"> ‘Victoria’s Mental Health Services Annual Report 2018-19’</w:t>
      </w:r>
      <w:r w:rsidR="00CD067F">
        <w:t>. A</w:t>
      </w:r>
      <w:r w:rsidRPr="006A11C6">
        <w:t xml:space="preserve">vailable at </w:t>
      </w:r>
      <w:r w:rsidRPr="006A11C6">
        <w:rPr>
          <w:rFonts w:cs="VIC"/>
          <w:color w:val="000000" w:themeColor="text1"/>
          <w:sz w:val="19"/>
          <w:szCs w:val="19"/>
        </w:rPr>
        <w:t>&lt;</w:t>
      </w:r>
      <w:r w:rsidR="002414A8" w:rsidRPr="006A11C6">
        <w:t>https://www.health.vic.gov.au/priorities-and-transformation/victorias-mental-health-services-annual-report-2019-20</w:t>
      </w:r>
      <w:r w:rsidR="00CD067F">
        <w:t>&gt;.</w:t>
      </w:r>
    </w:p>
    <w:p w14:paraId="3451BA5D" w14:textId="20E99AB1" w:rsidR="00186E10" w:rsidRPr="00D329EF" w:rsidRDefault="00186E10" w:rsidP="00186E10">
      <w:pPr>
        <w:pStyle w:val="Body"/>
        <w:rPr>
          <w:rStyle w:val="Hyperlink"/>
          <w:color w:val="000000" w:themeColor="text1"/>
          <w:shd w:val="clear" w:color="auto" w:fill="FFFFFF"/>
        </w:rPr>
      </w:pPr>
      <w:r w:rsidRPr="006A11C6">
        <w:t>Smith, B J and Lim, M H 2020</w:t>
      </w:r>
      <w:r w:rsidR="21930A1E" w:rsidRPr="006A11C6">
        <w:t>,</w:t>
      </w:r>
      <w:r w:rsidRPr="006A11C6">
        <w:t xml:space="preserve"> ‘How the COVID-19 pandemic is focusing attention on loneliness and social isolation,’ </w:t>
      </w:r>
      <w:r w:rsidRPr="006A11C6">
        <w:rPr>
          <w:i/>
        </w:rPr>
        <w:t xml:space="preserve">Public Health Research &amp; Practice, </w:t>
      </w:r>
      <w:r w:rsidRPr="006A11C6">
        <w:t xml:space="preserve">vol. 30(2) published online 30 June 2020 </w:t>
      </w:r>
      <w:bookmarkStart w:id="147" w:name="_Hlk121155538"/>
      <w:r w:rsidR="00CD067F">
        <w:rPr>
          <w:shd w:val="clear" w:color="auto" w:fill="FFFFFF"/>
        </w:rPr>
        <w:fldChar w:fldCharType="begin"/>
      </w:r>
      <w:r w:rsidR="00CD067F">
        <w:rPr>
          <w:shd w:val="clear" w:color="auto" w:fill="FFFFFF"/>
        </w:rPr>
        <w:instrText xml:space="preserve"> HYPERLINK "</w:instrText>
      </w:r>
      <w:r w:rsidR="00CD067F" w:rsidRPr="00CD067F">
        <w:rPr>
          <w:shd w:val="clear" w:color="auto" w:fill="FFFFFF"/>
        </w:rPr>
        <w:instrText>https://doi.org/10.17061/phrp3022008</w:instrText>
      </w:r>
      <w:r w:rsidR="00CD067F">
        <w:rPr>
          <w:shd w:val="clear" w:color="auto" w:fill="FFFFFF"/>
        </w:rPr>
        <w:instrText xml:space="preserve">" </w:instrText>
      </w:r>
      <w:r w:rsidR="00CD067F">
        <w:rPr>
          <w:shd w:val="clear" w:color="auto" w:fill="FFFFFF"/>
        </w:rPr>
      </w:r>
      <w:r w:rsidR="00CD067F">
        <w:rPr>
          <w:shd w:val="clear" w:color="auto" w:fill="FFFFFF"/>
        </w:rPr>
        <w:fldChar w:fldCharType="separate"/>
      </w:r>
      <w:r w:rsidR="00CD067F" w:rsidRPr="00165653">
        <w:rPr>
          <w:rStyle w:val="Hyperlink"/>
          <w:shd w:val="clear" w:color="auto" w:fill="FFFFFF"/>
        </w:rPr>
        <w:t>https://doi.org/10.17061/phrp3022008</w:t>
      </w:r>
      <w:bookmarkEnd w:id="147"/>
      <w:r w:rsidR="00CD067F">
        <w:rPr>
          <w:shd w:val="clear" w:color="auto" w:fill="FFFFFF"/>
        </w:rPr>
        <w:fldChar w:fldCharType="end"/>
      </w:r>
      <w:r w:rsidR="008D1222" w:rsidRPr="00E015C4">
        <w:rPr>
          <w:rStyle w:val="Hyperlink"/>
          <w:u w:val="none"/>
          <w:shd w:val="clear" w:color="auto" w:fill="FFFFFF"/>
        </w:rPr>
        <w:t>.</w:t>
      </w:r>
      <w:r w:rsidR="00E015C4" w:rsidRPr="00E015C4">
        <w:rPr>
          <w:rStyle w:val="Hyperlink"/>
          <w:u w:val="none"/>
          <w:shd w:val="clear" w:color="auto" w:fill="FFFFFF"/>
        </w:rPr>
        <w:t xml:space="preserve"> </w:t>
      </w:r>
      <w:r w:rsidR="00E015C4" w:rsidRPr="00E015C4">
        <w:rPr>
          <w:rStyle w:val="Hyperlink"/>
          <w:color w:val="000000" w:themeColor="text1"/>
          <w:u w:val="none"/>
          <w:shd w:val="clear" w:color="auto" w:fill="FFFFFF"/>
        </w:rPr>
        <w:t>Available at</w:t>
      </w:r>
      <w:r w:rsidR="008D1222" w:rsidRPr="00E015C4">
        <w:rPr>
          <w:rStyle w:val="Hyperlink"/>
          <w:color w:val="000000" w:themeColor="text1"/>
          <w:u w:val="none"/>
          <w:shd w:val="clear" w:color="auto" w:fill="FFFFFF"/>
        </w:rPr>
        <w:t xml:space="preserve"> </w:t>
      </w:r>
      <w:r w:rsidR="008D1222" w:rsidRPr="006A11C6">
        <w:rPr>
          <w:rStyle w:val="Hyperlink"/>
          <w:color w:val="auto"/>
          <w:u w:val="none"/>
          <w:shd w:val="clear" w:color="auto" w:fill="FFFFFF"/>
        </w:rPr>
        <w:t>&lt;https://doi.org/10.17061/phrp3022008&gt;</w:t>
      </w:r>
      <w:r w:rsidR="00104F09">
        <w:rPr>
          <w:rStyle w:val="Hyperlink"/>
          <w:color w:val="auto"/>
          <w:u w:val="none"/>
          <w:shd w:val="clear" w:color="auto" w:fill="FFFFFF"/>
        </w:rPr>
        <w:t>.</w:t>
      </w:r>
    </w:p>
    <w:p w14:paraId="3E67642B" w14:textId="3CE04E52" w:rsidR="00186E10" w:rsidRDefault="00186E10" w:rsidP="00186E10">
      <w:pPr>
        <w:pStyle w:val="Body"/>
      </w:pPr>
      <w:r>
        <w:t>Victorian Agency for Health Information 2021</w:t>
      </w:r>
      <w:r w:rsidR="00E015C4">
        <w:t>.</w:t>
      </w:r>
    </w:p>
    <w:p w14:paraId="1F7A8C0E" w14:textId="77777777" w:rsidR="00186E10" w:rsidRDefault="00186E10" w:rsidP="00186E10">
      <w:pPr>
        <w:pStyle w:val="Body"/>
      </w:pPr>
      <w:r>
        <w:t>Victorian Population Health Survey 2019: summary of results, State of Victoria, Melbourne.</w:t>
      </w:r>
    </w:p>
    <w:p w14:paraId="5B7DC4DF" w14:textId="00A6A060" w:rsidR="003273F8" w:rsidRPr="006A11C6" w:rsidRDefault="003273F8" w:rsidP="00186E10">
      <w:pPr>
        <w:pStyle w:val="Body"/>
        <w:rPr>
          <w:i/>
        </w:rPr>
      </w:pPr>
      <w:r w:rsidRPr="006A11C6">
        <w:t>World Health Organization</w:t>
      </w:r>
      <w:r w:rsidR="00877BA6" w:rsidRPr="006A11C6">
        <w:t xml:space="preserve"> 2022</w:t>
      </w:r>
      <w:r w:rsidR="772BCC5A" w:rsidRPr="006A11C6">
        <w:t>,</w:t>
      </w:r>
      <w:r w:rsidR="006A11C6">
        <w:t xml:space="preserve"> </w:t>
      </w:r>
      <w:r w:rsidR="00AF6475" w:rsidRPr="006A11C6">
        <w:t xml:space="preserve">Mental health and climate change: Policy brief. </w:t>
      </w:r>
    </w:p>
    <w:p w14:paraId="3F54AC71" w14:textId="4005AB90" w:rsidR="00A134E8" w:rsidRDefault="00350A56">
      <w:pPr>
        <w:spacing w:after="0" w:line="240" w:lineRule="auto"/>
        <w:rPr>
          <w:rFonts w:eastAsia="Times"/>
        </w:rPr>
      </w:pPr>
      <w:r>
        <w:br w:type="page"/>
      </w:r>
    </w:p>
    <w:p w14:paraId="2E683AA0" w14:textId="1BCFF7A2" w:rsidR="00A134E8" w:rsidRPr="00A71CE4" w:rsidRDefault="008473F7" w:rsidP="00A134E8">
      <w:pPr>
        <w:pStyle w:val="Heading1"/>
        <w:spacing w:before="0"/>
      </w:pPr>
      <w:bookmarkStart w:id="148" w:name="_Toc116981390"/>
      <w:bookmarkStart w:id="149" w:name="_Toc128138655"/>
      <w:r>
        <w:lastRenderedPageBreak/>
        <w:t xml:space="preserve">Chapter 16 </w:t>
      </w:r>
      <w:r w:rsidR="00E60D4D">
        <w:t>–</w:t>
      </w:r>
      <w:r>
        <w:t xml:space="preserve"> </w:t>
      </w:r>
      <w:r w:rsidR="004D77E2">
        <w:t>Injury prevention</w:t>
      </w:r>
      <w:bookmarkEnd w:id="148"/>
      <w:bookmarkEnd w:id="149"/>
      <w:r w:rsidR="004D77E2">
        <w:t xml:space="preserve"> </w:t>
      </w:r>
    </w:p>
    <w:p w14:paraId="56969906" w14:textId="645D4F81" w:rsidR="00E60D4D" w:rsidRDefault="00627663" w:rsidP="00627663">
      <w:pPr>
        <w:pStyle w:val="Body"/>
      </w:pPr>
      <w:bookmarkStart w:id="150" w:name="_Toc116981391"/>
      <w:r>
        <w:t>Injury</w:t>
      </w:r>
      <w:r w:rsidR="00C30DA3">
        <w:t xml:space="preserve"> affects Victorians of all ages</w:t>
      </w:r>
      <w:r w:rsidR="00E60D4D">
        <w:t xml:space="preserve">. It </w:t>
      </w:r>
      <w:r>
        <w:t>is</w:t>
      </w:r>
      <w:r w:rsidR="007F135A">
        <w:t xml:space="preserve"> a</w:t>
      </w:r>
      <w:r>
        <w:t xml:space="preserve"> major burden of disease that </w:t>
      </w:r>
      <w:r w:rsidR="000F6052">
        <w:t>is preventable</w:t>
      </w:r>
      <w:r w:rsidR="00093725">
        <w:t xml:space="preserve">. </w:t>
      </w:r>
    </w:p>
    <w:p w14:paraId="568176A8" w14:textId="3277D88F" w:rsidR="00E60D4D" w:rsidRDefault="00093725" w:rsidP="00627663">
      <w:pPr>
        <w:pStyle w:val="Body"/>
      </w:pPr>
      <w:r w:rsidRPr="00093725">
        <w:t>Effective injury prevention measures identify injury causes</w:t>
      </w:r>
      <w:r w:rsidR="00E60D4D">
        <w:t xml:space="preserve"> – and</w:t>
      </w:r>
      <w:r w:rsidRPr="00093725">
        <w:t xml:space="preserve"> remove or reduce people’s exposure to th</w:t>
      </w:r>
      <w:r w:rsidR="00E60D4D">
        <w:t>ose causes</w:t>
      </w:r>
      <w:r w:rsidRPr="00093725">
        <w:t>.</w:t>
      </w:r>
      <w:r w:rsidR="00A36338">
        <w:t xml:space="preserve"> </w:t>
      </w:r>
    </w:p>
    <w:p w14:paraId="74A5262E" w14:textId="7FA0CA65" w:rsidR="00350F38" w:rsidRDefault="00A36338" w:rsidP="00627663">
      <w:pPr>
        <w:pStyle w:val="Body"/>
      </w:pPr>
      <w:r>
        <w:t>This section provides</w:t>
      </w:r>
      <w:r w:rsidR="00E92929">
        <w:t xml:space="preserve"> </w:t>
      </w:r>
      <w:r w:rsidR="000E603A">
        <w:t>I</w:t>
      </w:r>
      <w:r w:rsidR="00FC0DAE">
        <w:t>njury prevention information</w:t>
      </w:r>
      <w:r w:rsidR="005E5E91">
        <w:t xml:space="preserve"> for </w:t>
      </w:r>
      <w:r w:rsidR="00EC5E56">
        <w:t>Victorians</w:t>
      </w:r>
      <w:r>
        <w:t>, including:</w:t>
      </w:r>
    </w:p>
    <w:p w14:paraId="7056DAB7" w14:textId="3ABBBCF1" w:rsidR="00FC0DAE" w:rsidRDefault="00E60D4D" w:rsidP="002830AC">
      <w:pPr>
        <w:pStyle w:val="Body"/>
        <w:numPr>
          <w:ilvl w:val="0"/>
          <w:numId w:val="15"/>
        </w:numPr>
      </w:pPr>
      <w:r>
        <w:t>f</w:t>
      </w:r>
      <w:r w:rsidR="00A36338">
        <w:t>amily violence prevention</w:t>
      </w:r>
    </w:p>
    <w:p w14:paraId="3CE302E6" w14:textId="4F4C3EF8" w:rsidR="00A36338" w:rsidRDefault="00E60D4D" w:rsidP="002830AC">
      <w:pPr>
        <w:pStyle w:val="Body"/>
        <w:numPr>
          <w:ilvl w:val="0"/>
          <w:numId w:val="15"/>
        </w:numPr>
      </w:pPr>
      <w:r>
        <w:t>i</w:t>
      </w:r>
      <w:r w:rsidR="00A36338">
        <w:t>mpact of family violence</w:t>
      </w:r>
    </w:p>
    <w:p w14:paraId="00FDE989" w14:textId="3B188CA1" w:rsidR="00A36338" w:rsidRDefault="00E60D4D" w:rsidP="002830AC">
      <w:pPr>
        <w:pStyle w:val="Body"/>
        <w:numPr>
          <w:ilvl w:val="0"/>
          <w:numId w:val="15"/>
        </w:numPr>
      </w:pPr>
      <w:r>
        <w:t>f</w:t>
      </w:r>
      <w:r w:rsidR="00A36338">
        <w:t>alls prevention among older Victorians</w:t>
      </w:r>
      <w:r w:rsidR="00D1104E">
        <w:t>.</w:t>
      </w:r>
    </w:p>
    <w:p w14:paraId="6BF6F3C8" w14:textId="7B67A641" w:rsidR="007D093E" w:rsidRDefault="007D093E" w:rsidP="007D093E">
      <w:pPr>
        <w:pStyle w:val="Heading2"/>
      </w:pPr>
      <w:r>
        <w:t>Family violence prevention</w:t>
      </w:r>
      <w:bookmarkEnd w:id="150"/>
      <w:r>
        <w:t xml:space="preserve">  </w:t>
      </w:r>
    </w:p>
    <w:p w14:paraId="7BF327E1" w14:textId="70263096" w:rsidR="007D093E" w:rsidRDefault="007D093E" w:rsidP="007D093E">
      <w:pPr>
        <w:pStyle w:val="Body"/>
      </w:pPr>
      <w:r>
        <w:t xml:space="preserve">The 2015–16 Royal Commission into Family Violence recognised that preventing family violence </w:t>
      </w:r>
      <w:r w:rsidR="00E60D4D">
        <w:t>wa</w:t>
      </w:r>
      <w:r>
        <w:t>s essential for the health and wellbeing of the Victorian community and require</w:t>
      </w:r>
      <w:r w:rsidR="00E60D4D">
        <w:t>d</w:t>
      </w:r>
      <w:r>
        <w:t xml:space="preserve"> long-term investment.</w:t>
      </w:r>
    </w:p>
    <w:p w14:paraId="3A4DD60E" w14:textId="77777777" w:rsidR="007D093E" w:rsidRPr="00780BBD" w:rsidRDefault="007D093E" w:rsidP="00414E52">
      <w:pPr>
        <w:pStyle w:val="Heading3"/>
      </w:pPr>
      <w:bookmarkStart w:id="151" w:name="_Toc116981392"/>
      <w:r w:rsidRPr="00780BBD">
        <w:t>Impact of family violence</w:t>
      </w:r>
      <w:bookmarkEnd w:id="151"/>
    </w:p>
    <w:p w14:paraId="57199F8A" w14:textId="0422EC92" w:rsidR="007D093E" w:rsidRDefault="007D093E" w:rsidP="007D093E">
      <w:pPr>
        <w:pStyle w:val="Body"/>
      </w:pPr>
      <w:r>
        <w:t>Family violence is a major health and welfare issue that has far-reaching and serious impacts</w:t>
      </w:r>
      <w:r w:rsidR="00E60D4D">
        <w:t>. Those impacts</w:t>
      </w:r>
      <w:r>
        <w:t xml:space="preserve"> include physical and mental health, loss of housing, loss or limited access to employment, precarious financial security, isolation and </w:t>
      </w:r>
      <w:r w:rsidR="00E60D4D">
        <w:t xml:space="preserve">the </w:t>
      </w:r>
      <w:r>
        <w:t>alienation of extended family</w:t>
      </w:r>
      <w:r w:rsidR="00E60D4D">
        <w:t>,</w:t>
      </w:r>
      <w:r>
        <w:t xml:space="preserve"> and social support (Australia's National Research Organisation for Women's Safety</w:t>
      </w:r>
      <w:r w:rsidR="00E60D4D">
        <w:t>,</w:t>
      </w:r>
      <w:r>
        <w:t xml:space="preserve"> 2016).</w:t>
      </w:r>
    </w:p>
    <w:p w14:paraId="0D0A63C7" w14:textId="4ADA5D1A" w:rsidR="007D093E" w:rsidRDefault="007D093E" w:rsidP="007D093E">
      <w:pPr>
        <w:pStyle w:val="Body"/>
      </w:pPr>
      <w:r>
        <w:t>Although family violence can be experienced in a variety of ways and through a range of different relationships, it is overwhelmingly perpetrated by men against women and children. Family violence impacts victims for the rest of their lives</w:t>
      </w:r>
      <w:r w:rsidR="00E60D4D">
        <w:t>. A</w:t>
      </w:r>
      <w:r>
        <w:t xml:space="preserve">t its most heinous, </w:t>
      </w:r>
      <w:r w:rsidR="00E60D4D">
        <w:t xml:space="preserve">it </w:t>
      </w:r>
      <w:r>
        <w:t xml:space="preserve">is the cause of senseless deaths (Victorian Government, </w:t>
      </w:r>
      <w:r w:rsidRPr="00AC1F98">
        <w:rPr>
          <w:i/>
          <w:iCs/>
        </w:rPr>
        <w:t>Ending Family Violence: Victoria’s Plan for Change</w:t>
      </w:r>
      <w:r>
        <w:t xml:space="preserve">). </w:t>
      </w:r>
    </w:p>
    <w:p w14:paraId="62A27952" w14:textId="0C6B4E04" w:rsidR="007D093E" w:rsidRDefault="007D093E" w:rsidP="007D093E">
      <w:pPr>
        <w:pStyle w:val="Body"/>
      </w:pPr>
      <w:r w:rsidRPr="00D22E7E">
        <w:t xml:space="preserve">In 2018-19, there were 82,649 incidents of family violence recorded by Victoria Police </w:t>
      </w:r>
      <w:r>
        <w:t>(Crime Statistics Agency, Family Violence Data Portal). The cost of family violence in Victoria was estimated at $5.3 billion in 2015</w:t>
      </w:r>
      <w:r w:rsidR="00E60D4D">
        <w:t>-</w:t>
      </w:r>
      <w:r>
        <w:t>16 (KPMG</w:t>
      </w:r>
      <w:r w:rsidR="00E60D4D">
        <w:t>,</w:t>
      </w:r>
      <w:r>
        <w:t xml:space="preserve"> 2017).</w:t>
      </w:r>
    </w:p>
    <w:p w14:paraId="0E152931" w14:textId="26C23F16" w:rsidR="007D093E" w:rsidRDefault="007D093E" w:rsidP="007D093E">
      <w:pPr>
        <w:pStyle w:val="Body"/>
      </w:pPr>
      <w:r>
        <w:t xml:space="preserve">Since the Royal Commission into Family Violence, the Victorian government has invested more than $3.7 billion </w:t>
      </w:r>
      <w:r w:rsidR="00E60D4D">
        <w:t xml:space="preserve">– </w:t>
      </w:r>
      <w:r>
        <w:t>across prevention, early intervention</w:t>
      </w:r>
      <w:r w:rsidR="00E60D4D">
        <w:t>,</w:t>
      </w:r>
      <w:r>
        <w:t xml:space="preserve"> and responses to family violence</w:t>
      </w:r>
      <w:r w:rsidR="00E60D4D">
        <w:t xml:space="preserve"> –</w:t>
      </w:r>
      <w:r>
        <w:t xml:space="preserve"> to keep victim survivors and children safe</w:t>
      </w:r>
      <w:r w:rsidRPr="6BF75928">
        <w:t>,</w:t>
      </w:r>
      <w:r>
        <w:t xml:space="preserve"> hold perpetrators to account</w:t>
      </w:r>
      <w:r w:rsidR="00E60D4D">
        <w:t>,</w:t>
      </w:r>
      <w:r w:rsidRPr="6BF75928">
        <w:t xml:space="preserve"> and </w:t>
      </w:r>
      <w:r w:rsidR="00E60D4D">
        <w:t>prevent</w:t>
      </w:r>
      <w:r w:rsidR="00E60D4D" w:rsidRPr="6BF75928">
        <w:t xml:space="preserve"> </w:t>
      </w:r>
      <w:r w:rsidRPr="6BF75928">
        <w:t>violence.</w:t>
      </w:r>
      <w:r>
        <w:t xml:space="preserve"> </w:t>
      </w:r>
    </w:p>
    <w:p w14:paraId="5CD9ED94" w14:textId="2C21957A" w:rsidR="007D093E" w:rsidRDefault="007D093E" w:rsidP="007D093E">
      <w:pPr>
        <w:pStyle w:val="Body"/>
      </w:pPr>
      <w:r w:rsidRPr="00427B3F">
        <w:t xml:space="preserve">The </w:t>
      </w:r>
      <w:r w:rsidRPr="000C1D3C">
        <w:t>primary prevention</w:t>
      </w:r>
      <w:r w:rsidRPr="00427B3F">
        <w:t xml:space="preserve"> of family violence means stopping violence by identifying and addressing its causes. </w:t>
      </w:r>
      <w:r w:rsidRPr="002A192A">
        <w:t>Primary prevention</w:t>
      </w:r>
      <w:r>
        <w:t xml:space="preserve"> requires a whole-of-community approach to drive social and cultural change to address the attitudes, behaviours, systems and structures that condone or enable violence. </w:t>
      </w:r>
    </w:p>
    <w:p w14:paraId="2F7C2A1F" w14:textId="77777777" w:rsidR="007D093E" w:rsidRPr="00780BBD" w:rsidRDefault="007D093E" w:rsidP="00414E52">
      <w:pPr>
        <w:pStyle w:val="Heading3"/>
      </w:pPr>
      <w:bookmarkStart w:id="152" w:name="_Toc116981393"/>
      <w:r w:rsidRPr="00780BBD">
        <w:t>Drivers of violence against women</w:t>
      </w:r>
      <w:bookmarkEnd w:id="152"/>
    </w:p>
    <w:p w14:paraId="4968BB8E" w14:textId="3CAC7B50" w:rsidR="007D093E" w:rsidRPr="00780BBD" w:rsidRDefault="007D093E" w:rsidP="00E10E07">
      <w:pPr>
        <w:pStyle w:val="Body"/>
        <w:rPr>
          <w:rFonts w:cs="Arial"/>
          <w:color w:val="2A2736"/>
          <w:szCs w:val="21"/>
        </w:rPr>
      </w:pPr>
      <w:r w:rsidRPr="00780BBD">
        <w:t>Research indicates that factors associated w</w:t>
      </w:r>
      <w:r w:rsidRPr="00780BBD">
        <w:rPr>
          <w:rFonts w:cs="Arial"/>
          <w:color w:val="2A2736"/>
          <w:szCs w:val="21"/>
        </w:rPr>
        <w:t>ith gender inequality are the most consistent predictors of violence against women (Our Watch</w:t>
      </w:r>
      <w:r w:rsidR="00B012F7">
        <w:rPr>
          <w:rFonts w:cs="Arial"/>
          <w:color w:val="2A2736"/>
          <w:szCs w:val="21"/>
        </w:rPr>
        <w:t>,</w:t>
      </w:r>
      <w:r w:rsidRPr="00780BBD">
        <w:rPr>
          <w:rFonts w:cs="Arial"/>
          <w:color w:val="2A2736"/>
          <w:szCs w:val="21"/>
        </w:rPr>
        <w:t xml:space="preserve"> 2021).</w:t>
      </w:r>
    </w:p>
    <w:p w14:paraId="51F01DB0" w14:textId="77777777" w:rsidR="007D093E" w:rsidRPr="00780BBD" w:rsidRDefault="007D093E" w:rsidP="00E10E07">
      <w:pPr>
        <w:pStyle w:val="Body"/>
        <w:rPr>
          <w:rFonts w:cs="Arial"/>
          <w:color w:val="2A2736"/>
          <w:szCs w:val="21"/>
        </w:rPr>
      </w:pPr>
      <w:r w:rsidRPr="00780BBD">
        <w:t xml:space="preserve">The gendered drivers of </w:t>
      </w:r>
      <w:r w:rsidRPr="00780BBD">
        <w:rPr>
          <w:rFonts w:cs="Arial"/>
          <w:color w:val="2A2736"/>
          <w:szCs w:val="21"/>
        </w:rPr>
        <w:t>violence against women are:</w:t>
      </w:r>
    </w:p>
    <w:p w14:paraId="03AFC062" w14:textId="77777777" w:rsidR="007D093E" w:rsidRPr="00780BBD" w:rsidRDefault="007D093E" w:rsidP="00DF373B">
      <w:pPr>
        <w:pStyle w:val="Bullet1"/>
      </w:pPr>
      <w:r w:rsidRPr="00780BBD">
        <w:t>condoning of violence against women</w:t>
      </w:r>
    </w:p>
    <w:p w14:paraId="0874221B" w14:textId="77777777" w:rsidR="007D093E" w:rsidRPr="00780BBD" w:rsidRDefault="007D093E" w:rsidP="00DF373B">
      <w:pPr>
        <w:pStyle w:val="Bullet1"/>
      </w:pPr>
      <w:r w:rsidRPr="00780BBD">
        <w:t>men's control of decision-making and limits to women's independence in public and private life</w:t>
      </w:r>
    </w:p>
    <w:p w14:paraId="6A4D299E" w14:textId="77777777" w:rsidR="007D093E" w:rsidRPr="00780BBD" w:rsidRDefault="007D093E" w:rsidP="00DF373B">
      <w:pPr>
        <w:pStyle w:val="Bullet1"/>
      </w:pPr>
      <w:r w:rsidRPr="00780BBD">
        <w:lastRenderedPageBreak/>
        <w:t xml:space="preserve">rigid gender stereotyping and harmful forms of masculinity </w:t>
      </w:r>
    </w:p>
    <w:p w14:paraId="2D427B00" w14:textId="2C93AFC0" w:rsidR="007D093E" w:rsidRPr="00780BBD" w:rsidRDefault="007D093E" w:rsidP="00DF373B">
      <w:pPr>
        <w:pStyle w:val="Bullet1"/>
      </w:pPr>
      <w:r w:rsidRPr="00780BBD">
        <w:t>male peer relations that emphasise aggression, dominance</w:t>
      </w:r>
      <w:r w:rsidR="008C5805">
        <w:t>,</w:t>
      </w:r>
      <w:r w:rsidRPr="00780BBD">
        <w:t xml:space="preserve"> and control.</w:t>
      </w:r>
    </w:p>
    <w:p w14:paraId="6A75785A" w14:textId="77777777" w:rsidR="007D093E" w:rsidRPr="00780BBD" w:rsidRDefault="007D093E" w:rsidP="00414E52">
      <w:pPr>
        <w:pStyle w:val="Heading3"/>
      </w:pPr>
      <w:bookmarkStart w:id="153" w:name="_Toc116981394"/>
      <w:r w:rsidRPr="00780BBD">
        <w:t>Primary prevention work</w:t>
      </w:r>
      <w:bookmarkEnd w:id="153"/>
    </w:p>
    <w:p w14:paraId="37970E3B" w14:textId="77777777" w:rsidR="007D093E" w:rsidRPr="003B7652" w:rsidRDefault="007D093E" w:rsidP="00E10E07">
      <w:pPr>
        <w:pStyle w:val="Body"/>
        <w:rPr>
          <w:rFonts w:cs="Arial"/>
          <w:color w:val="2A2736"/>
          <w:szCs w:val="21"/>
        </w:rPr>
      </w:pPr>
      <w:r w:rsidRPr="00E10E07">
        <w:rPr>
          <w:rStyle w:val="BodyChar"/>
        </w:rPr>
        <w:t>Since</w:t>
      </w:r>
      <w:r w:rsidRPr="003B7652">
        <w:rPr>
          <w:rFonts w:cs="Arial"/>
          <w:color w:val="2A2736"/>
          <w:szCs w:val="21"/>
        </w:rPr>
        <w:t xml:space="preserve"> the Royal Commission into Family Violence, the Victorian Government has committed $345 million for primary prevention and gender equality initiatives. This includes $84.3 million to implement the Free from Violence primary prevention strategy.</w:t>
      </w:r>
    </w:p>
    <w:p w14:paraId="49E905BD" w14:textId="4003836E" w:rsidR="008C5805" w:rsidRDefault="007D093E" w:rsidP="00E10E07">
      <w:pPr>
        <w:pStyle w:val="Body"/>
        <w:rPr>
          <w:rFonts w:cs="Arial"/>
          <w:color w:val="2A2736"/>
          <w:szCs w:val="21"/>
        </w:rPr>
      </w:pPr>
      <w:r w:rsidRPr="003B7652">
        <w:rPr>
          <w:color w:val="2A2736"/>
        </w:rPr>
        <w:t>Through the </w:t>
      </w:r>
      <w:bookmarkStart w:id="154" w:name="_Hlk121155562"/>
      <w:r w:rsidR="00C36B2A" w:rsidRPr="00D329EF">
        <w:rPr>
          <w:rStyle w:val="Hyperlink"/>
          <w:shd w:val="clear" w:color="auto" w:fill="FFFFFF"/>
        </w:rPr>
        <w:fldChar w:fldCharType="begin"/>
      </w:r>
      <w:r w:rsidR="00C36B2A" w:rsidRPr="00D329EF">
        <w:rPr>
          <w:rStyle w:val="Hyperlink"/>
          <w:shd w:val="clear" w:color="auto" w:fill="FFFFFF"/>
        </w:rPr>
        <w:instrText xml:space="preserve"> HYPERLINK "https://www.vic.gov.au/free-violence-victorias-strategy-prevent-family-violence" \t "_blank" </w:instrText>
      </w:r>
      <w:r w:rsidR="00C36B2A" w:rsidRPr="00D329EF">
        <w:rPr>
          <w:rStyle w:val="Hyperlink"/>
          <w:shd w:val="clear" w:color="auto" w:fill="FFFFFF"/>
        </w:rPr>
      </w:r>
      <w:r w:rsidR="00C36B2A" w:rsidRPr="00D329EF">
        <w:rPr>
          <w:rStyle w:val="Hyperlink"/>
          <w:shd w:val="clear" w:color="auto" w:fill="FFFFFF"/>
        </w:rPr>
        <w:fldChar w:fldCharType="separate"/>
      </w:r>
      <w:r w:rsidRPr="00D329EF">
        <w:rPr>
          <w:rStyle w:val="Hyperlink"/>
          <w:shd w:val="clear" w:color="auto" w:fill="FFFFFF"/>
        </w:rPr>
        <w:t>Free from Violence primary prevention strategy’s First action plan 2018–2021</w:t>
      </w:r>
      <w:r w:rsidR="00C36B2A" w:rsidRPr="00D329EF">
        <w:rPr>
          <w:rStyle w:val="Hyperlink"/>
          <w:shd w:val="clear" w:color="auto" w:fill="FFFFFF"/>
        </w:rPr>
        <w:fldChar w:fldCharType="end"/>
      </w:r>
      <w:bookmarkEnd w:id="154"/>
      <w:r w:rsidR="00D329EF" w:rsidRPr="00D329EF">
        <w:rPr>
          <w:rStyle w:val="Hyperlink"/>
          <w:shd w:val="clear" w:color="auto" w:fill="FFFFFF"/>
        </w:rPr>
        <w:t xml:space="preserve"> </w:t>
      </w:r>
      <w:r w:rsidR="00D329EF" w:rsidRPr="00D329EF">
        <w:rPr>
          <w:rStyle w:val="rpl-text-icongroup"/>
          <w:rFonts w:cs="Arial"/>
          <w:color w:val="000000" w:themeColor="text1"/>
          <w:szCs w:val="21"/>
        </w:rPr>
        <w:t>&lt;https://www.vic.gov.au/free-violence-victorias-strategy-prevent-family-violence&gt;</w:t>
      </w:r>
      <w:r w:rsidRPr="00D329EF">
        <w:rPr>
          <w:rFonts w:cs="Arial"/>
          <w:color w:val="000000" w:themeColor="text1"/>
          <w:szCs w:val="21"/>
        </w:rPr>
        <w:t xml:space="preserve">, </w:t>
      </w:r>
      <w:r w:rsidRPr="003B7652">
        <w:rPr>
          <w:rFonts w:cs="Arial"/>
          <w:color w:val="2A2736"/>
          <w:szCs w:val="21"/>
        </w:rPr>
        <w:t>the Victorian Government is investing in strategies to ensure that prevention messages and programs reach people in the places they live, work, learn</w:t>
      </w:r>
      <w:r w:rsidR="008C5805">
        <w:rPr>
          <w:rFonts w:cs="Arial"/>
          <w:color w:val="2A2736"/>
          <w:szCs w:val="21"/>
        </w:rPr>
        <w:t>,</w:t>
      </w:r>
      <w:r w:rsidRPr="003B7652">
        <w:rPr>
          <w:rFonts w:cs="Arial"/>
          <w:color w:val="2A2736"/>
          <w:szCs w:val="21"/>
        </w:rPr>
        <w:t xml:space="preserve"> and socialise.</w:t>
      </w:r>
      <w:r w:rsidR="008D1222">
        <w:rPr>
          <w:rFonts w:cs="Arial"/>
          <w:color w:val="2A2736"/>
          <w:szCs w:val="21"/>
        </w:rPr>
        <w:t xml:space="preserve"> </w:t>
      </w:r>
    </w:p>
    <w:p w14:paraId="3909B8BD" w14:textId="5EC515FA" w:rsidR="007D093E" w:rsidRPr="003B7652" w:rsidRDefault="007D093E" w:rsidP="00E10E07">
      <w:pPr>
        <w:pStyle w:val="Body"/>
        <w:rPr>
          <w:rFonts w:cs="Arial"/>
          <w:color w:val="2A2736"/>
          <w:szCs w:val="21"/>
        </w:rPr>
      </w:pPr>
      <w:r w:rsidRPr="003B7652">
        <w:rPr>
          <w:rFonts w:cs="Arial"/>
          <w:color w:val="2A2736"/>
          <w:szCs w:val="21"/>
        </w:rPr>
        <w:t>Key initiatives include:</w:t>
      </w:r>
    </w:p>
    <w:p w14:paraId="4500F331" w14:textId="761E6B59" w:rsidR="007D093E" w:rsidRPr="003B7652" w:rsidRDefault="008C5805" w:rsidP="00DF373B">
      <w:pPr>
        <w:pStyle w:val="Bullet1"/>
        <w:rPr>
          <w:lang w:eastAsia="en-AU"/>
        </w:rPr>
      </w:pPr>
      <w:r>
        <w:rPr>
          <w:lang w:eastAsia="en-AU"/>
        </w:rPr>
        <w:t xml:space="preserve">the </w:t>
      </w:r>
      <w:r w:rsidR="007D093E" w:rsidRPr="003B7652">
        <w:rPr>
          <w:lang w:eastAsia="en-AU"/>
        </w:rPr>
        <w:t>establishment of Respect Victoria, an authority for primary prevention to lead Victoria’s research, public engagement</w:t>
      </w:r>
      <w:r>
        <w:rPr>
          <w:lang w:eastAsia="en-AU"/>
        </w:rPr>
        <w:t>,</w:t>
      </w:r>
      <w:r w:rsidR="007D093E" w:rsidRPr="003B7652">
        <w:rPr>
          <w:lang w:eastAsia="en-AU"/>
        </w:rPr>
        <w:t xml:space="preserve"> and behaviour change agendas</w:t>
      </w:r>
    </w:p>
    <w:p w14:paraId="507E720C" w14:textId="191C9066" w:rsidR="007D093E" w:rsidRPr="003B7652" w:rsidRDefault="008C5805" w:rsidP="00DF373B">
      <w:pPr>
        <w:pStyle w:val="Bullet1"/>
        <w:rPr>
          <w:lang w:eastAsia="en-AU"/>
        </w:rPr>
      </w:pPr>
      <w:r>
        <w:rPr>
          <w:lang w:eastAsia="en-AU"/>
        </w:rPr>
        <w:t xml:space="preserve">the </w:t>
      </w:r>
      <w:r w:rsidR="007D093E" w:rsidRPr="003B7652">
        <w:rPr>
          <w:lang w:eastAsia="en-AU"/>
        </w:rPr>
        <w:t>'Respect Women: Call it Out' behaviour change advertising campaigns, which provide the community with tools to call out disrespectful and sexist behaviour</w:t>
      </w:r>
    </w:p>
    <w:p w14:paraId="1DEA08A2" w14:textId="77777777" w:rsidR="007D093E" w:rsidRPr="003B7652" w:rsidRDefault="007D093E" w:rsidP="00DF373B">
      <w:pPr>
        <w:pStyle w:val="Bullet1"/>
        <w:rPr>
          <w:lang w:eastAsia="en-AU"/>
        </w:rPr>
      </w:pPr>
      <w:r w:rsidRPr="003B7652">
        <w:rPr>
          <w:lang w:eastAsia="en-AU"/>
        </w:rPr>
        <w:t>antenatal and postnatal parenting programs</w:t>
      </w:r>
    </w:p>
    <w:p w14:paraId="3659F343" w14:textId="77777777" w:rsidR="007D093E" w:rsidRPr="003B7652" w:rsidRDefault="007D093E" w:rsidP="00DF373B">
      <w:pPr>
        <w:pStyle w:val="Bullet1"/>
        <w:rPr>
          <w:lang w:eastAsia="en-AU"/>
        </w:rPr>
      </w:pPr>
      <w:r w:rsidRPr="003B7652">
        <w:rPr>
          <w:lang w:eastAsia="en-AU"/>
        </w:rPr>
        <w:t>respectful relationships education in schools</w:t>
      </w:r>
    </w:p>
    <w:p w14:paraId="33D624F6" w14:textId="77777777" w:rsidR="007D093E" w:rsidRPr="003B7652" w:rsidRDefault="007D093E" w:rsidP="00DF373B">
      <w:pPr>
        <w:pStyle w:val="Bullet1"/>
        <w:rPr>
          <w:lang w:eastAsia="en-AU"/>
        </w:rPr>
      </w:pPr>
      <w:r w:rsidRPr="003B7652">
        <w:rPr>
          <w:lang w:eastAsia="en-AU"/>
        </w:rPr>
        <w:t>primary prevention in TAFEs and universities</w:t>
      </w:r>
    </w:p>
    <w:p w14:paraId="3954C01E" w14:textId="77777777" w:rsidR="007D093E" w:rsidRPr="003B7652" w:rsidRDefault="007D093E" w:rsidP="00DF373B">
      <w:pPr>
        <w:pStyle w:val="Bullet1"/>
        <w:rPr>
          <w:lang w:eastAsia="en-AU"/>
        </w:rPr>
      </w:pPr>
      <w:r w:rsidRPr="003B7652">
        <w:rPr>
          <w:lang w:eastAsia="en-AU"/>
        </w:rPr>
        <w:t>partnerships with local government and women’s health services</w:t>
      </w:r>
    </w:p>
    <w:p w14:paraId="035B1512" w14:textId="176F6EF2" w:rsidR="007D093E" w:rsidRPr="003B7652" w:rsidRDefault="007D093E" w:rsidP="00DF373B">
      <w:pPr>
        <w:pStyle w:val="Bullet1"/>
        <w:rPr>
          <w:lang w:eastAsia="en-AU"/>
        </w:rPr>
      </w:pPr>
      <w:r w:rsidRPr="003B7652">
        <w:rPr>
          <w:lang w:eastAsia="en-AU"/>
        </w:rPr>
        <w:t>innovative community-led initiatives</w:t>
      </w:r>
      <w:r w:rsidR="008C5805">
        <w:rPr>
          <w:lang w:eastAsia="en-AU"/>
        </w:rPr>
        <w:t xml:space="preserve"> (such as </w:t>
      </w:r>
      <w:r w:rsidRPr="003B7652">
        <w:rPr>
          <w:lang w:eastAsia="en-AU"/>
        </w:rPr>
        <w:t>with Aboriginal, and culturally and linguistically diverse communities, LGBTIQ</w:t>
      </w:r>
      <w:r w:rsidR="004A591A">
        <w:rPr>
          <w:lang w:eastAsia="en-AU"/>
        </w:rPr>
        <w:t>+</w:t>
      </w:r>
      <w:r w:rsidRPr="003B7652">
        <w:rPr>
          <w:lang w:eastAsia="en-AU"/>
        </w:rPr>
        <w:t xml:space="preserve"> communities</w:t>
      </w:r>
      <w:r w:rsidR="008C5805">
        <w:rPr>
          <w:lang w:eastAsia="en-AU"/>
        </w:rPr>
        <w:t>)</w:t>
      </w:r>
      <w:r w:rsidRPr="003B7652">
        <w:rPr>
          <w:lang w:eastAsia="en-AU"/>
        </w:rPr>
        <w:t xml:space="preserve"> in </w:t>
      </w:r>
      <w:r w:rsidR="008C5805">
        <w:rPr>
          <w:lang w:eastAsia="en-AU"/>
        </w:rPr>
        <w:t xml:space="preserve">different </w:t>
      </w:r>
      <w:r w:rsidRPr="003B7652">
        <w:rPr>
          <w:lang w:eastAsia="en-AU"/>
        </w:rPr>
        <w:t xml:space="preserve">settings </w:t>
      </w:r>
      <w:r w:rsidR="008C5805">
        <w:rPr>
          <w:lang w:eastAsia="en-AU"/>
        </w:rPr>
        <w:t>(</w:t>
      </w:r>
      <w:r w:rsidRPr="003B7652">
        <w:rPr>
          <w:lang w:eastAsia="en-AU"/>
        </w:rPr>
        <w:t>such as the arts and sport</w:t>
      </w:r>
      <w:r w:rsidR="008C5805">
        <w:rPr>
          <w:lang w:eastAsia="en-AU"/>
        </w:rPr>
        <w:t>)</w:t>
      </w:r>
    </w:p>
    <w:p w14:paraId="584402AB" w14:textId="28FFEB72" w:rsidR="007D093E" w:rsidRPr="003B7652" w:rsidRDefault="007D093E" w:rsidP="00DF373B">
      <w:pPr>
        <w:pStyle w:val="Bullet1"/>
        <w:rPr>
          <w:lang w:eastAsia="en-AU"/>
        </w:rPr>
      </w:pPr>
      <w:r w:rsidRPr="003B7652">
        <w:rPr>
          <w:lang w:eastAsia="en-AU"/>
        </w:rPr>
        <w:t>building the primary</w:t>
      </w:r>
      <w:r w:rsidR="008C5805">
        <w:rPr>
          <w:lang w:eastAsia="en-AU"/>
        </w:rPr>
        <w:t>-</w:t>
      </w:r>
      <w:r w:rsidRPr="003B7652">
        <w:rPr>
          <w:lang w:eastAsia="en-AU"/>
        </w:rPr>
        <w:t>prevention workforce.</w:t>
      </w:r>
    </w:p>
    <w:p w14:paraId="44273DA0" w14:textId="577E033B"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 xml:space="preserve">These prevention initiatives are increasing Victorians’ understanding of gender-based violence and strengthened ongoing efforts to create positive change </w:t>
      </w:r>
      <w:r w:rsidR="008C5805">
        <w:rPr>
          <w:rFonts w:ascii="Arial" w:hAnsi="Arial" w:cs="Arial"/>
          <w:color w:val="2A2736"/>
          <w:sz w:val="21"/>
          <w:szCs w:val="21"/>
        </w:rPr>
        <w:t>and</w:t>
      </w:r>
      <w:r w:rsidR="008C5805" w:rsidRPr="003B7652">
        <w:rPr>
          <w:rFonts w:ascii="Arial" w:hAnsi="Arial" w:cs="Arial"/>
          <w:color w:val="2A2736"/>
          <w:sz w:val="21"/>
          <w:szCs w:val="21"/>
        </w:rPr>
        <w:t xml:space="preserve"> </w:t>
      </w:r>
      <w:r w:rsidRPr="003B7652">
        <w:rPr>
          <w:rFonts w:ascii="Arial" w:hAnsi="Arial" w:cs="Arial"/>
          <w:color w:val="2A2736"/>
          <w:sz w:val="21"/>
          <w:szCs w:val="21"/>
        </w:rPr>
        <w:t>stop violence from occurring in the first place.</w:t>
      </w:r>
    </w:p>
    <w:p w14:paraId="3074055B" w14:textId="325CF367"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To support building the evidence base on what works to prevent violence across the community, </w:t>
      </w:r>
      <w:hyperlink r:id="rId131" w:tgtFrame="_blank" w:history="1">
        <w:r w:rsidRPr="00D329EF">
          <w:rPr>
            <w:rStyle w:val="Hyperlink"/>
            <w:rFonts w:ascii="Arial" w:hAnsi="Arial" w:cs="Arial"/>
            <w:sz w:val="21"/>
            <w:szCs w:val="21"/>
          </w:rPr>
          <w:t>Free from violence</w:t>
        </w:r>
      </w:hyperlink>
      <w:r w:rsidRPr="003B7652">
        <w:rPr>
          <w:rFonts w:ascii="Arial" w:hAnsi="Arial" w:cs="Arial"/>
          <w:color w:val="2A2736"/>
          <w:sz w:val="21"/>
          <w:szCs w:val="21"/>
        </w:rPr>
        <w:t xml:space="preserve"> </w:t>
      </w:r>
      <w:r w:rsidR="00D329EF">
        <w:rPr>
          <w:rFonts w:ascii="Arial" w:hAnsi="Arial" w:cs="Arial"/>
          <w:color w:val="2A2736"/>
          <w:sz w:val="21"/>
          <w:szCs w:val="21"/>
        </w:rPr>
        <w:t>&lt;</w:t>
      </w:r>
      <w:hyperlink w:history="1"/>
      <w:r w:rsidR="00D329EF" w:rsidRPr="00D329EF">
        <w:rPr>
          <w:rFonts w:ascii="Arial" w:hAnsi="Arial" w:cs="Arial"/>
          <w:color w:val="2A2736"/>
          <w:sz w:val="21"/>
          <w:szCs w:val="21"/>
        </w:rPr>
        <w:t>https://www.vic.gov.au/free-violence-victorias-strategy-prevent-family-violence</w:t>
      </w:r>
      <w:r w:rsidR="00D329EF">
        <w:rPr>
          <w:rFonts w:ascii="Arial" w:hAnsi="Arial" w:cs="Arial"/>
          <w:color w:val="2A2736"/>
          <w:sz w:val="21"/>
          <w:szCs w:val="21"/>
        </w:rPr>
        <w:t xml:space="preserve">&gt; </w:t>
      </w:r>
      <w:r w:rsidRPr="003B7652">
        <w:rPr>
          <w:rFonts w:ascii="Arial" w:hAnsi="Arial" w:cs="Arial"/>
          <w:color w:val="2A2736"/>
          <w:sz w:val="21"/>
          <w:szCs w:val="21"/>
        </w:rPr>
        <w:t>also focuses on research, monitoring</w:t>
      </w:r>
      <w:r w:rsidR="008C5805">
        <w:rPr>
          <w:rFonts w:ascii="Arial" w:hAnsi="Arial" w:cs="Arial"/>
          <w:color w:val="2A2736"/>
          <w:sz w:val="21"/>
          <w:szCs w:val="21"/>
        </w:rPr>
        <w:t>,</w:t>
      </w:r>
      <w:r w:rsidRPr="003B7652">
        <w:rPr>
          <w:rFonts w:ascii="Arial" w:hAnsi="Arial" w:cs="Arial"/>
          <w:color w:val="2A2736"/>
          <w:sz w:val="21"/>
          <w:szCs w:val="21"/>
        </w:rPr>
        <w:t xml:space="preserve"> and evaluation.</w:t>
      </w:r>
      <w:r w:rsidR="00E63327">
        <w:rPr>
          <w:rFonts w:ascii="Arial" w:hAnsi="Arial" w:cs="Arial"/>
          <w:color w:val="2A2736"/>
          <w:sz w:val="21"/>
          <w:szCs w:val="21"/>
        </w:rPr>
        <w:t xml:space="preserve"> </w:t>
      </w:r>
    </w:p>
    <w:p w14:paraId="6DFE52EA" w14:textId="31B3E1B1"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Research has been undertaken in areas where there is less evidence and understanding, such as elder abuse, violence against people with a disability, and violence within LGBTIQ</w:t>
      </w:r>
      <w:r w:rsidR="004A591A">
        <w:rPr>
          <w:rFonts w:ascii="Arial" w:hAnsi="Arial" w:cs="Arial"/>
          <w:color w:val="2A2736"/>
          <w:sz w:val="21"/>
          <w:szCs w:val="21"/>
        </w:rPr>
        <w:t>+</w:t>
      </w:r>
      <w:r w:rsidRPr="003B7652">
        <w:rPr>
          <w:rFonts w:ascii="Arial" w:hAnsi="Arial" w:cs="Arial"/>
          <w:color w:val="2A2736"/>
          <w:sz w:val="21"/>
          <w:szCs w:val="21"/>
        </w:rPr>
        <w:t xml:space="preserve"> communities.</w:t>
      </w:r>
    </w:p>
    <w:p w14:paraId="6B0A3B35" w14:textId="77777777" w:rsidR="007D093E" w:rsidRPr="003B7652" w:rsidRDefault="007D093E" w:rsidP="007D093E">
      <w:pPr>
        <w:pStyle w:val="Heading3"/>
      </w:pPr>
      <w:r w:rsidRPr="003B7652">
        <w:t>Find out more</w:t>
      </w:r>
    </w:p>
    <w:p w14:paraId="028E4E8D" w14:textId="6EE3DC1F"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The </w:t>
      </w:r>
      <w:hyperlink r:id="rId132" w:history="1">
        <w:r w:rsidRPr="00D329EF">
          <w:rPr>
            <w:rStyle w:val="Hyperlink"/>
            <w:rFonts w:ascii="Arial" w:hAnsi="Arial" w:cs="Arial"/>
            <w:sz w:val="21"/>
            <w:szCs w:val="21"/>
          </w:rPr>
          <w:t>Public health and wellbeing progress report</w:t>
        </w:r>
      </w:hyperlink>
      <w:r w:rsidRPr="00D329EF">
        <w:rPr>
          <w:rFonts w:ascii="Arial" w:hAnsi="Arial" w:cs="Arial"/>
          <w:color w:val="17365D" w:themeColor="text2" w:themeShade="BF"/>
          <w:sz w:val="21"/>
          <w:szCs w:val="21"/>
        </w:rPr>
        <w:t> </w:t>
      </w:r>
      <w:r w:rsidRPr="003B7652">
        <w:rPr>
          <w:rFonts w:ascii="Arial" w:hAnsi="Arial" w:cs="Arial"/>
          <w:color w:val="2A2736"/>
          <w:sz w:val="21"/>
          <w:szCs w:val="21"/>
        </w:rPr>
        <w:t>.</w:t>
      </w:r>
      <w:r w:rsidR="00D329EF">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https://www.health.vic.gov.au/publications/victorian-public-health-and-wellbeing-progress-report</w:t>
      </w:r>
      <w:r w:rsidR="00E63327">
        <w:rPr>
          <w:rFonts w:ascii="Arial" w:hAnsi="Arial" w:cs="Arial"/>
          <w:color w:val="2A2736"/>
          <w:sz w:val="21"/>
          <w:szCs w:val="21"/>
        </w:rPr>
        <w:t>&gt;</w:t>
      </w:r>
      <w:r w:rsidR="00D11F96">
        <w:rPr>
          <w:rFonts w:ascii="Arial" w:hAnsi="Arial" w:cs="Arial"/>
          <w:color w:val="2A2736"/>
          <w:sz w:val="21"/>
          <w:szCs w:val="21"/>
        </w:rPr>
        <w:t xml:space="preserve"> </w:t>
      </w:r>
      <w:r w:rsidR="00D11F96" w:rsidRPr="00D11F96">
        <w:rPr>
          <w:rFonts w:ascii="Arial" w:hAnsi="Arial" w:cs="Arial"/>
          <w:color w:val="2A2736"/>
          <w:sz w:val="21"/>
          <w:szCs w:val="21"/>
        </w:rPr>
        <w:t>also includes information on family violence prevention in Victoria</w:t>
      </w:r>
      <w:r w:rsidR="00D11F96">
        <w:rPr>
          <w:rFonts w:ascii="Arial" w:hAnsi="Arial" w:cs="Arial"/>
          <w:color w:val="2A2736"/>
          <w:sz w:val="21"/>
          <w:szCs w:val="21"/>
        </w:rPr>
        <w:t>.</w:t>
      </w:r>
    </w:p>
    <w:p w14:paraId="28683916" w14:textId="7AF22FA6"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The </w:t>
      </w:r>
      <w:hyperlink r:id="rId133">
        <w:r w:rsidRPr="00D329EF">
          <w:rPr>
            <w:rStyle w:val="Hyperlink"/>
            <w:rFonts w:ascii="Arial" w:hAnsi="Arial" w:cs="Arial"/>
            <w:sz w:val="21"/>
            <w:szCs w:val="21"/>
          </w:rPr>
          <w:t>Our Watch website</w:t>
        </w:r>
      </w:hyperlink>
      <w:r w:rsidRPr="003B7652">
        <w:rPr>
          <w:rFonts w:ascii="Arial" w:hAnsi="Arial" w:cs="Arial"/>
          <w:color w:val="2A2736"/>
          <w:sz w:val="21"/>
          <w:szCs w:val="21"/>
        </w:rPr>
        <w:t> </w:t>
      </w:r>
      <w:r w:rsidR="00E63327">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https://www.ourwatch.org.au/</w:t>
      </w:r>
      <w:r w:rsidR="00E63327">
        <w:rPr>
          <w:rFonts w:ascii="Arial" w:hAnsi="Arial" w:cs="Arial"/>
          <w:color w:val="2A2736"/>
          <w:sz w:val="21"/>
          <w:szCs w:val="21"/>
        </w:rPr>
        <w:t>&gt;</w:t>
      </w:r>
      <w:r w:rsidR="00FC01AB">
        <w:rPr>
          <w:rFonts w:ascii="Arial" w:hAnsi="Arial" w:cs="Arial"/>
          <w:color w:val="2A2736"/>
          <w:sz w:val="21"/>
          <w:szCs w:val="21"/>
        </w:rPr>
        <w:t xml:space="preserve"> </w:t>
      </w:r>
      <w:r w:rsidRPr="003B7652">
        <w:rPr>
          <w:rFonts w:ascii="Arial" w:hAnsi="Arial" w:cs="Arial"/>
          <w:color w:val="2A2736"/>
          <w:sz w:val="21"/>
          <w:szCs w:val="21"/>
        </w:rPr>
        <w:t>also includes information on the drivers of violence against women.</w:t>
      </w:r>
      <w:r w:rsidR="00E63327">
        <w:rPr>
          <w:rFonts w:ascii="Arial" w:hAnsi="Arial" w:cs="Arial"/>
          <w:color w:val="2A2736"/>
          <w:sz w:val="21"/>
          <w:szCs w:val="21"/>
        </w:rPr>
        <w:t xml:space="preserve"> </w:t>
      </w:r>
      <w:r w:rsidR="00FC01AB">
        <w:rPr>
          <w:rFonts w:ascii="Arial" w:hAnsi="Arial" w:cs="Arial"/>
          <w:color w:val="2A2736"/>
          <w:sz w:val="21"/>
          <w:szCs w:val="21"/>
        </w:rPr>
        <w:t xml:space="preserve"> </w:t>
      </w:r>
    </w:p>
    <w:p w14:paraId="4162CDDF" w14:textId="381AF994" w:rsidR="007D093E" w:rsidRPr="003B7652" w:rsidRDefault="007D093E" w:rsidP="007D093E">
      <w:pPr>
        <w:pStyle w:val="NormalWeb"/>
        <w:rPr>
          <w:rFonts w:ascii="Arial" w:hAnsi="Arial" w:cs="Arial"/>
          <w:color w:val="2A2736"/>
          <w:sz w:val="21"/>
          <w:szCs w:val="21"/>
        </w:rPr>
      </w:pPr>
      <w:r w:rsidRPr="003B7652">
        <w:rPr>
          <w:rFonts w:ascii="Arial" w:hAnsi="Arial" w:cs="Arial"/>
          <w:color w:val="2A2736"/>
          <w:sz w:val="21"/>
          <w:szCs w:val="21"/>
        </w:rPr>
        <w:t xml:space="preserve">The </w:t>
      </w:r>
      <w:hyperlink r:id="rId134" w:history="1">
        <w:r w:rsidRPr="00D329EF">
          <w:rPr>
            <w:rStyle w:val="Hyperlink"/>
            <w:rFonts w:ascii="Arial" w:hAnsi="Arial" w:cs="Arial"/>
            <w:sz w:val="21"/>
            <w:szCs w:val="21"/>
          </w:rPr>
          <w:t>Respect Victoria website</w:t>
        </w:r>
      </w:hyperlink>
      <w:r w:rsidRPr="003B7652">
        <w:rPr>
          <w:rFonts w:ascii="Arial" w:hAnsi="Arial" w:cs="Arial"/>
          <w:color w:val="2A2736"/>
          <w:sz w:val="21"/>
          <w:szCs w:val="21"/>
        </w:rPr>
        <w:t xml:space="preserve"> </w:t>
      </w:r>
      <w:r w:rsidR="008611E3">
        <w:rPr>
          <w:rFonts w:ascii="Arial" w:hAnsi="Arial" w:cs="Arial"/>
          <w:color w:val="2A2736"/>
          <w:sz w:val="21"/>
          <w:szCs w:val="21"/>
        </w:rPr>
        <w:t xml:space="preserve">Available at </w:t>
      </w:r>
      <w:r w:rsidR="00E63327">
        <w:rPr>
          <w:rFonts w:ascii="Arial" w:hAnsi="Arial" w:cs="Arial"/>
          <w:color w:val="2A2736"/>
          <w:sz w:val="21"/>
          <w:szCs w:val="21"/>
        </w:rPr>
        <w:t>&lt;</w:t>
      </w:r>
      <w:r w:rsidR="00E63327" w:rsidRPr="00E63327">
        <w:rPr>
          <w:rFonts w:ascii="Arial" w:hAnsi="Arial" w:cs="Arial"/>
          <w:color w:val="2A2736"/>
          <w:sz w:val="21"/>
          <w:szCs w:val="21"/>
        </w:rPr>
        <w:t>https://www.respectvictoria.vic.gov.au/</w:t>
      </w:r>
      <w:r w:rsidR="00E63327">
        <w:rPr>
          <w:rFonts w:ascii="Arial" w:hAnsi="Arial" w:cs="Arial"/>
          <w:color w:val="2A2736"/>
          <w:sz w:val="21"/>
          <w:szCs w:val="21"/>
        </w:rPr>
        <w:t>&gt;</w:t>
      </w:r>
      <w:r w:rsidR="00430033">
        <w:rPr>
          <w:rFonts w:ascii="Arial" w:hAnsi="Arial" w:cs="Arial"/>
          <w:color w:val="2A2736"/>
          <w:sz w:val="21"/>
          <w:szCs w:val="21"/>
        </w:rPr>
        <w:t xml:space="preserve"> </w:t>
      </w:r>
      <w:r w:rsidRPr="003B7652">
        <w:rPr>
          <w:rFonts w:ascii="Arial" w:hAnsi="Arial" w:cs="Arial"/>
          <w:color w:val="2A2736"/>
          <w:sz w:val="21"/>
          <w:szCs w:val="21"/>
        </w:rPr>
        <w:t>includes information on family violence prevention in Victoria</w:t>
      </w:r>
      <w:r w:rsidR="00430033" w:rsidRPr="00430033">
        <w:rPr>
          <w:rFonts w:ascii="Arial" w:hAnsi="Arial" w:cs="Arial"/>
          <w:color w:val="2A2736"/>
          <w:sz w:val="21"/>
          <w:szCs w:val="21"/>
        </w:rPr>
        <w:t>.</w:t>
      </w:r>
    </w:p>
    <w:p w14:paraId="6DD18064" w14:textId="2753384D" w:rsidR="00101C05" w:rsidRDefault="00101C05" w:rsidP="00101C05">
      <w:pPr>
        <w:pStyle w:val="Heading2"/>
      </w:pPr>
      <w:bookmarkStart w:id="155" w:name="_Toc116981395"/>
      <w:r>
        <w:lastRenderedPageBreak/>
        <w:t>Falls prevention among older Victorians</w:t>
      </w:r>
      <w:bookmarkEnd w:id="155"/>
    </w:p>
    <w:p w14:paraId="23B4364D" w14:textId="6849FED8" w:rsidR="00B81033" w:rsidRPr="002A192A" w:rsidRDefault="00B81033" w:rsidP="00B81033">
      <w:pPr>
        <w:pStyle w:val="Body"/>
        <w:rPr>
          <w:lang w:val="en"/>
        </w:rPr>
      </w:pPr>
      <w:r w:rsidRPr="002A192A">
        <w:rPr>
          <w:lang w:val="en"/>
        </w:rPr>
        <w:t>Falls are a leading cause of unintentional injury, disability</w:t>
      </w:r>
      <w:r w:rsidR="005D451B">
        <w:rPr>
          <w:lang w:val="en"/>
        </w:rPr>
        <w:t>,</w:t>
      </w:r>
      <w:r w:rsidRPr="002A192A">
        <w:rPr>
          <w:lang w:val="en"/>
        </w:rPr>
        <w:t xml:space="preserve"> and death among older people. </w:t>
      </w:r>
    </w:p>
    <w:p w14:paraId="5393E94F" w14:textId="77777777" w:rsidR="00B81033" w:rsidRPr="003641C3" w:rsidRDefault="00B81033" w:rsidP="00B81033">
      <w:pPr>
        <w:pStyle w:val="Heading3"/>
        <w:rPr>
          <w:lang w:val="en"/>
        </w:rPr>
      </w:pPr>
      <w:r w:rsidRPr="003641C3">
        <w:rPr>
          <w:lang w:val="en"/>
        </w:rPr>
        <w:t>Rates of falls</w:t>
      </w:r>
    </w:p>
    <w:p w14:paraId="6C6A6486" w14:textId="723F1AD8" w:rsidR="00B81033" w:rsidRPr="00EA1732" w:rsidRDefault="00B81033" w:rsidP="00B81033">
      <w:pPr>
        <w:pStyle w:val="Body"/>
        <w:rPr>
          <w:lang w:val="en"/>
        </w:rPr>
      </w:pPr>
      <w:r w:rsidRPr="00EA1732">
        <w:rPr>
          <w:lang w:val="en"/>
        </w:rPr>
        <w:t xml:space="preserve">Australian and international studies have identified that approximately </w:t>
      </w:r>
      <w:r w:rsidRPr="007E7107">
        <w:rPr>
          <w:lang w:val="en"/>
        </w:rPr>
        <w:t>one</w:t>
      </w:r>
      <w:r w:rsidR="005D451B" w:rsidRPr="007E7107">
        <w:rPr>
          <w:lang w:val="en"/>
        </w:rPr>
        <w:t>-in-</w:t>
      </w:r>
      <w:r w:rsidRPr="007E7107">
        <w:rPr>
          <w:lang w:val="en"/>
        </w:rPr>
        <w:t>three people aged 65 years and over fall each year, with 10 per cent having multiple falls and more than 30 per cent experiencing injuries requiring medical attention</w:t>
      </w:r>
      <w:r w:rsidRPr="00EA1732">
        <w:rPr>
          <w:lang w:val="en"/>
        </w:rPr>
        <w:t>.</w:t>
      </w:r>
    </w:p>
    <w:p w14:paraId="489F46F0" w14:textId="23F5599E" w:rsidR="00B81033" w:rsidRPr="00EA1732" w:rsidRDefault="00B81033" w:rsidP="00B81033">
      <w:pPr>
        <w:pStyle w:val="Body"/>
        <w:rPr>
          <w:lang w:val="en"/>
        </w:rPr>
      </w:pPr>
      <w:r w:rsidRPr="00EA1732">
        <w:rPr>
          <w:lang w:val="en"/>
        </w:rPr>
        <w:t>Falls can happen to anyone at any location, but falls requiring hospitalisation are more common among older people living independently in the community</w:t>
      </w:r>
      <w:r w:rsidR="005D451B">
        <w:rPr>
          <w:lang w:val="en"/>
        </w:rPr>
        <w:t>. M</w:t>
      </w:r>
      <w:r w:rsidRPr="00EA1732">
        <w:rPr>
          <w:lang w:val="en"/>
        </w:rPr>
        <w:t>ost falls are likely to occur in the home (AIHW, 2022).</w:t>
      </w:r>
    </w:p>
    <w:p w14:paraId="21715283" w14:textId="77777777" w:rsidR="00B81033" w:rsidRPr="00475416" w:rsidRDefault="00B81033" w:rsidP="00B81033">
      <w:pPr>
        <w:pStyle w:val="Heading3"/>
        <w:rPr>
          <w:lang w:val="en"/>
        </w:rPr>
      </w:pPr>
      <w:r w:rsidRPr="00475416">
        <w:rPr>
          <w:lang w:val="en"/>
        </w:rPr>
        <w:t>Impact of falls</w:t>
      </w:r>
    </w:p>
    <w:p w14:paraId="13771F98" w14:textId="25D74333" w:rsidR="00B81033" w:rsidRPr="00D93284" w:rsidRDefault="00B81033" w:rsidP="00B81033">
      <w:pPr>
        <w:pStyle w:val="Body"/>
        <w:rPr>
          <w:lang w:val="en"/>
        </w:rPr>
      </w:pPr>
      <w:r w:rsidRPr="00D93284">
        <w:rPr>
          <w:lang w:val="en"/>
        </w:rPr>
        <w:t>The impact of falls and falls-related injury on the person, their family</w:t>
      </w:r>
      <w:r w:rsidR="005D451B">
        <w:rPr>
          <w:lang w:val="en"/>
        </w:rPr>
        <w:t>,</w:t>
      </w:r>
      <w:r w:rsidRPr="00D93284">
        <w:rPr>
          <w:lang w:val="en"/>
        </w:rPr>
        <w:t xml:space="preserve"> and society, as well as on the health system, can be considerable (</w:t>
      </w:r>
      <w:r w:rsidR="005D451B">
        <w:rPr>
          <w:lang w:val="en"/>
        </w:rPr>
        <w:t>WHO,</w:t>
      </w:r>
      <w:r w:rsidRPr="00D93284">
        <w:rPr>
          <w:lang w:val="en"/>
        </w:rPr>
        <w:t xml:space="preserve"> 2021</w:t>
      </w:r>
      <w:r w:rsidR="005D451B">
        <w:rPr>
          <w:lang w:val="en"/>
        </w:rPr>
        <w:t>;</w:t>
      </w:r>
      <w:r w:rsidRPr="00D93284">
        <w:rPr>
          <w:lang w:val="en"/>
        </w:rPr>
        <w:t xml:space="preserve"> ANZFPS, 2022).  </w:t>
      </w:r>
    </w:p>
    <w:p w14:paraId="5C03BFF1" w14:textId="1A065C7B" w:rsidR="00B81033" w:rsidRPr="00D93284" w:rsidRDefault="00B81033" w:rsidP="00B81033">
      <w:pPr>
        <w:pStyle w:val="Body"/>
        <w:rPr>
          <w:lang w:val="en"/>
        </w:rPr>
      </w:pPr>
      <w:r w:rsidRPr="00D93284">
        <w:rPr>
          <w:lang w:val="en"/>
        </w:rPr>
        <w:t xml:space="preserve">Even falls that do not cause a physical injury often </w:t>
      </w:r>
      <w:r w:rsidR="005D451B">
        <w:rPr>
          <w:lang w:val="en"/>
        </w:rPr>
        <w:t>cause</w:t>
      </w:r>
      <w:r w:rsidR="005D451B" w:rsidRPr="00D93284">
        <w:rPr>
          <w:lang w:val="en"/>
        </w:rPr>
        <w:t xml:space="preserve"> </w:t>
      </w:r>
      <w:r w:rsidRPr="00D93284">
        <w:rPr>
          <w:lang w:val="en"/>
        </w:rPr>
        <w:t>an older person to lose confidence</w:t>
      </w:r>
      <w:r w:rsidR="005D451B">
        <w:rPr>
          <w:lang w:val="en"/>
        </w:rPr>
        <w:t>. This loss of confidence</w:t>
      </w:r>
      <w:r w:rsidRPr="00D93284">
        <w:rPr>
          <w:lang w:val="en"/>
        </w:rPr>
        <w:t xml:space="preserve"> can lead to an ongoing fear of falling. Over time, this </w:t>
      </w:r>
      <w:r w:rsidR="005D451B">
        <w:rPr>
          <w:lang w:val="en"/>
        </w:rPr>
        <w:t xml:space="preserve">fear of falling </w:t>
      </w:r>
      <w:r w:rsidRPr="00D93284">
        <w:rPr>
          <w:lang w:val="en"/>
        </w:rPr>
        <w:t xml:space="preserve">can lead to their limiting their movement and reducing their activity, which further increases their risk of falling (Health Direct, 2022).  </w:t>
      </w:r>
    </w:p>
    <w:p w14:paraId="16E76375" w14:textId="77777777" w:rsidR="00B81033" w:rsidRDefault="00B81033" w:rsidP="00B81033">
      <w:pPr>
        <w:pStyle w:val="Heading3"/>
        <w:rPr>
          <w:lang w:val="en"/>
        </w:rPr>
      </w:pPr>
      <w:r>
        <w:rPr>
          <w:lang w:val="en"/>
        </w:rPr>
        <w:t>Risk and protective factors for falls</w:t>
      </w:r>
    </w:p>
    <w:p w14:paraId="45DF505A" w14:textId="77777777" w:rsidR="00B81033" w:rsidRPr="0062660A" w:rsidRDefault="00B81033" w:rsidP="00B81033">
      <w:pPr>
        <w:pStyle w:val="Body"/>
        <w:rPr>
          <w:lang w:val="en"/>
        </w:rPr>
      </w:pPr>
      <w:r w:rsidRPr="0062660A">
        <w:rPr>
          <w:lang w:val="en"/>
        </w:rPr>
        <w:t>An individual’s risk of falls and falls-related injury and harm are complex and multifactorial (Close and Lord, 2022).</w:t>
      </w:r>
    </w:p>
    <w:p w14:paraId="231A6629" w14:textId="01169A4D" w:rsidR="00B81033" w:rsidRPr="0062660A" w:rsidRDefault="00B81033" w:rsidP="00B81033">
      <w:pPr>
        <w:pStyle w:val="Body"/>
        <w:rPr>
          <w:lang w:val="en"/>
        </w:rPr>
      </w:pPr>
      <w:r w:rsidRPr="0062660A">
        <w:rPr>
          <w:lang w:val="en"/>
        </w:rPr>
        <w:t xml:space="preserve">As people age, the risk of fall-related hospitalisation increases (Ambrose </w:t>
      </w:r>
      <w:r w:rsidRPr="004770D6">
        <w:rPr>
          <w:lang w:val="en"/>
        </w:rPr>
        <w:t>et al</w:t>
      </w:r>
      <w:r w:rsidR="005D451B">
        <w:rPr>
          <w:lang w:val="en"/>
        </w:rPr>
        <w:t>,</w:t>
      </w:r>
      <w:r w:rsidRPr="0062660A">
        <w:rPr>
          <w:lang w:val="en"/>
        </w:rPr>
        <w:t xml:space="preserve"> 2015</w:t>
      </w:r>
      <w:r>
        <w:rPr>
          <w:lang w:val="en"/>
        </w:rPr>
        <w:t>).</w:t>
      </w:r>
      <w:r w:rsidRPr="0062660A">
        <w:rPr>
          <w:lang w:val="en"/>
        </w:rPr>
        <w:t xml:space="preserve"> However, it is internationally recognised that falls should not be considered a normal part of ageing (WHO, 2021). </w:t>
      </w:r>
    </w:p>
    <w:p w14:paraId="46CE0817" w14:textId="5B2A379D" w:rsidR="00B81033" w:rsidRPr="0062660A" w:rsidRDefault="00B81033" w:rsidP="00B81033">
      <w:pPr>
        <w:pStyle w:val="Body"/>
        <w:rPr>
          <w:lang w:val="en"/>
        </w:rPr>
      </w:pPr>
      <w:r w:rsidRPr="0062660A">
        <w:rPr>
          <w:lang w:val="en"/>
        </w:rPr>
        <w:t>Factors that increase the risk of falls include a history of falls, frailty, comorbidity (especially cardiac conditions, renal conditions</w:t>
      </w:r>
      <w:r w:rsidR="005D451B">
        <w:rPr>
          <w:lang w:val="en"/>
        </w:rPr>
        <w:t>,</w:t>
      </w:r>
      <w:r w:rsidRPr="0062660A">
        <w:rPr>
          <w:lang w:val="en"/>
        </w:rPr>
        <w:t xml:space="preserve"> and diabetes), cognitive impairment</w:t>
      </w:r>
      <w:r w:rsidR="005D451B">
        <w:rPr>
          <w:lang w:val="en"/>
        </w:rPr>
        <w:t>,</w:t>
      </w:r>
      <w:r w:rsidRPr="0062660A">
        <w:rPr>
          <w:lang w:val="en"/>
        </w:rPr>
        <w:t xml:space="preserve"> and sedentary lifestyles. Other factors include hazardous home environments,</w:t>
      </w:r>
      <w:r w:rsidR="005D451B">
        <w:rPr>
          <w:lang w:val="en"/>
        </w:rPr>
        <w:t xml:space="preserve"> and</w:t>
      </w:r>
      <w:r w:rsidRPr="0062660A">
        <w:rPr>
          <w:lang w:val="en"/>
        </w:rPr>
        <w:t xml:space="preserve"> uneven road and footpath environments, as well as socioeconomic factors such as social isolation, living in regional and remote areas, and limited availability or access to health services and aged care (</w:t>
      </w:r>
      <w:r w:rsidR="008A255C">
        <w:rPr>
          <w:lang w:val="en"/>
        </w:rPr>
        <w:t>WHO</w:t>
      </w:r>
      <w:r w:rsidRPr="0062660A">
        <w:rPr>
          <w:lang w:val="en"/>
        </w:rPr>
        <w:t>, 2021).</w:t>
      </w:r>
    </w:p>
    <w:p w14:paraId="691921FC" w14:textId="6BD92C55" w:rsidR="00B81033" w:rsidRPr="0062660A" w:rsidRDefault="00B81033" w:rsidP="00B81033">
      <w:pPr>
        <w:pStyle w:val="Body"/>
        <w:rPr>
          <w:lang w:val="en"/>
        </w:rPr>
      </w:pPr>
      <w:r w:rsidRPr="0062660A">
        <w:rPr>
          <w:lang w:val="en"/>
        </w:rPr>
        <w:t>Protective factors include</w:t>
      </w:r>
      <w:r w:rsidR="005D451B">
        <w:rPr>
          <w:lang w:val="en"/>
        </w:rPr>
        <w:t>:</w:t>
      </w:r>
      <w:r w:rsidRPr="0062660A">
        <w:rPr>
          <w:lang w:val="en"/>
        </w:rPr>
        <w:t xml:space="preserve"> a healthy and active lifestyle, behavioural change to maintain or uptake strength and balance</w:t>
      </w:r>
      <w:r w:rsidR="005D451B">
        <w:rPr>
          <w:lang w:val="en"/>
        </w:rPr>
        <w:t>,</w:t>
      </w:r>
      <w:r w:rsidRPr="0062660A">
        <w:rPr>
          <w:lang w:val="en"/>
        </w:rPr>
        <w:t xml:space="preserve"> </w:t>
      </w:r>
      <w:r w:rsidR="005D451B">
        <w:rPr>
          <w:lang w:val="en"/>
        </w:rPr>
        <w:t xml:space="preserve">and </w:t>
      </w:r>
      <w:r w:rsidRPr="0062660A">
        <w:rPr>
          <w:lang w:val="en"/>
        </w:rPr>
        <w:t>exercise to maintain mental and physical function. Other protective factors include</w:t>
      </w:r>
      <w:r w:rsidR="005D451B">
        <w:rPr>
          <w:lang w:val="en"/>
        </w:rPr>
        <w:t>:</w:t>
      </w:r>
      <w:r w:rsidRPr="0062660A">
        <w:rPr>
          <w:lang w:val="en"/>
        </w:rPr>
        <w:t xml:space="preserve"> reducing home slip and trip hazards through </w:t>
      </w:r>
      <w:r w:rsidR="005D451B">
        <w:rPr>
          <w:lang w:val="en"/>
        </w:rPr>
        <w:t xml:space="preserve">a </w:t>
      </w:r>
      <w:r w:rsidRPr="0062660A">
        <w:rPr>
          <w:lang w:val="en"/>
        </w:rPr>
        <w:t>home</w:t>
      </w:r>
      <w:r w:rsidR="005D451B">
        <w:rPr>
          <w:lang w:val="en"/>
        </w:rPr>
        <w:t>-</w:t>
      </w:r>
      <w:r w:rsidRPr="0062660A">
        <w:rPr>
          <w:lang w:val="en"/>
        </w:rPr>
        <w:t>safety assessment and modification by Occupational Therapists</w:t>
      </w:r>
      <w:r w:rsidR="005D451B">
        <w:rPr>
          <w:lang w:val="en"/>
        </w:rPr>
        <w:t>;</w:t>
      </w:r>
      <w:r w:rsidRPr="0062660A">
        <w:rPr>
          <w:lang w:val="en"/>
        </w:rPr>
        <w:t xml:space="preserve"> reducing psychotropic medication</w:t>
      </w:r>
      <w:r w:rsidR="005D451B">
        <w:rPr>
          <w:lang w:val="en"/>
        </w:rPr>
        <w:t>;</w:t>
      </w:r>
      <w:r w:rsidRPr="0062660A">
        <w:rPr>
          <w:lang w:val="en"/>
        </w:rPr>
        <w:t xml:space="preserve"> cataract surgery</w:t>
      </w:r>
      <w:r w:rsidR="005D451B">
        <w:rPr>
          <w:lang w:val="en"/>
        </w:rPr>
        <w:t>;</w:t>
      </w:r>
      <w:r w:rsidRPr="0062660A">
        <w:rPr>
          <w:lang w:val="en"/>
        </w:rPr>
        <w:t xml:space="preserve"> maintaining bone health</w:t>
      </w:r>
      <w:r w:rsidR="005D451B">
        <w:rPr>
          <w:lang w:val="en"/>
        </w:rPr>
        <w:t>;</w:t>
      </w:r>
      <w:r w:rsidRPr="0062660A">
        <w:rPr>
          <w:lang w:val="en"/>
        </w:rPr>
        <w:t xml:space="preserve"> and having regular optometry, podiatry</w:t>
      </w:r>
      <w:r w:rsidR="005D451B">
        <w:rPr>
          <w:lang w:val="en"/>
        </w:rPr>
        <w:t>,</w:t>
      </w:r>
      <w:r w:rsidRPr="0062660A">
        <w:rPr>
          <w:lang w:val="en"/>
        </w:rPr>
        <w:t xml:space="preserve"> and hearing checks (Andersen </w:t>
      </w:r>
      <w:r w:rsidRPr="004770D6">
        <w:rPr>
          <w:lang w:val="en"/>
        </w:rPr>
        <w:t>et al</w:t>
      </w:r>
      <w:r w:rsidRPr="0062660A">
        <w:rPr>
          <w:lang w:val="en"/>
        </w:rPr>
        <w:t xml:space="preserve">, 2020). </w:t>
      </w:r>
    </w:p>
    <w:p w14:paraId="0439B344" w14:textId="77777777" w:rsidR="00B81033" w:rsidRPr="005E7D3B" w:rsidRDefault="00B81033" w:rsidP="00B81033">
      <w:pPr>
        <w:pStyle w:val="Heading3"/>
        <w:rPr>
          <w:lang w:val="en"/>
        </w:rPr>
      </w:pPr>
      <w:r w:rsidRPr="005E7D3B">
        <w:rPr>
          <w:lang w:val="en"/>
        </w:rPr>
        <w:t>Data about falls in Victoria</w:t>
      </w:r>
    </w:p>
    <w:p w14:paraId="349EEEB4" w14:textId="71F7403B" w:rsidR="00B81033" w:rsidRPr="009F1B69" w:rsidRDefault="00B81033" w:rsidP="00B81033">
      <w:pPr>
        <w:pStyle w:val="Body"/>
        <w:rPr>
          <w:lang w:val="en"/>
        </w:rPr>
      </w:pPr>
      <w:r w:rsidRPr="009F1B69">
        <w:rPr>
          <w:lang w:val="en"/>
        </w:rPr>
        <w:t>Data from Monash University's Victorian Injury Surveillance Unit (VISU) shows that:</w:t>
      </w:r>
    </w:p>
    <w:p w14:paraId="50382F4E" w14:textId="4945BCDB" w:rsidR="00B81033" w:rsidRDefault="00B81033" w:rsidP="00DF373B">
      <w:pPr>
        <w:pStyle w:val="Bullet1"/>
      </w:pPr>
      <w:r>
        <w:t xml:space="preserve">In the period 2017-2019, </w:t>
      </w:r>
      <w:r w:rsidRPr="00B56EF7">
        <w:t>falls accounted for three-quarters of injury-related deaths among older people (n=3,258, 75.1</w:t>
      </w:r>
      <w:r w:rsidR="00F35600" w:rsidRPr="00B56EF7">
        <w:t xml:space="preserve"> per cent</w:t>
      </w:r>
      <w:r w:rsidRPr="00B56EF7">
        <w:t>) in the period 2017-2019.</w:t>
      </w:r>
      <w:r>
        <w:t xml:space="preserve"> A high proportion of fall deaths were coded as ‘unspecified fall’ (n=2,547; 78.2</w:t>
      </w:r>
      <w:r w:rsidR="00F3289C">
        <w:t xml:space="preserve"> per cent</w:t>
      </w:r>
      <w:r>
        <w:t xml:space="preserve">), while </w:t>
      </w:r>
      <w:r w:rsidR="00D11805">
        <w:t xml:space="preserve">of </w:t>
      </w:r>
      <w:r>
        <w:t>those with a specified fall mechanism (n=711) more than half were falls on the same level from slipping, tripping or stumbling (n=385, 54.1</w:t>
      </w:r>
      <w:r w:rsidR="00F3289C">
        <w:t xml:space="preserve"> per cent</w:t>
      </w:r>
      <w:r>
        <w:t>) (Pham and Hayman, 2022)</w:t>
      </w:r>
      <w:r w:rsidR="00FB17AA">
        <w:t>.</w:t>
      </w:r>
    </w:p>
    <w:p w14:paraId="167B9ADB" w14:textId="4DB409B6" w:rsidR="00B81033" w:rsidRDefault="00B81033" w:rsidP="00DF373B">
      <w:pPr>
        <w:pStyle w:val="Bullet1"/>
      </w:pPr>
      <w:r>
        <w:lastRenderedPageBreak/>
        <w:t>VISU reported in 2015 that the most common location of falls-related hospital admissions was the home (47.6</w:t>
      </w:r>
      <w:r w:rsidR="00F35600">
        <w:t xml:space="preserve"> per cent</w:t>
      </w:r>
      <w:r>
        <w:t>), residential institutions (22.2</w:t>
      </w:r>
      <w:r w:rsidR="00F35600">
        <w:t xml:space="preserve"> per cent</w:t>
      </w:r>
      <w:r>
        <w:t>)</w:t>
      </w:r>
      <w:r w:rsidR="00D11805">
        <w:t>,</w:t>
      </w:r>
      <w:r>
        <w:t xml:space="preserve"> and other institutions including hospitals (1.8</w:t>
      </w:r>
      <w:r w:rsidR="00F35600">
        <w:t xml:space="preserve"> per cent</w:t>
      </w:r>
      <w:r>
        <w:t xml:space="preserve">), whereas the most common location of falls-related </w:t>
      </w:r>
      <w:r w:rsidR="0004411D">
        <w:t>Emergency Department (</w:t>
      </w:r>
      <w:r>
        <w:t>ED</w:t>
      </w:r>
      <w:r w:rsidR="0004411D">
        <w:t>)</w:t>
      </w:r>
      <w:r>
        <w:t xml:space="preserve"> presentations was the home (56.3</w:t>
      </w:r>
      <w:r w:rsidR="00F35600">
        <w:t xml:space="preserve"> per cent</w:t>
      </w:r>
      <w:r>
        <w:t>), residential institutions (10.6</w:t>
      </w:r>
      <w:r w:rsidR="00F35600">
        <w:t xml:space="preserve"> per cent</w:t>
      </w:r>
      <w:r>
        <w:t>) and other institutions including hospitals (1.2</w:t>
      </w:r>
      <w:r w:rsidR="00F35600">
        <w:t xml:space="preserve"> per cent</w:t>
      </w:r>
      <w:r>
        <w:t>). The most common location for falls-related deaths was residential institutions (44.9</w:t>
      </w:r>
      <w:r w:rsidR="00F35600">
        <w:t xml:space="preserve"> per cent</w:t>
      </w:r>
      <w:r>
        <w:t>), home (32.8</w:t>
      </w:r>
      <w:r w:rsidR="00F35600">
        <w:t xml:space="preserve"> per cent</w:t>
      </w:r>
      <w:r>
        <w:t>)</w:t>
      </w:r>
      <w:r w:rsidR="00D11805">
        <w:t>,</w:t>
      </w:r>
      <w:r>
        <w:t xml:space="preserve"> and other institutions including hospitals (9.6</w:t>
      </w:r>
      <w:r w:rsidR="00F35600">
        <w:t xml:space="preserve"> per cent</w:t>
      </w:r>
      <w:r>
        <w:t xml:space="preserve">) (Stathakis </w:t>
      </w:r>
      <w:r w:rsidRPr="00650AF6">
        <w:t>et al</w:t>
      </w:r>
      <w:r>
        <w:t>, 2015).</w:t>
      </w:r>
    </w:p>
    <w:p w14:paraId="1EF07D08" w14:textId="778282A0" w:rsidR="00B81033" w:rsidRDefault="00B81033" w:rsidP="00DF373B">
      <w:pPr>
        <w:pStyle w:val="Bullet1"/>
      </w:pPr>
      <w:r>
        <w:t>Falls-related hospital admissions, ED presentations</w:t>
      </w:r>
      <w:r w:rsidR="00D11805">
        <w:t>,</w:t>
      </w:r>
      <w:r>
        <w:t xml:space="preserve"> and deaths are expected to increase as the Victorian population ages.</w:t>
      </w:r>
    </w:p>
    <w:p w14:paraId="0AF95B99" w14:textId="77777777" w:rsidR="00B81033" w:rsidRDefault="00B81033" w:rsidP="00B81033">
      <w:pPr>
        <w:pStyle w:val="Heading3"/>
      </w:pPr>
      <w:r w:rsidRPr="00376511">
        <w:t>Prevention of falls</w:t>
      </w:r>
    </w:p>
    <w:p w14:paraId="67D1803D" w14:textId="1B82D772" w:rsidR="00D11805" w:rsidRDefault="00B81033" w:rsidP="00B81033">
      <w:pPr>
        <w:pStyle w:val="Body"/>
        <w:rPr>
          <w:lang w:val="en"/>
        </w:rPr>
      </w:pPr>
      <w:r w:rsidRPr="00FE7904">
        <w:rPr>
          <w:lang w:val="en"/>
        </w:rPr>
        <w:t>The Victorian Government adopts a strategic primary prevention approach to falls and fall-related injury prevention (</w:t>
      </w:r>
      <w:r w:rsidR="00D11805">
        <w:rPr>
          <w:lang w:val="en"/>
        </w:rPr>
        <w:t>DHHS,</w:t>
      </w:r>
      <w:r w:rsidRPr="00FE7904">
        <w:rPr>
          <w:lang w:val="en"/>
        </w:rPr>
        <w:t xml:space="preserve"> 2015). </w:t>
      </w:r>
    </w:p>
    <w:p w14:paraId="5E22A6FF" w14:textId="77777777" w:rsidR="00B81033" w:rsidRDefault="00B81033" w:rsidP="00B81033">
      <w:pPr>
        <w:pStyle w:val="Heading3"/>
      </w:pPr>
      <w:r w:rsidRPr="00782250">
        <w:rPr>
          <w:lang w:val="en"/>
        </w:rPr>
        <w:t>What local communities can do</w:t>
      </w:r>
    </w:p>
    <w:p w14:paraId="726D6990" w14:textId="7BBB004B" w:rsidR="00B81033" w:rsidRPr="0096256E" w:rsidRDefault="00B81033" w:rsidP="00B81033">
      <w:pPr>
        <w:pStyle w:val="Body"/>
        <w:rPr>
          <w:lang w:val="en"/>
        </w:rPr>
      </w:pPr>
      <w:r w:rsidRPr="0096256E">
        <w:rPr>
          <w:lang w:val="en"/>
        </w:rPr>
        <w:t>Local government, community-based organisations</w:t>
      </w:r>
      <w:r w:rsidR="00AF1CAE">
        <w:rPr>
          <w:lang w:val="en"/>
        </w:rPr>
        <w:t>,</w:t>
      </w:r>
      <w:r w:rsidRPr="0096256E">
        <w:rPr>
          <w:lang w:val="en"/>
        </w:rPr>
        <w:t xml:space="preserve"> and seniors groups can prevent falls by taking action to ensure safe and age-friendly environments. </w:t>
      </w:r>
    </w:p>
    <w:p w14:paraId="6A77ACDA" w14:textId="528FECF9" w:rsidR="00B81033" w:rsidRPr="0096256E" w:rsidRDefault="00B81033" w:rsidP="00B81033">
      <w:pPr>
        <w:pStyle w:val="Body"/>
        <w:rPr>
          <w:lang w:val="en"/>
        </w:rPr>
      </w:pPr>
      <w:r w:rsidRPr="0096256E">
        <w:rPr>
          <w:lang w:val="en"/>
        </w:rPr>
        <w:t>Safe</w:t>
      </w:r>
      <w:r w:rsidR="00AF1CAE">
        <w:rPr>
          <w:lang w:val="en"/>
        </w:rPr>
        <w:t>-</w:t>
      </w:r>
      <w:r w:rsidRPr="0096256E">
        <w:rPr>
          <w:lang w:val="en"/>
        </w:rPr>
        <w:t xml:space="preserve">built environments are important to enable older people to live and move around independently and remain physically active, and ensure neighbourhoods and public spaces are safe, accessible, health-promoting and socially-inclusive environments for older people. </w:t>
      </w:r>
    </w:p>
    <w:p w14:paraId="0C2F04A2" w14:textId="77777777" w:rsidR="00B81033" w:rsidRPr="0096256E" w:rsidRDefault="00B81033" w:rsidP="00B81033">
      <w:pPr>
        <w:pStyle w:val="Body"/>
        <w:rPr>
          <w:lang w:val="en"/>
        </w:rPr>
      </w:pPr>
      <w:r w:rsidRPr="0096256E">
        <w:rPr>
          <w:lang w:val="en"/>
        </w:rPr>
        <w:t xml:space="preserve">Prioritising older people as vulnerable road users in the design of local roads will reduce falls and transport-related injuries, while supporting older people to adopt active modes of transport, like walking and cycling. </w:t>
      </w:r>
    </w:p>
    <w:p w14:paraId="02D181BD" w14:textId="74567924" w:rsidR="00B81033" w:rsidRPr="0096256E" w:rsidRDefault="00B81033" w:rsidP="00B81033">
      <w:pPr>
        <w:pStyle w:val="Body"/>
        <w:rPr>
          <w:lang w:val="en"/>
        </w:rPr>
      </w:pPr>
      <w:r w:rsidRPr="0096256E">
        <w:rPr>
          <w:lang w:val="en"/>
        </w:rPr>
        <w:t xml:space="preserve">Local government and community organisation partnerships and initiatives to enable older people’s participation in physical activity are encouraged, such as providing seniors exercise parks, age-friendly walking paths and group exercise programs such as Tai-Chi. </w:t>
      </w:r>
      <w:r w:rsidR="00FB17AA">
        <w:rPr>
          <w:lang w:val="en"/>
        </w:rPr>
        <w:t>Council on the Ageing’s (</w:t>
      </w:r>
      <w:r w:rsidRPr="0096256E">
        <w:rPr>
          <w:lang w:val="en"/>
        </w:rPr>
        <w:t>COTA</w:t>
      </w:r>
      <w:r w:rsidR="00FB17AA">
        <w:rPr>
          <w:lang w:val="en"/>
        </w:rPr>
        <w:t>)</w:t>
      </w:r>
      <w:r w:rsidRPr="0096256E">
        <w:rPr>
          <w:lang w:val="en"/>
        </w:rPr>
        <w:t xml:space="preserve"> Living Longer Living Stronger strength and balance program also offers links to providers and instructors.</w:t>
      </w:r>
    </w:p>
    <w:p w14:paraId="3A6ADCB1" w14:textId="7E4E5011" w:rsidR="00B81033" w:rsidRPr="0096256E" w:rsidRDefault="00B81033" w:rsidP="00B81033">
      <w:pPr>
        <w:pStyle w:val="Body"/>
        <w:rPr>
          <w:lang w:val="en"/>
        </w:rPr>
      </w:pPr>
      <w:r w:rsidRPr="0096256E">
        <w:rPr>
          <w:lang w:val="en"/>
        </w:rPr>
        <w:t xml:space="preserve">Age-friendly environments enable older people to remain healthy and independent and reduce the need for support services. </w:t>
      </w:r>
      <w:r w:rsidR="0047341B">
        <w:rPr>
          <w:lang w:val="en"/>
        </w:rPr>
        <w:t>For example, c</w:t>
      </w:r>
      <w:r w:rsidRPr="0096256E">
        <w:rPr>
          <w:lang w:val="en"/>
        </w:rPr>
        <w:t xml:space="preserve">ommunity organisations and local health services should </w:t>
      </w:r>
      <w:r w:rsidR="0047341B" w:rsidRPr="0096256E">
        <w:rPr>
          <w:lang w:val="en"/>
        </w:rPr>
        <w:t xml:space="preserve">support independence and ageing-in-place </w:t>
      </w:r>
      <w:r w:rsidR="0047341B">
        <w:rPr>
          <w:lang w:val="en"/>
        </w:rPr>
        <w:t xml:space="preserve">by </w:t>
      </w:r>
      <w:r w:rsidRPr="0096256E">
        <w:rPr>
          <w:lang w:val="en"/>
        </w:rPr>
        <w:t>foster</w:t>
      </w:r>
      <w:r w:rsidR="0047341B">
        <w:rPr>
          <w:lang w:val="en"/>
        </w:rPr>
        <w:t>ing</w:t>
      </w:r>
      <w:r w:rsidRPr="0096256E">
        <w:rPr>
          <w:lang w:val="en"/>
        </w:rPr>
        <w:t xml:space="preserve"> linkages</w:t>
      </w:r>
      <w:r w:rsidR="0047341B">
        <w:rPr>
          <w:lang w:val="en"/>
        </w:rPr>
        <w:t xml:space="preserve"> </w:t>
      </w:r>
      <w:r w:rsidRPr="0096256E">
        <w:rPr>
          <w:lang w:val="en"/>
        </w:rPr>
        <w:t xml:space="preserve">between home-based support services for older people and referrals to local healthcare providers. </w:t>
      </w:r>
    </w:p>
    <w:p w14:paraId="30A15283" w14:textId="77777777" w:rsidR="00B81033" w:rsidRPr="00DD39A4" w:rsidRDefault="00B81033" w:rsidP="00B81033">
      <w:pPr>
        <w:pStyle w:val="Heading3"/>
        <w:rPr>
          <w:lang w:val="en"/>
        </w:rPr>
      </w:pPr>
      <w:r w:rsidRPr="00DD39A4">
        <w:rPr>
          <w:lang w:val="en"/>
        </w:rPr>
        <w:t>What healthcare providers can do</w:t>
      </w:r>
    </w:p>
    <w:p w14:paraId="37E73EC3" w14:textId="0BC47C07" w:rsidR="00B81033" w:rsidRPr="00312FF1" w:rsidRDefault="00B81033" w:rsidP="00B81033">
      <w:pPr>
        <w:pStyle w:val="Body"/>
        <w:rPr>
          <w:lang w:val="en"/>
        </w:rPr>
      </w:pPr>
      <w:r w:rsidRPr="00312FF1">
        <w:rPr>
          <w:lang w:val="en"/>
        </w:rPr>
        <w:t>Healthcare providers have an important role to play in openly discussing falls risk with older people, identifying risk factors</w:t>
      </w:r>
      <w:r w:rsidR="0047341B">
        <w:rPr>
          <w:lang w:val="en"/>
        </w:rPr>
        <w:t>,</w:t>
      </w:r>
      <w:r w:rsidRPr="00312FF1">
        <w:rPr>
          <w:lang w:val="en"/>
        </w:rPr>
        <w:t xml:space="preserve"> and tailoring appropriate prevention strategies and referrals. </w:t>
      </w:r>
    </w:p>
    <w:p w14:paraId="3D5F8A25" w14:textId="01638F0F" w:rsidR="00B81033" w:rsidRPr="00312FF1" w:rsidRDefault="00B81033" w:rsidP="00B81033">
      <w:pPr>
        <w:pStyle w:val="Body"/>
        <w:rPr>
          <w:lang w:val="en"/>
        </w:rPr>
      </w:pPr>
      <w:r w:rsidRPr="00312FF1">
        <w:rPr>
          <w:lang w:val="en"/>
        </w:rPr>
        <w:t>Healthcare providers are encouraged to conduct falls</w:t>
      </w:r>
      <w:r w:rsidR="0047341B">
        <w:rPr>
          <w:lang w:val="en"/>
        </w:rPr>
        <w:t>-</w:t>
      </w:r>
      <w:r w:rsidRPr="00312FF1">
        <w:rPr>
          <w:lang w:val="en"/>
        </w:rPr>
        <w:t>risk assessment with their clients to enhance early intervention and referral to appropriate prevention strategies. General Practitioners are encouraged to conduct falls risk assessment as part of routine 45</w:t>
      </w:r>
      <w:r w:rsidR="0047341B">
        <w:rPr>
          <w:lang w:val="en"/>
        </w:rPr>
        <w:t>-</w:t>
      </w:r>
      <w:r w:rsidRPr="00312FF1">
        <w:rPr>
          <w:lang w:val="en"/>
        </w:rPr>
        <w:t>year</w:t>
      </w:r>
      <w:r w:rsidR="0047341B">
        <w:rPr>
          <w:lang w:val="en"/>
        </w:rPr>
        <w:t>-</w:t>
      </w:r>
      <w:r w:rsidRPr="00312FF1">
        <w:rPr>
          <w:lang w:val="en"/>
        </w:rPr>
        <w:t>old and 75</w:t>
      </w:r>
      <w:r w:rsidR="0047341B">
        <w:rPr>
          <w:lang w:val="en"/>
        </w:rPr>
        <w:t>-</w:t>
      </w:r>
      <w:r w:rsidRPr="00312FF1">
        <w:rPr>
          <w:lang w:val="en"/>
        </w:rPr>
        <w:t>year</w:t>
      </w:r>
      <w:r w:rsidR="0047341B">
        <w:rPr>
          <w:lang w:val="en"/>
        </w:rPr>
        <w:t>-</w:t>
      </w:r>
      <w:r w:rsidRPr="00312FF1">
        <w:rPr>
          <w:lang w:val="en"/>
        </w:rPr>
        <w:t xml:space="preserve">old health checks, as well as for patients with chronic health conditions that carry increased falls risk. Health professionals can use the </w:t>
      </w:r>
      <w:hyperlink r:id="rId135" w:history="1">
        <w:r w:rsidRPr="000D17BC">
          <w:rPr>
            <w:rStyle w:val="Hyperlink"/>
            <w:lang w:val="en"/>
          </w:rPr>
          <w:t>Victorian Falls and Balance Service Directory</w:t>
        </w:r>
      </w:hyperlink>
      <w:r w:rsidRPr="00312FF1">
        <w:rPr>
          <w:lang w:val="en"/>
        </w:rPr>
        <w:t xml:space="preserve"> </w:t>
      </w:r>
      <w:r>
        <w:rPr>
          <w:lang w:val="en"/>
        </w:rPr>
        <w:t>&lt;</w:t>
      </w:r>
      <w:r w:rsidRPr="001435FF">
        <w:t>https://www.nari.net.au/victorian-falls-directory</w:t>
      </w:r>
      <w:r>
        <w:rPr>
          <w:lang w:val="en"/>
        </w:rPr>
        <w:t xml:space="preserve">&gt; </w:t>
      </w:r>
      <w:r w:rsidRPr="00312FF1">
        <w:rPr>
          <w:lang w:val="en"/>
        </w:rPr>
        <w:t xml:space="preserve">to identify falls prevention services in their area. </w:t>
      </w:r>
    </w:p>
    <w:p w14:paraId="154375FA" w14:textId="7DF3BDE0" w:rsidR="00B81033" w:rsidRPr="00312FF1" w:rsidRDefault="00B81033" w:rsidP="00B81033">
      <w:pPr>
        <w:pStyle w:val="Body"/>
        <w:rPr>
          <w:lang w:val="en"/>
        </w:rPr>
      </w:pPr>
      <w:r w:rsidRPr="00312FF1">
        <w:rPr>
          <w:lang w:val="en"/>
        </w:rPr>
        <w:t xml:space="preserve">Health and aged care services are encouraged to implement settings-based falls prevention initiatives to reduce the incidence of falls in hospital and residential aged care settings. Older </w:t>
      </w:r>
      <w:r w:rsidRPr="00312FF1">
        <w:rPr>
          <w:lang w:val="en"/>
        </w:rPr>
        <w:lastRenderedPageBreak/>
        <w:t>People In Hospital provides evidence-based information and simple strategies to manage falls in hospitals, and can assist health services to meet the National Safety and Quality Health Services Standards</w:t>
      </w:r>
      <w:r w:rsidR="009C08E5">
        <w:rPr>
          <w:lang w:val="en"/>
        </w:rPr>
        <w:t xml:space="preserve"> (</w:t>
      </w:r>
      <w:r w:rsidR="009C08E5" w:rsidRPr="00312FF1">
        <w:rPr>
          <w:lang w:val="en"/>
        </w:rPr>
        <w:t>NSQHS</w:t>
      </w:r>
      <w:r w:rsidR="009C08E5">
        <w:rPr>
          <w:lang w:val="en"/>
        </w:rPr>
        <w:t>)</w:t>
      </w:r>
      <w:r w:rsidRPr="00312FF1">
        <w:rPr>
          <w:lang w:val="en"/>
        </w:rPr>
        <w:t>. Falls prevention guidance for residential aged care facilities is also available as part of the NSQHS Standard 10 on Falls.</w:t>
      </w:r>
    </w:p>
    <w:p w14:paraId="5811A4B4" w14:textId="77777777" w:rsidR="00B81033" w:rsidRPr="00EC5F73" w:rsidRDefault="00B81033" w:rsidP="00B81033">
      <w:pPr>
        <w:pStyle w:val="Heading3"/>
        <w:rPr>
          <w:lang w:val="en"/>
        </w:rPr>
      </w:pPr>
      <w:r w:rsidRPr="00EC5F73">
        <w:rPr>
          <w:lang w:val="en"/>
        </w:rPr>
        <w:t>What older people can do</w:t>
      </w:r>
    </w:p>
    <w:p w14:paraId="37E85FAA" w14:textId="26080220" w:rsidR="00B81033" w:rsidRPr="00280E66" w:rsidRDefault="00B81033" w:rsidP="00B81033">
      <w:pPr>
        <w:pStyle w:val="Body"/>
        <w:rPr>
          <w:lang w:val="en"/>
        </w:rPr>
      </w:pPr>
      <w:r w:rsidRPr="00280E66">
        <w:rPr>
          <w:lang w:val="en"/>
        </w:rPr>
        <w:t>Older people are encouraged to talk about all falls (including ones that didn’t cause injury) with their partners, family, carers, GPs</w:t>
      </w:r>
      <w:r w:rsidR="0047341B">
        <w:rPr>
          <w:lang w:val="en"/>
        </w:rPr>
        <w:t>,</w:t>
      </w:r>
      <w:r w:rsidRPr="00280E66">
        <w:rPr>
          <w:lang w:val="en"/>
        </w:rPr>
        <w:t xml:space="preserve"> and other health care providers, to help identify and address risk factors and to reduce the chance of repeat falls.</w:t>
      </w:r>
    </w:p>
    <w:p w14:paraId="68AAC12A" w14:textId="0EE56243" w:rsidR="00B81033" w:rsidRPr="00280E66" w:rsidRDefault="00B81033" w:rsidP="00126C52">
      <w:pPr>
        <w:pStyle w:val="Body"/>
        <w:rPr>
          <w:lang w:val="en"/>
        </w:rPr>
      </w:pPr>
      <w:r w:rsidRPr="00280E66">
        <w:rPr>
          <w:lang w:val="en"/>
        </w:rPr>
        <w:t xml:space="preserve">To prevent falls, older people should maintain their physical activity and participate in regular strength and balance exercises in their own home or in group exercise and recreational settings. Videos on safe exercise at home for older people are available online </w:t>
      </w:r>
      <w:hyperlink r:id="rId136" w:history="1">
        <w:r w:rsidRPr="00280E66">
          <w:rPr>
            <w:rStyle w:val="Hyperlink"/>
          </w:rPr>
          <w:t>https://www.safeexerciseathome.org.au</w:t>
        </w:r>
      </w:hyperlink>
      <w:r w:rsidR="00D329EF">
        <w:t xml:space="preserve"> &lt;</w:t>
      </w:r>
      <w:r w:rsidR="00D329EF" w:rsidRPr="00D329EF">
        <w:t>https://www.safeexerciseathome.org.a</w:t>
      </w:r>
      <w:r w:rsidR="00D329EF" w:rsidRPr="00B93548">
        <w:t>u</w:t>
      </w:r>
      <w:r w:rsidR="00D329EF" w:rsidRPr="00B93548">
        <w:rPr>
          <w:rStyle w:val="Hyperlink"/>
          <w:color w:val="000000" w:themeColor="text1"/>
          <w:u w:val="none"/>
        </w:rPr>
        <w:t>&gt;</w:t>
      </w:r>
      <w:r w:rsidRPr="00B93548">
        <w:t>.</w:t>
      </w:r>
      <w:r w:rsidRPr="00280E66">
        <w:t xml:space="preserve"> </w:t>
      </w:r>
      <w:r w:rsidRPr="00280E66">
        <w:rPr>
          <w:lang w:val="en"/>
        </w:rPr>
        <w:t>Such exercise offers other important benefits for bone density, flexibility and heart and lung fitness.</w:t>
      </w:r>
      <w:r w:rsidR="00E23847">
        <w:rPr>
          <w:lang w:val="en"/>
        </w:rPr>
        <w:t xml:space="preserve"> </w:t>
      </w:r>
    </w:p>
    <w:p w14:paraId="79C1623D" w14:textId="4302EF30" w:rsidR="00B81033" w:rsidRPr="00280E66" w:rsidRDefault="00B81033" w:rsidP="00B81033">
      <w:pPr>
        <w:pStyle w:val="Body"/>
        <w:rPr>
          <w:lang w:val="en"/>
        </w:rPr>
      </w:pPr>
      <w:r w:rsidRPr="00280E66">
        <w:rPr>
          <w:lang w:val="en"/>
        </w:rPr>
        <w:t xml:space="preserve">The </w:t>
      </w:r>
      <w:r w:rsidR="00D329EF">
        <w:rPr>
          <w:lang w:val="en"/>
        </w:rPr>
        <w:t xml:space="preserve">national booklet </w:t>
      </w:r>
      <w:r w:rsidRPr="00280E66">
        <w:rPr>
          <w:lang w:val="en"/>
        </w:rPr>
        <w:t>‘</w:t>
      </w:r>
      <w:hyperlink r:id="rId137" w:history="1">
        <w:r w:rsidRPr="001744A9">
          <w:rPr>
            <w:rStyle w:val="Hyperlink"/>
            <w:lang w:val="en"/>
          </w:rPr>
          <w:t>Don’t Fall for It. Falls can be prevented!</w:t>
        </w:r>
      </w:hyperlink>
      <w:r w:rsidRPr="00280E66">
        <w:rPr>
          <w:lang w:val="en"/>
        </w:rPr>
        <w:t xml:space="preserve">’ </w:t>
      </w:r>
      <w:r w:rsidR="001744A9">
        <w:rPr>
          <w:lang w:val="en"/>
        </w:rPr>
        <w:t>&lt;</w:t>
      </w:r>
      <w:r w:rsidR="001744A9" w:rsidRPr="001744A9">
        <w:t>https://health.gov.au/resources/publications/dont-fall-for-it-falls-can-be-prevented</w:t>
      </w:r>
      <w:r w:rsidR="001744A9">
        <w:t>&gt;</w:t>
      </w:r>
      <w:r w:rsidR="001744A9">
        <w:rPr>
          <w:lang w:val="en"/>
        </w:rPr>
        <w:t xml:space="preserve"> </w:t>
      </w:r>
      <w:r w:rsidRPr="00280E66">
        <w:rPr>
          <w:lang w:val="en"/>
        </w:rPr>
        <w:t>offers useful tips and strategies older people can do themselves to manage their own falls risk and prevention actions. The Better Health Channel provides advice to older people on ‘Preventing falls at home’, including what to do if you fall at home</w:t>
      </w:r>
      <w:r w:rsidR="00B93548">
        <w:rPr>
          <w:lang w:val="en"/>
        </w:rPr>
        <w:t xml:space="preserve"> &lt;</w:t>
      </w:r>
      <w:r w:rsidR="00B93548" w:rsidRPr="00BD0202">
        <w:t>https://betterhealth.vic.gov.au/health/healthyliving/falls-prevention-at-home</w:t>
      </w:r>
      <w:r w:rsidR="00B93548">
        <w:t>&gt;</w:t>
      </w:r>
      <w:r w:rsidRPr="00280E66">
        <w:rPr>
          <w:lang w:val="en"/>
        </w:rPr>
        <w:t xml:space="preserve">.  </w:t>
      </w:r>
    </w:p>
    <w:p w14:paraId="0AE2B347" w14:textId="6A0849D8" w:rsidR="00B81033" w:rsidRPr="00280E66" w:rsidRDefault="00B81033" w:rsidP="00B81033">
      <w:pPr>
        <w:pStyle w:val="Body"/>
        <w:rPr>
          <w:lang w:val="en"/>
        </w:rPr>
      </w:pPr>
      <w:r w:rsidRPr="00280E66">
        <w:rPr>
          <w:lang w:val="en"/>
        </w:rPr>
        <w:t xml:space="preserve">Older people are also encouraged to eliminate or reduce their use of ladders for home maintenance tasks and either seek assistance from friends and family, or visit </w:t>
      </w:r>
      <w:bookmarkStart w:id="156" w:name="_Hlk121155810"/>
      <w:r w:rsidR="00C36B2A">
        <w:fldChar w:fldCharType="begin"/>
      </w:r>
      <w:r w:rsidR="00C36B2A">
        <w:instrText xml:space="preserve"> HYPERLINK "https://www.myagedcare.gov.au/" \t "_blank" </w:instrText>
      </w:r>
      <w:r w:rsidR="00C36B2A">
        <w:fldChar w:fldCharType="separate"/>
      </w:r>
      <w:r w:rsidRPr="00280E66">
        <w:rPr>
          <w:rStyle w:val="Hyperlink"/>
          <w:lang w:val="en"/>
        </w:rPr>
        <w:t xml:space="preserve">MyAgedCare </w:t>
      </w:r>
      <w:r w:rsidR="00C36B2A">
        <w:rPr>
          <w:rStyle w:val="Hyperlink"/>
          <w:lang w:val="en"/>
        </w:rPr>
        <w:fldChar w:fldCharType="end"/>
      </w:r>
      <w:bookmarkEnd w:id="156"/>
      <w:r w:rsidR="00D329EF" w:rsidRPr="00D329EF">
        <w:rPr>
          <w:color w:val="000000" w:themeColor="text1"/>
          <w:lang w:val="en"/>
        </w:rPr>
        <w:t>&lt;https://www.myagedcare.gov.au/&gt;</w:t>
      </w:r>
      <w:r w:rsidR="00D329EF">
        <w:rPr>
          <w:color w:val="000000" w:themeColor="text1"/>
          <w:lang w:val="en"/>
        </w:rPr>
        <w:t xml:space="preserve"> </w:t>
      </w:r>
      <w:r w:rsidRPr="00280E66">
        <w:rPr>
          <w:lang w:val="en"/>
        </w:rPr>
        <w:t>for home maintenance assistance provided by local councils and local aged care service providers.</w:t>
      </w:r>
      <w:r w:rsidR="00BD0202">
        <w:rPr>
          <w:lang w:val="en"/>
        </w:rPr>
        <w:t xml:space="preserve"> </w:t>
      </w:r>
    </w:p>
    <w:p w14:paraId="36045AAC" w14:textId="77777777" w:rsidR="00B81033" w:rsidRDefault="00B81033" w:rsidP="00B81033">
      <w:pPr>
        <w:pStyle w:val="Heading3"/>
      </w:pPr>
      <w:r>
        <w:t>Further resources</w:t>
      </w:r>
    </w:p>
    <w:p w14:paraId="601754F2" w14:textId="5FAF2195" w:rsidR="00B81033" w:rsidRDefault="00B81033" w:rsidP="00B81033">
      <w:pPr>
        <w:pStyle w:val="Body"/>
      </w:pPr>
      <w:r w:rsidRPr="00A170A9">
        <w:t xml:space="preserve">The National Ageing Research Institute in partnership with </w:t>
      </w:r>
      <w:r>
        <w:t>key</w:t>
      </w:r>
      <w:r w:rsidRPr="00A170A9">
        <w:t xml:space="preserve"> stakeholders have </w:t>
      </w:r>
      <w:r>
        <w:t>created a map of</w:t>
      </w:r>
      <w:r w:rsidRPr="00A170A9">
        <w:t xml:space="preserve"> age-friendly outdoor spaces for older people to engage in physical and social activities</w:t>
      </w:r>
      <w:r>
        <w:t xml:space="preserve">. </w:t>
      </w:r>
      <w:bookmarkStart w:id="157" w:name="_Hlk121155849"/>
      <w:r w:rsidR="00BD0202">
        <w:fldChar w:fldCharType="begin"/>
      </w:r>
      <w:r w:rsidR="00BD0202">
        <w:instrText xml:space="preserve"> HYPERLINK "</w:instrText>
      </w:r>
      <w:r w:rsidR="00BD0202" w:rsidRPr="00BD0202">
        <w:instrText>https://www.nari.net.au/enjoy</w:instrText>
      </w:r>
      <w:r w:rsidR="00BD0202">
        <w:instrText xml:space="preserve">" </w:instrText>
      </w:r>
      <w:r w:rsidR="00BD0202">
        <w:fldChar w:fldCharType="separate"/>
      </w:r>
      <w:r w:rsidR="00BD0202" w:rsidRPr="00091F89">
        <w:rPr>
          <w:rStyle w:val="Hyperlink"/>
        </w:rPr>
        <w:t>https://www.nari.net.au/enjoy</w:t>
      </w:r>
      <w:bookmarkEnd w:id="157"/>
      <w:r w:rsidR="00BD0202">
        <w:fldChar w:fldCharType="end"/>
      </w:r>
      <w:r w:rsidR="00BD0202">
        <w:t xml:space="preserve"> &lt;</w:t>
      </w:r>
      <w:r w:rsidR="00BD0202" w:rsidRPr="00BD0202">
        <w:t>https://www.nari.net.au/enjoy</w:t>
      </w:r>
      <w:r w:rsidR="00BD0202">
        <w:t>&gt;</w:t>
      </w:r>
      <w:r w:rsidR="00D329EF">
        <w:t>.</w:t>
      </w:r>
      <w:r>
        <w:t xml:space="preserve"> </w:t>
      </w:r>
    </w:p>
    <w:p w14:paraId="7A22A74B" w14:textId="0BD467BA" w:rsidR="00B81033" w:rsidRPr="00280E66" w:rsidRDefault="00000000" w:rsidP="00B81033">
      <w:pPr>
        <w:pStyle w:val="Body"/>
        <w:rPr>
          <w:lang w:val="en"/>
        </w:rPr>
      </w:pPr>
      <w:hyperlink r:id="rId138" w:history="1">
        <w:r w:rsidR="00B81033" w:rsidRPr="00BD0202">
          <w:rPr>
            <w:rStyle w:val="Hyperlink"/>
          </w:rPr>
          <w:t xml:space="preserve">Better Health Channel </w:t>
        </w:r>
        <w:r w:rsidR="00B81033" w:rsidRPr="00BD0202">
          <w:rPr>
            <w:rStyle w:val="Hyperlink"/>
            <w:lang w:val="en"/>
          </w:rPr>
          <w:t>‘Preventing falls at home’</w:t>
        </w:r>
      </w:hyperlink>
      <w:r w:rsidR="00B81033" w:rsidRPr="00280E66">
        <w:rPr>
          <w:lang w:val="en"/>
        </w:rPr>
        <w:t xml:space="preserve"> </w:t>
      </w:r>
      <w:r w:rsidR="00C633CA">
        <w:rPr>
          <w:rFonts w:cs="Arial"/>
          <w:color w:val="2A2736"/>
          <w:szCs w:val="21"/>
        </w:rPr>
        <w:t xml:space="preserve">Available at </w:t>
      </w:r>
      <w:r w:rsidR="00BD0202">
        <w:rPr>
          <w:lang w:val="en"/>
        </w:rPr>
        <w:t>&lt;</w:t>
      </w:r>
      <w:r w:rsidR="00BD0202" w:rsidRPr="00BD0202">
        <w:t>https://betterhealth.vic.gov.au/health/healthyliving/falls-prevention-at-home</w:t>
      </w:r>
      <w:r w:rsidR="00BD0202">
        <w:t>&gt;</w:t>
      </w:r>
      <w:r w:rsidR="00F11262" w:rsidRPr="00F11262">
        <w:rPr>
          <w:lang w:val="en"/>
        </w:rPr>
        <w:t>, including what to do if you fall at home.</w:t>
      </w:r>
    </w:p>
    <w:p w14:paraId="20CAA652" w14:textId="6F6E3B0C" w:rsidR="00B81033" w:rsidRDefault="00000000" w:rsidP="00B81033">
      <w:pPr>
        <w:pStyle w:val="Body"/>
      </w:pPr>
      <w:hyperlink r:id="rId139" w:history="1">
        <w:r w:rsidR="00B81033" w:rsidRPr="00BD0202">
          <w:rPr>
            <w:rStyle w:val="Hyperlink"/>
          </w:rPr>
          <w:t>Council on the Ageing’s Living Longer Living Stronger program</w:t>
        </w:r>
      </w:hyperlink>
      <w:r w:rsidR="00C633CA">
        <w:rPr>
          <w:rStyle w:val="Hyperlink"/>
        </w:rPr>
        <w:t>.</w:t>
      </w:r>
      <w:r w:rsidR="00B81033">
        <w:t xml:space="preserve"> </w:t>
      </w:r>
      <w:r w:rsidR="00C633CA">
        <w:rPr>
          <w:rFonts w:cs="Arial"/>
          <w:color w:val="2A2736"/>
          <w:szCs w:val="21"/>
        </w:rPr>
        <w:t xml:space="preserve">Available at </w:t>
      </w:r>
      <w:r w:rsidR="00BD0202" w:rsidRPr="00BD0202">
        <w:t>&lt;</w:t>
      </w:r>
      <w:hyperlink r:id="rId140" w:history="1">
        <w:r w:rsidR="00BD0202" w:rsidRPr="00BD0202">
          <w:rPr>
            <w:rStyle w:val="Hyperlink"/>
            <w:color w:val="auto"/>
            <w:u w:val="none"/>
          </w:rPr>
          <w:t>https://www.cotavic.org.au/our-programs/strength-training/living-longer-living-stronger-providers</w:t>
        </w:r>
      </w:hyperlink>
      <w:r w:rsidR="00BD0202" w:rsidRPr="00BD0202">
        <w:rPr>
          <w:rStyle w:val="Hyperlink"/>
          <w:color w:val="auto"/>
          <w:u w:val="none"/>
        </w:rPr>
        <w:t>&gt;</w:t>
      </w:r>
      <w:r w:rsidR="00D329EF">
        <w:rPr>
          <w:rStyle w:val="Hyperlink"/>
          <w:color w:val="auto"/>
          <w:u w:val="none"/>
        </w:rPr>
        <w:t>.</w:t>
      </w:r>
      <w:r w:rsidR="00B81033" w:rsidRPr="00BD0202">
        <w:t xml:space="preserve">  </w:t>
      </w:r>
    </w:p>
    <w:p w14:paraId="195B5B61" w14:textId="54FDE410" w:rsidR="00B81033" w:rsidRDefault="00000000" w:rsidP="00B81033">
      <w:pPr>
        <w:pStyle w:val="Body"/>
      </w:pPr>
      <w:hyperlink r:id="rId141" w:history="1">
        <w:r w:rsidR="00B81033" w:rsidRPr="00647A4E">
          <w:rPr>
            <w:rStyle w:val="Hyperlink"/>
          </w:rPr>
          <w:t>National Ageing Research Institute, Falls Risk for Older People in the Community (FROP-COM) for community screening of risk of falls</w:t>
        </w:r>
      </w:hyperlink>
      <w:r w:rsidR="00E44206">
        <w:t>.</w:t>
      </w:r>
      <w:r w:rsidR="00B81033">
        <w:t xml:space="preserve"> </w:t>
      </w:r>
      <w:bookmarkStart w:id="158" w:name="_Hlk121156000"/>
      <w:r w:rsidR="00E44206">
        <w:rPr>
          <w:rFonts w:cs="Arial"/>
          <w:color w:val="2A2736"/>
          <w:szCs w:val="21"/>
        </w:rPr>
        <w:t xml:space="preserve">Available at </w:t>
      </w:r>
      <w:bookmarkEnd w:id="158"/>
      <w:r w:rsidR="00187A33">
        <w:t>&lt;</w:t>
      </w:r>
      <w:r w:rsidR="00187A33" w:rsidRPr="00187A33">
        <w:t>https://www.nari.net.au/frop-com</w:t>
      </w:r>
      <w:r w:rsidR="00187A33">
        <w:t>&gt;</w:t>
      </w:r>
      <w:r w:rsidR="00D329EF">
        <w:t>.</w:t>
      </w:r>
      <w:r w:rsidR="00B81033">
        <w:t xml:space="preserve"> </w:t>
      </w:r>
    </w:p>
    <w:p w14:paraId="60CD4591" w14:textId="0D4C5FFB" w:rsidR="00B81033" w:rsidRDefault="00000000" w:rsidP="00B81033">
      <w:pPr>
        <w:pStyle w:val="Body"/>
      </w:pPr>
      <w:hyperlink r:id="rId142" w:history="1">
        <w:r w:rsidR="00B81033" w:rsidRPr="00647A4E">
          <w:rPr>
            <w:rStyle w:val="Hyperlink"/>
          </w:rPr>
          <w:t>Older People in Hospital falls prevention resources</w:t>
        </w:r>
      </w:hyperlink>
      <w:r w:rsidR="00E44206">
        <w:t>.</w:t>
      </w:r>
      <w:r w:rsidR="00B81033">
        <w:t xml:space="preserve"> </w:t>
      </w:r>
      <w:r w:rsidR="00E44206">
        <w:rPr>
          <w:rFonts w:cs="Arial"/>
          <w:color w:val="2A2736"/>
          <w:szCs w:val="21"/>
        </w:rPr>
        <w:t xml:space="preserve">Available at </w:t>
      </w:r>
      <w:r w:rsidR="008720CB" w:rsidRPr="008720CB">
        <w:rPr>
          <w:rStyle w:val="Hyperlink"/>
          <w:color w:val="auto"/>
          <w:u w:val="none"/>
        </w:rPr>
        <w:t>&lt;https://www.health.vic.gov.au/site-4/patient-care/older-people-in-hospital</w:t>
      </w:r>
      <w:r w:rsidR="008720CB">
        <w:rPr>
          <w:rStyle w:val="Hyperlink"/>
          <w:color w:val="auto"/>
          <w:u w:val="none"/>
        </w:rPr>
        <w:t>&gt;</w:t>
      </w:r>
      <w:r w:rsidR="00D329EF">
        <w:rPr>
          <w:rStyle w:val="Hyperlink"/>
          <w:color w:val="auto"/>
          <w:u w:val="none"/>
        </w:rPr>
        <w:t>.</w:t>
      </w:r>
    </w:p>
    <w:p w14:paraId="25E62F86" w14:textId="31427F6D" w:rsidR="00662CA6" w:rsidRDefault="00B81033" w:rsidP="00B81033">
      <w:pPr>
        <w:pStyle w:val="Body"/>
      </w:pPr>
      <w:r>
        <w:t xml:space="preserve">Australian Physiotherapy Association. </w:t>
      </w:r>
      <w:hyperlink r:id="rId143" w:history="1">
        <w:r w:rsidRPr="00FC57C7">
          <w:rPr>
            <w:rStyle w:val="Hyperlink"/>
          </w:rPr>
          <w:t>Safe exercise in the home</w:t>
        </w:r>
      </w:hyperlink>
      <w:r>
        <w:t xml:space="preserve"> for older people (guidance and videos)</w:t>
      </w:r>
      <w:r w:rsidR="00BA46A9">
        <w:t>.</w:t>
      </w:r>
      <w:r w:rsidR="00FC57C7">
        <w:t xml:space="preserve"> </w:t>
      </w:r>
      <w:r w:rsidR="00BA46A9">
        <w:t xml:space="preserve">Available at </w:t>
      </w:r>
      <w:r w:rsidR="00FC57C7">
        <w:t>&lt;</w:t>
      </w:r>
      <w:r w:rsidRPr="00FC57C7">
        <w:t>https://www.safeexerciseathome.org.au</w:t>
      </w:r>
      <w:r w:rsidRPr="001F2054">
        <w:t>/</w:t>
      </w:r>
      <w:r w:rsidR="00FC57C7" w:rsidRPr="001F2054">
        <w:rPr>
          <w:rStyle w:val="Hyperlink"/>
          <w:color w:val="auto"/>
          <w:u w:val="none"/>
        </w:rPr>
        <w:t>&gt;</w:t>
      </w:r>
      <w:r>
        <w:t xml:space="preserve">. </w:t>
      </w:r>
    </w:p>
    <w:p w14:paraId="5F1F4CAA" w14:textId="77777777" w:rsidR="00662CA6" w:rsidRDefault="00662CA6">
      <w:pPr>
        <w:spacing w:after="0" w:line="240" w:lineRule="auto"/>
        <w:rPr>
          <w:rFonts w:eastAsia="Times"/>
        </w:rPr>
      </w:pPr>
      <w:r>
        <w:br w:type="page"/>
      </w:r>
    </w:p>
    <w:p w14:paraId="5D94867D" w14:textId="77777777" w:rsidR="00473DE1" w:rsidRDefault="00473DE1" w:rsidP="00473DE1">
      <w:pPr>
        <w:pStyle w:val="Body"/>
        <w:rPr>
          <w:b/>
          <w:bCs/>
        </w:rPr>
      </w:pPr>
      <w:r w:rsidRPr="008E47B6">
        <w:rPr>
          <w:b/>
          <w:bCs/>
        </w:rPr>
        <w:lastRenderedPageBreak/>
        <w:t>References</w:t>
      </w:r>
    </w:p>
    <w:p w14:paraId="25F840C7" w14:textId="5E8D382C" w:rsidR="00473DE1" w:rsidRPr="00D329EF" w:rsidRDefault="00473DE1" w:rsidP="00473DE1">
      <w:pPr>
        <w:pStyle w:val="Body"/>
      </w:pPr>
      <w:r w:rsidRPr="00D329EF">
        <w:t xml:space="preserve">Andersen M, Ma T, Bhamuik S, et al. 2020, </w:t>
      </w:r>
      <w:r w:rsidR="3EEB089C" w:rsidRPr="00D329EF">
        <w:t>‘</w:t>
      </w:r>
      <w:r w:rsidRPr="00D329EF">
        <w:t>Synthesis of evidence for a technical package on falls prevention and management</w:t>
      </w:r>
      <w:r w:rsidR="6D70B67A" w:rsidRPr="00D329EF">
        <w:t>’</w:t>
      </w:r>
      <w:r w:rsidRPr="00D329EF">
        <w:t xml:space="preserve">. The George Institute for Global Health, Newtown, Australia. (Evidence Synthesis Report accompanying the WHO 2021 Step Safely resource). Available at: </w:t>
      </w:r>
      <w:r w:rsidR="00662CA6">
        <w:t>&lt;</w:t>
      </w:r>
      <w:r w:rsidRPr="00D329EF">
        <w:t>https://www.georgeinstitute.org/preventing-and-managing-falls-across-the-life-course</w:t>
      </w:r>
      <w:r w:rsidR="00662CA6">
        <w:t>&gt;.</w:t>
      </w:r>
    </w:p>
    <w:p w14:paraId="3FD9E431" w14:textId="77777777" w:rsidR="00473DE1" w:rsidRDefault="00473DE1" w:rsidP="00473DE1">
      <w:pPr>
        <w:pStyle w:val="Body"/>
      </w:pPr>
      <w:r>
        <w:t>Ambrose AF, Cruz L and Paul G 2015, ‘Falls and fractures: a systematic approach to screening and prevention’, Maturitas, vol. 82, no. 1.</w:t>
      </w:r>
    </w:p>
    <w:p w14:paraId="2513F3BC" w14:textId="1C38F716" w:rsidR="00473DE1" w:rsidRPr="00A12E79" w:rsidRDefault="00000000" w:rsidP="00473DE1">
      <w:pPr>
        <w:pStyle w:val="Body"/>
        <w:rPr>
          <w:color w:val="000000" w:themeColor="text1"/>
        </w:rPr>
      </w:pPr>
      <w:hyperlink r:id="rId144" w:history="1">
        <w:r w:rsidR="00473DE1" w:rsidRPr="00BA46A9">
          <w:rPr>
            <w:rStyle w:val="Hyperlink"/>
          </w:rPr>
          <w:t>Australia and New Zealand Falls Prevention Society (ANZFPS), 2022. Home page</w:t>
        </w:r>
      </w:hyperlink>
      <w:r w:rsidR="00473DE1">
        <w:t xml:space="preserve">. </w:t>
      </w:r>
      <w:r w:rsidR="00662CA6">
        <w:t>Available</w:t>
      </w:r>
      <w:r w:rsidR="00EB2F35" w:rsidRPr="00EB2F35">
        <w:rPr>
          <w:rStyle w:val="Hyperlink"/>
          <w:color w:val="000000" w:themeColor="text1"/>
          <w:u w:val="none"/>
        </w:rPr>
        <w:t xml:space="preserve"> at</w:t>
      </w:r>
      <w:r w:rsidR="00D329EF" w:rsidRPr="00EB2F35">
        <w:rPr>
          <w:rStyle w:val="Hyperlink"/>
          <w:color w:val="000000" w:themeColor="text1"/>
          <w:u w:val="none"/>
        </w:rPr>
        <w:t xml:space="preserve"> </w:t>
      </w:r>
      <w:r w:rsidR="00D329EF" w:rsidRPr="00A12E79">
        <w:rPr>
          <w:rStyle w:val="Hyperlink"/>
          <w:color w:val="000000" w:themeColor="text1"/>
          <w:u w:val="none"/>
        </w:rPr>
        <w:t>&lt;https://www.anzfallsprevention.org/&gt;</w:t>
      </w:r>
      <w:r w:rsidR="00A12E79">
        <w:rPr>
          <w:rStyle w:val="Hyperlink"/>
          <w:color w:val="000000" w:themeColor="text1"/>
          <w:u w:val="none"/>
        </w:rPr>
        <w:t>.</w:t>
      </w:r>
    </w:p>
    <w:p w14:paraId="097A352A" w14:textId="048E9DAF"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 xml:space="preserve">Australia's National Research Organisation for Women’s Safety (ANROWS) 2016, </w:t>
      </w:r>
      <w:r w:rsidR="2CC83F96" w:rsidRPr="00A12E79">
        <w:rPr>
          <w:rFonts w:ascii="Arial" w:hAnsi="Arial" w:cs="Arial"/>
          <w:color w:val="2A2736"/>
          <w:sz w:val="21"/>
          <w:szCs w:val="21"/>
        </w:rPr>
        <w:t>‘</w:t>
      </w:r>
      <w:r w:rsidRPr="00A12E79">
        <w:rPr>
          <w:rFonts w:ascii="Arial" w:hAnsi="Arial" w:cs="Arial"/>
          <w:color w:val="2A2736"/>
          <w:sz w:val="21"/>
          <w:szCs w:val="21"/>
        </w:rPr>
        <w:t>A preventable burden</w:t>
      </w:r>
      <w:r w:rsidRPr="00A12E79">
        <w:rPr>
          <w:rStyle w:val="Emphasis"/>
          <w:rFonts w:ascii="Arial" w:hAnsi="Arial" w:cs="Arial"/>
          <w:color w:val="2A2736"/>
          <w:sz w:val="21"/>
          <w:szCs w:val="21"/>
        </w:rPr>
        <w:t>: </w:t>
      </w:r>
      <w:r w:rsidRPr="00A12E79">
        <w:rPr>
          <w:rFonts w:ascii="Arial" w:hAnsi="Arial" w:cs="Arial"/>
          <w:color w:val="2A2736"/>
          <w:sz w:val="21"/>
          <w:szCs w:val="21"/>
        </w:rPr>
        <w:t>measuring and addressing the prevalence and health impacts of intimate partner violence in Australian women: Key findings and future directions</w:t>
      </w:r>
      <w:r w:rsidR="54FBB11B" w:rsidRPr="00A12E79">
        <w:rPr>
          <w:rFonts w:ascii="Arial" w:hAnsi="Arial" w:cs="Arial"/>
          <w:color w:val="2A2736"/>
          <w:sz w:val="21"/>
          <w:szCs w:val="21"/>
        </w:rPr>
        <w:t>’</w:t>
      </w:r>
      <w:r w:rsidRPr="00A12E79">
        <w:rPr>
          <w:rFonts w:ascii="Arial" w:hAnsi="Arial" w:cs="Arial"/>
          <w:color w:val="2A2736"/>
          <w:sz w:val="21"/>
          <w:szCs w:val="21"/>
        </w:rPr>
        <w:t>, ANROWS, Sydney.</w:t>
      </w:r>
    </w:p>
    <w:p w14:paraId="75E69757" w14:textId="5B793584" w:rsidR="00473DE1" w:rsidRPr="00A12E79" w:rsidRDefault="00473DE1" w:rsidP="00473DE1">
      <w:pPr>
        <w:pStyle w:val="Body"/>
      </w:pPr>
      <w:r w:rsidRPr="00A12E79">
        <w:t xml:space="preserve">Australian Institute of Health and Welfare (AIHW). 2022, </w:t>
      </w:r>
      <w:r w:rsidR="7C1CAE52" w:rsidRPr="00A12E79">
        <w:t>‘</w:t>
      </w:r>
      <w:r w:rsidRPr="00A12E79">
        <w:t>Injury in Australia: Falls</w:t>
      </w:r>
      <w:r w:rsidR="55244549" w:rsidRPr="00A12E79">
        <w:t>’</w:t>
      </w:r>
      <w:r w:rsidRPr="00A12E79">
        <w:t>. Web report, 16 June 2022. Australian Government</w:t>
      </w:r>
      <w:r w:rsidR="00662CA6">
        <w:t>. A</w:t>
      </w:r>
      <w:r w:rsidRPr="00A12E79">
        <w:t xml:space="preserve">vailable at: </w:t>
      </w:r>
      <w:r w:rsidR="00A12E79">
        <w:t>&lt;</w:t>
      </w:r>
      <w:r w:rsidRPr="00A12E79">
        <w:t>https://www.aihw.gov.au/reports/injury/falls</w:t>
      </w:r>
      <w:r w:rsidR="00A12E79">
        <w:t>&gt;.</w:t>
      </w:r>
    </w:p>
    <w:p w14:paraId="2A48D466" w14:textId="074C6493" w:rsidR="00473DE1" w:rsidRPr="00A12E79" w:rsidRDefault="00473DE1" w:rsidP="00473DE1">
      <w:pPr>
        <w:pStyle w:val="Body"/>
      </w:pPr>
      <w:r w:rsidRPr="00A12E79">
        <w:t>Close JCT and Lord SR. 2022,</w:t>
      </w:r>
      <w:r w:rsidR="00EB2F35">
        <w:t xml:space="preserve"> </w:t>
      </w:r>
      <w:hyperlink r:id="rId145" w:history="1">
        <w:r w:rsidR="00EB2F35" w:rsidRPr="006D3599">
          <w:rPr>
            <w:rStyle w:val="Hyperlink"/>
          </w:rPr>
          <w:t>‘</w:t>
        </w:r>
        <w:r w:rsidRPr="006D3599">
          <w:rPr>
            <w:rStyle w:val="Hyperlink"/>
          </w:rPr>
          <w:t>Fall prevention in older people: past, present and future</w:t>
        </w:r>
        <w:r w:rsidR="59D998B6" w:rsidRPr="006D3599">
          <w:rPr>
            <w:rStyle w:val="Hyperlink"/>
          </w:rPr>
          <w:t>’</w:t>
        </w:r>
      </w:hyperlink>
      <w:r w:rsidRPr="00A12E79">
        <w:t xml:space="preserve">. Age and Ageing 2022, 51:1-5. </w:t>
      </w:r>
      <w:r w:rsidR="006D3599">
        <w:t xml:space="preserve">Available at </w:t>
      </w:r>
      <w:r w:rsidR="00A12E79" w:rsidRPr="00A12E79">
        <w:rPr>
          <w:rStyle w:val="Hyperlink"/>
          <w:color w:val="000000" w:themeColor="text1"/>
          <w:u w:val="none"/>
        </w:rPr>
        <w:t>&lt;https://doi.org/10.1093/ageing/afac105&gt;</w:t>
      </w:r>
      <w:r w:rsidR="00A12E79">
        <w:rPr>
          <w:rStyle w:val="Hyperlink"/>
          <w:color w:val="000000" w:themeColor="text1"/>
          <w:u w:val="none"/>
        </w:rPr>
        <w:t>.</w:t>
      </w:r>
    </w:p>
    <w:p w14:paraId="47092731" w14:textId="5D5810F2" w:rsidR="00473DE1" w:rsidRPr="00A12E79" w:rsidRDefault="00000000" w:rsidP="00473DE1">
      <w:pPr>
        <w:pStyle w:val="NormalWeb"/>
        <w:rPr>
          <w:rFonts w:ascii="Arial" w:hAnsi="Arial" w:cs="Arial"/>
          <w:color w:val="2A2736"/>
          <w:sz w:val="21"/>
          <w:szCs w:val="21"/>
        </w:rPr>
      </w:pPr>
      <w:hyperlink r:id="rId146">
        <w:r w:rsidR="00473DE1" w:rsidRPr="00A12E79">
          <w:rPr>
            <w:rStyle w:val="Hyperlink"/>
            <w:rFonts w:ascii="Arial" w:hAnsi="Arial" w:cs="Arial"/>
            <w:sz w:val="21"/>
            <w:szCs w:val="21"/>
          </w:rPr>
          <w:t>Crime Statistics Agency, Family Violence Data Portal</w:t>
        </w:r>
      </w:hyperlink>
      <w:r w:rsidR="00473DE1" w:rsidRPr="00A12E79">
        <w:rPr>
          <w:rFonts w:ascii="Arial" w:hAnsi="Arial" w:cs="Arial"/>
          <w:color w:val="2A2736"/>
          <w:sz w:val="21"/>
          <w:szCs w:val="21"/>
        </w:rPr>
        <w:t>. Available at</w:t>
      </w:r>
      <w:r w:rsidR="006D3599">
        <w:rPr>
          <w:rFonts w:ascii="Arial" w:hAnsi="Arial" w:cs="Arial"/>
          <w:color w:val="2A2736"/>
          <w:sz w:val="21"/>
          <w:szCs w:val="21"/>
        </w:rPr>
        <w:t xml:space="preserve"> </w:t>
      </w:r>
      <w:r w:rsidR="0011147F" w:rsidRPr="00A12E79">
        <w:rPr>
          <w:rFonts w:ascii="Arial" w:hAnsi="Arial" w:cs="Arial"/>
          <w:color w:val="2A2736"/>
          <w:sz w:val="21"/>
          <w:szCs w:val="21"/>
        </w:rPr>
        <w:t>&lt;</w:t>
      </w:r>
      <w:r w:rsidR="0011147F" w:rsidRPr="00A12E79">
        <w:rPr>
          <w:rFonts w:ascii="Arial" w:eastAsia="MS Gothic" w:hAnsi="Arial" w:cs="Arial"/>
          <w:sz w:val="21"/>
          <w:szCs w:val="21"/>
        </w:rPr>
        <w:t>https://www.crimestatistics.vic.gov.au/family-violence-data-portal/family-violence-data-dashboard/victoria-police</w:t>
      </w:r>
      <w:r w:rsidR="0011147F" w:rsidRPr="00A12E79">
        <w:rPr>
          <w:rFonts w:ascii="Arial" w:hAnsi="Arial" w:cs="Arial"/>
          <w:color w:val="2A2736"/>
          <w:sz w:val="21"/>
          <w:szCs w:val="21"/>
        </w:rPr>
        <w:t>&gt;</w:t>
      </w:r>
      <w:r w:rsidR="00212980">
        <w:rPr>
          <w:rFonts w:ascii="Arial" w:hAnsi="Arial" w:cs="Arial"/>
          <w:color w:val="2A2736"/>
          <w:sz w:val="21"/>
          <w:szCs w:val="21"/>
        </w:rPr>
        <w:t>.</w:t>
      </w:r>
    </w:p>
    <w:p w14:paraId="45317059" w14:textId="3DF649B8" w:rsidR="00473DE1" w:rsidRPr="00A12E79" w:rsidRDefault="00473DE1" w:rsidP="00473DE1">
      <w:pPr>
        <w:pStyle w:val="Body"/>
      </w:pPr>
      <w:r w:rsidRPr="00A12E79">
        <w:t xml:space="preserve">Department of Health and Human Services 2019, </w:t>
      </w:r>
      <w:r w:rsidR="115E90A5" w:rsidRPr="00A12E79">
        <w:t>‘</w:t>
      </w:r>
      <w:r w:rsidRPr="00A12E79">
        <w:t>Victorian public health and wellbeing plan 2019–2023</w:t>
      </w:r>
      <w:r w:rsidR="24B3123E" w:rsidRPr="00A12E79">
        <w:t>’</w:t>
      </w:r>
      <w:r w:rsidRPr="00A12E79">
        <w:t xml:space="preserve">, State Government of Victoria, Melbourne. </w:t>
      </w:r>
    </w:p>
    <w:p w14:paraId="14AFCF3D" w14:textId="5984B4F0" w:rsidR="00473DE1" w:rsidRPr="00A12E79" w:rsidRDefault="00473DE1" w:rsidP="00473DE1">
      <w:pPr>
        <w:pStyle w:val="Body"/>
        <w:rPr>
          <w:rStyle w:val="Hyperlink"/>
          <w:color w:val="000000" w:themeColor="text1"/>
          <w:u w:val="none"/>
        </w:rPr>
      </w:pPr>
      <w:r w:rsidRPr="00A12E79">
        <w:t xml:space="preserve">Health Direct 2022 </w:t>
      </w:r>
      <w:r w:rsidR="18BF2AE1" w:rsidRPr="00A12E79">
        <w:t>‘</w:t>
      </w:r>
      <w:hyperlink r:id="rId147" w:history="1">
        <w:r w:rsidRPr="00662CA6">
          <w:rPr>
            <w:rStyle w:val="Hyperlink"/>
            <w:rFonts w:cs="Arial"/>
            <w:szCs w:val="21"/>
          </w:rPr>
          <w:t>Falls and the elderly</w:t>
        </w:r>
      </w:hyperlink>
      <w:r w:rsidR="74875591" w:rsidRPr="00A12E79">
        <w:t>’</w:t>
      </w:r>
      <w:r w:rsidR="00662CA6">
        <w:t xml:space="preserve"> Available at </w:t>
      </w:r>
      <w:r w:rsidR="00371633" w:rsidRPr="00A12E79">
        <w:t>&lt;</w:t>
      </w:r>
      <w:r w:rsidRPr="00A12E79">
        <w:t>https://www.healthdirect.gov.au/falls</w:t>
      </w:r>
      <w:r w:rsidR="00371633" w:rsidRPr="00A12E79">
        <w:rPr>
          <w:rStyle w:val="Hyperlink"/>
          <w:color w:val="000000" w:themeColor="text1"/>
          <w:u w:val="none"/>
        </w:rPr>
        <w:t>&gt;</w:t>
      </w:r>
      <w:r w:rsidR="00A12E79">
        <w:rPr>
          <w:rStyle w:val="Hyperlink"/>
          <w:color w:val="000000" w:themeColor="text1"/>
          <w:u w:val="none"/>
        </w:rPr>
        <w:t>.</w:t>
      </w:r>
    </w:p>
    <w:p w14:paraId="37AE26E2" w14:textId="0A918F7C"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KPMG 2017, </w:t>
      </w:r>
      <w:r w:rsidR="690A77E3" w:rsidRPr="00A12E79">
        <w:rPr>
          <w:rFonts w:ascii="Arial" w:hAnsi="Arial" w:cs="Arial"/>
          <w:color w:val="2A2736"/>
          <w:sz w:val="21"/>
          <w:szCs w:val="21"/>
        </w:rPr>
        <w:t>‘</w:t>
      </w:r>
      <w:bookmarkStart w:id="159" w:name="_Hlk121156290"/>
      <w:r w:rsidR="00C36B2A" w:rsidRPr="00A12E79">
        <w:rPr>
          <w:rStyle w:val="Hyperlink"/>
          <w:rFonts w:ascii="Arial" w:eastAsia="Times" w:hAnsi="Arial" w:cs="Arial"/>
          <w:sz w:val="21"/>
          <w:szCs w:val="21"/>
          <w:lang w:eastAsia="en-US"/>
        </w:rPr>
        <w:fldChar w:fldCharType="begin"/>
      </w:r>
      <w:r w:rsidR="00C36B2A" w:rsidRPr="00A12E79">
        <w:rPr>
          <w:rStyle w:val="Hyperlink"/>
          <w:rFonts w:ascii="Arial" w:eastAsia="Times" w:hAnsi="Arial" w:cs="Arial"/>
          <w:sz w:val="21"/>
          <w:szCs w:val="21"/>
          <w:lang w:eastAsia="en-US"/>
        </w:rPr>
        <w:instrText xml:space="preserve"> HYPERLINK "https://www.vic.gov.au/sites/default/files/2019-05/Cost-of-family-violence-in-Victoria.pdf" \t "_blank" </w:instrText>
      </w:r>
      <w:r w:rsidR="00C36B2A" w:rsidRPr="00A12E79">
        <w:rPr>
          <w:rStyle w:val="Hyperlink"/>
          <w:rFonts w:ascii="Arial" w:eastAsia="Times" w:hAnsi="Arial" w:cs="Arial"/>
          <w:sz w:val="21"/>
          <w:szCs w:val="21"/>
          <w:lang w:eastAsia="en-US"/>
        </w:rPr>
      </w:r>
      <w:r w:rsidR="00C36B2A" w:rsidRPr="00A12E79">
        <w:rPr>
          <w:rStyle w:val="Hyperlink"/>
          <w:rFonts w:ascii="Arial" w:eastAsia="Times" w:hAnsi="Arial" w:cs="Arial"/>
          <w:sz w:val="21"/>
          <w:szCs w:val="21"/>
          <w:lang w:eastAsia="en-US"/>
        </w:rPr>
        <w:fldChar w:fldCharType="separate"/>
      </w:r>
      <w:hyperlink r:id="rId148" w:tgtFrame="_blank" w:history="1">
        <w:r w:rsidRPr="00A12E79">
          <w:rPr>
            <w:rStyle w:val="Hyperlink"/>
            <w:rFonts w:ascii="Arial" w:eastAsia="Times" w:hAnsi="Arial" w:cs="Arial"/>
            <w:sz w:val="21"/>
            <w:szCs w:val="21"/>
            <w:lang w:eastAsia="en-US"/>
          </w:rPr>
          <w:t>The cost of family violence in Victoria, summary report</w:t>
        </w:r>
      </w:hyperlink>
      <w:r w:rsidR="00C36B2A" w:rsidRPr="00A12E79">
        <w:rPr>
          <w:rStyle w:val="Hyperlink"/>
          <w:rFonts w:ascii="Arial" w:eastAsia="Times" w:hAnsi="Arial" w:cs="Arial"/>
          <w:sz w:val="21"/>
          <w:szCs w:val="21"/>
          <w:lang w:eastAsia="en-US"/>
        </w:rPr>
        <w:fldChar w:fldCharType="end"/>
      </w:r>
      <w:bookmarkEnd w:id="159"/>
      <w:r w:rsidR="72F2F3C4" w:rsidRPr="00A12E79">
        <w:rPr>
          <w:rStyle w:val="Hyperlink"/>
          <w:rFonts w:ascii="Arial" w:eastAsia="Times" w:hAnsi="Arial" w:cs="Arial"/>
          <w:sz w:val="21"/>
          <w:szCs w:val="21"/>
          <w:lang w:eastAsia="en-US"/>
        </w:rPr>
        <w:t>’</w:t>
      </w:r>
      <w:r w:rsidRPr="00A12E79">
        <w:rPr>
          <w:rFonts w:ascii="Arial" w:hAnsi="Arial" w:cs="Arial"/>
          <w:color w:val="2A2736"/>
          <w:sz w:val="21"/>
          <w:szCs w:val="21"/>
        </w:rPr>
        <w:t>.</w:t>
      </w:r>
      <w:r w:rsidR="00371633" w:rsidRPr="00A12E79">
        <w:rPr>
          <w:rFonts w:ascii="Arial" w:hAnsi="Arial" w:cs="Arial"/>
          <w:color w:val="2A2736"/>
          <w:sz w:val="21"/>
          <w:szCs w:val="21"/>
        </w:rPr>
        <w:t xml:space="preserve"> </w:t>
      </w:r>
      <w:r w:rsidR="00417489" w:rsidRPr="00A12E79">
        <w:rPr>
          <w:rFonts w:ascii="Arial" w:hAnsi="Arial" w:cs="Arial"/>
          <w:color w:val="2A2736"/>
          <w:sz w:val="21"/>
          <w:szCs w:val="21"/>
        </w:rPr>
        <w:t>Available at</w:t>
      </w:r>
      <w:r w:rsidR="00417489">
        <w:rPr>
          <w:rFonts w:ascii="Arial" w:hAnsi="Arial" w:cs="Arial"/>
          <w:color w:val="2A2736"/>
          <w:sz w:val="21"/>
          <w:szCs w:val="21"/>
        </w:rPr>
        <w:t xml:space="preserve"> </w:t>
      </w:r>
      <w:r w:rsidR="00371633" w:rsidRPr="00A12E79">
        <w:rPr>
          <w:rFonts w:ascii="Arial" w:hAnsi="Arial" w:cs="Arial"/>
          <w:color w:val="2A2736"/>
          <w:sz w:val="21"/>
          <w:szCs w:val="21"/>
        </w:rPr>
        <w:t>&lt;https://www.vic.gov.au/sites/default/files/2019-05/Cost-of-family-violence-in-Victoria.pdf&gt;</w:t>
      </w:r>
      <w:r w:rsidR="00A12E79">
        <w:rPr>
          <w:rFonts w:ascii="Arial" w:hAnsi="Arial" w:cs="Arial"/>
          <w:color w:val="2A2736"/>
          <w:sz w:val="21"/>
          <w:szCs w:val="21"/>
        </w:rPr>
        <w:t>.</w:t>
      </w:r>
    </w:p>
    <w:p w14:paraId="2F169022" w14:textId="279B4D2B" w:rsidR="00473DE1" w:rsidRPr="00A12E79" w:rsidRDefault="00473DE1" w:rsidP="00473DE1">
      <w:pPr>
        <w:pStyle w:val="NormalWeb"/>
        <w:rPr>
          <w:rFonts w:ascii="Arial" w:hAnsi="Arial" w:cs="Arial"/>
          <w:color w:val="2A2736"/>
          <w:sz w:val="21"/>
          <w:szCs w:val="21"/>
        </w:rPr>
      </w:pPr>
      <w:r w:rsidRPr="00A12E79">
        <w:rPr>
          <w:rFonts w:ascii="Arial" w:hAnsi="Arial" w:cs="Arial"/>
          <w:color w:val="2A2736"/>
          <w:sz w:val="21"/>
          <w:szCs w:val="21"/>
        </w:rPr>
        <w:t xml:space="preserve">Our Watch 2021, </w:t>
      </w:r>
      <w:r w:rsidR="3450428E" w:rsidRPr="00A12E79">
        <w:rPr>
          <w:rFonts w:ascii="Arial" w:hAnsi="Arial" w:cs="Arial"/>
          <w:color w:val="2A2736"/>
          <w:sz w:val="21"/>
          <w:szCs w:val="21"/>
        </w:rPr>
        <w:t>‘</w:t>
      </w:r>
      <w:r w:rsidRPr="00A12E79">
        <w:rPr>
          <w:rFonts w:ascii="Arial" w:hAnsi="Arial" w:cs="Arial"/>
          <w:color w:val="2A2736"/>
          <w:sz w:val="21"/>
          <w:szCs w:val="21"/>
        </w:rPr>
        <w:t>Change the story: a shared framework for the primary prevention of violence against women in Australia</w:t>
      </w:r>
      <w:r w:rsidR="0D402EDD" w:rsidRPr="00A12E79">
        <w:rPr>
          <w:rFonts w:ascii="Arial" w:hAnsi="Arial" w:cs="Arial"/>
          <w:color w:val="2A2736"/>
          <w:sz w:val="21"/>
          <w:szCs w:val="21"/>
        </w:rPr>
        <w:t>’</w:t>
      </w:r>
      <w:r w:rsidRPr="00A12E79">
        <w:rPr>
          <w:rFonts w:ascii="Arial" w:hAnsi="Arial" w:cs="Arial"/>
          <w:color w:val="2A2736"/>
          <w:sz w:val="21"/>
          <w:szCs w:val="21"/>
        </w:rPr>
        <w:t xml:space="preserve"> (2</w:t>
      </w:r>
      <w:r w:rsidRPr="00A12E79">
        <w:rPr>
          <w:rFonts w:ascii="Arial" w:hAnsi="Arial" w:cs="Arial"/>
          <w:color w:val="2A2736"/>
          <w:sz w:val="21"/>
          <w:szCs w:val="21"/>
          <w:vertAlign w:val="superscript"/>
        </w:rPr>
        <w:t>nd</w:t>
      </w:r>
      <w:r w:rsidRPr="00A12E79">
        <w:rPr>
          <w:rFonts w:ascii="Arial" w:hAnsi="Arial" w:cs="Arial"/>
          <w:color w:val="2A2736"/>
          <w:sz w:val="21"/>
          <w:szCs w:val="21"/>
        </w:rPr>
        <w:t xml:space="preserve"> edition), Our Watch, Melbourne. </w:t>
      </w:r>
    </w:p>
    <w:p w14:paraId="0FA42EA3" w14:textId="5F35BFE1" w:rsidR="00473DE1" w:rsidRPr="00A12E79" w:rsidRDefault="00473DE1" w:rsidP="00473DE1">
      <w:pPr>
        <w:pStyle w:val="Body"/>
      </w:pPr>
      <w:r w:rsidRPr="00A12E79">
        <w:t xml:space="preserve">Pham TTL and Hayman J. 2022, </w:t>
      </w:r>
      <w:r w:rsidR="2F43EF2C" w:rsidRPr="00A12E79">
        <w:t>‘</w:t>
      </w:r>
      <w:r w:rsidRPr="00A12E79">
        <w:t>Injury Deaths Victoria, 2017-2019</w:t>
      </w:r>
      <w:r w:rsidR="5AA4EED9" w:rsidRPr="00A12E79">
        <w:t>'</w:t>
      </w:r>
      <w:r w:rsidRPr="00A12E79">
        <w:t xml:space="preserve">. E-Bulletin Edition 24. Injury Victoria, 2020/21. E-Bulletin Edition 25. Victorian Injury Surveillance Unit. Monash University Accident Research Centre, Clayton, Victoria. Available at: </w:t>
      </w:r>
      <w:r w:rsidR="00417489">
        <w:t>&lt;</w:t>
      </w:r>
      <w:r w:rsidR="00D3364E" w:rsidRPr="00D3364E">
        <w:t>https://www.monash.edu/muarc/research/research-areas/home-and-community/visu/ebulletins-and-fact-sheets</w:t>
      </w:r>
      <w:r w:rsidR="00417489">
        <w:t>&gt;.</w:t>
      </w:r>
    </w:p>
    <w:p w14:paraId="289DE53A" w14:textId="531E36C0" w:rsidR="00473DE1" w:rsidRPr="00A12E79" w:rsidRDefault="00473DE1" w:rsidP="00473DE1">
      <w:pPr>
        <w:pStyle w:val="Body"/>
      </w:pPr>
      <w:r w:rsidRPr="00A12E79">
        <w:t xml:space="preserve">Stathakis V, Gray S, Berecki-Gisolf J. 2015, </w:t>
      </w:r>
      <w:r w:rsidR="6C8E141F" w:rsidRPr="00A12E79">
        <w:t>‘</w:t>
      </w:r>
      <w:r w:rsidRPr="00A12E79">
        <w:t>Hazard edition no.80: Fall-related injury profile for Victorians aged 65 years and older</w:t>
      </w:r>
      <w:r w:rsidR="14E21A0F" w:rsidRPr="00A12E79">
        <w:t>’</w:t>
      </w:r>
      <w:r w:rsidRPr="00A12E79">
        <w:t xml:space="preserve">. Victorian Injury Surveillance Unit, Monash University Accident Research Centre, Clayton Victoria. Available at: </w:t>
      </w:r>
      <w:r w:rsidR="00417489">
        <w:t>&lt;</w:t>
      </w:r>
      <w:r w:rsidRPr="00A12E79">
        <w:t>https://www</w:t>
      </w:r>
      <w:r w:rsidR="000222BD" w:rsidRPr="00A12E79">
        <w:t>.</w:t>
      </w:r>
      <w:r w:rsidRPr="00A12E79">
        <w:t>monash.edu/muarc/research/research-areas/home-and-community/visu/hazard</w:t>
      </w:r>
      <w:r w:rsidR="00417489">
        <w:t>&gt;.</w:t>
      </w:r>
    </w:p>
    <w:p w14:paraId="4C6FBCE2" w14:textId="549BBAC7" w:rsidR="00473DE1" w:rsidRPr="00A12E79" w:rsidRDefault="00473DE1" w:rsidP="00473DE1">
      <w:pPr>
        <w:pStyle w:val="Body"/>
        <w:rPr>
          <w:rFonts w:cs="Arial"/>
        </w:rPr>
      </w:pPr>
      <w:r w:rsidRPr="00A12E79">
        <w:rPr>
          <w:rFonts w:cs="Arial"/>
        </w:rPr>
        <w:t>Victorian Government</w:t>
      </w:r>
      <w:r w:rsidR="36357ED0" w:rsidRPr="00A12E79">
        <w:rPr>
          <w:rFonts w:cs="Arial"/>
        </w:rPr>
        <w:t xml:space="preserve"> 2017</w:t>
      </w:r>
      <w:r w:rsidRPr="00A12E79">
        <w:rPr>
          <w:rFonts w:cs="Arial"/>
        </w:rPr>
        <w:t xml:space="preserve"> </w:t>
      </w:r>
      <w:r w:rsidR="319EC58C" w:rsidRPr="00A12E79">
        <w:rPr>
          <w:rFonts w:cs="Arial"/>
        </w:rPr>
        <w:t>‘</w:t>
      </w:r>
      <w:r w:rsidRPr="00A12E79">
        <w:rPr>
          <w:rFonts w:cs="Arial"/>
        </w:rPr>
        <w:t>Ending Family Violence: Victoria’s Plan for Change</w:t>
      </w:r>
      <w:r w:rsidR="3B872565" w:rsidRPr="00A12E79">
        <w:rPr>
          <w:rFonts w:cs="Arial"/>
        </w:rPr>
        <w:t>’</w:t>
      </w:r>
      <w:r w:rsidRPr="00A12E79">
        <w:rPr>
          <w:rFonts w:cs="Arial"/>
        </w:rPr>
        <w:t xml:space="preserve">, </w:t>
      </w:r>
    </w:p>
    <w:p w14:paraId="75AE09A2" w14:textId="4AF628A7" w:rsidR="00473DE1" w:rsidRPr="00A12E79" w:rsidRDefault="00473DE1" w:rsidP="00473DE1">
      <w:pPr>
        <w:pStyle w:val="Body"/>
      </w:pPr>
      <w:r w:rsidRPr="00A12E79">
        <w:t xml:space="preserve">Victorian Injury Surveillance Unit 2018, </w:t>
      </w:r>
      <w:r w:rsidR="439DC730" w:rsidRPr="00A12E79">
        <w:t>‘</w:t>
      </w:r>
      <w:r w:rsidRPr="00A12E79">
        <w:t>Victorian Admitted Episodes Data (VAED), VISU-held Cause of Death (COD) dataset</w:t>
      </w:r>
      <w:r w:rsidR="25BD7EEF" w:rsidRPr="00A12E79">
        <w:t>’</w:t>
      </w:r>
      <w:r w:rsidRPr="00A12E79">
        <w:t xml:space="preserve">, supplied by the Australian Coordinating Registry (ACR) and based on the Australian Bureau of Statistics (ABS) cause of death data. </w:t>
      </w:r>
    </w:p>
    <w:p w14:paraId="30B47C65" w14:textId="1EA426C5" w:rsidR="00473DE1" w:rsidRPr="00A12E79" w:rsidRDefault="00473DE1" w:rsidP="00473DE1">
      <w:pPr>
        <w:pStyle w:val="Body"/>
      </w:pPr>
      <w:r w:rsidRPr="00A12E79">
        <w:lastRenderedPageBreak/>
        <w:t xml:space="preserve">World Health Organization 2007, </w:t>
      </w:r>
      <w:r w:rsidR="75E0FF82" w:rsidRPr="00A12E79">
        <w:t>‘</w:t>
      </w:r>
      <w:r w:rsidRPr="00A12E79">
        <w:t>WHO global report on falls prevention in older age</w:t>
      </w:r>
      <w:r w:rsidR="1A9CFF76" w:rsidRPr="00A12E79">
        <w:t>’</w:t>
      </w:r>
      <w:r w:rsidRPr="00A12E79">
        <w:t>, World Health Organization, Geneva.</w:t>
      </w:r>
    </w:p>
    <w:p w14:paraId="171501F1" w14:textId="7C5C5B03" w:rsidR="00473DE1" w:rsidRPr="00A12E79" w:rsidRDefault="00473DE1" w:rsidP="00473DE1">
      <w:pPr>
        <w:pStyle w:val="Body"/>
      </w:pPr>
      <w:r w:rsidRPr="00A12E79">
        <w:t xml:space="preserve">World Health Organization 2021, </w:t>
      </w:r>
      <w:r w:rsidR="4A2A9CDA" w:rsidRPr="00A12E79">
        <w:t>‘</w:t>
      </w:r>
      <w:r w:rsidRPr="00A12E79">
        <w:t>Step Safely: strategies for preventing and managing falls across the life-course</w:t>
      </w:r>
      <w:r w:rsidR="390C0C47" w:rsidRPr="00A12E79">
        <w:t>'</w:t>
      </w:r>
      <w:r w:rsidRPr="00A12E79">
        <w:t>. World Health Organization, Geneva.</w:t>
      </w:r>
    </w:p>
    <w:p w14:paraId="602F0CB1" w14:textId="4AEEBEC5" w:rsidR="00A134E8" w:rsidRDefault="00ED120B">
      <w:pPr>
        <w:spacing w:after="0" w:line="240" w:lineRule="auto"/>
        <w:rPr>
          <w:rFonts w:eastAsia="Times"/>
        </w:rPr>
      </w:pPr>
      <w:r>
        <w:br w:type="page"/>
      </w:r>
    </w:p>
    <w:p w14:paraId="79FF2726" w14:textId="114472DF" w:rsidR="00627827" w:rsidRPr="00A71CE4" w:rsidRDefault="00627827" w:rsidP="00627827">
      <w:pPr>
        <w:pStyle w:val="Heading1"/>
        <w:spacing w:before="0"/>
      </w:pPr>
      <w:bookmarkStart w:id="160" w:name="_Toc116981396"/>
      <w:bookmarkStart w:id="161" w:name="_Toc128138656"/>
      <w:r>
        <w:lastRenderedPageBreak/>
        <w:t>Chapter 17 – Oral Health</w:t>
      </w:r>
      <w:bookmarkEnd w:id="160"/>
      <w:bookmarkEnd w:id="161"/>
      <w:r>
        <w:t xml:space="preserve"> </w:t>
      </w:r>
    </w:p>
    <w:p w14:paraId="68D5FCAE" w14:textId="77777777" w:rsidR="0047341B" w:rsidRDefault="00627827" w:rsidP="00627827">
      <w:pPr>
        <w:pStyle w:val="Body"/>
      </w:pPr>
      <w:r w:rsidRPr="71B20CD0">
        <w:t xml:space="preserve">Oral health is fundamental to overall health, wellbeing and quality of life. It is an important part of general health, affecting not only the individual, but also the broader health system and economy. </w:t>
      </w:r>
    </w:p>
    <w:p w14:paraId="21CBA3F4" w14:textId="19D93A1E" w:rsidR="0047341B" w:rsidRDefault="00627827" w:rsidP="00627827">
      <w:pPr>
        <w:pStyle w:val="Body"/>
      </w:pPr>
      <w:r w:rsidRPr="71B20CD0">
        <w:t xml:space="preserve">There have been significant improvements in oral health in Australia </w:t>
      </w:r>
      <w:r w:rsidR="0047341B">
        <w:t>over</w:t>
      </w:r>
      <w:r w:rsidR="0047341B" w:rsidRPr="71B20CD0">
        <w:t xml:space="preserve"> </w:t>
      </w:r>
      <w:r w:rsidRPr="71B20CD0">
        <w:t>the last 30 years</w:t>
      </w:r>
      <w:r w:rsidR="0047341B">
        <w:t xml:space="preserve">. These improvements are </w:t>
      </w:r>
      <w:r w:rsidRPr="71B20CD0">
        <w:t>largely due to improved access to fluoridated drinking water, the use of fluoride toothpastes, the provision of preventive oral health services</w:t>
      </w:r>
      <w:r w:rsidR="0047341B">
        <w:t>,</w:t>
      </w:r>
      <w:r w:rsidRPr="71B20CD0">
        <w:t xml:space="preserve"> and the adoption of good oral hygiene practices.  </w:t>
      </w:r>
    </w:p>
    <w:p w14:paraId="4C8DDF2E" w14:textId="53D764F5" w:rsidR="00627827" w:rsidRDefault="0047341B" w:rsidP="00627827">
      <w:pPr>
        <w:pStyle w:val="Body"/>
      </w:pPr>
      <w:r>
        <w:t>H</w:t>
      </w:r>
      <w:r w:rsidR="00627827" w:rsidRPr="71B20CD0">
        <w:t xml:space="preserve">owever, certain population groups </w:t>
      </w:r>
      <w:r>
        <w:t xml:space="preserve">still experience </w:t>
      </w:r>
      <w:r w:rsidRPr="71B20CD0">
        <w:t xml:space="preserve">significant oral disease </w:t>
      </w:r>
      <w:r w:rsidR="00627827" w:rsidRPr="71B20CD0">
        <w:t xml:space="preserve">and </w:t>
      </w:r>
      <w:r>
        <w:t xml:space="preserve">the </w:t>
      </w:r>
      <w:r w:rsidR="00627827" w:rsidRPr="71B20CD0">
        <w:t xml:space="preserve">affordability of dental care </w:t>
      </w:r>
      <w:r>
        <w:t xml:space="preserve">is still an issue </w:t>
      </w:r>
      <w:r w:rsidR="00627827" w:rsidRPr="71B20CD0">
        <w:t xml:space="preserve">for some Victorians. </w:t>
      </w:r>
    </w:p>
    <w:p w14:paraId="79B7C3A5" w14:textId="3C5EFE89" w:rsidR="00627827" w:rsidRDefault="00627827" w:rsidP="00627827">
      <w:pPr>
        <w:pStyle w:val="Heading2"/>
      </w:pPr>
      <w:bookmarkStart w:id="162" w:name="_Toc116981397"/>
      <w:r>
        <w:t>Child oral health</w:t>
      </w:r>
      <w:bookmarkEnd w:id="162"/>
      <w:r>
        <w:t xml:space="preserve"> </w:t>
      </w:r>
    </w:p>
    <w:p w14:paraId="19D98C47" w14:textId="77777777" w:rsidR="00627827" w:rsidRDefault="00627827" w:rsidP="00A62777">
      <w:pPr>
        <w:pStyle w:val="Heading3"/>
      </w:pPr>
      <w:r w:rsidRPr="71B20CD0">
        <w:t>Child dental caries (tooth decay) experience</w:t>
      </w:r>
    </w:p>
    <w:p w14:paraId="70593AB7" w14:textId="77777777" w:rsidR="0047341B" w:rsidRDefault="00627827" w:rsidP="00627827">
      <w:pPr>
        <w:pStyle w:val="Body"/>
      </w:pPr>
      <w:r w:rsidRPr="71B20CD0">
        <w:t xml:space="preserve">Tooth decay is the most prevalent disease in Victoria. </w:t>
      </w:r>
    </w:p>
    <w:p w14:paraId="49E732AB" w14:textId="629EEE9C" w:rsidR="00627827" w:rsidRDefault="00627827" w:rsidP="00627827">
      <w:pPr>
        <w:pStyle w:val="Body"/>
      </w:pPr>
      <w:r w:rsidRPr="71B20CD0">
        <w:t xml:space="preserve">Almost half of all children (43 per cent) aged </w:t>
      </w:r>
      <w:r w:rsidR="0047341B">
        <w:t>bet</w:t>
      </w:r>
      <w:r w:rsidR="0083463A">
        <w:t>w</w:t>
      </w:r>
      <w:r w:rsidR="0047341B">
        <w:t xml:space="preserve">een </w:t>
      </w:r>
      <w:r w:rsidRPr="71B20CD0">
        <w:t>five</w:t>
      </w:r>
      <w:r w:rsidR="0047341B">
        <w:t xml:space="preserve"> and </w:t>
      </w:r>
      <w:r w:rsidRPr="71B20CD0">
        <w:t>10 years have signs of tooth decay</w:t>
      </w:r>
      <w:r>
        <w:t xml:space="preserve"> (Do and Spencer, 2016). </w:t>
      </w:r>
      <w:r w:rsidRPr="00257EB7">
        <w:t>Dental conditions are the highest cause of all potentially preventable hospitalisations in children 0</w:t>
      </w:r>
      <w:r w:rsidR="000913CC" w:rsidRPr="00257EB7">
        <w:t xml:space="preserve"> to </w:t>
      </w:r>
      <w:r w:rsidRPr="00257EB7">
        <w:t>9 years, predominantly because of tooth decay (</w:t>
      </w:r>
      <w:r w:rsidRPr="71B20CD0">
        <w:t>Department of Health</w:t>
      </w:r>
      <w:r w:rsidR="0047341B">
        <w:t>,</w:t>
      </w:r>
      <w:r w:rsidRPr="71B20CD0">
        <w:t xml:space="preserve"> </w:t>
      </w:r>
      <w:r>
        <w:t>2019</w:t>
      </w:r>
      <w:r w:rsidRPr="71B20CD0">
        <w:t xml:space="preserve">). </w:t>
      </w:r>
    </w:p>
    <w:p w14:paraId="22BDBF73" w14:textId="77777777" w:rsidR="0047341B" w:rsidRDefault="00627827" w:rsidP="00627827">
      <w:pPr>
        <w:pStyle w:val="Body"/>
      </w:pPr>
      <w:r w:rsidRPr="71B20CD0">
        <w:t xml:space="preserve">There are two key pieces of data which illustrate the dental caries (tooth decay) experience of Victorian children. </w:t>
      </w:r>
    </w:p>
    <w:p w14:paraId="458FB0C6" w14:textId="2CF47EE6" w:rsidR="00627827" w:rsidRDefault="00627827" w:rsidP="00627827">
      <w:pPr>
        <w:pStyle w:val="Body"/>
      </w:pPr>
      <w:r w:rsidRPr="71B20CD0">
        <w:t xml:space="preserve">One </w:t>
      </w:r>
      <w:r w:rsidR="0047341B">
        <w:t xml:space="preserve">piece of data </w:t>
      </w:r>
      <w:r w:rsidRPr="71B20CD0">
        <w:t xml:space="preserve">relates to the average number of decayed, missing or filled (deciduous/baby) teeth (also known as a DMFT score) in </w:t>
      </w:r>
      <w:r w:rsidR="0047341B">
        <w:t>five-</w:t>
      </w:r>
      <w:r w:rsidRPr="71B20CD0">
        <w:t xml:space="preserve"> and </w:t>
      </w:r>
      <w:r w:rsidR="0047341B">
        <w:t>six</w:t>
      </w:r>
      <w:r w:rsidRPr="71B20CD0">
        <w:t xml:space="preserve">-year-old children. In 2012-14, Victorian </w:t>
      </w:r>
      <w:r w:rsidR="0047341B">
        <w:t>five-</w:t>
      </w:r>
      <w:r w:rsidRPr="71B20CD0">
        <w:t xml:space="preserve"> and </w:t>
      </w:r>
      <w:r w:rsidR="0047341B">
        <w:t>six</w:t>
      </w:r>
      <w:r w:rsidRPr="71B20CD0">
        <w:t>-year-olds had an average DMFT of 1.3. This was only slightly lower than that reported in the late 1980s (Do and Spencer</w:t>
      </w:r>
      <w:r w:rsidR="0047341B">
        <w:t>,</w:t>
      </w:r>
      <w:r w:rsidRPr="71B20CD0">
        <w:t xml:space="preserve"> 2016).  </w:t>
      </w:r>
    </w:p>
    <w:p w14:paraId="347D6FED" w14:textId="3AB50E07" w:rsidR="00627827" w:rsidRDefault="00627827" w:rsidP="00627827">
      <w:pPr>
        <w:pStyle w:val="Body"/>
      </w:pPr>
      <w:r w:rsidRPr="71B20CD0">
        <w:t xml:space="preserve">The </w:t>
      </w:r>
      <w:r w:rsidR="0047341B">
        <w:t>second</w:t>
      </w:r>
      <w:r w:rsidR="0047341B" w:rsidRPr="71B20CD0">
        <w:t xml:space="preserve"> </w:t>
      </w:r>
      <w:r w:rsidRPr="71B20CD0">
        <w:t xml:space="preserve">piece of data relates to the average number of </w:t>
      </w:r>
      <w:r>
        <w:t>d</w:t>
      </w:r>
      <w:r w:rsidRPr="71B20CD0">
        <w:t xml:space="preserve">ecayed, </w:t>
      </w:r>
      <w:r>
        <w:t>m</w:t>
      </w:r>
      <w:r w:rsidRPr="71B20CD0">
        <w:t>issing</w:t>
      </w:r>
      <w:r w:rsidR="0047341B">
        <w:t>,</w:t>
      </w:r>
      <w:r w:rsidRPr="71B20CD0">
        <w:t xml:space="preserve"> or </w:t>
      </w:r>
      <w:r>
        <w:t>f</w:t>
      </w:r>
      <w:r w:rsidRPr="71B20CD0">
        <w:t>illed (permanent /</w:t>
      </w:r>
      <w:r w:rsidR="00363826">
        <w:t xml:space="preserve"> </w:t>
      </w:r>
      <w:r w:rsidRPr="71B20CD0">
        <w:t xml:space="preserve">adult) </w:t>
      </w:r>
      <w:r>
        <w:t>t</w:t>
      </w:r>
      <w:r w:rsidRPr="71B20CD0">
        <w:t>eeth (also known as a DMFT score) in 12-year-old children. In 2012-14, Victorian 12-year-olds had an average DMFT of 0.8. This represents a significant reduction from the late 1980s, when the corresponding figure was approximately 1.8 (Do and Spencer</w:t>
      </w:r>
      <w:r w:rsidR="0047341B">
        <w:t>,</w:t>
      </w:r>
      <w:r w:rsidRPr="71B20CD0">
        <w:t xml:space="preserve"> 2016).   </w:t>
      </w:r>
    </w:p>
    <w:p w14:paraId="4A919614" w14:textId="452CE208" w:rsidR="0047341B" w:rsidRDefault="00627827" w:rsidP="00627827">
      <w:pPr>
        <w:pStyle w:val="Body"/>
      </w:pPr>
      <w:r w:rsidRPr="71B20CD0">
        <w:t xml:space="preserve">The data for </w:t>
      </w:r>
      <w:r w:rsidR="0047341B">
        <w:t>five</w:t>
      </w:r>
      <w:r w:rsidRPr="71B20CD0">
        <w:t xml:space="preserve"> and </w:t>
      </w:r>
      <w:r w:rsidR="0047341B">
        <w:t>six</w:t>
      </w:r>
      <w:r w:rsidRPr="71B20CD0">
        <w:t xml:space="preserve">-year-old children indicates that a greater focus on enhancing oral health promoting environments, increasing the oral health literacy of families, and providing resources and services for pre-school children is required to help prevent tooth decay in children. </w:t>
      </w:r>
    </w:p>
    <w:p w14:paraId="4B3BA253" w14:textId="6632E190" w:rsidR="00627827" w:rsidRDefault="00627827" w:rsidP="00627827">
      <w:pPr>
        <w:pStyle w:val="Body"/>
      </w:pPr>
      <w:r w:rsidRPr="71B20CD0">
        <w:t xml:space="preserve">Sugar in foods and drinks are the key dietary cause of tooth decay. The Victorian Child Oral Health Survey </w:t>
      </w:r>
      <w:r w:rsidR="0047341B">
        <w:t>found</w:t>
      </w:r>
      <w:r w:rsidR="0047341B" w:rsidRPr="71B20CD0">
        <w:t xml:space="preserve"> </w:t>
      </w:r>
      <w:r w:rsidRPr="71B20CD0">
        <w:t xml:space="preserve">that </w:t>
      </w:r>
      <w:r w:rsidR="0047341B">
        <w:t>4-</w:t>
      </w:r>
      <w:r w:rsidRPr="71B20CD0">
        <w:t>in</w:t>
      </w:r>
      <w:r w:rsidR="0047341B">
        <w:t>-</w:t>
      </w:r>
      <w:r w:rsidRPr="71B20CD0">
        <w:t xml:space="preserve">10 Victorian children consume one or more sugary drinks on a usual day and almost half of Victorian children are eating four or more sugary foods/snacks </w:t>
      </w:r>
      <w:r w:rsidR="0047341B">
        <w:t>every day</w:t>
      </w:r>
      <w:r w:rsidRPr="71B20CD0">
        <w:t xml:space="preserve"> (Do and Spencer</w:t>
      </w:r>
      <w:r w:rsidR="0047341B">
        <w:t>,</w:t>
      </w:r>
      <w:r w:rsidRPr="71B20CD0">
        <w:t xml:space="preserve"> 2016).  </w:t>
      </w:r>
    </w:p>
    <w:p w14:paraId="49CF3214" w14:textId="49044C7F" w:rsidR="00627827" w:rsidRDefault="00627827" w:rsidP="00627827">
      <w:pPr>
        <w:pStyle w:val="Body"/>
      </w:pPr>
      <w:r w:rsidRPr="71B20CD0">
        <w:t xml:space="preserve">The School Dental Program and prevention initiatives such as the Smiles 4 Miles, Healthy Families Healthy Smiles and Fluoride Varnish programs are being implemented to improve the oral health of children.  </w:t>
      </w:r>
    </w:p>
    <w:p w14:paraId="2FF18163" w14:textId="77777777" w:rsidR="00627827" w:rsidRDefault="00627827" w:rsidP="00627827">
      <w:pPr>
        <w:pStyle w:val="Heading2"/>
      </w:pPr>
      <w:bookmarkStart w:id="163" w:name="_Toc116981398"/>
      <w:r>
        <w:lastRenderedPageBreak/>
        <w:t>Adult oral health</w:t>
      </w:r>
      <w:bookmarkEnd w:id="163"/>
      <w:r>
        <w:t xml:space="preserve">  </w:t>
      </w:r>
    </w:p>
    <w:p w14:paraId="5EFD7D38" w14:textId="77777777" w:rsidR="00627827" w:rsidRDefault="00627827" w:rsidP="00AB30E6">
      <w:pPr>
        <w:pStyle w:val="Heading3"/>
      </w:pPr>
      <w:r w:rsidRPr="71B20CD0">
        <w:t>Adult dental caries (tooth decay) experience</w:t>
      </w:r>
    </w:p>
    <w:p w14:paraId="572123FD" w14:textId="100E99BE" w:rsidR="0047341B" w:rsidRDefault="0047341B" w:rsidP="00627827">
      <w:pPr>
        <w:pStyle w:val="Body"/>
      </w:pPr>
      <w:r>
        <w:t>A</w:t>
      </w:r>
      <w:r w:rsidR="00627827" w:rsidRPr="71B20CD0">
        <w:t xml:space="preserve">dults also </w:t>
      </w:r>
      <w:r>
        <w:t xml:space="preserve">benefit </w:t>
      </w:r>
      <w:r w:rsidR="00627827" w:rsidRPr="71B20CD0">
        <w:t xml:space="preserve">from water fluoridation and fluoridated toothpastes. </w:t>
      </w:r>
    </w:p>
    <w:p w14:paraId="4F8E7BE1" w14:textId="229FF3CA" w:rsidR="0047341B" w:rsidRDefault="00627827" w:rsidP="00627827">
      <w:pPr>
        <w:pStyle w:val="Body"/>
      </w:pPr>
      <w:r w:rsidRPr="71B20CD0">
        <w:t>Despite these advances, more than 90 per cent of Victorian adults have had or currently have dental caries, with one</w:t>
      </w:r>
      <w:r w:rsidR="0047341B">
        <w:t>-</w:t>
      </w:r>
      <w:r w:rsidRPr="71B20CD0">
        <w:t>in</w:t>
      </w:r>
      <w:r w:rsidR="0047341B">
        <w:t>-</w:t>
      </w:r>
      <w:r w:rsidRPr="71B20CD0">
        <w:t xml:space="preserve">three (32 per cent) experiencing untreated dental caries (Australian Research Centre for Population Oral Health, 2019). </w:t>
      </w:r>
    </w:p>
    <w:p w14:paraId="3DB9A768" w14:textId="369D673E" w:rsidR="00627827" w:rsidRDefault="00627827" w:rsidP="00627827">
      <w:pPr>
        <w:pStyle w:val="Body"/>
      </w:pPr>
      <w:r w:rsidRPr="71B20CD0">
        <w:t xml:space="preserve">Adult dental caries experience increases with age (Australian Research Centre for Population Oral Health, 2019).   </w:t>
      </w:r>
    </w:p>
    <w:p w14:paraId="1658275C" w14:textId="77777777" w:rsidR="00627827" w:rsidRDefault="00627827" w:rsidP="00AB30E6">
      <w:pPr>
        <w:pStyle w:val="Heading3"/>
      </w:pPr>
      <w:r w:rsidRPr="71B20CD0">
        <w:t>Gum disease</w:t>
      </w:r>
    </w:p>
    <w:p w14:paraId="2000A0CB" w14:textId="77777777" w:rsidR="0047341B" w:rsidRDefault="00627827" w:rsidP="00627827">
      <w:pPr>
        <w:pStyle w:val="Body"/>
        <w:rPr>
          <w:szCs w:val="21"/>
        </w:rPr>
      </w:pPr>
      <w:r w:rsidRPr="71B20CD0">
        <w:rPr>
          <w:szCs w:val="21"/>
        </w:rPr>
        <w:t>Adults can also be impacted by gum diseases, which tend</w:t>
      </w:r>
      <w:r>
        <w:rPr>
          <w:szCs w:val="21"/>
        </w:rPr>
        <w:t>s</w:t>
      </w:r>
      <w:r w:rsidRPr="71B20CD0">
        <w:rPr>
          <w:szCs w:val="21"/>
        </w:rPr>
        <w:t xml:space="preserve"> to </w:t>
      </w:r>
      <w:r>
        <w:rPr>
          <w:szCs w:val="21"/>
        </w:rPr>
        <w:t>affect</w:t>
      </w:r>
      <w:r w:rsidRPr="71B20CD0">
        <w:rPr>
          <w:szCs w:val="21"/>
        </w:rPr>
        <w:t xml:space="preserve"> adults more than children. </w:t>
      </w:r>
    </w:p>
    <w:p w14:paraId="4EEAC173" w14:textId="68B8BAA3" w:rsidR="00627827" w:rsidRDefault="00627827" w:rsidP="00627827">
      <w:pPr>
        <w:pStyle w:val="Body"/>
      </w:pPr>
      <w:r w:rsidRPr="71B20CD0">
        <w:rPr>
          <w:szCs w:val="21"/>
        </w:rPr>
        <w:t xml:space="preserve">In 2017-18, a total of 27.7 per cent of Victorians were found to have moderate to severe periodontitis (gum disease), with more than 70 per cent of those aged over 75 years of age experiencing moderate to severe periodontitis compared to 10.2 per cent of </w:t>
      </w:r>
      <w:r w:rsidR="00EB075E">
        <w:rPr>
          <w:szCs w:val="21"/>
        </w:rPr>
        <w:t xml:space="preserve">Victorians aged between </w:t>
      </w:r>
      <w:r w:rsidRPr="71B20CD0">
        <w:rPr>
          <w:szCs w:val="21"/>
        </w:rPr>
        <w:t>15-34</w:t>
      </w:r>
      <w:r w:rsidR="00EB075E">
        <w:rPr>
          <w:szCs w:val="21"/>
        </w:rPr>
        <w:t xml:space="preserve"> </w:t>
      </w:r>
      <w:r w:rsidRPr="71B20CD0">
        <w:rPr>
          <w:szCs w:val="21"/>
        </w:rPr>
        <w:t>(Australian Research Centre for Population Oral Health, 2019).</w:t>
      </w:r>
    </w:p>
    <w:p w14:paraId="1F0C2821" w14:textId="77777777" w:rsidR="00627827" w:rsidRDefault="00627827" w:rsidP="00AB30E6">
      <w:pPr>
        <w:pStyle w:val="Heading3"/>
      </w:pPr>
      <w:r w:rsidRPr="71B20CD0">
        <w:t>Adult Self-reported dental health</w:t>
      </w:r>
    </w:p>
    <w:p w14:paraId="78EF4298" w14:textId="77777777" w:rsidR="00EB075E" w:rsidRDefault="00627827" w:rsidP="00627827">
      <w:pPr>
        <w:pStyle w:val="Body"/>
      </w:pPr>
      <w:r>
        <w:t xml:space="preserve">The Victorian Population Health Survey asks respondents to rate their dental health. </w:t>
      </w:r>
    </w:p>
    <w:p w14:paraId="354C12AA" w14:textId="77777777" w:rsidR="00EB075E" w:rsidRDefault="00627827" w:rsidP="00627827">
      <w:pPr>
        <w:pStyle w:val="Body"/>
      </w:pPr>
      <w:r>
        <w:t xml:space="preserve">In 2017, 37.2 per cent of people rated their dental health as excellent or very good, while 34 per cent rated their dental health as good. </w:t>
      </w:r>
    </w:p>
    <w:p w14:paraId="306C3B2D" w14:textId="3D00134E" w:rsidR="00627827" w:rsidRDefault="00627827" w:rsidP="00627827">
      <w:pPr>
        <w:pStyle w:val="Body"/>
      </w:pPr>
      <w:r>
        <w:t>A further 24.4 per cent rated their dental health as being fair or poor (Victorian Population Health Survey</w:t>
      </w:r>
      <w:r w:rsidR="00EB075E">
        <w:t>,</w:t>
      </w:r>
      <w:r>
        <w:t xml:space="preserve"> 2017). </w:t>
      </w:r>
    </w:p>
    <w:p w14:paraId="4327083C" w14:textId="77777777" w:rsidR="00627827" w:rsidRDefault="00627827" w:rsidP="00AB30E6">
      <w:pPr>
        <w:pStyle w:val="Heading3"/>
      </w:pPr>
      <w:r w:rsidRPr="71B20CD0">
        <w:t>Oral cancer</w:t>
      </w:r>
    </w:p>
    <w:p w14:paraId="4B73CC4C" w14:textId="262FB14B" w:rsidR="00627827" w:rsidRDefault="00627827" w:rsidP="00627827">
      <w:pPr>
        <w:pStyle w:val="Body"/>
      </w:pPr>
      <w:r>
        <w:t>Oral cancer (ICD codes WHO) is one of the leading causes of disease burden in Victoria, with an average of 16 new diagnoses each week. In 2019, there were 853 new cases and 190 oral cancer deaths in Victoria (Cancer Council Victoria</w:t>
      </w:r>
      <w:r w:rsidR="00EB075E">
        <w:t>,</w:t>
      </w:r>
      <w:r>
        <w:t xml:space="preserve"> 2020).  </w:t>
      </w:r>
    </w:p>
    <w:p w14:paraId="0BFBBE0C" w14:textId="11DCFF0C" w:rsidR="00EB075E" w:rsidRDefault="00627827" w:rsidP="00627827">
      <w:pPr>
        <w:pStyle w:val="Body"/>
      </w:pPr>
      <w:r>
        <w:t>Oral cancer, which may affect the lips, tongue, salivary glands, gums, mouth</w:t>
      </w:r>
      <w:r w:rsidR="00EB075E">
        <w:t>,</w:t>
      </w:r>
      <w:r>
        <w:t xml:space="preserve"> or throat (oropharynx) is the tenth most common cancer in Victoria. It is the eighth most common cancer in men, the </w:t>
      </w:r>
      <w:r w:rsidR="00EB075E">
        <w:t>fourteen</w:t>
      </w:r>
      <w:r>
        <w:t>th most common cancer in women and is more common among older age group</w:t>
      </w:r>
      <w:r w:rsidR="00EB075E">
        <w:t>s</w:t>
      </w:r>
      <w:r>
        <w:t xml:space="preserve">. </w:t>
      </w:r>
    </w:p>
    <w:p w14:paraId="34716C08" w14:textId="4D391541" w:rsidR="00627827" w:rsidRDefault="00627827" w:rsidP="00627827">
      <w:pPr>
        <w:pStyle w:val="Body"/>
      </w:pPr>
      <w:r>
        <w:t>The three most common oral cancers in 2019 were tongue, oropharynx</w:t>
      </w:r>
      <w:r w:rsidR="00EB075E">
        <w:t>,</w:t>
      </w:r>
      <w:r>
        <w:t xml:space="preserve"> and salivary glands (Cancer Council Victoria</w:t>
      </w:r>
      <w:r w:rsidR="00EB075E">
        <w:t>,</w:t>
      </w:r>
      <w:r>
        <w:t xml:space="preserve"> 2020).</w:t>
      </w:r>
    </w:p>
    <w:p w14:paraId="7E4A425F" w14:textId="7525AEC4" w:rsidR="00627827" w:rsidRDefault="00627827" w:rsidP="00627827">
      <w:pPr>
        <w:pStyle w:val="Body"/>
        <w:rPr>
          <w:szCs w:val="21"/>
        </w:rPr>
      </w:pPr>
      <w:r w:rsidRPr="71B20CD0">
        <w:rPr>
          <w:szCs w:val="21"/>
        </w:rPr>
        <w:t>The risk of oral cancer is associated with lifestyle exposures such as tobacco, alcohol</w:t>
      </w:r>
      <w:r w:rsidR="00EB075E">
        <w:rPr>
          <w:szCs w:val="21"/>
        </w:rPr>
        <w:t>,</w:t>
      </w:r>
      <w:r w:rsidRPr="71B20CD0">
        <w:rPr>
          <w:szCs w:val="21"/>
        </w:rPr>
        <w:t xml:space="preserve"> and human papillomavirus (HPV) infection.</w:t>
      </w:r>
    </w:p>
    <w:p w14:paraId="4AA9662A" w14:textId="77777777" w:rsidR="00627827" w:rsidRDefault="00627827" w:rsidP="00627827">
      <w:pPr>
        <w:pStyle w:val="Heading2"/>
      </w:pPr>
      <w:bookmarkStart w:id="164" w:name="_Toc116981399"/>
      <w:r>
        <w:t>Cost of dental care</w:t>
      </w:r>
      <w:bookmarkEnd w:id="164"/>
      <w:r>
        <w:t xml:space="preserve"> </w:t>
      </w:r>
    </w:p>
    <w:p w14:paraId="5FC146BA" w14:textId="5983DC60" w:rsidR="00627827" w:rsidRDefault="00627827" w:rsidP="00627827">
      <w:pPr>
        <w:pStyle w:val="Body"/>
      </w:pPr>
      <w:r>
        <w:t>The Victorian Population Health Survey also seeks information about avoidance or delaying a visit to a dental professional due to cost. Overall, 33.9 per cent of Victorians reported they had avoided or delayed visiting a dental professional due to cost (Victorian Population Health Survey</w:t>
      </w:r>
      <w:r w:rsidR="00EB075E">
        <w:t>,</w:t>
      </w:r>
      <w:r>
        <w:t xml:space="preserve"> 2017). </w:t>
      </w:r>
    </w:p>
    <w:p w14:paraId="4E66A6B8" w14:textId="2A40AD36" w:rsidR="00EB075E" w:rsidRDefault="00627827" w:rsidP="00627827">
      <w:pPr>
        <w:pStyle w:val="Body"/>
      </w:pPr>
      <w:r>
        <w:lastRenderedPageBreak/>
        <w:t xml:space="preserve">The National Study of Adult Oral Health </w:t>
      </w:r>
      <w:r w:rsidR="00EB075E">
        <w:t xml:space="preserve">found </w:t>
      </w:r>
      <w:r>
        <w:t xml:space="preserve">that just over 57 per cent of Victorian adults reported making a visit to a dentist in the last 12 months. The study also </w:t>
      </w:r>
      <w:r w:rsidR="00EB075E">
        <w:t xml:space="preserve">found </w:t>
      </w:r>
      <w:r>
        <w:t xml:space="preserve">that 23 per cent of adults reported considerable difficulty paying a $200 dental bill and </w:t>
      </w:r>
      <w:r w:rsidR="00EB075E">
        <w:t>1-</w:t>
      </w:r>
      <w:r>
        <w:t>in</w:t>
      </w:r>
      <w:r w:rsidR="00EB075E">
        <w:t>-</w:t>
      </w:r>
      <w:r>
        <w:t xml:space="preserve">5 adults reported foregoing recommended dental treatment due to cost. </w:t>
      </w:r>
    </w:p>
    <w:p w14:paraId="14C335E0" w14:textId="0E41B089" w:rsidR="00627827" w:rsidRDefault="00EB075E" w:rsidP="00662CA6">
      <w:pPr>
        <w:pStyle w:val="Body"/>
        <w:spacing w:after="240"/>
      </w:pPr>
      <w:r>
        <w:t>Overall, the u</w:t>
      </w:r>
      <w:r w:rsidR="00627827">
        <w:t>se of dental services is declining and avoiding or delaying care due to cost is increasing (Australian Research Centre for Population Oral Health, 2019).</w:t>
      </w:r>
    </w:p>
    <w:p w14:paraId="1672B5F2" w14:textId="77777777" w:rsidR="001806A0" w:rsidRDefault="001806A0" w:rsidP="001806A0">
      <w:pPr>
        <w:spacing w:after="0" w:line="240" w:lineRule="auto"/>
        <w:rPr>
          <w:rFonts w:eastAsia="MS Mincho"/>
          <w:b/>
          <w:bCs/>
          <w:iCs/>
          <w:color w:val="000000"/>
          <w:szCs w:val="26"/>
        </w:rPr>
      </w:pPr>
      <w:r w:rsidRPr="00FC4CE9">
        <w:rPr>
          <w:rFonts w:eastAsia="MS Mincho"/>
          <w:b/>
          <w:bCs/>
          <w:iCs/>
          <w:color w:val="000000"/>
          <w:szCs w:val="26"/>
        </w:rPr>
        <w:t>References</w:t>
      </w:r>
    </w:p>
    <w:p w14:paraId="49BACC78" w14:textId="77777777" w:rsidR="001806A0" w:rsidRPr="00FC4CE9" w:rsidRDefault="001806A0" w:rsidP="001806A0">
      <w:pPr>
        <w:rPr>
          <w:rFonts w:eastAsia="Times"/>
        </w:rPr>
      </w:pPr>
      <w:r w:rsidRPr="00FC4CE9">
        <w:rPr>
          <w:rFonts w:eastAsia="Times"/>
        </w:rPr>
        <w:t>Ambulatory Care Sensitive Conditions, Victorian Health Information Surveillance System (VHISS); Department of Health, Government of Victoria, Melbourne 2019.</w:t>
      </w:r>
    </w:p>
    <w:p w14:paraId="1E430358" w14:textId="3C58451B" w:rsidR="001806A0" w:rsidRDefault="001806A0" w:rsidP="001806A0">
      <w:pPr>
        <w:pStyle w:val="Body"/>
      </w:pPr>
      <w:r w:rsidRPr="71B20CD0">
        <w:t>Australia’s Oral Health: The National Study of Adult Oral Health 2017-18, Australian Research Centre for Population Oral Health (ARCPOH), Adelaide; The University of Adelaide, South Australia</w:t>
      </w:r>
      <w:r w:rsidR="00A12E79">
        <w:t>.</w:t>
      </w:r>
    </w:p>
    <w:p w14:paraId="0BE40217" w14:textId="516FDAC8" w:rsidR="001806A0" w:rsidRPr="00A12E79" w:rsidRDefault="001806A0" w:rsidP="001806A0">
      <w:pPr>
        <w:rPr>
          <w:rFonts w:eastAsia="Times"/>
        </w:rPr>
      </w:pPr>
      <w:r w:rsidRPr="00A12E79">
        <w:rPr>
          <w:rFonts w:eastAsia="Times"/>
        </w:rPr>
        <w:t xml:space="preserve">Do LG &amp; Spencer AJ </w:t>
      </w:r>
      <w:r w:rsidR="77678F71" w:rsidRPr="00A12E79">
        <w:rPr>
          <w:rFonts w:eastAsia="Times"/>
        </w:rPr>
        <w:t>2015,</w:t>
      </w:r>
      <w:r w:rsidRPr="00A12E79">
        <w:rPr>
          <w:rFonts w:eastAsia="Times"/>
        </w:rPr>
        <w:t xml:space="preserve"> </w:t>
      </w:r>
      <w:r w:rsidR="364E3109" w:rsidRPr="00A12E79">
        <w:rPr>
          <w:rFonts w:eastAsia="Times"/>
        </w:rPr>
        <w:t>‘</w:t>
      </w:r>
      <w:r w:rsidRPr="00A12E79">
        <w:rPr>
          <w:rFonts w:eastAsia="Times"/>
        </w:rPr>
        <w:t>Oral health of Australian children: the National Child Oral Health Study 2012–14</w:t>
      </w:r>
      <w:r w:rsidR="6C2F6F3D" w:rsidRPr="00A12E79">
        <w:rPr>
          <w:rFonts w:eastAsia="Times"/>
        </w:rPr>
        <w:t>’</w:t>
      </w:r>
      <w:r w:rsidRPr="00A12E79">
        <w:rPr>
          <w:rFonts w:eastAsia="Times"/>
        </w:rPr>
        <w:t>. Adelaide: University of Adelaide Press.</w:t>
      </w:r>
    </w:p>
    <w:p w14:paraId="4530EBE5" w14:textId="307591F3" w:rsidR="001806A0" w:rsidRPr="00A12E79" w:rsidRDefault="001806A0" w:rsidP="001806A0">
      <w:pPr>
        <w:pStyle w:val="Body"/>
        <w:rPr>
          <w:szCs w:val="21"/>
        </w:rPr>
      </w:pPr>
      <w:r w:rsidRPr="00A12E79">
        <w:rPr>
          <w:szCs w:val="21"/>
        </w:rPr>
        <w:t>Victorian Population Health Survey 2017, Department of Health, Government of Victoria, Melbourne</w:t>
      </w:r>
      <w:r w:rsidR="00A12E79">
        <w:rPr>
          <w:szCs w:val="21"/>
        </w:rPr>
        <w:t>.</w:t>
      </w:r>
    </w:p>
    <w:p w14:paraId="00D68B3C" w14:textId="296CDDF0" w:rsidR="001806A0" w:rsidRPr="00A12E79" w:rsidRDefault="001806A0" w:rsidP="001806A0">
      <w:pPr>
        <w:pStyle w:val="Body"/>
      </w:pPr>
      <w:r w:rsidRPr="00A12E79">
        <w:t xml:space="preserve">ICD codes: C00, C01-C10, C14; WHO. International Classification of Disease for Oncology. Available at </w:t>
      </w:r>
      <w:r w:rsidR="004A48E1" w:rsidRPr="00A12E79">
        <w:t>&lt;</w:t>
      </w:r>
      <w:r w:rsidRPr="00A12E79">
        <w:t>http://codes.iarc.fr/topography</w:t>
      </w:r>
      <w:r w:rsidR="004A48E1" w:rsidRPr="00A12E79">
        <w:t>&gt;</w:t>
      </w:r>
      <w:r w:rsidR="00A12E79">
        <w:t>.</w:t>
      </w:r>
    </w:p>
    <w:p w14:paraId="41A82482" w14:textId="7EBA2DE8" w:rsidR="003671B2" w:rsidRDefault="001806A0" w:rsidP="001806A0">
      <w:pPr>
        <w:pStyle w:val="Body"/>
      </w:pPr>
      <w:r w:rsidRPr="00A12E79">
        <w:t>Victorian Cancer Registry</w:t>
      </w:r>
      <w:r w:rsidR="37141F91" w:rsidRPr="00A12E79">
        <w:t xml:space="preserve"> 2020,</w:t>
      </w:r>
      <w:r w:rsidRPr="00A12E79">
        <w:t xml:space="preserve"> </w:t>
      </w:r>
      <w:r w:rsidR="50C56297" w:rsidRPr="00A12E79">
        <w:t>‘</w:t>
      </w:r>
      <w:r w:rsidRPr="00A12E79">
        <w:t>Cancer in Victoria 2019</w:t>
      </w:r>
      <w:r w:rsidR="4B938365" w:rsidRPr="00A12E79">
        <w:t>’</w:t>
      </w:r>
      <w:r w:rsidRPr="00A12E79">
        <w:t>. Cancer Council Victoria. Melbourne, Victoria</w:t>
      </w:r>
      <w:r w:rsidR="00752539">
        <w:t>.</w:t>
      </w:r>
      <w:bookmarkEnd w:id="5"/>
    </w:p>
    <w:p w14:paraId="47802520" w14:textId="77777777" w:rsidR="003671B2" w:rsidRDefault="003671B2">
      <w:pPr>
        <w:spacing w:after="0" w:line="240" w:lineRule="auto"/>
        <w:rPr>
          <w:rFonts w:eastAsia="Times"/>
        </w:rPr>
      </w:pPr>
      <w:r>
        <w:br w:type="page"/>
      </w:r>
    </w:p>
    <w:p w14:paraId="6D62B4AC" w14:textId="6D3DD3F7" w:rsidR="001806A0" w:rsidRDefault="003671B2" w:rsidP="003671B2">
      <w:pPr>
        <w:pStyle w:val="Heading1"/>
      </w:pPr>
      <w:bookmarkStart w:id="165" w:name="_Toc128138657"/>
      <w:r>
        <w:lastRenderedPageBreak/>
        <w:t xml:space="preserve">Appendix </w:t>
      </w:r>
      <w:r w:rsidR="007E3CCE">
        <w:t>A</w:t>
      </w:r>
      <w:r>
        <w:t>: Text-equivalent descriptions</w:t>
      </w:r>
      <w:bookmarkEnd w:id="165"/>
    </w:p>
    <w:p w14:paraId="3FB2191F" w14:textId="74815EB6" w:rsidR="00850271" w:rsidRDefault="00850271" w:rsidP="003B7220">
      <w:pPr>
        <w:pStyle w:val="Heading2"/>
        <w:rPr>
          <w:rFonts w:eastAsia="Arial"/>
        </w:rPr>
      </w:pPr>
      <w:r>
        <w:rPr>
          <w:rFonts w:eastAsia="Arial"/>
        </w:rPr>
        <w:t xml:space="preserve">Chapter 5, </w:t>
      </w:r>
      <w:r w:rsidRPr="001425B1">
        <w:rPr>
          <w:rFonts w:eastAsia="Arial"/>
        </w:rPr>
        <w:t>Table</w:t>
      </w:r>
      <w:r w:rsidRPr="4C8EF378">
        <w:rPr>
          <w:rFonts w:eastAsia="Arial"/>
        </w:rPr>
        <w:t xml:space="preserve"> 1</w:t>
      </w:r>
      <w:r>
        <w:rPr>
          <w:rFonts w:eastAsia="Arial"/>
        </w:rPr>
        <w:t>.</w:t>
      </w:r>
      <w:r w:rsidRPr="4C8EF378">
        <w:rPr>
          <w:rFonts w:eastAsia="Arial"/>
        </w:rPr>
        <w:t xml:space="preserve"> Human case notifications of infection caused by </w:t>
      </w:r>
      <w:r w:rsidR="00D43843">
        <w:rPr>
          <w:rFonts w:eastAsia="Arial"/>
        </w:rPr>
        <w:t xml:space="preserve">three </w:t>
      </w:r>
      <w:r w:rsidRPr="4C8EF378">
        <w:rPr>
          <w:rFonts w:eastAsia="Arial"/>
        </w:rPr>
        <w:t>foodborne pathogens in Victoria</w:t>
      </w:r>
      <w:r w:rsidR="00101BC4">
        <w:rPr>
          <w:rFonts w:eastAsia="Arial"/>
        </w:rPr>
        <w:t xml:space="preserve"> 2010 </w:t>
      </w:r>
      <w:r w:rsidR="009B18AE">
        <w:rPr>
          <w:rFonts w:eastAsia="Arial"/>
        </w:rPr>
        <w:t>to</w:t>
      </w:r>
      <w:r w:rsidR="00101BC4">
        <w:rPr>
          <w:rFonts w:eastAsia="Arial"/>
        </w:rPr>
        <w:t xml:space="preserve"> 2019</w:t>
      </w:r>
    </w:p>
    <w:p w14:paraId="2C4904E1" w14:textId="0A0A7C69" w:rsidR="00D43843" w:rsidRPr="00D43843" w:rsidRDefault="00D43843" w:rsidP="00D43843">
      <w:pPr>
        <w:pStyle w:val="Body"/>
        <w:rPr>
          <w:b/>
          <w:bCs/>
        </w:rPr>
      </w:pPr>
      <w:r w:rsidRPr="00D43843">
        <w:rPr>
          <w:b/>
          <w:bCs/>
        </w:rPr>
        <w:t xml:space="preserve">Chapter 5 – Table 1 (part </w:t>
      </w:r>
      <w:r>
        <w:rPr>
          <w:b/>
          <w:bCs/>
        </w:rPr>
        <w:t>1</w:t>
      </w:r>
      <w:r w:rsidRPr="00D43843">
        <w:rPr>
          <w:b/>
          <w:bCs/>
        </w:rPr>
        <w:t>)</w:t>
      </w:r>
    </w:p>
    <w:tbl>
      <w:tblPr>
        <w:tblStyle w:val="TableGrid"/>
        <w:tblW w:w="0" w:type="auto"/>
        <w:tblLook w:val="04A0" w:firstRow="1" w:lastRow="0" w:firstColumn="1" w:lastColumn="0" w:noHBand="0" w:noVBand="1"/>
      </w:tblPr>
      <w:tblGrid>
        <w:gridCol w:w="4644"/>
        <w:gridCol w:w="4644"/>
      </w:tblGrid>
      <w:tr w:rsidR="00850271" w14:paraId="05082385" w14:textId="77777777" w:rsidTr="00850271">
        <w:tc>
          <w:tcPr>
            <w:tcW w:w="4644" w:type="dxa"/>
          </w:tcPr>
          <w:p w14:paraId="1513E2D8" w14:textId="7CD2AAC1" w:rsidR="00850271" w:rsidRPr="00664ABF" w:rsidRDefault="00850271" w:rsidP="003671B2">
            <w:pPr>
              <w:pStyle w:val="Body"/>
            </w:pPr>
            <w:r w:rsidRPr="00664ABF">
              <w:rPr>
                <w:rFonts w:cs="Arial"/>
                <w:b/>
                <w:bCs/>
                <w:szCs w:val="21"/>
              </w:rPr>
              <w:t>Foodborne Pathogen Name: Campylobacter</w:t>
            </w:r>
          </w:p>
        </w:tc>
        <w:tc>
          <w:tcPr>
            <w:tcW w:w="4644" w:type="dxa"/>
          </w:tcPr>
          <w:p w14:paraId="36F235D6" w14:textId="5F6F6F4F" w:rsidR="00850271" w:rsidRPr="00850271" w:rsidRDefault="00850271" w:rsidP="003671B2">
            <w:pPr>
              <w:pStyle w:val="Body"/>
              <w:rPr>
                <w:b/>
                <w:bCs/>
              </w:rPr>
            </w:pPr>
            <w:r w:rsidRPr="00850271">
              <w:rPr>
                <w:b/>
                <w:bCs/>
              </w:rPr>
              <w:t>Number of Human Case Notifications by Year</w:t>
            </w:r>
          </w:p>
        </w:tc>
      </w:tr>
      <w:tr w:rsidR="00850271" w14:paraId="3D15801E" w14:textId="77777777" w:rsidTr="00AF3F76">
        <w:tc>
          <w:tcPr>
            <w:tcW w:w="4644" w:type="dxa"/>
          </w:tcPr>
          <w:p w14:paraId="0C25069F" w14:textId="49C3D9BF" w:rsidR="00850271" w:rsidRPr="00664ABF" w:rsidRDefault="00850271" w:rsidP="00850271">
            <w:pPr>
              <w:pStyle w:val="Body"/>
              <w:rPr>
                <w:bCs/>
              </w:rPr>
            </w:pPr>
            <w:r w:rsidRPr="00664ABF">
              <w:rPr>
                <w:rFonts w:cs="Arial"/>
                <w:bCs/>
                <w:szCs w:val="21"/>
              </w:rPr>
              <w:t>2010</w:t>
            </w:r>
          </w:p>
        </w:tc>
        <w:tc>
          <w:tcPr>
            <w:tcW w:w="4644" w:type="dxa"/>
            <w:vAlign w:val="center"/>
          </w:tcPr>
          <w:p w14:paraId="037BBD30" w14:textId="54740297" w:rsidR="00850271" w:rsidRDefault="00850271" w:rsidP="00850271">
            <w:pPr>
              <w:pStyle w:val="Body"/>
            </w:pPr>
            <w:r w:rsidRPr="00FC5932">
              <w:rPr>
                <w:rFonts w:cs="Arial"/>
                <w:sz w:val="20"/>
              </w:rPr>
              <w:t>6,636</w:t>
            </w:r>
          </w:p>
        </w:tc>
      </w:tr>
      <w:tr w:rsidR="00850271" w14:paraId="7DE799F9" w14:textId="77777777" w:rsidTr="00850271">
        <w:tc>
          <w:tcPr>
            <w:tcW w:w="4644" w:type="dxa"/>
          </w:tcPr>
          <w:p w14:paraId="24475174" w14:textId="79047E7D" w:rsidR="00850271" w:rsidRPr="00664ABF" w:rsidRDefault="00850271" w:rsidP="00850271">
            <w:pPr>
              <w:pStyle w:val="Body"/>
              <w:rPr>
                <w:bCs/>
              </w:rPr>
            </w:pPr>
            <w:r w:rsidRPr="00664ABF">
              <w:rPr>
                <w:bCs/>
              </w:rPr>
              <w:t>2011</w:t>
            </w:r>
          </w:p>
        </w:tc>
        <w:tc>
          <w:tcPr>
            <w:tcW w:w="4644" w:type="dxa"/>
          </w:tcPr>
          <w:p w14:paraId="5F0C8217" w14:textId="31345A1E" w:rsidR="00850271" w:rsidRDefault="00850271" w:rsidP="00850271">
            <w:pPr>
              <w:pStyle w:val="Body"/>
            </w:pPr>
            <w:r w:rsidRPr="00FC5932">
              <w:rPr>
                <w:rFonts w:cs="Arial"/>
                <w:sz w:val="20"/>
              </w:rPr>
              <w:t>6,798</w:t>
            </w:r>
          </w:p>
        </w:tc>
      </w:tr>
      <w:tr w:rsidR="00850271" w14:paraId="06785FDA" w14:textId="77777777" w:rsidTr="00850271">
        <w:tc>
          <w:tcPr>
            <w:tcW w:w="4644" w:type="dxa"/>
          </w:tcPr>
          <w:p w14:paraId="390ADBB2" w14:textId="23ED68FD" w:rsidR="00850271" w:rsidRPr="00664ABF" w:rsidRDefault="00850271" w:rsidP="00850271">
            <w:pPr>
              <w:pStyle w:val="Body"/>
              <w:rPr>
                <w:bCs/>
              </w:rPr>
            </w:pPr>
            <w:r w:rsidRPr="00664ABF">
              <w:rPr>
                <w:bCs/>
              </w:rPr>
              <w:t>2012</w:t>
            </w:r>
          </w:p>
        </w:tc>
        <w:tc>
          <w:tcPr>
            <w:tcW w:w="4644" w:type="dxa"/>
          </w:tcPr>
          <w:p w14:paraId="709B076A" w14:textId="39E5D1F6" w:rsidR="00850271" w:rsidRDefault="00850271" w:rsidP="00850271">
            <w:pPr>
              <w:pStyle w:val="Body"/>
            </w:pPr>
            <w:r w:rsidRPr="00FC5932">
              <w:rPr>
                <w:rFonts w:cs="Arial"/>
                <w:sz w:val="20"/>
              </w:rPr>
              <w:t>6,004</w:t>
            </w:r>
          </w:p>
        </w:tc>
      </w:tr>
      <w:tr w:rsidR="00850271" w14:paraId="7BA66E6C" w14:textId="77777777" w:rsidTr="00850271">
        <w:tc>
          <w:tcPr>
            <w:tcW w:w="4644" w:type="dxa"/>
          </w:tcPr>
          <w:p w14:paraId="5301E8DD" w14:textId="47E04F75" w:rsidR="00850271" w:rsidRPr="00664ABF" w:rsidRDefault="00850271" w:rsidP="00850271">
            <w:pPr>
              <w:pStyle w:val="Body"/>
              <w:rPr>
                <w:bCs/>
              </w:rPr>
            </w:pPr>
            <w:r w:rsidRPr="00664ABF">
              <w:rPr>
                <w:bCs/>
              </w:rPr>
              <w:t>2013</w:t>
            </w:r>
          </w:p>
        </w:tc>
        <w:tc>
          <w:tcPr>
            <w:tcW w:w="4644" w:type="dxa"/>
          </w:tcPr>
          <w:p w14:paraId="0B4F48BF" w14:textId="5A0AA01D" w:rsidR="00850271" w:rsidRDefault="00850271" w:rsidP="00850271">
            <w:pPr>
              <w:pStyle w:val="Body"/>
            </w:pPr>
            <w:r w:rsidRPr="00FC5932">
              <w:rPr>
                <w:rFonts w:cs="Arial"/>
                <w:sz w:val="20"/>
              </w:rPr>
              <w:t>5,890</w:t>
            </w:r>
          </w:p>
        </w:tc>
      </w:tr>
      <w:tr w:rsidR="00850271" w14:paraId="4D154842" w14:textId="77777777" w:rsidTr="00850271">
        <w:tc>
          <w:tcPr>
            <w:tcW w:w="4644" w:type="dxa"/>
          </w:tcPr>
          <w:p w14:paraId="3AE7176D" w14:textId="777C03C5" w:rsidR="00850271" w:rsidRPr="00664ABF" w:rsidRDefault="00850271" w:rsidP="00850271">
            <w:pPr>
              <w:pStyle w:val="Body"/>
              <w:rPr>
                <w:bCs/>
              </w:rPr>
            </w:pPr>
            <w:r w:rsidRPr="00664ABF">
              <w:rPr>
                <w:bCs/>
              </w:rPr>
              <w:t>2014</w:t>
            </w:r>
          </w:p>
        </w:tc>
        <w:tc>
          <w:tcPr>
            <w:tcW w:w="4644" w:type="dxa"/>
          </w:tcPr>
          <w:p w14:paraId="4E7A838B" w14:textId="56067E3B" w:rsidR="00850271" w:rsidRDefault="00850271" w:rsidP="00850271">
            <w:pPr>
              <w:pStyle w:val="Body"/>
            </w:pPr>
            <w:r w:rsidRPr="00FC5932">
              <w:rPr>
                <w:rFonts w:cs="Arial"/>
                <w:sz w:val="20"/>
              </w:rPr>
              <w:t>7,236</w:t>
            </w:r>
          </w:p>
        </w:tc>
      </w:tr>
      <w:tr w:rsidR="00850271" w14:paraId="2444FE31" w14:textId="77777777" w:rsidTr="00850271">
        <w:tc>
          <w:tcPr>
            <w:tcW w:w="4644" w:type="dxa"/>
          </w:tcPr>
          <w:p w14:paraId="4481E0DF" w14:textId="26AF1F78" w:rsidR="00850271" w:rsidRPr="00664ABF" w:rsidRDefault="00850271" w:rsidP="00850271">
            <w:pPr>
              <w:pStyle w:val="Body"/>
              <w:rPr>
                <w:bCs/>
              </w:rPr>
            </w:pPr>
            <w:r w:rsidRPr="00664ABF">
              <w:rPr>
                <w:bCs/>
              </w:rPr>
              <w:t>2015</w:t>
            </w:r>
          </w:p>
        </w:tc>
        <w:tc>
          <w:tcPr>
            <w:tcW w:w="4644" w:type="dxa"/>
          </w:tcPr>
          <w:p w14:paraId="459C9D22" w14:textId="2809C988" w:rsidR="00850271" w:rsidRDefault="00850271" w:rsidP="00850271">
            <w:pPr>
              <w:pStyle w:val="Body"/>
            </w:pPr>
            <w:r w:rsidRPr="00FC5932">
              <w:rPr>
                <w:rFonts w:cs="Arial"/>
                <w:sz w:val="20"/>
              </w:rPr>
              <w:t>8,243</w:t>
            </w:r>
          </w:p>
        </w:tc>
      </w:tr>
      <w:tr w:rsidR="00850271" w14:paraId="4913F3AB" w14:textId="77777777" w:rsidTr="00850271">
        <w:tc>
          <w:tcPr>
            <w:tcW w:w="4644" w:type="dxa"/>
          </w:tcPr>
          <w:p w14:paraId="05D8534E" w14:textId="1C88E152" w:rsidR="00850271" w:rsidRPr="00664ABF" w:rsidRDefault="00850271" w:rsidP="00850271">
            <w:pPr>
              <w:pStyle w:val="Body"/>
              <w:rPr>
                <w:bCs/>
              </w:rPr>
            </w:pPr>
            <w:r w:rsidRPr="00664ABF">
              <w:rPr>
                <w:bCs/>
              </w:rPr>
              <w:t>2016</w:t>
            </w:r>
          </w:p>
        </w:tc>
        <w:tc>
          <w:tcPr>
            <w:tcW w:w="4644" w:type="dxa"/>
          </w:tcPr>
          <w:p w14:paraId="57007EF9" w14:textId="5D235FB6" w:rsidR="00850271" w:rsidRDefault="00850271" w:rsidP="00850271">
            <w:pPr>
              <w:pStyle w:val="Body"/>
            </w:pPr>
            <w:r w:rsidRPr="00FC5932">
              <w:rPr>
                <w:rFonts w:cs="Arial"/>
                <w:sz w:val="20"/>
              </w:rPr>
              <w:t>8,238</w:t>
            </w:r>
          </w:p>
        </w:tc>
      </w:tr>
      <w:tr w:rsidR="00850271" w14:paraId="0A5A6636" w14:textId="77777777" w:rsidTr="00850271">
        <w:tc>
          <w:tcPr>
            <w:tcW w:w="4644" w:type="dxa"/>
          </w:tcPr>
          <w:p w14:paraId="1D77BF77" w14:textId="4171A512" w:rsidR="00850271" w:rsidRPr="00664ABF" w:rsidRDefault="00850271" w:rsidP="00850271">
            <w:pPr>
              <w:pStyle w:val="Body"/>
              <w:rPr>
                <w:bCs/>
              </w:rPr>
            </w:pPr>
            <w:r w:rsidRPr="00664ABF">
              <w:rPr>
                <w:bCs/>
              </w:rPr>
              <w:t>2017</w:t>
            </w:r>
          </w:p>
        </w:tc>
        <w:tc>
          <w:tcPr>
            <w:tcW w:w="4644" w:type="dxa"/>
          </w:tcPr>
          <w:p w14:paraId="15F8F1A1" w14:textId="54EE56ED" w:rsidR="00850271" w:rsidRDefault="00850271" w:rsidP="00850271">
            <w:pPr>
              <w:pStyle w:val="Body"/>
            </w:pPr>
            <w:r w:rsidRPr="00FC5932">
              <w:rPr>
                <w:rFonts w:cs="Arial"/>
                <w:sz w:val="20"/>
              </w:rPr>
              <w:t>6,863</w:t>
            </w:r>
          </w:p>
        </w:tc>
      </w:tr>
      <w:tr w:rsidR="00850271" w14:paraId="580A7C0E" w14:textId="77777777" w:rsidTr="00850271">
        <w:tc>
          <w:tcPr>
            <w:tcW w:w="4644" w:type="dxa"/>
          </w:tcPr>
          <w:p w14:paraId="0B7C4D23" w14:textId="3267F5BA" w:rsidR="00850271" w:rsidRPr="00664ABF" w:rsidRDefault="00850271" w:rsidP="00850271">
            <w:pPr>
              <w:pStyle w:val="Body"/>
              <w:rPr>
                <w:bCs/>
              </w:rPr>
            </w:pPr>
            <w:r w:rsidRPr="00664ABF">
              <w:rPr>
                <w:bCs/>
              </w:rPr>
              <w:t>2018</w:t>
            </w:r>
          </w:p>
        </w:tc>
        <w:tc>
          <w:tcPr>
            <w:tcW w:w="4644" w:type="dxa"/>
          </w:tcPr>
          <w:p w14:paraId="3AA7F262" w14:textId="7BEEE0B2" w:rsidR="00850271" w:rsidRDefault="00850271" w:rsidP="00850271">
            <w:pPr>
              <w:pStyle w:val="Body"/>
            </w:pPr>
            <w:r w:rsidRPr="00FC5932">
              <w:rPr>
                <w:rFonts w:cs="Arial"/>
                <w:sz w:val="20"/>
              </w:rPr>
              <w:t>6</w:t>
            </w:r>
            <w:r>
              <w:rPr>
                <w:rFonts w:cs="Arial"/>
                <w:sz w:val="20"/>
              </w:rPr>
              <w:t>,</w:t>
            </w:r>
            <w:r w:rsidRPr="00FC5932">
              <w:rPr>
                <w:rFonts w:cs="Arial"/>
                <w:sz w:val="20"/>
              </w:rPr>
              <w:t>669</w:t>
            </w:r>
          </w:p>
        </w:tc>
      </w:tr>
      <w:tr w:rsidR="00850271" w14:paraId="398DDEDC" w14:textId="77777777" w:rsidTr="00850271">
        <w:tc>
          <w:tcPr>
            <w:tcW w:w="4644" w:type="dxa"/>
          </w:tcPr>
          <w:p w14:paraId="25FCCC21" w14:textId="00374740" w:rsidR="00850271" w:rsidRPr="00664ABF" w:rsidRDefault="00850271" w:rsidP="00850271">
            <w:pPr>
              <w:pStyle w:val="Body"/>
              <w:rPr>
                <w:bCs/>
              </w:rPr>
            </w:pPr>
            <w:r w:rsidRPr="00664ABF">
              <w:rPr>
                <w:bCs/>
              </w:rPr>
              <w:t>2019</w:t>
            </w:r>
          </w:p>
        </w:tc>
        <w:tc>
          <w:tcPr>
            <w:tcW w:w="4644" w:type="dxa"/>
          </w:tcPr>
          <w:p w14:paraId="6E2FC462" w14:textId="750271BB" w:rsidR="00850271" w:rsidRDefault="00850271" w:rsidP="00850271">
            <w:pPr>
              <w:pStyle w:val="Body"/>
            </w:pPr>
            <w:r w:rsidRPr="00FC5932">
              <w:rPr>
                <w:rFonts w:cs="Arial"/>
                <w:sz w:val="20"/>
              </w:rPr>
              <w:t>7</w:t>
            </w:r>
            <w:r>
              <w:rPr>
                <w:rFonts w:cs="Arial"/>
                <w:sz w:val="20"/>
              </w:rPr>
              <w:t>,</w:t>
            </w:r>
            <w:r w:rsidRPr="00FC5932">
              <w:rPr>
                <w:rFonts w:cs="Arial"/>
                <w:sz w:val="20"/>
              </w:rPr>
              <w:t>292</w:t>
            </w:r>
          </w:p>
        </w:tc>
      </w:tr>
    </w:tbl>
    <w:p w14:paraId="0D77BA4F" w14:textId="77777777" w:rsidR="00D43843" w:rsidRDefault="00D43843" w:rsidP="00F3219C">
      <w:pPr>
        <w:pStyle w:val="Body"/>
        <w:rPr>
          <w:b/>
          <w:bCs/>
        </w:rPr>
      </w:pPr>
    </w:p>
    <w:p w14:paraId="4533259E" w14:textId="13FE036F" w:rsidR="00D43843" w:rsidRPr="00D43843" w:rsidRDefault="00D43843" w:rsidP="00D43843">
      <w:pPr>
        <w:pStyle w:val="Body"/>
        <w:rPr>
          <w:b/>
          <w:bCs/>
        </w:rPr>
      </w:pPr>
      <w:r w:rsidRPr="00D43843">
        <w:rPr>
          <w:b/>
          <w:bCs/>
        </w:rPr>
        <w:t xml:space="preserve">Chapter 5 – Table 1 (part </w:t>
      </w:r>
      <w:r>
        <w:rPr>
          <w:b/>
          <w:bCs/>
        </w:rPr>
        <w:t>2</w:t>
      </w:r>
      <w:r w:rsidRPr="00D43843">
        <w:rPr>
          <w:b/>
          <w:bCs/>
        </w:rPr>
        <w:t>)</w:t>
      </w:r>
    </w:p>
    <w:tbl>
      <w:tblPr>
        <w:tblStyle w:val="TableGrid"/>
        <w:tblW w:w="0" w:type="auto"/>
        <w:tblLook w:val="04A0" w:firstRow="1" w:lastRow="0" w:firstColumn="1" w:lastColumn="0" w:noHBand="0" w:noVBand="1"/>
      </w:tblPr>
      <w:tblGrid>
        <w:gridCol w:w="4644"/>
        <w:gridCol w:w="4644"/>
      </w:tblGrid>
      <w:tr w:rsidR="00850271" w14:paraId="1D1383FD" w14:textId="77777777" w:rsidTr="00F3219C">
        <w:tc>
          <w:tcPr>
            <w:tcW w:w="4644" w:type="dxa"/>
          </w:tcPr>
          <w:p w14:paraId="10849A71" w14:textId="25689B35" w:rsidR="00850271" w:rsidRPr="00664ABF" w:rsidRDefault="00850271" w:rsidP="00F3219C">
            <w:pPr>
              <w:pStyle w:val="Body"/>
            </w:pPr>
            <w:r w:rsidRPr="00664ABF">
              <w:rPr>
                <w:rFonts w:cs="Arial"/>
                <w:b/>
                <w:bCs/>
                <w:szCs w:val="21"/>
              </w:rPr>
              <w:t>Foodborne Pathogen Name: Listeria</w:t>
            </w:r>
          </w:p>
        </w:tc>
        <w:tc>
          <w:tcPr>
            <w:tcW w:w="4644" w:type="dxa"/>
          </w:tcPr>
          <w:p w14:paraId="4A25895D" w14:textId="77777777" w:rsidR="00850271" w:rsidRPr="00850271" w:rsidRDefault="00850271" w:rsidP="00F3219C">
            <w:pPr>
              <w:pStyle w:val="Body"/>
              <w:rPr>
                <w:b/>
                <w:bCs/>
              </w:rPr>
            </w:pPr>
            <w:r w:rsidRPr="00850271">
              <w:rPr>
                <w:b/>
                <w:bCs/>
              </w:rPr>
              <w:t>Number of Human Case Notifications by Year</w:t>
            </w:r>
          </w:p>
        </w:tc>
      </w:tr>
      <w:tr w:rsidR="00850271" w14:paraId="688787EE" w14:textId="77777777" w:rsidTr="00F3219C">
        <w:tc>
          <w:tcPr>
            <w:tcW w:w="4644" w:type="dxa"/>
          </w:tcPr>
          <w:p w14:paraId="10BB342A" w14:textId="77777777" w:rsidR="00850271" w:rsidRPr="00664ABF" w:rsidRDefault="00850271" w:rsidP="00F3219C">
            <w:pPr>
              <w:pStyle w:val="Body"/>
              <w:rPr>
                <w:bCs/>
              </w:rPr>
            </w:pPr>
            <w:r w:rsidRPr="00664ABF">
              <w:rPr>
                <w:rFonts w:cs="Arial"/>
                <w:bCs/>
                <w:szCs w:val="21"/>
              </w:rPr>
              <w:t>2010</w:t>
            </w:r>
          </w:p>
        </w:tc>
        <w:tc>
          <w:tcPr>
            <w:tcW w:w="4644" w:type="dxa"/>
          </w:tcPr>
          <w:p w14:paraId="78CCEC06" w14:textId="57EA77E9" w:rsidR="00850271" w:rsidRDefault="00850271" w:rsidP="00F3219C">
            <w:pPr>
              <w:pStyle w:val="Body"/>
            </w:pPr>
            <w:r w:rsidRPr="00FC5932">
              <w:rPr>
                <w:rFonts w:cs="Arial"/>
                <w:sz w:val="20"/>
              </w:rPr>
              <w:t>28</w:t>
            </w:r>
          </w:p>
        </w:tc>
      </w:tr>
      <w:tr w:rsidR="00850271" w14:paraId="16C833B9" w14:textId="77777777" w:rsidTr="00F3219C">
        <w:tc>
          <w:tcPr>
            <w:tcW w:w="4644" w:type="dxa"/>
          </w:tcPr>
          <w:p w14:paraId="3276A914" w14:textId="77777777" w:rsidR="00850271" w:rsidRPr="00664ABF" w:rsidRDefault="00850271" w:rsidP="00F3219C">
            <w:pPr>
              <w:pStyle w:val="Body"/>
              <w:rPr>
                <w:bCs/>
              </w:rPr>
            </w:pPr>
            <w:r w:rsidRPr="00664ABF">
              <w:rPr>
                <w:bCs/>
              </w:rPr>
              <w:t>2011</w:t>
            </w:r>
          </w:p>
        </w:tc>
        <w:tc>
          <w:tcPr>
            <w:tcW w:w="4644" w:type="dxa"/>
          </w:tcPr>
          <w:p w14:paraId="0D412229" w14:textId="7BBFEC82" w:rsidR="00850271" w:rsidRDefault="00850271" w:rsidP="00F3219C">
            <w:pPr>
              <w:pStyle w:val="Body"/>
            </w:pPr>
            <w:r w:rsidRPr="00FC5932">
              <w:rPr>
                <w:rFonts w:cs="Arial"/>
                <w:sz w:val="20"/>
              </w:rPr>
              <w:t>19</w:t>
            </w:r>
          </w:p>
        </w:tc>
      </w:tr>
      <w:tr w:rsidR="00850271" w14:paraId="631B131B" w14:textId="77777777" w:rsidTr="00F3219C">
        <w:tc>
          <w:tcPr>
            <w:tcW w:w="4644" w:type="dxa"/>
          </w:tcPr>
          <w:p w14:paraId="1974F5DC" w14:textId="77777777" w:rsidR="00850271" w:rsidRPr="00664ABF" w:rsidRDefault="00850271" w:rsidP="00F3219C">
            <w:pPr>
              <w:pStyle w:val="Body"/>
              <w:rPr>
                <w:bCs/>
              </w:rPr>
            </w:pPr>
            <w:r w:rsidRPr="00664ABF">
              <w:rPr>
                <w:bCs/>
              </w:rPr>
              <w:t>2012</w:t>
            </w:r>
          </w:p>
        </w:tc>
        <w:tc>
          <w:tcPr>
            <w:tcW w:w="4644" w:type="dxa"/>
          </w:tcPr>
          <w:p w14:paraId="3708AE7F" w14:textId="638CAF29" w:rsidR="00850271" w:rsidRDefault="00850271" w:rsidP="00F3219C">
            <w:pPr>
              <w:pStyle w:val="Body"/>
            </w:pPr>
            <w:r w:rsidRPr="00FC5932">
              <w:rPr>
                <w:rFonts w:cs="Arial"/>
                <w:sz w:val="20"/>
              </w:rPr>
              <w:t>35</w:t>
            </w:r>
          </w:p>
        </w:tc>
      </w:tr>
      <w:tr w:rsidR="00850271" w14:paraId="151DA64E" w14:textId="77777777" w:rsidTr="00F3219C">
        <w:tc>
          <w:tcPr>
            <w:tcW w:w="4644" w:type="dxa"/>
          </w:tcPr>
          <w:p w14:paraId="20B8CBE7" w14:textId="77777777" w:rsidR="00850271" w:rsidRPr="00664ABF" w:rsidRDefault="00850271" w:rsidP="00F3219C">
            <w:pPr>
              <w:pStyle w:val="Body"/>
              <w:rPr>
                <w:bCs/>
              </w:rPr>
            </w:pPr>
            <w:r w:rsidRPr="00664ABF">
              <w:rPr>
                <w:bCs/>
              </w:rPr>
              <w:t>2013</w:t>
            </w:r>
          </w:p>
        </w:tc>
        <w:tc>
          <w:tcPr>
            <w:tcW w:w="4644" w:type="dxa"/>
          </w:tcPr>
          <w:p w14:paraId="6C730F44" w14:textId="7E83ABC7" w:rsidR="00850271" w:rsidRDefault="00850271" w:rsidP="00F3219C">
            <w:pPr>
              <w:pStyle w:val="Body"/>
            </w:pPr>
            <w:r w:rsidRPr="00FC5932">
              <w:rPr>
                <w:rFonts w:cs="Arial"/>
                <w:sz w:val="20"/>
              </w:rPr>
              <w:t>24</w:t>
            </w:r>
          </w:p>
        </w:tc>
      </w:tr>
      <w:tr w:rsidR="00850271" w14:paraId="37D71F83" w14:textId="77777777" w:rsidTr="00F3219C">
        <w:tc>
          <w:tcPr>
            <w:tcW w:w="4644" w:type="dxa"/>
          </w:tcPr>
          <w:p w14:paraId="2D81C8E4" w14:textId="77777777" w:rsidR="00850271" w:rsidRPr="00664ABF" w:rsidRDefault="00850271" w:rsidP="00F3219C">
            <w:pPr>
              <w:pStyle w:val="Body"/>
              <w:rPr>
                <w:bCs/>
              </w:rPr>
            </w:pPr>
            <w:r w:rsidRPr="00664ABF">
              <w:rPr>
                <w:bCs/>
              </w:rPr>
              <w:t>2014</w:t>
            </w:r>
          </w:p>
        </w:tc>
        <w:tc>
          <w:tcPr>
            <w:tcW w:w="4644" w:type="dxa"/>
          </w:tcPr>
          <w:p w14:paraId="6704A266" w14:textId="063FB1B1" w:rsidR="00850271" w:rsidRDefault="00811A39" w:rsidP="00F3219C">
            <w:pPr>
              <w:pStyle w:val="Body"/>
            </w:pPr>
            <w:r w:rsidRPr="00FC5932">
              <w:rPr>
                <w:rFonts w:cs="Arial"/>
                <w:sz w:val="20"/>
              </w:rPr>
              <w:t>21</w:t>
            </w:r>
          </w:p>
        </w:tc>
      </w:tr>
      <w:tr w:rsidR="00850271" w14:paraId="036AD1C1" w14:textId="77777777" w:rsidTr="00F3219C">
        <w:tc>
          <w:tcPr>
            <w:tcW w:w="4644" w:type="dxa"/>
          </w:tcPr>
          <w:p w14:paraId="52E0B31D" w14:textId="77777777" w:rsidR="00850271" w:rsidRPr="00664ABF" w:rsidRDefault="00850271" w:rsidP="00F3219C">
            <w:pPr>
              <w:pStyle w:val="Body"/>
              <w:rPr>
                <w:bCs/>
              </w:rPr>
            </w:pPr>
            <w:r w:rsidRPr="00664ABF">
              <w:rPr>
                <w:bCs/>
              </w:rPr>
              <w:t>2015</w:t>
            </w:r>
          </w:p>
        </w:tc>
        <w:tc>
          <w:tcPr>
            <w:tcW w:w="4644" w:type="dxa"/>
          </w:tcPr>
          <w:p w14:paraId="1144472A" w14:textId="176B7F1B" w:rsidR="00850271" w:rsidRDefault="00811A39" w:rsidP="00F3219C">
            <w:pPr>
              <w:pStyle w:val="Body"/>
            </w:pPr>
            <w:r w:rsidRPr="00FC5932">
              <w:rPr>
                <w:rFonts w:cs="Arial"/>
                <w:sz w:val="20"/>
              </w:rPr>
              <w:t>22</w:t>
            </w:r>
          </w:p>
        </w:tc>
      </w:tr>
      <w:tr w:rsidR="00850271" w14:paraId="4BB791F8" w14:textId="77777777" w:rsidTr="00F3219C">
        <w:tc>
          <w:tcPr>
            <w:tcW w:w="4644" w:type="dxa"/>
          </w:tcPr>
          <w:p w14:paraId="33FD9522" w14:textId="77777777" w:rsidR="00850271" w:rsidRPr="00664ABF" w:rsidRDefault="00850271" w:rsidP="00F3219C">
            <w:pPr>
              <w:pStyle w:val="Body"/>
              <w:rPr>
                <w:bCs/>
              </w:rPr>
            </w:pPr>
            <w:r w:rsidRPr="00664ABF">
              <w:rPr>
                <w:bCs/>
              </w:rPr>
              <w:t>2016</w:t>
            </w:r>
          </w:p>
        </w:tc>
        <w:tc>
          <w:tcPr>
            <w:tcW w:w="4644" w:type="dxa"/>
          </w:tcPr>
          <w:p w14:paraId="224EFFC9" w14:textId="523E28CA" w:rsidR="00850271" w:rsidRDefault="00811A39" w:rsidP="00F3219C">
            <w:pPr>
              <w:pStyle w:val="Body"/>
            </w:pPr>
            <w:r w:rsidRPr="00FC5932">
              <w:rPr>
                <w:rFonts w:cs="Arial"/>
                <w:sz w:val="20"/>
              </w:rPr>
              <w:t>25</w:t>
            </w:r>
          </w:p>
        </w:tc>
      </w:tr>
      <w:tr w:rsidR="00850271" w14:paraId="5581CC21" w14:textId="77777777" w:rsidTr="00F3219C">
        <w:tc>
          <w:tcPr>
            <w:tcW w:w="4644" w:type="dxa"/>
          </w:tcPr>
          <w:p w14:paraId="5C67A9AA" w14:textId="77777777" w:rsidR="00850271" w:rsidRPr="00664ABF" w:rsidRDefault="00850271" w:rsidP="00F3219C">
            <w:pPr>
              <w:pStyle w:val="Body"/>
              <w:rPr>
                <w:bCs/>
              </w:rPr>
            </w:pPr>
            <w:r w:rsidRPr="00664ABF">
              <w:rPr>
                <w:bCs/>
              </w:rPr>
              <w:t>2017</w:t>
            </w:r>
          </w:p>
        </w:tc>
        <w:tc>
          <w:tcPr>
            <w:tcW w:w="4644" w:type="dxa"/>
          </w:tcPr>
          <w:p w14:paraId="0FE4BF0B" w14:textId="3AD5AC72" w:rsidR="00850271" w:rsidRDefault="00811A39" w:rsidP="00F3219C">
            <w:pPr>
              <w:pStyle w:val="Body"/>
            </w:pPr>
            <w:r w:rsidRPr="00FC5932">
              <w:rPr>
                <w:rFonts w:cs="Arial"/>
                <w:sz w:val="20"/>
              </w:rPr>
              <w:t>19</w:t>
            </w:r>
          </w:p>
        </w:tc>
      </w:tr>
      <w:tr w:rsidR="00850271" w14:paraId="11FCEC7F" w14:textId="77777777" w:rsidTr="00F3219C">
        <w:tc>
          <w:tcPr>
            <w:tcW w:w="4644" w:type="dxa"/>
          </w:tcPr>
          <w:p w14:paraId="6F810499" w14:textId="77777777" w:rsidR="00850271" w:rsidRPr="00664ABF" w:rsidRDefault="00850271" w:rsidP="00F3219C">
            <w:pPr>
              <w:pStyle w:val="Body"/>
              <w:rPr>
                <w:bCs/>
              </w:rPr>
            </w:pPr>
            <w:r w:rsidRPr="00664ABF">
              <w:rPr>
                <w:bCs/>
              </w:rPr>
              <w:t>2018</w:t>
            </w:r>
          </w:p>
        </w:tc>
        <w:tc>
          <w:tcPr>
            <w:tcW w:w="4644" w:type="dxa"/>
          </w:tcPr>
          <w:p w14:paraId="439A5007" w14:textId="731394EA" w:rsidR="00850271" w:rsidRDefault="00811A39" w:rsidP="00F3219C">
            <w:pPr>
              <w:pStyle w:val="Body"/>
            </w:pPr>
            <w:r w:rsidRPr="00FC5932">
              <w:rPr>
                <w:rFonts w:cs="Arial"/>
                <w:sz w:val="20"/>
              </w:rPr>
              <w:t>27</w:t>
            </w:r>
          </w:p>
        </w:tc>
      </w:tr>
      <w:tr w:rsidR="00850271" w14:paraId="480740C0" w14:textId="77777777" w:rsidTr="00F3219C">
        <w:tc>
          <w:tcPr>
            <w:tcW w:w="4644" w:type="dxa"/>
          </w:tcPr>
          <w:p w14:paraId="2F097059" w14:textId="77777777" w:rsidR="00850271" w:rsidRPr="00664ABF" w:rsidRDefault="00850271" w:rsidP="00F3219C">
            <w:pPr>
              <w:pStyle w:val="Body"/>
              <w:rPr>
                <w:bCs/>
              </w:rPr>
            </w:pPr>
            <w:r w:rsidRPr="00664ABF">
              <w:rPr>
                <w:bCs/>
              </w:rPr>
              <w:t>2019</w:t>
            </w:r>
          </w:p>
        </w:tc>
        <w:tc>
          <w:tcPr>
            <w:tcW w:w="4644" w:type="dxa"/>
          </w:tcPr>
          <w:p w14:paraId="1827C041" w14:textId="6EEA4E28" w:rsidR="00850271" w:rsidRDefault="00811A39" w:rsidP="00F3219C">
            <w:pPr>
              <w:pStyle w:val="Body"/>
            </w:pPr>
            <w:r w:rsidRPr="00FC5932">
              <w:rPr>
                <w:rFonts w:cs="Arial"/>
                <w:sz w:val="20"/>
              </w:rPr>
              <w:t>12</w:t>
            </w:r>
          </w:p>
        </w:tc>
      </w:tr>
    </w:tbl>
    <w:p w14:paraId="46C2277C" w14:textId="07560DDD" w:rsidR="00101BC4" w:rsidRDefault="00101BC4" w:rsidP="00D43843">
      <w:pPr>
        <w:pStyle w:val="Body"/>
        <w:rPr>
          <w:b/>
          <w:bCs/>
        </w:rPr>
      </w:pPr>
    </w:p>
    <w:p w14:paraId="0B5E84D8" w14:textId="77777777" w:rsidR="00101BC4" w:rsidRDefault="00101BC4">
      <w:pPr>
        <w:spacing w:after="0" w:line="240" w:lineRule="auto"/>
        <w:rPr>
          <w:rFonts w:eastAsia="Times"/>
          <w:b/>
          <w:bCs/>
        </w:rPr>
      </w:pPr>
      <w:r>
        <w:rPr>
          <w:b/>
          <w:bCs/>
        </w:rPr>
        <w:br w:type="page"/>
      </w:r>
    </w:p>
    <w:p w14:paraId="5D775CF5" w14:textId="57D0E73F" w:rsidR="00D43843" w:rsidRPr="00D43843" w:rsidRDefault="00D43843" w:rsidP="00D43843">
      <w:pPr>
        <w:pStyle w:val="Body"/>
        <w:rPr>
          <w:b/>
          <w:bCs/>
        </w:rPr>
      </w:pPr>
      <w:r w:rsidRPr="00D43843">
        <w:rPr>
          <w:b/>
          <w:bCs/>
        </w:rPr>
        <w:lastRenderedPageBreak/>
        <w:t>Chapter 5 – Table 1 (part 3)</w:t>
      </w:r>
    </w:p>
    <w:tbl>
      <w:tblPr>
        <w:tblStyle w:val="TableGrid"/>
        <w:tblW w:w="0" w:type="auto"/>
        <w:tblLook w:val="04A0" w:firstRow="1" w:lastRow="0" w:firstColumn="1" w:lastColumn="0" w:noHBand="0" w:noVBand="1"/>
      </w:tblPr>
      <w:tblGrid>
        <w:gridCol w:w="4644"/>
        <w:gridCol w:w="4644"/>
      </w:tblGrid>
      <w:tr w:rsidR="00850271" w14:paraId="242FEABF" w14:textId="77777777" w:rsidTr="00F3219C">
        <w:tc>
          <w:tcPr>
            <w:tcW w:w="4644" w:type="dxa"/>
          </w:tcPr>
          <w:p w14:paraId="17EDA36E" w14:textId="28051869" w:rsidR="00850271" w:rsidRPr="00664ABF" w:rsidRDefault="00850271" w:rsidP="00F3219C">
            <w:pPr>
              <w:pStyle w:val="Body"/>
            </w:pPr>
            <w:r w:rsidRPr="00664ABF">
              <w:rPr>
                <w:rFonts w:cs="Arial"/>
                <w:b/>
                <w:bCs/>
                <w:szCs w:val="21"/>
              </w:rPr>
              <w:t>Foodborne Pathogen Name: Salmonella</w:t>
            </w:r>
          </w:p>
        </w:tc>
        <w:tc>
          <w:tcPr>
            <w:tcW w:w="4644" w:type="dxa"/>
          </w:tcPr>
          <w:p w14:paraId="12A37799" w14:textId="77777777" w:rsidR="00850271" w:rsidRPr="00850271" w:rsidRDefault="00850271" w:rsidP="00F3219C">
            <w:pPr>
              <w:pStyle w:val="Body"/>
              <w:rPr>
                <w:b/>
                <w:bCs/>
              </w:rPr>
            </w:pPr>
            <w:r w:rsidRPr="00850271">
              <w:rPr>
                <w:b/>
                <w:bCs/>
              </w:rPr>
              <w:t>Number of Human Case Notifications by Year</w:t>
            </w:r>
          </w:p>
        </w:tc>
      </w:tr>
      <w:tr w:rsidR="00850271" w14:paraId="09D2A7A4" w14:textId="77777777" w:rsidTr="00F3219C">
        <w:tc>
          <w:tcPr>
            <w:tcW w:w="4644" w:type="dxa"/>
          </w:tcPr>
          <w:p w14:paraId="5D4D63C6" w14:textId="77777777" w:rsidR="00850271" w:rsidRPr="00664ABF" w:rsidRDefault="00850271" w:rsidP="00F3219C">
            <w:pPr>
              <w:pStyle w:val="Body"/>
              <w:rPr>
                <w:bCs/>
              </w:rPr>
            </w:pPr>
            <w:r w:rsidRPr="00664ABF">
              <w:rPr>
                <w:rFonts w:cs="Arial"/>
                <w:bCs/>
                <w:szCs w:val="21"/>
              </w:rPr>
              <w:t>2010</w:t>
            </w:r>
          </w:p>
        </w:tc>
        <w:tc>
          <w:tcPr>
            <w:tcW w:w="4644" w:type="dxa"/>
          </w:tcPr>
          <w:p w14:paraId="7CF97A38" w14:textId="4BCD0F7B" w:rsidR="00850271" w:rsidRDefault="00811A39" w:rsidP="00F3219C">
            <w:pPr>
              <w:pStyle w:val="Body"/>
            </w:pPr>
            <w:r w:rsidRPr="00FC5932">
              <w:rPr>
                <w:rFonts w:cs="Arial"/>
                <w:sz w:val="20"/>
              </w:rPr>
              <w:t>2</w:t>
            </w:r>
            <w:r>
              <w:rPr>
                <w:rFonts w:cs="Arial"/>
                <w:sz w:val="20"/>
              </w:rPr>
              <w:t>,</w:t>
            </w:r>
            <w:r w:rsidRPr="00FC5932">
              <w:rPr>
                <w:rFonts w:cs="Arial"/>
                <w:sz w:val="20"/>
              </w:rPr>
              <w:t>262</w:t>
            </w:r>
          </w:p>
        </w:tc>
      </w:tr>
      <w:tr w:rsidR="00850271" w14:paraId="1AF9D423" w14:textId="77777777" w:rsidTr="00F3219C">
        <w:tc>
          <w:tcPr>
            <w:tcW w:w="4644" w:type="dxa"/>
          </w:tcPr>
          <w:p w14:paraId="7175E444" w14:textId="77777777" w:rsidR="00850271" w:rsidRPr="00664ABF" w:rsidRDefault="00850271" w:rsidP="00F3219C">
            <w:pPr>
              <w:pStyle w:val="Body"/>
              <w:rPr>
                <w:bCs/>
              </w:rPr>
            </w:pPr>
            <w:r w:rsidRPr="00664ABF">
              <w:rPr>
                <w:bCs/>
              </w:rPr>
              <w:t>2011</w:t>
            </w:r>
          </w:p>
        </w:tc>
        <w:tc>
          <w:tcPr>
            <w:tcW w:w="4644" w:type="dxa"/>
          </w:tcPr>
          <w:p w14:paraId="52C2EC8E" w14:textId="44E065AC" w:rsidR="00850271" w:rsidRDefault="00811A39" w:rsidP="00F3219C">
            <w:pPr>
              <w:pStyle w:val="Body"/>
            </w:pPr>
            <w:r w:rsidRPr="00FC5932">
              <w:rPr>
                <w:rFonts w:cs="Arial"/>
                <w:sz w:val="20"/>
              </w:rPr>
              <w:t>2</w:t>
            </w:r>
            <w:r>
              <w:rPr>
                <w:rFonts w:cs="Arial"/>
                <w:sz w:val="20"/>
              </w:rPr>
              <w:t>,</w:t>
            </w:r>
            <w:r w:rsidRPr="00FC5932">
              <w:rPr>
                <w:rFonts w:cs="Arial"/>
                <w:sz w:val="20"/>
              </w:rPr>
              <w:t>695</w:t>
            </w:r>
          </w:p>
        </w:tc>
      </w:tr>
      <w:tr w:rsidR="00850271" w14:paraId="15EBDDAA" w14:textId="77777777" w:rsidTr="00F3219C">
        <w:tc>
          <w:tcPr>
            <w:tcW w:w="4644" w:type="dxa"/>
          </w:tcPr>
          <w:p w14:paraId="7D4C004D" w14:textId="77777777" w:rsidR="00850271" w:rsidRPr="00664ABF" w:rsidRDefault="00850271" w:rsidP="00F3219C">
            <w:pPr>
              <w:pStyle w:val="Body"/>
              <w:rPr>
                <w:bCs/>
              </w:rPr>
            </w:pPr>
            <w:r w:rsidRPr="00664ABF">
              <w:rPr>
                <w:bCs/>
              </w:rPr>
              <w:t>2012</w:t>
            </w:r>
          </w:p>
        </w:tc>
        <w:tc>
          <w:tcPr>
            <w:tcW w:w="4644" w:type="dxa"/>
          </w:tcPr>
          <w:p w14:paraId="67B49603" w14:textId="7DF68A09" w:rsidR="00850271" w:rsidRDefault="00811A39" w:rsidP="00F3219C">
            <w:pPr>
              <w:pStyle w:val="Body"/>
            </w:pPr>
            <w:r w:rsidRPr="00FC5932">
              <w:rPr>
                <w:rFonts w:cs="Arial"/>
                <w:sz w:val="20"/>
              </w:rPr>
              <w:t>2</w:t>
            </w:r>
            <w:r>
              <w:rPr>
                <w:rFonts w:cs="Arial"/>
                <w:sz w:val="20"/>
              </w:rPr>
              <w:t>,</w:t>
            </w:r>
            <w:r w:rsidRPr="00FC5932">
              <w:rPr>
                <w:rFonts w:cs="Arial"/>
                <w:sz w:val="20"/>
              </w:rPr>
              <w:t>505</w:t>
            </w:r>
          </w:p>
        </w:tc>
      </w:tr>
      <w:tr w:rsidR="00850271" w14:paraId="1D0274F1" w14:textId="77777777" w:rsidTr="00F3219C">
        <w:tc>
          <w:tcPr>
            <w:tcW w:w="4644" w:type="dxa"/>
          </w:tcPr>
          <w:p w14:paraId="14A37DCE" w14:textId="77777777" w:rsidR="00850271" w:rsidRPr="00664ABF" w:rsidRDefault="00850271" w:rsidP="00F3219C">
            <w:pPr>
              <w:pStyle w:val="Body"/>
              <w:rPr>
                <w:bCs/>
              </w:rPr>
            </w:pPr>
            <w:r w:rsidRPr="00664ABF">
              <w:rPr>
                <w:bCs/>
              </w:rPr>
              <w:t>2013</w:t>
            </w:r>
          </w:p>
        </w:tc>
        <w:tc>
          <w:tcPr>
            <w:tcW w:w="4644" w:type="dxa"/>
          </w:tcPr>
          <w:p w14:paraId="5F1E0068" w14:textId="51227A58" w:rsidR="00850271" w:rsidRDefault="00811A39" w:rsidP="00F3219C">
            <w:pPr>
              <w:pStyle w:val="Body"/>
            </w:pPr>
            <w:r w:rsidRPr="00FC5932">
              <w:rPr>
                <w:rFonts w:cs="Arial"/>
                <w:sz w:val="20"/>
              </w:rPr>
              <w:t>2</w:t>
            </w:r>
            <w:r>
              <w:rPr>
                <w:rFonts w:cs="Arial"/>
                <w:sz w:val="20"/>
              </w:rPr>
              <w:t>,</w:t>
            </w:r>
            <w:r w:rsidRPr="00FC5932">
              <w:rPr>
                <w:rFonts w:cs="Arial"/>
                <w:sz w:val="20"/>
              </w:rPr>
              <w:t>943</w:t>
            </w:r>
          </w:p>
        </w:tc>
      </w:tr>
      <w:tr w:rsidR="00850271" w14:paraId="2CA4E01B" w14:textId="77777777" w:rsidTr="00F3219C">
        <w:tc>
          <w:tcPr>
            <w:tcW w:w="4644" w:type="dxa"/>
          </w:tcPr>
          <w:p w14:paraId="024D0F41" w14:textId="77777777" w:rsidR="00850271" w:rsidRPr="00664ABF" w:rsidRDefault="00850271" w:rsidP="00F3219C">
            <w:pPr>
              <w:pStyle w:val="Body"/>
              <w:rPr>
                <w:bCs/>
              </w:rPr>
            </w:pPr>
            <w:r w:rsidRPr="00664ABF">
              <w:rPr>
                <w:bCs/>
              </w:rPr>
              <w:t>2014</w:t>
            </w:r>
          </w:p>
        </w:tc>
        <w:tc>
          <w:tcPr>
            <w:tcW w:w="4644" w:type="dxa"/>
          </w:tcPr>
          <w:p w14:paraId="614EF1F3" w14:textId="128C7A09" w:rsidR="00850271" w:rsidRDefault="00811A39" w:rsidP="00F3219C">
            <w:pPr>
              <w:pStyle w:val="Body"/>
            </w:pPr>
            <w:r w:rsidRPr="00FC5932">
              <w:rPr>
                <w:rFonts w:cs="Arial"/>
                <w:sz w:val="20"/>
              </w:rPr>
              <w:t>3</w:t>
            </w:r>
            <w:r>
              <w:rPr>
                <w:rFonts w:cs="Arial"/>
                <w:sz w:val="20"/>
              </w:rPr>
              <w:t>,</w:t>
            </w:r>
            <w:r w:rsidRPr="00FC5932">
              <w:rPr>
                <w:rFonts w:cs="Arial"/>
                <w:sz w:val="20"/>
              </w:rPr>
              <w:t>692</w:t>
            </w:r>
          </w:p>
        </w:tc>
      </w:tr>
      <w:tr w:rsidR="00850271" w14:paraId="0E8E662D" w14:textId="77777777" w:rsidTr="00F3219C">
        <w:tc>
          <w:tcPr>
            <w:tcW w:w="4644" w:type="dxa"/>
          </w:tcPr>
          <w:p w14:paraId="4C363AB5" w14:textId="77777777" w:rsidR="00850271" w:rsidRPr="00664ABF" w:rsidRDefault="00850271" w:rsidP="00F3219C">
            <w:pPr>
              <w:pStyle w:val="Body"/>
              <w:rPr>
                <w:bCs/>
              </w:rPr>
            </w:pPr>
            <w:r w:rsidRPr="00664ABF">
              <w:rPr>
                <w:bCs/>
              </w:rPr>
              <w:t>2015</w:t>
            </w:r>
          </w:p>
        </w:tc>
        <w:tc>
          <w:tcPr>
            <w:tcW w:w="4644" w:type="dxa"/>
          </w:tcPr>
          <w:p w14:paraId="577715DB" w14:textId="0A8D5523" w:rsidR="00850271" w:rsidRDefault="00811A39" w:rsidP="00F3219C">
            <w:pPr>
              <w:pStyle w:val="Body"/>
            </w:pPr>
            <w:r w:rsidRPr="00FC5932">
              <w:rPr>
                <w:rFonts w:cs="Arial"/>
                <w:sz w:val="20"/>
              </w:rPr>
              <w:t>3</w:t>
            </w:r>
            <w:r>
              <w:rPr>
                <w:rFonts w:cs="Arial"/>
                <w:sz w:val="20"/>
              </w:rPr>
              <w:t>,</w:t>
            </w:r>
            <w:r w:rsidRPr="00FC5932">
              <w:rPr>
                <w:rFonts w:cs="Arial"/>
                <w:sz w:val="20"/>
              </w:rPr>
              <w:t>467</w:t>
            </w:r>
          </w:p>
        </w:tc>
      </w:tr>
      <w:tr w:rsidR="00850271" w14:paraId="79422F57" w14:textId="77777777" w:rsidTr="00F3219C">
        <w:tc>
          <w:tcPr>
            <w:tcW w:w="4644" w:type="dxa"/>
          </w:tcPr>
          <w:p w14:paraId="07F28A3E" w14:textId="77777777" w:rsidR="00850271" w:rsidRPr="00664ABF" w:rsidRDefault="00850271" w:rsidP="00F3219C">
            <w:pPr>
              <w:pStyle w:val="Body"/>
              <w:rPr>
                <w:bCs/>
              </w:rPr>
            </w:pPr>
            <w:r w:rsidRPr="00664ABF">
              <w:rPr>
                <w:bCs/>
              </w:rPr>
              <w:t>2016</w:t>
            </w:r>
          </w:p>
        </w:tc>
        <w:tc>
          <w:tcPr>
            <w:tcW w:w="4644" w:type="dxa"/>
          </w:tcPr>
          <w:p w14:paraId="7EAE2158" w14:textId="7D77E9B6" w:rsidR="00850271" w:rsidRDefault="00811A39" w:rsidP="00F3219C">
            <w:pPr>
              <w:pStyle w:val="Body"/>
            </w:pPr>
            <w:r w:rsidRPr="00FC5932">
              <w:rPr>
                <w:rFonts w:cs="Arial"/>
                <w:sz w:val="20"/>
              </w:rPr>
              <w:t>4</w:t>
            </w:r>
            <w:r>
              <w:rPr>
                <w:rFonts w:cs="Arial"/>
                <w:sz w:val="20"/>
              </w:rPr>
              <w:t>,</w:t>
            </w:r>
            <w:r w:rsidRPr="00FC5932">
              <w:rPr>
                <w:rFonts w:cs="Arial"/>
                <w:sz w:val="20"/>
              </w:rPr>
              <w:t>088</w:t>
            </w:r>
          </w:p>
        </w:tc>
      </w:tr>
      <w:tr w:rsidR="00850271" w14:paraId="12AE734A" w14:textId="77777777" w:rsidTr="00F3219C">
        <w:tc>
          <w:tcPr>
            <w:tcW w:w="4644" w:type="dxa"/>
          </w:tcPr>
          <w:p w14:paraId="7B1F1EE7" w14:textId="77777777" w:rsidR="00850271" w:rsidRPr="00664ABF" w:rsidRDefault="00850271" w:rsidP="00F3219C">
            <w:pPr>
              <w:pStyle w:val="Body"/>
              <w:rPr>
                <w:bCs/>
              </w:rPr>
            </w:pPr>
            <w:r w:rsidRPr="00664ABF">
              <w:rPr>
                <w:bCs/>
              </w:rPr>
              <w:t>2017</w:t>
            </w:r>
          </w:p>
        </w:tc>
        <w:tc>
          <w:tcPr>
            <w:tcW w:w="4644" w:type="dxa"/>
          </w:tcPr>
          <w:p w14:paraId="73F17F52" w14:textId="0EC7D497" w:rsidR="00850271" w:rsidRDefault="00811A39" w:rsidP="00F3219C">
            <w:pPr>
              <w:pStyle w:val="Body"/>
            </w:pPr>
            <w:r w:rsidRPr="00FC5932">
              <w:rPr>
                <w:rFonts w:cs="Arial"/>
                <w:sz w:val="20"/>
              </w:rPr>
              <w:t>3</w:t>
            </w:r>
            <w:r>
              <w:rPr>
                <w:rFonts w:cs="Arial"/>
                <w:sz w:val="20"/>
              </w:rPr>
              <w:t>,</w:t>
            </w:r>
            <w:r w:rsidRPr="00FC5932">
              <w:rPr>
                <w:rFonts w:cs="Arial"/>
                <w:sz w:val="20"/>
              </w:rPr>
              <w:t>229</w:t>
            </w:r>
          </w:p>
        </w:tc>
      </w:tr>
      <w:tr w:rsidR="00850271" w14:paraId="3966877C" w14:textId="77777777" w:rsidTr="00F3219C">
        <w:tc>
          <w:tcPr>
            <w:tcW w:w="4644" w:type="dxa"/>
          </w:tcPr>
          <w:p w14:paraId="49899328" w14:textId="77777777" w:rsidR="00850271" w:rsidRPr="00664ABF" w:rsidRDefault="00850271" w:rsidP="00F3219C">
            <w:pPr>
              <w:pStyle w:val="Body"/>
              <w:rPr>
                <w:bCs/>
              </w:rPr>
            </w:pPr>
            <w:r w:rsidRPr="00664ABF">
              <w:rPr>
                <w:bCs/>
              </w:rPr>
              <w:t>2018</w:t>
            </w:r>
          </w:p>
        </w:tc>
        <w:tc>
          <w:tcPr>
            <w:tcW w:w="4644" w:type="dxa"/>
          </w:tcPr>
          <w:p w14:paraId="3DDF44FE" w14:textId="03803EBA" w:rsidR="00850271" w:rsidRDefault="00811A39" w:rsidP="00F3219C">
            <w:pPr>
              <w:pStyle w:val="Body"/>
            </w:pPr>
            <w:r w:rsidRPr="00FC5932">
              <w:rPr>
                <w:rFonts w:cs="Arial"/>
                <w:sz w:val="20"/>
              </w:rPr>
              <w:t>3</w:t>
            </w:r>
            <w:r>
              <w:rPr>
                <w:rFonts w:cs="Arial"/>
                <w:sz w:val="20"/>
              </w:rPr>
              <w:t>,</w:t>
            </w:r>
            <w:r w:rsidRPr="00FC5932">
              <w:rPr>
                <w:rFonts w:cs="Arial"/>
                <w:sz w:val="20"/>
              </w:rPr>
              <w:t>075</w:t>
            </w:r>
          </w:p>
        </w:tc>
      </w:tr>
      <w:tr w:rsidR="00811A39" w14:paraId="6A955CEE" w14:textId="77777777" w:rsidTr="00300616">
        <w:tc>
          <w:tcPr>
            <w:tcW w:w="4644" w:type="dxa"/>
          </w:tcPr>
          <w:p w14:paraId="2D687744" w14:textId="77777777" w:rsidR="00811A39" w:rsidRPr="00664ABF" w:rsidRDefault="00811A39" w:rsidP="00811A39">
            <w:pPr>
              <w:pStyle w:val="Body"/>
              <w:rPr>
                <w:bCs/>
              </w:rPr>
            </w:pPr>
            <w:r w:rsidRPr="00664ABF">
              <w:rPr>
                <w:bCs/>
              </w:rPr>
              <w:t>2019</w:t>
            </w:r>
          </w:p>
        </w:tc>
        <w:tc>
          <w:tcPr>
            <w:tcW w:w="4644" w:type="dxa"/>
            <w:vAlign w:val="center"/>
          </w:tcPr>
          <w:p w14:paraId="1BB42FAA" w14:textId="1F785586" w:rsidR="00811A39" w:rsidRDefault="00811A39" w:rsidP="00811A39">
            <w:pPr>
              <w:pStyle w:val="Body"/>
            </w:pPr>
            <w:r w:rsidRPr="00FC5932">
              <w:rPr>
                <w:rFonts w:cs="Arial"/>
                <w:sz w:val="20"/>
              </w:rPr>
              <w:t>3</w:t>
            </w:r>
            <w:r>
              <w:rPr>
                <w:rFonts w:cs="Arial"/>
                <w:sz w:val="20"/>
              </w:rPr>
              <w:t>,</w:t>
            </w:r>
            <w:r w:rsidRPr="00FC5932">
              <w:rPr>
                <w:rFonts w:cs="Arial"/>
                <w:sz w:val="20"/>
              </w:rPr>
              <w:t>198</w:t>
            </w:r>
          </w:p>
        </w:tc>
      </w:tr>
    </w:tbl>
    <w:p w14:paraId="48A5ADD0" w14:textId="77777777" w:rsidR="006918E5" w:rsidRPr="00D43843" w:rsidRDefault="006918E5" w:rsidP="00D43843">
      <w:pPr>
        <w:pStyle w:val="Heading2"/>
      </w:pPr>
      <w:r w:rsidRPr="00D43843">
        <w:t xml:space="preserve">Chapter 6, Table </w:t>
      </w:r>
      <w:r w:rsidR="007134DF">
        <w:fldChar w:fldCharType="begin"/>
      </w:r>
      <w:r w:rsidR="007134DF">
        <w:instrText xml:space="preserve"> SEQ Table \* ARABIC </w:instrText>
      </w:r>
      <w:r w:rsidR="007134DF">
        <w:fldChar w:fldCharType="separate"/>
      </w:r>
      <w:r w:rsidRPr="00D43843">
        <w:t>1</w:t>
      </w:r>
      <w:r w:rsidR="007134DF">
        <w:fldChar w:fldCharType="end"/>
      </w:r>
      <w:r w:rsidRPr="00D43843">
        <w:t>. Common countries of birth for Victorians, 2016 and 2011</w:t>
      </w:r>
    </w:p>
    <w:p w14:paraId="74EC8900" w14:textId="77777777" w:rsidR="00811A39" w:rsidRPr="00BD1A34" w:rsidRDefault="00811A39" w:rsidP="00811A39">
      <w:pPr>
        <w:rPr>
          <w:rFonts w:cs="Arial"/>
        </w:rPr>
      </w:pPr>
      <w:r>
        <w:rPr>
          <w:rFonts w:cs="Arial"/>
        </w:rPr>
        <w:t xml:space="preserve">Chapter 6, </w:t>
      </w:r>
      <w:r w:rsidRPr="1949FE84">
        <w:rPr>
          <w:rFonts w:cs="Arial"/>
        </w:rPr>
        <w:t xml:space="preserve">Table 1 shows changes in migration occurring in Victoria. The proportion of people born in England, for example, decreased </w:t>
      </w:r>
      <w:r>
        <w:rPr>
          <w:rFonts w:cs="Arial"/>
        </w:rPr>
        <w:t xml:space="preserve">between </w:t>
      </w:r>
      <w:r w:rsidRPr="1949FE84">
        <w:rPr>
          <w:rFonts w:cs="Arial"/>
        </w:rPr>
        <w:t xml:space="preserve">the 2011 Census </w:t>
      </w:r>
      <w:r>
        <w:rPr>
          <w:rFonts w:cs="Arial"/>
        </w:rPr>
        <w:t xml:space="preserve">and the </w:t>
      </w:r>
      <w:r w:rsidRPr="1949FE84">
        <w:rPr>
          <w:rFonts w:cs="Arial"/>
        </w:rPr>
        <w:t>2016 Census. The number of people born in India, China, New Zealand and Vietnam increased over the same period</w:t>
      </w:r>
      <w:r w:rsidRPr="1949FE84">
        <w:rPr>
          <w:rFonts w:cs="Arial"/>
          <w:color w:val="2A2736"/>
        </w:rPr>
        <w:t xml:space="preserve"> </w:t>
      </w:r>
      <w:r w:rsidRPr="1949FE84">
        <w:rPr>
          <w:rFonts w:cs="Arial"/>
        </w:rPr>
        <w:t>(</w:t>
      </w:r>
      <w:r>
        <w:rPr>
          <w:rFonts w:cs="Arial"/>
        </w:rPr>
        <w:t>VMC,</w:t>
      </w:r>
      <w:r w:rsidRPr="1949FE84">
        <w:rPr>
          <w:rFonts w:cs="Arial"/>
        </w:rPr>
        <w:t xml:space="preserve"> 2017).</w:t>
      </w:r>
    </w:p>
    <w:p w14:paraId="3150AF1A" w14:textId="5B8E64FA" w:rsidR="00811A39" w:rsidRPr="00AD29E0" w:rsidRDefault="00811A39" w:rsidP="00811A39">
      <w:pPr>
        <w:pStyle w:val="Caption"/>
        <w:keepNext/>
        <w:rPr>
          <w:b/>
          <w:i w:val="0"/>
          <w:color w:val="000000" w:themeColor="text1"/>
          <w:szCs w:val="21"/>
        </w:rPr>
      </w:pPr>
      <w:r>
        <w:rPr>
          <w:b/>
          <w:i w:val="0"/>
          <w:color w:val="auto"/>
          <w:sz w:val="21"/>
          <w:szCs w:val="20"/>
        </w:rPr>
        <w:t xml:space="preserve">Chapter 6, </w:t>
      </w:r>
      <w:r w:rsidRPr="00AD29E0">
        <w:rPr>
          <w:b/>
          <w:i w:val="0"/>
          <w:color w:val="auto"/>
          <w:sz w:val="21"/>
          <w:szCs w:val="20"/>
        </w:rPr>
        <w:t>Table</w:t>
      </w:r>
      <w:r w:rsidRPr="00AD29E0">
        <w:rPr>
          <w:i w:val="0"/>
          <w:color w:val="auto"/>
          <w:sz w:val="21"/>
          <w:szCs w:val="20"/>
        </w:rPr>
        <w:t xml:space="preserve"> </w:t>
      </w:r>
      <w:r w:rsidRPr="00AD29E0">
        <w:rPr>
          <w:i w:val="0"/>
          <w:color w:val="auto"/>
          <w:sz w:val="21"/>
          <w:szCs w:val="20"/>
        </w:rPr>
        <w:fldChar w:fldCharType="begin"/>
      </w:r>
      <w:r w:rsidRPr="00AD29E0">
        <w:rPr>
          <w:i w:val="0"/>
          <w:color w:val="auto"/>
          <w:sz w:val="21"/>
          <w:szCs w:val="20"/>
        </w:rPr>
        <w:instrText xml:space="preserve"> SEQ Table \* ARABIC </w:instrText>
      </w:r>
      <w:r w:rsidRPr="00AD29E0">
        <w:rPr>
          <w:i w:val="0"/>
          <w:color w:val="auto"/>
          <w:sz w:val="21"/>
          <w:szCs w:val="20"/>
        </w:rPr>
        <w:fldChar w:fldCharType="separate"/>
      </w:r>
      <w:r w:rsidRPr="00AD29E0">
        <w:rPr>
          <w:b/>
          <w:i w:val="0"/>
          <w:color w:val="000000" w:themeColor="text1"/>
          <w:sz w:val="21"/>
          <w:szCs w:val="21"/>
        </w:rPr>
        <w:t>1</w:t>
      </w:r>
      <w:r w:rsidRPr="00AD29E0">
        <w:rPr>
          <w:i w:val="0"/>
          <w:color w:val="auto"/>
          <w:sz w:val="21"/>
          <w:szCs w:val="20"/>
        </w:rPr>
        <w:fldChar w:fldCharType="end"/>
      </w:r>
      <w:r w:rsidRPr="00AD29E0">
        <w:rPr>
          <w:b/>
          <w:i w:val="0"/>
          <w:color w:val="000000" w:themeColor="text1"/>
          <w:sz w:val="21"/>
          <w:szCs w:val="21"/>
        </w:rPr>
        <w:t>. Common countries of birth for Victorians</w:t>
      </w:r>
      <w:r>
        <w:rPr>
          <w:b/>
          <w:i w:val="0"/>
          <w:color w:val="000000" w:themeColor="text1"/>
          <w:sz w:val="21"/>
          <w:szCs w:val="21"/>
        </w:rPr>
        <w:t>,</w:t>
      </w:r>
      <w:r w:rsidRPr="00AD29E0">
        <w:rPr>
          <w:b/>
          <w:i w:val="0"/>
          <w:color w:val="000000" w:themeColor="text1"/>
          <w:sz w:val="21"/>
          <w:szCs w:val="21"/>
        </w:rPr>
        <w:t xml:space="preserve"> 2016 and 2011</w:t>
      </w:r>
    </w:p>
    <w:tbl>
      <w:tblPr>
        <w:tblStyle w:val="TableGrid"/>
        <w:tblW w:w="0" w:type="auto"/>
        <w:tblLook w:val="04A0" w:firstRow="1" w:lastRow="0" w:firstColumn="1" w:lastColumn="0" w:noHBand="0" w:noVBand="1"/>
      </w:tblPr>
      <w:tblGrid>
        <w:gridCol w:w="2122"/>
        <w:gridCol w:w="850"/>
        <w:gridCol w:w="2642"/>
        <w:gridCol w:w="902"/>
        <w:gridCol w:w="2772"/>
      </w:tblGrid>
      <w:tr w:rsidR="00A0637D" w14:paraId="60B8BAA0" w14:textId="77777777" w:rsidTr="006918E5">
        <w:tc>
          <w:tcPr>
            <w:tcW w:w="2122" w:type="dxa"/>
          </w:tcPr>
          <w:p w14:paraId="13DE5C43" w14:textId="3BE33A75" w:rsidR="00A0637D" w:rsidRPr="00A0637D" w:rsidRDefault="00A0637D" w:rsidP="00811A39">
            <w:pPr>
              <w:spacing w:line="240" w:lineRule="auto"/>
              <w:rPr>
                <w:rFonts w:cs="Arial"/>
                <w:b/>
                <w:bCs/>
                <w:szCs w:val="21"/>
              </w:rPr>
            </w:pPr>
            <w:r w:rsidRPr="00A0637D">
              <w:rPr>
                <w:rFonts w:cs="Arial"/>
                <w:b/>
                <w:bCs/>
                <w:szCs w:val="21"/>
              </w:rPr>
              <w:t>Country of Birth</w:t>
            </w:r>
          </w:p>
        </w:tc>
        <w:tc>
          <w:tcPr>
            <w:tcW w:w="850" w:type="dxa"/>
          </w:tcPr>
          <w:p w14:paraId="5FB9744E" w14:textId="77777777" w:rsidR="00A0637D" w:rsidRDefault="00A0637D" w:rsidP="00811A39">
            <w:pPr>
              <w:spacing w:line="240" w:lineRule="auto"/>
              <w:rPr>
                <w:rFonts w:cs="Arial"/>
                <w:szCs w:val="21"/>
              </w:rPr>
            </w:pPr>
          </w:p>
        </w:tc>
        <w:tc>
          <w:tcPr>
            <w:tcW w:w="2642" w:type="dxa"/>
          </w:tcPr>
          <w:p w14:paraId="54862492" w14:textId="2C8404D0" w:rsidR="00A0637D" w:rsidRPr="006918E5" w:rsidRDefault="00A0637D" w:rsidP="00811A39">
            <w:pPr>
              <w:spacing w:line="240" w:lineRule="auto"/>
              <w:rPr>
                <w:rFonts w:cs="Arial"/>
                <w:b/>
                <w:bCs/>
                <w:szCs w:val="21"/>
              </w:rPr>
            </w:pPr>
            <w:r w:rsidRPr="006918E5">
              <w:rPr>
                <w:rFonts w:cs="Arial"/>
                <w:b/>
                <w:bCs/>
                <w:szCs w:val="21"/>
              </w:rPr>
              <w:t>Victoria 2016 number and as a per centage</w:t>
            </w:r>
          </w:p>
        </w:tc>
        <w:tc>
          <w:tcPr>
            <w:tcW w:w="902" w:type="dxa"/>
          </w:tcPr>
          <w:p w14:paraId="7B0B80BB" w14:textId="77777777" w:rsidR="00A0637D" w:rsidRDefault="00A0637D" w:rsidP="00811A39">
            <w:pPr>
              <w:spacing w:line="240" w:lineRule="auto"/>
              <w:rPr>
                <w:rFonts w:cs="Arial"/>
                <w:szCs w:val="21"/>
              </w:rPr>
            </w:pPr>
          </w:p>
        </w:tc>
        <w:tc>
          <w:tcPr>
            <w:tcW w:w="2772" w:type="dxa"/>
          </w:tcPr>
          <w:p w14:paraId="3935D1A7" w14:textId="277CD531" w:rsidR="00A0637D" w:rsidRPr="006918E5" w:rsidRDefault="00A0637D" w:rsidP="00811A39">
            <w:pPr>
              <w:spacing w:line="240" w:lineRule="auto"/>
              <w:rPr>
                <w:rFonts w:cs="Arial"/>
                <w:b/>
                <w:bCs/>
                <w:szCs w:val="21"/>
              </w:rPr>
            </w:pPr>
            <w:r w:rsidRPr="006918E5">
              <w:rPr>
                <w:rFonts w:cs="Arial"/>
                <w:b/>
                <w:bCs/>
                <w:szCs w:val="21"/>
              </w:rPr>
              <w:t>Victorian 2011 Number and as a per centage</w:t>
            </w:r>
          </w:p>
        </w:tc>
      </w:tr>
      <w:tr w:rsidR="00A0637D" w14:paraId="0CCF62D9" w14:textId="77777777" w:rsidTr="006918E5">
        <w:tc>
          <w:tcPr>
            <w:tcW w:w="2122" w:type="dxa"/>
          </w:tcPr>
          <w:p w14:paraId="29DC667D" w14:textId="2AE1648F" w:rsidR="00A0637D" w:rsidRPr="00664ABF" w:rsidRDefault="00A0637D" w:rsidP="00811A39">
            <w:pPr>
              <w:spacing w:line="240" w:lineRule="auto"/>
              <w:rPr>
                <w:rFonts w:cs="Arial"/>
                <w:szCs w:val="21"/>
              </w:rPr>
            </w:pPr>
            <w:r w:rsidRPr="00664ABF">
              <w:rPr>
                <w:rFonts w:cs="Arial"/>
                <w:szCs w:val="21"/>
              </w:rPr>
              <w:t xml:space="preserve">Australia </w:t>
            </w:r>
          </w:p>
        </w:tc>
        <w:tc>
          <w:tcPr>
            <w:tcW w:w="850" w:type="dxa"/>
          </w:tcPr>
          <w:p w14:paraId="393AC92E" w14:textId="139F41DC" w:rsidR="00A0637D" w:rsidRPr="00664ABF" w:rsidRDefault="00A0637D" w:rsidP="00811A39">
            <w:pPr>
              <w:spacing w:line="240" w:lineRule="auto"/>
              <w:rPr>
                <w:rFonts w:cs="Arial"/>
                <w:szCs w:val="21"/>
              </w:rPr>
            </w:pPr>
            <w:r w:rsidRPr="00664ABF">
              <w:rPr>
                <w:rFonts w:cs="Arial"/>
                <w:szCs w:val="21"/>
              </w:rPr>
              <w:t>2016</w:t>
            </w:r>
          </w:p>
        </w:tc>
        <w:tc>
          <w:tcPr>
            <w:tcW w:w="2642" w:type="dxa"/>
          </w:tcPr>
          <w:p w14:paraId="0754A580" w14:textId="57C67EF6" w:rsidR="00A0637D" w:rsidRDefault="00A0637D" w:rsidP="00811A39">
            <w:pPr>
              <w:spacing w:line="240" w:lineRule="auto"/>
              <w:rPr>
                <w:rFonts w:cs="Arial"/>
                <w:szCs w:val="21"/>
              </w:rPr>
            </w:pPr>
            <w:r>
              <w:rPr>
                <w:rFonts w:cs="Arial"/>
                <w:szCs w:val="21"/>
              </w:rPr>
              <w:t xml:space="preserve">3,845,493 (64.9%) </w:t>
            </w:r>
          </w:p>
        </w:tc>
        <w:tc>
          <w:tcPr>
            <w:tcW w:w="902" w:type="dxa"/>
          </w:tcPr>
          <w:p w14:paraId="25CCE7D9" w14:textId="4C36937A" w:rsidR="00A0637D" w:rsidRPr="00664ABF" w:rsidRDefault="00A0637D" w:rsidP="00811A39">
            <w:pPr>
              <w:spacing w:line="240" w:lineRule="auto"/>
              <w:rPr>
                <w:rFonts w:cs="Arial"/>
                <w:szCs w:val="21"/>
              </w:rPr>
            </w:pPr>
            <w:r w:rsidRPr="00664ABF">
              <w:rPr>
                <w:rFonts w:cs="Arial"/>
                <w:szCs w:val="21"/>
              </w:rPr>
              <w:t>2011</w:t>
            </w:r>
          </w:p>
        </w:tc>
        <w:tc>
          <w:tcPr>
            <w:tcW w:w="2772" w:type="dxa"/>
          </w:tcPr>
          <w:p w14:paraId="555DDC0B" w14:textId="17334FDB" w:rsidR="00A0637D" w:rsidRDefault="00A0637D" w:rsidP="00811A39">
            <w:pPr>
              <w:spacing w:line="240" w:lineRule="auto"/>
              <w:rPr>
                <w:rFonts w:cs="Arial"/>
                <w:szCs w:val="21"/>
              </w:rPr>
            </w:pPr>
            <w:r>
              <w:rPr>
                <w:rFonts w:cs="Arial"/>
                <w:szCs w:val="21"/>
              </w:rPr>
              <w:t>3,670,943 (68.6%)</w:t>
            </w:r>
          </w:p>
        </w:tc>
      </w:tr>
      <w:tr w:rsidR="00A0637D" w14:paraId="64697E21" w14:textId="77777777" w:rsidTr="006918E5">
        <w:tc>
          <w:tcPr>
            <w:tcW w:w="2122" w:type="dxa"/>
          </w:tcPr>
          <w:p w14:paraId="0B0FD1F0" w14:textId="4944F7E4" w:rsidR="00A0637D" w:rsidRPr="00664ABF" w:rsidRDefault="00A0637D" w:rsidP="00A0637D">
            <w:pPr>
              <w:spacing w:line="240" w:lineRule="auto"/>
              <w:rPr>
                <w:rFonts w:cs="Arial"/>
                <w:szCs w:val="21"/>
              </w:rPr>
            </w:pPr>
            <w:r w:rsidRPr="00664ABF">
              <w:rPr>
                <w:rFonts w:cs="Arial"/>
                <w:szCs w:val="21"/>
              </w:rPr>
              <w:t>England</w:t>
            </w:r>
          </w:p>
        </w:tc>
        <w:tc>
          <w:tcPr>
            <w:tcW w:w="850" w:type="dxa"/>
          </w:tcPr>
          <w:p w14:paraId="2C3FA7B3" w14:textId="076DFAFB"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78F59304" w14:textId="29718DF2" w:rsidR="00A0637D" w:rsidRDefault="00A0637D" w:rsidP="00A0637D">
            <w:pPr>
              <w:spacing w:line="240" w:lineRule="auto"/>
              <w:rPr>
                <w:rFonts w:cs="Arial"/>
                <w:szCs w:val="21"/>
              </w:rPr>
            </w:pPr>
            <w:r w:rsidRPr="00CA5EAE">
              <w:rPr>
                <w:rFonts w:cs="Arial"/>
                <w:szCs w:val="21"/>
              </w:rPr>
              <w:t>171,443</w:t>
            </w:r>
            <w:r>
              <w:rPr>
                <w:rFonts w:cs="Arial"/>
                <w:szCs w:val="21"/>
              </w:rPr>
              <w:t xml:space="preserve"> (2.9</w:t>
            </w:r>
            <w:r w:rsidR="006918E5">
              <w:rPr>
                <w:rFonts w:cs="Arial"/>
                <w:szCs w:val="21"/>
              </w:rPr>
              <w:t>%</w:t>
            </w:r>
            <w:r>
              <w:rPr>
                <w:rFonts w:cs="Arial"/>
                <w:szCs w:val="21"/>
              </w:rPr>
              <w:t>)</w:t>
            </w:r>
          </w:p>
        </w:tc>
        <w:tc>
          <w:tcPr>
            <w:tcW w:w="902" w:type="dxa"/>
          </w:tcPr>
          <w:p w14:paraId="01645B4B" w14:textId="6EEE431F"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0015EE74" w14:textId="3D3934C6" w:rsidR="00A0637D" w:rsidRDefault="00A0637D" w:rsidP="00A0637D">
            <w:pPr>
              <w:spacing w:line="240" w:lineRule="auto"/>
              <w:rPr>
                <w:rFonts w:cs="Arial"/>
                <w:szCs w:val="21"/>
              </w:rPr>
            </w:pPr>
            <w:r w:rsidRPr="00CA5EAE">
              <w:rPr>
                <w:rFonts w:cs="Arial"/>
                <w:szCs w:val="21"/>
              </w:rPr>
              <w:t>172,068</w:t>
            </w:r>
            <w:r>
              <w:rPr>
                <w:rFonts w:cs="Arial"/>
                <w:szCs w:val="21"/>
              </w:rPr>
              <w:t xml:space="preserve"> (3.2%)</w:t>
            </w:r>
          </w:p>
        </w:tc>
      </w:tr>
      <w:tr w:rsidR="00A0637D" w14:paraId="6163B65F" w14:textId="77777777" w:rsidTr="006918E5">
        <w:tc>
          <w:tcPr>
            <w:tcW w:w="2122" w:type="dxa"/>
          </w:tcPr>
          <w:p w14:paraId="3E18955A" w14:textId="75E6D0D3" w:rsidR="00A0637D" w:rsidRPr="00664ABF" w:rsidRDefault="00A0637D" w:rsidP="00A0637D">
            <w:pPr>
              <w:spacing w:line="240" w:lineRule="auto"/>
              <w:rPr>
                <w:rFonts w:cs="Arial"/>
                <w:szCs w:val="21"/>
              </w:rPr>
            </w:pPr>
            <w:r w:rsidRPr="00664ABF">
              <w:rPr>
                <w:rFonts w:cs="Arial"/>
                <w:szCs w:val="21"/>
              </w:rPr>
              <w:t>India</w:t>
            </w:r>
          </w:p>
        </w:tc>
        <w:tc>
          <w:tcPr>
            <w:tcW w:w="850" w:type="dxa"/>
          </w:tcPr>
          <w:p w14:paraId="2C9388CD" w14:textId="21421267"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50266B3F" w14:textId="6B7396AA" w:rsidR="00A0637D" w:rsidRDefault="00A0637D" w:rsidP="00A0637D">
            <w:pPr>
              <w:spacing w:line="240" w:lineRule="auto"/>
              <w:rPr>
                <w:rFonts w:cs="Arial"/>
                <w:szCs w:val="21"/>
              </w:rPr>
            </w:pPr>
            <w:r w:rsidRPr="00CA5EAE">
              <w:rPr>
                <w:rFonts w:cs="Arial"/>
                <w:szCs w:val="21"/>
              </w:rPr>
              <w:t>169,802</w:t>
            </w:r>
            <w:r>
              <w:rPr>
                <w:rFonts w:cs="Arial"/>
                <w:szCs w:val="21"/>
              </w:rPr>
              <w:t xml:space="preserve"> (2.9%)</w:t>
            </w:r>
          </w:p>
        </w:tc>
        <w:tc>
          <w:tcPr>
            <w:tcW w:w="902" w:type="dxa"/>
          </w:tcPr>
          <w:p w14:paraId="148F0CB8" w14:textId="4591E829"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6CED29A6" w14:textId="49170B83" w:rsidR="00A0637D" w:rsidRDefault="00A0637D" w:rsidP="00A0637D">
            <w:pPr>
              <w:spacing w:line="240" w:lineRule="auto"/>
              <w:rPr>
                <w:rFonts w:cs="Arial"/>
                <w:szCs w:val="21"/>
              </w:rPr>
            </w:pPr>
            <w:r w:rsidRPr="00CA5EAE">
              <w:rPr>
                <w:rFonts w:cs="Arial"/>
                <w:szCs w:val="21"/>
              </w:rPr>
              <w:t>111,787</w:t>
            </w:r>
            <w:r>
              <w:rPr>
                <w:rFonts w:cs="Arial"/>
                <w:szCs w:val="21"/>
              </w:rPr>
              <w:t xml:space="preserve"> (2.1%)</w:t>
            </w:r>
          </w:p>
        </w:tc>
      </w:tr>
      <w:tr w:rsidR="00A0637D" w14:paraId="30E23B7F" w14:textId="77777777" w:rsidTr="006918E5">
        <w:tc>
          <w:tcPr>
            <w:tcW w:w="2122" w:type="dxa"/>
          </w:tcPr>
          <w:p w14:paraId="49583819" w14:textId="32E6172E" w:rsidR="00A0637D" w:rsidRPr="00664ABF" w:rsidRDefault="00A0637D" w:rsidP="00A0637D">
            <w:pPr>
              <w:spacing w:line="240" w:lineRule="auto"/>
              <w:rPr>
                <w:rFonts w:cs="Arial"/>
                <w:szCs w:val="21"/>
              </w:rPr>
            </w:pPr>
            <w:r w:rsidRPr="00664ABF">
              <w:rPr>
                <w:rFonts w:cs="Arial"/>
                <w:szCs w:val="21"/>
              </w:rPr>
              <w:t>China (excludes SARs and Taiwan)</w:t>
            </w:r>
          </w:p>
        </w:tc>
        <w:tc>
          <w:tcPr>
            <w:tcW w:w="850" w:type="dxa"/>
          </w:tcPr>
          <w:p w14:paraId="5540FBF3" w14:textId="7EC8BB20"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586CEBE6" w14:textId="00313DA4" w:rsidR="00A0637D" w:rsidRDefault="00A0637D" w:rsidP="00A0637D">
            <w:pPr>
              <w:spacing w:line="240" w:lineRule="auto"/>
              <w:rPr>
                <w:rFonts w:cs="Arial"/>
                <w:szCs w:val="21"/>
              </w:rPr>
            </w:pPr>
            <w:r w:rsidRPr="00CA5EAE">
              <w:rPr>
                <w:rFonts w:cs="Arial"/>
                <w:szCs w:val="21"/>
              </w:rPr>
              <w:t>160,652</w:t>
            </w:r>
            <w:r>
              <w:rPr>
                <w:rFonts w:cs="Arial"/>
                <w:szCs w:val="21"/>
              </w:rPr>
              <w:t xml:space="preserve"> (2.7%)</w:t>
            </w:r>
          </w:p>
        </w:tc>
        <w:tc>
          <w:tcPr>
            <w:tcW w:w="902" w:type="dxa"/>
          </w:tcPr>
          <w:p w14:paraId="2923B92F" w14:textId="098435F4"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65A2C812" w14:textId="5575BDEC" w:rsidR="00A0637D" w:rsidRDefault="00A0637D" w:rsidP="00A0637D">
            <w:pPr>
              <w:spacing w:line="240" w:lineRule="auto"/>
              <w:rPr>
                <w:rFonts w:cs="Arial"/>
                <w:szCs w:val="21"/>
              </w:rPr>
            </w:pPr>
            <w:r w:rsidRPr="00CA5EAE">
              <w:rPr>
                <w:rFonts w:cs="Arial"/>
                <w:szCs w:val="21"/>
              </w:rPr>
              <w:t>93,896</w:t>
            </w:r>
            <w:r>
              <w:rPr>
                <w:rFonts w:cs="Arial"/>
                <w:szCs w:val="21"/>
              </w:rPr>
              <w:t xml:space="preserve"> (1.8%)</w:t>
            </w:r>
          </w:p>
        </w:tc>
      </w:tr>
      <w:tr w:rsidR="00A0637D" w14:paraId="566404F1" w14:textId="77777777" w:rsidTr="006918E5">
        <w:tc>
          <w:tcPr>
            <w:tcW w:w="2122" w:type="dxa"/>
          </w:tcPr>
          <w:p w14:paraId="7211529F" w14:textId="4014022C" w:rsidR="00A0637D" w:rsidRPr="00664ABF" w:rsidRDefault="00A0637D" w:rsidP="00A0637D">
            <w:pPr>
              <w:spacing w:line="240" w:lineRule="auto"/>
              <w:rPr>
                <w:rFonts w:cs="Arial"/>
                <w:szCs w:val="21"/>
              </w:rPr>
            </w:pPr>
            <w:r w:rsidRPr="00664ABF">
              <w:rPr>
                <w:rFonts w:cs="Arial"/>
                <w:szCs w:val="21"/>
              </w:rPr>
              <w:t>New Zealand</w:t>
            </w:r>
          </w:p>
        </w:tc>
        <w:tc>
          <w:tcPr>
            <w:tcW w:w="850" w:type="dxa"/>
          </w:tcPr>
          <w:p w14:paraId="7A7736A9" w14:textId="75BFC64A"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1D9B95A6" w14:textId="39669C32" w:rsidR="00A0637D" w:rsidRDefault="00A0637D" w:rsidP="00A0637D">
            <w:pPr>
              <w:spacing w:line="240" w:lineRule="auto"/>
              <w:rPr>
                <w:rFonts w:cs="Arial"/>
                <w:szCs w:val="21"/>
              </w:rPr>
            </w:pPr>
            <w:r w:rsidRPr="00CA5EAE">
              <w:rPr>
                <w:rFonts w:cs="Arial"/>
                <w:szCs w:val="21"/>
              </w:rPr>
              <w:t>93,253</w:t>
            </w:r>
            <w:r>
              <w:rPr>
                <w:rFonts w:cs="Arial"/>
                <w:szCs w:val="21"/>
              </w:rPr>
              <w:t xml:space="preserve"> (1.6%)</w:t>
            </w:r>
          </w:p>
        </w:tc>
        <w:tc>
          <w:tcPr>
            <w:tcW w:w="902" w:type="dxa"/>
          </w:tcPr>
          <w:p w14:paraId="19309431" w14:textId="301688F0"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74C8CCC1" w14:textId="0A366654" w:rsidR="00A0637D" w:rsidRDefault="00A0637D" w:rsidP="00A0637D">
            <w:pPr>
              <w:spacing w:line="240" w:lineRule="auto"/>
              <w:rPr>
                <w:rFonts w:cs="Arial"/>
                <w:szCs w:val="21"/>
              </w:rPr>
            </w:pPr>
            <w:r w:rsidRPr="00CA5EAE">
              <w:rPr>
                <w:rFonts w:cs="Arial"/>
                <w:szCs w:val="21"/>
              </w:rPr>
              <w:t>80,234</w:t>
            </w:r>
            <w:r>
              <w:rPr>
                <w:rFonts w:cs="Arial"/>
                <w:szCs w:val="21"/>
              </w:rPr>
              <w:t xml:space="preserve"> (1.5%)</w:t>
            </w:r>
          </w:p>
        </w:tc>
      </w:tr>
      <w:tr w:rsidR="00A0637D" w14:paraId="0E4A74B5" w14:textId="77777777" w:rsidTr="006918E5">
        <w:tc>
          <w:tcPr>
            <w:tcW w:w="2122" w:type="dxa"/>
          </w:tcPr>
          <w:p w14:paraId="561E8311" w14:textId="5AA4303E" w:rsidR="00A0637D" w:rsidRPr="00664ABF" w:rsidRDefault="00A0637D" w:rsidP="00A0637D">
            <w:pPr>
              <w:spacing w:line="240" w:lineRule="auto"/>
              <w:rPr>
                <w:rFonts w:cs="Arial"/>
                <w:szCs w:val="21"/>
              </w:rPr>
            </w:pPr>
            <w:r w:rsidRPr="00664ABF">
              <w:rPr>
                <w:rFonts w:cs="Arial"/>
                <w:szCs w:val="21"/>
              </w:rPr>
              <w:t>Vietnam</w:t>
            </w:r>
          </w:p>
        </w:tc>
        <w:tc>
          <w:tcPr>
            <w:tcW w:w="850" w:type="dxa"/>
          </w:tcPr>
          <w:p w14:paraId="1E351C9C" w14:textId="5926F4E6" w:rsidR="00A0637D" w:rsidRPr="00664ABF" w:rsidRDefault="00A0637D" w:rsidP="00A0637D">
            <w:pPr>
              <w:spacing w:line="240" w:lineRule="auto"/>
              <w:rPr>
                <w:rFonts w:cs="Arial"/>
                <w:szCs w:val="21"/>
              </w:rPr>
            </w:pPr>
            <w:r w:rsidRPr="00664ABF">
              <w:rPr>
                <w:rFonts w:cs="Arial"/>
                <w:szCs w:val="21"/>
              </w:rPr>
              <w:t>2016</w:t>
            </w:r>
          </w:p>
        </w:tc>
        <w:tc>
          <w:tcPr>
            <w:tcW w:w="2642" w:type="dxa"/>
          </w:tcPr>
          <w:p w14:paraId="6B970421" w14:textId="706D172A" w:rsidR="00A0637D" w:rsidRDefault="00A0637D" w:rsidP="00A0637D">
            <w:pPr>
              <w:spacing w:line="240" w:lineRule="auto"/>
              <w:rPr>
                <w:rFonts w:cs="Arial"/>
                <w:szCs w:val="21"/>
              </w:rPr>
            </w:pPr>
            <w:r w:rsidRPr="00CA5EAE">
              <w:rPr>
                <w:rFonts w:cs="Arial"/>
                <w:szCs w:val="21"/>
              </w:rPr>
              <w:t>80,787</w:t>
            </w:r>
            <w:r>
              <w:rPr>
                <w:rFonts w:cs="Arial"/>
                <w:szCs w:val="21"/>
              </w:rPr>
              <w:t xml:space="preserve"> (1.4%)</w:t>
            </w:r>
          </w:p>
        </w:tc>
        <w:tc>
          <w:tcPr>
            <w:tcW w:w="902" w:type="dxa"/>
          </w:tcPr>
          <w:p w14:paraId="7BEB02A4" w14:textId="6B903AF9" w:rsidR="00A0637D" w:rsidRPr="00664ABF" w:rsidRDefault="00A0637D" w:rsidP="00A0637D">
            <w:pPr>
              <w:spacing w:line="240" w:lineRule="auto"/>
              <w:rPr>
                <w:rFonts w:cs="Arial"/>
                <w:szCs w:val="21"/>
              </w:rPr>
            </w:pPr>
            <w:r w:rsidRPr="00664ABF">
              <w:rPr>
                <w:rFonts w:cs="Arial"/>
                <w:szCs w:val="21"/>
              </w:rPr>
              <w:t>2011</w:t>
            </w:r>
          </w:p>
        </w:tc>
        <w:tc>
          <w:tcPr>
            <w:tcW w:w="2772" w:type="dxa"/>
          </w:tcPr>
          <w:p w14:paraId="1B8667D7" w14:textId="48826064" w:rsidR="00A0637D" w:rsidRDefault="00A0637D" w:rsidP="00A0637D">
            <w:pPr>
              <w:spacing w:line="240" w:lineRule="auto"/>
              <w:rPr>
                <w:rFonts w:cs="Arial"/>
                <w:szCs w:val="21"/>
              </w:rPr>
            </w:pPr>
            <w:r w:rsidRPr="00CA5EAE">
              <w:rPr>
                <w:rFonts w:cs="Arial"/>
                <w:szCs w:val="21"/>
              </w:rPr>
              <w:t>68,296</w:t>
            </w:r>
            <w:r>
              <w:rPr>
                <w:rFonts w:cs="Arial"/>
                <w:szCs w:val="21"/>
              </w:rPr>
              <w:t xml:space="preserve"> (1.3%)</w:t>
            </w:r>
          </w:p>
        </w:tc>
      </w:tr>
    </w:tbl>
    <w:p w14:paraId="2DE78792" w14:textId="77777777" w:rsidR="006918E5" w:rsidRPr="00B4363A" w:rsidRDefault="006918E5" w:rsidP="00B4363A">
      <w:pPr>
        <w:pStyle w:val="Heading2"/>
      </w:pPr>
      <w:r w:rsidRPr="00B4363A">
        <w:t xml:space="preserve">Chapter 6, Table 2. Languages spoken at home in Victoria, 2016 and 2011 </w:t>
      </w:r>
    </w:p>
    <w:p w14:paraId="7EE81FF8" w14:textId="04BCA573" w:rsidR="00811A39" w:rsidRDefault="00811A39" w:rsidP="00811A39">
      <w:pPr>
        <w:rPr>
          <w:rFonts w:cs="Arial"/>
          <w:szCs w:val="21"/>
        </w:rPr>
      </w:pPr>
      <w:r>
        <w:rPr>
          <w:rFonts w:cs="Arial"/>
          <w:szCs w:val="21"/>
        </w:rPr>
        <w:t xml:space="preserve">Chapter 6, </w:t>
      </w:r>
      <w:r w:rsidRPr="00BD1A34">
        <w:rPr>
          <w:rFonts w:cs="Arial"/>
          <w:szCs w:val="21"/>
        </w:rPr>
        <w:t>Table 2 shows the languages spoken at home in Victorian households and the changes that reflect changing patterns of migration. The top five</w:t>
      </w:r>
      <w:r>
        <w:rPr>
          <w:rFonts w:cs="Arial"/>
          <w:szCs w:val="21"/>
        </w:rPr>
        <w:t xml:space="preserve"> languages other than English (</w:t>
      </w:r>
      <w:r w:rsidRPr="00BD1A34">
        <w:rPr>
          <w:rFonts w:cs="Arial"/>
          <w:szCs w:val="21"/>
        </w:rPr>
        <w:t>LOTE</w:t>
      </w:r>
      <w:r>
        <w:rPr>
          <w:rFonts w:cs="Arial"/>
          <w:szCs w:val="21"/>
        </w:rPr>
        <w:t>)</w:t>
      </w:r>
      <w:r w:rsidRPr="00BD1A34">
        <w:rPr>
          <w:rFonts w:cs="Arial"/>
          <w:szCs w:val="21"/>
        </w:rPr>
        <w:t xml:space="preserve"> in 2016 were Mandarin, Italian, Greek, Vietnamese, and Arabic</w:t>
      </w:r>
      <w:r w:rsidRPr="00BD1A34">
        <w:rPr>
          <w:rFonts w:cs="Arial"/>
          <w:color w:val="2A2736"/>
          <w:szCs w:val="21"/>
        </w:rPr>
        <w:t xml:space="preserve"> </w:t>
      </w:r>
      <w:r w:rsidRPr="00BD1A34">
        <w:rPr>
          <w:rFonts w:cs="Arial"/>
          <w:szCs w:val="21"/>
        </w:rPr>
        <w:t>(</w:t>
      </w:r>
      <w:r>
        <w:rPr>
          <w:rFonts w:cs="Arial"/>
          <w:szCs w:val="21"/>
        </w:rPr>
        <w:t xml:space="preserve">VMC, </w:t>
      </w:r>
      <w:r w:rsidRPr="00BD1A34">
        <w:rPr>
          <w:rFonts w:cs="Arial"/>
          <w:szCs w:val="21"/>
        </w:rPr>
        <w:t>2017).</w:t>
      </w:r>
    </w:p>
    <w:p w14:paraId="2A1F6F19" w14:textId="2754B4AD" w:rsidR="00811A39" w:rsidRDefault="00811A39" w:rsidP="00811A39">
      <w:pPr>
        <w:rPr>
          <w:rFonts w:cs="Arial"/>
          <w:szCs w:val="21"/>
        </w:rPr>
      </w:pPr>
      <w:r w:rsidRPr="000A1E42">
        <w:rPr>
          <w:b/>
          <w:iCs/>
        </w:rPr>
        <w:t>Chapter 6</w:t>
      </w:r>
      <w:r>
        <w:rPr>
          <w:b/>
          <w:i/>
        </w:rPr>
        <w:t xml:space="preserve">, </w:t>
      </w:r>
      <w:r w:rsidRPr="00AD29E0">
        <w:rPr>
          <w:b/>
        </w:rPr>
        <w:t>Table</w:t>
      </w:r>
      <w:r>
        <w:rPr>
          <w:b/>
        </w:rPr>
        <w:t xml:space="preserve"> </w:t>
      </w:r>
      <w:r w:rsidRPr="0070592D">
        <w:rPr>
          <w:b/>
        </w:rPr>
        <w:t>2. Languages spoken at home in Victoria, 2016 and 2011</w:t>
      </w:r>
    </w:p>
    <w:tbl>
      <w:tblPr>
        <w:tblStyle w:val="TableGrid"/>
        <w:tblW w:w="0" w:type="auto"/>
        <w:tblLook w:val="04A0" w:firstRow="1" w:lastRow="0" w:firstColumn="1" w:lastColumn="0" w:noHBand="0" w:noVBand="1"/>
      </w:tblPr>
      <w:tblGrid>
        <w:gridCol w:w="2547"/>
        <w:gridCol w:w="850"/>
        <w:gridCol w:w="2410"/>
        <w:gridCol w:w="709"/>
        <w:gridCol w:w="2772"/>
      </w:tblGrid>
      <w:tr w:rsidR="00B4363A" w14:paraId="2E37B2DA" w14:textId="77777777" w:rsidTr="00B27A85">
        <w:tc>
          <w:tcPr>
            <w:tcW w:w="2547" w:type="dxa"/>
          </w:tcPr>
          <w:p w14:paraId="17B7A68D" w14:textId="14C3C410" w:rsidR="00B4363A" w:rsidRPr="006918E5" w:rsidRDefault="00B4363A" w:rsidP="00F3219C">
            <w:pPr>
              <w:spacing w:line="240" w:lineRule="auto"/>
              <w:rPr>
                <w:rFonts w:cs="Arial"/>
                <w:b/>
                <w:bCs/>
                <w:szCs w:val="21"/>
              </w:rPr>
            </w:pPr>
            <w:r w:rsidRPr="006918E5">
              <w:rPr>
                <w:rFonts w:cs="Arial"/>
                <w:b/>
                <w:bCs/>
                <w:szCs w:val="21"/>
              </w:rPr>
              <w:lastRenderedPageBreak/>
              <w:t>Languages, top responses</w:t>
            </w:r>
          </w:p>
        </w:tc>
        <w:tc>
          <w:tcPr>
            <w:tcW w:w="3260" w:type="dxa"/>
            <w:gridSpan w:val="2"/>
          </w:tcPr>
          <w:p w14:paraId="0C149E58" w14:textId="299EB14F" w:rsidR="00B4363A" w:rsidRPr="006918E5" w:rsidRDefault="00B4363A" w:rsidP="00F3219C">
            <w:pPr>
              <w:spacing w:line="240" w:lineRule="auto"/>
              <w:rPr>
                <w:rFonts w:cs="Arial"/>
                <w:b/>
                <w:bCs/>
                <w:szCs w:val="21"/>
              </w:rPr>
            </w:pPr>
            <w:r w:rsidRPr="006918E5">
              <w:rPr>
                <w:rFonts w:cs="Arial"/>
                <w:b/>
                <w:bCs/>
                <w:szCs w:val="21"/>
              </w:rPr>
              <w:t xml:space="preserve">Victoria 2016 </w:t>
            </w:r>
            <w:r>
              <w:rPr>
                <w:rFonts w:cs="Arial"/>
                <w:b/>
                <w:bCs/>
                <w:szCs w:val="21"/>
              </w:rPr>
              <w:t>n</w:t>
            </w:r>
            <w:r w:rsidRPr="006918E5">
              <w:rPr>
                <w:rFonts w:cs="Arial"/>
                <w:b/>
                <w:bCs/>
                <w:szCs w:val="21"/>
              </w:rPr>
              <w:t>umber and as a per centage</w:t>
            </w:r>
          </w:p>
        </w:tc>
        <w:tc>
          <w:tcPr>
            <w:tcW w:w="3481" w:type="dxa"/>
            <w:gridSpan w:val="2"/>
          </w:tcPr>
          <w:p w14:paraId="617DB28D" w14:textId="7FB688E0" w:rsidR="00B4363A" w:rsidRPr="006918E5" w:rsidRDefault="00B4363A" w:rsidP="00F3219C">
            <w:pPr>
              <w:spacing w:line="240" w:lineRule="auto"/>
              <w:rPr>
                <w:rFonts w:cs="Arial"/>
                <w:b/>
                <w:bCs/>
                <w:szCs w:val="21"/>
              </w:rPr>
            </w:pPr>
            <w:r w:rsidRPr="006918E5">
              <w:rPr>
                <w:rFonts w:cs="Arial"/>
                <w:b/>
                <w:bCs/>
                <w:szCs w:val="21"/>
              </w:rPr>
              <w:t xml:space="preserve">Victorian 2011 </w:t>
            </w:r>
            <w:r>
              <w:rPr>
                <w:rFonts w:cs="Arial"/>
                <w:b/>
                <w:bCs/>
                <w:szCs w:val="21"/>
              </w:rPr>
              <w:t>n</w:t>
            </w:r>
            <w:r w:rsidRPr="006918E5">
              <w:rPr>
                <w:rFonts w:cs="Arial"/>
                <w:b/>
                <w:bCs/>
                <w:szCs w:val="21"/>
              </w:rPr>
              <w:t>umber and as a per centage</w:t>
            </w:r>
          </w:p>
        </w:tc>
      </w:tr>
      <w:tr w:rsidR="006918E5" w14:paraId="5D99433A" w14:textId="77777777" w:rsidTr="00156CEC">
        <w:tc>
          <w:tcPr>
            <w:tcW w:w="2547" w:type="dxa"/>
          </w:tcPr>
          <w:p w14:paraId="29D510B1" w14:textId="4A0D9C18" w:rsidR="006918E5" w:rsidRPr="00664ABF" w:rsidRDefault="006918E5" w:rsidP="006918E5">
            <w:pPr>
              <w:spacing w:line="240" w:lineRule="auto"/>
              <w:rPr>
                <w:rFonts w:cs="Arial"/>
                <w:szCs w:val="21"/>
              </w:rPr>
            </w:pPr>
            <w:r w:rsidRPr="00664ABF">
              <w:rPr>
                <w:rFonts w:cs="Arial"/>
                <w:szCs w:val="21"/>
              </w:rPr>
              <w:t>Only English spoken at home</w:t>
            </w:r>
          </w:p>
        </w:tc>
        <w:tc>
          <w:tcPr>
            <w:tcW w:w="850" w:type="dxa"/>
          </w:tcPr>
          <w:p w14:paraId="6DEE1251"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61419A38" w14:textId="5F58A81F" w:rsidR="006918E5" w:rsidRDefault="006918E5" w:rsidP="006918E5">
            <w:pPr>
              <w:spacing w:line="240" w:lineRule="auto"/>
              <w:rPr>
                <w:rFonts w:cs="Arial"/>
                <w:szCs w:val="21"/>
              </w:rPr>
            </w:pPr>
            <w:r>
              <w:rPr>
                <w:rFonts w:cs="Arial"/>
                <w:szCs w:val="21"/>
              </w:rPr>
              <w:t xml:space="preserve">4,026,811 (67.9%) </w:t>
            </w:r>
          </w:p>
        </w:tc>
        <w:tc>
          <w:tcPr>
            <w:tcW w:w="709" w:type="dxa"/>
          </w:tcPr>
          <w:p w14:paraId="2CC64CA8"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4E779B9A" w14:textId="7C29363F" w:rsidR="006918E5" w:rsidRDefault="006918E5" w:rsidP="006918E5">
            <w:pPr>
              <w:spacing w:line="240" w:lineRule="auto"/>
              <w:rPr>
                <w:rFonts w:cs="Arial"/>
                <w:szCs w:val="21"/>
              </w:rPr>
            </w:pPr>
            <w:r>
              <w:rPr>
                <w:rFonts w:cs="Arial"/>
                <w:szCs w:val="21"/>
              </w:rPr>
              <w:t>3,</w:t>
            </w:r>
            <w:r w:rsidR="00156CEC">
              <w:rPr>
                <w:rFonts w:cs="Arial"/>
                <w:szCs w:val="21"/>
              </w:rPr>
              <w:t>874</w:t>
            </w:r>
            <w:r>
              <w:rPr>
                <w:rFonts w:cs="Arial"/>
                <w:szCs w:val="21"/>
              </w:rPr>
              <w:t>,</w:t>
            </w:r>
            <w:r w:rsidR="00156CEC">
              <w:rPr>
                <w:rFonts w:cs="Arial"/>
                <w:szCs w:val="21"/>
              </w:rPr>
              <w:t>861</w:t>
            </w:r>
            <w:r>
              <w:rPr>
                <w:rFonts w:cs="Arial"/>
                <w:szCs w:val="21"/>
              </w:rPr>
              <w:t xml:space="preserve"> (</w:t>
            </w:r>
            <w:r w:rsidR="00156CEC">
              <w:rPr>
                <w:rFonts w:cs="Arial"/>
                <w:szCs w:val="21"/>
              </w:rPr>
              <w:t>72.4</w:t>
            </w:r>
            <w:r>
              <w:rPr>
                <w:rFonts w:cs="Arial"/>
                <w:szCs w:val="21"/>
              </w:rPr>
              <w:t>%)</w:t>
            </w:r>
          </w:p>
        </w:tc>
      </w:tr>
      <w:tr w:rsidR="006918E5" w14:paraId="6A92EC29" w14:textId="77777777" w:rsidTr="00156CEC">
        <w:tc>
          <w:tcPr>
            <w:tcW w:w="2547" w:type="dxa"/>
          </w:tcPr>
          <w:p w14:paraId="5BB4F191" w14:textId="778F7259" w:rsidR="006918E5" w:rsidRPr="00664ABF" w:rsidRDefault="006918E5" w:rsidP="006918E5">
            <w:pPr>
              <w:spacing w:line="240" w:lineRule="auto"/>
              <w:rPr>
                <w:rFonts w:cs="Arial"/>
                <w:szCs w:val="21"/>
              </w:rPr>
            </w:pPr>
            <w:r w:rsidRPr="00664ABF">
              <w:rPr>
                <w:rFonts w:cs="Arial"/>
                <w:szCs w:val="21"/>
              </w:rPr>
              <w:t>Mandarin</w:t>
            </w:r>
          </w:p>
        </w:tc>
        <w:tc>
          <w:tcPr>
            <w:tcW w:w="850" w:type="dxa"/>
          </w:tcPr>
          <w:p w14:paraId="47A43E4A"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02F664F8" w14:textId="703A553C" w:rsidR="006918E5" w:rsidRDefault="006918E5" w:rsidP="006918E5">
            <w:pPr>
              <w:spacing w:line="240" w:lineRule="auto"/>
              <w:rPr>
                <w:rFonts w:cs="Arial"/>
                <w:szCs w:val="21"/>
              </w:rPr>
            </w:pPr>
            <w:r w:rsidRPr="00CA5EAE">
              <w:rPr>
                <w:rFonts w:cs="Arial"/>
                <w:szCs w:val="21"/>
              </w:rPr>
              <w:t>1</w:t>
            </w:r>
            <w:r>
              <w:rPr>
                <w:rFonts w:cs="Arial"/>
                <w:szCs w:val="21"/>
              </w:rPr>
              <w:t>9</w:t>
            </w:r>
            <w:r w:rsidRPr="00CA5EAE">
              <w:rPr>
                <w:rFonts w:cs="Arial"/>
                <w:szCs w:val="21"/>
              </w:rPr>
              <w:t>1,</w:t>
            </w:r>
            <w:r>
              <w:rPr>
                <w:rFonts w:cs="Arial"/>
                <w:szCs w:val="21"/>
              </w:rPr>
              <w:t>793 (3.2%)</w:t>
            </w:r>
          </w:p>
        </w:tc>
        <w:tc>
          <w:tcPr>
            <w:tcW w:w="709" w:type="dxa"/>
          </w:tcPr>
          <w:p w14:paraId="418C2788"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38D5510B" w14:textId="2079920C" w:rsidR="006918E5" w:rsidRDefault="006918E5" w:rsidP="006918E5">
            <w:pPr>
              <w:spacing w:line="240" w:lineRule="auto"/>
              <w:rPr>
                <w:rFonts w:cs="Arial"/>
                <w:szCs w:val="21"/>
              </w:rPr>
            </w:pPr>
            <w:r w:rsidRPr="00CA5EAE">
              <w:rPr>
                <w:rFonts w:cs="Arial"/>
                <w:szCs w:val="21"/>
              </w:rPr>
              <w:t>1</w:t>
            </w:r>
            <w:r w:rsidR="00156CEC">
              <w:rPr>
                <w:rFonts w:cs="Arial"/>
                <w:szCs w:val="21"/>
              </w:rPr>
              <w:t>03</w:t>
            </w:r>
            <w:r w:rsidRPr="00CA5EAE">
              <w:rPr>
                <w:rFonts w:cs="Arial"/>
                <w:szCs w:val="21"/>
              </w:rPr>
              <w:t>,</w:t>
            </w:r>
            <w:r w:rsidR="00156CEC">
              <w:rPr>
                <w:rFonts w:cs="Arial"/>
                <w:szCs w:val="21"/>
              </w:rPr>
              <w:t>742</w:t>
            </w:r>
            <w:r>
              <w:rPr>
                <w:rFonts w:cs="Arial"/>
                <w:szCs w:val="21"/>
              </w:rPr>
              <w:t xml:space="preserve"> (</w:t>
            </w:r>
            <w:r w:rsidR="00156CEC">
              <w:rPr>
                <w:rFonts w:cs="Arial"/>
                <w:szCs w:val="21"/>
              </w:rPr>
              <w:t>1.9</w:t>
            </w:r>
            <w:r>
              <w:rPr>
                <w:rFonts w:cs="Arial"/>
                <w:szCs w:val="21"/>
              </w:rPr>
              <w:t>%)</w:t>
            </w:r>
          </w:p>
        </w:tc>
      </w:tr>
      <w:tr w:rsidR="006918E5" w14:paraId="2253B1A6" w14:textId="77777777" w:rsidTr="00156CEC">
        <w:tc>
          <w:tcPr>
            <w:tcW w:w="2547" w:type="dxa"/>
          </w:tcPr>
          <w:p w14:paraId="217AC095" w14:textId="31273AC2" w:rsidR="006918E5" w:rsidRPr="00664ABF" w:rsidRDefault="006918E5" w:rsidP="006918E5">
            <w:pPr>
              <w:spacing w:line="240" w:lineRule="auto"/>
              <w:rPr>
                <w:rFonts w:cs="Arial"/>
                <w:szCs w:val="21"/>
              </w:rPr>
            </w:pPr>
            <w:r w:rsidRPr="00664ABF">
              <w:rPr>
                <w:rFonts w:cs="Arial"/>
                <w:szCs w:val="21"/>
              </w:rPr>
              <w:t>Italian</w:t>
            </w:r>
          </w:p>
        </w:tc>
        <w:tc>
          <w:tcPr>
            <w:tcW w:w="850" w:type="dxa"/>
          </w:tcPr>
          <w:p w14:paraId="7D3AC5E1"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52C639F4" w14:textId="5FAF6A9B" w:rsidR="006918E5" w:rsidRDefault="006918E5" w:rsidP="006918E5">
            <w:pPr>
              <w:spacing w:line="240" w:lineRule="auto"/>
              <w:rPr>
                <w:rFonts w:cs="Arial"/>
                <w:szCs w:val="21"/>
              </w:rPr>
            </w:pPr>
            <w:r>
              <w:rPr>
                <w:rFonts w:cs="Arial"/>
                <w:szCs w:val="21"/>
              </w:rPr>
              <w:t>112,272 (1.9%)</w:t>
            </w:r>
          </w:p>
        </w:tc>
        <w:tc>
          <w:tcPr>
            <w:tcW w:w="709" w:type="dxa"/>
          </w:tcPr>
          <w:p w14:paraId="19AA312A"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312CE4D6" w14:textId="134CA145" w:rsidR="006918E5" w:rsidRDefault="006918E5" w:rsidP="006918E5">
            <w:pPr>
              <w:spacing w:line="240" w:lineRule="auto"/>
              <w:rPr>
                <w:rFonts w:cs="Arial"/>
                <w:szCs w:val="21"/>
              </w:rPr>
            </w:pPr>
            <w:r w:rsidRPr="00CA5EAE">
              <w:rPr>
                <w:rFonts w:cs="Arial"/>
                <w:szCs w:val="21"/>
              </w:rPr>
              <w:t>1</w:t>
            </w:r>
            <w:r w:rsidR="00156CEC">
              <w:rPr>
                <w:rFonts w:cs="Arial"/>
                <w:szCs w:val="21"/>
              </w:rPr>
              <w:t>24</w:t>
            </w:r>
            <w:r w:rsidRPr="00CA5EAE">
              <w:rPr>
                <w:rFonts w:cs="Arial"/>
                <w:szCs w:val="21"/>
              </w:rPr>
              <w:t>,</w:t>
            </w:r>
            <w:r w:rsidR="00156CEC">
              <w:rPr>
                <w:rFonts w:cs="Arial"/>
                <w:szCs w:val="21"/>
              </w:rPr>
              <w:t>856</w:t>
            </w:r>
            <w:r>
              <w:rPr>
                <w:rFonts w:cs="Arial"/>
                <w:szCs w:val="21"/>
              </w:rPr>
              <w:t xml:space="preserve"> (2.</w:t>
            </w:r>
            <w:r w:rsidR="00156CEC">
              <w:rPr>
                <w:rFonts w:cs="Arial"/>
                <w:szCs w:val="21"/>
              </w:rPr>
              <w:t>3</w:t>
            </w:r>
            <w:r>
              <w:rPr>
                <w:rFonts w:cs="Arial"/>
                <w:szCs w:val="21"/>
              </w:rPr>
              <w:t>%)</w:t>
            </w:r>
          </w:p>
        </w:tc>
      </w:tr>
      <w:tr w:rsidR="006918E5" w14:paraId="6C514102" w14:textId="77777777" w:rsidTr="00156CEC">
        <w:tc>
          <w:tcPr>
            <w:tcW w:w="2547" w:type="dxa"/>
          </w:tcPr>
          <w:p w14:paraId="7FD2E0DA" w14:textId="020F083D" w:rsidR="006918E5" w:rsidRPr="00664ABF" w:rsidRDefault="006918E5" w:rsidP="006918E5">
            <w:pPr>
              <w:spacing w:line="240" w:lineRule="auto"/>
              <w:rPr>
                <w:rFonts w:cs="Arial"/>
                <w:szCs w:val="21"/>
              </w:rPr>
            </w:pPr>
            <w:r w:rsidRPr="00664ABF">
              <w:rPr>
                <w:rFonts w:cs="Arial"/>
                <w:szCs w:val="21"/>
              </w:rPr>
              <w:t>Greek</w:t>
            </w:r>
          </w:p>
        </w:tc>
        <w:tc>
          <w:tcPr>
            <w:tcW w:w="850" w:type="dxa"/>
          </w:tcPr>
          <w:p w14:paraId="58090A33"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6DD91BDE" w14:textId="2661C300" w:rsidR="006918E5" w:rsidRDefault="006918E5" w:rsidP="006918E5">
            <w:pPr>
              <w:spacing w:line="240" w:lineRule="auto"/>
              <w:rPr>
                <w:rFonts w:cs="Arial"/>
                <w:szCs w:val="21"/>
              </w:rPr>
            </w:pPr>
            <w:r>
              <w:rPr>
                <w:rFonts w:cs="Arial"/>
                <w:szCs w:val="21"/>
              </w:rPr>
              <w:t>110,7</w:t>
            </w:r>
            <w:r w:rsidR="00156CEC">
              <w:rPr>
                <w:rFonts w:cs="Arial"/>
                <w:szCs w:val="21"/>
              </w:rPr>
              <w:t>0</w:t>
            </w:r>
            <w:r>
              <w:rPr>
                <w:rFonts w:cs="Arial"/>
                <w:szCs w:val="21"/>
              </w:rPr>
              <w:t>7 (1.9%)</w:t>
            </w:r>
          </w:p>
        </w:tc>
        <w:tc>
          <w:tcPr>
            <w:tcW w:w="709" w:type="dxa"/>
          </w:tcPr>
          <w:p w14:paraId="3D0F0F95"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05D58B64" w14:textId="493C67A0" w:rsidR="006918E5" w:rsidRDefault="00156CEC" w:rsidP="006918E5">
            <w:pPr>
              <w:spacing w:line="240" w:lineRule="auto"/>
              <w:rPr>
                <w:rFonts w:cs="Arial"/>
                <w:szCs w:val="21"/>
              </w:rPr>
            </w:pPr>
            <w:r>
              <w:rPr>
                <w:rFonts w:cs="Arial"/>
                <w:szCs w:val="21"/>
              </w:rPr>
              <w:t>116,802</w:t>
            </w:r>
            <w:r w:rsidR="006918E5">
              <w:rPr>
                <w:rFonts w:cs="Arial"/>
                <w:szCs w:val="21"/>
              </w:rPr>
              <w:t xml:space="preserve"> (</w:t>
            </w:r>
            <w:r>
              <w:rPr>
                <w:rFonts w:cs="Arial"/>
                <w:szCs w:val="21"/>
              </w:rPr>
              <w:t>2</w:t>
            </w:r>
            <w:r w:rsidR="006918E5">
              <w:rPr>
                <w:rFonts w:cs="Arial"/>
                <w:szCs w:val="21"/>
              </w:rPr>
              <w:t>.</w:t>
            </w:r>
            <w:r>
              <w:rPr>
                <w:rFonts w:cs="Arial"/>
                <w:szCs w:val="21"/>
              </w:rPr>
              <w:t>2</w:t>
            </w:r>
            <w:r w:rsidR="006918E5">
              <w:rPr>
                <w:rFonts w:cs="Arial"/>
                <w:szCs w:val="21"/>
              </w:rPr>
              <w:t>%)</w:t>
            </w:r>
          </w:p>
        </w:tc>
      </w:tr>
      <w:tr w:rsidR="006918E5" w14:paraId="0A213745" w14:textId="77777777" w:rsidTr="00156CEC">
        <w:tc>
          <w:tcPr>
            <w:tcW w:w="2547" w:type="dxa"/>
          </w:tcPr>
          <w:p w14:paraId="0437E716" w14:textId="5BB4246B" w:rsidR="006918E5" w:rsidRPr="00664ABF" w:rsidRDefault="006918E5" w:rsidP="006918E5">
            <w:pPr>
              <w:spacing w:line="240" w:lineRule="auto"/>
              <w:rPr>
                <w:rFonts w:cs="Arial"/>
                <w:szCs w:val="21"/>
              </w:rPr>
            </w:pPr>
            <w:r w:rsidRPr="00664ABF">
              <w:rPr>
                <w:rFonts w:cs="Arial"/>
                <w:szCs w:val="21"/>
              </w:rPr>
              <w:t>Vietnamese</w:t>
            </w:r>
          </w:p>
        </w:tc>
        <w:tc>
          <w:tcPr>
            <w:tcW w:w="850" w:type="dxa"/>
          </w:tcPr>
          <w:p w14:paraId="6FA8E61F"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3D9116C4" w14:textId="0FB3338B" w:rsidR="006918E5" w:rsidRDefault="006918E5" w:rsidP="006918E5">
            <w:pPr>
              <w:spacing w:line="240" w:lineRule="auto"/>
              <w:rPr>
                <w:rFonts w:cs="Arial"/>
                <w:szCs w:val="21"/>
              </w:rPr>
            </w:pPr>
            <w:r>
              <w:rPr>
                <w:rFonts w:cs="Arial"/>
                <w:szCs w:val="21"/>
              </w:rPr>
              <w:t>10</w:t>
            </w:r>
            <w:r w:rsidRPr="00CA5EAE">
              <w:rPr>
                <w:rFonts w:cs="Arial"/>
                <w:szCs w:val="21"/>
              </w:rPr>
              <w:t>3,</w:t>
            </w:r>
            <w:r>
              <w:rPr>
                <w:rFonts w:cs="Arial"/>
                <w:szCs w:val="21"/>
              </w:rPr>
              <w:t>430 (1.7%)</w:t>
            </w:r>
          </w:p>
        </w:tc>
        <w:tc>
          <w:tcPr>
            <w:tcW w:w="709" w:type="dxa"/>
          </w:tcPr>
          <w:p w14:paraId="02233F70"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1D456430" w14:textId="0AF2DE2C" w:rsidR="006918E5" w:rsidRDefault="006918E5" w:rsidP="006918E5">
            <w:pPr>
              <w:spacing w:line="240" w:lineRule="auto"/>
              <w:rPr>
                <w:rFonts w:cs="Arial"/>
                <w:szCs w:val="21"/>
              </w:rPr>
            </w:pPr>
            <w:r w:rsidRPr="00CA5EAE">
              <w:rPr>
                <w:rFonts w:cs="Arial"/>
                <w:szCs w:val="21"/>
              </w:rPr>
              <w:t>8</w:t>
            </w:r>
            <w:r w:rsidR="00156CEC">
              <w:rPr>
                <w:rFonts w:cs="Arial"/>
                <w:szCs w:val="21"/>
              </w:rPr>
              <w:t>6</w:t>
            </w:r>
            <w:r w:rsidRPr="00CA5EAE">
              <w:rPr>
                <w:rFonts w:cs="Arial"/>
                <w:szCs w:val="21"/>
              </w:rPr>
              <w:t>,</w:t>
            </w:r>
            <w:r w:rsidR="00156CEC">
              <w:rPr>
                <w:rFonts w:cs="Arial"/>
                <w:szCs w:val="21"/>
              </w:rPr>
              <w:t>592</w:t>
            </w:r>
            <w:r>
              <w:rPr>
                <w:rFonts w:cs="Arial"/>
                <w:szCs w:val="21"/>
              </w:rPr>
              <w:t xml:space="preserve"> (1.</w:t>
            </w:r>
            <w:r w:rsidR="00156CEC">
              <w:rPr>
                <w:rFonts w:cs="Arial"/>
                <w:szCs w:val="21"/>
              </w:rPr>
              <w:t>6</w:t>
            </w:r>
            <w:r>
              <w:rPr>
                <w:rFonts w:cs="Arial"/>
                <w:szCs w:val="21"/>
              </w:rPr>
              <w:t>%)</w:t>
            </w:r>
          </w:p>
        </w:tc>
      </w:tr>
      <w:tr w:rsidR="006918E5" w14:paraId="6FBB6FF9" w14:textId="77777777" w:rsidTr="00156CEC">
        <w:tc>
          <w:tcPr>
            <w:tcW w:w="2547" w:type="dxa"/>
          </w:tcPr>
          <w:p w14:paraId="37521487" w14:textId="1AC323F2" w:rsidR="006918E5" w:rsidRPr="00664ABF" w:rsidRDefault="006918E5" w:rsidP="006918E5">
            <w:pPr>
              <w:spacing w:line="240" w:lineRule="auto"/>
              <w:rPr>
                <w:rFonts w:cs="Arial"/>
                <w:szCs w:val="21"/>
              </w:rPr>
            </w:pPr>
            <w:r w:rsidRPr="00664ABF">
              <w:rPr>
                <w:rFonts w:cs="Arial"/>
                <w:szCs w:val="21"/>
              </w:rPr>
              <w:t>Arabic</w:t>
            </w:r>
          </w:p>
        </w:tc>
        <w:tc>
          <w:tcPr>
            <w:tcW w:w="850" w:type="dxa"/>
          </w:tcPr>
          <w:p w14:paraId="62EA5D4D" w14:textId="77777777" w:rsidR="006918E5" w:rsidRPr="00664ABF" w:rsidRDefault="006918E5" w:rsidP="006918E5">
            <w:pPr>
              <w:spacing w:line="240" w:lineRule="auto"/>
              <w:rPr>
                <w:rFonts w:cs="Arial"/>
                <w:szCs w:val="21"/>
              </w:rPr>
            </w:pPr>
            <w:r w:rsidRPr="00664ABF">
              <w:rPr>
                <w:rFonts w:cs="Arial"/>
                <w:szCs w:val="21"/>
              </w:rPr>
              <w:t>2016</w:t>
            </w:r>
          </w:p>
        </w:tc>
        <w:tc>
          <w:tcPr>
            <w:tcW w:w="2410" w:type="dxa"/>
          </w:tcPr>
          <w:p w14:paraId="540A4024" w14:textId="37E3818A" w:rsidR="006918E5" w:rsidRDefault="00156CEC" w:rsidP="006918E5">
            <w:pPr>
              <w:spacing w:line="240" w:lineRule="auto"/>
              <w:rPr>
                <w:rFonts w:cs="Arial"/>
                <w:szCs w:val="21"/>
              </w:rPr>
            </w:pPr>
            <w:r>
              <w:rPr>
                <w:rFonts w:cs="Arial"/>
                <w:szCs w:val="21"/>
              </w:rPr>
              <w:t>79,589</w:t>
            </w:r>
            <w:r w:rsidR="006918E5">
              <w:rPr>
                <w:rFonts w:cs="Arial"/>
                <w:szCs w:val="21"/>
              </w:rPr>
              <w:t xml:space="preserve"> (1.</w:t>
            </w:r>
            <w:r>
              <w:rPr>
                <w:rFonts w:cs="Arial"/>
                <w:szCs w:val="21"/>
              </w:rPr>
              <w:t>3</w:t>
            </w:r>
            <w:r w:rsidR="006918E5">
              <w:rPr>
                <w:rFonts w:cs="Arial"/>
                <w:szCs w:val="21"/>
              </w:rPr>
              <w:t>%)</w:t>
            </w:r>
          </w:p>
        </w:tc>
        <w:tc>
          <w:tcPr>
            <w:tcW w:w="709" w:type="dxa"/>
          </w:tcPr>
          <w:p w14:paraId="284B97DF" w14:textId="77777777" w:rsidR="006918E5" w:rsidRPr="00664ABF" w:rsidRDefault="006918E5" w:rsidP="006918E5">
            <w:pPr>
              <w:spacing w:line="240" w:lineRule="auto"/>
              <w:rPr>
                <w:rFonts w:cs="Arial"/>
                <w:szCs w:val="21"/>
              </w:rPr>
            </w:pPr>
            <w:r w:rsidRPr="00664ABF">
              <w:rPr>
                <w:rFonts w:cs="Arial"/>
                <w:szCs w:val="21"/>
              </w:rPr>
              <w:t>2011</w:t>
            </w:r>
          </w:p>
        </w:tc>
        <w:tc>
          <w:tcPr>
            <w:tcW w:w="2772" w:type="dxa"/>
          </w:tcPr>
          <w:p w14:paraId="770E03F9" w14:textId="547E9F9F" w:rsidR="006918E5" w:rsidRDefault="006918E5" w:rsidP="006918E5">
            <w:pPr>
              <w:spacing w:line="240" w:lineRule="auto"/>
              <w:rPr>
                <w:rFonts w:cs="Arial"/>
                <w:szCs w:val="21"/>
              </w:rPr>
            </w:pPr>
            <w:r w:rsidRPr="00CA5EAE">
              <w:rPr>
                <w:rFonts w:cs="Arial"/>
                <w:szCs w:val="21"/>
              </w:rPr>
              <w:t>68,</w:t>
            </w:r>
            <w:r w:rsidR="00156CEC">
              <w:rPr>
                <w:rFonts w:cs="Arial"/>
                <w:szCs w:val="21"/>
              </w:rPr>
              <w:t>437</w:t>
            </w:r>
            <w:r>
              <w:rPr>
                <w:rFonts w:cs="Arial"/>
                <w:szCs w:val="21"/>
              </w:rPr>
              <w:t xml:space="preserve"> (1.3%)</w:t>
            </w:r>
          </w:p>
        </w:tc>
      </w:tr>
      <w:tr w:rsidR="006918E5" w14:paraId="22BD42FA" w14:textId="77777777" w:rsidTr="00156CEC">
        <w:tc>
          <w:tcPr>
            <w:tcW w:w="2547" w:type="dxa"/>
          </w:tcPr>
          <w:p w14:paraId="07F69B39" w14:textId="305B6131" w:rsidR="006918E5" w:rsidRPr="00664ABF" w:rsidRDefault="006918E5" w:rsidP="006918E5">
            <w:pPr>
              <w:spacing w:line="240" w:lineRule="auto"/>
              <w:rPr>
                <w:rFonts w:cs="Arial"/>
                <w:szCs w:val="21"/>
              </w:rPr>
            </w:pPr>
            <w:r w:rsidRPr="00664ABF">
              <w:rPr>
                <w:rFonts w:cs="Arial"/>
                <w:szCs w:val="21"/>
              </w:rPr>
              <w:t>Households where a language other than English (LOTE) language is spoken</w:t>
            </w:r>
          </w:p>
        </w:tc>
        <w:tc>
          <w:tcPr>
            <w:tcW w:w="850" w:type="dxa"/>
          </w:tcPr>
          <w:p w14:paraId="1AAD9C65" w14:textId="2D86464A" w:rsidR="006918E5" w:rsidRPr="00664ABF" w:rsidRDefault="00156CEC" w:rsidP="006918E5">
            <w:pPr>
              <w:spacing w:line="240" w:lineRule="auto"/>
              <w:rPr>
                <w:rFonts w:cs="Arial"/>
                <w:szCs w:val="21"/>
              </w:rPr>
            </w:pPr>
            <w:r w:rsidRPr="00664ABF">
              <w:rPr>
                <w:rFonts w:cs="Arial"/>
                <w:szCs w:val="21"/>
              </w:rPr>
              <w:t>2016</w:t>
            </w:r>
          </w:p>
        </w:tc>
        <w:tc>
          <w:tcPr>
            <w:tcW w:w="2410" w:type="dxa"/>
          </w:tcPr>
          <w:p w14:paraId="11559B7F" w14:textId="2D180F73" w:rsidR="006918E5" w:rsidRPr="00CA5EAE" w:rsidRDefault="00156CEC" w:rsidP="006918E5">
            <w:pPr>
              <w:spacing w:line="240" w:lineRule="auto"/>
              <w:rPr>
                <w:rFonts w:cs="Arial"/>
                <w:szCs w:val="21"/>
              </w:rPr>
            </w:pPr>
            <w:r>
              <w:rPr>
                <w:rFonts w:cs="Arial"/>
                <w:szCs w:val="21"/>
              </w:rPr>
              <w:t>624,141 (27.8%)</w:t>
            </w:r>
          </w:p>
        </w:tc>
        <w:tc>
          <w:tcPr>
            <w:tcW w:w="709" w:type="dxa"/>
          </w:tcPr>
          <w:p w14:paraId="1C3B1195" w14:textId="25CD7DDF" w:rsidR="006918E5" w:rsidRPr="00664ABF" w:rsidRDefault="00156CEC" w:rsidP="006918E5">
            <w:pPr>
              <w:spacing w:line="240" w:lineRule="auto"/>
              <w:rPr>
                <w:rFonts w:cs="Arial"/>
                <w:szCs w:val="21"/>
              </w:rPr>
            </w:pPr>
            <w:r w:rsidRPr="00664ABF">
              <w:rPr>
                <w:rFonts w:cs="Arial"/>
                <w:szCs w:val="21"/>
              </w:rPr>
              <w:t>2011</w:t>
            </w:r>
          </w:p>
        </w:tc>
        <w:tc>
          <w:tcPr>
            <w:tcW w:w="2772" w:type="dxa"/>
          </w:tcPr>
          <w:p w14:paraId="211E4EAF" w14:textId="1EC4F376" w:rsidR="006918E5" w:rsidRPr="00CA5EAE" w:rsidRDefault="00156CEC" w:rsidP="006918E5">
            <w:pPr>
              <w:spacing w:line="240" w:lineRule="auto"/>
              <w:rPr>
                <w:rFonts w:cs="Arial"/>
                <w:szCs w:val="21"/>
              </w:rPr>
            </w:pPr>
            <w:r>
              <w:rPr>
                <w:rFonts w:cs="Arial"/>
                <w:szCs w:val="21"/>
              </w:rPr>
              <w:t>503,888 (25.9%)</w:t>
            </w:r>
          </w:p>
        </w:tc>
      </w:tr>
    </w:tbl>
    <w:p w14:paraId="253A8851" w14:textId="577472FE" w:rsidR="00552CFC" w:rsidRDefault="00552CFC" w:rsidP="00B4363A">
      <w:pPr>
        <w:pStyle w:val="Heading2"/>
      </w:pPr>
      <w:r w:rsidRPr="00B4363A">
        <w:t xml:space="preserve">Chapter 6, Table </w:t>
      </w:r>
      <w:r w:rsidR="007134DF">
        <w:fldChar w:fldCharType="begin"/>
      </w:r>
      <w:r w:rsidR="007134DF">
        <w:instrText xml:space="preserve"> SEQ Table \* ARABIC </w:instrText>
      </w:r>
      <w:r w:rsidR="007134DF">
        <w:fldChar w:fldCharType="separate"/>
      </w:r>
      <w:r w:rsidRPr="00B4363A">
        <w:t>3</w:t>
      </w:r>
      <w:r w:rsidR="007134DF">
        <w:fldChar w:fldCharType="end"/>
      </w:r>
      <w:r w:rsidRPr="00B4363A">
        <w:t>. Crude prevalence of household income by gender, Victoria 2019</w:t>
      </w:r>
    </w:p>
    <w:p w14:paraId="3B7952FE" w14:textId="77777777" w:rsidR="00A7272C" w:rsidRPr="00982A08" w:rsidRDefault="00A7272C" w:rsidP="00A7272C">
      <w:pPr>
        <w:pStyle w:val="Body"/>
        <w:rPr>
          <w:sz w:val="18"/>
          <w:szCs w:val="16"/>
        </w:rPr>
      </w:pPr>
      <w:r w:rsidRPr="00982A08">
        <w:rPr>
          <w:sz w:val="18"/>
          <w:szCs w:val="16"/>
        </w:rPr>
        <w:t>Source: V</w:t>
      </w:r>
      <w:r>
        <w:rPr>
          <w:sz w:val="18"/>
          <w:szCs w:val="16"/>
        </w:rPr>
        <w:t xml:space="preserve">AHI, </w:t>
      </w:r>
      <w:r w:rsidRPr="007A1C4D">
        <w:rPr>
          <w:i/>
          <w:iCs/>
          <w:sz w:val="18"/>
          <w:szCs w:val="16"/>
        </w:rPr>
        <w:t>Victorian Population Health Survey 2019</w:t>
      </w:r>
      <w:r w:rsidRPr="00982A08">
        <w:rPr>
          <w:sz w:val="18"/>
          <w:szCs w:val="16"/>
        </w:rPr>
        <w:t xml:space="preserve">, State of Victoria, Melbourne. </w:t>
      </w:r>
    </w:p>
    <w:tbl>
      <w:tblPr>
        <w:tblStyle w:val="TableGrid"/>
        <w:tblW w:w="0" w:type="auto"/>
        <w:tblLook w:val="04A0" w:firstRow="1" w:lastRow="0" w:firstColumn="1" w:lastColumn="0" w:noHBand="0" w:noVBand="1"/>
      </w:tblPr>
      <w:tblGrid>
        <w:gridCol w:w="2322"/>
        <w:gridCol w:w="2322"/>
        <w:gridCol w:w="2322"/>
        <w:gridCol w:w="2322"/>
      </w:tblGrid>
      <w:tr w:rsidR="00552CFC" w14:paraId="28CF4814" w14:textId="77777777" w:rsidTr="00F3219C">
        <w:trPr>
          <w:tblHeader/>
        </w:trPr>
        <w:tc>
          <w:tcPr>
            <w:tcW w:w="2322" w:type="dxa"/>
            <w:vAlign w:val="bottom"/>
          </w:tcPr>
          <w:p w14:paraId="7C763A81" w14:textId="1731FD34" w:rsidR="00552CFC" w:rsidRPr="003E129C" w:rsidRDefault="00552CFC" w:rsidP="00F3219C">
            <w:pPr>
              <w:pStyle w:val="Tablecolhead"/>
              <w:rPr>
                <w:color w:val="000000" w:themeColor="text1"/>
              </w:rPr>
            </w:pPr>
            <w:r w:rsidRPr="003E129C">
              <w:rPr>
                <w:color w:val="000000" w:themeColor="text1"/>
              </w:rPr>
              <w:t>Household Income</w:t>
            </w:r>
          </w:p>
        </w:tc>
        <w:tc>
          <w:tcPr>
            <w:tcW w:w="2322" w:type="dxa"/>
            <w:vAlign w:val="center"/>
          </w:tcPr>
          <w:p w14:paraId="5EAF6617" w14:textId="39CD8147" w:rsidR="00552CFC" w:rsidRPr="003E129C" w:rsidRDefault="00552CFC" w:rsidP="00F3219C">
            <w:pPr>
              <w:pStyle w:val="Tablecolhead"/>
              <w:rPr>
                <w:color w:val="000000" w:themeColor="text1"/>
              </w:rPr>
            </w:pPr>
            <w:r w:rsidRPr="003E129C">
              <w:rPr>
                <w:color w:val="000000" w:themeColor="text1"/>
              </w:rPr>
              <w:t>Males as a per centage</w:t>
            </w:r>
          </w:p>
        </w:tc>
        <w:tc>
          <w:tcPr>
            <w:tcW w:w="2322" w:type="dxa"/>
            <w:vAlign w:val="center"/>
          </w:tcPr>
          <w:p w14:paraId="09EC6AAF" w14:textId="1BE5413C" w:rsidR="00552CFC" w:rsidRPr="003E129C" w:rsidRDefault="00552CFC" w:rsidP="00F3219C">
            <w:pPr>
              <w:pStyle w:val="Tablecolhead"/>
              <w:rPr>
                <w:color w:val="000000" w:themeColor="text1"/>
              </w:rPr>
            </w:pPr>
            <w:r w:rsidRPr="003E129C">
              <w:rPr>
                <w:color w:val="000000" w:themeColor="text1"/>
              </w:rPr>
              <w:t>Females as a per centage</w:t>
            </w:r>
          </w:p>
        </w:tc>
        <w:tc>
          <w:tcPr>
            <w:tcW w:w="2322" w:type="dxa"/>
            <w:vAlign w:val="center"/>
          </w:tcPr>
          <w:p w14:paraId="4DC56562" w14:textId="1DE2CBB4" w:rsidR="00552CFC" w:rsidRPr="003E129C" w:rsidRDefault="00F014CE" w:rsidP="00F3219C">
            <w:pPr>
              <w:pStyle w:val="Tablecolhead"/>
              <w:rPr>
                <w:color w:val="000000" w:themeColor="text1"/>
              </w:rPr>
            </w:pPr>
            <w:r w:rsidRPr="003E129C">
              <w:rPr>
                <w:color w:val="000000" w:themeColor="text1"/>
              </w:rPr>
              <w:t xml:space="preserve">Per centage of </w:t>
            </w:r>
            <w:r w:rsidR="00552CFC" w:rsidRPr="003E129C">
              <w:rPr>
                <w:color w:val="000000" w:themeColor="text1"/>
              </w:rPr>
              <w:t>Total</w:t>
            </w:r>
            <w:r w:rsidRPr="003E129C">
              <w:rPr>
                <w:color w:val="000000" w:themeColor="text1"/>
              </w:rPr>
              <w:t xml:space="preserve"> Households</w:t>
            </w:r>
          </w:p>
        </w:tc>
      </w:tr>
      <w:tr w:rsidR="00552CFC" w14:paraId="36A19C97" w14:textId="77777777" w:rsidTr="00F3219C">
        <w:tc>
          <w:tcPr>
            <w:tcW w:w="2322" w:type="dxa"/>
            <w:vAlign w:val="bottom"/>
          </w:tcPr>
          <w:p w14:paraId="330CFB30" w14:textId="287617C3" w:rsidR="00552CFC" w:rsidRPr="00664ABF" w:rsidRDefault="00F014CE" w:rsidP="00F3219C">
            <w:pPr>
              <w:pStyle w:val="Body"/>
              <w:rPr>
                <w:bCs/>
                <w:color w:val="000000" w:themeColor="text1"/>
              </w:rPr>
            </w:pPr>
            <w:r w:rsidRPr="00664ABF">
              <w:rPr>
                <w:bCs/>
                <w:color w:val="000000" w:themeColor="text1"/>
                <w:lang w:eastAsia="en-AU"/>
              </w:rPr>
              <w:t>Household income less than $</w:t>
            </w:r>
            <w:r w:rsidR="00552CFC" w:rsidRPr="00664ABF">
              <w:rPr>
                <w:bCs/>
                <w:color w:val="000000" w:themeColor="text1"/>
                <w:lang w:eastAsia="en-AU"/>
              </w:rPr>
              <w:t>20,000</w:t>
            </w:r>
          </w:p>
        </w:tc>
        <w:tc>
          <w:tcPr>
            <w:tcW w:w="2322" w:type="dxa"/>
            <w:vAlign w:val="center"/>
          </w:tcPr>
          <w:p w14:paraId="140D24B3" w14:textId="2AD75046" w:rsidR="00552CFC" w:rsidRDefault="00F014CE" w:rsidP="00F3219C">
            <w:pPr>
              <w:pStyle w:val="Body"/>
            </w:pPr>
            <w:r>
              <w:rPr>
                <w:color w:val="000000"/>
                <w:lang w:eastAsia="en-AU"/>
              </w:rPr>
              <w:t xml:space="preserve">Males </w:t>
            </w:r>
            <w:r w:rsidR="00552CFC">
              <w:rPr>
                <w:color w:val="000000"/>
                <w:lang w:eastAsia="en-AU"/>
              </w:rPr>
              <w:t>4.7</w:t>
            </w:r>
            <w:r>
              <w:rPr>
                <w:color w:val="000000"/>
                <w:lang w:eastAsia="en-AU"/>
              </w:rPr>
              <w:t>%</w:t>
            </w:r>
          </w:p>
        </w:tc>
        <w:tc>
          <w:tcPr>
            <w:tcW w:w="2322" w:type="dxa"/>
            <w:vAlign w:val="center"/>
          </w:tcPr>
          <w:p w14:paraId="5745ACB6" w14:textId="5953C725" w:rsidR="00552CFC" w:rsidRDefault="003B7220" w:rsidP="00F3219C">
            <w:pPr>
              <w:pStyle w:val="Body"/>
            </w:pPr>
            <w:r>
              <w:rPr>
                <w:color w:val="000000"/>
                <w:lang w:eastAsia="en-AU"/>
              </w:rPr>
              <w:t xml:space="preserve">Females </w:t>
            </w:r>
            <w:r w:rsidR="00552CFC">
              <w:rPr>
                <w:color w:val="000000"/>
                <w:lang w:eastAsia="en-AU"/>
              </w:rPr>
              <w:t>4.8</w:t>
            </w:r>
            <w:r>
              <w:rPr>
                <w:color w:val="000000"/>
                <w:lang w:eastAsia="en-AU"/>
              </w:rPr>
              <w:t>%</w:t>
            </w:r>
          </w:p>
        </w:tc>
        <w:tc>
          <w:tcPr>
            <w:tcW w:w="2322" w:type="dxa"/>
            <w:vAlign w:val="center"/>
          </w:tcPr>
          <w:p w14:paraId="26FF991C" w14:textId="32A3C60F" w:rsidR="00552CFC" w:rsidRDefault="003B7220" w:rsidP="00F3219C">
            <w:pPr>
              <w:pStyle w:val="Body"/>
            </w:pPr>
            <w:r>
              <w:rPr>
                <w:color w:val="000000"/>
                <w:lang w:eastAsia="en-AU"/>
              </w:rPr>
              <w:t xml:space="preserve">Households </w:t>
            </w:r>
            <w:r w:rsidR="00552CFC">
              <w:rPr>
                <w:color w:val="000000"/>
                <w:lang w:eastAsia="en-AU"/>
              </w:rPr>
              <w:t>4.7</w:t>
            </w:r>
            <w:r>
              <w:rPr>
                <w:color w:val="000000"/>
                <w:lang w:eastAsia="en-AU"/>
              </w:rPr>
              <w:t>%</w:t>
            </w:r>
          </w:p>
        </w:tc>
      </w:tr>
      <w:tr w:rsidR="00552CFC" w14:paraId="0341A116" w14:textId="77777777" w:rsidTr="00F3219C">
        <w:tc>
          <w:tcPr>
            <w:tcW w:w="2322" w:type="dxa"/>
            <w:vAlign w:val="bottom"/>
          </w:tcPr>
          <w:p w14:paraId="71012964" w14:textId="53F9C77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20,000 to </w:t>
            </w:r>
            <w:r w:rsidRPr="00664ABF">
              <w:rPr>
                <w:bCs/>
                <w:color w:val="000000" w:themeColor="text1"/>
                <w:lang w:eastAsia="en-AU"/>
              </w:rPr>
              <w:t>less than $</w:t>
            </w:r>
            <w:r w:rsidR="00552CFC" w:rsidRPr="00664ABF">
              <w:rPr>
                <w:bCs/>
                <w:color w:val="000000" w:themeColor="text1"/>
                <w:lang w:eastAsia="en-AU"/>
              </w:rPr>
              <w:t>40,000</w:t>
            </w:r>
          </w:p>
        </w:tc>
        <w:tc>
          <w:tcPr>
            <w:tcW w:w="2322" w:type="dxa"/>
            <w:vAlign w:val="center"/>
          </w:tcPr>
          <w:p w14:paraId="549DC7AE" w14:textId="25C131FB" w:rsidR="00552CFC" w:rsidRDefault="00F014CE" w:rsidP="00F3219C">
            <w:pPr>
              <w:pStyle w:val="Body"/>
            </w:pPr>
            <w:r>
              <w:rPr>
                <w:color w:val="000000"/>
                <w:lang w:eastAsia="en-AU"/>
              </w:rPr>
              <w:t xml:space="preserve">Males </w:t>
            </w:r>
            <w:r w:rsidR="00552CFC">
              <w:rPr>
                <w:color w:val="000000"/>
                <w:lang w:eastAsia="en-AU"/>
              </w:rPr>
              <w:t>11.8</w:t>
            </w:r>
            <w:r w:rsidR="003B7220">
              <w:rPr>
                <w:color w:val="000000"/>
                <w:lang w:eastAsia="en-AU"/>
              </w:rPr>
              <w:t>%</w:t>
            </w:r>
          </w:p>
        </w:tc>
        <w:tc>
          <w:tcPr>
            <w:tcW w:w="2322" w:type="dxa"/>
            <w:vAlign w:val="center"/>
          </w:tcPr>
          <w:p w14:paraId="44023CD8" w14:textId="4AEAE923" w:rsidR="00552CFC" w:rsidRDefault="003B7220" w:rsidP="00F3219C">
            <w:pPr>
              <w:pStyle w:val="Body"/>
            </w:pPr>
            <w:r>
              <w:rPr>
                <w:color w:val="000000"/>
                <w:lang w:eastAsia="en-AU"/>
              </w:rPr>
              <w:t xml:space="preserve">Females </w:t>
            </w:r>
            <w:r w:rsidR="00552CFC">
              <w:rPr>
                <w:color w:val="000000"/>
                <w:lang w:eastAsia="en-AU"/>
              </w:rPr>
              <w:t>15.9</w:t>
            </w:r>
            <w:r>
              <w:rPr>
                <w:color w:val="000000"/>
                <w:lang w:eastAsia="en-AU"/>
              </w:rPr>
              <w:t>%</w:t>
            </w:r>
          </w:p>
        </w:tc>
        <w:tc>
          <w:tcPr>
            <w:tcW w:w="2322" w:type="dxa"/>
            <w:vAlign w:val="center"/>
          </w:tcPr>
          <w:p w14:paraId="24E5141F" w14:textId="7A5A8F3F" w:rsidR="00552CFC" w:rsidRDefault="003B7220" w:rsidP="00F3219C">
            <w:pPr>
              <w:pStyle w:val="Body"/>
            </w:pPr>
            <w:r>
              <w:rPr>
                <w:color w:val="000000"/>
                <w:lang w:eastAsia="en-AU"/>
              </w:rPr>
              <w:t xml:space="preserve">Households </w:t>
            </w:r>
            <w:r w:rsidR="00552CFC">
              <w:rPr>
                <w:color w:val="000000"/>
                <w:lang w:eastAsia="en-AU"/>
              </w:rPr>
              <w:t>13.9</w:t>
            </w:r>
            <w:r>
              <w:rPr>
                <w:color w:val="000000"/>
                <w:lang w:eastAsia="en-AU"/>
              </w:rPr>
              <w:t>%</w:t>
            </w:r>
          </w:p>
        </w:tc>
      </w:tr>
      <w:tr w:rsidR="00552CFC" w14:paraId="2D7FFFBE" w14:textId="77777777" w:rsidTr="00F3219C">
        <w:tc>
          <w:tcPr>
            <w:tcW w:w="2322" w:type="dxa"/>
            <w:vAlign w:val="bottom"/>
          </w:tcPr>
          <w:p w14:paraId="07CD88D6" w14:textId="34F3F00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40,000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60,000</w:t>
            </w:r>
          </w:p>
        </w:tc>
        <w:tc>
          <w:tcPr>
            <w:tcW w:w="2322" w:type="dxa"/>
            <w:vAlign w:val="center"/>
          </w:tcPr>
          <w:p w14:paraId="730723ED" w14:textId="2ECDBC65" w:rsidR="00552CFC" w:rsidRDefault="00F014CE" w:rsidP="00F3219C">
            <w:pPr>
              <w:pStyle w:val="Body"/>
            </w:pPr>
            <w:r>
              <w:rPr>
                <w:color w:val="000000"/>
                <w:lang w:eastAsia="en-AU"/>
              </w:rPr>
              <w:t xml:space="preserve">Males </w:t>
            </w:r>
            <w:r w:rsidR="00552CFC">
              <w:rPr>
                <w:color w:val="000000"/>
                <w:lang w:eastAsia="en-AU"/>
              </w:rPr>
              <w:t>11.4</w:t>
            </w:r>
            <w:r w:rsidR="003B7220">
              <w:rPr>
                <w:color w:val="000000"/>
                <w:lang w:eastAsia="en-AU"/>
              </w:rPr>
              <w:t>%</w:t>
            </w:r>
          </w:p>
        </w:tc>
        <w:tc>
          <w:tcPr>
            <w:tcW w:w="2322" w:type="dxa"/>
            <w:vAlign w:val="center"/>
          </w:tcPr>
          <w:p w14:paraId="73FA360B" w14:textId="1CBA201E" w:rsidR="00552CFC" w:rsidRDefault="003B7220" w:rsidP="00F3219C">
            <w:pPr>
              <w:pStyle w:val="Body"/>
            </w:pPr>
            <w:r>
              <w:rPr>
                <w:color w:val="000000"/>
                <w:lang w:eastAsia="en-AU"/>
              </w:rPr>
              <w:t xml:space="preserve">Females </w:t>
            </w:r>
            <w:r w:rsidR="00552CFC">
              <w:rPr>
                <w:color w:val="000000"/>
                <w:lang w:eastAsia="en-AU"/>
              </w:rPr>
              <w:t>11.0</w:t>
            </w:r>
            <w:r>
              <w:rPr>
                <w:color w:val="000000"/>
                <w:lang w:eastAsia="en-AU"/>
              </w:rPr>
              <w:t>%</w:t>
            </w:r>
          </w:p>
        </w:tc>
        <w:tc>
          <w:tcPr>
            <w:tcW w:w="2322" w:type="dxa"/>
            <w:vAlign w:val="center"/>
          </w:tcPr>
          <w:p w14:paraId="60F837C2" w14:textId="663D05FF" w:rsidR="00552CFC" w:rsidRDefault="003B7220" w:rsidP="00F3219C">
            <w:pPr>
              <w:pStyle w:val="Body"/>
            </w:pPr>
            <w:r>
              <w:rPr>
                <w:color w:val="000000"/>
                <w:lang w:eastAsia="en-AU"/>
              </w:rPr>
              <w:t xml:space="preserve">Households </w:t>
            </w:r>
            <w:r w:rsidR="00552CFC">
              <w:rPr>
                <w:color w:val="000000"/>
                <w:lang w:eastAsia="en-AU"/>
              </w:rPr>
              <w:t>11.2</w:t>
            </w:r>
            <w:r>
              <w:rPr>
                <w:color w:val="000000"/>
                <w:lang w:eastAsia="en-AU"/>
              </w:rPr>
              <w:t>%</w:t>
            </w:r>
          </w:p>
        </w:tc>
      </w:tr>
      <w:tr w:rsidR="00552CFC" w14:paraId="66EBCA7E" w14:textId="77777777" w:rsidTr="00F3219C">
        <w:tc>
          <w:tcPr>
            <w:tcW w:w="2322" w:type="dxa"/>
            <w:vAlign w:val="bottom"/>
          </w:tcPr>
          <w:p w14:paraId="2282F5F1" w14:textId="75761774"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60,000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80,000</w:t>
            </w:r>
          </w:p>
        </w:tc>
        <w:tc>
          <w:tcPr>
            <w:tcW w:w="2322" w:type="dxa"/>
            <w:vAlign w:val="center"/>
          </w:tcPr>
          <w:p w14:paraId="1521D0D5" w14:textId="3486B4AA" w:rsidR="00552CFC" w:rsidRDefault="00F014CE" w:rsidP="00F3219C">
            <w:pPr>
              <w:pStyle w:val="Body"/>
            </w:pPr>
            <w:r>
              <w:rPr>
                <w:color w:val="000000"/>
                <w:lang w:eastAsia="en-AU"/>
              </w:rPr>
              <w:t xml:space="preserve">Males </w:t>
            </w:r>
            <w:r w:rsidR="00552CFC">
              <w:rPr>
                <w:color w:val="000000"/>
                <w:lang w:eastAsia="en-AU"/>
              </w:rPr>
              <w:t>10.3</w:t>
            </w:r>
            <w:r w:rsidR="003B7220">
              <w:rPr>
                <w:color w:val="000000"/>
                <w:lang w:eastAsia="en-AU"/>
              </w:rPr>
              <w:t>%</w:t>
            </w:r>
          </w:p>
        </w:tc>
        <w:tc>
          <w:tcPr>
            <w:tcW w:w="2322" w:type="dxa"/>
            <w:vAlign w:val="center"/>
          </w:tcPr>
          <w:p w14:paraId="4D552A49" w14:textId="10F4D0F4" w:rsidR="00552CFC" w:rsidRDefault="003B7220" w:rsidP="00F3219C">
            <w:pPr>
              <w:pStyle w:val="Body"/>
            </w:pPr>
            <w:r>
              <w:rPr>
                <w:color w:val="000000"/>
                <w:lang w:eastAsia="en-AU"/>
              </w:rPr>
              <w:t xml:space="preserve">Females </w:t>
            </w:r>
            <w:r w:rsidR="00552CFC">
              <w:rPr>
                <w:color w:val="000000"/>
                <w:lang w:eastAsia="en-AU"/>
              </w:rPr>
              <w:t>8.9</w:t>
            </w:r>
            <w:r>
              <w:rPr>
                <w:color w:val="000000"/>
                <w:lang w:eastAsia="en-AU"/>
              </w:rPr>
              <w:t>%</w:t>
            </w:r>
          </w:p>
        </w:tc>
        <w:tc>
          <w:tcPr>
            <w:tcW w:w="2322" w:type="dxa"/>
            <w:vAlign w:val="center"/>
          </w:tcPr>
          <w:p w14:paraId="5744011E" w14:textId="1F694E33" w:rsidR="00552CFC" w:rsidRDefault="003B7220" w:rsidP="00F3219C">
            <w:pPr>
              <w:pStyle w:val="Body"/>
            </w:pPr>
            <w:r>
              <w:rPr>
                <w:color w:val="000000"/>
                <w:lang w:eastAsia="en-AU"/>
              </w:rPr>
              <w:t xml:space="preserve">Households </w:t>
            </w:r>
            <w:r w:rsidR="00552CFC">
              <w:rPr>
                <w:color w:val="000000"/>
                <w:lang w:eastAsia="en-AU"/>
              </w:rPr>
              <w:t>9.6</w:t>
            </w:r>
            <w:r>
              <w:rPr>
                <w:color w:val="000000"/>
                <w:lang w:eastAsia="en-AU"/>
              </w:rPr>
              <w:t>%</w:t>
            </w:r>
          </w:p>
        </w:tc>
      </w:tr>
      <w:tr w:rsidR="00552CFC" w14:paraId="75B339D7" w14:textId="77777777" w:rsidTr="00F3219C">
        <w:tc>
          <w:tcPr>
            <w:tcW w:w="2322" w:type="dxa"/>
            <w:vAlign w:val="bottom"/>
          </w:tcPr>
          <w:p w14:paraId="7EC42181" w14:textId="5DD6865D" w:rsidR="00552CFC" w:rsidRPr="00664ABF" w:rsidRDefault="00F014CE" w:rsidP="00F3219C">
            <w:pPr>
              <w:pStyle w:val="Body"/>
              <w:rPr>
                <w:bCs/>
                <w:color w:val="000000" w:themeColor="text1"/>
              </w:rPr>
            </w:pPr>
            <w:r w:rsidRPr="00664ABF">
              <w:rPr>
                <w:bCs/>
                <w:color w:val="000000" w:themeColor="text1"/>
                <w:lang w:eastAsia="en-AU"/>
              </w:rPr>
              <w:t>Household income equal to or greater than $</w:t>
            </w:r>
            <w:r w:rsidR="00552CFC" w:rsidRPr="00664ABF">
              <w:rPr>
                <w:bCs/>
                <w:color w:val="000000" w:themeColor="text1"/>
                <w:lang w:eastAsia="en-AU"/>
              </w:rPr>
              <w:t xml:space="preserve">80,000 </w:t>
            </w:r>
            <w:r w:rsidRPr="00664ABF">
              <w:rPr>
                <w:bCs/>
                <w:color w:val="000000" w:themeColor="text1"/>
                <w:lang w:eastAsia="en-AU"/>
              </w:rPr>
              <w:t>to less than</w:t>
            </w:r>
            <w:r w:rsidR="00552CFC" w:rsidRPr="00664ABF">
              <w:rPr>
                <w:bCs/>
                <w:color w:val="000000" w:themeColor="text1"/>
                <w:lang w:eastAsia="en-AU"/>
              </w:rPr>
              <w:t xml:space="preserve"> </w:t>
            </w:r>
            <w:r w:rsidRPr="00664ABF">
              <w:rPr>
                <w:bCs/>
                <w:color w:val="000000" w:themeColor="text1"/>
                <w:lang w:eastAsia="en-AU"/>
              </w:rPr>
              <w:t>$</w:t>
            </w:r>
            <w:r w:rsidR="00552CFC" w:rsidRPr="00664ABF">
              <w:rPr>
                <w:bCs/>
                <w:color w:val="000000" w:themeColor="text1"/>
                <w:lang w:eastAsia="en-AU"/>
              </w:rPr>
              <w:t>100,000</w:t>
            </w:r>
          </w:p>
        </w:tc>
        <w:tc>
          <w:tcPr>
            <w:tcW w:w="2322" w:type="dxa"/>
            <w:vAlign w:val="center"/>
          </w:tcPr>
          <w:p w14:paraId="45465AFB" w14:textId="7027737F" w:rsidR="00552CFC" w:rsidRDefault="00F014CE" w:rsidP="00F3219C">
            <w:pPr>
              <w:pStyle w:val="Body"/>
            </w:pPr>
            <w:r>
              <w:rPr>
                <w:color w:val="000000"/>
                <w:lang w:eastAsia="en-AU"/>
              </w:rPr>
              <w:t xml:space="preserve">Males </w:t>
            </w:r>
            <w:r w:rsidR="00552CFC">
              <w:rPr>
                <w:color w:val="000000"/>
                <w:lang w:eastAsia="en-AU"/>
              </w:rPr>
              <w:t>10.1</w:t>
            </w:r>
            <w:r w:rsidR="003B7220">
              <w:rPr>
                <w:color w:val="000000"/>
                <w:lang w:eastAsia="en-AU"/>
              </w:rPr>
              <w:t>%</w:t>
            </w:r>
          </w:p>
        </w:tc>
        <w:tc>
          <w:tcPr>
            <w:tcW w:w="2322" w:type="dxa"/>
            <w:vAlign w:val="center"/>
          </w:tcPr>
          <w:p w14:paraId="371D389C" w14:textId="2985FAE8" w:rsidR="00552CFC" w:rsidRDefault="003B7220" w:rsidP="00F3219C">
            <w:pPr>
              <w:pStyle w:val="Body"/>
            </w:pPr>
            <w:r>
              <w:rPr>
                <w:color w:val="000000"/>
                <w:lang w:eastAsia="en-AU"/>
              </w:rPr>
              <w:t xml:space="preserve">Females </w:t>
            </w:r>
            <w:r w:rsidR="00552CFC">
              <w:rPr>
                <w:color w:val="000000"/>
                <w:lang w:eastAsia="en-AU"/>
              </w:rPr>
              <w:t>7.7</w:t>
            </w:r>
            <w:r>
              <w:rPr>
                <w:color w:val="000000"/>
                <w:lang w:eastAsia="en-AU"/>
              </w:rPr>
              <w:t>%</w:t>
            </w:r>
          </w:p>
        </w:tc>
        <w:tc>
          <w:tcPr>
            <w:tcW w:w="2322" w:type="dxa"/>
            <w:vAlign w:val="center"/>
          </w:tcPr>
          <w:p w14:paraId="771181F3" w14:textId="14B340C6" w:rsidR="00552CFC" w:rsidRDefault="003B7220" w:rsidP="00F3219C">
            <w:pPr>
              <w:pStyle w:val="Body"/>
            </w:pPr>
            <w:r>
              <w:rPr>
                <w:color w:val="000000"/>
                <w:lang w:eastAsia="en-AU"/>
              </w:rPr>
              <w:t xml:space="preserve">Households </w:t>
            </w:r>
            <w:r w:rsidR="00552CFC">
              <w:rPr>
                <w:color w:val="000000"/>
                <w:lang w:eastAsia="en-AU"/>
              </w:rPr>
              <w:t>8.9</w:t>
            </w:r>
            <w:r>
              <w:rPr>
                <w:color w:val="000000"/>
                <w:lang w:eastAsia="en-AU"/>
              </w:rPr>
              <w:t>%</w:t>
            </w:r>
          </w:p>
        </w:tc>
      </w:tr>
      <w:tr w:rsidR="00552CFC" w14:paraId="4CF05650" w14:textId="77777777" w:rsidTr="00F3219C">
        <w:tc>
          <w:tcPr>
            <w:tcW w:w="2322" w:type="dxa"/>
            <w:vAlign w:val="bottom"/>
          </w:tcPr>
          <w:p w14:paraId="77BEE2F7" w14:textId="0DFF566B" w:rsidR="00552CFC" w:rsidRPr="00664ABF" w:rsidRDefault="00F014CE" w:rsidP="00F3219C">
            <w:pPr>
              <w:pStyle w:val="Body"/>
              <w:rPr>
                <w:bCs/>
                <w:color w:val="000000" w:themeColor="text1"/>
              </w:rPr>
            </w:pPr>
            <w:r w:rsidRPr="00664ABF">
              <w:rPr>
                <w:bCs/>
                <w:color w:val="000000" w:themeColor="text1"/>
                <w:lang w:eastAsia="en-AU"/>
              </w:rPr>
              <w:t>Household income greater than $</w:t>
            </w:r>
            <w:r w:rsidR="00552CFC" w:rsidRPr="00664ABF">
              <w:rPr>
                <w:bCs/>
                <w:color w:val="000000" w:themeColor="text1"/>
                <w:lang w:eastAsia="en-AU"/>
              </w:rPr>
              <w:t>100,000</w:t>
            </w:r>
            <w:r w:rsidRPr="00664ABF">
              <w:rPr>
                <w:bCs/>
                <w:color w:val="000000" w:themeColor="text1"/>
                <w:lang w:eastAsia="en-AU"/>
              </w:rPr>
              <w:t xml:space="preserve"> </w:t>
            </w:r>
          </w:p>
        </w:tc>
        <w:tc>
          <w:tcPr>
            <w:tcW w:w="2322" w:type="dxa"/>
            <w:vAlign w:val="center"/>
          </w:tcPr>
          <w:p w14:paraId="7116134A" w14:textId="5BBC3913" w:rsidR="00552CFC" w:rsidRDefault="00F014CE" w:rsidP="00F3219C">
            <w:pPr>
              <w:pStyle w:val="Body"/>
            </w:pPr>
            <w:r>
              <w:rPr>
                <w:color w:val="000000"/>
                <w:lang w:eastAsia="en-AU"/>
              </w:rPr>
              <w:t xml:space="preserve">Males </w:t>
            </w:r>
            <w:r w:rsidR="00552CFC">
              <w:rPr>
                <w:color w:val="000000"/>
                <w:lang w:eastAsia="en-AU"/>
              </w:rPr>
              <w:t>33.0</w:t>
            </w:r>
            <w:r w:rsidR="003B7220">
              <w:rPr>
                <w:color w:val="000000"/>
                <w:lang w:eastAsia="en-AU"/>
              </w:rPr>
              <w:t>%</w:t>
            </w:r>
          </w:p>
        </w:tc>
        <w:tc>
          <w:tcPr>
            <w:tcW w:w="2322" w:type="dxa"/>
            <w:vAlign w:val="center"/>
          </w:tcPr>
          <w:p w14:paraId="76EEFDEF" w14:textId="6C03797E" w:rsidR="00552CFC" w:rsidRDefault="003B7220" w:rsidP="00F3219C">
            <w:pPr>
              <w:pStyle w:val="Body"/>
            </w:pPr>
            <w:r>
              <w:rPr>
                <w:color w:val="000000"/>
                <w:lang w:eastAsia="en-AU"/>
              </w:rPr>
              <w:t xml:space="preserve">Females </w:t>
            </w:r>
            <w:r w:rsidR="00552CFC">
              <w:rPr>
                <w:color w:val="000000"/>
                <w:lang w:eastAsia="en-AU"/>
              </w:rPr>
              <w:t>26.1</w:t>
            </w:r>
            <w:r>
              <w:rPr>
                <w:color w:val="000000"/>
                <w:lang w:eastAsia="en-AU"/>
              </w:rPr>
              <w:t>%</w:t>
            </w:r>
          </w:p>
        </w:tc>
        <w:tc>
          <w:tcPr>
            <w:tcW w:w="2322" w:type="dxa"/>
            <w:vAlign w:val="center"/>
          </w:tcPr>
          <w:p w14:paraId="4990A3FF" w14:textId="1CD71097" w:rsidR="00552CFC" w:rsidRDefault="003B7220" w:rsidP="00F3219C">
            <w:pPr>
              <w:pStyle w:val="Body"/>
            </w:pPr>
            <w:r>
              <w:rPr>
                <w:color w:val="000000"/>
                <w:lang w:eastAsia="en-AU"/>
              </w:rPr>
              <w:t xml:space="preserve">Households </w:t>
            </w:r>
            <w:r w:rsidR="00552CFC">
              <w:rPr>
                <w:color w:val="000000"/>
                <w:lang w:eastAsia="en-AU"/>
              </w:rPr>
              <w:t>29.4</w:t>
            </w:r>
            <w:r>
              <w:rPr>
                <w:color w:val="000000"/>
                <w:lang w:eastAsia="en-AU"/>
              </w:rPr>
              <w:t>%</w:t>
            </w:r>
          </w:p>
        </w:tc>
      </w:tr>
      <w:tr w:rsidR="00552CFC" w14:paraId="1A4F786E" w14:textId="77777777" w:rsidTr="00F3219C">
        <w:tc>
          <w:tcPr>
            <w:tcW w:w="2322" w:type="dxa"/>
          </w:tcPr>
          <w:p w14:paraId="3B2C0B63" w14:textId="330663E8" w:rsidR="00552CFC" w:rsidRPr="00664ABF" w:rsidRDefault="00552CFC" w:rsidP="00F3219C">
            <w:pPr>
              <w:pStyle w:val="Body"/>
              <w:rPr>
                <w:bCs/>
                <w:color w:val="000000" w:themeColor="text1"/>
              </w:rPr>
            </w:pPr>
            <w:r w:rsidRPr="00664ABF">
              <w:rPr>
                <w:bCs/>
                <w:color w:val="000000" w:themeColor="text1"/>
              </w:rPr>
              <w:t>Don't know</w:t>
            </w:r>
            <w:r w:rsidR="003B7220" w:rsidRPr="00664ABF">
              <w:rPr>
                <w:bCs/>
                <w:color w:val="000000" w:themeColor="text1"/>
              </w:rPr>
              <w:t xml:space="preserve"> or r</w:t>
            </w:r>
            <w:r w:rsidRPr="00664ABF">
              <w:rPr>
                <w:bCs/>
                <w:color w:val="000000" w:themeColor="text1"/>
              </w:rPr>
              <w:t>efused to answer</w:t>
            </w:r>
            <w:r w:rsidR="00F014CE" w:rsidRPr="00664ABF">
              <w:rPr>
                <w:bCs/>
                <w:color w:val="000000" w:themeColor="text1"/>
              </w:rPr>
              <w:t xml:space="preserve"> question</w:t>
            </w:r>
          </w:p>
        </w:tc>
        <w:tc>
          <w:tcPr>
            <w:tcW w:w="2322" w:type="dxa"/>
          </w:tcPr>
          <w:p w14:paraId="23BDA404" w14:textId="03E06FCB" w:rsidR="00552CFC" w:rsidRDefault="00F014CE" w:rsidP="00F3219C">
            <w:pPr>
              <w:pStyle w:val="Body"/>
            </w:pPr>
            <w:r>
              <w:rPr>
                <w:color w:val="000000"/>
                <w:lang w:eastAsia="en-AU"/>
              </w:rPr>
              <w:t>Males</w:t>
            </w:r>
            <w:r w:rsidRPr="00594990">
              <w:t xml:space="preserve"> </w:t>
            </w:r>
            <w:r w:rsidR="00552CFC" w:rsidRPr="00594990">
              <w:t>18.6</w:t>
            </w:r>
            <w:r w:rsidR="003B7220">
              <w:t>%</w:t>
            </w:r>
          </w:p>
        </w:tc>
        <w:tc>
          <w:tcPr>
            <w:tcW w:w="2322" w:type="dxa"/>
          </w:tcPr>
          <w:p w14:paraId="3D49F922" w14:textId="0081D275" w:rsidR="00552CFC" w:rsidRDefault="003B7220" w:rsidP="00F3219C">
            <w:pPr>
              <w:pStyle w:val="Body"/>
            </w:pPr>
            <w:r>
              <w:rPr>
                <w:color w:val="000000"/>
                <w:lang w:eastAsia="en-AU"/>
              </w:rPr>
              <w:t>Females</w:t>
            </w:r>
            <w:r w:rsidRPr="00594990">
              <w:t xml:space="preserve"> </w:t>
            </w:r>
            <w:r w:rsidR="00552CFC" w:rsidRPr="00594990">
              <w:t>25.6</w:t>
            </w:r>
            <w:r>
              <w:t>%</w:t>
            </w:r>
          </w:p>
        </w:tc>
        <w:tc>
          <w:tcPr>
            <w:tcW w:w="2322" w:type="dxa"/>
          </w:tcPr>
          <w:p w14:paraId="59E7525C" w14:textId="13F84130" w:rsidR="00552CFC" w:rsidRDefault="003B7220" w:rsidP="00F3219C">
            <w:pPr>
              <w:pStyle w:val="Body"/>
            </w:pPr>
            <w:r>
              <w:rPr>
                <w:color w:val="000000"/>
                <w:lang w:eastAsia="en-AU"/>
              </w:rPr>
              <w:t xml:space="preserve">Households </w:t>
            </w:r>
            <w:r w:rsidR="00552CFC" w:rsidRPr="00594990">
              <w:t>22.2</w:t>
            </w:r>
            <w:r>
              <w:t>%</w:t>
            </w:r>
          </w:p>
        </w:tc>
      </w:tr>
    </w:tbl>
    <w:p w14:paraId="752E8CA2" w14:textId="14097DD1" w:rsidR="000E6361" w:rsidRDefault="000E6361" w:rsidP="003671B2">
      <w:pPr>
        <w:pStyle w:val="Body"/>
      </w:pPr>
    </w:p>
    <w:p w14:paraId="359D5830" w14:textId="6C889C93" w:rsidR="00552CFC" w:rsidRPr="00B4363A" w:rsidRDefault="003B7220" w:rsidP="00B4363A">
      <w:pPr>
        <w:pStyle w:val="Heading2"/>
      </w:pPr>
      <w:r w:rsidRPr="00B4363A">
        <w:lastRenderedPageBreak/>
        <w:t>Chapter 8, Table 1. Ten leading causes of death in Victoria in 2019</w:t>
      </w:r>
    </w:p>
    <w:tbl>
      <w:tblPr>
        <w:tblStyle w:val="TableGrid"/>
        <w:tblW w:w="0" w:type="auto"/>
        <w:tblLook w:val="04A0" w:firstRow="1" w:lastRow="0" w:firstColumn="1" w:lastColumn="0" w:noHBand="0" w:noVBand="1"/>
      </w:tblPr>
      <w:tblGrid>
        <w:gridCol w:w="3226"/>
        <w:gridCol w:w="1337"/>
        <w:gridCol w:w="1460"/>
        <w:gridCol w:w="1643"/>
        <w:gridCol w:w="1622"/>
      </w:tblGrid>
      <w:tr w:rsidR="003E129C" w14:paraId="5C11A0C5" w14:textId="77777777" w:rsidTr="00F3219C">
        <w:tc>
          <w:tcPr>
            <w:tcW w:w="0" w:type="auto"/>
          </w:tcPr>
          <w:p w14:paraId="4E980728" w14:textId="77777777" w:rsidR="00552CFC" w:rsidRPr="003E129C" w:rsidRDefault="00552CFC" w:rsidP="00F3219C">
            <w:pPr>
              <w:pStyle w:val="Tablecolhead"/>
              <w:rPr>
                <w:color w:val="000000" w:themeColor="text1"/>
              </w:rPr>
            </w:pPr>
            <w:r w:rsidRPr="003E129C">
              <w:rPr>
                <w:color w:val="000000" w:themeColor="text1"/>
              </w:rPr>
              <w:t>Causes of Death</w:t>
            </w:r>
          </w:p>
        </w:tc>
        <w:tc>
          <w:tcPr>
            <w:tcW w:w="0" w:type="auto"/>
          </w:tcPr>
          <w:p w14:paraId="39576FA9" w14:textId="30859269" w:rsidR="00552CFC" w:rsidRPr="003E129C" w:rsidRDefault="003E129C" w:rsidP="00F3219C">
            <w:pPr>
              <w:pStyle w:val="Tablecolhead"/>
              <w:rPr>
                <w:color w:val="000000" w:themeColor="text1"/>
              </w:rPr>
            </w:pPr>
            <w:r w:rsidRPr="003E129C">
              <w:rPr>
                <w:color w:val="000000" w:themeColor="text1"/>
              </w:rPr>
              <w:t xml:space="preserve">Number of </w:t>
            </w:r>
            <w:r w:rsidR="00552CFC" w:rsidRPr="003E129C">
              <w:rPr>
                <w:color w:val="000000" w:themeColor="text1"/>
              </w:rPr>
              <w:t>Males</w:t>
            </w:r>
          </w:p>
        </w:tc>
        <w:tc>
          <w:tcPr>
            <w:tcW w:w="0" w:type="auto"/>
          </w:tcPr>
          <w:p w14:paraId="6A636FF9" w14:textId="0DFECA1A" w:rsidR="00552CFC" w:rsidRPr="003E129C" w:rsidRDefault="003E129C" w:rsidP="00F3219C">
            <w:pPr>
              <w:pStyle w:val="Tablecolhead"/>
              <w:rPr>
                <w:color w:val="000000" w:themeColor="text1"/>
              </w:rPr>
            </w:pPr>
            <w:r w:rsidRPr="003E129C">
              <w:rPr>
                <w:color w:val="000000" w:themeColor="text1"/>
              </w:rPr>
              <w:t xml:space="preserve">Number of </w:t>
            </w:r>
            <w:r w:rsidR="00552CFC" w:rsidRPr="003E129C">
              <w:rPr>
                <w:color w:val="000000" w:themeColor="text1"/>
              </w:rPr>
              <w:t>Females</w:t>
            </w:r>
          </w:p>
        </w:tc>
        <w:tc>
          <w:tcPr>
            <w:tcW w:w="0" w:type="auto"/>
          </w:tcPr>
          <w:p w14:paraId="03CB8B89" w14:textId="2D7E24C7" w:rsidR="00552CFC" w:rsidRPr="003E129C" w:rsidRDefault="003B7220" w:rsidP="00F3219C">
            <w:pPr>
              <w:pStyle w:val="Tablecolhead"/>
              <w:rPr>
                <w:color w:val="000000" w:themeColor="text1"/>
              </w:rPr>
            </w:pPr>
            <w:r w:rsidRPr="003E129C">
              <w:rPr>
                <w:color w:val="000000" w:themeColor="text1"/>
              </w:rPr>
              <w:t xml:space="preserve">Total number of </w:t>
            </w:r>
            <w:r w:rsidR="00552CFC" w:rsidRPr="003E129C">
              <w:rPr>
                <w:color w:val="000000" w:themeColor="text1"/>
              </w:rPr>
              <w:t>Persons</w:t>
            </w:r>
          </w:p>
        </w:tc>
        <w:tc>
          <w:tcPr>
            <w:tcW w:w="0" w:type="auto"/>
          </w:tcPr>
          <w:p w14:paraId="32B4C5B6" w14:textId="2031EC83" w:rsidR="00552CFC" w:rsidRPr="003E129C" w:rsidRDefault="00552CFC" w:rsidP="00F3219C">
            <w:pPr>
              <w:pStyle w:val="Tablecolhead"/>
              <w:rPr>
                <w:color w:val="000000" w:themeColor="text1"/>
              </w:rPr>
            </w:pPr>
            <w:r w:rsidRPr="003E129C">
              <w:rPr>
                <w:color w:val="000000" w:themeColor="text1"/>
              </w:rPr>
              <w:t>Per</w:t>
            </w:r>
            <w:r w:rsidR="003E129C" w:rsidRPr="003E129C">
              <w:rPr>
                <w:color w:val="000000" w:themeColor="text1"/>
              </w:rPr>
              <w:t xml:space="preserve"> </w:t>
            </w:r>
            <w:r w:rsidRPr="003E129C">
              <w:rPr>
                <w:color w:val="000000" w:themeColor="text1"/>
              </w:rPr>
              <w:t>centage of all deaths</w:t>
            </w:r>
          </w:p>
        </w:tc>
      </w:tr>
      <w:tr w:rsidR="003E129C" w14:paraId="5B1B55CF" w14:textId="77777777" w:rsidTr="00F3219C">
        <w:tc>
          <w:tcPr>
            <w:tcW w:w="0" w:type="auto"/>
          </w:tcPr>
          <w:p w14:paraId="2B51949D" w14:textId="77777777" w:rsidR="00552CFC" w:rsidRPr="00664ABF" w:rsidRDefault="00552CFC" w:rsidP="00F3219C">
            <w:pPr>
              <w:pStyle w:val="Tabletext"/>
              <w:rPr>
                <w:bCs/>
                <w:color w:val="000000" w:themeColor="text1"/>
              </w:rPr>
            </w:pPr>
            <w:r w:rsidRPr="00664ABF">
              <w:rPr>
                <w:bCs/>
                <w:color w:val="000000" w:themeColor="text1"/>
              </w:rPr>
              <w:t>Ischaemic heart diseases</w:t>
            </w:r>
          </w:p>
        </w:tc>
        <w:tc>
          <w:tcPr>
            <w:tcW w:w="0" w:type="auto"/>
            <w:vAlign w:val="bottom"/>
          </w:tcPr>
          <w:p w14:paraId="73BF05DA" w14:textId="25DE8DD9" w:rsidR="00552CFC" w:rsidRDefault="003B7220" w:rsidP="00F3219C">
            <w:pPr>
              <w:pStyle w:val="Tabletext"/>
            </w:pPr>
            <w:r>
              <w:t xml:space="preserve">Males </w:t>
            </w:r>
            <w:r w:rsidR="00552CFC" w:rsidRPr="00D326B6">
              <w:t>2,985</w:t>
            </w:r>
          </w:p>
        </w:tc>
        <w:tc>
          <w:tcPr>
            <w:tcW w:w="0" w:type="auto"/>
            <w:vAlign w:val="bottom"/>
          </w:tcPr>
          <w:p w14:paraId="02506C98" w14:textId="1FFBC783" w:rsidR="00552CFC" w:rsidRDefault="003E129C" w:rsidP="00F3219C">
            <w:pPr>
              <w:pStyle w:val="Tabletext"/>
            </w:pPr>
            <w:r>
              <w:t xml:space="preserve">Females </w:t>
            </w:r>
            <w:r w:rsidR="00552CFC" w:rsidRPr="00D326B6">
              <w:t>1,888</w:t>
            </w:r>
          </w:p>
        </w:tc>
        <w:tc>
          <w:tcPr>
            <w:tcW w:w="0" w:type="auto"/>
            <w:vAlign w:val="bottom"/>
          </w:tcPr>
          <w:p w14:paraId="6262A203" w14:textId="14C756DC" w:rsidR="00552CFC" w:rsidRDefault="003E129C" w:rsidP="00F3219C">
            <w:pPr>
              <w:pStyle w:val="Tabletext"/>
            </w:pPr>
            <w:r>
              <w:t xml:space="preserve">Total persons </w:t>
            </w:r>
            <w:r w:rsidR="00552CFC" w:rsidRPr="00D326B6">
              <w:t>4,873</w:t>
            </w:r>
          </w:p>
        </w:tc>
        <w:tc>
          <w:tcPr>
            <w:tcW w:w="0" w:type="auto"/>
          </w:tcPr>
          <w:p w14:paraId="7CEE4007" w14:textId="0C0CE894" w:rsidR="00552CFC" w:rsidRDefault="00552CFC" w:rsidP="00F3219C">
            <w:pPr>
              <w:pStyle w:val="Tabletext"/>
            </w:pPr>
            <w:r w:rsidRPr="00FE3B11">
              <w:t>11.09</w:t>
            </w:r>
            <w:r w:rsidR="003E129C">
              <w:t>% of all deaths</w:t>
            </w:r>
          </w:p>
        </w:tc>
      </w:tr>
      <w:tr w:rsidR="003E129C" w14:paraId="7FE289A9" w14:textId="77777777" w:rsidTr="00F3219C">
        <w:tc>
          <w:tcPr>
            <w:tcW w:w="0" w:type="auto"/>
          </w:tcPr>
          <w:p w14:paraId="42B7DD69" w14:textId="77777777" w:rsidR="00552CFC" w:rsidRPr="00664ABF" w:rsidRDefault="00552CFC" w:rsidP="00F3219C">
            <w:pPr>
              <w:pStyle w:val="Tabletext"/>
              <w:rPr>
                <w:bCs/>
                <w:color w:val="000000" w:themeColor="text1"/>
              </w:rPr>
            </w:pPr>
            <w:r w:rsidRPr="00664ABF">
              <w:rPr>
                <w:bCs/>
                <w:color w:val="000000" w:themeColor="text1"/>
              </w:rPr>
              <w:t>Malignant neoplasms of digestive organs</w:t>
            </w:r>
          </w:p>
        </w:tc>
        <w:tc>
          <w:tcPr>
            <w:tcW w:w="0" w:type="auto"/>
            <w:vAlign w:val="bottom"/>
          </w:tcPr>
          <w:p w14:paraId="22B5DE9C" w14:textId="4EF9C42B" w:rsidR="00552CFC" w:rsidRDefault="003B7220" w:rsidP="00F3219C">
            <w:pPr>
              <w:pStyle w:val="Tabletext"/>
            </w:pPr>
            <w:r>
              <w:t xml:space="preserve">Males </w:t>
            </w:r>
            <w:r w:rsidR="00552CFC" w:rsidRPr="00D326B6">
              <w:t>2,095</w:t>
            </w:r>
          </w:p>
        </w:tc>
        <w:tc>
          <w:tcPr>
            <w:tcW w:w="0" w:type="auto"/>
            <w:vAlign w:val="bottom"/>
          </w:tcPr>
          <w:p w14:paraId="3629DBDE" w14:textId="54F34BD3" w:rsidR="00552CFC" w:rsidRDefault="003E129C" w:rsidP="00F3219C">
            <w:pPr>
              <w:pStyle w:val="Tabletext"/>
            </w:pPr>
            <w:r>
              <w:t xml:space="preserve">Females </w:t>
            </w:r>
            <w:r w:rsidR="00552CFC" w:rsidRPr="00D326B6">
              <w:t>1,529</w:t>
            </w:r>
          </w:p>
        </w:tc>
        <w:tc>
          <w:tcPr>
            <w:tcW w:w="0" w:type="auto"/>
            <w:vAlign w:val="bottom"/>
          </w:tcPr>
          <w:p w14:paraId="7EE49B47" w14:textId="544EE8C5" w:rsidR="00552CFC" w:rsidRDefault="003E129C" w:rsidP="00F3219C">
            <w:pPr>
              <w:pStyle w:val="Tabletext"/>
            </w:pPr>
            <w:r>
              <w:t xml:space="preserve">Total persons </w:t>
            </w:r>
            <w:r w:rsidR="00552CFC" w:rsidRPr="00D326B6">
              <w:t>3,624</w:t>
            </w:r>
          </w:p>
        </w:tc>
        <w:tc>
          <w:tcPr>
            <w:tcW w:w="0" w:type="auto"/>
          </w:tcPr>
          <w:p w14:paraId="2325E583" w14:textId="77DB16D2" w:rsidR="00552CFC" w:rsidRDefault="00552CFC" w:rsidP="00F3219C">
            <w:pPr>
              <w:pStyle w:val="Tabletext"/>
            </w:pPr>
            <w:r w:rsidRPr="00FE3B11">
              <w:t>8.25</w:t>
            </w:r>
            <w:r w:rsidR="003E129C">
              <w:t>% of all deaths</w:t>
            </w:r>
          </w:p>
        </w:tc>
      </w:tr>
      <w:tr w:rsidR="003E129C" w14:paraId="09DAA610" w14:textId="77777777" w:rsidTr="00F3219C">
        <w:tc>
          <w:tcPr>
            <w:tcW w:w="0" w:type="auto"/>
          </w:tcPr>
          <w:p w14:paraId="30C805A4" w14:textId="77777777" w:rsidR="00552CFC" w:rsidRPr="00664ABF" w:rsidRDefault="00552CFC" w:rsidP="00F3219C">
            <w:pPr>
              <w:pStyle w:val="Tabletext"/>
              <w:rPr>
                <w:bCs/>
                <w:color w:val="000000" w:themeColor="text1"/>
              </w:rPr>
            </w:pPr>
            <w:r w:rsidRPr="00664ABF">
              <w:rPr>
                <w:bCs/>
                <w:color w:val="000000" w:themeColor="text1"/>
              </w:rPr>
              <w:t xml:space="preserve">Other forms of heart disease </w:t>
            </w:r>
          </w:p>
        </w:tc>
        <w:tc>
          <w:tcPr>
            <w:tcW w:w="0" w:type="auto"/>
            <w:vAlign w:val="bottom"/>
          </w:tcPr>
          <w:p w14:paraId="048D3821" w14:textId="5EE7884D" w:rsidR="00552CFC" w:rsidRDefault="003B7220" w:rsidP="00F3219C">
            <w:pPr>
              <w:pStyle w:val="Tabletext"/>
            </w:pPr>
            <w:r>
              <w:t xml:space="preserve">Males </w:t>
            </w:r>
            <w:r w:rsidR="00552CFC" w:rsidRPr="00D326B6">
              <w:t>1,254</w:t>
            </w:r>
          </w:p>
        </w:tc>
        <w:tc>
          <w:tcPr>
            <w:tcW w:w="0" w:type="auto"/>
            <w:vAlign w:val="bottom"/>
          </w:tcPr>
          <w:p w14:paraId="38AEEB68" w14:textId="14B0AF54" w:rsidR="00552CFC" w:rsidRDefault="003E129C" w:rsidP="00F3219C">
            <w:pPr>
              <w:pStyle w:val="Tabletext"/>
            </w:pPr>
            <w:r>
              <w:t xml:space="preserve">Females </w:t>
            </w:r>
            <w:r w:rsidR="00552CFC" w:rsidRPr="00D326B6">
              <w:t>1,461</w:t>
            </w:r>
          </w:p>
        </w:tc>
        <w:tc>
          <w:tcPr>
            <w:tcW w:w="0" w:type="auto"/>
            <w:vAlign w:val="bottom"/>
          </w:tcPr>
          <w:p w14:paraId="2989CF12" w14:textId="7244B1AB" w:rsidR="00552CFC" w:rsidRDefault="003E129C" w:rsidP="00F3219C">
            <w:pPr>
              <w:pStyle w:val="Tabletext"/>
            </w:pPr>
            <w:r>
              <w:t xml:space="preserve">Total persons </w:t>
            </w:r>
            <w:r w:rsidR="00552CFC" w:rsidRPr="00D326B6">
              <w:t>2,715</w:t>
            </w:r>
          </w:p>
        </w:tc>
        <w:tc>
          <w:tcPr>
            <w:tcW w:w="0" w:type="auto"/>
          </w:tcPr>
          <w:p w14:paraId="26D9BAA9" w14:textId="2B077C43" w:rsidR="00552CFC" w:rsidRDefault="00552CFC" w:rsidP="00F3219C">
            <w:pPr>
              <w:pStyle w:val="Tabletext"/>
            </w:pPr>
            <w:r w:rsidRPr="00FE3B11">
              <w:t>6.18</w:t>
            </w:r>
            <w:r w:rsidR="003E129C">
              <w:t>% of all deaths</w:t>
            </w:r>
          </w:p>
        </w:tc>
      </w:tr>
      <w:tr w:rsidR="003E129C" w14:paraId="7C804134" w14:textId="77777777" w:rsidTr="00F3219C">
        <w:tc>
          <w:tcPr>
            <w:tcW w:w="0" w:type="auto"/>
          </w:tcPr>
          <w:p w14:paraId="24215DED" w14:textId="77777777" w:rsidR="00552CFC" w:rsidRPr="00664ABF" w:rsidRDefault="00552CFC" w:rsidP="00F3219C">
            <w:pPr>
              <w:pStyle w:val="Tabletext"/>
              <w:rPr>
                <w:bCs/>
                <w:color w:val="000000" w:themeColor="text1"/>
              </w:rPr>
            </w:pPr>
            <w:r w:rsidRPr="00664ABF">
              <w:rPr>
                <w:bCs/>
                <w:color w:val="000000" w:themeColor="text1"/>
              </w:rPr>
              <w:t xml:space="preserve">Organic, including symptomatic, mental disorders </w:t>
            </w:r>
          </w:p>
        </w:tc>
        <w:tc>
          <w:tcPr>
            <w:tcW w:w="0" w:type="auto"/>
            <w:vAlign w:val="bottom"/>
          </w:tcPr>
          <w:p w14:paraId="2F1D03B9" w14:textId="7364D447" w:rsidR="00552CFC" w:rsidRDefault="003B7220" w:rsidP="00F3219C">
            <w:pPr>
              <w:pStyle w:val="Tabletext"/>
            </w:pPr>
            <w:r>
              <w:t xml:space="preserve">Males </w:t>
            </w:r>
            <w:r w:rsidR="00552CFC" w:rsidRPr="00D326B6">
              <w:t>913</w:t>
            </w:r>
          </w:p>
        </w:tc>
        <w:tc>
          <w:tcPr>
            <w:tcW w:w="0" w:type="auto"/>
            <w:vAlign w:val="bottom"/>
          </w:tcPr>
          <w:p w14:paraId="072493A5" w14:textId="5942DC8A" w:rsidR="00552CFC" w:rsidRDefault="003E129C" w:rsidP="00F3219C">
            <w:pPr>
              <w:pStyle w:val="Tabletext"/>
            </w:pPr>
            <w:r>
              <w:t xml:space="preserve">Females </w:t>
            </w:r>
            <w:r w:rsidR="00552CFC" w:rsidRPr="00D326B6">
              <w:t>1,576</w:t>
            </w:r>
          </w:p>
        </w:tc>
        <w:tc>
          <w:tcPr>
            <w:tcW w:w="0" w:type="auto"/>
            <w:vAlign w:val="bottom"/>
          </w:tcPr>
          <w:p w14:paraId="2140E6B4" w14:textId="5060E0BC" w:rsidR="00552CFC" w:rsidRDefault="003E129C" w:rsidP="00F3219C">
            <w:pPr>
              <w:pStyle w:val="Tabletext"/>
            </w:pPr>
            <w:r>
              <w:t xml:space="preserve">Total persons </w:t>
            </w:r>
            <w:r w:rsidR="00552CFC" w:rsidRPr="00D326B6">
              <w:t>2,489</w:t>
            </w:r>
          </w:p>
        </w:tc>
        <w:tc>
          <w:tcPr>
            <w:tcW w:w="0" w:type="auto"/>
          </w:tcPr>
          <w:p w14:paraId="51DF3EFD" w14:textId="5936E77C" w:rsidR="00552CFC" w:rsidRDefault="00552CFC" w:rsidP="00F3219C">
            <w:pPr>
              <w:pStyle w:val="Tabletext"/>
            </w:pPr>
            <w:r w:rsidRPr="00FE3B11">
              <w:t>5.66</w:t>
            </w:r>
            <w:r w:rsidR="003E129C">
              <w:t>% of all deaths</w:t>
            </w:r>
          </w:p>
        </w:tc>
      </w:tr>
      <w:tr w:rsidR="003E129C" w14:paraId="6E557E2B" w14:textId="77777777" w:rsidTr="00F3219C">
        <w:tc>
          <w:tcPr>
            <w:tcW w:w="0" w:type="auto"/>
          </w:tcPr>
          <w:p w14:paraId="5F526B2A" w14:textId="77777777" w:rsidR="00552CFC" w:rsidRPr="00664ABF" w:rsidRDefault="00552CFC" w:rsidP="00F3219C">
            <w:pPr>
              <w:pStyle w:val="Tabletext"/>
              <w:rPr>
                <w:bCs/>
                <w:color w:val="000000" w:themeColor="text1"/>
              </w:rPr>
            </w:pPr>
            <w:r w:rsidRPr="00664ABF">
              <w:rPr>
                <w:bCs/>
                <w:color w:val="000000" w:themeColor="text1"/>
              </w:rPr>
              <w:t xml:space="preserve">Cerebrovascular diseases </w:t>
            </w:r>
          </w:p>
        </w:tc>
        <w:tc>
          <w:tcPr>
            <w:tcW w:w="0" w:type="auto"/>
            <w:vAlign w:val="bottom"/>
          </w:tcPr>
          <w:p w14:paraId="77E60D16" w14:textId="7E308D9E" w:rsidR="00552CFC" w:rsidRDefault="003B7220" w:rsidP="00F3219C">
            <w:pPr>
              <w:pStyle w:val="Tabletext"/>
            </w:pPr>
            <w:r>
              <w:t xml:space="preserve">Males </w:t>
            </w:r>
            <w:r w:rsidR="00552CFC" w:rsidRPr="00D326B6">
              <w:t>1,015</w:t>
            </w:r>
          </w:p>
        </w:tc>
        <w:tc>
          <w:tcPr>
            <w:tcW w:w="0" w:type="auto"/>
            <w:vAlign w:val="bottom"/>
          </w:tcPr>
          <w:p w14:paraId="4F90F53C" w14:textId="75138EB8" w:rsidR="00552CFC" w:rsidRDefault="003E129C" w:rsidP="00F3219C">
            <w:pPr>
              <w:pStyle w:val="Tabletext"/>
            </w:pPr>
            <w:r>
              <w:t xml:space="preserve">Females </w:t>
            </w:r>
            <w:r w:rsidR="00552CFC" w:rsidRPr="00D326B6">
              <w:t>1,392</w:t>
            </w:r>
          </w:p>
        </w:tc>
        <w:tc>
          <w:tcPr>
            <w:tcW w:w="0" w:type="auto"/>
            <w:vAlign w:val="bottom"/>
          </w:tcPr>
          <w:p w14:paraId="071CDC89" w14:textId="2F9A70A1" w:rsidR="00552CFC" w:rsidRDefault="003E129C" w:rsidP="00F3219C">
            <w:pPr>
              <w:pStyle w:val="Tabletext"/>
            </w:pPr>
            <w:r>
              <w:t xml:space="preserve">Total persons </w:t>
            </w:r>
            <w:r w:rsidR="00552CFC" w:rsidRPr="00D326B6">
              <w:t>2,407</w:t>
            </w:r>
          </w:p>
        </w:tc>
        <w:tc>
          <w:tcPr>
            <w:tcW w:w="0" w:type="auto"/>
          </w:tcPr>
          <w:p w14:paraId="79453029" w14:textId="2A5B7563" w:rsidR="00552CFC" w:rsidRDefault="00552CFC" w:rsidP="00F3219C">
            <w:pPr>
              <w:pStyle w:val="Tabletext"/>
            </w:pPr>
            <w:r w:rsidRPr="00FE3B11">
              <w:t>5.48</w:t>
            </w:r>
            <w:r w:rsidR="003E129C">
              <w:t>% of all deaths</w:t>
            </w:r>
          </w:p>
        </w:tc>
      </w:tr>
      <w:tr w:rsidR="003E129C" w14:paraId="0D8952B4" w14:textId="77777777" w:rsidTr="00F3219C">
        <w:tc>
          <w:tcPr>
            <w:tcW w:w="0" w:type="auto"/>
          </w:tcPr>
          <w:p w14:paraId="60D61967" w14:textId="77777777" w:rsidR="00552CFC" w:rsidRPr="00664ABF" w:rsidRDefault="00552CFC" w:rsidP="00F3219C">
            <w:pPr>
              <w:pStyle w:val="Tabletext"/>
              <w:rPr>
                <w:bCs/>
                <w:color w:val="000000" w:themeColor="text1"/>
              </w:rPr>
            </w:pPr>
            <w:r w:rsidRPr="00664ABF">
              <w:rPr>
                <w:bCs/>
                <w:color w:val="000000" w:themeColor="text1"/>
              </w:rPr>
              <w:t>Malignant neoplasms of respiratory and intrathoracic organs</w:t>
            </w:r>
          </w:p>
        </w:tc>
        <w:tc>
          <w:tcPr>
            <w:tcW w:w="0" w:type="auto"/>
            <w:vAlign w:val="bottom"/>
          </w:tcPr>
          <w:p w14:paraId="10995FE9" w14:textId="27B5E0E8" w:rsidR="00552CFC" w:rsidRDefault="003B7220" w:rsidP="00F3219C">
            <w:pPr>
              <w:pStyle w:val="Tabletext"/>
            </w:pPr>
            <w:r>
              <w:t xml:space="preserve">Males </w:t>
            </w:r>
            <w:r w:rsidR="00552CFC" w:rsidRPr="00D326B6">
              <w:t>1,341</w:t>
            </w:r>
          </w:p>
        </w:tc>
        <w:tc>
          <w:tcPr>
            <w:tcW w:w="0" w:type="auto"/>
            <w:vAlign w:val="bottom"/>
          </w:tcPr>
          <w:p w14:paraId="670118CD" w14:textId="0A571AF7" w:rsidR="00552CFC" w:rsidRDefault="003E129C" w:rsidP="00F3219C">
            <w:pPr>
              <w:pStyle w:val="Tabletext"/>
            </w:pPr>
            <w:r>
              <w:t xml:space="preserve">Females </w:t>
            </w:r>
            <w:r w:rsidR="00552CFC" w:rsidRPr="00D326B6">
              <w:t>913</w:t>
            </w:r>
          </w:p>
        </w:tc>
        <w:tc>
          <w:tcPr>
            <w:tcW w:w="0" w:type="auto"/>
            <w:vAlign w:val="bottom"/>
          </w:tcPr>
          <w:p w14:paraId="3021624A" w14:textId="52DF8C48" w:rsidR="00552CFC" w:rsidRDefault="003E129C" w:rsidP="00F3219C">
            <w:pPr>
              <w:pStyle w:val="Tabletext"/>
            </w:pPr>
            <w:r>
              <w:t xml:space="preserve">Total persons </w:t>
            </w:r>
            <w:r w:rsidR="00552CFC" w:rsidRPr="00D326B6">
              <w:t>2,254</w:t>
            </w:r>
          </w:p>
        </w:tc>
        <w:tc>
          <w:tcPr>
            <w:tcW w:w="0" w:type="auto"/>
          </w:tcPr>
          <w:p w14:paraId="0BC4875B" w14:textId="11B31BAD" w:rsidR="00552CFC" w:rsidRDefault="00552CFC" w:rsidP="00F3219C">
            <w:pPr>
              <w:pStyle w:val="Tabletext"/>
            </w:pPr>
            <w:r w:rsidRPr="00FE3B11">
              <w:t>5.13</w:t>
            </w:r>
            <w:r w:rsidR="003E129C">
              <w:t>% of all deaths</w:t>
            </w:r>
          </w:p>
        </w:tc>
      </w:tr>
      <w:tr w:rsidR="003E129C" w14:paraId="439D400B" w14:textId="77777777" w:rsidTr="00F3219C">
        <w:tc>
          <w:tcPr>
            <w:tcW w:w="0" w:type="auto"/>
          </w:tcPr>
          <w:p w14:paraId="6836700C" w14:textId="77777777" w:rsidR="00552CFC" w:rsidRPr="00664ABF" w:rsidRDefault="00552CFC" w:rsidP="00F3219C">
            <w:pPr>
              <w:pStyle w:val="Tabletext"/>
              <w:rPr>
                <w:bCs/>
                <w:color w:val="000000" w:themeColor="text1"/>
              </w:rPr>
            </w:pPr>
            <w:r w:rsidRPr="00664ABF">
              <w:rPr>
                <w:bCs/>
                <w:color w:val="000000" w:themeColor="text1"/>
              </w:rPr>
              <w:t>Chronic lower respiratory diseases</w:t>
            </w:r>
          </w:p>
        </w:tc>
        <w:tc>
          <w:tcPr>
            <w:tcW w:w="0" w:type="auto"/>
            <w:vAlign w:val="bottom"/>
          </w:tcPr>
          <w:p w14:paraId="0B756018" w14:textId="0781FD86" w:rsidR="00552CFC" w:rsidRDefault="003B7220" w:rsidP="00F3219C">
            <w:pPr>
              <w:pStyle w:val="Tabletext"/>
            </w:pPr>
            <w:r>
              <w:t xml:space="preserve">Males </w:t>
            </w:r>
            <w:r w:rsidR="00552CFC" w:rsidRPr="00D326B6">
              <w:t>1,031</w:t>
            </w:r>
          </w:p>
        </w:tc>
        <w:tc>
          <w:tcPr>
            <w:tcW w:w="0" w:type="auto"/>
            <w:vAlign w:val="bottom"/>
          </w:tcPr>
          <w:p w14:paraId="30F42321" w14:textId="4AB21B6B" w:rsidR="00552CFC" w:rsidRDefault="003E129C" w:rsidP="00F3219C">
            <w:pPr>
              <w:pStyle w:val="Tabletext"/>
            </w:pPr>
            <w:r>
              <w:t xml:space="preserve">Females </w:t>
            </w:r>
            <w:r w:rsidR="00552CFC" w:rsidRPr="00D326B6">
              <w:t>975</w:t>
            </w:r>
          </w:p>
        </w:tc>
        <w:tc>
          <w:tcPr>
            <w:tcW w:w="0" w:type="auto"/>
            <w:vAlign w:val="bottom"/>
          </w:tcPr>
          <w:p w14:paraId="20F47B7D" w14:textId="65157E0C" w:rsidR="00552CFC" w:rsidRDefault="003E129C" w:rsidP="00F3219C">
            <w:pPr>
              <w:pStyle w:val="Tabletext"/>
            </w:pPr>
            <w:r>
              <w:t xml:space="preserve">Total persons </w:t>
            </w:r>
            <w:r w:rsidR="00552CFC" w:rsidRPr="00D326B6">
              <w:t>2,006</w:t>
            </w:r>
          </w:p>
        </w:tc>
        <w:tc>
          <w:tcPr>
            <w:tcW w:w="0" w:type="auto"/>
          </w:tcPr>
          <w:p w14:paraId="5E321D5C" w14:textId="1F3984FB" w:rsidR="00552CFC" w:rsidRDefault="00552CFC" w:rsidP="00F3219C">
            <w:pPr>
              <w:pStyle w:val="Tabletext"/>
            </w:pPr>
            <w:r w:rsidRPr="00FE3B11">
              <w:t>4.56</w:t>
            </w:r>
            <w:r w:rsidR="003E129C">
              <w:t>% of all deaths</w:t>
            </w:r>
          </w:p>
        </w:tc>
      </w:tr>
      <w:tr w:rsidR="003E129C" w14:paraId="7B04CE8D" w14:textId="77777777" w:rsidTr="00F3219C">
        <w:tc>
          <w:tcPr>
            <w:tcW w:w="0" w:type="auto"/>
          </w:tcPr>
          <w:p w14:paraId="02AEB5E0" w14:textId="77777777" w:rsidR="00552CFC" w:rsidRPr="00664ABF" w:rsidRDefault="00552CFC" w:rsidP="00F3219C">
            <w:pPr>
              <w:pStyle w:val="Tabletext"/>
              <w:rPr>
                <w:bCs/>
                <w:color w:val="000000" w:themeColor="text1"/>
              </w:rPr>
            </w:pPr>
            <w:r w:rsidRPr="00664ABF">
              <w:rPr>
                <w:bCs/>
                <w:color w:val="000000" w:themeColor="text1"/>
              </w:rPr>
              <w:t>Other degenerative diseases of the nervous system</w:t>
            </w:r>
          </w:p>
        </w:tc>
        <w:tc>
          <w:tcPr>
            <w:tcW w:w="0" w:type="auto"/>
            <w:vAlign w:val="bottom"/>
          </w:tcPr>
          <w:p w14:paraId="0383F79E" w14:textId="20E7BDF8" w:rsidR="00552CFC" w:rsidRDefault="003B7220" w:rsidP="00F3219C">
            <w:pPr>
              <w:pStyle w:val="Tabletext"/>
            </w:pPr>
            <w:r>
              <w:t xml:space="preserve">Males </w:t>
            </w:r>
            <w:r w:rsidR="00552CFC" w:rsidRPr="00D326B6">
              <w:t>561</w:t>
            </w:r>
          </w:p>
        </w:tc>
        <w:tc>
          <w:tcPr>
            <w:tcW w:w="0" w:type="auto"/>
            <w:vAlign w:val="bottom"/>
          </w:tcPr>
          <w:p w14:paraId="78BF2670" w14:textId="2DD2BFB9" w:rsidR="00552CFC" w:rsidRDefault="003E129C" w:rsidP="00F3219C">
            <w:pPr>
              <w:pStyle w:val="Tabletext"/>
            </w:pPr>
            <w:r>
              <w:t xml:space="preserve">Females </w:t>
            </w:r>
            <w:r w:rsidR="00552CFC" w:rsidRPr="00D326B6">
              <w:t>977</w:t>
            </w:r>
          </w:p>
        </w:tc>
        <w:tc>
          <w:tcPr>
            <w:tcW w:w="0" w:type="auto"/>
            <w:vAlign w:val="bottom"/>
          </w:tcPr>
          <w:p w14:paraId="583296CE" w14:textId="04916EAD" w:rsidR="00552CFC" w:rsidRDefault="003E129C" w:rsidP="00F3219C">
            <w:pPr>
              <w:pStyle w:val="Tabletext"/>
            </w:pPr>
            <w:r>
              <w:t xml:space="preserve">Total persons </w:t>
            </w:r>
            <w:r w:rsidR="00552CFC" w:rsidRPr="00D326B6">
              <w:t>1,538</w:t>
            </w:r>
          </w:p>
        </w:tc>
        <w:tc>
          <w:tcPr>
            <w:tcW w:w="0" w:type="auto"/>
          </w:tcPr>
          <w:p w14:paraId="27D03EC5" w14:textId="7CAF4F72" w:rsidR="00552CFC" w:rsidRDefault="00552CFC" w:rsidP="00F3219C">
            <w:pPr>
              <w:pStyle w:val="Tabletext"/>
            </w:pPr>
            <w:r w:rsidRPr="00FE3B11">
              <w:t>3.50</w:t>
            </w:r>
            <w:r w:rsidR="003E129C">
              <w:t>% of all deaths</w:t>
            </w:r>
          </w:p>
        </w:tc>
      </w:tr>
      <w:tr w:rsidR="003E129C" w14:paraId="5A12D418" w14:textId="77777777" w:rsidTr="00F3219C">
        <w:tc>
          <w:tcPr>
            <w:tcW w:w="0" w:type="auto"/>
          </w:tcPr>
          <w:p w14:paraId="0274DFE7" w14:textId="77777777" w:rsidR="00552CFC" w:rsidRPr="00664ABF" w:rsidRDefault="00552CFC" w:rsidP="00F3219C">
            <w:pPr>
              <w:pStyle w:val="Tabletext"/>
              <w:rPr>
                <w:bCs/>
                <w:color w:val="000000" w:themeColor="text1"/>
              </w:rPr>
            </w:pPr>
            <w:r w:rsidRPr="00664ABF">
              <w:rPr>
                <w:bCs/>
                <w:color w:val="000000" w:themeColor="text1"/>
              </w:rPr>
              <w:t>Falls</w:t>
            </w:r>
          </w:p>
        </w:tc>
        <w:tc>
          <w:tcPr>
            <w:tcW w:w="0" w:type="auto"/>
            <w:vAlign w:val="bottom"/>
          </w:tcPr>
          <w:p w14:paraId="58BE4AF4" w14:textId="756FA716" w:rsidR="00552CFC" w:rsidRDefault="003B7220" w:rsidP="00F3219C">
            <w:pPr>
              <w:pStyle w:val="Tabletext"/>
            </w:pPr>
            <w:r>
              <w:t xml:space="preserve">Males </w:t>
            </w:r>
            <w:r w:rsidR="00552CFC" w:rsidRPr="00D326B6">
              <w:t>664</w:t>
            </w:r>
          </w:p>
        </w:tc>
        <w:tc>
          <w:tcPr>
            <w:tcW w:w="0" w:type="auto"/>
            <w:vAlign w:val="bottom"/>
          </w:tcPr>
          <w:p w14:paraId="174E48AA" w14:textId="0911EC9C" w:rsidR="00552CFC" w:rsidRDefault="003E129C" w:rsidP="00F3219C">
            <w:pPr>
              <w:pStyle w:val="Tabletext"/>
            </w:pPr>
            <w:r>
              <w:t xml:space="preserve">Females </w:t>
            </w:r>
            <w:r w:rsidR="00552CFC" w:rsidRPr="00D326B6">
              <w:t>688</w:t>
            </w:r>
          </w:p>
        </w:tc>
        <w:tc>
          <w:tcPr>
            <w:tcW w:w="0" w:type="auto"/>
            <w:vAlign w:val="bottom"/>
          </w:tcPr>
          <w:p w14:paraId="314659F5" w14:textId="5A4F8DEE" w:rsidR="00552CFC" w:rsidRDefault="003E129C" w:rsidP="00F3219C">
            <w:pPr>
              <w:pStyle w:val="Tabletext"/>
            </w:pPr>
            <w:r>
              <w:t xml:space="preserve">Total persons </w:t>
            </w:r>
            <w:r w:rsidR="00552CFC" w:rsidRPr="00D326B6">
              <w:t>1,352</w:t>
            </w:r>
          </w:p>
        </w:tc>
        <w:tc>
          <w:tcPr>
            <w:tcW w:w="0" w:type="auto"/>
          </w:tcPr>
          <w:p w14:paraId="72F5C852" w14:textId="6C87C671" w:rsidR="00552CFC" w:rsidRDefault="00552CFC" w:rsidP="00F3219C">
            <w:pPr>
              <w:pStyle w:val="Tabletext"/>
            </w:pPr>
            <w:r w:rsidRPr="00FE3B11">
              <w:t>3.08</w:t>
            </w:r>
            <w:r w:rsidR="003E129C">
              <w:t>% of all deaths</w:t>
            </w:r>
          </w:p>
        </w:tc>
      </w:tr>
      <w:tr w:rsidR="003E129C" w14:paraId="27E98C6D" w14:textId="77777777" w:rsidTr="00F3219C">
        <w:tc>
          <w:tcPr>
            <w:tcW w:w="0" w:type="auto"/>
          </w:tcPr>
          <w:p w14:paraId="1F5F828C" w14:textId="77777777" w:rsidR="00552CFC" w:rsidRPr="00664ABF" w:rsidRDefault="00552CFC" w:rsidP="00F3219C">
            <w:pPr>
              <w:pStyle w:val="Tabletext"/>
              <w:rPr>
                <w:bCs/>
                <w:color w:val="000000" w:themeColor="text1"/>
              </w:rPr>
            </w:pPr>
            <w:r w:rsidRPr="00664ABF">
              <w:rPr>
                <w:bCs/>
                <w:color w:val="000000" w:themeColor="text1"/>
              </w:rPr>
              <w:t xml:space="preserve">Diabetes mellitus </w:t>
            </w:r>
          </w:p>
        </w:tc>
        <w:tc>
          <w:tcPr>
            <w:tcW w:w="0" w:type="auto"/>
            <w:vAlign w:val="bottom"/>
          </w:tcPr>
          <w:p w14:paraId="2E2008EE" w14:textId="5769E895" w:rsidR="00552CFC" w:rsidRPr="00D326B6" w:rsidRDefault="003B7220" w:rsidP="00F3219C">
            <w:pPr>
              <w:pStyle w:val="Tabletext"/>
            </w:pPr>
            <w:r>
              <w:t xml:space="preserve">Males </w:t>
            </w:r>
            <w:r w:rsidR="00552CFC" w:rsidRPr="00D326B6">
              <w:t>674</w:t>
            </w:r>
          </w:p>
        </w:tc>
        <w:tc>
          <w:tcPr>
            <w:tcW w:w="0" w:type="auto"/>
            <w:vAlign w:val="bottom"/>
          </w:tcPr>
          <w:p w14:paraId="1E0364A9" w14:textId="0FAECC54" w:rsidR="00552CFC" w:rsidRPr="00D326B6" w:rsidRDefault="003E129C" w:rsidP="00F3219C">
            <w:pPr>
              <w:pStyle w:val="Tabletext"/>
            </w:pPr>
            <w:r>
              <w:t xml:space="preserve">Females </w:t>
            </w:r>
            <w:r w:rsidR="00552CFC" w:rsidRPr="00D326B6">
              <w:t>592</w:t>
            </w:r>
          </w:p>
        </w:tc>
        <w:tc>
          <w:tcPr>
            <w:tcW w:w="0" w:type="auto"/>
            <w:vAlign w:val="bottom"/>
          </w:tcPr>
          <w:p w14:paraId="033964D7" w14:textId="3904CE4F" w:rsidR="00552CFC" w:rsidRPr="00D326B6" w:rsidRDefault="003E129C" w:rsidP="00F3219C">
            <w:pPr>
              <w:pStyle w:val="Tabletext"/>
            </w:pPr>
            <w:r>
              <w:t xml:space="preserve">Total persons </w:t>
            </w:r>
            <w:r w:rsidR="00552CFC" w:rsidRPr="00D326B6">
              <w:t>1,266</w:t>
            </w:r>
          </w:p>
        </w:tc>
        <w:tc>
          <w:tcPr>
            <w:tcW w:w="0" w:type="auto"/>
          </w:tcPr>
          <w:p w14:paraId="4BDE3D7C" w14:textId="2FD4CAF9" w:rsidR="00552CFC" w:rsidRDefault="00552CFC" w:rsidP="00F3219C">
            <w:pPr>
              <w:pStyle w:val="Tabletext"/>
            </w:pPr>
            <w:r w:rsidRPr="00FE3B11">
              <w:t>2.88</w:t>
            </w:r>
            <w:r w:rsidR="003E129C">
              <w:t>% of all deaths</w:t>
            </w:r>
          </w:p>
        </w:tc>
      </w:tr>
    </w:tbl>
    <w:p w14:paraId="45BCFBED" w14:textId="77777777" w:rsidR="00552CFC" w:rsidRPr="007F29A7" w:rsidRDefault="00552CFC" w:rsidP="00552CFC">
      <w:pPr>
        <w:pStyle w:val="Body"/>
      </w:pPr>
      <w:r>
        <w:t xml:space="preserve">Source: </w:t>
      </w:r>
      <w:hyperlink r:id="rId149" w:anchor="key-statistics" w:history="1">
        <w:r w:rsidRPr="001C33A2">
          <w:rPr>
            <w:rStyle w:val="Hyperlink"/>
          </w:rPr>
          <w:t>ABS 2019, Causes of Death</w:t>
        </w:r>
      </w:hyperlink>
      <w:r>
        <w:t xml:space="preserve"> </w:t>
      </w:r>
      <w:r w:rsidRPr="0051029A">
        <w:rPr>
          <w:rStyle w:val="Hyperlink"/>
          <w:color w:val="auto"/>
          <w:u w:val="none"/>
        </w:rPr>
        <w:t>Available at:</w:t>
      </w:r>
      <w:r w:rsidRPr="00DF601C">
        <w:t xml:space="preserve"> </w:t>
      </w:r>
      <w:r>
        <w:rPr>
          <w:rStyle w:val="Hyperlink"/>
          <w:color w:val="auto"/>
          <w:u w:val="none"/>
        </w:rPr>
        <w:t>&lt;</w:t>
      </w:r>
      <w:r w:rsidRPr="007F29A7">
        <w:rPr>
          <w:rStyle w:val="Hyperlink"/>
          <w:color w:val="auto"/>
          <w:u w:val="none"/>
        </w:rPr>
        <w:t>https://www.abs.gov.au/statistics/health/causes-death/causes-death-australia/2019#key-statistics</w:t>
      </w:r>
      <w:r>
        <w:rPr>
          <w:rStyle w:val="Hyperlink"/>
          <w:color w:val="auto"/>
          <w:u w:val="none"/>
        </w:rPr>
        <w:t>&gt;.</w:t>
      </w:r>
    </w:p>
    <w:p w14:paraId="1242DB5F" w14:textId="77777777" w:rsidR="00552CFC" w:rsidRPr="00B4363A" w:rsidRDefault="00552CFC" w:rsidP="00B4363A">
      <w:pPr>
        <w:pStyle w:val="Heading2"/>
      </w:pPr>
      <w:r w:rsidRPr="00B4363A">
        <w:t>Chapter 8, Table 2. Proportion of overweight and obese Victorian adults (aged 18 and over)</w:t>
      </w:r>
    </w:p>
    <w:tbl>
      <w:tblPr>
        <w:tblStyle w:val="TableGrid"/>
        <w:tblW w:w="0" w:type="auto"/>
        <w:tblLook w:val="04A0" w:firstRow="1" w:lastRow="0" w:firstColumn="1" w:lastColumn="0" w:noHBand="0" w:noVBand="1"/>
      </w:tblPr>
      <w:tblGrid>
        <w:gridCol w:w="2492"/>
        <w:gridCol w:w="2141"/>
        <w:gridCol w:w="2275"/>
        <w:gridCol w:w="2380"/>
      </w:tblGrid>
      <w:tr w:rsidR="00552CFC" w14:paraId="4F506547" w14:textId="77777777" w:rsidTr="00F3219C">
        <w:tc>
          <w:tcPr>
            <w:tcW w:w="2492" w:type="dxa"/>
          </w:tcPr>
          <w:p w14:paraId="29E6898E" w14:textId="77777777" w:rsidR="00552CFC" w:rsidRPr="003E129C" w:rsidRDefault="00552CFC" w:rsidP="00F3219C">
            <w:pPr>
              <w:pStyle w:val="Body"/>
              <w:rPr>
                <w:b/>
                <w:bCs/>
              </w:rPr>
            </w:pPr>
            <w:r w:rsidRPr="003E129C">
              <w:rPr>
                <w:b/>
                <w:bCs/>
              </w:rPr>
              <w:t>Body mass index (BMI)</w:t>
            </w:r>
          </w:p>
        </w:tc>
        <w:tc>
          <w:tcPr>
            <w:tcW w:w="2141" w:type="dxa"/>
          </w:tcPr>
          <w:p w14:paraId="0C37CF5A" w14:textId="0A792877" w:rsidR="00552CFC" w:rsidRPr="003E129C" w:rsidRDefault="00552CFC" w:rsidP="00F3219C">
            <w:pPr>
              <w:pStyle w:val="Body"/>
              <w:rPr>
                <w:b/>
                <w:bCs/>
              </w:rPr>
            </w:pPr>
            <w:r w:rsidRPr="003E129C">
              <w:rPr>
                <w:b/>
                <w:bCs/>
              </w:rPr>
              <w:t>Men</w:t>
            </w:r>
            <w:r w:rsidR="003E129C" w:rsidRPr="003E129C">
              <w:rPr>
                <w:b/>
                <w:bCs/>
              </w:rPr>
              <w:t xml:space="preserve"> as a per centage</w:t>
            </w:r>
          </w:p>
        </w:tc>
        <w:tc>
          <w:tcPr>
            <w:tcW w:w="2275" w:type="dxa"/>
          </w:tcPr>
          <w:p w14:paraId="541A5D1A" w14:textId="108A248F" w:rsidR="00552CFC" w:rsidRPr="003E129C" w:rsidRDefault="00552CFC" w:rsidP="00F3219C">
            <w:pPr>
              <w:pStyle w:val="Body"/>
              <w:rPr>
                <w:b/>
                <w:bCs/>
              </w:rPr>
            </w:pPr>
            <w:r w:rsidRPr="003E129C">
              <w:rPr>
                <w:b/>
                <w:bCs/>
              </w:rPr>
              <w:t>Women</w:t>
            </w:r>
            <w:r w:rsidR="003E129C" w:rsidRPr="003E129C">
              <w:rPr>
                <w:b/>
                <w:bCs/>
              </w:rPr>
              <w:t xml:space="preserve"> as a per centage</w:t>
            </w:r>
          </w:p>
        </w:tc>
        <w:tc>
          <w:tcPr>
            <w:tcW w:w="2380" w:type="dxa"/>
          </w:tcPr>
          <w:p w14:paraId="12728B22" w14:textId="1EA93820" w:rsidR="00552CFC" w:rsidRPr="003E129C" w:rsidRDefault="00552CFC" w:rsidP="00F3219C">
            <w:pPr>
              <w:pStyle w:val="Body"/>
              <w:rPr>
                <w:b/>
                <w:bCs/>
              </w:rPr>
            </w:pPr>
            <w:r w:rsidRPr="003E129C">
              <w:rPr>
                <w:b/>
                <w:bCs/>
              </w:rPr>
              <w:t xml:space="preserve">Overall </w:t>
            </w:r>
            <w:r w:rsidR="003E129C" w:rsidRPr="003E129C">
              <w:rPr>
                <w:b/>
                <w:bCs/>
              </w:rPr>
              <w:t>as a per centage</w:t>
            </w:r>
          </w:p>
        </w:tc>
      </w:tr>
      <w:tr w:rsidR="00552CFC" w14:paraId="46BF2D3E" w14:textId="77777777" w:rsidTr="00F3219C">
        <w:tc>
          <w:tcPr>
            <w:tcW w:w="2492" w:type="dxa"/>
          </w:tcPr>
          <w:p w14:paraId="5A4A2B09" w14:textId="77777777" w:rsidR="00552CFC" w:rsidRPr="00EE4C60" w:rsidRDefault="00552CFC" w:rsidP="00F3219C">
            <w:pPr>
              <w:pStyle w:val="Body"/>
            </w:pPr>
            <w:r w:rsidRPr="00EE4C60">
              <w:t>Overweight (BMI ≥ 25 kg/m</w:t>
            </w:r>
            <w:r w:rsidRPr="00EE4C60">
              <w:rPr>
                <w:vertAlign w:val="superscript"/>
              </w:rPr>
              <w:t>2</w:t>
            </w:r>
            <w:r w:rsidRPr="00EE4C60">
              <w:t>)</w:t>
            </w:r>
          </w:p>
        </w:tc>
        <w:tc>
          <w:tcPr>
            <w:tcW w:w="2141" w:type="dxa"/>
          </w:tcPr>
          <w:p w14:paraId="6A61D4BB" w14:textId="34B12FC4" w:rsidR="00552CFC" w:rsidRDefault="003E129C" w:rsidP="00F3219C">
            <w:pPr>
              <w:pStyle w:val="Body"/>
            </w:pPr>
            <w:r>
              <w:t xml:space="preserve">Men </w:t>
            </w:r>
            <w:r w:rsidR="00552CFC">
              <w:t>58.6%</w:t>
            </w:r>
          </w:p>
        </w:tc>
        <w:tc>
          <w:tcPr>
            <w:tcW w:w="2275" w:type="dxa"/>
          </w:tcPr>
          <w:p w14:paraId="462AE951" w14:textId="02480551" w:rsidR="00552CFC" w:rsidRDefault="003E129C" w:rsidP="00F3219C">
            <w:pPr>
              <w:pStyle w:val="Body"/>
            </w:pPr>
            <w:r>
              <w:t xml:space="preserve">Women </w:t>
            </w:r>
            <w:r w:rsidR="00552CFC">
              <w:t>44.9%</w:t>
            </w:r>
          </w:p>
        </w:tc>
        <w:tc>
          <w:tcPr>
            <w:tcW w:w="2380" w:type="dxa"/>
          </w:tcPr>
          <w:p w14:paraId="7745AB07" w14:textId="6487F5CC" w:rsidR="00552CFC" w:rsidRDefault="003E129C" w:rsidP="00F3219C">
            <w:pPr>
              <w:pStyle w:val="Body"/>
            </w:pPr>
            <w:r>
              <w:t xml:space="preserve">Overall </w:t>
            </w:r>
            <w:r w:rsidR="00552CFC">
              <w:t>51.6%</w:t>
            </w:r>
          </w:p>
        </w:tc>
      </w:tr>
      <w:tr w:rsidR="00552CFC" w14:paraId="29E7D5CB" w14:textId="77777777" w:rsidTr="00F3219C">
        <w:tc>
          <w:tcPr>
            <w:tcW w:w="2492" w:type="dxa"/>
          </w:tcPr>
          <w:p w14:paraId="2F378D8C" w14:textId="77777777" w:rsidR="00552CFC" w:rsidRPr="00EE4C60" w:rsidRDefault="00552CFC" w:rsidP="00F3219C">
            <w:pPr>
              <w:pStyle w:val="Body"/>
            </w:pPr>
            <w:r w:rsidRPr="00EE4C60">
              <w:t>Overweight, but not obese (25 ≥ BMI &lt; 30 kg/m</w:t>
            </w:r>
            <w:r w:rsidRPr="00EE4C60">
              <w:rPr>
                <w:vertAlign w:val="superscript"/>
              </w:rPr>
              <w:t>2</w:t>
            </w:r>
            <w:r w:rsidRPr="00EE4C60">
              <w:t>)</w:t>
            </w:r>
          </w:p>
        </w:tc>
        <w:tc>
          <w:tcPr>
            <w:tcW w:w="2141" w:type="dxa"/>
          </w:tcPr>
          <w:p w14:paraId="013E0E87" w14:textId="188CD866" w:rsidR="00552CFC" w:rsidRDefault="003E129C" w:rsidP="00F3219C">
            <w:pPr>
              <w:pStyle w:val="Body"/>
            </w:pPr>
            <w:r>
              <w:t xml:space="preserve">Men </w:t>
            </w:r>
            <w:r w:rsidR="00552CFC">
              <w:t>37.9%</w:t>
            </w:r>
          </w:p>
        </w:tc>
        <w:tc>
          <w:tcPr>
            <w:tcW w:w="2275" w:type="dxa"/>
          </w:tcPr>
          <w:p w14:paraId="44BFFC47" w14:textId="52840E1F" w:rsidR="00552CFC" w:rsidRDefault="003E129C" w:rsidP="00F3219C">
            <w:pPr>
              <w:pStyle w:val="Body"/>
            </w:pPr>
            <w:r>
              <w:t xml:space="preserve">Women </w:t>
            </w:r>
            <w:r w:rsidR="00552CFC">
              <w:t>25.2%</w:t>
            </w:r>
          </w:p>
        </w:tc>
        <w:tc>
          <w:tcPr>
            <w:tcW w:w="2380" w:type="dxa"/>
          </w:tcPr>
          <w:p w14:paraId="143E0238" w14:textId="07901FE6" w:rsidR="00552CFC" w:rsidRDefault="003E129C" w:rsidP="00F3219C">
            <w:pPr>
              <w:pStyle w:val="Body"/>
            </w:pPr>
            <w:r>
              <w:t xml:space="preserve">Overall </w:t>
            </w:r>
            <w:r w:rsidR="00552CFC">
              <w:t>31.3%</w:t>
            </w:r>
          </w:p>
        </w:tc>
      </w:tr>
      <w:tr w:rsidR="00552CFC" w14:paraId="52F74676" w14:textId="77777777" w:rsidTr="00F3219C">
        <w:tc>
          <w:tcPr>
            <w:tcW w:w="2492" w:type="dxa"/>
          </w:tcPr>
          <w:p w14:paraId="3E01901B" w14:textId="77777777" w:rsidR="00552CFC" w:rsidRPr="00EE4C60" w:rsidRDefault="00552CFC" w:rsidP="00F3219C">
            <w:pPr>
              <w:pStyle w:val="Body"/>
            </w:pPr>
            <w:r w:rsidRPr="00EE4C60">
              <w:t>Obese</w:t>
            </w:r>
          </w:p>
        </w:tc>
        <w:tc>
          <w:tcPr>
            <w:tcW w:w="2141" w:type="dxa"/>
          </w:tcPr>
          <w:p w14:paraId="5D0240F6" w14:textId="6E568636" w:rsidR="00552CFC" w:rsidRDefault="003E129C" w:rsidP="00F3219C">
            <w:pPr>
              <w:pStyle w:val="Body"/>
            </w:pPr>
            <w:r>
              <w:t xml:space="preserve">Men </w:t>
            </w:r>
            <w:r w:rsidR="00552CFC">
              <w:t>20.7%</w:t>
            </w:r>
          </w:p>
        </w:tc>
        <w:tc>
          <w:tcPr>
            <w:tcW w:w="2275" w:type="dxa"/>
          </w:tcPr>
          <w:p w14:paraId="3A82FF73" w14:textId="423124CB" w:rsidR="00552CFC" w:rsidRDefault="003E129C" w:rsidP="00F3219C">
            <w:pPr>
              <w:pStyle w:val="Body"/>
            </w:pPr>
            <w:r>
              <w:t xml:space="preserve">Women </w:t>
            </w:r>
            <w:r w:rsidR="00552CFC">
              <w:t>19.8%</w:t>
            </w:r>
          </w:p>
        </w:tc>
        <w:tc>
          <w:tcPr>
            <w:tcW w:w="2380" w:type="dxa"/>
          </w:tcPr>
          <w:p w14:paraId="4E8EAFB3" w14:textId="73A97A0F" w:rsidR="00552CFC" w:rsidRDefault="003E129C" w:rsidP="00F3219C">
            <w:pPr>
              <w:pStyle w:val="Body"/>
            </w:pPr>
            <w:r>
              <w:t xml:space="preserve">Overall </w:t>
            </w:r>
            <w:r w:rsidR="00552CFC">
              <w:t>20.3%</w:t>
            </w:r>
          </w:p>
        </w:tc>
      </w:tr>
      <w:tr w:rsidR="00552CFC" w14:paraId="577A872F" w14:textId="77777777" w:rsidTr="00F3219C">
        <w:tc>
          <w:tcPr>
            <w:tcW w:w="2492" w:type="dxa"/>
          </w:tcPr>
          <w:p w14:paraId="7356EDF0" w14:textId="77777777" w:rsidR="00552CFC" w:rsidRPr="00EE4C60" w:rsidRDefault="00552CFC" w:rsidP="00F3219C">
            <w:pPr>
              <w:pStyle w:val="Body"/>
            </w:pPr>
            <w:r w:rsidRPr="00EE4C60">
              <w:t>Normal weight (BMI 18.5–25 kg/m</w:t>
            </w:r>
            <w:r w:rsidRPr="00EE4C60">
              <w:rPr>
                <w:vertAlign w:val="superscript"/>
              </w:rPr>
              <w:t>2</w:t>
            </w:r>
            <w:r w:rsidRPr="00EE4C60">
              <w:t>)</w:t>
            </w:r>
          </w:p>
        </w:tc>
        <w:tc>
          <w:tcPr>
            <w:tcW w:w="2141" w:type="dxa"/>
          </w:tcPr>
          <w:p w14:paraId="68F2FE8E" w14:textId="0867B890" w:rsidR="00552CFC" w:rsidRDefault="003E129C" w:rsidP="00F3219C">
            <w:pPr>
              <w:pStyle w:val="Body"/>
            </w:pPr>
            <w:r>
              <w:t xml:space="preserve">Men </w:t>
            </w:r>
            <w:r w:rsidR="00552CFC">
              <w:t>34.0%</w:t>
            </w:r>
          </w:p>
        </w:tc>
        <w:tc>
          <w:tcPr>
            <w:tcW w:w="2275" w:type="dxa"/>
          </w:tcPr>
          <w:p w14:paraId="4D1C7CDB" w14:textId="7F79C13C" w:rsidR="00552CFC" w:rsidRDefault="003E129C" w:rsidP="00F3219C">
            <w:pPr>
              <w:pStyle w:val="Body"/>
            </w:pPr>
            <w:r>
              <w:t xml:space="preserve">Women </w:t>
            </w:r>
            <w:r w:rsidR="00552CFC">
              <w:t>39.4%</w:t>
            </w:r>
          </w:p>
        </w:tc>
        <w:tc>
          <w:tcPr>
            <w:tcW w:w="2380" w:type="dxa"/>
          </w:tcPr>
          <w:p w14:paraId="58EEAD48" w14:textId="25A2E2A5" w:rsidR="00552CFC" w:rsidRDefault="003E129C" w:rsidP="00F3219C">
            <w:pPr>
              <w:pStyle w:val="Body"/>
            </w:pPr>
            <w:r>
              <w:t xml:space="preserve">Overall </w:t>
            </w:r>
            <w:r w:rsidR="00552CFC">
              <w:t>36.8%</w:t>
            </w:r>
          </w:p>
        </w:tc>
      </w:tr>
    </w:tbl>
    <w:p w14:paraId="693C4F7E" w14:textId="49C285D7" w:rsidR="00552CFC" w:rsidRDefault="00552CFC" w:rsidP="003671B2">
      <w:pPr>
        <w:pStyle w:val="Body"/>
      </w:pPr>
    </w:p>
    <w:p w14:paraId="4695669E" w14:textId="4114AE56" w:rsidR="00552CFC" w:rsidRDefault="00083EBF" w:rsidP="00083EBF">
      <w:pPr>
        <w:pStyle w:val="Heading2"/>
      </w:pPr>
      <w:r w:rsidRPr="00B4363A">
        <w:lastRenderedPageBreak/>
        <w:t xml:space="preserve">Chapter </w:t>
      </w:r>
      <w:r>
        <w:t>14</w:t>
      </w:r>
      <w:r w:rsidRPr="00B4363A">
        <w:t xml:space="preserve">, </w:t>
      </w:r>
      <w:r>
        <w:t>Figure 1. Leading cancer types by sex, Victoria 2019 – number and percent of new cases (incidence) for the most common cancers</w:t>
      </w:r>
    </w:p>
    <w:tbl>
      <w:tblPr>
        <w:tblStyle w:val="TableGrid"/>
        <w:tblW w:w="0" w:type="auto"/>
        <w:tblLook w:val="04A0" w:firstRow="1" w:lastRow="0" w:firstColumn="1" w:lastColumn="0" w:noHBand="0" w:noVBand="1"/>
      </w:tblPr>
      <w:tblGrid>
        <w:gridCol w:w="3096"/>
        <w:gridCol w:w="3096"/>
        <w:gridCol w:w="3096"/>
      </w:tblGrid>
      <w:tr w:rsidR="00083EBF" w14:paraId="0F0ECA91" w14:textId="77777777" w:rsidTr="00083EBF">
        <w:tc>
          <w:tcPr>
            <w:tcW w:w="3096" w:type="dxa"/>
          </w:tcPr>
          <w:p w14:paraId="5A5B6FF1" w14:textId="1B07D509" w:rsidR="00083EBF" w:rsidRPr="00083EBF" w:rsidRDefault="00083EBF" w:rsidP="00083EBF">
            <w:pPr>
              <w:pStyle w:val="Body"/>
              <w:rPr>
                <w:b/>
                <w:bCs/>
              </w:rPr>
            </w:pPr>
            <w:r w:rsidRPr="00083EBF">
              <w:rPr>
                <w:b/>
                <w:bCs/>
              </w:rPr>
              <w:t>Cancer type</w:t>
            </w:r>
          </w:p>
        </w:tc>
        <w:tc>
          <w:tcPr>
            <w:tcW w:w="3096" w:type="dxa"/>
          </w:tcPr>
          <w:p w14:paraId="00E24839" w14:textId="63C22B1F" w:rsidR="00083EBF" w:rsidRPr="00083EBF" w:rsidRDefault="00083EBF" w:rsidP="00083EBF">
            <w:pPr>
              <w:pStyle w:val="Body"/>
              <w:rPr>
                <w:b/>
                <w:bCs/>
              </w:rPr>
            </w:pPr>
            <w:r w:rsidRPr="00083EBF">
              <w:rPr>
                <w:b/>
                <w:bCs/>
              </w:rPr>
              <w:t>Males by number and percent of total male cancers</w:t>
            </w:r>
          </w:p>
        </w:tc>
        <w:tc>
          <w:tcPr>
            <w:tcW w:w="3096" w:type="dxa"/>
          </w:tcPr>
          <w:p w14:paraId="03F953C1" w14:textId="69FCA474" w:rsidR="00083EBF" w:rsidRPr="00083EBF" w:rsidRDefault="00083EBF" w:rsidP="00083EBF">
            <w:pPr>
              <w:pStyle w:val="Body"/>
              <w:rPr>
                <w:b/>
                <w:bCs/>
              </w:rPr>
            </w:pPr>
            <w:r w:rsidRPr="00083EBF">
              <w:rPr>
                <w:b/>
                <w:bCs/>
              </w:rPr>
              <w:t xml:space="preserve">Females by number and percent of total </w:t>
            </w:r>
            <w:r w:rsidR="00EE4C60">
              <w:rPr>
                <w:b/>
                <w:bCs/>
              </w:rPr>
              <w:t>fe</w:t>
            </w:r>
            <w:r w:rsidRPr="00083EBF">
              <w:rPr>
                <w:b/>
                <w:bCs/>
              </w:rPr>
              <w:t>male cancers</w:t>
            </w:r>
          </w:p>
        </w:tc>
      </w:tr>
      <w:tr w:rsidR="00083EBF" w14:paraId="5BEA383A" w14:textId="77777777" w:rsidTr="00083EBF">
        <w:tc>
          <w:tcPr>
            <w:tcW w:w="3096" w:type="dxa"/>
          </w:tcPr>
          <w:p w14:paraId="457DC52B" w14:textId="2FF42DCC" w:rsidR="00083EBF" w:rsidRPr="00EE4C60" w:rsidRDefault="00083EBF" w:rsidP="00083EBF">
            <w:pPr>
              <w:pStyle w:val="Body"/>
            </w:pPr>
            <w:r w:rsidRPr="00EE4C60">
              <w:t>Prostate</w:t>
            </w:r>
          </w:p>
        </w:tc>
        <w:tc>
          <w:tcPr>
            <w:tcW w:w="3096" w:type="dxa"/>
          </w:tcPr>
          <w:p w14:paraId="0501EECE" w14:textId="33D97A40" w:rsidR="00083EBF" w:rsidRDefault="00083EBF" w:rsidP="00083EBF">
            <w:pPr>
              <w:pStyle w:val="Body"/>
            </w:pPr>
            <w:r>
              <w:t xml:space="preserve">Males </w:t>
            </w:r>
            <w:r w:rsidR="00827B21">
              <w:t>6,034 (30.27%)</w:t>
            </w:r>
          </w:p>
        </w:tc>
        <w:tc>
          <w:tcPr>
            <w:tcW w:w="3096" w:type="dxa"/>
          </w:tcPr>
          <w:p w14:paraId="3632F4E8" w14:textId="0F2C996C" w:rsidR="00083EBF" w:rsidRDefault="00083EBF" w:rsidP="00083EBF">
            <w:pPr>
              <w:pStyle w:val="Body"/>
            </w:pPr>
          </w:p>
        </w:tc>
      </w:tr>
      <w:tr w:rsidR="00083EBF" w14:paraId="3B9FB64D" w14:textId="77777777" w:rsidTr="00083EBF">
        <w:tc>
          <w:tcPr>
            <w:tcW w:w="3096" w:type="dxa"/>
          </w:tcPr>
          <w:p w14:paraId="437C0201" w14:textId="5823E382" w:rsidR="00083EBF" w:rsidRPr="00EE4C60" w:rsidRDefault="00083EBF" w:rsidP="00083EBF">
            <w:pPr>
              <w:pStyle w:val="Body"/>
            </w:pPr>
            <w:r w:rsidRPr="00EE4C60">
              <w:t>Breast</w:t>
            </w:r>
          </w:p>
        </w:tc>
        <w:tc>
          <w:tcPr>
            <w:tcW w:w="3096" w:type="dxa"/>
          </w:tcPr>
          <w:p w14:paraId="0765C0A6" w14:textId="1504D450" w:rsidR="00083EBF" w:rsidRDefault="00083EBF" w:rsidP="00083EBF">
            <w:pPr>
              <w:pStyle w:val="Body"/>
            </w:pPr>
            <w:r w:rsidRPr="00FE0796">
              <w:t xml:space="preserve">Males </w:t>
            </w:r>
            <w:r>
              <w:t>41 (0.21%)</w:t>
            </w:r>
          </w:p>
        </w:tc>
        <w:tc>
          <w:tcPr>
            <w:tcW w:w="3096" w:type="dxa"/>
          </w:tcPr>
          <w:p w14:paraId="659C6370" w14:textId="43335AF7" w:rsidR="00083EBF" w:rsidRDefault="00083EBF" w:rsidP="00083EBF">
            <w:pPr>
              <w:pStyle w:val="Body"/>
            </w:pPr>
            <w:r w:rsidRPr="001E22B6">
              <w:t>Females</w:t>
            </w:r>
            <w:r>
              <w:t xml:space="preserve"> 4,658 (29.15%)</w:t>
            </w:r>
          </w:p>
        </w:tc>
      </w:tr>
      <w:tr w:rsidR="00083EBF" w14:paraId="120BE47B" w14:textId="77777777" w:rsidTr="00083EBF">
        <w:tc>
          <w:tcPr>
            <w:tcW w:w="3096" w:type="dxa"/>
          </w:tcPr>
          <w:p w14:paraId="7921700D" w14:textId="1D571BA4" w:rsidR="00083EBF" w:rsidRPr="00EE4C60" w:rsidRDefault="00083EBF" w:rsidP="00083EBF">
            <w:pPr>
              <w:pStyle w:val="Body"/>
            </w:pPr>
            <w:r w:rsidRPr="00EE4C60">
              <w:t>Bowel</w:t>
            </w:r>
          </w:p>
        </w:tc>
        <w:tc>
          <w:tcPr>
            <w:tcW w:w="3096" w:type="dxa"/>
          </w:tcPr>
          <w:p w14:paraId="12D498E3" w14:textId="5CDA43B7" w:rsidR="00083EBF" w:rsidRDefault="00083EBF" w:rsidP="00083EBF">
            <w:pPr>
              <w:pStyle w:val="Body"/>
            </w:pPr>
            <w:r w:rsidRPr="00FE0796">
              <w:t xml:space="preserve">Males </w:t>
            </w:r>
            <w:r>
              <w:t>2,092 (10.50%)</w:t>
            </w:r>
          </w:p>
        </w:tc>
        <w:tc>
          <w:tcPr>
            <w:tcW w:w="3096" w:type="dxa"/>
          </w:tcPr>
          <w:p w14:paraId="00FA012E" w14:textId="7C3F7C88" w:rsidR="00083EBF" w:rsidRDefault="00083EBF" w:rsidP="00083EBF">
            <w:pPr>
              <w:pStyle w:val="Body"/>
            </w:pPr>
            <w:r w:rsidRPr="001E22B6">
              <w:t>Females</w:t>
            </w:r>
            <w:r>
              <w:t xml:space="preserve"> 1,724 (10.79%)</w:t>
            </w:r>
          </w:p>
        </w:tc>
      </w:tr>
      <w:tr w:rsidR="00083EBF" w14:paraId="42DC1DC0" w14:textId="77777777" w:rsidTr="00083EBF">
        <w:tc>
          <w:tcPr>
            <w:tcW w:w="3096" w:type="dxa"/>
          </w:tcPr>
          <w:p w14:paraId="6D4900F3" w14:textId="2AB9CF5F" w:rsidR="00083EBF" w:rsidRPr="00EE4C60" w:rsidRDefault="00083EBF" w:rsidP="00083EBF">
            <w:pPr>
              <w:pStyle w:val="Body"/>
            </w:pPr>
            <w:r w:rsidRPr="00EE4C60">
              <w:t>Lung</w:t>
            </w:r>
          </w:p>
        </w:tc>
        <w:tc>
          <w:tcPr>
            <w:tcW w:w="3096" w:type="dxa"/>
          </w:tcPr>
          <w:p w14:paraId="24B64D72" w14:textId="6B8F24C4" w:rsidR="00083EBF" w:rsidRDefault="00083EBF" w:rsidP="00083EBF">
            <w:pPr>
              <w:pStyle w:val="Body"/>
            </w:pPr>
            <w:r w:rsidRPr="00FE0796">
              <w:t xml:space="preserve">Males </w:t>
            </w:r>
            <w:r>
              <w:t>1,720 (8.63%)</w:t>
            </w:r>
          </w:p>
        </w:tc>
        <w:tc>
          <w:tcPr>
            <w:tcW w:w="3096" w:type="dxa"/>
          </w:tcPr>
          <w:p w14:paraId="00C5E483" w14:textId="6F793638" w:rsidR="00083EBF" w:rsidRDefault="00083EBF" w:rsidP="00083EBF">
            <w:pPr>
              <w:pStyle w:val="Body"/>
            </w:pPr>
            <w:r w:rsidRPr="001E22B6">
              <w:t>Females</w:t>
            </w:r>
            <w:r>
              <w:t xml:space="preserve"> 1,436 (8.99%)</w:t>
            </w:r>
          </w:p>
        </w:tc>
      </w:tr>
      <w:tr w:rsidR="00083EBF" w14:paraId="0C6DED22" w14:textId="77777777" w:rsidTr="00083EBF">
        <w:tc>
          <w:tcPr>
            <w:tcW w:w="3096" w:type="dxa"/>
          </w:tcPr>
          <w:p w14:paraId="116E3661" w14:textId="3B357763" w:rsidR="00083EBF" w:rsidRPr="00EE4C60" w:rsidRDefault="00083EBF" w:rsidP="00083EBF">
            <w:pPr>
              <w:pStyle w:val="Body"/>
            </w:pPr>
            <w:r w:rsidRPr="00EE4C60">
              <w:t>Melanoma</w:t>
            </w:r>
          </w:p>
        </w:tc>
        <w:tc>
          <w:tcPr>
            <w:tcW w:w="3096" w:type="dxa"/>
          </w:tcPr>
          <w:p w14:paraId="4C28EE32" w14:textId="0599ADAD" w:rsidR="00083EBF" w:rsidRDefault="00083EBF" w:rsidP="00083EBF">
            <w:pPr>
              <w:pStyle w:val="Body"/>
            </w:pPr>
            <w:r w:rsidRPr="00FE0796">
              <w:t xml:space="preserve">Males </w:t>
            </w:r>
            <w:r>
              <w:t>1,633 (8.19%)</w:t>
            </w:r>
          </w:p>
        </w:tc>
        <w:tc>
          <w:tcPr>
            <w:tcW w:w="3096" w:type="dxa"/>
          </w:tcPr>
          <w:p w14:paraId="5946CE87" w14:textId="2AC5EE16" w:rsidR="00083EBF" w:rsidRDefault="00083EBF" w:rsidP="00083EBF">
            <w:pPr>
              <w:pStyle w:val="Body"/>
            </w:pPr>
            <w:r w:rsidRPr="001E22B6">
              <w:t>Females</w:t>
            </w:r>
            <w:r>
              <w:t xml:space="preserve"> 1,207 (7.55%)</w:t>
            </w:r>
          </w:p>
        </w:tc>
      </w:tr>
      <w:tr w:rsidR="00083EBF" w14:paraId="43AE1C25" w14:textId="77777777" w:rsidTr="00083EBF">
        <w:tc>
          <w:tcPr>
            <w:tcW w:w="3096" w:type="dxa"/>
          </w:tcPr>
          <w:p w14:paraId="702EEDE4" w14:textId="5589F9EF" w:rsidR="00083EBF" w:rsidRPr="00EE4C60" w:rsidRDefault="00083EBF" w:rsidP="00083EBF">
            <w:pPr>
              <w:pStyle w:val="Body"/>
            </w:pPr>
            <w:r w:rsidRPr="00EE4C60">
              <w:t>Lymphoma</w:t>
            </w:r>
          </w:p>
        </w:tc>
        <w:tc>
          <w:tcPr>
            <w:tcW w:w="3096" w:type="dxa"/>
          </w:tcPr>
          <w:p w14:paraId="53693B0A" w14:textId="452D1FF1" w:rsidR="00083EBF" w:rsidRDefault="00083EBF" w:rsidP="00083EBF">
            <w:pPr>
              <w:pStyle w:val="Body"/>
            </w:pPr>
            <w:r w:rsidRPr="00FE0796">
              <w:t xml:space="preserve">Males </w:t>
            </w:r>
            <w:r w:rsidR="00827B21">
              <w:t>882 (4.43%)</w:t>
            </w:r>
          </w:p>
        </w:tc>
        <w:tc>
          <w:tcPr>
            <w:tcW w:w="3096" w:type="dxa"/>
          </w:tcPr>
          <w:p w14:paraId="070AC82D" w14:textId="747FAA79" w:rsidR="00083EBF" w:rsidRDefault="00083EBF" w:rsidP="00083EBF">
            <w:pPr>
              <w:pStyle w:val="Body"/>
            </w:pPr>
            <w:r w:rsidRPr="001E22B6">
              <w:t>Females</w:t>
            </w:r>
            <w:r w:rsidR="00827B21">
              <w:t xml:space="preserve"> 698 (4.37%)</w:t>
            </w:r>
          </w:p>
        </w:tc>
      </w:tr>
      <w:tr w:rsidR="00083EBF" w14:paraId="27355D66" w14:textId="77777777" w:rsidTr="00083EBF">
        <w:tc>
          <w:tcPr>
            <w:tcW w:w="3096" w:type="dxa"/>
          </w:tcPr>
          <w:p w14:paraId="097AA152" w14:textId="1B4A6C5F" w:rsidR="00083EBF" w:rsidRPr="00EE4C60" w:rsidRDefault="00083EBF" w:rsidP="00083EBF">
            <w:pPr>
              <w:pStyle w:val="Body"/>
            </w:pPr>
            <w:r w:rsidRPr="00EE4C60">
              <w:t>Leukaemia</w:t>
            </w:r>
          </w:p>
        </w:tc>
        <w:tc>
          <w:tcPr>
            <w:tcW w:w="3096" w:type="dxa"/>
          </w:tcPr>
          <w:p w14:paraId="408B6D27" w14:textId="4649DB2D" w:rsidR="00083EBF" w:rsidRDefault="00083EBF" w:rsidP="00083EBF">
            <w:pPr>
              <w:pStyle w:val="Body"/>
            </w:pPr>
            <w:r w:rsidRPr="00FE0796">
              <w:t xml:space="preserve">Males </w:t>
            </w:r>
            <w:r w:rsidR="00827B21">
              <w:t>756 (3.79%)</w:t>
            </w:r>
          </w:p>
        </w:tc>
        <w:tc>
          <w:tcPr>
            <w:tcW w:w="3096" w:type="dxa"/>
          </w:tcPr>
          <w:p w14:paraId="3FE74B02" w14:textId="4FDA72AD" w:rsidR="00083EBF" w:rsidRDefault="00083EBF" w:rsidP="00083EBF">
            <w:pPr>
              <w:pStyle w:val="Body"/>
            </w:pPr>
            <w:r w:rsidRPr="001E22B6">
              <w:t>Females</w:t>
            </w:r>
            <w:r w:rsidR="00827B21">
              <w:t xml:space="preserve"> 477 (2.98%)</w:t>
            </w:r>
          </w:p>
        </w:tc>
      </w:tr>
      <w:tr w:rsidR="00083EBF" w14:paraId="6C352BF7" w14:textId="77777777" w:rsidTr="00083EBF">
        <w:tc>
          <w:tcPr>
            <w:tcW w:w="3096" w:type="dxa"/>
          </w:tcPr>
          <w:p w14:paraId="6F16F4B7" w14:textId="33D6E6B1" w:rsidR="00083EBF" w:rsidRPr="00EE4C60" w:rsidRDefault="00083EBF" w:rsidP="00083EBF">
            <w:pPr>
              <w:pStyle w:val="Body"/>
            </w:pPr>
            <w:r w:rsidRPr="00EE4C60">
              <w:t>Kidney</w:t>
            </w:r>
          </w:p>
        </w:tc>
        <w:tc>
          <w:tcPr>
            <w:tcW w:w="3096" w:type="dxa"/>
          </w:tcPr>
          <w:p w14:paraId="5EB6FA47" w14:textId="433E15B1" w:rsidR="00083EBF" w:rsidRDefault="00083EBF" w:rsidP="00083EBF">
            <w:pPr>
              <w:pStyle w:val="Body"/>
            </w:pPr>
            <w:r w:rsidRPr="00FE0796">
              <w:t xml:space="preserve">Males </w:t>
            </w:r>
            <w:r w:rsidR="00827B21">
              <w:t>705 (3.54%)</w:t>
            </w:r>
          </w:p>
        </w:tc>
        <w:tc>
          <w:tcPr>
            <w:tcW w:w="3096" w:type="dxa"/>
          </w:tcPr>
          <w:p w14:paraId="2CAC61EA" w14:textId="7FB3A74E" w:rsidR="00083EBF" w:rsidRDefault="00083EBF" w:rsidP="00083EBF">
            <w:pPr>
              <w:pStyle w:val="Body"/>
            </w:pPr>
            <w:r w:rsidRPr="001E22B6">
              <w:t>Females</w:t>
            </w:r>
            <w:r w:rsidR="00827B21">
              <w:t xml:space="preserve"> 340 (2.13%)</w:t>
            </w:r>
          </w:p>
        </w:tc>
      </w:tr>
      <w:tr w:rsidR="00083EBF" w14:paraId="37E292A0" w14:textId="77777777" w:rsidTr="00083EBF">
        <w:tc>
          <w:tcPr>
            <w:tcW w:w="3096" w:type="dxa"/>
          </w:tcPr>
          <w:p w14:paraId="7536D50A" w14:textId="58431A89" w:rsidR="00083EBF" w:rsidRPr="00EE4C60" w:rsidRDefault="00083EBF" w:rsidP="00083EBF">
            <w:pPr>
              <w:pStyle w:val="Body"/>
            </w:pPr>
            <w:r w:rsidRPr="00EE4C60">
              <w:t>Head and neck</w:t>
            </w:r>
          </w:p>
        </w:tc>
        <w:tc>
          <w:tcPr>
            <w:tcW w:w="3096" w:type="dxa"/>
          </w:tcPr>
          <w:p w14:paraId="5397E4F5" w14:textId="7A484D91" w:rsidR="00083EBF" w:rsidRDefault="00083EBF" w:rsidP="00083EBF">
            <w:pPr>
              <w:pStyle w:val="Body"/>
            </w:pPr>
            <w:r w:rsidRPr="00FE0796">
              <w:t xml:space="preserve">Males </w:t>
            </w:r>
            <w:r>
              <w:t>709 (3.56%)</w:t>
            </w:r>
          </w:p>
        </w:tc>
        <w:tc>
          <w:tcPr>
            <w:tcW w:w="3096" w:type="dxa"/>
          </w:tcPr>
          <w:p w14:paraId="05375C74" w14:textId="4A5D2950" w:rsidR="00083EBF" w:rsidRDefault="00083EBF" w:rsidP="00083EBF">
            <w:pPr>
              <w:pStyle w:val="Body"/>
            </w:pPr>
            <w:r w:rsidRPr="001E22B6">
              <w:t>Females</w:t>
            </w:r>
            <w:r>
              <w:t xml:space="preserve"> 259 (1.62%)</w:t>
            </w:r>
          </w:p>
        </w:tc>
      </w:tr>
      <w:tr w:rsidR="00083EBF" w14:paraId="016AE6EA" w14:textId="77777777" w:rsidTr="00083EBF">
        <w:tc>
          <w:tcPr>
            <w:tcW w:w="3096" w:type="dxa"/>
          </w:tcPr>
          <w:p w14:paraId="15C5AB74" w14:textId="34DC05E1" w:rsidR="00083EBF" w:rsidRPr="00EE4C60" w:rsidRDefault="00083EBF" w:rsidP="00083EBF">
            <w:pPr>
              <w:pStyle w:val="Body"/>
            </w:pPr>
            <w:r w:rsidRPr="00EE4C60">
              <w:t>Pancreas</w:t>
            </w:r>
          </w:p>
        </w:tc>
        <w:tc>
          <w:tcPr>
            <w:tcW w:w="3096" w:type="dxa"/>
          </w:tcPr>
          <w:p w14:paraId="5B4F500A" w14:textId="29E3E1C2" w:rsidR="00083EBF" w:rsidRDefault="00083EBF" w:rsidP="00083EBF">
            <w:pPr>
              <w:pStyle w:val="Body"/>
            </w:pPr>
            <w:r w:rsidRPr="00FE0796">
              <w:t xml:space="preserve">Males </w:t>
            </w:r>
            <w:r>
              <w:t>744 (2.39%)</w:t>
            </w:r>
          </w:p>
        </w:tc>
        <w:tc>
          <w:tcPr>
            <w:tcW w:w="3096" w:type="dxa"/>
          </w:tcPr>
          <w:p w14:paraId="0CBE73BE" w14:textId="7E5FC3E2" w:rsidR="00083EBF" w:rsidRDefault="00083EBF" w:rsidP="00083EBF">
            <w:pPr>
              <w:pStyle w:val="Body"/>
            </w:pPr>
            <w:r w:rsidRPr="001E22B6">
              <w:t>Females</w:t>
            </w:r>
            <w:r>
              <w:t xml:space="preserve"> 4</w:t>
            </w:r>
            <w:r w:rsidR="00827B21">
              <w:t>77</w:t>
            </w:r>
            <w:r>
              <w:t xml:space="preserve"> (2.77%)</w:t>
            </w:r>
          </w:p>
        </w:tc>
      </w:tr>
      <w:tr w:rsidR="00083EBF" w14:paraId="568065F3" w14:textId="77777777" w:rsidTr="00083EBF">
        <w:tc>
          <w:tcPr>
            <w:tcW w:w="3096" w:type="dxa"/>
          </w:tcPr>
          <w:p w14:paraId="28CDD02A" w14:textId="46C5A792" w:rsidR="00083EBF" w:rsidRPr="00EE4C60" w:rsidRDefault="00827B21" w:rsidP="00083EBF">
            <w:pPr>
              <w:pStyle w:val="Body"/>
            </w:pPr>
            <w:r w:rsidRPr="00EE4C60">
              <w:t>Myeloproliferative &amp; myelodysplastic (</w:t>
            </w:r>
            <w:r w:rsidR="00083EBF" w:rsidRPr="00EE4C60">
              <w:t>MDS</w:t>
            </w:r>
            <w:r w:rsidRPr="00EE4C60">
              <w:t>)</w:t>
            </w:r>
          </w:p>
        </w:tc>
        <w:tc>
          <w:tcPr>
            <w:tcW w:w="3096" w:type="dxa"/>
          </w:tcPr>
          <w:p w14:paraId="7AB7976C" w14:textId="64FFC80D" w:rsidR="00083EBF" w:rsidRDefault="00083EBF" w:rsidP="00083EBF">
            <w:pPr>
              <w:pStyle w:val="Body"/>
            </w:pPr>
            <w:r w:rsidRPr="00FE0796">
              <w:t xml:space="preserve">Males </w:t>
            </w:r>
            <w:r w:rsidR="00827B21">
              <w:t>457 (2.29%)</w:t>
            </w:r>
          </w:p>
        </w:tc>
        <w:tc>
          <w:tcPr>
            <w:tcW w:w="3096" w:type="dxa"/>
          </w:tcPr>
          <w:p w14:paraId="703904F7" w14:textId="4C0F82A0" w:rsidR="00083EBF" w:rsidRDefault="00083EBF" w:rsidP="00083EBF">
            <w:pPr>
              <w:pStyle w:val="Body"/>
            </w:pPr>
            <w:r w:rsidRPr="001E22B6">
              <w:t>Females</w:t>
            </w:r>
            <w:r w:rsidR="00827B21">
              <w:t xml:space="preserve"> 370 (2.32%)</w:t>
            </w:r>
          </w:p>
        </w:tc>
      </w:tr>
      <w:tr w:rsidR="00083EBF" w14:paraId="725F679E" w14:textId="77777777" w:rsidTr="00083EBF">
        <w:tc>
          <w:tcPr>
            <w:tcW w:w="3096" w:type="dxa"/>
          </w:tcPr>
          <w:p w14:paraId="1959C977" w14:textId="232DBADB" w:rsidR="00083EBF" w:rsidRPr="00EE4C60" w:rsidRDefault="00083EBF" w:rsidP="00083EBF">
            <w:pPr>
              <w:pStyle w:val="Body"/>
            </w:pPr>
            <w:r w:rsidRPr="00EE4C60">
              <w:t>Uterus</w:t>
            </w:r>
          </w:p>
        </w:tc>
        <w:tc>
          <w:tcPr>
            <w:tcW w:w="3096" w:type="dxa"/>
          </w:tcPr>
          <w:p w14:paraId="24929F17" w14:textId="3D0680A1" w:rsidR="00083EBF" w:rsidRDefault="00083EBF" w:rsidP="00083EBF">
            <w:pPr>
              <w:pStyle w:val="Body"/>
            </w:pPr>
          </w:p>
        </w:tc>
        <w:tc>
          <w:tcPr>
            <w:tcW w:w="3096" w:type="dxa"/>
          </w:tcPr>
          <w:p w14:paraId="27EE0C6D" w14:textId="562E56EB" w:rsidR="00083EBF" w:rsidRDefault="00083EBF" w:rsidP="00083EBF">
            <w:pPr>
              <w:pStyle w:val="Body"/>
            </w:pPr>
            <w:r w:rsidRPr="001E22B6">
              <w:t>Females</w:t>
            </w:r>
            <w:r w:rsidR="00827B21">
              <w:t xml:space="preserve"> 766 (4.9%)</w:t>
            </w:r>
          </w:p>
        </w:tc>
      </w:tr>
      <w:tr w:rsidR="00083EBF" w14:paraId="3F21ECD5" w14:textId="77777777" w:rsidTr="00083EBF">
        <w:tc>
          <w:tcPr>
            <w:tcW w:w="3096" w:type="dxa"/>
          </w:tcPr>
          <w:p w14:paraId="371D12E8" w14:textId="1184963F" w:rsidR="00083EBF" w:rsidRPr="00EE4C60" w:rsidRDefault="00083EBF" w:rsidP="00083EBF">
            <w:pPr>
              <w:pStyle w:val="Body"/>
            </w:pPr>
            <w:r w:rsidRPr="00EE4C60">
              <w:t>Thyroid</w:t>
            </w:r>
          </w:p>
        </w:tc>
        <w:tc>
          <w:tcPr>
            <w:tcW w:w="3096" w:type="dxa"/>
          </w:tcPr>
          <w:p w14:paraId="716B1E27" w14:textId="5D024124" w:rsidR="00083EBF" w:rsidRDefault="00083EBF" w:rsidP="00083EBF">
            <w:pPr>
              <w:pStyle w:val="Body"/>
            </w:pPr>
            <w:r w:rsidRPr="00FE0796">
              <w:t xml:space="preserve">Males </w:t>
            </w:r>
            <w:r w:rsidR="00827B21">
              <w:t>238 (1.19%)</w:t>
            </w:r>
          </w:p>
        </w:tc>
        <w:tc>
          <w:tcPr>
            <w:tcW w:w="3096" w:type="dxa"/>
          </w:tcPr>
          <w:p w14:paraId="3570B023" w14:textId="7942843C" w:rsidR="00083EBF" w:rsidRDefault="00083EBF" w:rsidP="00083EBF">
            <w:pPr>
              <w:pStyle w:val="Body"/>
            </w:pPr>
            <w:r w:rsidRPr="001E22B6">
              <w:t>Females</w:t>
            </w:r>
            <w:r w:rsidR="00827B21">
              <w:t xml:space="preserve"> 501 (3.13%)</w:t>
            </w:r>
          </w:p>
        </w:tc>
      </w:tr>
      <w:tr w:rsidR="00083EBF" w14:paraId="10B6C582" w14:textId="77777777" w:rsidTr="00083EBF">
        <w:tc>
          <w:tcPr>
            <w:tcW w:w="3096" w:type="dxa"/>
          </w:tcPr>
          <w:p w14:paraId="70D72619" w14:textId="2A295F3B" w:rsidR="00083EBF" w:rsidRPr="00EE4C60" w:rsidRDefault="00083EBF" w:rsidP="00083EBF">
            <w:pPr>
              <w:pStyle w:val="Body"/>
            </w:pPr>
            <w:r w:rsidRPr="00EE4C60">
              <w:t>Bladder</w:t>
            </w:r>
          </w:p>
        </w:tc>
        <w:tc>
          <w:tcPr>
            <w:tcW w:w="3096" w:type="dxa"/>
          </w:tcPr>
          <w:p w14:paraId="08DD7516" w14:textId="1006DDBE" w:rsidR="00083EBF" w:rsidRDefault="00083EBF" w:rsidP="00083EBF">
            <w:pPr>
              <w:pStyle w:val="Body"/>
            </w:pPr>
            <w:r w:rsidRPr="00FE0796">
              <w:t xml:space="preserve">Males </w:t>
            </w:r>
            <w:r w:rsidR="00827B21">
              <w:t>543 (2.72%)</w:t>
            </w:r>
          </w:p>
        </w:tc>
        <w:tc>
          <w:tcPr>
            <w:tcW w:w="3096" w:type="dxa"/>
          </w:tcPr>
          <w:p w14:paraId="32E184F7" w14:textId="403C66DC" w:rsidR="00083EBF" w:rsidRDefault="00083EBF" w:rsidP="00083EBF">
            <w:pPr>
              <w:pStyle w:val="Body"/>
            </w:pPr>
            <w:r w:rsidRPr="001E22B6">
              <w:t>Females</w:t>
            </w:r>
            <w:r w:rsidR="00827B21">
              <w:t xml:space="preserve"> 174 ((1.09%)</w:t>
            </w:r>
          </w:p>
        </w:tc>
      </w:tr>
      <w:tr w:rsidR="00083EBF" w14:paraId="764C7F8B" w14:textId="77777777" w:rsidTr="00083EBF">
        <w:tc>
          <w:tcPr>
            <w:tcW w:w="3096" w:type="dxa"/>
          </w:tcPr>
          <w:p w14:paraId="53FFB27C" w14:textId="7F5F5170" w:rsidR="00083EBF" w:rsidRPr="00EE4C60" w:rsidRDefault="00083EBF" w:rsidP="00083EBF">
            <w:pPr>
              <w:pStyle w:val="Body"/>
            </w:pPr>
            <w:r w:rsidRPr="00EE4C60">
              <w:t>Total</w:t>
            </w:r>
            <w:r w:rsidR="00827B21" w:rsidRPr="00EE4C60">
              <w:t xml:space="preserve"> all cancers listed</w:t>
            </w:r>
          </w:p>
        </w:tc>
        <w:tc>
          <w:tcPr>
            <w:tcW w:w="3096" w:type="dxa"/>
          </w:tcPr>
          <w:p w14:paraId="136F1D62" w14:textId="1B23A9C3" w:rsidR="00083EBF" w:rsidRDefault="00083EBF" w:rsidP="00083EBF">
            <w:pPr>
              <w:pStyle w:val="Body"/>
            </w:pPr>
            <w:r w:rsidRPr="00FE0796">
              <w:t>Males</w:t>
            </w:r>
            <w:r w:rsidR="00827B21">
              <w:t xml:space="preserve"> 19,931</w:t>
            </w:r>
          </w:p>
        </w:tc>
        <w:tc>
          <w:tcPr>
            <w:tcW w:w="3096" w:type="dxa"/>
          </w:tcPr>
          <w:p w14:paraId="28C70661" w14:textId="3BB24B1C" w:rsidR="00083EBF" w:rsidRDefault="00083EBF" w:rsidP="00083EBF">
            <w:pPr>
              <w:pStyle w:val="Body"/>
            </w:pPr>
            <w:r>
              <w:t>Females</w:t>
            </w:r>
            <w:r w:rsidR="00827B21">
              <w:t xml:space="preserve"> 15.981</w:t>
            </w:r>
          </w:p>
        </w:tc>
      </w:tr>
    </w:tbl>
    <w:p w14:paraId="5170EBE3" w14:textId="1C4C6734" w:rsidR="00083EBF" w:rsidRDefault="00083EBF" w:rsidP="00083EBF">
      <w:pPr>
        <w:pStyle w:val="Body"/>
      </w:pPr>
    </w:p>
    <w:p w14:paraId="3A1FFFD8" w14:textId="2E34208D" w:rsidR="008A48E6" w:rsidRDefault="008A48E6" w:rsidP="008A48E6">
      <w:pPr>
        <w:pStyle w:val="Heading2"/>
      </w:pPr>
      <w:r>
        <w:t>Chapter 14, Figure 2. Distribution of melanoma incidence in 2019, by sex within age groups</w:t>
      </w:r>
      <w:r w:rsidR="00A4591D">
        <w:t xml:space="preserve"> </w:t>
      </w:r>
    </w:p>
    <w:p w14:paraId="20D18004" w14:textId="5986C9E8" w:rsidR="00A4591D" w:rsidRPr="00A4591D" w:rsidRDefault="00A4591D" w:rsidP="00A4591D">
      <w:pPr>
        <w:pStyle w:val="Body"/>
      </w:pPr>
      <w:r>
        <w:t>(Source Victorian Cancer Registry (2021)</w:t>
      </w:r>
    </w:p>
    <w:tbl>
      <w:tblPr>
        <w:tblW w:w="5812" w:type="dxa"/>
        <w:tblInd w:w="-5" w:type="dxa"/>
        <w:tblLook w:val="04A0" w:firstRow="1" w:lastRow="0" w:firstColumn="1" w:lastColumn="0" w:noHBand="0" w:noVBand="1"/>
      </w:tblPr>
      <w:tblGrid>
        <w:gridCol w:w="3111"/>
        <w:gridCol w:w="1142"/>
        <w:gridCol w:w="1559"/>
      </w:tblGrid>
      <w:tr w:rsidR="008A48E6" w:rsidRPr="00EE4C60" w14:paraId="18C4B535" w14:textId="77777777" w:rsidTr="008A48E6">
        <w:trPr>
          <w:trHeight w:val="300"/>
        </w:trPr>
        <w:tc>
          <w:tcPr>
            <w:tcW w:w="58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29F39" w14:textId="1FA1590D" w:rsidR="008A48E6" w:rsidRPr="00851395" w:rsidRDefault="008A48E6" w:rsidP="008A48E6">
            <w:pPr>
              <w:spacing w:after="0" w:line="240" w:lineRule="auto"/>
              <w:rPr>
                <w:rFonts w:cs="Arial"/>
                <w:b/>
                <w:bCs/>
                <w:color w:val="000000"/>
                <w:szCs w:val="21"/>
                <w:lang w:eastAsia="en-AU"/>
              </w:rPr>
            </w:pPr>
            <w:r w:rsidRPr="00851395">
              <w:rPr>
                <w:rFonts w:cs="Arial"/>
                <w:b/>
                <w:bCs/>
                <w:color w:val="000000"/>
                <w:szCs w:val="21"/>
                <w:lang w:eastAsia="en-AU"/>
              </w:rPr>
              <w:t> Number of melanoma diagnosis 2019</w:t>
            </w:r>
            <w:r w:rsidR="00664ABF" w:rsidRPr="00EE4C60">
              <w:rPr>
                <w:rFonts w:cs="Arial"/>
                <w:b/>
                <w:bCs/>
                <w:color w:val="000000"/>
                <w:szCs w:val="21"/>
                <w:lang w:eastAsia="en-AU"/>
              </w:rPr>
              <w:t xml:space="preserve"> by sex and age bracket</w:t>
            </w:r>
          </w:p>
        </w:tc>
      </w:tr>
      <w:tr w:rsidR="008A48E6" w:rsidRPr="00EE4C60" w14:paraId="29F527B3"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center"/>
            <w:hideMark/>
          </w:tcPr>
          <w:p w14:paraId="4D6867D4" w14:textId="77777777" w:rsidR="008A48E6" w:rsidRPr="00851395" w:rsidRDefault="008A48E6" w:rsidP="00851395">
            <w:pPr>
              <w:spacing w:after="0" w:line="240" w:lineRule="auto"/>
              <w:rPr>
                <w:rFonts w:cs="Arial"/>
                <w:b/>
                <w:bCs/>
                <w:color w:val="000000"/>
                <w:szCs w:val="21"/>
                <w:lang w:eastAsia="en-AU"/>
              </w:rPr>
            </w:pPr>
            <w:r w:rsidRPr="00851395">
              <w:rPr>
                <w:rFonts w:cs="Arial"/>
                <w:b/>
                <w:bCs/>
                <w:color w:val="000000"/>
                <w:szCs w:val="21"/>
                <w:lang w:eastAsia="en-AU"/>
              </w:rPr>
              <w:t>Age</w:t>
            </w:r>
          </w:p>
        </w:tc>
        <w:tc>
          <w:tcPr>
            <w:tcW w:w="1142" w:type="dxa"/>
            <w:tcBorders>
              <w:top w:val="nil"/>
              <w:left w:val="nil"/>
              <w:bottom w:val="single" w:sz="4" w:space="0" w:color="auto"/>
              <w:right w:val="single" w:sz="4" w:space="0" w:color="auto"/>
            </w:tcBorders>
            <w:shd w:val="clear" w:color="auto" w:fill="auto"/>
            <w:noWrap/>
            <w:vAlign w:val="bottom"/>
            <w:hideMark/>
          </w:tcPr>
          <w:p w14:paraId="396404FC" w14:textId="2BA83054" w:rsidR="008A48E6" w:rsidRPr="00851395" w:rsidRDefault="008A48E6" w:rsidP="00851395">
            <w:pPr>
              <w:spacing w:after="0" w:line="240" w:lineRule="auto"/>
              <w:rPr>
                <w:rFonts w:cs="Arial"/>
                <w:b/>
                <w:bCs/>
                <w:color w:val="000000"/>
                <w:szCs w:val="21"/>
                <w:lang w:eastAsia="en-AU"/>
              </w:rPr>
            </w:pPr>
            <w:r w:rsidRPr="00851395">
              <w:rPr>
                <w:rFonts w:cs="Arial"/>
                <w:b/>
                <w:bCs/>
                <w:color w:val="000000"/>
                <w:szCs w:val="21"/>
                <w:lang w:eastAsia="en-AU"/>
              </w:rPr>
              <w:t>M</w:t>
            </w:r>
            <w:r w:rsidRPr="00EE4C60">
              <w:rPr>
                <w:rFonts w:cs="Arial"/>
                <w:b/>
                <w:bCs/>
                <w:color w:val="000000"/>
                <w:szCs w:val="21"/>
                <w:lang w:eastAsia="en-AU"/>
              </w:rPr>
              <w:t>en</w:t>
            </w:r>
          </w:p>
        </w:tc>
        <w:tc>
          <w:tcPr>
            <w:tcW w:w="1559" w:type="dxa"/>
            <w:tcBorders>
              <w:top w:val="nil"/>
              <w:left w:val="nil"/>
              <w:bottom w:val="single" w:sz="4" w:space="0" w:color="auto"/>
              <w:right w:val="single" w:sz="4" w:space="0" w:color="auto"/>
            </w:tcBorders>
            <w:shd w:val="clear" w:color="auto" w:fill="auto"/>
            <w:noWrap/>
            <w:vAlign w:val="bottom"/>
            <w:hideMark/>
          </w:tcPr>
          <w:p w14:paraId="4D2010A3" w14:textId="74F1CAE4" w:rsidR="008A48E6" w:rsidRPr="00851395" w:rsidRDefault="008A48E6" w:rsidP="00851395">
            <w:pPr>
              <w:spacing w:after="0" w:line="240" w:lineRule="auto"/>
              <w:rPr>
                <w:rFonts w:cs="Arial"/>
                <w:b/>
                <w:bCs/>
                <w:color w:val="000000"/>
                <w:szCs w:val="21"/>
                <w:lang w:eastAsia="en-AU"/>
              </w:rPr>
            </w:pPr>
            <w:r w:rsidRPr="00EE4C60">
              <w:rPr>
                <w:rFonts w:cs="Arial"/>
                <w:b/>
                <w:bCs/>
                <w:color w:val="000000"/>
                <w:szCs w:val="21"/>
                <w:lang w:eastAsia="en-AU"/>
              </w:rPr>
              <w:t>Women</w:t>
            </w:r>
          </w:p>
        </w:tc>
      </w:tr>
      <w:tr w:rsidR="008A48E6" w:rsidRPr="00EE4C60" w14:paraId="30D2665F"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3D00C882" w14:textId="6BCB049C"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Under 40</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6218EBD5" w14:textId="520E891B"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68</w:t>
            </w:r>
          </w:p>
        </w:tc>
        <w:tc>
          <w:tcPr>
            <w:tcW w:w="1559" w:type="dxa"/>
            <w:tcBorders>
              <w:top w:val="nil"/>
              <w:left w:val="nil"/>
              <w:bottom w:val="single" w:sz="4" w:space="0" w:color="auto"/>
              <w:right w:val="single" w:sz="4" w:space="0" w:color="auto"/>
            </w:tcBorders>
            <w:shd w:val="clear" w:color="auto" w:fill="auto"/>
            <w:noWrap/>
            <w:vAlign w:val="bottom"/>
            <w:hideMark/>
          </w:tcPr>
          <w:p w14:paraId="711C2497" w14:textId="2A34FE38"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103</w:t>
            </w:r>
          </w:p>
        </w:tc>
      </w:tr>
      <w:tr w:rsidR="008A48E6" w:rsidRPr="00EE4C60" w14:paraId="24211187"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12AE2195" w14:textId="2D67E01A"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40-49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3D4B0727" w14:textId="55C386B6"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143</w:t>
            </w:r>
          </w:p>
        </w:tc>
        <w:tc>
          <w:tcPr>
            <w:tcW w:w="1559" w:type="dxa"/>
            <w:tcBorders>
              <w:top w:val="nil"/>
              <w:left w:val="nil"/>
              <w:bottom w:val="single" w:sz="4" w:space="0" w:color="auto"/>
              <w:right w:val="single" w:sz="4" w:space="0" w:color="auto"/>
            </w:tcBorders>
            <w:shd w:val="clear" w:color="auto" w:fill="auto"/>
            <w:noWrap/>
            <w:vAlign w:val="bottom"/>
            <w:hideMark/>
          </w:tcPr>
          <w:p w14:paraId="025E3B96" w14:textId="4A3F8BBF"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158</w:t>
            </w:r>
          </w:p>
        </w:tc>
      </w:tr>
      <w:tr w:rsidR="008A48E6" w:rsidRPr="00EE4C60" w14:paraId="5AD814AE"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3AA1FDE" w14:textId="1332D4E9"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50-59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5095477D" w14:textId="4913DCF1"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249</w:t>
            </w:r>
          </w:p>
        </w:tc>
        <w:tc>
          <w:tcPr>
            <w:tcW w:w="1559" w:type="dxa"/>
            <w:tcBorders>
              <w:top w:val="nil"/>
              <w:left w:val="nil"/>
              <w:bottom w:val="single" w:sz="4" w:space="0" w:color="auto"/>
              <w:right w:val="single" w:sz="4" w:space="0" w:color="auto"/>
            </w:tcBorders>
            <w:shd w:val="clear" w:color="auto" w:fill="auto"/>
            <w:noWrap/>
            <w:vAlign w:val="bottom"/>
            <w:hideMark/>
          </w:tcPr>
          <w:p w14:paraId="09E456F6" w14:textId="02E0FEF9"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193</w:t>
            </w:r>
          </w:p>
        </w:tc>
      </w:tr>
      <w:tr w:rsidR="008A48E6" w:rsidRPr="00EE4C60" w14:paraId="27C81031"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E9E43B5" w14:textId="201EBD19"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60-69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08985132" w14:textId="1A0FE7D0"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401</w:t>
            </w:r>
          </w:p>
        </w:tc>
        <w:tc>
          <w:tcPr>
            <w:tcW w:w="1559" w:type="dxa"/>
            <w:tcBorders>
              <w:top w:val="nil"/>
              <w:left w:val="nil"/>
              <w:bottom w:val="single" w:sz="4" w:space="0" w:color="auto"/>
              <w:right w:val="single" w:sz="4" w:space="0" w:color="auto"/>
            </w:tcBorders>
            <w:shd w:val="clear" w:color="auto" w:fill="auto"/>
            <w:noWrap/>
            <w:vAlign w:val="bottom"/>
            <w:hideMark/>
          </w:tcPr>
          <w:p w14:paraId="566FA7DB" w14:textId="0CA24F1B"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263</w:t>
            </w:r>
          </w:p>
        </w:tc>
      </w:tr>
      <w:tr w:rsidR="008A48E6" w:rsidRPr="00EE4C60" w14:paraId="0994E268"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4121FDBE" w14:textId="56492260"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70-79</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501048F9" w14:textId="6F3CDD5E"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443</w:t>
            </w:r>
          </w:p>
        </w:tc>
        <w:tc>
          <w:tcPr>
            <w:tcW w:w="1559" w:type="dxa"/>
            <w:tcBorders>
              <w:top w:val="nil"/>
              <w:left w:val="nil"/>
              <w:bottom w:val="single" w:sz="4" w:space="0" w:color="auto"/>
              <w:right w:val="single" w:sz="4" w:space="0" w:color="auto"/>
            </w:tcBorders>
            <w:shd w:val="clear" w:color="auto" w:fill="auto"/>
            <w:noWrap/>
            <w:vAlign w:val="bottom"/>
            <w:hideMark/>
          </w:tcPr>
          <w:p w14:paraId="1BCC6854" w14:textId="49C17E93"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297</w:t>
            </w:r>
          </w:p>
        </w:tc>
      </w:tr>
      <w:tr w:rsidR="008A48E6" w:rsidRPr="00EE4C60" w14:paraId="3518F909" w14:textId="77777777" w:rsidTr="008A48E6">
        <w:trPr>
          <w:trHeight w:val="300"/>
        </w:trPr>
        <w:tc>
          <w:tcPr>
            <w:tcW w:w="3111" w:type="dxa"/>
            <w:tcBorders>
              <w:top w:val="nil"/>
              <w:left w:val="single" w:sz="4" w:space="0" w:color="auto"/>
              <w:bottom w:val="single" w:sz="4" w:space="0" w:color="auto"/>
              <w:right w:val="single" w:sz="4" w:space="0" w:color="auto"/>
            </w:tcBorders>
            <w:shd w:val="clear" w:color="auto" w:fill="auto"/>
            <w:noWrap/>
            <w:vAlign w:val="bottom"/>
            <w:hideMark/>
          </w:tcPr>
          <w:p w14:paraId="2FBE52B3" w14:textId="4EB8A2DA" w:rsidR="008A48E6" w:rsidRPr="00851395" w:rsidRDefault="008A48E6" w:rsidP="00851395">
            <w:pPr>
              <w:spacing w:after="0" w:line="240" w:lineRule="auto"/>
              <w:rPr>
                <w:rFonts w:cs="Arial"/>
                <w:color w:val="000000"/>
                <w:szCs w:val="21"/>
                <w:lang w:eastAsia="en-AU"/>
              </w:rPr>
            </w:pPr>
            <w:r w:rsidRPr="00851395">
              <w:rPr>
                <w:rFonts w:cs="Arial"/>
                <w:color w:val="000000"/>
                <w:szCs w:val="21"/>
                <w:lang w:eastAsia="en-AU"/>
              </w:rPr>
              <w:t>80+</w:t>
            </w:r>
            <w:r w:rsidRPr="00EE4C60">
              <w:rPr>
                <w:rFonts w:cs="Arial"/>
                <w:color w:val="000000"/>
                <w:szCs w:val="21"/>
                <w:lang w:eastAsia="en-AU"/>
              </w:rPr>
              <w:t xml:space="preserve"> years</w:t>
            </w:r>
          </w:p>
        </w:tc>
        <w:tc>
          <w:tcPr>
            <w:tcW w:w="1142" w:type="dxa"/>
            <w:tcBorders>
              <w:top w:val="nil"/>
              <w:left w:val="nil"/>
              <w:bottom w:val="single" w:sz="4" w:space="0" w:color="auto"/>
              <w:right w:val="single" w:sz="4" w:space="0" w:color="auto"/>
            </w:tcBorders>
            <w:shd w:val="clear" w:color="auto" w:fill="auto"/>
            <w:noWrap/>
            <w:vAlign w:val="bottom"/>
            <w:hideMark/>
          </w:tcPr>
          <w:p w14:paraId="3377693B" w14:textId="0D0551F1"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Men </w:t>
            </w:r>
            <w:r w:rsidRPr="00851395">
              <w:rPr>
                <w:rFonts w:cs="Arial"/>
                <w:color w:val="000000"/>
                <w:szCs w:val="21"/>
                <w:lang w:eastAsia="en-AU"/>
              </w:rPr>
              <w:t>329</w:t>
            </w:r>
          </w:p>
        </w:tc>
        <w:tc>
          <w:tcPr>
            <w:tcW w:w="1559" w:type="dxa"/>
            <w:tcBorders>
              <w:top w:val="nil"/>
              <w:left w:val="nil"/>
              <w:bottom w:val="single" w:sz="4" w:space="0" w:color="auto"/>
              <w:right w:val="single" w:sz="4" w:space="0" w:color="auto"/>
            </w:tcBorders>
            <w:shd w:val="clear" w:color="auto" w:fill="auto"/>
            <w:noWrap/>
            <w:vAlign w:val="bottom"/>
            <w:hideMark/>
          </w:tcPr>
          <w:p w14:paraId="070CCBDD" w14:textId="1F21ADFA" w:rsidR="008A48E6" w:rsidRPr="00851395" w:rsidRDefault="008A48E6" w:rsidP="008A48E6">
            <w:pPr>
              <w:spacing w:after="0" w:line="240" w:lineRule="auto"/>
              <w:rPr>
                <w:rFonts w:cs="Arial"/>
                <w:color w:val="000000"/>
                <w:szCs w:val="21"/>
                <w:lang w:eastAsia="en-AU"/>
              </w:rPr>
            </w:pPr>
            <w:r w:rsidRPr="00EE4C60">
              <w:rPr>
                <w:rFonts w:cs="Arial"/>
                <w:color w:val="000000"/>
                <w:szCs w:val="21"/>
                <w:lang w:eastAsia="en-AU"/>
              </w:rPr>
              <w:t xml:space="preserve">Women </w:t>
            </w:r>
            <w:r w:rsidRPr="00851395">
              <w:rPr>
                <w:rFonts w:cs="Arial"/>
                <w:color w:val="000000"/>
                <w:szCs w:val="21"/>
                <w:lang w:eastAsia="en-AU"/>
              </w:rPr>
              <w:t>193</w:t>
            </w:r>
          </w:p>
        </w:tc>
      </w:tr>
    </w:tbl>
    <w:p w14:paraId="0FC4B1DC" w14:textId="07E80716" w:rsidR="00851395" w:rsidRDefault="00851395" w:rsidP="003671B2">
      <w:pPr>
        <w:pStyle w:val="Body"/>
      </w:pPr>
    </w:p>
    <w:p w14:paraId="6B649960" w14:textId="22FCA9B7" w:rsidR="00851395" w:rsidRDefault="008A48E6" w:rsidP="008A48E6">
      <w:pPr>
        <w:pStyle w:val="Heading2"/>
      </w:pPr>
      <w:r>
        <w:lastRenderedPageBreak/>
        <w:t xml:space="preserve">Chapter 14, Figure 3. </w:t>
      </w:r>
      <w:r w:rsidRPr="008A48E6">
        <w:t>Distribution of melanoma incidence in 2019 compared to the distribution of the Victorian population in 2019, by 5-year age brackets </w:t>
      </w:r>
    </w:p>
    <w:p w14:paraId="5207A28D" w14:textId="6D55350C" w:rsidR="00A4591D" w:rsidRPr="00A4591D" w:rsidRDefault="00A4591D" w:rsidP="00A4591D">
      <w:pPr>
        <w:pStyle w:val="Body"/>
      </w:pPr>
      <w:r>
        <w:t>(Source Victorian Cancer Registry (2021)</w:t>
      </w:r>
    </w:p>
    <w:tbl>
      <w:tblPr>
        <w:tblW w:w="9640" w:type="dxa"/>
        <w:tblInd w:w="-147" w:type="dxa"/>
        <w:tblLook w:val="04A0" w:firstRow="1" w:lastRow="0" w:firstColumn="1" w:lastColumn="0" w:noHBand="0" w:noVBand="1"/>
      </w:tblPr>
      <w:tblGrid>
        <w:gridCol w:w="1413"/>
        <w:gridCol w:w="1984"/>
        <w:gridCol w:w="2127"/>
        <w:gridCol w:w="1559"/>
        <w:gridCol w:w="2557"/>
      </w:tblGrid>
      <w:tr w:rsidR="0001644D" w:rsidRPr="00EE4C60" w14:paraId="61FB1416" w14:textId="77777777" w:rsidTr="00EE4C60">
        <w:trPr>
          <w:trHeight w:val="12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D4268" w14:textId="23DF7AA4"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Age group</w:t>
            </w:r>
            <w:r w:rsidR="0001644D" w:rsidRPr="00EE4C60">
              <w:rPr>
                <w:rFonts w:cs="Arial"/>
                <w:b/>
                <w:bCs/>
                <w:color w:val="000000"/>
                <w:szCs w:val="21"/>
                <w:lang w:eastAsia="en-AU"/>
              </w:rPr>
              <w:t xml:space="preserve"> by 5 year grouping</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7395C23"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Population in 2019</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E9061B6"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Percentage of total population in 2019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016965"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Melanoma distribution by age</w:t>
            </w:r>
          </w:p>
        </w:tc>
        <w:tc>
          <w:tcPr>
            <w:tcW w:w="2557" w:type="dxa"/>
            <w:tcBorders>
              <w:top w:val="single" w:sz="4" w:space="0" w:color="auto"/>
              <w:left w:val="nil"/>
              <w:bottom w:val="single" w:sz="4" w:space="0" w:color="auto"/>
              <w:right w:val="single" w:sz="4" w:space="0" w:color="auto"/>
            </w:tcBorders>
            <w:shd w:val="clear" w:color="auto" w:fill="auto"/>
            <w:vAlign w:val="center"/>
            <w:hideMark/>
          </w:tcPr>
          <w:p w14:paraId="05351F36" w14:textId="77777777" w:rsidR="008A48E6" w:rsidRPr="008A48E6" w:rsidRDefault="008A48E6" w:rsidP="008A48E6">
            <w:pPr>
              <w:spacing w:after="0" w:line="240" w:lineRule="auto"/>
              <w:jc w:val="center"/>
              <w:rPr>
                <w:rFonts w:cs="Arial"/>
                <w:b/>
                <w:bCs/>
                <w:color w:val="000000"/>
                <w:szCs w:val="21"/>
                <w:lang w:eastAsia="en-AU"/>
              </w:rPr>
            </w:pPr>
            <w:r w:rsidRPr="008A48E6">
              <w:rPr>
                <w:rFonts w:cs="Arial"/>
                <w:b/>
                <w:bCs/>
                <w:color w:val="000000"/>
                <w:szCs w:val="21"/>
                <w:lang w:eastAsia="en-AU"/>
              </w:rPr>
              <w:t>Melanoma distribution by age %</w:t>
            </w:r>
          </w:p>
        </w:tc>
      </w:tr>
      <w:tr w:rsidR="0001644D" w:rsidRPr="00EE4C60" w14:paraId="250B452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83E760B" w14:textId="7C74F395"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0-4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0F436CF9" w14:textId="44C2F22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406</w:t>
            </w:r>
            <w:r w:rsidRPr="00EE4C60">
              <w:rPr>
                <w:rFonts w:cs="Arial"/>
                <w:color w:val="000000"/>
                <w:szCs w:val="21"/>
                <w:lang w:eastAsia="en-AU"/>
              </w:rPr>
              <w:t>,</w:t>
            </w:r>
            <w:r w:rsidRPr="008A48E6">
              <w:rPr>
                <w:rFonts w:cs="Arial"/>
                <w:color w:val="000000"/>
                <w:szCs w:val="21"/>
                <w:lang w:eastAsia="en-AU"/>
              </w:rPr>
              <w:t>093</w:t>
            </w:r>
          </w:p>
        </w:tc>
        <w:tc>
          <w:tcPr>
            <w:tcW w:w="2127" w:type="dxa"/>
            <w:tcBorders>
              <w:top w:val="nil"/>
              <w:left w:val="nil"/>
              <w:bottom w:val="single" w:sz="4" w:space="0" w:color="auto"/>
              <w:right w:val="single" w:sz="4" w:space="0" w:color="auto"/>
            </w:tcBorders>
            <w:shd w:val="clear" w:color="auto" w:fill="auto"/>
            <w:noWrap/>
            <w:vAlign w:val="center"/>
            <w:hideMark/>
          </w:tcPr>
          <w:p w14:paraId="28B8525E" w14:textId="48AEACD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6.155834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23CA5AF"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2BACF3A2"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54C6F166"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689E98" w14:textId="13614974"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498F441" w14:textId="05D14FF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411</w:t>
            </w:r>
            <w:r w:rsidRPr="00EE4C60">
              <w:rPr>
                <w:rFonts w:cs="Arial"/>
                <w:color w:val="000000"/>
                <w:szCs w:val="21"/>
                <w:lang w:eastAsia="en-AU"/>
              </w:rPr>
              <w:t>,</w:t>
            </w:r>
            <w:r w:rsidRPr="008A48E6">
              <w:rPr>
                <w:rFonts w:cs="Arial"/>
                <w:color w:val="000000"/>
                <w:szCs w:val="21"/>
                <w:lang w:eastAsia="en-AU"/>
              </w:rPr>
              <w:t>385</w:t>
            </w:r>
          </w:p>
        </w:tc>
        <w:tc>
          <w:tcPr>
            <w:tcW w:w="2127" w:type="dxa"/>
            <w:tcBorders>
              <w:top w:val="nil"/>
              <w:left w:val="nil"/>
              <w:bottom w:val="single" w:sz="4" w:space="0" w:color="auto"/>
              <w:right w:val="single" w:sz="4" w:space="0" w:color="auto"/>
            </w:tcBorders>
            <w:shd w:val="clear" w:color="auto" w:fill="auto"/>
            <w:noWrap/>
            <w:vAlign w:val="center"/>
            <w:hideMark/>
          </w:tcPr>
          <w:p w14:paraId="4ADF1C95" w14:textId="6AE8064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6.236054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C585818"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14387400"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0A0B38CF"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7C83E" w14:textId="164BAA6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10-14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439EBD5" w14:textId="226B012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386</w:t>
            </w:r>
            <w:r w:rsidR="00E17574" w:rsidRPr="00EE4C60">
              <w:rPr>
                <w:rFonts w:cs="Arial"/>
                <w:color w:val="000000"/>
                <w:szCs w:val="21"/>
                <w:lang w:eastAsia="en-AU"/>
              </w:rPr>
              <w:t>,</w:t>
            </w:r>
            <w:r w:rsidRPr="008A48E6">
              <w:rPr>
                <w:rFonts w:cs="Arial"/>
                <w:color w:val="000000"/>
                <w:szCs w:val="21"/>
                <w:lang w:eastAsia="en-AU"/>
              </w:rPr>
              <w:t>057</w:t>
            </w:r>
          </w:p>
        </w:tc>
        <w:tc>
          <w:tcPr>
            <w:tcW w:w="2127" w:type="dxa"/>
            <w:tcBorders>
              <w:top w:val="nil"/>
              <w:left w:val="nil"/>
              <w:bottom w:val="single" w:sz="4" w:space="0" w:color="auto"/>
              <w:right w:val="single" w:sz="4" w:space="0" w:color="auto"/>
            </w:tcBorders>
            <w:shd w:val="clear" w:color="auto" w:fill="auto"/>
            <w:noWrap/>
            <w:vAlign w:val="center"/>
            <w:hideMark/>
          </w:tcPr>
          <w:p w14:paraId="1D192738" w14:textId="53DFA55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5.852115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90244D7"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c>
          <w:tcPr>
            <w:tcW w:w="2557" w:type="dxa"/>
            <w:tcBorders>
              <w:top w:val="nil"/>
              <w:left w:val="nil"/>
              <w:bottom w:val="single" w:sz="4" w:space="0" w:color="auto"/>
              <w:right w:val="single" w:sz="4" w:space="0" w:color="auto"/>
            </w:tcBorders>
            <w:shd w:val="clear" w:color="auto" w:fill="auto"/>
            <w:noWrap/>
            <w:vAlign w:val="bottom"/>
            <w:hideMark/>
          </w:tcPr>
          <w:p w14:paraId="1717E079" w14:textId="7777777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 </w:t>
            </w:r>
          </w:p>
        </w:tc>
      </w:tr>
      <w:tr w:rsidR="0001644D" w:rsidRPr="00EE4C60" w14:paraId="223ED772"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8F0F2D" w14:textId="6FD5F5C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15-19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A46111B" w14:textId="7E17399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381</w:t>
            </w:r>
            <w:r w:rsidR="00E17574" w:rsidRPr="00EE4C60">
              <w:rPr>
                <w:rFonts w:cs="Arial"/>
                <w:color w:val="000000"/>
                <w:szCs w:val="21"/>
                <w:lang w:eastAsia="en-AU"/>
              </w:rPr>
              <w:t>,</w:t>
            </w:r>
            <w:r w:rsidRPr="008A48E6">
              <w:rPr>
                <w:rFonts w:cs="Arial"/>
                <w:color w:val="000000"/>
                <w:szCs w:val="21"/>
                <w:lang w:eastAsia="en-AU"/>
              </w:rPr>
              <w:t>207</w:t>
            </w:r>
          </w:p>
        </w:tc>
        <w:tc>
          <w:tcPr>
            <w:tcW w:w="2127" w:type="dxa"/>
            <w:tcBorders>
              <w:top w:val="nil"/>
              <w:left w:val="nil"/>
              <w:bottom w:val="single" w:sz="4" w:space="0" w:color="auto"/>
              <w:right w:val="single" w:sz="4" w:space="0" w:color="auto"/>
            </w:tcBorders>
            <w:shd w:val="clear" w:color="auto" w:fill="auto"/>
            <w:noWrap/>
            <w:vAlign w:val="center"/>
            <w:hideMark/>
          </w:tcPr>
          <w:p w14:paraId="1D0B180B" w14:textId="7EA10EF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5.778595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DA632AA" w14:textId="381737A2"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w:t>
            </w:r>
            <w:r w:rsidR="00E17574" w:rsidRPr="00EE4C60">
              <w:rPr>
                <w:rFonts w:cs="Arial"/>
                <w:color w:val="000000"/>
                <w:szCs w:val="21"/>
                <w:lang w:eastAsia="en-AU"/>
              </w:rPr>
              <w:t xml:space="preserve"> incidence</w:t>
            </w:r>
          </w:p>
        </w:tc>
        <w:tc>
          <w:tcPr>
            <w:tcW w:w="2557" w:type="dxa"/>
            <w:tcBorders>
              <w:top w:val="nil"/>
              <w:left w:val="nil"/>
              <w:bottom w:val="single" w:sz="4" w:space="0" w:color="auto"/>
              <w:right w:val="single" w:sz="4" w:space="0" w:color="auto"/>
            </w:tcBorders>
            <w:shd w:val="clear" w:color="auto" w:fill="auto"/>
            <w:noWrap/>
            <w:vAlign w:val="bottom"/>
            <w:hideMark/>
          </w:tcPr>
          <w:p w14:paraId="7BF28756" w14:textId="1DFD22B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0.0351%</w:t>
            </w:r>
            <w:r w:rsidR="00E17574" w:rsidRPr="00EE4C60">
              <w:rPr>
                <w:rFonts w:cs="Arial"/>
                <w:color w:val="000000"/>
                <w:szCs w:val="21"/>
                <w:lang w:eastAsia="en-AU"/>
              </w:rPr>
              <w:t xml:space="preserve"> of total population by age group</w:t>
            </w:r>
          </w:p>
        </w:tc>
      </w:tr>
      <w:tr w:rsidR="0001644D" w:rsidRPr="00EE4C60" w14:paraId="450C81F6"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FDBE4CA" w14:textId="7E42DFD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20-24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1E4F1F4" w14:textId="5C0A01B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485</w:t>
            </w:r>
            <w:r w:rsidR="00E17574" w:rsidRPr="00EE4C60">
              <w:rPr>
                <w:rFonts w:cs="Arial"/>
                <w:color w:val="000000"/>
                <w:szCs w:val="21"/>
                <w:lang w:eastAsia="en-AU"/>
              </w:rPr>
              <w:t>,</w:t>
            </w:r>
            <w:r w:rsidRPr="008A48E6">
              <w:rPr>
                <w:rFonts w:cs="Arial"/>
                <w:color w:val="000000"/>
                <w:szCs w:val="21"/>
                <w:lang w:eastAsia="en-AU"/>
              </w:rPr>
              <w:t>064</w:t>
            </w:r>
          </w:p>
        </w:tc>
        <w:tc>
          <w:tcPr>
            <w:tcW w:w="2127" w:type="dxa"/>
            <w:tcBorders>
              <w:top w:val="nil"/>
              <w:left w:val="nil"/>
              <w:bottom w:val="single" w:sz="4" w:space="0" w:color="auto"/>
              <w:right w:val="single" w:sz="4" w:space="0" w:color="auto"/>
            </w:tcBorders>
            <w:shd w:val="clear" w:color="auto" w:fill="auto"/>
            <w:noWrap/>
            <w:vAlign w:val="center"/>
            <w:hideMark/>
          </w:tcPr>
          <w:p w14:paraId="1722C595" w14:textId="586B35C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7.35293</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C02917D" w14:textId="2AA4CD51"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7</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9943043" w14:textId="47C0C508"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0.2458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25A5C4ED"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E28B85" w14:textId="6692CB7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25-29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0D0F15EE" w14:textId="06F0C6FD"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530</w:t>
            </w:r>
            <w:r w:rsidR="00E17574" w:rsidRPr="00EE4C60">
              <w:rPr>
                <w:rFonts w:cs="Arial"/>
                <w:color w:val="000000"/>
                <w:szCs w:val="21"/>
                <w:lang w:eastAsia="en-AU"/>
              </w:rPr>
              <w:t>,</w:t>
            </w:r>
            <w:r w:rsidRPr="008A48E6">
              <w:rPr>
                <w:rFonts w:cs="Arial"/>
                <w:color w:val="000000"/>
                <w:szCs w:val="21"/>
                <w:lang w:eastAsia="en-AU"/>
              </w:rPr>
              <w:t>977</w:t>
            </w:r>
          </w:p>
        </w:tc>
        <w:tc>
          <w:tcPr>
            <w:tcW w:w="2127" w:type="dxa"/>
            <w:tcBorders>
              <w:top w:val="nil"/>
              <w:left w:val="nil"/>
              <w:bottom w:val="single" w:sz="4" w:space="0" w:color="auto"/>
              <w:right w:val="single" w:sz="4" w:space="0" w:color="auto"/>
            </w:tcBorders>
            <w:shd w:val="clear" w:color="auto" w:fill="auto"/>
            <w:noWrap/>
            <w:vAlign w:val="center"/>
            <w:hideMark/>
          </w:tcPr>
          <w:p w14:paraId="16C9102C" w14:textId="4EC0789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8.048911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3A7E311D" w14:textId="566C4025"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162F0A2B" w14:textId="2A417E41"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1.1587</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570C4F2"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3807F81" w14:textId="28949EA0"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30-34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53A855AC" w14:textId="5E0E94E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522</w:t>
            </w:r>
            <w:r w:rsidR="00E17574" w:rsidRPr="00EE4C60">
              <w:rPr>
                <w:rFonts w:cs="Arial"/>
                <w:color w:val="000000"/>
                <w:szCs w:val="21"/>
                <w:lang w:eastAsia="en-AU"/>
              </w:rPr>
              <w:t>,</w:t>
            </w:r>
            <w:r w:rsidRPr="008A48E6">
              <w:rPr>
                <w:rFonts w:cs="Arial"/>
                <w:color w:val="000000"/>
                <w:szCs w:val="21"/>
                <w:lang w:eastAsia="en-AU"/>
              </w:rPr>
              <w:t>046</w:t>
            </w:r>
          </w:p>
        </w:tc>
        <w:tc>
          <w:tcPr>
            <w:tcW w:w="2127" w:type="dxa"/>
            <w:tcBorders>
              <w:top w:val="nil"/>
              <w:left w:val="nil"/>
              <w:bottom w:val="single" w:sz="4" w:space="0" w:color="auto"/>
              <w:right w:val="single" w:sz="4" w:space="0" w:color="auto"/>
            </w:tcBorders>
            <w:shd w:val="clear" w:color="auto" w:fill="auto"/>
            <w:noWrap/>
            <w:vAlign w:val="center"/>
            <w:hideMark/>
          </w:tcPr>
          <w:p w14:paraId="7BEB9134" w14:textId="181505C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7.913529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172E8369" w14:textId="11E5B74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58</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E740F02" w14:textId="5590E3E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2.0365</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19003458"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40769F" w14:textId="6896266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35-39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7E136B3A" w14:textId="7073363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477</w:t>
            </w:r>
            <w:r w:rsidR="00E17574" w:rsidRPr="00EE4C60">
              <w:rPr>
                <w:rFonts w:cs="Arial"/>
                <w:color w:val="000000"/>
                <w:szCs w:val="21"/>
                <w:lang w:eastAsia="en-AU"/>
              </w:rPr>
              <w:t>,</w:t>
            </w:r>
            <w:r w:rsidRPr="008A48E6">
              <w:rPr>
                <w:rFonts w:cs="Arial"/>
                <w:color w:val="000000"/>
                <w:szCs w:val="21"/>
                <w:lang w:eastAsia="en-AU"/>
              </w:rPr>
              <w:t>954</w:t>
            </w:r>
          </w:p>
        </w:tc>
        <w:tc>
          <w:tcPr>
            <w:tcW w:w="2127" w:type="dxa"/>
            <w:tcBorders>
              <w:top w:val="nil"/>
              <w:left w:val="nil"/>
              <w:bottom w:val="single" w:sz="4" w:space="0" w:color="auto"/>
              <w:right w:val="single" w:sz="4" w:space="0" w:color="auto"/>
            </w:tcBorders>
            <w:shd w:val="clear" w:color="auto" w:fill="auto"/>
            <w:noWrap/>
            <w:vAlign w:val="center"/>
            <w:hideMark/>
          </w:tcPr>
          <w:p w14:paraId="4A059C7D" w14:textId="5AF2399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7.245152</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4514119" w14:textId="34B46DC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72</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C3B462E" w14:textId="2C5173B7"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2.5281</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42B90214"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E4E172" w14:textId="634C4C2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40-44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2A9A535" w14:textId="0EF39CB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416</w:t>
            </w:r>
            <w:r w:rsidR="00E17574" w:rsidRPr="00EE4C60">
              <w:rPr>
                <w:rFonts w:cs="Arial"/>
                <w:color w:val="000000"/>
                <w:szCs w:val="21"/>
                <w:lang w:eastAsia="en-AU"/>
              </w:rPr>
              <w:t>,</w:t>
            </w:r>
            <w:r w:rsidRPr="008A48E6">
              <w:rPr>
                <w:rFonts w:cs="Arial"/>
                <w:color w:val="000000"/>
                <w:szCs w:val="21"/>
                <w:lang w:eastAsia="en-AU"/>
              </w:rPr>
              <w:t>933</w:t>
            </w:r>
          </w:p>
        </w:tc>
        <w:tc>
          <w:tcPr>
            <w:tcW w:w="2127" w:type="dxa"/>
            <w:tcBorders>
              <w:top w:val="nil"/>
              <w:left w:val="nil"/>
              <w:bottom w:val="single" w:sz="4" w:space="0" w:color="auto"/>
              <w:right w:val="single" w:sz="4" w:space="0" w:color="auto"/>
            </w:tcBorders>
            <w:shd w:val="clear" w:color="auto" w:fill="auto"/>
            <w:noWrap/>
            <w:vAlign w:val="center"/>
            <w:hideMark/>
          </w:tcPr>
          <w:p w14:paraId="2133D772" w14:textId="62FF0D2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6.320154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CDCE72F" w14:textId="08E4C02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117</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219DEDD0" w14:textId="2C24498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4.1081</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B79F5EC"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9197F9" w14:textId="0112755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45-49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42801C13" w14:textId="32D0164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431</w:t>
            </w:r>
            <w:r w:rsidR="00E17574" w:rsidRPr="00EE4C60">
              <w:rPr>
                <w:rFonts w:cs="Arial"/>
                <w:color w:val="000000"/>
                <w:szCs w:val="21"/>
                <w:lang w:eastAsia="en-AU"/>
              </w:rPr>
              <w:t>,</w:t>
            </w:r>
            <w:r w:rsidRPr="008A48E6">
              <w:rPr>
                <w:rFonts w:cs="Arial"/>
                <w:color w:val="000000"/>
                <w:szCs w:val="21"/>
                <w:lang w:eastAsia="en-AU"/>
              </w:rPr>
              <w:t>625</w:t>
            </w:r>
          </w:p>
        </w:tc>
        <w:tc>
          <w:tcPr>
            <w:tcW w:w="2127" w:type="dxa"/>
            <w:tcBorders>
              <w:top w:val="nil"/>
              <w:left w:val="nil"/>
              <w:bottom w:val="single" w:sz="4" w:space="0" w:color="auto"/>
              <w:right w:val="single" w:sz="4" w:space="0" w:color="auto"/>
            </w:tcBorders>
            <w:shd w:val="clear" w:color="auto" w:fill="auto"/>
            <w:noWrap/>
            <w:vAlign w:val="center"/>
            <w:hideMark/>
          </w:tcPr>
          <w:p w14:paraId="47C1DEF7" w14:textId="6D2A2AE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6.542866</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7393904E" w14:textId="4AACE6A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185</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F13F3B9" w14:textId="5CA97D26"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6.4958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6AC8FC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0DC1FFF" w14:textId="3C2C908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50-54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7C45B7F" w14:textId="73F3C762"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393</w:t>
            </w:r>
            <w:r w:rsidR="00E17574" w:rsidRPr="00EE4C60">
              <w:rPr>
                <w:rFonts w:cs="Arial"/>
                <w:color w:val="000000"/>
                <w:szCs w:val="21"/>
                <w:lang w:eastAsia="en-AU"/>
              </w:rPr>
              <w:t>,</w:t>
            </w:r>
            <w:r w:rsidRPr="008A48E6">
              <w:rPr>
                <w:rFonts w:cs="Arial"/>
                <w:color w:val="000000"/>
                <w:szCs w:val="21"/>
                <w:lang w:eastAsia="en-AU"/>
              </w:rPr>
              <w:t>625</w:t>
            </w:r>
          </w:p>
        </w:tc>
        <w:tc>
          <w:tcPr>
            <w:tcW w:w="2127" w:type="dxa"/>
            <w:tcBorders>
              <w:top w:val="nil"/>
              <w:left w:val="nil"/>
              <w:bottom w:val="single" w:sz="4" w:space="0" w:color="auto"/>
              <w:right w:val="single" w:sz="4" w:space="0" w:color="auto"/>
            </w:tcBorders>
            <w:shd w:val="clear" w:color="auto" w:fill="auto"/>
            <w:noWrap/>
            <w:vAlign w:val="center"/>
            <w:hideMark/>
          </w:tcPr>
          <w:p w14:paraId="32F6D328" w14:textId="4FCE5B15"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5.966836</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420F6BF7" w14:textId="661A1F09"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194</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4ADB2AD" w14:textId="5A4CE82B"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6.8118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6ED610D"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14CBF0" w14:textId="14B06F0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55-59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9E09FC4" w14:textId="6A34E4C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386</w:t>
            </w:r>
            <w:r w:rsidR="00E17574" w:rsidRPr="00EE4C60">
              <w:rPr>
                <w:rFonts w:cs="Arial"/>
                <w:color w:val="000000"/>
                <w:szCs w:val="21"/>
                <w:lang w:eastAsia="en-AU"/>
              </w:rPr>
              <w:t>,</w:t>
            </w:r>
            <w:r w:rsidRPr="008A48E6">
              <w:rPr>
                <w:rFonts w:cs="Arial"/>
                <w:color w:val="000000"/>
                <w:szCs w:val="21"/>
                <w:lang w:eastAsia="en-AU"/>
              </w:rPr>
              <w:t>684</w:t>
            </w:r>
          </w:p>
        </w:tc>
        <w:tc>
          <w:tcPr>
            <w:tcW w:w="2127" w:type="dxa"/>
            <w:tcBorders>
              <w:top w:val="nil"/>
              <w:left w:val="nil"/>
              <w:bottom w:val="single" w:sz="4" w:space="0" w:color="auto"/>
              <w:right w:val="single" w:sz="4" w:space="0" w:color="auto"/>
            </w:tcBorders>
            <w:shd w:val="clear" w:color="auto" w:fill="auto"/>
            <w:noWrap/>
            <w:vAlign w:val="center"/>
            <w:hideMark/>
          </w:tcPr>
          <w:p w14:paraId="595DD30E" w14:textId="367B891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5.861619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7F76AA68" w14:textId="13259236"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248</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06744E52" w14:textId="153A588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8.7079</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45E59D4F"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B11194" w14:textId="4FA0D78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60-64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62FC3D25" w14:textId="0A39689C"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348</w:t>
            </w:r>
            <w:r w:rsidR="00E17574" w:rsidRPr="00EE4C60">
              <w:rPr>
                <w:rFonts w:cs="Arial"/>
                <w:color w:val="000000"/>
                <w:szCs w:val="21"/>
                <w:lang w:eastAsia="en-AU"/>
              </w:rPr>
              <w:t>,</w:t>
            </w:r>
            <w:r w:rsidRPr="008A48E6">
              <w:rPr>
                <w:rFonts w:cs="Arial"/>
                <w:color w:val="000000"/>
                <w:szCs w:val="21"/>
                <w:lang w:eastAsia="en-AU"/>
              </w:rPr>
              <w:t>204</w:t>
            </w:r>
          </w:p>
        </w:tc>
        <w:tc>
          <w:tcPr>
            <w:tcW w:w="2127" w:type="dxa"/>
            <w:tcBorders>
              <w:top w:val="nil"/>
              <w:left w:val="nil"/>
              <w:bottom w:val="single" w:sz="4" w:space="0" w:color="auto"/>
              <w:right w:val="single" w:sz="4" w:space="0" w:color="auto"/>
            </w:tcBorders>
            <w:shd w:val="clear" w:color="auto" w:fill="auto"/>
            <w:noWrap/>
            <w:vAlign w:val="center"/>
            <w:hideMark/>
          </w:tcPr>
          <w:p w14:paraId="01C2A13E" w14:textId="06A62AD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5.278313</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2B0711C" w14:textId="780BE62E"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322</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65F011BE" w14:textId="5379A46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11.3062</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73CC118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D0C023" w14:textId="687A4544"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65-69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767A96D" w14:textId="576ED2A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304</w:t>
            </w:r>
            <w:r w:rsidR="00E17574" w:rsidRPr="00EE4C60">
              <w:rPr>
                <w:rFonts w:cs="Arial"/>
                <w:color w:val="000000"/>
                <w:szCs w:val="21"/>
                <w:lang w:eastAsia="en-AU"/>
              </w:rPr>
              <w:t>,</w:t>
            </w:r>
            <w:r w:rsidRPr="008A48E6">
              <w:rPr>
                <w:rFonts w:cs="Arial"/>
                <w:color w:val="000000"/>
                <w:szCs w:val="21"/>
                <w:lang w:eastAsia="en-AU"/>
              </w:rPr>
              <w:t>816</w:t>
            </w:r>
          </w:p>
        </w:tc>
        <w:tc>
          <w:tcPr>
            <w:tcW w:w="2127" w:type="dxa"/>
            <w:tcBorders>
              <w:top w:val="nil"/>
              <w:left w:val="nil"/>
              <w:bottom w:val="single" w:sz="4" w:space="0" w:color="auto"/>
              <w:right w:val="single" w:sz="4" w:space="0" w:color="auto"/>
            </w:tcBorders>
            <w:shd w:val="clear" w:color="auto" w:fill="auto"/>
            <w:noWrap/>
            <w:vAlign w:val="center"/>
            <w:hideMark/>
          </w:tcPr>
          <w:p w14:paraId="4EDB829A" w14:textId="4874B74F"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4.620609</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62E3D23" w14:textId="7B8A7AED"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345</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6EC56D5" w14:textId="7E307264"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12.1138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7DD5DC9"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C95450" w14:textId="35C0240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70-74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24B46D09" w14:textId="51935FE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262</w:t>
            </w:r>
            <w:r w:rsidR="00E17574" w:rsidRPr="00EE4C60">
              <w:rPr>
                <w:rFonts w:cs="Arial"/>
                <w:color w:val="000000"/>
                <w:szCs w:val="21"/>
                <w:lang w:eastAsia="en-AU"/>
              </w:rPr>
              <w:t>,</w:t>
            </w:r>
            <w:r w:rsidRPr="008A48E6">
              <w:rPr>
                <w:rFonts w:cs="Arial"/>
                <w:color w:val="000000"/>
                <w:szCs w:val="21"/>
                <w:lang w:eastAsia="en-AU"/>
              </w:rPr>
              <w:t>042</w:t>
            </w:r>
          </w:p>
        </w:tc>
        <w:tc>
          <w:tcPr>
            <w:tcW w:w="2127" w:type="dxa"/>
            <w:tcBorders>
              <w:top w:val="nil"/>
              <w:left w:val="nil"/>
              <w:bottom w:val="single" w:sz="4" w:space="0" w:color="auto"/>
              <w:right w:val="single" w:sz="4" w:space="0" w:color="auto"/>
            </w:tcBorders>
            <w:shd w:val="clear" w:color="auto" w:fill="auto"/>
            <w:noWrap/>
            <w:vAlign w:val="center"/>
            <w:hideMark/>
          </w:tcPr>
          <w:p w14:paraId="38C7C25E" w14:textId="34E3FFB6"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3.972211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627870A8" w14:textId="0A9ADEFF"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416</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4186B512" w14:textId="010CCAF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14.6067</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973C88B"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63D797" w14:textId="2732468E"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75-79</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3B528117" w14:textId="1DD2EC99"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184</w:t>
            </w:r>
            <w:r w:rsidR="00E17574" w:rsidRPr="00EE4C60">
              <w:rPr>
                <w:rFonts w:cs="Arial"/>
                <w:color w:val="000000"/>
                <w:szCs w:val="21"/>
                <w:lang w:eastAsia="en-AU"/>
              </w:rPr>
              <w:t>,</w:t>
            </w:r>
            <w:r w:rsidRPr="008A48E6">
              <w:rPr>
                <w:rFonts w:cs="Arial"/>
                <w:color w:val="000000"/>
                <w:szCs w:val="21"/>
                <w:lang w:eastAsia="en-AU"/>
              </w:rPr>
              <w:t>492</w:t>
            </w:r>
          </w:p>
        </w:tc>
        <w:tc>
          <w:tcPr>
            <w:tcW w:w="2127" w:type="dxa"/>
            <w:tcBorders>
              <w:top w:val="nil"/>
              <w:left w:val="nil"/>
              <w:bottom w:val="single" w:sz="4" w:space="0" w:color="auto"/>
              <w:right w:val="single" w:sz="4" w:space="0" w:color="auto"/>
            </w:tcBorders>
            <w:shd w:val="clear" w:color="auto" w:fill="auto"/>
            <w:noWrap/>
            <w:vAlign w:val="center"/>
            <w:hideMark/>
          </w:tcPr>
          <w:p w14:paraId="672F22E6" w14:textId="0726B3E1"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2.796655</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165ABFB4" w14:textId="04E2C86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323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32791051" w14:textId="762516BC"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11.3413</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076B53EC"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16386" w14:textId="4EC989A8"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80-84</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76B3DC26" w14:textId="3FCB6E97"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131</w:t>
            </w:r>
            <w:r w:rsidR="00E17574" w:rsidRPr="00EE4C60">
              <w:rPr>
                <w:rFonts w:cs="Arial"/>
                <w:color w:val="000000"/>
                <w:szCs w:val="21"/>
                <w:lang w:eastAsia="en-AU"/>
              </w:rPr>
              <w:t>,</w:t>
            </w:r>
            <w:r w:rsidRPr="008A48E6">
              <w:rPr>
                <w:rFonts w:cs="Arial"/>
                <w:color w:val="000000"/>
                <w:szCs w:val="21"/>
                <w:lang w:eastAsia="en-AU"/>
              </w:rPr>
              <w:t>009</w:t>
            </w:r>
          </w:p>
        </w:tc>
        <w:tc>
          <w:tcPr>
            <w:tcW w:w="2127" w:type="dxa"/>
            <w:tcBorders>
              <w:top w:val="nil"/>
              <w:left w:val="nil"/>
              <w:bottom w:val="single" w:sz="4" w:space="0" w:color="auto"/>
              <w:right w:val="single" w:sz="4" w:space="0" w:color="auto"/>
            </w:tcBorders>
            <w:shd w:val="clear" w:color="auto" w:fill="auto"/>
            <w:noWrap/>
            <w:vAlign w:val="center"/>
            <w:hideMark/>
          </w:tcPr>
          <w:p w14:paraId="6D11A127" w14:textId="1CF2C76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1.985924</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58603F0A" w14:textId="0B2F8325"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253</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7F5F55CB" w14:textId="238087AE"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8.8834</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689BCA57" w14:textId="77777777" w:rsidTr="00EE4C60">
        <w:trPr>
          <w:trHeight w:val="3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7F2BEC" w14:textId="24B2C43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85+</w:t>
            </w:r>
            <w:r w:rsidRPr="00EE4C60">
              <w:rPr>
                <w:rFonts w:cs="Arial"/>
                <w:color w:val="000000"/>
                <w:szCs w:val="21"/>
                <w:lang w:eastAsia="en-AU"/>
              </w:rPr>
              <w:t xml:space="preserve"> years</w:t>
            </w:r>
          </w:p>
        </w:tc>
        <w:tc>
          <w:tcPr>
            <w:tcW w:w="1984" w:type="dxa"/>
            <w:tcBorders>
              <w:top w:val="nil"/>
              <w:left w:val="nil"/>
              <w:bottom w:val="single" w:sz="4" w:space="0" w:color="auto"/>
              <w:right w:val="single" w:sz="4" w:space="0" w:color="auto"/>
            </w:tcBorders>
            <w:shd w:val="clear" w:color="auto" w:fill="auto"/>
            <w:noWrap/>
            <w:vAlign w:val="center"/>
            <w:hideMark/>
          </w:tcPr>
          <w:p w14:paraId="18C4D680" w14:textId="7A5E7BDB"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136</w:t>
            </w:r>
            <w:r w:rsidR="00E17574" w:rsidRPr="00EE4C60">
              <w:rPr>
                <w:rFonts w:cs="Arial"/>
                <w:color w:val="000000"/>
                <w:szCs w:val="21"/>
                <w:lang w:eastAsia="en-AU"/>
              </w:rPr>
              <w:t>,</w:t>
            </w:r>
            <w:r w:rsidRPr="008A48E6">
              <w:rPr>
                <w:rFonts w:cs="Arial"/>
                <w:color w:val="000000"/>
                <w:szCs w:val="21"/>
                <w:lang w:eastAsia="en-AU"/>
              </w:rPr>
              <w:t>667</w:t>
            </w:r>
          </w:p>
        </w:tc>
        <w:tc>
          <w:tcPr>
            <w:tcW w:w="2127" w:type="dxa"/>
            <w:tcBorders>
              <w:top w:val="nil"/>
              <w:left w:val="nil"/>
              <w:bottom w:val="single" w:sz="4" w:space="0" w:color="auto"/>
              <w:right w:val="single" w:sz="4" w:space="0" w:color="auto"/>
            </w:tcBorders>
            <w:shd w:val="clear" w:color="auto" w:fill="auto"/>
            <w:noWrap/>
            <w:vAlign w:val="center"/>
            <w:hideMark/>
          </w:tcPr>
          <w:p w14:paraId="5265B734" w14:textId="2DD57B23" w:rsidR="008A48E6" w:rsidRPr="008A48E6" w:rsidRDefault="008A48E6" w:rsidP="008A48E6">
            <w:pPr>
              <w:spacing w:after="0" w:line="240" w:lineRule="auto"/>
              <w:jc w:val="center"/>
              <w:rPr>
                <w:rFonts w:cs="Arial"/>
                <w:color w:val="000000"/>
                <w:szCs w:val="21"/>
                <w:lang w:eastAsia="en-AU"/>
              </w:rPr>
            </w:pPr>
            <w:r w:rsidRPr="008A48E6">
              <w:rPr>
                <w:rFonts w:cs="Arial"/>
                <w:color w:val="000000"/>
                <w:szCs w:val="21"/>
                <w:lang w:eastAsia="en-AU"/>
              </w:rPr>
              <w:t>2.071691</w:t>
            </w:r>
            <w:r w:rsidR="00E17574" w:rsidRPr="00EE4C60">
              <w:rPr>
                <w:rFonts w:cs="Arial"/>
                <w:color w:val="000000"/>
                <w:szCs w:val="21"/>
                <w:lang w:eastAsia="en-AU"/>
              </w:rPr>
              <w:t>% of total population</w:t>
            </w:r>
          </w:p>
        </w:tc>
        <w:tc>
          <w:tcPr>
            <w:tcW w:w="1559" w:type="dxa"/>
            <w:tcBorders>
              <w:top w:val="nil"/>
              <w:left w:val="nil"/>
              <w:bottom w:val="single" w:sz="4" w:space="0" w:color="auto"/>
              <w:right w:val="single" w:sz="4" w:space="0" w:color="auto"/>
            </w:tcBorders>
            <w:shd w:val="clear" w:color="auto" w:fill="auto"/>
            <w:noWrap/>
            <w:vAlign w:val="bottom"/>
            <w:hideMark/>
          </w:tcPr>
          <w:p w14:paraId="23322367" w14:textId="38C6E6D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274</w:t>
            </w:r>
            <w:r w:rsidR="00E17574" w:rsidRPr="00EE4C60">
              <w:rPr>
                <w:rFonts w:cs="Arial"/>
                <w:color w:val="000000"/>
                <w:szCs w:val="21"/>
                <w:lang w:eastAsia="en-AU"/>
              </w:rPr>
              <w:t xml:space="preserve"> incidences</w:t>
            </w:r>
          </w:p>
        </w:tc>
        <w:tc>
          <w:tcPr>
            <w:tcW w:w="2557" w:type="dxa"/>
            <w:tcBorders>
              <w:top w:val="nil"/>
              <w:left w:val="nil"/>
              <w:bottom w:val="single" w:sz="4" w:space="0" w:color="auto"/>
              <w:right w:val="single" w:sz="4" w:space="0" w:color="auto"/>
            </w:tcBorders>
            <w:shd w:val="clear" w:color="auto" w:fill="auto"/>
            <w:noWrap/>
            <w:vAlign w:val="bottom"/>
            <w:hideMark/>
          </w:tcPr>
          <w:p w14:paraId="5584F444" w14:textId="3A21517A" w:rsidR="008A48E6" w:rsidRPr="008A48E6" w:rsidRDefault="008A48E6" w:rsidP="00EE4C60">
            <w:pPr>
              <w:spacing w:after="0" w:line="240" w:lineRule="auto"/>
              <w:rPr>
                <w:rFonts w:cs="Arial"/>
                <w:color w:val="000000"/>
                <w:szCs w:val="21"/>
                <w:lang w:eastAsia="en-AU"/>
              </w:rPr>
            </w:pPr>
            <w:r w:rsidRPr="008A48E6">
              <w:rPr>
                <w:rFonts w:cs="Arial"/>
                <w:color w:val="000000"/>
                <w:szCs w:val="21"/>
                <w:lang w:eastAsia="en-AU"/>
              </w:rPr>
              <w:t>9.6208</w:t>
            </w:r>
            <w:r w:rsidR="00E17574" w:rsidRPr="008A48E6">
              <w:rPr>
                <w:rFonts w:cs="Arial"/>
                <w:color w:val="000000"/>
                <w:szCs w:val="21"/>
                <w:lang w:eastAsia="en-AU"/>
              </w:rPr>
              <w:t>%</w:t>
            </w:r>
            <w:r w:rsidR="00E17574" w:rsidRPr="00EE4C60">
              <w:rPr>
                <w:rFonts w:cs="Arial"/>
                <w:color w:val="000000"/>
                <w:szCs w:val="21"/>
                <w:lang w:eastAsia="en-AU"/>
              </w:rPr>
              <w:t xml:space="preserve"> of total population by age group</w:t>
            </w:r>
          </w:p>
        </w:tc>
      </w:tr>
      <w:tr w:rsidR="0001644D" w:rsidRPr="00EE4C60" w14:paraId="32217D20" w14:textId="77777777" w:rsidTr="00EE4C60">
        <w:trPr>
          <w:trHeight w:val="30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AC73" w14:textId="621C3584" w:rsidR="0001644D" w:rsidRPr="008A48E6" w:rsidRDefault="0001644D" w:rsidP="00EE4C60">
            <w:pPr>
              <w:spacing w:after="0" w:line="240" w:lineRule="auto"/>
              <w:rPr>
                <w:rFonts w:cs="Arial"/>
                <w:color w:val="000000"/>
                <w:szCs w:val="21"/>
                <w:lang w:eastAsia="en-AU"/>
              </w:rPr>
            </w:pPr>
            <w:r w:rsidRPr="008A48E6">
              <w:rPr>
                <w:rFonts w:cs="Arial"/>
                <w:color w:val="000000"/>
                <w:szCs w:val="21"/>
                <w:lang w:eastAsia="en-AU"/>
              </w:rPr>
              <w:t>Total</w:t>
            </w:r>
            <w:r w:rsidRPr="00EE4C60">
              <w:rPr>
                <w:rFonts w:cs="Arial"/>
                <w:color w:val="000000"/>
                <w:szCs w:val="21"/>
                <w:lang w:eastAsia="en-AU"/>
              </w:rPr>
              <w:t xml:space="preserve"> number of melanoma incidence in 2019</w:t>
            </w:r>
            <w:r w:rsidRPr="008A48E6">
              <w:rPr>
                <w:rFonts w:cs="Arial"/>
                <w:color w:val="000000"/>
                <w:szCs w:val="21"/>
                <w:lang w:eastAsia="en-AU"/>
              </w:rPr>
              <w:t> </w:t>
            </w:r>
          </w:p>
        </w:tc>
        <w:tc>
          <w:tcPr>
            <w:tcW w:w="2127" w:type="dxa"/>
            <w:tcBorders>
              <w:top w:val="nil"/>
              <w:left w:val="nil"/>
              <w:bottom w:val="single" w:sz="4" w:space="0" w:color="auto"/>
              <w:right w:val="single" w:sz="4" w:space="0" w:color="auto"/>
            </w:tcBorders>
            <w:shd w:val="clear" w:color="auto" w:fill="auto"/>
            <w:noWrap/>
            <w:vAlign w:val="bottom"/>
            <w:hideMark/>
          </w:tcPr>
          <w:p w14:paraId="29BD778B" w14:textId="77777777" w:rsidR="0001644D" w:rsidRPr="008A48E6" w:rsidRDefault="0001644D" w:rsidP="008A48E6">
            <w:pPr>
              <w:spacing w:after="0" w:line="240" w:lineRule="auto"/>
              <w:rPr>
                <w:rFonts w:cs="Arial"/>
                <w:color w:val="000000"/>
                <w:szCs w:val="21"/>
                <w:lang w:eastAsia="en-AU"/>
              </w:rPr>
            </w:pPr>
            <w:r w:rsidRPr="008A48E6">
              <w:rPr>
                <w:rFonts w:cs="Arial"/>
                <w:color w:val="000000"/>
                <w:szCs w:val="21"/>
                <w:lang w:eastAsia="en-AU"/>
              </w:rPr>
              <w:t> </w:t>
            </w:r>
          </w:p>
        </w:tc>
        <w:tc>
          <w:tcPr>
            <w:tcW w:w="1559" w:type="dxa"/>
            <w:tcBorders>
              <w:top w:val="nil"/>
              <w:left w:val="nil"/>
              <w:bottom w:val="single" w:sz="4" w:space="0" w:color="auto"/>
              <w:right w:val="single" w:sz="4" w:space="0" w:color="auto"/>
            </w:tcBorders>
            <w:shd w:val="clear" w:color="auto" w:fill="auto"/>
            <w:noWrap/>
            <w:vAlign w:val="bottom"/>
            <w:hideMark/>
          </w:tcPr>
          <w:p w14:paraId="649FD913" w14:textId="41930CD1" w:rsidR="0001644D" w:rsidRPr="008A48E6" w:rsidRDefault="0001644D" w:rsidP="0001644D">
            <w:pPr>
              <w:spacing w:after="0" w:line="240" w:lineRule="auto"/>
              <w:jc w:val="center"/>
              <w:rPr>
                <w:rFonts w:cs="Arial"/>
                <w:color w:val="000000"/>
                <w:szCs w:val="21"/>
                <w:lang w:eastAsia="en-AU"/>
              </w:rPr>
            </w:pPr>
            <w:r w:rsidRPr="008A48E6">
              <w:rPr>
                <w:rFonts w:cs="Arial"/>
                <w:color w:val="000000"/>
                <w:szCs w:val="21"/>
                <w:lang w:eastAsia="en-AU"/>
              </w:rPr>
              <w:t>2</w:t>
            </w:r>
            <w:r w:rsidRPr="00EE4C60">
              <w:rPr>
                <w:rFonts w:cs="Arial"/>
                <w:color w:val="000000"/>
                <w:szCs w:val="21"/>
                <w:lang w:eastAsia="en-AU"/>
              </w:rPr>
              <w:t>,</w:t>
            </w:r>
            <w:r w:rsidRPr="008A48E6">
              <w:rPr>
                <w:rFonts w:cs="Arial"/>
                <w:color w:val="000000"/>
                <w:szCs w:val="21"/>
                <w:lang w:eastAsia="en-AU"/>
              </w:rPr>
              <w:t>848</w:t>
            </w:r>
          </w:p>
        </w:tc>
        <w:tc>
          <w:tcPr>
            <w:tcW w:w="2557" w:type="dxa"/>
            <w:tcBorders>
              <w:top w:val="nil"/>
              <w:left w:val="nil"/>
              <w:bottom w:val="single" w:sz="4" w:space="0" w:color="auto"/>
              <w:right w:val="single" w:sz="4" w:space="0" w:color="auto"/>
            </w:tcBorders>
            <w:shd w:val="clear" w:color="auto" w:fill="auto"/>
            <w:noWrap/>
            <w:vAlign w:val="bottom"/>
            <w:hideMark/>
          </w:tcPr>
          <w:p w14:paraId="635795FA" w14:textId="77777777" w:rsidR="0001644D" w:rsidRPr="008A48E6" w:rsidRDefault="0001644D" w:rsidP="008A48E6">
            <w:pPr>
              <w:spacing w:after="0" w:line="240" w:lineRule="auto"/>
              <w:rPr>
                <w:rFonts w:cs="Arial"/>
                <w:color w:val="000000"/>
                <w:szCs w:val="21"/>
                <w:lang w:eastAsia="en-AU"/>
              </w:rPr>
            </w:pPr>
            <w:r w:rsidRPr="008A48E6">
              <w:rPr>
                <w:rFonts w:cs="Arial"/>
                <w:color w:val="000000"/>
                <w:szCs w:val="21"/>
                <w:lang w:eastAsia="en-AU"/>
              </w:rPr>
              <w:t> </w:t>
            </w:r>
          </w:p>
        </w:tc>
      </w:tr>
    </w:tbl>
    <w:p w14:paraId="7E993B5C" w14:textId="3F90A0DD" w:rsidR="008A48E6" w:rsidRDefault="008A48E6" w:rsidP="008A48E6">
      <w:pPr>
        <w:pStyle w:val="Body"/>
      </w:pPr>
    </w:p>
    <w:p w14:paraId="2A781461" w14:textId="480F6C12" w:rsidR="0074608F" w:rsidRDefault="0074608F" w:rsidP="0074608F">
      <w:pPr>
        <w:pStyle w:val="Heading2"/>
      </w:pPr>
      <w:r>
        <w:lastRenderedPageBreak/>
        <w:t xml:space="preserve">Chapter 14, Figure 4. </w:t>
      </w:r>
      <w:r w:rsidRPr="0074608F">
        <w:t>Trend in incidence and mortality of melanoma for the period 1982 to 2019, by sex (age standardised rate per 100,000)</w:t>
      </w:r>
    </w:p>
    <w:tbl>
      <w:tblPr>
        <w:tblW w:w="10632" w:type="dxa"/>
        <w:tblInd w:w="-572" w:type="dxa"/>
        <w:tblLook w:val="04A0" w:firstRow="1" w:lastRow="0" w:firstColumn="1" w:lastColumn="0" w:noHBand="0" w:noVBand="1"/>
      </w:tblPr>
      <w:tblGrid>
        <w:gridCol w:w="709"/>
        <w:gridCol w:w="2977"/>
        <w:gridCol w:w="3260"/>
        <w:gridCol w:w="1701"/>
        <w:gridCol w:w="1985"/>
      </w:tblGrid>
      <w:tr w:rsidR="00EE4C60" w:rsidRPr="00EE4C60" w14:paraId="371B135B" w14:textId="77777777" w:rsidTr="00101BC4">
        <w:trPr>
          <w:trHeight w:val="300"/>
          <w:tblHead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3903B"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 </w:t>
            </w:r>
          </w:p>
        </w:tc>
        <w:tc>
          <w:tcPr>
            <w:tcW w:w="62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B0E83E" w14:textId="5C9DCE4C" w:rsidR="0074608F" w:rsidRPr="0074608F" w:rsidRDefault="00664ABF" w:rsidP="0074608F">
            <w:pPr>
              <w:spacing w:after="0" w:line="240" w:lineRule="auto"/>
              <w:jc w:val="center"/>
              <w:rPr>
                <w:rFonts w:cs="Arial"/>
                <w:b/>
                <w:bCs/>
                <w:color w:val="000000"/>
                <w:szCs w:val="21"/>
                <w:lang w:eastAsia="en-AU"/>
              </w:rPr>
            </w:pPr>
            <w:r w:rsidRPr="00EE4C60">
              <w:rPr>
                <w:rFonts w:cs="Arial"/>
                <w:b/>
                <w:bCs/>
                <w:color w:val="000000"/>
                <w:szCs w:val="21"/>
                <w:lang w:eastAsia="en-AU"/>
              </w:rPr>
              <w:t xml:space="preserve">Age standardised </w:t>
            </w:r>
            <w:r w:rsidR="0074608F" w:rsidRPr="0074608F">
              <w:rPr>
                <w:rFonts w:cs="Arial"/>
                <w:b/>
                <w:bCs/>
                <w:color w:val="000000"/>
                <w:szCs w:val="21"/>
                <w:lang w:eastAsia="en-AU"/>
              </w:rPr>
              <w:t>Incidence</w:t>
            </w:r>
            <w:r w:rsidRPr="00EE4C60">
              <w:rPr>
                <w:rFonts w:cs="Arial"/>
                <w:b/>
                <w:bCs/>
                <w:color w:val="000000"/>
                <w:szCs w:val="21"/>
                <w:lang w:eastAsia="en-AU"/>
              </w:rPr>
              <w:t xml:space="preserve"> by sex (per 100,000)</w:t>
            </w:r>
          </w:p>
        </w:tc>
        <w:tc>
          <w:tcPr>
            <w:tcW w:w="36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CA974C" w14:textId="4F98497F" w:rsidR="0074608F" w:rsidRPr="0074608F" w:rsidRDefault="0074608F" w:rsidP="0074608F">
            <w:pPr>
              <w:spacing w:after="0" w:line="240" w:lineRule="auto"/>
              <w:jc w:val="center"/>
              <w:rPr>
                <w:rFonts w:cs="Arial"/>
                <w:b/>
                <w:bCs/>
                <w:color w:val="000000"/>
                <w:szCs w:val="21"/>
                <w:lang w:eastAsia="en-AU"/>
              </w:rPr>
            </w:pPr>
            <w:r w:rsidRPr="0074608F">
              <w:rPr>
                <w:rFonts w:cs="Arial"/>
                <w:b/>
                <w:bCs/>
                <w:color w:val="000000"/>
                <w:szCs w:val="21"/>
                <w:lang w:eastAsia="en-AU"/>
              </w:rPr>
              <w:t>Mortality</w:t>
            </w:r>
            <w:r w:rsidR="00664ABF" w:rsidRPr="00EE4C60">
              <w:rPr>
                <w:rFonts w:cs="Arial"/>
                <w:b/>
                <w:bCs/>
                <w:color w:val="000000"/>
                <w:szCs w:val="21"/>
                <w:lang w:eastAsia="en-AU"/>
              </w:rPr>
              <w:t xml:space="preserve"> by sex</w:t>
            </w:r>
          </w:p>
        </w:tc>
      </w:tr>
      <w:tr w:rsidR="00664ABF" w:rsidRPr="00EE4C60" w14:paraId="3791D0F9" w14:textId="77777777" w:rsidTr="00101BC4">
        <w:trPr>
          <w:trHeight w:val="300"/>
          <w:tblHead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4C24E3F"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Year</w:t>
            </w:r>
          </w:p>
        </w:tc>
        <w:tc>
          <w:tcPr>
            <w:tcW w:w="2977" w:type="dxa"/>
            <w:tcBorders>
              <w:top w:val="nil"/>
              <w:left w:val="nil"/>
              <w:bottom w:val="single" w:sz="4" w:space="0" w:color="auto"/>
              <w:right w:val="single" w:sz="4" w:space="0" w:color="auto"/>
            </w:tcBorders>
            <w:shd w:val="clear" w:color="auto" w:fill="auto"/>
            <w:noWrap/>
            <w:vAlign w:val="bottom"/>
            <w:hideMark/>
          </w:tcPr>
          <w:p w14:paraId="4D40859A"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Male</w:t>
            </w:r>
          </w:p>
        </w:tc>
        <w:tc>
          <w:tcPr>
            <w:tcW w:w="3260" w:type="dxa"/>
            <w:tcBorders>
              <w:top w:val="nil"/>
              <w:left w:val="nil"/>
              <w:bottom w:val="single" w:sz="4" w:space="0" w:color="auto"/>
              <w:right w:val="single" w:sz="4" w:space="0" w:color="auto"/>
            </w:tcBorders>
            <w:shd w:val="clear" w:color="auto" w:fill="auto"/>
            <w:noWrap/>
            <w:vAlign w:val="bottom"/>
            <w:hideMark/>
          </w:tcPr>
          <w:p w14:paraId="3F52400F"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Female</w:t>
            </w:r>
          </w:p>
        </w:tc>
        <w:tc>
          <w:tcPr>
            <w:tcW w:w="1701" w:type="dxa"/>
            <w:tcBorders>
              <w:top w:val="nil"/>
              <w:left w:val="nil"/>
              <w:bottom w:val="single" w:sz="4" w:space="0" w:color="auto"/>
              <w:right w:val="single" w:sz="4" w:space="0" w:color="auto"/>
            </w:tcBorders>
            <w:shd w:val="clear" w:color="auto" w:fill="auto"/>
            <w:noWrap/>
            <w:vAlign w:val="bottom"/>
            <w:hideMark/>
          </w:tcPr>
          <w:p w14:paraId="5170547E"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Male</w:t>
            </w:r>
          </w:p>
        </w:tc>
        <w:tc>
          <w:tcPr>
            <w:tcW w:w="1985" w:type="dxa"/>
            <w:tcBorders>
              <w:top w:val="nil"/>
              <w:left w:val="nil"/>
              <w:bottom w:val="single" w:sz="4" w:space="0" w:color="auto"/>
              <w:right w:val="single" w:sz="4" w:space="0" w:color="auto"/>
            </w:tcBorders>
            <w:shd w:val="clear" w:color="auto" w:fill="auto"/>
            <w:noWrap/>
            <w:vAlign w:val="bottom"/>
            <w:hideMark/>
          </w:tcPr>
          <w:p w14:paraId="5D6645D4" w14:textId="77777777" w:rsidR="0074608F" w:rsidRPr="0074608F" w:rsidRDefault="0074608F" w:rsidP="0074608F">
            <w:pPr>
              <w:spacing w:after="0" w:line="240" w:lineRule="auto"/>
              <w:rPr>
                <w:rFonts w:cs="Arial"/>
                <w:b/>
                <w:bCs/>
                <w:color w:val="000000"/>
                <w:szCs w:val="21"/>
                <w:lang w:eastAsia="en-AU"/>
              </w:rPr>
            </w:pPr>
            <w:r w:rsidRPr="0074608F">
              <w:rPr>
                <w:rFonts w:cs="Arial"/>
                <w:b/>
                <w:bCs/>
                <w:color w:val="000000"/>
                <w:szCs w:val="21"/>
                <w:lang w:eastAsia="en-AU"/>
              </w:rPr>
              <w:t>Female</w:t>
            </w:r>
          </w:p>
        </w:tc>
      </w:tr>
      <w:tr w:rsidR="00664ABF" w:rsidRPr="00EE4C60" w14:paraId="5DD6392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00ABD11"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1982</w:t>
            </w:r>
          </w:p>
        </w:tc>
        <w:tc>
          <w:tcPr>
            <w:tcW w:w="2977" w:type="dxa"/>
            <w:tcBorders>
              <w:top w:val="nil"/>
              <w:left w:val="nil"/>
              <w:bottom w:val="single" w:sz="4" w:space="0" w:color="auto"/>
              <w:right w:val="single" w:sz="4" w:space="0" w:color="auto"/>
            </w:tcBorders>
            <w:shd w:val="clear" w:color="auto" w:fill="auto"/>
            <w:noWrap/>
            <w:vAlign w:val="bottom"/>
            <w:hideMark/>
          </w:tcPr>
          <w:p w14:paraId="6704227E" w14:textId="14E83D2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12.6</w:t>
            </w:r>
          </w:p>
        </w:tc>
        <w:tc>
          <w:tcPr>
            <w:tcW w:w="3260" w:type="dxa"/>
            <w:tcBorders>
              <w:top w:val="nil"/>
              <w:left w:val="nil"/>
              <w:bottom w:val="single" w:sz="4" w:space="0" w:color="auto"/>
              <w:right w:val="single" w:sz="4" w:space="0" w:color="auto"/>
            </w:tcBorders>
            <w:shd w:val="clear" w:color="auto" w:fill="auto"/>
            <w:noWrap/>
            <w:vAlign w:val="bottom"/>
            <w:hideMark/>
          </w:tcPr>
          <w:p w14:paraId="24AC3C94" w14:textId="5F81544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15.3</w:t>
            </w:r>
          </w:p>
        </w:tc>
        <w:tc>
          <w:tcPr>
            <w:tcW w:w="1701" w:type="dxa"/>
            <w:tcBorders>
              <w:top w:val="nil"/>
              <w:left w:val="nil"/>
              <w:bottom w:val="single" w:sz="4" w:space="0" w:color="auto"/>
              <w:right w:val="single" w:sz="4" w:space="0" w:color="auto"/>
            </w:tcBorders>
            <w:shd w:val="clear" w:color="auto" w:fill="auto"/>
            <w:noWrap/>
            <w:vAlign w:val="bottom"/>
            <w:hideMark/>
          </w:tcPr>
          <w:p w14:paraId="7E9CB674" w14:textId="6F81A46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5D108549" w14:textId="58C29AC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2.4</w:t>
            </w:r>
          </w:p>
        </w:tc>
      </w:tr>
      <w:tr w:rsidR="00664ABF" w:rsidRPr="00EE4C60" w14:paraId="305741A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5C769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1983</w:t>
            </w:r>
          </w:p>
        </w:tc>
        <w:tc>
          <w:tcPr>
            <w:tcW w:w="2977" w:type="dxa"/>
            <w:tcBorders>
              <w:top w:val="nil"/>
              <w:left w:val="nil"/>
              <w:bottom w:val="single" w:sz="4" w:space="0" w:color="auto"/>
              <w:right w:val="single" w:sz="4" w:space="0" w:color="auto"/>
            </w:tcBorders>
            <w:shd w:val="clear" w:color="auto" w:fill="auto"/>
            <w:noWrap/>
            <w:vAlign w:val="bottom"/>
            <w:hideMark/>
          </w:tcPr>
          <w:p w14:paraId="3C3F9498" w14:textId="1FC7155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14.1</w:t>
            </w:r>
          </w:p>
        </w:tc>
        <w:tc>
          <w:tcPr>
            <w:tcW w:w="3260" w:type="dxa"/>
            <w:tcBorders>
              <w:top w:val="nil"/>
              <w:left w:val="nil"/>
              <w:bottom w:val="single" w:sz="4" w:space="0" w:color="auto"/>
              <w:right w:val="single" w:sz="4" w:space="0" w:color="auto"/>
            </w:tcBorders>
            <w:shd w:val="clear" w:color="auto" w:fill="auto"/>
            <w:noWrap/>
            <w:vAlign w:val="bottom"/>
            <w:hideMark/>
          </w:tcPr>
          <w:p w14:paraId="6E34552C" w14:textId="7CCF5F99"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16.5</w:t>
            </w:r>
          </w:p>
        </w:tc>
        <w:tc>
          <w:tcPr>
            <w:tcW w:w="1701" w:type="dxa"/>
            <w:tcBorders>
              <w:top w:val="nil"/>
              <w:left w:val="nil"/>
              <w:bottom w:val="single" w:sz="4" w:space="0" w:color="auto"/>
              <w:right w:val="single" w:sz="4" w:space="0" w:color="auto"/>
            </w:tcBorders>
            <w:shd w:val="clear" w:color="auto" w:fill="auto"/>
            <w:noWrap/>
            <w:vAlign w:val="bottom"/>
            <w:hideMark/>
          </w:tcPr>
          <w:p w14:paraId="68B45D89" w14:textId="260972D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6A7547FA" w14:textId="6C8F90A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2.9</w:t>
            </w:r>
          </w:p>
        </w:tc>
      </w:tr>
      <w:tr w:rsidR="00664ABF" w:rsidRPr="00EE4C60" w14:paraId="65FA03F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E7E528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1984</w:t>
            </w:r>
          </w:p>
        </w:tc>
        <w:tc>
          <w:tcPr>
            <w:tcW w:w="2977" w:type="dxa"/>
            <w:tcBorders>
              <w:top w:val="nil"/>
              <w:left w:val="nil"/>
              <w:bottom w:val="single" w:sz="4" w:space="0" w:color="auto"/>
              <w:right w:val="single" w:sz="4" w:space="0" w:color="auto"/>
            </w:tcBorders>
            <w:shd w:val="clear" w:color="auto" w:fill="auto"/>
            <w:noWrap/>
            <w:vAlign w:val="bottom"/>
            <w:hideMark/>
          </w:tcPr>
          <w:p w14:paraId="6F2FC021" w14:textId="09800B8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14.5</w:t>
            </w:r>
          </w:p>
        </w:tc>
        <w:tc>
          <w:tcPr>
            <w:tcW w:w="3260" w:type="dxa"/>
            <w:tcBorders>
              <w:top w:val="nil"/>
              <w:left w:val="nil"/>
              <w:bottom w:val="single" w:sz="4" w:space="0" w:color="auto"/>
              <w:right w:val="single" w:sz="4" w:space="0" w:color="auto"/>
            </w:tcBorders>
            <w:shd w:val="clear" w:color="auto" w:fill="auto"/>
            <w:noWrap/>
            <w:vAlign w:val="bottom"/>
            <w:hideMark/>
          </w:tcPr>
          <w:p w14:paraId="15EAA4B5" w14:textId="3A935BB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17.1</w:t>
            </w:r>
          </w:p>
        </w:tc>
        <w:tc>
          <w:tcPr>
            <w:tcW w:w="1701" w:type="dxa"/>
            <w:tcBorders>
              <w:top w:val="nil"/>
              <w:left w:val="nil"/>
              <w:bottom w:val="single" w:sz="4" w:space="0" w:color="auto"/>
              <w:right w:val="single" w:sz="4" w:space="0" w:color="auto"/>
            </w:tcBorders>
            <w:shd w:val="clear" w:color="auto" w:fill="auto"/>
            <w:noWrap/>
            <w:vAlign w:val="bottom"/>
            <w:hideMark/>
          </w:tcPr>
          <w:p w14:paraId="65BD6AD3" w14:textId="5388754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2EB80DE6" w14:textId="5AADF42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53308ED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376617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1985</w:t>
            </w:r>
          </w:p>
        </w:tc>
        <w:tc>
          <w:tcPr>
            <w:tcW w:w="2977" w:type="dxa"/>
            <w:tcBorders>
              <w:top w:val="nil"/>
              <w:left w:val="nil"/>
              <w:bottom w:val="single" w:sz="4" w:space="0" w:color="auto"/>
              <w:right w:val="single" w:sz="4" w:space="0" w:color="auto"/>
            </w:tcBorders>
            <w:shd w:val="clear" w:color="auto" w:fill="auto"/>
            <w:noWrap/>
            <w:vAlign w:val="bottom"/>
            <w:hideMark/>
          </w:tcPr>
          <w:p w14:paraId="2F86B494" w14:textId="0F12567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17.2</w:t>
            </w:r>
          </w:p>
        </w:tc>
        <w:tc>
          <w:tcPr>
            <w:tcW w:w="3260" w:type="dxa"/>
            <w:tcBorders>
              <w:top w:val="nil"/>
              <w:left w:val="nil"/>
              <w:bottom w:val="single" w:sz="4" w:space="0" w:color="auto"/>
              <w:right w:val="single" w:sz="4" w:space="0" w:color="auto"/>
            </w:tcBorders>
            <w:shd w:val="clear" w:color="auto" w:fill="auto"/>
            <w:noWrap/>
            <w:vAlign w:val="bottom"/>
            <w:hideMark/>
          </w:tcPr>
          <w:p w14:paraId="5DCA6622" w14:textId="4232E52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19.2</w:t>
            </w:r>
          </w:p>
        </w:tc>
        <w:tc>
          <w:tcPr>
            <w:tcW w:w="1701" w:type="dxa"/>
            <w:tcBorders>
              <w:top w:val="nil"/>
              <w:left w:val="nil"/>
              <w:bottom w:val="single" w:sz="4" w:space="0" w:color="auto"/>
              <w:right w:val="single" w:sz="4" w:space="0" w:color="auto"/>
            </w:tcBorders>
            <w:shd w:val="clear" w:color="auto" w:fill="auto"/>
            <w:noWrap/>
            <w:vAlign w:val="bottom"/>
            <w:hideMark/>
          </w:tcPr>
          <w:p w14:paraId="38BD146C" w14:textId="3509163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3.2</w:t>
            </w:r>
          </w:p>
        </w:tc>
        <w:tc>
          <w:tcPr>
            <w:tcW w:w="1985" w:type="dxa"/>
            <w:tcBorders>
              <w:top w:val="nil"/>
              <w:left w:val="nil"/>
              <w:bottom w:val="single" w:sz="4" w:space="0" w:color="auto"/>
              <w:right w:val="single" w:sz="4" w:space="0" w:color="auto"/>
            </w:tcBorders>
            <w:shd w:val="clear" w:color="auto" w:fill="auto"/>
            <w:noWrap/>
            <w:vAlign w:val="bottom"/>
            <w:hideMark/>
          </w:tcPr>
          <w:p w14:paraId="48C5468E" w14:textId="5E7C0B6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2.8</w:t>
            </w:r>
          </w:p>
        </w:tc>
      </w:tr>
      <w:tr w:rsidR="00664ABF" w:rsidRPr="00EE4C60" w14:paraId="471498A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8E41B4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1986</w:t>
            </w:r>
          </w:p>
        </w:tc>
        <w:tc>
          <w:tcPr>
            <w:tcW w:w="2977" w:type="dxa"/>
            <w:tcBorders>
              <w:top w:val="nil"/>
              <w:left w:val="nil"/>
              <w:bottom w:val="single" w:sz="4" w:space="0" w:color="auto"/>
              <w:right w:val="single" w:sz="4" w:space="0" w:color="auto"/>
            </w:tcBorders>
            <w:shd w:val="clear" w:color="auto" w:fill="auto"/>
            <w:noWrap/>
            <w:vAlign w:val="bottom"/>
            <w:hideMark/>
          </w:tcPr>
          <w:p w14:paraId="31F85355" w14:textId="02566D5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15.9</w:t>
            </w:r>
          </w:p>
        </w:tc>
        <w:tc>
          <w:tcPr>
            <w:tcW w:w="3260" w:type="dxa"/>
            <w:tcBorders>
              <w:top w:val="nil"/>
              <w:left w:val="nil"/>
              <w:bottom w:val="single" w:sz="4" w:space="0" w:color="auto"/>
              <w:right w:val="single" w:sz="4" w:space="0" w:color="auto"/>
            </w:tcBorders>
            <w:shd w:val="clear" w:color="auto" w:fill="auto"/>
            <w:noWrap/>
            <w:vAlign w:val="bottom"/>
            <w:hideMark/>
          </w:tcPr>
          <w:p w14:paraId="1EA1AF1C" w14:textId="358F042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17.6</w:t>
            </w:r>
          </w:p>
        </w:tc>
        <w:tc>
          <w:tcPr>
            <w:tcW w:w="1701" w:type="dxa"/>
            <w:tcBorders>
              <w:top w:val="nil"/>
              <w:left w:val="nil"/>
              <w:bottom w:val="single" w:sz="4" w:space="0" w:color="auto"/>
              <w:right w:val="single" w:sz="4" w:space="0" w:color="auto"/>
            </w:tcBorders>
            <w:shd w:val="clear" w:color="auto" w:fill="auto"/>
            <w:noWrap/>
            <w:vAlign w:val="bottom"/>
            <w:hideMark/>
          </w:tcPr>
          <w:p w14:paraId="3BC786BC" w14:textId="38A51C0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3.4</w:t>
            </w:r>
          </w:p>
        </w:tc>
        <w:tc>
          <w:tcPr>
            <w:tcW w:w="1985" w:type="dxa"/>
            <w:tcBorders>
              <w:top w:val="nil"/>
              <w:left w:val="nil"/>
              <w:bottom w:val="single" w:sz="4" w:space="0" w:color="auto"/>
              <w:right w:val="single" w:sz="4" w:space="0" w:color="auto"/>
            </w:tcBorders>
            <w:shd w:val="clear" w:color="auto" w:fill="auto"/>
            <w:noWrap/>
            <w:vAlign w:val="bottom"/>
            <w:hideMark/>
          </w:tcPr>
          <w:p w14:paraId="7088B1A9" w14:textId="57CD5D3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0CA4798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312D09"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1987</w:t>
            </w:r>
          </w:p>
        </w:tc>
        <w:tc>
          <w:tcPr>
            <w:tcW w:w="2977" w:type="dxa"/>
            <w:tcBorders>
              <w:top w:val="nil"/>
              <w:left w:val="nil"/>
              <w:bottom w:val="single" w:sz="4" w:space="0" w:color="auto"/>
              <w:right w:val="single" w:sz="4" w:space="0" w:color="auto"/>
            </w:tcBorders>
            <w:shd w:val="clear" w:color="auto" w:fill="auto"/>
            <w:noWrap/>
            <w:vAlign w:val="bottom"/>
            <w:hideMark/>
          </w:tcPr>
          <w:p w14:paraId="0599A178" w14:textId="3D814D2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19.9</w:t>
            </w:r>
          </w:p>
        </w:tc>
        <w:tc>
          <w:tcPr>
            <w:tcW w:w="3260" w:type="dxa"/>
            <w:tcBorders>
              <w:top w:val="nil"/>
              <w:left w:val="nil"/>
              <w:bottom w:val="single" w:sz="4" w:space="0" w:color="auto"/>
              <w:right w:val="single" w:sz="4" w:space="0" w:color="auto"/>
            </w:tcBorders>
            <w:shd w:val="clear" w:color="auto" w:fill="auto"/>
            <w:noWrap/>
            <w:vAlign w:val="bottom"/>
            <w:hideMark/>
          </w:tcPr>
          <w:p w14:paraId="71D41AFC" w14:textId="4A9F425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20.0</w:t>
            </w:r>
          </w:p>
        </w:tc>
        <w:tc>
          <w:tcPr>
            <w:tcW w:w="1701" w:type="dxa"/>
            <w:tcBorders>
              <w:top w:val="nil"/>
              <w:left w:val="nil"/>
              <w:bottom w:val="single" w:sz="4" w:space="0" w:color="auto"/>
              <w:right w:val="single" w:sz="4" w:space="0" w:color="auto"/>
            </w:tcBorders>
            <w:shd w:val="clear" w:color="auto" w:fill="auto"/>
            <w:noWrap/>
            <w:vAlign w:val="bottom"/>
            <w:hideMark/>
          </w:tcPr>
          <w:p w14:paraId="711C1DB2" w14:textId="31305A2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5EAC2215" w14:textId="7C7D935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529A8712"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CD76AE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1988</w:t>
            </w:r>
          </w:p>
        </w:tc>
        <w:tc>
          <w:tcPr>
            <w:tcW w:w="2977" w:type="dxa"/>
            <w:tcBorders>
              <w:top w:val="nil"/>
              <w:left w:val="nil"/>
              <w:bottom w:val="single" w:sz="4" w:space="0" w:color="auto"/>
              <w:right w:val="single" w:sz="4" w:space="0" w:color="auto"/>
            </w:tcBorders>
            <w:shd w:val="clear" w:color="auto" w:fill="auto"/>
            <w:noWrap/>
            <w:vAlign w:val="bottom"/>
            <w:hideMark/>
          </w:tcPr>
          <w:p w14:paraId="0F2D6D4D" w14:textId="6F59871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23.1</w:t>
            </w:r>
          </w:p>
        </w:tc>
        <w:tc>
          <w:tcPr>
            <w:tcW w:w="3260" w:type="dxa"/>
            <w:tcBorders>
              <w:top w:val="nil"/>
              <w:left w:val="nil"/>
              <w:bottom w:val="single" w:sz="4" w:space="0" w:color="auto"/>
              <w:right w:val="single" w:sz="4" w:space="0" w:color="auto"/>
            </w:tcBorders>
            <w:shd w:val="clear" w:color="auto" w:fill="auto"/>
            <w:noWrap/>
            <w:vAlign w:val="bottom"/>
            <w:hideMark/>
          </w:tcPr>
          <w:p w14:paraId="5CC6D1BA" w14:textId="5AC07B8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21.7</w:t>
            </w:r>
          </w:p>
        </w:tc>
        <w:tc>
          <w:tcPr>
            <w:tcW w:w="1701" w:type="dxa"/>
            <w:tcBorders>
              <w:top w:val="nil"/>
              <w:left w:val="nil"/>
              <w:bottom w:val="single" w:sz="4" w:space="0" w:color="auto"/>
              <w:right w:val="single" w:sz="4" w:space="0" w:color="auto"/>
            </w:tcBorders>
            <w:shd w:val="clear" w:color="auto" w:fill="auto"/>
            <w:noWrap/>
            <w:vAlign w:val="bottom"/>
            <w:hideMark/>
          </w:tcPr>
          <w:p w14:paraId="5268B399" w14:textId="26FEA94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15BEC50F" w14:textId="788A6F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2.4</w:t>
            </w:r>
          </w:p>
        </w:tc>
      </w:tr>
      <w:tr w:rsidR="00664ABF" w:rsidRPr="00EE4C60" w14:paraId="3C2FD4CF"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D3CA757"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1989</w:t>
            </w:r>
          </w:p>
        </w:tc>
        <w:tc>
          <w:tcPr>
            <w:tcW w:w="2977" w:type="dxa"/>
            <w:tcBorders>
              <w:top w:val="nil"/>
              <w:left w:val="nil"/>
              <w:bottom w:val="single" w:sz="4" w:space="0" w:color="auto"/>
              <w:right w:val="single" w:sz="4" w:space="0" w:color="auto"/>
            </w:tcBorders>
            <w:shd w:val="clear" w:color="auto" w:fill="auto"/>
            <w:noWrap/>
            <w:vAlign w:val="bottom"/>
            <w:hideMark/>
          </w:tcPr>
          <w:p w14:paraId="6AEC7A5D" w14:textId="0E00B7E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21.5</w:t>
            </w:r>
          </w:p>
        </w:tc>
        <w:tc>
          <w:tcPr>
            <w:tcW w:w="3260" w:type="dxa"/>
            <w:tcBorders>
              <w:top w:val="nil"/>
              <w:left w:val="nil"/>
              <w:bottom w:val="single" w:sz="4" w:space="0" w:color="auto"/>
              <w:right w:val="single" w:sz="4" w:space="0" w:color="auto"/>
            </w:tcBorders>
            <w:shd w:val="clear" w:color="auto" w:fill="auto"/>
            <w:noWrap/>
            <w:vAlign w:val="bottom"/>
            <w:hideMark/>
          </w:tcPr>
          <w:p w14:paraId="0D1F1FC0" w14:textId="254F391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20.7</w:t>
            </w:r>
          </w:p>
        </w:tc>
        <w:tc>
          <w:tcPr>
            <w:tcW w:w="1701" w:type="dxa"/>
            <w:tcBorders>
              <w:top w:val="nil"/>
              <w:left w:val="nil"/>
              <w:bottom w:val="single" w:sz="4" w:space="0" w:color="auto"/>
              <w:right w:val="single" w:sz="4" w:space="0" w:color="auto"/>
            </w:tcBorders>
            <w:shd w:val="clear" w:color="auto" w:fill="auto"/>
            <w:noWrap/>
            <w:vAlign w:val="bottom"/>
            <w:hideMark/>
          </w:tcPr>
          <w:p w14:paraId="7E11B3D5" w14:textId="12B134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082CDD3B" w14:textId="71EB68C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2.5</w:t>
            </w:r>
          </w:p>
        </w:tc>
      </w:tr>
      <w:tr w:rsidR="00664ABF" w:rsidRPr="00EE4C60" w14:paraId="71B20BD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203E1C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1990</w:t>
            </w:r>
          </w:p>
        </w:tc>
        <w:tc>
          <w:tcPr>
            <w:tcW w:w="2977" w:type="dxa"/>
            <w:tcBorders>
              <w:top w:val="nil"/>
              <w:left w:val="nil"/>
              <w:bottom w:val="single" w:sz="4" w:space="0" w:color="auto"/>
              <w:right w:val="single" w:sz="4" w:space="0" w:color="auto"/>
            </w:tcBorders>
            <w:shd w:val="clear" w:color="auto" w:fill="auto"/>
            <w:noWrap/>
            <w:vAlign w:val="bottom"/>
            <w:hideMark/>
          </w:tcPr>
          <w:p w14:paraId="39F8EA81" w14:textId="6EFCEC7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22.5</w:t>
            </w:r>
          </w:p>
        </w:tc>
        <w:tc>
          <w:tcPr>
            <w:tcW w:w="3260" w:type="dxa"/>
            <w:tcBorders>
              <w:top w:val="nil"/>
              <w:left w:val="nil"/>
              <w:bottom w:val="single" w:sz="4" w:space="0" w:color="auto"/>
              <w:right w:val="single" w:sz="4" w:space="0" w:color="auto"/>
            </w:tcBorders>
            <w:shd w:val="clear" w:color="auto" w:fill="auto"/>
            <w:noWrap/>
            <w:vAlign w:val="bottom"/>
            <w:hideMark/>
          </w:tcPr>
          <w:p w14:paraId="1D492996" w14:textId="6B4EF64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18.7</w:t>
            </w:r>
          </w:p>
        </w:tc>
        <w:tc>
          <w:tcPr>
            <w:tcW w:w="1701" w:type="dxa"/>
            <w:tcBorders>
              <w:top w:val="nil"/>
              <w:left w:val="nil"/>
              <w:bottom w:val="single" w:sz="4" w:space="0" w:color="auto"/>
              <w:right w:val="single" w:sz="4" w:space="0" w:color="auto"/>
            </w:tcBorders>
            <w:shd w:val="clear" w:color="auto" w:fill="auto"/>
            <w:noWrap/>
            <w:vAlign w:val="bottom"/>
            <w:hideMark/>
          </w:tcPr>
          <w:p w14:paraId="1ACD275A" w14:textId="333EC4E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4B6B6297" w14:textId="6F20BE1D"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53F11B67"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67D9198"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1991</w:t>
            </w:r>
          </w:p>
        </w:tc>
        <w:tc>
          <w:tcPr>
            <w:tcW w:w="2977" w:type="dxa"/>
            <w:tcBorders>
              <w:top w:val="nil"/>
              <w:left w:val="nil"/>
              <w:bottom w:val="single" w:sz="4" w:space="0" w:color="auto"/>
              <w:right w:val="single" w:sz="4" w:space="0" w:color="auto"/>
            </w:tcBorders>
            <w:shd w:val="clear" w:color="auto" w:fill="auto"/>
            <w:noWrap/>
            <w:vAlign w:val="bottom"/>
            <w:hideMark/>
          </w:tcPr>
          <w:p w14:paraId="2A476789" w14:textId="63095DC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20.9</w:t>
            </w:r>
          </w:p>
        </w:tc>
        <w:tc>
          <w:tcPr>
            <w:tcW w:w="3260" w:type="dxa"/>
            <w:tcBorders>
              <w:top w:val="nil"/>
              <w:left w:val="nil"/>
              <w:bottom w:val="single" w:sz="4" w:space="0" w:color="auto"/>
              <w:right w:val="single" w:sz="4" w:space="0" w:color="auto"/>
            </w:tcBorders>
            <w:shd w:val="clear" w:color="auto" w:fill="auto"/>
            <w:noWrap/>
            <w:vAlign w:val="bottom"/>
            <w:hideMark/>
          </w:tcPr>
          <w:p w14:paraId="105BBB27" w14:textId="4F4B25C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20.3</w:t>
            </w:r>
          </w:p>
        </w:tc>
        <w:tc>
          <w:tcPr>
            <w:tcW w:w="1701" w:type="dxa"/>
            <w:tcBorders>
              <w:top w:val="nil"/>
              <w:left w:val="nil"/>
              <w:bottom w:val="single" w:sz="4" w:space="0" w:color="auto"/>
              <w:right w:val="single" w:sz="4" w:space="0" w:color="auto"/>
            </w:tcBorders>
            <w:shd w:val="clear" w:color="auto" w:fill="auto"/>
            <w:noWrap/>
            <w:vAlign w:val="bottom"/>
            <w:hideMark/>
          </w:tcPr>
          <w:p w14:paraId="2A278C7A" w14:textId="0A15065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3.8</w:t>
            </w:r>
          </w:p>
        </w:tc>
        <w:tc>
          <w:tcPr>
            <w:tcW w:w="1985" w:type="dxa"/>
            <w:tcBorders>
              <w:top w:val="nil"/>
              <w:left w:val="nil"/>
              <w:bottom w:val="single" w:sz="4" w:space="0" w:color="auto"/>
              <w:right w:val="single" w:sz="4" w:space="0" w:color="auto"/>
            </w:tcBorders>
            <w:shd w:val="clear" w:color="auto" w:fill="auto"/>
            <w:noWrap/>
            <w:vAlign w:val="bottom"/>
            <w:hideMark/>
          </w:tcPr>
          <w:p w14:paraId="4A44FED5" w14:textId="562A548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0517A207"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3B51914"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1992</w:t>
            </w:r>
          </w:p>
        </w:tc>
        <w:tc>
          <w:tcPr>
            <w:tcW w:w="2977" w:type="dxa"/>
            <w:tcBorders>
              <w:top w:val="nil"/>
              <w:left w:val="nil"/>
              <w:bottom w:val="single" w:sz="4" w:space="0" w:color="auto"/>
              <w:right w:val="single" w:sz="4" w:space="0" w:color="auto"/>
            </w:tcBorders>
            <w:shd w:val="clear" w:color="auto" w:fill="auto"/>
            <w:noWrap/>
            <w:vAlign w:val="bottom"/>
            <w:hideMark/>
          </w:tcPr>
          <w:p w14:paraId="35900C3A" w14:textId="73E5F02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26.4</w:t>
            </w:r>
          </w:p>
        </w:tc>
        <w:tc>
          <w:tcPr>
            <w:tcW w:w="3260" w:type="dxa"/>
            <w:tcBorders>
              <w:top w:val="nil"/>
              <w:left w:val="nil"/>
              <w:bottom w:val="single" w:sz="4" w:space="0" w:color="auto"/>
              <w:right w:val="single" w:sz="4" w:space="0" w:color="auto"/>
            </w:tcBorders>
            <w:shd w:val="clear" w:color="auto" w:fill="auto"/>
            <w:noWrap/>
            <w:vAlign w:val="bottom"/>
            <w:hideMark/>
          </w:tcPr>
          <w:p w14:paraId="7231DF7D" w14:textId="10F6679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23.2</w:t>
            </w:r>
          </w:p>
        </w:tc>
        <w:tc>
          <w:tcPr>
            <w:tcW w:w="1701" w:type="dxa"/>
            <w:tcBorders>
              <w:top w:val="nil"/>
              <w:left w:val="nil"/>
              <w:bottom w:val="single" w:sz="4" w:space="0" w:color="auto"/>
              <w:right w:val="single" w:sz="4" w:space="0" w:color="auto"/>
            </w:tcBorders>
            <w:shd w:val="clear" w:color="auto" w:fill="auto"/>
            <w:noWrap/>
            <w:vAlign w:val="bottom"/>
            <w:hideMark/>
          </w:tcPr>
          <w:p w14:paraId="7E57B71E" w14:textId="3F0B159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0618EBB8" w14:textId="30FA5BF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2.5</w:t>
            </w:r>
          </w:p>
        </w:tc>
      </w:tr>
      <w:tr w:rsidR="00664ABF" w:rsidRPr="00EE4C60" w14:paraId="78CA16A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6AF9226"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1993</w:t>
            </w:r>
          </w:p>
        </w:tc>
        <w:tc>
          <w:tcPr>
            <w:tcW w:w="2977" w:type="dxa"/>
            <w:tcBorders>
              <w:top w:val="nil"/>
              <w:left w:val="nil"/>
              <w:bottom w:val="single" w:sz="4" w:space="0" w:color="auto"/>
              <w:right w:val="single" w:sz="4" w:space="0" w:color="auto"/>
            </w:tcBorders>
            <w:shd w:val="clear" w:color="auto" w:fill="auto"/>
            <w:noWrap/>
            <w:vAlign w:val="bottom"/>
            <w:hideMark/>
          </w:tcPr>
          <w:p w14:paraId="4886B111" w14:textId="573A129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23.7</w:t>
            </w:r>
          </w:p>
        </w:tc>
        <w:tc>
          <w:tcPr>
            <w:tcW w:w="3260" w:type="dxa"/>
            <w:tcBorders>
              <w:top w:val="nil"/>
              <w:left w:val="nil"/>
              <w:bottom w:val="single" w:sz="4" w:space="0" w:color="auto"/>
              <w:right w:val="single" w:sz="4" w:space="0" w:color="auto"/>
            </w:tcBorders>
            <w:shd w:val="clear" w:color="auto" w:fill="auto"/>
            <w:noWrap/>
            <w:vAlign w:val="bottom"/>
            <w:hideMark/>
          </w:tcPr>
          <w:p w14:paraId="7243BD5A" w14:textId="57EFF8B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20.7</w:t>
            </w:r>
          </w:p>
        </w:tc>
        <w:tc>
          <w:tcPr>
            <w:tcW w:w="1701" w:type="dxa"/>
            <w:tcBorders>
              <w:top w:val="nil"/>
              <w:left w:val="nil"/>
              <w:bottom w:val="single" w:sz="4" w:space="0" w:color="auto"/>
              <w:right w:val="single" w:sz="4" w:space="0" w:color="auto"/>
            </w:tcBorders>
            <w:shd w:val="clear" w:color="auto" w:fill="auto"/>
            <w:noWrap/>
            <w:vAlign w:val="bottom"/>
            <w:hideMark/>
          </w:tcPr>
          <w:p w14:paraId="2BC42048" w14:textId="27486BA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4.2</w:t>
            </w:r>
          </w:p>
        </w:tc>
        <w:tc>
          <w:tcPr>
            <w:tcW w:w="1985" w:type="dxa"/>
            <w:tcBorders>
              <w:top w:val="nil"/>
              <w:left w:val="nil"/>
              <w:bottom w:val="single" w:sz="4" w:space="0" w:color="auto"/>
              <w:right w:val="single" w:sz="4" w:space="0" w:color="auto"/>
            </w:tcBorders>
            <w:shd w:val="clear" w:color="auto" w:fill="auto"/>
            <w:noWrap/>
            <w:vAlign w:val="bottom"/>
            <w:hideMark/>
          </w:tcPr>
          <w:p w14:paraId="1E1723EE" w14:textId="0FA81703"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620C7EC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BD429E2"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1994</w:t>
            </w:r>
          </w:p>
        </w:tc>
        <w:tc>
          <w:tcPr>
            <w:tcW w:w="2977" w:type="dxa"/>
            <w:tcBorders>
              <w:top w:val="nil"/>
              <w:left w:val="nil"/>
              <w:bottom w:val="single" w:sz="4" w:space="0" w:color="auto"/>
              <w:right w:val="single" w:sz="4" w:space="0" w:color="auto"/>
            </w:tcBorders>
            <w:shd w:val="clear" w:color="auto" w:fill="auto"/>
            <w:noWrap/>
            <w:vAlign w:val="bottom"/>
            <w:hideMark/>
          </w:tcPr>
          <w:p w14:paraId="1557B0E0" w14:textId="69E89E7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24.6</w:t>
            </w:r>
          </w:p>
        </w:tc>
        <w:tc>
          <w:tcPr>
            <w:tcW w:w="3260" w:type="dxa"/>
            <w:tcBorders>
              <w:top w:val="nil"/>
              <w:left w:val="nil"/>
              <w:bottom w:val="single" w:sz="4" w:space="0" w:color="auto"/>
              <w:right w:val="single" w:sz="4" w:space="0" w:color="auto"/>
            </w:tcBorders>
            <w:shd w:val="clear" w:color="auto" w:fill="auto"/>
            <w:noWrap/>
            <w:vAlign w:val="bottom"/>
            <w:hideMark/>
          </w:tcPr>
          <w:p w14:paraId="602938E5" w14:textId="2C24A86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21.4</w:t>
            </w:r>
          </w:p>
        </w:tc>
        <w:tc>
          <w:tcPr>
            <w:tcW w:w="1701" w:type="dxa"/>
            <w:tcBorders>
              <w:top w:val="nil"/>
              <w:left w:val="nil"/>
              <w:bottom w:val="single" w:sz="4" w:space="0" w:color="auto"/>
              <w:right w:val="single" w:sz="4" w:space="0" w:color="auto"/>
            </w:tcBorders>
            <w:shd w:val="clear" w:color="auto" w:fill="auto"/>
            <w:noWrap/>
            <w:vAlign w:val="bottom"/>
            <w:hideMark/>
          </w:tcPr>
          <w:p w14:paraId="287899E3" w14:textId="2056635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4.1</w:t>
            </w:r>
          </w:p>
        </w:tc>
        <w:tc>
          <w:tcPr>
            <w:tcW w:w="1985" w:type="dxa"/>
            <w:tcBorders>
              <w:top w:val="nil"/>
              <w:left w:val="nil"/>
              <w:bottom w:val="single" w:sz="4" w:space="0" w:color="auto"/>
              <w:right w:val="single" w:sz="4" w:space="0" w:color="auto"/>
            </w:tcBorders>
            <w:shd w:val="clear" w:color="auto" w:fill="auto"/>
            <w:noWrap/>
            <w:vAlign w:val="bottom"/>
            <w:hideMark/>
          </w:tcPr>
          <w:p w14:paraId="35B45422" w14:textId="3E878B9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1CD9B4CC"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469989A"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1995</w:t>
            </w:r>
          </w:p>
        </w:tc>
        <w:tc>
          <w:tcPr>
            <w:tcW w:w="2977" w:type="dxa"/>
            <w:tcBorders>
              <w:top w:val="nil"/>
              <w:left w:val="nil"/>
              <w:bottom w:val="single" w:sz="4" w:space="0" w:color="auto"/>
              <w:right w:val="single" w:sz="4" w:space="0" w:color="auto"/>
            </w:tcBorders>
            <w:shd w:val="clear" w:color="auto" w:fill="auto"/>
            <w:noWrap/>
            <w:vAlign w:val="bottom"/>
            <w:hideMark/>
          </w:tcPr>
          <w:p w14:paraId="321017C6" w14:textId="1C1368F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27.8</w:t>
            </w:r>
          </w:p>
        </w:tc>
        <w:tc>
          <w:tcPr>
            <w:tcW w:w="3260" w:type="dxa"/>
            <w:tcBorders>
              <w:top w:val="nil"/>
              <w:left w:val="nil"/>
              <w:bottom w:val="single" w:sz="4" w:space="0" w:color="auto"/>
              <w:right w:val="single" w:sz="4" w:space="0" w:color="auto"/>
            </w:tcBorders>
            <w:shd w:val="clear" w:color="auto" w:fill="auto"/>
            <w:noWrap/>
            <w:vAlign w:val="bottom"/>
            <w:hideMark/>
          </w:tcPr>
          <w:p w14:paraId="2E6CD9E0" w14:textId="155CFB7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25.3</w:t>
            </w:r>
          </w:p>
        </w:tc>
        <w:tc>
          <w:tcPr>
            <w:tcW w:w="1701" w:type="dxa"/>
            <w:tcBorders>
              <w:top w:val="nil"/>
              <w:left w:val="nil"/>
              <w:bottom w:val="single" w:sz="4" w:space="0" w:color="auto"/>
              <w:right w:val="single" w:sz="4" w:space="0" w:color="auto"/>
            </w:tcBorders>
            <w:shd w:val="clear" w:color="auto" w:fill="auto"/>
            <w:noWrap/>
            <w:vAlign w:val="bottom"/>
            <w:hideMark/>
          </w:tcPr>
          <w:p w14:paraId="20EF4323" w14:textId="2D2E0EF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15EF6A9D" w14:textId="7103980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2.7</w:t>
            </w:r>
          </w:p>
        </w:tc>
      </w:tr>
      <w:tr w:rsidR="00664ABF" w:rsidRPr="00EE4C60" w14:paraId="34F6912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F9AC9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1996</w:t>
            </w:r>
          </w:p>
        </w:tc>
        <w:tc>
          <w:tcPr>
            <w:tcW w:w="2977" w:type="dxa"/>
            <w:tcBorders>
              <w:top w:val="nil"/>
              <w:left w:val="nil"/>
              <w:bottom w:val="single" w:sz="4" w:space="0" w:color="auto"/>
              <w:right w:val="single" w:sz="4" w:space="0" w:color="auto"/>
            </w:tcBorders>
            <w:shd w:val="clear" w:color="auto" w:fill="auto"/>
            <w:noWrap/>
            <w:vAlign w:val="bottom"/>
            <w:hideMark/>
          </w:tcPr>
          <w:p w14:paraId="135EABFE" w14:textId="2FAE6E4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30.1</w:t>
            </w:r>
          </w:p>
        </w:tc>
        <w:tc>
          <w:tcPr>
            <w:tcW w:w="3260" w:type="dxa"/>
            <w:tcBorders>
              <w:top w:val="nil"/>
              <w:left w:val="nil"/>
              <w:bottom w:val="single" w:sz="4" w:space="0" w:color="auto"/>
              <w:right w:val="single" w:sz="4" w:space="0" w:color="auto"/>
            </w:tcBorders>
            <w:shd w:val="clear" w:color="auto" w:fill="auto"/>
            <w:noWrap/>
            <w:vAlign w:val="bottom"/>
            <w:hideMark/>
          </w:tcPr>
          <w:p w14:paraId="31F8FD46" w14:textId="2B27D6B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27.6</w:t>
            </w:r>
          </w:p>
        </w:tc>
        <w:tc>
          <w:tcPr>
            <w:tcW w:w="1701" w:type="dxa"/>
            <w:tcBorders>
              <w:top w:val="nil"/>
              <w:left w:val="nil"/>
              <w:bottom w:val="single" w:sz="4" w:space="0" w:color="auto"/>
              <w:right w:val="single" w:sz="4" w:space="0" w:color="auto"/>
            </w:tcBorders>
            <w:shd w:val="clear" w:color="auto" w:fill="auto"/>
            <w:noWrap/>
            <w:vAlign w:val="bottom"/>
            <w:hideMark/>
          </w:tcPr>
          <w:p w14:paraId="381943A4" w14:textId="5B011E6D"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3C44C2EB" w14:textId="31EBC21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1.5</w:t>
            </w:r>
          </w:p>
        </w:tc>
      </w:tr>
      <w:tr w:rsidR="00664ABF" w:rsidRPr="00EE4C60" w14:paraId="7F77CCB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2A7E12"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1997</w:t>
            </w:r>
          </w:p>
        </w:tc>
        <w:tc>
          <w:tcPr>
            <w:tcW w:w="2977" w:type="dxa"/>
            <w:tcBorders>
              <w:top w:val="nil"/>
              <w:left w:val="nil"/>
              <w:bottom w:val="single" w:sz="4" w:space="0" w:color="auto"/>
              <w:right w:val="single" w:sz="4" w:space="0" w:color="auto"/>
            </w:tcBorders>
            <w:shd w:val="clear" w:color="auto" w:fill="auto"/>
            <w:noWrap/>
            <w:vAlign w:val="bottom"/>
            <w:hideMark/>
          </w:tcPr>
          <w:p w14:paraId="633365A2" w14:textId="51C9432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30.8</w:t>
            </w:r>
          </w:p>
        </w:tc>
        <w:tc>
          <w:tcPr>
            <w:tcW w:w="3260" w:type="dxa"/>
            <w:tcBorders>
              <w:top w:val="nil"/>
              <w:left w:val="nil"/>
              <w:bottom w:val="single" w:sz="4" w:space="0" w:color="auto"/>
              <w:right w:val="single" w:sz="4" w:space="0" w:color="auto"/>
            </w:tcBorders>
            <w:shd w:val="clear" w:color="auto" w:fill="auto"/>
            <w:noWrap/>
            <w:vAlign w:val="bottom"/>
            <w:hideMark/>
          </w:tcPr>
          <w:p w14:paraId="45CEE3AC" w14:textId="326576E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29.7</w:t>
            </w:r>
          </w:p>
        </w:tc>
        <w:tc>
          <w:tcPr>
            <w:tcW w:w="1701" w:type="dxa"/>
            <w:tcBorders>
              <w:top w:val="nil"/>
              <w:left w:val="nil"/>
              <w:bottom w:val="single" w:sz="4" w:space="0" w:color="auto"/>
              <w:right w:val="single" w:sz="4" w:space="0" w:color="auto"/>
            </w:tcBorders>
            <w:shd w:val="clear" w:color="auto" w:fill="auto"/>
            <w:noWrap/>
            <w:vAlign w:val="bottom"/>
            <w:hideMark/>
          </w:tcPr>
          <w:p w14:paraId="2D0125F0" w14:textId="54F92FB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2019239C" w14:textId="3C8106A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65A7599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F59FC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1998</w:t>
            </w:r>
          </w:p>
        </w:tc>
        <w:tc>
          <w:tcPr>
            <w:tcW w:w="2977" w:type="dxa"/>
            <w:tcBorders>
              <w:top w:val="nil"/>
              <w:left w:val="nil"/>
              <w:bottom w:val="single" w:sz="4" w:space="0" w:color="auto"/>
              <w:right w:val="single" w:sz="4" w:space="0" w:color="auto"/>
            </w:tcBorders>
            <w:shd w:val="clear" w:color="auto" w:fill="auto"/>
            <w:noWrap/>
            <w:vAlign w:val="bottom"/>
            <w:hideMark/>
          </w:tcPr>
          <w:p w14:paraId="36FECB7D" w14:textId="3122133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26.1</w:t>
            </w:r>
          </w:p>
        </w:tc>
        <w:tc>
          <w:tcPr>
            <w:tcW w:w="3260" w:type="dxa"/>
            <w:tcBorders>
              <w:top w:val="nil"/>
              <w:left w:val="nil"/>
              <w:bottom w:val="single" w:sz="4" w:space="0" w:color="auto"/>
              <w:right w:val="single" w:sz="4" w:space="0" w:color="auto"/>
            </w:tcBorders>
            <w:shd w:val="clear" w:color="auto" w:fill="auto"/>
            <w:noWrap/>
            <w:vAlign w:val="bottom"/>
            <w:hideMark/>
          </w:tcPr>
          <w:p w14:paraId="67D15778" w14:textId="798EA9B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23.8</w:t>
            </w:r>
          </w:p>
        </w:tc>
        <w:tc>
          <w:tcPr>
            <w:tcW w:w="1701" w:type="dxa"/>
            <w:tcBorders>
              <w:top w:val="nil"/>
              <w:left w:val="nil"/>
              <w:bottom w:val="single" w:sz="4" w:space="0" w:color="auto"/>
              <w:right w:val="single" w:sz="4" w:space="0" w:color="auto"/>
            </w:tcBorders>
            <w:shd w:val="clear" w:color="auto" w:fill="auto"/>
            <w:noWrap/>
            <w:vAlign w:val="bottom"/>
            <w:hideMark/>
          </w:tcPr>
          <w:p w14:paraId="6515875C" w14:textId="76A92DF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05F6BC6D" w14:textId="3CEA08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2.1</w:t>
            </w:r>
          </w:p>
        </w:tc>
      </w:tr>
      <w:tr w:rsidR="00664ABF" w:rsidRPr="00EE4C60" w14:paraId="3E05D085"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02403D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1999</w:t>
            </w:r>
          </w:p>
        </w:tc>
        <w:tc>
          <w:tcPr>
            <w:tcW w:w="2977" w:type="dxa"/>
            <w:tcBorders>
              <w:top w:val="nil"/>
              <w:left w:val="nil"/>
              <w:bottom w:val="single" w:sz="4" w:space="0" w:color="auto"/>
              <w:right w:val="single" w:sz="4" w:space="0" w:color="auto"/>
            </w:tcBorders>
            <w:shd w:val="clear" w:color="auto" w:fill="auto"/>
            <w:noWrap/>
            <w:vAlign w:val="bottom"/>
            <w:hideMark/>
          </w:tcPr>
          <w:p w14:paraId="60B3313B" w14:textId="034751D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55748923" w14:textId="7111EE1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23.9</w:t>
            </w:r>
          </w:p>
        </w:tc>
        <w:tc>
          <w:tcPr>
            <w:tcW w:w="1701" w:type="dxa"/>
            <w:tcBorders>
              <w:top w:val="nil"/>
              <w:left w:val="nil"/>
              <w:bottom w:val="single" w:sz="4" w:space="0" w:color="auto"/>
              <w:right w:val="single" w:sz="4" w:space="0" w:color="auto"/>
            </w:tcBorders>
            <w:shd w:val="clear" w:color="auto" w:fill="auto"/>
            <w:noWrap/>
            <w:vAlign w:val="bottom"/>
            <w:hideMark/>
          </w:tcPr>
          <w:p w14:paraId="72BDE259" w14:textId="5355416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3.6</w:t>
            </w:r>
          </w:p>
        </w:tc>
        <w:tc>
          <w:tcPr>
            <w:tcW w:w="1985" w:type="dxa"/>
            <w:tcBorders>
              <w:top w:val="nil"/>
              <w:left w:val="nil"/>
              <w:bottom w:val="single" w:sz="4" w:space="0" w:color="auto"/>
              <w:right w:val="single" w:sz="4" w:space="0" w:color="auto"/>
            </w:tcBorders>
            <w:shd w:val="clear" w:color="auto" w:fill="auto"/>
            <w:noWrap/>
            <w:vAlign w:val="bottom"/>
            <w:hideMark/>
          </w:tcPr>
          <w:p w14:paraId="79A159FA" w14:textId="7950D39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2.3</w:t>
            </w:r>
          </w:p>
        </w:tc>
      </w:tr>
      <w:tr w:rsidR="00664ABF" w:rsidRPr="00EE4C60" w14:paraId="7B9FF5E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01D4C2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2000</w:t>
            </w:r>
          </w:p>
        </w:tc>
        <w:tc>
          <w:tcPr>
            <w:tcW w:w="2977" w:type="dxa"/>
            <w:tcBorders>
              <w:top w:val="nil"/>
              <w:left w:val="nil"/>
              <w:bottom w:val="single" w:sz="4" w:space="0" w:color="auto"/>
              <w:right w:val="single" w:sz="4" w:space="0" w:color="auto"/>
            </w:tcBorders>
            <w:shd w:val="clear" w:color="auto" w:fill="auto"/>
            <w:noWrap/>
            <w:vAlign w:val="bottom"/>
            <w:hideMark/>
          </w:tcPr>
          <w:p w14:paraId="7EFFDCE4" w14:textId="621A5A9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38CA1DC7" w14:textId="57E7676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24.5</w:t>
            </w:r>
          </w:p>
        </w:tc>
        <w:tc>
          <w:tcPr>
            <w:tcW w:w="1701" w:type="dxa"/>
            <w:tcBorders>
              <w:top w:val="nil"/>
              <w:left w:val="nil"/>
              <w:bottom w:val="single" w:sz="4" w:space="0" w:color="auto"/>
              <w:right w:val="single" w:sz="4" w:space="0" w:color="auto"/>
            </w:tcBorders>
            <w:shd w:val="clear" w:color="auto" w:fill="auto"/>
            <w:noWrap/>
            <w:vAlign w:val="bottom"/>
            <w:hideMark/>
          </w:tcPr>
          <w:p w14:paraId="3CE52267" w14:textId="08BC1DF6"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3D658B5B" w14:textId="2CD2644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54EDF7D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2A9829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2001</w:t>
            </w:r>
          </w:p>
        </w:tc>
        <w:tc>
          <w:tcPr>
            <w:tcW w:w="2977" w:type="dxa"/>
            <w:tcBorders>
              <w:top w:val="nil"/>
              <w:left w:val="nil"/>
              <w:bottom w:val="single" w:sz="4" w:space="0" w:color="auto"/>
              <w:right w:val="single" w:sz="4" w:space="0" w:color="auto"/>
            </w:tcBorders>
            <w:shd w:val="clear" w:color="auto" w:fill="auto"/>
            <w:noWrap/>
            <w:vAlign w:val="bottom"/>
            <w:hideMark/>
          </w:tcPr>
          <w:p w14:paraId="7C030B5A" w14:textId="2811943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28.1</w:t>
            </w:r>
          </w:p>
        </w:tc>
        <w:tc>
          <w:tcPr>
            <w:tcW w:w="3260" w:type="dxa"/>
            <w:tcBorders>
              <w:top w:val="nil"/>
              <w:left w:val="nil"/>
              <w:bottom w:val="single" w:sz="4" w:space="0" w:color="auto"/>
              <w:right w:val="single" w:sz="4" w:space="0" w:color="auto"/>
            </w:tcBorders>
            <w:shd w:val="clear" w:color="auto" w:fill="auto"/>
            <w:noWrap/>
            <w:vAlign w:val="bottom"/>
            <w:hideMark/>
          </w:tcPr>
          <w:p w14:paraId="1BD7869D" w14:textId="6375E6A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24.2</w:t>
            </w:r>
          </w:p>
        </w:tc>
        <w:tc>
          <w:tcPr>
            <w:tcW w:w="1701" w:type="dxa"/>
            <w:tcBorders>
              <w:top w:val="nil"/>
              <w:left w:val="nil"/>
              <w:bottom w:val="single" w:sz="4" w:space="0" w:color="auto"/>
              <w:right w:val="single" w:sz="4" w:space="0" w:color="auto"/>
            </w:tcBorders>
            <w:shd w:val="clear" w:color="auto" w:fill="auto"/>
            <w:noWrap/>
            <w:vAlign w:val="bottom"/>
            <w:hideMark/>
          </w:tcPr>
          <w:p w14:paraId="365405E2" w14:textId="33D629A7"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3.7</w:t>
            </w:r>
          </w:p>
        </w:tc>
        <w:tc>
          <w:tcPr>
            <w:tcW w:w="1985" w:type="dxa"/>
            <w:tcBorders>
              <w:top w:val="nil"/>
              <w:left w:val="nil"/>
              <w:bottom w:val="single" w:sz="4" w:space="0" w:color="auto"/>
              <w:right w:val="single" w:sz="4" w:space="0" w:color="auto"/>
            </w:tcBorders>
            <w:shd w:val="clear" w:color="auto" w:fill="auto"/>
            <w:noWrap/>
            <w:vAlign w:val="bottom"/>
            <w:hideMark/>
          </w:tcPr>
          <w:p w14:paraId="50728891" w14:textId="1E5EE85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42591B3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84AEDA5"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2002</w:t>
            </w:r>
          </w:p>
        </w:tc>
        <w:tc>
          <w:tcPr>
            <w:tcW w:w="2977" w:type="dxa"/>
            <w:tcBorders>
              <w:top w:val="nil"/>
              <w:left w:val="nil"/>
              <w:bottom w:val="single" w:sz="4" w:space="0" w:color="auto"/>
              <w:right w:val="single" w:sz="4" w:space="0" w:color="auto"/>
            </w:tcBorders>
            <w:shd w:val="clear" w:color="auto" w:fill="auto"/>
            <w:noWrap/>
            <w:vAlign w:val="bottom"/>
            <w:hideMark/>
          </w:tcPr>
          <w:p w14:paraId="7D8B9F4A" w14:textId="456FF88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29.9</w:t>
            </w:r>
          </w:p>
        </w:tc>
        <w:tc>
          <w:tcPr>
            <w:tcW w:w="3260" w:type="dxa"/>
            <w:tcBorders>
              <w:top w:val="nil"/>
              <w:left w:val="nil"/>
              <w:bottom w:val="single" w:sz="4" w:space="0" w:color="auto"/>
              <w:right w:val="single" w:sz="4" w:space="0" w:color="auto"/>
            </w:tcBorders>
            <w:shd w:val="clear" w:color="auto" w:fill="auto"/>
            <w:noWrap/>
            <w:vAlign w:val="bottom"/>
            <w:hideMark/>
          </w:tcPr>
          <w:p w14:paraId="706ADD9B" w14:textId="3D1E7C8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24.3</w:t>
            </w:r>
          </w:p>
        </w:tc>
        <w:tc>
          <w:tcPr>
            <w:tcW w:w="1701" w:type="dxa"/>
            <w:tcBorders>
              <w:top w:val="nil"/>
              <w:left w:val="nil"/>
              <w:bottom w:val="single" w:sz="4" w:space="0" w:color="auto"/>
              <w:right w:val="single" w:sz="4" w:space="0" w:color="auto"/>
            </w:tcBorders>
            <w:shd w:val="clear" w:color="auto" w:fill="auto"/>
            <w:noWrap/>
            <w:vAlign w:val="bottom"/>
            <w:hideMark/>
          </w:tcPr>
          <w:p w14:paraId="4EC469BC" w14:textId="3A08C9D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3.6</w:t>
            </w:r>
          </w:p>
        </w:tc>
        <w:tc>
          <w:tcPr>
            <w:tcW w:w="1985" w:type="dxa"/>
            <w:tcBorders>
              <w:top w:val="nil"/>
              <w:left w:val="nil"/>
              <w:bottom w:val="single" w:sz="4" w:space="0" w:color="auto"/>
              <w:right w:val="single" w:sz="4" w:space="0" w:color="auto"/>
            </w:tcBorders>
            <w:shd w:val="clear" w:color="auto" w:fill="auto"/>
            <w:noWrap/>
            <w:vAlign w:val="bottom"/>
            <w:hideMark/>
          </w:tcPr>
          <w:p w14:paraId="601936D3" w14:textId="3A05246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6A63A405"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75C94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2003</w:t>
            </w:r>
          </w:p>
        </w:tc>
        <w:tc>
          <w:tcPr>
            <w:tcW w:w="2977" w:type="dxa"/>
            <w:tcBorders>
              <w:top w:val="nil"/>
              <w:left w:val="nil"/>
              <w:bottom w:val="single" w:sz="4" w:space="0" w:color="auto"/>
              <w:right w:val="single" w:sz="4" w:space="0" w:color="auto"/>
            </w:tcBorders>
            <w:shd w:val="clear" w:color="auto" w:fill="auto"/>
            <w:noWrap/>
            <w:vAlign w:val="bottom"/>
            <w:hideMark/>
          </w:tcPr>
          <w:p w14:paraId="14B84AEB" w14:textId="739DC76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28.6</w:t>
            </w:r>
          </w:p>
        </w:tc>
        <w:tc>
          <w:tcPr>
            <w:tcW w:w="3260" w:type="dxa"/>
            <w:tcBorders>
              <w:top w:val="nil"/>
              <w:left w:val="nil"/>
              <w:bottom w:val="single" w:sz="4" w:space="0" w:color="auto"/>
              <w:right w:val="single" w:sz="4" w:space="0" w:color="auto"/>
            </w:tcBorders>
            <w:shd w:val="clear" w:color="auto" w:fill="auto"/>
            <w:noWrap/>
            <w:vAlign w:val="bottom"/>
            <w:hideMark/>
          </w:tcPr>
          <w:p w14:paraId="7D1ED8D5" w14:textId="559BCAB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21.4</w:t>
            </w:r>
          </w:p>
        </w:tc>
        <w:tc>
          <w:tcPr>
            <w:tcW w:w="1701" w:type="dxa"/>
            <w:tcBorders>
              <w:top w:val="nil"/>
              <w:left w:val="nil"/>
              <w:bottom w:val="single" w:sz="4" w:space="0" w:color="auto"/>
              <w:right w:val="single" w:sz="4" w:space="0" w:color="auto"/>
            </w:tcBorders>
            <w:shd w:val="clear" w:color="auto" w:fill="auto"/>
            <w:noWrap/>
            <w:vAlign w:val="bottom"/>
            <w:hideMark/>
          </w:tcPr>
          <w:p w14:paraId="23715DD0" w14:textId="7E3496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4.2</w:t>
            </w:r>
          </w:p>
        </w:tc>
        <w:tc>
          <w:tcPr>
            <w:tcW w:w="1985" w:type="dxa"/>
            <w:tcBorders>
              <w:top w:val="nil"/>
              <w:left w:val="nil"/>
              <w:bottom w:val="single" w:sz="4" w:space="0" w:color="auto"/>
              <w:right w:val="single" w:sz="4" w:space="0" w:color="auto"/>
            </w:tcBorders>
            <w:shd w:val="clear" w:color="auto" w:fill="auto"/>
            <w:noWrap/>
            <w:vAlign w:val="bottom"/>
            <w:hideMark/>
          </w:tcPr>
          <w:p w14:paraId="4F28C6E8" w14:textId="7253785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3EA1C270"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B9849A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2004</w:t>
            </w:r>
          </w:p>
        </w:tc>
        <w:tc>
          <w:tcPr>
            <w:tcW w:w="2977" w:type="dxa"/>
            <w:tcBorders>
              <w:top w:val="nil"/>
              <w:left w:val="nil"/>
              <w:bottom w:val="single" w:sz="4" w:space="0" w:color="auto"/>
              <w:right w:val="single" w:sz="4" w:space="0" w:color="auto"/>
            </w:tcBorders>
            <w:shd w:val="clear" w:color="auto" w:fill="auto"/>
            <w:noWrap/>
            <w:vAlign w:val="bottom"/>
            <w:hideMark/>
          </w:tcPr>
          <w:p w14:paraId="6C4F6755" w14:textId="06F89AE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31.0</w:t>
            </w:r>
          </w:p>
        </w:tc>
        <w:tc>
          <w:tcPr>
            <w:tcW w:w="3260" w:type="dxa"/>
            <w:tcBorders>
              <w:top w:val="nil"/>
              <w:left w:val="nil"/>
              <w:bottom w:val="single" w:sz="4" w:space="0" w:color="auto"/>
              <w:right w:val="single" w:sz="4" w:space="0" w:color="auto"/>
            </w:tcBorders>
            <w:shd w:val="clear" w:color="auto" w:fill="auto"/>
            <w:noWrap/>
            <w:vAlign w:val="bottom"/>
            <w:hideMark/>
          </w:tcPr>
          <w:p w14:paraId="3D3C20E3" w14:textId="54BCA47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24.5</w:t>
            </w:r>
          </w:p>
        </w:tc>
        <w:tc>
          <w:tcPr>
            <w:tcW w:w="1701" w:type="dxa"/>
            <w:tcBorders>
              <w:top w:val="nil"/>
              <w:left w:val="nil"/>
              <w:bottom w:val="single" w:sz="4" w:space="0" w:color="auto"/>
              <w:right w:val="single" w:sz="4" w:space="0" w:color="auto"/>
            </w:tcBorders>
            <w:shd w:val="clear" w:color="auto" w:fill="auto"/>
            <w:noWrap/>
            <w:vAlign w:val="bottom"/>
            <w:hideMark/>
          </w:tcPr>
          <w:p w14:paraId="46C68BCA" w14:textId="427A979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4.6</w:t>
            </w:r>
          </w:p>
        </w:tc>
        <w:tc>
          <w:tcPr>
            <w:tcW w:w="1985" w:type="dxa"/>
            <w:tcBorders>
              <w:top w:val="nil"/>
              <w:left w:val="nil"/>
              <w:bottom w:val="single" w:sz="4" w:space="0" w:color="auto"/>
              <w:right w:val="single" w:sz="4" w:space="0" w:color="auto"/>
            </w:tcBorders>
            <w:shd w:val="clear" w:color="auto" w:fill="auto"/>
            <w:noWrap/>
            <w:vAlign w:val="bottom"/>
            <w:hideMark/>
          </w:tcPr>
          <w:p w14:paraId="49EDB0BB" w14:textId="073C560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67E1971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EAD079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2005</w:t>
            </w:r>
          </w:p>
        </w:tc>
        <w:tc>
          <w:tcPr>
            <w:tcW w:w="2977" w:type="dxa"/>
            <w:tcBorders>
              <w:top w:val="nil"/>
              <w:left w:val="nil"/>
              <w:bottom w:val="single" w:sz="4" w:space="0" w:color="auto"/>
              <w:right w:val="single" w:sz="4" w:space="0" w:color="auto"/>
            </w:tcBorders>
            <w:shd w:val="clear" w:color="auto" w:fill="auto"/>
            <w:noWrap/>
            <w:vAlign w:val="bottom"/>
            <w:hideMark/>
          </w:tcPr>
          <w:p w14:paraId="2F0A3CCC" w14:textId="0A5A945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34.1</w:t>
            </w:r>
          </w:p>
        </w:tc>
        <w:tc>
          <w:tcPr>
            <w:tcW w:w="3260" w:type="dxa"/>
            <w:tcBorders>
              <w:top w:val="nil"/>
              <w:left w:val="nil"/>
              <w:bottom w:val="single" w:sz="4" w:space="0" w:color="auto"/>
              <w:right w:val="single" w:sz="4" w:space="0" w:color="auto"/>
            </w:tcBorders>
            <w:shd w:val="clear" w:color="auto" w:fill="auto"/>
            <w:noWrap/>
            <w:vAlign w:val="bottom"/>
            <w:hideMark/>
          </w:tcPr>
          <w:p w14:paraId="36CB3660" w14:textId="63FF8A0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29.4</w:t>
            </w:r>
          </w:p>
        </w:tc>
        <w:tc>
          <w:tcPr>
            <w:tcW w:w="1701" w:type="dxa"/>
            <w:tcBorders>
              <w:top w:val="nil"/>
              <w:left w:val="nil"/>
              <w:bottom w:val="single" w:sz="4" w:space="0" w:color="auto"/>
              <w:right w:val="single" w:sz="4" w:space="0" w:color="auto"/>
            </w:tcBorders>
            <w:shd w:val="clear" w:color="auto" w:fill="auto"/>
            <w:noWrap/>
            <w:vAlign w:val="bottom"/>
            <w:hideMark/>
          </w:tcPr>
          <w:p w14:paraId="2CF1D9AB" w14:textId="7416D2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3.9</w:t>
            </w:r>
          </w:p>
        </w:tc>
        <w:tc>
          <w:tcPr>
            <w:tcW w:w="1985" w:type="dxa"/>
            <w:tcBorders>
              <w:top w:val="nil"/>
              <w:left w:val="nil"/>
              <w:bottom w:val="single" w:sz="4" w:space="0" w:color="auto"/>
              <w:right w:val="single" w:sz="4" w:space="0" w:color="auto"/>
            </w:tcBorders>
            <w:shd w:val="clear" w:color="auto" w:fill="auto"/>
            <w:noWrap/>
            <w:vAlign w:val="bottom"/>
            <w:hideMark/>
          </w:tcPr>
          <w:p w14:paraId="553831F6" w14:textId="30BE369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1.9</w:t>
            </w:r>
          </w:p>
        </w:tc>
      </w:tr>
      <w:tr w:rsidR="00664ABF" w:rsidRPr="00EE4C60" w14:paraId="203A2859"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46E1656"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lastRenderedPageBreak/>
              <w:t>2006</w:t>
            </w:r>
          </w:p>
        </w:tc>
        <w:tc>
          <w:tcPr>
            <w:tcW w:w="2977" w:type="dxa"/>
            <w:tcBorders>
              <w:top w:val="nil"/>
              <w:left w:val="nil"/>
              <w:bottom w:val="single" w:sz="4" w:space="0" w:color="auto"/>
              <w:right w:val="single" w:sz="4" w:space="0" w:color="auto"/>
            </w:tcBorders>
            <w:shd w:val="clear" w:color="auto" w:fill="auto"/>
            <w:noWrap/>
            <w:vAlign w:val="bottom"/>
            <w:hideMark/>
          </w:tcPr>
          <w:p w14:paraId="1E5BB7F0" w14:textId="4FFA7978"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33.0</w:t>
            </w:r>
          </w:p>
        </w:tc>
        <w:tc>
          <w:tcPr>
            <w:tcW w:w="3260" w:type="dxa"/>
            <w:tcBorders>
              <w:top w:val="nil"/>
              <w:left w:val="nil"/>
              <w:bottom w:val="single" w:sz="4" w:space="0" w:color="auto"/>
              <w:right w:val="single" w:sz="4" w:space="0" w:color="auto"/>
            </w:tcBorders>
            <w:shd w:val="clear" w:color="auto" w:fill="auto"/>
            <w:noWrap/>
            <w:vAlign w:val="bottom"/>
            <w:hideMark/>
          </w:tcPr>
          <w:p w14:paraId="3FAC2BBC" w14:textId="5D6026D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24.9</w:t>
            </w:r>
          </w:p>
        </w:tc>
        <w:tc>
          <w:tcPr>
            <w:tcW w:w="1701" w:type="dxa"/>
            <w:tcBorders>
              <w:top w:val="nil"/>
              <w:left w:val="nil"/>
              <w:bottom w:val="single" w:sz="4" w:space="0" w:color="auto"/>
              <w:right w:val="single" w:sz="4" w:space="0" w:color="auto"/>
            </w:tcBorders>
            <w:shd w:val="clear" w:color="auto" w:fill="auto"/>
            <w:noWrap/>
            <w:vAlign w:val="bottom"/>
            <w:hideMark/>
          </w:tcPr>
          <w:p w14:paraId="4B1691F4" w14:textId="2AA8871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3BEA227F" w14:textId="0C423BF2"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2.2</w:t>
            </w:r>
          </w:p>
        </w:tc>
      </w:tr>
      <w:tr w:rsidR="00664ABF" w:rsidRPr="00EE4C60" w14:paraId="0F2FAB66"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2A995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2007</w:t>
            </w:r>
          </w:p>
        </w:tc>
        <w:tc>
          <w:tcPr>
            <w:tcW w:w="2977" w:type="dxa"/>
            <w:tcBorders>
              <w:top w:val="nil"/>
              <w:left w:val="nil"/>
              <w:bottom w:val="single" w:sz="4" w:space="0" w:color="auto"/>
              <w:right w:val="single" w:sz="4" w:space="0" w:color="auto"/>
            </w:tcBorders>
            <w:shd w:val="clear" w:color="auto" w:fill="auto"/>
            <w:noWrap/>
            <w:vAlign w:val="bottom"/>
            <w:hideMark/>
          </w:tcPr>
          <w:p w14:paraId="674AD6CF" w14:textId="5712C79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30.9</w:t>
            </w:r>
          </w:p>
        </w:tc>
        <w:tc>
          <w:tcPr>
            <w:tcW w:w="3260" w:type="dxa"/>
            <w:tcBorders>
              <w:top w:val="nil"/>
              <w:left w:val="nil"/>
              <w:bottom w:val="single" w:sz="4" w:space="0" w:color="auto"/>
              <w:right w:val="single" w:sz="4" w:space="0" w:color="auto"/>
            </w:tcBorders>
            <w:shd w:val="clear" w:color="auto" w:fill="auto"/>
            <w:noWrap/>
            <w:vAlign w:val="bottom"/>
            <w:hideMark/>
          </w:tcPr>
          <w:p w14:paraId="3D1FA26F" w14:textId="4CBE9AD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25.1</w:t>
            </w:r>
          </w:p>
        </w:tc>
        <w:tc>
          <w:tcPr>
            <w:tcW w:w="1701" w:type="dxa"/>
            <w:tcBorders>
              <w:top w:val="nil"/>
              <w:left w:val="nil"/>
              <w:bottom w:val="single" w:sz="4" w:space="0" w:color="auto"/>
              <w:right w:val="single" w:sz="4" w:space="0" w:color="auto"/>
            </w:tcBorders>
            <w:shd w:val="clear" w:color="auto" w:fill="auto"/>
            <w:noWrap/>
            <w:vAlign w:val="bottom"/>
            <w:hideMark/>
          </w:tcPr>
          <w:p w14:paraId="01A750FF" w14:textId="1E53D8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0ADB03DB" w14:textId="64025FA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42FFC7DF"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CF27EF"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2008</w:t>
            </w:r>
          </w:p>
        </w:tc>
        <w:tc>
          <w:tcPr>
            <w:tcW w:w="2977" w:type="dxa"/>
            <w:tcBorders>
              <w:top w:val="nil"/>
              <w:left w:val="nil"/>
              <w:bottom w:val="single" w:sz="4" w:space="0" w:color="auto"/>
              <w:right w:val="single" w:sz="4" w:space="0" w:color="auto"/>
            </w:tcBorders>
            <w:shd w:val="clear" w:color="auto" w:fill="auto"/>
            <w:noWrap/>
            <w:vAlign w:val="bottom"/>
            <w:hideMark/>
          </w:tcPr>
          <w:p w14:paraId="503BBCAD" w14:textId="067F9AE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31.6</w:t>
            </w:r>
          </w:p>
        </w:tc>
        <w:tc>
          <w:tcPr>
            <w:tcW w:w="3260" w:type="dxa"/>
            <w:tcBorders>
              <w:top w:val="nil"/>
              <w:left w:val="nil"/>
              <w:bottom w:val="single" w:sz="4" w:space="0" w:color="auto"/>
              <w:right w:val="single" w:sz="4" w:space="0" w:color="auto"/>
            </w:tcBorders>
            <w:shd w:val="clear" w:color="auto" w:fill="auto"/>
            <w:noWrap/>
            <w:vAlign w:val="bottom"/>
            <w:hideMark/>
          </w:tcPr>
          <w:p w14:paraId="1EC20790" w14:textId="4747CFD3"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24.8</w:t>
            </w:r>
          </w:p>
        </w:tc>
        <w:tc>
          <w:tcPr>
            <w:tcW w:w="1701" w:type="dxa"/>
            <w:tcBorders>
              <w:top w:val="nil"/>
              <w:left w:val="nil"/>
              <w:bottom w:val="single" w:sz="4" w:space="0" w:color="auto"/>
              <w:right w:val="single" w:sz="4" w:space="0" w:color="auto"/>
            </w:tcBorders>
            <w:shd w:val="clear" w:color="auto" w:fill="auto"/>
            <w:noWrap/>
            <w:vAlign w:val="bottom"/>
            <w:hideMark/>
          </w:tcPr>
          <w:p w14:paraId="14A8DEDB" w14:textId="11B78AD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4.3</w:t>
            </w:r>
          </w:p>
        </w:tc>
        <w:tc>
          <w:tcPr>
            <w:tcW w:w="1985" w:type="dxa"/>
            <w:tcBorders>
              <w:top w:val="nil"/>
              <w:left w:val="nil"/>
              <w:bottom w:val="single" w:sz="4" w:space="0" w:color="auto"/>
              <w:right w:val="single" w:sz="4" w:space="0" w:color="auto"/>
            </w:tcBorders>
            <w:shd w:val="clear" w:color="auto" w:fill="auto"/>
            <w:noWrap/>
            <w:vAlign w:val="bottom"/>
            <w:hideMark/>
          </w:tcPr>
          <w:p w14:paraId="2D7A2C3C" w14:textId="4A1C27A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6EB84AE9"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9A39A30"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2009</w:t>
            </w:r>
          </w:p>
        </w:tc>
        <w:tc>
          <w:tcPr>
            <w:tcW w:w="2977" w:type="dxa"/>
            <w:tcBorders>
              <w:top w:val="nil"/>
              <w:left w:val="nil"/>
              <w:bottom w:val="single" w:sz="4" w:space="0" w:color="auto"/>
              <w:right w:val="single" w:sz="4" w:space="0" w:color="auto"/>
            </w:tcBorders>
            <w:shd w:val="clear" w:color="auto" w:fill="auto"/>
            <w:noWrap/>
            <w:vAlign w:val="bottom"/>
            <w:hideMark/>
          </w:tcPr>
          <w:p w14:paraId="445F1E05" w14:textId="6866B92E"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32.7</w:t>
            </w:r>
          </w:p>
        </w:tc>
        <w:tc>
          <w:tcPr>
            <w:tcW w:w="3260" w:type="dxa"/>
            <w:tcBorders>
              <w:top w:val="nil"/>
              <w:left w:val="nil"/>
              <w:bottom w:val="single" w:sz="4" w:space="0" w:color="auto"/>
              <w:right w:val="single" w:sz="4" w:space="0" w:color="auto"/>
            </w:tcBorders>
            <w:shd w:val="clear" w:color="auto" w:fill="auto"/>
            <w:noWrap/>
            <w:vAlign w:val="bottom"/>
            <w:hideMark/>
          </w:tcPr>
          <w:p w14:paraId="100F85F4" w14:textId="28FCACB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25.3</w:t>
            </w:r>
          </w:p>
        </w:tc>
        <w:tc>
          <w:tcPr>
            <w:tcW w:w="1701" w:type="dxa"/>
            <w:tcBorders>
              <w:top w:val="nil"/>
              <w:left w:val="nil"/>
              <w:bottom w:val="single" w:sz="4" w:space="0" w:color="auto"/>
              <w:right w:val="single" w:sz="4" w:space="0" w:color="auto"/>
            </w:tcBorders>
            <w:shd w:val="clear" w:color="auto" w:fill="auto"/>
            <w:noWrap/>
            <w:vAlign w:val="bottom"/>
            <w:hideMark/>
          </w:tcPr>
          <w:p w14:paraId="3E9296D7" w14:textId="495657C3"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4.9</w:t>
            </w:r>
          </w:p>
        </w:tc>
        <w:tc>
          <w:tcPr>
            <w:tcW w:w="1985" w:type="dxa"/>
            <w:tcBorders>
              <w:top w:val="nil"/>
              <w:left w:val="nil"/>
              <w:bottom w:val="single" w:sz="4" w:space="0" w:color="auto"/>
              <w:right w:val="single" w:sz="4" w:space="0" w:color="auto"/>
            </w:tcBorders>
            <w:shd w:val="clear" w:color="auto" w:fill="auto"/>
            <w:noWrap/>
            <w:vAlign w:val="bottom"/>
            <w:hideMark/>
          </w:tcPr>
          <w:p w14:paraId="18B18E99" w14:textId="35298B3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26735903"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1EC9DA"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2010</w:t>
            </w:r>
          </w:p>
        </w:tc>
        <w:tc>
          <w:tcPr>
            <w:tcW w:w="2977" w:type="dxa"/>
            <w:tcBorders>
              <w:top w:val="nil"/>
              <w:left w:val="nil"/>
              <w:bottom w:val="single" w:sz="4" w:space="0" w:color="auto"/>
              <w:right w:val="single" w:sz="4" w:space="0" w:color="auto"/>
            </w:tcBorders>
            <w:shd w:val="clear" w:color="auto" w:fill="auto"/>
            <w:noWrap/>
            <w:vAlign w:val="bottom"/>
            <w:hideMark/>
          </w:tcPr>
          <w:p w14:paraId="4B3277C0" w14:textId="47DB001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31.5</w:t>
            </w:r>
          </w:p>
        </w:tc>
        <w:tc>
          <w:tcPr>
            <w:tcW w:w="3260" w:type="dxa"/>
            <w:tcBorders>
              <w:top w:val="nil"/>
              <w:left w:val="nil"/>
              <w:bottom w:val="single" w:sz="4" w:space="0" w:color="auto"/>
              <w:right w:val="single" w:sz="4" w:space="0" w:color="auto"/>
            </w:tcBorders>
            <w:shd w:val="clear" w:color="auto" w:fill="auto"/>
            <w:noWrap/>
            <w:vAlign w:val="bottom"/>
            <w:hideMark/>
          </w:tcPr>
          <w:p w14:paraId="6A28EC7F" w14:textId="462CDEA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22.8</w:t>
            </w:r>
          </w:p>
        </w:tc>
        <w:tc>
          <w:tcPr>
            <w:tcW w:w="1701" w:type="dxa"/>
            <w:tcBorders>
              <w:top w:val="nil"/>
              <w:left w:val="nil"/>
              <w:bottom w:val="single" w:sz="4" w:space="0" w:color="auto"/>
              <w:right w:val="single" w:sz="4" w:space="0" w:color="auto"/>
            </w:tcBorders>
            <w:shd w:val="clear" w:color="auto" w:fill="auto"/>
            <w:noWrap/>
            <w:vAlign w:val="bottom"/>
            <w:hideMark/>
          </w:tcPr>
          <w:p w14:paraId="3F05A59E" w14:textId="10719EC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4.5</w:t>
            </w:r>
          </w:p>
        </w:tc>
        <w:tc>
          <w:tcPr>
            <w:tcW w:w="1985" w:type="dxa"/>
            <w:tcBorders>
              <w:top w:val="nil"/>
              <w:left w:val="nil"/>
              <w:bottom w:val="single" w:sz="4" w:space="0" w:color="auto"/>
              <w:right w:val="single" w:sz="4" w:space="0" w:color="auto"/>
            </w:tcBorders>
            <w:shd w:val="clear" w:color="auto" w:fill="auto"/>
            <w:noWrap/>
            <w:vAlign w:val="bottom"/>
            <w:hideMark/>
          </w:tcPr>
          <w:p w14:paraId="56AF844D" w14:textId="15CF294F"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1.7</w:t>
            </w:r>
          </w:p>
        </w:tc>
      </w:tr>
      <w:tr w:rsidR="00664ABF" w:rsidRPr="00EE4C60" w14:paraId="34CB9E0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22A962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2011</w:t>
            </w:r>
          </w:p>
        </w:tc>
        <w:tc>
          <w:tcPr>
            <w:tcW w:w="2977" w:type="dxa"/>
            <w:tcBorders>
              <w:top w:val="nil"/>
              <w:left w:val="nil"/>
              <w:bottom w:val="single" w:sz="4" w:space="0" w:color="auto"/>
              <w:right w:val="single" w:sz="4" w:space="0" w:color="auto"/>
            </w:tcBorders>
            <w:shd w:val="clear" w:color="auto" w:fill="auto"/>
            <w:noWrap/>
            <w:vAlign w:val="bottom"/>
            <w:hideMark/>
          </w:tcPr>
          <w:p w14:paraId="26CFAD70" w14:textId="379E444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27.9</w:t>
            </w:r>
          </w:p>
        </w:tc>
        <w:tc>
          <w:tcPr>
            <w:tcW w:w="3260" w:type="dxa"/>
            <w:tcBorders>
              <w:top w:val="nil"/>
              <w:left w:val="nil"/>
              <w:bottom w:val="single" w:sz="4" w:space="0" w:color="auto"/>
              <w:right w:val="single" w:sz="4" w:space="0" w:color="auto"/>
            </w:tcBorders>
            <w:shd w:val="clear" w:color="auto" w:fill="auto"/>
            <w:noWrap/>
            <w:vAlign w:val="bottom"/>
            <w:hideMark/>
          </w:tcPr>
          <w:p w14:paraId="083D75E9" w14:textId="4267C2A1"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20.4</w:t>
            </w:r>
          </w:p>
        </w:tc>
        <w:tc>
          <w:tcPr>
            <w:tcW w:w="1701" w:type="dxa"/>
            <w:tcBorders>
              <w:top w:val="nil"/>
              <w:left w:val="nil"/>
              <w:bottom w:val="single" w:sz="4" w:space="0" w:color="auto"/>
              <w:right w:val="single" w:sz="4" w:space="0" w:color="auto"/>
            </w:tcBorders>
            <w:shd w:val="clear" w:color="auto" w:fill="auto"/>
            <w:noWrap/>
            <w:vAlign w:val="bottom"/>
            <w:hideMark/>
          </w:tcPr>
          <w:p w14:paraId="38E1256A" w14:textId="0EFF071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4.7</w:t>
            </w:r>
          </w:p>
        </w:tc>
        <w:tc>
          <w:tcPr>
            <w:tcW w:w="1985" w:type="dxa"/>
            <w:tcBorders>
              <w:top w:val="nil"/>
              <w:left w:val="nil"/>
              <w:bottom w:val="single" w:sz="4" w:space="0" w:color="auto"/>
              <w:right w:val="single" w:sz="4" w:space="0" w:color="auto"/>
            </w:tcBorders>
            <w:shd w:val="clear" w:color="auto" w:fill="auto"/>
            <w:noWrap/>
            <w:vAlign w:val="bottom"/>
            <w:hideMark/>
          </w:tcPr>
          <w:p w14:paraId="30652F12" w14:textId="47706B2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7594E25E"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27A603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2012</w:t>
            </w:r>
          </w:p>
        </w:tc>
        <w:tc>
          <w:tcPr>
            <w:tcW w:w="2977" w:type="dxa"/>
            <w:tcBorders>
              <w:top w:val="nil"/>
              <w:left w:val="nil"/>
              <w:bottom w:val="single" w:sz="4" w:space="0" w:color="auto"/>
              <w:right w:val="single" w:sz="4" w:space="0" w:color="auto"/>
            </w:tcBorders>
            <w:shd w:val="clear" w:color="auto" w:fill="auto"/>
            <w:noWrap/>
            <w:vAlign w:val="bottom"/>
            <w:hideMark/>
          </w:tcPr>
          <w:p w14:paraId="2BCADB01" w14:textId="4DAEF35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29.4</w:t>
            </w:r>
          </w:p>
        </w:tc>
        <w:tc>
          <w:tcPr>
            <w:tcW w:w="3260" w:type="dxa"/>
            <w:tcBorders>
              <w:top w:val="nil"/>
              <w:left w:val="nil"/>
              <w:bottom w:val="single" w:sz="4" w:space="0" w:color="auto"/>
              <w:right w:val="single" w:sz="4" w:space="0" w:color="auto"/>
            </w:tcBorders>
            <w:shd w:val="clear" w:color="auto" w:fill="auto"/>
            <w:noWrap/>
            <w:vAlign w:val="bottom"/>
            <w:hideMark/>
          </w:tcPr>
          <w:p w14:paraId="20407CD9" w14:textId="21A2794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22.2</w:t>
            </w:r>
          </w:p>
        </w:tc>
        <w:tc>
          <w:tcPr>
            <w:tcW w:w="1701" w:type="dxa"/>
            <w:tcBorders>
              <w:top w:val="nil"/>
              <w:left w:val="nil"/>
              <w:bottom w:val="single" w:sz="4" w:space="0" w:color="auto"/>
              <w:right w:val="single" w:sz="4" w:space="0" w:color="auto"/>
            </w:tcBorders>
            <w:shd w:val="clear" w:color="auto" w:fill="auto"/>
            <w:noWrap/>
            <w:vAlign w:val="bottom"/>
            <w:hideMark/>
          </w:tcPr>
          <w:p w14:paraId="65026640" w14:textId="68BE9F7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4.0</w:t>
            </w:r>
          </w:p>
        </w:tc>
        <w:tc>
          <w:tcPr>
            <w:tcW w:w="1985" w:type="dxa"/>
            <w:tcBorders>
              <w:top w:val="nil"/>
              <w:left w:val="nil"/>
              <w:bottom w:val="single" w:sz="4" w:space="0" w:color="auto"/>
              <w:right w:val="single" w:sz="4" w:space="0" w:color="auto"/>
            </w:tcBorders>
            <w:shd w:val="clear" w:color="auto" w:fill="auto"/>
            <w:noWrap/>
            <w:vAlign w:val="bottom"/>
            <w:hideMark/>
          </w:tcPr>
          <w:p w14:paraId="281981CA" w14:textId="3ECAAA01"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54E12C18"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BBD34FE"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2013</w:t>
            </w:r>
          </w:p>
        </w:tc>
        <w:tc>
          <w:tcPr>
            <w:tcW w:w="2977" w:type="dxa"/>
            <w:tcBorders>
              <w:top w:val="nil"/>
              <w:left w:val="nil"/>
              <w:bottom w:val="single" w:sz="4" w:space="0" w:color="auto"/>
              <w:right w:val="single" w:sz="4" w:space="0" w:color="auto"/>
            </w:tcBorders>
            <w:shd w:val="clear" w:color="auto" w:fill="auto"/>
            <w:noWrap/>
            <w:vAlign w:val="bottom"/>
            <w:hideMark/>
          </w:tcPr>
          <w:p w14:paraId="54A6F66C" w14:textId="4BB9773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29.1</w:t>
            </w:r>
          </w:p>
        </w:tc>
        <w:tc>
          <w:tcPr>
            <w:tcW w:w="3260" w:type="dxa"/>
            <w:tcBorders>
              <w:top w:val="nil"/>
              <w:left w:val="nil"/>
              <w:bottom w:val="single" w:sz="4" w:space="0" w:color="auto"/>
              <w:right w:val="single" w:sz="4" w:space="0" w:color="auto"/>
            </w:tcBorders>
            <w:shd w:val="clear" w:color="auto" w:fill="auto"/>
            <w:noWrap/>
            <w:vAlign w:val="bottom"/>
            <w:hideMark/>
          </w:tcPr>
          <w:p w14:paraId="24487AB5" w14:textId="711343A6"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21.0</w:t>
            </w:r>
          </w:p>
        </w:tc>
        <w:tc>
          <w:tcPr>
            <w:tcW w:w="1701" w:type="dxa"/>
            <w:tcBorders>
              <w:top w:val="nil"/>
              <w:left w:val="nil"/>
              <w:bottom w:val="single" w:sz="4" w:space="0" w:color="auto"/>
              <w:right w:val="single" w:sz="4" w:space="0" w:color="auto"/>
            </w:tcBorders>
            <w:shd w:val="clear" w:color="auto" w:fill="auto"/>
            <w:noWrap/>
            <w:vAlign w:val="bottom"/>
            <w:hideMark/>
          </w:tcPr>
          <w:p w14:paraId="0B9833B2" w14:textId="73F984D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5.0</w:t>
            </w:r>
          </w:p>
        </w:tc>
        <w:tc>
          <w:tcPr>
            <w:tcW w:w="1985" w:type="dxa"/>
            <w:tcBorders>
              <w:top w:val="nil"/>
              <w:left w:val="nil"/>
              <w:bottom w:val="single" w:sz="4" w:space="0" w:color="auto"/>
              <w:right w:val="single" w:sz="4" w:space="0" w:color="auto"/>
            </w:tcBorders>
            <w:shd w:val="clear" w:color="auto" w:fill="auto"/>
            <w:noWrap/>
            <w:vAlign w:val="bottom"/>
            <w:hideMark/>
          </w:tcPr>
          <w:p w14:paraId="6903E125" w14:textId="7FE8BA1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2.0</w:t>
            </w:r>
          </w:p>
        </w:tc>
      </w:tr>
      <w:tr w:rsidR="00664ABF" w:rsidRPr="00EE4C60" w14:paraId="0CB03584"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6584E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2014</w:t>
            </w:r>
          </w:p>
        </w:tc>
        <w:tc>
          <w:tcPr>
            <w:tcW w:w="2977" w:type="dxa"/>
            <w:tcBorders>
              <w:top w:val="nil"/>
              <w:left w:val="nil"/>
              <w:bottom w:val="single" w:sz="4" w:space="0" w:color="auto"/>
              <w:right w:val="single" w:sz="4" w:space="0" w:color="auto"/>
            </w:tcBorders>
            <w:shd w:val="clear" w:color="auto" w:fill="auto"/>
            <w:noWrap/>
            <w:vAlign w:val="bottom"/>
            <w:hideMark/>
          </w:tcPr>
          <w:p w14:paraId="1AA7CF16" w14:textId="251F5E6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29.7</w:t>
            </w:r>
          </w:p>
        </w:tc>
        <w:tc>
          <w:tcPr>
            <w:tcW w:w="3260" w:type="dxa"/>
            <w:tcBorders>
              <w:top w:val="nil"/>
              <w:left w:val="nil"/>
              <w:bottom w:val="single" w:sz="4" w:space="0" w:color="auto"/>
              <w:right w:val="single" w:sz="4" w:space="0" w:color="auto"/>
            </w:tcBorders>
            <w:shd w:val="clear" w:color="auto" w:fill="auto"/>
            <w:noWrap/>
            <w:vAlign w:val="bottom"/>
            <w:hideMark/>
          </w:tcPr>
          <w:p w14:paraId="32C03192" w14:textId="0B17339D"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22.2</w:t>
            </w:r>
          </w:p>
        </w:tc>
        <w:tc>
          <w:tcPr>
            <w:tcW w:w="1701" w:type="dxa"/>
            <w:tcBorders>
              <w:top w:val="nil"/>
              <w:left w:val="nil"/>
              <w:bottom w:val="single" w:sz="4" w:space="0" w:color="auto"/>
              <w:right w:val="single" w:sz="4" w:space="0" w:color="auto"/>
            </w:tcBorders>
            <w:shd w:val="clear" w:color="auto" w:fill="auto"/>
            <w:noWrap/>
            <w:vAlign w:val="bottom"/>
            <w:hideMark/>
          </w:tcPr>
          <w:p w14:paraId="123A78D2" w14:textId="4669B3F9"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3.5</w:t>
            </w:r>
          </w:p>
        </w:tc>
        <w:tc>
          <w:tcPr>
            <w:tcW w:w="1985" w:type="dxa"/>
            <w:tcBorders>
              <w:top w:val="nil"/>
              <w:left w:val="nil"/>
              <w:bottom w:val="single" w:sz="4" w:space="0" w:color="auto"/>
              <w:right w:val="single" w:sz="4" w:space="0" w:color="auto"/>
            </w:tcBorders>
            <w:shd w:val="clear" w:color="auto" w:fill="auto"/>
            <w:noWrap/>
            <w:vAlign w:val="bottom"/>
            <w:hideMark/>
          </w:tcPr>
          <w:p w14:paraId="6839CE67" w14:textId="1E38A48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1.4</w:t>
            </w:r>
          </w:p>
        </w:tc>
      </w:tr>
      <w:tr w:rsidR="00664ABF" w:rsidRPr="00EE4C60" w14:paraId="22C8A39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F01B23D"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2015</w:t>
            </w:r>
          </w:p>
        </w:tc>
        <w:tc>
          <w:tcPr>
            <w:tcW w:w="2977" w:type="dxa"/>
            <w:tcBorders>
              <w:top w:val="nil"/>
              <w:left w:val="nil"/>
              <w:bottom w:val="single" w:sz="4" w:space="0" w:color="auto"/>
              <w:right w:val="single" w:sz="4" w:space="0" w:color="auto"/>
            </w:tcBorders>
            <w:shd w:val="clear" w:color="auto" w:fill="auto"/>
            <w:noWrap/>
            <w:vAlign w:val="bottom"/>
            <w:hideMark/>
          </w:tcPr>
          <w:p w14:paraId="5F1FAB38" w14:textId="3F769FEA"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31.7</w:t>
            </w:r>
          </w:p>
        </w:tc>
        <w:tc>
          <w:tcPr>
            <w:tcW w:w="3260" w:type="dxa"/>
            <w:tcBorders>
              <w:top w:val="nil"/>
              <w:left w:val="nil"/>
              <w:bottom w:val="single" w:sz="4" w:space="0" w:color="auto"/>
              <w:right w:val="single" w:sz="4" w:space="0" w:color="auto"/>
            </w:tcBorders>
            <w:shd w:val="clear" w:color="auto" w:fill="auto"/>
            <w:noWrap/>
            <w:vAlign w:val="bottom"/>
            <w:hideMark/>
          </w:tcPr>
          <w:p w14:paraId="5CF8741C" w14:textId="1423CEB4"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23.8</w:t>
            </w:r>
          </w:p>
        </w:tc>
        <w:tc>
          <w:tcPr>
            <w:tcW w:w="1701" w:type="dxa"/>
            <w:tcBorders>
              <w:top w:val="nil"/>
              <w:left w:val="nil"/>
              <w:bottom w:val="single" w:sz="4" w:space="0" w:color="auto"/>
              <w:right w:val="single" w:sz="4" w:space="0" w:color="auto"/>
            </w:tcBorders>
            <w:shd w:val="clear" w:color="auto" w:fill="auto"/>
            <w:noWrap/>
            <w:vAlign w:val="bottom"/>
            <w:hideMark/>
          </w:tcPr>
          <w:p w14:paraId="428B3E2C" w14:textId="602A342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3.8</w:t>
            </w:r>
          </w:p>
        </w:tc>
        <w:tc>
          <w:tcPr>
            <w:tcW w:w="1985" w:type="dxa"/>
            <w:tcBorders>
              <w:top w:val="nil"/>
              <w:left w:val="nil"/>
              <w:bottom w:val="single" w:sz="4" w:space="0" w:color="auto"/>
              <w:right w:val="single" w:sz="4" w:space="0" w:color="auto"/>
            </w:tcBorders>
            <w:shd w:val="clear" w:color="auto" w:fill="auto"/>
            <w:noWrap/>
            <w:vAlign w:val="bottom"/>
            <w:hideMark/>
          </w:tcPr>
          <w:p w14:paraId="72DCFC51" w14:textId="7E0CBFA8"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1.8</w:t>
            </w:r>
          </w:p>
        </w:tc>
      </w:tr>
      <w:tr w:rsidR="00664ABF" w:rsidRPr="00EE4C60" w14:paraId="5383ABFD"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637BA23"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2016</w:t>
            </w:r>
          </w:p>
        </w:tc>
        <w:tc>
          <w:tcPr>
            <w:tcW w:w="2977" w:type="dxa"/>
            <w:tcBorders>
              <w:top w:val="nil"/>
              <w:left w:val="nil"/>
              <w:bottom w:val="single" w:sz="4" w:space="0" w:color="auto"/>
              <w:right w:val="single" w:sz="4" w:space="0" w:color="auto"/>
            </w:tcBorders>
            <w:shd w:val="clear" w:color="auto" w:fill="auto"/>
            <w:noWrap/>
            <w:vAlign w:val="bottom"/>
            <w:hideMark/>
          </w:tcPr>
          <w:p w14:paraId="22EC76A1" w14:textId="44E1BACF"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31.9</w:t>
            </w:r>
          </w:p>
        </w:tc>
        <w:tc>
          <w:tcPr>
            <w:tcW w:w="3260" w:type="dxa"/>
            <w:tcBorders>
              <w:top w:val="nil"/>
              <w:left w:val="nil"/>
              <w:bottom w:val="single" w:sz="4" w:space="0" w:color="auto"/>
              <w:right w:val="single" w:sz="4" w:space="0" w:color="auto"/>
            </w:tcBorders>
            <w:shd w:val="clear" w:color="auto" w:fill="auto"/>
            <w:noWrap/>
            <w:vAlign w:val="bottom"/>
            <w:hideMark/>
          </w:tcPr>
          <w:p w14:paraId="648FD4E1" w14:textId="3CBD7980"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25.2</w:t>
            </w:r>
          </w:p>
        </w:tc>
        <w:tc>
          <w:tcPr>
            <w:tcW w:w="1701" w:type="dxa"/>
            <w:tcBorders>
              <w:top w:val="nil"/>
              <w:left w:val="nil"/>
              <w:bottom w:val="single" w:sz="4" w:space="0" w:color="auto"/>
              <w:right w:val="single" w:sz="4" w:space="0" w:color="auto"/>
            </w:tcBorders>
            <w:shd w:val="clear" w:color="auto" w:fill="auto"/>
            <w:noWrap/>
            <w:vAlign w:val="bottom"/>
            <w:hideMark/>
          </w:tcPr>
          <w:p w14:paraId="7CE6A622" w14:textId="4E1F3D5E"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3.0</w:t>
            </w:r>
          </w:p>
        </w:tc>
        <w:tc>
          <w:tcPr>
            <w:tcW w:w="1985" w:type="dxa"/>
            <w:tcBorders>
              <w:top w:val="nil"/>
              <w:left w:val="nil"/>
              <w:bottom w:val="single" w:sz="4" w:space="0" w:color="auto"/>
              <w:right w:val="single" w:sz="4" w:space="0" w:color="auto"/>
            </w:tcBorders>
            <w:shd w:val="clear" w:color="auto" w:fill="auto"/>
            <w:noWrap/>
            <w:vAlign w:val="bottom"/>
            <w:hideMark/>
          </w:tcPr>
          <w:p w14:paraId="378063DB" w14:textId="4A21907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1.4</w:t>
            </w:r>
          </w:p>
        </w:tc>
      </w:tr>
      <w:tr w:rsidR="00664ABF" w:rsidRPr="00EE4C60" w14:paraId="7C4B282D"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D69E42B"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2017</w:t>
            </w:r>
          </w:p>
        </w:tc>
        <w:tc>
          <w:tcPr>
            <w:tcW w:w="2977" w:type="dxa"/>
            <w:tcBorders>
              <w:top w:val="nil"/>
              <w:left w:val="nil"/>
              <w:bottom w:val="single" w:sz="4" w:space="0" w:color="auto"/>
              <w:right w:val="single" w:sz="4" w:space="0" w:color="auto"/>
            </w:tcBorders>
            <w:shd w:val="clear" w:color="auto" w:fill="auto"/>
            <w:noWrap/>
            <w:vAlign w:val="bottom"/>
            <w:hideMark/>
          </w:tcPr>
          <w:p w14:paraId="62634EF6" w14:textId="22C87922"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32.6</w:t>
            </w:r>
          </w:p>
        </w:tc>
        <w:tc>
          <w:tcPr>
            <w:tcW w:w="3260" w:type="dxa"/>
            <w:tcBorders>
              <w:top w:val="nil"/>
              <w:left w:val="nil"/>
              <w:bottom w:val="single" w:sz="4" w:space="0" w:color="auto"/>
              <w:right w:val="single" w:sz="4" w:space="0" w:color="auto"/>
            </w:tcBorders>
            <w:shd w:val="clear" w:color="auto" w:fill="auto"/>
            <w:noWrap/>
            <w:vAlign w:val="bottom"/>
            <w:hideMark/>
          </w:tcPr>
          <w:p w14:paraId="16D931A0" w14:textId="4BEB007C"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25.4</w:t>
            </w:r>
          </w:p>
        </w:tc>
        <w:tc>
          <w:tcPr>
            <w:tcW w:w="1701" w:type="dxa"/>
            <w:tcBorders>
              <w:top w:val="nil"/>
              <w:left w:val="nil"/>
              <w:bottom w:val="single" w:sz="4" w:space="0" w:color="auto"/>
              <w:right w:val="single" w:sz="4" w:space="0" w:color="auto"/>
            </w:tcBorders>
            <w:shd w:val="clear" w:color="auto" w:fill="auto"/>
            <w:noWrap/>
            <w:vAlign w:val="bottom"/>
            <w:hideMark/>
          </w:tcPr>
          <w:p w14:paraId="25517D13" w14:textId="69CBC26B"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2.6</w:t>
            </w:r>
          </w:p>
        </w:tc>
        <w:tc>
          <w:tcPr>
            <w:tcW w:w="1985" w:type="dxa"/>
            <w:tcBorders>
              <w:top w:val="nil"/>
              <w:left w:val="nil"/>
              <w:bottom w:val="single" w:sz="4" w:space="0" w:color="auto"/>
              <w:right w:val="single" w:sz="4" w:space="0" w:color="auto"/>
            </w:tcBorders>
            <w:shd w:val="clear" w:color="auto" w:fill="auto"/>
            <w:noWrap/>
            <w:vAlign w:val="bottom"/>
            <w:hideMark/>
          </w:tcPr>
          <w:p w14:paraId="42381359" w14:textId="04AFBF3C"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1.6</w:t>
            </w:r>
          </w:p>
        </w:tc>
      </w:tr>
      <w:tr w:rsidR="00664ABF" w:rsidRPr="00EE4C60" w14:paraId="15DF45FA"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A51474C"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2018</w:t>
            </w:r>
          </w:p>
        </w:tc>
        <w:tc>
          <w:tcPr>
            <w:tcW w:w="2977" w:type="dxa"/>
            <w:tcBorders>
              <w:top w:val="nil"/>
              <w:left w:val="nil"/>
              <w:bottom w:val="single" w:sz="4" w:space="0" w:color="auto"/>
              <w:right w:val="single" w:sz="4" w:space="0" w:color="auto"/>
            </w:tcBorders>
            <w:shd w:val="clear" w:color="auto" w:fill="auto"/>
            <w:noWrap/>
            <w:vAlign w:val="bottom"/>
            <w:hideMark/>
          </w:tcPr>
          <w:p w14:paraId="4B291FAD" w14:textId="7FDBD055"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33.5</w:t>
            </w:r>
          </w:p>
        </w:tc>
        <w:tc>
          <w:tcPr>
            <w:tcW w:w="3260" w:type="dxa"/>
            <w:tcBorders>
              <w:top w:val="nil"/>
              <w:left w:val="nil"/>
              <w:bottom w:val="single" w:sz="4" w:space="0" w:color="auto"/>
              <w:right w:val="single" w:sz="4" w:space="0" w:color="auto"/>
            </w:tcBorders>
            <w:shd w:val="clear" w:color="auto" w:fill="auto"/>
            <w:noWrap/>
            <w:vAlign w:val="bottom"/>
            <w:hideMark/>
          </w:tcPr>
          <w:p w14:paraId="03B10D5D" w14:textId="117E7ED9"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25.0</w:t>
            </w:r>
          </w:p>
        </w:tc>
        <w:tc>
          <w:tcPr>
            <w:tcW w:w="1701" w:type="dxa"/>
            <w:tcBorders>
              <w:top w:val="nil"/>
              <w:left w:val="nil"/>
              <w:bottom w:val="single" w:sz="4" w:space="0" w:color="auto"/>
              <w:right w:val="single" w:sz="4" w:space="0" w:color="auto"/>
            </w:tcBorders>
            <w:shd w:val="clear" w:color="auto" w:fill="auto"/>
            <w:noWrap/>
            <w:vAlign w:val="bottom"/>
            <w:hideMark/>
          </w:tcPr>
          <w:p w14:paraId="3A5A5046" w14:textId="48EE63D4"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3.1</w:t>
            </w:r>
          </w:p>
        </w:tc>
        <w:tc>
          <w:tcPr>
            <w:tcW w:w="1985" w:type="dxa"/>
            <w:tcBorders>
              <w:top w:val="nil"/>
              <w:left w:val="nil"/>
              <w:bottom w:val="single" w:sz="4" w:space="0" w:color="auto"/>
              <w:right w:val="single" w:sz="4" w:space="0" w:color="auto"/>
            </w:tcBorders>
            <w:shd w:val="clear" w:color="auto" w:fill="auto"/>
            <w:noWrap/>
            <w:vAlign w:val="bottom"/>
            <w:hideMark/>
          </w:tcPr>
          <w:p w14:paraId="35C65CB4" w14:textId="65481565"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1.2</w:t>
            </w:r>
          </w:p>
        </w:tc>
      </w:tr>
      <w:tr w:rsidR="00664ABF" w:rsidRPr="00EE4C60" w14:paraId="317F86B1" w14:textId="77777777" w:rsidTr="00EE4C60">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8C4078" w14:textId="77777777" w:rsidR="0074608F" w:rsidRPr="0074608F" w:rsidRDefault="0074608F" w:rsidP="0074608F">
            <w:pPr>
              <w:spacing w:after="0" w:line="240" w:lineRule="auto"/>
              <w:jc w:val="right"/>
              <w:rPr>
                <w:rFonts w:cs="Arial"/>
                <w:color w:val="000000"/>
                <w:szCs w:val="21"/>
                <w:lang w:eastAsia="en-AU"/>
              </w:rPr>
            </w:pPr>
            <w:r w:rsidRPr="0074608F">
              <w:rPr>
                <w:rFonts w:cs="Arial"/>
                <w:color w:val="000000"/>
                <w:szCs w:val="21"/>
                <w:lang w:eastAsia="en-AU"/>
              </w:rPr>
              <w:t>2019</w:t>
            </w:r>
          </w:p>
        </w:tc>
        <w:tc>
          <w:tcPr>
            <w:tcW w:w="2977" w:type="dxa"/>
            <w:tcBorders>
              <w:top w:val="nil"/>
              <w:left w:val="nil"/>
              <w:bottom w:val="single" w:sz="4" w:space="0" w:color="auto"/>
              <w:right w:val="single" w:sz="4" w:space="0" w:color="auto"/>
            </w:tcBorders>
            <w:shd w:val="clear" w:color="auto" w:fill="auto"/>
            <w:noWrap/>
            <w:vAlign w:val="bottom"/>
            <w:hideMark/>
          </w:tcPr>
          <w:p w14:paraId="6C91FB5B" w14:textId="2ED45BEB"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Male Incidence per 100,000 - </w:t>
            </w:r>
            <w:r w:rsidRPr="0074608F">
              <w:rPr>
                <w:rFonts w:cs="Arial"/>
                <w:color w:val="000000"/>
                <w:szCs w:val="21"/>
                <w:lang w:eastAsia="en-AU"/>
              </w:rPr>
              <w:t>29.7</w:t>
            </w:r>
          </w:p>
        </w:tc>
        <w:tc>
          <w:tcPr>
            <w:tcW w:w="3260" w:type="dxa"/>
            <w:tcBorders>
              <w:top w:val="nil"/>
              <w:left w:val="nil"/>
              <w:bottom w:val="single" w:sz="4" w:space="0" w:color="auto"/>
              <w:right w:val="single" w:sz="4" w:space="0" w:color="auto"/>
            </w:tcBorders>
            <w:shd w:val="clear" w:color="auto" w:fill="auto"/>
            <w:noWrap/>
            <w:vAlign w:val="bottom"/>
            <w:hideMark/>
          </w:tcPr>
          <w:p w14:paraId="3764C201" w14:textId="3CD51097" w:rsidR="0074608F" w:rsidRPr="0074608F" w:rsidRDefault="0074608F" w:rsidP="00EE4C60">
            <w:pPr>
              <w:spacing w:after="0" w:line="240" w:lineRule="auto"/>
              <w:rPr>
                <w:rFonts w:cs="Arial"/>
                <w:color w:val="000000"/>
                <w:szCs w:val="21"/>
                <w:lang w:eastAsia="en-AU"/>
              </w:rPr>
            </w:pPr>
            <w:r w:rsidRPr="00EE4C60">
              <w:rPr>
                <w:rFonts w:cs="Arial"/>
                <w:color w:val="000000"/>
                <w:szCs w:val="21"/>
                <w:lang w:eastAsia="en-AU"/>
              </w:rPr>
              <w:t xml:space="preserve">Female Incidence per 100,000 - </w:t>
            </w:r>
            <w:r w:rsidRPr="0074608F">
              <w:rPr>
                <w:rFonts w:cs="Arial"/>
                <w:color w:val="000000"/>
                <w:szCs w:val="21"/>
                <w:lang w:eastAsia="en-AU"/>
              </w:rPr>
              <w:t>21.8</w:t>
            </w:r>
          </w:p>
        </w:tc>
        <w:tc>
          <w:tcPr>
            <w:tcW w:w="1701" w:type="dxa"/>
            <w:tcBorders>
              <w:top w:val="nil"/>
              <w:left w:val="nil"/>
              <w:bottom w:val="single" w:sz="4" w:space="0" w:color="auto"/>
              <w:right w:val="single" w:sz="4" w:space="0" w:color="auto"/>
            </w:tcBorders>
            <w:shd w:val="clear" w:color="auto" w:fill="auto"/>
            <w:noWrap/>
            <w:vAlign w:val="bottom"/>
            <w:hideMark/>
          </w:tcPr>
          <w:p w14:paraId="2F73623A" w14:textId="7C789780"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Male mortality - </w:t>
            </w:r>
            <w:r w:rsidR="0074608F" w:rsidRPr="0074608F">
              <w:rPr>
                <w:rFonts w:cs="Arial"/>
                <w:color w:val="000000"/>
                <w:szCs w:val="21"/>
                <w:lang w:eastAsia="en-AU"/>
              </w:rPr>
              <w:t>2.9</w:t>
            </w:r>
          </w:p>
        </w:tc>
        <w:tc>
          <w:tcPr>
            <w:tcW w:w="1985" w:type="dxa"/>
            <w:tcBorders>
              <w:top w:val="nil"/>
              <w:left w:val="nil"/>
              <w:bottom w:val="single" w:sz="4" w:space="0" w:color="auto"/>
              <w:right w:val="single" w:sz="4" w:space="0" w:color="auto"/>
            </w:tcBorders>
            <w:shd w:val="clear" w:color="auto" w:fill="auto"/>
            <w:noWrap/>
            <w:vAlign w:val="bottom"/>
            <w:hideMark/>
          </w:tcPr>
          <w:p w14:paraId="788C17F2" w14:textId="1969B12A" w:rsidR="0074608F" w:rsidRPr="0074608F" w:rsidRDefault="00664ABF" w:rsidP="00EE4C60">
            <w:pPr>
              <w:spacing w:after="0" w:line="240" w:lineRule="auto"/>
              <w:rPr>
                <w:rFonts w:cs="Arial"/>
                <w:color w:val="000000"/>
                <w:szCs w:val="21"/>
                <w:lang w:eastAsia="en-AU"/>
              </w:rPr>
            </w:pPr>
            <w:r w:rsidRPr="00EE4C60">
              <w:rPr>
                <w:rFonts w:cs="Arial"/>
                <w:color w:val="000000"/>
                <w:szCs w:val="21"/>
                <w:lang w:eastAsia="en-AU"/>
              </w:rPr>
              <w:t xml:space="preserve">Female mortality - </w:t>
            </w:r>
            <w:r w:rsidR="0074608F" w:rsidRPr="0074608F">
              <w:rPr>
                <w:rFonts w:cs="Arial"/>
                <w:color w:val="000000"/>
                <w:szCs w:val="21"/>
                <w:lang w:eastAsia="en-AU"/>
              </w:rPr>
              <w:t>1.1</w:t>
            </w:r>
          </w:p>
        </w:tc>
      </w:tr>
    </w:tbl>
    <w:p w14:paraId="15295914" w14:textId="77777777" w:rsidR="008A48E6" w:rsidRPr="008A48E6" w:rsidRDefault="008A48E6" w:rsidP="008A48E6">
      <w:pPr>
        <w:pStyle w:val="Body"/>
      </w:pPr>
    </w:p>
    <w:sectPr w:rsidR="008A48E6" w:rsidRPr="008A48E6" w:rsidSect="00454A7D">
      <w:footerReference w:type="default" r:id="rId150"/>
      <w:footerReference w:type="first" r:id="rId15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7B98B" w14:textId="77777777" w:rsidR="007506E5" w:rsidRDefault="007506E5">
      <w:r>
        <w:separator/>
      </w:r>
    </w:p>
    <w:p w14:paraId="3C85BD6C" w14:textId="77777777" w:rsidR="007506E5" w:rsidRDefault="007506E5"/>
  </w:endnote>
  <w:endnote w:type="continuationSeparator" w:id="0">
    <w:p w14:paraId="07C73CBA" w14:textId="77777777" w:rsidR="007506E5" w:rsidRDefault="007506E5">
      <w:r>
        <w:continuationSeparator/>
      </w:r>
    </w:p>
    <w:p w14:paraId="017155C2" w14:textId="77777777" w:rsidR="007506E5" w:rsidRDefault="007506E5"/>
  </w:endnote>
  <w:endnote w:type="continuationNotice" w:id="1">
    <w:p w14:paraId="66DCBEDA" w14:textId="77777777" w:rsidR="007506E5" w:rsidRDefault="007506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HCJEMK+Arial-BoldM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IC-Regular">
    <w:altName w:val="Yu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Whitney-Book">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Arial,Times New Roman">
    <w:altName w:val="Arial"/>
    <w:panose1 w:val="00000000000000000000"/>
    <w:charset w:val="00"/>
    <w:family w:val="roman"/>
    <w:notTrueType/>
    <w:pitch w:val="default"/>
  </w:font>
  <w:font w:name="Arial,Times New Roman,Times">
    <w:altName w:val="Arial"/>
    <w:panose1 w:val="00000000000000000000"/>
    <w:charset w:val="00"/>
    <w:family w:val="roman"/>
    <w:notTrueType/>
    <w:pitch w:val="default"/>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51E69" w14:textId="0D6F2E89" w:rsidR="00B8004C" w:rsidRDefault="00B8004C" w:rsidP="00B8004C">
    <w:pPr>
      <w:pStyle w:val="Header"/>
    </w:pPr>
    <w:r>
      <w:rPr>
        <w:noProof/>
      </w:rPr>
      <mc:AlternateContent>
        <mc:Choice Requires="wps">
          <w:drawing>
            <wp:anchor distT="0" distB="0" distL="114300" distR="114300" simplePos="0" relativeHeight="251657216" behindDoc="0" locked="0" layoutInCell="0" allowOverlap="1" wp14:anchorId="7D58F2D1" wp14:editId="02233F59">
              <wp:simplePos x="0" y="0"/>
              <wp:positionH relativeFrom="page">
                <wp:posOffset>0</wp:posOffset>
              </wp:positionH>
              <wp:positionV relativeFrom="page">
                <wp:posOffset>10189210</wp:posOffset>
              </wp:positionV>
              <wp:extent cx="7560310" cy="311785"/>
              <wp:effectExtent l="0" t="0" r="0" b="12065"/>
              <wp:wrapNone/>
              <wp:docPr id="1" name="MSIPCM823b45af828f11295280bcd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D2A1E" w14:textId="24DFF278"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58F2D1" id="_x0000_t202" coordsize="21600,21600" o:spt="202" path="m,l,21600r21600,l21600,xe">
              <v:stroke joinstyle="miter"/>
              <v:path gradientshapeok="t" o:connecttype="rect"/>
            </v:shapetype>
            <v:shape id="MSIPCM823b45af828f11295280bcdb"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F8D2A1E" w14:textId="24DFF278"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v:textbox>
              <w10:wrap anchorx="page" anchory="page"/>
            </v:shape>
          </w:pict>
        </mc:Fallback>
      </mc:AlternateContent>
    </w:r>
    <w:sdt>
      <w:sdtPr>
        <w:id w:val="1766182335"/>
        <w:docPartObj>
          <w:docPartGallery w:val="Page Numbers (Bottom of Page)"/>
          <w:docPartUnique/>
        </w:docPartObj>
      </w:sdtPr>
      <w:sdtContent>
        <w:sdt>
          <w:sdtPr>
            <w:id w:val="-1769616900"/>
            <w:docPartObj>
              <w:docPartGallery w:val="Page Numbers (Top of Page)"/>
              <w:docPartUnique/>
            </w:docPartObj>
          </w:sdtPr>
          <w:sdtContent>
            <w:r w:rsidRPr="003E6699">
              <w:rPr>
                <w:i/>
                <w:iCs/>
              </w:rPr>
              <w:t xml:space="preserve">Your </w:t>
            </w:r>
            <w:r>
              <w:rPr>
                <w:i/>
                <w:iCs/>
              </w:rPr>
              <w:t>h</w:t>
            </w:r>
            <w:r w:rsidRPr="003E6699">
              <w:rPr>
                <w:i/>
                <w:iCs/>
              </w:rPr>
              <w:t>ealth</w:t>
            </w:r>
            <w:r>
              <w:rPr>
                <w:i/>
                <w:iCs/>
              </w:rPr>
              <w:t>: Report of the Chief Health Officer Victoria, 2019</w:t>
            </w:r>
            <w:r>
              <w:rPr>
                <w:i/>
                <w:iCs/>
              </w:rPr>
              <w:tab/>
            </w:r>
            <w:r>
              <w:rPr>
                <w:i/>
                <w:iCs/>
              </w:rPr>
              <w:tab/>
            </w:r>
            <w:r>
              <w:rPr>
                <w:i/>
                <w:iCs/>
              </w:rPr>
              <w:tab/>
            </w:r>
            <w:r>
              <w:rPr>
                <w:i/>
                <w:iCs/>
              </w:rPr>
              <w:tab/>
            </w: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2</w:t>
            </w:r>
            <w:r>
              <w:rPr>
                <w:b w:val="0"/>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9787" w14:textId="071D9C3F" w:rsidR="006573EE" w:rsidRDefault="00B8004C">
    <w:pPr>
      <w:pStyle w:val="Footer"/>
    </w:pPr>
    <w:r>
      <w:rPr>
        <w:noProof/>
      </w:rPr>
      <mc:AlternateContent>
        <mc:Choice Requires="wps">
          <w:drawing>
            <wp:anchor distT="0" distB="0" distL="114300" distR="114300" simplePos="0" relativeHeight="251669504" behindDoc="0" locked="0" layoutInCell="0" allowOverlap="1" wp14:anchorId="15FFC846" wp14:editId="0A52AD44">
              <wp:simplePos x="0" y="0"/>
              <wp:positionH relativeFrom="page">
                <wp:posOffset>0</wp:posOffset>
              </wp:positionH>
              <wp:positionV relativeFrom="page">
                <wp:posOffset>10189210</wp:posOffset>
              </wp:positionV>
              <wp:extent cx="7560310" cy="311785"/>
              <wp:effectExtent l="0" t="0" r="0" b="12065"/>
              <wp:wrapNone/>
              <wp:docPr id="7" name="MSIPCM91c4431a9245f5c562d4e0f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3222B4" w14:textId="1DC306BF"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FFC846" id="_x0000_t202" coordsize="21600,21600" o:spt="202" path="m,l,21600r21600,l21600,xe">
              <v:stroke joinstyle="miter"/>
              <v:path gradientshapeok="t" o:connecttype="rect"/>
            </v:shapetype>
            <v:shape id="MSIPCM91c4431a9245f5c562d4e0fa"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93222B4" w14:textId="1DC306BF" w:rsidR="00B8004C" w:rsidRPr="00B8004C" w:rsidRDefault="00B8004C" w:rsidP="00B8004C">
                    <w:pPr>
                      <w:spacing w:after="0"/>
                      <w:jc w:val="center"/>
                      <w:rPr>
                        <w:rFonts w:ascii="Arial Black" w:hAnsi="Arial Black"/>
                        <w:color w:val="000000"/>
                        <w:sz w:val="20"/>
                      </w:rPr>
                    </w:pPr>
                    <w:r w:rsidRPr="00B8004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32D98" w14:textId="77777777" w:rsidR="007506E5" w:rsidRDefault="007506E5" w:rsidP="00207717">
      <w:pPr>
        <w:spacing w:before="120"/>
      </w:pPr>
      <w:r>
        <w:separator/>
      </w:r>
    </w:p>
  </w:footnote>
  <w:footnote w:type="continuationSeparator" w:id="0">
    <w:p w14:paraId="73E8F0A0" w14:textId="77777777" w:rsidR="007506E5" w:rsidRDefault="007506E5">
      <w:r>
        <w:continuationSeparator/>
      </w:r>
    </w:p>
    <w:p w14:paraId="4A641C04" w14:textId="77777777" w:rsidR="007506E5" w:rsidRDefault="007506E5"/>
  </w:footnote>
  <w:footnote w:type="continuationNotice" w:id="1">
    <w:p w14:paraId="23DCCBB6" w14:textId="77777777" w:rsidR="007506E5" w:rsidRDefault="007506E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6237"/>
    <w:multiLevelType w:val="hybridMultilevel"/>
    <w:tmpl w:val="5BA2E484"/>
    <w:lvl w:ilvl="0" w:tplc="0C090001">
      <w:start w:val="1"/>
      <w:numFmt w:val="bullet"/>
      <w:lvlText w:val=""/>
      <w:lvlJc w:val="left"/>
      <w:pPr>
        <w:ind w:left="1799" w:hanging="360"/>
      </w:pPr>
      <w:rPr>
        <w:rFonts w:ascii="Symbol" w:hAnsi="Symbol" w:hint="default"/>
      </w:rPr>
    </w:lvl>
    <w:lvl w:ilvl="1" w:tplc="0C090003" w:tentative="1">
      <w:start w:val="1"/>
      <w:numFmt w:val="bullet"/>
      <w:lvlText w:val="o"/>
      <w:lvlJc w:val="left"/>
      <w:pPr>
        <w:ind w:left="2519" w:hanging="360"/>
      </w:pPr>
      <w:rPr>
        <w:rFonts w:ascii="Courier New" w:hAnsi="Courier New" w:cs="Courier New" w:hint="default"/>
      </w:rPr>
    </w:lvl>
    <w:lvl w:ilvl="2" w:tplc="0C090005" w:tentative="1">
      <w:start w:val="1"/>
      <w:numFmt w:val="bullet"/>
      <w:lvlText w:val=""/>
      <w:lvlJc w:val="left"/>
      <w:pPr>
        <w:ind w:left="3239" w:hanging="360"/>
      </w:pPr>
      <w:rPr>
        <w:rFonts w:ascii="Wingdings" w:hAnsi="Wingdings" w:hint="default"/>
      </w:rPr>
    </w:lvl>
    <w:lvl w:ilvl="3" w:tplc="0C090001" w:tentative="1">
      <w:start w:val="1"/>
      <w:numFmt w:val="bullet"/>
      <w:lvlText w:val=""/>
      <w:lvlJc w:val="left"/>
      <w:pPr>
        <w:ind w:left="3959" w:hanging="360"/>
      </w:pPr>
      <w:rPr>
        <w:rFonts w:ascii="Symbol" w:hAnsi="Symbol" w:hint="default"/>
      </w:rPr>
    </w:lvl>
    <w:lvl w:ilvl="4" w:tplc="0C090003" w:tentative="1">
      <w:start w:val="1"/>
      <w:numFmt w:val="bullet"/>
      <w:lvlText w:val="o"/>
      <w:lvlJc w:val="left"/>
      <w:pPr>
        <w:ind w:left="4679" w:hanging="360"/>
      </w:pPr>
      <w:rPr>
        <w:rFonts w:ascii="Courier New" w:hAnsi="Courier New" w:cs="Courier New" w:hint="default"/>
      </w:rPr>
    </w:lvl>
    <w:lvl w:ilvl="5" w:tplc="0C090005" w:tentative="1">
      <w:start w:val="1"/>
      <w:numFmt w:val="bullet"/>
      <w:lvlText w:val=""/>
      <w:lvlJc w:val="left"/>
      <w:pPr>
        <w:ind w:left="5399" w:hanging="360"/>
      </w:pPr>
      <w:rPr>
        <w:rFonts w:ascii="Wingdings" w:hAnsi="Wingdings" w:hint="default"/>
      </w:rPr>
    </w:lvl>
    <w:lvl w:ilvl="6" w:tplc="0C090001" w:tentative="1">
      <w:start w:val="1"/>
      <w:numFmt w:val="bullet"/>
      <w:lvlText w:val=""/>
      <w:lvlJc w:val="left"/>
      <w:pPr>
        <w:ind w:left="6119" w:hanging="360"/>
      </w:pPr>
      <w:rPr>
        <w:rFonts w:ascii="Symbol" w:hAnsi="Symbol" w:hint="default"/>
      </w:rPr>
    </w:lvl>
    <w:lvl w:ilvl="7" w:tplc="0C090003" w:tentative="1">
      <w:start w:val="1"/>
      <w:numFmt w:val="bullet"/>
      <w:lvlText w:val="o"/>
      <w:lvlJc w:val="left"/>
      <w:pPr>
        <w:ind w:left="6839" w:hanging="360"/>
      </w:pPr>
      <w:rPr>
        <w:rFonts w:ascii="Courier New" w:hAnsi="Courier New" w:cs="Courier New" w:hint="default"/>
      </w:rPr>
    </w:lvl>
    <w:lvl w:ilvl="8" w:tplc="0C090005" w:tentative="1">
      <w:start w:val="1"/>
      <w:numFmt w:val="bullet"/>
      <w:lvlText w:val=""/>
      <w:lvlJc w:val="left"/>
      <w:pPr>
        <w:ind w:left="7559"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195C7FA"/>
    <w:multiLevelType w:val="hybridMultilevel"/>
    <w:tmpl w:val="DEEC9DDC"/>
    <w:lvl w:ilvl="0" w:tplc="ABA457A4">
      <w:start w:val="1"/>
      <w:numFmt w:val="decimal"/>
      <w:lvlText w:val="%1."/>
      <w:lvlJc w:val="left"/>
      <w:pPr>
        <w:ind w:left="720" w:hanging="360"/>
      </w:pPr>
    </w:lvl>
    <w:lvl w:ilvl="1" w:tplc="9932A8C4">
      <w:start w:val="1"/>
      <w:numFmt w:val="decimal"/>
      <w:lvlText w:val="%2."/>
      <w:lvlJc w:val="left"/>
      <w:pPr>
        <w:ind w:left="1440" w:hanging="360"/>
      </w:pPr>
    </w:lvl>
    <w:lvl w:ilvl="2" w:tplc="160E5CE4">
      <w:start w:val="1"/>
      <w:numFmt w:val="lowerRoman"/>
      <w:lvlText w:val="%3."/>
      <w:lvlJc w:val="right"/>
      <w:pPr>
        <w:ind w:left="2160" w:hanging="180"/>
      </w:pPr>
    </w:lvl>
    <w:lvl w:ilvl="3" w:tplc="2ED053E8">
      <w:start w:val="1"/>
      <w:numFmt w:val="decimal"/>
      <w:lvlText w:val="%4."/>
      <w:lvlJc w:val="left"/>
      <w:pPr>
        <w:ind w:left="2880" w:hanging="360"/>
      </w:pPr>
    </w:lvl>
    <w:lvl w:ilvl="4" w:tplc="6F0A5C6E">
      <w:start w:val="1"/>
      <w:numFmt w:val="lowerLetter"/>
      <w:lvlText w:val="%5."/>
      <w:lvlJc w:val="left"/>
      <w:pPr>
        <w:ind w:left="3600" w:hanging="360"/>
      </w:pPr>
    </w:lvl>
    <w:lvl w:ilvl="5" w:tplc="5E3EDCCC">
      <w:start w:val="1"/>
      <w:numFmt w:val="lowerRoman"/>
      <w:lvlText w:val="%6."/>
      <w:lvlJc w:val="right"/>
      <w:pPr>
        <w:ind w:left="4320" w:hanging="180"/>
      </w:pPr>
    </w:lvl>
    <w:lvl w:ilvl="6" w:tplc="2E641D32">
      <w:start w:val="1"/>
      <w:numFmt w:val="decimal"/>
      <w:lvlText w:val="%7."/>
      <w:lvlJc w:val="left"/>
      <w:pPr>
        <w:ind w:left="5040" w:hanging="360"/>
      </w:pPr>
    </w:lvl>
    <w:lvl w:ilvl="7" w:tplc="6A2C881A">
      <w:start w:val="1"/>
      <w:numFmt w:val="lowerLetter"/>
      <w:lvlText w:val="%8."/>
      <w:lvlJc w:val="left"/>
      <w:pPr>
        <w:ind w:left="5760" w:hanging="360"/>
      </w:pPr>
    </w:lvl>
    <w:lvl w:ilvl="8" w:tplc="F34ADDD6">
      <w:start w:val="1"/>
      <w:numFmt w:val="lowerRoman"/>
      <w:lvlText w:val="%9."/>
      <w:lvlJc w:val="right"/>
      <w:pPr>
        <w:ind w:left="6480" w:hanging="180"/>
      </w:pPr>
    </w:lvl>
  </w:abstractNum>
  <w:abstractNum w:abstractNumId="4" w15:restartNumberingAfterBreak="0">
    <w:nsid w:val="1851072D"/>
    <w:multiLevelType w:val="hybridMultilevel"/>
    <w:tmpl w:val="C26C2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C7558"/>
    <w:multiLevelType w:val="multilevel"/>
    <w:tmpl w:val="12A8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A821B2"/>
    <w:multiLevelType w:val="multilevel"/>
    <w:tmpl w:val="C054EA46"/>
    <w:lvl w:ilvl="0">
      <w:start w:val="2"/>
      <w:numFmt w:val="bullet"/>
      <w:lvlText w:val="-"/>
      <w:lvlJc w:val="left"/>
      <w:pPr>
        <w:ind w:left="227" w:hanging="227"/>
      </w:pPr>
      <w:rPr>
        <w:rFonts w:ascii="Arial" w:eastAsia="Times New Roman" w:hAnsi="Arial" w:cs="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35CC0AC3"/>
    <w:multiLevelType w:val="hybridMultilevel"/>
    <w:tmpl w:val="08006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6AF5B02"/>
    <w:multiLevelType w:val="hybridMultilevel"/>
    <w:tmpl w:val="3C1C7240"/>
    <w:lvl w:ilvl="0" w:tplc="F4A26ED0">
      <w:start w:val="1"/>
      <w:numFmt w:val="bullet"/>
      <w:pStyle w:val="DHHSbullet1"/>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106D77"/>
    <w:multiLevelType w:val="hybridMultilevel"/>
    <w:tmpl w:val="6A8AB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690B31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A5E148F"/>
    <w:multiLevelType w:val="hybridMultilevel"/>
    <w:tmpl w:val="CE6C889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6F51CF1"/>
    <w:multiLevelType w:val="multilevel"/>
    <w:tmpl w:val="03F8AD08"/>
    <w:lvl w:ilvl="0">
      <w:start w:val="2"/>
      <w:numFmt w:val="bullet"/>
      <w:lvlText w:val="-"/>
      <w:lvlJc w:val="left"/>
      <w:pPr>
        <w:ind w:left="227" w:hanging="227"/>
      </w:pPr>
      <w:rPr>
        <w:rFonts w:ascii="Arial" w:eastAsia="Times New Roman" w:hAnsi="Arial" w:cs="Arial"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701540D"/>
    <w:multiLevelType w:val="hybridMultilevel"/>
    <w:tmpl w:val="71C866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CAA06D0"/>
    <w:multiLevelType w:val="multilevel"/>
    <w:tmpl w:val="1AE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543919">
    <w:abstractNumId w:val="8"/>
  </w:num>
  <w:num w:numId="2" w16cid:durableId="1620337917">
    <w:abstractNumId w:val="13"/>
  </w:num>
  <w:num w:numId="3" w16cid:durableId="1217401206">
    <w:abstractNumId w:val="12"/>
    <w:lvlOverride w:ilvl="0">
      <w:lvl w:ilvl="0">
        <w:start w:val="1"/>
        <w:numFmt w:val="bullet"/>
        <w:pStyle w:val="Tablebullet1"/>
        <w:lvlText w:val="•"/>
        <w:lvlJc w:val="left"/>
        <w:pPr>
          <w:ind w:left="227" w:hanging="227"/>
        </w:pPr>
        <w:rPr>
          <w:rFonts w:ascii="Calibri" w:hAnsi="Calibri" w:hint="default"/>
          <w:color w:val="auto"/>
        </w:rPr>
      </w:lvl>
    </w:lvlOverride>
  </w:num>
  <w:num w:numId="4" w16cid:durableId="972950915">
    <w:abstractNumId w:val="15"/>
  </w:num>
  <w:num w:numId="5" w16cid:durableId="220217758">
    <w:abstractNumId w:val="9"/>
  </w:num>
  <w:num w:numId="6" w16cid:durableId="300692604">
    <w:abstractNumId w:val="2"/>
  </w:num>
  <w:num w:numId="7" w16cid:durableId="374546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72305">
    <w:abstractNumId w:val="10"/>
  </w:num>
  <w:num w:numId="9" w16cid:durableId="2070033974">
    <w:abstractNumId w:val="16"/>
  </w:num>
  <w:num w:numId="10" w16cid:durableId="1971864408">
    <w:abstractNumId w:val="6"/>
  </w:num>
  <w:num w:numId="11" w16cid:durableId="1980766308">
    <w:abstractNumId w:val="14"/>
  </w:num>
  <w:num w:numId="12" w16cid:durableId="1227715703">
    <w:abstractNumId w:val="0"/>
  </w:num>
  <w:num w:numId="13" w16cid:durableId="1670403579">
    <w:abstractNumId w:val="13"/>
    <w:lvlOverride w:ilvl="0">
      <w:lvl w:ilvl="0">
        <w:start w:val="1"/>
        <w:numFmt w:val="bullet"/>
        <w:pStyle w:val="Bullet1"/>
        <w:lvlText w:val="•"/>
        <w:lvlJc w:val="left"/>
        <w:pPr>
          <w:ind w:left="284" w:hanging="284"/>
        </w:pPr>
        <w:rPr>
          <w:rFonts w:ascii="Calibri" w:hAnsi="Calibri" w:hint="default"/>
          <w:color w:val="000000" w:themeColor="text1"/>
        </w:rPr>
      </w:lvl>
    </w:lvlOverride>
  </w:num>
  <w:num w:numId="14" w16cid:durableId="358899115">
    <w:abstractNumId w:val="17"/>
  </w:num>
  <w:num w:numId="15" w16cid:durableId="387454778">
    <w:abstractNumId w:val="11"/>
  </w:num>
  <w:num w:numId="16" w16cid:durableId="324632162">
    <w:abstractNumId w:val="18"/>
  </w:num>
  <w:num w:numId="17" w16cid:durableId="666715323">
    <w:abstractNumId w:val="5"/>
  </w:num>
  <w:num w:numId="18" w16cid:durableId="2043704165">
    <w:abstractNumId w:val="3"/>
  </w:num>
  <w:num w:numId="19" w16cid:durableId="1877279909">
    <w:abstractNumId w:val="4"/>
  </w:num>
  <w:num w:numId="20" w16cid:durableId="1230264997">
    <w:abstractNumId w:val="12"/>
  </w:num>
  <w:num w:numId="21" w16cid:durableId="1340542854">
    <w:abstractNumId w:val="7"/>
  </w:num>
  <w:num w:numId="22" w16cid:durableId="1713992827">
    <w:abstractNumId w:val="13"/>
    <w:lvlOverride w:ilvl="0">
      <w:lvl w:ilvl="0">
        <w:start w:val="1"/>
        <w:numFmt w:val="bullet"/>
        <w:pStyle w:val="Bullet1"/>
        <w:lvlText w:val="•"/>
        <w:lvlJc w:val="left"/>
        <w:pPr>
          <w:ind w:left="284" w:hanging="284"/>
        </w:pPr>
        <w:rPr>
          <w:rFonts w:ascii="Calibri" w:hAnsi="Calibri" w:hint="default"/>
          <w:color w:val="000000" w:themeColor="text1"/>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E8"/>
    <w:rsid w:val="000002F9"/>
    <w:rsid w:val="000005F2"/>
    <w:rsid w:val="00000719"/>
    <w:rsid w:val="0000076E"/>
    <w:rsid w:val="00000891"/>
    <w:rsid w:val="00000C96"/>
    <w:rsid w:val="00001386"/>
    <w:rsid w:val="000015B0"/>
    <w:rsid w:val="00001F04"/>
    <w:rsid w:val="0000208E"/>
    <w:rsid w:val="000021DE"/>
    <w:rsid w:val="000023F8"/>
    <w:rsid w:val="00002408"/>
    <w:rsid w:val="00002830"/>
    <w:rsid w:val="00002B74"/>
    <w:rsid w:val="00002D68"/>
    <w:rsid w:val="000032B0"/>
    <w:rsid w:val="000033F7"/>
    <w:rsid w:val="00003403"/>
    <w:rsid w:val="0000358C"/>
    <w:rsid w:val="00003CC1"/>
    <w:rsid w:val="00003ECA"/>
    <w:rsid w:val="000045E9"/>
    <w:rsid w:val="00004720"/>
    <w:rsid w:val="000047C4"/>
    <w:rsid w:val="00004D05"/>
    <w:rsid w:val="000052EC"/>
    <w:rsid w:val="00005325"/>
    <w:rsid w:val="00005347"/>
    <w:rsid w:val="000053B3"/>
    <w:rsid w:val="000058E7"/>
    <w:rsid w:val="00005B7A"/>
    <w:rsid w:val="00005C84"/>
    <w:rsid w:val="00005D52"/>
    <w:rsid w:val="00005E56"/>
    <w:rsid w:val="00006169"/>
    <w:rsid w:val="00006493"/>
    <w:rsid w:val="0000652B"/>
    <w:rsid w:val="000065F8"/>
    <w:rsid w:val="00006833"/>
    <w:rsid w:val="00006951"/>
    <w:rsid w:val="00006A44"/>
    <w:rsid w:val="00006AF6"/>
    <w:rsid w:val="00006C67"/>
    <w:rsid w:val="00006D70"/>
    <w:rsid w:val="00006D9C"/>
    <w:rsid w:val="00006E4B"/>
    <w:rsid w:val="000072B6"/>
    <w:rsid w:val="00007301"/>
    <w:rsid w:val="000075D1"/>
    <w:rsid w:val="0000770D"/>
    <w:rsid w:val="00007884"/>
    <w:rsid w:val="00007966"/>
    <w:rsid w:val="00007A8D"/>
    <w:rsid w:val="0001021B"/>
    <w:rsid w:val="000106B3"/>
    <w:rsid w:val="00010BC6"/>
    <w:rsid w:val="00010CCE"/>
    <w:rsid w:val="00010ED1"/>
    <w:rsid w:val="00010EEA"/>
    <w:rsid w:val="00010F7E"/>
    <w:rsid w:val="00010F93"/>
    <w:rsid w:val="0001120E"/>
    <w:rsid w:val="00011262"/>
    <w:rsid w:val="00011400"/>
    <w:rsid w:val="00011568"/>
    <w:rsid w:val="000118F9"/>
    <w:rsid w:val="00011BB6"/>
    <w:rsid w:val="00011D89"/>
    <w:rsid w:val="00012040"/>
    <w:rsid w:val="0001214E"/>
    <w:rsid w:val="0001275D"/>
    <w:rsid w:val="00012844"/>
    <w:rsid w:val="0001296C"/>
    <w:rsid w:val="00012BCB"/>
    <w:rsid w:val="00012DBD"/>
    <w:rsid w:val="00012F30"/>
    <w:rsid w:val="000136C6"/>
    <w:rsid w:val="00013FD5"/>
    <w:rsid w:val="00014096"/>
    <w:rsid w:val="00014190"/>
    <w:rsid w:val="000145C8"/>
    <w:rsid w:val="00014AF4"/>
    <w:rsid w:val="00014E10"/>
    <w:rsid w:val="000154EF"/>
    <w:rsid w:val="000154FD"/>
    <w:rsid w:val="000155EB"/>
    <w:rsid w:val="000158DD"/>
    <w:rsid w:val="00015F42"/>
    <w:rsid w:val="000160E0"/>
    <w:rsid w:val="000163AE"/>
    <w:rsid w:val="000163E6"/>
    <w:rsid w:val="0001644D"/>
    <w:rsid w:val="00016516"/>
    <w:rsid w:val="00016A1D"/>
    <w:rsid w:val="00016AE2"/>
    <w:rsid w:val="00016B6C"/>
    <w:rsid w:val="00016BD8"/>
    <w:rsid w:val="00016E4E"/>
    <w:rsid w:val="00016F48"/>
    <w:rsid w:val="00017244"/>
    <w:rsid w:val="0001757A"/>
    <w:rsid w:val="00017609"/>
    <w:rsid w:val="00017B1B"/>
    <w:rsid w:val="00017FD5"/>
    <w:rsid w:val="00020105"/>
    <w:rsid w:val="0002017A"/>
    <w:rsid w:val="000202AD"/>
    <w:rsid w:val="00020666"/>
    <w:rsid w:val="00020ADC"/>
    <w:rsid w:val="00020B09"/>
    <w:rsid w:val="00020D50"/>
    <w:rsid w:val="00021124"/>
    <w:rsid w:val="00021175"/>
    <w:rsid w:val="00021A48"/>
    <w:rsid w:val="00021EBC"/>
    <w:rsid w:val="00022206"/>
    <w:rsid w:val="00022271"/>
    <w:rsid w:val="000222BD"/>
    <w:rsid w:val="00022805"/>
    <w:rsid w:val="00022D09"/>
    <w:rsid w:val="00022EF8"/>
    <w:rsid w:val="000235E8"/>
    <w:rsid w:val="0002382F"/>
    <w:rsid w:val="0002389B"/>
    <w:rsid w:val="00023AF8"/>
    <w:rsid w:val="00023D60"/>
    <w:rsid w:val="00024A08"/>
    <w:rsid w:val="00024ABD"/>
    <w:rsid w:val="00024B4C"/>
    <w:rsid w:val="00024D89"/>
    <w:rsid w:val="00024E08"/>
    <w:rsid w:val="00024F83"/>
    <w:rsid w:val="000250B6"/>
    <w:rsid w:val="0002526A"/>
    <w:rsid w:val="0002571B"/>
    <w:rsid w:val="00025A0E"/>
    <w:rsid w:val="00025AD5"/>
    <w:rsid w:val="0002693B"/>
    <w:rsid w:val="00027337"/>
    <w:rsid w:val="000274DB"/>
    <w:rsid w:val="0002792E"/>
    <w:rsid w:val="00030664"/>
    <w:rsid w:val="000306BB"/>
    <w:rsid w:val="00030902"/>
    <w:rsid w:val="0003099F"/>
    <w:rsid w:val="00030CDD"/>
    <w:rsid w:val="00031072"/>
    <w:rsid w:val="0003121A"/>
    <w:rsid w:val="00031B45"/>
    <w:rsid w:val="00031D17"/>
    <w:rsid w:val="0003203A"/>
    <w:rsid w:val="00032632"/>
    <w:rsid w:val="000326A0"/>
    <w:rsid w:val="00032897"/>
    <w:rsid w:val="00032AFF"/>
    <w:rsid w:val="00032C6B"/>
    <w:rsid w:val="00032CFB"/>
    <w:rsid w:val="00032ED2"/>
    <w:rsid w:val="00032F1F"/>
    <w:rsid w:val="0003302B"/>
    <w:rsid w:val="0003336F"/>
    <w:rsid w:val="00033652"/>
    <w:rsid w:val="00033663"/>
    <w:rsid w:val="000337DC"/>
    <w:rsid w:val="0003384E"/>
    <w:rsid w:val="00033CCF"/>
    <w:rsid w:val="00033D81"/>
    <w:rsid w:val="00033DC9"/>
    <w:rsid w:val="00033F17"/>
    <w:rsid w:val="000341C0"/>
    <w:rsid w:val="000346A7"/>
    <w:rsid w:val="00034DD4"/>
    <w:rsid w:val="00034FFE"/>
    <w:rsid w:val="000350F8"/>
    <w:rsid w:val="00035392"/>
    <w:rsid w:val="000356B1"/>
    <w:rsid w:val="000359BA"/>
    <w:rsid w:val="000359E8"/>
    <w:rsid w:val="00035C8E"/>
    <w:rsid w:val="0003611E"/>
    <w:rsid w:val="000362F3"/>
    <w:rsid w:val="00036572"/>
    <w:rsid w:val="00036613"/>
    <w:rsid w:val="000366C5"/>
    <w:rsid w:val="00037366"/>
    <w:rsid w:val="00037672"/>
    <w:rsid w:val="000377EB"/>
    <w:rsid w:val="000379A3"/>
    <w:rsid w:val="00037A31"/>
    <w:rsid w:val="00037EC0"/>
    <w:rsid w:val="00037ED9"/>
    <w:rsid w:val="00037FE4"/>
    <w:rsid w:val="000401E2"/>
    <w:rsid w:val="00040815"/>
    <w:rsid w:val="0004087F"/>
    <w:rsid w:val="0004089D"/>
    <w:rsid w:val="00040B42"/>
    <w:rsid w:val="00040BF3"/>
    <w:rsid w:val="00041708"/>
    <w:rsid w:val="00041AD0"/>
    <w:rsid w:val="00041BF0"/>
    <w:rsid w:val="00041D4E"/>
    <w:rsid w:val="0004218A"/>
    <w:rsid w:val="00042755"/>
    <w:rsid w:val="00042981"/>
    <w:rsid w:val="00042C4B"/>
    <w:rsid w:val="00042C8A"/>
    <w:rsid w:val="00042D07"/>
    <w:rsid w:val="0004331F"/>
    <w:rsid w:val="000433BC"/>
    <w:rsid w:val="00043584"/>
    <w:rsid w:val="0004370C"/>
    <w:rsid w:val="0004378F"/>
    <w:rsid w:val="0004388C"/>
    <w:rsid w:val="00043BBC"/>
    <w:rsid w:val="00043FAC"/>
    <w:rsid w:val="0004411D"/>
    <w:rsid w:val="000441C6"/>
    <w:rsid w:val="00044947"/>
    <w:rsid w:val="00044B33"/>
    <w:rsid w:val="00044F52"/>
    <w:rsid w:val="0004536B"/>
    <w:rsid w:val="000454B8"/>
    <w:rsid w:val="00045B2A"/>
    <w:rsid w:val="00045D5D"/>
    <w:rsid w:val="00045DB8"/>
    <w:rsid w:val="00045E28"/>
    <w:rsid w:val="00045F08"/>
    <w:rsid w:val="000460B2"/>
    <w:rsid w:val="00046402"/>
    <w:rsid w:val="00046421"/>
    <w:rsid w:val="0004672D"/>
    <w:rsid w:val="00046B68"/>
    <w:rsid w:val="00046FF7"/>
    <w:rsid w:val="0004731B"/>
    <w:rsid w:val="00047350"/>
    <w:rsid w:val="00047710"/>
    <w:rsid w:val="000500E0"/>
    <w:rsid w:val="00050213"/>
    <w:rsid w:val="0005041A"/>
    <w:rsid w:val="00050702"/>
    <w:rsid w:val="000507C1"/>
    <w:rsid w:val="000508AA"/>
    <w:rsid w:val="00050C65"/>
    <w:rsid w:val="00050D30"/>
    <w:rsid w:val="00050FE3"/>
    <w:rsid w:val="000510F9"/>
    <w:rsid w:val="000513C3"/>
    <w:rsid w:val="000513EA"/>
    <w:rsid w:val="0005191B"/>
    <w:rsid w:val="000519C0"/>
    <w:rsid w:val="00051A6C"/>
    <w:rsid w:val="00052004"/>
    <w:rsid w:val="0005205A"/>
    <w:rsid w:val="00052220"/>
    <w:rsid w:val="00052558"/>
    <w:rsid w:val="000527DD"/>
    <w:rsid w:val="0005297C"/>
    <w:rsid w:val="00052BBA"/>
    <w:rsid w:val="00052D5B"/>
    <w:rsid w:val="0005331A"/>
    <w:rsid w:val="00053434"/>
    <w:rsid w:val="000535D2"/>
    <w:rsid w:val="00053674"/>
    <w:rsid w:val="00053788"/>
    <w:rsid w:val="000537A7"/>
    <w:rsid w:val="00053D92"/>
    <w:rsid w:val="00053EA9"/>
    <w:rsid w:val="00054BBB"/>
    <w:rsid w:val="00054DC5"/>
    <w:rsid w:val="00054E5E"/>
    <w:rsid w:val="00055491"/>
    <w:rsid w:val="0005577B"/>
    <w:rsid w:val="000558A5"/>
    <w:rsid w:val="00055E1E"/>
    <w:rsid w:val="0005601A"/>
    <w:rsid w:val="00056049"/>
    <w:rsid w:val="000560CB"/>
    <w:rsid w:val="0005619B"/>
    <w:rsid w:val="0005630C"/>
    <w:rsid w:val="0005632D"/>
    <w:rsid w:val="00056944"/>
    <w:rsid w:val="00056EC4"/>
    <w:rsid w:val="0005744E"/>
    <w:rsid w:val="000574EF"/>
    <w:rsid w:val="0005757A"/>
    <w:rsid w:val="00057596"/>
    <w:rsid w:val="000578B2"/>
    <w:rsid w:val="000579F3"/>
    <w:rsid w:val="00057CC3"/>
    <w:rsid w:val="00057F4F"/>
    <w:rsid w:val="0006011C"/>
    <w:rsid w:val="00060229"/>
    <w:rsid w:val="00060286"/>
    <w:rsid w:val="00060959"/>
    <w:rsid w:val="00060A59"/>
    <w:rsid w:val="00060C8F"/>
    <w:rsid w:val="00060F79"/>
    <w:rsid w:val="0006157E"/>
    <w:rsid w:val="00061591"/>
    <w:rsid w:val="000619B5"/>
    <w:rsid w:val="00061C5B"/>
    <w:rsid w:val="00061CF9"/>
    <w:rsid w:val="00062954"/>
    <w:rsid w:val="0006298A"/>
    <w:rsid w:val="00062BB2"/>
    <w:rsid w:val="00062CA8"/>
    <w:rsid w:val="0006303C"/>
    <w:rsid w:val="0006343B"/>
    <w:rsid w:val="00063835"/>
    <w:rsid w:val="000645E4"/>
    <w:rsid w:val="0006467A"/>
    <w:rsid w:val="00064844"/>
    <w:rsid w:val="000648FF"/>
    <w:rsid w:val="00064E79"/>
    <w:rsid w:val="00064F6C"/>
    <w:rsid w:val="00065461"/>
    <w:rsid w:val="000654E7"/>
    <w:rsid w:val="000655DE"/>
    <w:rsid w:val="00065D0F"/>
    <w:rsid w:val="00065E0B"/>
    <w:rsid w:val="000662CA"/>
    <w:rsid w:val="000663CD"/>
    <w:rsid w:val="00066C2D"/>
    <w:rsid w:val="000671B5"/>
    <w:rsid w:val="00067280"/>
    <w:rsid w:val="00067422"/>
    <w:rsid w:val="00070011"/>
    <w:rsid w:val="00070056"/>
    <w:rsid w:val="00070F23"/>
    <w:rsid w:val="0007124F"/>
    <w:rsid w:val="00071267"/>
    <w:rsid w:val="0007173F"/>
    <w:rsid w:val="0007184F"/>
    <w:rsid w:val="00071D89"/>
    <w:rsid w:val="0007249D"/>
    <w:rsid w:val="000724C2"/>
    <w:rsid w:val="0007296F"/>
    <w:rsid w:val="00072976"/>
    <w:rsid w:val="00072FAB"/>
    <w:rsid w:val="00073102"/>
    <w:rsid w:val="00073168"/>
    <w:rsid w:val="000733FE"/>
    <w:rsid w:val="0007376A"/>
    <w:rsid w:val="0007377A"/>
    <w:rsid w:val="000739D3"/>
    <w:rsid w:val="00073BA8"/>
    <w:rsid w:val="00073D49"/>
    <w:rsid w:val="00073F9B"/>
    <w:rsid w:val="000740B1"/>
    <w:rsid w:val="00074219"/>
    <w:rsid w:val="0007441C"/>
    <w:rsid w:val="00074A41"/>
    <w:rsid w:val="00074A7C"/>
    <w:rsid w:val="00074C0B"/>
    <w:rsid w:val="00074ED5"/>
    <w:rsid w:val="0007539D"/>
    <w:rsid w:val="00075435"/>
    <w:rsid w:val="00075526"/>
    <w:rsid w:val="00075BC6"/>
    <w:rsid w:val="0007621F"/>
    <w:rsid w:val="0007685D"/>
    <w:rsid w:val="0007695E"/>
    <w:rsid w:val="00076F77"/>
    <w:rsid w:val="00077038"/>
    <w:rsid w:val="0007719E"/>
    <w:rsid w:val="00077AB4"/>
    <w:rsid w:val="00077B3D"/>
    <w:rsid w:val="00077EFF"/>
    <w:rsid w:val="00080458"/>
    <w:rsid w:val="00080CB3"/>
    <w:rsid w:val="00081273"/>
    <w:rsid w:val="00081B1A"/>
    <w:rsid w:val="00081DFE"/>
    <w:rsid w:val="00081F6E"/>
    <w:rsid w:val="0008204A"/>
    <w:rsid w:val="00082068"/>
    <w:rsid w:val="000821A6"/>
    <w:rsid w:val="00082585"/>
    <w:rsid w:val="0008289B"/>
    <w:rsid w:val="00082CA4"/>
    <w:rsid w:val="00083AE9"/>
    <w:rsid w:val="00083EBF"/>
    <w:rsid w:val="00083FC2"/>
    <w:rsid w:val="000842B6"/>
    <w:rsid w:val="000844FF"/>
    <w:rsid w:val="00084D60"/>
    <w:rsid w:val="0008508E"/>
    <w:rsid w:val="00085226"/>
    <w:rsid w:val="00085819"/>
    <w:rsid w:val="00085CE0"/>
    <w:rsid w:val="00086043"/>
    <w:rsid w:val="000861FD"/>
    <w:rsid w:val="00086814"/>
    <w:rsid w:val="00086EC1"/>
    <w:rsid w:val="00087186"/>
    <w:rsid w:val="0008747D"/>
    <w:rsid w:val="000874D0"/>
    <w:rsid w:val="000876A3"/>
    <w:rsid w:val="00087951"/>
    <w:rsid w:val="00087C6C"/>
    <w:rsid w:val="00087C98"/>
    <w:rsid w:val="00087E4E"/>
    <w:rsid w:val="00087ED7"/>
    <w:rsid w:val="00090164"/>
    <w:rsid w:val="00090A0B"/>
    <w:rsid w:val="00090C53"/>
    <w:rsid w:val="0009113B"/>
    <w:rsid w:val="000913CC"/>
    <w:rsid w:val="000913E2"/>
    <w:rsid w:val="00091554"/>
    <w:rsid w:val="00092107"/>
    <w:rsid w:val="000921F7"/>
    <w:rsid w:val="000928F0"/>
    <w:rsid w:val="00092C5E"/>
    <w:rsid w:val="00092C6C"/>
    <w:rsid w:val="00092E61"/>
    <w:rsid w:val="00092EA7"/>
    <w:rsid w:val="00093249"/>
    <w:rsid w:val="000933F0"/>
    <w:rsid w:val="00093402"/>
    <w:rsid w:val="00093725"/>
    <w:rsid w:val="0009386A"/>
    <w:rsid w:val="00093E28"/>
    <w:rsid w:val="00093F60"/>
    <w:rsid w:val="000942B7"/>
    <w:rsid w:val="00094719"/>
    <w:rsid w:val="0009497B"/>
    <w:rsid w:val="00094A6D"/>
    <w:rsid w:val="00094C32"/>
    <w:rsid w:val="00094D78"/>
    <w:rsid w:val="00094DA3"/>
    <w:rsid w:val="0009501A"/>
    <w:rsid w:val="00095077"/>
    <w:rsid w:val="000950B6"/>
    <w:rsid w:val="0009517D"/>
    <w:rsid w:val="0009595E"/>
    <w:rsid w:val="00095E96"/>
    <w:rsid w:val="000962A6"/>
    <w:rsid w:val="00096B85"/>
    <w:rsid w:val="00096CD1"/>
    <w:rsid w:val="00096E86"/>
    <w:rsid w:val="000972EE"/>
    <w:rsid w:val="00097A4C"/>
    <w:rsid w:val="00097DA0"/>
    <w:rsid w:val="00097DC8"/>
    <w:rsid w:val="000A00A3"/>
    <w:rsid w:val="000A00E9"/>
    <w:rsid w:val="000A012C"/>
    <w:rsid w:val="000A019F"/>
    <w:rsid w:val="000A028A"/>
    <w:rsid w:val="000A0317"/>
    <w:rsid w:val="000A0A9E"/>
    <w:rsid w:val="000A0B45"/>
    <w:rsid w:val="000A0D5A"/>
    <w:rsid w:val="000A0D5F"/>
    <w:rsid w:val="000A0EB9"/>
    <w:rsid w:val="000A10BB"/>
    <w:rsid w:val="000A1112"/>
    <w:rsid w:val="000A129A"/>
    <w:rsid w:val="000A132D"/>
    <w:rsid w:val="000A163C"/>
    <w:rsid w:val="000A186C"/>
    <w:rsid w:val="000A1AFB"/>
    <w:rsid w:val="000A1D91"/>
    <w:rsid w:val="000A1E42"/>
    <w:rsid w:val="000A1EA4"/>
    <w:rsid w:val="000A2476"/>
    <w:rsid w:val="000A2855"/>
    <w:rsid w:val="000A2C6F"/>
    <w:rsid w:val="000A2DB8"/>
    <w:rsid w:val="000A2F5B"/>
    <w:rsid w:val="000A30E9"/>
    <w:rsid w:val="000A346B"/>
    <w:rsid w:val="000A3956"/>
    <w:rsid w:val="000A3CE9"/>
    <w:rsid w:val="000A3D37"/>
    <w:rsid w:val="000A3FAA"/>
    <w:rsid w:val="000A42D6"/>
    <w:rsid w:val="000A4526"/>
    <w:rsid w:val="000A4685"/>
    <w:rsid w:val="000A511E"/>
    <w:rsid w:val="000A5586"/>
    <w:rsid w:val="000A56AD"/>
    <w:rsid w:val="000A57CC"/>
    <w:rsid w:val="000A58C0"/>
    <w:rsid w:val="000A58F3"/>
    <w:rsid w:val="000A5BBF"/>
    <w:rsid w:val="000A5CE8"/>
    <w:rsid w:val="000A5D79"/>
    <w:rsid w:val="000A641A"/>
    <w:rsid w:val="000A6A32"/>
    <w:rsid w:val="000A6A66"/>
    <w:rsid w:val="000A6B60"/>
    <w:rsid w:val="000A6B7B"/>
    <w:rsid w:val="000A7328"/>
    <w:rsid w:val="000A7430"/>
    <w:rsid w:val="000A76FA"/>
    <w:rsid w:val="000A7887"/>
    <w:rsid w:val="000A7912"/>
    <w:rsid w:val="000A7E25"/>
    <w:rsid w:val="000B020A"/>
    <w:rsid w:val="000B0305"/>
    <w:rsid w:val="000B0590"/>
    <w:rsid w:val="000B0A48"/>
    <w:rsid w:val="000B0F47"/>
    <w:rsid w:val="000B1111"/>
    <w:rsid w:val="000B1653"/>
    <w:rsid w:val="000B16D9"/>
    <w:rsid w:val="000B17D6"/>
    <w:rsid w:val="000B187C"/>
    <w:rsid w:val="000B1ABF"/>
    <w:rsid w:val="000B1CE8"/>
    <w:rsid w:val="000B1D59"/>
    <w:rsid w:val="000B1D96"/>
    <w:rsid w:val="000B1E65"/>
    <w:rsid w:val="000B2342"/>
    <w:rsid w:val="000B234E"/>
    <w:rsid w:val="000B2742"/>
    <w:rsid w:val="000B2D0C"/>
    <w:rsid w:val="000B36CB"/>
    <w:rsid w:val="000B3A56"/>
    <w:rsid w:val="000B3D35"/>
    <w:rsid w:val="000B3EDB"/>
    <w:rsid w:val="000B447C"/>
    <w:rsid w:val="000B456E"/>
    <w:rsid w:val="000B472B"/>
    <w:rsid w:val="000B4782"/>
    <w:rsid w:val="000B4878"/>
    <w:rsid w:val="000B501C"/>
    <w:rsid w:val="000B50C0"/>
    <w:rsid w:val="000B5277"/>
    <w:rsid w:val="000B53EB"/>
    <w:rsid w:val="000B543D"/>
    <w:rsid w:val="000B55F9"/>
    <w:rsid w:val="000B5843"/>
    <w:rsid w:val="000B5B45"/>
    <w:rsid w:val="000B5BBB"/>
    <w:rsid w:val="000B5BF7"/>
    <w:rsid w:val="000B5CE3"/>
    <w:rsid w:val="000B5E52"/>
    <w:rsid w:val="000B5F23"/>
    <w:rsid w:val="000B60EF"/>
    <w:rsid w:val="000B6314"/>
    <w:rsid w:val="000B64BC"/>
    <w:rsid w:val="000B661B"/>
    <w:rsid w:val="000B66A3"/>
    <w:rsid w:val="000B6871"/>
    <w:rsid w:val="000B6A33"/>
    <w:rsid w:val="000B6BC8"/>
    <w:rsid w:val="000B6BFA"/>
    <w:rsid w:val="000B6CEA"/>
    <w:rsid w:val="000B70C9"/>
    <w:rsid w:val="000B753F"/>
    <w:rsid w:val="000B75B9"/>
    <w:rsid w:val="000B75F4"/>
    <w:rsid w:val="000B7760"/>
    <w:rsid w:val="000B7889"/>
    <w:rsid w:val="000B7AD9"/>
    <w:rsid w:val="000B7B88"/>
    <w:rsid w:val="000C005B"/>
    <w:rsid w:val="000C0303"/>
    <w:rsid w:val="000C0AC1"/>
    <w:rsid w:val="000C0EA6"/>
    <w:rsid w:val="000C0F0C"/>
    <w:rsid w:val="000C11AF"/>
    <w:rsid w:val="000C1246"/>
    <w:rsid w:val="000C12DF"/>
    <w:rsid w:val="000C176B"/>
    <w:rsid w:val="000C1895"/>
    <w:rsid w:val="000C1A8B"/>
    <w:rsid w:val="000C1D0C"/>
    <w:rsid w:val="000C20CF"/>
    <w:rsid w:val="000C2164"/>
    <w:rsid w:val="000C266F"/>
    <w:rsid w:val="000C2D78"/>
    <w:rsid w:val="000C2FE2"/>
    <w:rsid w:val="000C3013"/>
    <w:rsid w:val="000C3589"/>
    <w:rsid w:val="000C3B5F"/>
    <w:rsid w:val="000C3E2F"/>
    <w:rsid w:val="000C3EA4"/>
    <w:rsid w:val="000C42EA"/>
    <w:rsid w:val="000C4546"/>
    <w:rsid w:val="000C46B8"/>
    <w:rsid w:val="000C47D0"/>
    <w:rsid w:val="000C4B7D"/>
    <w:rsid w:val="000C4BD8"/>
    <w:rsid w:val="000C4E08"/>
    <w:rsid w:val="000C4E1F"/>
    <w:rsid w:val="000C4F5C"/>
    <w:rsid w:val="000C52F2"/>
    <w:rsid w:val="000C53FB"/>
    <w:rsid w:val="000C5E20"/>
    <w:rsid w:val="000C6973"/>
    <w:rsid w:val="000C69E6"/>
    <w:rsid w:val="000C735C"/>
    <w:rsid w:val="000C78DB"/>
    <w:rsid w:val="000C798F"/>
    <w:rsid w:val="000C7B42"/>
    <w:rsid w:val="000D0207"/>
    <w:rsid w:val="000D09D0"/>
    <w:rsid w:val="000D0A55"/>
    <w:rsid w:val="000D0D6E"/>
    <w:rsid w:val="000D11E8"/>
    <w:rsid w:val="000D1242"/>
    <w:rsid w:val="000D17BC"/>
    <w:rsid w:val="000D1A19"/>
    <w:rsid w:val="000D1A50"/>
    <w:rsid w:val="000D1BF2"/>
    <w:rsid w:val="000D1E53"/>
    <w:rsid w:val="000D2137"/>
    <w:rsid w:val="000D231B"/>
    <w:rsid w:val="000D24D0"/>
    <w:rsid w:val="000D2A26"/>
    <w:rsid w:val="000D2ABA"/>
    <w:rsid w:val="000D2E21"/>
    <w:rsid w:val="000D3127"/>
    <w:rsid w:val="000D3442"/>
    <w:rsid w:val="000D387A"/>
    <w:rsid w:val="000D3AC5"/>
    <w:rsid w:val="000D3DB4"/>
    <w:rsid w:val="000D424F"/>
    <w:rsid w:val="000D4385"/>
    <w:rsid w:val="000D478A"/>
    <w:rsid w:val="000D48A5"/>
    <w:rsid w:val="000D49F8"/>
    <w:rsid w:val="000D4A0C"/>
    <w:rsid w:val="000D4FCB"/>
    <w:rsid w:val="000D5076"/>
    <w:rsid w:val="000D53EE"/>
    <w:rsid w:val="000D55CE"/>
    <w:rsid w:val="000D57C9"/>
    <w:rsid w:val="000D5922"/>
    <w:rsid w:val="000D5C69"/>
    <w:rsid w:val="000D5E0E"/>
    <w:rsid w:val="000D6816"/>
    <w:rsid w:val="000D6C6B"/>
    <w:rsid w:val="000D6DDA"/>
    <w:rsid w:val="000D6FC6"/>
    <w:rsid w:val="000D74ED"/>
    <w:rsid w:val="000D76BF"/>
    <w:rsid w:val="000D7C77"/>
    <w:rsid w:val="000D7E11"/>
    <w:rsid w:val="000D7FBA"/>
    <w:rsid w:val="000E015D"/>
    <w:rsid w:val="000E03C6"/>
    <w:rsid w:val="000E04ED"/>
    <w:rsid w:val="000E0970"/>
    <w:rsid w:val="000E0A2C"/>
    <w:rsid w:val="000E0FC0"/>
    <w:rsid w:val="000E13E3"/>
    <w:rsid w:val="000E19A4"/>
    <w:rsid w:val="000E1A13"/>
    <w:rsid w:val="000E1BCD"/>
    <w:rsid w:val="000E1BD9"/>
    <w:rsid w:val="000E1FA3"/>
    <w:rsid w:val="000E21BE"/>
    <w:rsid w:val="000E2703"/>
    <w:rsid w:val="000E29B2"/>
    <w:rsid w:val="000E2C12"/>
    <w:rsid w:val="000E2CB0"/>
    <w:rsid w:val="000E33A4"/>
    <w:rsid w:val="000E3AAF"/>
    <w:rsid w:val="000E3CC7"/>
    <w:rsid w:val="000E4315"/>
    <w:rsid w:val="000E4683"/>
    <w:rsid w:val="000E46E8"/>
    <w:rsid w:val="000E48C0"/>
    <w:rsid w:val="000E4A15"/>
    <w:rsid w:val="000E4B14"/>
    <w:rsid w:val="000E4CAD"/>
    <w:rsid w:val="000E4D3A"/>
    <w:rsid w:val="000E5019"/>
    <w:rsid w:val="000E5086"/>
    <w:rsid w:val="000E51B3"/>
    <w:rsid w:val="000E5401"/>
    <w:rsid w:val="000E5493"/>
    <w:rsid w:val="000E56AE"/>
    <w:rsid w:val="000E5EC6"/>
    <w:rsid w:val="000E5ED5"/>
    <w:rsid w:val="000E603A"/>
    <w:rsid w:val="000E6043"/>
    <w:rsid w:val="000E60AA"/>
    <w:rsid w:val="000E610A"/>
    <w:rsid w:val="000E6361"/>
    <w:rsid w:val="000E657A"/>
    <w:rsid w:val="000E6599"/>
    <w:rsid w:val="000E6BD4"/>
    <w:rsid w:val="000E6D6D"/>
    <w:rsid w:val="000E7056"/>
    <w:rsid w:val="000E746D"/>
    <w:rsid w:val="000E7819"/>
    <w:rsid w:val="000E7946"/>
    <w:rsid w:val="000E7CA9"/>
    <w:rsid w:val="000E7E71"/>
    <w:rsid w:val="000E7EE0"/>
    <w:rsid w:val="000E7F00"/>
    <w:rsid w:val="000F0217"/>
    <w:rsid w:val="000F0B46"/>
    <w:rsid w:val="000F0E4B"/>
    <w:rsid w:val="000F0E4D"/>
    <w:rsid w:val="000F0EDC"/>
    <w:rsid w:val="000F1575"/>
    <w:rsid w:val="000F1896"/>
    <w:rsid w:val="000F1F1E"/>
    <w:rsid w:val="000F2176"/>
    <w:rsid w:val="000F2259"/>
    <w:rsid w:val="000F22DB"/>
    <w:rsid w:val="000F2496"/>
    <w:rsid w:val="000F289B"/>
    <w:rsid w:val="000F2D6C"/>
    <w:rsid w:val="000F2DDA"/>
    <w:rsid w:val="000F2EA0"/>
    <w:rsid w:val="000F3093"/>
    <w:rsid w:val="000F3316"/>
    <w:rsid w:val="000F3A1F"/>
    <w:rsid w:val="000F3D6A"/>
    <w:rsid w:val="000F3F2A"/>
    <w:rsid w:val="000F3F2D"/>
    <w:rsid w:val="000F3F2E"/>
    <w:rsid w:val="000F4118"/>
    <w:rsid w:val="000F443C"/>
    <w:rsid w:val="000F484B"/>
    <w:rsid w:val="000F495F"/>
    <w:rsid w:val="000F49F4"/>
    <w:rsid w:val="000F4C5C"/>
    <w:rsid w:val="000F4D8B"/>
    <w:rsid w:val="000F5213"/>
    <w:rsid w:val="000F5945"/>
    <w:rsid w:val="000F5E8D"/>
    <w:rsid w:val="000F6052"/>
    <w:rsid w:val="000F6548"/>
    <w:rsid w:val="000F6681"/>
    <w:rsid w:val="000F6A4A"/>
    <w:rsid w:val="000F6BA2"/>
    <w:rsid w:val="000F733E"/>
    <w:rsid w:val="000F796C"/>
    <w:rsid w:val="000F7C3A"/>
    <w:rsid w:val="000F7D3B"/>
    <w:rsid w:val="000F7D5F"/>
    <w:rsid w:val="000F7DDB"/>
    <w:rsid w:val="000F7E65"/>
    <w:rsid w:val="000F7FA5"/>
    <w:rsid w:val="00100082"/>
    <w:rsid w:val="00100A9F"/>
    <w:rsid w:val="00100F6E"/>
    <w:rsid w:val="00101001"/>
    <w:rsid w:val="001011EB"/>
    <w:rsid w:val="001017AA"/>
    <w:rsid w:val="00101BB4"/>
    <w:rsid w:val="00101BC4"/>
    <w:rsid w:val="00101BEC"/>
    <w:rsid w:val="00101C05"/>
    <w:rsid w:val="00101C56"/>
    <w:rsid w:val="00102021"/>
    <w:rsid w:val="00102045"/>
    <w:rsid w:val="0010230D"/>
    <w:rsid w:val="00102624"/>
    <w:rsid w:val="001026AB"/>
    <w:rsid w:val="001026F7"/>
    <w:rsid w:val="001030F8"/>
    <w:rsid w:val="001031F1"/>
    <w:rsid w:val="00103269"/>
    <w:rsid w:val="00103276"/>
    <w:rsid w:val="00103310"/>
    <w:rsid w:val="0010355B"/>
    <w:rsid w:val="0010392D"/>
    <w:rsid w:val="00103C30"/>
    <w:rsid w:val="00103D1D"/>
    <w:rsid w:val="001040C6"/>
    <w:rsid w:val="001040ED"/>
    <w:rsid w:val="001041BB"/>
    <w:rsid w:val="00104207"/>
    <w:rsid w:val="0010447F"/>
    <w:rsid w:val="00104655"/>
    <w:rsid w:val="0010475A"/>
    <w:rsid w:val="001047D1"/>
    <w:rsid w:val="00104A75"/>
    <w:rsid w:val="00104AEB"/>
    <w:rsid w:val="00104C68"/>
    <w:rsid w:val="00104F09"/>
    <w:rsid w:val="00104FE3"/>
    <w:rsid w:val="001050C9"/>
    <w:rsid w:val="001058F6"/>
    <w:rsid w:val="001059A5"/>
    <w:rsid w:val="00105A35"/>
    <w:rsid w:val="00105F7E"/>
    <w:rsid w:val="00105FC3"/>
    <w:rsid w:val="001063A8"/>
    <w:rsid w:val="001069C6"/>
    <w:rsid w:val="00106D30"/>
    <w:rsid w:val="00106F36"/>
    <w:rsid w:val="0010714F"/>
    <w:rsid w:val="00107182"/>
    <w:rsid w:val="001073AF"/>
    <w:rsid w:val="00107EFE"/>
    <w:rsid w:val="001101C9"/>
    <w:rsid w:val="0011024F"/>
    <w:rsid w:val="00110367"/>
    <w:rsid w:val="001105C3"/>
    <w:rsid w:val="001106FA"/>
    <w:rsid w:val="00110728"/>
    <w:rsid w:val="0011091A"/>
    <w:rsid w:val="00110B8D"/>
    <w:rsid w:val="001110F5"/>
    <w:rsid w:val="001112D4"/>
    <w:rsid w:val="0011147F"/>
    <w:rsid w:val="00111504"/>
    <w:rsid w:val="00111550"/>
    <w:rsid w:val="00111997"/>
    <w:rsid w:val="00111B52"/>
    <w:rsid w:val="00111DE6"/>
    <w:rsid w:val="0011208A"/>
    <w:rsid w:val="001120BC"/>
    <w:rsid w:val="001120C5"/>
    <w:rsid w:val="0011220F"/>
    <w:rsid w:val="00112243"/>
    <w:rsid w:val="0011237D"/>
    <w:rsid w:val="001123F9"/>
    <w:rsid w:val="00112503"/>
    <w:rsid w:val="001125D1"/>
    <w:rsid w:val="00113042"/>
    <w:rsid w:val="00113242"/>
    <w:rsid w:val="00113584"/>
    <w:rsid w:val="00113640"/>
    <w:rsid w:val="001136E5"/>
    <w:rsid w:val="00113866"/>
    <w:rsid w:val="001146C0"/>
    <w:rsid w:val="001146C9"/>
    <w:rsid w:val="00114B83"/>
    <w:rsid w:val="00114C12"/>
    <w:rsid w:val="00114FBE"/>
    <w:rsid w:val="00114FD4"/>
    <w:rsid w:val="0011511B"/>
    <w:rsid w:val="001151A2"/>
    <w:rsid w:val="00115397"/>
    <w:rsid w:val="001154B8"/>
    <w:rsid w:val="00115622"/>
    <w:rsid w:val="0011570E"/>
    <w:rsid w:val="00116079"/>
    <w:rsid w:val="00116163"/>
    <w:rsid w:val="001161A3"/>
    <w:rsid w:val="00116491"/>
    <w:rsid w:val="001165CE"/>
    <w:rsid w:val="001165EC"/>
    <w:rsid w:val="00116787"/>
    <w:rsid w:val="001167E2"/>
    <w:rsid w:val="0011683D"/>
    <w:rsid w:val="0011692C"/>
    <w:rsid w:val="00116941"/>
    <w:rsid w:val="00116ABA"/>
    <w:rsid w:val="00116C92"/>
    <w:rsid w:val="00117F7B"/>
    <w:rsid w:val="0012072B"/>
    <w:rsid w:val="00120730"/>
    <w:rsid w:val="00120BD3"/>
    <w:rsid w:val="00120E35"/>
    <w:rsid w:val="00120EC1"/>
    <w:rsid w:val="00120ED3"/>
    <w:rsid w:val="001211A2"/>
    <w:rsid w:val="00121563"/>
    <w:rsid w:val="00121676"/>
    <w:rsid w:val="00121998"/>
    <w:rsid w:val="00121CCE"/>
    <w:rsid w:val="00121E58"/>
    <w:rsid w:val="00122109"/>
    <w:rsid w:val="0012218B"/>
    <w:rsid w:val="0012237C"/>
    <w:rsid w:val="001226A8"/>
    <w:rsid w:val="0012293F"/>
    <w:rsid w:val="00122AED"/>
    <w:rsid w:val="00122FEA"/>
    <w:rsid w:val="001232BD"/>
    <w:rsid w:val="001236DC"/>
    <w:rsid w:val="00123B7F"/>
    <w:rsid w:val="0012420F"/>
    <w:rsid w:val="001242AB"/>
    <w:rsid w:val="001246CD"/>
    <w:rsid w:val="00124933"/>
    <w:rsid w:val="00124EBF"/>
    <w:rsid w:val="00124ED5"/>
    <w:rsid w:val="00124F79"/>
    <w:rsid w:val="001251BA"/>
    <w:rsid w:val="00125322"/>
    <w:rsid w:val="001253BB"/>
    <w:rsid w:val="0012561A"/>
    <w:rsid w:val="00125B4C"/>
    <w:rsid w:val="00125DCE"/>
    <w:rsid w:val="00125DEF"/>
    <w:rsid w:val="00125E19"/>
    <w:rsid w:val="00125EC5"/>
    <w:rsid w:val="0012622B"/>
    <w:rsid w:val="00126308"/>
    <w:rsid w:val="00126504"/>
    <w:rsid w:val="00126A38"/>
    <w:rsid w:val="00126C52"/>
    <w:rsid w:val="00126DAB"/>
    <w:rsid w:val="00126E11"/>
    <w:rsid w:val="00126EA7"/>
    <w:rsid w:val="00127576"/>
    <w:rsid w:val="001276E1"/>
    <w:rsid w:val="001276FA"/>
    <w:rsid w:val="00127AE5"/>
    <w:rsid w:val="00127C44"/>
    <w:rsid w:val="00127D5D"/>
    <w:rsid w:val="00127F37"/>
    <w:rsid w:val="001300C9"/>
    <w:rsid w:val="00130190"/>
    <w:rsid w:val="00130702"/>
    <w:rsid w:val="00130FA6"/>
    <w:rsid w:val="00131011"/>
    <w:rsid w:val="001310BF"/>
    <w:rsid w:val="00131193"/>
    <w:rsid w:val="00131665"/>
    <w:rsid w:val="00131C96"/>
    <w:rsid w:val="001320C7"/>
    <w:rsid w:val="001322C6"/>
    <w:rsid w:val="001323CB"/>
    <w:rsid w:val="00132406"/>
    <w:rsid w:val="001327F7"/>
    <w:rsid w:val="001328FF"/>
    <w:rsid w:val="00132B46"/>
    <w:rsid w:val="00132DA9"/>
    <w:rsid w:val="00133515"/>
    <w:rsid w:val="001337C2"/>
    <w:rsid w:val="00133EC3"/>
    <w:rsid w:val="00134299"/>
    <w:rsid w:val="001343B2"/>
    <w:rsid w:val="00134663"/>
    <w:rsid w:val="001346E6"/>
    <w:rsid w:val="00134AF7"/>
    <w:rsid w:val="00134C4B"/>
    <w:rsid w:val="00134D84"/>
    <w:rsid w:val="00134EF4"/>
    <w:rsid w:val="00135071"/>
    <w:rsid w:val="0013517A"/>
    <w:rsid w:val="00135849"/>
    <w:rsid w:val="00135C07"/>
    <w:rsid w:val="00135CC2"/>
    <w:rsid w:val="001367C2"/>
    <w:rsid w:val="001368E0"/>
    <w:rsid w:val="00137052"/>
    <w:rsid w:val="001374CD"/>
    <w:rsid w:val="00137777"/>
    <w:rsid w:val="0013778C"/>
    <w:rsid w:val="00137812"/>
    <w:rsid w:val="001378F9"/>
    <w:rsid w:val="0013793E"/>
    <w:rsid w:val="00137BFE"/>
    <w:rsid w:val="001400B4"/>
    <w:rsid w:val="00140407"/>
    <w:rsid w:val="001406A1"/>
    <w:rsid w:val="00141491"/>
    <w:rsid w:val="0014168C"/>
    <w:rsid w:val="0014175D"/>
    <w:rsid w:val="001425B1"/>
    <w:rsid w:val="0014278A"/>
    <w:rsid w:val="0014292D"/>
    <w:rsid w:val="00143424"/>
    <w:rsid w:val="001434E3"/>
    <w:rsid w:val="001435FF"/>
    <w:rsid w:val="001439B9"/>
    <w:rsid w:val="00143CE9"/>
    <w:rsid w:val="00143E93"/>
    <w:rsid w:val="001441A0"/>
    <w:rsid w:val="001447B3"/>
    <w:rsid w:val="001447E9"/>
    <w:rsid w:val="00144836"/>
    <w:rsid w:val="00144CCF"/>
    <w:rsid w:val="00145095"/>
    <w:rsid w:val="0014549D"/>
    <w:rsid w:val="00145642"/>
    <w:rsid w:val="0014574E"/>
    <w:rsid w:val="001457FA"/>
    <w:rsid w:val="00145808"/>
    <w:rsid w:val="001458B9"/>
    <w:rsid w:val="00145946"/>
    <w:rsid w:val="001459A0"/>
    <w:rsid w:val="00146160"/>
    <w:rsid w:val="0014679A"/>
    <w:rsid w:val="00146DC7"/>
    <w:rsid w:val="001472D2"/>
    <w:rsid w:val="001473BC"/>
    <w:rsid w:val="0014755F"/>
    <w:rsid w:val="00147708"/>
    <w:rsid w:val="00147891"/>
    <w:rsid w:val="00147A11"/>
    <w:rsid w:val="00147A7C"/>
    <w:rsid w:val="00147AEE"/>
    <w:rsid w:val="00147DB3"/>
    <w:rsid w:val="001500BA"/>
    <w:rsid w:val="0015043F"/>
    <w:rsid w:val="00150780"/>
    <w:rsid w:val="001507D1"/>
    <w:rsid w:val="001509D1"/>
    <w:rsid w:val="00150D55"/>
    <w:rsid w:val="00150F35"/>
    <w:rsid w:val="00151349"/>
    <w:rsid w:val="00151351"/>
    <w:rsid w:val="00151DA7"/>
    <w:rsid w:val="00151EBD"/>
    <w:rsid w:val="00152073"/>
    <w:rsid w:val="001520E6"/>
    <w:rsid w:val="00152234"/>
    <w:rsid w:val="00152329"/>
    <w:rsid w:val="00152AD4"/>
    <w:rsid w:val="00152E05"/>
    <w:rsid w:val="001530F7"/>
    <w:rsid w:val="00153225"/>
    <w:rsid w:val="00153626"/>
    <w:rsid w:val="00153B98"/>
    <w:rsid w:val="00153D2B"/>
    <w:rsid w:val="00153EF3"/>
    <w:rsid w:val="001546A8"/>
    <w:rsid w:val="00155379"/>
    <w:rsid w:val="001555F9"/>
    <w:rsid w:val="00155768"/>
    <w:rsid w:val="00155810"/>
    <w:rsid w:val="00155A69"/>
    <w:rsid w:val="00155C80"/>
    <w:rsid w:val="00155EE1"/>
    <w:rsid w:val="00156365"/>
    <w:rsid w:val="00156586"/>
    <w:rsid w:val="00156598"/>
    <w:rsid w:val="001565D8"/>
    <w:rsid w:val="00156CEC"/>
    <w:rsid w:val="00156E28"/>
    <w:rsid w:val="00156F99"/>
    <w:rsid w:val="00157B24"/>
    <w:rsid w:val="00160389"/>
    <w:rsid w:val="0016053C"/>
    <w:rsid w:val="00160556"/>
    <w:rsid w:val="00160DC6"/>
    <w:rsid w:val="00160DD3"/>
    <w:rsid w:val="00161490"/>
    <w:rsid w:val="001614B6"/>
    <w:rsid w:val="0016161D"/>
    <w:rsid w:val="00161631"/>
    <w:rsid w:val="00161939"/>
    <w:rsid w:val="00161968"/>
    <w:rsid w:val="00161AA0"/>
    <w:rsid w:val="00161B0B"/>
    <w:rsid w:val="00161D2E"/>
    <w:rsid w:val="00161D3E"/>
    <w:rsid w:val="00161DB7"/>
    <w:rsid w:val="00161DD7"/>
    <w:rsid w:val="00161F3E"/>
    <w:rsid w:val="00162043"/>
    <w:rsid w:val="00162093"/>
    <w:rsid w:val="001623CE"/>
    <w:rsid w:val="001627B7"/>
    <w:rsid w:val="00162887"/>
    <w:rsid w:val="00162938"/>
    <w:rsid w:val="00162B0B"/>
    <w:rsid w:val="00162B9B"/>
    <w:rsid w:val="00162CA9"/>
    <w:rsid w:val="00163481"/>
    <w:rsid w:val="001635F7"/>
    <w:rsid w:val="00163735"/>
    <w:rsid w:val="00163843"/>
    <w:rsid w:val="00163A98"/>
    <w:rsid w:val="00163B67"/>
    <w:rsid w:val="00163F33"/>
    <w:rsid w:val="00164091"/>
    <w:rsid w:val="001643E0"/>
    <w:rsid w:val="0016475B"/>
    <w:rsid w:val="00165269"/>
    <w:rsid w:val="00165459"/>
    <w:rsid w:val="001658A2"/>
    <w:rsid w:val="00165A57"/>
    <w:rsid w:val="00165CA8"/>
    <w:rsid w:val="001663CD"/>
    <w:rsid w:val="00166526"/>
    <w:rsid w:val="00166617"/>
    <w:rsid w:val="0016692F"/>
    <w:rsid w:val="00166EB6"/>
    <w:rsid w:val="001672E3"/>
    <w:rsid w:val="001673E3"/>
    <w:rsid w:val="0016751F"/>
    <w:rsid w:val="0016778C"/>
    <w:rsid w:val="00167AF5"/>
    <w:rsid w:val="00167B00"/>
    <w:rsid w:val="00167CE5"/>
    <w:rsid w:val="00167D4D"/>
    <w:rsid w:val="00170651"/>
    <w:rsid w:val="001706B4"/>
    <w:rsid w:val="00170C6D"/>
    <w:rsid w:val="00170F23"/>
    <w:rsid w:val="00171022"/>
    <w:rsid w:val="00171290"/>
    <w:rsid w:val="001712C2"/>
    <w:rsid w:val="00171306"/>
    <w:rsid w:val="0017132B"/>
    <w:rsid w:val="001714D3"/>
    <w:rsid w:val="00171668"/>
    <w:rsid w:val="00171968"/>
    <w:rsid w:val="00171A98"/>
    <w:rsid w:val="00171ACE"/>
    <w:rsid w:val="00171B0B"/>
    <w:rsid w:val="00171D7B"/>
    <w:rsid w:val="00171DA4"/>
    <w:rsid w:val="00171DF2"/>
    <w:rsid w:val="00171F9D"/>
    <w:rsid w:val="00172171"/>
    <w:rsid w:val="0017228A"/>
    <w:rsid w:val="001725E6"/>
    <w:rsid w:val="001726FB"/>
    <w:rsid w:val="001728B8"/>
    <w:rsid w:val="00172BAF"/>
    <w:rsid w:val="00172BC9"/>
    <w:rsid w:val="0017304B"/>
    <w:rsid w:val="00173203"/>
    <w:rsid w:val="00173CA4"/>
    <w:rsid w:val="001740E0"/>
    <w:rsid w:val="001744A9"/>
    <w:rsid w:val="00174518"/>
    <w:rsid w:val="00174681"/>
    <w:rsid w:val="00174C17"/>
    <w:rsid w:val="0017501B"/>
    <w:rsid w:val="001750DB"/>
    <w:rsid w:val="00175794"/>
    <w:rsid w:val="00175965"/>
    <w:rsid w:val="00175994"/>
    <w:rsid w:val="001762BB"/>
    <w:rsid w:val="001765FE"/>
    <w:rsid w:val="0017674D"/>
    <w:rsid w:val="00176A1D"/>
    <w:rsid w:val="00176C5F"/>
    <w:rsid w:val="00176EA7"/>
    <w:rsid w:val="00176FA9"/>
    <w:rsid w:val="0017713D"/>
    <w:rsid w:val="001771DD"/>
    <w:rsid w:val="00177576"/>
    <w:rsid w:val="001777F5"/>
    <w:rsid w:val="00177995"/>
    <w:rsid w:val="00177A8C"/>
    <w:rsid w:val="00177E3A"/>
    <w:rsid w:val="00177E40"/>
    <w:rsid w:val="0018039B"/>
    <w:rsid w:val="001806A0"/>
    <w:rsid w:val="00180725"/>
    <w:rsid w:val="00180A33"/>
    <w:rsid w:val="00180AB0"/>
    <w:rsid w:val="00180E9E"/>
    <w:rsid w:val="001810F5"/>
    <w:rsid w:val="00181108"/>
    <w:rsid w:val="001811DE"/>
    <w:rsid w:val="001812E1"/>
    <w:rsid w:val="00181753"/>
    <w:rsid w:val="00182342"/>
    <w:rsid w:val="001823DD"/>
    <w:rsid w:val="0018244E"/>
    <w:rsid w:val="00182A62"/>
    <w:rsid w:val="00182B93"/>
    <w:rsid w:val="00182F51"/>
    <w:rsid w:val="00183B2E"/>
    <w:rsid w:val="0018430E"/>
    <w:rsid w:val="001844E3"/>
    <w:rsid w:val="0018480D"/>
    <w:rsid w:val="001849AC"/>
    <w:rsid w:val="001849B5"/>
    <w:rsid w:val="001849E4"/>
    <w:rsid w:val="00184DED"/>
    <w:rsid w:val="00184F74"/>
    <w:rsid w:val="001855E2"/>
    <w:rsid w:val="00185697"/>
    <w:rsid w:val="00185AF9"/>
    <w:rsid w:val="00185BD7"/>
    <w:rsid w:val="00185DF9"/>
    <w:rsid w:val="00186048"/>
    <w:rsid w:val="0018622F"/>
    <w:rsid w:val="001862C6"/>
    <w:rsid w:val="00186B33"/>
    <w:rsid w:val="00186CDF"/>
    <w:rsid w:val="00186E10"/>
    <w:rsid w:val="00187248"/>
    <w:rsid w:val="0018728C"/>
    <w:rsid w:val="001873B9"/>
    <w:rsid w:val="00187552"/>
    <w:rsid w:val="001875AC"/>
    <w:rsid w:val="001878FE"/>
    <w:rsid w:val="00187A33"/>
    <w:rsid w:val="00187BFE"/>
    <w:rsid w:val="00187EE3"/>
    <w:rsid w:val="0019013C"/>
    <w:rsid w:val="001902A4"/>
    <w:rsid w:val="00190889"/>
    <w:rsid w:val="00191052"/>
    <w:rsid w:val="0019124A"/>
    <w:rsid w:val="001919B2"/>
    <w:rsid w:val="00191A0B"/>
    <w:rsid w:val="00191A2E"/>
    <w:rsid w:val="00191C1C"/>
    <w:rsid w:val="00191DB2"/>
    <w:rsid w:val="00192656"/>
    <w:rsid w:val="00192946"/>
    <w:rsid w:val="00192E94"/>
    <w:rsid w:val="00192F9D"/>
    <w:rsid w:val="00193331"/>
    <w:rsid w:val="00193468"/>
    <w:rsid w:val="00193779"/>
    <w:rsid w:val="0019389F"/>
    <w:rsid w:val="00193BD7"/>
    <w:rsid w:val="00193EB4"/>
    <w:rsid w:val="00194246"/>
    <w:rsid w:val="0019431F"/>
    <w:rsid w:val="0019446E"/>
    <w:rsid w:val="001945BC"/>
    <w:rsid w:val="001945C5"/>
    <w:rsid w:val="00194619"/>
    <w:rsid w:val="0019496A"/>
    <w:rsid w:val="00194BD8"/>
    <w:rsid w:val="00194DC1"/>
    <w:rsid w:val="00195032"/>
    <w:rsid w:val="001951EF"/>
    <w:rsid w:val="00195329"/>
    <w:rsid w:val="001958F4"/>
    <w:rsid w:val="00195C11"/>
    <w:rsid w:val="00196034"/>
    <w:rsid w:val="001960E0"/>
    <w:rsid w:val="00196A2A"/>
    <w:rsid w:val="00196A41"/>
    <w:rsid w:val="00196B45"/>
    <w:rsid w:val="00196EB8"/>
    <w:rsid w:val="00196EFB"/>
    <w:rsid w:val="001971E3"/>
    <w:rsid w:val="001979FF"/>
    <w:rsid w:val="00197B17"/>
    <w:rsid w:val="00197CE6"/>
    <w:rsid w:val="00197E67"/>
    <w:rsid w:val="00197F66"/>
    <w:rsid w:val="00197F87"/>
    <w:rsid w:val="001A01B0"/>
    <w:rsid w:val="001A0421"/>
    <w:rsid w:val="001A0B42"/>
    <w:rsid w:val="001A0F81"/>
    <w:rsid w:val="001A0FD8"/>
    <w:rsid w:val="001A1186"/>
    <w:rsid w:val="001A12FA"/>
    <w:rsid w:val="001A13EC"/>
    <w:rsid w:val="001A14F0"/>
    <w:rsid w:val="001A17CC"/>
    <w:rsid w:val="001A1950"/>
    <w:rsid w:val="001A195C"/>
    <w:rsid w:val="001A1A71"/>
    <w:rsid w:val="001A1AD8"/>
    <w:rsid w:val="001A1B3F"/>
    <w:rsid w:val="001A1C54"/>
    <w:rsid w:val="001A2411"/>
    <w:rsid w:val="001A2957"/>
    <w:rsid w:val="001A3048"/>
    <w:rsid w:val="001A3178"/>
    <w:rsid w:val="001A33F4"/>
    <w:rsid w:val="001A39ED"/>
    <w:rsid w:val="001A3ACE"/>
    <w:rsid w:val="001A411D"/>
    <w:rsid w:val="001A498E"/>
    <w:rsid w:val="001A4BD9"/>
    <w:rsid w:val="001A4FB7"/>
    <w:rsid w:val="001A4FE1"/>
    <w:rsid w:val="001A5380"/>
    <w:rsid w:val="001A5426"/>
    <w:rsid w:val="001A567D"/>
    <w:rsid w:val="001A5696"/>
    <w:rsid w:val="001A611E"/>
    <w:rsid w:val="001A6272"/>
    <w:rsid w:val="001A62AE"/>
    <w:rsid w:val="001A68FF"/>
    <w:rsid w:val="001A6A41"/>
    <w:rsid w:val="001A6B78"/>
    <w:rsid w:val="001A6D3B"/>
    <w:rsid w:val="001A6E07"/>
    <w:rsid w:val="001A6FF7"/>
    <w:rsid w:val="001A7109"/>
    <w:rsid w:val="001A76D6"/>
    <w:rsid w:val="001A779F"/>
    <w:rsid w:val="001A78A7"/>
    <w:rsid w:val="001A7DDD"/>
    <w:rsid w:val="001B0243"/>
    <w:rsid w:val="001B03A7"/>
    <w:rsid w:val="001B058F"/>
    <w:rsid w:val="001B059F"/>
    <w:rsid w:val="001B0936"/>
    <w:rsid w:val="001B0A0E"/>
    <w:rsid w:val="001B0E7E"/>
    <w:rsid w:val="001B1663"/>
    <w:rsid w:val="001B170C"/>
    <w:rsid w:val="001B172A"/>
    <w:rsid w:val="001B1E44"/>
    <w:rsid w:val="001B2135"/>
    <w:rsid w:val="001B2259"/>
    <w:rsid w:val="001B2789"/>
    <w:rsid w:val="001B27EB"/>
    <w:rsid w:val="001B27EE"/>
    <w:rsid w:val="001B2B28"/>
    <w:rsid w:val="001B2BAB"/>
    <w:rsid w:val="001B2E83"/>
    <w:rsid w:val="001B2E8D"/>
    <w:rsid w:val="001B3004"/>
    <w:rsid w:val="001B3251"/>
    <w:rsid w:val="001B3296"/>
    <w:rsid w:val="001B34A6"/>
    <w:rsid w:val="001B34CE"/>
    <w:rsid w:val="001B3BA2"/>
    <w:rsid w:val="001B3CCF"/>
    <w:rsid w:val="001B3DB0"/>
    <w:rsid w:val="001B3FB7"/>
    <w:rsid w:val="001B4415"/>
    <w:rsid w:val="001B4652"/>
    <w:rsid w:val="001B46A8"/>
    <w:rsid w:val="001B47F8"/>
    <w:rsid w:val="001B4884"/>
    <w:rsid w:val="001B4B68"/>
    <w:rsid w:val="001B5720"/>
    <w:rsid w:val="001B58C0"/>
    <w:rsid w:val="001B5ABF"/>
    <w:rsid w:val="001B5D84"/>
    <w:rsid w:val="001B5FF3"/>
    <w:rsid w:val="001B6473"/>
    <w:rsid w:val="001B66BC"/>
    <w:rsid w:val="001B6B7D"/>
    <w:rsid w:val="001B6B96"/>
    <w:rsid w:val="001B6C2D"/>
    <w:rsid w:val="001B6E09"/>
    <w:rsid w:val="001B6E58"/>
    <w:rsid w:val="001B738B"/>
    <w:rsid w:val="001B750D"/>
    <w:rsid w:val="001B7B39"/>
    <w:rsid w:val="001C0299"/>
    <w:rsid w:val="001C053B"/>
    <w:rsid w:val="001C0636"/>
    <w:rsid w:val="001C09DB"/>
    <w:rsid w:val="001C0FFE"/>
    <w:rsid w:val="001C1482"/>
    <w:rsid w:val="001C14C8"/>
    <w:rsid w:val="001C15E8"/>
    <w:rsid w:val="001C1763"/>
    <w:rsid w:val="001C1A27"/>
    <w:rsid w:val="001C1DD9"/>
    <w:rsid w:val="001C1F91"/>
    <w:rsid w:val="001C2009"/>
    <w:rsid w:val="001C2083"/>
    <w:rsid w:val="001C2186"/>
    <w:rsid w:val="001C277E"/>
    <w:rsid w:val="001C2A72"/>
    <w:rsid w:val="001C2BDE"/>
    <w:rsid w:val="001C2D98"/>
    <w:rsid w:val="001C2ECD"/>
    <w:rsid w:val="001C31B7"/>
    <w:rsid w:val="001C33A2"/>
    <w:rsid w:val="001C34DC"/>
    <w:rsid w:val="001C3D6D"/>
    <w:rsid w:val="001C3ED3"/>
    <w:rsid w:val="001C3FB9"/>
    <w:rsid w:val="001C3FCC"/>
    <w:rsid w:val="001C429B"/>
    <w:rsid w:val="001C439B"/>
    <w:rsid w:val="001C43F1"/>
    <w:rsid w:val="001C486A"/>
    <w:rsid w:val="001C487B"/>
    <w:rsid w:val="001C490E"/>
    <w:rsid w:val="001C4B38"/>
    <w:rsid w:val="001C51C3"/>
    <w:rsid w:val="001C545B"/>
    <w:rsid w:val="001C56B2"/>
    <w:rsid w:val="001C5785"/>
    <w:rsid w:val="001C5A8D"/>
    <w:rsid w:val="001C6134"/>
    <w:rsid w:val="001C6727"/>
    <w:rsid w:val="001C6924"/>
    <w:rsid w:val="001C6CD3"/>
    <w:rsid w:val="001C795E"/>
    <w:rsid w:val="001C7C34"/>
    <w:rsid w:val="001C7D11"/>
    <w:rsid w:val="001C7FD5"/>
    <w:rsid w:val="001D02DA"/>
    <w:rsid w:val="001D0321"/>
    <w:rsid w:val="001D06EA"/>
    <w:rsid w:val="001D08DB"/>
    <w:rsid w:val="001D0B75"/>
    <w:rsid w:val="001D101E"/>
    <w:rsid w:val="001D13E5"/>
    <w:rsid w:val="001D1579"/>
    <w:rsid w:val="001D17FD"/>
    <w:rsid w:val="001D18C5"/>
    <w:rsid w:val="001D2281"/>
    <w:rsid w:val="001D22DB"/>
    <w:rsid w:val="001D2A41"/>
    <w:rsid w:val="001D2A50"/>
    <w:rsid w:val="001D2CF4"/>
    <w:rsid w:val="001D2EB7"/>
    <w:rsid w:val="001D3365"/>
    <w:rsid w:val="001D373F"/>
    <w:rsid w:val="001D39A5"/>
    <w:rsid w:val="001D3AF3"/>
    <w:rsid w:val="001D3B6D"/>
    <w:rsid w:val="001D3C09"/>
    <w:rsid w:val="001D3D3A"/>
    <w:rsid w:val="001D3F5D"/>
    <w:rsid w:val="001D3F9C"/>
    <w:rsid w:val="001D41E6"/>
    <w:rsid w:val="001D42A0"/>
    <w:rsid w:val="001D4389"/>
    <w:rsid w:val="001D44E8"/>
    <w:rsid w:val="001D47FF"/>
    <w:rsid w:val="001D4C17"/>
    <w:rsid w:val="001D4F04"/>
    <w:rsid w:val="001D4F0D"/>
    <w:rsid w:val="001D50A8"/>
    <w:rsid w:val="001D530A"/>
    <w:rsid w:val="001D5B39"/>
    <w:rsid w:val="001D60EC"/>
    <w:rsid w:val="001D61AF"/>
    <w:rsid w:val="001D61E9"/>
    <w:rsid w:val="001D64F8"/>
    <w:rsid w:val="001D652E"/>
    <w:rsid w:val="001D6562"/>
    <w:rsid w:val="001D667A"/>
    <w:rsid w:val="001D6B9B"/>
    <w:rsid w:val="001D6CD3"/>
    <w:rsid w:val="001D6F59"/>
    <w:rsid w:val="001D7057"/>
    <w:rsid w:val="001D72EE"/>
    <w:rsid w:val="001D77D9"/>
    <w:rsid w:val="001D791A"/>
    <w:rsid w:val="001D7E94"/>
    <w:rsid w:val="001D7ECD"/>
    <w:rsid w:val="001E0403"/>
    <w:rsid w:val="001E06EF"/>
    <w:rsid w:val="001E0767"/>
    <w:rsid w:val="001E0A3B"/>
    <w:rsid w:val="001E0A73"/>
    <w:rsid w:val="001E0D00"/>
    <w:rsid w:val="001E0F64"/>
    <w:rsid w:val="001E15BF"/>
    <w:rsid w:val="001E1624"/>
    <w:rsid w:val="001E1959"/>
    <w:rsid w:val="001E1C77"/>
    <w:rsid w:val="001E2101"/>
    <w:rsid w:val="001E2244"/>
    <w:rsid w:val="001E22A6"/>
    <w:rsid w:val="001E342B"/>
    <w:rsid w:val="001E3443"/>
    <w:rsid w:val="001E3AD9"/>
    <w:rsid w:val="001E3C56"/>
    <w:rsid w:val="001E3CC5"/>
    <w:rsid w:val="001E3D35"/>
    <w:rsid w:val="001E3DF3"/>
    <w:rsid w:val="001E41C0"/>
    <w:rsid w:val="001E447B"/>
    <w:rsid w:val="001E44DF"/>
    <w:rsid w:val="001E46DE"/>
    <w:rsid w:val="001E4702"/>
    <w:rsid w:val="001E4D7C"/>
    <w:rsid w:val="001E4E65"/>
    <w:rsid w:val="001E4F8B"/>
    <w:rsid w:val="001E5521"/>
    <w:rsid w:val="001E573E"/>
    <w:rsid w:val="001E5CC9"/>
    <w:rsid w:val="001E5E67"/>
    <w:rsid w:val="001E5EE2"/>
    <w:rsid w:val="001E5F10"/>
    <w:rsid w:val="001E620F"/>
    <w:rsid w:val="001E63B2"/>
    <w:rsid w:val="001E643D"/>
    <w:rsid w:val="001E65BF"/>
    <w:rsid w:val="001E6768"/>
    <w:rsid w:val="001E68A5"/>
    <w:rsid w:val="001E6BB0"/>
    <w:rsid w:val="001E6EE3"/>
    <w:rsid w:val="001E7084"/>
    <w:rsid w:val="001E7282"/>
    <w:rsid w:val="001E7B00"/>
    <w:rsid w:val="001E7FA8"/>
    <w:rsid w:val="001F0114"/>
    <w:rsid w:val="001F01EC"/>
    <w:rsid w:val="001F0515"/>
    <w:rsid w:val="001F05A9"/>
    <w:rsid w:val="001F0675"/>
    <w:rsid w:val="001F0A13"/>
    <w:rsid w:val="001F0CE8"/>
    <w:rsid w:val="001F1040"/>
    <w:rsid w:val="001F119F"/>
    <w:rsid w:val="001F17AE"/>
    <w:rsid w:val="001F1AA7"/>
    <w:rsid w:val="001F1FC6"/>
    <w:rsid w:val="001F2054"/>
    <w:rsid w:val="001F215B"/>
    <w:rsid w:val="001F2563"/>
    <w:rsid w:val="001F260D"/>
    <w:rsid w:val="001F264D"/>
    <w:rsid w:val="001F27CD"/>
    <w:rsid w:val="001F2871"/>
    <w:rsid w:val="001F2D8E"/>
    <w:rsid w:val="001F2E20"/>
    <w:rsid w:val="001F2FC8"/>
    <w:rsid w:val="001F339D"/>
    <w:rsid w:val="001F3826"/>
    <w:rsid w:val="001F3A56"/>
    <w:rsid w:val="001F3AA1"/>
    <w:rsid w:val="001F3ADD"/>
    <w:rsid w:val="001F3CAA"/>
    <w:rsid w:val="001F4466"/>
    <w:rsid w:val="001F44D4"/>
    <w:rsid w:val="001F4A16"/>
    <w:rsid w:val="001F4AB6"/>
    <w:rsid w:val="001F4CE3"/>
    <w:rsid w:val="001F51EC"/>
    <w:rsid w:val="001F52E2"/>
    <w:rsid w:val="001F55FD"/>
    <w:rsid w:val="001F59F8"/>
    <w:rsid w:val="001F5CFF"/>
    <w:rsid w:val="001F5F54"/>
    <w:rsid w:val="001F6156"/>
    <w:rsid w:val="001F6542"/>
    <w:rsid w:val="001F6E46"/>
    <w:rsid w:val="001F6F0C"/>
    <w:rsid w:val="001F6F22"/>
    <w:rsid w:val="001F70A0"/>
    <w:rsid w:val="001F7330"/>
    <w:rsid w:val="001F73F5"/>
    <w:rsid w:val="001F7568"/>
    <w:rsid w:val="001F7C91"/>
    <w:rsid w:val="001F7E46"/>
    <w:rsid w:val="002000A1"/>
    <w:rsid w:val="0020047E"/>
    <w:rsid w:val="0020093C"/>
    <w:rsid w:val="00200A76"/>
    <w:rsid w:val="00200B65"/>
    <w:rsid w:val="00200D30"/>
    <w:rsid w:val="00201098"/>
    <w:rsid w:val="00201423"/>
    <w:rsid w:val="00201FDA"/>
    <w:rsid w:val="00202624"/>
    <w:rsid w:val="0020272E"/>
    <w:rsid w:val="0020303E"/>
    <w:rsid w:val="002031D6"/>
    <w:rsid w:val="0020332E"/>
    <w:rsid w:val="00203373"/>
    <w:rsid w:val="002033A2"/>
    <w:rsid w:val="002033B7"/>
    <w:rsid w:val="00203985"/>
    <w:rsid w:val="002039E7"/>
    <w:rsid w:val="00203EE9"/>
    <w:rsid w:val="0020447C"/>
    <w:rsid w:val="00204BAC"/>
    <w:rsid w:val="00204BC4"/>
    <w:rsid w:val="0020537B"/>
    <w:rsid w:val="00205DDD"/>
    <w:rsid w:val="00205F7F"/>
    <w:rsid w:val="002062A3"/>
    <w:rsid w:val="00206463"/>
    <w:rsid w:val="00206626"/>
    <w:rsid w:val="00206673"/>
    <w:rsid w:val="0020693B"/>
    <w:rsid w:val="002069E6"/>
    <w:rsid w:val="00206E62"/>
    <w:rsid w:val="00206F2F"/>
    <w:rsid w:val="00207213"/>
    <w:rsid w:val="002072C5"/>
    <w:rsid w:val="002076B5"/>
    <w:rsid w:val="00207717"/>
    <w:rsid w:val="002078E6"/>
    <w:rsid w:val="00207A51"/>
    <w:rsid w:val="00207CFE"/>
    <w:rsid w:val="00207F4E"/>
    <w:rsid w:val="00210168"/>
    <w:rsid w:val="002101A6"/>
    <w:rsid w:val="0021053D"/>
    <w:rsid w:val="002106CC"/>
    <w:rsid w:val="002108D1"/>
    <w:rsid w:val="00210A92"/>
    <w:rsid w:val="00210E72"/>
    <w:rsid w:val="0021125A"/>
    <w:rsid w:val="002112C6"/>
    <w:rsid w:val="00211791"/>
    <w:rsid w:val="00211E9B"/>
    <w:rsid w:val="00212761"/>
    <w:rsid w:val="002128AB"/>
    <w:rsid w:val="00212980"/>
    <w:rsid w:val="00212B4D"/>
    <w:rsid w:val="00212B95"/>
    <w:rsid w:val="00212D04"/>
    <w:rsid w:val="002135BA"/>
    <w:rsid w:val="00213BBB"/>
    <w:rsid w:val="00213C9E"/>
    <w:rsid w:val="00213DFD"/>
    <w:rsid w:val="00214023"/>
    <w:rsid w:val="00214114"/>
    <w:rsid w:val="002145CF"/>
    <w:rsid w:val="0021497C"/>
    <w:rsid w:val="002150B2"/>
    <w:rsid w:val="002150D0"/>
    <w:rsid w:val="00215836"/>
    <w:rsid w:val="00215C53"/>
    <w:rsid w:val="00215CC8"/>
    <w:rsid w:val="00215DAA"/>
    <w:rsid w:val="0021619D"/>
    <w:rsid w:val="002167F1"/>
    <w:rsid w:val="0021685C"/>
    <w:rsid w:val="0021699E"/>
    <w:rsid w:val="00216C03"/>
    <w:rsid w:val="00216D08"/>
    <w:rsid w:val="00216DA2"/>
    <w:rsid w:val="00216FB2"/>
    <w:rsid w:val="00217016"/>
    <w:rsid w:val="00217366"/>
    <w:rsid w:val="002176DB"/>
    <w:rsid w:val="0021770C"/>
    <w:rsid w:val="00217738"/>
    <w:rsid w:val="002204F0"/>
    <w:rsid w:val="00220675"/>
    <w:rsid w:val="00220701"/>
    <w:rsid w:val="00220A1A"/>
    <w:rsid w:val="00220C04"/>
    <w:rsid w:val="002210EE"/>
    <w:rsid w:val="002210EF"/>
    <w:rsid w:val="00221892"/>
    <w:rsid w:val="00221C1F"/>
    <w:rsid w:val="00221E57"/>
    <w:rsid w:val="00221FF2"/>
    <w:rsid w:val="00222207"/>
    <w:rsid w:val="002222B9"/>
    <w:rsid w:val="00222499"/>
    <w:rsid w:val="00222571"/>
    <w:rsid w:val="0022278D"/>
    <w:rsid w:val="0022279E"/>
    <w:rsid w:val="00222913"/>
    <w:rsid w:val="00222AE8"/>
    <w:rsid w:val="00222B76"/>
    <w:rsid w:val="00222B91"/>
    <w:rsid w:val="00222D03"/>
    <w:rsid w:val="002234C2"/>
    <w:rsid w:val="00223BE2"/>
    <w:rsid w:val="00224013"/>
    <w:rsid w:val="00224550"/>
    <w:rsid w:val="002245D1"/>
    <w:rsid w:val="0022474E"/>
    <w:rsid w:val="00224AF1"/>
    <w:rsid w:val="00224C98"/>
    <w:rsid w:val="00224D1F"/>
    <w:rsid w:val="00224E44"/>
    <w:rsid w:val="0022510C"/>
    <w:rsid w:val="0022519F"/>
    <w:rsid w:val="00225396"/>
    <w:rsid w:val="0022579E"/>
    <w:rsid w:val="00225808"/>
    <w:rsid w:val="00225A59"/>
    <w:rsid w:val="00225E70"/>
    <w:rsid w:val="00226097"/>
    <w:rsid w:val="002266F5"/>
    <w:rsid w:val="00226759"/>
    <w:rsid w:val="00226C10"/>
    <w:rsid w:val="0022701F"/>
    <w:rsid w:val="00227216"/>
    <w:rsid w:val="0022728B"/>
    <w:rsid w:val="002278D4"/>
    <w:rsid w:val="002279A2"/>
    <w:rsid w:val="00227C22"/>
    <w:rsid w:val="00227C68"/>
    <w:rsid w:val="00227CBA"/>
    <w:rsid w:val="00227DC0"/>
    <w:rsid w:val="002302E3"/>
    <w:rsid w:val="002304AF"/>
    <w:rsid w:val="0023066F"/>
    <w:rsid w:val="00230D20"/>
    <w:rsid w:val="00230DDC"/>
    <w:rsid w:val="00230EE3"/>
    <w:rsid w:val="00231638"/>
    <w:rsid w:val="002323B4"/>
    <w:rsid w:val="002326FC"/>
    <w:rsid w:val="0023276C"/>
    <w:rsid w:val="002329A9"/>
    <w:rsid w:val="00233380"/>
    <w:rsid w:val="002333F5"/>
    <w:rsid w:val="00233472"/>
    <w:rsid w:val="00233724"/>
    <w:rsid w:val="00233ADD"/>
    <w:rsid w:val="00233F2C"/>
    <w:rsid w:val="00233F82"/>
    <w:rsid w:val="002341B5"/>
    <w:rsid w:val="002342D3"/>
    <w:rsid w:val="00234884"/>
    <w:rsid w:val="002349AA"/>
    <w:rsid w:val="00234C3A"/>
    <w:rsid w:val="00234F32"/>
    <w:rsid w:val="00235317"/>
    <w:rsid w:val="002353FE"/>
    <w:rsid w:val="002356EE"/>
    <w:rsid w:val="00235DAE"/>
    <w:rsid w:val="00235FB2"/>
    <w:rsid w:val="0023622A"/>
    <w:rsid w:val="002364AB"/>
    <w:rsid w:val="002365B4"/>
    <w:rsid w:val="00236733"/>
    <w:rsid w:val="002367A0"/>
    <w:rsid w:val="00236937"/>
    <w:rsid w:val="00236CF0"/>
    <w:rsid w:val="00236EAF"/>
    <w:rsid w:val="00236F15"/>
    <w:rsid w:val="0023700E"/>
    <w:rsid w:val="00237858"/>
    <w:rsid w:val="00237AA4"/>
    <w:rsid w:val="00237B23"/>
    <w:rsid w:val="00237B35"/>
    <w:rsid w:val="00237E98"/>
    <w:rsid w:val="00237F41"/>
    <w:rsid w:val="00240237"/>
    <w:rsid w:val="00240575"/>
    <w:rsid w:val="002414A8"/>
    <w:rsid w:val="002414B2"/>
    <w:rsid w:val="00241B09"/>
    <w:rsid w:val="00241EAF"/>
    <w:rsid w:val="0024265B"/>
    <w:rsid w:val="00242B84"/>
    <w:rsid w:val="00242C2A"/>
    <w:rsid w:val="00243269"/>
    <w:rsid w:val="002432E1"/>
    <w:rsid w:val="002435ED"/>
    <w:rsid w:val="0024360B"/>
    <w:rsid w:val="002439F2"/>
    <w:rsid w:val="00243BA7"/>
    <w:rsid w:val="00243C24"/>
    <w:rsid w:val="0024422B"/>
    <w:rsid w:val="00244623"/>
    <w:rsid w:val="0024470C"/>
    <w:rsid w:val="002449E2"/>
    <w:rsid w:val="00244E80"/>
    <w:rsid w:val="0024588E"/>
    <w:rsid w:val="002458F5"/>
    <w:rsid w:val="00245C73"/>
    <w:rsid w:val="00245D1F"/>
    <w:rsid w:val="00245D89"/>
    <w:rsid w:val="00245E1B"/>
    <w:rsid w:val="002461A5"/>
    <w:rsid w:val="00246207"/>
    <w:rsid w:val="00246236"/>
    <w:rsid w:val="002463C0"/>
    <w:rsid w:val="00246984"/>
    <w:rsid w:val="00246C5E"/>
    <w:rsid w:val="00246F7F"/>
    <w:rsid w:val="0024739B"/>
    <w:rsid w:val="002475D2"/>
    <w:rsid w:val="00247725"/>
    <w:rsid w:val="00247801"/>
    <w:rsid w:val="00247857"/>
    <w:rsid w:val="00247A9D"/>
    <w:rsid w:val="00247FA5"/>
    <w:rsid w:val="00250020"/>
    <w:rsid w:val="00250680"/>
    <w:rsid w:val="002507D3"/>
    <w:rsid w:val="00250960"/>
    <w:rsid w:val="0025122B"/>
    <w:rsid w:val="002512A1"/>
    <w:rsid w:val="00251343"/>
    <w:rsid w:val="00251828"/>
    <w:rsid w:val="00251E02"/>
    <w:rsid w:val="00251E70"/>
    <w:rsid w:val="00252473"/>
    <w:rsid w:val="0025255C"/>
    <w:rsid w:val="0025264C"/>
    <w:rsid w:val="00252722"/>
    <w:rsid w:val="002529E5"/>
    <w:rsid w:val="00252C20"/>
    <w:rsid w:val="0025312D"/>
    <w:rsid w:val="002531CD"/>
    <w:rsid w:val="002532CB"/>
    <w:rsid w:val="002536A4"/>
    <w:rsid w:val="00253811"/>
    <w:rsid w:val="0025383D"/>
    <w:rsid w:val="00253896"/>
    <w:rsid w:val="00253952"/>
    <w:rsid w:val="002539BD"/>
    <w:rsid w:val="00253D03"/>
    <w:rsid w:val="00253EAF"/>
    <w:rsid w:val="002545CB"/>
    <w:rsid w:val="002549B4"/>
    <w:rsid w:val="00254A35"/>
    <w:rsid w:val="00254C57"/>
    <w:rsid w:val="00254F58"/>
    <w:rsid w:val="002553E9"/>
    <w:rsid w:val="00255597"/>
    <w:rsid w:val="00255BA8"/>
    <w:rsid w:val="00256622"/>
    <w:rsid w:val="00256A28"/>
    <w:rsid w:val="00256A6F"/>
    <w:rsid w:val="00256AD9"/>
    <w:rsid w:val="00256BAD"/>
    <w:rsid w:val="00256C37"/>
    <w:rsid w:val="00256E1C"/>
    <w:rsid w:val="0025740B"/>
    <w:rsid w:val="00257428"/>
    <w:rsid w:val="00257843"/>
    <w:rsid w:val="00257B2E"/>
    <w:rsid w:val="00257D57"/>
    <w:rsid w:val="00257D88"/>
    <w:rsid w:val="00257EB7"/>
    <w:rsid w:val="00260184"/>
    <w:rsid w:val="0026026E"/>
    <w:rsid w:val="0026041C"/>
    <w:rsid w:val="002604B7"/>
    <w:rsid w:val="002609F1"/>
    <w:rsid w:val="00260B3E"/>
    <w:rsid w:val="00260D6E"/>
    <w:rsid w:val="00261378"/>
    <w:rsid w:val="00261623"/>
    <w:rsid w:val="002616E9"/>
    <w:rsid w:val="00261CC3"/>
    <w:rsid w:val="002620BC"/>
    <w:rsid w:val="00262112"/>
    <w:rsid w:val="00262380"/>
    <w:rsid w:val="002625CC"/>
    <w:rsid w:val="002625E3"/>
    <w:rsid w:val="00262802"/>
    <w:rsid w:val="00262A39"/>
    <w:rsid w:val="00262C85"/>
    <w:rsid w:val="00262E31"/>
    <w:rsid w:val="00262FD0"/>
    <w:rsid w:val="00262FDA"/>
    <w:rsid w:val="00263242"/>
    <w:rsid w:val="00263734"/>
    <w:rsid w:val="0026379E"/>
    <w:rsid w:val="00263A90"/>
    <w:rsid w:val="00263D3D"/>
    <w:rsid w:val="0026408B"/>
    <w:rsid w:val="0026496B"/>
    <w:rsid w:val="00264CF6"/>
    <w:rsid w:val="00264D35"/>
    <w:rsid w:val="00265155"/>
    <w:rsid w:val="002658E4"/>
    <w:rsid w:val="00265B0E"/>
    <w:rsid w:val="00266038"/>
    <w:rsid w:val="002666E5"/>
    <w:rsid w:val="0026673B"/>
    <w:rsid w:val="00266D58"/>
    <w:rsid w:val="002671ED"/>
    <w:rsid w:val="0026796B"/>
    <w:rsid w:val="00267A78"/>
    <w:rsid w:val="00267B71"/>
    <w:rsid w:val="00267C3E"/>
    <w:rsid w:val="00267CAF"/>
    <w:rsid w:val="00267E3A"/>
    <w:rsid w:val="00267EF7"/>
    <w:rsid w:val="00267FE8"/>
    <w:rsid w:val="0027000B"/>
    <w:rsid w:val="0027019F"/>
    <w:rsid w:val="002702DB"/>
    <w:rsid w:val="002703C5"/>
    <w:rsid w:val="002704F9"/>
    <w:rsid w:val="0027055F"/>
    <w:rsid w:val="002707D9"/>
    <w:rsid w:val="0027084E"/>
    <w:rsid w:val="002709BB"/>
    <w:rsid w:val="0027131C"/>
    <w:rsid w:val="0027136F"/>
    <w:rsid w:val="002715FC"/>
    <w:rsid w:val="00272213"/>
    <w:rsid w:val="00272256"/>
    <w:rsid w:val="00272334"/>
    <w:rsid w:val="00272569"/>
    <w:rsid w:val="0027280B"/>
    <w:rsid w:val="00272B83"/>
    <w:rsid w:val="00272BD6"/>
    <w:rsid w:val="00272CCA"/>
    <w:rsid w:val="00272D7F"/>
    <w:rsid w:val="00272E90"/>
    <w:rsid w:val="00272F7A"/>
    <w:rsid w:val="00273092"/>
    <w:rsid w:val="00273301"/>
    <w:rsid w:val="00273635"/>
    <w:rsid w:val="002737D7"/>
    <w:rsid w:val="00273BAC"/>
    <w:rsid w:val="00273D8C"/>
    <w:rsid w:val="00274340"/>
    <w:rsid w:val="002745FE"/>
    <w:rsid w:val="00274605"/>
    <w:rsid w:val="002746C9"/>
    <w:rsid w:val="0027471E"/>
    <w:rsid w:val="002748BB"/>
    <w:rsid w:val="00274953"/>
    <w:rsid w:val="00274971"/>
    <w:rsid w:val="00274C2E"/>
    <w:rsid w:val="002752F0"/>
    <w:rsid w:val="002755CE"/>
    <w:rsid w:val="0027585F"/>
    <w:rsid w:val="00275BD3"/>
    <w:rsid w:val="00275C12"/>
    <w:rsid w:val="00275C4C"/>
    <w:rsid w:val="00275D46"/>
    <w:rsid w:val="00276032"/>
    <w:rsid w:val="00276364"/>
    <w:rsid w:val="002763B3"/>
    <w:rsid w:val="002765B8"/>
    <w:rsid w:val="002767D1"/>
    <w:rsid w:val="00276995"/>
    <w:rsid w:val="00276C1F"/>
    <w:rsid w:val="0027745A"/>
    <w:rsid w:val="002776D5"/>
    <w:rsid w:val="00277914"/>
    <w:rsid w:val="0027791B"/>
    <w:rsid w:val="002802E3"/>
    <w:rsid w:val="002804B1"/>
    <w:rsid w:val="002805D5"/>
    <w:rsid w:val="002806C4"/>
    <w:rsid w:val="002813F7"/>
    <w:rsid w:val="00281799"/>
    <w:rsid w:val="00281A91"/>
    <w:rsid w:val="00281DBD"/>
    <w:rsid w:val="00281E6A"/>
    <w:rsid w:val="00281E80"/>
    <w:rsid w:val="0028213D"/>
    <w:rsid w:val="00282156"/>
    <w:rsid w:val="0028285C"/>
    <w:rsid w:val="00282BC2"/>
    <w:rsid w:val="00282C09"/>
    <w:rsid w:val="00282C96"/>
    <w:rsid w:val="00282EBF"/>
    <w:rsid w:val="002830AC"/>
    <w:rsid w:val="002831DD"/>
    <w:rsid w:val="00283422"/>
    <w:rsid w:val="00283427"/>
    <w:rsid w:val="00283A0E"/>
    <w:rsid w:val="00283F87"/>
    <w:rsid w:val="0028417F"/>
    <w:rsid w:val="00284B50"/>
    <w:rsid w:val="00284E8D"/>
    <w:rsid w:val="0028519E"/>
    <w:rsid w:val="002854C7"/>
    <w:rsid w:val="00285933"/>
    <w:rsid w:val="00286087"/>
    <w:rsid w:val="002862F1"/>
    <w:rsid w:val="0028637A"/>
    <w:rsid w:val="002865A9"/>
    <w:rsid w:val="00287771"/>
    <w:rsid w:val="00287893"/>
    <w:rsid w:val="00287DED"/>
    <w:rsid w:val="00287E44"/>
    <w:rsid w:val="00290113"/>
    <w:rsid w:val="00290231"/>
    <w:rsid w:val="00290615"/>
    <w:rsid w:val="002908AB"/>
    <w:rsid w:val="00290A27"/>
    <w:rsid w:val="00290B27"/>
    <w:rsid w:val="00290CA4"/>
    <w:rsid w:val="00290E21"/>
    <w:rsid w:val="00290ECE"/>
    <w:rsid w:val="00291373"/>
    <w:rsid w:val="00291AAF"/>
    <w:rsid w:val="002920C9"/>
    <w:rsid w:val="00292231"/>
    <w:rsid w:val="00292312"/>
    <w:rsid w:val="00292691"/>
    <w:rsid w:val="00292EBF"/>
    <w:rsid w:val="002931E8"/>
    <w:rsid w:val="00293210"/>
    <w:rsid w:val="002935F8"/>
    <w:rsid w:val="00293EF6"/>
    <w:rsid w:val="00294004"/>
    <w:rsid w:val="00294244"/>
    <w:rsid w:val="00294336"/>
    <w:rsid w:val="002943F6"/>
    <w:rsid w:val="00294FD3"/>
    <w:rsid w:val="002957CD"/>
    <w:rsid w:val="0029597D"/>
    <w:rsid w:val="00295A8F"/>
    <w:rsid w:val="00295BB3"/>
    <w:rsid w:val="00295E03"/>
    <w:rsid w:val="002961BE"/>
    <w:rsid w:val="002962C3"/>
    <w:rsid w:val="0029659A"/>
    <w:rsid w:val="002969CA"/>
    <w:rsid w:val="00296A6D"/>
    <w:rsid w:val="0029752B"/>
    <w:rsid w:val="0029757A"/>
    <w:rsid w:val="0029779E"/>
    <w:rsid w:val="00297FD0"/>
    <w:rsid w:val="002A0265"/>
    <w:rsid w:val="002A0A9C"/>
    <w:rsid w:val="002A0BB2"/>
    <w:rsid w:val="002A0BCE"/>
    <w:rsid w:val="002A0FF5"/>
    <w:rsid w:val="002A11B1"/>
    <w:rsid w:val="002A1447"/>
    <w:rsid w:val="002A1848"/>
    <w:rsid w:val="002A1A48"/>
    <w:rsid w:val="002A1CFA"/>
    <w:rsid w:val="002A1DA8"/>
    <w:rsid w:val="002A1EC6"/>
    <w:rsid w:val="002A221D"/>
    <w:rsid w:val="002A2412"/>
    <w:rsid w:val="002A24FB"/>
    <w:rsid w:val="002A309E"/>
    <w:rsid w:val="002A3CBD"/>
    <w:rsid w:val="002A3E0C"/>
    <w:rsid w:val="002A3E9D"/>
    <w:rsid w:val="002A41DE"/>
    <w:rsid w:val="002A478C"/>
    <w:rsid w:val="002A483C"/>
    <w:rsid w:val="002A49F5"/>
    <w:rsid w:val="002A4AFE"/>
    <w:rsid w:val="002A4DED"/>
    <w:rsid w:val="002A4EE3"/>
    <w:rsid w:val="002A511E"/>
    <w:rsid w:val="002A5886"/>
    <w:rsid w:val="002A5A44"/>
    <w:rsid w:val="002A5C43"/>
    <w:rsid w:val="002A5EC8"/>
    <w:rsid w:val="002A60D2"/>
    <w:rsid w:val="002A60DE"/>
    <w:rsid w:val="002A6168"/>
    <w:rsid w:val="002A6F88"/>
    <w:rsid w:val="002A74B4"/>
    <w:rsid w:val="002A7A8D"/>
    <w:rsid w:val="002A7C18"/>
    <w:rsid w:val="002A7FF8"/>
    <w:rsid w:val="002B040B"/>
    <w:rsid w:val="002B045B"/>
    <w:rsid w:val="002B05A3"/>
    <w:rsid w:val="002B0846"/>
    <w:rsid w:val="002B0C7C"/>
    <w:rsid w:val="002B0F9A"/>
    <w:rsid w:val="002B0FA4"/>
    <w:rsid w:val="002B1537"/>
    <w:rsid w:val="002B154F"/>
    <w:rsid w:val="002B15EB"/>
    <w:rsid w:val="002B16B1"/>
    <w:rsid w:val="002B1729"/>
    <w:rsid w:val="002B1CA0"/>
    <w:rsid w:val="002B1CF5"/>
    <w:rsid w:val="002B249C"/>
    <w:rsid w:val="002B2800"/>
    <w:rsid w:val="002B2A19"/>
    <w:rsid w:val="002B2C53"/>
    <w:rsid w:val="002B3326"/>
    <w:rsid w:val="002B3614"/>
    <w:rsid w:val="002B36A5"/>
    <w:rsid w:val="002B36C3"/>
    <w:rsid w:val="002B36C7"/>
    <w:rsid w:val="002B3EC6"/>
    <w:rsid w:val="002B4C06"/>
    <w:rsid w:val="002B4D8D"/>
    <w:rsid w:val="002B4DD4"/>
    <w:rsid w:val="002B51AE"/>
    <w:rsid w:val="002B5277"/>
    <w:rsid w:val="002B52F9"/>
    <w:rsid w:val="002B5375"/>
    <w:rsid w:val="002B56D0"/>
    <w:rsid w:val="002B57B0"/>
    <w:rsid w:val="002B5BCF"/>
    <w:rsid w:val="002B6241"/>
    <w:rsid w:val="002B635B"/>
    <w:rsid w:val="002B639D"/>
    <w:rsid w:val="002B6419"/>
    <w:rsid w:val="002B6462"/>
    <w:rsid w:val="002B6A64"/>
    <w:rsid w:val="002B6C61"/>
    <w:rsid w:val="002B6DE4"/>
    <w:rsid w:val="002B7092"/>
    <w:rsid w:val="002B70CA"/>
    <w:rsid w:val="002B7161"/>
    <w:rsid w:val="002B77C1"/>
    <w:rsid w:val="002B79A2"/>
    <w:rsid w:val="002B7D9A"/>
    <w:rsid w:val="002C0003"/>
    <w:rsid w:val="002C00C2"/>
    <w:rsid w:val="002C0140"/>
    <w:rsid w:val="002C018D"/>
    <w:rsid w:val="002C0280"/>
    <w:rsid w:val="002C04DF"/>
    <w:rsid w:val="002C0527"/>
    <w:rsid w:val="002C0A7B"/>
    <w:rsid w:val="002C0E82"/>
    <w:rsid w:val="002C0ED7"/>
    <w:rsid w:val="002C132F"/>
    <w:rsid w:val="002C18A3"/>
    <w:rsid w:val="002C198E"/>
    <w:rsid w:val="002C1B2D"/>
    <w:rsid w:val="002C22A4"/>
    <w:rsid w:val="002C25F6"/>
    <w:rsid w:val="002C2728"/>
    <w:rsid w:val="002C295C"/>
    <w:rsid w:val="002C2E39"/>
    <w:rsid w:val="002C300A"/>
    <w:rsid w:val="002C306C"/>
    <w:rsid w:val="002C32F8"/>
    <w:rsid w:val="002C3390"/>
    <w:rsid w:val="002C36A5"/>
    <w:rsid w:val="002C3767"/>
    <w:rsid w:val="002C3779"/>
    <w:rsid w:val="002C3925"/>
    <w:rsid w:val="002C3D28"/>
    <w:rsid w:val="002C3DF2"/>
    <w:rsid w:val="002C3EEE"/>
    <w:rsid w:val="002C3F01"/>
    <w:rsid w:val="002C3F36"/>
    <w:rsid w:val="002C41D8"/>
    <w:rsid w:val="002C4360"/>
    <w:rsid w:val="002C4B9E"/>
    <w:rsid w:val="002C4E37"/>
    <w:rsid w:val="002C4FBF"/>
    <w:rsid w:val="002C5436"/>
    <w:rsid w:val="002C55DB"/>
    <w:rsid w:val="002C5854"/>
    <w:rsid w:val="002C5B7C"/>
    <w:rsid w:val="002C5C66"/>
    <w:rsid w:val="002C5E9C"/>
    <w:rsid w:val="002C6036"/>
    <w:rsid w:val="002C61EA"/>
    <w:rsid w:val="002C6225"/>
    <w:rsid w:val="002C64A8"/>
    <w:rsid w:val="002C672D"/>
    <w:rsid w:val="002C6741"/>
    <w:rsid w:val="002C6A88"/>
    <w:rsid w:val="002C6E84"/>
    <w:rsid w:val="002C7213"/>
    <w:rsid w:val="002C7387"/>
    <w:rsid w:val="002C73B6"/>
    <w:rsid w:val="002C78D6"/>
    <w:rsid w:val="002C791B"/>
    <w:rsid w:val="002C7C9B"/>
    <w:rsid w:val="002C7CB2"/>
    <w:rsid w:val="002C7DB4"/>
    <w:rsid w:val="002C7EE4"/>
    <w:rsid w:val="002D0042"/>
    <w:rsid w:val="002D0573"/>
    <w:rsid w:val="002D0651"/>
    <w:rsid w:val="002D08E5"/>
    <w:rsid w:val="002D0C87"/>
    <w:rsid w:val="002D1188"/>
    <w:rsid w:val="002D1401"/>
    <w:rsid w:val="002D14A1"/>
    <w:rsid w:val="002D162C"/>
    <w:rsid w:val="002D1671"/>
    <w:rsid w:val="002D186B"/>
    <w:rsid w:val="002D1A61"/>
    <w:rsid w:val="002D1D32"/>
    <w:rsid w:val="002D1D6B"/>
    <w:rsid w:val="002D1E0D"/>
    <w:rsid w:val="002D1FEB"/>
    <w:rsid w:val="002D2180"/>
    <w:rsid w:val="002D2587"/>
    <w:rsid w:val="002D284D"/>
    <w:rsid w:val="002D2B95"/>
    <w:rsid w:val="002D31A9"/>
    <w:rsid w:val="002D3470"/>
    <w:rsid w:val="002D35E4"/>
    <w:rsid w:val="002D3D94"/>
    <w:rsid w:val="002D3E28"/>
    <w:rsid w:val="002D3FFA"/>
    <w:rsid w:val="002D4F72"/>
    <w:rsid w:val="002D5006"/>
    <w:rsid w:val="002D54D4"/>
    <w:rsid w:val="002D5686"/>
    <w:rsid w:val="002D5828"/>
    <w:rsid w:val="002D6AAE"/>
    <w:rsid w:val="002D6F7A"/>
    <w:rsid w:val="002D748A"/>
    <w:rsid w:val="002D757A"/>
    <w:rsid w:val="002D7812"/>
    <w:rsid w:val="002D7B08"/>
    <w:rsid w:val="002D7C61"/>
    <w:rsid w:val="002D7D80"/>
    <w:rsid w:val="002E01D0"/>
    <w:rsid w:val="002E03C4"/>
    <w:rsid w:val="002E085B"/>
    <w:rsid w:val="002E0B13"/>
    <w:rsid w:val="002E0C15"/>
    <w:rsid w:val="002E11EB"/>
    <w:rsid w:val="002E125C"/>
    <w:rsid w:val="002E12BA"/>
    <w:rsid w:val="002E1407"/>
    <w:rsid w:val="002E145B"/>
    <w:rsid w:val="002E160C"/>
    <w:rsid w:val="002E161D"/>
    <w:rsid w:val="002E1676"/>
    <w:rsid w:val="002E1951"/>
    <w:rsid w:val="002E1ECE"/>
    <w:rsid w:val="002E1F11"/>
    <w:rsid w:val="002E22E0"/>
    <w:rsid w:val="002E2374"/>
    <w:rsid w:val="002E244D"/>
    <w:rsid w:val="002E25D6"/>
    <w:rsid w:val="002E28A2"/>
    <w:rsid w:val="002E2A1A"/>
    <w:rsid w:val="002E2CD8"/>
    <w:rsid w:val="002E3100"/>
    <w:rsid w:val="002E365E"/>
    <w:rsid w:val="002E36E8"/>
    <w:rsid w:val="002E4334"/>
    <w:rsid w:val="002E4414"/>
    <w:rsid w:val="002E4451"/>
    <w:rsid w:val="002E47FD"/>
    <w:rsid w:val="002E48BD"/>
    <w:rsid w:val="002E4BAD"/>
    <w:rsid w:val="002E4D2A"/>
    <w:rsid w:val="002E4D7D"/>
    <w:rsid w:val="002E4FCE"/>
    <w:rsid w:val="002E54DB"/>
    <w:rsid w:val="002E5544"/>
    <w:rsid w:val="002E5655"/>
    <w:rsid w:val="002E5734"/>
    <w:rsid w:val="002E5C0F"/>
    <w:rsid w:val="002E5FFC"/>
    <w:rsid w:val="002E6142"/>
    <w:rsid w:val="002E6180"/>
    <w:rsid w:val="002E66A2"/>
    <w:rsid w:val="002E6985"/>
    <w:rsid w:val="002E698E"/>
    <w:rsid w:val="002E6C95"/>
    <w:rsid w:val="002E73F2"/>
    <w:rsid w:val="002E74B1"/>
    <w:rsid w:val="002E7B43"/>
    <w:rsid w:val="002E7C36"/>
    <w:rsid w:val="002E7FB2"/>
    <w:rsid w:val="002F0242"/>
    <w:rsid w:val="002F026D"/>
    <w:rsid w:val="002F054F"/>
    <w:rsid w:val="002F075D"/>
    <w:rsid w:val="002F07FD"/>
    <w:rsid w:val="002F0926"/>
    <w:rsid w:val="002F0A6B"/>
    <w:rsid w:val="002F0D55"/>
    <w:rsid w:val="002F1082"/>
    <w:rsid w:val="002F11E6"/>
    <w:rsid w:val="002F12FB"/>
    <w:rsid w:val="002F180F"/>
    <w:rsid w:val="002F1837"/>
    <w:rsid w:val="002F189B"/>
    <w:rsid w:val="002F1C6B"/>
    <w:rsid w:val="002F1E7C"/>
    <w:rsid w:val="002F1FD7"/>
    <w:rsid w:val="002F2419"/>
    <w:rsid w:val="002F25DB"/>
    <w:rsid w:val="002F26D2"/>
    <w:rsid w:val="002F2787"/>
    <w:rsid w:val="002F287D"/>
    <w:rsid w:val="002F2A37"/>
    <w:rsid w:val="002F2BB7"/>
    <w:rsid w:val="002F2CA5"/>
    <w:rsid w:val="002F2FF9"/>
    <w:rsid w:val="002F3206"/>
    <w:rsid w:val="002F320F"/>
    <w:rsid w:val="002F36FC"/>
    <w:rsid w:val="002F39FC"/>
    <w:rsid w:val="002F3C5C"/>
    <w:rsid w:val="002F3CB5"/>
    <w:rsid w:val="002F3D32"/>
    <w:rsid w:val="002F3E92"/>
    <w:rsid w:val="002F3E9D"/>
    <w:rsid w:val="002F4079"/>
    <w:rsid w:val="002F447C"/>
    <w:rsid w:val="002F4528"/>
    <w:rsid w:val="002F47CE"/>
    <w:rsid w:val="002F4BA0"/>
    <w:rsid w:val="002F4CE9"/>
    <w:rsid w:val="002F51EC"/>
    <w:rsid w:val="002F532A"/>
    <w:rsid w:val="002F5754"/>
    <w:rsid w:val="002F57A8"/>
    <w:rsid w:val="002F5EFD"/>
    <w:rsid w:val="002F5F31"/>
    <w:rsid w:val="002F5F46"/>
    <w:rsid w:val="002F5F4A"/>
    <w:rsid w:val="002F62EB"/>
    <w:rsid w:val="002F664D"/>
    <w:rsid w:val="002F6C82"/>
    <w:rsid w:val="002F6FB2"/>
    <w:rsid w:val="002F7BC6"/>
    <w:rsid w:val="00300A1F"/>
    <w:rsid w:val="00301079"/>
    <w:rsid w:val="0030114F"/>
    <w:rsid w:val="0030131E"/>
    <w:rsid w:val="00301594"/>
    <w:rsid w:val="00301958"/>
    <w:rsid w:val="00301B62"/>
    <w:rsid w:val="00302157"/>
    <w:rsid w:val="00302216"/>
    <w:rsid w:val="0030256E"/>
    <w:rsid w:val="00302C32"/>
    <w:rsid w:val="00303031"/>
    <w:rsid w:val="00303097"/>
    <w:rsid w:val="003037DF"/>
    <w:rsid w:val="00303C08"/>
    <w:rsid w:val="00303E53"/>
    <w:rsid w:val="00303F57"/>
    <w:rsid w:val="0030495E"/>
    <w:rsid w:val="00304EC3"/>
    <w:rsid w:val="00305068"/>
    <w:rsid w:val="00305132"/>
    <w:rsid w:val="0030513C"/>
    <w:rsid w:val="00305554"/>
    <w:rsid w:val="0030558A"/>
    <w:rsid w:val="00305860"/>
    <w:rsid w:val="00305ADB"/>
    <w:rsid w:val="00305CC1"/>
    <w:rsid w:val="00305E0E"/>
    <w:rsid w:val="00305E3F"/>
    <w:rsid w:val="00305FA7"/>
    <w:rsid w:val="003063B9"/>
    <w:rsid w:val="003065EA"/>
    <w:rsid w:val="00306B09"/>
    <w:rsid w:val="00306C0A"/>
    <w:rsid w:val="00306C93"/>
    <w:rsid w:val="00306E01"/>
    <w:rsid w:val="00306E5F"/>
    <w:rsid w:val="0030719F"/>
    <w:rsid w:val="003076A4"/>
    <w:rsid w:val="00307E14"/>
    <w:rsid w:val="0030DC07"/>
    <w:rsid w:val="00310089"/>
    <w:rsid w:val="003101DE"/>
    <w:rsid w:val="00310215"/>
    <w:rsid w:val="00310481"/>
    <w:rsid w:val="00310B58"/>
    <w:rsid w:val="00310D2F"/>
    <w:rsid w:val="00311131"/>
    <w:rsid w:val="00311685"/>
    <w:rsid w:val="003118D5"/>
    <w:rsid w:val="0031213F"/>
    <w:rsid w:val="00312485"/>
    <w:rsid w:val="00312687"/>
    <w:rsid w:val="003129D5"/>
    <w:rsid w:val="00312AA6"/>
    <w:rsid w:val="00312F05"/>
    <w:rsid w:val="0031308C"/>
    <w:rsid w:val="00313224"/>
    <w:rsid w:val="003132E4"/>
    <w:rsid w:val="00313C0A"/>
    <w:rsid w:val="00313DAD"/>
    <w:rsid w:val="00313F08"/>
    <w:rsid w:val="0031400C"/>
    <w:rsid w:val="00314054"/>
    <w:rsid w:val="003142D4"/>
    <w:rsid w:val="0031435C"/>
    <w:rsid w:val="0031466D"/>
    <w:rsid w:val="00314BC6"/>
    <w:rsid w:val="00314F69"/>
    <w:rsid w:val="0031519B"/>
    <w:rsid w:val="00315249"/>
    <w:rsid w:val="00315951"/>
    <w:rsid w:val="00315E46"/>
    <w:rsid w:val="003163F0"/>
    <w:rsid w:val="0031647C"/>
    <w:rsid w:val="0031674B"/>
    <w:rsid w:val="00316B9A"/>
    <w:rsid w:val="00316E74"/>
    <w:rsid w:val="00316F27"/>
    <w:rsid w:val="00316F93"/>
    <w:rsid w:val="00317093"/>
    <w:rsid w:val="003170A1"/>
    <w:rsid w:val="00317190"/>
    <w:rsid w:val="003173F0"/>
    <w:rsid w:val="00317518"/>
    <w:rsid w:val="0031795C"/>
    <w:rsid w:val="003179ED"/>
    <w:rsid w:val="00317C6F"/>
    <w:rsid w:val="00317D23"/>
    <w:rsid w:val="003205D6"/>
    <w:rsid w:val="00320C7F"/>
    <w:rsid w:val="00320ED6"/>
    <w:rsid w:val="003210FD"/>
    <w:rsid w:val="003214F1"/>
    <w:rsid w:val="00321556"/>
    <w:rsid w:val="00321A46"/>
    <w:rsid w:val="00321C9E"/>
    <w:rsid w:val="003227E3"/>
    <w:rsid w:val="00322B01"/>
    <w:rsid w:val="00322E4B"/>
    <w:rsid w:val="00323605"/>
    <w:rsid w:val="00323CC6"/>
    <w:rsid w:val="00323D85"/>
    <w:rsid w:val="003243E5"/>
    <w:rsid w:val="00324D3B"/>
    <w:rsid w:val="00324F39"/>
    <w:rsid w:val="003253F1"/>
    <w:rsid w:val="0032540E"/>
    <w:rsid w:val="00325B1E"/>
    <w:rsid w:val="00325BC5"/>
    <w:rsid w:val="00326306"/>
    <w:rsid w:val="0032668C"/>
    <w:rsid w:val="003267FE"/>
    <w:rsid w:val="003273F8"/>
    <w:rsid w:val="00327647"/>
    <w:rsid w:val="00327726"/>
    <w:rsid w:val="00327870"/>
    <w:rsid w:val="00327B90"/>
    <w:rsid w:val="00330161"/>
    <w:rsid w:val="00330251"/>
    <w:rsid w:val="00330376"/>
    <w:rsid w:val="0033075D"/>
    <w:rsid w:val="003307A0"/>
    <w:rsid w:val="00330961"/>
    <w:rsid w:val="003309F0"/>
    <w:rsid w:val="00330BFF"/>
    <w:rsid w:val="00331A2B"/>
    <w:rsid w:val="00331B93"/>
    <w:rsid w:val="0033259D"/>
    <w:rsid w:val="00332693"/>
    <w:rsid w:val="003326FF"/>
    <w:rsid w:val="00332858"/>
    <w:rsid w:val="0033313F"/>
    <w:rsid w:val="003333D2"/>
    <w:rsid w:val="00333576"/>
    <w:rsid w:val="00333B51"/>
    <w:rsid w:val="00333E6D"/>
    <w:rsid w:val="003341A4"/>
    <w:rsid w:val="00334369"/>
    <w:rsid w:val="00334665"/>
    <w:rsid w:val="00334686"/>
    <w:rsid w:val="003347F2"/>
    <w:rsid w:val="003348A3"/>
    <w:rsid w:val="003351C2"/>
    <w:rsid w:val="00335237"/>
    <w:rsid w:val="00335449"/>
    <w:rsid w:val="003354EA"/>
    <w:rsid w:val="003355BA"/>
    <w:rsid w:val="003368B6"/>
    <w:rsid w:val="00336A73"/>
    <w:rsid w:val="00337339"/>
    <w:rsid w:val="00337682"/>
    <w:rsid w:val="003378B4"/>
    <w:rsid w:val="00337A8B"/>
    <w:rsid w:val="00337ACB"/>
    <w:rsid w:val="00337C4B"/>
    <w:rsid w:val="00340316"/>
    <w:rsid w:val="00340345"/>
    <w:rsid w:val="00340617"/>
    <w:rsid w:val="003406C6"/>
    <w:rsid w:val="00340AE8"/>
    <w:rsid w:val="00340E5B"/>
    <w:rsid w:val="003411D1"/>
    <w:rsid w:val="00341750"/>
    <w:rsid w:val="003418CC"/>
    <w:rsid w:val="00341E7C"/>
    <w:rsid w:val="00342535"/>
    <w:rsid w:val="00342678"/>
    <w:rsid w:val="003426B5"/>
    <w:rsid w:val="00343273"/>
    <w:rsid w:val="003433C6"/>
    <w:rsid w:val="003434EE"/>
    <w:rsid w:val="00343A53"/>
    <w:rsid w:val="00343A62"/>
    <w:rsid w:val="00343D48"/>
    <w:rsid w:val="0034418C"/>
    <w:rsid w:val="003445B6"/>
    <w:rsid w:val="00344B7B"/>
    <w:rsid w:val="00344C55"/>
    <w:rsid w:val="00344DDA"/>
    <w:rsid w:val="00344E82"/>
    <w:rsid w:val="00344FDF"/>
    <w:rsid w:val="00345090"/>
    <w:rsid w:val="003450DC"/>
    <w:rsid w:val="003455A0"/>
    <w:rsid w:val="0034563E"/>
    <w:rsid w:val="003459BD"/>
    <w:rsid w:val="00346626"/>
    <w:rsid w:val="00346774"/>
    <w:rsid w:val="00346F03"/>
    <w:rsid w:val="0034717C"/>
    <w:rsid w:val="00347382"/>
    <w:rsid w:val="00347E52"/>
    <w:rsid w:val="00350539"/>
    <w:rsid w:val="0035054D"/>
    <w:rsid w:val="0035087C"/>
    <w:rsid w:val="00350A56"/>
    <w:rsid w:val="00350D38"/>
    <w:rsid w:val="00350F38"/>
    <w:rsid w:val="00351005"/>
    <w:rsid w:val="0035107C"/>
    <w:rsid w:val="003513C2"/>
    <w:rsid w:val="00351540"/>
    <w:rsid w:val="00351B26"/>
    <w:rsid w:val="00351B36"/>
    <w:rsid w:val="00351BC4"/>
    <w:rsid w:val="00351E18"/>
    <w:rsid w:val="003521DE"/>
    <w:rsid w:val="003525EA"/>
    <w:rsid w:val="003526DC"/>
    <w:rsid w:val="0035288E"/>
    <w:rsid w:val="00352BA6"/>
    <w:rsid w:val="00352FD0"/>
    <w:rsid w:val="003532EC"/>
    <w:rsid w:val="003534F0"/>
    <w:rsid w:val="0035352D"/>
    <w:rsid w:val="0035354F"/>
    <w:rsid w:val="00353690"/>
    <w:rsid w:val="0035453E"/>
    <w:rsid w:val="00354575"/>
    <w:rsid w:val="00354692"/>
    <w:rsid w:val="003548DA"/>
    <w:rsid w:val="0035496A"/>
    <w:rsid w:val="00354E56"/>
    <w:rsid w:val="00355307"/>
    <w:rsid w:val="0035584C"/>
    <w:rsid w:val="00355F48"/>
    <w:rsid w:val="00356049"/>
    <w:rsid w:val="0035604D"/>
    <w:rsid w:val="003560EB"/>
    <w:rsid w:val="00356114"/>
    <w:rsid w:val="00356C8D"/>
    <w:rsid w:val="00357540"/>
    <w:rsid w:val="0035760A"/>
    <w:rsid w:val="0035777F"/>
    <w:rsid w:val="00357A58"/>
    <w:rsid w:val="00357B4E"/>
    <w:rsid w:val="003600C3"/>
    <w:rsid w:val="003600FC"/>
    <w:rsid w:val="0036066F"/>
    <w:rsid w:val="0036076B"/>
    <w:rsid w:val="003609A0"/>
    <w:rsid w:val="00360DED"/>
    <w:rsid w:val="00361773"/>
    <w:rsid w:val="00361851"/>
    <w:rsid w:val="00361D76"/>
    <w:rsid w:val="00361DD8"/>
    <w:rsid w:val="0036236A"/>
    <w:rsid w:val="003624D1"/>
    <w:rsid w:val="00362B74"/>
    <w:rsid w:val="00362CA8"/>
    <w:rsid w:val="00362E89"/>
    <w:rsid w:val="00363826"/>
    <w:rsid w:val="00363834"/>
    <w:rsid w:val="0036396F"/>
    <w:rsid w:val="003639EC"/>
    <w:rsid w:val="0036430A"/>
    <w:rsid w:val="003647EF"/>
    <w:rsid w:val="003649EE"/>
    <w:rsid w:val="00364A73"/>
    <w:rsid w:val="00364B82"/>
    <w:rsid w:val="00364D80"/>
    <w:rsid w:val="00364EA1"/>
    <w:rsid w:val="0036529D"/>
    <w:rsid w:val="0036532D"/>
    <w:rsid w:val="0036548F"/>
    <w:rsid w:val="003655EB"/>
    <w:rsid w:val="003656DE"/>
    <w:rsid w:val="00365892"/>
    <w:rsid w:val="003658BA"/>
    <w:rsid w:val="0036595A"/>
    <w:rsid w:val="003664BB"/>
    <w:rsid w:val="003666D3"/>
    <w:rsid w:val="0036686A"/>
    <w:rsid w:val="003670AB"/>
    <w:rsid w:val="003671B2"/>
    <w:rsid w:val="0036778A"/>
    <w:rsid w:val="00367A8D"/>
    <w:rsid w:val="00367E41"/>
    <w:rsid w:val="0037038F"/>
    <w:rsid w:val="00370528"/>
    <w:rsid w:val="003706CC"/>
    <w:rsid w:val="00370C4D"/>
    <w:rsid w:val="00371244"/>
    <w:rsid w:val="00371248"/>
    <w:rsid w:val="0037124E"/>
    <w:rsid w:val="0037129D"/>
    <w:rsid w:val="00371633"/>
    <w:rsid w:val="003716FD"/>
    <w:rsid w:val="00371A53"/>
    <w:rsid w:val="00371AAD"/>
    <w:rsid w:val="00371AB6"/>
    <w:rsid w:val="0037204B"/>
    <w:rsid w:val="003721DC"/>
    <w:rsid w:val="0037232A"/>
    <w:rsid w:val="003723F9"/>
    <w:rsid w:val="0037262A"/>
    <w:rsid w:val="00372D6C"/>
    <w:rsid w:val="00372FCF"/>
    <w:rsid w:val="00373684"/>
    <w:rsid w:val="0037394D"/>
    <w:rsid w:val="00373A83"/>
    <w:rsid w:val="00373F95"/>
    <w:rsid w:val="003744CF"/>
    <w:rsid w:val="003745C7"/>
    <w:rsid w:val="003745F3"/>
    <w:rsid w:val="00374717"/>
    <w:rsid w:val="00374902"/>
    <w:rsid w:val="00374B3C"/>
    <w:rsid w:val="00374B69"/>
    <w:rsid w:val="00374F6A"/>
    <w:rsid w:val="003751B8"/>
    <w:rsid w:val="00375C39"/>
    <w:rsid w:val="00375CE8"/>
    <w:rsid w:val="0037604D"/>
    <w:rsid w:val="003761B1"/>
    <w:rsid w:val="003761E1"/>
    <w:rsid w:val="00376380"/>
    <w:rsid w:val="00376436"/>
    <w:rsid w:val="0037676C"/>
    <w:rsid w:val="0037686B"/>
    <w:rsid w:val="00376D05"/>
    <w:rsid w:val="00376E7A"/>
    <w:rsid w:val="00376FBB"/>
    <w:rsid w:val="00377142"/>
    <w:rsid w:val="003778CF"/>
    <w:rsid w:val="003778DF"/>
    <w:rsid w:val="00377E2F"/>
    <w:rsid w:val="00380052"/>
    <w:rsid w:val="003801B1"/>
    <w:rsid w:val="00380202"/>
    <w:rsid w:val="00380873"/>
    <w:rsid w:val="00381043"/>
    <w:rsid w:val="0038134B"/>
    <w:rsid w:val="00381899"/>
    <w:rsid w:val="003819BD"/>
    <w:rsid w:val="00381C00"/>
    <w:rsid w:val="003820DC"/>
    <w:rsid w:val="003823DA"/>
    <w:rsid w:val="00382440"/>
    <w:rsid w:val="003824B2"/>
    <w:rsid w:val="003824C0"/>
    <w:rsid w:val="0038284D"/>
    <w:rsid w:val="00382906"/>
    <w:rsid w:val="003829C1"/>
    <w:rsid w:val="003829E5"/>
    <w:rsid w:val="00382F5B"/>
    <w:rsid w:val="00383DD9"/>
    <w:rsid w:val="00383FD6"/>
    <w:rsid w:val="00384189"/>
    <w:rsid w:val="00384606"/>
    <w:rsid w:val="00384958"/>
    <w:rsid w:val="00384AE6"/>
    <w:rsid w:val="003850AC"/>
    <w:rsid w:val="003850DA"/>
    <w:rsid w:val="00385118"/>
    <w:rsid w:val="003851F4"/>
    <w:rsid w:val="00385667"/>
    <w:rsid w:val="00385A1A"/>
    <w:rsid w:val="00385CD0"/>
    <w:rsid w:val="00385FA2"/>
    <w:rsid w:val="00386109"/>
    <w:rsid w:val="003861A2"/>
    <w:rsid w:val="0038660B"/>
    <w:rsid w:val="00386944"/>
    <w:rsid w:val="003869E1"/>
    <w:rsid w:val="003869E7"/>
    <w:rsid w:val="00386B3E"/>
    <w:rsid w:val="00386D0B"/>
    <w:rsid w:val="00387114"/>
    <w:rsid w:val="003871BA"/>
    <w:rsid w:val="0038765B"/>
    <w:rsid w:val="003876F1"/>
    <w:rsid w:val="00387734"/>
    <w:rsid w:val="003879F7"/>
    <w:rsid w:val="00387DCF"/>
    <w:rsid w:val="00390177"/>
    <w:rsid w:val="003902F7"/>
    <w:rsid w:val="003903BC"/>
    <w:rsid w:val="00390463"/>
    <w:rsid w:val="0039079F"/>
    <w:rsid w:val="00390841"/>
    <w:rsid w:val="00390842"/>
    <w:rsid w:val="00390908"/>
    <w:rsid w:val="00390986"/>
    <w:rsid w:val="00390BAF"/>
    <w:rsid w:val="00391990"/>
    <w:rsid w:val="00391D3C"/>
    <w:rsid w:val="00391F3C"/>
    <w:rsid w:val="00392176"/>
    <w:rsid w:val="003921CA"/>
    <w:rsid w:val="00392487"/>
    <w:rsid w:val="0039252A"/>
    <w:rsid w:val="0039299D"/>
    <w:rsid w:val="00393305"/>
    <w:rsid w:val="00393570"/>
    <w:rsid w:val="00393707"/>
    <w:rsid w:val="00393862"/>
    <w:rsid w:val="00393C73"/>
    <w:rsid w:val="00393E59"/>
    <w:rsid w:val="00393E9A"/>
    <w:rsid w:val="00394288"/>
    <w:rsid w:val="003946AA"/>
    <w:rsid w:val="0039496D"/>
    <w:rsid w:val="00394A86"/>
    <w:rsid w:val="00394D0A"/>
    <w:rsid w:val="0039569F"/>
    <w:rsid w:val="003956CC"/>
    <w:rsid w:val="00395C9A"/>
    <w:rsid w:val="00395E32"/>
    <w:rsid w:val="0039600A"/>
    <w:rsid w:val="00396031"/>
    <w:rsid w:val="00396084"/>
    <w:rsid w:val="003960BF"/>
    <w:rsid w:val="00396117"/>
    <w:rsid w:val="00396837"/>
    <w:rsid w:val="003968C2"/>
    <w:rsid w:val="00396920"/>
    <w:rsid w:val="003974EF"/>
    <w:rsid w:val="00397528"/>
    <w:rsid w:val="00397616"/>
    <w:rsid w:val="003977C7"/>
    <w:rsid w:val="00397D17"/>
    <w:rsid w:val="003A0330"/>
    <w:rsid w:val="003A0482"/>
    <w:rsid w:val="003A0835"/>
    <w:rsid w:val="003A0853"/>
    <w:rsid w:val="003A0C3D"/>
    <w:rsid w:val="003A0F64"/>
    <w:rsid w:val="003A0F97"/>
    <w:rsid w:val="003A13CA"/>
    <w:rsid w:val="003A172B"/>
    <w:rsid w:val="003A1BB5"/>
    <w:rsid w:val="003A2131"/>
    <w:rsid w:val="003A278C"/>
    <w:rsid w:val="003A28F0"/>
    <w:rsid w:val="003A2F57"/>
    <w:rsid w:val="003A315F"/>
    <w:rsid w:val="003A3613"/>
    <w:rsid w:val="003A3CB6"/>
    <w:rsid w:val="003A3CBB"/>
    <w:rsid w:val="003A4149"/>
    <w:rsid w:val="003A420D"/>
    <w:rsid w:val="003A433C"/>
    <w:rsid w:val="003A4A92"/>
    <w:rsid w:val="003A4E7A"/>
    <w:rsid w:val="003A50A7"/>
    <w:rsid w:val="003A537A"/>
    <w:rsid w:val="003A5CE1"/>
    <w:rsid w:val="003A634C"/>
    <w:rsid w:val="003A6580"/>
    <w:rsid w:val="003A67D4"/>
    <w:rsid w:val="003A6896"/>
    <w:rsid w:val="003A689D"/>
    <w:rsid w:val="003A6B67"/>
    <w:rsid w:val="003A70FC"/>
    <w:rsid w:val="003A7286"/>
    <w:rsid w:val="003A72CD"/>
    <w:rsid w:val="003A784D"/>
    <w:rsid w:val="003A7A84"/>
    <w:rsid w:val="003B0388"/>
    <w:rsid w:val="003B04A9"/>
    <w:rsid w:val="003B0806"/>
    <w:rsid w:val="003B08D2"/>
    <w:rsid w:val="003B09FD"/>
    <w:rsid w:val="003B0D0F"/>
    <w:rsid w:val="003B12E4"/>
    <w:rsid w:val="003B13B6"/>
    <w:rsid w:val="003B14C3"/>
    <w:rsid w:val="003B15E6"/>
    <w:rsid w:val="003B176C"/>
    <w:rsid w:val="003B1B1E"/>
    <w:rsid w:val="003B1B92"/>
    <w:rsid w:val="003B22EF"/>
    <w:rsid w:val="003B2571"/>
    <w:rsid w:val="003B2CD5"/>
    <w:rsid w:val="003B3229"/>
    <w:rsid w:val="003B34B0"/>
    <w:rsid w:val="003B350E"/>
    <w:rsid w:val="003B35AE"/>
    <w:rsid w:val="003B3AF3"/>
    <w:rsid w:val="003B3CCC"/>
    <w:rsid w:val="003B3E28"/>
    <w:rsid w:val="003B408A"/>
    <w:rsid w:val="003B43AD"/>
    <w:rsid w:val="003B48B6"/>
    <w:rsid w:val="003B4F70"/>
    <w:rsid w:val="003B5312"/>
    <w:rsid w:val="003B5658"/>
    <w:rsid w:val="003B6808"/>
    <w:rsid w:val="003B68A6"/>
    <w:rsid w:val="003B6B25"/>
    <w:rsid w:val="003B6C19"/>
    <w:rsid w:val="003B6F1A"/>
    <w:rsid w:val="003B6F43"/>
    <w:rsid w:val="003B6F9D"/>
    <w:rsid w:val="003B7220"/>
    <w:rsid w:val="003B7531"/>
    <w:rsid w:val="003B7599"/>
    <w:rsid w:val="003B7939"/>
    <w:rsid w:val="003B7992"/>
    <w:rsid w:val="003B7BD6"/>
    <w:rsid w:val="003C01CA"/>
    <w:rsid w:val="003C0524"/>
    <w:rsid w:val="003C083E"/>
    <w:rsid w:val="003C08A2"/>
    <w:rsid w:val="003C0943"/>
    <w:rsid w:val="003C1AB0"/>
    <w:rsid w:val="003C1B19"/>
    <w:rsid w:val="003C1FC6"/>
    <w:rsid w:val="003C2045"/>
    <w:rsid w:val="003C20A7"/>
    <w:rsid w:val="003C2189"/>
    <w:rsid w:val="003C23AA"/>
    <w:rsid w:val="003C2569"/>
    <w:rsid w:val="003C294F"/>
    <w:rsid w:val="003C3045"/>
    <w:rsid w:val="003C3152"/>
    <w:rsid w:val="003C3178"/>
    <w:rsid w:val="003C321B"/>
    <w:rsid w:val="003C3551"/>
    <w:rsid w:val="003C3EC5"/>
    <w:rsid w:val="003C43A1"/>
    <w:rsid w:val="003C4C70"/>
    <w:rsid w:val="003C4F62"/>
    <w:rsid w:val="003C4F9A"/>
    <w:rsid w:val="003C4FC0"/>
    <w:rsid w:val="003C5456"/>
    <w:rsid w:val="003C5521"/>
    <w:rsid w:val="003C55F4"/>
    <w:rsid w:val="003C59A1"/>
    <w:rsid w:val="003C59E0"/>
    <w:rsid w:val="003C5AE7"/>
    <w:rsid w:val="003C5BCF"/>
    <w:rsid w:val="003C6034"/>
    <w:rsid w:val="003C6439"/>
    <w:rsid w:val="003C675F"/>
    <w:rsid w:val="003C684A"/>
    <w:rsid w:val="003C6BD9"/>
    <w:rsid w:val="003C7187"/>
    <w:rsid w:val="003C72A6"/>
    <w:rsid w:val="003C77D3"/>
    <w:rsid w:val="003C7897"/>
    <w:rsid w:val="003C7A3F"/>
    <w:rsid w:val="003C7A67"/>
    <w:rsid w:val="003C7FA3"/>
    <w:rsid w:val="003D0114"/>
    <w:rsid w:val="003D0260"/>
    <w:rsid w:val="003D028B"/>
    <w:rsid w:val="003D041D"/>
    <w:rsid w:val="003D06A9"/>
    <w:rsid w:val="003D11F0"/>
    <w:rsid w:val="003D15AB"/>
    <w:rsid w:val="003D19CC"/>
    <w:rsid w:val="003D1E5C"/>
    <w:rsid w:val="003D1F51"/>
    <w:rsid w:val="003D20D1"/>
    <w:rsid w:val="003D2136"/>
    <w:rsid w:val="003D26D0"/>
    <w:rsid w:val="003D273E"/>
    <w:rsid w:val="003D2766"/>
    <w:rsid w:val="003D2A74"/>
    <w:rsid w:val="003D2D78"/>
    <w:rsid w:val="003D3702"/>
    <w:rsid w:val="003D371E"/>
    <w:rsid w:val="003D3891"/>
    <w:rsid w:val="003D3C13"/>
    <w:rsid w:val="003D3CE3"/>
    <w:rsid w:val="003D3D88"/>
    <w:rsid w:val="003D3E8F"/>
    <w:rsid w:val="003D4114"/>
    <w:rsid w:val="003D42B9"/>
    <w:rsid w:val="003D4577"/>
    <w:rsid w:val="003D46FF"/>
    <w:rsid w:val="003D4E5F"/>
    <w:rsid w:val="003D5005"/>
    <w:rsid w:val="003D513B"/>
    <w:rsid w:val="003D5826"/>
    <w:rsid w:val="003D5A72"/>
    <w:rsid w:val="003D619C"/>
    <w:rsid w:val="003D6283"/>
    <w:rsid w:val="003D63EC"/>
    <w:rsid w:val="003D6406"/>
    <w:rsid w:val="003D6475"/>
    <w:rsid w:val="003D6600"/>
    <w:rsid w:val="003D6D72"/>
    <w:rsid w:val="003D6EE6"/>
    <w:rsid w:val="003D6EF3"/>
    <w:rsid w:val="003D70A8"/>
    <w:rsid w:val="003D71A3"/>
    <w:rsid w:val="003D7201"/>
    <w:rsid w:val="003D7468"/>
    <w:rsid w:val="003D7531"/>
    <w:rsid w:val="003D7738"/>
    <w:rsid w:val="003D7AC1"/>
    <w:rsid w:val="003D7B4B"/>
    <w:rsid w:val="003D7C68"/>
    <w:rsid w:val="003E0225"/>
    <w:rsid w:val="003E03A7"/>
    <w:rsid w:val="003E095B"/>
    <w:rsid w:val="003E0FD3"/>
    <w:rsid w:val="003E129C"/>
    <w:rsid w:val="003E177C"/>
    <w:rsid w:val="003E197D"/>
    <w:rsid w:val="003E1DE1"/>
    <w:rsid w:val="003E23B1"/>
    <w:rsid w:val="003E2794"/>
    <w:rsid w:val="003E27AF"/>
    <w:rsid w:val="003E28E4"/>
    <w:rsid w:val="003E2903"/>
    <w:rsid w:val="003E2CE5"/>
    <w:rsid w:val="003E2DF6"/>
    <w:rsid w:val="003E2F29"/>
    <w:rsid w:val="003E321B"/>
    <w:rsid w:val="003E33C3"/>
    <w:rsid w:val="003E3498"/>
    <w:rsid w:val="003E3560"/>
    <w:rsid w:val="003E36E5"/>
    <w:rsid w:val="003E375C"/>
    <w:rsid w:val="003E3781"/>
    <w:rsid w:val="003E3D07"/>
    <w:rsid w:val="003E3D4B"/>
    <w:rsid w:val="003E4086"/>
    <w:rsid w:val="003E4825"/>
    <w:rsid w:val="003E48F1"/>
    <w:rsid w:val="003E4DBE"/>
    <w:rsid w:val="003E5020"/>
    <w:rsid w:val="003E5274"/>
    <w:rsid w:val="003E5800"/>
    <w:rsid w:val="003E5A71"/>
    <w:rsid w:val="003E5FE6"/>
    <w:rsid w:val="003E61F0"/>
    <w:rsid w:val="003E62D8"/>
    <w:rsid w:val="003E639E"/>
    <w:rsid w:val="003E63A5"/>
    <w:rsid w:val="003E6699"/>
    <w:rsid w:val="003E6B7F"/>
    <w:rsid w:val="003E6DEE"/>
    <w:rsid w:val="003E6F56"/>
    <w:rsid w:val="003E6F96"/>
    <w:rsid w:val="003E71E5"/>
    <w:rsid w:val="003E76B5"/>
    <w:rsid w:val="003E7EAB"/>
    <w:rsid w:val="003E7F71"/>
    <w:rsid w:val="003F0445"/>
    <w:rsid w:val="003F055A"/>
    <w:rsid w:val="003F06CB"/>
    <w:rsid w:val="003F0CF0"/>
    <w:rsid w:val="003F0E7F"/>
    <w:rsid w:val="003F10C3"/>
    <w:rsid w:val="003F1218"/>
    <w:rsid w:val="003F13CD"/>
    <w:rsid w:val="003F149F"/>
    <w:rsid w:val="003F14B1"/>
    <w:rsid w:val="003F173C"/>
    <w:rsid w:val="003F19F1"/>
    <w:rsid w:val="003F1AFA"/>
    <w:rsid w:val="003F2033"/>
    <w:rsid w:val="003F22AD"/>
    <w:rsid w:val="003F22FD"/>
    <w:rsid w:val="003F258A"/>
    <w:rsid w:val="003F29E6"/>
    <w:rsid w:val="003F2B20"/>
    <w:rsid w:val="003F31D7"/>
    <w:rsid w:val="003F3289"/>
    <w:rsid w:val="003F33B8"/>
    <w:rsid w:val="003F396B"/>
    <w:rsid w:val="003F3BE8"/>
    <w:rsid w:val="003F3C62"/>
    <w:rsid w:val="003F3E84"/>
    <w:rsid w:val="003F40B4"/>
    <w:rsid w:val="003F4155"/>
    <w:rsid w:val="003F43CE"/>
    <w:rsid w:val="003F48F0"/>
    <w:rsid w:val="003F4E9F"/>
    <w:rsid w:val="003F5176"/>
    <w:rsid w:val="003F5441"/>
    <w:rsid w:val="003F5615"/>
    <w:rsid w:val="003F5A6E"/>
    <w:rsid w:val="003F5AED"/>
    <w:rsid w:val="003F5CB9"/>
    <w:rsid w:val="003F5E13"/>
    <w:rsid w:val="003F5F7E"/>
    <w:rsid w:val="003F61BE"/>
    <w:rsid w:val="003F6F1F"/>
    <w:rsid w:val="003F7024"/>
    <w:rsid w:val="003F7430"/>
    <w:rsid w:val="003F7836"/>
    <w:rsid w:val="003F7A61"/>
    <w:rsid w:val="003F7F9B"/>
    <w:rsid w:val="00400237"/>
    <w:rsid w:val="00400449"/>
    <w:rsid w:val="00400843"/>
    <w:rsid w:val="00400AC5"/>
    <w:rsid w:val="00400BBA"/>
    <w:rsid w:val="00400BDC"/>
    <w:rsid w:val="004013C7"/>
    <w:rsid w:val="0040158D"/>
    <w:rsid w:val="004016FB"/>
    <w:rsid w:val="004017EB"/>
    <w:rsid w:val="004017F0"/>
    <w:rsid w:val="00401CB0"/>
    <w:rsid w:val="00401FCF"/>
    <w:rsid w:val="0040245B"/>
    <w:rsid w:val="00402760"/>
    <w:rsid w:val="00402913"/>
    <w:rsid w:val="00402929"/>
    <w:rsid w:val="00402BA6"/>
    <w:rsid w:val="00402D04"/>
    <w:rsid w:val="00402EAC"/>
    <w:rsid w:val="004033CD"/>
    <w:rsid w:val="00403C31"/>
    <w:rsid w:val="00403FED"/>
    <w:rsid w:val="00404479"/>
    <w:rsid w:val="004044D7"/>
    <w:rsid w:val="004044F3"/>
    <w:rsid w:val="00404661"/>
    <w:rsid w:val="0040469D"/>
    <w:rsid w:val="00404785"/>
    <w:rsid w:val="004048D9"/>
    <w:rsid w:val="00404BA0"/>
    <w:rsid w:val="00404D1E"/>
    <w:rsid w:val="00405188"/>
    <w:rsid w:val="004055FB"/>
    <w:rsid w:val="00405608"/>
    <w:rsid w:val="00405804"/>
    <w:rsid w:val="00405D49"/>
    <w:rsid w:val="00405E11"/>
    <w:rsid w:val="00406285"/>
    <w:rsid w:val="004065E8"/>
    <w:rsid w:val="0040693F"/>
    <w:rsid w:val="00406D12"/>
    <w:rsid w:val="004071F8"/>
    <w:rsid w:val="0040724A"/>
    <w:rsid w:val="00407BF8"/>
    <w:rsid w:val="00407CAF"/>
    <w:rsid w:val="00407F7A"/>
    <w:rsid w:val="00410261"/>
    <w:rsid w:val="0041039A"/>
    <w:rsid w:val="004107DF"/>
    <w:rsid w:val="00410C66"/>
    <w:rsid w:val="00410E69"/>
    <w:rsid w:val="004114E0"/>
    <w:rsid w:val="004115A2"/>
    <w:rsid w:val="0041169D"/>
    <w:rsid w:val="004117B0"/>
    <w:rsid w:val="00411C87"/>
    <w:rsid w:val="00411CD8"/>
    <w:rsid w:val="004125B7"/>
    <w:rsid w:val="0041279F"/>
    <w:rsid w:val="00412B7B"/>
    <w:rsid w:val="00412CE7"/>
    <w:rsid w:val="00412E23"/>
    <w:rsid w:val="00412EFB"/>
    <w:rsid w:val="00412F98"/>
    <w:rsid w:val="004134FA"/>
    <w:rsid w:val="00413837"/>
    <w:rsid w:val="00413856"/>
    <w:rsid w:val="004138DC"/>
    <w:rsid w:val="004139D3"/>
    <w:rsid w:val="0041412B"/>
    <w:rsid w:val="004145B1"/>
    <w:rsid w:val="0041472C"/>
    <w:rsid w:val="004148F9"/>
    <w:rsid w:val="004149E4"/>
    <w:rsid w:val="00414C8B"/>
    <w:rsid w:val="00414E52"/>
    <w:rsid w:val="004153B0"/>
    <w:rsid w:val="004153EE"/>
    <w:rsid w:val="004156E0"/>
    <w:rsid w:val="00415812"/>
    <w:rsid w:val="00415C4E"/>
    <w:rsid w:val="00415DB2"/>
    <w:rsid w:val="00415F40"/>
    <w:rsid w:val="004160F8"/>
    <w:rsid w:val="00416F2B"/>
    <w:rsid w:val="004170E6"/>
    <w:rsid w:val="00417489"/>
    <w:rsid w:val="004174CE"/>
    <w:rsid w:val="00417570"/>
    <w:rsid w:val="0041790C"/>
    <w:rsid w:val="00417AA9"/>
    <w:rsid w:val="00417FC0"/>
    <w:rsid w:val="00420264"/>
    <w:rsid w:val="0042034D"/>
    <w:rsid w:val="0042084E"/>
    <w:rsid w:val="004208A8"/>
    <w:rsid w:val="00420A0B"/>
    <w:rsid w:val="00420BEB"/>
    <w:rsid w:val="00421E21"/>
    <w:rsid w:val="00421EEF"/>
    <w:rsid w:val="00422296"/>
    <w:rsid w:val="004226B2"/>
    <w:rsid w:val="00422BE6"/>
    <w:rsid w:val="004232FC"/>
    <w:rsid w:val="0042355D"/>
    <w:rsid w:val="00423693"/>
    <w:rsid w:val="00423A93"/>
    <w:rsid w:val="00423DBF"/>
    <w:rsid w:val="00423E78"/>
    <w:rsid w:val="00423F3A"/>
    <w:rsid w:val="00423FF2"/>
    <w:rsid w:val="00424AB9"/>
    <w:rsid w:val="00424C12"/>
    <w:rsid w:val="00424C22"/>
    <w:rsid w:val="00424D65"/>
    <w:rsid w:val="004250B8"/>
    <w:rsid w:val="00425216"/>
    <w:rsid w:val="0042556D"/>
    <w:rsid w:val="004255E5"/>
    <w:rsid w:val="00425824"/>
    <w:rsid w:val="00425CC9"/>
    <w:rsid w:val="004262CC"/>
    <w:rsid w:val="004263F9"/>
    <w:rsid w:val="0042675D"/>
    <w:rsid w:val="004267F3"/>
    <w:rsid w:val="004269E4"/>
    <w:rsid w:val="00426B53"/>
    <w:rsid w:val="00426DB8"/>
    <w:rsid w:val="004273FF"/>
    <w:rsid w:val="004276AD"/>
    <w:rsid w:val="004277BF"/>
    <w:rsid w:val="00427A94"/>
    <w:rsid w:val="00430033"/>
    <w:rsid w:val="0043009D"/>
    <w:rsid w:val="00430393"/>
    <w:rsid w:val="00430446"/>
    <w:rsid w:val="004306EE"/>
    <w:rsid w:val="0043080C"/>
    <w:rsid w:val="00430D45"/>
    <w:rsid w:val="00430D5B"/>
    <w:rsid w:val="00430E9F"/>
    <w:rsid w:val="004312EF"/>
    <w:rsid w:val="00431806"/>
    <w:rsid w:val="00431A61"/>
    <w:rsid w:val="00431A70"/>
    <w:rsid w:val="00431B0F"/>
    <w:rsid w:val="00431DB2"/>
    <w:rsid w:val="00431F42"/>
    <w:rsid w:val="00431F47"/>
    <w:rsid w:val="00432021"/>
    <w:rsid w:val="00432062"/>
    <w:rsid w:val="00432145"/>
    <w:rsid w:val="0043222A"/>
    <w:rsid w:val="00432324"/>
    <w:rsid w:val="004324AC"/>
    <w:rsid w:val="004324C5"/>
    <w:rsid w:val="004325AE"/>
    <w:rsid w:val="0043299D"/>
    <w:rsid w:val="00432EA6"/>
    <w:rsid w:val="004339FF"/>
    <w:rsid w:val="00433C24"/>
    <w:rsid w:val="00434346"/>
    <w:rsid w:val="00434727"/>
    <w:rsid w:val="0043474E"/>
    <w:rsid w:val="004347A7"/>
    <w:rsid w:val="00434B22"/>
    <w:rsid w:val="00434C61"/>
    <w:rsid w:val="00435268"/>
    <w:rsid w:val="004352E9"/>
    <w:rsid w:val="00435477"/>
    <w:rsid w:val="004354DB"/>
    <w:rsid w:val="0043560C"/>
    <w:rsid w:val="00435930"/>
    <w:rsid w:val="00435AC0"/>
    <w:rsid w:val="00435B96"/>
    <w:rsid w:val="00435D4D"/>
    <w:rsid w:val="00435F14"/>
    <w:rsid w:val="00436689"/>
    <w:rsid w:val="00436798"/>
    <w:rsid w:val="00437128"/>
    <w:rsid w:val="00437481"/>
    <w:rsid w:val="00437600"/>
    <w:rsid w:val="0043780D"/>
    <w:rsid w:val="00437B6D"/>
    <w:rsid w:val="004400F8"/>
    <w:rsid w:val="0044014A"/>
    <w:rsid w:val="00440730"/>
    <w:rsid w:val="00440962"/>
    <w:rsid w:val="00440C7F"/>
    <w:rsid w:val="0044119E"/>
    <w:rsid w:val="00441233"/>
    <w:rsid w:val="00441765"/>
    <w:rsid w:val="0044198E"/>
    <w:rsid w:val="00441AEA"/>
    <w:rsid w:val="00442481"/>
    <w:rsid w:val="00442710"/>
    <w:rsid w:val="00442C6C"/>
    <w:rsid w:val="004438A2"/>
    <w:rsid w:val="00443A4D"/>
    <w:rsid w:val="00443B00"/>
    <w:rsid w:val="00443CBE"/>
    <w:rsid w:val="00443E31"/>
    <w:rsid w:val="00443E8A"/>
    <w:rsid w:val="00444019"/>
    <w:rsid w:val="0044410C"/>
    <w:rsid w:val="004441BC"/>
    <w:rsid w:val="004446FD"/>
    <w:rsid w:val="00444970"/>
    <w:rsid w:val="00444A30"/>
    <w:rsid w:val="00444B64"/>
    <w:rsid w:val="00444BF7"/>
    <w:rsid w:val="00444CDB"/>
    <w:rsid w:val="00444DBC"/>
    <w:rsid w:val="00444F9B"/>
    <w:rsid w:val="00444FE3"/>
    <w:rsid w:val="0044552C"/>
    <w:rsid w:val="00445C8D"/>
    <w:rsid w:val="00445CE5"/>
    <w:rsid w:val="00445E6C"/>
    <w:rsid w:val="00446281"/>
    <w:rsid w:val="00446409"/>
    <w:rsid w:val="004468B4"/>
    <w:rsid w:val="004468B9"/>
    <w:rsid w:val="00446D86"/>
    <w:rsid w:val="004472A9"/>
    <w:rsid w:val="004473A1"/>
    <w:rsid w:val="004478E7"/>
    <w:rsid w:val="00450829"/>
    <w:rsid w:val="00450890"/>
    <w:rsid w:val="004509F3"/>
    <w:rsid w:val="00450CAA"/>
    <w:rsid w:val="00450E74"/>
    <w:rsid w:val="00450F98"/>
    <w:rsid w:val="0045145C"/>
    <w:rsid w:val="00451618"/>
    <w:rsid w:val="0045185D"/>
    <w:rsid w:val="00451A37"/>
    <w:rsid w:val="00451FB3"/>
    <w:rsid w:val="0045230A"/>
    <w:rsid w:val="00452878"/>
    <w:rsid w:val="004528E6"/>
    <w:rsid w:val="004529D4"/>
    <w:rsid w:val="00452EC3"/>
    <w:rsid w:val="00452F70"/>
    <w:rsid w:val="00453030"/>
    <w:rsid w:val="004531BA"/>
    <w:rsid w:val="004534D7"/>
    <w:rsid w:val="00453566"/>
    <w:rsid w:val="004538E2"/>
    <w:rsid w:val="00453A52"/>
    <w:rsid w:val="00453AC6"/>
    <w:rsid w:val="00453BDC"/>
    <w:rsid w:val="00453CC1"/>
    <w:rsid w:val="00453D0A"/>
    <w:rsid w:val="00453E93"/>
    <w:rsid w:val="00454234"/>
    <w:rsid w:val="0045448D"/>
    <w:rsid w:val="00454666"/>
    <w:rsid w:val="00454918"/>
    <w:rsid w:val="00454A7D"/>
    <w:rsid w:val="00454AD0"/>
    <w:rsid w:val="00454B0F"/>
    <w:rsid w:val="00454CE6"/>
    <w:rsid w:val="00455521"/>
    <w:rsid w:val="00455856"/>
    <w:rsid w:val="004558BA"/>
    <w:rsid w:val="00455EA7"/>
    <w:rsid w:val="00456F50"/>
    <w:rsid w:val="00457064"/>
    <w:rsid w:val="00457337"/>
    <w:rsid w:val="00457725"/>
    <w:rsid w:val="00457815"/>
    <w:rsid w:val="00457B4C"/>
    <w:rsid w:val="00457B68"/>
    <w:rsid w:val="00457C3C"/>
    <w:rsid w:val="00457FE3"/>
    <w:rsid w:val="00460156"/>
    <w:rsid w:val="00460526"/>
    <w:rsid w:val="004609C1"/>
    <w:rsid w:val="00460BBF"/>
    <w:rsid w:val="00460FEF"/>
    <w:rsid w:val="00461088"/>
    <w:rsid w:val="0046121D"/>
    <w:rsid w:val="004613B7"/>
    <w:rsid w:val="0046143D"/>
    <w:rsid w:val="00461D97"/>
    <w:rsid w:val="00461FAF"/>
    <w:rsid w:val="004624A4"/>
    <w:rsid w:val="00462B65"/>
    <w:rsid w:val="00462E3D"/>
    <w:rsid w:val="004632E3"/>
    <w:rsid w:val="00463389"/>
    <w:rsid w:val="0046344D"/>
    <w:rsid w:val="004635F3"/>
    <w:rsid w:val="004638C3"/>
    <w:rsid w:val="00463E13"/>
    <w:rsid w:val="00463FB6"/>
    <w:rsid w:val="00464101"/>
    <w:rsid w:val="0046449E"/>
    <w:rsid w:val="00464B4A"/>
    <w:rsid w:val="00464EFA"/>
    <w:rsid w:val="004651E1"/>
    <w:rsid w:val="00465518"/>
    <w:rsid w:val="00465837"/>
    <w:rsid w:val="00465D73"/>
    <w:rsid w:val="00465E9E"/>
    <w:rsid w:val="0046620C"/>
    <w:rsid w:val="0046660E"/>
    <w:rsid w:val="00466E79"/>
    <w:rsid w:val="00467020"/>
    <w:rsid w:val="0046716A"/>
    <w:rsid w:val="0046793F"/>
    <w:rsid w:val="00467959"/>
    <w:rsid w:val="00467A3A"/>
    <w:rsid w:val="00467BB5"/>
    <w:rsid w:val="00467BFD"/>
    <w:rsid w:val="00467CD5"/>
    <w:rsid w:val="00467FCD"/>
    <w:rsid w:val="00470D7D"/>
    <w:rsid w:val="00470ED6"/>
    <w:rsid w:val="004711B4"/>
    <w:rsid w:val="004713B8"/>
    <w:rsid w:val="00471458"/>
    <w:rsid w:val="004715D9"/>
    <w:rsid w:val="00471894"/>
    <w:rsid w:val="004718E5"/>
    <w:rsid w:val="004719C1"/>
    <w:rsid w:val="00471A99"/>
    <w:rsid w:val="00471BD5"/>
    <w:rsid w:val="00471EA8"/>
    <w:rsid w:val="004720CD"/>
    <w:rsid w:val="00472195"/>
    <w:rsid w:val="004724C1"/>
    <w:rsid w:val="00472689"/>
    <w:rsid w:val="004732D4"/>
    <w:rsid w:val="00473376"/>
    <w:rsid w:val="0047340A"/>
    <w:rsid w:val="0047341B"/>
    <w:rsid w:val="0047372D"/>
    <w:rsid w:val="00473ABB"/>
    <w:rsid w:val="00473BA3"/>
    <w:rsid w:val="00473DE1"/>
    <w:rsid w:val="004743DD"/>
    <w:rsid w:val="0047488B"/>
    <w:rsid w:val="00474CEA"/>
    <w:rsid w:val="00474FB6"/>
    <w:rsid w:val="0047548D"/>
    <w:rsid w:val="00475538"/>
    <w:rsid w:val="00475BD9"/>
    <w:rsid w:val="00475C34"/>
    <w:rsid w:val="00475FB4"/>
    <w:rsid w:val="004765C5"/>
    <w:rsid w:val="0047661E"/>
    <w:rsid w:val="00476928"/>
    <w:rsid w:val="00476B07"/>
    <w:rsid w:val="00476C32"/>
    <w:rsid w:val="00476E41"/>
    <w:rsid w:val="004770D6"/>
    <w:rsid w:val="004772EC"/>
    <w:rsid w:val="0048016C"/>
    <w:rsid w:val="0048019F"/>
    <w:rsid w:val="004803C4"/>
    <w:rsid w:val="004805C5"/>
    <w:rsid w:val="00480897"/>
    <w:rsid w:val="004809B0"/>
    <w:rsid w:val="00480A26"/>
    <w:rsid w:val="00480D5C"/>
    <w:rsid w:val="00480F48"/>
    <w:rsid w:val="004810E6"/>
    <w:rsid w:val="00481332"/>
    <w:rsid w:val="0048139E"/>
    <w:rsid w:val="004816A2"/>
    <w:rsid w:val="004818FE"/>
    <w:rsid w:val="00481CE8"/>
    <w:rsid w:val="00482024"/>
    <w:rsid w:val="004822FD"/>
    <w:rsid w:val="004823E2"/>
    <w:rsid w:val="00482632"/>
    <w:rsid w:val="00482F9C"/>
    <w:rsid w:val="00482FD1"/>
    <w:rsid w:val="00483195"/>
    <w:rsid w:val="00483827"/>
    <w:rsid w:val="00483968"/>
    <w:rsid w:val="004841A7"/>
    <w:rsid w:val="004841BE"/>
    <w:rsid w:val="004843B8"/>
    <w:rsid w:val="004843EB"/>
    <w:rsid w:val="00484483"/>
    <w:rsid w:val="004844BF"/>
    <w:rsid w:val="00484528"/>
    <w:rsid w:val="00484691"/>
    <w:rsid w:val="00484848"/>
    <w:rsid w:val="00484D06"/>
    <w:rsid w:val="00484F86"/>
    <w:rsid w:val="0048501D"/>
    <w:rsid w:val="0048528B"/>
    <w:rsid w:val="004854EA"/>
    <w:rsid w:val="004857DE"/>
    <w:rsid w:val="00485A5C"/>
    <w:rsid w:val="00485B1F"/>
    <w:rsid w:val="00486395"/>
    <w:rsid w:val="00486553"/>
    <w:rsid w:val="00486699"/>
    <w:rsid w:val="004867EC"/>
    <w:rsid w:val="004867EF"/>
    <w:rsid w:val="004867F8"/>
    <w:rsid w:val="00486887"/>
    <w:rsid w:val="00486AB2"/>
    <w:rsid w:val="00486B3B"/>
    <w:rsid w:val="00486C50"/>
    <w:rsid w:val="0048767D"/>
    <w:rsid w:val="00487888"/>
    <w:rsid w:val="00487C50"/>
    <w:rsid w:val="00487EB7"/>
    <w:rsid w:val="00487EBA"/>
    <w:rsid w:val="00490260"/>
    <w:rsid w:val="004905C0"/>
    <w:rsid w:val="00490746"/>
    <w:rsid w:val="00490767"/>
    <w:rsid w:val="00490852"/>
    <w:rsid w:val="00490B8A"/>
    <w:rsid w:val="00490EAB"/>
    <w:rsid w:val="00490F27"/>
    <w:rsid w:val="0049108E"/>
    <w:rsid w:val="004913A9"/>
    <w:rsid w:val="00491642"/>
    <w:rsid w:val="004919E5"/>
    <w:rsid w:val="00491A46"/>
    <w:rsid w:val="00491ABC"/>
    <w:rsid w:val="00491B47"/>
    <w:rsid w:val="00491C9C"/>
    <w:rsid w:val="00491E7D"/>
    <w:rsid w:val="00491ED1"/>
    <w:rsid w:val="0049213B"/>
    <w:rsid w:val="0049217A"/>
    <w:rsid w:val="0049220F"/>
    <w:rsid w:val="0049280E"/>
    <w:rsid w:val="00492B68"/>
    <w:rsid w:val="00492EF2"/>
    <w:rsid w:val="00492F30"/>
    <w:rsid w:val="0049377F"/>
    <w:rsid w:val="00493E6A"/>
    <w:rsid w:val="00493FEE"/>
    <w:rsid w:val="00493FF2"/>
    <w:rsid w:val="00494255"/>
    <w:rsid w:val="00494330"/>
    <w:rsid w:val="004946F4"/>
    <w:rsid w:val="00494727"/>
    <w:rsid w:val="0049487E"/>
    <w:rsid w:val="004948DC"/>
    <w:rsid w:val="00494C05"/>
    <w:rsid w:val="00495214"/>
    <w:rsid w:val="00495339"/>
    <w:rsid w:val="00495724"/>
    <w:rsid w:val="00495765"/>
    <w:rsid w:val="004958DF"/>
    <w:rsid w:val="004958EA"/>
    <w:rsid w:val="00495A26"/>
    <w:rsid w:val="00495C9F"/>
    <w:rsid w:val="0049607A"/>
    <w:rsid w:val="004960AC"/>
    <w:rsid w:val="004963A4"/>
    <w:rsid w:val="00496547"/>
    <w:rsid w:val="004966DF"/>
    <w:rsid w:val="004966EA"/>
    <w:rsid w:val="00496865"/>
    <w:rsid w:val="0049693E"/>
    <w:rsid w:val="00496E02"/>
    <w:rsid w:val="00496E57"/>
    <w:rsid w:val="004976B8"/>
    <w:rsid w:val="00497853"/>
    <w:rsid w:val="00497896"/>
    <w:rsid w:val="00497FB6"/>
    <w:rsid w:val="004A03DF"/>
    <w:rsid w:val="004A066C"/>
    <w:rsid w:val="004A06D4"/>
    <w:rsid w:val="004A07B9"/>
    <w:rsid w:val="004A09BE"/>
    <w:rsid w:val="004A09E5"/>
    <w:rsid w:val="004A0A5C"/>
    <w:rsid w:val="004A0C29"/>
    <w:rsid w:val="004A0CEB"/>
    <w:rsid w:val="004A0D90"/>
    <w:rsid w:val="004A0DD5"/>
    <w:rsid w:val="004A1156"/>
    <w:rsid w:val="004A1169"/>
    <w:rsid w:val="004A126B"/>
    <w:rsid w:val="004A144F"/>
    <w:rsid w:val="004A14BB"/>
    <w:rsid w:val="004A15D2"/>
    <w:rsid w:val="004A160D"/>
    <w:rsid w:val="004A1702"/>
    <w:rsid w:val="004A1916"/>
    <w:rsid w:val="004A2099"/>
    <w:rsid w:val="004A2126"/>
    <w:rsid w:val="004A23FA"/>
    <w:rsid w:val="004A2A56"/>
    <w:rsid w:val="004A2A6A"/>
    <w:rsid w:val="004A2A8D"/>
    <w:rsid w:val="004A2AA8"/>
    <w:rsid w:val="004A2D01"/>
    <w:rsid w:val="004A31C7"/>
    <w:rsid w:val="004A3AB2"/>
    <w:rsid w:val="004A3D05"/>
    <w:rsid w:val="004A3E81"/>
    <w:rsid w:val="004A4195"/>
    <w:rsid w:val="004A42DD"/>
    <w:rsid w:val="004A46BB"/>
    <w:rsid w:val="004A4702"/>
    <w:rsid w:val="004A48E1"/>
    <w:rsid w:val="004A4ABD"/>
    <w:rsid w:val="004A4C3C"/>
    <w:rsid w:val="004A4D53"/>
    <w:rsid w:val="004A5250"/>
    <w:rsid w:val="004A52EE"/>
    <w:rsid w:val="004A54EB"/>
    <w:rsid w:val="004A55B5"/>
    <w:rsid w:val="004A591A"/>
    <w:rsid w:val="004A5B6B"/>
    <w:rsid w:val="004A5C62"/>
    <w:rsid w:val="004A5CE5"/>
    <w:rsid w:val="004A6206"/>
    <w:rsid w:val="004A621B"/>
    <w:rsid w:val="004A64F8"/>
    <w:rsid w:val="004A6796"/>
    <w:rsid w:val="004A69C2"/>
    <w:rsid w:val="004A6BA1"/>
    <w:rsid w:val="004A6D58"/>
    <w:rsid w:val="004A6DAE"/>
    <w:rsid w:val="004A6F05"/>
    <w:rsid w:val="004A6F45"/>
    <w:rsid w:val="004A7014"/>
    <w:rsid w:val="004A707D"/>
    <w:rsid w:val="004A708F"/>
    <w:rsid w:val="004A715A"/>
    <w:rsid w:val="004A7176"/>
    <w:rsid w:val="004A7A8B"/>
    <w:rsid w:val="004A7B3D"/>
    <w:rsid w:val="004B0209"/>
    <w:rsid w:val="004B063F"/>
    <w:rsid w:val="004B075A"/>
    <w:rsid w:val="004B0882"/>
    <w:rsid w:val="004B0974"/>
    <w:rsid w:val="004B0B2A"/>
    <w:rsid w:val="004B0CD5"/>
    <w:rsid w:val="004B1094"/>
    <w:rsid w:val="004B1469"/>
    <w:rsid w:val="004B1829"/>
    <w:rsid w:val="004B1AA1"/>
    <w:rsid w:val="004B1B75"/>
    <w:rsid w:val="004B1C5C"/>
    <w:rsid w:val="004B1DA0"/>
    <w:rsid w:val="004B1F78"/>
    <w:rsid w:val="004B202D"/>
    <w:rsid w:val="004B2343"/>
    <w:rsid w:val="004B26B6"/>
    <w:rsid w:val="004B2987"/>
    <w:rsid w:val="004B2BFD"/>
    <w:rsid w:val="004B30AF"/>
    <w:rsid w:val="004B312A"/>
    <w:rsid w:val="004B33E8"/>
    <w:rsid w:val="004B36AC"/>
    <w:rsid w:val="004B36DB"/>
    <w:rsid w:val="004B3AF5"/>
    <w:rsid w:val="004B3C60"/>
    <w:rsid w:val="004B3C7F"/>
    <w:rsid w:val="004B3F82"/>
    <w:rsid w:val="004B4169"/>
    <w:rsid w:val="004B4185"/>
    <w:rsid w:val="004B427F"/>
    <w:rsid w:val="004B485D"/>
    <w:rsid w:val="004B5278"/>
    <w:rsid w:val="004B53B9"/>
    <w:rsid w:val="004B5B1B"/>
    <w:rsid w:val="004B5E3F"/>
    <w:rsid w:val="004B5F6F"/>
    <w:rsid w:val="004B6004"/>
    <w:rsid w:val="004B67F9"/>
    <w:rsid w:val="004B6ACA"/>
    <w:rsid w:val="004B6D7A"/>
    <w:rsid w:val="004B6E28"/>
    <w:rsid w:val="004B6EF3"/>
    <w:rsid w:val="004B6FD7"/>
    <w:rsid w:val="004B7696"/>
    <w:rsid w:val="004B76C5"/>
    <w:rsid w:val="004B7E6F"/>
    <w:rsid w:val="004B7F4E"/>
    <w:rsid w:val="004C049B"/>
    <w:rsid w:val="004C050D"/>
    <w:rsid w:val="004C0F51"/>
    <w:rsid w:val="004C1421"/>
    <w:rsid w:val="004C151C"/>
    <w:rsid w:val="004C1543"/>
    <w:rsid w:val="004C1D67"/>
    <w:rsid w:val="004C2097"/>
    <w:rsid w:val="004C2699"/>
    <w:rsid w:val="004C2AA4"/>
    <w:rsid w:val="004C349A"/>
    <w:rsid w:val="004C3855"/>
    <w:rsid w:val="004C38F5"/>
    <w:rsid w:val="004C3910"/>
    <w:rsid w:val="004C46C1"/>
    <w:rsid w:val="004C4BF5"/>
    <w:rsid w:val="004C4EAB"/>
    <w:rsid w:val="004C5014"/>
    <w:rsid w:val="004C5033"/>
    <w:rsid w:val="004C5541"/>
    <w:rsid w:val="004C5647"/>
    <w:rsid w:val="004C56F1"/>
    <w:rsid w:val="004C57C3"/>
    <w:rsid w:val="004C5BBB"/>
    <w:rsid w:val="004C5F59"/>
    <w:rsid w:val="004C6108"/>
    <w:rsid w:val="004C611A"/>
    <w:rsid w:val="004C623E"/>
    <w:rsid w:val="004C64A0"/>
    <w:rsid w:val="004C6668"/>
    <w:rsid w:val="004C6776"/>
    <w:rsid w:val="004C6ED7"/>
    <w:rsid w:val="004C6EEE"/>
    <w:rsid w:val="004C702B"/>
    <w:rsid w:val="004C71FB"/>
    <w:rsid w:val="004C7222"/>
    <w:rsid w:val="004C76B4"/>
    <w:rsid w:val="004C789F"/>
    <w:rsid w:val="004C7983"/>
    <w:rsid w:val="004C7A9F"/>
    <w:rsid w:val="004C7BDC"/>
    <w:rsid w:val="004C7D3E"/>
    <w:rsid w:val="004C7DC8"/>
    <w:rsid w:val="004D0033"/>
    <w:rsid w:val="004D016B"/>
    <w:rsid w:val="004D025B"/>
    <w:rsid w:val="004D036A"/>
    <w:rsid w:val="004D06DF"/>
    <w:rsid w:val="004D17D1"/>
    <w:rsid w:val="004D18FC"/>
    <w:rsid w:val="004D1A78"/>
    <w:rsid w:val="004D1B22"/>
    <w:rsid w:val="004D1E01"/>
    <w:rsid w:val="004D1F1D"/>
    <w:rsid w:val="004D2090"/>
    <w:rsid w:val="004D23CC"/>
    <w:rsid w:val="004D27FF"/>
    <w:rsid w:val="004D2B6C"/>
    <w:rsid w:val="004D3187"/>
    <w:rsid w:val="004D3216"/>
    <w:rsid w:val="004D3456"/>
    <w:rsid w:val="004D3503"/>
    <w:rsid w:val="004D3509"/>
    <w:rsid w:val="004D3636"/>
    <w:rsid w:val="004D36F2"/>
    <w:rsid w:val="004D3760"/>
    <w:rsid w:val="004D37A5"/>
    <w:rsid w:val="004D3831"/>
    <w:rsid w:val="004D4162"/>
    <w:rsid w:val="004D4217"/>
    <w:rsid w:val="004D4379"/>
    <w:rsid w:val="004D4418"/>
    <w:rsid w:val="004D4DFF"/>
    <w:rsid w:val="004D4F16"/>
    <w:rsid w:val="004D54A4"/>
    <w:rsid w:val="004D579C"/>
    <w:rsid w:val="004D6106"/>
    <w:rsid w:val="004D6AA2"/>
    <w:rsid w:val="004D6B9A"/>
    <w:rsid w:val="004D72BC"/>
    <w:rsid w:val="004D76B0"/>
    <w:rsid w:val="004D77E2"/>
    <w:rsid w:val="004DB38C"/>
    <w:rsid w:val="004E00D5"/>
    <w:rsid w:val="004E0299"/>
    <w:rsid w:val="004E035B"/>
    <w:rsid w:val="004E0BB9"/>
    <w:rsid w:val="004E1106"/>
    <w:rsid w:val="004E12E6"/>
    <w:rsid w:val="004E1341"/>
    <w:rsid w:val="004E138F"/>
    <w:rsid w:val="004E1880"/>
    <w:rsid w:val="004E194C"/>
    <w:rsid w:val="004E1CC9"/>
    <w:rsid w:val="004E1E2C"/>
    <w:rsid w:val="004E1F00"/>
    <w:rsid w:val="004E20B9"/>
    <w:rsid w:val="004E243B"/>
    <w:rsid w:val="004E28EF"/>
    <w:rsid w:val="004E32EF"/>
    <w:rsid w:val="004E3A04"/>
    <w:rsid w:val="004E3A3D"/>
    <w:rsid w:val="004E3A81"/>
    <w:rsid w:val="004E3B97"/>
    <w:rsid w:val="004E3C21"/>
    <w:rsid w:val="004E3FD8"/>
    <w:rsid w:val="004E40FB"/>
    <w:rsid w:val="004E4580"/>
    <w:rsid w:val="004E4649"/>
    <w:rsid w:val="004E4788"/>
    <w:rsid w:val="004E48B8"/>
    <w:rsid w:val="004E4A65"/>
    <w:rsid w:val="004E4D67"/>
    <w:rsid w:val="004E5083"/>
    <w:rsid w:val="004E50FA"/>
    <w:rsid w:val="004E5397"/>
    <w:rsid w:val="004E5910"/>
    <w:rsid w:val="004E5C2B"/>
    <w:rsid w:val="004E5C60"/>
    <w:rsid w:val="004E5D74"/>
    <w:rsid w:val="004E5FB7"/>
    <w:rsid w:val="004E6044"/>
    <w:rsid w:val="004E604D"/>
    <w:rsid w:val="004E64BB"/>
    <w:rsid w:val="004E6A0A"/>
    <w:rsid w:val="004E6C48"/>
    <w:rsid w:val="004E6CA3"/>
    <w:rsid w:val="004E6F73"/>
    <w:rsid w:val="004E6FED"/>
    <w:rsid w:val="004E71E1"/>
    <w:rsid w:val="004E738F"/>
    <w:rsid w:val="004E78A7"/>
    <w:rsid w:val="004E7CE9"/>
    <w:rsid w:val="004F00DD"/>
    <w:rsid w:val="004F0242"/>
    <w:rsid w:val="004F050D"/>
    <w:rsid w:val="004F074D"/>
    <w:rsid w:val="004F0AEC"/>
    <w:rsid w:val="004F0B2C"/>
    <w:rsid w:val="004F0B64"/>
    <w:rsid w:val="004F0C3C"/>
    <w:rsid w:val="004F14E5"/>
    <w:rsid w:val="004F1748"/>
    <w:rsid w:val="004F190B"/>
    <w:rsid w:val="004F195B"/>
    <w:rsid w:val="004F1B48"/>
    <w:rsid w:val="004F1C9C"/>
    <w:rsid w:val="004F1E17"/>
    <w:rsid w:val="004F1E82"/>
    <w:rsid w:val="004F2133"/>
    <w:rsid w:val="004F2885"/>
    <w:rsid w:val="004F2904"/>
    <w:rsid w:val="004F2C2A"/>
    <w:rsid w:val="004F2DCB"/>
    <w:rsid w:val="004F2DE0"/>
    <w:rsid w:val="004F2E88"/>
    <w:rsid w:val="004F3C65"/>
    <w:rsid w:val="004F3CCF"/>
    <w:rsid w:val="004F3DD6"/>
    <w:rsid w:val="004F40D5"/>
    <w:rsid w:val="004F45D0"/>
    <w:rsid w:val="004F4ABB"/>
    <w:rsid w:val="004F4BCF"/>
    <w:rsid w:val="004F4EC2"/>
    <w:rsid w:val="004F5393"/>
    <w:rsid w:val="004F5398"/>
    <w:rsid w:val="004F55F1"/>
    <w:rsid w:val="004F563B"/>
    <w:rsid w:val="004F5982"/>
    <w:rsid w:val="004F59D8"/>
    <w:rsid w:val="004F5D50"/>
    <w:rsid w:val="004F6556"/>
    <w:rsid w:val="004F6889"/>
    <w:rsid w:val="004F68BC"/>
    <w:rsid w:val="004F6936"/>
    <w:rsid w:val="004F6B59"/>
    <w:rsid w:val="004F6E11"/>
    <w:rsid w:val="004F6E1E"/>
    <w:rsid w:val="004F730D"/>
    <w:rsid w:val="004F7486"/>
    <w:rsid w:val="004F7CFD"/>
    <w:rsid w:val="004F7D76"/>
    <w:rsid w:val="004F7E6B"/>
    <w:rsid w:val="004F7EA8"/>
    <w:rsid w:val="004F7F43"/>
    <w:rsid w:val="00500209"/>
    <w:rsid w:val="005009FD"/>
    <w:rsid w:val="00500BA6"/>
    <w:rsid w:val="00500FD6"/>
    <w:rsid w:val="00501178"/>
    <w:rsid w:val="00501598"/>
    <w:rsid w:val="005016AB"/>
    <w:rsid w:val="005019D3"/>
    <w:rsid w:val="005019EC"/>
    <w:rsid w:val="00501AF5"/>
    <w:rsid w:val="00501E35"/>
    <w:rsid w:val="00501EA5"/>
    <w:rsid w:val="005022A0"/>
    <w:rsid w:val="0050252D"/>
    <w:rsid w:val="00502707"/>
    <w:rsid w:val="005028DE"/>
    <w:rsid w:val="005029F7"/>
    <w:rsid w:val="00502C92"/>
    <w:rsid w:val="005030F5"/>
    <w:rsid w:val="0050320F"/>
    <w:rsid w:val="00503691"/>
    <w:rsid w:val="005036AF"/>
    <w:rsid w:val="0050395F"/>
    <w:rsid w:val="00503A95"/>
    <w:rsid w:val="00503B15"/>
    <w:rsid w:val="00503DC6"/>
    <w:rsid w:val="00504002"/>
    <w:rsid w:val="005046B8"/>
    <w:rsid w:val="00504781"/>
    <w:rsid w:val="005047F4"/>
    <w:rsid w:val="00504C55"/>
    <w:rsid w:val="00504FBA"/>
    <w:rsid w:val="00505259"/>
    <w:rsid w:val="00505443"/>
    <w:rsid w:val="005055F9"/>
    <w:rsid w:val="00505785"/>
    <w:rsid w:val="0050592E"/>
    <w:rsid w:val="00505E1A"/>
    <w:rsid w:val="00505F49"/>
    <w:rsid w:val="00506285"/>
    <w:rsid w:val="005066CD"/>
    <w:rsid w:val="005066DB"/>
    <w:rsid w:val="005067C6"/>
    <w:rsid w:val="00506B37"/>
    <w:rsid w:val="00506B52"/>
    <w:rsid w:val="00506F5D"/>
    <w:rsid w:val="00507047"/>
    <w:rsid w:val="005070C5"/>
    <w:rsid w:val="00507383"/>
    <w:rsid w:val="00507BB6"/>
    <w:rsid w:val="00507D8A"/>
    <w:rsid w:val="00507EE7"/>
    <w:rsid w:val="0051029A"/>
    <w:rsid w:val="0051033A"/>
    <w:rsid w:val="00510BB4"/>
    <w:rsid w:val="00510C37"/>
    <w:rsid w:val="00510E35"/>
    <w:rsid w:val="00511204"/>
    <w:rsid w:val="0051142B"/>
    <w:rsid w:val="005114DB"/>
    <w:rsid w:val="00511D16"/>
    <w:rsid w:val="00511E86"/>
    <w:rsid w:val="00512162"/>
    <w:rsid w:val="0051229C"/>
    <w:rsid w:val="00512352"/>
    <w:rsid w:val="005124C8"/>
    <w:rsid w:val="005124DD"/>
    <w:rsid w:val="005126D0"/>
    <w:rsid w:val="00512CC6"/>
    <w:rsid w:val="00512EFA"/>
    <w:rsid w:val="005130FF"/>
    <w:rsid w:val="0051329A"/>
    <w:rsid w:val="0051351F"/>
    <w:rsid w:val="005135B3"/>
    <w:rsid w:val="00513D52"/>
    <w:rsid w:val="00513D90"/>
    <w:rsid w:val="00514156"/>
    <w:rsid w:val="005141CA"/>
    <w:rsid w:val="0051431D"/>
    <w:rsid w:val="00514667"/>
    <w:rsid w:val="005149A9"/>
    <w:rsid w:val="00514D82"/>
    <w:rsid w:val="00514FAB"/>
    <w:rsid w:val="00515588"/>
    <w:rsid w:val="005155DD"/>
    <w:rsid w:val="0051568D"/>
    <w:rsid w:val="005156D1"/>
    <w:rsid w:val="00515B14"/>
    <w:rsid w:val="00515D52"/>
    <w:rsid w:val="00515F29"/>
    <w:rsid w:val="00516000"/>
    <w:rsid w:val="005163D2"/>
    <w:rsid w:val="00516472"/>
    <w:rsid w:val="005165B5"/>
    <w:rsid w:val="00516A32"/>
    <w:rsid w:val="00516B28"/>
    <w:rsid w:val="005170AE"/>
    <w:rsid w:val="005170C7"/>
    <w:rsid w:val="0051732F"/>
    <w:rsid w:val="00517D90"/>
    <w:rsid w:val="00517E8A"/>
    <w:rsid w:val="00520048"/>
    <w:rsid w:val="00520BD2"/>
    <w:rsid w:val="00520CA9"/>
    <w:rsid w:val="005211CE"/>
    <w:rsid w:val="00521423"/>
    <w:rsid w:val="0052142B"/>
    <w:rsid w:val="00521888"/>
    <w:rsid w:val="00521B5C"/>
    <w:rsid w:val="00522261"/>
    <w:rsid w:val="005223C5"/>
    <w:rsid w:val="00522495"/>
    <w:rsid w:val="0052283D"/>
    <w:rsid w:val="005229DB"/>
    <w:rsid w:val="00522C53"/>
    <w:rsid w:val="005230D3"/>
    <w:rsid w:val="005233A6"/>
    <w:rsid w:val="00523719"/>
    <w:rsid w:val="00523744"/>
    <w:rsid w:val="00523988"/>
    <w:rsid w:val="00523AC4"/>
    <w:rsid w:val="00524043"/>
    <w:rsid w:val="00524337"/>
    <w:rsid w:val="00524736"/>
    <w:rsid w:val="0052603A"/>
    <w:rsid w:val="00526058"/>
    <w:rsid w:val="00526099"/>
    <w:rsid w:val="005262D2"/>
    <w:rsid w:val="00526AC7"/>
    <w:rsid w:val="00526C15"/>
    <w:rsid w:val="0052757E"/>
    <w:rsid w:val="005275DA"/>
    <w:rsid w:val="0052764B"/>
    <w:rsid w:val="005278F6"/>
    <w:rsid w:val="00527F34"/>
    <w:rsid w:val="00530206"/>
    <w:rsid w:val="00530602"/>
    <w:rsid w:val="005309CB"/>
    <w:rsid w:val="00530A5E"/>
    <w:rsid w:val="00531C58"/>
    <w:rsid w:val="00532284"/>
    <w:rsid w:val="00532785"/>
    <w:rsid w:val="00533D6E"/>
    <w:rsid w:val="00533E46"/>
    <w:rsid w:val="00533FEE"/>
    <w:rsid w:val="00534952"/>
    <w:rsid w:val="00535057"/>
    <w:rsid w:val="005350DA"/>
    <w:rsid w:val="00535147"/>
    <w:rsid w:val="00535B6C"/>
    <w:rsid w:val="00536158"/>
    <w:rsid w:val="005361CB"/>
    <w:rsid w:val="00536499"/>
    <w:rsid w:val="00536599"/>
    <w:rsid w:val="00536758"/>
    <w:rsid w:val="005367E9"/>
    <w:rsid w:val="00536826"/>
    <w:rsid w:val="0053683B"/>
    <w:rsid w:val="00536BF0"/>
    <w:rsid w:val="00536E1B"/>
    <w:rsid w:val="0053726C"/>
    <w:rsid w:val="005372F7"/>
    <w:rsid w:val="00537474"/>
    <w:rsid w:val="005377BE"/>
    <w:rsid w:val="005378E0"/>
    <w:rsid w:val="00537B19"/>
    <w:rsid w:val="00537E29"/>
    <w:rsid w:val="00540340"/>
    <w:rsid w:val="00540E41"/>
    <w:rsid w:val="00540F91"/>
    <w:rsid w:val="005412D8"/>
    <w:rsid w:val="00541393"/>
    <w:rsid w:val="00541417"/>
    <w:rsid w:val="0054146E"/>
    <w:rsid w:val="005415C7"/>
    <w:rsid w:val="00541679"/>
    <w:rsid w:val="0054172C"/>
    <w:rsid w:val="00541B89"/>
    <w:rsid w:val="00541F6D"/>
    <w:rsid w:val="00541FA5"/>
    <w:rsid w:val="00542523"/>
    <w:rsid w:val="00542A03"/>
    <w:rsid w:val="00542A45"/>
    <w:rsid w:val="00542B0F"/>
    <w:rsid w:val="00542D19"/>
    <w:rsid w:val="00542EDB"/>
    <w:rsid w:val="00542F6E"/>
    <w:rsid w:val="00543131"/>
    <w:rsid w:val="00543212"/>
    <w:rsid w:val="0054388C"/>
    <w:rsid w:val="00543903"/>
    <w:rsid w:val="005439CC"/>
    <w:rsid w:val="00543BCC"/>
    <w:rsid w:val="00543D58"/>
    <w:rsid w:val="00543F11"/>
    <w:rsid w:val="00544135"/>
    <w:rsid w:val="005441A4"/>
    <w:rsid w:val="005446DD"/>
    <w:rsid w:val="00544DB0"/>
    <w:rsid w:val="00544F37"/>
    <w:rsid w:val="00545087"/>
    <w:rsid w:val="005454C0"/>
    <w:rsid w:val="00545D16"/>
    <w:rsid w:val="00545D6A"/>
    <w:rsid w:val="005460D9"/>
    <w:rsid w:val="00546305"/>
    <w:rsid w:val="00546714"/>
    <w:rsid w:val="00546FF9"/>
    <w:rsid w:val="00547096"/>
    <w:rsid w:val="00547271"/>
    <w:rsid w:val="00547671"/>
    <w:rsid w:val="00547A95"/>
    <w:rsid w:val="005501C7"/>
    <w:rsid w:val="005503A3"/>
    <w:rsid w:val="005504C5"/>
    <w:rsid w:val="00550890"/>
    <w:rsid w:val="00550DD7"/>
    <w:rsid w:val="0055119B"/>
    <w:rsid w:val="00551308"/>
    <w:rsid w:val="005515E2"/>
    <w:rsid w:val="0055161A"/>
    <w:rsid w:val="005517B3"/>
    <w:rsid w:val="00551BEF"/>
    <w:rsid w:val="00551CA7"/>
    <w:rsid w:val="00551EF5"/>
    <w:rsid w:val="00552437"/>
    <w:rsid w:val="00552CFC"/>
    <w:rsid w:val="00552E11"/>
    <w:rsid w:val="00553240"/>
    <w:rsid w:val="005534BB"/>
    <w:rsid w:val="00553909"/>
    <w:rsid w:val="00553CEA"/>
    <w:rsid w:val="00553D6E"/>
    <w:rsid w:val="00553FC6"/>
    <w:rsid w:val="00554267"/>
    <w:rsid w:val="00554388"/>
    <w:rsid w:val="00554811"/>
    <w:rsid w:val="005548E2"/>
    <w:rsid w:val="00554F5A"/>
    <w:rsid w:val="00555039"/>
    <w:rsid w:val="00555326"/>
    <w:rsid w:val="005554AA"/>
    <w:rsid w:val="00555C3E"/>
    <w:rsid w:val="00555C64"/>
    <w:rsid w:val="00555CCE"/>
    <w:rsid w:val="005560C5"/>
    <w:rsid w:val="00556243"/>
    <w:rsid w:val="00556310"/>
    <w:rsid w:val="005569F1"/>
    <w:rsid w:val="005569FB"/>
    <w:rsid w:val="005573F5"/>
    <w:rsid w:val="00557644"/>
    <w:rsid w:val="0055783B"/>
    <w:rsid w:val="00557858"/>
    <w:rsid w:val="00557AD3"/>
    <w:rsid w:val="00557B1F"/>
    <w:rsid w:val="00557BFC"/>
    <w:rsid w:val="00560106"/>
    <w:rsid w:val="0056042D"/>
    <w:rsid w:val="0056052A"/>
    <w:rsid w:val="00560A56"/>
    <w:rsid w:val="00560DEE"/>
    <w:rsid w:val="00560E82"/>
    <w:rsid w:val="00561124"/>
    <w:rsid w:val="00561202"/>
    <w:rsid w:val="005612B9"/>
    <w:rsid w:val="005617B8"/>
    <w:rsid w:val="00561F12"/>
    <w:rsid w:val="0056203B"/>
    <w:rsid w:val="00562507"/>
    <w:rsid w:val="005625EE"/>
    <w:rsid w:val="005625F4"/>
    <w:rsid w:val="00562736"/>
    <w:rsid w:val="00562811"/>
    <w:rsid w:val="005628B1"/>
    <w:rsid w:val="005629E5"/>
    <w:rsid w:val="00562A30"/>
    <w:rsid w:val="0056331A"/>
    <w:rsid w:val="005635EC"/>
    <w:rsid w:val="00563DAD"/>
    <w:rsid w:val="0056412F"/>
    <w:rsid w:val="00564303"/>
    <w:rsid w:val="005644D1"/>
    <w:rsid w:val="0056488E"/>
    <w:rsid w:val="005649B1"/>
    <w:rsid w:val="005649C4"/>
    <w:rsid w:val="00564A1B"/>
    <w:rsid w:val="00564AA2"/>
    <w:rsid w:val="00564BF7"/>
    <w:rsid w:val="00564EE9"/>
    <w:rsid w:val="005651E0"/>
    <w:rsid w:val="0056525E"/>
    <w:rsid w:val="00565542"/>
    <w:rsid w:val="005655CD"/>
    <w:rsid w:val="005655F6"/>
    <w:rsid w:val="0056565A"/>
    <w:rsid w:val="00565CA0"/>
    <w:rsid w:val="00565D89"/>
    <w:rsid w:val="00565E9F"/>
    <w:rsid w:val="005664B5"/>
    <w:rsid w:val="0056694C"/>
    <w:rsid w:val="00566964"/>
    <w:rsid w:val="005669DC"/>
    <w:rsid w:val="00566B32"/>
    <w:rsid w:val="00566F00"/>
    <w:rsid w:val="00567444"/>
    <w:rsid w:val="0056760C"/>
    <w:rsid w:val="00567620"/>
    <w:rsid w:val="00567737"/>
    <w:rsid w:val="00567EF8"/>
    <w:rsid w:val="005701B6"/>
    <w:rsid w:val="005703A1"/>
    <w:rsid w:val="00570838"/>
    <w:rsid w:val="00570968"/>
    <w:rsid w:val="00570DBA"/>
    <w:rsid w:val="00570F63"/>
    <w:rsid w:val="00571082"/>
    <w:rsid w:val="005710A7"/>
    <w:rsid w:val="005710CA"/>
    <w:rsid w:val="00571432"/>
    <w:rsid w:val="0057157D"/>
    <w:rsid w:val="00571703"/>
    <w:rsid w:val="00571972"/>
    <w:rsid w:val="00571EE9"/>
    <w:rsid w:val="0057200D"/>
    <w:rsid w:val="00572031"/>
    <w:rsid w:val="005721BB"/>
    <w:rsid w:val="00572282"/>
    <w:rsid w:val="0057238E"/>
    <w:rsid w:val="005723B7"/>
    <w:rsid w:val="005723CB"/>
    <w:rsid w:val="00572B96"/>
    <w:rsid w:val="005731DD"/>
    <w:rsid w:val="00573445"/>
    <w:rsid w:val="0057356A"/>
    <w:rsid w:val="00573973"/>
    <w:rsid w:val="00573A96"/>
    <w:rsid w:val="00573CE3"/>
    <w:rsid w:val="00574433"/>
    <w:rsid w:val="00574603"/>
    <w:rsid w:val="005746A2"/>
    <w:rsid w:val="005749D0"/>
    <w:rsid w:val="00574AB9"/>
    <w:rsid w:val="00574ED0"/>
    <w:rsid w:val="0057527F"/>
    <w:rsid w:val="005756DF"/>
    <w:rsid w:val="00575C7A"/>
    <w:rsid w:val="00576011"/>
    <w:rsid w:val="00576D04"/>
    <w:rsid w:val="00576D0C"/>
    <w:rsid w:val="00576E84"/>
    <w:rsid w:val="005770CD"/>
    <w:rsid w:val="00577215"/>
    <w:rsid w:val="0057725B"/>
    <w:rsid w:val="00577EC5"/>
    <w:rsid w:val="005800D6"/>
    <w:rsid w:val="00580394"/>
    <w:rsid w:val="005806DA"/>
    <w:rsid w:val="005807DC"/>
    <w:rsid w:val="005808CD"/>
    <w:rsid w:val="005809CD"/>
    <w:rsid w:val="005810C7"/>
    <w:rsid w:val="005815CE"/>
    <w:rsid w:val="005816B9"/>
    <w:rsid w:val="005818FF"/>
    <w:rsid w:val="00581E41"/>
    <w:rsid w:val="00581E84"/>
    <w:rsid w:val="00581F5C"/>
    <w:rsid w:val="005822E3"/>
    <w:rsid w:val="0058270C"/>
    <w:rsid w:val="00582796"/>
    <w:rsid w:val="00582ADA"/>
    <w:rsid w:val="00582B8C"/>
    <w:rsid w:val="00582D4F"/>
    <w:rsid w:val="00582EC7"/>
    <w:rsid w:val="00582FEF"/>
    <w:rsid w:val="005830C1"/>
    <w:rsid w:val="0058334F"/>
    <w:rsid w:val="005836C1"/>
    <w:rsid w:val="005840AD"/>
    <w:rsid w:val="005844FC"/>
    <w:rsid w:val="005845F4"/>
    <w:rsid w:val="00584F3B"/>
    <w:rsid w:val="00585B10"/>
    <w:rsid w:val="00585DC4"/>
    <w:rsid w:val="00585DCC"/>
    <w:rsid w:val="005861E7"/>
    <w:rsid w:val="005863E7"/>
    <w:rsid w:val="00586675"/>
    <w:rsid w:val="00586C96"/>
    <w:rsid w:val="00586D7A"/>
    <w:rsid w:val="0058757E"/>
    <w:rsid w:val="005878FC"/>
    <w:rsid w:val="0058791D"/>
    <w:rsid w:val="00587AF2"/>
    <w:rsid w:val="00590143"/>
    <w:rsid w:val="005903B9"/>
    <w:rsid w:val="005904B8"/>
    <w:rsid w:val="005905EC"/>
    <w:rsid w:val="00590886"/>
    <w:rsid w:val="005908D5"/>
    <w:rsid w:val="00591131"/>
    <w:rsid w:val="00591264"/>
    <w:rsid w:val="005912DB"/>
    <w:rsid w:val="00591368"/>
    <w:rsid w:val="005913A9"/>
    <w:rsid w:val="00591480"/>
    <w:rsid w:val="005919D4"/>
    <w:rsid w:val="00591C3C"/>
    <w:rsid w:val="0059269A"/>
    <w:rsid w:val="00592890"/>
    <w:rsid w:val="005928ED"/>
    <w:rsid w:val="005931FB"/>
    <w:rsid w:val="005936C0"/>
    <w:rsid w:val="0059379B"/>
    <w:rsid w:val="00593D18"/>
    <w:rsid w:val="00594065"/>
    <w:rsid w:val="005940CA"/>
    <w:rsid w:val="00594585"/>
    <w:rsid w:val="005947FC"/>
    <w:rsid w:val="00594850"/>
    <w:rsid w:val="0059485E"/>
    <w:rsid w:val="00594872"/>
    <w:rsid w:val="00594A1B"/>
    <w:rsid w:val="00594DF5"/>
    <w:rsid w:val="0059531C"/>
    <w:rsid w:val="00595E0F"/>
    <w:rsid w:val="005960BB"/>
    <w:rsid w:val="0059628B"/>
    <w:rsid w:val="00596586"/>
    <w:rsid w:val="0059660D"/>
    <w:rsid w:val="00596A4B"/>
    <w:rsid w:val="00597355"/>
    <w:rsid w:val="005973FB"/>
    <w:rsid w:val="00597507"/>
    <w:rsid w:val="00597610"/>
    <w:rsid w:val="005976E4"/>
    <w:rsid w:val="0059778E"/>
    <w:rsid w:val="005A0195"/>
    <w:rsid w:val="005A054A"/>
    <w:rsid w:val="005A0D18"/>
    <w:rsid w:val="005A13C4"/>
    <w:rsid w:val="005A16F1"/>
    <w:rsid w:val="005A187D"/>
    <w:rsid w:val="005A1EF8"/>
    <w:rsid w:val="005A20E2"/>
    <w:rsid w:val="005A2105"/>
    <w:rsid w:val="005A211E"/>
    <w:rsid w:val="005A23AE"/>
    <w:rsid w:val="005A26B6"/>
    <w:rsid w:val="005A26E2"/>
    <w:rsid w:val="005A2702"/>
    <w:rsid w:val="005A28CF"/>
    <w:rsid w:val="005A29F8"/>
    <w:rsid w:val="005A2A64"/>
    <w:rsid w:val="005A2DE9"/>
    <w:rsid w:val="005A3363"/>
    <w:rsid w:val="005A37F5"/>
    <w:rsid w:val="005A3921"/>
    <w:rsid w:val="005A3ABE"/>
    <w:rsid w:val="005A3BE9"/>
    <w:rsid w:val="005A4138"/>
    <w:rsid w:val="005A4209"/>
    <w:rsid w:val="005A4628"/>
    <w:rsid w:val="005A479D"/>
    <w:rsid w:val="005A522B"/>
    <w:rsid w:val="005A5379"/>
    <w:rsid w:val="005A57D2"/>
    <w:rsid w:val="005A580F"/>
    <w:rsid w:val="005A59CA"/>
    <w:rsid w:val="005A5F42"/>
    <w:rsid w:val="005A6176"/>
    <w:rsid w:val="005A664A"/>
    <w:rsid w:val="005A6C2D"/>
    <w:rsid w:val="005A6E95"/>
    <w:rsid w:val="005A7091"/>
    <w:rsid w:val="005A71CA"/>
    <w:rsid w:val="005A7A73"/>
    <w:rsid w:val="005A7ED3"/>
    <w:rsid w:val="005B0004"/>
    <w:rsid w:val="005B0362"/>
    <w:rsid w:val="005B0AEA"/>
    <w:rsid w:val="005B0B69"/>
    <w:rsid w:val="005B0CEE"/>
    <w:rsid w:val="005B0F61"/>
    <w:rsid w:val="005B1135"/>
    <w:rsid w:val="005B15B2"/>
    <w:rsid w:val="005B17C9"/>
    <w:rsid w:val="005B191C"/>
    <w:rsid w:val="005B1971"/>
    <w:rsid w:val="005B1AE7"/>
    <w:rsid w:val="005B1C6D"/>
    <w:rsid w:val="005B1CBE"/>
    <w:rsid w:val="005B1E24"/>
    <w:rsid w:val="005B1F7C"/>
    <w:rsid w:val="005B21B6"/>
    <w:rsid w:val="005B2268"/>
    <w:rsid w:val="005B22CD"/>
    <w:rsid w:val="005B2949"/>
    <w:rsid w:val="005B2ADD"/>
    <w:rsid w:val="005B3364"/>
    <w:rsid w:val="005B347D"/>
    <w:rsid w:val="005B354C"/>
    <w:rsid w:val="005B3665"/>
    <w:rsid w:val="005B3724"/>
    <w:rsid w:val="005B3901"/>
    <w:rsid w:val="005B3A08"/>
    <w:rsid w:val="005B3FB8"/>
    <w:rsid w:val="005B41F4"/>
    <w:rsid w:val="005B4383"/>
    <w:rsid w:val="005B478A"/>
    <w:rsid w:val="005B4875"/>
    <w:rsid w:val="005B4895"/>
    <w:rsid w:val="005B5260"/>
    <w:rsid w:val="005B599F"/>
    <w:rsid w:val="005B5DEE"/>
    <w:rsid w:val="005B649A"/>
    <w:rsid w:val="005B64FA"/>
    <w:rsid w:val="005B673C"/>
    <w:rsid w:val="005B680C"/>
    <w:rsid w:val="005B77D4"/>
    <w:rsid w:val="005B78FC"/>
    <w:rsid w:val="005B7A63"/>
    <w:rsid w:val="005C0361"/>
    <w:rsid w:val="005C04D1"/>
    <w:rsid w:val="005C0559"/>
    <w:rsid w:val="005C0955"/>
    <w:rsid w:val="005C0A36"/>
    <w:rsid w:val="005C0CE6"/>
    <w:rsid w:val="005C0CE8"/>
    <w:rsid w:val="005C0FF7"/>
    <w:rsid w:val="005C1067"/>
    <w:rsid w:val="005C1795"/>
    <w:rsid w:val="005C1CE6"/>
    <w:rsid w:val="005C1D38"/>
    <w:rsid w:val="005C1D85"/>
    <w:rsid w:val="005C1FF5"/>
    <w:rsid w:val="005C2039"/>
    <w:rsid w:val="005C24B6"/>
    <w:rsid w:val="005C25DA"/>
    <w:rsid w:val="005C267D"/>
    <w:rsid w:val="005C28C4"/>
    <w:rsid w:val="005C2EDD"/>
    <w:rsid w:val="005C2F5F"/>
    <w:rsid w:val="005C36F3"/>
    <w:rsid w:val="005C379E"/>
    <w:rsid w:val="005C3964"/>
    <w:rsid w:val="005C3B1A"/>
    <w:rsid w:val="005C3EF4"/>
    <w:rsid w:val="005C41BE"/>
    <w:rsid w:val="005C474F"/>
    <w:rsid w:val="005C4944"/>
    <w:rsid w:val="005C49DA"/>
    <w:rsid w:val="005C4B23"/>
    <w:rsid w:val="005C4D10"/>
    <w:rsid w:val="005C4E8F"/>
    <w:rsid w:val="005C4F49"/>
    <w:rsid w:val="005C4F8C"/>
    <w:rsid w:val="005C5019"/>
    <w:rsid w:val="005C50F3"/>
    <w:rsid w:val="005C54B5"/>
    <w:rsid w:val="005C5596"/>
    <w:rsid w:val="005C5D80"/>
    <w:rsid w:val="005C5D91"/>
    <w:rsid w:val="005C5EEA"/>
    <w:rsid w:val="005C5F28"/>
    <w:rsid w:val="005C63AF"/>
    <w:rsid w:val="005C664C"/>
    <w:rsid w:val="005C6A20"/>
    <w:rsid w:val="005C6C9A"/>
    <w:rsid w:val="005C7449"/>
    <w:rsid w:val="005C7514"/>
    <w:rsid w:val="005C785D"/>
    <w:rsid w:val="005C78B7"/>
    <w:rsid w:val="005D0207"/>
    <w:rsid w:val="005D031D"/>
    <w:rsid w:val="005D0567"/>
    <w:rsid w:val="005D05EE"/>
    <w:rsid w:val="005D06AA"/>
    <w:rsid w:val="005D07B8"/>
    <w:rsid w:val="005D097A"/>
    <w:rsid w:val="005D0D69"/>
    <w:rsid w:val="005D1517"/>
    <w:rsid w:val="005D1766"/>
    <w:rsid w:val="005D1D52"/>
    <w:rsid w:val="005D1E53"/>
    <w:rsid w:val="005D21A2"/>
    <w:rsid w:val="005D21AE"/>
    <w:rsid w:val="005D2344"/>
    <w:rsid w:val="005D2518"/>
    <w:rsid w:val="005D293C"/>
    <w:rsid w:val="005D2B51"/>
    <w:rsid w:val="005D318A"/>
    <w:rsid w:val="005D31C7"/>
    <w:rsid w:val="005D31D3"/>
    <w:rsid w:val="005D3322"/>
    <w:rsid w:val="005D3AE2"/>
    <w:rsid w:val="005D3B8B"/>
    <w:rsid w:val="005D451B"/>
    <w:rsid w:val="005D46FB"/>
    <w:rsid w:val="005D4DAA"/>
    <w:rsid w:val="005D5478"/>
    <w:rsid w:val="005D558C"/>
    <w:rsid w:val="005D56FC"/>
    <w:rsid w:val="005D5CDC"/>
    <w:rsid w:val="005D6014"/>
    <w:rsid w:val="005D617B"/>
    <w:rsid w:val="005D6597"/>
    <w:rsid w:val="005D6E13"/>
    <w:rsid w:val="005D6FB2"/>
    <w:rsid w:val="005D78AC"/>
    <w:rsid w:val="005D7C0F"/>
    <w:rsid w:val="005E0180"/>
    <w:rsid w:val="005E05DF"/>
    <w:rsid w:val="005E06D6"/>
    <w:rsid w:val="005E097A"/>
    <w:rsid w:val="005E0B1A"/>
    <w:rsid w:val="005E0B4B"/>
    <w:rsid w:val="005E0CE3"/>
    <w:rsid w:val="005E11B9"/>
    <w:rsid w:val="005E14E7"/>
    <w:rsid w:val="005E1618"/>
    <w:rsid w:val="005E181F"/>
    <w:rsid w:val="005E1AE5"/>
    <w:rsid w:val="005E1B1C"/>
    <w:rsid w:val="005E1B50"/>
    <w:rsid w:val="005E20B1"/>
    <w:rsid w:val="005E2650"/>
    <w:rsid w:val="005E2688"/>
    <w:rsid w:val="005E26A3"/>
    <w:rsid w:val="005E2ECB"/>
    <w:rsid w:val="005E2F35"/>
    <w:rsid w:val="005E338D"/>
    <w:rsid w:val="005E34FA"/>
    <w:rsid w:val="005E3884"/>
    <w:rsid w:val="005E40A8"/>
    <w:rsid w:val="005E447E"/>
    <w:rsid w:val="005E451F"/>
    <w:rsid w:val="005E4630"/>
    <w:rsid w:val="005E4851"/>
    <w:rsid w:val="005E4AB8"/>
    <w:rsid w:val="005E4FD1"/>
    <w:rsid w:val="005E558D"/>
    <w:rsid w:val="005E5702"/>
    <w:rsid w:val="005E59A8"/>
    <w:rsid w:val="005E5C2C"/>
    <w:rsid w:val="005E5E91"/>
    <w:rsid w:val="005E61F5"/>
    <w:rsid w:val="005E6388"/>
    <w:rsid w:val="005E6CD1"/>
    <w:rsid w:val="005E7625"/>
    <w:rsid w:val="005E7A6C"/>
    <w:rsid w:val="005E7AEE"/>
    <w:rsid w:val="005E7BC6"/>
    <w:rsid w:val="005F01FB"/>
    <w:rsid w:val="005F0204"/>
    <w:rsid w:val="005F0711"/>
    <w:rsid w:val="005F0775"/>
    <w:rsid w:val="005F0937"/>
    <w:rsid w:val="005F0A47"/>
    <w:rsid w:val="005F0CF5"/>
    <w:rsid w:val="005F10A6"/>
    <w:rsid w:val="005F14C3"/>
    <w:rsid w:val="005F16DC"/>
    <w:rsid w:val="005F178E"/>
    <w:rsid w:val="005F1C9F"/>
    <w:rsid w:val="005F21EB"/>
    <w:rsid w:val="005F2288"/>
    <w:rsid w:val="005F29CB"/>
    <w:rsid w:val="005F2E65"/>
    <w:rsid w:val="005F3133"/>
    <w:rsid w:val="005F34DF"/>
    <w:rsid w:val="005F3926"/>
    <w:rsid w:val="005F3D43"/>
    <w:rsid w:val="005F3D72"/>
    <w:rsid w:val="005F424B"/>
    <w:rsid w:val="005F43A0"/>
    <w:rsid w:val="005F4583"/>
    <w:rsid w:val="005F4927"/>
    <w:rsid w:val="005F4E7B"/>
    <w:rsid w:val="005F5F62"/>
    <w:rsid w:val="005F6036"/>
    <w:rsid w:val="005F629E"/>
    <w:rsid w:val="005F63DB"/>
    <w:rsid w:val="005F64CF"/>
    <w:rsid w:val="005F66D1"/>
    <w:rsid w:val="005F6EB2"/>
    <w:rsid w:val="005F709E"/>
    <w:rsid w:val="005F7303"/>
    <w:rsid w:val="006002B1"/>
    <w:rsid w:val="006002E2"/>
    <w:rsid w:val="00600389"/>
    <w:rsid w:val="00600605"/>
    <w:rsid w:val="006006A6"/>
    <w:rsid w:val="0060098A"/>
    <w:rsid w:val="00600BB9"/>
    <w:rsid w:val="00600E04"/>
    <w:rsid w:val="00601257"/>
    <w:rsid w:val="006014EA"/>
    <w:rsid w:val="0060150C"/>
    <w:rsid w:val="00601F9F"/>
    <w:rsid w:val="00602252"/>
    <w:rsid w:val="00602341"/>
    <w:rsid w:val="0060237D"/>
    <w:rsid w:val="006028C1"/>
    <w:rsid w:val="006028EB"/>
    <w:rsid w:val="00602CB7"/>
    <w:rsid w:val="0060366A"/>
    <w:rsid w:val="00603827"/>
    <w:rsid w:val="00603B88"/>
    <w:rsid w:val="00603D49"/>
    <w:rsid w:val="00603DCE"/>
    <w:rsid w:val="00603EAD"/>
    <w:rsid w:val="00603EE6"/>
    <w:rsid w:val="00603F4A"/>
    <w:rsid w:val="00604174"/>
    <w:rsid w:val="006041AD"/>
    <w:rsid w:val="006041DC"/>
    <w:rsid w:val="00604270"/>
    <w:rsid w:val="006043A9"/>
    <w:rsid w:val="0060444D"/>
    <w:rsid w:val="00604900"/>
    <w:rsid w:val="006049DF"/>
    <w:rsid w:val="00604ADC"/>
    <w:rsid w:val="00604C65"/>
    <w:rsid w:val="00604E48"/>
    <w:rsid w:val="00604FD7"/>
    <w:rsid w:val="0060530A"/>
    <w:rsid w:val="006053FC"/>
    <w:rsid w:val="00605514"/>
    <w:rsid w:val="00605908"/>
    <w:rsid w:val="00605FC1"/>
    <w:rsid w:val="006062F2"/>
    <w:rsid w:val="00606712"/>
    <w:rsid w:val="00606BA8"/>
    <w:rsid w:val="00606C94"/>
    <w:rsid w:val="00607127"/>
    <w:rsid w:val="0060721C"/>
    <w:rsid w:val="0060782E"/>
    <w:rsid w:val="00607850"/>
    <w:rsid w:val="006078D2"/>
    <w:rsid w:val="00607912"/>
    <w:rsid w:val="00607D95"/>
    <w:rsid w:val="00607EF7"/>
    <w:rsid w:val="00607F01"/>
    <w:rsid w:val="00610123"/>
    <w:rsid w:val="006101F5"/>
    <w:rsid w:val="00610278"/>
    <w:rsid w:val="0061081B"/>
    <w:rsid w:val="006108F4"/>
    <w:rsid w:val="00610CAC"/>
    <w:rsid w:val="00610D7C"/>
    <w:rsid w:val="00611000"/>
    <w:rsid w:val="0061138A"/>
    <w:rsid w:val="006113AF"/>
    <w:rsid w:val="00611AE1"/>
    <w:rsid w:val="00611BFE"/>
    <w:rsid w:val="00611E43"/>
    <w:rsid w:val="00612128"/>
    <w:rsid w:val="00612735"/>
    <w:rsid w:val="00612C1E"/>
    <w:rsid w:val="00612D65"/>
    <w:rsid w:val="006131FA"/>
    <w:rsid w:val="00613318"/>
    <w:rsid w:val="00613414"/>
    <w:rsid w:val="0061380D"/>
    <w:rsid w:val="00613EB2"/>
    <w:rsid w:val="006143BF"/>
    <w:rsid w:val="006144AA"/>
    <w:rsid w:val="00614A68"/>
    <w:rsid w:val="00614C04"/>
    <w:rsid w:val="00614EA6"/>
    <w:rsid w:val="006153B8"/>
    <w:rsid w:val="006153CC"/>
    <w:rsid w:val="00615A6C"/>
    <w:rsid w:val="00615BC0"/>
    <w:rsid w:val="00615C7F"/>
    <w:rsid w:val="00615EF0"/>
    <w:rsid w:val="006162A5"/>
    <w:rsid w:val="00616318"/>
    <w:rsid w:val="006163B3"/>
    <w:rsid w:val="00616635"/>
    <w:rsid w:val="006168A5"/>
    <w:rsid w:val="006169B5"/>
    <w:rsid w:val="00616BC2"/>
    <w:rsid w:val="00616EBA"/>
    <w:rsid w:val="00616F6A"/>
    <w:rsid w:val="00616FAE"/>
    <w:rsid w:val="00617C70"/>
    <w:rsid w:val="00617CEA"/>
    <w:rsid w:val="00617D1B"/>
    <w:rsid w:val="00620154"/>
    <w:rsid w:val="00620233"/>
    <w:rsid w:val="006204A7"/>
    <w:rsid w:val="00620639"/>
    <w:rsid w:val="006207A2"/>
    <w:rsid w:val="00620834"/>
    <w:rsid w:val="00620847"/>
    <w:rsid w:val="006211AD"/>
    <w:rsid w:val="00621CB1"/>
    <w:rsid w:val="00621E16"/>
    <w:rsid w:val="00621EF3"/>
    <w:rsid w:val="00622199"/>
    <w:rsid w:val="00622555"/>
    <w:rsid w:val="0062267B"/>
    <w:rsid w:val="00622C85"/>
    <w:rsid w:val="00622CCD"/>
    <w:rsid w:val="006230DF"/>
    <w:rsid w:val="0062408D"/>
    <w:rsid w:val="006240CC"/>
    <w:rsid w:val="00624320"/>
    <w:rsid w:val="006243E6"/>
    <w:rsid w:val="00624665"/>
    <w:rsid w:val="00624940"/>
    <w:rsid w:val="006250E0"/>
    <w:rsid w:val="006253F1"/>
    <w:rsid w:val="006254F8"/>
    <w:rsid w:val="006257D8"/>
    <w:rsid w:val="00625D5E"/>
    <w:rsid w:val="00626078"/>
    <w:rsid w:val="00626324"/>
    <w:rsid w:val="0062655F"/>
    <w:rsid w:val="006266E4"/>
    <w:rsid w:val="00626B1F"/>
    <w:rsid w:val="00626C30"/>
    <w:rsid w:val="00626E5D"/>
    <w:rsid w:val="00626EDB"/>
    <w:rsid w:val="00627056"/>
    <w:rsid w:val="006272DD"/>
    <w:rsid w:val="00627663"/>
    <w:rsid w:val="006277B0"/>
    <w:rsid w:val="00627827"/>
    <w:rsid w:val="00627973"/>
    <w:rsid w:val="00627DA7"/>
    <w:rsid w:val="00627E12"/>
    <w:rsid w:val="00627FFC"/>
    <w:rsid w:val="00630121"/>
    <w:rsid w:val="00630134"/>
    <w:rsid w:val="00630176"/>
    <w:rsid w:val="006303B2"/>
    <w:rsid w:val="0063060B"/>
    <w:rsid w:val="006306C6"/>
    <w:rsid w:val="0063091B"/>
    <w:rsid w:val="00630972"/>
    <w:rsid w:val="00630B30"/>
    <w:rsid w:val="00630C5F"/>
    <w:rsid w:val="00630C8E"/>
    <w:rsid w:val="00630CD7"/>
    <w:rsid w:val="00630D9C"/>
    <w:rsid w:val="00630DA4"/>
    <w:rsid w:val="00631031"/>
    <w:rsid w:val="00631073"/>
    <w:rsid w:val="00631189"/>
    <w:rsid w:val="00631325"/>
    <w:rsid w:val="006315CB"/>
    <w:rsid w:val="00631ABF"/>
    <w:rsid w:val="00631CD4"/>
    <w:rsid w:val="00631D85"/>
    <w:rsid w:val="00632105"/>
    <w:rsid w:val="006322EE"/>
    <w:rsid w:val="00632597"/>
    <w:rsid w:val="006329FB"/>
    <w:rsid w:val="00632D5B"/>
    <w:rsid w:val="00633308"/>
    <w:rsid w:val="006335E9"/>
    <w:rsid w:val="006342C1"/>
    <w:rsid w:val="006347C3"/>
    <w:rsid w:val="006349AD"/>
    <w:rsid w:val="00634D13"/>
    <w:rsid w:val="00634FA8"/>
    <w:rsid w:val="00635124"/>
    <w:rsid w:val="0063529A"/>
    <w:rsid w:val="0063572B"/>
    <w:rsid w:val="006358B4"/>
    <w:rsid w:val="00635EC2"/>
    <w:rsid w:val="00635FEA"/>
    <w:rsid w:val="0063620E"/>
    <w:rsid w:val="00636383"/>
    <w:rsid w:val="006363E0"/>
    <w:rsid w:val="0063640B"/>
    <w:rsid w:val="0063651F"/>
    <w:rsid w:val="00636AE6"/>
    <w:rsid w:val="00637795"/>
    <w:rsid w:val="006377A4"/>
    <w:rsid w:val="0063793D"/>
    <w:rsid w:val="00637A48"/>
    <w:rsid w:val="006400E6"/>
    <w:rsid w:val="00640521"/>
    <w:rsid w:val="00640A82"/>
    <w:rsid w:val="00640EEB"/>
    <w:rsid w:val="00641299"/>
    <w:rsid w:val="00641724"/>
    <w:rsid w:val="006419AA"/>
    <w:rsid w:val="00641A7F"/>
    <w:rsid w:val="00641ACE"/>
    <w:rsid w:val="0064218E"/>
    <w:rsid w:val="006427E0"/>
    <w:rsid w:val="00642BBE"/>
    <w:rsid w:val="00642D30"/>
    <w:rsid w:val="00642D8C"/>
    <w:rsid w:val="00642EEB"/>
    <w:rsid w:val="006434F2"/>
    <w:rsid w:val="006440D7"/>
    <w:rsid w:val="00644369"/>
    <w:rsid w:val="0064460A"/>
    <w:rsid w:val="006446CA"/>
    <w:rsid w:val="00644705"/>
    <w:rsid w:val="0064479F"/>
    <w:rsid w:val="00644A60"/>
    <w:rsid w:val="00644B1F"/>
    <w:rsid w:val="00644B7E"/>
    <w:rsid w:val="0064549D"/>
    <w:rsid w:val="006454E6"/>
    <w:rsid w:val="0064586D"/>
    <w:rsid w:val="00645B3E"/>
    <w:rsid w:val="006460FE"/>
    <w:rsid w:val="00646235"/>
    <w:rsid w:val="00646250"/>
    <w:rsid w:val="006462A5"/>
    <w:rsid w:val="006465CF"/>
    <w:rsid w:val="0064663A"/>
    <w:rsid w:val="00646701"/>
    <w:rsid w:val="00646A68"/>
    <w:rsid w:val="00646C16"/>
    <w:rsid w:val="00646C75"/>
    <w:rsid w:val="00647158"/>
    <w:rsid w:val="0064769D"/>
    <w:rsid w:val="006476AC"/>
    <w:rsid w:val="0064789A"/>
    <w:rsid w:val="00647923"/>
    <w:rsid w:val="00647A4E"/>
    <w:rsid w:val="006504E1"/>
    <w:rsid w:val="006505BD"/>
    <w:rsid w:val="006505C8"/>
    <w:rsid w:val="006507D6"/>
    <w:rsid w:val="006508EA"/>
    <w:rsid w:val="0065092E"/>
    <w:rsid w:val="00650A05"/>
    <w:rsid w:val="00650AF6"/>
    <w:rsid w:val="00650D1E"/>
    <w:rsid w:val="00651402"/>
    <w:rsid w:val="0065142E"/>
    <w:rsid w:val="006519F2"/>
    <w:rsid w:val="00651E3A"/>
    <w:rsid w:val="006521EF"/>
    <w:rsid w:val="006523E1"/>
    <w:rsid w:val="00652B55"/>
    <w:rsid w:val="00652BB2"/>
    <w:rsid w:val="00652C61"/>
    <w:rsid w:val="00652C83"/>
    <w:rsid w:val="00653068"/>
    <w:rsid w:val="00653305"/>
    <w:rsid w:val="0065351F"/>
    <w:rsid w:val="006535CA"/>
    <w:rsid w:val="00653D59"/>
    <w:rsid w:val="00653E91"/>
    <w:rsid w:val="00654014"/>
    <w:rsid w:val="006543B0"/>
    <w:rsid w:val="006549FD"/>
    <w:rsid w:val="00654E3C"/>
    <w:rsid w:val="006557A7"/>
    <w:rsid w:val="00655AF8"/>
    <w:rsid w:val="006560C3"/>
    <w:rsid w:val="00656214"/>
    <w:rsid w:val="00656290"/>
    <w:rsid w:val="00656351"/>
    <w:rsid w:val="00656647"/>
    <w:rsid w:val="00656716"/>
    <w:rsid w:val="0065679C"/>
    <w:rsid w:val="006571A4"/>
    <w:rsid w:val="00657340"/>
    <w:rsid w:val="006573EE"/>
    <w:rsid w:val="00657513"/>
    <w:rsid w:val="006578D0"/>
    <w:rsid w:val="00657D93"/>
    <w:rsid w:val="00657DB2"/>
    <w:rsid w:val="00657F3C"/>
    <w:rsid w:val="006601C9"/>
    <w:rsid w:val="006603AD"/>
    <w:rsid w:val="006603BA"/>
    <w:rsid w:val="00660647"/>
    <w:rsid w:val="00660878"/>
    <w:rsid w:val="006608D8"/>
    <w:rsid w:val="006609DE"/>
    <w:rsid w:val="00660C15"/>
    <w:rsid w:val="00660C40"/>
    <w:rsid w:val="00660D65"/>
    <w:rsid w:val="00660DDE"/>
    <w:rsid w:val="00660F0C"/>
    <w:rsid w:val="00660F40"/>
    <w:rsid w:val="00661300"/>
    <w:rsid w:val="00661384"/>
    <w:rsid w:val="00661932"/>
    <w:rsid w:val="006621D7"/>
    <w:rsid w:val="006622B1"/>
    <w:rsid w:val="006624DC"/>
    <w:rsid w:val="0066251F"/>
    <w:rsid w:val="00662529"/>
    <w:rsid w:val="00662A08"/>
    <w:rsid w:val="00662A37"/>
    <w:rsid w:val="00662B2D"/>
    <w:rsid w:val="00662CA6"/>
    <w:rsid w:val="00662F57"/>
    <w:rsid w:val="0066302A"/>
    <w:rsid w:val="006631D4"/>
    <w:rsid w:val="006633B9"/>
    <w:rsid w:val="0066342B"/>
    <w:rsid w:val="0066376B"/>
    <w:rsid w:val="006639AB"/>
    <w:rsid w:val="00663D90"/>
    <w:rsid w:val="00663F1B"/>
    <w:rsid w:val="00664004"/>
    <w:rsid w:val="006640EA"/>
    <w:rsid w:val="006642C4"/>
    <w:rsid w:val="006642E3"/>
    <w:rsid w:val="006644DF"/>
    <w:rsid w:val="006649E9"/>
    <w:rsid w:val="00664AA2"/>
    <w:rsid w:val="00664ABF"/>
    <w:rsid w:val="00664D52"/>
    <w:rsid w:val="00664F8F"/>
    <w:rsid w:val="0066577F"/>
    <w:rsid w:val="00665A96"/>
    <w:rsid w:val="00665FD8"/>
    <w:rsid w:val="006663CA"/>
    <w:rsid w:val="0066652C"/>
    <w:rsid w:val="006665AC"/>
    <w:rsid w:val="006667A2"/>
    <w:rsid w:val="00666901"/>
    <w:rsid w:val="00666A72"/>
    <w:rsid w:val="00666F41"/>
    <w:rsid w:val="0066703D"/>
    <w:rsid w:val="00667129"/>
    <w:rsid w:val="00667222"/>
    <w:rsid w:val="00667770"/>
    <w:rsid w:val="00667B2B"/>
    <w:rsid w:val="00670597"/>
    <w:rsid w:val="006706D0"/>
    <w:rsid w:val="006707A5"/>
    <w:rsid w:val="00670D2E"/>
    <w:rsid w:val="00670E3C"/>
    <w:rsid w:val="00671261"/>
    <w:rsid w:val="00671421"/>
    <w:rsid w:val="00671494"/>
    <w:rsid w:val="00671728"/>
    <w:rsid w:val="006717AE"/>
    <w:rsid w:val="00671849"/>
    <w:rsid w:val="0067197A"/>
    <w:rsid w:val="00671ACD"/>
    <w:rsid w:val="00672174"/>
    <w:rsid w:val="0067218A"/>
    <w:rsid w:val="00672226"/>
    <w:rsid w:val="00672289"/>
    <w:rsid w:val="00672593"/>
    <w:rsid w:val="0067284B"/>
    <w:rsid w:val="00672A77"/>
    <w:rsid w:val="00672B11"/>
    <w:rsid w:val="00672B91"/>
    <w:rsid w:val="00672E54"/>
    <w:rsid w:val="00672F7B"/>
    <w:rsid w:val="0067344F"/>
    <w:rsid w:val="00673556"/>
    <w:rsid w:val="0067357A"/>
    <w:rsid w:val="00673DC7"/>
    <w:rsid w:val="00673E84"/>
    <w:rsid w:val="006747DC"/>
    <w:rsid w:val="006747E5"/>
    <w:rsid w:val="0067491C"/>
    <w:rsid w:val="00674AEE"/>
    <w:rsid w:val="00674C29"/>
    <w:rsid w:val="0067502C"/>
    <w:rsid w:val="00675351"/>
    <w:rsid w:val="0067552F"/>
    <w:rsid w:val="006755D5"/>
    <w:rsid w:val="00675DB1"/>
    <w:rsid w:val="00675DB3"/>
    <w:rsid w:val="00675E4B"/>
    <w:rsid w:val="00675F2A"/>
    <w:rsid w:val="00676331"/>
    <w:rsid w:val="00676588"/>
    <w:rsid w:val="006765BC"/>
    <w:rsid w:val="00676772"/>
    <w:rsid w:val="00676944"/>
    <w:rsid w:val="006769B5"/>
    <w:rsid w:val="00676C31"/>
    <w:rsid w:val="0067750E"/>
    <w:rsid w:val="00677574"/>
    <w:rsid w:val="00677678"/>
    <w:rsid w:val="00677843"/>
    <w:rsid w:val="0067793C"/>
    <w:rsid w:val="00677998"/>
    <w:rsid w:val="00677A1F"/>
    <w:rsid w:val="00677AF1"/>
    <w:rsid w:val="00680B7A"/>
    <w:rsid w:val="00680FF7"/>
    <w:rsid w:val="006812ED"/>
    <w:rsid w:val="006815E6"/>
    <w:rsid w:val="00681801"/>
    <w:rsid w:val="00681816"/>
    <w:rsid w:val="00681A40"/>
    <w:rsid w:val="0068223B"/>
    <w:rsid w:val="006822DA"/>
    <w:rsid w:val="0068272F"/>
    <w:rsid w:val="006829AB"/>
    <w:rsid w:val="00682A01"/>
    <w:rsid w:val="00682ACE"/>
    <w:rsid w:val="00682E69"/>
    <w:rsid w:val="0068343D"/>
    <w:rsid w:val="0068364F"/>
    <w:rsid w:val="00683878"/>
    <w:rsid w:val="00683B0E"/>
    <w:rsid w:val="00683DD8"/>
    <w:rsid w:val="00684380"/>
    <w:rsid w:val="00684461"/>
    <w:rsid w:val="0068454C"/>
    <w:rsid w:val="00684B94"/>
    <w:rsid w:val="00685041"/>
    <w:rsid w:val="006853E3"/>
    <w:rsid w:val="0068563D"/>
    <w:rsid w:val="00685669"/>
    <w:rsid w:val="00685679"/>
    <w:rsid w:val="0068575F"/>
    <w:rsid w:val="006858BA"/>
    <w:rsid w:val="00685C32"/>
    <w:rsid w:val="00685C74"/>
    <w:rsid w:val="00686222"/>
    <w:rsid w:val="0068637C"/>
    <w:rsid w:val="00686D21"/>
    <w:rsid w:val="00686F80"/>
    <w:rsid w:val="00687287"/>
    <w:rsid w:val="006872C8"/>
    <w:rsid w:val="00687690"/>
    <w:rsid w:val="00687D40"/>
    <w:rsid w:val="00687E4E"/>
    <w:rsid w:val="006903DF"/>
    <w:rsid w:val="006904BD"/>
    <w:rsid w:val="00690946"/>
    <w:rsid w:val="0069099F"/>
    <w:rsid w:val="00690A8B"/>
    <w:rsid w:val="00690B4C"/>
    <w:rsid w:val="00690C82"/>
    <w:rsid w:val="00690E0B"/>
    <w:rsid w:val="00690F34"/>
    <w:rsid w:val="006910AA"/>
    <w:rsid w:val="0069126A"/>
    <w:rsid w:val="006918E5"/>
    <w:rsid w:val="00691947"/>
    <w:rsid w:val="00691AA7"/>
    <w:rsid w:val="00691AC0"/>
    <w:rsid w:val="00691B62"/>
    <w:rsid w:val="00691C2B"/>
    <w:rsid w:val="00692231"/>
    <w:rsid w:val="006927E1"/>
    <w:rsid w:val="006928C5"/>
    <w:rsid w:val="00692A75"/>
    <w:rsid w:val="00692A93"/>
    <w:rsid w:val="00693107"/>
    <w:rsid w:val="006932CF"/>
    <w:rsid w:val="006932F5"/>
    <w:rsid w:val="00693304"/>
    <w:rsid w:val="0069333F"/>
    <w:rsid w:val="006933B5"/>
    <w:rsid w:val="0069364F"/>
    <w:rsid w:val="00693828"/>
    <w:rsid w:val="00693A3A"/>
    <w:rsid w:val="00693BC6"/>
    <w:rsid w:val="00693D14"/>
    <w:rsid w:val="006944DA"/>
    <w:rsid w:val="006944E0"/>
    <w:rsid w:val="006945F0"/>
    <w:rsid w:val="006948BE"/>
    <w:rsid w:val="00694A47"/>
    <w:rsid w:val="00694F96"/>
    <w:rsid w:val="006951E6"/>
    <w:rsid w:val="006954DD"/>
    <w:rsid w:val="00695606"/>
    <w:rsid w:val="006958E0"/>
    <w:rsid w:val="006962B9"/>
    <w:rsid w:val="006964F9"/>
    <w:rsid w:val="006967A9"/>
    <w:rsid w:val="006967BA"/>
    <w:rsid w:val="00696EE3"/>
    <w:rsid w:val="00696F27"/>
    <w:rsid w:val="00696F98"/>
    <w:rsid w:val="0069708A"/>
    <w:rsid w:val="0069756B"/>
    <w:rsid w:val="0069787F"/>
    <w:rsid w:val="00697996"/>
    <w:rsid w:val="00697A5F"/>
    <w:rsid w:val="006A0201"/>
    <w:rsid w:val="006A046B"/>
    <w:rsid w:val="006A07FA"/>
    <w:rsid w:val="006A0872"/>
    <w:rsid w:val="006A11C6"/>
    <w:rsid w:val="006A1778"/>
    <w:rsid w:val="006A17F6"/>
    <w:rsid w:val="006A18C2"/>
    <w:rsid w:val="006A215E"/>
    <w:rsid w:val="006A2FA3"/>
    <w:rsid w:val="006A3383"/>
    <w:rsid w:val="006A3391"/>
    <w:rsid w:val="006A365C"/>
    <w:rsid w:val="006A38F6"/>
    <w:rsid w:val="006A4354"/>
    <w:rsid w:val="006A4367"/>
    <w:rsid w:val="006A4464"/>
    <w:rsid w:val="006A4467"/>
    <w:rsid w:val="006A5019"/>
    <w:rsid w:val="006A5F15"/>
    <w:rsid w:val="006A5FD8"/>
    <w:rsid w:val="006A62AB"/>
    <w:rsid w:val="006A63BC"/>
    <w:rsid w:val="006A6517"/>
    <w:rsid w:val="006A6B17"/>
    <w:rsid w:val="006A6CF0"/>
    <w:rsid w:val="006A71AB"/>
    <w:rsid w:val="006A7410"/>
    <w:rsid w:val="006A7500"/>
    <w:rsid w:val="006A789E"/>
    <w:rsid w:val="006A7FAF"/>
    <w:rsid w:val="006B0119"/>
    <w:rsid w:val="006B029E"/>
    <w:rsid w:val="006B04B2"/>
    <w:rsid w:val="006B0557"/>
    <w:rsid w:val="006B077C"/>
    <w:rsid w:val="006B07B4"/>
    <w:rsid w:val="006B08F3"/>
    <w:rsid w:val="006B0985"/>
    <w:rsid w:val="006B0A86"/>
    <w:rsid w:val="006B0C01"/>
    <w:rsid w:val="006B0CC4"/>
    <w:rsid w:val="006B14B6"/>
    <w:rsid w:val="006B188E"/>
    <w:rsid w:val="006B18F4"/>
    <w:rsid w:val="006B1934"/>
    <w:rsid w:val="006B1CD4"/>
    <w:rsid w:val="006B256E"/>
    <w:rsid w:val="006B26CA"/>
    <w:rsid w:val="006B27B2"/>
    <w:rsid w:val="006B291C"/>
    <w:rsid w:val="006B2955"/>
    <w:rsid w:val="006B29BE"/>
    <w:rsid w:val="006B2B81"/>
    <w:rsid w:val="006B2BB1"/>
    <w:rsid w:val="006B300B"/>
    <w:rsid w:val="006B321C"/>
    <w:rsid w:val="006B37B3"/>
    <w:rsid w:val="006B380B"/>
    <w:rsid w:val="006B39B5"/>
    <w:rsid w:val="006B3B03"/>
    <w:rsid w:val="006B3B47"/>
    <w:rsid w:val="006B3CA8"/>
    <w:rsid w:val="006B3CF9"/>
    <w:rsid w:val="006B4146"/>
    <w:rsid w:val="006B4B36"/>
    <w:rsid w:val="006B4B65"/>
    <w:rsid w:val="006B4E7D"/>
    <w:rsid w:val="006B52B2"/>
    <w:rsid w:val="006B5719"/>
    <w:rsid w:val="006B5AA5"/>
    <w:rsid w:val="006B5D1E"/>
    <w:rsid w:val="006B5EA4"/>
    <w:rsid w:val="006B606B"/>
    <w:rsid w:val="006B6514"/>
    <w:rsid w:val="006B665C"/>
    <w:rsid w:val="006B6803"/>
    <w:rsid w:val="006B6EC9"/>
    <w:rsid w:val="006B7282"/>
    <w:rsid w:val="006B7DEE"/>
    <w:rsid w:val="006C0AAC"/>
    <w:rsid w:val="006C0CD2"/>
    <w:rsid w:val="006C17C2"/>
    <w:rsid w:val="006C1CC4"/>
    <w:rsid w:val="006C2245"/>
    <w:rsid w:val="006C23B4"/>
    <w:rsid w:val="006C3669"/>
    <w:rsid w:val="006C3BEE"/>
    <w:rsid w:val="006C3D77"/>
    <w:rsid w:val="006C3DB0"/>
    <w:rsid w:val="006C42CA"/>
    <w:rsid w:val="006C453A"/>
    <w:rsid w:val="006C468E"/>
    <w:rsid w:val="006C48C9"/>
    <w:rsid w:val="006C4D0C"/>
    <w:rsid w:val="006C4F89"/>
    <w:rsid w:val="006C50E8"/>
    <w:rsid w:val="006C5938"/>
    <w:rsid w:val="006C5AC0"/>
    <w:rsid w:val="006C5EC4"/>
    <w:rsid w:val="006C5FE5"/>
    <w:rsid w:val="006C6168"/>
    <w:rsid w:val="006C656B"/>
    <w:rsid w:val="006C65A5"/>
    <w:rsid w:val="006C699D"/>
    <w:rsid w:val="006C6FD7"/>
    <w:rsid w:val="006C7019"/>
    <w:rsid w:val="006C71AF"/>
    <w:rsid w:val="006C7316"/>
    <w:rsid w:val="006C7BB8"/>
    <w:rsid w:val="006C7D7D"/>
    <w:rsid w:val="006C7EEC"/>
    <w:rsid w:val="006D038C"/>
    <w:rsid w:val="006D05C8"/>
    <w:rsid w:val="006D0B13"/>
    <w:rsid w:val="006D0F16"/>
    <w:rsid w:val="006D163A"/>
    <w:rsid w:val="006D18D5"/>
    <w:rsid w:val="006D1FAC"/>
    <w:rsid w:val="006D2A3F"/>
    <w:rsid w:val="006D2B0D"/>
    <w:rsid w:val="006D2DFA"/>
    <w:rsid w:val="006D2FBC"/>
    <w:rsid w:val="006D321A"/>
    <w:rsid w:val="006D331D"/>
    <w:rsid w:val="006D3599"/>
    <w:rsid w:val="006D3873"/>
    <w:rsid w:val="006D3A58"/>
    <w:rsid w:val="006D3CF2"/>
    <w:rsid w:val="006D416C"/>
    <w:rsid w:val="006D41D9"/>
    <w:rsid w:val="006D4307"/>
    <w:rsid w:val="006D43F6"/>
    <w:rsid w:val="006D4759"/>
    <w:rsid w:val="006D47E4"/>
    <w:rsid w:val="006D48B4"/>
    <w:rsid w:val="006D4958"/>
    <w:rsid w:val="006D4C30"/>
    <w:rsid w:val="006D4E36"/>
    <w:rsid w:val="006D4FC9"/>
    <w:rsid w:val="006D54A7"/>
    <w:rsid w:val="006D5671"/>
    <w:rsid w:val="006D585A"/>
    <w:rsid w:val="006D58D8"/>
    <w:rsid w:val="006D6105"/>
    <w:rsid w:val="006D6589"/>
    <w:rsid w:val="006D6776"/>
    <w:rsid w:val="006D6806"/>
    <w:rsid w:val="006D68F6"/>
    <w:rsid w:val="006D691A"/>
    <w:rsid w:val="006D6C27"/>
    <w:rsid w:val="006D6D8F"/>
    <w:rsid w:val="006D6DB4"/>
    <w:rsid w:val="006D6E34"/>
    <w:rsid w:val="006D7183"/>
    <w:rsid w:val="006D73BE"/>
    <w:rsid w:val="006D790A"/>
    <w:rsid w:val="006D7CD7"/>
    <w:rsid w:val="006E0528"/>
    <w:rsid w:val="006E065D"/>
    <w:rsid w:val="006E08A0"/>
    <w:rsid w:val="006E0931"/>
    <w:rsid w:val="006E0C3B"/>
    <w:rsid w:val="006E0CE0"/>
    <w:rsid w:val="006E138B"/>
    <w:rsid w:val="006E1506"/>
    <w:rsid w:val="006E1867"/>
    <w:rsid w:val="006E1B1D"/>
    <w:rsid w:val="006E21EE"/>
    <w:rsid w:val="006E2261"/>
    <w:rsid w:val="006E23E8"/>
    <w:rsid w:val="006E2667"/>
    <w:rsid w:val="006E26F6"/>
    <w:rsid w:val="006E29C1"/>
    <w:rsid w:val="006E2CED"/>
    <w:rsid w:val="006E3014"/>
    <w:rsid w:val="006E30B1"/>
    <w:rsid w:val="006E3157"/>
    <w:rsid w:val="006E31B3"/>
    <w:rsid w:val="006E33B9"/>
    <w:rsid w:val="006E38D8"/>
    <w:rsid w:val="006E38ED"/>
    <w:rsid w:val="006E3A2D"/>
    <w:rsid w:val="006E4071"/>
    <w:rsid w:val="006E419E"/>
    <w:rsid w:val="006E427D"/>
    <w:rsid w:val="006E442B"/>
    <w:rsid w:val="006E4706"/>
    <w:rsid w:val="006E47D0"/>
    <w:rsid w:val="006E4BA2"/>
    <w:rsid w:val="006E4D7B"/>
    <w:rsid w:val="006E4D9D"/>
    <w:rsid w:val="006E50A7"/>
    <w:rsid w:val="006E536A"/>
    <w:rsid w:val="006E5466"/>
    <w:rsid w:val="006E550C"/>
    <w:rsid w:val="006E5781"/>
    <w:rsid w:val="006E59F0"/>
    <w:rsid w:val="006E60B0"/>
    <w:rsid w:val="006E635B"/>
    <w:rsid w:val="006E66BA"/>
    <w:rsid w:val="006E690F"/>
    <w:rsid w:val="006E69EF"/>
    <w:rsid w:val="006E6BB2"/>
    <w:rsid w:val="006E6CFF"/>
    <w:rsid w:val="006E6D64"/>
    <w:rsid w:val="006E74F3"/>
    <w:rsid w:val="006E7616"/>
    <w:rsid w:val="006E7791"/>
    <w:rsid w:val="006E7A85"/>
    <w:rsid w:val="006E7D2A"/>
    <w:rsid w:val="006E7ED6"/>
    <w:rsid w:val="006E887B"/>
    <w:rsid w:val="006F0330"/>
    <w:rsid w:val="006F0716"/>
    <w:rsid w:val="006F0E2A"/>
    <w:rsid w:val="006F0EEB"/>
    <w:rsid w:val="006F0FE2"/>
    <w:rsid w:val="006F10AF"/>
    <w:rsid w:val="006F120D"/>
    <w:rsid w:val="006F13A0"/>
    <w:rsid w:val="006F15FF"/>
    <w:rsid w:val="006F1725"/>
    <w:rsid w:val="006F1FDC"/>
    <w:rsid w:val="006F214E"/>
    <w:rsid w:val="006F2221"/>
    <w:rsid w:val="006F2270"/>
    <w:rsid w:val="006F23A0"/>
    <w:rsid w:val="006F2747"/>
    <w:rsid w:val="006F28D9"/>
    <w:rsid w:val="006F2955"/>
    <w:rsid w:val="006F2BBD"/>
    <w:rsid w:val="006F2DC8"/>
    <w:rsid w:val="006F3016"/>
    <w:rsid w:val="006F305E"/>
    <w:rsid w:val="006F3649"/>
    <w:rsid w:val="006F3829"/>
    <w:rsid w:val="006F3B1F"/>
    <w:rsid w:val="006F3EFA"/>
    <w:rsid w:val="006F3F3B"/>
    <w:rsid w:val="006F417F"/>
    <w:rsid w:val="006F451B"/>
    <w:rsid w:val="006F4631"/>
    <w:rsid w:val="006F4C92"/>
    <w:rsid w:val="006F4D0D"/>
    <w:rsid w:val="006F4FFF"/>
    <w:rsid w:val="006F5560"/>
    <w:rsid w:val="006F55CD"/>
    <w:rsid w:val="006F5704"/>
    <w:rsid w:val="006F5723"/>
    <w:rsid w:val="006F5736"/>
    <w:rsid w:val="006F584F"/>
    <w:rsid w:val="006F59C2"/>
    <w:rsid w:val="006F5AF1"/>
    <w:rsid w:val="006F5DBC"/>
    <w:rsid w:val="006F63CA"/>
    <w:rsid w:val="006F684B"/>
    <w:rsid w:val="006F696A"/>
    <w:rsid w:val="006F6B85"/>
    <w:rsid w:val="006F6B8C"/>
    <w:rsid w:val="006F6C53"/>
    <w:rsid w:val="006F7077"/>
    <w:rsid w:val="006F7615"/>
    <w:rsid w:val="006F796C"/>
    <w:rsid w:val="006F796F"/>
    <w:rsid w:val="006F79A4"/>
    <w:rsid w:val="006F7D50"/>
    <w:rsid w:val="006F7D61"/>
    <w:rsid w:val="0070093B"/>
    <w:rsid w:val="00701380"/>
    <w:rsid w:val="007013EF"/>
    <w:rsid w:val="007015BC"/>
    <w:rsid w:val="00701A2D"/>
    <w:rsid w:val="00701CED"/>
    <w:rsid w:val="00701E09"/>
    <w:rsid w:val="00701FE2"/>
    <w:rsid w:val="007022F0"/>
    <w:rsid w:val="0070232B"/>
    <w:rsid w:val="00702B2B"/>
    <w:rsid w:val="00702CDE"/>
    <w:rsid w:val="007038B4"/>
    <w:rsid w:val="007041E7"/>
    <w:rsid w:val="0070433B"/>
    <w:rsid w:val="007043F3"/>
    <w:rsid w:val="00704557"/>
    <w:rsid w:val="007045FC"/>
    <w:rsid w:val="007046A4"/>
    <w:rsid w:val="0070482B"/>
    <w:rsid w:val="007049EE"/>
    <w:rsid w:val="00704C98"/>
    <w:rsid w:val="00704F39"/>
    <w:rsid w:val="00705052"/>
    <w:rsid w:val="007055BD"/>
    <w:rsid w:val="0070592D"/>
    <w:rsid w:val="00705A54"/>
    <w:rsid w:val="00705B0E"/>
    <w:rsid w:val="00705C94"/>
    <w:rsid w:val="00705D98"/>
    <w:rsid w:val="00705F03"/>
    <w:rsid w:val="00706031"/>
    <w:rsid w:val="00706069"/>
    <w:rsid w:val="00706AD8"/>
    <w:rsid w:val="00707001"/>
    <w:rsid w:val="007077FF"/>
    <w:rsid w:val="00707826"/>
    <w:rsid w:val="007078CD"/>
    <w:rsid w:val="00710457"/>
    <w:rsid w:val="00710C0C"/>
    <w:rsid w:val="00710F10"/>
    <w:rsid w:val="00710F56"/>
    <w:rsid w:val="00710FAE"/>
    <w:rsid w:val="007115F9"/>
    <w:rsid w:val="00711B49"/>
    <w:rsid w:val="00711D13"/>
    <w:rsid w:val="0071202A"/>
    <w:rsid w:val="007121D8"/>
    <w:rsid w:val="00712218"/>
    <w:rsid w:val="00712233"/>
    <w:rsid w:val="0071239A"/>
    <w:rsid w:val="00712CE0"/>
    <w:rsid w:val="0071345E"/>
    <w:rsid w:val="007134DF"/>
    <w:rsid w:val="007135CA"/>
    <w:rsid w:val="007135FB"/>
    <w:rsid w:val="007135FD"/>
    <w:rsid w:val="00713B19"/>
    <w:rsid w:val="007146D2"/>
    <w:rsid w:val="007147A7"/>
    <w:rsid w:val="00714828"/>
    <w:rsid w:val="007148D1"/>
    <w:rsid w:val="00714BAE"/>
    <w:rsid w:val="00714BD2"/>
    <w:rsid w:val="00714DFD"/>
    <w:rsid w:val="007150E8"/>
    <w:rsid w:val="007153DD"/>
    <w:rsid w:val="0071546D"/>
    <w:rsid w:val="0071589A"/>
    <w:rsid w:val="007159DB"/>
    <w:rsid w:val="00715CC6"/>
    <w:rsid w:val="007161C9"/>
    <w:rsid w:val="007163C4"/>
    <w:rsid w:val="00716495"/>
    <w:rsid w:val="007167D6"/>
    <w:rsid w:val="00716AFA"/>
    <w:rsid w:val="00717072"/>
    <w:rsid w:val="00717074"/>
    <w:rsid w:val="007173CA"/>
    <w:rsid w:val="0071746A"/>
    <w:rsid w:val="007176EA"/>
    <w:rsid w:val="00717753"/>
    <w:rsid w:val="00717943"/>
    <w:rsid w:val="00720436"/>
    <w:rsid w:val="00720582"/>
    <w:rsid w:val="0072061D"/>
    <w:rsid w:val="007207D8"/>
    <w:rsid w:val="007209E8"/>
    <w:rsid w:val="0072105F"/>
    <w:rsid w:val="0072112A"/>
    <w:rsid w:val="0072128F"/>
    <w:rsid w:val="0072160F"/>
    <w:rsid w:val="007216AA"/>
    <w:rsid w:val="00721A45"/>
    <w:rsid w:val="00721A8A"/>
    <w:rsid w:val="00721AB5"/>
    <w:rsid w:val="00721CFB"/>
    <w:rsid w:val="00721DEF"/>
    <w:rsid w:val="00722380"/>
    <w:rsid w:val="0072259D"/>
    <w:rsid w:val="007226E8"/>
    <w:rsid w:val="0072282B"/>
    <w:rsid w:val="00722880"/>
    <w:rsid w:val="00722A36"/>
    <w:rsid w:val="00722D2F"/>
    <w:rsid w:val="00723414"/>
    <w:rsid w:val="007234B4"/>
    <w:rsid w:val="007237FC"/>
    <w:rsid w:val="00723FC7"/>
    <w:rsid w:val="00724409"/>
    <w:rsid w:val="007244EC"/>
    <w:rsid w:val="00724A43"/>
    <w:rsid w:val="00724C26"/>
    <w:rsid w:val="00724CB1"/>
    <w:rsid w:val="007250F3"/>
    <w:rsid w:val="0072589E"/>
    <w:rsid w:val="00726317"/>
    <w:rsid w:val="007266DF"/>
    <w:rsid w:val="00726940"/>
    <w:rsid w:val="00726C17"/>
    <w:rsid w:val="0072706B"/>
    <w:rsid w:val="007272E0"/>
    <w:rsid w:val="007273AC"/>
    <w:rsid w:val="0072770A"/>
    <w:rsid w:val="0072772A"/>
    <w:rsid w:val="00727903"/>
    <w:rsid w:val="0073051E"/>
    <w:rsid w:val="00730CA8"/>
    <w:rsid w:val="00730CBC"/>
    <w:rsid w:val="00730E5E"/>
    <w:rsid w:val="00730E79"/>
    <w:rsid w:val="0073105B"/>
    <w:rsid w:val="007319E0"/>
    <w:rsid w:val="00731AD4"/>
    <w:rsid w:val="007321E3"/>
    <w:rsid w:val="007325A9"/>
    <w:rsid w:val="00732864"/>
    <w:rsid w:val="00732973"/>
    <w:rsid w:val="00732B6E"/>
    <w:rsid w:val="007330AE"/>
    <w:rsid w:val="0073329D"/>
    <w:rsid w:val="00733396"/>
    <w:rsid w:val="007339F5"/>
    <w:rsid w:val="00733A70"/>
    <w:rsid w:val="00733B2E"/>
    <w:rsid w:val="00733D02"/>
    <w:rsid w:val="007342B8"/>
    <w:rsid w:val="00734301"/>
    <w:rsid w:val="0073458B"/>
    <w:rsid w:val="007346E4"/>
    <w:rsid w:val="00734897"/>
    <w:rsid w:val="00734C44"/>
    <w:rsid w:val="00734C77"/>
    <w:rsid w:val="007351E3"/>
    <w:rsid w:val="0073547D"/>
    <w:rsid w:val="007354CB"/>
    <w:rsid w:val="00735564"/>
    <w:rsid w:val="00735BA6"/>
    <w:rsid w:val="00736788"/>
    <w:rsid w:val="00736CCB"/>
    <w:rsid w:val="00736D2A"/>
    <w:rsid w:val="0073701C"/>
    <w:rsid w:val="007370FC"/>
    <w:rsid w:val="007373F8"/>
    <w:rsid w:val="0073768F"/>
    <w:rsid w:val="0074007B"/>
    <w:rsid w:val="00740A13"/>
    <w:rsid w:val="00740BD2"/>
    <w:rsid w:val="00740F22"/>
    <w:rsid w:val="007410D2"/>
    <w:rsid w:val="0074163C"/>
    <w:rsid w:val="00741CB0"/>
    <w:rsid w:val="00741CF0"/>
    <w:rsid w:val="00741F1A"/>
    <w:rsid w:val="0074215E"/>
    <w:rsid w:val="0074261B"/>
    <w:rsid w:val="00742879"/>
    <w:rsid w:val="00742992"/>
    <w:rsid w:val="0074302B"/>
    <w:rsid w:val="00743074"/>
    <w:rsid w:val="00743141"/>
    <w:rsid w:val="0074328D"/>
    <w:rsid w:val="00743317"/>
    <w:rsid w:val="00743664"/>
    <w:rsid w:val="00743942"/>
    <w:rsid w:val="00743C73"/>
    <w:rsid w:val="00743F3A"/>
    <w:rsid w:val="00743F54"/>
    <w:rsid w:val="00744266"/>
    <w:rsid w:val="007442F4"/>
    <w:rsid w:val="007447DA"/>
    <w:rsid w:val="00744B27"/>
    <w:rsid w:val="00744E9E"/>
    <w:rsid w:val="00744FDE"/>
    <w:rsid w:val="007450F8"/>
    <w:rsid w:val="00745219"/>
    <w:rsid w:val="007459D5"/>
    <w:rsid w:val="00745AE5"/>
    <w:rsid w:val="00746019"/>
    <w:rsid w:val="00746057"/>
    <w:rsid w:val="0074608F"/>
    <w:rsid w:val="0074696E"/>
    <w:rsid w:val="00746D42"/>
    <w:rsid w:val="00747008"/>
    <w:rsid w:val="00747057"/>
    <w:rsid w:val="0074705D"/>
    <w:rsid w:val="00747079"/>
    <w:rsid w:val="0074767E"/>
    <w:rsid w:val="00747890"/>
    <w:rsid w:val="0074789B"/>
    <w:rsid w:val="007500DF"/>
    <w:rsid w:val="00750135"/>
    <w:rsid w:val="00750170"/>
    <w:rsid w:val="007502C7"/>
    <w:rsid w:val="007506E5"/>
    <w:rsid w:val="007507A3"/>
    <w:rsid w:val="00750BFA"/>
    <w:rsid w:val="00750DD9"/>
    <w:rsid w:val="00750E6C"/>
    <w:rsid w:val="00750EC2"/>
    <w:rsid w:val="00751C4D"/>
    <w:rsid w:val="00751CFF"/>
    <w:rsid w:val="00751E45"/>
    <w:rsid w:val="00752231"/>
    <w:rsid w:val="007523ED"/>
    <w:rsid w:val="00752539"/>
    <w:rsid w:val="00752573"/>
    <w:rsid w:val="007528EF"/>
    <w:rsid w:val="00752B28"/>
    <w:rsid w:val="00752D55"/>
    <w:rsid w:val="00752DF1"/>
    <w:rsid w:val="00753021"/>
    <w:rsid w:val="007533F7"/>
    <w:rsid w:val="0075368B"/>
    <w:rsid w:val="007536BC"/>
    <w:rsid w:val="0075375B"/>
    <w:rsid w:val="00753877"/>
    <w:rsid w:val="00753B01"/>
    <w:rsid w:val="00753C4A"/>
    <w:rsid w:val="007541A9"/>
    <w:rsid w:val="00754238"/>
    <w:rsid w:val="0075442B"/>
    <w:rsid w:val="0075445F"/>
    <w:rsid w:val="007544A5"/>
    <w:rsid w:val="007545F0"/>
    <w:rsid w:val="007546E7"/>
    <w:rsid w:val="007549DC"/>
    <w:rsid w:val="00754E36"/>
    <w:rsid w:val="00754F05"/>
    <w:rsid w:val="007550CC"/>
    <w:rsid w:val="00755521"/>
    <w:rsid w:val="00755550"/>
    <w:rsid w:val="0075593B"/>
    <w:rsid w:val="00755B05"/>
    <w:rsid w:val="00755B1B"/>
    <w:rsid w:val="007562A6"/>
    <w:rsid w:val="0075643B"/>
    <w:rsid w:val="0075659B"/>
    <w:rsid w:val="007565DA"/>
    <w:rsid w:val="007566AC"/>
    <w:rsid w:val="00756995"/>
    <w:rsid w:val="00756E3F"/>
    <w:rsid w:val="007570EF"/>
    <w:rsid w:val="00757219"/>
    <w:rsid w:val="00757E43"/>
    <w:rsid w:val="00760267"/>
    <w:rsid w:val="00760411"/>
    <w:rsid w:val="007604D7"/>
    <w:rsid w:val="00760622"/>
    <w:rsid w:val="007609F8"/>
    <w:rsid w:val="00760BC0"/>
    <w:rsid w:val="00760C4E"/>
    <w:rsid w:val="0076138B"/>
    <w:rsid w:val="00761474"/>
    <w:rsid w:val="00761638"/>
    <w:rsid w:val="007618B1"/>
    <w:rsid w:val="007619AA"/>
    <w:rsid w:val="00761AB5"/>
    <w:rsid w:val="00761BBC"/>
    <w:rsid w:val="00761C0C"/>
    <w:rsid w:val="00761C6A"/>
    <w:rsid w:val="00761DD8"/>
    <w:rsid w:val="00761E19"/>
    <w:rsid w:val="00761E2C"/>
    <w:rsid w:val="00762BB7"/>
    <w:rsid w:val="00762F93"/>
    <w:rsid w:val="00763139"/>
    <w:rsid w:val="00763308"/>
    <w:rsid w:val="00763663"/>
    <w:rsid w:val="007646E0"/>
    <w:rsid w:val="00764B70"/>
    <w:rsid w:val="00765069"/>
    <w:rsid w:val="00765617"/>
    <w:rsid w:val="0076578F"/>
    <w:rsid w:val="00765949"/>
    <w:rsid w:val="007660C1"/>
    <w:rsid w:val="007660CB"/>
    <w:rsid w:val="007665B1"/>
    <w:rsid w:val="00766FAF"/>
    <w:rsid w:val="00767289"/>
    <w:rsid w:val="00767455"/>
    <w:rsid w:val="00767705"/>
    <w:rsid w:val="0077007C"/>
    <w:rsid w:val="00770810"/>
    <w:rsid w:val="00770AFB"/>
    <w:rsid w:val="00770C16"/>
    <w:rsid w:val="00770E1A"/>
    <w:rsid w:val="00770F37"/>
    <w:rsid w:val="0077101C"/>
    <w:rsid w:val="007711A0"/>
    <w:rsid w:val="00771C28"/>
    <w:rsid w:val="00771F6A"/>
    <w:rsid w:val="00771F8F"/>
    <w:rsid w:val="007720B4"/>
    <w:rsid w:val="007722FC"/>
    <w:rsid w:val="007725F3"/>
    <w:rsid w:val="007729F7"/>
    <w:rsid w:val="00772D5E"/>
    <w:rsid w:val="00773172"/>
    <w:rsid w:val="007733D6"/>
    <w:rsid w:val="00773469"/>
    <w:rsid w:val="00773C7A"/>
    <w:rsid w:val="00773DC1"/>
    <w:rsid w:val="00773F75"/>
    <w:rsid w:val="007741BA"/>
    <w:rsid w:val="00774391"/>
    <w:rsid w:val="0077444A"/>
    <w:rsid w:val="0077463E"/>
    <w:rsid w:val="00774A20"/>
    <w:rsid w:val="007750CE"/>
    <w:rsid w:val="0077570B"/>
    <w:rsid w:val="00775818"/>
    <w:rsid w:val="00775C75"/>
    <w:rsid w:val="0077629D"/>
    <w:rsid w:val="00776675"/>
    <w:rsid w:val="00776751"/>
    <w:rsid w:val="00776928"/>
    <w:rsid w:val="00776CE6"/>
    <w:rsid w:val="00776D56"/>
    <w:rsid w:val="00776E0F"/>
    <w:rsid w:val="00776FFD"/>
    <w:rsid w:val="00777207"/>
    <w:rsid w:val="0077735A"/>
    <w:rsid w:val="007773AA"/>
    <w:rsid w:val="007774B1"/>
    <w:rsid w:val="00777A3D"/>
    <w:rsid w:val="00777BE1"/>
    <w:rsid w:val="007803C7"/>
    <w:rsid w:val="007806E5"/>
    <w:rsid w:val="00780A77"/>
    <w:rsid w:val="00780D43"/>
    <w:rsid w:val="00780EB7"/>
    <w:rsid w:val="00781038"/>
    <w:rsid w:val="0078180E"/>
    <w:rsid w:val="00781820"/>
    <w:rsid w:val="00781858"/>
    <w:rsid w:val="00781B2E"/>
    <w:rsid w:val="00782222"/>
    <w:rsid w:val="007822BE"/>
    <w:rsid w:val="00782350"/>
    <w:rsid w:val="0078271C"/>
    <w:rsid w:val="00782741"/>
    <w:rsid w:val="00782936"/>
    <w:rsid w:val="00782A62"/>
    <w:rsid w:val="00782B80"/>
    <w:rsid w:val="00783135"/>
    <w:rsid w:val="007831DC"/>
    <w:rsid w:val="00783246"/>
    <w:rsid w:val="007832ED"/>
    <w:rsid w:val="00783324"/>
    <w:rsid w:val="00783378"/>
    <w:rsid w:val="007833D8"/>
    <w:rsid w:val="007834BD"/>
    <w:rsid w:val="007834F2"/>
    <w:rsid w:val="007836EC"/>
    <w:rsid w:val="00784094"/>
    <w:rsid w:val="00784360"/>
    <w:rsid w:val="00784527"/>
    <w:rsid w:val="0078479F"/>
    <w:rsid w:val="00784820"/>
    <w:rsid w:val="00784894"/>
    <w:rsid w:val="00785200"/>
    <w:rsid w:val="00785309"/>
    <w:rsid w:val="00785677"/>
    <w:rsid w:val="007858E7"/>
    <w:rsid w:val="00785C08"/>
    <w:rsid w:val="00785E2C"/>
    <w:rsid w:val="007867AD"/>
    <w:rsid w:val="00786951"/>
    <w:rsid w:val="00786B0C"/>
    <w:rsid w:val="00786C71"/>
    <w:rsid w:val="00786EA2"/>
    <w:rsid w:val="00786F16"/>
    <w:rsid w:val="00787092"/>
    <w:rsid w:val="00787379"/>
    <w:rsid w:val="0078747B"/>
    <w:rsid w:val="0078747F"/>
    <w:rsid w:val="00787A5D"/>
    <w:rsid w:val="00787C18"/>
    <w:rsid w:val="00790476"/>
    <w:rsid w:val="00790612"/>
    <w:rsid w:val="007907AB"/>
    <w:rsid w:val="00790B6B"/>
    <w:rsid w:val="00790BEA"/>
    <w:rsid w:val="00791150"/>
    <w:rsid w:val="007914AE"/>
    <w:rsid w:val="00791518"/>
    <w:rsid w:val="0079196D"/>
    <w:rsid w:val="00791B7C"/>
    <w:rsid w:val="00791B89"/>
    <w:rsid w:val="00791BD7"/>
    <w:rsid w:val="00791F54"/>
    <w:rsid w:val="00792235"/>
    <w:rsid w:val="0079267E"/>
    <w:rsid w:val="007926EF"/>
    <w:rsid w:val="00792A45"/>
    <w:rsid w:val="007931C0"/>
    <w:rsid w:val="007931F0"/>
    <w:rsid w:val="007933F7"/>
    <w:rsid w:val="0079394D"/>
    <w:rsid w:val="0079419B"/>
    <w:rsid w:val="00794408"/>
    <w:rsid w:val="007945FF"/>
    <w:rsid w:val="007947B7"/>
    <w:rsid w:val="00794B0E"/>
    <w:rsid w:val="00794B22"/>
    <w:rsid w:val="00794D90"/>
    <w:rsid w:val="00795360"/>
    <w:rsid w:val="0079578C"/>
    <w:rsid w:val="007957D1"/>
    <w:rsid w:val="00795FF3"/>
    <w:rsid w:val="007961D9"/>
    <w:rsid w:val="0079629F"/>
    <w:rsid w:val="007963F2"/>
    <w:rsid w:val="00796619"/>
    <w:rsid w:val="0079690C"/>
    <w:rsid w:val="00796E20"/>
    <w:rsid w:val="00797062"/>
    <w:rsid w:val="007972E2"/>
    <w:rsid w:val="0079766E"/>
    <w:rsid w:val="00797B25"/>
    <w:rsid w:val="00797C32"/>
    <w:rsid w:val="00797C99"/>
    <w:rsid w:val="00797DE5"/>
    <w:rsid w:val="00797F03"/>
    <w:rsid w:val="007A003B"/>
    <w:rsid w:val="007A05E1"/>
    <w:rsid w:val="007A06D2"/>
    <w:rsid w:val="007A073F"/>
    <w:rsid w:val="007A11E8"/>
    <w:rsid w:val="007A12B1"/>
    <w:rsid w:val="007A1361"/>
    <w:rsid w:val="007A1589"/>
    <w:rsid w:val="007A1C4D"/>
    <w:rsid w:val="007A2295"/>
    <w:rsid w:val="007A24B9"/>
    <w:rsid w:val="007A264C"/>
    <w:rsid w:val="007A2708"/>
    <w:rsid w:val="007A2B50"/>
    <w:rsid w:val="007A2BED"/>
    <w:rsid w:val="007A2D61"/>
    <w:rsid w:val="007A2EF3"/>
    <w:rsid w:val="007A3027"/>
    <w:rsid w:val="007A33D5"/>
    <w:rsid w:val="007A383F"/>
    <w:rsid w:val="007A3BBC"/>
    <w:rsid w:val="007A3D86"/>
    <w:rsid w:val="007A3D9F"/>
    <w:rsid w:val="007A4869"/>
    <w:rsid w:val="007A498A"/>
    <w:rsid w:val="007A4A0F"/>
    <w:rsid w:val="007A4FFA"/>
    <w:rsid w:val="007A5285"/>
    <w:rsid w:val="007A574F"/>
    <w:rsid w:val="007A5753"/>
    <w:rsid w:val="007A5FE0"/>
    <w:rsid w:val="007A613C"/>
    <w:rsid w:val="007A6233"/>
    <w:rsid w:val="007A625A"/>
    <w:rsid w:val="007A6937"/>
    <w:rsid w:val="007A6AAE"/>
    <w:rsid w:val="007A6D6F"/>
    <w:rsid w:val="007A70F4"/>
    <w:rsid w:val="007A71B4"/>
    <w:rsid w:val="007A789E"/>
    <w:rsid w:val="007B0914"/>
    <w:rsid w:val="007B0AC1"/>
    <w:rsid w:val="007B0C8D"/>
    <w:rsid w:val="007B0F70"/>
    <w:rsid w:val="007B1163"/>
    <w:rsid w:val="007B1374"/>
    <w:rsid w:val="007B18A3"/>
    <w:rsid w:val="007B18D8"/>
    <w:rsid w:val="007B1B28"/>
    <w:rsid w:val="007B1DC2"/>
    <w:rsid w:val="007B1FBE"/>
    <w:rsid w:val="007B1FD7"/>
    <w:rsid w:val="007B27D7"/>
    <w:rsid w:val="007B30CE"/>
    <w:rsid w:val="007B3159"/>
    <w:rsid w:val="007B32E5"/>
    <w:rsid w:val="007B3320"/>
    <w:rsid w:val="007B3578"/>
    <w:rsid w:val="007B3DB9"/>
    <w:rsid w:val="007B3F6C"/>
    <w:rsid w:val="007B454A"/>
    <w:rsid w:val="007B468A"/>
    <w:rsid w:val="007B46EE"/>
    <w:rsid w:val="007B589F"/>
    <w:rsid w:val="007B5A5B"/>
    <w:rsid w:val="007B60E1"/>
    <w:rsid w:val="007B6186"/>
    <w:rsid w:val="007B64F6"/>
    <w:rsid w:val="007B6833"/>
    <w:rsid w:val="007B6C47"/>
    <w:rsid w:val="007B7226"/>
    <w:rsid w:val="007B7259"/>
    <w:rsid w:val="007B7276"/>
    <w:rsid w:val="007B72C2"/>
    <w:rsid w:val="007B73BC"/>
    <w:rsid w:val="007B7472"/>
    <w:rsid w:val="007B7E2E"/>
    <w:rsid w:val="007B7E5E"/>
    <w:rsid w:val="007B7FB4"/>
    <w:rsid w:val="007C00C7"/>
    <w:rsid w:val="007C0755"/>
    <w:rsid w:val="007C107C"/>
    <w:rsid w:val="007C10CC"/>
    <w:rsid w:val="007C161E"/>
    <w:rsid w:val="007C1838"/>
    <w:rsid w:val="007C20B9"/>
    <w:rsid w:val="007C2806"/>
    <w:rsid w:val="007C28BC"/>
    <w:rsid w:val="007C2FC8"/>
    <w:rsid w:val="007C3553"/>
    <w:rsid w:val="007C360D"/>
    <w:rsid w:val="007C3753"/>
    <w:rsid w:val="007C38E3"/>
    <w:rsid w:val="007C416E"/>
    <w:rsid w:val="007C4288"/>
    <w:rsid w:val="007C467A"/>
    <w:rsid w:val="007C49B1"/>
    <w:rsid w:val="007C506D"/>
    <w:rsid w:val="007C5EA4"/>
    <w:rsid w:val="007C5F20"/>
    <w:rsid w:val="007C6AA3"/>
    <w:rsid w:val="007C6AF3"/>
    <w:rsid w:val="007C6DA2"/>
    <w:rsid w:val="007C6DD6"/>
    <w:rsid w:val="007C6F09"/>
    <w:rsid w:val="007C7287"/>
    <w:rsid w:val="007C7301"/>
    <w:rsid w:val="007C7859"/>
    <w:rsid w:val="007C7ADA"/>
    <w:rsid w:val="007C7E7F"/>
    <w:rsid w:val="007C7F28"/>
    <w:rsid w:val="007C7FF4"/>
    <w:rsid w:val="007D02AD"/>
    <w:rsid w:val="007D047A"/>
    <w:rsid w:val="007D0581"/>
    <w:rsid w:val="007D093E"/>
    <w:rsid w:val="007D0A4F"/>
    <w:rsid w:val="007D0B9D"/>
    <w:rsid w:val="007D0BE9"/>
    <w:rsid w:val="007D144A"/>
    <w:rsid w:val="007D1466"/>
    <w:rsid w:val="007D16D0"/>
    <w:rsid w:val="007D1704"/>
    <w:rsid w:val="007D1FCA"/>
    <w:rsid w:val="007D21E1"/>
    <w:rsid w:val="007D26FD"/>
    <w:rsid w:val="007D2857"/>
    <w:rsid w:val="007D2AC8"/>
    <w:rsid w:val="007D2BDE"/>
    <w:rsid w:val="007D2FB6"/>
    <w:rsid w:val="007D3042"/>
    <w:rsid w:val="007D3242"/>
    <w:rsid w:val="007D3506"/>
    <w:rsid w:val="007D40B7"/>
    <w:rsid w:val="007D43E6"/>
    <w:rsid w:val="007D44B0"/>
    <w:rsid w:val="007D45C9"/>
    <w:rsid w:val="007D49BE"/>
    <w:rsid w:val="007D49EB"/>
    <w:rsid w:val="007D4A7D"/>
    <w:rsid w:val="007D4F86"/>
    <w:rsid w:val="007D5032"/>
    <w:rsid w:val="007D52E1"/>
    <w:rsid w:val="007D54A8"/>
    <w:rsid w:val="007D566F"/>
    <w:rsid w:val="007D5B3E"/>
    <w:rsid w:val="007D5E1C"/>
    <w:rsid w:val="007D605F"/>
    <w:rsid w:val="007D622F"/>
    <w:rsid w:val="007D6314"/>
    <w:rsid w:val="007D67B1"/>
    <w:rsid w:val="007D6843"/>
    <w:rsid w:val="007D6A44"/>
    <w:rsid w:val="007D6A7B"/>
    <w:rsid w:val="007D6D19"/>
    <w:rsid w:val="007D7596"/>
    <w:rsid w:val="007D76A3"/>
    <w:rsid w:val="007D79CD"/>
    <w:rsid w:val="007D7D30"/>
    <w:rsid w:val="007D7F87"/>
    <w:rsid w:val="007E00A9"/>
    <w:rsid w:val="007E078C"/>
    <w:rsid w:val="007E09FE"/>
    <w:rsid w:val="007E0B05"/>
    <w:rsid w:val="007E0B15"/>
    <w:rsid w:val="007E0C86"/>
    <w:rsid w:val="007E0DE2"/>
    <w:rsid w:val="007E0E30"/>
    <w:rsid w:val="007E149E"/>
    <w:rsid w:val="007E1915"/>
    <w:rsid w:val="007E1CFB"/>
    <w:rsid w:val="007E1D6D"/>
    <w:rsid w:val="007E2029"/>
    <w:rsid w:val="007E2052"/>
    <w:rsid w:val="007E2974"/>
    <w:rsid w:val="007E2CCA"/>
    <w:rsid w:val="007E2DC1"/>
    <w:rsid w:val="007E31BE"/>
    <w:rsid w:val="007E3667"/>
    <w:rsid w:val="007E3742"/>
    <w:rsid w:val="007E3816"/>
    <w:rsid w:val="007E39F1"/>
    <w:rsid w:val="007E3B98"/>
    <w:rsid w:val="007E3CCE"/>
    <w:rsid w:val="007E4030"/>
    <w:rsid w:val="007E4039"/>
    <w:rsid w:val="007E417A"/>
    <w:rsid w:val="007E4231"/>
    <w:rsid w:val="007E428D"/>
    <w:rsid w:val="007E462B"/>
    <w:rsid w:val="007E46AE"/>
    <w:rsid w:val="007E47A7"/>
    <w:rsid w:val="007E487D"/>
    <w:rsid w:val="007E4C3D"/>
    <w:rsid w:val="007E548D"/>
    <w:rsid w:val="007E5511"/>
    <w:rsid w:val="007E5A48"/>
    <w:rsid w:val="007E5CDC"/>
    <w:rsid w:val="007E6114"/>
    <w:rsid w:val="007E69F0"/>
    <w:rsid w:val="007E6C2F"/>
    <w:rsid w:val="007E6C80"/>
    <w:rsid w:val="007E6DBE"/>
    <w:rsid w:val="007E6F70"/>
    <w:rsid w:val="007E7107"/>
    <w:rsid w:val="007E72CC"/>
    <w:rsid w:val="007E73D0"/>
    <w:rsid w:val="007E7595"/>
    <w:rsid w:val="007E7616"/>
    <w:rsid w:val="007E77A8"/>
    <w:rsid w:val="007E7CC3"/>
    <w:rsid w:val="007E7D18"/>
    <w:rsid w:val="007E7D49"/>
    <w:rsid w:val="007E7EF8"/>
    <w:rsid w:val="007F06B4"/>
    <w:rsid w:val="007F12CD"/>
    <w:rsid w:val="007F135A"/>
    <w:rsid w:val="007F14B8"/>
    <w:rsid w:val="007F1927"/>
    <w:rsid w:val="007F1F2F"/>
    <w:rsid w:val="007F21CE"/>
    <w:rsid w:val="007F23FF"/>
    <w:rsid w:val="007F2679"/>
    <w:rsid w:val="007F276A"/>
    <w:rsid w:val="007F29A7"/>
    <w:rsid w:val="007F2DA3"/>
    <w:rsid w:val="007F2FB0"/>
    <w:rsid w:val="007F31B6"/>
    <w:rsid w:val="007F3254"/>
    <w:rsid w:val="007F34FB"/>
    <w:rsid w:val="007F366E"/>
    <w:rsid w:val="007F36DF"/>
    <w:rsid w:val="007F36E9"/>
    <w:rsid w:val="007F386A"/>
    <w:rsid w:val="007F3972"/>
    <w:rsid w:val="007F437E"/>
    <w:rsid w:val="007F44D6"/>
    <w:rsid w:val="007F4730"/>
    <w:rsid w:val="007F4967"/>
    <w:rsid w:val="007F4BFD"/>
    <w:rsid w:val="007F4DE9"/>
    <w:rsid w:val="007F4FC3"/>
    <w:rsid w:val="007F5214"/>
    <w:rsid w:val="007F546C"/>
    <w:rsid w:val="007F6070"/>
    <w:rsid w:val="007F625F"/>
    <w:rsid w:val="007F665E"/>
    <w:rsid w:val="007F726D"/>
    <w:rsid w:val="007F769A"/>
    <w:rsid w:val="007F78B6"/>
    <w:rsid w:val="007F7ACD"/>
    <w:rsid w:val="0080033D"/>
    <w:rsid w:val="00800412"/>
    <w:rsid w:val="00800A12"/>
    <w:rsid w:val="008012A4"/>
    <w:rsid w:val="008013DA"/>
    <w:rsid w:val="0080159C"/>
    <w:rsid w:val="008016D1"/>
    <w:rsid w:val="0080187F"/>
    <w:rsid w:val="008018DB"/>
    <w:rsid w:val="00801D57"/>
    <w:rsid w:val="00801D69"/>
    <w:rsid w:val="00801E5B"/>
    <w:rsid w:val="00801EF5"/>
    <w:rsid w:val="00802027"/>
    <w:rsid w:val="008020BA"/>
    <w:rsid w:val="008023A2"/>
    <w:rsid w:val="00802549"/>
    <w:rsid w:val="008027D6"/>
    <w:rsid w:val="0080282F"/>
    <w:rsid w:val="00802BCD"/>
    <w:rsid w:val="008030B5"/>
    <w:rsid w:val="00803264"/>
    <w:rsid w:val="0080357B"/>
    <w:rsid w:val="008036EC"/>
    <w:rsid w:val="00803B3B"/>
    <w:rsid w:val="00803F6D"/>
    <w:rsid w:val="0080421F"/>
    <w:rsid w:val="00804565"/>
    <w:rsid w:val="00804600"/>
    <w:rsid w:val="00804CAC"/>
    <w:rsid w:val="00804F61"/>
    <w:rsid w:val="00804FFD"/>
    <w:rsid w:val="0080528E"/>
    <w:rsid w:val="00805625"/>
    <w:rsid w:val="00805838"/>
    <w:rsid w:val="0080587B"/>
    <w:rsid w:val="00805A37"/>
    <w:rsid w:val="00805E90"/>
    <w:rsid w:val="00805F96"/>
    <w:rsid w:val="00806219"/>
    <w:rsid w:val="00806468"/>
    <w:rsid w:val="008064D7"/>
    <w:rsid w:val="00806718"/>
    <w:rsid w:val="00806D85"/>
    <w:rsid w:val="00806E98"/>
    <w:rsid w:val="00807061"/>
    <w:rsid w:val="0080767D"/>
    <w:rsid w:val="00807701"/>
    <w:rsid w:val="00807B27"/>
    <w:rsid w:val="00807D40"/>
    <w:rsid w:val="00807DD9"/>
    <w:rsid w:val="008100FC"/>
    <w:rsid w:val="00810315"/>
    <w:rsid w:val="00810674"/>
    <w:rsid w:val="00810DD3"/>
    <w:rsid w:val="00811059"/>
    <w:rsid w:val="008112E0"/>
    <w:rsid w:val="008113F2"/>
    <w:rsid w:val="008115B3"/>
    <w:rsid w:val="00811685"/>
    <w:rsid w:val="00811774"/>
    <w:rsid w:val="008119CA"/>
    <w:rsid w:val="00811A38"/>
    <w:rsid w:val="00811A39"/>
    <w:rsid w:val="00811B60"/>
    <w:rsid w:val="00811EF8"/>
    <w:rsid w:val="008122A3"/>
    <w:rsid w:val="00812666"/>
    <w:rsid w:val="008127D3"/>
    <w:rsid w:val="008129BF"/>
    <w:rsid w:val="00812DDD"/>
    <w:rsid w:val="00812EB5"/>
    <w:rsid w:val="00813049"/>
    <w:rsid w:val="008130C4"/>
    <w:rsid w:val="00813164"/>
    <w:rsid w:val="0081333A"/>
    <w:rsid w:val="00813A74"/>
    <w:rsid w:val="00813D1D"/>
    <w:rsid w:val="0081420E"/>
    <w:rsid w:val="00814410"/>
    <w:rsid w:val="008145AB"/>
    <w:rsid w:val="00814818"/>
    <w:rsid w:val="00814917"/>
    <w:rsid w:val="008155F0"/>
    <w:rsid w:val="00815887"/>
    <w:rsid w:val="008158C3"/>
    <w:rsid w:val="00815AFE"/>
    <w:rsid w:val="00815C64"/>
    <w:rsid w:val="00815D67"/>
    <w:rsid w:val="0081627F"/>
    <w:rsid w:val="008162C9"/>
    <w:rsid w:val="00816735"/>
    <w:rsid w:val="008167A3"/>
    <w:rsid w:val="00816A21"/>
    <w:rsid w:val="00816BEA"/>
    <w:rsid w:val="00816C52"/>
    <w:rsid w:val="00816C5F"/>
    <w:rsid w:val="00816FEB"/>
    <w:rsid w:val="008172BB"/>
    <w:rsid w:val="008173A5"/>
    <w:rsid w:val="00817A5A"/>
    <w:rsid w:val="00817AAD"/>
    <w:rsid w:val="00820141"/>
    <w:rsid w:val="008204AD"/>
    <w:rsid w:val="0082054D"/>
    <w:rsid w:val="00820669"/>
    <w:rsid w:val="00820B23"/>
    <w:rsid w:val="00820C04"/>
    <w:rsid w:val="00820DA6"/>
    <w:rsid w:val="00820E0C"/>
    <w:rsid w:val="00820E0D"/>
    <w:rsid w:val="008212C0"/>
    <w:rsid w:val="00821767"/>
    <w:rsid w:val="00821942"/>
    <w:rsid w:val="0082202F"/>
    <w:rsid w:val="008221A0"/>
    <w:rsid w:val="008224CB"/>
    <w:rsid w:val="00822621"/>
    <w:rsid w:val="0082283B"/>
    <w:rsid w:val="00822BDC"/>
    <w:rsid w:val="00822D11"/>
    <w:rsid w:val="00822DCF"/>
    <w:rsid w:val="00822E52"/>
    <w:rsid w:val="0082308B"/>
    <w:rsid w:val="008231F3"/>
    <w:rsid w:val="00823275"/>
    <w:rsid w:val="0082366F"/>
    <w:rsid w:val="0082382D"/>
    <w:rsid w:val="00823898"/>
    <w:rsid w:val="00823903"/>
    <w:rsid w:val="008239B9"/>
    <w:rsid w:val="00823AC0"/>
    <w:rsid w:val="00823AFA"/>
    <w:rsid w:val="00823D21"/>
    <w:rsid w:val="00823D4B"/>
    <w:rsid w:val="008240F0"/>
    <w:rsid w:val="00824242"/>
    <w:rsid w:val="00824378"/>
    <w:rsid w:val="00824414"/>
    <w:rsid w:val="008244A9"/>
    <w:rsid w:val="008245B0"/>
    <w:rsid w:val="008246CD"/>
    <w:rsid w:val="008247B4"/>
    <w:rsid w:val="00824B11"/>
    <w:rsid w:val="00824B7C"/>
    <w:rsid w:val="00824D88"/>
    <w:rsid w:val="00824FC9"/>
    <w:rsid w:val="008252EF"/>
    <w:rsid w:val="0082534B"/>
    <w:rsid w:val="0082552B"/>
    <w:rsid w:val="00826664"/>
    <w:rsid w:val="008266BB"/>
    <w:rsid w:val="00827350"/>
    <w:rsid w:val="0082738E"/>
    <w:rsid w:val="008276E3"/>
    <w:rsid w:val="00827907"/>
    <w:rsid w:val="00827950"/>
    <w:rsid w:val="00827B21"/>
    <w:rsid w:val="00830048"/>
    <w:rsid w:val="0083011F"/>
    <w:rsid w:val="00830539"/>
    <w:rsid w:val="008305D5"/>
    <w:rsid w:val="00830935"/>
    <w:rsid w:val="00830AFD"/>
    <w:rsid w:val="00830E99"/>
    <w:rsid w:val="00831000"/>
    <w:rsid w:val="00831130"/>
    <w:rsid w:val="00831BEA"/>
    <w:rsid w:val="00832126"/>
    <w:rsid w:val="00832414"/>
    <w:rsid w:val="00832D7B"/>
    <w:rsid w:val="0083356A"/>
    <w:rsid w:val="008337F9"/>
    <w:rsid w:val="008338A2"/>
    <w:rsid w:val="00833A14"/>
    <w:rsid w:val="00833F18"/>
    <w:rsid w:val="0083463A"/>
    <w:rsid w:val="008346A2"/>
    <w:rsid w:val="00834C81"/>
    <w:rsid w:val="00834EAE"/>
    <w:rsid w:val="008354E7"/>
    <w:rsid w:val="00835519"/>
    <w:rsid w:val="00835897"/>
    <w:rsid w:val="00835907"/>
    <w:rsid w:val="00835E4F"/>
    <w:rsid w:val="008360C6"/>
    <w:rsid w:val="0083612E"/>
    <w:rsid w:val="0083617C"/>
    <w:rsid w:val="008363D9"/>
    <w:rsid w:val="008369D0"/>
    <w:rsid w:val="00836EB4"/>
    <w:rsid w:val="00837123"/>
    <w:rsid w:val="008371B6"/>
    <w:rsid w:val="00837971"/>
    <w:rsid w:val="00837976"/>
    <w:rsid w:val="00837A55"/>
    <w:rsid w:val="00837BA3"/>
    <w:rsid w:val="00837E4D"/>
    <w:rsid w:val="008403FD"/>
    <w:rsid w:val="00840617"/>
    <w:rsid w:val="008408A1"/>
    <w:rsid w:val="008409EC"/>
    <w:rsid w:val="00840B8B"/>
    <w:rsid w:val="00840B91"/>
    <w:rsid w:val="00840C98"/>
    <w:rsid w:val="00840E1D"/>
    <w:rsid w:val="00840F8B"/>
    <w:rsid w:val="00841078"/>
    <w:rsid w:val="008411E6"/>
    <w:rsid w:val="008414D9"/>
    <w:rsid w:val="008415F4"/>
    <w:rsid w:val="00841AA9"/>
    <w:rsid w:val="00842A61"/>
    <w:rsid w:val="00842DE5"/>
    <w:rsid w:val="0084300E"/>
    <w:rsid w:val="0084353A"/>
    <w:rsid w:val="00843606"/>
    <w:rsid w:val="00843886"/>
    <w:rsid w:val="008438E6"/>
    <w:rsid w:val="00843A50"/>
    <w:rsid w:val="00843BAA"/>
    <w:rsid w:val="00843BC6"/>
    <w:rsid w:val="00843ED9"/>
    <w:rsid w:val="0084455B"/>
    <w:rsid w:val="0084465E"/>
    <w:rsid w:val="00844666"/>
    <w:rsid w:val="00844D13"/>
    <w:rsid w:val="00845433"/>
    <w:rsid w:val="0084589E"/>
    <w:rsid w:val="00845F70"/>
    <w:rsid w:val="00845FF2"/>
    <w:rsid w:val="0084600E"/>
    <w:rsid w:val="00846213"/>
    <w:rsid w:val="00846220"/>
    <w:rsid w:val="0084653D"/>
    <w:rsid w:val="00846946"/>
    <w:rsid w:val="00846995"/>
    <w:rsid w:val="00846A9C"/>
    <w:rsid w:val="008473C1"/>
    <w:rsid w:val="008473F7"/>
    <w:rsid w:val="008474F0"/>
    <w:rsid w:val="008474FE"/>
    <w:rsid w:val="00847D56"/>
    <w:rsid w:val="00850271"/>
    <w:rsid w:val="0085092A"/>
    <w:rsid w:val="00850976"/>
    <w:rsid w:val="0085099C"/>
    <w:rsid w:val="00850A25"/>
    <w:rsid w:val="00851322"/>
    <w:rsid w:val="00851351"/>
    <w:rsid w:val="00851395"/>
    <w:rsid w:val="00851438"/>
    <w:rsid w:val="008516BD"/>
    <w:rsid w:val="008517F4"/>
    <w:rsid w:val="00851B33"/>
    <w:rsid w:val="00851C3C"/>
    <w:rsid w:val="00851D2B"/>
    <w:rsid w:val="00851DB7"/>
    <w:rsid w:val="00851E1A"/>
    <w:rsid w:val="00851F9F"/>
    <w:rsid w:val="0085255E"/>
    <w:rsid w:val="0085267E"/>
    <w:rsid w:val="008528F7"/>
    <w:rsid w:val="00852A22"/>
    <w:rsid w:val="0085327C"/>
    <w:rsid w:val="00853ABA"/>
    <w:rsid w:val="00853EE4"/>
    <w:rsid w:val="00854128"/>
    <w:rsid w:val="00854241"/>
    <w:rsid w:val="0085456B"/>
    <w:rsid w:val="0085471D"/>
    <w:rsid w:val="00854C7D"/>
    <w:rsid w:val="00855062"/>
    <w:rsid w:val="00855337"/>
    <w:rsid w:val="00855535"/>
    <w:rsid w:val="008556B7"/>
    <w:rsid w:val="00855BAF"/>
    <w:rsid w:val="00855D1A"/>
    <w:rsid w:val="00855D77"/>
    <w:rsid w:val="008560DF"/>
    <w:rsid w:val="008564B6"/>
    <w:rsid w:val="008565F7"/>
    <w:rsid w:val="00856EBD"/>
    <w:rsid w:val="00856FA9"/>
    <w:rsid w:val="00857677"/>
    <w:rsid w:val="00857866"/>
    <w:rsid w:val="008579C2"/>
    <w:rsid w:val="00857BCB"/>
    <w:rsid w:val="00857BF3"/>
    <w:rsid w:val="00857C5A"/>
    <w:rsid w:val="008602E0"/>
    <w:rsid w:val="00860D73"/>
    <w:rsid w:val="00860E2B"/>
    <w:rsid w:val="008611E3"/>
    <w:rsid w:val="0086138F"/>
    <w:rsid w:val="00861977"/>
    <w:rsid w:val="00861A53"/>
    <w:rsid w:val="0086255E"/>
    <w:rsid w:val="00862D4B"/>
    <w:rsid w:val="00862DBE"/>
    <w:rsid w:val="00862E92"/>
    <w:rsid w:val="008633F0"/>
    <w:rsid w:val="00863424"/>
    <w:rsid w:val="00863983"/>
    <w:rsid w:val="00863A18"/>
    <w:rsid w:val="00863E4E"/>
    <w:rsid w:val="00863E7E"/>
    <w:rsid w:val="00864369"/>
    <w:rsid w:val="00864671"/>
    <w:rsid w:val="008648F7"/>
    <w:rsid w:val="00864AFD"/>
    <w:rsid w:val="00864EA2"/>
    <w:rsid w:val="00865298"/>
    <w:rsid w:val="00865528"/>
    <w:rsid w:val="008655F5"/>
    <w:rsid w:val="0086568E"/>
    <w:rsid w:val="008657E5"/>
    <w:rsid w:val="00865B94"/>
    <w:rsid w:val="00865C63"/>
    <w:rsid w:val="008664D4"/>
    <w:rsid w:val="0086675F"/>
    <w:rsid w:val="008667BA"/>
    <w:rsid w:val="008670C0"/>
    <w:rsid w:val="00867285"/>
    <w:rsid w:val="00867293"/>
    <w:rsid w:val="00867586"/>
    <w:rsid w:val="008676B5"/>
    <w:rsid w:val="00867B68"/>
    <w:rsid w:val="00867D9D"/>
    <w:rsid w:val="0087012E"/>
    <w:rsid w:val="0087086D"/>
    <w:rsid w:val="00870FAB"/>
    <w:rsid w:val="008716DA"/>
    <w:rsid w:val="008719E8"/>
    <w:rsid w:val="00871AEC"/>
    <w:rsid w:val="00871CF2"/>
    <w:rsid w:val="00871D1D"/>
    <w:rsid w:val="008720CB"/>
    <w:rsid w:val="00872205"/>
    <w:rsid w:val="0087247D"/>
    <w:rsid w:val="008724F5"/>
    <w:rsid w:val="00872552"/>
    <w:rsid w:val="008726B7"/>
    <w:rsid w:val="00872971"/>
    <w:rsid w:val="00872A85"/>
    <w:rsid w:val="00872E0A"/>
    <w:rsid w:val="00872F0A"/>
    <w:rsid w:val="0087310B"/>
    <w:rsid w:val="00873594"/>
    <w:rsid w:val="00873B0A"/>
    <w:rsid w:val="00873BDA"/>
    <w:rsid w:val="00873F99"/>
    <w:rsid w:val="00874085"/>
    <w:rsid w:val="0087411D"/>
    <w:rsid w:val="00874234"/>
    <w:rsid w:val="00874795"/>
    <w:rsid w:val="008747C0"/>
    <w:rsid w:val="00874A21"/>
    <w:rsid w:val="00874AEC"/>
    <w:rsid w:val="0087512D"/>
    <w:rsid w:val="00875285"/>
    <w:rsid w:val="008757CB"/>
    <w:rsid w:val="00875A14"/>
    <w:rsid w:val="00875A6F"/>
    <w:rsid w:val="00875F7D"/>
    <w:rsid w:val="0087625E"/>
    <w:rsid w:val="008763BB"/>
    <w:rsid w:val="00876A70"/>
    <w:rsid w:val="00876D00"/>
    <w:rsid w:val="00876D53"/>
    <w:rsid w:val="00876F49"/>
    <w:rsid w:val="00876FB5"/>
    <w:rsid w:val="0087736F"/>
    <w:rsid w:val="008773DC"/>
    <w:rsid w:val="00877B6D"/>
    <w:rsid w:val="00877BA6"/>
    <w:rsid w:val="00877F0C"/>
    <w:rsid w:val="00877F19"/>
    <w:rsid w:val="008806ED"/>
    <w:rsid w:val="008807F8"/>
    <w:rsid w:val="00880C15"/>
    <w:rsid w:val="00881590"/>
    <w:rsid w:val="00881692"/>
    <w:rsid w:val="00881B5B"/>
    <w:rsid w:val="00881E8C"/>
    <w:rsid w:val="00882072"/>
    <w:rsid w:val="008822AB"/>
    <w:rsid w:val="008822FE"/>
    <w:rsid w:val="008824F1"/>
    <w:rsid w:val="008826BF"/>
    <w:rsid w:val="008829D3"/>
    <w:rsid w:val="00882CE2"/>
    <w:rsid w:val="00882D46"/>
    <w:rsid w:val="00882F68"/>
    <w:rsid w:val="00883051"/>
    <w:rsid w:val="008830D4"/>
    <w:rsid w:val="00883245"/>
    <w:rsid w:val="00883706"/>
    <w:rsid w:val="0088405E"/>
    <w:rsid w:val="008842B3"/>
    <w:rsid w:val="00884712"/>
    <w:rsid w:val="008847C8"/>
    <w:rsid w:val="008848AB"/>
    <w:rsid w:val="00884B62"/>
    <w:rsid w:val="00884F5E"/>
    <w:rsid w:val="0088508C"/>
    <w:rsid w:val="0088529C"/>
    <w:rsid w:val="008853C7"/>
    <w:rsid w:val="00885F36"/>
    <w:rsid w:val="008868ED"/>
    <w:rsid w:val="00886C3F"/>
    <w:rsid w:val="00886CA6"/>
    <w:rsid w:val="00887069"/>
    <w:rsid w:val="00887382"/>
    <w:rsid w:val="00887686"/>
    <w:rsid w:val="00887903"/>
    <w:rsid w:val="008879E4"/>
    <w:rsid w:val="00887F56"/>
    <w:rsid w:val="008902BE"/>
    <w:rsid w:val="008904B8"/>
    <w:rsid w:val="00890ADD"/>
    <w:rsid w:val="008918E8"/>
    <w:rsid w:val="00891914"/>
    <w:rsid w:val="00891B93"/>
    <w:rsid w:val="00891FCB"/>
    <w:rsid w:val="0089226A"/>
    <w:rsid w:val="0089257F"/>
    <w:rsid w:val="0089270A"/>
    <w:rsid w:val="008929CF"/>
    <w:rsid w:val="00892A8C"/>
    <w:rsid w:val="00892DA2"/>
    <w:rsid w:val="00892DED"/>
    <w:rsid w:val="00892EA4"/>
    <w:rsid w:val="008932FA"/>
    <w:rsid w:val="008936BA"/>
    <w:rsid w:val="00893AF6"/>
    <w:rsid w:val="00893E10"/>
    <w:rsid w:val="0089434C"/>
    <w:rsid w:val="008945E5"/>
    <w:rsid w:val="00894AB5"/>
    <w:rsid w:val="00894BC4"/>
    <w:rsid w:val="00894CD9"/>
    <w:rsid w:val="0089529D"/>
    <w:rsid w:val="008952B4"/>
    <w:rsid w:val="00895501"/>
    <w:rsid w:val="008957FA"/>
    <w:rsid w:val="00896890"/>
    <w:rsid w:val="008968FD"/>
    <w:rsid w:val="00896A19"/>
    <w:rsid w:val="00897002"/>
    <w:rsid w:val="0089700A"/>
    <w:rsid w:val="00897239"/>
    <w:rsid w:val="0089738C"/>
    <w:rsid w:val="008974BC"/>
    <w:rsid w:val="008974FE"/>
    <w:rsid w:val="0089760C"/>
    <w:rsid w:val="00897624"/>
    <w:rsid w:val="008977D1"/>
    <w:rsid w:val="00897A54"/>
    <w:rsid w:val="00897D04"/>
    <w:rsid w:val="00897E22"/>
    <w:rsid w:val="00897F2E"/>
    <w:rsid w:val="008A000B"/>
    <w:rsid w:val="008A06B5"/>
    <w:rsid w:val="008A079B"/>
    <w:rsid w:val="008A09B0"/>
    <w:rsid w:val="008A0D81"/>
    <w:rsid w:val="008A1950"/>
    <w:rsid w:val="008A1C9C"/>
    <w:rsid w:val="008A1EF7"/>
    <w:rsid w:val="008A1FC3"/>
    <w:rsid w:val="008A255C"/>
    <w:rsid w:val="008A28A8"/>
    <w:rsid w:val="008A28B2"/>
    <w:rsid w:val="008A2998"/>
    <w:rsid w:val="008A29A1"/>
    <w:rsid w:val="008A2AA8"/>
    <w:rsid w:val="008A2ABC"/>
    <w:rsid w:val="008A3147"/>
    <w:rsid w:val="008A3165"/>
    <w:rsid w:val="008A3423"/>
    <w:rsid w:val="008A3481"/>
    <w:rsid w:val="008A3BA2"/>
    <w:rsid w:val="008A3BAF"/>
    <w:rsid w:val="008A4088"/>
    <w:rsid w:val="008A4393"/>
    <w:rsid w:val="008A461A"/>
    <w:rsid w:val="008A48E6"/>
    <w:rsid w:val="008A5332"/>
    <w:rsid w:val="008A546A"/>
    <w:rsid w:val="008A5493"/>
    <w:rsid w:val="008A54AC"/>
    <w:rsid w:val="008A5B32"/>
    <w:rsid w:val="008A5F0F"/>
    <w:rsid w:val="008A5F20"/>
    <w:rsid w:val="008A5F89"/>
    <w:rsid w:val="008A60B5"/>
    <w:rsid w:val="008A60DF"/>
    <w:rsid w:val="008A63B9"/>
    <w:rsid w:val="008A65F4"/>
    <w:rsid w:val="008A6D2A"/>
    <w:rsid w:val="008A713B"/>
    <w:rsid w:val="008A71F1"/>
    <w:rsid w:val="008A75AD"/>
    <w:rsid w:val="008A7825"/>
    <w:rsid w:val="008A7A89"/>
    <w:rsid w:val="008A7E25"/>
    <w:rsid w:val="008B0077"/>
    <w:rsid w:val="008B03E5"/>
    <w:rsid w:val="008B0508"/>
    <w:rsid w:val="008B07C6"/>
    <w:rsid w:val="008B0E62"/>
    <w:rsid w:val="008B0F28"/>
    <w:rsid w:val="008B10A4"/>
    <w:rsid w:val="008B11F8"/>
    <w:rsid w:val="008B15EB"/>
    <w:rsid w:val="008B16E6"/>
    <w:rsid w:val="008B18CA"/>
    <w:rsid w:val="008B1F68"/>
    <w:rsid w:val="008B2029"/>
    <w:rsid w:val="008B2592"/>
    <w:rsid w:val="008B25D0"/>
    <w:rsid w:val="008B2901"/>
    <w:rsid w:val="008B2D1F"/>
    <w:rsid w:val="008B2EE4"/>
    <w:rsid w:val="008B308B"/>
    <w:rsid w:val="008B375F"/>
    <w:rsid w:val="008B3821"/>
    <w:rsid w:val="008B3F3B"/>
    <w:rsid w:val="008B47D2"/>
    <w:rsid w:val="008B4B9D"/>
    <w:rsid w:val="008B4D3D"/>
    <w:rsid w:val="008B57C7"/>
    <w:rsid w:val="008B5C84"/>
    <w:rsid w:val="008B6021"/>
    <w:rsid w:val="008B63F9"/>
    <w:rsid w:val="008B6418"/>
    <w:rsid w:val="008B6C94"/>
    <w:rsid w:val="008B726B"/>
    <w:rsid w:val="008B7274"/>
    <w:rsid w:val="008B7617"/>
    <w:rsid w:val="008B768D"/>
    <w:rsid w:val="008B79B9"/>
    <w:rsid w:val="008B7A0E"/>
    <w:rsid w:val="008B7E89"/>
    <w:rsid w:val="008C0020"/>
    <w:rsid w:val="008C066F"/>
    <w:rsid w:val="008C0A9E"/>
    <w:rsid w:val="008C0C85"/>
    <w:rsid w:val="008C0EFA"/>
    <w:rsid w:val="008C1024"/>
    <w:rsid w:val="008C1149"/>
    <w:rsid w:val="008C14C6"/>
    <w:rsid w:val="008C17C9"/>
    <w:rsid w:val="008C1A25"/>
    <w:rsid w:val="008C2F92"/>
    <w:rsid w:val="008C3546"/>
    <w:rsid w:val="008C3EE5"/>
    <w:rsid w:val="008C4221"/>
    <w:rsid w:val="008C44D1"/>
    <w:rsid w:val="008C4600"/>
    <w:rsid w:val="008C47B7"/>
    <w:rsid w:val="008C49AD"/>
    <w:rsid w:val="008C4A0A"/>
    <w:rsid w:val="008C4B01"/>
    <w:rsid w:val="008C4F1A"/>
    <w:rsid w:val="008C4FE3"/>
    <w:rsid w:val="008C5331"/>
    <w:rsid w:val="008C5710"/>
    <w:rsid w:val="008C5805"/>
    <w:rsid w:val="008C589D"/>
    <w:rsid w:val="008C5F33"/>
    <w:rsid w:val="008C6631"/>
    <w:rsid w:val="008C679E"/>
    <w:rsid w:val="008C6979"/>
    <w:rsid w:val="008C6B1D"/>
    <w:rsid w:val="008C6B72"/>
    <w:rsid w:val="008C6D51"/>
    <w:rsid w:val="008C6DD6"/>
    <w:rsid w:val="008C7043"/>
    <w:rsid w:val="008C724C"/>
    <w:rsid w:val="008C7B71"/>
    <w:rsid w:val="008D0433"/>
    <w:rsid w:val="008D04E5"/>
    <w:rsid w:val="008D0865"/>
    <w:rsid w:val="008D0872"/>
    <w:rsid w:val="008D0BA3"/>
    <w:rsid w:val="008D1010"/>
    <w:rsid w:val="008D1118"/>
    <w:rsid w:val="008D11E5"/>
    <w:rsid w:val="008D1222"/>
    <w:rsid w:val="008D13C2"/>
    <w:rsid w:val="008D14A6"/>
    <w:rsid w:val="008D1B19"/>
    <w:rsid w:val="008D1C7D"/>
    <w:rsid w:val="008D1D16"/>
    <w:rsid w:val="008D2042"/>
    <w:rsid w:val="008D20E6"/>
    <w:rsid w:val="008D244E"/>
    <w:rsid w:val="008D2497"/>
    <w:rsid w:val="008D2846"/>
    <w:rsid w:val="008D2A25"/>
    <w:rsid w:val="008D2DB0"/>
    <w:rsid w:val="008D2DC1"/>
    <w:rsid w:val="008D2F2A"/>
    <w:rsid w:val="008D3728"/>
    <w:rsid w:val="008D382C"/>
    <w:rsid w:val="008D3DF6"/>
    <w:rsid w:val="008D4083"/>
    <w:rsid w:val="008D41B9"/>
    <w:rsid w:val="008D4236"/>
    <w:rsid w:val="008D433D"/>
    <w:rsid w:val="008D445A"/>
    <w:rsid w:val="008D462F"/>
    <w:rsid w:val="008D46CA"/>
    <w:rsid w:val="008D4C40"/>
    <w:rsid w:val="008D4EA2"/>
    <w:rsid w:val="008D552D"/>
    <w:rsid w:val="008D5705"/>
    <w:rsid w:val="008D5AA5"/>
    <w:rsid w:val="008D5C28"/>
    <w:rsid w:val="008D5DA4"/>
    <w:rsid w:val="008D5FD8"/>
    <w:rsid w:val="008D605D"/>
    <w:rsid w:val="008D6090"/>
    <w:rsid w:val="008D6096"/>
    <w:rsid w:val="008D6159"/>
    <w:rsid w:val="008D65BA"/>
    <w:rsid w:val="008D6B2B"/>
    <w:rsid w:val="008D6DCF"/>
    <w:rsid w:val="008D7A4C"/>
    <w:rsid w:val="008E0046"/>
    <w:rsid w:val="008E0673"/>
    <w:rsid w:val="008E0B3B"/>
    <w:rsid w:val="008E0F58"/>
    <w:rsid w:val="008E115E"/>
    <w:rsid w:val="008E1172"/>
    <w:rsid w:val="008E15AA"/>
    <w:rsid w:val="008E17FD"/>
    <w:rsid w:val="008E1BB0"/>
    <w:rsid w:val="008E1C89"/>
    <w:rsid w:val="008E2112"/>
    <w:rsid w:val="008E227D"/>
    <w:rsid w:val="008E228D"/>
    <w:rsid w:val="008E2296"/>
    <w:rsid w:val="008E2420"/>
    <w:rsid w:val="008E2624"/>
    <w:rsid w:val="008E2D7D"/>
    <w:rsid w:val="008E2EE3"/>
    <w:rsid w:val="008E303B"/>
    <w:rsid w:val="008E30D9"/>
    <w:rsid w:val="008E344B"/>
    <w:rsid w:val="008E3480"/>
    <w:rsid w:val="008E35DD"/>
    <w:rsid w:val="008E36D7"/>
    <w:rsid w:val="008E3739"/>
    <w:rsid w:val="008E3D49"/>
    <w:rsid w:val="008E4202"/>
    <w:rsid w:val="008E4376"/>
    <w:rsid w:val="008E4535"/>
    <w:rsid w:val="008E45C0"/>
    <w:rsid w:val="008E4897"/>
    <w:rsid w:val="008E4E11"/>
    <w:rsid w:val="008E56D5"/>
    <w:rsid w:val="008E5713"/>
    <w:rsid w:val="008E5B6E"/>
    <w:rsid w:val="008E5C33"/>
    <w:rsid w:val="008E63D4"/>
    <w:rsid w:val="008E65A9"/>
    <w:rsid w:val="008E6897"/>
    <w:rsid w:val="008E6AB0"/>
    <w:rsid w:val="008E70D4"/>
    <w:rsid w:val="008E70D5"/>
    <w:rsid w:val="008E71CD"/>
    <w:rsid w:val="008E735C"/>
    <w:rsid w:val="008E786B"/>
    <w:rsid w:val="008E7A0A"/>
    <w:rsid w:val="008E7B49"/>
    <w:rsid w:val="008E7CF5"/>
    <w:rsid w:val="008F005F"/>
    <w:rsid w:val="008F0BD0"/>
    <w:rsid w:val="008F114E"/>
    <w:rsid w:val="008F1388"/>
    <w:rsid w:val="008F1572"/>
    <w:rsid w:val="008F1A9B"/>
    <w:rsid w:val="008F1FFA"/>
    <w:rsid w:val="008F219A"/>
    <w:rsid w:val="008F248B"/>
    <w:rsid w:val="008F2915"/>
    <w:rsid w:val="008F29BC"/>
    <w:rsid w:val="008F2C6F"/>
    <w:rsid w:val="008F2E6F"/>
    <w:rsid w:val="008F2F32"/>
    <w:rsid w:val="008F30F7"/>
    <w:rsid w:val="008F3206"/>
    <w:rsid w:val="008F33E0"/>
    <w:rsid w:val="008F38B6"/>
    <w:rsid w:val="008F39DE"/>
    <w:rsid w:val="008F3AEF"/>
    <w:rsid w:val="008F3C47"/>
    <w:rsid w:val="008F4130"/>
    <w:rsid w:val="008F4952"/>
    <w:rsid w:val="008F4A09"/>
    <w:rsid w:val="008F4B6B"/>
    <w:rsid w:val="008F4BBD"/>
    <w:rsid w:val="008F4F3B"/>
    <w:rsid w:val="008F5098"/>
    <w:rsid w:val="008F5251"/>
    <w:rsid w:val="008F59F6"/>
    <w:rsid w:val="008F5C07"/>
    <w:rsid w:val="008F60B7"/>
    <w:rsid w:val="008F62C8"/>
    <w:rsid w:val="008F63EA"/>
    <w:rsid w:val="008F6744"/>
    <w:rsid w:val="008F6EAF"/>
    <w:rsid w:val="008F7103"/>
    <w:rsid w:val="0090000B"/>
    <w:rsid w:val="00900050"/>
    <w:rsid w:val="00900077"/>
    <w:rsid w:val="00900372"/>
    <w:rsid w:val="00900719"/>
    <w:rsid w:val="00900826"/>
    <w:rsid w:val="00900856"/>
    <w:rsid w:val="00900B09"/>
    <w:rsid w:val="00900CB3"/>
    <w:rsid w:val="009013B6"/>
    <w:rsid w:val="009015D5"/>
    <w:rsid w:val="009017AC"/>
    <w:rsid w:val="00901CB2"/>
    <w:rsid w:val="00901D64"/>
    <w:rsid w:val="00901DB7"/>
    <w:rsid w:val="00902121"/>
    <w:rsid w:val="009021A1"/>
    <w:rsid w:val="0090257E"/>
    <w:rsid w:val="0090298D"/>
    <w:rsid w:val="00902A9A"/>
    <w:rsid w:val="0090307B"/>
    <w:rsid w:val="009035BA"/>
    <w:rsid w:val="00903D4B"/>
    <w:rsid w:val="00903FDF"/>
    <w:rsid w:val="009045E8"/>
    <w:rsid w:val="00904A1C"/>
    <w:rsid w:val="00904D39"/>
    <w:rsid w:val="00904DA4"/>
    <w:rsid w:val="00905030"/>
    <w:rsid w:val="0090525D"/>
    <w:rsid w:val="00905391"/>
    <w:rsid w:val="0090586A"/>
    <w:rsid w:val="00905B22"/>
    <w:rsid w:val="00905C19"/>
    <w:rsid w:val="00905C87"/>
    <w:rsid w:val="009060C0"/>
    <w:rsid w:val="00906490"/>
    <w:rsid w:val="009065A3"/>
    <w:rsid w:val="00906815"/>
    <w:rsid w:val="00907C0D"/>
    <w:rsid w:val="00907DDA"/>
    <w:rsid w:val="009100F1"/>
    <w:rsid w:val="0091059E"/>
    <w:rsid w:val="009106FC"/>
    <w:rsid w:val="0091081D"/>
    <w:rsid w:val="00910EA1"/>
    <w:rsid w:val="00910F5E"/>
    <w:rsid w:val="00910FB2"/>
    <w:rsid w:val="00911067"/>
    <w:rsid w:val="009111B2"/>
    <w:rsid w:val="0091124F"/>
    <w:rsid w:val="009114D0"/>
    <w:rsid w:val="00911D03"/>
    <w:rsid w:val="0091229F"/>
    <w:rsid w:val="0091232E"/>
    <w:rsid w:val="00912354"/>
    <w:rsid w:val="00912384"/>
    <w:rsid w:val="00912D44"/>
    <w:rsid w:val="00913033"/>
    <w:rsid w:val="009130F2"/>
    <w:rsid w:val="00913778"/>
    <w:rsid w:val="00913AFF"/>
    <w:rsid w:val="00914009"/>
    <w:rsid w:val="009146AB"/>
    <w:rsid w:val="00914736"/>
    <w:rsid w:val="0091473D"/>
    <w:rsid w:val="009149AA"/>
    <w:rsid w:val="00914A41"/>
    <w:rsid w:val="00914A6B"/>
    <w:rsid w:val="009150A5"/>
    <w:rsid w:val="0091511E"/>
    <w:rsid w:val="009151F5"/>
    <w:rsid w:val="00915359"/>
    <w:rsid w:val="009156A9"/>
    <w:rsid w:val="00915927"/>
    <w:rsid w:val="00915C7F"/>
    <w:rsid w:val="00915CDA"/>
    <w:rsid w:val="00915DE4"/>
    <w:rsid w:val="0091602E"/>
    <w:rsid w:val="009160DA"/>
    <w:rsid w:val="0091657D"/>
    <w:rsid w:val="009165B6"/>
    <w:rsid w:val="0091699A"/>
    <w:rsid w:val="00916AAC"/>
    <w:rsid w:val="009173DA"/>
    <w:rsid w:val="0091754C"/>
    <w:rsid w:val="00917959"/>
    <w:rsid w:val="00917A51"/>
    <w:rsid w:val="00917CF9"/>
    <w:rsid w:val="00917EDD"/>
    <w:rsid w:val="009201D9"/>
    <w:rsid w:val="009201EC"/>
    <w:rsid w:val="009205ED"/>
    <w:rsid w:val="009209DD"/>
    <w:rsid w:val="00920CF1"/>
    <w:rsid w:val="00920D4A"/>
    <w:rsid w:val="00920FB4"/>
    <w:rsid w:val="0092114A"/>
    <w:rsid w:val="009217AF"/>
    <w:rsid w:val="009220B3"/>
    <w:rsid w:val="0092217E"/>
    <w:rsid w:val="009224CD"/>
    <w:rsid w:val="00922A5D"/>
    <w:rsid w:val="009236E5"/>
    <w:rsid w:val="00923887"/>
    <w:rsid w:val="00923910"/>
    <w:rsid w:val="00923E3E"/>
    <w:rsid w:val="00923E5D"/>
    <w:rsid w:val="009241B2"/>
    <w:rsid w:val="0092449E"/>
    <w:rsid w:val="009247BF"/>
    <w:rsid w:val="0092489A"/>
    <w:rsid w:val="00924A21"/>
    <w:rsid w:val="00924AA7"/>
    <w:rsid w:val="00924AE1"/>
    <w:rsid w:val="00925568"/>
    <w:rsid w:val="00925653"/>
    <w:rsid w:val="00925673"/>
    <w:rsid w:val="00925BC1"/>
    <w:rsid w:val="00925E72"/>
    <w:rsid w:val="00926170"/>
    <w:rsid w:val="009262FD"/>
    <w:rsid w:val="00926426"/>
    <w:rsid w:val="009265A3"/>
    <w:rsid w:val="009268F4"/>
    <w:rsid w:val="0092690F"/>
    <w:rsid w:val="009269B1"/>
    <w:rsid w:val="00926D23"/>
    <w:rsid w:val="00926ED4"/>
    <w:rsid w:val="00926FB1"/>
    <w:rsid w:val="00927077"/>
    <w:rsid w:val="009271DF"/>
    <w:rsid w:val="0092724D"/>
    <w:rsid w:val="009272B3"/>
    <w:rsid w:val="009272D0"/>
    <w:rsid w:val="009274A8"/>
    <w:rsid w:val="00927667"/>
    <w:rsid w:val="009276EC"/>
    <w:rsid w:val="00927A7A"/>
    <w:rsid w:val="00927C4D"/>
    <w:rsid w:val="00927D95"/>
    <w:rsid w:val="00927FA6"/>
    <w:rsid w:val="00930350"/>
    <w:rsid w:val="009305F0"/>
    <w:rsid w:val="009306A8"/>
    <w:rsid w:val="009307A5"/>
    <w:rsid w:val="0093094C"/>
    <w:rsid w:val="00930C01"/>
    <w:rsid w:val="00930EA6"/>
    <w:rsid w:val="009315BE"/>
    <w:rsid w:val="00931D02"/>
    <w:rsid w:val="0093212C"/>
    <w:rsid w:val="009322D3"/>
    <w:rsid w:val="009326DD"/>
    <w:rsid w:val="00932746"/>
    <w:rsid w:val="00932CCD"/>
    <w:rsid w:val="00933192"/>
    <w:rsid w:val="0093338F"/>
    <w:rsid w:val="009333CF"/>
    <w:rsid w:val="00933499"/>
    <w:rsid w:val="009339B2"/>
    <w:rsid w:val="00933AD6"/>
    <w:rsid w:val="00933CAC"/>
    <w:rsid w:val="00933DEC"/>
    <w:rsid w:val="0093412D"/>
    <w:rsid w:val="00934288"/>
    <w:rsid w:val="0093456C"/>
    <w:rsid w:val="0093457D"/>
    <w:rsid w:val="009345A3"/>
    <w:rsid w:val="009346CE"/>
    <w:rsid w:val="00934809"/>
    <w:rsid w:val="009349F2"/>
    <w:rsid w:val="00934C36"/>
    <w:rsid w:val="00934EEA"/>
    <w:rsid w:val="00934FED"/>
    <w:rsid w:val="009353AF"/>
    <w:rsid w:val="00935571"/>
    <w:rsid w:val="009358D8"/>
    <w:rsid w:val="00935A90"/>
    <w:rsid w:val="009362A9"/>
    <w:rsid w:val="0093666F"/>
    <w:rsid w:val="009368B9"/>
    <w:rsid w:val="00936923"/>
    <w:rsid w:val="00936984"/>
    <w:rsid w:val="009369B1"/>
    <w:rsid w:val="00936B39"/>
    <w:rsid w:val="00937187"/>
    <w:rsid w:val="00937BB1"/>
    <w:rsid w:val="00937BD9"/>
    <w:rsid w:val="00937EED"/>
    <w:rsid w:val="00937F8F"/>
    <w:rsid w:val="00940117"/>
    <w:rsid w:val="0094053D"/>
    <w:rsid w:val="0094071E"/>
    <w:rsid w:val="009410AC"/>
    <w:rsid w:val="009411BB"/>
    <w:rsid w:val="00941290"/>
    <w:rsid w:val="009415BC"/>
    <w:rsid w:val="0094182C"/>
    <w:rsid w:val="00941AE5"/>
    <w:rsid w:val="00941D2E"/>
    <w:rsid w:val="00941E91"/>
    <w:rsid w:val="00942364"/>
    <w:rsid w:val="0094241A"/>
    <w:rsid w:val="009425DE"/>
    <w:rsid w:val="0094304D"/>
    <w:rsid w:val="00943792"/>
    <w:rsid w:val="00944183"/>
    <w:rsid w:val="009441C6"/>
    <w:rsid w:val="00944978"/>
    <w:rsid w:val="00944B17"/>
    <w:rsid w:val="00944B9B"/>
    <w:rsid w:val="00944E5F"/>
    <w:rsid w:val="00944E6C"/>
    <w:rsid w:val="00944F0E"/>
    <w:rsid w:val="0094513D"/>
    <w:rsid w:val="0094589E"/>
    <w:rsid w:val="00945927"/>
    <w:rsid w:val="00945A50"/>
    <w:rsid w:val="00945A84"/>
    <w:rsid w:val="00945C38"/>
    <w:rsid w:val="00945F37"/>
    <w:rsid w:val="0094659E"/>
    <w:rsid w:val="00946761"/>
    <w:rsid w:val="009467DC"/>
    <w:rsid w:val="00946835"/>
    <w:rsid w:val="0094711E"/>
    <w:rsid w:val="00947142"/>
    <w:rsid w:val="00947436"/>
    <w:rsid w:val="0095074E"/>
    <w:rsid w:val="00950A2B"/>
    <w:rsid w:val="00950E2C"/>
    <w:rsid w:val="00950E4C"/>
    <w:rsid w:val="00950ECC"/>
    <w:rsid w:val="00951094"/>
    <w:rsid w:val="009510FA"/>
    <w:rsid w:val="00951134"/>
    <w:rsid w:val="00951D1F"/>
    <w:rsid w:val="00951D50"/>
    <w:rsid w:val="009522D5"/>
    <w:rsid w:val="00952523"/>
    <w:rsid w:val="00952528"/>
    <w:rsid w:val="009525EB"/>
    <w:rsid w:val="00952D67"/>
    <w:rsid w:val="00952E04"/>
    <w:rsid w:val="00953285"/>
    <w:rsid w:val="009533F0"/>
    <w:rsid w:val="0095343B"/>
    <w:rsid w:val="00953506"/>
    <w:rsid w:val="00953C81"/>
    <w:rsid w:val="0095429E"/>
    <w:rsid w:val="009546DB"/>
    <w:rsid w:val="0095470B"/>
    <w:rsid w:val="00954874"/>
    <w:rsid w:val="00954B3C"/>
    <w:rsid w:val="00954B3E"/>
    <w:rsid w:val="00955729"/>
    <w:rsid w:val="00955B1E"/>
    <w:rsid w:val="00955E0D"/>
    <w:rsid w:val="00955E3D"/>
    <w:rsid w:val="00956042"/>
    <w:rsid w:val="0095615A"/>
    <w:rsid w:val="009561CE"/>
    <w:rsid w:val="0095621C"/>
    <w:rsid w:val="009562E4"/>
    <w:rsid w:val="009564B0"/>
    <w:rsid w:val="00956B67"/>
    <w:rsid w:val="00956CBF"/>
    <w:rsid w:val="00956EDD"/>
    <w:rsid w:val="00957190"/>
    <w:rsid w:val="009573AB"/>
    <w:rsid w:val="009575A6"/>
    <w:rsid w:val="00957A8D"/>
    <w:rsid w:val="00957C1C"/>
    <w:rsid w:val="00957F07"/>
    <w:rsid w:val="00957F63"/>
    <w:rsid w:val="00960279"/>
    <w:rsid w:val="009605A5"/>
    <w:rsid w:val="00960701"/>
    <w:rsid w:val="009610AF"/>
    <w:rsid w:val="00961400"/>
    <w:rsid w:val="0096164C"/>
    <w:rsid w:val="00961A29"/>
    <w:rsid w:val="00961A59"/>
    <w:rsid w:val="00961B9A"/>
    <w:rsid w:val="00961E26"/>
    <w:rsid w:val="0096215E"/>
    <w:rsid w:val="00962423"/>
    <w:rsid w:val="009624C5"/>
    <w:rsid w:val="009625EC"/>
    <w:rsid w:val="00962633"/>
    <w:rsid w:val="00962773"/>
    <w:rsid w:val="00962B76"/>
    <w:rsid w:val="00962C08"/>
    <w:rsid w:val="00962C43"/>
    <w:rsid w:val="00963529"/>
    <w:rsid w:val="00963646"/>
    <w:rsid w:val="009638EE"/>
    <w:rsid w:val="00963938"/>
    <w:rsid w:val="00963C92"/>
    <w:rsid w:val="00963E85"/>
    <w:rsid w:val="00964379"/>
    <w:rsid w:val="0096478E"/>
    <w:rsid w:val="009647D3"/>
    <w:rsid w:val="009648E0"/>
    <w:rsid w:val="00964C19"/>
    <w:rsid w:val="009656F9"/>
    <w:rsid w:val="00965AE0"/>
    <w:rsid w:val="00965D0A"/>
    <w:rsid w:val="0096632D"/>
    <w:rsid w:val="00966CD1"/>
    <w:rsid w:val="009670BE"/>
    <w:rsid w:val="009670EE"/>
    <w:rsid w:val="0096710B"/>
    <w:rsid w:val="00967124"/>
    <w:rsid w:val="009671C6"/>
    <w:rsid w:val="0096761A"/>
    <w:rsid w:val="0096763F"/>
    <w:rsid w:val="0096772F"/>
    <w:rsid w:val="009678DC"/>
    <w:rsid w:val="009678E5"/>
    <w:rsid w:val="00967BEC"/>
    <w:rsid w:val="00967CB2"/>
    <w:rsid w:val="00967EFE"/>
    <w:rsid w:val="00970184"/>
    <w:rsid w:val="00970D74"/>
    <w:rsid w:val="00970EDA"/>
    <w:rsid w:val="009710B5"/>
    <w:rsid w:val="009712D9"/>
    <w:rsid w:val="009715E9"/>
    <w:rsid w:val="00971631"/>
    <w:rsid w:val="0097166C"/>
    <w:rsid w:val="0097171F"/>
    <w:rsid w:val="009718C7"/>
    <w:rsid w:val="00971F6D"/>
    <w:rsid w:val="00971F7B"/>
    <w:rsid w:val="009722AB"/>
    <w:rsid w:val="009722EA"/>
    <w:rsid w:val="00972695"/>
    <w:rsid w:val="009729F2"/>
    <w:rsid w:val="00972DB2"/>
    <w:rsid w:val="00972FC1"/>
    <w:rsid w:val="009732F1"/>
    <w:rsid w:val="009733D8"/>
    <w:rsid w:val="00973417"/>
    <w:rsid w:val="009739A4"/>
    <w:rsid w:val="00973FAE"/>
    <w:rsid w:val="009744BD"/>
    <w:rsid w:val="00974A00"/>
    <w:rsid w:val="00974DF7"/>
    <w:rsid w:val="00974EA9"/>
    <w:rsid w:val="00974F3F"/>
    <w:rsid w:val="0097559F"/>
    <w:rsid w:val="00975BD3"/>
    <w:rsid w:val="00975C39"/>
    <w:rsid w:val="009761BC"/>
    <w:rsid w:val="009761EA"/>
    <w:rsid w:val="00976819"/>
    <w:rsid w:val="00976858"/>
    <w:rsid w:val="00977162"/>
    <w:rsid w:val="0097761E"/>
    <w:rsid w:val="00977B2B"/>
    <w:rsid w:val="00977B76"/>
    <w:rsid w:val="00977D59"/>
    <w:rsid w:val="00977D6B"/>
    <w:rsid w:val="00977E6D"/>
    <w:rsid w:val="0098014C"/>
    <w:rsid w:val="009810DB"/>
    <w:rsid w:val="00981966"/>
    <w:rsid w:val="00981B02"/>
    <w:rsid w:val="0098213C"/>
    <w:rsid w:val="009821BE"/>
    <w:rsid w:val="00982454"/>
    <w:rsid w:val="00982786"/>
    <w:rsid w:val="0098280B"/>
    <w:rsid w:val="00982920"/>
    <w:rsid w:val="009829F8"/>
    <w:rsid w:val="00982B39"/>
    <w:rsid w:val="00982C63"/>
    <w:rsid w:val="00982CF0"/>
    <w:rsid w:val="00982D76"/>
    <w:rsid w:val="00982DC1"/>
    <w:rsid w:val="00983611"/>
    <w:rsid w:val="0098365C"/>
    <w:rsid w:val="009836C4"/>
    <w:rsid w:val="009839BB"/>
    <w:rsid w:val="00983BDB"/>
    <w:rsid w:val="009843A8"/>
    <w:rsid w:val="00984410"/>
    <w:rsid w:val="009845DE"/>
    <w:rsid w:val="00984741"/>
    <w:rsid w:val="00984914"/>
    <w:rsid w:val="009853E1"/>
    <w:rsid w:val="009857D0"/>
    <w:rsid w:val="00985CD3"/>
    <w:rsid w:val="00985E17"/>
    <w:rsid w:val="00985E22"/>
    <w:rsid w:val="009861AC"/>
    <w:rsid w:val="0098647E"/>
    <w:rsid w:val="00986801"/>
    <w:rsid w:val="00986870"/>
    <w:rsid w:val="009869E7"/>
    <w:rsid w:val="00986A81"/>
    <w:rsid w:val="00986B75"/>
    <w:rsid w:val="00986BD4"/>
    <w:rsid w:val="00986DEE"/>
    <w:rsid w:val="00986E6B"/>
    <w:rsid w:val="00986FE9"/>
    <w:rsid w:val="00987221"/>
    <w:rsid w:val="009872BA"/>
    <w:rsid w:val="00987AFE"/>
    <w:rsid w:val="00987C54"/>
    <w:rsid w:val="00987DC3"/>
    <w:rsid w:val="00987F10"/>
    <w:rsid w:val="00987FF4"/>
    <w:rsid w:val="00990032"/>
    <w:rsid w:val="00990622"/>
    <w:rsid w:val="0099084F"/>
    <w:rsid w:val="00990998"/>
    <w:rsid w:val="00990B19"/>
    <w:rsid w:val="00990F03"/>
    <w:rsid w:val="00991356"/>
    <w:rsid w:val="0099153B"/>
    <w:rsid w:val="00991564"/>
    <w:rsid w:val="00991769"/>
    <w:rsid w:val="00991824"/>
    <w:rsid w:val="00991AA7"/>
    <w:rsid w:val="00991C0A"/>
    <w:rsid w:val="00992030"/>
    <w:rsid w:val="009920CA"/>
    <w:rsid w:val="0099232C"/>
    <w:rsid w:val="0099237F"/>
    <w:rsid w:val="00992984"/>
    <w:rsid w:val="00992ACD"/>
    <w:rsid w:val="00992B5F"/>
    <w:rsid w:val="00992D4A"/>
    <w:rsid w:val="009933CB"/>
    <w:rsid w:val="009935E3"/>
    <w:rsid w:val="00993701"/>
    <w:rsid w:val="00993E93"/>
    <w:rsid w:val="009941AD"/>
    <w:rsid w:val="009942D2"/>
    <w:rsid w:val="00994386"/>
    <w:rsid w:val="00994798"/>
    <w:rsid w:val="00994B08"/>
    <w:rsid w:val="00994DC5"/>
    <w:rsid w:val="00994F4E"/>
    <w:rsid w:val="00995036"/>
    <w:rsid w:val="009951E0"/>
    <w:rsid w:val="009952BA"/>
    <w:rsid w:val="0099550E"/>
    <w:rsid w:val="009956C2"/>
    <w:rsid w:val="00995876"/>
    <w:rsid w:val="00995A3F"/>
    <w:rsid w:val="00996038"/>
    <w:rsid w:val="00996290"/>
    <w:rsid w:val="00996A64"/>
    <w:rsid w:val="00996B3F"/>
    <w:rsid w:val="00996E18"/>
    <w:rsid w:val="0099735D"/>
    <w:rsid w:val="0099737B"/>
    <w:rsid w:val="00997726"/>
    <w:rsid w:val="00997833"/>
    <w:rsid w:val="0099799F"/>
    <w:rsid w:val="00997C57"/>
    <w:rsid w:val="00997C6D"/>
    <w:rsid w:val="00997E61"/>
    <w:rsid w:val="009A023B"/>
    <w:rsid w:val="009A03B7"/>
    <w:rsid w:val="009A0424"/>
    <w:rsid w:val="009A0A8B"/>
    <w:rsid w:val="009A0C56"/>
    <w:rsid w:val="009A0E8F"/>
    <w:rsid w:val="009A1091"/>
    <w:rsid w:val="009A13D8"/>
    <w:rsid w:val="009A16CF"/>
    <w:rsid w:val="009A1905"/>
    <w:rsid w:val="009A1A54"/>
    <w:rsid w:val="009A1EC8"/>
    <w:rsid w:val="009A2364"/>
    <w:rsid w:val="009A23A4"/>
    <w:rsid w:val="009A23B2"/>
    <w:rsid w:val="009A26AC"/>
    <w:rsid w:val="009A279E"/>
    <w:rsid w:val="009A2956"/>
    <w:rsid w:val="009A2D9E"/>
    <w:rsid w:val="009A3015"/>
    <w:rsid w:val="009A3462"/>
    <w:rsid w:val="009A3490"/>
    <w:rsid w:val="009A37B6"/>
    <w:rsid w:val="009A4025"/>
    <w:rsid w:val="009A426C"/>
    <w:rsid w:val="009A439D"/>
    <w:rsid w:val="009A43A1"/>
    <w:rsid w:val="009A44A3"/>
    <w:rsid w:val="009A4691"/>
    <w:rsid w:val="009A478E"/>
    <w:rsid w:val="009A4C54"/>
    <w:rsid w:val="009A5063"/>
    <w:rsid w:val="009A5572"/>
    <w:rsid w:val="009A580F"/>
    <w:rsid w:val="009A5A52"/>
    <w:rsid w:val="009A5C0F"/>
    <w:rsid w:val="009A62BF"/>
    <w:rsid w:val="009A6385"/>
    <w:rsid w:val="009A6DB2"/>
    <w:rsid w:val="009A71CC"/>
    <w:rsid w:val="009A733B"/>
    <w:rsid w:val="009A7740"/>
    <w:rsid w:val="009A7B3C"/>
    <w:rsid w:val="009A7EF1"/>
    <w:rsid w:val="009A7F37"/>
    <w:rsid w:val="009B03B0"/>
    <w:rsid w:val="009B0513"/>
    <w:rsid w:val="009B0A6F"/>
    <w:rsid w:val="009B0A94"/>
    <w:rsid w:val="009B0C62"/>
    <w:rsid w:val="009B0FEE"/>
    <w:rsid w:val="009B1067"/>
    <w:rsid w:val="009B12FA"/>
    <w:rsid w:val="009B18AE"/>
    <w:rsid w:val="009B1A7A"/>
    <w:rsid w:val="009B1BE9"/>
    <w:rsid w:val="009B2028"/>
    <w:rsid w:val="009B2392"/>
    <w:rsid w:val="009B291B"/>
    <w:rsid w:val="009B2AE8"/>
    <w:rsid w:val="009B3201"/>
    <w:rsid w:val="009B3294"/>
    <w:rsid w:val="009B334B"/>
    <w:rsid w:val="009B3587"/>
    <w:rsid w:val="009B39AE"/>
    <w:rsid w:val="009B3C31"/>
    <w:rsid w:val="009B407E"/>
    <w:rsid w:val="009B487B"/>
    <w:rsid w:val="009B4CDE"/>
    <w:rsid w:val="009B5622"/>
    <w:rsid w:val="009B59E9"/>
    <w:rsid w:val="009B5EDC"/>
    <w:rsid w:val="009B6E14"/>
    <w:rsid w:val="009B6E60"/>
    <w:rsid w:val="009B70AA"/>
    <w:rsid w:val="009B727C"/>
    <w:rsid w:val="009B7462"/>
    <w:rsid w:val="009B747A"/>
    <w:rsid w:val="009B74CF"/>
    <w:rsid w:val="009B76D1"/>
    <w:rsid w:val="009B76FF"/>
    <w:rsid w:val="009B7CAE"/>
    <w:rsid w:val="009C08E5"/>
    <w:rsid w:val="009C1105"/>
    <w:rsid w:val="009C1109"/>
    <w:rsid w:val="009C1863"/>
    <w:rsid w:val="009C1AE9"/>
    <w:rsid w:val="009C1D83"/>
    <w:rsid w:val="009C245E"/>
    <w:rsid w:val="009C2563"/>
    <w:rsid w:val="009C275B"/>
    <w:rsid w:val="009C2AEC"/>
    <w:rsid w:val="009C2CAE"/>
    <w:rsid w:val="009C2E07"/>
    <w:rsid w:val="009C30DD"/>
    <w:rsid w:val="009C32F0"/>
    <w:rsid w:val="009C37A1"/>
    <w:rsid w:val="009C38C5"/>
    <w:rsid w:val="009C3A69"/>
    <w:rsid w:val="009C3AA6"/>
    <w:rsid w:val="009C3BD8"/>
    <w:rsid w:val="009C3E93"/>
    <w:rsid w:val="009C4826"/>
    <w:rsid w:val="009C4D15"/>
    <w:rsid w:val="009C507D"/>
    <w:rsid w:val="009C5198"/>
    <w:rsid w:val="009C5452"/>
    <w:rsid w:val="009C557F"/>
    <w:rsid w:val="009C560B"/>
    <w:rsid w:val="009C58CE"/>
    <w:rsid w:val="009C5E61"/>
    <w:rsid w:val="009C5E77"/>
    <w:rsid w:val="009C633B"/>
    <w:rsid w:val="009C655C"/>
    <w:rsid w:val="009C6FC6"/>
    <w:rsid w:val="009C714C"/>
    <w:rsid w:val="009C718C"/>
    <w:rsid w:val="009C759A"/>
    <w:rsid w:val="009C7875"/>
    <w:rsid w:val="009C7A7E"/>
    <w:rsid w:val="009C7B40"/>
    <w:rsid w:val="009C7B48"/>
    <w:rsid w:val="009C7D07"/>
    <w:rsid w:val="009C7E90"/>
    <w:rsid w:val="009D00BE"/>
    <w:rsid w:val="009D02E8"/>
    <w:rsid w:val="009D032C"/>
    <w:rsid w:val="009D03AF"/>
    <w:rsid w:val="009D04D9"/>
    <w:rsid w:val="009D062A"/>
    <w:rsid w:val="009D07B6"/>
    <w:rsid w:val="009D0804"/>
    <w:rsid w:val="009D0974"/>
    <w:rsid w:val="009D10CF"/>
    <w:rsid w:val="009D11DA"/>
    <w:rsid w:val="009D14D9"/>
    <w:rsid w:val="009D1807"/>
    <w:rsid w:val="009D186D"/>
    <w:rsid w:val="009D18F3"/>
    <w:rsid w:val="009D1F83"/>
    <w:rsid w:val="009D2311"/>
    <w:rsid w:val="009D26A4"/>
    <w:rsid w:val="009D2D4C"/>
    <w:rsid w:val="009D3007"/>
    <w:rsid w:val="009D315B"/>
    <w:rsid w:val="009D3182"/>
    <w:rsid w:val="009D3607"/>
    <w:rsid w:val="009D3813"/>
    <w:rsid w:val="009D3A0A"/>
    <w:rsid w:val="009D3C6D"/>
    <w:rsid w:val="009D4279"/>
    <w:rsid w:val="009D441D"/>
    <w:rsid w:val="009D45E6"/>
    <w:rsid w:val="009D4805"/>
    <w:rsid w:val="009D4948"/>
    <w:rsid w:val="009D4BF0"/>
    <w:rsid w:val="009D51D0"/>
    <w:rsid w:val="009D55E1"/>
    <w:rsid w:val="009D5BAC"/>
    <w:rsid w:val="009D6347"/>
    <w:rsid w:val="009D678C"/>
    <w:rsid w:val="009D685E"/>
    <w:rsid w:val="009D6BB0"/>
    <w:rsid w:val="009D6F03"/>
    <w:rsid w:val="009D70A4"/>
    <w:rsid w:val="009D70B8"/>
    <w:rsid w:val="009D72BF"/>
    <w:rsid w:val="009D7305"/>
    <w:rsid w:val="009D7366"/>
    <w:rsid w:val="009D752F"/>
    <w:rsid w:val="009D7B14"/>
    <w:rsid w:val="009E03D4"/>
    <w:rsid w:val="009E0460"/>
    <w:rsid w:val="009E0846"/>
    <w:rsid w:val="009E08D1"/>
    <w:rsid w:val="009E0A04"/>
    <w:rsid w:val="009E0B50"/>
    <w:rsid w:val="009E0B7D"/>
    <w:rsid w:val="009E0D96"/>
    <w:rsid w:val="009E0E95"/>
    <w:rsid w:val="009E145E"/>
    <w:rsid w:val="009E17DE"/>
    <w:rsid w:val="009E1B95"/>
    <w:rsid w:val="009E1DAC"/>
    <w:rsid w:val="009E23A1"/>
    <w:rsid w:val="009E278C"/>
    <w:rsid w:val="009E29C2"/>
    <w:rsid w:val="009E2B3D"/>
    <w:rsid w:val="009E2EEA"/>
    <w:rsid w:val="009E2F3F"/>
    <w:rsid w:val="009E31C4"/>
    <w:rsid w:val="009E3233"/>
    <w:rsid w:val="009E33E8"/>
    <w:rsid w:val="009E369C"/>
    <w:rsid w:val="009E36AE"/>
    <w:rsid w:val="009E3DF9"/>
    <w:rsid w:val="009E40AA"/>
    <w:rsid w:val="009E45F9"/>
    <w:rsid w:val="009E47A8"/>
    <w:rsid w:val="009E4807"/>
    <w:rsid w:val="009E48B3"/>
    <w:rsid w:val="009E4933"/>
    <w:rsid w:val="009E496F"/>
    <w:rsid w:val="009E4AFD"/>
    <w:rsid w:val="009E4B0D"/>
    <w:rsid w:val="009E4C75"/>
    <w:rsid w:val="009E4EC9"/>
    <w:rsid w:val="009E51E7"/>
    <w:rsid w:val="009E5250"/>
    <w:rsid w:val="009E548C"/>
    <w:rsid w:val="009E570D"/>
    <w:rsid w:val="009E5992"/>
    <w:rsid w:val="009E59D9"/>
    <w:rsid w:val="009E5A16"/>
    <w:rsid w:val="009E5A75"/>
    <w:rsid w:val="009E5B3E"/>
    <w:rsid w:val="009E5C46"/>
    <w:rsid w:val="009E5F5D"/>
    <w:rsid w:val="009E6326"/>
    <w:rsid w:val="009E6B2A"/>
    <w:rsid w:val="009E6C0B"/>
    <w:rsid w:val="009E70B2"/>
    <w:rsid w:val="009E78A0"/>
    <w:rsid w:val="009E79DE"/>
    <w:rsid w:val="009E7A69"/>
    <w:rsid w:val="009E7BFA"/>
    <w:rsid w:val="009E7F92"/>
    <w:rsid w:val="009F02A3"/>
    <w:rsid w:val="009F0398"/>
    <w:rsid w:val="009F0536"/>
    <w:rsid w:val="009F060C"/>
    <w:rsid w:val="009F09EB"/>
    <w:rsid w:val="009F0AB4"/>
    <w:rsid w:val="009F0B7B"/>
    <w:rsid w:val="009F0BD8"/>
    <w:rsid w:val="009F15A0"/>
    <w:rsid w:val="009F17D3"/>
    <w:rsid w:val="009F1E4C"/>
    <w:rsid w:val="009F1E7E"/>
    <w:rsid w:val="009F2007"/>
    <w:rsid w:val="009F215E"/>
    <w:rsid w:val="009F216B"/>
    <w:rsid w:val="009F2182"/>
    <w:rsid w:val="009F2AB9"/>
    <w:rsid w:val="009F2F27"/>
    <w:rsid w:val="009F2FBA"/>
    <w:rsid w:val="009F3190"/>
    <w:rsid w:val="009F3197"/>
    <w:rsid w:val="009F34AA"/>
    <w:rsid w:val="009F3547"/>
    <w:rsid w:val="009F37BF"/>
    <w:rsid w:val="009F3831"/>
    <w:rsid w:val="009F3BA8"/>
    <w:rsid w:val="009F409E"/>
    <w:rsid w:val="009F44AF"/>
    <w:rsid w:val="009F45EF"/>
    <w:rsid w:val="009F47D4"/>
    <w:rsid w:val="009F4B7D"/>
    <w:rsid w:val="009F56BE"/>
    <w:rsid w:val="009F576D"/>
    <w:rsid w:val="009F5A47"/>
    <w:rsid w:val="009F5AAE"/>
    <w:rsid w:val="009F5AF0"/>
    <w:rsid w:val="009F5E8B"/>
    <w:rsid w:val="009F64C3"/>
    <w:rsid w:val="009F6560"/>
    <w:rsid w:val="009F6BCB"/>
    <w:rsid w:val="009F7283"/>
    <w:rsid w:val="009F73A8"/>
    <w:rsid w:val="009F74EA"/>
    <w:rsid w:val="009F7937"/>
    <w:rsid w:val="009F7B78"/>
    <w:rsid w:val="009F7F39"/>
    <w:rsid w:val="00A001A6"/>
    <w:rsid w:val="00A0057A"/>
    <w:rsid w:val="00A00736"/>
    <w:rsid w:val="00A00E82"/>
    <w:rsid w:val="00A00F96"/>
    <w:rsid w:val="00A010CF"/>
    <w:rsid w:val="00A01680"/>
    <w:rsid w:val="00A016FB"/>
    <w:rsid w:val="00A01AA4"/>
    <w:rsid w:val="00A01AA8"/>
    <w:rsid w:val="00A01DA9"/>
    <w:rsid w:val="00A02180"/>
    <w:rsid w:val="00A0271D"/>
    <w:rsid w:val="00A02BD0"/>
    <w:rsid w:val="00A02CAB"/>
    <w:rsid w:val="00A02F16"/>
    <w:rsid w:val="00A02F93"/>
    <w:rsid w:val="00A02FA1"/>
    <w:rsid w:val="00A03158"/>
    <w:rsid w:val="00A035A8"/>
    <w:rsid w:val="00A0362F"/>
    <w:rsid w:val="00A03703"/>
    <w:rsid w:val="00A03C85"/>
    <w:rsid w:val="00A03EEF"/>
    <w:rsid w:val="00A0433D"/>
    <w:rsid w:val="00A04373"/>
    <w:rsid w:val="00A044E1"/>
    <w:rsid w:val="00A0461C"/>
    <w:rsid w:val="00A046A5"/>
    <w:rsid w:val="00A049D7"/>
    <w:rsid w:val="00A04A64"/>
    <w:rsid w:val="00A04C2E"/>
    <w:rsid w:val="00A04CCE"/>
    <w:rsid w:val="00A04DD0"/>
    <w:rsid w:val="00A04DF7"/>
    <w:rsid w:val="00A0526E"/>
    <w:rsid w:val="00A052A9"/>
    <w:rsid w:val="00A05926"/>
    <w:rsid w:val="00A05B6D"/>
    <w:rsid w:val="00A05BBD"/>
    <w:rsid w:val="00A05DD1"/>
    <w:rsid w:val="00A05E82"/>
    <w:rsid w:val="00A06011"/>
    <w:rsid w:val="00A0601A"/>
    <w:rsid w:val="00A0619B"/>
    <w:rsid w:val="00A062B0"/>
    <w:rsid w:val="00A0637D"/>
    <w:rsid w:val="00A0646D"/>
    <w:rsid w:val="00A06659"/>
    <w:rsid w:val="00A068FF"/>
    <w:rsid w:val="00A06E98"/>
    <w:rsid w:val="00A0739B"/>
    <w:rsid w:val="00A07421"/>
    <w:rsid w:val="00A0746B"/>
    <w:rsid w:val="00A0776B"/>
    <w:rsid w:val="00A07900"/>
    <w:rsid w:val="00A0790C"/>
    <w:rsid w:val="00A07ADC"/>
    <w:rsid w:val="00A07F6A"/>
    <w:rsid w:val="00A1050D"/>
    <w:rsid w:val="00A10596"/>
    <w:rsid w:val="00A10939"/>
    <w:rsid w:val="00A10E0F"/>
    <w:rsid w:val="00A10FAD"/>
    <w:rsid w:val="00A10FB9"/>
    <w:rsid w:val="00A11076"/>
    <w:rsid w:val="00A111F8"/>
    <w:rsid w:val="00A11421"/>
    <w:rsid w:val="00A115D6"/>
    <w:rsid w:val="00A11E30"/>
    <w:rsid w:val="00A126AB"/>
    <w:rsid w:val="00A126F9"/>
    <w:rsid w:val="00A12B03"/>
    <w:rsid w:val="00A12DC5"/>
    <w:rsid w:val="00A12E79"/>
    <w:rsid w:val="00A12FBD"/>
    <w:rsid w:val="00A13437"/>
    <w:rsid w:val="00A134E8"/>
    <w:rsid w:val="00A1389F"/>
    <w:rsid w:val="00A1397C"/>
    <w:rsid w:val="00A13B7A"/>
    <w:rsid w:val="00A13C38"/>
    <w:rsid w:val="00A14356"/>
    <w:rsid w:val="00A1443A"/>
    <w:rsid w:val="00A14466"/>
    <w:rsid w:val="00A145AD"/>
    <w:rsid w:val="00A14D3F"/>
    <w:rsid w:val="00A1508D"/>
    <w:rsid w:val="00A15347"/>
    <w:rsid w:val="00A15473"/>
    <w:rsid w:val="00A157B1"/>
    <w:rsid w:val="00A1659D"/>
    <w:rsid w:val="00A16741"/>
    <w:rsid w:val="00A16890"/>
    <w:rsid w:val="00A171F5"/>
    <w:rsid w:val="00A17583"/>
    <w:rsid w:val="00A200BE"/>
    <w:rsid w:val="00A203B8"/>
    <w:rsid w:val="00A2040D"/>
    <w:rsid w:val="00A2079E"/>
    <w:rsid w:val="00A210F6"/>
    <w:rsid w:val="00A213F7"/>
    <w:rsid w:val="00A21606"/>
    <w:rsid w:val="00A21672"/>
    <w:rsid w:val="00A21953"/>
    <w:rsid w:val="00A21D05"/>
    <w:rsid w:val="00A21D0E"/>
    <w:rsid w:val="00A21D76"/>
    <w:rsid w:val="00A22229"/>
    <w:rsid w:val="00A22C5F"/>
    <w:rsid w:val="00A230C5"/>
    <w:rsid w:val="00A2310F"/>
    <w:rsid w:val="00A2379B"/>
    <w:rsid w:val="00A23AB9"/>
    <w:rsid w:val="00A23CE0"/>
    <w:rsid w:val="00A23E75"/>
    <w:rsid w:val="00A23F88"/>
    <w:rsid w:val="00A240F9"/>
    <w:rsid w:val="00A24442"/>
    <w:rsid w:val="00A24708"/>
    <w:rsid w:val="00A249D7"/>
    <w:rsid w:val="00A24ADA"/>
    <w:rsid w:val="00A24B63"/>
    <w:rsid w:val="00A25754"/>
    <w:rsid w:val="00A25A33"/>
    <w:rsid w:val="00A25AE3"/>
    <w:rsid w:val="00A25D06"/>
    <w:rsid w:val="00A25DEC"/>
    <w:rsid w:val="00A268E1"/>
    <w:rsid w:val="00A26AA4"/>
    <w:rsid w:val="00A26E53"/>
    <w:rsid w:val="00A26EBB"/>
    <w:rsid w:val="00A2771C"/>
    <w:rsid w:val="00A27BF8"/>
    <w:rsid w:val="00A27D95"/>
    <w:rsid w:val="00A27EF2"/>
    <w:rsid w:val="00A27FA3"/>
    <w:rsid w:val="00A30272"/>
    <w:rsid w:val="00A30370"/>
    <w:rsid w:val="00A303FA"/>
    <w:rsid w:val="00A30513"/>
    <w:rsid w:val="00A30D33"/>
    <w:rsid w:val="00A30FEC"/>
    <w:rsid w:val="00A312F3"/>
    <w:rsid w:val="00A3137C"/>
    <w:rsid w:val="00A3137E"/>
    <w:rsid w:val="00A319D0"/>
    <w:rsid w:val="00A31B26"/>
    <w:rsid w:val="00A32577"/>
    <w:rsid w:val="00A32B3A"/>
    <w:rsid w:val="00A32D03"/>
    <w:rsid w:val="00A32DED"/>
    <w:rsid w:val="00A32E88"/>
    <w:rsid w:val="00A330BB"/>
    <w:rsid w:val="00A331E4"/>
    <w:rsid w:val="00A3328C"/>
    <w:rsid w:val="00A33985"/>
    <w:rsid w:val="00A33A9A"/>
    <w:rsid w:val="00A33AC3"/>
    <w:rsid w:val="00A33C9D"/>
    <w:rsid w:val="00A33E39"/>
    <w:rsid w:val="00A34535"/>
    <w:rsid w:val="00A345BB"/>
    <w:rsid w:val="00A348CE"/>
    <w:rsid w:val="00A353D1"/>
    <w:rsid w:val="00A358AE"/>
    <w:rsid w:val="00A35925"/>
    <w:rsid w:val="00A35960"/>
    <w:rsid w:val="00A35C30"/>
    <w:rsid w:val="00A35DAC"/>
    <w:rsid w:val="00A35E52"/>
    <w:rsid w:val="00A362A4"/>
    <w:rsid w:val="00A36338"/>
    <w:rsid w:val="00A3644B"/>
    <w:rsid w:val="00A369D2"/>
    <w:rsid w:val="00A36D9B"/>
    <w:rsid w:val="00A37161"/>
    <w:rsid w:val="00A371C7"/>
    <w:rsid w:val="00A37668"/>
    <w:rsid w:val="00A378F1"/>
    <w:rsid w:val="00A37BF2"/>
    <w:rsid w:val="00A4001F"/>
    <w:rsid w:val="00A40B13"/>
    <w:rsid w:val="00A40C21"/>
    <w:rsid w:val="00A411E4"/>
    <w:rsid w:val="00A412C5"/>
    <w:rsid w:val="00A41A2E"/>
    <w:rsid w:val="00A41B44"/>
    <w:rsid w:val="00A429B6"/>
    <w:rsid w:val="00A42A75"/>
    <w:rsid w:val="00A42DBE"/>
    <w:rsid w:val="00A4330B"/>
    <w:rsid w:val="00A43FC9"/>
    <w:rsid w:val="00A443E3"/>
    <w:rsid w:val="00A44585"/>
    <w:rsid w:val="00A44659"/>
    <w:rsid w:val="00A446DB"/>
    <w:rsid w:val="00A446F5"/>
    <w:rsid w:val="00A447A0"/>
    <w:rsid w:val="00A44882"/>
    <w:rsid w:val="00A4499C"/>
    <w:rsid w:val="00A44D17"/>
    <w:rsid w:val="00A4501B"/>
    <w:rsid w:val="00A45125"/>
    <w:rsid w:val="00A45145"/>
    <w:rsid w:val="00A45837"/>
    <w:rsid w:val="00A4591D"/>
    <w:rsid w:val="00A45E37"/>
    <w:rsid w:val="00A46652"/>
    <w:rsid w:val="00A46865"/>
    <w:rsid w:val="00A468D1"/>
    <w:rsid w:val="00A46BE2"/>
    <w:rsid w:val="00A46E27"/>
    <w:rsid w:val="00A46EA7"/>
    <w:rsid w:val="00A46FBE"/>
    <w:rsid w:val="00A46FDE"/>
    <w:rsid w:val="00A47BD0"/>
    <w:rsid w:val="00A47C64"/>
    <w:rsid w:val="00A47C7B"/>
    <w:rsid w:val="00A47CEE"/>
    <w:rsid w:val="00A47DA1"/>
    <w:rsid w:val="00A50412"/>
    <w:rsid w:val="00A50C00"/>
    <w:rsid w:val="00A50C83"/>
    <w:rsid w:val="00A50D70"/>
    <w:rsid w:val="00A50D78"/>
    <w:rsid w:val="00A51165"/>
    <w:rsid w:val="00A51727"/>
    <w:rsid w:val="00A51A0C"/>
    <w:rsid w:val="00A51AC2"/>
    <w:rsid w:val="00A51C18"/>
    <w:rsid w:val="00A5209E"/>
    <w:rsid w:val="00A520E2"/>
    <w:rsid w:val="00A52BF2"/>
    <w:rsid w:val="00A52C73"/>
    <w:rsid w:val="00A52DF9"/>
    <w:rsid w:val="00A5336D"/>
    <w:rsid w:val="00A53399"/>
    <w:rsid w:val="00A539BC"/>
    <w:rsid w:val="00A53F66"/>
    <w:rsid w:val="00A546AC"/>
    <w:rsid w:val="00A54715"/>
    <w:rsid w:val="00A54921"/>
    <w:rsid w:val="00A54C38"/>
    <w:rsid w:val="00A54D52"/>
    <w:rsid w:val="00A54EE9"/>
    <w:rsid w:val="00A55A34"/>
    <w:rsid w:val="00A5611A"/>
    <w:rsid w:val="00A56243"/>
    <w:rsid w:val="00A56348"/>
    <w:rsid w:val="00A56377"/>
    <w:rsid w:val="00A56696"/>
    <w:rsid w:val="00A56EBC"/>
    <w:rsid w:val="00A572FF"/>
    <w:rsid w:val="00A57576"/>
    <w:rsid w:val="00A575C0"/>
    <w:rsid w:val="00A57C43"/>
    <w:rsid w:val="00A57C50"/>
    <w:rsid w:val="00A57D26"/>
    <w:rsid w:val="00A57E30"/>
    <w:rsid w:val="00A6061C"/>
    <w:rsid w:val="00A61248"/>
    <w:rsid w:val="00A614FE"/>
    <w:rsid w:val="00A615C0"/>
    <w:rsid w:val="00A6170A"/>
    <w:rsid w:val="00A6176E"/>
    <w:rsid w:val="00A61A9C"/>
    <w:rsid w:val="00A61A9F"/>
    <w:rsid w:val="00A61D5B"/>
    <w:rsid w:val="00A61E1C"/>
    <w:rsid w:val="00A61FF1"/>
    <w:rsid w:val="00A62470"/>
    <w:rsid w:val="00A62777"/>
    <w:rsid w:val="00A6286D"/>
    <w:rsid w:val="00A62D2F"/>
    <w:rsid w:val="00A62D44"/>
    <w:rsid w:val="00A63027"/>
    <w:rsid w:val="00A633C3"/>
    <w:rsid w:val="00A638BC"/>
    <w:rsid w:val="00A63E2B"/>
    <w:rsid w:val="00A63FC5"/>
    <w:rsid w:val="00A6431B"/>
    <w:rsid w:val="00A64EC8"/>
    <w:rsid w:val="00A65131"/>
    <w:rsid w:val="00A651C4"/>
    <w:rsid w:val="00A653CA"/>
    <w:rsid w:val="00A6551E"/>
    <w:rsid w:val="00A6584F"/>
    <w:rsid w:val="00A65917"/>
    <w:rsid w:val="00A65E64"/>
    <w:rsid w:val="00A65F38"/>
    <w:rsid w:val="00A6618B"/>
    <w:rsid w:val="00A661C5"/>
    <w:rsid w:val="00A66C3B"/>
    <w:rsid w:val="00A66E98"/>
    <w:rsid w:val="00A67037"/>
    <w:rsid w:val="00A67263"/>
    <w:rsid w:val="00A673E8"/>
    <w:rsid w:val="00A67481"/>
    <w:rsid w:val="00A67577"/>
    <w:rsid w:val="00A6761A"/>
    <w:rsid w:val="00A67AE2"/>
    <w:rsid w:val="00A67D87"/>
    <w:rsid w:val="00A70207"/>
    <w:rsid w:val="00A706A1"/>
    <w:rsid w:val="00A709CE"/>
    <w:rsid w:val="00A70AB5"/>
    <w:rsid w:val="00A71012"/>
    <w:rsid w:val="00A7104B"/>
    <w:rsid w:val="00A713B1"/>
    <w:rsid w:val="00A7161C"/>
    <w:rsid w:val="00A71626"/>
    <w:rsid w:val="00A71692"/>
    <w:rsid w:val="00A71778"/>
    <w:rsid w:val="00A717B4"/>
    <w:rsid w:val="00A71CE4"/>
    <w:rsid w:val="00A72510"/>
    <w:rsid w:val="00A72685"/>
    <w:rsid w:val="00A7272C"/>
    <w:rsid w:val="00A72A2D"/>
    <w:rsid w:val="00A72D53"/>
    <w:rsid w:val="00A73536"/>
    <w:rsid w:val="00A7373E"/>
    <w:rsid w:val="00A73841"/>
    <w:rsid w:val="00A738C5"/>
    <w:rsid w:val="00A73B9B"/>
    <w:rsid w:val="00A73C88"/>
    <w:rsid w:val="00A73D48"/>
    <w:rsid w:val="00A73E5E"/>
    <w:rsid w:val="00A73FB1"/>
    <w:rsid w:val="00A74212"/>
    <w:rsid w:val="00A74357"/>
    <w:rsid w:val="00A744BB"/>
    <w:rsid w:val="00A74800"/>
    <w:rsid w:val="00A7481C"/>
    <w:rsid w:val="00A74B7D"/>
    <w:rsid w:val="00A75BEB"/>
    <w:rsid w:val="00A75DAF"/>
    <w:rsid w:val="00A76027"/>
    <w:rsid w:val="00A761FB"/>
    <w:rsid w:val="00A76473"/>
    <w:rsid w:val="00A766CF"/>
    <w:rsid w:val="00A77218"/>
    <w:rsid w:val="00A77850"/>
    <w:rsid w:val="00A7788D"/>
    <w:rsid w:val="00A77AA3"/>
    <w:rsid w:val="00A77DAB"/>
    <w:rsid w:val="00A77E02"/>
    <w:rsid w:val="00A77EEE"/>
    <w:rsid w:val="00A80121"/>
    <w:rsid w:val="00A801C2"/>
    <w:rsid w:val="00A80983"/>
    <w:rsid w:val="00A80A18"/>
    <w:rsid w:val="00A80A48"/>
    <w:rsid w:val="00A80B95"/>
    <w:rsid w:val="00A80CB4"/>
    <w:rsid w:val="00A80F25"/>
    <w:rsid w:val="00A8138B"/>
    <w:rsid w:val="00A815A1"/>
    <w:rsid w:val="00A81B84"/>
    <w:rsid w:val="00A81E3F"/>
    <w:rsid w:val="00A81F4B"/>
    <w:rsid w:val="00A8236D"/>
    <w:rsid w:val="00A82615"/>
    <w:rsid w:val="00A82D24"/>
    <w:rsid w:val="00A83288"/>
    <w:rsid w:val="00A833EE"/>
    <w:rsid w:val="00A837A5"/>
    <w:rsid w:val="00A8396C"/>
    <w:rsid w:val="00A83BEB"/>
    <w:rsid w:val="00A83E51"/>
    <w:rsid w:val="00A84168"/>
    <w:rsid w:val="00A84425"/>
    <w:rsid w:val="00A84560"/>
    <w:rsid w:val="00A8484F"/>
    <w:rsid w:val="00A849CF"/>
    <w:rsid w:val="00A84B3B"/>
    <w:rsid w:val="00A84CAD"/>
    <w:rsid w:val="00A854EB"/>
    <w:rsid w:val="00A857C4"/>
    <w:rsid w:val="00A8584F"/>
    <w:rsid w:val="00A85C96"/>
    <w:rsid w:val="00A85D68"/>
    <w:rsid w:val="00A85EE5"/>
    <w:rsid w:val="00A862AD"/>
    <w:rsid w:val="00A862CF"/>
    <w:rsid w:val="00A86586"/>
    <w:rsid w:val="00A867A2"/>
    <w:rsid w:val="00A869FA"/>
    <w:rsid w:val="00A86D01"/>
    <w:rsid w:val="00A87273"/>
    <w:rsid w:val="00A872E5"/>
    <w:rsid w:val="00A87960"/>
    <w:rsid w:val="00A87B02"/>
    <w:rsid w:val="00A9036E"/>
    <w:rsid w:val="00A904D6"/>
    <w:rsid w:val="00A90DA3"/>
    <w:rsid w:val="00A91406"/>
    <w:rsid w:val="00A914B9"/>
    <w:rsid w:val="00A91687"/>
    <w:rsid w:val="00A91C1F"/>
    <w:rsid w:val="00A92314"/>
    <w:rsid w:val="00A9259D"/>
    <w:rsid w:val="00A9270D"/>
    <w:rsid w:val="00A927E9"/>
    <w:rsid w:val="00A928F9"/>
    <w:rsid w:val="00A92E7E"/>
    <w:rsid w:val="00A92FEE"/>
    <w:rsid w:val="00A934EC"/>
    <w:rsid w:val="00A93DEF"/>
    <w:rsid w:val="00A93F9B"/>
    <w:rsid w:val="00A940CD"/>
    <w:rsid w:val="00A9462C"/>
    <w:rsid w:val="00A951F5"/>
    <w:rsid w:val="00A95459"/>
    <w:rsid w:val="00A959AF"/>
    <w:rsid w:val="00A95BFC"/>
    <w:rsid w:val="00A95C78"/>
    <w:rsid w:val="00A95F05"/>
    <w:rsid w:val="00A962B2"/>
    <w:rsid w:val="00A9646F"/>
    <w:rsid w:val="00A964D1"/>
    <w:rsid w:val="00A96868"/>
    <w:rsid w:val="00A968CC"/>
    <w:rsid w:val="00A96BE4"/>
    <w:rsid w:val="00A96C1C"/>
    <w:rsid w:val="00A96C84"/>
    <w:rsid w:val="00A96E65"/>
    <w:rsid w:val="00A96ECB"/>
    <w:rsid w:val="00A96ECE"/>
    <w:rsid w:val="00A9713C"/>
    <w:rsid w:val="00A97C72"/>
    <w:rsid w:val="00A97EF0"/>
    <w:rsid w:val="00A97F09"/>
    <w:rsid w:val="00AA0234"/>
    <w:rsid w:val="00AA024F"/>
    <w:rsid w:val="00AA040A"/>
    <w:rsid w:val="00AA053C"/>
    <w:rsid w:val="00AA06AD"/>
    <w:rsid w:val="00AA0A8D"/>
    <w:rsid w:val="00AA0FA2"/>
    <w:rsid w:val="00AA1381"/>
    <w:rsid w:val="00AA13BC"/>
    <w:rsid w:val="00AA16C5"/>
    <w:rsid w:val="00AA19E2"/>
    <w:rsid w:val="00AA1AC8"/>
    <w:rsid w:val="00AA2311"/>
    <w:rsid w:val="00AA24E8"/>
    <w:rsid w:val="00AA266C"/>
    <w:rsid w:val="00AA2686"/>
    <w:rsid w:val="00AA28C8"/>
    <w:rsid w:val="00AA2BCC"/>
    <w:rsid w:val="00AA2C40"/>
    <w:rsid w:val="00AA310B"/>
    <w:rsid w:val="00AA3722"/>
    <w:rsid w:val="00AA3740"/>
    <w:rsid w:val="00AA381F"/>
    <w:rsid w:val="00AA3B0D"/>
    <w:rsid w:val="00AA41FA"/>
    <w:rsid w:val="00AA427D"/>
    <w:rsid w:val="00AA47A1"/>
    <w:rsid w:val="00AA480F"/>
    <w:rsid w:val="00AA4CFC"/>
    <w:rsid w:val="00AA51D2"/>
    <w:rsid w:val="00AA53D2"/>
    <w:rsid w:val="00AA552E"/>
    <w:rsid w:val="00AA597E"/>
    <w:rsid w:val="00AA5E48"/>
    <w:rsid w:val="00AA6065"/>
    <w:rsid w:val="00AA63D4"/>
    <w:rsid w:val="00AA649B"/>
    <w:rsid w:val="00AA6D37"/>
    <w:rsid w:val="00AA6EB8"/>
    <w:rsid w:val="00AA6F96"/>
    <w:rsid w:val="00AB018B"/>
    <w:rsid w:val="00AB0302"/>
    <w:rsid w:val="00AB0483"/>
    <w:rsid w:val="00AB06E8"/>
    <w:rsid w:val="00AB0786"/>
    <w:rsid w:val="00AB0FD3"/>
    <w:rsid w:val="00AB102E"/>
    <w:rsid w:val="00AB117F"/>
    <w:rsid w:val="00AB1891"/>
    <w:rsid w:val="00AB1A51"/>
    <w:rsid w:val="00AB1B39"/>
    <w:rsid w:val="00AB1B85"/>
    <w:rsid w:val="00AB1CD3"/>
    <w:rsid w:val="00AB20EB"/>
    <w:rsid w:val="00AB25A6"/>
    <w:rsid w:val="00AB2A55"/>
    <w:rsid w:val="00AB2AB5"/>
    <w:rsid w:val="00AB2BAF"/>
    <w:rsid w:val="00AB2BBE"/>
    <w:rsid w:val="00AB2C47"/>
    <w:rsid w:val="00AB2C5C"/>
    <w:rsid w:val="00AB30AD"/>
    <w:rsid w:val="00AB30E6"/>
    <w:rsid w:val="00AB33FB"/>
    <w:rsid w:val="00AB3497"/>
    <w:rsid w:val="00AB352F"/>
    <w:rsid w:val="00AB38BE"/>
    <w:rsid w:val="00AB3D75"/>
    <w:rsid w:val="00AB413F"/>
    <w:rsid w:val="00AB42F4"/>
    <w:rsid w:val="00AB4397"/>
    <w:rsid w:val="00AB43C1"/>
    <w:rsid w:val="00AB44C7"/>
    <w:rsid w:val="00AB4571"/>
    <w:rsid w:val="00AB4876"/>
    <w:rsid w:val="00AB4A19"/>
    <w:rsid w:val="00AB4B07"/>
    <w:rsid w:val="00AB4EB5"/>
    <w:rsid w:val="00AB4FF2"/>
    <w:rsid w:val="00AB56B0"/>
    <w:rsid w:val="00AB5834"/>
    <w:rsid w:val="00AB5A68"/>
    <w:rsid w:val="00AB5F56"/>
    <w:rsid w:val="00AB62F3"/>
    <w:rsid w:val="00AB63D0"/>
    <w:rsid w:val="00AB644A"/>
    <w:rsid w:val="00AB67BC"/>
    <w:rsid w:val="00AB6F07"/>
    <w:rsid w:val="00AB7247"/>
    <w:rsid w:val="00AB74E1"/>
    <w:rsid w:val="00AB7614"/>
    <w:rsid w:val="00AB7786"/>
    <w:rsid w:val="00AB7AB9"/>
    <w:rsid w:val="00AB7C56"/>
    <w:rsid w:val="00AC0398"/>
    <w:rsid w:val="00AC061E"/>
    <w:rsid w:val="00AC076F"/>
    <w:rsid w:val="00AC08B5"/>
    <w:rsid w:val="00AC0996"/>
    <w:rsid w:val="00AC0B69"/>
    <w:rsid w:val="00AC1286"/>
    <w:rsid w:val="00AC1458"/>
    <w:rsid w:val="00AC1911"/>
    <w:rsid w:val="00AC19A8"/>
    <w:rsid w:val="00AC1DAF"/>
    <w:rsid w:val="00AC1F98"/>
    <w:rsid w:val="00AC2123"/>
    <w:rsid w:val="00AC266A"/>
    <w:rsid w:val="00AC274B"/>
    <w:rsid w:val="00AC2C89"/>
    <w:rsid w:val="00AC2C8F"/>
    <w:rsid w:val="00AC3437"/>
    <w:rsid w:val="00AC3A6C"/>
    <w:rsid w:val="00AC3B79"/>
    <w:rsid w:val="00AC3E50"/>
    <w:rsid w:val="00AC3EE0"/>
    <w:rsid w:val="00AC3F37"/>
    <w:rsid w:val="00AC410C"/>
    <w:rsid w:val="00AC44DF"/>
    <w:rsid w:val="00AC4764"/>
    <w:rsid w:val="00AC4961"/>
    <w:rsid w:val="00AC4964"/>
    <w:rsid w:val="00AC4A68"/>
    <w:rsid w:val="00AC4AEE"/>
    <w:rsid w:val="00AC5142"/>
    <w:rsid w:val="00AC51EA"/>
    <w:rsid w:val="00AC59EF"/>
    <w:rsid w:val="00AC5BAC"/>
    <w:rsid w:val="00AC5F95"/>
    <w:rsid w:val="00AC6366"/>
    <w:rsid w:val="00AC65A3"/>
    <w:rsid w:val="00AC67B8"/>
    <w:rsid w:val="00AC6836"/>
    <w:rsid w:val="00AC6D36"/>
    <w:rsid w:val="00AC6DF4"/>
    <w:rsid w:val="00AC6FAA"/>
    <w:rsid w:val="00AC7278"/>
    <w:rsid w:val="00AC7327"/>
    <w:rsid w:val="00AC767B"/>
    <w:rsid w:val="00AC7786"/>
    <w:rsid w:val="00AC7844"/>
    <w:rsid w:val="00AC7880"/>
    <w:rsid w:val="00AC788B"/>
    <w:rsid w:val="00AC798E"/>
    <w:rsid w:val="00AD0364"/>
    <w:rsid w:val="00AD041B"/>
    <w:rsid w:val="00AD0CBA"/>
    <w:rsid w:val="00AD0D8A"/>
    <w:rsid w:val="00AD152C"/>
    <w:rsid w:val="00AD1B79"/>
    <w:rsid w:val="00AD1D96"/>
    <w:rsid w:val="00AD1E70"/>
    <w:rsid w:val="00AD26E2"/>
    <w:rsid w:val="00AD29E0"/>
    <w:rsid w:val="00AD2F09"/>
    <w:rsid w:val="00AD3064"/>
    <w:rsid w:val="00AD3266"/>
    <w:rsid w:val="00AD3350"/>
    <w:rsid w:val="00AD3892"/>
    <w:rsid w:val="00AD3CBA"/>
    <w:rsid w:val="00AD3D66"/>
    <w:rsid w:val="00AD4096"/>
    <w:rsid w:val="00AD42C7"/>
    <w:rsid w:val="00AD4575"/>
    <w:rsid w:val="00AD4697"/>
    <w:rsid w:val="00AD4A9D"/>
    <w:rsid w:val="00AD4ABB"/>
    <w:rsid w:val="00AD4C83"/>
    <w:rsid w:val="00AD4CCC"/>
    <w:rsid w:val="00AD4D71"/>
    <w:rsid w:val="00AD4DEB"/>
    <w:rsid w:val="00AD4E93"/>
    <w:rsid w:val="00AD4F92"/>
    <w:rsid w:val="00AD525F"/>
    <w:rsid w:val="00AD537E"/>
    <w:rsid w:val="00AD553B"/>
    <w:rsid w:val="00AD5554"/>
    <w:rsid w:val="00AD55A8"/>
    <w:rsid w:val="00AD5D2F"/>
    <w:rsid w:val="00AD5EF8"/>
    <w:rsid w:val="00AD62E0"/>
    <w:rsid w:val="00AD650E"/>
    <w:rsid w:val="00AD650F"/>
    <w:rsid w:val="00AD6608"/>
    <w:rsid w:val="00AD6822"/>
    <w:rsid w:val="00AD6A6E"/>
    <w:rsid w:val="00AD6E41"/>
    <w:rsid w:val="00AD75BE"/>
    <w:rsid w:val="00AD784C"/>
    <w:rsid w:val="00AD7C90"/>
    <w:rsid w:val="00AD7ED8"/>
    <w:rsid w:val="00AE03D4"/>
    <w:rsid w:val="00AE115A"/>
    <w:rsid w:val="00AE1162"/>
    <w:rsid w:val="00AE126A"/>
    <w:rsid w:val="00AE14DE"/>
    <w:rsid w:val="00AE1B4B"/>
    <w:rsid w:val="00AE1B66"/>
    <w:rsid w:val="00AE1BAE"/>
    <w:rsid w:val="00AE1DC5"/>
    <w:rsid w:val="00AE2077"/>
    <w:rsid w:val="00AE218E"/>
    <w:rsid w:val="00AE286E"/>
    <w:rsid w:val="00AE2DE4"/>
    <w:rsid w:val="00AE2E21"/>
    <w:rsid w:val="00AE3005"/>
    <w:rsid w:val="00AE329B"/>
    <w:rsid w:val="00AE33F2"/>
    <w:rsid w:val="00AE3449"/>
    <w:rsid w:val="00AE38FE"/>
    <w:rsid w:val="00AE3B10"/>
    <w:rsid w:val="00AE3BD5"/>
    <w:rsid w:val="00AE3D21"/>
    <w:rsid w:val="00AE3E5A"/>
    <w:rsid w:val="00AE3F3B"/>
    <w:rsid w:val="00AE407B"/>
    <w:rsid w:val="00AE444C"/>
    <w:rsid w:val="00AE48EE"/>
    <w:rsid w:val="00AE4992"/>
    <w:rsid w:val="00AE4BD4"/>
    <w:rsid w:val="00AE4D8B"/>
    <w:rsid w:val="00AE4DF3"/>
    <w:rsid w:val="00AE4E7A"/>
    <w:rsid w:val="00AE50C8"/>
    <w:rsid w:val="00AE57BE"/>
    <w:rsid w:val="00AE57E0"/>
    <w:rsid w:val="00AE59A0"/>
    <w:rsid w:val="00AE5CBB"/>
    <w:rsid w:val="00AE6296"/>
    <w:rsid w:val="00AE63F2"/>
    <w:rsid w:val="00AE6A1E"/>
    <w:rsid w:val="00AE6EE2"/>
    <w:rsid w:val="00AE744F"/>
    <w:rsid w:val="00AE75D9"/>
    <w:rsid w:val="00AE7650"/>
    <w:rsid w:val="00AE76B5"/>
    <w:rsid w:val="00AE76F4"/>
    <w:rsid w:val="00AE79B0"/>
    <w:rsid w:val="00AE7B5B"/>
    <w:rsid w:val="00AE7E0B"/>
    <w:rsid w:val="00AE7E58"/>
    <w:rsid w:val="00AF004E"/>
    <w:rsid w:val="00AF00FB"/>
    <w:rsid w:val="00AF02B8"/>
    <w:rsid w:val="00AF02D8"/>
    <w:rsid w:val="00AF0B6C"/>
    <w:rsid w:val="00AF0C57"/>
    <w:rsid w:val="00AF1023"/>
    <w:rsid w:val="00AF1692"/>
    <w:rsid w:val="00AF1701"/>
    <w:rsid w:val="00AF1705"/>
    <w:rsid w:val="00AF1CAE"/>
    <w:rsid w:val="00AF1CF9"/>
    <w:rsid w:val="00AF1E41"/>
    <w:rsid w:val="00AF1F9A"/>
    <w:rsid w:val="00AF1FDD"/>
    <w:rsid w:val="00AF2295"/>
    <w:rsid w:val="00AF2411"/>
    <w:rsid w:val="00AF261D"/>
    <w:rsid w:val="00AF26F3"/>
    <w:rsid w:val="00AF4729"/>
    <w:rsid w:val="00AF4D1B"/>
    <w:rsid w:val="00AF4D76"/>
    <w:rsid w:val="00AF4F80"/>
    <w:rsid w:val="00AF50ED"/>
    <w:rsid w:val="00AF5B9B"/>
    <w:rsid w:val="00AF5E7B"/>
    <w:rsid w:val="00AF5ECC"/>
    <w:rsid w:val="00AF5F04"/>
    <w:rsid w:val="00AF6095"/>
    <w:rsid w:val="00AF6305"/>
    <w:rsid w:val="00AF6475"/>
    <w:rsid w:val="00AF64A9"/>
    <w:rsid w:val="00AF672C"/>
    <w:rsid w:val="00AF6C95"/>
    <w:rsid w:val="00AF70A4"/>
    <w:rsid w:val="00AF717D"/>
    <w:rsid w:val="00AF7804"/>
    <w:rsid w:val="00AF78E0"/>
    <w:rsid w:val="00AF7C18"/>
    <w:rsid w:val="00AF7E85"/>
    <w:rsid w:val="00B000B2"/>
    <w:rsid w:val="00B002E8"/>
    <w:rsid w:val="00B00415"/>
    <w:rsid w:val="00B00672"/>
    <w:rsid w:val="00B0083A"/>
    <w:rsid w:val="00B0097F"/>
    <w:rsid w:val="00B00A83"/>
    <w:rsid w:val="00B00E5A"/>
    <w:rsid w:val="00B01038"/>
    <w:rsid w:val="00B012F7"/>
    <w:rsid w:val="00B01B4D"/>
    <w:rsid w:val="00B01E1F"/>
    <w:rsid w:val="00B01F9B"/>
    <w:rsid w:val="00B02473"/>
    <w:rsid w:val="00B025BF"/>
    <w:rsid w:val="00B02A82"/>
    <w:rsid w:val="00B02B37"/>
    <w:rsid w:val="00B02BB2"/>
    <w:rsid w:val="00B02D67"/>
    <w:rsid w:val="00B039BF"/>
    <w:rsid w:val="00B039E0"/>
    <w:rsid w:val="00B03EBB"/>
    <w:rsid w:val="00B03F72"/>
    <w:rsid w:val="00B03FED"/>
    <w:rsid w:val="00B042AA"/>
    <w:rsid w:val="00B0430A"/>
    <w:rsid w:val="00B0433E"/>
    <w:rsid w:val="00B04489"/>
    <w:rsid w:val="00B044CC"/>
    <w:rsid w:val="00B04C91"/>
    <w:rsid w:val="00B04F1B"/>
    <w:rsid w:val="00B04F22"/>
    <w:rsid w:val="00B0519A"/>
    <w:rsid w:val="00B0546E"/>
    <w:rsid w:val="00B05600"/>
    <w:rsid w:val="00B059DB"/>
    <w:rsid w:val="00B05EBD"/>
    <w:rsid w:val="00B05FE5"/>
    <w:rsid w:val="00B062B6"/>
    <w:rsid w:val="00B063CA"/>
    <w:rsid w:val="00B06571"/>
    <w:rsid w:val="00B068BA"/>
    <w:rsid w:val="00B06993"/>
    <w:rsid w:val="00B06A25"/>
    <w:rsid w:val="00B06A8B"/>
    <w:rsid w:val="00B06B28"/>
    <w:rsid w:val="00B07217"/>
    <w:rsid w:val="00B07672"/>
    <w:rsid w:val="00B0788D"/>
    <w:rsid w:val="00B078F6"/>
    <w:rsid w:val="00B07A78"/>
    <w:rsid w:val="00B07BB6"/>
    <w:rsid w:val="00B07D94"/>
    <w:rsid w:val="00B07EFB"/>
    <w:rsid w:val="00B104A9"/>
    <w:rsid w:val="00B106DE"/>
    <w:rsid w:val="00B10B6F"/>
    <w:rsid w:val="00B10CF6"/>
    <w:rsid w:val="00B10E15"/>
    <w:rsid w:val="00B10E2D"/>
    <w:rsid w:val="00B11415"/>
    <w:rsid w:val="00B115FA"/>
    <w:rsid w:val="00B11951"/>
    <w:rsid w:val="00B119EB"/>
    <w:rsid w:val="00B11AA7"/>
    <w:rsid w:val="00B11D4F"/>
    <w:rsid w:val="00B11FB2"/>
    <w:rsid w:val="00B121E1"/>
    <w:rsid w:val="00B123E6"/>
    <w:rsid w:val="00B12455"/>
    <w:rsid w:val="00B12A1C"/>
    <w:rsid w:val="00B12BD4"/>
    <w:rsid w:val="00B12C4F"/>
    <w:rsid w:val="00B12CE8"/>
    <w:rsid w:val="00B1302A"/>
    <w:rsid w:val="00B134AA"/>
    <w:rsid w:val="00B1365A"/>
    <w:rsid w:val="00B13851"/>
    <w:rsid w:val="00B139E5"/>
    <w:rsid w:val="00B13B1C"/>
    <w:rsid w:val="00B13C0B"/>
    <w:rsid w:val="00B13F08"/>
    <w:rsid w:val="00B14376"/>
    <w:rsid w:val="00B1451F"/>
    <w:rsid w:val="00B14946"/>
    <w:rsid w:val="00B14B5F"/>
    <w:rsid w:val="00B157A5"/>
    <w:rsid w:val="00B15ECB"/>
    <w:rsid w:val="00B15FCA"/>
    <w:rsid w:val="00B163C0"/>
    <w:rsid w:val="00B1651B"/>
    <w:rsid w:val="00B16CD2"/>
    <w:rsid w:val="00B16EFA"/>
    <w:rsid w:val="00B173CA"/>
    <w:rsid w:val="00B175D5"/>
    <w:rsid w:val="00B17609"/>
    <w:rsid w:val="00B177C7"/>
    <w:rsid w:val="00B179B8"/>
    <w:rsid w:val="00B17DF4"/>
    <w:rsid w:val="00B20048"/>
    <w:rsid w:val="00B20652"/>
    <w:rsid w:val="00B20804"/>
    <w:rsid w:val="00B211FA"/>
    <w:rsid w:val="00B21534"/>
    <w:rsid w:val="00B2154B"/>
    <w:rsid w:val="00B2154D"/>
    <w:rsid w:val="00B21D0C"/>
    <w:rsid w:val="00B21E3E"/>
    <w:rsid w:val="00B21F90"/>
    <w:rsid w:val="00B22291"/>
    <w:rsid w:val="00B2235A"/>
    <w:rsid w:val="00B228FB"/>
    <w:rsid w:val="00B22AF9"/>
    <w:rsid w:val="00B235CF"/>
    <w:rsid w:val="00B23F85"/>
    <w:rsid w:val="00B23F9A"/>
    <w:rsid w:val="00B23FDD"/>
    <w:rsid w:val="00B24168"/>
    <w:rsid w:val="00B2417B"/>
    <w:rsid w:val="00B242A9"/>
    <w:rsid w:val="00B245E0"/>
    <w:rsid w:val="00B247BE"/>
    <w:rsid w:val="00B24946"/>
    <w:rsid w:val="00B24A1F"/>
    <w:rsid w:val="00B24C92"/>
    <w:rsid w:val="00B24E6F"/>
    <w:rsid w:val="00B24E70"/>
    <w:rsid w:val="00B25017"/>
    <w:rsid w:val="00B2507D"/>
    <w:rsid w:val="00B25448"/>
    <w:rsid w:val="00B255E3"/>
    <w:rsid w:val="00B256FF"/>
    <w:rsid w:val="00B25838"/>
    <w:rsid w:val="00B2656B"/>
    <w:rsid w:val="00B26CB5"/>
    <w:rsid w:val="00B26D3B"/>
    <w:rsid w:val="00B26E74"/>
    <w:rsid w:val="00B271B1"/>
    <w:rsid w:val="00B2752E"/>
    <w:rsid w:val="00B27658"/>
    <w:rsid w:val="00B2771C"/>
    <w:rsid w:val="00B2787B"/>
    <w:rsid w:val="00B2794F"/>
    <w:rsid w:val="00B27E0C"/>
    <w:rsid w:val="00B27E8D"/>
    <w:rsid w:val="00B27F45"/>
    <w:rsid w:val="00B30250"/>
    <w:rsid w:val="00B306E5"/>
    <w:rsid w:val="00B307CC"/>
    <w:rsid w:val="00B308FF"/>
    <w:rsid w:val="00B30B39"/>
    <w:rsid w:val="00B30ECE"/>
    <w:rsid w:val="00B311CC"/>
    <w:rsid w:val="00B31219"/>
    <w:rsid w:val="00B31411"/>
    <w:rsid w:val="00B3196D"/>
    <w:rsid w:val="00B31A8A"/>
    <w:rsid w:val="00B31FA2"/>
    <w:rsid w:val="00B3204D"/>
    <w:rsid w:val="00B3227B"/>
    <w:rsid w:val="00B326B7"/>
    <w:rsid w:val="00B327E5"/>
    <w:rsid w:val="00B32A84"/>
    <w:rsid w:val="00B32B2D"/>
    <w:rsid w:val="00B32B8F"/>
    <w:rsid w:val="00B33131"/>
    <w:rsid w:val="00B33636"/>
    <w:rsid w:val="00B33678"/>
    <w:rsid w:val="00B33BFE"/>
    <w:rsid w:val="00B33D31"/>
    <w:rsid w:val="00B341BD"/>
    <w:rsid w:val="00B3422D"/>
    <w:rsid w:val="00B34369"/>
    <w:rsid w:val="00B34395"/>
    <w:rsid w:val="00B34565"/>
    <w:rsid w:val="00B346FC"/>
    <w:rsid w:val="00B34DFF"/>
    <w:rsid w:val="00B35124"/>
    <w:rsid w:val="00B3532B"/>
    <w:rsid w:val="00B353F8"/>
    <w:rsid w:val="00B3588E"/>
    <w:rsid w:val="00B35BD7"/>
    <w:rsid w:val="00B35CD9"/>
    <w:rsid w:val="00B36357"/>
    <w:rsid w:val="00B366CD"/>
    <w:rsid w:val="00B367B8"/>
    <w:rsid w:val="00B36866"/>
    <w:rsid w:val="00B36D07"/>
    <w:rsid w:val="00B373AD"/>
    <w:rsid w:val="00B37678"/>
    <w:rsid w:val="00B3778A"/>
    <w:rsid w:val="00B378B9"/>
    <w:rsid w:val="00B37940"/>
    <w:rsid w:val="00B37CBF"/>
    <w:rsid w:val="00B37CE2"/>
    <w:rsid w:val="00B37D41"/>
    <w:rsid w:val="00B37D67"/>
    <w:rsid w:val="00B37E2E"/>
    <w:rsid w:val="00B402D7"/>
    <w:rsid w:val="00B412D2"/>
    <w:rsid w:val="00B4196E"/>
    <w:rsid w:val="00B4198F"/>
    <w:rsid w:val="00B41AB9"/>
    <w:rsid w:val="00B41B90"/>
    <w:rsid w:val="00B41F3D"/>
    <w:rsid w:val="00B42138"/>
    <w:rsid w:val="00B42269"/>
    <w:rsid w:val="00B42352"/>
    <w:rsid w:val="00B423FD"/>
    <w:rsid w:val="00B4263C"/>
    <w:rsid w:val="00B428FD"/>
    <w:rsid w:val="00B429FD"/>
    <w:rsid w:val="00B42ACC"/>
    <w:rsid w:val="00B431E8"/>
    <w:rsid w:val="00B4363A"/>
    <w:rsid w:val="00B4381E"/>
    <w:rsid w:val="00B43904"/>
    <w:rsid w:val="00B43A59"/>
    <w:rsid w:val="00B43F15"/>
    <w:rsid w:val="00B44073"/>
    <w:rsid w:val="00B44106"/>
    <w:rsid w:val="00B4416D"/>
    <w:rsid w:val="00B44D67"/>
    <w:rsid w:val="00B44E66"/>
    <w:rsid w:val="00B45141"/>
    <w:rsid w:val="00B45459"/>
    <w:rsid w:val="00B45920"/>
    <w:rsid w:val="00B45AFD"/>
    <w:rsid w:val="00B45B79"/>
    <w:rsid w:val="00B45CB0"/>
    <w:rsid w:val="00B45ED3"/>
    <w:rsid w:val="00B471C2"/>
    <w:rsid w:val="00B47A58"/>
    <w:rsid w:val="00B47BC4"/>
    <w:rsid w:val="00B47C49"/>
    <w:rsid w:val="00B50043"/>
    <w:rsid w:val="00B500B6"/>
    <w:rsid w:val="00B502B6"/>
    <w:rsid w:val="00B50346"/>
    <w:rsid w:val="00B50D3D"/>
    <w:rsid w:val="00B5103C"/>
    <w:rsid w:val="00B512C7"/>
    <w:rsid w:val="00B514C0"/>
    <w:rsid w:val="00B51750"/>
    <w:rsid w:val="00B5183D"/>
    <w:rsid w:val="00B519CD"/>
    <w:rsid w:val="00B51B1D"/>
    <w:rsid w:val="00B51BA6"/>
    <w:rsid w:val="00B51E24"/>
    <w:rsid w:val="00B52227"/>
    <w:rsid w:val="00B5273A"/>
    <w:rsid w:val="00B527D3"/>
    <w:rsid w:val="00B529BC"/>
    <w:rsid w:val="00B52E57"/>
    <w:rsid w:val="00B52E82"/>
    <w:rsid w:val="00B5338D"/>
    <w:rsid w:val="00B541EB"/>
    <w:rsid w:val="00B542C1"/>
    <w:rsid w:val="00B54899"/>
    <w:rsid w:val="00B549ED"/>
    <w:rsid w:val="00B54B0A"/>
    <w:rsid w:val="00B54C61"/>
    <w:rsid w:val="00B54CB8"/>
    <w:rsid w:val="00B54D64"/>
    <w:rsid w:val="00B55185"/>
    <w:rsid w:val="00B5555F"/>
    <w:rsid w:val="00B56533"/>
    <w:rsid w:val="00B567D0"/>
    <w:rsid w:val="00B56C23"/>
    <w:rsid w:val="00B56EF7"/>
    <w:rsid w:val="00B56FAF"/>
    <w:rsid w:val="00B57064"/>
    <w:rsid w:val="00B57329"/>
    <w:rsid w:val="00B5737F"/>
    <w:rsid w:val="00B57445"/>
    <w:rsid w:val="00B57800"/>
    <w:rsid w:val="00B57844"/>
    <w:rsid w:val="00B60560"/>
    <w:rsid w:val="00B605D3"/>
    <w:rsid w:val="00B6061A"/>
    <w:rsid w:val="00B60ABE"/>
    <w:rsid w:val="00B60E61"/>
    <w:rsid w:val="00B61DD1"/>
    <w:rsid w:val="00B621ED"/>
    <w:rsid w:val="00B62253"/>
    <w:rsid w:val="00B6255F"/>
    <w:rsid w:val="00B62732"/>
    <w:rsid w:val="00B62B50"/>
    <w:rsid w:val="00B62CD9"/>
    <w:rsid w:val="00B62D7C"/>
    <w:rsid w:val="00B63159"/>
    <w:rsid w:val="00B635B7"/>
    <w:rsid w:val="00B635CF"/>
    <w:rsid w:val="00B63662"/>
    <w:rsid w:val="00B6366F"/>
    <w:rsid w:val="00B636E9"/>
    <w:rsid w:val="00B63AE8"/>
    <w:rsid w:val="00B63B2C"/>
    <w:rsid w:val="00B63C8B"/>
    <w:rsid w:val="00B64058"/>
    <w:rsid w:val="00B64206"/>
    <w:rsid w:val="00B64327"/>
    <w:rsid w:val="00B64446"/>
    <w:rsid w:val="00B646B2"/>
    <w:rsid w:val="00B64E07"/>
    <w:rsid w:val="00B64F89"/>
    <w:rsid w:val="00B653A7"/>
    <w:rsid w:val="00B65670"/>
    <w:rsid w:val="00B65950"/>
    <w:rsid w:val="00B65A2A"/>
    <w:rsid w:val="00B65D14"/>
    <w:rsid w:val="00B65EEB"/>
    <w:rsid w:val="00B663BD"/>
    <w:rsid w:val="00B663C2"/>
    <w:rsid w:val="00B663C3"/>
    <w:rsid w:val="00B666E2"/>
    <w:rsid w:val="00B6671E"/>
    <w:rsid w:val="00B66841"/>
    <w:rsid w:val="00B66ACF"/>
    <w:rsid w:val="00B66B86"/>
    <w:rsid w:val="00B66D83"/>
    <w:rsid w:val="00B66D9C"/>
    <w:rsid w:val="00B67024"/>
    <w:rsid w:val="00B672A7"/>
    <w:rsid w:val="00B672C0"/>
    <w:rsid w:val="00B6734A"/>
    <w:rsid w:val="00B67697"/>
    <w:rsid w:val="00B676FD"/>
    <w:rsid w:val="00B678B6"/>
    <w:rsid w:val="00B678FE"/>
    <w:rsid w:val="00B67C13"/>
    <w:rsid w:val="00B67E51"/>
    <w:rsid w:val="00B67F14"/>
    <w:rsid w:val="00B70605"/>
    <w:rsid w:val="00B70748"/>
    <w:rsid w:val="00B70B94"/>
    <w:rsid w:val="00B70C20"/>
    <w:rsid w:val="00B70D7E"/>
    <w:rsid w:val="00B70E85"/>
    <w:rsid w:val="00B70EBA"/>
    <w:rsid w:val="00B7117D"/>
    <w:rsid w:val="00B7129E"/>
    <w:rsid w:val="00B71915"/>
    <w:rsid w:val="00B71E7A"/>
    <w:rsid w:val="00B7269D"/>
    <w:rsid w:val="00B72AD0"/>
    <w:rsid w:val="00B72EEE"/>
    <w:rsid w:val="00B73447"/>
    <w:rsid w:val="00B7353C"/>
    <w:rsid w:val="00B737B9"/>
    <w:rsid w:val="00B7384D"/>
    <w:rsid w:val="00B7393F"/>
    <w:rsid w:val="00B73C2E"/>
    <w:rsid w:val="00B73F9C"/>
    <w:rsid w:val="00B7428C"/>
    <w:rsid w:val="00B74AE5"/>
    <w:rsid w:val="00B74B4C"/>
    <w:rsid w:val="00B74BF9"/>
    <w:rsid w:val="00B74F35"/>
    <w:rsid w:val="00B752DE"/>
    <w:rsid w:val="00B75646"/>
    <w:rsid w:val="00B75724"/>
    <w:rsid w:val="00B757DF"/>
    <w:rsid w:val="00B759A0"/>
    <w:rsid w:val="00B75BB3"/>
    <w:rsid w:val="00B7629E"/>
    <w:rsid w:val="00B76378"/>
    <w:rsid w:val="00B76A4C"/>
    <w:rsid w:val="00B76BF1"/>
    <w:rsid w:val="00B76F17"/>
    <w:rsid w:val="00B771AD"/>
    <w:rsid w:val="00B77A35"/>
    <w:rsid w:val="00B77D56"/>
    <w:rsid w:val="00B8004C"/>
    <w:rsid w:val="00B8045D"/>
    <w:rsid w:val="00B80535"/>
    <w:rsid w:val="00B805F7"/>
    <w:rsid w:val="00B8064D"/>
    <w:rsid w:val="00B80E90"/>
    <w:rsid w:val="00B81033"/>
    <w:rsid w:val="00B81056"/>
    <w:rsid w:val="00B812AF"/>
    <w:rsid w:val="00B81872"/>
    <w:rsid w:val="00B818B8"/>
    <w:rsid w:val="00B81A13"/>
    <w:rsid w:val="00B821DA"/>
    <w:rsid w:val="00B822E6"/>
    <w:rsid w:val="00B823E5"/>
    <w:rsid w:val="00B828DF"/>
    <w:rsid w:val="00B829AA"/>
    <w:rsid w:val="00B83275"/>
    <w:rsid w:val="00B834A4"/>
    <w:rsid w:val="00B835F0"/>
    <w:rsid w:val="00B83640"/>
    <w:rsid w:val="00B83F82"/>
    <w:rsid w:val="00B84547"/>
    <w:rsid w:val="00B846B6"/>
    <w:rsid w:val="00B84BA3"/>
    <w:rsid w:val="00B84C0D"/>
    <w:rsid w:val="00B84EE0"/>
    <w:rsid w:val="00B853CF"/>
    <w:rsid w:val="00B85B16"/>
    <w:rsid w:val="00B85DC5"/>
    <w:rsid w:val="00B86BF2"/>
    <w:rsid w:val="00B87220"/>
    <w:rsid w:val="00B8740B"/>
    <w:rsid w:val="00B877F2"/>
    <w:rsid w:val="00B878BA"/>
    <w:rsid w:val="00B878EA"/>
    <w:rsid w:val="00B878FD"/>
    <w:rsid w:val="00B87BA4"/>
    <w:rsid w:val="00B90659"/>
    <w:rsid w:val="00B90729"/>
    <w:rsid w:val="00B907DA"/>
    <w:rsid w:val="00B908A4"/>
    <w:rsid w:val="00B90B09"/>
    <w:rsid w:val="00B90BE4"/>
    <w:rsid w:val="00B91088"/>
    <w:rsid w:val="00B91144"/>
    <w:rsid w:val="00B9149B"/>
    <w:rsid w:val="00B916B2"/>
    <w:rsid w:val="00B91923"/>
    <w:rsid w:val="00B91DAB"/>
    <w:rsid w:val="00B91DCB"/>
    <w:rsid w:val="00B921DA"/>
    <w:rsid w:val="00B922BF"/>
    <w:rsid w:val="00B92622"/>
    <w:rsid w:val="00B92697"/>
    <w:rsid w:val="00B926B6"/>
    <w:rsid w:val="00B927F6"/>
    <w:rsid w:val="00B928A5"/>
    <w:rsid w:val="00B92A57"/>
    <w:rsid w:val="00B92BE4"/>
    <w:rsid w:val="00B92E7C"/>
    <w:rsid w:val="00B93548"/>
    <w:rsid w:val="00B9360F"/>
    <w:rsid w:val="00B93698"/>
    <w:rsid w:val="00B93772"/>
    <w:rsid w:val="00B939B2"/>
    <w:rsid w:val="00B93A75"/>
    <w:rsid w:val="00B93FBE"/>
    <w:rsid w:val="00B9408C"/>
    <w:rsid w:val="00B94489"/>
    <w:rsid w:val="00B9474E"/>
    <w:rsid w:val="00B94C5E"/>
    <w:rsid w:val="00B94CE1"/>
    <w:rsid w:val="00B950BC"/>
    <w:rsid w:val="00B9535E"/>
    <w:rsid w:val="00B95BD8"/>
    <w:rsid w:val="00B96080"/>
    <w:rsid w:val="00B962B5"/>
    <w:rsid w:val="00B96C13"/>
    <w:rsid w:val="00B96C76"/>
    <w:rsid w:val="00B96D82"/>
    <w:rsid w:val="00B96E06"/>
    <w:rsid w:val="00B96F78"/>
    <w:rsid w:val="00B9714C"/>
    <w:rsid w:val="00B97359"/>
    <w:rsid w:val="00B97601"/>
    <w:rsid w:val="00B97817"/>
    <w:rsid w:val="00B97A5E"/>
    <w:rsid w:val="00B97D69"/>
    <w:rsid w:val="00B97D8F"/>
    <w:rsid w:val="00B97E55"/>
    <w:rsid w:val="00B97F2B"/>
    <w:rsid w:val="00BA07C3"/>
    <w:rsid w:val="00BA0953"/>
    <w:rsid w:val="00BA0A33"/>
    <w:rsid w:val="00BA0D25"/>
    <w:rsid w:val="00BA1016"/>
    <w:rsid w:val="00BA1110"/>
    <w:rsid w:val="00BA1267"/>
    <w:rsid w:val="00BA1275"/>
    <w:rsid w:val="00BA159C"/>
    <w:rsid w:val="00BA1A25"/>
    <w:rsid w:val="00BA1AF4"/>
    <w:rsid w:val="00BA262D"/>
    <w:rsid w:val="00BA26F6"/>
    <w:rsid w:val="00BA29AD"/>
    <w:rsid w:val="00BA2DF3"/>
    <w:rsid w:val="00BA33CF"/>
    <w:rsid w:val="00BA3440"/>
    <w:rsid w:val="00BA37FF"/>
    <w:rsid w:val="00BA3CC4"/>
    <w:rsid w:val="00BA3E38"/>
    <w:rsid w:val="00BA3F8D"/>
    <w:rsid w:val="00BA4032"/>
    <w:rsid w:val="00BA410C"/>
    <w:rsid w:val="00BA44F7"/>
    <w:rsid w:val="00BA46A9"/>
    <w:rsid w:val="00BA478F"/>
    <w:rsid w:val="00BA52FE"/>
    <w:rsid w:val="00BA563C"/>
    <w:rsid w:val="00BA58C1"/>
    <w:rsid w:val="00BA5A68"/>
    <w:rsid w:val="00BA66A3"/>
    <w:rsid w:val="00BA6B02"/>
    <w:rsid w:val="00BA6B08"/>
    <w:rsid w:val="00BA6B34"/>
    <w:rsid w:val="00BA6DAF"/>
    <w:rsid w:val="00BA6EE7"/>
    <w:rsid w:val="00BA7B0C"/>
    <w:rsid w:val="00BA7DEA"/>
    <w:rsid w:val="00BB00E3"/>
    <w:rsid w:val="00BB015B"/>
    <w:rsid w:val="00BB01C1"/>
    <w:rsid w:val="00BB0420"/>
    <w:rsid w:val="00BB04BD"/>
    <w:rsid w:val="00BB0656"/>
    <w:rsid w:val="00BB0B9D"/>
    <w:rsid w:val="00BB11B1"/>
    <w:rsid w:val="00BB130B"/>
    <w:rsid w:val="00BB1355"/>
    <w:rsid w:val="00BB1371"/>
    <w:rsid w:val="00BB15D1"/>
    <w:rsid w:val="00BB18FE"/>
    <w:rsid w:val="00BB19F5"/>
    <w:rsid w:val="00BB1B4E"/>
    <w:rsid w:val="00BB1F3B"/>
    <w:rsid w:val="00BB23BE"/>
    <w:rsid w:val="00BB24F6"/>
    <w:rsid w:val="00BB261F"/>
    <w:rsid w:val="00BB2648"/>
    <w:rsid w:val="00BB285B"/>
    <w:rsid w:val="00BB2CF2"/>
    <w:rsid w:val="00BB2F28"/>
    <w:rsid w:val="00BB2FF9"/>
    <w:rsid w:val="00BB3440"/>
    <w:rsid w:val="00BB3490"/>
    <w:rsid w:val="00BB394B"/>
    <w:rsid w:val="00BB3AC7"/>
    <w:rsid w:val="00BB3F22"/>
    <w:rsid w:val="00BB4193"/>
    <w:rsid w:val="00BB4710"/>
    <w:rsid w:val="00BB4741"/>
    <w:rsid w:val="00BB482B"/>
    <w:rsid w:val="00BB48F3"/>
    <w:rsid w:val="00BB4F6E"/>
    <w:rsid w:val="00BB5049"/>
    <w:rsid w:val="00BB53A6"/>
    <w:rsid w:val="00BB5656"/>
    <w:rsid w:val="00BB57F3"/>
    <w:rsid w:val="00BB602C"/>
    <w:rsid w:val="00BB61C1"/>
    <w:rsid w:val="00BB6CC5"/>
    <w:rsid w:val="00BB7382"/>
    <w:rsid w:val="00BB73E6"/>
    <w:rsid w:val="00BB74AC"/>
    <w:rsid w:val="00BB77A1"/>
    <w:rsid w:val="00BB7A10"/>
    <w:rsid w:val="00BB7B33"/>
    <w:rsid w:val="00BB7B8F"/>
    <w:rsid w:val="00BB7E4E"/>
    <w:rsid w:val="00BC028F"/>
    <w:rsid w:val="00BC0883"/>
    <w:rsid w:val="00BC092F"/>
    <w:rsid w:val="00BC0A49"/>
    <w:rsid w:val="00BC0E44"/>
    <w:rsid w:val="00BC14CF"/>
    <w:rsid w:val="00BC154F"/>
    <w:rsid w:val="00BC163E"/>
    <w:rsid w:val="00BC1BE6"/>
    <w:rsid w:val="00BC1E76"/>
    <w:rsid w:val="00BC2502"/>
    <w:rsid w:val="00BC2994"/>
    <w:rsid w:val="00BC2BB5"/>
    <w:rsid w:val="00BC2DF4"/>
    <w:rsid w:val="00BC3208"/>
    <w:rsid w:val="00BC33C8"/>
    <w:rsid w:val="00BC379F"/>
    <w:rsid w:val="00BC3D0D"/>
    <w:rsid w:val="00BC409A"/>
    <w:rsid w:val="00BC4302"/>
    <w:rsid w:val="00BC4BE3"/>
    <w:rsid w:val="00BC4F60"/>
    <w:rsid w:val="00BC5149"/>
    <w:rsid w:val="00BC5261"/>
    <w:rsid w:val="00BC526A"/>
    <w:rsid w:val="00BC52D4"/>
    <w:rsid w:val="00BC57FA"/>
    <w:rsid w:val="00BC5ABB"/>
    <w:rsid w:val="00BC60BE"/>
    <w:rsid w:val="00BC61B2"/>
    <w:rsid w:val="00BC6307"/>
    <w:rsid w:val="00BC65B3"/>
    <w:rsid w:val="00BC6F1B"/>
    <w:rsid w:val="00BC733B"/>
    <w:rsid w:val="00BC7468"/>
    <w:rsid w:val="00BC7D4F"/>
    <w:rsid w:val="00BC7ED7"/>
    <w:rsid w:val="00BD0094"/>
    <w:rsid w:val="00BD0202"/>
    <w:rsid w:val="00BD0233"/>
    <w:rsid w:val="00BD05E8"/>
    <w:rsid w:val="00BD060D"/>
    <w:rsid w:val="00BD069A"/>
    <w:rsid w:val="00BD0CB7"/>
    <w:rsid w:val="00BD1038"/>
    <w:rsid w:val="00BD11AA"/>
    <w:rsid w:val="00BD1605"/>
    <w:rsid w:val="00BD175A"/>
    <w:rsid w:val="00BD1A34"/>
    <w:rsid w:val="00BD1B33"/>
    <w:rsid w:val="00BD20B8"/>
    <w:rsid w:val="00BD23D6"/>
    <w:rsid w:val="00BD24E7"/>
    <w:rsid w:val="00BD2526"/>
    <w:rsid w:val="00BD2850"/>
    <w:rsid w:val="00BD290D"/>
    <w:rsid w:val="00BD2A24"/>
    <w:rsid w:val="00BD2CE7"/>
    <w:rsid w:val="00BD2D1E"/>
    <w:rsid w:val="00BD2FDF"/>
    <w:rsid w:val="00BD2FFA"/>
    <w:rsid w:val="00BD316E"/>
    <w:rsid w:val="00BD34A6"/>
    <w:rsid w:val="00BD3520"/>
    <w:rsid w:val="00BD3697"/>
    <w:rsid w:val="00BD39D4"/>
    <w:rsid w:val="00BD3A3B"/>
    <w:rsid w:val="00BD3B38"/>
    <w:rsid w:val="00BD3CE5"/>
    <w:rsid w:val="00BD3D5F"/>
    <w:rsid w:val="00BD3E42"/>
    <w:rsid w:val="00BD3F0C"/>
    <w:rsid w:val="00BD3F31"/>
    <w:rsid w:val="00BD4734"/>
    <w:rsid w:val="00BD48A5"/>
    <w:rsid w:val="00BD4A34"/>
    <w:rsid w:val="00BD4AEB"/>
    <w:rsid w:val="00BD4C41"/>
    <w:rsid w:val="00BD4C72"/>
    <w:rsid w:val="00BD5383"/>
    <w:rsid w:val="00BD5A35"/>
    <w:rsid w:val="00BD5AB4"/>
    <w:rsid w:val="00BD5C58"/>
    <w:rsid w:val="00BD6820"/>
    <w:rsid w:val="00BD6E12"/>
    <w:rsid w:val="00BD6E5B"/>
    <w:rsid w:val="00BD6EF3"/>
    <w:rsid w:val="00BD748C"/>
    <w:rsid w:val="00BD74DF"/>
    <w:rsid w:val="00BD7511"/>
    <w:rsid w:val="00BD7527"/>
    <w:rsid w:val="00BD7A60"/>
    <w:rsid w:val="00BD7BC0"/>
    <w:rsid w:val="00BD7BEF"/>
    <w:rsid w:val="00BD7FB2"/>
    <w:rsid w:val="00BD7FF8"/>
    <w:rsid w:val="00BE003D"/>
    <w:rsid w:val="00BE0176"/>
    <w:rsid w:val="00BE0446"/>
    <w:rsid w:val="00BE082C"/>
    <w:rsid w:val="00BE089D"/>
    <w:rsid w:val="00BE08B4"/>
    <w:rsid w:val="00BE0937"/>
    <w:rsid w:val="00BE0C69"/>
    <w:rsid w:val="00BE0D01"/>
    <w:rsid w:val="00BE0D2F"/>
    <w:rsid w:val="00BE0F78"/>
    <w:rsid w:val="00BE1227"/>
    <w:rsid w:val="00BE1240"/>
    <w:rsid w:val="00BE208E"/>
    <w:rsid w:val="00BE2221"/>
    <w:rsid w:val="00BE2367"/>
    <w:rsid w:val="00BE28D2"/>
    <w:rsid w:val="00BE2A70"/>
    <w:rsid w:val="00BE2C11"/>
    <w:rsid w:val="00BE3072"/>
    <w:rsid w:val="00BE32BE"/>
    <w:rsid w:val="00BE3327"/>
    <w:rsid w:val="00BE3761"/>
    <w:rsid w:val="00BE405D"/>
    <w:rsid w:val="00BE42F8"/>
    <w:rsid w:val="00BE4897"/>
    <w:rsid w:val="00BE4A64"/>
    <w:rsid w:val="00BE4C2D"/>
    <w:rsid w:val="00BE4C6A"/>
    <w:rsid w:val="00BE517F"/>
    <w:rsid w:val="00BE5197"/>
    <w:rsid w:val="00BE53E5"/>
    <w:rsid w:val="00BE5510"/>
    <w:rsid w:val="00BE5E43"/>
    <w:rsid w:val="00BE6036"/>
    <w:rsid w:val="00BE61D3"/>
    <w:rsid w:val="00BE656E"/>
    <w:rsid w:val="00BE6B7F"/>
    <w:rsid w:val="00BE746C"/>
    <w:rsid w:val="00BE765D"/>
    <w:rsid w:val="00BE7CD9"/>
    <w:rsid w:val="00BE7F4D"/>
    <w:rsid w:val="00BF00CA"/>
    <w:rsid w:val="00BF0208"/>
    <w:rsid w:val="00BF0291"/>
    <w:rsid w:val="00BF02E7"/>
    <w:rsid w:val="00BF0454"/>
    <w:rsid w:val="00BF0594"/>
    <w:rsid w:val="00BF08B8"/>
    <w:rsid w:val="00BF08C4"/>
    <w:rsid w:val="00BF0C67"/>
    <w:rsid w:val="00BF1840"/>
    <w:rsid w:val="00BF1D90"/>
    <w:rsid w:val="00BF232B"/>
    <w:rsid w:val="00BF2674"/>
    <w:rsid w:val="00BF2709"/>
    <w:rsid w:val="00BF28A0"/>
    <w:rsid w:val="00BF2A1C"/>
    <w:rsid w:val="00BF2B3D"/>
    <w:rsid w:val="00BF2CB3"/>
    <w:rsid w:val="00BF2F0B"/>
    <w:rsid w:val="00BF2FBE"/>
    <w:rsid w:val="00BF319A"/>
    <w:rsid w:val="00BF33F6"/>
    <w:rsid w:val="00BF3AE9"/>
    <w:rsid w:val="00BF461C"/>
    <w:rsid w:val="00BF48B1"/>
    <w:rsid w:val="00BF4F33"/>
    <w:rsid w:val="00BF5225"/>
    <w:rsid w:val="00BF557D"/>
    <w:rsid w:val="00BF55C6"/>
    <w:rsid w:val="00BF579A"/>
    <w:rsid w:val="00BF588D"/>
    <w:rsid w:val="00BF5B04"/>
    <w:rsid w:val="00BF5BE2"/>
    <w:rsid w:val="00BF5CCE"/>
    <w:rsid w:val="00BF5E65"/>
    <w:rsid w:val="00BF60EF"/>
    <w:rsid w:val="00BF658D"/>
    <w:rsid w:val="00BF65B9"/>
    <w:rsid w:val="00BF671A"/>
    <w:rsid w:val="00BF6951"/>
    <w:rsid w:val="00BF6954"/>
    <w:rsid w:val="00BF6E68"/>
    <w:rsid w:val="00BF734C"/>
    <w:rsid w:val="00BF75D4"/>
    <w:rsid w:val="00BF7DE1"/>
    <w:rsid w:val="00BF7DFE"/>
    <w:rsid w:val="00BF7F58"/>
    <w:rsid w:val="00C001B5"/>
    <w:rsid w:val="00C001DB"/>
    <w:rsid w:val="00C00394"/>
    <w:rsid w:val="00C00428"/>
    <w:rsid w:val="00C0045B"/>
    <w:rsid w:val="00C00521"/>
    <w:rsid w:val="00C0068E"/>
    <w:rsid w:val="00C006E4"/>
    <w:rsid w:val="00C00E8E"/>
    <w:rsid w:val="00C00F28"/>
    <w:rsid w:val="00C01381"/>
    <w:rsid w:val="00C01A33"/>
    <w:rsid w:val="00C01AB1"/>
    <w:rsid w:val="00C01D2E"/>
    <w:rsid w:val="00C024D4"/>
    <w:rsid w:val="00C02565"/>
    <w:rsid w:val="00C026A0"/>
    <w:rsid w:val="00C0287B"/>
    <w:rsid w:val="00C02AC9"/>
    <w:rsid w:val="00C02FF0"/>
    <w:rsid w:val="00C0322C"/>
    <w:rsid w:val="00C03277"/>
    <w:rsid w:val="00C03589"/>
    <w:rsid w:val="00C0399F"/>
    <w:rsid w:val="00C03A02"/>
    <w:rsid w:val="00C03CD5"/>
    <w:rsid w:val="00C03F6F"/>
    <w:rsid w:val="00C0408F"/>
    <w:rsid w:val="00C041D9"/>
    <w:rsid w:val="00C04473"/>
    <w:rsid w:val="00C04919"/>
    <w:rsid w:val="00C04C08"/>
    <w:rsid w:val="00C04E82"/>
    <w:rsid w:val="00C051EF"/>
    <w:rsid w:val="00C05531"/>
    <w:rsid w:val="00C05545"/>
    <w:rsid w:val="00C055C5"/>
    <w:rsid w:val="00C05931"/>
    <w:rsid w:val="00C05A15"/>
    <w:rsid w:val="00C0605A"/>
    <w:rsid w:val="00C06137"/>
    <w:rsid w:val="00C06356"/>
    <w:rsid w:val="00C0662A"/>
    <w:rsid w:val="00C06929"/>
    <w:rsid w:val="00C06CBD"/>
    <w:rsid w:val="00C074C0"/>
    <w:rsid w:val="00C07542"/>
    <w:rsid w:val="00C079B8"/>
    <w:rsid w:val="00C07AC7"/>
    <w:rsid w:val="00C07C8A"/>
    <w:rsid w:val="00C07CBE"/>
    <w:rsid w:val="00C07DC8"/>
    <w:rsid w:val="00C07DE6"/>
    <w:rsid w:val="00C07E9E"/>
    <w:rsid w:val="00C07FEE"/>
    <w:rsid w:val="00C10037"/>
    <w:rsid w:val="00C101DB"/>
    <w:rsid w:val="00C10426"/>
    <w:rsid w:val="00C10966"/>
    <w:rsid w:val="00C10A4B"/>
    <w:rsid w:val="00C10B82"/>
    <w:rsid w:val="00C10E10"/>
    <w:rsid w:val="00C111BB"/>
    <w:rsid w:val="00C114A3"/>
    <w:rsid w:val="00C1152A"/>
    <w:rsid w:val="00C115E1"/>
    <w:rsid w:val="00C117A0"/>
    <w:rsid w:val="00C11A36"/>
    <w:rsid w:val="00C11C4F"/>
    <w:rsid w:val="00C11F9E"/>
    <w:rsid w:val="00C123EA"/>
    <w:rsid w:val="00C123EE"/>
    <w:rsid w:val="00C12577"/>
    <w:rsid w:val="00C12A49"/>
    <w:rsid w:val="00C1334E"/>
    <w:rsid w:val="00C133EE"/>
    <w:rsid w:val="00C1349D"/>
    <w:rsid w:val="00C1366B"/>
    <w:rsid w:val="00C13755"/>
    <w:rsid w:val="00C13A70"/>
    <w:rsid w:val="00C13AD6"/>
    <w:rsid w:val="00C13B1E"/>
    <w:rsid w:val="00C13FBB"/>
    <w:rsid w:val="00C140A2"/>
    <w:rsid w:val="00C144F1"/>
    <w:rsid w:val="00C149D0"/>
    <w:rsid w:val="00C152A8"/>
    <w:rsid w:val="00C15396"/>
    <w:rsid w:val="00C153E5"/>
    <w:rsid w:val="00C1544E"/>
    <w:rsid w:val="00C15481"/>
    <w:rsid w:val="00C15ABE"/>
    <w:rsid w:val="00C15BFB"/>
    <w:rsid w:val="00C15C70"/>
    <w:rsid w:val="00C15DC8"/>
    <w:rsid w:val="00C1630B"/>
    <w:rsid w:val="00C16A6A"/>
    <w:rsid w:val="00C16D63"/>
    <w:rsid w:val="00C16F8F"/>
    <w:rsid w:val="00C1781C"/>
    <w:rsid w:val="00C17931"/>
    <w:rsid w:val="00C17D74"/>
    <w:rsid w:val="00C17EE8"/>
    <w:rsid w:val="00C20106"/>
    <w:rsid w:val="00C20917"/>
    <w:rsid w:val="00C2096C"/>
    <w:rsid w:val="00C209CB"/>
    <w:rsid w:val="00C20C2C"/>
    <w:rsid w:val="00C20C33"/>
    <w:rsid w:val="00C20D23"/>
    <w:rsid w:val="00C213E0"/>
    <w:rsid w:val="00C217D6"/>
    <w:rsid w:val="00C21816"/>
    <w:rsid w:val="00C218C0"/>
    <w:rsid w:val="00C2219F"/>
    <w:rsid w:val="00C22255"/>
    <w:rsid w:val="00C222CF"/>
    <w:rsid w:val="00C22825"/>
    <w:rsid w:val="00C22D95"/>
    <w:rsid w:val="00C22FE3"/>
    <w:rsid w:val="00C2354C"/>
    <w:rsid w:val="00C238B2"/>
    <w:rsid w:val="00C23D5A"/>
    <w:rsid w:val="00C23DA5"/>
    <w:rsid w:val="00C23EB6"/>
    <w:rsid w:val="00C24759"/>
    <w:rsid w:val="00C248B9"/>
    <w:rsid w:val="00C24EDC"/>
    <w:rsid w:val="00C24F77"/>
    <w:rsid w:val="00C25051"/>
    <w:rsid w:val="00C254B9"/>
    <w:rsid w:val="00C25624"/>
    <w:rsid w:val="00C2563F"/>
    <w:rsid w:val="00C258A9"/>
    <w:rsid w:val="00C258D8"/>
    <w:rsid w:val="00C2597A"/>
    <w:rsid w:val="00C25E27"/>
    <w:rsid w:val="00C25E5D"/>
    <w:rsid w:val="00C26405"/>
    <w:rsid w:val="00C26588"/>
    <w:rsid w:val="00C268ED"/>
    <w:rsid w:val="00C269FD"/>
    <w:rsid w:val="00C26AD8"/>
    <w:rsid w:val="00C26E13"/>
    <w:rsid w:val="00C276A4"/>
    <w:rsid w:val="00C27802"/>
    <w:rsid w:val="00C27873"/>
    <w:rsid w:val="00C27D6D"/>
    <w:rsid w:val="00C27DE9"/>
    <w:rsid w:val="00C27E14"/>
    <w:rsid w:val="00C3005E"/>
    <w:rsid w:val="00C30083"/>
    <w:rsid w:val="00C303DA"/>
    <w:rsid w:val="00C30AFD"/>
    <w:rsid w:val="00C30DA3"/>
    <w:rsid w:val="00C31A42"/>
    <w:rsid w:val="00C31E35"/>
    <w:rsid w:val="00C320B9"/>
    <w:rsid w:val="00C321CA"/>
    <w:rsid w:val="00C32378"/>
    <w:rsid w:val="00C32639"/>
    <w:rsid w:val="00C32989"/>
    <w:rsid w:val="00C32F89"/>
    <w:rsid w:val="00C3307D"/>
    <w:rsid w:val="00C330C7"/>
    <w:rsid w:val="00C33174"/>
    <w:rsid w:val="00C33388"/>
    <w:rsid w:val="00C3345D"/>
    <w:rsid w:val="00C33D55"/>
    <w:rsid w:val="00C3413B"/>
    <w:rsid w:val="00C341DA"/>
    <w:rsid w:val="00C3438A"/>
    <w:rsid w:val="00C348AC"/>
    <w:rsid w:val="00C35484"/>
    <w:rsid w:val="00C355A6"/>
    <w:rsid w:val="00C35760"/>
    <w:rsid w:val="00C35C51"/>
    <w:rsid w:val="00C35CD6"/>
    <w:rsid w:val="00C35CE9"/>
    <w:rsid w:val="00C35DB7"/>
    <w:rsid w:val="00C35E26"/>
    <w:rsid w:val="00C3637B"/>
    <w:rsid w:val="00C367D0"/>
    <w:rsid w:val="00C36B2A"/>
    <w:rsid w:val="00C36B6A"/>
    <w:rsid w:val="00C36E2B"/>
    <w:rsid w:val="00C36E3E"/>
    <w:rsid w:val="00C36FC5"/>
    <w:rsid w:val="00C37631"/>
    <w:rsid w:val="00C37C88"/>
    <w:rsid w:val="00C37E02"/>
    <w:rsid w:val="00C37EC1"/>
    <w:rsid w:val="00C405D8"/>
    <w:rsid w:val="00C4060E"/>
    <w:rsid w:val="00C40894"/>
    <w:rsid w:val="00C40C28"/>
    <w:rsid w:val="00C40E14"/>
    <w:rsid w:val="00C40FB5"/>
    <w:rsid w:val="00C413B7"/>
    <w:rsid w:val="00C4173A"/>
    <w:rsid w:val="00C417DC"/>
    <w:rsid w:val="00C418D8"/>
    <w:rsid w:val="00C41A9A"/>
    <w:rsid w:val="00C41CA0"/>
    <w:rsid w:val="00C420B1"/>
    <w:rsid w:val="00C425BB"/>
    <w:rsid w:val="00C42834"/>
    <w:rsid w:val="00C4288E"/>
    <w:rsid w:val="00C42A65"/>
    <w:rsid w:val="00C42B1C"/>
    <w:rsid w:val="00C42B82"/>
    <w:rsid w:val="00C42DFE"/>
    <w:rsid w:val="00C42ED6"/>
    <w:rsid w:val="00C42FD0"/>
    <w:rsid w:val="00C43307"/>
    <w:rsid w:val="00C435E9"/>
    <w:rsid w:val="00C4361A"/>
    <w:rsid w:val="00C438CC"/>
    <w:rsid w:val="00C43A65"/>
    <w:rsid w:val="00C43CEB"/>
    <w:rsid w:val="00C43E7A"/>
    <w:rsid w:val="00C44071"/>
    <w:rsid w:val="00C44A2E"/>
    <w:rsid w:val="00C44E5A"/>
    <w:rsid w:val="00C44EC3"/>
    <w:rsid w:val="00C44ECD"/>
    <w:rsid w:val="00C4524B"/>
    <w:rsid w:val="00C4553E"/>
    <w:rsid w:val="00C45AF9"/>
    <w:rsid w:val="00C45EFC"/>
    <w:rsid w:val="00C460A7"/>
    <w:rsid w:val="00C46323"/>
    <w:rsid w:val="00C4683F"/>
    <w:rsid w:val="00C46C3F"/>
    <w:rsid w:val="00C46EE0"/>
    <w:rsid w:val="00C47C77"/>
    <w:rsid w:val="00C47E50"/>
    <w:rsid w:val="00C47EE5"/>
    <w:rsid w:val="00C50319"/>
    <w:rsid w:val="00C5060F"/>
    <w:rsid w:val="00C50744"/>
    <w:rsid w:val="00C5096B"/>
    <w:rsid w:val="00C50A67"/>
    <w:rsid w:val="00C50B97"/>
    <w:rsid w:val="00C50BD6"/>
    <w:rsid w:val="00C50C7C"/>
    <w:rsid w:val="00C50DED"/>
    <w:rsid w:val="00C5110B"/>
    <w:rsid w:val="00C51111"/>
    <w:rsid w:val="00C5113F"/>
    <w:rsid w:val="00C519FD"/>
    <w:rsid w:val="00C51E2E"/>
    <w:rsid w:val="00C5218E"/>
    <w:rsid w:val="00C52200"/>
    <w:rsid w:val="00C52217"/>
    <w:rsid w:val="00C52CA5"/>
    <w:rsid w:val="00C52CF5"/>
    <w:rsid w:val="00C52E04"/>
    <w:rsid w:val="00C52E47"/>
    <w:rsid w:val="00C533D3"/>
    <w:rsid w:val="00C5362C"/>
    <w:rsid w:val="00C537C4"/>
    <w:rsid w:val="00C538D1"/>
    <w:rsid w:val="00C53A1F"/>
    <w:rsid w:val="00C53C3B"/>
    <w:rsid w:val="00C53CFF"/>
    <w:rsid w:val="00C53E1B"/>
    <w:rsid w:val="00C53EA0"/>
    <w:rsid w:val="00C53F3B"/>
    <w:rsid w:val="00C54375"/>
    <w:rsid w:val="00C549F9"/>
    <w:rsid w:val="00C54D03"/>
    <w:rsid w:val="00C555D0"/>
    <w:rsid w:val="00C555F2"/>
    <w:rsid w:val="00C55B00"/>
    <w:rsid w:val="00C5608F"/>
    <w:rsid w:val="00C564C4"/>
    <w:rsid w:val="00C567AB"/>
    <w:rsid w:val="00C5688C"/>
    <w:rsid w:val="00C5691E"/>
    <w:rsid w:val="00C569A6"/>
    <w:rsid w:val="00C56BA6"/>
    <w:rsid w:val="00C56E27"/>
    <w:rsid w:val="00C57492"/>
    <w:rsid w:val="00C574C1"/>
    <w:rsid w:val="00C574EA"/>
    <w:rsid w:val="00C57681"/>
    <w:rsid w:val="00C576A2"/>
    <w:rsid w:val="00C57A1F"/>
    <w:rsid w:val="00C57DB5"/>
    <w:rsid w:val="00C57FFD"/>
    <w:rsid w:val="00C602FF"/>
    <w:rsid w:val="00C603CC"/>
    <w:rsid w:val="00C60411"/>
    <w:rsid w:val="00C60668"/>
    <w:rsid w:val="00C609E0"/>
    <w:rsid w:val="00C60D88"/>
    <w:rsid w:val="00C61174"/>
    <w:rsid w:val="00C6117B"/>
    <w:rsid w:val="00C6148F"/>
    <w:rsid w:val="00C6149D"/>
    <w:rsid w:val="00C61C90"/>
    <w:rsid w:val="00C61D44"/>
    <w:rsid w:val="00C621B1"/>
    <w:rsid w:val="00C62441"/>
    <w:rsid w:val="00C62636"/>
    <w:rsid w:val="00C626E9"/>
    <w:rsid w:val="00C62827"/>
    <w:rsid w:val="00C62F7A"/>
    <w:rsid w:val="00C633CA"/>
    <w:rsid w:val="00C635DD"/>
    <w:rsid w:val="00C635E1"/>
    <w:rsid w:val="00C63851"/>
    <w:rsid w:val="00C63890"/>
    <w:rsid w:val="00C63A13"/>
    <w:rsid w:val="00C63B9C"/>
    <w:rsid w:val="00C63F89"/>
    <w:rsid w:val="00C645AD"/>
    <w:rsid w:val="00C649C1"/>
    <w:rsid w:val="00C64C32"/>
    <w:rsid w:val="00C64CA2"/>
    <w:rsid w:val="00C65338"/>
    <w:rsid w:val="00C6554B"/>
    <w:rsid w:val="00C65B1D"/>
    <w:rsid w:val="00C65CE1"/>
    <w:rsid w:val="00C65DA7"/>
    <w:rsid w:val="00C66320"/>
    <w:rsid w:val="00C663F4"/>
    <w:rsid w:val="00C6682F"/>
    <w:rsid w:val="00C67006"/>
    <w:rsid w:val="00C671FF"/>
    <w:rsid w:val="00C67646"/>
    <w:rsid w:val="00C67704"/>
    <w:rsid w:val="00C67976"/>
    <w:rsid w:val="00C67BF4"/>
    <w:rsid w:val="00C67E6A"/>
    <w:rsid w:val="00C70359"/>
    <w:rsid w:val="00C70DE8"/>
    <w:rsid w:val="00C70EB4"/>
    <w:rsid w:val="00C710FE"/>
    <w:rsid w:val="00C71184"/>
    <w:rsid w:val="00C71A99"/>
    <w:rsid w:val="00C71D09"/>
    <w:rsid w:val="00C71E1B"/>
    <w:rsid w:val="00C722EE"/>
    <w:rsid w:val="00C7275E"/>
    <w:rsid w:val="00C72B1A"/>
    <w:rsid w:val="00C72C45"/>
    <w:rsid w:val="00C72CC7"/>
    <w:rsid w:val="00C731AF"/>
    <w:rsid w:val="00C734ED"/>
    <w:rsid w:val="00C734FA"/>
    <w:rsid w:val="00C73AC1"/>
    <w:rsid w:val="00C73E1E"/>
    <w:rsid w:val="00C7412F"/>
    <w:rsid w:val="00C741B7"/>
    <w:rsid w:val="00C743F9"/>
    <w:rsid w:val="00C744FF"/>
    <w:rsid w:val="00C7467C"/>
    <w:rsid w:val="00C74BBD"/>
    <w:rsid w:val="00C74C5D"/>
    <w:rsid w:val="00C74CC4"/>
    <w:rsid w:val="00C74CED"/>
    <w:rsid w:val="00C75070"/>
    <w:rsid w:val="00C751B0"/>
    <w:rsid w:val="00C751B6"/>
    <w:rsid w:val="00C7533A"/>
    <w:rsid w:val="00C753DE"/>
    <w:rsid w:val="00C753FB"/>
    <w:rsid w:val="00C756D0"/>
    <w:rsid w:val="00C75D35"/>
    <w:rsid w:val="00C76274"/>
    <w:rsid w:val="00C76460"/>
    <w:rsid w:val="00C769BB"/>
    <w:rsid w:val="00C76F87"/>
    <w:rsid w:val="00C76F8A"/>
    <w:rsid w:val="00C779DC"/>
    <w:rsid w:val="00C77A2B"/>
    <w:rsid w:val="00C80067"/>
    <w:rsid w:val="00C80242"/>
    <w:rsid w:val="00C80500"/>
    <w:rsid w:val="00C807EA"/>
    <w:rsid w:val="00C80893"/>
    <w:rsid w:val="00C80945"/>
    <w:rsid w:val="00C80B82"/>
    <w:rsid w:val="00C80EDA"/>
    <w:rsid w:val="00C811A1"/>
    <w:rsid w:val="00C811F2"/>
    <w:rsid w:val="00C81618"/>
    <w:rsid w:val="00C81E77"/>
    <w:rsid w:val="00C81F1C"/>
    <w:rsid w:val="00C81F46"/>
    <w:rsid w:val="00C81F67"/>
    <w:rsid w:val="00C82657"/>
    <w:rsid w:val="00C82754"/>
    <w:rsid w:val="00C82C69"/>
    <w:rsid w:val="00C837EB"/>
    <w:rsid w:val="00C8386C"/>
    <w:rsid w:val="00C83913"/>
    <w:rsid w:val="00C83AFA"/>
    <w:rsid w:val="00C83C18"/>
    <w:rsid w:val="00C83C4C"/>
    <w:rsid w:val="00C83D8E"/>
    <w:rsid w:val="00C8417A"/>
    <w:rsid w:val="00C849D8"/>
    <w:rsid w:val="00C84B37"/>
    <w:rsid w:val="00C84BBD"/>
    <w:rsid w:val="00C84F1D"/>
    <w:rsid w:val="00C850D7"/>
    <w:rsid w:val="00C857C0"/>
    <w:rsid w:val="00C859D9"/>
    <w:rsid w:val="00C85B83"/>
    <w:rsid w:val="00C85BB0"/>
    <w:rsid w:val="00C85ED3"/>
    <w:rsid w:val="00C863C4"/>
    <w:rsid w:val="00C86580"/>
    <w:rsid w:val="00C869D3"/>
    <w:rsid w:val="00C86BF2"/>
    <w:rsid w:val="00C86D75"/>
    <w:rsid w:val="00C86F54"/>
    <w:rsid w:val="00C8717B"/>
    <w:rsid w:val="00C878D0"/>
    <w:rsid w:val="00C9093E"/>
    <w:rsid w:val="00C90A87"/>
    <w:rsid w:val="00C90DAB"/>
    <w:rsid w:val="00C91904"/>
    <w:rsid w:val="00C91AAE"/>
    <w:rsid w:val="00C91BB6"/>
    <w:rsid w:val="00C9203E"/>
    <w:rsid w:val="00C920EA"/>
    <w:rsid w:val="00C923DD"/>
    <w:rsid w:val="00C92518"/>
    <w:rsid w:val="00C92A1D"/>
    <w:rsid w:val="00C92B28"/>
    <w:rsid w:val="00C92CA6"/>
    <w:rsid w:val="00C92E5D"/>
    <w:rsid w:val="00C92E96"/>
    <w:rsid w:val="00C930F7"/>
    <w:rsid w:val="00C933A1"/>
    <w:rsid w:val="00C933D2"/>
    <w:rsid w:val="00C933F6"/>
    <w:rsid w:val="00C935F7"/>
    <w:rsid w:val="00C93639"/>
    <w:rsid w:val="00C93962"/>
    <w:rsid w:val="00C93C3E"/>
    <w:rsid w:val="00C93F33"/>
    <w:rsid w:val="00C942DA"/>
    <w:rsid w:val="00C94503"/>
    <w:rsid w:val="00C94686"/>
    <w:rsid w:val="00C94934"/>
    <w:rsid w:val="00C94CFF"/>
    <w:rsid w:val="00C94ED4"/>
    <w:rsid w:val="00C9509F"/>
    <w:rsid w:val="00C953A7"/>
    <w:rsid w:val="00C9542C"/>
    <w:rsid w:val="00C956AE"/>
    <w:rsid w:val="00C9586F"/>
    <w:rsid w:val="00C95A00"/>
    <w:rsid w:val="00C95B3E"/>
    <w:rsid w:val="00C95C30"/>
    <w:rsid w:val="00C95C32"/>
    <w:rsid w:val="00C96B4C"/>
    <w:rsid w:val="00C96C97"/>
    <w:rsid w:val="00C96E42"/>
    <w:rsid w:val="00C971C7"/>
    <w:rsid w:val="00C9725A"/>
    <w:rsid w:val="00C97DB6"/>
    <w:rsid w:val="00CA039E"/>
    <w:rsid w:val="00CA0542"/>
    <w:rsid w:val="00CA0638"/>
    <w:rsid w:val="00CA06AD"/>
    <w:rsid w:val="00CA0969"/>
    <w:rsid w:val="00CA0AF9"/>
    <w:rsid w:val="00CA108B"/>
    <w:rsid w:val="00CA1271"/>
    <w:rsid w:val="00CA12E3"/>
    <w:rsid w:val="00CA13A8"/>
    <w:rsid w:val="00CA140A"/>
    <w:rsid w:val="00CA1476"/>
    <w:rsid w:val="00CA15EE"/>
    <w:rsid w:val="00CA17F4"/>
    <w:rsid w:val="00CA180C"/>
    <w:rsid w:val="00CA1AF8"/>
    <w:rsid w:val="00CA1FAD"/>
    <w:rsid w:val="00CA217D"/>
    <w:rsid w:val="00CA2264"/>
    <w:rsid w:val="00CA245E"/>
    <w:rsid w:val="00CA29CA"/>
    <w:rsid w:val="00CA2DAF"/>
    <w:rsid w:val="00CA2F71"/>
    <w:rsid w:val="00CA3173"/>
    <w:rsid w:val="00CA3945"/>
    <w:rsid w:val="00CA39C3"/>
    <w:rsid w:val="00CA3F67"/>
    <w:rsid w:val="00CA403E"/>
    <w:rsid w:val="00CA4056"/>
    <w:rsid w:val="00CA4B52"/>
    <w:rsid w:val="00CA4D94"/>
    <w:rsid w:val="00CA558D"/>
    <w:rsid w:val="00CA5692"/>
    <w:rsid w:val="00CA56E6"/>
    <w:rsid w:val="00CA57FB"/>
    <w:rsid w:val="00CA5B37"/>
    <w:rsid w:val="00CA5E54"/>
    <w:rsid w:val="00CA5EAE"/>
    <w:rsid w:val="00CA61E9"/>
    <w:rsid w:val="00CA63E7"/>
    <w:rsid w:val="00CA6611"/>
    <w:rsid w:val="00CA67B9"/>
    <w:rsid w:val="00CA69D9"/>
    <w:rsid w:val="00CA6AE6"/>
    <w:rsid w:val="00CA6E45"/>
    <w:rsid w:val="00CA734F"/>
    <w:rsid w:val="00CA7460"/>
    <w:rsid w:val="00CA7672"/>
    <w:rsid w:val="00CA7795"/>
    <w:rsid w:val="00CA7814"/>
    <w:rsid w:val="00CA782F"/>
    <w:rsid w:val="00CA7A01"/>
    <w:rsid w:val="00CA7A2D"/>
    <w:rsid w:val="00CB0A66"/>
    <w:rsid w:val="00CB0E80"/>
    <w:rsid w:val="00CB0FBF"/>
    <w:rsid w:val="00CB10B1"/>
    <w:rsid w:val="00CB1462"/>
    <w:rsid w:val="00CB1561"/>
    <w:rsid w:val="00CB15EA"/>
    <w:rsid w:val="00CB16CD"/>
    <w:rsid w:val="00CB1701"/>
    <w:rsid w:val="00CB1834"/>
    <w:rsid w:val="00CB187B"/>
    <w:rsid w:val="00CB1B25"/>
    <w:rsid w:val="00CB1EF3"/>
    <w:rsid w:val="00CB2004"/>
    <w:rsid w:val="00CB2766"/>
    <w:rsid w:val="00CB2782"/>
    <w:rsid w:val="00CB2835"/>
    <w:rsid w:val="00CB2981"/>
    <w:rsid w:val="00CB2B98"/>
    <w:rsid w:val="00CB2C29"/>
    <w:rsid w:val="00CB2FAA"/>
    <w:rsid w:val="00CB3285"/>
    <w:rsid w:val="00CB33AD"/>
    <w:rsid w:val="00CB364D"/>
    <w:rsid w:val="00CB3D8A"/>
    <w:rsid w:val="00CB4500"/>
    <w:rsid w:val="00CB4566"/>
    <w:rsid w:val="00CB457D"/>
    <w:rsid w:val="00CB4FBE"/>
    <w:rsid w:val="00CB50CA"/>
    <w:rsid w:val="00CB5118"/>
    <w:rsid w:val="00CB558F"/>
    <w:rsid w:val="00CB5613"/>
    <w:rsid w:val="00CB59CE"/>
    <w:rsid w:val="00CB59FB"/>
    <w:rsid w:val="00CB5A21"/>
    <w:rsid w:val="00CB5BEE"/>
    <w:rsid w:val="00CB5F0C"/>
    <w:rsid w:val="00CB66CC"/>
    <w:rsid w:val="00CB6780"/>
    <w:rsid w:val="00CB6967"/>
    <w:rsid w:val="00CB73DD"/>
    <w:rsid w:val="00CC0259"/>
    <w:rsid w:val="00CC0738"/>
    <w:rsid w:val="00CC0814"/>
    <w:rsid w:val="00CC0914"/>
    <w:rsid w:val="00CC0C72"/>
    <w:rsid w:val="00CC111F"/>
    <w:rsid w:val="00CC15F2"/>
    <w:rsid w:val="00CC1987"/>
    <w:rsid w:val="00CC1CE7"/>
    <w:rsid w:val="00CC2041"/>
    <w:rsid w:val="00CC2677"/>
    <w:rsid w:val="00CC2698"/>
    <w:rsid w:val="00CC28CE"/>
    <w:rsid w:val="00CC2BFD"/>
    <w:rsid w:val="00CC33E1"/>
    <w:rsid w:val="00CC3729"/>
    <w:rsid w:val="00CC37C1"/>
    <w:rsid w:val="00CC3B86"/>
    <w:rsid w:val="00CC3C42"/>
    <w:rsid w:val="00CC418C"/>
    <w:rsid w:val="00CC4610"/>
    <w:rsid w:val="00CC46C4"/>
    <w:rsid w:val="00CC4AAD"/>
    <w:rsid w:val="00CC4DB0"/>
    <w:rsid w:val="00CC4F5B"/>
    <w:rsid w:val="00CC52B4"/>
    <w:rsid w:val="00CC5467"/>
    <w:rsid w:val="00CC5999"/>
    <w:rsid w:val="00CC5E5B"/>
    <w:rsid w:val="00CC5EE2"/>
    <w:rsid w:val="00CC600B"/>
    <w:rsid w:val="00CC6178"/>
    <w:rsid w:val="00CC636D"/>
    <w:rsid w:val="00CC6433"/>
    <w:rsid w:val="00CC6799"/>
    <w:rsid w:val="00CC6A34"/>
    <w:rsid w:val="00CC6C67"/>
    <w:rsid w:val="00CC6E7B"/>
    <w:rsid w:val="00CC6F40"/>
    <w:rsid w:val="00CC702E"/>
    <w:rsid w:val="00CC71E3"/>
    <w:rsid w:val="00CC730F"/>
    <w:rsid w:val="00CC7370"/>
    <w:rsid w:val="00CC7656"/>
    <w:rsid w:val="00CC76F4"/>
    <w:rsid w:val="00CC77F4"/>
    <w:rsid w:val="00CC7E58"/>
    <w:rsid w:val="00CC7EFD"/>
    <w:rsid w:val="00CC7FE3"/>
    <w:rsid w:val="00CD0524"/>
    <w:rsid w:val="00CD067F"/>
    <w:rsid w:val="00CD0866"/>
    <w:rsid w:val="00CD09D5"/>
    <w:rsid w:val="00CD1009"/>
    <w:rsid w:val="00CD14D9"/>
    <w:rsid w:val="00CD1D47"/>
    <w:rsid w:val="00CD1E2A"/>
    <w:rsid w:val="00CD23B3"/>
    <w:rsid w:val="00CD2569"/>
    <w:rsid w:val="00CD279D"/>
    <w:rsid w:val="00CD2AFF"/>
    <w:rsid w:val="00CD2C0D"/>
    <w:rsid w:val="00CD2CE0"/>
    <w:rsid w:val="00CD2EB0"/>
    <w:rsid w:val="00CD2F2A"/>
    <w:rsid w:val="00CD3297"/>
    <w:rsid w:val="00CD3476"/>
    <w:rsid w:val="00CD365E"/>
    <w:rsid w:val="00CD381A"/>
    <w:rsid w:val="00CD392A"/>
    <w:rsid w:val="00CD3A0A"/>
    <w:rsid w:val="00CD3B5F"/>
    <w:rsid w:val="00CD3C1B"/>
    <w:rsid w:val="00CD3E97"/>
    <w:rsid w:val="00CD3F89"/>
    <w:rsid w:val="00CD403D"/>
    <w:rsid w:val="00CD461C"/>
    <w:rsid w:val="00CD480B"/>
    <w:rsid w:val="00CD49FF"/>
    <w:rsid w:val="00CD506B"/>
    <w:rsid w:val="00CD5340"/>
    <w:rsid w:val="00CD5604"/>
    <w:rsid w:val="00CD56C8"/>
    <w:rsid w:val="00CD5BA7"/>
    <w:rsid w:val="00CD5CD9"/>
    <w:rsid w:val="00CD5CE3"/>
    <w:rsid w:val="00CD5D0B"/>
    <w:rsid w:val="00CD5F07"/>
    <w:rsid w:val="00CD60B6"/>
    <w:rsid w:val="00CD63FD"/>
    <w:rsid w:val="00CD64DF"/>
    <w:rsid w:val="00CD6797"/>
    <w:rsid w:val="00CD6887"/>
    <w:rsid w:val="00CD6FDD"/>
    <w:rsid w:val="00CD7079"/>
    <w:rsid w:val="00CD72E7"/>
    <w:rsid w:val="00CD7803"/>
    <w:rsid w:val="00CD7A48"/>
    <w:rsid w:val="00CD7C85"/>
    <w:rsid w:val="00CD7C97"/>
    <w:rsid w:val="00CE049E"/>
    <w:rsid w:val="00CE0752"/>
    <w:rsid w:val="00CE095A"/>
    <w:rsid w:val="00CE11D0"/>
    <w:rsid w:val="00CE12FE"/>
    <w:rsid w:val="00CE1304"/>
    <w:rsid w:val="00CE1368"/>
    <w:rsid w:val="00CE1A6F"/>
    <w:rsid w:val="00CE1ABE"/>
    <w:rsid w:val="00CE1C01"/>
    <w:rsid w:val="00CE1E68"/>
    <w:rsid w:val="00CE2204"/>
    <w:rsid w:val="00CE225F"/>
    <w:rsid w:val="00CE240D"/>
    <w:rsid w:val="00CE2676"/>
    <w:rsid w:val="00CE26B8"/>
    <w:rsid w:val="00CE344E"/>
    <w:rsid w:val="00CE3810"/>
    <w:rsid w:val="00CE3AC0"/>
    <w:rsid w:val="00CE3DFD"/>
    <w:rsid w:val="00CE3E1D"/>
    <w:rsid w:val="00CE43C6"/>
    <w:rsid w:val="00CE4400"/>
    <w:rsid w:val="00CE449A"/>
    <w:rsid w:val="00CE44CF"/>
    <w:rsid w:val="00CE450E"/>
    <w:rsid w:val="00CE4926"/>
    <w:rsid w:val="00CE4B23"/>
    <w:rsid w:val="00CE4E0F"/>
    <w:rsid w:val="00CE5081"/>
    <w:rsid w:val="00CE50B6"/>
    <w:rsid w:val="00CE5514"/>
    <w:rsid w:val="00CE5579"/>
    <w:rsid w:val="00CE58A1"/>
    <w:rsid w:val="00CE599E"/>
    <w:rsid w:val="00CE59B0"/>
    <w:rsid w:val="00CE5A7A"/>
    <w:rsid w:val="00CE5EFF"/>
    <w:rsid w:val="00CE5F57"/>
    <w:rsid w:val="00CE68DC"/>
    <w:rsid w:val="00CE695C"/>
    <w:rsid w:val="00CE6AC2"/>
    <w:rsid w:val="00CE70F5"/>
    <w:rsid w:val="00CE7261"/>
    <w:rsid w:val="00CE796C"/>
    <w:rsid w:val="00CE7B82"/>
    <w:rsid w:val="00CE7C58"/>
    <w:rsid w:val="00CF0133"/>
    <w:rsid w:val="00CF02E4"/>
    <w:rsid w:val="00CF0349"/>
    <w:rsid w:val="00CF05DA"/>
    <w:rsid w:val="00CF066B"/>
    <w:rsid w:val="00CF0828"/>
    <w:rsid w:val="00CF0A49"/>
    <w:rsid w:val="00CF0A4C"/>
    <w:rsid w:val="00CF0DF9"/>
    <w:rsid w:val="00CF0F10"/>
    <w:rsid w:val="00CF0FB7"/>
    <w:rsid w:val="00CF1190"/>
    <w:rsid w:val="00CF11E1"/>
    <w:rsid w:val="00CF1589"/>
    <w:rsid w:val="00CF1892"/>
    <w:rsid w:val="00CF1A48"/>
    <w:rsid w:val="00CF2168"/>
    <w:rsid w:val="00CF2285"/>
    <w:rsid w:val="00CF2531"/>
    <w:rsid w:val="00CF2A13"/>
    <w:rsid w:val="00CF2A93"/>
    <w:rsid w:val="00CF2B54"/>
    <w:rsid w:val="00CF2F50"/>
    <w:rsid w:val="00CF2FD7"/>
    <w:rsid w:val="00CF3495"/>
    <w:rsid w:val="00CF34A7"/>
    <w:rsid w:val="00CF3BEA"/>
    <w:rsid w:val="00CF40AF"/>
    <w:rsid w:val="00CF427F"/>
    <w:rsid w:val="00CF4AA7"/>
    <w:rsid w:val="00CF4D1B"/>
    <w:rsid w:val="00CF5248"/>
    <w:rsid w:val="00CF525A"/>
    <w:rsid w:val="00CF5930"/>
    <w:rsid w:val="00CF5A04"/>
    <w:rsid w:val="00CF6198"/>
    <w:rsid w:val="00CF6559"/>
    <w:rsid w:val="00CF68C4"/>
    <w:rsid w:val="00CF6947"/>
    <w:rsid w:val="00CF70CE"/>
    <w:rsid w:val="00CF74FC"/>
    <w:rsid w:val="00CF7E3E"/>
    <w:rsid w:val="00CF7EB3"/>
    <w:rsid w:val="00D000EC"/>
    <w:rsid w:val="00D003EF"/>
    <w:rsid w:val="00D00CB8"/>
    <w:rsid w:val="00D00E01"/>
    <w:rsid w:val="00D00F53"/>
    <w:rsid w:val="00D01344"/>
    <w:rsid w:val="00D013BA"/>
    <w:rsid w:val="00D0190A"/>
    <w:rsid w:val="00D01EAA"/>
    <w:rsid w:val="00D021B8"/>
    <w:rsid w:val="00D02919"/>
    <w:rsid w:val="00D02963"/>
    <w:rsid w:val="00D02D19"/>
    <w:rsid w:val="00D02FAD"/>
    <w:rsid w:val="00D02FC1"/>
    <w:rsid w:val="00D03101"/>
    <w:rsid w:val="00D032B7"/>
    <w:rsid w:val="00D03362"/>
    <w:rsid w:val="00D0341A"/>
    <w:rsid w:val="00D0348D"/>
    <w:rsid w:val="00D035A8"/>
    <w:rsid w:val="00D03668"/>
    <w:rsid w:val="00D037C9"/>
    <w:rsid w:val="00D03840"/>
    <w:rsid w:val="00D0398B"/>
    <w:rsid w:val="00D03B69"/>
    <w:rsid w:val="00D03D33"/>
    <w:rsid w:val="00D03DCE"/>
    <w:rsid w:val="00D0411E"/>
    <w:rsid w:val="00D047AD"/>
    <w:rsid w:val="00D04B4C"/>
    <w:rsid w:val="00D04BF9"/>
    <w:rsid w:val="00D04C61"/>
    <w:rsid w:val="00D04D4C"/>
    <w:rsid w:val="00D05134"/>
    <w:rsid w:val="00D055A7"/>
    <w:rsid w:val="00D055D8"/>
    <w:rsid w:val="00D05767"/>
    <w:rsid w:val="00D059C6"/>
    <w:rsid w:val="00D05B8D"/>
    <w:rsid w:val="00D05B9B"/>
    <w:rsid w:val="00D05DAA"/>
    <w:rsid w:val="00D06439"/>
    <w:rsid w:val="00D065A2"/>
    <w:rsid w:val="00D06601"/>
    <w:rsid w:val="00D06919"/>
    <w:rsid w:val="00D069D0"/>
    <w:rsid w:val="00D070DD"/>
    <w:rsid w:val="00D07433"/>
    <w:rsid w:val="00D076D5"/>
    <w:rsid w:val="00D079AA"/>
    <w:rsid w:val="00D07A93"/>
    <w:rsid w:val="00D07F00"/>
    <w:rsid w:val="00D10038"/>
    <w:rsid w:val="00D1030A"/>
    <w:rsid w:val="00D103D8"/>
    <w:rsid w:val="00D108E1"/>
    <w:rsid w:val="00D10939"/>
    <w:rsid w:val="00D10CE5"/>
    <w:rsid w:val="00D10D76"/>
    <w:rsid w:val="00D1104E"/>
    <w:rsid w:val="00D11236"/>
    <w:rsid w:val="00D112DC"/>
    <w:rsid w:val="00D112F1"/>
    <w:rsid w:val="00D1130F"/>
    <w:rsid w:val="00D1154D"/>
    <w:rsid w:val="00D115EB"/>
    <w:rsid w:val="00D117F4"/>
    <w:rsid w:val="00D11805"/>
    <w:rsid w:val="00D11CE0"/>
    <w:rsid w:val="00D11D60"/>
    <w:rsid w:val="00D11F96"/>
    <w:rsid w:val="00D125E9"/>
    <w:rsid w:val="00D12A41"/>
    <w:rsid w:val="00D12E9F"/>
    <w:rsid w:val="00D13084"/>
    <w:rsid w:val="00D13242"/>
    <w:rsid w:val="00D1327E"/>
    <w:rsid w:val="00D135AF"/>
    <w:rsid w:val="00D138FB"/>
    <w:rsid w:val="00D13B72"/>
    <w:rsid w:val="00D13F17"/>
    <w:rsid w:val="00D14099"/>
    <w:rsid w:val="00D1427A"/>
    <w:rsid w:val="00D14412"/>
    <w:rsid w:val="00D1467F"/>
    <w:rsid w:val="00D14AEC"/>
    <w:rsid w:val="00D14BA4"/>
    <w:rsid w:val="00D14CAE"/>
    <w:rsid w:val="00D14F87"/>
    <w:rsid w:val="00D152F7"/>
    <w:rsid w:val="00D153E4"/>
    <w:rsid w:val="00D15759"/>
    <w:rsid w:val="00D15A06"/>
    <w:rsid w:val="00D161EB"/>
    <w:rsid w:val="00D1644C"/>
    <w:rsid w:val="00D16BD6"/>
    <w:rsid w:val="00D16FFE"/>
    <w:rsid w:val="00D1716D"/>
    <w:rsid w:val="00D17425"/>
    <w:rsid w:val="00D17B57"/>
    <w:rsid w:val="00D17B72"/>
    <w:rsid w:val="00D20214"/>
    <w:rsid w:val="00D20B29"/>
    <w:rsid w:val="00D20E8B"/>
    <w:rsid w:val="00D2111D"/>
    <w:rsid w:val="00D21230"/>
    <w:rsid w:val="00D214A3"/>
    <w:rsid w:val="00D22148"/>
    <w:rsid w:val="00D22317"/>
    <w:rsid w:val="00D223AE"/>
    <w:rsid w:val="00D22698"/>
    <w:rsid w:val="00D22B0A"/>
    <w:rsid w:val="00D22BD3"/>
    <w:rsid w:val="00D22E7E"/>
    <w:rsid w:val="00D23631"/>
    <w:rsid w:val="00D2394D"/>
    <w:rsid w:val="00D23A76"/>
    <w:rsid w:val="00D23BB1"/>
    <w:rsid w:val="00D240DE"/>
    <w:rsid w:val="00D241F8"/>
    <w:rsid w:val="00D24301"/>
    <w:rsid w:val="00D2431F"/>
    <w:rsid w:val="00D24739"/>
    <w:rsid w:val="00D24881"/>
    <w:rsid w:val="00D24D6F"/>
    <w:rsid w:val="00D24F4F"/>
    <w:rsid w:val="00D250AC"/>
    <w:rsid w:val="00D250D1"/>
    <w:rsid w:val="00D25178"/>
    <w:rsid w:val="00D251C1"/>
    <w:rsid w:val="00D25297"/>
    <w:rsid w:val="00D25488"/>
    <w:rsid w:val="00D25908"/>
    <w:rsid w:val="00D25A31"/>
    <w:rsid w:val="00D25DB7"/>
    <w:rsid w:val="00D25E63"/>
    <w:rsid w:val="00D262E4"/>
    <w:rsid w:val="00D26867"/>
    <w:rsid w:val="00D2696E"/>
    <w:rsid w:val="00D26C90"/>
    <w:rsid w:val="00D26D73"/>
    <w:rsid w:val="00D26EF8"/>
    <w:rsid w:val="00D27A21"/>
    <w:rsid w:val="00D27B3C"/>
    <w:rsid w:val="00D30924"/>
    <w:rsid w:val="00D30992"/>
    <w:rsid w:val="00D30CC4"/>
    <w:rsid w:val="00D30EA2"/>
    <w:rsid w:val="00D315A4"/>
    <w:rsid w:val="00D3185C"/>
    <w:rsid w:val="00D31D38"/>
    <w:rsid w:val="00D3205F"/>
    <w:rsid w:val="00D321F0"/>
    <w:rsid w:val="00D325C7"/>
    <w:rsid w:val="00D328F4"/>
    <w:rsid w:val="00D32930"/>
    <w:rsid w:val="00D329EF"/>
    <w:rsid w:val="00D32A84"/>
    <w:rsid w:val="00D330AA"/>
    <w:rsid w:val="00D3318E"/>
    <w:rsid w:val="00D33356"/>
    <w:rsid w:val="00D3364E"/>
    <w:rsid w:val="00D33896"/>
    <w:rsid w:val="00D3399F"/>
    <w:rsid w:val="00D33E72"/>
    <w:rsid w:val="00D33F01"/>
    <w:rsid w:val="00D33FB8"/>
    <w:rsid w:val="00D34152"/>
    <w:rsid w:val="00D34371"/>
    <w:rsid w:val="00D34564"/>
    <w:rsid w:val="00D34BD5"/>
    <w:rsid w:val="00D34C81"/>
    <w:rsid w:val="00D34C9E"/>
    <w:rsid w:val="00D34CDE"/>
    <w:rsid w:val="00D351C0"/>
    <w:rsid w:val="00D3533E"/>
    <w:rsid w:val="00D3534B"/>
    <w:rsid w:val="00D3568D"/>
    <w:rsid w:val="00D356CF"/>
    <w:rsid w:val="00D35794"/>
    <w:rsid w:val="00D35BD6"/>
    <w:rsid w:val="00D361A0"/>
    <w:rsid w:val="00D361B5"/>
    <w:rsid w:val="00D361C7"/>
    <w:rsid w:val="00D36AF4"/>
    <w:rsid w:val="00D36C50"/>
    <w:rsid w:val="00D373CA"/>
    <w:rsid w:val="00D374F5"/>
    <w:rsid w:val="00D3750C"/>
    <w:rsid w:val="00D3753E"/>
    <w:rsid w:val="00D37995"/>
    <w:rsid w:val="00D37A72"/>
    <w:rsid w:val="00D40BD1"/>
    <w:rsid w:val="00D40D36"/>
    <w:rsid w:val="00D40E2B"/>
    <w:rsid w:val="00D40ECB"/>
    <w:rsid w:val="00D411A2"/>
    <w:rsid w:val="00D412CB"/>
    <w:rsid w:val="00D41461"/>
    <w:rsid w:val="00D41464"/>
    <w:rsid w:val="00D4163A"/>
    <w:rsid w:val="00D4189D"/>
    <w:rsid w:val="00D41CAF"/>
    <w:rsid w:val="00D41FFC"/>
    <w:rsid w:val="00D4228B"/>
    <w:rsid w:val="00D422EB"/>
    <w:rsid w:val="00D4246E"/>
    <w:rsid w:val="00D42D31"/>
    <w:rsid w:val="00D43011"/>
    <w:rsid w:val="00D43448"/>
    <w:rsid w:val="00D435C0"/>
    <w:rsid w:val="00D43843"/>
    <w:rsid w:val="00D43904"/>
    <w:rsid w:val="00D43EA3"/>
    <w:rsid w:val="00D440EF"/>
    <w:rsid w:val="00D44284"/>
    <w:rsid w:val="00D444D4"/>
    <w:rsid w:val="00D4456C"/>
    <w:rsid w:val="00D44CBD"/>
    <w:rsid w:val="00D451E8"/>
    <w:rsid w:val="00D453DD"/>
    <w:rsid w:val="00D4548B"/>
    <w:rsid w:val="00D454AD"/>
    <w:rsid w:val="00D45B08"/>
    <w:rsid w:val="00D45BF5"/>
    <w:rsid w:val="00D45D23"/>
    <w:rsid w:val="00D45F48"/>
    <w:rsid w:val="00D45F76"/>
    <w:rsid w:val="00D45FE5"/>
    <w:rsid w:val="00D4606D"/>
    <w:rsid w:val="00D46341"/>
    <w:rsid w:val="00D464CD"/>
    <w:rsid w:val="00D47395"/>
    <w:rsid w:val="00D474E7"/>
    <w:rsid w:val="00D47750"/>
    <w:rsid w:val="00D479B7"/>
    <w:rsid w:val="00D47A42"/>
    <w:rsid w:val="00D47CB1"/>
    <w:rsid w:val="00D47E4A"/>
    <w:rsid w:val="00D47EBB"/>
    <w:rsid w:val="00D50324"/>
    <w:rsid w:val="00D503AE"/>
    <w:rsid w:val="00D50B9C"/>
    <w:rsid w:val="00D50E72"/>
    <w:rsid w:val="00D513AF"/>
    <w:rsid w:val="00D51A73"/>
    <w:rsid w:val="00D51CA6"/>
    <w:rsid w:val="00D51F7F"/>
    <w:rsid w:val="00D521C6"/>
    <w:rsid w:val="00D52418"/>
    <w:rsid w:val="00D526ED"/>
    <w:rsid w:val="00D52701"/>
    <w:rsid w:val="00D52767"/>
    <w:rsid w:val="00D52A97"/>
    <w:rsid w:val="00D52D73"/>
    <w:rsid w:val="00D52E58"/>
    <w:rsid w:val="00D53494"/>
    <w:rsid w:val="00D535D2"/>
    <w:rsid w:val="00D536B4"/>
    <w:rsid w:val="00D53966"/>
    <w:rsid w:val="00D53C42"/>
    <w:rsid w:val="00D53E29"/>
    <w:rsid w:val="00D541AC"/>
    <w:rsid w:val="00D544BA"/>
    <w:rsid w:val="00D54DBA"/>
    <w:rsid w:val="00D54E4B"/>
    <w:rsid w:val="00D54E6C"/>
    <w:rsid w:val="00D54FDF"/>
    <w:rsid w:val="00D5523A"/>
    <w:rsid w:val="00D552FB"/>
    <w:rsid w:val="00D55307"/>
    <w:rsid w:val="00D5532C"/>
    <w:rsid w:val="00D55B6A"/>
    <w:rsid w:val="00D560C3"/>
    <w:rsid w:val="00D56152"/>
    <w:rsid w:val="00D561DB"/>
    <w:rsid w:val="00D5671C"/>
    <w:rsid w:val="00D56B20"/>
    <w:rsid w:val="00D56D64"/>
    <w:rsid w:val="00D57033"/>
    <w:rsid w:val="00D5744D"/>
    <w:rsid w:val="00D575C3"/>
    <w:rsid w:val="00D57667"/>
    <w:rsid w:val="00D578B3"/>
    <w:rsid w:val="00D579F4"/>
    <w:rsid w:val="00D57CB9"/>
    <w:rsid w:val="00D57E1A"/>
    <w:rsid w:val="00D600F7"/>
    <w:rsid w:val="00D60387"/>
    <w:rsid w:val="00D60642"/>
    <w:rsid w:val="00D60FE0"/>
    <w:rsid w:val="00D61519"/>
    <w:rsid w:val="00D618F4"/>
    <w:rsid w:val="00D61A70"/>
    <w:rsid w:val="00D61C06"/>
    <w:rsid w:val="00D62007"/>
    <w:rsid w:val="00D629AB"/>
    <w:rsid w:val="00D6329B"/>
    <w:rsid w:val="00D63310"/>
    <w:rsid w:val="00D6344A"/>
    <w:rsid w:val="00D6349A"/>
    <w:rsid w:val="00D6355E"/>
    <w:rsid w:val="00D63636"/>
    <w:rsid w:val="00D63BEB"/>
    <w:rsid w:val="00D64258"/>
    <w:rsid w:val="00D6461A"/>
    <w:rsid w:val="00D6462D"/>
    <w:rsid w:val="00D648DA"/>
    <w:rsid w:val="00D649B2"/>
    <w:rsid w:val="00D64A69"/>
    <w:rsid w:val="00D64ED9"/>
    <w:rsid w:val="00D651C4"/>
    <w:rsid w:val="00D65248"/>
    <w:rsid w:val="00D65A45"/>
    <w:rsid w:val="00D65D76"/>
    <w:rsid w:val="00D65DD1"/>
    <w:rsid w:val="00D66706"/>
    <w:rsid w:val="00D669F6"/>
    <w:rsid w:val="00D66D61"/>
    <w:rsid w:val="00D66E9A"/>
    <w:rsid w:val="00D67069"/>
    <w:rsid w:val="00D6716A"/>
    <w:rsid w:val="00D67256"/>
    <w:rsid w:val="00D6740E"/>
    <w:rsid w:val="00D67416"/>
    <w:rsid w:val="00D67B20"/>
    <w:rsid w:val="00D67D45"/>
    <w:rsid w:val="00D67D79"/>
    <w:rsid w:val="00D706E8"/>
    <w:rsid w:val="00D70803"/>
    <w:rsid w:val="00D70911"/>
    <w:rsid w:val="00D70A96"/>
    <w:rsid w:val="00D70F1F"/>
    <w:rsid w:val="00D70F2A"/>
    <w:rsid w:val="00D710A1"/>
    <w:rsid w:val="00D710D1"/>
    <w:rsid w:val="00D71150"/>
    <w:rsid w:val="00D71320"/>
    <w:rsid w:val="00D714CC"/>
    <w:rsid w:val="00D71554"/>
    <w:rsid w:val="00D718D6"/>
    <w:rsid w:val="00D71952"/>
    <w:rsid w:val="00D719F9"/>
    <w:rsid w:val="00D71B65"/>
    <w:rsid w:val="00D71CB4"/>
    <w:rsid w:val="00D7203A"/>
    <w:rsid w:val="00D722F6"/>
    <w:rsid w:val="00D72352"/>
    <w:rsid w:val="00D72659"/>
    <w:rsid w:val="00D728C3"/>
    <w:rsid w:val="00D72A39"/>
    <w:rsid w:val="00D72D42"/>
    <w:rsid w:val="00D730E7"/>
    <w:rsid w:val="00D73147"/>
    <w:rsid w:val="00D731AF"/>
    <w:rsid w:val="00D73498"/>
    <w:rsid w:val="00D734D1"/>
    <w:rsid w:val="00D738B5"/>
    <w:rsid w:val="00D738D3"/>
    <w:rsid w:val="00D73B10"/>
    <w:rsid w:val="00D73CF1"/>
    <w:rsid w:val="00D73ECA"/>
    <w:rsid w:val="00D74110"/>
    <w:rsid w:val="00D7432D"/>
    <w:rsid w:val="00D74738"/>
    <w:rsid w:val="00D74A0D"/>
    <w:rsid w:val="00D7541E"/>
    <w:rsid w:val="00D75501"/>
    <w:rsid w:val="00D7594E"/>
    <w:rsid w:val="00D759BE"/>
    <w:rsid w:val="00D759D4"/>
    <w:rsid w:val="00D75EA7"/>
    <w:rsid w:val="00D762EA"/>
    <w:rsid w:val="00D763E2"/>
    <w:rsid w:val="00D765DD"/>
    <w:rsid w:val="00D76A49"/>
    <w:rsid w:val="00D76BF4"/>
    <w:rsid w:val="00D76ECC"/>
    <w:rsid w:val="00D7781D"/>
    <w:rsid w:val="00D77921"/>
    <w:rsid w:val="00D77DD5"/>
    <w:rsid w:val="00D77FE6"/>
    <w:rsid w:val="00D8028C"/>
    <w:rsid w:val="00D80511"/>
    <w:rsid w:val="00D806EF"/>
    <w:rsid w:val="00D80916"/>
    <w:rsid w:val="00D80ADC"/>
    <w:rsid w:val="00D80CB7"/>
    <w:rsid w:val="00D80DD9"/>
    <w:rsid w:val="00D80E07"/>
    <w:rsid w:val="00D81111"/>
    <w:rsid w:val="00D812FD"/>
    <w:rsid w:val="00D8165F"/>
    <w:rsid w:val="00D81730"/>
    <w:rsid w:val="00D81926"/>
    <w:rsid w:val="00D81A90"/>
    <w:rsid w:val="00D81ADF"/>
    <w:rsid w:val="00D81D1F"/>
    <w:rsid w:val="00D81F21"/>
    <w:rsid w:val="00D82233"/>
    <w:rsid w:val="00D823A9"/>
    <w:rsid w:val="00D82494"/>
    <w:rsid w:val="00D82689"/>
    <w:rsid w:val="00D82EF7"/>
    <w:rsid w:val="00D83582"/>
    <w:rsid w:val="00D8386B"/>
    <w:rsid w:val="00D83898"/>
    <w:rsid w:val="00D83984"/>
    <w:rsid w:val="00D83AEB"/>
    <w:rsid w:val="00D8416A"/>
    <w:rsid w:val="00D8424B"/>
    <w:rsid w:val="00D84D3B"/>
    <w:rsid w:val="00D84D96"/>
    <w:rsid w:val="00D84E73"/>
    <w:rsid w:val="00D84FED"/>
    <w:rsid w:val="00D8514F"/>
    <w:rsid w:val="00D85342"/>
    <w:rsid w:val="00D85643"/>
    <w:rsid w:val="00D85CB2"/>
    <w:rsid w:val="00D85D94"/>
    <w:rsid w:val="00D85E7E"/>
    <w:rsid w:val="00D85F58"/>
    <w:rsid w:val="00D86089"/>
    <w:rsid w:val="00D8609A"/>
    <w:rsid w:val="00D861B2"/>
    <w:rsid w:val="00D864F2"/>
    <w:rsid w:val="00D86E0F"/>
    <w:rsid w:val="00D871E0"/>
    <w:rsid w:val="00D871E4"/>
    <w:rsid w:val="00D87457"/>
    <w:rsid w:val="00D876B5"/>
    <w:rsid w:val="00D87828"/>
    <w:rsid w:val="00D87A1C"/>
    <w:rsid w:val="00D87BB0"/>
    <w:rsid w:val="00D87EEF"/>
    <w:rsid w:val="00D9012A"/>
    <w:rsid w:val="00D90166"/>
    <w:rsid w:val="00D9033E"/>
    <w:rsid w:val="00D906D7"/>
    <w:rsid w:val="00D907A3"/>
    <w:rsid w:val="00D90C96"/>
    <w:rsid w:val="00D910ED"/>
    <w:rsid w:val="00D912CB"/>
    <w:rsid w:val="00D9180A"/>
    <w:rsid w:val="00D919D0"/>
    <w:rsid w:val="00D91FE1"/>
    <w:rsid w:val="00D92532"/>
    <w:rsid w:val="00D926E5"/>
    <w:rsid w:val="00D92A00"/>
    <w:rsid w:val="00D92D37"/>
    <w:rsid w:val="00D92DCD"/>
    <w:rsid w:val="00D92F6D"/>
    <w:rsid w:val="00D92FBD"/>
    <w:rsid w:val="00D93029"/>
    <w:rsid w:val="00D93082"/>
    <w:rsid w:val="00D93915"/>
    <w:rsid w:val="00D943F8"/>
    <w:rsid w:val="00D946E4"/>
    <w:rsid w:val="00D94C08"/>
    <w:rsid w:val="00D94C7E"/>
    <w:rsid w:val="00D9517D"/>
    <w:rsid w:val="00D9522D"/>
    <w:rsid w:val="00D95330"/>
    <w:rsid w:val="00D95380"/>
    <w:rsid w:val="00D95470"/>
    <w:rsid w:val="00D95541"/>
    <w:rsid w:val="00D9635B"/>
    <w:rsid w:val="00D965DA"/>
    <w:rsid w:val="00D9695F"/>
    <w:rsid w:val="00D96A35"/>
    <w:rsid w:val="00D96B55"/>
    <w:rsid w:val="00D96C7F"/>
    <w:rsid w:val="00D96E9E"/>
    <w:rsid w:val="00D97011"/>
    <w:rsid w:val="00D97349"/>
    <w:rsid w:val="00D97A16"/>
    <w:rsid w:val="00D97D96"/>
    <w:rsid w:val="00DA03AB"/>
    <w:rsid w:val="00DA0528"/>
    <w:rsid w:val="00DA078C"/>
    <w:rsid w:val="00DA090C"/>
    <w:rsid w:val="00DA0999"/>
    <w:rsid w:val="00DA0A5B"/>
    <w:rsid w:val="00DA0B6D"/>
    <w:rsid w:val="00DA0EA9"/>
    <w:rsid w:val="00DA0ED6"/>
    <w:rsid w:val="00DA0FCF"/>
    <w:rsid w:val="00DA159C"/>
    <w:rsid w:val="00DA1F8D"/>
    <w:rsid w:val="00DA210C"/>
    <w:rsid w:val="00DA23D9"/>
    <w:rsid w:val="00DA2619"/>
    <w:rsid w:val="00DA3263"/>
    <w:rsid w:val="00DA40D8"/>
    <w:rsid w:val="00DA4239"/>
    <w:rsid w:val="00DA4315"/>
    <w:rsid w:val="00DA45F0"/>
    <w:rsid w:val="00DA48D2"/>
    <w:rsid w:val="00DA4FDD"/>
    <w:rsid w:val="00DA50F3"/>
    <w:rsid w:val="00DA54F4"/>
    <w:rsid w:val="00DA5858"/>
    <w:rsid w:val="00DA588C"/>
    <w:rsid w:val="00DA5975"/>
    <w:rsid w:val="00DA59D2"/>
    <w:rsid w:val="00DA5F52"/>
    <w:rsid w:val="00DA5FA9"/>
    <w:rsid w:val="00DA6006"/>
    <w:rsid w:val="00DA65DE"/>
    <w:rsid w:val="00DA6A8E"/>
    <w:rsid w:val="00DA70BC"/>
    <w:rsid w:val="00DA70EA"/>
    <w:rsid w:val="00DA717D"/>
    <w:rsid w:val="00DA78EF"/>
    <w:rsid w:val="00DA7931"/>
    <w:rsid w:val="00DA796B"/>
    <w:rsid w:val="00DA79E8"/>
    <w:rsid w:val="00DA7C85"/>
    <w:rsid w:val="00DA7F5D"/>
    <w:rsid w:val="00DA7F80"/>
    <w:rsid w:val="00DB0A7E"/>
    <w:rsid w:val="00DB0B61"/>
    <w:rsid w:val="00DB0C5C"/>
    <w:rsid w:val="00DB1474"/>
    <w:rsid w:val="00DB17E3"/>
    <w:rsid w:val="00DB1997"/>
    <w:rsid w:val="00DB19F1"/>
    <w:rsid w:val="00DB1DE3"/>
    <w:rsid w:val="00DB1FC9"/>
    <w:rsid w:val="00DB2962"/>
    <w:rsid w:val="00DB31DA"/>
    <w:rsid w:val="00DB31F2"/>
    <w:rsid w:val="00DB32AC"/>
    <w:rsid w:val="00DB3B74"/>
    <w:rsid w:val="00DB46A0"/>
    <w:rsid w:val="00DB496A"/>
    <w:rsid w:val="00DB49FC"/>
    <w:rsid w:val="00DB4B7C"/>
    <w:rsid w:val="00DB52FB"/>
    <w:rsid w:val="00DB5555"/>
    <w:rsid w:val="00DB5578"/>
    <w:rsid w:val="00DB56AB"/>
    <w:rsid w:val="00DB5DC3"/>
    <w:rsid w:val="00DB6004"/>
    <w:rsid w:val="00DB6669"/>
    <w:rsid w:val="00DB6B65"/>
    <w:rsid w:val="00DB70D3"/>
    <w:rsid w:val="00DB7243"/>
    <w:rsid w:val="00DB77A3"/>
    <w:rsid w:val="00DB79E1"/>
    <w:rsid w:val="00DB7DFB"/>
    <w:rsid w:val="00DC00E0"/>
    <w:rsid w:val="00DC013B"/>
    <w:rsid w:val="00DC090B"/>
    <w:rsid w:val="00DC091F"/>
    <w:rsid w:val="00DC0C19"/>
    <w:rsid w:val="00DC0E10"/>
    <w:rsid w:val="00DC10D2"/>
    <w:rsid w:val="00DC137C"/>
    <w:rsid w:val="00DC137E"/>
    <w:rsid w:val="00DC15BF"/>
    <w:rsid w:val="00DC1679"/>
    <w:rsid w:val="00DC1A34"/>
    <w:rsid w:val="00DC1C20"/>
    <w:rsid w:val="00DC219B"/>
    <w:rsid w:val="00DC2299"/>
    <w:rsid w:val="00DC247E"/>
    <w:rsid w:val="00DC2B2C"/>
    <w:rsid w:val="00DC2C3C"/>
    <w:rsid w:val="00DC2CF1"/>
    <w:rsid w:val="00DC2DC7"/>
    <w:rsid w:val="00DC2EA0"/>
    <w:rsid w:val="00DC2FD2"/>
    <w:rsid w:val="00DC39E4"/>
    <w:rsid w:val="00DC3A7C"/>
    <w:rsid w:val="00DC3BCC"/>
    <w:rsid w:val="00DC3DEE"/>
    <w:rsid w:val="00DC3EDE"/>
    <w:rsid w:val="00DC47A8"/>
    <w:rsid w:val="00DC4ADC"/>
    <w:rsid w:val="00DC4C23"/>
    <w:rsid w:val="00DC4C24"/>
    <w:rsid w:val="00DC4D47"/>
    <w:rsid w:val="00DC4E2F"/>
    <w:rsid w:val="00DC4FCF"/>
    <w:rsid w:val="00DC50E0"/>
    <w:rsid w:val="00DC5AA7"/>
    <w:rsid w:val="00DC5B79"/>
    <w:rsid w:val="00DC5C6A"/>
    <w:rsid w:val="00DC62CA"/>
    <w:rsid w:val="00DC6386"/>
    <w:rsid w:val="00DC6B06"/>
    <w:rsid w:val="00DC6B2A"/>
    <w:rsid w:val="00DC6E2A"/>
    <w:rsid w:val="00DC6F26"/>
    <w:rsid w:val="00DC6F7D"/>
    <w:rsid w:val="00DC72EE"/>
    <w:rsid w:val="00DC7AEF"/>
    <w:rsid w:val="00DC7ECE"/>
    <w:rsid w:val="00DD0508"/>
    <w:rsid w:val="00DD05C0"/>
    <w:rsid w:val="00DD0DB1"/>
    <w:rsid w:val="00DD0E60"/>
    <w:rsid w:val="00DD1130"/>
    <w:rsid w:val="00DD155E"/>
    <w:rsid w:val="00DD1951"/>
    <w:rsid w:val="00DD1A7C"/>
    <w:rsid w:val="00DD1BF0"/>
    <w:rsid w:val="00DD1D95"/>
    <w:rsid w:val="00DD1E0A"/>
    <w:rsid w:val="00DD2720"/>
    <w:rsid w:val="00DD272F"/>
    <w:rsid w:val="00DD287B"/>
    <w:rsid w:val="00DD37F7"/>
    <w:rsid w:val="00DD3997"/>
    <w:rsid w:val="00DD3B68"/>
    <w:rsid w:val="00DD3DCC"/>
    <w:rsid w:val="00DD3DE8"/>
    <w:rsid w:val="00DD43D6"/>
    <w:rsid w:val="00DD487D"/>
    <w:rsid w:val="00DD4921"/>
    <w:rsid w:val="00DD4ABB"/>
    <w:rsid w:val="00DD4CDA"/>
    <w:rsid w:val="00DD4E83"/>
    <w:rsid w:val="00DD5077"/>
    <w:rsid w:val="00DD57BF"/>
    <w:rsid w:val="00DD5BF0"/>
    <w:rsid w:val="00DD625D"/>
    <w:rsid w:val="00DD6628"/>
    <w:rsid w:val="00DD675F"/>
    <w:rsid w:val="00DD6945"/>
    <w:rsid w:val="00DD6948"/>
    <w:rsid w:val="00DD6C0D"/>
    <w:rsid w:val="00DD77ED"/>
    <w:rsid w:val="00DD7FDC"/>
    <w:rsid w:val="00DE0179"/>
    <w:rsid w:val="00DE0239"/>
    <w:rsid w:val="00DE0774"/>
    <w:rsid w:val="00DE0BE1"/>
    <w:rsid w:val="00DE0F63"/>
    <w:rsid w:val="00DE10A0"/>
    <w:rsid w:val="00DE110D"/>
    <w:rsid w:val="00DE1183"/>
    <w:rsid w:val="00DE1D22"/>
    <w:rsid w:val="00DE1F8C"/>
    <w:rsid w:val="00DE1FE7"/>
    <w:rsid w:val="00DE27C2"/>
    <w:rsid w:val="00DE28AD"/>
    <w:rsid w:val="00DE2D04"/>
    <w:rsid w:val="00DE2F27"/>
    <w:rsid w:val="00DE3250"/>
    <w:rsid w:val="00DE3287"/>
    <w:rsid w:val="00DE339F"/>
    <w:rsid w:val="00DE39A4"/>
    <w:rsid w:val="00DE3CA4"/>
    <w:rsid w:val="00DE4541"/>
    <w:rsid w:val="00DE46F1"/>
    <w:rsid w:val="00DE49A2"/>
    <w:rsid w:val="00DE49FF"/>
    <w:rsid w:val="00DE4C63"/>
    <w:rsid w:val="00DE5193"/>
    <w:rsid w:val="00DE521F"/>
    <w:rsid w:val="00DE55F8"/>
    <w:rsid w:val="00DE5A51"/>
    <w:rsid w:val="00DE5FF3"/>
    <w:rsid w:val="00DE6028"/>
    <w:rsid w:val="00DE6718"/>
    <w:rsid w:val="00DE6800"/>
    <w:rsid w:val="00DE6821"/>
    <w:rsid w:val="00DE6B0D"/>
    <w:rsid w:val="00DE6B25"/>
    <w:rsid w:val="00DE6C85"/>
    <w:rsid w:val="00DE7016"/>
    <w:rsid w:val="00DE718D"/>
    <w:rsid w:val="00DE7308"/>
    <w:rsid w:val="00DE7352"/>
    <w:rsid w:val="00DE76F7"/>
    <w:rsid w:val="00DE78A3"/>
    <w:rsid w:val="00DE7C16"/>
    <w:rsid w:val="00DE7DD2"/>
    <w:rsid w:val="00DE7EC9"/>
    <w:rsid w:val="00DE7EDF"/>
    <w:rsid w:val="00DF00D1"/>
    <w:rsid w:val="00DF02AD"/>
    <w:rsid w:val="00DF04A0"/>
    <w:rsid w:val="00DF04DC"/>
    <w:rsid w:val="00DF0A6E"/>
    <w:rsid w:val="00DF0A70"/>
    <w:rsid w:val="00DF0C4E"/>
    <w:rsid w:val="00DF0D1D"/>
    <w:rsid w:val="00DF0E01"/>
    <w:rsid w:val="00DF113C"/>
    <w:rsid w:val="00DF13A1"/>
    <w:rsid w:val="00DF1474"/>
    <w:rsid w:val="00DF1673"/>
    <w:rsid w:val="00DF17E6"/>
    <w:rsid w:val="00DF1A71"/>
    <w:rsid w:val="00DF1AA0"/>
    <w:rsid w:val="00DF1C16"/>
    <w:rsid w:val="00DF1FBB"/>
    <w:rsid w:val="00DF1FFC"/>
    <w:rsid w:val="00DF2531"/>
    <w:rsid w:val="00DF2A75"/>
    <w:rsid w:val="00DF2AF9"/>
    <w:rsid w:val="00DF2CCB"/>
    <w:rsid w:val="00DF2D8F"/>
    <w:rsid w:val="00DF33CC"/>
    <w:rsid w:val="00DF345E"/>
    <w:rsid w:val="00DF373B"/>
    <w:rsid w:val="00DF3CF3"/>
    <w:rsid w:val="00DF3D72"/>
    <w:rsid w:val="00DF3FDB"/>
    <w:rsid w:val="00DF4097"/>
    <w:rsid w:val="00DF4166"/>
    <w:rsid w:val="00DF472C"/>
    <w:rsid w:val="00DF50FC"/>
    <w:rsid w:val="00DF5A20"/>
    <w:rsid w:val="00DF5C36"/>
    <w:rsid w:val="00DF601C"/>
    <w:rsid w:val="00DF664E"/>
    <w:rsid w:val="00DF68C7"/>
    <w:rsid w:val="00DF6935"/>
    <w:rsid w:val="00DF6AC1"/>
    <w:rsid w:val="00DF6BDE"/>
    <w:rsid w:val="00DF731A"/>
    <w:rsid w:val="00DF7358"/>
    <w:rsid w:val="00DF769B"/>
    <w:rsid w:val="00DF7943"/>
    <w:rsid w:val="00E0022B"/>
    <w:rsid w:val="00E003B6"/>
    <w:rsid w:val="00E00DE4"/>
    <w:rsid w:val="00E01303"/>
    <w:rsid w:val="00E015C4"/>
    <w:rsid w:val="00E01767"/>
    <w:rsid w:val="00E01846"/>
    <w:rsid w:val="00E0198E"/>
    <w:rsid w:val="00E02A92"/>
    <w:rsid w:val="00E02B06"/>
    <w:rsid w:val="00E02D1A"/>
    <w:rsid w:val="00E02D7E"/>
    <w:rsid w:val="00E02DE9"/>
    <w:rsid w:val="00E02F0A"/>
    <w:rsid w:val="00E031AF"/>
    <w:rsid w:val="00E03F9F"/>
    <w:rsid w:val="00E040ED"/>
    <w:rsid w:val="00E040F7"/>
    <w:rsid w:val="00E0442D"/>
    <w:rsid w:val="00E045C3"/>
    <w:rsid w:val="00E04D43"/>
    <w:rsid w:val="00E053DD"/>
    <w:rsid w:val="00E0569B"/>
    <w:rsid w:val="00E057F2"/>
    <w:rsid w:val="00E058BD"/>
    <w:rsid w:val="00E05DDE"/>
    <w:rsid w:val="00E0641E"/>
    <w:rsid w:val="00E06775"/>
    <w:rsid w:val="00E06925"/>
    <w:rsid w:val="00E06B75"/>
    <w:rsid w:val="00E073F1"/>
    <w:rsid w:val="00E07590"/>
    <w:rsid w:val="00E07716"/>
    <w:rsid w:val="00E10C9E"/>
    <w:rsid w:val="00E10E07"/>
    <w:rsid w:val="00E10E0E"/>
    <w:rsid w:val="00E10E30"/>
    <w:rsid w:val="00E11332"/>
    <w:rsid w:val="00E11352"/>
    <w:rsid w:val="00E1148E"/>
    <w:rsid w:val="00E11640"/>
    <w:rsid w:val="00E116DC"/>
    <w:rsid w:val="00E1177D"/>
    <w:rsid w:val="00E120AB"/>
    <w:rsid w:val="00E121F9"/>
    <w:rsid w:val="00E1270B"/>
    <w:rsid w:val="00E13114"/>
    <w:rsid w:val="00E136E9"/>
    <w:rsid w:val="00E137FF"/>
    <w:rsid w:val="00E1384D"/>
    <w:rsid w:val="00E13863"/>
    <w:rsid w:val="00E13DAB"/>
    <w:rsid w:val="00E1427C"/>
    <w:rsid w:val="00E14742"/>
    <w:rsid w:val="00E14D62"/>
    <w:rsid w:val="00E15867"/>
    <w:rsid w:val="00E1594D"/>
    <w:rsid w:val="00E15E95"/>
    <w:rsid w:val="00E16114"/>
    <w:rsid w:val="00E165A0"/>
    <w:rsid w:val="00E16942"/>
    <w:rsid w:val="00E16ED4"/>
    <w:rsid w:val="00E17017"/>
    <w:rsid w:val="00E170DC"/>
    <w:rsid w:val="00E172D6"/>
    <w:rsid w:val="00E17546"/>
    <w:rsid w:val="00E17574"/>
    <w:rsid w:val="00E1767F"/>
    <w:rsid w:val="00E177D9"/>
    <w:rsid w:val="00E17841"/>
    <w:rsid w:val="00E178C4"/>
    <w:rsid w:val="00E20156"/>
    <w:rsid w:val="00E20289"/>
    <w:rsid w:val="00E202DD"/>
    <w:rsid w:val="00E203C0"/>
    <w:rsid w:val="00E20554"/>
    <w:rsid w:val="00E205F9"/>
    <w:rsid w:val="00E20643"/>
    <w:rsid w:val="00E2088F"/>
    <w:rsid w:val="00E20C2B"/>
    <w:rsid w:val="00E20ED1"/>
    <w:rsid w:val="00E20F41"/>
    <w:rsid w:val="00E210B5"/>
    <w:rsid w:val="00E21AD5"/>
    <w:rsid w:val="00E2203C"/>
    <w:rsid w:val="00E22108"/>
    <w:rsid w:val="00E22364"/>
    <w:rsid w:val="00E22494"/>
    <w:rsid w:val="00E22B0F"/>
    <w:rsid w:val="00E22CCF"/>
    <w:rsid w:val="00E22CDC"/>
    <w:rsid w:val="00E23035"/>
    <w:rsid w:val="00E232BF"/>
    <w:rsid w:val="00E23361"/>
    <w:rsid w:val="00E23847"/>
    <w:rsid w:val="00E23882"/>
    <w:rsid w:val="00E23ACA"/>
    <w:rsid w:val="00E23F04"/>
    <w:rsid w:val="00E23FC0"/>
    <w:rsid w:val="00E242F0"/>
    <w:rsid w:val="00E245BD"/>
    <w:rsid w:val="00E24C0C"/>
    <w:rsid w:val="00E24DD4"/>
    <w:rsid w:val="00E24E49"/>
    <w:rsid w:val="00E252F6"/>
    <w:rsid w:val="00E256F2"/>
    <w:rsid w:val="00E25A04"/>
    <w:rsid w:val="00E25A7D"/>
    <w:rsid w:val="00E25A8F"/>
    <w:rsid w:val="00E25C2D"/>
    <w:rsid w:val="00E25DC3"/>
    <w:rsid w:val="00E26065"/>
    <w:rsid w:val="00E26132"/>
    <w:rsid w:val="00E261B3"/>
    <w:rsid w:val="00E26599"/>
    <w:rsid w:val="00E267A6"/>
    <w:rsid w:val="00E267DB"/>
    <w:rsid w:val="00E26818"/>
    <w:rsid w:val="00E26B37"/>
    <w:rsid w:val="00E26DB0"/>
    <w:rsid w:val="00E26FB5"/>
    <w:rsid w:val="00E270F7"/>
    <w:rsid w:val="00E2723F"/>
    <w:rsid w:val="00E2755A"/>
    <w:rsid w:val="00E2776C"/>
    <w:rsid w:val="00E278E5"/>
    <w:rsid w:val="00E27DB9"/>
    <w:rsid w:val="00E27E09"/>
    <w:rsid w:val="00E27EBA"/>
    <w:rsid w:val="00E27F49"/>
    <w:rsid w:val="00E27FFC"/>
    <w:rsid w:val="00E305D8"/>
    <w:rsid w:val="00E30791"/>
    <w:rsid w:val="00E30B15"/>
    <w:rsid w:val="00E30DD0"/>
    <w:rsid w:val="00E3118D"/>
    <w:rsid w:val="00E31569"/>
    <w:rsid w:val="00E31692"/>
    <w:rsid w:val="00E3180C"/>
    <w:rsid w:val="00E31B9E"/>
    <w:rsid w:val="00E31F71"/>
    <w:rsid w:val="00E328E6"/>
    <w:rsid w:val="00E32D1F"/>
    <w:rsid w:val="00E32E34"/>
    <w:rsid w:val="00E32F04"/>
    <w:rsid w:val="00E32FF3"/>
    <w:rsid w:val="00E33237"/>
    <w:rsid w:val="00E33979"/>
    <w:rsid w:val="00E33B6B"/>
    <w:rsid w:val="00E342AF"/>
    <w:rsid w:val="00E34BF2"/>
    <w:rsid w:val="00E350A7"/>
    <w:rsid w:val="00E351C3"/>
    <w:rsid w:val="00E3523F"/>
    <w:rsid w:val="00E354BF"/>
    <w:rsid w:val="00E354E7"/>
    <w:rsid w:val="00E35D56"/>
    <w:rsid w:val="00E35E5A"/>
    <w:rsid w:val="00E35E9E"/>
    <w:rsid w:val="00E3674B"/>
    <w:rsid w:val="00E3681F"/>
    <w:rsid w:val="00E36ACA"/>
    <w:rsid w:val="00E36BBE"/>
    <w:rsid w:val="00E36BC3"/>
    <w:rsid w:val="00E36C69"/>
    <w:rsid w:val="00E36FAA"/>
    <w:rsid w:val="00E3706D"/>
    <w:rsid w:val="00E371CC"/>
    <w:rsid w:val="00E372E5"/>
    <w:rsid w:val="00E37417"/>
    <w:rsid w:val="00E3752C"/>
    <w:rsid w:val="00E37579"/>
    <w:rsid w:val="00E375CC"/>
    <w:rsid w:val="00E3765A"/>
    <w:rsid w:val="00E37838"/>
    <w:rsid w:val="00E37DAE"/>
    <w:rsid w:val="00E37F46"/>
    <w:rsid w:val="00E40181"/>
    <w:rsid w:val="00E4020C"/>
    <w:rsid w:val="00E4049C"/>
    <w:rsid w:val="00E409C6"/>
    <w:rsid w:val="00E40AAD"/>
    <w:rsid w:val="00E41231"/>
    <w:rsid w:val="00E414E5"/>
    <w:rsid w:val="00E41AF0"/>
    <w:rsid w:val="00E4226C"/>
    <w:rsid w:val="00E4236C"/>
    <w:rsid w:val="00E425CF"/>
    <w:rsid w:val="00E42C0C"/>
    <w:rsid w:val="00E42E3D"/>
    <w:rsid w:val="00E437A6"/>
    <w:rsid w:val="00E437C6"/>
    <w:rsid w:val="00E43A70"/>
    <w:rsid w:val="00E44206"/>
    <w:rsid w:val="00E44278"/>
    <w:rsid w:val="00E4446A"/>
    <w:rsid w:val="00E44623"/>
    <w:rsid w:val="00E4462F"/>
    <w:rsid w:val="00E44B81"/>
    <w:rsid w:val="00E44CB4"/>
    <w:rsid w:val="00E44EDF"/>
    <w:rsid w:val="00E4505C"/>
    <w:rsid w:val="00E45188"/>
    <w:rsid w:val="00E4520F"/>
    <w:rsid w:val="00E45AD0"/>
    <w:rsid w:val="00E45D30"/>
    <w:rsid w:val="00E45F65"/>
    <w:rsid w:val="00E46159"/>
    <w:rsid w:val="00E4620E"/>
    <w:rsid w:val="00E463C8"/>
    <w:rsid w:val="00E46458"/>
    <w:rsid w:val="00E464A0"/>
    <w:rsid w:val="00E4650F"/>
    <w:rsid w:val="00E4654F"/>
    <w:rsid w:val="00E4675D"/>
    <w:rsid w:val="00E46A5D"/>
    <w:rsid w:val="00E46F0A"/>
    <w:rsid w:val="00E477DA"/>
    <w:rsid w:val="00E47CEF"/>
    <w:rsid w:val="00E47E9E"/>
    <w:rsid w:val="00E507ED"/>
    <w:rsid w:val="00E508A6"/>
    <w:rsid w:val="00E50DC4"/>
    <w:rsid w:val="00E50EBF"/>
    <w:rsid w:val="00E512C3"/>
    <w:rsid w:val="00E516CA"/>
    <w:rsid w:val="00E51CDF"/>
    <w:rsid w:val="00E52018"/>
    <w:rsid w:val="00E5243E"/>
    <w:rsid w:val="00E52485"/>
    <w:rsid w:val="00E52951"/>
    <w:rsid w:val="00E52F00"/>
    <w:rsid w:val="00E531BF"/>
    <w:rsid w:val="00E5432D"/>
    <w:rsid w:val="00E547BE"/>
    <w:rsid w:val="00E54950"/>
    <w:rsid w:val="00E54B48"/>
    <w:rsid w:val="00E54B95"/>
    <w:rsid w:val="00E54D33"/>
    <w:rsid w:val="00E55FB3"/>
    <w:rsid w:val="00E5674B"/>
    <w:rsid w:val="00E568D3"/>
    <w:rsid w:val="00E56996"/>
    <w:rsid w:val="00E56A01"/>
    <w:rsid w:val="00E56BCF"/>
    <w:rsid w:val="00E56C2B"/>
    <w:rsid w:val="00E56C41"/>
    <w:rsid w:val="00E578DE"/>
    <w:rsid w:val="00E5795E"/>
    <w:rsid w:val="00E57DAB"/>
    <w:rsid w:val="00E57EDD"/>
    <w:rsid w:val="00E57F78"/>
    <w:rsid w:val="00E6001A"/>
    <w:rsid w:val="00E60367"/>
    <w:rsid w:val="00E60416"/>
    <w:rsid w:val="00E60D4D"/>
    <w:rsid w:val="00E614A8"/>
    <w:rsid w:val="00E61676"/>
    <w:rsid w:val="00E616AD"/>
    <w:rsid w:val="00E61742"/>
    <w:rsid w:val="00E6218B"/>
    <w:rsid w:val="00E6241C"/>
    <w:rsid w:val="00E62514"/>
    <w:rsid w:val="00E6270F"/>
    <w:rsid w:val="00E627B7"/>
    <w:rsid w:val="00E629A1"/>
    <w:rsid w:val="00E62B16"/>
    <w:rsid w:val="00E6315C"/>
    <w:rsid w:val="00E6328C"/>
    <w:rsid w:val="00E63327"/>
    <w:rsid w:val="00E6333A"/>
    <w:rsid w:val="00E63819"/>
    <w:rsid w:val="00E63862"/>
    <w:rsid w:val="00E63BCE"/>
    <w:rsid w:val="00E642AD"/>
    <w:rsid w:val="00E64388"/>
    <w:rsid w:val="00E643C5"/>
    <w:rsid w:val="00E64633"/>
    <w:rsid w:val="00E64BB7"/>
    <w:rsid w:val="00E64E98"/>
    <w:rsid w:val="00E64E99"/>
    <w:rsid w:val="00E657CA"/>
    <w:rsid w:val="00E65CC9"/>
    <w:rsid w:val="00E65E99"/>
    <w:rsid w:val="00E65FA7"/>
    <w:rsid w:val="00E6602C"/>
    <w:rsid w:val="00E660FE"/>
    <w:rsid w:val="00E66C0C"/>
    <w:rsid w:val="00E67282"/>
    <w:rsid w:val="00E672BA"/>
    <w:rsid w:val="00E6794C"/>
    <w:rsid w:val="00E679B9"/>
    <w:rsid w:val="00E67B0F"/>
    <w:rsid w:val="00E67B17"/>
    <w:rsid w:val="00E67D48"/>
    <w:rsid w:val="00E67F21"/>
    <w:rsid w:val="00E6E23B"/>
    <w:rsid w:val="00E7015C"/>
    <w:rsid w:val="00E70291"/>
    <w:rsid w:val="00E70BC7"/>
    <w:rsid w:val="00E71174"/>
    <w:rsid w:val="00E71569"/>
    <w:rsid w:val="00E71591"/>
    <w:rsid w:val="00E71C5E"/>
    <w:rsid w:val="00E71CB6"/>
    <w:rsid w:val="00E71CEB"/>
    <w:rsid w:val="00E722DA"/>
    <w:rsid w:val="00E7243C"/>
    <w:rsid w:val="00E726F8"/>
    <w:rsid w:val="00E72B40"/>
    <w:rsid w:val="00E73085"/>
    <w:rsid w:val="00E731D5"/>
    <w:rsid w:val="00E7337F"/>
    <w:rsid w:val="00E7355D"/>
    <w:rsid w:val="00E7383B"/>
    <w:rsid w:val="00E73C35"/>
    <w:rsid w:val="00E73E6E"/>
    <w:rsid w:val="00E73EA6"/>
    <w:rsid w:val="00E7427D"/>
    <w:rsid w:val="00E7474F"/>
    <w:rsid w:val="00E74763"/>
    <w:rsid w:val="00E74B50"/>
    <w:rsid w:val="00E74EF2"/>
    <w:rsid w:val="00E74F31"/>
    <w:rsid w:val="00E74F94"/>
    <w:rsid w:val="00E75391"/>
    <w:rsid w:val="00E75D3D"/>
    <w:rsid w:val="00E7602E"/>
    <w:rsid w:val="00E760DF"/>
    <w:rsid w:val="00E7622E"/>
    <w:rsid w:val="00E764A3"/>
    <w:rsid w:val="00E765E3"/>
    <w:rsid w:val="00E76A45"/>
    <w:rsid w:val="00E76D6A"/>
    <w:rsid w:val="00E774D3"/>
    <w:rsid w:val="00E774F0"/>
    <w:rsid w:val="00E77817"/>
    <w:rsid w:val="00E77ACB"/>
    <w:rsid w:val="00E77C05"/>
    <w:rsid w:val="00E77DA7"/>
    <w:rsid w:val="00E80056"/>
    <w:rsid w:val="00E805A5"/>
    <w:rsid w:val="00E805EB"/>
    <w:rsid w:val="00E807C8"/>
    <w:rsid w:val="00E808C3"/>
    <w:rsid w:val="00E80ACC"/>
    <w:rsid w:val="00E80B41"/>
    <w:rsid w:val="00E80D6C"/>
    <w:rsid w:val="00E80DE3"/>
    <w:rsid w:val="00E80F56"/>
    <w:rsid w:val="00E80FAB"/>
    <w:rsid w:val="00E812DE"/>
    <w:rsid w:val="00E81968"/>
    <w:rsid w:val="00E81AFC"/>
    <w:rsid w:val="00E81D36"/>
    <w:rsid w:val="00E823C7"/>
    <w:rsid w:val="00E82499"/>
    <w:rsid w:val="00E82540"/>
    <w:rsid w:val="00E82A6A"/>
    <w:rsid w:val="00E82B80"/>
    <w:rsid w:val="00E82C55"/>
    <w:rsid w:val="00E82F03"/>
    <w:rsid w:val="00E8335B"/>
    <w:rsid w:val="00E83A7A"/>
    <w:rsid w:val="00E841E6"/>
    <w:rsid w:val="00E844BB"/>
    <w:rsid w:val="00E845BD"/>
    <w:rsid w:val="00E8471A"/>
    <w:rsid w:val="00E84A00"/>
    <w:rsid w:val="00E84DAC"/>
    <w:rsid w:val="00E84F77"/>
    <w:rsid w:val="00E852B6"/>
    <w:rsid w:val="00E8566A"/>
    <w:rsid w:val="00E8581D"/>
    <w:rsid w:val="00E85A7E"/>
    <w:rsid w:val="00E86599"/>
    <w:rsid w:val="00E86A61"/>
    <w:rsid w:val="00E86D7D"/>
    <w:rsid w:val="00E87147"/>
    <w:rsid w:val="00E8787E"/>
    <w:rsid w:val="00E87934"/>
    <w:rsid w:val="00E87AC2"/>
    <w:rsid w:val="00E87D17"/>
    <w:rsid w:val="00E87DDE"/>
    <w:rsid w:val="00E87EB3"/>
    <w:rsid w:val="00E9040F"/>
    <w:rsid w:val="00E9042A"/>
    <w:rsid w:val="00E904B7"/>
    <w:rsid w:val="00E907DD"/>
    <w:rsid w:val="00E90844"/>
    <w:rsid w:val="00E908D1"/>
    <w:rsid w:val="00E90AD1"/>
    <w:rsid w:val="00E90B28"/>
    <w:rsid w:val="00E90F98"/>
    <w:rsid w:val="00E912BE"/>
    <w:rsid w:val="00E914F2"/>
    <w:rsid w:val="00E915A7"/>
    <w:rsid w:val="00E918E2"/>
    <w:rsid w:val="00E91C2C"/>
    <w:rsid w:val="00E91C50"/>
    <w:rsid w:val="00E91F12"/>
    <w:rsid w:val="00E92929"/>
    <w:rsid w:val="00E92A8D"/>
    <w:rsid w:val="00E92AC3"/>
    <w:rsid w:val="00E92B02"/>
    <w:rsid w:val="00E93019"/>
    <w:rsid w:val="00E93176"/>
    <w:rsid w:val="00E9326D"/>
    <w:rsid w:val="00E93317"/>
    <w:rsid w:val="00E93699"/>
    <w:rsid w:val="00E93740"/>
    <w:rsid w:val="00E93B0B"/>
    <w:rsid w:val="00E9430D"/>
    <w:rsid w:val="00E9473F"/>
    <w:rsid w:val="00E9529F"/>
    <w:rsid w:val="00E957E6"/>
    <w:rsid w:val="00E95D1E"/>
    <w:rsid w:val="00E96424"/>
    <w:rsid w:val="00E967B5"/>
    <w:rsid w:val="00E97064"/>
    <w:rsid w:val="00E972B1"/>
    <w:rsid w:val="00E972F0"/>
    <w:rsid w:val="00E977FF"/>
    <w:rsid w:val="00E97E3B"/>
    <w:rsid w:val="00EA04D0"/>
    <w:rsid w:val="00EA0875"/>
    <w:rsid w:val="00EA18E4"/>
    <w:rsid w:val="00EA2240"/>
    <w:rsid w:val="00EA2287"/>
    <w:rsid w:val="00EA2586"/>
    <w:rsid w:val="00EA2A20"/>
    <w:rsid w:val="00EA2AD7"/>
    <w:rsid w:val="00EA2BCC"/>
    <w:rsid w:val="00EA2F6A"/>
    <w:rsid w:val="00EA2FA1"/>
    <w:rsid w:val="00EA30A1"/>
    <w:rsid w:val="00EA4748"/>
    <w:rsid w:val="00EA4937"/>
    <w:rsid w:val="00EA4A62"/>
    <w:rsid w:val="00EA4CE1"/>
    <w:rsid w:val="00EA4FA8"/>
    <w:rsid w:val="00EA4FF3"/>
    <w:rsid w:val="00EA55DE"/>
    <w:rsid w:val="00EA5876"/>
    <w:rsid w:val="00EA59F5"/>
    <w:rsid w:val="00EA5D9B"/>
    <w:rsid w:val="00EA5E4A"/>
    <w:rsid w:val="00EA61A8"/>
    <w:rsid w:val="00EA61EC"/>
    <w:rsid w:val="00EA645C"/>
    <w:rsid w:val="00EA6648"/>
    <w:rsid w:val="00EA664D"/>
    <w:rsid w:val="00EA6825"/>
    <w:rsid w:val="00EA6A83"/>
    <w:rsid w:val="00EA6B30"/>
    <w:rsid w:val="00EA7178"/>
    <w:rsid w:val="00EA7497"/>
    <w:rsid w:val="00EA7824"/>
    <w:rsid w:val="00EA7915"/>
    <w:rsid w:val="00EA7BCA"/>
    <w:rsid w:val="00EA7BD8"/>
    <w:rsid w:val="00EA7C36"/>
    <w:rsid w:val="00EA7E4F"/>
    <w:rsid w:val="00EA7FA9"/>
    <w:rsid w:val="00EB0063"/>
    <w:rsid w:val="00EB00E0"/>
    <w:rsid w:val="00EB045B"/>
    <w:rsid w:val="00EB05D5"/>
    <w:rsid w:val="00EB075E"/>
    <w:rsid w:val="00EB07A6"/>
    <w:rsid w:val="00EB0885"/>
    <w:rsid w:val="00EB088B"/>
    <w:rsid w:val="00EB0968"/>
    <w:rsid w:val="00EB0AD4"/>
    <w:rsid w:val="00EB11A3"/>
    <w:rsid w:val="00EB1973"/>
    <w:rsid w:val="00EB1B9A"/>
    <w:rsid w:val="00EB22FA"/>
    <w:rsid w:val="00EB2367"/>
    <w:rsid w:val="00EB247A"/>
    <w:rsid w:val="00EB2537"/>
    <w:rsid w:val="00EB2BA1"/>
    <w:rsid w:val="00EB2E2F"/>
    <w:rsid w:val="00EB2F35"/>
    <w:rsid w:val="00EB333B"/>
    <w:rsid w:val="00EB3360"/>
    <w:rsid w:val="00EB34B7"/>
    <w:rsid w:val="00EB3678"/>
    <w:rsid w:val="00EB37E9"/>
    <w:rsid w:val="00EB38CC"/>
    <w:rsid w:val="00EB3ADA"/>
    <w:rsid w:val="00EB3B3D"/>
    <w:rsid w:val="00EB3C89"/>
    <w:rsid w:val="00EB3CAB"/>
    <w:rsid w:val="00EB3E02"/>
    <w:rsid w:val="00EB4853"/>
    <w:rsid w:val="00EB4BC7"/>
    <w:rsid w:val="00EB4FAB"/>
    <w:rsid w:val="00EB51A3"/>
    <w:rsid w:val="00EB5251"/>
    <w:rsid w:val="00EB5534"/>
    <w:rsid w:val="00EB56B9"/>
    <w:rsid w:val="00EB652B"/>
    <w:rsid w:val="00EB68E6"/>
    <w:rsid w:val="00EB6A43"/>
    <w:rsid w:val="00EB6A49"/>
    <w:rsid w:val="00EB7732"/>
    <w:rsid w:val="00EB78BD"/>
    <w:rsid w:val="00EB7CA4"/>
    <w:rsid w:val="00EB7EA0"/>
    <w:rsid w:val="00EB7FD6"/>
    <w:rsid w:val="00EC007F"/>
    <w:rsid w:val="00EC0352"/>
    <w:rsid w:val="00EC059F"/>
    <w:rsid w:val="00EC0989"/>
    <w:rsid w:val="00EC0B7A"/>
    <w:rsid w:val="00EC0BF8"/>
    <w:rsid w:val="00EC0CD3"/>
    <w:rsid w:val="00EC0E80"/>
    <w:rsid w:val="00EC1514"/>
    <w:rsid w:val="00EC18D5"/>
    <w:rsid w:val="00EC1939"/>
    <w:rsid w:val="00EC1C64"/>
    <w:rsid w:val="00EC1F24"/>
    <w:rsid w:val="00EC1F28"/>
    <w:rsid w:val="00EC1FA9"/>
    <w:rsid w:val="00EC2148"/>
    <w:rsid w:val="00EC219F"/>
    <w:rsid w:val="00EC22F6"/>
    <w:rsid w:val="00EC23AB"/>
    <w:rsid w:val="00EC2702"/>
    <w:rsid w:val="00EC27A8"/>
    <w:rsid w:val="00EC2932"/>
    <w:rsid w:val="00EC2B40"/>
    <w:rsid w:val="00EC2E0F"/>
    <w:rsid w:val="00EC385D"/>
    <w:rsid w:val="00EC3BAA"/>
    <w:rsid w:val="00EC3DB6"/>
    <w:rsid w:val="00EC3DB9"/>
    <w:rsid w:val="00EC3FF0"/>
    <w:rsid w:val="00EC40B0"/>
    <w:rsid w:val="00EC434D"/>
    <w:rsid w:val="00EC4422"/>
    <w:rsid w:val="00EC4792"/>
    <w:rsid w:val="00EC4AFE"/>
    <w:rsid w:val="00EC4E24"/>
    <w:rsid w:val="00EC500C"/>
    <w:rsid w:val="00EC52CA"/>
    <w:rsid w:val="00EC56E1"/>
    <w:rsid w:val="00EC5D05"/>
    <w:rsid w:val="00EC5DDF"/>
    <w:rsid w:val="00EC5E56"/>
    <w:rsid w:val="00EC5F94"/>
    <w:rsid w:val="00EC64EC"/>
    <w:rsid w:val="00EC7035"/>
    <w:rsid w:val="00EC7328"/>
    <w:rsid w:val="00EC73D8"/>
    <w:rsid w:val="00EC73F4"/>
    <w:rsid w:val="00EC7726"/>
    <w:rsid w:val="00EC7C84"/>
    <w:rsid w:val="00ED01B9"/>
    <w:rsid w:val="00ED0219"/>
    <w:rsid w:val="00ED050D"/>
    <w:rsid w:val="00ED05A4"/>
    <w:rsid w:val="00ED061D"/>
    <w:rsid w:val="00ED075B"/>
    <w:rsid w:val="00ED0BAB"/>
    <w:rsid w:val="00ED0C8D"/>
    <w:rsid w:val="00ED1177"/>
    <w:rsid w:val="00ED120B"/>
    <w:rsid w:val="00ED139A"/>
    <w:rsid w:val="00ED150C"/>
    <w:rsid w:val="00ED157D"/>
    <w:rsid w:val="00ED1753"/>
    <w:rsid w:val="00ED1824"/>
    <w:rsid w:val="00ED1A86"/>
    <w:rsid w:val="00ED1E62"/>
    <w:rsid w:val="00ED2580"/>
    <w:rsid w:val="00ED2A59"/>
    <w:rsid w:val="00ED2DA0"/>
    <w:rsid w:val="00ED2EB4"/>
    <w:rsid w:val="00ED39B9"/>
    <w:rsid w:val="00ED3ACC"/>
    <w:rsid w:val="00ED3AD3"/>
    <w:rsid w:val="00ED3CE9"/>
    <w:rsid w:val="00ED41B6"/>
    <w:rsid w:val="00ED475E"/>
    <w:rsid w:val="00ED47B8"/>
    <w:rsid w:val="00ED4A2C"/>
    <w:rsid w:val="00ED4CA2"/>
    <w:rsid w:val="00ED4E36"/>
    <w:rsid w:val="00ED4F5E"/>
    <w:rsid w:val="00ED50D7"/>
    <w:rsid w:val="00ED5448"/>
    <w:rsid w:val="00ED5596"/>
    <w:rsid w:val="00ED56A2"/>
    <w:rsid w:val="00ED56E8"/>
    <w:rsid w:val="00ED595D"/>
    <w:rsid w:val="00ED5B9B"/>
    <w:rsid w:val="00ED5B9C"/>
    <w:rsid w:val="00ED5FD9"/>
    <w:rsid w:val="00ED61CD"/>
    <w:rsid w:val="00ED67A6"/>
    <w:rsid w:val="00ED6B8A"/>
    <w:rsid w:val="00ED6BAD"/>
    <w:rsid w:val="00ED6CB3"/>
    <w:rsid w:val="00ED6CEC"/>
    <w:rsid w:val="00ED7447"/>
    <w:rsid w:val="00ED7762"/>
    <w:rsid w:val="00ED79C1"/>
    <w:rsid w:val="00EE00D6"/>
    <w:rsid w:val="00EE0442"/>
    <w:rsid w:val="00EE059C"/>
    <w:rsid w:val="00EE0762"/>
    <w:rsid w:val="00EE0789"/>
    <w:rsid w:val="00EE0BF0"/>
    <w:rsid w:val="00EE0CCA"/>
    <w:rsid w:val="00EE10FD"/>
    <w:rsid w:val="00EE11E7"/>
    <w:rsid w:val="00EE1488"/>
    <w:rsid w:val="00EE1AE9"/>
    <w:rsid w:val="00EE1DE3"/>
    <w:rsid w:val="00EE1E0F"/>
    <w:rsid w:val="00EE1F6F"/>
    <w:rsid w:val="00EE211F"/>
    <w:rsid w:val="00EE2675"/>
    <w:rsid w:val="00EE29AD"/>
    <w:rsid w:val="00EE2CDA"/>
    <w:rsid w:val="00EE346E"/>
    <w:rsid w:val="00EE3C58"/>
    <w:rsid w:val="00EE3E24"/>
    <w:rsid w:val="00EE405A"/>
    <w:rsid w:val="00EE43D6"/>
    <w:rsid w:val="00EE484B"/>
    <w:rsid w:val="00EE4B2A"/>
    <w:rsid w:val="00EE4C60"/>
    <w:rsid w:val="00EE4D5D"/>
    <w:rsid w:val="00EE4FF2"/>
    <w:rsid w:val="00EE5131"/>
    <w:rsid w:val="00EE5301"/>
    <w:rsid w:val="00EE54EF"/>
    <w:rsid w:val="00EE559A"/>
    <w:rsid w:val="00EE5709"/>
    <w:rsid w:val="00EE5965"/>
    <w:rsid w:val="00EE5F32"/>
    <w:rsid w:val="00EE63A4"/>
    <w:rsid w:val="00EE6521"/>
    <w:rsid w:val="00EE6759"/>
    <w:rsid w:val="00EE6D1D"/>
    <w:rsid w:val="00EE6F18"/>
    <w:rsid w:val="00EE71D2"/>
    <w:rsid w:val="00EE74B5"/>
    <w:rsid w:val="00EE74D4"/>
    <w:rsid w:val="00EF0189"/>
    <w:rsid w:val="00EF0AB6"/>
    <w:rsid w:val="00EF0BDC"/>
    <w:rsid w:val="00EF108C"/>
    <w:rsid w:val="00EF109B"/>
    <w:rsid w:val="00EF169A"/>
    <w:rsid w:val="00EF1BE0"/>
    <w:rsid w:val="00EF1DA5"/>
    <w:rsid w:val="00EF201C"/>
    <w:rsid w:val="00EF215F"/>
    <w:rsid w:val="00EF2748"/>
    <w:rsid w:val="00EF2AD3"/>
    <w:rsid w:val="00EF2B6C"/>
    <w:rsid w:val="00EF2C72"/>
    <w:rsid w:val="00EF2D64"/>
    <w:rsid w:val="00EF2E0F"/>
    <w:rsid w:val="00EF3005"/>
    <w:rsid w:val="00EF36AF"/>
    <w:rsid w:val="00EF36E2"/>
    <w:rsid w:val="00EF3733"/>
    <w:rsid w:val="00EF3755"/>
    <w:rsid w:val="00EF391C"/>
    <w:rsid w:val="00EF3E2E"/>
    <w:rsid w:val="00EF401E"/>
    <w:rsid w:val="00EF404E"/>
    <w:rsid w:val="00EF405C"/>
    <w:rsid w:val="00EF4086"/>
    <w:rsid w:val="00EF4245"/>
    <w:rsid w:val="00EF42F1"/>
    <w:rsid w:val="00EF446F"/>
    <w:rsid w:val="00EF4691"/>
    <w:rsid w:val="00EF484C"/>
    <w:rsid w:val="00EF4A15"/>
    <w:rsid w:val="00EF4B9B"/>
    <w:rsid w:val="00EF4F7E"/>
    <w:rsid w:val="00EF561D"/>
    <w:rsid w:val="00EF566E"/>
    <w:rsid w:val="00EF571F"/>
    <w:rsid w:val="00EF591B"/>
    <w:rsid w:val="00EF59A3"/>
    <w:rsid w:val="00EF5B67"/>
    <w:rsid w:val="00EF5F7B"/>
    <w:rsid w:val="00EF6159"/>
    <w:rsid w:val="00EF6675"/>
    <w:rsid w:val="00EF6893"/>
    <w:rsid w:val="00EF6E64"/>
    <w:rsid w:val="00EF747C"/>
    <w:rsid w:val="00EF7808"/>
    <w:rsid w:val="00EF7B94"/>
    <w:rsid w:val="00EF7C5B"/>
    <w:rsid w:val="00F000F7"/>
    <w:rsid w:val="00F0037C"/>
    <w:rsid w:val="00F0063D"/>
    <w:rsid w:val="00F0085A"/>
    <w:rsid w:val="00F0089D"/>
    <w:rsid w:val="00F008A6"/>
    <w:rsid w:val="00F00F9C"/>
    <w:rsid w:val="00F00FEC"/>
    <w:rsid w:val="00F010B3"/>
    <w:rsid w:val="00F012E9"/>
    <w:rsid w:val="00F014CE"/>
    <w:rsid w:val="00F01836"/>
    <w:rsid w:val="00F01D26"/>
    <w:rsid w:val="00F01D27"/>
    <w:rsid w:val="00F01E5F"/>
    <w:rsid w:val="00F024F3"/>
    <w:rsid w:val="00F0291B"/>
    <w:rsid w:val="00F02ABA"/>
    <w:rsid w:val="00F02BCC"/>
    <w:rsid w:val="00F02DD9"/>
    <w:rsid w:val="00F03270"/>
    <w:rsid w:val="00F033DB"/>
    <w:rsid w:val="00F038C6"/>
    <w:rsid w:val="00F03F3F"/>
    <w:rsid w:val="00F04197"/>
    <w:rsid w:val="00F0437A"/>
    <w:rsid w:val="00F04496"/>
    <w:rsid w:val="00F0506A"/>
    <w:rsid w:val="00F0517F"/>
    <w:rsid w:val="00F051FB"/>
    <w:rsid w:val="00F0568A"/>
    <w:rsid w:val="00F05857"/>
    <w:rsid w:val="00F059C7"/>
    <w:rsid w:val="00F05CE3"/>
    <w:rsid w:val="00F05ED1"/>
    <w:rsid w:val="00F06220"/>
    <w:rsid w:val="00F06794"/>
    <w:rsid w:val="00F069C9"/>
    <w:rsid w:val="00F06B9D"/>
    <w:rsid w:val="00F06C71"/>
    <w:rsid w:val="00F06CAC"/>
    <w:rsid w:val="00F06D51"/>
    <w:rsid w:val="00F07D9F"/>
    <w:rsid w:val="00F101B8"/>
    <w:rsid w:val="00F103E5"/>
    <w:rsid w:val="00F10437"/>
    <w:rsid w:val="00F10C3D"/>
    <w:rsid w:val="00F11037"/>
    <w:rsid w:val="00F11262"/>
    <w:rsid w:val="00F11BD3"/>
    <w:rsid w:val="00F11ED1"/>
    <w:rsid w:val="00F120A2"/>
    <w:rsid w:val="00F1214C"/>
    <w:rsid w:val="00F12270"/>
    <w:rsid w:val="00F12401"/>
    <w:rsid w:val="00F12468"/>
    <w:rsid w:val="00F125C8"/>
    <w:rsid w:val="00F127F2"/>
    <w:rsid w:val="00F12A37"/>
    <w:rsid w:val="00F13103"/>
    <w:rsid w:val="00F13489"/>
    <w:rsid w:val="00F13750"/>
    <w:rsid w:val="00F138F7"/>
    <w:rsid w:val="00F13B70"/>
    <w:rsid w:val="00F13C74"/>
    <w:rsid w:val="00F14023"/>
    <w:rsid w:val="00F140CB"/>
    <w:rsid w:val="00F1462D"/>
    <w:rsid w:val="00F14912"/>
    <w:rsid w:val="00F14A39"/>
    <w:rsid w:val="00F14D61"/>
    <w:rsid w:val="00F157E8"/>
    <w:rsid w:val="00F15835"/>
    <w:rsid w:val="00F159CD"/>
    <w:rsid w:val="00F15B68"/>
    <w:rsid w:val="00F15E23"/>
    <w:rsid w:val="00F15F1C"/>
    <w:rsid w:val="00F16123"/>
    <w:rsid w:val="00F16175"/>
    <w:rsid w:val="00F16195"/>
    <w:rsid w:val="00F167CD"/>
    <w:rsid w:val="00F16846"/>
    <w:rsid w:val="00F168A4"/>
    <w:rsid w:val="00F169B5"/>
    <w:rsid w:val="00F16ABD"/>
    <w:rsid w:val="00F16EB0"/>
    <w:rsid w:val="00F16F1B"/>
    <w:rsid w:val="00F17398"/>
    <w:rsid w:val="00F17461"/>
    <w:rsid w:val="00F17BC4"/>
    <w:rsid w:val="00F17C0A"/>
    <w:rsid w:val="00F17DB0"/>
    <w:rsid w:val="00F17F60"/>
    <w:rsid w:val="00F201EB"/>
    <w:rsid w:val="00F20604"/>
    <w:rsid w:val="00F20B70"/>
    <w:rsid w:val="00F20D47"/>
    <w:rsid w:val="00F20F6F"/>
    <w:rsid w:val="00F212B6"/>
    <w:rsid w:val="00F212E2"/>
    <w:rsid w:val="00F21671"/>
    <w:rsid w:val="00F2176A"/>
    <w:rsid w:val="00F218A9"/>
    <w:rsid w:val="00F219F0"/>
    <w:rsid w:val="00F21CBB"/>
    <w:rsid w:val="00F21E58"/>
    <w:rsid w:val="00F21FAA"/>
    <w:rsid w:val="00F22C58"/>
    <w:rsid w:val="00F22FE9"/>
    <w:rsid w:val="00F2357F"/>
    <w:rsid w:val="00F235C3"/>
    <w:rsid w:val="00F23D8F"/>
    <w:rsid w:val="00F23F99"/>
    <w:rsid w:val="00F2417E"/>
    <w:rsid w:val="00F24229"/>
    <w:rsid w:val="00F248A5"/>
    <w:rsid w:val="00F24A29"/>
    <w:rsid w:val="00F24A43"/>
    <w:rsid w:val="00F250A9"/>
    <w:rsid w:val="00F2552A"/>
    <w:rsid w:val="00F255CE"/>
    <w:rsid w:val="00F25907"/>
    <w:rsid w:val="00F259BD"/>
    <w:rsid w:val="00F25C61"/>
    <w:rsid w:val="00F266EB"/>
    <w:rsid w:val="00F267AF"/>
    <w:rsid w:val="00F26804"/>
    <w:rsid w:val="00F27115"/>
    <w:rsid w:val="00F2711B"/>
    <w:rsid w:val="00F271D7"/>
    <w:rsid w:val="00F27896"/>
    <w:rsid w:val="00F27905"/>
    <w:rsid w:val="00F30780"/>
    <w:rsid w:val="00F30FF4"/>
    <w:rsid w:val="00F3103C"/>
    <w:rsid w:val="00F3122E"/>
    <w:rsid w:val="00F315D1"/>
    <w:rsid w:val="00F319F3"/>
    <w:rsid w:val="00F31A71"/>
    <w:rsid w:val="00F3200A"/>
    <w:rsid w:val="00F32368"/>
    <w:rsid w:val="00F32559"/>
    <w:rsid w:val="00F327D1"/>
    <w:rsid w:val="00F3289C"/>
    <w:rsid w:val="00F3297A"/>
    <w:rsid w:val="00F32A66"/>
    <w:rsid w:val="00F32C1A"/>
    <w:rsid w:val="00F32C4C"/>
    <w:rsid w:val="00F32C90"/>
    <w:rsid w:val="00F32EBD"/>
    <w:rsid w:val="00F331AD"/>
    <w:rsid w:val="00F331FB"/>
    <w:rsid w:val="00F3324B"/>
    <w:rsid w:val="00F332D3"/>
    <w:rsid w:val="00F33729"/>
    <w:rsid w:val="00F3389B"/>
    <w:rsid w:val="00F33902"/>
    <w:rsid w:val="00F33D1E"/>
    <w:rsid w:val="00F3455A"/>
    <w:rsid w:val="00F34BAE"/>
    <w:rsid w:val="00F34F99"/>
    <w:rsid w:val="00F350D9"/>
    <w:rsid w:val="00F35287"/>
    <w:rsid w:val="00F354B5"/>
    <w:rsid w:val="00F35584"/>
    <w:rsid w:val="00F35598"/>
    <w:rsid w:val="00F3559C"/>
    <w:rsid w:val="00F355EA"/>
    <w:rsid w:val="00F35600"/>
    <w:rsid w:val="00F357ED"/>
    <w:rsid w:val="00F35800"/>
    <w:rsid w:val="00F35A88"/>
    <w:rsid w:val="00F35C5E"/>
    <w:rsid w:val="00F35F4A"/>
    <w:rsid w:val="00F3653A"/>
    <w:rsid w:val="00F3654A"/>
    <w:rsid w:val="00F36C5F"/>
    <w:rsid w:val="00F36F52"/>
    <w:rsid w:val="00F374B1"/>
    <w:rsid w:val="00F3753A"/>
    <w:rsid w:val="00F3757B"/>
    <w:rsid w:val="00F375DE"/>
    <w:rsid w:val="00F37637"/>
    <w:rsid w:val="00F37E94"/>
    <w:rsid w:val="00F37F02"/>
    <w:rsid w:val="00F402BF"/>
    <w:rsid w:val="00F40388"/>
    <w:rsid w:val="00F403E5"/>
    <w:rsid w:val="00F405EB"/>
    <w:rsid w:val="00F40845"/>
    <w:rsid w:val="00F40A70"/>
    <w:rsid w:val="00F40BAC"/>
    <w:rsid w:val="00F40D5B"/>
    <w:rsid w:val="00F40E40"/>
    <w:rsid w:val="00F40F80"/>
    <w:rsid w:val="00F40F9F"/>
    <w:rsid w:val="00F4121D"/>
    <w:rsid w:val="00F414FF"/>
    <w:rsid w:val="00F41881"/>
    <w:rsid w:val="00F419F7"/>
    <w:rsid w:val="00F422C1"/>
    <w:rsid w:val="00F4260B"/>
    <w:rsid w:val="00F427AC"/>
    <w:rsid w:val="00F4287B"/>
    <w:rsid w:val="00F42C96"/>
    <w:rsid w:val="00F4332E"/>
    <w:rsid w:val="00F436CE"/>
    <w:rsid w:val="00F4389C"/>
    <w:rsid w:val="00F438FB"/>
    <w:rsid w:val="00F43954"/>
    <w:rsid w:val="00F43A37"/>
    <w:rsid w:val="00F43B6B"/>
    <w:rsid w:val="00F43BE5"/>
    <w:rsid w:val="00F43D9A"/>
    <w:rsid w:val="00F43E30"/>
    <w:rsid w:val="00F43EAC"/>
    <w:rsid w:val="00F4448D"/>
    <w:rsid w:val="00F445F3"/>
    <w:rsid w:val="00F448AE"/>
    <w:rsid w:val="00F44971"/>
    <w:rsid w:val="00F44988"/>
    <w:rsid w:val="00F44E0D"/>
    <w:rsid w:val="00F45927"/>
    <w:rsid w:val="00F45A1B"/>
    <w:rsid w:val="00F45B67"/>
    <w:rsid w:val="00F45ECE"/>
    <w:rsid w:val="00F461A1"/>
    <w:rsid w:val="00F46334"/>
    <w:rsid w:val="00F4641B"/>
    <w:rsid w:val="00F46425"/>
    <w:rsid w:val="00F46450"/>
    <w:rsid w:val="00F46B01"/>
    <w:rsid w:val="00F46B48"/>
    <w:rsid w:val="00F46E78"/>
    <w:rsid w:val="00F46EB8"/>
    <w:rsid w:val="00F47A93"/>
    <w:rsid w:val="00F47CAB"/>
    <w:rsid w:val="00F502EC"/>
    <w:rsid w:val="00F5051B"/>
    <w:rsid w:val="00F5058E"/>
    <w:rsid w:val="00F505D0"/>
    <w:rsid w:val="00F505FC"/>
    <w:rsid w:val="00F50900"/>
    <w:rsid w:val="00F50AF6"/>
    <w:rsid w:val="00F50CD1"/>
    <w:rsid w:val="00F50D3B"/>
    <w:rsid w:val="00F511E4"/>
    <w:rsid w:val="00F5160D"/>
    <w:rsid w:val="00F51AA8"/>
    <w:rsid w:val="00F5250C"/>
    <w:rsid w:val="00F528E1"/>
    <w:rsid w:val="00F52C99"/>
    <w:rsid w:val="00F52D09"/>
    <w:rsid w:val="00F52E08"/>
    <w:rsid w:val="00F533CF"/>
    <w:rsid w:val="00F53745"/>
    <w:rsid w:val="00F53782"/>
    <w:rsid w:val="00F538F4"/>
    <w:rsid w:val="00F53946"/>
    <w:rsid w:val="00F53A66"/>
    <w:rsid w:val="00F53ABA"/>
    <w:rsid w:val="00F53C83"/>
    <w:rsid w:val="00F53DDD"/>
    <w:rsid w:val="00F53DE3"/>
    <w:rsid w:val="00F54113"/>
    <w:rsid w:val="00F543B4"/>
    <w:rsid w:val="00F54439"/>
    <w:rsid w:val="00F5462D"/>
    <w:rsid w:val="00F5469F"/>
    <w:rsid w:val="00F54713"/>
    <w:rsid w:val="00F54846"/>
    <w:rsid w:val="00F54972"/>
    <w:rsid w:val="00F54A91"/>
    <w:rsid w:val="00F559CE"/>
    <w:rsid w:val="00F55B21"/>
    <w:rsid w:val="00F55D71"/>
    <w:rsid w:val="00F5604E"/>
    <w:rsid w:val="00F56284"/>
    <w:rsid w:val="00F564F3"/>
    <w:rsid w:val="00F56778"/>
    <w:rsid w:val="00F568C2"/>
    <w:rsid w:val="00F56C51"/>
    <w:rsid w:val="00F56E67"/>
    <w:rsid w:val="00F56EF6"/>
    <w:rsid w:val="00F57675"/>
    <w:rsid w:val="00F57AC5"/>
    <w:rsid w:val="00F57DD8"/>
    <w:rsid w:val="00F57EB6"/>
    <w:rsid w:val="00F57F13"/>
    <w:rsid w:val="00F60082"/>
    <w:rsid w:val="00F602A6"/>
    <w:rsid w:val="00F60318"/>
    <w:rsid w:val="00F604A4"/>
    <w:rsid w:val="00F605E2"/>
    <w:rsid w:val="00F60944"/>
    <w:rsid w:val="00F60D60"/>
    <w:rsid w:val="00F60DAC"/>
    <w:rsid w:val="00F61056"/>
    <w:rsid w:val="00F610AD"/>
    <w:rsid w:val="00F611C5"/>
    <w:rsid w:val="00F6132E"/>
    <w:rsid w:val="00F61336"/>
    <w:rsid w:val="00F6172E"/>
    <w:rsid w:val="00F61823"/>
    <w:rsid w:val="00F61A9F"/>
    <w:rsid w:val="00F61B5F"/>
    <w:rsid w:val="00F61C4A"/>
    <w:rsid w:val="00F621D8"/>
    <w:rsid w:val="00F62323"/>
    <w:rsid w:val="00F62396"/>
    <w:rsid w:val="00F62582"/>
    <w:rsid w:val="00F62953"/>
    <w:rsid w:val="00F62B5F"/>
    <w:rsid w:val="00F62BC7"/>
    <w:rsid w:val="00F62FC2"/>
    <w:rsid w:val="00F630BF"/>
    <w:rsid w:val="00F6313A"/>
    <w:rsid w:val="00F631C6"/>
    <w:rsid w:val="00F632DB"/>
    <w:rsid w:val="00F6352A"/>
    <w:rsid w:val="00F6353C"/>
    <w:rsid w:val="00F63A2B"/>
    <w:rsid w:val="00F63A7F"/>
    <w:rsid w:val="00F63AC3"/>
    <w:rsid w:val="00F63BB7"/>
    <w:rsid w:val="00F63D38"/>
    <w:rsid w:val="00F63E59"/>
    <w:rsid w:val="00F64531"/>
    <w:rsid w:val="00F64696"/>
    <w:rsid w:val="00F646C5"/>
    <w:rsid w:val="00F64CE7"/>
    <w:rsid w:val="00F64FA8"/>
    <w:rsid w:val="00F650AC"/>
    <w:rsid w:val="00F65436"/>
    <w:rsid w:val="00F654AB"/>
    <w:rsid w:val="00F6566D"/>
    <w:rsid w:val="00F658C6"/>
    <w:rsid w:val="00F6591B"/>
    <w:rsid w:val="00F65AA9"/>
    <w:rsid w:val="00F65E64"/>
    <w:rsid w:val="00F6637E"/>
    <w:rsid w:val="00F6674A"/>
    <w:rsid w:val="00F6686C"/>
    <w:rsid w:val="00F6712A"/>
    <w:rsid w:val="00F67376"/>
    <w:rsid w:val="00F6768F"/>
    <w:rsid w:val="00F7041A"/>
    <w:rsid w:val="00F706B7"/>
    <w:rsid w:val="00F70775"/>
    <w:rsid w:val="00F709D7"/>
    <w:rsid w:val="00F70A05"/>
    <w:rsid w:val="00F71416"/>
    <w:rsid w:val="00F719B7"/>
    <w:rsid w:val="00F719C4"/>
    <w:rsid w:val="00F71F43"/>
    <w:rsid w:val="00F726FA"/>
    <w:rsid w:val="00F729D1"/>
    <w:rsid w:val="00F72A1F"/>
    <w:rsid w:val="00F72C2C"/>
    <w:rsid w:val="00F730E1"/>
    <w:rsid w:val="00F732DA"/>
    <w:rsid w:val="00F7368B"/>
    <w:rsid w:val="00F73792"/>
    <w:rsid w:val="00F738AB"/>
    <w:rsid w:val="00F73BE9"/>
    <w:rsid w:val="00F741F2"/>
    <w:rsid w:val="00F7424B"/>
    <w:rsid w:val="00F74935"/>
    <w:rsid w:val="00F74983"/>
    <w:rsid w:val="00F74EC1"/>
    <w:rsid w:val="00F74F7B"/>
    <w:rsid w:val="00F753B6"/>
    <w:rsid w:val="00F7542E"/>
    <w:rsid w:val="00F756AC"/>
    <w:rsid w:val="00F759E6"/>
    <w:rsid w:val="00F75EDC"/>
    <w:rsid w:val="00F760C6"/>
    <w:rsid w:val="00F7675B"/>
    <w:rsid w:val="00F76769"/>
    <w:rsid w:val="00F76C9C"/>
    <w:rsid w:val="00F76CAB"/>
    <w:rsid w:val="00F76CD7"/>
    <w:rsid w:val="00F76F57"/>
    <w:rsid w:val="00F772C6"/>
    <w:rsid w:val="00F77742"/>
    <w:rsid w:val="00F77F1E"/>
    <w:rsid w:val="00F77FD9"/>
    <w:rsid w:val="00F8072A"/>
    <w:rsid w:val="00F80BCE"/>
    <w:rsid w:val="00F80EAD"/>
    <w:rsid w:val="00F80F79"/>
    <w:rsid w:val="00F81147"/>
    <w:rsid w:val="00F8116A"/>
    <w:rsid w:val="00F81293"/>
    <w:rsid w:val="00F81570"/>
    <w:rsid w:val="00F815B5"/>
    <w:rsid w:val="00F816DC"/>
    <w:rsid w:val="00F81DC1"/>
    <w:rsid w:val="00F81E1E"/>
    <w:rsid w:val="00F81F2C"/>
    <w:rsid w:val="00F82161"/>
    <w:rsid w:val="00F8221D"/>
    <w:rsid w:val="00F824A0"/>
    <w:rsid w:val="00F82AE3"/>
    <w:rsid w:val="00F82C40"/>
    <w:rsid w:val="00F82EE4"/>
    <w:rsid w:val="00F83249"/>
    <w:rsid w:val="00F83B42"/>
    <w:rsid w:val="00F83D9C"/>
    <w:rsid w:val="00F83E09"/>
    <w:rsid w:val="00F8400C"/>
    <w:rsid w:val="00F8412B"/>
    <w:rsid w:val="00F842D4"/>
    <w:rsid w:val="00F843A5"/>
    <w:rsid w:val="00F84833"/>
    <w:rsid w:val="00F85195"/>
    <w:rsid w:val="00F85EB9"/>
    <w:rsid w:val="00F86307"/>
    <w:rsid w:val="00F86676"/>
    <w:rsid w:val="00F868E3"/>
    <w:rsid w:val="00F86C5E"/>
    <w:rsid w:val="00F87498"/>
    <w:rsid w:val="00F87645"/>
    <w:rsid w:val="00F877D4"/>
    <w:rsid w:val="00F878A9"/>
    <w:rsid w:val="00F90693"/>
    <w:rsid w:val="00F90CA4"/>
    <w:rsid w:val="00F90CEF"/>
    <w:rsid w:val="00F90DA0"/>
    <w:rsid w:val="00F91050"/>
    <w:rsid w:val="00F912AC"/>
    <w:rsid w:val="00F9146D"/>
    <w:rsid w:val="00F9153F"/>
    <w:rsid w:val="00F915DE"/>
    <w:rsid w:val="00F91EFB"/>
    <w:rsid w:val="00F91FFD"/>
    <w:rsid w:val="00F92173"/>
    <w:rsid w:val="00F921F4"/>
    <w:rsid w:val="00F924B9"/>
    <w:rsid w:val="00F9250A"/>
    <w:rsid w:val="00F927DF"/>
    <w:rsid w:val="00F928BC"/>
    <w:rsid w:val="00F93282"/>
    <w:rsid w:val="00F934D7"/>
    <w:rsid w:val="00F938BA"/>
    <w:rsid w:val="00F93CDE"/>
    <w:rsid w:val="00F94015"/>
    <w:rsid w:val="00F94ABC"/>
    <w:rsid w:val="00F94E9C"/>
    <w:rsid w:val="00F954B9"/>
    <w:rsid w:val="00F956FE"/>
    <w:rsid w:val="00F9589C"/>
    <w:rsid w:val="00F95ED1"/>
    <w:rsid w:val="00F96162"/>
    <w:rsid w:val="00F96404"/>
    <w:rsid w:val="00F96455"/>
    <w:rsid w:val="00F96B11"/>
    <w:rsid w:val="00F9718E"/>
    <w:rsid w:val="00F971F3"/>
    <w:rsid w:val="00F97206"/>
    <w:rsid w:val="00F973C5"/>
    <w:rsid w:val="00F977E0"/>
    <w:rsid w:val="00F97911"/>
    <w:rsid w:val="00F97919"/>
    <w:rsid w:val="00F97B0C"/>
    <w:rsid w:val="00F97E74"/>
    <w:rsid w:val="00FA00CE"/>
    <w:rsid w:val="00FA0671"/>
    <w:rsid w:val="00FA0D2F"/>
    <w:rsid w:val="00FA0FD1"/>
    <w:rsid w:val="00FA1612"/>
    <w:rsid w:val="00FA1879"/>
    <w:rsid w:val="00FA18F0"/>
    <w:rsid w:val="00FA1A4A"/>
    <w:rsid w:val="00FA1AF2"/>
    <w:rsid w:val="00FA1CFF"/>
    <w:rsid w:val="00FA1F84"/>
    <w:rsid w:val="00FA2098"/>
    <w:rsid w:val="00FA20DE"/>
    <w:rsid w:val="00FA21FA"/>
    <w:rsid w:val="00FA260B"/>
    <w:rsid w:val="00FA2666"/>
    <w:rsid w:val="00FA26A9"/>
    <w:rsid w:val="00FA2789"/>
    <w:rsid w:val="00FA2A9A"/>
    <w:rsid w:val="00FA2AFC"/>
    <w:rsid w:val="00FA2C46"/>
    <w:rsid w:val="00FA2D70"/>
    <w:rsid w:val="00FA3525"/>
    <w:rsid w:val="00FA35BB"/>
    <w:rsid w:val="00FA35CF"/>
    <w:rsid w:val="00FA37B1"/>
    <w:rsid w:val="00FA3B07"/>
    <w:rsid w:val="00FA3F0E"/>
    <w:rsid w:val="00FA4364"/>
    <w:rsid w:val="00FA4431"/>
    <w:rsid w:val="00FA4463"/>
    <w:rsid w:val="00FA4D35"/>
    <w:rsid w:val="00FA5074"/>
    <w:rsid w:val="00FA5366"/>
    <w:rsid w:val="00FA560C"/>
    <w:rsid w:val="00FA5A53"/>
    <w:rsid w:val="00FA62B7"/>
    <w:rsid w:val="00FA67B4"/>
    <w:rsid w:val="00FA6985"/>
    <w:rsid w:val="00FA69B9"/>
    <w:rsid w:val="00FA6A0F"/>
    <w:rsid w:val="00FA6BFA"/>
    <w:rsid w:val="00FA6DDF"/>
    <w:rsid w:val="00FA7183"/>
    <w:rsid w:val="00FA7E7A"/>
    <w:rsid w:val="00FB0124"/>
    <w:rsid w:val="00FB02C2"/>
    <w:rsid w:val="00FB0EC5"/>
    <w:rsid w:val="00FB0ECE"/>
    <w:rsid w:val="00FB0EDB"/>
    <w:rsid w:val="00FB0F65"/>
    <w:rsid w:val="00FB17AA"/>
    <w:rsid w:val="00FB1884"/>
    <w:rsid w:val="00FB1D2C"/>
    <w:rsid w:val="00FB1F6E"/>
    <w:rsid w:val="00FB23FE"/>
    <w:rsid w:val="00FB27B8"/>
    <w:rsid w:val="00FB2ADA"/>
    <w:rsid w:val="00FB2AEF"/>
    <w:rsid w:val="00FB2FC9"/>
    <w:rsid w:val="00FB358A"/>
    <w:rsid w:val="00FB3ADA"/>
    <w:rsid w:val="00FB3BB7"/>
    <w:rsid w:val="00FB3E9C"/>
    <w:rsid w:val="00FB3FC5"/>
    <w:rsid w:val="00FB4769"/>
    <w:rsid w:val="00FB47E1"/>
    <w:rsid w:val="00FB4965"/>
    <w:rsid w:val="00FB4994"/>
    <w:rsid w:val="00FB4BE0"/>
    <w:rsid w:val="00FB4CDA"/>
    <w:rsid w:val="00FB4D6C"/>
    <w:rsid w:val="00FB4E54"/>
    <w:rsid w:val="00FB4F7F"/>
    <w:rsid w:val="00FB5E06"/>
    <w:rsid w:val="00FB5E7E"/>
    <w:rsid w:val="00FB6028"/>
    <w:rsid w:val="00FB6082"/>
    <w:rsid w:val="00FB60E7"/>
    <w:rsid w:val="00FB6419"/>
    <w:rsid w:val="00FB6481"/>
    <w:rsid w:val="00FB6628"/>
    <w:rsid w:val="00FB6636"/>
    <w:rsid w:val="00FB6839"/>
    <w:rsid w:val="00FB6A52"/>
    <w:rsid w:val="00FB6D36"/>
    <w:rsid w:val="00FB6FE1"/>
    <w:rsid w:val="00FB7136"/>
    <w:rsid w:val="00FB755A"/>
    <w:rsid w:val="00FB76AD"/>
    <w:rsid w:val="00FB79C7"/>
    <w:rsid w:val="00FC008C"/>
    <w:rsid w:val="00FC01AB"/>
    <w:rsid w:val="00FC0343"/>
    <w:rsid w:val="00FC03A4"/>
    <w:rsid w:val="00FC056C"/>
    <w:rsid w:val="00FC0965"/>
    <w:rsid w:val="00FC0AF0"/>
    <w:rsid w:val="00FC0BFF"/>
    <w:rsid w:val="00FC0D94"/>
    <w:rsid w:val="00FC0DAE"/>
    <w:rsid w:val="00FC0EF4"/>
    <w:rsid w:val="00FC0F81"/>
    <w:rsid w:val="00FC104B"/>
    <w:rsid w:val="00FC12CD"/>
    <w:rsid w:val="00FC13A5"/>
    <w:rsid w:val="00FC143F"/>
    <w:rsid w:val="00FC17E7"/>
    <w:rsid w:val="00FC18F9"/>
    <w:rsid w:val="00FC1A38"/>
    <w:rsid w:val="00FC2135"/>
    <w:rsid w:val="00FC249E"/>
    <w:rsid w:val="00FC252F"/>
    <w:rsid w:val="00FC2A2E"/>
    <w:rsid w:val="00FC2CF1"/>
    <w:rsid w:val="00FC37EE"/>
    <w:rsid w:val="00FC395C"/>
    <w:rsid w:val="00FC3A8B"/>
    <w:rsid w:val="00FC3ABC"/>
    <w:rsid w:val="00FC3C17"/>
    <w:rsid w:val="00FC3D39"/>
    <w:rsid w:val="00FC3E45"/>
    <w:rsid w:val="00FC3FC7"/>
    <w:rsid w:val="00FC478E"/>
    <w:rsid w:val="00FC4B54"/>
    <w:rsid w:val="00FC4D71"/>
    <w:rsid w:val="00FC4ECC"/>
    <w:rsid w:val="00FC4F48"/>
    <w:rsid w:val="00FC4FDA"/>
    <w:rsid w:val="00FC512E"/>
    <w:rsid w:val="00FC57C7"/>
    <w:rsid w:val="00FC580F"/>
    <w:rsid w:val="00FC58A7"/>
    <w:rsid w:val="00FC5AC0"/>
    <w:rsid w:val="00FC5CCA"/>
    <w:rsid w:val="00FC5E8E"/>
    <w:rsid w:val="00FC62EF"/>
    <w:rsid w:val="00FC6E55"/>
    <w:rsid w:val="00FC7149"/>
    <w:rsid w:val="00FC71C2"/>
    <w:rsid w:val="00FC7841"/>
    <w:rsid w:val="00FC786D"/>
    <w:rsid w:val="00FC7B92"/>
    <w:rsid w:val="00FD02C8"/>
    <w:rsid w:val="00FD02E0"/>
    <w:rsid w:val="00FD043B"/>
    <w:rsid w:val="00FD0B38"/>
    <w:rsid w:val="00FD0EBB"/>
    <w:rsid w:val="00FD1255"/>
    <w:rsid w:val="00FD1354"/>
    <w:rsid w:val="00FD1BEB"/>
    <w:rsid w:val="00FD1F0B"/>
    <w:rsid w:val="00FD2482"/>
    <w:rsid w:val="00FD2A6D"/>
    <w:rsid w:val="00FD33D7"/>
    <w:rsid w:val="00FD355F"/>
    <w:rsid w:val="00FD35E1"/>
    <w:rsid w:val="00FD3766"/>
    <w:rsid w:val="00FD3D05"/>
    <w:rsid w:val="00FD3D38"/>
    <w:rsid w:val="00FD3ECF"/>
    <w:rsid w:val="00FD3F13"/>
    <w:rsid w:val="00FD3F3E"/>
    <w:rsid w:val="00FD403E"/>
    <w:rsid w:val="00FD44FB"/>
    <w:rsid w:val="00FD4525"/>
    <w:rsid w:val="00FD45BE"/>
    <w:rsid w:val="00FD47C4"/>
    <w:rsid w:val="00FD4BC4"/>
    <w:rsid w:val="00FD520E"/>
    <w:rsid w:val="00FD52B6"/>
    <w:rsid w:val="00FD5394"/>
    <w:rsid w:val="00FD5B55"/>
    <w:rsid w:val="00FD5CC3"/>
    <w:rsid w:val="00FD6314"/>
    <w:rsid w:val="00FD6B78"/>
    <w:rsid w:val="00FD6E53"/>
    <w:rsid w:val="00FD7454"/>
    <w:rsid w:val="00FD77CD"/>
    <w:rsid w:val="00FD7AD1"/>
    <w:rsid w:val="00FD7DD1"/>
    <w:rsid w:val="00FD7EC5"/>
    <w:rsid w:val="00FD7EDC"/>
    <w:rsid w:val="00FE028A"/>
    <w:rsid w:val="00FE08A4"/>
    <w:rsid w:val="00FE0B80"/>
    <w:rsid w:val="00FE0E1E"/>
    <w:rsid w:val="00FE104C"/>
    <w:rsid w:val="00FE17A0"/>
    <w:rsid w:val="00FE18DE"/>
    <w:rsid w:val="00FE1A66"/>
    <w:rsid w:val="00FE1CCF"/>
    <w:rsid w:val="00FE1CE9"/>
    <w:rsid w:val="00FE21AD"/>
    <w:rsid w:val="00FE2308"/>
    <w:rsid w:val="00FE23FC"/>
    <w:rsid w:val="00FE296A"/>
    <w:rsid w:val="00FE2A2A"/>
    <w:rsid w:val="00FE2DCF"/>
    <w:rsid w:val="00FE3510"/>
    <w:rsid w:val="00FE3B7F"/>
    <w:rsid w:val="00FE3FA7"/>
    <w:rsid w:val="00FE4081"/>
    <w:rsid w:val="00FE427D"/>
    <w:rsid w:val="00FE43E5"/>
    <w:rsid w:val="00FE4859"/>
    <w:rsid w:val="00FE4D8B"/>
    <w:rsid w:val="00FE4EA2"/>
    <w:rsid w:val="00FE5126"/>
    <w:rsid w:val="00FE5226"/>
    <w:rsid w:val="00FE5310"/>
    <w:rsid w:val="00FE5571"/>
    <w:rsid w:val="00FE5E81"/>
    <w:rsid w:val="00FE67B0"/>
    <w:rsid w:val="00FE6915"/>
    <w:rsid w:val="00FE69E1"/>
    <w:rsid w:val="00FE71B9"/>
    <w:rsid w:val="00FE71EF"/>
    <w:rsid w:val="00FE72A3"/>
    <w:rsid w:val="00FE766A"/>
    <w:rsid w:val="00FE77C0"/>
    <w:rsid w:val="00FE7AE0"/>
    <w:rsid w:val="00FF000B"/>
    <w:rsid w:val="00FF01CC"/>
    <w:rsid w:val="00FF0334"/>
    <w:rsid w:val="00FF03AE"/>
    <w:rsid w:val="00FF072F"/>
    <w:rsid w:val="00FF0BB8"/>
    <w:rsid w:val="00FF0E0F"/>
    <w:rsid w:val="00FF1044"/>
    <w:rsid w:val="00FF12D1"/>
    <w:rsid w:val="00FF136A"/>
    <w:rsid w:val="00FF191F"/>
    <w:rsid w:val="00FF1AD3"/>
    <w:rsid w:val="00FF1C9B"/>
    <w:rsid w:val="00FF1E2D"/>
    <w:rsid w:val="00FF1E3F"/>
    <w:rsid w:val="00FF20B5"/>
    <w:rsid w:val="00FF21D0"/>
    <w:rsid w:val="00FF231A"/>
    <w:rsid w:val="00FF24A9"/>
    <w:rsid w:val="00FF2595"/>
    <w:rsid w:val="00FF2A30"/>
    <w:rsid w:val="00FF2A4E"/>
    <w:rsid w:val="00FF2C1F"/>
    <w:rsid w:val="00FF2CDC"/>
    <w:rsid w:val="00FF2FCE"/>
    <w:rsid w:val="00FF3195"/>
    <w:rsid w:val="00FF3572"/>
    <w:rsid w:val="00FF3647"/>
    <w:rsid w:val="00FF372F"/>
    <w:rsid w:val="00FF378A"/>
    <w:rsid w:val="00FF3C99"/>
    <w:rsid w:val="00FF4158"/>
    <w:rsid w:val="00FF493D"/>
    <w:rsid w:val="00FF4DFF"/>
    <w:rsid w:val="00FF4F7D"/>
    <w:rsid w:val="00FF4FDC"/>
    <w:rsid w:val="00FF5457"/>
    <w:rsid w:val="00FF5788"/>
    <w:rsid w:val="00FF5C65"/>
    <w:rsid w:val="00FF6647"/>
    <w:rsid w:val="00FF6CC6"/>
    <w:rsid w:val="00FF6D9D"/>
    <w:rsid w:val="00FF6DE2"/>
    <w:rsid w:val="00FF7157"/>
    <w:rsid w:val="00FF73BD"/>
    <w:rsid w:val="00FF7620"/>
    <w:rsid w:val="00FF77F3"/>
    <w:rsid w:val="00FF792D"/>
    <w:rsid w:val="00FF7A23"/>
    <w:rsid w:val="00FF7AC2"/>
    <w:rsid w:val="00FF7DD5"/>
    <w:rsid w:val="0128F201"/>
    <w:rsid w:val="014B8C77"/>
    <w:rsid w:val="0156E2E2"/>
    <w:rsid w:val="015D5140"/>
    <w:rsid w:val="01791477"/>
    <w:rsid w:val="0196E79D"/>
    <w:rsid w:val="01D7F2F2"/>
    <w:rsid w:val="0210163D"/>
    <w:rsid w:val="02529611"/>
    <w:rsid w:val="025E222A"/>
    <w:rsid w:val="026DA1DC"/>
    <w:rsid w:val="0270D3F2"/>
    <w:rsid w:val="027D5D25"/>
    <w:rsid w:val="0288CD5F"/>
    <w:rsid w:val="028CBED6"/>
    <w:rsid w:val="029D05A7"/>
    <w:rsid w:val="02A31F3F"/>
    <w:rsid w:val="02C202F2"/>
    <w:rsid w:val="02F78477"/>
    <w:rsid w:val="03194087"/>
    <w:rsid w:val="031CF2BC"/>
    <w:rsid w:val="033B9DF7"/>
    <w:rsid w:val="03690021"/>
    <w:rsid w:val="038134A1"/>
    <w:rsid w:val="03DF35E1"/>
    <w:rsid w:val="03E18A28"/>
    <w:rsid w:val="0442E743"/>
    <w:rsid w:val="044D9A31"/>
    <w:rsid w:val="04579092"/>
    <w:rsid w:val="045C080E"/>
    <w:rsid w:val="04CC3574"/>
    <w:rsid w:val="04CD3B3F"/>
    <w:rsid w:val="04E95E08"/>
    <w:rsid w:val="052AF1B8"/>
    <w:rsid w:val="052E9B07"/>
    <w:rsid w:val="0530A71B"/>
    <w:rsid w:val="0530EC93"/>
    <w:rsid w:val="054DD6BE"/>
    <w:rsid w:val="054F2DCE"/>
    <w:rsid w:val="05506756"/>
    <w:rsid w:val="05DD55C8"/>
    <w:rsid w:val="05DFF51C"/>
    <w:rsid w:val="060FD6B9"/>
    <w:rsid w:val="06107599"/>
    <w:rsid w:val="06161C28"/>
    <w:rsid w:val="063152DA"/>
    <w:rsid w:val="064EF30E"/>
    <w:rsid w:val="06539EB8"/>
    <w:rsid w:val="06595FD7"/>
    <w:rsid w:val="068F3072"/>
    <w:rsid w:val="069595B7"/>
    <w:rsid w:val="06BA4207"/>
    <w:rsid w:val="06C899A7"/>
    <w:rsid w:val="06D7710B"/>
    <w:rsid w:val="06DA9839"/>
    <w:rsid w:val="0723E0D1"/>
    <w:rsid w:val="0736643D"/>
    <w:rsid w:val="07479E18"/>
    <w:rsid w:val="076635C7"/>
    <w:rsid w:val="07A43887"/>
    <w:rsid w:val="07C27197"/>
    <w:rsid w:val="07DF0E91"/>
    <w:rsid w:val="07E1719B"/>
    <w:rsid w:val="07EB4134"/>
    <w:rsid w:val="07FD8BDE"/>
    <w:rsid w:val="0808E898"/>
    <w:rsid w:val="08DCA647"/>
    <w:rsid w:val="092FB9FB"/>
    <w:rsid w:val="094EEBDA"/>
    <w:rsid w:val="096C4400"/>
    <w:rsid w:val="096EB381"/>
    <w:rsid w:val="0977CEFC"/>
    <w:rsid w:val="09AE8A09"/>
    <w:rsid w:val="0A336313"/>
    <w:rsid w:val="0A3D9753"/>
    <w:rsid w:val="0A50C202"/>
    <w:rsid w:val="0A5FBE85"/>
    <w:rsid w:val="0A775E11"/>
    <w:rsid w:val="0A79CCE9"/>
    <w:rsid w:val="0AA88918"/>
    <w:rsid w:val="0AB547C0"/>
    <w:rsid w:val="0AE8400A"/>
    <w:rsid w:val="0AEE9C90"/>
    <w:rsid w:val="0AF64312"/>
    <w:rsid w:val="0B09EC6A"/>
    <w:rsid w:val="0B0C5666"/>
    <w:rsid w:val="0B1B4022"/>
    <w:rsid w:val="0B6E78A8"/>
    <w:rsid w:val="0B830D34"/>
    <w:rsid w:val="0B8E47E8"/>
    <w:rsid w:val="0B96D956"/>
    <w:rsid w:val="0BEF0859"/>
    <w:rsid w:val="0C026E3F"/>
    <w:rsid w:val="0C0B10DA"/>
    <w:rsid w:val="0C533E9E"/>
    <w:rsid w:val="0C5DA2ED"/>
    <w:rsid w:val="0C6A1344"/>
    <w:rsid w:val="0C6E51BD"/>
    <w:rsid w:val="0C87D48E"/>
    <w:rsid w:val="0C8BC4A5"/>
    <w:rsid w:val="0C8DB654"/>
    <w:rsid w:val="0CE7F2DD"/>
    <w:rsid w:val="0CEBAFD9"/>
    <w:rsid w:val="0CF41791"/>
    <w:rsid w:val="0D09573D"/>
    <w:rsid w:val="0D20B932"/>
    <w:rsid w:val="0D3E0F74"/>
    <w:rsid w:val="0D402EDD"/>
    <w:rsid w:val="0D96E892"/>
    <w:rsid w:val="0DBD2879"/>
    <w:rsid w:val="0DCEA8B1"/>
    <w:rsid w:val="0DF3E7DF"/>
    <w:rsid w:val="0DFCA377"/>
    <w:rsid w:val="0E0C0AAC"/>
    <w:rsid w:val="0E32043D"/>
    <w:rsid w:val="0E392FCF"/>
    <w:rsid w:val="0E581CDE"/>
    <w:rsid w:val="0E652318"/>
    <w:rsid w:val="0EC0DF69"/>
    <w:rsid w:val="0ECC169F"/>
    <w:rsid w:val="0EEBA284"/>
    <w:rsid w:val="0F05C1EC"/>
    <w:rsid w:val="0F1548A3"/>
    <w:rsid w:val="0F3ED883"/>
    <w:rsid w:val="0F8FED33"/>
    <w:rsid w:val="0F9D9BB7"/>
    <w:rsid w:val="0FA3C880"/>
    <w:rsid w:val="0FBAB346"/>
    <w:rsid w:val="0FBC15D4"/>
    <w:rsid w:val="0FCCB931"/>
    <w:rsid w:val="0FD8FCD7"/>
    <w:rsid w:val="0FE8AEAF"/>
    <w:rsid w:val="10164A37"/>
    <w:rsid w:val="102AFAF2"/>
    <w:rsid w:val="102C1624"/>
    <w:rsid w:val="104ABE77"/>
    <w:rsid w:val="108CDC90"/>
    <w:rsid w:val="109AA494"/>
    <w:rsid w:val="109BE6FC"/>
    <w:rsid w:val="10E1CFAC"/>
    <w:rsid w:val="115E90A5"/>
    <w:rsid w:val="11771C17"/>
    <w:rsid w:val="11A569C5"/>
    <w:rsid w:val="11A5B676"/>
    <w:rsid w:val="11E83CB7"/>
    <w:rsid w:val="11F36559"/>
    <w:rsid w:val="121F2678"/>
    <w:rsid w:val="123779F4"/>
    <w:rsid w:val="12476D97"/>
    <w:rsid w:val="1248551E"/>
    <w:rsid w:val="1252D792"/>
    <w:rsid w:val="128CD171"/>
    <w:rsid w:val="12976D62"/>
    <w:rsid w:val="12ADFC87"/>
    <w:rsid w:val="12BCDEE3"/>
    <w:rsid w:val="12DC4E26"/>
    <w:rsid w:val="130EA460"/>
    <w:rsid w:val="132C921A"/>
    <w:rsid w:val="13495772"/>
    <w:rsid w:val="137B624E"/>
    <w:rsid w:val="1385C956"/>
    <w:rsid w:val="1394780D"/>
    <w:rsid w:val="13C3A474"/>
    <w:rsid w:val="13D6DA47"/>
    <w:rsid w:val="13E7117C"/>
    <w:rsid w:val="1413F00B"/>
    <w:rsid w:val="142A5FF4"/>
    <w:rsid w:val="142D65AD"/>
    <w:rsid w:val="1431A029"/>
    <w:rsid w:val="1443D4FD"/>
    <w:rsid w:val="14460DD3"/>
    <w:rsid w:val="14551E6A"/>
    <w:rsid w:val="1492B5BF"/>
    <w:rsid w:val="14A7C81C"/>
    <w:rsid w:val="14E21A0F"/>
    <w:rsid w:val="150409E7"/>
    <w:rsid w:val="1574A7E5"/>
    <w:rsid w:val="1596010D"/>
    <w:rsid w:val="15A2171D"/>
    <w:rsid w:val="15B53366"/>
    <w:rsid w:val="15DD1C20"/>
    <w:rsid w:val="15E77E06"/>
    <w:rsid w:val="160E4FF2"/>
    <w:rsid w:val="161BED81"/>
    <w:rsid w:val="163A681B"/>
    <w:rsid w:val="164F3413"/>
    <w:rsid w:val="1656BAC8"/>
    <w:rsid w:val="16635C27"/>
    <w:rsid w:val="166EE706"/>
    <w:rsid w:val="166F7E7E"/>
    <w:rsid w:val="16812C30"/>
    <w:rsid w:val="169AC030"/>
    <w:rsid w:val="16DC0F33"/>
    <w:rsid w:val="170C5675"/>
    <w:rsid w:val="170D3D64"/>
    <w:rsid w:val="170DBD55"/>
    <w:rsid w:val="17369432"/>
    <w:rsid w:val="17EC03D9"/>
    <w:rsid w:val="1818D0A9"/>
    <w:rsid w:val="1873EBE5"/>
    <w:rsid w:val="18BF2AE1"/>
    <w:rsid w:val="18C1CB90"/>
    <w:rsid w:val="18C73172"/>
    <w:rsid w:val="18C77C56"/>
    <w:rsid w:val="18CD85C7"/>
    <w:rsid w:val="19055794"/>
    <w:rsid w:val="190B8CDF"/>
    <w:rsid w:val="1922EBB2"/>
    <w:rsid w:val="1949FE84"/>
    <w:rsid w:val="199791EC"/>
    <w:rsid w:val="19D3179A"/>
    <w:rsid w:val="19DF0520"/>
    <w:rsid w:val="19E85789"/>
    <w:rsid w:val="19EF26A6"/>
    <w:rsid w:val="1A030398"/>
    <w:rsid w:val="1A29637C"/>
    <w:rsid w:val="1A4A082A"/>
    <w:rsid w:val="1A637888"/>
    <w:rsid w:val="1A9B99B6"/>
    <w:rsid w:val="1A9CFF76"/>
    <w:rsid w:val="1AB1ABB5"/>
    <w:rsid w:val="1B9DF795"/>
    <w:rsid w:val="1BCB9BDA"/>
    <w:rsid w:val="1BE145FF"/>
    <w:rsid w:val="1BF04368"/>
    <w:rsid w:val="1C3C5DD6"/>
    <w:rsid w:val="1C3EED9B"/>
    <w:rsid w:val="1C90EC77"/>
    <w:rsid w:val="1CA21149"/>
    <w:rsid w:val="1CC6F712"/>
    <w:rsid w:val="1CF24A12"/>
    <w:rsid w:val="1D00D784"/>
    <w:rsid w:val="1D2154F4"/>
    <w:rsid w:val="1D21CFC6"/>
    <w:rsid w:val="1D327DBD"/>
    <w:rsid w:val="1D8160FE"/>
    <w:rsid w:val="1DB141B7"/>
    <w:rsid w:val="1DC67C05"/>
    <w:rsid w:val="1DFBB2A5"/>
    <w:rsid w:val="1E11BB2E"/>
    <w:rsid w:val="1E3EED36"/>
    <w:rsid w:val="1E5AF380"/>
    <w:rsid w:val="1E62FECB"/>
    <w:rsid w:val="1E85D483"/>
    <w:rsid w:val="1E9F2AE8"/>
    <w:rsid w:val="1EA9C155"/>
    <w:rsid w:val="1EB0913E"/>
    <w:rsid w:val="1ECD6A9B"/>
    <w:rsid w:val="1EEF97E3"/>
    <w:rsid w:val="1F0AD735"/>
    <w:rsid w:val="1F1F7679"/>
    <w:rsid w:val="1F2B566C"/>
    <w:rsid w:val="1F30E756"/>
    <w:rsid w:val="1F53B55C"/>
    <w:rsid w:val="1F562EDF"/>
    <w:rsid w:val="1F7AA097"/>
    <w:rsid w:val="1FE4003F"/>
    <w:rsid w:val="1FED2ECC"/>
    <w:rsid w:val="2021B1E6"/>
    <w:rsid w:val="20458FD0"/>
    <w:rsid w:val="204935A7"/>
    <w:rsid w:val="204F71C8"/>
    <w:rsid w:val="206B4BEB"/>
    <w:rsid w:val="20D3626C"/>
    <w:rsid w:val="20F8A0E2"/>
    <w:rsid w:val="2123C292"/>
    <w:rsid w:val="21262CF0"/>
    <w:rsid w:val="214AFC19"/>
    <w:rsid w:val="214F2BB9"/>
    <w:rsid w:val="21543AB1"/>
    <w:rsid w:val="21625853"/>
    <w:rsid w:val="21930A1E"/>
    <w:rsid w:val="21C60627"/>
    <w:rsid w:val="21D9B790"/>
    <w:rsid w:val="21F36E48"/>
    <w:rsid w:val="21FF3145"/>
    <w:rsid w:val="220A61A4"/>
    <w:rsid w:val="220E3675"/>
    <w:rsid w:val="220F3294"/>
    <w:rsid w:val="2239BD06"/>
    <w:rsid w:val="224364D5"/>
    <w:rsid w:val="226CF450"/>
    <w:rsid w:val="228E7065"/>
    <w:rsid w:val="2314F331"/>
    <w:rsid w:val="231A3FE5"/>
    <w:rsid w:val="2374980F"/>
    <w:rsid w:val="23A5B3AA"/>
    <w:rsid w:val="23C8FB47"/>
    <w:rsid w:val="23D6C074"/>
    <w:rsid w:val="2404407F"/>
    <w:rsid w:val="2418CEFF"/>
    <w:rsid w:val="245F5DA4"/>
    <w:rsid w:val="2465A9A5"/>
    <w:rsid w:val="2469EE99"/>
    <w:rsid w:val="247B4383"/>
    <w:rsid w:val="24816413"/>
    <w:rsid w:val="24B3123E"/>
    <w:rsid w:val="24D6D723"/>
    <w:rsid w:val="24EC5200"/>
    <w:rsid w:val="24FB8906"/>
    <w:rsid w:val="250E2370"/>
    <w:rsid w:val="251BFFE8"/>
    <w:rsid w:val="252B044F"/>
    <w:rsid w:val="25306EA2"/>
    <w:rsid w:val="255E6B3E"/>
    <w:rsid w:val="25915744"/>
    <w:rsid w:val="259F3C51"/>
    <w:rsid w:val="25B79873"/>
    <w:rsid w:val="25BD7EEF"/>
    <w:rsid w:val="260A58FB"/>
    <w:rsid w:val="2664430E"/>
    <w:rsid w:val="2664610A"/>
    <w:rsid w:val="269C5AFA"/>
    <w:rsid w:val="26C9F81D"/>
    <w:rsid w:val="26CECEE1"/>
    <w:rsid w:val="26D46E63"/>
    <w:rsid w:val="26D7D4CB"/>
    <w:rsid w:val="2738F1A9"/>
    <w:rsid w:val="273A2BAB"/>
    <w:rsid w:val="276FAD30"/>
    <w:rsid w:val="276FFAA2"/>
    <w:rsid w:val="2791C8CF"/>
    <w:rsid w:val="27D4E641"/>
    <w:rsid w:val="27E9ED98"/>
    <w:rsid w:val="281D4885"/>
    <w:rsid w:val="2862D8AB"/>
    <w:rsid w:val="2879CF16"/>
    <w:rsid w:val="28B18D25"/>
    <w:rsid w:val="28CE7428"/>
    <w:rsid w:val="293997F5"/>
    <w:rsid w:val="294DE2DE"/>
    <w:rsid w:val="295832FA"/>
    <w:rsid w:val="296CCEA3"/>
    <w:rsid w:val="29862036"/>
    <w:rsid w:val="29873B20"/>
    <w:rsid w:val="29B4EFE0"/>
    <w:rsid w:val="29C9904B"/>
    <w:rsid w:val="29DA1BC0"/>
    <w:rsid w:val="29E31A0C"/>
    <w:rsid w:val="29F57588"/>
    <w:rsid w:val="2A10726E"/>
    <w:rsid w:val="2A4DA2B7"/>
    <w:rsid w:val="2A7F838B"/>
    <w:rsid w:val="2A9BCF74"/>
    <w:rsid w:val="2AC06441"/>
    <w:rsid w:val="2ACF7D2A"/>
    <w:rsid w:val="2B6847FF"/>
    <w:rsid w:val="2BDE47FA"/>
    <w:rsid w:val="2C012B71"/>
    <w:rsid w:val="2C06EDE8"/>
    <w:rsid w:val="2C0B56B6"/>
    <w:rsid w:val="2C2A7C44"/>
    <w:rsid w:val="2C3F2DD7"/>
    <w:rsid w:val="2C6D7969"/>
    <w:rsid w:val="2CB41149"/>
    <w:rsid w:val="2CC83F96"/>
    <w:rsid w:val="2CEC0791"/>
    <w:rsid w:val="2CFB1666"/>
    <w:rsid w:val="2D2F9050"/>
    <w:rsid w:val="2D35E527"/>
    <w:rsid w:val="2D39C609"/>
    <w:rsid w:val="2D3D97DD"/>
    <w:rsid w:val="2D533C20"/>
    <w:rsid w:val="2D6A0A03"/>
    <w:rsid w:val="2D6DA56F"/>
    <w:rsid w:val="2D6F1C65"/>
    <w:rsid w:val="2D75D1DA"/>
    <w:rsid w:val="2DB073C6"/>
    <w:rsid w:val="2E044BC9"/>
    <w:rsid w:val="2E0AF861"/>
    <w:rsid w:val="2E0CBA9C"/>
    <w:rsid w:val="2E3861F5"/>
    <w:rsid w:val="2E4C89FB"/>
    <w:rsid w:val="2E596ED6"/>
    <w:rsid w:val="2E63ACF8"/>
    <w:rsid w:val="2E6A197C"/>
    <w:rsid w:val="2EADCCEC"/>
    <w:rsid w:val="2F39B644"/>
    <w:rsid w:val="2F43EF2C"/>
    <w:rsid w:val="2F4A6794"/>
    <w:rsid w:val="2F4D3DCF"/>
    <w:rsid w:val="2F8C4D80"/>
    <w:rsid w:val="2F8F1356"/>
    <w:rsid w:val="2F99A74C"/>
    <w:rsid w:val="2FC0400F"/>
    <w:rsid w:val="2FE47BA1"/>
    <w:rsid w:val="2FFDE501"/>
    <w:rsid w:val="301C9048"/>
    <w:rsid w:val="3032C598"/>
    <w:rsid w:val="303DF7B6"/>
    <w:rsid w:val="30508081"/>
    <w:rsid w:val="30574935"/>
    <w:rsid w:val="30580865"/>
    <w:rsid w:val="30A9C604"/>
    <w:rsid w:val="30C78BF9"/>
    <w:rsid w:val="30DADDE6"/>
    <w:rsid w:val="30DB755E"/>
    <w:rsid w:val="30F90243"/>
    <w:rsid w:val="30FF53A8"/>
    <w:rsid w:val="310B7CD6"/>
    <w:rsid w:val="31391A22"/>
    <w:rsid w:val="313C0FC5"/>
    <w:rsid w:val="313E50E6"/>
    <w:rsid w:val="31447855"/>
    <w:rsid w:val="319EC58C"/>
    <w:rsid w:val="31A3D737"/>
    <w:rsid w:val="31DF82BE"/>
    <w:rsid w:val="32233F08"/>
    <w:rsid w:val="322955F1"/>
    <w:rsid w:val="32687C4D"/>
    <w:rsid w:val="32785562"/>
    <w:rsid w:val="3281C8FA"/>
    <w:rsid w:val="3299422B"/>
    <w:rsid w:val="32C54B24"/>
    <w:rsid w:val="32FF2030"/>
    <w:rsid w:val="334D7D0C"/>
    <w:rsid w:val="3369F663"/>
    <w:rsid w:val="337D39E9"/>
    <w:rsid w:val="3384892C"/>
    <w:rsid w:val="33BD8613"/>
    <w:rsid w:val="33F6381D"/>
    <w:rsid w:val="3450428E"/>
    <w:rsid w:val="34673634"/>
    <w:rsid w:val="348C4A6F"/>
    <w:rsid w:val="34B32389"/>
    <w:rsid w:val="35154438"/>
    <w:rsid w:val="351CFE37"/>
    <w:rsid w:val="354DAE0C"/>
    <w:rsid w:val="35A03657"/>
    <w:rsid w:val="35AA9950"/>
    <w:rsid w:val="35ABB228"/>
    <w:rsid w:val="35BF0600"/>
    <w:rsid w:val="35DB19BA"/>
    <w:rsid w:val="35EAB8D4"/>
    <w:rsid w:val="36357ED0"/>
    <w:rsid w:val="364E3109"/>
    <w:rsid w:val="3655E00D"/>
    <w:rsid w:val="36765B0C"/>
    <w:rsid w:val="367E6AAA"/>
    <w:rsid w:val="369A65E9"/>
    <w:rsid w:val="369B0DD7"/>
    <w:rsid w:val="36C0AAB3"/>
    <w:rsid w:val="37141F91"/>
    <w:rsid w:val="3717D433"/>
    <w:rsid w:val="3727FAAA"/>
    <w:rsid w:val="373AA1DA"/>
    <w:rsid w:val="377EBA39"/>
    <w:rsid w:val="37B40189"/>
    <w:rsid w:val="37B7EDE2"/>
    <w:rsid w:val="382DB0AF"/>
    <w:rsid w:val="383E9177"/>
    <w:rsid w:val="38471CF0"/>
    <w:rsid w:val="385AE77D"/>
    <w:rsid w:val="385B1E6B"/>
    <w:rsid w:val="387FA83C"/>
    <w:rsid w:val="38822905"/>
    <w:rsid w:val="388E3778"/>
    <w:rsid w:val="38A6FA33"/>
    <w:rsid w:val="38B027BC"/>
    <w:rsid w:val="38C6C4EC"/>
    <w:rsid w:val="38C722C1"/>
    <w:rsid w:val="38EFF37C"/>
    <w:rsid w:val="38F549F3"/>
    <w:rsid w:val="390C0C47"/>
    <w:rsid w:val="39292052"/>
    <w:rsid w:val="3958F3E0"/>
    <w:rsid w:val="395AC0D6"/>
    <w:rsid w:val="397FFD15"/>
    <w:rsid w:val="398684B2"/>
    <w:rsid w:val="399E8415"/>
    <w:rsid w:val="39A2E2FD"/>
    <w:rsid w:val="39BF2CF4"/>
    <w:rsid w:val="39D563CE"/>
    <w:rsid w:val="39E477DA"/>
    <w:rsid w:val="3A1247B8"/>
    <w:rsid w:val="3A3CC721"/>
    <w:rsid w:val="3A714ADD"/>
    <w:rsid w:val="3A8D9103"/>
    <w:rsid w:val="3AD43751"/>
    <w:rsid w:val="3B147136"/>
    <w:rsid w:val="3B2751C0"/>
    <w:rsid w:val="3B38218F"/>
    <w:rsid w:val="3B5E5696"/>
    <w:rsid w:val="3B872565"/>
    <w:rsid w:val="3B8A9AB9"/>
    <w:rsid w:val="3B8E904D"/>
    <w:rsid w:val="3BC928BD"/>
    <w:rsid w:val="3BDE485C"/>
    <w:rsid w:val="3BE2BAAB"/>
    <w:rsid w:val="3BF5BC7F"/>
    <w:rsid w:val="3BFBD8FB"/>
    <w:rsid w:val="3C216382"/>
    <w:rsid w:val="3C4640DE"/>
    <w:rsid w:val="3C5344E3"/>
    <w:rsid w:val="3C8880D9"/>
    <w:rsid w:val="3C944695"/>
    <w:rsid w:val="3CC17CBF"/>
    <w:rsid w:val="3CF619C3"/>
    <w:rsid w:val="3D02C2FE"/>
    <w:rsid w:val="3D0D1D1C"/>
    <w:rsid w:val="3D2B3800"/>
    <w:rsid w:val="3D36BE3E"/>
    <w:rsid w:val="3D49A7CA"/>
    <w:rsid w:val="3D5FDE16"/>
    <w:rsid w:val="3D651231"/>
    <w:rsid w:val="3D6DF421"/>
    <w:rsid w:val="3D839F37"/>
    <w:rsid w:val="3DA92C05"/>
    <w:rsid w:val="3DC8EDFA"/>
    <w:rsid w:val="3DCDECA3"/>
    <w:rsid w:val="3E107082"/>
    <w:rsid w:val="3E1DB793"/>
    <w:rsid w:val="3E2F9149"/>
    <w:rsid w:val="3E6EA4FE"/>
    <w:rsid w:val="3E843A10"/>
    <w:rsid w:val="3EC1D416"/>
    <w:rsid w:val="3EEB089C"/>
    <w:rsid w:val="3F3E4881"/>
    <w:rsid w:val="3F5362C1"/>
    <w:rsid w:val="3F55AA76"/>
    <w:rsid w:val="3FE59739"/>
    <w:rsid w:val="403A8F77"/>
    <w:rsid w:val="4046F2E3"/>
    <w:rsid w:val="405D709B"/>
    <w:rsid w:val="407BF9AF"/>
    <w:rsid w:val="408DCC6B"/>
    <w:rsid w:val="40DBE367"/>
    <w:rsid w:val="40F70D29"/>
    <w:rsid w:val="40FCC161"/>
    <w:rsid w:val="411CA5A4"/>
    <w:rsid w:val="41235127"/>
    <w:rsid w:val="414934AC"/>
    <w:rsid w:val="41538EBC"/>
    <w:rsid w:val="415DE1A0"/>
    <w:rsid w:val="4168E8DF"/>
    <w:rsid w:val="416C18E0"/>
    <w:rsid w:val="41B01FF1"/>
    <w:rsid w:val="41CE2389"/>
    <w:rsid w:val="4211EBD5"/>
    <w:rsid w:val="4215AE3F"/>
    <w:rsid w:val="421DA68D"/>
    <w:rsid w:val="422B7C68"/>
    <w:rsid w:val="422FCC80"/>
    <w:rsid w:val="42375AF8"/>
    <w:rsid w:val="42634F39"/>
    <w:rsid w:val="426478B9"/>
    <w:rsid w:val="4267D638"/>
    <w:rsid w:val="427BC910"/>
    <w:rsid w:val="42964800"/>
    <w:rsid w:val="42B8A156"/>
    <w:rsid w:val="42C33C4B"/>
    <w:rsid w:val="42CAA73F"/>
    <w:rsid w:val="434BC498"/>
    <w:rsid w:val="435254D9"/>
    <w:rsid w:val="436AA710"/>
    <w:rsid w:val="43752F2E"/>
    <w:rsid w:val="439DC730"/>
    <w:rsid w:val="43AFE7D6"/>
    <w:rsid w:val="43B68626"/>
    <w:rsid w:val="43B903BF"/>
    <w:rsid w:val="43D14E2E"/>
    <w:rsid w:val="43DB4698"/>
    <w:rsid w:val="44382B61"/>
    <w:rsid w:val="443EE8FC"/>
    <w:rsid w:val="444E8C01"/>
    <w:rsid w:val="445E3C94"/>
    <w:rsid w:val="447C0F23"/>
    <w:rsid w:val="449B2E5B"/>
    <w:rsid w:val="44B25559"/>
    <w:rsid w:val="44CCD2E9"/>
    <w:rsid w:val="44D2F38C"/>
    <w:rsid w:val="44DE478D"/>
    <w:rsid w:val="44E038CF"/>
    <w:rsid w:val="44EF4897"/>
    <w:rsid w:val="44F4557A"/>
    <w:rsid w:val="45244E88"/>
    <w:rsid w:val="4577A6FB"/>
    <w:rsid w:val="459715E8"/>
    <w:rsid w:val="45B9CA80"/>
    <w:rsid w:val="45C5D423"/>
    <w:rsid w:val="45EDC9AE"/>
    <w:rsid w:val="4611A0C0"/>
    <w:rsid w:val="4685FDE2"/>
    <w:rsid w:val="46B85887"/>
    <w:rsid w:val="46BAE670"/>
    <w:rsid w:val="46BC860F"/>
    <w:rsid w:val="46C7C7D1"/>
    <w:rsid w:val="46D7DEEB"/>
    <w:rsid w:val="46E4F1D6"/>
    <w:rsid w:val="47394E7A"/>
    <w:rsid w:val="47433DE0"/>
    <w:rsid w:val="4750C8A6"/>
    <w:rsid w:val="475CF25C"/>
    <w:rsid w:val="4772D6AB"/>
    <w:rsid w:val="47C639DA"/>
    <w:rsid w:val="47CDF102"/>
    <w:rsid w:val="47E2C9D0"/>
    <w:rsid w:val="47E77FB0"/>
    <w:rsid w:val="47F593EC"/>
    <w:rsid w:val="47FD8365"/>
    <w:rsid w:val="4890E8B5"/>
    <w:rsid w:val="489E1361"/>
    <w:rsid w:val="48AC270A"/>
    <w:rsid w:val="48B9459C"/>
    <w:rsid w:val="48CB8160"/>
    <w:rsid w:val="48E26ECE"/>
    <w:rsid w:val="492D8C72"/>
    <w:rsid w:val="49488BE5"/>
    <w:rsid w:val="496063F0"/>
    <w:rsid w:val="498007EC"/>
    <w:rsid w:val="49B8C071"/>
    <w:rsid w:val="49D13305"/>
    <w:rsid w:val="4A2A9CDA"/>
    <w:rsid w:val="4A3B695A"/>
    <w:rsid w:val="4A4E9FD6"/>
    <w:rsid w:val="4A530884"/>
    <w:rsid w:val="4A5B1475"/>
    <w:rsid w:val="4A670442"/>
    <w:rsid w:val="4A6BB766"/>
    <w:rsid w:val="4A84BDEB"/>
    <w:rsid w:val="4A91A43F"/>
    <w:rsid w:val="4AA29FB7"/>
    <w:rsid w:val="4AD20CA0"/>
    <w:rsid w:val="4AE130BB"/>
    <w:rsid w:val="4B01EBDC"/>
    <w:rsid w:val="4B4B24BB"/>
    <w:rsid w:val="4B64CD5B"/>
    <w:rsid w:val="4B657976"/>
    <w:rsid w:val="4B6C834E"/>
    <w:rsid w:val="4B7B7FD3"/>
    <w:rsid w:val="4B8C28AE"/>
    <w:rsid w:val="4B938365"/>
    <w:rsid w:val="4B94B2B8"/>
    <w:rsid w:val="4BAFE476"/>
    <w:rsid w:val="4BF25D44"/>
    <w:rsid w:val="4C023BEB"/>
    <w:rsid w:val="4C0C11B1"/>
    <w:rsid w:val="4C2A660B"/>
    <w:rsid w:val="4C2C2967"/>
    <w:rsid w:val="4C3DADA0"/>
    <w:rsid w:val="4C521736"/>
    <w:rsid w:val="4C7F2A4D"/>
    <w:rsid w:val="4D102D94"/>
    <w:rsid w:val="4D14B5E6"/>
    <w:rsid w:val="4D515D19"/>
    <w:rsid w:val="4D57F961"/>
    <w:rsid w:val="4D656FA7"/>
    <w:rsid w:val="4E90A7C0"/>
    <w:rsid w:val="4EA5FC15"/>
    <w:rsid w:val="4EB6CAEF"/>
    <w:rsid w:val="4EBDFB4D"/>
    <w:rsid w:val="4F05685A"/>
    <w:rsid w:val="4F1DD322"/>
    <w:rsid w:val="4F3E9DED"/>
    <w:rsid w:val="4F44C423"/>
    <w:rsid w:val="4F53702C"/>
    <w:rsid w:val="4F5DA31B"/>
    <w:rsid w:val="4F6750E4"/>
    <w:rsid w:val="4FCB77A4"/>
    <w:rsid w:val="4FD89BCF"/>
    <w:rsid w:val="4FE1A14A"/>
    <w:rsid w:val="4FEBCFDF"/>
    <w:rsid w:val="4FF70E27"/>
    <w:rsid w:val="4FFB13E7"/>
    <w:rsid w:val="501F7DF2"/>
    <w:rsid w:val="50236481"/>
    <w:rsid w:val="503DCC8D"/>
    <w:rsid w:val="5041A27E"/>
    <w:rsid w:val="504A6645"/>
    <w:rsid w:val="504BAF00"/>
    <w:rsid w:val="5055E8D8"/>
    <w:rsid w:val="5063A092"/>
    <w:rsid w:val="506CAF93"/>
    <w:rsid w:val="5071DAD7"/>
    <w:rsid w:val="507B3B98"/>
    <w:rsid w:val="507BC99E"/>
    <w:rsid w:val="508A569D"/>
    <w:rsid w:val="50A3F774"/>
    <w:rsid w:val="50C56297"/>
    <w:rsid w:val="50CC1303"/>
    <w:rsid w:val="50EC6DD0"/>
    <w:rsid w:val="50FDA73A"/>
    <w:rsid w:val="50FF1F69"/>
    <w:rsid w:val="510E2A66"/>
    <w:rsid w:val="51118EFD"/>
    <w:rsid w:val="511745E1"/>
    <w:rsid w:val="513CFA87"/>
    <w:rsid w:val="5159F51B"/>
    <w:rsid w:val="515A8C6A"/>
    <w:rsid w:val="516272B0"/>
    <w:rsid w:val="516CC389"/>
    <w:rsid w:val="517D64F0"/>
    <w:rsid w:val="51800231"/>
    <w:rsid w:val="51A9A3D9"/>
    <w:rsid w:val="51C7642C"/>
    <w:rsid w:val="51DFC292"/>
    <w:rsid w:val="5214CA7C"/>
    <w:rsid w:val="522B36CD"/>
    <w:rsid w:val="525CEEEC"/>
    <w:rsid w:val="52C6F6FA"/>
    <w:rsid w:val="52E8FA25"/>
    <w:rsid w:val="52EDCBE2"/>
    <w:rsid w:val="52FD6B12"/>
    <w:rsid w:val="532C8A7F"/>
    <w:rsid w:val="533247D3"/>
    <w:rsid w:val="53472A66"/>
    <w:rsid w:val="538D2BCE"/>
    <w:rsid w:val="53927924"/>
    <w:rsid w:val="53D2104F"/>
    <w:rsid w:val="53D4E248"/>
    <w:rsid w:val="53E02411"/>
    <w:rsid w:val="53E8F91D"/>
    <w:rsid w:val="53F2076D"/>
    <w:rsid w:val="5435F117"/>
    <w:rsid w:val="5488AED9"/>
    <w:rsid w:val="54B7A4AF"/>
    <w:rsid w:val="54FBB11B"/>
    <w:rsid w:val="5501EF7C"/>
    <w:rsid w:val="5502F2D6"/>
    <w:rsid w:val="55085AD6"/>
    <w:rsid w:val="550D089D"/>
    <w:rsid w:val="551CA7FD"/>
    <w:rsid w:val="55244549"/>
    <w:rsid w:val="554843D4"/>
    <w:rsid w:val="554C48A7"/>
    <w:rsid w:val="555BE7DD"/>
    <w:rsid w:val="55BA0574"/>
    <w:rsid w:val="55CB35B3"/>
    <w:rsid w:val="55CDEAEB"/>
    <w:rsid w:val="55EE8662"/>
    <w:rsid w:val="55FF01A2"/>
    <w:rsid w:val="56051D06"/>
    <w:rsid w:val="56209F56"/>
    <w:rsid w:val="56495900"/>
    <w:rsid w:val="567EAB95"/>
    <w:rsid w:val="5688A65D"/>
    <w:rsid w:val="56EB67CC"/>
    <w:rsid w:val="56F37E0C"/>
    <w:rsid w:val="57132F74"/>
    <w:rsid w:val="571B55A7"/>
    <w:rsid w:val="572C86E6"/>
    <w:rsid w:val="572D629B"/>
    <w:rsid w:val="574C6B0D"/>
    <w:rsid w:val="57815A32"/>
    <w:rsid w:val="57CBF4FA"/>
    <w:rsid w:val="57EDD75C"/>
    <w:rsid w:val="58251201"/>
    <w:rsid w:val="58593570"/>
    <w:rsid w:val="585D58BD"/>
    <w:rsid w:val="5870CA6C"/>
    <w:rsid w:val="5871B172"/>
    <w:rsid w:val="587AB997"/>
    <w:rsid w:val="587D184D"/>
    <w:rsid w:val="5885D1BF"/>
    <w:rsid w:val="58AB4C0A"/>
    <w:rsid w:val="58BAD6A9"/>
    <w:rsid w:val="58C9FC58"/>
    <w:rsid w:val="58F08739"/>
    <w:rsid w:val="58FA5401"/>
    <w:rsid w:val="58FACD44"/>
    <w:rsid w:val="59118F70"/>
    <w:rsid w:val="591379D4"/>
    <w:rsid w:val="5919196D"/>
    <w:rsid w:val="59408546"/>
    <w:rsid w:val="599BB6C5"/>
    <w:rsid w:val="59D998B6"/>
    <w:rsid w:val="5A5A6B65"/>
    <w:rsid w:val="5AA4EED9"/>
    <w:rsid w:val="5AB254BD"/>
    <w:rsid w:val="5ACB2162"/>
    <w:rsid w:val="5ADABCBD"/>
    <w:rsid w:val="5AE915F6"/>
    <w:rsid w:val="5AEB9CE4"/>
    <w:rsid w:val="5AEBBD21"/>
    <w:rsid w:val="5B1469DF"/>
    <w:rsid w:val="5B1C39CB"/>
    <w:rsid w:val="5B269B7B"/>
    <w:rsid w:val="5B8BBA8C"/>
    <w:rsid w:val="5BB4B994"/>
    <w:rsid w:val="5BCFCA8B"/>
    <w:rsid w:val="5BDDCEDB"/>
    <w:rsid w:val="5C05A02B"/>
    <w:rsid w:val="5C5F0ED1"/>
    <w:rsid w:val="5C7264D1"/>
    <w:rsid w:val="5C8B5FDC"/>
    <w:rsid w:val="5C938C47"/>
    <w:rsid w:val="5CA22A59"/>
    <w:rsid w:val="5CA22BD5"/>
    <w:rsid w:val="5CBA836E"/>
    <w:rsid w:val="5CEE7F60"/>
    <w:rsid w:val="5D188461"/>
    <w:rsid w:val="5D1E99BE"/>
    <w:rsid w:val="5D24FD59"/>
    <w:rsid w:val="5D8A7B52"/>
    <w:rsid w:val="5D8D12E0"/>
    <w:rsid w:val="5D993FCB"/>
    <w:rsid w:val="5DA9ACFE"/>
    <w:rsid w:val="5E07524F"/>
    <w:rsid w:val="5E09DE74"/>
    <w:rsid w:val="5E202AC5"/>
    <w:rsid w:val="5E2387EF"/>
    <w:rsid w:val="5E2F4002"/>
    <w:rsid w:val="5E368384"/>
    <w:rsid w:val="5E4ACFDC"/>
    <w:rsid w:val="5E63346B"/>
    <w:rsid w:val="5E656940"/>
    <w:rsid w:val="5E82592D"/>
    <w:rsid w:val="5EA59880"/>
    <w:rsid w:val="5EAA07ED"/>
    <w:rsid w:val="5EB1493D"/>
    <w:rsid w:val="5ED2FD92"/>
    <w:rsid w:val="5EE29A3B"/>
    <w:rsid w:val="5F28DF2C"/>
    <w:rsid w:val="5F438C48"/>
    <w:rsid w:val="5F43EFA4"/>
    <w:rsid w:val="5F50F791"/>
    <w:rsid w:val="5F5606A1"/>
    <w:rsid w:val="5F5F1AD7"/>
    <w:rsid w:val="5F72E819"/>
    <w:rsid w:val="5F8256B1"/>
    <w:rsid w:val="5FCCDA90"/>
    <w:rsid w:val="5FF20A8B"/>
    <w:rsid w:val="5FF6ADEB"/>
    <w:rsid w:val="606A5760"/>
    <w:rsid w:val="608CAC6B"/>
    <w:rsid w:val="60A4EB7D"/>
    <w:rsid w:val="60BB7BC8"/>
    <w:rsid w:val="60ECA401"/>
    <w:rsid w:val="60EF6328"/>
    <w:rsid w:val="60FCEAEC"/>
    <w:rsid w:val="60FF58F7"/>
    <w:rsid w:val="6101AB54"/>
    <w:rsid w:val="6102DA34"/>
    <w:rsid w:val="6110DE8D"/>
    <w:rsid w:val="62404C6A"/>
    <w:rsid w:val="6252B1C6"/>
    <w:rsid w:val="626F861A"/>
    <w:rsid w:val="627074C1"/>
    <w:rsid w:val="628FE830"/>
    <w:rsid w:val="6298BB4D"/>
    <w:rsid w:val="62B3615A"/>
    <w:rsid w:val="62BA8CBC"/>
    <w:rsid w:val="62EF5944"/>
    <w:rsid w:val="630EF88A"/>
    <w:rsid w:val="63158A2B"/>
    <w:rsid w:val="6338BD18"/>
    <w:rsid w:val="634ED1CC"/>
    <w:rsid w:val="63EB3EA1"/>
    <w:rsid w:val="63F910D7"/>
    <w:rsid w:val="64482EFD"/>
    <w:rsid w:val="6459C3E3"/>
    <w:rsid w:val="64677A9A"/>
    <w:rsid w:val="64A2576D"/>
    <w:rsid w:val="64A742F2"/>
    <w:rsid w:val="64D9E325"/>
    <w:rsid w:val="64F288AF"/>
    <w:rsid w:val="64F75E71"/>
    <w:rsid w:val="651E7375"/>
    <w:rsid w:val="65218B34"/>
    <w:rsid w:val="65224EC1"/>
    <w:rsid w:val="6552B0F3"/>
    <w:rsid w:val="6566C6F3"/>
    <w:rsid w:val="656D3761"/>
    <w:rsid w:val="6585D352"/>
    <w:rsid w:val="659A18E1"/>
    <w:rsid w:val="65AC432D"/>
    <w:rsid w:val="65BDD09D"/>
    <w:rsid w:val="65C96AA8"/>
    <w:rsid w:val="65D3FB55"/>
    <w:rsid w:val="65F8985A"/>
    <w:rsid w:val="65FCA301"/>
    <w:rsid w:val="6629F8FA"/>
    <w:rsid w:val="66323906"/>
    <w:rsid w:val="6636BD7B"/>
    <w:rsid w:val="664CF1B5"/>
    <w:rsid w:val="6661AEF3"/>
    <w:rsid w:val="66747035"/>
    <w:rsid w:val="6682C4AA"/>
    <w:rsid w:val="66ACABC0"/>
    <w:rsid w:val="66B1B036"/>
    <w:rsid w:val="670276B1"/>
    <w:rsid w:val="67173432"/>
    <w:rsid w:val="672A91AA"/>
    <w:rsid w:val="6749F88B"/>
    <w:rsid w:val="674BB7D9"/>
    <w:rsid w:val="67544805"/>
    <w:rsid w:val="6761AB2A"/>
    <w:rsid w:val="67A10BE5"/>
    <w:rsid w:val="67BDAC4A"/>
    <w:rsid w:val="67D3A3A5"/>
    <w:rsid w:val="67D44A19"/>
    <w:rsid w:val="67D554F6"/>
    <w:rsid w:val="67D892AB"/>
    <w:rsid w:val="67DA5E44"/>
    <w:rsid w:val="67E62FF5"/>
    <w:rsid w:val="68536B79"/>
    <w:rsid w:val="688BAC9A"/>
    <w:rsid w:val="68AC3502"/>
    <w:rsid w:val="68CD77E0"/>
    <w:rsid w:val="68E75CC4"/>
    <w:rsid w:val="690A77E3"/>
    <w:rsid w:val="692C76A8"/>
    <w:rsid w:val="6934444E"/>
    <w:rsid w:val="693731F3"/>
    <w:rsid w:val="693B90B0"/>
    <w:rsid w:val="69416857"/>
    <w:rsid w:val="69716441"/>
    <w:rsid w:val="69764A83"/>
    <w:rsid w:val="69E3D0EF"/>
    <w:rsid w:val="6A0142E3"/>
    <w:rsid w:val="6A276D8F"/>
    <w:rsid w:val="6A5332D3"/>
    <w:rsid w:val="6A5CEC96"/>
    <w:rsid w:val="6A714AA2"/>
    <w:rsid w:val="6A989BEF"/>
    <w:rsid w:val="6ACFB2CB"/>
    <w:rsid w:val="6AD44B9B"/>
    <w:rsid w:val="6B0F5D1C"/>
    <w:rsid w:val="6B11C9B1"/>
    <w:rsid w:val="6B2727D5"/>
    <w:rsid w:val="6B9E3E4D"/>
    <w:rsid w:val="6BDC2DA0"/>
    <w:rsid w:val="6BF3A8D2"/>
    <w:rsid w:val="6C2F6F3D"/>
    <w:rsid w:val="6C4FB412"/>
    <w:rsid w:val="6C81D1FB"/>
    <w:rsid w:val="6C8E141F"/>
    <w:rsid w:val="6C8E18C1"/>
    <w:rsid w:val="6CBF9A1A"/>
    <w:rsid w:val="6CC132C9"/>
    <w:rsid w:val="6CD4E66A"/>
    <w:rsid w:val="6CEC0B7D"/>
    <w:rsid w:val="6D0FEDBE"/>
    <w:rsid w:val="6D1618FB"/>
    <w:rsid w:val="6D6AE5BB"/>
    <w:rsid w:val="6D6D3747"/>
    <w:rsid w:val="6D70B67A"/>
    <w:rsid w:val="6D7637C2"/>
    <w:rsid w:val="6DCA4E59"/>
    <w:rsid w:val="6DDC2CAA"/>
    <w:rsid w:val="6DEAB0B0"/>
    <w:rsid w:val="6DEC7031"/>
    <w:rsid w:val="6E0BD4CD"/>
    <w:rsid w:val="6E1C718E"/>
    <w:rsid w:val="6E6A01B1"/>
    <w:rsid w:val="6E6C9A88"/>
    <w:rsid w:val="6E7C51AA"/>
    <w:rsid w:val="6EBCB2A5"/>
    <w:rsid w:val="6EBDEEB9"/>
    <w:rsid w:val="6EE326CF"/>
    <w:rsid w:val="6EEED84E"/>
    <w:rsid w:val="6EF2C105"/>
    <w:rsid w:val="6EFC52ED"/>
    <w:rsid w:val="6F21FD1B"/>
    <w:rsid w:val="6F7A6667"/>
    <w:rsid w:val="6F88F84F"/>
    <w:rsid w:val="6FD25CC9"/>
    <w:rsid w:val="6FD2E336"/>
    <w:rsid w:val="6FF966B4"/>
    <w:rsid w:val="70043B1B"/>
    <w:rsid w:val="7082BC51"/>
    <w:rsid w:val="7099F626"/>
    <w:rsid w:val="70AF8156"/>
    <w:rsid w:val="70B84FA2"/>
    <w:rsid w:val="70E22A55"/>
    <w:rsid w:val="71192E5E"/>
    <w:rsid w:val="712EB249"/>
    <w:rsid w:val="7139F538"/>
    <w:rsid w:val="7153CAE1"/>
    <w:rsid w:val="71A4BC8D"/>
    <w:rsid w:val="71D1DD4A"/>
    <w:rsid w:val="71F1C201"/>
    <w:rsid w:val="72089DA4"/>
    <w:rsid w:val="7224139C"/>
    <w:rsid w:val="7226AA5C"/>
    <w:rsid w:val="722F0258"/>
    <w:rsid w:val="72358A00"/>
    <w:rsid w:val="7252431B"/>
    <w:rsid w:val="7255DF50"/>
    <w:rsid w:val="72575F49"/>
    <w:rsid w:val="7263C434"/>
    <w:rsid w:val="7264514D"/>
    <w:rsid w:val="72B0FA8C"/>
    <w:rsid w:val="72CE2277"/>
    <w:rsid w:val="72DE012D"/>
    <w:rsid w:val="72E40283"/>
    <w:rsid w:val="72E8AFD5"/>
    <w:rsid w:val="72E967B2"/>
    <w:rsid w:val="72EE08F7"/>
    <w:rsid w:val="72F2F3C4"/>
    <w:rsid w:val="72FC1B97"/>
    <w:rsid w:val="72FE69D1"/>
    <w:rsid w:val="730C2CA4"/>
    <w:rsid w:val="7310754F"/>
    <w:rsid w:val="7311C2C5"/>
    <w:rsid w:val="736C0D53"/>
    <w:rsid w:val="736C18D3"/>
    <w:rsid w:val="737D53AA"/>
    <w:rsid w:val="737E47E7"/>
    <w:rsid w:val="73ACFC12"/>
    <w:rsid w:val="73E97408"/>
    <w:rsid w:val="73EEE791"/>
    <w:rsid w:val="73F9F72D"/>
    <w:rsid w:val="741B6488"/>
    <w:rsid w:val="742284B8"/>
    <w:rsid w:val="7435AA68"/>
    <w:rsid w:val="74556922"/>
    <w:rsid w:val="74607F76"/>
    <w:rsid w:val="7474B7A2"/>
    <w:rsid w:val="74875591"/>
    <w:rsid w:val="74B938D7"/>
    <w:rsid w:val="74BC9065"/>
    <w:rsid w:val="74CC8511"/>
    <w:rsid w:val="74CEEE50"/>
    <w:rsid w:val="7535EDBE"/>
    <w:rsid w:val="7544BA26"/>
    <w:rsid w:val="755E32E6"/>
    <w:rsid w:val="75878499"/>
    <w:rsid w:val="75DAE766"/>
    <w:rsid w:val="75E0FF82"/>
    <w:rsid w:val="75F42718"/>
    <w:rsid w:val="7629E331"/>
    <w:rsid w:val="763B7BEB"/>
    <w:rsid w:val="76461B21"/>
    <w:rsid w:val="764FD3DE"/>
    <w:rsid w:val="765014CB"/>
    <w:rsid w:val="76542D17"/>
    <w:rsid w:val="767A78D6"/>
    <w:rsid w:val="76A3AB05"/>
    <w:rsid w:val="76DF6627"/>
    <w:rsid w:val="76E5C5C4"/>
    <w:rsid w:val="772BCC5A"/>
    <w:rsid w:val="773333F7"/>
    <w:rsid w:val="77678F71"/>
    <w:rsid w:val="7776CC47"/>
    <w:rsid w:val="77B09F00"/>
    <w:rsid w:val="77BD82DA"/>
    <w:rsid w:val="77CB04D4"/>
    <w:rsid w:val="77D4CAF5"/>
    <w:rsid w:val="7828BF79"/>
    <w:rsid w:val="78841B43"/>
    <w:rsid w:val="78A515E9"/>
    <w:rsid w:val="78AC958B"/>
    <w:rsid w:val="78C61DD5"/>
    <w:rsid w:val="78CFCD77"/>
    <w:rsid w:val="78D729F8"/>
    <w:rsid w:val="78FF621D"/>
    <w:rsid w:val="79214BAC"/>
    <w:rsid w:val="795422CA"/>
    <w:rsid w:val="79613A8D"/>
    <w:rsid w:val="796A3A47"/>
    <w:rsid w:val="79C463A3"/>
    <w:rsid w:val="79CA0B00"/>
    <w:rsid w:val="79D41E74"/>
    <w:rsid w:val="79D59BFD"/>
    <w:rsid w:val="79F0E13C"/>
    <w:rsid w:val="7A06472D"/>
    <w:rsid w:val="7A0C5306"/>
    <w:rsid w:val="7A1D8DF9"/>
    <w:rsid w:val="7A35A67D"/>
    <w:rsid w:val="7A805E4C"/>
    <w:rsid w:val="7A878723"/>
    <w:rsid w:val="7A8CEEBE"/>
    <w:rsid w:val="7AC90CAD"/>
    <w:rsid w:val="7B01ED8E"/>
    <w:rsid w:val="7B0B95C9"/>
    <w:rsid w:val="7B135B89"/>
    <w:rsid w:val="7B20FADD"/>
    <w:rsid w:val="7B4B3E85"/>
    <w:rsid w:val="7B5CA351"/>
    <w:rsid w:val="7B7990C5"/>
    <w:rsid w:val="7B8A03BE"/>
    <w:rsid w:val="7B8B08F9"/>
    <w:rsid w:val="7B933D8A"/>
    <w:rsid w:val="7B9C8422"/>
    <w:rsid w:val="7BBD32F6"/>
    <w:rsid w:val="7BD2706A"/>
    <w:rsid w:val="7BE35CB2"/>
    <w:rsid w:val="7BE96495"/>
    <w:rsid w:val="7C10F83A"/>
    <w:rsid w:val="7C1CAE52"/>
    <w:rsid w:val="7C24DB1F"/>
    <w:rsid w:val="7C4D56EA"/>
    <w:rsid w:val="7C6A192C"/>
    <w:rsid w:val="7C701F71"/>
    <w:rsid w:val="7C790CDC"/>
    <w:rsid w:val="7C8CE79F"/>
    <w:rsid w:val="7C97B1E1"/>
    <w:rsid w:val="7CA342DD"/>
    <w:rsid w:val="7CAD8C6C"/>
    <w:rsid w:val="7CE00D2F"/>
    <w:rsid w:val="7D10BB8A"/>
    <w:rsid w:val="7D70E699"/>
    <w:rsid w:val="7D8489E8"/>
    <w:rsid w:val="7D884E26"/>
    <w:rsid w:val="7D9E2D21"/>
    <w:rsid w:val="7E0E7A00"/>
    <w:rsid w:val="7E20591F"/>
    <w:rsid w:val="7E2E8DC5"/>
    <w:rsid w:val="7E36E6D9"/>
    <w:rsid w:val="7E3F133E"/>
    <w:rsid w:val="7E43DDA0"/>
    <w:rsid w:val="7E4BE6D1"/>
    <w:rsid w:val="7E5FE84C"/>
    <w:rsid w:val="7E7AA617"/>
    <w:rsid w:val="7EB849DD"/>
    <w:rsid w:val="7EBA8691"/>
    <w:rsid w:val="7EBE4406"/>
    <w:rsid w:val="7EBE6090"/>
    <w:rsid w:val="7ECDB970"/>
    <w:rsid w:val="7EDD0C8E"/>
    <w:rsid w:val="7EF55A8C"/>
    <w:rsid w:val="7F189FA7"/>
    <w:rsid w:val="7F1D7084"/>
    <w:rsid w:val="7F3A5E15"/>
    <w:rsid w:val="7F5041B2"/>
    <w:rsid w:val="7F649106"/>
    <w:rsid w:val="7F98BCC2"/>
    <w:rsid w:val="7FBA0C20"/>
    <w:rsid w:val="7FC0B78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4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9"/>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9"/>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9"/>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20"/>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7"/>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7"/>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table" w:styleId="GridTable1Light">
    <w:name w:val="Grid Table 1 Light"/>
    <w:basedOn w:val="TableNormal"/>
    <w:uiPriority w:val="46"/>
    <w:rsid w:val="00E2388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link w:val="ListParagraphChar"/>
    <w:uiPriority w:val="72"/>
    <w:qFormat/>
    <w:rsid w:val="008403FD"/>
    <w:pPr>
      <w:ind w:left="720"/>
      <w:contextualSpacing/>
    </w:pPr>
  </w:style>
  <w:style w:type="character" w:customStyle="1" w:styleId="ListParagraphChar">
    <w:name w:val="List Paragraph Char"/>
    <w:link w:val="ListParagraph"/>
    <w:uiPriority w:val="1"/>
    <w:locked/>
    <w:rsid w:val="008403FD"/>
    <w:rPr>
      <w:rFonts w:ascii="Arial" w:hAnsi="Arial"/>
      <w:sz w:val="21"/>
      <w:lang w:eastAsia="en-US"/>
    </w:rPr>
  </w:style>
  <w:style w:type="character" w:styleId="Mention">
    <w:name w:val="Mention"/>
    <w:basedOn w:val="DefaultParagraphFont"/>
    <w:uiPriority w:val="99"/>
    <w:unhideWhenUsed/>
    <w:rsid w:val="00CF0F10"/>
    <w:rPr>
      <w:color w:val="2B579A"/>
      <w:shd w:val="clear" w:color="auto" w:fill="E6E6E6"/>
    </w:rPr>
  </w:style>
  <w:style w:type="paragraph" w:customStyle="1" w:styleId="paragraph">
    <w:name w:val="paragraph"/>
    <w:basedOn w:val="Normal"/>
    <w:rsid w:val="00D45D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45D23"/>
  </w:style>
  <w:style w:type="character" w:customStyle="1" w:styleId="eop">
    <w:name w:val="eop"/>
    <w:basedOn w:val="DefaultParagraphFont"/>
    <w:rsid w:val="00D45D23"/>
  </w:style>
  <w:style w:type="paragraph" w:customStyle="1" w:styleId="DHHSbullet1">
    <w:name w:val="DHHS bullet 1"/>
    <w:basedOn w:val="Normal"/>
    <w:qFormat/>
    <w:rsid w:val="006E74F3"/>
    <w:pPr>
      <w:numPr>
        <w:numId w:val="8"/>
      </w:numPr>
      <w:spacing w:after="40" w:line="270" w:lineRule="atLeast"/>
    </w:pPr>
    <w:rPr>
      <w:rFonts w:eastAsia="Times"/>
      <w:sz w:val="20"/>
    </w:rPr>
  </w:style>
  <w:style w:type="paragraph" w:customStyle="1" w:styleId="DHHSbullet1lastline">
    <w:name w:val="DHHS bullet 1 last line"/>
    <w:basedOn w:val="DHHSbullet1"/>
    <w:qFormat/>
    <w:rsid w:val="006E74F3"/>
    <w:pPr>
      <w:spacing w:after="120"/>
    </w:pPr>
  </w:style>
  <w:style w:type="paragraph" w:styleId="NormalWeb">
    <w:name w:val="Normal (Web)"/>
    <w:basedOn w:val="Normal"/>
    <w:uiPriority w:val="99"/>
    <w:unhideWhenUsed/>
    <w:rsid w:val="00AC0996"/>
    <w:pPr>
      <w:spacing w:before="100" w:beforeAutospacing="1" w:after="100" w:afterAutospacing="1" w:line="240" w:lineRule="auto"/>
    </w:pPr>
    <w:rPr>
      <w:rFonts w:ascii="Times New Roman" w:hAnsi="Times New Roman"/>
      <w:sz w:val="24"/>
      <w:szCs w:val="24"/>
      <w:lang w:eastAsia="en-AU"/>
    </w:rPr>
  </w:style>
  <w:style w:type="character" w:customStyle="1" w:styleId="rpl-text-label">
    <w:name w:val="rpl-text-label"/>
    <w:basedOn w:val="DefaultParagraphFont"/>
    <w:rsid w:val="00AC0996"/>
  </w:style>
  <w:style w:type="character" w:customStyle="1" w:styleId="rpl-text-icongroup">
    <w:name w:val="rpl-text-icon__group"/>
    <w:basedOn w:val="DefaultParagraphFont"/>
    <w:rsid w:val="00AC0996"/>
  </w:style>
  <w:style w:type="character" w:customStyle="1" w:styleId="A8">
    <w:name w:val="A8"/>
    <w:uiPriority w:val="99"/>
    <w:rsid w:val="00AC0996"/>
    <w:rPr>
      <w:rFonts w:ascii="Open Sans SemiBold" w:hAnsi="Open Sans SemiBold" w:cs="Open Sans SemiBold" w:hint="default"/>
      <w:b/>
      <w:bCs/>
      <w:color w:val="000000"/>
      <w:sz w:val="22"/>
      <w:szCs w:val="22"/>
    </w:rPr>
  </w:style>
  <w:style w:type="character" w:styleId="Emphasis">
    <w:name w:val="Emphasis"/>
    <w:basedOn w:val="DefaultParagraphFont"/>
    <w:uiPriority w:val="20"/>
    <w:qFormat/>
    <w:rsid w:val="00DA159C"/>
    <w:rPr>
      <w:i/>
      <w:iCs/>
    </w:rPr>
  </w:style>
  <w:style w:type="paragraph" w:customStyle="1" w:styleId="Default">
    <w:name w:val="Default"/>
    <w:rsid w:val="001378F9"/>
    <w:pPr>
      <w:autoSpaceDE w:val="0"/>
      <w:autoSpaceDN w:val="0"/>
      <w:adjustRightInd w:val="0"/>
    </w:pPr>
    <w:rPr>
      <w:rFonts w:ascii="HCJEMK+Arial-BoldMT" w:eastAsiaTheme="minorHAnsi" w:hAnsi="HCJEMK+Arial-BoldMT" w:cs="HCJEMK+Arial-BoldMT"/>
      <w:color w:val="000000"/>
      <w:sz w:val="24"/>
      <w:szCs w:val="24"/>
      <w:lang w:eastAsia="en-US"/>
    </w:rPr>
  </w:style>
  <w:style w:type="paragraph" w:styleId="TOCHeading">
    <w:name w:val="TOC Heading"/>
    <w:basedOn w:val="Heading1"/>
    <w:next w:val="Normal"/>
    <w:uiPriority w:val="39"/>
    <w:unhideWhenUsed/>
    <w:qFormat/>
    <w:rsid w:val="00E578DE"/>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styleId="SmartLink">
    <w:name w:val="Smart Link"/>
    <w:basedOn w:val="DefaultParagraphFont"/>
    <w:uiPriority w:val="99"/>
    <w:semiHidden/>
    <w:unhideWhenUsed/>
    <w:rsid w:val="008E1C89"/>
    <w:rPr>
      <w:color w:val="0000FF"/>
      <w:u w:val="single"/>
      <w:shd w:val="clear" w:color="auto" w:fill="F3F2F1"/>
    </w:rPr>
  </w:style>
  <w:style w:type="paragraph" w:customStyle="1" w:styleId="DHHSbody">
    <w:name w:val="DHHS body"/>
    <w:link w:val="DHHSbodyChar"/>
    <w:qFormat/>
    <w:rsid w:val="00561124"/>
    <w:pPr>
      <w:spacing w:after="120" w:line="270" w:lineRule="atLeast"/>
    </w:pPr>
    <w:rPr>
      <w:rFonts w:ascii="Arial" w:eastAsia="Times" w:hAnsi="Arial"/>
      <w:lang w:eastAsia="en-US"/>
    </w:rPr>
  </w:style>
  <w:style w:type="character" w:customStyle="1" w:styleId="DHHSbodyChar">
    <w:name w:val="DHHS body Char"/>
    <w:link w:val="DHHSbody"/>
    <w:rsid w:val="00F43954"/>
    <w:rPr>
      <w:rFonts w:ascii="Arial" w:eastAsia="Times" w:hAnsi="Arial"/>
      <w:lang w:eastAsia="en-US"/>
    </w:rPr>
  </w:style>
  <w:style w:type="paragraph" w:styleId="Caption">
    <w:name w:val="caption"/>
    <w:basedOn w:val="Normal"/>
    <w:next w:val="Normal"/>
    <w:uiPriority w:val="35"/>
    <w:unhideWhenUsed/>
    <w:qFormat/>
    <w:rsid w:val="00B54899"/>
    <w:pPr>
      <w:spacing w:after="200" w:line="240" w:lineRule="auto"/>
    </w:pPr>
    <w:rPr>
      <w:i/>
      <w:iCs/>
      <w:color w:val="1F497D" w:themeColor="text2"/>
      <w:sz w:val="18"/>
      <w:szCs w:val="18"/>
    </w:rPr>
  </w:style>
  <w:style w:type="character" w:customStyle="1" w:styleId="FooterChar">
    <w:name w:val="Footer Char"/>
    <w:basedOn w:val="DefaultParagraphFont"/>
    <w:link w:val="Footer"/>
    <w:uiPriority w:val="99"/>
    <w:rsid w:val="00B8004C"/>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2965813">
      <w:bodyDiv w:val="1"/>
      <w:marLeft w:val="0"/>
      <w:marRight w:val="0"/>
      <w:marTop w:val="0"/>
      <w:marBottom w:val="0"/>
      <w:divBdr>
        <w:top w:val="none" w:sz="0" w:space="0" w:color="auto"/>
        <w:left w:val="none" w:sz="0" w:space="0" w:color="auto"/>
        <w:bottom w:val="none" w:sz="0" w:space="0" w:color="auto"/>
        <w:right w:val="none" w:sz="0" w:space="0" w:color="auto"/>
      </w:divBdr>
      <w:divsChild>
        <w:div w:id="650404794">
          <w:marLeft w:val="0"/>
          <w:marRight w:val="0"/>
          <w:marTop w:val="0"/>
          <w:marBottom w:val="0"/>
          <w:divBdr>
            <w:top w:val="none" w:sz="0" w:space="0" w:color="auto"/>
            <w:left w:val="none" w:sz="0" w:space="0" w:color="auto"/>
            <w:bottom w:val="none" w:sz="0" w:space="0" w:color="auto"/>
            <w:right w:val="none" w:sz="0" w:space="0" w:color="auto"/>
          </w:divBdr>
        </w:div>
      </w:divsChild>
    </w:div>
    <w:div w:id="233661963">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6035980">
      <w:bodyDiv w:val="1"/>
      <w:marLeft w:val="0"/>
      <w:marRight w:val="0"/>
      <w:marTop w:val="0"/>
      <w:marBottom w:val="0"/>
      <w:divBdr>
        <w:top w:val="none" w:sz="0" w:space="0" w:color="auto"/>
        <w:left w:val="none" w:sz="0" w:space="0" w:color="auto"/>
        <w:bottom w:val="none" w:sz="0" w:space="0" w:color="auto"/>
        <w:right w:val="none" w:sz="0" w:space="0" w:color="auto"/>
      </w:divBdr>
    </w:div>
    <w:div w:id="329718944">
      <w:bodyDiv w:val="1"/>
      <w:marLeft w:val="0"/>
      <w:marRight w:val="0"/>
      <w:marTop w:val="0"/>
      <w:marBottom w:val="0"/>
      <w:divBdr>
        <w:top w:val="none" w:sz="0" w:space="0" w:color="auto"/>
        <w:left w:val="none" w:sz="0" w:space="0" w:color="auto"/>
        <w:bottom w:val="none" w:sz="0" w:space="0" w:color="auto"/>
        <w:right w:val="none" w:sz="0" w:space="0" w:color="auto"/>
      </w:divBdr>
    </w:div>
    <w:div w:id="377245537">
      <w:bodyDiv w:val="1"/>
      <w:marLeft w:val="0"/>
      <w:marRight w:val="0"/>
      <w:marTop w:val="0"/>
      <w:marBottom w:val="0"/>
      <w:divBdr>
        <w:top w:val="none" w:sz="0" w:space="0" w:color="auto"/>
        <w:left w:val="none" w:sz="0" w:space="0" w:color="auto"/>
        <w:bottom w:val="none" w:sz="0" w:space="0" w:color="auto"/>
        <w:right w:val="none" w:sz="0" w:space="0" w:color="auto"/>
      </w:divBdr>
    </w:div>
    <w:div w:id="445926627">
      <w:bodyDiv w:val="1"/>
      <w:marLeft w:val="0"/>
      <w:marRight w:val="0"/>
      <w:marTop w:val="0"/>
      <w:marBottom w:val="0"/>
      <w:divBdr>
        <w:top w:val="none" w:sz="0" w:space="0" w:color="auto"/>
        <w:left w:val="none" w:sz="0" w:space="0" w:color="auto"/>
        <w:bottom w:val="none" w:sz="0" w:space="0" w:color="auto"/>
        <w:right w:val="none" w:sz="0" w:space="0" w:color="auto"/>
      </w:divBdr>
    </w:div>
    <w:div w:id="447746961">
      <w:bodyDiv w:val="1"/>
      <w:marLeft w:val="0"/>
      <w:marRight w:val="0"/>
      <w:marTop w:val="0"/>
      <w:marBottom w:val="0"/>
      <w:divBdr>
        <w:top w:val="none" w:sz="0" w:space="0" w:color="auto"/>
        <w:left w:val="none" w:sz="0" w:space="0" w:color="auto"/>
        <w:bottom w:val="none" w:sz="0" w:space="0" w:color="auto"/>
        <w:right w:val="none" w:sz="0" w:space="0" w:color="auto"/>
      </w:divBdr>
    </w:div>
    <w:div w:id="655718931">
      <w:bodyDiv w:val="1"/>
      <w:marLeft w:val="0"/>
      <w:marRight w:val="0"/>
      <w:marTop w:val="0"/>
      <w:marBottom w:val="0"/>
      <w:divBdr>
        <w:top w:val="none" w:sz="0" w:space="0" w:color="auto"/>
        <w:left w:val="none" w:sz="0" w:space="0" w:color="auto"/>
        <w:bottom w:val="none" w:sz="0" w:space="0" w:color="auto"/>
        <w:right w:val="none" w:sz="0" w:space="0" w:color="auto"/>
      </w:divBdr>
      <w:divsChild>
        <w:div w:id="276373137">
          <w:marLeft w:val="0"/>
          <w:marRight w:val="0"/>
          <w:marTop w:val="0"/>
          <w:marBottom w:val="0"/>
          <w:divBdr>
            <w:top w:val="none" w:sz="0" w:space="0" w:color="auto"/>
            <w:left w:val="none" w:sz="0" w:space="0" w:color="auto"/>
            <w:bottom w:val="none" w:sz="0" w:space="0" w:color="auto"/>
            <w:right w:val="none" w:sz="0" w:space="0" w:color="auto"/>
          </w:divBdr>
        </w:div>
        <w:div w:id="406421231">
          <w:marLeft w:val="0"/>
          <w:marRight w:val="0"/>
          <w:marTop w:val="0"/>
          <w:marBottom w:val="0"/>
          <w:divBdr>
            <w:top w:val="none" w:sz="0" w:space="0" w:color="auto"/>
            <w:left w:val="none" w:sz="0" w:space="0" w:color="auto"/>
            <w:bottom w:val="none" w:sz="0" w:space="0" w:color="auto"/>
            <w:right w:val="none" w:sz="0" w:space="0" w:color="auto"/>
          </w:divBdr>
        </w:div>
        <w:div w:id="641689489">
          <w:marLeft w:val="0"/>
          <w:marRight w:val="0"/>
          <w:marTop w:val="0"/>
          <w:marBottom w:val="0"/>
          <w:divBdr>
            <w:top w:val="none" w:sz="0" w:space="0" w:color="auto"/>
            <w:left w:val="none" w:sz="0" w:space="0" w:color="auto"/>
            <w:bottom w:val="none" w:sz="0" w:space="0" w:color="auto"/>
            <w:right w:val="none" w:sz="0" w:space="0" w:color="auto"/>
          </w:divBdr>
        </w:div>
        <w:div w:id="849025286">
          <w:marLeft w:val="0"/>
          <w:marRight w:val="0"/>
          <w:marTop w:val="0"/>
          <w:marBottom w:val="0"/>
          <w:divBdr>
            <w:top w:val="none" w:sz="0" w:space="0" w:color="auto"/>
            <w:left w:val="none" w:sz="0" w:space="0" w:color="auto"/>
            <w:bottom w:val="none" w:sz="0" w:space="0" w:color="auto"/>
            <w:right w:val="none" w:sz="0" w:space="0" w:color="auto"/>
          </w:divBdr>
        </w:div>
        <w:div w:id="951791388">
          <w:marLeft w:val="0"/>
          <w:marRight w:val="0"/>
          <w:marTop w:val="0"/>
          <w:marBottom w:val="0"/>
          <w:divBdr>
            <w:top w:val="none" w:sz="0" w:space="0" w:color="auto"/>
            <w:left w:val="none" w:sz="0" w:space="0" w:color="auto"/>
            <w:bottom w:val="none" w:sz="0" w:space="0" w:color="auto"/>
            <w:right w:val="none" w:sz="0" w:space="0" w:color="auto"/>
          </w:divBdr>
        </w:div>
        <w:div w:id="967079594">
          <w:marLeft w:val="0"/>
          <w:marRight w:val="0"/>
          <w:marTop w:val="0"/>
          <w:marBottom w:val="0"/>
          <w:divBdr>
            <w:top w:val="none" w:sz="0" w:space="0" w:color="auto"/>
            <w:left w:val="none" w:sz="0" w:space="0" w:color="auto"/>
            <w:bottom w:val="none" w:sz="0" w:space="0" w:color="auto"/>
            <w:right w:val="none" w:sz="0" w:space="0" w:color="auto"/>
          </w:divBdr>
        </w:div>
        <w:div w:id="1051080860">
          <w:marLeft w:val="0"/>
          <w:marRight w:val="0"/>
          <w:marTop w:val="0"/>
          <w:marBottom w:val="0"/>
          <w:divBdr>
            <w:top w:val="none" w:sz="0" w:space="0" w:color="auto"/>
            <w:left w:val="none" w:sz="0" w:space="0" w:color="auto"/>
            <w:bottom w:val="none" w:sz="0" w:space="0" w:color="auto"/>
            <w:right w:val="none" w:sz="0" w:space="0" w:color="auto"/>
          </w:divBdr>
        </w:div>
        <w:div w:id="1145318332">
          <w:marLeft w:val="0"/>
          <w:marRight w:val="0"/>
          <w:marTop w:val="0"/>
          <w:marBottom w:val="0"/>
          <w:divBdr>
            <w:top w:val="none" w:sz="0" w:space="0" w:color="auto"/>
            <w:left w:val="none" w:sz="0" w:space="0" w:color="auto"/>
            <w:bottom w:val="none" w:sz="0" w:space="0" w:color="auto"/>
            <w:right w:val="none" w:sz="0" w:space="0" w:color="auto"/>
          </w:divBdr>
        </w:div>
        <w:div w:id="1203903711">
          <w:marLeft w:val="0"/>
          <w:marRight w:val="0"/>
          <w:marTop w:val="0"/>
          <w:marBottom w:val="0"/>
          <w:divBdr>
            <w:top w:val="none" w:sz="0" w:space="0" w:color="auto"/>
            <w:left w:val="none" w:sz="0" w:space="0" w:color="auto"/>
            <w:bottom w:val="none" w:sz="0" w:space="0" w:color="auto"/>
            <w:right w:val="none" w:sz="0" w:space="0" w:color="auto"/>
          </w:divBdr>
        </w:div>
        <w:div w:id="1365980491">
          <w:marLeft w:val="0"/>
          <w:marRight w:val="0"/>
          <w:marTop w:val="0"/>
          <w:marBottom w:val="0"/>
          <w:divBdr>
            <w:top w:val="none" w:sz="0" w:space="0" w:color="auto"/>
            <w:left w:val="none" w:sz="0" w:space="0" w:color="auto"/>
            <w:bottom w:val="none" w:sz="0" w:space="0" w:color="auto"/>
            <w:right w:val="none" w:sz="0" w:space="0" w:color="auto"/>
          </w:divBdr>
        </w:div>
        <w:div w:id="1375429621">
          <w:marLeft w:val="0"/>
          <w:marRight w:val="0"/>
          <w:marTop w:val="0"/>
          <w:marBottom w:val="0"/>
          <w:divBdr>
            <w:top w:val="none" w:sz="0" w:space="0" w:color="auto"/>
            <w:left w:val="none" w:sz="0" w:space="0" w:color="auto"/>
            <w:bottom w:val="none" w:sz="0" w:space="0" w:color="auto"/>
            <w:right w:val="none" w:sz="0" w:space="0" w:color="auto"/>
          </w:divBdr>
        </w:div>
        <w:div w:id="1389767061">
          <w:marLeft w:val="0"/>
          <w:marRight w:val="0"/>
          <w:marTop w:val="0"/>
          <w:marBottom w:val="0"/>
          <w:divBdr>
            <w:top w:val="none" w:sz="0" w:space="0" w:color="auto"/>
            <w:left w:val="none" w:sz="0" w:space="0" w:color="auto"/>
            <w:bottom w:val="none" w:sz="0" w:space="0" w:color="auto"/>
            <w:right w:val="none" w:sz="0" w:space="0" w:color="auto"/>
          </w:divBdr>
        </w:div>
        <w:div w:id="1406302440">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452674404">
          <w:marLeft w:val="0"/>
          <w:marRight w:val="0"/>
          <w:marTop w:val="0"/>
          <w:marBottom w:val="0"/>
          <w:divBdr>
            <w:top w:val="none" w:sz="0" w:space="0" w:color="auto"/>
            <w:left w:val="none" w:sz="0" w:space="0" w:color="auto"/>
            <w:bottom w:val="none" w:sz="0" w:space="0" w:color="auto"/>
            <w:right w:val="none" w:sz="0" w:space="0" w:color="auto"/>
          </w:divBdr>
        </w:div>
        <w:div w:id="1503668051">
          <w:marLeft w:val="0"/>
          <w:marRight w:val="0"/>
          <w:marTop w:val="0"/>
          <w:marBottom w:val="0"/>
          <w:divBdr>
            <w:top w:val="none" w:sz="0" w:space="0" w:color="auto"/>
            <w:left w:val="none" w:sz="0" w:space="0" w:color="auto"/>
            <w:bottom w:val="none" w:sz="0" w:space="0" w:color="auto"/>
            <w:right w:val="none" w:sz="0" w:space="0" w:color="auto"/>
          </w:divBdr>
        </w:div>
        <w:div w:id="1743134581">
          <w:marLeft w:val="0"/>
          <w:marRight w:val="0"/>
          <w:marTop w:val="0"/>
          <w:marBottom w:val="0"/>
          <w:divBdr>
            <w:top w:val="none" w:sz="0" w:space="0" w:color="auto"/>
            <w:left w:val="none" w:sz="0" w:space="0" w:color="auto"/>
            <w:bottom w:val="none" w:sz="0" w:space="0" w:color="auto"/>
            <w:right w:val="none" w:sz="0" w:space="0" w:color="auto"/>
          </w:divBdr>
        </w:div>
        <w:div w:id="1820342178">
          <w:marLeft w:val="0"/>
          <w:marRight w:val="0"/>
          <w:marTop w:val="0"/>
          <w:marBottom w:val="0"/>
          <w:divBdr>
            <w:top w:val="none" w:sz="0" w:space="0" w:color="auto"/>
            <w:left w:val="none" w:sz="0" w:space="0" w:color="auto"/>
            <w:bottom w:val="none" w:sz="0" w:space="0" w:color="auto"/>
            <w:right w:val="none" w:sz="0" w:space="0" w:color="auto"/>
          </w:divBdr>
        </w:div>
        <w:div w:id="1942300583">
          <w:marLeft w:val="0"/>
          <w:marRight w:val="0"/>
          <w:marTop w:val="0"/>
          <w:marBottom w:val="0"/>
          <w:divBdr>
            <w:top w:val="none" w:sz="0" w:space="0" w:color="auto"/>
            <w:left w:val="none" w:sz="0" w:space="0" w:color="auto"/>
            <w:bottom w:val="none" w:sz="0" w:space="0" w:color="auto"/>
            <w:right w:val="none" w:sz="0" w:space="0" w:color="auto"/>
          </w:divBdr>
        </w:div>
        <w:div w:id="2037610844">
          <w:marLeft w:val="0"/>
          <w:marRight w:val="0"/>
          <w:marTop w:val="0"/>
          <w:marBottom w:val="0"/>
          <w:divBdr>
            <w:top w:val="none" w:sz="0" w:space="0" w:color="auto"/>
            <w:left w:val="none" w:sz="0" w:space="0" w:color="auto"/>
            <w:bottom w:val="none" w:sz="0" w:space="0" w:color="auto"/>
            <w:right w:val="none" w:sz="0" w:space="0" w:color="auto"/>
          </w:divBdr>
        </w:div>
        <w:div w:id="2087459098">
          <w:marLeft w:val="0"/>
          <w:marRight w:val="0"/>
          <w:marTop w:val="0"/>
          <w:marBottom w:val="0"/>
          <w:divBdr>
            <w:top w:val="none" w:sz="0" w:space="0" w:color="auto"/>
            <w:left w:val="none" w:sz="0" w:space="0" w:color="auto"/>
            <w:bottom w:val="none" w:sz="0" w:space="0" w:color="auto"/>
            <w:right w:val="none" w:sz="0" w:space="0" w:color="auto"/>
          </w:divBdr>
        </w:div>
        <w:div w:id="2112359527">
          <w:marLeft w:val="0"/>
          <w:marRight w:val="0"/>
          <w:marTop w:val="0"/>
          <w:marBottom w:val="0"/>
          <w:divBdr>
            <w:top w:val="none" w:sz="0" w:space="0" w:color="auto"/>
            <w:left w:val="none" w:sz="0" w:space="0" w:color="auto"/>
            <w:bottom w:val="none" w:sz="0" w:space="0" w:color="auto"/>
            <w:right w:val="none" w:sz="0" w:space="0" w:color="auto"/>
          </w:divBdr>
        </w:div>
      </w:divsChild>
    </w:div>
    <w:div w:id="704721330">
      <w:bodyDiv w:val="1"/>
      <w:marLeft w:val="0"/>
      <w:marRight w:val="0"/>
      <w:marTop w:val="0"/>
      <w:marBottom w:val="0"/>
      <w:divBdr>
        <w:top w:val="none" w:sz="0" w:space="0" w:color="auto"/>
        <w:left w:val="none" w:sz="0" w:space="0" w:color="auto"/>
        <w:bottom w:val="none" w:sz="0" w:space="0" w:color="auto"/>
        <w:right w:val="none" w:sz="0" w:space="0" w:color="auto"/>
      </w:divBdr>
      <w:divsChild>
        <w:div w:id="88504343">
          <w:marLeft w:val="0"/>
          <w:marRight w:val="0"/>
          <w:marTop w:val="0"/>
          <w:marBottom w:val="0"/>
          <w:divBdr>
            <w:top w:val="none" w:sz="0" w:space="0" w:color="auto"/>
            <w:left w:val="none" w:sz="0" w:space="0" w:color="auto"/>
            <w:bottom w:val="none" w:sz="0" w:space="0" w:color="auto"/>
            <w:right w:val="none" w:sz="0" w:space="0" w:color="auto"/>
          </w:divBdr>
        </w:div>
        <w:div w:id="941837201">
          <w:marLeft w:val="0"/>
          <w:marRight w:val="0"/>
          <w:marTop w:val="0"/>
          <w:marBottom w:val="0"/>
          <w:divBdr>
            <w:top w:val="none" w:sz="0" w:space="0" w:color="auto"/>
            <w:left w:val="none" w:sz="0" w:space="0" w:color="auto"/>
            <w:bottom w:val="none" w:sz="0" w:space="0" w:color="auto"/>
            <w:right w:val="none" w:sz="0" w:space="0" w:color="auto"/>
          </w:divBdr>
        </w:div>
        <w:div w:id="1648779594">
          <w:marLeft w:val="0"/>
          <w:marRight w:val="0"/>
          <w:marTop w:val="0"/>
          <w:marBottom w:val="0"/>
          <w:divBdr>
            <w:top w:val="none" w:sz="0" w:space="0" w:color="auto"/>
            <w:left w:val="none" w:sz="0" w:space="0" w:color="auto"/>
            <w:bottom w:val="none" w:sz="0" w:space="0" w:color="auto"/>
            <w:right w:val="none" w:sz="0" w:space="0" w:color="auto"/>
          </w:divBdr>
        </w:div>
      </w:divsChild>
    </w:div>
    <w:div w:id="766727452">
      <w:bodyDiv w:val="1"/>
      <w:marLeft w:val="0"/>
      <w:marRight w:val="0"/>
      <w:marTop w:val="0"/>
      <w:marBottom w:val="0"/>
      <w:divBdr>
        <w:top w:val="none" w:sz="0" w:space="0" w:color="auto"/>
        <w:left w:val="none" w:sz="0" w:space="0" w:color="auto"/>
        <w:bottom w:val="none" w:sz="0" w:space="0" w:color="auto"/>
        <w:right w:val="none" w:sz="0" w:space="0" w:color="auto"/>
      </w:divBdr>
      <w:divsChild>
        <w:div w:id="516384301">
          <w:marLeft w:val="0"/>
          <w:marRight w:val="0"/>
          <w:marTop w:val="0"/>
          <w:marBottom w:val="0"/>
          <w:divBdr>
            <w:top w:val="none" w:sz="0" w:space="0" w:color="auto"/>
            <w:left w:val="none" w:sz="0" w:space="0" w:color="auto"/>
            <w:bottom w:val="none" w:sz="0" w:space="0" w:color="auto"/>
            <w:right w:val="none" w:sz="0" w:space="0" w:color="auto"/>
          </w:divBdr>
        </w:div>
        <w:div w:id="516768512">
          <w:marLeft w:val="0"/>
          <w:marRight w:val="0"/>
          <w:marTop w:val="0"/>
          <w:marBottom w:val="0"/>
          <w:divBdr>
            <w:top w:val="none" w:sz="0" w:space="0" w:color="auto"/>
            <w:left w:val="none" w:sz="0" w:space="0" w:color="auto"/>
            <w:bottom w:val="none" w:sz="0" w:space="0" w:color="auto"/>
            <w:right w:val="none" w:sz="0" w:space="0" w:color="auto"/>
          </w:divBdr>
        </w:div>
        <w:div w:id="567083179">
          <w:marLeft w:val="0"/>
          <w:marRight w:val="0"/>
          <w:marTop w:val="0"/>
          <w:marBottom w:val="0"/>
          <w:divBdr>
            <w:top w:val="none" w:sz="0" w:space="0" w:color="auto"/>
            <w:left w:val="none" w:sz="0" w:space="0" w:color="auto"/>
            <w:bottom w:val="none" w:sz="0" w:space="0" w:color="auto"/>
            <w:right w:val="none" w:sz="0" w:space="0" w:color="auto"/>
          </w:divBdr>
        </w:div>
        <w:div w:id="602422811">
          <w:marLeft w:val="0"/>
          <w:marRight w:val="0"/>
          <w:marTop w:val="0"/>
          <w:marBottom w:val="0"/>
          <w:divBdr>
            <w:top w:val="none" w:sz="0" w:space="0" w:color="auto"/>
            <w:left w:val="none" w:sz="0" w:space="0" w:color="auto"/>
            <w:bottom w:val="none" w:sz="0" w:space="0" w:color="auto"/>
            <w:right w:val="none" w:sz="0" w:space="0" w:color="auto"/>
          </w:divBdr>
        </w:div>
        <w:div w:id="634260249">
          <w:marLeft w:val="0"/>
          <w:marRight w:val="0"/>
          <w:marTop w:val="0"/>
          <w:marBottom w:val="0"/>
          <w:divBdr>
            <w:top w:val="none" w:sz="0" w:space="0" w:color="auto"/>
            <w:left w:val="none" w:sz="0" w:space="0" w:color="auto"/>
            <w:bottom w:val="none" w:sz="0" w:space="0" w:color="auto"/>
            <w:right w:val="none" w:sz="0" w:space="0" w:color="auto"/>
          </w:divBdr>
        </w:div>
        <w:div w:id="696465573">
          <w:marLeft w:val="0"/>
          <w:marRight w:val="0"/>
          <w:marTop w:val="0"/>
          <w:marBottom w:val="0"/>
          <w:divBdr>
            <w:top w:val="none" w:sz="0" w:space="0" w:color="auto"/>
            <w:left w:val="none" w:sz="0" w:space="0" w:color="auto"/>
            <w:bottom w:val="none" w:sz="0" w:space="0" w:color="auto"/>
            <w:right w:val="none" w:sz="0" w:space="0" w:color="auto"/>
          </w:divBdr>
        </w:div>
        <w:div w:id="844251525">
          <w:marLeft w:val="0"/>
          <w:marRight w:val="0"/>
          <w:marTop w:val="0"/>
          <w:marBottom w:val="0"/>
          <w:divBdr>
            <w:top w:val="none" w:sz="0" w:space="0" w:color="auto"/>
            <w:left w:val="none" w:sz="0" w:space="0" w:color="auto"/>
            <w:bottom w:val="none" w:sz="0" w:space="0" w:color="auto"/>
            <w:right w:val="none" w:sz="0" w:space="0" w:color="auto"/>
          </w:divBdr>
        </w:div>
        <w:div w:id="925503405">
          <w:marLeft w:val="0"/>
          <w:marRight w:val="0"/>
          <w:marTop w:val="0"/>
          <w:marBottom w:val="0"/>
          <w:divBdr>
            <w:top w:val="none" w:sz="0" w:space="0" w:color="auto"/>
            <w:left w:val="none" w:sz="0" w:space="0" w:color="auto"/>
            <w:bottom w:val="none" w:sz="0" w:space="0" w:color="auto"/>
            <w:right w:val="none" w:sz="0" w:space="0" w:color="auto"/>
          </w:divBdr>
        </w:div>
        <w:div w:id="1760712240">
          <w:marLeft w:val="0"/>
          <w:marRight w:val="0"/>
          <w:marTop w:val="0"/>
          <w:marBottom w:val="0"/>
          <w:divBdr>
            <w:top w:val="none" w:sz="0" w:space="0" w:color="auto"/>
            <w:left w:val="none" w:sz="0" w:space="0" w:color="auto"/>
            <w:bottom w:val="none" w:sz="0" w:space="0" w:color="auto"/>
            <w:right w:val="none" w:sz="0" w:space="0" w:color="auto"/>
          </w:divBdr>
        </w:div>
        <w:div w:id="1869026266">
          <w:marLeft w:val="0"/>
          <w:marRight w:val="0"/>
          <w:marTop w:val="0"/>
          <w:marBottom w:val="0"/>
          <w:divBdr>
            <w:top w:val="none" w:sz="0" w:space="0" w:color="auto"/>
            <w:left w:val="none" w:sz="0" w:space="0" w:color="auto"/>
            <w:bottom w:val="none" w:sz="0" w:space="0" w:color="auto"/>
            <w:right w:val="none" w:sz="0" w:space="0" w:color="auto"/>
          </w:divBdr>
        </w:div>
        <w:div w:id="1891187709">
          <w:marLeft w:val="0"/>
          <w:marRight w:val="0"/>
          <w:marTop w:val="0"/>
          <w:marBottom w:val="0"/>
          <w:divBdr>
            <w:top w:val="none" w:sz="0" w:space="0" w:color="auto"/>
            <w:left w:val="none" w:sz="0" w:space="0" w:color="auto"/>
            <w:bottom w:val="none" w:sz="0" w:space="0" w:color="auto"/>
            <w:right w:val="none" w:sz="0" w:space="0" w:color="auto"/>
          </w:divBdr>
        </w:div>
        <w:div w:id="2000185969">
          <w:marLeft w:val="0"/>
          <w:marRight w:val="0"/>
          <w:marTop w:val="0"/>
          <w:marBottom w:val="0"/>
          <w:divBdr>
            <w:top w:val="none" w:sz="0" w:space="0" w:color="auto"/>
            <w:left w:val="none" w:sz="0" w:space="0" w:color="auto"/>
            <w:bottom w:val="none" w:sz="0" w:space="0" w:color="auto"/>
            <w:right w:val="none" w:sz="0" w:space="0" w:color="auto"/>
          </w:divBdr>
        </w:div>
      </w:divsChild>
    </w:div>
    <w:div w:id="8492218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0170528">
      <w:bodyDiv w:val="1"/>
      <w:marLeft w:val="0"/>
      <w:marRight w:val="0"/>
      <w:marTop w:val="0"/>
      <w:marBottom w:val="0"/>
      <w:divBdr>
        <w:top w:val="none" w:sz="0" w:space="0" w:color="auto"/>
        <w:left w:val="none" w:sz="0" w:space="0" w:color="auto"/>
        <w:bottom w:val="none" w:sz="0" w:space="0" w:color="auto"/>
        <w:right w:val="none" w:sz="0" w:space="0" w:color="auto"/>
      </w:divBdr>
    </w:div>
    <w:div w:id="932319709">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64892364">
      <w:bodyDiv w:val="1"/>
      <w:marLeft w:val="0"/>
      <w:marRight w:val="0"/>
      <w:marTop w:val="0"/>
      <w:marBottom w:val="0"/>
      <w:divBdr>
        <w:top w:val="none" w:sz="0" w:space="0" w:color="auto"/>
        <w:left w:val="none" w:sz="0" w:space="0" w:color="auto"/>
        <w:bottom w:val="none" w:sz="0" w:space="0" w:color="auto"/>
        <w:right w:val="none" w:sz="0" w:space="0" w:color="auto"/>
      </w:divBdr>
    </w:div>
    <w:div w:id="1021007407">
      <w:bodyDiv w:val="1"/>
      <w:marLeft w:val="0"/>
      <w:marRight w:val="0"/>
      <w:marTop w:val="0"/>
      <w:marBottom w:val="0"/>
      <w:divBdr>
        <w:top w:val="none" w:sz="0" w:space="0" w:color="auto"/>
        <w:left w:val="none" w:sz="0" w:space="0" w:color="auto"/>
        <w:bottom w:val="none" w:sz="0" w:space="0" w:color="auto"/>
        <w:right w:val="none" w:sz="0" w:space="0" w:color="auto"/>
      </w:divBdr>
      <w:divsChild>
        <w:div w:id="69038043">
          <w:marLeft w:val="0"/>
          <w:marRight w:val="0"/>
          <w:marTop w:val="0"/>
          <w:marBottom w:val="0"/>
          <w:divBdr>
            <w:top w:val="none" w:sz="0" w:space="0" w:color="auto"/>
            <w:left w:val="none" w:sz="0" w:space="0" w:color="auto"/>
            <w:bottom w:val="none" w:sz="0" w:space="0" w:color="auto"/>
            <w:right w:val="none" w:sz="0" w:space="0" w:color="auto"/>
          </w:divBdr>
        </w:div>
        <w:div w:id="850408702">
          <w:marLeft w:val="0"/>
          <w:marRight w:val="0"/>
          <w:marTop w:val="0"/>
          <w:marBottom w:val="0"/>
          <w:divBdr>
            <w:top w:val="none" w:sz="0" w:space="0" w:color="auto"/>
            <w:left w:val="none" w:sz="0" w:space="0" w:color="auto"/>
            <w:bottom w:val="none" w:sz="0" w:space="0" w:color="auto"/>
            <w:right w:val="none" w:sz="0" w:space="0" w:color="auto"/>
          </w:divBdr>
        </w:div>
        <w:div w:id="951401199">
          <w:marLeft w:val="0"/>
          <w:marRight w:val="0"/>
          <w:marTop w:val="0"/>
          <w:marBottom w:val="0"/>
          <w:divBdr>
            <w:top w:val="none" w:sz="0" w:space="0" w:color="auto"/>
            <w:left w:val="none" w:sz="0" w:space="0" w:color="auto"/>
            <w:bottom w:val="none" w:sz="0" w:space="0" w:color="auto"/>
            <w:right w:val="none" w:sz="0" w:space="0" w:color="auto"/>
          </w:divBdr>
        </w:div>
        <w:div w:id="962273168">
          <w:marLeft w:val="0"/>
          <w:marRight w:val="0"/>
          <w:marTop w:val="0"/>
          <w:marBottom w:val="0"/>
          <w:divBdr>
            <w:top w:val="none" w:sz="0" w:space="0" w:color="auto"/>
            <w:left w:val="none" w:sz="0" w:space="0" w:color="auto"/>
            <w:bottom w:val="none" w:sz="0" w:space="0" w:color="auto"/>
            <w:right w:val="none" w:sz="0" w:space="0" w:color="auto"/>
          </w:divBdr>
        </w:div>
        <w:div w:id="1095326863">
          <w:marLeft w:val="0"/>
          <w:marRight w:val="0"/>
          <w:marTop w:val="0"/>
          <w:marBottom w:val="0"/>
          <w:divBdr>
            <w:top w:val="none" w:sz="0" w:space="0" w:color="auto"/>
            <w:left w:val="none" w:sz="0" w:space="0" w:color="auto"/>
            <w:bottom w:val="none" w:sz="0" w:space="0" w:color="auto"/>
            <w:right w:val="none" w:sz="0" w:space="0" w:color="auto"/>
          </w:divBdr>
        </w:div>
        <w:div w:id="1321689413">
          <w:marLeft w:val="0"/>
          <w:marRight w:val="0"/>
          <w:marTop w:val="0"/>
          <w:marBottom w:val="0"/>
          <w:divBdr>
            <w:top w:val="none" w:sz="0" w:space="0" w:color="auto"/>
            <w:left w:val="none" w:sz="0" w:space="0" w:color="auto"/>
            <w:bottom w:val="none" w:sz="0" w:space="0" w:color="auto"/>
            <w:right w:val="none" w:sz="0" w:space="0" w:color="auto"/>
          </w:divBdr>
        </w:div>
        <w:div w:id="1717699386">
          <w:marLeft w:val="0"/>
          <w:marRight w:val="0"/>
          <w:marTop w:val="0"/>
          <w:marBottom w:val="0"/>
          <w:divBdr>
            <w:top w:val="none" w:sz="0" w:space="0" w:color="auto"/>
            <w:left w:val="none" w:sz="0" w:space="0" w:color="auto"/>
            <w:bottom w:val="none" w:sz="0" w:space="0" w:color="auto"/>
            <w:right w:val="none" w:sz="0" w:space="0" w:color="auto"/>
          </w:divBdr>
        </w:div>
        <w:div w:id="1735007524">
          <w:marLeft w:val="0"/>
          <w:marRight w:val="0"/>
          <w:marTop w:val="0"/>
          <w:marBottom w:val="0"/>
          <w:divBdr>
            <w:top w:val="none" w:sz="0" w:space="0" w:color="auto"/>
            <w:left w:val="none" w:sz="0" w:space="0" w:color="auto"/>
            <w:bottom w:val="none" w:sz="0" w:space="0" w:color="auto"/>
            <w:right w:val="none" w:sz="0" w:space="0" w:color="auto"/>
          </w:divBdr>
        </w:div>
        <w:div w:id="1755784964">
          <w:marLeft w:val="0"/>
          <w:marRight w:val="0"/>
          <w:marTop w:val="0"/>
          <w:marBottom w:val="0"/>
          <w:divBdr>
            <w:top w:val="none" w:sz="0" w:space="0" w:color="auto"/>
            <w:left w:val="none" w:sz="0" w:space="0" w:color="auto"/>
            <w:bottom w:val="none" w:sz="0" w:space="0" w:color="auto"/>
            <w:right w:val="none" w:sz="0" w:space="0" w:color="auto"/>
          </w:divBdr>
        </w:div>
        <w:div w:id="2024236971">
          <w:marLeft w:val="0"/>
          <w:marRight w:val="0"/>
          <w:marTop w:val="0"/>
          <w:marBottom w:val="0"/>
          <w:divBdr>
            <w:top w:val="none" w:sz="0" w:space="0" w:color="auto"/>
            <w:left w:val="none" w:sz="0" w:space="0" w:color="auto"/>
            <w:bottom w:val="none" w:sz="0" w:space="0" w:color="auto"/>
            <w:right w:val="none" w:sz="0" w:space="0" w:color="auto"/>
          </w:divBdr>
        </w:div>
        <w:div w:id="2089573250">
          <w:marLeft w:val="0"/>
          <w:marRight w:val="0"/>
          <w:marTop w:val="0"/>
          <w:marBottom w:val="0"/>
          <w:divBdr>
            <w:top w:val="none" w:sz="0" w:space="0" w:color="auto"/>
            <w:left w:val="none" w:sz="0" w:space="0" w:color="auto"/>
            <w:bottom w:val="none" w:sz="0" w:space="0" w:color="auto"/>
            <w:right w:val="none" w:sz="0" w:space="0" w:color="auto"/>
          </w:divBdr>
        </w:div>
        <w:div w:id="2117404234">
          <w:marLeft w:val="0"/>
          <w:marRight w:val="0"/>
          <w:marTop w:val="0"/>
          <w:marBottom w:val="0"/>
          <w:divBdr>
            <w:top w:val="none" w:sz="0" w:space="0" w:color="auto"/>
            <w:left w:val="none" w:sz="0" w:space="0" w:color="auto"/>
            <w:bottom w:val="none" w:sz="0" w:space="0" w:color="auto"/>
            <w:right w:val="none" w:sz="0" w:space="0" w:color="auto"/>
          </w:divBdr>
        </w:div>
      </w:divsChild>
    </w:div>
    <w:div w:id="1032462482">
      <w:bodyDiv w:val="1"/>
      <w:marLeft w:val="0"/>
      <w:marRight w:val="0"/>
      <w:marTop w:val="0"/>
      <w:marBottom w:val="0"/>
      <w:divBdr>
        <w:top w:val="none" w:sz="0" w:space="0" w:color="auto"/>
        <w:left w:val="none" w:sz="0" w:space="0" w:color="auto"/>
        <w:bottom w:val="none" w:sz="0" w:space="0" w:color="auto"/>
        <w:right w:val="none" w:sz="0" w:space="0" w:color="auto"/>
      </w:divBdr>
      <w:divsChild>
        <w:div w:id="1216087013">
          <w:marLeft w:val="0"/>
          <w:marRight w:val="0"/>
          <w:marTop w:val="0"/>
          <w:marBottom w:val="0"/>
          <w:divBdr>
            <w:top w:val="none" w:sz="0" w:space="0" w:color="auto"/>
            <w:left w:val="none" w:sz="0" w:space="0" w:color="auto"/>
            <w:bottom w:val="none" w:sz="0" w:space="0" w:color="auto"/>
            <w:right w:val="none" w:sz="0" w:space="0" w:color="auto"/>
          </w:divBdr>
        </w:div>
        <w:div w:id="1885825406">
          <w:marLeft w:val="0"/>
          <w:marRight w:val="0"/>
          <w:marTop w:val="0"/>
          <w:marBottom w:val="0"/>
          <w:divBdr>
            <w:top w:val="none" w:sz="0" w:space="0" w:color="auto"/>
            <w:left w:val="none" w:sz="0" w:space="0" w:color="auto"/>
            <w:bottom w:val="none" w:sz="0" w:space="0" w:color="auto"/>
            <w:right w:val="none" w:sz="0" w:space="0" w:color="auto"/>
          </w:divBdr>
        </w:div>
      </w:divsChild>
    </w:div>
    <w:div w:id="1074083808">
      <w:bodyDiv w:val="1"/>
      <w:marLeft w:val="0"/>
      <w:marRight w:val="0"/>
      <w:marTop w:val="0"/>
      <w:marBottom w:val="0"/>
      <w:divBdr>
        <w:top w:val="none" w:sz="0" w:space="0" w:color="auto"/>
        <w:left w:val="none" w:sz="0" w:space="0" w:color="auto"/>
        <w:bottom w:val="none" w:sz="0" w:space="0" w:color="auto"/>
        <w:right w:val="none" w:sz="0" w:space="0" w:color="auto"/>
      </w:divBdr>
    </w:div>
    <w:div w:id="1107195930">
      <w:bodyDiv w:val="1"/>
      <w:marLeft w:val="0"/>
      <w:marRight w:val="0"/>
      <w:marTop w:val="0"/>
      <w:marBottom w:val="0"/>
      <w:divBdr>
        <w:top w:val="none" w:sz="0" w:space="0" w:color="auto"/>
        <w:left w:val="none" w:sz="0" w:space="0" w:color="auto"/>
        <w:bottom w:val="none" w:sz="0" w:space="0" w:color="auto"/>
        <w:right w:val="none" w:sz="0" w:space="0" w:color="auto"/>
      </w:divBdr>
    </w:div>
    <w:div w:id="1178622666">
      <w:bodyDiv w:val="1"/>
      <w:marLeft w:val="0"/>
      <w:marRight w:val="0"/>
      <w:marTop w:val="0"/>
      <w:marBottom w:val="0"/>
      <w:divBdr>
        <w:top w:val="none" w:sz="0" w:space="0" w:color="auto"/>
        <w:left w:val="none" w:sz="0" w:space="0" w:color="auto"/>
        <w:bottom w:val="none" w:sz="0" w:space="0" w:color="auto"/>
        <w:right w:val="none" w:sz="0" w:space="0" w:color="auto"/>
      </w:divBdr>
    </w:div>
    <w:div w:id="1218859105">
      <w:bodyDiv w:val="1"/>
      <w:marLeft w:val="0"/>
      <w:marRight w:val="0"/>
      <w:marTop w:val="0"/>
      <w:marBottom w:val="0"/>
      <w:divBdr>
        <w:top w:val="none" w:sz="0" w:space="0" w:color="auto"/>
        <w:left w:val="none" w:sz="0" w:space="0" w:color="auto"/>
        <w:bottom w:val="none" w:sz="0" w:space="0" w:color="auto"/>
        <w:right w:val="none" w:sz="0" w:space="0" w:color="auto"/>
      </w:divBdr>
    </w:div>
    <w:div w:id="1316255971">
      <w:bodyDiv w:val="1"/>
      <w:marLeft w:val="0"/>
      <w:marRight w:val="0"/>
      <w:marTop w:val="0"/>
      <w:marBottom w:val="0"/>
      <w:divBdr>
        <w:top w:val="none" w:sz="0" w:space="0" w:color="auto"/>
        <w:left w:val="none" w:sz="0" w:space="0" w:color="auto"/>
        <w:bottom w:val="none" w:sz="0" w:space="0" w:color="auto"/>
        <w:right w:val="none" w:sz="0" w:space="0" w:color="auto"/>
      </w:divBdr>
    </w:div>
    <w:div w:id="1320306292">
      <w:bodyDiv w:val="1"/>
      <w:marLeft w:val="0"/>
      <w:marRight w:val="0"/>
      <w:marTop w:val="0"/>
      <w:marBottom w:val="0"/>
      <w:divBdr>
        <w:top w:val="none" w:sz="0" w:space="0" w:color="auto"/>
        <w:left w:val="none" w:sz="0" w:space="0" w:color="auto"/>
        <w:bottom w:val="none" w:sz="0" w:space="0" w:color="auto"/>
        <w:right w:val="none" w:sz="0" w:space="0" w:color="auto"/>
      </w:divBdr>
    </w:div>
    <w:div w:id="138355689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5217896">
      <w:bodyDiv w:val="1"/>
      <w:marLeft w:val="0"/>
      <w:marRight w:val="0"/>
      <w:marTop w:val="0"/>
      <w:marBottom w:val="0"/>
      <w:divBdr>
        <w:top w:val="none" w:sz="0" w:space="0" w:color="auto"/>
        <w:left w:val="none" w:sz="0" w:space="0" w:color="auto"/>
        <w:bottom w:val="none" w:sz="0" w:space="0" w:color="auto"/>
        <w:right w:val="none" w:sz="0" w:space="0" w:color="auto"/>
      </w:divBdr>
      <w:divsChild>
        <w:div w:id="1053847049">
          <w:marLeft w:val="0"/>
          <w:marRight w:val="0"/>
          <w:marTop w:val="0"/>
          <w:marBottom w:val="0"/>
          <w:divBdr>
            <w:top w:val="none" w:sz="0" w:space="0" w:color="auto"/>
            <w:left w:val="none" w:sz="0" w:space="0" w:color="auto"/>
            <w:bottom w:val="none" w:sz="0" w:space="0" w:color="auto"/>
            <w:right w:val="none" w:sz="0" w:space="0" w:color="auto"/>
          </w:divBdr>
        </w:div>
        <w:div w:id="2018388744">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4264374">
      <w:bodyDiv w:val="1"/>
      <w:marLeft w:val="0"/>
      <w:marRight w:val="0"/>
      <w:marTop w:val="0"/>
      <w:marBottom w:val="0"/>
      <w:divBdr>
        <w:top w:val="none" w:sz="0" w:space="0" w:color="auto"/>
        <w:left w:val="none" w:sz="0" w:space="0" w:color="auto"/>
        <w:bottom w:val="none" w:sz="0" w:space="0" w:color="auto"/>
        <w:right w:val="none" w:sz="0" w:space="0" w:color="auto"/>
      </w:divBdr>
    </w:div>
    <w:div w:id="1631782638">
      <w:bodyDiv w:val="1"/>
      <w:marLeft w:val="0"/>
      <w:marRight w:val="0"/>
      <w:marTop w:val="0"/>
      <w:marBottom w:val="0"/>
      <w:divBdr>
        <w:top w:val="none" w:sz="0" w:space="0" w:color="auto"/>
        <w:left w:val="none" w:sz="0" w:space="0" w:color="auto"/>
        <w:bottom w:val="none" w:sz="0" w:space="0" w:color="auto"/>
        <w:right w:val="none" w:sz="0" w:space="0" w:color="auto"/>
      </w:divBdr>
    </w:div>
    <w:div w:id="1684892631">
      <w:bodyDiv w:val="1"/>
      <w:marLeft w:val="0"/>
      <w:marRight w:val="0"/>
      <w:marTop w:val="0"/>
      <w:marBottom w:val="0"/>
      <w:divBdr>
        <w:top w:val="none" w:sz="0" w:space="0" w:color="auto"/>
        <w:left w:val="none" w:sz="0" w:space="0" w:color="auto"/>
        <w:bottom w:val="none" w:sz="0" w:space="0" w:color="auto"/>
        <w:right w:val="none" w:sz="0" w:space="0" w:color="auto"/>
      </w:divBdr>
    </w:div>
    <w:div w:id="170355100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2623147">
      <w:bodyDiv w:val="1"/>
      <w:marLeft w:val="0"/>
      <w:marRight w:val="0"/>
      <w:marTop w:val="0"/>
      <w:marBottom w:val="0"/>
      <w:divBdr>
        <w:top w:val="none" w:sz="0" w:space="0" w:color="auto"/>
        <w:left w:val="none" w:sz="0" w:space="0" w:color="auto"/>
        <w:bottom w:val="none" w:sz="0" w:space="0" w:color="auto"/>
        <w:right w:val="none" w:sz="0" w:space="0" w:color="auto"/>
      </w:divBdr>
    </w:div>
    <w:div w:id="1835877108">
      <w:bodyDiv w:val="1"/>
      <w:marLeft w:val="0"/>
      <w:marRight w:val="0"/>
      <w:marTop w:val="0"/>
      <w:marBottom w:val="0"/>
      <w:divBdr>
        <w:top w:val="none" w:sz="0" w:space="0" w:color="auto"/>
        <w:left w:val="none" w:sz="0" w:space="0" w:color="auto"/>
        <w:bottom w:val="none" w:sz="0" w:space="0" w:color="auto"/>
        <w:right w:val="none" w:sz="0" w:space="0" w:color="auto"/>
      </w:divBdr>
      <w:divsChild>
        <w:div w:id="471024028">
          <w:marLeft w:val="0"/>
          <w:marRight w:val="0"/>
          <w:marTop w:val="0"/>
          <w:marBottom w:val="0"/>
          <w:divBdr>
            <w:top w:val="none" w:sz="0" w:space="0" w:color="auto"/>
            <w:left w:val="none" w:sz="0" w:space="0" w:color="auto"/>
            <w:bottom w:val="none" w:sz="0" w:space="0" w:color="auto"/>
            <w:right w:val="none" w:sz="0" w:space="0" w:color="auto"/>
          </w:divBdr>
        </w:div>
        <w:div w:id="553546922">
          <w:marLeft w:val="0"/>
          <w:marRight w:val="0"/>
          <w:marTop w:val="0"/>
          <w:marBottom w:val="0"/>
          <w:divBdr>
            <w:top w:val="none" w:sz="0" w:space="0" w:color="auto"/>
            <w:left w:val="none" w:sz="0" w:space="0" w:color="auto"/>
            <w:bottom w:val="none" w:sz="0" w:space="0" w:color="auto"/>
            <w:right w:val="none" w:sz="0" w:space="0" w:color="auto"/>
          </w:divBdr>
        </w:div>
        <w:div w:id="616524805">
          <w:marLeft w:val="0"/>
          <w:marRight w:val="0"/>
          <w:marTop w:val="0"/>
          <w:marBottom w:val="0"/>
          <w:divBdr>
            <w:top w:val="none" w:sz="0" w:space="0" w:color="auto"/>
            <w:left w:val="none" w:sz="0" w:space="0" w:color="auto"/>
            <w:bottom w:val="none" w:sz="0" w:space="0" w:color="auto"/>
            <w:right w:val="none" w:sz="0" w:space="0" w:color="auto"/>
          </w:divBdr>
        </w:div>
        <w:div w:id="813720727">
          <w:marLeft w:val="0"/>
          <w:marRight w:val="0"/>
          <w:marTop w:val="0"/>
          <w:marBottom w:val="0"/>
          <w:divBdr>
            <w:top w:val="none" w:sz="0" w:space="0" w:color="auto"/>
            <w:left w:val="none" w:sz="0" w:space="0" w:color="auto"/>
            <w:bottom w:val="none" w:sz="0" w:space="0" w:color="auto"/>
            <w:right w:val="none" w:sz="0" w:space="0" w:color="auto"/>
          </w:divBdr>
        </w:div>
        <w:div w:id="1033117557">
          <w:marLeft w:val="0"/>
          <w:marRight w:val="0"/>
          <w:marTop w:val="0"/>
          <w:marBottom w:val="0"/>
          <w:divBdr>
            <w:top w:val="none" w:sz="0" w:space="0" w:color="auto"/>
            <w:left w:val="none" w:sz="0" w:space="0" w:color="auto"/>
            <w:bottom w:val="none" w:sz="0" w:space="0" w:color="auto"/>
            <w:right w:val="none" w:sz="0" w:space="0" w:color="auto"/>
          </w:divBdr>
        </w:div>
        <w:div w:id="1173648542">
          <w:marLeft w:val="0"/>
          <w:marRight w:val="0"/>
          <w:marTop w:val="0"/>
          <w:marBottom w:val="0"/>
          <w:divBdr>
            <w:top w:val="none" w:sz="0" w:space="0" w:color="auto"/>
            <w:left w:val="none" w:sz="0" w:space="0" w:color="auto"/>
            <w:bottom w:val="none" w:sz="0" w:space="0" w:color="auto"/>
            <w:right w:val="none" w:sz="0" w:space="0" w:color="auto"/>
          </w:divBdr>
        </w:div>
        <w:div w:id="1556309805">
          <w:marLeft w:val="0"/>
          <w:marRight w:val="0"/>
          <w:marTop w:val="0"/>
          <w:marBottom w:val="0"/>
          <w:divBdr>
            <w:top w:val="none" w:sz="0" w:space="0" w:color="auto"/>
            <w:left w:val="none" w:sz="0" w:space="0" w:color="auto"/>
            <w:bottom w:val="none" w:sz="0" w:space="0" w:color="auto"/>
            <w:right w:val="none" w:sz="0" w:space="0" w:color="auto"/>
          </w:divBdr>
        </w:div>
      </w:divsChild>
    </w:div>
    <w:div w:id="1841039744">
      <w:bodyDiv w:val="1"/>
      <w:marLeft w:val="0"/>
      <w:marRight w:val="0"/>
      <w:marTop w:val="0"/>
      <w:marBottom w:val="0"/>
      <w:divBdr>
        <w:top w:val="none" w:sz="0" w:space="0" w:color="auto"/>
        <w:left w:val="none" w:sz="0" w:space="0" w:color="auto"/>
        <w:bottom w:val="none" w:sz="0" w:space="0" w:color="auto"/>
        <w:right w:val="none" w:sz="0" w:space="0" w:color="auto"/>
      </w:divBdr>
    </w:div>
    <w:div w:id="18657502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101331">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15452437">
      <w:bodyDiv w:val="1"/>
      <w:marLeft w:val="0"/>
      <w:marRight w:val="0"/>
      <w:marTop w:val="0"/>
      <w:marBottom w:val="0"/>
      <w:divBdr>
        <w:top w:val="none" w:sz="0" w:space="0" w:color="auto"/>
        <w:left w:val="none" w:sz="0" w:space="0" w:color="auto"/>
        <w:bottom w:val="none" w:sz="0" w:space="0" w:color="auto"/>
        <w:right w:val="none" w:sz="0" w:space="0" w:color="auto"/>
      </w:divBdr>
    </w:div>
    <w:div w:id="2031954473">
      <w:bodyDiv w:val="1"/>
      <w:marLeft w:val="0"/>
      <w:marRight w:val="0"/>
      <w:marTop w:val="0"/>
      <w:marBottom w:val="0"/>
      <w:divBdr>
        <w:top w:val="none" w:sz="0" w:space="0" w:color="auto"/>
        <w:left w:val="none" w:sz="0" w:space="0" w:color="auto"/>
        <w:bottom w:val="none" w:sz="0" w:space="0" w:color="auto"/>
        <w:right w:val="none" w:sz="0" w:space="0" w:color="auto"/>
      </w:divBdr>
    </w:div>
    <w:div w:id="2035962894">
      <w:bodyDiv w:val="1"/>
      <w:marLeft w:val="0"/>
      <w:marRight w:val="0"/>
      <w:marTop w:val="0"/>
      <w:marBottom w:val="0"/>
      <w:divBdr>
        <w:top w:val="none" w:sz="0" w:space="0" w:color="auto"/>
        <w:left w:val="none" w:sz="0" w:space="0" w:color="auto"/>
        <w:bottom w:val="none" w:sz="0" w:space="0" w:color="auto"/>
        <w:right w:val="none" w:sz="0" w:space="0" w:color="auto"/>
      </w:divBdr>
      <w:divsChild>
        <w:div w:id="282350267">
          <w:marLeft w:val="0"/>
          <w:marRight w:val="0"/>
          <w:marTop w:val="0"/>
          <w:marBottom w:val="0"/>
          <w:divBdr>
            <w:top w:val="none" w:sz="0" w:space="0" w:color="auto"/>
            <w:left w:val="none" w:sz="0" w:space="0" w:color="auto"/>
            <w:bottom w:val="none" w:sz="0" w:space="0" w:color="auto"/>
            <w:right w:val="none" w:sz="0" w:space="0" w:color="auto"/>
          </w:divBdr>
        </w:div>
        <w:div w:id="501772649">
          <w:marLeft w:val="0"/>
          <w:marRight w:val="0"/>
          <w:marTop w:val="0"/>
          <w:marBottom w:val="0"/>
          <w:divBdr>
            <w:top w:val="none" w:sz="0" w:space="0" w:color="auto"/>
            <w:left w:val="none" w:sz="0" w:space="0" w:color="auto"/>
            <w:bottom w:val="none" w:sz="0" w:space="0" w:color="auto"/>
            <w:right w:val="none" w:sz="0" w:space="0" w:color="auto"/>
          </w:divBdr>
        </w:div>
        <w:div w:id="643049425">
          <w:marLeft w:val="0"/>
          <w:marRight w:val="0"/>
          <w:marTop w:val="0"/>
          <w:marBottom w:val="0"/>
          <w:divBdr>
            <w:top w:val="none" w:sz="0" w:space="0" w:color="auto"/>
            <w:left w:val="none" w:sz="0" w:space="0" w:color="auto"/>
            <w:bottom w:val="none" w:sz="0" w:space="0" w:color="auto"/>
            <w:right w:val="none" w:sz="0" w:space="0" w:color="auto"/>
          </w:divBdr>
        </w:div>
        <w:div w:id="1454591703">
          <w:marLeft w:val="0"/>
          <w:marRight w:val="0"/>
          <w:marTop w:val="0"/>
          <w:marBottom w:val="0"/>
          <w:divBdr>
            <w:top w:val="none" w:sz="0" w:space="0" w:color="auto"/>
            <w:left w:val="none" w:sz="0" w:space="0" w:color="auto"/>
            <w:bottom w:val="none" w:sz="0" w:space="0" w:color="auto"/>
            <w:right w:val="none" w:sz="0" w:space="0" w:color="auto"/>
          </w:divBdr>
        </w:div>
        <w:div w:id="1645695728">
          <w:marLeft w:val="0"/>
          <w:marRight w:val="0"/>
          <w:marTop w:val="0"/>
          <w:marBottom w:val="0"/>
          <w:divBdr>
            <w:top w:val="none" w:sz="0" w:space="0" w:color="auto"/>
            <w:left w:val="none" w:sz="0" w:space="0" w:color="auto"/>
            <w:bottom w:val="none" w:sz="0" w:space="0" w:color="auto"/>
            <w:right w:val="none" w:sz="0" w:space="0" w:color="auto"/>
          </w:divBdr>
        </w:div>
        <w:div w:id="1732658839">
          <w:marLeft w:val="0"/>
          <w:marRight w:val="0"/>
          <w:marTop w:val="0"/>
          <w:marBottom w:val="0"/>
          <w:divBdr>
            <w:top w:val="none" w:sz="0" w:space="0" w:color="auto"/>
            <w:left w:val="none" w:sz="0" w:space="0" w:color="auto"/>
            <w:bottom w:val="none" w:sz="0" w:space="0" w:color="auto"/>
            <w:right w:val="none" w:sz="0" w:space="0" w:color="auto"/>
          </w:divBdr>
        </w:div>
        <w:div w:id="1967926021">
          <w:marLeft w:val="0"/>
          <w:marRight w:val="0"/>
          <w:marTop w:val="0"/>
          <w:marBottom w:val="0"/>
          <w:divBdr>
            <w:top w:val="none" w:sz="0" w:space="0" w:color="auto"/>
            <w:left w:val="none" w:sz="0" w:space="0" w:color="auto"/>
            <w:bottom w:val="none" w:sz="0" w:space="0" w:color="auto"/>
            <w:right w:val="none" w:sz="0" w:space="0" w:color="auto"/>
          </w:divBdr>
        </w:div>
      </w:divsChild>
    </w:div>
    <w:div w:id="2043549973">
      <w:bodyDiv w:val="1"/>
      <w:marLeft w:val="0"/>
      <w:marRight w:val="0"/>
      <w:marTop w:val="0"/>
      <w:marBottom w:val="0"/>
      <w:divBdr>
        <w:top w:val="none" w:sz="0" w:space="0" w:color="auto"/>
        <w:left w:val="none" w:sz="0" w:space="0" w:color="auto"/>
        <w:bottom w:val="none" w:sz="0" w:space="0" w:color="auto"/>
        <w:right w:val="none" w:sz="0" w:space="0" w:color="auto"/>
      </w:divBdr>
    </w:div>
    <w:div w:id="2129810103">
      <w:bodyDiv w:val="1"/>
      <w:marLeft w:val="0"/>
      <w:marRight w:val="0"/>
      <w:marTop w:val="0"/>
      <w:marBottom w:val="0"/>
      <w:divBdr>
        <w:top w:val="none" w:sz="0" w:space="0" w:color="auto"/>
        <w:left w:val="none" w:sz="0" w:space="0" w:color="auto"/>
        <w:bottom w:val="none" w:sz="0" w:space="0" w:color="auto"/>
        <w:right w:val="none" w:sz="0" w:space="0" w:color="auto"/>
      </w:divBdr>
      <w:divsChild>
        <w:div w:id="425156041">
          <w:marLeft w:val="0"/>
          <w:marRight w:val="0"/>
          <w:marTop w:val="0"/>
          <w:marBottom w:val="0"/>
          <w:divBdr>
            <w:top w:val="none" w:sz="0" w:space="0" w:color="auto"/>
            <w:left w:val="none" w:sz="0" w:space="0" w:color="auto"/>
            <w:bottom w:val="none" w:sz="0" w:space="0" w:color="auto"/>
            <w:right w:val="none" w:sz="0" w:space="0" w:color="auto"/>
          </w:divBdr>
          <w:divsChild>
            <w:div w:id="20787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0274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infectious-diseases/vector-borne-infectious-disease-control" TargetMode="External"/><Relationship Id="rId117" Type="http://schemas.openxmlformats.org/officeDocument/2006/relationships/hyperlink" Target="https://www.aihw.gov.au/reports/heart-stroke-vascular-diseases/hsvd-facts" TargetMode="External"/><Relationship Id="rId21" Type="http://schemas.openxmlformats.org/officeDocument/2006/relationships/hyperlink" Target="https://www.betterhealth.vic.gov.au/heat" TargetMode="External"/><Relationship Id="rId42" Type="http://schemas.openxmlformats.org/officeDocument/2006/relationships/hyperlink" Target="https://www.dhhs.vic.gov.au/sites/default/files/documents/201710/Balit-Murrup-Aboriginal-social-and-emotional-wellbeing-framework-2017-2027.pdf" TargetMode="External"/><Relationship Id="rId47" Type="http://schemas.openxmlformats.org/officeDocument/2006/relationships/hyperlink" Target="https://www.firstpeoplesrelations.vic.gov.au/victorian-government-aboriginal-affairs-report-2021/health-and-wellbeing" TargetMode="External"/><Relationship Id="rId63" Type="http://schemas.openxmlformats.org/officeDocument/2006/relationships/hyperlink" Target="https://www.eatforhealth.gov.au/guidelines" TargetMode="External"/><Relationship Id="rId68" Type="http://schemas.openxmlformats.org/officeDocument/2006/relationships/hyperlink" Target="https://www.achievementprogram.health.vic.gov.au/" TargetMode="External"/><Relationship Id="rId84" Type="http://schemas.openxmlformats.org/officeDocument/2006/relationships/hyperlink" Target="https://www.quit.org.au/resources/resources-communities-and-places/e-cigarettes-and-vaping/" TargetMode="External"/><Relationship Id="rId89" Type="http://schemas.openxmlformats.org/officeDocument/2006/relationships/hyperlink" Target="https://www.health.gov.au/resources/publications/24-hour-movement-guidelines-children-and-young-people-5-to-17-years-brochure" TargetMode="External"/><Relationship Id="rId112" Type="http://schemas.openxmlformats.org/officeDocument/2006/relationships/hyperlink" Target="https://www.health.vic.gov.au/immunisation/immunisation-schedule-victoria-and-vaccine-eligibility-criteria." TargetMode="External"/><Relationship Id="rId133" Type="http://schemas.openxmlformats.org/officeDocument/2006/relationships/hyperlink" Target="https://www.ourwatch.org.au/" TargetMode="External"/><Relationship Id="rId138" Type="http://schemas.openxmlformats.org/officeDocument/2006/relationships/hyperlink" Target="https://betterhealth.vic.gov.au/health/healthyliving/falls-prevention-at-home" TargetMode="External"/><Relationship Id="rId16" Type="http://schemas.openxmlformats.org/officeDocument/2006/relationships/hyperlink" Target="https://doi.org/10.5694/mja2.50545" TargetMode="External"/><Relationship Id="rId107" Type="http://schemas.openxmlformats.org/officeDocument/2006/relationships/hyperlink" Target="https://www.who.int/health-topics/neglected-tropical-diseases" TargetMode="External"/><Relationship Id="rId11" Type="http://schemas.openxmlformats.org/officeDocument/2006/relationships/image" Target="media/image1.jpg"/><Relationship Id="rId32" Type="http://schemas.openxmlformats.org/officeDocument/2006/relationships/hyperlink" Target="https://www.health.vic.gov.au/infectious-diseases/notifiable-infectious-diseases-conditions-and-micro-organisms" TargetMode="External"/><Relationship Id="rId37" Type="http://schemas.openxmlformats.org/officeDocument/2006/relationships/hyperlink" Target="https://www.health.vic.gov.au/food-safety/food-safety-laws-and-regulations" TargetMode="External"/><Relationship Id="rId53" Type="http://schemas.openxmlformats.org/officeDocument/2006/relationships/hyperlink" Target="https://www.abs.gov.au/statistics/health/causes-death/causes-death-australia/2019" TargetMode="External"/><Relationship Id="rId58" Type="http://schemas.openxmlformats.org/officeDocument/2006/relationships/hyperlink" Target="https://www.aihw.gov.au/reports/alcohol/alcohol-tobacco-other-drugs-australia/contents/about" TargetMode="External"/><Relationship Id="rId74" Type="http://schemas.openxmlformats.org/officeDocument/2006/relationships/hyperlink" Target="file://internal.vic.gov.au/DHHS/HomeDirs2/jpar0709/Documents/Strategic%20Projects%20HPB/CHO%20Report%202019%20-%20Data%20files/department&#8217;s%20active%20living%20webpage" TargetMode="External"/><Relationship Id="rId79" Type="http://schemas.openxmlformats.org/officeDocument/2006/relationships/hyperlink" Target="https://www.betterhealth.vic.gov.au/health/healthyliving/e-cigarettes" TargetMode="External"/><Relationship Id="rId102" Type="http://schemas.openxmlformats.org/officeDocument/2006/relationships/hyperlink" Target="https://aspren.dmac.adelaide.edu.au/" TargetMode="External"/><Relationship Id="rId123" Type="http://schemas.openxmlformats.org/officeDocument/2006/relationships/hyperlink" Target="http://www.ncbi.nlm.nih.gov/pubmed/16398622" TargetMode="External"/><Relationship Id="rId128" Type="http://schemas.openxmlformats.org/officeDocument/2006/relationships/hyperlink" Target="https://www.abs.gov.au/statistics/people/aboriginal-and-torres-strait-islander-peoples/national-aboriginal-and-torres-strait-islander-health-survey/latest-release" TargetMode="External"/><Relationship Id="rId144" Type="http://schemas.openxmlformats.org/officeDocument/2006/relationships/hyperlink" Target="https://www.anzfallsprevention.org/" TargetMode="External"/><Relationship Id="rId149" Type="http://schemas.openxmlformats.org/officeDocument/2006/relationships/hyperlink" Target="https://www.abs.gov.au/statistics/health/causes-death/causes-death-australia/2019" TargetMode="External"/><Relationship Id="rId5" Type="http://schemas.openxmlformats.org/officeDocument/2006/relationships/numbering" Target="numbering.xml"/><Relationship Id="rId90" Type="http://schemas.openxmlformats.org/officeDocument/2006/relationships/hyperlink" Target="https://www.health.gov.au/health-topics/physical-activity-and-exercise/about-physical-activity-and-exercise" TargetMode="External"/><Relationship Id="rId95" Type="http://schemas.openxmlformats.org/officeDocument/2006/relationships/hyperlink" Target="https://www.health.vic.gov.au/maternal-child-health/aboriginal-maternal-and-child-health-aboriginal-led-mch-services" TargetMode="External"/><Relationship Id="rId22" Type="http://schemas.openxmlformats.org/officeDocument/2006/relationships/hyperlink" Target="https://www.betterhealth.vic.gov.au/health/healthyliving/heat-stress-and-heat-related-illness" TargetMode="External"/><Relationship Id="rId27" Type="http://schemas.openxmlformats.org/officeDocument/2006/relationships/hyperlink" Target="https://www.health.vic.gov.au/infectious-diseases/hair-beauty-tattooing-and-skin-penetration-industries" TargetMode="External"/><Relationship Id="rId43" Type="http://schemas.openxmlformats.org/officeDocument/2006/relationships/hyperlink" Target="https://www.health.vic.gov.au/populations/refugee-and-asylum-seeker-health-and-wellbeing" TargetMode="External"/><Relationship Id="rId48" Type="http://schemas.openxmlformats.org/officeDocument/2006/relationships/hyperlink" Target="https://www.health.vic.gov.au/publications/victorian-public-health-and-wellbeing-plan-2019-2023" TargetMode="External"/><Relationship Id="rId64" Type="http://schemas.openxmlformats.org/officeDocument/2006/relationships/hyperlink" Target="https://www.health.vic.gov.au/preventive-health/healthy-choices" TargetMode="External"/><Relationship Id="rId69" Type="http://schemas.openxmlformats.org/officeDocument/2006/relationships/hyperlink" Target="https://www.vaccho.org.au/member-services/workforce-development-2/nutrition/" TargetMode="External"/><Relationship Id="rId113" Type="http://schemas.openxmlformats.org/officeDocument/2006/relationships/image" Target="media/image3.png"/><Relationship Id="rId118" Type="http://schemas.openxmlformats.org/officeDocument/2006/relationships/hyperlink" Target="https://www.aihw.gov.au/getmedia/0ea708eb-dd6e-4499-9080-1cc7b5990e64/aihw-can-144.pdf.aspx?inline=true" TargetMode="External"/><Relationship Id="rId134" Type="http://schemas.openxmlformats.org/officeDocument/2006/relationships/hyperlink" Target="https://www.respectvictoria.vic.gov.au/" TargetMode="External"/><Relationship Id="rId139" Type="http://schemas.openxmlformats.org/officeDocument/2006/relationships/hyperlink" Target="https://www.cotavic.org.au/our-programs/strength-training/living-longer-living-stronger-providers" TargetMode="External"/><Relationship Id="rId80" Type="http://schemas.openxmlformats.org/officeDocument/2006/relationships/hyperlink" Target="https://adf.org.au/talking-about-drugs/parenting/vaping-youth/talking-about-vaping/" TargetMode="External"/><Relationship Id="rId85" Type="http://schemas.openxmlformats.org/officeDocument/2006/relationships/hyperlink" Target="file://internal.vic.gov.au/DHHS/HomeDirs2/jpar0709/Documents/Strategic%20Projects%20HPB/CHO%20Report%202019%20-%20Data%20files/Quit%20Victoria" TargetMode="External"/><Relationship Id="rId150" Type="http://schemas.openxmlformats.org/officeDocument/2006/relationships/footer" Target="footer1.xml"/><Relationship Id="rId12" Type="http://schemas.openxmlformats.org/officeDocument/2006/relationships/hyperlink" Target="mailto:pph.communications@dhhs.vic.gov.au?subject=CHO%20Report%202019" TargetMode="External"/><Relationship Id="rId17" Type="http://schemas.openxmlformats.org/officeDocument/2006/relationships/hyperlink" Target="https://doi.org/10.5694/mja2.50545" TargetMode="External"/><Relationship Id="rId25" Type="http://schemas.openxmlformats.org/officeDocument/2006/relationships/hyperlink" Target="https://www.health.vic.gov.au/environmental-health/epidemic-thunderstorm-asthma-risk-forecast" TargetMode="External"/><Relationship Id="rId33" Type="http://schemas.openxmlformats.org/officeDocument/2006/relationships/hyperlink" Target="https://www.health.vic.gov.au/infectious-diseases/exclusion-periods-for-primary-schools-and-childrens-services" TargetMode="External"/><Relationship Id="rId38" Type="http://schemas.openxmlformats.org/officeDocument/2006/relationships/hyperlink" Target="https://www.health.vic.gov.au/infectious-diseases/aboriginal-and-torres-strait-islander-summary-state-wide-victoria" TargetMode="External"/><Relationship Id="rId46" Type="http://schemas.openxmlformats.org/officeDocument/2006/relationships/hyperlink" Target="file:///C:/Users/vidxgsm/Downloads/Victorian%20Government%20Aboriginal%20Affairs%20Report%202019_0.pdf" TargetMode="External"/><Relationship Id="rId59" Type="http://schemas.openxmlformats.org/officeDocument/2006/relationships/hyperlink" Target="https://aodstats.org.au/explore-data/family-violence/" TargetMode="External"/><Relationship Id="rId67" Type="http://schemas.openxmlformats.org/officeDocument/2006/relationships/hyperlink" Target="https://heas.health.vic.gov.au/" TargetMode="External"/><Relationship Id="rId103" Type="http://schemas.openxmlformats.org/officeDocument/2006/relationships/hyperlink" Target="https://amr-review.org/Publications.html" TargetMode="External"/><Relationship Id="rId108" Type="http://schemas.openxmlformats.org/officeDocument/2006/relationships/hyperlink" Target="https://www.who.int/health-topics/syphilis" TargetMode="External"/><Relationship Id="rId116" Type="http://schemas.openxmlformats.org/officeDocument/2006/relationships/image" Target="media/image6.png"/><Relationship Id="rId124" Type="http://schemas.openxmlformats.org/officeDocument/2006/relationships/hyperlink" Target="https://strokefoundation.org.au/about-stroke/learn/what-is-a-stroke" TargetMode="External"/><Relationship Id="rId129" Type="http://schemas.openxmlformats.org/officeDocument/2006/relationships/hyperlink" Target="https://www.abs.gov.au/statistics/people/aboriginal-and-torres-strait-islander-peoples/national-aboriginal-and-torres-strait-islander-health-survey/latest-release" TargetMode="External"/><Relationship Id="rId137" Type="http://schemas.openxmlformats.org/officeDocument/2006/relationships/hyperlink" Target="https://health.gov.au/resources/publications/dont-fall-for-it-falls-can-be-prevented" TargetMode="External"/><Relationship Id="rId20" Type="http://schemas.openxmlformats.org/officeDocument/2006/relationships/hyperlink" Target="https://www.epa.vic.gov.au/" TargetMode="External"/><Relationship Id="rId41" Type="http://schemas.openxmlformats.org/officeDocument/2006/relationships/hyperlink" Target="file:///C:/Users/vidxgsm/Downloads/Victorian%20Government%20Aboriginal%20Affairs%20Report%202019_0.pdf" TargetMode="External"/><Relationship Id="rId54" Type="http://schemas.openxmlformats.org/officeDocument/2006/relationships/hyperlink" Target="https://www.aihw.gov.au/getmedia/8c9fcf52-0055-41a0-96d9-f81b0feb98cf/aihw-can-123.pdf.aspx?inline=true" TargetMode="External"/><Relationship Id="rId62" Type="http://schemas.openxmlformats.org/officeDocument/2006/relationships/hyperlink" Target="https://www.health.vic.gov.au/chief-health-officer/overweight-and-obesity" TargetMode="External"/><Relationship Id="rId70" Type="http://schemas.openxmlformats.org/officeDocument/2006/relationships/hyperlink" Target="https://www.health.vic.gov.au/health-strategies/healthy-kids-healthy-futures" TargetMode="External"/><Relationship Id="rId75" Type="http://schemas.openxmlformats.org/officeDocument/2006/relationships/hyperlink" Target="https://www.health.vic.gov.au/public-health/tobacco-reforms" TargetMode="External"/><Relationship Id="rId83" Type="http://schemas.openxmlformats.org/officeDocument/2006/relationships/hyperlink" Target="https://www.cdc.gov/tobacco/basic_information/e-cigarettes/severe-lung-disease.html" TargetMode="External"/><Relationship Id="rId88" Type="http://schemas.openxmlformats.org/officeDocument/2006/relationships/hyperlink" Target="https://www.health.gov.au/resources/publications/24-hour-movement-guidelines-birth-to-5-years-brochure" TargetMode="External"/><Relationship Id="rId91" Type="http://schemas.openxmlformats.org/officeDocument/2006/relationships/hyperlink" Target="http://www.health.vic.gov.au/population-health-systems/victorian-population-health-survey-2017" TargetMode="External"/><Relationship Id="rId96" Type="http://schemas.openxmlformats.org/officeDocument/2006/relationships/hyperlink" Target="http://www.betterhealth.vic.gov.au/health/healthyliving/babies-and-safety" TargetMode="External"/><Relationship Id="rId111" Type="http://schemas.openxmlformats.org/officeDocument/2006/relationships/hyperlink" Target="https://federalfinancialrelations.gov.au/sites/federalfinancialrelations.gov.au/files/2021-01/essential_vaccines_np.pdf" TargetMode="External"/><Relationship Id="rId132" Type="http://schemas.openxmlformats.org/officeDocument/2006/relationships/hyperlink" Target="https://www.health.vic.gov.au/publications/victorian-public-health-and-wellbeing-progress-report" TargetMode="External"/><Relationship Id="rId140" Type="http://schemas.openxmlformats.org/officeDocument/2006/relationships/hyperlink" Target="https://www.cotavic.org.au/our-programs/strength-training/living-longer-living-stronger-providers" TargetMode="External"/><Relationship Id="rId145" Type="http://schemas.openxmlformats.org/officeDocument/2006/relationships/hyperlink" Target="https://doi.org/10.1093/ageing/afac105"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betterhealth.vic.gov.au/health/healthyliving/climate-change-and-health" TargetMode="External"/><Relationship Id="rId23" Type="http://schemas.openxmlformats.org/officeDocument/2006/relationships/hyperlink" Target="https://www.betterhealth.vic.gov.au/health/healthyliving/how-to-cope-and-stay-safe-in-extreme-heat" TargetMode="External"/><Relationship Id="rId28" Type="http://schemas.openxmlformats.org/officeDocument/2006/relationships/hyperlink" Target="https://www.health.vic.gov.au/water/aquatic-facilities" TargetMode="External"/><Relationship Id="rId36" Type="http://schemas.openxmlformats.org/officeDocument/2006/relationships/hyperlink" Target="https://www.health.vic.gov.au/publications/food-surveillance-2018-2019" TargetMode="External"/><Relationship Id="rId49" Type="http://schemas.openxmlformats.org/officeDocument/2006/relationships/hyperlink" Target="https://www.abs.gov.au/statistics/health/causes-death/causes-death-australia/2019" TargetMode="External"/><Relationship Id="rId57" Type="http://schemas.openxmlformats.org/officeDocument/2006/relationships/hyperlink" Target="https://www.aihw.gov.au/reports/burden-of-disease/australian-bod-study-2018-key-findings-indigenous" TargetMode="External"/><Relationship Id="rId106" Type="http://schemas.openxmlformats.org/officeDocument/2006/relationships/hyperlink" Target="https://cdn.who.int/media/docs/default-source/antimicrobial-resistance/iacg-amr-national-action-plans-110618.pdf?sfvrsn=53e4eb22_4" TargetMode="External"/><Relationship Id="rId114" Type="http://schemas.openxmlformats.org/officeDocument/2006/relationships/image" Target="media/image4.png"/><Relationship Id="rId119" Type="http://schemas.openxmlformats.org/officeDocument/2006/relationships/hyperlink" Target="https://wiki.cancer.org.au/skincancerstats/Citation:Britt_H,_Miller_GC,_Bayram_C,_Henderson_J,_Valenti_L,_Harrison_C,_Pan_Y,_Charles_J,_Pollack_AJ,_Chambers_T,_Gordon_J,_Wong_C._2016" TargetMode="External"/><Relationship Id="rId127" Type="http://schemas.openxmlformats.org/officeDocument/2006/relationships/hyperlink" Target="https://www.mhfa.org.au/" TargetMode="External"/><Relationship Id="rId10" Type="http://schemas.openxmlformats.org/officeDocument/2006/relationships/endnotes" Target="endnotes.xml"/><Relationship Id="rId31" Type="http://schemas.openxmlformats.org/officeDocument/2006/relationships/hyperlink" Target="https://www.health.vic.gov.au/environmental-health/pesticide-use-and-pest-control" TargetMode="External"/><Relationship Id="rId44" Type="http://schemas.openxmlformats.org/officeDocument/2006/relationships/hyperlink" Target="https://www.familymatters.org.au/wp-content/uploads/2020/11/FamilyMattersReport2020_LR.pdf" TargetMode="External"/><Relationship Id="rId52" Type="http://schemas.openxmlformats.org/officeDocument/2006/relationships/hyperlink" Target="https://wiki.cancer.org.au/policy/Alcohol/Impact:_Alcohol_and_cancer" TargetMode="External"/><Relationship Id="rId60" Type="http://schemas.openxmlformats.org/officeDocument/2006/relationships/hyperlink" Target="https://aodstats.org.au/explore-data/ambulance-attendances/" TargetMode="External"/><Relationship Id="rId65" Type="http://schemas.openxmlformats.org/officeDocument/2006/relationships/hyperlink" Target="https://www.health.vic.gov.au/publications/kilojoule-labelling-scheme-victoria" TargetMode="External"/><Relationship Id="rId73" Type="http://schemas.openxmlformats.org/officeDocument/2006/relationships/hyperlink" Target="https://dhhsvicgovau.sharepoint.com/sites/RHPEMStrategicProjectsandRegulatoryPolicy-DHHS-GRP-StrategicProjects/Shared%20Documents/Strategic%20Projects/2019%20CHO%20report/Healthy%20eating%20webpage" TargetMode="External"/><Relationship Id="rId78" Type="http://schemas.openxmlformats.org/officeDocument/2006/relationships/hyperlink" Target="https://www.betterhealth.vic.gov.au/healthyliving/smoking-and-tobacco" TargetMode="External"/><Relationship Id="rId81" Type="http://schemas.openxmlformats.org/officeDocument/2006/relationships/hyperlink" Target="https://www.rch.org.au/kidsinfo/fact_sheets/E-cigarettes_and_teens/" TargetMode="External"/><Relationship Id="rId86" Type="http://schemas.openxmlformats.org/officeDocument/2006/relationships/hyperlink" Target="https://www.abs.gov.au/statistics/people/aboriginal-and-torres-strait-islander-peoples/national-aboriginal-and-torres-strait-islander-health-survey/latest-release" TargetMode="External"/><Relationship Id="rId94" Type="http://schemas.openxmlformats.org/officeDocument/2006/relationships/hyperlink" Target="https://vahi.vic.gov.au/report/population-health/victorian-population-health-survey-2019-summary-results" TargetMode="External"/><Relationship Id="rId99" Type="http://schemas.openxmlformats.org/officeDocument/2006/relationships/hyperlink" Target="https://www.health.vic.gov.au/notify" TargetMode="External"/><Relationship Id="rId101" Type="http://schemas.openxmlformats.org/officeDocument/2006/relationships/hyperlink" Target="https://www.health.vic.gov.au/infectious-diseases/interactive-infectious-disease-reports" TargetMode="External"/><Relationship Id="rId122" Type="http://schemas.openxmlformats.org/officeDocument/2006/relationships/hyperlink" Target="http://medicarestatistics.humanservices.gov.au/statistics/mbs_item.jsp" TargetMode="External"/><Relationship Id="rId130" Type="http://schemas.openxmlformats.org/officeDocument/2006/relationships/hyperlink" Target="https://www.aihw.gov.au/reports/burden-of-disease/abds-impact-and-causes-of-illness-and-death-in-aus/summary" TargetMode="External"/><Relationship Id="rId135" Type="http://schemas.openxmlformats.org/officeDocument/2006/relationships/hyperlink" Target="https://www.nari.net.au/victorian-falls-directory" TargetMode="External"/><Relationship Id="rId143" Type="http://schemas.openxmlformats.org/officeDocument/2006/relationships/hyperlink" Target="https://www.safeexerciseathome.org.au/" TargetMode="External"/><Relationship Id="rId148" Type="http://schemas.openxmlformats.org/officeDocument/2006/relationships/hyperlink" Target="https://www.vic.gov.au/sites/default/files/2019-05/Cost-of-family-violence-in-Victoria.pdf" TargetMode="External"/><Relationship Id="rId15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vic.gov.au/chief-health-officer/publications" TargetMode="External"/><Relationship Id="rId18" Type="http://schemas.openxmlformats.org/officeDocument/2006/relationships/hyperlink" Target="https://www.betterhealth.vic.gov.au/heat" TargetMode="External"/><Relationship Id="rId39" Type="http://schemas.openxmlformats.org/officeDocument/2006/relationships/hyperlink" Target="https://www.health.vic.gov.au/health-strategies/aboriginal-health" TargetMode="External"/><Relationship Id="rId109" Type="http://schemas.openxmlformats.org/officeDocument/2006/relationships/hyperlink" Target="https://www.health.gov.au/resources/publications/national-immunisation-strategy-for-australia-2019-to-2024." TargetMode="External"/><Relationship Id="rId34" Type="http://schemas.openxmlformats.org/officeDocument/2006/relationships/hyperlink" Target="https://www.health.vic.gov.au/legislation/public-health-and-wellbeing-regulations-2019" TargetMode="External"/><Relationship Id="rId50" Type="http://schemas.openxmlformats.org/officeDocument/2006/relationships/hyperlink" Target="https://www.health.vic.gov.au/health-strategies/increasing-active-living" TargetMode="External"/><Relationship Id="rId55" Type="http://schemas.openxmlformats.org/officeDocument/2006/relationships/hyperlink" Target="https://www.aihw.gov.au/getmedia/77dbea6e-f071-495c-b71e-3a632237269d/aihw-phe-270.pdf.aspx?inline=true" TargetMode="External"/><Relationship Id="rId76" Type="http://schemas.openxmlformats.org/officeDocument/2006/relationships/hyperlink" Target="https://vahi.vic.gov.au/report/population-health/victorian-population-health-survey-2019-summary-results" TargetMode="External"/><Relationship Id="rId97" Type="http://schemas.openxmlformats.org/officeDocument/2006/relationships/hyperlink" Target="https://doi.org/10.3390/ijerph19095528" TargetMode="External"/><Relationship Id="rId104" Type="http://schemas.openxmlformats.org/officeDocument/2006/relationships/hyperlink" Target="https://www.oecd-ilibrary.org/social-issues-migration-health/stemming-the-superbug-tide_9789264307599-en" TargetMode="External"/><Relationship Id="rId120" Type="http://schemas.openxmlformats.org/officeDocument/2006/relationships/hyperlink" Target="https://www.betterhealth.vic.gov.au/health/conditionsandtreatments/asthma" TargetMode="External"/><Relationship Id="rId125" Type="http://schemas.openxmlformats.org/officeDocument/2006/relationships/hyperlink" Target="http://www.who.int/news-room/fact-sheets/detail/musculoskeletal-conditions" TargetMode="External"/><Relationship Id="rId141" Type="http://schemas.openxmlformats.org/officeDocument/2006/relationships/hyperlink" Target="https://www.nari.net.au/frop-com" TargetMode="External"/><Relationship Id="rId146" Type="http://schemas.openxmlformats.org/officeDocument/2006/relationships/hyperlink" Target="https://www.crimestatistics.vic.gov.au/family-violence-data-portal/family-violence-data-dashboard/victoria-police" TargetMode="External"/><Relationship Id="rId7" Type="http://schemas.openxmlformats.org/officeDocument/2006/relationships/settings" Target="settings.xml"/><Relationship Id="rId71" Type="http://schemas.openxmlformats.org/officeDocument/2006/relationships/hyperlink" Target="https://www.vichealth.vic.gov.au/our-work/local-government-partnership" TargetMode="External"/><Relationship Id="rId92" Type="http://schemas.openxmlformats.org/officeDocument/2006/relationships/hyperlink" Target="https://www.betterhealth.vic.gov.au/health/healthyliving/exercise-and-mental-health" TargetMode="External"/><Relationship Id="rId2" Type="http://schemas.openxmlformats.org/officeDocument/2006/relationships/customXml" Target="../customXml/item2.xml"/><Relationship Id="rId29" Type="http://schemas.openxmlformats.org/officeDocument/2006/relationships/hyperlink" Target="https://www.health.vic.gov.au/water/cooling-tower-systems" TargetMode="External"/><Relationship Id="rId24" Type="http://schemas.openxmlformats.org/officeDocument/2006/relationships/hyperlink" Target="https://www.betterhealth.vic.gov.au/campaigns/thunderstorm-asthma" TargetMode="External"/><Relationship Id="rId40" Type="http://schemas.openxmlformats.org/officeDocument/2006/relationships/hyperlink" Target="https://www.vic.gov.au/discover-victorias-diverse-population" TargetMode="External"/><Relationship Id="rId45" Type="http://schemas.openxmlformats.org/officeDocument/2006/relationships/hyperlink" Target="http://www.vichealth.vic.gov.au/media-and-resources/publications/the-vichealth-framework-for-health-equity" TargetMode="External"/><Relationship Id="rId66" Type="http://schemas.openxmlformats.org/officeDocument/2006/relationships/hyperlink" Target="https://www.health.vic.gov.au/preventive-health/healthy-choices" TargetMode="External"/><Relationship Id="rId87" Type="http://schemas.openxmlformats.org/officeDocument/2006/relationships/hyperlink" Target="https://www.health.gov.au/health-topics/physical-activity-and-exercise/physical-activity-and-exercise-guidelines-for-all-australians" TargetMode="External"/><Relationship Id="rId110" Type="http://schemas.openxmlformats.org/officeDocument/2006/relationships/hyperlink" Target="https://www.mcri.edu.au/research/research-areas/infection-and-immunity/saefvic" TargetMode="External"/><Relationship Id="rId115" Type="http://schemas.openxmlformats.org/officeDocument/2006/relationships/image" Target="media/image5.png"/><Relationship Id="rId131" Type="http://schemas.openxmlformats.org/officeDocument/2006/relationships/hyperlink" Target="https://www.vic.gov.au/free-violence-victorias-strategy-prevent-family-violence" TargetMode="External"/><Relationship Id="rId136" Type="http://schemas.openxmlformats.org/officeDocument/2006/relationships/hyperlink" Target="https://www.safeexerciseathome.org.au" TargetMode="External"/><Relationship Id="rId61" Type="http://schemas.openxmlformats.org/officeDocument/2006/relationships/hyperlink" Target="https://aodstats.org.au/explore-data/treatment-services-vadc/" TargetMode="External"/><Relationship Id="rId82" Type="http://schemas.openxmlformats.org/officeDocument/2006/relationships/hyperlink" Target="https://www.quit.org.au/resources/resources-communities-and-places/e-cigarettes-and-vaping/" TargetMode="External"/><Relationship Id="rId152" Type="http://schemas.openxmlformats.org/officeDocument/2006/relationships/fontTable" Target="fontTable.xml"/><Relationship Id="rId19" Type="http://schemas.openxmlformats.org/officeDocument/2006/relationships/hyperlink" Target="https://soe.dcceew.gov.au/views/reference/32006" TargetMode="External"/><Relationship Id="rId14" Type="http://schemas.openxmlformats.org/officeDocument/2006/relationships/image" Target="media/image2.png"/><Relationship Id="rId30" Type="http://schemas.openxmlformats.org/officeDocument/2006/relationships/hyperlink" Target="https://www.health.vic.gov.au/water/legionella-and-water-delivery-systems" TargetMode="External"/><Relationship Id="rId35" Type="http://schemas.openxmlformats.org/officeDocument/2006/relationships/hyperlink" Target="https://www.yourhome.gov.au/live-adapt/indoor-air-quality" TargetMode="External"/><Relationship Id="rId56" Type="http://schemas.openxmlformats.org/officeDocument/2006/relationships/hyperlink" Target="https://www.aihw.gov.au/reports/burden-of-disease/abds-2018-interactive-data-risk-factors" TargetMode="External"/><Relationship Id="rId77" Type="http://schemas.openxmlformats.org/officeDocument/2006/relationships/hyperlink" Target="https://www.tobaccoinaustralia.org.au/home.aspx" TargetMode="External"/><Relationship Id="rId100" Type="http://schemas.openxmlformats.org/officeDocument/2006/relationships/hyperlink" Target="https://www.health.vic.gov.au/infectious-diseases/interactive-infectious-disease-reports" TargetMode="External"/><Relationship Id="rId105" Type="http://schemas.openxmlformats.org/officeDocument/2006/relationships/hyperlink" Target="https://www.who.int/health-topics/buruli-ulcer" TargetMode="External"/><Relationship Id="rId126" Type="http://schemas.openxmlformats.org/officeDocument/2006/relationships/hyperlink" Target="https://www.betterhealth.vic.gov.au/servicesandsupport/mental-health-services" TargetMode="External"/><Relationship Id="rId147" Type="http://schemas.openxmlformats.org/officeDocument/2006/relationships/hyperlink" Target="https://www.healthdirect.gov.au/falls" TargetMode="External"/><Relationship Id="rId8" Type="http://schemas.openxmlformats.org/officeDocument/2006/relationships/webSettings" Target="webSettings.xml"/><Relationship Id="rId51" Type="http://schemas.openxmlformats.org/officeDocument/2006/relationships/hyperlink" Target="https://www.health.vic.gov.au/alcohol-and-drugs/alcohol-and-other-drug-treatment-services" TargetMode="External"/><Relationship Id="rId72" Type="http://schemas.openxmlformats.org/officeDocument/2006/relationships/hyperlink" Target="https://www.vichealth.vic.gov.au/media-and-resources/publications/obesity-consensus" TargetMode="External"/><Relationship Id="rId93" Type="http://schemas.openxmlformats.org/officeDocument/2006/relationships/hyperlink" Target="https://foodandmoodcentre.com.au/2018/04/diet-and-nutrition-infographic/" TargetMode="External"/><Relationship Id="rId98" Type="http://schemas.openxmlformats.org/officeDocument/2006/relationships/hyperlink" Target="https://www.health.vic.gov.au/infectious-diseases/beating-buruli-in-victoria" TargetMode="External"/><Relationship Id="rId121" Type="http://schemas.openxmlformats.org/officeDocument/2006/relationships/hyperlink" Target="https://wiki.cancer.org.au/skincancerstats/Citation:Services_Australia_2022" TargetMode="External"/><Relationship Id="rId142" Type="http://schemas.openxmlformats.org/officeDocument/2006/relationships/hyperlink" Target="https://www.health.vic.gov.au/site-4/patient-care/older-people-in-hospita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3" ma:contentTypeDescription="Create a new document." ma:contentTypeScope="" ma:versionID="986eb0692232e38eb4104b861d74874b">
  <xsd:schema xmlns:xsd="http://www.w3.org/2001/XMLSchema" xmlns:xs="http://www.w3.org/2001/XMLSchema" xmlns:p="http://schemas.microsoft.com/office/2006/metadata/properties" xmlns:ns2="59bc64bb-5ffd-47b9-a9eb-a625face39ab" xmlns:ns3="d8a81fb4-2740-4440-82bd-7caf6f2de287" xmlns:ns4="5ce0f2b5-5be5-4508-bce9-d7011ece0659" targetNamespace="http://schemas.microsoft.com/office/2006/metadata/properties" ma:root="true" ma:fieldsID="f609f14d537ba68c07daf99818a9ee2f" ns2:_="" ns3:_="" ns4:_="">
    <xsd:import namespace="59bc64bb-5ffd-47b9-a9eb-a625face39ab"/>
    <xsd:import namespace="d8a81fb4-2740-4440-82bd-7caf6f2de287"/>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1ba2ee-db7a-4271-af9c-aa6839feac50}" ma:internalName="TaxCatchAll" ma:showField="CatchAllData" ma:web="d8a81fb4-2740-4440-82bd-7caf6f2d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9bc64bb-5ffd-47b9-a9eb-a625face39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C7C582-CD36-424A-8391-D9C44782B965}">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D758FE43-2823-4F09-9862-0F611425E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9DAAE-12D8-46B0-A330-78CA6606E4B8}">
  <ds:schemaRefs>
    <ds:schemaRef ds:uri="http://schemas.microsoft.com/office/2006/metadata/properties"/>
    <ds:schemaRef ds:uri="http://schemas.microsoft.com/office/infopath/2007/PartnerControls"/>
    <ds:schemaRef ds:uri="5ce0f2b5-5be5-4508-bce9-d7011ece0659"/>
    <ds:schemaRef ds:uri="59bc64bb-5ffd-47b9-a9eb-a625face39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48536</Words>
  <Characters>292187</Characters>
  <Application>Microsoft Office Word</Application>
  <DocSecurity>0</DocSecurity>
  <Lines>5843</Lines>
  <Paragraphs>3340</Paragraphs>
  <ScaleCrop>false</ScaleCrop>
  <HeadingPairs>
    <vt:vector size="2" baseType="variant">
      <vt:variant>
        <vt:lpstr>Title</vt:lpstr>
      </vt:variant>
      <vt:variant>
        <vt:i4>1</vt:i4>
      </vt:variant>
    </vt:vector>
  </HeadingPairs>
  <TitlesOfParts>
    <vt:vector size="1" baseType="lpstr">
      <vt:lpstr>Your health: Report of the Chief Health Officer, Victoria, 2019</vt:lpstr>
    </vt:vector>
  </TitlesOfParts>
  <Manager/>
  <Company/>
  <LinksUpToDate>false</LinksUpToDate>
  <CharactersWithSpaces>337383</CharactersWithSpaces>
  <SharedDoc>false</SharedDoc>
  <HyperlinkBase/>
  <HLinks>
    <vt:vector size="1116" baseType="variant">
      <vt:variant>
        <vt:i4>7143542</vt:i4>
      </vt:variant>
      <vt:variant>
        <vt:i4>635</vt:i4>
      </vt:variant>
      <vt:variant>
        <vt:i4>0</vt:i4>
      </vt:variant>
      <vt:variant>
        <vt:i4>5</vt:i4>
      </vt:variant>
      <vt:variant>
        <vt:lpwstr>https://www.vic.gov.au/sites/default/files/2019-05/Cost-of-family-violence-in-Victoria.pdf</vt:lpwstr>
      </vt:variant>
      <vt:variant>
        <vt:lpwstr/>
      </vt:variant>
      <vt:variant>
        <vt:i4>7143542</vt:i4>
      </vt:variant>
      <vt:variant>
        <vt:i4>633</vt:i4>
      </vt:variant>
      <vt:variant>
        <vt:i4>0</vt:i4>
      </vt:variant>
      <vt:variant>
        <vt:i4>5</vt:i4>
      </vt:variant>
      <vt:variant>
        <vt:lpwstr>https://www.vic.gov.au/sites/default/files/2019-05/Cost-of-family-violence-in-Victoria.pdf</vt:lpwstr>
      </vt:variant>
      <vt:variant>
        <vt:lpwstr/>
      </vt:variant>
      <vt:variant>
        <vt:i4>196696</vt:i4>
      </vt:variant>
      <vt:variant>
        <vt:i4>630</vt:i4>
      </vt:variant>
      <vt:variant>
        <vt:i4>0</vt:i4>
      </vt:variant>
      <vt:variant>
        <vt:i4>5</vt:i4>
      </vt:variant>
      <vt:variant>
        <vt:lpwstr>https://www.healthdirect.gov.au/falls</vt:lpwstr>
      </vt:variant>
      <vt:variant>
        <vt:lpwstr/>
      </vt:variant>
      <vt:variant>
        <vt:i4>5963784</vt:i4>
      </vt:variant>
      <vt:variant>
        <vt:i4>627</vt:i4>
      </vt:variant>
      <vt:variant>
        <vt:i4>0</vt:i4>
      </vt:variant>
      <vt:variant>
        <vt:i4>5</vt:i4>
      </vt:variant>
      <vt:variant>
        <vt:lpwstr>https://www.crimestatistics.vic.gov.au/family-violence-data-portal/family-violence-data-dashboard/victoria-police</vt:lpwstr>
      </vt:variant>
      <vt:variant>
        <vt:lpwstr/>
      </vt:variant>
      <vt:variant>
        <vt:i4>7798825</vt:i4>
      </vt:variant>
      <vt:variant>
        <vt:i4>624</vt:i4>
      </vt:variant>
      <vt:variant>
        <vt:i4>0</vt:i4>
      </vt:variant>
      <vt:variant>
        <vt:i4>5</vt:i4>
      </vt:variant>
      <vt:variant>
        <vt:lpwstr>https://doi.org/10.1093/ageing/afac105</vt:lpwstr>
      </vt:variant>
      <vt:variant>
        <vt:lpwstr/>
      </vt:variant>
      <vt:variant>
        <vt:i4>1179662</vt:i4>
      </vt:variant>
      <vt:variant>
        <vt:i4>621</vt:i4>
      </vt:variant>
      <vt:variant>
        <vt:i4>0</vt:i4>
      </vt:variant>
      <vt:variant>
        <vt:i4>5</vt:i4>
      </vt:variant>
      <vt:variant>
        <vt:lpwstr>available</vt:lpwstr>
      </vt:variant>
      <vt:variant>
        <vt:lpwstr/>
      </vt:variant>
      <vt:variant>
        <vt:i4>3801185</vt:i4>
      </vt:variant>
      <vt:variant>
        <vt:i4>618</vt:i4>
      </vt:variant>
      <vt:variant>
        <vt:i4>0</vt:i4>
      </vt:variant>
      <vt:variant>
        <vt:i4>5</vt:i4>
      </vt:variant>
      <vt:variant>
        <vt:lpwstr>https://www.anzfallsprevention.org/</vt:lpwstr>
      </vt:variant>
      <vt:variant>
        <vt:lpwstr/>
      </vt:variant>
      <vt:variant>
        <vt:i4>7471142</vt:i4>
      </vt:variant>
      <vt:variant>
        <vt:i4>615</vt:i4>
      </vt:variant>
      <vt:variant>
        <vt:i4>0</vt:i4>
      </vt:variant>
      <vt:variant>
        <vt:i4>5</vt:i4>
      </vt:variant>
      <vt:variant>
        <vt:lpwstr>https://www.safeexerciseathome.org.au/</vt:lpwstr>
      </vt:variant>
      <vt:variant>
        <vt:lpwstr/>
      </vt:variant>
      <vt:variant>
        <vt:i4>3670070</vt:i4>
      </vt:variant>
      <vt:variant>
        <vt:i4>612</vt:i4>
      </vt:variant>
      <vt:variant>
        <vt:i4>0</vt:i4>
      </vt:variant>
      <vt:variant>
        <vt:i4>5</vt:i4>
      </vt:variant>
      <vt:variant>
        <vt:lpwstr>https://www.health.vic.gov.au/wellbeing-and-participation/active-ageing</vt:lpwstr>
      </vt:variant>
      <vt:variant>
        <vt:lpwstr/>
      </vt:variant>
      <vt:variant>
        <vt:i4>6750320</vt:i4>
      </vt:variant>
      <vt:variant>
        <vt:i4>609</vt:i4>
      </vt:variant>
      <vt:variant>
        <vt:i4>0</vt:i4>
      </vt:variant>
      <vt:variant>
        <vt:i4>5</vt:i4>
      </vt:variant>
      <vt:variant>
        <vt:lpwstr>https://www.health.vic.gov.au/site-4/patient-care/older-people-in-hospital</vt:lpwstr>
      </vt:variant>
      <vt:variant>
        <vt:lpwstr/>
      </vt:variant>
      <vt:variant>
        <vt:i4>1572871</vt:i4>
      </vt:variant>
      <vt:variant>
        <vt:i4>606</vt:i4>
      </vt:variant>
      <vt:variant>
        <vt:i4>0</vt:i4>
      </vt:variant>
      <vt:variant>
        <vt:i4>5</vt:i4>
      </vt:variant>
      <vt:variant>
        <vt:lpwstr>https://www.nari.net.au/frop-com</vt:lpwstr>
      </vt:variant>
      <vt:variant>
        <vt:lpwstr/>
      </vt:variant>
      <vt:variant>
        <vt:i4>4259871</vt:i4>
      </vt:variant>
      <vt:variant>
        <vt:i4>603</vt:i4>
      </vt:variant>
      <vt:variant>
        <vt:i4>0</vt:i4>
      </vt:variant>
      <vt:variant>
        <vt:i4>5</vt:i4>
      </vt:variant>
      <vt:variant>
        <vt:lpwstr>https://www.cotavic.org.au/our-programs/strength-training/living-longer-living-stronger-providers</vt:lpwstr>
      </vt:variant>
      <vt:variant>
        <vt:lpwstr/>
      </vt:variant>
      <vt:variant>
        <vt:i4>4259871</vt:i4>
      </vt:variant>
      <vt:variant>
        <vt:i4>600</vt:i4>
      </vt:variant>
      <vt:variant>
        <vt:i4>0</vt:i4>
      </vt:variant>
      <vt:variant>
        <vt:i4>5</vt:i4>
      </vt:variant>
      <vt:variant>
        <vt:lpwstr>https://www.cotavic.org.au/our-programs/strength-training/living-longer-living-stronger-providers</vt:lpwstr>
      </vt:variant>
      <vt:variant>
        <vt:lpwstr/>
      </vt:variant>
      <vt:variant>
        <vt:i4>1376277</vt:i4>
      </vt:variant>
      <vt:variant>
        <vt:i4>597</vt:i4>
      </vt:variant>
      <vt:variant>
        <vt:i4>0</vt:i4>
      </vt:variant>
      <vt:variant>
        <vt:i4>5</vt:i4>
      </vt:variant>
      <vt:variant>
        <vt:lpwstr>https://betterhealth.vic.gov.au/health/healthyliving/falls-prevention-at-home</vt:lpwstr>
      </vt:variant>
      <vt:variant>
        <vt:lpwstr/>
      </vt:variant>
      <vt:variant>
        <vt:i4>1376323</vt:i4>
      </vt:variant>
      <vt:variant>
        <vt:i4>594</vt:i4>
      </vt:variant>
      <vt:variant>
        <vt:i4>0</vt:i4>
      </vt:variant>
      <vt:variant>
        <vt:i4>5</vt:i4>
      </vt:variant>
      <vt:variant>
        <vt:lpwstr>https://www.nari.net.au/enjoy</vt:lpwstr>
      </vt:variant>
      <vt:variant>
        <vt:lpwstr/>
      </vt:variant>
      <vt:variant>
        <vt:i4>6881314</vt:i4>
      </vt:variant>
      <vt:variant>
        <vt:i4>591</vt:i4>
      </vt:variant>
      <vt:variant>
        <vt:i4>0</vt:i4>
      </vt:variant>
      <vt:variant>
        <vt:i4>5</vt:i4>
      </vt:variant>
      <vt:variant>
        <vt:lpwstr>https://www.myagedcare.gov.au/</vt:lpwstr>
      </vt:variant>
      <vt:variant>
        <vt:lpwstr/>
      </vt:variant>
      <vt:variant>
        <vt:i4>1835087</vt:i4>
      </vt:variant>
      <vt:variant>
        <vt:i4>588</vt:i4>
      </vt:variant>
      <vt:variant>
        <vt:i4>0</vt:i4>
      </vt:variant>
      <vt:variant>
        <vt:i4>5</vt:i4>
      </vt:variant>
      <vt:variant>
        <vt:lpwstr>https://health.gov.au/resources/publications/dont-fall-for-it-falls-can-be-prevented</vt:lpwstr>
      </vt:variant>
      <vt:variant>
        <vt:lpwstr/>
      </vt:variant>
      <vt:variant>
        <vt:i4>7471142</vt:i4>
      </vt:variant>
      <vt:variant>
        <vt:i4>585</vt:i4>
      </vt:variant>
      <vt:variant>
        <vt:i4>0</vt:i4>
      </vt:variant>
      <vt:variant>
        <vt:i4>5</vt:i4>
      </vt:variant>
      <vt:variant>
        <vt:lpwstr>https://www.safeexerciseathome.org.au/</vt:lpwstr>
      </vt:variant>
      <vt:variant>
        <vt:lpwstr/>
      </vt:variant>
      <vt:variant>
        <vt:i4>1900626</vt:i4>
      </vt:variant>
      <vt:variant>
        <vt:i4>582</vt:i4>
      </vt:variant>
      <vt:variant>
        <vt:i4>0</vt:i4>
      </vt:variant>
      <vt:variant>
        <vt:i4>5</vt:i4>
      </vt:variant>
      <vt:variant>
        <vt:lpwstr>https://www.nari.net.au/victorian-falls-directory</vt:lpwstr>
      </vt:variant>
      <vt:variant>
        <vt:lpwstr/>
      </vt:variant>
      <vt:variant>
        <vt:i4>7340091</vt:i4>
      </vt:variant>
      <vt:variant>
        <vt:i4>579</vt:i4>
      </vt:variant>
      <vt:variant>
        <vt:i4>0</vt:i4>
      </vt:variant>
      <vt:variant>
        <vt:i4>5</vt:i4>
      </vt:variant>
      <vt:variant>
        <vt:lpwstr>https://www.respectvictoria.vic.gov.au/</vt:lpwstr>
      </vt:variant>
      <vt:variant>
        <vt:lpwstr/>
      </vt:variant>
      <vt:variant>
        <vt:i4>1048664</vt:i4>
      </vt:variant>
      <vt:variant>
        <vt:i4>576</vt:i4>
      </vt:variant>
      <vt:variant>
        <vt:i4>0</vt:i4>
      </vt:variant>
      <vt:variant>
        <vt:i4>5</vt:i4>
      </vt:variant>
      <vt:variant>
        <vt:lpwstr>https://www.ourwatch.org.au/</vt:lpwstr>
      </vt:variant>
      <vt:variant>
        <vt:lpwstr/>
      </vt:variant>
      <vt:variant>
        <vt:i4>262212</vt:i4>
      </vt:variant>
      <vt:variant>
        <vt:i4>573</vt:i4>
      </vt:variant>
      <vt:variant>
        <vt:i4>0</vt:i4>
      </vt:variant>
      <vt:variant>
        <vt:i4>5</vt:i4>
      </vt:variant>
      <vt:variant>
        <vt:lpwstr>https://www.health.vic.gov.au/publications/victorian-public-health-and-wellbeing-progress-report</vt:lpwstr>
      </vt:variant>
      <vt:variant>
        <vt:lpwstr/>
      </vt:variant>
      <vt:variant>
        <vt:i4>7143456</vt:i4>
      </vt:variant>
      <vt:variant>
        <vt:i4>567</vt:i4>
      </vt:variant>
      <vt:variant>
        <vt:i4>0</vt:i4>
      </vt:variant>
      <vt:variant>
        <vt:i4>5</vt:i4>
      </vt:variant>
      <vt:variant>
        <vt:lpwstr>https://www.vic.gov.au/free-violence-victorias-strategy-prevent-family-violence</vt:lpwstr>
      </vt:variant>
      <vt:variant>
        <vt:lpwstr/>
      </vt:variant>
      <vt:variant>
        <vt:i4>7143456</vt:i4>
      </vt:variant>
      <vt:variant>
        <vt:i4>564</vt:i4>
      </vt:variant>
      <vt:variant>
        <vt:i4>0</vt:i4>
      </vt:variant>
      <vt:variant>
        <vt:i4>5</vt:i4>
      </vt:variant>
      <vt:variant>
        <vt:lpwstr>https://www.vic.gov.au/free-violence-victorias-strategy-prevent-family-violence</vt:lpwstr>
      </vt:variant>
      <vt:variant>
        <vt:lpwstr/>
      </vt:variant>
      <vt:variant>
        <vt:i4>393310</vt:i4>
      </vt:variant>
      <vt:variant>
        <vt:i4>561</vt:i4>
      </vt:variant>
      <vt:variant>
        <vt:i4>0</vt:i4>
      </vt:variant>
      <vt:variant>
        <vt:i4>5</vt:i4>
      </vt:variant>
      <vt:variant>
        <vt:lpwstr>https://doi.org/10.17061/phrp3022008</vt:lpwstr>
      </vt:variant>
      <vt:variant>
        <vt:lpwstr/>
      </vt:variant>
      <vt:variant>
        <vt:i4>4849695</vt:i4>
      </vt:variant>
      <vt:variant>
        <vt:i4>558</vt:i4>
      </vt:variant>
      <vt:variant>
        <vt:i4>0</vt:i4>
      </vt:variant>
      <vt:variant>
        <vt:i4>5</vt:i4>
      </vt:variant>
      <vt:variant>
        <vt:lpwstr>https://www.aihw.gov.au/reports/burden-of-disease/abds-impact-and-causes-of-illness-and-death-in-aus/summary</vt:lpwstr>
      </vt:variant>
      <vt:variant>
        <vt:lpwstr/>
      </vt:variant>
      <vt:variant>
        <vt:i4>2621472</vt:i4>
      </vt:variant>
      <vt:variant>
        <vt:i4>555</vt:i4>
      </vt:variant>
      <vt:variant>
        <vt:i4>0</vt:i4>
      </vt:variant>
      <vt:variant>
        <vt:i4>5</vt:i4>
      </vt:variant>
      <vt:variant>
        <vt:lpwstr>https://www.abs.gov.au/statistics/people/aboriginal-and-torres-strait-islander-peoples/national-aboriginal-and-torres-strait-islander-health-survey/latest-release</vt:lpwstr>
      </vt:variant>
      <vt:variant>
        <vt:lpwstr/>
      </vt:variant>
      <vt:variant>
        <vt:i4>2621472</vt:i4>
      </vt:variant>
      <vt:variant>
        <vt:i4>552</vt:i4>
      </vt:variant>
      <vt:variant>
        <vt:i4>0</vt:i4>
      </vt:variant>
      <vt:variant>
        <vt:i4>5</vt:i4>
      </vt:variant>
      <vt:variant>
        <vt:lpwstr>https://www.abs.gov.au/statistics/people/aboriginal-and-torres-strait-islander-peoples/national-aboriginal-and-torres-strait-islander-health-survey/latest-release</vt:lpwstr>
      </vt:variant>
      <vt:variant>
        <vt:lpwstr/>
      </vt:variant>
      <vt:variant>
        <vt:i4>4653140</vt:i4>
      </vt:variant>
      <vt:variant>
        <vt:i4>549</vt:i4>
      </vt:variant>
      <vt:variant>
        <vt:i4>0</vt:i4>
      </vt:variant>
      <vt:variant>
        <vt:i4>5</vt:i4>
      </vt:variant>
      <vt:variant>
        <vt:lpwstr>https://www.abs.gov.au/statistics/health/health-conditions-and-risks/national-health-survey-first-results/latest-release</vt:lpwstr>
      </vt:variant>
      <vt:variant>
        <vt:lpwstr>mental-and-behavioural-conditions</vt:lpwstr>
      </vt:variant>
      <vt:variant>
        <vt:i4>458828</vt:i4>
      </vt:variant>
      <vt:variant>
        <vt:i4>546</vt:i4>
      </vt:variant>
      <vt:variant>
        <vt:i4>0</vt:i4>
      </vt:variant>
      <vt:variant>
        <vt:i4>5</vt:i4>
      </vt:variant>
      <vt:variant>
        <vt:lpwstr>https://www.mhfa.org.au/</vt:lpwstr>
      </vt:variant>
      <vt:variant>
        <vt:lpwstr/>
      </vt:variant>
      <vt:variant>
        <vt:i4>5636126</vt:i4>
      </vt:variant>
      <vt:variant>
        <vt:i4>543</vt:i4>
      </vt:variant>
      <vt:variant>
        <vt:i4>0</vt:i4>
      </vt:variant>
      <vt:variant>
        <vt:i4>5</vt:i4>
      </vt:variant>
      <vt:variant>
        <vt:lpwstr>https://www.betterhealth.vic.gov.au/servicesandsupport/mental-health-services</vt:lpwstr>
      </vt:variant>
      <vt:variant>
        <vt:lpwstr/>
      </vt:variant>
      <vt:variant>
        <vt:i4>4063291</vt:i4>
      </vt:variant>
      <vt:variant>
        <vt:i4>540</vt:i4>
      </vt:variant>
      <vt:variant>
        <vt:i4>0</vt:i4>
      </vt:variant>
      <vt:variant>
        <vt:i4>5</vt:i4>
      </vt:variant>
      <vt:variant>
        <vt:lpwstr>http://www.who.int/news-room/fact-sheets/detail/musculoskeletal-conditions</vt:lpwstr>
      </vt:variant>
      <vt:variant>
        <vt:lpwstr/>
      </vt:variant>
      <vt:variant>
        <vt:i4>2752552</vt:i4>
      </vt:variant>
      <vt:variant>
        <vt:i4>537</vt:i4>
      </vt:variant>
      <vt:variant>
        <vt:i4>0</vt:i4>
      </vt:variant>
      <vt:variant>
        <vt:i4>5</vt:i4>
      </vt:variant>
      <vt:variant>
        <vt:lpwstr>https://strokefoundation.org.au/about-stroke/learn/what-is-a-stroke</vt:lpwstr>
      </vt:variant>
      <vt:variant>
        <vt:lpwstr/>
      </vt:variant>
      <vt:variant>
        <vt:i4>3670063</vt:i4>
      </vt:variant>
      <vt:variant>
        <vt:i4>534</vt:i4>
      </vt:variant>
      <vt:variant>
        <vt:i4>0</vt:i4>
      </vt:variant>
      <vt:variant>
        <vt:i4>5</vt:i4>
      </vt:variant>
      <vt:variant>
        <vt:lpwstr>http://www.ncbi.nlm.nih.gov/pubmed/16398622</vt:lpwstr>
      </vt:variant>
      <vt:variant>
        <vt:lpwstr/>
      </vt:variant>
      <vt:variant>
        <vt:i4>983161</vt:i4>
      </vt:variant>
      <vt:variant>
        <vt:i4>531</vt:i4>
      </vt:variant>
      <vt:variant>
        <vt:i4>0</vt:i4>
      </vt:variant>
      <vt:variant>
        <vt:i4>5</vt:i4>
      </vt:variant>
      <vt:variant>
        <vt:lpwstr>http://medicarestatistics.humanservices.gov.au/statistics/mbs_item.jsp</vt:lpwstr>
      </vt:variant>
      <vt:variant>
        <vt:lpwstr/>
      </vt:variant>
      <vt:variant>
        <vt:i4>3473445</vt:i4>
      </vt:variant>
      <vt:variant>
        <vt:i4>528</vt:i4>
      </vt:variant>
      <vt:variant>
        <vt:i4>0</vt:i4>
      </vt:variant>
      <vt:variant>
        <vt:i4>5</vt:i4>
      </vt:variant>
      <vt:variant>
        <vt:lpwstr>https://wiki.cancer.org.au/skincancerstats/Citation:Services_Australia_2022</vt:lpwstr>
      </vt:variant>
      <vt:variant>
        <vt:lpwstr/>
      </vt:variant>
      <vt:variant>
        <vt:i4>1835020</vt:i4>
      </vt:variant>
      <vt:variant>
        <vt:i4>525</vt:i4>
      </vt:variant>
      <vt:variant>
        <vt:i4>0</vt:i4>
      </vt:variant>
      <vt:variant>
        <vt:i4>5</vt:i4>
      </vt:variant>
      <vt:variant>
        <vt:lpwstr>https://www.betterhealth.vic.gov.au/health/conditionsandtreatments/asthma</vt:lpwstr>
      </vt:variant>
      <vt:variant>
        <vt:lpwstr/>
      </vt:variant>
      <vt:variant>
        <vt:i4>5898316</vt:i4>
      </vt:variant>
      <vt:variant>
        <vt:i4>522</vt:i4>
      </vt:variant>
      <vt:variant>
        <vt:i4>0</vt:i4>
      </vt:variant>
      <vt:variant>
        <vt:i4>5</vt:i4>
      </vt:variant>
      <vt:variant>
        <vt:lpwstr>https://www.cancervic.org.au/research/vcr/fact-sheets-and-annual-reports/melanoma-factsheet.html</vt:lpwstr>
      </vt:variant>
      <vt:variant>
        <vt:lpwstr/>
      </vt:variant>
      <vt:variant>
        <vt:i4>983061</vt:i4>
      </vt:variant>
      <vt:variant>
        <vt:i4>519</vt:i4>
      </vt:variant>
      <vt:variant>
        <vt:i4>0</vt:i4>
      </vt:variant>
      <vt:variant>
        <vt:i4>5</vt:i4>
      </vt:variant>
      <vt:variant>
        <vt:lpwstr>https://www.cancervic.org.au/downloads/cec/cancer-in-vic/Cancer-in-Victoria-2019.pdf</vt:lpwstr>
      </vt:variant>
      <vt:variant>
        <vt:lpwstr/>
      </vt:variant>
      <vt:variant>
        <vt:i4>6357068</vt:i4>
      </vt:variant>
      <vt:variant>
        <vt:i4>516</vt:i4>
      </vt:variant>
      <vt:variant>
        <vt:i4>0</vt:i4>
      </vt:variant>
      <vt:variant>
        <vt:i4>5</vt:i4>
      </vt:variant>
      <vt:variant>
        <vt:lpwstr>https://ses.library.usyd.edu.au/bitstream/2123/15482/5/9781743325162_ONLINE.pdf</vt:lpwstr>
      </vt:variant>
      <vt:variant>
        <vt:lpwstr/>
      </vt:variant>
      <vt:variant>
        <vt:i4>7471143</vt:i4>
      </vt:variant>
      <vt:variant>
        <vt:i4>513</vt:i4>
      </vt:variant>
      <vt:variant>
        <vt:i4>0</vt:i4>
      </vt:variant>
      <vt:variant>
        <vt:i4>5</vt:i4>
      </vt:variant>
      <vt:variant>
        <vt:lpwstr>https://wiki.cancer.org.au/skincancerstats/Citation:Britt_H,_Miller_GC,_Bayram_C,_Henderson_J,_Valenti_L,_Harrison_C,_Pan_Y,_Charles_J,_Pollack_AJ,_Chambers_T,_Gordon_J,_Wong_C._2016</vt:lpwstr>
      </vt:variant>
      <vt:variant>
        <vt:lpwstr/>
      </vt:variant>
      <vt:variant>
        <vt:i4>6357035</vt:i4>
      </vt:variant>
      <vt:variant>
        <vt:i4>510</vt:i4>
      </vt:variant>
      <vt:variant>
        <vt:i4>0</vt:i4>
      </vt:variant>
      <vt:variant>
        <vt:i4>5</vt:i4>
      </vt:variant>
      <vt:variant>
        <vt:lpwstr>https://www.aihw.gov.au/getmedia/0ea708eb-dd6e-4499-9080-1cc7b5990e64/aihw-can-144.pdf.aspx?inline=true</vt:lpwstr>
      </vt:variant>
      <vt:variant>
        <vt:lpwstr/>
      </vt:variant>
      <vt:variant>
        <vt:i4>6357035</vt:i4>
      </vt:variant>
      <vt:variant>
        <vt:i4>507</vt:i4>
      </vt:variant>
      <vt:variant>
        <vt:i4>0</vt:i4>
      </vt:variant>
      <vt:variant>
        <vt:i4>5</vt:i4>
      </vt:variant>
      <vt:variant>
        <vt:lpwstr>https://www.aihw.gov.au/getmedia/0ea708eb-dd6e-4499-9080-1cc7b5990e64/aihw-can-144.pdf.aspx?inline=true</vt:lpwstr>
      </vt:variant>
      <vt:variant>
        <vt:lpwstr/>
      </vt:variant>
      <vt:variant>
        <vt:i4>7143463</vt:i4>
      </vt:variant>
      <vt:variant>
        <vt:i4>504</vt:i4>
      </vt:variant>
      <vt:variant>
        <vt:i4>0</vt:i4>
      </vt:variant>
      <vt:variant>
        <vt:i4>5</vt:i4>
      </vt:variant>
      <vt:variant>
        <vt:lpwstr>https://www.aihw.gov.au/getmedia/6bff10f3-3ec8-43d7-a967-55c5168da174/aihw-can-142.pdf.aspx?inline=true</vt:lpwstr>
      </vt:variant>
      <vt:variant>
        <vt:lpwstr/>
      </vt:variant>
      <vt:variant>
        <vt:i4>655448</vt:i4>
      </vt:variant>
      <vt:variant>
        <vt:i4>498</vt:i4>
      </vt:variant>
      <vt:variant>
        <vt:i4>0</vt:i4>
      </vt:variant>
      <vt:variant>
        <vt:i4>5</vt:i4>
      </vt:variant>
      <vt:variant>
        <vt:lpwstr>https://www.aihw.gov.au/reports/heart-stroke-vascular-diseases/hsvd-facts</vt:lpwstr>
      </vt:variant>
      <vt:variant>
        <vt:lpwstr/>
      </vt:variant>
      <vt:variant>
        <vt:i4>3670124</vt:i4>
      </vt:variant>
      <vt:variant>
        <vt:i4>495</vt:i4>
      </vt:variant>
      <vt:variant>
        <vt:i4>0</vt:i4>
      </vt:variant>
      <vt:variant>
        <vt:i4>5</vt:i4>
      </vt:variant>
      <vt:variant>
        <vt:lpwstr>https://www.health.vic.gov.au/immunisation/immunisation-schedule-victoria-and-vaccine-eligibility-criteria.</vt:lpwstr>
      </vt:variant>
      <vt:variant>
        <vt:lpwstr/>
      </vt:variant>
      <vt:variant>
        <vt:i4>1769497</vt:i4>
      </vt:variant>
      <vt:variant>
        <vt:i4>492</vt:i4>
      </vt:variant>
      <vt:variant>
        <vt:i4>0</vt:i4>
      </vt:variant>
      <vt:variant>
        <vt:i4>5</vt:i4>
      </vt:variant>
      <vt:variant>
        <vt:lpwstr>https://federalfinancialrelations.gov.au/sites/federalfinancialrelations.gov.au/files/2021-01/essential_vaccines_np.pdf</vt:lpwstr>
      </vt:variant>
      <vt:variant>
        <vt:lpwstr/>
      </vt:variant>
      <vt:variant>
        <vt:i4>6357054</vt:i4>
      </vt:variant>
      <vt:variant>
        <vt:i4>489</vt:i4>
      </vt:variant>
      <vt:variant>
        <vt:i4>0</vt:i4>
      </vt:variant>
      <vt:variant>
        <vt:i4>5</vt:i4>
      </vt:variant>
      <vt:variant>
        <vt:lpwstr>https://www.mcri.edu.au/research/research-areas/infection-and-immunity/saefvic</vt:lpwstr>
      </vt:variant>
      <vt:variant>
        <vt:lpwstr/>
      </vt:variant>
      <vt:variant>
        <vt:i4>2883633</vt:i4>
      </vt:variant>
      <vt:variant>
        <vt:i4>486</vt:i4>
      </vt:variant>
      <vt:variant>
        <vt:i4>0</vt:i4>
      </vt:variant>
      <vt:variant>
        <vt:i4>5</vt:i4>
      </vt:variant>
      <vt:variant>
        <vt:lpwstr>https://www.health.gov.au/health-topics/immunisation/childhood-immunisation-coverage/historical-coverage-data-tables-for-all-children.</vt:lpwstr>
      </vt:variant>
      <vt:variant>
        <vt:lpwstr/>
      </vt:variant>
      <vt:variant>
        <vt:i4>7667813</vt:i4>
      </vt:variant>
      <vt:variant>
        <vt:i4>483</vt:i4>
      </vt:variant>
      <vt:variant>
        <vt:i4>0</vt:i4>
      </vt:variant>
      <vt:variant>
        <vt:i4>5</vt:i4>
      </vt:variant>
      <vt:variant>
        <vt:lpwstr>https://www.health.gov.au/resources/publications/national-immunisation-strategy-for-australia-2019-to-2024.</vt:lpwstr>
      </vt:variant>
      <vt:variant>
        <vt:lpwstr/>
      </vt:variant>
      <vt:variant>
        <vt:i4>655459</vt:i4>
      </vt:variant>
      <vt:variant>
        <vt:i4>480</vt:i4>
      </vt:variant>
      <vt:variant>
        <vt:i4>0</vt:i4>
      </vt:variant>
      <vt:variant>
        <vt:i4>5</vt:i4>
      </vt:variant>
      <vt:variant>
        <vt:lpwstr>https://www.who.int/health-topics/syphilis</vt:lpwstr>
      </vt:variant>
      <vt:variant>
        <vt:lpwstr>tab=tab_1</vt:lpwstr>
      </vt:variant>
      <vt:variant>
        <vt:i4>3670109</vt:i4>
      </vt:variant>
      <vt:variant>
        <vt:i4>477</vt:i4>
      </vt:variant>
      <vt:variant>
        <vt:i4>0</vt:i4>
      </vt:variant>
      <vt:variant>
        <vt:i4>5</vt:i4>
      </vt:variant>
      <vt:variant>
        <vt:lpwstr>https://www.who.int/health-topics/neglected-tropical-diseases</vt:lpwstr>
      </vt:variant>
      <vt:variant>
        <vt:lpwstr>tab=tab_1</vt:lpwstr>
      </vt:variant>
      <vt:variant>
        <vt:i4>6226043</vt:i4>
      </vt:variant>
      <vt:variant>
        <vt:i4>474</vt:i4>
      </vt:variant>
      <vt:variant>
        <vt:i4>0</vt:i4>
      </vt:variant>
      <vt:variant>
        <vt:i4>5</vt:i4>
      </vt:variant>
      <vt:variant>
        <vt:lpwstr>https://cdn.who.int/media/docs/default-source/antimicrobial-resistance/iacg-amr-national-action-plans-110618.pdf?sfvrsn=53e4eb22_4</vt:lpwstr>
      </vt:variant>
      <vt:variant>
        <vt:lpwstr>:~:text=In%202015%2C%20the%20WHA%20adopted%20the%20Global%20Action,action%20plan%20%28NAP%29%20aligned%20with%20the%20GAP%20objectives</vt:lpwstr>
      </vt:variant>
      <vt:variant>
        <vt:i4>589880</vt:i4>
      </vt:variant>
      <vt:variant>
        <vt:i4>471</vt:i4>
      </vt:variant>
      <vt:variant>
        <vt:i4>0</vt:i4>
      </vt:variant>
      <vt:variant>
        <vt:i4>5</vt:i4>
      </vt:variant>
      <vt:variant>
        <vt:lpwstr>https://www.who.int/health-topics/buruli-ulcer</vt:lpwstr>
      </vt:variant>
      <vt:variant>
        <vt:lpwstr>tab=tab_1</vt:lpwstr>
      </vt:variant>
      <vt:variant>
        <vt:i4>3080213</vt:i4>
      </vt:variant>
      <vt:variant>
        <vt:i4>468</vt:i4>
      </vt:variant>
      <vt:variant>
        <vt:i4>0</vt:i4>
      </vt:variant>
      <vt:variant>
        <vt:i4>5</vt:i4>
      </vt:variant>
      <vt:variant>
        <vt:lpwstr>https://www.oecd-ilibrary.org/social-issues-migration-health/stemming-the-superbug-tide_9789264307599-en</vt:lpwstr>
      </vt:variant>
      <vt:variant>
        <vt:lpwstr/>
      </vt:variant>
      <vt:variant>
        <vt:i4>589910</vt:i4>
      </vt:variant>
      <vt:variant>
        <vt:i4>465</vt:i4>
      </vt:variant>
      <vt:variant>
        <vt:i4>0</vt:i4>
      </vt:variant>
      <vt:variant>
        <vt:i4>5</vt:i4>
      </vt:variant>
      <vt:variant>
        <vt:lpwstr>https://amr-review.org/Publications.html</vt:lpwstr>
      </vt:variant>
      <vt:variant>
        <vt:lpwstr/>
      </vt:variant>
      <vt:variant>
        <vt:i4>983044</vt:i4>
      </vt:variant>
      <vt:variant>
        <vt:i4>462</vt:i4>
      </vt:variant>
      <vt:variant>
        <vt:i4>0</vt:i4>
      </vt:variant>
      <vt:variant>
        <vt:i4>5</vt:i4>
      </vt:variant>
      <vt:variant>
        <vt:lpwstr>https://aspren.dmac.adelaide.edu.au/</vt:lpwstr>
      </vt:variant>
      <vt:variant>
        <vt:lpwstr/>
      </vt:variant>
      <vt:variant>
        <vt:i4>655424</vt:i4>
      </vt:variant>
      <vt:variant>
        <vt:i4>459</vt:i4>
      </vt:variant>
      <vt:variant>
        <vt:i4>0</vt:i4>
      </vt:variant>
      <vt:variant>
        <vt:i4>5</vt:i4>
      </vt:variant>
      <vt:variant>
        <vt:lpwstr>https://www.health.vic.gov.au/infectious-diseases/interactive-infectious-disease-reports</vt:lpwstr>
      </vt:variant>
      <vt:variant>
        <vt:lpwstr/>
      </vt:variant>
      <vt:variant>
        <vt:i4>5046288</vt:i4>
      </vt:variant>
      <vt:variant>
        <vt:i4>456</vt:i4>
      </vt:variant>
      <vt:variant>
        <vt:i4>0</vt:i4>
      </vt:variant>
      <vt:variant>
        <vt:i4>5</vt:i4>
      </vt:variant>
      <vt:variant>
        <vt:lpwstr>https://www.health.vic.gov.au/infectious-diseases/beating-buruli-in-victoria</vt:lpwstr>
      </vt:variant>
      <vt:variant>
        <vt:lpwstr/>
      </vt:variant>
      <vt:variant>
        <vt:i4>6619171</vt:i4>
      </vt:variant>
      <vt:variant>
        <vt:i4>453</vt:i4>
      </vt:variant>
      <vt:variant>
        <vt:i4>0</vt:i4>
      </vt:variant>
      <vt:variant>
        <vt:i4>5</vt:i4>
      </vt:variant>
      <vt:variant>
        <vt:lpwstr>https://doi.org/10.3390/ijerph19095528</vt:lpwstr>
      </vt:variant>
      <vt:variant>
        <vt:lpwstr/>
      </vt:variant>
      <vt:variant>
        <vt:i4>7012453</vt:i4>
      </vt:variant>
      <vt:variant>
        <vt:i4>450</vt:i4>
      </vt:variant>
      <vt:variant>
        <vt:i4>0</vt:i4>
      </vt:variant>
      <vt:variant>
        <vt:i4>5</vt:i4>
      </vt:variant>
      <vt:variant>
        <vt:lpwstr>https://www.premier.vic.gov.au/expanding-mental-health-support-to-victorian-students-0</vt:lpwstr>
      </vt:variant>
      <vt:variant>
        <vt:lpwstr/>
      </vt:variant>
      <vt:variant>
        <vt:i4>2031681</vt:i4>
      </vt:variant>
      <vt:variant>
        <vt:i4>447</vt:i4>
      </vt:variant>
      <vt:variant>
        <vt:i4>0</vt:i4>
      </vt:variant>
      <vt:variant>
        <vt:i4>5</vt:i4>
      </vt:variant>
      <vt:variant>
        <vt:lpwstr>https://www.accc.gov.au/publications/keeping-baby-safe-a-guide-to-infant-and-nursery-products</vt:lpwstr>
      </vt:variant>
      <vt:variant>
        <vt:lpwstr/>
      </vt:variant>
      <vt:variant>
        <vt:i4>983061</vt:i4>
      </vt:variant>
      <vt:variant>
        <vt:i4>444</vt:i4>
      </vt:variant>
      <vt:variant>
        <vt:i4>0</vt:i4>
      </vt:variant>
      <vt:variant>
        <vt:i4>5</vt:i4>
      </vt:variant>
      <vt:variant>
        <vt:lpwstr>http://www.betterhealth.vic.gov.au/health/healthyliving/babies-and-safety</vt:lpwstr>
      </vt:variant>
      <vt:variant>
        <vt:lpwstr/>
      </vt:variant>
      <vt:variant>
        <vt:i4>983061</vt:i4>
      </vt:variant>
      <vt:variant>
        <vt:i4>441</vt:i4>
      </vt:variant>
      <vt:variant>
        <vt:i4>0</vt:i4>
      </vt:variant>
      <vt:variant>
        <vt:i4>5</vt:i4>
      </vt:variant>
      <vt:variant>
        <vt:lpwstr>http://www.betterhealth.vic.gov.au/health/healthyliving/babies-and-safety</vt:lpwstr>
      </vt:variant>
      <vt:variant>
        <vt:lpwstr/>
      </vt:variant>
      <vt:variant>
        <vt:i4>4653061</vt:i4>
      </vt:variant>
      <vt:variant>
        <vt:i4>438</vt:i4>
      </vt:variant>
      <vt:variant>
        <vt:i4>0</vt:i4>
      </vt:variant>
      <vt:variant>
        <vt:i4>5</vt:i4>
      </vt:variant>
      <vt:variant>
        <vt:lpwstr>https://www.health.vic.gov.au/maternal-child-health/aboriginal-maternal-and-child-health-aboriginal-led-mch-services</vt:lpwstr>
      </vt:variant>
      <vt:variant>
        <vt:lpwstr/>
      </vt:variant>
      <vt:variant>
        <vt:i4>6160456</vt:i4>
      </vt:variant>
      <vt:variant>
        <vt:i4>435</vt:i4>
      </vt:variant>
      <vt:variant>
        <vt:i4>0</vt:i4>
      </vt:variant>
      <vt:variant>
        <vt:i4>5</vt:i4>
      </vt:variant>
      <vt:variant>
        <vt:lpwstr>https://www.health.vic.gov.au/patient-care/aboriginal-maternity-services</vt:lpwstr>
      </vt:variant>
      <vt:variant>
        <vt:lpwstr/>
      </vt:variant>
      <vt:variant>
        <vt:i4>8061043</vt:i4>
      </vt:variant>
      <vt:variant>
        <vt:i4>432</vt:i4>
      </vt:variant>
      <vt:variant>
        <vt:i4>0</vt:i4>
      </vt:variant>
      <vt:variant>
        <vt:i4>5</vt:i4>
      </vt:variant>
      <vt:variant>
        <vt:lpwstr>https://www.betterhealth.vic.gov.au/health/healthyliving/breastfeeding</vt:lpwstr>
      </vt:variant>
      <vt:variant>
        <vt:lpwstr/>
      </vt:variant>
      <vt:variant>
        <vt:i4>7929962</vt:i4>
      </vt:variant>
      <vt:variant>
        <vt:i4>429</vt:i4>
      </vt:variant>
      <vt:variant>
        <vt:i4>0</vt:i4>
      </vt:variant>
      <vt:variant>
        <vt:i4>5</vt:i4>
      </vt:variant>
      <vt:variant>
        <vt:lpwstr>https://www.betterhealth.vic.gov.au/health/HealthyLiving/pregnancy-and-smoking</vt:lpwstr>
      </vt:variant>
      <vt:variant>
        <vt:lpwstr/>
      </vt:variant>
      <vt:variant>
        <vt:i4>524298</vt:i4>
      </vt:variant>
      <vt:variant>
        <vt:i4>426</vt:i4>
      </vt:variant>
      <vt:variant>
        <vt:i4>0</vt:i4>
      </vt:variant>
      <vt:variant>
        <vt:i4>5</vt:i4>
      </vt:variant>
      <vt:variant>
        <vt:lpwstr>https://vahi.vic.gov.au/report/population-health/victorian-population-health-survey-2019-summary-results</vt:lpwstr>
      </vt:variant>
      <vt:variant>
        <vt:lpwstr/>
      </vt:variant>
      <vt:variant>
        <vt:i4>1048586</vt:i4>
      </vt:variant>
      <vt:variant>
        <vt:i4>423</vt:i4>
      </vt:variant>
      <vt:variant>
        <vt:i4>0</vt:i4>
      </vt:variant>
      <vt:variant>
        <vt:i4>5</vt:i4>
      </vt:variant>
      <vt:variant>
        <vt:lpwstr>https://foodandmoodcentre.com.au/2018/04/diet-and-nutrition-infographic/</vt:lpwstr>
      </vt:variant>
      <vt:variant>
        <vt:lpwstr/>
      </vt:variant>
      <vt:variant>
        <vt:i4>8126526</vt:i4>
      </vt:variant>
      <vt:variant>
        <vt:i4>420</vt:i4>
      </vt:variant>
      <vt:variant>
        <vt:i4>0</vt:i4>
      </vt:variant>
      <vt:variant>
        <vt:i4>5</vt:i4>
      </vt:variant>
      <vt:variant>
        <vt:lpwstr>https://www.betterhealth.vic.gov.au/health/healthyliving/exercise-and-mental-health</vt:lpwstr>
      </vt:variant>
      <vt:variant>
        <vt:lpwstr/>
      </vt:variant>
      <vt:variant>
        <vt:i4>3014766</vt:i4>
      </vt:variant>
      <vt:variant>
        <vt:i4>417</vt:i4>
      </vt:variant>
      <vt:variant>
        <vt:i4>0</vt:i4>
      </vt:variant>
      <vt:variant>
        <vt:i4>5</vt:i4>
      </vt:variant>
      <vt:variant>
        <vt:lpwstr>http://www.health.vic.gov.au/population-health-systems/victorian-population-health-survey-2017</vt:lpwstr>
      </vt:variant>
      <vt:variant>
        <vt:lpwstr/>
      </vt:variant>
      <vt:variant>
        <vt:i4>7143482</vt:i4>
      </vt:variant>
      <vt:variant>
        <vt:i4>414</vt:i4>
      </vt:variant>
      <vt:variant>
        <vt:i4>0</vt:i4>
      </vt:variant>
      <vt:variant>
        <vt:i4>5</vt:i4>
      </vt:variant>
      <vt:variant>
        <vt:lpwstr>https://www.health.gov.au/health-topics/physical-activity-and-exercise/about-physical-activity-and-exercise</vt:lpwstr>
      </vt:variant>
      <vt:variant>
        <vt:lpwstr/>
      </vt:variant>
      <vt:variant>
        <vt:i4>2031628</vt:i4>
      </vt:variant>
      <vt:variant>
        <vt:i4>411</vt:i4>
      </vt:variant>
      <vt:variant>
        <vt:i4>0</vt:i4>
      </vt:variant>
      <vt:variant>
        <vt:i4>5</vt:i4>
      </vt:variant>
      <vt:variant>
        <vt:lpwstr>https://www.health.gov.au/resources/publications/24-hour-movement-guidelines-children-and-young-people-5-to-17-years-brochure</vt:lpwstr>
      </vt:variant>
      <vt:variant>
        <vt:lpwstr/>
      </vt:variant>
      <vt:variant>
        <vt:i4>3538994</vt:i4>
      </vt:variant>
      <vt:variant>
        <vt:i4>408</vt:i4>
      </vt:variant>
      <vt:variant>
        <vt:i4>0</vt:i4>
      </vt:variant>
      <vt:variant>
        <vt:i4>5</vt:i4>
      </vt:variant>
      <vt:variant>
        <vt:lpwstr>https://www.health.gov.au/resources/publications/24-hour-movement-guidelines-birth-to-5-years-brochure</vt:lpwstr>
      </vt:variant>
      <vt:variant>
        <vt:lpwstr/>
      </vt:variant>
      <vt:variant>
        <vt:i4>6094923</vt:i4>
      </vt:variant>
      <vt:variant>
        <vt:i4>405</vt:i4>
      </vt:variant>
      <vt:variant>
        <vt:i4>0</vt:i4>
      </vt:variant>
      <vt:variant>
        <vt:i4>5</vt:i4>
      </vt:variant>
      <vt:variant>
        <vt:lpwstr>https://www.health.gov.au/health-topics/physical-activity-and-exercise/physical-activity-and-exercise-guidelines-for-all-australians</vt:lpwstr>
      </vt:variant>
      <vt:variant>
        <vt:lpwstr/>
      </vt:variant>
      <vt:variant>
        <vt:i4>3539059</vt:i4>
      </vt:variant>
      <vt:variant>
        <vt:i4>402</vt:i4>
      </vt:variant>
      <vt:variant>
        <vt:i4>0</vt:i4>
      </vt:variant>
      <vt:variant>
        <vt:i4>5</vt:i4>
      </vt:variant>
      <vt:variant>
        <vt:lpwstr>https://www.abs.gov.au/statistics/people/aboriginal-and-torres-strait-islander-peoples/national-aboriginal-and-torres-strait-islander-health-survey/latest-release</vt:lpwstr>
      </vt:variant>
      <vt:variant>
        <vt:lpwstr>data-download</vt:lpwstr>
      </vt:variant>
      <vt:variant>
        <vt:i4>1900565</vt:i4>
      </vt:variant>
      <vt:variant>
        <vt:i4>399</vt:i4>
      </vt:variant>
      <vt:variant>
        <vt:i4>0</vt:i4>
      </vt:variant>
      <vt:variant>
        <vt:i4>5</vt:i4>
      </vt:variant>
      <vt:variant>
        <vt:lpwstr>http://www.abs.gov.au/statistics/health/health-conditions-and-risks/dietary-behaviour/2017-18</vt:lpwstr>
      </vt:variant>
      <vt:variant>
        <vt:lpwstr>state-and-territory-findings</vt:lpwstr>
      </vt:variant>
      <vt:variant>
        <vt:i4>983135</vt:i4>
      </vt:variant>
      <vt:variant>
        <vt:i4>396</vt:i4>
      </vt:variant>
      <vt:variant>
        <vt:i4>0</vt:i4>
      </vt:variant>
      <vt:variant>
        <vt:i4>5</vt:i4>
      </vt:variant>
      <vt:variant>
        <vt:lpwstr>https://www.quit.org.au/</vt:lpwstr>
      </vt:variant>
      <vt:variant>
        <vt:lpwstr/>
      </vt:variant>
      <vt:variant>
        <vt:i4>6357027</vt:i4>
      </vt:variant>
      <vt:variant>
        <vt:i4>393</vt:i4>
      </vt:variant>
      <vt:variant>
        <vt:i4>0</vt:i4>
      </vt:variant>
      <vt:variant>
        <vt:i4>5</vt:i4>
      </vt:variant>
      <vt:variant>
        <vt:lpwstr>https://www.quit.org.au/resources/resources-communities-and-places/e-cigarettes-and-vaping/</vt:lpwstr>
      </vt:variant>
      <vt:variant>
        <vt:lpwstr/>
      </vt:variant>
      <vt:variant>
        <vt:i4>1441888</vt:i4>
      </vt:variant>
      <vt:variant>
        <vt:i4>390</vt:i4>
      </vt:variant>
      <vt:variant>
        <vt:i4>0</vt:i4>
      </vt:variant>
      <vt:variant>
        <vt:i4>5</vt:i4>
      </vt:variant>
      <vt:variant>
        <vt:lpwstr>https://www.cdc.gov/tobacco/basic_information/e-cigarettes/severe-lung-disease.html</vt:lpwstr>
      </vt:variant>
      <vt:variant>
        <vt:lpwstr/>
      </vt:variant>
      <vt:variant>
        <vt:i4>6357027</vt:i4>
      </vt:variant>
      <vt:variant>
        <vt:i4>387</vt:i4>
      </vt:variant>
      <vt:variant>
        <vt:i4>0</vt:i4>
      </vt:variant>
      <vt:variant>
        <vt:i4>5</vt:i4>
      </vt:variant>
      <vt:variant>
        <vt:lpwstr>https://www.quit.org.au/resources/resources-communities-and-places/e-cigarettes-and-vaping/</vt:lpwstr>
      </vt:variant>
      <vt:variant>
        <vt:lpwstr/>
      </vt:variant>
      <vt:variant>
        <vt:i4>8060996</vt:i4>
      </vt:variant>
      <vt:variant>
        <vt:i4>384</vt:i4>
      </vt:variant>
      <vt:variant>
        <vt:i4>0</vt:i4>
      </vt:variant>
      <vt:variant>
        <vt:i4>5</vt:i4>
      </vt:variant>
      <vt:variant>
        <vt:lpwstr>https://www.rch.org.au/kidsinfo/fact_sheets/E-cigarettes_and_teens/</vt:lpwstr>
      </vt:variant>
      <vt:variant>
        <vt:lpwstr/>
      </vt:variant>
      <vt:variant>
        <vt:i4>7536758</vt:i4>
      </vt:variant>
      <vt:variant>
        <vt:i4>380</vt:i4>
      </vt:variant>
      <vt:variant>
        <vt:i4>0</vt:i4>
      </vt:variant>
      <vt:variant>
        <vt:i4>5</vt:i4>
      </vt:variant>
      <vt:variant>
        <vt:lpwstr>https://adf.org.au/talking-about-drugs/parenting/vaping-youth/talking-about-vaping/</vt:lpwstr>
      </vt:variant>
      <vt:variant>
        <vt:lpwstr/>
      </vt:variant>
      <vt:variant>
        <vt:i4>7536758</vt:i4>
      </vt:variant>
      <vt:variant>
        <vt:i4>378</vt:i4>
      </vt:variant>
      <vt:variant>
        <vt:i4>0</vt:i4>
      </vt:variant>
      <vt:variant>
        <vt:i4>5</vt:i4>
      </vt:variant>
      <vt:variant>
        <vt:lpwstr>https://adf.org.au/talking-about-drugs/parenting/vaping-youth/talking-about-vaping/</vt:lpwstr>
      </vt:variant>
      <vt:variant>
        <vt:lpwstr/>
      </vt:variant>
      <vt:variant>
        <vt:i4>79</vt:i4>
      </vt:variant>
      <vt:variant>
        <vt:i4>375</vt:i4>
      </vt:variant>
      <vt:variant>
        <vt:i4>0</vt:i4>
      </vt:variant>
      <vt:variant>
        <vt:i4>5</vt:i4>
      </vt:variant>
      <vt:variant>
        <vt:lpwstr>https://www.betterhealth.vic.gov.au/health/healthyliving/e-cigarettes</vt:lpwstr>
      </vt:variant>
      <vt:variant>
        <vt:lpwstr/>
      </vt:variant>
      <vt:variant>
        <vt:i4>5308434</vt:i4>
      </vt:variant>
      <vt:variant>
        <vt:i4>372</vt:i4>
      </vt:variant>
      <vt:variant>
        <vt:i4>0</vt:i4>
      </vt:variant>
      <vt:variant>
        <vt:i4>5</vt:i4>
      </vt:variant>
      <vt:variant>
        <vt:lpwstr>https://www.betterhealth.vic.gov.au/healthyliving/smoking-and-tobacco</vt:lpwstr>
      </vt:variant>
      <vt:variant>
        <vt:lpwstr/>
      </vt:variant>
      <vt:variant>
        <vt:i4>8126562</vt:i4>
      </vt:variant>
      <vt:variant>
        <vt:i4>369</vt:i4>
      </vt:variant>
      <vt:variant>
        <vt:i4>0</vt:i4>
      </vt:variant>
      <vt:variant>
        <vt:i4>5</vt:i4>
      </vt:variant>
      <vt:variant>
        <vt:lpwstr>https://www.tobaccoinaustralia.org.au/home.aspx</vt:lpwstr>
      </vt:variant>
      <vt:variant>
        <vt:lpwstr/>
      </vt:variant>
      <vt:variant>
        <vt:i4>524298</vt:i4>
      </vt:variant>
      <vt:variant>
        <vt:i4>366</vt:i4>
      </vt:variant>
      <vt:variant>
        <vt:i4>0</vt:i4>
      </vt:variant>
      <vt:variant>
        <vt:i4>5</vt:i4>
      </vt:variant>
      <vt:variant>
        <vt:lpwstr>https://vahi.vic.gov.au/report/population-health/victorian-population-health-survey-2019-summary-results</vt:lpwstr>
      </vt:variant>
      <vt:variant>
        <vt:lpwstr/>
      </vt:variant>
      <vt:variant>
        <vt:i4>7077931</vt:i4>
      </vt:variant>
      <vt:variant>
        <vt:i4>363</vt:i4>
      </vt:variant>
      <vt:variant>
        <vt:i4>0</vt:i4>
      </vt:variant>
      <vt:variant>
        <vt:i4>5</vt:i4>
      </vt:variant>
      <vt:variant>
        <vt:lpwstr>https://www.health.vic.gov.au/public-health/tobacco-reforms</vt:lpwstr>
      </vt:variant>
      <vt:variant>
        <vt:lpwstr/>
      </vt:variant>
      <vt:variant>
        <vt:i4>30</vt:i4>
      </vt:variant>
      <vt:variant>
        <vt:i4>360</vt:i4>
      </vt:variant>
      <vt:variant>
        <vt:i4>0</vt:i4>
      </vt:variant>
      <vt:variant>
        <vt:i4>5</vt:i4>
      </vt:variant>
      <vt:variant>
        <vt:lpwstr>https://www.health.vic.gov.au/health-strategies/increasing-active-living</vt:lpwstr>
      </vt:variant>
      <vt:variant>
        <vt:lpwstr/>
      </vt:variant>
      <vt:variant>
        <vt:i4>14</vt:i4>
      </vt:variant>
      <vt:variant>
        <vt:i4>357</vt:i4>
      </vt:variant>
      <vt:variant>
        <vt:i4>0</vt:i4>
      </vt:variant>
      <vt:variant>
        <vt:i4>5</vt:i4>
      </vt:variant>
      <vt:variant>
        <vt:lpwstr>https://dhhsvicgovau.sharepoint.com/sites/RHPEMStrategicProjectsandRegulatoryPolicy-DHHS-GRP-StrategicProjects/Shared Documents/Strategic Projects/2019 CHO report/Healthy eating webpage</vt:lpwstr>
      </vt:variant>
      <vt:variant>
        <vt:lpwstr/>
      </vt:variant>
      <vt:variant>
        <vt:i4>7667773</vt:i4>
      </vt:variant>
      <vt:variant>
        <vt:i4>354</vt:i4>
      </vt:variant>
      <vt:variant>
        <vt:i4>0</vt:i4>
      </vt:variant>
      <vt:variant>
        <vt:i4>5</vt:i4>
      </vt:variant>
      <vt:variant>
        <vt:lpwstr>https://www.vichealth.vic.gov.au/media-and-resources/publications/obesity-consensus</vt:lpwstr>
      </vt:variant>
      <vt:variant>
        <vt:lpwstr/>
      </vt:variant>
      <vt:variant>
        <vt:i4>6684774</vt:i4>
      </vt:variant>
      <vt:variant>
        <vt:i4>351</vt:i4>
      </vt:variant>
      <vt:variant>
        <vt:i4>0</vt:i4>
      </vt:variant>
      <vt:variant>
        <vt:i4>5</vt:i4>
      </vt:variant>
      <vt:variant>
        <vt:lpwstr>https://www.vichealth.vic.gov.au/our-work/local-government-partnership</vt:lpwstr>
      </vt:variant>
      <vt:variant>
        <vt:lpwstr/>
      </vt:variant>
      <vt:variant>
        <vt:i4>1769557</vt:i4>
      </vt:variant>
      <vt:variant>
        <vt:i4>348</vt:i4>
      </vt:variant>
      <vt:variant>
        <vt:i4>0</vt:i4>
      </vt:variant>
      <vt:variant>
        <vt:i4>5</vt:i4>
      </vt:variant>
      <vt:variant>
        <vt:lpwstr>https://www.health.vic.gov.au/health-strategies/healthy-kids-healthy-futures</vt:lpwstr>
      </vt:variant>
      <vt:variant>
        <vt:lpwstr/>
      </vt:variant>
      <vt:variant>
        <vt:i4>4980828</vt:i4>
      </vt:variant>
      <vt:variant>
        <vt:i4>345</vt:i4>
      </vt:variant>
      <vt:variant>
        <vt:i4>0</vt:i4>
      </vt:variant>
      <vt:variant>
        <vt:i4>5</vt:i4>
      </vt:variant>
      <vt:variant>
        <vt:lpwstr>https://www.vaccho.org.au/member-services/workforce-development-2/nutrition/</vt:lpwstr>
      </vt:variant>
      <vt:variant>
        <vt:lpwstr/>
      </vt:variant>
      <vt:variant>
        <vt:i4>1507334</vt:i4>
      </vt:variant>
      <vt:variant>
        <vt:i4>342</vt:i4>
      </vt:variant>
      <vt:variant>
        <vt:i4>0</vt:i4>
      </vt:variant>
      <vt:variant>
        <vt:i4>5</vt:i4>
      </vt:variant>
      <vt:variant>
        <vt:lpwstr>https://www.achievementprogram.health.vic.gov.au/</vt:lpwstr>
      </vt:variant>
      <vt:variant>
        <vt:lpwstr/>
      </vt:variant>
      <vt:variant>
        <vt:i4>2556003</vt:i4>
      </vt:variant>
      <vt:variant>
        <vt:i4>339</vt:i4>
      </vt:variant>
      <vt:variant>
        <vt:i4>0</vt:i4>
      </vt:variant>
      <vt:variant>
        <vt:i4>5</vt:i4>
      </vt:variant>
      <vt:variant>
        <vt:lpwstr>https://heas.health.vic.gov.au/</vt:lpwstr>
      </vt:variant>
      <vt:variant>
        <vt:lpwstr/>
      </vt:variant>
      <vt:variant>
        <vt:i4>8323125</vt:i4>
      </vt:variant>
      <vt:variant>
        <vt:i4>336</vt:i4>
      </vt:variant>
      <vt:variant>
        <vt:i4>0</vt:i4>
      </vt:variant>
      <vt:variant>
        <vt:i4>5</vt:i4>
      </vt:variant>
      <vt:variant>
        <vt:lpwstr>https://www.health.vic.gov.au/preventive-health/healthy-choices</vt:lpwstr>
      </vt:variant>
      <vt:variant>
        <vt:lpwstr/>
      </vt:variant>
      <vt:variant>
        <vt:i4>3473441</vt:i4>
      </vt:variant>
      <vt:variant>
        <vt:i4>333</vt:i4>
      </vt:variant>
      <vt:variant>
        <vt:i4>0</vt:i4>
      </vt:variant>
      <vt:variant>
        <vt:i4>5</vt:i4>
      </vt:variant>
      <vt:variant>
        <vt:lpwstr>https://www.health.vic.gov.au/publications/kilojoule-labelling-scheme-victoria</vt:lpwstr>
      </vt:variant>
      <vt:variant>
        <vt:lpwstr/>
      </vt:variant>
      <vt:variant>
        <vt:i4>8323125</vt:i4>
      </vt:variant>
      <vt:variant>
        <vt:i4>330</vt:i4>
      </vt:variant>
      <vt:variant>
        <vt:i4>0</vt:i4>
      </vt:variant>
      <vt:variant>
        <vt:i4>5</vt:i4>
      </vt:variant>
      <vt:variant>
        <vt:lpwstr>https://www.health.vic.gov.au/preventive-health/healthy-choices</vt:lpwstr>
      </vt:variant>
      <vt:variant>
        <vt:lpwstr/>
      </vt:variant>
      <vt:variant>
        <vt:i4>6488126</vt:i4>
      </vt:variant>
      <vt:variant>
        <vt:i4>327</vt:i4>
      </vt:variant>
      <vt:variant>
        <vt:i4>0</vt:i4>
      </vt:variant>
      <vt:variant>
        <vt:i4>5</vt:i4>
      </vt:variant>
      <vt:variant>
        <vt:lpwstr>https://www.eatforhealth.gov.au/guidelines</vt:lpwstr>
      </vt:variant>
      <vt:variant>
        <vt:lpwstr/>
      </vt:variant>
      <vt:variant>
        <vt:i4>5046285</vt:i4>
      </vt:variant>
      <vt:variant>
        <vt:i4>324</vt:i4>
      </vt:variant>
      <vt:variant>
        <vt:i4>0</vt:i4>
      </vt:variant>
      <vt:variant>
        <vt:i4>5</vt:i4>
      </vt:variant>
      <vt:variant>
        <vt:lpwstr>https://www.health.vic.gov.au/chief-health-officer/overweight-and-obesity</vt:lpwstr>
      </vt:variant>
      <vt:variant>
        <vt:lpwstr/>
      </vt:variant>
      <vt:variant>
        <vt:i4>4456526</vt:i4>
      </vt:variant>
      <vt:variant>
        <vt:i4>321</vt:i4>
      </vt:variant>
      <vt:variant>
        <vt:i4>0</vt:i4>
      </vt:variant>
      <vt:variant>
        <vt:i4>5</vt:i4>
      </vt:variant>
      <vt:variant>
        <vt:lpwstr>https://aodstats.org.au/explore-data/treatment-services-vadc/</vt:lpwstr>
      </vt:variant>
      <vt:variant>
        <vt:lpwstr/>
      </vt:variant>
      <vt:variant>
        <vt:i4>8126507</vt:i4>
      </vt:variant>
      <vt:variant>
        <vt:i4>318</vt:i4>
      </vt:variant>
      <vt:variant>
        <vt:i4>0</vt:i4>
      </vt:variant>
      <vt:variant>
        <vt:i4>5</vt:i4>
      </vt:variant>
      <vt:variant>
        <vt:lpwstr>https://aodstats.org.au/explore-data/ambulance-attendances/</vt:lpwstr>
      </vt:variant>
      <vt:variant>
        <vt:lpwstr/>
      </vt:variant>
      <vt:variant>
        <vt:i4>5636108</vt:i4>
      </vt:variant>
      <vt:variant>
        <vt:i4>315</vt:i4>
      </vt:variant>
      <vt:variant>
        <vt:i4>0</vt:i4>
      </vt:variant>
      <vt:variant>
        <vt:i4>5</vt:i4>
      </vt:variant>
      <vt:variant>
        <vt:lpwstr>https://aodstats.org.au/explore-data/family-violence/</vt:lpwstr>
      </vt:variant>
      <vt:variant>
        <vt:lpwstr/>
      </vt:variant>
      <vt:variant>
        <vt:i4>4456468</vt:i4>
      </vt:variant>
      <vt:variant>
        <vt:i4>312</vt:i4>
      </vt:variant>
      <vt:variant>
        <vt:i4>0</vt:i4>
      </vt:variant>
      <vt:variant>
        <vt:i4>5</vt:i4>
      </vt:variant>
      <vt:variant>
        <vt:lpwstr>https://www.aihw.gov.au/reports/alcohol/alcohol-tobacco-other-drugs-australia/contents/about</vt:lpwstr>
      </vt:variant>
      <vt:variant>
        <vt:lpwstr/>
      </vt:variant>
      <vt:variant>
        <vt:i4>2883710</vt:i4>
      </vt:variant>
      <vt:variant>
        <vt:i4>309</vt:i4>
      </vt:variant>
      <vt:variant>
        <vt:i4>0</vt:i4>
      </vt:variant>
      <vt:variant>
        <vt:i4>5</vt:i4>
      </vt:variant>
      <vt:variant>
        <vt:lpwstr>https://www.aihw.gov.au/reports/burden-of-disease/australian-bod-study-2018-key-findings-indigenous</vt:lpwstr>
      </vt:variant>
      <vt:variant>
        <vt:lpwstr/>
      </vt:variant>
      <vt:variant>
        <vt:i4>262152</vt:i4>
      </vt:variant>
      <vt:variant>
        <vt:i4>306</vt:i4>
      </vt:variant>
      <vt:variant>
        <vt:i4>0</vt:i4>
      </vt:variant>
      <vt:variant>
        <vt:i4>5</vt:i4>
      </vt:variant>
      <vt:variant>
        <vt:lpwstr>https://www.aihw.gov.au/reports/burden-of-disease/abds-2018-interactive-data-risk-factors</vt:lpwstr>
      </vt:variant>
      <vt:variant>
        <vt:lpwstr/>
      </vt:variant>
      <vt:variant>
        <vt:i4>2359410</vt:i4>
      </vt:variant>
      <vt:variant>
        <vt:i4>303</vt:i4>
      </vt:variant>
      <vt:variant>
        <vt:i4>0</vt:i4>
      </vt:variant>
      <vt:variant>
        <vt:i4>5</vt:i4>
      </vt:variant>
      <vt:variant>
        <vt:lpwstr>https://www.aihw.gov.au/getmedia/77dbea6e-f071-495c-b71e-3a632237269d/aihw-phe-270.pdf.aspx?inline=true</vt:lpwstr>
      </vt:variant>
      <vt:variant>
        <vt:lpwstr/>
      </vt:variant>
      <vt:variant>
        <vt:i4>3211386</vt:i4>
      </vt:variant>
      <vt:variant>
        <vt:i4>300</vt:i4>
      </vt:variant>
      <vt:variant>
        <vt:i4>0</vt:i4>
      </vt:variant>
      <vt:variant>
        <vt:i4>5</vt:i4>
      </vt:variant>
      <vt:variant>
        <vt:lpwstr>https://www.aihw.gov.au/getmedia/8c9fcf52-0055-41a0-96d9-f81b0feb98cf/aihw-can-123.pdf.aspx?inline=true</vt:lpwstr>
      </vt:variant>
      <vt:variant>
        <vt:lpwstr/>
      </vt:variant>
      <vt:variant>
        <vt:i4>1835101</vt:i4>
      </vt:variant>
      <vt:variant>
        <vt:i4>297</vt:i4>
      </vt:variant>
      <vt:variant>
        <vt:i4>0</vt:i4>
      </vt:variant>
      <vt:variant>
        <vt:i4>5</vt:i4>
      </vt:variant>
      <vt:variant>
        <vt:lpwstr>https://www.abs.gov.au/statistics/health/causes-death/causes-death-australia/2019</vt:lpwstr>
      </vt:variant>
      <vt:variant>
        <vt:lpwstr>:~:text=Media%20releases-,Key%20statistics,was%2012.9%20per%20100%2C000%20people.</vt:lpwstr>
      </vt:variant>
      <vt:variant>
        <vt:i4>4980757</vt:i4>
      </vt:variant>
      <vt:variant>
        <vt:i4>294</vt:i4>
      </vt:variant>
      <vt:variant>
        <vt:i4>0</vt:i4>
      </vt:variant>
      <vt:variant>
        <vt:i4>5</vt:i4>
      </vt:variant>
      <vt:variant>
        <vt:lpwstr>https://wiki.cancer.org.au/policy/Alcohol/Impact:_Alcohol_and_cancer</vt:lpwstr>
      </vt:variant>
      <vt:variant>
        <vt:lpwstr>_ga=2.153393851.2034685423.1555048939-1873530676.1555048939</vt:lpwstr>
      </vt:variant>
      <vt:variant>
        <vt:i4>589830</vt:i4>
      </vt:variant>
      <vt:variant>
        <vt:i4>291</vt:i4>
      </vt:variant>
      <vt:variant>
        <vt:i4>0</vt:i4>
      </vt:variant>
      <vt:variant>
        <vt:i4>5</vt:i4>
      </vt:variant>
      <vt:variant>
        <vt:lpwstr>https://www.health.vic.gov.au/alcohol-and-drugs/alcohol-and-other-drug-treatment-services</vt:lpwstr>
      </vt:variant>
      <vt:variant>
        <vt:lpwstr/>
      </vt:variant>
      <vt:variant>
        <vt:i4>7667773</vt:i4>
      </vt:variant>
      <vt:variant>
        <vt:i4>288</vt:i4>
      </vt:variant>
      <vt:variant>
        <vt:i4>0</vt:i4>
      </vt:variant>
      <vt:variant>
        <vt:i4>5</vt:i4>
      </vt:variant>
      <vt:variant>
        <vt:lpwstr>https://www.vichealth.vic.gov.au/media-and-resources/publications/obesity-consensus</vt:lpwstr>
      </vt:variant>
      <vt:variant>
        <vt:lpwstr/>
      </vt:variant>
      <vt:variant>
        <vt:i4>30</vt:i4>
      </vt:variant>
      <vt:variant>
        <vt:i4>285</vt:i4>
      </vt:variant>
      <vt:variant>
        <vt:i4>0</vt:i4>
      </vt:variant>
      <vt:variant>
        <vt:i4>5</vt:i4>
      </vt:variant>
      <vt:variant>
        <vt:lpwstr>https://www.health.vic.gov.au/health-strategies/increasing-active-living</vt:lpwstr>
      </vt:variant>
      <vt:variant>
        <vt:lpwstr/>
      </vt:variant>
      <vt:variant>
        <vt:i4>6160456</vt:i4>
      </vt:variant>
      <vt:variant>
        <vt:i4>282</vt:i4>
      </vt:variant>
      <vt:variant>
        <vt:i4>0</vt:i4>
      </vt:variant>
      <vt:variant>
        <vt:i4>5</vt:i4>
      </vt:variant>
      <vt:variant>
        <vt:lpwstr>https://www.abs.gov.au/methodologies/causes-death-australia-methodology/2019</vt:lpwstr>
      </vt:variant>
      <vt:variant>
        <vt:lpwstr/>
      </vt:variant>
      <vt:variant>
        <vt:i4>3211312</vt:i4>
      </vt:variant>
      <vt:variant>
        <vt:i4>279</vt:i4>
      </vt:variant>
      <vt:variant>
        <vt:i4>0</vt:i4>
      </vt:variant>
      <vt:variant>
        <vt:i4>5</vt:i4>
      </vt:variant>
      <vt:variant>
        <vt:lpwstr>https://www.abs.gov.au/statistics/health/causes-death/causes-death-australia/2019</vt:lpwstr>
      </vt:variant>
      <vt:variant>
        <vt:lpwstr>key-statistics</vt:lpwstr>
      </vt:variant>
      <vt:variant>
        <vt:i4>8126507</vt:i4>
      </vt:variant>
      <vt:variant>
        <vt:i4>273</vt:i4>
      </vt:variant>
      <vt:variant>
        <vt:i4>0</vt:i4>
      </vt:variant>
      <vt:variant>
        <vt:i4>5</vt:i4>
      </vt:variant>
      <vt:variant>
        <vt:lpwstr>https://www.health.vic.gov.au/publications/victorian-public-health-and-wellbeing-plan-2019-2023</vt:lpwstr>
      </vt:variant>
      <vt:variant>
        <vt:lpwstr/>
      </vt:variant>
      <vt:variant>
        <vt:i4>1638405</vt:i4>
      </vt:variant>
      <vt:variant>
        <vt:i4>270</vt:i4>
      </vt:variant>
      <vt:variant>
        <vt:i4>0</vt:i4>
      </vt:variant>
      <vt:variant>
        <vt:i4>5</vt:i4>
      </vt:variant>
      <vt:variant>
        <vt:lpwstr>https://www.firstpeoplesrelations.vic.gov.au/victorian-government-aboriginal-affairs-report-2021/health-and-wellbeing</vt:lpwstr>
      </vt:variant>
      <vt:variant>
        <vt:lpwstr/>
      </vt:variant>
      <vt:variant>
        <vt:i4>393251</vt:i4>
      </vt:variant>
      <vt:variant>
        <vt:i4>267</vt:i4>
      </vt:variant>
      <vt:variant>
        <vt:i4>0</vt:i4>
      </vt:variant>
      <vt:variant>
        <vt:i4>5</vt:i4>
      </vt:variant>
      <vt:variant>
        <vt:lpwstr>C:\Users\vidxgsm\Downloads\Victorian Government Aboriginal Affairs Report 2019_0.pdf</vt:lpwstr>
      </vt:variant>
      <vt:variant>
        <vt:lpwstr/>
      </vt:variant>
      <vt:variant>
        <vt:i4>7405614</vt:i4>
      </vt:variant>
      <vt:variant>
        <vt:i4>264</vt:i4>
      </vt:variant>
      <vt:variant>
        <vt:i4>0</vt:i4>
      </vt:variant>
      <vt:variant>
        <vt:i4>5</vt:i4>
      </vt:variant>
      <vt:variant>
        <vt:lpwstr>http://www.vichealth.vic.gov.au/media-and-resources/publications/the-vichealth-framework-for-health-equity</vt:lpwstr>
      </vt:variant>
      <vt:variant>
        <vt:lpwstr/>
      </vt:variant>
      <vt:variant>
        <vt:i4>5111847</vt:i4>
      </vt:variant>
      <vt:variant>
        <vt:i4>261</vt:i4>
      </vt:variant>
      <vt:variant>
        <vt:i4>0</vt:i4>
      </vt:variant>
      <vt:variant>
        <vt:i4>5</vt:i4>
      </vt:variant>
      <vt:variant>
        <vt:lpwstr>https://www.familymatters.org.au/wp-content/uploads/2020/11/FamilyMattersReport2020_LR.pdf</vt:lpwstr>
      </vt:variant>
      <vt:variant>
        <vt:lpwstr/>
      </vt:variant>
      <vt:variant>
        <vt:i4>1310810</vt:i4>
      </vt:variant>
      <vt:variant>
        <vt:i4>258</vt:i4>
      </vt:variant>
      <vt:variant>
        <vt:i4>0</vt:i4>
      </vt:variant>
      <vt:variant>
        <vt:i4>5</vt:i4>
      </vt:variant>
      <vt:variant>
        <vt:lpwstr>https://www.health.vic.gov.au/populations/refugee-and-asylum-seeker-health-and-wellbeing</vt:lpwstr>
      </vt:variant>
      <vt:variant>
        <vt:lpwstr/>
      </vt:variant>
      <vt:variant>
        <vt:i4>5636161</vt:i4>
      </vt:variant>
      <vt:variant>
        <vt:i4>255</vt:i4>
      </vt:variant>
      <vt:variant>
        <vt:i4>0</vt:i4>
      </vt:variant>
      <vt:variant>
        <vt:i4>5</vt:i4>
      </vt:variant>
      <vt:variant>
        <vt:lpwstr>https://www.health.vic.gov.au/health-strategies/korin-korin-balit-djak-aboriginal-health-wellbeing-and-safety-strategic-plan-2017</vt:lpwstr>
      </vt:variant>
      <vt:variant>
        <vt:lpwstr/>
      </vt:variant>
      <vt:variant>
        <vt:i4>7667747</vt:i4>
      </vt:variant>
      <vt:variant>
        <vt:i4>252</vt:i4>
      </vt:variant>
      <vt:variant>
        <vt:i4>0</vt:i4>
      </vt:variant>
      <vt:variant>
        <vt:i4>5</vt:i4>
      </vt:variant>
      <vt:variant>
        <vt:lpwstr>https://www.dhhs.vic.gov.au/sites/default/files/documents/201710/Balit-Murrup-Aboriginal-social-and-emotional-wellbeing-framework-2017-2027.pdf</vt:lpwstr>
      </vt:variant>
      <vt:variant>
        <vt:lpwstr/>
      </vt:variant>
      <vt:variant>
        <vt:i4>1114192</vt:i4>
      </vt:variant>
      <vt:variant>
        <vt:i4>249</vt:i4>
      </vt:variant>
      <vt:variant>
        <vt:i4>0</vt:i4>
      </vt:variant>
      <vt:variant>
        <vt:i4>5</vt:i4>
      </vt:variant>
      <vt:variant>
        <vt:lpwstr>https://www.health.vic.gov.au/populations/understanding-lgbtiq-health</vt:lpwstr>
      </vt:variant>
      <vt:variant>
        <vt:lpwstr/>
      </vt:variant>
      <vt:variant>
        <vt:i4>1310810</vt:i4>
      </vt:variant>
      <vt:variant>
        <vt:i4>246</vt:i4>
      </vt:variant>
      <vt:variant>
        <vt:i4>0</vt:i4>
      </vt:variant>
      <vt:variant>
        <vt:i4>5</vt:i4>
      </vt:variant>
      <vt:variant>
        <vt:lpwstr>https://www.health.vic.gov.au/populations/refugee-and-asylum-seeker-health-and-wellbeing</vt:lpwstr>
      </vt:variant>
      <vt:variant>
        <vt:lpwstr/>
      </vt:variant>
      <vt:variant>
        <vt:i4>3539043</vt:i4>
      </vt:variant>
      <vt:variant>
        <vt:i4>243</vt:i4>
      </vt:variant>
      <vt:variant>
        <vt:i4>0</vt:i4>
      </vt:variant>
      <vt:variant>
        <vt:i4>5</vt:i4>
      </vt:variant>
      <vt:variant>
        <vt:lpwstr>https://www.vichealth.vic.gov.au/media-and-resources/publications/the-vichealth-framework-for-health-equity</vt:lpwstr>
      </vt:variant>
      <vt:variant>
        <vt:lpwstr/>
      </vt:variant>
      <vt:variant>
        <vt:i4>4325383</vt:i4>
      </vt:variant>
      <vt:variant>
        <vt:i4>240</vt:i4>
      </vt:variant>
      <vt:variant>
        <vt:i4>0</vt:i4>
      </vt:variant>
      <vt:variant>
        <vt:i4>5</vt:i4>
      </vt:variant>
      <vt:variant>
        <vt:lpwstr>https://www.vichealth.vic.gov.au/-/media/ResourceCentre/PublicationsandResources/Health-Inequalities/The-VicHealth-Health-Equity-Strategy-2017-19.pdf?la=en&amp;hash=DE7A49041CDF9AA2E0E6524A3E80A45F29182524</vt:lpwstr>
      </vt:variant>
      <vt:variant>
        <vt:lpwstr/>
      </vt:variant>
      <vt:variant>
        <vt:i4>393251</vt:i4>
      </vt:variant>
      <vt:variant>
        <vt:i4>237</vt:i4>
      </vt:variant>
      <vt:variant>
        <vt:i4>0</vt:i4>
      </vt:variant>
      <vt:variant>
        <vt:i4>5</vt:i4>
      </vt:variant>
      <vt:variant>
        <vt:lpwstr>C:\Users\vidxgsm\Downloads\Victorian Government Aboriginal Affairs Report 2019_0.pdf</vt:lpwstr>
      </vt:variant>
      <vt:variant>
        <vt:lpwstr/>
      </vt:variant>
      <vt:variant>
        <vt:i4>393238</vt:i4>
      </vt:variant>
      <vt:variant>
        <vt:i4>234</vt:i4>
      </vt:variant>
      <vt:variant>
        <vt:i4>0</vt:i4>
      </vt:variant>
      <vt:variant>
        <vt:i4>5</vt:i4>
      </vt:variant>
      <vt:variant>
        <vt:lpwstr>https://www.vic.gov.au/discover-victorias-diverse-population</vt:lpwstr>
      </vt:variant>
      <vt:variant>
        <vt:lpwstr/>
      </vt:variant>
      <vt:variant>
        <vt:i4>393238</vt:i4>
      </vt:variant>
      <vt:variant>
        <vt:i4>231</vt:i4>
      </vt:variant>
      <vt:variant>
        <vt:i4>0</vt:i4>
      </vt:variant>
      <vt:variant>
        <vt:i4>5</vt:i4>
      </vt:variant>
      <vt:variant>
        <vt:lpwstr>https://www.vic.gov.au/discover-victorias-diverse-population</vt:lpwstr>
      </vt:variant>
      <vt:variant>
        <vt:lpwstr/>
      </vt:variant>
      <vt:variant>
        <vt:i4>786525</vt:i4>
      </vt:variant>
      <vt:variant>
        <vt:i4>225</vt:i4>
      </vt:variant>
      <vt:variant>
        <vt:i4>0</vt:i4>
      </vt:variant>
      <vt:variant>
        <vt:i4>5</vt:i4>
      </vt:variant>
      <vt:variant>
        <vt:lpwstr>https://www.health.vic.gov.au/publications/delivering-for-diversity-cultural-diversity-plan-2016-2019</vt:lpwstr>
      </vt:variant>
      <vt:variant>
        <vt:lpwstr/>
      </vt:variant>
      <vt:variant>
        <vt:i4>5373969</vt:i4>
      </vt:variant>
      <vt:variant>
        <vt:i4>219</vt:i4>
      </vt:variant>
      <vt:variant>
        <vt:i4>0</vt:i4>
      </vt:variant>
      <vt:variant>
        <vt:i4>5</vt:i4>
      </vt:variant>
      <vt:variant>
        <vt:lpwstr>https://www.health.vic.gov.au/health-strategies/aboriginal-health</vt:lpwstr>
      </vt:variant>
      <vt:variant>
        <vt:lpwstr/>
      </vt:variant>
      <vt:variant>
        <vt:i4>3473524</vt:i4>
      </vt:variant>
      <vt:variant>
        <vt:i4>216</vt:i4>
      </vt:variant>
      <vt:variant>
        <vt:i4>0</vt:i4>
      </vt:variant>
      <vt:variant>
        <vt:i4>5</vt:i4>
      </vt:variant>
      <vt:variant>
        <vt:lpwstr>C:\Users\vidxgsm\Downloads\self-determination-scoping-paper.pdf</vt:lpwstr>
      </vt:variant>
      <vt:variant>
        <vt:lpwstr/>
      </vt:variant>
      <vt:variant>
        <vt:i4>3473471</vt:i4>
      </vt:variant>
      <vt:variant>
        <vt:i4>210</vt:i4>
      </vt:variant>
      <vt:variant>
        <vt:i4>0</vt:i4>
      </vt:variant>
      <vt:variant>
        <vt:i4>5</vt:i4>
      </vt:variant>
      <vt:variant>
        <vt:lpwstr>https://www.health.vic.gov.au/infectious-diseases/aboriginal-and-torres-strait-islander-summary-state-wide-victoria</vt:lpwstr>
      </vt:variant>
      <vt:variant>
        <vt:lpwstr/>
      </vt:variant>
      <vt:variant>
        <vt:i4>6750307</vt:i4>
      </vt:variant>
      <vt:variant>
        <vt:i4>207</vt:i4>
      </vt:variant>
      <vt:variant>
        <vt:i4>0</vt:i4>
      </vt:variant>
      <vt:variant>
        <vt:i4>5</vt:i4>
      </vt:variant>
      <vt:variant>
        <vt:lpwstr>https://www.health.vic.gov.au/food-safety/food-safety-laws-and-regulations</vt:lpwstr>
      </vt:variant>
      <vt:variant>
        <vt:lpwstr/>
      </vt:variant>
      <vt:variant>
        <vt:i4>8323189</vt:i4>
      </vt:variant>
      <vt:variant>
        <vt:i4>204</vt:i4>
      </vt:variant>
      <vt:variant>
        <vt:i4>0</vt:i4>
      </vt:variant>
      <vt:variant>
        <vt:i4>5</vt:i4>
      </vt:variant>
      <vt:variant>
        <vt:lpwstr>https://www.health.vic.gov.au/publications/food-surveillance-2018-2019</vt:lpwstr>
      </vt:variant>
      <vt:variant>
        <vt:lpwstr/>
      </vt:variant>
      <vt:variant>
        <vt:i4>1441882</vt:i4>
      </vt:variant>
      <vt:variant>
        <vt:i4>201</vt:i4>
      </vt:variant>
      <vt:variant>
        <vt:i4>0</vt:i4>
      </vt:variant>
      <vt:variant>
        <vt:i4>5</vt:i4>
      </vt:variant>
      <vt:variant>
        <vt:lpwstr>https://www.health.vic.gov.au/water/drinking-water-quality-annual-reports</vt:lpwstr>
      </vt:variant>
      <vt:variant>
        <vt:lpwstr/>
      </vt:variant>
      <vt:variant>
        <vt:i4>3604524</vt:i4>
      </vt:variant>
      <vt:variant>
        <vt:i4>198</vt:i4>
      </vt:variant>
      <vt:variant>
        <vt:i4>0</vt:i4>
      </vt:variant>
      <vt:variant>
        <vt:i4>5</vt:i4>
      </vt:variant>
      <vt:variant>
        <vt:lpwstr>https://www.health.vic.gov.au/legislation/public-health-and-wellbeing-act-2008</vt:lpwstr>
      </vt:variant>
      <vt:variant>
        <vt:lpwstr/>
      </vt:variant>
      <vt:variant>
        <vt:i4>1966150</vt:i4>
      </vt:variant>
      <vt:variant>
        <vt:i4>195</vt:i4>
      </vt:variant>
      <vt:variant>
        <vt:i4>0</vt:i4>
      </vt:variant>
      <vt:variant>
        <vt:i4>5</vt:i4>
      </vt:variant>
      <vt:variant>
        <vt:lpwstr>https://www.yourhome.gov.au/live-adapt/indoor-air-quality</vt:lpwstr>
      </vt:variant>
      <vt:variant>
        <vt:lpwstr/>
      </vt:variant>
      <vt:variant>
        <vt:i4>2293801</vt:i4>
      </vt:variant>
      <vt:variant>
        <vt:i4>192</vt:i4>
      </vt:variant>
      <vt:variant>
        <vt:i4>0</vt:i4>
      </vt:variant>
      <vt:variant>
        <vt:i4>5</vt:i4>
      </vt:variant>
      <vt:variant>
        <vt:lpwstr>https://www.health.vic.gov.au/legislation/public-health-and-wellbeing-regulations-2019</vt:lpwstr>
      </vt:variant>
      <vt:variant>
        <vt:lpwstr/>
      </vt:variant>
      <vt:variant>
        <vt:i4>6684729</vt:i4>
      </vt:variant>
      <vt:variant>
        <vt:i4>189</vt:i4>
      </vt:variant>
      <vt:variant>
        <vt:i4>0</vt:i4>
      </vt:variant>
      <vt:variant>
        <vt:i4>5</vt:i4>
      </vt:variant>
      <vt:variant>
        <vt:lpwstr>https://www.health.vic.gov.au/infectious-diseases/exclusion-periods-for-primary-schools-and-childrens-services</vt:lpwstr>
      </vt:variant>
      <vt:variant>
        <vt:lpwstr/>
      </vt:variant>
      <vt:variant>
        <vt:i4>2687010</vt:i4>
      </vt:variant>
      <vt:variant>
        <vt:i4>186</vt:i4>
      </vt:variant>
      <vt:variant>
        <vt:i4>0</vt:i4>
      </vt:variant>
      <vt:variant>
        <vt:i4>5</vt:i4>
      </vt:variant>
      <vt:variant>
        <vt:lpwstr>https://www.health.vic.gov.au/infectious-diseases/notifiable-infectious-diseases-conditions-and-micro-organisms</vt:lpwstr>
      </vt:variant>
      <vt:variant>
        <vt:lpwstr/>
      </vt:variant>
      <vt:variant>
        <vt:i4>786440</vt:i4>
      </vt:variant>
      <vt:variant>
        <vt:i4>183</vt:i4>
      </vt:variant>
      <vt:variant>
        <vt:i4>0</vt:i4>
      </vt:variant>
      <vt:variant>
        <vt:i4>5</vt:i4>
      </vt:variant>
      <vt:variant>
        <vt:lpwstr>https://www.health.vic.gov.au/environmental-health/pesticide-use-and-pest-control</vt:lpwstr>
      </vt:variant>
      <vt:variant>
        <vt:lpwstr/>
      </vt:variant>
      <vt:variant>
        <vt:i4>1179726</vt:i4>
      </vt:variant>
      <vt:variant>
        <vt:i4>180</vt:i4>
      </vt:variant>
      <vt:variant>
        <vt:i4>0</vt:i4>
      </vt:variant>
      <vt:variant>
        <vt:i4>5</vt:i4>
      </vt:variant>
      <vt:variant>
        <vt:lpwstr>https://www.health.vic.gov.au/water/legionella-and-water-delivery-systems</vt:lpwstr>
      </vt:variant>
      <vt:variant>
        <vt:lpwstr/>
      </vt:variant>
      <vt:variant>
        <vt:i4>5177351</vt:i4>
      </vt:variant>
      <vt:variant>
        <vt:i4>177</vt:i4>
      </vt:variant>
      <vt:variant>
        <vt:i4>0</vt:i4>
      </vt:variant>
      <vt:variant>
        <vt:i4>5</vt:i4>
      </vt:variant>
      <vt:variant>
        <vt:lpwstr>https://www.health.vic.gov.au/water/cooling-tower-systems</vt:lpwstr>
      </vt:variant>
      <vt:variant>
        <vt:lpwstr/>
      </vt:variant>
      <vt:variant>
        <vt:i4>6750314</vt:i4>
      </vt:variant>
      <vt:variant>
        <vt:i4>174</vt:i4>
      </vt:variant>
      <vt:variant>
        <vt:i4>0</vt:i4>
      </vt:variant>
      <vt:variant>
        <vt:i4>5</vt:i4>
      </vt:variant>
      <vt:variant>
        <vt:lpwstr>https://www.health.vic.gov.au/water/aquatic-facilities</vt:lpwstr>
      </vt:variant>
      <vt:variant>
        <vt:lpwstr/>
      </vt:variant>
      <vt:variant>
        <vt:i4>7274597</vt:i4>
      </vt:variant>
      <vt:variant>
        <vt:i4>171</vt:i4>
      </vt:variant>
      <vt:variant>
        <vt:i4>0</vt:i4>
      </vt:variant>
      <vt:variant>
        <vt:i4>5</vt:i4>
      </vt:variant>
      <vt:variant>
        <vt:lpwstr>https://www.health.vic.gov.au/infectious-diseases/hair-beauty-tattooing-and-skin-penetration-industries</vt:lpwstr>
      </vt:variant>
      <vt:variant>
        <vt:lpwstr/>
      </vt:variant>
      <vt:variant>
        <vt:i4>5308485</vt:i4>
      </vt:variant>
      <vt:variant>
        <vt:i4>168</vt:i4>
      </vt:variant>
      <vt:variant>
        <vt:i4>0</vt:i4>
      </vt:variant>
      <vt:variant>
        <vt:i4>5</vt:i4>
      </vt:variant>
      <vt:variant>
        <vt:lpwstr>https://www.health.vic.gov.au/infectious-diseases/vector-borne-infectious-disease-control</vt:lpwstr>
      </vt:variant>
      <vt:variant>
        <vt:lpwstr/>
      </vt:variant>
      <vt:variant>
        <vt:i4>4784219</vt:i4>
      </vt:variant>
      <vt:variant>
        <vt:i4>165</vt:i4>
      </vt:variant>
      <vt:variant>
        <vt:i4>0</vt:i4>
      </vt:variant>
      <vt:variant>
        <vt:i4>5</vt:i4>
      </vt:variant>
      <vt:variant>
        <vt:lpwstr>https://www.health.vic.gov.au/environmental-health/epidemic-thunderstorm-asthma-risk-forecast</vt:lpwstr>
      </vt:variant>
      <vt:variant>
        <vt:lpwstr/>
      </vt:variant>
      <vt:variant>
        <vt:i4>6094931</vt:i4>
      </vt:variant>
      <vt:variant>
        <vt:i4>162</vt:i4>
      </vt:variant>
      <vt:variant>
        <vt:i4>0</vt:i4>
      </vt:variant>
      <vt:variant>
        <vt:i4>5</vt:i4>
      </vt:variant>
      <vt:variant>
        <vt:lpwstr>https://www.health.vic.gov.au/environmental-health/epidemic-thunderstorm-asthma-campaign-toolkit</vt:lpwstr>
      </vt:variant>
      <vt:variant>
        <vt:lpwstr/>
      </vt:variant>
      <vt:variant>
        <vt:i4>5439567</vt:i4>
      </vt:variant>
      <vt:variant>
        <vt:i4>159</vt:i4>
      </vt:variant>
      <vt:variant>
        <vt:i4>0</vt:i4>
      </vt:variant>
      <vt:variant>
        <vt:i4>5</vt:i4>
      </vt:variant>
      <vt:variant>
        <vt:lpwstr>https://www.betterhealth.vic.gov.au/campaigns/thunderstorm-asthma</vt:lpwstr>
      </vt:variant>
      <vt:variant>
        <vt:lpwstr/>
      </vt:variant>
      <vt:variant>
        <vt:i4>4456470</vt:i4>
      </vt:variant>
      <vt:variant>
        <vt:i4>156</vt:i4>
      </vt:variant>
      <vt:variant>
        <vt:i4>0</vt:i4>
      </vt:variant>
      <vt:variant>
        <vt:i4>5</vt:i4>
      </vt:variant>
      <vt:variant>
        <vt:lpwstr>https://www.health.vic.gov.au/publications/heat-health-plan-for-victoria</vt:lpwstr>
      </vt:variant>
      <vt:variant>
        <vt:lpwstr/>
      </vt:variant>
      <vt:variant>
        <vt:i4>7274600</vt:i4>
      </vt:variant>
      <vt:variant>
        <vt:i4>153</vt:i4>
      </vt:variant>
      <vt:variant>
        <vt:i4>0</vt:i4>
      </vt:variant>
      <vt:variant>
        <vt:i4>5</vt:i4>
      </vt:variant>
      <vt:variant>
        <vt:lpwstr>https://www.betterhealth.vic.gov.au/health/healthyliving/how-to-cope-and-stay-safe-in-extreme-heat</vt:lpwstr>
      </vt:variant>
      <vt:variant>
        <vt:lpwstr/>
      </vt:variant>
      <vt:variant>
        <vt:i4>5767177</vt:i4>
      </vt:variant>
      <vt:variant>
        <vt:i4>150</vt:i4>
      </vt:variant>
      <vt:variant>
        <vt:i4>0</vt:i4>
      </vt:variant>
      <vt:variant>
        <vt:i4>5</vt:i4>
      </vt:variant>
      <vt:variant>
        <vt:lpwstr>https://www.betterhealth.vic.gov.au/health/healthyliving/heat-stress-and-heat-related-illness</vt:lpwstr>
      </vt:variant>
      <vt:variant>
        <vt:lpwstr/>
      </vt:variant>
      <vt:variant>
        <vt:i4>1114138</vt:i4>
      </vt:variant>
      <vt:variant>
        <vt:i4>147</vt:i4>
      </vt:variant>
      <vt:variant>
        <vt:i4>0</vt:i4>
      </vt:variant>
      <vt:variant>
        <vt:i4>5</vt:i4>
      </vt:variant>
      <vt:variant>
        <vt:lpwstr>https://www.betterhealth.vic.gov.au/heat</vt:lpwstr>
      </vt:variant>
      <vt:variant>
        <vt:lpwstr/>
      </vt:variant>
      <vt:variant>
        <vt:i4>6619169</vt:i4>
      </vt:variant>
      <vt:variant>
        <vt:i4>144</vt:i4>
      </vt:variant>
      <vt:variant>
        <vt:i4>0</vt:i4>
      </vt:variant>
      <vt:variant>
        <vt:i4>5</vt:i4>
      </vt:variant>
      <vt:variant>
        <vt:lpwstr>https://www.epa.vic.gov.au/</vt:lpwstr>
      </vt:variant>
      <vt:variant>
        <vt:lpwstr/>
      </vt:variant>
      <vt:variant>
        <vt:i4>4063355</vt:i4>
      </vt:variant>
      <vt:variant>
        <vt:i4>141</vt:i4>
      </vt:variant>
      <vt:variant>
        <vt:i4>0</vt:i4>
      </vt:variant>
      <vt:variant>
        <vt:i4>5</vt:i4>
      </vt:variant>
      <vt:variant>
        <vt:lpwstr>https://www.environment.vic.gov.au/sustainability/clean-air-for-all-victorians</vt:lpwstr>
      </vt:variant>
      <vt:variant>
        <vt:lpwstr/>
      </vt:variant>
      <vt:variant>
        <vt:i4>6553632</vt:i4>
      </vt:variant>
      <vt:variant>
        <vt:i4>138</vt:i4>
      </vt:variant>
      <vt:variant>
        <vt:i4>0</vt:i4>
      </vt:variant>
      <vt:variant>
        <vt:i4>5</vt:i4>
      </vt:variant>
      <vt:variant>
        <vt:lpwstr>https://soe.dcceew.gov.au/views/reference/32006</vt:lpwstr>
      </vt:variant>
      <vt:variant>
        <vt:lpwstr/>
      </vt:variant>
      <vt:variant>
        <vt:i4>1114138</vt:i4>
      </vt:variant>
      <vt:variant>
        <vt:i4>135</vt:i4>
      </vt:variant>
      <vt:variant>
        <vt:i4>0</vt:i4>
      </vt:variant>
      <vt:variant>
        <vt:i4>5</vt:i4>
      </vt:variant>
      <vt:variant>
        <vt:lpwstr>https://www.betterhealth.vic.gov.au/heat</vt:lpwstr>
      </vt:variant>
      <vt:variant>
        <vt:lpwstr/>
      </vt:variant>
      <vt:variant>
        <vt:i4>7536766</vt:i4>
      </vt:variant>
      <vt:variant>
        <vt:i4>132</vt:i4>
      </vt:variant>
      <vt:variant>
        <vt:i4>0</vt:i4>
      </vt:variant>
      <vt:variant>
        <vt:i4>5</vt:i4>
      </vt:variant>
      <vt:variant>
        <vt:lpwstr>https://doi.org/10.5694/mja2.50545</vt:lpwstr>
      </vt:variant>
      <vt:variant>
        <vt:lpwstr/>
      </vt:variant>
      <vt:variant>
        <vt:i4>7536766</vt:i4>
      </vt:variant>
      <vt:variant>
        <vt:i4>129</vt:i4>
      </vt:variant>
      <vt:variant>
        <vt:i4>0</vt:i4>
      </vt:variant>
      <vt:variant>
        <vt:i4>5</vt:i4>
      </vt:variant>
      <vt:variant>
        <vt:lpwstr>https://doi.org/10.5694/mja2.50545</vt:lpwstr>
      </vt:variant>
      <vt:variant>
        <vt:lpwstr/>
      </vt:variant>
      <vt:variant>
        <vt:i4>6684728</vt:i4>
      </vt:variant>
      <vt:variant>
        <vt:i4>126</vt:i4>
      </vt:variant>
      <vt:variant>
        <vt:i4>0</vt:i4>
      </vt:variant>
      <vt:variant>
        <vt:i4>5</vt:i4>
      </vt:variant>
      <vt:variant>
        <vt:lpwstr>https://www.betterhealth.vic.gov.au/health/healthyliving/climate-change-and-health</vt:lpwstr>
      </vt:variant>
      <vt:variant>
        <vt:lpwstr/>
      </vt:variant>
      <vt:variant>
        <vt:i4>1310782</vt:i4>
      </vt:variant>
      <vt:variant>
        <vt:i4>119</vt:i4>
      </vt:variant>
      <vt:variant>
        <vt:i4>0</vt:i4>
      </vt:variant>
      <vt:variant>
        <vt:i4>5</vt:i4>
      </vt:variant>
      <vt:variant>
        <vt:lpwstr/>
      </vt:variant>
      <vt:variant>
        <vt:lpwstr>_Toc122454812</vt:lpwstr>
      </vt:variant>
      <vt:variant>
        <vt:i4>1310782</vt:i4>
      </vt:variant>
      <vt:variant>
        <vt:i4>113</vt:i4>
      </vt:variant>
      <vt:variant>
        <vt:i4>0</vt:i4>
      </vt:variant>
      <vt:variant>
        <vt:i4>5</vt:i4>
      </vt:variant>
      <vt:variant>
        <vt:lpwstr/>
      </vt:variant>
      <vt:variant>
        <vt:lpwstr>_Toc122454811</vt:lpwstr>
      </vt:variant>
      <vt:variant>
        <vt:i4>1310782</vt:i4>
      </vt:variant>
      <vt:variant>
        <vt:i4>107</vt:i4>
      </vt:variant>
      <vt:variant>
        <vt:i4>0</vt:i4>
      </vt:variant>
      <vt:variant>
        <vt:i4>5</vt:i4>
      </vt:variant>
      <vt:variant>
        <vt:lpwstr/>
      </vt:variant>
      <vt:variant>
        <vt:lpwstr>_Toc122454810</vt:lpwstr>
      </vt:variant>
      <vt:variant>
        <vt:i4>1376318</vt:i4>
      </vt:variant>
      <vt:variant>
        <vt:i4>101</vt:i4>
      </vt:variant>
      <vt:variant>
        <vt:i4>0</vt:i4>
      </vt:variant>
      <vt:variant>
        <vt:i4>5</vt:i4>
      </vt:variant>
      <vt:variant>
        <vt:lpwstr/>
      </vt:variant>
      <vt:variant>
        <vt:lpwstr>_Toc122454809</vt:lpwstr>
      </vt:variant>
      <vt:variant>
        <vt:i4>1376318</vt:i4>
      </vt:variant>
      <vt:variant>
        <vt:i4>95</vt:i4>
      </vt:variant>
      <vt:variant>
        <vt:i4>0</vt:i4>
      </vt:variant>
      <vt:variant>
        <vt:i4>5</vt:i4>
      </vt:variant>
      <vt:variant>
        <vt:lpwstr/>
      </vt:variant>
      <vt:variant>
        <vt:lpwstr>_Toc122454808</vt:lpwstr>
      </vt:variant>
      <vt:variant>
        <vt:i4>1376318</vt:i4>
      </vt:variant>
      <vt:variant>
        <vt:i4>89</vt:i4>
      </vt:variant>
      <vt:variant>
        <vt:i4>0</vt:i4>
      </vt:variant>
      <vt:variant>
        <vt:i4>5</vt:i4>
      </vt:variant>
      <vt:variant>
        <vt:lpwstr/>
      </vt:variant>
      <vt:variant>
        <vt:lpwstr>_Toc122454807</vt:lpwstr>
      </vt:variant>
      <vt:variant>
        <vt:i4>1376318</vt:i4>
      </vt:variant>
      <vt:variant>
        <vt:i4>83</vt:i4>
      </vt:variant>
      <vt:variant>
        <vt:i4>0</vt:i4>
      </vt:variant>
      <vt:variant>
        <vt:i4>5</vt:i4>
      </vt:variant>
      <vt:variant>
        <vt:lpwstr/>
      </vt:variant>
      <vt:variant>
        <vt:lpwstr>_Toc122454806</vt:lpwstr>
      </vt:variant>
      <vt:variant>
        <vt:i4>1376318</vt:i4>
      </vt:variant>
      <vt:variant>
        <vt:i4>77</vt:i4>
      </vt:variant>
      <vt:variant>
        <vt:i4>0</vt:i4>
      </vt:variant>
      <vt:variant>
        <vt:i4>5</vt:i4>
      </vt:variant>
      <vt:variant>
        <vt:lpwstr/>
      </vt:variant>
      <vt:variant>
        <vt:lpwstr>_Toc122454805</vt:lpwstr>
      </vt:variant>
      <vt:variant>
        <vt:i4>1376318</vt:i4>
      </vt:variant>
      <vt:variant>
        <vt:i4>71</vt:i4>
      </vt:variant>
      <vt:variant>
        <vt:i4>0</vt:i4>
      </vt:variant>
      <vt:variant>
        <vt:i4>5</vt:i4>
      </vt:variant>
      <vt:variant>
        <vt:lpwstr/>
      </vt:variant>
      <vt:variant>
        <vt:lpwstr>_Toc122454804</vt:lpwstr>
      </vt:variant>
      <vt:variant>
        <vt:i4>1376318</vt:i4>
      </vt:variant>
      <vt:variant>
        <vt:i4>65</vt:i4>
      </vt:variant>
      <vt:variant>
        <vt:i4>0</vt:i4>
      </vt:variant>
      <vt:variant>
        <vt:i4>5</vt:i4>
      </vt:variant>
      <vt:variant>
        <vt:lpwstr/>
      </vt:variant>
      <vt:variant>
        <vt:lpwstr>_Toc122454803</vt:lpwstr>
      </vt:variant>
      <vt:variant>
        <vt:i4>1376318</vt:i4>
      </vt:variant>
      <vt:variant>
        <vt:i4>59</vt:i4>
      </vt:variant>
      <vt:variant>
        <vt:i4>0</vt:i4>
      </vt:variant>
      <vt:variant>
        <vt:i4>5</vt:i4>
      </vt:variant>
      <vt:variant>
        <vt:lpwstr/>
      </vt:variant>
      <vt:variant>
        <vt:lpwstr>_Toc122454802</vt:lpwstr>
      </vt:variant>
      <vt:variant>
        <vt:i4>1376318</vt:i4>
      </vt:variant>
      <vt:variant>
        <vt:i4>53</vt:i4>
      </vt:variant>
      <vt:variant>
        <vt:i4>0</vt:i4>
      </vt:variant>
      <vt:variant>
        <vt:i4>5</vt:i4>
      </vt:variant>
      <vt:variant>
        <vt:lpwstr/>
      </vt:variant>
      <vt:variant>
        <vt:lpwstr>_Toc122454801</vt:lpwstr>
      </vt:variant>
      <vt:variant>
        <vt:i4>1376318</vt:i4>
      </vt:variant>
      <vt:variant>
        <vt:i4>47</vt:i4>
      </vt:variant>
      <vt:variant>
        <vt:i4>0</vt:i4>
      </vt:variant>
      <vt:variant>
        <vt:i4>5</vt:i4>
      </vt:variant>
      <vt:variant>
        <vt:lpwstr/>
      </vt:variant>
      <vt:variant>
        <vt:lpwstr>_Toc122454800</vt:lpwstr>
      </vt:variant>
      <vt:variant>
        <vt:i4>1835057</vt:i4>
      </vt:variant>
      <vt:variant>
        <vt:i4>41</vt:i4>
      </vt:variant>
      <vt:variant>
        <vt:i4>0</vt:i4>
      </vt:variant>
      <vt:variant>
        <vt:i4>5</vt:i4>
      </vt:variant>
      <vt:variant>
        <vt:lpwstr/>
      </vt:variant>
      <vt:variant>
        <vt:lpwstr>_Toc122454799</vt:lpwstr>
      </vt:variant>
      <vt:variant>
        <vt:i4>1835057</vt:i4>
      </vt:variant>
      <vt:variant>
        <vt:i4>35</vt:i4>
      </vt:variant>
      <vt:variant>
        <vt:i4>0</vt:i4>
      </vt:variant>
      <vt:variant>
        <vt:i4>5</vt:i4>
      </vt:variant>
      <vt:variant>
        <vt:lpwstr/>
      </vt:variant>
      <vt:variant>
        <vt:lpwstr>_Toc122454798</vt:lpwstr>
      </vt:variant>
      <vt:variant>
        <vt:i4>1835057</vt:i4>
      </vt:variant>
      <vt:variant>
        <vt:i4>29</vt:i4>
      </vt:variant>
      <vt:variant>
        <vt:i4>0</vt:i4>
      </vt:variant>
      <vt:variant>
        <vt:i4>5</vt:i4>
      </vt:variant>
      <vt:variant>
        <vt:lpwstr/>
      </vt:variant>
      <vt:variant>
        <vt:lpwstr>_Toc122454797</vt:lpwstr>
      </vt:variant>
      <vt:variant>
        <vt:i4>1835057</vt:i4>
      </vt:variant>
      <vt:variant>
        <vt:i4>23</vt:i4>
      </vt:variant>
      <vt:variant>
        <vt:i4>0</vt:i4>
      </vt:variant>
      <vt:variant>
        <vt:i4>5</vt:i4>
      </vt:variant>
      <vt:variant>
        <vt:lpwstr/>
      </vt:variant>
      <vt:variant>
        <vt:lpwstr>_Toc122454796</vt:lpwstr>
      </vt:variant>
      <vt:variant>
        <vt:i4>1835057</vt:i4>
      </vt:variant>
      <vt:variant>
        <vt:i4>17</vt:i4>
      </vt:variant>
      <vt:variant>
        <vt:i4>0</vt:i4>
      </vt:variant>
      <vt:variant>
        <vt:i4>5</vt:i4>
      </vt:variant>
      <vt:variant>
        <vt:lpwstr/>
      </vt:variant>
      <vt:variant>
        <vt:lpwstr>_Toc122454795</vt:lpwstr>
      </vt:variant>
      <vt:variant>
        <vt:i4>1835057</vt:i4>
      </vt:variant>
      <vt:variant>
        <vt:i4>11</vt:i4>
      </vt:variant>
      <vt:variant>
        <vt:i4>0</vt:i4>
      </vt:variant>
      <vt:variant>
        <vt:i4>5</vt:i4>
      </vt:variant>
      <vt:variant>
        <vt:lpwstr/>
      </vt:variant>
      <vt:variant>
        <vt:lpwstr>_Toc122454794</vt:lpwstr>
      </vt:variant>
      <vt:variant>
        <vt:i4>2556024</vt:i4>
      </vt:variant>
      <vt:variant>
        <vt:i4>6</vt:i4>
      </vt:variant>
      <vt:variant>
        <vt:i4>0</vt:i4>
      </vt:variant>
      <vt:variant>
        <vt:i4>5</vt:i4>
      </vt:variant>
      <vt:variant>
        <vt:lpwstr>https://www.health.vic.gov.au/chief-health-officer/publications</vt:lpwstr>
      </vt:variant>
      <vt:variant>
        <vt:lpwstr/>
      </vt:variant>
      <vt:variant>
        <vt:i4>8126537</vt:i4>
      </vt:variant>
      <vt:variant>
        <vt:i4>3</vt:i4>
      </vt:variant>
      <vt:variant>
        <vt:i4>0</vt:i4>
      </vt:variant>
      <vt:variant>
        <vt:i4>5</vt:i4>
      </vt:variant>
      <vt:variant>
        <vt:lpwstr>mailto:pph.communications@dhhs.vic.gov.au?subject=CHO%20Report%202019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health: Report of the Chief Health Officer, Victoria, 2019</dc:title>
  <dc:subject/>
  <dc:creator/>
  <cp:keywords/>
  <dc:description/>
  <cp:lastModifiedBy/>
  <cp:revision>1</cp:revision>
  <dcterms:created xsi:type="dcterms:W3CDTF">2023-02-24T02:55:00Z</dcterms:created>
  <dcterms:modified xsi:type="dcterms:W3CDTF">2024-07-28T00:39:00Z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2023-02-24T02:55:57Z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04958607-ade3-4c78-812b-4951478e00e8</vt:lpwstr>
  </property>
  <property fmtid="{D5CDD505-2E9C-101B-9397-08002B2CF9AE}" pid="8" name="MSIP_Label_43e64453-338c-4f93-8a4d-0039a0a41f2a_ContentBits">
    <vt:lpwstr>2</vt:lpwstr>
  </property>
  <property fmtid="{D5CDD505-2E9C-101B-9397-08002B2CF9AE}" pid="9" name="ContentTypeId">
    <vt:lpwstr>0x010100D6070F893825EA4290BBDA8A1038E3AA</vt:lpwstr>
  </property>
  <property fmtid="{D5CDD505-2E9C-101B-9397-08002B2CF9AE}" pid="10" name="GrammarlyDocumentId">
    <vt:lpwstr>77ac77330bd7bc33ca7703265c196836360a64bb48e5fde675db3fc3bd81a57a</vt:lpwstr>
  </property>
</Properties>
</file>