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955AA"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5073FBD" wp14:editId="0224F37B">
            <wp:simplePos x="0" y="0"/>
            <wp:positionH relativeFrom="page">
              <wp:posOffset>0</wp:posOffset>
            </wp:positionH>
            <wp:positionV relativeFrom="page">
              <wp:posOffset>0</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7C380DC8" w14:textId="77777777" w:rsidR="00A62D44" w:rsidRPr="004C6EEE" w:rsidRDefault="00A62D44" w:rsidP="004C6EEE">
      <w:pPr>
        <w:pStyle w:val="Sectionbreakfirstpage"/>
        <w:sectPr w:rsidR="00A62D44" w:rsidRPr="004C6EEE" w:rsidSect="00647B30">
          <w:headerReference w:type="default" r:id="rId12"/>
          <w:footerReference w:type="default" r:id="rId13"/>
          <w:footerReference w:type="first" r:id="rId14"/>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75778AA3" w14:textId="77777777" w:rsidTr="00647B30">
        <w:tc>
          <w:tcPr>
            <w:tcW w:w="11907" w:type="dxa"/>
          </w:tcPr>
          <w:p w14:paraId="0D75A640" w14:textId="4B139474" w:rsidR="00AD784C" w:rsidRPr="00161AA0" w:rsidRDefault="00975FC2" w:rsidP="00CE12AF">
            <w:pPr>
              <w:pStyle w:val="Documenttitle"/>
            </w:pPr>
            <w:r>
              <w:t>Implementation tracker</w:t>
            </w:r>
          </w:p>
        </w:tc>
      </w:tr>
      <w:tr w:rsidR="00CE12AF" w14:paraId="758D059D" w14:textId="77777777" w:rsidTr="00647B30">
        <w:tc>
          <w:tcPr>
            <w:tcW w:w="11907" w:type="dxa"/>
          </w:tcPr>
          <w:p w14:paraId="060E818F" w14:textId="2CD4B917" w:rsidR="00CE12AF" w:rsidRPr="00A1389F" w:rsidRDefault="009A0BA3" w:rsidP="00CE12AF">
            <w:pPr>
              <w:pStyle w:val="Documentsubtitle"/>
            </w:pPr>
            <w:r>
              <w:t>Planned Surgery Access Policy</w:t>
            </w:r>
          </w:p>
        </w:tc>
      </w:tr>
      <w:tr w:rsidR="00CE12AF" w14:paraId="08197F1D" w14:textId="77777777" w:rsidTr="00647B30">
        <w:tc>
          <w:tcPr>
            <w:tcW w:w="11907" w:type="dxa"/>
          </w:tcPr>
          <w:p w14:paraId="3E1D60DB" w14:textId="77777777" w:rsidR="00CE12AF" w:rsidRPr="00250DC4" w:rsidRDefault="00000000" w:rsidP="00CE12AF">
            <w:pPr>
              <w:pStyle w:val="Bannermarking"/>
            </w:pPr>
            <w:fldSimple w:instr=" FILLIN  &quot;Type the protective marking&quot; \d OFFICIAL \o  \* MERGEFORMAT ">
              <w:r w:rsidR="00975FC2">
                <w:t>OFFICIAL</w:t>
              </w:r>
            </w:fldSimple>
          </w:p>
        </w:tc>
      </w:tr>
    </w:tbl>
    <w:p w14:paraId="552E2EEF" w14:textId="77777777" w:rsidR="00AD784C" w:rsidRPr="00B57329" w:rsidRDefault="00AD784C" w:rsidP="002365B4">
      <w:pPr>
        <w:pStyle w:val="TOCheadingfactsheet"/>
      </w:pPr>
      <w:r w:rsidRPr="00B57329">
        <w:t>Contents</w:t>
      </w:r>
    </w:p>
    <w:p w14:paraId="4E3373D0" w14:textId="622AE1D3" w:rsidR="00A2360E" w:rsidRDefault="00AD784C">
      <w:pPr>
        <w:pStyle w:val="TOC1"/>
        <w:rPr>
          <w:rFonts w:asciiTheme="minorHAnsi" w:eastAsiaTheme="minorEastAsia" w:hAnsiTheme="minorHAnsi" w:cstheme="minorBidi"/>
          <w:b w:val="0"/>
          <w:kern w:val="2"/>
          <w:sz w:val="24"/>
          <w:szCs w:val="24"/>
          <w:lang w:eastAsia="en-AU"/>
          <w14:ligatures w14:val="standardContextual"/>
        </w:rPr>
      </w:pPr>
      <w:r w:rsidRPr="009A34E1">
        <w:fldChar w:fldCharType="begin"/>
      </w:r>
      <w:r w:rsidRPr="009A34E1">
        <w:instrText xml:space="preserve"> TOC \h \z \t "Heading 1,1,Heading 2,2" </w:instrText>
      </w:r>
      <w:r w:rsidRPr="009A34E1">
        <w:fldChar w:fldCharType="separate"/>
      </w:r>
      <w:hyperlink w:anchor="_Toc169700431" w:history="1">
        <w:r w:rsidR="00A2360E" w:rsidRPr="001C3F88">
          <w:rPr>
            <w:rStyle w:val="Hyperlink"/>
          </w:rPr>
          <w:t>About this implementation tracker</w:t>
        </w:r>
        <w:r w:rsidR="00A2360E">
          <w:rPr>
            <w:webHidden/>
          </w:rPr>
          <w:tab/>
        </w:r>
        <w:r w:rsidR="00A2360E">
          <w:rPr>
            <w:webHidden/>
          </w:rPr>
          <w:fldChar w:fldCharType="begin"/>
        </w:r>
        <w:r w:rsidR="00A2360E">
          <w:rPr>
            <w:webHidden/>
          </w:rPr>
          <w:instrText xml:space="preserve"> PAGEREF _Toc169700431 \h </w:instrText>
        </w:r>
        <w:r w:rsidR="00A2360E">
          <w:rPr>
            <w:webHidden/>
          </w:rPr>
        </w:r>
        <w:r w:rsidR="00A2360E">
          <w:rPr>
            <w:webHidden/>
          </w:rPr>
          <w:fldChar w:fldCharType="separate"/>
        </w:r>
        <w:r w:rsidR="00A2360E">
          <w:rPr>
            <w:webHidden/>
          </w:rPr>
          <w:t>1</w:t>
        </w:r>
        <w:r w:rsidR="00A2360E">
          <w:rPr>
            <w:webHidden/>
          </w:rPr>
          <w:fldChar w:fldCharType="end"/>
        </w:r>
      </w:hyperlink>
    </w:p>
    <w:p w14:paraId="26EED4CC" w14:textId="37D21D35" w:rsidR="00A2360E" w:rsidRDefault="00000000">
      <w:pPr>
        <w:pStyle w:val="TOC1"/>
        <w:rPr>
          <w:rFonts w:asciiTheme="minorHAnsi" w:eastAsiaTheme="minorEastAsia" w:hAnsiTheme="minorHAnsi" w:cstheme="minorBidi"/>
          <w:b w:val="0"/>
          <w:kern w:val="2"/>
          <w:sz w:val="24"/>
          <w:szCs w:val="24"/>
          <w:lang w:eastAsia="en-AU"/>
          <w14:ligatures w14:val="standardContextual"/>
        </w:rPr>
      </w:pPr>
      <w:hyperlink w:anchor="_Toc169700432" w:history="1">
        <w:r w:rsidR="00A2360E" w:rsidRPr="001C3F88">
          <w:rPr>
            <w:rStyle w:val="Hyperlink"/>
          </w:rPr>
          <w:t>Policy requirements that should already be in place or implemented</w:t>
        </w:r>
        <w:r w:rsidR="00A2360E">
          <w:rPr>
            <w:webHidden/>
          </w:rPr>
          <w:tab/>
        </w:r>
        <w:r w:rsidR="00A2360E">
          <w:rPr>
            <w:webHidden/>
          </w:rPr>
          <w:fldChar w:fldCharType="begin"/>
        </w:r>
        <w:r w:rsidR="00A2360E">
          <w:rPr>
            <w:webHidden/>
          </w:rPr>
          <w:instrText xml:space="preserve"> PAGEREF _Toc169700432 \h </w:instrText>
        </w:r>
        <w:r w:rsidR="00A2360E">
          <w:rPr>
            <w:webHidden/>
          </w:rPr>
        </w:r>
        <w:r w:rsidR="00A2360E">
          <w:rPr>
            <w:webHidden/>
          </w:rPr>
          <w:fldChar w:fldCharType="separate"/>
        </w:r>
        <w:r w:rsidR="00A2360E">
          <w:rPr>
            <w:webHidden/>
          </w:rPr>
          <w:t>3</w:t>
        </w:r>
        <w:r w:rsidR="00A2360E">
          <w:rPr>
            <w:webHidden/>
          </w:rPr>
          <w:fldChar w:fldCharType="end"/>
        </w:r>
      </w:hyperlink>
    </w:p>
    <w:p w14:paraId="33664E9B" w14:textId="1F198A9E" w:rsidR="00A2360E" w:rsidRDefault="00000000">
      <w:pPr>
        <w:pStyle w:val="TOC2"/>
        <w:rPr>
          <w:rFonts w:asciiTheme="minorHAnsi" w:eastAsiaTheme="minorEastAsia" w:hAnsiTheme="minorHAnsi" w:cstheme="minorBidi"/>
          <w:kern w:val="2"/>
          <w:sz w:val="24"/>
          <w:szCs w:val="24"/>
          <w:lang w:eastAsia="en-AU"/>
          <w14:ligatures w14:val="standardContextual"/>
        </w:rPr>
      </w:pPr>
      <w:hyperlink w:anchor="_Toc169700433" w:history="1">
        <w:r w:rsidR="00A2360E" w:rsidRPr="001C3F88">
          <w:rPr>
            <w:rStyle w:val="Hyperlink"/>
          </w:rPr>
          <w:t>Policy requirements that should be implemented by June 2025</w:t>
        </w:r>
        <w:r w:rsidR="00A2360E">
          <w:rPr>
            <w:webHidden/>
          </w:rPr>
          <w:tab/>
        </w:r>
        <w:r w:rsidR="00A2360E">
          <w:rPr>
            <w:webHidden/>
          </w:rPr>
          <w:fldChar w:fldCharType="begin"/>
        </w:r>
        <w:r w:rsidR="00A2360E">
          <w:rPr>
            <w:webHidden/>
          </w:rPr>
          <w:instrText xml:space="preserve"> PAGEREF _Toc169700433 \h </w:instrText>
        </w:r>
        <w:r w:rsidR="00A2360E">
          <w:rPr>
            <w:webHidden/>
          </w:rPr>
        </w:r>
        <w:r w:rsidR="00A2360E">
          <w:rPr>
            <w:webHidden/>
          </w:rPr>
          <w:fldChar w:fldCharType="separate"/>
        </w:r>
        <w:r w:rsidR="00A2360E">
          <w:rPr>
            <w:webHidden/>
          </w:rPr>
          <w:t>24</w:t>
        </w:r>
        <w:r w:rsidR="00A2360E">
          <w:rPr>
            <w:webHidden/>
          </w:rPr>
          <w:fldChar w:fldCharType="end"/>
        </w:r>
      </w:hyperlink>
    </w:p>
    <w:p w14:paraId="76E2687F" w14:textId="00E2243E" w:rsidR="00A2360E" w:rsidRDefault="00000000">
      <w:pPr>
        <w:pStyle w:val="TOC2"/>
        <w:rPr>
          <w:rFonts w:asciiTheme="minorHAnsi" w:eastAsiaTheme="minorEastAsia" w:hAnsiTheme="minorHAnsi" w:cstheme="minorBidi"/>
          <w:kern w:val="2"/>
          <w:sz w:val="24"/>
          <w:szCs w:val="24"/>
          <w:lang w:eastAsia="en-AU"/>
          <w14:ligatures w14:val="standardContextual"/>
        </w:rPr>
      </w:pPr>
      <w:hyperlink w:anchor="_Toc169700434" w:history="1">
        <w:r w:rsidR="00A2360E" w:rsidRPr="001C3F88">
          <w:rPr>
            <w:rStyle w:val="Hyperlink"/>
          </w:rPr>
          <w:t>Policy requirements that should be implemented by June 2026</w:t>
        </w:r>
        <w:r w:rsidR="00A2360E">
          <w:rPr>
            <w:webHidden/>
          </w:rPr>
          <w:tab/>
        </w:r>
        <w:r w:rsidR="00A2360E">
          <w:rPr>
            <w:webHidden/>
          </w:rPr>
          <w:fldChar w:fldCharType="begin"/>
        </w:r>
        <w:r w:rsidR="00A2360E">
          <w:rPr>
            <w:webHidden/>
          </w:rPr>
          <w:instrText xml:space="preserve"> PAGEREF _Toc169700434 \h </w:instrText>
        </w:r>
        <w:r w:rsidR="00A2360E">
          <w:rPr>
            <w:webHidden/>
          </w:rPr>
        </w:r>
        <w:r w:rsidR="00A2360E">
          <w:rPr>
            <w:webHidden/>
          </w:rPr>
          <w:fldChar w:fldCharType="separate"/>
        </w:r>
        <w:r w:rsidR="00A2360E">
          <w:rPr>
            <w:webHidden/>
          </w:rPr>
          <w:t>27</w:t>
        </w:r>
        <w:r w:rsidR="00A2360E">
          <w:rPr>
            <w:webHidden/>
          </w:rPr>
          <w:fldChar w:fldCharType="end"/>
        </w:r>
      </w:hyperlink>
    </w:p>
    <w:p w14:paraId="1B0797EC" w14:textId="66CFC852" w:rsidR="00580394" w:rsidRPr="009A34E1" w:rsidRDefault="00AD784C" w:rsidP="007173CA">
      <w:pPr>
        <w:pStyle w:val="Body"/>
        <w:sectPr w:rsidR="00580394" w:rsidRPr="009A34E1" w:rsidSect="00FD2A22">
          <w:headerReference w:type="default" r:id="rId15"/>
          <w:type w:val="continuous"/>
          <w:pgSz w:w="16838" w:h="11906" w:orient="landscape" w:code="9"/>
          <w:pgMar w:top="1418" w:right="851" w:bottom="1418" w:left="851" w:header="680" w:footer="851" w:gutter="0"/>
          <w:cols w:space="340"/>
          <w:titlePg/>
          <w:docGrid w:linePitch="360"/>
        </w:sectPr>
      </w:pPr>
      <w:r w:rsidRPr="009A34E1">
        <w:fldChar w:fldCharType="end"/>
      </w:r>
    </w:p>
    <w:p w14:paraId="5CE298AE" w14:textId="4478DFCD" w:rsidR="006D429B" w:rsidRPr="0055119B" w:rsidRDefault="0009756B" w:rsidP="006D429B">
      <w:pPr>
        <w:pStyle w:val="Accessibilitypara"/>
      </w:pPr>
      <w:bookmarkStart w:id="0" w:name="_Hlk41913885"/>
      <w:r w:rsidRPr="009A34E1">
        <w:t xml:space="preserve">The Department of Health (the department) has developed a readiness assessment tool and this implementation tracker to support health services with implementation </w:t>
      </w:r>
      <w:proofErr w:type="gramStart"/>
      <w:r w:rsidRPr="009A34E1">
        <w:t>in order to</w:t>
      </w:r>
      <w:proofErr w:type="gramEnd"/>
      <w:r w:rsidRPr="009A34E1">
        <w:t xml:space="preserve"> meet all the requirements of the policy </w:t>
      </w:r>
      <w:r w:rsidRPr="009A34E1">
        <w:rPr>
          <w:rStyle w:val="normaltextrun"/>
          <w:rFonts w:cs="Arial"/>
          <w:color w:val="000000"/>
          <w:szCs w:val="21"/>
          <w:shd w:val="clear" w:color="auto" w:fill="FFFFFF"/>
        </w:rPr>
        <w:t xml:space="preserve">by June 2026. </w:t>
      </w:r>
      <w:r w:rsidRPr="009A34E1">
        <w:t xml:space="preserve">These tools aim to support the identification of good practice in action, areas needing improvement and actions that will be undertaken to meet expectations of the policy. </w:t>
      </w:r>
      <w:bookmarkStart w:id="1" w:name="_Hlk168559696"/>
      <w:r w:rsidRPr="009A34E1">
        <w:t xml:space="preserve">If you have any questions about these </w:t>
      </w:r>
      <w:proofErr w:type="gramStart"/>
      <w:r w:rsidRPr="009A34E1">
        <w:t>tools</w:t>
      </w:r>
      <w:proofErr w:type="gramEnd"/>
      <w:r w:rsidRPr="009A34E1">
        <w:t xml:space="preserve"> please contact </w:t>
      </w:r>
      <w:hyperlink r:id="rId16" w:history="1">
        <w:r w:rsidRPr="009A34E1">
          <w:rPr>
            <w:rStyle w:val="Hyperlink"/>
            <w:rFonts w:cs="Arial"/>
          </w:rPr>
          <w:t>healthservicesimprovement@health.vic.gov.au</w:t>
        </w:r>
      </w:hyperlink>
      <w:bookmarkEnd w:id="1"/>
      <w:r w:rsidR="001B2BB8">
        <w:rPr>
          <w:rStyle w:val="Hyperlink"/>
          <w:rFonts w:cs="Arial"/>
        </w:rPr>
        <w:t>.</w:t>
      </w:r>
    </w:p>
    <w:p w14:paraId="7C47DF12" w14:textId="7C08348F" w:rsidR="0009756B" w:rsidRPr="009A34E1" w:rsidRDefault="0009756B" w:rsidP="0009756B">
      <w:pPr>
        <w:pStyle w:val="Body"/>
      </w:pPr>
    </w:p>
    <w:p w14:paraId="0D5BF368" w14:textId="00DB71EB" w:rsidR="00F32368" w:rsidRPr="009A34E1" w:rsidRDefault="00A203F4" w:rsidP="009C34EA">
      <w:pPr>
        <w:pStyle w:val="Heading1"/>
      </w:pPr>
      <w:bookmarkStart w:id="2" w:name="_Toc169700431"/>
      <w:r w:rsidRPr="009A34E1">
        <w:t>About this implementation tracker</w:t>
      </w:r>
      <w:bookmarkEnd w:id="2"/>
    </w:p>
    <w:p w14:paraId="6B531CA8" w14:textId="639F7F2B" w:rsidR="008A371B" w:rsidRPr="009A34E1" w:rsidRDefault="004908DC" w:rsidP="008A371B">
      <w:pPr>
        <w:pStyle w:val="Body"/>
      </w:pPr>
      <w:r w:rsidRPr="009A34E1">
        <w:t xml:space="preserve">The </w:t>
      </w:r>
      <w:hyperlink r:id="rId17">
        <w:r w:rsidR="00343790" w:rsidRPr="009A34E1">
          <w:rPr>
            <w:rStyle w:val="Hyperlink"/>
          </w:rPr>
          <w:t>Planned surgery access policy 2024</w:t>
        </w:r>
      </w:hyperlink>
      <w:r w:rsidR="00343790" w:rsidRPr="009A34E1">
        <w:t xml:space="preserve"> </w:t>
      </w:r>
      <w:r w:rsidR="0070379C">
        <w:t>&lt;</w:t>
      </w:r>
      <w:hyperlink r:id="rId18" w:history="1">
        <w:r w:rsidR="0070379C" w:rsidRPr="005E5F20">
          <w:rPr>
            <w:rStyle w:val="Hyperlink"/>
            <w:color w:val="auto"/>
            <w:u w:val="none"/>
          </w:rPr>
          <w:t>https://www.health.vic.gov.au/patient-care/surgical-services-policies-and-guides</w:t>
        </w:r>
      </w:hyperlink>
      <w:r w:rsidR="00D80402">
        <w:t>&gt;</w:t>
      </w:r>
      <w:r w:rsidR="0044315D">
        <w:t xml:space="preserve"> </w:t>
      </w:r>
      <w:r w:rsidRPr="009A34E1">
        <w:t xml:space="preserve">outlines the department’s expectations regarding access to planned surgery and procedures. </w:t>
      </w:r>
      <w:r w:rsidR="008A371B" w:rsidRPr="009A34E1">
        <w:t xml:space="preserve">To implement the policy health services should: </w:t>
      </w:r>
    </w:p>
    <w:p w14:paraId="15AFE4ED" w14:textId="77777777" w:rsidR="00BC60FF" w:rsidRPr="009A34E1" w:rsidRDefault="00BC60FF" w:rsidP="00BC60FF">
      <w:pPr>
        <w:pStyle w:val="Bullet1"/>
      </w:pPr>
      <w:r w:rsidRPr="009A34E1">
        <w:t xml:space="preserve">develop local policies, protocols and procedures that align with the requirements of this </w:t>
      </w:r>
      <w:proofErr w:type="gramStart"/>
      <w:r w:rsidRPr="009A34E1">
        <w:t>policy</w:t>
      </w:r>
      <w:proofErr w:type="gramEnd"/>
    </w:p>
    <w:p w14:paraId="17EE16F7" w14:textId="77777777" w:rsidR="00BC60FF" w:rsidRPr="009A34E1" w:rsidRDefault="00BC60FF" w:rsidP="00BC60FF">
      <w:pPr>
        <w:pStyle w:val="Bullet1"/>
      </w:pPr>
      <w:r w:rsidRPr="009A34E1">
        <w:t xml:space="preserve">identify the health service staff responsible for performing the tasks required by the </w:t>
      </w:r>
      <w:proofErr w:type="gramStart"/>
      <w:r w:rsidRPr="009A34E1">
        <w:t>policy</w:t>
      </w:r>
      <w:proofErr w:type="gramEnd"/>
    </w:p>
    <w:p w14:paraId="23F3C46B" w14:textId="77777777" w:rsidR="00BC60FF" w:rsidRPr="009A34E1" w:rsidRDefault="00BC60FF" w:rsidP="00BC60FF">
      <w:pPr>
        <w:pStyle w:val="Bullet1"/>
      </w:pPr>
      <w:r w:rsidRPr="009A34E1">
        <w:t xml:space="preserve">provide training and education programs for staff who manage the access to planned </w:t>
      </w:r>
      <w:proofErr w:type="gramStart"/>
      <w:r w:rsidRPr="009A34E1">
        <w:t>surgery</w:t>
      </w:r>
      <w:proofErr w:type="gramEnd"/>
    </w:p>
    <w:p w14:paraId="59C309AC" w14:textId="77777777" w:rsidR="00BC60FF" w:rsidRPr="009A34E1" w:rsidRDefault="00BC60FF" w:rsidP="00BC60FF">
      <w:pPr>
        <w:pStyle w:val="Bullet1"/>
      </w:pPr>
      <w:r w:rsidRPr="009A34E1">
        <w:t>monitor the health service’s performance against the policy, particularly new policy requirements.</w:t>
      </w:r>
    </w:p>
    <w:p w14:paraId="259628D7" w14:textId="48F97CBE" w:rsidR="0056541C" w:rsidRPr="009A34E1" w:rsidRDefault="00606C03" w:rsidP="00F32368">
      <w:pPr>
        <w:pStyle w:val="Body"/>
      </w:pPr>
      <w:r w:rsidRPr="009A34E1">
        <w:lastRenderedPageBreak/>
        <w:t>This implementation tracker tool has been developed to support health services</w:t>
      </w:r>
      <w:r w:rsidR="00365116" w:rsidRPr="009A34E1">
        <w:t xml:space="preserve"> to </w:t>
      </w:r>
      <w:r w:rsidR="00D727A7" w:rsidRPr="009A34E1">
        <w:t>track a</w:t>
      </w:r>
      <w:r w:rsidR="00365116" w:rsidRPr="009A34E1">
        <w:t xml:space="preserve"> health service’s performance against the policy</w:t>
      </w:r>
      <w:r w:rsidRPr="009A34E1">
        <w:t xml:space="preserve"> and planning </w:t>
      </w:r>
      <w:r w:rsidR="00D727A7" w:rsidRPr="009A34E1">
        <w:t xml:space="preserve">how </w:t>
      </w:r>
      <w:r w:rsidR="00365116" w:rsidRPr="009A34E1">
        <w:t xml:space="preserve">to achieve </w:t>
      </w:r>
      <w:r w:rsidR="00DC5238" w:rsidRPr="009A34E1">
        <w:t xml:space="preserve">the </w:t>
      </w:r>
      <w:r w:rsidR="00DC5238" w:rsidRPr="009A34E1">
        <w:rPr>
          <w:b/>
          <w:bCs/>
        </w:rPr>
        <w:t xml:space="preserve">full </w:t>
      </w:r>
      <w:r w:rsidRPr="009A34E1">
        <w:rPr>
          <w:b/>
          <w:bCs/>
        </w:rPr>
        <w:t>implementation of the policy</w:t>
      </w:r>
      <w:r w:rsidR="00DC5238" w:rsidRPr="009A34E1">
        <w:rPr>
          <w:b/>
          <w:bCs/>
        </w:rPr>
        <w:t xml:space="preserve"> by J</w:t>
      </w:r>
      <w:r w:rsidR="0056438A" w:rsidRPr="009A34E1">
        <w:rPr>
          <w:b/>
          <w:bCs/>
        </w:rPr>
        <w:t>une</w:t>
      </w:r>
      <w:r w:rsidR="00DC5238" w:rsidRPr="009A34E1">
        <w:rPr>
          <w:b/>
          <w:bCs/>
        </w:rPr>
        <w:t xml:space="preserve"> 202</w:t>
      </w:r>
      <w:r w:rsidR="0056438A" w:rsidRPr="009A34E1">
        <w:rPr>
          <w:b/>
          <w:bCs/>
        </w:rPr>
        <w:t>6</w:t>
      </w:r>
      <w:r w:rsidRPr="009A34E1">
        <w:t xml:space="preserve">. </w:t>
      </w:r>
    </w:p>
    <w:p w14:paraId="0E242CE5" w14:textId="6090A064" w:rsidR="005E2858" w:rsidRPr="009A34E1" w:rsidRDefault="00646B0E" w:rsidP="00F32368">
      <w:pPr>
        <w:pStyle w:val="Body"/>
      </w:pPr>
      <w:r w:rsidRPr="009A34E1">
        <w:t xml:space="preserve">It is envisaged that each health service will nominate a lead group or committee to </w:t>
      </w:r>
      <w:r w:rsidR="00DD0F9E" w:rsidRPr="009A34E1">
        <w:t xml:space="preserve">identify </w:t>
      </w:r>
      <w:r w:rsidR="00A63816" w:rsidRPr="009A34E1">
        <w:t xml:space="preserve">the health service’s </w:t>
      </w:r>
      <w:r w:rsidR="003566A7" w:rsidRPr="009A34E1">
        <w:t xml:space="preserve">performance against the policy </w:t>
      </w:r>
      <w:r w:rsidR="00A63816" w:rsidRPr="009A34E1">
        <w:t xml:space="preserve">and </w:t>
      </w:r>
      <w:r w:rsidR="00D727A7" w:rsidRPr="009A34E1">
        <w:t xml:space="preserve">identify </w:t>
      </w:r>
      <w:r w:rsidR="00A63816" w:rsidRPr="009A34E1">
        <w:t xml:space="preserve">gaps in implementation. </w:t>
      </w:r>
      <w:r w:rsidR="00226844" w:rsidRPr="009A34E1">
        <w:t xml:space="preserve">There are three tables </w:t>
      </w:r>
      <w:r w:rsidR="00606C03" w:rsidRPr="009A34E1">
        <w:t>list</w:t>
      </w:r>
      <w:r w:rsidR="008603C8" w:rsidRPr="009A34E1">
        <w:t>ing</w:t>
      </w:r>
      <w:r w:rsidR="005E2858" w:rsidRPr="009A34E1">
        <w:t>:</w:t>
      </w:r>
    </w:p>
    <w:p w14:paraId="744C406C" w14:textId="269C33F6" w:rsidR="00F60B7B" w:rsidRPr="009A34E1" w:rsidRDefault="00606C03">
      <w:pPr>
        <w:pStyle w:val="Body"/>
        <w:numPr>
          <w:ilvl w:val="0"/>
          <w:numId w:val="12"/>
        </w:numPr>
      </w:pPr>
      <w:r w:rsidRPr="009A34E1">
        <w:t xml:space="preserve">the key </w:t>
      </w:r>
      <w:r w:rsidR="00226844" w:rsidRPr="009A34E1">
        <w:t xml:space="preserve">requirements that health services should </w:t>
      </w:r>
      <w:r w:rsidR="00682BCA" w:rsidRPr="009A34E1">
        <w:t xml:space="preserve">already be </w:t>
      </w:r>
      <w:proofErr w:type="gramStart"/>
      <w:r w:rsidR="00682BCA" w:rsidRPr="009A34E1">
        <w:t>meeting</w:t>
      </w:r>
      <w:proofErr w:type="gramEnd"/>
      <w:r w:rsidR="00682BCA" w:rsidRPr="009A34E1">
        <w:t xml:space="preserve"> </w:t>
      </w:r>
    </w:p>
    <w:p w14:paraId="21D62FC8" w14:textId="5586A9C9" w:rsidR="00F60B7B" w:rsidRPr="009A34E1" w:rsidRDefault="00AD4B53">
      <w:pPr>
        <w:pStyle w:val="Body"/>
        <w:numPr>
          <w:ilvl w:val="0"/>
          <w:numId w:val="12"/>
        </w:numPr>
      </w:pPr>
      <w:r w:rsidRPr="009A34E1">
        <w:t>requirement</w:t>
      </w:r>
      <w:r w:rsidR="00B617B9" w:rsidRPr="009A34E1">
        <w:t>s</w:t>
      </w:r>
      <w:r w:rsidRPr="009A34E1">
        <w:t xml:space="preserve"> </w:t>
      </w:r>
      <w:r w:rsidR="006D32D2" w:rsidRPr="009A34E1">
        <w:t xml:space="preserve">health services </w:t>
      </w:r>
      <w:r w:rsidR="00F524B5" w:rsidRPr="009A34E1">
        <w:t xml:space="preserve">must </w:t>
      </w:r>
      <w:r w:rsidR="00682BCA" w:rsidRPr="009A34E1">
        <w:t>meet by J</w:t>
      </w:r>
      <w:r w:rsidR="0056438A" w:rsidRPr="009A34E1">
        <w:t>une</w:t>
      </w:r>
      <w:r w:rsidR="00682BCA" w:rsidRPr="009A34E1">
        <w:t xml:space="preserve"> 202</w:t>
      </w:r>
      <w:r w:rsidR="0056438A" w:rsidRPr="009A34E1">
        <w:t>5</w:t>
      </w:r>
    </w:p>
    <w:p w14:paraId="55E412F7" w14:textId="565CA549" w:rsidR="009C34EA" w:rsidRPr="009A34E1" w:rsidRDefault="00AD4B53">
      <w:pPr>
        <w:pStyle w:val="Body"/>
        <w:numPr>
          <w:ilvl w:val="0"/>
          <w:numId w:val="12"/>
        </w:numPr>
      </w:pPr>
      <w:r w:rsidRPr="009A34E1">
        <w:t>requirements</w:t>
      </w:r>
      <w:r w:rsidR="006D32D2" w:rsidRPr="009A34E1">
        <w:t xml:space="preserve"> health services </w:t>
      </w:r>
      <w:r w:rsidR="00F524B5" w:rsidRPr="009A34E1">
        <w:t>must meet by</w:t>
      </w:r>
      <w:r w:rsidR="00682BCA" w:rsidRPr="009A34E1">
        <w:t xml:space="preserve"> J</w:t>
      </w:r>
      <w:r w:rsidR="0056438A" w:rsidRPr="009A34E1">
        <w:t>une</w:t>
      </w:r>
      <w:r w:rsidR="00682BCA" w:rsidRPr="009A34E1">
        <w:t xml:space="preserve"> 202</w:t>
      </w:r>
      <w:r w:rsidR="0056438A" w:rsidRPr="009A34E1">
        <w:t>6</w:t>
      </w:r>
      <w:r w:rsidR="00682BCA" w:rsidRPr="009A34E1">
        <w:t>.</w:t>
      </w:r>
    </w:p>
    <w:p w14:paraId="320B65DC" w14:textId="5A878701" w:rsidR="003E5A1F" w:rsidRPr="009A34E1" w:rsidRDefault="003E5A1F" w:rsidP="003E5A1F">
      <w:pPr>
        <w:pStyle w:val="Body"/>
      </w:pPr>
      <w:r w:rsidRPr="009A34E1">
        <w:t xml:space="preserve">Health services may have explored or implemented business intelligence applications to automate </w:t>
      </w:r>
      <w:r w:rsidR="00E1160D" w:rsidRPr="009A34E1">
        <w:t>preparation</w:t>
      </w:r>
      <w:r w:rsidRPr="009A34E1">
        <w:t xml:space="preserve"> list management and validation</w:t>
      </w:r>
      <w:r w:rsidR="00716238" w:rsidRPr="009A34E1">
        <w:t xml:space="preserve"> and communication</w:t>
      </w:r>
      <w:r w:rsidR="00E76E20" w:rsidRPr="009A34E1">
        <w:t xml:space="preserve"> processes</w:t>
      </w:r>
      <w:r w:rsidRPr="009A34E1">
        <w:t>.</w:t>
      </w:r>
      <w:r w:rsidR="00E76E20" w:rsidRPr="009A34E1">
        <w:t xml:space="preserve"> The development or use of such tools should be included in this a</w:t>
      </w:r>
      <w:r w:rsidR="00FA2253" w:rsidRPr="009A34E1">
        <w:t>ppraisal</w:t>
      </w:r>
      <w:r w:rsidR="00E76E20" w:rsidRPr="009A34E1">
        <w:t>.</w:t>
      </w:r>
    </w:p>
    <w:p w14:paraId="47CC027A" w14:textId="27F77D26" w:rsidR="00A203F4" w:rsidRPr="009A34E1" w:rsidRDefault="00A203F4" w:rsidP="00A203F4">
      <w:pPr>
        <w:pStyle w:val="Body"/>
      </w:pPr>
      <w:r w:rsidRPr="009A34E1">
        <w:t xml:space="preserve">Note: in the policy the use of the term ‘must’ denote actions that are obligations to be met by the health service within a specified timeframe. The use of the term ‘should’ refer to a </w:t>
      </w:r>
      <w:proofErr w:type="gramStart"/>
      <w:r w:rsidRPr="009A34E1">
        <w:t>practice</w:t>
      </w:r>
      <w:r w:rsidR="00634066" w:rsidRPr="009A34E1">
        <w:t>s</w:t>
      </w:r>
      <w:proofErr w:type="gramEnd"/>
      <w:r w:rsidRPr="009A34E1">
        <w:t xml:space="preserve"> that a health service should be aiming to do with increasing frequency.</w:t>
      </w:r>
    </w:p>
    <w:p w14:paraId="2CDE1451" w14:textId="7FB76FF3" w:rsidR="00A203F4" w:rsidRPr="009A34E1" w:rsidRDefault="003566A7" w:rsidP="00A203F4">
      <w:pPr>
        <w:pStyle w:val="Heading3"/>
      </w:pPr>
      <w:r w:rsidRPr="009A34E1">
        <w:t>Proposed r</w:t>
      </w:r>
      <w:r w:rsidR="00A203F4" w:rsidRPr="009A34E1">
        <w:t>ating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3"/>
        <w:gridCol w:w="7563"/>
      </w:tblGrid>
      <w:tr w:rsidR="00A203F4" w:rsidRPr="009A34E1" w14:paraId="6716F7F3" w14:textId="77777777" w:rsidTr="00A203F4">
        <w:tc>
          <w:tcPr>
            <w:tcW w:w="7563" w:type="dxa"/>
          </w:tcPr>
          <w:p w14:paraId="0E0ADC08" w14:textId="034B77E8" w:rsidR="00A203F4" w:rsidRPr="009A34E1" w:rsidRDefault="00A203F4" w:rsidP="00A203F4">
            <w:pPr>
              <w:pStyle w:val="Body"/>
              <w:rPr>
                <w:b/>
                <w:bCs/>
              </w:rPr>
            </w:pPr>
            <w:r w:rsidRPr="009A34E1">
              <w:rPr>
                <w:b/>
                <w:bCs/>
              </w:rPr>
              <w:t xml:space="preserve">The following rating scale can be used to rate how the organisation is performing against each statement or requirement: </w:t>
            </w:r>
          </w:p>
          <w:p w14:paraId="51A7CA24" w14:textId="77777777" w:rsidR="00A203F4" w:rsidRPr="009A34E1" w:rsidRDefault="00A203F4">
            <w:pPr>
              <w:pStyle w:val="Bullet1"/>
              <w:numPr>
                <w:ilvl w:val="0"/>
                <w:numId w:val="9"/>
              </w:numPr>
              <w:rPr>
                <w:b/>
                <w:bCs/>
              </w:rPr>
            </w:pPr>
            <w:r w:rsidRPr="009A34E1">
              <w:rPr>
                <w:b/>
                <w:bCs/>
              </w:rPr>
              <w:t>just beginning, self-assessment and planning</w:t>
            </w:r>
          </w:p>
          <w:p w14:paraId="2D029980" w14:textId="77777777" w:rsidR="00A203F4" w:rsidRPr="009A34E1" w:rsidRDefault="00A203F4">
            <w:pPr>
              <w:pStyle w:val="Bullet1"/>
              <w:numPr>
                <w:ilvl w:val="0"/>
                <w:numId w:val="9"/>
              </w:numPr>
              <w:rPr>
                <w:b/>
                <w:bCs/>
              </w:rPr>
            </w:pPr>
            <w:r w:rsidRPr="009A34E1">
              <w:rPr>
                <w:b/>
                <w:bCs/>
              </w:rPr>
              <w:t>some progress, implementation of some aspects evident</w:t>
            </w:r>
          </w:p>
          <w:p w14:paraId="57C795D8" w14:textId="77777777" w:rsidR="00A203F4" w:rsidRPr="009A34E1" w:rsidRDefault="00A203F4">
            <w:pPr>
              <w:pStyle w:val="Bullet1"/>
              <w:numPr>
                <w:ilvl w:val="0"/>
                <w:numId w:val="9"/>
              </w:numPr>
              <w:rPr>
                <w:b/>
                <w:bCs/>
              </w:rPr>
            </w:pPr>
            <w:r w:rsidRPr="009A34E1">
              <w:rPr>
                <w:b/>
                <w:bCs/>
              </w:rPr>
              <w:t xml:space="preserve">most but not all aspects </w:t>
            </w:r>
            <w:proofErr w:type="gramStart"/>
            <w:r w:rsidRPr="009A34E1">
              <w:rPr>
                <w:b/>
                <w:bCs/>
              </w:rPr>
              <w:t>implemented</w:t>
            </w:r>
            <w:proofErr w:type="gramEnd"/>
          </w:p>
          <w:p w14:paraId="1ECC7136" w14:textId="77777777" w:rsidR="00A203F4" w:rsidRPr="009A34E1" w:rsidRDefault="00A203F4">
            <w:pPr>
              <w:pStyle w:val="Bullet1"/>
              <w:numPr>
                <w:ilvl w:val="0"/>
                <w:numId w:val="9"/>
              </w:numPr>
              <w:rPr>
                <w:b/>
                <w:bCs/>
              </w:rPr>
            </w:pPr>
            <w:r w:rsidRPr="009A34E1">
              <w:rPr>
                <w:b/>
                <w:bCs/>
              </w:rPr>
              <w:t xml:space="preserve">all aspects </w:t>
            </w:r>
            <w:proofErr w:type="gramStart"/>
            <w:r w:rsidRPr="009A34E1">
              <w:rPr>
                <w:b/>
                <w:bCs/>
              </w:rPr>
              <w:t>implemented</w:t>
            </w:r>
            <w:proofErr w:type="gramEnd"/>
          </w:p>
          <w:p w14:paraId="243F9386" w14:textId="2DA7A897" w:rsidR="00A203F4" w:rsidRPr="009A34E1" w:rsidRDefault="00A203F4">
            <w:pPr>
              <w:pStyle w:val="Bullet1"/>
              <w:numPr>
                <w:ilvl w:val="0"/>
                <w:numId w:val="9"/>
              </w:numPr>
              <w:rPr>
                <w:b/>
                <w:bCs/>
              </w:rPr>
            </w:pPr>
            <w:r w:rsidRPr="009A34E1">
              <w:rPr>
                <w:b/>
                <w:bCs/>
              </w:rPr>
              <w:t>all aspects implemented, and regularly reviewed</w:t>
            </w:r>
          </w:p>
        </w:tc>
        <w:tc>
          <w:tcPr>
            <w:tcW w:w="7563" w:type="dxa"/>
          </w:tcPr>
          <w:p w14:paraId="7888DAC4" w14:textId="1B4209A0" w:rsidR="00A203F4" w:rsidRPr="009A34E1" w:rsidRDefault="00A203F4" w:rsidP="00A203F4">
            <w:pPr>
              <w:pStyle w:val="Body"/>
            </w:pPr>
            <w:r w:rsidRPr="009A34E1">
              <w:t xml:space="preserve">The following questions can be asked to inform the rating: </w:t>
            </w:r>
          </w:p>
          <w:p w14:paraId="353D7BAD" w14:textId="77777777" w:rsidR="00A203F4" w:rsidRPr="009A34E1" w:rsidRDefault="00A203F4" w:rsidP="00A203F4">
            <w:pPr>
              <w:pStyle w:val="Bullet1"/>
            </w:pPr>
            <w:r w:rsidRPr="009A34E1">
              <w:t>To what extent is the requirement implemented?</w:t>
            </w:r>
          </w:p>
          <w:p w14:paraId="12BE7A09" w14:textId="53807F00" w:rsidR="00A203F4" w:rsidRPr="009A34E1" w:rsidRDefault="00A203F4" w:rsidP="00A203F4">
            <w:pPr>
              <w:pStyle w:val="Bullet1"/>
            </w:pPr>
            <w:r w:rsidRPr="009A34E1">
              <w:t xml:space="preserve">Do all </w:t>
            </w:r>
            <w:r w:rsidR="00E16894" w:rsidRPr="009A34E1">
              <w:t>surgical specialities or</w:t>
            </w:r>
            <w:r w:rsidRPr="009A34E1">
              <w:t xml:space="preserve"> services meet requirements to the same extent?</w:t>
            </w:r>
          </w:p>
          <w:p w14:paraId="305C6B1C" w14:textId="77777777" w:rsidR="00A203F4" w:rsidRPr="009A34E1" w:rsidRDefault="00A203F4" w:rsidP="00A203F4">
            <w:pPr>
              <w:pStyle w:val="Bullet1"/>
            </w:pPr>
            <w:r w:rsidRPr="009A34E1">
              <w:t xml:space="preserve">What information is available to the public/patient? </w:t>
            </w:r>
          </w:p>
          <w:p w14:paraId="360B35AD" w14:textId="477454F3" w:rsidR="00A203F4" w:rsidRPr="009A34E1" w:rsidRDefault="00A203F4" w:rsidP="00A203F4">
            <w:pPr>
              <w:pStyle w:val="Bullet1"/>
            </w:pPr>
            <w:r w:rsidRPr="009A34E1">
              <w:t xml:space="preserve">If asked, what would people say about how the service meets each requirement or the policy as a whole? </w:t>
            </w:r>
          </w:p>
        </w:tc>
      </w:tr>
    </w:tbl>
    <w:p w14:paraId="7E53C6FC" w14:textId="77777777" w:rsidR="005D4CDC" w:rsidRPr="009A34E1" w:rsidRDefault="005D4CDC" w:rsidP="009C34EA">
      <w:pPr>
        <w:pStyle w:val="Heading1"/>
        <w:rPr>
          <w:color w:val="0033CC"/>
        </w:rPr>
      </w:pPr>
    </w:p>
    <w:p w14:paraId="491C1D83" w14:textId="77777777" w:rsidR="005D4CDC" w:rsidRPr="009A34E1" w:rsidRDefault="005D4CDC">
      <w:pPr>
        <w:spacing w:after="0" w:line="240" w:lineRule="auto"/>
        <w:rPr>
          <w:rFonts w:eastAsia="MS Gothic" w:cs="Arial"/>
          <w:bCs/>
          <w:color w:val="0033CC"/>
          <w:kern w:val="32"/>
          <w:sz w:val="40"/>
          <w:szCs w:val="40"/>
        </w:rPr>
      </w:pPr>
      <w:r w:rsidRPr="009A34E1">
        <w:rPr>
          <w:color w:val="0033CC"/>
        </w:rPr>
        <w:br w:type="page"/>
      </w:r>
    </w:p>
    <w:p w14:paraId="0E40CA42" w14:textId="4B292E56" w:rsidR="009C34EA" w:rsidRPr="00AD3008" w:rsidRDefault="009C34EA" w:rsidP="00AD3008">
      <w:pPr>
        <w:pStyle w:val="Heading1"/>
      </w:pPr>
      <w:bookmarkStart w:id="3" w:name="_Toc169700432"/>
      <w:r w:rsidRPr="00AD3008">
        <w:lastRenderedPageBreak/>
        <w:t>Policy requirements that should already be i</w:t>
      </w:r>
      <w:r w:rsidR="00D94491" w:rsidRPr="00AD3008">
        <w:t>n place or implemented</w:t>
      </w:r>
      <w:bookmarkEnd w:id="3"/>
    </w:p>
    <w:p w14:paraId="4E4C6C12" w14:textId="438095BF" w:rsidR="00975FC2" w:rsidRPr="009A34E1" w:rsidRDefault="009C34EA" w:rsidP="00F9003F">
      <w:pPr>
        <w:pStyle w:val="Heading3"/>
      </w:pPr>
      <w:r w:rsidRPr="009A34E1">
        <w:t xml:space="preserve">Headline </w:t>
      </w:r>
      <w:r w:rsidR="006713BC" w:rsidRPr="009A34E1">
        <w:t>updated</w:t>
      </w:r>
      <w:r w:rsidR="00E411CF" w:rsidRPr="009A34E1">
        <w:t xml:space="preserve"> </w:t>
      </w:r>
      <w:proofErr w:type="gramStart"/>
      <w:r w:rsidRPr="009A34E1">
        <w:t>requirements</w:t>
      </w:r>
      <w:proofErr w:type="gramEnd"/>
    </w:p>
    <w:p w14:paraId="4D142895" w14:textId="58AB3C6E" w:rsidR="00866E2D" w:rsidRPr="009A34E1" w:rsidRDefault="009B20FB" w:rsidP="009B20FB">
      <w:pPr>
        <w:pStyle w:val="Bullet1"/>
        <w:numPr>
          <w:ilvl w:val="0"/>
          <w:numId w:val="0"/>
        </w:numPr>
        <w:ind w:left="284" w:hanging="284"/>
      </w:pPr>
      <w:r w:rsidRPr="009A34E1">
        <w:rPr>
          <w:b/>
          <w:bCs/>
        </w:rPr>
        <w:t>The p</w:t>
      </w:r>
      <w:r w:rsidR="00B56A47" w:rsidRPr="009A34E1">
        <w:rPr>
          <w:b/>
          <w:bCs/>
        </w:rPr>
        <w:t>olicy requirements</w:t>
      </w:r>
      <w:r w:rsidR="00B56A47" w:rsidRPr="009A34E1">
        <w:t xml:space="preserve"> </w:t>
      </w:r>
      <w:r w:rsidR="00B56A47" w:rsidRPr="009A34E1">
        <w:rPr>
          <w:b/>
          <w:bCs/>
        </w:rPr>
        <w:t>in</w:t>
      </w:r>
      <w:r w:rsidR="00114070" w:rsidRPr="009A34E1">
        <w:rPr>
          <w:b/>
          <w:bCs/>
        </w:rPr>
        <w:t xml:space="preserve"> both</w:t>
      </w:r>
      <w:r w:rsidR="00C22583" w:rsidRPr="009A34E1">
        <w:t xml:space="preserve"> the</w:t>
      </w:r>
      <w:r w:rsidR="00B56A47" w:rsidRPr="009A34E1">
        <w:t xml:space="preserve"> </w:t>
      </w:r>
      <w:r w:rsidR="001119F9" w:rsidRPr="009A34E1">
        <w:t>Elective surgery</w:t>
      </w:r>
      <w:r w:rsidR="004F11F4" w:rsidRPr="009A34E1">
        <w:t xml:space="preserve"> access policy 201</w:t>
      </w:r>
      <w:r w:rsidR="001119F9" w:rsidRPr="009A34E1">
        <w:t>5</w:t>
      </w:r>
      <w:r w:rsidR="00460284" w:rsidRPr="009A34E1">
        <w:t xml:space="preserve"> and </w:t>
      </w:r>
      <w:r w:rsidR="00114070" w:rsidRPr="009A34E1">
        <w:t xml:space="preserve">Planned </w:t>
      </w:r>
      <w:r w:rsidR="005F6D4E" w:rsidRPr="009A34E1">
        <w:t>s</w:t>
      </w:r>
      <w:r w:rsidR="00114070" w:rsidRPr="009A34E1">
        <w:t xml:space="preserve">urgery </w:t>
      </w:r>
      <w:r w:rsidR="005F6D4E" w:rsidRPr="009A34E1">
        <w:t>a</w:t>
      </w:r>
      <w:r w:rsidR="00114070" w:rsidRPr="009A34E1">
        <w:t xml:space="preserve">ccess </w:t>
      </w:r>
      <w:r w:rsidR="00BA032B" w:rsidRPr="009A34E1">
        <w:t>policy</w:t>
      </w:r>
      <w:r w:rsidR="001119F9" w:rsidRPr="009A34E1">
        <w:t xml:space="preserve"> 2024</w:t>
      </w:r>
    </w:p>
    <w:p w14:paraId="047B21DE" w14:textId="63BBF30D" w:rsidR="004B48F0" w:rsidRPr="009A34E1" w:rsidRDefault="008742CB" w:rsidP="009B20FB">
      <w:pPr>
        <w:pStyle w:val="Bullet1"/>
        <w:numPr>
          <w:ilvl w:val="0"/>
          <w:numId w:val="0"/>
        </w:numPr>
        <w:ind w:left="284" w:hanging="284"/>
      </w:pPr>
      <w:r w:rsidRPr="009A34E1">
        <w:rPr>
          <w:b/>
          <w:bCs/>
        </w:rPr>
        <w:t>Treat</w:t>
      </w:r>
      <w:r w:rsidR="005F6D4E" w:rsidRPr="009A34E1">
        <w:rPr>
          <w:b/>
          <w:bCs/>
        </w:rPr>
        <w:t xml:space="preserve"> </w:t>
      </w:r>
      <w:r w:rsidRPr="009A34E1">
        <w:rPr>
          <w:b/>
          <w:bCs/>
        </w:rPr>
        <w:t>in</w:t>
      </w:r>
      <w:r w:rsidR="005F6D4E" w:rsidRPr="009A34E1">
        <w:rPr>
          <w:b/>
          <w:bCs/>
        </w:rPr>
        <w:t xml:space="preserve"> </w:t>
      </w:r>
      <w:r w:rsidRPr="009A34E1">
        <w:rPr>
          <w:b/>
          <w:bCs/>
        </w:rPr>
        <w:t>turn</w:t>
      </w:r>
      <w:r w:rsidRPr="009A34E1">
        <w:t xml:space="preserve">. </w:t>
      </w:r>
    </w:p>
    <w:p w14:paraId="067B37B7" w14:textId="77777777" w:rsidR="00B504F1" w:rsidRPr="009A34E1" w:rsidRDefault="00B504F1" w:rsidP="00B504F1">
      <w:pPr>
        <w:pStyle w:val="Bullet1"/>
      </w:pPr>
      <w:r w:rsidRPr="009A34E1">
        <w:rPr>
          <w:lang w:val="en-US"/>
        </w:rPr>
        <w:t xml:space="preserve">The policy requires a treat-in turn approach to each surgical or procedural specialty to ensure each patient on a preparation list is treated based on their clinical need. </w:t>
      </w:r>
    </w:p>
    <w:p w14:paraId="40150AD9" w14:textId="77777777" w:rsidR="00B504F1" w:rsidRPr="009A34E1" w:rsidRDefault="00B504F1" w:rsidP="00B504F1">
      <w:pPr>
        <w:pStyle w:val="Bullet1"/>
      </w:pPr>
      <w:r w:rsidRPr="009A34E1">
        <w:t>Over the next 12 months, the department will develop a standard methodology to calculate the current treat in turn ratio at each health service and share these findings. The analysis will be used to support ongoing service improvement.</w:t>
      </w:r>
    </w:p>
    <w:p w14:paraId="14F5CDE9" w14:textId="324BC416" w:rsidR="00437261" w:rsidRPr="009A34E1" w:rsidRDefault="00FD1FC6" w:rsidP="009B20FB">
      <w:pPr>
        <w:pStyle w:val="Bullet1"/>
        <w:numPr>
          <w:ilvl w:val="0"/>
          <w:numId w:val="0"/>
        </w:numPr>
        <w:rPr>
          <w:lang w:eastAsia="en-AU"/>
        </w:rPr>
      </w:pPr>
      <w:r w:rsidRPr="009A34E1">
        <w:rPr>
          <w:b/>
          <w:bCs/>
          <w:lang w:eastAsia="en-AU"/>
        </w:rPr>
        <w:t xml:space="preserve">Requests for planned surgery or </w:t>
      </w:r>
      <w:r w:rsidR="009B20FB" w:rsidRPr="009A34E1">
        <w:rPr>
          <w:b/>
          <w:bCs/>
          <w:lang w:eastAsia="en-AU"/>
        </w:rPr>
        <w:t>p</w:t>
      </w:r>
      <w:r w:rsidRPr="009A34E1">
        <w:rPr>
          <w:b/>
          <w:bCs/>
          <w:lang w:eastAsia="en-AU"/>
        </w:rPr>
        <w:t>rocedure</w:t>
      </w:r>
      <w:r w:rsidR="00437261" w:rsidRPr="009A34E1">
        <w:rPr>
          <w:lang w:eastAsia="en-AU"/>
        </w:rPr>
        <w:t xml:space="preserve"> </w:t>
      </w:r>
    </w:p>
    <w:p w14:paraId="2F314C33" w14:textId="77777777" w:rsidR="00FD1FC6" w:rsidRPr="009A34E1" w:rsidRDefault="00FD1FC6" w:rsidP="00FD1FC6">
      <w:pPr>
        <w:pStyle w:val="Bullet1"/>
        <w:rPr>
          <w:lang w:eastAsia="en-AU"/>
        </w:rPr>
      </w:pPr>
      <w:r w:rsidRPr="009A34E1">
        <w:rPr>
          <w:lang w:eastAsia="en-AU"/>
        </w:rPr>
        <w:t xml:space="preserve">Only clinicians with admitting rights or a similar agreement with a health service can request that a patient is registered on that health service’s preparation list. The requesting clinician must provide essential information such as proposed clinical categorisation, if the patient is ready for surgery, anticipated length of stay in hospital etc. </w:t>
      </w:r>
    </w:p>
    <w:p w14:paraId="11451DBE" w14:textId="77777777" w:rsidR="00FD1FC6" w:rsidRPr="009A34E1" w:rsidRDefault="00FD1FC6" w:rsidP="00FD1FC6">
      <w:pPr>
        <w:pStyle w:val="Bullet1"/>
        <w:rPr>
          <w:lang w:eastAsia="en-AU"/>
        </w:rPr>
      </w:pPr>
      <w:r w:rsidRPr="009A34E1">
        <w:rPr>
          <w:lang w:eastAsia="en-AU"/>
        </w:rPr>
        <w:t xml:space="preserve">Health services must not accept surgical referrals from requesting clinicians that are incomplete or do not have the required information to assess the surgical referral and take immediate action for category 1 requests. </w:t>
      </w:r>
    </w:p>
    <w:p w14:paraId="2F3890F6" w14:textId="3AF96E18" w:rsidR="00114070" w:rsidRPr="009A34E1" w:rsidRDefault="00FC4B20" w:rsidP="00361226">
      <w:pPr>
        <w:pStyle w:val="Bullet1"/>
        <w:numPr>
          <w:ilvl w:val="0"/>
          <w:numId w:val="0"/>
        </w:numPr>
      </w:pPr>
      <w:r w:rsidRPr="009A34E1">
        <w:rPr>
          <w:b/>
        </w:rPr>
        <w:t>Regionalised preparation lists</w:t>
      </w:r>
      <w:r w:rsidR="00114070" w:rsidRPr="009A34E1">
        <w:t xml:space="preserve"> </w:t>
      </w:r>
      <w:r w:rsidR="009A4D18" w:rsidRPr="009A34E1">
        <w:t xml:space="preserve"> </w:t>
      </w:r>
    </w:p>
    <w:p w14:paraId="1514879A" w14:textId="3EAD2F60" w:rsidR="00361226" w:rsidRPr="009A34E1" w:rsidRDefault="00222168" w:rsidP="00361226">
      <w:pPr>
        <w:pStyle w:val="Bullet1"/>
      </w:pPr>
      <w:r w:rsidRPr="009A34E1">
        <w:rPr>
          <w:lang w:val="en-US"/>
        </w:rPr>
        <w:t xml:space="preserve">The </w:t>
      </w:r>
      <w:r w:rsidRPr="009A34E1">
        <w:t>Elective surgery access policy 2015 included the concept of pooled waiting lists.</w:t>
      </w:r>
      <w:r w:rsidRPr="009A34E1">
        <w:rPr>
          <w:lang w:val="en-US"/>
        </w:rPr>
        <w:t xml:space="preserve"> </w:t>
      </w:r>
      <w:r w:rsidR="00361226" w:rsidRPr="009A34E1">
        <w:rPr>
          <w:lang w:val="en-US"/>
        </w:rPr>
        <w:t xml:space="preserve">Health services are encouraged to </w:t>
      </w:r>
      <w:r w:rsidRPr="009A34E1">
        <w:rPr>
          <w:lang w:val="en-US"/>
        </w:rPr>
        <w:t xml:space="preserve">build on this concept to </w:t>
      </w:r>
      <w:r w:rsidR="00361226" w:rsidRPr="009A34E1">
        <w:rPr>
          <w:lang w:val="en-US"/>
        </w:rPr>
        <w:t>develop innovative and collaborative agreements, including regionalised or Health Service Partnership-wide preparation lists as outlined in the Planned Surgery Reform Blueprint 2023 through using regionalised preparation lists</w:t>
      </w:r>
      <w:r w:rsidR="00373F87" w:rsidRPr="009A34E1">
        <w:rPr>
          <w:lang w:val="en-US"/>
        </w:rPr>
        <w:t xml:space="preserve"> where applicable, or as required</w:t>
      </w:r>
      <w:r w:rsidR="00361226" w:rsidRPr="009A34E1">
        <w:rPr>
          <w:lang w:val="en-US"/>
        </w:rPr>
        <w:t>.</w:t>
      </w:r>
    </w:p>
    <w:p w14:paraId="4FA2DEC9" w14:textId="77777777" w:rsidR="00361226" w:rsidRPr="009A34E1" w:rsidRDefault="00361226" w:rsidP="00361226">
      <w:pPr>
        <w:pStyle w:val="Bullet1"/>
      </w:pPr>
      <w:r w:rsidRPr="009A34E1">
        <w:t>If regionalised preparation lists are used for a surgical or procedural speciality, health services must assign a head of unit responsible for managing and overseeing these pooled preparation lists.</w:t>
      </w:r>
    </w:p>
    <w:p w14:paraId="350ED111" w14:textId="77777777" w:rsidR="004B48F0" w:rsidRPr="009A34E1" w:rsidRDefault="00987411" w:rsidP="004B48F0">
      <w:pPr>
        <w:pStyle w:val="Bullet1"/>
        <w:numPr>
          <w:ilvl w:val="0"/>
          <w:numId w:val="0"/>
        </w:numPr>
        <w:rPr>
          <w:lang w:eastAsia="en-AU"/>
        </w:rPr>
      </w:pPr>
      <w:r w:rsidRPr="009A34E1">
        <w:rPr>
          <w:b/>
          <w:bCs/>
          <w:lang w:eastAsia="en-AU"/>
        </w:rPr>
        <w:t>Responsibilities</w:t>
      </w:r>
      <w:r w:rsidR="00EF5B8B" w:rsidRPr="009A34E1">
        <w:rPr>
          <w:b/>
          <w:bCs/>
          <w:lang w:eastAsia="en-AU"/>
        </w:rPr>
        <w:t xml:space="preserve"> of the head of unit</w:t>
      </w:r>
      <w:r w:rsidRPr="009A34E1">
        <w:rPr>
          <w:lang w:eastAsia="en-AU"/>
        </w:rPr>
        <w:t xml:space="preserve"> </w:t>
      </w:r>
    </w:p>
    <w:p w14:paraId="01748304" w14:textId="71E68F27" w:rsidR="004B48F0" w:rsidRPr="009A34E1" w:rsidRDefault="004B48F0" w:rsidP="004B48F0">
      <w:pPr>
        <w:pStyle w:val="Bullet1"/>
        <w:rPr>
          <w:lang w:eastAsia="en-AU"/>
        </w:rPr>
      </w:pPr>
      <w:r w:rsidRPr="009A34E1">
        <w:rPr>
          <w:lang w:eastAsia="en-AU"/>
        </w:rPr>
        <w:t>The</w:t>
      </w:r>
      <w:r w:rsidRPr="009A34E1">
        <w:rPr>
          <w:lang w:val="en-US" w:eastAsia="en-AU"/>
        </w:rPr>
        <w:t xml:space="preserve"> head of unit is responsible for managing and overseeing preparation list for their surgical or procedural specialty. </w:t>
      </w:r>
    </w:p>
    <w:p w14:paraId="5AC68577" w14:textId="2716B39D" w:rsidR="004B48F0" w:rsidRPr="009A34E1" w:rsidRDefault="004B48F0" w:rsidP="004B48F0">
      <w:pPr>
        <w:pStyle w:val="Bullet1"/>
        <w:rPr>
          <w:lang w:eastAsia="en-AU"/>
        </w:rPr>
      </w:pPr>
      <w:r w:rsidRPr="009A34E1">
        <w:rPr>
          <w:lang w:val="en-US" w:eastAsia="en-AU"/>
        </w:rPr>
        <w:t>This includes ensuring surgical referrals are accepted in line with policy requirements, ensuring that each person is treated in turn and changes to the categorisation of patients on preparation lists etc.</w:t>
      </w:r>
    </w:p>
    <w:p w14:paraId="679CF11C" w14:textId="66934B97" w:rsidR="000D3E26" w:rsidRPr="009A34E1" w:rsidRDefault="000D3E26" w:rsidP="00175D67">
      <w:pPr>
        <w:pStyle w:val="Tablecaption"/>
      </w:pPr>
      <w:r w:rsidRPr="009A34E1">
        <w:lastRenderedPageBreak/>
        <w:t xml:space="preserve">Table 1 </w:t>
      </w:r>
      <w:r w:rsidR="00175D67" w:rsidRPr="009A34E1">
        <w:t xml:space="preserve">Policy requirements from previous and current policy that should already have been </w:t>
      </w:r>
      <w:proofErr w:type="gramStart"/>
      <w:r w:rsidR="00175D67" w:rsidRPr="009A34E1">
        <w:t>implemented</w:t>
      </w:r>
      <w:proofErr w:type="gramEnd"/>
    </w:p>
    <w:tbl>
      <w:tblPr>
        <w:tblStyle w:val="TableGrid"/>
        <w:tblW w:w="14884" w:type="dxa"/>
        <w:tblInd w:w="-5" w:type="dxa"/>
        <w:tblLook w:val="04A0" w:firstRow="1" w:lastRow="0" w:firstColumn="1" w:lastColumn="0" w:noHBand="0" w:noVBand="1"/>
      </w:tblPr>
      <w:tblGrid>
        <w:gridCol w:w="7563"/>
        <w:gridCol w:w="870"/>
        <w:gridCol w:w="3365"/>
        <w:gridCol w:w="3086"/>
      </w:tblGrid>
      <w:tr w:rsidR="00A203F4" w:rsidRPr="009A34E1" w14:paraId="3375E3BA" w14:textId="77777777" w:rsidTr="001F53C6">
        <w:trPr>
          <w:tblHeader/>
        </w:trPr>
        <w:tc>
          <w:tcPr>
            <w:tcW w:w="7655" w:type="dxa"/>
          </w:tcPr>
          <w:p w14:paraId="4A7F58ED" w14:textId="62C3FE23" w:rsidR="00A203F4" w:rsidRPr="00D85A72" w:rsidRDefault="00A203F4">
            <w:pPr>
              <w:pStyle w:val="Tablecolhead"/>
              <w:rPr>
                <w:color w:val="0F243E" w:themeColor="text2" w:themeShade="80"/>
              </w:rPr>
            </w:pPr>
            <w:r w:rsidRPr="00D85A72">
              <w:rPr>
                <w:color w:val="0F243E" w:themeColor="text2" w:themeShade="80"/>
              </w:rPr>
              <w:t>Obligations / requirements to be met:</w:t>
            </w:r>
          </w:p>
        </w:tc>
        <w:tc>
          <w:tcPr>
            <w:tcW w:w="711" w:type="dxa"/>
          </w:tcPr>
          <w:p w14:paraId="12835198" w14:textId="77777777" w:rsidR="00A203F4" w:rsidRPr="00D85A72" w:rsidRDefault="00A203F4">
            <w:pPr>
              <w:pStyle w:val="Tablecolhead"/>
              <w:rPr>
                <w:color w:val="0F243E" w:themeColor="text2" w:themeShade="80"/>
              </w:rPr>
            </w:pPr>
            <w:r w:rsidRPr="00D85A72">
              <w:rPr>
                <w:color w:val="0F243E" w:themeColor="text2" w:themeShade="80"/>
              </w:rPr>
              <w:t>Rating (1-5)</w:t>
            </w:r>
          </w:p>
        </w:tc>
        <w:tc>
          <w:tcPr>
            <w:tcW w:w="3401" w:type="dxa"/>
          </w:tcPr>
          <w:p w14:paraId="278138A8" w14:textId="07417C3D" w:rsidR="00A203F4" w:rsidRPr="00D85A72" w:rsidRDefault="00A203F4">
            <w:pPr>
              <w:pStyle w:val="Tablecolhead"/>
              <w:rPr>
                <w:color w:val="0F243E" w:themeColor="text2" w:themeShade="80"/>
              </w:rPr>
            </w:pPr>
            <w:r w:rsidRPr="00D85A72">
              <w:rPr>
                <w:color w:val="0F243E" w:themeColor="text2" w:themeShade="80"/>
              </w:rPr>
              <w:t>Gaps still to be addressed</w:t>
            </w:r>
          </w:p>
        </w:tc>
        <w:tc>
          <w:tcPr>
            <w:tcW w:w="3117" w:type="dxa"/>
          </w:tcPr>
          <w:p w14:paraId="66039B9E" w14:textId="6E889A43" w:rsidR="00A203F4" w:rsidRPr="00D85A72" w:rsidRDefault="00A203F4">
            <w:pPr>
              <w:pStyle w:val="Tablecolhead"/>
              <w:rPr>
                <w:color w:val="0F243E" w:themeColor="text2" w:themeShade="80"/>
              </w:rPr>
            </w:pPr>
            <w:r w:rsidRPr="00D85A72">
              <w:rPr>
                <w:color w:val="0F243E" w:themeColor="text2" w:themeShade="80"/>
              </w:rPr>
              <w:t>Comments</w:t>
            </w:r>
            <w:r w:rsidR="00BE6615" w:rsidRPr="00D85A72">
              <w:rPr>
                <w:color w:val="0F243E" w:themeColor="text2" w:themeShade="80"/>
              </w:rPr>
              <w:t xml:space="preserve"> / issues</w:t>
            </w:r>
          </w:p>
        </w:tc>
      </w:tr>
      <w:tr w:rsidR="00C260F3" w:rsidRPr="009A34E1" w14:paraId="7BF7EB1E" w14:textId="77777777" w:rsidTr="00784999">
        <w:tc>
          <w:tcPr>
            <w:tcW w:w="14884" w:type="dxa"/>
            <w:gridSpan w:val="4"/>
          </w:tcPr>
          <w:p w14:paraId="0712EC17" w14:textId="3D10C78F" w:rsidR="00C260F3" w:rsidRPr="00D85A72" w:rsidRDefault="004A3DCB" w:rsidP="00C260F3">
            <w:pPr>
              <w:pStyle w:val="DHHSbody"/>
              <w:rPr>
                <w:b/>
                <w:color w:val="0F243E" w:themeColor="text2" w:themeShade="80"/>
              </w:rPr>
            </w:pPr>
            <w:r w:rsidRPr="00D85A72">
              <w:rPr>
                <w:b/>
                <w:bCs/>
                <w:color w:val="0F243E" w:themeColor="text2" w:themeShade="80"/>
              </w:rPr>
              <w:t>Section 3 Roles and responsibilities</w:t>
            </w:r>
          </w:p>
        </w:tc>
      </w:tr>
      <w:tr w:rsidR="00C260F3" w:rsidRPr="009A34E1" w14:paraId="45DDE5E4" w14:textId="77777777" w:rsidTr="001F53C6">
        <w:tc>
          <w:tcPr>
            <w:tcW w:w="7655" w:type="dxa"/>
          </w:tcPr>
          <w:p w14:paraId="7103EA03" w14:textId="5C08F35E" w:rsidR="00C260F3" w:rsidRPr="009A34E1" w:rsidRDefault="00DD31D5" w:rsidP="004C3AB1">
            <w:pPr>
              <w:pStyle w:val="Body"/>
              <w:rPr>
                <w:lang w:eastAsia="en-AU"/>
              </w:rPr>
            </w:pPr>
            <w:r w:rsidRPr="009A34E1">
              <w:rPr>
                <w:lang w:eastAsia="en-AU"/>
              </w:rPr>
              <w:t>D</w:t>
            </w:r>
            <w:r w:rsidR="00D81837" w:rsidRPr="009A34E1">
              <w:rPr>
                <w:lang w:eastAsia="en-AU"/>
              </w:rPr>
              <w:t xml:space="preserve">elivery of care is informed by shared-decision making and patient-centred access to high-quality planned surgery, </w:t>
            </w:r>
            <w:proofErr w:type="gramStart"/>
            <w:r w:rsidR="00D81837" w:rsidRPr="009A34E1">
              <w:rPr>
                <w:lang w:eastAsia="en-AU"/>
              </w:rPr>
              <w:t>procedures</w:t>
            </w:r>
            <w:proofErr w:type="gramEnd"/>
            <w:r w:rsidR="00D81837" w:rsidRPr="009A34E1">
              <w:rPr>
                <w:lang w:eastAsia="en-AU"/>
              </w:rPr>
              <w:t xml:space="preserve"> and other treatment options.</w:t>
            </w:r>
          </w:p>
        </w:tc>
        <w:tc>
          <w:tcPr>
            <w:tcW w:w="711" w:type="dxa"/>
          </w:tcPr>
          <w:p w14:paraId="3E3568B4" w14:textId="77777777" w:rsidR="00C260F3" w:rsidRPr="009A34E1" w:rsidRDefault="00C260F3" w:rsidP="00C260F3">
            <w:pPr>
              <w:pStyle w:val="DHHSbody"/>
              <w:rPr>
                <w:b/>
              </w:rPr>
            </w:pPr>
          </w:p>
        </w:tc>
        <w:tc>
          <w:tcPr>
            <w:tcW w:w="3401" w:type="dxa"/>
          </w:tcPr>
          <w:p w14:paraId="21FEA5B9" w14:textId="77777777" w:rsidR="00C260F3" w:rsidRPr="009A34E1" w:rsidRDefault="00C260F3" w:rsidP="00C260F3">
            <w:pPr>
              <w:pStyle w:val="DHHSbody"/>
              <w:rPr>
                <w:b/>
              </w:rPr>
            </w:pPr>
          </w:p>
        </w:tc>
        <w:tc>
          <w:tcPr>
            <w:tcW w:w="3117" w:type="dxa"/>
          </w:tcPr>
          <w:p w14:paraId="41286600" w14:textId="77777777" w:rsidR="00C260F3" w:rsidRPr="009A34E1" w:rsidRDefault="00C260F3" w:rsidP="00C260F3">
            <w:pPr>
              <w:pStyle w:val="DHHSbody"/>
              <w:rPr>
                <w:b/>
              </w:rPr>
            </w:pPr>
          </w:p>
        </w:tc>
      </w:tr>
      <w:tr w:rsidR="003C2D06" w:rsidRPr="009A34E1" w14:paraId="67DE9D75" w14:textId="77777777" w:rsidTr="001F53C6">
        <w:tc>
          <w:tcPr>
            <w:tcW w:w="7655" w:type="dxa"/>
          </w:tcPr>
          <w:p w14:paraId="3B0EA41C" w14:textId="7ABCA8C6" w:rsidR="003C2D06" w:rsidRPr="009A34E1" w:rsidRDefault="008E3C81" w:rsidP="0013641A">
            <w:pPr>
              <w:pStyle w:val="Body"/>
            </w:pPr>
            <w:r w:rsidRPr="009A34E1">
              <w:t xml:space="preserve">Provide culturally safe and respectful services and support for Aboriginal patients, in line with the </w:t>
            </w:r>
            <w:hyperlink r:id="rId19" w:history="1">
              <w:r w:rsidRPr="009A34E1">
                <w:rPr>
                  <w:rStyle w:val="Hyperlink"/>
                  <w:lang w:eastAsia="en-AU"/>
                </w:rPr>
                <w:t>Aboriginal and Torres Strait Islander cultural safety framework</w:t>
              </w:r>
            </w:hyperlink>
            <w:r w:rsidRPr="009A34E1">
              <w:rPr>
                <w:rStyle w:val="FootnoteReference"/>
              </w:rPr>
              <w:footnoteReference w:id="2"/>
            </w:r>
          </w:p>
        </w:tc>
        <w:tc>
          <w:tcPr>
            <w:tcW w:w="711" w:type="dxa"/>
          </w:tcPr>
          <w:p w14:paraId="3BBA9F0A" w14:textId="77777777" w:rsidR="003C2D06" w:rsidRPr="009A34E1" w:rsidRDefault="003C2D06" w:rsidP="00C260F3">
            <w:pPr>
              <w:pStyle w:val="DHHSbody"/>
              <w:rPr>
                <w:b/>
              </w:rPr>
            </w:pPr>
          </w:p>
        </w:tc>
        <w:tc>
          <w:tcPr>
            <w:tcW w:w="3401" w:type="dxa"/>
          </w:tcPr>
          <w:p w14:paraId="01741D73" w14:textId="77777777" w:rsidR="003C2D06" w:rsidRPr="009A34E1" w:rsidRDefault="003C2D06" w:rsidP="00C260F3">
            <w:pPr>
              <w:pStyle w:val="DHHSbody"/>
              <w:rPr>
                <w:b/>
              </w:rPr>
            </w:pPr>
          </w:p>
        </w:tc>
        <w:tc>
          <w:tcPr>
            <w:tcW w:w="3117" w:type="dxa"/>
          </w:tcPr>
          <w:p w14:paraId="5E9A7DF2" w14:textId="77777777" w:rsidR="003C2D06" w:rsidRPr="009A34E1" w:rsidRDefault="003C2D06" w:rsidP="00C260F3">
            <w:pPr>
              <w:pStyle w:val="DHHSbody"/>
              <w:rPr>
                <w:b/>
              </w:rPr>
            </w:pPr>
          </w:p>
        </w:tc>
      </w:tr>
      <w:tr w:rsidR="00C260F3" w:rsidRPr="009A34E1" w14:paraId="3ADA5FAB" w14:textId="77777777" w:rsidTr="001F53C6">
        <w:tc>
          <w:tcPr>
            <w:tcW w:w="7655" w:type="dxa"/>
          </w:tcPr>
          <w:p w14:paraId="3AA5B02C" w14:textId="1C82453C" w:rsidR="00C260F3" w:rsidRPr="009A34E1" w:rsidRDefault="00B65EAE" w:rsidP="00B65EAE">
            <w:pPr>
              <w:pStyle w:val="Body"/>
              <w:rPr>
                <w:lang w:eastAsia="en-AU"/>
              </w:rPr>
            </w:pPr>
            <w:r w:rsidRPr="009A34E1">
              <w:rPr>
                <w:lang w:eastAsia="en-AU"/>
              </w:rPr>
              <w:t xml:space="preserve">Providing family violence, linguistic or disability support </w:t>
            </w:r>
            <w:r w:rsidR="00C85B2F" w:rsidRPr="009A34E1">
              <w:rPr>
                <w:lang w:eastAsia="en-AU"/>
              </w:rPr>
              <w:t xml:space="preserve">to </w:t>
            </w:r>
            <w:r w:rsidRPr="009A34E1">
              <w:rPr>
                <w:lang w:eastAsia="en-AU"/>
              </w:rPr>
              <w:t>patient</w:t>
            </w:r>
            <w:r w:rsidR="000A3DE6" w:rsidRPr="009A34E1">
              <w:rPr>
                <w:lang w:eastAsia="en-AU"/>
              </w:rPr>
              <w:t>s</w:t>
            </w:r>
            <w:r w:rsidRPr="009A34E1">
              <w:rPr>
                <w:lang w:eastAsia="en-AU"/>
              </w:rPr>
              <w:t xml:space="preserve">, </w:t>
            </w:r>
            <w:proofErr w:type="gramStart"/>
            <w:r w:rsidRPr="009A34E1">
              <w:rPr>
                <w:lang w:eastAsia="en-AU"/>
              </w:rPr>
              <w:t>family</w:t>
            </w:r>
            <w:proofErr w:type="gramEnd"/>
            <w:r w:rsidRPr="009A34E1">
              <w:rPr>
                <w:lang w:eastAsia="en-AU"/>
              </w:rPr>
              <w:t xml:space="preserve"> and </w:t>
            </w:r>
            <w:r w:rsidR="001374E4" w:rsidRPr="009A34E1">
              <w:rPr>
                <w:lang w:eastAsia="en-AU"/>
              </w:rPr>
              <w:t xml:space="preserve">unpaid </w:t>
            </w:r>
            <w:r w:rsidRPr="009A34E1">
              <w:rPr>
                <w:lang w:eastAsia="en-AU"/>
              </w:rPr>
              <w:t xml:space="preserve">carer(s), including liaison services to support multicultural communities and people with a disability. </w:t>
            </w:r>
          </w:p>
        </w:tc>
        <w:tc>
          <w:tcPr>
            <w:tcW w:w="711" w:type="dxa"/>
          </w:tcPr>
          <w:p w14:paraId="016452D8" w14:textId="77777777" w:rsidR="00C260F3" w:rsidRPr="009A34E1" w:rsidRDefault="00C260F3" w:rsidP="00C260F3">
            <w:pPr>
              <w:pStyle w:val="DHHSbody"/>
              <w:rPr>
                <w:b/>
              </w:rPr>
            </w:pPr>
          </w:p>
        </w:tc>
        <w:tc>
          <w:tcPr>
            <w:tcW w:w="3401" w:type="dxa"/>
          </w:tcPr>
          <w:p w14:paraId="00CAC732" w14:textId="77777777" w:rsidR="00C260F3" w:rsidRPr="009A34E1" w:rsidRDefault="00C260F3" w:rsidP="00C260F3">
            <w:pPr>
              <w:pStyle w:val="DHHSbody"/>
              <w:rPr>
                <w:b/>
              </w:rPr>
            </w:pPr>
          </w:p>
        </w:tc>
        <w:tc>
          <w:tcPr>
            <w:tcW w:w="3117" w:type="dxa"/>
          </w:tcPr>
          <w:p w14:paraId="7E486868" w14:textId="77777777" w:rsidR="00C260F3" w:rsidRPr="009A34E1" w:rsidRDefault="00C260F3" w:rsidP="00C260F3">
            <w:pPr>
              <w:pStyle w:val="DHHSbody"/>
              <w:rPr>
                <w:b/>
              </w:rPr>
            </w:pPr>
          </w:p>
        </w:tc>
      </w:tr>
      <w:tr w:rsidR="00C260F3" w:rsidRPr="009A34E1" w14:paraId="07E0C558" w14:textId="77777777" w:rsidTr="001F53C6">
        <w:tc>
          <w:tcPr>
            <w:tcW w:w="7655" w:type="dxa"/>
          </w:tcPr>
          <w:p w14:paraId="033F3651" w14:textId="0361CF8F" w:rsidR="00414A2B" w:rsidRPr="009A34E1" w:rsidRDefault="00414A2B" w:rsidP="00414A2B">
            <w:pPr>
              <w:pStyle w:val="Body"/>
            </w:pPr>
            <w:r w:rsidRPr="009A34E1">
              <w:t xml:space="preserve">Offer virtual care options if appropriate and preferred by the patient. </w:t>
            </w:r>
            <w:r w:rsidR="00D3376F" w:rsidRPr="009A34E1">
              <w:t xml:space="preserve">Virtual care </w:t>
            </w:r>
            <w:r w:rsidRPr="009A34E1">
              <w:t xml:space="preserve">should align with: </w:t>
            </w:r>
          </w:p>
          <w:p w14:paraId="2B137C3F" w14:textId="77777777" w:rsidR="00414A2B" w:rsidRPr="009A34E1" w:rsidRDefault="00000000" w:rsidP="00414A2B">
            <w:pPr>
              <w:pStyle w:val="Bullet2"/>
            </w:pPr>
            <w:hyperlink r:id="rId20" w:history="1">
              <w:r w:rsidR="00414A2B" w:rsidRPr="009A34E1">
                <w:rPr>
                  <w:rStyle w:val="Hyperlink"/>
                  <w:lang w:eastAsia="en-AU"/>
                </w:rPr>
                <w:t xml:space="preserve">Virtual </w:t>
              </w:r>
              <w:r w:rsidR="00414A2B" w:rsidRPr="009A34E1">
                <w:rPr>
                  <w:rStyle w:val="Hyperlink"/>
                </w:rPr>
                <w:t>care</w:t>
              </w:r>
              <w:r w:rsidR="00414A2B" w:rsidRPr="009A34E1">
                <w:rPr>
                  <w:rStyle w:val="Hyperlink"/>
                  <w:lang w:eastAsia="en-AU"/>
                </w:rPr>
                <w:t xml:space="preserve"> </w:t>
              </w:r>
              <w:r w:rsidR="00414A2B" w:rsidRPr="009A34E1">
                <w:rPr>
                  <w:rStyle w:val="Hyperlink"/>
                </w:rPr>
                <w:t>o</w:t>
              </w:r>
              <w:r w:rsidR="00414A2B" w:rsidRPr="009A34E1">
                <w:rPr>
                  <w:rStyle w:val="Hyperlink"/>
                  <w:lang w:eastAsia="en-AU"/>
                </w:rPr>
                <w:t xml:space="preserve">perational </w:t>
              </w:r>
              <w:r w:rsidR="00414A2B" w:rsidRPr="009A34E1">
                <w:rPr>
                  <w:rStyle w:val="Hyperlink"/>
                </w:rPr>
                <w:t>f</w:t>
              </w:r>
              <w:r w:rsidR="00414A2B" w:rsidRPr="009A34E1">
                <w:rPr>
                  <w:rStyle w:val="Hyperlink"/>
                  <w:lang w:eastAsia="en-AU"/>
                </w:rPr>
                <w:t>ramework</w:t>
              </w:r>
            </w:hyperlink>
            <w:r w:rsidR="00414A2B" w:rsidRPr="009A34E1">
              <w:rPr>
                <w:rStyle w:val="FootnoteReference"/>
              </w:rPr>
              <w:footnoteReference w:id="3"/>
            </w:r>
            <w:r w:rsidR="00414A2B" w:rsidRPr="009A34E1" w:rsidDel="008476F3">
              <w:t xml:space="preserve"> </w:t>
            </w:r>
          </w:p>
          <w:p w14:paraId="259246EC" w14:textId="77777777" w:rsidR="00414A2B" w:rsidRPr="009A34E1" w:rsidRDefault="00000000" w:rsidP="00414A2B">
            <w:pPr>
              <w:pStyle w:val="Bullet2"/>
            </w:pPr>
            <w:hyperlink r:id="rId21" w:history="1">
              <w:r w:rsidR="00414A2B" w:rsidRPr="009A34E1">
                <w:rPr>
                  <w:color w:val="004C97"/>
                  <w:u w:val="dotted"/>
                </w:rPr>
                <w:t>Victoria’s digital health roadmap</w:t>
              </w:r>
            </w:hyperlink>
            <w:r w:rsidR="00414A2B" w:rsidRPr="009A34E1">
              <w:rPr>
                <w:rStyle w:val="FootnoteReference"/>
              </w:rPr>
              <w:footnoteReference w:id="4"/>
            </w:r>
            <w:r w:rsidR="00414A2B" w:rsidRPr="009A34E1" w:rsidDel="008476F3">
              <w:t xml:space="preserve"> </w:t>
            </w:r>
          </w:p>
          <w:p w14:paraId="6694F46B" w14:textId="568AB927" w:rsidR="00C260F3" w:rsidRPr="009A34E1" w:rsidRDefault="00000000" w:rsidP="005E0532">
            <w:pPr>
              <w:pStyle w:val="Bullet2"/>
            </w:pPr>
            <w:hyperlink r:id="rId22" w:history="1">
              <w:r w:rsidR="00414A2B" w:rsidRPr="009A34E1">
                <w:rPr>
                  <w:rStyle w:val="Hyperlink"/>
                </w:rPr>
                <w:t>Victoria’s virtual care strategy</w:t>
              </w:r>
            </w:hyperlink>
            <w:r w:rsidR="00414A2B" w:rsidRPr="009A34E1">
              <w:rPr>
                <w:rStyle w:val="FootnoteReference"/>
              </w:rPr>
              <w:footnoteReference w:id="5"/>
            </w:r>
          </w:p>
        </w:tc>
        <w:tc>
          <w:tcPr>
            <w:tcW w:w="711" w:type="dxa"/>
          </w:tcPr>
          <w:p w14:paraId="7B7189C7" w14:textId="77777777" w:rsidR="00C260F3" w:rsidRPr="009A34E1" w:rsidRDefault="00C260F3" w:rsidP="00C260F3">
            <w:pPr>
              <w:pStyle w:val="DHHSbody"/>
              <w:rPr>
                <w:b/>
              </w:rPr>
            </w:pPr>
          </w:p>
        </w:tc>
        <w:tc>
          <w:tcPr>
            <w:tcW w:w="3401" w:type="dxa"/>
          </w:tcPr>
          <w:p w14:paraId="4DBFA07C" w14:textId="77777777" w:rsidR="00C260F3" w:rsidRPr="009A34E1" w:rsidRDefault="00C260F3" w:rsidP="00C260F3">
            <w:pPr>
              <w:pStyle w:val="DHHSbody"/>
              <w:rPr>
                <w:b/>
              </w:rPr>
            </w:pPr>
          </w:p>
        </w:tc>
        <w:tc>
          <w:tcPr>
            <w:tcW w:w="3117" w:type="dxa"/>
          </w:tcPr>
          <w:p w14:paraId="4B7CA55D" w14:textId="77777777" w:rsidR="00C260F3" w:rsidRPr="009A34E1" w:rsidRDefault="00C260F3" w:rsidP="00C260F3">
            <w:pPr>
              <w:pStyle w:val="DHHSbody"/>
              <w:rPr>
                <w:b/>
              </w:rPr>
            </w:pPr>
          </w:p>
        </w:tc>
      </w:tr>
      <w:tr w:rsidR="00C260F3" w:rsidRPr="009A34E1" w14:paraId="1B559AC1" w14:textId="77777777" w:rsidTr="001F53C6">
        <w:tc>
          <w:tcPr>
            <w:tcW w:w="7655" w:type="dxa"/>
          </w:tcPr>
          <w:p w14:paraId="54FF6B4D" w14:textId="178CF5F6" w:rsidR="00C260F3" w:rsidRPr="009A34E1" w:rsidRDefault="001635AC" w:rsidP="001635AC">
            <w:pPr>
              <w:pStyle w:val="Body"/>
            </w:pPr>
            <w:r w:rsidRPr="009A34E1">
              <w:t xml:space="preserve">Identifying groups who encounter disparities in accessing health care in their local community and describing how the health service will address physical, psychological, </w:t>
            </w:r>
            <w:proofErr w:type="gramStart"/>
            <w:r w:rsidRPr="009A34E1">
              <w:t>social</w:t>
            </w:r>
            <w:proofErr w:type="gramEnd"/>
            <w:r w:rsidRPr="009A34E1">
              <w:t xml:space="preserve"> or structural barriers, particularly for intersectional groups and Aboriginal communities</w:t>
            </w:r>
            <w:r w:rsidR="00C8748C" w:rsidRPr="009A34E1">
              <w:t>.</w:t>
            </w:r>
          </w:p>
        </w:tc>
        <w:tc>
          <w:tcPr>
            <w:tcW w:w="711" w:type="dxa"/>
          </w:tcPr>
          <w:p w14:paraId="65C45ADD" w14:textId="77777777" w:rsidR="00C260F3" w:rsidRPr="009A34E1" w:rsidRDefault="00C260F3" w:rsidP="00C260F3">
            <w:pPr>
              <w:pStyle w:val="DHHSbody"/>
              <w:rPr>
                <w:b/>
              </w:rPr>
            </w:pPr>
          </w:p>
        </w:tc>
        <w:tc>
          <w:tcPr>
            <w:tcW w:w="3401" w:type="dxa"/>
          </w:tcPr>
          <w:p w14:paraId="38DEADB9" w14:textId="77777777" w:rsidR="00C260F3" w:rsidRPr="009A34E1" w:rsidRDefault="00C260F3" w:rsidP="00C260F3">
            <w:pPr>
              <w:pStyle w:val="DHHSbody"/>
              <w:rPr>
                <w:b/>
              </w:rPr>
            </w:pPr>
          </w:p>
        </w:tc>
        <w:tc>
          <w:tcPr>
            <w:tcW w:w="3117" w:type="dxa"/>
          </w:tcPr>
          <w:p w14:paraId="51BB5917" w14:textId="77777777" w:rsidR="00C260F3" w:rsidRPr="009A34E1" w:rsidRDefault="00C260F3" w:rsidP="00C260F3">
            <w:pPr>
              <w:pStyle w:val="DHHSbody"/>
              <w:rPr>
                <w:b/>
              </w:rPr>
            </w:pPr>
          </w:p>
        </w:tc>
      </w:tr>
      <w:tr w:rsidR="00C260F3" w:rsidRPr="009A34E1" w14:paraId="7DA46E56" w14:textId="77777777" w:rsidTr="001F53C6">
        <w:tc>
          <w:tcPr>
            <w:tcW w:w="7655" w:type="dxa"/>
          </w:tcPr>
          <w:p w14:paraId="6A02A6AF" w14:textId="75379D73" w:rsidR="00450547" w:rsidRPr="009A34E1" w:rsidRDefault="007D0F6C" w:rsidP="00450547">
            <w:pPr>
              <w:pStyle w:val="Body"/>
            </w:pPr>
            <w:r w:rsidRPr="009A34E1">
              <w:rPr>
                <w:lang w:eastAsia="en-AU"/>
              </w:rPr>
              <w:lastRenderedPageBreak/>
              <w:t xml:space="preserve">Recognising and, where possible, </w:t>
            </w:r>
            <w:r w:rsidR="00450547" w:rsidRPr="009A34E1">
              <w:t>minimising the inconvenience and cost of attending appointments, including considering:</w:t>
            </w:r>
          </w:p>
          <w:p w14:paraId="02C18442" w14:textId="77777777" w:rsidR="00450547" w:rsidRPr="009A34E1" w:rsidRDefault="00450547" w:rsidP="00C8748C">
            <w:pPr>
              <w:pStyle w:val="Bullet1"/>
            </w:pPr>
            <w:r w:rsidRPr="009A34E1">
              <w:t xml:space="preserve">work-friendly appointment </w:t>
            </w:r>
            <w:proofErr w:type="gramStart"/>
            <w:r w:rsidRPr="009A34E1">
              <w:t>times</w:t>
            </w:r>
            <w:proofErr w:type="gramEnd"/>
          </w:p>
          <w:p w14:paraId="54FB950B" w14:textId="77777777" w:rsidR="00450547" w:rsidRPr="009A34E1" w:rsidRDefault="00450547" w:rsidP="00C8748C">
            <w:pPr>
              <w:pStyle w:val="Bullet1"/>
            </w:pPr>
            <w:r w:rsidRPr="009A34E1">
              <w:t>childcare</w:t>
            </w:r>
          </w:p>
          <w:p w14:paraId="5291A243" w14:textId="77777777" w:rsidR="00450547" w:rsidRPr="009A34E1" w:rsidRDefault="00450547" w:rsidP="00C8748C">
            <w:pPr>
              <w:pStyle w:val="Bullet1"/>
            </w:pPr>
            <w:r w:rsidRPr="009A34E1">
              <w:t>parking fees</w:t>
            </w:r>
          </w:p>
          <w:p w14:paraId="380AB7F6" w14:textId="77777777" w:rsidR="00450547" w:rsidRPr="009A34E1" w:rsidRDefault="00450547" w:rsidP="00C8748C">
            <w:pPr>
              <w:pStyle w:val="Bullet1"/>
            </w:pPr>
            <w:r w:rsidRPr="009A34E1">
              <w:t xml:space="preserve">travel </w:t>
            </w:r>
            <w:proofErr w:type="gramStart"/>
            <w:r w:rsidRPr="009A34E1">
              <w:t>times</w:t>
            </w:r>
            <w:proofErr w:type="gramEnd"/>
          </w:p>
          <w:p w14:paraId="3E1E97F5" w14:textId="0B997AD9" w:rsidR="00C260F3" w:rsidRPr="009A34E1" w:rsidRDefault="00450547" w:rsidP="00C8748C">
            <w:pPr>
              <w:pStyle w:val="Bullet1"/>
            </w:pPr>
            <w:r w:rsidRPr="009A34E1">
              <w:t>transport</w:t>
            </w:r>
          </w:p>
        </w:tc>
        <w:tc>
          <w:tcPr>
            <w:tcW w:w="711" w:type="dxa"/>
          </w:tcPr>
          <w:p w14:paraId="36B87489" w14:textId="77777777" w:rsidR="00C260F3" w:rsidRPr="009A34E1" w:rsidRDefault="00C260F3" w:rsidP="00C260F3">
            <w:pPr>
              <w:pStyle w:val="DHHSbody"/>
              <w:rPr>
                <w:b/>
              </w:rPr>
            </w:pPr>
          </w:p>
        </w:tc>
        <w:tc>
          <w:tcPr>
            <w:tcW w:w="3401" w:type="dxa"/>
          </w:tcPr>
          <w:p w14:paraId="5D5B8023" w14:textId="77777777" w:rsidR="00C260F3" w:rsidRPr="009A34E1" w:rsidRDefault="00C260F3" w:rsidP="00C260F3">
            <w:pPr>
              <w:pStyle w:val="DHHSbody"/>
              <w:rPr>
                <w:b/>
              </w:rPr>
            </w:pPr>
          </w:p>
        </w:tc>
        <w:tc>
          <w:tcPr>
            <w:tcW w:w="3117" w:type="dxa"/>
          </w:tcPr>
          <w:p w14:paraId="1A4FACCA" w14:textId="77777777" w:rsidR="00C260F3" w:rsidRPr="009A34E1" w:rsidRDefault="00C260F3" w:rsidP="00C260F3">
            <w:pPr>
              <w:pStyle w:val="DHHSbody"/>
              <w:rPr>
                <w:b/>
              </w:rPr>
            </w:pPr>
          </w:p>
        </w:tc>
      </w:tr>
      <w:tr w:rsidR="00C260F3" w:rsidRPr="009A34E1" w14:paraId="26814805" w14:textId="77777777" w:rsidTr="001F53C6">
        <w:tc>
          <w:tcPr>
            <w:tcW w:w="7655" w:type="dxa"/>
          </w:tcPr>
          <w:p w14:paraId="2829D8D9" w14:textId="0A384962" w:rsidR="00C260F3" w:rsidRPr="009A34E1" w:rsidRDefault="00F57C07" w:rsidP="00A26EC4">
            <w:pPr>
              <w:pStyle w:val="Body"/>
            </w:pPr>
            <w:r w:rsidRPr="009A34E1">
              <w:t>M</w:t>
            </w:r>
            <w:r w:rsidR="003F570F" w:rsidRPr="009A34E1">
              <w:t xml:space="preserve">aintaining </w:t>
            </w:r>
            <w:r w:rsidR="00A26EC4" w:rsidRPr="009A34E1">
              <w:t xml:space="preserve">a list of clinicians with admitting rights </w:t>
            </w:r>
            <w:r w:rsidR="00A26EC4" w:rsidRPr="009A34E1">
              <w:rPr>
                <w:rFonts w:cs="Arial"/>
              </w:rPr>
              <w:t xml:space="preserve">or a similar agreement </w:t>
            </w:r>
            <w:r w:rsidR="00A26EC4" w:rsidRPr="009A34E1">
              <w:t>for surgery and procedures and the scope of surgeries and procedures practiced at the health service.</w:t>
            </w:r>
          </w:p>
        </w:tc>
        <w:tc>
          <w:tcPr>
            <w:tcW w:w="711" w:type="dxa"/>
          </w:tcPr>
          <w:p w14:paraId="6870BD31" w14:textId="77777777" w:rsidR="00C260F3" w:rsidRPr="009A34E1" w:rsidRDefault="00C260F3" w:rsidP="00C260F3">
            <w:pPr>
              <w:pStyle w:val="DHHSbody"/>
              <w:rPr>
                <w:b/>
              </w:rPr>
            </w:pPr>
          </w:p>
        </w:tc>
        <w:tc>
          <w:tcPr>
            <w:tcW w:w="3401" w:type="dxa"/>
          </w:tcPr>
          <w:p w14:paraId="48170220" w14:textId="77777777" w:rsidR="00C260F3" w:rsidRPr="009A34E1" w:rsidRDefault="00C260F3" w:rsidP="00C260F3">
            <w:pPr>
              <w:pStyle w:val="DHHSbody"/>
              <w:rPr>
                <w:b/>
              </w:rPr>
            </w:pPr>
          </w:p>
        </w:tc>
        <w:tc>
          <w:tcPr>
            <w:tcW w:w="3117" w:type="dxa"/>
          </w:tcPr>
          <w:p w14:paraId="35B97319" w14:textId="77777777" w:rsidR="00C260F3" w:rsidRPr="009A34E1" w:rsidRDefault="00C260F3" w:rsidP="00C260F3">
            <w:pPr>
              <w:pStyle w:val="DHHSbody"/>
              <w:rPr>
                <w:b/>
              </w:rPr>
            </w:pPr>
          </w:p>
        </w:tc>
      </w:tr>
      <w:tr w:rsidR="00C260F3" w:rsidRPr="009A34E1" w14:paraId="5C1FE039" w14:textId="77777777" w:rsidTr="001F53C6">
        <w:tc>
          <w:tcPr>
            <w:tcW w:w="7655" w:type="dxa"/>
          </w:tcPr>
          <w:p w14:paraId="707A2C68" w14:textId="11F12F15" w:rsidR="00F57C07" w:rsidRPr="009A34E1" w:rsidRDefault="00F57C07" w:rsidP="00F57C07">
            <w:pPr>
              <w:pStyle w:val="Bullet1"/>
              <w:numPr>
                <w:ilvl w:val="0"/>
                <w:numId w:val="0"/>
              </w:numPr>
              <w:ind w:left="284" w:hanging="284"/>
              <w:rPr>
                <w:szCs w:val="21"/>
              </w:rPr>
            </w:pPr>
            <w:r w:rsidRPr="009A34E1">
              <w:rPr>
                <w:szCs w:val="21"/>
              </w:rPr>
              <w:t>Offering as many perioperative services as possible in:</w:t>
            </w:r>
          </w:p>
          <w:p w14:paraId="1A06937C" w14:textId="77777777" w:rsidR="00F57C07" w:rsidRPr="009A34E1" w:rsidRDefault="00F57C07" w:rsidP="003F4134">
            <w:pPr>
              <w:pStyle w:val="Bullet1"/>
            </w:pPr>
            <w:r w:rsidRPr="009A34E1">
              <w:t>outreach locations</w:t>
            </w:r>
          </w:p>
          <w:p w14:paraId="0954BFB6" w14:textId="77777777" w:rsidR="00F57C07" w:rsidRPr="009A34E1" w:rsidRDefault="00F57C07" w:rsidP="003F4134">
            <w:pPr>
              <w:pStyle w:val="Bullet1"/>
            </w:pPr>
            <w:r w:rsidRPr="009A34E1">
              <w:t>the person’s home (where appropriate and agreed to by the patient)</w:t>
            </w:r>
          </w:p>
          <w:p w14:paraId="43438D9D" w14:textId="77777777" w:rsidR="003F4134" w:rsidRPr="009A34E1" w:rsidRDefault="003F4134" w:rsidP="003F4134">
            <w:pPr>
              <w:pStyle w:val="Bullet1"/>
            </w:pPr>
            <w:r w:rsidRPr="009A34E1">
              <w:t xml:space="preserve">in culturally appropriate and safe spaces, including through partnerships with local Aboriginal community-controlled health </w:t>
            </w:r>
            <w:proofErr w:type="gramStart"/>
            <w:r w:rsidRPr="009A34E1">
              <w:t>organisations</w:t>
            </w:r>
            <w:proofErr w:type="gramEnd"/>
          </w:p>
          <w:p w14:paraId="4D4BA378" w14:textId="77777777" w:rsidR="00F57C07" w:rsidRPr="009A34E1" w:rsidRDefault="00F57C07" w:rsidP="003F4134">
            <w:pPr>
              <w:pStyle w:val="Bullet1"/>
            </w:pPr>
            <w:r w:rsidRPr="009A34E1">
              <w:t>outside of normal business hours</w:t>
            </w:r>
          </w:p>
          <w:p w14:paraId="6CCFC9D0" w14:textId="71F98EAB" w:rsidR="00C260F3" w:rsidRPr="009A34E1" w:rsidRDefault="00F57C07" w:rsidP="00346355">
            <w:pPr>
              <w:pStyle w:val="Bullet1"/>
            </w:pPr>
            <w:r w:rsidRPr="009A34E1">
              <w:t>multiple healthcare provider clinics.</w:t>
            </w:r>
          </w:p>
        </w:tc>
        <w:tc>
          <w:tcPr>
            <w:tcW w:w="711" w:type="dxa"/>
          </w:tcPr>
          <w:p w14:paraId="7A7E29CB" w14:textId="77777777" w:rsidR="00C260F3" w:rsidRPr="009A34E1" w:rsidRDefault="00C260F3" w:rsidP="00C260F3">
            <w:pPr>
              <w:pStyle w:val="DHHSbody"/>
              <w:rPr>
                <w:b/>
              </w:rPr>
            </w:pPr>
          </w:p>
        </w:tc>
        <w:tc>
          <w:tcPr>
            <w:tcW w:w="3401" w:type="dxa"/>
          </w:tcPr>
          <w:p w14:paraId="55164D0D" w14:textId="77777777" w:rsidR="00C260F3" w:rsidRPr="009A34E1" w:rsidRDefault="00C260F3" w:rsidP="00C260F3">
            <w:pPr>
              <w:pStyle w:val="DHHSbody"/>
              <w:rPr>
                <w:b/>
              </w:rPr>
            </w:pPr>
          </w:p>
        </w:tc>
        <w:tc>
          <w:tcPr>
            <w:tcW w:w="3117" w:type="dxa"/>
          </w:tcPr>
          <w:p w14:paraId="5396D2C0" w14:textId="77777777" w:rsidR="00C260F3" w:rsidRPr="009A34E1" w:rsidRDefault="00C260F3" w:rsidP="00C260F3">
            <w:pPr>
              <w:pStyle w:val="DHHSbody"/>
              <w:rPr>
                <w:b/>
              </w:rPr>
            </w:pPr>
          </w:p>
        </w:tc>
      </w:tr>
      <w:tr w:rsidR="00373F87" w:rsidRPr="009A34E1" w14:paraId="7C5BDF98" w14:textId="77777777" w:rsidTr="001F53C6">
        <w:tc>
          <w:tcPr>
            <w:tcW w:w="7655" w:type="dxa"/>
          </w:tcPr>
          <w:p w14:paraId="3D845182" w14:textId="77777777" w:rsidR="00373F87" w:rsidRPr="009A34E1" w:rsidRDefault="00373F87" w:rsidP="00373F87">
            <w:pPr>
              <w:pStyle w:val="Body"/>
            </w:pPr>
            <w:r w:rsidRPr="009A34E1">
              <w:t xml:space="preserve">Appointment and service optimisation </w:t>
            </w:r>
          </w:p>
          <w:p w14:paraId="1837B27C" w14:textId="77777777" w:rsidR="00373F87" w:rsidRPr="009A34E1" w:rsidRDefault="00373F87" w:rsidP="00373F87">
            <w:pPr>
              <w:pStyle w:val="Bullet1"/>
            </w:pPr>
            <w:r w:rsidRPr="009A34E1">
              <w:t xml:space="preserve">manage planned staff absences and conflicting work schedules to minimise postponement and cancellation of </w:t>
            </w:r>
            <w:proofErr w:type="gramStart"/>
            <w:r w:rsidRPr="009A34E1">
              <w:t>surgery</w:t>
            </w:r>
            <w:proofErr w:type="gramEnd"/>
            <w:r w:rsidRPr="009A34E1">
              <w:t xml:space="preserve"> </w:t>
            </w:r>
          </w:p>
          <w:p w14:paraId="2BC6F2C0" w14:textId="77777777" w:rsidR="00373F87" w:rsidRPr="009A34E1" w:rsidRDefault="00373F87" w:rsidP="00373F87">
            <w:pPr>
              <w:pStyle w:val="Bullet1"/>
            </w:pPr>
            <w:r w:rsidRPr="009A34E1">
              <w:t xml:space="preserve">make sure restrictions unrelated to clinical need (for example, where the patient lives) do not affect </w:t>
            </w:r>
            <w:proofErr w:type="gramStart"/>
            <w:r w:rsidRPr="009A34E1">
              <w:t>access</w:t>
            </w:r>
            <w:proofErr w:type="gramEnd"/>
          </w:p>
          <w:p w14:paraId="0A5B6FF8" w14:textId="77777777" w:rsidR="00373F87" w:rsidRPr="009A34E1" w:rsidRDefault="00373F87" w:rsidP="00373F87">
            <w:pPr>
              <w:pStyle w:val="Bullet1"/>
            </w:pPr>
            <w:r w:rsidRPr="009A34E1">
              <w:t>maintain the capability and capacity to deliver services. This includes providing suitably credentialled and privileged</w:t>
            </w:r>
            <w:r w:rsidRPr="009A34E1" w:rsidDel="00EE4F87">
              <w:t xml:space="preserve"> </w:t>
            </w:r>
            <w:r w:rsidRPr="009A34E1">
              <w:t xml:space="preserve">staff and outlining their scope of </w:t>
            </w:r>
            <w:proofErr w:type="gramStart"/>
            <w:r w:rsidRPr="009A34E1">
              <w:t>practice</w:t>
            </w:r>
            <w:proofErr w:type="gramEnd"/>
          </w:p>
          <w:p w14:paraId="40B3EE85" w14:textId="77777777" w:rsidR="00373F87" w:rsidRPr="009A34E1" w:rsidRDefault="00373F87" w:rsidP="00373F87">
            <w:pPr>
              <w:pStyle w:val="Bullet1"/>
            </w:pPr>
            <w:r w:rsidRPr="009A34E1">
              <w:lastRenderedPageBreak/>
              <w:t>use collaborative and shared service delivery with other Victorian public health services, where appropriate</w:t>
            </w:r>
          </w:p>
          <w:p w14:paraId="6D522FBB" w14:textId="71A77803" w:rsidR="00373F87" w:rsidRPr="009A34E1" w:rsidRDefault="00373F87" w:rsidP="00373F87">
            <w:pPr>
              <w:pStyle w:val="Bullet1"/>
            </w:pPr>
            <w:r w:rsidRPr="009A34E1">
              <w:t>improving integration with primary care.</w:t>
            </w:r>
          </w:p>
        </w:tc>
        <w:tc>
          <w:tcPr>
            <w:tcW w:w="711" w:type="dxa"/>
          </w:tcPr>
          <w:p w14:paraId="04FE0EF3" w14:textId="77777777" w:rsidR="00373F87" w:rsidRPr="009A34E1" w:rsidRDefault="00373F87" w:rsidP="00C260F3">
            <w:pPr>
              <w:pStyle w:val="DHHSbody"/>
              <w:rPr>
                <w:b/>
              </w:rPr>
            </w:pPr>
          </w:p>
        </w:tc>
        <w:tc>
          <w:tcPr>
            <w:tcW w:w="3401" w:type="dxa"/>
          </w:tcPr>
          <w:p w14:paraId="2190370D" w14:textId="77777777" w:rsidR="00373F87" w:rsidRPr="009A34E1" w:rsidRDefault="00373F87" w:rsidP="00C260F3">
            <w:pPr>
              <w:pStyle w:val="DHHSbody"/>
              <w:rPr>
                <w:b/>
              </w:rPr>
            </w:pPr>
          </w:p>
        </w:tc>
        <w:tc>
          <w:tcPr>
            <w:tcW w:w="3117" w:type="dxa"/>
          </w:tcPr>
          <w:p w14:paraId="349CBF19" w14:textId="77777777" w:rsidR="00373F87" w:rsidRPr="009A34E1" w:rsidRDefault="00373F87" w:rsidP="00C260F3">
            <w:pPr>
              <w:pStyle w:val="DHHSbody"/>
              <w:rPr>
                <w:b/>
              </w:rPr>
            </w:pPr>
          </w:p>
        </w:tc>
      </w:tr>
      <w:tr w:rsidR="00C260F3" w:rsidRPr="009A34E1" w14:paraId="58256E7E" w14:textId="77777777" w:rsidTr="001F53C6">
        <w:tc>
          <w:tcPr>
            <w:tcW w:w="7655" w:type="dxa"/>
          </w:tcPr>
          <w:p w14:paraId="4DE9C7B1" w14:textId="57192D77" w:rsidR="00C260F3" w:rsidRPr="009A34E1" w:rsidRDefault="00114711" w:rsidP="00114711">
            <w:pPr>
              <w:pStyle w:val="Body"/>
            </w:pPr>
            <w:r w:rsidRPr="009A34E1">
              <w:t>Understand and plan to meet demand and minimise gaps in service availability.</w:t>
            </w:r>
          </w:p>
        </w:tc>
        <w:tc>
          <w:tcPr>
            <w:tcW w:w="711" w:type="dxa"/>
          </w:tcPr>
          <w:p w14:paraId="1C9EBB1A" w14:textId="77777777" w:rsidR="00C260F3" w:rsidRPr="009A34E1" w:rsidRDefault="00C260F3" w:rsidP="00C260F3">
            <w:pPr>
              <w:pStyle w:val="DHHSbody"/>
              <w:rPr>
                <w:b/>
              </w:rPr>
            </w:pPr>
          </w:p>
        </w:tc>
        <w:tc>
          <w:tcPr>
            <w:tcW w:w="3401" w:type="dxa"/>
          </w:tcPr>
          <w:p w14:paraId="107C9A35" w14:textId="77777777" w:rsidR="00C260F3" w:rsidRPr="009A34E1" w:rsidRDefault="00C260F3" w:rsidP="00C260F3">
            <w:pPr>
              <w:pStyle w:val="DHHSbody"/>
              <w:rPr>
                <w:b/>
              </w:rPr>
            </w:pPr>
          </w:p>
        </w:tc>
        <w:tc>
          <w:tcPr>
            <w:tcW w:w="3117" w:type="dxa"/>
          </w:tcPr>
          <w:p w14:paraId="17349ADB" w14:textId="77777777" w:rsidR="00C260F3" w:rsidRPr="009A34E1" w:rsidRDefault="00C260F3" w:rsidP="00C260F3">
            <w:pPr>
              <w:pStyle w:val="DHHSbody"/>
              <w:rPr>
                <w:b/>
              </w:rPr>
            </w:pPr>
          </w:p>
        </w:tc>
      </w:tr>
      <w:tr w:rsidR="00C260F3" w:rsidRPr="009A34E1" w14:paraId="6F09F900" w14:textId="77777777" w:rsidTr="001F53C6">
        <w:tc>
          <w:tcPr>
            <w:tcW w:w="7655" w:type="dxa"/>
          </w:tcPr>
          <w:p w14:paraId="2F0CB4B0" w14:textId="308320AB" w:rsidR="00C260F3" w:rsidRPr="009A34E1" w:rsidRDefault="000B27A0" w:rsidP="000B27A0">
            <w:pPr>
              <w:pStyle w:val="Body"/>
            </w:pPr>
            <w:r w:rsidRPr="009A34E1">
              <w:t>Having governance policies that guide the allocation of theatre resources between surgical specialities, surgeons and emergency and planned surgery and procedures.</w:t>
            </w:r>
          </w:p>
        </w:tc>
        <w:tc>
          <w:tcPr>
            <w:tcW w:w="711" w:type="dxa"/>
          </w:tcPr>
          <w:p w14:paraId="157C8068" w14:textId="77777777" w:rsidR="00C260F3" w:rsidRPr="009A34E1" w:rsidRDefault="00C260F3" w:rsidP="00C260F3">
            <w:pPr>
              <w:pStyle w:val="DHHSbody"/>
              <w:rPr>
                <w:b/>
              </w:rPr>
            </w:pPr>
          </w:p>
        </w:tc>
        <w:tc>
          <w:tcPr>
            <w:tcW w:w="3401" w:type="dxa"/>
          </w:tcPr>
          <w:p w14:paraId="6456DFA9" w14:textId="77777777" w:rsidR="00C260F3" w:rsidRPr="009A34E1" w:rsidRDefault="00C260F3" w:rsidP="00C260F3">
            <w:pPr>
              <w:pStyle w:val="DHHSbody"/>
              <w:rPr>
                <w:b/>
              </w:rPr>
            </w:pPr>
          </w:p>
        </w:tc>
        <w:tc>
          <w:tcPr>
            <w:tcW w:w="3117" w:type="dxa"/>
          </w:tcPr>
          <w:p w14:paraId="73CF33FA" w14:textId="77777777" w:rsidR="00C260F3" w:rsidRPr="009A34E1" w:rsidRDefault="00C260F3" w:rsidP="00C260F3">
            <w:pPr>
              <w:pStyle w:val="DHHSbody"/>
              <w:rPr>
                <w:b/>
              </w:rPr>
            </w:pPr>
          </w:p>
        </w:tc>
      </w:tr>
      <w:tr w:rsidR="00C260F3" w:rsidRPr="009A34E1" w14:paraId="2D0BBFEC" w14:textId="77777777" w:rsidTr="001F53C6">
        <w:tc>
          <w:tcPr>
            <w:tcW w:w="7655" w:type="dxa"/>
          </w:tcPr>
          <w:p w14:paraId="2C024470" w14:textId="77777777" w:rsidR="00022D6D" w:rsidRPr="009A34E1" w:rsidRDefault="00022D6D" w:rsidP="00022D6D">
            <w:pPr>
              <w:pStyle w:val="Body"/>
            </w:pPr>
            <w:r w:rsidRPr="009A34E1">
              <w:t>Performance monitoring and compliance</w:t>
            </w:r>
          </w:p>
          <w:p w14:paraId="35DB9E01" w14:textId="3AF684B7" w:rsidR="001F1B0A" w:rsidRPr="009A34E1" w:rsidRDefault="001F1B0A" w:rsidP="001F1B0A">
            <w:pPr>
              <w:pStyle w:val="Bullet1"/>
            </w:pPr>
            <w:proofErr w:type="gramStart"/>
            <w:r w:rsidRPr="009A34E1">
              <w:t>informing  the</w:t>
            </w:r>
            <w:proofErr w:type="gramEnd"/>
            <w:r w:rsidRPr="009A34E1">
              <w:t xml:space="preserve"> department about significant or long-term reductions to capability or capacity. This must include a proposed management plan to ensure all patients waiting for a procedure receive the required service. It may require transfers to another health service through partnership or collaborative </w:t>
            </w:r>
            <w:proofErr w:type="gramStart"/>
            <w:r w:rsidRPr="009A34E1">
              <w:t>arrangements</w:t>
            </w:r>
            <w:proofErr w:type="gramEnd"/>
          </w:p>
          <w:p w14:paraId="45495B43" w14:textId="6347A709" w:rsidR="001F1B0A" w:rsidRPr="009A34E1" w:rsidRDefault="001F1B0A" w:rsidP="001F1B0A">
            <w:pPr>
              <w:pStyle w:val="Bullet1"/>
            </w:pPr>
            <w:r w:rsidRPr="009A34E1">
              <w:t>undertaking performance monitoring and oversight, including complete and accurate surgical referral management</w:t>
            </w:r>
          </w:p>
          <w:p w14:paraId="2A3EFD72" w14:textId="77777777" w:rsidR="001F1B0A" w:rsidRPr="009A34E1" w:rsidRDefault="001F1B0A" w:rsidP="001F1B0A">
            <w:pPr>
              <w:pStyle w:val="Bullet1"/>
            </w:pPr>
            <w:r w:rsidRPr="009A34E1">
              <w:t>comply with the department’s:</w:t>
            </w:r>
          </w:p>
          <w:p w14:paraId="4D8DCBAA" w14:textId="77777777" w:rsidR="001F1B0A" w:rsidRPr="009A34E1" w:rsidRDefault="00000000" w:rsidP="001F1B0A">
            <w:pPr>
              <w:pStyle w:val="Bullet2"/>
            </w:pPr>
            <w:hyperlink r:id="rId23" w:history="1">
              <w:r w:rsidR="001F1B0A" w:rsidRPr="009A34E1">
                <w:rPr>
                  <w:rStyle w:val="Hyperlink"/>
                </w:rPr>
                <w:t>Policy and funding guidelines for health services</w:t>
              </w:r>
            </w:hyperlink>
            <w:r w:rsidR="001F1B0A" w:rsidRPr="009A34E1">
              <w:t xml:space="preserve"> </w:t>
            </w:r>
            <w:r w:rsidR="001F1B0A" w:rsidRPr="009A34E1">
              <w:rPr>
                <w:rStyle w:val="FootnoteReference"/>
              </w:rPr>
              <w:footnoteReference w:id="6"/>
            </w:r>
          </w:p>
          <w:p w14:paraId="53CB1D03" w14:textId="77777777" w:rsidR="001F1B0A" w:rsidRPr="009A34E1" w:rsidRDefault="00000000" w:rsidP="001F1B0A">
            <w:pPr>
              <w:pStyle w:val="Bullet2"/>
            </w:pPr>
            <w:hyperlink r:id="rId24" w:history="1">
              <w:r w:rsidR="001F1B0A" w:rsidRPr="009A34E1">
                <w:rPr>
                  <w:rStyle w:val="Hyperlink"/>
                </w:rPr>
                <w:t>Performance monitoring framework</w:t>
              </w:r>
            </w:hyperlink>
            <w:r w:rsidR="001F1B0A" w:rsidRPr="009A34E1">
              <w:t xml:space="preserve"> </w:t>
            </w:r>
            <w:r w:rsidR="001F1B0A" w:rsidRPr="009A34E1">
              <w:rPr>
                <w:rStyle w:val="FootnoteReference"/>
              </w:rPr>
              <w:footnoteReference w:id="7"/>
            </w:r>
          </w:p>
          <w:p w14:paraId="3224D747" w14:textId="77777777" w:rsidR="001F1B0A" w:rsidRPr="009A34E1" w:rsidRDefault="00000000" w:rsidP="001F1B0A">
            <w:pPr>
              <w:pStyle w:val="Bullet2"/>
            </w:pPr>
            <w:hyperlink r:id="rId25" w:history="1">
              <w:r w:rsidR="001F1B0A" w:rsidRPr="009A34E1">
                <w:rPr>
                  <w:rStyle w:val="Hyperlink"/>
                </w:rPr>
                <w:t xml:space="preserve">funding, </w:t>
              </w:r>
              <w:proofErr w:type="gramStart"/>
              <w:r w:rsidR="001F1B0A" w:rsidRPr="009A34E1">
                <w:rPr>
                  <w:rStyle w:val="Hyperlink"/>
                </w:rPr>
                <w:t>performance</w:t>
              </w:r>
              <w:proofErr w:type="gramEnd"/>
              <w:r w:rsidR="001F1B0A" w:rsidRPr="009A34E1">
                <w:rPr>
                  <w:rStyle w:val="Hyperlink"/>
                </w:rPr>
                <w:t xml:space="preserve"> and accountability policies</w:t>
              </w:r>
            </w:hyperlink>
            <w:r w:rsidR="001F1B0A" w:rsidRPr="009A34E1">
              <w:t xml:space="preserve"> </w:t>
            </w:r>
            <w:r w:rsidR="001F1B0A" w:rsidRPr="009A34E1">
              <w:rPr>
                <w:rStyle w:val="FootnoteReference"/>
              </w:rPr>
              <w:footnoteReference w:id="8"/>
            </w:r>
          </w:p>
          <w:p w14:paraId="4A639ACE" w14:textId="77777777" w:rsidR="001F1B0A" w:rsidRPr="009A34E1" w:rsidRDefault="001F1B0A" w:rsidP="001F1B0A">
            <w:pPr>
              <w:pStyle w:val="Bullet2"/>
            </w:pPr>
            <w:r w:rsidRPr="009A34E1">
              <w:t>workforce strategies.</w:t>
            </w:r>
          </w:p>
          <w:p w14:paraId="6A36ACC5" w14:textId="77777777" w:rsidR="001F1B0A" w:rsidRPr="009A34E1" w:rsidRDefault="001F1B0A" w:rsidP="001F1B0A">
            <w:pPr>
              <w:pStyle w:val="Bullet2"/>
              <w:numPr>
                <w:ilvl w:val="0"/>
                <w:numId w:val="0"/>
              </w:numPr>
              <w:ind w:left="284"/>
            </w:pPr>
            <w:r w:rsidRPr="009A34E1">
              <w:t>This includes:</w:t>
            </w:r>
          </w:p>
          <w:p w14:paraId="4E8EFCE6" w14:textId="77777777" w:rsidR="001F1B0A" w:rsidRPr="009A34E1" w:rsidRDefault="001F1B0A" w:rsidP="001F1B0A">
            <w:pPr>
              <w:pStyle w:val="Bullet1"/>
              <w:numPr>
                <w:ilvl w:val="0"/>
                <w:numId w:val="17"/>
              </w:numPr>
              <w:ind w:left="568"/>
            </w:pPr>
            <w:r w:rsidRPr="009A34E1">
              <w:lastRenderedPageBreak/>
              <w:t>submitting accurate data and other information</w:t>
            </w:r>
          </w:p>
          <w:p w14:paraId="5E88DCA5" w14:textId="77777777" w:rsidR="001F1B0A" w:rsidRPr="009A34E1" w:rsidRDefault="001F1B0A" w:rsidP="001F1B0A">
            <w:pPr>
              <w:pStyle w:val="Bullet1"/>
              <w:numPr>
                <w:ilvl w:val="0"/>
                <w:numId w:val="17"/>
              </w:numPr>
              <w:ind w:left="568"/>
            </w:pPr>
            <w:r w:rsidRPr="009A34E1">
              <w:t xml:space="preserve">reporting emerging risks that may affect </w:t>
            </w:r>
            <w:proofErr w:type="gramStart"/>
            <w:r w:rsidRPr="009A34E1">
              <w:t>performance</w:t>
            </w:r>
            <w:proofErr w:type="gramEnd"/>
          </w:p>
          <w:p w14:paraId="6CA26684" w14:textId="315C86CD" w:rsidR="00C260F3" w:rsidRPr="009A34E1" w:rsidRDefault="001F1B0A" w:rsidP="00A53063">
            <w:pPr>
              <w:pStyle w:val="Bullet1"/>
              <w:numPr>
                <w:ilvl w:val="0"/>
                <w:numId w:val="17"/>
              </w:numPr>
              <w:ind w:left="568"/>
            </w:pPr>
            <w:r w:rsidRPr="009A34E1">
              <w:t xml:space="preserve">collaborating with other health services and health system partners to meet the health needs of communities. </w:t>
            </w:r>
          </w:p>
        </w:tc>
        <w:tc>
          <w:tcPr>
            <w:tcW w:w="711" w:type="dxa"/>
          </w:tcPr>
          <w:p w14:paraId="2D43B6FD" w14:textId="77777777" w:rsidR="00C260F3" w:rsidRPr="009A34E1" w:rsidRDefault="00C260F3" w:rsidP="00C260F3">
            <w:pPr>
              <w:pStyle w:val="DHHSbody"/>
              <w:rPr>
                <w:b/>
              </w:rPr>
            </w:pPr>
          </w:p>
        </w:tc>
        <w:tc>
          <w:tcPr>
            <w:tcW w:w="3401" w:type="dxa"/>
          </w:tcPr>
          <w:p w14:paraId="19CFC415" w14:textId="77777777" w:rsidR="00C260F3" w:rsidRPr="009A34E1" w:rsidRDefault="00C260F3" w:rsidP="00C260F3">
            <w:pPr>
              <w:pStyle w:val="DHHSbody"/>
              <w:rPr>
                <w:b/>
              </w:rPr>
            </w:pPr>
          </w:p>
        </w:tc>
        <w:tc>
          <w:tcPr>
            <w:tcW w:w="3117" w:type="dxa"/>
          </w:tcPr>
          <w:p w14:paraId="52A207A2" w14:textId="77777777" w:rsidR="00C260F3" w:rsidRPr="009A34E1" w:rsidRDefault="00C260F3" w:rsidP="00C260F3">
            <w:pPr>
              <w:pStyle w:val="DHHSbody"/>
              <w:rPr>
                <w:b/>
              </w:rPr>
            </w:pPr>
          </w:p>
        </w:tc>
      </w:tr>
      <w:tr w:rsidR="00231395" w:rsidRPr="009A34E1" w14:paraId="7CD6175C" w14:textId="77777777" w:rsidTr="00784999">
        <w:tc>
          <w:tcPr>
            <w:tcW w:w="14884" w:type="dxa"/>
            <w:gridSpan w:val="4"/>
          </w:tcPr>
          <w:p w14:paraId="0B59531C" w14:textId="74803FC2" w:rsidR="00231395" w:rsidRPr="009A34E1" w:rsidRDefault="004A3DCB" w:rsidP="00C260F3">
            <w:pPr>
              <w:pStyle w:val="DHHSbody"/>
              <w:rPr>
                <w:b/>
              </w:rPr>
            </w:pPr>
            <w:r w:rsidRPr="00D85A72">
              <w:rPr>
                <w:b/>
                <w:bCs/>
                <w:color w:val="0F243E" w:themeColor="text2" w:themeShade="80"/>
              </w:rPr>
              <w:t>Section 4 Guiding principles</w:t>
            </w:r>
          </w:p>
        </w:tc>
      </w:tr>
      <w:tr w:rsidR="00231395" w:rsidRPr="009A34E1" w14:paraId="540F4282" w14:textId="77777777" w:rsidTr="001F53C6">
        <w:tc>
          <w:tcPr>
            <w:tcW w:w="7655" w:type="dxa"/>
          </w:tcPr>
          <w:p w14:paraId="56ACB629" w14:textId="77777777" w:rsidR="00330D70" w:rsidRPr="009A34E1" w:rsidRDefault="00330D70" w:rsidP="00261093">
            <w:pPr>
              <w:pStyle w:val="Body"/>
            </w:pPr>
            <w:r w:rsidRPr="009A34E1">
              <w:t xml:space="preserve">Health services must have the appropriate local policies and procedures in place to treat patients in turn. </w:t>
            </w:r>
          </w:p>
          <w:p w14:paraId="5EA5C809" w14:textId="77777777" w:rsidR="00347F11" w:rsidRPr="009A34E1" w:rsidRDefault="00347F11" w:rsidP="00347F11">
            <w:pPr>
              <w:pStyle w:val="Body"/>
              <w:rPr>
                <w:rFonts w:cs="Arial"/>
                <w:szCs w:val="21"/>
              </w:rPr>
            </w:pPr>
            <w:r w:rsidRPr="009A34E1">
              <w:rPr>
                <w:rFonts w:cs="Arial"/>
                <w:szCs w:val="21"/>
              </w:rPr>
              <w:t xml:space="preserve">A patient’s personal circumstances should not unfairly disadvantage their position on the preparation list. </w:t>
            </w:r>
          </w:p>
          <w:p w14:paraId="3C4B1B7C" w14:textId="41F98B8E" w:rsidR="00231395" w:rsidRPr="009A34E1" w:rsidRDefault="00562A79" w:rsidP="00261093">
            <w:pPr>
              <w:pStyle w:val="Body"/>
              <w:rPr>
                <w:rFonts w:cs="Arial"/>
                <w:szCs w:val="21"/>
              </w:rPr>
            </w:pPr>
            <w:r w:rsidRPr="009A34E1">
              <w:rPr>
                <w:rFonts w:cs="Arial"/>
                <w:szCs w:val="21"/>
              </w:rPr>
              <w:t>To ensure equitable access and outcomes health services should actively identify and offer additional assistance to groups more likely to experience barriers in accessing care.</w:t>
            </w:r>
          </w:p>
        </w:tc>
        <w:tc>
          <w:tcPr>
            <w:tcW w:w="711" w:type="dxa"/>
          </w:tcPr>
          <w:p w14:paraId="286A2FA7" w14:textId="77777777" w:rsidR="00231395" w:rsidRPr="009A34E1" w:rsidRDefault="00231395" w:rsidP="00C260F3">
            <w:pPr>
              <w:pStyle w:val="DHHSbody"/>
              <w:rPr>
                <w:b/>
              </w:rPr>
            </w:pPr>
          </w:p>
        </w:tc>
        <w:tc>
          <w:tcPr>
            <w:tcW w:w="3401" w:type="dxa"/>
          </w:tcPr>
          <w:p w14:paraId="0CB2D7B6" w14:textId="77777777" w:rsidR="00231395" w:rsidRPr="009A34E1" w:rsidRDefault="00231395" w:rsidP="00C260F3">
            <w:pPr>
              <w:pStyle w:val="DHHSbody"/>
              <w:rPr>
                <w:b/>
              </w:rPr>
            </w:pPr>
          </w:p>
        </w:tc>
        <w:tc>
          <w:tcPr>
            <w:tcW w:w="3117" w:type="dxa"/>
          </w:tcPr>
          <w:p w14:paraId="440A23E1" w14:textId="77777777" w:rsidR="00231395" w:rsidRPr="009A34E1" w:rsidRDefault="00231395" w:rsidP="00C260F3">
            <w:pPr>
              <w:pStyle w:val="DHHSbody"/>
              <w:rPr>
                <w:b/>
              </w:rPr>
            </w:pPr>
          </w:p>
        </w:tc>
      </w:tr>
      <w:tr w:rsidR="00231395" w:rsidRPr="009A34E1" w14:paraId="690BAA99" w14:textId="77777777" w:rsidTr="001F53C6">
        <w:tc>
          <w:tcPr>
            <w:tcW w:w="7655" w:type="dxa"/>
          </w:tcPr>
          <w:p w14:paraId="687751E9" w14:textId="5BF8131A" w:rsidR="00231395" w:rsidRPr="009A34E1" w:rsidRDefault="007B2B1A" w:rsidP="007B2B1A">
            <w:pPr>
              <w:pStyle w:val="Bodyafterbullets"/>
            </w:pPr>
            <w:r w:rsidRPr="009A34E1">
              <w:t xml:space="preserve">The head of unit (or their delegate) responsible for the procedural or surgical preparation list must ensure each person is treated in turn for the service they oversee. </w:t>
            </w:r>
          </w:p>
        </w:tc>
        <w:tc>
          <w:tcPr>
            <w:tcW w:w="711" w:type="dxa"/>
          </w:tcPr>
          <w:p w14:paraId="448E4BEF" w14:textId="77777777" w:rsidR="00231395" w:rsidRPr="009A34E1" w:rsidRDefault="00231395" w:rsidP="00C260F3">
            <w:pPr>
              <w:pStyle w:val="DHHSbody"/>
              <w:rPr>
                <w:b/>
              </w:rPr>
            </w:pPr>
          </w:p>
        </w:tc>
        <w:tc>
          <w:tcPr>
            <w:tcW w:w="3401" w:type="dxa"/>
          </w:tcPr>
          <w:p w14:paraId="2203E612" w14:textId="77777777" w:rsidR="00231395" w:rsidRPr="009A34E1" w:rsidRDefault="00231395" w:rsidP="00C260F3">
            <w:pPr>
              <w:pStyle w:val="DHHSbody"/>
              <w:rPr>
                <w:b/>
              </w:rPr>
            </w:pPr>
          </w:p>
        </w:tc>
        <w:tc>
          <w:tcPr>
            <w:tcW w:w="3117" w:type="dxa"/>
          </w:tcPr>
          <w:p w14:paraId="0A9DF6A4" w14:textId="77777777" w:rsidR="00231395" w:rsidRPr="009A34E1" w:rsidRDefault="00231395" w:rsidP="00C260F3">
            <w:pPr>
              <w:pStyle w:val="DHHSbody"/>
              <w:rPr>
                <w:b/>
              </w:rPr>
            </w:pPr>
          </w:p>
        </w:tc>
      </w:tr>
      <w:tr w:rsidR="00231395" w:rsidRPr="009A34E1" w14:paraId="43B3CBEF" w14:textId="77777777" w:rsidTr="001F53C6">
        <w:tc>
          <w:tcPr>
            <w:tcW w:w="7655" w:type="dxa"/>
          </w:tcPr>
          <w:p w14:paraId="41FDEA3B" w14:textId="77777777" w:rsidR="007364FA" w:rsidRPr="009A34E1" w:rsidRDefault="007364FA" w:rsidP="007364FA">
            <w:pPr>
              <w:pStyle w:val="Bodyafterbullets"/>
            </w:pPr>
            <w:r w:rsidRPr="009A34E1">
              <w:t xml:space="preserve">The requesting clinician must assign a clinical urgency category before a patient is registered on a planned surgery preparation list. This must be documented and recorded. </w:t>
            </w:r>
          </w:p>
          <w:p w14:paraId="7F9C922F" w14:textId="79DAD08E" w:rsidR="00231395" w:rsidRPr="009A34E1" w:rsidRDefault="007364FA" w:rsidP="007364FA">
            <w:pPr>
              <w:rPr>
                <w:rFonts w:eastAsia="Times" w:cs="Arial"/>
                <w:szCs w:val="21"/>
              </w:rPr>
            </w:pPr>
            <w:r w:rsidRPr="009A34E1">
              <w:rPr>
                <w:rFonts w:eastAsia="Times" w:cs="Arial"/>
                <w:szCs w:val="21"/>
              </w:rPr>
              <w:t>The head of unit (or their delegate) can choose to review decisions about clinical urgency where there are discrepancies.</w:t>
            </w:r>
          </w:p>
        </w:tc>
        <w:tc>
          <w:tcPr>
            <w:tcW w:w="711" w:type="dxa"/>
          </w:tcPr>
          <w:p w14:paraId="34A116C7" w14:textId="77777777" w:rsidR="00231395" w:rsidRPr="009A34E1" w:rsidRDefault="00231395" w:rsidP="00C260F3">
            <w:pPr>
              <w:pStyle w:val="DHHSbody"/>
              <w:rPr>
                <w:b/>
              </w:rPr>
            </w:pPr>
          </w:p>
        </w:tc>
        <w:tc>
          <w:tcPr>
            <w:tcW w:w="3401" w:type="dxa"/>
          </w:tcPr>
          <w:p w14:paraId="22F393F5" w14:textId="77777777" w:rsidR="00231395" w:rsidRPr="009A34E1" w:rsidRDefault="00231395" w:rsidP="00C260F3">
            <w:pPr>
              <w:pStyle w:val="DHHSbody"/>
              <w:rPr>
                <w:b/>
              </w:rPr>
            </w:pPr>
          </w:p>
        </w:tc>
        <w:tc>
          <w:tcPr>
            <w:tcW w:w="3117" w:type="dxa"/>
          </w:tcPr>
          <w:p w14:paraId="757FD24D" w14:textId="77777777" w:rsidR="00231395" w:rsidRPr="009A34E1" w:rsidRDefault="00231395" w:rsidP="00C260F3">
            <w:pPr>
              <w:pStyle w:val="DHHSbody"/>
              <w:rPr>
                <w:b/>
              </w:rPr>
            </w:pPr>
          </w:p>
        </w:tc>
      </w:tr>
      <w:tr w:rsidR="0057001D" w:rsidRPr="009A34E1" w14:paraId="45345137" w14:textId="77777777" w:rsidTr="001F53C6">
        <w:tc>
          <w:tcPr>
            <w:tcW w:w="7655" w:type="dxa"/>
          </w:tcPr>
          <w:p w14:paraId="632D3E65" w14:textId="70516280" w:rsidR="0057001D" w:rsidRPr="009A34E1" w:rsidRDefault="002C67A4" w:rsidP="000B4B22">
            <w:pPr>
              <w:rPr>
                <w:rFonts w:eastAsia="Calibri" w:cs="Arial"/>
                <w:szCs w:val="21"/>
              </w:rPr>
            </w:pPr>
            <w:r w:rsidRPr="009A34E1">
              <w:rPr>
                <w:rFonts w:eastAsia="Times" w:cs="Arial"/>
                <w:szCs w:val="21"/>
              </w:rPr>
              <w:t xml:space="preserve">Health services should record any change to </w:t>
            </w:r>
            <w:r w:rsidRPr="009A34E1">
              <w:rPr>
                <w:rFonts w:eastAsia="Calibri" w:cs="Arial"/>
                <w:szCs w:val="21"/>
              </w:rPr>
              <w:t xml:space="preserve">the patient’s readiness for surgery status in both the preparation list and the patient’s health record. </w:t>
            </w:r>
          </w:p>
        </w:tc>
        <w:tc>
          <w:tcPr>
            <w:tcW w:w="711" w:type="dxa"/>
          </w:tcPr>
          <w:p w14:paraId="59BF91AA" w14:textId="77777777" w:rsidR="0057001D" w:rsidRPr="009A34E1" w:rsidRDefault="0057001D" w:rsidP="00C260F3">
            <w:pPr>
              <w:pStyle w:val="DHHSbody"/>
              <w:rPr>
                <w:b/>
              </w:rPr>
            </w:pPr>
          </w:p>
        </w:tc>
        <w:tc>
          <w:tcPr>
            <w:tcW w:w="3401" w:type="dxa"/>
          </w:tcPr>
          <w:p w14:paraId="254412F5" w14:textId="77777777" w:rsidR="0057001D" w:rsidRPr="009A34E1" w:rsidRDefault="0057001D" w:rsidP="00C260F3">
            <w:pPr>
              <w:pStyle w:val="DHHSbody"/>
              <w:rPr>
                <w:b/>
              </w:rPr>
            </w:pPr>
          </w:p>
        </w:tc>
        <w:tc>
          <w:tcPr>
            <w:tcW w:w="3117" w:type="dxa"/>
          </w:tcPr>
          <w:p w14:paraId="3F97FF92" w14:textId="77777777" w:rsidR="0057001D" w:rsidRPr="009A34E1" w:rsidRDefault="0057001D" w:rsidP="00C260F3">
            <w:pPr>
              <w:pStyle w:val="DHHSbody"/>
              <w:rPr>
                <w:b/>
              </w:rPr>
            </w:pPr>
          </w:p>
        </w:tc>
      </w:tr>
      <w:tr w:rsidR="0057001D" w:rsidRPr="009A34E1" w14:paraId="41610379" w14:textId="77777777" w:rsidTr="001F53C6">
        <w:tc>
          <w:tcPr>
            <w:tcW w:w="7655" w:type="dxa"/>
          </w:tcPr>
          <w:p w14:paraId="0BA6676B" w14:textId="4078593A" w:rsidR="0057001D" w:rsidRPr="009A34E1" w:rsidRDefault="00D36B26" w:rsidP="000B4B22">
            <w:pPr>
              <w:rPr>
                <w:rFonts w:eastAsia="Calibri" w:cs="Arial"/>
                <w:szCs w:val="21"/>
              </w:rPr>
            </w:pPr>
            <w:r w:rsidRPr="009A34E1">
              <w:rPr>
                <w:rFonts w:eastAsia="Times" w:cs="Arial"/>
                <w:szCs w:val="21"/>
              </w:rPr>
              <w:lastRenderedPageBreak/>
              <w:t xml:space="preserve">Health services should monitor clinical urgency categorisation practices. These practices should align with local policies and procedures, and the </w:t>
            </w:r>
            <w:hyperlink r:id="rId26" w:history="1">
              <w:r w:rsidRPr="009A34E1">
                <w:rPr>
                  <w:rStyle w:val="Hyperlink"/>
                  <w:rFonts w:eastAsia="Times" w:cs="Arial"/>
                  <w:szCs w:val="21"/>
                </w:rPr>
                <w:t>National planned surgery urgency categorisation guidelines</w:t>
              </w:r>
            </w:hyperlink>
            <w:r w:rsidRPr="009A34E1">
              <w:rPr>
                <w:rFonts w:eastAsia="Times" w:cs="Arial"/>
                <w:szCs w:val="21"/>
              </w:rPr>
              <w:t>.</w:t>
            </w:r>
            <w:r w:rsidRPr="009A34E1">
              <w:rPr>
                <w:rStyle w:val="FootnoteReference"/>
                <w:rFonts w:eastAsia="Times" w:cs="Arial"/>
                <w:szCs w:val="21"/>
              </w:rPr>
              <w:footnoteReference w:id="9"/>
            </w:r>
            <w:r w:rsidR="00936D40" w:rsidRPr="009A34E1">
              <w:rPr>
                <w:rFonts w:eastAsia="Times" w:cs="Arial"/>
                <w:szCs w:val="21"/>
              </w:rPr>
              <w:t>.</w:t>
            </w:r>
          </w:p>
        </w:tc>
        <w:tc>
          <w:tcPr>
            <w:tcW w:w="711" w:type="dxa"/>
          </w:tcPr>
          <w:p w14:paraId="09DA258D" w14:textId="77777777" w:rsidR="0057001D" w:rsidRPr="009A34E1" w:rsidRDefault="0057001D" w:rsidP="00C260F3">
            <w:pPr>
              <w:pStyle w:val="DHHSbody"/>
              <w:rPr>
                <w:b/>
              </w:rPr>
            </w:pPr>
          </w:p>
        </w:tc>
        <w:tc>
          <w:tcPr>
            <w:tcW w:w="3401" w:type="dxa"/>
          </w:tcPr>
          <w:p w14:paraId="10DF561C" w14:textId="77777777" w:rsidR="0057001D" w:rsidRPr="009A34E1" w:rsidRDefault="0057001D" w:rsidP="00C260F3">
            <w:pPr>
              <w:pStyle w:val="DHHSbody"/>
              <w:rPr>
                <w:b/>
              </w:rPr>
            </w:pPr>
          </w:p>
        </w:tc>
        <w:tc>
          <w:tcPr>
            <w:tcW w:w="3117" w:type="dxa"/>
          </w:tcPr>
          <w:p w14:paraId="62F73960" w14:textId="77777777" w:rsidR="0057001D" w:rsidRPr="009A34E1" w:rsidRDefault="0057001D" w:rsidP="00C260F3">
            <w:pPr>
              <w:pStyle w:val="DHHSbody"/>
              <w:rPr>
                <w:b/>
              </w:rPr>
            </w:pPr>
          </w:p>
        </w:tc>
      </w:tr>
      <w:tr w:rsidR="00231395" w:rsidRPr="009A34E1" w14:paraId="28EE8654" w14:textId="77777777" w:rsidTr="001F53C6">
        <w:tc>
          <w:tcPr>
            <w:tcW w:w="7655" w:type="dxa"/>
          </w:tcPr>
          <w:p w14:paraId="63A36252" w14:textId="6403EDD8" w:rsidR="00231395" w:rsidRPr="009A34E1" w:rsidRDefault="00D36B26" w:rsidP="00ED40AE">
            <w:pPr>
              <w:rPr>
                <w:rFonts w:eastAsia="Times" w:cs="Arial"/>
                <w:szCs w:val="21"/>
              </w:rPr>
            </w:pPr>
            <w:r w:rsidRPr="009A34E1">
              <w:rPr>
                <w:rFonts w:eastAsia="Times" w:cs="Arial"/>
                <w:szCs w:val="21"/>
              </w:rPr>
              <w:t>To be registered on a category 1 preparation list, the patient must be ready for surgery</w:t>
            </w:r>
          </w:p>
        </w:tc>
        <w:tc>
          <w:tcPr>
            <w:tcW w:w="711" w:type="dxa"/>
          </w:tcPr>
          <w:p w14:paraId="0DFFBD1B" w14:textId="77777777" w:rsidR="00231395" w:rsidRPr="009A34E1" w:rsidRDefault="00231395" w:rsidP="00C260F3">
            <w:pPr>
              <w:pStyle w:val="DHHSbody"/>
              <w:rPr>
                <w:b/>
              </w:rPr>
            </w:pPr>
          </w:p>
        </w:tc>
        <w:tc>
          <w:tcPr>
            <w:tcW w:w="3401" w:type="dxa"/>
          </w:tcPr>
          <w:p w14:paraId="27067C11" w14:textId="77777777" w:rsidR="00231395" w:rsidRPr="009A34E1" w:rsidRDefault="00231395" w:rsidP="00C260F3">
            <w:pPr>
              <w:pStyle w:val="DHHSbody"/>
              <w:rPr>
                <w:b/>
              </w:rPr>
            </w:pPr>
          </w:p>
        </w:tc>
        <w:tc>
          <w:tcPr>
            <w:tcW w:w="3117" w:type="dxa"/>
          </w:tcPr>
          <w:p w14:paraId="3ED2680D" w14:textId="77777777" w:rsidR="00231395" w:rsidRPr="009A34E1" w:rsidRDefault="00231395" w:rsidP="00C260F3">
            <w:pPr>
              <w:pStyle w:val="DHHSbody"/>
              <w:rPr>
                <w:b/>
              </w:rPr>
            </w:pPr>
          </w:p>
        </w:tc>
      </w:tr>
      <w:tr w:rsidR="00ED40AE" w:rsidRPr="009A34E1" w14:paraId="1711491A" w14:textId="77777777" w:rsidTr="001F53C6">
        <w:tc>
          <w:tcPr>
            <w:tcW w:w="7655" w:type="dxa"/>
          </w:tcPr>
          <w:p w14:paraId="0621C3F8" w14:textId="77777777" w:rsidR="00764EDB" w:rsidRPr="009A34E1" w:rsidRDefault="00764EDB" w:rsidP="00764EDB">
            <w:pPr>
              <w:rPr>
                <w:rFonts w:eastAsia="Times" w:cs="Arial"/>
                <w:szCs w:val="21"/>
              </w:rPr>
            </w:pPr>
            <w:r w:rsidRPr="009A34E1">
              <w:rPr>
                <w:rFonts w:eastAsia="Times"/>
                <w:szCs w:val="21"/>
              </w:rPr>
              <w:t xml:space="preserve">There are </w:t>
            </w:r>
            <w:r w:rsidRPr="009A34E1">
              <w:rPr>
                <w:rFonts w:eastAsia="Times" w:cs="Arial"/>
                <w:szCs w:val="21"/>
              </w:rPr>
              <w:t>three clinical urgency categories:</w:t>
            </w:r>
          </w:p>
          <w:p w14:paraId="5867BEE9" w14:textId="77777777" w:rsidR="00764EDB" w:rsidRPr="009A34E1" w:rsidRDefault="00764EDB" w:rsidP="00764EDB">
            <w:pPr>
              <w:pStyle w:val="Bullet1"/>
              <w:rPr>
                <w:rFonts w:cs="Arial"/>
                <w:szCs w:val="21"/>
              </w:rPr>
            </w:pPr>
            <w:r w:rsidRPr="009A34E1">
              <w:rPr>
                <w:rStyle w:val="cf01"/>
                <w:rFonts w:ascii="Arial" w:hAnsi="Arial" w:cs="Arial"/>
                <w:sz w:val="21"/>
                <w:szCs w:val="21"/>
              </w:rPr>
              <w:t xml:space="preserve">category 1 surgery and procedures are clinically indicated within 30 </w:t>
            </w:r>
            <w:proofErr w:type="gramStart"/>
            <w:r w:rsidRPr="009A34E1">
              <w:rPr>
                <w:rStyle w:val="cf01"/>
                <w:rFonts w:ascii="Arial" w:hAnsi="Arial" w:cs="Arial"/>
                <w:sz w:val="21"/>
                <w:szCs w:val="21"/>
              </w:rPr>
              <w:t>days</w:t>
            </w:r>
            <w:proofErr w:type="gramEnd"/>
            <w:r w:rsidRPr="009A34E1">
              <w:rPr>
                <w:rStyle w:val="cf01"/>
                <w:rFonts w:ascii="Arial" w:hAnsi="Arial" w:cs="Arial"/>
                <w:sz w:val="21"/>
                <w:szCs w:val="21"/>
              </w:rPr>
              <w:t xml:space="preserve"> </w:t>
            </w:r>
          </w:p>
          <w:p w14:paraId="1F13C4DE" w14:textId="77777777" w:rsidR="00764EDB" w:rsidRPr="009A34E1" w:rsidRDefault="00764EDB" w:rsidP="00764EDB">
            <w:pPr>
              <w:pStyle w:val="Bullet1"/>
              <w:rPr>
                <w:rFonts w:cs="Arial"/>
                <w:szCs w:val="21"/>
              </w:rPr>
            </w:pPr>
            <w:r w:rsidRPr="009A34E1">
              <w:rPr>
                <w:rStyle w:val="cf01"/>
                <w:rFonts w:ascii="Arial" w:hAnsi="Arial" w:cs="Arial"/>
                <w:sz w:val="21"/>
                <w:szCs w:val="21"/>
              </w:rPr>
              <w:t>category 2 surgery and procedures are clinically indicated within 90 days (within 60 days for endoscopy)</w:t>
            </w:r>
          </w:p>
          <w:p w14:paraId="218414CD" w14:textId="331F2837" w:rsidR="00ED40AE" w:rsidRPr="009A34E1" w:rsidRDefault="00764EDB" w:rsidP="00ED40AE">
            <w:pPr>
              <w:pStyle w:val="Bullet1"/>
            </w:pPr>
            <w:r w:rsidRPr="009A34E1">
              <w:rPr>
                <w:rStyle w:val="cf01"/>
                <w:rFonts w:ascii="Arial" w:hAnsi="Arial" w:cs="Arial"/>
                <w:sz w:val="21"/>
                <w:szCs w:val="21"/>
              </w:rPr>
              <w:t>category 3 surgery and procedures are clinically indicated within 365 days (within 180 days for endoscopy).</w:t>
            </w:r>
          </w:p>
        </w:tc>
        <w:tc>
          <w:tcPr>
            <w:tcW w:w="711" w:type="dxa"/>
          </w:tcPr>
          <w:p w14:paraId="631EC9B9" w14:textId="77777777" w:rsidR="00ED40AE" w:rsidRPr="009A34E1" w:rsidRDefault="00ED40AE" w:rsidP="00C260F3">
            <w:pPr>
              <w:pStyle w:val="DHHSbody"/>
              <w:rPr>
                <w:b/>
              </w:rPr>
            </w:pPr>
          </w:p>
        </w:tc>
        <w:tc>
          <w:tcPr>
            <w:tcW w:w="3401" w:type="dxa"/>
          </w:tcPr>
          <w:p w14:paraId="2F2DA276" w14:textId="77777777" w:rsidR="00ED40AE" w:rsidRPr="009A34E1" w:rsidRDefault="00ED40AE" w:rsidP="00C260F3">
            <w:pPr>
              <w:pStyle w:val="DHHSbody"/>
              <w:rPr>
                <w:b/>
              </w:rPr>
            </w:pPr>
          </w:p>
        </w:tc>
        <w:tc>
          <w:tcPr>
            <w:tcW w:w="3117" w:type="dxa"/>
          </w:tcPr>
          <w:p w14:paraId="04BE640F" w14:textId="77777777" w:rsidR="00ED40AE" w:rsidRPr="009A34E1" w:rsidRDefault="00ED40AE" w:rsidP="00C260F3">
            <w:pPr>
              <w:pStyle w:val="DHHSbody"/>
              <w:rPr>
                <w:b/>
              </w:rPr>
            </w:pPr>
          </w:p>
        </w:tc>
      </w:tr>
      <w:tr w:rsidR="00231395" w:rsidRPr="009A34E1" w14:paraId="455555D6" w14:textId="77777777" w:rsidTr="001F53C6">
        <w:tc>
          <w:tcPr>
            <w:tcW w:w="7655" w:type="dxa"/>
          </w:tcPr>
          <w:p w14:paraId="61A4028E" w14:textId="7247B265" w:rsidR="00231395" w:rsidRPr="009A34E1" w:rsidRDefault="006825A2" w:rsidP="006825A2">
            <w:pPr>
              <w:pStyle w:val="Bodyafterbullets"/>
            </w:pPr>
            <w:r w:rsidRPr="009A34E1">
              <w:t>When a patient is registered on the preparation list, health services must inform the patient, the requesting clinician (and the GP, where appropriate) in writing that they have accepted the referral and registered the patient on the preparation list, and the clinical urgency.</w:t>
            </w:r>
          </w:p>
        </w:tc>
        <w:tc>
          <w:tcPr>
            <w:tcW w:w="711" w:type="dxa"/>
          </w:tcPr>
          <w:p w14:paraId="6C02EAB5" w14:textId="77777777" w:rsidR="00231395" w:rsidRPr="009A34E1" w:rsidRDefault="00231395" w:rsidP="00C260F3">
            <w:pPr>
              <w:pStyle w:val="DHHSbody"/>
              <w:rPr>
                <w:b/>
              </w:rPr>
            </w:pPr>
          </w:p>
        </w:tc>
        <w:tc>
          <w:tcPr>
            <w:tcW w:w="3401" w:type="dxa"/>
          </w:tcPr>
          <w:p w14:paraId="46F31BE3" w14:textId="77777777" w:rsidR="00231395" w:rsidRPr="009A34E1" w:rsidRDefault="00231395" w:rsidP="00C260F3">
            <w:pPr>
              <w:pStyle w:val="DHHSbody"/>
              <w:rPr>
                <w:b/>
              </w:rPr>
            </w:pPr>
          </w:p>
        </w:tc>
        <w:tc>
          <w:tcPr>
            <w:tcW w:w="3117" w:type="dxa"/>
          </w:tcPr>
          <w:p w14:paraId="7781B04C" w14:textId="77777777" w:rsidR="00231395" w:rsidRPr="009A34E1" w:rsidRDefault="00231395" w:rsidP="00C260F3">
            <w:pPr>
              <w:pStyle w:val="DHHSbody"/>
              <w:rPr>
                <w:b/>
              </w:rPr>
            </w:pPr>
          </w:p>
        </w:tc>
      </w:tr>
      <w:tr w:rsidR="00231395" w:rsidRPr="009A34E1" w14:paraId="0AE1BD6F" w14:textId="77777777" w:rsidTr="001F53C6">
        <w:tc>
          <w:tcPr>
            <w:tcW w:w="7655" w:type="dxa"/>
          </w:tcPr>
          <w:p w14:paraId="75CAC0E4" w14:textId="3D204C5E" w:rsidR="00231395" w:rsidRPr="009A34E1" w:rsidRDefault="00E26CFE" w:rsidP="00E26CFE">
            <w:pPr>
              <w:pStyle w:val="Body"/>
            </w:pPr>
            <w:r w:rsidRPr="009A34E1">
              <w:t xml:space="preserve">Any change in a patient’s clinical urgency category on the preparation list must be authorised by the treating specialist medical practitioner, the head of unit (or their delegate). The health service must record this in the patient’s health record. </w:t>
            </w:r>
          </w:p>
        </w:tc>
        <w:tc>
          <w:tcPr>
            <w:tcW w:w="711" w:type="dxa"/>
          </w:tcPr>
          <w:p w14:paraId="7E56D5F9" w14:textId="77777777" w:rsidR="00231395" w:rsidRPr="009A34E1" w:rsidRDefault="00231395" w:rsidP="00C260F3">
            <w:pPr>
              <w:pStyle w:val="DHHSbody"/>
              <w:rPr>
                <w:b/>
              </w:rPr>
            </w:pPr>
          </w:p>
        </w:tc>
        <w:tc>
          <w:tcPr>
            <w:tcW w:w="3401" w:type="dxa"/>
          </w:tcPr>
          <w:p w14:paraId="645BA811" w14:textId="77777777" w:rsidR="00231395" w:rsidRPr="009A34E1" w:rsidRDefault="00231395" w:rsidP="00C260F3">
            <w:pPr>
              <w:pStyle w:val="DHHSbody"/>
              <w:rPr>
                <w:b/>
              </w:rPr>
            </w:pPr>
          </w:p>
        </w:tc>
        <w:tc>
          <w:tcPr>
            <w:tcW w:w="3117" w:type="dxa"/>
          </w:tcPr>
          <w:p w14:paraId="2B4B82B2" w14:textId="77777777" w:rsidR="00231395" w:rsidRPr="009A34E1" w:rsidRDefault="00231395" w:rsidP="00C260F3">
            <w:pPr>
              <w:pStyle w:val="DHHSbody"/>
              <w:rPr>
                <w:b/>
              </w:rPr>
            </w:pPr>
          </w:p>
        </w:tc>
      </w:tr>
      <w:tr w:rsidR="00A84727" w:rsidRPr="009A34E1" w14:paraId="2268749C" w14:textId="77777777" w:rsidTr="001F53C6">
        <w:tc>
          <w:tcPr>
            <w:tcW w:w="7655" w:type="dxa"/>
          </w:tcPr>
          <w:p w14:paraId="09F7C664" w14:textId="77777777" w:rsidR="00F0657D" w:rsidRPr="009A34E1" w:rsidRDefault="00F9145E" w:rsidP="00F0657D">
            <w:pPr>
              <w:pStyle w:val="Body"/>
            </w:pPr>
            <w:r w:rsidRPr="009A34E1">
              <w:t xml:space="preserve">When any approval for a change in categorisation is accepted, the health </w:t>
            </w:r>
            <w:r w:rsidR="00F0657D" w:rsidRPr="009A34E1">
              <w:t>services must contact the patient and requesting clinician about any change within:</w:t>
            </w:r>
          </w:p>
          <w:p w14:paraId="0182B08A" w14:textId="77777777" w:rsidR="00F0657D" w:rsidRPr="009A34E1" w:rsidRDefault="00F0657D" w:rsidP="00F0657D">
            <w:pPr>
              <w:pStyle w:val="Bullet1"/>
            </w:pPr>
            <w:r w:rsidRPr="009A34E1">
              <w:t>3 working days for category 1 patients</w:t>
            </w:r>
          </w:p>
          <w:p w14:paraId="36CE940E" w14:textId="39F42C70" w:rsidR="00A84727" w:rsidRPr="009A34E1" w:rsidRDefault="00F0657D" w:rsidP="00F0657D">
            <w:pPr>
              <w:pStyle w:val="Bullet1"/>
            </w:pPr>
            <w:r w:rsidRPr="009A34E1">
              <w:lastRenderedPageBreak/>
              <w:t>10 working days for category 2 and 3 patients.</w:t>
            </w:r>
          </w:p>
        </w:tc>
        <w:tc>
          <w:tcPr>
            <w:tcW w:w="711" w:type="dxa"/>
          </w:tcPr>
          <w:p w14:paraId="2E12B654" w14:textId="77777777" w:rsidR="00A84727" w:rsidRPr="009A34E1" w:rsidRDefault="00A84727" w:rsidP="00A84727">
            <w:pPr>
              <w:pStyle w:val="DHHSbody"/>
              <w:rPr>
                <w:b/>
              </w:rPr>
            </w:pPr>
          </w:p>
        </w:tc>
        <w:tc>
          <w:tcPr>
            <w:tcW w:w="3401" w:type="dxa"/>
          </w:tcPr>
          <w:p w14:paraId="1EE974CE" w14:textId="77777777" w:rsidR="00A84727" w:rsidRPr="009A34E1" w:rsidRDefault="00A84727" w:rsidP="00A84727">
            <w:pPr>
              <w:pStyle w:val="DHHSbody"/>
              <w:rPr>
                <w:b/>
              </w:rPr>
            </w:pPr>
          </w:p>
        </w:tc>
        <w:tc>
          <w:tcPr>
            <w:tcW w:w="3117" w:type="dxa"/>
          </w:tcPr>
          <w:p w14:paraId="7D32D6D4" w14:textId="77777777" w:rsidR="00A84727" w:rsidRPr="009A34E1" w:rsidRDefault="00A84727" w:rsidP="00A84727">
            <w:pPr>
              <w:pStyle w:val="DHHSbody"/>
              <w:rPr>
                <w:b/>
              </w:rPr>
            </w:pPr>
          </w:p>
        </w:tc>
      </w:tr>
      <w:tr w:rsidR="00B26BF5" w:rsidRPr="009A34E1" w14:paraId="72BD3B7C" w14:textId="77777777" w:rsidTr="001F53C6">
        <w:tc>
          <w:tcPr>
            <w:tcW w:w="7655" w:type="dxa"/>
          </w:tcPr>
          <w:p w14:paraId="4EF9AE77" w14:textId="77777777" w:rsidR="00EC7349" w:rsidRPr="009A34E1" w:rsidRDefault="00EC7349" w:rsidP="00EC7349">
            <w:pPr>
              <w:pStyle w:val="Bodyafterbullets"/>
              <w:rPr>
                <w:lang w:eastAsia="en-AU"/>
              </w:rPr>
            </w:pPr>
            <w:r w:rsidRPr="009A34E1">
              <w:rPr>
                <w:lang w:eastAsia="en-AU"/>
              </w:rPr>
              <w:t>To ensure fairness, there are limits to the total time a patient can be ‘not ready for surgery – deferred for personal reasons.</w:t>
            </w:r>
          </w:p>
          <w:p w14:paraId="5BA6DE40" w14:textId="77777777" w:rsidR="00EC7349" w:rsidRPr="009A34E1" w:rsidRDefault="00EC7349" w:rsidP="00EC7349">
            <w:pPr>
              <w:pStyle w:val="Body"/>
            </w:pPr>
            <w:r w:rsidRPr="009A34E1">
              <w:t>Time limits for deferral due to personal reasons are:</w:t>
            </w:r>
          </w:p>
          <w:p w14:paraId="2BA920FB" w14:textId="77777777" w:rsidR="00EC7349" w:rsidRPr="009A34E1" w:rsidRDefault="00EC7349" w:rsidP="00EC7349">
            <w:pPr>
              <w:pStyle w:val="Bullet1"/>
            </w:pPr>
            <w:r w:rsidRPr="009A34E1">
              <w:t xml:space="preserve">30 days for category 1 patients </w:t>
            </w:r>
          </w:p>
          <w:p w14:paraId="12630DF6" w14:textId="77777777" w:rsidR="00EC7349" w:rsidRPr="009A34E1" w:rsidRDefault="00EC7349" w:rsidP="00EC7349">
            <w:pPr>
              <w:pStyle w:val="Bullet1"/>
            </w:pPr>
            <w:r w:rsidRPr="009A34E1">
              <w:t xml:space="preserve">90 days category 2 patients </w:t>
            </w:r>
          </w:p>
          <w:p w14:paraId="7D1B427F" w14:textId="77777777" w:rsidR="00EC7349" w:rsidRPr="009A34E1" w:rsidRDefault="00EC7349" w:rsidP="00EC7349">
            <w:pPr>
              <w:pStyle w:val="Bullet1"/>
            </w:pPr>
            <w:r w:rsidRPr="009A34E1">
              <w:t>180 days for category 3 patients.</w:t>
            </w:r>
          </w:p>
          <w:p w14:paraId="19D301D1" w14:textId="77777777" w:rsidR="00EC7349" w:rsidRPr="009A34E1" w:rsidRDefault="00EC7349" w:rsidP="00EC7349">
            <w:pPr>
              <w:pStyle w:val="Bodyafterbullets"/>
              <w:rPr>
                <w:lang w:eastAsia="en-AU"/>
              </w:rPr>
            </w:pPr>
            <w:r w:rsidRPr="009A34E1">
              <w:t xml:space="preserve">Health services must inform patients of these time limits. They must also </w:t>
            </w:r>
            <w:r w:rsidRPr="009A34E1">
              <w:rPr>
                <w:lang w:eastAsia="en-AU"/>
              </w:rPr>
              <w:t xml:space="preserve">attempt to contact the patient’s </w:t>
            </w:r>
            <w:r w:rsidRPr="009A34E1">
              <w:t>requesting</w:t>
            </w:r>
            <w:r w:rsidRPr="009A34E1">
              <w:rPr>
                <w:lang w:eastAsia="en-AU"/>
              </w:rPr>
              <w:t xml:space="preserve"> clinician or GP before the deferral time limit passes. </w:t>
            </w:r>
          </w:p>
          <w:p w14:paraId="0C4273C9" w14:textId="50D22883" w:rsidR="00B26BF5" w:rsidRPr="009A34E1" w:rsidRDefault="003C7818" w:rsidP="003C7818">
            <w:pPr>
              <w:pStyle w:val="Bodyafterbullets"/>
              <w:rPr>
                <w:lang w:eastAsia="en-AU"/>
              </w:rPr>
            </w:pPr>
            <w:r w:rsidRPr="009A34E1">
              <w:rPr>
                <w:lang w:eastAsia="en-AU"/>
              </w:rPr>
              <w:t xml:space="preserve">Patients may only request a deferral for personal reasons twice. The maximum number of days set out above applies across the two deferrals. </w:t>
            </w:r>
          </w:p>
        </w:tc>
        <w:tc>
          <w:tcPr>
            <w:tcW w:w="711" w:type="dxa"/>
          </w:tcPr>
          <w:p w14:paraId="6C60A28F" w14:textId="77777777" w:rsidR="00B26BF5" w:rsidRPr="009A34E1" w:rsidRDefault="00B26BF5" w:rsidP="00A84727">
            <w:pPr>
              <w:pStyle w:val="DHHSbody"/>
              <w:rPr>
                <w:b/>
              </w:rPr>
            </w:pPr>
          </w:p>
        </w:tc>
        <w:tc>
          <w:tcPr>
            <w:tcW w:w="3401" w:type="dxa"/>
          </w:tcPr>
          <w:p w14:paraId="52493F29" w14:textId="77777777" w:rsidR="00B26BF5" w:rsidRPr="009A34E1" w:rsidRDefault="00B26BF5" w:rsidP="00A84727">
            <w:pPr>
              <w:pStyle w:val="DHHSbody"/>
              <w:rPr>
                <w:b/>
              </w:rPr>
            </w:pPr>
          </w:p>
        </w:tc>
        <w:tc>
          <w:tcPr>
            <w:tcW w:w="3117" w:type="dxa"/>
          </w:tcPr>
          <w:p w14:paraId="5F08E16F" w14:textId="77777777" w:rsidR="00B26BF5" w:rsidRPr="009A34E1" w:rsidRDefault="00B26BF5" w:rsidP="00A84727">
            <w:pPr>
              <w:pStyle w:val="DHHSbody"/>
              <w:rPr>
                <w:b/>
              </w:rPr>
            </w:pPr>
          </w:p>
        </w:tc>
      </w:tr>
      <w:tr w:rsidR="001B4C5E" w:rsidRPr="009A34E1" w14:paraId="0F40CAD4" w14:textId="77777777" w:rsidTr="001F53C6">
        <w:tc>
          <w:tcPr>
            <w:tcW w:w="7655" w:type="dxa"/>
          </w:tcPr>
          <w:p w14:paraId="6C0CED4B" w14:textId="263BB928" w:rsidR="001B4C5E" w:rsidRPr="009A34E1" w:rsidRDefault="00BD6FDC" w:rsidP="006825AE">
            <w:pPr>
              <w:rPr>
                <w:rFonts w:eastAsia="Times" w:cs="Arial"/>
                <w:szCs w:val="21"/>
              </w:rPr>
            </w:pPr>
            <w:r w:rsidRPr="009A34E1">
              <w:t xml:space="preserve">If a health service </w:t>
            </w:r>
            <w:r w:rsidR="00AB76CA" w:rsidRPr="009A34E1">
              <w:t>offers</w:t>
            </w:r>
            <w:r w:rsidRPr="009A34E1">
              <w:t xml:space="preserve"> to provide surgery at another location, for example through a regionalised preparation list program and the patient declines this offer, it is not considered a deferral for personal reasons. Their categorisation should not change. They should remain on the preparation list.</w:t>
            </w:r>
          </w:p>
        </w:tc>
        <w:tc>
          <w:tcPr>
            <w:tcW w:w="711" w:type="dxa"/>
          </w:tcPr>
          <w:p w14:paraId="46F83DB9" w14:textId="77777777" w:rsidR="001B4C5E" w:rsidRPr="009A34E1" w:rsidRDefault="001B4C5E" w:rsidP="00A84727">
            <w:pPr>
              <w:pStyle w:val="DHHSbody"/>
              <w:rPr>
                <w:b/>
              </w:rPr>
            </w:pPr>
          </w:p>
        </w:tc>
        <w:tc>
          <w:tcPr>
            <w:tcW w:w="3401" w:type="dxa"/>
          </w:tcPr>
          <w:p w14:paraId="3C64B634" w14:textId="77777777" w:rsidR="001B4C5E" w:rsidRPr="009A34E1" w:rsidRDefault="001B4C5E" w:rsidP="00A84727">
            <w:pPr>
              <w:pStyle w:val="DHHSbody"/>
              <w:rPr>
                <w:b/>
              </w:rPr>
            </w:pPr>
          </w:p>
        </w:tc>
        <w:tc>
          <w:tcPr>
            <w:tcW w:w="3117" w:type="dxa"/>
          </w:tcPr>
          <w:p w14:paraId="7EAEB41D" w14:textId="77777777" w:rsidR="001B4C5E" w:rsidRPr="009A34E1" w:rsidRDefault="001B4C5E" w:rsidP="00A84727">
            <w:pPr>
              <w:pStyle w:val="DHHSbody"/>
              <w:rPr>
                <w:b/>
              </w:rPr>
            </w:pPr>
          </w:p>
        </w:tc>
      </w:tr>
      <w:tr w:rsidR="00A84727" w:rsidRPr="009A34E1" w14:paraId="4115F93E" w14:textId="77777777" w:rsidTr="001F53C6">
        <w:tc>
          <w:tcPr>
            <w:tcW w:w="7655" w:type="dxa"/>
          </w:tcPr>
          <w:p w14:paraId="702ED0CB" w14:textId="77777777" w:rsidR="006825AE" w:rsidRPr="009A34E1" w:rsidRDefault="006825AE" w:rsidP="006825AE">
            <w:pPr>
              <w:rPr>
                <w:rFonts w:eastAsia="Times" w:cs="Arial"/>
                <w:szCs w:val="21"/>
              </w:rPr>
            </w:pPr>
            <w:r w:rsidRPr="009A34E1">
              <w:rPr>
                <w:rFonts w:eastAsia="Times" w:cs="Arial"/>
                <w:szCs w:val="21"/>
              </w:rPr>
              <w:t>A change in a patient’s ready-for-surgery status for any reason must be:</w:t>
            </w:r>
          </w:p>
          <w:p w14:paraId="4F0CF4C1" w14:textId="77777777" w:rsidR="006825AE" w:rsidRPr="009A34E1" w:rsidRDefault="006825AE" w:rsidP="006825AE">
            <w:pPr>
              <w:pStyle w:val="Bullet1"/>
            </w:pPr>
            <w:r w:rsidRPr="009A34E1">
              <w:t xml:space="preserve">authorised and documented by a clinician of the health service directly responsible for the patient’s care (for example, treating specialist medical practitioner, senior </w:t>
            </w:r>
            <w:proofErr w:type="gramStart"/>
            <w:r w:rsidRPr="009A34E1">
              <w:t>clinician</w:t>
            </w:r>
            <w:proofErr w:type="gramEnd"/>
            <w:r w:rsidRPr="009A34E1">
              <w:t xml:space="preserve"> or the head of unit)</w:t>
            </w:r>
          </w:p>
          <w:p w14:paraId="3F167771" w14:textId="77777777" w:rsidR="006825AE" w:rsidRPr="009A34E1" w:rsidRDefault="006825AE" w:rsidP="006825AE">
            <w:pPr>
              <w:pStyle w:val="Bullet1"/>
            </w:pPr>
            <w:r w:rsidRPr="009A34E1">
              <w:t xml:space="preserve">notified to the patient and the clinician that requested the patient be placed on the preparation </w:t>
            </w:r>
            <w:proofErr w:type="gramStart"/>
            <w:r w:rsidRPr="009A34E1">
              <w:t>list</w:t>
            </w:r>
            <w:proofErr w:type="gramEnd"/>
          </w:p>
          <w:p w14:paraId="7C42AFEA" w14:textId="77777777" w:rsidR="00A84727" w:rsidRPr="009A34E1" w:rsidRDefault="006825AE" w:rsidP="006825AE">
            <w:pPr>
              <w:pStyle w:val="Bullet1"/>
            </w:pPr>
            <w:r w:rsidRPr="009A34E1">
              <w:t>notified to the GP (unless the patient does not have a known treating GP).</w:t>
            </w:r>
          </w:p>
          <w:p w14:paraId="6E405558" w14:textId="77777777" w:rsidR="00122AF9" w:rsidRPr="009A34E1" w:rsidRDefault="00122AF9" w:rsidP="00122AF9">
            <w:pPr>
              <w:pStyle w:val="Bullet1"/>
              <w:numPr>
                <w:ilvl w:val="0"/>
                <w:numId w:val="0"/>
              </w:numPr>
              <w:ind w:left="284" w:hanging="284"/>
            </w:pPr>
          </w:p>
          <w:p w14:paraId="6CC93823" w14:textId="362E9E2D" w:rsidR="00122AF9" w:rsidRPr="009A34E1" w:rsidRDefault="00122AF9" w:rsidP="00122AF9">
            <w:pPr>
              <w:pStyle w:val="Bullet1"/>
              <w:numPr>
                <w:ilvl w:val="0"/>
                <w:numId w:val="0"/>
              </w:numPr>
              <w:ind w:left="284" w:hanging="284"/>
            </w:pPr>
          </w:p>
        </w:tc>
        <w:tc>
          <w:tcPr>
            <w:tcW w:w="711" w:type="dxa"/>
          </w:tcPr>
          <w:p w14:paraId="7E7B8E86" w14:textId="77777777" w:rsidR="00A84727" w:rsidRPr="009A34E1" w:rsidRDefault="00A84727" w:rsidP="00A84727">
            <w:pPr>
              <w:pStyle w:val="DHHSbody"/>
              <w:rPr>
                <w:b/>
              </w:rPr>
            </w:pPr>
          </w:p>
        </w:tc>
        <w:tc>
          <w:tcPr>
            <w:tcW w:w="3401" w:type="dxa"/>
          </w:tcPr>
          <w:p w14:paraId="6517959A" w14:textId="77777777" w:rsidR="00A84727" w:rsidRPr="009A34E1" w:rsidRDefault="00A84727" w:rsidP="00A84727">
            <w:pPr>
              <w:pStyle w:val="DHHSbody"/>
              <w:rPr>
                <w:b/>
              </w:rPr>
            </w:pPr>
          </w:p>
        </w:tc>
        <w:tc>
          <w:tcPr>
            <w:tcW w:w="3117" w:type="dxa"/>
          </w:tcPr>
          <w:p w14:paraId="54D31693" w14:textId="77777777" w:rsidR="00A84727" w:rsidRPr="009A34E1" w:rsidRDefault="00A84727" w:rsidP="00A84727">
            <w:pPr>
              <w:pStyle w:val="DHHSbody"/>
              <w:rPr>
                <w:b/>
              </w:rPr>
            </w:pPr>
          </w:p>
        </w:tc>
      </w:tr>
      <w:tr w:rsidR="00F43B66" w:rsidRPr="009A34E1" w14:paraId="45585569" w14:textId="77777777" w:rsidTr="00784999">
        <w:tc>
          <w:tcPr>
            <w:tcW w:w="14884" w:type="dxa"/>
            <w:gridSpan w:val="4"/>
          </w:tcPr>
          <w:p w14:paraId="1C034AC6" w14:textId="3EA8C9B9" w:rsidR="00F43B66" w:rsidRPr="009A34E1" w:rsidRDefault="004A3DCB" w:rsidP="00A84727">
            <w:pPr>
              <w:pStyle w:val="DHHSbody"/>
              <w:rPr>
                <w:b/>
              </w:rPr>
            </w:pPr>
            <w:r w:rsidRPr="007672CB">
              <w:rPr>
                <w:b/>
                <w:bCs/>
                <w:color w:val="0F243E" w:themeColor="text2" w:themeShade="80"/>
              </w:rPr>
              <w:lastRenderedPageBreak/>
              <w:t>Section 5 Communication with patients</w:t>
            </w:r>
          </w:p>
        </w:tc>
      </w:tr>
      <w:tr w:rsidR="00CE4DE9" w:rsidRPr="009A34E1" w14:paraId="45A0CC0A" w14:textId="77777777" w:rsidTr="001F53C6">
        <w:tc>
          <w:tcPr>
            <w:tcW w:w="7655" w:type="dxa"/>
          </w:tcPr>
          <w:p w14:paraId="18069027" w14:textId="77777777" w:rsidR="00293C6A" w:rsidRPr="009A34E1" w:rsidRDefault="00293C6A" w:rsidP="00293C6A">
            <w:pPr>
              <w:pStyle w:val="Bodyafterbullets"/>
            </w:pPr>
            <w:r w:rsidRPr="009A34E1">
              <w:t xml:space="preserve">Health services must protect confidential patient health information. This includes complying with data security requirements in accordance with health record legislation, </w:t>
            </w:r>
            <w:proofErr w:type="gramStart"/>
            <w:r w:rsidRPr="009A34E1">
              <w:t>regulations</w:t>
            </w:r>
            <w:proofErr w:type="gramEnd"/>
            <w:r w:rsidRPr="009A34E1">
              <w:t xml:space="preserve"> and standards. </w:t>
            </w:r>
          </w:p>
          <w:p w14:paraId="40FDB891" w14:textId="2E63F88E" w:rsidR="00CE4DE9" w:rsidRPr="009A34E1" w:rsidRDefault="00293C6A" w:rsidP="00293C6A">
            <w:pPr>
              <w:pStyle w:val="Bodyafterbullets"/>
              <w:rPr>
                <w:rFonts w:eastAsia="Arial"/>
                <w:b/>
                <w:color w:val="595959"/>
                <w:highlight w:val="yellow"/>
                <w:lang w:eastAsia="en-AU"/>
              </w:rPr>
            </w:pPr>
            <w:r w:rsidRPr="009A34E1">
              <w:t>Health</w:t>
            </w:r>
            <w:r w:rsidRPr="009A34E1">
              <w:rPr>
                <w:rFonts w:eastAsia="Calibri" w:cs="Arial"/>
                <w:color w:val="000000"/>
              </w:rPr>
              <w:t xml:space="preserve"> services should consult with data security experts.</w:t>
            </w:r>
          </w:p>
        </w:tc>
        <w:tc>
          <w:tcPr>
            <w:tcW w:w="711" w:type="dxa"/>
          </w:tcPr>
          <w:p w14:paraId="609E7907" w14:textId="77777777" w:rsidR="00CE4DE9" w:rsidRPr="009A34E1" w:rsidRDefault="00CE4DE9" w:rsidP="00A84727">
            <w:pPr>
              <w:pStyle w:val="DHHSbody"/>
              <w:rPr>
                <w:b/>
              </w:rPr>
            </w:pPr>
          </w:p>
        </w:tc>
        <w:tc>
          <w:tcPr>
            <w:tcW w:w="3401" w:type="dxa"/>
          </w:tcPr>
          <w:p w14:paraId="3A95E007" w14:textId="77777777" w:rsidR="00CE4DE9" w:rsidRPr="009A34E1" w:rsidRDefault="00CE4DE9" w:rsidP="00A84727">
            <w:pPr>
              <w:pStyle w:val="DHHSbody"/>
              <w:rPr>
                <w:b/>
              </w:rPr>
            </w:pPr>
          </w:p>
        </w:tc>
        <w:tc>
          <w:tcPr>
            <w:tcW w:w="3117" w:type="dxa"/>
          </w:tcPr>
          <w:p w14:paraId="22C04842" w14:textId="77777777" w:rsidR="00CE4DE9" w:rsidRPr="009A34E1" w:rsidRDefault="00CE4DE9" w:rsidP="00A84727">
            <w:pPr>
              <w:pStyle w:val="DHHSbody"/>
              <w:rPr>
                <w:b/>
              </w:rPr>
            </w:pPr>
          </w:p>
        </w:tc>
      </w:tr>
      <w:tr w:rsidR="00811F9A" w:rsidRPr="009A34E1" w14:paraId="3E5BA1B8" w14:textId="77777777" w:rsidTr="001F53C6">
        <w:tc>
          <w:tcPr>
            <w:tcW w:w="7655" w:type="dxa"/>
          </w:tcPr>
          <w:p w14:paraId="147CD23C" w14:textId="38BAB059" w:rsidR="00811F9A" w:rsidRPr="009A34E1" w:rsidRDefault="00EE575A" w:rsidP="00EE575A">
            <w:pPr>
              <w:pStyle w:val="Body"/>
              <w:rPr>
                <w:rFonts w:cs="Arial"/>
                <w:szCs w:val="21"/>
              </w:rPr>
            </w:pPr>
            <w:r w:rsidRPr="009A34E1">
              <w:rPr>
                <w:rFonts w:cs="Arial"/>
                <w:szCs w:val="21"/>
              </w:rPr>
              <w:t>Health services must provide a point of contact and designated staff who can answer all enquiries about planned surgery and procedures, from patients, requesting clinicians and GPs.</w:t>
            </w:r>
          </w:p>
        </w:tc>
        <w:tc>
          <w:tcPr>
            <w:tcW w:w="711" w:type="dxa"/>
          </w:tcPr>
          <w:p w14:paraId="1399F488" w14:textId="77777777" w:rsidR="00811F9A" w:rsidRPr="009A34E1" w:rsidRDefault="00811F9A" w:rsidP="00A84727">
            <w:pPr>
              <w:pStyle w:val="DHHSbody"/>
              <w:rPr>
                <w:b/>
              </w:rPr>
            </w:pPr>
          </w:p>
        </w:tc>
        <w:tc>
          <w:tcPr>
            <w:tcW w:w="3401" w:type="dxa"/>
          </w:tcPr>
          <w:p w14:paraId="1446C9BE" w14:textId="77777777" w:rsidR="00811F9A" w:rsidRPr="009A34E1" w:rsidRDefault="00811F9A" w:rsidP="00A84727">
            <w:pPr>
              <w:pStyle w:val="DHHSbody"/>
              <w:rPr>
                <w:b/>
              </w:rPr>
            </w:pPr>
          </w:p>
        </w:tc>
        <w:tc>
          <w:tcPr>
            <w:tcW w:w="3117" w:type="dxa"/>
          </w:tcPr>
          <w:p w14:paraId="7AB64AAC" w14:textId="77777777" w:rsidR="00811F9A" w:rsidRPr="009A34E1" w:rsidRDefault="00811F9A" w:rsidP="00A84727">
            <w:pPr>
              <w:pStyle w:val="DHHSbody"/>
              <w:rPr>
                <w:b/>
              </w:rPr>
            </w:pPr>
          </w:p>
        </w:tc>
      </w:tr>
      <w:tr w:rsidR="00F43B66" w:rsidRPr="009A34E1" w14:paraId="3F70AA4E" w14:textId="77777777" w:rsidTr="001F53C6">
        <w:tc>
          <w:tcPr>
            <w:tcW w:w="7655" w:type="dxa"/>
          </w:tcPr>
          <w:p w14:paraId="316A097F" w14:textId="77777777" w:rsidR="0063525B" w:rsidRPr="009A34E1" w:rsidRDefault="0063525B" w:rsidP="0063525B">
            <w:pPr>
              <w:pStyle w:val="Body"/>
              <w:rPr>
                <w:rFonts w:cs="Arial"/>
                <w:szCs w:val="21"/>
              </w:rPr>
            </w:pPr>
            <w:r w:rsidRPr="009A34E1">
              <w:rPr>
                <w:rFonts w:cs="Arial"/>
                <w:szCs w:val="21"/>
              </w:rPr>
              <w:t>When communicating with patients on the preparation list, health services must tell the patient:</w:t>
            </w:r>
          </w:p>
          <w:p w14:paraId="4BFB2ACC" w14:textId="77777777" w:rsidR="0063525B" w:rsidRPr="009A34E1" w:rsidRDefault="0063525B" w:rsidP="0063525B">
            <w:pPr>
              <w:pStyle w:val="Bullet1"/>
            </w:pPr>
            <w:r w:rsidRPr="009A34E1">
              <w:t xml:space="preserve">their clinical urgency category </w:t>
            </w:r>
          </w:p>
          <w:p w14:paraId="7DA5AFE5" w14:textId="77777777" w:rsidR="0063525B" w:rsidRPr="009A34E1" w:rsidRDefault="0063525B" w:rsidP="0063525B">
            <w:pPr>
              <w:pStyle w:val="Bullet1"/>
            </w:pPr>
            <w:r w:rsidRPr="009A34E1">
              <w:t>what to do if their condition deteriorates</w:t>
            </w:r>
          </w:p>
          <w:p w14:paraId="5859D196" w14:textId="77777777" w:rsidR="0063525B" w:rsidRPr="009A34E1" w:rsidRDefault="0063525B" w:rsidP="0063525B">
            <w:pPr>
              <w:pStyle w:val="Bullet1"/>
            </w:pPr>
            <w:r w:rsidRPr="009A34E1">
              <w:t xml:space="preserve">how to contact a doctor about health issues that might arise </w:t>
            </w:r>
          </w:p>
          <w:p w14:paraId="68D181EC" w14:textId="5243F86F" w:rsidR="00F43B66" w:rsidRPr="009A34E1" w:rsidRDefault="0063525B" w:rsidP="0063525B">
            <w:pPr>
              <w:pStyle w:val="Bullet1"/>
            </w:pPr>
            <w:r w:rsidRPr="009A34E1">
              <w:t>other supports available to them, including programs to assist with the costs of patient travel, interpreters, disability support and cultural safety support.</w:t>
            </w:r>
          </w:p>
        </w:tc>
        <w:tc>
          <w:tcPr>
            <w:tcW w:w="711" w:type="dxa"/>
          </w:tcPr>
          <w:p w14:paraId="48722056" w14:textId="77777777" w:rsidR="00F43B66" w:rsidRPr="009A34E1" w:rsidRDefault="00F43B66" w:rsidP="00A84727">
            <w:pPr>
              <w:pStyle w:val="DHHSbody"/>
              <w:rPr>
                <w:b/>
              </w:rPr>
            </w:pPr>
          </w:p>
        </w:tc>
        <w:tc>
          <w:tcPr>
            <w:tcW w:w="3401" w:type="dxa"/>
          </w:tcPr>
          <w:p w14:paraId="5D4F68C5" w14:textId="77777777" w:rsidR="00F43B66" w:rsidRPr="009A34E1" w:rsidRDefault="00F43B66" w:rsidP="00A84727">
            <w:pPr>
              <w:pStyle w:val="DHHSbody"/>
              <w:rPr>
                <w:b/>
              </w:rPr>
            </w:pPr>
          </w:p>
        </w:tc>
        <w:tc>
          <w:tcPr>
            <w:tcW w:w="3117" w:type="dxa"/>
          </w:tcPr>
          <w:p w14:paraId="4A732C20" w14:textId="77777777" w:rsidR="00F43B66" w:rsidRPr="009A34E1" w:rsidRDefault="00F43B66" w:rsidP="00A84727">
            <w:pPr>
              <w:pStyle w:val="DHHSbody"/>
              <w:rPr>
                <w:b/>
              </w:rPr>
            </w:pPr>
          </w:p>
        </w:tc>
      </w:tr>
      <w:tr w:rsidR="00C53946" w:rsidRPr="009A34E1" w14:paraId="77D4F9CB" w14:textId="77777777" w:rsidTr="001F53C6">
        <w:tc>
          <w:tcPr>
            <w:tcW w:w="7655" w:type="dxa"/>
          </w:tcPr>
          <w:p w14:paraId="2F3A2BFE" w14:textId="77777777" w:rsidR="00777D0D" w:rsidRPr="009A34E1" w:rsidRDefault="00777D0D" w:rsidP="00777D0D">
            <w:pPr>
              <w:rPr>
                <w:rFonts w:eastAsia="Times"/>
              </w:rPr>
            </w:pPr>
            <w:bookmarkStart w:id="4" w:name="_Hlk85034338"/>
            <w:r w:rsidRPr="009A34E1">
              <w:rPr>
                <w:rFonts w:eastAsia="Times"/>
              </w:rPr>
              <w:t xml:space="preserve">When a health service accepts a surgical referral, the health service must provide information to the patient (and any authorised medical treatment decision maker or a child’s parent, </w:t>
            </w:r>
            <w:proofErr w:type="gramStart"/>
            <w:r w:rsidRPr="009A34E1">
              <w:rPr>
                <w:rFonts w:eastAsia="Times"/>
              </w:rPr>
              <w:t>guardian</w:t>
            </w:r>
            <w:proofErr w:type="gramEnd"/>
            <w:r w:rsidRPr="009A34E1">
              <w:rPr>
                <w:rFonts w:eastAsia="Times"/>
              </w:rPr>
              <w:t xml:space="preserve"> or another person with parental responsibility) via their preferred communication method.</w:t>
            </w:r>
          </w:p>
          <w:p w14:paraId="65B67D6C" w14:textId="77777777" w:rsidR="00777D0D" w:rsidRPr="009A34E1" w:rsidRDefault="00777D0D" w:rsidP="00777D0D">
            <w:pPr>
              <w:rPr>
                <w:rFonts w:eastAsia="Times"/>
              </w:rPr>
            </w:pPr>
            <w:r w:rsidRPr="009A34E1">
              <w:rPr>
                <w:rFonts w:eastAsia="Times"/>
              </w:rPr>
              <w:t>This should include:</w:t>
            </w:r>
          </w:p>
          <w:p w14:paraId="24F68362" w14:textId="77777777" w:rsidR="00777D0D" w:rsidRPr="009A34E1" w:rsidRDefault="00777D0D" w:rsidP="00777D0D">
            <w:pPr>
              <w:pStyle w:val="Bullet1"/>
            </w:pPr>
            <w:r w:rsidRPr="009A34E1">
              <w:t>an acknowledgement of the surgical referral, including:</w:t>
            </w:r>
          </w:p>
          <w:p w14:paraId="201B16B4" w14:textId="77777777" w:rsidR="00777D0D" w:rsidRPr="009A34E1" w:rsidRDefault="00777D0D" w:rsidP="00777D0D">
            <w:pPr>
              <w:pStyle w:val="Bullet2"/>
            </w:pPr>
            <w:r w:rsidRPr="009A34E1">
              <w:t xml:space="preserve">the surgical or procedural unit or team who will be delivering the service </w:t>
            </w:r>
            <w:proofErr w:type="gramStart"/>
            <w:r w:rsidRPr="009A34E1">
              <w:t>requested</w:t>
            </w:r>
            <w:proofErr w:type="gramEnd"/>
            <w:r w:rsidRPr="009A34E1">
              <w:t xml:space="preserve"> </w:t>
            </w:r>
          </w:p>
          <w:p w14:paraId="4A42B189" w14:textId="77777777" w:rsidR="00777D0D" w:rsidRPr="009A34E1" w:rsidRDefault="00777D0D" w:rsidP="00777D0D">
            <w:pPr>
              <w:pStyle w:val="Bullet2"/>
            </w:pPr>
            <w:r w:rsidRPr="009A34E1">
              <w:t xml:space="preserve">contact details for the surgical or procedural </w:t>
            </w:r>
            <w:proofErr w:type="gramStart"/>
            <w:r w:rsidRPr="009A34E1">
              <w:t>unit</w:t>
            </w:r>
            <w:proofErr w:type="gramEnd"/>
          </w:p>
          <w:p w14:paraId="7BA1ACCF" w14:textId="77777777" w:rsidR="00777D0D" w:rsidRPr="009A34E1" w:rsidRDefault="00777D0D" w:rsidP="00777D0D">
            <w:pPr>
              <w:pStyle w:val="Bullet1"/>
            </w:pPr>
            <w:r w:rsidRPr="009A34E1">
              <w:t xml:space="preserve">tests or investigations that must be completed before </w:t>
            </w:r>
            <w:proofErr w:type="gramStart"/>
            <w:r w:rsidRPr="009A34E1">
              <w:t>surgery</w:t>
            </w:r>
            <w:proofErr w:type="gramEnd"/>
            <w:r w:rsidRPr="009A34E1">
              <w:t xml:space="preserve"> </w:t>
            </w:r>
          </w:p>
          <w:p w14:paraId="046F6B74" w14:textId="77777777" w:rsidR="00777D0D" w:rsidRPr="009A34E1" w:rsidRDefault="00777D0D" w:rsidP="00777D0D">
            <w:pPr>
              <w:pStyle w:val="Bullet1"/>
            </w:pPr>
            <w:r w:rsidRPr="009A34E1">
              <w:lastRenderedPageBreak/>
              <w:t xml:space="preserve">how many clinic appointments will or could be scheduled, including expected waiting </w:t>
            </w:r>
            <w:proofErr w:type="gramStart"/>
            <w:r w:rsidRPr="009A34E1">
              <w:t>time</w:t>
            </w:r>
            <w:proofErr w:type="gramEnd"/>
          </w:p>
          <w:p w14:paraId="4179E422" w14:textId="77777777" w:rsidR="00777D0D" w:rsidRPr="009A34E1" w:rsidRDefault="00777D0D" w:rsidP="00777D0D">
            <w:pPr>
              <w:pStyle w:val="Bullet1"/>
            </w:pPr>
            <w:r w:rsidRPr="009A34E1">
              <w:t xml:space="preserve">instructions on how to indicate their preferred communication method from those available at the health </w:t>
            </w:r>
            <w:proofErr w:type="gramStart"/>
            <w:r w:rsidRPr="009A34E1">
              <w:t>service</w:t>
            </w:r>
            <w:proofErr w:type="gramEnd"/>
            <w:r w:rsidRPr="009A34E1">
              <w:t xml:space="preserve"> </w:t>
            </w:r>
          </w:p>
          <w:bookmarkEnd w:id="4"/>
          <w:p w14:paraId="7C31BF85" w14:textId="77777777" w:rsidR="00777D0D" w:rsidRPr="009A34E1" w:rsidRDefault="00777D0D" w:rsidP="00777D0D">
            <w:pPr>
              <w:pStyle w:val="Bullet1"/>
            </w:pPr>
            <w:r w:rsidRPr="009A34E1">
              <w:t xml:space="preserve">options for care (for example, outreach, virtual care, home-delivered </w:t>
            </w:r>
            <w:proofErr w:type="gramStart"/>
            <w:r w:rsidRPr="009A34E1">
              <w:t>services</w:t>
            </w:r>
            <w:proofErr w:type="gramEnd"/>
            <w:r w:rsidRPr="009A34E1">
              <w:t xml:space="preserve"> and services available outside of normal business hours) </w:t>
            </w:r>
          </w:p>
          <w:p w14:paraId="1B8D42FC" w14:textId="77777777" w:rsidR="00777D0D" w:rsidRPr="009A34E1" w:rsidRDefault="00777D0D" w:rsidP="00777D0D">
            <w:pPr>
              <w:pStyle w:val="Bullet1"/>
            </w:pPr>
            <w:r w:rsidRPr="009A34E1">
              <w:t xml:space="preserve">instructions on how to indicate their preferred method of receiving </w:t>
            </w:r>
            <w:proofErr w:type="gramStart"/>
            <w:r w:rsidRPr="009A34E1">
              <w:t>care</w:t>
            </w:r>
            <w:proofErr w:type="gramEnd"/>
          </w:p>
          <w:p w14:paraId="154F8628" w14:textId="77777777" w:rsidR="00777D0D" w:rsidRPr="009A34E1" w:rsidRDefault="00777D0D" w:rsidP="00777D0D">
            <w:pPr>
              <w:pStyle w:val="Bullet1"/>
            </w:pPr>
            <w:r w:rsidRPr="009A34E1">
              <w:t>available support services, such as</w:t>
            </w:r>
          </w:p>
          <w:p w14:paraId="26DA6062" w14:textId="77777777" w:rsidR="00777D0D" w:rsidRPr="009A34E1" w:rsidRDefault="00777D0D" w:rsidP="00777D0D">
            <w:pPr>
              <w:pStyle w:val="Bullet2"/>
            </w:pPr>
            <w:r w:rsidRPr="009A34E1">
              <w:t xml:space="preserve">Aboriginal cultural safety and language </w:t>
            </w:r>
            <w:proofErr w:type="gramStart"/>
            <w:r w:rsidRPr="009A34E1">
              <w:t>supports</w:t>
            </w:r>
            <w:proofErr w:type="gramEnd"/>
          </w:p>
          <w:p w14:paraId="22B05DC1" w14:textId="77777777" w:rsidR="00777D0D" w:rsidRPr="009A34E1" w:rsidRDefault="00777D0D" w:rsidP="00777D0D">
            <w:pPr>
              <w:pStyle w:val="Bullet2"/>
            </w:pPr>
            <w:r w:rsidRPr="009A34E1">
              <w:t>cultural and linguistic supports</w:t>
            </w:r>
          </w:p>
          <w:p w14:paraId="630979E5" w14:textId="77777777" w:rsidR="00777D0D" w:rsidRPr="009A34E1" w:rsidRDefault="00777D0D" w:rsidP="00777D0D">
            <w:pPr>
              <w:pStyle w:val="Bullet2"/>
            </w:pPr>
            <w:r w:rsidRPr="009A34E1">
              <w:t>disability support</w:t>
            </w:r>
          </w:p>
          <w:p w14:paraId="7D963CA6" w14:textId="77777777" w:rsidR="00777D0D" w:rsidRPr="009A34E1" w:rsidRDefault="00777D0D" w:rsidP="00777D0D">
            <w:pPr>
              <w:pStyle w:val="Bullet2"/>
            </w:pPr>
            <w:r w:rsidRPr="009A34E1">
              <w:t>transport and accommodation assistance (where eligible)</w:t>
            </w:r>
          </w:p>
          <w:p w14:paraId="07A1B32E" w14:textId="77777777" w:rsidR="00777D0D" w:rsidRPr="009A34E1" w:rsidRDefault="00777D0D" w:rsidP="00777D0D">
            <w:pPr>
              <w:pStyle w:val="Bullet1"/>
            </w:pPr>
            <w:r w:rsidRPr="009A34E1">
              <w:t xml:space="preserve">patient responsibilities and rights, </w:t>
            </w:r>
            <w:proofErr w:type="gramStart"/>
            <w:r w:rsidRPr="009A34E1">
              <w:t>including</w:t>
            </w:r>
            <w:proofErr w:type="gramEnd"/>
            <w:r w:rsidRPr="009A34E1">
              <w:t xml:space="preserve"> </w:t>
            </w:r>
          </w:p>
          <w:p w14:paraId="61639D63" w14:textId="77777777" w:rsidR="00777D0D" w:rsidRPr="009A34E1" w:rsidRDefault="00777D0D" w:rsidP="00777D0D">
            <w:pPr>
              <w:pStyle w:val="Bullet1"/>
            </w:pPr>
            <w:r w:rsidRPr="009A34E1">
              <w:t xml:space="preserve">a ‘collection statement’ about patient rights, including patient advocacy and the process for addressing </w:t>
            </w:r>
            <w:proofErr w:type="gramStart"/>
            <w:r w:rsidRPr="009A34E1">
              <w:t>complaints</w:t>
            </w:r>
            <w:proofErr w:type="gramEnd"/>
          </w:p>
          <w:p w14:paraId="4599C937" w14:textId="77777777" w:rsidR="00777D0D" w:rsidRPr="009A34E1" w:rsidRDefault="00777D0D" w:rsidP="00777D0D">
            <w:pPr>
              <w:pStyle w:val="Bullet2"/>
            </w:pPr>
            <w:r w:rsidRPr="009A34E1">
              <w:t xml:space="preserve">agreement that their personal and health information will be shared between staff at the health service and with the requesting clinician, their nominated GP, or other health service </w:t>
            </w:r>
            <w:proofErr w:type="gramStart"/>
            <w:r w:rsidRPr="009A34E1">
              <w:t>providers</w:t>
            </w:r>
            <w:proofErr w:type="gramEnd"/>
            <w:r w:rsidRPr="009A34E1">
              <w:t xml:space="preserve"> </w:t>
            </w:r>
          </w:p>
          <w:p w14:paraId="37C90C30" w14:textId="77777777" w:rsidR="00777D0D" w:rsidRPr="009A34E1" w:rsidRDefault="00777D0D" w:rsidP="00777D0D">
            <w:pPr>
              <w:pStyle w:val="Bullet2"/>
            </w:pPr>
            <w:r w:rsidRPr="009A34E1">
              <w:t xml:space="preserve">their responsibilities, including the need to notify the health service about changes to their clinical condition, contact details, nominated GP, or next of kin, if they are unable to attend a scheduled appointment, surgery or procedure if they are ‘not ready for care’ or if the appointment, surgery or procedure is no longer needed for any other </w:t>
            </w:r>
            <w:proofErr w:type="gramStart"/>
            <w:r w:rsidRPr="009A34E1">
              <w:t>reason</w:t>
            </w:r>
            <w:proofErr w:type="gramEnd"/>
          </w:p>
          <w:p w14:paraId="26A2D0B5" w14:textId="77777777" w:rsidR="00C53946" w:rsidRPr="009A34E1" w:rsidRDefault="00777D0D" w:rsidP="00521EC6">
            <w:pPr>
              <w:pStyle w:val="Bullet2"/>
            </w:pPr>
            <w:r w:rsidRPr="009A34E1">
              <w:t>the implications of not responding to or declining communication from the health service, repeatedly rescheduling or not attending a scheduled appointment.</w:t>
            </w:r>
          </w:p>
          <w:p w14:paraId="2EEDD2A3" w14:textId="75CD9C53" w:rsidR="007904FD" w:rsidRPr="009A34E1" w:rsidRDefault="007904FD" w:rsidP="007904FD">
            <w:pPr>
              <w:pStyle w:val="Bullet2"/>
              <w:numPr>
                <w:ilvl w:val="0"/>
                <w:numId w:val="0"/>
              </w:numPr>
              <w:ind w:left="567"/>
            </w:pPr>
          </w:p>
        </w:tc>
        <w:tc>
          <w:tcPr>
            <w:tcW w:w="711" w:type="dxa"/>
          </w:tcPr>
          <w:p w14:paraId="74B67CBF" w14:textId="77777777" w:rsidR="00C53946" w:rsidRPr="009A34E1" w:rsidRDefault="00C53946" w:rsidP="00A84727">
            <w:pPr>
              <w:pStyle w:val="DHHSbody"/>
              <w:rPr>
                <w:b/>
              </w:rPr>
            </w:pPr>
          </w:p>
        </w:tc>
        <w:tc>
          <w:tcPr>
            <w:tcW w:w="3401" w:type="dxa"/>
          </w:tcPr>
          <w:p w14:paraId="17DC9ACF" w14:textId="77777777" w:rsidR="00C53946" w:rsidRPr="009A34E1" w:rsidRDefault="00C53946" w:rsidP="00A84727">
            <w:pPr>
              <w:pStyle w:val="DHHSbody"/>
              <w:rPr>
                <w:b/>
              </w:rPr>
            </w:pPr>
          </w:p>
        </w:tc>
        <w:tc>
          <w:tcPr>
            <w:tcW w:w="3117" w:type="dxa"/>
          </w:tcPr>
          <w:p w14:paraId="052BAE93" w14:textId="77777777" w:rsidR="00C53946" w:rsidRPr="009A34E1" w:rsidRDefault="00C53946" w:rsidP="00A84727">
            <w:pPr>
              <w:pStyle w:val="DHHSbody"/>
              <w:rPr>
                <w:b/>
              </w:rPr>
            </w:pPr>
          </w:p>
        </w:tc>
      </w:tr>
      <w:tr w:rsidR="00F43B66" w:rsidRPr="009A34E1" w14:paraId="243F6AE0" w14:textId="77777777" w:rsidTr="001F53C6">
        <w:tc>
          <w:tcPr>
            <w:tcW w:w="7655" w:type="dxa"/>
          </w:tcPr>
          <w:p w14:paraId="3D839085" w14:textId="77777777" w:rsidR="00521EC6" w:rsidRPr="009A34E1" w:rsidRDefault="00521EC6" w:rsidP="00521EC6">
            <w:pPr>
              <w:pStyle w:val="Bodyafterbullets"/>
            </w:pPr>
            <w:r w:rsidRPr="009A34E1">
              <w:lastRenderedPageBreak/>
              <w:t xml:space="preserve">When a surgical referral </w:t>
            </w:r>
            <w:r w:rsidRPr="009A34E1">
              <w:rPr>
                <w:bCs/>
              </w:rPr>
              <w:t>is not</w:t>
            </w:r>
            <w:r w:rsidRPr="009A34E1">
              <w:t xml:space="preserve"> accepted, the health service </w:t>
            </w:r>
            <w:proofErr w:type="gramStart"/>
            <w:r w:rsidRPr="009A34E1">
              <w:t>must</w:t>
            </w:r>
            <w:proofErr w:type="gramEnd"/>
          </w:p>
          <w:p w14:paraId="7B4C051F" w14:textId="77777777" w:rsidR="00521EC6" w:rsidRPr="009A34E1" w:rsidRDefault="00521EC6" w:rsidP="00521EC6">
            <w:pPr>
              <w:pStyle w:val="Bullet1"/>
            </w:pPr>
            <w:r w:rsidRPr="009A34E1">
              <w:t xml:space="preserve">inform the requesting clinician and the patient, providing the reason for the </w:t>
            </w:r>
            <w:proofErr w:type="gramStart"/>
            <w:r w:rsidRPr="009A34E1">
              <w:t>decision</w:t>
            </w:r>
            <w:proofErr w:type="gramEnd"/>
          </w:p>
          <w:p w14:paraId="604254A4" w14:textId="3B0C6698" w:rsidR="00F43B66" w:rsidRPr="009A34E1" w:rsidRDefault="00521EC6" w:rsidP="00DB272B">
            <w:pPr>
              <w:pStyle w:val="Bullet1"/>
            </w:pPr>
            <w:r w:rsidRPr="009A34E1">
              <w:t>refer the patient back to the requesting clinician or the patient’s GP to arrange an alternative treatment plan.</w:t>
            </w:r>
          </w:p>
        </w:tc>
        <w:tc>
          <w:tcPr>
            <w:tcW w:w="711" w:type="dxa"/>
          </w:tcPr>
          <w:p w14:paraId="6BB5FD67" w14:textId="77777777" w:rsidR="00F43B66" w:rsidRPr="009A34E1" w:rsidRDefault="00F43B66" w:rsidP="00A84727">
            <w:pPr>
              <w:pStyle w:val="DHHSbody"/>
              <w:rPr>
                <w:b/>
              </w:rPr>
            </w:pPr>
          </w:p>
        </w:tc>
        <w:tc>
          <w:tcPr>
            <w:tcW w:w="3401" w:type="dxa"/>
          </w:tcPr>
          <w:p w14:paraId="3FC752DA" w14:textId="77777777" w:rsidR="00F43B66" w:rsidRPr="009A34E1" w:rsidRDefault="00F43B66" w:rsidP="00A84727">
            <w:pPr>
              <w:pStyle w:val="DHHSbody"/>
              <w:rPr>
                <w:b/>
              </w:rPr>
            </w:pPr>
          </w:p>
        </w:tc>
        <w:tc>
          <w:tcPr>
            <w:tcW w:w="3117" w:type="dxa"/>
          </w:tcPr>
          <w:p w14:paraId="5CC2478A" w14:textId="77777777" w:rsidR="00F43B66" w:rsidRPr="009A34E1" w:rsidRDefault="00F43B66" w:rsidP="00A84727">
            <w:pPr>
              <w:pStyle w:val="DHHSbody"/>
              <w:rPr>
                <w:b/>
              </w:rPr>
            </w:pPr>
          </w:p>
        </w:tc>
      </w:tr>
      <w:tr w:rsidR="00CE08FC" w:rsidRPr="009A34E1" w14:paraId="4EC0523C" w14:textId="77777777" w:rsidTr="001F53C6">
        <w:tc>
          <w:tcPr>
            <w:tcW w:w="7655" w:type="dxa"/>
          </w:tcPr>
          <w:p w14:paraId="70DF0E9E" w14:textId="77777777" w:rsidR="000B5C71" w:rsidRPr="009A34E1" w:rsidRDefault="000B5C71" w:rsidP="000B5C71">
            <w:pPr>
              <w:pStyle w:val="Body"/>
              <w:rPr>
                <w:lang w:eastAsia="en-AU"/>
              </w:rPr>
            </w:pPr>
            <w:r w:rsidRPr="009A34E1">
              <w:rPr>
                <w:lang w:eastAsia="en-AU"/>
              </w:rPr>
              <w:t xml:space="preserve">Health services should identify patients on the preparation list who would benefit from optimisation of their condition prior to surgery. For example, this might include multidisciplinary care for patients with comorbidities. </w:t>
            </w:r>
          </w:p>
          <w:p w14:paraId="03079253" w14:textId="7A7C8A27" w:rsidR="0032765F" w:rsidRPr="009A34E1" w:rsidRDefault="000B5C71" w:rsidP="00726024">
            <w:pPr>
              <w:pStyle w:val="Body"/>
              <w:rPr>
                <w:lang w:eastAsia="en-AU"/>
              </w:rPr>
            </w:pPr>
            <w:r w:rsidRPr="009A34E1">
              <w:rPr>
                <w:lang w:eastAsia="en-AU"/>
              </w:rPr>
              <w:t xml:space="preserve">Health services should regularly contact patients to assess their requirements and suitability for non-surgical alternatives and optimisation pathways. </w:t>
            </w:r>
          </w:p>
        </w:tc>
        <w:tc>
          <w:tcPr>
            <w:tcW w:w="711" w:type="dxa"/>
          </w:tcPr>
          <w:p w14:paraId="5485229D" w14:textId="77777777" w:rsidR="00CE08FC" w:rsidRPr="009A34E1" w:rsidRDefault="00CE08FC" w:rsidP="00CE08FC">
            <w:pPr>
              <w:pStyle w:val="DHHSbody"/>
              <w:rPr>
                <w:b/>
              </w:rPr>
            </w:pPr>
          </w:p>
        </w:tc>
        <w:tc>
          <w:tcPr>
            <w:tcW w:w="3401" w:type="dxa"/>
          </w:tcPr>
          <w:p w14:paraId="128DBE2D" w14:textId="77777777" w:rsidR="00CE08FC" w:rsidRPr="009A34E1" w:rsidRDefault="00CE08FC" w:rsidP="00CE08FC">
            <w:pPr>
              <w:pStyle w:val="DHHSbody"/>
              <w:rPr>
                <w:b/>
              </w:rPr>
            </w:pPr>
          </w:p>
        </w:tc>
        <w:tc>
          <w:tcPr>
            <w:tcW w:w="3117" w:type="dxa"/>
          </w:tcPr>
          <w:p w14:paraId="62C5865C" w14:textId="77777777" w:rsidR="00CE08FC" w:rsidRPr="009A34E1" w:rsidRDefault="00CE08FC" w:rsidP="00CE08FC">
            <w:pPr>
              <w:pStyle w:val="DHHSbody"/>
              <w:rPr>
                <w:b/>
              </w:rPr>
            </w:pPr>
          </w:p>
        </w:tc>
      </w:tr>
      <w:tr w:rsidR="001348F1" w:rsidRPr="009A34E1" w14:paraId="53665BE6" w14:textId="77777777" w:rsidTr="001F53C6">
        <w:tc>
          <w:tcPr>
            <w:tcW w:w="7655" w:type="dxa"/>
          </w:tcPr>
          <w:p w14:paraId="720DD987" w14:textId="77777777" w:rsidR="0063709E" w:rsidRPr="009A34E1" w:rsidRDefault="0063709E" w:rsidP="0063709E">
            <w:pPr>
              <w:rPr>
                <w:rFonts w:cs="Arial"/>
                <w:szCs w:val="21"/>
              </w:rPr>
            </w:pPr>
            <w:r w:rsidRPr="009A34E1">
              <w:rPr>
                <w:rFonts w:cs="Arial"/>
                <w:szCs w:val="21"/>
              </w:rPr>
              <w:t xml:space="preserve">Patients </w:t>
            </w:r>
            <w:r w:rsidRPr="009A34E1">
              <w:rPr>
                <w:rFonts w:cs="Arial"/>
                <w:bCs/>
                <w:szCs w:val="21"/>
              </w:rPr>
              <w:t>must be</w:t>
            </w:r>
            <w:r w:rsidRPr="009A34E1">
              <w:rPr>
                <w:rFonts w:cs="Arial"/>
                <w:szCs w:val="21"/>
              </w:rPr>
              <w:t xml:space="preserve"> informed of any change in their ready for surgery status. For example, if it changes from ready for surgery to not ready for surgery, and the reverse. This must occur within:</w:t>
            </w:r>
          </w:p>
          <w:p w14:paraId="185F1797" w14:textId="77777777" w:rsidR="0063709E" w:rsidRPr="009A34E1" w:rsidRDefault="0063709E" w:rsidP="0063709E">
            <w:pPr>
              <w:pStyle w:val="Bullet1"/>
            </w:pPr>
            <w:r w:rsidRPr="009A34E1">
              <w:t>3 working days for category 1</w:t>
            </w:r>
          </w:p>
          <w:p w14:paraId="2C31D326" w14:textId="17C64286" w:rsidR="001348F1" w:rsidRPr="009A34E1" w:rsidRDefault="0063709E" w:rsidP="0063709E">
            <w:pPr>
              <w:pStyle w:val="Bullet1"/>
            </w:pPr>
            <w:r w:rsidRPr="009A34E1">
              <w:t>10 working days for category 2 and 3.</w:t>
            </w:r>
          </w:p>
        </w:tc>
        <w:tc>
          <w:tcPr>
            <w:tcW w:w="711" w:type="dxa"/>
          </w:tcPr>
          <w:p w14:paraId="0E7E1F17" w14:textId="77777777" w:rsidR="001348F1" w:rsidRPr="009A34E1" w:rsidRDefault="001348F1" w:rsidP="00CE08FC">
            <w:pPr>
              <w:pStyle w:val="DHHSbody"/>
              <w:rPr>
                <w:b/>
              </w:rPr>
            </w:pPr>
          </w:p>
        </w:tc>
        <w:tc>
          <w:tcPr>
            <w:tcW w:w="3401" w:type="dxa"/>
          </w:tcPr>
          <w:p w14:paraId="177B775F" w14:textId="77777777" w:rsidR="001348F1" w:rsidRPr="009A34E1" w:rsidRDefault="001348F1" w:rsidP="00CE08FC">
            <w:pPr>
              <w:pStyle w:val="DHHSbody"/>
              <w:rPr>
                <w:b/>
              </w:rPr>
            </w:pPr>
          </w:p>
        </w:tc>
        <w:tc>
          <w:tcPr>
            <w:tcW w:w="3117" w:type="dxa"/>
          </w:tcPr>
          <w:p w14:paraId="769F2BF5" w14:textId="77777777" w:rsidR="001348F1" w:rsidRPr="009A34E1" w:rsidRDefault="001348F1" w:rsidP="00CE08FC">
            <w:pPr>
              <w:pStyle w:val="DHHSbody"/>
              <w:rPr>
                <w:b/>
              </w:rPr>
            </w:pPr>
          </w:p>
        </w:tc>
      </w:tr>
      <w:tr w:rsidR="00CE08FC" w:rsidRPr="009A34E1" w14:paraId="78FB319F" w14:textId="77777777" w:rsidTr="001F53C6">
        <w:tc>
          <w:tcPr>
            <w:tcW w:w="7655" w:type="dxa"/>
          </w:tcPr>
          <w:p w14:paraId="696680C8" w14:textId="77777777" w:rsidR="008F4198" w:rsidRPr="009A34E1" w:rsidRDefault="008F4198" w:rsidP="008F4198">
            <w:pPr>
              <w:spacing w:after="40"/>
              <w:rPr>
                <w:rFonts w:eastAsia="Times" w:cs="Arial"/>
                <w:szCs w:val="21"/>
              </w:rPr>
            </w:pPr>
            <w:r w:rsidRPr="009A34E1">
              <w:rPr>
                <w:rFonts w:eastAsia="Times" w:cs="Arial"/>
                <w:szCs w:val="21"/>
              </w:rPr>
              <w:t>When scheduling patients for planned surgery or procedure, health services must:</w:t>
            </w:r>
          </w:p>
          <w:p w14:paraId="1C677796" w14:textId="77777777" w:rsidR="008F4198" w:rsidRPr="009A34E1" w:rsidRDefault="008F4198" w:rsidP="008F4198">
            <w:pPr>
              <w:pStyle w:val="Bullet1"/>
            </w:pPr>
            <w:r w:rsidRPr="009A34E1">
              <w:t xml:space="preserve">confirm the scheduled date and time with the patient using their preferred method of </w:t>
            </w:r>
            <w:proofErr w:type="gramStart"/>
            <w:r w:rsidRPr="009A34E1">
              <w:t>communication</w:t>
            </w:r>
            <w:proofErr w:type="gramEnd"/>
          </w:p>
          <w:p w14:paraId="486383CB" w14:textId="77777777" w:rsidR="008F4198" w:rsidRPr="009A34E1" w:rsidRDefault="008F4198" w:rsidP="008F4198">
            <w:pPr>
              <w:pStyle w:val="Bullet1"/>
            </w:pPr>
            <w:r w:rsidRPr="009A34E1">
              <w:t xml:space="preserve">document this notification in the patient's health </w:t>
            </w:r>
            <w:proofErr w:type="gramStart"/>
            <w:r w:rsidRPr="009A34E1">
              <w:t>record</w:t>
            </w:r>
            <w:proofErr w:type="gramEnd"/>
          </w:p>
          <w:p w14:paraId="2CC3D578" w14:textId="77777777" w:rsidR="008F4198" w:rsidRPr="009A34E1" w:rsidRDefault="008F4198" w:rsidP="008F4198">
            <w:pPr>
              <w:pStyle w:val="Bullet1"/>
            </w:pPr>
            <w:r w:rsidRPr="009A34E1">
              <w:t xml:space="preserve">take patients’ needs into consideration and provide a choice of admission </w:t>
            </w:r>
            <w:proofErr w:type="gramStart"/>
            <w:r w:rsidRPr="009A34E1">
              <w:t>date</w:t>
            </w:r>
            <w:proofErr w:type="gramEnd"/>
          </w:p>
          <w:p w14:paraId="6FE12473" w14:textId="77777777" w:rsidR="008F4198" w:rsidRPr="009A34E1" w:rsidRDefault="008F4198" w:rsidP="008F4198">
            <w:pPr>
              <w:pStyle w:val="Bullet1"/>
            </w:pPr>
            <w:r w:rsidRPr="009A34E1">
              <w:t xml:space="preserve">give sufficient notice of the scheduled admission date, with a minimum of two weeks’ notice for category 2 and 3 patients and as soon as practicable for category 1 </w:t>
            </w:r>
            <w:proofErr w:type="gramStart"/>
            <w:r w:rsidRPr="009A34E1">
              <w:t>patients</w:t>
            </w:r>
            <w:proofErr w:type="gramEnd"/>
          </w:p>
          <w:p w14:paraId="200C784E" w14:textId="77777777" w:rsidR="009A7D4E" w:rsidRPr="009A34E1" w:rsidRDefault="009A7D4E" w:rsidP="008F4198">
            <w:pPr>
              <w:pStyle w:val="Bullet1"/>
            </w:pPr>
          </w:p>
          <w:p w14:paraId="2B403109" w14:textId="77777777" w:rsidR="008F4198" w:rsidRPr="009A34E1" w:rsidRDefault="008F4198" w:rsidP="008F4198">
            <w:pPr>
              <w:pStyle w:val="Bullet1"/>
            </w:pPr>
            <w:r w:rsidRPr="009A34E1">
              <w:lastRenderedPageBreak/>
              <w:t xml:space="preserve">inform the patient of </w:t>
            </w:r>
          </w:p>
          <w:p w14:paraId="58A5F76A" w14:textId="77777777" w:rsidR="008F4198" w:rsidRPr="009A34E1" w:rsidRDefault="008F4198" w:rsidP="008F4198">
            <w:pPr>
              <w:pStyle w:val="Bullet1"/>
              <w:numPr>
                <w:ilvl w:val="0"/>
                <w:numId w:val="21"/>
              </w:numPr>
            </w:pPr>
            <w:r w:rsidRPr="009A34E1">
              <w:t xml:space="preserve">name and address of </w:t>
            </w:r>
            <w:proofErr w:type="gramStart"/>
            <w:r w:rsidRPr="009A34E1">
              <w:t>hospital</w:t>
            </w:r>
            <w:proofErr w:type="gramEnd"/>
          </w:p>
          <w:p w14:paraId="721192D8" w14:textId="77777777" w:rsidR="008F4198" w:rsidRPr="009A34E1" w:rsidRDefault="008F4198" w:rsidP="008F4198">
            <w:pPr>
              <w:pStyle w:val="Bullet1"/>
              <w:numPr>
                <w:ilvl w:val="0"/>
                <w:numId w:val="21"/>
              </w:numPr>
            </w:pPr>
            <w:r w:rsidRPr="009A34E1">
              <w:t xml:space="preserve">information on the physical location of the surgery or procedure, including a map or written </w:t>
            </w:r>
            <w:proofErr w:type="gramStart"/>
            <w:r w:rsidRPr="009A34E1">
              <w:t>instructions</w:t>
            </w:r>
            <w:proofErr w:type="gramEnd"/>
          </w:p>
          <w:p w14:paraId="273B538B" w14:textId="77777777" w:rsidR="008F4198" w:rsidRPr="009A34E1" w:rsidRDefault="008F4198" w:rsidP="008F4198">
            <w:pPr>
              <w:pStyle w:val="Bullet1"/>
              <w:numPr>
                <w:ilvl w:val="0"/>
                <w:numId w:val="21"/>
              </w:numPr>
            </w:pPr>
            <w:r w:rsidRPr="009A34E1">
              <w:t>instructions on what to bring and how to prepare for the surgery or procedure (for example, fasting requirements, Medicare card, medication instructions, list of medications, advance care directive, tests or investigations that must be completed before or on the day of surgery)</w:t>
            </w:r>
          </w:p>
          <w:p w14:paraId="2A00C4B4" w14:textId="77777777" w:rsidR="008F4198" w:rsidRPr="009A34E1" w:rsidRDefault="008F4198" w:rsidP="008F4198">
            <w:pPr>
              <w:pStyle w:val="Bullet1"/>
              <w:numPr>
                <w:ilvl w:val="0"/>
                <w:numId w:val="21"/>
              </w:numPr>
            </w:pPr>
            <w:r w:rsidRPr="009A34E1">
              <w:t xml:space="preserve">the patient’s rights and responsibilities, including how to notify the health service about changes to their clinical condition, changes to their contact details, if they are ‘not ready for surgery’ or unable to attend a scheduled appointment for any other reason, or if the surgery or procedure is no longer </w:t>
            </w:r>
            <w:proofErr w:type="gramStart"/>
            <w:r w:rsidRPr="009A34E1">
              <w:t>needed</w:t>
            </w:r>
            <w:proofErr w:type="gramEnd"/>
          </w:p>
          <w:p w14:paraId="7A86F29F" w14:textId="77777777" w:rsidR="008F4198" w:rsidRPr="009A34E1" w:rsidRDefault="008F4198" w:rsidP="008F4198">
            <w:pPr>
              <w:pStyle w:val="Bullet1"/>
              <w:numPr>
                <w:ilvl w:val="0"/>
                <w:numId w:val="21"/>
              </w:numPr>
            </w:pPr>
            <w:r w:rsidRPr="009A34E1">
              <w:t xml:space="preserve">the expected length of stay after surgery and if intensive care is </w:t>
            </w:r>
            <w:proofErr w:type="gramStart"/>
            <w:r w:rsidRPr="009A34E1">
              <w:t>anticipated</w:t>
            </w:r>
            <w:proofErr w:type="gramEnd"/>
          </w:p>
          <w:p w14:paraId="2616B7AC" w14:textId="77777777" w:rsidR="008F4198" w:rsidRPr="009A34E1" w:rsidRDefault="008F4198" w:rsidP="008F4198">
            <w:pPr>
              <w:pStyle w:val="Bullet1"/>
              <w:numPr>
                <w:ilvl w:val="0"/>
                <w:numId w:val="21"/>
              </w:numPr>
            </w:pPr>
            <w:r w:rsidRPr="009A34E1">
              <w:t>a health service contact person</w:t>
            </w:r>
          </w:p>
          <w:p w14:paraId="7CC0C724" w14:textId="04943AF6" w:rsidR="003970A7" w:rsidRPr="009A34E1" w:rsidRDefault="008F4198" w:rsidP="00295CC5">
            <w:pPr>
              <w:pStyle w:val="Bullet1"/>
              <w:numPr>
                <w:ilvl w:val="0"/>
                <w:numId w:val="21"/>
              </w:numPr>
            </w:pPr>
            <w:r w:rsidRPr="009A34E1">
              <w:t>plans for discharge and post-discharge care.</w:t>
            </w:r>
          </w:p>
        </w:tc>
        <w:tc>
          <w:tcPr>
            <w:tcW w:w="711" w:type="dxa"/>
          </w:tcPr>
          <w:p w14:paraId="0AA4AE56" w14:textId="77777777" w:rsidR="00CE08FC" w:rsidRPr="009A34E1" w:rsidRDefault="00CE08FC" w:rsidP="00CE08FC">
            <w:pPr>
              <w:pStyle w:val="DHHSbody"/>
              <w:rPr>
                <w:b/>
              </w:rPr>
            </w:pPr>
          </w:p>
        </w:tc>
        <w:tc>
          <w:tcPr>
            <w:tcW w:w="3401" w:type="dxa"/>
          </w:tcPr>
          <w:p w14:paraId="6AC0CF43" w14:textId="77777777" w:rsidR="00CE08FC" w:rsidRPr="009A34E1" w:rsidRDefault="00CE08FC" w:rsidP="00CE08FC">
            <w:pPr>
              <w:pStyle w:val="DHHSbody"/>
              <w:rPr>
                <w:b/>
              </w:rPr>
            </w:pPr>
          </w:p>
        </w:tc>
        <w:tc>
          <w:tcPr>
            <w:tcW w:w="3117" w:type="dxa"/>
          </w:tcPr>
          <w:p w14:paraId="01DC3C1F" w14:textId="77777777" w:rsidR="00CE08FC" w:rsidRPr="009A34E1" w:rsidRDefault="00CE08FC" w:rsidP="00CE08FC">
            <w:pPr>
              <w:pStyle w:val="DHHSbody"/>
              <w:rPr>
                <w:b/>
              </w:rPr>
            </w:pPr>
          </w:p>
        </w:tc>
      </w:tr>
      <w:tr w:rsidR="00CE08FC" w:rsidRPr="009A34E1" w14:paraId="19C78AC2" w14:textId="77777777" w:rsidTr="001F53C6">
        <w:tc>
          <w:tcPr>
            <w:tcW w:w="7655" w:type="dxa"/>
          </w:tcPr>
          <w:p w14:paraId="04C93DCA" w14:textId="77777777" w:rsidR="00AE705C" w:rsidRPr="009A34E1" w:rsidRDefault="00AE705C" w:rsidP="00AE705C">
            <w:pPr>
              <w:pStyle w:val="Bodyafterbullets"/>
            </w:pPr>
            <w:r w:rsidRPr="009A34E1">
              <w:t>Except when a patient is uncontactable or deceased, health services must:</w:t>
            </w:r>
          </w:p>
          <w:p w14:paraId="3754277B" w14:textId="77777777" w:rsidR="00AE705C" w:rsidRPr="009A34E1" w:rsidRDefault="00AE705C" w:rsidP="00AE705C">
            <w:pPr>
              <w:pStyle w:val="Bullet1"/>
            </w:pPr>
            <w:r w:rsidRPr="009A34E1">
              <w:t xml:space="preserve">notify patients if they are removed from the preparation list without having undertaken the planned surgery or procedure within 10 working days of their </w:t>
            </w:r>
            <w:proofErr w:type="gramStart"/>
            <w:r w:rsidRPr="009A34E1">
              <w:t>removal</w:t>
            </w:r>
            <w:proofErr w:type="gramEnd"/>
          </w:p>
          <w:p w14:paraId="327B5CE5" w14:textId="77777777" w:rsidR="00AE705C" w:rsidRPr="009A34E1" w:rsidRDefault="00AE705C" w:rsidP="00AE705C">
            <w:pPr>
              <w:pStyle w:val="Bullet1"/>
            </w:pPr>
            <w:r w:rsidRPr="009A34E1">
              <w:t xml:space="preserve">notify the patient by their preferred method of communication of the reason for their removal, date of their removal and details of who the patient should contact if they have any questions or </w:t>
            </w:r>
            <w:proofErr w:type="gramStart"/>
            <w:r w:rsidRPr="009A34E1">
              <w:t>concerns</w:t>
            </w:r>
            <w:proofErr w:type="gramEnd"/>
          </w:p>
          <w:p w14:paraId="41A79468" w14:textId="77777777" w:rsidR="00AE705C" w:rsidRPr="009A34E1" w:rsidRDefault="00AE705C" w:rsidP="00AE705C">
            <w:pPr>
              <w:pStyle w:val="Bullet1"/>
            </w:pPr>
            <w:r w:rsidRPr="009A34E1">
              <w:t xml:space="preserve">notify the patient’s GP within 10 working days. </w:t>
            </w:r>
          </w:p>
          <w:p w14:paraId="3239104D" w14:textId="3E414F4E" w:rsidR="00CE08FC" w:rsidRPr="009A34E1" w:rsidRDefault="00AE705C" w:rsidP="006C27B3">
            <w:pPr>
              <w:pStyle w:val="Bodyafterbullets"/>
            </w:pPr>
            <w:r w:rsidRPr="009A34E1">
              <w:lastRenderedPageBreak/>
              <w:t xml:space="preserve">Health services should exercise discretion when contacting terminally ill patients, their </w:t>
            </w:r>
            <w:proofErr w:type="gramStart"/>
            <w:r w:rsidRPr="009A34E1">
              <w:t>families</w:t>
            </w:r>
            <w:proofErr w:type="gramEnd"/>
            <w:r w:rsidRPr="009A34E1">
              <w:t xml:space="preserve"> and unpaid carers to minimise distress. </w:t>
            </w:r>
          </w:p>
        </w:tc>
        <w:tc>
          <w:tcPr>
            <w:tcW w:w="711" w:type="dxa"/>
          </w:tcPr>
          <w:p w14:paraId="523320A1" w14:textId="77777777" w:rsidR="00CE08FC" w:rsidRPr="009A34E1" w:rsidRDefault="00CE08FC" w:rsidP="00CE08FC">
            <w:pPr>
              <w:pStyle w:val="DHHSbody"/>
              <w:rPr>
                <w:b/>
              </w:rPr>
            </w:pPr>
          </w:p>
        </w:tc>
        <w:tc>
          <w:tcPr>
            <w:tcW w:w="3401" w:type="dxa"/>
          </w:tcPr>
          <w:p w14:paraId="0E77A558" w14:textId="77777777" w:rsidR="00CE08FC" w:rsidRPr="009A34E1" w:rsidRDefault="00CE08FC" w:rsidP="00CE08FC">
            <w:pPr>
              <w:pStyle w:val="DHHSbody"/>
              <w:rPr>
                <w:b/>
              </w:rPr>
            </w:pPr>
          </w:p>
        </w:tc>
        <w:tc>
          <w:tcPr>
            <w:tcW w:w="3117" w:type="dxa"/>
          </w:tcPr>
          <w:p w14:paraId="1F0EE72E" w14:textId="77777777" w:rsidR="00CE08FC" w:rsidRPr="009A34E1" w:rsidRDefault="00CE08FC" w:rsidP="00CE08FC">
            <w:pPr>
              <w:pStyle w:val="DHHSbody"/>
              <w:rPr>
                <w:b/>
              </w:rPr>
            </w:pPr>
          </w:p>
        </w:tc>
      </w:tr>
      <w:tr w:rsidR="00CE08FC" w:rsidRPr="009A34E1" w14:paraId="0088CBA7" w14:textId="77777777" w:rsidTr="001F53C6">
        <w:tc>
          <w:tcPr>
            <w:tcW w:w="7655" w:type="dxa"/>
          </w:tcPr>
          <w:p w14:paraId="23DD822B" w14:textId="77777777" w:rsidR="00960D88" w:rsidRPr="009A34E1" w:rsidRDefault="00960D88" w:rsidP="00960D88">
            <w:pPr>
              <w:pStyle w:val="Bullet1"/>
              <w:numPr>
                <w:ilvl w:val="0"/>
                <w:numId w:val="0"/>
              </w:numPr>
            </w:pPr>
            <w:r w:rsidRPr="009A34E1">
              <w:t>If a patient cannot be reached after 2 consecutive invitations sent via their preferred communication method, health services should attempt to acquire updated contact information from:</w:t>
            </w:r>
          </w:p>
          <w:p w14:paraId="03D7694B" w14:textId="77777777" w:rsidR="00960D88" w:rsidRPr="009A34E1" w:rsidRDefault="00960D88" w:rsidP="00960D88">
            <w:pPr>
              <w:pStyle w:val="Bullet1"/>
            </w:pPr>
            <w:r w:rsidRPr="009A34E1">
              <w:t>the patient’s last known treating specialist medical practitioner:</w:t>
            </w:r>
          </w:p>
          <w:p w14:paraId="79EF022A" w14:textId="77777777" w:rsidR="00960D88" w:rsidRPr="009A34E1" w:rsidRDefault="00960D88" w:rsidP="00960D88">
            <w:pPr>
              <w:pStyle w:val="Bullet1"/>
            </w:pPr>
            <w:r w:rsidRPr="009A34E1">
              <w:t xml:space="preserve">the patient’s requesting clinician or nominated </w:t>
            </w:r>
            <w:proofErr w:type="gramStart"/>
            <w:r w:rsidRPr="009A34E1">
              <w:t>GP</w:t>
            </w:r>
            <w:proofErr w:type="gramEnd"/>
          </w:p>
          <w:p w14:paraId="6132EDA2" w14:textId="77777777" w:rsidR="00960D88" w:rsidRPr="009A34E1" w:rsidRDefault="00960D88" w:rsidP="00960D88">
            <w:pPr>
              <w:pStyle w:val="Bullet1"/>
            </w:pPr>
            <w:r w:rsidRPr="009A34E1">
              <w:t>the health service’s health records</w:t>
            </w:r>
          </w:p>
          <w:p w14:paraId="1E4DF4BC" w14:textId="54DD8003" w:rsidR="00CE08FC" w:rsidRPr="009A34E1" w:rsidRDefault="00960D88" w:rsidP="00960D88">
            <w:pPr>
              <w:pStyle w:val="Bullet1"/>
            </w:pPr>
            <w:r w:rsidRPr="009A34E1">
              <w:t>the patient’s listed next of kin.</w:t>
            </w:r>
          </w:p>
        </w:tc>
        <w:tc>
          <w:tcPr>
            <w:tcW w:w="711" w:type="dxa"/>
          </w:tcPr>
          <w:p w14:paraId="2FB29A54" w14:textId="77777777" w:rsidR="00CE08FC" w:rsidRPr="009A34E1" w:rsidRDefault="00CE08FC" w:rsidP="00CE08FC">
            <w:pPr>
              <w:pStyle w:val="DHHSbody"/>
              <w:rPr>
                <w:b/>
              </w:rPr>
            </w:pPr>
          </w:p>
        </w:tc>
        <w:tc>
          <w:tcPr>
            <w:tcW w:w="3401" w:type="dxa"/>
          </w:tcPr>
          <w:p w14:paraId="71D74DAC" w14:textId="77777777" w:rsidR="00CE08FC" w:rsidRPr="009A34E1" w:rsidRDefault="00CE08FC" w:rsidP="00CE08FC">
            <w:pPr>
              <w:pStyle w:val="DHHSbody"/>
              <w:rPr>
                <w:b/>
              </w:rPr>
            </w:pPr>
          </w:p>
        </w:tc>
        <w:tc>
          <w:tcPr>
            <w:tcW w:w="3117" w:type="dxa"/>
          </w:tcPr>
          <w:p w14:paraId="6BCBB26C" w14:textId="77777777" w:rsidR="00CE08FC" w:rsidRPr="009A34E1" w:rsidRDefault="00CE08FC" w:rsidP="00CE08FC">
            <w:pPr>
              <w:pStyle w:val="DHHSbody"/>
              <w:rPr>
                <w:b/>
              </w:rPr>
            </w:pPr>
          </w:p>
        </w:tc>
      </w:tr>
      <w:tr w:rsidR="00974247" w:rsidRPr="009A34E1" w14:paraId="690F4A24" w14:textId="77777777" w:rsidTr="00784999">
        <w:tc>
          <w:tcPr>
            <w:tcW w:w="14884" w:type="dxa"/>
            <w:gridSpan w:val="4"/>
          </w:tcPr>
          <w:p w14:paraId="78E44A9C" w14:textId="4B7FF1D3" w:rsidR="00974247" w:rsidRPr="007672CB" w:rsidRDefault="004A3DCB" w:rsidP="00974247">
            <w:pPr>
              <w:pStyle w:val="DHHSbody"/>
              <w:rPr>
                <w:b/>
                <w:color w:val="0F243E" w:themeColor="text2" w:themeShade="80"/>
              </w:rPr>
            </w:pPr>
            <w:r w:rsidRPr="007672CB">
              <w:rPr>
                <w:b/>
                <w:bCs/>
                <w:color w:val="0F243E" w:themeColor="text2" w:themeShade="80"/>
              </w:rPr>
              <w:t>Section 6 Request for planned surgery or procedure</w:t>
            </w:r>
          </w:p>
        </w:tc>
      </w:tr>
      <w:tr w:rsidR="00974247" w:rsidRPr="009A34E1" w14:paraId="4A1A00B8" w14:textId="77777777" w:rsidTr="001F53C6">
        <w:tc>
          <w:tcPr>
            <w:tcW w:w="7655" w:type="dxa"/>
          </w:tcPr>
          <w:p w14:paraId="75EB86D8" w14:textId="07B3D3EB" w:rsidR="00352B5C" w:rsidRPr="009A34E1" w:rsidRDefault="003B61B4" w:rsidP="003B61B4">
            <w:pPr>
              <w:rPr>
                <w:rFonts w:eastAsia="Times" w:cs="Arial"/>
                <w:szCs w:val="21"/>
              </w:rPr>
            </w:pPr>
            <w:r w:rsidRPr="009A34E1">
              <w:rPr>
                <w:rFonts w:eastAsia="Times" w:cs="Arial"/>
                <w:szCs w:val="21"/>
              </w:rPr>
              <w:t xml:space="preserve">The requesting clinician must conduct a preoperative clinical assessment. This ensures the patient is fit to undergo surgery before they are added to the preparation list. </w:t>
            </w:r>
          </w:p>
        </w:tc>
        <w:tc>
          <w:tcPr>
            <w:tcW w:w="711" w:type="dxa"/>
          </w:tcPr>
          <w:p w14:paraId="67A0F37E" w14:textId="77777777" w:rsidR="00974247" w:rsidRPr="009A34E1" w:rsidRDefault="00974247" w:rsidP="00974247">
            <w:pPr>
              <w:pStyle w:val="DHHSbody"/>
              <w:rPr>
                <w:b/>
              </w:rPr>
            </w:pPr>
          </w:p>
        </w:tc>
        <w:tc>
          <w:tcPr>
            <w:tcW w:w="3401" w:type="dxa"/>
          </w:tcPr>
          <w:p w14:paraId="24AA1FB0" w14:textId="77777777" w:rsidR="00974247" w:rsidRPr="009A34E1" w:rsidRDefault="00974247" w:rsidP="00974247">
            <w:pPr>
              <w:pStyle w:val="DHHSbody"/>
              <w:rPr>
                <w:b/>
              </w:rPr>
            </w:pPr>
          </w:p>
        </w:tc>
        <w:tc>
          <w:tcPr>
            <w:tcW w:w="3117" w:type="dxa"/>
          </w:tcPr>
          <w:p w14:paraId="2D8E6088" w14:textId="77777777" w:rsidR="00974247" w:rsidRPr="009A34E1" w:rsidRDefault="00974247" w:rsidP="00974247">
            <w:pPr>
              <w:pStyle w:val="DHHSbody"/>
              <w:rPr>
                <w:b/>
              </w:rPr>
            </w:pPr>
          </w:p>
        </w:tc>
      </w:tr>
      <w:tr w:rsidR="00974247" w:rsidRPr="009A34E1" w14:paraId="7718ABDE" w14:textId="77777777" w:rsidTr="001F53C6">
        <w:tc>
          <w:tcPr>
            <w:tcW w:w="7655" w:type="dxa"/>
          </w:tcPr>
          <w:p w14:paraId="085C07AA" w14:textId="48D046A7" w:rsidR="00F1676D" w:rsidRPr="009A34E1" w:rsidRDefault="001F3CE4" w:rsidP="00635E42">
            <w:pPr>
              <w:rPr>
                <w:rFonts w:eastAsia="Times" w:cs="Arial"/>
                <w:szCs w:val="21"/>
              </w:rPr>
            </w:pPr>
            <w:r w:rsidRPr="009A34E1">
              <w:rPr>
                <w:rFonts w:eastAsia="Times" w:cs="Arial"/>
                <w:szCs w:val="21"/>
              </w:rPr>
              <w:t xml:space="preserve">Only clinicians with admitting rights or a similar agreement with a health service can request that a patient be registered on a preparation list at that health service. </w:t>
            </w:r>
          </w:p>
        </w:tc>
        <w:tc>
          <w:tcPr>
            <w:tcW w:w="711" w:type="dxa"/>
          </w:tcPr>
          <w:p w14:paraId="4D9EBADB" w14:textId="77777777" w:rsidR="00974247" w:rsidRPr="009A34E1" w:rsidRDefault="00974247" w:rsidP="00974247">
            <w:pPr>
              <w:pStyle w:val="DHHSbody"/>
              <w:rPr>
                <w:b/>
              </w:rPr>
            </w:pPr>
          </w:p>
        </w:tc>
        <w:tc>
          <w:tcPr>
            <w:tcW w:w="3401" w:type="dxa"/>
          </w:tcPr>
          <w:p w14:paraId="5D7342F1" w14:textId="77777777" w:rsidR="00974247" w:rsidRPr="009A34E1" w:rsidRDefault="00974247" w:rsidP="00974247">
            <w:pPr>
              <w:pStyle w:val="DHHSbody"/>
              <w:rPr>
                <w:b/>
              </w:rPr>
            </w:pPr>
          </w:p>
        </w:tc>
        <w:tc>
          <w:tcPr>
            <w:tcW w:w="3117" w:type="dxa"/>
          </w:tcPr>
          <w:p w14:paraId="29DBFA28" w14:textId="77777777" w:rsidR="00974247" w:rsidRPr="009A34E1" w:rsidRDefault="00974247" w:rsidP="00974247">
            <w:pPr>
              <w:pStyle w:val="DHHSbody"/>
              <w:rPr>
                <w:b/>
              </w:rPr>
            </w:pPr>
          </w:p>
        </w:tc>
      </w:tr>
      <w:tr w:rsidR="00974247" w:rsidRPr="009A34E1" w14:paraId="56774D7D" w14:textId="77777777" w:rsidTr="001F53C6">
        <w:tc>
          <w:tcPr>
            <w:tcW w:w="7655" w:type="dxa"/>
          </w:tcPr>
          <w:p w14:paraId="19DB4339" w14:textId="77777777" w:rsidR="002978B5" w:rsidRPr="009A34E1" w:rsidRDefault="002978B5" w:rsidP="002978B5">
            <w:pPr>
              <w:pStyle w:val="Body"/>
            </w:pPr>
            <w:r w:rsidRPr="009A34E1">
              <w:t xml:space="preserve">Requesting clinicians must ensure the patient completes a patient information collection statement. This will ensure compliance with privacy principles for collecting, </w:t>
            </w:r>
            <w:proofErr w:type="gramStart"/>
            <w:r w:rsidRPr="009A34E1">
              <w:t>using</w:t>
            </w:r>
            <w:proofErr w:type="gramEnd"/>
            <w:r w:rsidRPr="009A34E1">
              <w:t xml:space="preserve"> and disclosing health information. </w:t>
            </w:r>
          </w:p>
          <w:p w14:paraId="0BAEAC6A" w14:textId="77777777" w:rsidR="002978B5" w:rsidRPr="009A34E1" w:rsidRDefault="002978B5" w:rsidP="002978B5">
            <w:pPr>
              <w:pStyle w:val="Body"/>
            </w:pPr>
            <w:r w:rsidRPr="009A34E1">
              <w:t xml:space="preserve">Where possible, the requesting clinician should obtain informed consent before referring them for surgery. </w:t>
            </w:r>
          </w:p>
          <w:p w14:paraId="08864D9A" w14:textId="6BA588DD" w:rsidR="00974247" w:rsidRPr="009A34E1" w:rsidRDefault="002978B5" w:rsidP="002978B5">
            <w:pPr>
              <w:pStyle w:val="Body"/>
            </w:pPr>
            <w:r w:rsidRPr="009A34E1">
              <w:t xml:space="preserve">Patients, </w:t>
            </w:r>
            <w:proofErr w:type="gramStart"/>
            <w:r w:rsidRPr="009A34E1">
              <w:t>families</w:t>
            </w:r>
            <w:proofErr w:type="gramEnd"/>
            <w:r w:rsidRPr="009A34E1">
              <w:t xml:space="preserve"> and unpaid carers have the right to not share their information under the terms of the patient information collection statement. </w:t>
            </w:r>
          </w:p>
        </w:tc>
        <w:tc>
          <w:tcPr>
            <w:tcW w:w="711" w:type="dxa"/>
          </w:tcPr>
          <w:p w14:paraId="235BBA6E" w14:textId="77777777" w:rsidR="00974247" w:rsidRPr="009A34E1" w:rsidRDefault="00974247" w:rsidP="00974247">
            <w:pPr>
              <w:pStyle w:val="DHHSbody"/>
              <w:rPr>
                <w:b/>
              </w:rPr>
            </w:pPr>
          </w:p>
        </w:tc>
        <w:tc>
          <w:tcPr>
            <w:tcW w:w="3401" w:type="dxa"/>
          </w:tcPr>
          <w:p w14:paraId="110BCB41" w14:textId="77777777" w:rsidR="00974247" w:rsidRPr="009A34E1" w:rsidRDefault="00974247" w:rsidP="00974247">
            <w:pPr>
              <w:pStyle w:val="DHHSbody"/>
              <w:rPr>
                <w:b/>
              </w:rPr>
            </w:pPr>
          </w:p>
        </w:tc>
        <w:tc>
          <w:tcPr>
            <w:tcW w:w="3117" w:type="dxa"/>
          </w:tcPr>
          <w:p w14:paraId="0C81466C" w14:textId="77777777" w:rsidR="00974247" w:rsidRPr="009A34E1" w:rsidRDefault="00974247" w:rsidP="00974247">
            <w:pPr>
              <w:pStyle w:val="DHHSbody"/>
              <w:rPr>
                <w:b/>
              </w:rPr>
            </w:pPr>
          </w:p>
        </w:tc>
      </w:tr>
      <w:tr w:rsidR="00974247" w:rsidRPr="009A34E1" w14:paraId="2100E4AE" w14:textId="77777777" w:rsidTr="001F53C6">
        <w:tc>
          <w:tcPr>
            <w:tcW w:w="7655" w:type="dxa"/>
          </w:tcPr>
          <w:p w14:paraId="25B867F4" w14:textId="77777777" w:rsidR="00831DDE" w:rsidRPr="009A34E1" w:rsidRDefault="00831DDE" w:rsidP="00831DDE">
            <w:pPr>
              <w:tabs>
                <w:tab w:val="right" w:pos="9299"/>
              </w:tabs>
              <w:rPr>
                <w:rFonts w:eastAsia="Times" w:cs="Arial"/>
                <w:szCs w:val="21"/>
              </w:rPr>
            </w:pPr>
            <w:r w:rsidRPr="009A34E1">
              <w:rPr>
                <w:rFonts w:eastAsia="Times" w:cs="Arial"/>
                <w:kern w:val="2"/>
                <w:szCs w:val="21"/>
                <w:lang w:bidi="th-TH"/>
                <w14:ligatures w14:val="standardContextual"/>
              </w:rPr>
              <w:t>Before surgical referral, the requesting clinician must inform the patient of:</w:t>
            </w:r>
          </w:p>
          <w:p w14:paraId="2E78BA6F" w14:textId="77777777" w:rsidR="00831DDE" w:rsidRPr="009A34E1" w:rsidRDefault="00831DDE" w:rsidP="00831DDE">
            <w:pPr>
              <w:pStyle w:val="Bullet1"/>
              <w:rPr>
                <w:lang w:bidi="th-TH"/>
              </w:rPr>
            </w:pPr>
            <w:r w:rsidRPr="009A34E1">
              <w:rPr>
                <w:lang w:bidi="th-TH"/>
              </w:rPr>
              <w:t>the nature of the proposed procedure</w:t>
            </w:r>
          </w:p>
          <w:p w14:paraId="6894FB8B" w14:textId="77777777" w:rsidR="00831DDE" w:rsidRPr="009A34E1" w:rsidRDefault="00831DDE" w:rsidP="00831DDE">
            <w:pPr>
              <w:pStyle w:val="Bullet1"/>
              <w:rPr>
                <w:lang w:bidi="th-TH"/>
              </w:rPr>
            </w:pPr>
            <w:r w:rsidRPr="009A34E1">
              <w:rPr>
                <w:lang w:bidi="th-TH"/>
              </w:rPr>
              <w:lastRenderedPageBreak/>
              <w:t xml:space="preserve">the risks associated with the proposed procedure, including the patient’s age and pre-existing medical </w:t>
            </w:r>
            <w:proofErr w:type="gramStart"/>
            <w:r w:rsidRPr="009A34E1">
              <w:rPr>
                <w:lang w:bidi="th-TH"/>
              </w:rPr>
              <w:t>conditions</w:t>
            </w:r>
            <w:proofErr w:type="gramEnd"/>
          </w:p>
          <w:p w14:paraId="3682E311" w14:textId="77777777" w:rsidR="00831DDE" w:rsidRPr="009A34E1" w:rsidRDefault="00831DDE" w:rsidP="00831DDE">
            <w:pPr>
              <w:pStyle w:val="Bullet1"/>
              <w:rPr>
                <w:lang w:bidi="th-TH"/>
              </w:rPr>
            </w:pPr>
            <w:r w:rsidRPr="009A34E1">
              <w:rPr>
                <w:lang w:bidi="th-TH"/>
              </w:rPr>
              <w:t xml:space="preserve">the reason for surgical referral </w:t>
            </w:r>
          </w:p>
          <w:p w14:paraId="564DE3FB" w14:textId="77777777" w:rsidR="00831DDE" w:rsidRPr="009A34E1" w:rsidRDefault="00831DDE" w:rsidP="00831DDE">
            <w:pPr>
              <w:pStyle w:val="Bullet1"/>
              <w:rPr>
                <w:lang w:bidi="th-TH"/>
              </w:rPr>
            </w:pPr>
            <w:r w:rsidRPr="009A34E1">
              <w:rPr>
                <w:lang w:bidi="th-TH"/>
              </w:rPr>
              <w:t xml:space="preserve">the preparation list process, including clinical urgency </w:t>
            </w:r>
            <w:proofErr w:type="gramStart"/>
            <w:r w:rsidRPr="009A34E1">
              <w:rPr>
                <w:lang w:bidi="th-TH"/>
              </w:rPr>
              <w:t>categories</w:t>
            </w:r>
            <w:proofErr w:type="gramEnd"/>
          </w:p>
          <w:p w14:paraId="0530081A" w14:textId="77777777" w:rsidR="00831DDE" w:rsidRPr="009A34E1" w:rsidRDefault="00831DDE" w:rsidP="00831DDE">
            <w:pPr>
              <w:pStyle w:val="Bullet1"/>
              <w:rPr>
                <w:lang w:bidi="th-TH"/>
              </w:rPr>
            </w:pPr>
            <w:r w:rsidRPr="009A34E1">
              <w:rPr>
                <w:lang w:bidi="th-TH"/>
              </w:rPr>
              <w:t>the patient’s clinical urgency category</w:t>
            </w:r>
          </w:p>
          <w:p w14:paraId="1EB380D9" w14:textId="77777777" w:rsidR="00831DDE" w:rsidRPr="009A34E1" w:rsidRDefault="00831DDE" w:rsidP="00831DDE">
            <w:pPr>
              <w:pStyle w:val="Bullet1"/>
              <w:rPr>
                <w:lang w:bidi="th-TH"/>
              </w:rPr>
            </w:pPr>
            <w:r w:rsidRPr="009A34E1">
              <w:rPr>
                <w:lang w:bidi="th-TH"/>
              </w:rPr>
              <w:t xml:space="preserve">the need to obtain consent before referral to the preparation </w:t>
            </w:r>
            <w:proofErr w:type="gramStart"/>
            <w:r w:rsidRPr="009A34E1">
              <w:rPr>
                <w:lang w:bidi="th-TH"/>
              </w:rPr>
              <w:t>list</w:t>
            </w:r>
            <w:proofErr w:type="gramEnd"/>
          </w:p>
          <w:p w14:paraId="6762CF89" w14:textId="77777777" w:rsidR="00831DDE" w:rsidRPr="009A34E1" w:rsidRDefault="00831DDE" w:rsidP="00831DDE">
            <w:pPr>
              <w:pStyle w:val="Bullet1"/>
            </w:pPr>
            <w:r w:rsidRPr="009A34E1">
              <w:t>the possibility that surgical care may be delivered at another location (for example, through a Rapid Access Hub (where available) or through a regionalised preparation list)</w:t>
            </w:r>
          </w:p>
          <w:p w14:paraId="54C09847" w14:textId="77777777" w:rsidR="00831DDE" w:rsidRPr="009A34E1" w:rsidRDefault="00831DDE" w:rsidP="00831DDE">
            <w:pPr>
              <w:pStyle w:val="Bullet1"/>
              <w:rPr>
                <w:lang w:bidi="th-TH"/>
              </w:rPr>
            </w:pPr>
            <w:r w:rsidRPr="009A34E1">
              <w:rPr>
                <w:lang w:bidi="th-TH"/>
              </w:rPr>
              <w:t xml:space="preserve">the option of being treated as a public or a private </w:t>
            </w:r>
            <w:proofErr w:type="gramStart"/>
            <w:r w:rsidRPr="009A34E1">
              <w:rPr>
                <w:lang w:bidi="th-TH"/>
              </w:rPr>
              <w:t>patient</w:t>
            </w:r>
            <w:proofErr w:type="gramEnd"/>
          </w:p>
          <w:p w14:paraId="57AFD409" w14:textId="3B0E8887" w:rsidR="00974247" w:rsidRPr="009A34E1" w:rsidRDefault="00831DDE" w:rsidP="00831DDE">
            <w:pPr>
              <w:pStyle w:val="Bullet1"/>
              <w:rPr>
                <w:lang w:bidi="th-TH"/>
              </w:rPr>
            </w:pPr>
            <w:r w:rsidRPr="009A34E1">
              <w:rPr>
                <w:lang w:bidi="th-TH"/>
              </w:rPr>
              <w:t>the requirement for public health services to prioritise patients based on clinical need, and without regard to whether a patient elects to be treated as a public or private patient.</w:t>
            </w:r>
          </w:p>
        </w:tc>
        <w:tc>
          <w:tcPr>
            <w:tcW w:w="711" w:type="dxa"/>
          </w:tcPr>
          <w:p w14:paraId="0F664AE5" w14:textId="77777777" w:rsidR="00974247" w:rsidRPr="009A34E1" w:rsidRDefault="00974247" w:rsidP="00974247">
            <w:pPr>
              <w:pStyle w:val="DHHSbody"/>
              <w:rPr>
                <w:b/>
              </w:rPr>
            </w:pPr>
          </w:p>
        </w:tc>
        <w:tc>
          <w:tcPr>
            <w:tcW w:w="3401" w:type="dxa"/>
          </w:tcPr>
          <w:p w14:paraId="6253DCB3" w14:textId="77777777" w:rsidR="00974247" w:rsidRPr="009A34E1" w:rsidRDefault="00974247" w:rsidP="00974247">
            <w:pPr>
              <w:pStyle w:val="DHHSbody"/>
              <w:rPr>
                <w:b/>
              </w:rPr>
            </w:pPr>
          </w:p>
        </w:tc>
        <w:tc>
          <w:tcPr>
            <w:tcW w:w="3117" w:type="dxa"/>
          </w:tcPr>
          <w:p w14:paraId="4646B0FE" w14:textId="77777777" w:rsidR="00974247" w:rsidRPr="009A34E1" w:rsidRDefault="00974247" w:rsidP="00974247">
            <w:pPr>
              <w:pStyle w:val="DHHSbody"/>
              <w:rPr>
                <w:b/>
              </w:rPr>
            </w:pPr>
          </w:p>
        </w:tc>
      </w:tr>
      <w:tr w:rsidR="0026757E" w:rsidRPr="009A34E1" w14:paraId="3047B962" w14:textId="77777777" w:rsidTr="001F53C6">
        <w:tc>
          <w:tcPr>
            <w:tcW w:w="7655" w:type="dxa"/>
          </w:tcPr>
          <w:p w14:paraId="68917D2B" w14:textId="15F5790B" w:rsidR="0026757E" w:rsidRPr="009A34E1" w:rsidRDefault="007E00EA" w:rsidP="00974247">
            <w:pPr>
              <w:pStyle w:val="Tabletext"/>
              <w:rPr>
                <w:rFonts w:eastAsia="Times" w:cs="Arial"/>
                <w:kern w:val="2"/>
                <w:szCs w:val="21"/>
                <w:lang w:bidi="th-TH"/>
                <w14:ligatures w14:val="standardContextual"/>
              </w:rPr>
            </w:pPr>
            <w:r w:rsidRPr="009A34E1">
              <w:rPr>
                <w:rFonts w:eastAsia="Times" w:cs="Arial"/>
                <w:kern w:val="2"/>
                <w:szCs w:val="21"/>
                <w:lang w:bidi="th-TH"/>
                <w14:ligatures w14:val="standardContextual"/>
              </w:rPr>
              <w:t>Before surgical referral, the requesting clinician must</w:t>
            </w:r>
            <w:r w:rsidR="00766BD2" w:rsidRPr="009A34E1">
              <w:rPr>
                <w:rFonts w:eastAsia="Times" w:cs="Arial"/>
                <w:kern w:val="2"/>
                <w:szCs w:val="21"/>
                <w:lang w:bidi="th-TH"/>
                <w14:ligatures w14:val="standardContextual"/>
              </w:rPr>
              <w:t xml:space="preserve"> also</w:t>
            </w:r>
            <w:r w:rsidRPr="009A34E1">
              <w:rPr>
                <w:rFonts w:eastAsia="Times" w:cs="Arial"/>
                <w:kern w:val="2"/>
                <w:szCs w:val="21"/>
                <w:lang w:bidi="th-TH"/>
                <w14:ligatures w14:val="standardContextual"/>
              </w:rPr>
              <w:t>:</w:t>
            </w:r>
          </w:p>
          <w:p w14:paraId="4BD9971C" w14:textId="77777777" w:rsidR="00766BD2" w:rsidRPr="009A34E1" w:rsidRDefault="00766BD2" w:rsidP="00766BD2">
            <w:pPr>
              <w:pStyle w:val="Bullet1"/>
              <w:rPr>
                <w:lang w:bidi="th-TH"/>
              </w:rPr>
            </w:pPr>
            <w:r w:rsidRPr="009A34E1">
              <w:rPr>
                <w:lang w:bidi="th-TH"/>
              </w:rPr>
              <w:t xml:space="preserve">explain the health service’s personal information collection statement to the </w:t>
            </w:r>
            <w:proofErr w:type="gramStart"/>
            <w:r w:rsidRPr="009A34E1">
              <w:rPr>
                <w:lang w:bidi="th-TH"/>
              </w:rPr>
              <w:t>patient</w:t>
            </w:r>
            <w:proofErr w:type="gramEnd"/>
          </w:p>
          <w:p w14:paraId="7586F88B" w14:textId="77777777" w:rsidR="00766BD2" w:rsidRPr="009A34E1" w:rsidRDefault="00766BD2" w:rsidP="00766BD2">
            <w:pPr>
              <w:pStyle w:val="Bullet1"/>
              <w:rPr>
                <w:lang w:bidi="th-TH"/>
              </w:rPr>
            </w:pPr>
            <w:r w:rsidRPr="009A34E1">
              <w:rPr>
                <w:lang w:bidi="th-TH"/>
              </w:rPr>
              <w:t>explain why it is important for their GP to be aware they are to be registered on the preparation list for the proposed procedure (except in the case of direct surgical referral)</w:t>
            </w:r>
          </w:p>
          <w:p w14:paraId="55F9D180" w14:textId="77777777" w:rsidR="00766BD2" w:rsidRPr="009A34E1" w:rsidRDefault="00766BD2" w:rsidP="00766BD2">
            <w:pPr>
              <w:pStyle w:val="Bullet1"/>
              <w:rPr>
                <w:lang w:bidi="th-TH"/>
              </w:rPr>
            </w:pPr>
            <w:r w:rsidRPr="009A34E1">
              <w:rPr>
                <w:lang w:bidi="th-TH"/>
              </w:rPr>
              <w:t xml:space="preserve">answer any questions the patient has about how the patient’s health information may be used or why it is </w:t>
            </w:r>
            <w:proofErr w:type="gramStart"/>
            <w:r w:rsidRPr="009A34E1">
              <w:rPr>
                <w:lang w:bidi="th-TH"/>
              </w:rPr>
              <w:t>disclosed</w:t>
            </w:r>
            <w:proofErr w:type="gramEnd"/>
          </w:p>
          <w:p w14:paraId="726FCCDD" w14:textId="1568FF04" w:rsidR="007E00EA" w:rsidRPr="009A34E1" w:rsidRDefault="00766BD2" w:rsidP="00766BD2">
            <w:pPr>
              <w:pStyle w:val="Bullet1"/>
              <w:rPr>
                <w:lang w:bidi="th-TH"/>
              </w:rPr>
            </w:pPr>
            <w:r w:rsidRPr="009A34E1">
              <w:rPr>
                <w:lang w:bidi="th-TH"/>
              </w:rPr>
              <w:t>provide the patient with an electronic copy of the surgical referral for planned surgery or procedure form. They must retain one copy for their records and provide the original to the health service.</w:t>
            </w:r>
          </w:p>
        </w:tc>
        <w:tc>
          <w:tcPr>
            <w:tcW w:w="711" w:type="dxa"/>
          </w:tcPr>
          <w:p w14:paraId="46133D2F" w14:textId="77777777" w:rsidR="0026757E" w:rsidRPr="009A34E1" w:rsidRDefault="0026757E" w:rsidP="00974247">
            <w:pPr>
              <w:pStyle w:val="DHHSbody"/>
              <w:rPr>
                <w:b/>
              </w:rPr>
            </w:pPr>
          </w:p>
        </w:tc>
        <w:tc>
          <w:tcPr>
            <w:tcW w:w="3401" w:type="dxa"/>
          </w:tcPr>
          <w:p w14:paraId="6B1F1A80" w14:textId="77777777" w:rsidR="0026757E" w:rsidRPr="009A34E1" w:rsidRDefault="0026757E" w:rsidP="00974247">
            <w:pPr>
              <w:pStyle w:val="DHHSbody"/>
              <w:rPr>
                <w:b/>
              </w:rPr>
            </w:pPr>
          </w:p>
        </w:tc>
        <w:tc>
          <w:tcPr>
            <w:tcW w:w="3117" w:type="dxa"/>
          </w:tcPr>
          <w:p w14:paraId="234885F4" w14:textId="77777777" w:rsidR="0026757E" w:rsidRPr="009A34E1" w:rsidRDefault="0026757E" w:rsidP="00974247">
            <w:pPr>
              <w:pStyle w:val="DHHSbody"/>
              <w:rPr>
                <w:b/>
              </w:rPr>
            </w:pPr>
          </w:p>
        </w:tc>
      </w:tr>
      <w:tr w:rsidR="0026757E" w:rsidRPr="009A34E1" w14:paraId="602F741C" w14:textId="77777777" w:rsidTr="001F53C6">
        <w:tc>
          <w:tcPr>
            <w:tcW w:w="7655" w:type="dxa"/>
          </w:tcPr>
          <w:p w14:paraId="41C6764F" w14:textId="4F3D61A2" w:rsidR="0026757E" w:rsidRPr="009A34E1" w:rsidRDefault="007469B5" w:rsidP="009515ED">
            <w:r w:rsidRPr="009A34E1">
              <w:t>The requesting clinician must provide the patient with sufficient information to enable them to choose whether to be treated as a private or public patient. This includes advice on the costs associated with treatment.</w:t>
            </w:r>
          </w:p>
        </w:tc>
        <w:tc>
          <w:tcPr>
            <w:tcW w:w="711" w:type="dxa"/>
          </w:tcPr>
          <w:p w14:paraId="75B57CC7" w14:textId="77777777" w:rsidR="0026757E" w:rsidRPr="009A34E1" w:rsidRDefault="0026757E" w:rsidP="00974247">
            <w:pPr>
              <w:pStyle w:val="DHHSbody"/>
              <w:rPr>
                <w:b/>
              </w:rPr>
            </w:pPr>
          </w:p>
        </w:tc>
        <w:tc>
          <w:tcPr>
            <w:tcW w:w="3401" w:type="dxa"/>
          </w:tcPr>
          <w:p w14:paraId="4E80D474" w14:textId="77777777" w:rsidR="0026757E" w:rsidRPr="009A34E1" w:rsidRDefault="0026757E" w:rsidP="00974247">
            <w:pPr>
              <w:pStyle w:val="DHHSbody"/>
              <w:rPr>
                <w:b/>
              </w:rPr>
            </w:pPr>
          </w:p>
        </w:tc>
        <w:tc>
          <w:tcPr>
            <w:tcW w:w="3117" w:type="dxa"/>
          </w:tcPr>
          <w:p w14:paraId="3F635137" w14:textId="77777777" w:rsidR="0026757E" w:rsidRPr="009A34E1" w:rsidRDefault="0026757E" w:rsidP="00974247">
            <w:pPr>
              <w:pStyle w:val="DHHSbody"/>
              <w:rPr>
                <w:b/>
              </w:rPr>
            </w:pPr>
          </w:p>
        </w:tc>
      </w:tr>
      <w:tr w:rsidR="00836E1E" w:rsidRPr="009A34E1" w14:paraId="330921AA" w14:textId="77777777" w:rsidTr="001F53C6">
        <w:tc>
          <w:tcPr>
            <w:tcW w:w="7655" w:type="dxa"/>
          </w:tcPr>
          <w:p w14:paraId="77FB11CF" w14:textId="77777777" w:rsidR="00CE4213" w:rsidRPr="009A34E1" w:rsidRDefault="00CE4213" w:rsidP="00CE4213">
            <w:pPr>
              <w:pStyle w:val="Body"/>
            </w:pPr>
            <w:r w:rsidRPr="009A34E1">
              <w:lastRenderedPageBreak/>
              <w:t>Requesting clinicians must request that a patient be registered within:</w:t>
            </w:r>
          </w:p>
          <w:p w14:paraId="75E72A9B" w14:textId="77777777" w:rsidR="00CE4213" w:rsidRPr="009A34E1" w:rsidRDefault="00CE4213" w:rsidP="00CE4213">
            <w:pPr>
              <w:pStyle w:val="Bullet1"/>
            </w:pPr>
            <w:r w:rsidRPr="009A34E1">
              <w:t xml:space="preserve">3 working days from recommending surgery for category </w:t>
            </w:r>
            <w:proofErr w:type="gramStart"/>
            <w:r w:rsidRPr="009A34E1">
              <w:t>1</w:t>
            </w:r>
            <w:proofErr w:type="gramEnd"/>
            <w:r w:rsidRPr="009A34E1">
              <w:t xml:space="preserve"> </w:t>
            </w:r>
          </w:p>
          <w:p w14:paraId="405A789D" w14:textId="77777777" w:rsidR="00CE4213" w:rsidRPr="009A34E1" w:rsidRDefault="00CE4213" w:rsidP="00CE4213">
            <w:pPr>
              <w:pStyle w:val="Bullet1"/>
            </w:pPr>
            <w:r w:rsidRPr="009A34E1">
              <w:t>10 working days from recommending surgery for category 2 or 3.</w:t>
            </w:r>
          </w:p>
          <w:p w14:paraId="02BD7606" w14:textId="0153E8E9" w:rsidR="00836E1E" w:rsidRPr="009A34E1" w:rsidRDefault="00F12BEA" w:rsidP="00755103">
            <w:pPr>
              <w:pStyle w:val="Body"/>
            </w:pPr>
            <w:r w:rsidRPr="009A34E1">
              <w:t>They must also supply the information listed in Section 6.2 of the policy</w:t>
            </w:r>
            <w:r w:rsidR="003A5052" w:rsidRPr="009A34E1">
              <w:t xml:space="preserve"> and </w:t>
            </w:r>
            <w:r w:rsidR="00A673F0" w:rsidRPr="009A34E1">
              <w:rPr>
                <w:rStyle w:val="BodyChar"/>
              </w:rPr>
              <w:t>document</w:t>
            </w:r>
            <w:r w:rsidR="00162C9E" w:rsidRPr="009A34E1">
              <w:rPr>
                <w:rStyle w:val="BodyChar"/>
              </w:rPr>
              <w:t xml:space="preserve"> the</w:t>
            </w:r>
            <w:r w:rsidR="00A673F0" w:rsidRPr="009A34E1">
              <w:rPr>
                <w:rStyle w:val="BodyChar"/>
              </w:rPr>
              <w:t xml:space="preserve"> joint discussion between clinician and patient</w:t>
            </w:r>
            <w:r w:rsidR="00755103" w:rsidRPr="009A34E1">
              <w:rPr>
                <w:rStyle w:val="BodyChar"/>
              </w:rPr>
              <w:t>.</w:t>
            </w:r>
          </w:p>
        </w:tc>
        <w:tc>
          <w:tcPr>
            <w:tcW w:w="711" w:type="dxa"/>
          </w:tcPr>
          <w:p w14:paraId="39657482" w14:textId="77777777" w:rsidR="00836E1E" w:rsidRPr="009A34E1" w:rsidRDefault="00836E1E" w:rsidP="00974247">
            <w:pPr>
              <w:pStyle w:val="DHHSbody"/>
              <w:rPr>
                <w:b/>
              </w:rPr>
            </w:pPr>
          </w:p>
        </w:tc>
        <w:tc>
          <w:tcPr>
            <w:tcW w:w="3401" w:type="dxa"/>
          </w:tcPr>
          <w:p w14:paraId="04337F24" w14:textId="77777777" w:rsidR="00836E1E" w:rsidRPr="009A34E1" w:rsidRDefault="00836E1E" w:rsidP="00974247">
            <w:pPr>
              <w:pStyle w:val="DHHSbody"/>
              <w:rPr>
                <w:b/>
              </w:rPr>
            </w:pPr>
          </w:p>
        </w:tc>
        <w:tc>
          <w:tcPr>
            <w:tcW w:w="3117" w:type="dxa"/>
          </w:tcPr>
          <w:p w14:paraId="46A13F60" w14:textId="77777777" w:rsidR="00836E1E" w:rsidRPr="009A34E1" w:rsidRDefault="00836E1E" w:rsidP="00974247">
            <w:pPr>
              <w:pStyle w:val="DHHSbody"/>
              <w:rPr>
                <w:b/>
              </w:rPr>
            </w:pPr>
          </w:p>
        </w:tc>
      </w:tr>
      <w:tr w:rsidR="00836E1E" w:rsidRPr="009A34E1" w14:paraId="3204B031" w14:textId="77777777" w:rsidTr="001F53C6">
        <w:tc>
          <w:tcPr>
            <w:tcW w:w="7655" w:type="dxa"/>
          </w:tcPr>
          <w:p w14:paraId="44FB7091" w14:textId="77777777" w:rsidR="00E5442D" w:rsidRPr="009A34E1" w:rsidRDefault="00E5442D" w:rsidP="00E5442D">
            <w:r w:rsidRPr="009A34E1">
              <w:t xml:space="preserve">A patient's choice to be treated as a public or private patient should have no impact on the schedule of the procedure. </w:t>
            </w:r>
          </w:p>
          <w:p w14:paraId="005D3DCB" w14:textId="691D19CF" w:rsidR="003A5490" w:rsidRPr="009A34E1" w:rsidRDefault="00E5442D" w:rsidP="00E675D9">
            <w:r w:rsidRPr="009A34E1">
              <w:t xml:space="preserve">Health services must register a patient on the preparation list and schedule them according to the principle of treating patients in turn. </w:t>
            </w:r>
          </w:p>
        </w:tc>
        <w:tc>
          <w:tcPr>
            <w:tcW w:w="711" w:type="dxa"/>
          </w:tcPr>
          <w:p w14:paraId="14184FB8" w14:textId="77777777" w:rsidR="00836E1E" w:rsidRPr="009A34E1" w:rsidRDefault="00836E1E" w:rsidP="00974247">
            <w:pPr>
              <w:pStyle w:val="DHHSbody"/>
              <w:rPr>
                <w:b/>
              </w:rPr>
            </w:pPr>
          </w:p>
        </w:tc>
        <w:tc>
          <w:tcPr>
            <w:tcW w:w="3401" w:type="dxa"/>
          </w:tcPr>
          <w:p w14:paraId="03B6F774" w14:textId="77777777" w:rsidR="00836E1E" w:rsidRPr="009A34E1" w:rsidRDefault="00836E1E" w:rsidP="00974247">
            <w:pPr>
              <w:pStyle w:val="DHHSbody"/>
              <w:rPr>
                <w:b/>
              </w:rPr>
            </w:pPr>
          </w:p>
        </w:tc>
        <w:tc>
          <w:tcPr>
            <w:tcW w:w="3117" w:type="dxa"/>
          </w:tcPr>
          <w:p w14:paraId="1D3FC210" w14:textId="77777777" w:rsidR="00836E1E" w:rsidRPr="009A34E1" w:rsidRDefault="00836E1E" w:rsidP="00974247">
            <w:pPr>
              <w:pStyle w:val="DHHSbody"/>
              <w:rPr>
                <w:b/>
              </w:rPr>
            </w:pPr>
          </w:p>
        </w:tc>
      </w:tr>
      <w:tr w:rsidR="001221F4" w:rsidRPr="009A34E1" w14:paraId="5C479477" w14:textId="77777777" w:rsidTr="001F53C6">
        <w:tc>
          <w:tcPr>
            <w:tcW w:w="7655" w:type="dxa"/>
          </w:tcPr>
          <w:p w14:paraId="41EEB98B" w14:textId="767B099B" w:rsidR="001221F4" w:rsidRPr="009A34E1" w:rsidRDefault="001221F4" w:rsidP="00A42148">
            <w:pPr>
              <w:pStyle w:val="Bodyafterbullets"/>
            </w:pPr>
            <w:r w:rsidRPr="009A34E1">
              <w:rPr>
                <w:lang w:eastAsia="en-AU"/>
              </w:rPr>
              <w:t>Patients must be treated in turn according to clinical need</w:t>
            </w:r>
            <w:r w:rsidRPr="009A34E1">
              <w:t xml:space="preserve"> and considering physical, psychosocial factors and structural disparities in access to care. </w:t>
            </w:r>
          </w:p>
        </w:tc>
        <w:tc>
          <w:tcPr>
            <w:tcW w:w="711" w:type="dxa"/>
          </w:tcPr>
          <w:p w14:paraId="7E50CEBA" w14:textId="77777777" w:rsidR="001221F4" w:rsidRPr="009A34E1" w:rsidRDefault="001221F4" w:rsidP="00974247">
            <w:pPr>
              <w:pStyle w:val="DHHSbody"/>
              <w:rPr>
                <w:b/>
              </w:rPr>
            </w:pPr>
          </w:p>
        </w:tc>
        <w:tc>
          <w:tcPr>
            <w:tcW w:w="3401" w:type="dxa"/>
          </w:tcPr>
          <w:p w14:paraId="7D17AF7A" w14:textId="77777777" w:rsidR="001221F4" w:rsidRPr="009A34E1" w:rsidRDefault="001221F4" w:rsidP="00974247">
            <w:pPr>
              <w:pStyle w:val="DHHSbody"/>
              <w:rPr>
                <w:b/>
              </w:rPr>
            </w:pPr>
          </w:p>
        </w:tc>
        <w:tc>
          <w:tcPr>
            <w:tcW w:w="3117" w:type="dxa"/>
          </w:tcPr>
          <w:p w14:paraId="10B3C98B" w14:textId="77777777" w:rsidR="001221F4" w:rsidRPr="009A34E1" w:rsidRDefault="001221F4" w:rsidP="00974247">
            <w:pPr>
              <w:pStyle w:val="DHHSbody"/>
              <w:rPr>
                <w:b/>
              </w:rPr>
            </w:pPr>
          </w:p>
        </w:tc>
      </w:tr>
      <w:tr w:rsidR="00836E1E" w:rsidRPr="009A34E1" w14:paraId="07D10F63" w14:textId="77777777" w:rsidTr="00784999">
        <w:tc>
          <w:tcPr>
            <w:tcW w:w="14884" w:type="dxa"/>
            <w:gridSpan w:val="4"/>
          </w:tcPr>
          <w:p w14:paraId="2942EED4" w14:textId="1D63E1CC" w:rsidR="00836E1E" w:rsidRPr="009A34E1" w:rsidRDefault="004A3DCB" w:rsidP="00974247">
            <w:pPr>
              <w:pStyle w:val="DHHSbody"/>
              <w:rPr>
                <w:b/>
              </w:rPr>
            </w:pPr>
            <w:r w:rsidRPr="00AD3008">
              <w:rPr>
                <w:b/>
                <w:bCs/>
                <w:color w:val="0F243E" w:themeColor="text2" w:themeShade="80"/>
              </w:rPr>
              <w:t>Section 7 Preparation list management</w:t>
            </w:r>
          </w:p>
        </w:tc>
      </w:tr>
      <w:tr w:rsidR="00836E1E" w:rsidRPr="009A34E1" w14:paraId="47EE0395" w14:textId="77777777" w:rsidTr="001F53C6">
        <w:tc>
          <w:tcPr>
            <w:tcW w:w="7655" w:type="dxa"/>
          </w:tcPr>
          <w:p w14:paraId="4BDF76D7" w14:textId="77777777" w:rsidR="00A1439F" w:rsidRPr="009A34E1" w:rsidRDefault="00A1439F" w:rsidP="00A1439F">
            <w:pPr>
              <w:pStyle w:val="Body"/>
            </w:pPr>
            <w:r w:rsidRPr="009A34E1">
              <w:t xml:space="preserve">Victorian public health services must only accept surgical referrals if they have the capability and capacity to provide timely, </w:t>
            </w:r>
            <w:proofErr w:type="gramStart"/>
            <w:r w:rsidRPr="009A34E1">
              <w:t>safe</w:t>
            </w:r>
            <w:proofErr w:type="gramEnd"/>
            <w:r w:rsidRPr="009A34E1">
              <w:t xml:space="preserve"> and appropriate perioperative care.</w:t>
            </w:r>
          </w:p>
          <w:p w14:paraId="7A4810AB" w14:textId="63485057" w:rsidR="00836E1E" w:rsidRPr="009A34E1" w:rsidRDefault="00A1439F" w:rsidP="003F3921">
            <w:r w:rsidRPr="009A34E1">
              <w:rPr>
                <w:rFonts w:eastAsia="Times" w:cs="Arial"/>
                <w:szCs w:val="21"/>
              </w:rPr>
              <w:t xml:space="preserve">Before accepting a surgical referral for a specific surgery or procedure, health services must meet the capability requirements to manage clinical, </w:t>
            </w:r>
            <w:proofErr w:type="gramStart"/>
            <w:r w:rsidRPr="009A34E1">
              <w:rPr>
                <w:rFonts w:eastAsia="Times" w:cs="Arial"/>
                <w:szCs w:val="21"/>
              </w:rPr>
              <w:t>patient</w:t>
            </w:r>
            <w:proofErr w:type="gramEnd"/>
            <w:r w:rsidRPr="009A34E1">
              <w:rPr>
                <w:rFonts w:eastAsia="Times" w:cs="Arial"/>
                <w:szCs w:val="21"/>
              </w:rPr>
              <w:t xml:space="preserve"> and anaesthetic risks. These are set out in the </w:t>
            </w:r>
            <w:hyperlink r:id="rId27" w:history="1">
              <w:r w:rsidRPr="009A34E1">
                <w:rPr>
                  <w:rStyle w:val="Hyperlink"/>
                </w:rPr>
                <w:t>Perioperative service capability framework for Victoria</w:t>
              </w:r>
            </w:hyperlink>
            <w:r w:rsidRPr="009A34E1">
              <w:t>.</w:t>
            </w:r>
            <w:r w:rsidRPr="009A34E1">
              <w:rPr>
                <w:rStyle w:val="FootnoteReference"/>
              </w:rPr>
              <w:footnoteReference w:id="10"/>
            </w:r>
          </w:p>
        </w:tc>
        <w:tc>
          <w:tcPr>
            <w:tcW w:w="711" w:type="dxa"/>
          </w:tcPr>
          <w:p w14:paraId="39B469CE" w14:textId="77777777" w:rsidR="00836E1E" w:rsidRPr="009A34E1" w:rsidRDefault="00836E1E" w:rsidP="00974247">
            <w:pPr>
              <w:pStyle w:val="DHHSbody"/>
              <w:rPr>
                <w:b/>
              </w:rPr>
            </w:pPr>
          </w:p>
        </w:tc>
        <w:tc>
          <w:tcPr>
            <w:tcW w:w="3401" w:type="dxa"/>
          </w:tcPr>
          <w:p w14:paraId="594BDD13" w14:textId="77777777" w:rsidR="00836E1E" w:rsidRPr="009A34E1" w:rsidRDefault="00836E1E" w:rsidP="00974247">
            <w:pPr>
              <w:pStyle w:val="DHHSbody"/>
              <w:rPr>
                <w:b/>
              </w:rPr>
            </w:pPr>
          </w:p>
        </w:tc>
        <w:tc>
          <w:tcPr>
            <w:tcW w:w="3117" w:type="dxa"/>
          </w:tcPr>
          <w:p w14:paraId="4E6D088E" w14:textId="77777777" w:rsidR="00836E1E" w:rsidRPr="009A34E1" w:rsidRDefault="00836E1E" w:rsidP="00974247">
            <w:pPr>
              <w:pStyle w:val="DHHSbody"/>
              <w:rPr>
                <w:b/>
              </w:rPr>
            </w:pPr>
          </w:p>
        </w:tc>
      </w:tr>
      <w:tr w:rsidR="00974247" w:rsidRPr="009A34E1" w14:paraId="2B338C11" w14:textId="77777777" w:rsidTr="001F53C6">
        <w:tc>
          <w:tcPr>
            <w:tcW w:w="7655" w:type="dxa"/>
          </w:tcPr>
          <w:p w14:paraId="406B0BA1" w14:textId="45726AE3" w:rsidR="00974247" w:rsidRPr="009A34E1" w:rsidRDefault="007110A7" w:rsidP="007110A7">
            <w:pPr>
              <w:pStyle w:val="NormalWeb"/>
              <w:spacing w:before="0" w:beforeAutospacing="0" w:after="120" w:afterAutospacing="0"/>
              <w:rPr>
                <w:rFonts w:ascii="Arial" w:eastAsia="Times" w:hAnsi="Arial"/>
                <w:sz w:val="21"/>
                <w:lang w:eastAsia="en-US"/>
              </w:rPr>
            </w:pPr>
            <w:r w:rsidRPr="009A34E1">
              <w:rPr>
                <w:rFonts w:ascii="Arial" w:eastAsia="Times" w:hAnsi="Arial" w:cs="Arial"/>
                <w:sz w:val="21"/>
                <w:szCs w:val="21"/>
              </w:rPr>
              <w:lastRenderedPageBreak/>
              <w:t>If the request is for a procedure included in Appendix 2</w:t>
            </w:r>
            <w:r w:rsidRPr="009A34E1">
              <w:rPr>
                <w:rFonts w:ascii="Arial" w:eastAsia="Times" w:hAnsi="Arial" w:cs="Arial"/>
                <w:b/>
                <w:bCs/>
                <w:sz w:val="21"/>
                <w:szCs w:val="21"/>
              </w:rPr>
              <w:t xml:space="preserve"> </w:t>
            </w:r>
            <w:r w:rsidRPr="009A34E1">
              <w:rPr>
                <w:rFonts w:ascii="Arial" w:eastAsia="Times" w:hAnsi="Arial" w:cs="Arial"/>
                <w:sz w:val="21"/>
                <w:szCs w:val="21"/>
              </w:rPr>
              <w:t xml:space="preserve">or the </w:t>
            </w:r>
            <w:hyperlink r:id="rId28" w:history="1">
              <w:r w:rsidRPr="009A34E1">
                <w:rPr>
                  <w:rStyle w:val="Hyperlink"/>
                  <w:rFonts w:ascii="Arial" w:eastAsia="MS Gothic" w:hAnsi="Arial" w:cs="Arial"/>
                  <w:sz w:val="21"/>
                  <w:szCs w:val="21"/>
                </w:rPr>
                <w:t>Best care: guidance for non-urgent elective surgery</w:t>
              </w:r>
            </w:hyperlink>
            <w:r w:rsidRPr="009A34E1">
              <w:rPr>
                <w:rStyle w:val="BodyChar"/>
              </w:rPr>
              <w:t>,</w:t>
            </w:r>
            <w:r w:rsidRPr="009A34E1">
              <w:rPr>
                <w:rStyle w:val="FootnoteReference"/>
                <w:rFonts w:ascii="Arial" w:eastAsia="Times" w:hAnsi="Arial"/>
                <w:sz w:val="21"/>
                <w:lang w:eastAsia="en-US"/>
              </w:rPr>
              <w:footnoteReference w:id="11"/>
            </w:r>
            <w:r w:rsidRPr="009A34E1">
              <w:t xml:space="preserve"> </w:t>
            </w:r>
            <w:r w:rsidRPr="009A34E1">
              <w:rPr>
                <w:rStyle w:val="BodyChar"/>
              </w:rPr>
              <w:t>the head of unit (or their delegate) must approve an exemption for the procedure to take place.</w:t>
            </w:r>
          </w:p>
        </w:tc>
        <w:tc>
          <w:tcPr>
            <w:tcW w:w="711" w:type="dxa"/>
          </w:tcPr>
          <w:p w14:paraId="65A9FA00" w14:textId="77777777" w:rsidR="00974247" w:rsidRPr="009A34E1" w:rsidRDefault="00974247" w:rsidP="00974247">
            <w:pPr>
              <w:pStyle w:val="DHHSbody"/>
              <w:rPr>
                <w:b/>
              </w:rPr>
            </w:pPr>
          </w:p>
        </w:tc>
        <w:tc>
          <w:tcPr>
            <w:tcW w:w="3401" w:type="dxa"/>
          </w:tcPr>
          <w:p w14:paraId="44E8BC06" w14:textId="77777777" w:rsidR="00974247" w:rsidRPr="009A34E1" w:rsidRDefault="00974247" w:rsidP="00974247">
            <w:pPr>
              <w:pStyle w:val="DHHSbody"/>
              <w:rPr>
                <w:b/>
              </w:rPr>
            </w:pPr>
          </w:p>
        </w:tc>
        <w:tc>
          <w:tcPr>
            <w:tcW w:w="3117" w:type="dxa"/>
          </w:tcPr>
          <w:p w14:paraId="2F820CD8" w14:textId="77777777" w:rsidR="00974247" w:rsidRPr="009A34E1" w:rsidRDefault="00974247" w:rsidP="00974247">
            <w:pPr>
              <w:pStyle w:val="DHHSbody"/>
              <w:rPr>
                <w:b/>
              </w:rPr>
            </w:pPr>
          </w:p>
        </w:tc>
      </w:tr>
      <w:tr w:rsidR="007D1400" w:rsidRPr="009A34E1" w14:paraId="13E638D1" w14:textId="77777777" w:rsidTr="001F53C6">
        <w:tc>
          <w:tcPr>
            <w:tcW w:w="7655" w:type="dxa"/>
          </w:tcPr>
          <w:p w14:paraId="0AC2408C" w14:textId="77777777" w:rsidR="00240B91" w:rsidRPr="009A34E1" w:rsidRDefault="00240B91" w:rsidP="00240B91">
            <w:pPr>
              <w:pStyle w:val="Bodyafterbullets"/>
            </w:pPr>
            <w:r w:rsidRPr="009A34E1">
              <w:t>Health services must:</w:t>
            </w:r>
          </w:p>
          <w:p w14:paraId="5932F6A7" w14:textId="77777777" w:rsidR="00240B91" w:rsidRPr="009A34E1" w:rsidRDefault="00240B91" w:rsidP="00240B91">
            <w:pPr>
              <w:pStyle w:val="Bullet1"/>
            </w:pPr>
            <w:r w:rsidRPr="009A34E1">
              <w:t xml:space="preserve">ensure they have the necessary workforce, clinical support services, equipment, infrastructure and clinical governance to deliver safe and appropriate care considering the complexity and care needs of individual </w:t>
            </w:r>
            <w:proofErr w:type="gramStart"/>
            <w:r w:rsidRPr="009A34E1">
              <w:t>patients</w:t>
            </w:r>
            <w:proofErr w:type="gramEnd"/>
          </w:p>
          <w:p w14:paraId="64491208" w14:textId="38BCF31B" w:rsidR="007D1400" w:rsidRPr="009A34E1" w:rsidRDefault="00240B91" w:rsidP="00240B91">
            <w:pPr>
              <w:pStyle w:val="Bullet1"/>
            </w:pPr>
            <w:r w:rsidRPr="009A34E1">
              <w:t>advise the department of any changes to their capability and capacity, whether temporary or permanent, and provide the department with details of a proposed management plan to ensure patients waiting for surgical care are appropriately managed or referred to another provider.</w:t>
            </w:r>
          </w:p>
        </w:tc>
        <w:tc>
          <w:tcPr>
            <w:tcW w:w="711" w:type="dxa"/>
          </w:tcPr>
          <w:p w14:paraId="6245A3DB" w14:textId="77777777" w:rsidR="007D1400" w:rsidRPr="009A34E1" w:rsidRDefault="007D1400" w:rsidP="00974247">
            <w:pPr>
              <w:pStyle w:val="DHHSbody"/>
              <w:rPr>
                <w:b/>
              </w:rPr>
            </w:pPr>
          </w:p>
        </w:tc>
        <w:tc>
          <w:tcPr>
            <w:tcW w:w="3401" w:type="dxa"/>
          </w:tcPr>
          <w:p w14:paraId="24ABF86E" w14:textId="77777777" w:rsidR="007D1400" w:rsidRPr="009A34E1" w:rsidRDefault="007D1400" w:rsidP="00974247">
            <w:pPr>
              <w:pStyle w:val="DHHSbody"/>
              <w:rPr>
                <w:b/>
              </w:rPr>
            </w:pPr>
          </w:p>
        </w:tc>
        <w:tc>
          <w:tcPr>
            <w:tcW w:w="3117" w:type="dxa"/>
          </w:tcPr>
          <w:p w14:paraId="74664EB4" w14:textId="77777777" w:rsidR="007D1400" w:rsidRPr="009A34E1" w:rsidRDefault="007D1400" w:rsidP="00974247">
            <w:pPr>
              <w:pStyle w:val="DHHSbody"/>
              <w:rPr>
                <w:b/>
              </w:rPr>
            </w:pPr>
          </w:p>
        </w:tc>
      </w:tr>
      <w:tr w:rsidR="00974247" w:rsidRPr="009A34E1" w14:paraId="700C1EA2" w14:textId="77777777" w:rsidTr="001F53C6">
        <w:tc>
          <w:tcPr>
            <w:tcW w:w="7655" w:type="dxa"/>
          </w:tcPr>
          <w:p w14:paraId="66822EF2" w14:textId="77777777" w:rsidR="005A32B6" w:rsidRPr="009A34E1" w:rsidRDefault="005A32B6" w:rsidP="005A32B6">
            <w:pPr>
              <w:tabs>
                <w:tab w:val="right" w:pos="9299"/>
              </w:tabs>
              <w:spacing w:afterLines="40" w:after="96"/>
              <w:rPr>
                <w:rFonts w:eastAsia="Times" w:cs="Arial"/>
                <w:szCs w:val="21"/>
              </w:rPr>
            </w:pPr>
            <w:r w:rsidRPr="009A34E1">
              <w:rPr>
                <w:rFonts w:eastAsia="Times" w:cs="Arial"/>
                <w:szCs w:val="21"/>
              </w:rPr>
              <w:t>Health services must check referrals against the policy requirements. They should only accept the surgical referral when:</w:t>
            </w:r>
          </w:p>
          <w:p w14:paraId="2B4FD807" w14:textId="77777777" w:rsidR="005A32B6" w:rsidRPr="009A34E1" w:rsidRDefault="005A32B6" w:rsidP="005A32B6">
            <w:pPr>
              <w:pStyle w:val="Bullet1"/>
            </w:pPr>
            <w:r w:rsidRPr="009A34E1">
              <w:t xml:space="preserve">the surgical referral is valid and </w:t>
            </w:r>
            <w:proofErr w:type="gramStart"/>
            <w:r w:rsidRPr="009A34E1">
              <w:t>complete</w:t>
            </w:r>
            <w:proofErr w:type="gramEnd"/>
          </w:p>
          <w:p w14:paraId="311F3D6A" w14:textId="77777777" w:rsidR="005A32B6" w:rsidRPr="009A34E1" w:rsidRDefault="005A32B6" w:rsidP="005A32B6">
            <w:pPr>
              <w:pStyle w:val="Bullet1"/>
            </w:pPr>
            <w:r w:rsidRPr="009A34E1">
              <w:t xml:space="preserve">the aligns with the scope of this Planned surgery access </w:t>
            </w:r>
            <w:proofErr w:type="gramStart"/>
            <w:r w:rsidRPr="009A34E1">
              <w:t>policy</w:t>
            </w:r>
            <w:proofErr w:type="gramEnd"/>
          </w:p>
          <w:p w14:paraId="1683E02E" w14:textId="77777777" w:rsidR="005A32B6" w:rsidRPr="009A34E1" w:rsidRDefault="005A32B6" w:rsidP="005A32B6">
            <w:pPr>
              <w:pStyle w:val="Bullet1"/>
            </w:pPr>
            <w:r w:rsidRPr="009A34E1">
              <w:t xml:space="preserve">the intended procedure and proposed aftercare are within the capability of the health service at the time of surgical </w:t>
            </w:r>
            <w:proofErr w:type="gramStart"/>
            <w:r w:rsidRPr="009A34E1">
              <w:t>referral</w:t>
            </w:r>
            <w:proofErr w:type="gramEnd"/>
          </w:p>
          <w:p w14:paraId="5C3C01ED" w14:textId="77777777" w:rsidR="005A32B6" w:rsidRPr="009A34E1" w:rsidRDefault="005A32B6" w:rsidP="005A32B6">
            <w:pPr>
              <w:pStyle w:val="Bullet1"/>
            </w:pPr>
            <w:r w:rsidRPr="009A34E1">
              <w:t xml:space="preserve">the surgical referral meets an identified clinical versus aesthetic need to improve the health of the </w:t>
            </w:r>
            <w:proofErr w:type="gramStart"/>
            <w:r w:rsidRPr="009A34E1">
              <w:t>patient</w:t>
            </w:r>
            <w:proofErr w:type="gramEnd"/>
          </w:p>
          <w:p w14:paraId="4F7C8E41" w14:textId="77777777" w:rsidR="00974247" w:rsidRDefault="005A32B6" w:rsidP="000502C0">
            <w:pPr>
              <w:pStyle w:val="Bullet1"/>
            </w:pPr>
            <w:r w:rsidRPr="009A34E1">
              <w:t>the clinical threshold for the procedure has been met (if it is an aesthetic procedure).</w:t>
            </w:r>
          </w:p>
          <w:p w14:paraId="79C18399" w14:textId="6D5A5313" w:rsidR="001B2BB8" w:rsidRPr="009A34E1" w:rsidRDefault="001B2BB8" w:rsidP="000502C0">
            <w:pPr>
              <w:pStyle w:val="Bullet1"/>
            </w:pPr>
          </w:p>
        </w:tc>
        <w:tc>
          <w:tcPr>
            <w:tcW w:w="711" w:type="dxa"/>
          </w:tcPr>
          <w:p w14:paraId="0FE27667" w14:textId="77777777" w:rsidR="00974247" w:rsidRPr="009A34E1" w:rsidRDefault="00974247" w:rsidP="00974247">
            <w:pPr>
              <w:pStyle w:val="DHHSbody"/>
              <w:rPr>
                <w:b/>
              </w:rPr>
            </w:pPr>
          </w:p>
        </w:tc>
        <w:tc>
          <w:tcPr>
            <w:tcW w:w="3401" w:type="dxa"/>
          </w:tcPr>
          <w:p w14:paraId="7DE4FD98" w14:textId="77777777" w:rsidR="00974247" w:rsidRPr="009A34E1" w:rsidRDefault="00974247" w:rsidP="00974247">
            <w:pPr>
              <w:pStyle w:val="DHHSbody"/>
              <w:rPr>
                <w:b/>
              </w:rPr>
            </w:pPr>
          </w:p>
        </w:tc>
        <w:tc>
          <w:tcPr>
            <w:tcW w:w="3117" w:type="dxa"/>
          </w:tcPr>
          <w:p w14:paraId="54E1A88D" w14:textId="77777777" w:rsidR="00974247" w:rsidRPr="009A34E1" w:rsidRDefault="00974247" w:rsidP="00974247">
            <w:pPr>
              <w:pStyle w:val="DHHSbody"/>
              <w:rPr>
                <w:b/>
              </w:rPr>
            </w:pPr>
          </w:p>
        </w:tc>
      </w:tr>
      <w:tr w:rsidR="00974247" w:rsidRPr="009A34E1" w14:paraId="73C6EE08" w14:textId="77777777" w:rsidTr="001F53C6">
        <w:tc>
          <w:tcPr>
            <w:tcW w:w="7655" w:type="dxa"/>
          </w:tcPr>
          <w:p w14:paraId="44F90D16" w14:textId="77777777" w:rsidR="000502C0" w:rsidRPr="009A34E1" w:rsidRDefault="000502C0" w:rsidP="000502C0">
            <w:pPr>
              <w:pStyle w:val="Bodyafterbullets"/>
            </w:pPr>
            <w:r w:rsidRPr="009A34E1">
              <w:lastRenderedPageBreak/>
              <w:t xml:space="preserve">The following </w:t>
            </w:r>
            <w:r w:rsidRPr="009A34E1">
              <w:rPr>
                <w:b/>
                <w:bCs/>
              </w:rPr>
              <w:t>must not</w:t>
            </w:r>
            <w:r w:rsidRPr="009A34E1">
              <w:t xml:space="preserve"> be used as reasons for not accepting surgical referrals:</w:t>
            </w:r>
          </w:p>
          <w:p w14:paraId="2177D372" w14:textId="77777777" w:rsidR="000502C0" w:rsidRPr="009A34E1" w:rsidRDefault="000502C0" w:rsidP="000502C0">
            <w:pPr>
              <w:pStyle w:val="Bullet1"/>
            </w:pPr>
            <w:r w:rsidRPr="009A34E1">
              <w:t>where the patient lives</w:t>
            </w:r>
          </w:p>
          <w:p w14:paraId="2512DD73" w14:textId="77777777" w:rsidR="000502C0" w:rsidRPr="009A34E1" w:rsidRDefault="000502C0" w:rsidP="000502C0">
            <w:pPr>
              <w:pStyle w:val="Bullet1"/>
            </w:pPr>
            <w:r w:rsidRPr="009A34E1">
              <w:t>to whom the surgical referral is addressed</w:t>
            </w:r>
          </w:p>
          <w:p w14:paraId="28C9774B" w14:textId="7278F318" w:rsidR="000D50E0" w:rsidRPr="009A34E1" w:rsidRDefault="000502C0" w:rsidP="000502C0">
            <w:pPr>
              <w:pStyle w:val="Bullet1"/>
            </w:pPr>
            <w:r w:rsidRPr="009A34E1">
              <w:t>the length of the preparation list at the health service.</w:t>
            </w:r>
          </w:p>
        </w:tc>
        <w:tc>
          <w:tcPr>
            <w:tcW w:w="711" w:type="dxa"/>
          </w:tcPr>
          <w:p w14:paraId="53F22FEB" w14:textId="77777777" w:rsidR="00974247" w:rsidRPr="009A34E1" w:rsidRDefault="00974247" w:rsidP="00974247">
            <w:pPr>
              <w:pStyle w:val="DHHSbody"/>
              <w:rPr>
                <w:b/>
              </w:rPr>
            </w:pPr>
          </w:p>
        </w:tc>
        <w:tc>
          <w:tcPr>
            <w:tcW w:w="3401" w:type="dxa"/>
          </w:tcPr>
          <w:p w14:paraId="64AEA001" w14:textId="77777777" w:rsidR="00974247" w:rsidRPr="009A34E1" w:rsidRDefault="00974247" w:rsidP="00974247">
            <w:pPr>
              <w:pStyle w:val="DHHSbody"/>
              <w:rPr>
                <w:b/>
              </w:rPr>
            </w:pPr>
          </w:p>
        </w:tc>
        <w:tc>
          <w:tcPr>
            <w:tcW w:w="3117" w:type="dxa"/>
          </w:tcPr>
          <w:p w14:paraId="37708C66" w14:textId="77777777" w:rsidR="00974247" w:rsidRPr="009A34E1" w:rsidRDefault="00974247" w:rsidP="00974247">
            <w:pPr>
              <w:pStyle w:val="DHHSbody"/>
              <w:rPr>
                <w:b/>
              </w:rPr>
            </w:pPr>
          </w:p>
        </w:tc>
      </w:tr>
      <w:tr w:rsidR="00974247" w:rsidRPr="009A34E1" w14:paraId="12A0221C" w14:textId="77777777" w:rsidTr="001F53C6">
        <w:tc>
          <w:tcPr>
            <w:tcW w:w="7655" w:type="dxa"/>
          </w:tcPr>
          <w:p w14:paraId="14F570E3" w14:textId="77777777" w:rsidR="00B57B36" w:rsidRPr="009A34E1" w:rsidRDefault="00B57B36" w:rsidP="00B57B36">
            <w:pPr>
              <w:rPr>
                <w:rFonts w:eastAsia="Times"/>
              </w:rPr>
            </w:pPr>
            <w:r w:rsidRPr="009A34E1">
              <w:rPr>
                <w:rFonts w:eastAsia="Times"/>
              </w:rPr>
              <w:t xml:space="preserve">Health services </w:t>
            </w:r>
            <w:r w:rsidRPr="009A34E1">
              <w:rPr>
                <w:rFonts w:eastAsia="Times"/>
                <w:b/>
                <w:bCs/>
              </w:rPr>
              <w:t>must not</w:t>
            </w:r>
            <w:r w:rsidRPr="009A34E1">
              <w:rPr>
                <w:rFonts w:eastAsia="Times"/>
              </w:rPr>
              <w:t xml:space="preserve"> accept surgical referrals that are incomplete or do not have the required information.</w:t>
            </w:r>
          </w:p>
          <w:p w14:paraId="6139AE59" w14:textId="12D64114" w:rsidR="00974247" w:rsidRPr="009A34E1" w:rsidRDefault="00C255C2" w:rsidP="00C255C2">
            <w:pPr>
              <w:pStyle w:val="Bodyafterbullets"/>
            </w:pPr>
            <w:r w:rsidRPr="009A34E1">
              <w:t>If a surgical referral is incomplete but is categorised as category 1, immediately contact the requesting clinician to supply the missing information.</w:t>
            </w:r>
          </w:p>
        </w:tc>
        <w:tc>
          <w:tcPr>
            <w:tcW w:w="711" w:type="dxa"/>
          </w:tcPr>
          <w:p w14:paraId="7CE28051" w14:textId="77777777" w:rsidR="00974247" w:rsidRPr="009A34E1" w:rsidRDefault="00974247" w:rsidP="00974247">
            <w:pPr>
              <w:pStyle w:val="DHHSbody"/>
              <w:rPr>
                <w:b/>
              </w:rPr>
            </w:pPr>
          </w:p>
        </w:tc>
        <w:tc>
          <w:tcPr>
            <w:tcW w:w="3401" w:type="dxa"/>
          </w:tcPr>
          <w:p w14:paraId="75D79D56" w14:textId="77777777" w:rsidR="00974247" w:rsidRPr="009A34E1" w:rsidRDefault="00974247" w:rsidP="00974247">
            <w:pPr>
              <w:pStyle w:val="DHHSbody"/>
              <w:rPr>
                <w:b/>
              </w:rPr>
            </w:pPr>
          </w:p>
        </w:tc>
        <w:tc>
          <w:tcPr>
            <w:tcW w:w="3117" w:type="dxa"/>
          </w:tcPr>
          <w:p w14:paraId="1F517271" w14:textId="77777777" w:rsidR="00974247" w:rsidRPr="009A34E1" w:rsidRDefault="00974247" w:rsidP="00974247">
            <w:pPr>
              <w:pStyle w:val="DHHSbody"/>
              <w:rPr>
                <w:b/>
              </w:rPr>
            </w:pPr>
          </w:p>
        </w:tc>
      </w:tr>
      <w:tr w:rsidR="00974247" w:rsidRPr="009A34E1" w14:paraId="19116756" w14:textId="77777777" w:rsidTr="001F53C6">
        <w:tc>
          <w:tcPr>
            <w:tcW w:w="7655" w:type="dxa"/>
          </w:tcPr>
          <w:p w14:paraId="1F187A38" w14:textId="616AD053" w:rsidR="002954BF" w:rsidRPr="009A34E1" w:rsidRDefault="002954BF" w:rsidP="002954BF">
            <w:pPr>
              <w:pStyle w:val="Body"/>
            </w:pPr>
            <w:r w:rsidRPr="009A34E1">
              <w:t>The health service must notify the requesting clinician in writing that the referral is incomplete and cannot be accepted within:</w:t>
            </w:r>
          </w:p>
          <w:p w14:paraId="09157969" w14:textId="77777777" w:rsidR="002954BF" w:rsidRPr="009A34E1" w:rsidRDefault="002954BF" w:rsidP="002954BF">
            <w:pPr>
              <w:pStyle w:val="Bullet1"/>
            </w:pPr>
            <w:r w:rsidRPr="009A34E1">
              <w:t xml:space="preserve">three working days of receiving the request for Category 1 </w:t>
            </w:r>
          </w:p>
          <w:p w14:paraId="24494379" w14:textId="079B4BB9" w:rsidR="00974247" w:rsidRPr="009A34E1" w:rsidRDefault="002954BF" w:rsidP="002954BF">
            <w:pPr>
              <w:pStyle w:val="Bullet1"/>
            </w:pPr>
            <w:r w:rsidRPr="009A34E1">
              <w:t>ten working days of receiving the request for Category 2 and 3.</w:t>
            </w:r>
          </w:p>
        </w:tc>
        <w:tc>
          <w:tcPr>
            <w:tcW w:w="711" w:type="dxa"/>
          </w:tcPr>
          <w:p w14:paraId="29AE2E62" w14:textId="77777777" w:rsidR="00974247" w:rsidRPr="009A34E1" w:rsidRDefault="00974247" w:rsidP="00974247">
            <w:pPr>
              <w:pStyle w:val="DHHSbody"/>
              <w:rPr>
                <w:b/>
              </w:rPr>
            </w:pPr>
          </w:p>
        </w:tc>
        <w:tc>
          <w:tcPr>
            <w:tcW w:w="3401" w:type="dxa"/>
          </w:tcPr>
          <w:p w14:paraId="2B5B242F" w14:textId="77777777" w:rsidR="00974247" w:rsidRPr="009A34E1" w:rsidRDefault="00974247" w:rsidP="00974247">
            <w:pPr>
              <w:pStyle w:val="DHHSbody"/>
              <w:rPr>
                <w:b/>
              </w:rPr>
            </w:pPr>
          </w:p>
        </w:tc>
        <w:tc>
          <w:tcPr>
            <w:tcW w:w="3117" w:type="dxa"/>
          </w:tcPr>
          <w:p w14:paraId="151D1DEA" w14:textId="77777777" w:rsidR="00974247" w:rsidRPr="009A34E1" w:rsidRDefault="00974247" w:rsidP="00974247">
            <w:pPr>
              <w:pStyle w:val="DHHSbody"/>
              <w:rPr>
                <w:b/>
              </w:rPr>
            </w:pPr>
          </w:p>
        </w:tc>
      </w:tr>
      <w:tr w:rsidR="00E166B8" w:rsidRPr="009A34E1" w14:paraId="52C3CBBD" w14:textId="77777777" w:rsidTr="001F53C6">
        <w:tc>
          <w:tcPr>
            <w:tcW w:w="7655" w:type="dxa"/>
          </w:tcPr>
          <w:p w14:paraId="56A25799" w14:textId="77777777" w:rsidR="00593338" w:rsidRPr="009A34E1" w:rsidRDefault="00593338" w:rsidP="00593338">
            <w:pPr>
              <w:pStyle w:val="Body"/>
            </w:pPr>
            <w:r w:rsidRPr="009A34E1">
              <w:t xml:space="preserve">If the health service accepts the surgical referral, patients must be registered on the preparation list within </w:t>
            </w:r>
          </w:p>
          <w:p w14:paraId="026603F5" w14:textId="34D7D20F" w:rsidR="00A57ACF" w:rsidRPr="009A34E1" w:rsidRDefault="00A57ACF" w:rsidP="00A57ACF">
            <w:pPr>
              <w:pStyle w:val="Bullet1"/>
            </w:pPr>
            <w:r w:rsidRPr="009A34E1">
              <w:t xml:space="preserve">3 working days of receiving the request for category </w:t>
            </w:r>
            <w:proofErr w:type="gramStart"/>
            <w:r w:rsidRPr="009A34E1">
              <w:t>1</w:t>
            </w:r>
            <w:proofErr w:type="gramEnd"/>
            <w:r w:rsidRPr="009A34E1">
              <w:t xml:space="preserve"> </w:t>
            </w:r>
          </w:p>
          <w:p w14:paraId="3ACA9FC2" w14:textId="27D79337" w:rsidR="00E166B8" w:rsidRPr="009A34E1" w:rsidRDefault="00A57ACF" w:rsidP="00A57ACF">
            <w:pPr>
              <w:pStyle w:val="Bullet1"/>
            </w:pPr>
            <w:r w:rsidRPr="009A34E1">
              <w:t>10 working days of receiving the request for category 2 and 3.</w:t>
            </w:r>
          </w:p>
        </w:tc>
        <w:tc>
          <w:tcPr>
            <w:tcW w:w="711" w:type="dxa"/>
          </w:tcPr>
          <w:p w14:paraId="0A5FB397" w14:textId="77777777" w:rsidR="00E166B8" w:rsidRPr="009A34E1" w:rsidRDefault="00E166B8" w:rsidP="00974247">
            <w:pPr>
              <w:pStyle w:val="DHHSbody"/>
              <w:rPr>
                <w:b/>
              </w:rPr>
            </w:pPr>
          </w:p>
        </w:tc>
        <w:tc>
          <w:tcPr>
            <w:tcW w:w="3401" w:type="dxa"/>
          </w:tcPr>
          <w:p w14:paraId="147960BB" w14:textId="77777777" w:rsidR="00E166B8" w:rsidRPr="009A34E1" w:rsidRDefault="00E166B8" w:rsidP="00974247">
            <w:pPr>
              <w:pStyle w:val="DHHSbody"/>
              <w:rPr>
                <w:b/>
              </w:rPr>
            </w:pPr>
          </w:p>
        </w:tc>
        <w:tc>
          <w:tcPr>
            <w:tcW w:w="3117" w:type="dxa"/>
          </w:tcPr>
          <w:p w14:paraId="0F80943E" w14:textId="77777777" w:rsidR="00E166B8" w:rsidRPr="009A34E1" w:rsidRDefault="00E166B8" w:rsidP="00974247">
            <w:pPr>
              <w:pStyle w:val="DHHSbody"/>
              <w:rPr>
                <w:b/>
              </w:rPr>
            </w:pPr>
          </w:p>
        </w:tc>
      </w:tr>
      <w:tr w:rsidR="008D6620" w:rsidRPr="009A34E1" w14:paraId="3939B53A" w14:textId="77777777" w:rsidTr="001F53C6">
        <w:tc>
          <w:tcPr>
            <w:tcW w:w="7655" w:type="dxa"/>
          </w:tcPr>
          <w:p w14:paraId="77CC1470" w14:textId="6D859637" w:rsidR="008D6620" w:rsidRPr="009A34E1" w:rsidRDefault="00E70531" w:rsidP="00E70531">
            <w:pPr>
              <w:pStyle w:val="Body"/>
            </w:pPr>
            <w:r w:rsidRPr="009A34E1">
              <w:t>If a referral cannot be accepted due to capability considerations, health services must</w:t>
            </w:r>
            <w:r w:rsidRPr="009A34E1">
              <w:rPr>
                <w:b/>
                <w:bCs/>
              </w:rPr>
              <w:t xml:space="preserve"> </w:t>
            </w:r>
            <w:r w:rsidRPr="009A34E1">
              <w:t>inform the requesting clinician in writing. Health services may refer them to another provider within the Health Service Partnership.</w:t>
            </w:r>
          </w:p>
        </w:tc>
        <w:tc>
          <w:tcPr>
            <w:tcW w:w="711" w:type="dxa"/>
          </w:tcPr>
          <w:p w14:paraId="6B391295" w14:textId="77777777" w:rsidR="008D6620" w:rsidRPr="009A34E1" w:rsidRDefault="008D6620" w:rsidP="00974247">
            <w:pPr>
              <w:pStyle w:val="DHHSbody"/>
              <w:rPr>
                <w:b/>
              </w:rPr>
            </w:pPr>
          </w:p>
        </w:tc>
        <w:tc>
          <w:tcPr>
            <w:tcW w:w="3401" w:type="dxa"/>
          </w:tcPr>
          <w:p w14:paraId="078ACEC0" w14:textId="77777777" w:rsidR="008D6620" w:rsidRPr="009A34E1" w:rsidRDefault="008D6620" w:rsidP="00974247">
            <w:pPr>
              <w:pStyle w:val="DHHSbody"/>
              <w:rPr>
                <w:b/>
              </w:rPr>
            </w:pPr>
          </w:p>
        </w:tc>
        <w:tc>
          <w:tcPr>
            <w:tcW w:w="3117" w:type="dxa"/>
          </w:tcPr>
          <w:p w14:paraId="732A4F86" w14:textId="77777777" w:rsidR="008D6620" w:rsidRPr="009A34E1" w:rsidRDefault="008D6620" w:rsidP="00974247">
            <w:pPr>
              <w:pStyle w:val="DHHSbody"/>
              <w:rPr>
                <w:b/>
              </w:rPr>
            </w:pPr>
          </w:p>
        </w:tc>
      </w:tr>
      <w:tr w:rsidR="00E166B8" w:rsidRPr="009A34E1" w14:paraId="0AC9F2C6" w14:textId="77777777" w:rsidTr="001F53C6">
        <w:tc>
          <w:tcPr>
            <w:tcW w:w="7655" w:type="dxa"/>
          </w:tcPr>
          <w:p w14:paraId="56FC3A09" w14:textId="64B415B1" w:rsidR="00E166B8" w:rsidRPr="009A34E1" w:rsidRDefault="009C622F" w:rsidP="009C622F">
            <w:pPr>
              <w:pStyle w:val="Bodyafterbullets"/>
              <w:rPr>
                <w:b/>
                <w:bCs/>
              </w:rPr>
            </w:pPr>
            <w:r w:rsidRPr="009A34E1">
              <w:t>Surgical referrals from medical practitioners’ private rooms for category 2 and 3 patients should be acknowledged in writing within 10 working days.</w:t>
            </w:r>
          </w:p>
        </w:tc>
        <w:tc>
          <w:tcPr>
            <w:tcW w:w="711" w:type="dxa"/>
          </w:tcPr>
          <w:p w14:paraId="254B55F8" w14:textId="77777777" w:rsidR="00E166B8" w:rsidRPr="009A34E1" w:rsidRDefault="00E166B8" w:rsidP="00974247">
            <w:pPr>
              <w:pStyle w:val="DHHSbody"/>
              <w:rPr>
                <w:b/>
              </w:rPr>
            </w:pPr>
          </w:p>
        </w:tc>
        <w:tc>
          <w:tcPr>
            <w:tcW w:w="3401" w:type="dxa"/>
          </w:tcPr>
          <w:p w14:paraId="562DD7BF" w14:textId="77777777" w:rsidR="00E166B8" w:rsidRPr="009A34E1" w:rsidRDefault="00E166B8" w:rsidP="00974247">
            <w:pPr>
              <w:pStyle w:val="DHHSbody"/>
              <w:rPr>
                <w:b/>
              </w:rPr>
            </w:pPr>
          </w:p>
        </w:tc>
        <w:tc>
          <w:tcPr>
            <w:tcW w:w="3117" w:type="dxa"/>
          </w:tcPr>
          <w:p w14:paraId="37BA8D42" w14:textId="77777777" w:rsidR="00E166B8" w:rsidRPr="009A34E1" w:rsidRDefault="00E166B8" w:rsidP="00974247">
            <w:pPr>
              <w:pStyle w:val="DHHSbody"/>
              <w:rPr>
                <w:b/>
              </w:rPr>
            </w:pPr>
          </w:p>
        </w:tc>
      </w:tr>
      <w:tr w:rsidR="00BE472F" w:rsidRPr="009A34E1" w14:paraId="59E5D8E5" w14:textId="77777777" w:rsidTr="001F53C6">
        <w:trPr>
          <w:trHeight w:val="341"/>
        </w:trPr>
        <w:tc>
          <w:tcPr>
            <w:tcW w:w="7655" w:type="dxa"/>
          </w:tcPr>
          <w:p w14:paraId="5BECEC2E" w14:textId="77777777" w:rsidR="00C91C8E" w:rsidRPr="009A34E1" w:rsidRDefault="00C91C8E" w:rsidP="00C91C8E">
            <w:pPr>
              <w:pStyle w:val="Body"/>
            </w:pPr>
            <w:r w:rsidRPr="009A34E1">
              <w:t>Health services must use treat-in-turn principles when offering standby options.</w:t>
            </w:r>
          </w:p>
          <w:p w14:paraId="49040B71" w14:textId="071B9F58" w:rsidR="00BE472F" w:rsidRPr="009A34E1" w:rsidRDefault="00C91C8E" w:rsidP="00C91C8E">
            <w:pPr>
              <w:rPr>
                <w:rFonts w:eastAsia="Times" w:cs="Arial"/>
                <w:szCs w:val="21"/>
              </w:rPr>
            </w:pPr>
            <w:r w:rsidRPr="009A34E1">
              <w:rPr>
                <w:rFonts w:eastAsia="Times" w:cs="Arial"/>
                <w:szCs w:val="21"/>
              </w:rPr>
              <w:lastRenderedPageBreak/>
              <w:t xml:space="preserve">Health services should support all patients to access standby lists. Patients who need support for cultural safety, language or disability should not be excluded from accessing the standby list due to their circumstances. </w:t>
            </w:r>
          </w:p>
        </w:tc>
        <w:tc>
          <w:tcPr>
            <w:tcW w:w="711" w:type="dxa"/>
          </w:tcPr>
          <w:p w14:paraId="3B37BE3A" w14:textId="77777777" w:rsidR="00BE472F" w:rsidRPr="009A34E1" w:rsidRDefault="00BE472F" w:rsidP="00974247">
            <w:pPr>
              <w:pStyle w:val="DHHSbody"/>
              <w:rPr>
                <w:b/>
              </w:rPr>
            </w:pPr>
          </w:p>
        </w:tc>
        <w:tc>
          <w:tcPr>
            <w:tcW w:w="3401" w:type="dxa"/>
          </w:tcPr>
          <w:p w14:paraId="6489782E" w14:textId="77777777" w:rsidR="00BE472F" w:rsidRPr="009A34E1" w:rsidRDefault="00BE472F" w:rsidP="00974247">
            <w:pPr>
              <w:pStyle w:val="DHHSbody"/>
              <w:rPr>
                <w:b/>
              </w:rPr>
            </w:pPr>
          </w:p>
        </w:tc>
        <w:tc>
          <w:tcPr>
            <w:tcW w:w="3117" w:type="dxa"/>
          </w:tcPr>
          <w:p w14:paraId="08D476FF" w14:textId="77777777" w:rsidR="00BE472F" w:rsidRPr="009A34E1" w:rsidRDefault="00BE472F" w:rsidP="00974247">
            <w:pPr>
              <w:pStyle w:val="DHHSbody"/>
              <w:rPr>
                <w:b/>
              </w:rPr>
            </w:pPr>
          </w:p>
        </w:tc>
      </w:tr>
      <w:tr w:rsidR="0046035E" w:rsidRPr="009A34E1" w14:paraId="3B8731B8" w14:textId="77777777" w:rsidTr="001F53C6">
        <w:trPr>
          <w:trHeight w:val="341"/>
        </w:trPr>
        <w:tc>
          <w:tcPr>
            <w:tcW w:w="7655" w:type="dxa"/>
          </w:tcPr>
          <w:p w14:paraId="7158C37D" w14:textId="77777777" w:rsidR="002B55A3" w:rsidRPr="009A34E1" w:rsidRDefault="002B55A3" w:rsidP="002B55A3">
            <w:pPr>
              <w:rPr>
                <w:rFonts w:eastAsia="Calibri" w:cs="Arial"/>
                <w:szCs w:val="21"/>
              </w:rPr>
            </w:pPr>
            <w:r w:rsidRPr="009A34E1">
              <w:rPr>
                <w:rFonts w:eastAsia="Calibri" w:cs="Arial"/>
                <w:szCs w:val="21"/>
              </w:rPr>
              <w:t>Health services must confirm and document that the patient:</w:t>
            </w:r>
          </w:p>
          <w:p w14:paraId="7550784F" w14:textId="77777777" w:rsidR="002B55A3" w:rsidRPr="009A34E1" w:rsidRDefault="002B55A3" w:rsidP="002B55A3">
            <w:pPr>
              <w:pStyle w:val="Bullet1"/>
            </w:pPr>
            <w:r w:rsidRPr="009A34E1">
              <w:t xml:space="preserve">agrees to be on a standby </w:t>
            </w:r>
            <w:proofErr w:type="gramStart"/>
            <w:r w:rsidRPr="009A34E1">
              <w:t>list</w:t>
            </w:r>
            <w:proofErr w:type="gramEnd"/>
          </w:p>
          <w:p w14:paraId="2B24701A" w14:textId="77777777" w:rsidR="002B55A3" w:rsidRPr="009A34E1" w:rsidRDefault="002B55A3" w:rsidP="002B55A3">
            <w:pPr>
              <w:pStyle w:val="Bullet1"/>
              <w:numPr>
                <w:ilvl w:val="0"/>
                <w:numId w:val="13"/>
              </w:numPr>
            </w:pPr>
            <w:r w:rsidRPr="009A34E1">
              <w:t xml:space="preserve">agrees to the minimum notice they will be given and that they will attend the service in person or via virtual care options within the agreed level of </w:t>
            </w:r>
            <w:proofErr w:type="gramStart"/>
            <w:r w:rsidRPr="009A34E1">
              <w:t>notice</w:t>
            </w:r>
            <w:proofErr w:type="gramEnd"/>
          </w:p>
          <w:p w14:paraId="7776AF17" w14:textId="5CB8D210" w:rsidR="0046035E" w:rsidRPr="009A34E1" w:rsidRDefault="002B55A3" w:rsidP="002B55A3">
            <w:pPr>
              <w:pStyle w:val="Bullet1"/>
            </w:pPr>
            <w:r w:rsidRPr="009A34E1">
              <w:t>can easily be contacted via their preferred method of communication.</w:t>
            </w:r>
          </w:p>
        </w:tc>
        <w:tc>
          <w:tcPr>
            <w:tcW w:w="711" w:type="dxa"/>
          </w:tcPr>
          <w:p w14:paraId="1F27F932" w14:textId="77777777" w:rsidR="0046035E" w:rsidRPr="009A34E1" w:rsidRDefault="0046035E" w:rsidP="00974247">
            <w:pPr>
              <w:pStyle w:val="DHHSbody"/>
              <w:rPr>
                <w:b/>
              </w:rPr>
            </w:pPr>
          </w:p>
        </w:tc>
        <w:tc>
          <w:tcPr>
            <w:tcW w:w="3401" w:type="dxa"/>
          </w:tcPr>
          <w:p w14:paraId="5B8FC61C" w14:textId="77777777" w:rsidR="0046035E" w:rsidRPr="009A34E1" w:rsidRDefault="0046035E" w:rsidP="00974247">
            <w:pPr>
              <w:pStyle w:val="DHHSbody"/>
              <w:rPr>
                <w:b/>
              </w:rPr>
            </w:pPr>
          </w:p>
        </w:tc>
        <w:tc>
          <w:tcPr>
            <w:tcW w:w="3117" w:type="dxa"/>
          </w:tcPr>
          <w:p w14:paraId="35AFFCEF" w14:textId="77777777" w:rsidR="0046035E" w:rsidRPr="009A34E1" w:rsidRDefault="0046035E" w:rsidP="00974247">
            <w:pPr>
              <w:pStyle w:val="DHHSbody"/>
              <w:rPr>
                <w:b/>
              </w:rPr>
            </w:pPr>
          </w:p>
        </w:tc>
      </w:tr>
      <w:tr w:rsidR="00974247" w:rsidRPr="009A34E1" w14:paraId="14A08F67" w14:textId="77777777" w:rsidTr="001F53C6">
        <w:trPr>
          <w:trHeight w:val="341"/>
        </w:trPr>
        <w:tc>
          <w:tcPr>
            <w:tcW w:w="7655" w:type="dxa"/>
          </w:tcPr>
          <w:p w14:paraId="2307A384" w14:textId="6865E3D3" w:rsidR="00974247" w:rsidRPr="009A34E1" w:rsidRDefault="00763B0A" w:rsidP="00763B0A">
            <w:pPr>
              <w:pStyle w:val="Bodyafterbullets"/>
            </w:pPr>
            <w:r w:rsidRPr="009A34E1">
              <w:t>It is not considered deferment if the patient declines to go on a standby list. This should not affect their categorisation. They should not be removed from the preparation list.</w:t>
            </w:r>
          </w:p>
        </w:tc>
        <w:tc>
          <w:tcPr>
            <w:tcW w:w="711" w:type="dxa"/>
          </w:tcPr>
          <w:p w14:paraId="7718B4F9" w14:textId="77777777" w:rsidR="00974247" w:rsidRPr="009A34E1" w:rsidRDefault="00974247" w:rsidP="00974247">
            <w:pPr>
              <w:pStyle w:val="DHHSbody"/>
              <w:rPr>
                <w:b/>
              </w:rPr>
            </w:pPr>
          </w:p>
        </w:tc>
        <w:tc>
          <w:tcPr>
            <w:tcW w:w="3401" w:type="dxa"/>
          </w:tcPr>
          <w:p w14:paraId="7F5FEB85" w14:textId="77777777" w:rsidR="00974247" w:rsidRPr="009A34E1" w:rsidRDefault="00974247" w:rsidP="00974247">
            <w:pPr>
              <w:pStyle w:val="DHHSbody"/>
              <w:rPr>
                <w:b/>
              </w:rPr>
            </w:pPr>
          </w:p>
        </w:tc>
        <w:tc>
          <w:tcPr>
            <w:tcW w:w="3117" w:type="dxa"/>
          </w:tcPr>
          <w:p w14:paraId="0164D734" w14:textId="77777777" w:rsidR="00974247" w:rsidRPr="009A34E1" w:rsidRDefault="00974247" w:rsidP="00974247">
            <w:pPr>
              <w:pStyle w:val="DHHSbody"/>
              <w:rPr>
                <w:b/>
              </w:rPr>
            </w:pPr>
          </w:p>
        </w:tc>
      </w:tr>
      <w:tr w:rsidR="00B27331" w:rsidRPr="009A34E1" w14:paraId="6FB24735" w14:textId="77777777" w:rsidTr="001F53C6">
        <w:trPr>
          <w:trHeight w:val="341"/>
        </w:trPr>
        <w:tc>
          <w:tcPr>
            <w:tcW w:w="7655" w:type="dxa"/>
          </w:tcPr>
          <w:p w14:paraId="280DB125" w14:textId="0B954E7F" w:rsidR="00B27331" w:rsidRPr="009A34E1" w:rsidRDefault="000F7F6A" w:rsidP="00893CE0">
            <w:pPr>
              <w:rPr>
                <w:rFonts w:eastAsia="Calibri"/>
                <w:highlight w:val="yellow"/>
              </w:rPr>
            </w:pPr>
            <w:r w:rsidRPr="009A34E1">
              <w:t xml:space="preserve">Requirements in Section </w:t>
            </w:r>
            <w:r w:rsidR="006E5989" w:rsidRPr="009A34E1">
              <w:t>7.3.2 apply i</w:t>
            </w:r>
            <w:r w:rsidR="00CB4CCA" w:rsidRPr="009A34E1">
              <w:t>f regionalised preparation lists are used for a surgical or procedural speciality</w:t>
            </w:r>
            <w:r w:rsidR="006E5989" w:rsidRPr="009A34E1">
              <w:t>.</w:t>
            </w:r>
          </w:p>
        </w:tc>
        <w:tc>
          <w:tcPr>
            <w:tcW w:w="711" w:type="dxa"/>
          </w:tcPr>
          <w:p w14:paraId="3051B25B" w14:textId="77777777" w:rsidR="00B27331" w:rsidRPr="009A34E1" w:rsidRDefault="00B27331" w:rsidP="00974247">
            <w:pPr>
              <w:pStyle w:val="DHHSbody"/>
              <w:rPr>
                <w:b/>
              </w:rPr>
            </w:pPr>
          </w:p>
        </w:tc>
        <w:tc>
          <w:tcPr>
            <w:tcW w:w="3401" w:type="dxa"/>
          </w:tcPr>
          <w:p w14:paraId="493425B3" w14:textId="77777777" w:rsidR="00B27331" w:rsidRPr="009A34E1" w:rsidRDefault="00B27331" w:rsidP="00974247">
            <w:pPr>
              <w:pStyle w:val="DHHSbody"/>
              <w:rPr>
                <w:b/>
              </w:rPr>
            </w:pPr>
          </w:p>
        </w:tc>
        <w:tc>
          <w:tcPr>
            <w:tcW w:w="3117" w:type="dxa"/>
          </w:tcPr>
          <w:p w14:paraId="7097194B" w14:textId="77777777" w:rsidR="00B27331" w:rsidRPr="009A34E1" w:rsidRDefault="00B27331" w:rsidP="00974247">
            <w:pPr>
              <w:pStyle w:val="DHHSbody"/>
              <w:rPr>
                <w:b/>
              </w:rPr>
            </w:pPr>
          </w:p>
        </w:tc>
      </w:tr>
      <w:tr w:rsidR="00974247" w:rsidRPr="009A34E1" w14:paraId="1AFEAB0F" w14:textId="77777777" w:rsidTr="001F53C6">
        <w:trPr>
          <w:trHeight w:val="341"/>
        </w:trPr>
        <w:tc>
          <w:tcPr>
            <w:tcW w:w="7655" w:type="dxa"/>
          </w:tcPr>
          <w:p w14:paraId="077165CF" w14:textId="311CAED0" w:rsidR="00974247" w:rsidRPr="009A34E1" w:rsidRDefault="00216ABC" w:rsidP="00893CE0">
            <w:pPr>
              <w:rPr>
                <w:rFonts w:eastAsia="Times"/>
              </w:rPr>
            </w:pPr>
            <w:r w:rsidRPr="009A34E1">
              <w:rPr>
                <w:rFonts w:eastAsia="Times"/>
              </w:rPr>
              <w:t xml:space="preserve">Health services must inform the patient about </w:t>
            </w:r>
            <w:r w:rsidR="00294261" w:rsidRPr="009A34E1">
              <w:rPr>
                <w:rFonts w:eastAsia="Times"/>
              </w:rPr>
              <w:t>a</w:t>
            </w:r>
            <w:r w:rsidR="0032695D" w:rsidRPr="009A34E1">
              <w:rPr>
                <w:rFonts w:eastAsia="Times"/>
              </w:rPr>
              <w:t>ny</w:t>
            </w:r>
            <w:r w:rsidRPr="009A34E1">
              <w:rPr>
                <w:rFonts w:eastAsia="Times"/>
              </w:rPr>
              <w:t xml:space="preserve"> postponement as early as possible using the patient’s preferred method of communication.</w:t>
            </w:r>
            <w:r w:rsidRPr="009A34E1">
              <w:t xml:space="preserve"> If the postponement occurs at short notice, health services must confirm the patient is notified. This</w:t>
            </w:r>
            <w:r w:rsidRPr="009A34E1">
              <w:rPr>
                <w:rFonts w:eastAsia="Times"/>
              </w:rPr>
              <w:t xml:space="preserve"> must be documented in the patient’s health record.</w:t>
            </w:r>
            <w:r w:rsidRPr="009A34E1">
              <w:t xml:space="preserve"> </w:t>
            </w:r>
          </w:p>
        </w:tc>
        <w:tc>
          <w:tcPr>
            <w:tcW w:w="711" w:type="dxa"/>
          </w:tcPr>
          <w:p w14:paraId="245B6661" w14:textId="77777777" w:rsidR="00974247" w:rsidRPr="009A34E1" w:rsidRDefault="00974247" w:rsidP="00974247">
            <w:pPr>
              <w:pStyle w:val="DHHSbody"/>
              <w:rPr>
                <w:b/>
              </w:rPr>
            </w:pPr>
          </w:p>
        </w:tc>
        <w:tc>
          <w:tcPr>
            <w:tcW w:w="3401" w:type="dxa"/>
          </w:tcPr>
          <w:p w14:paraId="61736935" w14:textId="77777777" w:rsidR="00974247" w:rsidRPr="009A34E1" w:rsidRDefault="00974247" w:rsidP="00974247">
            <w:pPr>
              <w:pStyle w:val="DHHSbody"/>
              <w:rPr>
                <w:b/>
              </w:rPr>
            </w:pPr>
          </w:p>
        </w:tc>
        <w:tc>
          <w:tcPr>
            <w:tcW w:w="3117" w:type="dxa"/>
          </w:tcPr>
          <w:p w14:paraId="23980B85" w14:textId="77777777" w:rsidR="00974247" w:rsidRPr="009A34E1" w:rsidRDefault="00974247" w:rsidP="00974247">
            <w:pPr>
              <w:pStyle w:val="DHHSbody"/>
              <w:rPr>
                <w:b/>
              </w:rPr>
            </w:pPr>
          </w:p>
        </w:tc>
      </w:tr>
      <w:tr w:rsidR="00974247" w:rsidRPr="009A34E1" w14:paraId="6CE292FD" w14:textId="77777777" w:rsidTr="001F53C6">
        <w:trPr>
          <w:trHeight w:val="341"/>
        </w:trPr>
        <w:tc>
          <w:tcPr>
            <w:tcW w:w="7655" w:type="dxa"/>
          </w:tcPr>
          <w:p w14:paraId="36F52BB3" w14:textId="30531A08" w:rsidR="00974247" w:rsidRPr="009A34E1" w:rsidRDefault="00002C36" w:rsidP="00974247">
            <w:pPr>
              <w:pStyle w:val="Tabletext"/>
              <w:rPr>
                <w:b/>
                <w:bCs/>
                <w:color w:val="0033CC"/>
              </w:rPr>
            </w:pPr>
            <w:r w:rsidRPr="009A34E1">
              <w:rPr>
                <w:rFonts w:eastAsia="Times" w:cs="Arial"/>
                <w:szCs w:val="21"/>
              </w:rPr>
              <w:t>Health services should acknowledge the inconvenience that can be caused by hospital-initiated postponements in their communication with patients. This includes the significant inconvenience if there have been multiple postponements</w:t>
            </w:r>
            <w:r w:rsidR="00232737" w:rsidRPr="009A34E1">
              <w:rPr>
                <w:rFonts w:eastAsia="Times" w:cs="Arial"/>
                <w:szCs w:val="21"/>
              </w:rPr>
              <w:t>.</w:t>
            </w:r>
          </w:p>
        </w:tc>
        <w:tc>
          <w:tcPr>
            <w:tcW w:w="711" w:type="dxa"/>
          </w:tcPr>
          <w:p w14:paraId="769A5647" w14:textId="77777777" w:rsidR="00974247" w:rsidRPr="009A34E1" w:rsidRDefault="00974247" w:rsidP="00974247">
            <w:pPr>
              <w:pStyle w:val="DHHSbody"/>
              <w:rPr>
                <w:b/>
              </w:rPr>
            </w:pPr>
          </w:p>
        </w:tc>
        <w:tc>
          <w:tcPr>
            <w:tcW w:w="3401" w:type="dxa"/>
          </w:tcPr>
          <w:p w14:paraId="19ECE359" w14:textId="77777777" w:rsidR="00974247" w:rsidRPr="009A34E1" w:rsidRDefault="00974247" w:rsidP="00974247">
            <w:pPr>
              <w:pStyle w:val="DHHSbody"/>
              <w:rPr>
                <w:b/>
              </w:rPr>
            </w:pPr>
          </w:p>
        </w:tc>
        <w:tc>
          <w:tcPr>
            <w:tcW w:w="3117" w:type="dxa"/>
          </w:tcPr>
          <w:p w14:paraId="2FDA830F" w14:textId="77777777" w:rsidR="00974247" w:rsidRPr="009A34E1" w:rsidRDefault="00974247" w:rsidP="00974247">
            <w:pPr>
              <w:pStyle w:val="DHHSbody"/>
              <w:rPr>
                <w:b/>
              </w:rPr>
            </w:pPr>
          </w:p>
        </w:tc>
      </w:tr>
      <w:tr w:rsidR="00974247" w:rsidRPr="009A34E1" w14:paraId="3017A14C" w14:textId="77777777" w:rsidTr="001F53C6">
        <w:trPr>
          <w:trHeight w:val="341"/>
        </w:trPr>
        <w:tc>
          <w:tcPr>
            <w:tcW w:w="7655" w:type="dxa"/>
          </w:tcPr>
          <w:p w14:paraId="4B2DEB1F" w14:textId="36E4B267" w:rsidR="00974247" w:rsidRPr="009A34E1" w:rsidRDefault="00232737" w:rsidP="00477156">
            <w:pPr>
              <w:rPr>
                <w:rFonts w:eastAsia="Times" w:cs="Arial"/>
                <w:szCs w:val="21"/>
              </w:rPr>
            </w:pPr>
            <w:r w:rsidRPr="009A34E1">
              <w:rPr>
                <w:rFonts w:eastAsia="Times" w:cs="Arial"/>
                <w:szCs w:val="21"/>
              </w:rPr>
              <w:t xml:space="preserve">Health services should offer reasonable assistance to inconvenienced patients, </w:t>
            </w:r>
            <w:proofErr w:type="gramStart"/>
            <w:r w:rsidRPr="009A34E1">
              <w:rPr>
                <w:rFonts w:eastAsia="Times" w:cs="Arial"/>
                <w:szCs w:val="21"/>
              </w:rPr>
              <w:t>families</w:t>
            </w:r>
            <w:proofErr w:type="gramEnd"/>
            <w:r w:rsidRPr="009A34E1">
              <w:rPr>
                <w:rFonts w:eastAsia="Times" w:cs="Arial"/>
                <w:szCs w:val="21"/>
              </w:rPr>
              <w:t xml:space="preserve"> and unpaid carers when surgical care is postponed on the day of admission.</w:t>
            </w:r>
          </w:p>
        </w:tc>
        <w:tc>
          <w:tcPr>
            <w:tcW w:w="711" w:type="dxa"/>
          </w:tcPr>
          <w:p w14:paraId="3BA1DDCD" w14:textId="77777777" w:rsidR="00974247" w:rsidRPr="009A34E1" w:rsidRDefault="00974247" w:rsidP="00974247">
            <w:pPr>
              <w:pStyle w:val="DHHSbody"/>
              <w:rPr>
                <w:b/>
              </w:rPr>
            </w:pPr>
          </w:p>
        </w:tc>
        <w:tc>
          <w:tcPr>
            <w:tcW w:w="3401" w:type="dxa"/>
          </w:tcPr>
          <w:p w14:paraId="4BC6DDA2" w14:textId="77777777" w:rsidR="00974247" w:rsidRPr="009A34E1" w:rsidRDefault="00974247" w:rsidP="00974247">
            <w:pPr>
              <w:pStyle w:val="DHHSbody"/>
              <w:rPr>
                <w:b/>
              </w:rPr>
            </w:pPr>
          </w:p>
        </w:tc>
        <w:tc>
          <w:tcPr>
            <w:tcW w:w="3117" w:type="dxa"/>
          </w:tcPr>
          <w:p w14:paraId="273179BA" w14:textId="77777777" w:rsidR="00974247" w:rsidRPr="009A34E1" w:rsidRDefault="00974247" w:rsidP="00974247">
            <w:pPr>
              <w:pStyle w:val="DHHSbody"/>
              <w:rPr>
                <w:b/>
              </w:rPr>
            </w:pPr>
          </w:p>
        </w:tc>
      </w:tr>
      <w:tr w:rsidR="006070B2" w:rsidRPr="009A34E1" w14:paraId="57257B25" w14:textId="77777777" w:rsidTr="001F53C6">
        <w:trPr>
          <w:trHeight w:val="341"/>
        </w:trPr>
        <w:tc>
          <w:tcPr>
            <w:tcW w:w="7655" w:type="dxa"/>
          </w:tcPr>
          <w:p w14:paraId="4E43491B" w14:textId="38601B26" w:rsidR="006070B2" w:rsidRPr="009A34E1" w:rsidRDefault="00817A40" w:rsidP="006070B2">
            <w:pPr>
              <w:rPr>
                <w:rFonts w:eastAsia="Times" w:cs="Arial"/>
                <w:b/>
                <w:bCs/>
                <w:szCs w:val="21"/>
              </w:rPr>
            </w:pPr>
            <w:r w:rsidRPr="009A34E1">
              <w:rPr>
                <w:rFonts w:eastAsia="Times" w:cs="Arial"/>
                <w:szCs w:val="21"/>
              </w:rPr>
              <w:t>A hospital-initiated delay must not affect a patient’s time to treatment or change their ‘ready for surgery’ status.</w:t>
            </w:r>
            <w:r w:rsidRPr="009A34E1">
              <w:rPr>
                <w:rFonts w:eastAsia="Times" w:cs="Arial"/>
                <w:b/>
                <w:bCs/>
                <w:szCs w:val="21"/>
              </w:rPr>
              <w:t xml:space="preserve"> </w:t>
            </w:r>
          </w:p>
        </w:tc>
        <w:tc>
          <w:tcPr>
            <w:tcW w:w="711" w:type="dxa"/>
          </w:tcPr>
          <w:p w14:paraId="065862A2" w14:textId="77777777" w:rsidR="006070B2" w:rsidRPr="009A34E1" w:rsidRDefault="006070B2" w:rsidP="006070B2">
            <w:pPr>
              <w:pStyle w:val="DHHSbody"/>
              <w:rPr>
                <w:b/>
              </w:rPr>
            </w:pPr>
          </w:p>
        </w:tc>
        <w:tc>
          <w:tcPr>
            <w:tcW w:w="3401" w:type="dxa"/>
          </w:tcPr>
          <w:p w14:paraId="07CCA1D1" w14:textId="77777777" w:rsidR="006070B2" w:rsidRPr="009A34E1" w:rsidRDefault="006070B2" w:rsidP="006070B2">
            <w:pPr>
              <w:pStyle w:val="DHHSbody"/>
              <w:rPr>
                <w:b/>
              </w:rPr>
            </w:pPr>
          </w:p>
        </w:tc>
        <w:tc>
          <w:tcPr>
            <w:tcW w:w="3117" w:type="dxa"/>
          </w:tcPr>
          <w:p w14:paraId="506894E8" w14:textId="77777777" w:rsidR="006070B2" w:rsidRPr="009A34E1" w:rsidRDefault="006070B2" w:rsidP="006070B2">
            <w:pPr>
              <w:pStyle w:val="DHHSbody"/>
              <w:rPr>
                <w:b/>
              </w:rPr>
            </w:pPr>
          </w:p>
        </w:tc>
      </w:tr>
      <w:tr w:rsidR="006070B2" w:rsidRPr="009A34E1" w14:paraId="03A90ABE" w14:textId="77777777" w:rsidTr="001F53C6">
        <w:trPr>
          <w:trHeight w:val="341"/>
        </w:trPr>
        <w:tc>
          <w:tcPr>
            <w:tcW w:w="7655" w:type="dxa"/>
          </w:tcPr>
          <w:p w14:paraId="5DBE00B7" w14:textId="77777777" w:rsidR="00A07907" w:rsidRPr="009A34E1" w:rsidRDefault="00A07907" w:rsidP="00A07907">
            <w:pPr>
              <w:rPr>
                <w:rFonts w:eastAsia="Times" w:cs="Arial"/>
                <w:szCs w:val="21"/>
              </w:rPr>
            </w:pPr>
            <w:r w:rsidRPr="009A34E1">
              <w:rPr>
                <w:rFonts w:eastAsia="Times" w:cs="Arial"/>
                <w:szCs w:val="21"/>
              </w:rPr>
              <w:lastRenderedPageBreak/>
              <w:t>Hospital-initiated postponements that occur within two weeks of a patient’s scheduled date of surgery must:</w:t>
            </w:r>
          </w:p>
          <w:p w14:paraId="5D2E5694" w14:textId="77777777" w:rsidR="00A07907" w:rsidRPr="009A34E1" w:rsidRDefault="00A07907" w:rsidP="00A07907">
            <w:pPr>
              <w:pStyle w:val="Bullet1"/>
            </w:pPr>
            <w:r w:rsidRPr="009A34E1">
              <w:t xml:space="preserve">be approved by the head of unit or relevant executive of the health </w:t>
            </w:r>
            <w:proofErr w:type="gramStart"/>
            <w:r w:rsidRPr="009A34E1">
              <w:t>service</w:t>
            </w:r>
            <w:proofErr w:type="gramEnd"/>
          </w:p>
          <w:p w14:paraId="55BC4D65" w14:textId="77777777" w:rsidR="00A07907" w:rsidRPr="009A34E1" w:rsidRDefault="00A07907" w:rsidP="00A07907">
            <w:pPr>
              <w:pStyle w:val="Bullet1"/>
            </w:pPr>
            <w:r w:rsidRPr="009A34E1">
              <w:t xml:space="preserve">include the reason for the postponement and the process for </w:t>
            </w:r>
            <w:proofErr w:type="gramStart"/>
            <w:r w:rsidRPr="009A34E1">
              <w:t>rescheduling</w:t>
            </w:r>
            <w:proofErr w:type="gramEnd"/>
          </w:p>
          <w:p w14:paraId="33F20F88" w14:textId="77777777" w:rsidR="00A07907" w:rsidRPr="009A34E1" w:rsidRDefault="00A07907" w:rsidP="00A07907">
            <w:pPr>
              <w:pStyle w:val="Bullet1"/>
            </w:pPr>
            <w:r w:rsidRPr="009A34E1">
              <w:t xml:space="preserve">record the name of the clinician authorising the change of scheduled admission </w:t>
            </w:r>
            <w:proofErr w:type="gramStart"/>
            <w:r w:rsidRPr="009A34E1">
              <w:t>date</w:t>
            </w:r>
            <w:proofErr w:type="gramEnd"/>
          </w:p>
          <w:p w14:paraId="684AA733" w14:textId="77777777" w:rsidR="00A07907" w:rsidRPr="009A34E1" w:rsidRDefault="00A07907" w:rsidP="00A07907">
            <w:pPr>
              <w:pStyle w:val="Bullet1"/>
            </w:pPr>
            <w:r w:rsidRPr="009A34E1">
              <w:t>include the rescheduled admission date (if known)</w:t>
            </w:r>
          </w:p>
          <w:p w14:paraId="12FD44B8" w14:textId="77777777" w:rsidR="00A07907" w:rsidRPr="009A34E1" w:rsidRDefault="00A07907" w:rsidP="00A07907">
            <w:pPr>
              <w:pStyle w:val="Bullet1"/>
            </w:pPr>
            <w:r w:rsidRPr="009A34E1">
              <w:t>include an offer of a new date for admission to the patient within:</w:t>
            </w:r>
          </w:p>
          <w:p w14:paraId="1941FD9E" w14:textId="77777777" w:rsidR="00A07907" w:rsidRPr="009A34E1" w:rsidRDefault="00A07907" w:rsidP="004F34CB">
            <w:pPr>
              <w:pStyle w:val="Bullet1"/>
              <w:numPr>
                <w:ilvl w:val="0"/>
                <w:numId w:val="22"/>
              </w:numPr>
              <w:ind w:left="600"/>
            </w:pPr>
            <w:bookmarkStart w:id="5" w:name="_Hlk145055434"/>
            <w:r w:rsidRPr="009A34E1">
              <w:t xml:space="preserve">3 working days for category 1 </w:t>
            </w:r>
          </w:p>
          <w:p w14:paraId="13AB67C6" w14:textId="77777777" w:rsidR="00A07907" w:rsidRPr="009A34E1" w:rsidRDefault="00A07907" w:rsidP="004F34CB">
            <w:pPr>
              <w:pStyle w:val="Bullet1"/>
              <w:numPr>
                <w:ilvl w:val="0"/>
                <w:numId w:val="22"/>
              </w:numPr>
              <w:ind w:left="600"/>
            </w:pPr>
            <w:r w:rsidRPr="009A34E1">
              <w:t>10 working days for category 2 and 3</w:t>
            </w:r>
          </w:p>
          <w:bookmarkEnd w:id="5"/>
          <w:p w14:paraId="31B8D472" w14:textId="77777777" w:rsidR="00A07907" w:rsidRPr="009A34E1" w:rsidRDefault="00A07907" w:rsidP="00A07907">
            <w:pPr>
              <w:pStyle w:val="Bullet1"/>
            </w:pPr>
            <w:r w:rsidRPr="009A34E1">
              <w:t xml:space="preserve">inform the requesting clinician, the patient and the patient’s nominated GP of the scheduled or rescheduled date of the procedure no later than: </w:t>
            </w:r>
          </w:p>
          <w:p w14:paraId="1ABAF820" w14:textId="77777777" w:rsidR="00A07907" w:rsidRPr="009A34E1" w:rsidRDefault="00A07907" w:rsidP="005E5F20">
            <w:pPr>
              <w:pStyle w:val="Bullet1"/>
              <w:numPr>
                <w:ilvl w:val="0"/>
                <w:numId w:val="23"/>
              </w:numPr>
              <w:ind w:left="600"/>
            </w:pPr>
            <w:r w:rsidRPr="009A34E1">
              <w:t xml:space="preserve">3 working days for category 1 </w:t>
            </w:r>
          </w:p>
          <w:p w14:paraId="37AD9131" w14:textId="48CC111B" w:rsidR="006070B2" w:rsidRPr="009A34E1" w:rsidRDefault="00A07907" w:rsidP="005E5F20">
            <w:pPr>
              <w:pStyle w:val="Bullet1"/>
              <w:numPr>
                <w:ilvl w:val="0"/>
                <w:numId w:val="23"/>
              </w:numPr>
              <w:ind w:left="600"/>
            </w:pPr>
            <w:r w:rsidRPr="009A34E1">
              <w:t>10 working days for category 2 and 3.</w:t>
            </w:r>
          </w:p>
        </w:tc>
        <w:tc>
          <w:tcPr>
            <w:tcW w:w="711" w:type="dxa"/>
          </w:tcPr>
          <w:p w14:paraId="18A7DAE5" w14:textId="77777777" w:rsidR="006070B2" w:rsidRPr="009A34E1" w:rsidRDefault="006070B2" w:rsidP="006070B2">
            <w:pPr>
              <w:pStyle w:val="DHHSbody"/>
              <w:rPr>
                <w:b/>
              </w:rPr>
            </w:pPr>
          </w:p>
        </w:tc>
        <w:tc>
          <w:tcPr>
            <w:tcW w:w="3401" w:type="dxa"/>
          </w:tcPr>
          <w:p w14:paraId="7A8551B7" w14:textId="77777777" w:rsidR="006070B2" w:rsidRPr="009A34E1" w:rsidRDefault="006070B2" w:rsidP="006070B2">
            <w:pPr>
              <w:pStyle w:val="DHHSbody"/>
              <w:rPr>
                <w:b/>
              </w:rPr>
            </w:pPr>
          </w:p>
        </w:tc>
        <w:tc>
          <w:tcPr>
            <w:tcW w:w="3117" w:type="dxa"/>
          </w:tcPr>
          <w:p w14:paraId="679CC11B" w14:textId="77777777" w:rsidR="006070B2" w:rsidRPr="009A34E1" w:rsidRDefault="006070B2" w:rsidP="006070B2">
            <w:pPr>
              <w:pStyle w:val="DHHSbody"/>
              <w:rPr>
                <w:b/>
              </w:rPr>
            </w:pPr>
          </w:p>
        </w:tc>
      </w:tr>
      <w:tr w:rsidR="003A5006" w:rsidRPr="009A34E1" w14:paraId="367B8088" w14:textId="77777777" w:rsidTr="001F53C6">
        <w:trPr>
          <w:trHeight w:val="341"/>
        </w:trPr>
        <w:tc>
          <w:tcPr>
            <w:tcW w:w="7655" w:type="dxa"/>
          </w:tcPr>
          <w:p w14:paraId="5E69DB2B" w14:textId="77777777" w:rsidR="003A5006" w:rsidRPr="009A34E1" w:rsidRDefault="003A5006" w:rsidP="003A5006">
            <w:pPr>
              <w:pStyle w:val="Body"/>
            </w:pPr>
            <w:r w:rsidRPr="009A34E1">
              <w:t>Health services must remove the request for the surgery or procedure where the patient has confirmed:</w:t>
            </w:r>
          </w:p>
          <w:p w14:paraId="1E09E926" w14:textId="77777777" w:rsidR="003A5006" w:rsidRPr="009A34E1" w:rsidRDefault="003A5006" w:rsidP="003A5006">
            <w:pPr>
              <w:pStyle w:val="Bullet1"/>
            </w:pPr>
            <w:r w:rsidRPr="009A34E1">
              <w:t xml:space="preserve">they no longer need the procedure because they have, or plan to, receive the procedure </w:t>
            </w:r>
            <w:proofErr w:type="gramStart"/>
            <w:r w:rsidRPr="009A34E1">
              <w:t>elsewhere</w:t>
            </w:r>
            <w:proofErr w:type="gramEnd"/>
          </w:p>
          <w:p w14:paraId="24CF5383" w14:textId="77777777" w:rsidR="003A5006" w:rsidRPr="009A34E1" w:rsidRDefault="003A5006" w:rsidP="003A5006">
            <w:pPr>
              <w:pStyle w:val="Bullet1"/>
            </w:pPr>
            <w:r w:rsidRPr="009A34E1">
              <w:t xml:space="preserve">their presenting problem has </w:t>
            </w:r>
            <w:proofErr w:type="gramStart"/>
            <w:r w:rsidRPr="009A34E1">
              <w:t>resolved</w:t>
            </w:r>
            <w:proofErr w:type="gramEnd"/>
          </w:p>
          <w:p w14:paraId="1657AF75" w14:textId="282EC1D8" w:rsidR="003A5006" w:rsidRPr="009A34E1" w:rsidRDefault="003A5006" w:rsidP="003A5006">
            <w:pPr>
              <w:pStyle w:val="Bullet1"/>
            </w:pPr>
            <w:r w:rsidRPr="009A34E1">
              <w:t>they no longer consent to treatment or no longer want to pursue treatment.</w:t>
            </w:r>
          </w:p>
        </w:tc>
        <w:tc>
          <w:tcPr>
            <w:tcW w:w="711" w:type="dxa"/>
          </w:tcPr>
          <w:p w14:paraId="3CF2CFBB" w14:textId="77777777" w:rsidR="003A5006" w:rsidRPr="009A34E1" w:rsidRDefault="003A5006" w:rsidP="006070B2">
            <w:pPr>
              <w:pStyle w:val="DHHSbody"/>
              <w:rPr>
                <w:b/>
              </w:rPr>
            </w:pPr>
          </w:p>
        </w:tc>
        <w:tc>
          <w:tcPr>
            <w:tcW w:w="3401" w:type="dxa"/>
          </w:tcPr>
          <w:p w14:paraId="4A180390" w14:textId="77777777" w:rsidR="003A5006" w:rsidRPr="009A34E1" w:rsidRDefault="003A5006" w:rsidP="006070B2">
            <w:pPr>
              <w:pStyle w:val="DHHSbody"/>
              <w:rPr>
                <w:b/>
              </w:rPr>
            </w:pPr>
          </w:p>
        </w:tc>
        <w:tc>
          <w:tcPr>
            <w:tcW w:w="3117" w:type="dxa"/>
          </w:tcPr>
          <w:p w14:paraId="164D81DC" w14:textId="77777777" w:rsidR="003A5006" w:rsidRPr="009A34E1" w:rsidRDefault="003A5006" w:rsidP="006070B2">
            <w:pPr>
              <w:pStyle w:val="DHHSbody"/>
              <w:rPr>
                <w:b/>
              </w:rPr>
            </w:pPr>
          </w:p>
        </w:tc>
      </w:tr>
      <w:tr w:rsidR="005872A9" w:rsidRPr="009A34E1" w14:paraId="033B8628" w14:textId="77777777" w:rsidTr="001F53C6">
        <w:trPr>
          <w:trHeight w:val="341"/>
        </w:trPr>
        <w:tc>
          <w:tcPr>
            <w:tcW w:w="7655" w:type="dxa"/>
          </w:tcPr>
          <w:p w14:paraId="1D965C6A" w14:textId="77777777" w:rsidR="005872A9" w:rsidRPr="009A34E1" w:rsidRDefault="005872A9" w:rsidP="005872A9">
            <w:pPr>
              <w:spacing w:before="120"/>
              <w:rPr>
                <w:rFonts w:eastAsia="Times"/>
              </w:rPr>
            </w:pPr>
            <w:r w:rsidRPr="009A34E1">
              <w:rPr>
                <w:rFonts w:eastAsia="Times"/>
              </w:rPr>
              <w:t>Health services should remove the patient from the preparation list if the patient has:</w:t>
            </w:r>
          </w:p>
          <w:p w14:paraId="2C64049C" w14:textId="77777777" w:rsidR="005872A9" w:rsidRPr="009A34E1" w:rsidRDefault="005872A9" w:rsidP="005872A9">
            <w:pPr>
              <w:pStyle w:val="Bullet1"/>
            </w:pPr>
            <w:r w:rsidRPr="009A34E1">
              <w:t xml:space="preserve">not responded to two separate invitations made using their preferred method of </w:t>
            </w:r>
            <w:proofErr w:type="gramStart"/>
            <w:r w:rsidRPr="009A34E1">
              <w:t>communication</w:t>
            </w:r>
            <w:proofErr w:type="gramEnd"/>
            <w:r w:rsidRPr="009A34E1">
              <w:t xml:space="preserve"> </w:t>
            </w:r>
          </w:p>
          <w:p w14:paraId="1411A4B3" w14:textId="77777777" w:rsidR="005872A9" w:rsidRPr="009A34E1" w:rsidRDefault="005872A9" w:rsidP="005872A9">
            <w:pPr>
              <w:pStyle w:val="Bullet1"/>
            </w:pPr>
            <w:r w:rsidRPr="009A34E1">
              <w:t xml:space="preserve">not accessed the tests or investigations that must be completed before the surgery, </w:t>
            </w:r>
            <w:proofErr w:type="gramStart"/>
            <w:r w:rsidRPr="009A34E1">
              <w:t>procedure</w:t>
            </w:r>
            <w:proofErr w:type="gramEnd"/>
            <w:r w:rsidRPr="009A34E1">
              <w:t xml:space="preserve"> or appointment, on two consecutive occasions.</w:t>
            </w:r>
          </w:p>
          <w:p w14:paraId="028C0FA4" w14:textId="2DDDC752" w:rsidR="005872A9" w:rsidRPr="009A34E1" w:rsidRDefault="005872A9" w:rsidP="00BF35EE">
            <w:pPr>
              <w:pStyle w:val="Bodyafterbullets"/>
            </w:pPr>
            <w:r w:rsidRPr="009A34E1">
              <w:lastRenderedPageBreak/>
              <w:t xml:space="preserve">Health services should exercise discretion to avoid disadvantaging patients who may be experiencing genuine hardship, </w:t>
            </w:r>
            <w:proofErr w:type="gramStart"/>
            <w:r w:rsidRPr="009A34E1">
              <w:t>misunderstandings</w:t>
            </w:r>
            <w:proofErr w:type="gramEnd"/>
            <w:r w:rsidRPr="009A34E1">
              <w:t xml:space="preserve"> or unavoidable circumstances.</w:t>
            </w:r>
          </w:p>
        </w:tc>
        <w:tc>
          <w:tcPr>
            <w:tcW w:w="711" w:type="dxa"/>
          </w:tcPr>
          <w:p w14:paraId="5240B422" w14:textId="77777777" w:rsidR="005872A9" w:rsidRPr="009A34E1" w:rsidRDefault="005872A9" w:rsidP="006070B2">
            <w:pPr>
              <w:pStyle w:val="DHHSbody"/>
              <w:rPr>
                <w:b/>
              </w:rPr>
            </w:pPr>
          </w:p>
        </w:tc>
        <w:tc>
          <w:tcPr>
            <w:tcW w:w="3401" w:type="dxa"/>
          </w:tcPr>
          <w:p w14:paraId="174B66FB" w14:textId="77777777" w:rsidR="005872A9" w:rsidRPr="009A34E1" w:rsidRDefault="005872A9" w:rsidP="006070B2">
            <w:pPr>
              <w:pStyle w:val="DHHSbody"/>
              <w:rPr>
                <w:b/>
              </w:rPr>
            </w:pPr>
          </w:p>
        </w:tc>
        <w:tc>
          <w:tcPr>
            <w:tcW w:w="3117" w:type="dxa"/>
          </w:tcPr>
          <w:p w14:paraId="42BA6182" w14:textId="77777777" w:rsidR="005872A9" w:rsidRPr="009A34E1" w:rsidRDefault="005872A9" w:rsidP="006070B2">
            <w:pPr>
              <w:pStyle w:val="DHHSbody"/>
              <w:rPr>
                <w:b/>
              </w:rPr>
            </w:pPr>
          </w:p>
        </w:tc>
      </w:tr>
      <w:tr w:rsidR="008042B5" w:rsidRPr="009A34E1" w14:paraId="27980C2E" w14:textId="77777777" w:rsidTr="001F53C6">
        <w:trPr>
          <w:trHeight w:val="341"/>
        </w:trPr>
        <w:tc>
          <w:tcPr>
            <w:tcW w:w="7655" w:type="dxa"/>
          </w:tcPr>
          <w:p w14:paraId="0F181588" w14:textId="77777777" w:rsidR="008042B5" w:rsidRPr="009A34E1" w:rsidRDefault="008042B5" w:rsidP="008042B5">
            <w:pPr>
              <w:pStyle w:val="Body"/>
              <w:rPr>
                <w:rFonts w:cs="Arial"/>
                <w:szCs w:val="21"/>
              </w:rPr>
            </w:pPr>
            <w:r w:rsidRPr="009A34E1">
              <w:rPr>
                <w:rFonts w:cs="Arial"/>
                <w:szCs w:val="21"/>
              </w:rPr>
              <w:t>Before removing a patient from the preparation list, a clinician of the health service who is directly involved in the patient’s care (for example, treating specialist medical practitioner, senior clinician) or the head of unit should confirm the circumstances. This applies except when:</w:t>
            </w:r>
          </w:p>
          <w:p w14:paraId="29FECD90" w14:textId="77777777" w:rsidR="008042B5" w:rsidRPr="009A34E1" w:rsidRDefault="008042B5" w:rsidP="008042B5">
            <w:pPr>
              <w:pStyle w:val="Bullet1"/>
            </w:pPr>
            <w:r w:rsidRPr="009A34E1">
              <w:t xml:space="preserve">the removal is because the patient has had the </w:t>
            </w:r>
            <w:proofErr w:type="gramStart"/>
            <w:r w:rsidRPr="009A34E1">
              <w:t>surgery</w:t>
            </w:r>
            <w:proofErr w:type="gramEnd"/>
          </w:p>
          <w:p w14:paraId="2F20C7E8" w14:textId="77777777" w:rsidR="008042B5" w:rsidRPr="009A34E1" w:rsidRDefault="008042B5" w:rsidP="008042B5">
            <w:pPr>
              <w:pStyle w:val="Bullet1"/>
            </w:pPr>
            <w:r w:rsidRPr="009A34E1">
              <w:t>the health service has been advised the patient is deceased.</w:t>
            </w:r>
            <w:bookmarkStart w:id="6" w:name="_Toc145062602"/>
          </w:p>
          <w:p w14:paraId="0997F342" w14:textId="5DBFFAB9" w:rsidR="008042B5" w:rsidRPr="009A34E1" w:rsidRDefault="008042B5" w:rsidP="008042B5">
            <w:pPr>
              <w:pStyle w:val="Bodyafterbullets"/>
            </w:pPr>
            <w:r w:rsidRPr="009A34E1">
              <w:t>If a patient is removed from the preparation list, the health service</w:t>
            </w:r>
            <w:r w:rsidRPr="009A34E1">
              <w:rPr>
                <w:b/>
                <w:bCs/>
              </w:rPr>
              <w:t xml:space="preserve"> </w:t>
            </w:r>
            <w:r w:rsidRPr="009A34E1">
              <w:t>must inform the requesting clinician, the patient and the patient’s nominated GP in writing using their preferred method of communication.</w:t>
            </w:r>
            <w:bookmarkEnd w:id="6"/>
          </w:p>
        </w:tc>
        <w:tc>
          <w:tcPr>
            <w:tcW w:w="711" w:type="dxa"/>
          </w:tcPr>
          <w:p w14:paraId="255BE187" w14:textId="77777777" w:rsidR="008042B5" w:rsidRPr="009A34E1" w:rsidRDefault="008042B5" w:rsidP="006070B2">
            <w:pPr>
              <w:pStyle w:val="DHHSbody"/>
              <w:rPr>
                <w:b/>
              </w:rPr>
            </w:pPr>
          </w:p>
        </w:tc>
        <w:tc>
          <w:tcPr>
            <w:tcW w:w="3401" w:type="dxa"/>
          </w:tcPr>
          <w:p w14:paraId="50E7B482" w14:textId="77777777" w:rsidR="008042B5" w:rsidRPr="009A34E1" w:rsidRDefault="008042B5" w:rsidP="006070B2">
            <w:pPr>
              <w:pStyle w:val="DHHSbody"/>
              <w:rPr>
                <w:b/>
              </w:rPr>
            </w:pPr>
          </w:p>
        </w:tc>
        <w:tc>
          <w:tcPr>
            <w:tcW w:w="3117" w:type="dxa"/>
          </w:tcPr>
          <w:p w14:paraId="6404CF78" w14:textId="77777777" w:rsidR="008042B5" w:rsidRPr="009A34E1" w:rsidRDefault="008042B5" w:rsidP="006070B2">
            <w:pPr>
              <w:pStyle w:val="DHHSbody"/>
              <w:rPr>
                <w:b/>
              </w:rPr>
            </w:pPr>
          </w:p>
        </w:tc>
      </w:tr>
      <w:tr w:rsidR="00793D6C" w:rsidRPr="009A34E1" w14:paraId="1924377B" w14:textId="77777777" w:rsidTr="001F53C6">
        <w:trPr>
          <w:trHeight w:val="341"/>
        </w:trPr>
        <w:tc>
          <w:tcPr>
            <w:tcW w:w="7655" w:type="dxa"/>
          </w:tcPr>
          <w:p w14:paraId="062C791A" w14:textId="4F187CD2" w:rsidR="0012423F" w:rsidRPr="009A34E1" w:rsidRDefault="0012423F" w:rsidP="0012423F">
            <w:pPr>
              <w:pStyle w:val="Bodyafterbullets"/>
            </w:pPr>
            <w:r w:rsidRPr="009A34E1">
              <w:t>Health services must document preparation list audits, including:</w:t>
            </w:r>
          </w:p>
          <w:p w14:paraId="732E9FC0" w14:textId="77777777" w:rsidR="0012423F" w:rsidRPr="009A34E1" w:rsidRDefault="0012423F" w:rsidP="0012423F">
            <w:pPr>
              <w:pStyle w:val="Bullet1"/>
            </w:pPr>
            <w:r w:rsidRPr="009A34E1">
              <w:t xml:space="preserve">patients </w:t>
            </w:r>
            <w:proofErr w:type="gramStart"/>
            <w:r w:rsidRPr="009A34E1">
              <w:t>contacted</w:t>
            </w:r>
            <w:proofErr w:type="gramEnd"/>
          </w:p>
          <w:p w14:paraId="5EB389A0" w14:textId="77777777" w:rsidR="0012423F" w:rsidRPr="009A34E1" w:rsidRDefault="0012423F" w:rsidP="0012423F">
            <w:pPr>
              <w:pStyle w:val="Bullet1"/>
            </w:pPr>
            <w:r w:rsidRPr="009A34E1">
              <w:t>patients not contactable</w:t>
            </w:r>
          </w:p>
          <w:p w14:paraId="28B3A926" w14:textId="77777777" w:rsidR="0012423F" w:rsidRPr="009A34E1" w:rsidRDefault="0012423F" w:rsidP="0012423F">
            <w:pPr>
              <w:pStyle w:val="Bullet1"/>
            </w:pPr>
            <w:r w:rsidRPr="009A34E1">
              <w:t xml:space="preserve">patients who have died, including the name of the person who notified the health service that the patient has died, the cause of death if known, and the date of </w:t>
            </w:r>
            <w:proofErr w:type="gramStart"/>
            <w:r w:rsidRPr="009A34E1">
              <w:t>notification</w:t>
            </w:r>
            <w:proofErr w:type="gramEnd"/>
          </w:p>
          <w:p w14:paraId="127ECACD" w14:textId="77777777" w:rsidR="0012423F" w:rsidRPr="009A34E1" w:rsidRDefault="0012423F" w:rsidP="0012423F">
            <w:pPr>
              <w:pStyle w:val="Bullet1"/>
            </w:pPr>
            <w:r w:rsidRPr="009A34E1">
              <w:t>follow-up actions (if any)</w:t>
            </w:r>
          </w:p>
          <w:p w14:paraId="10E11F43" w14:textId="4C9BDD1F" w:rsidR="00793D6C" w:rsidRPr="009A34E1" w:rsidRDefault="0012423F" w:rsidP="0012423F">
            <w:pPr>
              <w:pStyle w:val="Bullet1"/>
            </w:pPr>
            <w:r w:rsidRPr="009A34E1">
              <w:t>names of staff conducting the validation processes</w:t>
            </w:r>
          </w:p>
        </w:tc>
        <w:tc>
          <w:tcPr>
            <w:tcW w:w="711" w:type="dxa"/>
          </w:tcPr>
          <w:p w14:paraId="277900BE" w14:textId="77777777" w:rsidR="00793D6C" w:rsidRPr="009A34E1" w:rsidRDefault="00793D6C" w:rsidP="006070B2">
            <w:pPr>
              <w:pStyle w:val="DHHSbody"/>
              <w:rPr>
                <w:b/>
              </w:rPr>
            </w:pPr>
          </w:p>
        </w:tc>
        <w:tc>
          <w:tcPr>
            <w:tcW w:w="3401" w:type="dxa"/>
          </w:tcPr>
          <w:p w14:paraId="681E43BA" w14:textId="77777777" w:rsidR="00793D6C" w:rsidRPr="009A34E1" w:rsidRDefault="00793D6C" w:rsidP="006070B2">
            <w:pPr>
              <w:pStyle w:val="DHHSbody"/>
              <w:rPr>
                <w:b/>
              </w:rPr>
            </w:pPr>
          </w:p>
        </w:tc>
        <w:tc>
          <w:tcPr>
            <w:tcW w:w="3117" w:type="dxa"/>
          </w:tcPr>
          <w:p w14:paraId="6C191414" w14:textId="77777777" w:rsidR="00793D6C" w:rsidRPr="009A34E1" w:rsidRDefault="00793D6C" w:rsidP="006070B2">
            <w:pPr>
              <w:pStyle w:val="DHHSbody"/>
              <w:rPr>
                <w:b/>
              </w:rPr>
            </w:pPr>
          </w:p>
        </w:tc>
      </w:tr>
      <w:tr w:rsidR="001F582A" w:rsidRPr="009A34E1" w14:paraId="46431AD0" w14:textId="77777777" w:rsidTr="001F53C6">
        <w:trPr>
          <w:trHeight w:val="341"/>
        </w:trPr>
        <w:tc>
          <w:tcPr>
            <w:tcW w:w="7655" w:type="dxa"/>
          </w:tcPr>
          <w:p w14:paraId="6482DB09" w14:textId="02A4B1A3" w:rsidR="001F582A" w:rsidRPr="009A34E1" w:rsidRDefault="001F582A" w:rsidP="001F582A">
            <w:pPr>
              <w:pStyle w:val="Bodyafterbullets"/>
            </w:pPr>
            <w:r w:rsidRPr="009A34E1">
              <w:t>If a patient is not ready for care for clinical reasons for extended periods of time, clinicians should consider whether it is appropriate for the patient to remain on the preparation list. Consult with treating specialist or GP to confirm the most appropriate treatment pathway.</w:t>
            </w:r>
          </w:p>
        </w:tc>
        <w:tc>
          <w:tcPr>
            <w:tcW w:w="711" w:type="dxa"/>
          </w:tcPr>
          <w:p w14:paraId="0B19C3D6" w14:textId="77777777" w:rsidR="001F582A" w:rsidRPr="009A34E1" w:rsidRDefault="001F582A" w:rsidP="006070B2">
            <w:pPr>
              <w:pStyle w:val="DHHSbody"/>
              <w:rPr>
                <w:b/>
              </w:rPr>
            </w:pPr>
          </w:p>
        </w:tc>
        <w:tc>
          <w:tcPr>
            <w:tcW w:w="3401" w:type="dxa"/>
          </w:tcPr>
          <w:p w14:paraId="767A9ADE" w14:textId="77777777" w:rsidR="001F582A" w:rsidRPr="009A34E1" w:rsidRDefault="001F582A" w:rsidP="006070B2">
            <w:pPr>
              <w:pStyle w:val="DHHSbody"/>
              <w:rPr>
                <w:b/>
              </w:rPr>
            </w:pPr>
          </w:p>
        </w:tc>
        <w:tc>
          <w:tcPr>
            <w:tcW w:w="3117" w:type="dxa"/>
          </w:tcPr>
          <w:p w14:paraId="58942458" w14:textId="77777777" w:rsidR="001F582A" w:rsidRPr="009A34E1" w:rsidRDefault="001F582A" w:rsidP="006070B2">
            <w:pPr>
              <w:pStyle w:val="DHHSbody"/>
              <w:rPr>
                <w:b/>
              </w:rPr>
            </w:pPr>
          </w:p>
        </w:tc>
      </w:tr>
      <w:tr w:rsidR="006070B2" w:rsidRPr="009A34E1" w14:paraId="65DB20A2" w14:textId="77777777" w:rsidTr="001F53C6">
        <w:trPr>
          <w:trHeight w:val="341"/>
        </w:trPr>
        <w:tc>
          <w:tcPr>
            <w:tcW w:w="7655" w:type="dxa"/>
          </w:tcPr>
          <w:p w14:paraId="2D94AEE3" w14:textId="77777777" w:rsidR="007039C6" w:rsidRPr="009A34E1" w:rsidRDefault="007039C6" w:rsidP="007039C6">
            <w:pPr>
              <w:pStyle w:val="Body"/>
            </w:pPr>
            <w:r w:rsidRPr="009A34E1">
              <w:lastRenderedPageBreak/>
              <w:t xml:space="preserve">Health services may transfer the care of patients to another health service or contract another provider (including other public and private hospitals). This supports patients to access the most appropriate care within clinically recommended timeframes. </w:t>
            </w:r>
          </w:p>
          <w:p w14:paraId="0658026A" w14:textId="394DBDAC" w:rsidR="006070B2" w:rsidRPr="009A34E1" w:rsidRDefault="006070B2" w:rsidP="006070B2">
            <w:pPr>
              <w:rPr>
                <w:rFonts w:eastAsia="Times" w:cs="Arial"/>
                <w:szCs w:val="21"/>
              </w:rPr>
            </w:pPr>
            <w:r w:rsidRPr="009A34E1">
              <w:rPr>
                <w:rFonts w:eastAsia="Times" w:cs="Arial"/>
                <w:szCs w:val="21"/>
              </w:rPr>
              <w:t>Health services must</w:t>
            </w:r>
          </w:p>
          <w:p w14:paraId="7961493D" w14:textId="77777777" w:rsidR="006070B2" w:rsidRPr="009A34E1" w:rsidRDefault="006070B2" w:rsidP="006070B2">
            <w:pPr>
              <w:pStyle w:val="Bullet1"/>
            </w:pPr>
            <w:r w:rsidRPr="009A34E1">
              <w:t xml:space="preserve">ensure the best interests of the patient take precedence over any other interests, and </w:t>
            </w:r>
          </w:p>
          <w:p w14:paraId="244393DC" w14:textId="77777777" w:rsidR="006070B2" w:rsidRPr="009A34E1" w:rsidRDefault="006070B2" w:rsidP="006070B2">
            <w:pPr>
              <w:pStyle w:val="Bullet1"/>
            </w:pPr>
            <w:r w:rsidRPr="009A34E1">
              <w:t>obtain consent from the patient to transfer their care from one service provider to another.</w:t>
            </w:r>
          </w:p>
          <w:p w14:paraId="1B2CDA4C" w14:textId="77777777" w:rsidR="00F57C22" w:rsidRPr="009A34E1" w:rsidRDefault="00F57C22" w:rsidP="00F57C22">
            <w:pPr>
              <w:pStyle w:val="Body"/>
            </w:pPr>
            <w:r w:rsidRPr="009A34E1">
              <w:t xml:space="preserve">Local surgical referral and transfer guidelines should set out these arrangements. They should comply with the ESIS </w:t>
            </w:r>
            <w:r w:rsidRPr="009A34E1">
              <w:rPr>
                <w:rFonts w:cs="Arial"/>
                <w:szCs w:val="21"/>
              </w:rPr>
              <w:t>m</w:t>
            </w:r>
            <w:r w:rsidRPr="009A34E1">
              <w:t xml:space="preserve">anual and Policy and </w:t>
            </w:r>
            <w:r w:rsidRPr="009A34E1">
              <w:rPr>
                <w:rFonts w:cs="Arial"/>
                <w:szCs w:val="21"/>
              </w:rPr>
              <w:t>f</w:t>
            </w:r>
            <w:r w:rsidRPr="009A34E1">
              <w:t xml:space="preserve">unding </w:t>
            </w:r>
            <w:r w:rsidRPr="009A34E1">
              <w:rPr>
                <w:rFonts w:cs="Arial"/>
                <w:szCs w:val="21"/>
              </w:rPr>
              <w:t>g</w:t>
            </w:r>
            <w:r w:rsidRPr="009A34E1">
              <w:t>uidelines.</w:t>
            </w:r>
          </w:p>
          <w:p w14:paraId="7514D72D" w14:textId="42FD4447" w:rsidR="006070B2" w:rsidRPr="009A34E1" w:rsidRDefault="006070B2" w:rsidP="006070B2">
            <w:pPr>
              <w:rPr>
                <w:rFonts w:eastAsia="Times" w:cs="Arial"/>
                <w:szCs w:val="21"/>
              </w:rPr>
            </w:pPr>
            <w:r w:rsidRPr="009A34E1">
              <w:rPr>
                <w:rFonts w:eastAsia="Times" w:cs="Arial"/>
                <w:szCs w:val="21"/>
              </w:rPr>
              <w:t>Transfers and contracting of services should capture the total patient waiting time for a procedure to ensure these services are provided within clinically recommended times.</w:t>
            </w:r>
          </w:p>
        </w:tc>
        <w:tc>
          <w:tcPr>
            <w:tcW w:w="711" w:type="dxa"/>
          </w:tcPr>
          <w:p w14:paraId="3B8FC911" w14:textId="77777777" w:rsidR="006070B2" w:rsidRPr="009A34E1" w:rsidRDefault="006070B2" w:rsidP="006070B2">
            <w:pPr>
              <w:pStyle w:val="DHHSbody"/>
              <w:rPr>
                <w:b/>
              </w:rPr>
            </w:pPr>
          </w:p>
        </w:tc>
        <w:tc>
          <w:tcPr>
            <w:tcW w:w="3401" w:type="dxa"/>
          </w:tcPr>
          <w:p w14:paraId="1621646D" w14:textId="77777777" w:rsidR="006070B2" w:rsidRPr="009A34E1" w:rsidRDefault="006070B2" w:rsidP="006070B2">
            <w:pPr>
              <w:pStyle w:val="DHHSbody"/>
              <w:rPr>
                <w:b/>
              </w:rPr>
            </w:pPr>
          </w:p>
        </w:tc>
        <w:tc>
          <w:tcPr>
            <w:tcW w:w="3117" w:type="dxa"/>
          </w:tcPr>
          <w:p w14:paraId="1A165582" w14:textId="77777777" w:rsidR="006070B2" w:rsidRPr="009A34E1" w:rsidRDefault="006070B2" w:rsidP="006070B2">
            <w:pPr>
              <w:pStyle w:val="DHHSbody"/>
              <w:rPr>
                <w:b/>
              </w:rPr>
            </w:pPr>
          </w:p>
        </w:tc>
      </w:tr>
      <w:tr w:rsidR="006070B2" w:rsidRPr="009A34E1" w14:paraId="3BDB30B4" w14:textId="77777777" w:rsidTr="001F53C6">
        <w:trPr>
          <w:trHeight w:val="341"/>
        </w:trPr>
        <w:tc>
          <w:tcPr>
            <w:tcW w:w="7655" w:type="dxa"/>
          </w:tcPr>
          <w:p w14:paraId="17A02522" w14:textId="77777777" w:rsidR="00542CA5" w:rsidRPr="009A34E1" w:rsidRDefault="00542CA5" w:rsidP="00542CA5">
            <w:r w:rsidRPr="009A34E1">
              <w:t xml:space="preserve">Local policies must not prevent patients from accessing free public hospital surgery or procedures. </w:t>
            </w:r>
          </w:p>
          <w:p w14:paraId="070DEB99" w14:textId="48EDE670" w:rsidR="006070B2" w:rsidRPr="009A34E1" w:rsidRDefault="00542CA5" w:rsidP="00542CA5">
            <w:r w:rsidRPr="009A34E1">
              <w:t>The surgeries and procedures provided to private patients in a health service must also be available to public patients.</w:t>
            </w:r>
          </w:p>
        </w:tc>
        <w:tc>
          <w:tcPr>
            <w:tcW w:w="711" w:type="dxa"/>
          </w:tcPr>
          <w:p w14:paraId="3C14109E" w14:textId="77777777" w:rsidR="006070B2" w:rsidRPr="009A34E1" w:rsidRDefault="006070B2" w:rsidP="006070B2">
            <w:pPr>
              <w:pStyle w:val="DHHSbody"/>
              <w:rPr>
                <w:b/>
              </w:rPr>
            </w:pPr>
          </w:p>
        </w:tc>
        <w:tc>
          <w:tcPr>
            <w:tcW w:w="3401" w:type="dxa"/>
          </w:tcPr>
          <w:p w14:paraId="68CE548A" w14:textId="25FBAF72" w:rsidR="006070B2" w:rsidRPr="009A34E1" w:rsidRDefault="006070B2" w:rsidP="006070B2">
            <w:pPr>
              <w:pStyle w:val="DHHSbody"/>
              <w:rPr>
                <w:b/>
              </w:rPr>
            </w:pPr>
          </w:p>
        </w:tc>
        <w:tc>
          <w:tcPr>
            <w:tcW w:w="3117" w:type="dxa"/>
          </w:tcPr>
          <w:p w14:paraId="4E8E157D" w14:textId="77777777" w:rsidR="006070B2" w:rsidRPr="009A34E1" w:rsidRDefault="006070B2" w:rsidP="006070B2">
            <w:pPr>
              <w:pStyle w:val="DHHSbody"/>
              <w:rPr>
                <w:b/>
              </w:rPr>
            </w:pPr>
          </w:p>
        </w:tc>
      </w:tr>
      <w:tr w:rsidR="006070B2" w:rsidRPr="009A34E1" w14:paraId="44903C27" w14:textId="77777777" w:rsidTr="001F53C6">
        <w:trPr>
          <w:trHeight w:val="341"/>
        </w:trPr>
        <w:tc>
          <w:tcPr>
            <w:tcW w:w="7655" w:type="dxa"/>
          </w:tcPr>
          <w:p w14:paraId="718798DE" w14:textId="466A4836" w:rsidR="006070B2" w:rsidRPr="009A34E1" w:rsidRDefault="00ED3B4D" w:rsidP="006070B2">
            <w:r w:rsidRPr="009A34E1">
              <w:t xml:space="preserve">If a surgeon or procedural specialist </w:t>
            </w:r>
            <w:r w:rsidR="00016258" w:rsidRPr="009A34E1">
              <w:t xml:space="preserve">is </w:t>
            </w:r>
            <w:r w:rsidRPr="009A34E1">
              <w:t>predominately employed to provide public services, a private practice agreement must be in place</w:t>
            </w:r>
            <w:r w:rsidR="00070A12" w:rsidRPr="009A34E1">
              <w:t xml:space="preserve"> to </w:t>
            </w:r>
            <w:r w:rsidRPr="009A34E1">
              <w:t>allow their private patients to be registered on that public health service’s preparation list.</w:t>
            </w:r>
          </w:p>
        </w:tc>
        <w:tc>
          <w:tcPr>
            <w:tcW w:w="711" w:type="dxa"/>
          </w:tcPr>
          <w:p w14:paraId="7A0082EB" w14:textId="77777777" w:rsidR="006070B2" w:rsidRPr="009A34E1" w:rsidRDefault="006070B2" w:rsidP="006070B2">
            <w:pPr>
              <w:pStyle w:val="DHHSbody"/>
              <w:rPr>
                <w:b/>
              </w:rPr>
            </w:pPr>
          </w:p>
        </w:tc>
        <w:tc>
          <w:tcPr>
            <w:tcW w:w="3401" w:type="dxa"/>
          </w:tcPr>
          <w:p w14:paraId="00AB5E65" w14:textId="77777777" w:rsidR="006070B2" w:rsidRPr="009A34E1" w:rsidRDefault="006070B2" w:rsidP="006070B2">
            <w:pPr>
              <w:pStyle w:val="DHHSbody"/>
              <w:rPr>
                <w:b/>
              </w:rPr>
            </w:pPr>
          </w:p>
        </w:tc>
        <w:tc>
          <w:tcPr>
            <w:tcW w:w="3117" w:type="dxa"/>
          </w:tcPr>
          <w:p w14:paraId="49510742" w14:textId="77777777" w:rsidR="006070B2" w:rsidRPr="009A34E1" w:rsidRDefault="006070B2" w:rsidP="006070B2">
            <w:pPr>
              <w:pStyle w:val="DHHSbody"/>
              <w:rPr>
                <w:b/>
              </w:rPr>
            </w:pPr>
          </w:p>
        </w:tc>
      </w:tr>
      <w:tr w:rsidR="00C62741" w:rsidRPr="009A34E1" w14:paraId="78E5F479" w14:textId="77777777" w:rsidTr="001F53C6">
        <w:trPr>
          <w:trHeight w:val="341"/>
        </w:trPr>
        <w:tc>
          <w:tcPr>
            <w:tcW w:w="7655" w:type="dxa"/>
          </w:tcPr>
          <w:p w14:paraId="28E0D093" w14:textId="77777777" w:rsidR="00C62741" w:rsidRPr="009A34E1" w:rsidRDefault="00C62741" w:rsidP="00C62741">
            <w:pPr>
              <w:pStyle w:val="Body"/>
            </w:pPr>
            <w:r w:rsidRPr="009A34E1">
              <w:t xml:space="preserve">Health services must not direct patients, or their medical treatment decision maker, towards a choice about being treated as a public or private patient. </w:t>
            </w:r>
          </w:p>
          <w:p w14:paraId="144DCB79" w14:textId="279D8165" w:rsidR="00C62741" w:rsidRPr="009A34E1" w:rsidRDefault="00C62741" w:rsidP="006070B2">
            <w:pPr>
              <w:pStyle w:val="Body"/>
            </w:pPr>
            <w:r w:rsidRPr="009A34E1">
              <w:lastRenderedPageBreak/>
              <w:t>Patients and consumers may choose to become a public patient at any time. This change in patient status is effective from the date of the change onwards. It should not be retrospectively backdated.</w:t>
            </w:r>
          </w:p>
        </w:tc>
        <w:tc>
          <w:tcPr>
            <w:tcW w:w="711" w:type="dxa"/>
          </w:tcPr>
          <w:p w14:paraId="07838C92" w14:textId="77777777" w:rsidR="00C62741" w:rsidRPr="009A34E1" w:rsidRDefault="00C62741" w:rsidP="006070B2">
            <w:pPr>
              <w:pStyle w:val="DHHSbody"/>
              <w:rPr>
                <w:b/>
              </w:rPr>
            </w:pPr>
          </w:p>
        </w:tc>
        <w:tc>
          <w:tcPr>
            <w:tcW w:w="3401" w:type="dxa"/>
          </w:tcPr>
          <w:p w14:paraId="5CB46593" w14:textId="77777777" w:rsidR="00C62741" w:rsidRPr="009A34E1" w:rsidRDefault="00C62741" w:rsidP="006070B2">
            <w:pPr>
              <w:pStyle w:val="DHHSbody"/>
              <w:rPr>
                <w:b/>
              </w:rPr>
            </w:pPr>
          </w:p>
        </w:tc>
        <w:tc>
          <w:tcPr>
            <w:tcW w:w="3117" w:type="dxa"/>
          </w:tcPr>
          <w:p w14:paraId="0FA99C83" w14:textId="77777777" w:rsidR="00C62741" w:rsidRPr="009A34E1" w:rsidRDefault="00C62741" w:rsidP="006070B2">
            <w:pPr>
              <w:pStyle w:val="DHHSbody"/>
              <w:rPr>
                <w:b/>
              </w:rPr>
            </w:pPr>
          </w:p>
        </w:tc>
      </w:tr>
      <w:tr w:rsidR="006070B2" w:rsidRPr="009A34E1" w14:paraId="0134CA11" w14:textId="77777777" w:rsidTr="001F53C6">
        <w:trPr>
          <w:trHeight w:val="341"/>
        </w:trPr>
        <w:tc>
          <w:tcPr>
            <w:tcW w:w="7655" w:type="dxa"/>
          </w:tcPr>
          <w:p w14:paraId="69E1A13A" w14:textId="6B16B815" w:rsidR="006070B2" w:rsidRPr="009A34E1" w:rsidRDefault="00BB5168" w:rsidP="00BB5168">
            <w:pPr>
              <w:pStyle w:val="Body"/>
            </w:pPr>
            <w:r w:rsidRPr="009A34E1">
              <w:t xml:space="preserve">Health services must ensure eligible patients who elect to be treated as private patients have done so based on informed financial consent. </w:t>
            </w:r>
          </w:p>
        </w:tc>
        <w:tc>
          <w:tcPr>
            <w:tcW w:w="711" w:type="dxa"/>
          </w:tcPr>
          <w:p w14:paraId="0FF330E6" w14:textId="77777777" w:rsidR="006070B2" w:rsidRPr="009A34E1" w:rsidRDefault="006070B2" w:rsidP="006070B2">
            <w:pPr>
              <w:pStyle w:val="DHHSbody"/>
              <w:rPr>
                <w:b/>
              </w:rPr>
            </w:pPr>
          </w:p>
        </w:tc>
        <w:tc>
          <w:tcPr>
            <w:tcW w:w="3401" w:type="dxa"/>
          </w:tcPr>
          <w:p w14:paraId="7FA7A092" w14:textId="77777777" w:rsidR="006070B2" w:rsidRPr="009A34E1" w:rsidRDefault="006070B2" w:rsidP="006070B2">
            <w:pPr>
              <w:pStyle w:val="DHHSbody"/>
              <w:rPr>
                <w:b/>
              </w:rPr>
            </w:pPr>
          </w:p>
        </w:tc>
        <w:tc>
          <w:tcPr>
            <w:tcW w:w="3117" w:type="dxa"/>
          </w:tcPr>
          <w:p w14:paraId="5CC80A02" w14:textId="77777777" w:rsidR="006070B2" w:rsidRPr="009A34E1" w:rsidRDefault="006070B2" w:rsidP="006070B2">
            <w:pPr>
              <w:pStyle w:val="DHHSbody"/>
              <w:rPr>
                <w:b/>
              </w:rPr>
            </w:pPr>
          </w:p>
        </w:tc>
      </w:tr>
      <w:tr w:rsidR="006070B2" w:rsidRPr="009A34E1" w14:paraId="7224A2A4" w14:textId="77777777" w:rsidTr="001F53C6">
        <w:trPr>
          <w:trHeight w:val="341"/>
        </w:trPr>
        <w:tc>
          <w:tcPr>
            <w:tcW w:w="7655" w:type="dxa"/>
          </w:tcPr>
          <w:p w14:paraId="51A9DE6E" w14:textId="77777777" w:rsidR="00595634" w:rsidRPr="009A34E1" w:rsidRDefault="00595634" w:rsidP="00595634">
            <w:pPr>
              <w:rPr>
                <w:rFonts w:eastAsia="Times" w:cs="Arial"/>
                <w:szCs w:val="21"/>
              </w:rPr>
            </w:pPr>
            <w:r w:rsidRPr="009A34E1">
              <w:rPr>
                <w:rFonts w:eastAsia="Times" w:cs="Arial"/>
                <w:szCs w:val="21"/>
              </w:rPr>
              <w:t xml:space="preserve">Surgeons or other procedural specialists can be granted rights to deliver admitted procedural services to exclusively treat their private patients in a public health service facility. </w:t>
            </w:r>
          </w:p>
          <w:p w14:paraId="7CC70550" w14:textId="77777777" w:rsidR="00595634" w:rsidRPr="009A34E1" w:rsidRDefault="00595634" w:rsidP="00595634">
            <w:pPr>
              <w:rPr>
                <w:rFonts w:eastAsia="Times" w:cs="Arial"/>
                <w:szCs w:val="21"/>
              </w:rPr>
            </w:pPr>
            <w:r w:rsidRPr="009A34E1">
              <w:t>If the surgeon or procedural specialist is not predominately employed to provide public services, they must have a rental agreement must be in place. This agreement must include prices that achieve full-cost recovery. It should reflect the commercial value of the resources used. It should be reviewed at least every 3 years.</w:t>
            </w:r>
          </w:p>
          <w:p w14:paraId="7A23C8B8" w14:textId="77777777" w:rsidR="00595634" w:rsidRPr="009A34E1" w:rsidRDefault="00595634" w:rsidP="00595634">
            <w:pPr>
              <w:rPr>
                <w:rFonts w:eastAsia="Times" w:cs="Arial"/>
                <w:szCs w:val="21"/>
              </w:rPr>
            </w:pPr>
            <w:r w:rsidRPr="009A34E1">
              <w:rPr>
                <w:rFonts w:eastAsia="Times" w:cs="Arial"/>
                <w:szCs w:val="21"/>
              </w:rPr>
              <w:t xml:space="preserve">The principles outlined in </w:t>
            </w:r>
            <w:r w:rsidRPr="009A34E1">
              <w:rPr>
                <w:rFonts w:eastAsia="Times"/>
              </w:rPr>
              <w:t>Private patient: principles for public health services</w:t>
            </w:r>
            <w:r w:rsidRPr="009A34E1">
              <w:rPr>
                <w:rFonts w:eastAsia="Times" w:cs="Arial"/>
                <w:szCs w:val="21"/>
                <w:vertAlign w:val="superscript"/>
              </w:rPr>
              <w:t xml:space="preserve"> </w:t>
            </w:r>
            <w:r w:rsidRPr="009A34E1">
              <w:t xml:space="preserve">must apply to patients who use their private health insurance in public hospitals. </w:t>
            </w:r>
          </w:p>
          <w:p w14:paraId="6138B1C2" w14:textId="5F71F6F7" w:rsidR="006070B2" w:rsidRPr="009A34E1" w:rsidRDefault="00595634" w:rsidP="006070B2">
            <w:pPr>
              <w:rPr>
                <w:rFonts w:eastAsia="Times" w:cs="Arial"/>
                <w:szCs w:val="21"/>
              </w:rPr>
            </w:pPr>
            <w:r w:rsidRPr="009A34E1">
              <w:rPr>
                <w:rFonts w:eastAsia="Times" w:cs="Arial"/>
                <w:szCs w:val="21"/>
              </w:rPr>
              <w:t xml:space="preserve">All arrangements must comply with Commonwealth and Victorian policies, </w:t>
            </w:r>
            <w:proofErr w:type="gramStart"/>
            <w:r w:rsidRPr="009A34E1">
              <w:rPr>
                <w:rFonts w:eastAsia="Times" w:cs="Arial"/>
                <w:szCs w:val="21"/>
              </w:rPr>
              <w:t>legislation</w:t>
            </w:r>
            <w:proofErr w:type="gramEnd"/>
            <w:r w:rsidRPr="009A34E1">
              <w:rPr>
                <w:rFonts w:eastAsia="Times" w:cs="Arial"/>
                <w:szCs w:val="21"/>
              </w:rPr>
              <w:t xml:space="preserve"> and agreements. This includes the </w:t>
            </w:r>
            <w:r w:rsidRPr="009A34E1">
              <w:rPr>
                <w:rFonts w:eastAsia="Times"/>
              </w:rPr>
              <w:t>MBS billing policy framework</w:t>
            </w:r>
            <w:r w:rsidRPr="009A34E1">
              <w:t>: Victorian public hospitals. Arrangements</w:t>
            </w:r>
            <w:r w:rsidRPr="009A34E1">
              <w:rPr>
                <w:rFonts w:eastAsia="Times" w:cs="Arial"/>
                <w:szCs w:val="21"/>
              </w:rPr>
              <w:t xml:space="preserve"> m</w:t>
            </w:r>
            <w:r w:rsidRPr="009A34E1">
              <w:t>ust be available for audit by the department.</w:t>
            </w:r>
          </w:p>
        </w:tc>
        <w:tc>
          <w:tcPr>
            <w:tcW w:w="711" w:type="dxa"/>
          </w:tcPr>
          <w:p w14:paraId="57085989" w14:textId="77777777" w:rsidR="006070B2" w:rsidRPr="009A34E1" w:rsidRDefault="006070B2" w:rsidP="006070B2">
            <w:pPr>
              <w:pStyle w:val="DHHSbody"/>
              <w:rPr>
                <w:b/>
              </w:rPr>
            </w:pPr>
          </w:p>
        </w:tc>
        <w:tc>
          <w:tcPr>
            <w:tcW w:w="3401" w:type="dxa"/>
          </w:tcPr>
          <w:p w14:paraId="765FBDF3" w14:textId="77777777" w:rsidR="006070B2" w:rsidRPr="009A34E1" w:rsidRDefault="006070B2" w:rsidP="006070B2">
            <w:pPr>
              <w:pStyle w:val="DHHSbody"/>
              <w:rPr>
                <w:b/>
              </w:rPr>
            </w:pPr>
          </w:p>
        </w:tc>
        <w:tc>
          <w:tcPr>
            <w:tcW w:w="3117" w:type="dxa"/>
          </w:tcPr>
          <w:p w14:paraId="520703AB" w14:textId="77777777" w:rsidR="006070B2" w:rsidRPr="009A34E1" w:rsidRDefault="006070B2" w:rsidP="006070B2">
            <w:pPr>
              <w:pStyle w:val="DHHSbody"/>
              <w:rPr>
                <w:b/>
              </w:rPr>
            </w:pPr>
          </w:p>
        </w:tc>
      </w:tr>
      <w:bookmarkEnd w:id="0"/>
    </w:tbl>
    <w:p w14:paraId="522314FA" w14:textId="77777777" w:rsidR="003936C7" w:rsidRPr="009A34E1" w:rsidRDefault="003936C7" w:rsidP="009C34EA">
      <w:pPr>
        <w:pStyle w:val="Heading1"/>
        <w:rPr>
          <w:color w:val="6600CC"/>
        </w:rPr>
      </w:pPr>
    </w:p>
    <w:p w14:paraId="43EF4551" w14:textId="77777777" w:rsidR="003936C7" w:rsidRPr="009A34E1" w:rsidRDefault="003936C7">
      <w:pPr>
        <w:spacing w:after="0" w:line="240" w:lineRule="auto"/>
        <w:rPr>
          <w:rFonts w:eastAsia="MS Gothic" w:cs="Arial"/>
          <w:bCs/>
          <w:color w:val="6600CC"/>
          <w:kern w:val="32"/>
          <w:sz w:val="40"/>
          <w:szCs w:val="40"/>
        </w:rPr>
      </w:pPr>
      <w:r w:rsidRPr="009A34E1">
        <w:rPr>
          <w:color w:val="6600CC"/>
        </w:rPr>
        <w:br w:type="page"/>
      </w:r>
    </w:p>
    <w:p w14:paraId="246F7F7E" w14:textId="26E896D6" w:rsidR="009C34EA" w:rsidRPr="009A34E1" w:rsidRDefault="009C34EA" w:rsidP="00AD3008">
      <w:pPr>
        <w:pStyle w:val="Heading2"/>
      </w:pPr>
      <w:bookmarkStart w:id="7" w:name="_Toc169700433"/>
      <w:r w:rsidRPr="009A34E1">
        <w:lastRenderedPageBreak/>
        <w:t>Policy requirements that should be implemented by J</w:t>
      </w:r>
      <w:r w:rsidR="008F4A07" w:rsidRPr="009A34E1">
        <w:t>une</w:t>
      </w:r>
      <w:r w:rsidRPr="009A34E1">
        <w:t xml:space="preserve"> 202</w:t>
      </w:r>
      <w:r w:rsidR="008F4A07" w:rsidRPr="009A34E1">
        <w:t>5</w:t>
      </w:r>
      <w:bookmarkEnd w:id="7"/>
    </w:p>
    <w:p w14:paraId="76409A7B" w14:textId="77777777" w:rsidR="00F9003F" w:rsidRPr="009A34E1" w:rsidRDefault="00F9003F" w:rsidP="00F9003F">
      <w:pPr>
        <w:pStyle w:val="Heading3"/>
      </w:pPr>
      <w:r w:rsidRPr="009A34E1">
        <w:t>Headline new requirements</w:t>
      </w:r>
    </w:p>
    <w:p w14:paraId="08224AB4" w14:textId="77777777" w:rsidR="00823EFF" w:rsidRPr="009A34E1" w:rsidRDefault="00707D09" w:rsidP="00823EFF">
      <w:pPr>
        <w:pStyle w:val="Bullet1"/>
        <w:numPr>
          <w:ilvl w:val="0"/>
          <w:numId w:val="0"/>
        </w:numPr>
        <w:ind w:left="284" w:hanging="284"/>
        <w:rPr>
          <w:lang w:eastAsia="en-AU"/>
        </w:rPr>
      </w:pPr>
      <w:r w:rsidRPr="009A34E1">
        <w:rPr>
          <w:b/>
          <w:bCs/>
        </w:rPr>
        <w:t>Communication with patient</w:t>
      </w:r>
      <w:r w:rsidR="00BB24F4" w:rsidRPr="009A34E1">
        <w:rPr>
          <w:b/>
          <w:bCs/>
        </w:rPr>
        <w:t>s</w:t>
      </w:r>
      <w:r w:rsidRPr="009A34E1">
        <w:t xml:space="preserve"> </w:t>
      </w:r>
    </w:p>
    <w:p w14:paraId="7C15D433" w14:textId="3D801E03" w:rsidR="00823EFF" w:rsidRPr="009A34E1" w:rsidRDefault="00823EFF" w:rsidP="00823EFF">
      <w:pPr>
        <w:pStyle w:val="Bullet1"/>
      </w:pPr>
      <w:r w:rsidRPr="009A34E1">
        <w:rPr>
          <w:lang w:val="en-US"/>
        </w:rPr>
        <w:t>The policy has amended communication timeframes and identified the necessary points of communication between health services and patients to deliver patient-</w:t>
      </w:r>
      <w:proofErr w:type="spellStart"/>
      <w:r w:rsidRPr="009A34E1">
        <w:rPr>
          <w:lang w:val="en-US"/>
        </w:rPr>
        <w:t>centred</w:t>
      </w:r>
      <w:proofErr w:type="spellEnd"/>
      <w:r w:rsidRPr="009A34E1">
        <w:rPr>
          <w:lang w:val="en-US"/>
        </w:rPr>
        <w:t xml:space="preserve">, timely and structured communication. </w:t>
      </w:r>
    </w:p>
    <w:p w14:paraId="6C7AA189" w14:textId="77777777" w:rsidR="00823EFF" w:rsidRPr="009A34E1" w:rsidRDefault="00823EFF" w:rsidP="00823EFF">
      <w:pPr>
        <w:pStyle w:val="Bullet1"/>
      </w:pPr>
      <w:r w:rsidRPr="009A34E1">
        <w:rPr>
          <w:lang w:val="en-US"/>
        </w:rPr>
        <w:t xml:space="preserve">To improve communication with patients on the preparation list, the policy requires health services to respond to the communication needs and preferences of each patient. </w:t>
      </w:r>
    </w:p>
    <w:p w14:paraId="54B84076" w14:textId="0B9AFA2A" w:rsidR="00986BDA" w:rsidRPr="009A34E1" w:rsidRDefault="00607FC5" w:rsidP="00746718">
      <w:pPr>
        <w:pStyle w:val="Bullet1"/>
        <w:numPr>
          <w:ilvl w:val="0"/>
          <w:numId w:val="0"/>
        </w:numPr>
        <w:rPr>
          <w:lang w:eastAsia="en-AU"/>
        </w:rPr>
      </w:pPr>
      <w:r w:rsidRPr="009A34E1">
        <w:rPr>
          <w:b/>
          <w:bCs/>
          <w:lang w:eastAsia="en-AU"/>
        </w:rPr>
        <w:t>Validation of preparation lists</w:t>
      </w:r>
      <w:r w:rsidRPr="009A34E1">
        <w:rPr>
          <w:lang w:eastAsia="en-AU"/>
        </w:rPr>
        <w:t xml:space="preserve"> </w:t>
      </w:r>
    </w:p>
    <w:p w14:paraId="74D44249" w14:textId="77777777" w:rsidR="00746718" w:rsidRPr="009A34E1" w:rsidRDefault="00746718" w:rsidP="00746718">
      <w:pPr>
        <w:pStyle w:val="Bullet1"/>
        <w:rPr>
          <w:lang w:eastAsia="en-AU"/>
        </w:rPr>
      </w:pPr>
      <w:r w:rsidRPr="009A34E1">
        <w:rPr>
          <w:lang w:val="en-US" w:eastAsia="en-AU"/>
        </w:rPr>
        <w:t xml:space="preserve">Health services are responsible for </w:t>
      </w:r>
      <w:r w:rsidRPr="009A34E1">
        <w:rPr>
          <w:lang w:eastAsia="en-AU"/>
        </w:rPr>
        <w:t>actively managing the preparation lists for all surgery and procedures provided by the health service and performing routine administrative and clinical audits of all patients on the preparation list for planned surgery or procedures.</w:t>
      </w:r>
    </w:p>
    <w:p w14:paraId="0DFFE58E" w14:textId="77777777" w:rsidR="00746718" w:rsidRPr="009A34E1" w:rsidRDefault="00746718" w:rsidP="00746718">
      <w:pPr>
        <w:pStyle w:val="Bullet1"/>
        <w:rPr>
          <w:lang w:eastAsia="en-AU"/>
        </w:rPr>
      </w:pPr>
      <w:r w:rsidRPr="009A34E1">
        <w:rPr>
          <w:lang w:eastAsia="en-AU"/>
        </w:rPr>
        <w:t>Individual clinicians must not decide or manage who is on the preparation list.</w:t>
      </w:r>
    </w:p>
    <w:p w14:paraId="524037EC" w14:textId="7ABC5B09" w:rsidR="007B441A" w:rsidRPr="009A34E1" w:rsidRDefault="007B441A" w:rsidP="007B441A">
      <w:pPr>
        <w:pStyle w:val="Tablecaption"/>
      </w:pPr>
      <w:r w:rsidRPr="009A34E1">
        <w:t xml:space="preserve">Table 2 Policy requirements that </w:t>
      </w:r>
      <w:r w:rsidR="00AA0A24" w:rsidRPr="009A34E1">
        <w:t>must</w:t>
      </w:r>
      <w:r w:rsidRPr="009A34E1">
        <w:t xml:space="preserve"> be implemented by J</w:t>
      </w:r>
      <w:r w:rsidR="00277B00" w:rsidRPr="009A34E1">
        <w:t>une</w:t>
      </w:r>
      <w:r w:rsidRPr="009A34E1">
        <w:t xml:space="preserve"> 202</w:t>
      </w:r>
      <w:r w:rsidR="00277B00" w:rsidRPr="009A34E1">
        <w:t>5</w:t>
      </w:r>
    </w:p>
    <w:tbl>
      <w:tblPr>
        <w:tblStyle w:val="TableGrid"/>
        <w:tblW w:w="14884" w:type="dxa"/>
        <w:tblInd w:w="-5" w:type="dxa"/>
        <w:tblLook w:val="04A0" w:firstRow="1" w:lastRow="0" w:firstColumn="1" w:lastColumn="0" w:noHBand="0" w:noVBand="1"/>
      </w:tblPr>
      <w:tblGrid>
        <w:gridCol w:w="7499"/>
        <w:gridCol w:w="986"/>
        <w:gridCol w:w="3281"/>
        <w:gridCol w:w="3118"/>
      </w:tblGrid>
      <w:tr w:rsidR="00DC1ED8" w:rsidRPr="009A34E1" w14:paraId="18F29725" w14:textId="77777777">
        <w:trPr>
          <w:tblHeader/>
        </w:trPr>
        <w:tc>
          <w:tcPr>
            <w:tcW w:w="7499" w:type="dxa"/>
          </w:tcPr>
          <w:p w14:paraId="50DEB1F3" w14:textId="77777777" w:rsidR="00DC1ED8" w:rsidRPr="00AD3008" w:rsidRDefault="00DC1ED8">
            <w:pPr>
              <w:pStyle w:val="Tablecolhead"/>
              <w:rPr>
                <w:color w:val="595959" w:themeColor="text1" w:themeTint="A6"/>
              </w:rPr>
            </w:pPr>
            <w:r w:rsidRPr="00AD3008">
              <w:rPr>
                <w:color w:val="595959" w:themeColor="text1" w:themeTint="A6"/>
              </w:rPr>
              <w:t>Obligations / requirements to be met:</w:t>
            </w:r>
          </w:p>
        </w:tc>
        <w:tc>
          <w:tcPr>
            <w:tcW w:w="986" w:type="dxa"/>
          </w:tcPr>
          <w:p w14:paraId="0A5DAAF8" w14:textId="77777777" w:rsidR="00DC1ED8" w:rsidRPr="00AD3008" w:rsidRDefault="00DC1ED8">
            <w:pPr>
              <w:pStyle w:val="Tablecolhead"/>
              <w:rPr>
                <w:color w:val="595959" w:themeColor="text1" w:themeTint="A6"/>
              </w:rPr>
            </w:pPr>
            <w:r w:rsidRPr="00AD3008">
              <w:rPr>
                <w:color w:val="595959" w:themeColor="text1" w:themeTint="A6"/>
              </w:rPr>
              <w:t>Rating (1-5)</w:t>
            </w:r>
          </w:p>
        </w:tc>
        <w:tc>
          <w:tcPr>
            <w:tcW w:w="3281" w:type="dxa"/>
          </w:tcPr>
          <w:p w14:paraId="4674B0F4" w14:textId="77777777" w:rsidR="00DC1ED8" w:rsidRPr="00AD3008" w:rsidRDefault="00DC1ED8">
            <w:pPr>
              <w:pStyle w:val="Tablecolhead"/>
              <w:rPr>
                <w:color w:val="595959" w:themeColor="text1" w:themeTint="A6"/>
              </w:rPr>
            </w:pPr>
            <w:r w:rsidRPr="00AD3008">
              <w:rPr>
                <w:color w:val="595959" w:themeColor="text1" w:themeTint="A6"/>
              </w:rPr>
              <w:t>Gaps still to be addressed</w:t>
            </w:r>
          </w:p>
        </w:tc>
        <w:tc>
          <w:tcPr>
            <w:tcW w:w="3118" w:type="dxa"/>
          </w:tcPr>
          <w:p w14:paraId="05B557B6" w14:textId="340965CA" w:rsidR="00DC1ED8" w:rsidRPr="00AD3008" w:rsidRDefault="00DC1ED8">
            <w:pPr>
              <w:pStyle w:val="Tablecolhead"/>
              <w:rPr>
                <w:color w:val="595959" w:themeColor="text1" w:themeTint="A6"/>
              </w:rPr>
            </w:pPr>
            <w:r w:rsidRPr="00AD3008">
              <w:rPr>
                <w:color w:val="595959" w:themeColor="text1" w:themeTint="A6"/>
              </w:rPr>
              <w:t>Comments</w:t>
            </w:r>
            <w:r w:rsidR="00BE6615" w:rsidRPr="00AD3008">
              <w:rPr>
                <w:color w:val="595959" w:themeColor="text1" w:themeTint="A6"/>
              </w:rPr>
              <w:t xml:space="preserve"> / issues</w:t>
            </w:r>
          </w:p>
        </w:tc>
      </w:tr>
      <w:tr w:rsidR="007A2843" w:rsidRPr="009A34E1" w14:paraId="4AB34DB6" w14:textId="77777777">
        <w:tc>
          <w:tcPr>
            <w:tcW w:w="14884" w:type="dxa"/>
            <w:gridSpan w:val="4"/>
          </w:tcPr>
          <w:p w14:paraId="6E83A08E" w14:textId="0A8CEBD2" w:rsidR="007A2843" w:rsidRPr="00AD3008" w:rsidRDefault="004A3DCB">
            <w:pPr>
              <w:pStyle w:val="DHHSbody"/>
              <w:rPr>
                <w:b/>
                <w:color w:val="595959" w:themeColor="text1" w:themeTint="A6"/>
              </w:rPr>
            </w:pPr>
            <w:r w:rsidRPr="00AD3008">
              <w:rPr>
                <w:b/>
                <w:bCs/>
                <w:color w:val="595959" w:themeColor="text1" w:themeTint="A6"/>
              </w:rPr>
              <w:t>Section 5 Communication with patients</w:t>
            </w:r>
          </w:p>
        </w:tc>
      </w:tr>
      <w:tr w:rsidR="00DC1ED8" w:rsidRPr="009A34E1" w14:paraId="4FF9C848" w14:textId="77777777">
        <w:tc>
          <w:tcPr>
            <w:tcW w:w="7499" w:type="dxa"/>
          </w:tcPr>
          <w:p w14:paraId="2D9D187F" w14:textId="36CC9574" w:rsidR="00DC1ED8" w:rsidRPr="009A34E1" w:rsidRDefault="008D7716" w:rsidP="00D630DC">
            <w:pPr>
              <w:pStyle w:val="Body"/>
            </w:pPr>
            <w:r w:rsidRPr="009A34E1">
              <w:t xml:space="preserve">Health services should record the patient’s preferred method of communication and </w:t>
            </w:r>
            <w:proofErr w:type="gramStart"/>
            <w:r w:rsidRPr="009A34E1">
              <w:t>use this at all times</w:t>
            </w:r>
            <w:proofErr w:type="gramEnd"/>
            <w:r w:rsidRPr="009A34E1">
              <w:t xml:space="preserve">. </w:t>
            </w:r>
          </w:p>
        </w:tc>
        <w:tc>
          <w:tcPr>
            <w:tcW w:w="986" w:type="dxa"/>
          </w:tcPr>
          <w:p w14:paraId="7EC1807F" w14:textId="77777777" w:rsidR="00DC1ED8" w:rsidRPr="009A34E1" w:rsidRDefault="00DC1ED8">
            <w:pPr>
              <w:pStyle w:val="DHHSbody"/>
              <w:rPr>
                <w:b/>
              </w:rPr>
            </w:pPr>
          </w:p>
        </w:tc>
        <w:tc>
          <w:tcPr>
            <w:tcW w:w="3281" w:type="dxa"/>
          </w:tcPr>
          <w:p w14:paraId="606B8976" w14:textId="77777777" w:rsidR="00DC1ED8" w:rsidRPr="009A34E1" w:rsidRDefault="00DC1ED8">
            <w:pPr>
              <w:pStyle w:val="DHHSbody"/>
              <w:rPr>
                <w:b/>
              </w:rPr>
            </w:pPr>
          </w:p>
        </w:tc>
        <w:tc>
          <w:tcPr>
            <w:tcW w:w="3118" w:type="dxa"/>
          </w:tcPr>
          <w:p w14:paraId="1885617D" w14:textId="77777777" w:rsidR="00DC1ED8" w:rsidRPr="009A34E1" w:rsidRDefault="00DC1ED8">
            <w:pPr>
              <w:pStyle w:val="DHHSbody"/>
              <w:rPr>
                <w:b/>
              </w:rPr>
            </w:pPr>
          </w:p>
        </w:tc>
      </w:tr>
      <w:tr w:rsidR="00E84AC5" w:rsidRPr="009A34E1" w14:paraId="6778F7FA" w14:textId="77777777">
        <w:tc>
          <w:tcPr>
            <w:tcW w:w="7499" w:type="dxa"/>
          </w:tcPr>
          <w:p w14:paraId="7A387B3F" w14:textId="77777777" w:rsidR="00EB6FD8" w:rsidRPr="009A34E1" w:rsidRDefault="00EB6FD8" w:rsidP="00EB6FD8">
            <w:pPr>
              <w:rPr>
                <w:rFonts w:eastAsia="Times"/>
              </w:rPr>
            </w:pPr>
            <w:r w:rsidRPr="009A34E1">
              <w:rPr>
                <w:rFonts w:eastAsia="Times"/>
              </w:rPr>
              <w:t>All communication with patients must:</w:t>
            </w:r>
          </w:p>
          <w:p w14:paraId="63DD1346" w14:textId="77777777" w:rsidR="00EB6FD8" w:rsidRPr="009A34E1" w:rsidRDefault="00EB6FD8" w:rsidP="00EB6FD8">
            <w:pPr>
              <w:pStyle w:val="Bullet1"/>
              <w:numPr>
                <w:ilvl w:val="0"/>
                <w:numId w:val="13"/>
              </w:numPr>
            </w:pPr>
            <w:r w:rsidRPr="009A34E1">
              <w:t xml:space="preserve">be </w:t>
            </w:r>
            <w:proofErr w:type="gramStart"/>
            <w:r w:rsidRPr="009A34E1">
              <w:t>timely</w:t>
            </w:r>
            <w:proofErr w:type="gramEnd"/>
          </w:p>
          <w:p w14:paraId="33395A25" w14:textId="77777777" w:rsidR="00EB6FD8" w:rsidRPr="009A34E1" w:rsidRDefault="00EB6FD8" w:rsidP="00EB6FD8">
            <w:pPr>
              <w:pStyle w:val="Bullet1"/>
              <w:numPr>
                <w:ilvl w:val="0"/>
                <w:numId w:val="13"/>
              </w:numPr>
            </w:pPr>
            <w:r w:rsidRPr="009A34E1">
              <w:t xml:space="preserve">use the patient’s (or family/unpaid carer’s) preferred method in their preferred </w:t>
            </w:r>
            <w:proofErr w:type="gramStart"/>
            <w:r w:rsidRPr="009A34E1">
              <w:t>language</w:t>
            </w:r>
            <w:proofErr w:type="gramEnd"/>
          </w:p>
          <w:p w14:paraId="3A43FEA1" w14:textId="77777777" w:rsidR="00EB6FD8" w:rsidRPr="009A34E1" w:rsidRDefault="00EB6FD8" w:rsidP="00EB6FD8">
            <w:pPr>
              <w:pStyle w:val="Bullet1"/>
              <w:numPr>
                <w:ilvl w:val="0"/>
                <w:numId w:val="13"/>
              </w:numPr>
            </w:pPr>
            <w:r w:rsidRPr="009A34E1">
              <w:t xml:space="preserve">comply with privacy and health record legislation, regulations and </w:t>
            </w:r>
            <w:proofErr w:type="gramStart"/>
            <w:r w:rsidRPr="009A34E1">
              <w:t>standards</w:t>
            </w:r>
            <w:proofErr w:type="gramEnd"/>
          </w:p>
          <w:p w14:paraId="5D8C4160" w14:textId="2AA3CF05" w:rsidR="00EB6FD8" w:rsidRPr="009A34E1" w:rsidRDefault="00EB6FD8" w:rsidP="00EB6FD8">
            <w:pPr>
              <w:pStyle w:val="Bullet1"/>
              <w:numPr>
                <w:ilvl w:val="0"/>
                <w:numId w:val="13"/>
              </w:numPr>
            </w:pPr>
            <w:r w:rsidRPr="009A34E1">
              <w:lastRenderedPageBreak/>
              <w:t xml:space="preserve">align with </w:t>
            </w:r>
            <w:hyperlink r:id="rId29" w:history="1">
              <w:r w:rsidR="0000709D">
                <w:rPr>
                  <w:rStyle w:val="Hyperlink"/>
                </w:rPr>
                <w:t>Victoria’s digital health roadmap</w:t>
              </w:r>
            </w:hyperlink>
            <w:r w:rsidR="00460802">
              <w:rPr>
                <w:rStyle w:val="Hyperlink"/>
                <w:color w:val="auto"/>
                <w:u w:val="none"/>
              </w:rPr>
              <w:t>.</w:t>
            </w:r>
            <w:r w:rsidR="00A71404">
              <w:rPr>
                <w:rStyle w:val="FootnoteReference"/>
              </w:rPr>
              <w:footnoteReference w:id="12"/>
            </w:r>
            <w:r w:rsidR="00B5287A">
              <w:rPr>
                <w:rStyle w:val="Hyperlink"/>
                <w:color w:val="auto"/>
                <w:u w:val="none"/>
              </w:rPr>
              <w:t xml:space="preserve"> </w:t>
            </w:r>
            <w:r w:rsidR="00A71404" w:rsidRPr="009A34E1">
              <w:t xml:space="preserve"> </w:t>
            </w:r>
          </w:p>
          <w:p w14:paraId="193988ED" w14:textId="17ECD2DA" w:rsidR="00E84AC5" w:rsidRPr="009A34E1" w:rsidRDefault="00EB6FD8" w:rsidP="00EB6FD8">
            <w:pPr>
              <w:pStyle w:val="Bullet1"/>
              <w:numPr>
                <w:ilvl w:val="0"/>
                <w:numId w:val="13"/>
              </w:numPr>
            </w:pPr>
            <w:r w:rsidRPr="009A34E1">
              <w:t>be documented in the patient’s health record.</w:t>
            </w:r>
          </w:p>
        </w:tc>
        <w:tc>
          <w:tcPr>
            <w:tcW w:w="986" w:type="dxa"/>
          </w:tcPr>
          <w:p w14:paraId="4F46A7E4" w14:textId="77777777" w:rsidR="00E84AC5" w:rsidRPr="009A34E1" w:rsidRDefault="00E84AC5">
            <w:pPr>
              <w:pStyle w:val="DHHSbody"/>
              <w:rPr>
                <w:b/>
              </w:rPr>
            </w:pPr>
          </w:p>
        </w:tc>
        <w:tc>
          <w:tcPr>
            <w:tcW w:w="3281" w:type="dxa"/>
          </w:tcPr>
          <w:p w14:paraId="64A3ADB8" w14:textId="77777777" w:rsidR="00E84AC5" w:rsidRPr="009A34E1" w:rsidRDefault="00E84AC5">
            <w:pPr>
              <w:pStyle w:val="DHHSbody"/>
              <w:rPr>
                <w:b/>
              </w:rPr>
            </w:pPr>
          </w:p>
        </w:tc>
        <w:tc>
          <w:tcPr>
            <w:tcW w:w="3118" w:type="dxa"/>
          </w:tcPr>
          <w:p w14:paraId="764C4827" w14:textId="77777777" w:rsidR="00E84AC5" w:rsidRPr="009A34E1" w:rsidRDefault="00E84AC5">
            <w:pPr>
              <w:pStyle w:val="DHHSbody"/>
              <w:rPr>
                <w:b/>
              </w:rPr>
            </w:pPr>
          </w:p>
        </w:tc>
      </w:tr>
      <w:tr w:rsidR="00B10086" w:rsidRPr="009A34E1" w14:paraId="6BE6EC31" w14:textId="77777777">
        <w:tc>
          <w:tcPr>
            <w:tcW w:w="7499" w:type="dxa"/>
          </w:tcPr>
          <w:p w14:paraId="3381162B" w14:textId="20D2337A" w:rsidR="00B10086" w:rsidRPr="009A34E1" w:rsidRDefault="008A2130" w:rsidP="00DD4274">
            <w:r w:rsidRPr="009A34E1">
              <w:rPr>
                <w:rFonts w:eastAsia="Times" w:cs="Arial"/>
              </w:rPr>
              <w:t>Health services should send reminders to patients before procedures or surgeries. This will help to ensure people to attend, reschedule or cancel. It will also remind them to bring appropriate documents on the day.</w:t>
            </w:r>
            <w:r w:rsidRPr="009A34E1">
              <w:t xml:space="preserve"> </w:t>
            </w:r>
          </w:p>
        </w:tc>
        <w:tc>
          <w:tcPr>
            <w:tcW w:w="986" w:type="dxa"/>
          </w:tcPr>
          <w:p w14:paraId="7A3C324E" w14:textId="77777777" w:rsidR="00B10086" w:rsidRPr="009A34E1" w:rsidRDefault="00B10086" w:rsidP="00B10086">
            <w:pPr>
              <w:pStyle w:val="DHHSbody"/>
              <w:rPr>
                <w:b/>
              </w:rPr>
            </w:pPr>
          </w:p>
        </w:tc>
        <w:tc>
          <w:tcPr>
            <w:tcW w:w="3281" w:type="dxa"/>
          </w:tcPr>
          <w:p w14:paraId="7262CD7F" w14:textId="77777777" w:rsidR="00B10086" w:rsidRPr="009A34E1" w:rsidRDefault="00B10086" w:rsidP="00B10086">
            <w:pPr>
              <w:pStyle w:val="DHHSbody"/>
              <w:rPr>
                <w:b/>
              </w:rPr>
            </w:pPr>
          </w:p>
        </w:tc>
        <w:tc>
          <w:tcPr>
            <w:tcW w:w="3118" w:type="dxa"/>
          </w:tcPr>
          <w:p w14:paraId="53728862" w14:textId="77777777" w:rsidR="00B10086" w:rsidRPr="009A34E1" w:rsidRDefault="00B10086" w:rsidP="00B10086">
            <w:pPr>
              <w:pStyle w:val="DHHSbody"/>
              <w:rPr>
                <w:b/>
              </w:rPr>
            </w:pPr>
          </w:p>
        </w:tc>
      </w:tr>
      <w:tr w:rsidR="00B10086" w:rsidRPr="009A34E1" w14:paraId="43EC6F48" w14:textId="77777777">
        <w:tc>
          <w:tcPr>
            <w:tcW w:w="7499" w:type="dxa"/>
          </w:tcPr>
          <w:p w14:paraId="5BA960B7" w14:textId="77777777" w:rsidR="00502A2F" w:rsidRPr="009A34E1" w:rsidRDefault="00502A2F" w:rsidP="00502A2F">
            <w:pPr>
              <w:pStyle w:val="Body"/>
            </w:pPr>
            <w:r w:rsidRPr="009A34E1">
              <w:t xml:space="preserve">The department has developed </w:t>
            </w:r>
            <w:hyperlink r:id="rId30" w:history="1">
              <w:r w:rsidRPr="009A34E1">
                <w:rPr>
                  <w:rStyle w:val="Hyperlink"/>
                  <w:color w:val="0563C1"/>
                </w:rPr>
                <w:t>planned surgery written communication templates</w:t>
              </w:r>
            </w:hyperlink>
            <w:r w:rsidRPr="009A34E1">
              <w:t>.</w:t>
            </w:r>
            <w:r w:rsidRPr="009A34E1">
              <w:rPr>
                <w:rStyle w:val="FootnoteReference"/>
              </w:rPr>
              <w:footnoteReference w:id="13"/>
            </w:r>
            <w:r w:rsidRPr="009A34E1">
              <w:t xml:space="preserve"> The templates will help to ensure consistent, respectful and clear communication from health services. </w:t>
            </w:r>
          </w:p>
          <w:p w14:paraId="4B928CEE" w14:textId="3F850D04" w:rsidR="00F21CCE" w:rsidRPr="009A34E1" w:rsidRDefault="00502A2F" w:rsidP="00BE7208">
            <w:r w:rsidRPr="009A34E1">
              <w:t>Appendix 3 contains a communications checklist for health services. Following the checklist will help to ensure patients understand what they need to do.</w:t>
            </w:r>
          </w:p>
        </w:tc>
        <w:tc>
          <w:tcPr>
            <w:tcW w:w="986" w:type="dxa"/>
          </w:tcPr>
          <w:p w14:paraId="50356FE2" w14:textId="77777777" w:rsidR="00B10086" w:rsidRPr="009A34E1" w:rsidRDefault="00B10086" w:rsidP="00B10086">
            <w:pPr>
              <w:pStyle w:val="DHHSbody"/>
              <w:rPr>
                <w:b/>
              </w:rPr>
            </w:pPr>
          </w:p>
        </w:tc>
        <w:tc>
          <w:tcPr>
            <w:tcW w:w="3281" w:type="dxa"/>
          </w:tcPr>
          <w:p w14:paraId="2D1220BF" w14:textId="77777777" w:rsidR="00B10086" w:rsidRPr="009A34E1" w:rsidRDefault="00B10086" w:rsidP="00B10086">
            <w:pPr>
              <w:pStyle w:val="DHHSbody"/>
              <w:rPr>
                <w:b/>
              </w:rPr>
            </w:pPr>
          </w:p>
        </w:tc>
        <w:tc>
          <w:tcPr>
            <w:tcW w:w="3118" w:type="dxa"/>
          </w:tcPr>
          <w:p w14:paraId="2B7F0B97" w14:textId="77777777" w:rsidR="00B10086" w:rsidRPr="009A34E1" w:rsidRDefault="00B10086" w:rsidP="00B10086">
            <w:pPr>
              <w:pStyle w:val="DHHSbody"/>
              <w:rPr>
                <w:b/>
              </w:rPr>
            </w:pPr>
          </w:p>
        </w:tc>
      </w:tr>
      <w:tr w:rsidR="007E0297" w:rsidRPr="009A34E1" w14:paraId="1F1E2E42" w14:textId="77777777">
        <w:tc>
          <w:tcPr>
            <w:tcW w:w="7499" w:type="dxa"/>
          </w:tcPr>
          <w:p w14:paraId="0ABA1CFD" w14:textId="25A19554" w:rsidR="007E0297" w:rsidRPr="009A34E1" w:rsidRDefault="00793792" w:rsidP="00ED76BF">
            <w:pPr>
              <w:pStyle w:val="Body"/>
              <w:rPr>
                <w:rFonts w:cs="Arial"/>
                <w:szCs w:val="21"/>
              </w:rPr>
            </w:pPr>
            <w:r w:rsidRPr="009A34E1">
              <w:rPr>
                <w:rFonts w:cs="Arial"/>
                <w:szCs w:val="21"/>
              </w:rPr>
              <w:t>Health services’ websites should provide accurate and up-to-date publicly available information about planned surgery and procedures. This includes information about how to access planned surgery.</w:t>
            </w:r>
          </w:p>
        </w:tc>
        <w:tc>
          <w:tcPr>
            <w:tcW w:w="986" w:type="dxa"/>
          </w:tcPr>
          <w:p w14:paraId="20F6C1E5" w14:textId="77777777" w:rsidR="007E0297" w:rsidRPr="009A34E1" w:rsidRDefault="007E0297" w:rsidP="00B10086">
            <w:pPr>
              <w:pStyle w:val="DHHSbody"/>
              <w:rPr>
                <w:b/>
              </w:rPr>
            </w:pPr>
          </w:p>
        </w:tc>
        <w:tc>
          <w:tcPr>
            <w:tcW w:w="3281" w:type="dxa"/>
          </w:tcPr>
          <w:p w14:paraId="35793992" w14:textId="77777777" w:rsidR="007E0297" w:rsidRPr="009A34E1" w:rsidRDefault="007E0297" w:rsidP="00B10086">
            <w:pPr>
              <w:pStyle w:val="DHHSbody"/>
              <w:rPr>
                <w:b/>
              </w:rPr>
            </w:pPr>
          </w:p>
        </w:tc>
        <w:tc>
          <w:tcPr>
            <w:tcW w:w="3118" w:type="dxa"/>
          </w:tcPr>
          <w:p w14:paraId="06A2658B" w14:textId="77777777" w:rsidR="007E0297" w:rsidRPr="009A34E1" w:rsidRDefault="007E0297" w:rsidP="00B10086">
            <w:pPr>
              <w:pStyle w:val="DHHSbody"/>
              <w:rPr>
                <w:b/>
              </w:rPr>
            </w:pPr>
          </w:p>
        </w:tc>
      </w:tr>
      <w:tr w:rsidR="007E0297" w:rsidRPr="009A34E1" w14:paraId="5F4C2FE7" w14:textId="77777777">
        <w:tc>
          <w:tcPr>
            <w:tcW w:w="7499" w:type="dxa"/>
          </w:tcPr>
          <w:p w14:paraId="63E16C9F" w14:textId="3D256543" w:rsidR="007E0297" w:rsidRPr="009A34E1" w:rsidRDefault="00B56EEB" w:rsidP="00F816A0">
            <w:pPr>
              <w:pStyle w:val="Body"/>
              <w:rPr>
                <w:rFonts w:cs="Arial"/>
                <w:szCs w:val="21"/>
              </w:rPr>
            </w:pPr>
            <w:r w:rsidRPr="009A34E1">
              <w:rPr>
                <w:rFonts w:cs="Arial"/>
                <w:szCs w:val="21"/>
              </w:rPr>
              <w:t xml:space="preserve">All communication and engagement with Aboriginal patients must be culturally safe and respectful. This supports Aboriginal self-determination and cultural safety. Health services should train staff in cultural safety for Aboriginal patients. </w:t>
            </w:r>
          </w:p>
        </w:tc>
        <w:tc>
          <w:tcPr>
            <w:tcW w:w="986" w:type="dxa"/>
          </w:tcPr>
          <w:p w14:paraId="5A10F703" w14:textId="77777777" w:rsidR="007E0297" w:rsidRPr="009A34E1" w:rsidRDefault="007E0297" w:rsidP="00B10086">
            <w:pPr>
              <w:pStyle w:val="DHHSbody"/>
              <w:rPr>
                <w:b/>
              </w:rPr>
            </w:pPr>
          </w:p>
        </w:tc>
        <w:tc>
          <w:tcPr>
            <w:tcW w:w="3281" w:type="dxa"/>
          </w:tcPr>
          <w:p w14:paraId="57E11377" w14:textId="77777777" w:rsidR="007E0297" w:rsidRPr="009A34E1" w:rsidRDefault="007E0297" w:rsidP="00B10086">
            <w:pPr>
              <w:pStyle w:val="DHHSbody"/>
              <w:rPr>
                <w:b/>
              </w:rPr>
            </w:pPr>
          </w:p>
        </w:tc>
        <w:tc>
          <w:tcPr>
            <w:tcW w:w="3118" w:type="dxa"/>
          </w:tcPr>
          <w:p w14:paraId="70B4B337" w14:textId="77777777" w:rsidR="007E0297" w:rsidRPr="009A34E1" w:rsidRDefault="007E0297" w:rsidP="00B10086">
            <w:pPr>
              <w:pStyle w:val="DHHSbody"/>
              <w:rPr>
                <w:b/>
              </w:rPr>
            </w:pPr>
          </w:p>
        </w:tc>
      </w:tr>
      <w:tr w:rsidR="00B10086" w:rsidRPr="009A34E1" w14:paraId="6E17E2E1" w14:textId="77777777">
        <w:tc>
          <w:tcPr>
            <w:tcW w:w="7499" w:type="dxa"/>
          </w:tcPr>
          <w:p w14:paraId="2427A8C7" w14:textId="77777777" w:rsidR="00AB409A" w:rsidRPr="009A34E1" w:rsidRDefault="00AB409A" w:rsidP="00AB409A">
            <w:pPr>
              <w:pStyle w:val="Body"/>
              <w:rPr>
                <w:rFonts w:cs="Arial"/>
                <w:szCs w:val="21"/>
              </w:rPr>
            </w:pPr>
            <w:r w:rsidRPr="009A34E1">
              <w:rPr>
                <w:rFonts w:cs="Arial"/>
                <w:szCs w:val="21"/>
              </w:rPr>
              <w:t>When communicating with patients on the preparation list, health services must tell the patient:</w:t>
            </w:r>
          </w:p>
          <w:p w14:paraId="2082B0D6" w14:textId="77777777" w:rsidR="00AB409A" w:rsidRPr="009A34E1" w:rsidRDefault="00AB409A" w:rsidP="00AB409A">
            <w:pPr>
              <w:pStyle w:val="Bullet1"/>
              <w:numPr>
                <w:ilvl w:val="0"/>
                <w:numId w:val="13"/>
              </w:numPr>
            </w:pPr>
            <w:r w:rsidRPr="009A34E1">
              <w:t xml:space="preserve">their clinical urgency category </w:t>
            </w:r>
          </w:p>
          <w:p w14:paraId="50C6D3B7" w14:textId="77777777" w:rsidR="00AB409A" w:rsidRPr="009A34E1" w:rsidRDefault="00AB409A" w:rsidP="00AB409A">
            <w:pPr>
              <w:pStyle w:val="Bullet1"/>
              <w:numPr>
                <w:ilvl w:val="0"/>
                <w:numId w:val="13"/>
              </w:numPr>
            </w:pPr>
            <w:r w:rsidRPr="009A34E1">
              <w:t>what to do if their condition deteriorates</w:t>
            </w:r>
          </w:p>
          <w:p w14:paraId="76B4E260" w14:textId="77777777" w:rsidR="00AB409A" w:rsidRPr="009A34E1" w:rsidRDefault="00AB409A" w:rsidP="00AB409A">
            <w:pPr>
              <w:pStyle w:val="Bullet1"/>
              <w:numPr>
                <w:ilvl w:val="0"/>
                <w:numId w:val="13"/>
              </w:numPr>
            </w:pPr>
            <w:r w:rsidRPr="009A34E1">
              <w:t xml:space="preserve">how to contact a doctor about health issues that might arise </w:t>
            </w:r>
          </w:p>
          <w:p w14:paraId="021D02CD" w14:textId="1B133C1D" w:rsidR="00B10086" w:rsidRPr="009A34E1" w:rsidRDefault="00AB409A" w:rsidP="00AB409A">
            <w:pPr>
              <w:pStyle w:val="Bullet1"/>
              <w:numPr>
                <w:ilvl w:val="0"/>
                <w:numId w:val="13"/>
              </w:numPr>
            </w:pPr>
            <w:r w:rsidRPr="009A34E1">
              <w:lastRenderedPageBreak/>
              <w:t>other supports available to them, including programs to assist with the costs of patient travel, interpreters, disability support and cultural safety support.</w:t>
            </w:r>
          </w:p>
        </w:tc>
        <w:tc>
          <w:tcPr>
            <w:tcW w:w="986" w:type="dxa"/>
          </w:tcPr>
          <w:p w14:paraId="2E013529" w14:textId="77777777" w:rsidR="00B10086" w:rsidRPr="009A34E1" w:rsidRDefault="00B10086" w:rsidP="00B10086">
            <w:pPr>
              <w:pStyle w:val="DHHSbody"/>
              <w:rPr>
                <w:b/>
              </w:rPr>
            </w:pPr>
          </w:p>
        </w:tc>
        <w:tc>
          <w:tcPr>
            <w:tcW w:w="3281" w:type="dxa"/>
          </w:tcPr>
          <w:p w14:paraId="7F6132B2" w14:textId="77777777" w:rsidR="00B10086" w:rsidRPr="009A34E1" w:rsidRDefault="00B10086" w:rsidP="00B10086">
            <w:pPr>
              <w:pStyle w:val="DHHSbody"/>
              <w:rPr>
                <w:b/>
              </w:rPr>
            </w:pPr>
          </w:p>
        </w:tc>
        <w:tc>
          <w:tcPr>
            <w:tcW w:w="3118" w:type="dxa"/>
          </w:tcPr>
          <w:p w14:paraId="4EE2CE79" w14:textId="77777777" w:rsidR="00B10086" w:rsidRPr="009A34E1" w:rsidRDefault="00B10086" w:rsidP="00B10086">
            <w:pPr>
              <w:pStyle w:val="DHHSbody"/>
              <w:rPr>
                <w:b/>
              </w:rPr>
            </w:pPr>
          </w:p>
        </w:tc>
      </w:tr>
      <w:tr w:rsidR="00B10086" w:rsidRPr="009A34E1" w14:paraId="58863F5D" w14:textId="77777777">
        <w:tc>
          <w:tcPr>
            <w:tcW w:w="14884" w:type="dxa"/>
            <w:gridSpan w:val="4"/>
          </w:tcPr>
          <w:p w14:paraId="2B117A1C" w14:textId="4DE5749B" w:rsidR="00B10086" w:rsidRPr="009A34E1" w:rsidRDefault="004A3DCB" w:rsidP="00B10086">
            <w:pPr>
              <w:pStyle w:val="DHHSbody"/>
              <w:rPr>
                <w:b/>
              </w:rPr>
            </w:pPr>
            <w:r w:rsidRPr="00AD3008">
              <w:rPr>
                <w:b/>
                <w:bCs/>
                <w:color w:val="595959" w:themeColor="text1" w:themeTint="A6"/>
              </w:rPr>
              <w:t>Section 7 Preparation list management</w:t>
            </w:r>
          </w:p>
        </w:tc>
      </w:tr>
      <w:tr w:rsidR="005B00CE" w:rsidRPr="009A34E1" w14:paraId="70803AD9" w14:textId="77777777">
        <w:tc>
          <w:tcPr>
            <w:tcW w:w="7499" w:type="dxa"/>
          </w:tcPr>
          <w:p w14:paraId="1FB1425F" w14:textId="770AB9B3" w:rsidR="005B00CE" w:rsidRPr="009A34E1" w:rsidRDefault="003B6407" w:rsidP="00F54337">
            <w:pPr>
              <w:pStyle w:val="Body"/>
            </w:pPr>
            <w:r w:rsidRPr="009A34E1">
              <w:t>Health services must keep accurate records of the preparation list and perform regular administrative and clinical audits of all patients.</w:t>
            </w:r>
          </w:p>
        </w:tc>
        <w:tc>
          <w:tcPr>
            <w:tcW w:w="986" w:type="dxa"/>
          </w:tcPr>
          <w:p w14:paraId="6E4C0988" w14:textId="77777777" w:rsidR="005B00CE" w:rsidRPr="009A34E1" w:rsidRDefault="005B00CE" w:rsidP="00B10086">
            <w:pPr>
              <w:pStyle w:val="DHHSbody"/>
              <w:rPr>
                <w:b/>
              </w:rPr>
            </w:pPr>
          </w:p>
        </w:tc>
        <w:tc>
          <w:tcPr>
            <w:tcW w:w="3281" w:type="dxa"/>
          </w:tcPr>
          <w:p w14:paraId="76168A22" w14:textId="77777777" w:rsidR="005B00CE" w:rsidRPr="009A34E1" w:rsidRDefault="005B00CE" w:rsidP="00B10086">
            <w:pPr>
              <w:pStyle w:val="DHHSbody"/>
              <w:rPr>
                <w:b/>
              </w:rPr>
            </w:pPr>
          </w:p>
        </w:tc>
        <w:tc>
          <w:tcPr>
            <w:tcW w:w="3118" w:type="dxa"/>
          </w:tcPr>
          <w:p w14:paraId="59BE3190" w14:textId="77777777" w:rsidR="005B00CE" w:rsidRPr="009A34E1" w:rsidRDefault="005B00CE" w:rsidP="00B10086">
            <w:pPr>
              <w:pStyle w:val="DHHSbody"/>
              <w:rPr>
                <w:b/>
              </w:rPr>
            </w:pPr>
          </w:p>
        </w:tc>
      </w:tr>
      <w:tr w:rsidR="00B10086" w:rsidRPr="009A34E1" w14:paraId="6DFADB45" w14:textId="77777777">
        <w:tc>
          <w:tcPr>
            <w:tcW w:w="7499" w:type="dxa"/>
          </w:tcPr>
          <w:p w14:paraId="614C8B72" w14:textId="77777777" w:rsidR="00F54337" w:rsidRPr="009A34E1" w:rsidRDefault="00F54337" w:rsidP="00F54337">
            <w:pPr>
              <w:pStyle w:val="Body"/>
            </w:pPr>
            <w:r w:rsidRPr="009A34E1">
              <w:t xml:space="preserve">As a minimum, the head of unit (or their delegate) at the health service must approve regular audits of patients in each clinical category on the preparation list. </w:t>
            </w:r>
          </w:p>
          <w:p w14:paraId="508E8CF9" w14:textId="77777777" w:rsidR="00F54337" w:rsidRPr="009A34E1" w:rsidRDefault="00F54337" w:rsidP="00C917AB">
            <w:pPr>
              <w:pStyle w:val="Bullet1"/>
            </w:pPr>
            <w:r w:rsidRPr="009A34E1">
              <w:t xml:space="preserve">category 1 – there must be a monthly clinical audit for patients waiting more than 30 days without a scheduled admission </w:t>
            </w:r>
            <w:proofErr w:type="gramStart"/>
            <w:r w:rsidRPr="009A34E1">
              <w:t>date</w:t>
            </w:r>
            <w:proofErr w:type="gramEnd"/>
          </w:p>
          <w:p w14:paraId="07C31044" w14:textId="77777777" w:rsidR="00F54337" w:rsidRPr="009A34E1" w:rsidRDefault="00F54337" w:rsidP="00C917AB">
            <w:pPr>
              <w:pStyle w:val="Bullet1"/>
            </w:pPr>
            <w:r w:rsidRPr="009A34E1">
              <w:t xml:space="preserve">category 2 – there must be a 3-monthly administrative and clinical audit for patients waiting more than 90 days without a scheduled admission </w:t>
            </w:r>
            <w:proofErr w:type="gramStart"/>
            <w:r w:rsidRPr="009A34E1">
              <w:t>date</w:t>
            </w:r>
            <w:proofErr w:type="gramEnd"/>
          </w:p>
          <w:p w14:paraId="29C56866" w14:textId="540A8D14" w:rsidR="00B10086" w:rsidRPr="009A34E1" w:rsidRDefault="00F54337" w:rsidP="00C917AB">
            <w:pPr>
              <w:pStyle w:val="Bullet1"/>
            </w:pPr>
            <w:r w:rsidRPr="009A34E1">
              <w:t>category 3 – there must be an administrative and clinical audit for all patients every 6 months.</w:t>
            </w:r>
          </w:p>
        </w:tc>
        <w:tc>
          <w:tcPr>
            <w:tcW w:w="986" w:type="dxa"/>
          </w:tcPr>
          <w:p w14:paraId="1542E56D" w14:textId="77777777" w:rsidR="00B10086" w:rsidRPr="009A34E1" w:rsidRDefault="00B10086" w:rsidP="00B10086">
            <w:pPr>
              <w:pStyle w:val="DHHSbody"/>
              <w:rPr>
                <w:b/>
              </w:rPr>
            </w:pPr>
          </w:p>
        </w:tc>
        <w:tc>
          <w:tcPr>
            <w:tcW w:w="3281" w:type="dxa"/>
          </w:tcPr>
          <w:p w14:paraId="42684E4E" w14:textId="77777777" w:rsidR="00B10086" w:rsidRPr="009A34E1" w:rsidRDefault="00B10086" w:rsidP="00B10086">
            <w:pPr>
              <w:pStyle w:val="DHHSbody"/>
              <w:rPr>
                <w:b/>
              </w:rPr>
            </w:pPr>
          </w:p>
        </w:tc>
        <w:tc>
          <w:tcPr>
            <w:tcW w:w="3118" w:type="dxa"/>
          </w:tcPr>
          <w:p w14:paraId="3690D9A8" w14:textId="77777777" w:rsidR="00B10086" w:rsidRPr="009A34E1" w:rsidRDefault="00B10086" w:rsidP="00B10086">
            <w:pPr>
              <w:pStyle w:val="DHHSbody"/>
              <w:rPr>
                <w:b/>
              </w:rPr>
            </w:pPr>
          </w:p>
        </w:tc>
      </w:tr>
      <w:tr w:rsidR="00834FD0" w:rsidRPr="009A34E1" w14:paraId="7D06B5EC" w14:textId="77777777">
        <w:tc>
          <w:tcPr>
            <w:tcW w:w="7499" w:type="dxa"/>
          </w:tcPr>
          <w:p w14:paraId="6B0A8392" w14:textId="70CD1947" w:rsidR="00834FD0" w:rsidRPr="009A34E1" w:rsidRDefault="00143F74" w:rsidP="00143F74">
            <w:pPr>
              <w:pStyle w:val="Bodyafterbullets"/>
            </w:pPr>
            <w:r w:rsidRPr="009A34E1">
              <w:t>Patients who exceed the nationally acceptable time for their clinical categorisation should be reviewed by the head of unit (or their delegate) to assess any clinical changes and potential category adjustments.</w:t>
            </w:r>
          </w:p>
        </w:tc>
        <w:tc>
          <w:tcPr>
            <w:tcW w:w="986" w:type="dxa"/>
          </w:tcPr>
          <w:p w14:paraId="0D666344" w14:textId="77777777" w:rsidR="00834FD0" w:rsidRPr="009A34E1" w:rsidRDefault="00834FD0" w:rsidP="00B10086">
            <w:pPr>
              <w:pStyle w:val="DHHSbody"/>
              <w:rPr>
                <w:b/>
              </w:rPr>
            </w:pPr>
          </w:p>
        </w:tc>
        <w:tc>
          <w:tcPr>
            <w:tcW w:w="3281" w:type="dxa"/>
          </w:tcPr>
          <w:p w14:paraId="2BFAD87C" w14:textId="77777777" w:rsidR="00834FD0" w:rsidRPr="009A34E1" w:rsidRDefault="00834FD0" w:rsidP="00B10086">
            <w:pPr>
              <w:pStyle w:val="DHHSbody"/>
              <w:rPr>
                <w:b/>
              </w:rPr>
            </w:pPr>
          </w:p>
        </w:tc>
        <w:tc>
          <w:tcPr>
            <w:tcW w:w="3118" w:type="dxa"/>
          </w:tcPr>
          <w:p w14:paraId="514FCA0A" w14:textId="77777777" w:rsidR="00834FD0" w:rsidRPr="009A34E1" w:rsidRDefault="00834FD0" w:rsidP="00B10086">
            <w:pPr>
              <w:pStyle w:val="DHHSbody"/>
              <w:rPr>
                <w:b/>
              </w:rPr>
            </w:pPr>
          </w:p>
        </w:tc>
      </w:tr>
      <w:tr w:rsidR="008417AA" w:rsidRPr="009A34E1" w14:paraId="023D64A2" w14:textId="77777777">
        <w:tc>
          <w:tcPr>
            <w:tcW w:w="7499" w:type="dxa"/>
          </w:tcPr>
          <w:p w14:paraId="45C13A6E" w14:textId="77777777" w:rsidR="005C0FEC" w:rsidRPr="009A34E1" w:rsidRDefault="005C0FEC" w:rsidP="005C0FEC">
            <w:pPr>
              <w:rPr>
                <w:rFonts w:eastAsia="Times" w:cs="Arial"/>
                <w:szCs w:val="21"/>
              </w:rPr>
            </w:pPr>
            <w:r w:rsidRPr="009A34E1">
              <w:rPr>
                <w:rFonts w:eastAsia="Times" w:cs="Arial"/>
                <w:szCs w:val="21"/>
              </w:rPr>
              <w:t xml:space="preserve">Health services must ensure each head of unit (or their delegate) receives 6-monthly reports detailing all removals from the preparation list due to death. </w:t>
            </w:r>
          </w:p>
          <w:p w14:paraId="145620A6" w14:textId="267967AC" w:rsidR="008417AA" w:rsidRPr="009A34E1" w:rsidRDefault="005C0FEC" w:rsidP="008417AA">
            <w:pPr>
              <w:rPr>
                <w:rFonts w:eastAsia="Times" w:cs="Arial"/>
                <w:szCs w:val="21"/>
              </w:rPr>
            </w:pPr>
            <w:r w:rsidRPr="009A34E1">
              <w:rPr>
                <w:rFonts w:eastAsia="Times" w:cs="Arial"/>
                <w:szCs w:val="21"/>
              </w:rPr>
              <w:t>Health services should monitor the type and number of deceased patients removed from the preparation list, including trends over time.</w:t>
            </w:r>
          </w:p>
        </w:tc>
        <w:tc>
          <w:tcPr>
            <w:tcW w:w="986" w:type="dxa"/>
          </w:tcPr>
          <w:p w14:paraId="472F2A31" w14:textId="77777777" w:rsidR="008417AA" w:rsidRPr="009A34E1" w:rsidRDefault="008417AA" w:rsidP="00B10086">
            <w:pPr>
              <w:pStyle w:val="DHHSbody"/>
              <w:rPr>
                <w:b/>
              </w:rPr>
            </w:pPr>
          </w:p>
        </w:tc>
        <w:tc>
          <w:tcPr>
            <w:tcW w:w="3281" w:type="dxa"/>
          </w:tcPr>
          <w:p w14:paraId="777261E1" w14:textId="77777777" w:rsidR="008417AA" w:rsidRPr="009A34E1" w:rsidRDefault="008417AA" w:rsidP="00B10086">
            <w:pPr>
              <w:pStyle w:val="DHHSbody"/>
              <w:rPr>
                <w:b/>
              </w:rPr>
            </w:pPr>
          </w:p>
        </w:tc>
        <w:tc>
          <w:tcPr>
            <w:tcW w:w="3118" w:type="dxa"/>
          </w:tcPr>
          <w:p w14:paraId="7A21EAE6" w14:textId="77777777" w:rsidR="008417AA" w:rsidRPr="009A34E1" w:rsidRDefault="008417AA" w:rsidP="00B10086">
            <w:pPr>
              <w:pStyle w:val="DHHSbody"/>
              <w:rPr>
                <w:b/>
              </w:rPr>
            </w:pPr>
          </w:p>
        </w:tc>
      </w:tr>
    </w:tbl>
    <w:p w14:paraId="0EEE199A" w14:textId="77777777" w:rsidR="009C34EA" w:rsidRPr="009A34E1" w:rsidRDefault="009C34EA" w:rsidP="009C34EA">
      <w:pPr>
        <w:pStyle w:val="Body"/>
      </w:pPr>
    </w:p>
    <w:p w14:paraId="70113ECE" w14:textId="77777777" w:rsidR="005D4CDC" w:rsidRPr="009A34E1" w:rsidRDefault="005D4CDC">
      <w:pPr>
        <w:spacing w:after="0" w:line="240" w:lineRule="auto"/>
        <w:rPr>
          <w:rFonts w:eastAsia="MS Gothic" w:cs="Arial"/>
          <w:bCs/>
          <w:color w:val="CC0066"/>
          <w:kern w:val="32"/>
          <w:sz w:val="40"/>
          <w:szCs w:val="40"/>
        </w:rPr>
      </w:pPr>
      <w:r w:rsidRPr="009A34E1">
        <w:rPr>
          <w:color w:val="CC0066"/>
        </w:rPr>
        <w:br w:type="page"/>
      </w:r>
    </w:p>
    <w:p w14:paraId="694975FD" w14:textId="6A19FEC4" w:rsidR="009C34EA" w:rsidRPr="009A34E1" w:rsidRDefault="009C34EA" w:rsidP="00AD3008">
      <w:pPr>
        <w:pStyle w:val="Heading2"/>
      </w:pPr>
      <w:bookmarkStart w:id="8" w:name="_Toc169700434"/>
      <w:r w:rsidRPr="009A34E1">
        <w:lastRenderedPageBreak/>
        <w:t>Policy requirements that should be implemented by J</w:t>
      </w:r>
      <w:r w:rsidR="008F4A07" w:rsidRPr="009A34E1">
        <w:t>une</w:t>
      </w:r>
      <w:r w:rsidRPr="009A34E1">
        <w:t xml:space="preserve"> 202</w:t>
      </w:r>
      <w:r w:rsidR="008F4A07" w:rsidRPr="009A34E1">
        <w:t>6</w:t>
      </w:r>
      <w:bookmarkEnd w:id="8"/>
    </w:p>
    <w:p w14:paraId="7E05028F" w14:textId="77777777" w:rsidR="00F9003F" w:rsidRPr="009A34E1" w:rsidRDefault="00F9003F" w:rsidP="00F9003F">
      <w:pPr>
        <w:pStyle w:val="Heading3"/>
      </w:pPr>
      <w:r w:rsidRPr="009A34E1">
        <w:t>Headline new requirements</w:t>
      </w:r>
    </w:p>
    <w:p w14:paraId="5154B545" w14:textId="77777777" w:rsidR="002E2E73" w:rsidRPr="009A34E1" w:rsidRDefault="002418B0" w:rsidP="002E2E73">
      <w:pPr>
        <w:pStyle w:val="Bullet1"/>
        <w:numPr>
          <w:ilvl w:val="0"/>
          <w:numId w:val="0"/>
        </w:numPr>
        <w:ind w:left="284" w:hanging="284"/>
      </w:pPr>
      <w:r w:rsidRPr="009A34E1">
        <w:rPr>
          <w:b/>
          <w:bCs/>
        </w:rPr>
        <w:t>Scope of the policy</w:t>
      </w:r>
      <w:r w:rsidRPr="009A34E1">
        <w:t xml:space="preserve"> </w:t>
      </w:r>
    </w:p>
    <w:p w14:paraId="24287EE4" w14:textId="4E884187" w:rsidR="004D52B8" w:rsidRPr="009A34E1" w:rsidRDefault="004D52B8" w:rsidP="004D52B8">
      <w:pPr>
        <w:pStyle w:val="Bullet1"/>
      </w:pPr>
      <w:r w:rsidRPr="009A34E1">
        <w:rPr>
          <w:lang w:val="en-US"/>
        </w:rPr>
        <w:t xml:space="preserve">This policy applies to all planned surgery and procedures listed in the </w:t>
      </w:r>
      <w:hyperlink r:id="rId31" w:history="1">
        <w:r w:rsidR="002E2E73" w:rsidRPr="009A34E1">
          <w:rPr>
            <w:rStyle w:val="Hyperlink"/>
            <w:rFonts w:cs="Arial"/>
          </w:rPr>
          <w:t>ESIS manual</w:t>
        </w:r>
      </w:hyperlink>
      <w:r w:rsidR="005E5F20">
        <w:rPr>
          <w:lang w:val="en-US"/>
        </w:rPr>
        <w:t xml:space="preserve"> &lt;</w:t>
      </w:r>
      <w:r w:rsidR="005E5F20" w:rsidRPr="005E5F20">
        <w:t xml:space="preserve"> </w:t>
      </w:r>
      <w:r w:rsidR="005E5F20" w:rsidRPr="005E5F20">
        <w:rPr>
          <w:lang w:val="en-US"/>
        </w:rPr>
        <w:t>https://www.health.vic.gov.au/data-reporting/elective-surgery-information-system-esis</w:t>
      </w:r>
      <w:r w:rsidR="005E5F20">
        <w:rPr>
          <w:lang w:val="en-US"/>
        </w:rPr>
        <w:t>&gt;</w:t>
      </w:r>
    </w:p>
    <w:p w14:paraId="4098BBAF" w14:textId="77777777" w:rsidR="004D52B8" w:rsidRPr="009A34E1" w:rsidRDefault="004D52B8" w:rsidP="004D52B8">
      <w:pPr>
        <w:pStyle w:val="Bullet1"/>
      </w:pPr>
      <w:r w:rsidRPr="009A34E1">
        <w:rPr>
          <w:lang w:val="en-US"/>
        </w:rPr>
        <w:t xml:space="preserve">The policy applies to all Victorian public hospitals, public health services, multi-purpose services and denominational hospitals. </w:t>
      </w:r>
    </w:p>
    <w:p w14:paraId="3E64EDA9" w14:textId="77777777" w:rsidR="004D52B8" w:rsidRPr="009A34E1" w:rsidRDefault="004D52B8" w:rsidP="004D52B8">
      <w:pPr>
        <w:pStyle w:val="Bullet1"/>
      </w:pPr>
      <w:r w:rsidRPr="009A34E1">
        <w:t>The policy applies to all planned surgery and procedures whether the patient elects to be treated as a public or private patient in a public health service.</w:t>
      </w:r>
    </w:p>
    <w:p w14:paraId="76D1A18E" w14:textId="77777777" w:rsidR="004E3FAA" w:rsidRPr="009A34E1" w:rsidRDefault="00244068" w:rsidP="004E3FAA">
      <w:pPr>
        <w:pStyle w:val="Bullet1"/>
        <w:numPr>
          <w:ilvl w:val="0"/>
          <w:numId w:val="0"/>
        </w:numPr>
      </w:pPr>
      <w:r w:rsidRPr="009A34E1">
        <w:rPr>
          <w:b/>
          <w:bCs/>
          <w:lang w:eastAsia="en-AU"/>
        </w:rPr>
        <w:t>Single preparation list</w:t>
      </w:r>
      <w:r w:rsidRPr="009A34E1">
        <w:rPr>
          <w:lang w:eastAsia="en-AU"/>
        </w:rPr>
        <w:t xml:space="preserve"> </w:t>
      </w:r>
    </w:p>
    <w:p w14:paraId="57DDCF81" w14:textId="77777777" w:rsidR="000A52F8" w:rsidRPr="009A34E1" w:rsidRDefault="000A52F8" w:rsidP="000A52F8">
      <w:pPr>
        <w:pStyle w:val="Bullet1"/>
      </w:pPr>
      <w:r w:rsidRPr="009A34E1">
        <w:rPr>
          <w:lang w:val="en-US"/>
        </w:rPr>
        <w:t>Health services must maintain a single preparation list for each surgical or procedural specialty.</w:t>
      </w:r>
    </w:p>
    <w:p w14:paraId="736E7D7F" w14:textId="77777777" w:rsidR="000A52F8" w:rsidRPr="009A34E1" w:rsidRDefault="000A52F8" w:rsidP="000A52F8">
      <w:pPr>
        <w:pStyle w:val="Bullet1"/>
      </w:pPr>
      <w:r w:rsidRPr="009A34E1">
        <w:t>Individual clinicians must not decide or manage who is on the preparation list. The head of unit at the health service is responsible for managing and overseeing the preparation list for their surgical or procedural speciality.</w:t>
      </w:r>
      <w:r w:rsidRPr="009A34E1">
        <w:rPr>
          <w:lang w:val="en-US"/>
        </w:rPr>
        <w:t xml:space="preserve"> </w:t>
      </w:r>
    </w:p>
    <w:p w14:paraId="70D17814" w14:textId="77777777" w:rsidR="000A52F8" w:rsidRPr="009A34E1" w:rsidRDefault="000A52F8" w:rsidP="000A52F8">
      <w:pPr>
        <w:pStyle w:val="Bullet1"/>
      </w:pPr>
      <w:r w:rsidRPr="009A34E1">
        <w:t>A list of waiting private patients must be kept by individual clinicians and must be separate to the health service’s single surgical and procedural preparation lists.</w:t>
      </w:r>
    </w:p>
    <w:p w14:paraId="5532B593" w14:textId="7639912B" w:rsidR="005D4CDC" w:rsidRPr="009A34E1" w:rsidRDefault="005D4CDC" w:rsidP="004E3FAA">
      <w:pPr>
        <w:pStyle w:val="Tablecaption"/>
      </w:pPr>
      <w:r w:rsidRPr="009A34E1">
        <w:t xml:space="preserve">Table 3 Policy requirements that </w:t>
      </w:r>
      <w:r w:rsidR="00F069FE" w:rsidRPr="009A34E1">
        <w:t>must</w:t>
      </w:r>
      <w:r w:rsidRPr="009A34E1">
        <w:t xml:space="preserve"> be implemented by J</w:t>
      </w:r>
      <w:r w:rsidR="00277B00" w:rsidRPr="009A34E1">
        <w:t>une</w:t>
      </w:r>
      <w:r w:rsidRPr="009A34E1">
        <w:t xml:space="preserve"> 202</w:t>
      </w:r>
      <w:r w:rsidR="00277B00" w:rsidRPr="009A34E1">
        <w:t>6</w:t>
      </w:r>
    </w:p>
    <w:tbl>
      <w:tblPr>
        <w:tblStyle w:val="TableGrid"/>
        <w:tblW w:w="14884" w:type="dxa"/>
        <w:tblInd w:w="-5" w:type="dxa"/>
        <w:tblLook w:val="04A0" w:firstRow="1" w:lastRow="0" w:firstColumn="1" w:lastColumn="0" w:noHBand="0" w:noVBand="1"/>
      </w:tblPr>
      <w:tblGrid>
        <w:gridCol w:w="9110"/>
        <w:gridCol w:w="938"/>
        <w:gridCol w:w="2459"/>
        <w:gridCol w:w="2377"/>
      </w:tblGrid>
      <w:tr w:rsidR="00DC1ED8" w:rsidRPr="009A34E1" w14:paraId="0B6924F2" w14:textId="77777777" w:rsidTr="0013593E">
        <w:trPr>
          <w:tblHeader/>
        </w:trPr>
        <w:tc>
          <w:tcPr>
            <w:tcW w:w="9110" w:type="dxa"/>
          </w:tcPr>
          <w:p w14:paraId="3D70B208" w14:textId="77777777" w:rsidR="00DC1ED8" w:rsidRPr="00AD3008" w:rsidRDefault="00DC1ED8">
            <w:pPr>
              <w:pStyle w:val="Tablecolhead"/>
              <w:rPr>
                <w:color w:val="595959" w:themeColor="text1" w:themeTint="A6"/>
              </w:rPr>
            </w:pPr>
            <w:r w:rsidRPr="00AD3008">
              <w:rPr>
                <w:color w:val="595959" w:themeColor="text1" w:themeTint="A6"/>
              </w:rPr>
              <w:t>Obligations / requirements to be met:</w:t>
            </w:r>
          </w:p>
        </w:tc>
        <w:tc>
          <w:tcPr>
            <w:tcW w:w="938" w:type="dxa"/>
          </w:tcPr>
          <w:p w14:paraId="276ABC84" w14:textId="77777777" w:rsidR="00DC1ED8" w:rsidRPr="00AD3008" w:rsidRDefault="00DC1ED8">
            <w:pPr>
              <w:pStyle w:val="Tablecolhead"/>
              <w:rPr>
                <w:color w:val="595959" w:themeColor="text1" w:themeTint="A6"/>
              </w:rPr>
            </w:pPr>
            <w:r w:rsidRPr="00AD3008">
              <w:rPr>
                <w:color w:val="595959" w:themeColor="text1" w:themeTint="A6"/>
              </w:rPr>
              <w:t>Rating (1-5)</w:t>
            </w:r>
          </w:p>
        </w:tc>
        <w:tc>
          <w:tcPr>
            <w:tcW w:w="2459" w:type="dxa"/>
          </w:tcPr>
          <w:p w14:paraId="44CEE51A" w14:textId="77777777" w:rsidR="00DC1ED8" w:rsidRPr="00AD3008" w:rsidRDefault="00DC1ED8">
            <w:pPr>
              <w:pStyle w:val="Tablecolhead"/>
              <w:rPr>
                <w:color w:val="595959" w:themeColor="text1" w:themeTint="A6"/>
              </w:rPr>
            </w:pPr>
            <w:r w:rsidRPr="00AD3008">
              <w:rPr>
                <w:color w:val="595959" w:themeColor="text1" w:themeTint="A6"/>
              </w:rPr>
              <w:t>Gaps still to be addressed</w:t>
            </w:r>
          </w:p>
        </w:tc>
        <w:tc>
          <w:tcPr>
            <w:tcW w:w="2377" w:type="dxa"/>
          </w:tcPr>
          <w:p w14:paraId="5037E56B" w14:textId="16C4D581" w:rsidR="00DC1ED8" w:rsidRPr="00AD3008" w:rsidRDefault="00DC1ED8">
            <w:pPr>
              <w:pStyle w:val="Tablecolhead"/>
              <w:rPr>
                <w:color w:val="595959" w:themeColor="text1" w:themeTint="A6"/>
              </w:rPr>
            </w:pPr>
            <w:r w:rsidRPr="00AD3008">
              <w:rPr>
                <w:color w:val="595959" w:themeColor="text1" w:themeTint="A6"/>
              </w:rPr>
              <w:t>Comments</w:t>
            </w:r>
            <w:r w:rsidR="00BE6615" w:rsidRPr="00AD3008">
              <w:rPr>
                <w:color w:val="595959" w:themeColor="text1" w:themeTint="A6"/>
              </w:rPr>
              <w:t xml:space="preserve"> / issues</w:t>
            </w:r>
          </w:p>
        </w:tc>
      </w:tr>
      <w:tr w:rsidR="00DC1ED8" w:rsidRPr="009A34E1" w14:paraId="3FB0F8FB" w14:textId="77777777" w:rsidTr="0013593E">
        <w:tc>
          <w:tcPr>
            <w:tcW w:w="14884" w:type="dxa"/>
            <w:gridSpan w:val="4"/>
          </w:tcPr>
          <w:p w14:paraId="0E4D1F28" w14:textId="32FCA9A7" w:rsidR="00DC1ED8" w:rsidRPr="00AD3008" w:rsidRDefault="004A3DCB">
            <w:pPr>
              <w:pStyle w:val="DHHSbody"/>
              <w:rPr>
                <w:b/>
                <w:color w:val="595959" w:themeColor="text1" w:themeTint="A6"/>
              </w:rPr>
            </w:pPr>
            <w:r w:rsidRPr="00AD3008">
              <w:rPr>
                <w:b/>
                <w:bCs/>
                <w:color w:val="595959" w:themeColor="text1" w:themeTint="A6"/>
              </w:rPr>
              <w:t>Section 2 About the policy</w:t>
            </w:r>
          </w:p>
        </w:tc>
      </w:tr>
      <w:tr w:rsidR="00184CC2" w:rsidRPr="009A34E1" w14:paraId="3F189C0E" w14:textId="77777777" w:rsidTr="0013593E">
        <w:tc>
          <w:tcPr>
            <w:tcW w:w="9110" w:type="dxa"/>
          </w:tcPr>
          <w:p w14:paraId="046D9801" w14:textId="77777777" w:rsidR="00577437" w:rsidRPr="009A34E1" w:rsidRDefault="00577437" w:rsidP="00577437">
            <w:pPr>
              <w:rPr>
                <w:rFonts w:eastAsia="Times" w:cs="Arial"/>
              </w:rPr>
            </w:pPr>
            <w:r w:rsidRPr="009A34E1">
              <w:rPr>
                <w:rFonts w:eastAsia="Times" w:cs="Arial"/>
              </w:rPr>
              <w:t xml:space="preserve">This policy applies to all Victorian public hospitals, public health services, multipurpose </w:t>
            </w:r>
            <w:proofErr w:type="gramStart"/>
            <w:r w:rsidRPr="009A34E1">
              <w:rPr>
                <w:rFonts w:eastAsia="Times" w:cs="Arial"/>
              </w:rPr>
              <w:t>services</w:t>
            </w:r>
            <w:proofErr w:type="gramEnd"/>
            <w:r w:rsidRPr="009A34E1">
              <w:rPr>
                <w:rFonts w:eastAsia="Times" w:cs="Arial"/>
              </w:rPr>
              <w:t xml:space="preserve"> and denominational hospitals regardless of their ESIS reporting status.</w:t>
            </w:r>
          </w:p>
          <w:p w14:paraId="7B6CFE21" w14:textId="2CDFE64D" w:rsidR="00577437" w:rsidRPr="005E5F20" w:rsidRDefault="00577437" w:rsidP="005E5F20">
            <w:pPr>
              <w:pStyle w:val="Bullet1"/>
            </w:pPr>
            <w:r w:rsidRPr="009A34E1">
              <w:rPr>
                <w:rFonts w:cs="Arial"/>
              </w:rPr>
              <w:t xml:space="preserve">This policy applies to all planned surgery and procedures as identified in the </w:t>
            </w:r>
            <w:hyperlink r:id="rId32" w:history="1">
              <w:r w:rsidRPr="009A34E1">
                <w:rPr>
                  <w:rStyle w:val="Hyperlink"/>
                  <w:rFonts w:cs="Arial"/>
                </w:rPr>
                <w:t>ESIS manual</w:t>
              </w:r>
            </w:hyperlink>
            <w:r w:rsidR="005E5F20">
              <w:rPr>
                <w:rStyle w:val="Hyperlink"/>
                <w:rFonts w:cs="Arial"/>
              </w:rPr>
              <w:t xml:space="preserve"> </w:t>
            </w:r>
            <w:r w:rsidR="005E5F20">
              <w:rPr>
                <w:lang w:val="en-US"/>
              </w:rPr>
              <w:t>&lt;</w:t>
            </w:r>
            <w:r w:rsidR="005E5F20" w:rsidRPr="005E5F20">
              <w:t xml:space="preserve"> </w:t>
            </w:r>
            <w:r w:rsidR="005E5F20" w:rsidRPr="005E5F20">
              <w:rPr>
                <w:lang w:val="en-US"/>
              </w:rPr>
              <w:t>https://www.health.vic.gov.au/data-reporting/elective-surgery-information-system-esis</w:t>
            </w:r>
            <w:r w:rsidR="005E5F20">
              <w:rPr>
                <w:lang w:val="en-US"/>
              </w:rPr>
              <w:t>&gt;.</w:t>
            </w:r>
          </w:p>
          <w:p w14:paraId="1F5E38CB" w14:textId="77777777" w:rsidR="00577437" w:rsidRPr="009A34E1" w:rsidRDefault="00577437" w:rsidP="00577437">
            <w:pPr>
              <w:rPr>
                <w:rFonts w:eastAsia="Times" w:cs="Arial"/>
              </w:rPr>
            </w:pPr>
            <w:r w:rsidRPr="009A34E1">
              <w:rPr>
                <w:rFonts w:eastAsia="Times" w:cs="Arial"/>
              </w:rPr>
              <w:t>It applies whether the patient elects to be treated as a public or private patient in a public health service.</w:t>
            </w:r>
          </w:p>
          <w:p w14:paraId="4BB0A17C" w14:textId="77777777" w:rsidR="0013593E" w:rsidRPr="009A34E1" w:rsidRDefault="0013593E" w:rsidP="0013593E">
            <w:pPr>
              <w:rPr>
                <w:rFonts w:eastAsia="Times" w:cs="Arial"/>
                <w:szCs w:val="21"/>
              </w:rPr>
            </w:pPr>
            <w:r w:rsidRPr="009A34E1">
              <w:rPr>
                <w:rFonts w:eastAsia="Times" w:cs="Arial"/>
                <w:szCs w:val="21"/>
              </w:rPr>
              <w:t>The policy does not apply to:</w:t>
            </w:r>
          </w:p>
          <w:p w14:paraId="522FF6F9" w14:textId="77777777" w:rsidR="0013593E" w:rsidRPr="009A34E1" w:rsidRDefault="0013593E" w:rsidP="0013593E">
            <w:pPr>
              <w:pStyle w:val="Bullet1"/>
            </w:pPr>
            <w:r w:rsidRPr="009A34E1">
              <w:t xml:space="preserve">planned surgeries and procedures that are not ESIS </w:t>
            </w:r>
            <w:proofErr w:type="gramStart"/>
            <w:r w:rsidRPr="009A34E1">
              <w:t>reportable</w:t>
            </w:r>
            <w:proofErr w:type="gramEnd"/>
          </w:p>
          <w:p w14:paraId="1522A200" w14:textId="77777777" w:rsidR="0013593E" w:rsidRPr="009A34E1" w:rsidRDefault="0013593E" w:rsidP="0013593E">
            <w:pPr>
              <w:pStyle w:val="Bullet1"/>
            </w:pPr>
            <w:r w:rsidRPr="009A34E1">
              <w:lastRenderedPageBreak/>
              <w:t xml:space="preserve">planned surgeries such as organ transplants, caesareans and medical inductions of labour where the waiting time cannot be </w:t>
            </w:r>
            <w:proofErr w:type="gramStart"/>
            <w:r w:rsidRPr="009A34E1">
              <w:t>controlled</w:t>
            </w:r>
            <w:proofErr w:type="gramEnd"/>
          </w:p>
          <w:p w14:paraId="6CAD90EC" w14:textId="77777777" w:rsidR="0013593E" w:rsidRPr="009A34E1" w:rsidRDefault="0013593E" w:rsidP="0013593E">
            <w:pPr>
              <w:pStyle w:val="Bullet1"/>
            </w:pPr>
            <w:r w:rsidRPr="009A34E1">
              <w:t xml:space="preserve">emergency surgeries where a patient needs surgical care due to trauma or acute illness after </w:t>
            </w:r>
          </w:p>
          <w:p w14:paraId="599D8D0B" w14:textId="77777777" w:rsidR="0013593E" w:rsidRPr="009A34E1" w:rsidRDefault="0013593E" w:rsidP="0013593E">
            <w:pPr>
              <w:pStyle w:val="Bullet2"/>
            </w:pPr>
            <w:r w:rsidRPr="009A34E1">
              <w:t>presenting to an emergency department</w:t>
            </w:r>
          </w:p>
          <w:p w14:paraId="0C38BAA3" w14:textId="77777777" w:rsidR="0013593E" w:rsidRPr="009A34E1" w:rsidRDefault="0013593E" w:rsidP="0013593E">
            <w:pPr>
              <w:pStyle w:val="Bullet2"/>
            </w:pPr>
            <w:r w:rsidRPr="009A34E1">
              <w:t xml:space="preserve">direct emergency admission </w:t>
            </w:r>
          </w:p>
          <w:p w14:paraId="775CB84F" w14:textId="77777777" w:rsidR="0013593E" w:rsidRPr="009A34E1" w:rsidRDefault="0013593E" w:rsidP="0013593E">
            <w:pPr>
              <w:pStyle w:val="Bullet2"/>
            </w:pPr>
            <w:r w:rsidRPr="009A34E1">
              <w:t xml:space="preserve">readmission after leaving </w:t>
            </w:r>
            <w:proofErr w:type="gramStart"/>
            <w:r w:rsidRPr="009A34E1">
              <w:t>hospital</w:t>
            </w:r>
            <w:proofErr w:type="gramEnd"/>
          </w:p>
          <w:p w14:paraId="22FD2F45" w14:textId="03A04B38" w:rsidR="00184CC2" w:rsidRPr="009A34E1" w:rsidRDefault="0013593E" w:rsidP="00577437">
            <w:pPr>
              <w:pStyle w:val="Bullet1"/>
            </w:pPr>
            <w:r w:rsidRPr="009A34E1">
              <w:t>planned surgery for private patients performed in private health services or facilities.</w:t>
            </w:r>
          </w:p>
        </w:tc>
        <w:tc>
          <w:tcPr>
            <w:tcW w:w="938" w:type="dxa"/>
          </w:tcPr>
          <w:p w14:paraId="660B36F1" w14:textId="77777777" w:rsidR="00184CC2" w:rsidRPr="009A34E1" w:rsidRDefault="00184CC2">
            <w:pPr>
              <w:pStyle w:val="DHHSbody"/>
              <w:rPr>
                <w:b/>
              </w:rPr>
            </w:pPr>
          </w:p>
        </w:tc>
        <w:tc>
          <w:tcPr>
            <w:tcW w:w="2459" w:type="dxa"/>
          </w:tcPr>
          <w:p w14:paraId="5747A353" w14:textId="77777777" w:rsidR="00184CC2" w:rsidRPr="009A34E1" w:rsidRDefault="00184CC2">
            <w:pPr>
              <w:pStyle w:val="DHHSbody"/>
              <w:rPr>
                <w:b/>
              </w:rPr>
            </w:pPr>
          </w:p>
        </w:tc>
        <w:tc>
          <w:tcPr>
            <w:tcW w:w="2377" w:type="dxa"/>
          </w:tcPr>
          <w:p w14:paraId="725196F1" w14:textId="77777777" w:rsidR="00184CC2" w:rsidRPr="009A34E1" w:rsidRDefault="00184CC2">
            <w:pPr>
              <w:pStyle w:val="DHHSbody"/>
              <w:rPr>
                <w:b/>
              </w:rPr>
            </w:pPr>
          </w:p>
        </w:tc>
      </w:tr>
      <w:tr w:rsidR="00E24CA1" w:rsidRPr="009A34E1" w14:paraId="7C47DDE7" w14:textId="77777777" w:rsidTr="0013593E">
        <w:tc>
          <w:tcPr>
            <w:tcW w:w="9110" w:type="dxa"/>
          </w:tcPr>
          <w:p w14:paraId="74664729" w14:textId="0BF29237" w:rsidR="00E24CA1" w:rsidRPr="009A34E1" w:rsidRDefault="004A3DCB" w:rsidP="00924E8F">
            <w:pPr>
              <w:pStyle w:val="Tablecolhead"/>
              <w:rPr>
                <w:color w:val="CC0066"/>
              </w:rPr>
            </w:pPr>
            <w:r w:rsidRPr="00AD3008">
              <w:rPr>
                <w:color w:val="595959" w:themeColor="text1" w:themeTint="A6"/>
              </w:rPr>
              <w:t xml:space="preserve">Section </w:t>
            </w:r>
            <w:r w:rsidR="00806D50" w:rsidRPr="00AD3008">
              <w:rPr>
                <w:color w:val="595959" w:themeColor="text1" w:themeTint="A6"/>
              </w:rPr>
              <w:t xml:space="preserve">4 </w:t>
            </w:r>
            <w:r w:rsidR="00C06A9B" w:rsidRPr="00AD3008">
              <w:rPr>
                <w:color w:val="595959" w:themeColor="text1" w:themeTint="A6"/>
              </w:rPr>
              <w:t>Guiding principles</w:t>
            </w:r>
          </w:p>
        </w:tc>
        <w:tc>
          <w:tcPr>
            <w:tcW w:w="938" w:type="dxa"/>
          </w:tcPr>
          <w:p w14:paraId="12C4D86C" w14:textId="77777777" w:rsidR="00E24CA1" w:rsidRPr="009A34E1" w:rsidRDefault="00E24CA1">
            <w:pPr>
              <w:pStyle w:val="DHHSbody"/>
              <w:rPr>
                <w:b/>
              </w:rPr>
            </w:pPr>
          </w:p>
        </w:tc>
        <w:tc>
          <w:tcPr>
            <w:tcW w:w="2459" w:type="dxa"/>
          </w:tcPr>
          <w:p w14:paraId="24AF69B3" w14:textId="77777777" w:rsidR="00E24CA1" w:rsidRPr="009A34E1" w:rsidRDefault="00E24CA1">
            <w:pPr>
              <w:pStyle w:val="DHHSbody"/>
              <w:rPr>
                <w:b/>
              </w:rPr>
            </w:pPr>
          </w:p>
        </w:tc>
        <w:tc>
          <w:tcPr>
            <w:tcW w:w="2377" w:type="dxa"/>
          </w:tcPr>
          <w:p w14:paraId="7876AFEC" w14:textId="77777777" w:rsidR="00E24CA1" w:rsidRPr="009A34E1" w:rsidRDefault="00E24CA1">
            <w:pPr>
              <w:pStyle w:val="DHHSbody"/>
              <w:rPr>
                <w:b/>
              </w:rPr>
            </w:pPr>
          </w:p>
        </w:tc>
      </w:tr>
      <w:tr w:rsidR="00E24CA1" w:rsidRPr="009A34E1" w14:paraId="16C3726C" w14:textId="77777777" w:rsidTr="0013593E">
        <w:tc>
          <w:tcPr>
            <w:tcW w:w="9110" w:type="dxa"/>
          </w:tcPr>
          <w:p w14:paraId="6C18D9C8" w14:textId="4B455705" w:rsidR="00E24CA1" w:rsidRPr="009A34E1" w:rsidRDefault="007E3346" w:rsidP="007E3346">
            <w:pPr>
              <w:pStyle w:val="Bodyafterbullets"/>
            </w:pPr>
            <w:r w:rsidRPr="009A34E1">
              <w:t>Health services should analyse treat in turn rates as part of normal case review and preparation-list management.</w:t>
            </w:r>
          </w:p>
        </w:tc>
        <w:tc>
          <w:tcPr>
            <w:tcW w:w="938" w:type="dxa"/>
          </w:tcPr>
          <w:p w14:paraId="1067B908" w14:textId="77777777" w:rsidR="00E24CA1" w:rsidRPr="009A34E1" w:rsidRDefault="00E24CA1">
            <w:pPr>
              <w:pStyle w:val="DHHSbody"/>
              <w:rPr>
                <w:b/>
              </w:rPr>
            </w:pPr>
          </w:p>
        </w:tc>
        <w:tc>
          <w:tcPr>
            <w:tcW w:w="2459" w:type="dxa"/>
          </w:tcPr>
          <w:p w14:paraId="7632269E" w14:textId="77777777" w:rsidR="00E24CA1" w:rsidRPr="009A34E1" w:rsidRDefault="00E24CA1">
            <w:pPr>
              <w:pStyle w:val="DHHSbody"/>
              <w:rPr>
                <w:b/>
              </w:rPr>
            </w:pPr>
          </w:p>
        </w:tc>
        <w:tc>
          <w:tcPr>
            <w:tcW w:w="2377" w:type="dxa"/>
          </w:tcPr>
          <w:p w14:paraId="7D007CDF" w14:textId="77777777" w:rsidR="00E24CA1" w:rsidRPr="009A34E1" w:rsidRDefault="00E24CA1">
            <w:pPr>
              <w:pStyle w:val="DHHSbody"/>
              <w:rPr>
                <w:b/>
              </w:rPr>
            </w:pPr>
          </w:p>
        </w:tc>
      </w:tr>
      <w:tr w:rsidR="00DB1C54" w:rsidRPr="009A34E1" w14:paraId="750A0559" w14:textId="77777777" w:rsidTr="0013593E">
        <w:tc>
          <w:tcPr>
            <w:tcW w:w="14884" w:type="dxa"/>
            <w:gridSpan w:val="4"/>
          </w:tcPr>
          <w:p w14:paraId="6926153F" w14:textId="41750933" w:rsidR="00DB1C54" w:rsidRPr="009A34E1" w:rsidRDefault="004A3DCB">
            <w:pPr>
              <w:pStyle w:val="DHHSbody"/>
              <w:rPr>
                <w:b/>
              </w:rPr>
            </w:pPr>
            <w:r w:rsidRPr="00AD3008">
              <w:rPr>
                <w:b/>
                <w:bCs/>
                <w:color w:val="595959" w:themeColor="text1" w:themeTint="A6"/>
              </w:rPr>
              <w:t>Section 7 Preparation list management</w:t>
            </w:r>
          </w:p>
        </w:tc>
      </w:tr>
      <w:tr w:rsidR="004D74F4" w:rsidRPr="009A34E1" w14:paraId="16EB349A" w14:textId="77777777" w:rsidTr="0013593E">
        <w:tc>
          <w:tcPr>
            <w:tcW w:w="9110" w:type="dxa"/>
          </w:tcPr>
          <w:p w14:paraId="0F8B5F58" w14:textId="7054D58E" w:rsidR="004D74F4" w:rsidRPr="009A34E1" w:rsidRDefault="00D97AD3" w:rsidP="008C5365">
            <w:pPr>
              <w:tabs>
                <w:tab w:val="right" w:pos="9299"/>
              </w:tabs>
              <w:spacing w:afterLines="40" w:after="96"/>
              <w:rPr>
                <w:rFonts w:eastAsia="Times" w:cs="Arial"/>
                <w:szCs w:val="21"/>
              </w:rPr>
            </w:pPr>
            <w:r w:rsidRPr="009A34E1">
              <w:rPr>
                <w:rFonts w:eastAsia="Times" w:cs="Arial"/>
                <w:szCs w:val="21"/>
              </w:rPr>
              <w:t xml:space="preserve">Health services must maintain a single preparation list for each surgical or procedural specialty (such as endoscopies). </w:t>
            </w:r>
          </w:p>
        </w:tc>
        <w:tc>
          <w:tcPr>
            <w:tcW w:w="938" w:type="dxa"/>
          </w:tcPr>
          <w:p w14:paraId="70D563D2" w14:textId="77777777" w:rsidR="004D74F4" w:rsidRPr="009A34E1" w:rsidRDefault="004D74F4">
            <w:pPr>
              <w:pStyle w:val="DHHSbody"/>
              <w:rPr>
                <w:b/>
              </w:rPr>
            </w:pPr>
          </w:p>
        </w:tc>
        <w:tc>
          <w:tcPr>
            <w:tcW w:w="2459" w:type="dxa"/>
          </w:tcPr>
          <w:p w14:paraId="4563599D" w14:textId="77777777" w:rsidR="004D74F4" w:rsidRPr="009A34E1" w:rsidRDefault="004D74F4">
            <w:pPr>
              <w:pStyle w:val="DHHSbody"/>
              <w:rPr>
                <w:b/>
              </w:rPr>
            </w:pPr>
          </w:p>
        </w:tc>
        <w:tc>
          <w:tcPr>
            <w:tcW w:w="2377" w:type="dxa"/>
          </w:tcPr>
          <w:p w14:paraId="0F71AC49" w14:textId="77777777" w:rsidR="004D74F4" w:rsidRPr="009A34E1" w:rsidRDefault="004D74F4">
            <w:pPr>
              <w:pStyle w:val="DHHSbody"/>
              <w:rPr>
                <w:b/>
              </w:rPr>
            </w:pPr>
          </w:p>
        </w:tc>
      </w:tr>
      <w:tr w:rsidR="00FD1A06" w:rsidRPr="009A34E1" w14:paraId="3EBFFCE9" w14:textId="77777777" w:rsidTr="0013593E">
        <w:trPr>
          <w:trHeight w:val="341"/>
        </w:trPr>
        <w:tc>
          <w:tcPr>
            <w:tcW w:w="9110" w:type="dxa"/>
          </w:tcPr>
          <w:p w14:paraId="555A0FE4" w14:textId="77777777" w:rsidR="00C11EBA" w:rsidRPr="009A34E1" w:rsidRDefault="00C11EBA" w:rsidP="00C11EBA">
            <w:pPr>
              <w:tabs>
                <w:tab w:val="right" w:pos="9299"/>
              </w:tabs>
              <w:spacing w:afterLines="40" w:after="96"/>
              <w:rPr>
                <w:rFonts w:eastAsia="Times" w:cs="Arial"/>
                <w:szCs w:val="21"/>
              </w:rPr>
            </w:pPr>
            <w:r w:rsidRPr="009A34E1">
              <w:rPr>
                <w:rFonts w:eastAsia="Times" w:cs="Arial"/>
                <w:szCs w:val="21"/>
              </w:rPr>
              <w:t>The head of unit (or their delegate) at the health service is responsible for managing and overseeing the preparation list for their surgical or procedural speciality.</w:t>
            </w:r>
          </w:p>
          <w:p w14:paraId="38D28320" w14:textId="7C7419C8" w:rsidR="00FD1A06" w:rsidRPr="009A34E1" w:rsidRDefault="00F30500" w:rsidP="00581F9F">
            <w:pPr>
              <w:rPr>
                <w:rFonts w:eastAsia="Times" w:cs="Arial"/>
                <w:szCs w:val="21"/>
              </w:rPr>
            </w:pPr>
            <w:r w:rsidRPr="009A34E1">
              <w:rPr>
                <w:rFonts w:eastAsia="Times" w:cs="Arial"/>
                <w:szCs w:val="21"/>
              </w:rPr>
              <w:t xml:space="preserve">Individual clinicians must not decide or manage who is on the preparation list. </w:t>
            </w:r>
          </w:p>
        </w:tc>
        <w:tc>
          <w:tcPr>
            <w:tcW w:w="938" w:type="dxa"/>
          </w:tcPr>
          <w:p w14:paraId="7EFD34BE" w14:textId="77777777" w:rsidR="00FD1A06" w:rsidRPr="009A34E1" w:rsidRDefault="00FD1A06" w:rsidP="00FD1A06">
            <w:pPr>
              <w:pStyle w:val="DHHSbody"/>
              <w:rPr>
                <w:b/>
              </w:rPr>
            </w:pPr>
          </w:p>
        </w:tc>
        <w:tc>
          <w:tcPr>
            <w:tcW w:w="2459" w:type="dxa"/>
          </w:tcPr>
          <w:p w14:paraId="52DD6039" w14:textId="77777777" w:rsidR="00FD1A06" w:rsidRPr="009A34E1" w:rsidRDefault="00FD1A06" w:rsidP="00FD1A06">
            <w:pPr>
              <w:pStyle w:val="DHHSbody"/>
              <w:rPr>
                <w:b/>
              </w:rPr>
            </w:pPr>
          </w:p>
        </w:tc>
        <w:tc>
          <w:tcPr>
            <w:tcW w:w="2377" w:type="dxa"/>
          </w:tcPr>
          <w:p w14:paraId="11C146A6" w14:textId="77777777" w:rsidR="00FD1A06" w:rsidRPr="009A34E1" w:rsidRDefault="00FD1A06" w:rsidP="00FD1A06">
            <w:pPr>
              <w:pStyle w:val="DHHSbody"/>
              <w:rPr>
                <w:b/>
              </w:rPr>
            </w:pPr>
          </w:p>
        </w:tc>
      </w:tr>
      <w:tr w:rsidR="00FD1A06" w:rsidRPr="009A34E1" w14:paraId="12657E3F" w14:textId="77777777" w:rsidTr="0013593E">
        <w:trPr>
          <w:trHeight w:val="341"/>
        </w:trPr>
        <w:tc>
          <w:tcPr>
            <w:tcW w:w="9110" w:type="dxa"/>
          </w:tcPr>
          <w:p w14:paraId="4E95BC99" w14:textId="77777777" w:rsidR="00406800" w:rsidRPr="009A34E1" w:rsidRDefault="00406800" w:rsidP="00406800">
            <w:pPr>
              <w:rPr>
                <w:rFonts w:eastAsia="Times" w:cs="Arial"/>
                <w:szCs w:val="21"/>
              </w:rPr>
            </w:pPr>
            <w:r w:rsidRPr="009A34E1">
              <w:rPr>
                <w:rFonts w:eastAsia="Times" w:cs="Arial"/>
                <w:szCs w:val="21"/>
              </w:rPr>
              <w:t xml:space="preserve">The principles outlined in </w:t>
            </w:r>
            <w:r w:rsidRPr="009A34E1">
              <w:rPr>
                <w:rFonts w:eastAsia="Times"/>
              </w:rPr>
              <w:t>Private patient: principles for public health services</w:t>
            </w:r>
            <w:r w:rsidRPr="009A34E1">
              <w:rPr>
                <w:rFonts w:eastAsia="Times" w:cs="Arial"/>
                <w:szCs w:val="21"/>
                <w:vertAlign w:val="superscript"/>
              </w:rPr>
              <w:t xml:space="preserve"> </w:t>
            </w:r>
            <w:r w:rsidRPr="009A34E1">
              <w:t xml:space="preserve">must apply to patients who use their private health insurance in public hospitals. </w:t>
            </w:r>
          </w:p>
          <w:p w14:paraId="61710B41" w14:textId="77777777" w:rsidR="00406800" w:rsidRPr="009A34E1" w:rsidRDefault="00406800" w:rsidP="00406800">
            <w:pPr>
              <w:rPr>
                <w:rFonts w:eastAsia="Times" w:cs="Arial"/>
                <w:szCs w:val="21"/>
              </w:rPr>
            </w:pPr>
            <w:r w:rsidRPr="009A34E1">
              <w:rPr>
                <w:rFonts w:eastAsia="Times" w:cs="Arial"/>
                <w:szCs w:val="21"/>
              </w:rPr>
              <w:t xml:space="preserve">All arrangements must comply with Commonwealth and Victorian policies, </w:t>
            </w:r>
            <w:proofErr w:type="gramStart"/>
            <w:r w:rsidRPr="009A34E1">
              <w:rPr>
                <w:rFonts w:eastAsia="Times" w:cs="Arial"/>
                <w:szCs w:val="21"/>
              </w:rPr>
              <w:t>legislation</w:t>
            </w:r>
            <w:proofErr w:type="gramEnd"/>
            <w:r w:rsidRPr="009A34E1">
              <w:rPr>
                <w:rFonts w:eastAsia="Times" w:cs="Arial"/>
                <w:szCs w:val="21"/>
              </w:rPr>
              <w:t xml:space="preserve"> and agreements. This includes the </w:t>
            </w:r>
            <w:r w:rsidRPr="009A34E1">
              <w:rPr>
                <w:rFonts w:eastAsia="Times"/>
              </w:rPr>
              <w:t>MBS billing policy framework</w:t>
            </w:r>
            <w:r w:rsidRPr="009A34E1">
              <w:t>: Victorian public hospitals. Arrangements</w:t>
            </w:r>
            <w:r w:rsidRPr="009A34E1">
              <w:rPr>
                <w:rFonts w:eastAsia="Times" w:cs="Arial"/>
                <w:szCs w:val="21"/>
              </w:rPr>
              <w:t xml:space="preserve"> m</w:t>
            </w:r>
            <w:r w:rsidRPr="009A34E1">
              <w:t>ust be available for audit by the department.</w:t>
            </w:r>
          </w:p>
          <w:p w14:paraId="66564FBB" w14:textId="71B84C99" w:rsidR="00FD1A06" w:rsidRPr="009A34E1" w:rsidRDefault="00611C6F" w:rsidP="00611C6F">
            <w:r w:rsidRPr="009A34E1">
              <w:lastRenderedPageBreak/>
              <w:t xml:space="preserve">The individual surgeon or procedural specialist must keep </w:t>
            </w:r>
            <w:r w:rsidRPr="009A34E1">
              <w:rPr>
                <w:rFonts w:eastAsia="Times" w:cs="Arial"/>
                <w:szCs w:val="21"/>
              </w:rPr>
              <w:t xml:space="preserve">a </w:t>
            </w:r>
            <w:r w:rsidRPr="009A34E1">
              <w:t>list of waiting private patients. Private lists must be held separately from the list of patients on the public health service’s preparation list.</w:t>
            </w:r>
          </w:p>
        </w:tc>
        <w:tc>
          <w:tcPr>
            <w:tcW w:w="938" w:type="dxa"/>
          </w:tcPr>
          <w:p w14:paraId="183DB804" w14:textId="77777777" w:rsidR="00FD1A06" w:rsidRPr="009A34E1" w:rsidRDefault="00FD1A06" w:rsidP="00FD1A06">
            <w:pPr>
              <w:pStyle w:val="DHHSbody"/>
              <w:rPr>
                <w:b/>
              </w:rPr>
            </w:pPr>
          </w:p>
        </w:tc>
        <w:tc>
          <w:tcPr>
            <w:tcW w:w="2459" w:type="dxa"/>
          </w:tcPr>
          <w:p w14:paraId="12C92754" w14:textId="77777777" w:rsidR="00FD1A06" w:rsidRPr="009A34E1" w:rsidRDefault="00FD1A06" w:rsidP="00FD1A06">
            <w:pPr>
              <w:pStyle w:val="DHHSbody"/>
              <w:rPr>
                <w:b/>
              </w:rPr>
            </w:pPr>
          </w:p>
        </w:tc>
        <w:tc>
          <w:tcPr>
            <w:tcW w:w="2377" w:type="dxa"/>
          </w:tcPr>
          <w:p w14:paraId="49F68BFE" w14:textId="77777777" w:rsidR="00FD1A06" w:rsidRPr="009A34E1" w:rsidRDefault="00FD1A06" w:rsidP="00FD1A06">
            <w:pPr>
              <w:pStyle w:val="DHHSbody"/>
              <w:rPr>
                <w:b/>
              </w:rPr>
            </w:pPr>
          </w:p>
        </w:tc>
      </w:tr>
    </w:tbl>
    <w:p w14:paraId="4989120E" w14:textId="77777777" w:rsidR="009C34EA" w:rsidRDefault="009C34EA" w:rsidP="00162CA9">
      <w:pPr>
        <w:pStyle w:val="Body"/>
      </w:pPr>
    </w:p>
    <w:p w14:paraId="7B84FAE3" w14:textId="77777777" w:rsidR="00120A1E" w:rsidRDefault="00120A1E" w:rsidP="00162CA9">
      <w:pPr>
        <w:pStyle w:val="Body"/>
      </w:pPr>
    </w:p>
    <w:tbl>
      <w:tblPr>
        <w:tblStyle w:val="TableGrid"/>
        <w:tblW w:w="0" w:type="auto"/>
        <w:tblCellMar>
          <w:bottom w:w="108" w:type="dxa"/>
        </w:tblCellMar>
        <w:tblLook w:val="0600" w:firstRow="0" w:lastRow="0" w:firstColumn="0" w:lastColumn="0" w:noHBand="1" w:noVBand="1"/>
      </w:tblPr>
      <w:tblGrid>
        <w:gridCol w:w="14879"/>
      </w:tblGrid>
      <w:tr w:rsidR="0096339F" w14:paraId="162BA302" w14:textId="77777777" w:rsidTr="008A1FCF">
        <w:tc>
          <w:tcPr>
            <w:tcW w:w="14879" w:type="dxa"/>
          </w:tcPr>
          <w:p w14:paraId="0D0FA904" w14:textId="44926A5E" w:rsidR="0096339F" w:rsidRPr="0055119B" w:rsidRDefault="0096339F" w:rsidP="00903AA2">
            <w:pPr>
              <w:pStyle w:val="Accessibilitypara"/>
            </w:pPr>
            <w:bookmarkStart w:id="9" w:name="_Hlk37240926"/>
            <w:r w:rsidRPr="0055119B">
              <w:t>To receive this document in another format</w:t>
            </w:r>
            <w:r>
              <w:t>,</w:t>
            </w:r>
            <w:r w:rsidRPr="0055119B">
              <w:t xml:space="preserve"> phone using the National Relay Service 13 36 77 if required, or email &lt;</w:t>
            </w:r>
            <w:r w:rsidR="00E54B33">
              <w:t>healthservice</w:t>
            </w:r>
            <w:r w:rsidR="00CB38D7">
              <w:t>s</w:t>
            </w:r>
            <w:r w:rsidR="00E54B33">
              <w:t>improvement@health.vic.gov.au</w:t>
            </w:r>
            <w:r w:rsidRPr="0055119B">
              <w:t>&gt;.</w:t>
            </w:r>
          </w:p>
          <w:p w14:paraId="2CD3ACFC" w14:textId="77777777" w:rsidR="0096339F" w:rsidRPr="0055119B" w:rsidRDefault="0096339F" w:rsidP="00903AA2">
            <w:pPr>
              <w:pStyle w:val="Imprint"/>
            </w:pPr>
            <w:r w:rsidRPr="0055119B">
              <w:t>Authorised and published by the Victorian Government, 1 Treasury Place, Melbourne.</w:t>
            </w:r>
          </w:p>
          <w:p w14:paraId="4FA011AB" w14:textId="04BFEFC1" w:rsidR="0096339F" w:rsidRPr="0055119B" w:rsidRDefault="0096339F" w:rsidP="00903AA2">
            <w:pPr>
              <w:pStyle w:val="Imprint"/>
            </w:pPr>
            <w:r w:rsidRPr="0055119B">
              <w:t xml:space="preserve">© State of Victoria, Australia, </w:t>
            </w:r>
            <w:r w:rsidRPr="001E2A36">
              <w:t>Department of Health</w:t>
            </w:r>
            <w:r w:rsidRPr="0055119B">
              <w:t>,</w:t>
            </w:r>
            <w:r w:rsidR="00E54B33">
              <w:t xml:space="preserve"> June 2024</w:t>
            </w:r>
            <w:r w:rsidRPr="0055119B">
              <w:t>.</w:t>
            </w:r>
          </w:p>
          <w:p w14:paraId="3507CDA6" w14:textId="6E90C7FB" w:rsidR="0096339F" w:rsidRPr="0055119B" w:rsidRDefault="0096339F" w:rsidP="00903AA2">
            <w:pPr>
              <w:pStyle w:val="Imprint"/>
            </w:pPr>
            <w:r w:rsidRPr="0055119B">
              <w:t xml:space="preserve">ISBN/ISSN </w:t>
            </w:r>
            <w:r w:rsidR="00A3438E">
              <w:rPr>
                <w:rFonts w:cs="Arial"/>
                <w:color w:val="000000"/>
              </w:rPr>
              <w:t xml:space="preserve">978-1-76131-599-2 </w:t>
            </w:r>
            <w:r w:rsidRPr="0055119B">
              <w:t>(online/</w:t>
            </w:r>
            <w:r w:rsidR="00A3438E" w:rsidRPr="0055119B">
              <w:t xml:space="preserve"> </w:t>
            </w:r>
            <w:r w:rsidRPr="0055119B">
              <w:t xml:space="preserve">Word) </w:t>
            </w:r>
          </w:p>
          <w:p w14:paraId="6A5D3E4B" w14:textId="1762D811" w:rsidR="0096339F" w:rsidRDefault="0096339F" w:rsidP="00296184">
            <w:pPr>
              <w:pStyle w:val="Imprint"/>
            </w:pPr>
            <w:r w:rsidRPr="0055119B">
              <w:t xml:space="preserve">Available at </w:t>
            </w:r>
            <w:hyperlink r:id="rId33" w:history="1">
              <w:r w:rsidR="004A0232">
                <w:rPr>
                  <w:rStyle w:val="Hyperlink"/>
                </w:rPr>
                <w:t>Surgical services policies and guides (health.vic.gov.au)</w:t>
              </w:r>
            </w:hyperlink>
            <w:r w:rsidR="004A0232">
              <w:t xml:space="preserve"> </w:t>
            </w:r>
            <w:r w:rsidRPr="0055119B">
              <w:t>&lt;</w:t>
            </w:r>
            <w:r w:rsidR="00296184" w:rsidRPr="00296184">
              <w:t>https://www.health.vic.gov.au/patient-care/surgical-services-policies-and-guides</w:t>
            </w:r>
            <w:r w:rsidRPr="0055119B">
              <w:t>&gt;</w:t>
            </w:r>
            <w:r w:rsidRPr="00E33237">
              <w:rPr>
                <w:color w:val="004C97"/>
              </w:rPr>
              <w:t xml:space="preserve"> </w:t>
            </w:r>
          </w:p>
        </w:tc>
      </w:tr>
      <w:bookmarkEnd w:id="9"/>
    </w:tbl>
    <w:p w14:paraId="217A2A91" w14:textId="62BDC696" w:rsidR="00120A1E" w:rsidRPr="009A34E1" w:rsidRDefault="00120A1E" w:rsidP="00162CA9">
      <w:pPr>
        <w:pStyle w:val="Body"/>
      </w:pPr>
    </w:p>
    <w:sectPr w:rsidR="00120A1E" w:rsidRPr="009A34E1" w:rsidSect="00C3696F">
      <w:footerReference w:type="default" r:id="rId34"/>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41764" w14:textId="77777777" w:rsidR="00335F80" w:rsidRDefault="00335F80">
      <w:r>
        <w:separator/>
      </w:r>
    </w:p>
    <w:p w14:paraId="0072142D" w14:textId="77777777" w:rsidR="00335F80" w:rsidRDefault="00335F80"/>
  </w:endnote>
  <w:endnote w:type="continuationSeparator" w:id="0">
    <w:p w14:paraId="4F6CE9F2" w14:textId="77777777" w:rsidR="00335F80" w:rsidRDefault="00335F80">
      <w:r>
        <w:continuationSeparator/>
      </w:r>
    </w:p>
    <w:p w14:paraId="2057C9C3" w14:textId="77777777" w:rsidR="00335F80" w:rsidRDefault="00335F80"/>
  </w:endnote>
  <w:endnote w:type="continuationNotice" w:id="1">
    <w:p w14:paraId="5F3D101F" w14:textId="77777777" w:rsidR="00335F80" w:rsidRDefault="00335F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39DB0" w14:textId="77777777" w:rsidR="00E261B3" w:rsidRPr="00F65AA9" w:rsidRDefault="00C3696F" w:rsidP="00EF2C72">
    <w:pPr>
      <w:pStyle w:val="Footer"/>
    </w:pPr>
    <w:r>
      <w:rPr>
        <w:noProof/>
        <w:lang w:eastAsia="en-AU"/>
      </w:rPr>
      <w:drawing>
        <wp:anchor distT="0" distB="0" distL="114300" distR="114300" simplePos="0" relativeHeight="251658242" behindDoc="1" locked="1" layoutInCell="1" allowOverlap="1" wp14:anchorId="0154499C" wp14:editId="19989BD9">
          <wp:simplePos x="533400" y="6210300"/>
          <wp:positionH relativeFrom="page">
            <wp:align>left</wp:align>
          </wp:positionH>
          <wp:positionV relativeFrom="page">
            <wp:align>bottom</wp:align>
          </wp:positionV>
          <wp:extent cx="10692000" cy="900000"/>
          <wp:effectExtent l="0" t="0" r="0" b="0"/>
          <wp:wrapNone/>
          <wp:docPr id="1850424627" name="Picture 1850424627"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sidR="00925DD5">
      <w:rPr>
        <w:noProof/>
        <w:lang w:eastAsia="en-AU"/>
      </w:rPr>
      <mc:AlternateContent>
        <mc:Choice Requires="wps">
          <w:drawing>
            <wp:anchor distT="0" distB="0" distL="114300" distR="114300" simplePos="0" relativeHeight="251658240" behindDoc="0" locked="0" layoutInCell="0" allowOverlap="1" wp14:anchorId="0E9F93D3" wp14:editId="1AF6C947">
              <wp:simplePos x="0" y="0"/>
              <wp:positionH relativeFrom="page">
                <wp:posOffset>0</wp:posOffset>
              </wp:positionH>
              <wp:positionV relativeFrom="page">
                <wp:posOffset>7057390</wp:posOffset>
              </wp:positionV>
              <wp:extent cx="10692130" cy="311785"/>
              <wp:effectExtent l="0" t="0" r="0" b="12065"/>
              <wp:wrapNone/>
              <wp:docPr id="7" name="Text Box 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DA74F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9F93D3" id="_x0000_t202" coordsize="21600,21600" o:spt="202" path="m,l,21600r21600,l21600,xe">
              <v:stroke joinstyle="miter"/>
              <v:path gradientshapeok="t" o:connecttype="rect"/>
            </v:shapetype>
            <v:shape id="Text Box 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3ADA74F1"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C4A2" w14:textId="77777777" w:rsidR="00E261B3" w:rsidRDefault="00925DD5">
    <w:pPr>
      <w:pStyle w:val="Footer"/>
    </w:pPr>
    <w:r>
      <w:rPr>
        <w:noProof/>
      </w:rPr>
      <mc:AlternateContent>
        <mc:Choice Requires="wps">
          <w:drawing>
            <wp:anchor distT="0" distB="0" distL="114300" distR="114300" simplePos="0" relativeHeight="251658241" behindDoc="0" locked="0" layoutInCell="0" allowOverlap="1" wp14:anchorId="08946CCB" wp14:editId="411E6839">
              <wp:simplePos x="0" y="0"/>
              <wp:positionH relativeFrom="page">
                <wp:posOffset>0</wp:posOffset>
              </wp:positionH>
              <wp:positionV relativeFrom="page">
                <wp:posOffset>7057866</wp:posOffset>
              </wp:positionV>
              <wp:extent cx="10692130" cy="311785"/>
              <wp:effectExtent l="0" t="0" r="0" b="12065"/>
              <wp:wrapNone/>
              <wp:docPr id="8" name="Text Box 8"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00D0C9"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946CCB" id="_x0000_t202" coordsize="21600,21600" o:spt="202" path="m,l,21600r21600,l21600,xe">
              <v:stroke joinstyle="miter"/>
              <v:path gradientshapeok="t" o:connecttype="rect"/>
            </v:shapetype>
            <v:shape id="Text Box 8" o:spid="_x0000_s1027" type="#_x0000_t202" alt="{&quot;HashCode&quot;:904758361,&quot;Height&quot;:595.0,&quot;Width&quot;:841.0,&quot;Placement&quot;:&quot;Footer&quot;,&quot;Index&quot;:&quot;FirstPage&quot;,&quot;Section&quot;:1,&quot;Top&quot;:0.0,&quot;Left&quot;:0.0}" style="position:absolute;left:0;text-align:left;margin-left:0;margin-top:555.75pt;width:841.9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" o:allowincell="f" filled="f" stroked="f" strokeweight=".5pt">
              <v:textbox inset=",0,,0">
                <w:txbxContent>
                  <w:p w14:paraId="4800D0C9"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CC0E7" w14:textId="77777777" w:rsidR="00C3696F" w:rsidRPr="00F65AA9" w:rsidRDefault="00C3696F" w:rsidP="00EF2C72">
    <w:pPr>
      <w:pStyle w:val="Footer"/>
    </w:pPr>
    <w:r>
      <w:rPr>
        <w:noProof/>
      </w:rPr>
      <mc:AlternateContent>
        <mc:Choice Requires="wps">
          <w:drawing>
            <wp:anchor distT="0" distB="0" distL="114300" distR="114300" simplePos="0" relativeHeight="251658243" behindDoc="0" locked="0" layoutInCell="0" allowOverlap="1" wp14:anchorId="469124F1" wp14:editId="4943059F">
              <wp:simplePos x="0" y="0"/>
              <wp:positionH relativeFrom="page">
                <wp:posOffset>0</wp:posOffset>
              </wp:positionH>
              <wp:positionV relativeFrom="page">
                <wp:posOffset>7057390</wp:posOffset>
              </wp:positionV>
              <wp:extent cx="10692130" cy="311785"/>
              <wp:effectExtent l="0" t="0" r="0" b="12065"/>
              <wp:wrapNone/>
              <wp:docPr id="5" name="Text Box 5"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CF588"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9124F1" id="_x0000_t202" coordsize="21600,21600" o:spt="202" path="m,l,21600r21600,l21600,xe">
              <v:stroke joinstyle="miter"/>
              <v:path gradientshapeok="t" o:connecttype="rect"/>
            </v:shapetype>
            <v:shape id="Text Box 5" o:spid="_x0000_s1028"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2F3CF588"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D9083" w14:textId="77777777" w:rsidR="00335F80" w:rsidRDefault="00335F80" w:rsidP="00207717">
      <w:pPr>
        <w:spacing w:before="120"/>
      </w:pPr>
      <w:r>
        <w:separator/>
      </w:r>
    </w:p>
  </w:footnote>
  <w:footnote w:type="continuationSeparator" w:id="0">
    <w:p w14:paraId="659BE737" w14:textId="77777777" w:rsidR="00335F80" w:rsidRDefault="00335F80">
      <w:r>
        <w:continuationSeparator/>
      </w:r>
    </w:p>
    <w:p w14:paraId="29021BD9" w14:textId="77777777" w:rsidR="00335F80" w:rsidRDefault="00335F80"/>
  </w:footnote>
  <w:footnote w:type="continuationNotice" w:id="1">
    <w:p w14:paraId="1909F53E" w14:textId="77777777" w:rsidR="00335F80" w:rsidRDefault="00335F80">
      <w:pPr>
        <w:spacing w:after="0" w:line="240" w:lineRule="auto"/>
      </w:pPr>
    </w:p>
  </w:footnote>
  <w:footnote w:id="2">
    <w:p w14:paraId="43D2B0ED" w14:textId="77777777" w:rsidR="008E3C81" w:rsidRDefault="008E3C81" w:rsidP="008E3C81">
      <w:pPr>
        <w:pStyle w:val="FootnoteText"/>
      </w:pPr>
      <w:r>
        <w:rPr>
          <w:rStyle w:val="FootnoteReference"/>
        </w:rPr>
        <w:footnoteRef/>
      </w:r>
      <w:r>
        <w:t xml:space="preserve"> &lt;</w:t>
      </w:r>
      <w:r w:rsidRPr="00244B7C">
        <w:t>https://www.health.vic.gov.au/publications/aboriginal-and-torres-strait-islander-cultural-safety-framework-part-1</w:t>
      </w:r>
      <w:r>
        <w:t>&gt;</w:t>
      </w:r>
    </w:p>
  </w:footnote>
  <w:footnote w:id="3">
    <w:p w14:paraId="55F12847" w14:textId="77777777" w:rsidR="00414A2B" w:rsidRDefault="00414A2B" w:rsidP="00414A2B">
      <w:pPr>
        <w:pStyle w:val="FootnoteText"/>
      </w:pPr>
      <w:r>
        <w:rPr>
          <w:rStyle w:val="FootnoteReference"/>
        </w:rPr>
        <w:footnoteRef/>
      </w:r>
      <w:r>
        <w:t xml:space="preserve"> &lt;</w:t>
      </w:r>
      <w:r w:rsidRPr="00083A31">
        <w:t>https://www.health.vic.gov.au/virtual-care-operational-framework</w:t>
      </w:r>
      <w:r>
        <w:t>&gt;</w:t>
      </w:r>
    </w:p>
  </w:footnote>
  <w:footnote w:id="4">
    <w:p w14:paraId="1FA31EF6" w14:textId="77777777" w:rsidR="00414A2B" w:rsidRDefault="00414A2B" w:rsidP="00414A2B">
      <w:pPr>
        <w:pStyle w:val="FootnoteText"/>
      </w:pPr>
      <w:r>
        <w:rPr>
          <w:rStyle w:val="FootnoteReference"/>
        </w:rPr>
        <w:footnoteRef/>
      </w:r>
      <w:r>
        <w:t xml:space="preserve"> &lt;</w:t>
      </w:r>
      <w:r w:rsidRPr="00C126B3">
        <w:t>https://www.health.vic.gov.au/publications/victorias-digital-health-roadmap</w:t>
      </w:r>
      <w:r>
        <w:t>&gt;</w:t>
      </w:r>
    </w:p>
  </w:footnote>
  <w:footnote w:id="5">
    <w:p w14:paraId="4FE77DD0" w14:textId="77777777" w:rsidR="00414A2B" w:rsidRDefault="00414A2B" w:rsidP="00414A2B">
      <w:pPr>
        <w:pStyle w:val="FootnoteText"/>
      </w:pPr>
      <w:r>
        <w:rPr>
          <w:rStyle w:val="FootnoteReference"/>
        </w:rPr>
        <w:footnoteRef/>
      </w:r>
      <w:r>
        <w:t xml:space="preserve"> &lt;</w:t>
      </w:r>
      <w:r w:rsidRPr="003C0EFA">
        <w:t>https://www.health.vic.gov.au/victorian-virtual-care-strategy</w:t>
      </w:r>
      <w:r>
        <w:t>&gt;</w:t>
      </w:r>
    </w:p>
  </w:footnote>
  <w:footnote w:id="6">
    <w:p w14:paraId="7358CF44" w14:textId="77777777" w:rsidR="001F1B0A" w:rsidRDefault="001F1B0A" w:rsidP="001F1B0A">
      <w:pPr>
        <w:pStyle w:val="FootnoteText"/>
      </w:pPr>
      <w:r>
        <w:rPr>
          <w:rStyle w:val="FootnoteReference"/>
        </w:rPr>
        <w:footnoteRef/>
      </w:r>
      <w:r>
        <w:t xml:space="preserve"> &lt;</w:t>
      </w:r>
      <w:r w:rsidRPr="00FC7546">
        <w:t>https://www.health.vic.gov.au/policy-and-funding-guidelines-for-health-services&gt;</w:t>
      </w:r>
    </w:p>
  </w:footnote>
  <w:footnote w:id="7">
    <w:p w14:paraId="3114548C" w14:textId="77777777" w:rsidR="001F1B0A" w:rsidRDefault="001F1B0A" w:rsidP="001F1B0A">
      <w:pPr>
        <w:pStyle w:val="FootnoteText"/>
      </w:pPr>
      <w:r>
        <w:rPr>
          <w:rStyle w:val="FootnoteReference"/>
        </w:rPr>
        <w:footnoteRef/>
      </w:r>
      <w:r>
        <w:t xml:space="preserve"> </w:t>
      </w:r>
      <w:r w:rsidRPr="00FC7546">
        <w:t>&lt;https://www.health.vic.gov.au/funding-performance-accountability/performance-monitoring-framework&gt;</w:t>
      </w:r>
    </w:p>
  </w:footnote>
  <w:footnote w:id="8">
    <w:p w14:paraId="73FC479D" w14:textId="77777777" w:rsidR="001F1B0A" w:rsidRDefault="001F1B0A" w:rsidP="001F1B0A">
      <w:pPr>
        <w:pStyle w:val="FootnoteText"/>
      </w:pPr>
      <w:r>
        <w:rPr>
          <w:rStyle w:val="FootnoteReference"/>
        </w:rPr>
        <w:footnoteRef/>
      </w:r>
      <w:r>
        <w:t xml:space="preserve"> &lt;</w:t>
      </w:r>
      <w:r w:rsidRPr="00E2381C">
        <w:t>https://www.health.vic.gov.au/hospitals-and-health-services/funding-performance-and-accountability</w:t>
      </w:r>
      <w:r>
        <w:t>&gt;</w:t>
      </w:r>
    </w:p>
  </w:footnote>
  <w:footnote w:id="9">
    <w:p w14:paraId="2C2AC277" w14:textId="77777777" w:rsidR="00D36B26" w:rsidRDefault="00D36B26" w:rsidP="00D36B26">
      <w:pPr>
        <w:pStyle w:val="FootnoteText"/>
      </w:pPr>
      <w:r>
        <w:rPr>
          <w:rStyle w:val="FootnoteReference"/>
        </w:rPr>
        <w:footnoteRef/>
      </w:r>
      <w:r>
        <w:t xml:space="preserve"> </w:t>
      </w:r>
      <w:r w:rsidRPr="00A96960">
        <w:t>&lt;</w:t>
      </w:r>
      <w:r w:rsidRPr="00136511">
        <w:t>https://www.health.vic.gov.au/publications/national-elective-surgery-urgency-categorisation-guideline-april-2015&gt;</w:t>
      </w:r>
    </w:p>
  </w:footnote>
  <w:footnote w:id="10">
    <w:p w14:paraId="40D05249" w14:textId="77777777" w:rsidR="00A1439F" w:rsidRDefault="00A1439F" w:rsidP="00A1439F">
      <w:pPr>
        <w:pStyle w:val="FootnoteText"/>
      </w:pPr>
      <w:r>
        <w:rPr>
          <w:rStyle w:val="FootnoteReference"/>
        </w:rPr>
        <w:footnoteRef/>
      </w:r>
      <w:r>
        <w:t xml:space="preserve"> &lt;</w:t>
      </w:r>
      <w:r w:rsidRPr="00AA1C6D">
        <w:t>https://www.health.vic.gov.au/health-system-design-planning/perioperative-service-capability-framework-for-victoria</w:t>
      </w:r>
      <w:r>
        <w:t>&gt;</w:t>
      </w:r>
    </w:p>
  </w:footnote>
  <w:footnote w:id="11">
    <w:p w14:paraId="494A90DC" w14:textId="77777777" w:rsidR="007110A7" w:rsidRDefault="007110A7" w:rsidP="007110A7">
      <w:pPr>
        <w:pStyle w:val="FootnoteText"/>
      </w:pPr>
      <w:r>
        <w:rPr>
          <w:rStyle w:val="FootnoteReference"/>
        </w:rPr>
        <w:footnoteRef/>
      </w:r>
      <w:r>
        <w:t xml:space="preserve"> </w:t>
      </w:r>
      <w:r w:rsidRPr="00976301">
        <w:t>&lt;</w:t>
      </w:r>
      <w:r w:rsidRPr="00AA1C6D">
        <w:t>https://www.safercare.vic.gov.au/best-care-guidance-for-non-urgent-elective-surgery&gt;</w:t>
      </w:r>
    </w:p>
  </w:footnote>
  <w:footnote w:id="12">
    <w:p w14:paraId="4B7781E5" w14:textId="4534C454" w:rsidR="00A71404" w:rsidRDefault="00A71404">
      <w:pPr>
        <w:pStyle w:val="FootnoteText"/>
      </w:pPr>
      <w:r>
        <w:rPr>
          <w:rStyle w:val="FootnoteReference"/>
        </w:rPr>
        <w:footnoteRef/>
      </w:r>
      <w:r>
        <w:t xml:space="preserve"> &lt;</w:t>
      </w:r>
      <w:r w:rsidRPr="00C350CB">
        <w:t>https://www.health.vic.gov.au/publications/victorias-digital-health-roadmap</w:t>
      </w:r>
      <w:r>
        <w:t>&gt;</w:t>
      </w:r>
    </w:p>
  </w:footnote>
  <w:footnote w:id="13">
    <w:p w14:paraId="17E3BEFD" w14:textId="77777777" w:rsidR="00502A2F" w:rsidRDefault="00502A2F" w:rsidP="00502A2F">
      <w:pPr>
        <w:pStyle w:val="FootnoteText"/>
      </w:pPr>
      <w:r>
        <w:rPr>
          <w:rStyle w:val="FootnoteReference"/>
        </w:rPr>
        <w:footnoteRef/>
      </w:r>
      <w:r>
        <w:t xml:space="preserve"> &lt;https://www.health.vic.gov.au/patient-care/planned-surgery-access-policy-communication-toolkit&gt;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FBE17" w14:textId="77777777" w:rsidR="00FC1C3C" w:rsidRDefault="00FC1C3C" w:rsidP="00EF2C72">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80CA8" w14:textId="31D9283B" w:rsidR="00E261B3" w:rsidRPr="0051568D" w:rsidRDefault="009A0BA3" w:rsidP="0017674D">
    <w:pPr>
      <w:pStyle w:val="Header"/>
    </w:pPr>
    <w:r>
      <w:t xml:space="preserve">Planned Surgery Access Policy </w:t>
    </w:r>
    <w:r w:rsidR="00417610">
      <w:t>– Implementation tracker</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93A8045C"/>
    <w:numStyleLink w:val="ZZNumbersloweralpha"/>
  </w:abstractNum>
  <w:abstractNum w:abstractNumId="1" w15:restartNumberingAfterBreak="0">
    <w:nsid w:val="06D71A76"/>
    <w:multiLevelType w:val="multilevel"/>
    <w:tmpl w:val="5D40F912"/>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8D43DB"/>
    <w:multiLevelType w:val="multilevel"/>
    <w:tmpl w:val="FD3204DC"/>
    <w:numStyleLink w:val="ZZNumbersdigit"/>
  </w:abstractNum>
  <w:abstractNum w:abstractNumId="3"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C1712A1"/>
    <w:multiLevelType w:val="multilevel"/>
    <w:tmpl w:val="BF408D6A"/>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D534A2B"/>
    <w:multiLevelType w:val="multilevel"/>
    <w:tmpl w:val="138E6B30"/>
    <w:lvl w:ilvl="0">
      <w:start w:val="1"/>
      <w:numFmt w:val="bullet"/>
      <w:lvlText w:val="-"/>
      <w:lvlJc w:val="left"/>
      <w:pPr>
        <w:ind w:left="284" w:hanging="284"/>
      </w:pPr>
      <w:rPr>
        <w:rFonts w:ascii="VIC" w:eastAsia="Times" w:hAnsi="VIC" w:cs="Times New Roman" w:hint="default"/>
      </w:rPr>
    </w:lvl>
    <w:lvl w:ilvl="1">
      <w:start w:val="1"/>
      <w:numFmt w:val="bullet"/>
      <w:lvlText w:val=""/>
      <w:lvlJc w:val="left"/>
      <w:pPr>
        <w:ind w:left="644" w:hanging="360"/>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B512041"/>
    <w:multiLevelType w:val="hybridMultilevel"/>
    <w:tmpl w:val="F8326246"/>
    <w:lvl w:ilvl="0" w:tplc="8A86BA10">
      <w:start w:val="1"/>
      <w:numFmt w:val="decimal"/>
      <w:pStyle w:val="Style2"/>
      <w:lvlText w:val="%1.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E8D2E4E"/>
    <w:multiLevelType w:val="multilevel"/>
    <w:tmpl w:val="C63A4B3C"/>
    <w:lvl w:ilvl="0">
      <w:start w:val="1"/>
      <w:numFmt w:val="bullet"/>
      <w:lvlText w:val=""/>
      <w:lvlJc w:val="left"/>
      <w:pPr>
        <w:ind w:left="568" w:hanging="284"/>
      </w:pPr>
      <w:rPr>
        <w:rFonts w:ascii="Symbol" w:hAnsi="Symbol" w:hint="default"/>
      </w:rPr>
    </w:lvl>
    <w:lvl w:ilvl="1">
      <w:start w:val="1"/>
      <w:numFmt w:val="bullet"/>
      <w:lvlText w:val=""/>
      <w:lvlJc w:val="left"/>
      <w:pPr>
        <w:ind w:left="928" w:hanging="360"/>
      </w:pPr>
      <w:rPr>
        <w:rFonts w:ascii="Symbol" w:hAnsi="Symbol" w:hint="default"/>
      </w:rPr>
    </w:lvl>
    <w:lvl w:ilvl="2">
      <w:start w:val="1"/>
      <w:numFmt w:val="none"/>
      <w:lvlRestart w:val="0"/>
      <w:lvlText w:val=""/>
      <w:lvlJc w:val="left"/>
      <w:pPr>
        <w:ind w:left="284" w:firstLine="0"/>
      </w:pPr>
      <w:rPr>
        <w:rFonts w:hint="default"/>
      </w:rPr>
    </w:lvl>
    <w:lvl w:ilvl="3">
      <w:start w:val="1"/>
      <w:numFmt w:val="none"/>
      <w:lvlRestart w:val="0"/>
      <w:lvlText w:val=""/>
      <w:lvlJc w:val="left"/>
      <w:pPr>
        <w:ind w:left="284" w:firstLine="0"/>
      </w:pPr>
      <w:rPr>
        <w:rFonts w:hint="default"/>
      </w:rPr>
    </w:lvl>
    <w:lvl w:ilvl="4">
      <w:start w:val="1"/>
      <w:numFmt w:val="none"/>
      <w:lvlRestart w:val="0"/>
      <w:lvlText w:val=""/>
      <w:lvlJc w:val="left"/>
      <w:pPr>
        <w:ind w:left="284" w:firstLine="0"/>
      </w:pPr>
      <w:rPr>
        <w:rFonts w:hint="default"/>
      </w:rPr>
    </w:lvl>
    <w:lvl w:ilvl="5">
      <w:start w:val="1"/>
      <w:numFmt w:val="none"/>
      <w:lvlRestart w:val="0"/>
      <w:lvlText w:val=""/>
      <w:lvlJc w:val="left"/>
      <w:pPr>
        <w:ind w:left="284" w:firstLine="0"/>
      </w:pPr>
      <w:rPr>
        <w:rFonts w:hint="default"/>
      </w:rPr>
    </w:lvl>
    <w:lvl w:ilvl="6">
      <w:start w:val="1"/>
      <w:numFmt w:val="none"/>
      <w:lvlRestart w:val="0"/>
      <w:lvlText w:val=""/>
      <w:lvlJc w:val="left"/>
      <w:pPr>
        <w:ind w:left="284" w:firstLine="0"/>
      </w:pPr>
      <w:rPr>
        <w:rFonts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8" w15:restartNumberingAfterBreak="0">
    <w:nsid w:val="241B4D9E"/>
    <w:multiLevelType w:val="hybridMultilevel"/>
    <w:tmpl w:val="F2567686"/>
    <w:lvl w:ilvl="0" w:tplc="49AE07C4">
      <w:start w:val="1"/>
      <w:numFmt w:val="bullet"/>
      <w:lvlText w:val="-"/>
      <w:lvlJc w:val="left"/>
      <w:pPr>
        <w:ind w:left="644" w:hanging="360"/>
      </w:pPr>
      <w:rPr>
        <w:rFonts w:ascii="VIC" w:eastAsia="Times" w:hAnsi="VIC" w:cs="Times New Roman"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9" w15:restartNumberingAfterBreak="0">
    <w:nsid w:val="28D51B47"/>
    <w:multiLevelType w:val="multilevel"/>
    <w:tmpl w:val="4B4E7622"/>
    <w:numStyleLink w:val="ZZNumbers"/>
  </w:abstractNum>
  <w:abstractNum w:abstractNumId="10"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45C605A3"/>
    <w:multiLevelType w:val="hybridMultilevel"/>
    <w:tmpl w:val="0800458E"/>
    <w:lvl w:ilvl="0" w:tplc="90A6D432">
      <w:start w:val="1"/>
      <w:numFmt w:val="bullet"/>
      <w:pStyle w:val="DHHSbullet2"/>
      <w:lvlText w:val="-"/>
      <w:lvlJc w:val="left"/>
      <w:pPr>
        <w:ind w:left="1288" w:hanging="360"/>
      </w:pPr>
      <w:rPr>
        <w:rFonts w:ascii="Courier New" w:hAnsi="Courier New" w:hint="default"/>
      </w:rPr>
    </w:lvl>
    <w:lvl w:ilvl="1" w:tplc="0C090003">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4" w15:restartNumberingAfterBreak="0">
    <w:nsid w:val="47CB7FA0"/>
    <w:multiLevelType w:val="multilevel"/>
    <w:tmpl w:val="E2463E22"/>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38A26C3"/>
    <w:multiLevelType w:val="hybridMultilevel"/>
    <w:tmpl w:val="1D5EE8E8"/>
    <w:lvl w:ilvl="0" w:tplc="49AE07C4">
      <w:start w:val="1"/>
      <w:numFmt w:val="bullet"/>
      <w:lvlText w:val="-"/>
      <w:lvlJc w:val="left"/>
      <w:pPr>
        <w:ind w:left="644" w:hanging="360"/>
      </w:pPr>
      <w:rPr>
        <w:rFonts w:ascii="VIC" w:eastAsia="Times" w:hAnsi="VIC" w:cs="Times New Roman"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6"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9153F27"/>
    <w:multiLevelType w:val="hybridMultilevel"/>
    <w:tmpl w:val="E2F8E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0C533F"/>
    <w:multiLevelType w:val="hybridMultilevel"/>
    <w:tmpl w:val="B8C602AA"/>
    <w:lvl w:ilvl="0" w:tplc="49AE07C4">
      <w:start w:val="1"/>
      <w:numFmt w:val="bullet"/>
      <w:lvlText w:val="-"/>
      <w:lvlJc w:val="left"/>
      <w:pPr>
        <w:ind w:left="644" w:hanging="360"/>
      </w:pPr>
      <w:rPr>
        <w:rFonts w:ascii="VIC" w:eastAsia="Times" w:hAnsi="VIC"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0" w15:restartNumberingAfterBreak="0">
    <w:nsid w:val="5E652544"/>
    <w:multiLevelType w:val="hybridMultilevel"/>
    <w:tmpl w:val="FFFFFFFF"/>
    <w:styleLink w:val="ZZBullets11"/>
    <w:lvl w:ilvl="0" w:tplc="B8AE7F00">
      <w:start w:val="1"/>
      <w:numFmt w:val="bullet"/>
      <w:lvlText w:val=""/>
      <w:lvlJc w:val="left"/>
      <w:pPr>
        <w:ind w:left="360" w:hanging="360"/>
      </w:pPr>
      <w:rPr>
        <w:rFonts w:ascii="Symbol" w:hAnsi="Symbol" w:hint="default"/>
      </w:rPr>
    </w:lvl>
    <w:lvl w:ilvl="1" w:tplc="AE08FA68">
      <w:start w:val="1"/>
      <w:numFmt w:val="bullet"/>
      <w:lvlText w:val="o"/>
      <w:lvlJc w:val="left"/>
      <w:pPr>
        <w:ind w:left="1080" w:hanging="360"/>
      </w:pPr>
      <w:rPr>
        <w:rFonts w:ascii="Courier New" w:hAnsi="Courier New" w:hint="default"/>
      </w:rPr>
    </w:lvl>
    <w:lvl w:ilvl="2" w:tplc="EB7CB5FC">
      <w:start w:val="1"/>
      <w:numFmt w:val="bullet"/>
      <w:lvlText w:val=""/>
      <w:lvlJc w:val="left"/>
      <w:pPr>
        <w:ind w:left="1800" w:hanging="360"/>
      </w:pPr>
      <w:rPr>
        <w:rFonts w:ascii="Wingdings" w:hAnsi="Wingdings" w:hint="default"/>
      </w:rPr>
    </w:lvl>
    <w:lvl w:ilvl="3" w:tplc="39AE57B6">
      <w:start w:val="1"/>
      <w:numFmt w:val="bullet"/>
      <w:lvlText w:val=""/>
      <w:lvlJc w:val="left"/>
      <w:pPr>
        <w:ind w:left="2520" w:hanging="360"/>
      </w:pPr>
      <w:rPr>
        <w:rFonts w:ascii="Symbol" w:hAnsi="Symbol" w:hint="default"/>
      </w:rPr>
    </w:lvl>
    <w:lvl w:ilvl="4" w:tplc="37481DF2">
      <w:start w:val="1"/>
      <w:numFmt w:val="bullet"/>
      <w:lvlText w:val="o"/>
      <w:lvlJc w:val="left"/>
      <w:pPr>
        <w:ind w:left="3240" w:hanging="360"/>
      </w:pPr>
      <w:rPr>
        <w:rFonts w:ascii="Courier New" w:hAnsi="Courier New" w:hint="default"/>
      </w:rPr>
    </w:lvl>
    <w:lvl w:ilvl="5" w:tplc="30DE3A50">
      <w:start w:val="1"/>
      <w:numFmt w:val="bullet"/>
      <w:lvlText w:val=""/>
      <w:lvlJc w:val="left"/>
      <w:pPr>
        <w:ind w:left="3960" w:hanging="360"/>
      </w:pPr>
      <w:rPr>
        <w:rFonts w:ascii="Wingdings" w:hAnsi="Wingdings" w:hint="default"/>
      </w:rPr>
    </w:lvl>
    <w:lvl w:ilvl="6" w:tplc="8E8ACADA">
      <w:start w:val="1"/>
      <w:numFmt w:val="bullet"/>
      <w:lvlText w:val=""/>
      <w:lvlJc w:val="left"/>
      <w:pPr>
        <w:ind w:left="4680" w:hanging="360"/>
      </w:pPr>
      <w:rPr>
        <w:rFonts w:ascii="Symbol" w:hAnsi="Symbol" w:hint="default"/>
      </w:rPr>
    </w:lvl>
    <w:lvl w:ilvl="7" w:tplc="901CEF0E">
      <w:start w:val="1"/>
      <w:numFmt w:val="bullet"/>
      <w:lvlText w:val="o"/>
      <w:lvlJc w:val="left"/>
      <w:pPr>
        <w:ind w:left="5400" w:hanging="360"/>
      </w:pPr>
      <w:rPr>
        <w:rFonts w:ascii="Courier New" w:hAnsi="Courier New" w:hint="default"/>
      </w:rPr>
    </w:lvl>
    <w:lvl w:ilvl="8" w:tplc="B3868E54">
      <w:start w:val="1"/>
      <w:numFmt w:val="bullet"/>
      <w:lvlText w:val=""/>
      <w:lvlJc w:val="left"/>
      <w:pPr>
        <w:ind w:left="6120" w:hanging="360"/>
      </w:pPr>
      <w:rPr>
        <w:rFonts w:ascii="Wingdings" w:hAnsi="Wingdings" w:hint="default"/>
      </w:rPr>
    </w:lvl>
  </w:abstractNum>
  <w:abstractNum w:abstractNumId="21"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578712911">
    <w:abstractNumId w:val="11"/>
  </w:num>
  <w:num w:numId="2" w16cid:durableId="10083369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8706498">
    <w:abstractNumId w:val="17"/>
  </w:num>
  <w:num w:numId="4" w16cid:durableId="352809100">
    <w:abstractNumId w:val="16"/>
  </w:num>
  <w:num w:numId="5" w16cid:durableId="1788811517">
    <w:abstractNumId w:val="21"/>
  </w:num>
  <w:num w:numId="6" w16cid:durableId="891035779">
    <w:abstractNumId w:val="12"/>
  </w:num>
  <w:num w:numId="7" w16cid:durableId="808785530">
    <w:abstractNumId w:val="3"/>
  </w:num>
  <w:num w:numId="8" w16cid:durableId="1227737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86591102">
    <w:abstractNumId w:val="14"/>
  </w:num>
  <w:num w:numId="10" w16cid:durableId="2094007102">
    <w:abstractNumId w:val="10"/>
  </w:num>
  <w:num w:numId="11" w16cid:durableId="11308281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8059828">
    <w:abstractNumId w:val="18"/>
  </w:num>
  <w:num w:numId="13" w16cid:durableId="569731936">
    <w:abstractNumId w:val="17"/>
    <w:lvlOverride w:ilvl="0">
      <w:lvl w:ilvl="0">
        <w:start w:val="1"/>
        <w:numFmt w:val="bullet"/>
        <w:pStyle w:val="Bullet1"/>
        <w:lvlText w:val="•"/>
        <w:lvlJc w:val="left"/>
        <w:pPr>
          <w:ind w:left="284" w:hanging="284"/>
        </w:pPr>
      </w:lvl>
    </w:lvlOverride>
    <w:lvlOverride w:ilvl="1">
      <w:lvl w:ilvl="1">
        <w:start w:val="1"/>
        <w:numFmt w:val="bullet"/>
        <w:pStyle w:val="Bullet2"/>
        <w:lvlText w:val=""/>
        <w:lvlJc w:val="left"/>
        <w:pPr>
          <w:ind w:left="644" w:hanging="360"/>
        </w:pPr>
        <w:rPr>
          <w:rFonts w:ascii="Symbol" w:hAnsi="Symbol" w:hint="default"/>
        </w:rPr>
      </w:lvl>
    </w:lvlOverride>
    <w:lvlOverride w:ilvl="2">
      <w:lvl w:ilvl="2">
        <w:start w:val="1"/>
        <w:numFmt w:val="none"/>
        <w:lvlRestart w:val="0"/>
        <w:lvlText w:val=""/>
        <w:lvlJc w:val="left"/>
        <w:pPr>
          <w:ind w:left="0" w:firstLine="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4" w16cid:durableId="1399012358">
    <w:abstractNumId w:val="20"/>
  </w:num>
  <w:num w:numId="15" w16cid:durableId="1533421502">
    <w:abstractNumId w:val="6"/>
  </w:num>
  <w:num w:numId="16" w16cid:durableId="377167983">
    <w:abstractNumId w:val="13"/>
  </w:num>
  <w:num w:numId="17" w16cid:durableId="1785733773">
    <w:abstractNumId w:val="5"/>
  </w:num>
  <w:num w:numId="18" w16cid:durableId="109513589">
    <w:abstractNumId w:val="19"/>
  </w:num>
  <w:num w:numId="19" w16cid:durableId="867177435">
    <w:abstractNumId w:val="8"/>
  </w:num>
  <w:num w:numId="20" w16cid:durableId="1764178347">
    <w:abstractNumId w:val="15"/>
  </w:num>
  <w:num w:numId="21" w16cid:durableId="425810738">
    <w:abstractNumId w:val="7"/>
  </w:num>
  <w:num w:numId="22" w16cid:durableId="1196187852">
    <w:abstractNumId w:val="1"/>
  </w:num>
  <w:num w:numId="23" w16cid:durableId="1305503833">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FC2"/>
    <w:rsid w:val="00000719"/>
    <w:rsid w:val="0000175C"/>
    <w:rsid w:val="00002C36"/>
    <w:rsid w:val="00002D68"/>
    <w:rsid w:val="00003403"/>
    <w:rsid w:val="000038FD"/>
    <w:rsid w:val="00005347"/>
    <w:rsid w:val="00005CE5"/>
    <w:rsid w:val="0000709D"/>
    <w:rsid w:val="000072B6"/>
    <w:rsid w:val="0001021B"/>
    <w:rsid w:val="000116B7"/>
    <w:rsid w:val="00011D89"/>
    <w:rsid w:val="00012A8F"/>
    <w:rsid w:val="0001487F"/>
    <w:rsid w:val="000152F2"/>
    <w:rsid w:val="000154FD"/>
    <w:rsid w:val="00016258"/>
    <w:rsid w:val="00022271"/>
    <w:rsid w:val="00022D6D"/>
    <w:rsid w:val="000235E8"/>
    <w:rsid w:val="00024D89"/>
    <w:rsid w:val="000250B6"/>
    <w:rsid w:val="00033D81"/>
    <w:rsid w:val="00037366"/>
    <w:rsid w:val="00037A45"/>
    <w:rsid w:val="00041BF0"/>
    <w:rsid w:val="00042C8A"/>
    <w:rsid w:val="0004536B"/>
    <w:rsid w:val="00046B68"/>
    <w:rsid w:val="000502C0"/>
    <w:rsid w:val="000521C4"/>
    <w:rsid w:val="000527DD"/>
    <w:rsid w:val="000578B2"/>
    <w:rsid w:val="0005798F"/>
    <w:rsid w:val="00060959"/>
    <w:rsid w:val="00060C8F"/>
    <w:rsid w:val="0006298A"/>
    <w:rsid w:val="000663CD"/>
    <w:rsid w:val="00066784"/>
    <w:rsid w:val="00067709"/>
    <w:rsid w:val="00070A12"/>
    <w:rsid w:val="000733FE"/>
    <w:rsid w:val="00074219"/>
    <w:rsid w:val="000743B4"/>
    <w:rsid w:val="00074ED5"/>
    <w:rsid w:val="00080D5F"/>
    <w:rsid w:val="00084B9A"/>
    <w:rsid w:val="0008508E"/>
    <w:rsid w:val="00086557"/>
    <w:rsid w:val="00087951"/>
    <w:rsid w:val="000901A3"/>
    <w:rsid w:val="00090603"/>
    <w:rsid w:val="0009068D"/>
    <w:rsid w:val="0009113B"/>
    <w:rsid w:val="00093402"/>
    <w:rsid w:val="00094DA3"/>
    <w:rsid w:val="00096B76"/>
    <w:rsid w:val="00096CD1"/>
    <w:rsid w:val="000972CD"/>
    <w:rsid w:val="0009756B"/>
    <w:rsid w:val="000A012C"/>
    <w:rsid w:val="000A0EB9"/>
    <w:rsid w:val="000A186C"/>
    <w:rsid w:val="000A1EA4"/>
    <w:rsid w:val="000A2476"/>
    <w:rsid w:val="000A3DE6"/>
    <w:rsid w:val="000A52F8"/>
    <w:rsid w:val="000A560A"/>
    <w:rsid w:val="000A641A"/>
    <w:rsid w:val="000A6965"/>
    <w:rsid w:val="000B0C70"/>
    <w:rsid w:val="000B1AF4"/>
    <w:rsid w:val="000B2117"/>
    <w:rsid w:val="000B2615"/>
    <w:rsid w:val="000B27A0"/>
    <w:rsid w:val="000B3EDB"/>
    <w:rsid w:val="000B4064"/>
    <w:rsid w:val="000B4B22"/>
    <w:rsid w:val="000B543D"/>
    <w:rsid w:val="000B55F9"/>
    <w:rsid w:val="000B5BF7"/>
    <w:rsid w:val="000B5C71"/>
    <w:rsid w:val="000B6BC8"/>
    <w:rsid w:val="000C0303"/>
    <w:rsid w:val="000C42EA"/>
    <w:rsid w:val="000C4546"/>
    <w:rsid w:val="000D1242"/>
    <w:rsid w:val="000D1457"/>
    <w:rsid w:val="000D3E26"/>
    <w:rsid w:val="000D50E0"/>
    <w:rsid w:val="000E0970"/>
    <w:rsid w:val="000E2039"/>
    <w:rsid w:val="000E3CC7"/>
    <w:rsid w:val="000E6BD4"/>
    <w:rsid w:val="000E6D6D"/>
    <w:rsid w:val="000F1F1E"/>
    <w:rsid w:val="000F2259"/>
    <w:rsid w:val="000F2DDA"/>
    <w:rsid w:val="000F2EA0"/>
    <w:rsid w:val="000F5213"/>
    <w:rsid w:val="000F7611"/>
    <w:rsid w:val="000F7F6A"/>
    <w:rsid w:val="00101001"/>
    <w:rsid w:val="00101D3C"/>
    <w:rsid w:val="00103276"/>
    <w:rsid w:val="0010392D"/>
    <w:rsid w:val="0010447F"/>
    <w:rsid w:val="001047F0"/>
    <w:rsid w:val="00104FE3"/>
    <w:rsid w:val="0010714F"/>
    <w:rsid w:val="001119F9"/>
    <w:rsid w:val="001120C5"/>
    <w:rsid w:val="00114070"/>
    <w:rsid w:val="00114711"/>
    <w:rsid w:val="00120A1E"/>
    <w:rsid w:val="00120BD3"/>
    <w:rsid w:val="00121281"/>
    <w:rsid w:val="00121E34"/>
    <w:rsid w:val="001221F4"/>
    <w:rsid w:val="00122AF9"/>
    <w:rsid w:val="00122FEA"/>
    <w:rsid w:val="001232BD"/>
    <w:rsid w:val="0012423F"/>
    <w:rsid w:val="00124ED5"/>
    <w:rsid w:val="00126D78"/>
    <w:rsid w:val="001276FA"/>
    <w:rsid w:val="00131EBB"/>
    <w:rsid w:val="0013222F"/>
    <w:rsid w:val="00132E3A"/>
    <w:rsid w:val="00134763"/>
    <w:rsid w:val="001348F1"/>
    <w:rsid w:val="00135763"/>
    <w:rsid w:val="0013593E"/>
    <w:rsid w:val="0013641A"/>
    <w:rsid w:val="001374E4"/>
    <w:rsid w:val="00140CC6"/>
    <w:rsid w:val="00143F74"/>
    <w:rsid w:val="001447B3"/>
    <w:rsid w:val="00151598"/>
    <w:rsid w:val="00151B01"/>
    <w:rsid w:val="00152073"/>
    <w:rsid w:val="0015581B"/>
    <w:rsid w:val="00156598"/>
    <w:rsid w:val="001574D5"/>
    <w:rsid w:val="00161939"/>
    <w:rsid w:val="00161AA0"/>
    <w:rsid w:val="00161D2E"/>
    <w:rsid w:val="00161F3E"/>
    <w:rsid w:val="00162093"/>
    <w:rsid w:val="00162C9E"/>
    <w:rsid w:val="00162CA9"/>
    <w:rsid w:val="001635AC"/>
    <w:rsid w:val="00165459"/>
    <w:rsid w:val="00165A57"/>
    <w:rsid w:val="00170511"/>
    <w:rsid w:val="0017072F"/>
    <w:rsid w:val="00170ADA"/>
    <w:rsid w:val="001712C2"/>
    <w:rsid w:val="00172BAF"/>
    <w:rsid w:val="00173A72"/>
    <w:rsid w:val="00175D67"/>
    <w:rsid w:val="00176686"/>
    <w:rsid w:val="0017674D"/>
    <w:rsid w:val="001771DD"/>
    <w:rsid w:val="00177995"/>
    <w:rsid w:val="001779FE"/>
    <w:rsid w:val="00177A8C"/>
    <w:rsid w:val="00184CC2"/>
    <w:rsid w:val="00186B33"/>
    <w:rsid w:val="00191CD5"/>
    <w:rsid w:val="00192F9D"/>
    <w:rsid w:val="0019352B"/>
    <w:rsid w:val="001949E7"/>
    <w:rsid w:val="00196EB8"/>
    <w:rsid w:val="00196EFB"/>
    <w:rsid w:val="001979FF"/>
    <w:rsid w:val="00197B17"/>
    <w:rsid w:val="001A1950"/>
    <w:rsid w:val="001A1C54"/>
    <w:rsid w:val="001A202A"/>
    <w:rsid w:val="001A2C0B"/>
    <w:rsid w:val="001A3ACE"/>
    <w:rsid w:val="001B058F"/>
    <w:rsid w:val="001B2BB8"/>
    <w:rsid w:val="001B4C5E"/>
    <w:rsid w:val="001B6B96"/>
    <w:rsid w:val="001B7228"/>
    <w:rsid w:val="001B738B"/>
    <w:rsid w:val="001C09DB"/>
    <w:rsid w:val="001C0C69"/>
    <w:rsid w:val="001C277E"/>
    <w:rsid w:val="001C2A72"/>
    <w:rsid w:val="001C31B7"/>
    <w:rsid w:val="001C336B"/>
    <w:rsid w:val="001D0B11"/>
    <w:rsid w:val="001D0B75"/>
    <w:rsid w:val="001D39A5"/>
    <w:rsid w:val="001D3C09"/>
    <w:rsid w:val="001D44E8"/>
    <w:rsid w:val="001D60EC"/>
    <w:rsid w:val="001D6F59"/>
    <w:rsid w:val="001E325A"/>
    <w:rsid w:val="001E44DF"/>
    <w:rsid w:val="001E68A5"/>
    <w:rsid w:val="001E6BB0"/>
    <w:rsid w:val="001E7282"/>
    <w:rsid w:val="001F1B0A"/>
    <w:rsid w:val="001F3826"/>
    <w:rsid w:val="001F3CE4"/>
    <w:rsid w:val="001F4379"/>
    <w:rsid w:val="001F53C6"/>
    <w:rsid w:val="001F582A"/>
    <w:rsid w:val="001F6E46"/>
    <w:rsid w:val="001F7C91"/>
    <w:rsid w:val="00201921"/>
    <w:rsid w:val="002029F2"/>
    <w:rsid w:val="002033B7"/>
    <w:rsid w:val="00206463"/>
    <w:rsid w:val="00206F2F"/>
    <w:rsid w:val="00206F4C"/>
    <w:rsid w:val="00207717"/>
    <w:rsid w:val="0021053D"/>
    <w:rsid w:val="00210A92"/>
    <w:rsid w:val="00211E5D"/>
    <w:rsid w:val="00215778"/>
    <w:rsid w:val="00216ABC"/>
    <w:rsid w:val="00216C03"/>
    <w:rsid w:val="002203C2"/>
    <w:rsid w:val="00220C04"/>
    <w:rsid w:val="00221646"/>
    <w:rsid w:val="00222168"/>
    <w:rsid w:val="0022278D"/>
    <w:rsid w:val="00224A83"/>
    <w:rsid w:val="00226844"/>
    <w:rsid w:val="0022701F"/>
    <w:rsid w:val="00227C68"/>
    <w:rsid w:val="002306A8"/>
    <w:rsid w:val="00230757"/>
    <w:rsid w:val="0023121B"/>
    <w:rsid w:val="00231395"/>
    <w:rsid w:val="00232737"/>
    <w:rsid w:val="002333F5"/>
    <w:rsid w:val="00233724"/>
    <w:rsid w:val="002337C5"/>
    <w:rsid w:val="002365B4"/>
    <w:rsid w:val="00240395"/>
    <w:rsid w:val="00240B91"/>
    <w:rsid w:val="002418B0"/>
    <w:rsid w:val="002421AD"/>
    <w:rsid w:val="00242378"/>
    <w:rsid w:val="002432E1"/>
    <w:rsid w:val="00244068"/>
    <w:rsid w:val="00246207"/>
    <w:rsid w:val="002468B8"/>
    <w:rsid w:val="00246C5E"/>
    <w:rsid w:val="00250960"/>
    <w:rsid w:val="00250DC4"/>
    <w:rsid w:val="00251343"/>
    <w:rsid w:val="002528C0"/>
    <w:rsid w:val="002536A4"/>
    <w:rsid w:val="00254F58"/>
    <w:rsid w:val="00256258"/>
    <w:rsid w:val="00261093"/>
    <w:rsid w:val="00261204"/>
    <w:rsid w:val="0026201C"/>
    <w:rsid w:val="002620BC"/>
    <w:rsid w:val="00262802"/>
    <w:rsid w:val="00263A90"/>
    <w:rsid w:val="0026408B"/>
    <w:rsid w:val="00264D89"/>
    <w:rsid w:val="0026757E"/>
    <w:rsid w:val="00267C3E"/>
    <w:rsid w:val="002709BB"/>
    <w:rsid w:val="0027131C"/>
    <w:rsid w:val="002735C8"/>
    <w:rsid w:val="00273BAC"/>
    <w:rsid w:val="00275254"/>
    <w:rsid w:val="002763B3"/>
    <w:rsid w:val="00277B00"/>
    <w:rsid w:val="00277BFA"/>
    <w:rsid w:val="002802E3"/>
    <w:rsid w:val="0028213D"/>
    <w:rsid w:val="002862F1"/>
    <w:rsid w:val="00291307"/>
    <w:rsid w:val="00291373"/>
    <w:rsid w:val="0029357B"/>
    <w:rsid w:val="00293C6A"/>
    <w:rsid w:val="00294261"/>
    <w:rsid w:val="002954BF"/>
    <w:rsid w:val="0029597D"/>
    <w:rsid w:val="00295CC5"/>
    <w:rsid w:val="00296184"/>
    <w:rsid w:val="002962C3"/>
    <w:rsid w:val="0029752B"/>
    <w:rsid w:val="002978B5"/>
    <w:rsid w:val="002A095F"/>
    <w:rsid w:val="002A0A9C"/>
    <w:rsid w:val="002A3E8E"/>
    <w:rsid w:val="002A40EE"/>
    <w:rsid w:val="002A483C"/>
    <w:rsid w:val="002B0642"/>
    <w:rsid w:val="002B0647"/>
    <w:rsid w:val="002B0C7C"/>
    <w:rsid w:val="002B1729"/>
    <w:rsid w:val="002B36C7"/>
    <w:rsid w:val="002B4DD4"/>
    <w:rsid w:val="002B5277"/>
    <w:rsid w:val="002B5375"/>
    <w:rsid w:val="002B53C8"/>
    <w:rsid w:val="002B55A3"/>
    <w:rsid w:val="002B77C1"/>
    <w:rsid w:val="002C0D40"/>
    <w:rsid w:val="002C0ED7"/>
    <w:rsid w:val="002C2728"/>
    <w:rsid w:val="002C6377"/>
    <w:rsid w:val="002C67A4"/>
    <w:rsid w:val="002D0D04"/>
    <w:rsid w:val="002D1E0D"/>
    <w:rsid w:val="002D2D54"/>
    <w:rsid w:val="002D5006"/>
    <w:rsid w:val="002D5B70"/>
    <w:rsid w:val="002D6EB1"/>
    <w:rsid w:val="002E01D0"/>
    <w:rsid w:val="002E161D"/>
    <w:rsid w:val="002E2E73"/>
    <w:rsid w:val="002E3100"/>
    <w:rsid w:val="002E6C95"/>
    <w:rsid w:val="002E7C36"/>
    <w:rsid w:val="002F2489"/>
    <w:rsid w:val="002F3ADF"/>
    <w:rsid w:val="002F3D32"/>
    <w:rsid w:val="002F4367"/>
    <w:rsid w:val="002F5F31"/>
    <w:rsid w:val="002F5F46"/>
    <w:rsid w:val="00302216"/>
    <w:rsid w:val="00303499"/>
    <w:rsid w:val="00303E53"/>
    <w:rsid w:val="00305CC1"/>
    <w:rsid w:val="00305F18"/>
    <w:rsid w:val="00306E5F"/>
    <w:rsid w:val="00307CA7"/>
    <w:rsid w:val="00307E14"/>
    <w:rsid w:val="00310A51"/>
    <w:rsid w:val="0031207C"/>
    <w:rsid w:val="00314054"/>
    <w:rsid w:val="00316D40"/>
    <w:rsid w:val="00316F27"/>
    <w:rsid w:val="003214F1"/>
    <w:rsid w:val="00321E01"/>
    <w:rsid w:val="00322E4B"/>
    <w:rsid w:val="003233D0"/>
    <w:rsid w:val="003249D0"/>
    <w:rsid w:val="0032695D"/>
    <w:rsid w:val="0032765F"/>
    <w:rsid w:val="00327870"/>
    <w:rsid w:val="00330D70"/>
    <w:rsid w:val="00331805"/>
    <w:rsid w:val="0033259D"/>
    <w:rsid w:val="003333D2"/>
    <w:rsid w:val="00335C21"/>
    <w:rsid w:val="00335F80"/>
    <w:rsid w:val="00337339"/>
    <w:rsid w:val="003406C6"/>
    <w:rsid w:val="003418CC"/>
    <w:rsid w:val="00343790"/>
    <w:rsid w:val="003459BD"/>
    <w:rsid w:val="00346355"/>
    <w:rsid w:val="00347F11"/>
    <w:rsid w:val="00350D38"/>
    <w:rsid w:val="00351B36"/>
    <w:rsid w:val="00352B5C"/>
    <w:rsid w:val="003566A7"/>
    <w:rsid w:val="00357B4E"/>
    <w:rsid w:val="00361226"/>
    <w:rsid w:val="00365116"/>
    <w:rsid w:val="00366F16"/>
    <w:rsid w:val="003716FD"/>
    <w:rsid w:val="0037204B"/>
    <w:rsid w:val="00372107"/>
    <w:rsid w:val="00373F87"/>
    <w:rsid w:val="0037447A"/>
    <w:rsid w:val="003744CF"/>
    <w:rsid w:val="00374717"/>
    <w:rsid w:val="003748DF"/>
    <w:rsid w:val="0037676C"/>
    <w:rsid w:val="00381043"/>
    <w:rsid w:val="003820FA"/>
    <w:rsid w:val="003829E5"/>
    <w:rsid w:val="00384CC1"/>
    <w:rsid w:val="00386109"/>
    <w:rsid w:val="00386944"/>
    <w:rsid w:val="00391935"/>
    <w:rsid w:val="00392A89"/>
    <w:rsid w:val="003936C7"/>
    <w:rsid w:val="0039505F"/>
    <w:rsid w:val="003956CC"/>
    <w:rsid w:val="00395C9A"/>
    <w:rsid w:val="003970A7"/>
    <w:rsid w:val="003A04E1"/>
    <w:rsid w:val="003A0853"/>
    <w:rsid w:val="003A266F"/>
    <w:rsid w:val="003A5006"/>
    <w:rsid w:val="003A5052"/>
    <w:rsid w:val="003A5490"/>
    <w:rsid w:val="003A6B67"/>
    <w:rsid w:val="003B13B6"/>
    <w:rsid w:val="003B14C3"/>
    <w:rsid w:val="003B15E6"/>
    <w:rsid w:val="003B1BDC"/>
    <w:rsid w:val="003B1F4F"/>
    <w:rsid w:val="003B408A"/>
    <w:rsid w:val="003B61B4"/>
    <w:rsid w:val="003B6407"/>
    <w:rsid w:val="003C0892"/>
    <w:rsid w:val="003C08A2"/>
    <w:rsid w:val="003C2045"/>
    <w:rsid w:val="003C2D06"/>
    <w:rsid w:val="003C3055"/>
    <w:rsid w:val="003C43A1"/>
    <w:rsid w:val="003C4FC0"/>
    <w:rsid w:val="003C55F4"/>
    <w:rsid w:val="003C7818"/>
    <w:rsid w:val="003C7897"/>
    <w:rsid w:val="003C7A3F"/>
    <w:rsid w:val="003D2766"/>
    <w:rsid w:val="003D2A74"/>
    <w:rsid w:val="003D3E8F"/>
    <w:rsid w:val="003D518C"/>
    <w:rsid w:val="003D6132"/>
    <w:rsid w:val="003D6475"/>
    <w:rsid w:val="003D6EE6"/>
    <w:rsid w:val="003D7244"/>
    <w:rsid w:val="003E21F0"/>
    <w:rsid w:val="003E375C"/>
    <w:rsid w:val="003E4086"/>
    <w:rsid w:val="003E4E74"/>
    <w:rsid w:val="003E5A1F"/>
    <w:rsid w:val="003E639E"/>
    <w:rsid w:val="003E71E5"/>
    <w:rsid w:val="003F0445"/>
    <w:rsid w:val="003F0CF0"/>
    <w:rsid w:val="003F14B1"/>
    <w:rsid w:val="003F2148"/>
    <w:rsid w:val="003F2B20"/>
    <w:rsid w:val="003F3289"/>
    <w:rsid w:val="003F3921"/>
    <w:rsid w:val="003F3C62"/>
    <w:rsid w:val="003F4134"/>
    <w:rsid w:val="003F570F"/>
    <w:rsid w:val="003F5CB9"/>
    <w:rsid w:val="004013C7"/>
    <w:rsid w:val="00401FCF"/>
    <w:rsid w:val="0040589C"/>
    <w:rsid w:val="00406285"/>
    <w:rsid w:val="00406800"/>
    <w:rsid w:val="004119B8"/>
    <w:rsid w:val="004148F9"/>
    <w:rsid w:val="00414A2B"/>
    <w:rsid w:val="00416E75"/>
    <w:rsid w:val="00417610"/>
    <w:rsid w:val="0042084E"/>
    <w:rsid w:val="00421EEF"/>
    <w:rsid w:val="00424D65"/>
    <w:rsid w:val="00427784"/>
    <w:rsid w:val="00427876"/>
    <w:rsid w:val="00430393"/>
    <w:rsid w:val="00430CFA"/>
    <w:rsid w:val="00431806"/>
    <w:rsid w:val="004331B1"/>
    <w:rsid w:val="00433DD7"/>
    <w:rsid w:val="00434490"/>
    <w:rsid w:val="004366D6"/>
    <w:rsid w:val="00437261"/>
    <w:rsid w:val="00437AC5"/>
    <w:rsid w:val="00442C6C"/>
    <w:rsid w:val="0044315D"/>
    <w:rsid w:val="00443CBE"/>
    <w:rsid w:val="00443E8A"/>
    <w:rsid w:val="004441BC"/>
    <w:rsid w:val="004468B4"/>
    <w:rsid w:val="00447492"/>
    <w:rsid w:val="00450547"/>
    <w:rsid w:val="0045230A"/>
    <w:rsid w:val="00452B2D"/>
    <w:rsid w:val="00454AD0"/>
    <w:rsid w:val="00457125"/>
    <w:rsid w:val="00457337"/>
    <w:rsid w:val="00460284"/>
    <w:rsid w:val="0046035E"/>
    <w:rsid w:val="00460802"/>
    <w:rsid w:val="00461352"/>
    <w:rsid w:val="00461B81"/>
    <w:rsid w:val="00462E3D"/>
    <w:rsid w:val="00465D66"/>
    <w:rsid w:val="00466E79"/>
    <w:rsid w:val="00470D7D"/>
    <w:rsid w:val="0047372D"/>
    <w:rsid w:val="00473BA3"/>
    <w:rsid w:val="00474217"/>
    <w:rsid w:val="004743DD"/>
    <w:rsid w:val="00474CEA"/>
    <w:rsid w:val="00477156"/>
    <w:rsid w:val="00483968"/>
    <w:rsid w:val="004841BE"/>
    <w:rsid w:val="00484F86"/>
    <w:rsid w:val="004900AE"/>
    <w:rsid w:val="004902D4"/>
    <w:rsid w:val="00490746"/>
    <w:rsid w:val="00490852"/>
    <w:rsid w:val="004908DC"/>
    <w:rsid w:val="00491C9C"/>
    <w:rsid w:val="00492F30"/>
    <w:rsid w:val="004946F4"/>
    <w:rsid w:val="0049487E"/>
    <w:rsid w:val="00495E51"/>
    <w:rsid w:val="004A0232"/>
    <w:rsid w:val="004A160D"/>
    <w:rsid w:val="004A1978"/>
    <w:rsid w:val="004A3DCB"/>
    <w:rsid w:val="004A3E81"/>
    <w:rsid w:val="004A4195"/>
    <w:rsid w:val="004A5C62"/>
    <w:rsid w:val="004A5CE5"/>
    <w:rsid w:val="004A707D"/>
    <w:rsid w:val="004B4185"/>
    <w:rsid w:val="004B48F0"/>
    <w:rsid w:val="004B4EAA"/>
    <w:rsid w:val="004B597B"/>
    <w:rsid w:val="004B5FFF"/>
    <w:rsid w:val="004C2A80"/>
    <w:rsid w:val="004C3AB1"/>
    <w:rsid w:val="004C5541"/>
    <w:rsid w:val="004C669C"/>
    <w:rsid w:val="004C6EEE"/>
    <w:rsid w:val="004C702B"/>
    <w:rsid w:val="004C707F"/>
    <w:rsid w:val="004D0033"/>
    <w:rsid w:val="004D016B"/>
    <w:rsid w:val="004D1B22"/>
    <w:rsid w:val="004D23CC"/>
    <w:rsid w:val="004D36F2"/>
    <w:rsid w:val="004D52B8"/>
    <w:rsid w:val="004D74F4"/>
    <w:rsid w:val="004E1106"/>
    <w:rsid w:val="004E138F"/>
    <w:rsid w:val="004E317C"/>
    <w:rsid w:val="004E3FAA"/>
    <w:rsid w:val="004E4649"/>
    <w:rsid w:val="004E46A3"/>
    <w:rsid w:val="004E59CB"/>
    <w:rsid w:val="004E5C2B"/>
    <w:rsid w:val="004F00DD"/>
    <w:rsid w:val="004F11F4"/>
    <w:rsid w:val="004F2133"/>
    <w:rsid w:val="004F34CB"/>
    <w:rsid w:val="004F3B74"/>
    <w:rsid w:val="004F5398"/>
    <w:rsid w:val="004F55F1"/>
    <w:rsid w:val="004F6852"/>
    <w:rsid w:val="004F6936"/>
    <w:rsid w:val="004F7A12"/>
    <w:rsid w:val="004F7B35"/>
    <w:rsid w:val="005015E8"/>
    <w:rsid w:val="00501B53"/>
    <w:rsid w:val="00502603"/>
    <w:rsid w:val="00502A2F"/>
    <w:rsid w:val="00503DC6"/>
    <w:rsid w:val="00503EB0"/>
    <w:rsid w:val="00504729"/>
    <w:rsid w:val="00506F5D"/>
    <w:rsid w:val="00510C37"/>
    <w:rsid w:val="005126D0"/>
    <w:rsid w:val="00514667"/>
    <w:rsid w:val="0051568D"/>
    <w:rsid w:val="00517ED8"/>
    <w:rsid w:val="00521B32"/>
    <w:rsid w:val="00521EC6"/>
    <w:rsid w:val="0052648C"/>
    <w:rsid w:val="00526AC7"/>
    <w:rsid w:val="00526C15"/>
    <w:rsid w:val="00532285"/>
    <w:rsid w:val="00532DE3"/>
    <w:rsid w:val="00533BAB"/>
    <w:rsid w:val="00536499"/>
    <w:rsid w:val="00537DA8"/>
    <w:rsid w:val="00542A03"/>
    <w:rsid w:val="00542CA5"/>
    <w:rsid w:val="00543903"/>
    <w:rsid w:val="00543C34"/>
    <w:rsid w:val="00543F11"/>
    <w:rsid w:val="005456A9"/>
    <w:rsid w:val="00546305"/>
    <w:rsid w:val="00547A95"/>
    <w:rsid w:val="0055119B"/>
    <w:rsid w:val="00560F10"/>
    <w:rsid w:val="00561202"/>
    <w:rsid w:val="00562498"/>
    <w:rsid w:val="00562A79"/>
    <w:rsid w:val="00563037"/>
    <w:rsid w:val="0056438A"/>
    <w:rsid w:val="005644F5"/>
    <w:rsid w:val="0056541C"/>
    <w:rsid w:val="005667E2"/>
    <w:rsid w:val="0057001D"/>
    <w:rsid w:val="00571772"/>
    <w:rsid w:val="00572031"/>
    <w:rsid w:val="00572282"/>
    <w:rsid w:val="00573CE3"/>
    <w:rsid w:val="0057684A"/>
    <w:rsid w:val="00576E84"/>
    <w:rsid w:val="00577437"/>
    <w:rsid w:val="00580394"/>
    <w:rsid w:val="005809CD"/>
    <w:rsid w:val="005815ED"/>
    <w:rsid w:val="00581F9F"/>
    <w:rsid w:val="00582B4D"/>
    <w:rsid w:val="00582B8C"/>
    <w:rsid w:val="00582F08"/>
    <w:rsid w:val="005872A9"/>
    <w:rsid w:val="0058757E"/>
    <w:rsid w:val="00593338"/>
    <w:rsid w:val="00595634"/>
    <w:rsid w:val="00596A4B"/>
    <w:rsid w:val="00597507"/>
    <w:rsid w:val="005A03BE"/>
    <w:rsid w:val="005A090D"/>
    <w:rsid w:val="005A32B6"/>
    <w:rsid w:val="005A479D"/>
    <w:rsid w:val="005A6366"/>
    <w:rsid w:val="005B00CE"/>
    <w:rsid w:val="005B1C6D"/>
    <w:rsid w:val="005B21B6"/>
    <w:rsid w:val="005B3A08"/>
    <w:rsid w:val="005B7A63"/>
    <w:rsid w:val="005C0955"/>
    <w:rsid w:val="005C0FEC"/>
    <w:rsid w:val="005C49DA"/>
    <w:rsid w:val="005C50F3"/>
    <w:rsid w:val="005C54B5"/>
    <w:rsid w:val="005C5D80"/>
    <w:rsid w:val="005C5D91"/>
    <w:rsid w:val="005C7C3F"/>
    <w:rsid w:val="005D07B8"/>
    <w:rsid w:val="005D4296"/>
    <w:rsid w:val="005D4CDC"/>
    <w:rsid w:val="005D6597"/>
    <w:rsid w:val="005D6CD3"/>
    <w:rsid w:val="005E0532"/>
    <w:rsid w:val="005E14E7"/>
    <w:rsid w:val="005E26A3"/>
    <w:rsid w:val="005E2858"/>
    <w:rsid w:val="005E2ECB"/>
    <w:rsid w:val="005E447E"/>
    <w:rsid w:val="005E4FD1"/>
    <w:rsid w:val="005E5F20"/>
    <w:rsid w:val="005F0775"/>
    <w:rsid w:val="005F0CF5"/>
    <w:rsid w:val="005F19B5"/>
    <w:rsid w:val="005F21EB"/>
    <w:rsid w:val="005F64CF"/>
    <w:rsid w:val="005F6695"/>
    <w:rsid w:val="005F6D4E"/>
    <w:rsid w:val="00600DC9"/>
    <w:rsid w:val="006041AD"/>
    <w:rsid w:val="006043BC"/>
    <w:rsid w:val="00605908"/>
    <w:rsid w:val="00605ED6"/>
    <w:rsid w:val="00606C03"/>
    <w:rsid w:val="006070B2"/>
    <w:rsid w:val="006074EC"/>
    <w:rsid w:val="00607850"/>
    <w:rsid w:val="00607FC5"/>
    <w:rsid w:val="0061082A"/>
    <w:rsid w:val="00610D7C"/>
    <w:rsid w:val="00611C6F"/>
    <w:rsid w:val="00613414"/>
    <w:rsid w:val="00620154"/>
    <w:rsid w:val="0062066F"/>
    <w:rsid w:val="0062408D"/>
    <w:rsid w:val="006240CC"/>
    <w:rsid w:val="00624940"/>
    <w:rsid w:val="006254F8"/>
    <w:rsid w:val="00627DA7"/>
    <w:rsid w:val="00630DA4"/>
    <w:rsid w:val="00631CD4"/>
    <w:rsid w:val="00632597"/>
    <w:rsid w:val="00634066"/>
    <w:rsid w:val="00634D13"/>
    <w:rsid w:val="0063525B"/>
    <w:rsid w:val="006358B4"/>
    <w:rsid w:val="00635E42"/>
    <w:rsid w:val="0063709E"/>
    <w:rsid w:val="00641724"/>
    <w:rsid w:val="006419AA"/>
    <w:rsid w:val="00641BAF"/>
    <w:rsid w:val="0064385E"/>
    <w:rsid w:val="00644B1F"/>
    <w:rsid w:val="00644B7E"/>
    <w:rsid w:val="006454E6"/>
    <w:rsid w:val="00646235"/>
    <w:rsid w:val="006465EA"/>
    <w:rsid w:val="00646A68"/>
    <w:rsid w:val="00646B0E"/>
    <w:rsid w:val="00647B30"/>
    <w:rsid w:val="006505BD"/>
    <w:rsid w:val="006508EA"/>
    <w:rsid w:val="0065092E"/>
    <w:rsid w:val="0065171D"/>
    <w:rsid w:val="00654F82"/>
    <w:rsid w:val="006557A7"/>
    <w:rsid w:val="00656290"/>
    <w:rsid w:val="00657F99"/>
    <w:rsid w:val="006601C9"/>
    <w:rsid w:val="006608D8"/>
    <w:rsid w:val="006621D7"/>
    <w:rsid w:val="0066302A"/>
    <w:rsid w:val="00665CA3"/>
    <w:rsid w:val="00666CAA"/>
    <w:rsid w:val="00667770"/>
    <w:rsid w:val="00670597"/>
    <w:rsid w:val="006706D0"/>
    <w:rsid w:val="006713BC"/>
    <w:rsid w:val="006762B4"/>
    <w:rsid w:val="00677574"/>
    <w:rsid w:val="00677ADE"/>
    <w:rsid w:val="0068227D"/>
    <w:rsid w:val="006825A2"/>
    <w:rsid w:val="006825AE"/>
    <w:rsid w:val="00682BCA"/>
    <w:rsid w:val="00683878"/>
    <w:rsid w:val="0068454C"/>
    <w:rsid w:val="00686AA3"/>
    <w:rsid w:val="00686F4D"/>
    <w:rsid w:val="00691B4B"/>
    <w:rsid w:val="00691B62"/>
    <w:rsid w:val="006933B5"/>
    <w:rsid w:val="00693D14"/>
    <w:rsid w:val="00695A93"/>
    <w:rsid w:val="00696F27"/>
    <w:rsid w:val="006A18C2"/>
    <w:rsid w:val="006A1918"/>
    <w:rsid w:val="006A1B7D"/>
    <w:rsid w:val="006A3383"/>
    <w:rsid w:val="006B077C"/>
    <w:rsid w:val="006B16AF"/>
    <w:rsid w:val="006B6803"/>
    <w:rsid w:val="006C27B3"/>
    <w:rsid w:val="006C56C5"/>
    <w:rsid w:val="006C6C0E"/>
    <w:rsid w:val="006C6E05"/>
    <w:rsid w:val="006D0F16"/>
    <w:rsid w:val="006D198F"/>
    <w:rsid w:val="006D2A3F"/>
    <w:rsid w:val="006D2FBC"/>
    <w:rsid w:val="006D32D2"/>
    <w:rsid w:val="006D429B"/>
    <w:rsid w:val="006D7962"/>
    <w:rsid w:val="006E138B"/>
    <w:rsid w:val="006E1867"/>
    <w:rsid w:val="006E5989"/>
    <w:rsid w:val="006F0330"/>
    <w:rsid w:val="006F1E27"/>
    <w:rsid w:val="006F1FDC"/>
    <w:rsid w:val="006F3899"/>
    <w:rsid w:val="006F6B8C"/>
    <w:rsid w:val="007013EF"/>
    <w:rsid w:val="0070379C"/>
    <w:rsid w:val="007039C6"/>
    <w:rsid w:val="007055BD"/>
    <w:rsid w:val="0070639F"/>
    <w:rsid w:val="00707D09"/>
    <w:rsid w:val="00710961"/>
    <w:rsid w:val="007110A7"/>
    <w:rsid w:val="00716238"/>
    <w:rsid w:val="007173CA"/>
    <w:rsid w:val="007216AA"/>
    <w:rsid w:val="00721AB5"/>
    <w:rsid w:val="00721CFB"/>
    <w:rsid w:val="00721DEF"/>
    <w:rsid w:val="007231E7"/>
    <w:rsid w:val="00724385"/>
    <w:rsid w:val="00724A43"/>
    <w:rsid w:val="00726024"/>
    <w:rsid w:val="007273AC"/>
    <w:rsid w:val="00731AD4"/>
    <w:rsid w:val="00733A38"/>
    <w:rsid w:val="007346E4"/>
    <w:rsid w:val="007364FA"/>
    <w:rsid w:val="00737525"/>
    <w:rsid w:val="00740F22"/>
    <w:rsid w:val="00741CF0"/>
    <w:rsid w:val="00741F1A"/>
    <w:rsid w:val="00743A2C"/>
    <w:rsid w:val="007447DA"/>
    <w:rsid w:val="007450F8"/>
    <w:rsid w:val="0074583C"/>
    <w:rsid w:val="00745E4E"/>
    <w:rsid w:val="00746718"/>
    <w:rsid w:val="0074696E"/>
    <w:rsid w:val="007469B5"/>
    <w:rsid w:val="007473A5"/>
    <w:rsid w:val="00750135"/>
    <w:rsid w:val="00750EC2"/>
    <w:rsid w:val="00752B28"/>
    <w:rsid w:val="007541A9"/>
    <w:rsid w:val="00754B2C"/>
    <w:rsid w:val="00754E36"/>
    <w:rsid w:val="00755027"/>
    <w:rsid w:val="00755103"/>
    <w:rsid w:val="00762B43"/>
    <w:rsid w:val="00763139"/>
    <w:rsid w:val="00763B0A"/>
    <w:rsid w:val="00764EDB"/>
    <w:rsid w:val="00765CDE"/>
    <w:rsid w:val="00766BD2"/>
    <w:rsid w:val="00767075"/>
    <w:rsid w:val="007672CB"/>
    <w:rsid w:val="0077090A"/>
    <w:rsid w:val="00770B83"/>
    <w:rsid w:val="00770F37"/>
    <w:rsid w:val="007711A0"/>
    <w:rsid w:val="0077269A"/>
    <w:rsid w:val="00772D5E"/>
    <w:rsid w:val="0077380A"/>
    <w:rsid w:val="0077463E"/>
    <w:rsid w:val="007752DE"/>
    <w:rsid w:val="00776928"/>
    <w:rsid w:val="00776E0F"/>
    <w:rsid w:val="007774B1"/>
    <w:rsid w:val="00777BE1"/>
    <w:rsid w:val="00777D0D"/>
    <w:rsid w:val="0078251F"/>
    <w:rsid w:val="007833D8"/>
    <w:rsid w:val="00783AF4"/>
    <w:rsid w:val="00784999"/>
    <w:rsid w:val="00785677"/>
    <w:rsid w:val="00786F16"/>
    <w:rsid w:val="007904FD"/>
    <w:rsid w:val="00791BD7"/>
    <w:rsid w:val="0079254C"/>
    <w:rsid w:val="007933F7"/>
    <w:rsid w:val="00793792"/>
    <w:rsid w:val="00793D6C"/>
    <w:rsid w:val="00796E20"/>
    <w:rsid w:val="00797C32"/>
    <w:rsid w:val="007A00DB"/>
    <w:rsid w:val="007A11E8"/>
    <w:rsid w:val="007A2843"/>
    <w:rsid w:val="007B0914"/>
    <w:rsid w:val="007B1374"/>
    <w:rsid w:val="007B1864"/>
    <w:rsid w:val="007B2B1A"/>
    <w:rsid w:val="007B32E5"/>
    <w:rsid w:val="007B3DB9"/>
    <w:rsid w:val="007B441A"/>
    <w:rsid w:val="007B4F63"/>
    <w:rsid w:val="007B589F"/>
    <w:rsid w:val="007B6186"/>
    <w:rsid w:val="007B7383"/>
    <w:rsid w:val="007B73BC"/>
    <w:rsid w:val="007C0D00"/>
    <w:rsid w:val="007C16E3"/>
    <w:rsid w:val="007C1838"/>
    <w:rsid w:val="007C20B9"/>
    <w:rsid w:val="007C35A1"/>
    <w:rsid w:val="007C487A"/>
    <w:rsid w:val="007C7301"/>
    <w:rsid w:val="007C7859"/>
    <w:rsid w:val="007C7F28"/>
    <w:rsid w:val="007D0F6C"/>
    <w:rsid w:val="007D13C9"/>
    <w:rsid w:val="007D1400"/>
    <w:rsid w:val="007D1466"/>
    <w:rsid w:val="007D2BDE"/>
    <w:rsid w:val="007D2FB6"/>
    <w:rsid w:val="007D49EB"/>
    <w:rsid w:val="007D5E1C"/>
    <w:rsid w:val="007E00EA"/>
    <w:rsid w:val="007E0297"/>
    <w:rsid w:val="007E0DE2"/>
    <w:rsid w:val="007E3346"/>
    <w:rsid w:val="007E3B98"/>
    <w:rsid w:val="007E417A"/>
    <w:rsid w:val="007E4D70"/>
    <w:rsid w:val="007F31B6"/>
    <w:rsid w:val="007F375F"/>
    <w:rsid w:val="007F546C"/>
    <w:rsid w:val="007F625F"/>
    <w:rsid w:val="007F665E"/>
    <w:rsid w:val="00800412"/>
    <w:rsid w:val="0080125D"/>
    <w:rsid w:val="008028C5"/>
    <w:rsid w:val="008042B5"/>
    <w:rsid w:val="0080587B"/>
    <w:rsid w:val="00806468"/>
    <w:rsid w:val="00806D50"/>
    <w:rsid w:val="008074B2"/>
    <w:rsid w:val="00807BAF"/>
    <w:rsid w:val="008119CA"/>
    <w:rsid w:val="00811F9A"/>
    <w:rsid w:val="008130C4"/>
    <w:rsid w:val="008155F0"/>
    <w:rsid w:val="00816735"/>
    <w:rsid w:val="00816B62"/>
    <w:rsid w:val="00817A40"/>
    <w:rsid w:val="0082008C"/>
    <w:rsid w:val="00820141"/>
    <w:rsid w:val="00820A10"/>
    <w:rsid w:val="00820E0C"/>
    <w:rsid w:val="00823275"/>
    <w:rsid w:val="008234B0"/>
    <w:rsid w:val="0082366F"/>
    <w:rsid w:val="00823AE4"/>
    <w:rsid w:val="00823EFF"/>
    <w:rsid w:val="00824E62"/>
    <w:rsid w:val="008258C2"/>
    <w:rsid w:val="00831521"/>
    <w:rsid w:val="00831DDE"/>
    <w:rsid w:val="008320E8"/>
    <w:rsid w:val="008338A2"/>
    <w:rsid w:val="00834FD0"/>
    <w:rsid w:val="00836E1E"/>
    <w:rsid w:val="008417AA"/>
    <w:rsid w:val="00841AA9"/>
    <w:rsid w:val="00842681"/>
    <w:rsid w:val="00843689"/>
    <w:rsid w:val="008447F0"/>
    <w:rsid w:val="008474FE"/>
    <w:rsid w:val="00847CFE"/>
    <w:rsid w:val="0085232E"/>
    <w:rsid w:val="0085271D"/>
    <w:rsid w:val="0085286C"/>
    <w:rsid w:val="00853EE4"/>
    <w:rsid w:val="00855535"/>
    <w:rsid w:val="00857C5A"/>
    <w:rsid w:val="008603C8"/>
    <w:rsid w:val="008617CC"/>
    <w:rsid w:val="0086255E"/>
    <w:rsid w:val="008633F0"/>
    <w:rsid w:val="00866E2D"/>
    <w:rsid w:val="0086723B"/>
    <w:rsid w:val="00867D9D"/>
    <w:rsid w:val="00872C54"/>
    <w:rsid w:val="00872E0A"/>
    <w:rsid w:val="00873594"/>
    <w:rsid w:val="008742CB"/>
    <w:rsid w:val="00875285"/>
    <w:rsid w:val="00884B62"/>
    <w:rsid w:val="0088529C"/>
    <w:rsid w:val="00886A2F"/>
    <w:rsid w:val="00887903"/>
    <w:rsid w:val="008900DD"/>
    <w:rsid w:val="0089270A"/>
    <w:rsid w:val="00893AF6"/>
    <w:rsid w:val="00893CE0"/>
    <w:rsid w:val="00894BC4"/>
    <w:rsid w:val="008A1B7F"/>
    <w:rsid w:val="008A1FCF"/>
    <w:rsid w:val="008A2130"/>
    <w:rsid w:val="008A28A8"/>
    <w:rsid w:val="008A371B"/>
    <w:rsid w:val="008A5B32"/>
    <w:rsid w:val="008A63F3"/>
    <w:rsid w:val="008A6E68"/>
    <w:rsid w:val="008A74A8"/>
    <w:rsid w:val="008B02B9"/>
    <w:rsid w:val="008B1D9F"/>
    <w:rsid w:val="008B1EA5"/>
    <w:rsid w:val="008B1FDB"/>
    <w:rsid w:val="008B2029"/>
    <w:rsid w:val="008B2EE4"/>
    <w:rsid w:val="008B30DE"/>
    <w:rsid w:val="008B3821"/>
    <w:rsid w:val="008B4D3D"/>
    <w:rsid w:val="008B57C7"/>
    <w:rsid w:val="008B7691"/>
    <w:rsid w:val="008C1AD0"/>
    <w:rsid w:val="008C2F92"/>
    <w:rsid w:val="008C2FEC"/>
    <w:rsid w:val="008C5365"/>
    <w:rsid w:val="008C589D"/>
    <w:rsid w:val="008C6D51"/>
    <w:rsid w:val="008D05FD"/>
    <w:rsid w:val="008D2846"/>
    <w:rsid w:val="008D4236"/>
    <w:rsid w:val="008D462F"/>
    <w:rsid w:val="008D5C45"/>
    <w:rsid w:val="008D6208"/>
    <w:rsid w:val="008D6620"/>
    <w:rsid w:val="008D66FA"/>
    <w:rsid w:val="008D6DCF"/>
    <w:rsid w:val="008D7716"/>
    <w:rsid w:val="008E3C81"/>
    <w:rsid w:val="008E4376"/>
    <w:rsid w:val="008E7586"/>
    <w:rsid w:val="008E7A0A"/>
    <w:rsid w:val="008E7B49"/>
    <w:rsid w:val="008F233A"/>
    <w:rsid w:val="008F3189"/>
    <w:rsid w:val="008F3A20"/>
    <w:rsid w:val="008F4198"/>
    <w:rsid w:val="008F4A07"/>
    <w:rsid w:val="008F59F6"/>
    <w:rsid w:val="009000F6"/>
    <w:rsid w:val="009001E7"/>
    <w:rsid w:val="00900719"/>
    <w:rsid w:val="009017AC"/>
    <w:rsid w:val="00901C6A"/>
    <w:rsid w:val="00902A9A"/>
    <w:rsid w:val="00904A1C"/>
    <w:rsid w:val="00905030"/>
    <w:rsid w:val="00906490"/>
    <w:rsid w:val="00906F93"/>
    <w:rsid w:val="00907E45"/>
    <w:rsid w:val="009111B2"/>
    <w:rsid w:val="009151F5"/>
    <w:rsid w:val="00916F70"/>
    <w:rsid w:val="00924AE1"/>
    <w:rsid w:val="00924E8F"/>
    <w:rsid w:val="009257ED"/>
    <w:rsid w:val="00925DD5"/>
    <w:rsid w:val="009269B1"/>
    <w:rsid w:val="0092724D"/>
    <w:rsid w:val="009272B3"/>
    <w:rsid w:val="00930024"/>
    <w:rsid w:val="00930539"/>
    <w:rsid w:val="009315BE"/>
    <w:rsid w:val="0093338F"/>
    <w:rsid w:val="00933B3F"/>
    <w:rsid w:val="00936D40"/>
    <w:rsid w:val="00936F53"/>
    <w:rsid w:val="00937BD9"/>
    <w:rsid w:val="00940499"/>
    <w:rsid w:val="00941751"/>
    <w:rsid w:val="009426B5"/>
    <w:rsid w:val="00950540"/>
    <w:rsid w:val="00950E2C"/>
    <w:rsid w:val="009515ED"/>
    <w:rsid w:val="00951D50"/>
    <w:rsid w:val="009525EB"/>
    <w:rsid w:val="0095470B"/>
    <w:rsid w:val="00954874"/>
    <w:rsid w:val="0095615A"/>
    <w:rsid w:val="00960D88"/>
    <w:rsid w:val="00961400"/>
    <w:rsid w:val="00962B17"/>
    <w:rsid w:val="0096339F"/>
    <w:rsid w:val="00963646"/>
    <w:rsid w:val="0096632D"/>
    <w:rsid w:val="00967124"/>
    <w:rsid w:val="009718C7"/>
    <w:rsid w:val="00974247"/>
    <w:rsid w:val="009743FD"/>
    <w:rsid w:val="0097559F"/>
    <w:rsid w:val="00975FA2"/>
    <w:rsid w:val="00975FC2"/>
    <w:rsid w:val="009761EA"/>
    <w:rsid w:val="0097691F"/>
    <w:rsid w:val="0097761E"/>
    <w:rsid w:val="00982454"/>
    <w:rsid w:val="00982CF0"/>
    <w:rsid w:val="009853E1"/>
    <w:rsid w:val="00986BDA"/>
    <w:rsid w:val="00986E6B"/>
    <w:rsid w:val="00987411"/>
    <w:rsid w:val="00990032"/>
    <w:rsid w:val="00990B19"/>
    <w:rsid w:val="0099153B"/>
    <w:rsid w:val="00991769"/>
    <w:rsid w:val="00991CEF"/>
    <w:rsid w:val="0099232C"/>
    <w:rsid w:val="00994386"/>
    <w:rsid w:val="009966C7"/>
    <w:rsid w:val="00996B4B"/>
    <w:rsid w:val="009A0BA3"/>
    <w:rsid w:val="009A1174"/>
    <w:rsid w:val="009A13D8"/>
    <w:rsid w:val="009A279E"/>
    <w:rsid w:val="009A3015"/>
    <w:rsid w:val="009A3490"/>
    <w:rsid w:val="009A34E1"/>
    <w:rsid w:val="009A3682"/>
    <w:rsid w:val="009A4D18"/>
    <w:rsid w:val="009A4D26"/>
    <w:rsid w:val="009A7D4E"/>
    <w:rsid w:val="009B0A6F"/>
    <w:rsid w:val="009B0A94"/>
    <w:rsid w:val="009B0B19"/>
    <w:rsid w:val="009B20FB"/>
    <w:rsid w:val="009B2AE8"/>
    <w:rsid w:val="009B338F"/>
    <w:rsid w:val="009B5622"/>
    <w:rsid w:val="009B59E9"/>
    <w:rsid w:val="009B70AA"/>
    <w:rsid w:val="009C1CB1"/>
    <w:rsid w:val="009C1FA2"/>
    <w:rsid w:val="009C34EA"/>
    <w:rsid w:val="009C5105"/>
    <w:rsid w:val="009C5E4A"/>
    <w:rsid w:val="009C5E77"/>
    <w:rsid w:val="009C622F"/>
    <w:rsid w:val="009C7A7E"/>
    <w:rsid w:val="009C7D2A"/>
    <w:rsid w:val="009D02E8"/>
    <w:rsid w:val="009D0F93"/>
    <w:rsid w:val="009D51D0"/>
    <w:rsid w:val="009D5271"/>
    <w:rsid w:val="009D56F7"/>
    <w:rsid w:val="009D70A4"/>
    <w:rsid w:val="009D734A"/>
    <w:rsid w:val="009D7A52"/>
    <w:rsid w:val="009D7B14"/>
    <w:rsid w:val="009E08D1"/>
    <w:rsid w:val="009E1B95"/>
    <w:rsid w:val="009E4002"/>
    <w:rsid w:val="009E496F"/>
    <w:rsid w:val="009E4B0D"/>
    <w:rsid w:val="009E5250"/>
    <w:rsid w:val="009E7A69"/>
    <w:rsid w:val="009E7F92"/>
    <w:rsid w:val="009F02A3"/>
    <w:rsid w:val="009F1CFA"/>
    <w:rsid w:val="009F2F27"/>
    <w:rsid w:val="009F34AA"/>
    <w:rsid w:val="009F5D5F"/>
    <w:rsid w:val="009F619E"/>
    <w:rsid w:val="009F6BCB"/>
    <w:rsid w:val="009F74B8"/>
    <w:rsid w:val="009F7B78"/>
    <w:rsid w:val="00A001E4"/>
    <w:rsid w:val="00A0057A"/>
    <w:rsid w:val="00A005D9"/>
    <w:rsid w:val="00A02FA1"/>
    <w:rsid w:val="00A04391"/>
    <w:rsid w:val="00A04CCE"/>
    <w:rsid w:val="00A07421"/>
    <w:rsid w:val="00A0776B"/>
    <w:rsid w:val="00A07907"/>
    <w:rsid w:val="00A10382"/>
    <w:rsid w:val="00A10FB9"/>
    <w:rsid w:val="00A11421"/>
    <w:rsid w:val="00A1189D"/>
    <w:rsid w:val="00A11FD8"/>
    <w:rsid w:val="00A1389F"/>
    <w:rsid w:val="00A1439F"/>
    <w:rsid w:val="00A157B1"/>
    <w:rsid w:val="00A203F4"/>
    <w:rsid w:val="00A22229"/>
    <w:rsid w:val="00A2360E"/>
    <w:rsid w:val="00A239AA"/>
    <w:rsid w:val="00A24442"/>
    <w:rsid w:val="00A26EC4"/>
    <w:rsid w:val="00A27C22"/>
    <w:rsid w:val="00A32577"/>
    <w:rsid w:val="00A329A5"/>
    <w:rsid w:val="00A330BB"/>
    <w:rsid w:val="00A3346C"/>
    <w:rsid w:val="00A3438E"/>
    <w:rsid w:val="00A34ACD"/>
    <w:rsid w:val="00A42148"/>
    <w:rsid w:val="00A44882"/>
    <w:rsid w:val="00A45125"/>
    <w:rsid w:val="00A53063"/>
    <w:rsid w:val="00A54715"/>
    <w:rsid w:val="00A57ACF"/>
    <w:rsid w:val="00A600B1"/>
    <w:rsid w:val="00A6061C"/>
    <w:rsid w:val="00A62D44"/>
    <w:rsid w:val="00A63816"/>
    <w:rsid w:val="00A63BF2"/>
    <w:rsid w:val="00A65C69"/>
    <w:rsid w:val="00A67263"/>
    <w:rsid w:val="00A673F0"/>
    <w:rsid w:val="00A71404"/>
    <w:rsid w:val="00A7161C"/>
    <w:rsid w:val="00A72D2A"/>
    <w:rsid w:val="00A77AA3"/>
    <w:rsid w:val="00A8236D"/>
    <w:rsid w:val="00A82D66"/>
    <w:rsid w:val="00A84727"/>
    <w:rsid w:val="00A854EB"/>
    <w:rsid w:val="00A86612"/>
    <w:rsid w:val="00A872E5"/>
    <w:rsid w:val="00A91406"/>
    <w:rsid w:val="00A95D46"/>
    <w:rsid w:val="00A96E65"/>
    <w:rsid w:val="00A96ECE"/>
    <w:rsid w:val="00A97C72"/>
    <w:rsid w:val="00AA0A24"/>
    <w:rsid w:val="00AA310B"/>
    <w:rsid w:val="00AA6054"/>
    <w:rsid w:val="00AA63D4"/>
    <w:rsid w:val="00AB06E8"/>
    <w:rsid w:val="00AB1CD3"/>
    <w:rsid w:val="00AB24C3"/>
    <w:rsid w:val="00AB261E"/>
    <w:rsid w:val="00AB352F"/>
    <w:rsid w:val="00AB409A"/>
    <w:rsid w:val="00AB76CA"/>
    <w:rsid w:val="00AB7E11"/>
    <w:rsid w:val="00AC274B"/>
    <w:rsid w:val="00AC4764"/>
    <w:rsid w:val="00AC6D36"/>
    <w:rsid w:val="00AC7D8A"/>
    <w:rsid w:val="00AD0925"/>
    <w:rsid w:val="00AD0B7E"/>
    <w:rsid w:val="00AD0CBA"/>
    <w:rsid w:val="00AD11EE"/>
    <w:rsid w:val="00AD26E2"/>
    <w:rsid w:val="00AD3008"/>
    <w:rsid w:val="00AD4944"/>
    <w:rsid w:val="00AD4B53"/>
    <w:rsid w:val="00AD784C"/>
    <w:rsid w:val="00AE126A"/>
    <w:rsid w:val="00AE1BAE"/>
    <w:rsid w:val="00AE2E94"/>
    <w:rsid w:val="00AE3005"/>
    <w:rsid w:val="00AE3BD5"/>
    <w:rsid w:val="00AE4DB4"/>
    <w:rsid w:val="00AE59A0"/>
    <w:rsid w:val="00AE705C"/>
    <w:rsid w:val="00AE7145"/>
    <w:rsid w:val="00AF0C57"/>
    <w:rsid w:val="00AF26F3"/>
    <w:rsid w:val="00AF5F04"/>
    <w:rsid w:val="00AF763D"/>
    <w:rsid w:val="00B00672"/>
    <w:rsid w:val="00B01A18"/>
    <w:rsid w:val="00B01B4D"/>
    <w:rsid w:val="00B029FB"/>
    <w:rsid w:val="00B03522"/>
    <w:rsid w:val="00B04489"/>
    <w:rsid w:val="00B04E50"/>
    <w:rsid w:val="00B05D09"/>
    <w:rsid w:val="00B06571"/>
    <w:rsid w:val="00B068BA"/>
    <w:rsid w:val="00B07217"/>
    <w:rsid w:val="00B10086"/>
    <w:rsid w:val="00B13851"/>
    <w:rsid w:val="00B13B1C"/>
    <w:rsid w:val="00B14B5F"/>
    <w:rsid w:val="00B16F01"/>
    <w:rsid w:val="00B17E28"/>
    <w:rsid w:val="00B2081F"/>
    <w:rsid w:val="00B21F90"/>
    <w:rsid w:val="00B22291"/>
    <w:rsid w:val="00B23F9A"/>
    <w:rsid w:val="00B2417B"/>
    <w:rsid w:val="00B24E6F"/>
    <w:rsid w:val="00B25D5C"/>
    <w:rsid w:val="00B26BF5"/>
    <w:rsid w:val="00B26CB5"/>
    <w:rsid w:val="00B27331"/>
    <w:rsid w:val="00B2752E"/>
    <w:rsid w:val="00B27831"/>
    <w:rsid w:val="00B27FF9"/>
    <w:rsid w:val="00B3000B"/>
    <w:rsid w:val="00B300CA"/>
    <w:rsid w:val="00B307CC"/>
    <w:rsid w:val="00B32374"/>
    <w:rsid w:val="00B326B7"/>
    <w:rsid w:val="00B34869"/>
    <w:rsid w:val="00B3588E"/>
    <w:rsid w:val="00B35A91"/>
    <w:rsid w:val="00B4198F"/>
    <w:rsid w:val="00B41F3D"/>
    <w:rsid w:val="00B42152"/>
    <w:rsid w:val="00B42A77"/>
    <w:rsid w:val="00B431E8"/>
    <w:rsid w:val="00B45141"/>
    <w:rsid w:val="00B45438"/>
    <w:rsid w:val="00B46F54"/>
    <w:rsid w:val="00B47B9F"/>
    <w:rsid w:val="00B504F1"/>
    <w:rsid w:val="00B519CD"/>
    <w:rsid w:val="00B5273A"/>
    <w:rsid w:val="00B5287A"/>
    <w:rsid w:val="00B56A47"/>
    <w:rsid w:val="00B56EEB"/>
    <w:rsid w:val="00B57329"/>
    <w:rsid w:val="00B57B36"/>
    <w:rsid w:val="00B60E61"/>
    <w:rsid w:val="00B617B9"/>
    <w:rsid w:val="00B61A0B"/>
    <w:rsid w:val="00B62B50"/>
    <w:rsid w:val="00B635B7"/>
    <w:rsid w:val="00B63AA1"/>
    <w:rsid w:val="00B63AE8"/>
    <w:rsid w:val="00B65950"/>
    <w:rsid w:val="00B65EAE"/>
    <w:rsid w:val="00B66D83"/>
    <w:rsid w:val="00B672C0"/>
    <w:rsid w:val="00B67626"/>
    <w:rsid w:val="00B676FD"/>
    <w:rsid w:val="00B678B6"/>
    <w:rsid w:val="00B74213"/>
    <w:rsid w:val="00B75646"/>
    <w:rsid w:val="00B7574E"/>
    <w:rsid w:val="00B7629E"/>
    <w:rsid w:val="00B7697F"/>
    <w:rsid w:val="00B86935"/>
    <w:rsid w:val="00B90729"/>
    <w:rsid w:val="00B907DA"/>
    <w:rsid w:val="00B91C6A"/>
    <w:rsid w:val="00B950BC"/>
    <w:rsid w:val="00B96FCC"/>
    <w:rsid w:val="00B9714C"/>
    <w:rsid w:val="00BA032B"/>
    <w:rsid w:val="00BA06EA"/>
    <w:rsid w:val="00BA29AD"/>
    <w:rsid w:val="00BA32A5"/>
    <w:rsid w:val="00BA33CF"/>
    <w:rsid w:val="00BA3F8D"/>
    <w:rsid w:val="00BA73E4"/>
    <w:rsid w:val="00BB24F4"/>
    <w:rsid w:val="00BB3265"/>
    <w:rsid w:val="00BB5168"/>
    <w:rsid w:val="00BB5C85"/>
    <w:rsid w:val="00BB5D24"/>
    <w:rsid w:val="00BB692A"/>
    <w:rsid w:val="00BB7309"/>
    <w:rsid w:val="00BB7A10"/>
    <w:rsid w:val="00BC5FE6"/>
    <w:rsid w:val="00BC60BE"/>
    <w:rsid w:val="00BC60FF"/>
    <w:rsid w:val="00BC7468"/>
    <w:rsid w:val="00BC7D4F"/>
    <w:rsid w:val="00BC7ED7"/>
    <w:rsid w:val="00BD0BDF"/>
    <w:rsid w:val="00BD2850"/>
    <w:rsid w:val="00BD49B5"/>
    <w:rsid w:val="00BD4C47"/>
    <w:rsid w:val="00BD6FDC"/>
    <w:rsid w:val="00BE24A9"/>
    <w:rsid w:val="00BE28D2"/>
    <w:rsid w:val="00BE4412"/>
    <w:rsid w:val="00BE472F"/>
    <w:rsid w:val="00BE4A64"/>
    <w:rsid w:val="00BE5E43"/>
    <w:rsid w:val="00BE6615"/>
    <w:rsid w:val="00BE7208"/>
    <w:rsid w:val="00BF0FDE"/>
    <w:rsid w:val="00BF336A"/>
    <w:rsid w:val="00BF35EE"/>
    <w:rsid w:val="00BF4059"/>
    <w:rsid w:val="00BF4A21"/>
    <w:rsid w:val="00BF557D"/>
    <w:rsid w:val="00BF7F58"/>
    <w:rsid w:val="00C01381"/>
    <w:rsid w:val="00C01AB1"/>
    <w:rsid w:val="00C026A0"/>
    <w:rsid w:val="00C039D9"/>
    <w:rsid w:val="00C03EA4"/>
    <w:rsid w:val="00C04F42"/>
    <w:rsid w:val="00C06137"/>
    <w:rsid w:val="00C06929"/>
    <w:rsid w:val="00C06A9B"/>
    <w:rsid w:val="00C079B8"/>
    <w:rsid w:val="00C10037"/>
    <w:rsid w:val="00C11EBA"/>
    <w:rsid w:val="00C123EA"/>
    <w:rsid w:val="00C12A49"/>
    <w:rsid w:val="00C133EE"/>
    <w:rsid w:val="00C149D0"/>
    <w:rsid w:val="00C22583"/>
    <w:rsid w:val="00C231A0"/>
    <w:rsid w:val="00C24A31"/>
    <w:rsid w:val="00C255C2"/>
    <w:rsid w:val="00C260F3"/>
    <w:rsid w:val="00C2635F"/>
    <w:rsid w:val="00C26588"/>
    <w:rsid w:val="00C27DE9"/>
    <w:rsid w:val="00C32989"/>
    <w:rsid w:val="00C33388"/>
    <w:rsid w:val="00C34F05"/>
    <w:rsid w:val="00C350CB"/>
    <w:rsid w:val="00C35484"/>
    <w:rsid w:val="00C3696F"/>
    <w:rsid w:val="00C4173A"/>
    <w:rsid w:val="00C50DED"/>
    <w:rsid w:val="00C52217"/>
    <w:rsid w:val="00C53946"/>
    <w:rsid w:val="00C602FF"/>
    <w:rsid w:val="00C61174"/>
    <w:rsid w:val="00C6148F"/>
    <w:rsid w:val="00C621B1"/>
    <w:rsid w:val="00C62741"/>
    <w:rsid w:val="00C62F7A"/>
    <w:rsid w:val="00C63B9C"/>
    <w:rsid w:val="00C657B8"/>
    <w:rsid w:val="00C6682F"/>
    <w:rsid w:val="00C67BF4"/>
    <w:rsid w:val="00C7275E"/>
    <w:rsid w:val="00C74C5D"/>
    <w:rsid w:val="00C85B2F"/>
    <w:rsid w:val="00C863C4"/>
    <w:rsid w:val="00C8748C"/>
    <w:rsid w:val="00C87B45"/>
    <w:rsid w:val="00C87D01"/>
    <w:rsid w:val="00C917AB"/>
    <w:rsid w:val="00C91C8E"/>
    <w:rsid w:val="00C920EA"/>
    <w:rsid w:val="00C93C3E"/>
    <w:rsid w:val="00C975CA"/>
    <w:rsid w:val="00C9778D"/>
    <w:rsid w:val="00CA0894"/>
    <w:rsid w:val="00CA12E3"/>
    <w:rsid w:val="00CA1476"/>
    <w:rsid w:val="00CA3353"/>
    <w:rsid w:val="00CA6611"/>
    <w:rsid w:val="00CA6AE6"/>
    <w:rsid w:val="00CA782F"/>
    <w:rsid w:val="00CB187B"/>
    <w:rsid w:val="00CB2835"/>
    <w:rsid w:val="00CB3285"/>
    <w:rsid w:val="00CB38D7"/>
    <w:rsid w:val="00CB4500"/>
    <w:rsid w:val="00CB4CCA"/>
    <w:rsid w:val="00CB53A2"/>
    <w:rsid w:val="00CB6045"/>
    <w:rsid w:val="00CC0C72"/>
    <w:rsid w:val="00CC0D7A"/>
    <w:rsid w:val="00CC2BFD"/>
    <w:rsid w:val="00CC4C31"/>
    <w:rsid w:val="00CD3476"/>
    <w:rsid w:val="00CD3FDF"/>
    <w:rsid w:val="00CD64DF"/>
    <w:rsid w:val="00CD6BF4"/>
    <w:rsid w:val="00CD7CE0"/>
    <w:rsid w:val="00CE08FC"/>
    <w:rsid w:val="00CE12AF"/>
    <w:rsid w:val="00CE225F"/>
    <w:rsid w:val="00CE4213"/>
    <w:rsid w:val="00CE44A8"/>
    <w:rsid w:val="00CE4DE9"/>
    <w:rsid w:val="00CE6505"/>
    <w:rsid w:val="00CF1139"/>
    <w:rsid w:val="00CF2F50"/>
    <w:rsid w:val="00CF3F4E"/>
    <w:rsid w:val="00CF4148"/>
    <w:rsid w:val="00CF6198"/>
    <w:rsid w:val="00D02919"/>
    <w:rsid w:val="00D029EF"/>
    <w:rsid w:val="00D04C61"/>
    <w:rsid w:val="00D05B8D"/>
    <w:rsid w:val="00D05B9B"/>
    <w:rsid w:val="00D06310"/>
    <w:rsid w:val="00D065A2"/>
    <w:rsid w:val="00D079AA"/>
    <w:rsid w:val="00D07F00"/>
    <w:rsid w:val="00D1130F"/>
    <w:rsid w:val="00D134B3"/>
    <w:rsid w:val="00D17B72"/>
    <w:rsid w:val="00D22B9F"/>
    <w:rsid w:val="00D25497"/>
    <w:rsid w:val="00D2594B"/>
    <w:rsid w:val="00D3166E"/>
    <w:rsid w:val="00D3185C"/>
    <w:rsid w:val="00D3205F"/>
    <w:rsid w:val="00D3318E"/>
    <w:rsid w:val="00D3376F"/>
    <w:rsid w:val="00D33A15"/>
    <w:rsid w:val="00D33E72"/>
    <w:rsid w:val="00D356E7"/>
    <w:rsid w:val="00D35BD6"/>
    <w:rsid w:val="00D361B5"/>
    <w:rsid w:val="00D36B26"/>
    <w:rsid w:val="00D411A2"/>
    <w:rsid w:val="00D41843"/>
    <w:rsid w:val="00D43235"/>
    <w:rsid w:val="00D4606D"/>
    <w:rsid w:val="00D50B9C"/>
    <w:rsid w:val="00D527ED"/>
    <w:rsid w:val="00D52D73"/>
    <w:rsid w:val="00D52E58"/>
    <w:rsid w:val="00D54106"/>
    <w:rsid w:val="00D54A4F"/>
    <w:rsid w:val="00D56B20"/>
    <w:rsid w:val="00D56CC5"/>
    <w:rsid w:val="00D578B3"/>
    <w:rsid w:val="00D57EC5"/>
    <w:rsid w:val="00D60E3A"/>
    <w:rsid w:val="00D618F4"/>
    <w:rsid w:val="00D61A1D"/>
    <w:rsid w:val="00D630DC"/>
    <w:rsid w:val="00D675FC"/>
    <w:rsid w:val="00D714CC"/>
    <w:rsid w:val="00D7194D"/>
    <w:rsid w:val="00D727A7"/>
    <w:rsid w:val="00D72A85"/>
    <w:rsid w:val="00D75EA7"/>
    <w:rsid w:val="00D7617D"/>
    <w:rsid w:val="00D76707"/>
    <w:rsid w:val="00D80402"/>
    <w:rsid w:val="00D81837"/>
    <w:rsid w:val="00D81ADF"/>
    <w:rsid w:val="00D81F21"/>
    <w:rsid w:val="00D83E4A"/>
    <w:rsid w:val="00D842D3"/>
    <w:rsid w:val="00D85A72"/>
    <w:rsid w:val="00D864F2"/>
    <w:rsid w:val="00D87C25"/>
    <w:rsid w:val="00D94137"/>
    <w:rsid w:val="00D943F8"/>
    <w:rsid w:val="00D94491"/>
    <w:rsid w:val="00D95470"/>
    <w:rsid w:val="00D95999"/>
    <w:rsid w:val="00D96B55"/>
    <w:rsid w:val="00D97AD3"/>
    <w:rsid w:val="00DA00F5"/>
    <w:rsid w:val="00DA2619"/>
    <w:rsid w:val="00DA2E57"/>
    <w:rsid w:val="00DA4239"/>
    <w:rsid w:val="00DA65DE"/>
    <w:rsid w:val="00DA7361"/>
    <w:rsid w:val="00DB0B61"/>
    <w:rsid w:val="00DB1474"/>
    <w:rsid w:val="00DB1C54"/>
    <w:rsid w:val="00DB2056"/>
    <w:rsid w:val="00DB272B"/>
    <w:rsid w:val="00DB2962"/>
    <w:rsid w:val="00DB33F8"/>
    <w:rsid w:val="00DB52FB"/>
    <w:rsid w:val="00DB55C3"/>
    <w:rsid w:val="00DC013B"/>
    <w:rsid w:val="00DC090B"/>
    <w:rsid w:val="00DC14BD"/>
    <w:rsid w:val="00DC1679"/>
    <w:rsid w:val="00DC1ED8"/>
    <w:rsid w:val="00DC219B"/>
    <w:rsid w:val="00DC2CF1"/>
    <w:rsid w:val="00DC3A7C"/>
    <w:rsid w:val="00DC4FCF"/>
    <w:rsid w:val="00DC50E0"/>
    <w:rsid w:val="00DC5238"/>
    <w:rsid w:val="00DC6386"/>
    <w:rsid w:val="00DD0F9E"/>
    <w:rsid w:val="00DD1130"/>
    <w:rsid w:val="00DD1951"/>
    <w:rsid w:val="00DD31D5"/>
    <w:rsid w:val="00DD4274"/>
    <w:rsid w:val="00DD46DC"/>
    <w:rsid w:val="00DD487D"/>
    <w:rsid w:val="00DD4E83"/>
    <w:rsid w:val="00DD6628"/>
    <w:rsid w:val="00DD6945"/>
    <w:rsid w:val="00DD7B1B"/>
    <w:rsid w:val="00DD7CD1"/>
    <w:rsid w:val="00DE2D04"/>
    <w:rsid w:val="00DE3250"/>
    <w:rsid w:val="00DE6028"/>
    <w:rsid w:val="00DE6C85"/>
    <w:rsid w:val="00DE78A3"/>
    <w:rsid w:val="00DF1A71"/>
    <w:rsid w:val="00DF26BD"/>
    <w:rsid w:val="00DF50FC"/>
    <w:rsid w:val="00DF68C7"/>
    <w:rsid w:val="00DF72FC"/>
    <w:rsid w:val="00DF731A"/>
    <w:rsid w:val="00DF756E"/>
    <w:rsid w:val="00E00344"/>
    <w:rsid w:val="00E05D9C"/>
    <w:rsid w:val="00E06B75"/>
    <w:rsid w:val="00E11332"/>
    <w:rsid w:val="00E11352"/>
    <w:rsid w:val="00E1160D"/>
    <w:rsid w:val="00E15C1C"/>
    <w:rsid w:val="00E166B8"/>
    <w:rsid w:val="00E16894"/>
    <w:rsid w:val="00E170DC"/>
    <w:rsid w:val="00E17546"/>
    <w:rsid w:val="00E210B5"/>
    <w:rsid w:val="00E24A46"/>
    <w:rsid w:val="00E24CA1"/>
    <w:rsid w:val="00E261B3"/>
    <w:rsid w:val="00E26818"/>
    <w:rsid w:val="00E26CFE"/>
    <w:rsid w:val="00E27FFC"/>
    <w:rsid w:val="00E30B15"/>
    <w:rsid w:val="00E32052"/>
    <w:rsid w:val="00E33237"/>
    <w:rsid w:val="00E36906"/>
    <w:rsid w:val="00E37E6D"/>
    <w:rsid w:val="00E40181"/>
    <w:rsid w:val="00E411CF"/>
    <w:rsid w:val="00E427AA"/>
    <w:rsid w:val="00E519E4"/>
    <w:rsid w:val="00E5442D"/>
    <w:rsid w:val="00E54950"/>
    <w:rsid w:val="00E54B33"/>
    <w:rsid w:val="00E55FB3"/>
    <w:rsid w:val="00E55FFE"/>
    <w:rsid w:val="00E56A01"/>
    <w:rsid w:val="00E5775B"/>
    <w:rsid w:val="00E629A1"/>
    <w:rsid w:val="00E643D0"/>
    <w:rsid w:val="00E675D9"/>
    <w:rsid w:val="00E6794C"/>
    <w:rsid w:val="00E70531"/>
    <w:rsid w:val="00E71591"/>
    <w:rsid w:val="00E71CEB"/>
    <w:rsid w:val="00E7474F"/>
    <w:rsid w:val="00E76E20"/>
    <w:rsid w:val="00E80DE3"/>
    <w:rsid w:val="00E82744"/>
    <w:rsid w:val="00E82C55"/>
    <w:rsid w:val="00E84AC5"/>
    <w:rsid w:val="00E84E4F"/>
    <w:rsid w:val="00E86E38"/>
    <w:rsid w:val="00E8787E"/>
    <w:rsid w:val="00E87AB2"/>
    <w:rsid w:val="00E901DA"/>
    <w:rsid w:val="00E92AC3"/>
    <w:rsid w:val="00E93D67"/>
    <w:rsid w:val="00E9521A"/>
    <w:rsid w:val="00E95AD7"/>
    <w:rsid w:val="00E97304"/>
    <w:rsid w:val="00EA2F6A"/>
    <w:rsid w:val="00EB00E0"/>
    <w:rsid w:val="00EB05D5"/>
    <w:rsid w:val="00EB1931"/>
    <w:rsid w:val="00EB64CB"/>
    <w:rsid w:val="00EB6DA5"/>
    <w:rsid w:val="00EB6FD8"/>
    <w:rsid w:val="00EC059F"/>
    <w:rsid w:val="00EC1F24"/>
    <w:rsid w:val="00EC20FF"/>
    <w:rsid w:val="00EC22F6"/>
    <w:rsid w:val="00EC2B52"/>
    <w:rsid w:val="00EC4FA8"/>
    <w:rsid w:val="00EC7349"/>
    <w:rsid w:val="00ED013D"/>
    <w:rsid w:val="00ED3B4D"/>
    <w:rsid w:val="00ED40AE"/>
    <w:rsid w:val="00ED5B9B"/>
    <w:rsid w:val="00ED6BAD"/>
    <w:rsid w:val="00ED7447"/>
    <w:rsid w:val="00ED76BF"/>
    <w:rsid w:val="00EE00D6"/>
    <w:rsid w:val="00EE11E7"/>
    <w:rsid w:val="00EE1488"/>
    <w:rsid w:val="00EE1730"/>
    <w:rsid w:val="00EE29AD"/>
    <w:rsid w:val="00EE3E24"/>
    <w:rsid w:val="00EE4D5D"/>
    <w:rsid w:val="00EE5131"/>
    <w:rsid w:val="00EE575A"/>
    <w:rsid w:val="00EF109B"/>
    <w:rsid w:val="00EF201C"/>
    <w:rsid w:val="00EF2C72"/>
    <w:rsid w:val="00EF36AF"/>
    <w:rsid w:val="00EF59A3"/>
    <w:rsid w:val="00EF5B8B"/>
    <w:rsid w:val="00EF6675"/>
    <w:rsid w:val="00EF6ABD"/>
    <w:rsid w:val="00F0063D"/>
    <w:rsid w:val="00F00F9C"/>
    <w:rsid w:val="00F01E5F"/>
    <w:rsid w:val="00F01E9B"/>
    <w:rsid w:val="00F024F3"/>
    <w:rsid w:val="00F02ABA"/>
    <w:rsid w:val="00F0437A"/>
    <w:rsid w:val="00F05C25"/>
    <w:rsid w:val="00F0657D"/>
    <w:rsid w:val="00F069FE"/>
    <w:rsid w:val="00F101B8"/>
    <w:rsid w:val="00F10C7D"/>
    <w:rsid w:val="00F11037"/>
    <w:rsid w:val="00F12BEA"/>
    <w:rsid w:val="00F1676D"/>
    <w:rsid w:val="00F16F1B"/>
    <w:rsid w:val="00F21CCE"/>
    <w:rsid w:val="00F250A9"/>
    <w:rsid w:val="00F267AF"/>
    <w:rsid w:val="00F30500"/>
    <w:rsid w:val="00F30B0B"/>
    <w:rsid w:val="00F30FF4"/>
    <w:rsid w:val="00F3117D"/>
    <w:rsid w:val="00F3122E"/>
    <w:rsid w:val="00F32368"/>
    <w:rsid w:val="00F331AD"/>
    <w:rsid w:val="00F33685"/>
    <w:rsid w:val="00F35287"/>
    <w:rsid w:val="00F40304"/>
    <w:rsid w:val="00F40A70"/>
    <w:rsid w:val="00F40D5E"/>
    <w:rsid w:val="00F41FBF"/>
    <w:rsid w:val="00F43A37"/>
    <w:rsid w:val="00F43B66"/>
    <w:rsid w:val="00F45295"/>
    <w:rsid w:val="00F4641B"/>
    <w:rsid w:val="00F46EB8"/>
    <w:rsid w:val="00F476B8"/>
    <w:rsid w:val="00F47A3A"/>
    <w:rsid w:val="00F50CD1"/>
    <w:rsid w:val="00F511E4"/>
    <w:rsid w:val="00F524B5"/>
    <w:rsid w:val="00F52D09"/>
    <w:rsid w:val="00F52E08"/>
    <w:rsid w:val="00F53A66"/>
    <w:rsid w:val="00F54337"/>
    <w:rsid w:val="00F5460B"/>
    <w:rsid w:val="00F5462D"/>
    <w:rsid w:val="00F55B21"/>
    <w:rsid w:val="00F56EF6"/>
    <w:rsid w:val="00F57C07"/>
    <w:rsid w:val="00F57C22"/>
    <w:rsid w:val="00F60082"/>
    <w:rsid w:val="00F60B7B"/>
    <w:rsid w:val="00F61A9F"/>
    <w:rsid w:val="00F61B5F"/>
    <w:rsid w:val="00F63C5D"/>
    <w:rsid w:val="00F64696"/>
    <w:rsid w:val="00F65AA9"/>
    <w:rsid w:val="00F66177"/>
    <w:rsid w:val="00F6768F"/>
    <w:rsid w:val="00F72C2C"/>
    <w:rsid w:val="00F74192"/>
    <w:rsid w:val="00F741F2"/>
    <w:rsid w:val="00F74F7F"/>
    <w:rsid w:val="00F75E3A"/>
    <w:rsid w:val="00F760BE"/>
    <w:rsid w:val="00F76CAB"/>
    <w:rsid w:val="00F772C6"/>
    <w:rsid w:val="00F815B5"/>
    <w:rsid w:val="00F816A0"/>
    <w:rsid w:val="00F85195"/>
    <w:rsid w:val="00F868E3"/>
    <w:rsid w:val="00F87261"/>
    <w:rsid w:val="00F9003F"/>
    <w:rsid w:val="00F900D2"/>
    <w:rsid w:val="00F9145E"/>
    <w:rsid w:val="00F92544"/>
    <w:rsid w:val="00F936F9"/>
    <w:rsid w:val="00F938BA"/>
    <w:rsid w:val="00F94355"/>
    <w:rsid w:val="00F97919"/>
    <w:rsid w:val="00FA2253"/>
    <w:rsid w:val="00FA2C46"/>
    <w:rsid w:val="00FA3525"/>
    <w:rsid w:val="00FA5A53"/>
    <w:rsid w:val="00FB099E"/>
    <w:rsid w:val="00FB3501"/>
    <w:rsid w:val="00FB4769"/>
    <w:rsid w:val="00FB4CDA"/>
    <w:rsid w:val="00FB5494"/>
    <w:rsid w:val="00FB6481"/>
    <w:rsid w:val="00FB6D36"/>
    <w:rsid w:val="00FB70C6"/>
    <w:rsid w:val="00FC0965"/>
    <w:rsid w:val="00FC0D93"/>
    <w:rsid w:val="00FC0F81"/>
    <w:rsid w:val="00FC1C3C"/>
    <w:rsid w:val="00FC252F"/>
    <w:rsid w:val="00FC395C"/>
    <w:rsid w:val="00FC4B20"/>
    <w:rsid w:val="00FC5C48"/>
    <w:rsid w:val="00FC5E8E"/>
    <w:rsid w:val="00FD1A06"/>
    <w:rsid w:val="00FD1FC6"/>
    <w:rsid w:val="00FD2A22"/>
    <w:rsid w:val="00FD2BBA"/>
    <w:rsid w:val="00FD3766"/>
    <w:rsid w:val="00FD47C4"/>
    <w:rsid w:val="00FE2DCF"/>
    <w:rsid w:val="00FE3F3D"/>
    <w:rsid w:val="00FE3FA7"/>
    <w:rsid w:val="00FE672E"/>
    <w:rsid w:val="00FE737D"/>
    <w:rsid w:val="00FF2A4E"/>
    <w:rsid w:val="00FF2FCE"/>
    <w:rsid w:val="00FF4462"/>
    <w:rsid w:val="00FF4F7D"/>
    <w:rsid w:val="00FF52BA"/>
    <w:rsid w:val="00FF6D9D"/>
    <w:rsid w:val="00FF7DD5"/>
    <w:rsid w:val="2FFFA555"/>
    <w:rsid w:val="52E1F9BD"/>
    <w:rsid w:val="7313474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30EF60"/>
  <w15:docId w15:val="{D94D4B10-B0B7-4876-8366-9FB0AA56C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2F4367"/>
    <w:pPr>
      <w:keepNext/>
      <w:keepLines/>
      <w:spacing w:before="360" w:after="240" w:line="48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2F436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2F4367"/>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4"/>
      </w:numPr>
    </w:pPr>
  </w:style>
  <w:style w:type="numbering" w:customStyle="1" w:styleId="ZZTablebullets">
    <w:name w:val="ZZ Table bullets"/>
    <w:basedOn w:val="NoList"/>
    <w:rsid w:val="00FD2A22"/>
    <w:pPr>
      <w:numPr>
        <w:numId w:val="4"/>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3"/>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5"/>
      </w:numPr>
    </w:pPr>
  </w:style>
  <w:style w:type="paragraph" w:customStyle="1" w:styleId="Numberdigit">
    <w:name w:val="Number digit"/>
    <w:basedOn w:val="Body"/>
    <w:uiPriority w:val="2"/>
    <w:rsid w:val="00FD2A22"/>
    <w:pPr>
      <w:numPr>
        <w:numId w:val="2"/>
      </w:numPr>
    </w:pPr>
  </w:style>
  <w:style w:type="paragraph" w:customStyle="1" w:styleId="Numberloweralphaindent">
    <w:name w:val="Number lower alpha indent"/>
    <w:basedOn w:val="Body"/>
    <w:uiPriority w:val="3"/>
    <w:rsid w:val="00FD2A22"/>
    <w:pPr>
      <w:numPr>
        <w:ilvl w:val="1"/>
        <w:numId w:val="8"/>
      </w:numPr>
    </w:pPr>
  </w:style>
  <w:style w:type="paragraph" w:customStyle="1" w:styleId="Numberdigitindent">
    <w:name w:val="Number digit indent"/>
    <w:basedOn w:val="Numberloweralphaindent"/>
    <w:uiPriority w:val="3"/>
    <w:rsid w:val="00FD2A22"/>
    <w:pPr>
      <w:numPr>
        <w:numId w:val="2"/>
      </w:numPr>
    </w:pPr>
  </w:style>
  <w:style w:type="paragraph" w:customStyle="1" w:styleId="Numberloweralpha">
    <w:name w:val="Number lower alpha"/>
    <w:basedOn w:val="Body"/>
    <w:uiPriority w:val="3"/>
    <w:rsid w:val="00FD2A22"/>
    <w:pPr>
      <w:numPr>
        <w:numId w:val="8"/>
      </w:numPr>
    </w:pPr>
  </w:style>
  <w:style w:type="paragraph" w:customStyle="1" w:styleId="Numberlowerroman">
    <w:name w:val="Number lower roman"/>
    <w:basedOn w:val="Body"/>
    <w:uiPriority w:val="3"/>
    <w:rsid w:val="00FD2A22"/>
    <w:pPr>
      <w:numPr>
        <w:numId w:val="6"/>
      </w:numPr>
    </w:pPr>
  </w:style>
  <w:style w:type="paragraph" w:customStyle="1" w:styleId="Numberlowerromanindent">
    <w:name w:val="Number lower roman indent"/>
    <w:basedOn w:val="Body"/>
    <w:uiPriority w:val="3"/>
    <w:rsid w:val="00FD2A22"/>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2"/>
      </w:numPr>
    </w:pPr>
  </w:style>
  <w:style w:type="numbering" w:customStyle="1" w:styleId="ZZNumberslowerroman">
    <w:name w:val="ZZ Numbers lower roman"/>
    <w:basedOn w:val="ZZQuotebullets"/>
    <w:rsid w:val="00FD2A22"/>
    <w:pPr>
      <w:numPr>
        <w:numId w:val="6"/>
      </w:numPr>
    </w:pPr>
  </w:style>
  <w:style w:type="numbering" w:customStyle="1" w:styleId="ZZNumbersloweralpha">
    <w:name w:val="ZZ Numbers lower alpha"/>
    <w:basedOn w:val="NoList"/>
    <w:rsid w:val="00FD2A22"/>
    <w:pPr>
      <w:numPr>
        <w:numId w:val="7"/>
      </w:numPr>
    </w:pPr>
  </w:style>
  <w:style w:type="paragraph" w:customStyle="1" w:styleId="Quotebullet1">
    <w:name w:val="Quote bullet 1"/>
    <w:basedOn w:val="Quotetext"/>
    <w:rsid w:val="00FD2A22"/>
    <w:pPr>
      <w:numPr>
        <w:numId w:val="5"/>
      </w:numPr>
    </w:pPr>
  </w:style>
  <w:style w:type="paragraph" w:customStyle="1" w:styleId="Quotebullet2">
    <w:name w:val="Quote bullet 2"/>
    <w:basedOn w:val="Quotetext"/>
    <w:rsid w:val="00FD2A22"/>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2F4367"/>
    <w:pPr>
      <w:spacing w:line="320" w:lineRule="atLeast"/>
    </w:pPr>
    <w:rPr>
      <w:color w:val="201547"/>
      <w:sz w:val="24"/>
    </w:rPr>
  </w:style>
  <w:style w:type="paragraph" w:customStyle="1" w:styleId="DHHSbody">
    <w:name w:val="DHHS body"/>
    <w:qFormat/>
    <w:rsid w:val="00A203F4"/>
    <w:pPr>
      <w:spacing w:after="120" w:line="270" w:lineRule="atLeast"/>
    </w:pPr>
    <w:rPr>
      <w:rFonts w:ascii="Arial" w:eastAsia="Times" w:hAnsi="Arial"/>
      <w:lang w:eastAsia="en-US"/>
    </w:rPr>
  </w:style>
  <w:style w:type="paragraph" w:customStyle="1" w:styleId="DHHSnumberloweralpha">
    <w:name w:val="DHHS number lower alpha"/>
    <w:basedOn w:val="DHHSbody"/>
    <w:uiPriority w:val="3"/>
    <w:rsid w:val="00686AA3"/>
    <w:pPr>
      <w:numPr>
        <w:ilvl w:val="2"/>
        <w:numId w:val="11"/>
      </w:numPr>
    </w:pPr>
  </w:style>
  <w:style w:type="paragraph" w:customStyle="1" w:styleId="DHHSnumberloweralphaindent">
    <w:name w:val="DHHS number lower alpha indent"/>
    <w:basedOn w:val="DHHSbody"/>
    <w:uiPriority w:val="3"/>
    <w:rsid w:val="00686AA3"/>
    <w:pPr>
      <w:numPr>
        <w:ilvl w:val="3"/>
        <w:numId w:val="11"/>
      </w:numPr>
    </w:pPr>
  </w:style>
  <w:style w:type="paragraph" w:customStyle="1" w:styleId="DHHSnumberdigit">
    <w:name w:val="DHHS number digit"/>
    <w:basedOn w:val="DHHSbody"/>
    <w:uiPriority w:val="2"/>
    <w:rsid w:val="00686AA3"/>
    <w:pPr>
      <w:numPr>
        <w:numId w:val="11"/>
      </w:numPr>
    </w:pPr>
  </w:style>
  <w:style w:type="numbering" w:customStyle="1" w:styleId="ZZNumbers">
    <w:name w:val="ZZ Numbers"/>
    <w:rsid w:val="00686AA3"/>
    <w:pPr>
      <w:numPr>
        <w:numId w:val="10"/>
      </w:numPr>
    </w:pPr>
  </w:style>
  <w:style w:type="paragraph" w:customStyle="1" w:styleId="DHHSnumberlowerroman">
    <w:name w:val="DHHS number lower roman"/>
    <w:basedOn w:val="DHHSbody"/>
    <w:uiPriority w:val="3"/>
    <w:rsid w:val="00686AA3"/>
    <w:pPr>
      <w:numPr>
        <w:ilvl w:val="4"/>
        <w:numId w:val="11"/>
      </w:numPr>
    </w:pPr>
  </w:style>
  <w:style w:type="paragraph" w:customStyle="1" w:styleId="DHHSnumberlowerromanindent">
    <w:name w:val="DHHS number lower roman indent"/>
    <w:basedOn w:val="DHHSbody"/>
    <w:uiPriority w:val="3"/>
    <w:rsid w:val="00686AA3"/>
    <w:pPr>
      <w:numPr>
        <w:ilvl w:val="5"/>
        <w:numId w:val="11"/>
      </w:numPr>
    </w:pPr>
  </w:style>
  <w:style w:type="paragraph" w:customStyle="1" w:styleId="DHHSnumberdigitindent">
    <w:name w:val="DHHS number digit indent"/>
    <w:basedOn w:val="DHHSnumberloweralphaindent"/>
    <w:uiPriority w:val="3"/>
    <w:rsid w:val="00686AA3"/>
    <w:pPr>
      <w:numPr>
        <w:ilvl w:val="1"/>
      </w:numPr>
    </w:pPr>
  </w:style>
  <w:style w:type="numbering" w:customStyle="1" w:styleId="ZZBullets11">
    <w:name w:val="ZZ Bullets11"/>
    <w:rsid w:val="00090603"/>
    <w:pPr>
      <w:numPr>
        <w:numId w:val="14"/>
      </w:numPr>
    </w:pPr>
  </w:style>
  <w:style w:type="numbering" w:customStyle="1" w:styleId="ZZBullets9">
    <w:name w:val="ZZ Bullets9"/>
    <w:rsid w:val="00090603"/>
  </w:style>
  <w:style w:type="paragraph" w:customStyle="1" w:styleId="Style2">
    <w:name w:val="Style2"/>
    <w:basedOn w:val="Heading2"/>
    <w:qFormat/>
    <w:rsid w:val="00BE7208"/>
    <w:pPr>
      <w:numPr>
        <w:numId w:val="15"/>
      </w:numPr>
      <w:spacing w:before="240" w:after="90" w:line="320" w:lineRule="atLeast"/>
    </w:pPr>
    <w:rPr>
      <w:color w:val="007B4B"/>
      <w:sz w:val="28"/>
      <w:lang w:eastAsia="en-AU"/>
    </w:rPr>
  </w:style>
  <w:style w:type="paragraph" w:customStyle="1" w:styleId="DHHSbullet2">
    <w:name w:val="DHHS bullet 2"/>
    <w:basedOn w:val="DHHSbody"/>
    <w:uiPriority w:val="2"/>
    <w:qFormat/>
    <w:rsid w:val="00F57C07"/>
    <w:pPr>
      <w:numPr>
        <w:numId w:val="16"/>
      </w:numPr>
      <w:spacing w:after="40"/>
      <w:ind w:left="284" w:hanging="284"/>
    </w:pPr>
  </w:style>
  <w:style w:type="character" w:customStyle="1" w:styleId="cf01">
    <w:name w:val="cf01"/>
    <w:basedOn w:val="DefaultParagraphFont"/>
    <w:rsid w:val="00037A45"/>
    <w:rPr>
      <w:rFonts w:ascii="Segoe UI" w:hAnsi="Segoe UI" w:cs="Segoe UI" w:hint="default"/>
      <w:sz w:val="18"/>
      <w:szCs w:val="18"/>
    </w:rPr>
  </w:style>
  <w:style w:type="paragraph" w:styleId="ListParagraph">
    <w:name w:val="List Paragraph"/>
    <w:basedOn w:val="Normal"/>
    <w:uiPriority w:val="72"/>
    <w:qFormat/>
    <w:rsid w:val="00532DE3"/>
    <w:pPr>
      <w:ind w:left="720"/>
      <w:contextualSpacing/>
    </w:pPr>
  </w:style>
  <w:style w:type="paragraph" w:styleId="NormalWeb">
    <w:name w:val="Normal (Web)"/>
    <w:basedOn w:val="Normal"/>
    <w:uiPriority w:val="99"/>
    <w:unhideWhenUsed/>
    <w:rsid w:val="00A673F0"/>
    <w:pPr>
      <w:spacing w:before="100" w:beforeAutospacing="1" w:after="100" w:afterAutospacing="1" w:line="240" w:lineRule="auto"/>
    </w:pPr>
    <w:rPr>
      <w:rFonts w:ascii="Times New Roman" w:hAnsi="Times New Roman"/>
      <w:sz w:val="24"/>
      <w:szCs w:val="24"/>
      <w:lang w:eastAsia="en-AU"/>
    </w:rPr>
  </w:style>
  <w:style w:type="character" w:styleId="Mention">
    <w:name w:val="Mention"/>
    <w:basedOn w:val="DefaultParagraphFont"/>
    <w:uiPriority w:val="99"/>
    <w:unhideWhenUsed/>
    <w:rsid w:val="00AD0B7E"/>
    <w:rPr>
      <w:color w:val="2B579A"/>
      <w:shd w:val="clear" w:color="auto" w:fill="E1DFDD"/>
    </w:rPr>
  </w:style>
  <w:style w:type="character" w:customStyle="1" w:styleId="normaltextrun">
    <w:name w:val="normaltextrun"/>
    <w:basedOn w:val="DefaultParagraphFont"/>
    <w:rsid w:val="00EC2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9558">
      <w:bodyDiv w:val="1"/>
      <w:marLeft w:val="0"/>
      <w:marRight w:val="0"/>
      <w:marTop w:val="0"/>
      <w:marBottom w:val="0"/>
      <w:divBdr>
        <w:top w:val="none" w:sz="0" w:space="0" w:color="auto"/>
        <w:left w:val="none" w:sz="0" w:space="0" w:color="auto"/>
        <w:bottom w:val="none" w:sz="0" w:space="0" w:color="auto"/>
        <w:right w:val="none" w:sz="0" w:space="0" w:color="auto"/>
      </w:divBdr>
    </w:div>
    <w:div w:id="123163483">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78279410">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30523733">
      <w:bodyDiv w:val="1"/>
      <w:marLeft w:val="0"/>
      <w:marRight w:val="0"/>
      <w:marTop w:val="0"/>
      <w:marBottom w:val="0"/>
      <w:divBdr>
        <w:top w:val="none" w:sz="0" w:space="0" w:color="auto"/>
        <w:left w:val="none" w:sz="0" w:space="0" w:color="auto"/>
        <w:bottom w:val="none" w:sz="0" w:space="0" w:color="auto"/>
        <w:right w:val="none" w:sz="0" w:space="0" w:color="auto"/>
      </w:divBdr>
    </w:div>
    <w:div w:id="372851483">
      <w:bodyDiv w:val="1"/>
      <w:marLeft w:val="0"/>
      <w:marRight w:val="0"/>
      <w:marTop w:val="0"/>
      <w:marBottom w:val="0"/>
      <w:divBdr>
        <w:top w:val="none" w:sz="0" w:space="0" w:color="auto"/>
        <w:left w:val="none" w:sz="0" w:space="0" w:color="auto"/>
        <w:bottom w:val="none" w:sz="0" w:space="0" w:color="auto"/>
        <w:right w:val="none" w:sz="0" w:space="0" w:color="auto"/>
      </w:divBdr>
    </w:div>
    <w:div w:id="588926903">
      <w:bodyDiv w:val="1"/>
      <w:marLeft w:val="0"/>
      <w:marRight w:val="0"/>
      <w:marTop w:val="0"/>
      <w:marBottom w:val="0"/>
      <w:divBdr>
        <w:top w:val="none" w:sz="0" w:space="0" w:color="auto"/>
        <w:left w:val="none" w:sz="0" w:space="0" w:color="auto"/>
        <w:bottom w:val="none" w:sz="0" w:space="0" w:color="auto"/>
        <w:right w:val="none" w:sz="0" w:space="0" w:color="auto"/>
      </w:divBdr>
    </w:div>
    <w:div w:id="687295192">
      <w:bodyDiv w:val="1"/>
      <w:marLeft w:val="0"/>
      <w:marRight w:val="0"/>
      <w:marTop w:val="0"/>
      <w:marBottom w:val="0"/>
      <w:divBdr>
        <w:top w:val="none" w:sz="0" w:space="0" w:color="auto"/>
        <w:left w:val="none" w:sz="0" w:space="0" w:color="auto"/>
        <w:bottom w:val="none" w:sz="0" w:space="0" w:color="auto"/>
        <w:right w:val="none" w:sz="0" w:space="0" w:color="auto"/>
      </w:divBdr>
    </w:div>
    <w:div w:id="70478997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47271051">
      <w:bodyDiv w:val="1"/>
      <w:marLeft w:val="0"/>
      <w:marRight w:val="0"/>
      <w:marTop w:val="0"/>
      <w:marBottom w:val="0"/>
      <w:divBdr>
        <w:top w:val="none" w:sz="0" w:space="0" w:color="auto"/>
        <w:left w:val="none" w:sz="0" w:space="0" w:color="auto"/>
        <w:bottom w:val="none" w:sz="0" w:space="0" w:color="auto"/>
        <w:right w:val="none" w:sz="0" w:space="0" w:color="auto"/>
      </w:divBdr>
    </w:div>
    <w:div w:id="1009411964">
      <w:bodyDiv w:val="1"/>
      <w:marLeft w:val="0"/>
      <w:marRight w:val="0"/>
      <w:marTop w:val="0"/>
      <w:marBottom w:val="0"/>
      <w:divBdr>
        <w:top w:val="none" w:sz="0" w:space="0" w:color="auto"/>
        <w:left w:val="none" w:sz="0" w:space="0" w:color="auto"/>
        <w:bottom w:val="none" w:sz="0" w:space="0" w:color="auto"/>
        <w:right w:val="none" w:sz="0" w:space="0" w:color="auto"/>
      </w:divBdr>
    </w:div>
    <w:div w:id="1041982274">
      <w:bodyDiv w:val="1"/>
      <w:marLeft w:val="0"/>
      <w:marRight w:val="0"/>
      <w:marTop w:val="0"/>
      <w:marBottom w:val="0"/>
      <w:divBdr>
        <w:top w:val="none" w:sz="0" w:space="0" w:color="auto"/>
        <w:left w:val="none" w:sz="0" w:space="0" w:color="auto"/>
        <w:bottom w:val="none" w:sz="0" w:space="0" w:color="auto"/>
        <w:right w:val="none" w:sz="0" w:space="0" w:color="auto"/>
      </w:divBdr>
    </w:div>
    <w:div w:id="1080365779">
      <w:bodyDiv w:val="1"/>
      <w:marLeft w:val="0"/>
      <w:marRight w:val="0"/>
      <w:marTop w:val="0"/>
      <w:marBottom w:val="0"/>
      <w:divBdr>
        <w:top w:val="none" w:sz="0" w:space="0" w:color="auto"/>
        <w:left w:val="none" w:sz="0" w:space="0" w:color="auto"/>
        <w:bottom w:val="none" w:sz="0" w:space="0" w:color="auto"/>
        <w:right w:val="none" w:sz="0" w:space="0" w:color="auto"/>
      </w:divBdr>
    </w:div>
    <w:div w:id="1150249280">
      <w:bodyDiv w:val="1"/>
      <w:marLeft w:val="0"/>
      <w:marRight w:val="0"/>
      <w:marTop w:val="0"/>
      <w:marBottom w:val="0"/>
      <w:divBdr>
        <w:top w:val="none" w:sz="0" w:space="0" w:color="auto"/>
        <w:left w:val="none" w:sz="0" w:space="0" w:color="auto"/>
        <w:bottom w:val="none" w:sz="0" w:space="0" w:color="auto"/>
        <w:right w:val="none" w:sz="0" w:space="0" w:color="auto"/>
      </w:divBdr>
    </w:div>
    <w:div w:id="130576868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35994143">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10430940">
      <w:bodyDiv w:val="1"/>
      <w:marLeft w:val="0"/>
      <w:marRight w:val="0"/>
      <w:marTop w:val="0"/>
      <w:marBottom w:val="0"/>
      <w:divBdr>
        <w:top w:val="none" w:sz="0" w:space="0" w:color="auto"/>
        <w:left w:val="none" w:sz="0" w:space="0" w:color="auto"/>
        <w:bottom w:val="none" w:sz="0" w:space="0" w:color="auto"/>
        <w:right w:val="none" w:sz="0" w:space="0" w:color="auto"/>
      </w:divBdr>
    </w:div>
    <w:div w:id="1656765589">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79313026">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7822064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patient-care/surgical-services-policies-and-guides" TargetMode="External"/><Relationship Id="rId26" Type="http://schemas.openxmlformats.org/officeDocument/2006/relationships/hyperlink" Target="https://www.health.vic.gov.au/publications/national-elective-surgery-urgency-categorisation-guideline-april-2015" TargetMode="External"/><Relationship Id="rId3" Type="http://schemas.openxmlformats.org/officeDocument/2006/relationships/customXml" Target="../customXml/item3.xml"/><Relationship Id="rId21" Type="http://schemas.openxmlformats.org/officeDocument/2006/relationships/hyperlink" Target="https://www.health.vic.gov.au/publications/victorias-digital-health-roadmap"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vic.gov.au/patient-care/surgical-services-policies-and-guides" TargetMode="External"/><Relationship Id="rId25" Type="http://schemas.openxmlformats.org/officeDocument/2006/relationships/hyperlink" Target="https://www.health.vic.gov.au/hospitals-and-health-services/funding-performance-and-accountability%3e" TargetMode="External"/><Relationship Id="rId33" Type="http://schemas.openxmlformats.org/officeDocument/2006/relationships/hyperlink" Target="https://www.health.vic.gov.au/patient-care/surgical-services-policies-and-guides" TargetMode="External"/><Relationship Id="rId2" Type="http://schemas.openxmlformats.org/officeDocument/2006/relationships/customXml" Target="../customXml/item2.xml"/><Relationship Id="rId16" Type="http://schemas.openxmlformats.org/officeDocument/2006/relationships/hyperlink" Target="mailto:healthservicesimprovement@health.vic.gov.au" TargetMode="External"/><Relationship Id="rId20" Type="http://schemas.openxmlformats.org/officeDocument/2006/relationships/hyperlink" Target="https://www.health.vic.gov.au/virtual-care-operational-framework" TargetMode="External"/><Relationship Id="rId29" Type="http://schemas.openxmlformats.org/officeDocument/2006/relationships/hyperlink" Target="https://www.health.vic.gov.au/publications/victorias-digital-health-roadma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funding-performance-accountability/performance-monitoring-framework" TargetMode="External"/><Relationship Id="rId32" Type="http://schemas.openxmlformats.org/officeDocument/2006/relationships/hyperlink" Target="https://www.health.vic.gov.au/data-reporting/elective-surgery-information-system-esis"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health.vic.gov.au/policy-and-funding-guidelines-for-health-services" TargetMode="External"/><Relationship Id="rId28" Type="http://schemas.openxmlformats.org/officeDocument/2006/relationships/hyperlink" Target="https://www.safercare.vic.gov.au/best-care-guidance-for-non-urgent-elective-surgery"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vic.gov.au/publications/aboriginal-and-torres-strait-islander-cultural-safety-framework-part-1" TargetMode="External"/><Relationship Id="rId31" Type="http://schemas.openxmlformats.org/officeDocument/2006/relationships/hyperlink" Target="https://www.health.vic.gov.au/data-reporting/elective-surgery-information-system-es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dhhsvicgovau.sharepoint.com/sites/HealthServicesImprovementGroup-GRP/Shared%20Documents/Policy/Access%20to%20surgery%20&amp;%20procedures/Approval%20and%20publication/Editor/Victoria&#8217;s%20virtual%20care%20strategy" TargetMode="External"/><Relationship Id="rId27" Type="http://schemas.openxmlformats.org/officeDocument/2006/relationships/hyperlink" Target="https://www.health.vic.gov.au/health-system-design-planning/perioperative-service-capability-framework-for-victoria" TargetMode="External"/><Relationship Id="rId30" Type="http://schemas.openxmlformats.org/officeDocument/2006/relationships/hyperlink" Target="https://www.health.vic.gov.au/patient-care/planned-surgery-access-policy-communication-toolkit"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6292277EE0A84297425D21754237BC" ma:contentTypeVersion="25" ma:contentTypeDescription="Create a new document." ma:contentTypeScope="" ma:versionID="ce876eefd2ba70c76a5262629e2899e4">
  <xsd:schema xmlns:xsd="http://www.w3.org/2001/XMLSchema" xmlns:xs="http://www.w3.org/2001/XMLSchema" xmlns:p="http://schemas.microsoft.com/office/2006/metadata/properties" xmlns:ns2="04ed2268-8bc4-43a2-995d-d63598678b97" xmlns:ns3="6060adbb-d777-4224-ba8a-6d2bd1ccbbcc" targetNamespace="http://schemas.microsoft.com/office/2006/metadata/properties" ma:root="true" ma:fieldsID="5005a8a7b50395e5d1bab346a7cfd6aa" ns2:_="" ns3:_="">
    <xsd:import namespace="04ed2268-8bc4-43a2-995d-d63598678b97"/>
    <xsd:import namespace="6060adbb-d777-4224-ba8a-6d2bd1ccbbcc"/>
    <xsd:element name="properties">
      <xsd:complexType>
        <xsd:sequence>
          <xsd:element name="documentManagement">
            <xsd:complexType>
              <xsd:all>
                <xsd:element ref="ns2:Date_x0020__x0028_ISO_x003a_8601_x0029_" minOccurs="0"/>
                <xsd:element ref="ns2:Internal_x0020_stakeholders" minOccurs="0"/>
                <xsd:element ref="ns2:External_x0020_stakeholders" minOccurs="0"/>
                <xsd:element ref="ns2:BAC_x0020_No_x002e_" minOccurs="0"/>
                <xsd:element ref="ns2:Draft" minOccurs="0"/>
                <xsd:element ref="ns2:Approval_x0020_status" minOccurs="0"/>
                <xsd:element ref="ns2:TRIM_x0020_number" minOccurs="0"/>
                <xsd:element ref="ns2:Financial_x0020_yea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d2268-8bc4-43a2-995d-d63598678b97" elementFormDefault="qualified">
    <xsd:import namespace="http://schemas.microsoft.com/office/2006/documentManagement/types"/>
    <xsd:import namespace="http://schemas.microsoft.com/office/infopath/2007/PartnerControls"/>
    <xsd:element name="Date_x0020__x0028_ISO_x003a_8601_x0029_" ma:index="8" nillable="true" ma:displayName="Date (ISO:8601)" ma:description="ISO:8601 Standard YYYYMMDD" ma:format="Dropdown" ma:internalName="Date_x0020__x0028_ISO_x003a_8601_x0029_">
      <xsd:simpleType>
        <xsd:restriction base="dms:Text">
          <xsd:maxLength value="255"/>
        </xsd:restriction>
      </xsd:simpleType>
    </xsd:element>
    <xsd:element name="Internal_x0020_stakeholders" ma:index="9" nillable="true" ma:displayName="Internal stakeholders" ma:description="Type in the Department of Health teams/units/branches/groups who you are collaborating with on this work." ma:internalName="Internal_x0020_stakeholders">
      <xsd:simpleType>
        <xsd:restriction base="dms:Text">
          <xsd:maxLength value="255"/>
        </xsd:restriction>
      </xsd:simpleType>
    </xsd:element>
    <xsd:element name="External_x0020_stakeholders" ma:index="10" nillable="true" ma:displayName="External stakeholders" ma:description="Type in the name(s) of the key external organisation(s) you are collaborating with to help you keep track." ma:internalName="External_x0020_stakeholders">
      <xsd:simpleType>
        <xsd:restriction base="dms:Text">
          <xsd:maxLength value="255"/>
        </xsd:restriction>
      </xsd:simpleType>
    </xsd:element>
    <xsd:element name="BAC_x0020_No_x002e_" ma:index="11" nillable="true" ma:displayName="BAC No." ma:description="OurBriefing BAC number" ma:internalName="BAC_x0020_No_x002e_">
      <xsd:simpleType>
        <xsd:restriction base="dms:Text">
          <xsd:maxLength value="255"/>
        </xsd:restriction>
      </xsd:simpleType>
    </xsd:element>
    <xsd:element name="Draft" ma:index="12" nillable="true" ma:displayName="Draft" ma:description="The file name must not include 'Draft' or 'Version', choose an option from below." ma:format="Dropdown" ma:internalName="Draft">
      <xsd:simpleType>
        <xsd:restriction base="dms:Choice">
          <xsd:enumeration value="N/A"/>
          <xsd:enumeration value="V1"/>
          <xsd:enumeration value="V2"/>
          <xsd:enumeration value="V3"/>
          <xsd:enumeration value="V4"/>
          <xsd:enumeration value="Final"/>
        </xsd:restriction>
      </xsd:simpleType>
    </xsd:element>
    <xsd:element name="Approval_x0020_status" ma:index="13" nillable="true" ma:displayName="Approval status" ma:description="Track and update the approval status of your file-document." ma:format="Dropdown" ma:internalName="Approval_x0020_status">
      <xsd:simpleType>
        <xsd:restriction base="dms:Choice">
          <xsd:enumeration value="N/A"/>
          <xsd:enumeration value="Sent to Manager"/>
          <xsd:enumeration value="Manager approved"/>
          <xsd:enumeration value="Director approved"/>
          <xsd:enumeration value="Executive Director approved"/>
          <xsd:enumeration value="Senior Executive Director approved"/>
          <xsd:enumeration value="Deputy Secretary approved"/>
          <xsd:enumeration value="Secretary approved"/>
          <xsd:enumeration value="Minister approved"/>
        </xsd:restriction>
      </xsd:simpleType>
    </xsd:element>
    <xsd:element name="TRIM_x0020_number" ma:index="14" nillable="true" ma:displayName="TRIM No." ma:description="TRIM file number" ma:format="Dropdown" ma:internalName="TRIM_x0020_number">
      <xsd:simpleType>
        <xsd:restriction base="dms:Text">
          <xsd:maxLength value="255"/>
        </xsd:restriction>
      </xsd:simpleType>
    </xsd:element>
    <xsd:element name="Financial_x0020_year" ma:index="15" nillable="true" ma:displayName="Financial year" ma:description="Enter as YYYY-YYYY" ma:internalName="Financial_x0020_year">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Location" ma:index="31" nillable="true" ma:displayName="Location" ma:indexed="true" ma:internalName="MediaServiceLocation"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60adbb-d777-4224-ba8a-6d2bd1ccbbc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cbd9a69-543d-4ef7-b628-5408f8c72414}" ma:internalName="TaxCatchAll" ma:showField="CatchAllData" ma:web="6060adbb-d777-4224-ba8a-6d2bd1ccbb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ternal_x0020_stakeholders xmlns="04ed2268-8bc4-43a2-995d-d63598678b97" xsi:nil="true"/>
    <External_x0020_stakeholders xmlns="04ed2268-8bc4-43a2-995d-d63598678b97" xsi:nil="true"/>
    <BAC_x0020_No_x002e_ xmlns="04ed2268-8bc4-43a2-995d-d63598678b97" xsi:nil="true"/>
    <Date_x0020__x0028_ISO_x003a_8601_x0029_ xmlns="04ed2268-8bc4-43a2-995d-d63598678b97" xsi:nil="true"/>
    <Draft xmlns="04ed2268-8bc4-43a2-995d-d63598678b97" xsi:nil="true"/>
    <lcf76f155ced4ddcb4097134ff3c332f xmlns="04ed2268-8bc4-43a2-995d-d63598678b97">
      <Terms xmlns="http://schemas.microsoft.com/office/infopath/2007/PartnerControls"/>
    </lcf76f155ced4ddcb4097134ff3c332f>
    <TRIM_x0020_number xmlns="04ed2268-8bc4-43a2-995d-d63598678b97" xsi:nil="true"/>
    <TaxCatchAll xmlns="6060adbb-d777-4224-ba8a-6d2bd1ccbbcc" xsi:nil="true"/>
    <Financial_x0020_year xmlns="04ed2268-8bc4-43a2-995d-d63598678b97" xsi:nil="true"/>
    <Approval_x0020_status xmlns="04ed2268-8bc4-43a2-995d-d63598678b97" xsi:nil="true"/>
    <SharedWithUsers xmlns="6060adbb-d777-4224-ba8a-6d2bd1ccbbcc">
      <UserInfo>
        <DisplayName>Frits Kadijk (Health)</DisplayName>
        <AccountId>19</AccountId>
        <AccountType/>
      </UserInfo>
      <UserInfo>
        <DisplayName>Karen O'Leary (Health)</DisplayName>
        <AccountId>21</AccountId>
        <AccountType/>
      </UserInfo>
    </SharedWithUsers>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B83DF9A-697E-43D4-B1B6-7AA0EE761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d2268-8bc4-43a2-995d-d63598678b97"/>
    <ds:schemaRef ds:uri="6060adbb-d777-4224-ba8a-6d2bd1ccb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04ed2268-8bc4-43a2-995d-d63598678b97"/>
    <ds:schemaRef ds:uri="6060adbb-d777-4224-ba8a-6d2bd1ccbbcc"/>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29</Pages>
  <Words>6502</Words>
  <Characters>37066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Implementation tracker planned surgery access policy 2024</vt:lpstr>
    </vt:vector>
  </TitlesOfParts>
  <Manager/>
  <Company>Victoria State Government, Department of Health</Company>
  <LinksUpToDate>false</LinksUpToDate>
  <CharactersWithSpaces>43482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tracker planned surgery access policy 2024</dc:title>
  <dc:subject>Hospital and health service to track implementation of planned surgery access policy </dc:subject>
  <dc:creator>Hospital policy team</dc:creator>
  <cp:keywords>implementation, planned surgery access policy 2024, implementation tracker</cp:keywords>
  <dc:description/>
  <cp:lastModifiedBy>Claire East (Health)</cp:lastModifiedBy>
  <cp:revision>358</cp:revision>
  <cp:lastPrinted>2021-01-28T10:27:00Z</cp:lastPrinted>
  <dcterms:created xsi:type="dcterms:W3CDTF">2024-01-16T09:15:00Z</dcterms:created>
  <dcterms:modified xsi:type="dcterms:W3CDTF">2024-06-19T04:59:00Z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0x010100F36292277EE0A84297425D21754237BC</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2023-07-05T01:38:27Z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c9caabac-3656-4e5e-ad8c-8fbdaa47c9be</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GrammarlyDocumentId">
    <vt:lpwstr>40c5a3e8f891dc5266bc7d3e4cb275692fc4a1326d41234e36dff7ba2ab4e102</vt:lpwstr>
  </property>
</Properties>
</file>