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7B89" w14:textId="01314D9B" w:rsidR="007A7C35" w:rsidRPr="001E347D" w:rsidRDefault="0078381E" w:rsidP="001E347D">
      <w:pPr>
        <w:pStyle w:val="Title"/>
        <w:spacing w:before="2280"/>
        <w:rPr>
          <w:rStyle w:val="Purple"/>
          <w:color w:val="000000" w:themeColor="text1"/>
          <w:sz w:val="64"/>
          <w:szCs w:val="64"/>
        </w:rPr>
      </w:pPr>
      <w:r w:rsidRPr="001E347D">
        <w:rPr>
          <w:noProof/>
          <w:sz w:val="64"/>
          <w:szCs w:val="64"/>
        </w:rPr>
        <mc:AlternateContent>
          <mc:Choice Requires="wps">
            <w:drawing>
              <wp:anchor distT="0" distB="0" distL="114300" distR="114300" simplePos="0" relativeHeight="251658245" behindDoc="1" locked="0" layoutInCell="1" allowOverlap="1" wp14:anchorId="070B655C" wp14:editId="44FC0791">
                <wp:simplePos x="0" y="0"/>
                <wp:positionH relativeFrom="page">
                  <wp:align>right</wp:align>
                </wp:positionH>
                <wp:positionV relativeFrom="paragraph">
                  <wp:posOffset>-1075690</wp:posOffset>
                </wp:positionV>
                <wp:extent cx="9906000" cy="8934450"/>
                <wp:effectExtent l="0" t="0" r="0" b="0"/>
                <wp:wrapNone/>
                <wp:docPr id="2" name="Rectangle 2">
                  <a:extLst xmlns:a="http://schemas.openxmlformats.org/drawingml/2006/main">
                    <a:ext uri="{FF2B5EF4-FFF2-40B4-BE49-F238E27FC236}">
                      <a16:creationId xmlns:a16="http://schemas.microsoft.com/office/drawing/2014/main" id="{E826C589-FE0B-370D-7405-D0907A2FC92D}"/>
                    </a:ext>
                  </a:extLst>
                </wp:docPr>
                <wp:cNvGraphicFramePr/>
                <a:graphic xmlns:a="http://schemas.openxmlformats.org/drawingml/2006/main">
                  <a:graphicData uri="http://schemas.microsoft.com/office/word/2010/wordprocessingShape">
                    <wps:wsp>
                      <wps:cNvSpPr/>
                      <wps:spPr>
                        <a:xfrm>
                          <a:off x="0" y="0"/>
                          <a:ext cx="9906000" cy="8934450"/>
                        </a:xfrm>
                        <a:prstGeom prst="rect">
                          <a:avLst/>
                        </a:prstGeom>
                        <a:solidFill>
                          <a:srgbClr val="C3D9EE"/>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BDF581B" id="Rectangle 2" o:spid="_x0000_s1026" style="position:absolute;margin-left:728.8pt;margin-top:-84.7pt;width:780pt;height:703.5pt;z-index:-25165823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" fillcolor="#c3d9ee" stroked="f" strokeweight="1pt">
                <w10:wrap anchorx="page"/>
              </v:rect>
            </w:pict>
          </mc:Fallback>
        </mc:AlternateContent>
      </w:r>
      <w:r w:rsidR="00B32BEC" w:rsidRPr="001E347D">
        <w:rPr>
          <w:rStyle w:val="Purple"/>
          <w:color w:val="000000" w:themeColor="text1"/>
          <w:sz w:val="64"/>
          <w:szCs w:val="64"/>
        </w:rPr>
        <w:t>Regulatory Impact Statement</w:t>
      </w:r>
      <w:r w:rsidR="00E8044D" w:rsidRPr="001E347D">
        <w:rPr>
          <w:rStyle w:val="Purple"/>
          <w:color w:val="000000" w:themeColor="text1"/>
          <w:sz w:val="64"/>
          <w:szCs w:val="64"/>
        </w:rPr>
        <w:t xml:space="preserve"> for the</w:t>
      </w:r>
      <w:r w:rsidR="00B32BEC" w:rsidRPr="001E347D">
        <w:rPr>
          <w:rStyle w:val="Purple"/>
          <w:color w:val="000000" w:themeColor="text1"/>
          <w:sz w:val="64"/>
          <w:szCs w:val="64"/>
        </w:rPr>
        <w:t xml:space="preserve"> </w:t>
      </w:r>
      <w:r w:rsidR="00437FC8" w:rsidRPr="001E347D">
        <w:rPr>
          <w:rStyle w:val="Purple"/>
          <w:color w:val="000000" w:themeColor="text1"/>
          <w:sz w:val="64"/>
          <w:szCs w:val="64"/>
        </w:rPr>
        <w:t>Health Services (Health Service Establishment</w:t>
      </w:r>
      <w:r w:rsidR="08030EFB" w:rsidRPr="001E347D">
        <w:rPr>
          <w:rStyle w:val="Purple"/>
          <w:color w:val="000000" w:themeColor="text1"/>
          <w:sz w:val="64"/>
          <w:szCs w:val="64"/>
        </w:rPr>
        <w:t>s</w:t>
      </w:r>
      <w:r w:rsidR="00437FC8" w:rsidRPr="001E347D">
        <w:rPr>
          <w:rStyle w:val="Purple"/>
          <w:color w:val="000000" w:themeColor="text1"/>
          <w:sz w:val="64"/>
          <w:szCs w:val="64"/>
        </w:rPr>
        <w:t>) Regulations 2024</w:t>
      </w:r>
    </w:p>
    <w:p w14:paraId="2ADBF124" w14:textId="3BBE1170" w:rsidR="007A7C35" w:rsidRPr="00BF4381" w:rsidRDefault="00B32BEC" w:rsidP="001E347D">
      <w:pPr>
        <w:pStyle w:val="Subtitle"/>
        <w:spacing w:after="600"/>
        <w:rPr>
          <w:rStyle w:val="Purple"/>
          <w:color w:val="auto"/>
          <w:sz w:val="36"/>
          <w:szCs w:val="36"/>
        </w:rPr>
      </w:pPr>
      <w:r w:rsidRPr="00BF4381">
        <w:rPr>
          <w:rStyle w:val="Purple"/>
          <w:color w:val="auto"/>
          <w:sz w:val="36"/>
          <w:szCs w:val="36"/>
        </w:rPr>
        <w:t>Prepared for the Victorian Department of Health</w:t>
      </w:r>
    </w:p>
    <w:p w14:paraId="52BEB8A9" w14:textId="2C01B430" w:rsidR="002C727E" w:rsidRPr="001E347D" w:rsidRDefault="00273D22" w:rsidP="00A659D0">
      <w:pPr>
        <w:pStyle w:val="Subtitle"/>
        <w:rPr>
          <w:rStyle w:val="Purple"/>
          <w:color w:val="auto"/>
          <w:sz w:val="28"/>
          <w:szCs w:val="28"/>
        </w:rPr>
      </w:pPr>
      <w:r w:rsidRPr="00297DA5">
        <w:rPr>
          <w:noProof/>
          <w:color w:val="5B4603" w:themeColor="accent1" w:themeShade="BF"/>
        </w:rPr>
        <w:drawing>
          <wp:anchor distT="0" distB="0" distL="114300" distR="114300" simplePos="0" relativeHeight="251658252" behindDoc="1" locked="0" layoutInCell="1" allowOverlap="1" wp14:anchorId="043683DE" wp14:editId="048600ED">
            <wp:simplePos x="0" y="0"/>
            <wp:positionH relativeFrom="margin">
              <wp:posOffset>0</wp:posOffset>
            </wp:positionH>
            <wp:positionV relativeFrom="paragraph">
              <wp:posOffset>380365</wp:posOffset>
            </wp:positionV>
            <wp:extent cx="4458970" cy="2971800"/>
            <wp:effectExtent l="0" t="0" r="0" b="0"/>
            <wp:wrapTight wrapText="bothSides">
              <wp:wrapPolygon edited="0">
                <wp:start x="0" y="0"/>
                <wp:lineTo x="0" y="21462"/>
                <wp:lineTo x="12643" y="21462"/>
                <wp:lineTo x="13289" y="21462"/>
                <wp:lineTo x="16703" y="20215"/>
                <wp:lineTo x="19287" y="17723"/>
                <wp:lineTo x="20763" y="15508"/>
                <wp:lineTo x="21409" y="13292"/>
                <wp:lineTo x="21502" y="12185"/>
                <wp:lineTo x="21502" y="8723"/>
                <wp:lineTo x="20948" y="6646"/>
                <wp:lineTo x="19841" y="4431"/>
                <wp:lineTo x="18272" y="2769"/>
                <wp:lineTo x="17718" y="1800"/>
                <wp:lineTo x="13750" y="138"/>
                <wp:lineTo x="12366" y="0"/>
                <wp:lineTo x="0" y="0"/>
              </wp:wrapPolygon>
            </wp:wrapTight>
            <wp:docPr id="1923056808" name="Picture 1923056808">
              <a:extLst xmlns:a="http://schemas.openxmlformats.org/drawingml/2006/main">
                <a:ext uri="{FF2B5EF4-FFF2-40B4-BE49-F238E27FC236}">
                  <a16:creationId xmlns:a16="http://schemas.microsoft.com/office/drawing/2014/main" id="{424CB704-C9D3-1EF6-C45A-7B8E2910FA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56808" name="Picture 8">
                      <a:extLst>
                        <a:ext uri="{FF2B5EF4-FFF2-40B4-BE49-F238E27FC236}">
                          <a16:creationId xmlns:a16="http://schemas.microsoft.com/office/drawing/2014/main" id="{424CB704-C9D3-1EF6-C45A-7B8E2910FA4B}"/>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458970" cy="2971800"/>
                    </a:xfrm>
                    <a:prstGeom prst="flowChartDelay">
                      <a:avLst/>
                    </a:prstGeom>
                  </pic:spPr>
                </pic:pic>
              </a:graphicData>
            </a:graphic>
            <wp14:sizeRelH relativeFrom="margin">
              <wp14:pctWidth>0</wp14:pctWidth>
            </wp14:sizeRelH>
            <wp14:sizeRelV relativeFrom="margin">
              <wp14:pctHeight>0</wp14:pctHeight>
            </wp14:sizeRelV>
          </wp:anchor>
        </w:drawing>
      </w:r>
      <w:r w:rsidR="007461B1">
        <w:rPr>
          <w:rStyle w:val="Purple"/>
          <w:color w:val="auto"/>
          <w:sz w:val="28"/>
          <w:szCs w:val="28"/>
        </w:rPr>
        <w:t>2</w:t>
      </w:r>
      <w:r w:rsidR="0027349B" w:rsidRPr="006522DF">
        <w:rPr>
          <w:rStyle w:val="Purple"/>
          <w:color w:val="auto"/>
          <w:sz w:val="28"/>
          <w:szCs w:val="28"/>
        </w:rPr>
        <w:t>9 April</w:t>
      </w:r>
      <w:r w:rsidR="00C403B7" w:rsidRPr="001E347D">
        <w:rPr>
          <w:rStyle w:val="Purple"/>
          <w:color w:val="auto"/>
          <w:sz w:val="28"/>
          <w:szCs w:val="28"/>
        </w:rPr>
        <w:t xml:space="preserve"> </w:t>
      </w:r>
      <w:r w:rsidR="0000448F" w:rsidRPr="001E347D">
        <w:rPr>
          <w:rStyle w:val="Purple"/>
          <w:color w:val="auto"/>
          <w:sz w:val="28"/>
          <w:szCs w:val="28"/>
        </w:rPr>
        <w:t>2024</w:t>
      </w:r>
    </w:p>
    <w:p w14:paraId="79BF0947" w14:textId="3DDEEB9D" w:rsidR="0056113C" w:rsidRDefault="00297DA5">
      <w:pPr>
        <w:spacing w:before="0" w:line="259" w:lineRule="auto"/>
        <w:rPr>
          <w:rStyle w:val="Purple"/>
          <w:b/>
          <w:color w:val="5B4603" w:themeColor="accent1" w:themeShade="BF"/>
          <w:sz w:val="24"/>
        </w:rPr>
      </w:pPr>
      <w:r>
        <w:rPr>
          <w:rStyle w:val="Purple"/>
          <w:color w:val="5B4603" w:themeColor="accent1" w:themeShade="BF"/>
        </w:rPr>
        <w:br w:type="page"/>
      </w:r>
      <w:r w:rsidR="001B4898" w:rsidRPr="001B4898">
        <w:rPr>
          <w:noProof/>
          <w:color w:val="5B4603" w:themeColor="accent1" w:themeShade="BF"/>
        </w:rPr>
        <w:drawing>
          <wp:anchor distT="0" distB="0" distL="114300" distR="114300" simplePos="0" relativeHeight="251658246" behindDoc="1" locked="0" layoutInCell="1" allowOverlap="1" wp14:anchorId="160EB69F" wp14:editId="5AA372DA">
            <wp:simplePos x="0" y="0"/>
            <wp:positionH relativeFrom="margin">
              <wp:align>right</wp:align>
            </wp:positionH>
            <wp:positionV relativeFrom="paragraph">
              <wp:posOffset>-5607594</wp:posOffset>
            </wp:positionV>
            <wp:extent cx="2088947" cy="540000"/>
            <wp:effectExtent l="0" t="0" r="6985" b="0"/>
            <wp:wrapTight wrapText="bothSides">
              <wp:wrapPolygon edited="0">
                <wp:start x="985" y="0"/>
                <wp:lineTo x="0" y="8386"/>
                <wp:lineTo x="0" y="20584"/>
                <wp:lineTo x="788" y="20584"/>
                <wp:lineTo x="21475" y="17534"/>
                <wp:lineTo x="21475" y="2287"/>
                <wp:lineTo x="1970" y="0"/>
                <wp:lineTo x="985" y="0"/>
              </wp:wrapPolygon>
            </wp:wrapTight>
            <wp:docPr id="314582091" name="Picture 314582091">
              <a:extLst xmlns:a="http://schemas.openxmlformats.org/drawingml/2006/main">
                <a:ext uri="{FF2B5EF4-FFF2-40B4-BE49-F238E27FC236}">
                  <a16:creationId xmlns:a16="http://schemas.microsoft.com/office/drawing/2014/main" id="{1274F962-A3FE-04D9-1285-AE05CDC72C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1274F962-A3FE-04D9-1285-AE05CDC72C29}"/>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88947" cy="540000"/>
                    </a:xfrm>
                    <a:prstGeom prst="rect">
                      <a:avLst/>
                    </a:prstGeom>
                  </pic:spPr>
                </pic:pic>
              </a:graphicData>
            </a:graphic>
            <wp14:sizeRelH relativeFrom="page">
              <wp14:pctWidth>0</wp14:pctWidth>
            </wp14:sizeRelH>
            <wp14:sizeRelV relativeFrom="page">
              <wp14:pctHeight>0</wp14:pctHeight>
            </wp14:sizeRelV>
          </wp:anchor>
        </w:drawing>
      </w:r>
    </w:p>
    <w:p w14:paraId="4A4B4B14" w14:textId="30081635" w:rsidR="00F02428" w:rsidRPr="001E347D" w:rsidRDefault="002C727E" w:rsidP="00A659D0">
      <w:pPr>
        <w:pStyle w:val="TOCHeading"/>
        <w:rPr>
          <w:color w:val="081729"/>
          <w:sz w:val="40"/>
          <w:szCs w:val="40"/>
        </w:rPr>
      </w:pPr>
      <w:r w:rsidRPr="001E347D">
        <w:rPr>
          <w:rStyle w:val="Purple"/>
          <w:color w:val="081729"/>
          <w:sz w:val="40"/>
          <w:szCs w:val="40"/>
        </w:rPr>
        <w:lastRenderedPageBreak/>
        <w:t>Contents</w:t>
      </w:r>
    </w:p>
    <w:p w14:paraId="18B3E923" w14:textId="5844EFA2" w:rsidR="00273D22" w:rsidRDefault="00EC41D2">
      <w:pPr>
        <w:pStyle w:val="TOC1"/>
        <w:rPr>
          <w:rFonts w:eastAsiaTheme="minorEastAsia"/>
          <w:noProof/>
          <w:kern w:val="2"/>
          <w:sz w:val="22"/>
          <w:lang w:val="en-AU" w:eastAsia="en-AU"/>
          <w14:ligatures w14:val="standardContextual"/>
        </w:rPr>
      </w:pPr>
      <w:r>
        <w:rPr>
          <w:b/>
        </w:rPr>
        <w:fldChar w:fldCharType="begin"/>
      </w:r>
      <w:r>
        <w:rPr>
          <w:b/>
        </w:rPr>
        <w:instrText xml:space="preserve"> TOC \o "1-1" \h \z \u \t "Heading 5,1" </w:instrText>
      </w:r>
      <w:r>
        <w:rPr>
          <w:b/>
        </w:rPr>
        <w:fldChar w:fldCharType="separate"/>
      </w:r>
      <w:hyperlink w:anchor="_Toc165287593" w:history="1">
        <w:r w:rsidR="00273D22" w:rsidRPr="003B23F1">
          <w:rPr>
            <w:rStyle w:val="Hyperlink"/>
            <w:noProof/>
          </w:rPr>
          <w:t>Glossary</w:t>
        </w:r>
        <w:r w:rsidR="00273D22">
          <w:rPr>
            <w:noProof/>
            <w:webHidden/>
          </w:rPr>
          <w:tab/>
        </w:r>
        <w:r w:rsidR="00273D22">
          <w:rPr>
            <w:noProof/>
            <w:webHidden/>
          </w:rPr>
          <w:fldChar w:fldCharType="begin"/>
        </w:r>
        <w:r w:rsidR="00273D22">
          <w:rPr>
            <w:noProof/>
            <w:webHidden/>
          </w:rPr>
          <w:instrText xml:space="preserve"> PAGEREF _Toc165287593 \h </w:instrText>
        </w:r>
        <w:r w:rsidR="00273D22">
          <w:rPr>
            <w:noProof/>
            <w:webHidden/>
          </w:rPr>
        </w:r>
        <w:r w:rsidR="00273D22">
          <w:rPr>
            <w:noProof/>
            <w:webHidden/>
          </w:rPr>
          <w:fldChar w:fldCharType="separate"/>
        </w:r>
        <w:r w:rsidR="00273D22">
          <w:rPr>
            <w:noProof/>
            <w:webHidden/>
          </w:rPr>
          <w:t>3</w:t>
        </w:r>
        <w:r w:rsidR="00273D22">
          <w:rPr>
            <w:noProof/>
            <w:webHidden/>
          </w:rPr>
          <w:fldChar w:fldCharType="end"/>
        </w:r>
      </w:hyperlink>
    </w:p>
    <w:p w14:paraId="490397F1" w14:textId="1A6C80AF" w:rsidR="00273D22" w:rsidRDefault="00F82F76">
      <w:pPr>
        <w:pStyle w:val="TOC1"/>
        <w:rPr>
          <w:rFonts w:eastAsiaTheme="minorEastAsia"/>
          <w:noProof/>
          <w:kern w:val="2"/>
          <w:sz w:val="22"/>
          <w:lang w:val="en-AU" w:eastAsia="en-AU"/>
          <w14:ligatures w14:val="standardContextual"/>
        </w:rPr>
      </w:pPr>
      <w:hyperlink w:anchor="_Toc165287594" w:history="1">
        <w:r w:rsidR="00273D22" w:rsidRPr="003B23F1">
          <w:rPr>
            <w:rStyle w:val="Hyperlink"/>
            <w:noProof/>
          </w:rPr>
          <w:t>Foreword</w:t>
        </w:r>
        <w:r w:rsidR="00273D22">
          <w:rPr>
            <w:noProof/>
            <w:webHidden/>
          </w:rPr>
          <w:tab/>
        </w:r>
        <w:r w:rsidR="00273D22">
          <w:rPr>
            <w:noProof/>
            <w:webHidden/>
          </w:rPr>
          <w:fldChar w:fldCharType="begin"/>
        </w:r>
        <w:r w:rsidR="00273D22">
          <w:rPr>
            <w:noProof/>
            <w:webHidden/>
          </w:rPr>
          <w:instrText xml:space="preserve"> PAGEREF _Toc165287594 \h </w:instrText>
        </w:r>
        <w:r w:rsidR="00273D22">
          <w:rPr>
            <w:noProof/>
            <w:webHidden/>
          </w:rPr>
        </w:r>
        <w:r w:rsidR="00273D22">
          <w:rPr>
            <w:noProof/>
            <w:webHidden/>
          </w:rPr>
          <w:fldChar w:fldCharType="separate"/>
        </w:r>
        <w:r w:rsidR="00273D22">
          <w:rPr>
            <w:noProof/>
            <w:webHidden/>
          </w:rPr>
          <w:t>4</w:t>
        </w:r>
        <w:r w:rsidR="00273D22">
          <w:rPr>
            <w:noProof/>
            <w:webHidden/>
          </w:rPr>
          <w:fldChar w:fldCharType="end"/>
        </w:r>
      </w:hyperlink>
    </w:p>
    <w:p w14:paraId="29E8C32E" w14:textId="7B3A67F5" w:rsidR="00273D22" w:rsidRDefault="00F82F76">
      <w:pPr>
        <w:pStyle w:val="TOC1"/>
        <w:rPr>
          <w:rFonts w:eastAsiaTheme="minorEastAsia"/>
          <w:noProof/>
          <w:kern w:val="2"/>
          <w:sz w:val="22"/>
          <w:lang w:val="en-AU" w:eastAsia="en-AU"/>
          <w14:ligatures w14:val="standardContextual"/>
        </w:rPr>
      </w:pPr>
      <w:hyperlink w:anchor="_Toc165287595" w:history="1">
        <w:r w:rsidR="00273D22" w:rsidRPr="003B23F1">
          <w:rPr>
            <w:rStyle w:val="Hyperlink"/>
            <w:noProof/>
          </w:rPr>
          <w:t>Executive summary</w:t>
        </w:r>
        <w:r w:rsidR="00273D22">
          <w:rPr>
            <w:noProof/>
            <w:webHidden/>
          </w:rPr>
          <w:tab/>
        </w:r>
        <w:r w:rsidR="00273D22">
          <w:rPr>
            <w:noProof/>
            <w:webHidden/>
          </w:rPr>
          <w:fldChar w:fldCharType="begin"/>
        </w:r>
        <w:r w:rsidR="00273D22">
          <w:rPr>
            <w:noProof/>
            <w:webHidden/>
          </w:rPr>
          <w:instrText xml:space="preserve"> PAGEREF _Toc165287595 \h </w:instrText>
        </w:r>
        <w:r w:rsidR="00273D22">
          <w:rPr>
            <w:noProof/>
            <w:webHidden/>
          </w:rPr>
        </w:r>
        <w:r w:rsidR="00273D22">
          <w:rPr>
            <w:noProof/>
            <w:webHidden/>
          </w:rPr>
          <w:fldChar w:fldCharType="separate"/>
        </w:r>
        <w:r w:rsidR="00273D22">
          <w:rPr>
            <w:noProof/>
            <w:webHidden/>
          </w:rPr>
          <w:t>5</w:t>
        </w:r>
        <w:r w:rsidR="00273D22">
          <w:rPr>
            <w:noProof/>
            <w:webHidden/>
          </w:rPr>
          <w:fldChar w:fldCharType="end"/>
        </w:r>
      </w:hyperlink>
    </w:p>
    <w:p w14:paraId="61949240" w14:textId="2ED8D2D0" w:rsidR="00273D22" w:rsidRDefault="00F82F76">
      <w:pPr>
        <w:pStyle w:val="TOC1"/>
        <w:rPr>
          <w:rFonts w:eastAsiaTheme="minorEastAsia"/>
          <w:noProof/>
          <w:kern w:val="2"/>
          <w:sz w:val="22"/>
          <w:lang w:val="en-AU" w:eastAsia="en-AU"/>
          <w14:ligatures w14:val="standardContextual"/>
        </w:rPr>
      </w:pPr>
      <w:hyperlink w:anchor="_Toc165287596" w:history="1">
        <w:r w:rsidR="00273D22" w:rsidRPr="003B23F1">
          <w:rPr>
            <w:rStyle w:val="Hyperlink"/>
            <w:noProof/>
          </w:rPr>
          <w:t>1.</w:t>
        </w:r>
        <w:r w:rsidR="00273D22">
          <w:rPr>
            <w:rFonts w:eastAsiaTheme="minorEastAsia"/>
            <w:noProof/>
            <w:kern w:val="2"/>
            <w:sz w:val="22"/>
            <w:lang w:val="en-AU" w:eastAsia="en-AU"/>
            <w14:ligatures w14:val="standardContextual"/>
          </w:rPr>
          <w:tab/>
        </w:r>
        <w:r w:rsidR="00273D22" w:rsidRPr="003B23F1">
          <w:rPr>
            <w:rStyle w:val="Hyperlink"/>
            <w:noProof/>
          </w:rPr>
          <w:t>Background</w:t>
        </w:r>
        <w:r w:rsidR="00273D22">
          <w:rPr>
            <w:noProof/>
            <w:webHidden/>
          </w:rPr>
          <w:tab/>
        </w:r>
        <w:r w:rsidR="00273D22">
          <w:rPr>
            <w:noProof/>
            <w:webHidden/>
          </w:rPr>
          <w:fldChar w:fldCharType="begin"/>
        </w:r>
        <w:r w:rsidR="00273D22">
          <w:rPr>
            <w:noProof/>
            <w:webHidden/>
          </w:rPr>
          <w:instrText xml:space="preserve"> PAGEREF _Toc165287596 \h </w:instrText>
        </w:r>
        <w:r w:rsidR="00273D22">
          <w:rPr>
            <w:noProof/>
            <w:webHidden/>
          </w:rPr>
        </w:r>
        <w:r w:rsidR="00273D22">
          <w:rPr>
            <w:noProof/>
            <w:webHidden/>
          </w:rPr>
          <w:fldChar w:fldCharType="separate"/>
        </w:r>
        <w:r w:rsidR="00273D22">
          <w:rPr>
            <w:noProof/>
            <w:webHidden/>
          </w:rPr>
          <w:t>9</w:t>
        </w:r>
        <w:r w:rsidR="00273D22">
          <w:rPr>
            <w:noProof/>
            <w:webHidden/>
          </w:rPr>
          <w:fldChar w:fldCharType="end"/>
        </w:r>
      </w:hyperlink>
    </w:p>
    <w:p w14:paraId="1BBB9996" w14:textId="14940958" w:rsidR="00273D22" w:rsidRDefault="00F82F76">
      <w:pPr>
        <w:pStyle w:val="TOC1"/>
        <w:rPr>
          <w:rFonts w:eastAsiaTheme="minorEastAsia"/>
          <w:noProof/>
          <w:kern w:val="2"/>
          <w:sz w:val="22"/>
          <w:lang w:val="en-AU" w:eastAsia="en-AU"/>
          <w14:ligatures w14:val="standardContextual"/>
        </w:rPr>
      </w:pPr>
      <w:hyperlink w:anchor="_Toc165287597" w:history="1">
        <w:r w:rsidR="00273D22" w:rsidRPr="003B23F1">
          <w:rPr>
            <w:rStyle w:val="Hyperlink"/>
            <w:noProof/>
          </w:rPr>
          <w:t>2.</w:t>
        </w:r>
        <w:r w:rsidR="00273D22">
          <w:rPr>
            <w:rFonts w:eastAsiaTheme="minorEastAsia"/>
            <w:noProof/>
            <w:kern w:val="2"/>
            <w:sz w:val="22"/>
            <w:lang w:val="en-AU" w:eastAsia="en-AU"/>
            <w14:ligatures w14:val="standardContextual"/>
          </w:rPr>
          <w:tab/>
        </w:r>
        <w:r w:rsidR="00273D22" w:rsidRPr="003B23F1">
          <w:rPr>
            <w:rStyle w:val="Hyperlink"/>
            <w:noProof/>
          </w:rPr>
          <w:t>Nature and extent of the problem</w:t>
        </w:r>
        <w:r w:rsidR="00273D22">
          <w:rPr>
            <w:noProof/>
            <w:webHidden/>
          </w:rPr>
          <w:tab/>
        </w:r>
        <w:r w:rsidR="00273D22">
          <w:rPr>
            <w:noProof/>
            <w:webHidden/>
          </w:rPr>
          <w:fldChar w:fldCharType="begin"/>
        </w:r>
        <w:r w:rsidR="00273D22">
          <w:rPr>
            <w:noProof/>
            <w:webHidden/>
          </w:rPr>
          <w:instrText xml:space="preserve"> PAGEREF _Toc165287597 \h </w:instrText>
        </w:r>
        <w:r w:rsidR="00273D22">
          <w:rPr>
            <w:noProof/>
            <w:webHidden/>
          </w:rPr>
        </w:r>
        <w:r w:rsidR="00273D22">
          <w:rPr>
            <w:noProof/>
            <w:webHidden/>
          </w:rPr>
          <w:fldChar w:fldCharType="separate"/>
        </w:r>
        <w:r w:rsidR="00273D22">
          <w:rPr>
            <w:noProof/>
            <w:webHidden/>
          </w:rPr>
          <w:t>22</w:t>
        </w:r>
        <w:r w:rsidR="00273D22">
          <w:rPr>
            <w:noProof/>
            <w:webHidden/>
          </w:rPr>
          <w:fldChar w:fldCharType="end"/>
        </w:r>
      </w:hyperlink>
    </w:p>
    <w:p w14:paraId="06FFDE65" w14:textId="3CACDB4D" w:rsidR="00273D22" w:rsidRDefault="00F82F76">
      <w:pPr>
        <w:pStyle w:val="TOC1"/>
        <w:rPr>
          <w:rFonts w:eastAsiaTheme="minorEastAsia"/>
          <w:noProof/>
          <w:kern w:val="2"/>
          <w:sz w:val="22"/>
          <w:lang w:val="en-AU" w:eastAsia="en-AU"/>
          <w14:ligatures w14:val="standardContextual"/>
        </w:rPr>
      </w:pPr>
      <w:hyperlink w:anchor="_Toc165287598" w:history="1">
        <w:r w:rsidR="00273D22" w:rsidRPr="003B23F1">
          <w:rPr>
            <w:rStyle w:val="Hyperlink"/>
            <w:noProof/>
          </w:rPr>
          <w:t>3.</w:t>
        </w:r>
        <w:r w:rsidR="00273D22">
          <w:rPr>
            <w:rFonts w:eastAsiaTheme="minorEastAsia"/>
            <w:noProof/>
            <w:kern w:val="2"/>
            <w:sz w:val="22"/>
            <w:lang w:val="en-AU" w:eastAsia="en-AU"/>
            <w14:ligatures w14:val="standardContextual"/>
          </w:rPr>
          <w:tab/>
        </w:r>
        <w:r w:rsidR="00273D22" w:rsidRPr="003B23F1">
          <w:rPr>
            <w:rStyle w:val="Hyperlink"/>
            <w:noProof/>
          </w:rPr>
          <w:t>Objectives</w:t>
        </w:r>
        <w:r w:rsidR="00273D22">
          <w:rPr>
            <w:noProof/>
            <w:webHidden/>
          </w:rPr>
          <w:tab/>
        </w:r>
        <w:r w:rsidR="00273D22">
          <w:rPr>
            <w:noProof/>
            <w:webHidden/>
          </w:rPr>
          <w:fldChar w:fldCharType="begin"/>
        </w:r>
        <w:r w:rsidR="00273D22">
          <w:rPr>
            <w:noProof/>
            <w:webHidden/>
          </w:rPr>
          <w:instrText xml:space="preserve"> PAGEREF _Toc165287598 \h </w:instrText>
        </w:r>
        <w:r w:rsidR="00273D22">
          <w:rPr>
            <w:noProof/>
            <w:webHidden/>
          </w:rPr>
        </w:r>
        <w:r w:rsidR="00273D22">
          <w:rPr>
            <w:noProof/>
            <w:webHidden/>
          </w:rPr>
          <w:fldChar w:fldCharType="separate"/>
        </w:r>
        <w:r w:rsidR="00273D22">
          <w:rPr>
            <w:noProof/>
            <w:webHidden/>
          </w:rPr>
          <w:t>28</w:t>
        </w:r>
        <w:r w:rsidR="00273D22">
          <w:rPr>
            <w:noProof/>
            <w:webHidden/>
          </w:rPr>
          <w:fldChar w:fldCharType="end"/>
        </w:r>
      </w:hyperlink>
    </w:p>
    <w:p w14:paraId="2103866F" w14:textId="3DA25BC1" w:rsidR="00273D22" w:rsidRDefault="00F82F76">
      <w:pPr>
        <w:pStyle w:val="TOC1"/>
        <w:rPr>
          <w:rFonts w:eastAsiaTheme="minorEastAsia"/>
          <w:noProof/>
          <w:kern w:val="2"/>
          <w:sz w:val="22"/>
          <w:lang w:val="en-AU" w:eastAsia="en-AU"/>
          <w14:ligatures w14:val="standardContextual"/>
        </w:rPr>
      </w:pPr>
      <w:hyperlink w:anchor="_Toc165287599" w:history="1">
        <w:r w:rsidR="00273D22" w:rsidRPr="003B23F1">
          <w:rPr>
            <w:rStyle w:val="Hyperlink"/>
            <w:noProof/>
          </w:rPr>
          <w:t>4.</w:t>
        </w:r>
        <w:r w:rsidR="00273D22">
          <w:rPr>
            <w:rFonts w:eastAsiaTheme="minorEastAsia"/>
            <w:noProof/>
            <w:kern w:val="2"/>
            <w:sz w:val="22"/>
            <w:lang w:val="en-AU" w:eastAsia="en-AU"/>
            <w14:ligatures w14:val="standardContextual"/>
          </w:rPr>
          <w:tab/>
        </w:r>
        <w:r w:rsidR="00273D22" w:rsidRPr="003B23F1">
          <w:rPr>
            <w:rStyle w:val="Hyperlink"/>
            <w:noProof/>
          </w:rPr>
          <w:t>Overview of options development and approach to analysis</w:t>
        </w:r>
        <w:r w:rsidR="00273D22">
          <w:rPr>
            <w:noProof/>
            <w:webHidden/>
          </w:rPr>
          <w:tab/>
        </w:r>
        <w:r w:rsidR="00273D22">
          <w:rPr>
            <w:noProof/>
            <w:webHidden/>
          </w:rPr>
          <w:fldChar w:fldCharType="begin"/>
        </w:r>
        <w:r w:rsidR="00273D22">
          <w:rPr>
            <w:noProof/>
            <w:webHidden/>
          </w:rPr>
          <w:instrText xml:space="preserve"> PAGEREF _Toc165287599 \h </w:instrText>
        </w:r>
        <w:r w:rsidR="00273D22">
          <w:rPr>
            <w:noProof/>
            <w:webHidden/>
          </w:rPr>
        </w:r>
        <w:r w:rsidR="00273D22">
          <w:rPr>
            <w:noProof/>
            <w:webHidden/>
          </w:rPr>
          <w:fldChar w:fldCharType="separate"/>
        </w:r>
        <w:r w:rsidR="00273D22">
          <w:rPr>
            <w:noProof/>
            <w:webHidden/>
          </w:rPr>
          <w:t>29</w:t>
        </w:r>
        <w:r w:rsidR="00273D22">
          <w:rPr>
            <w:noProof/>
            <w:webHidden/>
          </w:rPr>
          <w:fldChar w:fldCharType="end"/>
        </w:r>
      </w:hyperlink>
    </w:p>
    <w:p w14:paraId="1F491D94" w14:textId="7E28FF37" w:rsidR="00273D22" w:rsidRDefault="00F82F76">
      <w:pPr>
        <w:pStyle w:val="TOC1"/>
        <w:rPr>
          <w:rFonts w:eastAsiaTheme="minorEastAsia"/>
          <w:noProof/>
          <w:kern w:val="2"/>
          <w:sz w:val="22"/>
          <w:lang w:val="en-AU" w:eastAsia="en-AU"/>
          <w14:ligatures w14:val="standardContextual"/>
        </w:rPr>
      </w:pPr>
      <w:hyperlink w:anchor="_Toc165287600" w:history="1">
        <w:r w:rsidR="00273D22" w:rsidRPr="003B23F1">
          <w:rPr>
            <w:rStyle w:val="Hyperlink"/>
            <w:noProof/>
          </w:rPr>
          <w:t>5.</w:t>
        </w:r>
        <w:r w:rsidR="00273D22">
          <w:rPr>
            <w:rFonts w:eastAsiaTheme="minorEastAsia"/>
            <w:noProof/>
            <w:kern w:val="2"/>
            <w:sz w:val="22"/>
            <w:lang w:val="en-AU" w:eastAsia="en-AU"/>
            <w14:ligatures w14:val="standardContextual"/>
          </w:rPr>
          <w:tab/>
        </w:r>
        <w:r w:rsidR="00273D22" w:rsidRPr="003B23F1">
          <w:rPr>
            <w:rStyle w:val="Hyperlink"/>
            <w:noProof/>
          </w:rPr>
          <w:t>Clinical governance</w:t>
        </w:r>
        <w:r w:rsidR="00273D22">
          <w:rPr>
            <w:noProof/>
            <w:webHidden/>
          </w:rPr>
          <w:tab/>
        </w:r>
        <w:r w:rsidR="00273D22">
          <w:rPr>
            <w:noProof/>
            <w:webHidden/>
          </w:rPr>
          <w:fldChar w:fldCharType="begin"/>
        </w:r>
        <w:r w:rsidR="00273D22">
          <w:rPr>
            <w:noProof/>
            <w:webHidden/>
          </w:rPr>
          <w:instrText xml:space="preserve"> PAGEREF _Toc165287600 \h </w:instrText>
        </w:r>
        <w:r w:rsidR="00273D22">
          <w:rPr>
            <w:noProof/>
            <w:webHidden/>
          </w:rPr>
        </w:r>
        <w:r w:rsidR="00273D22">
          <w:rPr>
            <w:noProof/>
            <w:webHidden/>
          </w:rPr>
          <w:fldChar w:fldCharType="separate"/>
        </w:r>
        <w:r w:rsidR="00273D22">
          <w:rPr>
            <w:noProof/>
            <w:webHidden/>
          </w:rPr>
          <w:t>32</w:t>
        </w:r>
        <w:r w:rsidR="00273D22">
          <w:rPr>
            <w:noProof/>
            <w:webHidden/>
          </w:rPr>
          <w:fldChar w:fldCharType="end"/>
        </w:r>
      </w:hyperlink>
    </w:p>
    <w:p w14:paraId="530074A8" w14:textId="6B41566B" w:rsidR="00273D22" w:rsidRDefault="00F82F76">
      <w:pPr>
        <w:pStyle w:val="TOC1"/>
        <w:rPr>
          <w:rFonts w:eastAsiaTheme="minorEastAsia"/>
          <w:noProof/>
          <w:kern w:val="2"/>
          <w:sz w:val="22"/>
          <w:lang w:val="en-AU" w:eastAsia="en-AU"/>
          <w14:ligatures w14:val="standardContextual"/>
        </w:rPr>
      </w:pPr>
      <w:hyperlink w:anchor="_Toc165287601" w:history="1">
        <w:r w:rsidR="00273D22" w:rsidRPr="003B23F1">
          <w:rPr>
            <w:rStyle w:val="Hyperlink"/>
            <w:noProof/>
          </w:rPr>
          <w:t>6.</w:t>
        </w:r>
        <w:r w:rsidR="00273D22">
          <w:rPr>
            <w:rFonts w:eastAsiaTheme="minorEastAsia"/>
            <w:noProof/>
            <w:kern w:val="2"/>
            <w:sz w:val="22"/>
            <w:lang w:val="en-AU" w:eastAsia="en-AU"/>
            <w14:ligatures w14:val="standardContextual"/>
          </w:rPr>
          <w:tab/>
        </w:r>
        <w:r w:rsidR="00273D22" w:rsidRPr="003B23F1">
          <w:rPr>
            <w:rStyle w:val="Hyperlink"/>
            <w:noProof/>
          </w:rPr>
          <w:t>Reporting and review of sentinel events</w:t>
        </w:r>
        <w:r w:rsidR="00273D22">
          <w:rPr>
            <w:noProof/>
            <w:webHidden/>
          </w:rPr>
          <w:tab/>
        </w:r>
        <w:r w:rsidR="00273D22">
          <w:rPr>
            <w:noProof/>
            <w:webHidden/>
          </w:rPr>
          <w:fldChar w:fldCharType="begin"/>
        </w:r>
        <w:r w:rsidR="00273D22">
          <w:rPr>
            <w:noProof/>
            <w:webHidden/>
          </w:rPr>
          <w:instrText xml:space="preserve"> PAGEREF _Toc165287601 \h </w:instrText>
        </w:r>
        <w:r w:rsidR="00273D22">
          <w:rPr>
            <w:noProof/>
            <w:webHidden/>
          </w:rPr>
        </w:r>
        <w:r w:rsidR="00273D22">
          <w:rPr>
            <w:noProof/>
            <w:webHidden/>
          </w:rPr>
          <w:fldChar w:fldCharType="separate"/>
        </w:r>
        <w:r w:rsidR="00273D22">
          <w:rPr>
            <w:noProof/>
            <w:webHidden/>
          </w:rPr>
          <w:t>46</w:t>
        </w:r>
        <w:r w:rsidR="00273D22">
          <w:rPr>
            <w:noProof/>
            <w:webHidden/>
          </w:rPr>
          <w:fldChar w:fldCharType="end"/>
        </w:r>
      </w:hyperlink>
    </w:p>
    <w:p w14:paraId="53882C38" w14:textId="23920089" w:rsidR="00273D22" w:rsidRDefault="00F82F76">
      <w:pPr>
        <w:pStyle w:val="TOC1"/>
        <w:rPr>
          <w:rFonts w:eastAsiaTheme="minorEastAsia"/>
          <w:noProof/>
          <w:kern w:val="2"/>
          <w:sz w:val="22"/>
          <w:lang w:val="en-AU" w:eastAsia="en-AU"/>
          <w14:ligatures w14:val="standardContextual"/>
        </w:rPr>
      </w:pPr>
      <w:hyperlink w:anchor="_Toc165287602" w:history="1">
        <w:r w:rsidR="00273D22" w:rsidRPr="003B23F1">
          <w:rPr>
            <w:rStyle w:val="Hyperlink"/>
            <w:noProof/>
          </w:rPr>
          <w:t>7.</w:t>
        </w:r>
        <w:r w:rsidR="00273D22">
          <w:rPr>
            <w:rFonts w:eastAsiaTheme="minorEastAsia"/>
            <w:noProof/>
            <w:kern w:val="2"/>
            <w:sz w:val="22"/>
            <w:lang w:val="en-AU" w:eastAsia="en-AU"/>
            <w14:ligatures w14:val="standardContextual"/>
          </w:rPr>
          <w:tab/>
        </w:r>
        <w:r w:rsidR="00273D22" w:rsidRPr="003B23F1">
          <w:rPr>
            <w:rStyle w:val="Hyperlink"/>
            <w:noProof/>
          </w:rPr>
          <w:t>Admissions information and assessment</w:t>
        </w:r>
        <w:r w:rsidR="00273D22">
          <w:rPr>
            <w:noProof/>
            <w:webHidden/>
          </w:rPr>
          <w:tab/>
        </w:r>
        <w:r w:rsidR="00273D22">
          <w:rPr>
            <w:noProof/>
            <w:webHidden/>
          </w:rPr>
          <w:fldChar w:fldCharType="begin"/>
        </w:r>
        <w:r w:rsidR="00273D22">
          <w:rPr>
            <w:noProof/>
            <w:webHidden/>
          </w:rPr>
          <w:instrText xml:space="preserve"> PAGEREF _Toc165287602 \h </w:instrText>
        </w:r>
        <w:r w:rsidR="00273D22">
          <w:rPr>
            <w:noProof/>
            <w:webHidden/>
          </w:rPr>
        </w:r>
        <w:r w:rsidR="00273D22">
          <w:rPr>
            <w:noProof/>
            <w:webHidden/>
          </w:rPr>
          <w:fldChar w:fldCharType="separate"/>
        </w:r>
        <w:r w:rsidR="00273D22">
          <w:rPr>
            <w:noProof/>
            <w:webHidden/>
          </w:rPr>
          <w:t>57</w:t>
        </w:r>
        <w:r w:rsidR="00273D22">
          <w:rPr>
            <w:noProof/>
            <w:webHidden/>
          </w:rPr>
          <w:fldChar w:fldCharType="end"/>
        </w:r>
      </w:hyperlink>
    </w:p>
    <w:p w14:paraId="2A153C5B" w14:textId="156001B1" w:rsidR="00273D22" w:rsidRDefault="00F82F76">
      <w:pPr>
        <w:pStyle w:val="TOC1"/>
        <w:rPr>
          <w:rFonts w:eastAsiaTheme="minorEastAsia"/>
          <w:noProof/>
          <w:kern w:val="2"/>
          <w:sz w:val="22"/>
          <w:lang w:val="en-AU" w:eastAsia="en-AU"/>
          <w14:ligatures w14:val="standardContextual"/>
        </w:rPr>
      </w:pPr>
      <w:hyperlink w:anchor="_Toc165287603" w:history="1">
        <w:r w:rsidR="00273D22" w:rsidRPr="003B23F1">
          <w:rPr>
            <w:rStyle w:val="Hyperlink"/>
            <w:noProof/>
          </w:rPr>
          <w:t>8.</w:t>
        </w:r>
        <w:r w:rsidR="00273D22">
          <w:rPr>
            <w:rFonts w:eastAsiaTheme="minorEastAsia"/>
            <w:noProof/>
            <w:kern w:val="2"/>
            <w:sz w:val="22"/>
            <w:lang w:val="en-AU" w:eastAsia="en-AU"/>
            <w14:ligatures w14:val="standardContextual"/>
          </w:rPr>
          <w:tab/>
        </w:r>
        <w:r w:rsidR="00273D22" w:rsidRPr="003B23F1">
          <w:rPr>
            <w:rStyle w:val="Hyperlink"/>
            <w:noProof/>
          </w:rPr>
          <w:t>Infringements</w:t>
        </w:r>
        <w:r w:rsidR="00273D22">
          <w:rPr>
            <w:noProof/>
            <w:webHidden/>
          </w:rPr>
          <w:tab/>
        </w:r>
        <w:r w:rsidR="00273D22">
          <w:rPr>
            <w:noProof/>
            <w:webHidden/>
          </w:rPr>
          <w:fldChar w:fldCharType="begin"/>
        </w:r>
        <w:r w:rsidR="00273D22">
          <w:rPr>
            <w:noProof/>
            <w:webHidden/>
          </w:rPr>
          <w:instrText xml:space="preserve"> PAGEREF _Toc165287603 \h </w:instrText>
        </w:r>
        <w:r w:rsidR="00273D22">
          <w:rPr>
            <w:noProof/>
            <w:webHidden/>
          </w:rPr>
        </w:r>
        <w:r w:rsidR="00273D22">
          <w:rPr>
            <w:noProof/>
            <w:webHidden/>
          </w:rPr>
          <w:fldChar w:fldCharType="separate"/>
        </w:r>
        <w:r w:rsidR="00273D22">
          <w:rPr>
            <w:noProof/>
            <w:webHidden/>
          </w:rPr>
          <w:t>64</w:t>
        </w:r>
        <w:r w:rsidR="00273D22">
          <w:rPr>
            <w:noProof/>
            <w:webHidden/>
          </w:rPr>
          <w:fldChar w:fldCharType="end"/>
        </w:r>
      </w:hyperlink>
    </w:p>
    <w:p w14:paraId="0BB94B00" w14:textId="253D17CB" w:rsidR="00273D22" w:rsidRDefault="00F82F76">
      <w:pPr>
        <w:pStyle w:val="TOC1"/>
        <w:rPr>
          <w:rFonts w:eastAsiaTheme="minorEastAsia"/>
          <w:noProof/>
          <w:kern w:val="2"/>
          <w:sz w:val="22"/>
          <w:lang w:val="en-AU" w:eastAsia="en-AU"/>
          <w14:ligatures w14:val="standardContextual"/>
        </w:rPr>
      </w:pPr>
      <w:hyperlink w:anchor="_Toc165287604" w:history="1">
        <w:r w:rsidR="00273D22" w:rsidRPr="003B23F1">
          <w:rPr>
            <w:rStyle w:val="Hyperlink"/>
            <w:noProof/>
          </w:rPr>
          <w:t>9.</w:t>
        </w:r>
        <w:r w:rsidR="00273D22">
          <w:rPr>
            <w:rFonts w:eastAsiaTheme="minorEastAsia"/>
            <w:noProof/>
            <w:kern w:val="2"/>
            <w:sz w:val="22"/>
            <w:lang w:val="en-AU" w:eastAsia="en-AU"/>
            <w14:ligatures w14:val="standardContextual"/>
          </w:rPr>
          <w:tab/>
        </w:r>
        <w:r w:rsidR="00273D22" w:rsidRPr="003B23F1">
          <w:rPr>
            <w:rStyle w:val="Hyperlink"/>
            <w:noProof/>
          </w:rPr>
          <w:t>Administrative changes and clarifications</w:t>
        </w:r>
        <w:r w:rsidR="00273D22">
          <w:rPr>
            <w:noProof/>
            <w:webHidden/>
          </w:rPr>
          <w:tab/>
        </w:r>
        <w:r w:rsidR="00273D22">
          <w:rPr>
            <w:noProof/>
            <w:webHidden/>
          </w:rPr>
          <w:fldChar w:fldCharType="begin"/>
        </w:r>
        <w:r w:rsidR="00273D22">
          <w:rPr>
            <w:noProof/>
            <w:webHidden/>
          </w:rPr>
          <w:instrText xml:space="preserve"> PAGEREF _Toc165287604 \h </w:instrText>
        </w:r>
        <w:r w:rsidR="00273D22">
          <w:rPr>
            <w:noProof/>
            <w:webHidden/>
          </w:rPr>
        </w:r>
        <w:r w:rsidR="00273D22">
          <w:rPr>
            <w:noProof/>
            <w:webHidden/>
          </w:rPr>
          <w:fldChar w:fldCharType="separate"/>
        </w:r>
        <w:r w:rsidR="00273D22">
          <w:rPr>
            <w:noProof/>
            <w:webHidden/>
          </w:rPr>
          <w:t>72</w:t>
        </w:r>
        <w:r w:rsidR="00273D22">
          <w:rPr>
            <w:noProof/>
            <w:webHidden/>
          </w:rPr>
          <w:fldChar w:fldCharType="end"/>
        </w:r>
      </w:hyperlink>
    </w:p>
    <w:p w14:paraId="5E7EED9B" w14:textId="10BF77F5" w:rsidR="00273D22" w:rsidRDefault="00F82F76">
      <w:pPr>
        <w:pStyle w:val="TOC1"/>
        <w:rPr>
          <w:rFonts w:eastAsiaTheme="minorEastAsia"/>
          <w:noProof/>
          <w:kern w:val="2"/>
          <w:sz w:val="22"/>
          <w:lang w:val="en-AU" w:eastAsia="en-AU"/>
          <w14:ligatures w14:val="standardContextual"/>
        </w:rPr>
      </w:pPr>
      <w:hyperlink w:anchor="_Toc165287605" w:history="1">
        <w:r w:rsidR="00273D22" w:rsidRPr="003B23F1">
          <w:rPr>
            <w:rStyle w:val="Hyperlink"/>
            <w:noProof/>
          </w:rPr>
          <w:t>10.</w:t>
        </w:r>
        <w:r w:rsidR="00273D22">
          <w:rPr>
            <w:rFonts w:eastAsiaTheme="minorEastAsia"/>
            <w:noProof/>
            <w:kern w:val="2"/>
            <w:sz w:val="22"/>
            <w:lang w:val="en-AU" w:eastAsia="en-AU"/>
            <w14:ligatures w14:val="standardContextual"/>
          </w:rPr>
          <w:tab/>
        </w:r>
        <w:r w:rsidR="00273D22" w:rsidRPr="003B23F1">
          <w:rPr>
            <w:rStyle w:val="Hyperlink"/>
            <w:noProof/>
          </w:rPr>
          <w:t>Fees</w:t>
        </w:r>
        <w:r w:rsidR="00273D22">
          <w:rPr>
            <w:noProof/>
            <w:webHidden/>
          </w:rPr>
          <w:tab/>
        </w:r>
        <w:r w:rsidR="00273D22">
          <w:rPr>
            <w:noProof/>
            <w:webHidden/>
          </w:rPr>
          <w:fldChar w:fldCharType="begin"/>
        </w:r>
        <w:r w:rsidR="00273D22">
          <w:rPr>
            <w:noProof/>
            <w:webHidden/>
          </w:rPr>
          <w:instrText xml:space="preserve"> PAGEREF _Toc165287605 \h </w:instrText>
        </w:r>
        <w:r w:rsidR="00273D22">
          <w:rPr>
            <w:noProof/>
            <w:webHidden/>
          </w:rPr>
        </w:r>
        <w:r w:rsidR="00273D22">
          <w:rPr>
            <w:noProof/>
            <w:webHidden/>
          </w:rPr>
          <w:fldChar w:fldCharType="separate"/>
        </w:r>
        <w:r w:rsidR="00273D22">
          <w:rPr>
            <w:noProof/>
            <w:webHidden/>
          </w:rPr>
          <w:t>80</w:t>
        </w:r>
        <w:r w:rsidR="00273D22">
          <w:rPr>
            <w:noProof/>
            <w:webHidden/>
          </w:rPr>
          <w:fldChar w:fldCharType="end"/>
        </w:r>
      </w:hyperlink>
    </w:p>
    <w:p w14:paraId="466E2C66" w14:textId="4E3430F8" w:rsidR="00273D22" w:rsidRDefault="00F82F76">
      <w:pPr>
        <w:pStyle w:val="TOC1"/>
        <w:rPr>
          <w:rFonts w:eastAsiaTheme="minorEastAsia"/>
          <w:noProof/>
          <w:kern w:val="2"/>
          <w:sz w:val="22"/>
          <w:lang w:val="en-AU" w:eastAsia="en-AU"/>
          <w14:ligatures w14:val="standardContextual"/>
        </w:rPr>
      </w:pPr>
      <w:hyperlink w:anchor="_Toc165287606" w:history="1">
        <w:r w:rsidR="00273D22" w:rsidRPr="003B23F1">
          <w:rPr>
            <w:rStyle w:val="Hyperlink"/>
            <w:noProof/>
          </w:rPr>
          <w:t>11.</w:t>
        </w:r>
        <w:r w:rsidR="00273D22">
          <w:rPr>
            <w:rFonts w:eastAsiaTheme="minorEastAsia"/>
            <w:noProof/>
            <w:kern w:val="2"/>
            <w:sz w:val="22"/>
            <w:lang w:val="en-AU" w:eastAsia="en-AU"/>
            <w14:ligatures w14:val="standardContextual"/>
          </w:rPr>
          <w:tab/>
        </w:r>
        <w:r w:rsidR="00273D22" w:rsidRPr="003B23F1">
          <w:rPr>
            <w:rStyle w:val="Hyperlink"/>
            <w:noProof/>
          </w:rPr>
          <w:t>Competition and small business impacts</w:t>
        </w:r>
        <w:r w:rsidR="00273D22">
          <w:rPr>
            <w:noProof/>
            <w:webHidden/>
          </w:rPr>
          <w:tab/>
        </w:r>
        <w:r w:rsidR="00273D22">
          <w:rPr>
            <w:noProof/>
            <w:webHidden/>
          </w:rPr>
          <w:fldChar w:fldCharType="begin"/>
        </w:r>
        <w:r w:rsidR="00273D22">
          <w:rPr>
            <w:noProof/>
            <w:webHidden/>
          </w:rPr>
          <w:instrText xml:space="preserve"> PAGEREF _Toc165287606 \h </w:instrText>
        </w:r>
        <w:r w:rsidR="00273D22">
          <w:rPr>
            <w:noProof/>
            <w:webHidden/>
          </w:rPr>
        </w:r>
        <w:r w:rsidR="00273D22">
          <w:rPr>
            <w:noProof/>
            <w:webHidden/>
          </w:rPr>
          <w:fldChar w:fldCharType="separate"/>
        </w:r>
        <w:r w:rsidR="00273D22">
          <w:rPr>
            <w:noProof/>
            <w:webHidden/>
          </w:rPr>
          <w:t>93</w:t>
        </w:r>
        <w:r w:rsidR="00273D22">
          <w:rPr>
            <w:noProof/>
            <w:webHidden/>
          </w:rPr>
          <w:fldChar w:fldCharType="end"/>
        </w:r>
      </w:hyperlink>
    </w:p>
    <w:p w14:paraId="0BAA1DC6" w14:textId="40CCA711" w:rsidR="00273D22" w:rsidRDefault="00F82F76">
      <w:pPr>
        <w:pStyle w:val="TOC1"/>
        <w:rPr>
          <w:rFonts w:eastAsiaTheme="minorEastAsia"/>
          <w:noProof/>
          <w:kern w:val="2"/>
          <w:sz w:val="22"/>
          <w:lang w:val="en-AU" w:eastAsia="en-AU"/>
          <w14:ligatures w14:val="standardContextual"/>
        </w:rPr>
      </w:pPr>
      <w:hyperlink w:anchor="_Toc165287607" w:history="1">
        <w:r w:rsidR="00273D22" w:rsidRPr="003B23F1">
          <w:rPr>
            <w:rStyle w:val="Hyperlink"/>
            <w:noProof/>
          </w:rPr>
          <w:t>12.</w:t>
        </w:r>
        <w:r w:rsidR="00273D22">
          <w:rPr>
            <w:rFonts w:eastAsiaTheme="minorEastAsia"/>
            <w:noProof/>
            <w:kern w:val="2"/>
            <w:sz w:val="22"/>
            <w:lang w:val="en-AU" w:eastAsia="en-AU"/>
            <w14:ligatures w14:val="standardContextual"/>
          </w:rPr>
          <w:tab/>
        </w:r>
        <w:r w:rsidR="00273D22" w:rsidRPr="003B23F1">
          <w:rPr>
            <w:rStyle w:val="Hyperlink"/>
            <w:noProof/>
          </w:rPr>
          <w:t>Implementation and evaluation</w:t>
        </w:r>
        <w:r w:rsidR="00273D22">
          <w:rPr>
            <w:noProof/>
            <w:webHidden/>
          </w:rPr>
          <w:tab/>
        </w:r>
        <w:r w:rsidR="00273D22">
          <w:rPr>
            <w:noProof/>
            <w:webHidden/>
          </w:rPr>
          <w:fldChar w:fldCharType="begin"/>
        </w:r>
        <w:r w:rsidR="00273D22">
          <w:rPr>
            <w:noProof/>
            <w:webHidden/>
          </w:rPr>
          <w:instrText xml:space="preserve"> PAGEREF _Toc165287607 \h </w:instrText>
        </w:r>
        <w:r w:rsidR="00273D22">
          <w:rPr>
            <w:noProof/>
            <w:webHidden/>
          </w:rPr>
        </w:r>
        <w:r w:rsidR="00273D22">
          <w:rPr>
            <w:noProof/>
            <w:webHidden/>
          </w:rPr>
          <w:fldChar w:fldCharType="separate"/>
        </w:r>
        <w:r w:rsidR="00273D22">
          <w:rPr>
            <w:noProof/>
            <w:webHidden/>
          </w:rPr>
          <w:t>96</w:t>
        </w:r>
        <w:r w:rsidR="00273D22">
          <w:rPr>
            <w:noProof/>
            <w:webHidden/>
          </w:rPr>
          <w:fldChar w:fldCharType="end"/>
        </w:r>
      </w:hyperlink>
    </w:p>
    <w:p w14:paraId="1844EACE" w14:textId="7232529C" w:rsidR="00273D22" w:rsidRDefault="00F82F76">
      <w:pPr>
        <w:pStyle w:val="TOC1"/>
        <w:rPr>
          <w:rFonts w:eastAsiaTheme="minorEastAsia"/>
          <w:noProof/>
          <w:kern w:val="2"/>
          <w:sz w:val="22"/>
          <w:lang w:val="en-AU" w:eastAsia="en-AU"/>
          <w14:ligatures w14:val="standardContextual"/>
        </w:rPr>
      </w:pPr>
      <w:hyperlink w:anchor="_Toc165287608" w:history="1">
        <w:r w:rsidR="00273D22" w:rsidRPr="003B23F1">
          <w:rPr>
            <w:rStyle w:val="Hyperlink"/>
            <w:noProof/>
          </w:rPr>
          <w:t>Appendix A Cost estimations for fees</w:t>
        </w:r>
        <w:r w:rsidR="00273D22">
          <w:rPr>
            <w:noProof/>
            <w:webHidden/>
          </w:rPr>
          <w:tab/>
        </w:r>
        <w:r w:rsidR="00273D22">
          <w:rPr>
            <w:noProof/>
            <w:webHidden/>
          </w:rPr>
          <w:fldChar w:fldCharType="begin"/>
        </w:r>
        <w:r w:rsidR="00273D22">
          <w:rPr>
            <w:noProof/>
            <w:webHidden/>
          </w:rPr>
          <w:instrText xml:space="preserve"> PAGEREF _Toc165287608 \h </w:instrText>
        </w:r>
        <w:r w:rsidR="00273D22">
          <w:rPr>
            <w:noProof/>
            <w:webHidden/>
          </w:rPr>
        </w:r>
        <w:r w:rsidR="00273D22">
          <w:rPr>
            <w:noProof/>
            <w:webHidden/>
          </w:rPr>
          <w:fldChar w:fldCharType="separate"/>
        </w:r>
        <w:r w:rsidR="00273D22">
          <w:rPr>
            <w:noProof/>
            <w:webHidden/>
          </w:rPr>
          <w:t>99</w:t>
        </w:r>
        <w:r w:rsidR="00273D22">
          <w:rPr>
            <w:noProof/>
            <w:webHidden/>
          </w:rPr>
          <w:fldChar w:fldCharType="end"/>
        </w:r>
      </w:hyperlink>
    </w:p>
    <w:p w14:paraId="26F0AB51" w14:textId="377DFD9E" w:rsidR="00273D22" w:rsidRDefault="00F82F76">
      <w:pPr>
        <w:pStyle w:val="TOC1"/>
        <w:rPr>
          <w:rFonts w:eastAsiaTheme="minorEastAsia"/>
          <w:noProof/>
          <w:kern w:val="2"/>
          <w:sz w:val="22"/>
          <w:lang w:val="en-AU" w:eastAsia="en-AU"/>
          <w14:ligatures w14:val="standardContextual"/>
        </w:rPr>
      </w:pPr>
      <w:hyperlink w:anchor="_Toc165287609" w:history="1">
        <w:r w:rsidR="00273D22" w:rsidRPr="003B23F1">
          <w:rPr>
            <w:rStyle w:val="Hyperlink"/>
            <w:noProof/>
          </w:rPr>
          <w:t>About Sapere</w:t>
        </w:r>
        <w:r w:rsidR="00273D22">
          <w:rPr>
            <w:noProof/>
            <w:webHidden/>
          </w:rPr>
          <w:tab/>
        </w:r>
        <w:r w:rsidR="00273D22">
          <w:rPr>
            <w:noProof/>
            <w:webHidden/>
          </w:rPr>
          <w:fldChar w:fldCharType="begin"/>
        </w:r>
        <w:r w:rsidR="00273D22">
          <w:rPr>
            <w:noProof/>
            <w:webHidden/>
          </w:rPr>
          <w:instrText xml:space="preserve"> PAGEREF _Toc165287609 \h </w:instrText>
        </w:r>
        <w:r w:rsidR="00273D22">
          <w:rPr>
            <w:noProof/>
            <w:webHidden/>
          </w:rPr>
        </w:r>
        <w:r w:rsidR="00273D22">
          <w:rPr>
            <w:noProof/>
            <w:webHidden/>
          </w:rPr>
          <w:fldChar w:fldCharType="separate"/>
        </w:r>
        <w:r w:rsidR="00273D22">
          <w:rPr>
            <w:noProof/>
            <w:webHidden/>
          </w:rPr>
          <w:t>104</w:t>
        </w:r>
        <w:r w:rsidR="00273D22">
          <w:rPr>
            <w:noProof/>
            <w:webHidden/>
          </w:rPr>
          <w:fldChar w:fldCharType="end"/>
        </w:r>
      </w:hyperlink>
    </w:p>
    <w:p w14:paraId="0CB70E8A" w14:textId="79E90B07" w:rsidR="00A6140D" w:rsidRDefault="00EC41D2" w:rsidP="00A6140D">
      <w:pPr>
        <w:pStyle w:val="TOCHeading"/>
      </w:pPr>
      <w:r>
        <w:rPr>
          <w:b w:val="0"/>
        </w:rPr>
        <w:fldChar w:fldCharType="end"/>
      </w:r>
      <w:r w:rsidR="00A6140D">
        <w:t xml:space="preserve"> </w:t>
      </w:r>
    </w:p>
    <w:p w14:paraId="48C0D6FF" w14:textId="0F7444A2" w:rsidR="009757C5" w:rsidRDefault="009757C5" w:rsidP="00A659D0"/>
    <w:p w14:paraId="3ABF357B" w14:textId="16C04477" w:rsidR="002C727E" w:rsidRPr="001E347D" w:rsidRDefault="009757C5" w:rsidP="00A659D0">
      <w:pPr>
        <w:pStyle w:val="Heading1"/>
        <w:rPr>
          <w:color w:val="081729"/>
        </w:rPr>
      </w:pPr>
      <w:bookmarkStart w:id="0" w:name="_Toc135157705"/>
      <w:bookmarkStart w:id="1" w:name="_Toc165287593"/>
      <w:r w:rsidRPr="001E347D">
        <w:rPr>
          <w:color w:val="081729"/>
        </w:rPr>
        <w:lastRenderedPageBreak/>
        <w:t>Glossary</w:t>
      </w:r>
      <w:bookmarkEnd w:id="0"/>
      <w:bookmarkEnd w:id="1"/>
    </w:p>
    <w:tbl>
      <w:tblPr>
        <w:tblStyle w:val="zGlossaryTable"/>
        <w:tblW w:w="0" w:type="auto"/>
        <w:tblLook w:val="04A0" w:firstRow="1" w:lastRow="0" w:firstColumn="1" w:lastColumn="0" w:noHBand="0" w:noVBand="1"/>
      </w:tblPr>
      <w:tblGrid>
        <w:gridCol w:w="3119"/>
        <w:gridCol w:w="5897"/>
      </w:tblGrid>
      <w:tr w:rsidR="009757C5" w:rsidRPr="00C2659E" w14:paraId="57606CF1" w14:textId="77777777" w:rsidTr="0081491A">
        <w:trPr>
          <w:cnfStyle w:val="100000000000" w:firstRow="1" w:lastRow="0" w:firstColumn="0" w:lastColumn="0" w:oddVBand="0" w:evenVBand="0" w:oddHBand="0" w:evenHBand="0" w:firstRowFirstColumn="0" w:firstRowLastColumn="0" w:lastRowFirstColumn="0" w:lastRowLastColumn="0"/>
        </w:trPr>
        <w:tc>
          <w:tcPr>
            <w:tcW w:w="3119" w:type="dxa"/>
          </w:tcPr>
          <w:p w14:paraId="5473883F" w14:textId="26BBB24E" w:rsidR="009757C5" w:rsidRPr="00C2659E" w:rsidRDefault="009757C5" w:rsidP="00074940">
            <w:pPr>
              <w:spacing w:before="0"/>
            </w:pPr>
            <w:r w:rsidRPr="00C2659E">
              <w:t>Abbreviation</w:t>
            </w:r>
          </w:p>
        </w:tc>
        <w:tc>
          <w:tcPr>
            <w:tcW w:w="5897" w:type="dxa"/>
          </w:tcPr>
          <w:p w14:paraId="6F3ECD8C" w14:textId="77777777" w:rsidR="009757C5" w:rsidRPr="00C2659E" w:rsidRDefault="009757C5" w:rsidP="00074940">
            <w:pPr>
              <w:spacing w:before="0"/>
            </w:pPr>
            <w:r w:rsidRPr="00C2659E">
              <w:t>Stands for</w:t>
            </w:r>
          </w:p>
        </w:tc>
      </w:tr>
      <w:tr w:rsidR="005B0B5F" w:rsidRPr="00C2659E" w14:paraId="4BDA675C" w14:textId="77777777" w:rsidTr="004F7E97">
        <w:trPr>
          <w:trHeight w:val="300"/>
        </w:trPr>
        <w:tc>
          <w:tcPr>
            <w:tcW w:w="3119" w:type="dxa"/>
            <w:vAlign w:val="top"/>
          </w:tcPr>
          <w:p w14:paraId="5DA9328E" w14:textId="7555FBC5" w:rsidR="005B0B5F" w:rsidRPr="00F360B6" w:rsidRDefault="005B0B5F" w:rsidP="00074940">
            <w:pPr>
              <w:spacing w:before="0"/>
              <w:rPr>
                <w:szCs w:val="20"/>
              </w:rPr>
            </w:pPr>
            <w:r w:rsidRPr="00F360B6">
              <w:rPr>
                <w:szCs w:val="20"/>
              </w:rPr>
              <w:t>AHPRA</w:t>
            </w:r>
          </w:p>
        </w:tc>
        <w:tc>
          <w:tcPr>
            <w:tcW w:w="5897" w:type="dxa"/>
            <w:vAlign w:val="top"/>
          </w:tcPr>
          <w:p w14:paraId="3F055D55" w14:textId="47C93641" w:rsidR="005B0B5F" w:rsidRDefault="005B0B5F" w:rsidP="00074940">
            <w:pPr>
              <w:spacing w:before="0"/>
            </w:pPr>
            <w:r>
              <w:t>Australian Health Practitioner Regulation Agency</w:t>
            </w:r>
          </w:p>
        </w:tc>
      </w:tr>
      <w:tr w:rsidR="00480682" w:rsidRPr="00C2659E" w14:paraId="375968F3" w14:textId="77777777" w:rsidTr="004F7E97">
        <w:trPr>
          <w:trHeight w:val="300"/>
        </w:trPr>
        <w:tc>
          <w:tcPr>
            <w:tcW w:w="3119" w:type="dxa"/>
            <w:vAlign w:val="top"/>
          </w:tcPr>
          <w:p w14:paraId="768DDAAE" w14:textId="6C9AB353" w:rsidR="00480682" w:rsidRPr="00F360B6" w:rsidRDefault="00254101" w:rsidP="00074940">
            <w:pPr>
              <w:spacing w:before="0"/>
              <w:rPr>
                <w:szCs w:val="20"/>
              </w:rPr>
            </w:pPr>
            <w:r w:rsidRPr="00F360B6">
              <w:rPr>
                <w:szCs w:val="20"/>
              </w:rPr>
              <w:t>The Commission</w:t>
            </w:r>
          </w:p>
        </w:tc>
        <w:tc>
          <w:tcPr>
            <w:tcW w:w="5897" w:type="dxa"/>
            <w:vAlign w:val="top"/>
          </w:tcPr>
          <w:p w14:paraId="3B0B30BC" w14:textId="3E855ABD" w:rsidR="00480682" w:rsidRDefault="00AC4157" w:rsidP="00074940">
            <w:pPr>
              <w:spacing w:before="0"/>
            </w:pPr>
            <w:r>
              <w:t>Australian Commission on Safety and Quality in Health Care</w:t>
            </w:r>
          </w:p>
        </w:tc>
      </w:tr>
      <w:tr w:rsidR="00E7195B" w:rsidRPr="00C2659E" w14:paraId="5E843B2F" w14:textId="77777777" w:rsidTr="004F7E97">
        <w:trPr>
          <w:trHeight w:val="300"/>
        </w:trPr>
        <w:tc>
          <w:tcPr>
            <w:tcW w:w="3119" w:type="dxa"/>
            <w:vAlign w:val="top"/>
          </w:tcPr>
          <w:p w14:paraId="23CD393E" w14:textId="44F16A14" w:rsidR="00E7195B" w:rsidRPr="00F360B6" w:rsidDel="000E493C" w:rsidRDefault="00E7195B" w:rsidP="00074940">
            <w:pPr>
              <w:spacing w:before="0"/>
              <w:rPr>
                <w:szCs w:val="20"/>
              </w:rPr>
            </w:pPr>
            <w:r w:rsidRPr="00F360B6">
              <w:rPr>
                <w:szCs w:val="20"/>
              </w:rPr>
              <w:t>BRV</w:t>
            </w:r>
          </w:p>
        </w:tc>
        <w:tc>
          <w:tcPr>
            <w:tcW w:w="5897" w:type="dxa"/>
            <w:vAlign w:val="top"/>
          </w:tcPr>
          <w:p w14:paraId="1319C416" w14:textId="3EEDEADF" w:rsidR="00E7195B" w:rsidRPr="000E493C" w:rsidRDefault="00E7195B" w:rsidP="00074940">
            <w:pPr>
              <w:spacing w:before="0"/>
            </w:pPr>
            <w:r>
              <w:t>Better Regulation Victoria</w:t>
            </w:r>
          </w:p>
        </w:tc>
      </w:tr>
      <w:tr w:rsidR="00B16A35" w:rsidRPr="00C2659E" w14:paraId="55217010" w14:textId="77777777" w:rsidTr="004F7E97">
        <w:trPr>
          <w:trHeight w:val="300"/>
        </w:trPr>
        <w:tc>
          <w:tcPr>
            <w:tcW w:w="3119" w:type="dxa"/>
            <w:vAlign w:val="top"/>
          </w:tcPr>
          <w:p w14:paraId="3CFB658D" w14:textId="6DC67CF8" w:rsidR="00B16A35" w:rsidRPr="00F360B6" w:rsidDel="000E493C" w:rsidRDefault="000F4872" w:rsidP="00074940">
            <w:pPr>
              <w:spacing w:before="0"/>
              <w:rPr>
                <w:szCs w:val="20"/>
              </w:rPr>
            </w:pPr>
            <w:r w:rsidRPr="00F360B6">
              <w:rPr>
                <w:szCs w:val="20"/>
              </w:rPr>
              <w:t>The</w:t>
            </w:r>
            <w:r w:rsidR="0005154F" w:rsidRPr="00F360B6">
              <w:rPr>
                <w:szCs w:val="20"/>
              </w:rPr>
              <w:t xml:space="preserve"> </w:t>
            </w:r>
            <w:r w:rsidR="00075868" w:rsidRPr="00F360B6">
              <w:rPr>
                <w:szCs w:val="20"/>
              </w:rPr>
              <w:t>d</w:t>
            </w:r>
            <w:r w:rsidR="0005154F" w:rsidRPr="00F360B6">
              <w:rPr>
                <w:szCs w:val="20"/>
              </w:rPr>
              <w:t>epartment</w:t>
            </w:r>
          </w:p>
        </w:tc>
        <w:tc>
          <w:tcPr>
            <w:tcW w:w="5897" w:type="dxa"/>
            <w:vAlign w:val="top"/>
          </w:tcPr>
          <w:p w14:paraId="13739B81" w14:textId="0E099221" w:rsidR="00B16A35" w:rsidRPr="000E493C" w:rsidRDefault="0005154F" w:rsidP="00074940">
            <w:pPr>
              <w:spacing w:before="0"/>
            </w:pPr>
            <w:r>
              <w:t>Victorian Department of Health</w:t>
            </w:r>
          </w:p>
        </w:tc>
      </w:tr>
      <w:tr w:rsidR="006133E1" w:rsidRPr="00C2659E" w14:paraId="6786BFCB" w14:textId="77777777" w:rsidTr="004F7E97">
        <w:tc>
          <w:tcPr>
            <w:tcW w:w="3119" w:type="dxa"/>
            <w:vAlign w:val="top"/>
          </w:tcPr>
          <w:p w14:paraId="076AA7F2" w14:textId="502C433A" w:rsidR="006133E1" w:rsidRPr="00F360B6" w:rsidRDefault="006133E1" w:rsidP="00572AE5">
            <w:pPr>
              <w:spacing w:before="0"/>
              <w:rPr>
                <w:szCs w:val="20"/>
              </w:rPr>
            </w:pPr>
            <w:r w:rsidRPr="00F360B6">
              <w:rPr>
                <w:szCs w:val="20"/>
              </w:rPr>
              <w:t>HSEs</w:t>
            </w:r>
          </w:p>
        </w:tc>
        <w:tc>
          <w:tcPr>
            <w:tcW w:w="5897" w:type="dxa"/>
            <w:vAlign w:val="top"/>
          </w:tcPr>
          <w:p w14:paraId="21B9949B" w14:textId="2BABE150" w:rsidR="006133E1" w:rsidRDefault="006133E1" w:rsidP="00572AE5">
            <w:pPr>
              <w:spacing w:before="0"/>
            </w:pPr>
            <w:r>
              <w:t>H</w:t>
            </w:r>
            <w:r w:rsidRPr="006133E1">
              <w:t>ealth service establishments</w:t>
            </w:r>
          </w:p>
        </w:tc>
      </w:tr>
      <w:tr w:rsidR="00572AE5" w:rsidRPr="00C2659E" w14:paraId="26FB2E04" w14:textId="77777777" w:rsidTr="004F7E97">
        <w:tc>
          <w:tcPr>
            <w:tcW w:w="3119" w:type="dxa"/>
            <w:vAlign w:val="top"/>
          </w:tcPr>
          <w:p w14:paraId="4021A970" w14:textId="158B1B66" w:rsidR="00572AE5" w:rsidRPr="00F360B6" w:rsidRDefault="00572AE5" w:rsidP="00572AE5">
            <w:pPr>
              <w:spacing w:before="0"/>
              <w:rPr>
                <w:szCs w:val="20"/>
              </w:rPr>
            </w:pPr>
            <w:r w:rsidRPr="00F360B6">
              <w:rPr>
                <w:szCs w:val="20"/>
              </w:rPr>
              <w:t>MCA</w:t>
            </w:r>
          </w:p>
        </w:tc>
        <w:tc>
          <w:tcPr>
            <w:tcW w:w="5897" w:type="dxa"/>
            <w:vAlign w:val="top"/>
          </w:tcPr>
          <w:p w14:paraId="666E0D25" w14:textId="13FA3974" w:rsidR="00572AE5" w:rsidRDefault="00572AE5" w:rsidP="00572AE5">
            <w:pPr>
              <w:spacing w:before="0"/>
            </w:pPr>
            <w:r>
              <w:t>Multi criteria analysis</w:t>
            </w:r>
          </w:p>
        </w:tc>
      </w:tr>
      <w:tr w:rsidR="00572AE5" w:rsidRPr="00C2659E" w14:paraId="72B140EC" w14:textId="77777777" w:rsidTr="004F7E97">
        <w:tc>
          <w:tcPr>
            <w:tcW w:w="3119" w:type="dxa"/>
            <w:vAlign w:val="top"/>
          </w:tcPr>
          <w:p w14:paraId="3B82AA73" w14:textId="068A2C19" w:rsidR="00572AE5" w:rsidRPr="00F360B6" w:rsidRDefault="00572AE5" w:rsidP="00572AE5">
            <w:pPr>
              <w:spacing w:before="0"/>
              <w:rPr>
                <w:szCs w:val="20"/>
              </w:rPr>
            </w:pPr>
            <w:r w:rsidRPr="00F360B6">
              <w:rPr>
                <w:szCs w:val="20"/>
              </w:rPr>
              <w:t>NSQHS Standards, the Standards</w:t>
            </w:r>
          </w:p>
        </w:tc>
        <w:tc>
          <w:tcPr>
            <w:tcW w:w="5897" w:type="dxa"/>
            <w:vAlign w:val="top"/>
          </w:tcPr>
          <w:p w14:paraId="1ED1D3A6" w14:textId="7DCA5D9F" w:rsidR="00572AE5" w:rsidRDefault="00572AE5" w:rsidP="00572AE5">
            <w:pPr>
              <w:spacing w:before="0"/>
            </w:pPr>
            <w:r>
              <w:t xml:space="preserve">National Safety and Quality Health Service Standards </w:t>
            </w:r>
          </w:p>
        </w:tc>
      </w:tr>
      <w:tr w:rsidR="008D6EA8" w:rsidRPr="00C2659E" w14:paraId="3619DD48" w14:textId="77777777" w:rsidTr="004F7E97">
        <w:tc>
          <w:tcPr>
            <w:tcW w:w="3119" w:type="dxa"/>
            <w:vAlign w:val="top"/>
          </w:tcPr>
          <w:p w14:paraId="569DC049" w14:textId="2ECB136C" w:rsidR="008D6EA8" w:rsidRPr="00F360B6" w:rsidRDefault="008D6EA8" w:rsidP="00572AE5">
            <w:pPr>
              <w:spacing w:before="0"/>
              <w:rPr>
                <w:szCs w:val="20"/>
              </w:rPr>
            </w:pPr>
            <w:r w:rsidRPr="00F360B6">
              <w:rPr>
                <w:szCs w:val="20"/>
              </w:rPr>
              <w:t>OECD</w:t>
            </w:r>
          </w:p>
        </w:tc>
        <w:tc>
          <w:tcPr>
            <w:tcW w:w="5897" w:type="dxa"/>
            <w:vAlign w:val="top"/>
          </w:tcPr>
          <w:p w14:paraId="7CE69CCA" w14:textId="1A746511" w:rsidR="008D6EA8" w:rsidRDefault="007F65C2" w:rsidP="00572AE5">
            <w:pPr>
              <w:spacing w:before="0"/>
            </w:pPr>
            <w:r w:rsidRPr="007F65C2">
              <w:t>Organisation for Economic Co-operation and Development</w:t>
            </w:r>
          </w:p>
        </w:tc>
      </w:tr>
      <w:tr w:rsidR="006C2A2E" w:rsidRPr="00C2659E" w14:paraId="5CA2912C" w14:textId="77777777" w:rsidTr="004F7E97">
        <w:tc>
          <w:tcPr>
            <w:tcW w:w="3119" w:type="dxa"/>
            <w:vAlign w:val="top"/>
          </w:tcPr>
          <w:p w14:paraId="0F7F8FF5" w14:textId="6705F566" w:rsidR="006C2A2E" w:rsidRPr="00F360B6" w:rsidRDefault="006C2A2E" w:rsidP="00572AE5">
            <w:pPr>
              <w:spacing w:before="0"/>
              <w:rPr>
                <w:szCs w:val="20"/>
              </w:rPr>
            </w:pPr>
            <w:r w:rsidRPr="00F360B6">
              <w:rPr>
                <w:szCs w:val="20"/>
              </w:rPr>
              <w:t>RCA</w:t>
            </w:r>
          </w:p>
        </w:tc>
        <w:tc>
          <w:tcPr>
            <w:tcW w:w="5897" w:type="dxa"/>
            <w:vAlign w:val="top"/>
          </w:tcPr>
          <w:p w14:paraId="2BC26B7E" w14:textId="7DF64815" w:rsidR="006C2A2E" w:rsidRPr="007F65C2" w:rsidRDefault="006C2A2E" w:rsidP="00572AE5">
            <w:pPr>
              <w:spacing w:before="0"/>
            </w:pPr>
            <w:r>
              <w:t>Root Cause Analysis</w:t>
            </w:r>
          </w:p>
        </w:tc>
      </w:tr>
      <w:tr w:rsidR="00572AE5" w:rsidRPr="00C2659E" w14:paraId="1A97075B" w14:textId="77777777" w:rsidTr="004F7E97">
        <w:tc>
          <w:tcPr>
            <w:tcW w:w="3119" w:type="dxa"/>
            <w:vAlign w:val="top"/>
          </w:tcPr>
          <w:p w14:paraId="624526D1" w14:textId="130DDDEC" w:rsidR="00572AE5" w:rsidRPr="00F360B6" w:rsidRDefault="00572AE5" w:rsidP="00572AE5">
            <w:pPr>
              <w:spacing w:before="0"/>
              <w:rPr>
                <w:szCs w:val="20"/>
              </w:rPr>
            </w:pPr>
            <w:r w:rsidRPr="00F360B6">
              <w:rPr>
                <w:szCs w:val="20"/>
              </w:rPr>
              <w:t>RIS</w:t>
            </w:r>
          </w:p>
        </w:tc>
        <w:tc>
          <w:tcPr>
            <w:tcW w:w="5897" w:type="dxa"/>
            <w:vAlign w:val="top"/>
          </w:tcPr>
          <w:p w14:paraId="11EF0B73" w14:textId="3116CDFF" w:rsidR="00572AE5" w:rsidRPr="00B957E2" w:rsidRDefault="00572AE5" w:rsidP="00572AE5">
            <w:pPr>
              <w:spacing w:before="0"/>
            </w:pPr>
            <w:r>
              <w:t>Regulatory Impact Statement</w:t>
            </w:r>
          </w:p>
        </w:tc>
      </w:tr>
      <w:tr w:rsidR="007F65C2" w:rsidRPr="00C2659E" w14:paraId="02925EA5" w14:textId="77777777" w:rsidTr="004F7E97">
        <w:tc>
          <w:tcPr>
            <w:tcW w:w="3119" w:type="dxa"/>
            <w:vAlign w:val="top"/>
          </w:tcPr>
          <w:p w14:paraId="75AC7897" w14:textId="3F92D225" w:rsidR="007F65C2" w:rsidRPr="00F360B6" w:rsidRDefault="007F65C2" w:rsidP="00572AE5">
            <w:pPr>
              <w:spacing w:before="0"/>
              <w:rPr>
                <w:szCs w:val="20"/>
              </w:rPr>
            </w:pPr>
            <w:r w:rsidRPr="00F360B6">
              <w:rPr>
                <w:szCs w:val="20"/>
              </w:rPr>
              <w:t>SAPSE</w:t>
            </w:r>
          </w:p>
        </w:tc>
        <w:tc>
          <w:tcPr>
            <w:tcW w:w="5897" w:type="dxa"/>
            <w:vAlign w:val="top"/>
          </w:tcPr>
          <w:p w14:paraId="749B3D7A" w14:textId="5291BCC6" w:rsidR="007F65C2" w:rsidRDefault="007F65C2" w:rsidP="00572AE5">
            <w:pPr>
              <w:spacing w:before="0"/>
            </w:pPr>
            <w:r>
              <w:t>Serious Adverse Patient Safety Event</w:t>
            </w:r>
          </w:p>
        </w:tc>
      </w:tr>
      <w:tr w:rsidR="00572AE5" w:rsidRPr="00C2659E" w14:paraId="0239C8B9" w14:textId="77777777" w:rsidTr="004F7E97">
        <w:tc>
          <w:tcPr>
            <w:tcW w:w="3119" w:type="dxa"/>
            <w:vAlign w:val="top"/>
          </w:tcPr>
          <w:p w14:paraId="6990CDF1" w14:textId="7458D339" w:rsidR="00572AE5" w:rsidRPr="00F360B6" w:rsidRDefault="00572AE5" w:rsidP="00572AE5">
            <w:pPr>
              <w:spacing w:before="0"/>
              <w:rPr>
                <w:szCs w:val="20"/>
              </w:rPr>
            </w:pPr>
            <w:r w:rsidRPr="00F360B6">
              <w:rPr>
                <w:szCs w:val="20"/>
              </w:rPr>
              <w:t>SCV</w:t>
            </w:r>
          </w:p>
        </w:tc>
        <w:tc>
          <w:tcPr>
            <w:tcW w:w="5897" w:type="dxa"/>
            <w:vAlign w:val="top"/>
          </w:tcPr>
          <w:p w14:paraId="73398F42" w14:textId="1442BD93" w:rsidR="00572AE5" w:rsidRDefault="00572AE5" w:rsidP="00572AE5">
            <w:pPr>
              <w:spacing w:before="0"/>
            </w:pPr>
            <w:r>
              <w:t>Safer Care Victoria</w:t>
            </w:r>
          </w:p>
        </w:tc>
      </w:tr>
      <w:tr w:rsidR="006C2A2E" w:rsidRPr="00C2659E" w14:paraId="62B95076" w14:textId="77777777" w:rsidTr="004F7E97">
        <w:tc>
          <w:tcPr>
            <w:tcW w:w="3119" w:type="dxa"/>
            <w:vAlign w:val="top"/>
          </w:tcPr>
          <w:p w14:paraId="3970D0C7" w14:textId="324B5439" w:rsidR="006C2A2E" w:rsidRPr="00F360B6" w:rsidRDefault="006C2A2E" w:rsidP="00572AE5">
            <w:pPr>
              <w:spacing w:before="0"/>
              <w:rPr>
                <w:szCs w:val="20"/>
              </w:rPr>
            </w:pPr>
            <w:r w:rsidRPr="00F360B6">
              <w:rPr>
                <w:szCs w:val="20"/>
              </w:rPr>
              <w:t>SDC</w:t>
            </w:r>
          </w:p>
        </w:tc>
        <w:tc>
          <w:tcPr>
            <w:tcW w:w="5897" w:type="dxa"/>
            <w:vAlign w:val="top"/>
          </w:tcPr>
          <w:p w14:paraId="38063F5B" w14:textId="7A8E9AEA" w:rsidR="006C2A2E" w:rsidRDefault="006C2A2E" w:rsidP="00572AE5">
            <w:pPr>
              <w:spacing w:before="0"/>
            </w:pPr>
            <w:r>
              <w:t>Statutory Duty of Candour</w:t>
            </w:r>
          </w:p>
        </w:tc>
      </w:tr>
      <w:tr w:rsidR="00127E97" w:rsidRPr="00C2659E" w14:paraId="34C870B4" w14:textId="77777777" w:rsidTr="004F7E97">
        <w:tc>
          <w:tcPr>
            <w:tcW w:w="3119" w:type="dxa"/>
            <w:vAlign w:val="top"/>
          </w:tcPr>
          <w:p w14:paraId="451D4EA8" w14:textId="662EBC88" w:rsidR="00127E97" w:rsidRPr="00F360B6" w:rsidRDefault="00127E97" w:rsidP="00572AE5">
            <w:pPr>
              <w:spacing w:before="0"/>
              <w:rPr>
                <w:szCs w:val="20"/>
              </w:rPr>
            </w:pPr>
            <w:r w:rsidRPr="00F360B6">
              <w:rPr>
                <w:szCs w:val="20"/>
              </w:rPr>
              <w:t>SL Act</w:t>
            </w:r>
          </w:p>
        </w:tc>
        <w:tc>
          <w:tcPr>
            <w:tcW w:w="5897" w:type="dxa"/>
            <w:vAlign w:val="top"/>
          </w:tcPr>
          <w:p w14:paraId="105F583A" w14:textId="70BE1A37" w:rsidR="00127E97" w:rsidRDefault="00127E97" w:rsidP="00572AE5">
            <w:pPr>
              <w:spacing w:before="0"/>
            </w:pPr>
            <w:r>
              <w:t>Subordinate Legislation Act 1994</w:t>
            </w:r>
          </w:p>
        </w:tc>
      </w:tr>
      <w:tr w:rsidR="00412997" w:rsidRPr="00C2659E" w14:paraId="5A55C152" w14:textId="77777777" w:rsidTr="004F7E97">
        <w:tc>
          <w:tcPr>
            <w:tcW w:w="3119" w:type="dxa"/>
            <w:vAlign w:val="top"/>
          </w:tcPr>
          <w:p w14:paraId="138BF851" w14:textId="241E0603" w:rsidR="00412997" w:rsidRPr="00F360B6" w:rsidRDefault="00412997" w:rsidP="00572AE5">
            <w:pPr>
              <w:spacing w:before="0"/>
              <w:rPr>
                <w:szCs w:val="20"/>
              </w:rPr>
            </w:pPr>
            <w:r w:rsidRPr="00F360B6">
              <w:rPr>
                <w:szCs w:val="20"/>
              </w:rPr>
              <w:t>Targeting Zero report</w:t>
            </w:r>
          </w:p>
        </w:tc>
        <w:tc>
          <w:tcPr>
            <w:tcW w:w="5897" w:type="dxa"/>
            <w:vAlign w:val="top"/>
          </w:tcPr>
          <w:p w14:paraId="7BC1F15F" w14:textId="06D0AD16" w:rsidR="00412997" w:rsidRPr="00373EB2" w:rsidRDefault="00412997" w:rsidP="00572AE5">
            <w:pPr>
              <w:spacing w:before="0"/>
            </w:pPr>
            <w:r w:rsidRPr="005B2145">
              <w:rPr>
                <w:rFonts w:cstheme="minorHAnsi"/>
                <w:i/>
                <w:iCs/>
              </w:rPr>
              <w:t>Targeting Zero – supporting the Victorian hospital system to eliminate avoidable harm and strengthen quality of care: Report of the Review of Hospital Safety and Quality Assurance in Victoria</w:t>
            </w:r>
          </w:p>
        </w:tc>
      </w:tr>
      <w:tr w:rsidR="00572AE5" w:rsidRPr="00C2659E" w14:paraId="20655DB6" w14:textId="77777777" w:rsidTr="004F7E97">
        <w:tc>
          <w:tcPr>
            <w:tcW w:w="3119" w:type="dxa"/>
            <w:vAlign w:val="top"/>
          </w:tcPr>
          <w:p w14:paraId="728AD982" w14:textId="2B5EAE90" w:rsidR="00572AE5" w:rsidRPr="00F360B6" w:rsidRDefault="00572AE5" w:rsidP="00572AE5">
            <w:pPr>
              <w:spacing w:before="0"/>
              <w:rPr>
                <w:szCs w:val="20"/>
              </w:rPr>
            </w:pPr>
            <w:r w:rsidRPr="00F360B6">
              <w:rPr>
                <w:szCs w:val="20"/>
              </w:rPr>
              <w:t>The current Regulations, the Regulations</w:t>
            </w:r>
          </w:p>
        </w:tc>
        <w:tc>
          <w:tcPr>
            <w:tcW w:w="5897" w:type="dxa"/>
            <w:vAlign w:val="top"/>
          </w:tcPr>
          <w:p w14:paraId="53C7506E" w14:textId="6A5B8760" w:rsidR="00572AE5" w:rsidRDefault="00572AE5" w:rsidP="00572AE5">
            <w:pPr>
              <w:spacing w:before="0"/>
            </w:pPr>
            <w:r w:rsidRPr="00373EB2">
              <w:t>Health Services (Health Service Establishments) Regulations 2013</w:t>
            </w:r>
          </w:p>
        </w:tc>
      </w:tr>
      <w:tr w:rsidR="00463004" w:rsidRPr="00C2659E" w14:paraId="5BE2339A" w14:textId="77777777" w:rsidTr="004F7E97">
        <w:tc>
          <w:tcPr>
            <w:tcW w:w="3119" w:type="dxa"/>
            <w:vAlign w:val="top"/>
          </w:tcPr>
          <w:p w14:paraId="545FE4C2" w14:textId="3689143F" w:rsidR="00463004" w:rsidRPr="00F360B6" w:rsidRDefault="00463004" w:rsidP="00572AE5">
            <w:pPr>
              <w:spacing w:before="0"/>
              <w:rPr>
                <w:szCs w:val="20"/>
              </w:rPr>
            </w:pPr>
            <w:r w:rsidRPr="00F360B6">
              <w:rPr>
                <w:szCs w:val="20"/>
              </w:rPr>
              <w:t>The Accreditation Scheme</w:t>
            </w:r>
          </w:p>
        </w:tc>
        <w:tc>
          <w:tcPr>
            <w:tcW w:w="5897" w:type="dxa"/>
            <w:vAlign w:val="top"/>
          </w:tcPr>
          <w:p w14:paraId="7DD7D3B8" w14:textId="617E03A4" w:rsidR="00463004" w:rsidRPr="00373EB2" w:rsidRDefault="00463004" w:rsidP="00572AE5">
            <w:pPr>
              <w:spacing w:before="0"/>
            </w:pPr>
            <w:r>
              <w:t>The Australian Health Service Safety and Quality Accreditation Scheme</w:t>
            </w:r>
          </w:p>
        </w:tc>
      </w:tr>
      <w:tr w:rsidR="00572AE5" w:rsidRPr="00C2659E" w14:paraId="66A0BC7F" w14:textId="77777777" w:rsidTr="004F7E97">
        <w:tc>
          <w:tcPr>
            <w:tcW w:w="3119" w:type="dxa"/>
            <w:vAlign w:val="top"/>
          </w:tcPr>
          <w:p w14:paraId="686309EA" w14:textId="54656F80" w:rsidR="00572AE5" w:rsidRPr="00F360B6" w:rsidRDefault="00572AE5" w:rsidP="00572AE5">
            <w:pPr>
              <w:spacing w:before="0"/>
              <w:rPr>
                <w:szCs w:val="20"/>
              </w:rPr>
            </w:pPr>
            <w:r w:rsidRPr="00F360B6">
              <w:rPr>
                <w:szCs w:val="20"/>
              </w:rPr>
              <w:t>The Act</w:t>
            </w:r>
          </w:p>
        </w:tc>
        <w:tc>
          <w:tcPr>
            <w:tcW w:w="5897" w:type="dxa"/>
            <w:vAlign w:val="top"/>
          </w:tcPr>
          <w:p w14:paraId="3A8049EC" w14:textId="5273647B" w:rsidR="00572AE5" w:rsidRPr="006C2A2E" w:rsidRDefault="00572AE5" w:rsidP="00572AE5">
            <w:pPr>
              <w:spacing w:before="0"/>
            </w:pPr>
            <w:r w:rsidRPr="006C2A2E">
              <w:t>Health Services Act 1988</w:t>
            </w:r>
          </w:p>
        </w:tc>
      </w:tr>
      <w:tr w:rsidR="00B10129" w:rsidRPr="00C2659E" w14:paraId="723A16A7" w14:textId="77777777" w:rsidTr="004F7E97">
        <w:tc>
          <w:tcPr>
            <w:tcW w:w="3119" w:type="dxa"/>
            <w:vAlign w:val="top"/>
          </w:tcPr>
          <w:p w14:paraId="35FC7CD6" w14:textId="2AD6BC15" w:rsidR="00B10129" w:rsidRPr="00F360B6" w:rsidRDefault="00B10129" w:rsidP="00572AE5">
            <w:pPr>
              <w:spacing w:before="0"/>
              <w:rPr>
                <w:szCs w:val="20"/>
              </w:rPr>
            </w:pPr>
            <w:r w:rsidRPr="00F360B6">
              <w:rPr>
                <w:szCs w:val="20"/>
              </w:rPr>
              <w:t>VAHI</w:t>
            </w:r>
          </w:p>
        </w:tc>
        <w:tc>
          <w:tcPr>
            <w:tcW w:w="5897" w:type="dxa"/>
            <w:vAlign w:val="top"/>
          </w:tcPr>
          <w:p w14:paraId="324DEAEB" w14:textId="5578E4A4" w:rsidR="00B10129" w:rsidRPr="006C2A2E" w:rsidRDefault="00B10129" w:rsidP="00572AE5">
            <w:pPr>
              <w:spacing w:before="0"/>
            </w:pPr>
            <w:r w:rsidRPr="006C2A2E">
              <w:t>Victorian Agency for Health Information</w:t>
            </w:r>
          </w:p>
        </w:tc>
      </w:tr>
      <w:tr w:rsidR="004C5618" w:rsidRPr="00C2659E" w14:paraId="6C00D570" w14:textId="77777777" w:rsidTr="004F7E97">
        <w:tc>
          <w:tcPr>
            <w:tcW w:w="3119" w:type="dxa"/>
            <w:vAlign w:val="top"/>
          </w:tcPr>
          <w:p w14:paraId="5BAB1627" w14:textId="74CC75BD" w:rsidR="004C5618" w:rsidRPr="00F360B6" w:rsidRDefault="004C5618" w:rsidP="00572AE5">
            <w:pPr>
              <w:spacing w:before="0"/>
              <w:rPr>
                <w:szCs w:val="20"/>
              </w:rPr>
            </w:pPr>
            <w:r w:rsidRPr="00F360B6">
              <w:rPr>
                <w:szCs w:val="20"/>
              </w:rPr>
              <w:t>VAED</w:t>
            </w:r>
          </w:p>
        </w:tc>
        <w:tc>
          <w:tcPr>
            <w:tcW w:w="5897" w:type="dxa"/>
            <w:vAlign w:val="top"/>
          </w:tcPr>
          <w:p w14:paraId="4D7DBE78" w14:textId="0CFBAA70" w:rsidR="004C5618" w:rsidRPr="006C2A2E" w:rsidRDefault="004C5618" w:rsidP="00572AE5">
            <w:pPr>
              <w:spacing w:before="0"/>
            </w:pPr>
            <w:r w:rsidRPr="004C5618">
              <w:t>Victorian Admitted Episodes Dataset</w:t>
            </w:r>
          </w:p>
        </w:tc>
      </w:tr>
    </w:tbl>
    <w:p w14:paraId="0C2FC812" w14:textId="77777777" w:rsidR="009757C5" w:rsidRPr="00C2659E" w:rsidRDefault="009757C5" w:rsidP="00A659D0"/>
    <w:p w14:paraId="622F3368" w14:textId="77777777" w:rsidR="00512A0D" w:rsidRDefault="00512A0D" w:rsidP="004B0EFF"/>
    <w:p w14:paraId="6F494AD1" w14:textId="67739AB3" w:rsidR="001D545C" w:rsidRPr="001E347D" w:rsidRDefault="001D545C" w:rsidP="00A659D0">
      <w:pPr>
        <w:pStyle w:val="Heading1"/>
        <w:rPr>
          <w:color w:val="081729"/>
        </w:rPr>
      </w:pPr>
      <w:bookmarkStart w:id="2" w:name="_Toc135157706"/>
      <w:bookmarkStart w:id="3" w:name="_Toc165287594"/>
      <w:r w:rsidRPr="001E347D">
        <w:rPr>
          <w:color w:val="081729"/>
        </w:rPr>
        <w:lastRenderedPageBreak/>
        <w:t>Fo</w:t>
      </w:r>
      <w:r w:rsidR="00176D37" w:rsidRPr="001E347D">
        <w:rPr>
          <w:color w:val="081729"/>
        </w:rPr>
        <w:t>reword</w:t>
      </w:r>
      <w:bookmarkEnd w:id="2"/>
      <w:bookmarkEnd w:id="3"/>
    </w:p>
    <w:p w14:paraId="764A461D" w14:textId="17FBA80D" w:rsidR="00BB26BD" w:rsidRPr="00832F1D" w:rsidRDefault="00BB26BD" w:rsidP="00BB26BD">
      <w:r>
        <w:t>This Regulatory Impact Statement (RIS) has been prepared with respect to the proposed</w:t>
      </w:r>
      <w:r w:rsidR="00230F52">
        <w:t xml:space="preserve"> </w:t>
      </w:r>
      <w:r w:rsidR="00947776">
        <w:t>Health Services (Health Service Establishment</w:t>
      </w:r>
      <w:r w:rsidR="0F3683F5">
        <w:t>s</w:t>
      </w:r>
      <w:r w:rsidR="00947776">
        <w:t>) Regulations 2024</w:t>
      </w:r>
      <w:r>
        <w:t xml:space="preserve">. </w:t>
      </w:r>
    </w:p>
    <w:p w14:paraId="1A70AB2B" w14:textId="77777777" w:rsidR="00BB26BD" w:rsidRPr="00832F1D" w:rsidRDefault="00BB26BD" w:rsidP="00BB26BD">
      <w:pPr>
        <w:rPr>
          <w:rFonts w:cstheme="minorHAnsi"/>
        </w:rPr>
      </w:pPr>
      <w:r w:rsidRPr="00832F1D">
        <w:rPr>
          <w:rFonts w:cstheme="minorHAnsi"/>
        </w:rPr>
        <w:t>The RIS should be read in conjunction with the proposed Regulations, which are provided as a separate document.</w:t>
      </w:r>
    </w:p>
    <w:p w14:paraId="6F6341FF" w14:textId="77777777" w:rsidR="00BB26BD" w:rsidRPr="00832F1D" w:rsidRDefault="00BB26BD" w:rsidP="00BB26BD">
      <w:pPr>
        <w:rPr>
          <w:rFonts w:cstheme="minorHAnsi"/>
        </w:rPr>
      </w:pPr>
      <w:r w:rsidRPr="00832F1D">
        <w:rPr>
          <w:rFonts w:cstheme="minorHAnsi"/>
        </w:rPr>
        <w:t>This RIS sets out the objectives of the proposed Regulations, explains their effect and assesses the nature and scope of the problem that the proposed Regulations seek to address. It also sets out the likely impacts (costs and benefits) and discusses alternatives.</w:t>
      </w:r>
    </w:p>
    <w:p w14:paraId="4DE7C860" w14:textId="77777777" w:rsidR="00BB26BD" w:rsidRPr="001E347D" w:rsidRDefault="00BB26BD" w:rsidP="00BB26BD">
      <w:pPr>
        <w:rPr>
          <w:rStyle w:val="Strong"/>
        </w:rPr>
      </w:pPr>
      <w:r w:rsidRPr="001E347D">
        <w:rPr>
          <w:rStyle w:val="Strong"/>
        </w:rPr>
        <w:t>How to respond to the proposed Regulations</w:t>
      </w:r>
    </w:p>
    <w:p w14:paraId="4FFEE4B7" w14:textId="7D8FE52C" w:rsidR="00BB26BD" w:rsidRDefault="004836F0" w:rsidP="00BB26BD">
      <w:pPr>
        <w:rPr>
          <w:rFonts w:cstheme="minorHAnsi"/>
        </w:rPr>
      </w:pPr>
      <w:r>
        <w:rPr>
          <w:rFonts w:cstheme="minorHAnsi"/>
        </w:rPr>
        <w:t>Interested individuals and organisations</w:t>
      </w:r>
      <w:r w:rsidR="007D1C64">
        <w:rPr>
          <w:rFonts w:cstheme="minorHAnsi"/>
        </w:rPr>
        <w:t xml:space="preserve"> </w:t>
      </w:r>
      <w:r w:rsidR="00BB26BD" w:rsidRPr="00832F1D">
        <w:rPr>
          <w:rFonts w:cstheme="minorHAnsi"/>
        </w:rPr>
        <w:t xml:space="preserve">are invited to make submissions responding to the RIS or the proposed Regulations. </w:t>
      </w:r>
    </w:p>
    <w:p w14:paraId="7E870A6C" w14:textId="23A785BE" w:rsidR="00BE1C44" w:rsidRPr="00832F1D" w:rsidRDefault="00BE1C44" w:rsidP="00BB26BD">
      <w:pPr>
        <w:rPr>
          <w:rFonts w:cstheme="minorHAnsi"/>
        </w:rPr>
      </w:pPr>
      <w:r w:rsidRPr="009F3FFE">
        <w:rPr>
          <w:rFonts w:cstheme="minorHAnsi"/>
        </w:rPr>
        <w:t xml:space="preserve">To assist </w:t>
      </w:r>
      <w:r w:rsidR="0081500D" w:rsidRPr="009F3FFE">
        <w:rPr>
          <w:rFonts w:cstheme="minorHAnsi"/>
        </w:rPr>
        <w:t xml:space="preserve">stakeholders to prepare and submit a response, the Department has </w:t>
      </w:r>
      <w:r w:rsidR="006134FE" w:rsidRPr="009F3FFE">
        <w:rPr>
          <w:rFonts w:cstheme="minorHAnsi"/>
        </w:rPr>
        <w:t>created</w:t>
      </w:r>
      <w:r w:rsidR="0081500D" w:rsidRPr="009F3FFE">
        <w:rPr>
          <w:rFonts w:cstheme="minorHAnsi"/>
        </w:rPr>
        <w:t xml:space="preserve"> a template that outlines </w:t>
      </w:r>
      <w:r w:rsidR="006134FE" w:rsidRPr="009F3FFE">
        <w:rPr>
          <w:rFonts w:cstheme="minorHAnsi"/>
        </w:rPr>
        <w:t>all the</w:t>
      </w:r>
      <w:r w:rsidR="0081500D" w:rsidRPr="009F3FFE">
        <w:rPr>
          <w:rFonts w:cstheme="minorHAnsi"/>
        </w:rPr>
        <w:t xml:space="preserve"> updates being made to the Regulations in this process and seeks feedback in particular on </w:t>
      </w:r>
      <w:r w:rsidR="009F3FFE" w:rsidRPr="00252EA7">
        <w:rPr>
          <w:rFonts w:cstheme="minorHAnsi"/>
        </w:rPr>
        <w:t>anticipated impact of the proposed updates to the Regulations and any matters that should be taken into account in implementing the proposed changes</w:t>
      </w:r>
      <w:r w:rsidR="0081500D" w:rsidRPr="009F3FFE">
        <w:rPr>
          <w:rFonts w:cstheme="minorHAnsi"/>
        </w:rPr>
        <w:t>. The template is optional.</w:t>
      </w:r>
      <w:r w:rsidR="0081500D">
        <w:rPr>
          <w:rFonts w:cstheme="minorHAnsi"/>
        </w:rPr>
        <w:t xml:space="preserve"> </w:t>
      </w:r>
    </w:p>
    <w:p w14:paraId="00991228" w14:textId="09B17815" w:rsidR="00BB26BD" w:rsidRPr="008D7D2E" w:rsidRDefault="00BB26BD" w:rsidP="00BB26BD">
      <w:pPr>
        <w:rPr>
          <w:rFonts w:cstheme="minorHAnsi"/>
        </w:rPr>
      </w:pPr>
      <w:r w:rsidRPr="00832F1D">
        <w:rPr>
          <w:rFonts w:cstheme="minorHAnsi"/>
        </w:rPr>
        <w:t xml:space="preserve">The </w:t>
      </w:r>
      <w:r w:rsidRPr="008D7D2E">
        <w:rPr>
          <w:rFonts w:cstheme="minorHAnsi"/>
        </w:rPr>
        <w:t xml:space="preserve">closing date for submissions is </w:t>
      </w:r>
      <w:r w:rsidR="00AB64A5">
        <w:rPr>
          <w:rFonts w:cstheme="minorHAnsi"/>
        </w:rPr>
        <w:t>29 May 2024.</w:t>
      </w:r>
    </w:p>
    <w:p w14:paraId="0B5A3B90" w14:textId="0386ADF4" w:rsidR="00BB26BD" w:rsidRPr="008D7D2E" w:rsidRDefault="00BB26BD" w:rsidP="00BB26BD">
      <w:pPr>
        <w:rPr>
          <w:rFonts w:cstheme="minorHAnsi"/>
        </w:rPr>
      </w:pPr>
      <w:r w:rsidRPr="008D7D2E">
        <w:rPr>
          <w:rFonts w:cstheme="minorHAnsi"/>
        </w:rPr>
        <w:t xml:space="preserve">Comments may be provided via email to the following email </w:t>
      </w:r>
      <w:r w:rsidRPr="00C52F7B">
        <w:rPr>
          <w:rFonts w:cstheme="minorHAnsi"/>
        </w:rPr>
        <w:t xml:space="preserve">address: </w:t>
      </w:r>
      <w:r w:rsidR="0079490E">
        <w:rPr>
          <w:rFonts w:cstheme="minorHAnsi"/>
        </w:rPr>
        <w:t>legandregreform@health.vic.gov.au</w:t>
      </w:r>
    </w:p>
    <w:p w14:paraId="7463269D" w14:textId="6C800062" w:rsidR="00BB26BD" w:rsidRPr="008D7D2E" w:rsidRDefault="00BB26BD" w:rsidP="00BB26BD">
      <w:pPr>
        <w:rPr>
          <w:rFonts w:cstheme="minorHAnsi"/>
        </w:rPr>
      </w:pPr>
      <w:r w:rsidRPr="008D7D2E">
        <w:rPr>
          <w:rFonts w:cstheme="minorHAnsi"/>
        </w:rPr>
        <w:t xml:space="preserve">For further assistance about the public comment process, or to obtain copies of the RIS and proposed Regulations, please </w:t>
      </w:r>
      <w:r w:rsidR="00BE1C44">
        <w:rPr>
          <w:rFonts w:cstheme="minorHAnsi"/>
        </w:rPr>
        <w:t xml:space="preserve">contact </w:t>
      </w:r>
      <w:r w:rsidR="0081500D">
        <w:rPr>
          <w:rFonts w:cstheme="minorHAnsi"/>
        </w:rPr>
        <w:t>the relevant team at the Department of Health on legandregreform@health.vic.gov.a</w:t>
      </w:r>
      <w:r w:rsidR="0081500D" w:rsidRPr="00C2194C">
        <w:rPr>
          <w:rFonts w:cstheme="minorHAnsi"/>
        </w:rPr>
        <w:t>u</w:t>
      </w:r>
      <w:r w:rsidRPr="00C2194C">
        <w:rPr>
          <w:rFonts w:cstheme="minorHAnsi"/>
        </w:rPr>
        <w:t>.</w:t>
      </w:r>
    </w:p>
    <w:p w14:paraId="40370B27" w14:textId="77777777" w:rsidR="001D545C" w:rsidRPr="001D545C" w:rsidRDefault="001D545C" w:rsidP="001D545C"/>
    <w:p w14:paraId="47D4017C" w14:textId="304537E6" w:rsidR="000B46A6" w:rsidRPr="001E347D" w:rsidRDefault="009757C5" w:rsidP="00A659D0">
      <w:pPr>
        <w:pStyle w:val="Heading1"/>
        <w:rPr>
          <w:color w:val="081729"/>
        </w:rPr>
      </w:pPr>
      <w:bookmarkStart w:id="4" w:name="_Toc135157707"/>
      <w:bookmarkStart w:id="5" w:name="_Toc165287595"/>
      <w:r w:rsidRPr="001E347D">
        <w:rPr>
          <w:color w:val="081729"/>
        </w:rPr>
        <w:lastRenderedPageBreak/>
        <w:t>Executive summary</w:t>
      </w:r>
      <w:bookmarkEnd w:id="4"/>
      <w:bookmarkEnd w:id="5"/>
    </w:p>
    <w:p w14:paraId="12ED6D98" w14:textId="74113BFE" w:rsidR="00943F82" w:rsidRPr="001E347D" w:rsidRDefault="00943F82" w:rsidP="00E043F5">
      <w:pPr>
        <w:rPr>
          <w:rStyle w:val="Strong"/>
        </w:rPr>
      </w:pPr>
      <w:r w:rsidRPr="001E347D">
        <w:rPr>
          <w:rStyle w:val="Strong"/>
        </w:rPr>
        <w:t>Context</w:t>
      </w:r>
    </w:p>
    <w:p w14:paraId="686EA45E" w14:textId="2350C87F" w:rsidR="00875284" w:rsidRPr="00875284" w:rsidRDefault="00875284" w:rsidP="00CB67ED">
      <w:pPr>
        <w:rPr>
          <w:rFonts w:cstheme="minorHAnsi"/>
          <w:szCs w:val="20"/>
        </w:rPr>
      </w:pPr>
      <w:r w:rsidRPr="00875284">
        <w:rPr>
          <w:rFonts w:cstheme="minorHAnsi"/>
          <w:szCs w:val="20"/>
        </w:rPr>
        <w:t>Private hospitals, day procedure centres and mobile health services (</w:t>
      </w:r>
      <w:r w:rsidR="00B27A56">
        <w:rPr>
          <w:rFonts w:cstheme="minorHAnsi"/>
          <w:szCs w:val="20"/>
        </w:rPr>
        <w:t xml:space="preserve">known as </w:t>
      </w:r>
      <w:r w:rsidRPr="00875284">
        <w:rPr>
          <w:rFonts w:cstheme="minorHAnsi"/>
          <w:szCs w:val="20"/>
        </w:rPr>
        <w:t xml:space="preserve">health service establishments </w:t>
      </w:r>
      <w:r w:rsidR="00B27A56">
        <w:rPr>
          <w:rFonts w:cstheme="minorHAnsi"/>
          <w:szCs w:val="20"/>
        </w:rPr>
        <w:t xml:space="preserve">or </w:t>
      </w:r>
      <w:r w:rsidRPr="00875284">
        <w:rPr>
          <w:rFonts w:cstheme="minorHAnsi"/>
          <w:szCs w:val="20"/>
        </w:rPr>
        <w:t>HSEs) are a significant part of health service delivery in Victoria. In 2021-22, 1.08 million separations</w:t>
      </w:r>
      <w:r w:rsidRPr="000D17F7">
        <w:rPr>
          <w:rStyle w:val="FootnoteReference"/>
        </w:rPr>
        <w:footnoteReference w:id="2"/>
      </w:r>
      <w:r w:rsidRPr="00875284">
        <w:rPr>
          <w:rFonts w:cstheme="minorHAnsi"/>
          <w:szCs w:val="20"/>
        </w:rPr>
        <w:t xml:space="preserve"> in Victoria occurred in private hospitals </w:t>
      </w:r>
      <w:r w:rsidR="00D60BB9">
        <w:rPr>
          <w:rFonts w:cstheme="minorHAnsi"/>
          <w:szCs w:val="20"/>
        </w:rPr>
        <w:t>or</w:t>
      </w:r>
      <w:r w:rsidRPr="00875284">
        <w:rPr>
          <w:rFonts w:cstheme="minorHAnsi"/>
          <w:szCs w:val="20"/>
        </w:rPr>
        <w:t xml:space="preserve"> 37% of all hospital separations.</w:t>
      </w:r>
      <w:r w:rsidRPr="000D17F7">
        <w:rPr>
          <w:rStyle w:val="FootnoteReference"/>
        </w:rPr>
        <w:footnoteReference w:id="3"/>
      </w:r>
    </w:p>
    <w:p w14:paraId="43E05E44" w14:textId="0FA6A4DA" w:rsidR="00CB67ED" w:rsidRDefault="00C67C22" w:rsidP="00E87CBF">
      <w:pPr>
        <w:rPr>
          <w:rFonts w:cstheme="minorHAnsi"/>
          <w:szCs w:val="20"/>
        </w:rPr>
      </w:pPr>
      <w:r w:rsidRPr="005B2145">
        <w:rPr>
          <w:rFonts w:cstheme="minorHAnsi"/>
          <w:szCs w:val="20"/>
        </w:rPr>
        <w:t xml:space="preserve">The </w:t>
      </w:r>
      <w:r w:rsidR="000A3D34" w:rsidRPr="005B2145">
        <w:rPr>
          <w:rFonts w:cstheme="minorHAnsi"/>
          <w:i/>
          <w:iCs/>
        </w:rPr>
        <w:t>Health Services Act 1988</w:t>
      </w:r>
      <w:r w:rsidR="000A3D34" w:rsidRPr="000A3D34">
        <w:rPr>
          <w:rFonts w:cstheme="minorHAnsi"/>
        </w:rPr>
        <w:t xml:space="preserve"> (the Act) </w:t>
      </w:r>
      <w:r w:rsidRPr="005B2145">
        <w:rPr>
          <w:rFonts w:cstheme="minorHAnsi"/>
          <w:szCs w:val="20"/>
        </w:rPr>
        <w:t xml:space="preserve">(primarily Parts 4 and 5A) and </w:t>
      </w:r>
      <w:r w:rsidR="000A3D34" w:rsidRPr="000A3D34">
        <w:rPr>
          <w:rFonts w:cstheme="minorHAnsi"/>
        </w:rPr>
        <w:t>Health Services (Health Service Establishments) Regulations 2013 (the Regulations)</w:t>
      </w:r>
      <w:r w:rsidR="000A3D34">
        <w:rPr>
          <w:rFonts w:cstheme="minorHAnsi"/>
        </w:rPr>
        <w:t xml:space="preserve"> </w:t>
      </w:r>
      <w:r w:rsidR="00925008" w:rsidRPr="00925008">
        <w:rPr>
          <w:rFonts w:cstheme="minorHAnsi"/>
        </w:rPr>
        <w:t>for the safety and quality of patient care in Victoria's private hospitals and day procedure centres</w:t>
      </w:r>
      <w:r w:rsidR="00430379">
        <w:t xml:space="preserve">. </w:t>
      </w:r>
      <w:r w:rsidRPr="005B2145">
        <w:rPr>
          <w:rFonts w:cstheme="minorHAnsi"/>
          <w:szCs w:val="20"/>
        </w:rPr>
        <w:t xml:space="preserve">Under the Act and Regulations, the Secretary to the Department of Health (the department) is the regulator of </w:t>
      </w:r>
      <w:r w:rsidR="005A2F80">
        <w:rPr>
          <w:rFonts w:cstheme="minorHAnsi"/>
          <w:szCs w:val="20"/>
        </w:rPr>
        <w:t>HSEs</w:t>
      </w:r>
      <w:r w:rsidRPr="005B2145">
        <w:rPr>
          <w:rFonts w:cstheme="minorHAnsi"/>
          <w:szCs w:val="20"/>
        </w:rPr>
        <w:t xml:space="preserve">. A </w:t>
      </w:r>
      <w:r w:rsidR="00AD2709">
        <w:rPr>
          <w:rFonts w:cstheme="minorHAnsi"/>
          <w:szCs w:val="20"/>
        </w:rPr>
        <w:t>HSE</w:t>
      </w:r>
      <w:r w:rsidRPr="005B2145">
        <w:rPr>
          <w:rFonts w:cstheme="minorHAnsi"/>
          <w:szCs w:val="20"/>
        </w:rPr>
        <w:t xml:space="preserve"> cannot commence operation (or continue operation), nor admit patients unless the premises are registered under the Act. </w:t>
      </w:r>
    </w:p>
    <w:p w14:paraId="31CA5CA2" w14:textId="67D76F3A" w:rsidR="005C3692" w:rsidRDefault="005C3692" w:rsidP="00E87CBF">
      <w:pPr>
        <w:rPr>
          <w:rFonts w:cstheme="minorHAnsi"/>
          <w:szCs w:val="20"/>
        </w:rPr>
      </w:pPr>
      <w:r w:rsidRPr="005C3692">
        <w:rPr>
          <w:rFonts w:cstheme="minorHAnsi"/>
          <w:szCs w:val="20"/>
        </w:rPr>
        <w:t xml:space="preserve">The Regulations are due to sunset on </w:t>
      </w:r>
      <w:r>
        <w:rPr>
          <w:rFonts w:cstheme="minorHAnsi"/>
          <w:szCs w:val="20"/>
        </w:rPr>
        <w:t>1 September 2024</w:t>
      </w:r>
      <w:r w:rsidRPr="005C3692">
        <w:rPr>
          <w:rFonts w:cstheme="minorHAnsi"/>
          <w:szCs w:val="20"/>
        </w:rPr>
        <w:t xml:space="preserve"> and a Regulatory Impact</w:t>
      </w:r>
      <w:r>
        <w:rPr>
          <w:rFonts w:cstheme="minorHAnsi"/>
          <w:szCs w:val="20"/>
        </w:rPr>
        <w:t xml:space="preserve"> </w:t>
      </w:r>
      <w:r w:rsidRPr="005C3692">
        <w:rPr>
          <w:rFonts w:cstheme="minorHAnsi"/>
          <w:szCs w:val="20"/>
        </w:rPr>
        <w:t xml:space="preserve">Statement (RIS) </w:t>
      </w:r>
      <w:r w:rsidR="00932568">
        <w:rPr>
          <w:rFonts w:cstheme="minorHAnsi"/>
          <w:szCs w:val="20"/>
        </w:rPr>
        <w:t xml:space="preserve">is </w:t>
      </w:r>
      <w:r w:rsidR="00932568" w:rsidRPr="005C3692">
        <w:rPr>
          <w:rFonts w:cstheme="minorHAnsi"/>
          <w:szCs w:val="20"/>
        </w:rPr>
        <w:t>require</w:t>
      </w:r>
      <w:r w:rsidR="00932568">
        <w:rPr>
          <w:rFonts w:cstheme="minorHAnsi"/>
          <w:szCs w:val="20"/>
        </w:rPr>
        <w:t>d</w:t>
      </w:r>
      <w:r w:rsidR="00932568" w:rsidRPr="005C3692">
        <w:rPr>
          <w:rFonts w:cstheme="minorHAnsi"/>
          <w:szCs w:val="20"/>
        </w:rPr>
        <w:t xml:space="preserve"> </w:t>
      </w:r>
      <w:r w:rsidRPr="005C3692">
        <w:rPr>
          <w:rFonts w:cstheme="minorHAnsi"/>
          <w:szCs w:val="20"/>
        </w:rPr>
        <w:t>to support development of the</w:t>
      </w:r>
      <w:r w:rsidR="00030BB4" w:rsidRPr="00030BB4">
        <w:t xml:space="preserve"> </w:t>
      </w:r>
      <w:r w:rsidR="00030BB4" w:rsidRPr="00030BB4">
        <w:rPr>
          <w:rFonts w:cstheme="minorHAnsi"/>
          <w:szCs w:val="20"/>
        </w:rPr>
        <w:t>Health Services (Health Service Establishments) Regulations</w:t>
      </w:r>
      <w:r w:rsidR="000E0933">
        <w:rPr>
          <w:rFonts w:cstheme="minorHAnsi"/>
          <w:szCs w:val="20"/>
        </w:rPr>
        <w:t xml:space="preserve"> </w:t>
      </w:r>
      <w:r w:rsidR="00030BB4" w:rsidRPr="00030BB4">
        <w:rPr>
          <w:rFonts w:cstheme="minorHAnsi"/>
          <w:szCs w:val="20"/>
        </w:rPr>
        <w:t xml:space="preserve">2024 </w:t>
      </w:r>
      <w:r w:rsidRPr="005C3692">
        <w:rPr>
          <w:rFonts w:cstheme="minorHAnsi"/>
          <w:szCs w:val="20"/>
        </w:rPr>
        <w:t>(the proposed Regulations).</w:t>
      </w:r>
    </w:p>
    <w:p w14:paraId="558DD325" w14:textId="176DA4BB" w:rsidR="00CB67ED" w:rsidRDefault="001475D0" w:rsidP="00E87CBF">
      <w:pPr>
        <w:rPr>
          <w:rFonts w:cstheme="minorHAnsi"/>
          <w:szCs w:val="20"/>
        </w:rPr>
      </w:pPr>
      <w:r w:rsidRPr="00CB67ED">
        <w:rPr>
          <w:rFonts w:cstheme="minorHAnsi"/>
          <w:szCs w:val="20"/>
        </w:rPr>
        <w:t xml:space="preserve">The </w:t>
      </w:r>
      <w:r w:rsidR="00CB67ED" w:rsidRPr="00CB67ED">
        <w:rPr>
          <w:rFonts w:cstheme="minorHAnsi"/>
          <w:szCs w:val="20"/>
        </w:rPr>
        <w:t>Department of Health (the department)</w:t>
      </w:r>
      <w:r w:rsidRPr="00CB67ED">
        <w:rPr>
          <w:rFonts w:cstheme="minorHAnsi"/>
          <w:szCs w:val="20"/>
        </w:rPr>
        <w:t xml:space="preserve"> has undertaken a </w:t>
      </w:r>
      <w:r w:rsidR="00B7721B">
        <w:rPr>
          <w:rFonts w:cstheme="minorHAnsi"/>
          <w:szCs w:val="20"/>
        </w:rPr>
        <w:t xml:space="preserve">sunsetting </w:t>
      </w:r>
      <w:r w:rsidR="00C67C22" w:rsidRPr="005B2145">
        <w:rPr>
          <w:rFonts w:cstheme="minorHAnsi"/>
          <w:szCs w:val="20"/>
        </w:rPr>
        <w:t>review</w:t>
      </w:r>
      <w:r w:rsidR="00B7721B">
        <w:rPr>
          <w:rFonts w:cstheme="minorHAnsi"/>
          <w:szCs w:val="20"/>
        </w:rPr>
        <w:t>, which has informed the development of this RIS,</w:t>
      </w:r>
      <w:r w:rsidR="00C67C22" w:rsidRPr="005B2145">
        <w:rPr>
          <w:rFonts w:cstheme="minorHAnsi"/>
          <w:szCs w:val="20"/>
        </w:rPr>
        <w:t xml:space="preserve"> </w:t>
      </w:r>
      <w:r w:rsidRPr="00CB67ED">
        <w:rPr>
          <w:rFonts w:cstheme="minorHAnsi"/>
          <w:szCs w:val="20"/>
        </w:rPr>
        <w:t>to determine</w:t>
      </w:r>
      <w:r w:rsidR="00C67C22" w:rsidRPr="005B2145">
        <w:rPr>
          <w:rFonts w:cstheme="minorHAnsi"/>
          <w:szCs w:val="20"/>
        </w:rPr>
        <w:t xml:space="preserve"> whether the Regulations are fit for purpose and meet the objectives of the regulatory scheme. </w:t>
      </w:r>
    </w:p>
    <w:p w14:paraId="4D6D8D1D" w14:textId="4ED304B9" w:rsidR="001F2783" w:rsidRPr="005B2145" w:rsidRDefault="00C9501E" w:rsidP="000259FB">
      <w:pPr>
        <w:rPr>
          <w:rFonts w:ascii="Arial" w:eastAsia="Times" w:hAnsi="Arial" w:cstheme="minorHAnsi"/>
          <w:sz w:val="21"/>
          <w:szCs w:val="20"/>
          <w:lang w:val="en-AU"/>
        </w:rPr>
      </w:pPr>
      <w:r>
        <w:t>Th</w:t>
      </w:r>
      <w:r w:rsidR="00A519EF">
        <w:t>e sunsetting review</w:t>
      </w:r>
      <w:r w:rsidR="004F6151">
        <w:t xml:space="preserve"> process </w:t>
      </w:r>
      <w:r>
        <w:t xml:space="preserve">has included extensive policy </w:t>
      </w:r>
      <w:r w:rsidR="00A519EF">
        <w:t>analysis</w:t>
      </w:r>
      <w:r w:rsidR="001469F7">
        <w:t xml:space="preserve"> of</w:t>
      </w:r>
      <w:r>
        <w:t xml:space="preserve"> key elements of the Regulations</w:t>
      </w:r>
      <w:r w:rsidR="000259FB">
        <w:t>. A</w:t>
      </w:r>
      <w:r w:rsidR="001469F7" w:rsidRPr="00876409">
        <w:t xml:space="preserve"> discussion paper</w:t>
      </w:r>
      <w:r w:rsidR="001469F7">
        <w:t xml:space="preserve"> </w:t>
      </w:r>
      <w:r w:rsidR="00230624">
        <w:t>seek</w:t>
      </w:r>
      <w:r w:rsidR="000259FB">
        <w:t>ing</w:t>
      </w:r>
      <w:r>
        <w:t xml:space="preserve"> </w:t>
      </w:r>
      <w:r w:rsidRPr="00876409">
        <w:t xml:space="preserve">stakeholder </w:t>
      </w:r>
      <w:r w:rsidRPr="00E87CBF">
        <w:rPr>
          <w:rFonts w:cstheme="minorHAnsi"/>
          <w:szCs w:val="20"/>
        </w:rPr>
        <w:t>feedback</w:t>
      </w:r>
      <w:r>
        <w:t xml:space="preserve"> on potential reforms to the Regulations</w:t>
      </w:r>
      <w:r w:rsidR="000259FB">
        <w:t xml:space="preserve"> was published in August 2023</w:t>
      </w:r>
      <w:r>
        <w:t>.</w:t>
      </w:r>
      <w:r>
        <w:rPr>
          <w:rStyle w:val="FootnoteReference"/>
        </w:rPr>
        <w:footnoteReference w:id="4"/>
      </w:r>
      <w:r>
        <w:t xml:space="preserve"> </w:t>
      </w:r>
      <w:r w:rsidR="001F2783" w:rsidRPr="005B2145">
        <w:rPr>
          <w:rFonts w:cstheme="minorHAnsi"/>
          <w:szCs w:val="20"/>
        </w:rPr>
        <w:t xml:space="preserve">Following </w:t>
      </w:r>
      <w:r w:rsidR="00D5586F">
        <w:rPr>
          <w:rFonts w:cstheme="minorHAnsi"/>
          <w:szCs w:val="20"/>
        </w:rPr>
        <w:t xml:space="preserve">consideration of the </w:t>
      </w:r>
      <w:r w:rsidR="001F2783" w:rsidRPr="005B2145">
        <w:rPr>
          <w:rFonts w:cstheme="minorHAnsi"/>
          <w:szCs w:val="20"/>
        </w:rPr>
        <w:t xml:space="preserve">stakeholder engagement led by the </w:t>
      </w:r>
      <w:r w:rsidR="00CB67ED" w:rsidRPr="000259FB">
        <w:rPr>
          <w:rFonts w:cstheme="minorHAnsi"/>
          <w:szCs w:val="20"/>
        </w:rPr>
        <w:t>department</w:t>
      </w:r>
      <w:r w:rsidR="000259FB">
        <w:rPr>
          <w:rFonts w:cstheme="minorHAnsi"/>
          <w:szCs w:val="20"/>
        </w:rPr>
        <w:t xml:space="preserve"> and </w:t>
      </w:r>
      <w:r w:rsidR="00D5586F">
        <w:rPr>
          <w:rFonts w:cstheme="minorHAnsi"/>
          <w:szCs w:val="20"/>
        </w:rPr>
        <w:t xml:space="preserve">an </w:t>
      </w:r>
      <w:r w:rsidR="000259FB">
        <w:rPr>
          <w:rFonts w:cstheme="minorHAnsi"/>
          <w:szCs w:val="20"/>
        </w:rPr>
        <w:t>analysis of options</w:t>
      </w:r>
      <w:r w:rsidR="001F2783" w:rsidRPr="005B2145">
        <w:rPr>
          <w:rFonts w:cstheme="minorHAnsi"/>
          <w:szCs w:val="20"/>
        </w:rPr>
        <w:t>, this RIS presents the case for remaking the Regulations</w:t>
      </w:r>
      <w:r w:rsidR="009022F8" w:rsidRPr="005B2145">
        <w:rPr>
          <w:rFonts w:cstheme="minorHAnsi"/>
          <w:szCs w:val="20"/>
        </w:rPr>
        <w:t>, with a</w:t>
      </w:r>
      <w:r w:rsidR="009022F8" w:rsidRPr="00737406">
        <w:rPr>
          <w:rFonts w:cstheme="minorHAnsi"/>
          <w:szCs w:val="20"/>
        </w:rPr>
        <w:t xml:space="preserve"> </w:t>
      </w:r>
      <w:r w:rsidR="009022F8" w:rsidRPr="005B2145">
        <w:rPr>
          <w:rFonts w:cstheme="minorHAnsi"/>
          <w:szCs w:val="20"/>
        </w:rPr>
        <w:t>number of targeted improvements</w:t>
      </w:r>
      <w:r w:rsidR="002F2029">
        <w:rPr>
          <w:rFonts w:cstheme="minorHAnsi"/>
          <w:szCs w:val="20"/>
        </w:rPr>
        <w:t xml:space="preserve"> to address issues that arose in the review</w:t>
      </w:r>
      <w:r w:rsidR="00A32800">
        <w:rPr>
          <w:rFonts w:cstheme="minorHAnsi"/>
          <w:szCs w:val="20"/>
        </w:rPr>
        <w:t xml:space="preserve">. </w:t>
      </w:r>
      <w:r w:rsidR="002F2029">
        <w:rPr>
          <w:rFonts w:cstheme="minorHAnsi"/>
          <w:szCs w:val="20"/>
        </w:rPr>
        <w:t xml:space="preserve">As set out below a further period of consultation and policy development will be undertaken to inform a second set of updates to the Regulations to address other issues that arose in the review. </w:t>
      </w:r>
      <w:r w:rsidR="00A32800">
        <w:rPr>
          <w:rFonts w:cstheme="minorHAnsi"/>
          <w:szCs w:val="20"/>
        </w:rPr>
        <w:t>This will</w:t>
      </w:r>
      <w:r w:rsidR="009022F8" w:rsidRPr="00737406">
        <w:rPr>
          <w:rFonts w:cstheme="minorHAnsi"/>
          <w:szCs w:val="20"/>
        </w:rPr>
        <w:t xml:space="preserve"> </w:t>
      </w:r>
      <w:r w:rsidR="009022F8" w:rsidRPr="005B2145">
        <w:rPr>
          <w:rFonts w:cstheme="minorHAnsi"/>
          <w:szCs w:val="20"/>
        </w:rPr>
        <w:t xml:space="preserve">ensure the Act and Regulations can continue to operate as intended and provide for </w:t>
      </w:r>
      <w:r w:rsidR="002F2029">
        <w:rPr>
          <w:rFonts w:cstheme="minorHAnsi"/>
          <w:szCs w:val="20"/>
        </w:rPr>
        <w:t>foundational</w:t>
      </w:r>
      <w:r w:rsidR="002F2029" w:rsidRPr="005B2145">
        <w:rPr>
          <w:rFonts w:cstheme="minorHAnsi"/>
          <w:szCs w:val="20"/>
        </w:rPr>
        <w:t xml:space="preserve"> </w:t>
      </w:r>
      <w:r w:rsidR="009022F8" w:rsidRPr="005B2145">
        <w:rPr>
          <w:rFonts w:cstheme="minorHAnsi"/>
          <w:szCs w:val="20"/>
        </w:rPr>
        <w:t>requirements for the safety and quality of patient care.</w:t>
      </w:r>
      <w:r w:rsidR="001F2783" w:rsidRPr="005B2145">
        <w:rPr>
          <w:rFonts w:cstheme="minorHAnsi"/>
          <w:szCs w:val="20"/>
        </w:rPr>
        <w:t xml:space="preserve"> </w:t>
      </w:r>
    </w:p>
    <w:p w14:paraId="3EF49A5C" w14:textId="07E15061" w:rsidR="001F4FFD" w:rsidRDefault="002262F9" w:rsidP="00E87CBF">
      <w:pPr>
        <w:rPr>
          <w:rFonts w:cstheme="minorHAnsi"/>
        </w:rPr>
      </w:pPr>
      <w:r w:rsidRPr="005B2145">
        <w:rPr>
          <w:rFonts w:cstheme="minorHAnsi"/>
        </w:rPr>
        <w:t xml:space="preserve">The Act and the Regulations for private hospitals and day procedure centres </w:t>
      </w:r>
      <w:r w:rsidRPr="00E87CBF">
        <w:rPr>
          <w:rFonts w:cstheme="minorHAnsi"/>
          <w:szCs w:val="20"/>
        </w:rPr>
        <w:t>were</w:t>
      </w:r>
      <w:r w:rsidRPr="005B2145">
        <w:rPr>
          <w:rFonts w:cstheme="minorHAnsi"/>
        </w:rPr>
        <w:t xml:space="preserve"> last significantly reviewed and amended in </w:t>
      </w:r>
      <w:r w:rsidR="006F2286">
        <w:rPr>
          <w:rFonts w:cstheme="minorHAnsi"/>
        </w:rPr>
        <w:t xml:space="preserve">2017 and </w:t>
      </w:r>
      <w:r w:rsidRPr="005B2145">
        <w:rPr>
          <w:rFonts w:cstheme="minorHAnsi"/>
        </w:rPr>
        <w:t xml:space="preserve">2018. This was in response to </w:t>
      </w:r>
      <w:r w:rsidRPr="005B2145">
        <w:rPr>
          <w:rFonts w:cstheme="minorHAnsi"/>
          <w:i/>
          <w:iCs/>
        </w:rPr>
        <w:t>Targeting Zero – supporting the Victorian hospital system to eliminate avoidable harm and strengthen quality of care: Report of the Review of Hospital Safety and Quality Assurance in Victoria</w:t>
      </w:r>
      <w:r w:rsidRPr="005B2145">
        <w:rPr>
          <w:rFonts w:cstheme="minorHAnsi"/>
        </w:rPr>
        <w:t xml:space="preserve"> (Targeting Zero Report)</w:t>
      </w:r>
      <w:r w:rsidRPr="000D17F7">
        <w:rPr>
          <w:rStyle w:val="FootnoteReference"/>
        </w:rPr>
        <w:footnoteReference w:id="5"/>
      </w:r>
      <w:r w:rsidRPr="005B2145">
        <w:rPr>
          <w:rFonts w:cstheme="minorHAnsi"/>
        </w:rPr>
        <w:t xml:space="preserve">, which </w:t>
      </w:r>
      <w:r w:rsidRPr="005B2145">
        <w:rPr>
          <w:rFonts w:cstheme="minorHAnsi"/>
        </w:rPr>
        <w:lastRenderedPageBreak/>
        <w:t xml:space="preserve">recommended a range of improvements to the hospital sector overall. The 2018 amendments </w:t>
      </w:r>
      <w:r w:rsidR="00D0440F">
        <w:rPr>
          <w:rFonts w:cstheme="minorHAnsi"/>
        </w:rPr>
        <w:t xml:space="preserve">to the Regulations </w:t>
      </w:r>
      <w:r w:rsidRPr="005B2145">
        <w:rPr>
          <w:rFonts w:cstheme="minorHAnsi"/>
        </w:rPr>
        <w:t xml:space="preserve">were designed to reduce the risk of patient harm. </w:t>
      </w:r>
    </w:p>
    <w:p w14:paraId="57506E44" w14:textId="77777777" w:rsidR="00A9469C" w:rsidRPr="001E347D" w:rsidRDefault="00A9469C" w:rsidP="00E043F5">
      <w:pPr>
        <w:rPr>
          <w:rStyle w:val="Strong"/>
        </w:rPr>
      </w:pPr>
      <w:r w:rsidRPr="001E347D">
        <w:rPr>
          <w:rStyle w:val="Strong"/>
        </w:rPr>
        <w:t xml:space="preserve">Problem analysis </w:t>
      </w:r>
    </w:p>
    <w:p w14:paraId="77E5ED4C" w14:textId="192192A2" w:rsidR="00B366BF" w:rsidRPr="00047E83" w:rsidRDefault="00B366BF" w:rsidP="00B366BF">
      <w:pPr>
        <w:spacing w:before="120"/>
        <w:jc w:val="both"/>
        <w:rPr>
          <w:bCs/>
          <w:szCs w:val="20"/>
        </w:rPr>
      </w:pPr>
      <w:r>
        <w:rPr>
          <w:bCs/>
          <w:szCs w:val="20"/>
        </w:rPr>
        <w:t>The Regulations</w:t>
      </w:r>
      <w:r w:rsidR="00B7082F">
        <w:rPr>
          <w:bCs/>
          <w:szCs w:val="20"/>
        </w:rPr>
        <w:t xml:space="preserve"> in their current form</w:t>
      </w:r>
      <w:r w:rsidRPr="00047E83">
        <w:rPr>
          <w:bCs/>
          <w:szCs w:val="20"/>
        </w:rPr>
        <w:t xml:space="preserve"> aim to address two main (and related) problems:</w:t>
      </w:r>
    </w:p>
    <w:p w14:paraId="4ACD6236" w14:textId="77777777" w:rsidR="00B366BF" w:rsidRPr="001F4FFD" w:rsidRDefault="00B366BF" w:rsidP="005B2145">
      <w:pPr>
        <w:pStyle w:val="ListBullet"/>
        <w:numPr>
          <w:ilvl w:val="0"/>
          <w:numId w:val="70"/>
        </w:numPr>
      </w:pPr>
      <w:r w:rsidRPr="001F4FFD">
        <w:t xml:space="preserve">An underlying knowledge, information and power imbalance between patients and HSEs. </w:t>
      </w:r>
    </w:p>
    <w:p w14:paraId="443D9725" w14:textId="77777777" w:rsidR="00B366BF" w:rsidRPr="001F4FFD" w:rsidRDefault="00B366BF" w:rsidP="005B2145">
      <w:pPr>
        <w:pStyle w:val="ListBullet"/>
        <w:numPr>
          <w:ilvl w:val="0"/>
          <w:numId w:val="70"/>
        </w:numPr>
      </w:pPr>
      <w:r w:rsidRPr="001F4FFD">
        <w:t>The need for system-wide information and system management.</w:t>
      </w:r>
    </w:p>
    <w:p w14:paraId="08B409B5" w14:textId="795B0F8C" w:rsidR="00E3213C" w:rsidRDefault="00B366BF" w:rsidP="00B366BF">
      <w:r>
        <w:t>While most healthcare in Victoria leads to good safety and quality outcomes, this is not always the case</w:t>
      </w:r>
      <w:r w:rsidR="008F271C">
        <w:t>. P</w:t>
      </w:r>
      <w:r>
        <w:t xml:space="preserve">reventable adverse events do occur across the health system. Patients are </w:t>
      </w:r>
      <w:r w:rsidR="000A662F">
        <w:t xml:space="preserve">not able to assess and control many relevant risk factors </w:t>
      </w:r>
      <w:r>
        <w:t xml:space="preserve">when seeking </w:t>
      </w:r>
      <w:r w:rsidR="00C44E27">
        <w:t xml:space="preserve">and receiving </w:t>
      </w:r>
      <w:r>
        <w:t>treatment</w:t>
      </w:r>
      <w:r w:rsidR="00AC2A67">
        <w:t>,</w:t>
      </w:r>
      <w:r w:rsidR="00786128">
        <w:t xml:space="preserve"> </w:t>
      </w:r>
      <w:r w:rsidR="00F038F9">
        <w:t>so they</w:t>
      </w:r>
      <w:r w:rsidR="00786128">
        <w:t xml:space="preserve"> rely on </w:t>
      </w:r>
      <w:r w:rsidR="00F038F9">
        <w:t>effective safety and quality</w:t>
      </w:r>
      <w:r w:rsidR="000A662F">
        <w:t xml:space="preserve"> systems to be in place </w:t>
      </w:r>
      <w:r w:rsidR="00AC2A97">
        <w:t xml:space="preserve">(at the facility and health-system level) </w:t>
      </w:r>
      <w:r w:rsidR="000A662F">
        <w:t>to ensure risk of harm is minimised</w:t>
      </w:r>
      <w:r>
        <w:t>.</w:t>
      </w:r>
    </w:p>
    <w:p w14:paraId="1754B63E" w14:textId="1FA602A7" w:rsidR="00E40795" w:rsidRPr="005B2145" w:rsidRDefault="00E40795" w:rsidP="00B366BF">
      <w:r w:rsidRPr="00E40795">
        <w:t xml:space="preserve">Additionally, if the Regulations were allowed to expire and no replacement Regulations put in place, the Act would not be able to operate as intended. For example, the registration scheme defined in the Act would not have meaning without the prescribed health services, </w:t>
      </w:r>
      <w:r w:rsidR="00EF0B97">
        <w:t xml:space="preserve">and </w:t>
      </w:r>
      <w:r w:rsidRPr="00E40795">
        <w:t>forms and fee schedules set out in the Regulations and more detailed foundational quality and safety requirements would not be imposed or enforceable. This would increase the risks to the safety and quality of care of patients receiving health services in HSEs.</w:t>
      </w:r>
    </w:p>
    <w:p w14:paraId="64E02F7C" w14:textId="170DCE56" w:rsidR="001F11EE" w:rsidRPr="001E347D" w:rsidRDefault="001F11EE" w:rsidP="00E043F5">
      <w:pPr>
        <w:rPr>
          <w:rStyle w:val="Strong"/>
        </w:rPr>
      </w:pPr>
      <w:r w:rsidRPr="001E347D">
        <w:rPr>
          <w:rStyle w:val="Strong"/>
        </w:rPr>
        <w:t>Objectives</w:t>
      </w:r>
    </w:p>
    <w:p w14:paraId="662044E0" w14:textId="77777777" w:rsidR="00963F27" w:rsidRDefault="00963F27" w:rsidP="00963F27">
      <w:r>
        <w:t xml:space="preserve">The proposed Regulations are made under the </w:t>
      </w:r>
      <w:r w:rsidRPr="00994FBA">
        <w:rPr>
          <w:i/>
        </w:rPr>
        <w:t>Health Services Act 1988</w:t>
      </w:r>
      <w:r>
        <w:t xml:space="preserve">, the </w:t>
      </w:r>
      <w:r w:rsidRPr="00726E89">
        <w:t xml:space="preserve">purpose of </w:t>
      </w:r>
      <w:r>
        <w:t>which</w:t>
      </w:r>
      <w:r w:rsidRPr="00726E89">
        <w:t xml:space="preserve"> is to make provision for the development of health services in Victoria, for the carrying on of hospitals and other health care agencies and related matters.</w:t>
      </w:r>
    </w:p>
    <w:p w14:paraId="7EFF3F5B" w14:textId="0F4485A7" w:rsidR="00963F27" w:rsidRDefault="00963F27" w:rsidP="00963F27">
      <w:r>
        <w:t>The prim</w:t>
      </w:r>
      <w:r w:rsidR="00A17968">
        <w:t>ary</w:t>
      </w:r>
      <w:r>
        <w:t xml:space="preserve"> objective of these Regulations is to provide for the safety and quality of care of patients receiving health services in </w:t>
      </w:r>
      <w:r w:rsidR="005A2F80">
        <w:t>HSEs</w:t>
      </w:r>
      <w:r>
        <w:t xml:space="preserve">. </w:t>
      </w:r>
    </w:p>
    <w:p w14:paraId="212E86A3" w14:textId="2F9F3C75" w:rsidR="00963F27" w:rsidRDefault="00963F27" w:rsidP="00963F27">
      <w:r>
        <w:t xml:space="preserve">The secondary objective of the Regulations is to prescribe fees, forms and other matters </w:t>
      </w:r>
      <w:r w:rsidR="00A1144A">
        <w:t xml:space="preserve">as </w:t>
      </w:r>
      <w:r>
        <w:t xml:space="preserve">required under the </w:t>
      </w:r>
      <w:r w:rsidRPr="000D5412">
        <w:rPr>
          <w:i/>
        </w:rPr>
        <w:t>Health Services Act 1988</w:t>
      </w:r>
      <w:r>
        <w:t xml:space="preserve"> in relation to </w:t>
      </w:r>
      <w:r w:rsidR="005A2F80">
        <w:t>HSEs</w:t>
      </w:r>
      <w:r>
        <w:t xml:space="preserve">. This provides the mechanisms by which </w:t>
      </w:r>
      <w:r w:rsidR="005A2F80">
        <w:t xml:space="preserve">HSEs </w:t>
      </w:r>
      <w:r>
        <w:t>meet their requirements under the Act.</w:t>
      </w:r>
    </w:p>
    <w:p w14:paraId="5E201F0D" w14:textId="23B4F6F4" w:rsidR="00A9469C" w:rsidRPr="001E347D" w:rsidRDefault="00AA7261" w:rsidP="00E043F5">
      <w:pPr>
        <w:rPr>
          <w:rStyle w:val="Strong"/>
        </w:rPr>
      </w:pPr>
      <w:r w:rsidRPr="001E347D">
        <w:rPr>
          <w:rStyle w:val="Strong"/>
        </w:rPr>
        <w:t>P</w:t>
      </w:r>
      <w:r w:rsidR="005720F6" w:rsidRPr="001E347D">
        <w:rPr>
          <w:rStyle w:val="Strong"/>
        </w:rPr>
        <w:t>referred option</w:t>
      </w:r>
      <w:r w:rsidRPr="001E347D">
        <w:rPr>
          <w:rStyle w:val="Strong"/>
        </w:rPr>
        <w:t xml:space="preserve"> and options analysis</w:t>
      </w:r>
    </w:p>
    <w:p w14:paraId="0B89417B" w14:textId="2DF7D63C" w:rsidR="000C0EC3" w:rsidRDefault="00485EA2" w:rsidP="00C57ED2">
      <w:r>
        <w:t>The department has undertaken</w:t>
      </w:r>
      <w:r w:rsidR="00C57ED2">
        <w:t xml:space="preserve"> detailed policy analysis</w:t>
      </w:r>
      <w:r w:rsidR="00BA6B8B">
        <w:t xml:space="preserve"> </w:t>
      </w:r>
      <w:r w:rsidR="00C57ED2" w:rsidRPr="00E87CBF">
        <w:rPr>
          <w:rFonts w:cstheme="minorHAnsi"/>
          <w:szCs w:val="20"/>
        </w:rPr>
        <w:t>across</w:t>
      </w:r>
      <w:r w:rsidR="00C57ED2">
        <w:t xml:space="preserve"> many elements of the Regulations</w:t>
      </w:r>
      <w:r w:rsidR="006A7F71">
        <w:t>. This</w:t>
      </w:r>
      <w:r w:rsidR="00EF7AC6">
        <w:t xml:space="preserve"> has</w:t>
      </w:r>
      <w:r w:rsidR="00C57ED2">
        <w:t xml:space="preserve"> draw</w:t>
      </w:r>
      <w:r w:rsidR="00EF7AC6">
        <w:t>n</w:t>
      </w:r>
      <w:r w:rsidR="00C57ED2">
        <w:t xml:space="preserve"> on research and stakeholder engagement on proposals</w:t>
      </w:r>
      <w:r w:rsidR="00EF7AC6">
        <w:t xml:space="preserve"> as </w:t>
      </w:r>
      <w:r w:rsidR="00C57ED2">
        <w:t>set out in the department’s discussion paper,</w:t>
      </w:r>
      <w:r>
        <w:t xml:space="preserve"> published </w:t>
      </w:r>
      <w:r w:rsidR="00935C08">
        <w:t xml:space="preserve">in </w:t>
      </w:r>
      <w:r>
        <w:t>August 2023.</w:t>
      </w:r>
      <w:r w:rsidR="00C57ED2">
        <w:t xml:space="preserve"> </w:t>
      </w:r>
    </w:p>
    <w:p w14:paraId="398ACB15" w14:textId="3DFCA2E1" w:rsidR="00DF3531" w:rsidRDefault="00FB616A" w:rsidP="00C57ED2">
      <w:r>
        <w:t>The preferred option is</w:t>
      </w:r>
      <w:r w:rsidR="00C57ED2">
        <w:t xml:space="preserve"> to remake the Regulations </w:t>
      </w:r>
      <w:r w:rsidR="00DF3531">
        <w:t xml:space="preserve">largely </w:t>
      </w:r>
      <w:r w:rsidR="00C57ED2">
        <w:t>in their current form and structure</w:t>
      </w:r>
      <w:r w:rsidR="003E4C5C">
        <w:t>,</w:t>
      </w:r>
      <w:r w:rsidR="00C77422">
        <w:t xml:space="preserve"> with t</w:t>
      </w:r>
      <w:r w:rsidR="00C57ED2">
        <w:t xml:space="preserve">argeted improvements </w:t>
      </w:r>
      <w:r w:rsidR="003E4C5C">
        <w:t>as</w:t>
      </w:r>
      <w:r w:rsidR="00C57ED2">
        <w:t xml:space="preserve"> </w:t>
      </w:r>
      <w:r w:rsidR="007632A5">
        <w:t xml:space="preserve">set out in Table </w:t>
      </w:r>
      <w:r w:rsidR="00A873F2">
        <w:t>i</w:t>
      </w:r>
      <w:r w:rsidR="00763588">
        <w:t xml:space="preserve"> below</w:t>
      </w:r>
      <w:r w:rsidR="007632A5">
        <w:t xml:space="preserve">. </w:t>
      </w:r>
      <w:r w:rsidR="00247CB3">
        <w:t>I</w:t>
      </w:r>
      <w:r w:rsidR="00DD7089">
        <w:t>n addition,</w:t>
      </w:r>
      <w:r w:rsidR="00935C08">
        <w:t xml:space="preserve"> reform proposals raised in the review and consultation, </w:t>
      </w:r>
      <w:r w:rsidR="00247CB3">
        <w:t>which related to workforce</w:t>
      </w:r>
      <w:r w:rsidR="00935C08">
        <w:t xml:space="preserve"> </w:t>
      </w:r>
      <w:r w:rsidR="00247CB3">
        <w:t>requirements in the Regulations and to the services that are prescribed and defined as in scope of the Regulations</w:t>
      </w:r>
      <w:r w:rsidR="00935C08">
        <w:t xml:space="preserve">, </w:t>
      </w:r>
      <w:r w:rsidR="00C53224">
        <w:t xml:space="preserve">are being </w:t>
      </w:r>
      <w:r w:rsidR="00935C08">
        <w:t>considered further</w:t>
      </w:r>
      <w:r w:rsidR="00C53224">
        <w:t xml:space="preserve">. </w:t>
      </w:r>
      <w:r w:rsidR="00CE57FF">
        <w:t>The department will undertake additional</w:t>
      </w:r>
      <w:r w:rsidR="00715D50">
        <w:t xml:space="preserve"> consultation and impact assessment </w:t>
      </w:r>
      <w:r w:rsidR="00C53224">
        <w:t>on these matters</w:t>
      </w:r>
      <w:r w:rsidR="00715D50">
        <w:t xml:space="preserve">. Any amendments to the Regulations to address those matters will be progressed </w:t>
      </w:r>
      <w:r w:rsidR="00C82C74">
        <w:t xml:space="preserve">separately </w:t>
      </w:r>
      <w:r w:rsidR="00715D50">
        <w:t>after the proposed updated Regulations are made</w:t>
      </w:r>
      <w:r w:rsidR="00982D4C">
        <w:t xml:space="preserve">, and </w:t>
      </w:r>
      <w:r w:rsidR="00982D4C" w:rsidRPr="00982D4C">
        <w:t>will then be subject to appropriate impact assessment.</w:t>
      </w:r>
    </w:p>
    <w:p w14:paraId="78E15DE9" w14:textId="57FB6491" w:rsidR="001A7E7F" w:rsidRDefault="00170A85" w:rsidP="00C57ED2">
      <w:r>
        <w:lastRenderedPageBreak/>
        <w:t xml:space="preserve">Options for changing the Regulations were </w:t>
      </w:r>
      <w:r w:rsidR="00755721">
        <w:t>compared with</w:t>
      </w:r>
      <w:r>
        <w:t xml:space="preserve"> </w:t>
      </w:r>
      <w:r w:rsidR="00EF2795">
        <w:t xml:space="preserve">a </w:t>
      </w:r>
      <w:r w:rsidR="005A2F80">
        <w:t>Base Case</w:t>
      </w:r>
      <w:r w:rsidR="00EF2795">
        <w:t xml:space="preserve"> (allowing the </w:t>
      </w:r>
      <w:r w:rsidR="00B7082F">
        <w:t>R</w:t>
      </w:r>
      <w:r w:rsidR="00EF2795">
        <w:t xml:space="preserve">egulations to sunset) and </w:t>
      </w:r>
      <w:r w:rsidR="00FA45CB">
        <w:t xml:space="preserve">an </w:t>
      </w:r>
      <w:r w:rsidR="00EF2795">
        <w:t>alternative option (</w:t>
      </w:r>
      <w:r w:rsidR="00B7082F">
        <w:t>remaking the Regulations with no targeted amendments)</w:t>
      </w:r>
      <w:r w:rsidR="00A355DC">
        <w:t>. These options were</w:t>
      </w:r>
      <w:r w:rsidR="00DF3531">
        <w:t xml:space="preserve"> </w:t>
      </w:r>
      <w:r w:rsidR="007632A5">
        <w:t>assessed against the</w:t>
      </w:r>
      <w:r w:rsidR="00EC0103">
        <w:t xml:space="preserve">ir impact on </w:t>
      </w:r>
      <w:r w:rsidR="007632A5">
        <w:t>the following criteria:</w:t>
      </w:r>
    </w:p>
    <w:p w14:paraId="198B8809" w14:textId="405B9126" w:rsidR="007632A5" w:rsidRDefault="009E376B" w:rsidP="007632A5">
      <w:pPr>
        <w:pStyle w:val="ListParagraph"/>
        <w:numPr>
          <w:ilvl w:val="0"/>
          <w:numId w:val="119"/>
        </w:numPr>
      </w:pPr>
      <w:r>
        <w:t>protects</w:t>
      </w:r>
      <w:r w:rsidR="007632A5">
        <w:t xml:space="preserve"> the safety and quality of care of patients receiving health services in </w:t>
      </w:r>
      <w:r w:rsidR="005A2F80">
        <w:t>HSEs</w:t>
      </w:r>
    </w:p>
    <w:p w14:paraId="7E232A59" w14:textId="1D24ED0A" w:rsidR="007632A5" w:rsidRDefault="009E376B" w:rsidP="007632A5">
      <w:pPr>
        <w:pStyle w:val="ListParagraph"/>
        <w:numPr>
          <w:ilvl w:val="0"/>
          <w:numId w:val="119"/>
        </w:numPr>
      </w:pPr>
      <w:r>
        <w:t>cost</w:t>
      </w:r>
      <w:r w:rsidR="007632A5">
        <w:t xml:space="preserve"> to </w:t>
      </w:r>
      <w:r w:rsidR="005A2F80">
        <w:t>HSEs</w:t>
      </w:r>
      <w:r w:rsidR="007632A5">
        <w:t>; and cost to government.</w:t>
      </w:r>
    </w:p>
    <w:p w14:paraId="57FD03D6" w14:textId="58F30E90" w:rsidR="007632A5" w:rsidRDefault="00D261EE" w:rsidP="007632A5">
      <w:r>
        <w:t>The</w:t>
      </w:r>
      <w:r w:rsidR="007632A5" w:rsidRPr="007632A5">
        <w:t xml:space="preserve"> proposed amendments </w:t>
      </w:r>
      <w:r>
        <w:t xml:space="preserve">to the Regulations </w:t>
      </w:r>
      <w:r w:rsidR="007632A5" w:rsidRPr="007632A5">
        <w:t>build on the program of regulatory reform that has been occurring in the Victorian health sector in recent years</w:t>
      </w:r>
      <w:r w:rsidR="0045498F">
        <w:t xml:space="preserve"> since the Targeting Zero Report.</w:t>
      </w:r>
    </w:p>
    <w:p w14:paraId="6A7E9D6C" w14:textId="48EA0CBB" w:rsidR="007632A5" w:rsidRDefault="007632A5" w:rsidP="007632A5">
      <w:pPr>
        <w:pStyle w:val="Caption"/>
      </w:pPr>
      <w:bookmarkStart w:id="6" w:name="_Ref162258867"/>
      <w:r>
        <w:t xml:space="preserve">Table </w:t>
      </w:r>
      <w:bookmarkEnd w:id="6"/>
      <w:r w:rsidR="00961289">
        <w:t>i</w:t>
      </w:r>
      <w:r w:rsidR="00D833F4" w:rsidRPr="007E03E8">
        <w:t xml:space="preserve"> </w:t>
      </w:r>
      <w:r w:rsidR="00437B6A" w:rsidRPr="001E347D">
        <w:t>Proposed amendments to the Regulations</w:t>
      </w:r>
    </w:p>
    <w:tbl>
      <w:tblPr>
        <w:tblStyle w:val="SapereTable"/>
        <w:tblW w:w="5000" w:type="pct"/>
        <w:tblLook w:val="04A0" w:firstRow="1" w:lastRow="0" w:firstColumn="1" w:lastColumn="0" w:noHBand="0" w:noVBand="1"/>
      </w:tblPr>
      <w:tblGrid>
        <w:gridCol w:w="1545"/>
        <w:gridCol w:w="7481"/>
      </w:tblGrid>
      <w:tr w:rsidR="0067124E" w14:paraId="794AF0EC" w14:textId="77777777" w:rsidTr="00466F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tcPr>
          <w:p w14:paraId="62589DC2" w14:textId="41C1035A" w:rsidR="0067124E" w:rsidRPr="0067124E" w:rsidRDefault="0067124E" w:rsidP="005B2145">
            <w:pPr>
              <w:keepNext/>
              <w:tabs>
                <w:tab w:val="left" w:pos="4172"/>
              </w:tabs>
              <w:spacing w:before="0"/>
              <w:rPr>
                <w:rFonts w:cstheme="minorHAnsi"/>
                <w:bCs/>
                <w:szCs w:val="20"/>
              </w:rPr>
            </w:pPr>
            <w:r w:rsidRPr="0067124E">
              <w:rPr>
                <w:rFonts w:cstheme="minorHAnsi"/>
                <w:bCs/>
                <w:szCs w:val="20"/>
              </w:rPr>
              <w:t>Topic area</w:t>
            </w:r>
          </w:p>
        </w:tc>
        <w:tc>
          <w:tcPr>
            <w:tcW w:w="4174" w:type="pct"/>
          </w:tcPr>
          <w:p w14:paraId="7CA8F84F" w14:textId="1270FF1C" w:rsidR="0067124E" w:rsidRPr="0067124E" w:rsidRDefault="009C5037" w:rsidP="005B2145">
            <w:pPr>
              <w:keepNext/>
              <w:tabs>
                <w:tab w:val="left" w:pos="4172"/>
              </w:tabs>
              <w:spacing w:before="0"/>
              <w:cnfStyle w:val="100000000000" w:firstRow="1" w:lastRow="0" w:firstColumn="0" w:lastColumn="0" w:oddVBand="0" w:evenVBand="0" w:oddHBand="0" w:evenHBand="0" w:firstRowFirstColumn="0" w:firstRowLastColumn="0" w:lastRowFirstColumn="0" w:lastRowLastColumn="0"/>
              <w:rPr>
                <w:rFonts w:cstheme="minorHAnsi"/>
                <w:bCs/>
                <w:szCs w:val="20"/>
              </w:rPr>
            </w:pPr>
            <w:r>
              <w:rPr>
                <w:rFonts w:cstheme="minorHAnsi"/>
                <w:bCs/>
                <w:szCs w:val="20"/>
              </w:rPr>
              <w:t>Proposed amendments</w:t>
            </w:r>
          </w:p>
        </w:tc>
      </w:tr>
      <w:tr w:rsidR="0067124E" w14:paraId="3149873D" w14:textId="77777777" w:rsidTr="00466F45">
        <w:tc>
          <w:tcPr>
            <w:cnfStyle w:val="001000000000" w:firstRow="0" w:lastRow="0" w:firstColumn="1" w:lastColumn="0" w:oddVBand="0" w:evenVBand="0" w:oddHBand="0" w:evenHBand="0" w:firstRowFirstColumn="0" w:firstRowLastColumn="0" w:lastRowFirstColumn="0" w:lastRowLastColumn="0"/>
            <w:tcW w:w="826" w:type="pct"/>
          </w:tcPr>
          <w:p w14:paraId="4B09823F" w14:textId="176D1E10" w:rsidR="0067124E" w:rsidRPr="002E22BB" w:rsidRDefault="0067124E" w:rsidP="00372E9D">
            <w:pPr>
              <w:spacing w:before="0"/>
              <w:rPr>
                <w:bCs/>
                <w:color w:val="auto"/>
              </w:rPr>
            </w:pPr>
            <w:r w:rsidRPr="002E22BB">
              <w:rPr>
                <w:bCs/>
                <w:color w:val="auto"/>
              </w:rPr>
              <w:t>Clinical governance</w:t>
            </w:r>
          </w:p>
        </w:tc>
        <w:tc>
          <w:tcPr>
            <w:tcW w:w="4174" w:type="pct"/>
          </w:tcPr>
          <w:p w14:paraId="6AC34A7C" w14:textId="43355DC0" w:rsidR="00C2466A" w:rsidRPr="002E22BB" w:rsidRDefault="00D2537F" w:rsidP="005B2145">
            <w:pPr>
              <w:spacing w:before="0"/>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Regulation 7A would be re-</w:t>
            </w:r>
            <w:r w:rsidR="001D0620" w:rsidRPr="002E22BB">
              <w:rPr>
                <w:color w:val="auto"/>
              </w:rPr>
              <w:t>made</w:t>
            </w:r>
            <w:r w:rsidRPr="002E22BB">
              <w:rPr>
                <w:color w:val="auto"/>
              </w:rPr>
              <w:t xml:space="preserve">, with </w:t>
            </w:r>
            <w:r w:rsidR="007A7FA5" w:rsidRPr="002E22BB">
              <w:rPr>
                <w:color w:val="auto"/>
              </w:rPr>
              <w:t xml:space="preserve">the following </w:t>
            </w:r>
            <w:r w:rsidRPr="002E22BB">
              <w:rPr>
                <w:color w:val="auto"/>
              </w:rPr>
              <w:t>amendments</w:t>
            </w:r>
            <w:r w:rsidR="006934AA" w:rsidRPr="002E22BB">
              <w:rPr>
                <w:color w:val="auto"/>
              </w:rPr>
              <w:t>:</w:t>
            </w:r>
          </w:p>
          <w:p w14:paraId="54FC7C14" w14:textId="45853527" w:rsidR="007F3A67" w:rsidRPr="002E22BB" w:rsidRDefault="005B355B" w:rsidP="007F3A67">
            <w:pPr>
              <w:pStyle w:val="ListParagraph"/>
              <w:numPr>
                <w:ilvl w:val="0"/>
                <w:numId w:val="96"/>
              </w:numPr>
              <w:spacing w:before="0"/>
              <w:ind w:left="314" w:hanging="284"/>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 xml:space="preserve">add regulations allowing the Secretary to review </w:t>
            </w:r>
            <w:r w:rsidR="00247CB3" w:rsidRPr="002E22BB">
              <w:rPr>
                <w:color w:val="auto"/>
              </w:rPr>
              <w:t xml:space="preserve">the </w:t>
            </w:r>
            <w:r w:rsidRPr="002E22BB">
              <w:rPr>
                <w:color w:val="auto"/>
              </w:rPr>
              <w:t xml:space="preserve">required </w:t>
            </w:r>
            <w:r w:rsidR="00247CB3" w:rsidRPr="002E22BB">
              <w:rPr>
                <w:color w:val="auto"/>
              </w:rPr>
              <w:t xml:space="preserve">clinical governance </w:t>
            </w:r>
            <w:r w:rsidRPr="002E22BB">
              <w:rPr>
                <w:color w:val="auto"/>
              </w:rPr>
              <w:t xml:space="preserve">protocols and </w:t>
            </w:r>
            <w:r w:rsidR="003E5C8B" w:rsidRPr="002E22BB">
              <w:rPr>
                <w:color w:val="auto"/>
              </w:rPr>
              <w:t xml:space="preserve">issue </w:t>
            </w:r>
            <w:r w:rsidRPr="002E22BB">
              <w:rPr>
                <w:color w:val="auto"/>
              </w:rPr>
              <w:t>directions for updates to the protocols</w:t>
            </w:r>
            <w:r w:rsidR="008114EF" w:rsidRPr="002E22BB">
              <w:rPr>
                <w:rStyle w:val="FootnoteReference"/>
                <w:color w:val="auto"/>
              </w:rPr>
              <w:footnoteReference w:id="6"/>
            </w:r>
            <w:r w:rsidRPr="002E22BB">
              <w:rPr>
                <w:color w:val="auto"/>
              </w:rPr>
              <w:t>.</w:t>
            </w:r>
            <w:r w:rsidR="007B0AA3" w:rsidRPr="002E22BB">
              <w:rPr>
                <w:color w:val="auto"/>
              </w:rPr>
              <w:t xml:space="preserve"> For transparency, the Secretary may have regard to best practice guidance that has been formally identified by the Secretary as relevant for such reviews</w:t>
            </w:r>
          </w:p>
          <w:p w14:paraId="46D6961C" w14:textId="68B5F258" w:rsidR="00262732" w:rsidRPr="002E22BB" w:rsidRDefault="00247CB3" w:rsidP="005B2145">
            <w:pPr>
              <w:pStyle w:val="ListParagraph"/>
              <w:numPr>
                <w:ilvl w:val="0"/>
                <w:numId w:val="96"/>
              </w:numPr>
              <w:spacing w:before="0"/>
              <w:ind w:left="314" w:hanging="284"/>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 xml:space="preserve">include </w:t>
            </w:r>
            <w:r w:rsidR="009A37A9" w:rsidRPr="002E22BB">
              <w:rPr>
                <w:color w:val="auto"/>
              </w:rPr>
              <w:t xml:space="preserve">additional matters </w:t>
            </w:r>
            <w:r w:rsidRPr="002E22BB">
              <w:rPr>
                <w:color w:val="auto"/>
              </w:rPr>
              <w:t>that must be addressed in the</w:t>
            </w:r>
            <w:r w:rsidR="00533956" w:rsidRPr="002E22BB">
              <w:rPr>
                <w:color w:val="auto"/>
              </w:rPr>
              <w:t xml:space="preserve"> protocols</w:t>
            </w:r>
            <w:r w:rsidR="007F3A67" w:rsidRPr="002E22BB">
              <w:rPr>
                <w:color w:val="auto"/>
              </w:rPr>
              <w:t xml:space="preserve"> that HSEs </w:t>
            </w:r>
            <w:r w:rsidRPr="002E22BB">
              <w:rPr>
                <w:color w:val="auto"/>
              </w:rPr>
              <w:t>are required to have in place</w:t>
            </w:r>
            <w:r w:rsidR="00372E9D" w:rsidRPr="002E22BB">
              <w:rPr>
                <w:color w:val="auto"/>
              </w:rPr>
              <w:t>.</w:t>
            </w:r>
          </w:p>
        </w:tc>
      </w:tr>
      <w:tr w:rsidR="0067124E" w14:paraId="2AE0AE28" w14:textId="77777777" w:rsidTr="00466F45">
        <w:tc>
          <w:tcPr>
            <w:cnfStyle w:val="001000000000" w:firstRow="0" w:lastRow="0" w:firstColumn="1" w:lastColumn="0" w:oddVBand="0" w:evenVBand="0" w:oddHBand="0" w:evenHBand="0" w:firstRowFirstColumn="0" w:firstRowLastColumn="0" w:lastRowFirstColumn="0" w:lastRowLastColumn="0"/>
            <w:tcW w:w="826" w:type="pct"/>
          </w:tcPr>
          <w:p w14:paraId="6CD60B8B" w14:textId="513B7105" w:rsidR="0067124E" w:rsidRPr="002E22BB" w:rsidRDefault="003C2F1A" w:rsidP="00372E9D">
            <w:pPr>
              <w:spacing w:before="0"/>
              <w:rPr>
                <w:bCs/>
                <w:color w:val="auto"/>
              </w:rPr>
            </w:pPr>
            <w:r w:rsidRPr="002E22BB">
              <w:rPr>
                <w:bCs/>
                <w:color w:val="auto"/>
              </w:rPr>
              <w:t xml:space="preserve">Sentinel events </w:t>
            </w:r>
            <w:r w:rsidR="00501D98" w:rsidRPr="002E22BB">
              <w:rPr>
                <w:bCs/>
                <w:color w:val="auto"/>
              </w:rPr>
              <w:t>reporting and r</w:t>
            </w:r>
            <w:r w:rsidR="0067124E" w:rsidRPr="002E22BB">
              <w:rPr>
                <w:bCs/>
                <w:color w:val="auto"/>
              </w:rPr>
              <w:t xml:space="preserve">eview </w:t>
            </w:r>
          </w:p>
        </w:tc>
        <w:tc>
          <w:tcPr>
            <w:tcW w:w="4174" w:type="pct"/>
          </w:tcPr>
          <w:p w14:paraId="3B2323A3" w14:textId="3DDCD675" w:rsidR="001626B6" w:rsidRPr="002E22BB" w:rsidRDefault="001626B6" w:rsidP="005B2145">
            <w:pPr>
              <w:pStyle w:val="ListParagraph"/>
              <w:numPr>
                <w:ilvl w:val="0"/>
                <w:numId w:val="96"/>
              </w:numPr>
              <w:spacing w:before="0"/>
              <w:ind w:left="314" w:hanging="284"/>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Amend regulation 46A to specify that sentinel events must be reported in the manner directed by the Secretary. It is intended that the Secretary will direct the SCV Online Portal as the mechanism for reporting</w:t>
            </w:r>
          </w:p>
          <w:p w14:paraId="6A85D246" w14:textId="710ED34C" w:rsidR="0067124E" w:rsidRPr="002E22BB" w:rsidRDefault="001626B6" w:rsidP="005B2145">
            <w:pPr>
              <w:pStyle w:val="ListParagraph"/>
              <w:numPr>
                <w:ilvl w:val="0"/>
                <w:numId w:val="96"/>
              </w:numPr>
              <w:spacing w:before="0" w:after="60"/>
              <w:ind w:left="314" w:hanging="284"/>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Insert a new provision that requires the proprietor of the HSE to ensure that each sentinel event is subject to a review and reports from the review are provided to the Secretary, with the review process requirements and timeframes for reporting to be specified by the Secretary. It is intended that the requirements to be specified will be those set out in the SCV Sentinel Events Guide and Adverse Patient Safety Event Policy</w:t>
            </w:r>
            <w:r w:rsidR="00D2325B" w:rsidRPr="002E22BB">
              <w:rPr>
                <w:color w:val="auto"/>
              </w:rPr>
              <w:t>.</w:t>
            </w:r>
          </w:p>
        </w:tc>
      </w:tr>
      <w:tr w:rsidR="0067124E" w14:paraId="09B32CD4" w14:textId="77777777" w:rsidTr="00466F45">
        <w:tc>
          <w:tcPr>
            <w:cnfStyle w:val="001000000000" w:firstRow="0" w:lastRow="0" w:firstColumn="1" w:lastColumn="0" w:oddVBand="0" w:evenVBand="0" w:oddHBand="0" w:evenHBand="0" w:firstRowFirstColumn="0" w:firstRowLastColumn="0" w:lastRowFirstColumn="0" w:lastRowLastColumn="0"/>
            <w:tcW w:w="826" w:type="pct"/>
          </w:tcPr>
          <w:p w14:paraId="08860F7F" w14:textId="6BBD3A05" w:rsidR="0067124E" w:rsidRPr="002E22BB" w:rsidRDefault="0067124E" w:rsidP="00372E9D">
            <w:pPr>
              <w:spacing w:before="0"/>
              <w:rPr>
                <w:bCs/>
                <w:color w:val="auto"/>
              </w:rPr>
            </w:pPr>
            <w:r w:rsidRPr="002E22BB">
              <w:rPr>
                <w:bCs/>
                <w:color w:val="auto"/>
              </w:rPr>
              <w:t>Admissions assessment</w:t>
            </w:r>
          </w:p>
        </w:tc>
        <w:tc>
          <w:tcPr>
            <w:tcW w:w="4174" w:type="pct"/>
          </w:tcPr>
          <w:p w14:paraId="3766D6AA" w14:textId="77777777" w:rsidR="00CD267E" w:rsidRPr="002E22BB" w:rsidRDefault="00CD267E" w:rsidP="005B2145">
            <w:pPr>
              <w:spacing w:before="0"/>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Regulation 20A would be remade with the following amendment:</w:t>
            </w:r>
          </w:p>
          <w:p w14:paraId="7F46095A" w14:textId="5567D41E" w:rsidR="00CD267E" w:rsidRPr="002E22BB" w:rsidRDefault="00372E9D" w:rsidP="005B2145">
            <w:pPr>
              <w:pStyle w:val="ListParagraph"/>
              <w:numPr>
                <w:ilvl w:val="0"/>
                <w:numId w:val="96"/>
              </w:numPr>
              <w:spacing w:before="0" w:after="60"/>
              <w:ind w:left="314" w:hanging="284"/>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c</w:t>
            </w:r>
            <w:r w:rsidR="00CD267E" w:rsidRPr="002E22BB">
              <w:rPr>
                <w:color w:val="auto"/>
              </w:rPr>
              <w:t>larify the pre-admission clinical risk assessment must be completed by a registered health practitioner</w:t>
            </w:r>
          </w:p>
          <w:p w14:paraId="3CE1BA7B" w14:textId="179AA651" w:rsidR="00CD267E" w:rsidRPr="002E22BB" w:rsidRDefault="00372E9D" w:rsidP="005B2145">
            <w:pPr>
              <w:pStyle w:val="ListParagraph"/>
              <w:numPr>
                <w:ilvl w:val="0"/>
                <w:numId w:val="96"/>
              </w:numPr>
              <w:spacing w:before="0" w:after="60"/>
              <w:ind w:left="314" w:hanging="284"/>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r</w:t>
            </w:r>
            <w:r w:rsidR="00CD267E" w:rsidRPr="002E22BB">
              <w:rPr>
                <w:color w:val="auto"/>
              </w:rPr>
              <w:t xml:space="preserve">equire </w:t>
            </w:r>
            <w:r w:rsidR="00DE6619" w:rsidRPr="002E22BB">
              <w:rPr>
                <w:color w:val="auto"/>
              </w:rPr>
              <w:t>the matters considered and assessed</w:t>
            </w:r>
            <w:r w:rsidR="00CD267E" w:rsidRPr="002E22BB">
              <w:rPr>
                <w:color w:val="auto"/>
              </w:rPr>
              <w:t xml:space="preserve"> </w:t>
            </w:r>
            <w:r w:rsidR="00B87C8C" w:rsidRPr="002E22BB">
              <w:rPr>
                <w:color w:val="auto"/>
              </w:rPr>
              <w:t>in the</w:t>
            </w:r>
            <w:r w:rsidR="00CD267E" w:rsidRPr="002E22BB">
              <w:rPr>
                <w:color w:val="auto"/>
              </w:rPr>
              <w:t xml:space="preserve"> pre-admission clinical risk assessment to be recorded (not just the results)</w:t>
            </w:r>
          </w:p>
          <w:p w14:paraId="1A0D423F" w14:textId="517FE0D5" w:rsidR="0067124E" w:rsidRPr="002E22BB" w:rsidRDefault="00372E9D" w:rsidP="005B2145">
            <w:pPr>
              <w:pStyle w:val="ListParagraph"/>
              <w:numPr>
                <w:ilvl w:val="0"/>
                <w:numId w:val="96"/>
              </w:numPr>
              <w:spacing w:before="0" w:after="60"/>
              <w:ind w:left="314" w:hanging="284"/>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c</w:t>
            </w:r>
            <w:r w:rsidR="00CD267E" w:rsidRPr="002E22BB">
              <w:rPr>
                <w:color w:val="auto"/>
              </w:rPr>
              <w:t>larify that for a HSE that does not formally admit patients, but which provides prescribed services, a pre-</w:t>
            </w:r>
            <w:r w:rsidR="00B20C3B" w:rsidRPr="002E22BB">
              <w:rPr>
                <w:color w:val="auto"/>
              </w:rPr>
              <w:t>presentation</w:t>
            </w:r>
            <w:r w:rsidR="00CD267E" w:rsidRPr="002E22BB">
              <w:rPr>
                <w:color w:val="auto"/>
              </w:rPr>
              <w:t xml:space="preserve"> clinical risk assessment must be completed and recorded at least 24 hours prior.</w:t>
            </w:r>
          </w:p>
        </w:tc>
      </w:tr>
      <w:tr w:rsidR="0067124E" w14:paraId="5594F28D" w14:textId="77777777" w:rsidTr="00466F45">
        <w:tc>
          <w:tcPr>
            <w:cnfStyle w:val="001000000000" w:firstRow="0" w:lastRow="0" w:firstColumn="1" w:lastColumn="0" w:oddVBand="0" w:evenVBand="0" w:oddHBand="0" w:evenHBand="0" w:firstRowFirstColumn="0" w:firstRowLastColumn="0" w:lastRowFirstColumn="0" w:lastRowLastColumn="0"/>
            <w:tcW w:w="826" w:type="pct"/>
          </w:tcPr>
          <w:p w14:paraId="39CB6E7F" w14:textId="6000A864" w:rsidR="0067124E" w:rsidRPr="002E22BB" w:rsidRDefault="0067124E" w:rsidP="00372E9D">
            <w:pPr>
              <w:spacing w:before="0"/>
              <w:rPr>
                <w:bCs/>
                <w:color w:val="auto"/>
              </w:rPr>
            </w:pPr>
            <w:r w:rsidRPr="002E22BB">
              <w:rPr>
                <w:bCs/>
                <w:color w:val="auto"/>
              </w:rPr>
              <w:t>Infringements</w:t>
            </w:r>
          </w:p>
        </w:tc>
        <w:tc>
          <w:tcPr>
            <w:tcW w:w="4174" w:type="pct"/>
          </w:tcPr>
          <w:p w14:paraId="4C5AE1CA" w14:textId="54A2B38E" w:rsidR="0067124E" w:rsidRPr="002E22BB" w:rsidRDefault="0036094D" w:rsidP="00372E9D">
            <w:pPr>
              <w:spacing w:before="0"/>
              <w:cnfStyle w:val="000000000000" w:firstRow="0" w:lastRow="0" w:firstColumn="0" w:lastColumn="0" w:oddVBand="0" w:evenVBand="0" w:oddHBand="0" w:evenHBand="0" w:firstRowFirstColumn="0" w:firstRowLastColumn="0" w:lastRowFirstColumn="0" w:lastRowLastColumn="0"/>
              <w:rPr>
                <w:color w:val="auto"/>
              </w:rPr>
            </w:pPr>
            <w:r w:rsidRPr="002E22BB">
              <w:rPr>
                <w:color w:val="auto"/>
              </w:rPr>
              <w:t>New infringemen</w:t>
            </w:r>
            <w:r w:rsidR="00D26B69" w:rsidRPr="002E22BB">
              <w:rPr>
                <w:color w:val="auto"/>
              </w:rPr>
              <w:t>t offences would be prescribed in the Regulations.</w:t>
            </w:r>
          </w:p>
        </w:tc>
      </w:tr>
      <w:tr w:rsidR="0067124E" w:rsidRPr="005C086D" w14:paraId="1E1380E7" w14:textId="77777777" w:rsidTr="00466F45">
        <w:tc>
          <w:tcPr>
            <w:cnfStyle w:val="001000000000" w:firstRow="0" w:lastRow="0" w:firstColumn="1" w:lastColumn="0" w:oddVBand="0" w:evenVBand="0" w:oddHBand="0" w:evenHBand="0" w:firstRowFirstColumn="0" w:firstRowLastColumn="0" w:lastRowFirstColumn="0" w:lastRowLastColumn="0"/>
            <w:tcW w:w="826" w:type="pct"/>
          </w:tcPr>
          <w:p w14:paraId="107CFE5C" w14:textId="68F34A0A" w:rsidR="0067124E" w:rsidRPr="002E22BB" w:rsidRDefault="000D0BE3" w:rsidP="00372E9D">
            <w:pPr>
              <w:spacing w:before="0"/>
              <w:rPr>
                <w:bCs/>
                <w:color w:val="auto"/>
              </w:rPr>
            </w:pPr>
            <w:r w:rsidRPr="002E22BB">
              <w:rPr>
                <w:bCs/>
                <w:color w:val="auto"/>
              </w:rPr>
              <w:lastRenderedPageBreak/>
              <w:t>Fees</w:t>
            </w:r>
          </w:p>
        </w:tc>
        <w:tc>
          <w:tcPr>
            <w:tcW w:w="4174" w:type="pct"/>
          </w:tcPr>
          <w:p w14:paraId="2636C440" w14:textId="7A708760" w:rsidR="0067124E" w:rsidRPr="005C086D" w:rsidRDefault="00EA090D" w:rsidP="00372E9D">
            <w:pPr>
              <w:spacing w:before="0"/>
              <w:cnfStyle w:val="000000000000" w:firstRow="0" w:lastRow="0" w:firstColumn="0" w:lastColumn="0" w:oddVBand="0" w:evenVBand="0" w:oddHBand="0" w:evenHBand="0" w:firstRowFirstColumn="0" w:firstRowLastColumn="0" w:lastRowFirstColumn="0" w:lastRowLastColumn="0"/>
              <w:rPr>
                <w:color w:val="auto"/>
              </w:rPr>
            </w:pPr>
            <w:r w:rsidRPr="005C086D">
              <w:rPr>
                <w:color w:val="auto"/>
              </w:rPr>
              <w:t xml:space="preserve">Remake the currently prescribed fee units with </w:t>
            </w:r>
            <w:r w:rsidR="008E5828" w:rsidRPr="005C086D">
              <w:rPr>
                <w:color w:val="auto"/>
              </w:rPr>
              <w:t xml:space="preserve">no change </w:t>
            </w:r>
            <w:r w:rsidR="008E5828" w:rsidRPr="00B1771F">
              <w:t xml:space="preserve">except for the introduction of a fee for </w:t>
            </w:r>
            <w:r w:rsidR="00455295" w:rsidRPr="00B1771F">
              <w:t>application</w:t>
            </w:r>
            <w:r w:rsidR="007F14B2" w:rsidRPr="00B1771F">
              <w:t>s</w:t>
            </w:r>
            <w:r w:rsidR="00455295" w:rsidRPr="00B1771F">
              <w:t xml:space="preserve"> to use particular land or premises as a private hospital or day procedure centre, which is a minor change.</w:t>
            </w:r>
          </w:p>
        </w:tc>
      </w:tr>
    </w:tbl>
    <w:p w14:paraId="5802D0E1" w14:textId="7A64912C" w:rsidR="00A9469C" w:rsidRDefault="00A9469C" w:rsidP="00E043F5">
      <w:pPr>
        <w:rPr>
          <w:b/>
        </w:rPr>
      </w:pPr>
      <w:r w:rsidRPr="001E347D">
        <w:rPr>
          <w:rStyle w:val="Strong"/>
        </w:rPr>
        <w:t>Implementation</w:t>
      </w:r>
    </w:p>
    <w:p w14:paraId="2878E3DD" w14:textId="66ADA4E6" w:rsidR="00673E37" w:rsidRDefault="00673E37" w:rsidP="00673E37">
      <w:pPr>
        <w:spacing w:before="120"/>
      </w:pPr>
      <w:r w:rsidRPr="00F80C83">
        <w:t>The proposed Regulations remake the existing Health Services (Health Service Establishments) Regulations 2013</w:t>
      </w:r>
      <w:r>
        <w:t xml:space="preserve">, </w:t>
      </w:r>
      <w:r w:rsidRPr="00F80C83">
        <w:t xml:space="preserve">with amendments as considered in this RIS. Based on the analysis in this RIS, the </w:t>
      </w:r>
      <w:r>
        <w:t>d</w:t>
      </w:r>
      <w:r w:rsidRPr="00F80C83">
        <w:t>epartment is</w:t>
      </w:r>
      <w:r>
        <w:t xml:space="preserve"> </w:t>
      </w:r>
      <w:r w:rsidRPr="00F80C83">
        <w:t xml:space="preserve">recommending remaking the Regulations with </w:t>
      </w:r>
      <w:r>
        <w:t xml:space="preserve">targeted </w:t>
      </w:r>
      <w:r w:rsidRPr="00F80C83">
        <w:t xml:space="preserve">improvements. </w:t>
      </w:r>
    </w:p>
    <w:p w14:paraId="40CA4CF5" w14:textId="77777777" w:rsidR="00673E37" w:rsidRDefault="00673E37" w:rsidP="00673E37">
      <w:pPr>
        <w:spacing w:before="120"/>
      </w:pPr>
      <w:r w:rsidRPr="00F80C83">
        <w:t xml:space="preserve">The </w:t>
      </w:r>
      <w:r>
        <w:t>d</w:t>
      </w:r>
      <w:r w:rsidRPr="00F80C83">
        <w:t xml:space="preserve">epartment </w:t>
      </w:r>
      <w:r>
        <w:t>will</w:t>
      </w:r>
      <w:r w:rsidRPr="00F80C83">
        <w:t xml:space="preserve"> be </w:t>
      </w:r>
      <w:r>
        <w:t xml:space="preserve">primarily </w:t>
      </w:r>
      <w:r w:rsidRPr="00F80C83">
        <w:t>responsible for</w:t>
      </w:r>
      <w:r>
        <w:t xml:space="preserve"> </w:t>
      </w:r>
      <w:r w:rsidRPr="00F80C83">
        <w:t xml:space="preserve">implementation of the proposed changes. </w:t>
      </w:r>
    </w:p>
    <w:p w14:paraId="2BF72B45" w14:textId="77777777" w:rsidR="00673E37" w:rsidRDefault="00673E37" w:rsidP="00673E37">
      <w:pPr>
        <w:spacing w:before="120"/>
      </w:pPr>
      <w:r>
        <w:t>Key aspects of the implementation plan are:</w:t>
      </w:r>
    </w:p>
    <w:p w14:paraId="4443CEDB" w14:textId="76D26FA4" w:rsidR="00673E37" w:rsidRDefault="007F6709" w:rsidP="007F6709">
      <w:pPr>
        <w:pStyle w:val="ListParagraph"/>
        <w:numPr>
          <w:ilvl w:val="0"/>
          <w:numId w:val="132"/>
        </w:numPr>
        <w:spacing w:before="120"/>
      </w:pPr>
      <w:r>
        <w:t>finalise</w:t>
      </w:r>
      <w:r w:rsidR="00673E37">
        <w:t xml:space="preserve"> the remade Regulations</w:t>
      </w:r>
    </w:p>
    <w:p w14:paraId="78638AC3" w14:textId="0B1C21F9" w:rsidR="00673E37" w:rsidRDefault="007F6709" w:rsidP="007F6709">
      <w:pPr>
        <w:pStyle w:val="ListParagraph"/>
        <w:numPr>
          <w:ilvl w:val="0"/>
          <w:numId w:val="132"/>
        </w:numPr>
        <w:spacing w:before="120"/>
      </w:pPr>
      <w:r>
        <w:t>develop</w:t>
      </w:r>
      <w:r w:rsidR="00673E37">
        <w:t xml:space="preserve"> and implement the </w:t>
      </w:r>
      <w:r w:rsidR="00C4795E">
        <w:t xml:space="preserve">proposed additional oversight of </w:t>
      </w:r>
      <w:r w:rsidR="00673E37">
        <w:t xml:space="preserve">clinical governance </w:t>
      </w:r>
      <w:r w:rsidR="00C4795E">
        <w:t xml:space="preserve">through review of protocols by the </w:t>
      </w:r>
      <w:r w:rsidR="00673E37">
        <w:t>Secretary (see proposed amendment in section 6.1)</w:t>
      </w:r>
    </w:p>
    <w:p w14:paraId="1DCF4790" w14:textId="23B343A5" w:rsidR="00673E37" w:rsidRDefault="007F6709" w:rsidP="007F6709">
      <w:pPr>
        <w:pStyle w:val="ListParagraph"/>
        <w:numPr>
          <w:ilvl w:val="0"/>
          <w:numId w:val="132"/>
        </w:numPr>
        <w:spacing w:before="120"/>
      </w:pPr>
      <w:r>
        <w:t>develop</w:t>
      </w:r>
      <w:r w:rsidR="00673E37">
        <w:t xml:space="preserve"> and implement new compliance and enforcement policy</w:t>
      </w:r>
    </w:p>
    <w:p w14:paraId="33F9285E" w14:textId="098E32A2" w:rsidR="00673E37" w:rsidRDefault="007F6709" w:rsidP="007F6709">
      <w:pPr>
        <w:pStyle w:val="ListParagraph"/>
        <w:numPr>
          <w:ilvl w:val="0"/>
          <w:numId w:val="132"/>
        </w:numPr>
        <w:spacing w:before="120"/>
      </w:pPr>
      <w:r>
        <w:t>education</w:t>
      </w:r>
      <w:r w:rsidR="00673E37">
        <w:t xml:space="preserve"> and communication with industry on </w:t>
      </w:r>
      <w:r w:rsidR="00E84FC5">
        <w:t xml:space="preserve">the </w:t>
      </w:r>
      <w:r w:rsidR="00673E37">
        <w:t>amendments to the Regulations.</w:t>
      </w:r>
    </w:p>
    <w:p w14:paraId="1DA6E666" w14:textId="42334DC0" w:rsidR="000C1751" w:rsidRDefault="00673E37" w:rsidP="00E043F5">
      <w:r w:rsidRPr="00301D42">
        <w:t xml:space="preserve">It is proposed that the commencement of </w:t>
      </w:r>
      <w:r w:rsidR="004636EB">
        <w:t xml:space="preserve">substantial </w:t>
      </w:r>
      <w:r w:rsidRPr="00301D42">
        <w:t xml:space="preserve">new provisions in the Regulations may be </w:t>
      </w:r>
      <w:r w:rsidR="00372E9D">
        <w:t>s</w:t>
      </w:r>
      <w:r w:rsidR="0029313A">
        <w:t>ome time</w:t>
      </w:r>
      <w:r w:rsidRPr="00301D42">
        <w:t xml:space="preserve"> after the new Regulations are made to allow time for</w:t>
      </w:r>
      <w:r>
        <w:t xml:space="preserve"> the department and</w:t>
      </w:r>
      <w:r w:rsidRPr="00301D42">
        <w:t xml:space="preserve"> facilities to prepare for implementation.</w:t>
      </w:r>
      <w:r w:rsidR="004636EB">
        <w:t xml:space="preserve"> Responses to this RIS on implementation issues will inform final decisions on the commencement date for relevant provisions.  </w:t>
      </w:r>
    </w:p>
    <w:p w14:paraId="02B0B4F3" w14:textId="6F1E08F5" w:rsidR="00A9469C" w:rsidRPr="00E043F5" w:rsidRDefault="00A9469C" w:rsidP="00E043F5">
      <w:pPr>
        <w:rPr>
          <w:b/>
        </w:rPr>
      </w:pPr>
      <w:r w:rsidRPr="001E347D">
        <w:rPr>
          <w:rStyle w:val="Strong"/>
        </w:rPr>
        <w:t>Evaluation</w:t>
      </w:r>
    </w:p>
    <w:p w14:paraId="79693F13" w14:textId="5A0BE8A4" w:rsidR="00FE62F6" w:rsidRDefault="00FE62F6" w:rsidP="00FE62F6">
      <w:r>
        <w:t>The department will develop a</w:t>
      </w:r>
      <w:r w:rsidR="004636EB">
        <w:t>n</w:t>
      </w:r>
      <w:r>
        <w:t xml:space="preserve"> evaluation plan including </w:t>
      </w:r>
      <w:r w:rsidR="004636EB">
        <w:t xml:space="preserve">consideration of how to best ensure a baseline dataset to allow comparative analysis for any </w:t>
      </w:r>
      <w:r w:rsidR="00810DE6">
        <w:t>future proposed reforms</w:t>
      </w:r>
      <w:r>
        <w:t xml:space="preserve">. This will include </w:t>
      </w:r>
      <w:r w:rsidR="00810DE6">
        <w:t>considering</w:t>
      </w:r>
      <w:r>
        <w:t xml:space="preserve"> available data and data gaps to assess any potential gaps in evidence. </w:t>
      </w:r>
    </w:p>
    <w:p w14:paraId="06B1EFA4" w14:textId="511D15C4" w:rsidR="00651311" w:rsidRPr="00C2659E" w:rsidRDefault="00651311" w:rsidP="00A659D0">
      <w:pPr>
        <w:sectPr w:rsidR="00651311" w:rsidRPr="00C2659E" w:rsidSect="00C24AB7">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6F61DE50" w14:textId="77777777" w:rsidR="004E24E9" w:rsidRPr="00D83701" w:rsidRDefault="004E24E9" w:rsidP="00D83701">
      <w:pPr>
        <w:pStyle w:val="Heading5"/>
      </w:pPr>
      <w:bookmarkStart w:id="7" w:name="_Toc136257461"/>
      <w:bookmarkStart w:id="8" w:name="_Toc136257462"/>
      <w:bookmarkStart w:id="9" w:name="_Toc136257463"/>
      <w:bookmarkStart w:id="10" w:name="_Toc136257464"/>
      <w:bookmarkStart w:id="11" w:name="_Toc136257465"/>
      <w:bookmarkStart w:id="12" w:name="_Toc136257466"/>
      <w:bookmarkStart w:id="13" w:name="_Toc136257467"/>
      <w:bookmarkStart w:id="14" w:name="_Toc136257468"/>
      <w:bookmarkStart w:id="15" w:name="_Toc136257469"/>
      <w:bookmarkStart w:id="16" w:name="_Toc135157708"/>
      <w:bookmarkStart w:id="17" w:name="_Toc158628307"/>
      <w:bookmarkStart w:id="18" w:name="_Ref154040807"/>
      <w:bookmarkStart w:id="19" w:name="_Toc135157715"/>
      <w:bookmarkStart w:id="20" w:name="_Toc165287596"/>
      <w:bookmarkEnd w:id="7"/>
      <w:bookmarkEnd w:id="8"/>
      <w:bookmarkEnd w:id="9"/>
      <w:bookmarkEnd w:id="10"/>
      <w:bookmarkEnd w:id="11"/>
      <w:bookmarkEnd w:id="12"/>
      <w:bookmarkEnd w:id="13"/>
      <w:bookmarkEnd w:id="14"/>
      <w:bookmarkEnd w:id="15"/>
      <w:r w:rsidRPr="00D83701">
        <w:lastRenderedPageBreak/>
        <w:t>Background</w:t>
      </w:r>
      <w:bookmarkEnd w:id="16"/>
      <w:bookmarkEnd w:id="17"/>
      <w:bookmarkEnd w:id="20"/>
    </w:p>
    <w:tbl>
      <w:tblPr>
        <w:tblStyle w:val="TableGrid"/>
        <w:tblW w:w="0" w:type="auto"/>
        <w:tblLook w:val="04A0" w:firstRow="1" w:lastRow="0" w:firstColumn="1" w:lastColumn="0" w:noHBand="0" w:noVBand="1"/>
      </w:tblPr>
      <w:tblGrid>
        <w:gridCol w:w="9016"/>
      </w:tblGrid>
      <w:tr w:rsidR="004E24E9" w:rsidRPr="004E24E9" w14:paraId="77ABEF69" w14:textId="77777777">
        <w:tc>
          <w:tcPr>
            <w:tcW w:w="9016" w:type="dxa"/>
            <w:tcBorders>
              <w:top w:val="nil"/>
              <w:left w:val="nil"/>
              <w:bottom w:val="nil"/>
              <w:right w:val="nil"/>
            </w:tcBorders>
            <w:shd w:val="clear" w:color="auto" w:fill="EEECE1" w:themeFill="background2"/>
          </w:tcPr>
          <w:p w14:paraId="189A9C39" w14:textId="01243A98" w:rsidR="004E24E9" w:rsidRPr="004E24E9" w:rsidRDefault="004E24E9" w:rsidP="004E24E9">
            <w:r w:rsidRPr="004E24E9">
              <w:t xml:space="preserve">This chapter outlines the multi-faceted regulatory framework applying to </w:t>
            </w:r>
            <w:r w:rsidR="005A2F80">
              <w:t>HSEs</w:t>
            </w:r>
            <w:r w:rsidRPr="004E24E9">
              <w:t xml:space="preserve">, the context for regulatory changes being considered, and the need for and approach to undertaking this RIS. </w:t>
            </w:r>
          </w:p>
          <w:p w14:paraId="7E68059A" w14:textId="07600131" w:rsidR="004E24E9" w:rsidRPr="004E24E9" w:rsidRDefault="004E24E9" w:rsidP="004E24E9">
            <w:r w:rsidRPr="004E24E9">
              <w:t xml:space="preserve">Following analysis of options and </w:t>
            </w:r>
            <w:r w:rsidR="00255D2D">
              <w:t xml:space="preserve">a </w:t>
            </w:r>
            <w:r w:rsidRPr="004E24E9">
              <w:t>stakeholder engagement process led by the Department of Health, this RIS presents the case for remaking the Regulations with a number of targeted improvements. These build on significant regulatory reforms undertaken in recent years.</w:t>
            </w:r>
          </w:p>
        </w:tc>
      </w:tr>
    </w:tbl>
    <w:p w14:paraId="1A0C82C3" w14:textId="77777777" w:rsidR="004E24E9" w:rsidRPr="004E24E9" w:rsidRDefault="004E24E9" w:rsidP="004F6A1A">
      <w:pPr>
        <w:pStyle w:val="Heading6"/>
      </w:pPr>
      <w:bookmarkStart w:id="21" w:name="_Toc135157709"/>
      <w:r w:rsidRPr="004E24E9">
        <w:t xml:space="preserve">Context </w:t>
      </w:r>
    </w:p>
    <w:p w14:paraId="6D0130CE" w14:textId="77777777" w:rsidR="004E24E9" w:rsidRPr="004E24E9" w:rsidRDefault="004E24E9" w:rsidP="004F6A1A">
      <w:pPr>
        <w:pStyle w:val="Heading7"/>
      </w:pPr>
      <w:r w:rsidRPr="004E24E9">
        <w:t>Victorian private hospitals and day procedure centres</w:t>
      </w:r>
    </w:p>
    <w:p w14:paraId="61BA30FE" w14:textId="4D46A7D4" w:rsidR="004E24E9" w:rsidRPr="004E24E9" w:rsidRDefault="004E24E9" w:rsidP="004E24E9">
      <w:r w:rsidRPr="004E24E9">
        <w:t>Private hospitals, day procedure centres and mobile health services (health service establishments, HSEs) are a significant part of health services delivery in Victoria. In 2021-22, 1.08 million separations</w:t>
      </w:r>
      <w:r w:rsidRPr="000D17F7">
        <w:rPr>
          <w:rStyle w:val="FootnoteReference"/>
        </w:rPr>
        <w:footnoteReference w:id="7"/>
      </w:r>
      <w:r w:rsidRPr="004E24E9">
        <w:t xml:space="preserve"> in Victoria occurred in private hospitals </w:t>
      </w:r>
      <w:r w:rsidR="00A825DD">
        <w:t>or</w:t>
      </w:r>
      <w:r w:rsidRPr="004E24E9">
        <w:t xml:space="preserve"> 37% of all hospital separations.</w:t>
      </w:r>
      <w:r w:rsidRPr="000D17F7">
        <w:rPr>
          <w:rStyle w:val="FootnoteReference"/>
        </w:rPr>
        <w:footnoteReference w:id="8"/>
      </w:r>
    </w:p>
    <w:p w14:paraId="3EF65851" w14:textId="67598B36" w:rsidR="004E24E9" w:rsidRPr="004E24E9" w:rsidRDefault="004E24E9" w:rsidP="004E24E9">
      <w:r w:rsidRPr="004E24E9">
        <w:t>HSEs are facilities where patients are treated by a doctor of their own choosing and pay a fee for services</w:t>
      </w:r>
      <w:r w:rsidR="00FD0E70">
        <w:t xml:space="preserve"> (</w:t>
      </w:r>
      <w:r w:rsidR="00B9462E">
        <w:t>patients may have private health insurance to cover costs)</w:t>
      </w:r>
      <w:r w:rsidRPr="004E24E9">
        <w:t>. They exist in response to a patient’s willingness to pay to choose their own doctor and facilities, and to receive faster access to services compared to the public healthcare system. In 2021-22, 83% of hospitalisations in private hospitals across Australia involved privately insured patients.</w:t>
      </w:r>
      <w:r w:rsidRPr="000D17F7">
        <w:rPr>
          <w:rStyle w:val="FootnoteReference"/>
        </w:rPr>
        <w:footnoteReference w:id="9"/>
      </w:r>
    </w:p>
    <w:p w14:paraId="0BA6DF50" w14:textId="565B23E8" w:rsidR="004E24E9" w:rsidRPr="004E24E9" w:rsidRDefault="004E24E9" w:rsidP="004E24E9">
      <w:r w:rsidRPr="004E24E9">
        <w:t xml:space="preserve">As </w:t>
      </w:r>
      <w:r w:rsidR="00BD1D3C" w:rsidRPr="004E24E9">
        <w:t>of</w:t>
      </w:r>
      <w:r w:rsidRPr="004E24E9">
        <w:t xml:space="preserve"> November 2023, there were 76 private hospitals, 97 day procedure centres and 28 mobile anaesthesia services registered in Victoria.</w:t>
      </w:r>
      <w:r w:rsidRPr="000D17F7">
        <w:rPr>
          <w:rStyle w:val="FootnoteReference"/>
        </w:rPr>
        <w:footnoteReference w:id="10"/>
      </w:r>
      <w:r w:rsidRPr="004E24E9">
        <w:t xml:space="preserve"> Private hospitals are owned and managed by private organisations – either by for-profit companies or not-for-profit non-government organisations (religious, charitable or community organisations). Day procedure centres tend to be operated on a for-profit basis. See Table 1 below for more detail. </w:t>
      </w:r>
    </w:p>
    <w:p w14:paraId="1BD1C945" w14:textId="77777777" w:rsidR="004E24E9" w:rsidRPr="004E24E9" w:rsidRDefault="004E24E9" w:rsidP="004E24E9">
      <w:pPr>
        <w:spacing w:before="0" w:line="259" w:lineRule="auto"/>
      </w:pPr>
      <w:r w:rsidRPr="004E24E9">
        <w:br w:type="page"/>
      </w:r>
    </w:p>
    <w:p w14:paraId="10C15A85" w14:textId="7D66F8DD" w:rsidR="004E24E9" w:rsidRPr="004E24E9" w:rsidRDefault="004E24E9" w:rsidP="004E24E9">
      <w:pPr>
        <w:keepNext/>
        <w:spacing w:before="120" w:after="0"/>
        <w:rPr>
          <w:iCs/>
          <w:color w:val="404040" w:themeColor="text2" w:themeTint="BF"/>
          <w:sz w:val="18"/>
          <w:szCs w:val="20"/>
        </w:rPr>
      </w:pPr>
    </w:p>
    <w:p w14:paraId="3E2F8DEA" w14:textId="597E6D08" w:rsidR="00A873F2" w:rsidRDefault="00A873F2" w:rsidP="00466F45">
      <w:pPr>
        <w:pStyle w:val="Caption"/>
      </w:pPr>
      <w:r>
        <w:t xml:space="preserve">Table </w:t>
      </w:r>
      <w:fldSimple w:instr=" SEQ Table \* ARABIC ">
        <w:r>
          <w:rPr>
            <w:noProof/>
          </w:rPr>
          <w:t>1</w:t>
        </w:r>
      </w:fldSimple>
      <w:r>
        <w:t xml:space="preserve"> </w:t>
      </w:r>
      <w:r w:rsidRPr="00DC13EE">
        <w:t>Number of private hospitals and day procedure centres</w:t>
      </w:r>
    </w:p>
    <w:tbl>
      <w:tblPr>
        <w:tblStyle w:val="SapereTable"/>
        <w:tblW w:w="5000" w:type="pct"/>
        <w:tblLook w:val="04A0" w:firstRow="1" w:lastRow="0" w:firstColumn="1" w:lastColumn="0" w:noHBand="0" w:noVBand="1"/>
      </w:tblPr>
      <w:tblGrid>
        <w:gridCol w:w="2638"/>
        <w:gridCol w:w="2148"/>
        <w:gridCol w:w="2148"/>
        <w:gridCol w:w="2092"/>
      </w:tblGrid>
      <w:tr w:rsidR="004E24E9" w:rsidRPr="004E24E9" w14:paraId="3F4D616D" w14:textId="77777777" w:rsidTr="006522DF">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0" w:type="pct"/>
          </w:tcPr>
          <w:p w14:paraId="64BA6819" w14:textId="77777777" w:rsidR="004E24E9" w:rsidRPr="004E24E9" w:rsidRDefault="004E24E9" w:rsidP="004E24E9">
            <w:bookmarkStart w:id="23" w:name="_Hlk157687662"/>
          </w:p>
        </w:tc>
        <w:tc>
          <w:tcPr>
            <w:tcW w:w="0" w:type="pct"/>
          </w:tcPr>
          <w:p w14:paraId="5E38615E" w14:textId="77777777" w:rsidR="004E24E9" w:rsidRPr="004E24E9" w:rsidRDefault="004E24E9" w:rsidP="00480044">
            <w:pPr>
              <w:jc w:val="center"/>
              <w:cnfStyle w:val="100000000000" w:firstRow="1" w:lastRow="0" w:firstColumn="0" w:lastColumn="0" w:oddVBand="0" w:evenVBand="0" w:oddHBand="0" w:evenHBand="0" w:firstRowFirstColumn="0" w:firstRowLastColumn="0" w:lastRowFirstColumn="0" w:lastRowLastColumn="0"/>
              <w:rPr>
                <w:b w:val="0"/>
              </w:rPr>
            </w:pPr>
            <w:r w:rsidRPr="004E24E9">
              <w:t>For profit</w:t>
            </w:r>
          </w:p>
        </w:tc>
        <w:tc>
          <w:tcPr>
            <w:tcW w:w="0" w:type="pct"/>
          </w:tcPr>
          <w:p w14:paraId="33FC4EA2" w14:textId="77777777" w:rsidR="004E24E9" w:rsidRPr="004E24E9" w:rsidRDefault="004E24E9" w:rsidP="00480044">
            <w:pPr>
              <w:jc w:val="center"/>
              <w:cnfStyle w:val="100000000000" w:firstRow="1" w:lastRow="0" w:firstColumn="0" w:lastColumn="0" w:oddVBand="0" w:evenVBand="0" w:oddHBand="0" w:evenHBand="0" w:firstRowFirstColumn="0" w:firstRowLastColumn="0" w:lastRowFirstColumn="0" w:lastRowLastColumn="0"/>
              <w:rPr>
                <w:b w:val="0"/>
              </w:rPr>
            </w:pPr>
            <w:r w:rsidRPr="004E24E9">
              <w:t>Not for profit</w:t>
            </w:r>
          </w:p>
        </w:tc>
        <w:tc>
          <w:tcPr>
            <w:tcW w:w="0" w:type="pct"/>
          </w:tcPr>
          <w:p w14:paraId="71615D83" w14:textId="54BE0DBF" w:rsidR="004E24E9" w:rsidRPr="004E24E9" w:rsidRDefault="004E24E9" w:rsidP="00480044">
            <w:pPr>
              <w:jc w:val="center"/>
              <w:cnfStyle w:val="100000000000" w:firstRow="1" w:lastRow="0" w:firstColumn="0" w:lastColumn="0" w:oddVBand="0" w:evenVBand="0" w:oddHBand="0" w:evenHBand="0" w:firstRowFirstColumn="0" w:firstRowLastColumn="0" w:lastRowFirstColumn="0" w:lastRowLastColumn="0"/>
              <w:rPr>
                <w:b w:val="0"/>
              </w:rPr>
            </w:pPr>
            <w:r w:rsidRPr="004E24E9">
              <w:t>Total</w:t>
            </w:r>
          </w:p>
        </w:tc>
      </w:tr>
      <w:tr w:rsidR="004E24E9" w:rsidRPr="004E24E9" w14:paraId="26C4CA3E" w14:textId="77777777" w:rsidTr="001E347D">
        <w:tc>
          <w:tcPr>
            <w:cnfStyle w:val="001000000000" w:firstRow="0" w:lastRow="0" w:firstColumn="1" w:lastColumn="0" w:oddVBand="0" w:evenVBand="0" w:oddHBand="0" w:evenHBand="0" w:firstRowFirstColumn="0" w:firstRowLastColumn="0" w:lastRowFirstColumn="0" w:lastRowLastColumn="0"/>
            <w:tcW w:w="0" w:type="pct"/>
          </w:tcPr>
          <w:p w14:paraId="169F6FBD" w14:textId="77777777" w:rsidR="004E24E9" w:rsidRPr="003476CD" w:rsidRDefault="004E24E9" w:rsidP="004E24E9">
            <w:pPr>
              <w:rPr>
                <w:b w:val="0"/>
                <w:color w:val="auto"/>
              </w:rPr>
            </w:pPr>
            <w:r w:rsidRPr="003476CD">
              <w:rPr>
                <w:b w:val="0"/>
                <w:color w:val="auto"/>
              </w:rPr>
              <w:t>Private hospitals</w:t>
            </w:r>
          </w:p>
        </w:tc>
        <w:tc>
          <w:tcPr>
            <w:tcW w:w="0" w:type="pct"/>
          </w:tcPr>
          <w:p w14:paraId="7D8E50AA" w14:textId="46B4BE93"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50</w:t>
            </w:r>
          </w:p>
        </w:tc>
        <w:tc>
          <w:tcPr>
            <w:tcW w:w="0" w:type="pct"/>
          </w:tcPr>
          <w:p w14:paraId="57B99400" w14:textId="1EFFF58E"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26</w:t>
            </w:r>
          </w:p>
        </w:tc>
        <w:tc>
          <w:tcPr>
            <w:tcW w:w="0" w:type="pct"/>
          </w:tcPr>
          <w:p w14:paraId="056FA2CA" w14:textId="5C7C0E7E"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76</w:t>
            </w:r>
          </w:p>
        </w:tc>
      </w:tr>
      <w:tr w:rsidR="004E24E9" w:rsidRPr="004E24E9" w14:paraId="7404AC6F" w14:textId="77777777" w:rsidTr="001E347D">
        <w:tc>
          <w:tcPr>
            <w:cnfStyle w:val="001000000000" w:firstRow="0" w:lastRow="0" w:firstColumn="1" w:lastColumn="0" w:oddVBand="0" w:evenVBand="0" w:oddHBand="0" w:evenHBand="0" w:firstRowFirstColumn="0" w:firstRowLastColumn="0" w:lastRowFirstColumn="0" w:lastRowLastColumn="0"/>
            <w:tcW w:w="0" w:type="pct"/>
          </w:tcPr>
          <w:p w14:paraId="668F8277" w14:textId="77777777" w:rsidR="004E24E9" w:rsidRPr="003476CD" w:rsidRDefault="004E24E9" w:rsidP="004E24E9">
            <w:pPr>
              <w:rPr>
                <w:b w:val="0"/>
                <w:color w:val="auto"/>
              </w:rPr>
            </w:pPr>
            <w:r w:rsidRPr="003476CD">
              <w:rPr>
                <w:b w:val="0"/>
                <w:color w:val="auto"/>
              </w:rPr>
              <w:t>Day procedure centres</w:t>
            </w:r>
          </w:p>
        </w:tc>
        <w:tc>
          <w:tcPr>
            <w:tcW w:w="0" w:type="pct"/>
          </w:tcPr>
          <w:p w14:paraId="2A8CF62F" w14:textId="1E44E3AC"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95</w:t>
            </w:r>
          </w:p>
        </w:tc>
        <w:tc>
          <w:tcPr>
            <w:tcW w:w="0" w:type="pct"/>
          </w:tcPr>
          <w:p w14:paraId="7CCD3293" w14:textId="77777777"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2</w:t>
            </w:r>
          </w:p>
        </w:tc>
        <w:tc>
          <w:tcPr>
            <w:tcW w:w="0" w:type="pct"/>
          </w:tcPr>
          <w:p w14:paraId="671A38DF" w14:textId="53DF068A"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97</w:t>
            </w:r>
          </w:p>
        </w:tc>
      </w:tr>
      <w:tr w:rsidR="004E24E9" w:rsidRPr="004E24E9" w14:paraId="66F2A9A9" w14:textId="77777777" w:rsidTr="006522DF">
        <w:trPr>
          <w:trHeight w:val="22"/>
        </w:trPr>
        <w:tc>
          <w:tcPr>
            <w:cnfStyle w:val="001000000000" w:firstRow="0" w:lastRow="0" w:firstColumn="1" w:lastColumn="0" w:oddVBand="0" w:evenVBand="0" w:oddHBand="0" w:evenHBand="0" w:firstRowFirstColumn="0" w:firstRowLastColumn="0" w:lastRowFirstColumn="0" w:lastRowLastColumn="0"/>
            <w:tcW w:w="0" w:type="pct"/>
          </w:tcPr>
          <w:p w14:paraId="72580DF7" w14:textId="77777777" w:rsidR="004E24E9" w:rsidRPr="003476CD" w:rsidRDefault="004E24E9" w:rsidP="004E24E9">
            <w:pPr>
              <w:rPr>
                <w:b w:val="0"/>
                <w:color w:val="auto"/>
              </w:rPr>
            </w:pPr>
            <w:r w:rsidRPr="003476CD">
              <w:rPr>
                <w:b w:val="0"/>
                <w:color w:val="auto"/>
              </w:rPr>
              <w:t>Mobile anaesthesia services</w:t>
            </w:r>
          </w:p>
        </w:tc>
        <w:tc>
          <w:tcPr>
            <w:tcW w:w="0" w:type="pct"/>
          </w:tcPr>
          <w:p w14:paraId="371CAF72" w14:textId="77777777"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28</w:t>
            </w:r>
          </w:p>
        </w:tc>
        <w:tc>
          <w:tcPr>
            <w:tcW w:w="0" w:type="pct"/>
          </w:tcPr>
          <w:p w14:paraId="628385D9" w14:textId="77777777"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w:t>
            </w:r>
          </w:p>
        </w:tc>
        <w:tc>
          <w:tcPr>
            <w:tcW w:w="0" w:type="pct"/>
          </w:tcPr>
          <w:p w14:paraId="6AB2C313" w14:textId="77777777"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28</w:t>
            </w:r>
          </w:p>
        </w:tc>
      </w:tr>
      <w:tr w:rsidR="004E24E9" w:rsidRPr="004E24E9" w14:paraId="205C580D" w14:textId="77777777" w:rsidTr="006522DF">
        <w:trPr>
          <w:trHeight w:val="22"/>
        </w:trPr>
        <w:tc>
          <w:tcPr>
            <w:cnfStyle w:val="001000000000" w:firstRow="0" w:lastRow="0" w:firstColumn="1" w:lastColumn="0" w:oddVBand="0" w:evenVBand="0" w:oddHBand="0" w:evenHBand="0" w:firstRowFirstColumn="0" w:firstRowLastColumn="0" w:lastRowFirstColumn="0" w:lastRowLastColumn="0"/>
            <w:tcW w:w="0" w:type="pct"/>
          </w:tcPr>
          <w:p w14:paraId="0663989B" w14:textId="77777777" w:rsidR="004E24E9" w:rsidRPr="003476CD" w:rsidRDefault="004E24E9" w:rsidP="004E24E9">
            <w:pPr>
              <w:rPr>
                <w:bCs/>
                <w:color w:val="auto"/>
              </w:rPr>
            </w:pPr>
            <w:r w:rsidRPr="003476CD">
              <w:rPr>
                <w:bCs/>
                <w:color w:val="auto"/>
              </w:rPr>
              <w:t>Total</w:t>
            </w:r>
          </w:p>
        </w:tc>
        <w:tc>
          <w:tcPr>
            <w:tcW w:w="0" w:type="pct"/>
          </w:tcPr>
          <w:p w14:paraId="35E22E7A" w14:textId="2E0AB9CB"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b/>
                <w:bCs/>
                <w:color w:val="auto"/>
              </w:rPr>
            </w:pPr>
            <w:r w:rsidRPr="003476CD">
              <w:rPr>
                <w:b/>
                <w:bCs/>
                <w:color w:val="auto"/>
              </w:rPr>
              <w:t>173</w:t>
            </w:r>
          </w:p>
        </w:tc>
        <w:tc>
          <w:tcPr>
            <w:tcW w:w="0" w:type="pct"/>
          </w:tcPr>
          <w:p w14:paraId="411DD2B1" w14:textId="6C867C88"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b/>
                <w:bCs/>
                <w:color w:val="auto"/>
              </w:rPr>
            </w:pPr>
            <w:r w:rsidRPr="003476CD">
              <w:rPr>
                <w:b/>
                <w:bCs/>
                <w:color w:val="auto"/>
              </w:rPr>
              <w:t>28</w:t>
            </w:r>
          </w:p>
        </w:tc>
        <w:tc>
          <w:tcPr>
            <w:tcW w:w="0" w:type="pct"/>
          </w:tcPr>
          <w:p w14:paraId="30289802" w14:textId="6AFC4BCD" w:rsidR="004E24E9" w:rsidRPr="003476CD" w:rsidRDefault="004E24E9" w:rsidP="00480044">
            <w:pPr>
              <w:jc w:val="center"/>
              <w:cnfStyle w:val="000000000000" w:firstRow="0" w:lastRow="0" w:firstColumn="0" w:lastColumn="0" w:oddVBand="0" w:evenVBand="0" w:oddHBand="0" w:evenHBand="0" w:firstRowFirstColumn="0" w:firstRowLastColumn="0" w:lastRowFirstColumn="0" w:lastRowLastColumn="0"/>
              <w:rPr>
                <w:b/>
                <w:bCs/>
                <w:color w:val="auto"/>
              </w:rPr>
            </w:pPr>
            <w:r w:rsidRPr="003476CD">
              <w:rPr>
                <w:b/>
                <w:bCs/>
                <w:color w:val="auto"/>
              </w:rPr>
              <w:t>201</w:t>
            </w:r>
          </w:p>
        </w:tc>
      </w:tr>
    </w:tbl>
    <w:bookmarkEnd w:id="23"/>
    <w:p w14:paraId="11AA9D9A" w14:textId="5C1602BB" w:rsidR="004E24E9" w:rsidRPr="004E24E9" w:rsidRDefault="004E24E9" w:rsidP="004E24E9">
      <w:r w:rsidRPr="004E24E9">
        <w:t>HSEs are an important part of the provision of planned surgery</w:t>
      </w:r>
      <w:r w:rsidRPr="000D17F7">
        <w:rPr>
          <w:rStyle w:val="FootnoteReference"/>
        </w:rPr>
        <w:footnoteReference w:id="11"/>
      </w:r>
      <w:r w:rsidRPr="004E24E9">
        <w:t xml:space="preserve"> for both public and private patients.</w:t>
      </w:r>
      <w:r w:rsidRPr="000D17F7">
        <w:rPr>
          <w:rStyle w:val="FootnoteReference"/>
        </w:rPr>
        <w:footnoteReference w:id="12"/>
      </w:r>
      <w:r w:rsidRPr="004E24E9">
        <w:t xml:space="preserve"> Across Australia, 70% of planned surgeries in 2021-22 were performed in private hospitals.</w:t>
      </w:r>
      <w:r w:rsidRPr="000D17F7">
        <w:rPr>
          <w:rStyle w:val="FootnoteReference"/>
        </w:rPr>
        <w:footnoteReference w:id="13"/>
      </w:r>
      <w:r w:rsidRPr="004E24E9">
        <w:t xml:space="preserve"> One </w:t>
      </w:r>
      <w:r w:rsidR="00F04A81">
        <w:t xml:space="preserve">contributing </w:t>
      </w:r>
      <w:r w:rsidRPr="004E24E9">
        <w:t xml:space="preserve">factor is that </w:t>
      </w:r>
      <w:r w:rsidR="009C2F2D">
        <w:t>total</w:t>
      </w:r>
      <w:r w:rsidRPr="004E24E9">
        <w:t xml:space="preserve"> admissions involving planned surgery for public patients in private hospitals across Australia have increased significantly since the start of the Covid-19 pandemic, from 33,400 in 2019–20 to 52,100 in 2020–21 and then to 57,400 in 2021–22.</w:t>
      </w:r>
      <w:r w:rsidRPr="000D17F7">
        <w:rPr>
          <w:rStyle w:val="FootnoteReference"/>
        </w:rPr>
        <w:footnoteReference w:id="14"/>
      </w:r>
      <w:r w:rsidRPr="004E24E9">
        <w:t xml:space="preserve"> The pandemic caused unprecedented demand on emergency departments, hospital beds and the workforce, creating significant delays to planned surgery. Private hospitals were a significant part of the response to Covid-19 patients and to overall health system demand in Victoria. </w:t>
      </w:r>
    </w:p>
    <w:p w14:paraId="596CDD3C" w14:textId="66ABF204" w:rsidR="004E24E9" w:rsidRPr="004E24E9" w:rsidRDefault="004E24E9" w:rsidP="004E24E9">
      <w:r w:rsidRPr="004E24E9">
        <w:t xml:space="preserve">This remains so: the Victorian Government has invested $1.5 billion to boost surgical activity, including working with the private sector to enable more patients to receive surgery in private hospitals as part of the Victorian Government’s </w:t>
      </w:r>
      <w:r w:rsidRPr="004E24E9">
        <w:rPr>
          <w:i/>
          <w:iCs/>
        </w:rPr>
        <w:t>COVID Catch-Up Plan.</w:t>
      </w:r>
      <w:r w:rsidRPr="000D17F7">
        <w:rPr>
          <w:rStyle w:val="FootnoteReference"/>
        </w:rPr>
        <w:footnoteReference w:id="15"/>
      </w:r>
      <w:r w:rsidRPr="004E24E9">
        <w:t xml:space="preserve"> </w:t>
      </w:r>
      <w:r w:rsidRPr="004E24E9" w:rsidDel="00DD3554">
        <w:t xml:space="preserve"> </w:t>
      </w:r>
    </w:p>
    <w:p w14:paraId="42BFA2BD" w14:textId="00556E57" w:rsidR="004E24E9" w:rsidRPr="001E347D" w:rsidRDefault="004E24E9" w:rsidP="004E24E9">
      <w:pPr>
        <w:rPr>
          <w:rStyle w:val="Strong"/>
        </w:rPr>
      </w:pPr>
      <w:r w:rsidRPr="001E347D">
        <w:rPr>
          <w:rStyle w:val="Strong"/>
        </w:rPr>
        <w:t xml:space="preserve">How private </w:t>
      </w:r>
      <w:r w:rsidR="002601B0">
        <w:rPr>
          <w:rStyle w:val="Strong"/>
        </w:rPr>
        <w:t>HSEs</w:t>
      </w:r>
      <w:r w:rsidRPr="001E347D">
        <w:rPr>
          <w:rStyle w:val="Strong"/>
        </w:rPr>
        <w:t xml:space="preserve"> differ from public hospitals</w:t>
      </w:r>
    </w:p>
    <w:p w14:paraId="27C0A8FA" w14:textId="2E49E735" w:rsidR="004E24E9" w:rsidRPr="004E24E9" w:rsidRDefault="004E24E9" w:rsidP="004E24E9">
      <w:r w:rsidRPr="004E24E9">
        <w:t xml:space="preserve">The health sector is diverse, with services </w:t>
      </w:r>
      <w:r w:rsidR="00D64B11" w:rsidRPr="004E24E9">
        <w:t xml:space="preserve">provided </w:t>
      </w:r>
      <w:r w:rsidRPr="004E24E9">
        <w:t xml:space="preserve">differing greatly in </w:t>
      </w:r>
      <w:r w:rsidR="00D64B11">
        <w:t xml:space="preserve">their </w:t>
      </w:r>
      <w:r w:rsidRPr="004E24E9">
        <w:t>size and nature. Public hospitals are funded by both the state and federal governments, while private hospitals and day procedure centres are funded by many sources, including</w:t>
      </w:r>
      <w:r w:rsidR="003E6DF3">
        <w:t>:</w:t>
      </w:r>
      <w:r w:rsidRPr="004E24E9">
        <w:t xml:space="preserve"> </w:t>
      </w:r>
      <w:r w:rsidR="001D546E">
        <w:t>federally-funded</w:t>
      </w:r>
      <w:r w:rsidRPr="004E24E9">
        <w:t xml:space="preserve"> Medicare, the</w:t>
      </w:r>
      <w:r w:rsidRPr="004E24E9">
        <w:rPr>
          <w:rFonts w:ascii="Arial" w:hAnsi="Arial" w:cs="Arial"/>
          <w:color w:val="222222"/>
          <w:shd w:val="clear" w:color="auto" w:fill="FFFFFF"/>
        </w:rPr>
        <w:t> </w:t>
      </w:r>
      <w:r w:rsidRPr="004E24E9">
        <w:t>Department</w:t>
      </w:r>
      <w:r w:rsidRPr="004E24E9">
        <w:rPr>
          <w:rFonts w:ascii="Arial" w:hAnsi="Arial" w:cs="Arial"/>
          <w:color w:val="222222"/>
          <w:shd w:val="clear" w:color="auto" w:fill="FFFFFF"/>
        </w:rPr>
        <w:t> </w:t>
      </w:r>
      <w:r w:rsidRPr="004E24E9">
        <w:t>of</w:t>
      </w:r>
      <w:r w:rsidRPr="004E24E9">
        <w:rPr>
          <w:rFonts w:ascii="Arial" w:hAnsi="Arial" w:cs="Arial"/>
          <w:color w:val="222222"/>
          <w:shd w:val="clear" w:color="auto" w:fill="FFFFFF"/>
        </w:rPr>
        <w:t> </w:t>
      </w:r>
      <w:r w:rsidRPr="004E24E9">
        <w:t>Veteran’s</w:t>
      </w:r>
      <w:r w:rsidRPr="004E24E9">
        <w:rPr>
          <w:rFonts w:ascii="Arial" w:hAnsi="Arial" w:cs="Arial"/>
          <w:color w:val="222222"/>
          <w:shd w:val="clear" w:color="auto" w:fill="FFFFFF"/>
        </w:rPr>
        <w:t> </w:t>
      </w:r>
      <w:r w:rsidRPr="004E24E9">
        <w:t>Affairs</w:t>
      </w:r>
      <w:r w:rsidR="001D546E">
        <w:t xml:space="preserve"> and </w:t>
      </w:r>
      <w:r w:rsidRPr="004E24E9">
        <w:t>the Pharmaceutical Benefits Scheme</w:t>
      </w:r>
      <w:r w:rsidR="003E6DF3">
        <w:t>;</w:t>
      </w:r>
      <w:r w:rsidR="001D546E">
        <w:t xml:space="preserve"> as well as</w:t>
      </w:r>
      <w:r w:rsidRPr="004E24E9">
        <w:t xml:space="preserve"> </w:t>
      </w:r>
      <w:r w:rsidR="001D546E" w:rsidRPr="004E24E9">
        <w:t xml:space="preserve">private health insurance funds, </w:t>
      </w:r>
      <w:r w:rsidRPr="004E24E9">
        <w:t>third party insurers, and patients.</w:t>
      </w:r>
      <w:r w:rsidRPr="000D17F7">
        <w:rPr>
          <w:rStyle w:val="FootnoteReference"/>
        </w:rPr>
        <w:footnoteReference w:id="16"/>
      </w:r>
      <w:r w:rsidRPr="004E24E9">
        <w:t xml:space="preserve"> </w:t>
      </w:r>
    </w:p>
    <w:p w14:paraId="3AF5C6F8" w14:textId="1BE26857" w:rsidR="004E24E9" w:rsidRPr="004E24E9" w:rsidRDefault="003E6DF3" w:rsidP="004E24E9">
      <w:r w:rsidRPr="004E24E9">
        <w:t>Relative to public hospitals</w:t>
      </w:r>
      <w:r w:rsidR="004E24E9" w:rsidRPr="004E24E9">
        <w:t xml:space="preserve">, private hospitals treat lower acuity patients and have fewer unplanned admissions. The public hospital sector predominantly manages acute care separations, including those </w:t>
      </w:r>
      <w:r w:rsidR="004E24E9" w:rsidRPr="004E24E9">
        <w:lastRenderedPageBreak/>
        <w:t>typically admitted through emergency departments</w:t>
      </w:r>
      <w:r w:rsidR="00AB4F0C">
        <w:rPr>
          <w:rFonts w:cstheme="minorHAnsi"/>
        </w:rPr>
        <w:t>—</w:t>
      </w:r>
      <w:r w:rsidR="004E24E9" w:rsidRPr="004E24E9">
        <w:t>in 2021–22, just over 3 in 4 acute care separations in public hospitals were medical as opposed to surgical.</w:t>
      </w:r>
      <w:r w:rsidR="004E24E9" w:rsidRPr="000D17F7">
        <w:rPr>
          <w:rStyle w:val="FootnoteReference"/>
        </w:rPr>
        <w:footnoteReference w:id="17"/>
      </w:r>
      <w:r w:rsidR="004E24E9" w:rsidRPr="004E24E9">
        <w:t xml:space="preserve"> The public hospital sector accounts for most regional and remote hospitals. HSEs are more prevalent in metropolitan regions, with a concentration on surgical procedures which are planned or elective, with 94% of all surgical hospitalisations in private hospitals elective in 2021-22.</w:t>
      </w:r>
      <w:r w:rsidR="004E24E9" w:rsidRPr="000D17F7">
        <w:rPr>
          <w:rStyle w:val="FootnoteReference"/>
        </w:rPr>
        <w:footnoteReference w:id="18"/>
      </w:r>
      <w:r w:rsidR="004E24E9" w:rsidRPr="004E24E9">
        <w:t xml:space="preserve"> </w:t>
      </w:r>
    </w:p>
    <w:p w14:paraId="5FC37D34" w14:textId="5EF68DE3" w:rsidR="004E24E9" w:rsidRPr="004E24E9" w:rsidRDefault="004E24E9" w:rsidP="004E24E9">
      <w:r w:rsidRPr="004E24E9">
        <w:t>Public and private healthcare services may be subject to different financial incentives as they receive funding from different sources. Differences in hospital size, location, and service offerings between public and private hospitals are influenced by factors such as their respective business models, legislative and other government requirements, and community expectations</w:t>
      </w:r>
      <w:r w:rsidR="001E0D6C">
        <w:t xml:space="preserve"> and preferences</w:t>
      </w:r>
      <w:r w:rsidRPr="004E24E9">
        <w:t xml:space="preserve">. </w:t>
      </w:r>
    </w:p>
    <w:p w14:paraId="3CE84701" w14:textId="32C250B5" w:rsidR="004E24E9" w:rsidRPr="004E24E9" w:rsidRDefault="004E24E9" w:rsidP="004E24E9">
      <w:r w:rsidRPr="004E24E9">
        <w:t>The Victorian government aims to ensure that public and private hospitals provide equally safe and high</w:t>
      </w:r>
      <w:r w:rsidR="008A0064">
        <w:t>-</w:t>
      </w:r>
      <w:r w:rsidRPr="004E24E9">
        <w:t>quality care.</w:t>
      </w:r>
      <w:r w:rsidRPr="000D17F7">
        <w:rPr>
          <w:rStyle w:val="FootnoteReference"/>
        </w:rPr>
        <w:footnoteReference w:id="19"/>
      </w:r>
    </w:p>
    <w:p w14:paraId="35F8BB9E" w14:textId="77777777" w:rsidR="004E24E9" w:rsidRPr="004E24E9" w:rsidRDefault="004E24E9" w:rsidP="00A84587">
      <w:pPr>
        <w:pStyle w:val="Heading6"/>
      </w:pPr>
      <w:r w:rsidRPr="004E24E9">
        <w:t>Regulation of private hospitals and day care procedure centres</w:t>
      </w:r>
    </w:p>
    <w:p w14:paraId="22427677" w14:textId="40ABAD58" w:rsidR="004E24E9" w:rsidRPr="004E24E9" w:rsidRDefault="004E24E9" w:rsidP="004E24E9">
      <w:r w:rsidRPr="004E24E9">
        <w:t xml:space="preserve">Victorian HSEs are subject to a range of regulatory and safety requirements. The Victorian regulatory scheme, established under the </w:t>
      </w:r>
      <w:r w:rsidRPr="4023C9E0">
        <w:rPr>
          <w:i/>
          <w:iCs/>
        </w:rPr>
        <w:t>Health Services Act 1988</w:t>
      </w:r>
      <w:r w:rsidRPr="004E24E9">
        <w:t xml:space="preserve"> (the Act) and </w:t>
      </w:r>
      <w:r w:rsidRPr="4023C9E0">
        <w:t>Health Services (Health Service Establishments) Regulations 2013</w:t>
      </w:r>
      <w:r w:rsidRPr="4023C9E0">
        <w:rPr>
          <w:i/>
          <w:iCs/>
        </w:rPr>
        <w:t xml:space="preserve"> </w:t>
      </w:r>
      <w:r w:rsidRPr="004E24E9">
        <w:t>(the current Regulations), works together with the Australian Health Service Safety and Quality Accreditation Scheme (the Accreditation Scheme) to safeguard patients receiving health services from risk of serious harm. National Law, relating to health practitioner regulation and accreditation, is also applicable.</w:t>
      </w:r>
      <w:r w:rsidRPr="000D17F7">
        <w:rPr>
          <w:rStyle w:val="FootnoteReference"/>
        </w:rPr>
        <w:footnoteReference w:id="20"/>
      </w:r>
    </w:p>
    <w:p w14:paraId="63D3D96F" w14:textId="7266307E" w:rsidR="003157DA" w:rsidRDefault="004E24E9" w:rsidP="004E24E9">
      <w:r w:rsidRPr="004E24E9">
        <w:t>Figure 1 sets out a high-level overview of the quality and safety legislative framework for HSEs in Victoria. The dotted arrow represents the relationship between the Act and the Accreditation Scheme</w:t>
      </w:r>
      <w:r w:rsidR="00A627B2">
        <w:rPr>
          <w:rFonts w:cstheme="minorHAnsi"/>
        </w:rPr>
        <w:t xml:space="preserve"> - </w:t>
      </w:r>
      <w:r w:rsidRPr="004E24E9">
        <w:t xml:space="preserve">namely, the Act allows for the approval of an Accreditation scheme under section 107, which HSEs must follow. </w:t>
      </w:r>
    </w:p>
    <w:p w14:paraId="6AC77371" w14:textId="54A5484F" w:rsidR="004E24E9" w:rsidRPr="004E24E9" w:rsidRDefault="003157DA" w:rsidP="004E24E9">
      <w:r>
        <w:t>(</w:t>
      </w:r>
      <w:r w:rsidR="004E24E9" w:rsidRPr="004E24E9">
        <w:t>Note that the above description and the below diagram do not cover all legislation applicable to HSEs (e.g. occupational health and safety laws) and are intended to give an overview understanding of the legislative framework for the purpose of this RIS.</w:t>
      </w:r>
      <w:r>
        <w:t>)</w:t>
      </w:r>
    </w:p>
    <w:p w14:paraId="00A4A972" w14:textId="495E3794" w:rsidR="004E24E9" w:rsidRPr="004E24E9" w:rsidRDefault="004E24E9" w:rsidP="001E347D">
      <w:pPr>
        <w:pStyle w:val="Caption"/>
        <w:rPr>
          <w:iCs w:val="0"/>
        </w:rPr>
      </w:pPr>
      <w:r w:rsidRPr="004E24E9">
        <w:lastRenderedPageBreak/>
        <w:t xml:space="preserve">Figure </w:t>
      </w:r>
      <w:r w:rsidR="00DB414C">
        <w:rPr>
          <w:iCs w:val="0"/>
        </w:rPr>
        <w:fldChar w:fldCharType="begin"/>
      </w:r>
      <w:r w:rsidR="00DB414C">
        <w:rPr>
          <w:iCs w:val="0"/>
        </w:rPr>
        <w:instrText xml:space="preserve"> SEQ Figure \* ARABIC </w:instrText>
      </w:r>
      <w:r w:rsidR="00DB414C">
        <w:rPr>
          <w:iCs w:val="0"/>
        </w:rPr>
        <w:fldChar w:fldCharType="separate"/>
      </w:r>
      <w:r w:rsidR="00B865E5">
        <w:rPr>
          <w:iCs w:val="0"/>
          <w:noProof/>
        </w:rPr>
        <w:t>1</w:t>
      </w:r>
      <w:r w:rsidR="00DB414C">
        <w:rPr>
          <w:iCs w:val="0"/>
        </w:rPr>
        <w:fldChar w:fldCharType="end"/>
      </w:r>
      <w:r w:rsidRPr="004E24E9">
        <w:rPr>
          <w:iCs w:val="0"/>
        </w:rPr>
        <w:t xml:space="preserve"> High-level overview of quality and safety legislative framework in Australia (developed by Sapere for purpose of this RIS)</w:t>
      </w:r>
    </w:p>
    <w:p w14:paraId="48052366" w14:textId="7B10F4F4" w:rsidR="004E24E9" w:rsidRPr="004E24E9" w:rsidRDefault="004E24E9" w:rsidP="004E24E9">
      <w:r w:rsidRPr="004E24E9">
        <w:rPr>
          <w:noProof/>
          <w:sz w:val="18"/>
          <w:szCs w:val="18"/>
        </w:rPr>
        <mc:AlternateContent>
          <mc:Choice Requires="wpc">
            <w:drawing>
              <wp:inline distT="0" distB="0" distL="0" distR="0" wp14:anchorId="08790D24" wp14:editId="0B72D6C1">
                <wp:extent cx="5746115" cy="6724891"/>
                <wp:effectExtent l="0" t="0" r="26035" b="0"/>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9" name="Rectangle: Rounded Corners 79"/>
                        <wps:cNvSpPr/>
                        <wps:spPr>
                          <a:xfrm>
                            <a:off x="127221" y="28843"/>
                            <a:ext cx="1800000" cy="5819505"/>
                          </a:xfrm>
                          <a:prstGeom prst="roundRect">
                            <a:avLst/>
                          </a:prstGeom>
                          <a:noFill/>
                          <a:ln w="28575" cap="flat" cmpd="sng" algn="ctr">
                            <a:solidFill>
                              <a:srgbClr val="EEECE1"/>
                            </a:solidFill>
                            <a:prstDash val="solid"/>
                            <a:miter lim="800000"/>
                          </a:ln>
                          <a:effectLst/>
                        </wps:spPr>
                        <wps:txbx>
                          <w:txbxContent>
                            <w:p w14:paraId="48302471" w14:textId="77777777" w:rsidR="004E24E9" w:rsidRDefault="004E24E9" w:rsidP="00D458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Rounded Corners 80"/>
                        <wps:cNvSpPr/>
                        <wps:spPr>
                          <a:xfrm>
                            <a:off x="2039369" y="60649"/>
                            <a:ext cx="1800000" cy="5820376"/>
                          </a:xfrm>
                          <a:prstGeom prst="roundRect">
                            <a:avLst/>
                          </a:prstGeom>
                          <a:noFill/>
                          <a:ln w="28575" cap="flat" cmpd="sng" algn="ctr">
                            <a:solidFill>
                              <a:srgbClr val="EEECE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Rounded Corners 81"/>
                        <wps:cNvSpPr/>
                        <wps:spPr>
                          <a:xfrm>
                            <a:off x="3946115" y="43267"/>
                            <a:ext cx="1800000" cy="5814607"/>
                          </a:xfrm>
                          <a:prstGeom prst="roundRect">
                            <a:avLst/>
                          </a:prstGeom>
                          <a:noFill/>
                          <a:ln w="28575" cap="flat" cmpd="sng" algn="ctr">
                            <a:solidFill>
                              <a:srgbClr val="EEECE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Text Box 29"/>
                        <wps:cNvSpPr txBox="1"/>
                        <wps:spPr>
                          <a:xfrm>
                            <a:off x="24808" y="113407"/>
                            <a:ext cx="2026203" cy="265273"/>
                          </a:xfrm>
                          <a:prstGeom prst="rect">
                            <a:avLst/>
                          </a:prstGeom>
                          <a:noFill/>
                          <a:ln w="6350">
                            <a:noFill/>
                          </a:ln>
                        </wps:spPr>
                        <wps:txbx>
                          <w:txbxContent>
                            <w:p w14:paraId="7694F70A" w14:textId="77777777" w:rsidR="004E24E9" w:rsidRPr="00653C49" w:rsidRDefault="004E24E9" w:rsidP="004E24E9">
                              <w:pPr>
                                <w:spacing w:before="0" w:after="0" w:line="240" w:lineRule="auto"/>
                                <w:jc w:val="center"/>
                                <w:rPr>
                                  <w:rFonts w:ascii="Segoe UI" w:eastAsia="Segoe UI" w:hAnsi="Segoe UI"/>
                                  <w:b/>
                                  <w:bCs/>
                                  <w:szCs w:val="20"/>
                                </w:rPr>
                              </w:pPr>
                              <w:r w:rsidRPr="006F605E">
                                <w:rPr>
                                  <w:rFonts w:ascii="Segoe UI" w:eastAsia="Segoe UI" w:hAnsi="Segoe UI"/>
                                  <w:b/>
                                  <w:bCs/>
                                  <w:szCs w:val="20"/>
                                </w:rPr>
                                <w:t>Victorian regulatory scheme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29"/>
                        <wps:cNvSpPr txBox="1"/>
                        <wps:spPr>
                          <a:xfrm>
                            <a:off x="4081463" y="14419"/>
                            <a:ext cx="1601885" cy="433716"/>
                          </a:xfrm>
                          <a:prstGeom prst="rect">
                            <a:avLst/>
                          </a:prstGeom>
                          <a:noFill/>
                          <a:ln w="6350">
                            <a:noFill/>
                          </a:ln>
                        </wps:spPr>
                        <wps:txbx>
                          <w:txbxContent>
                            <w:p w14:paraId="4BD62734" w14:textId="45838C90" w:rsidR="004E24E9" w:rsidRPr="006F605E" w:rsidRDefault="004E24E9" w:rsidP="004E24E9">
                              <w:pPr>
                                <w:spacing w:before="0" w:after="0" w:line="240" w:lineRule="auto"/>
                                <w:jc w:val="center"/>
                                <w:rPr>
                                  <w:rFonts w:ascii="Segoe UI" w:eastAsia="Segoe UI" w:hAnsi="Segoe UI"/>
                                  <w:b/>
                                  <w:bCs/>
                                  <w:szCs w:val="20"/>
                                </w:rPr>
                              </w:pPr>
                              <w:r>
                                <w:rPr>
                                  <w:rFonts w:ascii="Segoe UI" w:eastAsia="Segoe UI" w:hAnsi="Segoe UI"/>
                                  <w:b/>
                                  <w:bCs/>
                                  <w:szCs w:val="20"/>
                                </w:rPr>
                                <w:t>National h</w:t>
                              </w:r>
                              <w:r w:rsidRPr="006F605E">
                                <w:rPr>
                                  <w:rFonts w:ascii="Segoe UI" w:eastAsia="Segoe UI" w:hAnsi="Segoe UI"/>
                                  <w:b/>
                                  <w:bCs/>
                                  <w:szCs w:val="20"/>
                                </w:rPr>
                                <w:t>ealth practitioner</w:t>
                              </w:r>
                              <w:r w:rsidR="005D0E66">
                                <w:rPr>
                                  <w:rFonts w:ascii="Segoe UI" w:eastAsia="Segoe UI" w:hAnsi="Segoe UI"/>
                                  <w:b/>
                                  <w:bCs/>
                                  <w:szCs w:val="20"/>
                                </w:rPr>
                                <w:t xml:space="preserve"> regulation</w:t>
                              </w:r>
                              <w:r w:rsidRPr="006F605E">
                                <w:rPr>
                                  <w:rFonts w:ascii="Segoe UI" w:eastAsia="Segoe UI" w:hAnsi="Segoe UI"/>
                                  <w:b/>
                                  <w:bCs/>
                                  <w:szCs w:val="20"/>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85"/>
                        <wps:cNvSpPr/>
                        <wps:spPr>
                          <a:xfrm>
                            <a:off x="260350" y="459043"/>
                            <a:ext cx="1620000" cy="514350"/>
                          </a:xfrm>
                          <a:prstGeom prst="rect">
                            <a:avLst/>
                          </a:prstGeom>
                          <a:solidFill>
                            <a:srgbClr val="7EA0BC"/>
                          </a:solidFill>
                          <a:ln w="28575" cap="flat" cmpd="sng" algn="ctr">
                            <a:noFill/>
                            <a:prstDash val="solid"/>
                            <a:miter lim="800000"/>
                          </a:ln>
                          <a:effectLst/>
                        </wps:spPr>
                        <wps:txbx>
                          <w:txbxContent>
                            <w:p w14:paraId="71AAD75F" w14:textId="77777777" w:rsidR="004E24E9" w:rsidRPr="00D97555" w:rsidRDefault="004E24E9" w:rsidP="004E24E9">
                              <w:pPr>
                                <w:spacing w:before="0" w:after="0" w:line="240" w:lineRule="auto"/>
                                <w:jc w:val="center"/>
                                <w:rPr>
                                  <w:color w:val="FFFFFF" w:themeColor="background1"/>
                                </w:rPr>
                              </w:pPr>
                              <w:r w:rsidRPr="00D97555">
                                <w:rPr>
                                  <w:color w:val="FFFFFF" w:themeColor="background1"/>
                                </w:rPr>
                                <w:t>Department of Health (policy and regulator)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lowchart: Predefined Process 86"/>
                        <wps:cNvSpPr/>
                        <wps:spPr>
                          <a:xfrm>
                            <a:off x="279400" y="1172002"/>
                            <a:ext cx="1620000" cy="571500"/>
                          </a:xfrm>
                          <a:prstGeom prst="flowChartPredefinedProcess">
                            <a:avLst/>
                          </a:prstGeom>
                          <a:solidFill>
                            <a:srgbClr val="BED9CD"/>
                          </a:solidFill>
                          <a:ln w="28575" cap="flat" cmpd="sng" algn="ctr">
                            <a:noFill/>
                            <a:prstDash val="solid"/>
                            <a:miter lim="800000"/>
                          </a:ln>
                          <a:effectLst/>
                        </wps:spPr>
                        <wps:txbx>
                          <w:txbxContent>
                            <w:p w14:paraId="42153D6A" w14:textId="77777777" w:rsidR="004E24E9" w:rsidRDefault="004E24E9" w:rsidP="004E24E9">
                              <w:pPr>
                                <w:spacing w:before="0" w:after="0" w:line="240" w:lineRule="auto"/>
                                <w:jc w:val="center"/>
                              </w:pPr>
                              <w:r>
                                <w:t>Health Services Act 1988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lowchart: Predefined Process 87"/>
                        <wps:cNvSpPr/>
                        <wps:spPr>
                          <a:xfrm>
                            <a:off x="279400" y="2094756"/>
                            <a:ext cx="1620000" cy="823300"/>
                          </a:xfrm>
                          <a:prstGeom prst="flowChartPredefinedProcess">
                            <a:avLst/>
                          </a:prstGeom>
                          <a:solidFill>
                            <a:srgbClr val="BED9CD"/>
                          </a:solidFill>
                          <a:ln w="28575" cap="flat" cmpd="sng" algn="ctr">
                            <a:noFill/>
                            <a:prstDash val="solid"/>
                            <a:miter lim="800000"/>
                          </a:ln>
                          <a:effectLst/>
                        </wps:spPr>
                        <wps:txbx>
                          <w:txbxContent>
                            <w:p w14:paraId="43E1E68C" w14:textId="77777777" w:rsidR="004E24E9" w:rsidRDefault="004E24E9" w:rsidP="004E24E9">
                              <w:pPr>
                                <w:spacing w:before="0" w:after="0" w:line="240" w:lineRule="auto"/>
                                <w:jc w:val="center"/>
                                <w:rPr>
                                  <w:rFonts w:eastAsia="Segoe UI"/>
                                  <w:szCs w:val="20"/>
                                </w:rPr>
                              </w:pPr>
                              <w:r>
                                <w:rPr>
                                  <w:rFonts w:eastAsia="Segoe UI"/>
                                  <w:szCs w:val="20"/>
                                </w:rPr>
                                <w:t>Health Services (Health Service Establishment) Regulations 2013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wps:spPr>
                          <a:xfrm>
                            <a:off x="1190625" y="1743502"/>
                            <a:ext cx="0" cy="351254"/>
                          </a:xfrm>
                          <a:prstGeom prst="straightConnector1">
                            <a:avLst/>
                          </a:prstGeom>
                          <a:noFill/>
                          <a:ln w="6350" cap="flat" cmpd="sng" algn="ctr">
                            <a:solidFill>
                              <a:srgbClr val="7B5E05"/>
                            </a:solidFill>
                            <a:prstDash val="solid"/>
                            <a:miter lim="800000"/>
                            <a:tailEnd type="triangle"/>
                          </a:ln>
                          <a:effectLst/>
                        </wps:spPr>
                        <wps:bodyPr/>
                      </wps:wsp>
                      <wps:wsp>
                        <wps:cNvPr id="90" name="Rectangle 90"/>
                        <wps:cNvSpPr/>
                        <wps:spPr>
                          <a:xfrm>
                            <a:off x="279400" y="3286533"/>
                            <a:ext cx="1620000" cy="1371732"/>
                          </a:xfrm>
                          <a:prstGeom prst="rect">
                            <a:avLst/>
                          </a:prstGeom>
                          <a:solidFill>
                            <a:srgbClr val="7EA0BC"/>
                          </a:solidFill>
                          <a:ln w="28575" cap="flat" cmpd="sng" algn="ctr">
                            <a:noFill/>
                            <a:prstDash val="solid"/>
                            <a:miter lim="800000"/>
                          </a:ln>
                          <a:effectLst/>
                        </wps:spPr>
                        <wps:txbx>
                          <w:txbxContent>
                            <w:p w14:paraId="2751F301" w14:textId="77777777" w:rsidR="004E24E9" w:rsidRPr="00D97555" w:rsidRDefault="004E24E9" w:rsidP="004E24E9">
                              <w:pPr>
                                <w:spacing w:before="0" w:after="0" w:line="240" w:lineRule="auto"/>
                                <w:jc w:val="center"/>
                                <w:rPr>
                                  <w:rFonts w:eastAsia="Segoe UI"/>
                                  <w:color w:val="FFFFFF" w:themeColor="background1"/>
                                  <w:szCs w:val="20"/>
                                </w:rPr>
                              </w:pPr>
                              <w:r w:rsidRPr="00D97555">
                                <w:rPr>
                                  <w:rFonts w:eastAsia="Segoe UI"/>
                                  <w:color w:val="FFFFFF" w:themeColor="background1"/>
                                  <w:szCs w:val="20"/>
                                </w:rPr>
                                <w:t xml:space="preserve">Safer Care Victoria </w:t>
                              </w:r>
                            </w:p>
                            <w:p w14:paraId="0DE44196" w14:textId="77777777" w:rsidR="004E24E9" w:rsidRPr="00D97555" w:rsidRDefault="004E24E9" w:rsidP="004E24E9">
                              <w:pPr>
                                <w:spacing w:before="0" w:after="0" w:line="240" w:lineRule="auto"/>
                                <w:jc w:val="center"/>
                                <w:rPr>
                                  <w:rFonts w:eastAsia="Segoe UI"/>
                                  <w:color w:val="FFFFFF" w:themeColor="background1"/>
                                  <w:szCs w:val="20"/>
                                </w:rPr>
                              </w:pPr>
                              <w:r w:rsidRPr="00D97555">
                                <w:rPr>
                                  <w:rFonts w:eastAsia="Segoe UI"/>
                                  <w:color w:val="FFFFFF" w:themeColor="background1"/>
                                  <w:szCs w:val="20"/>
                                </w:rPr>
                                <w:t xml:space="preserve">(administrative office, </w:t>
                              </w:r>
                              <w:r w:rsidRPr="00D97555">
                                <w:rPr>
                                  <w:color w:val="FFFFFF" w:themeColor="background1"/>
                                </w:rPr>
                                <w:t>works with health services to monitor and improve the quality and safety of care across the system</w:t>
                              </w:r>
                              <w:r w:rsidRPr="00D97555">
                                <w:rPr>
                                  <w:rFonts w:eastAsia="Segoe UI"/>
                                  <w:color w:val="FFFFFF" w:themeColor="background1"/>
                                  <w:szCs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4028150" y="476250"/>
                            <a:ext cx="1620000" cy="827260"/>
                          </a:xfrm>
                          <a:prstGeom prst="rect">
                            <a:avLst/>
                          </a:prstGeom>
                          <a:solidFill>
                            <a:srgbClr val="403151">
                              <a:lumMod val="75000"/>
                            </a:srgbClr>
                          </a:solidFill>
                          <a:ln w="28575" cap="flat" cmpd="sng" algn="ctr">
                            <a:solidFill>
                              <a:srgbClr val="403151">
                                <a:lumMod val="75000"/>
                              </a:srgbClr>
                            </a:solidFill>
                            <a:prstDash val="solid"/>
                            <a:miter lim="800000"/>
                          </a:ln>
                          <a:effectLst/>
                        </wps:spPr>
                        <wps:txbx>
                          <w:txbxContent>
                            <w:p w14:paraId="1BC3C069" w14:textId="77777777" w:rsidR="004E24E9" w:rsidRDefault="004E24E9" w:rsidP="004E24E9">
                              <w:pPr>
                                <w:spacing w:before="0" w:after="0" w:line="240" w:lineRule="auto"/>
                                <w:jc w:val="center"/>
                              </w:pPr>
                              <w:r>
                                <w:t>Australian Health Practitioner Regulation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owchart: Document 93"/>
                        <wps:cNvSpPr/>
                        <wps:spPr>
                          <a:xfrm>
                            <a:off x="4050545" y="1739221"/>
                            <a:ext cx="1620000" cy="971647"/>
                          </a:xfrm>
                          <a:prstGeom prst="flowChartDocument">
                            <a:avLst/>
                          </a:prstGeom>
                          <a:solidFill>
                            <a:srgbClr val="C3D9EE"/>
                          </a:solidFill>
                          <a:ln w="28575" cap="flat" cmpd="sng" algn="ctr">
                            <a:solidFill>
                              <a:srgbClr val="C3D9EE"/>
                            </a:solidFill>
                            <a:prstDash val="solid"/>
                            <a:miter lim="800000"/>
                          </a:ln>
                          <a:effectLst/>
                        </wps:spPr>
                        <wps:txbx>
                          <w:txbxContent>
                            <w:p w14:paraId="3FB9437A" w14:textId="77777777" w:rsidR="004E24E9" w:rsidRDefault="004E24E9" w:rsidP="004E24E9">
                              <w:pPr>
                                <w:spacing w:before="0" w:after="0" w:line="240" w:lineRule="auto"/>
                                <w:jc w:val="center"/>
                              </w:pPr>
                              <w:r>
                                <w:t>National Registration and Accreditation Scheme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Text Box 29"/>
                        <wps:cNvSpPr txBox="1"/>
                        <wps:spPr>
                          <a:xfrm>
                            <a:off x="4149520" y="2987193"/>
                            <a:ext cx="1399735" cy="270166"/>
                          </a:xfrm>
                          <a:prstGeom prst="rect">
                            <a:avLst/>
                          </a:prstGeom>
                          <a:noFill/>
                          <a:ln w="6350">
                            <a:noFill/>
                          </a:ln>
                        </wps:spPr>
                        <wps:txbx>
                          <w:txbxContent>
                            <w:p w14:paraId="415E762A" w14:textId="77777777" w:rsidR="004E24E9" w:rsidRPr="001E347D" w:rsidRDefault="004E24E9" w:rsidP="004E24E9">
                              <w:pPr>
                                <w:spacing w:before="0" w:after="0" w:line="240" w:lineRule="auto"/>
                                <w:jc w:val="center"/>
                                <w:rPr>
                                  <w:rFonts w:ascii="Segoe UI" w:eastAsia="Segoe UI" w:hAnsi="Segoe UI"/>
                                  <w:i/>
                                  <w:iCs/>
                                  <w:color w:val="7B5E05" w:themeColor="accent1"/>
                                  <w:sz w:val="16"/>
                                  <w:szCs w:val="16"/>
                                </w:rPr>
                              </w:pPr>
                              <w:r w:rsidRPr="001E347D">
                                <w:rPr>
                                  <w:rFonts w:ascii="Segoe UI" w:eastAsia="Segoe UI" w:hAnsi="Segoe UI"/>
                                  <w:i/>
                                  <w:iCs/>
                                  <w:color w:val="7B5E05" w:themeColor="accent1"/>
                                  <w:sz w:val="16"/>
                                  <w:szCs w:val="16"/>
                                </w:rPr>
                                <w:t>Enabled by: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Straight Arrow Connector 95"/>
                        <wps:cNvCnPr/>
                        <wps:spPr>
                          <a:xfrm>
                            <a:off x="5292745" y="1303557"/>
                            <a:ext cx="9530" cy="43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 name="Flowchart: Predefined Process 96"/>
                        <wps:cNvSpPr/>
                        <wps:spPr>
                          <a:xfrm>
                            <a:off x="4021619" y="3296707"/>
                            <a:ext cx="1620000" cy="885873"/>
                          </a:xfrm>
                          <a:prstGeom prst="flowChartPredefinedProcess">
                            <a:avLst/>
                          </a:prstGeom>
                          <a:solidFill>
                            <a:srgbClr val="BED9CD"/>
                          </a:solidFill>
                          <a:ln w="28575" cap="flat" cmpd="sng" algn="ctr">
                            <a:noFill/>
                            <a:prstDash val="solid"/>
                            <a:miter lim="800000"/>
                          </a:ln>
                          <a:effectLst/>
                        </wps:spPr>
                        <wps:txbx>
                          <w:txbxContent>
                            <w:p w14:paraId="5FE7F0BD" w14:textId="77777777" w:rsidR="004E24E9" w:rsidRDefault="004E24E9" w:rsidP="004E24E9">
                              <w:pPr>
                                <w:spacing w:before="0" w:after="0" w:line="240" w:lineRule="auto"/>
                                <w:jc w:val="center"/>
                                <w:rPr>
                                  <w:rFonts w:eastAsia="Segoe UI"/>
                                  <w:szCs w:val="20"/>
                                </w:rPr>
                              </w:pPr>
                              <w:r>
                                <w:rPr>
                                  <w:rFonts w:eastAsia="Segoe UI"/>
                                  <w:szCs w:val="20"/>
                                </w:rPr>
                                <w:t>Health Practitioner National Law Act 2009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Flowchart: Predefined Process 97"/>
                        <wps:cNvSpPr/>
                        <wps:spPr>
                          <a:xfrm>
                            <a:off x="4021619" y="4322114"/>
                            <a:ext cx="1620000" cy="1009865"/>
                          </a:xfrm>
                          <a:prstGeom prst="flowChartPredefinedProcess">
                            <a:avLst/>
                          </a:prstGeom>
                          <a:solidFill>
                            <a:srgbClr val="BED9CD"/>
                          </a:solidFill>
                          <a:ln w="28575" cap="flat" cmpd="sng" algn="ctr">
                            <a:noFill/>
                            <a:prstDash val="solid"/>
                            <a:miter lim="800000"/>
                          </a:ln>
                          <a:effectLst/>
                        </wps:spPr>
                        <wps:txbx>
                          <w:txbxContent>
                            <w:p w14:paraId="600B6770" w14:textId="77777777" w:rsidR="004E24E9" w:rsidRDefault="004E24E9" w:rsidP="004E24E9">
                              <w:pPr>
                                <w:spacing w:before="0" w:after="0" w:line="240" w:lineRule="auto"/>
                                <w:jc w:val="center"/>
                                <w:rPr>
                                  <w:rFonts w:eastAsia="Segoe UI"/>
                                  <w:szCs w:val="20"/>
                                </w:rPr>
                              </w:pPr>
                              <w:r>
                                <w:rPr>
                                  <w:rFonts w:eastAsia="Segoe UI"/>
                                  <w:szCs w:val="20"/>
                                </w:rPr>
                                <w:t>Health Practitioner National Law Act (Victoria) 2009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121883" y="480994"/>
                            <a:ext cx="1620000" cy="822469"/>
                          </a:xfrm>
                          <a:prstGeom prst="rect">
                            <a:avLst/>
                          </a:prstGeom>
                          <a:solidFill>
                            <a:srgbClr val="403151">
                              <a:lumMod val="75000"/>
                            </a:srgbClr>
                          </a:solidFill>
                          <a:ln w="28575" cap="flat" cmpd="sng" algn="ctr">
                            <a:solidFill>
                              <a:srgbClr val="403151">
                                <a:lumMod val="75000"/>
                              </a:srgbClr>
                            </a:solidFill>
                            <a:prstDash val="solid"/>
                            <a:miter lim="800000"/>
                          </a:ln>
                          <a:effectLst/>
                        </wps:spPr>
                        <wps:txbx>
                          <w:txbxContent>
                            <w:p w14:paraId="308C194B" w14:textId="77777777" w:rsidR="004E24E9" w:rsidRPr="001A3549" w:rsidRDefault="004E24E9" w:rsidP="004E24E9">
                              <w:pPr>
                                <w:spacing w:before="0" w:after="0" w:line="240" w:lineRule="auto"/>
                                <w:jc w:val="center"/>
                                <w:rPr>
                                  <w:rFonts w:eastAsia="Segoe UI"/>
                                  <w:szCs w:val="20"/>
                                </w:rPr>
                              </w:pPr>
                              <w:r>
                                <w:rPr>
                                  <w:rFonts w:eastAsia="Segoe UI"/>
                                  <w:szCs w:val="20"/>
                                </w:rPr>
                                <w:t>Australian Commission on Safety and Quality in Healthcare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Flowchart: Document 99"/>
                        <wps:cNvSpPr/>
                        <wps:spPr>
                          <a:xfrm>
                            <a:off x="2131180" y="1737773"/>
                            <a:ext cx="1620000" cy="1218383"/>
                          </a:xfrm>
                          <a:prstGeom prst="flowChartDocument">
                            <a:avLst/>
                          </a:prstGeom>
                          <a:solidFill>
                            <a:srgbClr val="C3D9EE"/>
                          </a:solidFill>
                          <a:ln w="28575" cap="flat" cmpd="sng" algn="ctr">
                            <a:solidFill>
                              <a:srgbClr val="C3D9EE"/>
                            </a:solidFill>
                            <a:prstDash val="solid"/>
                            <a:miter lim="800000"/>
                          </a:ln>
                          <a:effectLst/>
                        </wps:spPr>
                        <wps:txbx>
                          <w:txbxContent>
                            <w:p w14:paraId="09B3116A" w14:textId="77777777" w:rsidR="004E24E9" w:rsidRDefault="004E24E9" w:rsidP="004E24E9">
                              <w:pPr>
                                <w:jc w:val="center"/>
                                <w:rPr>
                                  <w:rFonts w:eastAsia="Segoe UI"/>
                                  <w:szCs w:val="20"/>
                                </w:rPr>
                              </w:pPr>
                              <w:r>
                                <w:rPr>
                                  <w:rFonts w:eastAsia="Segoe UI"/>
                                  <w:szCs w:val="20"/>
                                </w:rPr>
                                <w:t xml:space="preserve">Australian Health Service </w:t>
                              </w:r>
                              <w:r w:rsidRPr="00DF55B2">
                                <w:rPr>
                                  <w:rFonts w:eastAsia="Segoe UI"/>
                                  <w:szCs w:val="20"/>
                                </w:rPr>
                                <w:t>Safety and Quality Accreditation</w:t>
                              </w:r>
                              <w:r>
                                <w:rPr>
                                  <w:rFonts w:eastAsia="Segoe UI"/>
                                  <w:szCs w:val="20"/>
                                </w:rPr>
                                <w:t xml:space="preserve"> Scheme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Flowchart: Document 100"/>
                        <wps:cNvSpPr/>
                        <wps:spPr>
                          <a:xfrm>
                            <a:off x="2131180" y="3313956"/>
                            <a:ext cx="1620000" cy="943949"/>
                          </a:xfrm>
                          <a:prstGeom prst="flowChartDocument">
                            <a:avLst/>
                          </a:prstGeom>
                          <a:solidFill>
                            <a:srgbClr val="C3D9EE"/>
                          </a:solidFill>
                          <a:ln w="28575" cap="flat" cmpd="sng" algn="ctr">
                            <a:solidFill>
                              <a:srgbClr val="C3D9EE"/>
                            </a:solidFill>
                            <a:prstDash val="solid"/>
                            <a:miter lim="800000"/>
                          </a:ln>
                          <a:effectLst/>
                        </wps:spPr>
                        <wps:txbx>
                          <w:txbxContent>
                            <w:p w14:paraId="35AFC7B4" w14:textId="77777777" w:rsidR="004E24E9" w:rsidRDefault="004E24E9" w:rsidP="004E24E9">
                              <w:pPr>
                                <w:jc w:val="center"/>
                                <w:rPr>
                                  <w:rFonts w:eastAsia="Segoe UI"/>
                                  <w:szCs w:val="20"/>
                                </w:rPr>
                              </w:pPr>
                              <w:r>
                                <w:rPr>
                                  <w:rFonts w:eastAsia="Segoe UI"/>
                                  <w:szCs w:val="20"/>
                                </w:rPr>
                                <w:t>National Safety and Quality Health Service Standards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Text Box 29"/>
                        <wps:cNvSpPr txBox="1"/>
                        <wps:spPr>
                          <a:xfrm>
                            <a:off x="2061713" y="4335930"/>
                            <a:ext cx="1667967" cy="269875"/>
                          </a:xfrm>
                          <a:prstGeom prst="rect">
                            <a:avLst/>
                          </a:prstGeom>
                          <a:noFill/>
                          <a:ln w="6350">
                            <a:noFill/>
                          </a:ln>
                        </wps:spPr>
                        <wps:txbx>
                          <w:txbxContent>
                            <w:p w14:paraId="338D2713" w14:textId="77777777" w:rsidR="004E24E9" w:rsidRPr="001E347D" w:rsidRDefault="004E24E9" w:rsidP="004E24E9">
                              <w:pPr>
                                <w:spacing w:before="0" w:after="0" w:line="240" w:lineRule="auto"/>
                                <w:jc w:val="center"/>
                                <w:rPr>
                                  <w:rFonts w:ascii="Segoe UI" w:eastAsia="Segoe UI" w:hAnsi="Segoe UI"/>
                                  <w:i/>
                                  <w:iCs/>
                                  <w:color w:val="7B5E05" w:themeColor="accent1"/>
                                  <w:sz w:val="16"/>
                                  <w:szCs w:val="16"/>
                                </w:rPr>
                              </w:pPr>
                              <w:r w:rsidRPr="001E347D">
                                <w:rPr>
                                  <w:rFonts w:ascii="Segoe UI" w:eastAsia="Segoe UI" w:hAnsi="Segoe UI"/>
                                  <w:i/>
                                  <w:iCs/>
                                  <w:color w:val="7B5E05" w:themeColor="accent1"/>
                                  <w:sz w:val="16"/>
                                  <w:szCs w:val="16"/>
                                </w:rPr>
                                <w:t>Enabled by: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Flowchart: Predefined Process 102"/>
                        <wps:cNvSpPr/>
                        <wps:spPr>
                          <a:xfrm>
                            <a:off x="2132149" y="4605960"/>
                            <a:ext cx="1620000" cy="656833"/>
                          </a:xfrm>
                          <a:prstGeom prst="flowChartPredefinedProcess">
                            <a:avLst/>
                          </a:prstGeom>
                          <a:solidFill>
                            <a:srgbClr val="BED9CD"/>
                          </a:solidFill>
                          <a:ln w="28575" cap="flat" cmpd="sng" algn="ctr">
                            <a:noFill/>
                            <a:prstDash val="solid"/>
                            <a:miter lim="800000"/>
                          </a:ln>
                          <a:effectLst/>
                        </wps:spPr>
                        <wps:txbx>
                          <w:txbxContent>
                            <w:p w14:paraId="4920BFD8" w14:textId="77777777" w:rsidR="004E24E9" w:rsidRDefault="004E24E9" w:rsidP="004E24E9">
                              <w:pPr>
                                <w:spacing w:before="0" w:after="0" w:line="240" w:lineRule="auto"/>
                                <w:jc w:val="center"/>
                                <w:rPr>
                                  <w:rFonts w:eastAsia="Segoe UI"/>
                                  <w:szCs w:val="20"/>
                                </w:rPr>
                              </w:pPr>
                              <w:r>
                                <w:rPr>
                                  <w:rFonts w:eastAsia="Segoe UI"/>
                                  <w:szCs w:val="20"/>
                                </w:rPr>
                                <w:t>National Health Reform Act 2011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Straight Arrow Connector 104"/>
                        <wps:cNvCnPr/>
                        <wps:spPr>
                          <a:xfrm>
                            <a:off x="3049185" y="2875607"/>
                            <a:ext cx="0" cy="4383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5" name="Connector: Elbow 105"/>
                        <wps:cNvCnPr/>
                        <wps:spPr>
                          <a:xfrm>
                            <a:off x="1843070" y="1457752"/>
                            <a:ext cx="348492" cy="889213"/>
                          </a:xfrm>
                          <a:prstGeom prst="bentConnector3">
                            <a:avLst/>
                          </a:prstGeom>
                          <a:noFill/>
                          <a:ln w="19050" cap="flat" cmpd="sng" algn="ctr">
                            <a:solidFill>
                              <a:srgbClr val="7B5E05"/>
                            </a:solidFill>
                            <a:prstDash val="sysDash"/>
                            <a:miter lim="800000"/>
                            <a:headEnd type="triangle" w="med" len="med"/>
                            <a:tailEnd type="triangle" w="med" len="med"/>
                          </a:ln>
                          <a:effectLst/>
                        </wps:spPr>
                        <wps:bodyPr/>
                      </wps:wsp>
                      <wps:wsp>
                        <wps:cNvPr id="106" name="Text Box 106"/>
                        <wps:cNvSpPr txBox="1"/>
                        <wps:spPr>
                          <a:xfrm>
                            <a:off x="72390" y="6037736"/>
                            <a:ext cx="471267" cy="302455"/>
                          </a:xfrm>
                          <a:prstGeom prst="rect">
                            <a:avLst/>
                          </a:prstGeom>
                          <a:solidFill>
                            <a:sysClr val="window" lastClr="FFFFFF"/>
                          </a:solidFill>
                          <a:ln w="6350">
                            <a:noFill/>
                          </a:ln>
                        </wps:spPr>
                        <wps:txbx>
                          <w:txbxContent>
                            <w:p w14:paraId="086CA74D" w14:textId="77777777" w:rsidR="004E24E9" w:rsidRDefault="004E24E9" w:rsidP="004E24E9">
                              <w:pPr>
                                <w:spacing w:before="0" w:after="0" w:line="240" w:lineRule="auto"/>
                              </w:pPr>
                              <w: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Rectangle: Rounded Corners 107"/>
                        <wps:cNvSpPr/>
                        <wps:spPr>
                          <a:xfrm>
                            <a:off x="466285" y="6044770"/>
                            <a:ext cx="1083213" cy="309489"/>
                          </a:xfrm>
                          <a:prstGeom prst="roundRect">
                            <a:avLst/>
                          </a:prstGeom>
                          <a:solidFill>
                            <a:srgbClr val="403151">
                              <a:lumMod val="75000"/>
                            </a:srgbClr>
                          </a:solidFill>
                          <a:ln w="28575" cap="flat" cmpd="sng" algn="ctr">
                            <a:solidFill>
                              <a:srgbClr val="403151">
                                <a:lumMod val="75000"/>
                              </a:srgbClr>
                            </a:solidFill>
                            <a:prstDash val="solid"/>
                            <a:miter lim="800000"/>
                          </a:ln>
                          <a:effectLst/>
                        </wps:spPr>
                        <wps:txbx>
                          <w:txbxContent>
                            <w:p w14:paraId="4B5AE2AE" w14:textId="77777777" w:rsidR="004E24E9" w:rsidRPr="00F25C1E" w:rsidRDefault="004E24E9" w:rsidP="004E24E9">
                              <w:pPr>
                                <w:spacing w:before="0" w:after="0" w:line="240" w:lineRule="auto"/>
                                <w:jc w:val="center"/>
                                <w:rPr>
                                  <w:sz w:val="18"/>
                                  <w:szCs w:val="20"/>
                                </w:rPr>
                              </w:pPr>
                              <w:r w:rsidRPr="00F25C1E">
                                <w:rPr>
                                  <w:sz w:val="18"/>
                                  <w:szCs w:val="20"/>
                                </w:rPr>
                                <w:t>National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Rounded Corners 108"/>
                        <wps:cNvSpPr/>
                        <wps:spPr>
                          <a:xfrm>
                            <a:off x="1616956" y="6045014"/>
                            <a:ext cx="1082675" cy="309245"/>
                          </a:xfrm>
                          <a:prstGeom prst="roundRect">
                            <a:avLst/>
                          </a:prstGeom>
                          <a:solidFill>
                            <a:srgbClr val="7EA0BC"/>
                          </a:solidFill>
                          <a:ln w="28575" cap="flat" cmpd="sng" algn="ctr">
                            <a:noFill/>
                            <a:prstDash val="solid"/>
                            <a:miter lim="800000"/>
                          </a:ln>
                          <a:effectLst/>
                        </wps:spPr>
                        <wps:txbx>
                          <w:txbxContent>
                            <w:p w14:paraId="78B6FF67" w14:textId="77777777" w:rsidR="004E24E9" w:rsidRPr="00D97555" w:rsidRDefault="004E24E9" w:rsidP="004E24E9">
                              <w:pPr>
                                <w:spacing w:before="0" w:after="0" w:line="240" w:lineRule="auto"/>
                                <w:jc w:val="center"/>
                                <w:rPr>
                                  <w:rFonts w:eastAsia="Segoe UI"/>
                                  <w:color w:val="FFFFFF" w:themeColor="background1"/>
                                  <w:sz w:val="18"/>
                                  <w:szCs w:val="18"/>
                                </w:rPr>
                              </w:pPr>
                              <w:r w:rsidRPr="00D97555">
                                <w:rPr>
                                  <w:rFonts w:eastAsia="Segoe UI"/>
                                  <w:color w:val="FFFFFF" w:themeColor="background1"/>
                                  <w:sz w:val="18"/>
                                  <w:szCs w:val="18"/>
                                </w:rPr>
                                <w:t>Victorian body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Flowchart: Predefined Process 109"/>
                        <wps:cNvSpPr/>
                        <wps:spPr>
                          <a:xfrm>
                            <a:off x="2780421" y="6039738"/>
                            <a:ext cx="1132449" cy="321555"/>
                          </a:xfrm>
                          <a:prstGeom prst="flowChartPredefinedProcess">
                            <a:avLst/>
                          </a:prstGeom>
                          <a:solidFill>
                            <a:srgbClr val="BED9CD"/>
                          </a:solidFill>
                          <a:ln w="28575" cap="flat" cmpd="sng" algn="ctr">
                            <a:noFill/>
                            <a:prstDash val="solid"/>
                            <a:miter lim="800000"/>
                          </a:ln>
                          <a:effectLst/>
                        </wps:spPr>
                        <wps:txbx>
                          <w:txbxContent>
                            <w:p w14:paraId="1F711C97" w14:textId="77777777" w:rsidR="004E24E9" w:rsidRPr="003F7988" w:rsidRDefault="004E24E9" w:rsidP="004E24E9">
                              <w:pPr>
                                <w:spacing w:before="0" w:after="0" w:line="240" w:lineRule="auto"/>
                                <w:jc w:val="center"/>
                                <w:rPr>
                                  <w:sz w:val="18"/>
                                  <w:szCs w:val="20"/>
                                </w:rPr>
                              </w:pPr>
                              <w:r w:rsidRPr="003F7988">
                                <w:rPr>
                                  <w:sz w:val="18"/>
                                  <w:szCs w:val="20"/>
                                </w:rPr>
                                <w:t>Legislation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Flowchart: Document 110"/>
                        <wps:cNvSpPr/>
                        <wps:spPr>
                          <a:xfrm>
                            <a:off x="4025412" y="6037736"/>
                            <a:ext cx="1441938" cy="351692"/>
                          </a:xfrm>
                          <a:prstGeom prst="flowChartDocument">
                            <a:avLst/>
                          </a:prstGeom>
                          <a:solidFill>
                            <a:srgbClr val="C3D9EE"/>
                          </a:solidFill>
                          <a:ln w="28575" cap="flat" cmpd="sng" algn="ctr">
                            <a:solidFill>
                              <a:srgbClr val="C3D9EE"/>
                            </a:solidFill>
                            <a:prstDash val="solid"/>
                            <a:miter lim="800000"/>
                          </a:ln>
                          <a:effectLst/>
                        </wps:spPr>
                        <wps:txbx>
                          <w:txbxContent>
                            <w:p w14:paraId="51627E3C" w14:textId="77777777" w:rsidR="004E24E9" w:rsidRPr="003F7988" w:rsidRDefault="004E24E9" w:rsidP="004E24E9">
                              <w:pPr>
                                <w:spacing w:before="0" w:after="0" w:line="240" w:lineRule="auto"/>
                                <w:jc w:val="center"/>
                                <w:rPr>
                                  <w:sz w:val="18"/>
                                  <w:szCs w:val="20"/>
                                </w:rPr>
                              </w:pPr>
                              <w:r>
                                <w:rPr>
                                  <w:sz w:val="18"/>
                                  <w:szCs w:val="20"/>
                                </w:rPr>
                                <w:t xml:space="preserve">Schemes and </w:t>
                              </w:r>
                              <w:r w:rsidRPr="003F7988">
                                <w:rPr>
                                  <w:sz w:val="18"/>
                                  <w:szCs w:val="20"/>
                                </w:rPr>
                                <w:t>Standard</w:t>
                              </w:r>
                              <w:r>
                                <w:rPr>
                                  <w:sz w:val="18"/>
                                  <w:szCs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Text Box 111"/>
                        <wps:cNvSpPr txBox="1"/>
                        <wps:spPr>
                          <a:xfrm>
                            <a:off x="286284" y="1716283"/>
                            <a:ext cx="871671" cy="432983"/>
                          </a:xfrm>
                          <a:prstGeom prst="rect">
                            <a:avLst/>
                          </a:prstGeom>
                          <a:noFill/>
                          <a:ln w="6350">
                            <a:noFill/>
                          </a:ln>
                        </wps:spPr>
                        <wps:txbx>
                          <w:txbxContent>
                            <w:p w14:paraId="4A91922C" w14:textId="64566949" w:rsidR="004E24E9" w:rsidRPr="001E347D" w:rsidRDefault="004E24E9" w:rsidP="004E24E9">
                              <w:pPr>
                                <w:spacing w:before="0" w:after="0" w:line="240" w:lineRule="auto"/>
                                <w:rPr>
                                  <w:i/>
                                  <w:iCs/>
                                  <w:color w:val="7B5E05" w:themeColor="accent1"/>
                                  <w:sz w:val="16"/>
                                  <w:szCs w:val="16"/>
                                </w:rPr>
                              </w:pPr>
                              <w:r w:rsidRPr="001E347D">
                                <w:rPr>
                                  <w:i/>
                                  <w:iCs/>
                                  <w:color w:val="7B5E05" w:themeColor="accent1"/>
                                  <w:sz w:val="16"/>
                                  <w:szCs w:val="16"/>
                                </w:rPr>
                                <w:t>Act authorises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75"/>
                        <wps:cNvSpPr txBox="1"/>
                        <wps:spPr>
                          <a:xfrm>
                            <a:off x="2121883" y="2917846"/>
                            <a:ext cx="839236" cy="368569"/>
                          </a:xfrm>
                          <a:prstGeom prst="rect">
                            <a:avLst/>
                          </a:prstGeom>
                          <a:noFill/>
                          <a:ln w="6350">
                            <a:noFill/>
                          </a:ln>
                        </wps:spPr>
                        <wps:txbx>
                          <w:txbxContent>
                            <w:p w14:paraId="4DA17BAC" w14:textId="77777777" w:rsidR="004E24E9" w:rsidRPr="00466F45" w:rsidRDefault="004E24E9" w:rsidP="004E24E9">
                              <w:pPr>
                                <w:spacing w:before="0" w:after="0" w:line="240" w:lineRule="auto"/>
                                <w:rPr>
                                  <w:rFonts w:ascii="Segoe UI" w:eastAsia="Segoe UI" w:hAnsi="Segoe UI"/>
                                  <w:i/>
                                  <w:color w:val="7B5E05" w:themeColor="accent1"/>
                                  <w:sz w:val="16"/>
                                  <w:szCs w:val="16"/>
                                </w:rPr>
                              </w:pPr>
                              <w:r w:rsidRPr="001E347D">
                                <w:rPr>
                                  <w:rFonts w:ascii="Segoe UI" w:eastAsia="Segoe UI" w:hAnsi="Segoe UI"/>
                                  <w:i/>
                                  <w:color w:val="7B5E05" w:themeColor="accent1"/>
                                  <w:sz w:val="16"/>
                                  <w:szCs w:val="16"/>
                                </w:rPr>
                                <w:t xml:space="preserve">Standards sit under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Text Box 75"/>
                        <wps:cNvSpPr txBox="1"/>
                        <wps:spPr>
                          <a:xfrm>
                            <a:off x="2061713" y="1322403"/>
                            <a:ext cx="1243613" cy="395207"/>
                          </a:xfrm>
                          <a:prstGeom prst="rect">
                            <a:avLst/>
                          </a:prstGeom>
                          <a:noFill/>
                          <a:ln w="6350">
                            <a:noFill/>
                          </a:ln>
                        </wps:spPr>
                        <wps:txbx>
                          <w:txbxContent>
                            <w:p w14:paraId="47125F95" w14:textId="77777777" w:rsidR="004E24E9" w:rsidRPr="001E347D" w:rsidRDefault="004E24E9" w:rsidP="004E24E9">
                              <w:pPr>
                                <w:spacing w:before="0" w:after="0" w:line="240" w:lineRule="auto"/>
                                <w:rPr>
                                  <w:rFonts w:ascii="Segoe UI" w:eastAsia="Segoe UI" w:hAnsi="Segoe UI"/>
                                  <w:i/>
                                  <w:color w:val="7B5E05" w:themeColor="accent1"/>
                                  <w:sz w:val="16"/>
                                  <w:szCs w:val="16"/>
                                </w:rPr>
                              </w:pPr>
                              <w:r w:rsidRPr="001E347D">
                                <w:rPr>
                                  <w:rFonts w:ascii="Segoe UI" w:eastAsia="Segoe UI" w:hAnsi="Segoe UI"/>
                                  <w:i/>
                                  <w:color w:val="7B5E05" w:themeColor="accent1"/>
                                  <w:sz w:val="16"/>
                                  <w:szCs w:val="16"/>
                                </w:rPr>
                                <w:t xml:space="preserve">Commission administers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75"/>
                        <wps:cNvSpPr txBox="1"/>
                        <wps:spPr>
                          <a:xfrm>
                            <a:off x="4167188" y="1333049"/>
                            <a:ext cx="1109839" cy="424238"/>
                          </a:xfrm>
                          <a:prstGeom prst="rect">
                            <a:avLst/>
                          </a:prstGeom>
                          <a:noFill/>
                          <a:ln w="6350">
                            <a:noFill/>
                          </a:ln>
                        </wps:spPr>
                        <wps:txbx>
                          <w:txbxContent>
                            <w:p w14:paraId="26E9B8C3" w14:textId="77777777" w:rsidR="004E24E9" w:rsidRPr="00466F45" w:rsidRDefault="004E24E9" w:rsidP="001E347D">
                              <w:pPr>
                                <w:spacing w:before="0"/>
                                <w:rPr>
                                  <w:color w:val="7B5E05" w:themeColor="accent1"/>
                                </w:rPr>
                              </w:pPr>
                              <w:r w:rsidRPr="001E347D">
                                <w:rPr>
                                  <w:rFonts w:ascii="Segoe UI" w:eastAsia="Segoe UI" w:hAnsi="Segoe UI"/>
                                  <w:i/>
                                  <w:color w:val="7B5E05" w:themeColor="accent1"/>
                                  <w:sz w:val="16"/>
                                  <w:szCs w:val="16"/>
                                </w:rPr>
                                <w:t xml:space="preserve">Agency administers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2488023" name="Text Box 29"/>
                        <wps:cNvSpPr txBox="1"/>
                        <wps:spPr>
                          <a:xfrm>
                            <a:off x="1957125" y="113407"/>
                            <a:ext cx="2026203" cy="265273"/>
                          </a:xfrm>
                          <a:prstGeom prst="rect">
                            <a:avLst/>
                          </a:prstGeom>
                          <a:noFill/>
                          <a:ln w="6350">
                            <a:noFill/>
                          </a:ln>
                        </wps:spPr>
                        <wps:txbx>
                          <w:txbxContent>
                            <w:p w14:paraId="6CAE8950" w14:textId="621208AF" w:rsidR="005D194E" w:rsidRPr="00653C49" w:rsidRDefault="005D194E" w:rsidP="004E24E9">
                              <w:pPr>
                                <w:spacing w:before="0" w:after="0" w:line="240" w:lineRule="auto"/>
                                <w:jc w:val="center"/>
                                <w:rPr>
                                  <w:rFonts w:ascii="Segoe UI" w:eastAsia="Segoe UI" w:hAnsi="Segoe UI"/>
                                  <w:b/>
                                  <w:bCs/>
                                  <w:szCs w:val="20"/>
                                </w:rPr>
                              </w:pPr>
                              <w:r>
                                <w:rPr>
                                  <w:rFonts w:ascii="Segoe UI" w:eastAsia="Segoe UI" w:hAnsi="Segoe UI"/>
                                  <w:b/>
                                  <w:bCs/>
                                  <w:szCs w:val="20"/>
                                </w:rPr>
                                <w:t>National accreditation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0968916" name="Straight Arrow Connector 990968916"/>
                        <wps:cNvCnPr/>
                        <wps:spPr>
                          <a:xfrm>
                            <a:off x="3070538" y="1273482"/>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8790D24" id="Canvas 115" o:spid="_x0000_s1026" editas="canvas" style="width:452.45pt;height:529.5pt;mso-position-horizontal-relative:char;mso-position-vertical-relative:line" coordsize="57461,6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61;height:67246;visibility:visible;mso-wrap-style:square" filled="t">
                  <v:fill o:detectmouseclick="t"/>
                  <v:path o:connecttype="none"/>
                </v:shape>
                <v:roundrect id="Rectangle: Rounded Corners 79" o:spid="_x0000_s1028" style="position:absolute;left:1272;top:288;width:18000;height:58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" filled="f" strokecolor="#eeece1" strokeweight="2.25pt">
                  <v:stroke joinstyle="miter"/>
                  <v:textbox>
                    <w:txbxContent>
                      <w:p w14:paraId="48302471" w14:textId="77777777" w:rsidR="004E24E9" w:rsidRDefault="004E24E9" w:rsidP="00D45843">
                        <w:pPr>
                          <w:jc w:val="center"/>
                        </w:pPr>
                      </w:p>
                    </w:txbxContent>
                  </v:textbox>
                </v:roundrect>
                <v:roundrect id="Rectangle: Rounded Corners 80" o:spid="_x0000_s1029" style="position:absolute;left:20393;top:606;width:18000;height:582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" filled="f" strokecolor="#eeece1" strokeweight="2.25pt">
                  <v:stroke joinstyle="miter"/>
                </v:roundrect>
                <v:roundrect id="Rectangle: Rounded Corners 81" o:spid="_x0000_s1030" style="position:absolute;left:39461;top:432;width:18000;height:58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" filled="f" strokecolor="#eeece1" strokeweight="2.25pt">
                  <v:stroke joinstyle="miter"/>
                </v:roundrect>
                <v:shapetype id="_x0000_t202" coordsize="21600,21600" o:spt="202" path="m,l,21600r21600,l21600,xe">
                  <v:stroke joinstyle="miter"/>
                  <v:path gradientshapeok="t" o:connecttype="rect"/>
                </v:shapetype>
                <v:shape id="_x0000_s1031" type="#_x0000_t202" style="position:absolute;left:248;top:1134;width:20262;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7694F70A" w14:textId="77777777" w:rsidR="004E24E9" w:rsidRPr="00653C49" w:rsidRDefault="004E24E9" w:rsidP="004E24E9">
                        <w:pPr>
                          <w:spacing w:before="0" w:after="0" w:line="240" w:lineRule="auto"/>
                          <w:jc w:val="center"/>
                          <w:rPr>
                            <w:rFonts w:ascii="Segoe UI" w:eastAsia="Segoe UI" w:hAnsi="Segoe UI"/>
                            <w:b/>
                            <w:bCs/>
                            <w:szCs w:val="20"/>
                          </w:rPr>
                        </w:pPr>
                        <w:r w:rsidRPr="006F605E">
                          <w:rPr>
                            <w:rFonts w:ascii="Segoe UI" w:eastAsia="Segoe UI" w:hAnsi="Segoe UI"/>
                            <w:b/>
                            <w:bCs/>
                            <w:szCs w:val="20"/>
                          </w:rPr>
                          <w:t>Victorian regulatory scheme</w:t>
                        </w:r>
                      </w:p>
                    </w:txbxContent>
                  </v:textbox>
                </v:shape>
                <v:shape id="_x0000_s1032" type="#_x0000_t202" style="position:absolute;left:40814;top:144;width:16019;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4BD62734" w14:textId="45838C90" w:rsidR="004E24E9" w:rsidRPr="006F605E" w:rsidRDefault="004E24E9" w:rsidP="004E24E9">
                        <w:pPr>
                          <w:spacing w:before="0" w:after="0" w:line="240" w:lineRule="auto"/>
                          <w:jc w:val="center"/>
                          <w:rPr>
                            <w:rFonts w:ascii="Segoe UI" w:eastAsia="Segoe UI" w:hAnsi="Segoe UI"/>
                            <w:b/>
                            <w:bCs/>
                            <w:szCs w:val="20"/>
                          </w:rPr>
                        </w:pPr>
                        <w:r>
                          <w:rPr>
                            <w:rFonts w:ascii="Segoe UI" w:eastAsia="Segoe UI" w:hAnsi="Segoe UI"/>
                            <w:b/>
                            <w:bCs/>
                            <w:szCs w:val="20"/>
                          </w:rPr>
                          <w:t>National h</w:t>
                        </w:r>
                        <w:r w:rsidRPr="006F605E">
                          <w:rPr>
                            <w:rFonts w:ascii="Segoe UI" w:eastAsia="Segoe UI" w:hAnsi="Segoe UI"/>
                            <w:b/>
                            <w:bCs/>
                            <w:szCs w:val="20"/>
                          </w:rPr>
                          <w:t>ealth practitioner</w:t>
                        </w:r>
                        <w:r w:rsidR="005D0E66">
                          <w:rPr>
                            <w:rFonts w:ascii="Segoe UI" w:eastAsia="Segoe UI" w:hAnsi="Segoe UI"/>
                            <w:b/>
                            <w:bCs/>
                            <w:szCs w:val="20"/>
                          </w:rPr>
                          <w:t xml:space="preserve"> regulation</w:t>
                        </w:r>
                        <w:r w:rsidRPr="006F605E">
                          <w:rPr>
                            <w:rFonts w:ascii="Segoe UI" w:eastAsia="Segoe UI" w:hAnsi="Segoe UI"/>
                            <w:b/>
                            <w:bCs/>
                            <w:szCs w:val="20"/>
                          </w:rPr>
                          <w:t xml:space="preserve"> </w:t>
                        </w:r>
                      </w:p>
                    </w:txbxContent>
                  </v:textbox>
                </v:shape>
                <v:rect id="Rectangle 85" o:spid="_x0000_s1033" style="position:absolute;left:2603;top:4590;width:1620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" fillcolor="#7ea0bc" stroked="f" strokeweight="2.25pt">
                  <v:textbox>
                    <w:txbxContent>
                      <w:p w14:paraId="71AAD75F" w14:textId="77777777" w:rsidR="004E24E9" w:rsidRPr="00D97555" w:rsidRDefault="004E24E9" w:rsidP="004E24E9">
                        <w:pPr>
                          <w:spacing w:before="0" w:after="0" w:line="240" w:lineRule="auto"/>
                          <w:jc w:val="center"/>
                          <w:rPr>
                            <w:color w:val="FFFFFF" w:themeColor="background1"/>
                          </w:rPr>
                        </w:pPr>
                        <w:r w:rsidRPr="00D97555">
                          <w:rPr>
                            <w:color w:val="FFFFFF" w:themeColor="background1"/>
                          </w:rPr>
                          <w:t>Department of Health (policy and regulator)</w:t>
                        </w:r>
                      </w:p>
                    </w:txbxContent>
                  </v:textbox>
                </v:rect>
                <v:shapetype id="_x0000_t112" coordsize="21600,21600" o:spt="112" path="m,l,21600r21600,l21600,xem2610,nfl2610,21600em18990,nfl18990,21600e">
                  <v:stroke joinstyle="miter"/>
                  <v:path o:extrusionok="f" gradientshapeok="t" o:connecttype="rect" textboxrect="2610,0,18990,21600"/>
                </v:shapetype>
                <v:shape id="Flowchart: Predefined Process 86" o:spid="_x0000_s1034" type="#_x0000_t112" style="position:absolute;left:2794;top:11720;width:1620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" fillcolor="#bed9cd" stroked="f" strokeweight="2.25pt">
                  <v:textbox>
                    <w:txbxContent>
                      <w:p w14:paraId="42153D6A" w14:textId="77777777" w:rsidR="004E24E9" w:rsidRDefault="004E24E9" w:rsidP="004E24E9">
                        <w:pPr>
                          <w:spacing w:before="0" w:after="0" w:line="240" w:lineRule="auto"/>
                          <w:jc w:val="center"/>
                        </w:pPr>
                        <w:r>
                          <w:t>Health Services Act 1988</w:t>
                        </w:r>
                      </w:p>
                    </w:txbxContent>
                  </v:textbox>
                </v:shape>
                <v:shape id="Flowchart: Predefined Process 87" o:spid="_x0000_s1035" type="#_x0000_t112" style="position:absolute;left:2794;top:20947;width:16200;height: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" fillcolor="#bed9cd" stroked="f" strokeweight="2.25pt">
                  <v:textbox>
                    <w:txbxContent>
                      <w:p w14:paraId="43E1E68C" w14:textId="77777777" w:rsidR="004E24E9" w:rsidRDefault="004E24E9" w:rsidP="004E24E9">
                        <w:pPr>
                          <w:spacing w:before="0" w:after="0" w:line="240" w:lineRule="auto"/>
                          <w:jc w:val="center"/>
                          <w:rPr>
                            <w:rFonts w:eastAsia="Segoe UI"/>
                            <w:szCs w:val="20"/>
                          </w:rPr>
                        </w:pPr>
                        <w:r>
                          <w:rPr>
                            <w:rFonts w:eastAsia="Segoe UI"/>
                            <w:szCs w:val="20"/>
                          </w:rPr>
                          <w:t>Health Services (Health Service Establishment) Regulations 2013</w:t>
                        </w:r>
                      </w:p>
                    </w:txbxContent>
                  </v:textbox>
                </v:shape>
                <v:shapetype id="_x0000_t32" coordsize="21600,21600" o:spt="32" o:oned="t" path="m,l21600,21600e" filled="f">
                  <v:path arrowok="t" fillok="f" o:connecttype="none"/>
                  <o:lock v:ext="edit" shapetype="t"/>
                </v:shapetype>
                <v:shape id="Straight Arrow Connector 88" o:spid="_x0000_s1036" type="#_x0000_t32" style="position:absolute;left:11906;top:17435;width:0;height:3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" strokecolor="#7b5e05" strokeweight=".5pt">
                  <v:stroke endarrow="block" joinstyle="miter"/>
                </v:shape>
                <v:rect id="Rectangle 90" o:spid="_x0000_s1037" style="position:absolute;left:2794;top:32865;width:16200;height:1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" fillcolor="#7ea0bc" stroked="f" strokeweight="2.25pt">
                  <v:textbox>
                    <w:txbxContent>
                      <w:p w14:paraId="2751F301" w14:textId="77777777" w:rsidR="004E24E9" w:rsidRPr="00D97555" w:rsidRDefault="004E24E9" w:rsidP="004E24E9">
                        <w:pPr>
                          <w:spacing w:before="0" w:after="0" w:line="240" w:lineRule="auto"/>
                          <w:jc w:val="center"/>
                          <w:rPr>
                            <w:rFonts w:eastAsia="Segoe UI"/>
                            <w:color w:val="FFFFFF" w:themeColor="background1"/>
                            <w:szCs w:val="20"/>
                          </w:rPr>
                        </w:pPr>
                        <w:r w:rsidRPr="00D97555">
                          <w:rPr>
                            <w:rFonts w:eastAsia="Segoe UI"/>
                            <w:color w:val="FFFFFF" w:themeColor="background1"/>
                            <w:szCs w:val="20"/>
                          </w:rPr>
                          <w:t xml:space="preserve">Safer Care Victoria </w:t>
                        </w:r>
                      </w:p>
                      <w:p w14:paraId="0DE44196" w14:textId="77777777" w:rsidR="004E24E9" w:rsidRPr="00D97555" w:rsidRDefault="004E24E9" w:rsidP="004E24E9">
                        <w:pPr>
                          <w:spacing w:before="0" w:after="0" w:line="240" w:lineRule="auto"/>
                          <w:jc w:val="center"/>
                          <w:rPr>
                            <w:rFonts w:eastAsia="Segoe UI"/>
                            <w:color w:val="FFFFFF" w:themeColor="background1"/>
                            <w:szCs w:val="20"/>
                          </w:rPr>
                        </w:pPr>
                        <w:r w:rsidRPr="00D97555">
                          <w:rPr>
                            <w:rFonts w:eastAsia="Segoe UI"/>
                            <w:color w:val="FFFFFF" w:themeColor="background1"/>
                            <w:szCs w:val="20"/>
                          </w:rPr>
                          <w:t xml:space="preserve">(administrative office, </w:t>
                        </w:r>
                        <w:r w:rsidRPr="00D97555">
                          <w:rPr>
                            <w:color w:val="FFFFFF" w:themeColor="background1"/>
                          </w:rPr>
                          <w:t>works with health services to monitor and improve the quality and safety of care across the system</w:t>
                        </w:r>
                        <w:r w:rsidRPr="00D97555">
                          <w:rPr>
                            <w:rFonts w:eastAsia="Segoe UI"/>
                            <w:color w:val="FFFFFF" w:themeColor="background1"/>
                            <w:szCs w:val="20"/>
                          </w:rPr>
                          <w:t>)</w:t>
                        </w:r>
                      </w:p>
                    </w:txbxContent>
                  </v:textbox>
                </v:rect>
                <v:rect id="Rectangle 92" o:spid="_x0000_s1038" style="position:absolute;left:40281;top:4762;width:16200;height:8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" fillcolor="#30253d" strokecolor="#30253d" strokeweight="2.25pt">
                  <v:textbox>
                    <w:txbxContent>
                      <w:p w14:paraId="1BC3C069" w14:textId="77777777" w:rsidR="004E24E9" w:rsidRDefault="004E24E9" w:rsidP="004E24E9">
                        <w:pPr>
                          <w:spacing w:before="0" w:after="0" w:line="240" w:lineRule="auto"/>
                          <w:jc w:val="center"/>
                        </w:pPr>
                        <w:r>
                          <w:t>Australian Health Practitioner Regulation Agency</w:t>
                        </w: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93" o:spid="_x0000_s1039" type="#_x0000_t114" style="position:absolute;left:40505;top:17392;width:16200;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" fillcolor="#c3d9ee" strokecolor="#c3d9ee" strokeweight="2.25pt">
                  <v:textbox>
                    <w:txbxContent>
                      <w:p w14:paraId="3FB9437A" w14:textId="77777777" w:rsidR="004E24E9" w:rsidRDefault="004E24E9" w:rsidP="004E24E9">
                        <w:pPr>
                          <w:spacing w:before="0" w:after="0" w:line="240" w:lineRule="auto"/>
                          <w:jc w:val="center"/>
                        </w:pPr>
                        <w:r>
                          <w:t>National Registration and Accreditation Scheme</w:t>
                        </w:r>
                      </w:p>
                    </w:txbxContent>
                  </v:textbox>
                </v:shape>
                <v:shape id="_x0000_s1040" type="#_x0000_t202" style="position:absolute;left:41495;top:29871;width:13997;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415E762A" w14:textId="77777777" w:rsidR="004E24E9" w:rsidRPr="001E347D" w:rsidRDefault="004E24E9" w:rsidP="004E24E9">
                        <w:pPr>
                          <w:spacing w:before="0" w:after="0" w:line="240" w:lineRule="auto"/>
                          <w:jc w:val="center"/>
                          <w:rPr>
                            <w:rFonts w:ascii="Segoe UI" w:eastAsia="Segoe UI" w:hAnsi="Segoe UI"/>
                            <w:i/>
                            <w:iCs/>
                            <w:color w:val="7B5E05" w:themeColor="accent1"/>
                            <w:sz w:val="16"/>
                            <w:szCs w:val="16"/>
                          </w:rPr>
                        </w:pPr>
                        <w:r w:rsidRPr="001E347D">
                          <w:rPr>
                            <w:rFonts w:ascii="Segoe UI" w:eastAsia="Segoe UI" w:hAnsi="Segoe UI"/>
                            <w:i/>
                            <w:iCs/>
                            <w:color w:val="7B5E05" w:themeColor="accent1"/>
                            <w:sz w:val="16"/>
                            <w:szCs w:val="16"/>
                          </w:rPr>
                          <w:t>Enabled by:</w:t>
                        </w:r>
                      </w:p>
                    </w:txbxContent>
                  </v:textbox>
                </v:shape>
                <v:shape id="Straight Arrow Connector 95" o:spid="_x0000_s1041" type="#_x0000_t32" style="position:absolute;left:52927;top:13035;width:95;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" strokecolor="#7b5e05 [3204]" strokeweight=".5pt">
                  <v:stroke endarrow="block" joinstyle="miter"/>
                </v:shape>
                <v:shape id="Flowchart: Predefined Process 96" o:spid="_x0000_s1042" type="#_x0000_t112" style="position:absolute;left:40216;top:32967;width:16200;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" fillcolor="#bed9cd" stroked="f" strokeweight="2.25pt">
                  <v:textbox>
                    <w:txbxContent>
                      <w:p w14:paraId="5FE7F0BD" w14:textId="77777777" w:rsidR="004E24E9" w:rsidRDefault="004E24E9" w:rsidP="004E24E9">
                        <w:pPr>
                          <w:spacing w:before="0" w:after="0" w:line="240" w:lineRule="auto"/>
                          <w:jc w:val="center"/>
                          <w:rPr>
                            <w:rFonts w:eastAsia="Segoe UI"/>
                            <w:szCs w:val="20"/>
                          </w:rPr>
                        </w:pPr>
                        <w:r>
                          <w:rPr>
                            <w:rFonts w:eastAsia="Segoe UI"/>
                            <w:szCs w:val="20"/>
                          </w:rPr>
                          <w:t>Health Practitioner National Law Act 2009</w:t>
                        </w:r>
                      </w:p>
                    </w:txbxContent>
                  </v:textbox>
                </v:shape>
                <v:shape id="Flowchart: Predefined Process 97" o:spid="_x0000_s1043" type="#_x0000_t112" style="position:absolute;left:40216;top:43221;width:16200;height:10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" fillcolor="#bed9cd" stroked="f" strokeweight="2.25pt">
                  <v:textbox>
                    <w:txbxContent>
                      <w:p w14:paraId="600B6770" w14:textId="77777777" w:rsidR="004E24E9" w:rsidRDefault="004E24E9" w:rsidP="004E24E9">
                        <w:pPr>
                          <w:spacing w:before="0" w:after="0" w:line="240" w:lineRule="auto"/>
                          <w:jc w:val="center"/>
                          <w:rPr>
                            <w:rFonts w:eastAsia="Segoe UI"/>
                            <w:szCs w:val="20"/>
                          </w:rPr>
                        </w:pPr>
                        <w:r>
                          <w:rPr>
                            <w:rFonts w:eastAsia="Segoe UI"/>
                            <w:szCs w:val="20"/>
                          </w:rPr>
                          <w:t>Health Practitioner National Law Act (Victoria) 2009</w:t>
                        </w:r>
                      </w:p>
                    </w:txbxContent>
                  </v:textbox>
                </v:shape>
                <v:rect id="Rectangle 98" o:spid="_x0000_s1044" style="position:absolute;left:21218;top:4809;width:16200;height:8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" fillcolor="#30253d" strokecolor="#30253d" strokeweight="2.25pt">
                  <v:textbox>
                    <w:txbxContent>
                      <w:p w14:paraId="308C194B" w14:textId="77777777" w:rsidR="004E24E9" w:rsidRPr="001A3549" w:rsidRDefault="004E24E9" w:rsidP="004E24E9">
                        <w:pPr>
                          <w:spacing w:before="0" w:after="0" w:line="240" w:lineRule="auto"/>
                          <w:jc w:val="center"/>
                          <w:rPr>
                            <w:rFonts w:eastAsia="Segoe UI"/>
                            <w:szCs w:val="20"/>
                          </w:rPr>
                        </w:pPr>
                        <w:r>
                          <w:rPr>
                            <w:rFonts w:eastAsia="Segoe UI"/>
                            <w:szCs w:val="20"/>
                          </w:rPr>
                          <w:t>Australian Commission on Safety and Quality in Healthcare</w:t>
                        </w:r>
                      </w:p>
                    </w:txbxContent>
                  </v:textbox>
                </v:rect>
                <v:shape id="Flowchart: Document 99" o:spid="_x0000_s1045" type="#_x0000_t114" style="position:absolute;left:21311;top:17377;width:16200;height:1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" fillcolor="#c3d9ee" strokecolor="#c3d9ee" strokeweight="2.25pt">
                  <v:textbox>
                    <w:txbxContent>
                      <w:p w14:paraId="09B3116A" w14:textId="77777777" w:rsidR="004E24E9" w:rsidRDefault="004E24E9" w:rsidP="004E24E9">
                        <w:pPr>
                          <w:jc w:val="center"/>
                          <w:rPr>
                            <w:rFonts w:eastAsia="Segoe UI"/>
                            <w:szCs w:val="20"/>
                          </w:rPr>
                        </w:pPr>
                        <w:r>
                          <w:rPr>
                            <w:rFonts w:eastAsia="Segoe UI"/>
                            <w:szCs w:val="20"/>
                          </w:rPr>
                          <w:t xml:space="preserve">Australian Health Service </w:t>
                        </w:r>
                        <w:r w:rsidRPr="00DF55B2">
                          <w:rPr>
                            <w:rFonts w:eastAsia="Segoe UI"/>
                            <w:szCs w:val="20"/>
                          </w:rPr>
                          <w:t>Safety and Quality Accreditation</w:t>
                        </w:r>
                        <w:r>
                          <w:rPr>
                            <w:rFonts w:eastAsia="Segoe UI"/>
                            <w:szCs w:val="20"/>
                          </w:rPr>
                          <w:t xml:space="preserve"> Scheme</w:t>
                        </w:r>
                      </w:p>
                    </w:txbxContent>
                  </v:textbox>
                </v:shape>
                <v:shape id="Flowchart: Document 100" o:spid="_x0000_s1046" type="#_x0000_t114" style="position:absolute;left:21311;top:33139;width:16200;height: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" fillcolor="#c3d9ee" strokecolor="#c3d9ee" strokeweight="2.25pt">
                  <v:textbox>
                    <w:txbxContent>
                      <w:p w14:paraId="35AFC7B4" w14:textId="77777777" w:rsidR="004E24E9" w:rsidRDefault="004E24E9" w:rsidP="004E24E9">
                        <w:pPr>
                          <w:jc w:val="center"/>
                          <w:rPr>
                            <w:rFonts w:eastAsia="Segoe UI"/>
                            <w:szCs w:val="20"/>
                          </w:rPr>
                        </w:pPr>
                        <w:r>
                          <w:rPr>
                            <w:rFonts w:eastAsia="Segoe UI"/>
                            <w:szCs w:val="20"/>
                          </w:rPr>
                          <w:t>National Safety and Quality Health Service Standards</w:t>
                        </w:r>
                      </w:p>
                    </w:txbxContent>
                  </v:textbox>
                </v:shape>
                <v:shape id="_x0000_s1047" type="#_x0000_t202" style="position:absolute;left:20617;top:43359;width:1667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338D2713" w14:textId="77777777" w:rsidR="004E24E9" w:rsidRPr="001E347D" w:rsidRDefault="004E24E9" w:rsidP="004E24E9">
                        <w:pPr>
                          <w:spacing w:before="0" w:after="0" w:line="240" w:lineRule="auto"/>
                          <w:jc w:val="center"/>
                          <w:rPr>
                            <w:rFonts w:ascii="Segoe UI" w:eastAsia="Segoe UI" w:hAnsi="Segoe UI"/>
                            <w:i/>
                            <w:iCs/>
                            <w:color w:val="7B5E05" w:themeColor="accent1"/>
                            <w:sz w:val="16"/>
                            <w:szCs w:val="16"/>
                          </w:rPr>
                        </w:pPr>
                        <w:r w:rsidRPr="001E347D">
                          <w:rPr>
                            <w:rFonts w:ascii="Segoe UI" w:eastAsia="Segoe UI" w:hAnsi="Segoe UI"/>
                            <w:i/>
                            <w:iCs/>
                            <w:color w:val="7B5E05" w:themeColor="accent1"/>
                            <w:sz w:val="16"/>
                            <w:szCs w:val="16"/>
                          </w:rPr>
                          <w:t>Enabled by:</w:t>
                        </w:r>
                      </w:p>
                    </w:txbxContent>
                  </v:textbox>
                </v:shape>
                <v:shape id="Flowchart: Predefined Process 102" o:spid="_x0000_s1048" type="#_x0000_t112" style="position:absolute;left:21321;top:46059;width:16200;height:6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" fillcolor="#bed9cd" stroked="f" strokeweight="2.25pt">
                  <v:textbox>
                    <w:txbxContent>
                      <w:p w14:paraId="4920BFD8" w14:textId="77777777" w:rsidR="004E24E9" w:rsidRDefault="004E24E9" w:rsidP="004E24E9">
                        <w:pPr>
                          <w:spacing w:before="0" w:after="0" w:line="240" w:lineRule="auto"/>
                          <w:jc w:val="center"/>
                          <w:rPr>
                            <w:rFonts w:eastAsia="Segoe UI"/>
                            <w:szCs w:val="20"/>
                          </w:rPr>
                        </w:pPr>
                        <w:r>
                          <w:rPr>
                            <w:rFonts w:eastAsia="Segoe UI"/>
                            <w:szCs w:val="20"/>
                          </w:rPr>
                          <w:t>National Health Reform Act 2011</w:t>
                        </w:r>
                      </w:p>
                    </w:txbxContent>
                  </v:textbox>
                </v:shape>
                <v:shape id="Straight Arrow Connector 104" o:spid="_x0000_s1049" type="#_x0000_t32" style="position:absolute;left:30491;top:28756;width:0;height:4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" strokecolor="#7b5e05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5" o:spid="_x0000_s1050" type="#_x0000_t34" style="position:absolute;left:18430;top:14577;width:3485;height:889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" strokecolor="#7b5e05" strokeweight="1.5pt">
                  <v:stroke dashstyle="3 1" startarrow="block" endarrow="block"/>
                </v:shape>
                <v:shape id="Text Box 106" o:spid="_x0000_s1051" type="#_x0000_t202" style="position:absolute;left:723;top:60377;width:4713;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" fillcolor="window" stroked="f" strokeweight=".5pt">
                  <v:textbox>
                    <w:txbxContent>
                      <w:p w14:paraId="086CA74D" w14:textId="77777777" w:rsidR="004E24E9" w:rsidRDefault="004E24E9" w:rsidP="004E24E9">
                        <w:pPr>
                          <w:spacing w:before="0" w:after="0" w:line="240" w:lineRule="auto"/>
                        </w:pPr>
                        <w:r>
                          <w:t>Key:</w:t>
                        </w:r>
                      </w:p>
                    </w:txbxContent>
                  </v:textbox>
                </v:shape>
                <v:roundrect id="Rectangle: Rounded Corners 107" o:spid="_x0000_s1052" style="position:absolute;left:4662;top:60447;width:10832;height:3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" fillcolor="#30253d" strokecolor="#30253d" strokeweight="2.25pt">
                  <v:stroke joinstyle="miter"/>
                  <v:textbox>
                    <w:txbxContent>
                      <w:p w14:paraId="4B5AE2AE" w14:textId="77777777" w:rsidR="004E24E9" w:rsidRPr="00F25C1E" w:rsidRDefault="004E24E9" w:rsidP="004E24E9">
                        <w:pPr>
                          <w:spacing w:before="0" w:after="0" w:line="240" w:lineRule="auto"/>
                          <w:jc w:val="center"/>
                          <w:rPr>
                            <w:sz w:val="18"/>
                            <w:szCs w:val="20"/>
                          </w:rPr>
                        </w:pPr>
                        <w:r w:rsidRPr="00F25C1E">
                          <w:rPr>
                            <w:sz w:val="18"/>
                            <w:szCs w:val="20"/>
                          </w:rPr>
                          <w:t>National body</w:t>
                        </w:r>
                      </w:p>
                    </w:txbxContent>
                  </v:textbox>
                </v:roundrect>
                <v:roundrect id="Rectangle: Rounded Corners 108" o:spid="_x0000_s1053" style="position:absolute;left:16169;top:60450;width:10827;height:30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" fillcolor="#7ea0bc" stroked="f" strokeweight="2.25pt">
                  <v:stroke joinstyle="miter"/>
                  <v:textbox>
                    <w:txbxContent>
                      <w:p w14:paraId="78B6FF67" w14:textId="77777777" w:rsidR="004E24E9" w:rsidRPr="00D97555" w:rsidRDefault="004E24E9" w:rsidP="004E24E9">
                        <w:pPr>
                          <w:spacing w:before="0" w:after="0" w:line="240" w:lineRule="auto"/>
                          <w:jc w:val="center"/>
                          <w:rPr>
                            <w:rFonts w:eastAsia="Segoe UI"/>
                            <w:color w:val="FFFFFF" w:themeColor="background1"/>
                            <w:sz w:val="18"/>
                            <w:szCs w:val="18"/>
                          </w:rPr>
                        </w:pPr>
                        <w:r w:rsidRPr="00D97555">
                          <w:rPr>
                            <w:rFonts w:eastAsia="Segoe UI"/>
                            <w:color w:val="FFFFFF" w:themeColor="background1"/>
                            <w:sz w:val="18"/>
                            <w:szCs w:val="18"/>
                          </w:rPr>
                          <w:t>Victorian body</w:t>
                        </w:r>
                      </w:p>
                    </w:txbxContent>
                  </v:textbox>
                </v:roundrect>
                <v:shape id="Flowchart: Predefined Process 109" o:spid="_x0000_s1054" type="#_x0000_t112" style="position:absolute;left:27804;top:60397;width:11324;height:3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" fillcolor="#bed9cd" stroked="f" strokeweight="2.25pt">
                  <v:textbox>
                    <w:txbxContent>
                      <w:p w14:paraId="1F711C97" w14:textId="77777777" w:rsidR="004E24E9" w:rsidRPr="003F7988" w:rsidRDefault="004E24E9" w:rsidP="004E24E9">
                        <w:pPr>
                          <w:spacing w:before="0" w:after="0" w:line="240" w:lineRule="auto"/>
                          <w:jc w:val="center"/>
                          <w:rPr>
                            <w:sz w:val="18"/>
                            <w:szCs w:val="20"/>
                          </w:rPr>
                        </w:pPr>
                        <w:r w:rsidRPr="003F7988">
                          <w:rPr>
                            <w:sz w:val="18"/>
                            <w:szCs w:val="20"/>
                          </w:rPr>
                          <w:t>Legislation</w:t>
                        </w:r>
                      </w:p>
                    </w:txbxContent>
                  </v:textbox>
                </v:shape>
                <v:shape id="Flowchart: Document 110" o:spid="_x0000_s1055" type="#_x0000_t114" style="position:absolute;left:40254;top:60377;width:14419;height:3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" fillcolor="#c3d9ee" strokecolor="#c3d9ee" strokeweight="2.25pt">
                  <v:textbox>
                    <w:txbxContent>
                      <w:p w14:paraId="51627E3C" w14:textId="77777777" w:rsidR="004E24E9" w:rsidRPr="003F7988" w:rsidRDefault="004E24E9" w:rsidP="004E24E9">
                        <w:pPr>
                          <w:spacing w:before="0" w:after="0" w:line="240" w:lineRule="auto"/>
                          <w:jc w:val="center"/>
                          <w:rPr>
                            <w:sz w:val="18"/>
                            <w:szCs w:val="20"/>
                          </w:rPr>
                        </w:pPr>
                        <w:r>
                          <w:rPr>
                            <w:sz w:val="18"/>
                            <w:szCs w:val="20"/>
                          </w:rPr>
                          <w:t xml:space="preserve">Schemes and </w:t>
                        </w:r>
                        <w:r w:rsidRPr="003F7988">
                          <w:rPr>
                            <w:sz w:val="18"/>
                            <w:szCs w:val="20"/>
                          </w:rPr>
                          <w:t>Standard</w:t>
                        </w:r>
                        <w:r>
                          <w:rPr>
                            <w:sz w:val="18"/>
                            <w:szCs w:val="20"/>
                          </w:rPr>
                          <w:t>s</w:t>
                        </w:r>
                      </w:p>
                    </w:txbxContent>
                  </v:textbox>
                </v:shape>
                <v:shape id="Text Box 111" o:spid="_x0000_s1056" type="#_x0000_t202" style="position:absolute;left:2862;top:17162;width:8717;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4A91922C" w14:textId="64566949" w:rsidR="004E24E9" w:rsidRPr="001E347D" w:rsidRDefault="004E24E9" w:rsidP="004E24E9">
                        <w:pPr>
                          <w:spacing w:before="0" w:after="0" w:line="240" w:lineRule="auto"/>
                          <w:rPr>
                            <w:i/>
                            <w:iCs/>
                            <w:color w:val="7B5E05" w:themeColor="accent1"/>
                            <w:sz w:val="16"/>
                            <w:szCs w:val="16"/>
                          </w:rPr>
                        </w:pPr>
                        <w:r w:rsidRPr="001E347D">
                          <w:rPr>
                            <w:i/>
                            <w:iCs/>
                            <w:color w:val="7B5E05" w:themeColor="accent1"/>
                            <w:sz w:val="16"/>
                            <w:szCs w:val="16"/>
                          </w:rPr>
                          <w:t>Act authorises  regulations</w:t>
                        </w:r>
                      </w:p>
                    </w:txbxContent>
                  </v:textbox>
                </v:shape>
                <v:shape id="Text Box 75" o:spid="_x0000_s1057" type="#_x0000_t202" style="position:absolute;left:21218;top:29178;width:8393;height:3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4DA17BAC" w14:textId="77777777" w:rsidR="004E24E9" w:rsidRPr="00466F45" w:rsidRDefault="004E24E9" w:rsidP="004E24E9">
                        <w:pPr>
                          <w:spacing w:before="0" w:after="0" w:line="240" w:lineRule="auto"/>
                          <w:rPr>
                            <w:rFonts w:ascii="Segoe UI" w:eastAsia="Segoe UI" w:hAnsi="Segoe UI"/>
                            <w:i/>
                            <w:color w:val="7B5E05" w:themeColor="accent1"/>
                            <w:sz w:val="16"/>
                            <w:szCs w:val="16"/>
                          </w:rPr>
                        </w:pPr>
                        <w:r w:rsidRPr="001E347D">
                          <w:rPr>
                            <w:rFonts w:ascii="Segoe UI" w:eastAsia="Segoe UI" w:hAnsi="Segoe UI"/>
                            <w:i/>
                            <w:color w:val="7B5E05" w:themeColor="accent1"/>
                            <w:sz w:val="16"/>
                            <w:szCs w:val="16"/>
                          </w:rPr>
                          <w:t xml:space="preserve">Standards sit under Scheme </w:t>
                        </w:r>
                      </w:p>
                    </w:txbxContent>
                  </v:textbox>
                </v:shape>
                <v:shape id="Text Box 75" o:spid="_x0000_s1058" type="#_x0000_t202" style="position:absolute;left:20617;top:13224;width:12436;height:3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47125F95" w14:textId="77777777" w:rsidR="004E24E9" w:rsidRPr="001E347D" w:rsidRDefault="004E24E9" w:rsidP="004E24E9">
                        <w:pPr>
                          <w:spacing w:before="0" w:after="0" w:line="240" w:lineRule="auto"/>
                          <w:rPr>
                            <w:rFonts w:ascii="Segoe UI" w:eastAsia="Segoe UI" w:hAnsi="Segoe UI"/>
                            <w:i/>
                            <w:color w:val="7B5E05" w:themeColor="accent1"/>
                            <w:sz w:val="16"/>
                            <w:szCs w:val="16"/>
                          </w:rPr>
                        </w:pPr>
                        <w:r w:rsidRPr="001E347D">
                          <w:rPr>
                            <w:rFonts w:ascii="Segoe UI" w:eastAsia="Segoe UI" w:hAnsi="Segoe UI"/>
                            <w:i/>
                            <w:color w:val="7B5E05" w:themeColor="accent1"/>
                            <w:sz w:val="16"/>
                            <w:szCs w:val="16"/>
                          </w:rPr>
                          <w:t xml:space="preserve">Commission administers Scheme </w:t>
                        </w:r>
                      </w:p>
                    </w:txbxContent>
                  </v:textbox>
                </v:shape>
                <v:shape id="Text Box 75" o:spid="_x0000_s1059" type="#_x0000_t202" style="position:absolute;left:41671;top:13330;width:11099;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26E9B8C3" w14:textId="77777777" w:rsidR="004E24E9" w:rsidRPr="00466F45" w:rsidRDefault="004E24E9" w:rsidP="001E347D">
                        <w:pPr>
                          <w:spacing w:before="0"/>
                          <w:rPr>
                            <w:color w:val="7B5E05" w:themeColor="accent1"/>
                          </w:rPr>
                        </w:pPr>
                        <w:r w:rsidRPr="001E347D">
                          <w:rPr>
                            <w:rFonts w:ascii="Segoe UI" w:eastAsia="Segoe UI" w:hAnsi="Segoe UI"/>
                            <w:i/>
                            <w:color w:val="7B5E05" w:themeColor="accent1"/>
                            <w:sz w:val="16"/>
                            <w:szCs w:val="16"/>
                          </w:rPr>
                          <w:t xml:space="preserve">Agency administers Scheme </w:t>
                        </w:r>
                      </w:p>
                    </w:txbxContent>
                  </v:textbox>
                </v:shape>
                <v:shape id="_x0000_s1060" type="#_x0000_t202" style="position:absolute;left:19571;top:1134;width:20262;height:2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" filled="f" stroked="f" strokeweight=".5pt">
                  <v:textbox>
                    <w:txbxContent>
                      <w:p w14:paraId="6CAE8950" w14:textId="621208AF" w:rsidR="005D194E" w:rsidRPr="00653C49" w:rsidRDefault="005D194E" w:rsidP="004E24E9">
                        <w:pPr>
                          <w:spacing w:before="0" w:after="0" w:line="240" w:lineRule="auto"/>
                          <w:jc w:val="center"/>
                          <w:rPr>
                            <w:rFonts w:ascii="Segoe UI" w:eastAsia="Segoe UI" w:hAnsi="Segoe UI"/>
                            <w:b/>
                            <w:bCs/>
                            <w:szCs w:val="20"/>
                          </w:rPr>
                        </w:pPr>
                        <w:r>
                          <w:rPr>
                            <w:rFonts w:ascii="Segoe UI" w:eastAsia="Segoe UI" w:hAnsi="Segoe UI"/>
                            <w:b/>
                            <w:bCs/>
                            <w:szCs w:val="20"/>
                          </w:rPr>
                          <w:t>National accreditation</w:t>
                        </w:r>
                      </w:p>
                    </w:txbxContent>
                  </v:textbox>
                </v:shape>
                <v:shape id="Straight Arrow Connector 990968916" o:spid="_x0000_s1061" type="#_x0000_t32" style="position:absolute;left:30705;top:12734;width:0;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" strokecolor="#7b5e05 [3204]" strokeweight=".5pt">
                  <v:stroke endarrow="block" joinstyle="miter"/>
                </v:shape>
                <w10:anchorlock/>
              </v:group>
            </w:pict>
          </mc:Fallback>
        </mc:AlternateContent>
      </w:r>
    </w:p>
    <w:p w14:paraId="082BE79C" w14:textId="77777777" w:rsidR="004E24E9" w:rsidRPr="004E24E9" w:rsidRDefault="004E24E9" w:rsidP="004E24E9">
      <w:pPr>
        <w:spacing w:before="0" w:line="259" w:lineRule="auto"/>
        <w:rPr>
          <w:rFonts w:asciiTheme="majorHAnsi" w:eastAsiaTheme="majorEastAsia" w:hAnsiTheme="majorHAnsi" w:cstheme="majorBidi"/>
          <w:b/>
          <w:iCs/>
          <w:color w:val="403151" w:themeColor="accent2"/>
          <w:sz w:val="28"/>
        </w:rPr>
      </w:pPr>
      <w:r w:rsidRPr="004E24E9">
        <w:br w:type="page"/>
      </w:r>
    </w:p>
    <w:p w14:paraId="17610BAA" w14:textId="77777777" w:rsidR="004E24E9" w:rsidRPr="004E24E9" w:rsidRDefault="004E24E9" w:rsidP="00A84587">
      <w:pPr>
        <w:pStyle w:val="Heading7"/>
      </w:pPr>
      <w:r w:rsidRPr="004E24E9">
        <w:lastRenderedPageBreak/>
        <w:t>The Victorian regulatory scheme</w:t>
      </w:r>
    </w:p>
    <w:p w14:paraId="010930E2" w14:textId="53F6F412" w:rsidR="004E24E9" w:rsidRPr="004E24E9" w:rsidRDefault="004E24E9" w:rsidP="004E24E9">
      <w:r w:rsidRPr="004E24E9">
        <w:t>The department administers a registration-based regulatory scheme for HSEs that is set out in:</w:t>
      </w:r>
    </w:p>
    <w:p w14:paraId="58A50373" w14:textId="77777777" w:rsidR="004E24E9" w:rsidRPr="004E24E9" w:rsidRDefault="004E24E9" w:rsidP="004E24E9">
      <w:pPr>
        <w:numPr>
          <w:ilvl w:val="0"/>
          <w:numId w:val="12"/>
        </w:numPr>
        <w:contextualSpacing/>
        <w:rPr>
          <w:i/>
        </w:rPr>
      </w:pPr>
      <w:r w:rsidRPr="004E24E9">
        <w:t xml:space="preserve">The </w:t>
      </w:r>
      <w:r w:rsidRPr="004E24E9">
        <w:rPr>
          <w:i/>
          <w:iCs/>
        </w:rPr>
        <w:t>Health Services Act 1988</w:t>
      </w:r>
      <w:r w:rsidRPr="004E24E9">
        <w:t xml:space="preserve"> (the Act)</w:t>
      </w:r>
    </w:p>
    <w:p w14:paraId="4D823934" w14:textId="24CAB668" w:rsidR="004E24E9" w:rsidRPr="004E24E9" w:rsidRDefault="004E24E9" w:rsidP="004E24E9">
      <w:pPr>
        <w:numPr>
          <w:ilvl w:val="0"/>
          <w:numId w:val="12"/>
        </w:numPr>
        <w:contextualSpacing/>
      </w:pPr>
      <w:r>
        <w:t xml:space="preserve">The </w:t>
      </w:r>
      <w:r w:rsidRPr="33ED5446">
        <w:t>Health Services (Health Service Establishments) Regulations 2013</w:t>
      </w:r>
      <w:bookmarkEnd w:id="21"/>
      <w:r w:rsidRPr="33ED5446">
        <w:rPr>
          <w:i/>
          <w:iCs/>
        </w:rPr>
        <w:t xml:space="preserve"> </w:t>
      </w:r>
      <w:r>
        <w:t>(the Regulations).</w:t>
      </w:r>
    </w:p>
    <w:p w14:paraId="17D970CF" w14:textId="0FC4774B" w:rsidR="004E24E9" w:rsidRPr="004E24E9" w:rsidRDefault="004E24E9" w:rsidP="00C702AB">
      <w:pPr>
        <w:spacing w:before="240"/>
      </w:pPr>
      <w:r w:rsidRPr="004E24E9">
        <w:t>The purpose of the Act is to make provision for the development of health services in Victoria, for the operation of hospitals and other health care agencies and related matters.</w:t>
      </w:r>
    </w:p>
    <w:p w14:paraId="0BC984C7" w14:textId="7F2144F8" w:rsidR="004E24E9" w:rsidRPr="004E24E9" w:rsidRDefault="004E24E9" w:rsidP="004E24E9">
      <w:r w:rsidRPr="004E24E9">
        <w:t xml:space="preserve">Parts 4 and 5A of the Act establish the foundational requirements for the safety and quality of patient care in Victorian private hospitals and day procedure centres. </w:t>
      </w:r>
    </w:p>
    <w:p w14:paraId="4CF77606" w14:textId="1109500E" w:rsidR="004E24E9" w:rsidRPr="004E24E9" w:rsidRDefault="004E24E9" w:rsidP="004E24E9">
      <w:r w:rsidRPr="004E24E9">
        <w:t>Under the Act, HSEs must be registered by the department before health services may be provided. In considering whether to register a</w:t>
      </w:r>
      <w:r w:rsidR="00B26D41">
        <w:t>n</w:t>
      </w:r>
      <w:r w:rsidRPr="004E24E9">
        <w:t xml:space="preserve"> HSE, the Secretary of the department is required by the Act to take a number of factors into account. These include whether the proprietor is a fit and proper person to carry on the establishment, the suitability of the premises, its design and construction, whether the proposed arrangements for the management and staffing are satisfactory and whether appropriate arrangements have been, or will be, made for evaluating, monitoring and improving the quality of the health services provided by the establishment.</w:t>
      </w:r>
      <w:r w:rsidRPr="000D17F7">
        <w:rPr>
          <w:rStyle w:val="FootnoteReference"/>
        </w:rPr>
        <w:footnoteReference w:id="21"/>
      </w:r>
    </w:p>
    <w:p w14:paraId="01EFBFF3" w14:textId="1550D5F5" w:rsidR="0068315F" w:rsidRDefault="004E24E9" w:rsidP="0068315F">
      <w:bookmarkStart w:id="24" w:name="_Toc135157711"/>
      <w:r w:rsidRPr="004E24E9">
        <w:t xml:space="preserve">The Regulations are made under section 158 of the Act. The main objective of the current Regulations </w:t>
      </w:r>
      <w:r w:rsidR="00F10741">
        <w:t>is</w:t>
      </w:r>
      <w:r w:rsidRPr="004E24E9">
        <w:t xml:space="preserve"> to provide for the safety and quality of patient care in </w:t>
      </w:r>
      <w:r w:rsidR="005A2F80">
        <w:t>HSEs</w:t>
      </w:r>
      <w:r w:rsidRPr="004E24E9">
        <w:t xml:space="preserve">. </w:t>
      </w:r>
      <w:r w:rsidR="00274E97">
        <w:t>The Regulations support this objective by setting requirements</w:t>
      </w:r>
      <w:r w:rsidR="0068315F">
        <w:t xml:space="preserve"> for key drivers </w:t>
      </w:r>
      <w:r w:rsidR="00924F0F">
        <w:t>and safeguards of</w:t>
      </w:r>
      <w:r w:rsidR="0068315F">
        <w:t xml:space="preserve"> quality and safety, </w:t>
      </w:r>
      <w:r w:rsidR="00274E97">
        <w:t>including in relation to</w:t>
      </w:r>
      <w:r w:rsidR="0068315F">
        <w:t xml:space="preserve"> </w:t>
      </w:r>
    </w:p>
    <w:p w14:paraId="71960D97" w14:textId="2EC9A087" w:rsidR="0068315F" w:rsidRDefault="0068315F" w:rsidP="009310F4">
      <w:pPr>
        <w:pStyle w:val="ListParagraph"/>
        <w:numPr>
          <w:ilvl w:val="0"/>
          <w:numId w:val="127"/>
        </w:numPr>
      </w:pPr>
      <w:r>
        <w:t>clinical governance arrangements to be documented, established and complied with</w:t>
      </w:r>
      <w:r w:rsidR="00924F0F">
        <w:t xml:space="preserve"> (being the systems and processes for monitoring, maintaining and improving quality and safety of </w:t>
      </w:r>
      <w:r w:rsidR="00A502C9">
        <w:t>services provided at the facility</w:t>
      </w:r>
      <w:r w:rsidR="00924F0F">
        <w:t xml:space="preserve">) </w:t>
      </w:r>
    </w:p>
    <w:p w14:paraId="2AE51F5C" w14:textId="4DA80A20" w:rsidR="0068315F" w:rsidRDefault="00924F0F" w:rsidP="009310F4">
      <w:pPr>
        <w:pStyle w:val="ListParagraph"/>
        <w:numPr>
          <w:ilvl w:val="0"/>
          <w:numId w:val="127"/>
        </w:numPr>
      </w:pPr>
      <w:r>
        <w:t>arrangements to be in place regarding</w:t>
      </w:r>
      <w:r w:rsidR="0068315F">
        <w:t xml:space="preserve"> qualifications and competence of staff and adequacy of workforce </w:t>
      </w:r>
    </w:p>
    <w:p w14:paraId="188F4CCB" w14:textId="1D2EEA71" w:rsidR="0068315F" w:rsidRDefault="0068315F" w:rsidP="009310F4">
      <w:pPr>
        <w:pStyle w:val="ListParagraph"/>
        <w:numPr>
          <w:ilvl w:val="0"/>
          <w:numId w:val="127"/>
        </w:numPr>
      </w:pPr>
      <w:r>
        <w:t xml:space="preserve">clinical assessments to be conducted and recorded prior to treatment </w:t>
      </w:r>
    </w:p>
    <w:p w14:paraId="26D057CD" w14:textId="646A7554" w:rsidR="00924F0F" w:rsidRDefault="0068315F" w:rsidP="009310F4">
      <w:pPr>
        <w:pStyle w:val="ListParagraph"/>
        <w:numPr>
          <w:ilvl w:val="0"/>
          <w:numId w:val="127"/>
        </w:numPr>
      </w:pPr>
      <w:r>
        <w:t xml:space="preserve">clinical records to be kept for management of patient care and organisational records to be kept and reviewed for management and improvement of quality and safety of care at the facility </w:t>
      </w:r>
    </w:p>
    <w:p w14:paraId="5E6B2472" w14:textId="74C45FDB" w:rsidR="0068315F" w:rsidRDefault="0068315F" w:rsidP="009310F4">
      <w:pPr>
        <w:pStyle w:val="ListParagraph"/>
        <w:numPr>
          <w:ilvl w:val="0"/>
          <w:numId w:val="127"/>
        </w:numPr>
      </w:pPr>
      <w:r>
        <w:t xml:space="preserve">requirements for care to be patient-centred – for example requirements for information to be provided to patients in relation to their care and related costs, and in relation to the facility, and requirements to consider and accommodate patient attributes and needs and have a process for patient complaints </w:t>
      </w:r>
    </w:p>
    <w:p w14:paraId="46DA4F2E" w14:textId="77777777" w:rsidR="00924F0F" w:rsidRDefault="0068315F" w:rsidP="009310F4">
      <w:pPr>
        <w:pStyle w:val="ListParagraph"/>
        <w:numPr>
          <w:ilvl w:val="0"/>
          <w:numId w:val="127"/>
        </w:numPr>
      </w:pPr>
      <w:r>
        <w:t xml:space="preserve">premises, equipment, </w:t>
      </w:r>
      <w:r w:rsidR="00924F0F">
        <w:t xml:space="preserve">operational plans and consumable supplies to be in place  </w:t>
      </w:r>
    </w:p>
    <w:p w14:paraId="0AC8034C" w14:textId="2A6A85A0" w:rsidR="00924F0F" w:rsidRDefault="00924F0F" w:rsidP="009310F4">
      <w:pPr>
        <w:pStyle w:val="ListParagraph"/>
        <w:numPr>
          <w:ilvl w:val="0"/>
          <w:numId w:val="127"/>
        </w:numPr>
      </w:pPr>
      <w:r>
        <w:t xml:space="preserve">reporting data and information to the Secretary, to allow monitoring and oversight of safety and quality indicators and of compliance with the Act and Regulations. </w:t>
      </w:r>
    </w:p>
    <w:p w14:paraId="0321985A" w14:textId="36333AE7" w:rsidR="0068315F" w:rsidRDefault="0068315F" w:rsidP="009310F4">
      <w:pPr>
        <w:pStyle w:val="ListParagraph"/>
      </w:pPr>
    </w:p>
    <w:p w14:paraId="2930FCD3" w14:textId="7B287FF0" w:rsidR="004E24E9" w:rsidRPr="004E24E9" w:rsidRDefault="004E24E9" w:rsidP="004E24E9">
      <w:r w:rsidRPr="004E24E9">
        <w:lastRenderedPageBreak/>
        <w:t>This regulatory scheme provides the department with legal powers to monitor and enforce foundational</w:t>
      </w:r>
      <w:r w:rsidR="009031BF">
        <w:t xml:space="preserve"> requirements for</w:t>
      </w:r>
      <w:r w:rsidRPr="004E24E9">
        <w:t xml:space="preserve"> patient safety and quality of care requirements. Under the scheme, the department:</w:t>
      </w:r>
    </w:p>
    <w:p w14:paraId="575FF4C1" w14:textId="77777777" w:rsidR="004E24E9" w:rsidRPr="004E24E9" w:rsidRDefault="004E24E9" w:rsidP="004E24E9">
      <w:pPr>
        <w:numPr>
          <w:ilvl w:val="0"/>
          <w:numId w:val="12"/>
        </w:numPr>
        <w:contextualSpacing/>
      </w:pPr>
      <w:r w:rsidRPr="004E24E9">
        <w:t>manages the lifecycle of approvals-in-principle for registration, registrations and registration renewals</w:t>
      </w:r>
    </w:p>
    <w:p w14:paraId="173D829B" w14:textId="77777777" w:rsidR="004E24E9" w:rsidRPr="004E24E9" w:rsidRDefault="004E24E9" w:rsidP="004E24E9">
      <w:pPr>
        <w:numPr>
          <w:ilvl w:val="0"/>
          <w:numId w:val="12"/>
        </w:numPr>
        <w:contextualSpacing/>
      </w:pPr>
      <w:r w:rsidRPr="004E24E9">
        <w:t>monitors compliance and conducts regulatory inspections of facilities</w:t>
      </w:r>
    </w:p>
    <w:p w14:paraId="2DC83CC4" w14:textId="77777777" w:rsidR="004E24E9" w:rsidRPr="004E24E9" w:rsidRDefault="004E24E9" w:rsidP="004E24E9">
      <w:pPr>
        <w:numPr>
          <w:ilvl w:val="0"/>
          <w:numId w:val="12"/>
        </w:numPr>
        <w:contextualSpacing/>
      </w:pPr>
      <w:r w:rsidRPr="004E24E9">
        <w:t>provides advice and information to support service providers to comply</w:t>
      </w:r>
    </w:p>
    <w:p w14:paraId="75CFF77A" w14:textId="77777777" w:rsidR="004E24E9" w:rsidRPr="004E24E9" w:rsidRDefault="004E24E9" w:rsidP="004E24E9">
      <w:pPr>
        <w:numPr>
          <w:ilvl w:val="0"/>
          <w:numId w:val="12"/>
        </w:numPr>
        <w:contextualSpacing/>
      </w:pPr>
      <w:r w:rsidRPr="004E24E9">
        <w:t>conducts investigations where serious issues or risks are identified</w:t>
      </w:r>
    </w:p>
    <w:p w14:paraId="46560013" w14:textId="77777777" w:rsidR="004E24E9" w:rsidRPr="004E24E9" w:rsidRDefault="004E24E9" w:rsidP="004E24E9">
      <w:pPr>
        <w:numPr>
          <w:ilvl w:val="0"/>
          <w:numId w:val="12"/>
        </w:numPr>
        <w:contextualSpacing/>
      </w:pPr>
      <w:r w:rsidRPr="004E24E9">
        <w:t>uses enforcement tools to address non-compliance (for example, action plans, registration conditions)</w:t>
      </w:r>
    </w:p>
    <w:p w14:paraId="6C4DC360" w14:textId="77777777" w:rsidR="004E24E9" w:rsidRDefault="004E24E9" w:rsidP="004E24E9">
      <w:pPr>
        <w:numPr>
          <w:ilvl w:val="0"/>
          <w:numId w:val="12"/>
        </w:numPr>
        <w:contextualSpacing/>
      </w:pPr>
      <w:r w:rsidRPr="004E24E9">
        <w:t>applies sanctions where necessary to protect the public from harm (for example, registration suspensions or revocations and court proceedings).</w:t>
      </w:r>
    </w:p>
    <w:p w14:paraId="58315BFC" w14:textId="77777777" w:rsidR="004F18EA" w:rsidRDefault="004F18EA" w:rsidP="004F18EA">
      <w:pPr>
        <w:contextualSpacing/>
      </w:pPr>
    </w:p>
    <w:p w14:paraId="3BC1FC95" w14:textId="777EA88C" w:rsidR="004F18EA" w:rsidRPr="004E24E9" w:rsidRDefault="004F18EA" w:rsidP="004F18EA">
      <w:r>
        <w:rPr>
          <w:iCs/>
        </w:rPr>
        <w:t xml:space="preserve">The </w:t>
      </w:r>
      <w:r w:rsidR="00CC18D1">
        <w:rPr>
          <w:iCs/>
        </w:rPr>
        <w:t>d</w:t>
      </w:r>
      <w:r>
        <w:rPr>
          <w:iCs/>
        </w:rPr>
        <w:t xml:space="preserve">epartment – for a time through the </w:t>
      </w:r>
      <w:r w:rsidRPr="004F18EA">
        <w:rPr>
          <w:iCs/>
        </w:rPr>
        <w:t>Victorian Agency for Health Information (VAHI</w:t>
      </w:r>
      <w:r>
        <w:rPr>
          <w:iCs/>
        </w:rPr>
        <w:t>) and since February 2024 through its eHealth Division</w:t>
      </w:r>
      <w:r w:rsidR="005F32EF">
        <w:rPr>
          <w:iCs/>
        </w:rPr>
        <w:t xml:space="preserve"> – also </w:t>
      </w:r>
      <w:r>
        <w:rPr>
          <w:iCs/>
        </w:rPr>
        <w:t xml:space="preserve">collects and manages data about hospital performance. This includes analysis and production of reports to inform oversight of quality, safety and performance, and to allow information to be shared across government and the </w:t>
      </w:r>
      <w:r w:rsidRPr="004E24E9">
        <w:t>healthcare system to build an accurate picture of hospital and health service performance.</w:t>
      </w:r>
    </w:p>
    <w:p w14:paraId="7E4D17FB" w14:textId="77777777" w:rsidR="004E24E9" w:rsidRPr="004E24E9" w:rsidRDefault="004E24E9" w:rsidP="00A84587">
      <w:pPr>
        <w:pStyle w:val="Heading7"/>
      </w:pPr>
      <w:r w:rsidRPr="004E24E9">
        <w:t>Other Victorian government bodies</w:t>
      </w:r>
    </w:p>
    <w:p w14:paraId="6E9DFDC7" w14:textId="46CA2D87" w:rsidR="004E24E9" w:rsidRPr="004E24E9" w:rsidRDefault="004E24E9" w:rsidP="004E24E9">
      <w:r w:rsidRPr="004E24E9">
        <w:t>The department’s role as regulator of HSEs is complemented by the functions of other Victorian government bodies concerned with promoting safety and quality in health service delivery across Victoria, in both the public and private sectors. These bodies work together and share information to give government a system-wide understanding of the healthcare landscape, support health service providers to continuously improve, and provide transparency to healthcare consumers and the public.</w:t>
      </w:r>
    </w:p>
    <w:p w14:paraId="3E1DB667" w14:textId="77777777" w:rsidR="004E24E9" w:rsidRPr="001E347D" w:rsidRDefault="004E24E9" w:rsidP="004E24E9">
      <w:pPr>
        <w:rPr>
          <w:rStyle w:val="Strong"/>
        </w:rPr>
      </w:pPr>
      <w:r w:rsidRPr="001E347D">
        <w:rPr>
          <w:rStyle w:val="Strong"/>
        </w:rPr>
        <w:t>Safer Care Victoria (SCV)</w:t>
      </w:r>
    </w:p>
    <w:p w14:paraId="14EB51AE" w14:textId="77777777" w:rsidR="004E24E9" w:rsidRPr="004E24E9" w:rsidRDefault="004E24E9" w:rsidP="004E24E9">
      <w:r w:rsidRPr="004E24E9">
        <w:t xml:space="preserve">SCV was established in 2017 as an administrative office of the department, in response to the </w:t>
      </w:r>
      <w:r w:rsidRPr="004E24E9">
        <w:rPr>
          <w:i/>
        </w:rPr>
        <w:t>Targeting Zero Report – a review of hospital safety and quality assurance in Victoria</w:t>
      </w:r>
      <w:r w:rsidRPr="004E24E9">
        <w:rPr>
          <w:iCs/>
        </w:rPr>
        <w:t xml:space="preserve"> (the Targeting Zero Review – see discussion of this review in section 1.3)</w:t>
      </w:r>
      <w:r w:rsidRPr="004E24E9">
        <w:t xml:space="preserve">. It works with health services to monitor and improve the quality and safety of care delivered across the Victorian health system. </w:t>
      </w:r>
    </w:p>
    <w:p w14:paraId="2F5CDF50" w14:textId="77777777" w:rsidR="004E24E9" w:rsidRPr="001E347D" w:rsidRDefault="004E24E9" w:rsidP="004E24E9">
      <w:pPr>
        <w:rPr>
          <w:rStyle w:val="Strong"/>
        </w:rPr>
      </w:pPr>
      <w:r w:rsidRPr="001E347D">
        <w:rPr>
          <w:rStyle w:val="Strong"/>
        </w:rPr>
        <w:t>Health Complaints Commissioner (HCC)</w:t>
      </w:r>
    </w:p>
    <w:p w14:paraId="18EFC00E" w14:textId="300FCA98" w:rsidR="004E24E9" w:rsidRPr="004E24E9" w:rsidRDefault="004E24E9" w:rsidP="004E24E9">
      <w:r w:rsidRPr="004E24E9">
        <w:t>The Health Complaints Commissioner (HCC) receives and manages complaints about healthcare and the handling of health information in Victoria. The purpose of the HCC is to support the consumer's voice and learn from complaints to help drive ongoing improvement in the quality of health services in Victoria. The HCC acts independently and impartially to investigate matters and review complaints data.</w:t>
      </w:r>
    </w:p>
    <w:p w14:paraId="40A79135" w14:textId="68DC0288" w:rsidR="004E24E9" w:rsidRPr="004E24E9" w:rsidRDefault="004E24E9" w:rsidP="00A84587">
      <w:pPr>
        <w:pStyle w:val="Heading7"/>
      </w:pPr>
      <w:bookmarkStart w:id="25" w:name="_Toc135157712"/>
      <w:bookmarkEnd w:id="24"/>
      <w:r w:rsidRPr="004E24E9">
        <w:lastRenderedPageBreak/>
        <w:t xml:space="preserve">Australian Health Service Safety and Quality Accreditation Scheme </w:t>
      </w:r>
    </w:p>
    <w:p w14:paraId="777A79F7" w14:textId="03D13FA2" w:rsidR="004E24E9" w:rsidRPr="004E24E9" w:rsidRDefault="004E24E9" w:rsidP="00F1110D">
      <w:pPr>
        <w:keepNext/>
        <w:keepLines/>
      </w:pPr>
      <w:bookmarkStart w:id="26" w:name="_Toc149313054"/>
      <w:r w:rsidRPr="004E24E9">
        <w:t>The Act requires that t</w:t>
      </w:r>
      <w:bookmarkEnd w:id="26"/>
      <w:r w:rsidRPr="004E24E9">
        <w:t>he proprietor of an HSE:</w:t>
      </w:r>
    </w:p>
    <w:p w14:paraId="30A5DF29" w14:textId="21B111B5" w:rsidR="004E24E9" w:rsidRPr="004E24E9" w:rsidRDefault="004E24E9" w:rsidP="004E24E9">
      <w:pPr>
        <w:numPr>
          <w:ilvl w:val="0"/>
          <w:numId w:val="12"/>
        </w:numPr>
        <w:contextualSpacing/>
      </w:pPr>
      <w:r w:rsidRPr="004E24E9">
        <w:t>must not, without reasonable excuse, fail to comply with the requirements of an applicable approved accreditation scheme (Section 107A)</w:t>
      </w:r>
    </w:p>
    <w:p w14:paraId="666EE70F" w14:textId="0D82CA39" w:rsidR="004E24E9" w:rsidRPr="004E24E9" w:rsidRDefault="004E24E9" w:rsidP="00A60991">
      <w:pPr>
        <w:numPr>
          <w:ilvl w:val="0"/>
          <w:numId w:val="12"/>
        </w:numPr>
        <w:spacing w:after="240"/>
        <w:ind w:left="714" w:hanging="357"/>
        <w:contextualSpacing/>
      </w:pPr>
      <w:r w:rsidRPr="004E24E9">
        <w:t>if notified that the proprietor's application for accreditation under an approved accreditation scheme is refused, must give notice of the refusal to the Secretary within 24 hours after receiving the notification (Section 107B).</w:t>
      </w:r>
    </w:p>
    <w:p w14:paraId="47A30902" w14:textId="5F21F6C7" w:rsidR="004E24E9" w:rsidRPr="004E24E9" w:rsidRDefault="00A82A3E" w:rsidP="004E24E9">
      <w:r>
        <w:br/>
      </w:r>
      <w:r w:rsidR="004E24E9" w:rsidRPr="004E24E9">
        <w:t xml:space="preserve">For the purposes of these provisions, an approved accreditation scheme is one that has been approved by the Secretary under section 107 of the Act, by notice published in the Government Gazette and on the department’s website.  </w:t>
      </w:r>
    </w:p>
    <w:p w14:paraId="42639DD6" w14:textId="638C78AF" w:rsidR="003323C7" w:rsidRDefault="004E24E9" w:rsidP="003323C7">
      <w:r w:rsidRPr="004E24E9">
        <w:t xml:space="preserve">The </w:t>
      </w:r>
      <w:r w:rsidRPr="004E24E9" w:rsidDel="004C0523">
        <w:t>Australi</w:t>
      </w:r>
      <w:r w:rsidRPr="004E24E9">
        <w:t>an Health</w:t>
      </w:r>
      <w:r w:rsidRPr="004E24E9" w:rsidDel="004C0523">
        <w:t xml:space="preserve"> Service Safety and Quality Accreditation Scheme (</w:t>
      </w:r>
      <w:r w:rsidRPr="004E24E9">
        <w:t>Accreditation Scheme</w:t>
      </w:r>
      <w:r w:rsidR="00E32A17">
        <w:t>)</w:t>
      </w:r>
      <w:r w:rsidRPr="004E24E9">
        <w:t xml:space="preserve"> was approved by the Secretary in 201</w:t>
      </w:r>
      <w:r w:rsidR="008D49DE">
        <w:t>0</w:t>
      </w:r>
      <w:r w:rsidRPr="004E24E9">
        <w:t>.</w:t>
      </w:r>
      <w:r w:rsidRPr="000D17F7">
        <w:rPr>
          <w:rStyle w:val="FootnoteReference"/>
        </w:rPr>
        <w:footnoteReference w:id="22"/>
      </w:r>
      <w:r w:rsidRPr="004E24E9">
        <w:t xml:space="preserve"> The Accreditation Scheme </w:t>
      </w:r>
      <w:r w:rsidR="003323C7" w:rsidRPr="004E24E9">
        <w:t>is administered by the Australian Commission on Safety and Quality in Health Care (the Commission)</w:t>
      </w:r>
      <w:r w:rsidR="003323C7" w:rsidRPr="000D17F7">
        <w:rPr>
          <w:rStyle w:val="FootnoteReference"/>
        </w:rPr>
        <w:footnoteReference w:id="23"/>
      </w:r>
      <w:r w:rsidR="003323C7">
        <w:t>.</w:t>
      </w:r>
    </w:p>
    <w:p w14:paraId="31F08940" w14:textId="6390F1EB" w:rsidR="00700478" w:rsidRPr="009B5591" w:rsidRDefault="004E24E9" w:rsidP="004E24E9">
      <w:r w:rsidRPr="004E24E9">
        <w:t>The Accreditation Scheme provides for the national coordination of accreditation processes and sets out the responsibilities of accrediting agencies for assessing health service organisations against safety and quality standards. This includes the National Safety and Quality Health Service Standards (the Standards</w:t>
      </w:r>
      <w:r w:rsidR="00155999" w:rsidRPr="009B5591">
        <w:t>.</w:t>
      </w:r>
    </w:p>
    <w:p w14:paraId="687BDDD1" w14:textId="24A90722" w:rsidR="004E24E9" w:rsidRPr="004E24E9" w:rsidRDefault="004E24E9" w:rsidP="004E24E9">
      <w:r w:rsidRPr="004E24E9">
        <w:t>The Standards aim to protect the public from harms and improve the quality of health service provision. Implementation is mandated in all hospitals, day procedure services and public dental services across Australia. The</w:t>
      </w:r>
      <w:r w:rsidR="00BD0C17">
        <w:t xml:space="preserve"> second edition of the </w:t>
      </w:r>
      <w:r w:rsidR="00A07EF3">
        <w:t>Standards has</w:t>
      </w:r>
      <w:r w:rsidRPr="004E24E9">
        <w:t xml:space="preserve"> eight Standards which provide a nationally consistent statement about the level of care that consumers can expect from their health service provider:</w:t>
      </w:r>
    </w:p>
    <w:p w14:paraId="72F9955B" w14:textId="77777777" w:rsidR="004E24E9" w:rsidRPr="004E24E9" w:rsidRDefault="004E24E9" w:rsidP="004E24E9">
      <w:pPr>
        <w:numPr>
          <w:ilvl w:val="0"/>
          <w:numId w:val="12"/>
        </w:numPr>
        <w:contextualSpacing/>
      </w:pPr>
      <w:r w:rsidRPr="004E24E9">
        <w:t>Clinical Governance Standard</w:t>
      </w:r>
    </w:p>
    <w:p w14:paraId="6BE3BC9E" w14:textId="77777777" w:rsidR="004E24E9" w:rsidRPr="004E24E9" w:rsidRDefault="004E24E9" w:rsidP="004E24E9">
      <w:pPr>
        <w:numPr>
          <w:ilvl w:val="0"/>
          <w:numId w:val="12"/>
        </w:numPr>
        <w:contextualSpacing/>
      </w:pPr>
      <w:r w:rsidRPr="004E24E9">
        <w:t>Partnering with Consumers Standard</w:t>
      </w:r>
    </w:p>
    <w:p w14:paraId="1AC7DD48" w14:textId="3F94BFD9" w:rsidR="004E24E9" w:rsidRPr="004E24E9" w:rsidRDefault="004E24E9" w:rsidP="004E24E9">
      <w:pPr>
        <w:numPr>
          <w:ilvl w:val="0"/>
          <w:numId w:val="12"/>
        </w:numPr>
        <w:contextualSpacing/>
      </w:pPr>
      <w:r w:rsidRPr="004E24E9">
        <w:t>Preventing and Controlling Infection Standard</w:t>
      </w:r>
    </w:p>
    <w:p w14:paraId="0080CB95" w14:textId="77777777" w:rsidR="004E24E9" w:rsidRPr="004E24E9" w:rsidRDefault="004E24E9" w:rsidP="004E24E9">
      <w:pPr>
        <w:numPr>
          <w:ilvl w:val="0"/>
          <w:numId w:val="12"/>
        </w:numPr>
        <w:contextualSpacing/>
      </w:pPr>
      <w:r w:rsidRPr="004E24E9">
        <w:t>Medication Safety Standard</w:t>
      </w:r>
    </w:p>
    <w:p w14:paraId="680EBDFC" w14:textId="77777777" w:rsidR="004E24E9" w:rsidRPr="004E24E9" w:rsidRDefault="004E24E9" w:rsidP="004E24E9">
      <w:pPr>
        <w:numPr>
          <w:ilvl w:val="0"/>
          <w:numId w:val="12"/>
        </w:numPr>
        <w:contextualSpacing/>
      </w:pPr>
      <w:r w:rsidRPr="004E24E9">
        <w:t>Comprehensive Care Standard</w:t>
      </w:r>
    </w:p>
    <w:p w14:paraId="189B68DB" w14:textId="77777777" w:rsidR="004E24E9" w:rsidRPr="004E24E9" w:rsidRDefault="004E24E9" w:rsidP="004E24E9">
      <w:pPr>
        <w:numPr>
          <w:ilvl w:val="0"/>
          <w:numId w:val="12"/>
        </w:numPr>
        <w:contextualSpacing/>
      </w:pPr>
      <w:r w:rsidRPr="004E24E9">
        <w:t>Communicating for Safety Standard</w:t>
      </w:r>
    </w:p>
    <w:p w14:paraId="1D12659D" w14:textId="77777777" w:rsidR="004E24E9" w:rsidRPr="004E24E9" w:rsidRDefault="004E24E9" w:rsidP="004E24E9">
      <w:pPr>
        <w:numPr>
          <w:ilvl w:val="0"/>
          <w:numId w:val="12"/>
        </w:numPr>
        <w:contextualSpacing/>
      </w:pPr>
      <w:r w:rsidRPr="004E24E9">
        <w:t>Blood Management Standard</w:t>
      </w:r>
    </w:p>
    <w:p w14:paraId="65D0F985" w14:textId="77777777" w:rsidR="004E24E9" w:rsidRDefault="004E24E9" w:rsidP="004E24E9">
      <w:pPr>
        <w:numPr>
          <w:ilvl w:val="0"/>
          <w:numId w:val="12"/>
        </w:numPr>
        <w:contextualSpacing/>
      </w:pPr>
      <w:r w:rsidRPr="004E24E9">
        <w:t xml:space="preserve">Recognising and Responding to Acute Deterioration Standard. </w:t>
      </w:r>
    </w:p>
    <w:p w14:paraId="5C1D33AC" w14:textId="77777777" w:rsidR="008E691D" w:rsidRPr="004E24E9" w:rsidRDefault="008E691D" w:rsidP="008E691D">
      <w:pPr>
        <w:ind w:left="720"/>
        <w:contextualSpacing/>
      </w:pPr>
    </w:p>
    <w:p w14:paraId="57E98748" w14:textId="3DB4A872" w:rsidR="004E24E9" w:rsidRPr="004E24E9" w:rsidRDefault="004E24E9" w:rsidP="004E24E9">
      <w:r w:rsidRPr="004E24E9">
        <w:t xml:space="preserve">The Standards were </w:t>
      </w:r>
      <w:r w:rsidR="00DF3DAA">
        <w:t>developed through</w:t>
      </w:r>
      <w:r w:rsidRPr="004E24E9">
        <w:t xml:space="preserve"> a collaboration of the Commission, the Australian Government, states and territories, the private sector, clinical experts, patients and carers.</w:t>
      </w:r>
    </w:p>
    <w:p w14:paraId="34F7C314" w14:textId="354310E1" w:rsidR="004E24E9" w:rsidRPr="004E24E9" w:rsidRDefault="004E24E9" w:rsidP="004E24E9">
      <w:r w:rsidRPr="004E24E9">
        <w:lastRenderedPageBreak/>
        <w:t>Australian, state and territory governments determine the health service organisations required to be assessed against the Standards. They receive data on the outcomes of assessment</w:t>
      </w:r>
      <w:r w:rsidR="000B59E9">
        <w:rPr>
          <w:rStyle w:val="FootnoteReference"/>
        </w:rPr>
        <w:footnoteReference w:id="24"/>
      </w:r>
      <w:r w:rsidRPr="004E24E9">
        <w:t xml:space="preserve"> of health service organisations and respond to emerging issues.</w:t>
      </w:r>
    </w:p>
    <w:p w14:paraId="20039BA7" w14:textId="090F338A" w:rsidR="004E24E9" w:rsidRPr="004E24E9" w:rsidRDefault="004E24E9" w:rsidP="001E347D">
      <w:pPr>
        <w:pStyle w:val="Heading7"/>
        <w:rPr>
          <w:color w:val="403151" w:themeColor="accent2"/>
          <w:szCs w:val="28"/>
        </w:rPr>
      </w:pPr>
      <w:r w:rsidRPr="3D769DCE">
        <w:t>Role of the Victorian regulatory scheme and the National Accreditation Scheme</w:t>
      </w:r>
    </w:p>
    <w:p w14:paraId="457710C9" w14:textId="4B11B4E9" w:rsidR="004E24E9" w:rsidRPr="004E24E9" w:rsidRDefault="004E24E9" w:rsidP="004E24E9">
      <w:r w:rsidRPr="004E24E9">
        <w:t xml:space="preserve">Both the Standards and the Regulations target the safety and quality of healthcare, addressing common issues like infection control, clinical records, and staffing requirements. However, the emphasis differs. </w:t>
      </w:r>
    </w:p>
    <w:p w14:paraId="03CBD4ED" w14:textId="1CF13774" w:rsidR="004E24E9" w:rsidRPr="004E24E9" w:rsidRDefault="004E24E9" w:rsidP="004E24E9">
      <w:r w:rsidRPr="004E24E9">
        <w:t xml:space="preserve">The Accreditation Scheme provides a quality assurance mechanism for HSEs. Accreditation assesses whether relevant systems are in place to meet </w:t>
      </w:r>
      <w:r w:rsidR="00891E53">
        <w:t>the expected level of</w:t>
      </w:r>
      <w:r w:rsidR="00891E53" w:rsidRPr="004E24E9">
        <w:t xml:space="preserve"> </w:t>
      </w:r>
      <w:r w:rsidRPr="004E24E9">
        <w:t xml:space="preserve">safety and quality standards and serves as a quality improvement tool to help facilities achieve developmental goals. </w:t>
      </w:r>
    </w:p>
    <w:p w14:paraId="3DB43CC6" w14:textId="028650DD" w:rsidR="004E24E9" w:rsidRPr="004E24E9" w:rsidRDefault="004E24E9" w:rsidP="004E24E9">
      <w:r w:rsidRPr="004E24E9">
        <w:t>The Victorian regulatory scheme sets minimum compliance requirements for HSEs, and provides the department with a monitoring, oversight and enforcement framework. The department receives Standards accreditation reports for each HSE, including details about any actions that are 'not met' at initial assessment</w:t>
      </w:r>
      <w:r w:rsidR="00351BA5">
        <w:t xml:space="preserve">, in addition to </w:t>
      </w:r>
      <w:r w:rsidR="00F954BE">
        <w:t>assessment outcomes data reports</w:t>
      </w:r>
      <w:r w:rsidRPr="004E24E9">
        <w:t>. This data supplements the regulator's own compliance monitoring activities and informs its risk-based approach.</w:t>
      </w:r>
      <w:r w:rsidR="00DE506A">
        <w:t xml:space="preserve"> </w:t>
      </w:r>
    </w:p>
    <w:p w14:paraId="0C2B40B8" w14:textId="2B5C8E57" w:rsidR="004E24E9" w:rsidRPr="001E347D" w:rsidRDefault="004E24E9" w:rsidP="001E347D">
      <w:pPr>
        <w:pStyle w:val="Heading6"/>
        <w:rPr>
          <w:color w:val="BED9CD"/>
        </w:rPr>
      </w:pPr>
      <w:r w:rsidRPr="004E24E9">
        <w:t xml:space="preserve">The history of legislative reform of </w:t>
      </w:r>
      <w:r w:rsidR="00AB6BE3">
        <w:t>HSEs</w:t>
      </w:r>
      <w:r w:rsidRPr="004E24E9">
        <w:t xml:space="preserve"> in Victoria</w:t>
      </w:r>
    </w:p>
    <w:bookmarkEnd w:id="25"/>
    <w:p w14:paraId="241FD551" w14:textId="7C79026E" w:rsidR="00B30E1C" w:rsidRPr="00B30E1C" w:rsidRDefault="00B30E1C" w:rsidP="00B30E1C">
      <w:pPr>
        <w:spacing w:after="120"/>
      </w:pPr>
      <w:r w:rsidRPr="00B30E1C">
        <w:t>Since the inception of the current Regulations</w:t>
      </w:r>
      <w:r w:rsidRPr="00B30E1C">
        <w:rPr>
          <w:i/>
        </w:rPr>
        <w:t>,</w:t>
      </w:r>
      <w:r w:rsidRPr="00B30E1C">
        <w:t xml:space="preserve"> there has been a significant program of regulatory reform undertaken by the department to improve safety and quality of patient care outcomes.</w:t>
      </w:r>
    </w:p>
    <w:p w14:paraId="74475B44" w14:textId="557FD033" w:rsidR="00B30E1C" w:rsidRPr="00B30E1C" w:rsidRDefault="00B30E1C" w:rsidP="00B30E1C">
      <w:pPr>
        <w:keepNext/>
        <w:spacing w:before="0" w:after="0"/>
        <w:rPr>
          <w:iCs/>
          <w:color w:val="404040" w:themeColor="text2" w:themeTint="BF"/>
          <w:sz w:val="18"/>
          <w:szCs w:val="20"/>
        </w:rPr>
      </w:pPr>
      <w:r w:rsidRPr="00B30E1C">
        <w:rPr>
          <w:iCs/>
          <w:color w:val="404040" w:themeColor="text2" w:themeTint="BF"/>
          <w:sz w:val="18"/>
          <w:szCs w:val="20"/>
        </w:rPr>
        <w:t xml:space="preserve">Figure </w:t>
      </w:r>
      <w:r w:rsidR="00DB414C">
        <w:rPr>
          <w:iCs/>
          <w:color w:val="404040" w:themeColor="text2" w:themeTint="BF"/>
          <w:sz w:val="18"/>
          <w:szCs w:val="20"/>
        </w:rPr>
        <w:fldChar w:fldCharType="begin"/>
      </w:r>
      <w:r w:rsidR="00DB414C">
        <w:rPr>
          <w:iCs/>
          <w:color w:val="404040" w:themeColor="text2" w:themeTint="BF"/>
          <w:sz w:val="18"/>
          <w:szCs w:val="20"/>
        </w:rPr>
        <w:instrText xml:space="preserve"> SEQ Figure \* ARABIC </w:instrText>
      </w:r>
      <w:r w:rsidR="00DB414C">
        <w:rPr>
          <w:iCs/>
          <w:color w:val="404040" w:themeColor="text2" w:themeTint="BF"/>
          <w:sz w:val="18"/>
          <w:szCs w:val="20"/>
        </w:rPr>
        <w:fldChar w:fldCharType="separate"/>
      </w:r>
      <w:r w:rsidR="00B865E5">
        <w:rPr>
          <w:iCs/>
          <w:noProof/>
          <w:color w:val="404040" w:themeColor="text2" w:themeTint="BF"/>
          <w:sz w:val="18"/>
          <w:szCs w:val="20"/>
        </w:rPr>
        <w:t>2</w:t>
      </w:r>
      <w:r w:rsidR="00DB414C">
        <w:rPr>
          <w:iCs/>
          <w:color w:val="404040" w:themeColor="text2" w:themeTint="BF"/>
          <w:sz w:val="18"/>
          <w:szCs w:val="20"/>
        </w:rPr>
        <w:fldChar w:fldCharType="end"/>
      </w:r>
      <w:r w:rsidRPr="00B30E1C">
        <w:rPr>
          <w:iCs/>
          <w:color w:val="404040" w:themeColor="text2" w:themeTint="BF"/>
          <w:sz w:val="18"/>
          <w:szCs w:val="20"/>
        </w:rPr>
        <w:t xml:space="preserve"> Historical reform timeline</w:t>
      </w:r>
      <w:r w:rsidR="008114EF">
        <w:rPr>
          <w:iCs/>
          <w:color w:val="404040" w:themeColor="text2" w:themeTint="BF"/>
          <w:sz w:val="18"/>
          <w:szCs w:val="20"/>
        </w:rPr>
        <w:t xml:space="preserve"> since the introduction of the Health Services Act 1988</w:t>
      </w:r>
      <w:r w:rsidR="008114EF" w:rsidRPr="000D17F7">
        <w:rPr>
          <w:rStyle w:val="FootnoteReference"/>
        </w:rPr>
        <w:footnoteReference w:id="25"/>
      </w:r>
    </w:p>
    <w:p w14:paraId="70852D8C" w14:textId="77777777" w:rsidR="00B30E1C" w:rsidRPr="00B30E1C" w:rsidRDefault="00B30E1C" w:rsidP="00B30E1C">
      <w:pPr>
        <w:spacing w:before="0" w:after="0"/>
      </w:pPr>
      <w:r w:rsidRPr="00B30E1C">
        <w:rPr>
          <w:noProof/>
        </w:rPr>
        <w:drawing>
          <wp:inline distT="0" distB="0" distL="0" distR="0" wp14:anchorId="7B150E5C" wp14:editId="51600ECA">
            <wp:extent cx="6051550" cy="2819400"/>
            <wp:effectExtent l="0" t="0" r="63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B5C6AA2" w14:textId="0F510F19" w:rsidR="00B30E1C" w:rsidRPr="00B30E1C" w:rsidRDefault="00B30E1C" w:rsidP="003476CD">
      <w:pPr>
        <w:rPr>
          <w:iCs/>
          <w:color w:val="404040" w:themeColor="text2" w:themeTint="BF"/>
          <w:sz w:val="18"/>
          <w:szCs w:val="20"/>
        </w:rPr>
      </w:pPr>
      <w:r w:rsidRPr="00B30E1C">
        <w:lastRenderedPageBreak/>
        <w:t>State government intervention in the Victorian hospital system over the past decade has been shaped by recommendations made following the cluster of perinatal deaths that occurred at Djerriwarrh Health Services in 2013 and 2014.</w:t>
      </w:r>
    </w:p>
    <w:tbl>
      <w:tblPr>
        <w:tblStyle w:val="TableGrid"/>
        <w:tblW w:w="0" w:type="auto"/>
        <w:tblBorders>
          <w:top w:val="single" w:sz="4" w:space="0" w:color="7EA0BC"/>
          <w:left w:val="single" w:sz="4" w:space="0" w:color="7EA0BC"/>
          <w:bottom w:val="single" w:sz="4" w:space="0" w:color="7EA0BC"/>
          <w:right w:val="single" w:sz="4" w:space="0" w:color="7EA0BC"/>
          <w:insideH w:val="none" w:sz="0" w:space="0" w:color="auto"/>
          <w:insideV w:val="none" w:sz="0" w:space="0" w:color="auto"/>
        </w:tblBorders>
        <w:tblLook w:val="04A0" w:firstRow="1" w:lastRow="0" w:firstColumn="1" w:lastColumn="0" w:noHBand="0" w:noVBand="1"/>
      </w:tblPr>
      <w:tblGrid>
        <w:gridCol w:w="9016"/>
      </w:tblGrid>
      <w:tr w:rsidR="00B30E1C" w:rsidRPr="00B30E1C" w14:paraId="4CDC3D3E" w14:textId="77777777" w:rsidTr="001E347D">
        <w:tc>
          <w:tcPr>
            <w:tcW w:w="9016" w:type="dxa"/>
          </w:tcPr>
          <w:p w14:paraId="6373AD1B" w14:textId="77777777" w:rsidR="00B30E1C" w:rsidRPr="00B30E1C" w:rsidRDefault="00B30E1C" w:rsidP="00B30E1C">
            <w:r w:rsidRPr="00B30E1C">
              <w:t xml:space="preserve">In March 2015 the Department of Health and Human Services was notified that a cluster of perinatal deaths had occurred at Djerriwarrh Health Services during 2013 and 2014. An expert review into the deaths was subsequently undertaken by a senior obstetrician, Professor Euan Wallace. Professor Wallace identified that seven of the deaths were avoidable or potentially avoidable, with many of them involving common and recurring deficiencies in care. The review identified that the health service had inadequate clinical governance and was not monitoring and responding to adverse clinical outcomes in a timely manner. </w:t>
            </w:r>
          </w:p>
          <w:p w14:paraId="67C4BFFF" w14:textId="77777777" w:rsidR="00B30E1C" w:rsidRPr="00B30E1C" w:rsidRDefault="00B30E1C" w:rsidP="00B30E1C">
            <w:r w:rsidRPr="00B30E1C">
              <w:t>In response to this expert review the department commissioned a detailed and extensive analysis into how the department oversees and supports quality and safety of care across the Victorian hospital system, culminating in the 2016 report Targeting zero, the review of hospital safety and quality assurance in Victoria. The review found that the department had “relied too heavily on health services achieving accreditation to assure itself of quality and safety across the health system”. The department has since classified accreditation as a requirement for public health services and has included additional quality and safety indicators in their service agreements (see further on regulatory amendments below the text box).</w:t>
            </w:r>
          </w:p>
          <w:p w14:paraId="020675A7" w14:textId="77777777" w:rsidR="00B30E1C" w:rsidRPr="00B30E1C" w:rsidRDefault="00B30E1C" w:rsidP="00B30E1C">
            <w:pPr>
              <w:keepNext/>
            </w:pPr>
            <w:r w:rsidRPr="00B30E1C">
              <w:t xml:space="preserve">In response, the Victorian Government published </w:t>
            </w:r>
            <w:r w:rsidRPr="00B30E1C">
              <w:rPr>
                <w:i/>
                <w:iCs/>
              </w:rPr>
              <w:t>Better, safer care: Delivering a world-leading healthcare system</w:t>
            </w:r>
            <w:r w:rsidRPr="00B30E1C">
              <w:t xml:space="preserve"> in 2016. The report set out a blueprint for achieving the recommendations set out by Targeting zero, and created new organisations, including SCV and VAHI.</w:t>
            </w:r>
          </w:p>
        </w:tc>
      </w:tr>
    </w:tbl>
    <w:p w14:paraId="3826487F" w14:textId="77777777" w:rsidR="00B30E1C" w:rsidRPr="00B30E1C" w:rsidRDefault="00B30E1C" w:rsidP="00B30E1C">
      <w:r w:rsidRPr="00B30E1C">
        <w:t>As part of the Victorian Government’s work to implement Targeting zero review recommendations, amendments to the Regulations were made in 2018</w:t>
      </w:r>
      <w:r w:rsidRPr="000D17F7">
        <w:rPr>
          <w:rStyle w:val="FootnoteReference"/>
        </w:rPr>
        <w:footnoteReference w:id="26"/>
      </w:r>
      <w:r w:rsidRPr="00B30E1C">
        <w:t>, alongside reforms of the Act in 2017.</w:t>
      </w:r>
      <w:r w:rsidRPr="000D17F7">
        <w:rPr>
          <w:rStyle w:val="FootnoteReference"/>
        </w:rPr>
        <w:footnoteReference w:id="27"/>
      </w:r>
      <w:r w:rsidRPr="00B30E1C">
        <w:t xml:space="preserve"> These reforms:</w:t>
      </w:r>
      <w:r w:rsidRPr="000D17F7">
        <w:rPr>
          <w:rStyle w:val="FootnoteReference"/>
        </w:rPr>
        <w:footnoteReference w:id="28"/>
      </w:r>
    </w:p>
    <w:p w14:paraId="2FB7F9DE" w14:textId="25B69426" w:rsidR="00B30E1C" w:rsidRPr="00B30E1C" w:rsidRDefault="00B30E1C" w:rsidP="00B30E1C">
      <w:pPr>
        <w:numPr>
          <w:ilvl w:val="0"/>
          <w:numId w:val="12"/>
        </w:numPr>
        <w:contextualSpacing/>
      </w:pPr>
      <w:r w:rsidRPr="00B30E1C">
        <w:t>extended the scope of registration requirements to include what were then unregulated activities</w:t>
      </w:r>
    </w:p>
    <w:p w14:paraId="3FF9894C" w14:textId="685E3425" w:rsidR="00B30E1C" w:rsidRPr="00B30E1C" w:rsidRDefault="00B30E1C" w:rsidP="00B30E1C">
      <w:pPr>
        <w:numPr>
          <w:ilvl w:val="0"/>
          <w:numId w:val="12"/>
        </w:numPr>
        <w:contextualSpacing/>
      </w:pPr>
      <w:r w:rsidRPr="00B30E1C">
        <w:t>changed the focus of regulation so that the type of health service provided determines whether it must be registered, rather than the quantity of the service provided</w:t>
      </w:r>
    </w:p>
    <w:p w14:paraId="631505AB" w14:textId="01034E14" w:rsidR="00B30E1C" w:rsidRPr="00B30E1C" w:rsidRDefault="00B30E1C" w:rsidP="00B30E1C">
      <w:pPr>
        <w:numPr>
          <w:ilvl w:val="0"/>
          <w:numId w:val="12"/>
        </w:numPr>
        <w:contextualSpacing/>
      </w:pPr>
      <w:r w:rsidRPr="00B30E1C">
        <w:t>enabled registration requirements to be made broader and more flexible, and allowed for independent mobile services to be registered</w:t>
      </w:r>
    </w:p>
    <w:p w14:paraId="388761E4" w14:textId="5C396BF1" w:rsidR="00B30E1C" w:rsidRPr="00B30E1C" w:rsidRDefault="00B30E1C" w:rsidP="00B30E1C">
      <w:pPr>
        <w:numPr>
          <w:ilvl w:val="0"/>
          <w:numId w:val="12"/>
        </w:numPr>
        <w:contextualSpacing/>
      </w:pPr>
      <w:r w:rsidRPr="00B30E1C">
        <w:t>allowed the secretary to consider patient safety and quality at all times and allowed authorised officers to carry out inspections and investigations in response to safety and quality concerns</w:t>
      </w:r>
    </w:p>
    <w:p w14:paraId="3CC32977" w14:textId="77777777" w:rsidR="00B30E1C" w:rsidRPr="00B30E1C" w:rsidRDefault="00B30E1C" w:rsidP="00CD65FF">
      <w:pPr>
        <w:numPr>
          <w:ilvl w:val="0"/>
          <w:numId w:val="12"/>
        </w:numPr>
        <w:spacing w:after="240"/>
        <w:contextualSpacing/>
      </w:pPr>
      <w:r w:rsidRPr="00B30E1C">
        <w:t>strengthened the requirements for private sector services to maintain adequate safety and quality accreditation, enabling the secretary to publish in the Government Gazette an approved and mandated accreditation scheme and require private hospitals and day procedure centres to be accredited by such a scheme.</w:t>
      </w:r>
    </w:p>
    <w:p w14:paraId="261A9891" w14:textId="21EED1F9" w:rsidR="00B30E1C" w:rsidRPr="00B30E1C" w:rsidRDefault="00600ED3" w:rsidP="00CD65FF">
      <w:pPr>
        <w:spacing w:before="120"/>
      </w:pPr>
      <w:r w:rsidRPr="006554F1">
        <w:rPr>
          <w:sz w:val="14"/>
          <w:szCs w:val="16"/>
        </w:rPr>
        <w:lastRenderedPageBreak/>
        <w:br/>
      </w:r>
      <w:r w:rsidR="00B30E1C" w:rsidRPr="00B30E1C">
        <w:t>The now-proposed 2024 amendments to these Regulations, discussed in following sections of this RIS, build on the 2018 amendments and seek to improve the effectiveness of the response.</w:t>
      </w:r>
    </w:p>
    <w:p w14:paraId="655BC073" w14:textId="77777777" w:rsidR="00B30E1C" w:rsidRPr="00B30E1C" w:rsidRDefault="00B30E1C" w:rsidP="000526CE">
      <w:pPr>
        <w:pStyle w:val="Heading6"/>
      </w:pPr>
      <w:bookmarkStart w:id="27" w:name="_Ref161739860"/>
      <w:r w:rsidRPr="00B30E1C">
        <w:t>Sunsetting review</w:t>
      </w:r>
      <w:bookmarkEnd w:id="27"/>
      <w:r w:rsidRPr="00B30E1C">
        <w:t xml:space="preserve"> </w:t>
      </w:r>
    </w:p>
    <w:p w14:paraId="3FD237DF" w14:textId="6D209481" w:rsidR="004277A8" w:rsidRPr="00B30E1C" w:rsidRDefault="00B30E1C" w:rsidP="004277A8">
      <w:r w:rsidRPr="00B30E1C">
        <w:t>The</w:t>
      </w:r>
      <w:r w:rsidRPr="00B30E1C">
        <w:rPr>
          <w:b/>
        </w:rPr>
        <w:t xml:space="preserve"> Regulations will expire (or ‘sunset’) on 1 September 2024</w:t>
      </w:r>
      <w:r w:rsidRPr="00B30E1C">
        <w:t>. To support the remaking of the Regulations and any potential changes to improve the Regulations, the department is undertaking a sunset review to assess whether the Regulations are fit for purpose and meet the objectives of safe, quality patient care.</w:t>
      </w:r>
      <w:r w:rsidR="006554F1">
        <w:t xml:space="preserve"> </w:t>
      </w:r>
      <w:r w:rsidRPr="00B30E1C">
        <w:t>The review has included extensive policy analysis supported by a discussion paper in August 2023 seeking stakeholder feedback on potential reforms to the Regulations.</w:t>
      </w:r>
      <w:r w:rsidRPr="000D17F7">
        <w:rPr>
          <w:rStyle w:val="FootnoteReference"/>
        </w:rPr>
        <w:footnoteReference w:id="29"/>
      </w:r>
      <w:r w:rsidRPr="00B30E1C">
        <w:t xml:space="preserve"> </w:t>
      </w:r>
    </w:p>
    <w:tbl>
      <w:tblPr>
        <w:tblStyle w:val="TableGrid"/>
        <w:tblW w:w="0" w:type="auto"/>
        <w:tblBorders>
          <w:top w:val="single" w:sz="4" w:space="0" w:color="7EA0BC"/>
          <w:left w:val="single" w:sz="4" w:space="0" w:color="7EA0BC"/>
          <w:bottom w:val="single" w:sz="4" w:space="0" w:color="7EA0BC"/>
          <w:right w:val="single" w:sz="4" w:space="0" w:color="7EA0BC"/>
          <w:insideH w:val="none" w:sz="0" w:space="0" w:color="auto"/>
          <w:insideV w:val="none" w:sz="0" w:space="0" w:color="auto"/>
        </w:tblBorders>
        <w:tblLook w:val="04A0" w:firstRow="1" w:lastRow="0" w:firstColumn="1" w:lastColumn="0" w:noHBand="0" w:noVBand="1"/>
      </w:tblPr>
      <w:tblGrid>
        <w:gridCol w:w="9016"/>
      </w:tblGrid>
      <w:tr w:rsidR="00B30E1C" w:rsidRPr="00B30E1C" w14:paraId="521F1DCF" w14:textId="77777777" w:rsidTr="001E347D">
        <w:tc>
          <w:tcPr>
            <w:tcW w:w="9016" w:type="dxa"/>
          </w:tcPr>
          <w:p w14:paraId="56E7F00E" w14:textId="77777777" w:rsidR="00B30E1C" w:rsidRPr="00B30E1C" w:rsidRDefault="00B30E1C" w:rsidP="00B30E1C">
            <w:r w:rsidRPr="00B30E1C">
              <w:t>The discussion paper requested feedback via 72 questions on current arrangements and policy proposals in relation to:</w:t>
            </w:r>
          </w:p>
          <w:p w14:paraId="1AF132BD" w14:textId="77777777" w:rsidR="00B30E1C" w:rsidRPr="00B30E1C" w:rsidRDefault="00B30E1C" w:rsidP="00B30E1C">
            <w:pPr>
              <w:numPr>
                <w:ilvl w:val="0"/>
                <w:numId w:val="56"/>
              </w:numPr>
              <w:spacing w:before="0"/>
              <w:contextualSpacing/>
            </w:pPr>
            <w:r w:rsidRPr="00B30E1C">
              <w:t>Health service definitions and scope</w:t>
            </w:r>
          </w:p>
          <w:p w14:paraId="3234347C" w14:textId="77777777" w:rsidR="00B30E1C" w:rsidRPr="00B30E1C" w:rsidRDefault="00B30E1C" w:rsidP="00B30E1C">
            <w:pPr>
              <w:numPr>
                <w:ilvl w:val="0"/>
                <w:numId w:val="56"/>
              </w:numPr>
              <w:contextualSpacing/>
            </w:pPr>
            <w:r w:rsidRPr="00B30E1C">
              <w:t>Registration and accreditation</w:t>
            </w:r>
          </w:p>
          <w:p w14:paraId="17CE38E3" w14:textId="77777777" w:rsidR="00B30E1C" w:rsidRPr="00B30E1C" w:rsidRDefault="00B30E1C" w:rsidP="00B30E1C">
            <w:pPr>
              <w:numPr>
                <w:ilvl w:val="0"/>
                <w:numId w:val="56"/>
              </w:numPr>
              <w:contextualSpacing/>
            </w:pPr>
            <w:r w:rsidRPr="00B30E1C">
              <w:t>Clinical governance</w:t>
            </w:r>
          </w:p>
          <w:p w14:paraId="5D692D03" w14:textId="77777777" w:rsidR="00B30E1C" w:rsidRPr="00B30E1C" w:rsidRDefault="00B30E1C" w:rsidP="00B30E1C">
            <w:pPr>
              <w:numPr>
                <w:ilvl w:val="0"/>
                <w:numId w:val="56"/>
              </w:numPr>
              <w:contextualSpacing/>
            </w:pPr>
            <w:r w:rsidRPr="00B30E1C">
              <w:t>Staffing requirements</w:t>
            </w:r>
          </w:p>
          <w:p w14:paraId="26F0B00C" w14:textId="77777777" w:rsidR="00B30E1C" w:rsidRPr="00B30E1C" w:rsidRDefault="00B30E1C" w:rsidP="00B30E1C">
            <w:pPr>
              <w:numPr>
                <w:ilvl w:val="0"/>
                <w:numId w:val="56"/>
              </w:numPr>
              <w:contextualSpacing/>
            </w:pPr>
            <w:r w:rsidRPr="00B30E1C">
              <w:t>Pre-treatment clinical assessment and discharge of patients</w:t>
            </w:r>
          </w:p>
          <w:p w14:paraId="7A9E7BAC" w14:textId="77777777" w:rsidR="00B30E1C" w:rsidRPr="00B30E1C" w:rsidRDefault="00B30E1C" w:rsidP="00B30E1C">
            <w:pPr>
              <w:numPr>
                <w:ilvl w:val="0"/>
                <w:numId w:val="56"/>
              </w:numPr>
              <w:contextualSpacing/>
            </w:pPr>
            <w:r w:rsidRPr="00B30E1C">
              <w:t>Registers and records</w:t>
            </w:r>
          </w:p>
          <w:p w14:paraId="2CFB61FB" w14:textId="77777777" w:rsidR="00B30E1C" w:rsidRPr="00B30E1C" w:rsidRDefault="00B30E1C" w:rsidP="00B30E1C">
            <w:pPr>
              <w:numPr>
                <w:ilvl w:val="0"/>
                <w:numId w:val="56"/>
              </w:numPr>
              <w:contextualSpacing/>
            </w:pPr>
            <w:r w:rsidRPr="00B30E1C">
              <w:t>Mandatory reporting to the department and SCV</w:t>
            </w:r>
          </w:p>
          <w:p w14:paraId="42EAB49F" w14:textId="77777777" w:rsidR="00B30E1C" w:rsidRPr="00B30E1C" w:rsidRDefault="00B30E1C" w:rsidP="00B30E1C">
            <w:pPr>
              <w:numPr>
                <w:ilvl w:val="0"/>
                <w:numId w:val="56"/>
              </w:numPr>
              <w:contextualSpacing/>
            </w:pPr>
            <w:r w:rsidRPr="00B30E1C">
              <w:t>The patient experience: rights, informed care and complaints</w:t>
            </w:r>
          </w:p>
          <w:p w14:paraId="41201AD1" w14:textId="77777777" w:rsidR="00B30E1C" w:rsidRPr="00B30E1C" w:rsidRDefault="00B30E1C" w:rsidP="00B30E1C">
            <w:pPr>
              <w:numPr>
                <w:ilvl w:val="0"/>
                <w:numId w:val="56"/>
              </w:numPr>
              <w:contextualSpacing/>
            </w:pPr>
            <w:r w:rsidRPr="00B30E1C">
              <w:t>Offences, penalties and sanctions</w:t>
            </w:r>
          </w:p>
          <w:p w14:paraId="07B1A2B7" w14:textId="77777777" w:rsidR="00B30E1C" w:rsidRPr="00B30E1C" w:rsidRDefault="00B30E1C" w:rsidP="00B30E1C">
            <w:pPr>
              <w:numPr>
                <w:ilvl w:val="0"/>
                <w:numId w:val="56"/>
              </w:numPr>
              <w:contextualSpacing/>
            </w:pPr>
            <w:r w:rsidRPr="00B30E1C">
              <w:t>Other issues including fees</w:t>
            </w:r>
          </w:p>
          <w:p w14:paraId="44BBF157" w14:textId="77777777" w:rsidR="00B30E1C" w:rsidRPr="00B30E1C" w:rsidRDefault="00B30E1C" w:rsidP="00B30E1C">
            <w:r w:rsidRPr="00B30E1C">
              <w:t>Forty-six written submissions were received, with most submissions from either private hospitals or professional associations and peak bodies.</w:t>
            </w:r>
          </w:p>
          <w:p w14:paraId="79266C8C" w14:textId="77777777" w:rsidR="00B30E1C" w:rsidRPr="00B30E1C" w:rsidRDefault="00B30E1C" w:rsidP="00B30E1C">
            <w:r w:rsidRPr="00B30E1C">
              <w:t>While varied views were expressed on different topics, a general theme across submissions was that the Regulations (together with the Accreditation Scheme</w:t>
            </w:r>
            <w:r w:rsidRPr="000D17F7">
              <w:rPr>
                <w:rStyle w:val="FootnoteReference"/>
              </w:rPr>
              <w:footnoteReference w:id="30"/>
            </w:r>
            <w:r w:rsidRPr="00B30E1C">
              <w:t>), remain fit for purpose in achieving the objectives of safety and quality of care of patients. Recommendations were made by some stakeholders about significant changes to staffing requirements, while there was some support for more prescriptive clinical governance requirements. The private hospital sector generally opposed significant change to the Regulations with some noting that there are already Standards and appropriate mechanisms in place to meet governance requirements in the Standards by the Commission and that implementation of proposed Regulation changes would cause further duplication both in reporting and oversight.</w:t>
            </w:r>
          </w:p>
        </w:tc>
      </w:tr>
    </w:tbl>
    <w:p w14:paraId="1641F307" w14:textId="56C88750" w:rsidR="00B30E1C" w:rsidRPr="00B30E1C" w:rsidRDefault="00B30E1C" w:rsidP="00B30E1C">
      <w:r w:rsidRPr="00B30E1C">
        <w:t xml:space="preserve">The department also engaged the Health Issues Centre (HIC) to consult people with lived experience about their expectations and experiences of regulation, and safety and quality in </w:t>
      </w:r>
      <w:r w:rsidR="005A2F80">
        <w:t>HSEs</w:t>
      </w:r>
      <w:r w:rsidRPr="00B30E1C">
        <w:t>. Key themes from consumers were centre</w:t>
      </w:r>
      <w:r w:rsidR="00D649AB">
        <w:t>d</w:t>
      </w:r>
      <w:r w:rsidRPr="00B30E1C">
        <w:t xml:space="preserve"> around communication, information, staff competence/expertise, timely response to adverse events and complaints, clinical governance, and fees. The department considers </w:t>
      </w:r>
      <w:r w:rsidRPr="00B30E1C">
        <w:lastRenderedPageBreak/>
        <w:t xml:space="preserve">that key themes cited as important by consumers are reflected in the current </w:t>
      </w:r>
      <w:r w:rsidR="00AC54E1">
        <w:t>Regulations</w:t>
      </w:r>
      <w:r w:rsidR="00A37D16" w:rsidRPr="00B30E1C">
        <w:t xml:space="preserve"> </w:t>
      </w:r>
      <w:r w:rsidRPr="00B30E1C">
        <w:t xml:space="preserve">and align with the department’s proposed improvements. </w:t>
      </w:r>
    </w:p>
    <w:tbl>
      <w:tblPr>
        <w:tblStyle w:val="TableGrid"/>
        <w:tblW w:w="0" w:type="auto"/>
        <w:tblBorders>
          <w:top w:val="single" w:sz="4" w:space="0" w:color="7EA0BC"/>
          <w:left w:val="single" w:sz="4" w:space="0" w:color="7EA0BC"/>
          <w:bottom w:val="single" w:sz="4" w:space="0" w:color="7EA0BC"/>
          <w:right w:val="single" w:sz="4" w:space="0" w:color="7EA0BC"/>
          <w:insideH w:val="none" w:sz="0" w:space="0" w:color="auto"/>
          <w:insideV w:val="none" w:sz="0" w:space="0" w:color="auto"/>
        </w:tblBorders>
        <w:tblLook w:val="04A0" w:firstRow="1" w:lastRow="0" w:firstColumn="1" w:lastColumn="0" w:noHBand="0" w:noVBand="1"/>
      </w:tblPr>
      <w:tblGrid>
        <w:gridCol w:w="9016"/>
      </w:tblGrid>
      <w:tr w:rsidR="004E24E9" w:rsidRPr="004E24E9" w14:paraId="2B9E803F" w14:textId="77777777" w:rsidTr="001E347D">
        <w:trPr>
          <w:trHeight w:val="1603"/>
        </w:trPr>
        <w:tc>
          <w:tcPr>
            <w:tcW w:w="9016" w:type="dxa"/>
          </w:tcPr>
          <w:p w14:paraId="2272DD3F" w14:textId="42780055" w:rsidR="004E24E9" w:rsidRPr="004E24E9" w:rsidRDefault="004E24E9" w:rsidP="004E24E9">
            <w:r w:rsidRPr="004E24E9">
              <w:t>The HIC’s Consumer Interviews Report (December 2023) found that "it is clear…that consumers have a lot to say when it comes to quality and safety in health care. The key themes regarding communication and information, competence and expertise of staff, patient centred care, timely response to adverse events and complaints, clinical governance and fees show that consumers have significant experience and expertise in helping to inform the review of the Regulations.”</w:t>
            </w:r>
          </w:p>
        </w:tc>
      </w:tr>
    </w:tbl>
    <w:p w14:paraId="7AAAB9DD" w14:textId="17C5D4F0" w:rsidR="004E24E9" w:rsidRPr="004E24E9" w:rsidRDefault="004E24E9" w:rsidP="004E24E9">
      <w:r w:rsidRPr="004E24E9">
        <w:t xml:space="preserve">Following this consultation program, the department undertook </w:t>
      </w:r>
      <w:r w:rsidR="000D65D6" w:rsidRPr="004E24E9">
        <w:t xml:space="preserve">additional </w:t>
      </w:r>
      <w:r w:rsidRPr="004E24E9">
        <w:t xml:space="preserve">detailed analysis and </w:t>
      </w:r>
      <w:r w:rsidR="000D65D6" w:rsidRPr="004E24E9">
        <w:t xml:space="preserve">targeted information sessions and consultations with key stakeholders to </w:t>
      </w:r>
      <w:r w:rsidRPr="004E24E9">
        <w:t>further refine its policy proposals</w:t>
      </w:r>
      <w:r w:rsidR="008019EF">
        <w:t>.</w:t>
      </w:r>
      <w:r w:rsidR="00050F16">
        <w:t xml:space="preserve"> Key areas of policy development were </w:t>
      </w:r>
      <w:r w:rsidR="00D265B4">
        <w:t xml:space="preserve">around clinical governance, </w:t>
      </w:r>
      <w:r w:rsidR="005E7C67">
        <w:t>workforce and staffing requirements and t</w:t>
      </w:r>
      <w:r w:rsidR="00854303">
        <w:t>he scope of the Registration scheme (see discussion below).</w:t>
      </w:r>
      <w:r w:rsidR="005E7C67">
        <w:t xml:space="preserve"> </w:t>
      </w:r>
      <w:r w:rsidR="004838F6">
        <w:t xml:space="preserve"> </w:t>
      </w:r>
    </w:p>
    <w:p w14:paraId="02A95058" w14:textId="5BFBE995" w:rsidR="004E24E9" w:rsidRPr="004E24E9" w:rsidRDefault="004E24E9" w:rsidP="004E24E9">
      <w:r w:rsidRPr="004E24E9">
        <w:t xml:space="preserve">Drawing on this extensive review, the department considers that the current Regulations are necessary to ensure the Act can continue to operate as intended. For example, the registration scheme defined in the Act would not have meaning without the prescribed health services, forms and fee schedules set out in the Regulations. </w:t>
      </w:r>
    </w:p>
    <w:p w14:paraId="6E65EF9D" w14:textId="1C2EDBAB" w:rsidR="00914BA1" w:rsidRDefault="005F32EF" w:rsidP="005F32EF">
      <w:r>
        <w:t>T</w:t>
      </w:r>
      <w:r w:rsidRPr="004E24E9">
        <w:t xml:space="preserve">he review </w:t>
      </w:r>
      <w:r>
        <w:t xml:space="preserve">has </w:t>
      </w:r>
      <w:r w:rsidR="00914BA1">
        <w:t xml:space="preserve">also </w:t>
      </w:r>
      <w:r>
        <w:t xml:space="preserve">identified </w:t>
      </w:r>
      <w:r w:rsidR="00914BA1">
        <w:t>the ongoing need for regulations to set requirements for key elements of quality and saf</w:t>
      </w:r>
      <w:r w:rsidR="00CC18D1">
        <w:t xml:space="preserve">ety, as they currently do. </w:t>
      </w:r>
    </w:p>
    <w:p w14:paraId="5C0EB075" w14:textId="3A197998" w:rsidR="005F32EF" w:rsidRDefault="00914BA1" w:rsidP="005F32EF">
      <w:r>
        <w:t xml:space="preserve">The review identified </w:t>
      </w:r>
      <w:r w:rsidR="00CC18D1">
        <w:t>some areas</w:t>
      </w:r>
      <w:r w:rsidR="005F32EF">
        <w:t xml:space="preserve"> of the Regulations that </w:t>
      </w:r>
      <w:r w:rsidR="00086CC7">
        <w:t>should</w:t>
      </w:r>
      <w:r w:rsidR="005F32EF">
        <w:t xml:space="preserve"> be updated and strengthened as set out in this RIS</w:t>
      </w:r>
      <w:r w:rsidR="00164BC1">
        <w:t>,</w:t>
      </w:r>
      <w:r w:rsidR="005F32EF">
        <w:t xml:space="preserve"> to ensure that the relevant objective of the Regulations is best achieved. </w:t>
      </w:r>
    </w:p>
    <w:p w14:paraId="66E14C10" w14:textId="4CADFA6C" w:rsidR="00086CC7" w:rsidRDefault="005F32EF" w:rsidP="00164BC1">
      <w:r>
        <w:t>In addition</w:t>
      </w:r>
      <w:r w:rsidR="00164BC1">
        <w:t xml:space="preserve">, the </w:t>
      </w:r>
      <w:r>
        <w:t>review</w:t>
      </w:r>
      <w:r w:rsidR="00164BC1">
        <w:t xml:space="preserve"> considered</w:t>
      </w:r>
      <w:r>
        <w:t xml:space="preserve"> </w:t>
      </w:r>
      <w:r w:rsidR="00164BC1">
        <w:t xml:space="preserve">the elements of the </w:t>
      </w:r>
      <w:r>
        <w:t xml:space="preserve">Regulations </w:t>
      </w:r>
      <w:r w:rsidR="00164BC1">
        <w:t>that set out</w:t>
      </w:r>
      <w:r>
        <w:t xml:space="preserve"> </w:t>
      </w:r>
      <w:r w:rsidR="00164BC1">
        <w:t>w</w:t>
      </w:r>
      <w:r>
        <w:t xml:space="preserve">orkforce and staffing requirements </w:t>
      </w:r>
      <w:r w:rsidR="00164BC1">
        <w:t xml:space="preserve">and those that determine the scope of the Registration scheme </w:t>
      </w:r>
      <w:r w:rsidR="00086CC7">
        <w:t xml:space="preserve">in the Act </w:t>
      </w:r>
      <w:r w:rsidR="00164BC1">
        <w:t>(that is</w:t>
      </w:r>
      <w:r w:rsidR="00086CC7">
        <w:t>,</w:t>
      </w:r>
      <w:r w:rsidR="00164BC1">
        <w:t xml:space="preserve"> the provisions that list and define the types of services that must be provided in a registered facility). Consultation and policy analysis raised important questions about the</w:t>
      </w:r>
      <w:r w:rsidR="00164BC1" w:rsidRPr="004E24E9">
        <w:t xml:space="preserve"> </w:t>
      </w:r>
      <w:r w:rsidR="00164BC1">
        <w:t>best</w:t>
      </w:r>
      <w:r w:rsidR="00164BC1" w:rsidRPr="004E24E9">
        <w:t xml:space="preserve"> settings </w:t>
      </w:r>
      <w:r w:rsidR="00BF2475">
        <w:t xml:space="preserve">of the Regulations </w:t>
      </w:r>
      <w:r w:rsidR="00164BC1" w:rsidRPr="004E24E9">
        <w:t xml:space="preserve">to achieve </w:t>
      </w:r>
      <w:r w:rsidR="00164BC1">
        <w:t xml:space="preserve">the </w:t>
      </w:r>
      <w:r w:rsidR="00164BC1" w:rsidRPr="004E24E9">
        <w:t>desired safety outcomes without undue restriction on service delivery</w:t>
      </w:r>
      <w:r w:rsidR="00FC50C1">
        <w:t>:</w:t>
      </w:r>
    </w:p>
    <w:p w14:paraId="2BAF3FD9" w14:textId="54E08096" w:rsidR="00083C41" w:rsidRDefault="00086CC7" w:rsidP="009310F4">
      <w:pPr>
        <w:numPr>
          <w:ilvl w:val="0"/>
          <w:numId w:val="12"/>
        </w:numPr>
        <w:contextualSpacing/>
      </w:pPr>
      <w:r>
        <w:t>On workforce requirements, t</w:t>
      </w:r>
      <w:r w:rsidR="00164BC1">
        <w:t xml:space="preserve">here has been feedback that the minimum staffing requirements currently in the Regulations do not reflect the workforce arrangements necessary </w:t>
      </w:r>
      <w:r>
        <w:t>to support</w:t>
      </w:r>
      <w:r w:rsidR="00164BC1">
        <w:t xml:space="preserve"> </w:t>
      </w:r>
      <w:r>
        <w:t>patient safety</w:t>
      </w:r>
      <w:r w:rsidR="00164BC1">
        <w:t xml:space="preserve">. There has also been feedback about the potential adverse impact of </w:t>
      </w:r>
      <w:r>
        <w:t>general and prescriptive regulatory requirements on these matters, including on the viability of facilities and therefore availability of services</w:t>
      </w:r>
      <w:r w:rsidR="00DA50B1">
        <w:t>.</w:t>
      </w:r>
    </w:p>
    <w:p w14:paraId="2AAE679B" w14:textId="4108F1F5" w:rsidR="00086CC7" w:rsidRDefault="00086CC7" w:rsidP="009310F4">
      <w:pPr>
        <w:numPr>
          <w:ilvl w:val="0"/>
          <w:numId w:val="12"/>
        </w:numPr>
        <w:contextualSpacing/>
      </w:pPr>
      <w:r>
        <w:t>On the services that are listed and defined in the Regulations to determine the scope of the Registration requirement, there has been feedback on a range of possible clarifications or additions</w:t>
      </w:r>
      <w:r w:rsidR="00AA6559">
        <w:t>, i</w:t>
      </w:r>
      <w:r>
        <w:t xml:space="preserve">ncluding in relation to cosmetic surgery, which </w:t>
      </w:r>
      <w:r w:rsidR="00083C41">
        <w:t xml:space="preserve">raise factual and policy questions about how best to define the services that should only be delivered in or from </w:t>
      </w:r>
      <w:r w:rsidR="00E41FF2">
        <w:t xml:space="preserve">a </w:t>
      </w:r>
      <w:r w:rsidR="00083C41">
        <w:t xml:space="preserve">registered facility. </w:t>
      </w:r>
    </w:p>
    <w:p w14:paraId="266BECBC" w14:textId="1405FAF2" w:rsidR="005F32EF" w:rsidRPr="004E24E9" w:rsidRDefault="00086CC7" w:rsidP="005F32EF">
      <w:r>
        <w:t>In light of this, updates</w:t>
      </w:r>
      <w:r w:rsidR="00164BC1">
        <w:t xml:space="preserve"> to </w:t>
      </w:r>
      <w:r w:rsidR="00083C41">
        <w:t>those</w:t>
      </w:r>
      <w:r w:rsidR="00164BC1">
        <w:t xml:space="preserve"> elements of the Regulations are</w:t>
      </w:r>
      <w:r w:rsidR="00164BC1" w:rsidRPr="004E24E9">
        <w:t xml:space="preserve"> </w:t>
      </w:r>
      <w:r w:rsidR="00164BC1">
        <w:t>still under active</w:t>
      </w:r>
      <w:r w:rsidR="00164BC1" w:rsidRPr="004E24E9">
        <w:t xml:space="preserve"> consideration.</w:t>
      </w:r>
      <w:r>
        <w:t xml:space="preserve"> The </w:t>
      </w:r>
      <w:r w:rsidR="00F0605F">
        <w:t>d</w:t>
      </w:r>
      <w:r>
        <w:t>epartment will conduct further consultation and policy analysis to inform proposals for further updates to the Regulations</w:t>
      </w:r>
      <w:r w:rsidR="00083C41">
        <w:t xml:space="preserve">, which will then be subject to appropriate impact assessment. </w:t>
      </w:r>
    </w:p>
    <w:p w14:paraId="43A435C0" w14:textId="77777777" w:rsidR="004E24E9" w:rsidRPr="004E24E9" w:rsidRDefault="004E24E9" w:rsidP="000526CE">
      <w:pPr>
        <w:pStyle w:val="Heading6"/>
      </w:pPr>
      <w:r w:rsidRPr="004E24E9">
        <w:lastRenderedPageBreak/>
        <w:t>Purpose of this Regulatory Impact Statement</w:t>
      </w:r>
    </w:p>
    <w:p w14:paraId="0DAEE576" w14:textId="77777777" w:rsidR="004E24E9" w:rsidRPr="004E24E9" w:rsidRDefault="004E24E9" w:rsidP="004E24E9">
      <w:pPr>
        <w:rPr>
          <w:lang w:eastAsia="en-AU"/>
        </w:rPr>
      </w:pPr>
      <w:r w:rsidRPr="004E24E9">
        <w:t xml:space="preserve">Under the </w:t>
      </w:r>
      <w:r w:rsidRPr="004E24E9">
        <w:rPr>
          <w:i/>
          <w:iCs/>
        </w:rPr>
        <w:t>Subordinate Legislation Act 1994</w:t>
      </w:r>
      <w:r w:rsidRPr="004E24E9">
        <w:t> (SL Act), a RIS is required to be prepared for proposed regulations that are expected to have a significant impact. The responsible Minister must ensure a RIS is prepared for public consultation.</w:t>
      </w:r>
      <w:r w:rsidRPr="004E24E9">
        <w:rPr>
          <w:lang w:eastAsia="en-AU"/>
        </w:rPr>
        <w:t xml:space="preserve"> </w:t>
      </w:r>
    </w:p>
    <w:p w14:paraId="09A5AA20" w14:textId="05C12558" w:rsidR="004E24E9" w:rsidRPr="004E24E9" w:rsidRDefault="004E24E9" w:rsidP="004E24E9">
      <w:r w:rsidRPr="004E24E9">
        <w:t>The department engaged Sapere Research Group to prepare this RIS in accordance with Better Regulation Victoria’s (BRV) Victorian Guide to Regulation</w:t>
      </w:r>
      <w:r w:rsidRPr="000D17F7">
        <w:rPr>
          <w:rStyle w:val="FootnoteReference"/>
        </w:rPr>
        <w:footnoteReference w:id="31"/>
      </w:r>
      <w:r w:rsidRPr="004E24E9">
        <w:t xml:space="preserve"> and the SL Act. </w:t>
      </w:r>
    </w:p>
    <w:p w14:paraId="40E2F3BB" w14:textId="658AC4B3" w:rsidR="004E24E9" w:rsidRPr="004E24E9" w:rsidRDefault="00AB6775" w:rsidP="004E24E9">
      <w:r w:rsidRPr="006949F8">
        <w:rPr>
          <w:noProof/>
        </w:rPr>
        <mc:AlternateContent>
          <mc:Choice Requires="wpg">
            <w:drawing>
              <wp:anchor distT="0" distB="0" distL="114300" distR="114300" simplePos="0" relativeHeight="251658249" behindDoc="0" locked="0" layoutInCell="1" allowOverlap="1" wp14:anchorId="6C60BA0B" wp14:editId="1F8D3456">
                <wp:simplePos x="0" y="0"/>
                <wp:positionH relativeFrom="margin">
                  <wp:align>left</wp:align>
                </wp:positionH>
                <wp:positionV relativeFrom="paragraph">
                  <wp:posOffset>936625</wp:posOffset>
                </wp:positionV>
                <wp:extent cx="6242050" cy="2832100"/>
                <wp:effectExtent l="0" t="0" r="25400" b="6350"/>
                <wp:wrapTopAndBottom/>
                <wp:docPr id="477082478" name="Group 477082478"/>
                <wp:cNvGraphicFramePr/>
                <a:graphic xmlns:a="http://schemas.openxmlformats.org/drawingml/2006/main">
                  <a:graphicData uri="http://schemas.microsoft.com/office/word/2010/wordprocessingGroup">
                    <wpg:wgp>
                      <wpg:cNvGrpSpPr/>
                      <wpg:grpSpPr>
                        <a:xfrm>
                          <a:off x="0" y="0"/>
                          <a:ext cx="6242050" cy="2832100"/>
                          <a:chOff x="0" y="0"/>
                          <a:chExt cx="6203859" cy="2278106"/>
                        </a:xfrm>
                      </wpg:grpSpPr>
                      <wpg:grpSp>
                        <wpg:cNvPr id="367711658" name="Group 367711658"/>
                        <wpg:cNvGrpSpPr/>
                        <wpg:grpSpPr>
                          <a:xfrm>
                            <a:off x="0" y="0"/>
                            <a:ext cx="6203859" cy="955047"/>
                            <a:chOff x="0" y="0"/>
                            <a:chExt cx="10707338" cy="1233395"/>
                          </a:xfrm>
                        </wpg:grpSpPr>
                        <wps:wsp>
                          <wps:cNvPr id="1060411709" name="Rectangle: Single Corner Rounded 1060411709"/>
                          <wps:cNvSpPr/>
                          <wps:spPr>
                            <a:xfrm>
                              <a:off x="0" y="0"/>
                              <a:ext cx="2067411" cy="1193422"/>
                            </a:xfrm>
                            <a:prstGeom prst="round1Rect">
                              <a:avLst/>
                            </a:prstGeom>
                            <a:solidFill>
                              <a:srgbClr val="081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71C6CBA" w14:textId="77777777" w:rsidR="006949F8" w:rsidRPr="003476CD" w:rsidRDefault="006949F8" w:rsidP="006949F8">
                                <w:pPr>
                                  <w:jc w:val="center"/>
                                  <w:rPr>
                                    <w:rFonts w:hAnsi="Segoe UI"/>
                                    <w:b/>
                                    <w:color w:val="FFFFFF" w:themeColor="light1"/>
                                    <w:kern w:val="24"/>
                                    <w:sz w:val="22"/>
                                  </w:rPr>
                                </w:pPr>
                                <w:r w:rsidRPr="003476CD">
                                  <w:rPr>
                                    <w:rFonts w:hAnsi="Segoe UI"/>
                                    <w:b/>
                                    <w:color w:val="FFFFFF" w:themeColor="light1"/>
                                    <w:kern w:val="24"/>
                                    <w:sz w:val="22"/>
                                  </w:rPr>
                                  <w:t>1. Identify the problem</w:t>
                                </w:r>
                              </w:p>
                            </w:txbxContent>
                          </wps:txbx>
                          <wps:bodyPr rtlCol="0" anchor="ctr"/>
                        </wps:wsp>
                        <wps:wsp>
                          <wps:cNvPr id="196428642" name="Rectangle: Single Corner Rounded 196428642"/>
                          <wps:cNvSpPr/>
                          <wps:spPr>
                            <a:xfrm>
                              <a:off x="2159981" y="4649"/>
                              <a:ext cx="2067411" cy="1188773"/>
                            </a:xfrm>
                            <a:prstGeom prst="round1Rect">
                              <a:avLst/>
                            </a:prstGeom>
                            <a:solidFill>
                              <a:srgbClr val="7EA0B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CB9C75" w14:textId="77777777" w:rsidR="006949F8" w:rsidRPr="00CC1440" w:rsidRDefault="006949F8" w:rsidP="003476CD">
                                <w:pPr>
                                  <w:spacing w:before="120"/>
                                  <w:jc w:val="center"/>
                                  <w:rPr>
                                    <w:rFonts w:hAnsi="Segoe UI"/>
                                    <w:b/>
                                    <w:color w:val="FFFFFF" w:themeColor="light1"/>
                                    <w:kern w:val="24"/>
                                    <w:sz w:val="22"/>
                                  </w:rPr>
                                </w:pPr>
                                <w:r w:rsidRPr="003476CD">
                                  <w:rPr>
                                    <w:rFonts w:hAnsi="Segoe UI"/>
                                    <w:b/>
                                    <w:color w:val="FFFFFF" w:themeColor="light1"/>
                                    <w:kern w:val="24"/>
                                    <w:sz w:val="22"/>
                                  </w:rPr>
                                  <w:t>2. Identify options to achieve the objectives</w:t>
                                </w:r>
                              </w:p>
                            </w:txbxContent>
                          </wps:txbx>
                          <wps:bodyPr rtlCol="0" anchor="ctr"/>
                        </wps:wsp>
                        <wps:wsp>
                          <wps:cNvPr id="168616129" name="Rectangle: Single Corner Rounded 168616129"/>
                          <wps:cNvSpPr/>
                          <wps:spPr>
                            <a:xfrm>
                              <a:off x="4319965" y="9297"/>
                              <a:ext cx="2067411" cy="1224098"/>
                            </a:xfrm>
                            <a:prstGeom prst="round1Rect">
                              <a:avLst/>
                            </a:prstGeom>
                            <a:solidFill>
                              <a:srgbClr val="C3D9E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8EA7A0" w14:textId="77777777" w:rsidR="006949F8" w:rsidRPr="003476CD" w:rsidRDefault="006949F8" w:rsidP="006949F8">
                                <w:pPr>
                                  <w:jc w:val="center"/>
                                  <w:rPr>
                                    <w:rFonts w:hAnsi="Segoe UI"/>
                                    <w:b/>
                                    <w:color w:val="FFFFFF" w:themeColor="light1"/>
                                    <w:kern w:val="24"/>
                                    <w:sz w:val="22"/>
                                  </w:rPr>
                                </w:pPr>
                                <w:r w:rsidRPr="003476CD">
                                  <w:rPr>
                                    <w:rFonts w:hAnsi="Segoe UI"/>
                                    <w:b/>
                                    <w:color w:val="FFFFFF" w:themeColor="light1"/>
                                    <w:kern w:val="24"/>
                                    <w:sz w:val="22"/>
                                  </w:rPr>
                                  <w:t>3. Options analysis</w:t>
                                </w:r>
                              </w:p>
                            </w:txbxContent>
                          </wps:txbx>
                          <wps:bodyPr rtlCol="0" anchor="ctr"/>
                        </wps:wsp>
                        <wps:wsp>
                          <wps:cNvPr id="965702877" name="Rectangle: Single Corner Rounded 965702877"/>
                          <wps:cNvSpPr/>
                          <wps:spPr>
                            <a:xfrm>
                              <a:off x="6479946" y="12691"/>
                              <a:ext cx="2067411" cy="1180730"/>
                            </a:xfrm>
                            <a:prstGeom prst="round1Rect">
                              <a:avLst/>
                            </a:prstGeom>
                            <a:solidFill>
                              <a:srgbClr val="BED9C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880818" w14:textId="77777777" w:rsidR="006949F8" w:rsidRPr="003476CD" w:rsidRDefault="006949F8" w:rsidP="006949F8">
                                <w:pPr>
                                  <w:jc w:val="center"/>
                                  <w:rPr>
                                    <w:rFonts w:hAnsi="Segoe UI"/>
                                    <w:b/>
                                    <w:color w:val="FFFFFF" w:themeColor="light1"/>
                                    <w:kern w:val="24"/>
                                    <w:sz w:val="22"/>
                                  </w:rPr>
                                </w:pPr>
                                <w:r w:rsidRPr="003476CD">
                                  <w:rPr>
                                    <w:rFonts w:hAnsi="Segoe UI"/>
                                    <w:b/>
                                    <w:color w:val="FFFFFF" w:themeColor="light1"/>
                                    <w:kern w:val="24"/>
                                    <w:sz w:val="22"/>
                                  </w:rPr>
                                  <w:t>4. Assess other impacts</w:t>
                                </w:r>
                              </w:p>
                            </w:txbxContent>
                          </wps:txbx>
                          <wps:bodyPr rtlCol="0" anchor="ctr"/>
                        </wps:wsp>
                        <wps:wsp>
                          <wps:cNvPr id="1407712569" name="Rectangle: Single Corner Rounded 1407712569"/>
                          <wps:cNvSpPr/>
                          <wps:spPr>
                            <a:xfrm>
                              <a:off x="8639927" y="17340"/>
                              <a:ext cx="2067411" cy="1176083"/>
                            </a:xfrm>
                            <a:prstGeom prst="round1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F4E62E" w14:textId="77777777" w:rsidR="006949F8" w:rsidRPr="003476CD" w:rsidRDefault="006949F8" w:rsidP="006949F8">
                                <w:pPr>
                                  <w:jc w:val="center"/>
                                  <w:rPr>
                                    <w:rFonts w:hAnsi="Segoe UI"/>
                                    <w:b/>
                                    <w:color w:val="FFFFFF" w:themeColor="light1"/>
                                    <w:kern w:val="24"/>
                                    <w:sz w:val="22"/>
                                  </w:rPr>
                                </w:pPr>
                                <w:r w:rsidRPr="003476CD">
                                  <w:rPr>
                                    <w:rFonts w:hAnsi="Segoe UI"/>
                                    <w:b/>
                                    <w:color w:val="FFFFFF" w:themeColor="light1"/>
                                    <w:kern w:val="24"/>
                                    <w:sz w:val="22"/>
                                  </w:rPr>
                                  <w:t>5. Implement and evaluate</w:t>
                                </w:r>
                              </w:p>
                            </w:txbxContent>
                          </wps:txbx>
                          <wps:bodyPr rtlCol="0" anchor="ctr"/>
                        </wps:wsp>
                      </wpg:grpSp>
                      <wps:wsp>
                        <wps:cNvPr id="1255067871" name="Rectangle 1255067871"/>
                        <wps:cNvSpPr/>
                        <wps:spPr>
                          <a:xfrm>
                            <a:off x="0" y="924095"/>
                            <a:ext cx="1197863" cy="1354011"/>
                          </a:xfrm>
                          <a:prstGeom prst="rect">
                            <a:avLst/>
                          </a:prstGeom>
                          <a:solidFill>
                            <a:srgbClr val="F2F0E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BCE84E" w14:textId="77777777"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 xml:space="preserve">We considered the nature and extent of the problem that the proposed Regulations aim to address  </w:t>
                              </w:r>
                            </w:p>
                          </w:txbxContent>
                        </wps:txbx>
                        <wps:bodyPr rtlCol="0" anchor="ctr"/>
                      </wps:wsp>
                      <wps:wsp>
                        <wps:cNvPr id="957943097" name="Rectangle 957943097"/>
                        <wps:cNvSpPr/>
                        <wps:spPr>
                          <a:xfrm>
                            <a:off x="1251498" y="924095"/>
                            <a:ext cx="1197863" cy="1354011"/>
                          </a:xfrm>
                          <a:prstGeom prst="rect">
                            <a:avLst/>
                          </a:prstGeom>
                          <a:solidFill>
                            <a:srgbClr val="F2F0E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BB150D" w14:textId="77777777"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Options that could address the defined problems were identified</w:t>
                              </w:r>
                            </w:p>
                          </w:txbxContent>
                        </wps:txbx>
                        <wps:bodyPr rtlCol="0" anchor="ctr"/>
                      </wps:wsp>
                      <wps:wsp>
                        <wps:cNvPr id="1128623949" name="Rectangle 1128623949"/>
                        <wps:cNvSpPr/>
                        <wps:spPr>
                          <a:xfrm>
                            <a:off x="2502998" y="924095"/>
                            <a:ext cx="1197863" cy="1354011"/>
                          </a:xfrm>
                          <a:prstGeom prst="rect">
                            <a:avLst/>
                          </a:prstGeom>
                          <a:solidFill>
                            <a:srgbClr val="F2F0E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F60419" w14:textId="77777777"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Costs and benefits of options were assessed, and a preferred option was identified</w:t>
                              </w:r>
                            </w:p>
                          </w:txbxContent>
                        </wps:txbx>
                        <wps:bodyPr rtlCol="0" anchor="ctr"/>
                      </wps:wsp>
                      <wps:wsp>
                        <wps:cNvPr id="448831584" name="Rectangle 448831584"/>
                        <wps:cNvSpPr/>
                        <wps:spPr>
                          <a:xfrm>
                            <a:off x="3759600" y="924095"/>
                            <a:ext cx="1197863" cy="1354011"/>
                          </a:xfrm>
                          <a:prstGeom prst="rect">
                            <a:avLst/>
                          </a:prstGeom>
                          <a:solidFill>
                            <a:srgbClr val="F2F0E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99039A" w14:textId="77777777"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We considered the likely small business and competition impacts of the preferred option</w:t>
                              </w:r>
                            </w:p>
                          </w:txbxContent>
                        </wps:txbx>
                        <wps:bodyPr rtlCol="0" anchor="ctr"/>
                      </wps:wsp>
                      <wps:wsp>
                        <wps:cNvPr id="631684013" name="Rectangle 631684013"/>
                        <wps:cNvSpPr/>
                        <wps:spPr>
                          <a:xfrm>
                            <a:off x="5005996" y="924095"/>
                            <a:ext cx="1197863" cy="1354011"/>
                          </a:xfrm>
                          <a:prstGeom prst="rect">
                            <a:avLst/>
                          </a:prstGeom>
                          <a:solidFill>
                            <a:srgbClr val="F2F0E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A88C2E" w14:textId="056C7FA3"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The arrangements for im</w:t>
                              </w:r>
                              <w:r w:rsidR="00FA4967" w:rsidRPr="003476CD">
                                <w:rPr>
                                  <w:rFonts w:hAnsi="Segoe UI"/>
                                  <w:color w:val="000000" w:themeColor="text1"/>
                                  <w:kern w:val="24"/>
                                  <w:szCs w:val="20"/>
                                </w:rPr>
                                <w:t>ple</w:t>
                              </w:r>
                              <w:r w:rsidRPr="003476CD">
                                <w:rPr>
                                  <w:rFonts w:hAnsi="Segoe UI"/>
                                  <w:color w:val="000000" w:themeColor="text1"/>
                                  <w:kern w:val="24"/>
                                  <w:szCs w:val="20"/>
                                </w:rPr>
                                <w:t xml:space="preserve">mentation and evaluation of the preferred option are described </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6C60BA0B" id="Group 477082478" o:spid="_x0000_s1062" style="position:absolute;margin-left:0;margin-top:73.75pt;width:491.5pt;height:223pt;z-index:251658249;mso-position-horizontal:left;mso-position-horizontal-relative:margin;mso-position-vertical-relative:text;mso-width-relative:margin;mso-height-relative:margin" coordsize="62038,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">
                <v:group id="Group 367711658" o:spid="_x0000_s1063" style="position:absolute;width:62038;height:9550" coordsize="107073,1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">
                  <v:shape id="Rectangle: Single Corner Rounded 1060411709" o:spid="_x0000_s1064" style="position:absolute;width:20674;height:11934;visibility:visible;mso-wrap-style:square;v-text-anchor:middle" coordsize="2067411,1193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" adj="-11796480,,5400" path="m,l1868503,v109854,,198908,89054,198908,198908l2067411,1193422,,1193422,,xe" fillcolor="#081729" stroked="f" strokeweight="1pt">
                    <v:stroke joinstyle="miter"/>
                    <v:formulas/>
                    <v:path arrowok="t" o:connecttype="custom" o:connectlocs="0,0;1868503,0;2067411,198908;2067411,1193422;0,1193422;0,0" o:connectangles="0,0,0,0,0,0" textboxrect="0,0,2067411,1193422"/>
                    <v:textbox>
                      <w:txbxContent>
                        <w:p w14:paraId="771C6CBA" w14:textId="77777777" w:rsidR="006949F8" w:rsidRPr="003476CD" w:rsidRDefault="006949F8" w:rsidP="006949F8">
                          <w:pPr>
                            <w:jc w:val="center"/>
                            <w:rPr>
                              <w:rFonts w:hAnsi="Segoe UI"/>
                              <w:b/>
                              <w:color w:val="FFFFFF" w:themeColor="light1"/>
                              <w:kern w:val="24"/>
                              <w:sz w:val="22"/>
                            </w:rPr>
                          </w:pPr>
                          <w:r w:rsidRPr="003476CD">
                            <w:rPr>
                              <w:rFonts w:hAnsi="Segoe UI"/>
                              <w:b/>
                              <w:color w:val="FFFFFF" w:themeColor="light1"/>
                              <w:kern w:val="24"/>
                              <w:sz w:val="22"/>
                            </w:rPr>
                            <w:t>1. Identify the problem</w:t>
                          </w:r>
                        </w:p>
                      </w:txbxContent>
                    </v:textbox>
                  </v:shape>
                  <v:shape id="Rectangle: Single Corner Rounded 196428642" o:spid="_x0000_s1065" style="position:absolute;left:21599;top:46;width:20674;height:11888;visibility:visible;mso-wrap-style:square;v-text-anchor:middle" coordsize="2067411,11887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" adj="-11796480,,5400" path="m,l1869278,v109426,,198133,88707,198133,198133l2067411,1188773,,1188773,,xe" fillcolor="#7ea0bc" stroked="f" strokeweight="1pt">
                    <v:stroke joinstyle="miter"/>
                    <v:formulas/>
                    <v:path arrowok="t" o:connecttype="custom" o:connectlocs="0,0;1869278,0;2067411,198133;2067411,1188773;0,1188773;0,0" o:connectangles="0,0,0,0,0,0" textboxrect="0,0,2067411,1188773"/>
                    <v:textbox>
                      <w:txbxContent>
                        <w:p w14:paraId="1DCB9C75" w14:textId="77777777" w:rsidR="006949F8" w:rsidRPr="00CC1440" w:rsidRDefault="006949F8" w:rsidP="003476CD">
                          <w:pPr>
                            <w:spacing w:before="120"/>
                            <w:jc w:val="center"/>
                            <w:rPr>
                              <w:rFonts w:hAnsi="Segoe UI"/>
                              <w:b/>
                              <w:color w:val="FFFFFF" w:themeColor="light1"/>
                              <w:kern w:val="24"/>
                              <w:sz w:val="22"/>
                            </w:rPr>
                          </w:pPr>
                          <w:r w:rsidRPr="003476CD">
                            <w:rPr>
                              <w:rFonts w:hAnsi="Segoe UI"/>
                              <w:b/>
                              <w:color w:val="FFFFFF" w:themeColor="light1"/>
                              <w:kern w:val="24"/>
                              <w:sz w:val="22"/>
                            </w:rPr>
                            <w:t>2. Identify options to achieve the objectives</w:t>
                          </w:r>
                        </w:p>
                      </w:txbxContent>
                    </v:textbox>
                  </v:shape>
                  <v:shape id="Rectangle: Single Corner Rounded 168616129" o:spid="_x0000_s1066" style="position:absolute;left:43199;top:92;width:20674;height:12241;visibility:visible;mso-wrap-style:square;v-text-anchor:middle" coordsize="2067411,1224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" adj="-11796480,,5400" path="m,l1863391,v112677,,204020,91343,204020,204020l2067411,1224098,,1224098,,xe" fillcolor="#c3d9ee" stroked="f" strokeweight="1pt">
                    <v:stroke joinstyle="miter"/>
                    <v:formulas/>
                    <v:path arrowok="t" o:connecttype="custom" o:connectlocs="0,0;1863391,0;2067411,204020;2067411,1224098;0,1224098;0,0" o:connectangles="0,0,0,0,0,0" textboxrect="0,0,2067411,1224098"/>
                    <v:textbox>
                      <w:txbxContent>
                        <w:p w14:paraId="0E8EA7A0" w14:textId="77777777" w:rsidR="006949F8" w:rsidRPr="003476CD" w:rsidRDefault="006949F8" w:rsidP="006949F8">
                          <w:pPr>
                            <w:jc w:val="center"/>
                            <w:rPr>
                              <w:rFonts w:hAnsi="Segoe UI"/>
                              <w:b/>
                              <w:color w:val="FFFFFF" w:themeColor="light1"/>
                              <w:kern w:val="24"/>
                              <w:sz w:val="22"/>
                            </w:rPr>
                          </w:pPr>
                          <w:r w:rsidRPr="003476CD">
                            <w:rPr>
                              <w:rFonts w:hAnsi="Segoe UI"/>
                              <w:b/>
                              <w:color w:val="FFFFFF" w:themeColor="light1"/>
                              <w:kern w:val="24"/>
                              <w:sz w:val="22"/>
                            </w:rPr>
                            <w:t>3. Options analysis</w:t>
                          </w:r>
                        </w:p>
                      </w:txbxContent>
                    </v:textbox>
                  </v:shape>
                  <v:shape id="Rectangle: Single Corner Rounded 965702877" o:spid="_x0000_s1067" style="position:absolute;left:64799;top:126;width:20674;height:11808;visibility:visible;mso-wrap-style:square;v-text-anchor:middle" coordsize="2067411,1180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" adj="-11796480,,5400" path="m,l1870619,v108685,,196792,88107,196792,196792l2067411,1180730,,1180730,,xe" fillcolor="#bed9cd" stroked="f" strokeweight="1pt">
                    <v:stroke joinstyle="miter"/>
                    <v:formulas/>
                    <v:path arrowok="t" o:connecttype="custom" o:connectlocs="0,0;1870619,0;2067411,196792;2067411,1180730;0,1180730;0,0" o:connectangles="0,0,0,0,0,0" textboxrect="0,0,2067411,1180730"/>
                    <v:textbox>
                      <w:txbxContent>
                        <w:p w14:paraId="40880818" w14:textId="77777777" w:rsidR="006949F8" w:rsidRPr="003476CD" w:rsidRDefault="006949F8" w:rsidP="006949F8">
                          <w:pPr>
                            <w:jc w:val="center"/>
                            <w:rPr>
                              <w:rFonts w:hAnsi="Segoe UI"/>
                              <w:b/>
                              <w:color w:val="FFFFFF" w:themeColor="light1"/>
                              <w:kern w:val="24"/>
                              <w:sz w:val="22"/>
                            </w:rPr>
                          </w:pPr>
                          <w:r w:rsidRPr="003476CD">
                            <w:rPr>
                              <w:rFonts w:hAnsi="Segoe UI"/>
                              <w:b/>
                              <w:color w:val="FFFFFF" w:themeColor="light1"/>
                              <w:kern w:val="24"/>
                              <w:sz w:val="22"/>
                            </w:rPr>
                            <w:t>4. Assess other impacts</w:t>
                          </w:r>
                        </w:p>
                      </w:txbxContent>
                    </v:textbox>
                  </v:shape>
                  <v:shape id="Rectangle: Single Corner Rounded 1407712569" o:spid="_x0000_s1068" style="position:absolute;left:86399;top:173;width:20674;height:11761;visibility:visible;mso-wrap-style:square;v-text-anchor:middle" coordsize="2067411,1176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" adj="-11796480,,5400" path="m,l1871393,v108258,,196018,87760,196018,196018l2067411,1176083,,1176083,,xe" fillcolor="#7b5e05 [3204]" strokecolor="#7b5e05 [3204]" strokeweight="1pt">
                    <v:stroke joinstyle="miter"/>
                    <v:formulas/>
                    <v:path arrowok="t" o:connecttype="custom" o:connectlocs="0,0;1871393,0;2067411,196018;2067411,1176083;0,1176083;0,0" o:connectangles="0,0,0,0,0,0" textboxrect="0,0,2067411,1176083"/>
                    <v:textbox>
                      <w:txbxContent>
                        <w:p w14:paraId="6FF4E62E" w14:textId="77777777" w:rsidR="006949F8" w:rsidRPr="003476CD" w:rsidRDefault="006949F8" w:rsidP="006949F8">
                          <w:pPr>
                            <w:jc w:val="center"/>
                            <w:rPr>
                              <w:rFonts w:hAnsi="Segoe UI"/>
                              <w:b/>
                              <w:color w:val="FFFFFF" w:themeColor="light1"/>
                              <w:kern w:val="24"/>
                              <w:sz w:val="22"/>
                            </w:rPr>
                          </w:pPr>
                          <w:r w:rsidRPr="003476CD">
                            <w:rPr>
                              <w:rFonts w:hAnsi="Segoe UI"/>
                              <w:b/>
                              <w:color w:val="FFFFFF" w:themeColor="light1"/>
                              <w:kern w:val="24"/>
                              <w:sz w:val="22"/>
                            </w:rPr>
                            <w:t>5. Implement and evaluate</w:t>
                          </w:r>
                        </w:p>
                      </w:txbxContent>
                    </v:textbox>
                  </v:shape>
                </v:group>
                <v:rect id="Rectangle 1255067871" o:spid="_x0000_s1069" style="position:absolute;top:9240;width:11978;height:1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" fillcolor="#f2f0ee" stroked="f" strokeweight="1pt">
                  <v:textbox>
                    <w:txbxContent>
                      <w:p w14:paraId="34BCE84E" w14:textId="77777777"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 xml:space="preserve">We considered the nature and extent of the problem that the proposed Regulations aim to address  </w:t>
                        </w:r>
                      </w:p>
                    </w:txbxContent>
                  </v:textbox>
                </v:rect>
                <v:rect id="Rectangle 957943097" o:spid="_x0000_s1070" style="position:absolute;left:12514;top:9240;width:11979;height:1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" fillcolor="#f2f0ee" stroked="f" strokeweight="1pt">
                  <v:textbox>
                    <w:txbxContent>
                      <w:p w14:paraId="0CBB150D" w14:textId="77777777"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Options that could address the defined problems were identified</w:t>
                        </w:r>
                      </w:p>
                    </w:txbxContent>
                  </v:textbox>
                </v:rect>
                <v:rect id="Rectangle 1128623949" o:spid="_x0000_s1071" style="position:absolute;left:25029;top:9240;width:11979;height:1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" fillcolor="#f2f0ee" stroked="f" strokeweight="1pt">
                  <v:textbox>
                    <w:txbxContent>
                      <w:p w14:paraId="66F60419" w14:textId="77777777"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Costs and benefits of options were assessed, and a preferred option was identified</w:t>
                        </w:r>
                      </w:p>
                    </w:txbxContent>
                  </v:textbox>
                </v:rect>
                <v:rect id="Rectangle 448831584" o:spid="_x0000_s1072" style="position:absolute;left:37596;top:9240;width:11978;height:1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" fillcolor="#f2f0ee" stroked="f" strokeweight="1pt">
                  <v:textbox>
                    <w:txbxContent>
                      <w:p w14:paraId="5F99039A" w14:textId="77777777"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We considered the likely small business and competition impacts of the preferred option</w:t>
                        </w:r>
                      </w:p>
                    </w:txbxContent>
                  </v:textbox>
                </v:rect>
                <v:rect id="Rectangle 631684013" o:spid="_x0000_s1073" style="position:absolute;left:50059;top:9240;width:11979;height:1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" fillcolor="#f2f0ee" stroked="f" strokeweight="1pt">
                  <v:textbox>
                    <w:txbxContent>
                      <w:p w14:paraId="14A88C2E" w14:textId="056C7FA3" w:rsidR="006949F8" w:rsidRPr="003476CD" w:rsidRDefault="006949F8" w:rsidP="006949F8">
                        <w:pPr>
                          <w:jc w:val="center"/>
                          <w:rPr>
                            <w:rFonts w:hAnsi="Segoe UI"/>
                            <w:color w:val="000000" w:themeColor="text1"/>
                            <w:kern w:val="24"/>
                            <w:szCs w:val="20"/>
                          </w:rPr>
                        </w:pPr>
                        <w:r w:rsidRPr="003476CD">
                          <w:rPr>
                            <w:rFonts w:hAnsi="Segoe UI"/>
                            <w:color w:val="000000" w:themeColor="text1"/>
                            <w:kern w:val="24"/>
                            <w:szCs w:val="20"/>
                          </w:rPr>
                          <w:t>The arrangements for im</w:t>
                        </w:r>
                        <w:r w:rsidR="00FA4967" w:rsidRPr="003476CD">
                          <w:rPr>
                            <w:rFonts w:hAnsi="Segoe UI"/>
                            <w:color w:val="000000" w:themeColor="text1"/>
                            <w:kern w:val="24"/>
                            <w:szCs w:val="20"/>
                          </w:rPr>
                          <w:t>ple</w:t>
                        </w:r>
                        <w:r w:rsidRPr="003476CD">
                          <w:rPr>
                            <w:rFonts w:hAnsi="Segoe UI"/>
                            <w:color w:val="000000" w:themeColor="text1"/>
                            <w:kern w:val="24"/>
                            <w:szCs w:val="20"/>
                          </w:rPr>
                          <w:t xml:space="preserve">mentation and evaluation of the preferred option are described </w:t>
                        </w:r>
                      </w:p>
                    </w:txbxContent>
                  </v:textbox>
                </v:rect>
                <w10:wrap type="topAndBottom" anchorx="margin"/>
              </v:group>
            </w:pict>
          </mc:Fallback>
        </mc:AlternateContent>
      </w:r>
      <w:r w:rsidR="004E24E9" w:rsidRPr="004E24E9">
        <w:t>The key purpose of this RIS is to assess the impact of different options for replacing the current Regulations. The rigorous assessment of regulatory proposals within a RIS ensures that regulation best serves the Victorian community. The general approach to the assessment, as per the Guide to Regulation, is:</w:t>
      </w:r>
    </w:p>
    <w:p w14:paraId="62A1AEB7" w14:textId="45308C1C" w:rsidR="004E24E9" w:rsidRPr="004E24E9" w:rsidRDefault="004E24E9" w:rsidP="004E24E9">
      <w:bookmarkStart w:id="28" w:name="_Ref67565741"/>
    </w:p>
    <w:p w14:paraId="6FB87D97" w14:textId="77777777" w:rsidR="004E24E9" w:rsidRPr="00017A50" w:rsidRDefault="004E24E9" w:rsidP="006522DF">
      <w:pPr>
        <w:pStyle w:val="Heading7"/>
      </w:pPr>
      <w:r w:rsidRPr="00017A50">
        <w:t xml:space="preserve">Stakeholder consultation </w:t>
      </w:r>
    </w:p>
    <w:p w14:paraId="13B70544" w14:textId="77777777" w:rsidR="004E24E9" w:rsidRPr="004E24E9" w:rsidRDefault="004E24E9" w:rsidP="004E24E9">
      <w:r w:rsidRPr="004E24E9">
        <w:t>Further feedback on the proposed Regulations and RIS will be sought through a public comment process.</w:t>
      </w:r>
    </w:p>
    <w:p w14:paraId="6F51BB78" w14:textId="77777777" w:rsidR="004E24E9" w:rsidRPr="001E347D" w:rsidRDefault="004E24E9" w:rsidP="006522DF">
      <w:pPr>
        <w:pStyle w:val="Heading7"/>
      </w:pPr>
      <w:r w:rsidRPr="004E24E9">
        <w:t>Public comment</w:t>
      </w:r>
      <w:bookmarkEnd w:id="28"/>
    </w:p>
    <w:p w14:paraId="2D91EC85" w14:textId="7A9FAC40" w:rsidR="004E24E9" w:rsidRPr="004E24E9" w:rsidRDefault="004E24E9" w:rsidP="004E24E9">
      <w:r w:rsidRPr="004E24E9">
        <w:t>The proposed Regulations and this RIS will be released for 28 d</w:t>
      </w:r>
      <w:r w:rsidR="008817AE">
        <w:t>ays</w:t>
      </w:r>
      <w:r w:rsidR="00610037">
        <w:t xml:space="preserve"> </w:t>
      </w:r>
      <w:r w:rsidRPr="004E24E9">
        <w:t xml:space="preserve">to provide individuals, organisations regulated under the proposed Regulations and other key stakeholders the opportunity to provide feedback. The process for responding to the RIS is outlined in the foreword to this report. </w:t>
      </w:r>
    </w:p>
    <w:p w14:paraId="522B82F5" w14:textId="757F09D6" w:rsidR="004E24E9" w:rsidRPr="004E24E9" w:rsidRDefault="004E24E9" w:rsidP="004E24E9">
      <w:r w:rsidRPr="004E24E9">
        <w:t xml:space="preserve">The department welcomes and will consider all submissions received during the period of public comment. The department will prepare a Response to Public Comment summarising the submissions </w:t>
      </w:r>
      <w:r w:rsidRPr="004E24E9">
        <w:lastRenderedPageBreak/>
        <w:t>received and its response, including a decision on whether any amendments to the proposed Regulations are needed. Submissions to the review, and the Response to Public Comment document, will also be made available on the department’s website.</w:t>
      </w:r>
    </w:p>
    <w:p w14:paraId="52133C54" w14:textId="7EF2FD93" w:rsidR="005E483D" w:rsidRPr="00650373" w:rsidRDefault="004E24E9" w:rsidP="007A3720">
      <w:r w:rsidRPr="004E24E9">
        <w:t xml:space="preserve">Interested parties are encouraged to provide any views on the proposed Regulations. </w:t>
      </w:r>
      <w:r w:rsidR="007A3720" w:rsidRPr="00B8790B">
        <w:t xml:space="preserve">In particular, </w:t>
      </w:r>
    </w:p>
    <w:p w14:paraId="74296E9D" w14:textId="77777777" w:rsidR="00B8790B" w:rsidRPr="00FD5C88" w:rsidRDefault="00B8790B" w:rsidP="00B8790B">
      <w:pPr>
        <w:numPr>
          <w:ilvl w:val="0"/>
          <w:numId w:val="150"/>
        </w:numPr>
        <w:spacing w:before="100" w:beforeAutospacing="1" w:after="100" w:afterAutospacing="1" w:line="240" w:lineRule="auto"/>
      </w:pPr>
      <w:r w:rsidRPr="00FD5C88">
        <w:t>Is there further information you wish to provide about potential impact of the proposed changes?</w:t>
      </w:r>
    </w:p>
    <w:p w14:paraId="6355F7A0" w14:textId="03C2C6F9" w:rsidR="004C520C" w:rsidRDefault="00B8790B" w:rsidP="00252EA7">
      <w:pPr>
        <w:numPr>
          <w:ilvl w:val="0"/>
          <w:numId w:val="150"/>
        </w:numPr>
        <w:spacing w:before="100" w:beforeAutospacing="1" w:after="100" w:afterAutospacing="1" w:line="240" w:lineRule="auto"/>
      </w:pPr>
      <w:r w:rsidRPr="00FD5C88">
        <w:t>Is there information or feedback you wish to provide to inform implementation of the changes? For example should there be time allowed after the Regulations are remade and before some changes come into effect, to allow time for preparation for implementation? If so how long should be allowed? </w:t>
      </w:r>
    </w:p>
    <w:p w14:paraId="7E294C4A" w14:textId="77777777" w:rsidR="005B50C9" w:rsidRPr="00267A46" w:rsidRDefault="005B50C9" w:rsidP="0059109A">
      <w:pPr>
        <w:pStyle w:val="Heading5"/>
      </w:pPr>
      <w:bookmarkStart w:id="29" w:name="_Toc165287597"/>
      <w:r>
        <w:lastRenderedPageBreak/>
        <w:t>Nature and extent of the problem</w:t>
      </w:r>
      <w:bookmarkEnd w:id="29"/>
    </w:p>
    <w:tbl>
      <w:tblPr>
        <w:tblStyle w:val="TableGrid"/>
        <w:tblW w:w="9072" w:type="dxa"/>
        <w:tblLook w:val="04A0" w:firstRow="1" w:lastRow="0" w:firstColumn="1" w:lastColumn="0" w:noHBand="0" w:noVBand="1"/>
      </w:tblPr>
      <w:tblGrid>
        <w:gridCol w:w="9072"/>
      </w:tblGrid>
      <w:tr w:rsidR="005B50C9" w:rsidRPr="004C000E" w14:paraId="63164263" w14:textId="77777777" w:rsidTr="006522DF">
        <w:trPr>
          <w:trHeight w:val="2008"/>
        </w:trPr>
        <w:tc>
          <w:tcPr>
            <w:tcW w:w="9072" w:type="dxa"/>
            <w:tcBorders>
              <w:top w:val="nil"/>
              <w:left w:val="nil"/>
              <w:bottom w:val="nil"/>
              <w:right w:val="nil"/>
            </w:tcBorders>
            <w:shd w:val="clear" w:color="auto" w:fill="EEECE1" w:themeFill="background2"/>
          </w:tcPr>
          <w:p w14:paraId="1160C14A" w14:textId="20047C4E" w:rsidR="005B50C9" w:rsidRPr="00047E83" w:rsidRDefault="005B50C9">
            <w:pPr>
              <w:spacing w:before="120"/>
              <w:jc w:val="both"/>
              <w:rPr>
                <w:bCs/>
                <w:szCs w:val="20"/>
              </w:rPr>
            </w:pPr>
            <w:r>
              <w:rPr>
                <w:bCs/>
                <w:szCs w:val="20"/>
              </w:rPr>
              <w:t>The Regulations, proposed to be retained with targeted improvements,</w:t>
            </w:r>
            <w:r w:rsidRPr="00047E83">
              <w:rPr>
                <w:bCs/>
                <w:szCs w:val="20"/>
              </w:rPr>
              <w:t xml:space="preserve"> aim to address two main (and related) problems:</w:t>
            </w:r>
          </w:p>
          <w:p w14:paraId="47E3DC45" w14:textId="5ABFE3E5" w:rsidR="005B50C9" w:rsidRPr="00BC55B4" w:rsidRDefault="005B50C9" w:rsidP="005B50C9">
            <w:pPr>
              <w:pStyle w:val="ListParagraph"/>
              <w:numPr>
                <w:ilvl w:val="0"/>
                <w:numId w:val="65"/>
              </w:numPr>
              <w:spacing w:before="120"/>
              <w:ind w:left="457" w:hanging="295"/>
              <w:jc w:val="both"/>
              <w:rPr>
                <w:bCs/>
                <w:szCs w:val="20"/>
              </w:rPr>
            </w:pPr>
            <w:r>
              <w:rPr>
                <w:bCs/>
                <w:szCs w:val="20"/>
              </w:rPr>
              <w:t>A</w:t>
            </w:r>
            <w:r w:rsidRPr="00BC55B4">
              <w:rPr>
                <w:bCs/>
                <w:szCs w:val="20"/>
              </w:rPr>
              <w:t>n underlying knowledge, information and power imbalance between patients and HSEs</w:t>
            </w:r>
          </w:p>
          <w:p w14:paraId="0B86193D" w14:textId="543AAB82" w:rsidR="005B50C9" w:rsidRDefault="005B50C9" w:rsidP="005B50C9">
            <w:pPr>
              <w:pStyle w:val="ListParagraph"/>
              <w:numPr>
                <w:ilvl w:val="0"/>
                <w:numId w:val="65"/>
              </w:numPr>
              <w:spacing w:before="120"/>
              <w:ind w:left="457" w:hanging="295"/>
              <w:jc w:val="both"/>
              <w:rPr>
                <w:bCs/>
                <w:szCs w:val="20"/>
              </w:rPr>
            </w:pPr>
            <w:r>
              <w:rPr>
                <w:bCs/>
                <w:szCs w:val="20"/>
              </w:rPr>
              <w:t>T</w:t>
            </w:r>
            <w:r w:rsidRPr="009C091D">
              <w:rPr>
                <w:bCs/>
                <w:szCs w:val="20"/>
              </w:rPr>
              <w:t>he need for system-wide information and system management.</w:t>
            </w:r>
          </w:p>
          <w:p w14:paraId="0F616C75" w14:textId="77777777" w:rsidR="005B50C9" w:rsidRPr="006A4CE2" w:rsidRDefault="005B50C9" w:rsidP="00B20280">
            <w:pPr>
              <w:spacing w:before="120" w:after="160"/>
              <w:jc w:val="both"/>
              <w:rPr>
                <w:bCs/>
                <w:szCs w:val="20"/>
              </w:rPr>
            </w:pPr>
            <w:r w:rsidRPr="006A4CE2">
              <w:rPr>
                <w:bCs/>
                <w:szCs w:val="20"/>
              </w:rPr>
              <w:t>While most healthcare in Victoria leads to good safety and quality outcomes, this is not always the case</w:t>
            </w:r>
            <w:r w:rsidR="0053264B" w:rsidRPr="006A4CE2">
              <w:rPr>
                <w:bCs/>
                <w:szCs w:val="20"/>
              </w:rPr>
              <w:t>. P</w:t>
            </w:r>
            <w:r w:rsidRPr="006A4CE2">
              <w:rPr>
                <w:bCs/>
                <w:szCs w:val="20"/>
              </w:rPr>
              <w:t xml:space="preserve">reventable adverse events do occur across the health system. Patients are more vulnerable when seeking treatment, and hence their interests need to be protected. </w:t>
            </w:r>
          </w:p>
          <w:p w14:paraId="3282E84B" w14:textId="59327818" w:rsidR="00D35E68" w:rsidRPr="00AE55E3" w:rsidRDefault="00D35E68" w:rsidP="001E347D">
            <w:pPr>
              <w:pStyle w:val="NumberedParagraphs"/>
              <w:numPr>
                <w:ilvl w:val="0"/>
                <w:numId w:val="0"/>
              </w:numPr>
            </w:pPr>
            <w:r w:rsidRPr="006A4CE2">
              <w:rPr>
                <w:bCs/>
                <w:szCs w:val="20"/>
              </w:rPr>
              <w:t>This section outlines the implications of each problem, as well as the ways regulation addresses and mitigates against risks of patient harm</w:t>
            </w:r>
            <w:r w:rsidR="00526F66" w:rsidRPr="006A4CE2">
              <w:rPr>
                <w:bCs/>
                <w:szCs w:val="20"/>
              </w:rPr>
              <w:t xml:space="preserve">; that is, </w:t>
            </w:r>
            <w:r w:rsidRPr="006A4CE2">
              <w:rPr>
                <w:bCs/>
                <w:noProof w:val="0"/>
                <w:szCs w:val="20"/>
              </w:rPr>
              <w:t>on the underlying need for the Regulations. Specific problems to be addressed through targeted improvements are discussed in more detail in chapters 5 to 10.</w:t>
            </w:r>
          </w:p>
        </w:tc>
      </w:tr>
    </w:tbl>
    <w:p w14:paraId="6507146E" w14:textId="7608C2B8" w:rsidR="005B50C9" w:rsidRPr="008A0646" w:rsidRDefault="009A6839" w:rsidP="001E347D">
      <w:pPr>
        <w:pStyle w:val="Heading6"/>
      </w:pPr>
      <w:r>
        <w:t>Information asymmetry</w:t>
      </w:r>
      <w:r w:rsidR="005B50C9">
        <w:t xml:space="preserve"> between patients and HSEs</w:t>
      </w:r>
    </w:p>
    <w:p w14:paraId="0815F29B" w14:textId="6576CBDF" w:rsidR="00083C41" w:rsidRDefault="005B50C9" w:rsidP="005B50C9">
      <w:r>
        <w:t>Knowledge imbalance or ‘information asymmetry’ occurs when a service provider has more information or knowledge than the consumer</w:t>
      </w:r>
      <w:r w:rsidR="009F28DA">
        <w:t xml:space="preserve"> of those services</w:t>
      </w:r>
      <w:r>
        <w:t xml:space="preserve">. In the case of healthcare, patients may not have access to the information they require to make decisions that are in their best interests. They rely on </w:t>
      </w:r>
      <w:r w:rsidRPr="003A44C1">
        <w:t xml:space="preserve">those delivering the </w:t>
      </w:r>
      <w:r>
        <w:t xml:space="preserve">services </w:t>
      </w:r>
      <w:r w:rsidRPr="003A44C1">
        <w:t>and the arrangements in place for management of the facility to keep them safe and informed.</w:t>
      </w:r>
      <w:r>
        <w:t xml:space="preserve"> </w:t>
      </w:r>
    </w:p>
    <w:p w14:paraId="5BA7BC1E" w14:textId="3F721A42" w:rsidR="005B50C9" w:rsidRDefault="006B09C3" w:rsidP="005B50C9">
      <w:r>
        <w:t>H</w:t>
      </w:r>
      <w:r w:rsidR="005B50C9">
        <w:t xml:space="preserve">ealth services require specialist expertise provided by health practitioners </w:t>
      </w:r>
      <w:r w:rsidR="009A6839">
        <w:t>who ha</w:t>
      </w:r>
      <w:r>
        <w:t>ve</w:t>
      </w:r>
      <w:r w:rsidR="009A6839">
        <w:t xml:space="preserve"> </w:t>
      </w:r>
      <w:r w:rsidR="005B50C9">
        <w:t xml:space="preserve">substantially more </w:t>
      </w:r>
      <w:r w:rsidR="009A6839">
        <w:t xml:space="preserve">relevant </w:t>
      </w:r>
      <w:r w:rsidR="005B50C9">
        <w:t>knowledge and information</w:t>
      </w:r>
      <w:r w:rsidR="009A6839">
        <w:t xml:space="preserve"> than the consumer of the services</w:t>
      </w:r>
      <w:r w:rsidR="005B50C9">
        <w:t>. Most patients are not clinical experts, so they rely on health practitioners (e.g. doctors, specialists, nurses</w:t>
      </w:r>
      <w:r w:rsidR="00D35931">
        <w:t>, midwives</w:t>
      </w:r>
      <w:r w:rsidR="005B50C9">
        <w:t xml:space="preserve">) for information about their condition, treatment options, risks, likely outcomes and ongoing care. </w:t>
      </w:r>
    </w:p>
    <w:p w14:paraId="4CE8A3EA" w14:textId="29AD0730" w:rsidR="005B50C9" w:rsidRDefault="005B50C9" w:rsidP="005B50C9">
      <w:r w:rsidRPr="00D56B8D">
        <w:t xml:space="preserve">In addition, the nature of the services means that patients do not control all the factors that might minimise the risk that they will be harmed </w:t>
      </w:r>
      <w:r w:rsidR="00F8055E" w:rsidRPr="00D56B8D">
        <w:t>while</w:t>
      </w:r>
      <w:r w:rsidRPr="00D56B8D">
        <w:t xml:space="preserve"> receiving care. This is not only because of the patient’s relative lack of clinical expertise, </w:t>
      </w:r>
      <w:r w:rsidRPr="0049758F">
        <w:t>but</w:t>
      </w:r>
      <w:r w:rsidRPr="00D56B8D">
        <w:t xml:space="preserve"> also because </w:t>
      </w:r>
      <w:r w:rsidRPr="0049758F">
        <w:t xml:space="preserve">the services are such that </w:t>
      </w:r>
      <w:r w:rsidRPr="00D56B8D">
        <w:t xml:space="preserve">patients are not </w:t>
      </w:r>
      <w:r w:rsidRPr="0049758F">
        <w:t>always able to determine or change how they are delivered</w:t>
      </w:r>
      <w:r w:rsidRPr="00D56B8D">
        <w:t xml:space="preserve">. This means patients rely on there being </w:t>
      </w:r>
      <w:r w:rsidRPr="0049758F">
        <w:t>systems</w:t>
      </w:r>
      <w:r w:rsidRPr="00D56B8D">
        <w:t xml:space="preserve"> and processes in place to ensure that risk is identified and minimised.   </w:t>
      </w:r>
      <w:r>
        <w:t xml:space="preserve"> </w:t>
      </w:r>
    </w:p>
    <w:p w14:paraId="13E519C2" w14:textId="2EA78884" w:rsidR="005B50C9" w:rsidRDefault="009A6839" w:rsidP="005B50C9">
      <w:r>
        <w:t xml:space="preserve">In addition, </w:t>
      </w:r>
      <w:r w:rsidR="005B50C9">
        <w:t>healthcare patients are severely unwell, physically and/or psychologically, which makes them more vulnerable than consumers of many other goods and services. While some procedures like cosmetic surgery are voluntary, many patients need to engage with healthcare services due to health conditions that are largely out of their control. Patients may have limited choice about the urgency or duration of their treatment, even in situations where surgery is ‘elective’ or planned. Patients’ choice of healthcare provider may also be limited to facilities where their specialist practitioner has admitting rights, as frequently occurs in the private health sector. Choice of location may be further limited by the distribution of facilities across metropolitan and regional areas and the range of services they offer</w:t>
      </w:r>
      <w:r w:rsidR="00083C41">
        <w:t>, and other factors</w:t>
      </w:r>
      <w:r w:rsidR="005B50C9">
        <w:t>.</w:t>
      </w:r>
    </w:p>
    <w:p w14:paraId="5719E178" w14:textId="25A01C38" w:rsidR="005B50C9" w:rsidRDefault="005B50C9" w:rsidP="005B50C9">
      <w:r>
        <w:lastRenderedPageBreak/>
        <w:t xml:space="preserve">Healthcare services also differ from other types of goods and services because of their inherent risk and the potential for adverse outcomes that may significantly affect consumers’ health and wellbeing. </w:t>
      </w:r>
    </w:p>
    <w:p w14:paraId="69C196F0" w14:textId="0A7B6AF0" w:rsidR="005B50C9" w:rsidRDefault="005B50C9" w:rsidP="005B50C9">
      <w:r>
        <w:t>With this significant knowledge</w:t>
      </w:r>
      <w:r w:rsidR="002243E7">
        <w:t xml:space="preserve"> and power</w:t>
      </w:r>
      <w:r>
        <w:t xml:space="preserve"> imbalance and </w:t>
      </w:r>
      <w:r w:rsidR="002243E7">
        <w:t xml:space="preserve">with </w:t>
      </w:r>
      <w:r>
        <w:t>so many factors beyond the understanding or control of patients, there is a clear role for regulation.</w:t>
      </w:r>
    </w:p>
    <w:p w14:paraId="42C86402" w14:textId="075F2344" w:rsidR="005B50C9" w:rsidRDefault="0099582F" w:rsidP="001E347D">
      <w:pPr>
        <w:pStyle w:val="Heading7"/>
      </w:pPr>
      <w:r>
        <w:t>Need for regulation</w:t>
      </w:r>
      <w:r w:rsidR="009A6839">
        <w:t xml:space="preserve"> to safeguard consumers </w:t>
      </w:r>
    </w:p>
    <w:p w14:paraId="5137C7AC" w14:textId="77FF56F5" w:rsidR="00597EBB" w:rsidRDefault="00597EBB" w:rsidP="0099582F">
      <w:r>
        <w:t>Regulation can address</w:t>
      </w:r>
      <w:r w:rsidR="009A4B3D">
        <w:t xml:space="preserve"> </w:t>
      </w:r>
      <w:r w:rsidR="002243E7">
        <w:t>these issues</w:t>
      </w:r>
      <w:r w:rsidR="009A4B3D">
        <w:t xml:space="preserve"> by</w:t>
      </w:r>
      <w:r w:rsidR="00832A39">
        <w:t xml:space="preserve"> </w:t>
      </w:r>
      <w:r w:rsidR="009A4B3D">
        <w:t xml:space="preserve">setting specific requirements for information to be provided to patients by </w:t>
      </w:r>
      <w:r w:rsidR="001C1A4F">
        <w:t>service providers</w:t>
      </w:r>
      <w:r w:rsidR="00832A39">
        <w:t xml:space="preserve">. It can also </w:t>
      </w:r>
      <w:r w:rsidR="002243E7">
        <w:t>do so by setting</w:t>
      </w:r>
      <w:r w:rsidR="009A4B3D">
        <w:t xml:space="preserve"> </w:t>
      </w:r>
      <w:r w:rsidR="00DE45BD">
        <w:t xml:space="preserve">other </w:t>
      </w:r>
      <w:r w:rsidR="009A4B3D">
        <w:t>requirements</w:t>
      </w:r>
      <w:r w:rsidR="00AE4C71">
        <w:t xml:space="preserve"> </w:t>
      </w:r>
      <w:r w:rsidR="00262AD7">
        <w:t>for safe and quality care</w:t>
      </w:r>
      <w:r w:rsidR="00BE3E79">
        <w:t xml:space="preserve">, </w:t>
      </w:r>
      <w:r w:rsidR="000A1726">
        <w:t>and by</w:t>
      </w:r>
      <w:r w:rsidR="002243E7">
        <w:t xml:space="preserve"> ensuring that</w:t>
      </w:r>
      <w:r w:rsidR="009A4B3D">
        <w:t xml:space="preserve"> government can oversee compliance with those requirements and take action to enforce them</w:t>
      </w:r>
      <w:r w:rsidR="00596FF5">
        <w:t xml:space="preserve">. </w:t>
      </w:r>
    </w:p>
    <w:p w14:paraId="5DAF95C1" w14:textId="715F6BA9" w:rsidR="005B50C9" w:rsidRDefault="005B50C9" w:rsidP="005B50C9">
      <w:r>
        <w:t xml:space="preserve">Patients are becoming more aware of information asymmetry and are increasingly empowered to ask questions. They can access a wide range of information online about treatments and alternative options as well as about their rights as patients. </w:t>
      </w:r>
      <w:r w:rsidRPr="00140921">
        <w:rPr>
          <w:rFonts w:cstheme="minorHAnsi"/>
        </w:rPr>
        <w:t>However, there is still a significant knowledge differential in people being able to interpret and apply this information to their circumstances.</w:t>
      </w:r>
      <w:r w:rsidR="00152CF6" w:rsidRPr="00152CF6">
        <w:t xml:space="preserve"> </w:t>
      </w:r>
      <w:r w:rsidR="00152CF6">
        <w:t xml:space="preserve">Patients are also aware of the role of regulation in driving quality and safety, and expect that </w:t>
      </w:r>
      <w:r w:rsidR="00CE1552">
        <w:t xml:space="preserve">relevant </w:t>
      </w:r>
      <w:r w:rsidR="006D4E86">
        <w:t xml:space="preserve">regulatory requirements will be in place and </w:t>
      </w:r>
      <w:r w:rsidR="0036544F">
        <w:t>will allow</w:t>
      </w:r>
      <w:r w:rsidR="00152CF6">
        <w:t xml:space="preserve"> oversight and intervention by government to minimise risk of</w:t>
      </w:r>
      <w:r w:rsidR="00852C7A">
        <w:t xml:space="preserve"> </w:t>
      </w:r>
      <w:r w:rsidR="00152CF6">
        <w:t>harm.</w:t>
      </w:r>
    </w:p>
    <w:p w14:paraId="09F433BC" w14:textId="65611326" w:rsidR="005B50C9" w:rsidRPr="00140921" w:rsidRDefault="005B50C9" w:rsidP="0049758F">
      <w:pPr>
        <w:rPr>
          <w:rFonts w:cstheme="minorHAnsi"/>
        </w:rPr>
      </w:pPr>
      <w:r>
        <w:rPr>
          <w:rFonts w:cstheme="minorHAnsi"/>
        </w:rPr>
        <w:t xml:space="preserve">As part of the HIC’s consultation process, consumers were asked to rate dimensions of safe and high-quality care in order of importance. Information and knowledge about health service providers appeared as a strong theme in the consumers’ responses. </w:t>
      </w:r>
    </w:p>
    <w:tbl>
      <w:tblPr>
        <w:tblStyle w:val="TableGrid"/>
        <w:tblW w:w="0" w:type="auto"/>
        <w:tblBorders>
          <w:top w:val="single" w:sz="4" w:space="0" w:color="7B5E05"/>
          <w:left w:val="single" w:sz="4" w:space="0" w:color="7B5E05"/>
          <w:bottom w:val="single" w:sz="4" w:space="0" w:color="7B5E05"/>
          <w:right w:val="single" w:sz="4" w:space="0" w:color="7B5E05"/>
          <w:insideH w:val="none" w:sz="0" w:space="0" w:color="auto"/>
          <w:insideV w:val="none" w:sz="0" w:space="0" w:color="auto"/>
        </w:tblBorders>
        <w:tblLook w:val="04A0" w:firstRow="1" w:lastRow="0" w:firstColumn="1" w:lastColumn="0" w:noHBand="0" w:noVBand="1"/>
      </w:tblPr>
      <w:tblGrid>
        <w:gridCol w:w="9016"/>
      </w:tblGrid>
      <w:tr w:rsidR="005B50C9" w14:paraId="55311C91" w14:textId="77777777" w:rsidTr="001E347D">
        <w:tc>
          <w:tcPr>
            <w:tcW w:w="9016" w:type="dxa"/>
            <w:tcBorders>
              <w:top w:val="single" w:sz="4" w:space="0" w:color="7EA0BC"/>
              <w:left w:val="single" w:sz="4" w:space="0" w:color="7EA0BC"/>
              <w:bottom w:val="single" w:sz="4" w:space="0" w:color="7EA0BC"/>
              <w:right w:val="single" w:sz="4" w:space="0" w:color="7EA0BC"/>
            </w:tcBorders>
          </w:tcPr>
          <w:p w14:paraId="78717049" w14:textId="58288ED1" w:rsidR="005B50C9" w:rsidRPr="00824B2C" w:rsidRDefault="005B50C9">
            <w:pPr>
              <w:rPr>
                <w:rFonts w:cstheme="minorHAnsi"/>
              </w:rPr>
            </w:pPr>
            <w:r w:rsidRPr="00824B2C">
              <w:rPr>
                <w:rFonts w:cstheme="minorHAnsi"/>
              </w:rPr>
              <w:t xml:space="preserve">The HIC’s Consumer Interviews Report (December 2023) found that the top 5 dimensions of safe and high-quality care are, </w:t>
            </w:r>
            <w:r>
              <w:rPr>
                <w:rFonts w:cstheme="minorHAnsi"/>
              </w:rPr>
              <w:t xml:space="preserve">as rated by the consumer participants </w:t>
            </w:r>
            <w:r w:rsidRPr="00824B2C">
              <w:rPr>
                <w:rFonts w:cstheme="minorHAnsi"/>
              </w:rPr>
              <w:t>in order:</w:t>
            </w:r>
          </w:p>
          <w:p w14:paraId="32ED9B2E" w14:textId="77777777" w:rsidR="005B50C9" w:rsidRPr="00824B2C" w:rsidRDefault="005B50C9" w:rsidP="005B50C9">
            <w:pPr>
              <w:pStyle w:val="ListParagraph"/>
              <w:numPr>
                <w:ilvl w:val="0"/>
                <w:numId w:val="63"/>
              </w:numPr>
              <w:spacing w:before="120"/>
              <w:rPr>
                <w:rFonts w:cstheme="minorHAnsi"/>
              </w:rPr>
            </w:pPr>
            <w:r w:rsidRPr="00824B2C">
              <w:rPr>
                <w:rFonts w:cstheme="minorHAnsi"/>
              </w:rPr>
              <w:t>You know if the health service you are in has a requirement to be registered or accredited with a government or expert body [rated extremely important]</w:t>
            </w:r>
          </w:p>
          <w:p w14:paraId="6066F486" w14:textId="77777777" w:rsidR="005B50C9" w:rsidRPr="00824B2C" w:rsidRDefault="005B50C9" w:rsidP="005B50C9">
            <w:pPr>
              <w:pStyle w:val="ListParagraph"/>
              <w:numPr>
                <w:ilvl w:val="0"/>
                <w:numId w:val="63"/>
              </w:numPr>
              <w:rPr>
                <w:rFonts w:cstheme="minorHAnsi"/>
              </w:rPr>
            </w:pPr>
            <w:r w:rsidRPr="00824B2C">
              <w:rPr>
                <w:rFonts w:cstheme="minorHAnsi"/>
              </w:rPr>
              <w:t>You know that the staff treating you have the right qualifications and experience</w:t>
            </w:r>
          </w:p>
          <w:p w14:paraId="68BF9716" w14:textId="77777777" w:rsidR="005B50C9" w:rsidRPr="00824B2C" w:rsidRDefault="005B50C9" w:rsidP="005B50C9">
            <w:pPr>
              <w:pStyle w:val="ListParagraph"/>
              <w:numPr>
                <w:ilvl w:val="0"/>
                <w:numId w:val="63"/>
              </w:numPr>
              <w:rPr>
                <w:rFonts w:cstheme="minorHAnsi"/>
              </w:rPr>
            </w:pPr>
            <w:r w:rsidRPr="00824B2C">
              <w:rPr>
                <w:rFonts w:cstheme="minorHAnsi"/>
              </w:rPr>
              <w:t>You receive information before the health care experience about fees, treatment and patient rights</w:t>
            </w:r>
          </w:p>
          <w:p w14:paraId="1914221A" w14:textId="77777777" w:rsidR="005B50C9" w:rsidRPr="00824B2C" w:rsidRDefault="005B50C9" w:rsidP="005B50C9">
            <w:pPr>
              <w:pStyle w:val="ListParagraph"/>
              <w:numPr>
                <w:ilvl w:val="0"/>
                <w:numId w:val="63"/>
              </w:numPr>
              <w:rPr>
                <w:rFonts w:cstheme="minorHAnsi"/>
              </w:rPr>
            </w:pPr>
            <w:r w:rsidRPr="00824B2C">
              <w:rPr>
                <w:rFonts w:cstheme="minorHAnsi"/>
              </w:rPr>
              <w:t>There is quick and easy access to someone at the health service who has decision making authority and skills to activate a response in a timely way</w:t>
            </w:r>
          </w:p>
          <w:p w14:paraId="346D03A2" w14:textId="77777777" w:rsidR="005B50C9" w:rsidRPr="00824B2C" w:rsidRDefault="005B50C9" w:rsidP="005B50C9">
            <w:pPr>
              <w:pStyle w:val="ListParagraph"/>
              <w:numPr>
                <w:ilvl w:val="0"/>
                <w:numId w:val="63"/>
              </w:numPr>
              <w:rPr>
                <w:rFonts w:cstheme="minorHAnsi"/>
              </w:rPr>
            </w:pPr>
            <w:r w:rsidRPr="00824B2C">
              <w:rPr>
                <w:rFonts w:cstheme="minorHAnsi"/>
              </w:rPr>
              <w:t>Health services display their accreditation and registration certificates in a prominent place [rated mid-level importance]</w:t>
            </w:r>
          </w:p>
        </w:tc>
      </w:tr>
    </w:tbl>
    <w:p w14:paraId="5821C1CA" w14:textId="55B499FE" w:rsidR="005B50C9" w:rsidRDefault="005B50C9" w:rsidP="005B50C9">
      <w:pPr>
        <w:rPr>
          <w:rFonts w:cstheme="minorHAnsi"/>
        </w:rPr>
      </w:pPr>
      <w:r>
        <w:rPr>
          <w:rFonts w:cstheme="minorHAnsi"/>
        </w:rPr>
        <w:t xml:space="preserve">Consumers rated highly the importance of knowing that HSEs are registered and accredited to make them feel safe when accessing health services. Together, the Act and the Regulations set out </w:t>
      </w:r>
      <w:r w:rsidRPr="009850E0">
        <w:rPr>
          <w:rFonts w:cstheme="minorHAnsi"/>
        </w:rPr>
        <w:t xml:space="preserve">specific </w:t>
      </w:r>
      <w:r>
        <w:rPr>
          <w:rFonts w:cstheme="minorHAnsi"/>
        </w:rPr>
        <w:t xml:space="preserve">quality and </w:t>
      </w:r>
      <w:r w:rsidRPr="009850E0">
        <w:rPr>
          <w:rFonts w:cstheme="minorHAnsi"/>
        </w:rPr>
        <w:t xml:space="preserve">safety obligations on </w:t>
      </w:r>
      <w:r>
        <w:rPr>
          <w:rFonts w:cstheme="minorHAnsi"/>
        </w:rPr>
        <w:t>health providers</w:t>
      </w:r>
      <w:r w:rsidRPr="009850E0">
        <w:rPr>
          <w:rFonts w:cstheme="minorHAnsi"/>
        </w:rPr>
        <w:t xml:space="preserve"> about a range of matters</w:t>
      </w:r>
      <w:r>
        <w:rPr>
          <w:rFonts w:cstheme="minorHAnsi"/>
        </w:rPr>
        <w:t xml:space="preserve"> for them to achieve and maintain registration. Knowing that HSEs are registered </w:t>
      </w:r>
      <w:r w:rsidRPr="009850E0">
        <w:rPr>
          <w:rFonts w:cstheme="minorHAnsi"/>
        </w:rPr>
        <w:t xml:space="preserve">acts as a signal for consumers regarding </w:t>
      </w:r>
      <w:r>
        <w:rPr>
          <w:rFonts w:cstheme="minorHAnsi"/>
        </w:rPr>
        <w:t xml:space="preserve">service </w:t>
      </w:r>
      <w:r w:rsidR="00152CF6">
        <w:rPr>
          <w:rFonts w:cstheme="minorHAnsi"/>
        </w:rPr>
        <w:t xml:space="preserve">safety </w:t>
      </w:r>
      <w:r>
        <w:rPr>
          <w:rFonts w:cstheme="minorHAnsi"/>
        </w:rPr>
        <w:t>quality and provides them with assurance that foundational safety standards are in place. The problem of information asymmetry can be offset by consumers’ confidence that, through the registration scheme, providers are required to comply with foundational safety standards, and government has clear oversight of HSEs’ compliance with those requirements, as well as the power to act if required to protect consumers.</w:t>
      </w:r>
    </w:p>
    <w:p w14:paraId="2214376E" w14:textId="22D9C033" w:rsidR="005B50C9" w:rsidRPr="00BC496C" w:rsidRDefault="005B50C9" w:rsidP="005B50C9">
      <w:pPr>
        <w:rPr>
          <w:rFonts w:cstheme="minorHAnsi"/>
        </w:rPr>
      </w:pPr>
      <w:r>
        <w:rPr>
          <w:rFonts w:cstheme="minorHAnsi"/>
        </w:rPr>
        <w:lastRenderedPageBreak/>
        <w:t>Other dimensions of safe and high-quality care cited by consumers are also enabled by the current Regulations – e.g. regulations relating to c</w:t>
      </w:r>
      <w:r w:rsidRPr="00BC496C">
        <w:rPr>
          <w:rFonts w:cstheme="minorHAnsi"/>
        </w:rPr>
        <w:t>linical governance</w:t>
      </w:r>
      <w:r>
        <w:rPr>
          <w:rFonts w:cstheme="minorHAnsi"/>
        </w:rPr>
        <w:t>; senior appointments; credentialling of clinicians; nursing and professional care; p</w:t>
      </w:r>
      <w:r w:rsidRPr="00BC496C">
        <w:rPr>
          <w:rFonts w:cstheme="minorHAnsi"/>
        </w:rPr>
        <w:t>re-</w:t>
      </w:r>
      <w:r>
        <w:rPr>
          <w:rFonts w:cstheme="minorHAnsi"/>
        </w:rPr>
        <w:t>admission</w:t>
      </w:r>
      <w:r w:rsidRPr="00BC496C">
        <w:rPr>
          <w:rFonts w:cstheme="minorHAnsi"/>
        </w:rPr>
        <w:t xml:space="preserve"> clinical assessment</w:t>
      </w:r>
      <w:r>
        <w:rPr>
          <w:rFonts w:cstheme="minorHAnsi"/>
        </w:rPr>
        <w:t>s;</w:t>
      </w:r>
      <w:r w:rsidRPr="00BC496C">
        <w:rPr>
          <w:rFonts w:cstheme="minorHAnsi"/>
        </w:rPr>
        <w:t xml:space="preserve"> </w:t>
      </w:r>
      <w:r>
        <w:rPr>
          <w:rFonts w:cstheme="minorHAnsi"/>
        </w:rPr>
        <w:t xml:space="preserve">patient transfers and </w:t>
      </w:r>
      <w:r w:rsidRPr="00BC496C">
        <w:rPr>
          <w:rFonts w:cstheme="minorHAnsi"/>
        </w:rPr>
        <w:t>discharge</w:t>
      </w:r>
      <w:r>
        <w:rPr>
          <w:rFonts w:cstheme="minorHAnsi"/>
        </w:rPr>
        <w:t>; and display of information. Under e</w:t>
      </w:r>
      <w:r w:rsidRPr="00140921">
        <w:rPr>
          <w:rFonts w:cstheme="minorHAnsi"/>
        </w:rPr>
        <w:t xml:space="preserve">xisting </w:t>
      </w:r>
      <w:r>
        <w:rPr>
          <w:rFonts w:cstheme="minorHAnsi"/>
        </w:rPr>
        <w:t>R</w:t>
      </w:r>
      <w:r w:rsidRPr="00140921">
        <w:rPr>
          <w:rFonts w:cstheme="minorHAnsi"/>
        </w:rPr>
        <w:t>egulation</w:t>
      </w:r>
      <w:r>
        <w:rPr>
          <w:rFonts w:cstheme="minorHAnsi"/>
        </w:rPr>
        <w:t>s,</w:t>
      </w:r>
      <w:r w:rsidRPr="00140921">
        <w:rPr>
          <w:rFonts w:cstheme="minorHAnsi"/>
        </w:rPr>
        <w:t xml:space="preserve"> </w:t>
      </w:r>
      <w:r>
        <w:rPr>
          <w:rFonts w:cstheme="minorHAnsi"/>
        </w:rPr>
        <w:t xml:space="preserve">HSEs are </w:t>
      </w:r>
      <w:r w:rsidRPr="00140921">
        <w:rPr>
          <w:rFonts w:cstheme="minorHAnsi"/>
        </w:rPr>
        <w:t>require</w:t>
      </w:r>
      <w:r>
        <w:rPr>
          <w:rFonts w:cstheme="minorHAnsi"/>
        </w:rPr>
        <w:t>d</w:t>
      </w:r>
      <w:r w:rsidRPr="00140921">
        <w:rPr>
          <w:rFonts w:cstheme="minorHAnsi"/>
        </w:rPr>
        <w:t xml:space="preserve"> to provide patients with information </w:t>
      </w:r>
      <w:r>
        <w:rPr>
          <w:rFonts w:cstheme="minorHAnsi"/>
        </w:rPr>
        <w:t>before admission about</w:t>
      </w:r>
      <w:r w:rsidRPr="00140921">
        <w:rPr>
          <w:rFonts w:cstheme="minorHAnsi"/>
        </w:rPr>
        <w:t xml:space="preserve"> </w:t>
      </w:r>
      <w:r>
        <w:rPr>
          <w:rFonts w:cstheme="minorHAnsi"/>
        </w:rPr>
        <w:t xml:space="preserve">health services, </w:t>
      </w:r>
      <w:r w:rsidRPr="00140921">
        <w:rPr>
          <w:rFonts w:cstheme="minorHAnsi"/>
        </w:rPr>
        <w:t>costs and their rights</w:t>
      </w:r>
      <w:r>
        <w:rPr>
          <w:rFonts w:cstheme="minorHAnsi"/>
        </w:rPr>
        <w:t>, and with information about medications and follow-up care upon discharge. Many of these Regulations were discussed during the HIC-led consumer workshop in February 2024. Consumers clearly voiced their support for these Regulations to be retained as they currently appear or amended as proposed. These are discussed throughout this RIS.</w:t>
      </w:r>
    </w:p>
    <w:p w14:paraId="67E6F86D" w14:textId="7380105F" w:rsidR="005B50C9" w:rsidRDefault="005B50C9" w:rsidP="005B50C9">
      <w:r>
        <w:t xml:space="preserve">The Regulations operate in an environment where healthcare quality and safety are also influenced by a range of other factors. For example, registered health </w:t>
      </w:r>
      <w:r w:rsidR="005A2A26">
        <w:t>practitioners</w:t>
      </w:r>
      <w:r>
        <w:t xml:space="preserve"> must meet and comply with requirements for registration, including working under codes of conduct meeting a range of clinical standards. They want the best clinical outcomes for their patients, and this requires access to high-quality facilities and other staff. Specialist health practitioners therefore have an incentive to seek admitting rights at HSEs with excellent records on safety and quality. Similarly, HSEs develop a brand and reputation to secure relationships with health practitioners, health insurers and patients. It follows that HSE proprietors have a commercial incentive to maintain high levels of quality and safety and to minimise the occurrence of adverse events. However, market forces alone are not sufficient to ensure patient safety. </w:t>
      </w:r>
    </w:p>
    <w:p w14:paraId="426AF4D1" w14:textId="175FBB29" w:rsidR="005B50C9" w:rsidRPr="00140921" w:rsidRDefault="005B50C9" w:rsidP="005B50C9">
      <w:r>
        <w:t xml:space="preserve">In the public sector, the State Government uses funding and service agreements with each public health service to set requirements for quality and safety. However, similar mechanisms are not available in the private sector. The only way in which HSEs can be compelled by government to meet quality and safety requirements is by legislation and regulation. </w:t>
      </w:r>
    </w:p>
    <w:p w14:paraId="1C3EBE89" w14:textId="77777777" w:rsidR="005B50C9" w:rsidRPr="0050725B" w:rsidRDefault="005B50C9" w:rsidP="001E347D">
      <w:pPr>
        <w:pStyle w:val="Heading6"/>
      </w:pPr>
      <w:r w:rsidRPr="0050725B">
        <w:t>The benefits of system-wide information</w:t>
      </w:r>
    </w:p>
    <w:p w14:paraId="2E20419F" w14:textId="1B37815C" w:rsidR="005B50C9" w:rsidRDefault="005B50C9" w:rsidP="005B50C9">
      <w:r>
        <w:t>To ensure consistency in quality and safety across the healthcare system, it is not sufficient to only look at data at the individual HSE level. A whole-of-system view is needed to understand how public and private health services can provide safe and accessible healthcare for the whole population, and to identity systemic issues and emerging trends in the quality of health services being provided. In Victoria, the department relies on data and information provided by health services to fulfil its role as whole-of-system manager across</w:t>
      </w:r>
      <w:r w:rsidRPr="00536D94">
        <w:t xml:space="preserve"> </w:t>
      </w:r>
      <w:r>
        <w:t xml:space="preserve">public and private health services. The </w:t>
      </w:r>
      <w:r w:rsidRPr="00D84900">
        <w:rPr>
          <w:i/>
        </w:rPr>
        <w:t>Targeting Zero</w:t>
      </w:r>
      <w:r>
        <w:t xml:space="preserve"> Review report described the role as follows:</w:t>
      </w:r>
    </w:p>
    <w:p w14:paraId="26823EEA" w14:textId="77777777" w:rsidR="005B50C9" w:rsidRDefault="005B50C9" w:rsidP="005B50C9">
      <w:pPr>
        <w:ind w:left="720"/>
      </w:pPr>
      <w:r w:rsidRPr="006475E9">
        <w:rPr>
          <w:i/>
          <w:iCs/>
        </w:rPr>
        <w:t>“System managers can help hospitals to prevent harm, as well as detecting it. They have a vantage point that allows them to act as system leaders, using their resources to help hospitals benchmark against each other, share the lessons of top performers and international research, strengthen the incentives for hospital executives to prioritise and invest in safe care, and drive improvement in overall safety and quality of care over time.”</w:t>
      </w:r>
      <w:r w:rsidRPr="000D17F7">
        <w:rPr>
          <w:rStyle w:val="FootnoteReference"/>
        </w:rPr>
        <w:footnoteReference w:id="32"/>
      </w:r>
      <w:r>
        <w:t xml:space="preserve"> </w:t>
      </w:r>
    </w:p>
    <w:p w14:paraId="136E210E" w14:textId="4AD033D3" w:rsidR="005B50C9" w:rsidRPr="001E347D" w:rsidRDefault="005B50C9" w:rsidP="000526CE">
      <w:pPr>
        <w:pStyle w:val="Heading7"/>
        <w:rPr>
          <w:rStyle w:val="Strong"/>
          <w:b/>
          <w:i w:val="0"/>
          <w:color w:val="7EA0BC"/>
          <w:szCs w:val="22"/>
        </w:rPr>
      </w:pPr>
      <w:r w:rsidRPr="001E347D">
        <w:rPr>
          <w:rStyle w:val="Strong"/>
          <w:b/>
          <w:i w:val="0"/>
          <w:color w:val="7EA0BC"/>
          <w:szCs w:val="22"/>
        </w:rPr>
        <w:lastRenderedPageBreak/>
        <w:t xml:space="preserve">Regulation to support system management </w:t>
      </w:r>
    </w:p>
    <w:p w14:paraId="77B96067" w14:textId="184C5C14" w:rsidR="005B50C9" w:rsidRDefault="005B50C9" w:rsidP="005B50C9">
      <w:r>
        <w:t xml:space="preserve">The current Regulations ensure that all HSEs comply with the same set of foundational service quality and safety requirements. This shared set of expectations underpins the framework that empowers the department to monitor compliance and act where services do not meet the required standards. </w:t>
      </w:r>
    </w:p>
    <w:p w14:paraId="1DB45205" w14:textId="4F38E1F4" w:rsidR="005B50C9" w:rsidRDefault="005B50C9" w:rsidP="005B50C9">
      <w:r>
        <w:t>In addition to setting quality and safety obligations that apply to all HSEs, the Regulations also prescribe requirements for recording and reporting information. Consistent reporting enables meaningful analysis of comparable data across the health sector. This is important at the national, state and individual HSE level:</w:t>
      </w:r>
    </w:p>
    <w:p w14:paraId="29BB545F" w14:textId="77777777" w:rsidR="005B50C9" w:rsidRDefault="005B50C9" w:rsidP="0049758F">
      <w:pPr>
        <w:pStyle w:val="ListParagraph"/>
        <w:numPr>
          <w:ilvl w:val="0"/>
          <w:numId w:val="104"/>
        </w:numPr>
      </w:pPr>
      <w:r>
        <w:t xml:space="preserve">Victoria has performance data reporting obligations under national agreements such as the National Health Information Agreement and the Australian Health Care Agreement. Under the current Regulations, proposed to be retained, HSEs provide the department with information about the utilisation and performance of their services to meet these obligations. This information assists with health service planning at a national level. </w:t>
      </w:r>
    </w:p>
    <w:p w14:paraId="12A09017" w14:textId="6D4350C0" w:rsidR="005B50C9" w:rsidRDefault="005B50C9" w:rsidP="005B50C9">
      <w:pPr>
        <w:pStyle w:val="ListParagraph"/>
        <w:numPr>
          <w:ilvl w:val="0"/>
          <w:numId w:val="104"/>
        </w:numPr>
      </w:pPr>
      <w:r>
        <w:t>At the state level, the department uses a variety of information reported by public and private healthcare providers in its role as system manager. For example, data reported into the</w:t>
      </w:r>
      <w:r w:rsidR="004C5618">
        <w:t xml:space="preserve"> Victorian Admitted Episodes Dataset</w:t>
      </w:r>
      <w:r>
        <w:t xml:space="preserve"> </w:t>
      </w:r>
      <w:r w:rsidR="004C5618">
        <w:t>(</w:t>
      </w:r>
      <w:r>
        <w:t>VAED</w:t>
      </w:r>
      <w:r w:rsidR="004C5618">
        <w:t>)</w:t>
      </w:r>
      <w:r>
        <w:t xml:space="preserve"> dataset provides useful information about patient admissions, separations, diagnoses and other characteristics (e.g. age, sex). Reporting under the SCV Sentinel Events Program provides information about the most serious adverse patient safety events across the state. The department also shares data and insights back to healthcare providers for benchmarking purposes and makes some information available to the public for greater transparency about the health sector’s performance (e.g. the SCV Sentinel Events Annual Report). The current Regulations that enable this reporting are proposed to be retained and/or strengthened because of the valuable insights they provide.</w:t>
      </w:r>
    </w:p>
    <w:p w14:paraId="34C47216" w14:textId="452290C2" w:rsidR="005B50C9" w:rsidRDefault="005B50C9" w:rsidP="0035354C">
      <w:pPr>
        <w:pStyle w:val="ListParagraph"/>
        <w:numPr>
          <w:ilvl w:val="0"/>
          <w:numId w:val="104"/>
        </w:numPr>
      </w:pPr>
      <w:r>
        <w:t>At the individual level, under the current Regulations</w:t>
      </w:r>
      <w:r w:rsidR="00923375">
        <w:t>,</w:t>
      </w:r>
      <w:r>
        <w:t xml:space="preserve"> HSEs are required to record a variety of information, not just to meet state or national reporting requirements, but also to drive their own continuous improvement. For example, HSEs are required to record and regularly review information about adverse events, sentinel events, mortality, morbidity, compliance with clinical governance protocols and patient and staff survey results</w:t>
      </w:r>
      <w:r w:rsidR="00DD6BFD">
        <w:t>.</w:t>
      </w:r>
      <w:r w:rsidRPr="000D17F7">
        <w:rPr>
          <w:rStyle w:val="FootnoteReference"/>
        </w:rPr>
        <w:footnoteReference w:id="33"/>
      </w:r>
      <w:r>
        <w:t xml:space="preserve"> As described in </w:t>
      </w:r>
      <w:r w:rsidRPr="000A0EFC">
        <w:t xml:space="preserve">chapter </w:t>
      </w:r>
      <w:r w:rsidR="008B0AF5" w:rsidRPr="0099582F">
        <w:t>9</w:t>
      </w:r>
      <w:r w:rsidRPr="008B0AF5">
        <w:t>,</w:t>
      </w:r>
      <w:r w:rsidR="0035354C">
        <w:t xml:space="preserve"> </w:t>
      </w:r>
      <w:r>
        <w:t xml:space="preserve">the current Regulations are proposed to be amended to require an additional item to be reviewed and recorded (transfers out for escalation of care) and to allow the Secretary access to this information upon request.  </w:t>
      </w:r>
    </w:p>
    <w:p w14:paraId="6F598484" w14:textId="5FADDEBA" w:rsidR="005B50C9" w:rsidRDefault="005B50C9" w:rsidP="005B50C9">
      <w:r>
        <w:t xml:space="preserve">Consistency of regulatory obligations and information recording, reporting and review fosters comparison, benchmarking and service improvement. This in turn supports improvements in care and outcomes for patients, and more informed consumer decision-making and higher quality system manager planning. </w:t>
      </w:r>
    </w:p>
    <w:p w14:paraId="4FB946B2" w14:textId="77777777" w:rsidR="005B50C9" w:rsidRDefault="005B50C9" w:rsidP="001E347D">
      <w:pPr>
        <w:pStyle w:val="Heading6"/>
      </w:pPr>
      <w:r>
        <w:lastRenderedPageBreak/>
        <w:t xml:space="preserve">Risks and costs of non-intervention </w:t>
      </w:r>
    </w:p>
    <w:p w14:paraId="6EC11520" w14:textId="109E5B8C" w:rsidR="00EF4C94" w:rsidRDefault="00EF4C94" w:rsidP="005B50C9">
      <w:pPr>
        <w:spacing w:after="120"/>
      </w:pPr>
      <w:r w:rsidRPr="00E40795">
        <w:t xml:space="preserve">Additionally, if the Regulations were allowed to expire and no replacement Regulations put in place, the Act would not be able to operate as intended. For example, the registration scheme defined in the Act would not have meaning without the prescribed health services, </w:t>
      </w:r>
      <w:r>
        <w:t xml:space="preserve">and </w:t>
      </w:r>
      <w:r w:rsidRPr="00E40795">
        <w:t>forms and fee schedules set out in the Regulations and more detailed foundational quality and safety requirements would not be imposed or enforceable. This would increase the risks to the safety and quality of care of patients receiving health services in HSEs.</w:t>
      </w:r>
    </w:p>
    <w:p w14:paraId="73D8CFC3" w14:textId="4464EC11" w:rsidR="005B50C9" w:rsidRDefault="005B50C9" w:rsidP="005B50C9">
      <w:pPr>
        <w:spacing w:after="120"/>
      </w:pPr>
      <w:r>
        <w:t>While most healthcare in Victoria leads to good safety and quality outcomes, this is not always the case</w:t>
      </w:r>
      <w:r w:rsidR="00563BB4">
        <w:t>.</w:t>
      </w:r>
      <w:r>
        <w:t xml:space="preserve"> The Australian Commission on Safety and Quality in Health Care notes:</w:t>
      </w:r>
      <w:r>
        <w:rPr>
          <w:rStyle w:val="FootnoteReference"/>
        </w:rPr>
        <w:footnoteReference w:id="34"/>
      </w:r>
    </w:p>
    <w:p w14:paraId="5FA76286" w14:textId="77777777" w:rsidR="005B50C9" w:rsidRPr="00DF2376" w:rsidRDefault="005B50C9" w:rsidP="005B50C9">
      <w:pPr>
        <w:spacing w:before="120"/>
        <w:ind w:left="426"/>
      </w:pPr>
      <w:r w:rsidRPr="00E01AB3">
        <w:rPr>
          <w:i/>
          <w:iCs/>
        </w:rPr>
        <w:t>Although most health care in Australia leads to good outcomes, patients do not always receive the care that is most appropriate for them, and preventable adverse events occur across the Australian health system. Lapses in safety and quality, and unwarranted variation in health care provided to different populations within Australia have substantial costs, in terms of both the effect on people’s lives and finances.</w:t>
      </w:r>
    </w:p>
    <w:p w14:paraId="337BA418" w14:textId="77777777" w:rsidR="005B50C9" w:rsidRDefault="005B50C9" w:rsidP="005B50C9">
      <w:pPr>
        <w:spacing w:after="120"/>
      </w:pPr>
      <w:r>
        <w:t>A range of harms can result from safety and quality problems in health services, such as:</w:t>
      </w:r>
    </w:p>
    <w:p w14:paraId="2952F866" w14:textId="77777777" w:rsidR="005B50C9" w:rsidRPr="000B3265" w:rsidRDefault="005B50C9" w:rsidP="005B50C9">
      <w:pPr>
        <w:pStyle w:val="ListParagraph"/>
        <w:numPr>
          <w:ilvl w:val="0"/>
          <w:numId w:val="12"/>
        </w:numPr>
        <w:spacing w:before="120"/>
      </w:pPr>
      <w:r w:rsidRPr="000B3265">
        <w:t>loss of life</w:t>
      </w:r>
    </w:p>
    <w:p w14:paraId="6F102610" w14:textId="77777777" w:rsidR="005B50C9" w:rsidRPr="000B3265" w:rsidRDefault="005B50C9" w:rsidP="005B50C9">
      <w:pPr>
        <w:pStyle w:val="ListParagraph"/>
        <w:numPr>
          <w:ilvl w:val="0"/>
          <w:numId w:val="12"/>
        </w:numPr>
      </w:pPr>
      <w:r w:rsidRPr="000B3265">
        <w:t>decreased quality of life</w:t>
      </w:r>
    </w:p>
    <w:p w14:paraId="599118D1" w14:textId="77777777" w:rsidR="005B50C9" w:rsidRPr="000B3265" w:rsidRDefault="005B50C9" w:rsidP="005B50C9">
      <w:pPr>
        <w:pStyle w:val="ListParagraph"/>
        <w:numPr>
          <w:ilvl w:val="0"/>
          <w:numId w:val="12"/>
        </w:numPr>
      </w:pPr>
      <w:r w:rsidRPr="000B3265">
        <w:t>longer-term or additional treatment</w:t>
      </w:r>
    </w:p>
    <w:p w14:paraId="2E71DE12" w14:textId="77777777" w:rsidR="005B50C9" w:rsidRPr="000B3265" w:rsidRDefault="005B50C9" w:rsidP="005B50C9">
      <w:pPr>
        <w:pStyle w:val="ListParagraph"/>
        <w:numPr>
          <w:ilvl w:val="0"/>
          <w:numId w:val="12"/>
        </w:numPr>
      </w:pPr>
      <w:r w:rsidRPr="000B3265">
        <w:t>longer-term care and rehabilitation</w:t>
      </w:r>
    </w:p>
    <w:p w14:paraId="616131B4" w14:textId="77777777" w:rsidR="005B50C9" w:rsidRPr="000B3265" w:rsidRDefault="005B50C9" w:rsidP="005B50C9">
      <w:pPr>
        <w:pStyle w:val="ListParagraph"/>
        <w:numPr>
          <w:ilvl w:val="0"/>
          <w:numId w:val="12"/>
        </w:numPr>
      </w:pPr>
      <w:r w:rsidRPr="000B3265">
        <w:t>financial impact on patients, family and carers</w:t>
      </w:r>
    </w:p>
    <w:p w14:paraId="68BCA612" w14:textId="77777777" w:rsidR="005B50C9" w:rsidRPr="000B3265" w:rsidRDefault="005B50C9" w:rsidP="005B50C9">
      <w:pPr>
        <w:pStyle w:val="ListParagraph"/>
        <w:numPr>
          <w:ilvl w:val="0"/>
          <w:numId w:val="12"/>
        </w:numPr>
      </w:pPr>
      <w:r w:rsidRPr="000B3265">
        <w:t>cost of investigations and inquiries</w:t>
      </w:r>
    </w:p>
    <w:p w14:paraId="283BFF05" w14:textId="77777777" w:rsidR="005B50C9" w:rsidRDefault="005B50C9" w:rsidP="005B50C9">
      <w:pPr>
        <w:pStyle w:val="ListParagraph"/>
        <w:numPr>
          <w:ilvl w:val="0"/>
          <w:numId w:val="12"/>
        </w:numPr>
      </w:pPr>
      <w:r w:rsidRPr="000B3265">
        <w:t>cost of legal action and negligence claims</w:t>
      </w:r>
      <w:r>
        <w:t>.</w:t>
      </w:r>
    </w:p>
    <w:p w14:paraId="20B32DAC" w14:textId="1DCC5A8A" w:rsidR="005B50C9" w:rsidRDefault="005B50C9" w:rsidP="005B50C9">
      <w:r>
        <w:t>The cost of adverse events is significant. The Commission reports that in 2013, approximately 12% to 16.5% of total hospital activity and expenditure in Australia was the direct result of adverse events.</w:t>
      </w:r>
      <w:r>
        <w:rPr>
          <w:rStyle w:val="FootnoteReference"/>
        </w:rPr>
        <w:footnoteReference w:id="35"/>
      </w:r>
      <w:r>
        <w:t xml:space="preserve"> In the financial year 2017–18, admissions associated with hospital-acquired complications were estimated by the Commission to cost the public sector $4.1 billion or 8.9% of total hospital expenditure (public hospitals only).</w:t>
      </w:r>
      <w:r>
        <w:rPr>
          <w:rStyle w:val="FootnoteReference"/>
        </w:rPr>
        <w:footnoteReference w:id="36"/>
      </w:r>
      <w:r>
        <w:t xml:space="preserve"> </w:t>
      </w:r>
    </w:p>
    <w:p w14:paraId="14EBE492" w14:textId="1365B60E" w:rsidR="005B50C9" w:rsidRDefault="005B50C9" w:rsidP="005B50C9">
      <w:r>
        <w:t xml:space="preserve">An OECD paper, </w:t>
      </w:r>
      <w:r w:rsidRPr="00480088">
        <w:rPr>
          <w:i/>
        </w:rPr>
        <w:t>The Economics of Patient Safety</w:t>
      </w:r>
      <w:r>
        <w:t>, concludes that the available evidence suggests that 15% of hospital expenditure and activity in OECD countries can be attributed to treating safety failures (and notes that this is likely to be a conservative figure). The paper notes that “patient harm is felt in the broader economy through lost capacity and productivity of patients and their carers. In the political economy, the cost of safety failure includes loss of trust in the health systems, in governments and in social institutions.”</w:t>
      </w:r>
      <w:r>
        <w:rPr>
          <w:rStyle w:val="FootnoteReference"/>
        </w:rPr>
        <w:footnoteReference w:id="37"/>
      </w:r>
    </w:p>
    <w:p w14:paraId="38AC7AA6" w14:textId="2B72096E" w:rsidR="005B50C9" w:rsidRDefault="005B50C9" w:rsidP="005B50C9">
      <w:pPr>
        <w:spacing w:after="120"/>
      </w:pPr>
      <w:r>
        <w:lastRenderedPageBreak/>
        <w:t>The 2013 RIS for the then-proposed Health Services (Private Hospitals and Day Procedure Centres) Regulations 2013</w:t>
      </w:r>
      <w:r>
        <w:rPr>
          <w:rStyle w:val="FootnoteReference"/>
        </w:rPr>
        <w:footnoteReference w:id="38"/>
      </w:r>
      <w:r>
        <w:t xml:space="preserve"> considered it realistic that the proposed Regulations could prevent approximately 4,400 adverse events per year at a cost per event of $6,826.</w:t>
      </w:r>
      <w:r>
        <w:rPr>
          <w:rStyle w:val="FootnoteReference"/>
        </w:rPr>
        <w:footnoteReference w:id="39"/>
      </w:r>
      <w:r>
        <w:t xml:space="preserve"> This level of avoided adverse events would break even with the estimated </w:t>
      </w:r>
      <w:r w:rsidR="00382511">
        <w:t xml:space="preserve">total </w:t>
      </w:r>
      <w:r>
        <w:t xml:space="preserve">cost of the Regulations </w:t>
      </w:r>
      <w:r w:rsidR="00382BBA">
        <w:t>at</w:t>
      </w:r>
      <w:r>
        <w:t xml:space="preserve"> approximately $30 million per year.</w:t>
      </w:r>
      <w:r>
        <w:rPr>
          <w:rStyle w:val="FootnoteReference"/>
        </w:rPr>
        <w:footnoteReference w:id="40"/>
      </w:r>
    </w:p>
    <w:p w14:paraId="4BEA0254" w14:textId="77777777" w:rsidR="005B50C9" w:rsidRDefault="005B50C9" w:rsidP="001E347D">
      <w:pPr>
        <w:pStyle w:val="Heading6"/>
      </w:pPr>
      <w:bookmarkStart w:id="30" w:name="_Ref161739867"/>
      <w:r>
        <w:t>The specific problems being addressed in this RIS</w:t>
      </w:r>
      <w:bookmarkEnd w:id="30"/>
    </w:p>
    <w:p w14:paraId="6B682A0D" w14:textId="3BEFACB3" w:rsidR="005B50C9" w:rsidRDefault="00F80721" w:rsidP="005B50C9">
      <w:r>
        <w:t xml:space="preserve">As set out above the </w:t>
      </w:r>
      <w:r w:rsidR="005B50C9">
        <w:t>Regulations are an important safeguard</w:t>
      </w:r>
      <w:r>
        <w:t xml:space="preserve"> for patients accessing care in HSEs</w:t>
      </w:r>
      <w:r w:rsidR="005B50C9">
        <w:t xml:space="preserve">, setting foundational requirements and empowering a regulator to monitor compliance and take action where services do not meet the required standards. </w:t>
      </w:r>
    </w:p>
    <w:p w14:paraId="39AE55E9" w14:textId="041EBB1D" w:rsidR="005B50C9" w:rsidRDefault="005B50C9" w:rsidP="005B50C9">
      <w:r>
        <w:t xml:space="preserve">In undertaking the review of the Regulations, the department considers that </w:t>
      </w:r>
      <w:r w:rsidR="00583BCF">
        <w:t xml:space="preserve">the </w:t>
      </w:r>
      <w:r w:rsidR="00DD6B07">
        <w:t xml:space="preserve">key elements of </w:t>
      </w:r>
      <w:r>
        <w:t xml:space="preserve">the current Regulations are </w:t>
      </w:r>
      <w:r w:rsidR="00DD6B07">
        <w:t>necessary to</w:t>
      </w:r>
      <w:r w:rsidR="00F80721">
        <w:t xml:space="preserve"> achieve this objective, and to</w:t>
      </w:r>
      <w:r w:rsidR="00DD6B07">
        <w:t xml:space="preserve"> ensure that the registration scheme in the Act operates effectively</w:t>
      </w:r>
      <w:r>
        <w:t xml:space="preserve">. </w:t>
      </w:r>
    </w:p>
    <w:p w14:paraId="7022A64E" w14:textId="6B55BB51" w:rsidR="005B50C9" w:rsidRDefault="002452E4" w:rsidP="005B50C9">
      <w:pPr>
        <w:spacing w:before="120" w:after="120"/>
      </w:pPr>
      <w:r>
        <w:t>The review</w:t>
      </w:r>
      <w:r w:rsidR="005B50C9">
        <w:t xml:space="preserve"> has identified </w:t>
      </w:r>
      <w:r>
        <w:t xml:space="preserve">some </w:t>
      </w:r>
      <w:r w:rsidR="005B50C9">
        <w:t>areas of potential risk to patient safety and quality of care which could be addressed through changes to the Regulations. There are specific areas where the</w:t>
      </w:r>
      <w:r>
        <w:t xml:space="preserve">re is evidence that requirements should be set out in clearer </w:t>
      </w:r>
      <w:r w:rsidR="00583BCF">
        <w:t>detail, and/or</w:t>
      </w:r>
      <w:r w:rsidR="005B50C9">
        <w:t xml:space="preserve"> </w:t>
      </w:r>
      <w:r w:rsidR="00583BCF">
        <w:t xml:space="preserve">the </w:t>
      </w:r>
      <w:r w:rsidR="005B50C9">
        <w:t>department is constrained in how well it can perform its monitoring, oversight and enforcement role, due to either insufficient information being reported or lack of a robust and transparent mechanism for departmental review of a specific area of compliance. These problem areas, discussed in detail in chapters 4 and 5 of this RIS, are:</w:t>
      </w:r>
    </w:p>
    <w:p w14:paraId="7C52F64B" w14:textId="50B06433" w:rsidR="005B50C9" w:rsidRPr="00C05E9A" w:rsidRDefault="005B50C9" w:rsidP="005B50C9">
      <w:pPr>
        <w:pStyle w:val="ListParagraph"/>
        <w:numPr>
          <w:ilvl w:val="0"/>
          <w:numId w:val="26"/>
        </w:numPr>
        <w:spacing w:before="120"/>
      </w:pPr>
      <w:r w:rsidRPr="00AE55E3">
        <w:rPr>
          <w:b/>
          <w:bCs/>
        </w:rPr>
        <w:t>Clinical governance</w:t>
      </w:r>
      <w:r>
        <w:t>, where the current Regulations do not sufficiently enable oversight by the department to ensure HSEs have established</w:t>
      </w:r>
      <w:r w:rsidRPr="00BA2D78">
        <w:t xml:space="preserve"> and </w:t>
      </w:r>
      <w:r>
        <w:t xml:space="preserve">are </w:t>
      </w:r>
      <w:r w:rsidRPr="00BA2D78">
        <w:t>demonstrat</w:t>
      </w:r>
      <w:r>
        <w:t>ing</w:t>
      </w:r>
      <w:r w:rsidRPr="00BA2D78">
        <w:t xml:space="preserve"> key elements of effective </w:t>
      </w:r>
      <w:r w:rsidRPr="00C05E9A">
        <w:t>clinical governance. (see chapter 4)</w:t>
      </w:r>
    </w:p>
    <w:p w14:paraId="15BF941C" w14:textId="25BF4688" w:rsidR="005B50C9" w:rsidRPr="00C05E9A" w:rsidRDefault="005B50C9" w:rsidP="005B50C9">
      <w:pPr>
        <w:pStyle w:val="ListParagraph"/>
        <w:numPr>
          <w:ilvl w:val="0"/>
          <w:numId w:val="26"/>
        </w:numPr>
      </w:pPr>
      <w:r w:rsidRPr="00C05E9A">
        <w:rPr>
          <w:b/>
          <w:bCs/>
        </w:rPr>
        <w:t>Sentinel event</w:t>
      </w:r>
      <w:r w:rsidR="00D326D6">
        <w:rPr>
          <w:b/>
          <w:bCs/>
        </w:rPr>
        <w:t>s</w:t>
      </w:r>
      <w:r w:rsidRPr="00C05E9A">
        <w:rPr>
          <w:b/>
          <w:bCs/>
        </w:rPr>
        <w:t xml:space="preserve"> reporting</w:t>
      </w:r>
      <w:r>
        <w:rPr>
          <w:b/>
          <w:bCs/>
        </w:rPr>
        <w:t xml:space="preserve"> and review</w:t>
      </w:r>
      <w:r w:rsidRPr="00C05E9A">
        <w:t xml:space="preserve">, </w:t>
      </w:r>
      <w:r w:rsidRPr="00EA7A7A">
        <w:t xml:space="preserve">where there are opportunities to improve the sentinel </w:t>
      </w:r>
      <w:r w:rsidR="00BC20C6">
        <w:t>event</w:t>
      </w:r>
      <w:r w:rsidR="009A367D">
        <w:t>s</w:t>
      </w:r>
      <w:r w:rsidR="00BC20C6">
        <w:t xml:space="preserve"> </w:t>
      </w:r>
      <w:r w:rsidRPr="00EA7A7A">
        <w:t xml:space="preserve">reporting process and </w:t>
      </w:r>
      <w:r>
        <w:t>review requirements</w:t>
      </w:r>
      <w:r w:rsidRPr="00EA7A7A">
        <w:t xml:space="preserve"> (see section 5.1)</w:t>
      </w:r>
    </w:p>
    <w:p w14:paraId="163A65AC" w14:textId="23CB7D56" w:rsidR="001E612A" w:rsidRPr="00C05E9A" w:rsidRDefault="001E612A" w:rsidP="001E612A">
      <w:pPr>
        <w:pStyle w:val="ListParagraph"/>
        <w:numPr>
          <w:ilvl w:val="0"/>
          <w:numId w:val="26"/>
        </w:numPr>
        <w:spacing w:before="0" w:after="120"/>
      </w:pPr>
      <w:r w:rsidRPr="0099582F">
        <w:rPr>
          <w:b/>
          <w:bCs/>
        </w:rPr>
        <w:t>Admissions assessment</w:t>
      </w:r>
      <w:r w:rsidRPr="00C05E9A">
        <w:t xml:space="preserve"> (see chapter 6)</w:t>
      </w:r>
    </w:p>
    <w:p w14:paraId="52FEFDCB" w14:textId="3B7B825D" w:rsidR="001E612A" w:rsidRPr="00C05E9A" w:rsidRDefault="001E612A" w:rsidP="00EA18B9">
      <w:pPr>
        <w:pStyle w:val="ListParagraph"/>
        <w:numPr>
          <w:ilvl w:val="0"/>
          <w:numId w:val="26"/>
        </w:numPr>
      </w:pPr>
      <w:r w:rsidRPr="0099582F">
        <w:rPr>
          <w:b/>
          <w:bCs/>
        </w:rPr>
        <w:t>Infringement penalties</w:t>
      </w:r>
      <w:r w:rsidRPr="00C05E9A">
        <w:t xml:space="preserve"> (see chapter 7)</w:t>
      </w:r>
      <w:r>
        <w:t>.</w:t>
      </w:r>
    </w:p>
    <w:p w14:paraId="608C8D01" w14:textId="35996135" w:rsidR="005B50C9" w:rsidRPr="0099582F" w:rsidRDefault="005B50C9" w:rsidP="00EA18B9">
      <w:pPr>
        <w:spacing w:before="120" w:after="120"/>
      </w:pPr>
      <w:r w:rsidRPr="00C05E9A">
        <w:t xml:space="preserve">In addition, there </w:t>
      </w:r>
      <w:r w:rsidR="00D23E4D">
        <w:t xml:space="preserve">are </w:t>
      </w:r>
      <w:r w:rsidR="00107BDB" w:rsidRPr="00C05E9A">
        <w:t>several</w:t>
      </w:r>
      <w:r w:rsidRPr="00C05E9A">
        <w:t xml:space="preserve"> discrete elements of the Regulations that require clarification or </w:t>
      </w:r>
      <w:r w:rsidRPr="0099582F">
        <w:t xml:space="preserve">amendment to improve the effectiveness of the Regulations, </w:t>
      </w:r>
      <w:r w:rsidR="001E612A" w:rsidRPr="0099582F">
        <w:t xml:space="preserve">as described in </w:t>
      </w:r>
      <w:r w:rsidR="00E3066B" w:rsidRPr="0099582F">
        <w:t>chapter 9.</w:t>
      </w:r>
    </w:p>
    <w:p w14:paraId="0B0A5A40" w14:textId="1C8EB51A" w:rsidR="005B50C9" w:rsidRPr="00CE4EF7" w:rsidRDefault="005B50C9" w:rsidP="0049758F">
      <w:pPr>
        <w:spacing w:before="120" w:after="120"/>
      </w:pPr>
      <w:r w:rsidRPr="004F3D2A">
        <w:t xml:space="preserve">As noted </w:t>
      </w:r>
      <w:r w:rsidR="00671458" w:rsidRPr="004F3D2A">
        <w:t xml:space="preserve">in section </w:t>
      </w:r>
      <w:r w:rsidR="0099582F" w:rsidRPr="004F3D2A">
        <w:t>1.4</w:t>
      </w:r>
      <w:r w:rsidR="00671458" w:rsidRPr="004F3D2A">
        <w:t xml:space="preserve"> above</w:t>
      </w:r>
      <w:r w:rsidRPr="004F3D2A">
        <w:t xml:space="preserve">, the review has </w:t>
      </w:r>
      <w:r w:rsidR="00564A60" w:rsidRPr="004F3D2A">
        <w:rPr>
          <w:rStyle w:val="ui-provider"/>
        </w:rPr>
        <w:t xml:space="preserve">also considered the elements of the Regulations that set out workforce and staffing requirements and those that determine the scope of the Registration scheme in the Act (that is, the provisions that list and define the types of services that must be provided in a registered facility). Consultation and policy analysis has raised important questions about the best settings </w:t>
      </w:r>
      <w:r w:rsidR="00BF2475" w:rsidRPr="004F3D2A">
        <w:rPr>
          <w:rStyle w:val="ui-provider"/>
        </w:rPr>
        <w:t xml:space="preserve">for these Regulations </w:t>
      </w:r>
      <w:r w:rsidR="00564A60" w:rsidRPr="004F3D2A">
        <w:rPr>
          <w:rStyle w:val="ui-provider"/>
        </w:rPr>
        <w:t>to achieve the desired safety outcomes without undue restriction on service delivery.</w:t>
      </w:r>
      <w:r w:rsidR="00C36D3C" w:rsidRPr="004F3D2A">
        <w:rPr>
          <w:rStyle w:val="ui-provider"/>
        </w:rPr>
        <w:t xml:space="preserve"> The </w:t>
      </w:r>
      <w:r w:rsidR="0099582F" w:rsidRPr="004F3D2A">
        <w:rPr>
          <w:rStyle w:val="ui-provider"/>
        </w:rPr>
        <w:t>d</w:t>
      </w:r>
      <w:r w:rsidR="00C36D3C" w:rsidRPr="004F3D2A">
        <w:rPr>
          <w:rStyle w:val="ui-provider"/>
        </w:rPr>
        <w:t xml:space="preserve">epartment will conduct further consultation and policy analysis to inform proposals for further updates to the Regulations, which will then be subject to appropriate impact assessment. </w:t>
      </w:r>
    </w:p>
    <w:p w14:paraId="6378CFEA" w14:textId="0B9FFEED" w:rsidR="00247E53" w:rsidRPr="006B7881" w:rsidRDefault="00247E53" w:rsidP="00247E53">
      <w:pPr>
        <w:pStyle w:val="Heading5"/>
      </w:pPr>
      <w:bookmarkStart w:id="31" w:name="_Toc165287598"/>
      <w:r>
        <w:lastRenderedPageBreak/>
        <w:t>Obje</w:t>
      </w:r>
      <w:r w:rsidRPr="00EC4CBC">
        <w:t>ctives</w:t>
      </w:r>
      <w:bookmarkEnd w:id="18"/>
      <w:bookmarkEnd w:id="31"/>
    </w:p>
    <w:bookmarkEnd w:id="19"/>
    <w:p w14:paraId="5EB011CA" w14:textId="77777777" w:rsidR="005A2F80" w:rsidRDefault="005A2F80" w:rsidP="005A2F80">
      <w:r>
        <w:t xml:space="preserve">The proposed Regulations are made under the </w:t>
      </w:r>
      <w:r w:rsidRPr="009310F4">
        <w:rPr>
          <w:i/>
          <w:iCs/>
        </w:rPr>
        <w:t>Health Services Act 1988</w:t>
      </w:r>
      <w:r>
        <w:t>, the purpose of which is to make provision for the development of health services in Victoria, for the carrying on of hospitals and other health care agencies and related matters.</w:t>
      </w:r>
    </w:p>
    <w:p w14:paraId="23A76AA5" w14:textId="58834E9F" w:rsidR="005A2F80" w:rsidRPr="00F5510A" w:rsidRDefault="005A2F80" w:rsidP="005A2F80">
      <w:r w:rsidRPr="00F5510A">
        <w:t xml:space="preserve">The primary objective of these Regulations is to provide for the safety and quality of care of patients receiving health services in HSEs. </w:t>
      </w:r>
    </w:p>
    <w:p w14:paraId="7A96131A" w14:textId="3A198625" w:rsidR="00247E53" w:rsidRPr="00F5510A" w:rsidRDefault="005A2F80" w:rsidP="005A2F80">
      <w:r w:rsidRPr="00F5510A">
        <w:t xml:space="preserve">The secondary objective of the Regulations is to prescribe fees, forms and other matters as required under the </w:t>
      </w:r>
      <w:r w:rsidRPr="00F5510A">
        <w:rPr>
          <w:i/>
          <w:iCs/>
        </w:rPr>
        <w:t>Health Services Act 1988</w:t>
      </w:r>
      <w:r w:rsidRPr="00F5510A">
        <w:t xml:space="preserve"> in relation to HSEs. This provides the mechanisms by which HSEs meet their requirements under the Act.</w:t>
      </w:r>
    </w:p>
    <w:p w14:paraId="7251C958" w14:textId="56732832" w:rsidR="00751EB1" w:rsidRPr="00751EB1" w:rsidRDefault="009412C1" w:rsidP="00DF0339">
      <w:pPr>
        <w:pStyle w:val="Heading5"/>
      </w:pPr>
      <w:r>
        <w:lastRenderedPageBreak/>
        <w:t xml:space="preserve"> </w:t>
      </w:r>
      <w:bookmarkStart w:id="32" w:name="_Toc165287599"/>
      <w:r w:rsidR="00751EB1" w:rsidRPr="00751EB1">
        <w:t>Overview of options development and approach to analysis</w:t>
      </w:r>
      <w:bookmarkEnd w:id="32"/>
    </w:p>
    <w:tbl>
      <w:tblPr>
        <w:tblStyle w:val="TableGrid"/>
        <w:tblW w:w="0" w:type="auto"/>
        <w:tblLook w:val="04A0" w:firstRow="1" w:lastRow="0" w:firstColumn="1" w:lastColumn="0" w:noHBand="0" w:noVBand="1"/>
      </w:tblPr>
      <w:tblGrid>
        <w:gridCol w:w="9016"/>
      </w:tblGrid>
      <w:tr w:rsidR="00751EB1" w:rsidRPr="00751EB1" w14:paraId="6FC03CD6" w14:textId="77777777">
        <w:tc>
          <w:tcPr>
            <w:tcW w:w="9016" w:type="dxa"/>
            <w:tcBorders>
              <w:top w:val="nil"/>
              <w:left w:val="nil"/>
              <w:bottom w:val="nil"/>
              <w:right w:val="nil"/>
            </w:tcBorders>
            <w:shd w:val="clear" w:color="auto" w:fill="EEECE1" w:themeFill="background2"/>
          </w:tcPr>
          <w:p w14:paraId="46A62AAE" w14:textId="77777777" w:rsidR="00751EB1" w:rsidRPr="00751EB1" w:rsidRDefault="00751EB1" w:rsidP="00751EB1">
            <w:pPr>
              <w:rPr>
                <w:sz w:val="28"/>
                <w:szCs w:val="28"/>
              </w:rPr>
            </w:pPr>
            <w:r w:rsidRPr="00751EB1">
              <w:t>This chapter explains how options for the RIS were identified and the overall approach to option design. Details of options for each individual area of change being considered in the RIS are outlined in following chapters.</w:t>
            </w:r>
          </w:p>
        </w:tc>
      </w:tr>
    </w:tbl>
    <w:p w14:paraId="3CEABF99" w14:textId="77777777" w:rsidR="00751EB1" w:rsidRPr="00751EB1" w:rsidRDefault="00751EB1" w:rsidP="0059109A">
      <w:pPr>
        <w:pStyle w:val="Heading6"/>
      </w:pPr>
      <w:r w:rsidRPr="00751EB1">
        <w:t>How options have been developed</w:t>
      </w:r>
    </w:p>
    <w:p w14:paraId="14C5331E" w14:textId="378002F2" w:rsidR="00751EB1" w:rsidRPr="00751EB1" w:rsidRDefault="00751EB1" w:rsidP="00751EB1">
      <w:pPr>
        <w:spacing w:before="120" w:after="120"/>
      </w:pPr>
      <w:r w:rsidRPr="00751EB1">
        <w:t xml:space="preserve">As part of the RIS process, it is important to consider different options that could achieve the Victorian Government’s objectives. The Subordinate Legislation Act 1994 </w:t>
      </w:r>
      <w:r w:rsidR="00AA54DF">
        <w:t xml:space="preserve">and its </w:t>
      </w:r>
      <w:r w:rsidRPr="00751EB1">
        <w:t>Guidelines (the guidelines), and the Victorian Guide to Regulation recommend that this includes considering a range of approaches, including non-regulatory options (such as national accreditation schemes), approaches in other jurisdictions, and improvements to existing regulatory regimes and regulatory practice.</w:t>
      </w:r>
      <w:r w:rsidRPr="00751EB1" w:rsidDel="00FC4E88">
        <w:t xml:space="preserve"> </w:t>
      </w:r>
    </w:p>
    <w:p w14:paraId="6C46B3E7" w14:textId="3A658F0F" w:rsidR="00751EB1" w:rsidRPr="00751EB1" w:rsidRDefault="00751EB1" w:rsidP="00751EB1">
      <w:pPr>
        <w:spacing w:after="120"/>
      </w:pPr>
      <w:r w:rsidRPr="00751EB1">
        <w:t>In considering options it is noted that the guidelines state:</w:t>
      </w:r>
    </w:p>
    <w:p w14:paraId="611325E5" w14:textId="76E3BC7F" w:rsidR="00751EB1" w:rsidRPr="00751EB1" w:rsidRDefault="00751EB1" w:rsidP="00751EB1">
      <w:pPr>
        <w:spacing w:before="0" w:after="0"/>
        <w:ind w:left="425"/>
        <w:rPr>
          <w:i/>
          <w:iCs/>
        </w:rPr>
      </w:pPr>
      <w:r w:rsidRPr="00751EB1">
        <w:rPr>
          <w:i/>
          <w:iCs/>
        </w:rPr>
        <w:t>In most cases, when a responsible Minister is considering making a statutory rule or legislative instrument, the authorising Act or statutory rule will dictate what kind of instrument may be created. For example, where the authorising legislation provides for fees to be prescribed in statutory rules, there may be no discretion to set those fees by another method.</w:t>
      </w:r>
    </w:p>
    <w:p w14:paraId="36A1B8CE" w14:textId="6911F88D" w:rsidR="00751EB1" w:rsidRPr="00751EB1" w:rsidRDefault="00751EB1" w:rsidP="00751EB1">
      <w:r w:rsidRPr="00751EB1">
        <w:t xml:space="preserve">The authorising Act, in this case the </w:t>
      </w:r>
      <w:r w:rsidRPr="00751EB1">
        <w:rPr>
          <w:i/>
          <w:iCs/>
        </w:rPr>
        <w:t>Health Services Act 1988,</w:t>
      </w:r>
      <w:r w:rsidRPr="00751EB1">
        <w:t xml:space="preserve"> sets down a regulatory framework requiring registration of HSEs. Provisions in the Act establish that forms, fees or registers will be prescribed in regulations.</w:t>
      </w:r>
    </w:p>
    <w:p w14:paraId="753B7EEA" w14:textId="421458CC" w:rsidR="00751EB1" w:rsidRPr="00751EB1" w:rsidRDefault="00751EB1" w:rsidP="00751EB1">
      <w:r w:rsidRPr="00751EB1">
        <w:t>In addition, section 158 provides that the Governor-in-Council may make regulations to prescribe matters including (amongst other things): the kinds of care which may be provided in HSEs; requirements, guidelines and standards to be complied with in relation to governance; cleanliness and hygiene; quality and safety; staffing; facilities and equipment; record keeping; and provision of statistical information.</w:t>
      </w:r>
    </w:p>
    <w:p w14:paraId="164BD5B2" w14:textId="262DB8CC" w:rsidR="00751EB1" w:rsidRPr="00751EB1" w:rsidRDefault="00751EB1" w:rsidP="00751EB1">
      <w:r w:rsidRPr="00751EB1">
        <w:t>Following detailed policy analysis by the department across many elements of the Regulations, drawing on research and stakeholder engagement on a broad range of proposals, and set out in the department’s published discussion paper (see section 1.4), the department is proposing to remake the Regulations in their current form and structure. Most elements of the Regulations are not proposed to change</w:t>
      </w:r>
      <w:r w:rsidR="00EE706C">
        <w:t xml:space="preserve"> as part of the remaking of the Regulations</w:t>
      </w:r>
      <w:r w:rsidRPr="00751EB1">
        <w:t xml:space="preserve">. </w:t>
      </w:r>
    </w:p>
    <w:p w14:paraId="7651D6CB" w14:textId="0D14EFE0" w:rsidR="00751EB1" w:rsidRPr="00751EB1" w:rsidRDefault="00751EB1" w:rsidP="00751EB1">
      <w:pPr>
        <w:spacing w:before="120" w:after="120"/>
      </w:pPr>
      <w:r w:rsidRPr="00751EB1">
        <w:t>Targeted improvements are proposed in the following areas:</w:t>
      </w:r>
    </w:p>
    <w:p w14:paraId="3CAA0E60" w14:textId="77777777" w:rsidR="00751EB1" w:rsidRPr="00751EB1" w:rsidRDefault="00751EB1" w:rsidP="00686EB0">
      <w:pPr>
        <w:numPr>
          <w:ilvl w:val="0"/>
          <w:numId w:val="105"/>
        </w:numPr>
        <w:spacing w:before="0" w:after="40"/>
      </w:pPr>
      <w:r w:rsidRPr="00751EB1">
        <w:t>Clinical governance</w:t>
      </w:r>
    </w:p>
    <w:p w14:paraId="62F6509D" w14:textId="4F92920B" w:rsidR="00751EB1" w:rsidRPr="00751EB1" w:rsidRDefault="0090307E" w:rsidP="00686EB0">
      <w:pPr>
        <w:numPr>
          <w:ilvl w:val="0"/>
          <w:numId w:val="105"/>
        </w:numPr>
        <w:spacing w:before="0" w:after="40"/>
      </w:pPr>
      <w:r>
        <w:t>Sentinel events reporting and r</w:t>
      </w:r>
      <w:r w:rsidR="00751EB1" w:rsidRPr="00751EB1">
        <w:t xml:space="preserve">eview </w:t>
      </w:r>
    </w:p>
    <w:p w14:paraId="1E7F8BC7" w14:textId="44F97CB9" w:rsidR="00751EB1" w:rsidRPr="00751EB1" w:rsidRDefault="00751EB1" w:rsidP="00686EB0">
      <w:pPr>
        <w:numPr>
          <w:ilvl w:val="0"/>
          <w:numId w:val="105"/>
        </w:numPr>
        <w:spacing w:before="0" w:after="40"/>
      </w:pPr>
      <w:r w:rsidRPr="00751EB1">
        <w:t>Admissions assessment</w:t>
      </w:r>
    </w:p>
    <w:p w14:paraId="1E22049F" w14:textId="77777777" w:rsidR="00751EB1" w:rsidRPr="00751EB1" w:rsidRDefault="00751EB1" w:rsidP="00686EB0">
      <w:pPr>
        <w:numPr>
          <w:ilvl w:val="0"/>
          <w:numId w:val="105"/>
        </w:numPr>
        <w:spacing w:before="0" w:after="40"/>
      </w:pPr>
      <w:r w:rsidRPr="00751EB1">
        <w:t>Infringements</w:t>
      </w:r>
    </w:p>
    <w:p w14:paraId="66BA4BBC" w14:textId="77777777" w:rsidR="002875DB" w:rsidRPr="00751EB1" w:rsidRDefault="002875DB" w:rsidP="002875DB">
      <w:pPr>
        <w:numPr>
          <w:ilvl w:val="0"/>
          <w:numId w:val="105"/>
        </w:numPr>
        <w:spacing w:before="0" w:after="40"/>
      </w:pPr>
      <w:r w:rsidRPr="00751EB1">
        <w:t>Fees</w:t>
      </w:r>
    </w:p>
    <w:p w14:paraId="1A180B80" w14:textId="0DF6E735" w:rsidR="00751EB1" w:rsidRPr="00751EB1" w:rsidRDefault="002A5C52" w:rsidP="00686EB0">
      <w:pPr>
        <w:numPr>
          <w:ilvl w:val="0"/>
          <w:numId w:val="105"/>
        </w:numPr>
        <w:spacing w:before="0" w:after="40"/>
      </w:pPr>
      <w:r>
        <w:t>Administrative changes</w:t>
      </w:r>
      <w:r w:rsidR="00640062">
        <w:t xml:space="preserve"> and </w:t>
      </w:r>
      <w:r w:rsidR="00751EB1" w:rsidRPr="00751EB1">
        <w:t>clarifications</w:t>
      </w:r>
    </w:p>
    <w:p w14:paraId="30E25BEC" w14:textId="08878859" w:rsidR="008543C9" w:rsidRPr="00751EB1" w:rsidRDefault="008543C9" w:rsidP="00FB4526">
      <w:r>
        <w:lastRenderedPageBreak/>
        <w:t xml:space="preserve">As set out above, further updates to the Regulations are under active consideration, in relation to workforce requirements and the services listed and defined in the Regulations. </w:t>
      </w:r>
      <w:r>
        <w:rPr>
          <w:rStyle w:val="ui-provider"/>
        </w:rPr>
        <w:t>The department will conduct further consultation and policy analysis to inform proposals for further updates to the Regulations, which will then be subject to appropriate impact assessment.</w:t>
      </w:r>
      <w:r>
        <w:t xml:space="preserve">  </w:t>
      </w:r>
    </w:p>
    <w:p w14:paraId="5FFBDCD4" w14:textId="77777777" w:rsidR="00751EB1" w:rsidRPr="00751EB1" w:rsidRDefault="00751EB1" w:rsidP="00E033F1">
      <w:pPr>
        <w:pStyle w:val="Heading6"/>
      </w:pPr>
      <w:r w:rsidRPr="00751EB1">
        <w:t>Overall structure of options design for each area of change being assessed</w:t>
      </w:r>
    </w:p>
    <w:p w14:paraId="71BD592C" w14:textId="0D888514" w:rsidR="0069100F" w:rsidRDefault="0069100F" w:rsidP="009310F4">
      <w:r>
        <w:t>The analysis in this</w:t>
      </w:r>
      <w:r w:rsidRPr="00751EB1">
        <w:t xml:space="preserve"> RIS focus</w:t>
      </w:r>
      <w:r>
        <w:t>es</w:t>
      </w:r>
      <w:r w:rsidRPr="00751EB1">
        <w:t xml:space="preserve"> on th</w:t>
      </w:r>
      <w:r w:rsidR="008A1E0F">
        <w:t>e propose</w:t>
      </w:r>
      <w:r w:rsidR="00577713">
        <w:t>s</w:t>
      </w:r>
      <w:r w:rsidR="008A1E0F">
        <w:t xml:space="preserve"> changes to the</w:t>
      </w:r>
      <w:r w:rsidRPr="00751EB1">
        <w:t xml:space="preserve"> </w:t>
      </w:r>
      <w:r w:rsidR="008A1E0F">
        <w:t>R</w:t>
      </w:r>
      <w:r w:rsidRPr="00751EB1">
        <w:t>egulations that represent a</w:t>
      </w:r>
      <w:r w:rsidR="008A1E0F">
        <w:t xml:space="preserve"> material</w:t>
      </w:r>
      <w:r w:rsidRPr="00751EB1">
        <w:t xml:space="preserve"> incremental cost on the sector compared to the current Regulations.</w:t>
      </w:r>
      <w:r w:rsidR="00577713">
        <w:t xml:space="preserve"> </w:t>
      </w:r>
      <w:r w:rsidRPr="00751EB1">
        <w:t xml:space="preserve">Analysis of each area of change is presented in chapters 5 to </w:t>
      </w:r>
      <w:r>
        <w:t>9</w:t>
      </w:r>
      <w:r w:rsidRPr="00751EB1">
        <w:t>.</w:t>
      </w:r>
    </w:p>
    <w:p w14:paraId="5C53878E" w14:textId="071697D9" w:rsidR="00751EB1" w:rsidRPr="00751EB1" w:rsidRDefault="00751EB1" w:rsidP="00751EB1">
      <w:r w:rsidRPr="00751EB1">
        <w:t xml:space="preserve">Each area of change being considered presents a </w:t>
      </w:r>
      <w:r w:rsidR="005A2F80">
        <w:t>Base Case</w:t>
      </w:r>
      <w:r w:rsidRPr="00751EB1">
        <w:t xml:space="preserve"> and two or three alternative options depending on the nature of the problem being assessed:</w:t>
      </w:r>
    </w:p>
    <w:p w14:paraId="0B844AED" w14:textId="25502BFA" w:rsidR="00751EB1" w:rsidRPr="00751EB1" w:rsidRDefault="005A2F80" w:rsidP="00751EB1">
      <w:pPr>
        <w:numPr>
          <w:ilvl w:val="0"/>
          <w:numId w:val="12"/>
        </w:numPr>
        <w:contextualSpacing/>
      </w:pPr>
      <w:r>
        <w:rPr>
          <w:b/>
          <w:bCs/>
        </w:rPr>
        <w:t>Base Case</w:t>
      </w:r>
      <w:r w:rsidR="00751EB1" w:rsidRPr="00751EB1">
        <w:t xml:space="preserve">: The current Regulations for the area being assessed (e.g. sentinel reporting) lapse in September 2024 and are not replaced. Provisions in the Act establishing that forms, fees or registers will be prescribed in regulations which are currently operative would cease to have an effect going forward. The </w:t>
      </w:r>
      <w:r>
        <w:t>Base Case</w:t>
      </w:r>
      <w:r w:rsidR="00751EB1" w:rsidRPr="00751EB1">
        <w:t xml:space="preserve"> is included as an option against which to compare other options (that is, a counterfactual) and is not considered to be a feasible option</w:t>
      </w:r>
    </w:p>
    <w:p w14:paraId="6D3B0EA2" w14:textId="064E17CB" w:rsidR="00751EB1" w:rsidRPr="00751EB1" w:rsidRDefault="00751EB1" w:rsidP="00751EB1">
      <w:pPr>
        <w:numPr>
          <w:ilvl w:val="0"/>
          <w:numId w:val="12"/>
        </w:numPr>
        <w:contextualSpacing/>
      </w:pPr>
      <w:r w:rsidRPr="00751EB1">
        <w:rPr>
          <w:b/>
          <w:bCs/>
        </w:rPr>
        <w:t>Option 1: Remake current Regulations (status quo)</w:t>
      </w:r>
      <w:r w:rsidRPr="00751EB1">
        <w:t xml:space="preserve">: This option would keep the current Regulations for the area being assessed, largely in their current form, except for a small number of minor clarifications </w:t>
      </w:r>
    </w:p>
    <w:p w14:paraId="0DAD40F6" w14:textId="25CC958D" w:rsidR="00751EB1" w:rsidRPr="00751EB1" w:rsidRDefault="00751EB1" w:rsidP="00751EB1">
      <w:pPr>
        <w:numPr>
          <w:ilvl w:val="0"/>
          <w:numId w:val="12"/>
        </w:numPr>
        <w:contextualSpacing/>
      </w:pPr>
      <w:r w:rsidRPr="00751EB1">
        <w:rPr>
          <w:b/>
          <w:bCs/>
        </w:rPr>
        <w:t>Option 2: Remake current Regulations plus a targeted proposal for improvement</w:t>
      </w:r>
      <w:r w:rsidRPr="00751EB1">
        <w:t>: The RIS identifies a proposal for improving the Regulations in the area being assessed to address the problem identified—for example, additional sentinel reporting requirement added to existing sentinel reporting requirement</w:t>
      </w:r>
    </w:p>
    <w:p w14:paraId="4AA1C441" w14:textId="77777777" w:rsidR="00751EB1" w:rsidRPr="00751EB1" w:rsidRDefault="00751EB1" w:rsidP="00751EB1">
      <w:pPr>
        <w:numPr>
          <w:ilvl w:val="0"/>
          <w:numId w:val="12"/>
        </w:numPr>
        <w:contextualSpacing/>
      </w:pPr>
      <w:r w:rsidRPr="00751EB1">
        <w:rPr>
          <w:b/>
          <w:bCs/>
        </w:rPr>
        <w:t>Option 3: Remake current Regulations plus a targeted proposal for improvement</w:t>
      </w:r>
      <w:r w:rsidRPr="00751EB1">
        <w:t>: The RIS identifies an alternative option of change to the Regulations to address the problem identified.</w:t>
      </w:r>
    </w:p>
    <w:p w14:paraId="3AF2D5DE" w14:textId="2FB1E782" w:rsidR="00751EB1" w:rsidRPr="00751EB1" w:rsidRDefault="00751EB1" w:rsidP="00BC741A">
      <w:pPr>
        <w:spacing w:before="240"/>
      </w:pPr>
      <w:r w:rsidRPr="00751EB1">
        <w:t xml:space="preserve">As noted in section 3.1, it is proposed that most of the Regulations will be remade without any change. No options are considered for areas of the Regulations where no change </w:t>
      </w:r>
      <w:r w:rsidR="003135EE">
        <w:t>is</w:t>
      </w:r>
      <w:r w:rsidRPr="00751EB1">
        <w:t xml:space="preserve"> proposed. </w:t>
      </w:r>
    </w:p>
    <w:p w14:paraId="110380D7" w14:textId="77777777" w:rsidR="00751EB1" w:rsidRPr="00751EB1" w:rsidRDefault="00751EB1" w:rsidP="00E033F1">
      <w:pPr>
        <w:pStyle w:val="Heading6"/>
      </w:pPr>
      <w:r w:rsidRPr="00751EB1">
        <w:t>Assessment of options</w:t>
      </w:r>
    </w:p>
    <w:p w14:paraId="4E726DC1" w14:textId="4F002EDE" w:rsidR="00751EB1" w:rsidRPr="00751EB1" w:rsidRDefault="00751EB1" w:rsidP="00751EB1">
      <w:pPr>
        <w:rPr>
          <w:rFonts w:cstheme="minorHAnsi"/>
        </w:rPr>
      </w:pPr>
      <w:r w:rsidRPr="00751EB1">
        <w:rPr>
          <w:rFonts w:cstheme="minorHAnsi"/>
        </w:rPr>
        <w:t xml:space="preserve">The options in this RIS have been assessed using Multi-Criteria Analysis (MCA) supported by quantitative information where available. </w:t>
      </w:r>
      <w:r w:rsidR="00084C18">
        <w:rPr>
          <w:rFonts w:cstheme="minorHAnsi"/>
        </w:rPr>
        <w:t>A separate analysis is undertaken for each area of proposed change</w:t>
      </w:r>
      <w:r w:rsidR="008F1346">
        <w:rPr>
          <w:rFonts w:cstheme="minorHAnsi"/>
        </w:rPr>
        <w:t xml:space="preserve"> because they are discrete</w:t>
      </w:r>
      <w:r w:rsidR="00E01938">
        <w:rPr>
          <w:rFonts w:cstheme="minorHAnsi"/>
        </w:rPr>
        <w:t xml:space="preserve"> areas of the Regulations being considered</w:t>
      </w:r>
      <w:r w:rsidR="0090108D">
        <w:rPr>
          <w:rFonts w:cstheme="minorHAnsi"/>
        </w:rPr>
        <w:t xml:space="preserve"> </w:t>
      </w:r>
      <w:r w:rsidR="00E01938">
        <w:rPr>
          <w:rFonts w:cstheme="minorHAnsi"/>
        </w:rPr>
        <w:t xml:space="preserve">and it </w:t>
      </w:r>
      <w:r w:rsidR="00084C18">
        <w:rPr>
          <w:rFonts w:cstheme="minorHAnsi"/>
        </w:rPr>
        <w:t>enable</w:t>
      </w:r>
      <w:r w:rsidR="00E01938">
        <w:rPr>
          <w:rFonts w:cstheme="minorHAnsi"/>
        </w:rPr>
        <w:t>s</w:t>
      </w:r>
      <w:r w:rsidR="00084C18">
        <w:rPr>
          <w:rFonts w:cstheme="minorHAnsi"/>
        </w:rPr>
        <w:t xml:space="preserve"> stakeholders to </w:t>
      </w:r>
      <w:r w:rsidR="008F1346">
        <w:rPr>
          <w:rFonts w:cstheme="minorHAnsi"/>
        </w:rPr>
        <w:t>understand the rationale for the proposed changes and alternatives considered</w:t>
      </w:r>
      <w:r w:rsidR="0090108D">
        <w:rPr>
          <w:rFonts w:cstheme="minorHAnsi"/>
        </w:rPr>
        <w:t>.</w:t>
      </w:r>
      <w:r w:rsidR="008F1346">
        <w:rPr>
          <w:rFonts w:cstheme="minorHAnsi"/>
        </w:rPr>
        <w:t xml:space="preserve"> </w:t>
      </w:r>
      <w:r w:rsidRPr="00751EB1">
        <w:rPr>
          <w:rFonts w:cstheme="minorHAnsi"/>
        </w:rPr>
        <w:t>An MCA is used instead of a Cost-Benefit Analysis due to lack of quantifiable information on both costs and benefits. The MCA provides a structured and transparent way of evaluating the options given the limited quantitative data that is available to assess the benefits of the options.</w:t>
      </w:r>
    </w:p>
    <w:p w14:paraId="16E9610E" w14:textId="58C44F5F" w:rsidR="00751EB1" w:rsidRPr="00751EB1" w:rsidRDefault="00751EB1" w:rsidP="00751EB1">
      <w:pPr>
        <w:ind w:right="262"/>
        <w:rPr>
          <w:rFonts w:cstheme="minorHAnsi"/>
        </w:rPr>
      </w:pPr>
      <w:r w:rsidRPr="00751EB1">
        <w:rPr>
          <w:rFonts w:cstheme="minorHAnsi"/>
        </w:rPr>
        <w:t xml:space="preserve">MCA requires judgement on how the proposed options will contribute to a series of criteria that are chosen to reflect the benefits and costs associated with each option. Each criterion is assigned a </w:t>
      </w:r>
      <w:r w:rsidRPr="00751EB1">
        <w:rPr>
          <w:rFonts w:cstheme="minorHAnsi"/>
        </w:rPr>
        <w:lastRenderedPageBreak/>
        <w:t>weight reflecting its importance to the policy decision, and a weighted score is then derived for each option. The option with the highest weighted score is the preferred option.</w:t>
      </w:r>
    </w:p>
    <w:p w14:paraId="49E9D364" w14:textId="05F22EBA" w:rsidR="00751EB1" w:rsidRPr="00751EB1" w:rsidRDefault="00751EB1" w:rsidP="00751EB1">
      <w:pPr>
        <w:tabs>
          <w:tab w:val="left" w:pos="4172"/>
        </w:tabs>
        <w:rPr>
          <w:rFonts w:cstheme="minorHAnsi"/>
        </w:rPr>
      </w:pPr>
      <w:r w:rsidRPr="00751EB1">
        <w:rPr>
          <w:rFonts w:cstheme="minorHAnsi"/>
        </w:rPr>
        <w:t xml:space="preserve">The criteria and weightings used to assess options for this RIS are shown in the table below. These draw on the objectives for the Regulations identified in section </w:t>
      </w:r>
      <w:r w:rsidR="00DB414C">
        <w:rPr>
          <w:rFonts w:cstheme="minorHAnsi"/>
        </w:rPr>
        <w:t>3</w:t>
      </w:r>
      <w:r w:rsidRPr="00751EB1">
        <w:rPr>
          <w:rFonts w:cstheme="minorHAnsi"/>
        </w:rPr>
        <w:t xml:space="preserve">. </w:t>
      </w:r>
    </w:p>
    <w:p w14:paraId="2F58C768" w14:textId="40B773CD" w:rsidR="000451F8" w:rsidRDefault="000451F8" w:rsidP="00466F45">
      <w:pPr>
        <w:pStyle w:val="Caption"/>
      </w:pPr>
      <w:r>
        <w:t xml:space="preserve">Table </w:t>
      </w:r>
      <w:fldSimple w:instr=" SEQ Table \* ARABIC ">
        <w:r>
          <w:rPr>
            <w:noProof/>
          </w:rPr>
          <w:t>2</w:t>
        </w:r>
      </w:fldSimple>
      <w:r>
        <w:t xml:space="preserve"> </w:t>
      </w:r>
      <w:r w:rsidRPr="006B756A">
        <w:t>Criteria and weightings</w:t>
      </w:r>
    </w:p>
    <w:tbl>
      <w:tblPr>
        <w:tblStyle w:val="SapereTable"/>
        <w:tblW w:w="5000" w:type="pct"/>
        <w:tblLook w:val="04A0" w:firstRow="1" w:lastRow="0" w:firstColumn="1" w:lastColumn="0" w:noHBand="0" w:noVBand="1"/>
      </w:tblPr>
      <w:tblGrid>
        <w:gridCol w:w="4687"/>
        <w:gridCol w:w="4339"/>
      </w:tblGrid>
      <w:tr w:rsidR="00751EB1" w:rsidRPr="00751EB1" w14:paraId="40CC9266" w14:textId="77777777" w:rsidTr="00605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2C268E3C" w14:textId="77777777" w:rsidR="00751EB1" w:rsidRPr="00751EB1" w:rsidRDefault="00751EB1" w:rsidP="00751EB1">
            <w:pPr>
              <w:keepNext/>
              <w:tabs>
                <w:tab w:val="left" w:pos="4172"/>
              </w:tabs>
              <w:spacing w:before="0"/>
              <w:rPr>
                <w:rFonts w:cstheme="minorHAnsi"/>
                <w:b w:val="0"/>
                <w:bCs/>
                <w:szCs w:val="20"/>
              </w:rPr>
            </w:pPr>
            <w:r w:rsidRPr="00751EB1">
              <w:rPr>
                <w:rFonts w:cstheme="minorHAnsi"/>
                <w:bCs/>
                <w:szCs w:val="20"/>
              </w:rPr>
              <w:t>Criteria</w:t>
            </w:r>
          </w:p>
        </w:tc>
        <w:tc>
          <w:tcPr>
            <w:tcW w:w="0" w:type="pct"/>
          </w:tcPr>
          <w:p w14:paraId="5E2B5E46" w14:textId="77777777" w:rsidR="00751EB1" w:rsidRPr="00751EB1" w:rsidRDefault="00751EB1" w:rsidP="00751EB1">
            <w:pPr>
              <w:keepNext/>
              <w:tabs>
                <w:tab w:val="left" w:pos="4172"/>
              </w:tabs>
              <w:spacing w:before="0"/>
              <w:cnfStyle w:val="100000000000" w:firstRow="1" w:lastRow="0" w:firstColumn="0" w:lastColumn="0" w:oddVBand="0" w:evenVBand="0" w:oddHBand="0" w:evenHBand="0" w:firstRowFirstColumn="0" w:firstRowLastColumn="0" w:lastRowFirstColumn="0" w:lastRowLastColumn="0"/>
              <w:rPr>
                <w:rFonts w:cstheme="minorHAnsi"/>
                <w:b w:val="0"/>
                <w:bCs/>
                <w:szCs w:val="20"/>
              </w:rPr>
            </w:pPr>
            <w:r w:rsidRPr="00751EB1">
              <w:rPr>
                <w:rFonts w:cstheme="minorHAnsi"/>
                <w:bCs/>
                <w:szCs w:val="20"/>
              </w:rPr>
              <w:t>Weighting</w:t>
            </w:r>
          </w:p>
        </w:tc>
      </w:tr>
      <w:tr w:rsidR="00751EB1" w:rsidRPr="00751EB1" w14:paraId="79F8EF21" w14:textId="77777777" w:rsidTr="00605AFA">
        <w:tc>
          <w:tcPr>
            <w:cnfStyle w:val="001000000000" w:firstRow="0" w:lastRow="0" w:firstColumn="1" w:lastColumn="0" w:oddVBand="0" w:evenVBand="0" w:oddHBand="0" w:evenHBand="0" w:firstRowFirstColumn="0" w:firstRowLastColumn="0" w:lastRowFirstColumn="0" w:lastRowLastColumn="0"/>
            <w:tcW w:w="0" w:type="pct"/>
          </w:tcPr>
          <w:p w14:paraId="03192D46" w14:textId="638C361D" w:rsidR="00751EB1" w:rsidRPr="00751EB1" w:rsidRDefault="00751EB1" w:rsidP="00751EB1">
            <w:pPr>
              <w:spacing w:before="120"/>
              <w:ind w:right="262"/>
              <w:rPr>
                <w:rFonts w:cstheme="minorHAnsi"/>
                <w:b w:val="0"/>
                <w:color w:val="auto"/>
                <w:szCs w:val="20"/>
              </w:rPr>
            </w:pPr>
            <w:r w:rsidRPr="00751EB1">
              <w:rPr>
                <w:rFonts w:cstheme="minorHAnsi"/>
                <w:b w:val="0"/>
                <w:color w:val="auto"/>
                <w:szCs w:val="20"/>
              </w:rPr>
              <w:t xml:space="preserve">Protects the safety and quality of care of patients receiving health services in </w:t>
            </w:r>
            <w:r w:rsidR="005A2F80">
              <w:rPr>
                <w:rFonts w:cstheme="minorHAnsi"/>
                <w:b w:val="0"/>
                <w:color w:val="auto"/>
                <w:szCs w:val="20"/>
              </w:rPr>
              <w:t>HSEs</w:t>
            </w:r>
          </w:p>
        </w:tc>
        <w:tc>
          <w:tcPr>
            <w:tcW w:w="0" w:type="pct"/>
          </w:tcPr>
          <w:p w14:paraId="77EA7E37" w14:textId="77777777" w:rsidR="00751EB1" w:rsidRPr="00751EB1" w:rsidRDefault="00751EB1" w:rsidP="00751EB1">
            <w:pPr>
              <w:spacing w:before="120"/>
              <w:ind w:right="262"/>
              <w:cnfStyle w:val="000000000000" w:firstRow="0" w:lastRow="0" w:firstColumn="0" w:lastColumn="0" w:oddVBand="0" w:evenVBand="0" w:oddHBand="0" w:evenHBand="0" w:firstRowFirstColumn="0" w:firstRowLastColumn="0" w:lastRowFirstColumn="0" w:lastRowLastColumn="0"/>
              <w:rPr>
                <w:rFonts w:cstheme="minorHAnsi"/>
                <w:szCs w:val="20"/>
              </w:rPr>
            </w:pPr>
            <w:r w:rsidRPr="00751EB1">
              <w:rPr>
                <w:rFonts w:cstheme="minorHAnsi"/>
                <w:szCs w:val="20"/>
              </w:rPr>
              <w:t>50%</w:t>
            </w:r>
          </w:p>
        </w:tc>
      </w:tr>
      <w:tr w:rsidR="00751EB1" w:rsidRPr="00751EB1" w14:paraId="780245BC" w14:textId="77777777" w:rsidTr="00605AFA">
        <w:trPr>
          <w:trHeight w:val="189"/>
        </w:trPr>
        <w:tc>
          <w:tcPr>
            <w:cnfStyle w:val="001000000000" w:firstRow="0" w:lastRow="0" w:firstColumn="1" w:lastColumn="0" w:oddVBand="0" w:evenVBand="0" w:oddHBand="0" w:evenHBand="0" w:firstRowFirstColumn="0" w:firstRowLastColumn="0" w:lastRowFirstColumn="0" w:lastRowLastColumn="0"/>
            <w:tcW w:w="0" w:type="pct"/>
          </w:tcPr>
          <w:p w14:paraId="5DFAAC2A" w14:textId="0D42700D" w:rsidR="00751EB1" w:rsidRPr="00751EB1" w:rsidRDefault="00751EB1" w:rsidP="00751EB1">
            <w:pPr>
              <w:spacing w:before="120"/>
              <w:ind w:right="262"/>
              <w:rPr>
                <w:rFonts w:cstheme="minorHAnsi"/>
                <w:b w:val="0"/>
                <w:color w:val="auto"/>
                <w:szCs w:val="20"/>
              </w:rPr>
            </w:pPr>
            <w:r w:rsidRPr="00751EB1">
              <w:rPr>
                <w:rFonts w:cstheme="minorHAnsi"/>
                <w:b w:val="0"/>
                <w:color w:val="auto"/>
                <w:szCs w:val="20"/>
              </w:rPr>
              <w:t xml:space="preserve">Cost to </w:t>
            </w:r>
            <w:r w:rsidR="005A2F80">
              <w:rPr>
                <w:rFonts w:cstheme="minorHAnsi"/>
                <w:b w:val="0"/>
                <w:color w:val="auto"/>
                <w:szCs w:val="20"/>
              </w:rPr>
              <w:t>HSEs</w:t>
            </w:r>
            <w:r w:rsidRPr="00751EB1">
              <w:rPr>
                <w:rFonts w:cstheme="minorHAnsi"/>
                <w:b w:val="0"/>
                <w:color w:val="auto"/>
                <w:szCs w:val="20"/>
              </w:rPr>
              <w:t>; and cost to government</w:t>
            </w:r>
          </w:p>
        </w:tc>
        <w:tc>
          <w:tcPr>
            <w:tcW w:w="0" w:type="pct"/>
          </w:tcPr>
          <w:p w14:paraId="74ABA5BD" w14:textId="77777777" w:rsidR="00751EB1" w:rsidRPr="00751EB1" w:rsidRDefault="00751EB1" w:rsidP="00751EB1">
            <w:pPr>
              <w:spacing w:before="120"/>
              <w:ind w:right="262"/>
              <w:cnfStyle w:val="000000000000" w:firstRow="0" w:lastRow="0" w:firstColumn="0" w:lastColumn="0" w:oddVBand="0" w:evenVBand="0" w:oddHBand="0" w:evenHBand="0" w:firstRowFirstColumn="0" w:firstRowLastColumn="0" w:lastRowFirstColumn="0" w:lastRowLastColumn="0"/>
              <w:rPr>
                <w:rFonts w:cstheme="minorHAnsi"/>
                <w:szCs w:val="20"/>
              </w:rPr>
            </w:pPr>
            <w:r w:rsidRPr="00751EB1">
              <w:rPr>
                <w:rFonts w:cstheme="minorHAnsi"/>
                <w:szCs w:val="20"/>
              </w:rPr>
              <w:t>50%</w:t>
            </w:r>
          </w:p>
        </w:tc>
      </w:tr>
    </w:tbl>
    <w:p w14:paraId="7EB33971" w14:textId="323A5063" w:rsidR="00B02AC5" w:rsidRDefault="002E056A" w:rsidP="00751EB1">
      <w:pPr>
        <w:tabs>
          <w:tab w:val="left" w:pos="4172"/>
        </w:tabs>
      </w:pPr>
      <w:r>
        <w:t xml:space="preserve">The criteria </w:t>
      </w:r>
      <w:r w:rsidR="00EB7E7D">
        <w:t>for costs groups costs to HSES and government together, as costs to government are very small.</w:t>
      </w:r>
    </w:p>
    <w:p w14:paraId="0A3A23BA" w14:textId="0BC77A80" w:rsidR="00751EB1" w:rsidRPr="00751EB1" w:rsidRDefault="00751EB1" w:rsidP="00751EB1">
      <w:pPr>
        <w:tabs>
          <w:tab w:val="left" w:pos="4172"/>
        </w:tabs>
      </w:pPr>
      <w:r w:rsidRPr="00751EB1">
        <w:t xml:space="preserve">Each of the feasible options has been scored against each criterion above. The score can range from -10 to +10, with the scores then weighted by the above weightings. The scores reflect how well the option improves (a positive score) or worsens (a negative score) each criterion objective relative to the </w:t>
      </w:r>
      <w:r w:rsidR="005A2F80">
        <w:t>Base Case</w:t>
      </w:r>
      <w:r w:rsidRPr="00751EB1">
        <w:t>.</w:t>
      </w:r>
    </w:p>
    <w:p w14:paraId="3FAACB9F" w14:textId="76B23F52" w:rsidR="00D16FBE" w:rsidRDefault="00D16FBE" w:rsidP="00466F45">
      <w:pPr>
        <w:pStyle w:val="Caption"/>
      </w:pPr>
      <w:r>
        <w:t xml:space="preserve">Table </w:t>
      </w:r>
      <w:fldSimple w:instr=" SEQ Table \* ARABIC ">
        <w:r>
          <w:rPr>
            <w:noProof/>
          </w:rPr>
          <w:t>3</w:t>
        </w:r>
      </w:fldSimple>
      <w:r>
        <w:t xml:space="preserve"> </w:t>
      </w:r>
      <w:r w:rsidRPr="00A97B45">
        <w:t>MCA scale</w:t>
      </w:r>
    </w:p>
    <w:tbl>
      <w:tblPr>
        <w:tblStyle w:val="SapereTable"/>
        <w:tblW w:w="4820" w:type="dxa"/>
        <w:tblLayout w:type="fixed"/>
        <w:tblLook w:val="04A0" w:firstRow="1" w:lastRow="0" w:firstColumn="1" w:lastColumn="0" w:noHBand="0" w:noVBand="1"/>
      </w:tblPr>
      <w:tblGrid>
        <w:gridCol w:w="1134"/>
        <w:gridCol w:w="3686"/>
      </w:tblGrid>
      <w:tr w:rsidR="00751EB1" w:rsidRPr="00751EB1" w14:paraId="73CFAD3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0DAEBDC" w14:textId="77777777" w:rsidR="00751EB1" w:rsidRPr="00751EB1" w:rsidRDefault="00751EB1" w:rsidP="00751EB1">
            <w:pPr>
              <w:tabs>
                <w:tab w:val="left" w:pos="4172"/>
              </w:tabs>
              <w:spacing w:before="0" w:line="240" w:lineRule="auto"/>
              <w:rPr>
                <w:rFonts w:eastAsia="Times New Roman" w:cs="Segoe UI Light"/>
                <w:b w:val="0"/>
                <w:szCs w:val="20"/>
                <w:lang w:val="en-US"/>
              </w:rPr>
            </w:pPr>
            <w:r w:rsidRPr="00751EB1">
              <w:rPr>
                <w:rFonts w:eastAsia="Times New Roman" w:cs="Segoe UI Light"/>
                <w:szCs w:val="20"/>
                <w:lang w:val="en-US"/>
              </w:rPr>
              <w:t>Score</w:t>
            </w:r>
          </w:p>
        </w:tc>
        <w:tc>
          <w:tcPr>
            <w:tcW w:w="3686" w:type="dxa"/>
          </w:tcPr>
          <w:p w14:paraId="39971364" w14:textId="77777777" w:rsidR="00751EB1" w:rsidRPr="00751EB1" w:rsidRDefault="00751EB1" w:rsidP="00751EB1">
            <w:pPr>
              <w:tabs>
                <w:tab w:val="left" w:pos="4172"/>
              </w:tabs>
              <w:spacing w:before="0" w:line="240" w:lineRule="auto"/>
              <w:cnfStyle w:val="100000000000" w:firstRow="1" w:lastRow="0" w:firstColumn="0" w:lastColumn="0" w:oddVBand="0" w:evenVBand="0" w:oddHBand="0" w:evenHBand="0" w:firstRowFirstColumn="0" w:firstRowLastColumn="0" w:lastRowFirstColumn="0" w:lastRowLastColumn="0"/>
              <w:rPr>
                <w:rFonts w:eastAsia="Times New Roman" w:cs="Segoe UI Light"/>
                <w:b w:val="0"/>
                <w:szCs w:val="20"/>
                <w:lang w:val="en-US"/>
              </w:rPr>
            </w:pPr>
            <w:r w:rsidRPr="00751EB1">
              <w:rPr>
                <w:rFonts w:cs="Segoe UI Light"/>
                <w:szCs w:val="20"/>
              </w:rPr>
              <w:t>Description</w:t>
            </w:r>
          </w:p>
        </w:tc>
      </w:tr>
      <w:tr w:rsidR="00751EB1" w:rsidRPr="00751EB1" w14:paraId="14FAAA20" w14:textId="77777777">
        <w:tc>
          <w:tcPr>
            <w:cnfStyle w:val="001000000000" w:firstRow="0" w:lastRow="0" w:firstColumn="1" w:lastColumn="0" w:oddVBand="0" w:evenVBand="0" w:oddHBand="0" w:evenHBand="0" w:firstRowFirstColumn="0" w:firstRowLastColumn="0" w:lastRowFirstColumn="0" w:lastRowLastColumn="0"/>
            <w:tcW w:w="1134" w:type="dxa"/>
          </w:tcPr>
          <w:p w14:paraId="0134A7D8" w14:textId="77777777" w:rsidR="00751EB1" w:rsidRPr="003476CD" w:rsidRDefault="00751EB1" w:rsidP="003476CD">
            <w:pPr>
              <w:tabs>
                <w:tab w:val="left" w:pos="3011"/>
                <w:tab w:val="left" w:pos="4172"/>
              </w:tabs>
              <w:spacing w:before="0" w:line="240" w:lineRule="auto"/>
              <w:ind w:right="-249"/>
              <w:rPr>
                <w:rFonts w:cs="Segoe UI Light"/>
                <w:color w:val="auto"/>
                <w:szCs w:val="20"/>
              </w:rPr>
            </w:pPr>
            <w:r w:rsidRPr="003476CD">
              <w:rPr>
                <w:rFonts w:cs="Segoe UI Light"/>
                <w:color w:val="auto"/>
                <w:szCs w:val="20"/>
              </w:rPr>
              <w:t>-10</w:t>
            </w:r>
          </w:p>
        </w:tc>
        <w:tc>
          <w:tcPr>
            <w:tcW w:w="3686" w:type="dxa"/>
          </w:tcPr>
          <w:p w14:paraId="5C17B7FF" w14:textId="0A52D176" w:rsidR="00751EB1" w:rsidRPr="003476CD" w:rsidRDefault="00751EB1" w:rsidP="00751EB1">
            <w:pPr>
              <w:tabs>
                <w:tab w:val="left" w:pos="3011"/>
                <w:tab w:val="left" w:pos="4172"/>
              </w:tabs>
              <w:spacing w:before="0" w:line="240" w:lineRule="auto"/>
              <w:ind w:right="-249"/>
              <w:jc w:val="both"/>
              <w:cnfStyle w:val="000000000000" w:firstRow="0" w:lastRow="0" w:firstColumn="0" w:lastColumn="0" w:oddVBand="0" w:evenVBand="0" w:oddHBand="0" w:evenHBand="0" w:firstRowFirstColumn="0" w:firstRowLastColumn="0" w:lastRowFirstColumn="0" w:lastRowLastColumn="0"/>
              <w:rPr>
                <w:rFonts w:cs="Segoe UI Light"/>
                <w:color w:val="auto"/>
                <w:szCs w:val="20"/>
              </w:rPr>
            </w:pPr>
            <w:r w:rsidRPr="003476CD">
              <w:rPr>
                <w:rFonts w:cs="Segoe UI Light"/>
                <w:color w:val="auto"/>
                <w:szCs w:val="20"/>
              </w:rPr>
              <w:t xml:space="preserve">Much worse than the </w:t>
            </w:r>
            <w:r w:rsidR="005A2F80" w:rsidRPr="003476CD">
              <w:rPr>
                <w:rFonts w:cs="Segoe UI Light"/>
                <w:color w:val="auto"/>
                <w:szCs w:val="20"/>
              </w:rPr>
              <w:t>Base Case</w:t>
            </w:r>
          </w:p>
        </w:tc>
      </w:tr>
      <w:tr w:rsidR="00751EB1" w:rsidRPr="00751EB1" w14:paraId="5698B142" w14:textId="77777777">
        <w:tc>
          <w:tcPr>
            <w:cnfStyle w:val="001000000000" w:firstRow="0" w:lastRow="0" w:firstColumn="1" w:lastColumn="0" w:oddVBand="0" w:evenVBand="0" w:oddHBand="0" w:evenHBand="0" w:firstRowFirstColumn="0" w:firstRowLastColumn="0" w:lastRowFirstColumn="0" w:lastRowLastColumn="0"/>
            <w:tcW w:w="1134" w:type="dxa"/>
          </w:tcPr>
          <w:p w14:paraId="6F5D4F8F" w14:textId="77777777" w:rsidR="00751EB1" w:rsidRPr="003476CD" w:rsidRDefault="00751EB1" w:rsidP="003476CD">
            <w:pPr>
              <w:tabs>
                <w:tab w:val="left" w:pos="3011"/>
                <w:tab w:val="left" w:pos="4172"/>
              </w:tabs>
              <w:spacing w:before="0" w:line="240" w:lineRule="auto"/>
              <w:ind w:right="-249"/>
              <w:rPr>
                <w:rFonts w:cs="Segoe UI Light"/>
                <w:color w:val="auto"/>
                <w:szCs w:val="20"/>
              </w:rPr>
            </w:pPr>
            <w:r w:rsidRPr="003476CD">
              <w:rPr>
                <w:rFonts w:cs="Segoe UI Light"/>
                <w:color w:val="auto"/>
                <w:szCs w:val="20"/>
              </w:rPr>
              <w:t>-5</w:t>
            </w:r>
          </w:p>
        </w:tc>
        <w:tc>
          <w:tcPr>
            <w:tcW w:w="3686" w:type="dxa"/>
          </w:tcPr>
          <w:p w14:paraId="69C21B28" w14:textId="28F0F2E3" w:rsidR="00751EB1" w:rsidRPr="003476CD" w:rsidRDefault="00751EB1" w:rsidP="00751EB1">
            <w:pPr>
              <w:tabs>
                <w:tab w:val="left" w:pos="3011"/>
                <w:tab w:val="left" w:pos="4172"/>
              </w:tabs>
              <w:spacing w:before="0" w:line="240" w:lineRule="auto"/>
              <w:ind w:right="-249"/>
              <w:jc w:val="both"/>
              <w:cnfStyle w:val="000000000000" w:firstRow="0" w:lastRow="0" w:firstColumn="0" w:lastColumn="0" w:oddVBand="0" w:evenVBand="0" w:oddHBand="0" w:evenHBand="0" w:firstRowFirstColumn="0" w:firstRowLastColumn="0" w:lastRowFirstColumn="0" w:lastRowLastColumn="0"/>
              <w:rPr>
                <w:rFonts w:cs="Segoe UI Light"/>
                <w:color w:val="auto"/>
                <w:szCs w:val="20"/>
              </w:rPr>
            </w:pPr>
            <w:r w:rsidRPr="003476CD">
              <w:rPr>
                <w:rFonts w:cs="Segoe UI Light"/>
                <w:color w:val="auto"/>
                <w:szCs w:val="20"/>
              </w:rPr>
              <w:t xml:space="preserve">Somewhat worse than the </w:t>
            </w:r>
            <w:r w:rsidR="005A2F80" w:rsidRPr="003476CD">
              <w:rPr>
                <w:rFonts w:cs="Segoe UI Light"/>
                <w:color w:val="auto"/>
                <w:szCs w:val="20"/>
              </w:rPr>
              <w:t>Base Case</w:t>
            </w:r>
          </w:p>
        </w:tc>
      </w:tr>
      <w:tr w:rsidR="00751EB1" w:rsidRPr="00751EB1" w14:paraId="64911338" w14:textId="77777777">
        <w:tc>
          <w:tcPr>
            <w:cnfStyle w:val="001000000000" w:firstRow="0" w:lastRow="0" w:firstColumn="1" w:lastColumn="0" w:oddVBand="0" w:evenVBand="0" w:oddHBand="0" w:evenHBand="0" w:firstRowFirstColumn="0" w:firstRowLastColumn="0" w:lastRowFirstColumn="0" w:lastRowLastColumn="0"/>
            <w:tcW w:w="1134" w:type="dxa"/>
          </w:tcPr>
          <w:p w14:paraId="3AD5281D" w14:textId="77777777" w:rsidR="00751EB1" w:rsidRPr="003476CD" w:rsidRDefault="00751EB1" w:rsidP="003476CD">
            <w:pPr>
              <w:tabs>
                <w:tab w:val="left" w:pos="3011"/>
                <w:tab w:val="left" w:pos="4172"/>
              </w:tabs>
              <w:spacing w:before="0" w:line="240" w:lineRule="auto"/>
              <w:ind w:right="-249"/>
              <w:rPr>
                <w:rFonts w:cs="Segoe UI Light"/>
                <w:color w:val="auto"/>
                <w:szCs w:val="20"/>
              </w:rPr>
            </w:pPr>
            <w:r w:rsidRPr="003476CD">
              <w:rPr>
                <w:rFonts w:cs="Segoe UI Light"/>
                <w:color w:val="auto"/>
                <w:szCs w:val="20"/>
              </w:rPr>
              <w:t>0</w:t>
            </w:r>
          </w:p>
        </w:tc>
        <w:tc>
          <w:tcPr>
            <w:tcW w:w="3686" w:type="dxa"/>
          </w:tcPr>
          <w:p w14:paraId="1E70B309" w14:textId="05A34D3F" w:rsidR="00751EB1" w:rsidRPr="003476CD" w:rsidRDefault="00751EB1" w:rsidP="00751EB1">
            <w:pPr>
              <w:tabs>
                <w:tab w:val="left" w:pos="3011"/>
                <w:tab w:val="left" w:pos="4172"/>
              </w:tabs>
              <w:spacing w:before="0" w:line="240" w:lineRule="auto"/>
              <w:ind w:right="-249"/>
              <w:jc w:val="both"/>
              <w:cnfStyle w:val="000000000000" w:firstRow="0" w:lastRow="0" w:firstColumn="0" w:lastColumn="0" w:oddVBand="0" w:evenVBand="0" w:oddHBand="0" w:evenHBand="0" w:firstRowFirstColumn="0" w:firstRowLastColumn="0" w:lastRowFirstColumn="0" w:lastRowLastColumn="0"/>
              <w:rPr>
                <w:rFonts w:cs="Segoe UI Light"/>
                <w:color w:val="auto"/>
                <w:szCs w:val="20"/>
              </w:rPr>
            </w:pPr>
            <w:r w:rsidRPr="003476CD">
              <w:rPr>
                <w:rFonts w:cs="Segoe UI Light"/>
                <w:color w:val="auto"/>
                <w:szCs w:val="20"/>
              </w:rPr>
              <w:t xml:space="preserve">No change from the </w:t>
            </w:r>
            <w:r w:rsidR="005A2F80" w:rsidRPr="003476CD">
              <w:rPr>
                <w:rFonts w:cs="Segoe UI Light"/>
                <w:color w:val="auto"/>
                <w:szCs w:val="20"/>
              </w:rPr>
              <w:t>Base Case</w:t>
            </w:r>
          </w:p>
        </w:tc>
      </w:tr>
      <w:tr w:rsidR="00751EB1" w:rsidRPr="00751EB1" w14:paraId="47C6A4E9" w14:textId="77777777">
        <w:tc>
          <w:tcPr>
            <w:cnfStyle w:val="001000000000" w:firstRow="0" w:lastRow="0" w:firstColumn="1" w:lastColumn="0" w:oddVBand="0" w:evenVBand="0" w:oddHBand="0" w:evenHBand="0" w:firstRowFirstColumn="0" w:firstRowLastColumn="0" w:lastRowFirstColumn="0" w:lastRowLastColumn="0"/>
            <w:tcW w:w="1134" w:type="dxa"/>
          </w:tcPr>
          <w:p w14:paraId="2C9B38F7" w14:textId="77777777" w:rsidR="00751EB1" w:rsidRPr="003476CD" w:rsidRDefault="00751EB1" w:rsidP="003476CD">
            <w:pPr>
              <w:tabs>
                <w:tab w:val="left" w:pos="3011"/>
                <w:tab w:val="left" w:pos="4172"/>
              </w:tabs>
              <w:spacing w:before="0" w:line="240" w:lineRule="auto"/>
              <w:ind w:right="-249"/>
              <w:rPr>
                <w:rFonts w:cs="Segoe UI Light"/>
                <w:color w:val="auto"/>
                <w:szCs w:val="20"/>
              </w:rPr>
            </w:pPr>
            <w:r w:rsidRPr="003476CD">
              <w:rPr>
                <w:rFonts w:cs="Segoe UI Light"/>
                <w:color w:val="auto"/>
                <w:szCs w:val="20"/>
              </w:rPr>
              <w:t>+5</w:t>
            </w:r>
          </w:p>
        </w:tc>
        <w:tc>
          <w:tcPr>
            <w:tcW w:w="3686" w:type="dxa"/>
          </w:tcPr>
          <w:p w14:paraId="59E52B9A" w14:textId="29AE400E" w:rsidR="00751EB1" w:rsidRPr="003476CD" w:rsidRDefault="00751EB1" w:rsidP="00751EB1">
            <w:pPr>
              <w:tabs>
                <w:tab w:val="left" w:pos="3011"/>
                <w:tab w:val="left" w:pos="4172"/>
              </w:tabs>
              <w:spacing w:before="0" w:line="240" w:lineRule="auto"/>
              <w:ind w:right="-249"/>
              <w:jc w:val="both"/>
              <w:cnfStyle w:val="000000000000" w:firstRow="0" w:lastRow="0" w:firstColumn="0" w:lastColumn="0" w:oddVBand="0" w:evenVBand="0" w:oddHBand="0" w:evenHBand="0" w:firstRowFirstColumn="0" w:firstRowLastColumn="0" w:lastRowFirstColumn="0" w:lastRowLastColumn="0"/>
              <w:rPr>
                <w:rFonts w:cs="Segoe UI Light"/>
                <w:color w:val="auto"/>
                <w:szCs w:val="20"/>
              </w:rPr>
            </w:pPr>
            <w:r w:rsidRPr="003476CD">
              <w:rPr>
                <w:rFonts w:cs="Segoe UI Light"/>
                <w:color w:val="auto"/>
                <w:szCs w:val="20"/>
              </w:rPr>
              <w:t xml:space="preserve">Somewhat better than the </w:t>
            </w:r>
            <w:r w:rsidR="005A2F80" w:rsidRPr="003476CD">
              <w:rPr>
                <w:rFonts w:cs="Segoe UI Light"/>
                <w:color w:val="auto"/>
                <w:szCs w:val="20"/>
              </w:rPr>
              <w:t>Base Case</w:t>
            </w:r>
          </w:p>
        </w:tc>
      </w:tr>
      <w:tr w:rsidR="00751EB1" w:rsidRPr="00751EB1" w14:paraId="76B2E4D0" w14:textId="77777777">
        <w:tc>
          <w:tcPr>
            <w:cnfStyle w:val="001000000000" w:firstRow="0" w:lastRow="0" w:firstColumn="1" w:lastColumn="0" w:oddVBand="0" w:evenVBand="0" w:oddHBand="0" w:evenHBand="0" w:firstRowFirstColumn="0" w:firstRowLastColumn="0" w:lastRowFirstColumn="0" w:lastRowLastColumn="0"/>
            <w:tcW w:w="1134" w:type="dxa"/>
          </w:tcPr>
          <w:p w14:paraId="2AB1630D" w14:textId="77777777" w:rsidR="00751EB1" w:rsidRPr="003476CD" w:rsidRDefault="00751EB1" w:rsidP="003476CD">
            <w:pPr>
              <w:tabs>
                <w:tab w:val="left" w:pos="3011"/>
                <w:tab w:val="left" w:pos="4172"/>
              </w:tabs>
              <w:spacing w:before="0" w:line="240" w:lineRule="auto"/>
              <w:ind w:right="-249"/>
              <w:rPr>
                <w:rFonts w:cs="Segoe UI Light"/>
                <w:color w:val="auto"/>
                <w:szCs w:val="20"/>
              </w:rPr>
            </w:pPr>
            <w:r w:rsidRPr="003476CD">
              <w:rPr>
                <w:rFonts w:cs="Segoe UI Light"/>
                <w:color w:val="auto"/>
                <w:szCs w:val="20"/>
              </w:rPr>
              <w:t>+10</w:t>
            </w:r>
          </w:p>
        </w:tc>
        <w:tc>
          <w:tcPr>
            <w:tcW w:w="3686" w:type="dxa"/>
          </w:tcPr>
          <w:p w14:paraId="7231AC7B" w14:textId="4630248E" w:rsidR="00751EB1" w:rsidRPr="003476CD" w:rsidRDefault="00751EB1" w:rsidP="00751EB1">
            <w:pPr>
              <w:tabs>
                <w:tab w:val="left" w:pos="3011"/>
                <w:tab w:val="left" w:pos="4172"/>
              </w:tabs>
              <w:spacing w:before="0" w:line="240" w:lineRule="auto"/>
              <w:ind w:right="-249"/>
              <w:jc w:val="both"/>
              <w:cnfStyle w:val="000000000000" w:firstRow="0" w:lastRow="0" w:firstColumn="0" w:lastColumn="0" w:oddVBand="0" w:evenVBand="0" w:oddHBand="0" w:evenHBand="0" w:firstRowFirstColumn="0" w:firstRowLastColumn="0" w:lastRowFirstColumn="0" w:lastRowLastColumn="0"/>
              <w:rPr>
                <w:rFonts w:cs="Segoe UI Light"/>
                <w:color w:val="auto"/>
                <w:szCs w:val="20"/>
              </w:rPr>
            </w:pPr>
            <w:r w:rsidRPr="003476CD">
              <w:rPr>
                <w:rFonts w:cs="Segoe UI Light"/>
                <w:color w:val="auto"/>
                <w:szCs w:val="20"/>
              </w:rPr>
              <w:t xml:space="preserve">Much better than the </w:t>
            </w:r>
            <w:r w:rsidR="005A2F80" w:rsidRPr="003476CD">
              <w:rPr>
                <w:rFonts w:cs="Segoe UI Light"/>
                <w:color w:val="auto"/>
                <w:szCs w:val="20"/>
              </w:rPr>
              <w:t>Base Case</w:t>
            </w:r>
          </w:p>
        </w:tc>
      </w:tr>
    </w:tbl>
    <w:p w14:paraId="233A24E0" w14:textId="53A60748" w:rsidR="0028659B" w:rsidRPr="0028659B" w:rsidRDefault="0028659B" w:rsidP="0028659B">
      <w:pPr>
        <w:pStyle w:val="Heading5"/>
      </w:pPr>
      <w:bookmarkStart w:id="33" w:name="_Ref153528507"/>
      <w:bookmarkStart w:id="34" w:name="_Toc165287600"/>
      <w:r w:rsidRPr="0028659B">
        <w:rPr>
          <w:noProof/>
          <w:szCs w:val="20"/>
        </w:rPr>
        <w:lastRenderedPageBreak/>
        <mc:AlternateContent>
          <mc:Choice Requires="wps">
            <w:drawing>
              <wp:anchor distT="45720" distB="45720" distL="114300" distR="114300" simplePos="0" relativeHeight="251658247" behindDoc="0" locked="0" layoutInCell="1" allowOverlap="1" wp14:anchorId="01B79D4E" wp14:editId="67E1D0CB">
                <wp:simplePos x="0" y="0"/>
                <wp:positionH relativeFrom="margin">
                  <wp:align>right</wp:align>
                </wp:positionH>
                <wp:positionV relativeFrom="paragraph">
                  <wp:posOffset>472440</wp:posOffset>
                </wp:positionV>
                <wp:extent cx="5717540" cy="584200"/>
                <wp:effectExtent l="0" t="0" r="16510" b="2540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584200"/>
                        </a:xfrm>
                        <a:prstGeom prst="rect">
                          <a:avLst/>
                        </a:prstGeom>
                        <a:solidFill>
                          <a:srgbClr val="EEECE1"/>
                        </a:solidFill>
                        <a:ln w="9525">
                          <a:solidFill>
                            <a:sysClr val="window" lastClr="FFFFFF"/>
                          </a:solidFill>
                          <a:miter lim="800000"/>
                          <a:headEnd/>
                          <a:tailEnd/>
                        </a:ln>
                      </wps:spPr>
                      <wps:txbx>
                        <w:txbxContent>
                          <w:p w14:paraId="5E4EC8D8" w14:textId="77777777" w:rsidR="0028659B" w:rsidRPr="00BC28BB" w:rsidRDefault="0028659B" w:rsidP="003476CD">
                            <w:pPr>
                              <w:shd w:val="clear" w:color="auto" w:fill="EEECE1" w:themeFill="background2"/>
                              <w:spacing w:after="0"/>
                              <w:rPr>
                                <w:lang w:val="en-AU"/>
                              </w:rPr>
                            </w:pPr>
                            <w:r>
                              <w:rPr>
                                <w:lang w:val="en-AU"/>
                              </w:rPr>
                              <w:t xml:space="preserve">Strengthening of the department’s ability to review and monitor clinical governance protocols under regulation 7A is proposed.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79D4E" id="Text Box 29" o:spid="_x0000_s1074" type="#_x0000_t202" style="position:absolute;left:0;text-align:left;margin-left:399pt;margin-top:37.2pt;width:450.2pt;height:46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" fillcolor="#eeece1" strokecolor="window">
                <v:textbox>
                  <w:txbxContent>
                    <w:p w14:paraId="5E4EC8D8" w14:textId="77777777" w:rsidR="0028659B" w:rsidRPr="00BC28BB" w:rsidRDefault="0028659B" w:rsidP="003476CD">
                      <w:pPr>
                        <w:shd w:val="clear" w:color="auto" w:fill="EEECE1" w:themeFill="background2"/>
                        <w:spacing w:after="0"/>
                        <w:rPr>
                          <w:lang w:val="en-AU"/>
                        </w:rPr>
                      </w:pPr>
                      <w:r>
                        <w:rPr>
                          <w:lang w:val="en-AU"/>
                        </w:rPr>
                        <w:t xml:space="preserve">Strengthening of the department’s ability to review and monitor clinical governance protocols under regulation 7A is proposed. </w:t>
                      </w:r>
                    </w:p>
                  </w:txbxContent>
                </v:textbox>
                <w10:wrap type="square" anchorx="margin"/>
              </v:shape>
            </w:pict>
          </mc:Fallback>
        </mc:AlternateContent>
      </w:r>
      <w:r w:rsidRPr="0028659B">
        <w:t>Clinical governance</w:t>
      </w:r>
      <w:bookmarkEnd w:id="34"/>
    </w:p>
    <w:p w14:paraId="4CEF169B" w14:textId="77777777" w:rsidR="0028659B" w:rsidRPr="0028659B" w:rsidRDefault="0028659B" w:rsidP="00E033F1">
      <w:pPr>
        <w:pStyle w:val="Heading6"/>
      </w:pPr>
      <w:r w:rsidRPr="0028659B">
        <w:t>The nature and extent of the problem to be addressed</w:t>
      </w:r>
    </w:p>
    <w:p w14:paraId="0B430C75" w14:textId="77777777" w:rsidR="0028659B" w:rsidRPr="0028659B" w:rsidRDefault="0028659B" w:rsidP="0028659B">
      <w:r w:rsidRPr="0028659B">
        <w:t xml:space="preserve">The underlying problem being addressed is that there is evidence of some facilities not meeting expectations for sound clinical governance without close engagement and oversight through the accreditation process or through risk-based compliance monitoring by the regulator under the Act and Regulations.  </w:t>
      </w:r>
    </w:p>
    <w:p w14:paraId="2641974F" w14:textId="77777777" w:rsidR="0028659B" w:rsidRPr="0028659B" w:rsidRDefault="0028659B" w:rsidP="0028659B">
      <w:r w:rsidRPr="0028659B">
        <w:t xml:space="preserve">According to the Commission’s National Model Clinical Governance Framework, clinical governance is: </w:t>
      </w:r>
    </w:p>
    <w:p w14:paraId="3D566B05" w14:textId="77777777" w:rsidR="0028659B" w:rsidRPr="0028659B" w:rsidRDefault="0028659B" w:rsidP="0028659B">
      <w:pPr>
        <w:ind w:left="567"/>
        <w:rPr>
          <w:i/>
          <w:iCs/>
        </w:rPr>
      </w:pPr>
      <w:r w:rsidRPr="0028659B">
        <w:rPr>
          <w:i/>
          <w:iCs/>
        </w:rPr>
        <w:t xml:space="preserve">…the set of relationships and responsibilities established by a health service organisation between its department of health (for the public sector), governing body, executive, workforce, patients and consumers, and other stakeholders to deliver safe and high-quality health care. It ensures that the community and health service organisations can be confident that systems are in place to deliver safe and high-quality health care, and continuously improve services. </w:t>
      </w:r>
    </w:p>
    <w:p w14:paraId="375476EF" w14:textId="77777777" w:rsidR="0028659B" w:rsidRPr="0028659B" w:rsidRDefault="0028659B" w:rsidP="0028659B">
      <w:r w:rsidRPr="0028659B">
        <w:t xml:space="preserve">Clinical governance is well established as a key foundation for mitigating risks and supporting service quality and safety. Implementation of effective clinical governance can identify and manage clinical risks for patients, prevent harm, and improve the processes of clinical care, leading to better clinical outcomes and improved wellbeing. </w:t>
      </w:r>
    </w:p>
    <w:p w14:paraId="3E6379AE" w14:textId="77777777" w:rsidR="0028659B" w:rsidRPr="0028659B" w:rsidRDefault="0028659B" w:rsidP="0028659B">
      <w:r w:rsidRPr="0028659B">
        <w:t>In its submission to DH’s Discussion Paper, the Commission says:</w:t>
      </w:r>
    </w:p>
    <w:p w14:paraId="093FCD4C" w14:textId="77777777" w:rsidR="0028659B" w:rsidRPr="0028659B" w:rsidRDefault="0028659B" w:rsidP="0028659B">
      <w:pPr>
        <w:spacing w:before="120" w:after="120"/>
        <w:ind w:left="567"/>
        <w:rPr>
          <w:i/>
          <w:iCs/>
          <w:szCs w:val="20"/>
        </w:rPr>
      </w:pPr>
      <w:r w:rsidRPr="0028659B">
        <w:rPr>
          <w:i/>
          <w:iCs/>
          <w:szCs w:val="20"/>
        </w:rPr>
        <w:t>With the NSQHS Standards and a clinical governance framework in place, health service organisations reduce the risk of harm to patients from hospital-acquired infections, the wrong medicines, falls, pressure injuries, or failures to communicate or identify and manage acute deterioration. They can also ensure better care for Aboriginal and Torres Strait Islander people and patients with cognitive impairment, mental illness or at the end of life.</w:t>
      </w:r>
      <w:r w:rsidRPr="000D17F7">
        <w:rPr>
          <w:rStyle w:val="FootnoteReference"/>
        </w:rPr>
        <w:footnoteReference w:id="41"/>
      </w:r>
    </w:p>
    <w:p w14:paraId="6FB3A237" w14:textId="77777777" w:rsidR="0028659B" w:rsidRPr="0028659B" w:rsidRDefault="0028659B" w:rsidP="0028659B">
      <w:r w:rsidRPr="0028659B">
        <w:t>The Commission has identified clinical governance as a preventive barrier to stop sentinel events from occurring.</w:t>
      </w:r>
      <w:r w:rsidRPr="000D17F7">
        <w:rPr>
          <w:rStyle w:val="FootnoteReference"/>
        </w:rPr>
        <w:footnoteReference w:id="42"/>
      </w:r>
    </w:p>
    <w:p w14:paraId="59630E5E" w14:textId="0A04DC06" w:rsidR="0028659B" w:rsidRPr="0028659B" w:rsidRDefault="0028659B" w:rsidP="0028659B">
      <w:r w:rsidRPr="0028659B">
        <w:t xml:space="preserve">In 2015, in a national survey of public and private health services (coordinated by the Commission) about the impacts of the Standards on safety and quality governance approximately 76% said that </w:t>
      </w:r>
      <w:r w:rsidRPr="0028659B">
        <w:lastRenderedPageBreak/>
        <w:t>patient safety had improved, and 64% said that the quality of patient care at their health service had improved.</w:t>
      </w:r>
      <w:r w:rsidRPr="000D17F7">
        <w:rPr>
          <w:rStyle w:val="FootnoteReference"/>
        </w:rPr>
        <w:footnoteReference w:id="43"/>
      </w:r>
    </w:p>
    <w:p w14:paraId="482B05B0" w14:textId="77777777" w:rsidR="0028659B" w:rsidRPr="0028659B" w:rsidRDefault="0028659B" w:rsidP="0028659B">
      <w:pPr>
        <w:rPr>
          <w:i/>
          <w:iCs/>
        </w:rPr>
      </w:pPr>
      <w:r w:rsidRPr="0028659B">
        <w:rPr>
          <w:i/>
          <w:iCs/>
        </w:rPr>
        <w:t>Concerns about performance against NSQHS Clinical Governance Standard</w:t>
      </w:r>
    </w:p>
    <w:p w14:paraId="35860D1A" w14:textId="77797C83" w:rsidR="0028659B" w:rsidRPr="0028659B" w:rsidRDefault="0028659B" w:rsidP="0028659B">
      <w:pPr>
        <w:ind w:right="567"/>
        <w:jc w:val="both"/>
      </w:pPr>
      <w:r w:rsidRPr="0028659B">
        <w:t xml:space="preserve">The Clinical Governance Standard requires HSEs to define and implement a clinical governance framework that ensures </w:t>
      </w:r>
      <w:r w:rsidR="00531DFB">
        <w:t>HSEs have safety and quality systems in place to minimise risks of patient harm</w:t>
      </w:r>
      <w:r w:rsidRPr="0028659B">
        <w:t xml:space="preserve"> (based on the 33 action points prescribed under the Standard).</w:t>
      </w:r>
    </w:p>
    <w:p w14:paraId="1A07C0BC" w14:textId="7410B49F" w:rsidR="0028659B" w:rsidRPr="0028659B" w:rsidRDefault="00E5191B" w:rsidP="0028659B">
      <w:r>
        <w:t>The</w:t>
      </w:r>
      <w:r w:rsidR="0028659B" w:rsidRPr="0028659B">
        <w:t xml:space="preserve"> Clinical Governance Standard </w:t>
      </w:r>
      <w:r w:rsidR="00A67A71">
        <w:t>is assessed against evidence of performance of the HSEs</w:t>
      </w:r>
      <w:r w:rsidR="00A67A71" w:rsidRPr="0028659B" w:rsidDel="00A67A71">
        <w:t xml:space="preserve"> </w:t>
      </w:r>
      <w:r w:rsidR="0028659B" w:rsidRPr="0028659B">
        <w:t xml:space="preserve">self-defined clinical governance framework. </w:t>
      </w:r>
      <w:r w:rsidR="00B20DF9">
        <w:t>At</w:t>
      </w:r>
      <w:r w:rsidR="0028659B" w:rsidRPr="0028659B">
        <w:t xml:space="preserve"> initial assessment, the accrediting agency </w:t>
      </w:r>
      <w:r w:rsidR="00B20DF9">
        <w:t>rate</w:t>
      </w:r>
      <w:r w:rsidR="00B20DF9" w:rsidRPr="0028659B">
        <w:t xml:space="preserve"> </w:t>
      </w:r>
      <w:r w:rsidR="0028659B" w:rsidRPr="0028659B">
        <w:t>actions for a HSE as ‘not met’, ‘met with recommendations’, ‘met’, not applicable or not assessed</w:t>
      </w:r>
      <w:r w:rsidR="00CA326D">
        <w:t xml:space="preserve"> for each</w:t>
      </w:r>
      <w:r w:rsidR="00CA326D" w:rsidRPr="0028659B">
        <w:t xml:space="preserve"> Standard</w:t>
      </w:r>
      <w:r w:rsidR="0028659B" w:rsidRPr="000D17F7">
        <w:rPr>
          <w:rStyle w:val="FootnoteReference"/>
        </w:rPr>
        <w:footnoteReference w:id="44"/>
      </w:r>
      <w:r w:rsidR="0028659B" w:rsidRPr="0028659B">
        <w:t xml:space="preserve">. When a HSE is awarded ‘not met’ and/or ‘met with recommendation’ rating/s, </w:t>
      </w:r>
      <w:r w:rsidR="00A62D17">
        <w:t xml:space="preserve">there is </w:t>
      </w:r>
      <w:r w:rsidR="0028659B" w:rsidRPr="0028659B">
        <w:t xml:space="preserve">a remediation period of 65 business days from the initial assessment. </w:t>
      </w:r>
      <w:r w:rsidR="00A62D17">
        <w:t>A</w:t>
      </w:r>
      <w:r w:rsidR="0028659B" w:rsidRPr="0028659B">
        <w:t xml:space="preserve">t the end of the remediation period, </w:t>
      </w:r>
      <w:r w:rsidR="00687B6A">
        <w:t xml:space="preserve">a final assessment is conducted, and a determination made on the awarding of </w:t>
      </w:r>
      <w:r w:rsidR="00687B6A" w:rsidRPr="00CC522B">
        <w:t>accreditation</w:t>
      </w:r>
      <w:r w:rsidR="00687B6A">
        <w:t xml:space="preserve">. All assessed actions must be met for accreditation to be awarded. </w:t>
      </w:r>
      <w:r w:rsidR="00687B6A" w:rsidRPr="00CC522B">
        <w:t xml:space="preserve">If </w:t>
      </w:r>
      <w:r w:rsidR="00687B6A">
        <w:t xml:space="preserve">one or more </w:t>
      </w:r>
      <w:r w:rsidR="00687B6A" w:rsidRPr="00CC522B">
        <w:t>action</w:t>
      </w:r>
      <w:r w:rsidR="00AB6775">
        <w:t>s</w:t>
      </w:r>
      <w:r w:rsidR="00687B6A">
        <w:t xml:space="preserve"> </w:t>
      </w:r>
      <w:r w:rsidR="00687B6A" w:rsidRPr="00CC522B">
        <w:t>are not met</w:t>
      </w:r>
      <w:r w:rsidR="00687B6A">
        <w:t xml:space="preserve"> following final assessment</w:t>
      </w:r>
      <w:r w:rsidR="0028659B" w:rsidRPr="0028659B">
        <w:t>, accreditation is not awarded or is withdrawn.</w:t>
      </w:r>
      <w:r w:rsidR="0028659B" w:rsidRPr="000D17F7">
        <w:rPr>
          <w:rStyle w:val="FootnoteReference"/>
        </w:rPr>
        <w:footnoteReference w:id="45"/>
      </w:r>
      <w:r w:rsidR="0028659B" w:rsidRPr="0028659B">
        <w:t xml:space="preserve"> </w:t>
      </w:r>
    </w:p>
    <w:p w14:paraId="36799FC6" w14:textId="7B0E6B0E" w:rsidR="0028659B" w:rsidRPr="0028659B" w:rsidRDefault="00284833" w:rsidP="0028659B">
      <w:r>
        <w:t xml:space="preserve">Between January 2019 and October 2023, </w:t>
      </w:r>
      <w:r w:rsidR="0028659B" w:rsidRPr="0028659B">
        <w:t>80% of the 170 Victorian HSEs assessed had all actions assessed as ‘met’ or ‘met with recommendations’ at the initial assessment</w:t>
      </w:r>
      <w:r w:rsidR="00DC4C50">
        <w:t>.</w:t>
      </w:r>
      <w:r w:rsidR="00DB414C">
        <w:rPr>
          <w:rStyle w:val="FootnoteReference"/>
        </w:rPr>
        <w:footnoteReference w:id="46"/>
      </w:r>
    </w:p>
    <w:p w14:paraId="326CEE37" w14:textId="06C06641" w:rsidR="00EA07C4" w:rsidRDefault="0028659B" w:rsidP="00EA07C4">
      <w:pPr>
        <w:pStyle w:val="Caption"/>
        <w:spacing w:before="0"/>
        <w:rPr>
          <w:color w:val="auto"/>
          <w:sz w:val="20"/>
          <w:szCs w:val="22"/>
        </w:rPr>
      </w:pPr>
      <w:r w:rsidRPr="00466F45">
        <w:rPr>
          <w:color w:val="auto"/>
          <w:sz w:val="20"/>
        </w:rPr>
        <w:t>H</w:t>
      </w:r>
      <w:r w:rsidRPr="00466F45">
        <w:rPr>
          <w:color w:val="auto"/>
          <w:sz w:val="20"/>
          <w:szCs w:val="22"/>
        </w:rPr>
        <w:t xml:space="preserve">owever, </w:t>
      </w:r>
      <w:r w:rsidR="00DC4C50" w:rsidRPr="00466F45">
        <w:rPr>
          <w:color w:val="auto"/>
          <w:sz w:val="20"/>
          <w:szCs w:val="22"/>
        </w:rPr>
        <w:t xml:space="preserve">analysis of </w:t>
      </w:r>
      <w:r w:rsidRPr="00466F45">
        <w:rPr>
          <w:color w:val="auto"/>
          <w:sz w:val="20"/>
          <w:szCs w:val="22"/>
        </w:rPr>
        <w:t xml:space="preserve">at the Clinical Governance Standard, at initial assessment </w:t>
      </w:r>
      <w:r w:rsidR="00DC4C50" w:rsidRPr="00466F45">
        <w:rPr>
          <w:color w:val="auto"/>
          <w:sz w:val="20"/>
          <w:szCs w:val="22"/>
        </w:rPr>
        <w:t xml:space="preserve">shows </w:t>
      </w:r>
      <w:r w:rsidRPr="00466F45">
        <w:rPr>
          <w:color w:val="auto"/>
          <w:sz w:val="20"/>
          <w:szCs w:val="22"/>
        </w:rPr>
        <w:t xml:space="preserve">less than half (47%) were </w:t>
      </w:r>
      <w:r w:rsidR="00DC4C50" w:rsidRPr="00466F45">
        <w:rPr>
          <w:color w:val="auto"/>
          <w:sz w:val="20"/>
          <w:szCs w:val="22"/>
        </w:rPr>
        <w:t>rated</w:t>
      </w:r>
      <w:r w:rsidRPr="00466F45">
        <w:rPr>
          <w:color w:val="auto"/>
          <w:sz w:val="20"/>
          <w:szCs w:val="22"/>
        </w:rPr>
        <w:t xml:space="preserve"> ‘met’ </w:t>
      </w:r>
      <w:r w:rsidR="00031116" w:rsidRPr="00466F45">
        <w:rPr>
          <w:color w:val="auto"/>
          <w:sz w:val="20"/>
          <w:szCs w:val="22"/>
        </w:rPr>
        <w:t xml:space="preserve">for all actions in </w:t>
      </w:r>
      <w:r w:rsidRPr="00466F45">
        <w:rPr>
          <w:color w:val="auto"/>
          <w:sz w:val="20"/>
          <w:szCs w:val="22"/>
        </w:rPr>
        <w:t>this Standard</w:t>
      </w:r>
      <w:r w:rsidR="00031116" w:rsidRPr="00466F45">
        <w:rPr>
          <w:color w:val="auto"/>
          <w:sz w:val="20"/>
          <w:szCs w:val="22"/>
        </w:rPr>
        <w:t>. A</w:t>
      </w:r>
      <w:r w:rsidRPr="00466F45">
        <w:rPr>
          <w:color w:val="auto"/>
          <w:sz w:val="20"/>
          <w:szCs w:val="22"/>
        </w:rPr>
        <w:t xml:space="preserve"> further 35% achieving ‘met with recommendations’ (see Figure 3). Breaking this down, 64% of private hospitals and 37% of day procedure services achiev</w:t>
      </w:r>
      <w:r w:rsidR="00B225CC" w:rsidRPr="00466F45">
        <w:rPr>
          <w:color w:val="auto"/>
          <w:sz w:val="20"/>
          <w:szCs w:val="22"/>
        </w:rPr>
        <w:t>ed</w:t>
      </w:r>
      <w:r w:rsidRPr="00466F45">
        <w:rPr>
          <w:color w:val="auto"/>
          <w:sz w:val="20"/>
          <w:szCs w:val="22"/>
        </w:rPr>
        <w:t xml:space="preserve"> a ‘met’ assessment initially against the NSQHS Clinical Governance Standard, indicat</w:t>
      </w:r>
      <w:r w:rsidR="00286643" w:rsidRPr="00466F45">
        <w:rPr>
          <w:color w:val="auto"/>
          <w:sz w:val="20"/>
          <w:szCs w:val="22"/>
        </w:rPr>
        <w:t>ing</w:t>
      </w:r>
      <w:r w:rsidRPr="00466F45">
        <w:rPr>
          <w:color w:val="auto"/>
          <w:sz w:val="20"/>
          <w:szCs w:val="22"/>
        </w:rPr>
        <w:t xml:space="preserve"> performance </w:t>
      </w:r>
      <w:r w:rsidR="00286643" w:rsidRPr="00466F45">
        <w:rPr>
          <w:color w:val="auto"/>
          <w:sz w:val="20"/>
          <w:szCs w:val="22"/>
        </w:rPr>
        <w:t>wa</w:t>
      </w:r>
      <w:r w:rsidRPr="00466F45">
        <w:rPr>
          <w:color w:val="auto"/>
          <w:sz w:val="20"/>
          <w:szCs w:val="22"/>
        </w:rPr>
        <w:t>s a relatively greater issue for day procedure services.</w:t>
      </w:r>
    </w:p>
    <w:p w14:paraId="0A0012BE" w14:textId="77777777" w:rsidR="00E9403B" w:rsidRPr="00E9403B" w:rsidRDefault="00E9403B" w:rsidP="00466F45"/>
    <w:p w14:paraId="684F7FE6" w14:textId="2E4AEE7B" w:rsidR="00EA07C4" w:rsidRPr="00AC1D8E" w:rsidRDefault="00C12B30" w:rsidP="00EA07C4">
      <w:pPr>
        <w:pStyle w:val="Caption"/>
        <w:spacing w:before="0"/>
      </w:pPr>
      <w:r w:rsidRPr="00E86CE4">
        <w:rPr>
          <w:noProof/>
          <w:color w:val="auto"/>
          <w:sz w:val="20"/>
        </w:rPr>
        <w:lastRenderedPageBreak/>
        <w:drawing>
          <wp:anchor distT="0" distB="0" distL="114300" distR="114300" simplePos="0" relativeHeight="251658248" behindDoc="0" locked="0" layoutInCell="1" allowOverlap="1" wp14:anchorId="1B82A81D" wp14:editId="060EE6EC">
            <wp:simplePos x="0" y="0"/>
            <wp:positionH relativeFrom="margin">
              <wp:posOffset>139700</wp:posOffset>
            </wp:positionH>
            <wp:positionV relativeFrom="paragraph">
              <wp:posOffset>406400</wp:posOffset>
            </wp:positionV>
            <wp:extent cx="5422900" cy="2882900"/>
            <wp:effectExtent l="0" t="0" r="0" b="0"/>
            <wp:wrapTopAndBottom/>
            <wp:docPr id="45" name="Chart 45">
              <a:extLst xmlns:a="http://schemas.openxmlformats.org/drawingml/2006/main">
                <a:ext uri="{FF2B5EF4-FFF2-40B4-BE49-F238E27FC236}">
                  <a16:creationId xmlns:a16="http://schemas.microsoft.com/office/drawing/2014/main" id="{E44E2518-F19A-489E-AAC2-CAE42A582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EA07C4" w:rsidRPr="00AC1D8E">
        <w:t xml:space="preserve"> Figure </w:t>
      </w:r>
      <w:r w:rsidR="00AB6775">
        <w:t>3</w:t>
      </w:r>
      <w:r w:rsidR="00AB6775" w:rsidRPr="00AC1D8E">
        <w:t xml:space="preserve"> </w:t>
      </w:r>
      <w:r w:rsidR="00EA07C4" w:rsidRPr="00AC1D8E">
        <w:t>Outcome at initial assessment by Standard (Victorian private hospitals and day procedure centres), assessments finalised between January 2019 and October 2023</w:t>
      </w:r>
    </w:p>
    <w:p w14:paraId="1C225BA0" w14:textId="2452FF5E" w:rsidR="003B7C93" w:rsidRDefault="003B7C93" w:rsidP="00466F45">
      <w:pPr>
        <w:keepNext/>
        <w:spacing w:before="120"/>
      </w:pPr>
    </w:p>
    <w:p w14:paraId="6A279112" w14:textId="4F28C410" w:rsidR="0028659B" w:rsidRPr="0028659B" w:rsidRDefault="0028659B" w:rsidP="00286643">
      <w:pPr>
        <w:keepNext/>
      </w:pPr>
      <w:r w:rsidRPr="0028659B">
        <w:t xml:space="preserve">Two of the Top 5 Actions related to clinical governance most frequently rated as ‘not met’ </w:t>
      </w:r>
      <w:r w:rsidR="00EF4E25">
        <w:t>at</w:t>
      </w:r>
      <w:r w:rsidRPr="0028659B">
        <w:t xml:space="preserve"> initial assessment during the same period as the data above. These are outlined in Table </w:t>
      </w:r>
      <w:r w:rsidR="00111CFC">
        <w:t>4</w:t>
      </w:r>
      <w:r w:rsidRPr="0028659B">
        <w:t>.</w:t>
      </w:r>
      <w:r w:rsidRPr="000D17F7">
        <w:rPr>
          <w:rStyle w:val="FootnoteReference"/>
        </w:rPr>
        <w:footnoteReference w:id="47"/>
      </w:r>
      <w:r w:rsidRPr="0028659B">
        <w:t xml:space="preserve"> </w:t>
      </w:r>
    </w:p>
    <w:p w14:paraId="5BD4D6B9" w14:textId="675CBDF2" w:rsidR="0028659B" w:rsidRDefault="0028659B" w:rsidP="00466F45">
      <w:pPr>
        <w:pStyle w:val="Caption"/>
      </w:pPr>
      <w:r>
        <w:t xml:space="preserve">Table </w:t>
      </w:r>
      <w:r w:rsidR="002B5D83">
        <w:fldChar w:fldCharType="begin"/>
      </w:r>
      <w:r w:rsidR="002B5D83">
        <w:rPr>
          <w:iCs w:val="0"/>
        </w:rPr>
        <w:instrText xml:space="preserve"> SEQ Table \* ARABIC </w:instrText>
      </w:r>
      <w:r w:rsidR="002B5D83">
        <w:fldChar w:fldCharType="separate"/>
      </w:r>
      <w:r w:rsidR="00DA42AA">
        <w:rPr>
          <w:noProof/>
        </w:rPr>
        <w:t>4</w:t>
      </w:r>
      <w:r w:rsidR="002B5D83">
        <w:fldChar w:fldCharType="end"/>
      </w:r>
      <w:r>
        <w:t xml:space="preserve"> </w:t>
      </w:r>
      <w:r w:rsidRPr="003B6944">
        <w:t xml:space="preserve">Accreditation data for Action 1.10 and 1.27 Clinical governance – number rated as “not met” out of 170 Victorian </w:t>
      </w:r>
      <w:r w:rsidR="005A2F80" w:rsidRPr="003B6944">
        <w:t>HSEs</w:t>
      </w:r>
    </w:p>
    <w:tbl>
      <w:tblPr>
        <w:tblStyle w:val="SapereTable"/>
        <w:tblW w:w="5000" w:type="pct"/>
        <w:tblLook w:val="04A0" w:firstRow="1" w:lastRow="0" w:firstColumn="1" w:lastColumn="0" w:noHBand="0" w:noVBand="1"/>
      </w:tblPr>
      <w:tblGrid>
        <w:gridCol w:w="1331"/>
        <w:gridCol w:w="6325"/>
        <w:gridCol w:w="1370"/>
      </w:tblGrid>
      <w:tr w:rsidR="0028659B" w:rsidRPr="0028659B" w14:paraId="54E611FF" w14:textId="77777777" w:rsidTr="003476CD">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737" w:type="pct"/>
          </w:tcPr>
          <w:p w14:paraId="7D258A37" w14:textId="77777777" w:rsidR="0028659B" w:rsidRPr="0028659B" w:rsidRDefault="0028659B" w:rsidP="00E6385E">
            <w:r w:rsidRPr="0028659B">
              <w:t>Action</w:t>
            </w:r>
          </w:p>
        </w:tc>
        <w:tc>
          <w:tcPr>
            <w:tcW w:w="3503" w:type="pct"/>
          </w:tcPr>
          <w:p w14:paraId="24346A3A" w14:textId="77777777" w:rsidR="0028659B" w:rsidRPr="0028659B" w:rsidRDefault="0028659B" w:rsidP="00E6385E">
            <w:pPr>
              <w:cnfStyle w:val="100000000000" w:firstRow="1" w:lastRow="0" w:firstColumn="0" w:lastColumn="0" w:oddVBand="0" w:evenVBand="0" w:oddHBand="0" w:evenHBand="0" w:firstRowFirstColumn="0" w:firstRowLastColumn="0" w:lastRowFirstColumn="0" w:lastRowLastColumn="0"/>
            </w:pPr>
            <w:r w:rsidRPr="0028659B">
              <w:t>Detail</w:t>
            </w:r>
          </w:p>
        </w:tc>
        <w:tc>
          <w:tcPr>
            <w:tcW w:w="759" w:type="pct"/>
          </w:tcPr>
          <w:p w14:paraId="09DBEB7F" w14:textId="0BABC20C" w:rsidR="0028659B" w:rsidRPr="0028659B" w:rsidRDefault="0028659B" w:rsidP="00E6385E">
            <w:pPr>
              <w:cnfStyle w:val="100000000000" w:firstRow="1" w:lastRow="0" w:firstColumn="0" w:lastColumn="0" w:oddVBand="0" w:evenVBand="0" w:oddHBand="0" w:evenHBand="0" w:firstRowFirstColumn="0" w:firstRowLastColumn="0" w:lastRowFirstColumn="0" w:lastRowLastColumn="0"/>
            </w:pPr>
            <w:r w:rsidRPr="0028659B">
              <w:t>N</w:t>
            </w:r>
            <w:r w:rsidR="00292BE9">
              <w:t>o.</w:t>
            </w:r>
            <w:r w:rsidRPr="0028659B">
              <w:t xml:space="preserve"> rated as not met</w:t>
            </w:r>
            <w:r w:rsidR="00B9522B">
              <w:rPr>
                <w:rStyle w:val="FootnoteReference"/>
              </w:rPr>
              <w:footnoteReference w:id="48"/>
            </w:r>
          </w:p>
        </w:tc>
      </w:tr>
      <w:tr w:rsidR="0028659B" w:rsidRPr="0028659B" w14:paraId="64C47470" w14:textId="77777777" w:rsidTr="003476CD">
        <w:tc>
          <w:tcPr>
            <w:cnfStyle w:val="001000000000" w:firstRow="0" w:lastRow="0" w:firstColumn="1" w:lastColumn="0" w:oddVBand="0" w:evenVBand="0" w:oddHBand="0" w:evenHBand="0" w:firstRowFirstColumn="0" w:firstRowLastColumn="0" w:lastRowFirstColumn="0" w:lastRowLastColumn="0"/>
            <w:tcW w:w="737" w:type="pct"/>
          </w:tcPr>
          <w:p w14:paraId="194D3995" w14:textId="1BEB3FD3" w:rsidR="0028659B" w:rsidRPr="003476CD" w:rsidRDefault="00F356B5" w:rsidP="0028659B">
            <w:pPr>
              <w:rPr>
                <w:color w:val="auto"/>
              </w:rPr>
            </w:pPr>
            <w:r w:rsidRPr="003476CD">
              <w:rPr>
                <w:color w:val="auto"/>
              </w:rPr>
              <w:t>Clinical Governance Standard:</w:t>
            </w:r>
            <w:r w:rsidRPr="003476CD">
              <w:rPr>
                <w:color w:val="auto"/>
              </w:rPr>
              <w:br/>
              <w:t>Action 1.10</w:t>
            </w:r>
          </w:p>
        </w:tc>
        <w:tc>
          <w:tcPr>
            <w:tcW w:w="3503" w:type="pct"/>
          </w:tcPr>
          <w:p w14:paraId="42A6C9B8" w14:textId="25E1F511" w:rsidR="0028659B" w:rsidRPr="003476CD" w:rsidRDefault="0028659B" w:rsidP="0028659B">
            <w:pPr>
              <w:cnfStyle w:val="000000000000" w:firstRow="0" w:lastRow="0" w:firstColumn="0" w:lastColumn="0" w:oddVBand="0" w:evenVBand="0" w:oddHBand="0" w:evenHBand="0" w:firstRowFirstColumn="0" w:firstRowLastColumn="0" w:lastRowFirstColumn="0" w:lastRowLastColumn="0"/>
              <w:rPr>
                <w:color w:val="auto"/>
              </w:rPr>
            </w:pPr>
            <w:r w:rsidRPr="00C95F56">
              <w:rPr>
                <w:i/>
                <w:iCs/>
              </w:rPr>
              <w:t>Risk management</w:t>
            </w:r>
            <w:r w:rsidRPr="00C95F56">
              <w:t xml:space="preserve"> –</w:t>
            </w:r>
            <w:r w:rsidR="00DB414C" w:rsidRPr="00C95F56">
              <w:t xml:space="preserve"> The HSE</w:t>
            </w:r>
            <w:r w:rsidR="00783AEA" w:rsidRPr="00C95F56">
              <w:t xml:space="preserve"> </w:t>
            </w:r>
            <w:r w:rsidRPr="00C95F56">
              <w:t>identif</w:t>
            </w:r>
            <w:r w:rsidR="00DB414C" w:rsidRPr="00C95F56">
              <w:t>ies</w:t>
            </w:r>
            <w:r w:rsidRPr="00C95F56">
              <w:t xml:space="preserve"> and document</w:t>
            </w:r>
            <w:r w:rsidR="00DB414C" w:rsidRPr="00C95F56">
              <w:t>s</w:t>
            </w:r>
            <w:r w:rsidRPr="00C95F56">
              <w:t xml:space="preserve"> organisational risks; uses clinical and other data collections to support risk assessments; act</w:t>
            </w:r>
            <w:r w:rsidR="00DB414C" w:rsidRPr="00C95F56">
              <w:t>s</w:t>
            </w:r>
            <w:r w:rsidRPr="00C95F56">
              <w:t xml:space="preserve"> to reduce risks; regularly reviews and acts to improve the effectiveness of the risk management system; reports on risks to the workforce and consumers; and plans for, and manages, internal and external emergencies and disasters</w:t>
            </w:r>
            <w:r w:rsidR="00CF73B1" w:rsidRPr="00C95F56">
              <w:t>.</w:t>
            </w:r>
          </w:p>
        </w:tc>
        <w:tc>
          <w:tcPr>
            <w:tcW w:w="759" w:type="pct"/>
          </w:tcPr>
          <w:p w14:paraId="1395615A" w14:textId="77777777" w:rsidR="0028659B" w:rsidRPr="003476CD" w:rsidRDefault="0028659B" w:rsidP="0028659B">
            <w:pPr>
              <w:cnfStyle w:val="000000000000" w:firstRow="0" w:lastRow="0" w:firstColumn="0" w:lastColumn="0" w:oddVBand="0" w:evenVBand="0" w:oddHBand="0" w:evenHBand="0" w:firstRowFirstColumn="0" w:firstRowLastColumn="0" w:lastRowFirstColumn="0" w:lastRowLastColumn="0"/>
              <w:rPr>
                <w:color w:val="auto"/>
              </w:rPr>
            </w:pPr>
            <w:r w:rsidRPr="00C95F56">
              <w:t>15</w:t>
            </w:r>
          </w:p>
        </w:tc>
      </w:tr>
      <w:tr w:rsidR="0028659B" w:rsidRPr="0028659B" w14:paraId="4B0FBE69" w14:textId="77777777" w:rsidTr="003476CD">
        <w:tc>
          <w:tcPr>
            <w:cnfStyle w:val="001000000000" w:firstRow="0" w:lastRow="0" w:firstColumn="1" w:lastColumn="0" w:oddVBand="0" w:evenVBand="0" w:oddHBand="0" w:evenHBand="0" w:firstRowFirstColumn="0" w:firstRowLastColumn="0" w:lastRowFirstColumn="0" w:lastRowLastColumn="0"/>
            <w:tcW w:w="737" w:type="pct"/>
          </w:tcPr>
          <w:p w14:paraId="5FB3D61C" w14:textId="10B496E8" w:rsidR="0028659B" w:rsidRPr="003476CD" w:rsidRDefault="00311E05" w:rsidP="0028659B">
            <w:pPr>
              <w:rPr>
                <w:color w:val="auto"/>
                <w:szCs w:val="20"/>
              </w:rPr>
            </w:pPr>
            <w:r w:rsidRPr="003476CD">
              <w:rPr>
                <w:color w:val="auto"/>
                <w:szCs w:val="20"/>
              </w:rPr>
              <w:t>Clinical Governance Standard:</w:t>
            </w:r>
            <w:r w:rsidRPr="003476CD">
              <w:rPr>
                <w:color w:val="auto"/>
                <w:szCs w:val="20"/>
              </w:rPr>
              <w:br/>
              <w:t>Action 1.27</w:t>
            </w:r>
          </w:p>
        </w:tc>
        <w:tc>
          <w:tcPr>
            <w:tcW w:w="3503" w:type="pct"/>
          </w:tcPr>
          <w:p w14:paraId="1129DFD1" w14:textId="2352CC5F" w:rsidR="0028659B" w:rsidRPr="003476CD" w:rsidRDefault="0028659B" w:rsidP="00DB414C">
            <w:pPr>
              <w:cnfStyle w:val="000000000000" w:firstRow="0" w:lastRow="0" w:firstColumn="0" w:lastColumn="0" w:oddVBand="0" w:evenVBand="0" w:oddHBand="0" w:evenHBand="0" w:firstRowFirstColumn="0" w:firstRowLastColumn="0" w:lastRowFirstColumn="0" w:lastRowLastColumn="0"/>
              <w:rPr>
                <w:color w:val="auto"/>
                <w:szCs w:val="20"/>
              </w:rPr>
            </w:pPr>
            <w:r w:rsidRPr="00C95F56">
              <w:rPr>
                <w:i/>
                <w:iCs/>
                <w:szCs w:val="20"/>
              </w:rPr>
              <w:t>Evidence-based care</w:t>
            </w:r>
            <w:r w:rsidRPr="00C95F56">
              <w:rPr>
                <w:szCs w:val="20"/>
              </w:rPr>
              <w:t xml:space="preserve"> – </w:t>
            </w:r>
            <w:r w:rsidR="00DB414C" w:rsidRPr="00C95F56">
              <w:rPr>
                <w:szCs w:val="20"/>
              </w:rPr>
              <w:t>The HSE has processes that provide</w:t>
            </w:r>
            <w:r w:rsidRPr="00C95F56">
              <w:rPr>
                <w:szCs w:val="20"/>
              </w:rPr>
              <w:t xml:space="preserve"> </w:t>
            </w:r>
            <w:r w:rsidR="00DB414C" w:rsidRPr="00C95F56">
              <w:rPr>
                <w:szCs w:val="20"/>
              </w:rPr>
              <w:t xml:space="preserve">clinicians with ready access to best-practice guidelines, integrated care pathways, clinical pathways and decision support tools relevant to their clinical practice; and support clinicians to use the best available evidence, including relevant clinical care standards developed by the </w:t>
            </w:r>
            <w:r w:rsidR="008B19A9" w:rsidRPr="00C95F56">
              <w:rPr>
                <w:szCs w:val="20"/>
              </w:rPr>
              <w:t>Commission.</w:t>
            </w:r>
          </w:p>
        </w:tc>
        <w:tc>
          <w:tcPr>
            <w:tcW w:w="759" w:type="pct"/>
          </w:tcPr>
          <w:p w14:paraId="0E7C2122" w14:textId="77777777" w:rsidR="0028659B" w:rsidRPr="003476CD" w:rsidRDefault="0028659B" w:rsidP="0028659B">
            <w:pPr>
              <w:cnfStyle w:val="000000000000" w:firstRow="0" w:lastRow="0" w:firstColumn="0" w:lastColumn="0" w:oddVBand="0" w:evenVBand="0" w:oddHBand="0" w:evenHBand="0" w:firstRowFirstColumn="0" w:firstRowLastColumn="0" w:lastRowFirstColumn="0" w:lastRowLastColumn="0"/>
              <w:rPr>
                <w:color w:val="auto"/>
                <w:szCs w:val="20"/>
              </w:rPr>
            </w:pPr>
            <w:r w:rsidRPr="00C95F56">
              <w:rPr>
                <w:szCs w:val="20"/>
              </w:rPr>
              <w:t>15</w:t>
            </w:r>
          </w:p>
        </w:tc>
      </w:tr>
    </w:tbl>
    <w:p w14:paraId="3608B0AA" w14:textId="66547E02" w:rsidR="0028659B" w:rsidRPr="0028659B" w:rsidRDefault="0028659B" w:rsidP="0028659B">
      <w:pPr>
        <w:rPr>
          <w:szCs w:val="20"/>
        </w:rPr>
      </w:pPr>
      <w:r w:rsidRPr="0028659B">
        <w:rPr>
          <w:szCs w:val="20"/>
        </w:rPr>
        <w:lastRenderedPageBreak/>
        <w:t>There are many reasons why facilities might not be assessed as meeting a Standard initially, ranging from substantive issues with compliance through to administrative process errors. However, it is notable that the Clinical Governance Standard has significantly poorer outcomes at the initial assessment stage than other Standards (as shown in Figure 3)</w:t>
      </w:r>
      <w:r w:rsidRPr="000D17F7">
        <w:rPr>
          <w:rStyle w:val="FootnoteReference"/>
        </w:rPr>
        <w:footnoteReference w:id="49"/>
      </w:r>
      <w:r w:rsidR="00617792">
        <w:rPr>
          <w:szCs w:val="20"/>
        </w:rPr>
        <w:t>.</w:t>
      </w:r>
    </w:p>
    <w:p w14:paraId="066E4087" w14:textId="7613183F" w:rsidR="0028659B" w:rsidRPr="0028659B" w:rsidRDefault="0028659B" w:rsidP="0028659B">
      <w:pPr>
        <w:rPr>
          <w:szCs w:val="20"/>
        </w:rPr>
      </w:pPr>
      <w:r w:rsidRPr="0028659B">
        <w:rPr>
          <w:szCs w:val="20"/>
        </w:rPr>
        <w:t xml:space="preserve">In its submission to DH’s Discussion Paper, the </w:t>
      </w:r>
      <w:r w:rsidR="00B17E88">
        <w:rPr>
          <w:szCs w:val="20"/>
        </w:rPr>
        <w:t>Commission</w:t>
      </w:r>
      <w:r w:rsidR="00B17E88" w:rsidRPr="0028659B">
        <w:rPr>
          <w:szCs w:val="20"/>
        </w:rPr>
        <w:t xml:space="preserve"> </w:t>
      </w:r>
      <w:r w:rsidRPr="0028659B">
        <w:rPr>
          <w:szCs w:val="20"/>
        </w:rPr>
        <w:t>states:</w:t>
      </w:r>
    </w:p>
    <w:p w14:paraId="4EAE3B8E" w14:textId="77777777" w:rsidR="0028659B" w:rsidRPr="0028659B" w:rsidRDefault="0028659B" w:rsidP="0028659B">
      <w:pPr>
        <w:spacing w:after="120"/>
        <w:ind w:left="720"/>
        <w:rPr>
          <w:szCs w:val="20"/>
        </w:rPr>
      </w:pPr>
      <w:r w:rsidRPr="0028659B">
        <w:rPr>
          <w:noProof/>
          <w:szCs w:val="20"/>
        </w:rPr>
        <mc:AlternateContent>
          <mc:Choice Requires="wps">
            <w:drawing>
              <wp:anchor distT="45720" distB="45720" distL="114300" distR="114300" simplePos="0" relativeHeight="251658243" behindDoc="0" locked="0" layoutInCell="1" allowOverlap="1" wp14:anchorId="5F4E4CA4" wp14:editId="5CAB9C4C">
                <wp:simplePos x="0" y="0"/>
                <wp:positionH relativeFrom="margin">
                  <wp:posOffset>22860</wp:posOffset>
                </wp:positionH>
                <wp:positionV relativeFrom="paragraph">
                  <wp:posOffset>944245</wp:posOffset>
                </wp:positionV>
                <wp:extent cx="5717540" cy="757555"/>
                <wp:effectExtent l="0" t="0" r="16510" b="2349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57555"/>
                        </a:xfrm>
                        <a:prstGeom prst="rect">
                          <a:avLst/>
                        </a:prstGeom>
                        <a:solidFill>
                          <a:srgbClr val="EEECE1"/>
                        </a:solidFill>
                        <a:ln w="9525">
                          <a:solidFill>
                            <a:sysClr val="window" lastClr="FFFFFF"/>
                          </a:solidFill>
                          <a:miter lim="800000"/>
                          <a:headEnd/>
                          <a:tailEnd/>
                        </a:ln>
                      </wps:spPr>
                      <wps:txbx>
                        <w:txbxContent>
                          <w:p w14:paraId="1F199FB5" w14:textId="77777777" w:rsidR="0028659B" w:rsidRDefault="0028659B" w:rsidP="001E347D">
                            <w:pPr>
                              <w:shd w:val="clear" w:color="auto" w:fill="EEECE1" w:themeFill="background2"/>
                              <w:spacing w:before="120" w:after="240"/>
                            </w:pPr>
                            <w:r w:rsidRPr="00623938">
                              <w:t xml:space="preserve">The department is concerned about poor performance </w:t>
                            </w:r>
                            <w:r>
                              <w:t xml:space="preserve">on clinical governance </w:t>
                            </w:r>
                            <w:r w:rsidRPr="00623938">
                              <w:t xml:space="preserve">during the accreditation process </w:t>
                            </w:r>
                            <w:r>
                              <w:t>as there is a demonstrated relationship between clinical governance and</w:t>
                            </w:r>
                            <w:r w:rsidRPr="00623938">
                              <w:t xml:space="preserve"> patient safety </w:t>
                            </w:r>
                            <w:r>
                              <w:t>and quality of care</w:t>
                            </w:r>
                            <w:r w:rsidRPr="0062393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E4CA4" id="Text Box 31" o:spid="_x0000_s1075" type="#_x0000_t202" style="position:absolute;left:0;text-align:left;margin-left:1.8pt;margin-top:74.35pt;width:450.2pt;height:59.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" fillcolor="#eeece1" strokecolor="window">
                <v:textbox>
                  <w:txbxContent>
                    <w:p w14:paraId="1F199FB5" w14:textId="77777777" w:rsidR="0028659B" w:rsidRDefault="0028659B" w:rsidP="001E347D">
                      <w:pPr>
                        <w:shd w:val="clear" w:color="auto" w:fill="EEECE1" w:themeFill="background2"/>
                        <w:spacing w:before="120" w:after="240"/>
                      </w:pPr>
                      <w:r w:rsidRPr="00623938">
                        <w:t xml:space="preserve">The department is concerned about poor performance </w:t>
                      </w:r>
                      <w:r>
                        <w:t xml:space="preserve">on clinical governance </w:t>
                      </w:r>
                      <w:r w:rsidRPr="00623938">
                        <w:t xml:space="preserve">during the accreditation process </w:t>
                      </w:r>
                      <w:r>
                        <w:t>as there is a demonstrated relationship between clinical governance and</w:t>
                      </w:r>
                      <w:r w:rsidRPr="00623938">
                        <w:t xml:space="preserve"> patient safety </w:t>
                      </w:r>
                      <w:r>
                        <w:t>and quality of care</w:t>
                      </w:r>
                      <w:r w:rsidRPr="00623938">
                        <w:t>.</w:t>
                      </w:r>
                    </w:p>
                  </w:txbxContent>
                </v:textbox>
                <w10:wrap type="square" anchorx="margin"/>
              </v:shape>
            </w:pict>
          </mc:Fallback>
        </mc:AlternateContent>
      </w:r>
      <w:r w:rsidRPr="0028659B">
        <w:rPr>
          <w:i/>
          <w:iCs/>
          <w:szCs w:val="20"/>
        </w:rPr>
        <w:t>Clinical governance continues to be an area where significant improvements can and should be made. Assessment reports show it as the area of consistently poorer performance within the NSQHS Standards. The Commission supports strategies to improve processes and structures for clinical governance in health service organisations.</w:t>
      </w:r>
      <w:r w:rsidRPr="000D17F7">
        <w:rPr>
          <w:rStyle w:val="FootnoteReference"/>
        </w:rPr>
        <w:footnoteReference w:id="50"/>
      </w:r>
    </w:p>
    <w:p w14:paraId="0D2F9F7D" w14:textId="77777777" w:rsidR="0028659B" w:rsidRPr="0028659B" w:rsidRDefault="0028659B" w:rsidP="0028659B">
      <w:pPr>
        <w:spacing w:before="240"/>
        <w:rPr>
          <w:i/>
          <w:szCs w:val="20"/>
        </w:rPr>
      </w:pPr>
      <w:r w:rsidRPr="0028659B">
        <w:rPr>
          <w:i/>
          <w:iCs/>
          <w:szCs w:val="20"/>
        </w:rPr>
        <w:t>Current coverage of Regulations in addition to NSQHS accreditation standards</w:t>
      </w:r>
    </w:p>
    <w:p w14:paraId="77063D46" w14:textId="77777777" w:rsidR="0028659B" w:rsidRPr="0028659B" w:rsidRDefault="0028659B" w:rsidP="0028659B">
      <w:pPr>
        <w:ind w:right="567"/>
        <w:jc w:val="both"/>
        <w:rPr>
          <w:szCs w:val="20"/>
        </w:rPr>
      </w:pPr>
      <w:r w:rsidRPr="0028659B">
        <w:rPr>
          <w:szCs w:val="20"/>
        </w:rPr>
        <w:t>The Act and Regulations have provisions that require appropriate clinical governance processes and systems to support safe and quality patient care and continuous improvement. This includes the requirement under the Regulations for HSEs to prepare health service protocols for quality and safety (regulation 7A(3)). Matters that must be included in these protocols include (but are not limited to):</w:t>
      </w:r>
    </w:p>
    <w:p w14:paraId="45698F7B" w14:textId="57400646" w:rsidR="0028659B" w:rsidRPr="0028659B" w:rsidRDefault="00052198" w:rsidP="0028659B">
      <w:pPr>
        <w:numPr>
          <w:ilvl w:val="0"/>
          <w:numId w:val="25"/>
        </w:numPr>
        <w:ind w:right="567"/>
        <w:contextualSpacing/>
        <w:rPr>
          <w:szCs w:val="20"/>
        </w:rPr>
      </w:pPr>
      <w:r>
        <w:rPr>
          <w:szCs w:val="20"/>
        </w:rPr>
        <w:t>P</w:t>
      </w:r>
      <w:r w:rsidR="0028659B" w:rsidRPr="0028659B">
        <w:rPr>
          <w:szCs w:val="20"/>
        </w:rPr>
        <w:t xml:space="preserve">rocesses for assessing the credentials </w:t>
      </w:r>
      <w:r w:rsidR="008A0617">
        <w:rPr>
          <w:szCs w:val="20"/>
        </w:rPr>
        <w:t>(</w:t>
      </w:r>
      <w:r w:rsidR="00333855">
        <w:rPr>
          <w:szCs w:val="20"/>
        </w:rPr>
        <w:t xml:space="preserve">both </w:t>
      </w:r>
      <w:r w:rsidR="008A0617">
        <w:rPr>
          <w:szCs w:val="20"/>
        </w:rPr>
        <w:t xml:space="preserve">to practice and to undertake </w:t>
      </w:r>
      <w:r w:rsidR="00333855">
        <w:rPr>
          <w:szCs w:val="20"/>
        </w:rPr>
        <w:t xml:space="preserve">certain procedures at facilities) </w:t>
      </w:r>
      <w:r w:rsidR="0028659B" w:rsidRPr="0028659B">
        <w:rPr>
          <w:szCs w:val="20"/>
        </w:rPr>
        <w:t>of each health professional practising at the health service every three years</w:t>
      </w:r>
    </w:p>
    <w:p w14:paraId="7DB22EA2" w14:textId="4E3D82F2" w:rsidR="0028659B" w:rsidRPr="0028659B" w:rsidRDefault="00052198" w:rsidP="0028659B">
      <w:pPr>
        <w:numPr>
          <w:ilvl w:val="0"/>
          <w:numId w:val="25"/>
        </w:numPr>
        <w:ind w:right="567"/>
        <w:contextualSpacing/>
        <w:rPr>
          <w:szCs w:val="20"/>
        </w:rPr>
      </w:pPr>
      <w:r>
        <w:rPr>
          <w:szCs w:val="20"/>
        </w:rPr>
        <w:t>P</w:t>
      </w:r>
      <w:r w:rsidR="0028659B" w:rsidRPr="0028659B">
        <w:rPr>
          <w:szCs w:val="20"/>
        </w:rPr>
        <w:t>rocesses for setting the scope of practice for each health professional practising at the health service</w:t>
      </w:r>
    </w:p>
    <w:p w14:paraId="37B3EB99" w14:textId="28D55DC0" w:rsidR="0028659B" w:rsidRDefault="00052198" w:rsidP="0028659B">
      <w:pPr>
        <w:numPr>
          <w:ilvl w:val="0"/>
          <w:numId w:val="25"/>
        </w:numPr>
        <w:ind w:right="567"/>
        <w:contextualSpacing/>
        <w:rPr>
          <w:szCs w:val="20"/>
        </w:rPr>
      </w:pPr>
      <w:r>
        <w:rPr>
          <w:szCs w:val="20"/>
        </w:rPr>
        <w:t>P</w:t>
      </w:r>
      <w:r w:rsidR="0028659B" w:rsidRPr="0028659B">
        <w:rPr>
          <w:szCs w:val="20"/>
        </w:rPr>
        <w:t>rocesses for continually assessing the capacity of the health service to provide safe, patient-centred, and appropriate health services to patients</w:t>
      </w:r>
    </w:p>
    <w:p w14:paraId="30DAE1B9" w14:textId="1C7A4E71" w:rsidR="000C582B" w:rsidRPr="000C582B" w:rsidRDefault="00052198" w:rsidP="000C582B">
      <w:pPr>
        <w:pStyle w:val="ListParagraph"/>
        <w:numPr>
          <w:ilvl w:val="0"/>
          <w:numId w:val="25"/>
        </w:numPr>
        <w:rPr>
          <w:szCs w:val="20"/>
        </w:rPr>
      </w:pPr>
      <w:r>
        <w:rPr>
          <w:szCs w:val="20"/>
        </w:rPr>
        <w:t>S</w:t>
      </w:r>
      <w:r w:rsidR="000C582B" w:rsidRPr="000C582B">
        <w:rPr>
          <w:szCs w:val="20"/>
        </w:rPr>
        <w:t>etting the frequency and procedures for meetings of committees with responsibility for the quality and safety of health services.</w:t>
      </w:r>
    </w:p>
    <w:p w14:paraId="59D9A775" w14:textId="79EC13D2" w:rsidR="000C582B" w:rsidRPr="0028659B" w:rsidRDefault="0028659B" w:rsidP="000C582B">
      <w:pPr>
        <w:rPr>
          <w:szCs w:val="20"/>
        </w:rPr>
      </w:pPr>
      <w:r w:rsidRPr="0028659B">
        <w:rPr>
          <w:szCs w:val="20"/>
        </w:rPr>
        <w:t>Under the Regulations, these protocols must be documented in writing, published on the HSE’s website, made available to the Secretary on request, and implemented and complied with.</w:t>
      </w:r>
    </w:p>
    <w:p w14:paraId="2105F16A" w14:textId="0246EFA8" w:rsidR="0028659B" w:rsidRPr="0028659B" w:rsidRDefault="0028659B" w:rsidP="000C582B">
      <w:r w:rsidRPr="0028659B">
        <w:rPr>
          <w:szCs w:val="20"/>
        </w:rPr>
        <w:t>In assessing compliance with regulation 7A to support its monitoring and enforcement role, the department requests the HSE provide the protocols. HSEs also must provide a copy of each accreditation assessment report to the department</w:t>
      </w:r>
      <w:r w:rsidRPr="000D17F7">
        <w:rPr>
          <w:rStyle w:val="FootnoteReference"/>
        </w:rPr>
        <w:footnoteReference w:id="51"/>
      </w:r>
      <w:r w:rsidRPr="0028659B">
        <w:rPr>
          <w:szCs w:val="20"/>
        </w:rPr>
        <w:t xml:space="preserve">, while the Commission provides the department aggregated data on assessments of all Victorian HSEs against the Standards. </w:t>
      </w:r>
      <w:r w:rsidRPr="00F22123">
        <w:rPr>
          <w:szCs w:val="20"/>
        </w:rPr>
        <w:t>However, there’s no explicit and robust review mechanism, including a mechanism to further engage and monitor HSEs on</w:t>
      </w:r>
      <w:r w:rsidRPr="0028659B">
        <w:t xml:space="preserve"> </w:t>
      </w:r>
      <w:r w:rsidR="0035098B">
        <w:lastRenderedPageBreak/>
        <w:t>their clinical governance protocols</w:t>
      </w:r>
      <w:r w:rsidRPr="0028659B">
        <w:t>. This is a concern given the relatively poor performance of HSEs against the Clinical Governance Standard.</w:t>
      </w:r>
    </w:p>
    <w:p w14:paraId="52864C81" w14:textId="1C30FC7E" w:rsidR="0028659B" w:rsidRPr="0028659B" w:rsidRDefault="005A1659" w:rsidP="0028659B">
      <w:r>
        <w:t>Separately,</w:t>
      </w:r>
      <w:r w:rsidR="0028659B" w:rsidRPr="0028659B">
        <w:t xml:space="preserve"> some key elements of clinical governance are not currently specified as matters that must be dealt with in the protocols of a facility, in regulation 7A(3). To address this the department has considered including additional matters in Regulation 7A. Most of those are reflected in the NSQHS Standards, as identified in the square brackets in the list below:</w:t>
      </w:r>
    </w:p>
    <w:p w14:paraId="0531C084" w14:textId="70144C7C" w:rsidR="0028659B" w:rsidRPr="0028659B" w:rsidRDefault="00E27BE0" w:rsidP="0028659B">
      <w:pPr>
        <w:numPr>
          <w:ilvl w:val="1"/>
          <w:numId w:val="29"/>
        </w:numPr>
        <w:contextualSpacing/>
      </w:pPr>
      <w:r w:rsidRPr="00E27BE0">
        <w:t>The description and allocation of safety and quality roles of the health service establishment</w:t>
      </w:r>
      <w:r>
        <w:t xml:space="preserve"> </w:t>
      </w:r>
      <w:r w:rsidR="0028659B" w:rsidRPr="0028659B">
        <w:t>[Key tasks under Action 1.06 in National Standard 1: Clinical Governance, and Action 1.25 in National Standard 1]</w:t>
      </w:r>
    </w:p>
    <w:p w14:paraId="60B33EA6" w14:textId="77777777" w:rsidR="0028659B" w:rsidRPr="0028659B" w:rsidRDefault="0028659B" w:rsidP="0028659B">
      <w:pPr>
        <w:numPr>
          <w:ilvl w:val="1"/>
          <w:numId w:val="29"/>
        </w:numPr>
        <w:contextualSpacing/>
      </w:pPr>
      <w:r w:rsidRPr="0028659B">
        <w:t xml:space="preserve">Processes for:  </w:t>
      </w:r>
    </w:p>
    <w:p w14:paraId="57775712" w14:textId="6F3D5A66" w:rsidR="0028659B" w:rsidRPr="0028659B" w:rsidRDefault="0028659B" w:rsidP="00FC5A1E">
      <w:pPr>
        <w:numPr>
          <w:ilvl w:val="2"/>
          <w:numId w:val="29"/>
        </w:numPr>
        <w:ind w:left="1134" w:hanging="283"/>
        <w:contextualSpacing/>
      </w:pPr>
      <w:r w:rsidRPr="0028659B">
        <w:t xml:space="preserve">ensuring availability of </w:t>
      </w:r>
      <w:r w:rsidR="009E3412">
        <w:t xml:space="preserve">appropriate </w:t>
      </w:r>
      <w:r w:rsidRPr="0028659B">
        <w:t>adjunct diagnostic services</w:t>
      </w:r>
    </w:p>
    <w:p w14:paraId="1854358B" w14:textId="51C0D9BF" w:rsidR="0028659B" w:rsidRPr="0028659B" w:rsidRDefault="0028659B" w:rsidP="00FC5A1E">
      <w:pPr>
        <w:numPr>
          <w:ilvl w:val="2"/>
          <w:numId w:val="29"/>
        </w:numPr>
        <w:ind w:left="1134" w:hanging="283"/>
        <w:contextualSpacing/>
      </w:pPr>
      <w:r w:rsidRPr="0028659B">
        <w:t xml:space="preserve">review of adverse </w:t>
      </w:r>
      <w:r w:rsidR="004E4C5B">
        <w:t xml:space="preserve">patient safety </w:t>
      </w:r>
      <w:r w:rsidR="00877BE4">
        <w:t xml:space="preserve">events, </w:t>
      </w:r>
      <w:r w:rsidRPr="0028659B">
        <w:t xml:space="preserve">including participation of all relevant personnel in the review (whether employees or not) </w:t>
      </w:r>
      <w:r w:rsidRPr="0028659B">
        <w:rPr>
          <w:rFonts w:eastAsia="Times New Roman"/>
          <w:szCs w:val="20"/>
          <w:lang w:eastAsia="en-AU"/>
        </w:rPr>
        <w:t>[Action 1.11 in National Standard 1]</w:t>
      </w:r>
    </w:p>
    <w:p w14:paraId="7196CD77" w14:textId="77777777" w:rsidR="0028659B" w:rsidRPr="0028659B" w:rsidRDefault="0028659B" w:rsidP="00FC5A1E">
      <w:pPr>
        <w:numPr>
          <w:ilvl w:val="2"/>
          <w:numId w:val="29"/>
        </w:numPr>
        <w:ind w:left="1134" w:hanging="283"/>
        <w:contextualSpacing/>
      </w:pPr>
      <w:r w:rsidRPr="0028659B">
        <w:t>addressing the specific needs of Aboriginal and Torres Strait Islander people [Action 1.02 and 1.33 in National Standard 1]</w:t>
      </w:r>
    </w:p>
    <w:p w14:paraId="4155425F" w14:textId="6E6E489B" w:rsidR="0028659B" w:rsidRPr="0028659B" w:rsidRDefault="0028659B" w:rsidP="008B19A9">
      <w:pPr>
        <w:numPr>
          <w:ilvl w:val="2"/>
          <w:numId w:val="29"/>
        </w:numPr>
        <w:ind w:left="1134" w:hanging="283"/>
        <w:contextualSpacing/>
      </w:pPr>
      <w:r w:rsidRPr="0028659B">
        <w:rPr>
          <w:noProof/>
          <w:szCs w:val="20"/>
        </w:rPr>
        <mc:AlternateContent>
          <mc:Choice Requires="wps">
            <w:drawing>
              <wp:anchor distT="45720" distB="45720" distL="114300" distR="114300" simplePos="0" relativeHeight="251658244" behindDoc="0" locked="0" layoutInCell="1" allowOverlap="1" wp14:anchorId="5DAF9193" wp14:editId="7688E233">
                <wp:simplePos x="0" y="0"/>
                <wp:positionH relativeFrom="margin">
                  <wp:align>right</wp:align>
                </wp:positionH>
                <wp:positionV relativeFrom="paragraph">
                  <wp:posOffset>889249</wp:posOffset>
                </wp:positionV>
                <wp:extent cx="5717540" cy="1352550"/>
                <wp:effectExtent l="0" t="0" r="16510" b="1905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352550"/>
                        </a:xfrm>
                        <a:prstGeom prst="rect">
                          <a:avLst/>
                        </a:prstGeom>
                        <a:solidFill>
                          <a:srgbClr val="EEECE1"/>
                        </a:solidFill>
                        <a:ln w="9525">
                          <a:solidFill>
                            <a:sysClr val="window" lastClr="FFFFFF"/>
                          </a:solidFill>
                          <a:miter lim="800000"/>
                          <a:headEnd/>
                          <a:tailEnd/>
                        </a:ln>
                      </wps:spPr>
                      <wps:txbx>
                        <w:txbxContent>
                          <w:p w14:paraId="5CEC52BA" w14:textId="468B3AB5" w:rsidR="0028659B" w:rsidRPr="00BC28BB" w:rsidRDefault="0028659B" w:rsidP="001E347D">
                            <w:pPr>
                              <w:shd w:val="clear" w:color="auto" w:fill="EEECE1" w:themeFill="background2"/>
                              <w:spacing w:after="240"/>
                              <w:rPr>
                                <w:lang w:val="en-AU"/>
                              </w:rPr>
                            </w:pPr>
                            <w:r w:rsidRPr="00FB2F16">
                              <w:rPr>
                                <w:lang w:val="en-AU"/>
                              </w:rPr>
                              <w:t xml:space="preserve">The absence of an explicit and robust review mechanism in the Regulations </w:t>
                            </w:r>
                            <w:r>
                              <w:rPr>
                                <w:lang w:val="en-AU"/>
                              </w:rPr>
                              <w:t>h</w:t>
                            </w:r>
                            <w:r w:rsidRPr="00FB2F16">
                              <w:rPr>
                                <w:lang w:val="en-AU"/>
                              </w:rPr>
                              <w:t>inders the department from effectively monitoring</w:t>
                            </w:r>
                            <w:r w:rsidR="00883D68">
                              <w:rPr>
                                <w:lang w:val="en-AU"/>
                              </w:rPr>
                              <w:t xml:space="preserve"> compliance with the clinical governance requirements in the Regulations and</w:t>
                            </w:r>
                            <w:r w:rsidRPr="00FB2F16">
                              <w:rPr>
                                <w:lang w:val="en-AU"/>
                              </w:rPr>
                              <w:t xml:space="preserve"> </w:t>
                            </w:r>
                            <w:r w:rsidR="00883D68">
                              <w:rPr>
                                <w:lang w:val="en-AU"/>
                              </w:rPr>
                              <w:t>the quality of the protocols in place</w:t>
                            </w:r>
                            <w:r w:rsidRPr="00FB2F16">
                              <w:rPr>
                                <w:lang w:val="en-AU"/>
                              </w:rPr>
                              <w:t xml:space="preserve">, hampering efforts to strengthen clinical governance and mitigate risks to patient safety and quality of care within HSEs. </w:t>
                            </w:r>
                            <w:r w:rsidR="00C14BE7">
                              <w:rPr>
                                <w:lang w:val="en-AU"/>
                              </w:rPr>
                              <w:t>Separately</w:t>
                            </w:r>
                            <w:r w:rsidRPr="00FB2F16">
                              <w:rPr>
                                <w:lang w:val="en-AU"/>
                              </w:rPr>
                              <w:t>, certain key elements of clinical governance lack oversight by the department because they are not included as protocols in Regulation 7A(3).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F9193" id="Text Box 44" o:spid="_x0000_s1076" type="#_x0000_t202" style="position:absolute;left:0;text-align:left;margin-left:399pt;margin-top:70pt;width:450.2pt;height:106.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" fillcolor="#eeece1" strokecolor="window">
                <v:textbox>
                  <w:txbxContent>
                    <w:p w14:paraId="5CEC52BA" w14:textId="468B3AB5" w:rsidR="0028659B" w:rsidRPr="00BC28BB" w:rsidRDefault="0028659B" w:rsidP="001E347D">
                      <w:pPr>
                        <w:shd w:val="clear" w:color="auto" w:fill="EEECE1" w:themeFill="background2"/>
                        <w:spacing w:after="240"/>
                        <w:rPr>
                          <w:lang w:val="en-AU"/>
                        </w:rPr>
                      </w:pPr>
                      <w:r w:rsidRPr="00FB2F16">
                        <w:rPr>
                          <w:lang w:val="en-AU"/>
                        </w:rPr>
                        <w:t xml:space="preserve">The absence of an explicit and robust review mechanism in the Regulations </w:t>
                      </w:r>
                      <w:r>
                        <w:rPr>
                          <w:lang w:val="en-AU"/>
                        </w:rPr>
                        <w:t>h</w:t>
                      </w:r>
                      <w:r w:rsidRPr="00FB2F16">
                        <w:rPr>
                          <w:lang w:val="en-AU"/>
                        </w:rPr>
                        <w:t>inders the department from effectively monitoring</w:t>
                      </w:r>
                      <w:r w:rsidR="00883D68">
                        <w:rPr>
                          <w:lang w:val="en-AU"/>
                        </w:rPr>
                        <w:t xml:space="preserve"> compliance with the clinical governance requirements in the Regulations and</w:t>
                      </w:r>
                      <w:r w:rsidRPr="00FB2F16">
                        <w:rPr>
                          <w:lang w:val="en-AU"/>
                        </w:rPr>
                        <w:t xml:space="preserve"> </w:t>
                      </w:r>
                      <w:r w:rsidR="00883D68">
                        <w:rPr>
                          <w:lang w:val="en-AU"/>
                        </w:rPr>
                        <w:t>the quality of the protocols in place</w:t>
                      </w:r>
                      <w:r w:rsidRPr="00FB2F16">
                        <w:rPr>
                          <w:lang w:val="en-AU"/>
                        </w:rPr>
                        <w:t xml:space="preserve">, hampering efforts to strengthen clinical governance and mitigate risks to patient safety and quality of care within HSEs. </w:t>
                      </w:r>
                      <w:r w:rsidR="00C14BE7">
                        <w:rPr>
                          <w:lang w:val="en-AU"/>
                        </w:rPr>
                        <w:t>Separately</w:t>
                      </w:r>
                      <w:r w:rsidRPr="00FB2F16">
                        <w:rPr>
                          <w:lang w:val="en-AU"/>
                        </w:rPr>
                        <w:t>, certain key elements of clinical governance lack oversight by the department because they are not included as protocols in Regulation 7A(3).</w:t>
                      </w:r>
                    </w:p>
                  </w:txbxContent>
                </v:textbox>
                <w10:wrap type="square" anchorx="margin"/>
              </v:shape>
            </w:pict>
          </mc:Fallback>
        </mc:AlternateContent>
      </w:r>
      <w:r w:rsidRPr="0028659B">
        <w:t>recognising and responding to deterioration</w:t>
      </w:r>
      <w:r w:rsidR="00567519">
        <w:t xml:space="preserve">s </w:t>
      </w:r>
      <w:r w:rsidR="007B099B">
        <w:t>in the condition</w:t>
      </w:r>
      <w:r w:rsidRPr="0028659B">
        <w:t xml:space="preserve"> of patients [Action 1.27 under National Standard 1, Standard 8 under the National Standards, in particular Action 8.01 which links back to the Clinical Governance Standard (Standard 1) regarding identification and management of acute deterioration].  </w:t>
      </w:r>
    </w:p>
    <w:p w14:paraId="72453C5E" w14:textId="77777777" w:rsidR="0028659B" w:rsidRPr="0028659B" w:rsidRDefault="0028659B" w:rsidP="0012703E">
      <w:pPr>
        <w:pStyle w:val="Heading6"/>
      </w:pPr>
      <w:r w:rsidRPr="0028659B">
        <w:rPr>
          <w:szCs w:val="20"/>
        </w:rPr>
        <w:t>Options</w:t>
      </w:r>
      <w:r w:rsidRPr="0028659B">
        <w:t xml:space="preserve"> for addressing the problem</w:t>
      </w:r>
    </w:p>
    <w:p w14:paraId="6529DF0D" w14:textId="77777777" w:rsidR="0028659B" w:rsidRPr="0028659B" w:rsidRDefault="0028659B" w:rsidP="0028659B">
      <w:r w:rsidRPr="0028659B">
        <w:t>This section outlines options for addressing the problem.</w:t>
      </w:r>
    </w:p>
    <w:p w14:paraId="125EEE23" w14:textId="0992CABB" w:rsidR="0028659B" w:rsidRPr="0028659B" w:rsidRDefault="0028659B" w:rsidP="0012703E">
      <w:pPr>
        <w:pStyle w:val="Heading7"/>
      </w:pPr>
      <w:r w:rsidRPr="0028659B">
        <w:t xml:space="preserve">The </w:t>
      </w:r>
      <w:r w:rsidR="005A2F80">
        <w:t>Base Case</w:t>
      </w:r>
    </w:p>
    <w:p w14:paraId="5EE26438" w14:textId="1DEB7AE1" w:rsidR="0028659B" w:rsidRPr="0028659B" w:rsidRDefault="0028659B" w:rsidP="0028659B">
      <w:r w:rsidRPr="0028659B">
        <w:t xml:space="preserve">A </w:t>
      </w:r>
      <w:r w:rsidR="005A2F80">
        <w:t>Base Case</w:t>
      </w:r>
      <w:r w:rsidRPr="0028659B">
        <w:t xml:space="preserve"> is presented for the purpose of comparison against feasible options. </w:t>
      </w:r>
    </w:p>
    <w:p w14:paraId="2E2B9854" w14:textId="3DF37FB1" w:rsidR="0028659B" w:rsidRPr="0028659B" w:rsidRDefault="0028659B" w:rsidP="0028659B">
      <w:r w:rsidRPr="0028659B">
        <w:t xml:space="preserve">Under the </w:t>
      </w:r>
      <w:r w:rsidR="005A2F80">
        <w:t>Base Case</w:t>
      </w:r>
      <w:r w:rsidRPr="0028659B">
        <w:t>, the current Regulations lapse in September 2024 and are not replaced. In the absence of regulations, HSEs would no longer be required to prepare protocols for quality and safety as specified in regulation 7A. HSEs would also no longer be required to make available the protocols to the Secretary on request.</w:t>
      </w:r>
    </w:p>
    <w:p w14:paraId="597F9C24" w14:textId="77777777" w:rsidR="0028659B" w:rsidRPr="0028659B" w:rsidRDefault="0028659B" w:rsidP="0028659B">
      <w:r w:rsidRPr="0028659B">
        <w:t xml:space="preserve">HSEs would still be required to be accredited to the Standards, including the clinical governance and other standards, under section 107 of the Health Services Act. HSEs would still need to implement the actions required to meet the Standards. </w:t>
      </w:r>
    </w:p>
    <w:p w14:paraId="0F95F1D0" w14:textId="77777777" w:rsidR="0028659B" w:rsidRPr="0028659B" w:rsidRDefault="0028659B" w:rsidP="001E347D">
      <w:pPr>
        <w:pStyle w:val="Heading7"/>
        <w:rPr>
          <w:color w:val="403151" w:themeColor="accent2"/>
        </w:rPr>
      </w:pPr>
      <w:r w:rsidRPr="0028659B">
        <w:lastRenderedPageBreak/>
        <w:t>Option 1: replication of current regulations (status quo)</w:t>
      </w:r>
    </w:p>
    <w:p w14:paraId="066A7F26" w14:textId="77777777" w:rsidR="0028659B" w:rsidRPr="0028659B" w:rsidRDefault="0028659B" w:rsidP="0028659B">
      <w:r w:rsidRPr="0028659B">
        <w:t>Option 1 is a continuation of the current regulatory approach to require appropriate clinical governance processes and systems to support safe and quality patient care and continuous improvement in addition to the Standards.</w:t>
      </w:r>
    </w:p>
    <w:p w14:paraId="3E9C8C54" w14:textId="77777777" w:rsidR="0028659B" w:rsidRPr="0028659B" w:rsidRDefault="0028659B" w:rsidP="0028659B">
      <w:r w:rsidRPr="0028659B">
        <w:t xml:space="preserve">Regulation 7A would be re-made in its current form with no amendments. </w:t>
      </w:r>
    </w:p>
    <w:p w14:paraId="16C03CD9" w14:textId="77777777" w:rsidR="0028659B" w:rsidRPr="0028659B" w:rsidRDefault="0028659B" w:rsidP="0028659B">
      <w:r w:rsidRPr="0028659B">
        <w:t>In addition, related regulation 48 would be re-made in its current form. Regulation 48 requires that HSEs record in writing information about key safety indicators, including compliance with its established protocols, and requires that the recorded information be reviewed at least every three months.</w:t>
      </w:r>
    </w:p>
    <w:p w14:paraId="67EB0B80" w14:textId="77777777" w:rsidR="0028659B" w:rsidRPr="0028659B" w:rsidRDefault="0028659B" w:rsidP="0012703E">
      <w:pPr>
        <w:pStyle w:val="Heading7"/>
      </w:pPr>
      <w:r w:rsidRPr="0028659B">
        <w:t xml:space="preserve">Option 2: current Regulations plus additional clinical governance protocols and Secretary oversight mechanism </w:t>
      </w:r>
    </w:p>
    <w:p w14:paraId="3F250FF5" w14:textId="7E92DF66" w:rsidR="0028659B" w:rsidRPr="0028659B" w:rsidRDefault="0028659B" w:rsidP="0028659B">
      <w:r w:rsidRPr="0028659B">
        <w:t>Regulation 7A would be re-made, with amendments to improve oversight of clinical governance to better support patient safety and quality of care.</w:t>
      </w:r>
    </w:p>
    <w:p w14:paraId="0BE1F769" w14:textId="00DE0B3B" w:rsidR="0028659B" w:rsidRPr="0028659B" w:rsidRDefault="0028659B" w:rsidP="0028659B">
      <w:r w:rsidRPr="0028659B">
        <w:t xml:space="preserve">Key changes proposed are to add regulations allowing the Secretary to review </w:t>
      </w:r>
      <w:r w:rsidR="003E0780">
        <w:t xml:space="preserve">a HSE’s </w:t>
      </w:r>
      <w:r w:rsidRPr="0028659B">
        <w:t xml:space="preserve">regulation 7A-required protocols and make directions for updates to the protocols. For transparency, the Secretary may have regard to best practice </w:t>
      </w:r>
      <w:r w:rsidR="0041025B">
        <w:t>guidelines</w:t>
      </w:r>
      <w:r w:rsidR="0041025B" w:rsidRPr="0028659B">
        <w:t xml:space="preserve"> </w:t>
      </w:r>
      <w:r w:rsidRPr="0028659B">
        <w:t>that ha</w:t>
      </w:r>
      <w:r w:rsidR="0041025B">
        <w:t>ve</w:t>
      </w:r>
      <w:r w:rsidRPr="0028659B">
        <w:t xml:space="preserve"> been formally </w:t>
      </w:r>
      <w:r w:rsidR="0028106D">
        <w:t xml:space="preserve">determined </w:t>
      </w:r>
      <w:r w:rsidRPr="0028659B">
        <w:t xml:space="preserve">by the Secretary as relevant for such reviews, to inform the review and any direction for an update to the protocols. </w:t>
      </w:r>
    </w:p>
    <w:p w14:paraId="76DD1C9B" w14:textId="23E108A1" w:rsidR="0028659B" w:rsidRPr="0028659B" w:rsidRDefault="002404EA" w:rsidP="0028659B">
      <w:r>
        <w:t>It is also proposed to include in the Regulations</w:t>
      </w:r>
      <w:r w:rsidR="0028659B" w:rsidRPr="0028659B">
        <w:t xml:space="preserve"> additional matters that HSEs would be required to document in their protocols, </w:t>
      </w:r>
      <w:r w:rsidR="00331B35">
        <w:t>as follows</w:t>
      </w:r>
      <w:r w:rsidR="0028659B" w:rsidRPr="0028659B">
        <w:t xml:space="preserve">: </w:t>
      </w:r>
    </w:p>
    <w:p w14:paraId="71569C59" w14:textId="411112F2" w:rsidR="00AE1ADF" w:rsidRPr="0028659B" w:rsidRDefault="00AE1ADF" w:rsidP="0028659B">
      <w:pPr>
        <w:numPr>
          <w:ilvl w:val="0"/>
          <w:numId w:val="12"/>
        </w:numPr>
        <w:contextualSpacing/>
      </w:pPr>
      <w:r w:rsidRPr="00AE1ADF">
        <w:t>The description and allocation of safety and quality roles of the health service establishment</w:t>
      </w:r>
    </w:p>
    <w:p w14:paraId="4C240D3C" w14:textId="65A596FB" w:rsidR="0028659B" w:rsidRPr="0028659B" w:rsidRDefault="00292172" w:rsidP="0028659B">
      <w:pPr>
        <w:numPr>
          <w:ilvl w:val="0"/>
          <w:numId w:val="12"/>
        </w:numPr>
        <w:contextualSpacing/>
      </w:pPr>
      <w:r>
        <w:t>Having regard to the kind or kinds of health services being provided at, or from, the health service establishment, p</w:t>
      </w:r>
      <w:r w:rsidR="0028659B" w:rsidRPr="0028659B">
        <w:t>rocesses and procedures for</w:t>
      </w:r>
      <w:r w:rsidR="005C4D32">
        <w:t>:</w:t>
      </w:r>
    </w:p>
    <w:p w14:paraId="1E1C92A9" w14:textId="69BB78F4" w:rsidR="0028659B" w:rsidRPr="0028659B" w:rsidRDefault="00CB5DB6" w:rsidP="0028659B">
      <w:pPr>
        <w:numPr>
          <w:ilvl w:val="1"/>
          <w:numId w:val="10"/>
        </w:numPr>
        <w:ind w:left="1134" w:hanging="425"/>
        <w:contextualSpacing/>
      </w:pPr>
      <w:r>
        <w:t xml:space="preserve">the </w:t>
      </w:r>
      <w:r w:rsidR="0028659B" w:rsidRPr="0028659B">
        <w:t xml:space="preserve">availability of </w:t>
      </w:r>
      <w:r>
        <w:t xml:space="preserve">appropriate </w:t>
      </w:r>
      <w:r w:rsidR="0028659B" w:rsidRPr="0028659B">
        <w:t xml:space="preserve">adjunct diagnostic services </w:t>
      </w:r>
    </w:p>
    <w:p w14:paraId="49332B65" w14:textId="61724E48" w:rsidR="0028659B" w:rsidRPr="0028659B" w:rsidRDefault="0028659B" w:rsidP="0028659B">
      <w:pPr>
        <w:numPr>
          <w:ilvl w:val="1"/>
          <w:numId w:val="10"/>
        </w:numPr>
        <w:ind w:left="1134" w:hanging="425"/>
        <w:contextualSpacing/>
      </w:pPr>
      <w:r w:rsidRPr="0028659B">
        <w:t xml:space="preserve">review of adverse </w:t>
      </w:r>
      <w:r w:rsidR="00CB5DB6">
        <w:t>patient safety events,</w:t>
      </w:r>
      <w:r w:rsidRPr="0028659B">
        <w:t xml:space="preserve"> including participation of all relevant personnel in the review (whether employees or not)</w:t>
      </w:r>
    </w:p>
    <w:p w14:paraId="4B149EE7" w14:textId="77777777" w:rsidR="0028659B" w:rsidRPr="0028659B" w:rsidRDefault="0028659B" w:rsidP="0028659B">
      <w:pPr>
        <w:numPr>
          <w:ilvl w:val="1"/>
          <w:numId w:val="10"/>
        </w:numPr>
        <w:ind w:left="1134" w:hanging="425"/>
        <w:contextualSpacing/>
      </w:pPr>
      <w:r w:rsidRPr="0028659B">
        <w:t xml:space="preserve">addressing the specific needs of Aboriginal and Torres Strait Islander people </w:t>
      </w:r>
    </w:p>
    <w:p w14:paraId="7120DC41" w14:textId="11279115" w:rsidR="0028659B" w:rsidRPr="0028659B" w:rsidRDefault="0028659B" w:rsidP="0028659B">
      <w:pPr>
        <w:numPr>
          <w:ilvl w:val="1"/>
          <w:numId w:val="10"/>
        </w:numPr>
        <w:ind w:left="1134" w:hanging="425"/>
        <w:contextualSpacing/>
      </w:pPr>
      <w:r w:rsidRPr="0028659B">
        <w:t xml:space="preserve">recognising and responding to deterioration </w:t>
      </w:r>
      <w:r w:rsidR="007160F3">
        <w:t xml:space="preserve">in the condition </w:t>
      </w:r>
      <w:r w:rsidRPr="0028659B">
        <w:t>of patients.</w:t>
      </w:r>
    </w:p>
    <w:p w14:paraId="14AEAFBD" w14:textId="2D8A172A" w:rsidR="0028659B" w:rsidRPr="0028659B" w:rsidRDefault="0028659B" w:rsidP="00B62F87">
      <w:pPr>
        <w:spacing w:before="240"/>
        <w:rPr>
          <w:szCs w:val="20"/>
        </w:rPr>
      </w:pPr>
      <w:r w:rsidRPr="0028659B">
        <w:rPr>
          <w:szCs w:val="20"/>
        </w:rPr>
        <w:t xml:space="preserve">It is expected that the new additional requirements will come into effect after the new Regulations are made. This is to allow time for appropriate communication and consultation about how reviews </w:t>
      </w:r>
      <w:r w:rsidR="00FD1C38">
        <w:rPr>
          <w:szCs w:val="20"/>
        </w:rPr>
        <w:t xml:space="preserve">of clinical governance protocols </w:t>
      </w:r>
      <w:r w:rsidRPr="0028659B">
        <w:rPr>
          <w:szCs w:val="20"/>
        </w:rPr>
        <w:t xml:space="preserve">will be conducted, </w:t>
      </w:r>
      <w:r w:rsidR="00FD1C38">
        <w:rPr>
          <w:szCs w:val="20"/>
        </w:rPr>
        <w:t xml:space="preserve">to identify any </w:t>
      </w:r>
      <w:r w:rsidRPr="0028659B">
        <w:rPr>
          <w:szCs w:val="20"/>
        </w:rPr>
        <w:t xml:space="preserve">best practice </w:t>
      </w:r>
      <w:r w:rsidR="003112B4">
        <w:rPr>
          <w:szCs w:val="20"/>
        </w:rPr>
        <w:t>guidelines</w:t>
      </w:r>
      <w:r w:rsidR="003112B4" w:rsidRPr="0028659B">
        <w:rPr>
          <w:szCs w:val="20"/>
        </w:rPr>
        <w:t xml:space="preserve"> </w:t>
      </w:r>
      <w:r w:rsidR="00FD1C38">
        <w:rPr>
          <w:szCs w:val="20"/>
        </w:rPr>
        <w:t xml:space="preserve">that </w:t>
      </w:r>
      <w:r w:rsidRPr="0028659B">
        <w:rPr>
          <w:szCs w:val="20"/>
        </w:rPr>
        <w:t xml:space="preserve">will be used to inform the </w:t>
      </w:r>
      <w:r w:rsidR="00FD1C38">
        <w:rPr>
          <w:szCs w:val="20"/>
        </w:rPr>
        <w:t>reviews</w:t>
      </w:r>
      <w:r w:rsidRPr="0028659B">
        <w:rPr>
          <w:szCs w:val="20"/>
        </w:rPr>
        <w:t xml:space="preserve">, and </w:t>
      </w:r>
      <w:r w:rsidR="00FD1C38">
        <w:rPr>
          <w:szCs w:val="20"/>
        </w:rPr>
        <w:t xml:space="preserve">to </w:t>
      </w:r>
      <w:r w:rsidR="0008482D">
        <w:rPr>
          <w:szCs w:val="20"/>
        </w:rPr>
        <w:t xml:space="preserve">allow </w:t>
      </w:r>
      <w:r w:rsidRPr="0028659B">
        <w:rPr>
          <w:szCs w:val="20"/>
        </w:rPr>
        <w:t>time for facilities to prepare and comply.</w:t>
      </w:r>
      <w:r w:rsidR="009665BC">
        <w:rPr>
          <w:szCs w:val="20"/>
        </w:rPr>
        <w:t xml:space="preserve"> </w:t>
      </w:r>
    </w:p>
    <w:p w14:paraId="56069C13" w14:textId="77777777" w:rsidR="0028659B" w:rsidRPr="0028659B" w:rsidRDefault="0028659B" w:rsidP="0012703E">
      <w:pPr>
        <w:pStyle w:val="Heading7"/>
      </w:pPr>
      <w:r w:rsidRPr="0028659B">
        <w:lastRenderedPageBreak/>
        <w:t>Option 3: Option 2 additions and mandating the Victorian Clinical Governance Framework and Credentialing policy</w:t>
      </w:r>
    </w:p>
    <w:p w14:paraId="569E687B" w14:textId="77777777" w:rsidR="0028659B" w:rsidRPr="0028659B" w:rsidRDefault="0028659B" w:rsidP="0028659B">
      <w:r w:rsidRPr="0028659B">
        <w:t xml:space="preserve">Option 3 would mandate through the protocols the adoption by HSEs of the </w:t>
      </w:r>
      <w:r w:rsidRPr="0028659B">
        <w:rPr>
          <w:i/>
          <w:iCs/>
        </w:rPr>
        <w:t>Victorian Clinical Governance Framework</w:t>
      </w:r>
      <w:r w:rsidRPr="000D17F7">
        <w:rPr>
          <w:rStyle w:val="FootnoteReference"/>
        </w:rPr>
        <w:footnoteReference w:id="52"/>
      </w:r>
      <w:r w:rsidRPr="0028659B">
        <w:t xml:space="preserve"> and </w:t>
      </w:r>
      <w:r w:rsidRPr="0028659B">
        <w:rPr>
          <w:i/>
          <w:iCs/>
        </w:rPr>
        <w:t>Credentialing and scope of clinical practice for senior medical practitioners policy</w:t>
      </w:r>
      <w:r w:rsidRPr="000D17F7">
        <w:rPr>
          <w:rStyle w:val="FootnoteReference"/>
        </w:rPr>
        <w:footnoteReference w:id="53"/>
      </w:r>
      <w:r w:rsidRPr="0028659B">
        <w:t xml:space="preserve">, both published by SCV. This option was presented for feedback in the department’s discussion paper. </w:t>
      </w:r>
    </w:p>
    <w:p w14:paraId="161B1FE3" w14:textId="77777777" w:rsidR="0028659B" w:rsidRPr="0028659B" w:rsidRDefault="0028659B" w:rsidP="0028659B">
      <w:r w:rsidRPr="0028659B">
        <w:t xml:space="preserve">The </w:t>
      </w:r>
      <w:r w:rsidRPr="0028659B">
        <w:rPr>
          <w:i/>
          <w:iCs/>
        </w:rPr>
        <w:t>Victorian Clinical Governance Framework</w:t>
      </w:r>
      <w:r w:rsidRPr="0028659B">
        <w:t xml:space="preserve"> (VCGF) is designed for public health services to complement the governance requirements in the NSQHS Standards.  </w:t>
      </w:r>
    </w:p>
    <w:p w14:paraId="29A2FBD7" w14:textId="36720E3C" w:rsidR="0028659B" w:rsidRPr="0028659B" w:rsidRDefault="0028659B" w:rsidP="0028659B">
      <w:r w:rsidRPr="0028659B">
        <w:t xml:space="preserve">The </w:t>
      </w:r>
      <w:r w:rsidRPr="0028659B">
        <w:rPr>
          <w:i/>
          <w:iCs/>
        </w:rPr>
        <w:t>Credentialing and scope of clinical practice for senior medical practitioners policy</w:t>
      </w:r>
      <w:r w:rsidRPr="0028659B">
        <w:t xml:space="preserve"> (Credentialling policy) details Victorian requirements for senior medical practitioner credentialing and scope of clinical practice. It provides ‘what to do’ and ‘how to do it’ guidance for senior Victorian medical practitioners and their employing health service or health services where they have, or wish to obtain, visiting rights. </w:t>
      </w:r>
    </w:p>
    <w:p w14:paraId="6CA43FAB" w14:textId="77777777" w:rsidR="0028659B" w:rsidRPr="0028659B" w:rsidRDefault="0028659B" w:rsidP="0028659B">
      <w:r w:rsidRPr="0028659B">
        <w:t>All public hospitals are required to comply with the VCGF and Credentialing policy, however the documents are only recommended for HSEs.</w:t>
      </w:r>
    </w:p>
    <w:p w14:paraId="742B77C8" w14:textId="77777777" w:rsidR="0028659B" w:rsidRPr="0028659B" w:rsidRDefault="0028659B" w:rsidP="0028659B">
      <w:r w:rsidRPr="0028659B">
        <w:t>If this option was preferred, the VCGF and Credentialing policy would have to be reviewed and amended to align more strongly to clinical governance settings in HSEs and as needed to reflect their mandatory nature under the Regulations.</w:t>
      </w:r>
    </w:p>
    <w:p w14:paraId="429F2CD1" w14:textId="77777777" w:rsidR="0028659B" w:rsidRPr="0028659B" w:rsidRDefault="0028659B" w:rsidP="0012703E">
      <w:pPr>
        <w:pStyle w:val="Heading6"/>
      </w:pPr>
      <w:r w:rsidRPr="0028659B">
        <w:t>Assessing the options</w:t>
      </w:r>
    </w:p>
    <w:p w14:paraId="6F871CD3" w14:textId="77777777" w:rsidR="0028659B" w:rsidRPr="0028659B" w:rsidRDefault="0028659B" w:rsidP="0028659B">
      <w:r w:rsidRPr="0028659B">
        <w:t>The section assesses the options against the criteria outlined in chapter 4.</w:t>
      </w:r>
    </w:p>
    <w:p w14:paraId="2D69AEC2" w14:textId="77777777" w:rsidR="0028659B" w:rsidRPr="0028659B" w:rsidRDefault="0028659B" w:rsidP="0012703E">
      <w:pPr>
        <w:pStyle w:val="Heading7"/>
      </w:pPr>
      <w:r w:rsidRPr="0028659B">
        <w:t>Protects the safety and quality of care of patients receiving health services in HSEs</w:t>
      </w:r>
    </w:p>
    <w:p w14:paraId="4A6215BA" w14:textId="4289A22A" w:rsidR="0028659B" w:rsidRPr="001E347D" w:rsidRDefault="005A2F80" w:rsidP="0028659B">
      <w:pPr>
        <w:rPr>
          <w:rStyle w:val="Strong"/>
        </w:rPr>
      </w:pPr>
      <w:r w:rsidRPr="001E347D">
        <w:rPr>
          <w:rStyle w:val="Strong"/>
        </w:rPr>
        <w:t>Base Case</w:t>
      </w:r>
    </w:p>
    <w:p w14:paraId="2FE864D3" w14:textId="7C0D3CAD" w:rsidR="0028659B" w:rsidRPr="0028659B" w:rsidRDefault="0028659B" w:rsidP="0028659B">
      <w:r w:rsidRPr="0028659B">
        <w:t xml:space="preserve">Under the </w:t>
      </w:r>
      <w:r w:rsidR="005A2F80">
        <w:t>Base Case</w:t>
      </w:r>
      <w:r w:rsidRPr="0028659B">
        <w:t xml:space="preserve">, HSEs would no longer be required to prepare protocols for quality and safety as specified in regulation 7A or to make the protocols available to the Secretary on request. </w:t>
      </w:r>
    </w:p>
    <w:p w14:paraId="0170CDD8" w14:textId="77777777" w:rsidR="0028659B" w:rsidRPr="0028659B" w:rsidRDefault="0028659B" w:rsidP="0028659B">
      <w:r w:rsidRPr="0028659B">
        <w:t xml:space="preserve">However, HSEs would still be required to be accredited to the NSQHS Standards, including the clinical governance and other standards, under section 107 of the Health Services Act. </w:t>
      </w:r>
    </w:p>
    <w:p w14:paraId="5F958D1E" w14:textId="77777777" w:rsidR="0028659B" w:rsidRPr="0028659B" w:rsidRDefault="0028659B" w:rsidP="0028659B">
      <w:pPr>
        <w:rPr>
          <w:rFonts w:cstheme="minorHAnsi"/>
        </w:rPr>
      </w:pPr>
      <w:r w:rsidRPr="0028659B">
        <w:rPr>
          <w:rFonts w:cstheme="minorHAnsi"/>
        </w:rPr>
        <w:t>There would still be drivers for HSEs to have clinical governance in place, however the department’s monitoring and enforcement capabilities would be reduced in the absence of specific obligations under the Regulations and a mechanism for the department to monitor or enforce compliance, including by requesting protocol information.</w:t>
      </w:r>
    </w:p>
    <w:p w14:paraId="075393D7" w14:textId="77777777" w:rsidR="0028659B" w:rsidRPr="0028659B" w:rsidRDefault="0028659B" w:rsidP="0028659B">
      <w:pPr>
        <w:rPr>
          <w:rFonts w:cstheme="minorHAnsi"/>
        </w:rPr>
      </w:pPr>
      <w:r w:rsidRPr="0028659B">
        <w:rPr>
          <w:rFonts w:cstheme="minorHAnsi"/>
        </w:rPr>
        <w:lastRenderedPageBreak/>
        <w:t>There has been no stakeholder support for this option.</w:t>
      </w:r>
    </w:p>
    <w:p w14:paraId="2C5B592D" w14:textId="2DF74625" w:rsidR="0028659B" w:rsidRPr="0028659B" w:rsidRDefault="0028659B" w:rsidP="0028659B">
      <w:pPr>
        <w:rPr>
          <w:rFonts w:cstheme="minorHAnsi"/>
        </w:rPr>
      </w:pPr>
      <w:r w:rsidRPr="0028659B">
        <w:rPr>
          <w:rFonts w:cstheme="minorHAnsi"/>
        </w:rPr>
        <w:t xml:space="preserve">The </w:t>
      </w:r>
      <w:r w:rsidR="005A2F80">
        <w:rPr>
          <w:rFonts w:cstheme="minorHAnsi"/>
        </w:rPr>
        <w:t>Base Case</w:t>
      </w:r>
      <w:r w:rsidRPr="0028659B">
        <w:rPr>
          <w:rFonts w:cstheme="minorHAnsi"/>
        </w:rPr>
        <w:t xml:space="preserve"> is scored a 0.</w:t>
      </w:r>
    </w:p>
    <w:p w14:paraId="4778E46C" w14:textId="77777777" w:rsidR="0028659B" w:rsidRPr="001E347D" w:rsidRDefault="0028659B" w:rsidP="0028659B">
      <w:pPr>
        <w:rPr>
          <w:rStyle w:val="Strong"/>
        </w:rPr>
      </w:pPr>
      <w:r w:rsidRPr="001E347D">
        <w:rPr>
          <w:rStyle w:val="Strong"/>
        </w:rPr>
        <w:t>Option 1</w:t>
      </w:r>
    </w:p>
    <w:p w14:paraId="03DFCB3F" w14:textId="77777777" w:rsidR="0028659B" w:rsidRPr="0028659B" w:rsidRDefault="0028659B" w:rsidP="0028659B">
      <w:pPr>
        <w:rPr>
          <w:rFonts w:cstheme="minorHAnsi"/>
        </w:rPr>
      </w:pPr>
      <w:r w:rsidRPr="0028659B">
        <w:rPr>
          <w:rFonts w:cstheme="minorHAnsi"/>
        </w:rPr>
        <w:t xml:space="preserve">Option 1 maintains the current arrangements with no proposed amendments. </w:t>
      </w:r>
    </w:p>
    <w:p w14:paraId="3B84D25B" w14:textId="77777777" w:rsidR="0028659B" w:rsidRPr="0028659B" w:rsidRDefault="0028659B" w:rsidP="0028659B">
      <w:pPr>
        <w:rPr>
          <w:rFonts w:cstheme="minorHAnsi"/>
        </w:rPr>
      </w:pPr>
      <w:r w:rsidRPr="0028659B">
        <w:rPr>
          <w:rFonts w:cstheme="minorHAnsi"/>
        </w:rPr>
        <w:t xml:space="preserve">Regulation 7A is a key foundation for regulating standards for clinical governance in Victoria. However, the current arrangements do not provide a transparent and robust mechanism for oversight and engagement on protocols of HSEs by the regulator, or a sufficient oversight framework to review the certain key elements of clinical governance. </w:t>
      </w:r>
    </w:p>
    <w:p w14:paraId="7186B5D0" w14:textId="5412F5F6" w:rsidR="0028659B" w:rsidRPr="0028659B" w:rsidRDefault="0028659B" w:rsidP="0028659B">
      <w:pPr>
        <w:rPr>
          <w:rFonts w:cstheme="minorHAnsi"/>
          <w:color w:val="000000"/>
          <w:szCs w:val="20"/>
          <w:lang w:val="en-AU"/>
        </w:rPr>
      </w:pPr>
      <w:r w:rsidRPr="0028659B">
        <w:rPr>
          <w:rFonts w:cstheme="minorHAnsi"/>
          <w:color w:val="000000"/>
          <w:szCs w:val="20"/>
          <w:lang w:val="en-AU"/>
        </w:rPr>
        <w:t xml:space="preserve">This limits the ability of the department to make assessments about whether a HSE will provide safe and quality care to patients. For example, </w:t>
      </w:r>
      <w:r w:rsidR="007C333B">
        <w:rPr>
          <w:rFonts w:cstheme="minorHAnsi"/>
          <w:color w:val="000000"/>
          <w:szCs w:val="20"/>
          <w:lang w:val="en-AU"/>
        </w:rPr>
        <w:t>Commission</w:t>
      </w:r>
      <w:r w:rsidRPr="0028659B">
        <w:rPr>
          <w:rFonts w:cstheme="minorHAnsi"/>
          <w:color w:val="000000"/>
          <w:szCs w:val="20"/>
          <w:lang w:val="en-AU"/>
        </w:rPr>
        <w:t xml:space="preserve"> data on the accreditation may show a HSE did not meet several actions at the initial assessment stage and there was a remediation process undertaken to achieve a met rating. The department would be able to request the HSE’s protocols but would not have a transparent and robust process set out in the Regulations for engaging further with the HSE and monitoring compliance. </w:t>
      </w:r>
    </w:p>
    <w:p w14:paraId="57F9D4B6" w14:textId="77777777" w:rsidR="0028659B" w:rsidRPr="0028659B" w:rsidRDefault="0028659B" w:rsidP="0028659B">
      <w:pPr>
        <w:rPr>
          <w:rFonts w:cstheme="minorHAnsi"/>
          <w:color w:val="000000"/>
          <w:szCs w:val="20"/>
          <w:lang w:val="en-AU"/>
        </w:rPr>
      </w:pPr>
      <w:r w:rsidRPr="0028659B">
        <w:rPr>
          <w:rFonts w:cstheme="minorHAnsi"/>
          <w:color w:val="000000"/>
          <w:szCs w:val="20"/>
          <w:lang w:val="en-AU"/>
        </w:rPr>
        <w:t xml:space="preserve">Feedback received via consultation on proposed changes to clinical governance is mixed: between the private health sector who are mostly in favour of maintaining the current clinical governance arrangements and some peak body and regulatory stakeholders who are in favour of making the clinical governance requirements more prescriptive, for example by mandating the Victorian Government Clinical Governance Framework and SCV credentialling policy. </w:t>
      </w:r>
    </w:p>
    <w:p w14:paraId="2662368A" w14:textId="09DAB6E1" w:rsidR="0028659B" w:rsidRPr="0028659B" w:rsidRDefault="0028659B" w:rsidP="0028659B">
      <w:pPr>
        <w:rPr>
          <w:rFonts w:cstheme="minorHAnsi"/>
        </w:rPr>
      </w:pPr>
      <w:r w:rsidRPr="0028659B">
        <w:rPr>
          <w:rFonts w:cstheme="minorHAnsi"/>
        </w:rPr>
        <w:t xml:space="preserve">Option 1 is assessed as somewhat better than the </w:t>
      </w:r>
      <w:r w:rsidR="005A2F80">
        <w:rPr>
          <w:rFonts w:cstheme="minorHAnsi"/>
        </w:rPr>
        <w:t>Base Case</w:t>
      </w:r>
      <w:r w:rsidRPr="0028659B">
        <w:rPr>
          <w:rFonts w:cstheme="minorHAnsi"/>
        </w:rPr>
        <w:t xml:space="preserve"> (+5).</w:t>
      </w:r>
    </w:p>
    <w:p w14:paraId="20D31F9B" w14:textId="77777777" w:rsidR="0028659B" w:rsidRPr="001E347D" w:rsidRDefault="0028659B" w:rsidP="0028659B">
      <w:pPr>
        <w:rPr>
          <w:rStyle w:val="Strong"/>
        </w:rPr>
      </w:pPr>
      <w:r w:rsidRPr="001E347D">
        <w:rPr>
          <w:rStyle w:val="Strong"/>
        </w:rPr>
        <w:t>Option 2</w:t>
      </w:r>
    </w:p>
    <w:p w14:paraId="5E703E1F" w14:textId="77777777" w:rsidR="0028659B" w:rsidRPr="0028659B" w:rsidRDefault="0028659B" w:rsidP="0028659B">
      <w:pPr>
        <w:rPr>
          <w:rFonts w:cstheme="minorHAnsi"/>
          <w:i/>
          <w:color w:val="000000"/>
          <w:szCs w:val="20"/>
          <w:lang w:val="en-AU"/>
        </w:rPr>
      </w:pPr>
      <w:r w:rsidRPr="0028659B">
        <w:rPr>
          <w:rFonts w:cstheme="minorHAnsi"/>
          <w:i/>
          <w:color w:val="000000"/>
          <w:szCs w:val="20"/>
          <w:lang w:val="en-AU"/>
        </w:rPr>
        <w:t>Review mechanism</w:t>
      </w:r>
    </w:p>
    <w:p w14:paraId="130C09AD" w14:textId="546797B8" w:rsidR="0028659B" w:rsidRPr="0028659B" w:rsidRDefault="0028659B" w:rsidP="0028659B">
      <w:pPr>
        <w:rPr>
          <w:rFonts w:cstheme="minorHAnsi"/>
          <w:color w:val="000000"/>
          <w:szCs w:val="20"/>
          <w:lang w:val="en-AU"/>
        </w:rPr>
      </w:pPr>
      <w:r w:rsidRPr="0028659B">
        <w:rPr>
          <w:rFonts w:cstheme="minorHAnsi"/>
          <w:color w:val="000000"/>
          <w:szCs w:val="20"/>
          <w:lang w:val="en-AU"/>
        </w:rPr>
        <w:t>Under the Regulations, the Secretary can currently request the protocols, but there is nothing prescribed about reviewing a HSE’s protocols, including how the Secretary can engage further with the HSE or make directions for improvement. This option addresses concerns about clinical governance performance under current arrangements.</w:t>
      </w:r>
    </w:p>
    <w:p w14:paraId="4135FB9E" w14:textId="614B12EE" w:rsidR="0028659B" w:rsidRPr="0028659B" w:rsidRDefault="0028659B" w:rsidP="0028659B">
      <w:pPr>
        <w:rPr>
          <w:rFonts w:cstheme="minorHAnsi"/>
          <w:color w:val="000000"/>
          <w:szCs w:val="20"/>
          <w:lang w:val="en-AU"/>
        </w:rPr>
      </w:pPr>
      <w:r w:rsidRPr="0028659B">
        <w:rPr>
          <w:rFonts w:cstheme="minorHAnsi"/>
          <w:color w:val="000000"/>
          <w:szCs w:val="20"/>
          <w:lang w:val="en-AU"/>
        </w:rPr>
        <w:t xml:space="preserve">During consultation with private hospital stakeholders, feedback </w:t>
      </w:r>
      <w:r w:rsidR="0006301D">
        <w:rPr>
          <w:rFonts w:cstheme="minorHAnsi"/>
          <w:color w:val="000000"/>
          <w:szCs w:val="20"/>
          <w:lang w:val="en-AU"/>
        </w:rPr>
        <w:t>was not negative</w:t>
      </w:r>
      <w:r w:rsidRPr="0028659B">
        <w:rPr>
          <w:rFonts w:cstheme="minorHAnsi"/>
          <w:color w:val="000000"/>
          <w:szCs w:val="20"/>
          <w:lang w:val="en-AU"/>
        </w:rPr>
        <w:t xml:space="preserve"> on the headline proposal of having a review mechanism </w:t>
      </w:r>
      <w:r w:rsidRPr="0028659B">
        <w:rPr>
          <w:rFonts w:cstheme="minorHAnsi"/>
          <w:i/>
          <w:color w:val="000000"/>
          <w:szCs w:val="20"/>
          <w:lang w:val="en-AU"/>
        </w:rPr>
        <w:t>however</w:t>
      </w:r>
      <w:r w:rsidRPr="0028659B">
        <w:rPr>
          <w:rFonts w:cstheme="minorHAnsi"/>
          <w:color w:val="000000"/>
          <w:szCs w:val="20"/>
          <w:lang w:val="en-AU"/>
        </w:rPr>
        <w:t xml:space="preserve"> there was strong concern about the granting of power to the Secretary to effectively nominate best practice </w:t>
      </w:r>
      <w:r w:rsidR="00953C37">
        <w:rPr>
          <w:rFonts w:cstheme="minorHAnsi"/>
          <w:color w:val="000000"/>
          <w:szCs w:val="20"/>
          <w:lang w:val="en-AU"/>
        </w:rPr>
        <w:t xml:space="preserve">clinical </w:t>
      </w:r>
      <w:r w:rsidRPr="0028659B">
        <w:rPr>
          <w:rFonts w:cstheme="minorHAnsi"/>
          <w:color w:val="000000"/>
          <w:szCs w:val="20"/>
          <w:lang w:val="en-AU"/>
        </w:rPr>
        <w:t>governance arrangements against which a facility’s protocols will be reviewed, and then effectively require the facility to amend its protocols to adopt those arrangements. Private hospitals are concerned about the level of uncertainty of the proposed regulation. Private hospitals questioned whether providing the Secretary with the power to nominate best practice may be a way for the Secretary to indirectly mandate the Victorian Clinical Governance Framework and the SCV Credentialing policy (without explicitly mandating these in regulations, and if best practice was defined to incorporate review against the Victorian Clinical Governance Framework and SCV Credentialing Policy).</w:t>
      </w:r>
    </w:p>
    <w:p w14:paraId="4F02C17A" w14:textId="52B77BC3" w:rsidR="0028659B" w:rsidRPr="0028659B" w:rsidRDefault="0028659B" w:rsidP="0028659B">
      <w:pPr>
        <w:rPr>
          <w:color w:val="000000"/>
          <w:lang w:val="en-AU"/>
        </w:rPr>
      </w:pPr>
      <w:r w:rsidRPr="549FFF35">
        <w:rPr>
          <w:color w:val="000000" w:themeColor="text2"/>
          <w:lang w:val="en-AU"/>
        </w:rPr>
        <w:t>Best practice is not currently defined in the Regulations so there are limits to which the potential impacts of this element of the proposal can be assessed in this RIS.</w:t>
      </w:r>
      <w:r w:rsidRPr="13C23CF4">
        <w:rPr>
          <w:color w:val="000000" w:themeColor="text2"/>
          <w:lang w:val="en-AU"/>
        </w:rPr>
        <w:t xml:space="preserve"> </w:t>
      </w:r>
      <w:r w:rsidR="3981F85B" w:rsidRPr="13C23CF4">
        <w:rPr>
          <w:color w:val="000000" w:themeColor="text2"/>
          <w:lang w:val="en-AU"/>
        </w:rPr>
        <w:t xml:space="preserve">The best practice </w:t>
      </w:r>
      <w:r w:rsidR="006553B2">
        <w:rPr>
          <w:color w:val="000000" w:themeColor="text2"/>
          <w:lang w:val="en-AU"/>
        </w:rPr>
        <w:t xml:space="preserve">guidelines </w:t>
      </w:r>
      <w:r w:rsidR="3981F85B" w:rsidRPr="3A72984B">
        <w:rPr>
          <w:color w:val="000000" w:themeColor="text2"/>
          <w:lang w:val="en-AU"/>
        </w:rPr>
        <w:lastRenderedPageBreak/>
        <w:t xml:space="preserve">considered by the Secretary in assessing </w:t>
      </w:r>
      <w:r w:rsidR="3981F85B" w:rsidRPr="20ECDA28">
        <w:rPr>
          <w:color w:val="000000" w:themeColor="text2"/>
          <w:lang w:val="en-AU"/>
        </w:rPr>
        <w:t xml:space="preserve">the protocols a </w:t>
      </w:r>
      <w:r w:rsidR="00235E1F" w:rsidRPr="20ECDA28">
        <w:rPr>
          <w:color w:val="000000" w:themeColor="text2"/>
          <w:lang w:val="en-AU"/>
        </w:rPr>
        <w:t>facility</w:t>
      </w:r>
      <w:r w:rsidR="3981F85B" w:rsidRPr="20ECDA28">
        <w:rPr>
          <w:color w:val="000000" w:themeColor="text2"/>
          <w:lang w:val="en-AU"/>
        </w:rPr>
        <w:t xml:space="preserve"> has in place, which may inform </w:t>
      </w:r>
      <w:r w:rsidR="3981F85B" w:rsidRPr="7E7789C5">
        <w:rPr>
          <w:color w:val="000000" w:themeColor="text2"/>
          <w:lang w:val="en-AU"/>
        </w:rPr>
        <w:t xml:space="preserve">directions aimed at </w:t>
      </w:r>
      <w:r w:rsidR="3981F85B" w:rsidRPr="79771B20">
        <w:rPr>
          <w:color w:val="000000" w:themeColor="text2"/>
          <w:lang w:val="en-AU"/>
        </w:rPr>
        <w:t xml:space="preserve">improving the protocols, </w:t>
      </w:r>
      <w:r w:rsidRPr="79771B20">
        <w:rPr>
          <w:color w:val="000000" w:themeColor="text2"/>
          <w:lang w:val="en-AU"/>
        </w:rPr>
        <w:t>could</w:t>
      </w:r>
      <w:r w:rsidRPr="549FFF35">
        <w:rPr>
          <w:color w:val="000000" w:themeColor="text2"/>
          <w:lang w:val="en-AU"/>
        </w:rPr>
        <w:t xml:space="preserve"> result in different impacts on HSEs and patients</w:t>
      </w:r>
      <w:r w:rsidR="7A599A5D" w:rsidRPr="458C4884">
        <w:rPr>
          <w:color w:val="000000" w:themeColor="text2"/>
          <w:lang w:val="en-AU"/>
        </w:rPr>
        <w:t xml:space="preserve"> depending on the content of th</w:t>
      </w:r>
      <w:r w:rsidR="006553B2">
        <w:rPr>
          <w:color w:val="000000" w:themeColor="text2"/>
          <w:lang w:val="en-AU"/>
        </w:rPr>
        <w:t>ose</w:t>
      </w:r>
      <w:r w:rsidR="7A599A5D" w:rsidRPr="458C4884">
        <w:rPr>
          <w:color w:val="000000" w:themeColor="text2"/>
          <w:lang w:val="en-AU"/>
        </w:rPr>
        <w:t xml:space="preserve"> </w:t>
      </w:r>
      <w:r w:rsidR="006553B2">
        <w:rPr>
          <w:color w:val="000000" w:themeColor="text2"/>
          <w:lang w:val="en-AU"/>
        </w:rPr>
        <w:t>guidelines</w:t>
      </w:r>
      <w:r w:rsidRPr="458C4884">
        <w:rPr>
          <w:color w:val="000000" w:themeColor="text2"/>
          <w:lang w:val="en-AU"/>
        </w:rPr>
        <w:t>.</w:t>
      </w:r>
    </w:p>
    <w:p w14:paraId="37C5406F" w14:textId="77777777" w:rsidR="0028659B" w:rsidRPr="0028659B" w:rsidRDefault="0028659B" w:rsidP="0028659B">
      <w:pPr>
        <w:rPr>
          <w:rFonts w:cstheme="minorHAnsi"/>
          <w:color w:val="000000"/>
          <w:szCs w:val="20"/>
          <w:lang w:val="en-AU"/>
        </w:rPr>
      </w:pPr>
      <w:r w:rsidRPr="0028659B">
        <w:rPr>
          <w:rFonts w:cstheme="minorHAnsi"/>
          <w:color w:val="000000"/>
          <w:szCs w:val="20"/>
          <w:lang w:val="en-AU"/>
        </w:rPr>
        <w:t xml:space="preserve">However, the department intends that these provisions will align with, and supplement, accreditation assessments against the Standards, and the current risk-based compliance monitoring by the Secretary as regulator under the Act and Regulations. It is not intended to operate as an indirect mechanism for the Secretary to mandate specific operational or clinical arrangements. </w:t>
      </w:r>
    </w:p>
    <w:p w14:paraId="2545B75F" w14:textId="59B0C462" w:rsidR="0028659B" w:rsidRPr="0028659B" w:rsidRDefault="003F6FD7" w:rsidP="0028659B">
      <w:pPr>
        <w:rPr>
          <w:rFonts w:cstheme="minorHAnsi"/>
          <w:color w:val="000000"/>
          <w:szCs w:val="20"/>
          <w:lang w:val="en-AU"/>
        </w:rPr>
      </w:pPr>
      <w:r>
        <w:rPr>
          <w:rFonts w:cstheme="minorHAnsi"/>
          <w:color w:val="000000"/>
          <w:szCs w:val="20"/>
          <w:lang w:val="en-AU"/>
        </w:rPr>
        <w:t>So</w:t>
      </w:r>
      <w:r w:rsidR="0028659B" w:rsidRPr="0028659B">
        <w:rPr>
          <w:rFonts w:cstheme="minorHAnsi"/>
          <w:color w:val="000000"/>
          <w:szCs w:val="20"/>
          <w:lang w:val="en-AU"/>
        </w:rPr>
        <w:t>, for the purpose of this RIS</w:t>
      </w:r>
      <w:r>
        <w:rPr>
          <w:rFonts w:cstheme="minorHAnsi"/>
          <w:color w:val="000000"/>
          <w:szCs w:val="20"/>
          <w:lang w:val="en-AU"/>
        </w:rPr>
        <w:t>,</w:t>
      </w:r>
      <w:r w:rsidR="0028659B" w:rsidRPr="0028659B">
        <w:rPr>
          <w:rFonts w:cstheme="minorHAnsi"/>
          <w:color w:val="000000"/>
          <w:szCs w:val="20"/>
          <w:lang w:val="en-AU"/>
        </w:rPr>
        <w:t xml:space="preserve"> </w:t>
      </w:r>
      <w:r w:rsidR="00292D22">
        <w:rPr>
          <w:rFonts w:cstheme="minorHAnsi"/>
          <w:color w:val="000000"/>
          <w:szCs w:val="20"/>
          <w:lang w:val="en-AU"/>
        </w:rPr>
        <w:t xml:space="preserve">it is expected that </w:t>
      </w:r>
      <w:r w:rsidR="0028659B" w:rsidRPr="0028659B">
        <w:rPr>
          <w:rFonts w:cstheme="minorHAnsi"/>
          <w:color w:val="000000"/>
          <w:szCs w:val="20"/>
          <w:lang w:val="en-AU"/>
        </w:rPr>
        <w:t xml:space="preserve">best practice </w:t>
      </w:r>
      <w:r w:rsidR="004B0623">
        <w:rPr>
          <w:rFonts w:cstheme="minorHAnsi"/>
          <w:color w:val="000000"/>
          <w:szCs w:val="20"/>
          <w:lang w:val="en-AU"/>
        </w:rPr>
        <w:t xml:space="preserve">guidelines </w:t>
      </w:r>
      <w:r w:rsidR="007C75FD">
        <w:rPr>
          <w:rFonts w:cstheme="minorHAnsi"/>
          <w:color w:val="000000"/>
          <w:szCs w:val="20"/>
          <w:lang w:val="en-AU"/>
        </w:rPr>
        <w:t xml:space="preserve">referred to for reviews of protocols under the amended Regulations would </w:t>
      </w:r>
      <w:r w:rsidR="0028659B" w:rsidRPr="0028659B">
        <w:rPr>
          <w:rFonts w:cstheme="minorHAnsi"/>
          <w:color w:val="000000"/>
          <w:szCs w:val="20"/>
          <w:lang w:val="en-AU"/>
        </w:rPr>
        <w:t xml:space="preserve">align to current intent and best practice; therefore </w:t>
      </w:r>
      <w:r>
        <w:rPr>
          <w:rFonts w:cstheme="minorHAnsi"/>
          <w:color w:val="000000"/>
          <w:szCs w:val="20"/>
          <w:lang w:val="en-AU"/>
        </w:rPr>
        <w:t xml:space="preserve">resulting in </w:t>
      </w:r>
      <w:r w:rsidR="0028659B" w:rsidRPr="0028659B">
        <w:rPr>
          <w:rFonts w:cstheme="minorHAnsi"/>
          <w:color w:val="000000"/>
          <w:szCs w:val="20"/>
          <w:lang w:val="en-AU"/>
        </w:rPr>
        <w:t xml:space="preserve">no major changes </w:t>
      </w:r>
      <w:r w:rsidR="00295FD5">
        <w:rPr>
          <w:rFonts w:cstheme="minorHAnsi"/>
          <w:color w:val="000000"/>
          <w:szCs w:val="20"/>
          <w:lang w:val="en-AU"/>
        </w:rPr>
        <w:t>to current actual</w:t>
      </w:r>
      <w:r w:rsidR="0028659B" w:rsidRPr="0028659B">
        <w:rPr>
          <w:rFonts w:cstheme="minorHAnsi"/>
          <w:color w:val="000000"/>
          <w:szCs w:val="20"/>
          <w:lang w:val="en-AU"/>
        </w:rPr>
        <w:t xml:space="preserve"> clinical governance requirements. However, there remains a degree of uncertainty about the proposal until the design and implementation is complete. As part of this implementation, and the ongoing operation of the proposed new provisions, it is expected that prior to </w:t>
      </w:r>
      <w:r w:rsidR="002D0F1C">
        <w:rPr>
          <w:rFonts w:cstheme="minorHAnsi"/>
          <w:color w:val="000000"/>
          <w:szCs w:val="20"/>
          <w:lang w:val="en-AU"/>
        </w:rPr>
        <w:t xml:space="preserve">determining </w:t>
      </w:r>
      <w:r w:rsidR="0028659B" w:rsidRPr="0028659B">
        <w:rPr>
          <w:rFonts w:cstheme="minorHAnsi"/>
          <w:color w:val="000000"/>
          <w:szCs w:val="20"/>
          <w:lang w:val="en-AU"/>
        </w:rPr>
        <w:t>any best practice resource as one that can be referred to for the purposes of a review of a facility’s protocols, there would be stakeholder consultation to build transparency.</w:t>
      </w:r>
    </w:p>
    <w:p w14:paraId="7E987134" w14:textId="77777777" w:rsidR="0028659B" w:rsidRPr="0028659B" w:rsidRDefault="0028659B" w:rsidP="0028659B">
      <w:pPr>
        <w:rPr>
          <w:rFonts w:cstheme="minorHAnsi"/>
          <w:i/>
          <w:color w:val="000000"/>
          <w:szCs w:val="20"/>
          <w:lang w:val="en-AU"/>
        </w:rPr>
      </w:pPr>
      <w:r w:rsidRPr="0028659B">
        <w:rPr>
          <w:rFonts w:cstheme="minorHAnsi"/>
          <w:i/>
          <w:color w:val="000000"/>
          <w:szCs w:val="20"/>
          <w:lang w:val="en-AU"/>
        </w:rPr>
        <w:t xml:space="preserve">Additional matters to be dealt with in a facility’s protocols </w:t>
      </w:r>
    </w:p>
    <w:p w14:paraId="393BD2D9" w14:textId="77777777" w:rsidR="0028659B" w:rsidRPr="0028659B" w:rsidRDefault="0028659B" w:rsidP="0028659B">
      <w:pPr>
        <w:rPr>
          <w:rFonts w:cstheme="minorHAnsi"/>
          <w:color w:val="000000"/>
          <w:szCs w:val="20"/>
          <w:lang w:val="en-AU"/>
        </w:rPr>
      </w:pPr>
      <w:r w:rsidRPr="0028659B">
        <w:rPr>
          <w:rFonts w:cstheme="minorHAnsi"/>
          <w:color w:val="000000"/>
          <w:szCs w:val="20"/>
          <w:lang w:val="en-AU"/>
        </w:rPr>
        <w:t xml:space="preserve">Including additional matters in the required elements for protocols under the Regulations is intended to strengthen governance in facilities by making explicit that these key matters must be addressed in the protocols developed and followed by each facility and also thereby providing the Secretary as regulator with a clear basis to engage with facilities to ensure that those matters are appropriately addressed, hence improving oversight of clinical governance.  </w:t>
      </w:r>
    </w:p>
    <w:p w14:paraId="4714AB85" w14:textId="18D0169D" w:rsidR="0028659B" w:rsidRPr="0028659B" w:rsidRDefault="00295FD5" w:rsidP="0028659B">
      <w:pPr>
        <w:rPr>
          <w:rFonts w:cstheme="minorHAnsi"/>
          <w:color w:val="000000"/>
          <w:szCs w:val="20"/>
          <w:lang w:val="en-AU"/>
        </w:rPr>
      </w:pPr>
      <w:r>
        <w:rPr>
          <w:rFonts w:cstheme="minorHAnsi"/>
          <w:color w:val="000000"/>
          <w:szCs w:val="20"/>
          <w:lang w:val="en-AU"/>
        </w:rPr>
        <w:t>P</w:t>
      </w:r>
      <w:r w:rsidR="0028659B" w:rsidRPr="0028659B">
        <w:rPr>
          <w:rFonts w:cstheme="minorHAnsi"/>
          <w:color w:val="000000"/>
          <w:szCs w:val="20"/>
          <w:lang w:val="en-AU"/>
        </w:rPr>
        <w:t xml:space="preserve">rivate hospitals raised concerns that the proposal would create misalignment or additional complexity (relative to Option 1). However, </w:t>
      </w:r>
      <w:r w:rsidR="00BA2C36">
        <w:rPr>
          <w:rFonts w:cstheme="minorHAnsi"/>
          <w:color w:val="000000"/>
          <w:szCs w:val="20"/>
          <w:lang w:val="en-AU"/>
        </w:rPr>
        <w:t xml:space="preserve">with the </w:t>
      </w:r>
      <w:r w:rsidR="00BA2C36" w:rsidRPr="0028659B">
        <w:rPr>
          <w:rFonts w:cstheme="minorHAnsi"/>
          <w:color w:val="000000"/>
          <w:szCs w:val="20"/>
          <w:lang w:val="en-AU"/>
        </w:rPr>
        <w:t>except</w:t>
      </w:r>
      <w:r w:rsidR="00BA2C36">
        <w:rPr>
          <w:rFonts w:cstheme="minorHAnsi"/>
          <w:color w:val="000000"/>
          <w:szCs w:val="20"/>
          <w:lang w:val="en-AU"/>
        </w:rPr>
        <w:t>ion of</w:t>
      </w:r>
      <w:r w:rsidR="00BA2C36" w:rsidRPr="0028659B">
        <w:rPr>
          <w:rFonts w:cstheme="minorHAnsi"/>
          <w:color w:val="000000"/>
          <w:szCs w:val="20"/>
          <w:lang w:val="en-AU"/>
        </w:rPr>
        <w:t xml:space="preserve"> the proposed adjunct diagnostic services element</w:t>
      </w:r>
      <w:r w:rsidR="0028659B" w:rsidRPr="0028659B">
        <w:rPr>
          <w:rFonts w:cstheme="minorHAnsi"/>
          <w:color w:val="000000"/>
          <w:szCs w:val="20"/>
          <w:lang w:val="en-AU"/>
        </w:rPr>
        <w:t>, the proposed additions to the clinical governance protocols each relate directly to a specific action under the Standards. It is expected that HSEs will already have policies and procedures in place for these matters and that the impact in developing protocols under the Regulations will not be significant. In the Stakeholder Information Session with private hospitals in January 2023, there was no strong objection to formalising these requirements through the protocols</w:t>
      </w:r>
      <w:r w:rsidR="0028659B" w:rsidRPr="000D17F7">
        <w:rPr>
          <w:rStyle w:val="FootnoteReference"/>
        </w:rPr>
        <w:footnoteReference w:id="54"/>
      </w:r>
      <w:r w:rsidR="0028659B" w:rsidRPr="0028659B">
        <w:rPr>
          <w:rFonts w:cstheme="minorHAnsi"/>
          <w:color w:val="000000"/>
          <w:szCs w:val="20"/>
          <w:lang w:val="en-AU"/>
        </w:rPr>
        <w:t xml:space="preserve">. </w:t>
      </w:r>
    </w:p>
    <w:p w14:paraId="7F04DB3D" w14:textId="30BF4852" w:rsidR="0028659B" w:rsidRPr="0028659B" w:rsidRDefault="0028659B" w:rsidP="0028659B">
      <w:pPr>
        <w:rPr>
          <w:rFonts w:cstheme="minorHAnsi"/>
          <w:color w:val="000000"/>
          <w:szCs w:val="20"/>
          <w:lang w:val="en-AU"/>
        </w:rPr>
      </w:pPr>
      <w:r w:rsidRPr="0028659B">
        <w:rPr>
          <w:rFonts w:cstheme="minorHAnsi"/>
          <w:color w:val="000000"/>
          <w:szCs w:val="20"/>
          <w:lang w:val="en-AU"/>
        </w:rPr>
        <w:t>There is</w:t>
      </w:r>
      <w:r w:rsidR="00650B6B" w:rsidRPr="0028659B">
        <w:rPr>
          <w:rFonts w:cstheme="minorHAnsi"/>
          <w:color w:val="000000"/>
          <w:szCs w:val="20"/>
          <w:lang w:val="en-AU"/>
        </w:rPr>
        <w:t xml:space="preserve"> </w:t>
      </w:r>
      <w:r w:rsidR="00650B6B">
        <w:rPr>
          <w:rFonts w:cstheme="minorHAnsi"/>
          <w:color w:val="000000"/>
          <w:szCs w:val="20"/>
          <w:lang w:val="en-AU"/>
        </w:rPr>
        <w:t xml:space="preserve">no equivalent requirement in </w:t>
      </w:r>
      <w:r w:rsidRPr="0028659B">
        <w:rPr>
          <w:rFonts w:cstheme="minorHAnsi"/>
          <w:color w:val="000000"/>
          <w:szCs w:val="20"/>
          <w:lang w:val="en-AU"/>
        </w:rPr>
        <w:t xml:space="preserve">the Standards </w:t>
      </w:r>
      <w:r w:rsidR="003F584D">
        <w:rPr>
          <w:rFonts w:cstheme="minorHAnsi"/>
          <w:color w:val="000000"/>
          <w:szCs w:val="20"/>
          <w:lang w:val="en-AU"/>
        </w:rPr>
        <w:t>to</w:t>
      </w:r>
      <w:r w:rsidRPr="0028659B">
        <w:rPr>
          <w:rFonts w:cstheme="minorHAnsi"/>
          <w:color w:val="000000"/>
          <w:szCs w:val="20"/>
          <w:lang w:val="en-AU"/>
        </w:rPr>
        <w:t xml:space="preserve"> the </w:t>
      </w:r>
      <w:r w:rsidR="00180F7C">
        <w:rPr>
          <w:rFonts w:cstheme="minorHAnsi"/>
          <w:color w:val="000000"/>
          <w:szCs w:val="20"/>
          <w:lang w:val="en-AU"/>
        </w:rPr>
        <w:t xml:space="preserve">proposed </w:t>
      </w:r>
      <w:r w:rsidRPr="0028659B">
        <w:rPr>
          <w:rFonts w:cstheme="minorHAnsi"/>
          <w:color w:val="000000"/>
          <w:szCs w:val="20"/>
          <w:lang w:val="en-AU"/>
        </w:rPr>
        <w:t xml:space="preserve">requirement </w:t>
      </w:r>
      <w:r w:rsidR="00AB6087">
        <w:rPr>
          <w:rFonts w:cstheme="minorHAnsi"/>
          <w:color w:val="000000"/>
          <w:szCs w:val="20"/>
          <w:lang w:val="en-AU"/>
        </w:rPr>
        <w:t>in the Regulations</w:t>
      </w:r>
      <w:r w:rsidRPr="0028659B">
        <w:rPr>
          <w:rFonts w:cstheme="minorHAnsi"/>
          <w:color w:val="000000"/>
          <w:szCs w:val="20"/>
          <w:lang w:val="en-AU"/>
        </w:rPr>
        <w:t xml:space="preserve"> for protocols to set out processes for ensuring appropriate access to adjunct diagnostic services</w:t>
      </w:r>
      <w:r w:rsidRPr="000D17F7">
        <w:rPr>
          <w:rStyle w:val="FootnoteReference"/>
        </w:rPr>
        <w:footnoteReference w:id="55"/>
      </w:r>
      <w:r w:rsidRPr="0028659B">
        <w:rPr>
          <w:rFonts w:cstheme="minorHAnsi"/>
          <w:color w:val="000000"/>
          <w:szCs w:val="20"/>
          <w:lang w:val="en-AU"/>
        </w:rPr>
        <w:t>, taking into account the services provided at the facility</w:t>
      </w:r>
      <w:r w:rsidR="006923A7">
        <w:rPr>
          <w:rFonts w:cstheme="minorHAnsi"/>
          <w:color w:val="000000"/>
          <w:szCs w:val="20"/>
          <w:lang w:val="en-AU"/>
        </w:rPr>
        <w:t>.</w:t>
      </w:r>
      <w:r w:rsidRPr="0028659B">
        <w:rPr>
          <w:rFonts w:cstheme="minorHAnsi"/>
          <w:color w:val="000000"/>
          <w:szCs w:val="20"/>
          <w:lang w:val="en-AU"/>
        </w:rPr>
        <w:t xml:space="preserve"> </w:t>
      </w:r>
      <w:r w:rsidR="006923A7">
        <w:rPr>
          <w:rFonts w:cstheme="minorHAnsi"/>
          <w:color w:val="000000"/>
          <w:szCs w:val="20"/>
          <w:lang w:val="en-AU"/>
        </w:rPr>
        <w:t>However,</w:t>
      </w:r>
      <w:r w:rsidRPr="0028659B">
        <w:rPr>
          <w:rFonts w:cstheme="minorHAnsi"/>
          <w:color w:val="000000"/>
          <w:szCs w:val="20"/>
          <w:lang w:val="en-AU"/>
        </w:rPr>
        <w:t xml:space="preserve"> the Australian Private Hospitals Association noted in submission that “availability of adjunct diagnostic services are reviewed during routine regulatory visits by the Department of Health and by the delegated surveyors tasked with assessing compliance against the National Standards”. There has been feedback from sector peak </w:t>
      </w:r>
      <w:r w:rsidRPr="0028659B">
        <w:rPr>
          <w:rFonts w:cstheme="minorHAnsi"/>
          <w:color w:val="000000"/>
          <w:szCs w:val="20"/>
          <w:lang w:val="en-AU"/>
        </w:rPr>
        <w:lastRenderedPageBreak/>
        <w:t>bodies that this is typically reflected in the clinical capability framework of available services, formal or informal service level agreements or arrangements and adjunct policies. Clinical governance practices for adjunct diagnostic services are therefore already likely to be in place at HSEs, although effort may be required by HSEs to document a protocol for the purposes of the proposed Regulations. That said, there was no objection from private hospitals to formalising this requirement</w:t>
      </w:r>
      <w:r w:rsidRPr="000D17F7">
        <w:rPr>
          <w:rStyle w:val="FootnoteReference"/>
        </w:rPr>
        <w:footnoteReference w:id="56"/>
      </w:r>
      <w:r w:rsidRPr="0028659B">
        <w:rPr>
          <w:rFonts w:cstheme="minorHAnsi"/>
          <w:color w:val="000000"/>
          <w:szCs w:val="20"/>
          <w:lang w:val="en-AU"/>
        </w:rPr>
        <w:t>.</w:t>
      </w:r>
    </w:p>
    <w:p w14:paraId="785BAFC3" w14:textId="4409F07A" w:rsidR="0028659B" w:rsidRPr="0028659B" w:rsidRDefault="0028659B" w:rsidP="0028659B">
      <w:r w:rsidRPr="0028659B">
        <w:rPr>
          <w:rFonts w:cstheme="minorHAnsi"/>
          <w:color w:val="000000"/>
          <w:szCs w:val="20"/>
          <w:lang w:val="en-AU"/>
        </w:rPr>
        <w:t xml:space="preserve">Overall, the proposed changes to clinical governance requirements under this option are expected to have a moderate positive impact on patient safety and care by </w:t>
      </w:r>
      <w:r w:rsidRPr="0028659B">
        <w:t>strengthening foundational requirements for</w:t>
      </w:r>
      <w:r w:rsidR="009069F5">
        <w:t>,</w:t>
      </w:r>
      <w:r w:rsidRPr="0028659B">
        <w:t xml:space="preserve"> and oversight of</w:t>
      </w:r>
      <w:r w:rsidR="009069F5">
        <w:t>,</w:t>
      </w:r>
      <w:r w:rsidRPr="0028659B">
        <w:t xml:space="preserve"> clinical governance. This assumes moderate change to current clinical governance requirements already in place in most HSEs, but recognises the uncertainty of the proposed new power of the Secretary to </w:t>
      </w:r>
      <w:r w:rsidR="006923A7">
        <w:t>determine</w:t>
      </w:r>
      <w:r w:rsidR="006923A7" w:rsidRPr="0028659B">
        <w:t xml:space="preserve"> </w:t>
      </w:r>
      <w:r w:rsidRPr="0028659B">
        <w:t>what best practice is.</w:t>
      </w:r>
    </w:p>
    <w:p w14:paraId="7F720F15" w14:textId="77777777" w:rsidR="0028659B" w:rsidRPr="0028659B" w:rsidRDefault="0028659B" w:rsidP="0028659B">
      <w:pPr>
        <w:rPr>
          <w:rFonts w:cstheme="minorHAnsi"/>
        </w:rPr>
      </w:pPr>
      <w:r w:rsidRPr="0028659B">
        <w:rPr>
          <w:rFonts w:cstheme="minorHAnsi"/>
        </w:rPr>
        <w:t>Option 2 is assessed as slightly better than Option 1 (+7).</w:t>
      </w:r>
    </w:p>
    <w:p w14:paraId="55B9A485" w14:textId="77777777" w:rsidR="0028659B" w:rsidRPr="001E347D" w:rsidRDefault="0028659B" w:rsidP="0028659B">
      <w:pPr>
        <w:rPr>
          <w:rStyle w:val="Strong"/>
        </w:rPr>
      </w:pPr>
      <w:r w:rsidRPr="001E347D">
        <w:rPr>
          <w:rStyle w:val="Strong"/>
        </w:rPr>
        <w:t>Option 3</w:t>
      </w:r>
    </w:p>
    <w:p w14:paraId="4DE960F3" w14:textId="3A672978" w:rsidR="0028659B" w:rsidRPr="0028659B" w:rsidRDefault="00F0307A" w:rsidP="0028659B">
      <w:r>
        <w:rPr>
          <w:rFonts w:cstheme="minorHAnsi"/>
          <w:color w:val="000000"/>
          <w:szCs w:val="20"/>
          <w:lang w:val="en-AU"/>
        </w:rPr>
        <w:t>The option to require HSEs to compl</w:t>
      </w:r>
      <w:r w:rsidR="001C3D54">
        <w:rPr>
          <w:rFonts w:cstheme="minorHAnsi"/>
          <w:color w:val="000000"/>
          <w:szCs w:val="20"/>
          <w:lang w:val="en-AU"/>
        </w:rPr>
        <w:t>y with the VCGF and Credentialling Policy,</w:t>
      </w:r>
      <w:r w:rsidR="0028659B" w:rsidRPr="0028659B">
        <w:rPr>
          <w:rFonts w:cstheme="minorHAnsi"/>
          <w:color w:val="000000"/>
          <w:szCs w:val="20"/>
          <w:lang w:val="en-AU"/>
        </w:rPr>
        <w:t xml:space="preserve"> which was canvassed in the discussion paper, </w:t>
      </w:r>
      <w:r w:rsidR="0028659B" w:rsidRPr="0028659B">
        <w:t xml:space="preserve">received support from some stakeholders. </w:t>
      </w:r>
    </w:p>
    <w:p w14:paraId="13CC1437" w14:textId="0FA51DFC" w:rsidR="00263706" w:rsidRPr="009310F4" w:rsidRDefault="00360971" w:rsidP="0028659B">
      <w:pPr>
        <w:ind w:left="720"/>
      </w:pPr>
      <w:r>
        <w:rPr>
          <w:i/>
          <w:iCs/>
        </w:rPr>
        <w:t>“</w:t>
      </w:r>
      <w:r w:rsidR="00263706" w:rsidRPr="00263706">
        <w:rPr>
          <w:i/>
          <w:iCs/>
        </w:rPr>
        <w:t>We note that effective clinical governance is essential for the health and safety of the public. Any guidance and/or frameworks that assist health services and individual practitioners to correctly understand their professional responsibilities in relation to clinical governance helps to ensure safe and professional practice as well as the safety and quality of health services that are being provided by those practitioners.</w:t>
      </w:r>
      <w:r>
        <w:rPr>
          <w:i/>
          <w:iCs/>
        </w:rPr>
        <w:t>”</w:t>
      </w:r>
      <w:r>
        <w:t xml:space="preserve"> </w:t>
      </w:r>
    </w:p>
    <w:p w14:paraId="6689E948" w14:textId="363736A8" w:rsidR="0028659B" w:rsidRPr="003466C9" w:rsidRDefault="00360971" w:rsidP="0028659B">
      <w:pPr>
        <w:ind w:left="720"/>
        <w:rPr>
          <w:i/>
          <w:iCs/>
        </w:rPr>
      </w:pPr>
      <w:r>
        <w:rPr>
          <w:i/>
          <w:iCs/>
        </w:rPr>
        <w:t>“</w:t>
      </w:r>
      <w:r w:rsidR="00211DD8" w:rsidRPr="00211DD8">
        <w:rPr>
          <w:i/>
          <w:iCs/>
        </w:rPr>
        <w:t>The Safer Care Victoria Victorian Clinical Governance Framework arose out of significant system failures at Djerriwarrh Heath Services. The Framework provides a broad set of principles to promote quality and safety and to reduce clinical risk.</w:t>
      </w:r>
      <w:r w:rsidR="001836C1">
        <w:rPr>
          <w:i/>
          <w:iCs/>
        </w:rPr>
        <w:t xml:space="preserve"> </w:t>
      </w:r>
      <w:r w:rsidR="001836C1" w:rsidRPr="003466C9">
        <w:rPr>
          <w:i/>
          <w:iCs/>
        </w:rPr>
        <w:t>Requiring private hospitals and day procedure centres to comply…</w:t>
      </w:r>
      <w:r w:rsidR="0028659B" w:rsidRPr="0028659B">
        <w:rPr>
          <w:i/>
          <w:iCs/>
        </w:rPr>
        <w:t>mean that irrespective of the health care settings, all Victorians have access to high quality care referenced against one yardstick or framework for clinical governance.</w:t>
      </w:r>
      <w:r>
        <w:rPr>
          <w:i/>
          <w:iCs/>
        </w:rPr>
        <w:t>"</w:t>
      </w:r>
    </w:p>
    <w:p w14:paraId="53C7555C" w14:textId="77777777" w:rsidR="0028659B" w:rsidRPr="0028659B" w:rsidRDefault="0028659B" w:rsidP="0028659B">
      <w:pPr>
        <w:rPr>
          <w:color w:val="000000" w:themeColor="text1"/>
        </w:rPr>
      </w:pPr>
      <w:r w:rsidRPr="0028659B">
        <w:rPr>
          <w:color w:val="000000" w:themeColor="text1"/>
        </w:rPr>
        <w:t>The private health sector generally expressed the view that prescriptive requirements in the Regulations proposed under Option 3 would not necessarily be appropriate, or effective at supporting quality and safety. It was argued that optimal and feasible arrangements for a facility will depend on various factors, including the services provided, the acuity of patients, and organisational and corporate governance.</w:t>
      </w:r>
    </w:p>
    <w:p w14:paraId="21227AF9" w14:textId="66A30369" w:rsidR="0028659B" w:rsidRPr="0028659B" w:rsidRDefault="00783E59" w:rsidP="0028659B">
      <w:pPr>
        <w:ind w:left="720"/>
        <w:rPr>
          <w:i/>
        </w:rPr>
      </w:pPr>
      <w:r>
        <w:rPr>
          <w:i/>
        </w:rPr>
        <w:t>“</w:t>
      </w:r>
      <w:r w:rsidR="0028659B" w:rsidRPr="0028659B">
        <w:rPr>
          <w:i/>
        </w:rPr>
        <w:t xml:space="preserve">Initial reviews by health services have indicated there are already Standards and appropriate mechanisms in place to meet governance requirements </w:t>
      </w:r>
      <w:r w:rsidR="00970F41">
        <w:rPr>
          <w:i/>
        </w:rPr>
        <w:t xml:space="preserve">in the </w:t>
      </w:r>
      <w:r w:rsidR="0028659B" w:rsidRPr="0028659B">
        <w:rPr>
          <w:i/>
        </w:rPr>
        <w:t>National Standards by the Australian Commission on Safety and Quality in Health Care’s and suggest implementation of proposed Regulation changes would cause further duplication both in reporting and oversight.</w:t>
      </w:r>
      <w:r>
        <w:t>”</w:t>
      </w:r>
    </w:p>
    <w:p w14:paraId="42D4600C" w14:textId="5334BD8D" w:rsidR="0028659B" w:rsidRPr="0028659B" w:rsidRDefault="002A4270" w:rsidP="0028659B">
      <w:pPr>
        <w:ind w:left="720"/>
        <w:rPr>
          <w:i/>
          <w:iCs/>
        </w:rPr>
      </w:pPr>
      <w:r>
        <w:rPr>
          <w:i/>
          <w:iCs/>
        </w:rPr>
        <w:lastRenderedPageBreak/>
        <w:t>“</w:t>
      </w:r>
      <w:r w:rsidR="0028659B" w:rsidRPr="0028659B">
        <w:rPr>
          <w:i/>
          <w:iCs/>
        </w:rPr>
        <w:t>Duplication or overlaying of governance expectations where there are already National Standards may inadvertently create confusion, misunderstand/misinterpretation and ultimately unnecessary risks.</w:t>
      </w:r>
      <w:r>
        <w:rPr>
          <w:i/>
          <w:iCs/>
        </w:rPr>
        <w:t>”</w:t>
      </w:r>
    </w:p>
    <w:p w14:paraId="68759209" w14:textId="1F025D2B" w:rsidR="0028659B" w:rsidRPr="0028659B" w:rsidRDefault="002A4270" w:rsidP="0028659B">
      <w:pPr>
        <w:ind w:left="720"/>
        <w:rPr>
          <w:i/>
          <w:iCs/>
        </w:rPr>
      </w:pPr>
      <w:r>
        <w:rPr>
          <w:i/>
          <w:iCs/>
        </w:rPr>
        <w:t>“</w:t>
      </w:r>
      <w:r w:rsidR="0028659B" w:rsidRPr="0028659B">
        <w:rPr>
          <w:i/>
          <w:iCs/>
        </w:rPr>
        <w:t>The SCV’s credentialing and scope of clinical practice policy would not be appropriate in the private sector. There are already safeguards as part of licencing regulation for the private hospital sector including the need to establish a Medical Advisory Committee and Credentialling Committee.</w:t>
      </w:r>
      <w:r>
        <w:rPr>
          <w:i/>
          <w:iCs/>
        </w:rPr>
        <w:t>”</w:t>
      </w:r>
    </w:p>
    <w:p w14:paraId="01704FC5" w14:textId="77777777" w:rsidR="0028659B" w:rsidRPr="0028659B" w:rsidRDefault="0028659B" w:rsidP="0028659B">
      <w:pPr>
        <w:rPr>
          <w:iCs/>
        </w:rPr>
      </w:pPr>
      <w:r w:rsidRPr="0028659B">
        <w:rPr>
          <w:iCs/>
        </w:rPr>
        <w:t>There were exceptions, for example one large private hospital provider said:</w:t>
      </w:r>
    </w:p>
    <w:p w14:paraId="4CB0ECA4" w14:textId="6CE1400F" w:rsidR="0028659B" w:rsidRPr="0028659B" w:rsidRDefault="0028659B" w:rsidP="0028659B">
      <w:pPr>
        <w:ind w:left="720"/>
        <w:rPr>
          <w:i/>
        </w:rPr>
      </w:pPr>
      <w:r w:rsidRPr="0028659B">
        <w:rPr>
          <w:i/>
          <w:iCs/>
        </w:rPr>
        <w:t>[Our]</w:t>
      </w:r>
      <w:r w:rsidRPr="0028659B">
        <w:rPr>
          <w:i/>
        </w:rPr>
        <w:t xml:space="preserve"> revised framework is already centred on the SCV clinical governance framework. We are aware that variation exists between the SCV Clinical Governance framework and NSQHS standard 1</w:t>
      </w:r>
      <w:r w:rsidRPr="0028659B">
        <w:rPr>
          <w:i/>
          <w:iCs/>
        </w:rPr>
        <w:t>… The [Credentialing] policy represents a thorough and standardised approach. [We] follows the principles outlined in the policy already.</w:t>
      </w:r>
    </w:p>
    <w:p w14:paraId="706A5B19" w14:textId="319B9E67" w:rsidR="0028659B" w:rsidRPr="0028659B" w:rsidRDefault="0028659B" w:rsidP="0028659B">
      <w:pPr>
        <w:rPr>
          <w:i/>
          <w:iCs/>
        </w:rPr>
      </w:pPr>
      <w:r w:rsidRPr="0028659B">
        <w:t>For benefits, this option has been scored the same as Option 2 (+7). It strengthens the oversight mechanisms available to the department, as per Option 2. There might be some additional benefit in mandating the VCGF and Credentialing policy in that it would provide for more consistency and potentially raise clinical governance standards, however the prescriptive approach might not be optimal across the wide spectrum of HSEs.</w:t>
      </w:r>
    </w:p>
    <w:p w14:paraId="349C88B6" w14:textId="77777777" w:rsidR="00A70AF8" w:rsidRPr="0076112E" w:rsidRDefault="00A70AF8" w:rsidP="00A70AF8">
      <w:pPr>
        <w:pStyle w:val="Heading7"/>
      </w:pPr>
      <w:r w:rsidRPr="0076112E">
        <w:t xml:space="preserve">Cost to </w:t>
      </w:r>
      <w:r w:rsidRPr="00A70AF8">
        <w:t>HSEs</w:t>
      </w:r>
      <w:r w:rsidRPr="0076112E">
        <w:t>; and cost to government</w:t>
      </w:r>
    </w:p>
    <w:p w14:paraId="17B974FB" w14:textId="7EB1F055" w:rsidR="0028659B" w:rsidRPr="001E347D" w:rsidRDefault="005A2F80" w:rsidP="0028659B">
      <w:pPr>
        <w:keepNext/>
        <w:keepLines/>
        <w:rPr>
          <w:rStyle w:val="Strong"/>
        </w:rPr>
      </w:pPr>
      <w:r w:rsidRPr="001E347D">
        <w:rPr>
          <w:rStyle w:val="Strong"/>
        </w:rPr>
        <w:t>Base Case</w:t>
      </w:r>
    </w:p>
    <w:p w14:paraId="40C97555" w14:textId="5BD72392" w:rsidR="0028659B" w:rsidRPr="0028659B" w:rsidRDefault="0028659B" w:rsidP="0028659B">
      <w:pPr>
        <w:rPr>
          <w:szCs w:val="20"/>
        </w:rPr>
      </w:pPr>
      <w:r w:rsidRPr="0028659B">
        <w:rPr>
          <w:szCs w:val="20"/>
        </w:rPr>
        <w:t xml:space="preserve">There would be no direct costs to HSEs under the </w:t>
      </w:r>
      <w:r w:rsidR="005A2F80">
        <w:rPr>
          <w:szCs w:val="20"/>
        </w:rPr>
        <w:t>Base Case</w:t>
      </w:r>
      <w:r w:rsidRPr="0028659B">
        <w:rPr>
          <w:szCs w:val="20"/>
        </w:rPr>
        <w:t>.</w:t>
      </w:r>
    </w:p>
    <w:p w14:paraId="17198454" w14:textId="77777777" w:rsidR="00FE5BEF" w:rsidRDefault="0028659B" w:rsidP="0028659B">
      <w:pPr>
        <w:rPr>
          <w:szCs w:val="20"/>
        </w:rPr>
      </w:pPr>
      <w:r w:rsidRPr="0028659B">
        <w:rPr>
          <w:szCs w:val="20"/>
        </w:rPr>
        <w:t xml:space="preserve">Government’s regulatory role is more limited as the Secretary is unable to request protocols as it can currently, or undertake a review (as per Option 2), so costs to government could decrease. However, the department is still required to fulfil its monitoring and enforcement role under the Act and other elements of the Regulations. </w:t>
      </w:r>
    </w:p>
    <w:p w14:paraId="0BA727E8" w14:textId="26B55F66" w:rsidR="0028659B" w:rsidRPr="0028659B" w:rsidRDefault="0028659B" w:rsidP="0028659B">
      <w:pPr>
        <w:rPr>
          <w:szCs w:val="20"/>
        </w:rPr>
      </w:pPr>
      <w:r w:rsidRPr="0028659B">
        <w:rPr>
          <w:szCs w:val="20"/>
        </w:rPr>
        <w:t>It is likely to fulfil this role less efficiently in the absence of specific requirements in the Regulations in relation to clinical governance as there may not be direct means of engaging with a facility to assess clinical governance arrangements and related issues of compliance with the Act and Regulations</w:t>
      </w:r>
      <w:r w:rsidR="001D3479">
        <w:rPr>
          <w:szCs w:val="20"/>
        </w:rPr>
        <w:t>,</w:t>
      </w:r>
      <w:r w:rsidRPr="0028659B">
        <w:rPr>
          <w:szCs w:val="20"/>
        </w:rPr>
        <w:t xml:space="preserve"> and risk to the quality and safety of services being provided. Over time there could be an increase in costs to government as the department is unable to intervene early to address problems in clinical governance, which could lead to poorer outcomes over time that government needs to respond to - for example the cost of responding to HCC complaints or adverse events</w:t>
      </w:r>
      <w:r w:rsidR="00165FBC">
        <w:rPr>
          <w:szCs w:val="20"/>
        </w:rPr>
        <w:t>, or costs associated with more significant regulatory interventions such as infringements</w:t>
      </w:r>
      <w:r w:rsidR="00680096">
        <w:rPr>
          <w:szCs w:val="20"/>
        </w:rPr>
        <w:t xml:space="preserve">, or suspension or revocation of </w:t>
      </w:r>
      <w:r w:rsidR="000970EF">
        <w:rPr>
          <w:szCs w:val="20"/>
        </w:rPr>
        <w:t>registration</w:t>
      </w:r>
      <w:r w:rsidRPr="0028659B">
        <w:rPr>
          <w:szCs w:val="20"/>
        </w:rPr>
        <w:t>.</w:t>
      </w:r>
    </w:p>
    <w:p w14:paraId="26B2A395" w14:textId="2D78774F" w:rsidR="0028659B" w:rsidRPr="0028659B" w:rsidRDefault="0028659B" w:rsidP="0028659B">
      <w:pPr>
        <w:rPr>
          <w:szCs w:val="20"/>
        </w:rPr>
      </w:pPr>
      <w:r w:rsidRPr="0028659B">
        <w:rPr>
          <w:szCs w:val="20"/>
        </w:rPr>
        <w:t xml:space="preserve">The </w:t>
      </w:r>
      <w:r w:rsidR="005A2F80">
        <w:rPr>
          <w:szCs w:val="20"/>
        </w:rPr>
        <w:t>Base Case</w:t>
      </w:r>
      <w:r w:rsidRPr="0028659B">
        <w:rPr>
          <w:szCs w:val="20"/>
        </w:rPr>
        <w:t xml:space="preserve"> is scored a 0.</w:t>
      </w:r>
    </w:p>
    <w:p w14:paraId="2E3A5CBA" w14:textId="77777777" w:rsidR="0028659B" w:rsidRPr="001E347D" w:rsidRDefault="0028659B" w:rsidP="0028659B">
      <w:pPr>
        <w:rPr>
          <w:rStyle w:val="Strong"/>
        </w:rPr>
      </w:pPr>
      <w:r w:rsidRPr="001E347D">
        <w:rPr>
          <w:rStyle w:val="Strong"/>
        </w:rPr>
        <w:t>Option 1</w:t>
      </w:r>
    </w:p>
    <w:p w14:paraId="10041DFF" w14:textId="77777777" w:rsidR="0028659B" w:rsidRPr="0028659B" w:rsidRDefault="0028659B" w:rsidP="0028659B">
      <w:pPr>
        <w:rPr>
          <w:szCs w:val="20"/>
        </w:rPr>
      </w:pPr>
      <w:r w:rsidRPr="0028659B">
        <w:rPr>
          <w:szCs w:val="20"/>
        </w:rPr>
        <w:t>This option requires HSEs to develop protocols, provide protocols to the Secretary on request, and implement and comply with the protocols.</w:t>
      </w:r>
    </w:p>
    <w:p w14:paraId="08FF6BA0" w14:textId="061D87AD" w:rsidR="0028659B" w:rsidRPr="0028659B" w:rsidRDefault="0028659B" w:rsidP="0028659B">
      <w:pPr>
        <w:rPr>
          <w:szCs w:val="20"/>
        </w:rPr>
      </w:pPr>
      <w:r w:rsidRPr="0028659B">
        <w:rPr>
          <w:szCs w:val="20"/>
        </w:rPr>
        <w:lastRenderedPageBreak/>
        <w:t xml:space="preserve">The required elements for the protocols generally align with the Standards so the need to develop these for the purpose of the Regulations is minimised. There will be some work to do to develop the required protocols plus administrative work in providing protocols to the Secretary (compared to </w:t>
      </w:r>
      <w:r w:rsidR="005A2F80">
        <w:rPr>
          <w:szCs w:val="20"/>
        </w:rPr>
        <w:t>the Base Case</w:t>
      </w:r>
      <w:r w:rsidRPr="0028659B">
        <w:rPr>
          <w:szCs w:val="20"/>
        </w:rPr>
        <w:t>).</w:t>
      </w:r>
      <w:r w:rsidRPr="000D17F7">
        <w:rPr>
          <w:rStyle w:val="FootnoteReference"/>
        </w:rPr>
        <w:footnoteReference w:id="57"/>
      </w:r>
      <w:r w:rsidRPr="0028659B">
        <w:rPr>
          <w:szCs w:val="20"/>
        </w:rPr>
        <w:t xml:space="preserve"> </w:t>
      </w:r>
    </w:p>
    <w:p w14:paraId="49D07E24" w14:textId="77777777" w:rsidR="0028659B" w:rsidRPr="0028659B" w:rsidRDefault="0028659B" w:rsidP="0028659B">
      <w:pPr>
        <w:rPr>
          <w:szCs w:val="20"/>
        </w:rPr>
      </w:pPr>
      <w:r w:rsidRPr="0028659B">
        <w:rPr>
          <w:szCs w:val="20"/>
        </w:rPr>
        <w:t>While no estimated dollar costs are available on the current cost of complying with current regulation 7A, feedback from the sector does not indicate the cost of current clinical governance requirements under the Regulations is significant or disproportionate.</w:t>
      </w:r>
    </w:p>
    <w:p w14:paraId="5E83FA93" w14:textId="0659B0B9" w:rsidR="0028659B" w:rsidRPr="0028659B" w:rsidRDefault="0028659B" w:rsidP="0028659B">
      <w:pPr>
        <w:rPr>
          <w:szCs w:val="20"/>
        </w:rPr>
      </w:pPr>
      <w:r w:rsidRPr="0028659B">
        <w:rPr>
          <w:szCs w:val="20"/>
        </w:rPr>
        <w:t xml:space="preserve">For government, there will be a cost of requesting access to the protocols and otherwise monitoring compliance with the requirement to establish and implement the protocols, however this cost is likely to be small. Offsetting this, there could be a cost saving versus the </w:t>
      </w:r>
      <w:r w:rsidR="005A2F80">
        <w:rPr>
          <w:szCs w:val="20"/>
        </w:rPr>
        <w:t>Base Case</w:t>
      </w:r>
      <w:r w:rsidRPr="0028659B">
        <w:rPr>
          <w:szCs w:val="20"/>
        </w:rPr>
        <w:t xml:space="preserve"> where over time there is less need for the government to respond to poorer outcomes as a result of poor clinical governance.</w:t>
      </w:r>
    </w:p>
    <w:p w14:paraId="0830CEE5" w14:textId="19AAB440" w:rsidR="0028659B" w:rsidRPr="0028659B" w:rsidRDefault="0028659B" w:rsidP="0028659B">
      <w:pPr>
        <w:rPr>
          <w:szCs w:val="20"/>
        </w:rPr>
      </w:pPr>
      <w:r w:rsidRPr="0028659B">
        <w:rPr>
          <w:szCs w:val="20"/>
        </w:rPr>
        <w:t>This option is scored a -3, which represents a moderate small cost to industry and government.</w:t>
      </w:r>
    </w:p>
    <w:p w14:paraId="537DD379" w14:textId="77777777" w:rsidR="0028659B" w:rsidRPr="001E347D" w:rsidRDefault="0028659B" w:rsidP="0028659B">
      <w:pPr>
        <w:rPr>
          <w:rStyle w:val="Strong"/>
        </w:rPr>
      </w:pPr>
      <w:r w:rsidRPr="001E347D">
        <w:rPr>
          <w:rStyle w:val="Strong"/>
        </w:rPr>
        <w:t>Option 2</w:t>
      </w:r>
    </w:p>
    <w:p w14:paraId="1D26B036" w14:textId="5329B9BD" w:rsidR="0028659B" w:rsidRPr="0028659B" w:rsidRDefault="0028659B" w:rsidP="0028659B">
      <w:pPr>
        <w:rPr>
          <w:szCs w:val="20"/>
        </w:rPr>
      </w:pPr>
      <w:r w:rsidRPr="0028659B">
        <w:rPr>
          <w:szCs w:val="20"/>
        </w:rPr>
        <w:t>HSEs would need to develop additional protocols under regulation 7A and provide these on request to the Secretary, implement and comply with them. Most of the proposed additional elements for the protocols align with actions in the Standards, so development of the protocols is expected to impose only a small incremental cost on HSEs. Development of a protocol for ensuring appropriate access to adjunct diagnostic services does not explicitly align with any action in the Standards so is likely to take more effort for HSEs to develop.</w:t>
      </w:r>
    </w:p>
    <w:p w14:paraId="7042C6A1" w14:textId="6DD5190B" w:rsidR="0028659B" w:rsidRPr="0028659B" w:rsidRDefault="0028659B" w:rsidP="0028659B">
      <w:pPr>
        <w:rPr>
          <w:szCs w:val="20"/>
        </w:rPr>
      </w:pPr>
      <w:r w:rsidRPr="0028659B">
        <w:rPr>
          <w:szCs w:val="20"/>
        </w:rPr>
        <w:t>When private hospitals were requested to provide feedback on the costs of developing these protocols in the Stakeholder Information Session held by the department (January 2023), no stakeholders expressed concern about the costs, although there was more general feedback about potential duplication and incremental costs across requirements in the Standards and the Regulations.</w:t>
      </w:r>
      <w:r w:rsidRPr="000D17F7">
        <w:rPr>
          <w:rStyle w:val="FootnoteReference"/>
        </w:rPr>
        <w:footnoteReference w:id="58"/>
      </w:r>
      <w:r w:rsidRPr="0028659B">
        <w:rPr>
          <w:szCs w:val="20"/>
          <w:vertAlign w:val="superscript"/>
        </w:rPr>
        <w:t xml:space="preserve"> </w:t>
      </w:r>
    </w:p>
    <w:p w14:paraId="50515184" w14:textId="442ED783" w:rsidR="008B1BF6" w:rsidRDefault="0028659B" w:rsidP="0028659B">
      <w:pPr>
        <w:rPr>
          <w:szCs w:val="20"/>
        </w:rPr>
      </w:pPr>
      <w:r w:rsidRPr="0028659B">
        <w:rPr>
          <w:szCs w:val="20"/>
        </w:rPr>
        <w:t xml:space="preserve">The cost of </w:t>
      </w:r>
      <w:r w:rsidR="009A5834">
        <w:rPr>
          <w:szCs w:val="20"/>
        </w:rPr>
        <w:t>the new review</w:t>
      </w:r>
      <w:r w:rsidRPr="0028659B">
        <w:rPr>
          <w:szCs w:val="20"/>
        </w:rPr>
        <w:t xml:space="preserve"> mechanism </w:t>
      </w:r>
      <w:r w:rsidR="00870F7F">
        <w:rPr>
          <w:szCs w:val="20"/>
        </w:rPr>
        <w:t xml:space="preserve">for any given facility </w:t>
      </w:r>
      <w:r w:rsidRPr="0028659B">
        <w:rPr>
          <w:szCs w:val="20"/>
        </w:rPr>
        <w:t xml:space="preserve">will depend on the </w:t>
      </w:r>
      <w:r w:rsidR="009A5834">
        <w:rPr>
          <w:szCs w:val="20"/>
        </w:rPr>
        <w:t xml:space="preserve">details of the review process, </w:t>
      </w:r>
      <w:r w:rsidRPr="0028659B">
        <w:rPr>
          <w:szCs w:val="20"/>
        </w:rPr>
        <w:t xml:space="preserve">the detail of any best practice </w:t>
      </w:r>
      <w:r w:rsidR="00CC0789">
        <w:rPr>
          <w:szCs w:val="20"/>
        </w:rPr>
        <w:t xml:space="preserve">guidelines </w:t>
      </w:r>
      <w:r w:rsidR="001707AC">
        <w:rPr>
          <w:szCs w:val="20"/>
        </w:rPr>
        <w:t xml:space="preserve">determined </w:t>
      </w:r>
      <w:r w:rsidRPr="0028659B">
        <w:rPr>
          <w:szCs w:val="20"/>
        </w:rPr>
        <w:t xml:space="preserve">by the Secretary for the purposes of such review </w:t>
      </w:r>
      <w:r w:rsidR="00F12ABD">
        <w:rPr>
          <w:szCs w:val="20"/>
        </w:rPr>
        <w:t xml:space="preserve">by </w:t>
      </w:r>
      <w:r w:rsidRPr="0028659B">
        <w:rPr>
          <w:szCs w:val="20"/>
        </w:rPr>
        <w:t>the Secretary</w:t>
      </w:r>
      <w:r w:rsidR="009A5834">
        <w:rPr>
          <w:szCs w:val="20"/>
        </w:rPr>
        <w:t xml:space="preserve"> and the detail of any </w:t>
      </w:r>
      <w:r w:rsidR="00BF7246">
        <w:rPr>
          <w:szCs w:val="20"/>
        </w:rPr>
        <w:t xml:space="preserve">updates to facility </w:t>
      </w:r>
      <w:r w:rsidR="005E54E8">
        <w:rPr>
          <w:szCs w:val="20"/>
        </w:rPr>
        <w:t>protocols</w:t>
      </w:r>
      <w:r w:rsidR="00BF7246">
        <w:rPr>
          <w:szCs w:val="20"/>
        </w:rPr>
        <w:t xml:space="preserve"> directed by the Secretary</w:t>
      </w:r>
      <w:r w:rsidRPr="0028659B">
        <w:rPr>
          <w:szCs w:val="20"/>
        </w:rPr>
        <w:t xml:space="preserve">. </w:t>
      </w:r>
      <w:r w:rsidR="00B5183B">
        <w:rPr>
          <w:szCs w:val="20"/>
        </w:rPr>
        <w:t>S</w:t>
      </w:r>
      <w:r w:rsidR="00870F7F">
        <w:rPr>
          <w:szCs w:val="20"/>
        </w:rPr>
        <w:t xml:space="preserve">ome </w:t>
      </w:r>
      <w:r w:rsidR="00870F7F" w:rsidRPr="0028659B">
        <w:rPr>
          <w:szCs w:val="20"/>
        </w:rPr>
        <w:t xml:space="preserve">stakeholders were concerned about </w:t>
      </w:r>
      <w:r w:rsidR="00C11260">
        <w:rPr>
          <w:szCs w:val="20"/>
        </w:rPr>
        <w:t xml:space="preserve">the </w:t>
      </w:r>
      <w:r w:rsidR="00870F7F" w:rsidRPr="0028659B">
        <w:rPr>
          <w:szCs w:val="20"/>
        </w:rPr>
        <w:t xml:space="preserve">uncertainty in </w:t>
      </w:r>
      <w:r w:rsidR="00C11260">
        <w:rPr>
          <w:szCs w:val="20"/>
        </w:rPr>
        <w:t>how</w:t>
      </w:r>
      <w:r w:rsidR="00870F7F" w:rsidRPr="0028659B">
        <w:rPr>
          <w:szCs w:val="20"/>
        </w:rPr>
        <w:t xml:space="preserve"> the mechanism</w:t>
      </w:r>
      <w:r w:rsidR="00426395">
        <w:rPr>
          <w:szCs w:val="20"/>
        </w:rPr>
        <w:t xml:space="preserve"> will be implemented</w:t>
      </w:r>
      <w:r w:rsidR="00870F7F">
        <w:rPr>
          <w:szCs w:val="20"/>
        </w:rPr>
        <w:t>.</w:t>
      </w:r>
      <w:r w:rsidR="00870F7F" w:rsidRPr="0028659B">
        <w:rPr>
          <w:szCs w:val="20"/>
        </w:rPr>
        <w:t xml:space="preserve"> </w:t>
      </w:r>
    </w:p>
    <w:p w14:paraId="4A8D493A" w14:textId="30060543" w:rsidR="000F52E4" w:rsidRDefault="003250FA" w:rsidP="0028659B">
      <w:pPr>
        <w:rPr>
          <w:szCs w:val="20"/>
        </w:rPr>
      </w:pPr>
      <w:r>
        <w:rPr>
          <w:szCs w:val="20"/>
        </w:rPr>
        <w:t>HSE</w:t>
      </w:r>
      <w:r w:rsidR="000C4C22">
        <w:rPr>
          <w:szCs w:val="20"/>
        </w:rPr>
        <w:t xml:space="preserve"> costs </w:t>
      </w:r>
      <w:r w:rsidR="009F15A1">
        <w:rPr>
          <w:szCs w:val="20"/>
        </w:rPr>
        <w:t>of</w:t>
      </w:r>
      <w:r w:rsidR="000C4C22">
        <w:rPr>
          <w:szCs w:val="20"/>
        </w:rPr>
        <w:t xml:space="preserve"> providing information to the Secretary (or delegate</w:t>
      </w:r>
      <w:r w:rsidR="009F15A1">
        <w:rPr>
          <w:szCs w:val="20"/>
        </w:rPr>
        <w:t>)</w:t>
      </w:r>
      <w:r w:rsidR="009F15A1" w:rsidRPr="009F15A1">
        <w:rPr>
          <w:szCs w:val="20"/>
        </w:rPr>
        <w:t xml:space="preserve"> </w:t>
      </w:r>
      <w:r w:rsidR="009F15A1">
        <w:rPr>
          <w:szCs w:val="20"/>
        </w:rPr>
        <w:t>for a review of protocols</w:t>
      </w:r>
      <w:r w:rsidR="00870F7F">
        <w:rPr>
          <w:szCs w:val="20"/>
        </w:rPr>
        <w:t xml:space="preserve"> is not expected </w:t>
      </w:r>
      <w:r w:rsidR="009F15A1">
        <w:rPr>
          <w:szCs w:val="20"/>
        </w:rPr>
        <w:t xml:space="preserve">to </w:t>
      </w:r>
      <w:r w:rsidR="00870F7F">
        <w:rPr>
          <w:szCs w:val="20"/>
        </w:rPr>
        <w:t>be more onerous tha</w:t>
      </w:r>
      <w:r w:rsidR="00113C1A">
        <w:rPr>
          <w:szCs w:val="20"/>
        </w:rPr>
        <w:t>n</w:t>
      </w:r>
      <w:r w:rsidR="00870F7F">
        <w:rPr>
          <w:szCs w:val="20"/>
        </w:rPr>
        <w:t xml:space="preserve"> complying with </w:t>
      </w:r>
      <w:r w:rsidR="00BC3457">
        <w:rPr>
          <w:szCs w:val="20"/>
        </w:rPr>
        <w:t xml:space="preserve">requests from the department for information under the </w:t>
      </w:r>
      <w:r w:rsidR="000C4C22">
        <w:rPr>
          <w:szCs w:val="20"/>
        </w:rPr>
        <w:t xml:space="preserve">current Regulations. </w:t>
      </w:r>
      <w:r w:rsidR="0069417B">
        <w:rPr>
          <w:szCs w:val="20"/>
        </w:rPr>
        <w:t>HSE</w:t>
      </w:r>
      <w:r w:rsidR="00BB7E78">
        <w:rPr>
          <w:szCs w:val="20"/>
        </w:rPr>
        <w:t xml:space="preserve"> </w:t>
      </w:r>
      <w:r w:rsidR="000C4C22">
        <w:rPr>
          <w:szCs w:val="20"/>
        </w:rPr>
        <w:t xml:space="preserve">costs associated with updating the protocols in response to a direction from the Secretary following a review will depend on the extent to which </w:t>
      </w:r>
      <w:r w:rsidR="00091A7C">
        <w:rPr>
          <w:szCs w:val="20"/>
        </w:rPr>
        <w:t xml:space="preserve">a facility’s </w:t>
      </w:r>
      <w:r w:rsidR="00C23708">
        <w:rPr>
          <w:szCs w:val="20"/>
        </w:rPr>
        <w:t xml:space="preserve">pre-existing </w:t>
      </w:r>
      <w:r w:rsidR="00091A7C">
        <w:rPr>
          <w:szCs w:val="20"/>
        </w:rPr>
        <w:t>protocols are inconsistent with the requirements in the Regulations and any</w:t>
      </w:r>
      <w:r w:rsidR="00954F48">
        <w:rPr>
          <w:szCs w:val="20"/>
        </w:rPr>
        <w:t xml:space="preserve"> identified</w:t>
      </w:r>
      <w:r w:rsidR="00091A7C">
        <w:rPr>
          <w:szCs w:val="20"/>
        </w:rPr>
        <w:t xml:space="preserve"> best practice </w:t>
      </w:r>
      <w:r w:rsidR="00D034EB">
        <w:rPr>
          <w:szCs w:val="20"/>
        </w:rPr>
        <w:t>guidelines</w:t>
      </w:r>
      <w:r w:rsidR="00803931">
        <w:rPr>
          <w:szCs w:val="20"/>
        </w:rPr>
        <w:t>.</w:t>
      </w:r>
      <w:r w:rsidR="00091A7C">
        <w:rPr>
          <w:szCs w:val="20"/>
        </w:rPr>
        <w:t xml:space="preserve"> </w:t>
      </w:r>
    </w:p>
    <w:p w14:paraId="4CCB0579" w14:textId="1ADA0B3D" w:rsidR="0028659B" w:rsidRPr="0028659B" w:rsidRDefault="00C23708" w:rsidP="0028659B">
      <w:pPr>
        <w:rPr>
          <w:szCs w:val="20"/>
        </w:rPr>
      </w:pPr>
      <w:r>
        <w:rPr>
          <w:szCs w:val="20"/>
        </w:rPr>
        <w:lastRenderedPageBreak/>
        <w:t>So,</w:t>
      </w:r>
      <w:r w:rsidR="00B81825">
        <w:rPr>
          <w:szCs w:val="20"/>
        </w:rPr>
        <w:t xml:space="preserve"> </w:t>
      </w:r>
      <w:r w:rsidR="00457539">
        <w:rPr>
          <w:szCs w:val="20"/>
        </w:rPr>
        <w:t xml:space="preserve">under </w:t>
      </w:r>
      <w:r w:rsidR="00B81825">
        <w:rPr>
          <w:szCs w:val="20"/>
        </w:rPr>
        <w:t>the proposed mechanism</w:t>
      </w:r>
      <w:r w:rsidR="00457539">
        <w:rPr>
          <w:szCs w:val="20"/>
        </w:rPr>
        <w:t>,</w:t>
      </w:r>
      <w:r w:rsidR="00070B27">
        <w:rPr>
          <w:szCs w:val="20"/>
        </w:rPr>
        <w:t xml:space="preserve"> costs are most likely to arise in </w:t>
      </w:r>
      <w:r w:rsidR="00F31771">
        <w:rPr>
          <w:szCs w:val="20"/>
        </w:rPr>
        <w:t xml:space="preserve">instances where improvement to clinical governance protocols </w:t>
      </w:r>
      <w:r w:rsidR="006A5F42">
        <w:rPr>
          <w:szCs w:val="20"/>
        </w:rPr>
        <w:t xml:space="preserve">is needed </w:t>
      </w:r>
      <w:r w:rsidR="00F31771">
        <w:rPr>
          <w:szCs w:val="20"/>
        </w:rPr>
        <w:t xml:space="preserve">to protect patients. </w:t>
      </w:r>
      <w:r w:rsidR="00F22D3B">
        <w:rPr>
          <w:szCs w:val="20"/>
        </w:rPr>
        <w:t xml:space="preserve">To allow </w:t>
      </w:r>
      <w:r w:rsidR="001F27F5">
        <w:rPr>
          <w:szCs w:val="20"/>
        </w:rPr>
        <w:t>appropriate transparency about this</w:t>
      </w:r>
      <w:r w:rsidR="00070B27">
        <w:rPr>
          <w:szCs w:val="20"/>
        </w:rPr>
        <w:t>,</w:t>
      </w:r>
      <w:r w:rsidR="001F27F5">
        <w:rPr>
          <w:szCs w:val="20"/>
        </w:rPr>
        <w:t xml:space="preserve"> it is expected that </w:t>
      </w:r>
      <w:r w:rsidR="00612522">
        <w:rPr>
          <w:szCs w:val="20"/>
        </w:rPr>
        <w:t>the p</w:t>
      </w:r>
      <w:r w:rsidR="001F27F5">
        <w:rPr>
          <w:szCs w:val="20"/>
        </w:rPr>
        <w:t xml:space="preserve">rovisions allowing for reviews will </w:t>
      </w:r>
      <w:r w:rsidR="00612522">
        <w:rPr>
          <w:szCs w:val="20"/>
        </w:rPr>
        <w:t>not come into operation for some time after the remaking of the Regulations, to allow for consultation and communication about the</w:t>
      </w:r>
      <w:r w:rsidR="009E3D9D">
        <w:rPr>
          <w:szCs w:val="20"/>
        </w:rPr>
        <w:t xml:space="preserve"> best practice </w:t>
      </w:r>
      <w:r w:rsidR="00D034EB">
        <w:rPr>
          <w:szCs w:val="20"/>
        </w:rPr>
        <w:t xml:space="preserve">guidelines </w:t>
      </w:r>
      <w:r w:rsidR="009E3D9D">
        <w:rPr>
          <w:szCs w:val="20"/>
        </w:rPr>
        <w:t xml:space="preserve">to which the Secretary may refer for the purposes of a review. </w:t>
      </w:r>
      <w:r w:rsidR="00FA468A">
        <w:rPr>
          <w:szCs w:val="20"/>
        </w:rPr>
        <w:t xml:space="preserve">It is expected that decisions about which best practice </w:t>
      </w:r>
      <w:r w:rsidR="006160A7">
        <w:rPr>
          <w:szCs w:val="20"/>
        </w:rPr>
        <w:t xml:space="preserve">guidelines </w:t>
      </w:r>
      <w:r w:rsidR="00FA468A">
        <w:rPr>
          <w:szCs w:val="20"/>
        </w:rPr>
        <w:t xml:space="preserve">will inform reviews will </w:t>
      </w:r>
      <w:r w:rsidR="00C249BF">
        <w:rPr>
          <w:szCs w:val="20"/>
        </w:rPr>
        <w:t>consider</w:t>
      </w:r>
      <w:r w:rsidR="00FA468A">
        <w:rPr>
          <w:szCs w:val="20"/>
        </w:rPr>
        <w:t xml:space="preserve"> existin</w:t>
      </w:r>
      <w:r w:rsidR="00F11746">
        <w:rPr>
          <w:szCs w:val="20"/>
        </w:rPr>
        <w:t xml:space="preserve">g resources such as the Standards and relevant industry practice. </w:t>
      </w:r>
    </w:p>
    <w:p w14:paraId="239DDDE2" w14:textId="067F9D40" w:rsidR="0028659B" w:rsidRPr="0028659B" w:rsidRDefault="0028659B" w:rsidP="0028659B">
      <w:pPr>
        <w:rPr>
          <w:szCs w:val="20"/>
        </w:rPr>
      </w:pPr>
      <w:r w:rsidRPr="0028659B">
        <w:rPr>
          <w:szCs w:val="20"/>
        </w:rPr>
        <w:t>For government, there will be a cost of undertaking reviews and requesting information on additional protocols, however this could be offset in terms of efficiency benefits to be gained from having a clear oversight mechanism established and over time less need for the department to respond to poorer outcomes as a result of poor clinical governance.</w:t>
      </w:r>
    </w:p>
    <w:p w14:paraId="7A55E24B" w14:textId="77777777" w:rsidR="0028659B" w:rsidRPr="0028659B" w:rsidRDefault="0028659B" w:rsidP="0028659B">
      <w:pPr>
        <w:rPr>
          <w:szCs w:val="20"/>
        </w:rPr>
      </w:pPr>
      <w:r w:rsidRPr="0028659B">
        <w:rPr>
          <w:szCs w:val="20"/>
        </w:rPr>
        <w:t>Overall, the cost of this option is likely to be slightly larger than the cost of Option 2 but will depend on design and implementation (-4).</w:t>
      </w:r>
    </w:p>
    <w:p w14:paraId="4BD7441E" w14:textId="77777777" w:rsidR="0028659B" w:rsidRPr="001E347D" w:rsidRDefault="0028659B" w:rsidP="0028659B">
      <w:pPr>
        <w:rPr>
          <w:rStyle w:val="Strong"/>
        </w:rPr>
      </w:pPr>
      <w:r w:rsidRPr="001E347D">
        <w:rPr>
          <w:rStyle w:val="Strong"/>
        </w:rPr>
        <w:t>Option 3</w:t>
      </w:r>
    </w:p>
    <w:p w14:paraId="1C5D09E5" w14:textId="7EE24FC6" w:rsidR="0028659B" w:rsidRDefault="0028659B" w:rsidP="0028659B">
      <w:r w:rsidRPr="0028659B">
        <w:t xml:space="preserve">Mandating the VCGF and Credentialing policy could involve HSEs having to make material changes to policies and procedures, and implementation and compliance with any changes. This would impose significant costs on those HSEs that have clinical governance frameworks not closely aligned to these already. Some HSEs might incur only minor costs, such as </w:t>
      </w:r>
      <w:r w:rsidR="00051D12">
        <w:t xml:space="preserve">a large private </w:t>
      </w:r>
      <w:r w:rsidR="00F95171">
        <w:t>health service</w:t>
      </w:r>
      <w:r w:rsidRPr="0028659B">
        <w:t xml:space="preserve"> which states in its response to the discussion paper that its clinical governance framework already aligns strongly with the VCGF. </w:t>
      </w:r>
      <w:r w:rsidR="0003301E">
        <w:t xml:space="preserve"> </w:t>
      </w:r>
    </w:p>
    <w:p w14:paraId="03355BD2" w14:textId="15962E34" w:rsidR="00D72839" w:rsidRPr="0028659B" w:rsidRDefault="00D72839" w:rsidP="0028659B">
      <w:r>
        <w:t xml:space="preserve">Compared to Option 2, this is </w:t>
      </w:r>
      <w:r w:rsidR="005966B1">
        <w:t>a blunter and less efficient regulatory approach</w:t>
      </w:r>
      <w:r>
        <w:t xml:space="preserve">, </w:t>
      </w:r>
      <w:r w:rsidR="005966B1">
        <w:t>as</w:t>
      </w:r>
      <w:r>
        <w:t xml:space="preserve"> it requires all HSEs to </w:t>
      </w:r>
      <w:r w:rsidR="00854AB9">
        <w:t>adopt the VG</w:t>
      </w:r>
      <w:r w:rsidR="0050703A">
        <w:t>CF and Credentialling Policy</w:t>
      </w:r>
      <w:r w:rsidR="00473684">
        <w:t xml:space="preserve"> (which </w:t>
      </w:r>
      <w:r w:rsidR="00C705ED">
        <w:t>would require review and update in relation to applicability for HSEs)</w:t>
      </w:r>
      <w:r w:rsidR="007C66B3">
        <w:t>,</w:t>
      </w:r>
      <w:r w:rsidR="00B905D7">
        <w:t xml:space="preserve"> potentially allowing </w:t>
      </w:r>
      <w:r w:rsidR="00473684">
        <w:t>some regulatory action for non-compliance with that requirement</w:t>
      </w:r>
      <w:r w:rsidR="0093330A">
        <w:t xml:space="preserve"> where there are concerns about clinical governance in a facility</w:t>
      </w:r>
      <w:r w:rsidR="00B57184">
        <w:t xml:space="preserve">. </w:t>
      </w:r>
      <w:r w:rsidR="004D1BE9">
        <w:t xml:space="preserve">In contrast, </w:t>
      </w:r>
      <w:r w:rsidR="00B57184">
        <w:t xml:space="preserve">Option 2 </w:t>
      </w:r>
      <w:r w:rsidR="0093330A">
        <w:t xml:space="preserve">allows </w:t>
      </w:r>
      <w:r w:rsidR="00B551C4">
        <w:t xml:space="preserve">flexibility in relation to identifying relevant best practice guidelines, </w:t>
      </w:r>
      <w:r w:rsidR="00B57184">
        <w:t>impacts only</w:t>
      </w:r>
      <w:r w:rsidR="00DD3254">
        <w:t xml:space="preserve"> those who are subject to a review by the Secretary</w:t>
      </w:r>
      <w:r w:rsidR="00B57184">
        <w:t xml:space="preserve"> </w:t>
      </w:r>
      <w:r w:rsidR="008044B0">
        <w:t>(</w:t>
      </w:r>
      <w:r w:rsidR="002B5155">
        <w:rPr>
          <w:szCs w:val="20"/>
        </w:rPr>
        <w:t>and where a</w:t>
      </w:r>
      <w:r w:rsidR="008044B0">
        <w:rPr>
          <w:szCs w:val="20"/>
        </w:rPr>
        <w:t xml:space="preserve"> facility’s protocols are</w:t>
      </w:r>
      <w:r w:rsidR="002B5155">
        <w:rPr>
          <w:szCs w:val="20"/>
        </w:rPr>
        <w:t xml:space="preserve"> more likely to be</w:t>
      </w:r>
      <w:r w:rsidR="008044B0">
        <w:rPr>
          <w:szCs w:val="20"/>
        </w:rPr>
        <w:t xml:space="preserve"> inconsistent with the requirements in the Regulations and any identified best practice</w:t>
      </w:r>
      <w:r w:rsidR="00F42088">
        <w:rPr>
          <w:szCs w:val="20"/>
        </w:rPr>
        <w:t xml:space="preserve"> </w:t>
      </w:r>
      <w:r w:rsidR="00850164">
        <w:rPr>
          <w:szCs w:val="20"/>
        </w:rPr>
        <w:t>guidelines</w:t>
      </w:r>
      <w:r w:rsidR="002B5155">
        <w:rPr>
          <w:szCs w:val="20"/>
        </w:rPr>
        <w:t>)</w:t>
      </w:r>
      <w:r w:rsidR="008044B0">
        <w:rPr>
          <w:szCs w:val="20"/>
        </w:rPr>
        <w:t xml:space="preserve"> </w:t>
      </w:r>
      <w:r w:rsidR="00B57184">
        <w:t xml:space="preserve">and allows </w:t>
      </w:r>
      <w:r w:rsidR="005966B1">
        <w:t xml:space="preserve">nuanced and </w:t>
      </w:r>
      <w:r w:rsidR="00AE0129">
        <w:t>targeted directions to be</w:t>
      </w:r>
      <w:r w:rsidR="009B39DE">
        <w:t xml:space="preserve"> made.</w:t>
      </w:r>
    </w:p>
    <w:p w14:paraId="3851453F" w14:textId="03CB6EC7" w:rsidR="0028659B" w:rsidRDefault="0028659B" w:rsidP="0028659B">
      <w:r w:rsidRPr="0028659B">
        <w:t>As no cost data is available from HSEs to estimate the costs of this option, the assessment of the cost of this option</w:t>
      </w:r>
      <w:r w:rsidR="0092467F">
        <w:t xml:space="preserve"> to industry</w:t>
      </w:r>
      <w:r w:rsidRPr="0028659B">
        <w:t xml:space="preserve"> is based on judgement about the relative cost versus the </w:t>
      </w:r>
      <w:r w:rsidR="005A2F80">
        <w:t>Base Case</w:t>
      </w:r>
      <w:r w:rsidRPr="0028659B">
        <w:t xml:space="preserve"> and other options, supported by findings of stakeholder engagement.</w:t>
      </w:r>
    </w:p>
    <w:p w14:paraId="05014456" w14:textId="75E2ABCC" w:rsidR="009B39DE" w:rsidRPr="0028659B" w:rsidRDefault="009B39DE" w:rsidP="0028659B">
      <w:r>
        <w:t xml:space="preserve">For </w:t>
      </w:r>
      <w:r w:rsidR="006B2E11">
        <w:t>government, the department would need to tailor the V</w:t>
      </w:r>
      <w:r w:rsidR="00215662">
        <w:t xml:space="preserve">GCF and Credentialling Policy to </w:t>
      </w:r>
      <w:r w:rsidR="00D307E3" w:rsidRPr="00D307E3">
        <w:t>align more strongly to clinical governance settings in HSEs</w:t>
      </w:r>
      <w:r w:rsidR="00D307E3">
        <w:t xml:space="preserve">. </w:t>
      </w:r>
      <w:r w:rsidR="0083484D">
        <w:t>This would involve a review and engagement with the sector.</w:t>
      </w:r>
      <w:r w:rsidR="00D75356">
        <w:t xml:space="preserve"> Over time, as per Option 2, </w:t>
      </w:r>
      <w:r w:rsidR="00D75356" w:rsidRPr="00D75356">
        <w:t>th</w:t>
      </w:r>
      <w:r w:rsidR="006912F4">
        <w:t xml:space="preserve">e cost of this implementation </w:t>
      </w:r>
      <w:r w:rsidR="00D75356" w:rsidRPr="00D75356">
        <w:t xml:space="preserve">could be offset </w:t>
      </w:r>
      <w:r w:rsidR="006912F4">
        <w:t xml:space="preserve">by there being </w:t>
      </w:r>
      <w:r w:rsidR="00D75356" w:rsidRPr="00D75356">
        <w:t>less need for the department to respond to poorer outcomes as a result of poor clinical governance.</w:t>
      </w:r>
    </w:p>
    <w:p w14:paraId="20DA5E6D" w14:textId="35464689" w:rsidR="0028659B" w:rsidRPr="0028659B" w:rsidRDefault="0028659B" w:rsidP="0028659B">
      <w:r w:rsidRPr="0028659B">
        <w:t xml:space="preserve">Overall, this is considered to have a significant cost compared to other options and the </w:t>
      </w:r>
      <w:r w:rsidR="005A2F80">
        <w:t>Base Case</w:t>
      </w:r>
      <w:r w:rsidRPr="0028659B">
        <w:t xml:space="preserve"> (</w:t>
      </w:r>
      <w:r w:rsidR="00F81B2F">
        <w:t>-</w:t>
      </w:r>
      <w:r w:rsidR="00E07583">
        <w:t>7</w:t>
      </w:r>
      <w:r w:rsidRPr="0028659B">
        <w:t>.</w:t>
      </w:r>
    </w:p>
    <w:p w14:paraId="6AABC7F9" w14:textId="77777777" w:rsidR="0028659B" w:rsidRPr="0028659B" w:rsidRDefault="0028659B" w:rsidP="0012703E">
      <w:pPr>
        <w:pStyle w:val="Heading6"/>
      </w:pPr>
      <w:r w:rsidRPr="0028659B">
        <w:lastRenderedPageBreak/>
        <w:t>Summary of MCA scores and preferred option</w:t>
      </w:r>
    </w:p>
    <w:p w14:paraId="70D67077" w14:textId="468E7A0C" w:rsidR="00F40BC0" w:rsidRPr="00F40BC0" w:rsidRDefault="0028659B" w:rsidP="0028659B">
      <w:pPr>
        <w:rPr>
          <w:rFonts w:cstheme="minorHAnsi"/>
          <w:color w:val="000000"/>
          <w:szCs w:val="20"/>
          <w:lang w:val="en-AU"/>
        </w:rPr>
      </w:pPr>
      <w:r w:rsidRPr="0028659B">
        <w:t>Table 5 presents the MCA scores for clinical governance options</w:t>
      </w:r>
      <w:r w:rsidRPr="0028659B">
        <w:rPr>
          <w:b/>
          <w:bCs/>
        </w:rPr>
        <w:t>. Option 2 is given the highest score and preferred</w:t>
      </w:r>
      <w:r w:rsidRPr="0028659B">
        <w:t xml:space="preserve"> as it best balances the strengthening of clinical governance of HSEs to best support safety and quality of care of patients with the regulatory burden imposed on industry and government. </w:t>
      </w:r>
      <w:r w:rsidR="00F40BC0" w:rsidRPr="0028659B">
        <w:rPr>
          <w:rFonts w:cstheme="minorHAnsi"/>
          <w:color w:val="000000"/>
          <w:szCs w:val="20"/>
          <w:lang w:val="en-AU"/>
        </w:rPr>
        <w:t>An implementation plan for the development of the review mechanism is proposed by the department as set out in Chapter 1</w:t>
      </w:r>
      <w:r w:rsidR="0022724E">
        <w:rPr>
          <w:rFonts w:cstheme="minorHAnsi"/>
          <w:color w:val="000000"/>
          <w:szCs w:val="20"/>
          <w:lang w:val="en-AU"/>
        </w:rPr>
        <w:t>1</w:t>
      </w:r>
      <w:r w:rsidR="00F40BC0" w:rsidRPr="0028659B">
        <w:rPr>
          <w:rFonts w:cstheme="minorHAnsi"/>
          <w:color w:val="000000"/>
          <w:szCs w:val="20"/>
          <w:lang w:val="en-AU"/>
        </w:rPr>
        <w:t xml:space="preserve">. </w:t>
      </w:r>
    </w:p>
    <w:p w14:paraId="006230B5" w14:textId="4D102FF5" w:rsidR="0028659B" w:rsidRPr="0028659B" w:rsidRDefault="0028659B" w:rsidP="0028659B">
      <w:pPr>
        <w:keepNext/>
        <w:spacing w:before="120" w:after="60"/>
        <w:rPr>
          <w:iCs/>
          <w:color w:val="404040" w:themeColor="text2" w:themeTint="BF"/>
          <w:sz w:val="18"/>
          <w:szCs w:val="20"/>
        </w:rPr>
      </w:pPr>
    </w:p>
    <w:p w14:paraId="2C26EB3D" w14:textId="725A1DBA" w:rsidR="00F84319" w:rsidRDefault="00F84319" w:rsidP="00466F45">
      <w:pPr>
        <w:pStyle w:val="Caption"/>
      </w:pPr>
      <w:r>
        <w:t xml:space="preserve">Table </w:t>
      </w:r>
      <w:fldSimple w:instr=" SEQ Table \* ARABIC ">
        <w:r>
          <w:rPr>
            <w:noProof/>
          </w:rPr>
          <w:t>5</w:t>
        </w:r>
      </w:fldSimple>
      <w:r>
        <w:t xml:space="preserve"> </w:t>
      </w:r>
      <w:r w:rsidRPr="00AA1B20">
        <w:t>Summary of MCA scores for clinical governance</w:t>
      </w:r>
    </w:p>
    <w:tbl>
      <w:tblPr>
        <w:tblStyle w:val="SapereTable"/>
        <w:tblW w:w="9016" w:type="dxa"/>
        <w:tblInd w:w="5" w:type="dxa"/>
        <w:tblLook w:val="04A0" w:firstRow="1" w:lastRow="0" w:firstColumn="1" w:lastColumn="0" w:noHBand="0" w:noVBand="1"/>
      </w:tblPr>
      <w:tblGrid>
        <w:gridCol w:w="4531"/>
        <w:gridCol w:w="1134"/>
        <w:gridCol w:w="1134"/>
        <w:gridCol w:w="1134"/>
        <w:gridCol w:w="1083"/>
      </w:tblGrid>
      <w:tr w:rsidR="0028659B" w:rsidRPr="0028659B" w14:paraId="3D7F3A1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1F34AB9" w14:textId="77777777" w:rsidR="0028659B" w:rsidRPr="0028659B" w:rsidRDefault="0028659B" w:rsidP="0028659B"/>
        </w:tc>
        <w:tc>
          <w:tcPr>
            <w:tcW w:w="1134" w:type="dxa"/>
          </w:tcPr>
          <w:p w14:paraId="7D86732C" w14:textId="2BCD8247" w:rsidR="0028659B" w:rsidRPr="0028659B" w:rsidRDefault="005A2F80" w:rsidP="0028659B">
            <w:pPr>
              <w:cnfStyle w:val="100000000000" w:firstRow="1" w:lastRow="0" w:firstColumn="0" w:lastColumn="0" w:oddVBand="0" w:evenVBand="0" w:oddHBand="0" w:evenHBand="0" w:firstRowFirstColumn="0" w:firstRowLastColumn="0" w:lastRowFirstColumn="0" w:lastRowLastColumn="0"/>
            </w:pPr>
            <w:r>
              <w:t>Base Case</w:t>
            </w:r>
          </w:p>
        </w:tc>
        <w:tc>
          <w:tcPr>
            <w:tcW w:w="1134" w:type="dxa"/>
          </w:tcPr>
          <w:p w14:paraId="29FD50A7" w14:textId="77777777" w:rsidR="0028659B" w:rsidRPr="0028659B" w:rsidRDefault="0028659B" w:rsidP="0028659B">
            <w:pPr>
              <w:cnfStyle w:val="100000000000" w:firstRow="1" w:lastRow="0" w:firstColumn="0" w:lastColumn="0" w:oddVBand="0" w:evenVBand="0" w:oddHBand="0" w:evenHBand="0" w:firstRowFirstColumn="0" w:firstRowLastColumn="0" w:lastRowFirstColumn="0" w:lastRowLastColumn="0"/>
            </w:pPr>
            <w:r w:rsidRPr="0028659B">
              <w:t>Option 1</w:t>
            </w:r>
          </w:p>
        </w:tc>
        <w:tc>
          <w:tcPr>
            <w:tcW w:w="1134" w:type="dxa"/>
          </w:tcPr>
          <w:p w14:paraId="760BDF45" w14:textId="77777777" w:rsidR="0028659B" w:rsidRPr="0028659B" w:rsidRDefault="0028659B" w:rsidP="0028659B">
            <w:pPr>
              <w:cnfStyle w:val="100000000000" w:firstRow="1" w:lastRow="0" w:firstColumn="0" w:lastColumn="0" w:oddVBand="0" w:evenVBand="0" w:oddHBand="0" w:evenHBand="0" w:firstRowFirstColumn="0" w:firstRowLastColumn="0" w:lastRowFirstColumn="0" w:lastRowLastColumn="0"/>
            </w:pPr>
            <w:r w:rsidRPr="0028659B">
              <w:t>Option 2</w:t>
            </w:r>
          </w:p>
        </w:tc>
        <w:tc>
          <w:tcPr>
            <w:tcW w:w="1083" w:type="dxa"/>
          </w:tcPr>
          <w:p w14:paraId="40815AA5" w14:textId="77777777" w:rsidR="0028659B" w:rsidRPr="0028659B" w:rsidRDefault="0028659B" w:rsidP="0028659B">
            <w:pPr>
              <w:cnfStyle w:val="100000000000" w:firstRow="1" w:lastRow="0" w:firstColumn="0" w:lastColumn="0" w:oddVBand="0" w:evenVBand="0" w:oddHBand="0" w:evenHBand="0" w:firstRowFirstColumn="0" w:firstRowLastColumn="0" w:lastRowFirstColumn="0" w:lastRowLastColumn="0"/>
            </w:pPr>
            <w:r w:rsidRPr="0028659B">
              <w:t>Option 3</w:t>
            </w:r>
          </w:p>
        </w:tc>
      </w:tr>
      <w:tr w:rsidR="0028659B" w:rsidRPr="0028659B" w14:paraId="363640AF" w14:textId="77777777">
        <w:trPr>
          <w:trHeight w:val="960"/>
        </w:trPr>
        <w:tc>
          <w:tcPr>
            <w:cnfStyle w:val="001000000000" w:firstRow="0" w:lastRow="0" w:firstColumn="1" w:lastColumn="0" w:oddVBand="0" w:evenVBand="0" w:oddHBand="0" w:evenHBand="0" w:firstRowFirstColumn="0" w:firstRowLastColumn="0" w:lastRowFirstColumn="0" w:lastRowLastColumn="0"/>
            <w:tcW w:w="4531" w:type="dxa"/>
          </w:tcPr>
          <w:p w14:paraId="54E46F81" w14:textId="04123A36" w:rsidR="0028659B" w:rsidRPr="00512590" w:rsidRDefault="0028659B" w:rsidP="0028659B">
            <w:pPr>
              <w:spacing w:before="40"/>
              <w:rPr>
                <w:b w:val="0"/>
                <w:color w:val="auto"/>
              </w:rPr>
            </w:pPr>
            <w:r w:rsidRPr="003476CD">
              <w:rPr>
                <w:b w:val="0"/>
                <w:color w:val="auto"/>
              </w:rPr>
              <w:t xml:space="preserve">Protects the safety and quality of care of patients receiving health services in </w:t>
            </w:r>
            <w:r w:rsidR="005A2F80" w:rsidRPr="003476CD">
              <w:rPr>
                <w:b w:val="0"/>
                <w:color w:val="auto"/>
              </w:rPr>
              <w:t xml:space="preserve">HSEs </w:t>
            </w:r>
            <w:r w:rsidRPr="003476CD">
              <w:rPr>
                <w:b w:val="0"/>
                <w:color w:val="auto"/>
              </w:rPr>
              <w:t>(50%)</w:t>
            </w:r>
          </w:p>
        </w:tc>
        <w:tc>
          <w:tcPr>
            <w:tcW w:w="1134" w:type="dxa"/>
          </w:tcPr>
          <w:p w14:paraId="5A9677F6"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0</w:t>
            </w:r>
          </w:p>
        </w:tc>
        <w:tc>
          <w:tcPr>
            <w:tcW w:w="1134" w:type="dxa"/>
          </w:tcPr>
          <w:p w14:paraId="5984F8E0"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+5</w:t>
            </w:r>
          </w:p>
        </w:tc>
        <w:tc>
          <w:tcPr>
            <w:tcW w:w="1134" w:type="dxa"/>
          </w:tcPr>
          <w:p w14:paraId="5D4C816A"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+7</w:t>
            </w:r>
          </w:p>
        </w:tc>
        <w:tc>
          <w:tcPr>
            <w:tcW w:w="1083" w:type="dxa"/>
          </w:tcPr>
          <w:p w14:paraId="5B0DA9C1"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+7</w:t>
            </w:r>
          </w:p>
        </w:tc>
      </w:tr>
      <w:tr w:rsidR="0028659B" w:rsidRPr="0028659B" w14:paraId="284926DE" w14:textId="77777777">
        <w:trPr>
          <w:trHeight w:val="145"/>
        </w:trPr>
        <w:tc>
          <w:tcPr>
            <w:cnfStyle w:val="001000000000" w:firstRow="0" w:lastRow="0" w:firstColumn="1" w:lastColumn="0" w:oddVBand="0" w:evenVBand="0" w:oddHBand="0" w:evenHBand="0" w:firstRowFirstColumn="0" w:firstRowLastColumn="0" w:lastRowFirstColumn="0" w:lastRowLastColumn="0"/>
            <w:tcW w:w="4531" w:type="dxa"/>
          </w:tcPr>
          <w:p w14:paraId="5A5C3ECF" w14:textId="0995B86A" w:rsidR="0028659B" w:rsidRPr="00512590" w:rsidRDefault="0028659B" w:rsidP="0028659B">
            <w:pPr>
              <w:spacing w:before="40"/>
              <w:rPr>
                <w:b w:val="0"/>
                <w:color w:val="auto"/>
              </w:rPr>
            </w:pPr>
            <w:r w:rsidRPr="003476CD">
              <w:rPr>
                <w:b w:val="0"/>
                <w:color w:val="auto"/>
              </w:rPr>
              <w:t xml:space="preserve">Cost to </w:t>
            </w:r>
            <w:r w:rsidR="005A2F80" w:rsidRPr="003476CD">
              <w:rPr>
                <w:b w:val="0"/>
                <w:color w:val="auto"/>
              </w:rPr>
              <w:t>HSEs</w:t>
            </w:r>
            <w:r w:rsidRPr="003476CD">
              <w:rPr>
                <w:b w:val="0"/>
                <w:color w:val="auto"/>
              </w:rPr>
              <w:t>; and cost to government (50%)</w:t>
            </w:r>
          </w:p>
        </w:tc>
        <w:tc>
          <w:tcPr>
            <w:tcW w:w="1134" w:type="dxa"/>
          </w:tcPr>
          <w:p w14:paraId="1FE25EBF"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0</w:t>
            </w:r>
          </w:p>
        </w:tc>
        <w:tc>
          <w:tcPr>
            <w:tcW w:w="1134" w:type="dxa"/>
          </w:tcPr>
          <w:p w14:paraId="4A598D2B"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-3</w:t>
            </w:r>
          </w:p>
        </w:tc>
        <w:tc>
          <w:tcPr>
            <w:tcW w:w="1134" w:type="dxa"/>
          </w:tcPr>
          <w:p w14:paraId="688984E8"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-4</w:t>
            </w:r>
          </w:p>
        </w:tc>
        <w:tc>
          <w:tcPr>
            <w:tcW w:w="1083" w:type="dxa"/>
          </w:tcPr>
          <w:p w14:paraId="7EBCB3C2" w14:textId="6CC79E3E"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color w:val="auto"/>
              </w:rPr>
            </w:pPr>
            <w:r w:rsidRPr="003476CD">
              <w:rPr>
                <w:color w:val="auto"/>
              </w:rPr>
              <w:t>-</w:t>
            </w:r>
            <w:r w:rsidR="00F81B2F" w:rsidRPr="003476CD">
              <w:rPr>
                <w:color w:val="auto"/>
              </w:rPr>
              <w:t>7</w:t>
            </w:r>
          </w:p>
        </w:tc>
      </w:tr>
      <w:tr w:rsidR="0028659B" w:rsidRPr="0028659B" w14:paraId="65E44854" w14:textId="77777777">
        <w:trPr>
          <w:trHeight w:val="197"/>
        </w:trPr>
        <w:tc>
          <w:tcPr>
            <w:cnfStyle w:val="001000000000" w:firstRow="0" w:lastRow="0" w:firstColumn="1" w:lastColumn="0" w:oddVBand="0" w:evenVBand="0" w:oddHBand="0" w:evenHBand="0" w:firstRowFirstColumn="0" w:firstRowLastColumn="0" w:lastRowFirstColumn="0" w:lastRowLastColumn="0"/>
            <w:tcW w:w="4531" w:type="dxa"/>
          </w:tcPr>
          <w:p w14:paraId="1964E333" w14:textId="77777777" w:rsidR="0028659B" w:rsidRPr="00512590" w:rsidRDefault="0028659B" w:rsidP="0028659B">
            <w:pPr>
              <w:spacing w:before="40"/>
              <w:rPr>
                <w:color w:val="auto"/>
              </w:rPr>
            </w:pPr>
            <w:r w:rsidRPr="003476CD">
              <w:rPr>
                <w:color w:val="auto"/>
              </w:rPr>
              <w:t xml:space="preserve">Net weighted score </w:t>
            </w:r>
          </w:p>
        </w:tc>
        <w:tc>
          <w:tcPr>
            <w:tcW w:w="1134" w:type="dxa"/>
          </w:tcPr>
          <w:p w14:paraId="4E6CD91E"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b/>
                <w:bCs/>
                <w:color w:val="auto"/>
              </w:rPr>
            </w:pPr>
            <w:r w:rsidRPr="003476CD">
              <w:rPr>
                <w:b/>
                <w:bCs/>
                <w:color w:val="auto"/>
              </w:rPr>
              <w:t>0</w:t>
            </w:r>
          </w:p>
        </w:tc>
        <w:tc>
          <w:tcPr>
            <w:tcW w:w="1134" w:type="dxa"/>
          </w:tcPr>
          <w:p w14:paraId="40D23994"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b/>
                <w:bCs/>
                <w:color w:val="auto"/>
              </w:rPr>
            </w:pPr>
            <w:r w:rsidRPr="003476CD">
              <w:rPr>
                <w:b/>
                <w:bCs/>
                <w:color w:val="auto"/>
              </w:rPr>
              <w:t>+1</w:t>
            </w:r>
          </w:p>
        </w:tc>
        <w:tc>
          <w:tcPr>
            <w:tcW w:w="1134" w:type="dxa"/>
          </w:tcPr>
          <w:p w14:paraId="5BF7A8E6" w14:textId="77777777" w:rsidR="0028659B" w:rsidRPr="003476CD" w:rsidRDefault="0028659B" w:rsidP="0028659B">
            <w:pPr>
              <w:spacing w:before="40" w:after="40"/>
              <w:cnfStyle w:val="000000000000" w:firstRow="0" w:lastRow="0" w:firstColumn="0" w:lastColumn="0" w:oddVBand="0" w:evenVBand="0" w:oddHBand="0" w:evenHBand="0" w:firstRowFirstColumn="0" w:firstRowLastColumn="0" w:lastRowFirstColumn="0" w:lastRowLastColumn="0"/>
              <w:rPr>
                <w:b/>
                <w:bCs/>
                <w:color w:val="auto"/>
              </w:rPr>
            </w:pPr>
            <w:r w:rsidRPr="003476CD">
              <w:rPr>
                <w:b/>
                <w:bCs/>
                <w:color w:val="auto"/>
              </w:rPr>
              <w:t>+1.5</w:t>
            </w:r>
          </w:p>
        </w:tc>
        <w:tc>
          <w:tcPr>
            <w:tcW w:w="1083" w:type="dxa"/>
          </w:tcPr>
          <w:p w14:paraId="471759FE" w14:textId="17D1B3F8" w:rsidR="0028659B" w:rsidRPr="003476CD" w:rsidRDefault="003345EA" w:rsidP="0028659B">
            <w:pPr>
              <w:spacing w:before="40" w:after="40"/>
              <w:cnfStyle w:val="000000000000" w:firstRow="0" w:lastRow="0" w:firstColumn="0" w:lastColumn="0" w:oddVBand="0" w:evenVBand="0" w:oddHBand="0" w:evenHBand="0" w:firstRowFirstColumn="0" w:firstRowLastColumn="0" w:lastRowFirstColumn="0" w:lastRowLastColumn="0"/>
              <w:rPr>
                <w:b/>
                <w:bCs/>
                <w:color w:val="auto"/>
              </w:rPr>
            </w:pPr>
            <w:r w:rsidRPr="003476CD">
              <w:rPr>
                <w:b/>
                <w:bCs/>
                <w:color w:val="auto"/>
              </w:rPr>
              <w:t>0</w:t>
            </w:r>
          </w:p>
        </w:tc>
      </w:tr>
    </w:tbl>
    <w:p w14:paraId="33186EE3" w14:textId="294EF18F" w:rsidR="00D023C4" w:rsidRDefault="00D023C4" w:rsidP="00BC63B9">
      <w:pPr>
        <w:pStyle w:val="Heading5"/>
      </w:pPr>
      <w:bookmarkStart w:id="35" w:name="_Toc165287601"/>
      <w:bookmarkEnd w:id="33"/>
      <w:r w:rsidRPr="008B3AC3">
        <w:rPr>
          <w:strike/>
          <w:noProof/>
        </w:rPr>
        <w:lastRenderedPageBreak/>
        <mc:AlternateContent>
          <mc:Choice Requires="wps">
            <w:drawing>
              <wp:anchor distT="45720" distB="45720" distL="114300" distR="114300" simplePos="0" relativeHeight="251658240" behindDoc="0" locked="0" layoutInCell="1" allowOverlap="1" wp14:anchorId="79BE5AF2" wp14:editId="2467A3BD">
                <wp:simplePos x="0" y="0"/>
                <wp:positionH relativeFrom="margin">
                  <wp:posOffset>57150</wp:posOffset>
                </wp:positionH>
                <wp:positionV relativeFrom="paragraph">
                  <wp:posOffset>514350</wp:posOffset>
                </wp:positionV>
                <wp:extent cx="5721350" cy="768350"/>
                <wp:effectExtent l="0" t="0" r="12700" b="1270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68350"/>
                        </a:xfrm>
                        <a:prstGeom prst="rect">
                          <a:avLst/>
                        </a:prstGeom>
                        <a:solidFill>
                          <a:srgbClr val="EEECE1"/>
                        </a:solidFill>
                        <a:ln w="9525">
                          <a:solidFill>
                            <a:sysClr val="window" lastClr="FFFFFF"/>
                          </a:solidFill>
                          <a:miter lim="800000"/>
                          <a:headEnd/>
                          <a:tailEnd/>
                        </a:ln>
                      </wps:spPr>
                      <wps:txbx>
                        <w:txbxContent>
                          <w:p w14:paraId="29ADA782" w14:textId="68E40261" w:rsidR="00D023C4" w:rsidRDefault="00D023C4" w:rsidP="001E347D">
                            <w:pPr>
                              <w:shd w:val="clear" w:color="auto" w:fill="EEECE1" w:themeFill="background2"/>
                            </w:pPr>
                            <w:r w:rsidRPr="003A187C">
                              <w:t>Effective oversight and review of sentinel events is a key foundation of continuous monitoring and improvement of quality and safety</w:t>
                            </w:r>
                            <w:r w:rsidR="005D26B4" w:rsidRPr="005D26B4">
                              <w:t xml:space="preserve"> </w:t>
                            </w:r>
                            <w:r w:rsidR="005D26B4">
                              <w:t>at the facility and system level</w:t>
                            </w:r>
                            <w:r w:rsidRPr="003A187C">
                              <w:t>.</w:t>
                            </w:r>
                            <w:r>
                              <w:t xml:space="preserve"> This section assesses options to strengthen the current regulatory framework relating to sentinel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E5AF2" id="Text Box 40" o:spid="_x0000_s1077" type="#_x0000_t202" style="position:absolute;left:0;text-align:left;margin-left:4.5pt;margin-top:40.5pt;width:450.5pt;height:6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" fillcolor="#eeece1" strokecolor="window">
                <v:textbox>
                  <w:txbxContent>
                    <w:p w14:paraId="29ADA782" w14:textId="68E40261" w:rsidR="00D023C4" w:rsidRDefault="00D023C4" w:rsidP="001E347D">
                      <w:pPr>
                        <w:shd w:val="clear" w:color="auto" w:fill="EEECE1" w:themeFill="background2"/>
                      </w:pPr>
                      <w:r w:rsidRPr="003A187C">
                        <w:t>Effective oversight and review of sentinel events is a key foundation of continuous monitoring and improvement of quality and safety</w:t>
                      </w:r>
                      <w:r w:rsidR="005D26B4" w:rsidRPr="005D26B4">
                        <w:t xml:space="preserve"> </w:t>
                      </w:r>
                      <w:r w:rsidR="005D26B4">
                        <w:t>at the facility and system level</w:t>
                      </w:r>
                      <w:r w:rsidRPr="003A187C">
                        <w:t>.</w:t>
                      </w:r>
                      <w:r>
                        <w:t xml:space="preserve"> This section assesses options to strengthen the current regulatory framework relating to sentinel events.</w:t>
                      </w:r>
                    </w:p>
                  </w:txbxContent>
                </v:textbox>
                <w10:wrap type="square" anchorx="margin"/>
              </v:shape>
            </w:pict>
          </mc:Fallback>
        </mc:AlternateContent>
      </w:r>
      <w:r w:rsidR="00F23E22">
        <w:t>R</w:t>
      </w:r>
      <w:r>
        <w:t xml:space="preserve">eporting </w:t>
      </w:r>
      <w:r w:rsidR="00F23E22">
        <w:t>and review</w:t>
      </w:r>
      <w:r>
        <w:t xml:space="preserve"> of sentinel events</w:t>
      </w:r>
      <w:bookmarkEnd w:id="35"/>
    </w:p>
    <w:p w14:paraId="4B62D820" w14:textId="77777777" w:rsidR="00D023C4" w:rsidRDefault="00D023C4" w:rsidP="00BC63B9">
      <w:pPr>
        <w:pStyle w:val="Heading6"/>
      </w:pPr>
      <w:r>
        <w:t>The nature and extent of the problem to be addressed</w:t>
      </w:r>
    </w:p>
    <w:p w14:paraId="2A0A1F6A" w14:textId="63764BAF" w:rsidR="00D023C4" w:rsidRDefault="00D023C4" w:rsidP="00D023C4">
      <w:r>
        <w:t xml:space="preserve">The Regulations define a sentinel event </w:t>
      </w:r>
      <w:r w:rsidR="00EC3E95">
        <w:t>a</w:t>
      </w:r>
      <w:r>
        <w:t xml:space="preserve">s </w:t>
      </w:r>
      <w:r w:rsidRPr="00ED1B92">
        <w:t xml:space="preserve">an unexpected and adverse event that occurs infrequently in a </w:t>
      </w:r>
      <w:r>
        <w:t xml:space="preserve">HSE </w:t>
      </w:r>
      <w:r w:rsidRPr="00ED1B92">
        <w:t>and</w:t>
      </w:r>
      <w:r>
        <w:t xml:space="preserve"> </w:t>
      </w:r>
      <w:r w:rsidRPr="00ED1B92">
        <w:t>results in the death of, or serious physical or psychological injury to, a</w:t>
      </w:r>
      <w:r>
        <w:t xml:space="preserve"> </w:t>
      </w:r>
      <w:r w:rsidRPr="00ED1B92">
        <w:t xml:space="preserve">patient as a result of system and process deficiencies at the </w:t>
      </w:r>
      <w:r>
        <w:t>HSE. Sentinel events reporting is important because it:</w:t>
      </w:r>
    </w:p>
    <w:p w14:paraId="6163EC8A" w14:textId="627E7AA3" w:rsidR="00D023C4" w:rsidRDefault="00D023C4" w:rsidP="00D023C4">
      <w:pPr>
        <w:pStyle w:val="ListParagraph"/>
        <w:numPr>
          <w:ilvl w:val="0"/>
          <w:numId w:val="102"/>
        </w:numPr>
      </w:pPr>
      <w:r>
        <w:t xml:space="preserve">enables individual HSEs to identify and address immediate patient safety risks, track safety trends over time and address any systemic issues to improve their </w:t>
      </w:r>
      <w:r w:rsidR="002D53E7">
        <w:t xml:space="preserve">safety </w:t>
      </w:r>
      <w:r>
        <w:t>performance</w:t>
      </w:r>
    </w:p>
    <w:p w14:paraId="51764B77" w14:textId="77777777" w:rsidR="00D023C4" w:rsidRDefault="00D023C4" w:rsidP="00D023C4">
      <w:pPr>
        <w:pStyle w:val="ListParagraph"/>
        <w:numPr>
          <w:ilvl w:val="0"/>
          <w:numId w:val="102"/>
        </w:numPr>
      </w:pPr>
      <w:r>
        <w:t>facilitates learnings from adverse outcomes to be shared across the health system to improve quality and safety</w:t>
      </w:r>
    </w:p>
    <w:p w14:paraId="4239EC32" w14:textId="70A34ACB" w:rsidR="00D023C4" w:rsidRPr="007B6A10" w:rsidRDefault="00D023C4" w:rsidP="00D023C4">
      <w:pPr>
        <w:pStyle w:val="ListParagraph"/>
        <w:numPr>
          <w:ilvl w:val="0"/>
          <w:numId w:val="102"/>
        </w:numPr>
      </w:pPr>
      <w:r>
        <w:t>h</w:t>
      </w:r>
      <w:r w:rsidRPr="0050725B">
        <w:t>elps go</w:t>
      </w:r>
      <w:r w:rsidRPr="007B6A10">
        <w:t xml:space="preserve">vernment </w:t>
      </w:r>
      <w:r w:rsidR="00F7310D">
        <w:t xml:space="preserve">monitor safety and quality at the facility level </w:t>
      </w:r>
      <w:r w:rsidR="001F0E0D">
        <w:t>to infor</w:t>
      </w:r>
      <w:r w:rsidR="00B81E6E">
        <w:t xml:space="preserve">m appropriate interventions </w:t>
      </w:r>
      <w:r w:rsidR="00F7310D">
        <w:t xml:space="preserve">and </w:t>
      </w:r>
      <w:r w:rsidR="00B81E6E">
        <w:t xml:space="preserve">to </w:t>
      </w:r>
      <w:r w:rsidR="001F0E0D">
        <w:t xml:space="preserve">compile insights from reviews at the system level to </w:t>
      </w:r>
      <w:r w:rsidRPr="007B6A10">
        <w:t xml:space="preserve">learn from past events of harm to prevent future events of harm. </w:t>
      </w:r>
    </w:p>
    <w:p w14:paraId="43271D72" w14:textId="70FDFDB3" w:rsidR="00D023C4" w:rsidRPr="007B6A10" w:rsidRDefault="00D023C4" w:rsidP="00D023C4">
      <w:pPr>
        <w:rPr>
          <w:rFonts w:ascii="Segoe UI" w:hAnsi="Segoe UI" w:cs="Segoe UI"/>
          <w:shd w:val="clear" w:color="auto" w:fill="FFFFFF"/>
        </w:rPr>
      </w:pPr>
      <w:r w:rsidRPr="007B6A10">
        <w:rPr>
          <w:rFonts w:ascii="Segoe UI" w:hAnsi="Segoe UI" w:cs="Segoe UI"/>
          <w:shd w:val="clear" w:color="auto" w:fill="FFFFFF"/>
        </w:rPr>
        <w:t>The Commission states that the purpose of sentinel event reporting is to ensure public accountability and transparency and drive national improvements in patient safety.</w:t>
      </w:r>
      <w:r w:rsidRPr="007B6A10">
        <w:rPr>
          <w:rStyle w:val="FootnoteReference"/>
        </w:rPr>
        <w:footnoteReference w:id="59"/>
      </w:r>
      <w:r w:rsidRPr="007B6A10">
        <w:rPr>
          <w:rFonts w:ascii="Segoe UI" w:hAnsi="Segoe UI" w:cs="Segoe UI"/>
          <w:shd w:val="clear" w:color="auto" w:fill="FFFFFF"/>
        </w:rPr>
        <w:t xml:space="preserve"> </w:t>
      </w:r>
      <w:r w:rsidR="009528DC" w:rsidRPr="007B6A10">
        <w:rPr>
          <w:rFonts w:ascii="Segoe UI" w:hAnsi="Segoe UI" w:cs="Segoe UI"/>
          <w:shd w:val="clear" w:color="auto" w:fill="FFFFFF"/>
        </w:rPr>
        <w:t xml:space="preserve">The Commission </w:t>
      </w:r>
      <w:r w:rsidR="002C4E92" w:rsidRPr="007B6A10">
        <w:t>published a revised national sentinel event category list</w:t>
      </w:r>
      <w:r w:rsidR="00794A87" w:rsidRPr="007B6A10">
        <w:t xml:space="preserve"> that</w:t>
      </w:r>
      <w:r w:rsidR="002C4E92" w:rsidRPr="007B6A10">
        <w:t xml:space="preserve"> came into effect on 1 July 2019. </w:t>
      </w:r>
      <w:r w:rsidR="009E6008" w:rsidRPr="007B6A10">
        <w:t>I</w:t>
      </w:r>
      <w:r w:rsidR="002C4E92" w:rsidRPr="007B6A10">
        <w:t xml:space="preserve">n addition to the 10 national sentinel event categories, </w:t>
      </w:r>
      <w:r w:rsidR="00CB7FB5" w:rsidRPr="007B6A10">
        <w:t xml:space="preserve">in Victoria a category 11 sentinel events </w:t>
      </w:r>
      <w:r w:rsidR="00CB7FB5">
        <w:t>is included in the list of sentinel event categories</w:t>
      </w:r>
      <w:r w:rsidR="00CB7FB5" w:rsidRPr="007B6A10">
        <w:t xml:space="preserve">: </w:t>
      </w:r>
      <w:r w:rsidR="002C4E92" w:rsidRPr="007B6A10">
        <w:t>All other adverse patient safety events resulting in serious harm or death.</w:t>
      </w:r>
      <w:r w:rsidR="00C44D53" w:rsidRPr="007B6A10">
        <w:rPr>
          <w:rStyle w:val="FootnoteReference"/>
        </w:rPr>
        <w:footnoteReference w:id="60"/>
      </w:r>
    </w:p>
    <w:p w14:paraId="25015577" w14:textId="32900276" w:rsidR="00AF64CB" w:rsidRDefault="00EE3965" w:rsidP="00AF64CB">
      <w:r w:rsidRPr="007B6A10">
        <w:t xml:space="preserve">SCV oversees the sentinel event program in Victoria. All sentinel events must be reported to </w:t>
      </w:r>
      <w:r w:rsidR="00AF64CB" w:rsidRPr="007B6A10">
        <w:t>SCV</w:t>
      </w:r>
      <w:r w:rsidRPr="007B6A10">
        <w:t xml:space="preserve"> by all public and private health services. </w:t>
      </w:r>
      <w:r w:rsidR="00AF64CB" w:rsidRPr="007B6A10">
        <w:t>SCV has a role in supporting health services to review and recommend improvements to health services in relation to SAPSEs, including sentinel events. SCV analyses sentinel event data to identify system trends and emerging risks; this information is shared in the SCV annual sentinel event report to facilitate health</w:t>
      </w:r>
      <w:r w:rsidR="00AF64CB">
        <w:t xml:space="preserve">-sector-wide sharing and improvement. </w:t>
      </w:r>
    </w:p>
    <w:p w14:paraId="08BF1D8A" w14:textId="19F36691" w:rsidR="00EE3965" w:rsidRDefault="00EE3965" w:rsidP="00D023C4">
      <w:pPr>
        <w:rPr>
          <w:rFonts w:ascii="Segoe UI" w:hAnsi="Segoe UI" w:cs="Segoe UI"/>
          <w:shd w:val="clear" w:color="auto" w:fill="FFFFFF"/>
        </w:rPr>
      </w:pPr>
      <w:r>
        <w:t xml:space="preserve">Each year, </w:t>
      </w:r>
      <w:r w:rsidR="0034344C">
        <w:t>SCV</w:t>
      </w:r>
      <w:r>
        <w:t xml:space="preserve"> report</w:t>
      </w:r>
      <w:r w:rsidR="00F96A28">
        <w:t>s</w:t>
      </w:r>
      <w:r>
        <w:t xml:space="preserve"> sentinel events </w:t>
      </w:r>
      <w:r w:rsidR="0034344C">
        <w:t xml:space="preserve">that fit the national </w:t>
      </w:r>
      <w:r w:rsidR="008F1F42">
        <w:t>criteria</w:t>
      </w:r>
      <w:r>
        <w:t xml:space="preserve"> to the independent hospital pricing authority (IHPA), and national sentinel event numbers are reported annually by the Australian </w:t>
      </w:r>
      <w:r w:rsidR="00A775B9">
        <w:t>Government</w:t>
      </w:r>
      <w:r w:rsidR="00B6769C">
        <w:t>’s</w:t>
      </w:r>
      <w:r w:rsidR="00A775B9">
        <w:t xml:space="preserve"> </w:t>
      </w:r>
      <w:r>
        <w:t>Productivity Commission.</w:t>
      </w:r>
    </w:p>
    <w:p w14:paraId="4EA16BBD" w14:textId="4A176043" w:rsidR="00D023C4" w:rsidRDefault="00D023C4" w:rsidP="00D023C4">
      <w:r>
        <w:t xml:space="preserve">In 2021-22, there were 240 sentinel event notifications to SCV (from both public and private health services), an increase of 43% from 168 in 2020-21. SCV’s 2021-22 Sentinel Events Annual Report notes </w:t>
      </w:r>
      <w:r>
        <w:lastRenderedPageBreak/>
        <w:t>that this increase is consistent with the upward trend seen since 2017 when SCV was established and began oversight of the sentinel event</w:t>
      </w:r>
      <w:r w:rsidR="004E61CC">
        <w:t>s</w:t>
      </w:r>
      <w:r>
        <w:t xml:space="preserve"> program.</w:t>
      </w:r>
      <w:r w:rsidRPr="000D17F7">
        <w:rPr>
          <w:rStyle w:val="FootnoteReference"/>
        </w:rPr>
        <w:footnoteReference w:id="61"/>
      </w:r>
      <w:r w:rsidR="00922028">
        <w:t xml:space="preserve"> </w:t>
      </w:r>
    </w:p>
    <w:p w14:paraId="0AA95204" w14:textId="77777777" w:rsidR="00DC5012" w:rsidRDefault="00D023C4" w:rsidP="00DC5012">
      <w:pPr>
        <w:ind w:left="709"/>
        <w:rPr>
          <w:i/>
          <w:iCs/>
        </w:rPr>
      </w:pPr>
      <w:r w:rsidRPr="00E82D20">
        <w:rPr>
          <w:i/>
          <w:iCs/>
        </w:rPr>
        <w:t>The upturn in sentinel event notifications is consistent with the improving recognition, notification and review of sentinel events. This demonstrates an ongoing, and increasing transparency from the health sector, illustrating that safety culture is evolving.</w:t>
      </w:r>
      <w:r w:rsidRPr="000D17F7">
        <w:rPr>
          <w:rStyle w:val="FootnoteReference"/>
        </w:rPr>
        <w:footnoteReference w:id="62"/>
      </w:r>
    </w:p>
    <w:p w14:paraId="08120B03" w14:textId="6743A367" w:rsidR="00D023C4" w:rsidRPr="008D0147" w:rsidRDefault="00D023C4" w:rsidP="00682746">
      <w:pPr>
        <w:spacing w:after="120"/>
      </w:pPr>
      <w:r>
        <w:t>In 2020-21, 25 sentinel events were reported by HSEs and 143 were reported by public hospitals (a total of 168).</w:t>
      </w:r>
      <w:r w:rsidRPr="000D17F7">
        <w:rPr>
          <w:rStyle w:val="FootnoteReference"/>
        </w:rPr>
        <w:footnoteReference w:id="63"/>
      </w:r>
      <w:r w:rsidR="00164F02">
        <w:t xml:space="preserve"> </w:t>
      </w:r>
      <w:r w:rsidR="00CA0506">
        <w:t>In 2019-20,</w:t>
      </w:r>
      <w:r w:rsidR="009A7905" w:rsidRPr="009A7905">
        <w:t xml:space="preserve"> 2</w:t>
      </w:r>
      <w:r w:rsidR="009A7905">
        <w:t>2</w:t>
      </w:r>
      <w:r w:rsidR="009A7905" w:rsidRPr="009A7905">
        <w:t xml:space="preserve"> sentinel events were reported by HSEs and 1</w:t>
      </w:r>
      <w:r w:rsidR="003C6B1A">
        <w:t>64</w:t>
      </w:r>
      <w:r w:rsidR="009A7905" w:rsidRPr="009A7905">
        <w:t xml:space="preserve"> were reported by public hospitals (a total of 1</w:t>
      </w:r>
      <w:r w:rsidR="003C6B1A">
        <w:t>86</w:t>
      </w:r>
      <w:r w:rsidR="009A7905">
        <w:t>).</w:t>
      </w:r>
      <w:r w:rsidR="003C6B1A">
        <w:rPr>
          <w:rStyle w:val="FootnoteReference"/>
        </w:rPr>
        <w:footnoteReference w:id="64"/>
      </w:r>
      <w:r w:rsidR="00CA0506">
        <w:t xml:space="preserve"> </w:t>
      </w:r>
      <w:r>
        <w:t xml:space="preserve">The same data is not available </w:t>
      </w:r>
      <w:r w:rsidR="00FB72BA">
        <w:t>for</w:t>
      </w:r>
      <w:r>
        <w:t xml:space="preserve"> 2021-22.</w:t>
      </w:r>
    </w:p>
    <w:p w14:paraId="373D2425" w14:textId="78C7F915" w:rsidR="00D023C4" w:rsidRDefault="00D023C4" w:rsidP="00D023C4">
      <w:pPr>
        <w:pStyle w:val="Caption"/>
      </w:pPr>
      <w:r>
        <w:t xml:space="preserve">Figure </w:t>
      </w:r>
      <w:r w:rsidR="00AB6775">
        <w:t>4</w:t>
      </w:r>
      <w:fldSimple w:instr=" SEQ Figure \* ARABIC "/>
      <w:r>
        <w:t xml:space="preserve"> Sentinel event notifications – 1 July 2010 to 30 June 2022</w:t>
      </w:r>
      <w:r>
        <w:rPr>
          <w:rStyle w:val="FootnoteReference"/>
        </w:rPr>
        <w:footnoteReference w:id="65"/>
      </w:r>
    </w:p>
    <w:p w14:paraId="3FA05FCE" w14:textId="77777777" w:rsidR="00D023C4" w:rsidRDefault="00D023C4" w:rsidP="00D023C4">
      <w:pPr>
        <w:rPr>
          <w:rFonts w:ascii="Segoe UI" w:hAnsi="Segoe UI" w:cs="Segoe UI"/>
          <w:color w:val="313131"/>
          <w:shd w:val="clear" w:color="auto" w:fill="FFFFFF"/>
        </w:rPr>
      </w:pPr>
      <w:r>
        <w:rPr>
          <w:noProof/>
        </w:rPr>
        <w:drawing>
          <wp:inline distT="0" distB="0" distL="0" distR="0" wp14:anchorId="0FEA5AC0" wp14:editId="5427EE46">
            <wp:extent cx="4572000" cy="2743200"/>
            <wp:effectExtent l="0" t="0" r="0" b="0"/>
            <wp:docPr id="20" name="Chart 20">
              <a:extLst xmlns:a="http://schemas.openxmlformats.org/drawingml/2006/main">
                <a:ext uri="{FF2B5EF4-FFF2-40B4-BE49-F238E27FC236}">
                  <a16:creationId xmlns:a16="http://schemas.microsoft.com/office/drawing/2014/main" id="{32A5608D-6CE8-1BFA-911A-E1C5E340EA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6883CCD" w14:textId="1826D26E" w:rsidR="00D023C4" w:rsidRPr="00675B1D" w:rsidRDefault="00D023C4" w:rsidP="00D023C4">
      <w:pPr>
        <w:rPr>
          <w:rFonts w:ascii="Segoe UI" w:hAnsi="Segoe UI" w:cs="Segoe UI"/>
          <w:color w:val="313131"/>
          <w:sz w:val="18"/>
          <w:szCs w:val="18"/>
          <w:shd w:val="clear" w:color="auto" w:fill="FFFFFF"/>
        </w:rPr>
      </w:pPr>
      <w:r w:rsidRPr="00675B1D">
        <w:rPr>
          <w:rFonts w:ascii="Segoe UI" w:hAnsi="Segoe UI" w:cs="Segoe UI"/>
          <w:color w:val="313131"/>
          <w:sz w:val="18"/>
          <w:szCs w:val="18"/>
          <w:shd w:val="clear" w:color="auto" w:fill="FFFFFF"/>
        </w:rPr>
        <w:t>* On 1 July 2017, SCV began oversight of the sentinel event</w:t>
      </w:r>
      <w:r w:rsidR="004330C1">
        <w:rPr>
          <w:rFonts w:ascii="Segoe UI" w:hAnsi="Segoe UI" w:cs="Segoe UI"/>
          <w:color w:val="313131"/>
          <w:sz w:val="18"/>
          <w:szCs w:val="18"/>
          <w:shd w:val="clear" w:color="auto" w:fill="FFFFFF"/>
        </w:rPr>
        <w:t>s</w:t>
      </w:r>
      <w:r w:rsidRPr="00675B1D">
        <w:rPr>
          <w:rFonts w:ascii="Segoe UI" w:hAnsi="Segoe UI" w:cs="Segoe UI"/>
          <w:color w:val="313131"/>
          <w:sz w:val="18"/>
          <w:szCs w:val="18"/>
          <w:shd w:val="clear" w:color="auto" w:fill="FFFFFF"/>
        </w:rPr>
        <w:t xml:space="preserve"> program from the </w:t>
      </w:r>
      <w:r>
        <w:rPr>
          <w:rFonts w:ascii="Segoe UI" w:hAnsi="Segoe UI" w:cs="Segoe UI"/>
          <w:color w:val="313131"/>
          <w:sz w:val="18"/>
          <w:szCs w:val="18"/>
          <w:shd w:val="clear" w:color="auto" w:fill="FFFFFF"/>
        </w:rPr>
        <w:t>d</w:t>
      </w:r>
      <w:r w:rsidRPr="00675B1D">
        <w:rPr>
          <w:rFonts w:ascii="Segoe UI" w:hAnsi="Segoe UI" w:cs="Segoe UI"/>
          <w:color w:val="313131"/>
          <w:sz w:val="18"/>
          <w:szCs w:val="18"/>
          <w:shd w:val="clear" w:color="auto" w:fill="FFFFFF"/>
        </w:rPr>
        <w:t>epartment</w:t>
      </w:r>
      <w:r>
        <w:rPr>
          <w:rFonts w:ascii="Segoe UI" w:hAnsi="Segoe UI" w:cs="Segoe UI"/>
          <w:color w:val="313131"/>
          <w:sz w:val="18"/>
          <w:szCs w:val="18"/>
          <w:shd w:val="clear" w:color="auto" w:fill="FFFFFF"/>
        </w:rPr>
        <w:t>.</w:t>
      </w:r>
    </w:p>
    <w:p w14:paraId="33914B95" w14:textId="77777777" w:rsidR="00D023C4" w:rsidRPr="00F173B7" w:rsidRDefault="00D023C4" w:rsidP="00D023C4">
      <w:r w:rsidRPr="00675B1D">
        <w:rPr>
          <w:rFonts w:ascii="Segoe UI" w:hAnsi="Segoe UI" w:cs="Segoe UI"/>
          <w:color w:val="313131"/>
          <w:sz w:val="18"/>
          <w:szCs w:val="18"/>
          <w:shd w:val="clear" w:color="auto" w:fill="FFFFFF"/>
        </w:rPr>
        <w:t xml:space="preserve">** There was a small reduction in notifications between 2019/20 (186) and 2020/21 (168) which has been </w:t>
      </w:r>
      <w:r w:rsidRPr="00F173B7">
        <w:t>associated with the impact of the COVID-19 pandemic.</w:t>
      </w:r>
    </w:p>
    <w:p w14:paraId="2D248292" w14:textId="77777777" w:rsidR="00E43B0D" w:rsidRPr="00F173B7" w:rsidRDefault="00E43B0D" w:rsidP="00F173B7">
      <w:r w:rsidRPr="00F173B7">
        <w:t>The actual number of sentinel events may be higher than the number reported to SCV. The 2021-22 Sentinel Events Annual Report states: </w:t>
      </w:r>
    </w:p>
    <w:p w14:paraId="6CB1F28E" w14:textId="77777777" w:rsidR="00E43B0D" w:rsidRPr="00F173B7" w:rsidRDefault="00E43B0D" w:rsidP="00F173B7">
      <w:pPr>
        <w:ind w:left="567" w:right="1088"/>
        <w:rPr>
          <w:i/>
          <w:iCs/>
        </w:rPr>
      </w:pPr>
      <w:r w:rsidRPr="00F173B7">
        <w:t>We know from wider data sets around patient harm that sentinel events are likely to be under-reported. For this reason the year-on-year increase in sentinel event notifications is a welcome sign that health services across the state are increasingly dedicated to creating a safer healthcare system.</w:t>
      </w:r>
      <w:r w:rsidRPr="00F173B7">
        <w:rPr>
          <w:i/>
          <w:iCs/>
        </w:rPr>
        <w:t> </w:t>
      </w:r>
    </w:p>
    <w:p w14:paraId="01B3116C" w14:textId="77777777" w:rsidR="00E43B0D" w:rsidRPr="00F173B7" w:rsidRDefault="00E43B0D" w:rsidP="00F173B7">
      <w:r w:rsidRPr="00F173B7">
        <w:lastRenderedPageBreak/>
        <w:t>However, the reporting requirement is not changing as a result of changes being made through the remaking of the regulations so any future increase in costs that arises from an increase in rates of compliance with the reporting requirement is not dealt with in this RIS. </w:t>
      </w:r>
    </w:p>
    <w:p w14:paraId="62854105" w14:textId="361EFD01" w:rsidR="008D1E04" w:rsidRDefault="00D023C4" w:rsidP="00D023C4">
      <w:r w:rsidRPr="0070175A">
        <w:t xml:space="preserve">Requirements for the reporting </w:t>
      </w:r>
      <w:r w:rsidR="007E5816">
        <w:t xml:space="preserve">and </w:t>
      </w:r>
      <w:r w:rsidR="007E5816" w:rsidRPr="0070175A">
        <w:t xml:space="preserve">review </w:t>
      </w:r>
      <w:r w:rsidRPr="0070175A">
        <w:t>of sentinel events have been strengthened over recent years, however there are some gaps and issues in the framework that proposed amendments to the regulations seek to address.</w:t>
      </w:r>
    </w:p>
    <w:p w14:paraId="2D1C4079" w14:textId="58CDCA35" w:rsidR="00D023C4" w:rsidRPr="001E347D" w:rsidRDefault="00D023C4" w:rsidP="00990FCE">
      <w:pPr>
        <w:keepNext/>
        <w:spacing w:before="0" w:line="259" w:lineRule="auto"/>
        <w:rPr>
          <w:rStyle w:val="Strong"/>
        </w:rPr>
      </w:pPr>
      <w:r w:rsidRPr="001E347D">
        <w:rPr>
          <w:rStyle w:val="Strong"/>
        </w:rPr>
        <w:t>Reporting process to support system-level monitoring</w:t>
      </w:r>
    </w:p>
    <w:p w14:paraId="2FE22BC3" w14:textId="7B4D75CF" w:rsidR="00D023C4" w:rsidRDefault="00D023C4" w:rsidP="00D023C4">
      <w:r>
        <w:t>Under regulation 46A, the proprietor of a</w:t>
      </w:r>
      <w:r w:rsidR="001B4734">
        <w:t>n</w:t>
      </w:r>
      <w:r>
        <w:t xml:space="preserve"> HSE must report in writing a sentinel event that occurred at the HSE to the Secretary within the time determined by the Secretary</w:t>
      </w:r>
      <w:r w:rsidR="00586B11">
        <w:t xml:space="preserve"> (</w:t>
      </w:r>
      <w:r w:rsidR="004F0E82">
        <w:t>three business days)</w:t>
      </w:r>
      <w:r>
        <w:t xml:space="preserve">. The Regulations do not prescribe how the HSE must </w:t>
      </w:r>
      <w:r w:rsidR="002D1B61">
        <w:t xml:space="preserve">report </w:t>
      </w:r>
      <w:r>
        <w:t>to the Secretary</w:t>
      </w:r>
      <w:r w:rsidR="004E0836">
        <w:t>, including what de</w:t>
      </w:r>
      <w:r w:rsidR="006920F0">
        <w:t>tail</w:t>
      </w:r>
      <w:r w:rsidR="004E0836">
        <w:t xml:space="preserve"> must be reported or </w:t>
      </w:r>
      <w:r w:rsidR="005C1980">
        <w:t>t</w:t>
      </w:r>
      <w:r w:rsidR="006920F0">
        <w:t>he mechanism for reporting</w:t>
      </w:r>
      <w:r w:rsidR="00501E8B">
        <w:t>.</w:t>
      </w:r>
    </w:p>
    <w:p w14:paraId="12B5AE76" w14:textId="218AA9C5" w:rsidR="00D023C4" w:rsidRDefault="00482C3D" w:rsidP="00211339">
      <w:pPr>
        <w:spacing w:after="120"/>
      </w:pPr>
      <w:r>
        <w:rPr>
          <w:noProof/>
        </w:rPr>
        <mc:AlternateContent>
          <mc:Choice Requires="wps">
            <w:drawing>
              <wp:anchor distT="45720" distB="45720" distL="114300" distR="114300" simplePos="0" relativeHeight="251658250" behindDoc="0" locked="0" layoutInCell="1" allowOverlap="1" wp14:anchorId="16B4C384" wp14:editId="2676469B">
                <wp:simplePos x="0" y="0"/>
                <wp:positionH relativeFrom="margin">
                  <wp:posOffset>0</wp:posOffset>
                </wp:positionH>
                <wp:positionV relativeFrom="paragraph">
                  <wp:posOffset>1458365</wp:posOffset>
                </wp:positionV>
                <wp:extent cx="5651500" cy="115570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155700"/>
                        </a:xfrm>
                        <a:prstGeom prst="rect">
                          <a:avLst/>
                        </a:prstGeom>
                        <a:solidFill>
                          <a:srgbClr val="EEECE1"/>
                        </a:solidFill>
                        <a:ln w="9525">
                          <a:solidFill>
                            <a:sysClr val="window" lastClr="FFFFFF"/>
                          </a:solidFill>
                          <a:miter lim="800000"/>
                          <a:headEnd/>
                          <a:tailEnd/>
                        </a:ln>
                      </wps:spPr>
                      <wps:txbx>
                        <w:txbxContent>
                          <w:p w14:paraId="7E95C3AF" w14:textId="77777777" w:rsidR="00211339" w:rsidRDefault="00211339" w:rsidP="003476CD">
                            <w:pPr>
                              <w:shd w:val="clear" w:color="auto" w:fill="EEECE1" w:themeFill="background2"/>
                              <w:spacing w:before="120"/>
                            </w:pPr>
                            <w:r w:rsidRPr="003514D8">
                              <w:t xml:space="preserve">It is not mandatory for HSEs to report sentinel events </w:t>
                            </w:r>
                            <w:r>
                              <w:t xml:space="preserve">in a particular way to the department, although most HSEs do so using </w:t>
                            </w:r>
                            <w:r w:rsidRPr="003514D8">
                              <w:t xml:space="preserve">SCV’s Online Portal. There is a risk for SCV and the department in </w:t>
                            </w:r>
                            <w:r>
                              <w:t>that they cann</w:t>
                            </w:r>
                            <w:r w:rsidRPr="003514D8">
                              <w:t>ot be assured that all HSEs will report through the Portal. Key information on the sentinel event may not be collected, or may be collected in the incorrect format, impacting the quality of its system-wide oversight and learnings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4C384" id="Text Box 1" o:spid="_x0000_s1078" type="#_x0000_t202" style="position:absolute;margin-left:0;margin-top:114.85pt;width:445pt;height:91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" fillcolor="#eeece1" strokecolor="window">
                <v:textbox>
                  <w:txbxContent>
                    <w:p w14:paraId="7E95C3AF" w14:textId="77777777" w:rsidR="00211339" w:rsidRDefault="00211339" w:rsidP="003476CD">
                      <w:pPr>
                        <w:shd w:val="clear" w:color="auto" w:fill="EEECE1" w:themeFill="background2"/>
                        <w:spacing w:before="120"/>
                      </w:pPr>
                      <w:r w:rsidRPr="003514D8">
                        <w:t xml:space="preserve">It is not mandatory for HSEs to report sentinel events </w:t>
                      </w:r>
                      <w:r>
                        <w:t xml:space="preserve">in a particular way to the department, although most HSEs do so using </w:t>
                      </w:r>
                      <w:r w:rsidRPr="003514D8">
                        <w:t xml:space="preserve">SCV’s Online Portal. There is a risk for SCV and the department in </w:t>
                      </w:r>
                      <w:r>
                        <w:t>that they cann</w:t>
                      </w:r>
                      <w:r w:rsidRPr="003514D8">
                        <w:t>ot be assured that all HSEs will report through the Portal. Key information on the sentinel event may not be collected, or may be collected in the incorrect format, impacting the quality of its system-wide oversight and learnings provided.</w:t>
                      </w:r>
                    </w:p>
                  </w:txbxContent>
                </v:textbox>
                <w10:wrap type="square" anchorx="margin"/>
              </v:shape>
            </w:pict>
          </mc:Fallback>
        </mc:AlternateContent>
      </w:r>
      <w:r w:rsidR="006920F0">
        <w:rPr>
          <w:noProof/>
        </w:rPr>
        <w:t>In</w:t>
      </w:r>
      <w:r w:rsidR="00D023C4">
        <w:t xml:space="preserve"> in practice most </w:t>
      </w:r>
      <w:r w:rsidR="00261194">
        <w:t xml:space="preserve">sentinel event reports from </w:t>
      </w:r>
      <w:r w:rsidR="00D023C4">
        <w:t xml:space="preserve">HSEs </w:t>
      </w:r>
      <w:r w:rsidR="00261194">
        <w:t>are received</w:t>
      </w:r>
      <w:r w:rsidR="00D023C4">
        <w:t xml:space="preserve"> through the SCV Online Portal</w:t>
      </w:r>
      <w:r w:rsidR="006920F0">
        <w:rPr>
          <w:rStyle w:val="FootnoteReference"/>
        </w:rPr>
        <w:footnoteReference w:id="66"/>
      </w:r>
      <w:r w:rsidR="00D023C4" w:rsidRPr="003640AE">
        <w:t>.</w:t>
      </w:r>
      <w:r w:rsidR="00D023C4">
        <w:t xml:space="preserve"> The Portal requires specific information about sentinel events to be reported in a prescribed format. This acts as a data validation process enabling SCV and the department to generate key indicators that are used for </w:t>
      </w:r>
      <w:r w:rsidR="00D023C4" w:rsidRPr="0042357E">
        <w:t>system-level surveillance</w:t>
      </w:r>
      <w:r w:rsidR="00D023C4">
        <w:t xml:space="preserve">. These indicators may flag potential concerns with specific HSEs or </w:t>
      </w:r>
      <w:r w:rsidR="00593DAA">
        <w:t xml:space="preserve">provide </w:t>
      </w:r>
      <w:r w:rsidR="00D023C4">
        <w:t>system-wide insights on sentinel events. Consistency of input to the SCV Online Portal maintains the integrity of the data used to undertake compliance monitoring and enforcemen</w:t>
      </w:r>
      <w:r>
        <w:t xml:space="preserve">t </w:t>
      </w:r>
      <w:r w:rsidR="00D023C4">
        <w:t xml:space="preserve">activities. </w:t>
      </w:r>
    </w:p>
    <w:p w14:paraId="1BA8BB32" w14:textId="7A0E9044" w:rsidR="00D023C4" w:rsidRPr="001E347D" w:rsidRDefault="00D023C4" w:rsidP="003476CD">
      <w:pPr>
        <w:spacing w:before="120"/>
        <w:rPr>
          <w:rStyle w:val="Strong"/>
        </w:rPr>
      </w:pPr>
      <w:r w:rsidRPr="001E347D">
        <w:rPr>
          <w:rStyle w:val="Strong"/>
        </w:rPr>
        <w:t>Methodologies used in reviews of sentinel events</w:t>
      </w:r>
    </w:p>
    <w:p w14:paraId="33222B48" w14:textId="77777777" w:rsidR="00D023C4" w:rsidRDefault="00D023C4" w:rsidP="00D023C4">
      <w:r>
        <w:rPr>
          <w:noProof/>
        </w:rPr>
        <mc:AlternateContent>
          <mc:Choice Requires="wps">
            <w:drawing>
              <wp:anchor distT="45720" distB="45720" distL="114300" distR="114300" simplePos="0" relativeHeight="251658242" behindDoc="0" locked="0" layoutInCell="1" allowOverlap="1" wp14:anchorId="31343738" wp14:editId="3B3728A0">
                <wp:simplePos x="0" y="0"/>
                <wp:positionH relativeFrom="margin">
                  <wp:align>left</wp:align>
                </wp:positionH>
                <wp:positionV relativeFrom="paragraph">
                  <wp:posOffset>661639</wp:posOffset>
                </wp:positionV>
                <wp:extent cx="5706110" cy="803910"/>
                <wp:effectExtent l="0" t="0" r="27940" b="1524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804232"/>
                        </a:xfrm>
                        <a:prstGeom prst="rect">
                          <a:avLst/>
                        </a:prstGeom>
                        <a:solidFill>
                          <a:srgbClr val="EEECE1"/>
                        </a:solidFill>
                        <a:ln w="9525">
                          <a:solidFill>
                            <a:sysClr val="window" lastClr="FFFFFF"/>
                          </a:solidFill>
                          <a:miter lim="800000"/>
                          <a:headEnd/>
                          <a:tailEnd/>
                        </a:ln>
                      </wps:spPr>
                      <wps:txbx>
                        <w:txbxContent>
                          <w:p w14:paraId="3ED2BFBA" w14:textId="77777777" w:rsidR="00D023C4" w:rsidRDefault="00D023C4" w:rsidP="001E347D">
                            <w:pPr>
                              <w:shd w:val="clear" w:color="auto" w:fill="EEECE1" w:themeFill="background2"/>
                            </w:pPr>
                            <w:r>
                              <w:t>Reviews of sentinel events are critical to support system-wide improvement of the safety of care, and there is a range of legislation, regulation, guidance and policy reflecting this. However, it is not mandatory for HSEs to use formal review processes for sentinel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43738" id="Text Box 42" o:spid="_x0000_s1079" type="#_x0000_t202" style="position:absolute;margin-left:0;margin-top:52.1pt;width:449.3pt;height:63.3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" fillcolor="#eeece1" strokecolor="window">
                <v:textbox>
                  <w:txbxContent>
                    <w:p w14:paraId="3ED2BFBA" w14:textId="77777777" w:rsidR="00D023C4" w:rsidRDefault="00D023C4" w:rsidP="001E347D">
                      <w:pPr>
                        <w:shd w:val="clear" w:color="auto" w:fill="EEECE1" w:themeFill="background2"/>
                      </w:pPr>
                      <w:r>
                        <w:t>Reviews of sentinel events are critical to support system-wide improvement of the safety of care, and there is a range of legislation, regulation, guidance and policy reflecting this. However, it is not mandatory for HSEs to use formal review processes for sentinel events.</w:t>
                      </w:r>
                    </w:p>
                  </w:txbxContent>
                </v:textbox>
                <w10:wrap type="square" anchorx="margin"/>
              </v:shape>
            </w:pict>
          </mc:Fallback>
        </mc:AlternateContent>
      </w:r>
      <w:r w:rsidRPr="005D184F">
        <w:t>Reviews of sentinel events are important to understand what happened, why it happened, and what system improvements can be made to prevent recurrence of similar adverse events or to minimise the harm if they do reoccur.</w:t>
      </w:r>
      <w:r>
        <w:rPr>
          <w:rStyle w:val="FootnoteReference"/>
        </w:rPr>
        <w:footnoteReference w:id="67"/>
      </w:r>
    </w:p>
    <w:p w14:paraId="6221435A" w14:textId="308C125F" w:rsidR="00624A14" w:rsidRDefault="00624A14" w:rsidP="00D023C4">
      <w:r>
        <w:t xml:space="preserve">The Standards include </w:t>
      </w:r>
      <w:r w:rsidR="002021E6">
        <w:t>actions for appropriate</w:t>
      </w:r>
      <w:r>
        <w:t xml:space="preserve"> analysis of incidents to inform continuous improvement in safety, </w:t>
      </w:r>
      <w:r w:rsidR="002021E6">
        <w:t>and</w:t>
      </w:r>
      <w:r>
        <w:t xml:space="preserve"> for</w:t>
      </w:r>
      <w:r w:rsidR="002021E6">
        <w:t xml:space="preserve"> </w:t>
      </w:r>
      <w:r w:rsidR="00446CDD">
        <w:t xml:space="preserve">policies and processes for </w:t>
      </w:r>
      <w:r w:rsidR="002021E6">
        <w:t xml:space="preserve">appropriate </w:t>
      </w:r>
      <w:r>
        <w:t>communication with patients and next of kin where incidents have occurred</w:t>
      </w:r>
      <w:r w:rsidR="00446CDD">
        <w:t xml:space="preserve"> (open disclosure</w:t>
      </w:r>
      <w:r>
        <w:t>)</w:t>
      </w:r>
      <w:r w:rsidR="002021E6">
        <w:t xml:space="preserve"> – under Standard 1 Clinical Governance</w:t>
      </w:r>
      <w:r>
        <w:t xml:space="preserve">. </w:t>
      </w:r>
    </w:p>
    <w:p w14:paraId="40E332E3" w14:textId="1B5F57E5" w:rsidR="00D023C4" w:rsidRDefault="00D023C4" w:rsidP="00D023C4">
      <w:r>
        <w:lastRenderedPageBreak/>
        <w:t>The</w:t>
      </w:r>
      <w:r w:rsidRPr="00323E33">
        <w:t xml:space="preserve"> Act sets out requirements in relation to</w:t>
      </w:r>
      <w:r>
        <w:t xml:space="preserve"> how reviews of</w:t>
      </w:r>
      <w:r w:rsidRPr="00323E33">
        <w:t xml:space="preserve"> serious adverse patient safety event</w:t>
      </w:r>
      <w:r>
        <w:t>s</w:t>
      </w:r>
      <w:r w:rsidRPr="00323E33">
        <w:t xml:space="preserve"> (SAPSE</w:t>
      </w:r>
      <w:r>
        <w:t>s</w:t>
      </w:r>
      <w:r w:rsidRPr="00323E33">
        <w:t>)</w:t>
      </w:r>
      <w:r>
        <w:t xml:space="preserve"> are undertaken, </w:t>
      </w:r>
      <w:r w:rsidRPr="00323E33">
        <w:t>of which sentinel events are a sub-category</w:t>
      </w:r>
      <w:r>
        <w:t>.</w:t>
      </w:r>
      <w:r w:rsidRPr="00323E33">
        <w:t xml:space="preserve"> </w:t>
      </w:r>
    </w:p>
    <w:p w14:paraId="6723FE1D" w14:textId="36F45C2F" w:rsidR="00D023C4" w:rsidRPr="00176A50" w:rsidRDefault="00D023C4" w:rsidP="00D023C4">
      <w:r>
        <w:t xml:space="preserve">Under section 128ZC of the Act, if a patient suffers a SAPSE </w:t>
      </w:r>
      <w:r w:rsidR="00155AD5">
        <w:t>while</w:t>
      </w:r>
      <w:r>
        <w:t xml:space="preserve"> receiving health services, the health service entity (including HSEs) responsible for providing those services owes a Statutory </w:t>
      </w:r>
      <w:r w:rsidRPr="00323E33">
        <w:t xml:space="preserve">Duty of Candour </w:t>
      </w:r>
      <w:r>
        <w:t>(SDC) to the patient</w:t>
      </w:r>
      <w:r w:rsidRPr="00323E33">
        <w:t xml:space="preserve">. </w:t>
      </w:r>
      <w:r>
        <w:t xml:space="preserve">The </w:t>
      </w:r>
      <w:r w:rsidRPr="00581B2F">
        <w:rPr>
          <w:i/>
          <w:iCs/>
        </w:rPr>
        <w:t>Victorian Duty of Candour Guidelines</w:t>
      </w:r>
      <w:r>
        <w:t xml:space="preserve"> require that the health service entity must </w:t>
      </w:r>
      <w:r w:rsidRPr="00707780">
        <w:t>apologi</w:t>
      </w:r>
      <w:r>
        <w:t>s</w:t>
      </w:r>
      <w:r w:rsidRPr="00707780">
        <w:t>e to any person seriously harmed while receiving care</w:t>
      </w:r>
      <w:r>
        <w:t xml:space="preserve">, </w:t>
      </w:r>
      <w:r w:rsidRPr="00F502BF">
        <w:t>give a written account of the facts regarding the SAPSE</w:t>
      </w:r>
      <w:r>
        <w:t xml:space="preserve">, and undertake a review of the SAPSE and produce a report </w:t>
      </w:r>
      <w:r w:rsidRPr="00F502BF">
        <w:t>describ</w:t>
      </w:r>
      <w:r>
        <w:t>ing</w:t>
      </w:r>
      <w:r w:rsidRPr="00F502BF">
        <w:t xml:space="preserve"> what action was taken and improvements put in place to prevent re-occurrence of the event.</w:t>
      </w:r>
      <w:r>
        <w:rPr>
          <w:rStyle w:val="FootnoteReference"/>
        </w:rPr>
        <w:footnoteReference w:id="68"/>
      </w:r>
      <w:r w:rsidRPr="00F502BF">
        <w:t xml:space="preserve"> </w:t>
      </w:r>
      <w:r>
        <w:t xml:space="preserve">Under the Victorian Duty of Candour Guidelines, the report produced has to be given to the patient and/or families but not the Secretary. While the Guidelines require a review of the SAPSE to be undertaken, they do no set out requirements for how the review must be conducted, </w:t>
      </w:r>
      <w:r w:rsidR="00EB2BA8">
        <w:t xml:space="preserve">such as setting out </w:t>
      </w:r>
      <w:r w:rsidR="00D95A9A">
        <w:t>specific</w:t>
      </w:r>
      <w:r>
        <w:t xml:space="preserve"> </w:t>
      </w:r>
      <w:r w:rsidRPr="00176A50">
        <w:t>review methods.</w:t>
      </w:r>
    </w:p>
    <w:p w14:paraId="6AD87B98" w14:textId="77777777" w:rsidR="00D023C4" w:rsidRDefault="00D023C4" w:rsidP="00D023C4">
      <w:r w:rsidRPr="00176A50">
        <w:t>Under Part 5A Division 8 of the Act, if a SAPSE occurs, a ‘SAPSE review’ (referred to here as a ‘protected SAPSE review’</w:t>
      </w:r>
      <w:r w:rsidRPr="00176A50">
        <w:rPr>
          <w:rStyle w:val="FootnoteReference"/>
        </w:rPr>
        <w:footnoteReference w:id="69"/>
      </w:r>
      <w:r w:rsidRPr="00176A50">
        <w:t>) may be conducted by a SAPSE review panel. The panel may be appointed voluntarily or compulsorily upon direction from the Secretary of the Department of Health. This means a protected SAPSE review is not mandated specifically in legislation.</w:t>
      </w:r>
      <w:r>
        <w:t xml:space="preserve"> </w:t>
      </w:r>
    </w:p>
    <w:p w14:paraId="0E0A66FD" w14:textId="77777777" w:rsidR="00D023C4" w:rsidRDefault="00D023C4" w:rsidP="00D023C4">
      <w:r>
        <w:t xml:space="preserve">If a protected SAPSE review is undertaken there are mandated requirements for a panel, including that panel members must be sufficiently experienced, skilled and independent from the event, and that the panel must include a person not employed or engaged by the relevant health service provider. Regulations 3C and 3D of the Health Services (Quality and Safety) Regulations 2020 specify more detail on the constitution of the panel including a requirement that if the SAPSE was a sentinel event, the panel must include a consumer representative. </w:t>
      </w:r>
    </w:p>
    <w:p w14:paraId="401DB99F" w14:textId="08133977" w:rsidR="00D023C4" w:rsidRDefault="00D023C4" w:rsidP="00D023C4">
      <w:r>
        <w:t>The panel must produce a SAPSE review report covering elements of the investigation, analysis of why the event happened and any contributing factors, and recommendations for changes or improvements that could reduce the likelihood of the event happening again. A SAPSE review report must be made available to the Secretary on request.</w:t>
      </w:r>
    </w:p>
    <w:p w14:paraId="4C99114D" w14:textId="15CB6633" w:rsidR="00D023C4" w:rsidRPr="00D75FE8" w:rsidRDefault="00D023C4" w:rsidP="00D023C4">
      <w:r>
        <w:t>While not mandatory for HSEs</w:t>
      </w:r>
      <w:r w:rsidR="00B30A53">
        <w:rPr>
          <w:rStyle w:val="FootnoteReference"/>
        </w:rPr>
        <w:footnoteReference w:id="70"/>
      </w:r>
      <w:r>
        <w:t xml:space="preserve">, SCV’s </w:t>
      </w:r>
      <w:r w:rsidRPr="00407A74">
        <w:rPr>
          <w:i/>
          <w:iCs/>
        </w:rPr>
        <w:t xml:space="preserve">Victorian </w:t>
      </w:r>
      <w:r>
        <w:rPr>
          <w:i/>
          <w:iCs/>
        </w:rPr>
        <w:t>S</w:t>
      </w:r>
      <w:r w:rsidRPr="00407A74">
        <w:rPr>
          <w:i/>
          <w:iCs/>
        </w:rPr>
        <w:t xml:space="preserve">entinel </w:t>
      </w:r>
      <w:r>
        <w:rPr>
          <w:i/>
          <w:iCs/>
        </w:rPr>
        <w:t>Ev</w:t>
      </w:r>
      <w:r w:rsidRPr="00407A74">
        <w:rPr>
          <w:i/>
          <w:iCs/>
        </w:rPr>
        <w:t xml:space="preserve">ent </w:t>
      </w:r>
      <w:r>
        <w:rPr>
          <w:i/>
          <w:iCs/>
        </w:rPr>
        <w:t>G</w:t>
      </w:r>
      <w:r w:rsidRPr="00407A74">
        <w:rPr>
          <w:i/>
          <w:iCs/>
        </w:rPr>
        <w:t>ui</w:t>
      </w:r>
      <w:r>
        <w:rPr>
          <w:i/>
          <w:iCs/>
        </w:rPr>
        <w:t xml:space="preserve">de </w:t>
      </w:r>
      <w:r>
        <w:t xml:space="preserve">provides </w:t>
      </w:r>
      <w:r w:rsidRPr="001536F6">
        <w:t xml:space="preserve">information to help </w:t>
      </w:r>
      <w:r>
        <w:t>health service entities</w:t>
      </w:r>
      <w:r w:rsidRPr="001536F6">
        <w:t xml:space="preserve"> fulfil their obligations when managing and reporting sentinel events</w:t>
      </w:r>
      <w:r>
        <w:rPr>
          <w:rStyle w:val="FootnoteReference"/>
        </w:rPr>
        <w:footnoteReference w:id="71"/>
      </w:r>
      <w:r>
        <w:t>. This</w:t>
      </w:r>
      <w:r w:rsidRPr="001536F6">
        <w:t xml:space="preserve"> includ</w:t>
      </w:r>
      <w:r>
        <w:t>es</w:t>
      </w:r>
      <w:r w:rsidRPr="001536F6">
        <w:t xml:space="preserve"> </w:t>
      </w:r>
      <w:r w:rsidR="00287F23">
        <w:t>guidance for</w:t>
      </w:r>
      <w:r w:rsidRPr="001536F6">
        <w:t xml:space="preserve"> review</w:t>
      </w:r>
      <w:r w:rsidR="00287F23">
        <w:t>ing</w:t>
      </w:r>
      <w:r w:rsidRPr="001536F6">
        <w:t xml:space="preserve"> and analys</w:t>
      </w:r>
      <w:r w:rsidR="00287F23">
        <w:t>ing</w:t>
      </w:r>
      <w:r w:rsidRPr="001536F6">
        <w:t xml:space="preserve"> a sentinel event using root cause analysis (RCA) methodology and reporting timing requirements. For sentinel events, </w:t>
      </w:r>
      <w:r>
        <w:t>SCV</w:t>
      </w:r>
      <w:r w:rsidRPr="001536F6">
        <w:t xml:space="preserve"> reviews and provides feedback on the RCA reports that are produced by </w:t>
      </w:r>
      <w:r>
        <w:t>health services entities</w:t>
      </w:r>
      <w:r w:rsidRPr="001536F6">
        <w:t xml:space="preserve">, and on risk </w:t>
      </w:r>
      <w:r w:rsidRPr="00D75FE8">
        <w:t xml:space="preserve">reduction action plans arising from these reviews. </w:t>
      </w:r>
    </w:p>
    <w:p w14:paraId="273996BC" w14:textId="2840E366" w:rsidR="00D023C4" w:rsidRDefault="00D023C4" w:rsidP="00D023C4">
      <w:r w:rsidRPr="00D75FE8">
        <w:lastRenderedPageBreak/>
        <w:t xml:space="preserve">SCV published the </w:t>
      </w:r>
      <w:r w:rsidRPr="00D75FE8">
        <w:rPr>
          <w:i/>
        </w:rPr>
        <w:t xml:space="preserve">Adverse Patient Safety Events policy </w:t>
      </w:r>
      <w:r w:rsidRPr="00D75FE8">
        <w:rPr>
          <w:i/>
          <w:iCs/>
        </w:rPr>
        <w:t xml:space="preserve">(2023) </w:t>
      </w:r>
      <w:r w:rsidRPr="00D75FE8">
        <w:t xml:space="preserve">to support Victorian health services to improve systems for delivering care in response to adverse events including sentinel events. SCV recommends the policy as best practice for </w:t>
      </w:r>
      <w:r w:rsidR="00640D1B" w:rsidRPr="00D75FE8">
        <w:t>HSEs</w:t>
      </w:r>
      <w:r w:rsidRPr="00D75FE8">
        <w:t xml:space="preserve"> to meet the review requirements for Statutory Duty of Candour and the Sentinel Event</w:t>
      </w:r>
      <w:r w:rsidR="002F2403" w:rsidRPr="00D75FE8">
        <w:t>s</w:t>
      </w:r>
      <w:r w:rsidRPr="00D75FE8">
        <w:t xml:space="preserve"> Program. The policy provides a best practice guide for the adverse patient safety events management process, including review and improvement. The policy describes review types which might be chosen</w:t>
      </w:r>
      <w:r w:rsidR="00B73B4A" w:rsidRPr="00D75FE8">
        <w:t xml:space="preserve"> and =</w:t>
      </w:r>
      <w:r w:rsidRPr="00D75FE8">
        <w:t>examples of formal review methods (RCA, London Protoc</w:t>
      </w:r>
      <w:r w:rsidR="007C300E" w:rsidRPr="00D75FE8">
        <w:t>o</w:t>
      </w:r>
      <w:r w:rsidRPr="00D75FE8">
        <w:t xml:space="preserve">l, AcciMap and in-depth case review). The policy is </w:t>
      </w:r>
      <w:r w:rsidRPr="006C473F">
        <w:t>not mandatory</w:t>
      </w:r>
      <w:r w:rsidRPr="00D75FE8">
        <w:t xml:space="preserve"> for HSEs.</w:t>
      </w:r>
    </w:p>
    <w:p w14:paraId="67586304" w14:textId="51292588" w:rsidR="00D023C4" w:rsidRDefault="00D023C4" w:rsidP="00D023C4">
      <w:pPr>
        <w:rPr>
          <w:color w:val="000000" w:themeColor="text1"/>
        </w:rPr>
      </w:pPr>
      <w:r>
        <w:rPr>
          <w:noProof/>
        </w:rPr>
        <mc:AlternateContent>
          <mc:Choice Requires="wps">
            <w:drawing>
              <wp:anchor distT="45720" distB="45720" distL="114300" distR="114300" simplePos="0" relativeHeight="251658241" behindDoc="0" locked="0" layoutInCell="1" allowOverlap="1" wp14:anchorId="4E1E4E54" wp14:editId="6DBF7E81">
                <wp:simplePos x="0" y="0"/>
                <wp:positionH relativeFrom="margin">
                  <wp:align>right</wp:align>
                </wp:positionH>
                <wp:positionV relativeFrom="paragraph">
                  <wp:posOffset>1059180</wp:posOffset>
                </wp:positionV>
                <wp:extent cx="5717540" cy="800100"/>
                <wp:effectExtent l="0" t="0" r="16510" b="1905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00100"/>
                        </a:xfrm>
                        <a:prstGeom prst="rect">
                          <a:avLst/>
                        </a:prstGeom>
                        <a:solidFill>
                          <a:srgbClr val="EEECE1"/>
                        </a:solidFill>
                        <a:ln w="9525">
                          <a:solidFill>
                            <a:sysClr val="window" lastClr="FFFFFF"/>
                          </a:solidFill>
                          <a:miter lim="800000"/>
                          <a:headEnd/>
                          <a:tailEnd/>
                        </a:ln>
                      </wps:spPr>
                      <wps:txbx>
                        <w:txbxContent>
                          <w:p w14:paraId="6FB07BA0" w14:textId="476E6DDF" w:rsidR="00D023C4" w:rsidRPr="00A66A25" w:rsidRDefault="00D023C4" w:rsidP="001E347D">
                            <w:pPr>
                              <w:shd w:val="clear" w:color="auto" w:fill="EEECE1" w:themeFill="background2"/>
                              <w:rPr>
                                <w:color w:val="000000" w:themeColor="text1"/>
                              </w:rPr>
                            </w:pPr>
                            <w:r>
                              <w:rPr>
                                <w:color w:val="000000" w:themeColor="text1"/>
                              </w:rPr>
                              <w:t xml:space="preserve">The absence of a mandatory and consistent approach to the </w:t>
                            </w:r>
                            <w:r w:rsidRPr="00F3549D">
                              <w:rPr>
                                <w:color w:val="000000" w:themeColor="text1"/>
                              </w:rPr>
                              <w:t xml:space="preserve">conduct and </w:t>
                            </w:r>
                            <w:r w:rsidR="00A13378">
                              <w:rPr>
                                <w:color w:val="000000" w:themeColor="text1"/>
                              </w:rPr>
                              <w:t xml:space="preserve">review of </w:t>
                            </w:r>
                            <w:r w:rsidRPr="00F3549D">
                              <w:rPr>
                                <w:color w:val="000000" w:themeColor="text1"/>
                              </w:rPr>
                              <w:t xml:space="preserve">outcomes </w:t>
                            </w:r>
                            <w:r>
                              <w:rPr>
                                <w:color w:val="000000" w:themeColor="text1"/>
                              </w:rPr>
                              <w:t xml:space="preserve">of </w:t>
                            </w:r>
                            <w:r w:rsidRPr="00F3549D">
                              <w:rPr>
                                <w:color w:val="000000" w:themeColor="text1"/>
                              </w:rPr>
                              <w:t>sentinel event</w:t>
                            </w:r>
                            <w:r w:rsidR="00A13378">
                              <w:rPr>
                                <w:color w:val="000000" w:themeColor="text1"/>
                              </w:rPr>
                              <w:t xml:space="preserve"> review</w:t>
                            </w:r>
                            <w:r w:rsidRPr="00F3549D">
                              <w:rPr>
                                <w:color w:val="000000" w:themeColor="text1"/>
                              </w:rPr>
                              <w:t xml:space="preserve">s </w:t>
                            </w:r>
                            <w:r>
                              <w:rPr>
                                <w:color w:val="000000" w:themeColor="text1"/>
                              </w:rPr>
                              <w:t>impacts the effectiveness of</w:t>
                            </w:r>
                            <w:r w:rsidRPr="00F3549D">
                              <w:rPr>
                                <w:color w:val="000000" w:themeColor="text1"/>
                              </w:rPr>
                              <w:t xml:space="preserve"> SCV’s system-wide oversight </w:t>
                            </w:r>
                            <w:r>
                              <w:rPr>
                                <w:color w:val="000000" w:themeColor="text1"/>
                              </w:rPr>
                              <w:t xml:space="preserve">and sharing of learnings to </w:t>
                            </w:r>
                            <w:r w:rsidRPr="00F3549D">
                              <w:rPr>
                                <w:color w:val="000000" w:themeColor="text1"/>
                              </w:rPr>
                              <w:t>improve patient</w:t>
                            </w:r>
                            <w:r>
                              <w:rPr>
                                <w:color w:val="000000" w:themeColor="text1"/>
                              </w:rPr>
                              <w:t xml:space="preserve">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E4E54" id="Text Box 43" o:spid="_x0000_s1080" type="#_x0000_t202" style="position:absolute;margin-left:399pt;margin-top:83.4pt;width:450.2pt;height:63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" fillcolor="#eeece1" strokecolor="window">
                <v:textbox>
                  <w:txbxContent>
                    <w:p w14:paraId="6FB07BA0" w14:textId="476E6DDF" w:rsidR="00D023C4" w:rsidRPr="00A66A25" w:rsidRDefault="00D023C4" w:rsidP="001E347D">
                      <w:pPr>
                        <w:shd w:val="clear" w:color="auto" w:fill="EEECE1" w:themeFill="background2"/>
                        <w:rPr>
                          <w:color w:val="000000" w:themeColor="text1"/>
                        </w:rPr>
                      </w:pPr>
                      <w:r>
                        <w:rPr>
                          <w:color w:val="000000" w:themeColor="text1"/>
                        </w:rPr>
                        <w:t xml:space="preserve">The absence of a mandatory and consistent approach to the </w:t>
                      </w:r>
                      <w:r w:rsidRPr="00F3549D">
                        <w:rPr>
                          <w:color w:val="000000" w:themeColor="text1"/>
                        </w:rPr>
                        <w:t xml:space="preserve">conduct and </w:t>
                      </w:r>
                      <w:r w:rsidR="00A13378">
                        <w:rPr>
                          <w:color w:val="000000" w:themeColor="text1"/>
                        </w:rPr>
                        <w:t xml:space="preserve">review of </w:t>
                      </w:r>
                      <w:r w:rsidRPr="00F3549D">
                        <w:rPr>
                          <w:color w:val="000000" w:themeColor="text1"/>
                        </w:rPr>
                        <w:t xml:space="preserve">outcomes </w:t>
                      </w:r>
                      <w:r>
                        <w:rPr>
                          <w:color w:val="000000" w:themeColor="text1"/>
                        </w:rPr>
                        <w:t xml:space="preserve">of </w:t>
                      </w:r>
                      <w:r w:rsidRPr="00F3549D">
                        <w:rPr>
                          <w:color w:val="000000" w:themeColor="text1"/>
                        </w:rPr>
                        <w:t>sentinel event</w:t>
                      </w:r>
                      <w:r w:rsidR="00A13378">
                        <w:rPr>
                          <w:color w:val="000000" w:themeColor="text1"/>
                        </w:rPr>
                        <w:t xml:space="preserve"> review</w:t>
                      </w:r>
                      <w:r w:rsidRPr="00F3549D">
                        <w:rPr>
                          <w:color w:val="000000" w:themeColor="text1"/>
                        </w:rPr>
                        <w:t xml:space="preserve">s </w:t>
                      </w:r>
                      <w:r>
                        <w:rPr>
                          <w:color w:val="000000" w:themeColor="text1"/>
                        </w:rPr>
                        <w:t>impacts the effectiveness of</w:t>
                      </w:r>
                      <w:r w:rsidRPr="00F3549D">
                        <w:rPr>
                          <w:color w:val="000000" w:themeColor="text1"/>
                        </w:rPr>
                        <w:t xml:space="preserve"> SCV’s system-wide oversight </w:t>
                      </w:r>
                      <w:r>
                        <w:rPr>
                          <w:color w:val="000000" w:themeColor="text1"/>
                        </w:rPr>
                        <w:t xml:space="preserve">and sharing of learnings to </w:t>
                      </w:r>
                      <w:r w:rsidRPr="00F3549D">
                        <w:rPr>
                          <w:color w:val="000000" w:themeColor="text1"/>
                        </w:rPr>
                        <w:t>improve patient</w:t>
                      </w:r>
                      <w:r>
                        <w:rPr>
                          <w:color w:val="000000" w:themeColor="text1"/>
                        </w:rPr>
                        <w:t xml:space="preserve"> care.</w:t>
                      </w:r>
                    </w:p>
                  </w:txbxContent>
                </v:textbox>
                <w10:wrap type="square" anchorx="margin"/>
              </v:shape>
            </w:pict>
          </mc:Fallback>
        </mc:AlternateContent>
      </w:r>
      <w:r>
        <w:rPr>
          <w:noProof/>
        </w:rPr>
        <w:t>The</w:t>
      </w:r>
      <w:r>
        <w:t xml:space="preserve"> department understands that</w:t>
      </w:r>
      <w:r w:rsidRPr="0041171E">
        <w:t xml:space="preserve"> most HSEs that report a sentinel event under regulation 46A are subsequently completing a review and reporting outcomes from the review in line with </w:t>
      </w:r>
      <w:r>
        <w:t xml:space="preserve">the Duty of Candour (supported by the </w:t>
      </w:r>
      <w:bookmarkStart w:id="37" w:name="_Hlk161665117"/>
      <w:r>
        <w:t xml:space="preserve">Victorian sentinel event guide </w:t>
      </w:r>
      <w:bookmarkEnd w:id="37"/>
      <w:r>
        <w:t xml:space="preserve">and </w:t>
      </w:r>
      <w:r w:rsidRPr="00A41965">
        <w:t>Adverse Patient Safety Events policy</w:t>
      </w:r>
      <w:r>
        <w:t xml:space="preserve">). However, this </w:t>
      </w:r>
      <w:r w:rsidR="00822B3C">
        <w:t>is not formally mandated</w:t>
      </w:r>
      <w:r>
        <w:t xml:space="preserve"> and there is a risk that a HSE does not apply these processes if a sentinel event occurs.</w:t>
      </w:r>
    </w:p>
    <w:p w14:paraId="44DB7D8C" w14:textId="77777777" w:rsidR="00D023C4" w:rsidRDefault="00D023C4" w:rsidP="00D023C4">
      <w:pPr>
        <w:rPr>
          <w:color w:val="000000" w:themeColor="text1"/>
        </w:rPr>
      </w:pPr>
      <w:r w:rsidRPr="001877D7">
        <w:rPr>
          <w:color w:val="000000" w:themeColor="text1"/>
        </w:rPr>
        <w:t xml:space="preserve">A coronial </w:t>
      </w:r>
      <w:r w:rsidRPr="001877D7">
        <w:rPr>
          <w:rFonts w:cstheme="minorHAnsi"/>
          <w:color w:val="000000" w:themeColor="text1"/>
        </w:rPr>
        <w:t xml:space="preserve">investigation </w:t>
      </w:r>
      <w:r>
        <w:rPr>
          <w:rFonts w:cstheme="minorHAnsi"/>
          <w:color w:val="000000" w:themeColor="text1"/>
        </w:rPr>
        <w:t xml:space="preserve">was undertaken into the death of Antoinette O’Brien, who died of sepsis after delivering her stillborn baby in 2017. </w:t>
      </w:r>
      <w:r>
        <w:rPr>
          <w:color w:val="000000" w:themeColor="text1"/>
        </w:rPr>
        <w:t>The Coroner’s 2023 report considered the role of SCV and its role in reviewing sentinel events in Victoria, including consideration of the voluntary participation of health services in sentinel event reviews. The Coroner found:</w:t>
      </w:r>
    </w:p>
    <w:p w14:paraId="336C4FAF" w14:textId="77777777" w:rsidR="00D023C4" w:rsidRDefault="00D023C4" w:rsidP="00D023C4">
      <w:pPr>
        <w:ind w:left="284"/>
        <w:rPr>
          <w:i/>
          <w:iCs/>
        </w:rPr>
      </w:pPr>
      <w:r w:rsidRPr="003670C5">
        <w:rPr>
          <w:i/>
          <w:iCs/>
        </w:rPr>
        <w:t>It is clear that at the time of Annie’s passing, SCV lacked the legislative power to compel the</w:t>
      </w:r>
      <w:r>
        <w:rPr>
          <w:i/>
          <w:iCs/>
        </w:rPr>
        <w:t xml:space="preserve"> </w:t>
      </w:r>
      <w:r w:rsidRPr="003670C5">
        <w:rPr>
          <w:i/>
          <w:iCs/>
        </w:rPr>
        <w:t>cooperation of health services in undertaking its review of sentinel events and relied on their</w:t>
      </w:r>
      <w:r>
        <w:rPr>
          <w:i/>
          <w:iCs/>
        </w:rPr>
        <w:t xml:space="preserve"> </w:t>
      </w:r>
      <w:r w:rsidRPr="003670C5">
        <w:rPr>
          <w:i/>
          <w:iCs/>
        </w:rPr>
        <w:t>voluntary cooperation. I am satisfied that the enhanced legislative powers which come into effect last</w:t>
      </w:r>
      <w:r>
        <w:rPr>
          <w:i/>
          <w:iCs/>
        </w:rPr>
        <w:t xml:space="preserve"> </w:t>
      </w:r>
      <w:r w:rsidRPr="003670C5">
        <w:rPr>
          <w:i/>
          <w:iCs/>
        </w:rPr>
        <w:t>year, will allow SCV to be more proactive in managing their interactions and engagement with health</w:t>
      </w:r>
      <w:r>
        <w:rPr>
          <w:i/>
          <w:iCs/>
        </w:rPr>
        <w:t xml:space="preserve"> </w:t>
      </w:r>
      <w:r w:rsidRPr="003670C5">
        <w:rPr>
          <w:i/>
          <w:iCs/>
        </w:rPr>
        <w:t>services. I am however concerned that root cause analysis reports are not required for all SAPSEs. I</w:t>
      </w:r>
      <w:r>
        <w:rPr>
          <w:i/>
          <w:iCs/>
        </w:rPr>
        <w:t xml:space="preserve"> </w:t>
      </w:r>
      <w:r w:rsidRPr="003670C5">
        <w:rPr>
          <w:i/>
          <w:iCs/>
        </w:rPr>
        <w:t>am of the view that root cause analysis reports should be mandatory for all SAPSEs and sentinel</w:t>
      </w:r>
      <w:r>
        <w:rPr>
          <w:i/>
          <w:iCs/>
        </w:rPr>
        <w:t xml:space="preserve"> </w:t>
      </w:r>
      <w:r w:rsidRPr="003670C5">
        <w:rPr>
          <w:i/>
          <w:iCs/>
        </w:rPr>
        <w:t>events regardless of whether they occur in a public or private health service.</w:t>
      </w:r>
    </w:p>
    <w:p w14:paraId="5D39AEA9" w14:textId="77777777" w:rsidR="00D023C4" w:rsidRPr="00E626B6" w:rsidRDefault="00D023C4" w:rsidP="00D023C4">
      <w:pPr>
        <w:rPr>
          <w:color w:val="000000" w:themeColor="text1"/>
        </w:rPr>
      </w:pPr>
      <w:r w:rsidRPr="00E626B6">
        <w:rPr>
          <w:color w:val="000000" w:themeColor="text1"/>
        </w:rPr>
        <w:t>The Coroner made recommendations that the Regulations should be amended to introduce requirements that:</w:t>
      </w:r>
    </w:p>
    <w:p w14:paraId="08EE6B2E" w14:textId="77777777" w:rsidR="00D023C4" w:rsidRPr="001877D7" w:rsidRDefault="00D023C4" w:rsidP="00D023C4">
      <w:pPr>
        <w:pStyle w:val="DHHSbody"/>
        <w:numPr>
          <w:ilvl w:val="0"/>
          <w:numId w:val="22"/>
        </w:numPr>
        <w:rPr>
          <w:rFonts w:asciiTheme="minorHAnsi" w:hAnsiTheme="minorHAnsi" w:cstheme="minorHAnsi"/>
          <w:color w:val="000000" w:themeColor="text1"/>
        </w:rPr>
      </w:pPr>
      <w:r w:rsidRPr="001877D7">
        <w:rPr>
          <w:rFonts w:asciiTheme="minorHAnsi" w:hAnsiTheme="minorHAnsi" w:cstheme="minorHAnsi"/>
          <w:color w:val="000000" w:themeColor="text1"/>
        </w:rPr>
        <w:t>all health facilities, public and private, be required to undertake RCA reports of SAPSEs, including sentinel events</w:t>
      </w:r>
    </w:p>
    <w:p w14:paraId="3D9278C3" w14:textId="77777777" w:rsidR="00D023C4" w:rsidRDefault="00D023C4" w:rsidP="00D023C4">
      <w:pPr>
        <w:pStyle w:val="DHHSbody"/>
        <w:numPr>
          <w:ilvl w:val="0"/>
          <w:numId w:val="22"/>
        </w:numPr>
        <w:rPr>
          <w:rFonts w:asciiTheme="minorHAnsi" w:hAnsiTheme="minorHAnsi" w:cstheme="minorHAnsi"/>
          <w:color w:val="000000" w:themeColor="text1"/>
        </w:rPr>
      </w:pPr>
      <w:r w:rsidRPr="001877D7">
        <w:rPr>
          <w:rFonts w:asciiTheme="minorHAnsi" w:hAnsiTheme="minorHAnsi" w:cstheme="minorHAnsi"/>
          <w:color w:val="000000" w:themeColor="text1"/>
        </w:rPr>
        <w:t>private hospitals be required to have an independent member on a RCA panel consistent with the requirements imposed on public hospitals.</w:t>
      </w:r>
      <w:r w:rsidRPr="000D17F7">
        <w:rPr>
          <w:rStyle w:val="FootnoteReference"/>
        </w:rPr>
        <w:footnoteReference w:id="72"/>
      </w:r>
    </w:p>
    <w:p w14:paraId="372F9B65" w14:textId="0A0499F6" w:rsidR="00D023C4" w:rsidRPr="001877D7" w:rsidRDefault="00D023C4" w:rsidP="00D023C4">
      <w:pPr>
        <w:rPr>
          <w:rFonts w:cstheme="minorHAnsi"/>
          <w:color w:val="000000" w:themeColor="text1"/>
        </w:rPr>
      </w:pPr>
      <w:r>
        <w:rPr>
          <w:color w:val="000000" w:themeColor="text1"/>
        </w:rPr>
        <w:t xml:space="preserve">The </w:t>
      </w:r>
      <w:r w:rsidRPr="001877D7">
        <w:rPr>
          <w:rFonts w:cstheme="minorHAnsi"/>
          <w:color w:val="000000" w:themeColor="text1"/>
        </w:rPr>
        <w:t>recommendation</w:t>
      </w:r>
      <w:r>
        <w:rPr>
          <w:rFonts w:cstheme="minorHAnsi"/>
          <w:color w:val="000000" w:themeColor="text1"/>
        </w:rPr>
        <w:t>s of the Coroner have</w:t>
      </w:r>
      <w:r w:rsidRPr="001877D7">
        <w:rPr>
          <w:rFonts w:cstheme="minorHAnsi"/>
          <w:color w:val="000000" w:themeColor="text1"/>
        </w:rPr>
        <w:t xml:space="preserve"> been accepted in</w:t>
      </w:r>
      <w:r w:rsidR="008C171E">
        <w:rPr>
          <w:rFonts w:cstheme="minorHAnsi"/>
          <w:color w:val="000000" w:themeColor="text1"/>
        </w:rPr>
        <w:t>-</w:t>
      </w:r>
      <w:r w:rsidRPr="001877D7">
        <w:rPr>
          <w:rFonts w:cstheme="minorHAnsi"/>
          <w:color w:val="000000" w:themeColor="text1"/>
        </w:rPr>
        <w:t>principle by the department.</w:t>
      </w:r>
    </w:p>
    <w:p w14:paraId="38694144" w14:textId="77777777" w:rsidR="00D023C4" w:rsidRPr="001E347D" w:rsidRDefault="00D023C4" w:rsidP="00D023C4">
      <w:pPr>
        <w:rPr>
          <w:rStyle w:val="Strong"/>
        </w:rPr>
      </w:pPr>
      <w:r w:rsidRPr="001E347D">
        <w:rPr>
          <w:rStyle w:val="Strong"/>
        </w:rPr>
        <w:t>Timelines for reporting requirements</w:t>
      </w:r>
    </w:p>
    <w:p w14:paraId="38F9A3CC" w14:textId="77777777" w:rsidR="00D023C4" w:rsidRDefault="00D023C4" w:rsidP="00D023C4">
      <w:pPr>
        <w:rPr>
          <w:color w:val="000000" w:themeColor="text1"/>
        </w:rPr>
      </w:pPr>
      <w:r>
        <w:rPr>
          <w:color w:val="000000" w:themeColor="text1"/>
        </w:rPr>
        <w:t xml:space="preserve">The Victorian Sentinel Event Guide sets out timelines for sentinel event reporting: </w:t>
      </w:r>
    </w:p>
    <w:p w14:paraId="5C0D97A2" w14:textId="77777777" w:rsidR="00D023C4" w:rsidRPr="00010BB6" w:rsidRDefault="00D023C4" w:rsidP="00D023C4">
      <w:pPr>
        <w:pStyle w:val="DHHSbody"/>
        <w:numPr>
          <w:ilvl w:val="0"/>
          <w:numId w:val="22"/>
        </w:numPr>
        <w:rPr>
          <w:rFonts w:asciiTheme="minorHAnsi" w:hAnsiTheme="minorHAnsi" w:cstheme="minorHAnsi"/>
          <w:color w:val="000000" w:themeColor="text1"/>
        </w:rPr>
      </w:pPr>
      <w:r w:rsidRPr="00010BB6">
        <w:rPr>
          <w:rFonts w:asciiTheme="minorHAnsi" w:hAnsiTheme="minorHAnsi" w:cstheme="minorHAnsi"/>
          <w:color w:val="000000" w:themeColor="text1"/>
        </w:rPr>
        <w:lastRenderedPageBreak/>
        <w:t>notify SCV within three business days of the service becoming aware of the event</w:t>
      </w:r>
    </w:p>
    <w:p w14:paraId="107F097B" w14:textId="77777777" w:rsidR="00D023C4" w:rsidRPr="00010BB6" w:rsidRDefault="00D023C4" w:rsidP="00D023C4">
      <w:pPr>
        <w:pStyle w:val="DHHSbody"/>
        <w:numPr>
          <w:ilvl w:val="0"/>
          <w:numId w:val="22"/>
        </w:numPr>
        <w:rPr>
          <w:rFonts w:asciiTheme="minorHAnsi" w:hAnsiTheme="minorHAnsi" w:cstheme="minorHAnsi"/>
          <w:color w:val="000000" w:themeColor="text1"/>
        </w:rPr>
      </w:pPr>
      <w:r w:rsidRPr="00010BB6">
        <w:rPr>
          <w:rFonts w:asciiTheme="minorHAnsi" w:hAnsiTheme="minorHAnsi" w:cstheme="minorHAnsi"/>
          <w:color w:val="000000" w:themeColor="text1"/>
        </w:rPr>
        <w:t>review and analyse the sentinel event using root cause analysis (RCA) methodology</w:t>
      </w:r>
    </w:p>
    <w:p w14:paraId="749B6F2C" w14:textId="77777777" w:rsidR="00D023C4" w:rsidRPr="00010BB6" w:rsidRDefault="00D023C4" w:rsidP="00D023C4">
      <w:pPr>
        <w:pStyle w:val="DHHSbody"/>
        <w:numPr>
          <w:ilvl w:val="0"/>
          <w:numId w:val="22"/>
        </w:numPr>
        <w:rPr>
          <w:rFonts w:asciiTheme="minorHAnsi" w:hAnsiTheme="minorHAnsi" w:cstheme="minorHAnsi"/>
          <w:color w:val="000000" w:themeColor="text1"/>
        </w:rPr>
      </w:pPr>
      <w:r w:rsidRPr="00010BB6">
        <w:rPr>
          <w:rFonts w:asciiTheme="minorHAnsi" w:hAnsiTheme="minorHAnsi" w:cstheme="minorHAnsi"/>
          <w:color w:val="000000" w:themeColor="text1"/>
        </w:rPr>
        <w:t>submit an RCA report (parts a and b) within 30 business days of the notification</w:t>
      </w:r>
    </w:p>
    <w:p w14:paraId="0A04F3BB" w14:textId="77777777" w:rsidR="00D023C4" w:rsidRPr="00010BB6" w:rsidRDefault="00D023C4" w:rsidP="00D023C4">
      <w:pPr>
        <w:pStyle w:val="DHHSbody"/>
        <w:numPr>
          <w:ilvl w:val="0"/>
          <w:numId w:val="22"/>
        </w:numPr>
        <w:rPr>
          <w:rFonts w:asciiTheme="minorHAnsi" w:hAnsiTheme="minorHAnsi" w:cstheme="minorHAnsi"/>
          <w:color w:val="000000" w:themeColor="text1"/>
        </w:rPr>
      </w:pPr>
      <w:r w:rsidRPr="00010BB6">
        <w:rPr>
          <w:rFonts w:asciiTheme="minorHAnsi" w:hAnsiTheme="minorHAnsi" w:cstheme="minorHAnsi"/>
          <w:color w:val="000000" w:themeColor="text1"/>
        </w:rPr>
        <w:t>submit recommendations from the RCA (part c) within 50 business days of the notification</w:t>
      </w:r>
    </w:p>
    <w:p w14:paraId="7B071370" w14:textId="77777777" w:rsidR="00D023C4" w:rsidRPr="00661984" w:rsidRDefault="00D023C4" w:rsidP="00D023C4">
      <w:pPr>
        <w:pStyle w:val="DHHSbody"/>
        <w:numPr>
          <w:ilvl w:val="0"/>
          <w:numId w:val="22"/>
        </w:numPr>
        <w:rPr>
          <w:color w:val="000000" w:themeColor="text1"/>
        </w:rPr>
      </w:pPr>
      <w:r w:rsidRPr="00661984">
        <w:rPr>
          <w:rFonts w:asciiTheme="minorHAnsi" w:hAnsiTheme="minorHAnsi" w:cstheme="minorHAnsi"/>
          <w:color w:val="000000" w:themeColor="text1"/>
        </w:rPr>
        <w:t xml:space="preserve">submit a recommendation monitoring report </w:t>
      </w:r>
      <w:r w:rsidRPr="009310F4">
        <w:rPr>
          <w:rFonts w:asciiTheme="minorHAnsi" w:hAnsiTheme="minorHAnsi" w:cstheme="minorHAnsi"/>
          <w:color w:val="000000" w:themeColor="text1"/>
        </w:rPr>
        <w:t>within 120 business days of the notification</w:t>
      </w:r>
      <w:r w:rsidRPr="00661984">
        <w:rPr>
          <w:color w:val="000000" w:themeColor="text1"/>
        </w:rPr>
        <w:t xml:space="preserve">. </w:t>
      </w:r>
    </w:p>
    <w:p w14:paraId="5981ACF7" w14:textId="77777777" w:rsidR="00D023C4" w:rsidRDefault="00D023C4" w:rsidP="00D023C4">
      <w:pPr>
        <w:rPr>
          <w:color w:val="000000" w:themeColor="text1"/>
        </w:rPr>
      </w:pPr>
      <w:r w:rsidRPr="00661984">
        <w:rPr>
          <w:color w:val="000000" w:themeColor="text1"/>
        </w:rPr>
        <w:t>The department notes stakeholder feedback and other evidence that there can be challenges in convening a panel as specified, which can lead to delays in completing the reviews on time.</w:t>
      </w:r>
      <w:r w:rsidRPr="0017345F">
        <w:rPr>
          <w:color w:val="000000" w:themeColor="text1"/>
        </w:rPr>
        <w:t xml:space="preserve"> </w:t>
      </w:r>
      <w:r>
        <w:rPr>
          <w:color w:val="000000" w:themeColor="text1"/>
        </w:rPr>
        <w:t xml:space="preserve"> </w:t>
      </w:r>
    </w:p>
    <w:p w14:paraId="5ED5748B" w14:textId="789F1CB0" w:rsidR="00D023C4" w:rsidRPr="0017345F" w:rsidRDefault="00D023C4" w:rsidP="00D023C4">
      <w:pPr>
        <w:rPr>
          <w:color w:val="000000" w:themeColor="text1"/>
        </w:rPr>
      </w:pPr>
      <w:r w:rsidRPr="0017345F">
        <w:rPr>
          <w:color w:val="000000" w:themeColor="text1"/>
        </w:rPr>
        <w:t>Table 6 sets out SCV reporting on the Sentinel Event</w:t>
      </w:r>
      <w:r w:rsidR="00D24032">
        <w:rPr>
          <w:color w:val="000000" w:themeColor="text1"/>
        </w:rPr>
        <w:t>s</w:t>
      </w:r>
      <w:r w:rsidRPr="0017345F">
        <w:rPr>
          <w:color w:val="000000" w:themeColor="text1"/>
        </w:rPr>
        <w:t xml:space="preserve"> Program that shows rates of compliance with requirements for review teams and timelines for reporting (for all health services, not just HSEs). Most reports are not received on time and over 50% of health services request timeline extensions.  </w:t>
      </w:r>
    </w:p>
    <w:p w14:paraId="6FADB5D1" w14:textId="7E81DD56" w:rsidR="00383E06" w:rsidRDefault="00383E06" w:rsidP="00466F45">
      <w:pPr>
        <w:pStyle w:val="Caption"/>
      </w:pPr>
      <w:r>
        <w:t xml:space="preserve">Table </w:t>
      </w:r>
      <w:fldSimple w:instr=" SEQ Table \* ARABIC ">
        <w:r>
          <w:rPr>
            <w:noProof/>
          </w:rPr>
          <w:t>6</w:t>
        </w:r>
      </w:fldSimple>
      <w:r>
        <w:t xml:space="preserve"> </w:t>
      </w:r>
      <w:r w:rsidRPr="00512FDC">
        <w:t>Compliance rates for all health services vs Victorian Sentinel Events Guide</w:t>
      </w:r>
    </w:p>
    <w:tbl>
      <w:tblPr>
        <w:tblStyle w:val="SapereTable"/>
        <w:tblW w:w="5000" w:type="pct"/>
        <w:tblLook w:val="04A0" w:firstRow="1" w:lastRow="0" w:firstColumn="1" w:lastColumn="0" w:noHBand="0" w:noVBand="1"/>
      </w:tblPr>
      <w:tblGrid>
        <w:gridCol w:w="4677"/>
        <w:gridCol w:w="827"/>
        <w:gridCol w:w="765"/>
        <w:gridCol w:w="841"/>
        <w:gridCol w:w="827"/>
        <w:gridCol w:w="1089"/>
      </w:tblGrid>
      <w:tr w:rsidR="003476CD" w:rsidRPr="0017345F" w14:paraId="2A307077" w14:textId="77777777" w:rsidTr="003476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1" w:type="pct"/>
          </w:tcPr>
          <w:p w14:paraId="0F6B9326" w14:textId="77777777" w:rsidR="00D023C4" w:rsidRPr="003476CD" w:rsidRDefault="00D023C4" w:rsidP="003476CD">
            <w:pPr>
              <w:rPr>
                <w:szCs w:val="20"/>
              </w:rPr>
            </w:pPr>
            <w:r w:rsidRPr="003476CD">
              <w:rPr>
                <w:szCs w:val="20"/>
              </w:rPr>
              <w:t>Annual report period</w:t>
            </w:r>
          </w:p>
        </w:tc>
        <w:tc>
          <w:tcPr>
            <w:tcW w:w="458" w:type="pct"/>
          </w:tcPr>
          <w:p w14:paraId="2CF8D473" w14:textId="77777777" w:rsidR="00D023C4" w:rsidRPr="003476CD" w:rsidRDefault="00D023C4" w:rsidP="003476CD">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21/22</w:t>
            </w:r>
          </w:p>
        </w:tc>
        <w:tc>
          <w:tcPr>
            <w:tcW w:w="424" w:type="pct"/>
          </w:tcPr>
          <w:p w14:paraId="60FB09BB" w14:textId="77777777" w:rsidR="00D023C4" w:rsidRPr="003476CD" w:rsidRDefault="00D023C4" w:rsidP="003476CD">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20/21</w:t>
            </w:r>
          </w:p>
        </w:tc>
        <w:tc>
          <w:tcPr>
            <w:tcW w:w="466" w:type="pct"/>
          </w:tcPr>
          <w:p w14:paraId="19B12F7D" w14:textId="77777777" w:rsidR="00D023C4" w:rsidRPr="003476CD" w:rsidRDefault="00D023C4" w:rsidP="003476CD">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19/20</w:t>
            </w:r>
          </w:p>
        </w:tc>
        <w:tc>
          <w:tcPr>
            <w:tcW w:w="458" w:type="pct"/>
          </w:tcPr>
          <w:p w14:paraId="3D779F1C" w14:textId="77777777" w:rsidR="00D023C4" w:rsidRPr="003476CD" w:rsidRDefault="00D023C4" w:rsidP="003476CD">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18/19</w:t>
            </w:r>
          </w:p>
        </w:tc>
        <w:tc>
          <w:tcPr>
            <w:tcW w:w="603" w:type="pct"/>
          </w:tcPr>
          <w:p w14:paraId="311FC0B3" w14:textId="77777777" w:rsidR="00D023C4" w:rsidRPr="003476CD" w:rsidRDefault="00D023C4" w:rsidP="003476CD">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17/18</w:t>
            </w:r>
          </w:p>
        </w:tc>
      </w:tr>
      <w:tr w:rsidR="003476CD" w:rsidRPr="0017345F" w14:paraId="51720A00" w14:textId="77777777" w:rsidTr="003476CD">
        <w:trPr>
          <w:trHeight w:val="300"/>
        </w:trPr>
        <w:tc>
          <w:tcPr>
            <w:cnfStyle w:val="001000000000" w:firstRow="0" w:lastRow="0" w:firstColumn="1" w:lastColumn="0" w:oddVBand="0" w:evenVBand="0" w:oddHBand="0" w:evenHBand="0" w:firstRowFirstColumn="0" w:firstRowLastColumn="0" w:lastRowFirstColumn="0" w:lastRowLastColumn="0"/>
            <w:tcW w:w="2591" w:type="pct"/>
          </w:tcPr>
          <w:p w14:paraId="1F574C1D" w14:textId="77777777" w:rsidR="00D023C4" w:rsidRPr="003476CD" w:rsidRDefault="00D023C4">
            <w:pPr>
              <w:keepNext/>
              <w:keepLines/>
              <w:tabs>
                <w:tab w:val="left" w:pos="360"/>
              </w:tabs>
              <w:spacing w:before="0"/>
              <w:rPr>
                <w:rFonts w:eastAsia="Arial" w:cstheme="minorHAnsi"/>
                <w:i/>
                <w:color w:val="auto"/>
                <w:szCs w:val="20"/>
              </w:rPr>
            </w:pPr>
            <w:r w:rsidRPr="003476CD">
              <w:rPr>
                <w:rFonts w:eastAsia="Arial" w:cstheme="minorHAnsi"/>
                <w:i/>
                <w:color w:val="auto"/>
                <w:szCs w:val="20"/>
              </w:rPr>
              <w:t>Review team composition</w:t>
            </w:r>
          </w:p>
        </w:tc>
        <w:tc>
          <w:tcPr>
            <w:tcW w:w="458" w:type="pct"/>
          </w:tcPr>
          <w:p w14:paraId="730FC7ED"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color w:val="auto"/>
                <w:szCs w:val="20"/>
              </w:rPr>
            </w:pPr>
            <w:r w:rsidRPr="003476CD">
              <w:rPr>
                <w:color w:val="auto"/>
                <w:szCs w:val="20"/>
              </w:rPr>
              <w:t xml:space="preserve"> </w:t>
            </w:r>
          </w:p>
        </w:tc>
        <w:tc>
          <w:tcPr>
            <w:tcW w:w="424" w:type="pct"/>
          </w:tcPr>
          <w:p w14:paraId="3F75D5AB"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color w:val="auto"/>
                <w:szCs w:val="20"/>
              </w:rPr>
            </w:pPr>
            <w:r w:rsidRPr="003476CD">
              <w:rPr>
                <w:color w:val="auto"/>
                <w:szCs w:val="20"/>
              </w:rPr>
              <w:t xml:space="preserve"> </w:t>
            </w:r>
          </w:p>
        </w:tc>
        <w:tc>
          <w:tcPr>
            <w:tcW w:w="466" w:type="pct"/>
          </w:tcPr>
          <w:p w14:paraId="2692E3A7"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color w:val="auto"/>
                <w:szCs w:val="20"/>
              </w:rPr>
            </w:pPr>
            <w:r w:rsidRPr="003476CD">
              <w:rPr>
                <w:color w:val="auto"/>
                <w:szCs w:val="20"/>
              </w:rPr>
              <w:t xml:space="preserve"> </w:t>
            </w:r>
          </w:p>
        </w:tc>
        <w:tc>
          <w:tcPr>
            <w:tcW w:w="458" w:type="pct"/>
          </w:tcPr>
          <w:p w14:paraId="6C345209"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color w:val="auto"/>
                <w:szCs w:val="20"/>
              </w:rPr>
            </w:pPr>
            <w:r w:rsidRPr="003476CD">
              <w:rPr>
                <w:color w:val="auto"/>
                <w:szCs w:val="20"/>
              </w:rPr>
              <w:t xml:space="preserve"> </w:t>
            </w:r>
          </w:p>
        </w:tc>
        <w:tc>
          <w:tcPr>
            <w:tcW w:w="603" w:type="pct"/>
          </w:tcPr>
          <w:p w14:paraId="2E3C1157"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color w:val="auto"/>
                <w:szCs w:val="20"/>
              </w:rPr>
            </w:pPr>
            <w:r w:rsidRPr="003476CD">
              <w:rPr>
                <w:color w:val="auto"/>
                <w:szCs w:val="20"/>
              </w:rPr>
              <w:t xml:space="preserve"> </w:t>
            </w:r>
          </w:p>
        </w:tc>
      </w:tr>
      <w:tr w:rsidR="003476CD" w:rsidRPr="0017345F" w14:paraId="05B33DC8" w14:textId="77777777" w:rsidTr="003476CD">
        <w:trPr>
          <w:trHeight w:val="300"/>
        </w:trPr>
        <w:tc>
          <w:tcPr>
            <w:cnfStyle w:val="001000000000" w:firstRow="0" w:lastRow="0" w:firstColumn="1" w:lastColumn="0" w:oddVBand="0" w:evenVBand="0" w:oddHBand="0" w:evenHBand="0" w:firstRowFirstColumn="0" w:firstRowLastColumn="0" w:lastRowFirstColumn="0" w:lastRowLastColumn="0"/>
            <w:tcW w:w="2591" w:type="pct"/>
          </w:tcPr>
          <w:p w14:paraId="1EF68236" w14:textId="77777777" w:rsidR="00D023C4" w:rsidRPr="003476CD" w:rsidRDefault="00D023C4">
            <w:pPr>
              <w:keepNext/>
              <w:keepLines/>
              <w:tabs>
                <w:tab w:val="left" w:pos="360"/>
              </w:tabs>
              <w:spacing w:before="0"/>
              <w:rPr>
                <w:rFonts w:eastAsia="Arial" w:cstheme="minorHAnsi"/>
                <w:b w:val="0"/>
                <w:bCs/>
                <w:color w:val="auto"/>
                <w:szCs w:val="20"/>
              </w:rPr>
            </w:pPr>
            <w:r w:rsidRPr="003476CD">
              <w:rPr>
                <w:rFonts w:eastAsia="Arial" w:cstheme="minorHAnsi"/>
                <w:bCs/>
                <w:color w:val="auto"/>
                <w:szCs w:val="20"/>
              </w:rPr>
              <w:t>- Consumer representatives</w:t>
            </w:r>
          </w:p>
        </w:tc>
        <w:tc>
          <w:tcPr>
            <w:tcW w:w="458" w:type="pct"/>
          </w:tcPr>
          <w:p w14:paraId="71EE0DC8"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88%</w:t>
            </w:r>
          </w:p>
        </w:tc>
        <w:tc>
          <w:tcPr>
            <w:tcW w:w="424" w:type="pct"/>
          </w:tcPr>
          <w:p w14:paraId="5493AC63"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47%</w:t>
            </w:r>
          </w:p>
        </w:tc>
        <w:tc>
          <w:tcPr>
            <w:tcW w:w="466" w:type="pct"/>
          </w:tcPr>
          <w:p w14:paraId="4049402F"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51%</w:t>
            </w:r>
          </w:p>
        </w:tc>
        <w:tc>
          <w:tcPr>
            <w:tcW w:w="458" w:type="pct"/>
          </w:tcPr>
          <w:p w14:paraId="55302C55"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33%</w:t>
            </w:r>
          </w:p>
        </w:tc>
        <w:tc>
          <w:tcPr>
            <w:tcW w:w="603" w:type="pct"/>
          </w:tcPr>
          <w:p w14:paraId="342189E1"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17%</w:t>
            </w:r>
          </w:p>
        </w:tc>
      </w:tr>
      <w:tr w:rsidR="003476CD" w:rsidRPr="0017345F" w14:paraId="1A195E00" w14:textId="77777777" w:rsidTr="003476CD">
        <w:trPr>
          <w:trHeight w:val="300"/>
        </w:trPr>
        <w:tc>
          <w:tcPr>
            <w:cnfStyle w:val="001000000000" w:firstRow="0" w:lastRow="0" w:firstColumn="1" w:lastColumn="0" w:oddVBand="0" w:evenVBand="0" w:oddHBand="0" w:evenHBand="0" w:firstRowFirstColumn="0" w:firstRowLastColumn="0" w:lastRowFirstColumn="0" w:lastRowLastColumn="0"/>
            <w:tcW w:w="2591" w:type="pct"/>
          </w:tcPr>
          <w:p w14:paraId="4855C83F" w14:textId="77777777" w:rsidR="00D023C4" w:rsidRPr="003476CD" w:rsidRDefault="00D023C4">
            <w:pPr>
              <w:keepNext/>
              <w:keepLines/>
              <w:tabs>
                <w:tab w:val="left" w:pos="360"/>
              </w:tabs>
              <w:spacing w:before="0"/>
              <w:rPr>
                <w:rFonts w:eastAsia="Arial" w:cstheme="minorHAnsi"/>
                <w:b w:val="0"/>
                <w:color w:val="auto"/>
                <w:szCs w:val="20"/>
              </w:rPr>
            </w:pPr>
            <w:r w:rsidRPr="003476CD">
              <w:rPr>
                <w:rFonts w:eastAsia="Arial" w:cstheme="minorHAnsi"/>
                <w:b w:val="0"/>
                <w:color w:val="auto"/>
                <w:szCs w:val="20"/>
              </w:rPr>
              <w:t>- External independent member</w:t>
            </w:r>
          </w:p>
        </w:tc>
        <w:tc>
          <w:tcPr>
            <w:tcW w:w="458" w:type="pct"/>
          </w:tcPr>
          <w:p w14:paraId="1DEFE145"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w:t>
            </w:r>
          </w:p>
        </w:tc>
        <w:tc>
          <w:tcPr>
            <w:tcW w:w="424" w:type="pct"/>
          </w:tcPr>
          <w:p w14:paraId="16A1D961"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91%</w:t>
            </w:r>
          </w:p>
        </w:tc>
        <w:tc>
          <w:tcPr>
            <w:tcW w:w="466" w:type="pct"/>
          </w:tcPr>
          <w:p w14:paraId="5A1D1263"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85%</w:t>
            </w:r>
          </w:p>
        </w:tc>
        <w:tc>
          <w:tcPr>
            <w:tcW w:w="458" w:type="pct"/>
          </w:tcPr>
          <w:p w14:paraId="285749FD"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85%</w:t>
            </w:r>
          </w:p>
        </w:tc>
        <w:tc>
          <w:tcPr>
            <w:tcW w:w="603" w:type="pct"/>
          </w:tcPr>
          <w:p w14:paraId="37BE4993"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80%</w:t>
            </w:r>
          </w:p>
        </w:tc>
      </w:tr>
      <w:tr w:rsidR="003476CD" w:rsidRPr="0017345F" w14:paraId="0F1CCED8" w14:textId="77777777" w:rsidTr="003476CD">
        <w:trPr>
          <w:trHeight w:val="300"/>
        </w:trPr>
        <w:tc>
          <w:tcPr>
            <w:cnfStyle w:val="001000000000" w:firstRow="0" w:lastRow="0" w:firstColumn="1" w:lastColumn="0" w:oddVBand="0" w:evenVBand="0" w:oddHBand="0" w:evenHBand="0" w:firstRowFirstColumn="0" w:firstRowLastColumn="0" w:lastRowFirstColumn="0" w:lastRowLastColumn="0"/>
            <w:tcW w:w="2591" w:type="pct"/>
          </w:tcPr>
          <w:p w14:paraId="5A37F86B" w14:textId="77777777" w:rsidR="00D023C4" w:rsidRPr="003476CD" w:rsidRDefault="00D023C4">
            <w:pPr>
              <w:keepNext/>
              <w:keepLines/>
              <w:tabs>
                <w:tab w:val="left" w:pos="360"/>
              </w:tabs>
              <w:spacing w:before="0"/>
              <w:rPr>
                <w:rFonts w:eastAsia="Arial" w:cstheme="minorHAnsi"/>
                <w:b w:val="0"/>
                <w:color w:val="auto"/>
                <w:szCs w:val="20"/>
              </w:rPr>
            </w:pPr>
            <w:r w:rsidRPr="003476CD">
              <w:rPr>
                <w:rFonts w:eastAsia="Arial" w:cstheme="minorHAnsi"/>
                <w:b w:val="0"/>
                <w:color w:val="auto"/>
                <w:szCs w:val="20"/>
              </w:rPr>
              <w:t>- Included a Consumer rep, external member and involved the affected Consumer</w:t>
            </w:r>
          </w:p>
        </w:tc>
        <w:tc>
          <w:tcPr>
            <w:tcW w:w="458" w:type="pct"/>
          </w:tcPr>
          <w:p w14:paraId="30421995"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w:t>
            </w:r>
          </w:p>
        </w:tc>
        <w:tc>
          <w:tcPr>
            <w:tcW w:w="424" w:type="pct"/>
          </w:tcPr>
          <w:p w14:paraId="72DC3481"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18%</w:t>
            </w:r>
          </w:p>
        </w:tc>
        <w:tc>
          <w:tcPr>
            <w:tcW w:w="466" w:type="pct"/>
          </w:tcPr>
          <w:p w14:paraId="04D72EBB"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13%</w:t>
            </w:r>
          </w:p>
        </w:tc>
        <w:tc>
          <w:tcPr>
            <w:tcW w:w="458" w:type="pct"/>
          </w:tcPr>
          <w:p w14:paraId="4E2864C5"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w:t>
            </w:r>
          </w:p>
        </w:tc>
        <w:tc>
          <w:tcPr>
            <w:tcW w:w="603" w:type="pct"/>
          </w:tcPr>
          <w:p w14:paraId="7EAEB32D"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rFonts w:eastAsia="Arial" w:cstheme="minorHAnsi"/>
                <w:bCs/>
                <w:color w:val="auto"/>
                <w:szCs w:val="20"/>
              </w:rPr>
            </w:pPr>
            <w:r w:rsidRPr="003476CD">
              <w:rPr>
                <w:bCs/>
                <w:color w:val="auto"/>
                <w:szCs w:val="20"/>
              </w:rPr>
              <w:t>*</w:t>
            </w:r>
          </w:p>
        </w:tc>
      </w:tr>
      <w:tr w:rsidR="003476CD" w:rsidRPr="0017345F" w14:paraId="49AC359D" w14:textId="77777777" w:rsidTr="003476CD">
        <w:trPr>
          <w:trHeight w:val="300"/>
        </w:trPr>
        <w:tc>
          <w:tcPr>
            <w:cnfStyle w:val="001000000000" w:firstRow="0" w:lastRow="0" w:firstColumn="1" w:lastColumn="0" w:oddVBand="0" w:evenVBand="0" w:oddHBand="0" w:evenHBand="0" w:firstRowFirstColumn="0" w:firstRowLastColumn="0" w:lastRowFirstColumn="0" w:lastRowLastColumn="0"/>
            <w:tcW w:w="2591" w:type="pct"/>
          </w:tcPr>
          <w:p w14:paraId="5F37F3EE" w14:textId="77777777" w:rsidR="00D023C4" w:rsidRPr="003476CD" w:rsidRDefault="00D023C4">
            <w:pPr>
              <w:keepNext/>
              <w:keepLines/>
              <w:tabs>
                <w:tab w:val="left" w:pos="360"/>
              </w:tabs>
              <w:spacing w:before="0"/>
              <w:rPr>
                <w:rFonts w:eastAsia="Arial" w:cstheme="minorHAnsi"/>
                <w:i/>
                <w:color w:val="auto"/>
                <w:szCs w:val="20"/>
              </w:rPr>
            </w:pPr>
            <w:r w:rsidRPr="003476CD">
              <w:rPr>
                <w:rFonts w:eastAsia="Arial" w:cstheme="minorHAnsi"/>
                <w:i/>
                <w:color w:val="auto"/>
                <w:szCs w:val="20"/>
              </w:rPr>
              <w:t>RCA reporting timeliness</w:t>
            </w:r>
          </w:p>
        </w:tc>
        <w:tc>
          <w:tcPr>
            <w:tcW w:w="458" w:type="pct"/>
          </w:tcPr>
          <w:p w14:paraId="0095EBE6"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 xml:space="preserve"> </w:t>
            </w:r>
          </w:p>
        </w:tc>
        <w:tc>
          <w:tcPr>
            <w:tcW w:w="424" w:type="pct"/>
          </w:tcPr>
          <w:p w14:paraId="12878264"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 xml:space="preserve"> </w:t>
            </w:r>
          </w:p>
        </w:tc>
        <w:tc>
          <w:tcPr>
            <w:tcW w:w="466" w:type="pct"/>
          </w:tcPr>
          <w:p w14:paraId="73A1F3C5"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 xml:space="preserve"> </w:t>
            </w:r>
          </w:p>
        </w:tc>
        <w:tc>
          <w:tcPr>
            <w:tcW w:w="458" w:type="pct"/>
          </w:tcPr>
          <w:p w14:paraId="2711AFD0"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 xml:space="preserve"> </w:t>
            </w:r>
          </w:p>
        </w:tc>
        <w:tc>
          <w:tcPr>
            <w:tcW w:w="603" w:type="pct"/>
          </w:tcPr>
          <w:p w14:paraId="6C927555"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 xml:space="preserve"> </w:t>
            </w:r>
          </w:p>
        </w:tc>
      </w:tr>
      <w:tr w:rsidR="003476CD" w:rsidRPr="0017345F" w14:paraId="553C7ABC" w14:textId="77777777" w:rsidTr="003476CD">
        <w:trPr>
          <w:trHeight w:val="300"/>
        </w:trPr>
        <w:tc>
          <w:tcPr>
            <w:cnfStyle w:val="001000000000" w:firstRow="0" w:lastRow="0" w:firstColumn="1" w:lastColumn="0" w:oddVBand="0" w:evenVBand="0" w:oddHBand="0" w:evenHBand="0" w:firstRowFirstColumn="0" w:firstRowLastColumn="0" w:lastRowFirstColumn="0" w:lastRowLastColumn="0"/>
            <w:tcW w:w="2591" w:type="pct"/>
          </w:tcPr>
          <w:p w14:paraId="6E91AC10" w14:textId="77777777" w:rsidR="00D023C4" w:rsidRPr="003476CD" w:rsidRDefault="00D023C4">
            <w:pPr>
              <w:keepNext/>
              <w:keepLines/>
              <w:tabs>
                <w:tab w:val="left" w:pos="360"/>
              </w:tabs>
              <w:spacing w:before="0"/>
              <w:rPr>
                <w:b w:val="0"/>
                <w:color w:val="auto"/>
                <w:szCs w:val="20"/>
              </w:rPr>
            </w:pPr>
            <w:r w:rsidRPr="003476CD">
              <w:rPr>
                <w:rFonts w:eastAsia="Arial" w:cstheme="minorHAnsi"/>
                <w:b w:val="0"/>
                <w:color w:val="auto"/>
                <w:szCs w:val="20"/>
              </w:rPr>
              <w:t>- Parts A and B received on time (30 days)</w:t>
            </w:r>
          </w:p>
        </w:tc>
        <w:tc>
          <w:tcPr>
            <w:tcW w:w="458" w:type="pct"/>
          </w:tcPr>
          <w:p w14:paraId="6582CE75"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w:t>
            </w:r>
          </w:p>
        </w:tc>
        <w:tc>
          <w:tcPr>
            <w:tcW w:w="424" w:type="pct"/>
          </w:tcPr>
          <w:p w14:paraId="66374707"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42%</w:t>
            </w:r>
          </w:p>
        </w:tc>
        <w:tc>
          <w:tcPr>
            <w:tcW w:w="466" w:type="pct"/>
          </w:tcPr>
          <w:p w14:paraId="71ACC04A"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40%</w:t>
            </w:r>
          </w:p>
        </w:tc>
        <w:tc>
          <w:tcPr>
            <w:tcW w:w="458" w:type="pct"/>
          </w:tcPr>
          <w:p w14:paraId="0B59D48B"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36%</w:t>
            </w:r>
          </w:p>
        </w:tc>
        <w:tc>
          <w:tcPr>
            <w:tcW w:w="603" w:type="pct"/>
          </w:tcPr>
          <w:p w14:paraId="103B7D24"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18% (22 of 120)</w:t>
            </w:r>
          </w:p>
        </w:tc>
      </w:tr>
      <w:tr w:rsidR="003476CD" w:rsidRPr="0017345F" w14:paraId="5A5207EC" w14:textId="77777777" w:rsidTr="003476CD">
        <w:trPr>
          <w:trHeight w:val="300"/>
        </w:trPr>
        <w:tc>
          <w:tcPr>
            <w:cnfStyle w:val="001000000000" w:firstRow="0" w:lastRow="0" w:firstColumn="1" w:lastColumn="0" w:oddVBand="0" w:evenVBand="0" w:oddHBand="0" w:evenHBand="0" w:firstRowFirstColumn="0" w:firstRowLastColumn="0" w:lastRowFirstColumn="0" w:lastRowLastColumn="0"/>
            <w:tcW w:w="2591" w:type="pct"/>
          </w:tcPr>
          <w:p w14:paraId="0C3D6208" w14:textId="77777777" w:rsidR="00D023C4" w:rsidRPr="003476CD" w:rsidRDefault="00D023C4">
            <w:pPr>
              <w:keepNext/>
              <w:keepLines/>
              <w:tabs>
                <w:tab w:val="left" w:pos="360"/>
              </w:tabs>
              <w:spacing w:before="0"/>
              <w:rPr>
                <w:b w:val="0"/>
                <w:color w:val="auto"/>
                <w:szCs w:val="20"/>
              </w:rPr>
            </w:pPr>
            <w:r w:rsidRPr="003476CD">
              <w:rPr>
                <w:rFonts w:eastAsia="Arial" w:cstheme="minorHAnsi"/>
                <w:b w:val="0"/>
                <w:color w:val="auto"/>
                <w:szCs w:val="20"/>
              </w:rPr>
              <w:t>- Part C received on time (50 days)</w:t>
            </w:r>
          </w:p>
        </w:tc>
        <w:tc>
          <w:tcPr>
            <w:tcW w:w="458" w:type="pct"/>
          </w:tcPr>
          <w:p w14:paraId="29E67751"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w:t>
            </w:r>
          </w:p>
        </w:tc>
        <w:tc>
          <w:tcPr>
            <w:tcW w:w="424" w:type="pct"/>
          </w:tcPr>
          <w:p w14:paraId="097C30ED" w14:textId="502A391B"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7</w:t>
            </w:r>
            <w:r w:rsidR="00EC61DD" w:rsidRPr="003476CD">
              <w:rPr>
                <w:rFonts w:eastAsia="Arial" w:cstheme="minorHAnsi"/>
                <w:bCs/>
                <w:color w:val="auto"/>
                <w:szCs w:val="20"/>
              </w:rPr>
              <w:t>7</w:t>
            </w:r>
            <w:r w:rsidRPr="003476CD">
              <w:rPr>
                <w:rFonts w:eastAsia="Arial" w:cstheme="minorHAnsi"/>
                <w:bCs/>
                <w:color w:val="auto"/>
                <w:szCs w:val="20"/>
              </w:rPr>
              <w:t>%</w:t>
            </w:r>
          </w:p>
        </w:tc>
        <w:tc>
          <w:tcPr>
            <w:tcW w:w="466" w:type="pct"/>
          </w:tcPr>
          <w:p w14:paraId="7C6DA70C"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72%</w:t>
            </w:r>
          </w:p>
        </w:tc>
        <w:tc>
          <w:tcPr>
            <w:tcW w:w="458" w:type="pct"/>
          </w:tcPr>
          <w:p w14:paraId="15AE64FB"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w:t>
            </w:r>
          </w:p>
        </w:tc>
        <w:tc>
          <w:tcPr>
            <w:tcW w:w="603" w:type="pct"/>
          </w:tcPr>
          <w:p w14:paraId="5E64C121"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bCs/>
                <w:color w:val="auto"/>
                <w:szCs w:val="20"/>
              </w:rPr>
            </w:pPr>
            <w:r w:rsidRPr="003476CD">
              <w:rPr>
                <w:rFonts w:eastAsia="Arial" w:cstheme="minorHAnsi"/>
                <w:bCs/>
                <w:color w:val="auto"/>
                <w:szCs w:val="20"/>
              </w:rPr>
              <w:t>*</w:t>
            </w:r>
          </w:p>
        </w:tc>
      </w:tr>
      <w:tr w:rsidR="003476CD" w:rsidRPr="0017345F" w14:paraId="15EDE5C2" w14:textId="77777777" w:rsidTr="003476CD">
        <w:trPr>
          <w:trHeight w:val="300"/>
        </w:trPr>
        <w:tc>
          <w:tcPr>
            <w:cnfStyle w:val="001000000000" w:firstRow="0" w:lastRow="0" w:firstColumn="1" w:lastColumn="0" w:oddVBand="0" w:evenVBand="0" w:oddHBand="0" w:evenHBand="0" w:firstRowFirstColumn="0" w:firstRowLastColumn="0" w:lastRowFirstColumn="0" w:lastRowLastColumn="0"/>
            <w:tcW w:w="2591" w:type="pct"/>
          </w:tcPr>
          <w:p w14:paraId="1806C905" w14:textId="77777777" w:rsidR="00D023C4" w:rsidRPr="003476CD" w:rsidRDefault="00D023C4">
            <w:pPr>
              <w:keepNext/>
              <w:keepLines/>
              <w:tabs>
                <w:tab w:val="left" w:pos="360"/>
              </w:tabs>
              <w:spacing w:before="0"/>
              <w:rPr>
                <w:b w:val="0"/>
                <w:color w:val="auto"/>
                <w:szCs w:val="20"/>
              </w:rPr>
            </w:pPr>
            <w:r w:rsidRPr="003476CD">
              <w:rPr>
                <w:rFonts w:eastAsia="Arial" w:cstheme="minorHAnsi"/>
                <w:color w:val="auto"/>
                <w:szCs w:val="20"/>
              </w:rPr>
              <w:t>- Requests for extensions</w:t>
            </w:r>
          </w:p>
        </w:tc>
        <w:tc>
          <w:tcPr>
            <w:tcW w:w="458" w:type="pct"/>
          </w:tcPr>
          <w:p w14:paraId="575A87F3"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w:t>
            </w:r>
          </w:p>
        </w:tc>
        <w:tc>
          <w:tcPr>
            <w:tcW w:w="424" w:type="pct"/>
          </w:tcPr>
          <w:p w14:paraId="471E6BE4"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54%</w:t>
            </w:r>
          </w:p>
        </w:tc>
        <w:tc>
          <w:tcPr>
            <w:tcW w:w="466" w:type="pct"/>
          </w:tcPr>
          <w:p w14:paraId="751DD1E8"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57%</w:t>
            </w:r>
          </w:p>
        </w:tc>
        <w:tc>
          <w:tcPr>
            <w:tcW w:w="458" w:type="pct"/>
          </w:tcPr>
          <w:p w14:paraId="140AA772"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60%</w:t>
            </w:r>
          </w:p>
        </w:tc>
        <w:tc>
          <w:tcPr>
            <w:tcW w:w="603" w:type="pct"/>
          </w:tcPr>
          <w:p w14:paraId="77C6851F" w14:textId="77777777" w:rsidR="00D023C4" w:rsidRPr="003476CD" w:rsidRDefault="00D023C4" w:rsidP="003476CD">
            <w:pPr>
              <w:keepNext/>
              <w:keepLines/>
              <w:tabs>
                <w:tab w:val="left" w:pos="360"/>
              </w:tabs>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476CD">
              <w:rPr>
                <w:rFonts w:eastAsia="Arial" w:cstheme="minorHAnsi"/>
                <w:color w:val="auto"/>
                <w:szCs w:val="20"/>
              </w:rPr>
              <w:t>64%</w:t>
            </w:r>
          </w:p>
        </w:tc>
      </w:tr>
    </w:tbl>
    <w:p w14:paraId="629401BD" w14:textId="77777777" w:rsidR="00D023C4" w:rsidRPr="0017345F" w:rsidRDefault="00D023C4" w:rsidP="00D023C4">
      <w:pPr>
        <w:tabs>
          <w:tab w:val="left" w:pos="360"/>
        </w:tabs>
        <w:spacing w:before="0" w:after="0"/>
        <w:rPr>
          <w:rFonts w:eastAsia="Arial" w:cstheme="minorHAnsi"/>
          <w:color w:val="000000" w:themeColor="text1"/>
          <w:sz w:val="18"/>
          <w:szCs w:val="18"/>
          <w:lang w:val="en-AU"/>
        </w:rPr>
      </w:pPr>
      <w:r w:rsidRPr="0017345F">
        <w:rPr>
          <w:rFonts w:eastAsia="Arial" w:cstheme="minorHAnsi"/>
          <w:color w:val="000000" w:themeColor="text1"/>
          <w:sz w:val="18"/>
          <w:szCs w:val="18"/>
          <w:lang w:val="en-AU"/>
        </w:rPr>
        <w:t xml:space="preserve">Source: compiled from SCV reports by the department. </w:t>
      </w:r>
    </w:p>
    <w:p w14:paraId="6313ADB0" w14:textId="77777777" w:rsidR="00D023C4" w:rsidRPr="0017345F" w:rsidRDefault="00D023C4" w:rsidP="00D023C4">
      <w:pPr>
        <w:tabs>
          <w:tab w:val="left" w:pos="360"/>
        </w:tabs>
        <w:spacing w:before="0" w:after="0"/>
        <w:rPr>
          <w:rFonts w:eastAsia="Arial" w:cstheme="minorHAnsi"/>
          <w:color w:val="000000" w:themeColor="text1"/>
          <w:sz w:val="18"/>
          <w:szCs w:val="18"/>
          <w:lang w:val="en-AU"/>
        </w:rPr>
      </w:pPr>
      <w:r w:rsidRPr="0017345F">
        <w:rPr>
          <w:rFonts w:eastAsia="Arial" w:cstheme="minorHAnsi"/>
          <w:color w:val="000000" w:themeColor="text1"/>
          <w:sz w:val="18"/>
          <w:szCs w:val="18"/>
          <w:lang w:val="en-AU"/>
        </w:rPr>
        <w:t>Note: * Indicates data not available in the SCV annual reports.</w:t>
      </w:r>
    </w:p>
    <w:p w14:paraId="04FB26B6" w14:textId="77777777" w:rsidR="00D023C4" w:rsidRDefault="00D023C4" w:rsidP="00D023C4">
      <w:pPr>
        <w:tabs>
          <w:tab w:val="left" w:pos="360"/>
        </w:tabs>
        <w:spacing w:before="0" w:after="0"/>
        <w:rPr>
          <w:rFonts w:eastAsia="Arial" w:cstheme="minorHAnsi"/>
          <w:sz w:val="18"/>
          <w:szCs w:val="18"/>
          <w:lang w:val="en-AU"/>
        </w:rPr>
      </w:pPr>
    </w:p>
    <w:p w14:paraId="16763D0A" w14:textId="77777777" w:rsidR="00D023C4" w:rsidRDefault="00D023C4" w:rsidP="006522DF">
      <w:pPr>
        <w:pStyle w:val="Heading6"/>
        <w:ind w:left="737"/>
      </w:pPr>
      <w:r>
        <w:t>Identification of options</w:t>
      </w:r>
    </w:p>
    <w:p w14:paraId="5110676C" w14:textId="67A30B32" w:rsidR="00D023C4" w:rsidRDefault="00D023C4" w:rsidP="006522DF">
      <w:pPr>
        <w:pStyle w:val="Heading7"/>
      </w:pPr>
      <w:r>
        <w:t xml:space="preserve">The </w:t>
      </w:r>
      <w:r w:rsidR="005A2F80">
        <w:t>Base Case</w:t>
      </w:r>
    </w:p>
    <w:p w14:paraId="7D5C7C50" w14:textId="60BFB3A1" w:rsidR="00D023C4" w:rsidRPr="00472A6F" w:rsidRDefault="00D023C4" w:rsidP="00D023C4">
      <w:r w:rsidRPr="00825224">
        <w:t xml:space="preserve">Under the </w:t>
      </w:r>
      <w:r w:rsidR="005A2F80">
        <w:t>Base Case</w:t>
      </w:r>
      <w:r w:rsidRPr="00825224">
        <w:t xml:space="preserve">, HSEs would not be required to report sentinel events to the Secretary (as is currently required under regulation 46A). </w:t>
      </w:r>
      <w:r>
        <w:t>Requirements under the Act in relation to Duty of Candour (section 128ZC of the Act) and SAPSE reviews (P</w:t>
      </w:r>
      <w:r w:rsidRPr="008B68AC">
        <w:t>art 5A Division 8</w:t>
      </w:r>
      <w:r>
        <w:t xml:space="preserve">) would continue to apply. </w:t>
      </w:r>
      <w:r w:rsidR="001665D3">
        <w:t>HSEs would continue to be required to maintain accreditation against the Standards which include elements about analysis of incidents and open disclosure about adverse events.</w:t>
      </w:r>
    </w:p>
    <w:p w14:paraId="601A0059" w14:textId="77777777" w:rsidR="00D023C4" w:rsidRDefault="00D023C4" w:rsidP="006522DF">
      <w:pPr>
        <w:pStyle w:val="Heading7"/>
      </w:pPr>
      <w:r>
        <w:t>Option 1: remake current regulations with no changes</w:t>
      </w:r>
    </w:p>
    <w:p w14:paraId="7772ACC2" w14:textId="04713F35" w:rsidR="00BE6019" w:rsidRPr="00472A6F" w:rsidRDefault="00D023C4" w:rsidP="00BE6019">
      <w:r>
        <w:t>Regulation 46A of the current Regulations would be remade. Requirements under the Act in relation to Duty of Candour (section 128ZC of the Act) and SAPSE reviews (P</w:t>
      </w:r>
      <w:r w:rsidRPr="008B68AC">
        <w:t>art 5A Division 8</w:t>
      </w:r>
      <w:r>
        <w:t xml:space="preserve">) would continue </w:t>
      </w:r>
      <w:r>
        <w:lastRenderedPageBreak/>
        <w:t xml:space="preserve">to apply. </w:t>
      </w:r>
      <w:r w:rsidR="00BE6019">
        <w:t xml:space="preserve">HSEs would continue to be required </w:t>
      </w:r>
      <w:r w:rsidR="001665D3">
        <w:t xml:space="preserve">to </w:t>
      </w:r>
      <w:r w:rsidR="00BE6019">
        <w:t>maintain accreditation against the Standards which include elements</w:t>
      </w:r>
      <w:r w:rsidR="001665D3">
        <w:t xml:space="preserve"> about analysis of incidents and open disclosure about adverse events</w:t>
      </w:r>
      <w:r w:rsidR="00BE6019">
        <w:t xml:space="preserve">. </w:t>
      </w:r>
    </w:p>
    <w:p w14:paraId="7E1DCE46" w14:textId="77777777" w:rsidR="00D023C4" w:rsidRDefault="00D023C4" w:rsidP="006522DF">
      <w:pPr>
        <w:pStyle w:val="Heading7"/>
      </w:pPr>
      <w:r>
        <w:t>Option 2: c</w:t>
      </w:r>
      <w:r w:rsidRPr="00DC1C89">
        <w:t xml:space="preserve">urrent Regulations plus new </w:t>
      </w:r>
      <w:r>
        <w:t xml:space="preserve">event </w:t>
      </w:r>
      <w:r w:rsidRPr="00DC1C89">
        <w:t>review process requirement and reporting to the Secretary requirements</w:t>
      </w:r>
    </w:p>
    <w:p w14:paraId="587F41CC" w14:textId="77777777" w:rsidR="00D023C4" w:rsidRDefault="00D023C4" w:rsidP="00D023C4">
      <w:r>
        <w:t>This option includes two elements in addition to Option 1:</w:t>
      </w:r>
    </w:p>
    <w:p w14:paraId="250C1E61" w14:textId="77777777" w:rsidR="00D023C4" w:rsidRDefault="00D023C4" w:rsidP="00D023C4">
      <w:pPr>
        <w:pStyle w:val="ListParagraph"/>
        <w:numPr>
          <w:ilvl w:val="0"/>
          <w:numId w:val="101"/>
        </w:numPr>
      </w:pPr>
      <w:r>
        <w:t>Amend regulation 46A to specify that sentinel events must be reported in the manner directed by the Secretary—intended to be the SCV Online Portal</w:t>
      </w:r>
    </w:p>
    <w:p w14:paraId="5CF63EF6" w14:textId="72871F06" w:rsidR="00D023C4" w:rsidRPr="00014AED" w:rsidRDefault="00D023C4" w:rsidP="00D023C4">
      <w:pPr>
        <w:pStyle w:val="ListParagraph"/>
        <w:numPr>
          <w:ilvl w:val="0"/>
          <w:numId w:val="101"/>
        </w:numPr>
      </w:pPr>
      <w:r>
        <w:t xml:space="preserve">Insert a new provision that requires the proprietor of the HSE to ensure that each sentinel event is subject to a review, with the review process requirements and reporting timeframes to be specified by the Secretary and reports from the review </w:t>
      </w:r>
      <w:r w:rsidR="00D72F6B">
        <w:t xml:space="preserve">to be </w:t>
      </w:r>
      <w:r>
        <w:t xml:space="preserve">provided to the Secretary. </w:t>
      </w:r>
      <w:r w:rsidRPr="00014AED">
        <w:t xml:space="preserve">It is intended that the requirements to be specified will be those set out in the </w:t>
      </w:r>
      <w:r>
        <w:t xml:space="preserve">Victorian </w:t>
      </w:r>
      <w:r w:rsidRPr="00014AED">
        <w:t>Sentinel Events Guide and Adverse Patient Safety Event Policy, namely:</w:t>
      </w:r>
    </w:p>
    <w:p w14:paraId="6DDA4765" w14:textId="0905AA69" w:rsidR="00D023C4" w:rsidRDefault="00D023C4" w:rsidP="00D023C4">
      <w:pPr>
        <w:pStyle w:val="ListParagraph"/>
        <w:numPr>
          <w:ilvl w:val="1"/>
          <w:numId w:val="14"/>
        </w:numPr>
        <w:spacing w:before="0" w:after="0" w:line="240" w:lineRule="auto"/>
        <w:ind w:left="1134" w:hanging="425"/>
        <w:rPr>
          <w:szCs w:val="20"/>
        </w:rPr>
      </w:pPr>
      <w:r>
        <w:rPr>
          <w:szCs w:val="20"/>
        </w:rPr>
        <w:t>the review must be done according to an SCV-approved methodology</w:t>
      </w:r>
      <w:r w:rsidR="003166F7">
        <w:rPr>
          <w:szCs w:val="20"/>
        </w:rPr>
        <w:t xml:space="preserve"> such as</w:t>
      </w:r>
      <w:r>
        <w:rPr>
          <w:szCs w:val="20"/>
        </w:rPr>
        <w:t xml:space="preserve"> Root Cause Analysis, London Protocol, AcciMap </w:t>
      </w:r>
    </w:p>
    <w:p w14:paraId="69F1DA56" w14:textId="44BE1A19" w:rsidR="00D023C4" w:rsidRPr="002830F7" w:rsidRDefault="00980092" w:rsidP="009310F4">
      <w:pPr>
        <w:pStyle w:val="ListParagraph"/>
        <w:numPr>
          <w:ilvl w:val="1"/>
          <w:numId w:val="14"/>
        </w:numPr>
        <w:spacing w:before="0" w:after="0" w:line="240" w:lineRule="auto"/>
        <w:ind w:left="1134" w:hanging="425"/>
        <w:rPr>
          <w:szCs w:val="20"/>
        </w:rPr>
      </w:pPr>
      <w:r>
        <w:rPr>
          <w:szCs w:val="20"/>
        </w:rPr>
        <w:t>t</w:t>
      </w:r>
      <w:r w:rsidR="00D023C4" w:rsidRPr="002830F7">
        <w:rPr>
          <w:szCs w:val="20"/>
        </w:rPr>
        <w:t>he panel/team conducting the review must consist of at least three persons</w:t>
      </w:r>
      <w:r w:rsidR="00D023C4">
        <w:rPr>
          <w:szCs w:val="20"/>
        </w:rPr>
        <w:t xml:space="preserve"> that:</w:t>
      </w:r>
    </w:p>
    <w:p w14:paraId="7E51FDC4" w14:textId="77777777" w:rsidR="00D023C4" w:rsidRDefault="00D023C4" w:rsidP="00D023C4">
      <w:pPr>
        <w:pStyle w:val="ListParagraph"/>
        <w:numPr>
          <w:ilvl w:val="2"/>
          <w:numId w:val="30"/>
        </w:numPr>
        <w:spacing w:before="0" w:after="0" w:line="240" w:lineRule="auto"/>
        <w:ind w:left="1418" w:hanging="284"/>
        <w:rPr>
          <w:szCs w:val="20"/>
        </w:rPr>
      </w:pPr>
      <w:r>
        <w:rPr>
          <w:szCs w:val="20"/>
        </w:rPr>
        <w:t xml:space="preserve">include a member not employed or engaged by the proprietor to work at the facility </w:t>
      </w:r>
    </w:p>
    <w:p w14:paraId="2A8130F4" w14:textId="77777777" w:rsidR="00D023C4" w:rsidRDefault="00D023C4" w:rsidP="00D023C4">
      <w:pPr>
        <w:pStyle w:val="ListParagraph"/>
        <w:numPr>
          <w:ilvl w:val="2"/>
          <w:numId w:val="30"/>
        </w:numPr>
        <w:spacing w:before="0" w:after="0" w:line="240" w:lineRule="auto"/>
        <w:ind w:left="1418" w:hanging="284"/>
        <w:rPr>
          <w:szCs w:val="20"/>
        </w:rPr>
      </w:pPr>
      <w:r>
        <w:rPr>
          <w:szCs w:val="20"/>
        </w:rPr>
        <w:t xml:space="preserve">include a consumer representative </w:t>
      </w:r>
    </w:p>
    <w:p w14:paraId="393FD815" w14:textId="77777777" w:rsidR="00D023C4" w:rsidRDefault="00D023C4" w:rsidP="00D023C4">
      <w:pPr>
        <w:pStyle w:val="ListParagraph"/>
        <w:numPr>
          <w:ilvl w:val="2"/>
          <w:numId w:val="30"/>
        </w:numPr>
        <w:spacing w:before="0" w:after="0" w:line="240" w:lineRule="auto"/>
        <w:ind w:left="1418" w:hanging="284"/>
        <w:rPr>
          <w:szCs w:val="20"/>
        </w:rPr>
      </w:pPr>
      <w:r>
        <w:rPr>
          <w:szCs w:val="20"/>
        </w:rPr>
        <w:t>not include any person involved in the sentinel event</w:t>
      </w:r>
    </w:p>
    <w:p w14:paraId="6151767E" w14:textId="77777777" w:rsidR="00D023C4" w:rsidRDefault="00D023C4" w:rsidP="00D023C4">
      <w:pPr>
        <w:pStyle w:val="ListParagraph"/>
        <w:numPr>
          <w:ilvl w:val="1"/>
          <w:numId w:val="14"/>
        </w:numPr>
        <w:spacing w:before="0" w:after="0" w:line="240" w:lineRule="auto"/>
        <w:ind w:left="1134" w:hanging="425"/>
        <w:rPr>
          <w:szCs w:val="20"/>
        </w:rPr>
      </w:pPr>
      <w:r>
        <w:rPr>
          <w:szCs w:val="20"/>
        </w:rPr>
        <w:t>the report on the findings of the review (parts A and B) must be provided to the Secretary within 30 business days of the sentinel event being notified</w:t>
      </w:r>
    </w:p>
    <w:p w14:paraId="0D3BA9F3" w14:textId="4577983C" w:rsidR="00D023C4" w:rsidRDefault="00D023C4" w:rsidP="00D023C4">
      <w:pPr>
        <w:pStyle w:val="ListParagraph"/>
        <w:numPr>
          <w:ilvl w:val="1"/>
          <w:numId w:val="14"/>
        </w:numPr>
        <w:spacing w:before="0" w:after="0" w:line="240" w:lineRule="auto"/>
        <w:ind w:left="1134" w:hanging="425"/>
        <w:rPr>
          <w:szCs w:val="20"/>
        </w:rPr>
      </w:pPr>
      <w:r w:rsidRPr="007809B5">
        <w:rPr>
          <w:szCs w:val="20"/>
        </w:rPr>
        <w:t xml:space="preserve">the recommendations from the review </w:t>
      </w:r>
      <w:r w:rsidR="00E65B76">
        <w:rPr>
          <w:szCs w:val="20"/>
        </w:rPr>
        <w:t xml:space="preserve">(part C) </w:t>
      </w:r>
      <w:r w:rsidRPr="007809B5">
        <w:rPr>
          <w:szCs w:val="20"/>
        </w:rPr>
        <w:t xml:space="preserve">must be submitted to the Secretary within </w:t>
      </w:r>
      <w:r>
        <w:rPr>
          <w:szCs w:val="20"/>
        </w:rPr>
        <w:t xml:space="preserve">50 </w:t>
      </w:r>
      <w:r w:rsidRPr="007809B5">
        <w:rPr>
          <w:szCs w:val="20"/>
        </w:rPr>
        <w:t>business days of the sentinel event being notified</w:t>
      </w:r>
    </w:p>
    <w:p w14:paraId="44F39184" w14:textId="77777777" w:rsidR="00D023C4" w:rsidRDefault="00D023C4" w:rsidP="00D023C4">
      <w:pPr>
        <w:pStyle w:val="ListParagraph"/>
        <w:numPr>
          <w:ilvl w:val="1"/>
          <w:numId w:val="14"/>
        </w:numPr>
        <w:spacing w:before="0" w:after="0" w:line="240" w:lineRule="auto"/>
        <w:ind w:left="1134" w:hanging="425"/>
        <w:rPr>
          <w:szCs w:val="20"/>
        </w:rPr>
      </w:pPr>
      <w:r>
        <w:rPr>
          <w:szCs w:val="20"/>
        </w:rPr>
        <w:t>a report on implementation of the recommendations from the review must be submitted to the Secretary at 6 months and 12 months following notification of the sentinel event</w:t>
      </w:r>
    </w:p>
    <w:p w14:paraId="4F223E4F" w14:textId="2BB49A88" w:rsidR="00D023C4" w:rsidRPr="007809B5" w:rsidRDefault="00D023C4" w:rsidP="00D023C4">
      <w:pPr>
        <w:pStyle w:val="ListParagraph"/>
        <w:numPr>
          <w:ilvl w:val="1"/>
          <w:numId w:val="14"/>
        </w:numPr>
        <w:spacing w:before="0" w:after="0" w:line="240" w:lineRule="auto"/>
        <w:ind w:left="1134" w:hanging="425"/>
        <w:rPr>
          <w:szCs w:val="20"/>
        </w:rPr>
      </w:pPr>
      <w:r>
        <w:rPr>
          <w:szCs w:val="20"/>
        </w:rPr>
        <w:t xml:space="preserve">the proprietor may seek, and the Secretary may grant, an extension of the submission deadlines for the reports above. This </w:t>
      </w:r>
      <w:r w:rsidRPr="0021431E">
        <w:rPr>
          <w:szCs w:val="20"/>
        </w:rPr>
        <w:t>happens currently across the Sentinel Event</w:t>
      </w:r>
      <w:r w:rsidR="008C7682">
        <w:rPr>
          <w:szCs w:val="20"/>
        </w:rPr>
        <w:t>s</w:t>
      </w:r>
      <w:r w:rsidRPr="0021431E">
        <w:rPr>
          <w:szCs w:val="20"/>
        </w:rPr>
        <w:t xml:space="preserve"> Program</w:t>
      </w:r>
      <w:r>
        <w:rPr>
          <w:szCs w:val="20"/>
        </w:rPr>
        <w:t xml:space="preserve"> as a practical </w:t>
      </w:r>
      <w:r w:rsidRPr="0021431E">
        <w:rPr>
          <w:szCs w:val="20"/>
        </w:rPr>
        <w:t>re</w:t>
      </w:r>
      <w:r>
        <w:rPr>
          <w:szCs w:val="20"/>
        </w:rPr>
        <w:t xml:space="preserve">sponse to the difficulties </w:t>
      </w:r>
      <w:r w:rsidRPr="0021431E">
        <w:rPr>
          <w:szCs w:val="20"/>
        </w:rPr>
        <w:t>health services experience</w:t>
      </w:r>
      <w:r>
        <w:rPr>
          <w:szCs w:val="20"/>
        </w:rPr>
        <w:t xml:space="preserve"> </w:t>
      </w:r>
      <w:r w:rsidRPr="0021431E">
        <w:rPr>
          <w:szCs w:val="20"/>
        </w:rPr>
        <w:t>in timely completion of reviews</w:t>
      </w:r>
      <w:r>
        <w:rPr>
          <w:szCs w:val="20"/>
        </w:rPr>
        <w:t xml:space="preserve">, typically as a result of </w:t>
      </w:r>
      <w:r w:rsidRPr="0021431E">
        <w:rPr>
          <w:szCs w:val="20"/>
        </w:rPr>
        <w:t>challenges resourcing the review panel</w:t>
      </w:r>
      <w:r>
        <w:rPr>
          <w:szCs w:val="20"/>
        </w:rPr>
        <w:t xml:space="preserve">. </w:t>
      </w:r>
    </w:p>
    <w:p w14:paraId="30404F40" w14:textId="1508E06B" w:rsidR="005C39DC" w:rsidRDefault="00D023C4" w:rsidP="006522DF">
      <w:pPr>
        <w:rPr>
          <w:szCs w:val="20"/>
        </w:rPr>
      </w:pPr>
      <w:r w:rsidRPr="0021431E">
        <w:rPr>
          <w:szCs w:val="20"/>
        </w:rPr>
        <w:t xml:space="preserve">It is proposed that the commencement of these provisions may be six to twelve months after the new Regulations are made to allow time for facilities to prepare for implementation. </w:t>
      </w:r>
    </w:p>
    <w:p w14:paraId="47E24951" w14:textId="77777777" w:rsidR="00D023C4" w:rsidRDefault="00D023C4" w:rsidP="006522DF">
      <w:pPr>
        <w:pStyle w:val="Heading6"/>
        <w:ind w:left="737"/>
      </w:pPr>
      <w:r>
        <w:t>Assessing the options</w:t>
      </w:r>
    </w:p>
    <w:p w14:paraId="4F237108" w14:textId="77777777" w:rsidR="00D023C4" w:rsidRPr="00506089" w:rsidRDefault="00D023C4" w:rsidP="00D023C4">
      <w:r>
        <w:t>The section assesses the options against the criteria outlined in chapter 4.</w:t>
      </w:r>
    </w:p>
    <w:p w14:paraId="1DB41A1F" w14:textId="77777777" w:rsidR="00D023C4" w:rsidRDefault="00D023C4" w:rsidP="006522DF">
      <w:pPr>
        <w:pStyle w:val="Heading7"/>
      </w:pPr>
      <w:r w:rsidRPr="0076112E">
        <w:t xml:space="preserve">Protects the safety and quality of care of patients receiving health services in </w:t>
      </w:r>
      <w:r>
        <w:t>HSEs</w:t>
      </w:r>
    </w:p>
    <w:p w14:paraId="215AE56A" w14:textId="0A1AB8D4" w:rsidR="00D023C4" w:rsidRPr="001E347D" w:rsidRDefault="005A2F80" w:rsidP="00D023C4">
      <w:pPr>
        <w:rPr>
          <w:rStyle w:val="Strong"/>
        </w:rPr>
      </w:pPr>
      <w:r w:rsidRPr="001E347D">
        <w:rPr>
          <w:rStyle w:val="Strong"/>
        </w:rPr>
        <w:t>Base Case</w:t>
      </w:r>
    </w:p>
    <w:p w14:paraId="371FD84B" w14:textId="02D4FEA0" w:rsidR="00D023C4" w:rsidRDefault="00D023C4" w:rsidP="00D023C4">
      <w:r>
        <w:t xml:space="preserve">Under the </w:t>
      </w:r>
      <w:r w:rsidR="005A2F80">
        <w:t>Base Case</w:t>
      </w:r>
      <w:r>
        <w:t xml:space="preserve">, HSEs would not be required to </w:t>
      </w:r>
      <w:r w:rsidRPr="00D47B7D">
        <w:t>report sentinel event</w:t>
      </w:r>
      <w:r>
        <w:t>s</w:t>
      </w:r>
      <w:r w:rsidRPr="00D47B7D">
        <w:t xml:space="preserve"> to the Secretary </w:t>
      </w:r>
      <w:r>
        <w:t>(</w:t>
      </w:r>
      <w:r w:rsidRPr="00D47B7D">
        <w:t>as is currently</w:t>
      </w:r>
      <w:r>
        <w:t xml:space="preserve"> </w:t>
      </w:r>
      <w:r w:rsidRPr="00D47B7D">
        <w:t xml:space="preserve">required </w:t>
      </w:r>
      <w:r>
        <w:t xml:space="preserve">under regulation 46A). Requirements under the Act in relation to Duty of Candour and SAPSE reviews under Part 5A Division 8 of the Act would continue to apply. </w:t>
      </w:r>
    </w:p>
    <w:p w14:paraId="5BB98558" w14:textId="15115431" w:rsidR="00D023C4" w:rsidRDefault="00D023C4" w:rsidP="00D023C4">
      <w:r>
        <w:lastRenderedPageBreak/>
        <w:t xml:space="preserve">In the event of a </w:t>
      </w:r>
      <w:r w:rsidR="002D6D57">
        <w:t>sentinel event</w:t>
      </w:r>
      <w:r>
        <w:t xml:space="preserve">, HSEs </w:t>
      </w:r>
      <w:r w:rsidR="0004253E">
        <w:t>may voluntarily</w:t>
      </w:r>
      <w:r>
        <w:t xml:space="preserve"> follow</w:t>
      </w:r>
      <w:r w:rsidRPr="006B7843">
        <w:t xml:space="preserve"> the Victorian Sentinel Events Guide</w:t>
      </w:r>
      <w:r w:rsidR="003C0499">
        <w:t>,</w:t>
      </w:r>
      <w:r>
        <w:t xml:space="preserve"> even though it is not mandatory. But there is a risk that a HSE </w:t>
      </w:r>
      <w:r w:rsidR="0047362B">
        <w:t xml:space="preserve">would </w:t>
      </w:r>
      <w:r>
        <w:t>not use an accepted methodology for review of a sentinel event. This could impact on the</w:t>
      </w:r>
      <w:r w:rsidR="002C42D4">
        <w:t xml:space="preserve"> quality of</w:t>
      </w:r>
      <w:r>
        <w:t xml:space="preserve"> learnings </w:t>
      </w:r>
      <w:r w:rsidR="002C42D4">
        <w:t xml:space="preserve">from sentinel event reviews </w:t>
      </w:r>
      <w:r>
        <w:t>and improvements to be made in response</w:t>
      </w:r>
      <w:r w:rsidR="00F821FC">
        <w:t>, at the facility level</w:t>
      </w:r>
      <w:r>
        <w:t>.</w:t>
      </w:r>
      <w:r w:rsidR="00F821FC">
        <w:t xml:space="preserve"> </w:t>
      </w:r>
    </w:p>
    <w:p w14:paraId="773D6179" w14:textId="553D5BE0" w:rsidR="00D023C4" w:rsidRDefault="00D023C4" w:rsidP="00D023C4">
      <w:r>
        <w:t>HSEs would not be required to report to the Secretary</w:t>
      </w:r>
      <w:r w:rsidR="00F821FC">
        <w:t xml:space="preserve"> about the outcomes of the reviews</w:t>
      </w:r>
      <w:r>
        <w:t xml:space="preserve">. </w:t>
      </w:r>
      <w:r w:rsidR="00F821FC">
        <w:t>This would impact on the capacity of the department and SCV to monitor incidence and causes of sentinel events at the facility level. It would also compromise oversight of how facilities review sentinel events and how they identify and implement improvements based on those reviews, which are key activities for supporting safety and quality of care at the facility. It would also undermine system-wide learnings about causes of sentinel events and improvements to be made in response.</w:t>
      </w:r>
    </w:p>
    <w:p w14:paraId="08D15D5D" w14:textId="11C1ED98" w:rsidR="00D023C4" w:rsidRDefault="00D023C4" w:rsidP="00D023C4">
      <w:r>
        <w:t xml:space="preserve">The </w:t>
      </w:r>
      <w:r w:rsidR="005A2F80">
        <w:t>Base Case</w:t>
      </w:r>
      <w:r>
        <w:t>, as the counterfactual, is scored 0.</w:t>
      </w:r>
    </w:p>
    <w:p w14:paraId="62F77CBE" w14:textId="77777777" w:rsidR="00D023C4" w:rsidRPr="001E347D" w:rsidRDefault="00D023C4" w:rsidP="00D023C4">
      <w:pPr>
        <w:keepNext/>
        <w:rPr>
          <w:rStyle w:val="Strong"/>
        </w:rPr>
      </w:pPr>
      <w:r w:rsidRPr="001E347D">
        <w:rPr>
          <w:rStyle w:val="Strong"/>
        </w:rPr>
        <w:t>Option 1</w:t>
      </w:r>
    </w:p>
    <w:p w14:paraId="4B797B8F" w14:textId="2DCA09A9" w:rsidR="00D023C4" w:rsidRDefault="00D023C4" w:rsidP="00D023C4">
      <w:r>
        <w:t xml:space="preserve">Option 1 improves on the </w:t>
      </w:r>
      <w:r w:rsidR="005A2F80">
        <w:t>Base Case</w:t>
      </w:r>
      <w:r>
        <w:t xml:space="preserve"> as it requires reporting to the Secretary. This supports system-wide learning of lessons and improvement, although reporting via the SCV Online Portal is not mandatory under Option 1 and so there is a risk of incomplete or non-comparable information.  </w:t>
      </w:r>
    </w:p>
    <w:p w14:paraId="0E86046E" w14:textId="0E33DD0E" w:rsidR="00D023C4" w:rsidRDefault="00D023C4" w:rsidP="00D023C4">
      <w:r>
        <w:t>Option 1 is given a score of +</w:t>
      </w:r>
      <w:r w:rsidR="00E54B49">
        <w:t>2</w:t>
      </w:r>
      <w:r>
        <w:t xml:space="preserve">, which is a moderate improvement versus the </w:t>
      </w:r>
      <w:r w:rsidR="005A2F80">
        <w:t>Base Case</w:t>
      </w:r>
      <w:r>
        <w:t>.</w:t>
      </w:r>
    </w:p>
    <w:p w14:paraId="46649D84" w14:textId="77777777" w:rsidR="00D023C4" w:rsidRPr="001E347D" w:rsidRDefault="00D023C4" w:rsidP="00D023C4">
      <w:pPr>
        <w:keepNext/>
        <w:rPr>
          <w:rStyle w:val="Strong"/>
        </w:rPr>
      </w:pPr>
      <w:r w:rsidRPr="001E347D">
        <w:rPr>
          <w:rStyle w:val="Strong"/>
        </w:rPr>
        <w:t>Option 2</w:t>
      </w:r>
    </w:p>
    <w:p w14:paraId="1CFBBB94" w14:textId="6167A6FD" w:rsidR="00D023C4" w:rsidRDefault="00D023C4" w:rsidP="00D023C4">
      <w:r w:rsidRPr="00EE6695">
        <w:t xml:space="preserve">For most HSEs, the proposed changes </w:t>
      </w:r>
      <w:r>
        <w:t xml:space="preserve">under Option 2 </w:t>
      </w:r>
      <w:r w:rsidRPr="00EE6695">
        <w:t xml:space="preserve">will have little or </w:t>
      </w:r>
      <w:r>
        <w:t xml:space="preserve">no </w:t>
      </w:r>
      <w:r w:rsidRPr="00EE6695">
        <w:t>impact on how they respond to sentinel events, as they already use the SCV online portal on the SCV website and follow the Victorian Sentinel Events Guide.</w:t>
      </w:r>
      <w:r>
        <w:t xml:space="preserve"> However, by formalising these requirements, Option 2 addresses the risk that a HSE might do neither of these things. </w:t>
      </w:r>
    </w:p>
    <w:p w14:paraId="0057E274" w14:textId="77777777" w:rsidR="00D023C4" w:rsidRPr="00837B90" w:rsidRDefault="00D023C4" w:rsidP="00D023C4">
      <w:r>
        <w:t xml:space="preserve">There was reasonable stakeholder support for the proposals in responses to the discussion paper, while no private hospitals raised concerns about the changes. The peak private hospitals body, AHPA, supported reporting via an approved pathway or portal and </w:t>
      </w:r>
      <w:r w:rsidRPr="007A6A5C">
        <w:t>the use of an approved methodology</w:t>
      </w:r>
      <w:r w:rsidRPr="00837B90">
        <w:t>,</w:t>
      </w:r>
      <w:r w:rsidRPr="007A6A5C">
        <w:t xml:space="preserve"> noting an in-depth review is the likely tool of choice for many health services for a range of incidents. </w:t>
      </w:r>
      <w:r w:rsidRPr="00837B90">
        <w:t>It noted that</w:t>
      </w:r>
      <w:r>
        <w:t>:</w:t>
      </w:r>
    </w:p>
    <w:p w14:paraId="46972CC5" w14:textId="77777777" w:rsidR="00D023C4" w:rsidRPr="00056F3F" w:rsidRDefault="00D023C4" w:rsidP="00056F3F">
      <w:pPr>
        <w:ind w:left="720"/>
        <w:rPr>
          <w:i/>
        </w:rPr>
      </w:pPr>
      <w:r w:rsidRPr="00056F3F">
        <w:rPr>
          <w:i/>
        </w:rPr>
        <w:t xml:space="preserve">Experienced and mature health services are largely familiar with other methodologies such as root cause analysis and London Protocol, and ensures their staff are appropriately rained. </w:t>
      </w:r>
    </w:p>
    <w:p w14:paraId="309D56FD" w14:textId="77777777" w:rsidR="00D023C4" w:rsidRDefault="00D023C4" w:rsidP="00D023C4">
      <w:r>
        <w:t>AHPA did note though, there could be differences across types of HSEs in how they can comply with the requirements:</w:t>
      </w:r>
    </w:p>
    <w:p w14:paraId="1F1EEC79" w14:textId="77777777" w:rsidR="00D023C4" w:rsidRPr="00056F3F" w:rsidRDefault="00D023C4" w:rsidP="00056F3F">
      <w:pPr>
        <w:ind w:left="720"/>
        <w:rPr>
          <w:i/>
        </w:rPr>
      </w:pPr>
      <w:r w:rsidRPr="00056F3F">
        <w:rPr>
          <w:i/>
        </w:rPr>
        <w:t>There may be significant barriers with smaller sites with very infrequent incidents requiring investigation. The training required, turn-over of staff and recency of practice may result in insufficient trained staff to support an investigation.</w:t>
      </w:r>
    </w:p>
    <w:p w14:paraId="00629928" w14:textId="77777777" w:rsidR="00D023C4" w:rsidRDefault="00D023C4" w:rsidP="00D023C4">
      <w:r>
        <w:t>This concern is noted in the assessment of Small Business and Competition impacts (chapter X).</w:t>
      </w:r>
    </w:p>
    <w:p w14:paraId="619A33AC" w14:textId="370A3DD4" w:rsidR="00D023C4" w:rsidRPr="00B13B38" w:rsidRDefault="00D023C4" w:rsidP="00D023C4">
      <w:r w:rsidRPr="00845BBA">
        <w:t xml:space="preserve">Option </w:t>
      </w:r>
      <w:r>
        <w:t>2</w:t>
      </w:r>
      <w:r w:rsidRPr="00845BBA">
        <w:t xml:space="preserve"> also addresses </w:t>
      </w:r>
      <w:r>
        <w:t xml:space="preserve">an </w:t>
      </w:r>
      <w:r w:rsidRPr="00845BBA">
        <w:t>issue with the timeline requirements under the Victorian Sentinel Event Guide</w:t>
      </w:r>
      <w:r>
        <w:t xml:space="preserve"> by </w:t>
      </w:r>
      <w:r w:rsidRPr="00845BBA">
        <w:t xml:space="preserve">allowing HSEs to seek, and the Secretary to grant, an extension of the </w:t>
      </w:r>
      <w:r>
        <w:t xml:space="preserve">timelines for sentinel event reporting. </w:t>
      </w:r>
      <w:r w:rsidRPr="00713AF8">
        <w:t xml:space="preserve">This </w:t>
      </w:r>
      <w:r>
        <w:t>should allow time for HSEs to</w:t>
      </w:r>
      <w:r w:rsidRPr="00713AF8">
        <w:t xml:space="preserve"> constitut</w:t>
      </w:r>
      <w:r>
        <w:t>e</w:t>
      </w:r>
      <w:r w:rsidRPr="00713AF8">
        <w:t xml:space="preserve"> a panel in the necessary timeframe</w:t>
      </w:r>
      <w:r>
        <w:t xml:space="preserve">. This </w:t>
      </w:r>
      <w:r>
        <w:lastRenderedPageBreak/>
        <w:t>is a small change that formalises and makes more transparent a process that is currently occurring in practice.</w:t>
      </w:r>
    </w:p>
    <w:p w14:paraId="73BD4AC3" w14:textId="77777777" w:rsidR="00D023C4" w:rsidRPr="007A6A5C" w:rsidRDefault="00D023C4" w:rsidP="00D023C4">
      <w:r w:rsidRPr="0033067C">
        <w:t xml:space="preserve">Option </w:t>
      </w:r>
      <w:r>
        <w:t>2</w:t>
      </w:r>
      <w:r w:rsidRPr="0033067C">
        <w:t xml:space="preserve"> is given a score of +</w:t>
      </w:r>
      <w:r>
        <w:t>5</w:t>
      </w:r>
      <w:r w:rsidRPr="0033067C">
        <w:t>.</w:t>
      </w:r>
    </w:p>
    <w:p w14:paraId="67E20331" w14:textId="77777777" w:rsidR="00A70AF8" w:rsidRPr="0076112E" w:rsidRDefault="00A70AF8" w:rsidP="00A70AF8">
      <w:pPr>
        <w:pStyle w:val="Heading7"/>
      </w:pPr>
      <w:r w:rsidRPr="0076112E">
        <w:t xml:space="preserve">Cost to </w:t>
      </w:r>
      <w:r w:rsidRPr="00A70AF8">
        <w:t>HSEs</w:t>
      </w:r>
      <w:r w:rsidRPr="0076112E">
        <w:t>; and cost to government</w:t>
      </w:r>
    </w:p>
    <w:p w14:paraId="138F4193" w14:textId="072B8974" w:rsidR="00D023C4" w:rsidRPr="001E347D" w:rsidRDefault="005A2F80" w:rsidP="00D023C4">
      <w:pPr>
        <w:rPr>
          <w:rStyle w:val="Strong"/>
        </w:rPr>
      </w:pPr>
      <w:r w:rsidRPr="001E347D">
        <w:rPr>
          <w:rStyle w:val="Strong"/>
        </w:rPr>
        <w:t>Base Case</w:t>
      </w:r>
    </w:p>
    <w:p w14:paraId="79D35301" w14:textId="154756DA" w:rsidR="00D023C4" w:rsidRDefault="00D023C4" w:rsidP="00D023C4">
      <w:r>
        <w:t xml:space="preserve">Under the </w:t>
      </w:r>
      <w:r w:rsidR="005A2F80">
        <w:t>Base Case</w:t>
      </w:r>
      <w:r>
        <w:t xml:space="preserve">, HSEs would not incur any costs associated with reporting </w:t>
      </w:r>
      <w:r w:rsidRPr="00D47B7D">
        <w:t>sentinel event</w:t>
      </w:r>
      <w:r>
        <w:t>s</w:t>
      </w:r>
      <w:r w:rsidRPr="00D47B7D">
        <w:t xml:space="preserve"> to the Secretary </w:t>
      </w:r>
      <w:r>
        <w:t>(</w:t>
      </w:r>
      <w:r w:rsidRPr="00D47B7D">
        <w:t>as is currently</w:t>
      </w:r>
      <w:r>
        <w:t xml:space="preserve"> </w:t>
      </w:r>
      <w:r w:rsidRPr="00D47B7D">
        <w:t xml:space="preserve">required </w:t>
      </w:r>
      <w:r>
        <w:t>under regulation 46A).</w:t>
      </w:r>
    </w:p>
    <w:p w14:paraId="3B244CD1" w14:textId="3F053071" w:rsidR="00D023C4" w:rsidRDefault="00D023C4" w:rsidP="00D023C4">
      <w:r>
        <w:t xml:space="preserve">The </w:t>
      </w:r>
      <w:r w:rsidR="005A2F80">
        <w:t>Base Case</w:t>
      </w:r>
      <w:r>
        <w:t>, as the counterfactual, is scored 0 against this criterion.</w:t>
      </w:r>
    </w:p>
    <w:p w14:paraId="7AA3C6B6" w14:textId="77777777" w:rsidR="00D023C4" w:rsidRPr="001E347D" w:rsidRDefault="00D023C4" w:rsidP="00D023C4">
      <w:pPr>
        <w:keepNext/>
        <w:rPr>
          <w:rStyle w:val="Strong"/>
        </w:rPr>
      </w:pPr>
      <w:r w:rsidRPr="001E347D">
        <w:rPr>
          <w:rStyle w:val="Strong"/>
        </w:rPr>
        <w:t>Option 1</w:t>
      </w:r>
    </w:p>
    <w:p w14:paraId="780B3DAF" w14:textId="79163132" w:rsidR="00D023C4" w:rsidRPr="00B13EBE" w:rsidRDefault="00D023C4" w:rsidP="00D023C4">
      <w:pPr>
        <w:rPr>
          <w:rFonts w:cstheme="minorHAnsi"/>
        </w:rPr>
      </w:pPr>
      <w:r w:rsidRPr="00B13EBE">
        <w:t xml:space="preserve">In Option 1, </w:t>
      </w:r>
      <w:r w:rsidR="004775E0">
        <w:t>there would be an additional cost of</w:t>
      </w:r>
      <w:r w:rsidRPr="00B13EBE">
        <w:t xml:space="preserve"> report</w:t>
      </w:r>
      <w:r w:rsidR="004775E0">
        <w:t>ing</w:t>
      </w:r>
      <w:r w:rsidRPr="00B13EBE">
        <w:t xml:space="preserve"> </w:t>
      </w:r>
      <w:r w:rsidR="00872B17">
        <w:t xml:space="preserve">(notifying) </w:t>
      </w:r>
      <w:r w:rsidRPr="00B13EBE">
        <w:rPr>
          <w:rFonts w:cstheme="minorHAnsi"/>
        </w:rPr>
        <w:t>a sentinel event to the Secretary under regulation 46A</w:t>
      </w:r>
      <w:r w:rsidR="004775E0">
        <w:rPr>
          <w:rFonts w:cstheme="minorHAnsi"/>
        </w:rPr>
        <w:t xml:space="preserve"> (</w:t>
      </w:r>
      <w:r w:rsidR="00872B17">
        <w:rPr>
          <w:rFonts w:cstheme="minorHAnsi"/>
        </w:rPr>
        <w:t xml:space="preserve">as </w:t>
      </w:r>
      <w:r w:rsidR="004775E0">
        <w:rPr>
          <w:rFonts w:cstheme="minorHAnsi"/>
        </w:rPr>
        <w:t>compared to the Base Case)</w:t>
      </w:r>
      <w:r w:rsidRPr="00B13EBE">
        <w:rPr>
          <w:rFonts w:cstheme="minorHAnsi"/>
        </w:rPr>
        <w:t xml:space="preserve">. This would apply to about 25 sentinel events a year at HSEs (assuming the same number as in 2020-21). </w:t>
      </w:r>
    </w:p>
    <w:p w14:paraId="079C66FD" w14:textId="7A7D9D01" w:rsidR="00F925C0" w:rsidRPr="00B13EBE" w:rsidRDefault="00F925C0" w:rsidP="00F925C0">
      <w:pPr>
        <w:rPr>
          <w:rFonts w:cstheme="minorHAnsi"/>
        </w:rPr>
      </w:pPr>
      <w:r w:rsidRPr="006C473F">
        <w:rPr>
          <w:rFonts w:cstheme="minorHAnsi"/>
        </w:rPr>
        <w:t xml:space="preserve">Reporting </w:t>
      </w:r>
      <w:r w:rsidR="00872B17">
        <w:rPr>
          <w:rFonts w:cstheme="minorHAnsi"/>
        </w:rPr>
        <w:t xml:space="preserve">(notifying) </w:t>
      </w:r>
      <w:r w:rsidRPr="006C473F">
        <w:rPr>
          <w:rFonts w:cstheme="minorHAnsi"/>
        </w:rPr>
        <w:t xml:space="preserve">a sentinel event via the </w:t>
      </w:r>
      <w:r w:rsidRPr="006C473F">
        <w:t xml:space="preserve">SCV Online Portal </w:t>
      </w:r>
      <w:r w:rsidRPr="006C473F">
        <w:rPr>
          <w:rFonts w:cstheme="minorHAnsi"/>
        </w:rPr>
        <w:t xml:space="preserve">Patient </w:t>
      </w:r>
      <w:r w:rsidR="00BB0AF0">
        <w:rPr>
          <w:rFonts w:cstheme="minorHAnsi"/>
        </w:rPr>
        <w:t xml:space="preserve">(or via another method such as a written document) </w:t>
      </w:r>
      <w:r w:rsidRPr="006C473F">
        <w:rPr>
          <w:rFonts w:cstheme="minorHAnsi"/>
        </w:rPr>
        <w:t>requires a HSE to provide patient</w:t>
      </w:r>
      <w:r w:rsidR="00161622">
        <w:rPr>
          <w:rFonts w:cstheme="minorHAnsi"/>
        </w:rPr>
        <w:t xml:space="preserve"> details</w:t>
      </w:r>
      <w:r w:rsidRPr="006C473F">
        <w:rPr>
          <w:rFonts w:cstheme="minorHAnsi"/>
        </w:rPr>
        <w:t>, event</w:t>
      </w:r>
      <w:r w:rsidR="00161622">
        <w:rPr>
          <w:rFonts w:cstheme="minorHAnsi"/>
        </w:rPr>
        <w:t xml:space="preserve"> details</w:t>
      </w:r>
      <w:r w:rsidRPr="006C473F">
        <w:rPr>
          <w:rFonts w:cstheme="minorHAnsi"/>
        </w:rPr>
        <w:t>, and details</w:t>
      </w:r>
      <w:r w:rsidR="00161622">
        <w:rPr>
          <w:rFonts w:cstheme="minorHAnsi"/>
        </w:rPr>
        <w:t xml:space="preserve"> of those reporting the event</w:t>
      </w:r>
      <w:r w:rsidRPr="006C473F">
        <w:rPr>
          <w:rFonts w:cstheme="minorHAnsi"/>
        </w:rPr>
        <w:t xml:space="preserve">. </w:t>
      </w:r>
      <w:r w:rsidR="00227469">
        <w:rPr>
          <w:rFonts w:cstheme="minorHAnsi"/>
        </w:rPr>
        <w:t>The</w:t>
      </w:r>
      <w:r w:rsidRPr="006C473F">
        <w:rPr>
          <w:rFonts w:cstheme="minorHAnsi"/>
        </w:rPr>
        <w:t xml:space="preserve"> information requested should be information that is collected by the HSE as part of management of a sentinel event. The requirement for reporting </w:t>
      </w:r>
      <w:r w:rsidR="005F714A">
        <w:rPr>
          <w:rFonts w:cstheme="minorHAnsi"/>
        </w:rPr>
        <w:t xml:space="preserve">(notifying) </w:t>
      </w:r>
      <w:r w:rsidRPr="006C473F">
        <w:rPr>
          <w:rFonts w:cstheme="minorHAnsi"/>
        </w:rPr>
        <w:t xml:space="preserve">is therefore </w:t>
      </w:r>
      <w:r w:rsidR="005F714A">
        <w:rPr>
          <w:rFonts w:cstheme="minorHAnsi"/>
        </w:rPr>
        <w:t xml:space="preserve">largely </w:t>
      </w:r>
      <w:r w:rsidRPr="006C473F">
        <w:rPr>
          <w:rFonts w:cstheme="minorHAnsi"/>
        </w:rPr>
        <w:t>an administration cost, which is the cost of time for providing details to</w:t>
      </w:r>
      <w:r w:rsidR="005F714A">
        <w:rPr>
          <w:rFonts w:cstheme="minorHAnsi"/>
        </w:rPr>
        <w:t xml:space="preserve"> the Secretary (through the</w:t>
      </w:r>
      <w:r w:rsidRPr="006C473F">
        <w:rPr>
          <w:rFonts w:cstheme="minorHAnsi"/>
        </w:rPr>
        <w:t xml:space="preserve"> SCV</w:t>
      </w:r>
      <w:r w:rsidR="005F714A">
        <w:rPr>
          <w:rFonts w:cstheme="minorHAnsi"/>
        </w:rPr>
        <w:t>)</w:t>
      </w:r>
      <w:r w:rsidRPr="006C473F">
        <w:rPr>
          <w:rFonts w:cstheme="minorHAnsi"/>
        </w:rPr>
        <w:t xml:space="preserve"> about the sentinel e</w:t>
      </w:r>
      <w:r w:rsidR="00BC22CA" w:rsidRPr="006C473F">
        <w:rPr>
          <w:rFonts w:cstheme="minorHAnsi"/>
        </w:rPr>
        <w:t>v</w:t>
      </w:r>
      <w:r w:rsidRPr="006C473F">
        <w:rPr>
          <w:rFonts w:cstheme="minorHAnsi"/>
        </w:rPr>
        <w:t>ent (by fillings in fields in an online form in the Portal or another method chosen by the HSE).</w:t>
      </w:r>
      <w:r w:rsidR="00207046" w:rsidRPr="00B13EBE">
        <w:rPr>
          <w:rFonts w:cstheme="minorHAnsi"/>
        </w:rPr>
        <w:t xml:space="preserve"> </w:t>
      </w:r>
    </w:p>
    <w:p w14:paraId="5777FA23" w14:textId="071ABE6A" w:rsidR="00F925C0" w:rsidDel="00E50BA8" w:rsidRDefault="00B215D5" w:rsidP="00D023C4">
      <w:pPr>
        <w:rPr>
          <w:rStyle w:val="ui-provider"/>
        </w:rPr>
      </w:pPr>
      <w:r w:rsidRPr="00B13EBE">
        <w:rPr>
          <w:rFonts w:cstheme="minorHAnsi"/>
        </w:rPr>
        <w:t xml:space="preserve">If there are </w:t>
      </w:r>
      <w:r w:rsidR="00127758" w:rsidRPr="00B13EBE">
        <w:rPr>
          <w:rFonts w:cstheme="minorHAnsi"/>
        </w:rPr>
        <w:t xml:space="preserve">25 sentinel events reported per year, and </w:t>
      </w:r>
      <w:r w:rsidR="003458DB">
        <w:rPr>
          <w:rFonts w:cstheme="minorHAnsi"/>
        </w:rPr>
        <w:t xml:space="preserve">for each of these </w:t>
      </w:r>
      <w:r w:rsidR="00BC7C84" w:rsidRPr="006C473F">
        <w:rPr>
          <w:rFonts w:cstheme="minorHAnsi"/>
        </w:rPr>
        <w:t>a senior</w:t>
      </w:r>
      <w:r w:rsidR="009D5280" w:rsidRPr="006C473F">
        <w:rPr>
          <w:rFonts w:cstheme="minorHAnsi"/>
        </w:rPr>
        <w:t xml:space="preserve"> </w:t>
      </w:r>
      <w:r w:rsidR="00AE3649">
        <w:rPr>
          <w:rFonts w:cstheme="minorHAnsi"/>
        </w:rPr>
        <w:t>professional at the HS</w:t>
      </w:r>
      <w:r w:rsidR="001A6354">
        <w:rPr>
          <w:rFonts w:cstheme="minorHAnsi"/>
        </w:rPr>
        <w:t xml:space="preserve">E </w:t>
      </w:r>
      <w:r w:rsidR="003458DB">
        <w:rPr>
          <w:rFonts w:cstheme="minorHAnsi"/>
        </w:rPr>
        <w:t xml:space="preserve">spent half a day </w:t>
      </w:r>
      <w:r w:rsidR="001A6354">
        <w:rPr>
          <w:rFonts w:cstheme="minorHAnsi"/>
        </w:rPr>
        <w:t xml:space="preserve">preparing and submitting the </w:t>
      </w:r>
      <w:r w:rsidR="001E1DBD">
        <w:rPr>
          <w:rFonts w:cstheme="minorHAnsi"/>
        </w:rPr>
        <w:t xml:space="preserve">sentinel event </w:t>
      </w:r>
      <w:r w:rsidR="005F714A">
        <w:rPr>
          <w:rFonts w:cstheme="minorHAnsi"/>
        </w:rPr>
        <w:t xml:space="preserve">notification </w:t>
      </w:r>
      <w:r w:rsidR="001A6354">
        <w:rPr>
          <w:rFonts w:cstheme="minorHAnsi"/>
        </w:rPr>
        <w:t>report</w:t>
      </w:r>
      <w:r w:rsidR="00701D14" w:rsidRPr="00B13EBE">
        <w:rPr>
          <w:rFonts w:cstheme="minorHAnsi"/>
        </w:rPr>
        <w:t xml:space="preserve">, </w:t>
      </w:r>
      <w:r w:rsidR="001E1DBD">
        <w:rPr>
          <w:rFonts w:cstheme="minorHAnsi"/>
        </w:rPr>
        <w:t xml:space="preserve">this would add up to 12.5 days in total. </w:t>
      </w:r>
      <w:r w:rsidR="001E1DBD">
        <w:rPr>
          <w:rStyle w:val="ui-provider"/>
        </w:rPr>
        <w:t>A cost of time of $3,435 per week ($685 per day) is assumed, based on ABS data for average weekly blended earning earnings data of senior professionals in the health profession who would be likely to be working on a sentinel event review</w:t>
      </w:r>
      <w:r w:rsidR="001E1DBD">
        <w:rPr>
          <w:rStyle w:val="FootnoteReference"/>
        </w:rPr>
        <w:footnoteReference w:id="73"/>
      </w:r>
      <w:r w:rsidR="001E1DBD">
        <w:rPr>
          <w:rStyle w:val="ui-provider"/>
        </w:rPr>
        <w:t>.</w:t>
      </w:r>
      <w:r w:rsidR="000D15B8">
        <w:rPr>
          <w:rStyle w:val="ui-provider"/>
        </w:rPr>
        <w:t xml:space="preserve"> Applying this rate, the cost of this requirement would be </w:t>
      </w:r>
      <w:r w:rsidR="004A1308">
        <w:rPr>
          <w:rStyle w:val="ui-provider"/>
        </w:rPr>
        <w:t>about $42,000.</w:t>
      </w:r>
    </w:p>
    <w:p w14:paraId="624A4F4B" w14:textId="77777777" w:rsidR="00D023C4" w:rsidRDefault="00D023C4" w:rsidP="00D023C4">
      <w:r>
        <w:t xml:space="preserve">The absence of mandatory reporting requirements including how sentinel events are reported to the Secretary may mean there is some variation in the costs of reporting. Stakeholder engagement has not indicated any disproportionate or unnecessary regulatory burden associated with these reporting requirements and so is assumed to be moderate. </w:t>
      </w:r>
    </w:p>
    <w:p w14:paraId="57D0DFAA" w14:textId="7EA0F1F9" w:rsidR="00D023C4" w:rsidRDefault="00D023C4" w:rsidP="00D023C4">
      <w:r>
        <w:t>For government,</w:t>
      </w:r>
      <w:r w:rsidR="003735BD">
        <w:t xml:space="preserve"> t</w:t>
      </w:r>
      <w:r w:rsidR="00387645">
        <w:t xml:space="preserve">here </w:t>
      </w:r>
      <w:r>
        <w:t xml:space="preserve">would be costs relative to the </w:t>
      </w:r>
      <w:r w:rsidR="005A2F80">
        <w:t>Base Case</w:t>
      </w:r>
      <w:r>
        <w:t xml:space="preserve"> to </w:t>
      </w:r>
      <w:r w:rsidR="00AB5F1B">
        <w:t xml:space="preserve">review </w:t>
      </w:r>
      <w:r w:rsidR="005A4328">
        <w:t xml:space="preserve">information provided in </w:t>
      </w:r>
      <w:r w:rsidR="00AB5F1B">
        <w:t xml:space="preserve">sentinel event </w:t>
      </w:r>
      <w:r w:rsidR="005A4328">
        <w:t xml:space="preserve">notifications and undertake follow up requests as required, and to </w:t>
      </w:r>
      <w:r>
        <w:t xml:space="preserve">undertake compliance monitoring and enforcement to ensure HSEs are meeting prescribed sentinel event reporting requirements. On the other hand, costs to government would be lower over time than under </w:t>
      </w:r>
      <w:r>
        <w:lastRenderedPageBreak/>
        <w:t xml:space="preserve">the </w:t>
      </w:r>
      <w:r w:rsidR="005A2F80">
        <w:t>Base Case</w:t>
      </w:r>
      <w:r>
        <w:t xml:space="preserve"> as reporting matures and contributes to improved patient care and quality. </w:t>
      </w:r>
      <w:r w:rsidR="00EC06F7">
        <w:t>Overall, the cost to government is expected to be small.</w:t>
      </w:r>
    </w:p>
    <w:p w14:paraId="03215A6C" w14:textId="66664803" w:rsidR="00D023C4" w:rsidRDefault="00D023C4" w:rsidP="00D023C4">
      <w:pPr>
        <w:rPr>
          <w:szCs w:val="20"/>
        </w:rPr>
      </w:pPr>
      <w:r>
        <w:rPr>
          <w:szCs w:val="20"/>
        </w:rPr>
        <w:t>This option is scored a -</w:t>
      </w:r>
      <w:r w:rsidR="00BC732E">
        <w:rPr>
          <w:szCs w:val="20"/>
        </w:rPr>
        <w:t>1</w:t>
      </w:r>
      <w:r>
        <w:rPr>
          <w:szCs w:val="20"/>
        </w:rPr>
        <w:t>, which represents a moderate cost to industry and government.</w:t>
      </w:r>
    </w:p>
    <w:p w14:paraId="319696A9" w14:textId="3296C729" w:rsidR="00D023C4" w:rsidRPr="001E347D" w:rsidRDefault="00D023C4" w:rsidP="00D023C4">
      <w:pPr>
        <w:rPr>
          <w:b/>
          <w:i/>
          <w:color w:val="808080" w:themeColor="background1" w:themeShade="80"/>
          <w:szCs w:val="20"/>
        </w:rPr>
      </w:pPr>
      <w:r w:rsidRPr="001E347D">
        <w:rPr>
          <w:b/>
          <w:i/>
          <w:color w:val="808080" w:themeColor="background1" w:themeShade="80"/>
          <w:szCs w:val="20"/>
        </w:rPr>
        <w:t>Option 2</w:t>
      </w:r>
    </w:p>
    <w:p w14:paraId="791E986D" w14:textId="2D486989" w:rsidR="00D023C4" w:rsidRDefault="00D023C4" w:rsidP="00D023C4">
      <w:r>
        <w:t>Option 2 will impose a</w:t>
      </w:r>
      <w:r w:rsidR="00CE2246">
        <w:t>n</w:t>
      </w:r>
      <w:r>
        <w:t xml:space="preserve"> additional cost on some HSEs compared to Option 1, as a small number of HSEs that do not use the SCV Online Portal or follow the Victorian Sentinel Event Guidelines will be required to do so. The change will not affect most HSEs because they already follow these processes.</w:t>
      </w:r>
    </w:p>
    <w:p w14:paraId="25CA85EF" w14:textId="269D162F" w:rsidR="00D023C4" w:rsidRDefault="00D023C4" w:rsidP="00D023C4">
      <w:r>
        <w:t>During consultation with private hospital</w:t>
      </w:r>
      <w:r w:rsidR="13517773">
        <w:t xml:space="preserve"> stakeholders</w:t>
      </w:r>
      <w:r>
        <w:t xml:space="preserve">, industry </w:t>
      </w:r>
      <w:r w:rsidR="00AB1CA8">
        <w:t>made no</w:t>
      </w:r>
      <w:r>
        <w:t xml:space="preserve"> specific comment relating to the cost of this proposal, although did request that requirements for sentinel event</w:t>
      </w:r>
      <w:r w:rsidR="00962518">
        <w:t>s</w:t>
      </w:r>
      <w:r>
        <w:t xml:space="preserve"> are aligned as much as possible to those for SAPSEs to minimise regulatory burden. The department noted this point but observed that there were limitations on how this could be achieved </w:t>
      </w:r>
      <w:r w:rsidR="00AA25AC">
        <w:t xml:space="preserve">as </w:t>
      </w:r>
      <w:r w:rsidRPr="00FC10FC">
        <w:t>sentinel events</w:t>
      </w:r>
      <w:r w:rsidR="00AA25AC">
        <w:t xml:space="preserve"> are by nature more serious than SAPSEs and may therefore</w:t>
      </w:r>
      <w:r w:rsidR="009206D5">
        <w:t xml:space="preserve"> have different</w:t>
      </w:r>
      <w:r w:rsidR="00AA25AC">
        <w:t xml:space="preserve"> require</w:t>
      </w:r>
      <w:r w:rsidR="009206D5">
        <w:t>ment</w:t>
      </w:r>
      <w:r w:rsidR="00293405">
        <w:t>s</w:t>
      </w:r>
      <w:r w:rsidR="00AA25AC">
        <w:t xml:space="preserve"> to reflect this</w:t>
      </w:r>
      <w:r>
        <w:t>.</w:t>
      </w:r>
    </w:p>
    <w:p w14:paraId="2E25D9D5" w14:textId="3CE05F3F" w:rsidR="0086630F" w:rsidRDefault="001369D8" w:rsidP="00D023C4">
      <w:pPr>
        <w:rPr>
          <w:rStyle w:val="ui-provider"/>
        </w:rPr>
      </w:pPr>
      <w:r>
        <w:rPr>
          <w:rStyle w:val="ui-provider"/>
        </w:rPr>
        <w:t xml:space="preserve">The </w:t>
      </w:r>
      <w:r w:rsidR="00082AC5" w:rsidRPr="00F173B7">
        <w:rPr>
          <w:rStyle w:val="ui-provider"/>
        </w:rPr>
        <w:t xml:space="preserve">costs of undertaking a sentinel event review in accordance with the Victorian Sentinel Event Guidelines is likely </w:t>
      </w:r>
      <w:r w:rsidR="008F6828" w:rsidRPr="00F173B7">
        <w:rPr>
          <w:rStyle w:val="ui-provider"/>
        </w:rPr>
        <w:t xml:space="preserve">to </w:t>
      </w:r>
      <w:r w:rsidR="00082AC5" w:rsidRPr="00F173B7">
        <w:rPr>
          <w:rStyle w:val="ui-provider"/>
        </w:rPr>
        <w:t xml:space="preserve">vary due to a number of factors, including the nature of the harm suffered </w:t>
      </w:r>
      <w:r w:rsidR="007B74B4" w:rsidRPr="00F173B7">
        <w:rPr>
          <w:rStyle w:val="ui-provider"/>
        </w:rPr>
        <w:t>and the</w:t>
      </w:r>
      <w:r w:rsidR="00082AC5" w:rsidRPr="00F173B7">
        <w:rPr>
          <w:rStyle w:val="ui-provider"/>
        </w:rPr>
        <w:t xml:space="preserve"> surrounding clinical </w:t>
      </w:r>
      <w:r w:rsidR="007B74B4" w:rsidRPr="00F173B7">
        <w:rPr>
          <w:rStyle w:val="ui-provider"/>
        </w:rPr>
        <w:t xml:space="preserve">and operational </w:t>
      </w:r>
      <w:r w:rsidR="00082AC5" w:rsidRPr="00F173B7">
        <w:rPr>
          <w:rStyle w:val="ui-provider"/>
        </w:rPr>
        <w:t>circumstances. Further</w:t>
      </w:r>
      <w:r w:rsidR="007B74B4" w:rsidRPr="00F173B7">
        <w:rPr>
          <w:rStyle w:val="ui-provider"/>
        </w:rPr>
        <w:t>,</w:t>
      </w:r>
      <w:r w:rsidR="00082AC5" w:rsidRPr="00F173B7">
        <w:rPr>
          <w:rStyle w:val="ui-provider"/>
        </w:rPr>
        <w:t xml:space="preserve"> not all the costs of conducting these reviews </w:t>
      </w:r>
      <w:r w:rsidR="007B74B4" w:rsidRPr="00F173B7">
        <w:rPr>
          <w:rStyle w:val="ui-provider"/>
        </w:rPr>
        <w:t>are</w:t>
      </w:r>
      <w:r w:rsidR="00082AC5" w:rsidRPr="00F173B7">
        <w:rPr>
          <w:rStyle w:val="ui-provider"/>
        </w:rPr>
        <w:t xml:space="preserve"> attributable to </w:t>
      </w:r>
      <w:r w:rsidR="00D75E35" w:rsidRPr="00F173B7">
        <w:rPr>
          <w:rStyle w:val="ui-provider"/>
        </w:rPr>
        <w:t>including the proposed</w:t>
      </w:r>
      <w:r w:rsidR="00082AC5" w:rsidRPr="00F173B7">
        <w:rPr>
          <w:rStyle w:val="ui-provider"/>
        </w:rPr>
        <w:t xml:space="preserve"> </w:t>
      </w:r>
      <w:r>
        <w:rPr>
          <w:rStyle w:val="ui-provider"/>
        </w:rPr>
        <w:t xml:space="preserve">review </w:t>
      </w:r>
      <w:r w:rsidR="00082AC5" w:rsidRPr="00F173B7">
        <w:rPr>
          <w:rStyle w:val="ui-provider"/>
        </w:rPr>
        <w:t xml:space="preserve">requirements in the </w:t>
      </w:r>
      <w:r w:rsidR="00272D26">
        <w:rPr>
          <w:rStyle w:val="ui-provider"/>
        </w:rPr>
        <w:t>R</w:t>
      </w:r>
      <w:r w:rsidR="00082AC5" w:rsidRPr="00F173B7">
        <w:rPr>
          <w:rStyle w:val="ui-provider"/>
        </w:rPr>
        <w:t>egulations</w:t>
      </w:r>
      <w:r w:rsidR="007B74B4" w:rsidRPr="00F173B7">
        <w:rPr>
          <w:rStyle w:val="ui-provider"/>
        </w:rPr>
        <w:t xml:space="preserve">, given </w:t>
      </w:r>
      <w:r w:rsidR="00D75E35" w:rsidRPr="00F173B7">
        <w:rPr>
          <w:rStyle w:val="ui-provider"/>
        </w:rPr>
        <w:t xml:space="preserve">other </w:t>
      </w:r>
      <w:r w:rsidR="00CF603C" w:rsidRPr="00F173B7">
        <w:rPr>
          <w:rStyle w:val="ui-provider"/>
        </w:rPr>
        <w:t xml:space="preserve">requirements that </w:t>
      </w:r>
      <w:r w:rsidR="004F1267" w:rsidRPr="00F173B7">
        <w:rPr>
          <w:rStyle w:val="ui-provider"/>
        </w:rPr>
        <w:t xml:space="preserve">create an imperative for </w:t>
      </w:r>
      <w:r>
        <w:rPr>
          <w:rStyle w:val="ui-provider"/>
        </w:rPr>
        <w:t>HSE to conduct a</w:t>
      </w:r>
      <w:r w:rsidR="004F1267" w:rsidRPr="00F173B7">
        <w:rPr>
          <w:rStyle w:val="ui-provider"/>
        </w:rPr>
        <w:t xml:space="preserve"> review of each sentinel event that occurs</w:t>
      </w:r>
      <w:r w:rsidR="00CF603C" w:rsidRPr="00F173B7">
        <w:rPr>
          <w:rStyle w:val="ui-provider"/>
        </w:rPr>
        <w:t xml:space="preserve"> (including </w:t>
      </w:r>
      <w:r>
        <w:rPr>
          <w:rStyle w:val="ui-provider"/>
        </w:rPr>
        <w:t>relevant parts of the</w:t>
      </w:r>
      <w:r w:rsidR="005B191B" w:rsidRPr="00F173B7">
        <w:rPr>
          <w:rStyle w:val="ui-provider"/>
        </w:rPr>
        <w:t xml:space="preserve"> </w:t>
      </w:r>
      <w:r w:rsidR="00CF603C" w:rsidRPr="00F173B7">
        <w:rPr>
          <w:rStyle w:val="ui-provider"/>
        </w:rPr>
        <w:t>Standards, open disclosure policies and the Statutory Duty of Cando</w:t>
      </w:r>
      <w:r>
        <w:rPr>
          <w:rStyle w:val="ui-provider"/>
        </w:rPr>
        <w:t>u</w:t>
      </w:r>
      <w:r w:rsidR="00CF603C" w:rsidRPr="00F173B7">
        <w:rPr>
          <w:rStyle w:val="ui-provider"/>
        </w:rPr>
        <w:t>r)</w:t>
      </w:r>
      <w:r w:rsidR="00082AC5" w:rsidRPr="00F173B7">
        <w:rPr>
          <w:rStyle w:val="ui-provider"/>
        </w:rPr>
        <w:t xml:space="preserve">. </w:t>
      </w:r>
      <w:r>
        <w:rPr>
          <w:rStyle w:val="ui-provider"/>
        </w:rPr>
        <w:t>T</w:t>
      </w:r>
      <w:r w:rsidR="00082AC5" w:rsidRPr="00F173B7">
        <w:rPr>
          <w:rStyle w:val="ui-provider"/>
        </w:rPr>
        <w:t xml:space="preserve">he cost </w:t>
      </w:r>
      <w:r w:rsidR="0086630F">
        <w:rPr>
          <w:rStyle w:val="ui-provider"/>
        </w:rPr>
        <w:t>has therefore</w:t>
      </w:r>
      <w:r w:rsidR="00082AC5" w:rsidRPr="00F173B7">
        <w:rPr>
          <w:rStyle w:val="ui-provider"/>
        </w:rPr>
        <w:t xml:space="preserve"> been estimated using some assumptions.</w:t>
      </w:r>
      <w:r w:rsidR="0086630F">
        <w:rPr>
          <w:rStyle w:val="ui-provider"/>
        </w:rPr>
        <w:t xml:space="preserve"> </w:t>
      </w:r>
    </w:p>
    <w:p w14:paraId="21568BA2" w14:textId="237CE9EC" w:rsidR="005A3839" w:rsidRDefault="00E606AB" w:rsidP="00D023C4">
      <w:r>
        <w:rPr>
          <w:rStyle w:val="ui-provider"/>
        </w:rPr>
        <w:t xml:space="preserve">Under the </w:t>
      </w:r>
      <w:r w:rsidR="00CF54C0">
        <w:rPr>
          <w:rStyle w:val="ui-provider"/>
        </w:rPr>
        <w:t xml:space="preserve">Victorian </w:t>
      </w:r>
      <w:r>
        <w:rPr>
          <w:rStyle w:val="ui-provider"/>
        </w:rPr>
        <w:t>Sentinel Event</w:t>
      </w:r>
      <w:r w:rsidR="00CF54C0">
        <w:rPr>
          <w:rStyle w:val="ui-provider"/>
        </w:rPr>
        <w:t xml:space="preserve"> Guide, </w:t>
      </w:r>
      <w:r w:rsidR="00926491">
        <w:rPr>
          <w:rStyle w:val="ui-provider"/>
        </w:rPr>
        <w:t xml:space="preserve">Report A and B must be submitted </w:t>
      </w:r>
      <w:r w:rsidR="00DC0934">
        <w:rPr>
          <w:rStyle w:val="ui-provider"/>
        </w:rPr>
        <w:t xml:space="preserve">within 30 business days of notification and Report C </w:t>
      </w:r>
      <w:r w:rsidR="009C400A">
        <w:rPr>
          <w:rStyle w:val="ui-provider"/>
        </w:rPr>
        <w:t>must be submitted</w:t>
      </w:r>
      <w:r w:rsidR="005A3839">
        <w:rPr>
          <w:rStyle w:val="ui-provider"/>
        </w:rPr>
        <w:t xml:space="preserve"> within 50 business days</w:t>
      </w:r>
      <w:r w:rsidR="009C400A">
        <w:rPr>
          <w:rStyle w:val="ui-provider"/>
        </w:rPr>
        <w:t>.</w:t>
      </w:r>
      <w:r w:rsidR="005A3839">
        <w:rPr>
          <w:rStyle w:val="ui-provider"/>
        </w:rPr>
        <w:t xml:space="preserve"> </w:t>
      </w:r>
      <w:r w:rsidR="00E65B76">
        <w:rPr>
          <w:rStyle w:val="ui-provider"/>
        </w:rPr>
        <w:t>The</w:t>
      </w:r>
      <w:r w:rsidR="00E65B76" w:rsidRPr="00E65B76">
        <w:rPr>
          <w:rStyle w:val="ui-provider"/>
        </w:rPr>
        <w:t xml:space="preserve"> panel conducting the review must consist of at least three persons </w:t>
      </w:r>
      <w:r w:rsidR="00843DC2">
        <w:rPr>
          <w:rStyle w:val="ui-provider"/>
        </w:rPr>
        <w:t xml:space="preserve">(per the SCV Adverse Patient Safety Event </w:t>
      </w:r>
      <w:r w:rsidR="002D1CDF">
        <w:rPr>
          <w:rStyle w:val="ui-provider"/>
        </w:rPr>
        <w:t>Policy</w:t>
      </w:r>
      <w:r w:rsidR="00E65B76">
        <w:rPr>
          <w:rStyle w:val="ui-provider"/>
        </w:rPr>
        <w:t xml:space="preserve">. </w:t>
      </w:r>
      <w:r w:rsidR="005A3839">
        <w:rPr>
          <w:rStyle w:val="ui-provider"/>
        </w:rPr>
        <w:t xml:space="preserve">As such, </w:t>
      </w:r>
      <w:r w:rsidR="001D3D21">
        <w:rPr>
          <w:rStyle w:val="ui-provider"/>
        </w:rPr>
        <w:t>a rough estimate of the cost of time spent on the report</w:t>
      </w:r>
      <w:r w:rsidR="00C111F6">
        <w:rPr>
          <w:rStyle w:val="ui-provider"/>
        </w:rPr>
        <w:t xml:space="preserve"> can be developed using assumptions</w:t>
      </w:r>
      <w:r w:rsidR="001D3D21">
        <w:rPr>
          <w:rStyle w:val="ui-provider"/>
        </w:rPr>
        <w:t>. Assumi</w:t>
      </w:r>
      <w:r w:rsidR="005A3839">
        <w:rPr>
          <w:rStyle w:val="ui-provider"/>
        </w:rPr>
        <w:t xml:space="preserve">ng </w:t>
      </w:r>
      <w:r w:rsidR="004536A7">
        <w:rPr>
          <w:rStyle w:val="ui-provider"/>
        </w:rPr>
        <w:t xml:space="preserve">a review takes 50 days </w:t>
      </w:r>
      <w:r w:rsidR="00617FCD">
        <w:rPr>
          <w:rStyle w:val="ui-provider"/>
        </w:rPr>
        <w:t>from beginning to end, that there</w:t>
      </w:r>
      <w:r w:rsidR="005A3839">
        <w:rPr>
          <w:rStyle w:val="ui-provider"/>
        </w:rPr>
        <w:t xml:space="preserve"> </w:t>
      </w:r>
      <w:r w:rsidR="00617FCD">
        <w:rPr>
          <w:rStyle w:val="ui-provider"/>
        </w:rPr>
        <w:t>are three</w:t>
      </w:r>
      <w:r w:rsidR="005A3839">
        <w:rPr>
          <w:rStyle w:val="ui-provider"/>
        </w:rPr>
        <w:t xml:space="preserve"> people </w:t>
      </w:r>
      <w:r w:rsidR="003F4934">
        <w:rPr>
          <w:rStyle w:val="ui-provider"/>
        </w:rPr>
        <w:t xml:space="preserve">conducting </w:t>
      </w:r>
      <w:r w:rsidR="00617FCD">
        <w:rPr>
          <w:rStyle w:val="ui-provider"/>
        </w:rPr>
        <w:t xml:space="preserve">the </w:t>
      </w:r>
      <w:r w:rsidR="003F4934">
        <w:rPr>
          <w:rStyle w:val="ui-provider"/>
        </w:rPr>
        <w:t>review</w:t>
      </w:r>
      <w:r w:rsidR="005A3839">
        <w:rPr>
          <w:rStyle w:val="ui-provider"/>
        </w:rPr>
        <w:t xml:space="preserve"> </w:t>
      </w:r>
      <w:r w:rsidR="00471033">
        <w:rPr>
          <w:rStyle w:val="ui-provider"/>
        </w:rPr>
        <w:t xml:space="preserve">and </w:t>
      </w:r>
      <w:r w:rsidR="00617FCD">
        <w:rPr>
          <w:rStyle w:val="ui-provider"/>
        </w:rPr>
        <w:t xml:space="preserve">that they each </w:t>
      </w:r>
      <w:r w:rsidR="00471033">
        <w:rPr>
          <w:rStyle w:val="ui-provider"/>
        </w:rPr>
        <w:t xml:space="preserve">spend 50% of their time on the review, this adds up to </w:t>
      </w:r>
      <w:r w:rsidR="004536A7">
        <w:rPr>
          <w:rStyle w:val="ui-provider"/>
        </w:rPr>
        <w:t>75 days for conducting the review.</w:t>
      </w:r>
      <w:r w:rsidR="00EA160E">
        <w:rPr>
          <w:rStyle w:val="ui-provider"/>
        </w:rPr>
        <w:t xml:space="preserve"> If there are 25 sentinel events per year, this adds up to a total of 1</w:t>
      </w:r>
      <w:r w:rsidR="008D70A4">
        <w:rPr>
          <w:rStyle w:val="ui-provider"/>
        </w:rPr>
        <w:t>,</w:t>
      </w:r>
      <w:r w:rsidR="00EA160E">
        <w:rPr>
          <w:rStyle w:val="ui-provider"/>
        </w:rPr>
        <w:t>875 days per year by HSEs conducting sentinel event reviews.</w:t>
      </w:r>
      <w:r w:rsidR="00791BDC">
        <w:rPr>
          <w:rStyle w:val="ui-provider"/>
        </w:rPr>
        <w:t xml:space="preserve"> </w:t>
      </w:r>
      <w:r w:rsidR="008C3FAD">
        <w:rPr>
          <w:rStyle w:val="ui-provider"/>
        </w:rPr>
        <w:t xml:space="preserve">A cost of time of $3,435 per </w:t>
      </w:r>
      <w:r w:rsidR="005E25BE">
        <w:rPr>
          <w:rStyle w:val="ui-provider"/>
        </w:rPr>
        <w:t>week</w:t>
      </w:r>
      <w:r w:rsidR="00CA5461">
        <w:rPr>
          <w:rStyle w:val="ui-provider"/>
        </w:rPr>
        <w:t xml:space="preserve"> (</w:t>
      </w:r>
      <w:r w:rsidR="00805CC7">
        <w:rPr>
          <w:rStyle w:val="ui-provider"/>
        </w:rPr>
        <w:t>$685 per day)</w:t>
      </w:r>
      <w:r w:rsidR="008C3FAD">
        <w:rPr>
          <w:rStyle w:val="ui-provider"/>
        </w:rPr>
        <w:t xml:space="preserve"> is assumed, </w:t>
      </w:r>
      <w:r w:rsidR="0039577D">
        <w:rPr>
          <w:rStyle w:val="ui-provider"/>
        </w:rPr>
        <w:t>based on</w:t>
      </w:r>
      <w:r w:rsidR="006C31D2">
        <w:rPr>
          <w:rStyle w:val="ui-provider"/>
        </w:rPr>
        <w:t xml:space="preserve"> ABS data for</w:t>
      </w:r>
      <w:r w:rsidR="008C3FAD">
        <w:rPr>
          <w:rStyle w:val="ui-provider"/>
        </w:rPr>
        <w:t xml:space="preserve"> </w:t>
      </w:r>
      <w:r w:rsidR="0039577D">
        <w:rPr>
          <w:rStyle w:val="ui-provider"/>
        </w:rPr>
        <w:t xml:space="preserve">average weekly blended earning </w:t>
      </w:r>
      <w:r w:rsidR="005A3839">
        <w:rPr>
          <w:rStyle w:val="ui-provider"/>
        </w:rPr>
        <w:t xml:space="preserve">earnings data of </w:t>
      </w:r>
      <w:r w:rsidR="006C31D2">
        <w:rPr>
          <w:rStyle w:val="ui-provider"/>
        </w:rPr>
        <w:t xml:space="preserve">senior </w:t>
      </w:r>
      <w:r w:rsidR="005A3839">
        <w:rPr>
          <w:rStyle w:val="ui-provider"/>
        </w:rPr>
        <w:t>professionals</w:t>
      </w:r>
      <w:r w:rsidR="006C31D2">
        <w:rPr>
          <w:rStyle w:val="ui-provider"/>
        </w:rPr>
        <w:t xml:space="preserve"> in the health profession who would be likely to be working on a sentinel event review</w:t>
      </w:r>
      <w:r w:rsidR="006C31D2">
        <w:rPr>
          <w:rStyle w:val="FootnoteReference"/>
        </w:rPr>
        <w:footnoteReference w:id="74"/>
      </w:r>
      <w:r w:rsidR="005A3839">
        <w:rPr>
          <w:rStyle w:val="ui-provider"/>
        </w:rPr>
        <w:t>. This results in an overall cost of roughly $1.</w:t>
      </w:r>
      <w:r w:rsidR="00805CC7">
        <w:rPr>
          <w:rStyle w:val="ui-provider"/>
        </w:rPr>
        <w:t>3</w:t>
      </w:r>
      <w:r w:rsidR="005A3839">
        <w:rPr>
          <w:rStyle w:val="ui-provider"/>
        </w:rPr>
        <w:t xml:space="preserve"> million p</w:t>
      </w:r>
      <w:r w:rsidR="004E4513">
        <w:rPr>
          <w:rStyle w:val="ui-provider"/>
        </w:rPr>
        <w:t>er year.</w:t>
      </w:r>
      <w:r w:rsidR="005A3839">
        <w:rPr>
          <w:rStyle w:val="ui-provider"/>
        </w:rPr>
        <w:t xml:space="preserve"> </w:t>
      </w:r>
      <w:r w:rsidR="00691434">
        <w:rPr>
          <w:rStyle w:val="ui-provider"/>
        </w:rPr>
        <w:t>While this may in some cases overestimate the time spent by members of the formal review panel</w:t>
      </w:r>
      <w:r w:rsidR="00914521">
        <w:rPr>
          <w:rStyle w:val="ui-provider"/>
        </w:rPr>
        <w:t>,</w:t>
      </w:r>
      <w:r w:rsidR="00063606">
        <w:rPr>
          <w:rStyle w:val="ui-provider"/>
        </w:rPr>
        <w:t xml:space="preserve"> it </w:t>
      </w:r>
      <w:r w:rsidR="00002385">
        <w:rPr>
          <w:rStyle w:val="ui-provider"/>
        </w:rPr>
        <w:t>will likely appropriately cover</w:t>
      </w:r>
      <w:r w:rsidR="00914521">
        <w:rPr>
          <w:rStyle w:val="ui-provider"/>
        </w:rPr>
        <w:t xml:space="preserve"> time spent by </w:t>
      </w:r>
      <w:r w:rsidR="00002385">
        <w:rPr>
          <w:rStyle w:val="ui-provider"/>
        </w:rPr>
        <w:t xml:space="preserve">(other) </w:t>
      </w:r>
      <w:r w:rsidR="00914521">
        <w:rPr>
          <w:rStyle w:val="ui-provider"/>
        </w:rPr>
        <w:t xml:space="preserve">personnel of the facility </w:t>
      </w:r>
      <w:r w:rsidR="00063606">
        <w:rPr>
          <w:rStyle w:val="ui-provider"/>
        </w:rPr>
        <w:t>who work to</w:t>
      </w:r>
      <w:r w:rsidR="00914521">
        <w:rPr>
          <w:rStyle w:val="ui-provider"/>
        </w:rPr>
        <w:t xml:space="preserve"> support the review </w:t>
      </w:r>
      <w:r w:rsidR="00063606">
        <w:rPr>
          <w:rStyle w:val="ui-provider"/>
        </w:rPr>
        <w:t>as part of their</w:t>
      </w:r>
      <w:r w:rsidR="00914521">
        <w:rPr>
          <w:rStyle w:val="ui-provider"/>
        </w:rPr>
        <w:t xml:space="preserve"> </w:t>
      </w:r>
      <w:r w:rsidR="00063606">
        <w:rPr>
          <w:rStyle w:val="ui-provider"/>
        </w:rPr>
        <w:t>role</w:t>
      </w:r>
      <w:r w:rsidR="00272D26">
        <w:rPr>
          <w:rStyle w:val="ui-provider"/>
        </w:rPr>
        <w:t xml:space="preserve"> at the facility</w:t>
      </w:r>
      <w:r w:rsidR="00914521">
        <w:rPr>
          <w:rStyle w:val="ui-provider"/>
        </w:rPr>
        <w:t xml:space="preserve">, some of which </w:t>
      </w:r>
      <w:r w:rsidR="00063606">
        <w:rPr>
          <w:rStyle w:val="ui-provider"/>
        </w:rPr>
        <w:t xml:space="preserve">time </w:t>
      </w:r>
      <w:r w:rsidR="00914521">
        <w:rPr>
          <w:rStyle w:val="ui-provider"/>
        </w:rPr>
        <w:t xml:space="preserve">may be attributable to the specific review requirements </w:t>
      </w:r>
      <w:r w:rsidR="001952ED">
        <w:rPr>
          <w:rStyle w:val="ui-provider"/>
        </w:rPr>
        <w:t>that it is proposed will be</w:t>
      </w:r>
      <w:r w:rsidR="00914521">
        <w:rPr>
          <w:rStyle w:val="ui-provider"/>
        </w:rPr>
        <w:t xml:space="preserve"> formalised in</w:t>
      </w:r>
      <w:r w:rsidR="00CE175D">
        <w:rPr>
          <w:rStyle w:val="ui-provider"/>
        </w:rPr>
        <w:t xml:space="preserve"> updates to the </w:t>
      </w:r>
      <w:r w:rsidR="00914521">
        <w:rPr>
          <w:rStyle w:val="ui-provider"/>
        </w:rPr>
        <w:t>Regulations</w:t>
      </w:r>
      <w:r w:rsidR="00691434">
        <w:rPr>
          <w:rStyle w:val="ui-provider"/>
        </w:rPr>
        <w:t xml:space="preserve">. </w:t>
      </w:r>
      <w:r w:rsidR="00831D3F">
        <w:rPr>
          <w:rStyle w:val="ui-provider"/>
        </w:rPr>
        <w:t xml:space="preserve">Given that a significant proportion of HSEs are already undertaking sentinel events using the in accordance with the </w:t>
      </w:r>
      <w:r w:rsidR="005F34EE">
        <w:rPr>
          <w:rStyle w:val="ui-provider"/>
        </w:rPr>
        <w:t>Victorian Sentinel Event Guide the cost of Option 2 is likely to be much lower</w:t>
      </w:r>
      <w:r w:rsidR="000C63A7">
        <w:rPr>
          <w:rStyle w:val="ui-provider"/>
        </w:rPr>
        <w:t>.</w:t>
      </w:r>
      <w:r w:rsidR="00691434">
        <w:rPr>
          <w:rStyle w:val="ui-provider"/>
        </w:rPr>
        <w:t xml:space="preserve"> </w:t>
      </w:r>
    </w:p>
    <w:p w14:paraId="6580F0DF" w14:textId="3D7289B4" w:rsidR="00D023C4" w:rsidRDefault="00D023C4" w:rsidP="00D023C4">
      <w:r>
        <w:t>For government, the application of only one reporting platform is expected to generate a small cost saving as information is quicker and easier to access</w:t>
      </w:r>
      <w:r w:rsidR="00497C86">
        <w:t xml:space="preserve"> and assess</w:t>
      </w:r>
      <w:r>
        <w:t xml:space="preserve">. Similarly, the introduction of more </w:t>
      </w:r>
      <w:r>
        <w:lastRenderedPageBreak/>
        <w:t>prescriptive review and reporting requirements means that it is quicker and easier for the relevant data to be collated and analysed to generate insights which inform continuous improvement.</w:t>
      </w:r>
    </w:p>
    <w:p w14:paraId="1EA58D0E" w14:textId="44C1ADC5" w:rsidR="00E509C5" w:rsidRDefault="00D023C4" w:rsidP="00D023C4">
      <w:r>
        <w:t xml:space="preserve">Overall, Option </w:t>
      </w:r>
      <w:r w:rsidR="008D4616">
        <w:t xml:space="preserve">2 </w:t>
      </w:r>
      <w:r>
        <w:t>is given a score of -3</w:t>
      </w:r>
      <w:r w:rsidR="009B365D">
        <w:t xml:space="preserve">, </w:t>
      </w:r>
      <w:r w:rsidR="009A413B">
        <w:t>slightly worse than Option 1.</w:t>
      </w:r>
    </w:p>
    <w:p w14:paraId="50211718" w14:textId="77777777" w:rsidR="00D023C4" w:rsidRDefault="00D023C4" w:rsidP="006522DF">
      <w:pPr>
        <w:pStyle w:val="Heading6"/>
        <w:ind w:left="737"/>
      </w:pPr>
      <w:r w:rsidRPr="004D6512">
        <w:t>Summary</w:t>
      </w:r>
      <w:r>
        <w:t xml:space="preserve"> of MCA scores and preferred option</w:t>
      </w:r>
    </w:p>
    <w:p w14:paraId="207FD8B9" w14:textId="4076721A" w:rsidR="00D023C4" w:rsidRPr="00F72DDD" w:rsidRDefault="00D023C4" w:rsidP="00D023C4">
      <w:pPr>
        <w:rPr>
          <w:b/>
          <w:bCs/>
        </w:rPr>
      </w:pPr>
      <w:r>
        <w:t xml:space="preserve">Table 7 presents the MCA scores for </w:t>
      </w:r>
      <w:r w:rsidR="00B16754">
        <w:t>sentinel event reporting</w:t>
      </w:r>
      <w:r w:rsidRPr="001574AD">
        <w:t>.</w:t>
      </w:r>
      <w:r w:rsidRPr="00B45E24">
        <w:rPr>
          <w:b/>
          <w:bCs/>
        </w:rPr>
        <w:t xml:space="preserve"> </w:t>
      </w:r>
      <w:r w:rsidRPr="001574AD">
        <w:rPr>
          <w:b/>
          <w:bCs/>
        </w:rPr>
        <w:t>Option 2 is the preferred option</w:t>
      </w:r>
      <w:r>
        <w:t xml:space="preserve"> as it best balances the protection of safety and quality of care of patients with costs to industry and government.</w:t>
      </w:r>
    </w:p>
    <w:p w14:paraId="36430BBE" w14:textId="5690B548" w:rsidR="00DE2729" w:rsidRDefault="00DE2729" w:rsidP="00466F45">
      <w:pPr>
        <w:pStyle w:val="Caption"/>
      </w:pPr>
      <w:r>
        <w:t xml:space="preserve">Table </w:t>
      </w:r>
      <w:fldSimple w:instr=" SEQ Table \* ARABIC ">
        <w:r>
          <w:rPr>
            <w:noProof/>
          </w:rPr>
          <w:t>7</w:t>
        </w:r>
      </w:fldSimple>
      <w:r>
        <w:t xml:space="preserve"> </w:t>
      </w:r>
      <w:r w:rsidRPr="00BA4CD8">
        <w:t>Summary of MCA scores for sentinel events reporting and review</w:t>
      </w:r>
    </w:p>
    <w:tbl>
      <w:tblPr>
        <w:tblStyle w:val="SapereTable"/>
        <w:tblW w:w="5000" w:type="pct"/>
        <w:tblLook w:val="04A0" w:firstRow="1" w:lastRow="0" w:firstColumn="1" w:lastColumn="0" w:noHBand="0" w:noVBand="1"/>
      </w:tblPr>
      <w:tblGrid>
        <w:gridCol w:w="3723"/>
        <w:gridCol w:w="1441"/>
        <w:gridCol w:w="1932"/>
        <w:gridCol w:w="1930"/>
      </w:tblGrid>
      <w:tr w:rsidR="00D023C4" w:rsidRPr="00BB32C7" w14:paraId="11B1223A" w14:textId="77777777" w:rsidTr="00347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pct"/>
          </w:tcPr>
          <w:p w14:paraId="0C9C26DD" w14:textId="77777777" w:rsidR="00D023C4" w:rsidRDefault="00D023C4"/>
        </w:tc>
        <w:tc>
          <w:tcPr>
            <w:tcW w:w="798" w:type="pct"/>
          </w:tcPr>
          <w:p w14:paraId="5D8BA59B" w14:textId="6ACB36D1" w:rsidR="00D023C4" w:rsidRPr="00C63CCD" w:rsidRDefault="005A2F80" w:rsidP="003476CD">
            <w:pPr>
              <w:jc w:val="center"/>
              <w:cnfStyle w:val="100000000000" w:firstRow="1" w:lastRow="0" w:firstColumn="0" w:lastColumn="0" w:oddVBand="0" w:evenVBand="0" w:oddHBand="0" w:evenHBand="0" w:firstRowFirstColumn="0" w:firstRowLastColumn="0" w:lastRowFirstColumn="0" w:lastRowLastColumn="0"/>
              <w:rPr>
                <w:b w:val="0"/>
              </w:rPr>
            </w:pPr>
            <w:r>
              <w:t>Base Case</w:t>
            </w:r>
          </w:p>
        </w:tc>
        <w:tc>
          <w:tcPr>
            <w:tcW w:w="1070" w:type="pct"/>
          </w:tcPr>
          <w:p w14:paraId="515D036C" w14:textId="77777777" w:rsidR="00D023C4" w:rsidRPr="00C63CCD" w:rsidRDefault="00D023C4" w:rsidP="003476CD">
            <w:pPr>
              <w:jc w:val="center"/>
              <w:cnfStyle w:val="100000000000" w:firstRow="1" w:lastRow="0" w:firstColumn="0" w:lastColumn="0" w:oddVBand="0" w:evenVBand="0" w:oddHBand="0" w:evenHBand="0" w:firstRowFirstColumn="0" w:firstRowLastColumn="0" w:lastRowFirstColumn="0" w:lastRowLastColumn="0"/>
              <w:rPr>
                <w:b w:val="0"/>
              </w:rPr>
            </w:pPr>
            <w:r w:rsidRPr="00C63CCD">
              <w:t>Option 1</w:t>
            </w:r>
          </w:p>
        </w:tc>
        <w:tc>
          <w:tcPr>
            <w:tcW w:w="1070" w:type="pct"/>
          </w:tcPr>
          <w:p w14:paraId="78593773" w14:textId="77777777" w:rsidR="00D023C4" w:rsidRPr="00C63CCD" w:rsidRDefault="00D023C4" w:rsidP="003476CD">
            <w:pPr>
              <w:jc w:val="center"/>
              <w:cnfStyle w:val="100000000000" w:firstRow="1" w:lastRow="0" w:firstColumn="0" w:lastColumn="0" w:oddVBand="0" w:evenVBand="0" w:oddHBand="0" w:evenHBand="0" w:firstRowFirstColumn="0" w:firstRowLastColumn="0" w:lastRowFirstColumn="0" w:lastRowLastColumn="0"/>
              <w:rPr>
                <w:b w:val="0"/>
              </w:rPr>
            </w:pPr>
            <w:r w:rsidRPr="00C63CCD">
              <w:t>Option 2</w:t>
            </w:r>
          </w:p>
        </w:tc>
      </w:tr>
      <w:tr w:rsidR="005A2F80" w14:paraId="33017908" w14:textId="77777777" w:rsidTr="003476CD">
        <w:trPr>
          <w:trHeight w:val="960"/>
        </w:trPr>
        <w:tc>
          <w:tcPr>
            <w:cnfStyle w:val="001000000000" w:firstRow="0" w:lastRow="0" w:firstColumn="1" w:lastColumn="0" w:oddVBand="0" w:evenVBand="0" w:oddHBand="0" w:evenHBand="0" w:firstRowFirstColumn="0" w:firstRowLastColumn="0" w:lastRowFirstColumn="0" w:lastRowLastColumn="0"/>
            <w:tcW w:w="2063" w:type="pct"/>
          </w:tcPr>
          <w:p w14:paraId="537AD0D4" w14:textId="55562583" w:rsidR="005A2F80" w:rsidRPr="005A2F80" w:rsidRDefault="005A2F80" w:rsidP="005A2F80">
            <w:pPr>
              <w:spacing w:before="40"/>
              <w:rPr>
                <w:b w:val="0"/>
                <w:color w:val="auto"/>
              </w:rPr>
            </w:pPr>
            <w:r w:rsidRPr="005A2F80">
              <w:rPr>
                <w:b w:val="0"/>
                <w:color w:val="auto"/>
              </w:rPr>
              <w:t>Protects the safety and quality of care of patients receiving health services in HSEs (50%)</w:t>
            </w:r>
          </w:p>
        </w:tc>
        <w:tc>
          <w:tcPr>
            <w:tcW w:w="798" w:type="pct"/>
          </w:tcPr>
          <w:p w14:paraId="29AA32FA" w14:textId="77777777" w:rsidR="005A2F80"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pPr>
            <w:r>
              <w:t>0</w:t>
            </w:r>
          </w:p>
        </w:tc>
        <w:tc>
          <w:tcPr>
            <w:tcW w:w="1070" w:type="pct"/>
          </w:tcPr>
          <w:p w14:paraId="0172721F" w14:textId="3AEF0136" w:rsidR="005A2F80"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pPr>
            <w:r>
              <w:t>+</w:t>
            </w:r>
            <w:r w:rsidR="00935407">
              <w:t>2</w:t>
            </w:r>
          </w:p>
        </w:tc>
        <w:tc>
          <w:tcPr>
            <w:tcW w:w="1070" w:type="pct"/>
          </w:tcPr>
          <w:p w14:paraId="1E90C5D0" w14:textId="77777777" w:rsidR="005A2F80"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pPr>
            <w:r>
              <w:t>+5</w:t>
            </w:r>
          </w:p>
        </w:tc>
      </w:tr>
      <w:tr w:rsidR="005A2F80" w14:paraId="754D7AEF" w14:textId="77777777" w:rsidTr="003476CD">
        <w:trPr>
          <w:trHeight w:val="145"/>
        </w:trPr>
        <w:tc>
          <w:tcPr>
            <w:cnfStyle w:val="001000000000" w:firstRow="0" w:lastRow="0" w:firstColumn="1" w:lastColumn="0" w:oddVBand="0" w:evenVBand="0" w:oddHBand="0" w:evenHBand="0" w:firstRowFirstColumn="0" w:firstRowLastColumn="0" w:lastRowFirstColumn="0" w:lastRowLastColumn="0"/>
            <w:tcW w:w="2063" w:type="pct"/>
          </w:tcPr>
          <w:p w14:paraId="5A8CFD49" w14:textId="00C07FDD" w:rsidR="005A2F80" w:rsidRPr="00B0617F" w:rsidRDefault="005A2F80" w:rsidP="005A2F80">
            <w:pPr>
              <w:spacing w:before="40"/>
              <w:rPr>
                <w:b w:val="0"/>
                <w:color w:val="auto"/>
              </w:rPr>
            </w:pPr>
            <w:r w:rsidRPr="00B0617F">
              <w:rPr>
                <w:b w:val="0"/>
                <w:color w:val="auto"/>
              </w:rPr>
              <w:t>Cost to HSEs; and cost to government (50%)</w:t>
            </w:r>
          </w:p>
        </w:tc>
        <w:tc>
          <w:tcPr>
            <w:tcW w:w="798" w:type="pct"/>
          </w:tcPr>
          <w:p w14:paraId="6DDDC5C0" w14:textId="77777777" w:rsidR="005A2F80" w:rsidRPr="001E347D"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rPr>
                <w:color w:val="auto"/>
              </w:rPr>
            </w:pPr>
            <w:r>
              <w:t>0</w:t>
            </w:r>
          </w:p>
        </w:tc>
        <w:tc>
          <w:tcPr>
            <w:tcW w:w="1070" w:type="pct"/>
          </w:tcPr>
          <w:p w14:paraId="6FF85261" w14:textId="3058BD78" w:rsidR="005A2F80" w:rsidRPr="001E347D"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rPr>
                <w:color w:val="auto"/>
              </w:rPr>
            </w:pPr>
            <w:r>
              <w:t>-</w:t>
            </w:r>
            <w:r w:rsidR="0040372C">
              <w:t>1</w:t>
            </w:r>
          </w:p>
        </w:tc>
        <w:tc>
          <w:tcPr>
            <w:tcW w:w="1070" w:type="pct"/>
          </w:tcPr>
          <w:p w14:paraId="247D485A" w14:textId="77777777" w:rsidR="005A2F80" w:rsidRPr="001E347D"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rPr>
                <w:color w:val="auto"/>
              </w:rPr>
            </w:pPr>
            <w:r>
              <w:t>-3</w:t>
            </w:r>
          </w:p>
        </w:tc>
      </w:tr>
      <w:tr w:rsidR="005A2F80" w14:paraId="1C90CABC" w14:textId="77777777" w:rsidTr="003476CD">
        <w:trPr>
          <w:trHeight w:val="197"/>
        </w:trPr>
        <w:tc>
          <w:tcPr>
            <w:cnfStyle w:val="001000000000" w:firstRow="0" w:lastRow="0" w:firstColumn="1" w:lastColumn="0" w:oddVBand="0" w:evenVBand="0" w:oddHBand="0" w:evenHBand="0" w:firstRowFirstColumn="0" w:firstRowLastColumn="0" w:lastRowFirstColumn="0" w:lastRowLastColumn="0"/>
            <w:tcW w:w="2063" w:type="pct"/>
          </w:tcPr>
          <w:p w14:paraId="387225A6" w14:textId="3F67FB3E" w:rsidR="005A2F80" w:rsidRPr="00B0617F" w:rsidRDefault="005A2F80" w:rsidP="005A2F80">
            <w:pPr>
              <w:spacing w:before="40"/>
              <w:rPr>
                <w:color w:val="auto"/>
              </w:rPr>
            </w:pPr>
            <w:r w:rsidRPr="00B0617F">
              <w:rPr>
                <w:color w:val="auto"/>
              </w:rPr>
              <w:t xml:space="preserve">Net weighted score </w:t>
            </w:r>
          </w:p>
        </w:tc>
        <w:tc>
          <w:tcPr>
            <w:tcW w:w="798" w:type="pct"/>
          </w:tcPr>
          <w:p w14:paraId="0E1B30D7" w14:textId="77777777" w:rsidR="005A2F80" w:rsidRPr="001E347D"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rPr>
                <w:b/>
                <w:color w:val="auto"/>
              </w:rPr>
            </w:pPr>
            <w:r w:rsidRPr="00C63CCD">
              <w:rPr>
                <w:b/>
                <w:bCs/>
              </w:rPr>
              <w:t>0</w:t>
            </w:r>
          </w:p>
        </w:tc>
        <w:tc>
          <w:tcPr>
            <w:tcW w:w="1070" w:type="pct"/>
          </w:tcPr>
          <w:p w14:paraId="442D7249" w14:textId="7B6E4251" w:rsidR="005A2F80" w:rsidRPr="001E347D"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rPr>
                <w:b/>
                <w:color w:val="auto"/>
              </w:rPr>
            </w:pPr>
            <w:r>
              <w:rPr>
                <w:b/>
                <w:bCs/>
              </w:rPr>
              <w:t>+</w:t>
            </w:r>
            <w:r w:rsidR="00C3787D">
              <w:rPr>
                <w:b/>
                <w:bCs/>
              </w:rPr>
              <w:t>0.5</w:t>
            </w:r>
          </w:p>
        </w:tc>
        <w:tc>
          <w:tcPr>
            <w:tcW w:w="1070" w:type="pct"/>
          </w:tcPr>
          <w:p w14:paraId="1E862D9E" w14:textId="77777777" w:rsidR="005A2F80" w:rsidRPr="001E347D" w:rsidRDefault="005A2F80" w:rsidP="003476CD">
            <w:pPr>
              <w:spacing w:before="40" w:after="40"/>
              <w:jc w:val="center"/>
              <w:cnfStyle w:val="000000000000" w:firstRow="0" w:lastRow="0" w:firstColumn="0" w:lastColumn="0" w:oddVBand="0" w:evenVBand="0" w:oddHBand="0" w:evenHBand="0" w:firstRowFirstColumn="0" w:firstRowLastColumn="0" w:lastRowFirstColumn="0" w:lastRowLastColumn="0"/>
              <w:rPr>
                <w:b/>
                <w:color w:val="auto"/>
              </w:rPr>
            </w:pPr>
            <w:r>
              <w:rPr>
                <w:b/>
                <w:bCs/>
              </w:rPr>
              <w:t>+1</w:t>
            </w:r>
          </w:p>
        </w:tc>
      </w:tr>
    </w:tbl>
    <w:p w14:paraId="1DD7B28A" w14:textId="221BFDA9" w:rsidR="00FE4A64" w:rsidRPr="00973A36" w:rsidRDefault="00E526A3" w:rsidP="00FE4A64">
      <w:pPr>
        <w:pStyle w:val="Heading5"/>
      </w:pPr>
      <w:bookmarkStart w:id="38" w:name="_Toc165287602"/>
      <w:r w:rsidRPr="00973A36">
        <w:lastRenderedPageBreak/>
        <w:t>Admission</w:t>
      </w:r>
      <w:r w:rsidR="00FD1AC5" w:rsidRPr="00973A36">
        <w:t>s</w:t>
      </w:r>
      <w:r w:rsidR="00740A9D" w:rsidRPr="00973A36">
        <w:t xml:space="preserve"> information and assessment</w:t>
      </w:r>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8784"/>
      </w:tblGrid>
      <w:tr w:rsidR="0032013F" w:rsidRPr="00973A36" w14:paraId="7AACB66F" w14:textId="77777777" w:rsidTr="003476CD">
        <w:trPr>
          <w:trHeight w:val="809"/>
        </w:trPr>
        <w:tc>
          <w:tcPr>
            <w:tcW w:w="8784" w:type="dxa"/>
            <w:shd w:val="clear" w:color="auto" w:fill="EEECE1" w:themeFill="background2"/>
          </w:tcPr>
          <w:p w14:paraId="45F20ECC" w14:textId="51AF3693" w:rsidR="0032013F" w:rsidRPr="00973A36" w:rsidRDefault="0032013F" w:rsidP="003476CD">
            <w:pPr>
              <w:spacing w:after="120"/>
            </w:pPr>
            <w:bookmarkStart w:id="39" w:name="_Ref161730091"/>
            <w:r w:rsidRPr="00973A36">
              <w:t>This section addresses existing lack of clarity in the current Regulations in relation to pre-admission assessments of patients.</w:t>
            </w:r>
          </w:p>
        </w:tc>
      </w:tr>
    </w:tbl>
    <w:p w14:paraId="76E921EF" w14:textId="4E67D31C" w:rsidR="00FE4A64" w:rsidRPr="00973A36" w:rsidRDefault="00FE4A64" w:rsidP="00FE4A64">
      <w:pPr>
        <w:pStyle w:val="Heading6"/>
      </w:pPr>
      <w:r w:rsidRPr="00973A36">
        <w:t>The nature and extent of the problem to be addressed</w:t>
      </w:r>
      <w:bookmarkEnd w:id="39"/>
    </w:p>
    <w:p w14:paraId="41791102" w14:textId="07FD901F" w:rsidR="00BC289F" w:rsidRPr="00973A36" w:rsidRDefault="00C94132" w:rsidP="00BC289F">
      <w:pPr>
        <w:spacing w:before="0" w:line="259" w:lineRule="auto"/>
        <w:rPr>
          <w:lang w:val="en-AU"/>
        </w:rPr>
      </w:pPr>
      <w:r w:rsidRPr="00973A36">
        <w:rPr>
          <w:lang w:val="en-AU"/>
        </w:rPr>
        <w:t xml:space="preserve">Pre-admission assessment allows for planning and management of any </w:t>
      </w:r>
      <w:r w:rsidR="00D95FD4" w:rsidRPr="00973A36">
        <w:rPr>
          <w:lang w:val="en-AU"/>
        </w:rPr>
        <w:t xml:space="preserve">identified </w:t>
      </w:r>
      <w:r w:rsidR="003F572C" w:rsidRPr="00973A36">
        <w:rPr>
          <w:lang w:val="en-AU"/>
        </w:rPr>
        <w:t xml:space="preserve">patient </w:t>
      </w:r>
      <w:r w:rsidRPr="00973A36">
        <w:rPr>
          <w:lang w:val="en-AU"/>
        </w:rPr>
        <w:t xml:space="preserve">concerns </w:t>
      </w:r>
      <w:r w:rsidR="00253068" w:rsidRPr="00973A36">
        <w:rPr>
          <w:lang w:val="en-AU"/>
        </w:rPr>
        <w:t>and/</w:t>
      </w:r>
      <w:r w:rsidRPr="00973A36">
        <w:rPr>
          <w:lang w:val="en-AU"/>
        </w:rPr>
        <w:t>or comorbidities by treating</w:t>
      </w:r>
      <w:r w:rsidR="000E245E" w:rsidRPr="00973A36">
        <w:rPr>
          <w:lang w:val="en-AU"/>
        </w:rPr>
        <w:t xml:space="preserve"> health</w:t>
      </w:r>
      <w:r w:rsidRPr="00973A36">
        <w:rPr>
          <w:lang w:val="en-AU"/>
        </w:rPr>
        <w:t xml:space="preserve"> practitioners</w:t>
      </w:r>
      <w:r w:rsidR="000E245E" w:rsidRPr="00973A36">
        <w:rPr>
          <w:lang w:val="en-AU"/>
        </w:rPr>
        <w:t>.</w:t>
      </w:r>
      <w:r w:rsidR="00512E64" w:rsidRPr="00973A36">
        <w:rPr>
          <w:rStyle w:val="FootnoteReference"/>
        </w:rPr>
        <w:footnoteReference w:id="75"/>
      </w:r>
      <w:r w:rsidR="000E245E" w:rsidRPr="00973A36">
        <w:rPr>
          <w:lang w:val="en-AU"/>
        </w:rPr>
        <w:t xml:space="preserve"> </w:t>
      </w:r>
      <w:r w:rsidR="00BC289F" w:rsidRPr="00973A36">
        <w:rPr>
          <w:lang w:val="en-AU"/>
        </w:rPr>
        <w:t xml:space="preserve">Appropriate pre-admission assessments can </w:t>
      </w:r>
      <w:r w:rsidR="00BA7D8C" w:rsidRPr="00973A36">
        <w:rPr>
          <w:lang w:val="en-AU"/>
        </w:rPr>
        <w:t xml:space="preserve">also </w:t>
      </w:r>
      <w:r w:rsidR="00BC289F" w:rsidRPr="00973A36">
        <w:rPr>
          <w:lang w:val="en-AU"/>
        </w:rPr>
        <w:t>prevent late cancellations, which can be distressing to</w:t>
      </w:r>
      <w:r w:rsidR="00DA08AD" w:rsidRPr="00973A36">
        <w:rPr>
          <w:lang w:val="en-AU"/>
        </w:rPr>
        <w:t xml:space="preserve"> the</w:t>
      </w:r>
      <w:r w:rsidR="00BC289F" w:rsidRPr="00973A36">
        <w:rPr>
          <w:lang w:val="en-AU"/>
        </w:rPr>
        <w:t xml:space="preserve"> patient and cause delays in treatment. </w:t>
      </w:r>
    </w:p>
    <w:p w14:paraId="3D79DFFF" w14:textId="6CA5F26B" w:rsidR="004245AB" w:rsidRDefault="008135B4" w:rsidP="00DB7B3F">
      <w:pPr>
        <w:spacing w:before="0" w:line="259" w:lineRule="auto"/>
        <w:rPr>
          <w:lang w:val="en-AU"/>
        </w:rPr>
      </w:pPr>
      <w:r w:rsidRPr="00973A36">
        <w:rPr>
          <w:lang w:val="en-AU"/>
        </w:rPr>
        <w:t>The f</w:t>
      </w:r>
      <w:r w:rsidR="00C94132" w:rsidRPr="00973A36">
        <w:rPr>
          <w:lang w:val="en-AU"/>
        </w:rPr>
        <w:t>ailure to</w:t>
      </w:r>
      <w:r w:rsidR="00692FB9" w:rsidRPr="00973A36">
        <w:rPr>
          <w:lang w:val="en-AU"/>
        </w:rPr>
        <w:t xml:space="preserve"> properly</w:t>
      </w:r>
      <w:r w:rsidR="00C94132" w:rsidRPr="00973A36">
        <w:rPr>
          <w:lang w:val="en-AU"/>
        </w:rPr>
        <w:t xml:space="preserve"> assess </w:t>
      </w:r>
      <w:r w:rsidRPr="00973A36">
        <w:rPr>
          <w:lang w:val="en-AU"/>
        </w:rPr>
        <w:t xml:space="preserve">a </w:t>
      </w:r>
      <w:r w:rsidR="00C94132" w:rsidRPr="00973A36">
        <w:rPr>
          <w:lang w:val="en-AU"/>
        </w:rPr>
        <w:t>patient prior to admission c</w:t>
      </w:r>
      <w:r w:rsidRPr="00973A36">
        <w:rPr>
          <w:lang w:val="en-AU"/>
        </w:rPr>
        <w:t xml:space="preserve">an </w:t>
      </w:r>
      <w:r w:rsidR="00C94132" w:rsidRPr="00973A36">
        <w:rPr>
          <w:lang w:val="en-AU"/>
        </w:rPr>
        <w:t xml:space="preserve">result in the patient </w:t>
      </w:r>
      <w:r w:rsidR="00817476" w:rsidRPr="00973A36">
        <w:rPr>
          <w:lang w:val="en-AU"/>
        </w:rPr>
        <w:t xml:space="preserve">receiving </w:t>
      </w:r>
      <w:r w:rsidR="00F772EF" w:rsidRPr="00973A36">
        <w:rPr>
          <w:lang w:val="en-AU"/>
        </w:rPr>
        <w:t>treatment</w:t>
      </w:r>
      <w:r w:rsidR="00C94132" w:rsidRPr="00973A36">
        <w:rPr>
          <w:lang w:val="en-AU"/>
        </w:rPr>
        <w:t xml:space="preserve"> without</w:t>
      </w:r>
      <w:r w:rsidRPr="00973A36">
        <w:rPr>
          <w:lang w:val="en-AU"/>
        </w:rPr>
        <w:t xml:space="preserve"> the</w:t>
      </w:r>
      <w:r w:rsidR="00C94132" w:rsidRPr="00973A36">
        <w:rPr>
          <w:lang w:val="en-AU"/>
        </w:rPr>
        <w:t xml:space="preserve"> treating </w:t>
      </w:r>
      <w:r w:rsidRPr="00973A36">
        <w:rPr>
          <w:lang w:val="en-AU"/>
        </w:rPr>
        <w:t>health practitioners</w:t>
      </w:r>
      <w:r w:rsidR="00C94132" w:rsidRPr="00973A36">
        <w:rPr>
          <w:lang w:val="en-AU"/>
        </w:rPr>
        <w:t xml:space="preserve"> being </w:t>
      </w:r>
      <w:r w:rsidRPr="00973A36">
        <w:rPr>
          <w:lang w:val="en-AU"/>
        </w:rPr>
        <w:t>prepared</w:t>
      </w:r>
      <w:r w:rsidR="00C94132" w:rsidRPr="00973A36">
        <w:rPr>
          <w:lang w:val="en-AU"/>
        </w:rPr>
        <w:t xml:space="preserve"> </w:t>
      </w:r>
      <w:r w:rsidRPr="00973A36">
        <w:rPr>
          <w:lang w:val="en-AU"/>
        </w:rPr>
        <w:t>for any</w:t>
      </w:r>
      <w:r w:rsidR="00C94132" w:rsidRPr="00973A36">
        <w:rPr>
          <w:lang w:val="en-AU"/>
        </w:rPr>
        <w:t xml:space="preserve"> significant clinical risk factors. </w:t>
      </w:r>
      <w:r w:rsidR="00303BF1" w:rsidRPr="00973A36">
        <w:rPr>
          <w:lang w:val="en-AU"/>
        </w:rPr>
        <w:t>T</w:t>
      </w:r>
      <w:r w:rsidR="00C94132" w:rsidRPr="00973A36">
        <w:rPr>
          <w:lang w:val="en-AU"/>
        </w:rPr>
        <w:t>his means that decisions about the care to be provided may be compromised and an appropriate risk management and escalation plan may not be put in place.</w:t>
      </w:r>
      <w:r w:rsidR="00BC289F" w:rsidRPr="00973A36">
        <w:rPr>
          <w:lang w:val="en-AU"/>
        </w:rPr>
        <w:t xml:space="preserve"> The absence of a pre-admission clinical assessment could</w:t>
      </w:r>
      <w:r w:rsidR="00BC289F">
        <w:rPr>
          <w:lang w:val="en-AU"/>
        </w:rPr>
        <w:t xml:space="preserve"> also result in the patient being admitted to a facility that does not have the capability to manage their risk.</w:t>
      </w:r>
    </w:p>
    <w:p w14:paraId="6A4BC5C0" w14:textId="19FF5B74" w:rsidR="00E758DE" w:rsidRDefault="00FE2B3A" w:rsidP="00E758DE">
      <w:r>
        <w:t>R</w:t>
      </w:r>
      <w:r w:rsidR="00301703">
        <w:t xml:space="preserve">egulation </w:t>
      </w:r>
      <w:r w:rsidR="003F74DD">
        <w:t>20A states that, f</w:t>
      </w:r>
      <w:r w:rsidR="00E758DE">
        <w:t xml:space="preserve">or the purpose of ensuring the quality and safety of health services provided at a </w:t>
      </w:r>
      <w:r w:rsidR="0064046B">
        <w:t>HSE</w:t>
      </w:r>
      <w:r w:rsidR="00E758DE">
        <w:t xml:space="preserve">, the proprietor of the </w:t>
      </w:r>
      <w:r w:rsidR="00F861D1">
        <w:t xml:space="preserve">HSE </w:t>
      </w:r>
      <w:r w:rsidR="00E758DE">
        <w:t xml:space="preserve">must ensure in relation to each non-emergency patient admitted to the </w:t>
      </w:r>
      <w:r w:rsidR="005A2F80">
        <w:t>HSE</w:t>
      </w:r>
      <w:r w:rsidR="00E758DE">
        <w:t xml:space="preserve"> that</w:t>
      </w:r>
      <w:r w:rsidR="002A519D">
        <w:t>:</w:t>
      </w:r>
    </w:p>
    <w:p w14:paraId="77EE53CD" w14:textId="143D0F13" w:rsidR="00E758DE" w:rsidRDefault="00E758DE" w:rsidP="00232896">
      <w:pPr>
        <w:pStyle w:val="ListParagraph"/>
        <w:numPr>
          <w:ilvl w:val="1"/>
          <w:numId w:val="21"/>
        </w:numPr>
        <w:ind w:left="709" w:hanging="283"/>
      </w:pPr>
      <w:r>
        <w:t>a pre-admission clinical risk assessment is carried out for each patient before admission</w:t>
      </w:r>
    </w:p>
    <w:p w14:paraId="0D11E5BF" w14:textId="05781A95" w:rsidR="00E758DE" w:rsidRDefault="00E758DE" w:rsidP="00232896">
      <w:pPr>
        <w:pStyle w:val="ListParagraph"/>
        <w:numPr>
          <w:ilvl w:val="1"/>
          <w:numId w:val="21"/>
        </w:numPr>
        <w:ind w:left="709" w:hanging="283"/>
      </w:pPr>
      <w:r>
        <w:t>the results of the pre-admission clinical risk assessment are recorded in writing, not less than 24 hours before admission</w:t>
      </w:r>
    </w:p>
    <w:p w14:paraId="02A7970C" w14:textId="66C67AE9" w:rsidR="00E758DE" w:rsidRDefault="00E758DE" w:rsidP="00232896">
      <w:pPr>
        <w:pStyle w:val="ListParagraph"/>
        <w:numPr>
          <w:ilvl w:val="1"/>
          <w:numId w:val="21"/>
        </w:numPr>
        <w:ind w:left="709" w:hanging="283"/>
      </w:pPr>
      <w:r>
        <w:t xml:space="preserve">the procedure for which the patient is admitted is assessed in relation to the scope of practice of the relevant registered health practitioner providing health services to that patient at the </w:t>
      </w:r>
      <w:r w:rsidR="0091224B">
        <w:t>HSE</w:t>
      </w:r>
      <w:r w:rsidR="001524AB">
        <w:t>.</w:t>
      </w:r>
    </w:p>
    <w:p w14:paraId="16393912" w14:textId="240B15C6" w:rsidR="00617BD5" w:rsidRDefault="00617BD5" w:rsidP="00617BD5">
      <w:r>
        <w:t xml:space="preserve">Requirements for pre-admission assessments in the Regulations align with </w:t>
      </w:r>
      <w:bookmarkStart w:id="40" w:name="_Hlk159092935"/>
      <w:r>
        <w:t>NSQHS</w:t>
      </w:r>
      <w:bookmarkEnd w:id="40"/>
      <w:r>
        <w:t xml:space="preserve"> Standard 5: Comprehensive Care. This Standard </w:t>
      </w:r>
      <w:r w:rsidRPr="00C4209B">
        <w:t>aims to ensure that patients receive comprehensive health care that meets their individual needs</w:t>
      </w:r>
      <w:r>
        <w:t>.</w:t>
      </w:r>
      <w:r>
        <w:rPr>
          <w:rStyle w:val="FootnoteReference"/>
        </w:rPr>
        <w:footnoteReference w:id="76"/>
      </w:r>
      <w:r>
        <w:t xml:space="preserve"> Action 5.10 states that clinicians use relevant screening processes:</w:t>
      </w:r>
    </w:p>
    <w:p w14:paraId="2C4F2D4D" w14:textId="6531970B" w:rsidR="00617BD5" w:rsidRDefault="00904A85" w:rsidP="00617BD5">
      <w:pPr>
        <w:pStyle w:val="ListParagraph"/>
        <w:numPr>
          <w:ilvl w:val="0"/>
          <w:numId w:val="12"/>
        </w:numPr>
      </w:pPr>
      <w:r>
        <w:t>o</w:t>
      </w:r>
      <w:r w:rsidR="00617BD5">
        <w:t>n presentation, during clinical examination and history taking, and when required during care</w:t>
      </w:r>
    </w:p>
    <w:p w14:paraId="74899A91" w14:textId="3A7C71B0" w:rsidR="00617BD5" w:rsidRDefault="00904A85" w:rsidP="00617BD5">
      <w:pPr>
        <w:pStyle w:val="ListParagraph"/>
        <w:numPr>
          <w:ilvl w:val="0"/>
          <w:numId w:val="12"/>
        </w:numPr>
      </w:pPr>
      <w:r>
        <w:t>t</w:t>
      </w:r>
      <w:r w:rsidR="00617BD5">
        <w:t>o identify cognitive, behavioural, mental and physical conditions, issues, and risks of harm</w:t>
      </w:r>
    </w:p>
    <w:p w14:paraId="5DFBA456" w14:textId="53224DF8" w:rsidR="00617BD5" w:rsidRDefault="00904A85" w:rsidP="00617BD5">
      <w:pPr>
        <w:pStyle w:val="ListParagraph"/>
        <w:numPr>
          <w:ilvl w:val="0"/>
          <w:numId w:val="12"/>
        </w:numPr>
      </w:pPr>
      <w:r>
        <w:t>t</w:t>
      </w:r>
      <w:r w:rsidR="00617BD5">
        <w:t>o identify social and other circumstances that may compound these risks.</w:t>
      </w:r>
    </w:p>
    <w:p w14:paraId="34981EDF" w14:textId="17D5D1B2" w:rsidR="00617BD5" w:rsidRPr="002A2CA0" w:rsidRDefault="00617BD5" w:rsidP="00617BD5">
      <w:r>
        <w:lastRenderedPageBreak/>
        <w:t>Under strategies for improvement, the Standard suggests that in Day Procedure</w:t>
      </w:r>
      <w:r w:rsidR="001E7EEC">
        <w:t xml:space="preserve"> Service</w:t>
      </w:r>
      <w:r>
        <w:t xml:space="preserve"> settings, this Action </w:t>
      </w:r>
      <w:r w:rsidRPr="002A2CA0">
        <w:t>mostly relate</w:t>
      </w:r>
      <w:r>
        <w:t>s</w:t>
      </w:r>
      <w:r w:rsidRPr="002A2CA0">
        <w:t xml:space="preserve"> to processes for pre-admission screening.</w:t>
      </w:r>
      <w:r w:rsidR="007F721A">
        <w:t xml:space="preserve"> </w:t>
      </w:r>
      <w:r w:rsidRPr="002A2CA0">
        <w:t>Action 5.11 states that clinicians comprehensively assess the conditions and risks identified through the screening process.</w:t>
      </w:r>
    </w:p>
    <w:p w14:paraId="379B2AEF" w14:textId="77777777" w:rsidR="003748C5" w:rsidRDefault="003748C5" w:rsidP="003748C5">
      <w:pPr>
        <w:rPr>
          <w:lang w:val="en-AU"/>
        </w:rPr>
      </w:pPr>
      <w:r>
        <w:t>In a survey of 20 Victorian consumers (either a patient and/or a loved one who has had an experience of a private hospital or day procedure centre), having a pre-treatment risk assessment done by an appropriately qualified person (e.g. an anaesthetist or nurse) was rated high in importance (8.7 (weighted average) on a scale of 1-10).</w:t>
      </w:r>
      <w:r>
        <w:rPr>
          <w:rStyle w:val="FootnoteReference"/>
        </w:rPr>
        <w:footnoteReference w:id="77"/>
      </w:r>
    </w:p>
    <w:p w14:paraId="460C6CCC" w14:textId="6BC422C1" w:rsidR="005A1AAF" w:rsidRDefault="00361D0E" w:rsidP="00410858">
      <w:pPr>
        <w:rPr>
          <w:lang w:val="en-AU"/>
        </w:rPr>
      </w:pPr>
      <w:r>
        <w:rPr>
          <w:lang w:val="en-AU"/>
        </w:rPr>
        <w:t xml:space="preserve">Proposed amendments </w:t>
      </w:r>
      <w:r w:rsidR="00281F3E">
        <w:rPr>
          <w:lang w:val="en-AU"/>
        </w:rPr>
        <w:t xml:space="preserve">to the Regulations </w:t>
      </w:r>
      <w:r>
        <w:rPr>
          <w:lang w:val="en-AU"/>
        </w:rPr>
        <w:t xml:space="preserve">being </w:t>
      </w:r>
      <w:r w:rsidR="00AA1392">
        <w:rPr>
          <w:lang w:val="en-AU"/>
        </w:rPr>
        <w:t>assessed in this RIS address the following problems:</w:t>
      </w:r>
    </w:p>
    <w:p w14:paraId="1CB28ACB" w14:textId="57009BB1" w:rsidR="00A061B5" w:rsidRDefault="00A061B5" w:rsidP="00A061B5">
      <w:pPr>
        <w:pStyle w:val="ListParagraph"/>
        <w:numPr>
          <w:ilvl w:val="0"/>
          <w:numId w:val="12"/>
        </w:numPr>
        <w:rPr>
          <w:lang w:val="en-AU"/>
        </w:rPr>
      </w:pPr>
      <w:r>
        <w:rPr>
          <w:lang w:val="en-AU"/>
        </w:rPr>
        <w:t xml:space="preserve">Potential lack of clarity </w:t>
      </w:r>
      <w:r w:rsidR="00A823FE">
        <w:rPr>
          <w:lang w:val="en-AU"/>
        </w:rPr>
        <w:t>in</w:t>
      </w:r>
      <w:r w:rsidR="00884B0F">
        <w:rPr>
          <w:lang w:val="en-AU"/>
        </w:rPr>
        <w:t xml:space="preserve"> the requirements </w:t>
      </w:r>
      <w:r>
        <w:rPr>
          <w:lang w:val="en-AU"/>
        </w:rPr>
        <w:t>about who must undertake a pre-admission clinical risk assessment</w:t>
      </w:r>
    </w:p>
    <w:p w14:paraId="57E552AC" w14:textId="018A7221" w:rsidR="00884B0F" w:rsidRDefault="00884B0F" w:rsidP="00A061B5">
      <w:pPr>
        <w:pStyle w:val="ListParagraph"/>
        <w:numPr>
          <w:ilvl w:val="0"/>
          <w:numId w:val="12"/>
        </w:numPr>
        <w:rPr>
          <w:lang w:val="en-AU"/>
        </w:rPr>
      </w:pPr>
      <w:r>
        <w:rPr>
          <w:lang w:val="en-AU"/>
        </w:rPr>
        <w:t xml:space="preserve">Potential lack of clarity about what </w:t>
      </w:r>
      <w:r w:rsidR="00771B23">
        <w:rPr>
          <w:lang w:val="en-AU"/>
        </w:rPr>
        <w:t>information relating to</w:t>
      </w:r>
      <w:r w:rsidR="00771B23" w:rsidRPr="00CE34C3">
        <w:rPr>
          <w:lang w:val="en-AU"/>
        </w:rPr>
        <w:t xml:space="preserve"> </w:t>
      </w:r>
      <w:r w:rsidR="00CE34C3" w:rsidRPr="00CE34C3">
        <w:rPr>
          <w:lang w:val="en-AU"/>
        </w:rPr>
        <w:t xml:space="preserve">the pre-admission clinical risk assessment </w:t>
      </w:r>
      <w:r w:rsidR="00CE34C3">
        <w:rPr>
          <w:lang w:val="en-AU"/>
        </w:rPr>
        <w:t>must be</w:t>
      </w:r>
      <w:r w:rsidR="00CE34C3" w:rsidRPr="00CE34C3">
        <w:rPr>
          <w:lang w:val="en-AU"/>
        </w:rPr>
        <w:t xml:space="preserve"> recorded</w:t>
      </w:r>
    </w:p>
    <w:p w14:paraId="4AC8C17C" w14:textId="481690F4" w:rsidR="00A061B5" w:rsidRPr="002A2CA0" w:rsidRDefault="0091224B" w:rsidP="005B2145">
      <w:pPr>
        <w:pStyle w:val="ListParagraph"/>
        <w:numPr>
          <w:ilvl w:val="0"/>
          <w:numId w:val="12"/>
        </w:numPr>
        <w:rPr>
          <w:lang w:val="en-AU"/>
        </w:rPr>
      </w:pPr>
      <w:r>
        <w:rPr>
          <w:lang w:val="en-AU"/>
        </w:rPr>
        <w:t>Pre-admission clinical risk assessment</w:t>
      </w:r>
      <w:r w:rsidR="009D7C04">
        <w:rPr>
          <w:lang w:val="en-AU"/>
        </w:rPr>
        <w:t xml:space="preserve"> requirements in regulation 20A do not apply </w:t>
      </w:r>
      <w:r w:rsidR="00752B98">
        <w:rPr>
          <w:lang w:val="en-AU"/>
        </w:rPr>
        <w:t xml:space="preserve">in instances where patients are not formally admitted to a </w:t>
      </w:r>
      <w:r w:rsidR="00EB2351">
        <w:rPr>
          <w:lang w:val="en-AU"/>
        </w:rPr>
        <w:t xml:space="preserve">health service establishment (e.g. to receive </w:t>
      </w:r>
      <w:r w:rsidR="00B735E7">
        <w:rPr>
          <w:lang w:val="en-AU"/>
        </w:rPr>
        <w:t xml:space="preserve">outpatient radiation </w:t>
      </w:r>
      <w:r w:rsidR="00EB2351">
        <w:rPr>
          <w:lang w:val="en-AU"/>
        </w:rPr>
        <w:t>oncology services</w:t>
      </w:r>
      <w:r w:rsidR="009B4D50">
        <w:rPr>
          <w:lang w:val="en-AU"/>
        </w:rPr>
        <w:t xml:space="preserve"> </w:t>
      </w:r>
      <w:r w:rsidR="00D57974">
        <w:rPr>
          <w:lang w:val="en-AU"/>
        </w:rPr>
        <w:t xml:space="preserve">or </w:t>
      </w:r>
      <w:r w:rsidR="009B4D50">
        <w:rPr>
          <w:lang w:val="en-AU"/>
        </w:rPr>
        <w:t>sedation from a mobile anaesthetist in a dentist’s surger</w:t>
      </w:r>
      <w:r w:rsidR="00C63F84">
        <w:rPr>
          <w:lang w:val="en-AU"/>
        </w:rPr>
        <w:t>y</w:t>
      </w:r>
      <w:r w:rsidR="009B4D50">
        <w:rPr>
          <w:lang w:val="en-AU"/>
        </w:rPr>
        <w:t>).</w:t>
      </w:r>
      <w:r w:rsidR="00527265">
        <w:rPr>
          <w:lang w:val="en-AU"/>
        </w:rPr>
        <w:t xml:space="preserve"> </w:t>
      </w:r>
    </w:p>
    <w:p w14:paraId="3A5DD679" w14:textId="5E763023" w:rsidR="007D1C7A" w:rsidRPr="001E347D" w:rsidRDefault="00611F96" w:rsidP="007D1C7A">
      <w:pPr>
        <w:spacing w:before="0" w:line="259" w:lineRule="auto"/>
        <w:rPr>
          <w:rStyle w:val="Strong"/>
        </w:rPr>
      </w:pPr>
      <w:r w:rsidRPr="001E347D">
        <w:rPr>
          <w:rStyle w:val="Strong"/>
        </w:rPr>
        <w:t>Staff who can undertake a pre-admission clinical</w:t>
      </w:r>
      <w:r w:rsidR="006B3C6A" w:rsidRPr="001E347D">
        <w:rPr>
          <w:rStyle w:val="Strong"/>
        </w:rPr>
        <w:t xml:space="preserve"> risk</w:t>
      </w:r>
      <w:r w:rsidR="00E539D6" w:rsidRPr="001E347D">
        <w:rPr>
          <w:rStyle w:val="Strong"/>
        </w:rPr>
        <w:t xml:space="preserve"> assessment</w:t>
      </w:r>
    </w:p>
    <w:p w14:paraId="0DC850B3" w14:textId="1B42C745" w:rsidR="00370A35" w:rsidRPr="002A2CA0" w:rsidRDefault="00B040B3" w:rsidP="00D57E1D">
      <w:pPr>
        <w:spacing w:before="0" w:line="259" w:lineRule="auto"/>
        <w:rPr>
          <w:lang w:val="en-AU"/>
        </w:rPr>
      </w:pPr>
      <w:r>
        <w:rPr>
          <w:lang w:val="en-AU"/>
        </w:rPr>
        <w:t>R</w:t>
      </w:r>
      <w:r w:rsidR="00A25970">
        <w:rPr>
          <w:lang w:val="en-AU"/>
        </w:rPr>
        <w:t xml:space="preserve">egulation 20A </w:t>
      </w:r>
      <w:r w:rsidR="00302A9B">
        <w:rPr>
          <w:lang w:val="en-AU"/>
        </w:rPr>
        <w:t>does not specify</w:t>
      </w:r>
      <w:r w:rsidR="00DF635F" w:rsidRPr="002A2CA0">
        <w:rPr>
          <w:lang w:val="en-AU"/>
        </w:rPr>
        <w:t xml:space="preserve"> who must carry out the</w:t>
      </w:r>
      <w:r w:rsidR="00F71F0B">
        <w:rPr>
          <w:lang w:val="en-AU"/>
        </w:rPr>
        <w:t xml:space="preserve"> pre-admission clinical</w:t>
      </w:r>
      <w:r w:rsidR="00DF635F" w:rsidRPr="002A2CA0">
        <w:rPr>
          <w:lang w:val="en-AU"/>
        </w:rPr>
        <w:t xml:space="preserve"> risk assessment</w:t>
      </w:r>
      <w:r>
        <w:rPr>
          <w:lang w:val="en-AU"/>
        </w:rPr>
        <w:t xml:space="preserve">. However, the </w:t>
      </w:r>
      <w:r w:rsidR="00DF635F" w:rsidRPr="002A2CA0">
        <w:rPr>
          <w:lang w:val="en-AU"/>
        </w:rPr>
        <w:t xml:space="preserve">intent of the regulation is to require </w:t>
      </w:r>
      <w:r w:rsidR="008C33EC" w:rsidRPr="002A2CA0">
        <w:rPr>
          <w:lang w:val="en-AU"/>
        </w:rPr>
        <w:t xml:space="preserve">assessments be conducted by </w:t>
      </w:r>
      <w:r w:rsidR="00370A35" w:rsidRPr="002A2CA0">
        <w:rPr>
          <w:lang w:val="en-AU"/>
        </w:rPr>
        <w:t>appropriately qualified clinical personnel</w:t>
      </w:r>
      <w:r w:rsidR="00DA59E6" w:rsidRPr="002A2CA0">
        <w:rPr>
          <w:lang w:val="en-AU"/>
        </w:rPr>
        <w:t xml:space="preserve"> to ensure patient safety</w:t>
      </w:r>
      <w:r w:rsidR="00517524" w:rsidRPr="002A2CA0">
        <w:rPr>
          <w:lang w:val="en-AU"/>
        </w:rPr>
        <w:t xml:space="preserve">, as </w:t>
      </w:r>
      <w:r w:rsidR="00867D57" w:rsidRPr="002A2CA0">
        <w:rPr>
          <w:lang w:val="en-AU"/>
        </w:rPr>
        <w:t xml:space="preserve">implied </w:t>
      </w:r>
      <w:r w:rsidR="00517524" w:rsidRPr="002A2CA0">
        <w:rPr>
          <w:lang w:val="en-AU"/>
        </w:rPr>
        <w:t>by the term “clinical” in “clinical risk assessment”</w:t>
      </w:r>
      <w:r w:rsidR="00370A35" w:rsidRPr="005B2145">
        <w:rPr>
          <w:lang w:val="en-AU"/>
        </w:rPr>
        <w:t>.</w:t>
      </w:r>
      <w:r w:rsidR="00092001" w:rsidRPr="002A2CA0">
        <w:rPr>
          <w:lang w:val="en-AU"/>
        </w:rPr>
        <w:t xml:space="preserve"> </w:t>
      </w:r>
    </w:p>
    <w:p w14:paraId="1F466ADE" w14:textId="53D314F9" w:rsidR="00754B0A" w:rsidRPr="002A2CA0" w:rsidRDefault="00643EDD" w:rsidP="004829C0">
      <w:pPr>
        <w:rPr>
          <w:lang w:val="en-AU"/>
        </w:rPr>
      </w:pPr>
      <w:r>
        <w:rPr>
          <w:lang w:val="en-AU"/>
        </w:rPr>
        <w:t>This is consistent with</w:t>
      </w:r>
      <w:r w:rsidR="00754B0A" w:rsidRPr="002A2CA0">
        <w:rPr>
          <w:lang w:val="en-AU"/>
        </w:rPr>
        <w:t xml:space="preserve"> relevant </w:t>
      </w:r>
      <w:r w:rsidR="00420DC9" w:rsidRPr="002A2CA0">
        <w:rPr>
          <w:lang w:val="en-AU"/>
        </w:rPr>
        <w:t>National S</w:t>
      </w:r>
      <w:r w:rsidR="00754B0A" w:rsidRPr="002A2CA0">
        <w:rPr>
          <w:lang w:val="en-AU"/>
        </w:rPr>
        <w:t>tandards</w:t>
      </w:r>
      <w:r>
        <w:rPr>
          <w:lang w:val="en-AU"/>
        </w:rPr>
        <w:t xml:space="preserve">, for example </w:t>
      </w:r>
      <w:r w:rsidR="004312A9" w:rsidRPr="002A2CA0">
        <w:rPr>
          <w:lang w:val="en-AU"/>
        </w:rPr>
        <w:t xml:space="preserve">Action 5.11 states that </w:t>
      </w:r>
      <w:r w:rsidR="004312A9" w:rsidRPr="002A2CA0">
        <w:rPr>
          <w:u w:val="single"/>
          <w:lang w:val="en-AU"/>
        </w:rPr>
        <w:t>clinicians comprehensively assess</w:t>
      </w:r>
      <w:r w:rsidR="004312A9" w:rsidRPr="002A2CA0">
        <w:rPr>
          <w:lang w:val="en-AU"/>
        </w:rPr>
        <w:t xml:space="preserve"> the conditions and risks identified through the screening process.</w:t>
      </w:r>
    </w:p>
    <w:p w14:paraId="7F66CE51" w14:textId="6E8F34AE" w:rsidR="002601B0" w:rsidRDefault="00E656DA" w:rsidP="004829C0">
      <w:pPr>
        <w:rPr>
          <w:lang w:val="en-AU"/>
        </w:rPr>
      </w:pPr>
      <w:r w:rsidRPr="002A2CA0">
        <w:rPr>
          <w:lang w:val="en-AU"/>
        </w:rPr>
        <w:t xml:space="preserve">The regulator reports that </w:t>
      </w:r>
      <w:r w:rsidR="00D11C72">
        <w:rPr>
          <w:lang w:val="en-AU"/>
        </w:rPr>
        <w:t xml:space="preserve">while </w:t>
      </w:r>
      <w:r w:rsidRPr="002A2CA0">
        <w:rPr>
          <w:lang w:val="en-AU"/>
        </w:rPr>
        <w:t xml:space="preserve">currently </w:t>
      </w:r>
      <w:r w:rsidR="00872F84">
        <w:rPr>
          <w:lang w:val="en-AU"/>
        </w:rPr>
        <w:t xml:space="preserve">a </w:t>
      </w:r>
      <w:r w:rsidRPr="002A2CA0">
        <w:rPr>
          <w:lang w:val="en-AU"/>
        </w:rPr>
        <w:t xml:space="preserve">relatively high </w:t>
      </w:r>
      <w:r w:rsidR="00872F84">
        <w:rPr>
          <w:lang w:val="en-AU"/>
        </w:rPr>
        <w:t>number of</w:t>
      </w:r>
      <w:r w:rsidRPr="002A2CA0">
        <w:rPr>
          <w:lang w:val="en-AU"/>
        </w:rPr>
        <w:t xml:space="preserve"> assessment</w:t>
      </w:r>
      <w:r w:rsidR="00872F84">
        <w:rPr>
          <w:lang w:val="en-AU"/>
        </w:rPr>
        <w:t>s are</w:t>
      </w:r>
      <w:r w:rsidRPr="002A2CA0">
        <w:rPr>
          <w:lang w:val="en-AU"/>
        </w:rPr>
        <w:t xml:space="preserve"> done by suitably qualified clinical personnel</w:t>
      </w:r>
      <w:r w:rsidR="00D11C72">
        <w:rPr>
          <w:lang w:val="en-AU"/>
        </w:rPr>
        <w:t>,</w:t>
      </w:r>
      <w:r w:rsidRPr="002A2CA0">
        <w:rPr>
          <w:lang w:val="en-AU"/>
        </w:rPr>
        <w:t xml:space="preserve"> </w:t>
      </w:r>
      <w:r w:rsidR="005C3B34" w:rsidRPr="002A2CA0">
        <w:rPr>
          <w:lang w:val="en-AU"/>
        </w:rPr>
        <w:t>during</w:t>
      </w:r>
      <w:r w:rsidRPr="002A2CA0">
        <w:rPr>
          <w:lang w:val="en-AU"/>
        </w:rPr>
        <w:t xml:space="preserve"> regulatory monitoring a small number of facilities </w:t>
      </w:r>
      <w:r w:rsidR="00D11C72">
        <w:rPr>
          <w:lang w:val="en-AU"/>
        </w:rPr>
        <w:t xml:space="preserve">have been identified as </w:t>
      </w:r>
      <w:r w:rsidRPr="002A2CA0">
        <w:rPr>
          <w:lang w:val="en-AU"/>
        </w:rPr>
        <w:t>not complying with the intent of the Regulation.</w:t>
      </w:r>
      <w:r w:rsidR="004829C0" w:rsidRPr="002A2CA0">
        <w:rPr>
          <w:lang w:val="en-AU"/>
        </w:rPr>
        <w:t xml:space="preserve"> For example, </w:t>
      </w:r>
      <w:r w:rsidR="000F4872" w:rsidRPr="002A2CA0">
        <w:rPr>
          <w:lang w:val="en-AU"/>
        </w:rPr>
        <w:t>the department</w:t>
      </w:r>
      <w:r w:rsidR="00B86066" w:rsidRPr="002A2CA0">
        <w:rPr>
          <w:lang w:val="en-AU"/>
        </w:rPr>
        <w:t xml:space="preserve"> </w:t>
      </w:r>
      <w:r w:rsidR="00EF38B6" w:rsidRPr="002A2CA0">
        <w:rPr>
          <w:lang w:val="en-AU"/>
        </w:rPr>
        <w:t>identified</w:t>
      </w:r>
      <w:r w:rsidR="004829C0" w:rsidRPr="002A2CA0">
        <w:rPr>
          <w:lang w:val="en-AU"/>
        </w:rPr>
        <w:t xml:space="preserve"> a</w:t>
      </w:r>
      <w:r w:rsidR="00764919" w:rsidRPr="002A2CA0">
        <w:rPr>
          <w:lang w:val="en-AU"/>
        </w:rPr>
        <w:t xml:space="preserve"> </w:t>
      </w:r>
      <w:r w:rsidR="008A6203" w:rsidRPr="002A2CA0">
        <w:rPr>
          <w:lang w:val="en-AU"/>
        </w:rPr>
        <w:t>day procedure centre</w:t>
      </w:r>
      <w:r w:rsidR="004829C0" w:rsidRPr="002A2CA0">
        <w:rPr>
          <w:lang w:val="en-AU"/>
        </w:rPr>
        <w:t xml:space="preserve"> that</w:t>
      </w:r>
      <w:r w:rsidR="00EF38B6" w:rsidRPr="002A2CA0">
        <w:rPr>
          <w:lang w:val="en-AU"/>
        </w:rPr>
        <w:t>, across multiple sites,</w:t>
      </w:r>
      <w:r w:rsidR="004829C0" w:rsidRPr="002A2CA0">
        <w:rPr>
          <w:lang w:val="en-AU"/>
        </w:rPr>
        <w:t xml:space="preserve"> </w:t>
      </w:r>
      <w:r w:rsidR="00764919" w:rsidRPr="002A2CA0">
        <w:rPr>
          <w:lang w:val="en-AU"/>
        </w:rPr>
        <w:t>used</w:t>
      </w:r>
      <w:r w:rsidR="004829C0" w:rsidRPr="002A2CA0">
        <w:rPr>
          <w:lang w:val="en-AU"/>
        </w:rPr>
        <w:t xml:space="preserve"> administration staff </w:t>
      </w:r>
      <w:r w:rsidR="00EF38B6" w:rsidRPr="002A2CA0">
        <w:rPr>
          <w:lang w:val="en-AU"/>
        </w:rPr>
        <w:t>to undertake</w:t>
      </w:r>
      <w:r w:rsidR="004829C0" w:rsidRPr="002A2CA0">
        <w:rPr>
          <w:lang w:val="en-AU"/>
        </w:rPr>
        <w:t xml:space="preserve"> pre-admission assessments.</w:t>
      </w:r>
      <w:r w:rsidR="00764919" w:rsidRPr="002A2CA0">
        <w:rPr>
          <w:lang w:val="en-AU"/>
        </w:rPr>
        <w:t xml:space="preserve"> Additionally, the regulator observed a </w:t>
      </w:r>
      <w:r w:rsidR="00537906">
        <w:rPr>
          <w:lang w:val="en-AU"/>
        </w:rPr>
        <w:t>potential risk</w:t>
      </w:r>
      <w:r w:rsidR="00537906" w:rsidRPr="002A2CA0">
        <w:rPr>
          <w:lang w:val="en-AU"/>
        </w:rPr>
        <w:t xml:space="preserve"> </w:t>
      </w:r>
      <w:r w:rsidR="00764919" w:rsidRPr="002A2CA0">
        <w:rPr>
          <w:lang w:val="en-AU"/>
        </w:rPr>
        <w:t xml:space="preserve">in the pre-admission assessment process in some </w:t>
      </w:r>
      <w:r w:rsidR="000D1806">
        <w:rPr>
          <w:lang w:val="en-AU"/>
        </w:rPr>
        <w:t>HSE</w:t>
      </w:r>
      <w:r w:rsidR="00904F79">
        <w:rPr>
          <w:lang w:val="en-AU"/>
        </w:rPr>
        <w:t>s</w:t>
      </w:r>
      <w:r w:rsidR="00764919" w:rsidRPr="002A2CA0">
        <w:rPr>
          <w:lang w:val="en-AU"/>
        </w:rPr>
        <w:t xml:space="preserve">, where the </w:t>
      </w:r>
      <w:r w:rsidR="008A6203" w:rsidRPr="002A2CA0">
        <w:rPr>
          <w:lang w:val="en-AU"/>
        </w:rPr>
        <w:t>establishment</w:t>
      </w:r>
      <w:r w:rsidR="00764919" w:rsidRPr="002A2CA0">
        <w:rPr>
          <w:lang w:val="en-AU"/>
        </w:rPr>
        <w:t xml:space="preserve"> </w:t>
      </w:r>
      <w:r w:rsidR="008A6203" w:rsidRPr="002A2CA0">
        <w:rPr>
          <w:lang w:val="en-AU"/>
        </w:rPr>
        <w:t>allowed</w:t>
      </w:r>
      <w:r w:rsidR="00764919" w:rsidRPr="002A2CA0">
        <w:rPr>
          <w:lang w:val="en-AU"/>
        </w:rPr>
        <w:t xml:space="preserve"> administrative staff</w:t>
      </w:r>
      <w:r w:rsidR="00764919" w:rsidRPr="00764919">
        <w:rPr>
          <w:lang w:val="en-AU"/>
        </w:rPr>
        <w:t xml:space="preserve"> to collect pre-admission information which </w:t>
      </w:r>
      <w:r w:rsidR="00764919">
        <w:rPr>
          <w:lang w:val="en-AU"/>
        </w:rPr>
        <w:t>wa</w:t>
      </w:r>
      <w:r w:rsidR="00764919" w:rsidRPr="00764919">
        <w:rPr>
          <w:lang w:val="en-AU"/>
        </w:rPr>
        <w:t xml:space="preserve">s then referred to a clinical person for assessment. The referral to a clinician </w:t>
      </w:r>
      <w:r w:rsidR="00764919">
        <w:rPr>
          <w:lang w:val="en-AU"/>
        </w:rPr>
        <w:t>wa</w:t>
      </w:r>
      <w:r w:rsidR="00764919" w:rsidRPr="00764919">
        <w:rPr>
          <w:lang w:val="en-AU"/>
        </w:rPr>
        <w:t xml:space="preserve">s indicated by a tick box. If the tick box </w:t>
      </w:r>
      <w:r w:rsidR="00764919">
        <w:rPr>
          <w:lang w:val="en-AU"/>
        </w:rPr>
        <w:t>wa</w:t>
      </w:r>
      <w:r w:rsidR="00764919" w:rsidRPr="00764919">
        <w:rPr>
          <w:lang w:val="en-AU"/>
        </w:rPr>
        <w:t>s not ticked, the pre-admission assessment may</w:t>
      </w:r>
      <w:r w:rsidR="00925594">
        <w:rPr>
          <w:lang w:val="en-AU"/>
        </w:rPr>
        <w:t xml:space="preserve"> not have been</w:t>
      </w:r>
      <w:r w:rsidR="00764919" w:rsidRPr="00764919">
        <w:rPr>
          <w:lang w:val="en-AU"/>
        </w:rPr>
        <w:t xml:space="preserve"> conducted by a clinician.</w:t>
      </w:r>
      <w:r w:rsidR="00925594">
        <w:rPr>
          <w:lang w:val="en-AU"/>
        </w:rPr>
        <w:t xml:space="preserve"> These two examples illustrate the need for </w:t>
      </w:r>
      <w:r w:rsidR="00F1081C">
        <w:rPr>
          <w:lang w:val="en-AU"/>
        </w:rPr>
        <w:t>appropriate processes</w:t>
      </w:r>
      <w:r w:rsidR="00AC7785">
        <w:rPr>
          <w:lang w:val="en-AU"/>
        </w:rPr>
        <w:t xml:space="preserve"> and clarifications</w:t>
      </w:r>
      <w:r w:rsidR="00F1081C">
        <w:rPr>
          <w:lang w:val="en-AU"/>
        </w:rPr>
        <w:t xml:space="preserve"> to be put in place to ensure pre-admission assessments are conducted by appropriately qualified personnel. </w:t>
      </w:r>
    </w:p>
    <w:p w14:paraId="06E4E6B5" w14:textId="77777777" w:rsidR="002601B0" w:rsidRDefault="002601B0">
      <w:pPr>
        <w:spacing w:before="0" w:line="259" w:lineRule="auto"/>
        <w:rPr>
          <w:lang w:val="en-AU"/>
        </w:rPr>
      </w:pPr>
      <w:r>
        <w:rPr>
          <w:lang w:val="en-AU"/>
        </w:rPr>
        <w:br w:type="page"/>
      </w:r>
    </w:p>
    <w:p w14:paraId="484D30BD" w14:textId="5838F6F7" w:rsidR="00254637" w:rsidRPr="001E347D" w:rsidRDefault="004C0214" w:rsidP="00DB7B3F">
      <w:pPr>
        <w:spacing w:before="0" w:line="259" w:lineRule="auto"/>
        <w:rPr>
          <w:rStyle w:val="Strong"/>
        </w:rPr>
      </w:pPr>
      <w:r w:rsidRPr="001E347D">
        <w:rPr>
          <w:rStyle w:val="Strong"/>
        </w:rPr>
        <w:lastRenderedPageBreak/>
        <w:t xml:space="preserve">Record-keeping </w:t>
      </w:r>
      <w:r w:rsidR="007D1C7A" w:rsidRPr="001E347D">
        <w:rPr>
          <w:rStyle w:val="Strong"/>
        </w:rPr>
        <w:t>requirements</w:t>
      </w:r>
    </w:p>
    <w:p w14:paraId="168A53D6" w14:textId="087028DF" w:rsidR="00DA144F" w:rsidRDefault="00C223A1" w:rsidP="00DB7B3F">
      <w:pPr>
        <w:spacing w:before="0" w:line="259" w:lineRule="auto"/>
        <w:rPr>
          <w:lang w:val="en-AU"/>
        </w:rPr>
      </w:pPr>
      <w:r w:rsidRPr="00C223A1">
        <w:rPr>
          <w:lang w:val="en-AU"/>
        </w:rPr>
        <w:t xml:space="preserve">The current Regulations require </w:t>
      </w:r>
      <w:r>
        <w:rPr>
          <w:lang w:val="en-AU"/>
        </w:rPr>
        <w:t xml:space="preserve">the </w:t>
      </w:r>
      <w:r w:rsidRPr="005B2145">
        <w:rPr>
          <w:i/>
          <w:iCs/>
          <w:lang w:val="en-AU"/>
        </w:rPr>
        <w:t>results</w:t>
      </w:r>
      <w:r>
        <w:rPr>
          <w:lang w:val="en-AU"/>
        </w:rPr>
        <w:t xml:space="preserve"> of a</w:t>
      </w:r>
      <w:r w:rsidRPr="00C223A1">
        <w:rPr>
          <w:lang w:val="en-AU"/>
        </w:rPr>
        <w:t xml:space="preserve"> pre-admission assessment to be recorded in writing, but do not </w:t>
      </w:r>
      <w:r w:rsidR="0011119B">
        <w:rPr>
          <w:lang w:val="en-AU"/>
        </w:rPr>
        <w:t xml:space="preserve">explicitly </w:t>
      </w:r>
      <w:r w:rsidRPr="00C223A1">
        <w:rPr>
          <w:lang w:val="en-AU"/>
        </w:rPr>
        <w:t>require</w:t>
      </w:r>
      <w:r w:rsidR="003011F6">
        <w:rPr>
          <w:lang w:val="en-AU"/>
        </w:rPr>
        <w:t xml:space="preserve"> any information about the matters considered and assessed</w:t>
      </w:r>
      <w:r w:rsidRPr="00C223A1">
        <w:rPr>
          <w:lang w:val="en-AU"/>
        </w:rPr>
        <w:t xml:space="preserve"> to be documented. </w:t>
      </w:r>
    </w:p>
    <w:p w14:paraId="260BB809" w14:textId="0B303F62" w:rsidR="00D25749" w:rsidRPr="009F3FF6" w:rsidRDefault="00171564" w:rsidP="009F3FF6">
      <w:r>
        <w:rPr>
          <w:lang w:val="en-AU"/>
        </w:rPr>
        <w:t>Comprehensive d</w:t>
      </w:r>
      <w:r w:rsidR="00333F48">
        <w:rPr>
          <w:lang w:val="en-AU"/>
        </w:rPr>
        <w:t>ocumentation of the assessment</w:t>
      </w:r>
      <w:r w:rsidR="009F3FF6" w:rsidRPr="009F3FF6">
        <w:t xml:space="preserve"> aligns with </w:t>
      </w:r>
      <w:r w:rsidR="003549DD">
        <w:t>the Document</w:t>
      </w:r>
      <w:r w:rsidR="00C07D2F">
        <w:t>at</w:t>
      </w:r>
      <w:r w:rsidR="00392B46">
        <w:t>ion</w:t>
      </w:r>
      <w:r w:rsidR="003549DD">
        <w:t xml:space="preserve"> of information criterion </w:t>
      </w:r>
      <w:r w:rsidR="00D94480">
        <w:t xml:space="preserve">under the Communicating for Safety Standard </w:t>
      </w:r>
      <w:r w:rsidR="00406D64">
        <w:t>in the N</w:t>
      </w:r>
      <w:r w:rsidR="004F3C08">
        <w:t xml:space="preserve">SQHS Standards </w:t>
      </w:r>
      <w:r w:rsidR="00967F1E">
        <w:t xml:space="preserve">which requires that essential information </w:t>
      </w:r>
      <w:r w:rsidR="00D94480">
        <w:t xml:space="preserve">is documented in the healthcare record to ensure patient safety. </w:t>
      </w:r>
      <w:r w:rsidR="00CC3298">
        <w:t>For documentation to support the delivery of safe, high-quality care, it should (among other things) include information about assessments, action taken, outcomes, reassessment processes (if necessary), risks, complications and changes.</w:t>
      </w:r>
      <w:r w:rsidR="009E6155">
        <w:rPr>
          <w:rStyle w:val="FootnoteReference"/>
        </w:rPr>
        <w:footnoteReference w:id="78"/>
      </w:r>
      <w:r w:rsidR="00CF2F88">
        <w:t xml:space="preserve"> </w:t>
      </w:r>
      <w:r w:rsidR="00D25749">
        <w:t>Action 6.11 under this same Standard states:</w:t>
      </w:r>
      <w:r w:rsidR="00D25749" w:rsidRPr="000D17F7">
        <w:rPr>
          <w:rStyle w:val="FootnoteReference"/>
        </w:rPr>
        <w:footnoteReference w:id="79"/>
      </w:r>
    </w:p>
    <w:p w14:paraId="7A847409" w14:textId="77777777" w:rsidR="009F3FF6" w:rsidRPr="009F3FF6" w:rsidRDefault="009F3FF6" w:rsidP="00CF7ACF">
      <w:pPr>
        <w:ind w:left="720"/>
        <w:rPr>
          <w:i/>
        </w:rPr>
      </w:pPr>
      <w:r w:rsidRPr="009F3FF6">
        <w:rPr>
          <w:i/>
        </w:rPr>
        <w:t>The health service organisation has processes to contemporaneously document information in the healthcare record, including:</w:t>
      </w:r>
    </w:p>
    <w:p w14:paraId="46646711" w14:textId="77777777" w:rsidR="009F3FF6" w:rsidRPr="009F3FF6" w:rsidRDefault="009F3FF6" w:rsidP="00CF7ACF">
      <w:pPr>
        <w:numPr>
          <w:ilvl w:val="0"/>
          <w:numId w:val="12"/>
        </w:numPr>
        <w:ind w:left="1440"/>
        <w:contextualSpacing/>
        <w:rPr>
          <w:i/>
        </w:rPr>
      </w:pPr>
      <w:r w:rsidRPr="009F3FF6">
        <w:rPr>
          <w:i/>
        </w:rPr>
        <w:t>Critical information, alerts and risks</w:t>
      </w:r>
    </w:p>
    <w:p w14:paraId="14D2E34D" w14:textId="77777777" w:rsidR="009F3FF6" w:rsidRPr="009F3FF6" w:rsidRDefault="009F3FF6" w:rsidP="00CF7ACF">
      <w:pPr>
        <w:numPr>
          <w:ilvl w:val="0"/>
          <w:numId w:val="12"/>
        </w:numPr>
        <w:ind w:left="1440"/>
        <w:contextualSpacing/>
        <w:rPr>
          <w:i/>
        </w:rPr>
      </w:pPr>
      <w:r w:rsidRPr="009F3FF6">
        <w:rPr>
          <w:i/>
        </w:rPr>
        <w:t>Reassessment processes and outcomes</w:t>
      </w:r>
    </w:p>
    <w:p w14:paraId="7966B891" w14:textId="77777777" w:rsidR="009F3FF6" w:rsidRPr="009F3FF6" w:rsidRDefault="009F3FF6" w:rsidP="00CF7ACF">
      <w:pPr>
        <w:numPr>
          <w:ilvl w:val="0"/>
          <w:numId w:val="12"/>
        </w:numPr>
        <w:ind w:left="1440"/>
        <w:contextualSpacing/>
        <w:rPr>
          <w:i/>
        </w:rPr>
      </w:pPr>
      <w:r w:rsidRPr="009F3FF6">
        <w:rPr>
          <w:i/>
        </w:rPr>
        <w:t>Changes to the care plan</w:t>
      </w:r>
      <w:r w:rsidRPr="009F3FF6">
        <w:rPr>
          <w:i/>
          <w:iCs/>
        </w:rPr>
        <w:t>.</w:t>
      </w:r>
    </w:p>
    <w:p w14:paraId="7CA56A6B" w14:textId="53C16438" w:rsidR="00967F1E" w:rsidRDefault="009F3FF6" w:rsidP="00A53700">
      <w:pPr>
        <w:spacing w:before="240"/>
        <w:rPr>
          <w:lang w:val="en-AU"/>
        </w:rPr>
      </w:pPr>
      <w:r w:rsidRPr="005B2145">
        <w:rPr>
          <w:lang w:val="en-AU"/>
        </w:rPr>
        <w:t>The intent of Action 6.11 is to ensure relevant, accurate, complete and timely information about a patient’s care is documented in the healthcare record to support safe patient care.</w:t>
      </w:r>
      <w:r w:rsidRPr="000D17F7">
        <w:rPr>
          <w:rStyle w:val="FootnoteReference"/>
        </w:rPr>
        <w:footnoteReference w:id="80"/>
      </w:r>
      <w:r w:rsidR="0091628F">
        <w:rPr>
          <w:vertAlign w:val="superscript"/>
          <w:lang w:val="en-AU"/>
        </w:rPr>
        <w:t xml:space="preserve"> </w:t>
      </w:r>
      <w:r w:rsidR="006F36E7" w:rsidRPr="005B2145">
        <w:rPr>
          <w:lang w:val="en-AU"/>
        </w:rPr>
        <w:t>To support this aim, the standard suggests that the documentation include information about assessments and outcomes.</w:t>
      </w:r>
      <w:r w:rsidR="004824C7">
        <w:rPr>
          <w:lang w:val="en-AU"/>
        </w:rPr>
        <w:t xml:space="preserve"> </w:t>
      </w:r>
      <w:r w:rsidR="00390DD8" w:rsidRPr="005B2145">
        <w:rPr>
          <w:lang w:val="en-AU"/>
        </w:rPr>
        <w:t xml:space="preserve">The strategies for improvement for </w:t>
      </w:r>
      <w:r w:rsidR="0061149F" w:rsidRPr="005B2145">
        <w:rPr>
          <w:lang w:val="en-AU"/>
        </w:rPr>
        <w:t xml:space="preserve">Action 6.11 </w:t>
      </w:r>
      <w:r w:rsidR="003627E9" w:rsidRPr="005B2145">
        <w:rPr>
          <w:lang w:val="en-AU"/>
        </w:rPr>
        <w:t xml:space="preserve">recommend that </w:t>
      </w:r>
      <w:r w:rsidR="001037C8" w:rsidRPr="005B2145">
        <w:rPr>
          <w:lang w:val="en-AU"/>
        </w:rPr>
        <w:t xml:space="preserve">documents provide enough information </w:t>
      </w:r>
      <w:r w:rsidR="00225790" w:rsidRPr="005B2145">
        <w:rPr>
          <w:lang w:val="en-AU"/>
        </w:rPr>
        <w:t>and justifica</w:t>
      </w:r>
      <w:r w:rsidR="0047311A" w:rsidRPr="005B2145">
        <w:rPr>
          <w:lang w:val="en-AU"/>
        </w:rPr>
        <w:t>tion to explain recommendations and instructions (actions to be taken and why), rather than just listing them.</w:t>
      </w:r>
    </w:p>
    <w:p w14:paraId="3725AAAE" w14:textId="503283C5" w:rsidR="00553383" w:rsidRPr="005B2145" w:rsidRDefault="00BD0F81" w:rsidP="00BE7C4C">
      <w:pPr>
        <w:rPr>
          <w:lang w:val="en-AU"/>
        </w:rPr>
      </w:pPr>
      <w:r>
        <w:rPr>
          <w:lang w:val="en-AU"/>
        </w:rPr>
        <w:t xml:space="preserve">It is understood that </w:t>
      </w:r>
      <w:r w:rsidR="0039002B">
        <w:rPr>
          <w:lang w:val="en-AU"/>
        </w:rPr>
        <w:t xml:space="preserve">comprehensive </w:t>
      </w:r>
      <w:r w:rsidR="00E41FDC">
        <w:rPr>
          <w:lang w:val="en-AU"/>
        </w:rPr>
        <w:t>document</w:t>
      </w:r>
      <w:r w:rsidR="0039002B">
        <w:rPr>
          <w:lang w:val="en-AU"/>
        </w:rPr>
        <w:t>ation</w:t>
      </w:r>
      <w:r w:rsidR="00E41FDC">
        <w:rPr>
          <w:lang w:val="en-AU"/>
        </w:rPr>
        <w:t xml:space="preserve"> </w:t>
      </w:r>
      <w:r w:rsidR="00900559">
        <w:rPr>
          <w:lang w:val="en-AU"/>
        </w:rPr>
        <w:t xml:space="preserve">of </w:t>
      </w:r>
      <w:r w:rsidR="007A7E84">
        <w:rPr>
          <w:lang w:val="en-AU"/>
        </w:rPr>
        <w:t xml:space="preserve">clinical </w:t>
      </w:r>
      <w:r w:rsidR="00E41FDC">
        <w:rPr>
          <w:lang w:val="en-AU"/>
        </w:rPr>
        <w:t>assessment</w:t>
      </w:r>
      <w:r w:rsidR="007A7E84">
        <w:rPr>
          <w:lang w:val="en-AU"/>
        </w:rPr>
        <w:t>s</w:t>
      </w:r>
      <w:r w:rsidR="00E41FDC">
        <w:rPr>
          <w:lang w:val="en-AU"/>
        </w:rPr>
        <w:t xml:space="preserve"> is current practice for many </w:t>
      </w:r>
      <w:r w:rsidR="00CF1BF0">
        <w:rPr>
          <w:lang w:val="en-AU"/>
        </w:rPr>
        <w:t xml:space="preserve">HSEs, but regulatory monitoring has identified some </w:t>
      </w:r>
      <w:r w:rsidR="00791812">
        <w:rPr>
          <w:lang w:val="en-AU"/>
        </w:rPr>
        <w:t>instance</w:t>
      </w:r>
      <w:r w:rsidR="00742FA7">
        <w:rPr>
          <w:lang w:val="en-AU"/>
        </w:rPr>
        <w:t>s</w:t>
      </w:r>
      <w:r w:rsidR="00791812">
        <w:rPr>
          <w:lang w:val="en-AU"/>
        </w:rPr>
        <w:t xml:space="preserve"> where this has not been the case</w:t>
      </w:r>
      <w:r w:rsidR="00755B31">
        <w:rPr>
          <w:lang w:val="en-AU"/>
        </w:rPr>
        <w:t xml:space="preserve"> and clarification of the requirement in the regulation </w:t>
      </w:r>
      <w:r w:rsidR="00E06B1F">
        <w:rPr>
          <w:lang w:val="en-AU"/>
        </w:rPr>
        <w:t xml:space="preserve">would assist with further </w:t>
      </w:r>
      <w:r w:rsidR="009277E7">
        <w:rPr>
          <w:lang w:val="en-AU"/>
        </w:rPr>
        <w:t>compliance</w:t>
      </w:r>
      <w:r w:rsidR="00E06B1F">
        <w:rPr>
          <w:lang w:val="en-AU"/>
        </w:rPr>
        <w:t xml:space="preserve"> </w:t>
      </w:r>
      <w:r w:rsidR="009277E7">
        <w:rPr>
          <w:lang w:val="en-AU"/>
        </w:rPr>
        <w:t>monitoring and enforcement</w:t>
      </w:r>
      <w:r w:rsidR="00791812">
        <w:rPr>
          <w:lang w:val="en-AU"/>
        </w:rPr>
        <w:t>.</w:t>
      </w:r>
    </w:p>
    <w:p w14:paraId="35537B4A" w14:textId="354107AD" w:rsidR="007D1C7A" w:rsidRPr="001E347D" w:rsidRDefault="007D1C7A" w:rsidP="005B2145">
      <w:pPr>
        <w:rPr>
          <w:rStyle w:val="Strong"/>
        </w:rPr>
      </w:pPr>
      <w:r w:rsidRPr="001E347D">
        <w:rPr>
          <w:rStyle w:val="Strong"/>
        </w:rPr>
        <w:t>Site coverage requirements</w:t>
      </w:r>
    </w:p>
    <w:p w14:paraId="6AB6A641" w14:textId="5A0F63BF" w:rsidR="003D49A8" w:rsidRDefault="003D49A8" w:rsidP="003D49A8">
      <w:pPr>
        <w:spacing w:before="0"/>
      </w:pPr>
      <w:r>
        <w:t>Patients can receive prescribed speciality health services delivered by a</w:t>
      </w:r>
      <w:r w:rsidR="00001642">
        <w:t xml:space="preserve"> registered</w:t>
      </w:r>
      <w:r>
        <w:t xml:space="preserve"> mobile health service provider e.g. anaesthesia and IV sedation delivered by a mobile anaesthetist. </w:t>
      </w:r>
      <w:r w:rsidR="00B574C8">
        <w:t>In 2021-22</w:t>
      </w:r>
      <w:r w:rsidR="004D0FD0">
        <w:t>, a total of 6</w:t>
      </w:r>
      <w:r w:rsidR="00791812">
        <w:t>,</w:t>
      </w:r>
      <w:r w:rsidR="004D0FD0">
        <w:t xml:space="preserve">036 patients received </w:t>
      </w:r>
      <w:r w:rsidR="00E31B19">
        <w:t>services from a mobile health service provider.</w:t>
      </w:r>
      <w:r w:rsidR="00A66E15">
        <w:rPr>
          <w:rStyle w:val="FootnoteReference"/>
        </w:rPr>
        <w:footnoteReference w:id="81"/>
      </w:r>
      <w:r w:rsidR="00E31B19">
        <w:t xml:space="preserve"> </w:t>
      </w:r>
      <w:r>
        <w:t>These mobile services can be delivered in settings that are not a registered day procedure centre or private hospital, such as a dental or radiology facility. In these situations, patients are not ‘admitted’. As a result, the requirement to do a pre-admission clinical risk assessment under r</w:t>
      </w:r>
      <w:r w:rsidR="00AF1FAB">
        <w:t xml:space="preserve">egulation </w:t>
      </w:r>
      <w:r>
        <w:t xml:space="preserve">20A does not apply. </w:t>
      </w:r>
    </w:p>
    <w:p w14:paraId="34609033" w14:textId="61DC60CA" w:rsidR="00D4747D" w:rsidRDefault="00AF1FAB" w:rsidP="00A13DEF">
      <w:pPr>
        <w:spacing w:before="0"/>
      </w:pPr>
      <w:r>
        <w:lastRenderedPageBreak/>
        <w:t xml:space="preserve">While </w:t>
      </w:r>
      <w:r w:rsidR="000F4872">
        <w:t>the department</w:t>
      </w:r>
      <w:r w:rsidR="00B86066">
        <w:t xml:space="preserve"> reports high levels of compliance by registered mobile services</w:t>
      </w:r>
      <w:r w:rsidR="00C90602">
        <w:t xml:space="preserve"> with respect to </w:t>
      </w:r>
      <w:r w:rsidR="00001642">
        <w:t>clinical assessment</w:t>
      </w:r>
      <w:r w:rsidR="00C90602">
        <w:t xml:space="preserve"> requirements</w:t>
      </w:r>
      <w:r>
        <w:t>,</w:t>
      </w:r>
      <w:r w:rsidR="00C90602">
        <w:t xml:space="preserve"> </w:t>
      </w:r>
      <w:r w:rsidR="00A375A1">
        <w:t>the department understands</w:t>
      </w:r>
      <w:r w:rsidR="00DD15C7">
        <w:t xml:space="preserve"> there may be a small number of </w:t>
      </w:r>
      <w:r w:rsidR="00B86066">
        <w:t>registered facilities who may be interpreting this provision as not applying to patients treated at those sites.</w:t>
      </w:r>
    </w:p>
    <w:p w14:paraId="0EE528C0" w14:textId="416D23A6" w:rsidR="000765F1" w:rsidRPr="005B2145" w:rsidRDefault="00D52A1E" w:rsidP="00A13DEF">
      <w:pPr>
        <w:spacing w:before="0"/>
      </w:pPr>
      <w:r>
        <w:t xml:space="preserve">There are also </w:t>
      </w:r>
      <w:r w:rsidR="00DC1B97">
        <w:t xml:space="preserve">situations where patients receive a prescribed health service at a registered </w:t>
      </w:r>
      <w:r w:rsidR="00001642">
        <w:t xml:space="preserve">premises </w:t>
      </w:r>
      <w:r w:rsidR="00DC1B97">
        <w:t>but they are not formally ‘admitted’</w:t>
      </w:r>
      <w:r w:rsidR="000825DA">
        <w:t xml:space="preserve"> – for example, </w:t>
      </w:r>
      <w:r w:rsidR="00B25087">
        <w:t xml:space="preserve">patients receiving </w:t>
      </w:r>
      <w:r w:rsidR="00001642">
        <w:t xml:space="preserve">outpatient radiation </w:t>
      </w:r>
      <w:r w:rsidR="00B25087">
        <w:t xml:space="preserve">oncology treatments. This </w:t>
      </w:r>
      <w:r w:rsidR="00DC1B97">
        <w:t xml:space="preserve">means that the </w:t>
      </w:r>
      <w:r w:rsidR="00B43D0E">
        <w:t xml:space="preserve">requirement </w:t>
      </w:r>
      <w:r w:rsidR="00335200">
        <w:t>to conduct</w:t>
      </w:r>
      <w:r w:rsidR="00B43D0E">
        <w:t xml:space="preserve"> a </w:t>
      </w:r>
      <w:r w:rsidR="00B91F5B">
        <w:t>pre-</w:t>
      </w:r>
      <w:r w:rsidR="00B91F5B" w:rsidRPr="009310F4">
        <w:rPr>
          <w:i/>
          <w:iCs/>
        </w:rPr>
        <w:t>admission</w:t>
      </w:r>
      <w:r w:rsidR="00B91F5B">
        <w:t xml:space="preserve"> </w:t>
      </w:r>
      <w:r w:rsidR="00B43D0E">
        <w:t xml:space="preserve">risk assessment under </w:t>
      </w:r>
      <w:r w:rsidR="00DC1B97">
        <w:t>regulation</w:t>
      </w:r>
      <w:r w:rsidR="0036008D">
        <w:t xml:space="preserve"> 20A</w:t>
      </w:r>
      <w:r w:rsidR="00D405A3">
        <w:t xml:space="preserve"> would not apply</w:t>
      </w:r>
      <w:r w:rsidR="00B43D0E">
        <w:t>.</w:t>
      </w:r>
      <w:r w:rsidR="0036008D">
        <w:t xml:space="preserve"> </w:t>
      </w:r>
      <w:r w:rsidR="00763BE1">
        <w:t xml:space="preserve">The proposed </w:t>
      </w:r>
      <w:r w:rsidR="00616BF1">
        <w:t>amendment would</w:t>
      </w:r>
      <w:r w:rsidR="00760940">
        <w:t xml:space="preserve"> </w:t>
      </w:r>
      <w:r w:rsidR="00763BE1">
        <w:t xml:space="preserve">address this </w:t>
      </w:r>
      <w:r w:rsidR="00B15F22">
        <w:t>unintended gap.</w:t>
      </w:r>
    </w:p>
    <w:p w14:paraId="0B1DC317" w14:textId="5A8C270D" w:rsidR="00FE4A64" w:rsidRDefault="00FE4A64" w:rsidP="00FE4A64">
      <w:pPr>
        <w:pStyle w:val="Heading6"/>
      </w:pPr>
      <w:r>
        <w:t>Identification of options</w:t>
      </w:r>
    </w:p>
    <w:p w14:paraId="0FD2072D" w14:textId="37DEAF72" w:rsidR="009D3896" w:rsidRDefault="009D3896" w:rsidP="009D3896">
      <w:pPr>
        <w:pStyle w:val="Heading7"/>
      </w:pPr>
      <w:r>
        <w:t xml:space="preserve">The </w:t>
      </w:r>
      <w:r w:rsidR="005A2F80">
        <w:t>Base Case</w:t>
      </w:r>
    </w:p>
    <w:p w14:paraId="0769F735" w14:textId="4CC48E69" w:rsidR="00AE054C" w:rsidRDefault="00ED13B3" w:rsidP="00AE054C">
      <w:r w:rsidRPr="00ED13B3">
        <w:t xml:space="preserve">The </w:t>
      </w:r>
      <w:r w:rsidR="005A2F80">
        <w:t>Base Case</w:t>
      </w:r>
      <w:r w:rsidRPr="00ED13B3">
        <w:t xml:space="preserve"> is no regulations. </w:t>
      </w:r>
      <w:r w:rsidR="001E3D38">
        <w:t>HSEs</w:t>
      </w:r>
      <w:r w:rsidR="00AE054C">
        <w:t xml:space="preserve"> would still be required to be accredited to the NSQHS standards, under Section 107 of the Act</w:t>
      </w:r>
      <w:r w:rsidR="007E773D">
        <w:t xml:space="preserve">, so will be </w:t>
      </w:r>
      <w:r w:rsidR="00A450D9">
        <w:t>assessed against</w:t>
      </w:r>
      <w:r w:rsidR="0092739D">
        <w:t xml:space="preserve"> </w:t>
      </w:r>
      <w:r w:rsidR="00CC3417">
        <w:t xml:space="preserve">relevant </w:t>
      </w:r>
      <w:r w:rsidR="00D65F9D">
        <w:t>actions relating to</w:t>
      </w:r>
      <w:r w:rsidR="00A11D68">
        <w:t xml:space="preserve"> </w:t>
      </w:r>
      <w:r w:rsidR="00D65F9D">
        <w:t>pre</w:t>
      </w:r>
      <w:r w:rsidR="00A11D68">
        <w:t>-</w:t>
      </w:r>
      <w:r w:rsidR="00D65F9D">
        <w:t xml:space="preserve">admission clinical risk assessments and documentation of information </w:t>
      </w:r>
      <w:r w:rsidR="00CC3417">
        <w:t xml:space="preserve">that are included </w:t>
      </w:r>
      <w:r w:rsidR="00D65F9D">
        <w:t>in the Standards</w:t>
      </w:r>
      <w:r w:rsidR="00CC3417">
        <w:t>, as part of obtaining and maintaining accreditation</w:t>
      </w:r>
      <w:r w:rsidR="00D65F9D">
        <w:t xml:space="preserve">. </w:t>
      </w:r>
    </w:p>
    <w:p w14:paraId="073D6607" w14:textId="142098FE" w:rsidR="009D3896" w:rsidRDefault="009D3896" w:rsidP="009D3896">
      <w:pPr>
        <w:pStyle w:val="Heading7"/>
      </w:pPr>
      <w:r>
        <w:t xml:space="preserve">Option 1: </w:t>
      </w:r>
      <w:r w:rsidR="004B6E09">
        <w:t>Remake</w:t>
      </w:r>
      <w:r>
        <w:t xml:space="preserve"> current regulations</w:t>
      </w:r>
    </w:p>
    <w:p w14:paraId="597FCFBE" w14:textId="44938F60" w:rsidR="00792119" w:rsidRDefault="00577116" w:rsidP="00792119">
      <w:r>
        <w:t xml:space="preserve">Section </w:t>
      </w:r>
      <w:r w:rsidR="009C50B1">
        <w:t>20</w:t>
      </w:r>
      <w:r>
        <w:t>A of the Regulations would be remade</w:t>
      </w:r>
      <w:r w:rsidR="00CC246F">
        <w:t>. Under Section 107 of the Act</w:t>
      </w:r>
      <w:r w:rsidR="00F967D3">
        <w:t>,</w:t>
      </w:r>
      <w:r w:rsidR="00CC246F">
        <w:t xml:space="preserve"> </w:t>
      </w:r>
      <w:r w:rsidR="00186FEE">
        <w:t xml:space="preserve">HSEs would still be required to be accredited to the NSQHS standards. </w:t>
      </w:r>
    </w:p>
    <w:p w14:paraId="17518484" w14:textId="77777777" w:rsidR="009D3896" w:rsidRDefault="009D3896" w:rsidP="009D3896">
      <w:pPr>
        <w:pStyle w:val="Heading7"/>
      </w:pPr>
      <w:r>
        <w:t>Option 2: proposed regulations</w:t>
      </w:r>
    </w:p>
    <w:p w14:paraId="54287A5C" w14:textId="2D9D3679" w:rsidR="009D3896" w:rsidRDefault="009D3896" w:rsidP="009D3896">
      <w:r>
        <w:t>Reg</w:t>
      </w:r>
      <w:r w:rsidR="00792119">
        <w:t>ulation</w:t>
      </w:r>
      <w:r>
        <w:t xml:space="preserve"> 20A </w:t>
      </w:r>
      <w:r w:rsidR="00BD32B7">
        <w:t>would be</w:t>
      </w:r>
      <w:r>
        <w:t xml:space="preserve"> </w:t>
      </w:r>
      <w:r w:rsidR="00B45559">
        <w:t xml:space="preserve">remade </w:t>
      </w:r>
      <w:r w:rsidR="00A52AD6">
        <w:t>with the following amendment</w:t>
      </w:r>
      <w:r w:rsidR="00D869D7">
        <w:t>s</w:t>
      </w:r>
      <w:r>
        <w:t>:</w:t>
      </w:r>
    </w:p>
    <w:p w14:paraId="2FEB07EB" w14:textId="518FD277" w:rsidR="009D3896" w:rsidRDefault="009D3896" w:rsidP="00232896">
      <w:pPr>
        <w:pStyle w:val="ListParagraph"/>
        <w:numPr>
          <w:ilvl w:val="0"/>
          <w:numId w:val="12"/>
        </w:numPr>
      </w:pPr>
      <w:r>
        <w:t xml:space="preserve">clarify the </w:t>
      </w:r>
      <w:r w:rsidR="00A52AD6">
        <w:t xml:space="preserve">pre-admission clinical risk </w:t>
      </w:r>
      <w:r>
        <w:t>assessment must be completed by a registered health practitioner</w:t>
      </w:r>
    </w:p>
    <w:p w14:paraId="669B9CCF" w14:textId="390BF2AD" w:rsidR="00EF53CA" w:rsidRDefault="00902D72" w:rsidP="00232896">
      <w:pPr>
        <w:pStyle w:val="ListParagraph"/>
        <w:numPr>
          <w:ilvl w:val="0"/>
          <w:numId w:val="12"/>
        </w:numPr>
      </w:pPr>
      <w:r>
        <w:t xml:space="preserve">require </w:t>
      </w:r>
      <w:r w:rsidR="00B25BAD">
        <w:t>the matters considered and assessed in the</w:t>
      </w:r>
      <w:r>
        <w:t xml:space="preserve"> pre-admission </w:t>
      </w:r>
      <w:r w:rsidR="00BD4872">
        <w:t xml:space="preserve">clinical risk </w:t>
      </w:r>
      <w:r>
        <w:t xml:space="preserve">assessment to be recorded (not just the </w:t>
      </w:r>
      <w:r w:rsidR="00613919">
        <w:t>results</w:t>
      </w:r>
      <w:r>
        <w:t>)</w:t>
      </w:r>
    </w:p>
    <w:p w14:paraId="7ADB9440" w14:textId="17388C88" w:rsidR="00EF53CA" w:rsidRPr="00AB6BC3" w:rsidRDefault="00EF53CA" w:rsidP="00232896">
      <w:pPr>
        <w:pStyle w:val="ListParagraph"/>
        <w:numPr>
          <w:ilvl w:val="0"/>
          <w:numId w:val="12"/>
        </w:numPr>
      </w:pPr>
      <w:r>
        <w:t xml:space="preserve">clarify that for a </w:t>
      </w:r>
      <w:r w:rsidR="00430171">
        <w:t>HSE</w:t>
      </w:r>
      <w:r>
        <w:t xml:space="preserve"> that does not formally admit patients</w:t>
      </w:r>
      <w:r w:rsidR="0049065E">
        <w:t>,</w:t>
      </w:r>
      <w:r>
        <w:t xml:space="preserve"> but which provides prescribed services, a </w:t>
      </w:r>
      <w:r w:rsidR="00613919">
        <w:t>pre-</w:t>
      </w:r>
      <w:r w:rsidR="000C226E">
        <w:t>presentation</w:t>
      </w:r>
      <w:r w:rsidR="00613919">
        <w:t xml:space="preserve"> </w:t>
      </w:r>
      <w:r>
        <w:t xml:space="preserve">clinical </w:t>
      </w:r>
      <w:r w:rsidR="00613919">
        <w:t xml:space="preserve">risk </w:t>
      </w:r>
      <w:r>
        <w:t>assessment must be completed and recorded at least 24 hours prior</w:t>
      </w:r>
      <w:r w:rsidR="004D6ABA">
        <w:t>.</w:t>
      </w:r>
    </w:p>
    <w:p w14:paraId="54D36066" w14:textId="77777777" w:rsidR="00EF53CA" w:rsidRDefault="00EF53CA" w:rsidP="00EF53CA">
      <w:pPr>
        <w:pStyle w:val="Heading6"/>
      </w:pPr>
      <w:r>
        <w:t>Assessing the options</w:t>
      </w:r>
    </w:p>
    <w:p w14:paraId="04F62878" w14:textId="77777777" w:rsidR="00E456A5" w:rsidRPr="00506089" w:rsidRDefault="00E456A5" w:rsidP="00E456A5">
      <w:r>
        <w:t>The section assesses the options against the criteria outlined in chapter 4.</w:t>
      </w:r>
    </w:p>
    <w:p w14:paraId="727B2FF3" w14:textId="77777777" w:rsidR="00E456A5" w:rsidRDefault="00E456A5" w:rsidP="006522DF">
      <w:pPr>
        <w:pStyle w:val="Heading7"/>
      </w:pPr>
      <w:r w:rsidRPr="0076112E">
        <w:t xml:space="preserve">Protects the safety and quality of care of patients receiving health services in </w:t>
      </w:r>
      <w:r>
        <w:t>HSEs</w:t>
      </w:r>
    </w:p>
    <w:p w14:paraId="7AEB6B7E" w14:textId="507FDE33" w:rsidR="00E456A5" w:rsidRPr="001E347D" w:rsidRDefault="005A2F80" w:rsidP="00E456A5">
      <w:pPr>
        <w:rPr>
          <w:rStyle w:val="Strong"/>
        </w:rPr>
      </w:pPr>
      <w:r w:rsidRPr="001E347D">
        <w:rPr>
          <w:rStyle w:val="Strong"/>
        </w:rPr>
        <w:t>Base Case</w:t>
      </w:r>
    </w:p>
    <w:p w14:paraId="205E56BD" w14:textId="76140A73" w:rsidR="00403327" w:rsidRPr="005B2145" w:rsidRDefault="00790812" w:rsidP="00040C43">
      <w:r>
        <w:lastRenderedPageBreak/>
        <w:t>T</w:t>
      </w:r>
      <w:r w:rsidR="00503DF2">
        <w:t xml:space="preserve">here will be no regulation requiring </w:t>
      </w:r>
      <w:r w:rsidR="00D71E2F">
        <w:t xml:space="preserve">a pre-admission clinical risk assessment to be </w:t>
      </w:r>
      <w:r w:rsidR="001E5462">
        <w:t>carried out and recorded in wri</w:t>
      </w:r>
      <w:r>
        <w:t xml:space="preserve">ting, however </w:t>
      </w:r>
      <w:r w:rsidRPr="00790812">
        <w:t xml:space="preserve">NSQHS Standards </w:t>
      </w:r>
      <w:r w:rsidR="0091003A">
        <w:t xml:space="preserve">will apply. </w:t>
      </w:r>
      <w:r w:rsidR="00DB6116">
        <w:t xml:space="preserve">There would still be drivers for HSEs to have pre-admissions processes in place, however </w:t>
      </w:r>
      <w:r w:rsidR="00B57CB8">
        <w:t xml:space="preserve">there might be some </w:t>
      </w:r>
      <w:r w:rsidR="007D7418">
        <w:t xml:space="preserve">HSEs </w:t>
      </w:r>
      <w:r w:rsidR="00B57CB8">
        <w:t xml:space="preserve">that </w:t>
      </w:r>
      <w:r w:rsidR="00ED76A6">
        <w:t xml:space="preserve">would not </w:t>
      </w:r>
      <w:r w:rsidR="00AD67D3">
        <w:t xml:space="preserve">meet the expected standard </w:t>
      </w:r>
      <w:r w:rsidR="00B57CB8">
        <w:t xml:space="preserve">in the absence of an explicit requirement in the Regulations. </w:t>
      </w:r>
      <w:r w:rsidR="006D0776">
        <w:t>T</w:t>
      </w:r>
      <w:r w:rsidR="00DB6116">
        <w:t xml:space="preserve">he department’s </w:t>
      </w:r>
      <w:r w:rsidR="006D0776">
        <w:t xml:space="preserve">capability to </w:t>
      </w:r>
      <w:r w:rsidR="00DB6116">
        <w:t xml:space="preserve">monitor and enforce capabilities would be reduced in the absence of </w:t>
      </w:r>
      <w:r w:rsidR="003A31BB">
        <w:t>the regulations.</w:t>
      </w:r>
    </w:p>
    <w:p w14:paraId="0B79F5CE" w14:textId="2FD51A9E" w:rsidR="006039A3" w:rsidRDefault="00403327" w:rsidP="00403327">
      <w:r w:rsidRPr="005B2145">
        <w:t xml:space="preserve">The </w:t>
      </w:r>
      <w:r w:rsidR="005A2F80">
        <w:t>Base Case</w:t>
      </w:r>
      <w:r w:rsidRPr="005B2145">
        <w:t xml:space="preserve"> is scored 0.</w:t>
      </w:r>
    </w:p>
    <w:p w14:paraId="3DEDE01A" w14:textId="77777777" w:rsidR="00E456A5" w:rsidRPr="001E347D" w:rsidRDefault="00E456A5" w:rsidP="007A0C89">
      <w:pPr>
        <w:keepNext/>
        <w:rPr>
          <w:rStyle w:val="Strong"/>
        </w:rPr>
      </w:pPr>
      <w:r w:rsidRPr="001E347D">
        <w:rPr>
          <w:rStyle w:val="Strong"/>
        </w:rPr>
        <w:t>Option 1</w:t>
      </w:r>
    </w:p>
    <w:p w14:paraId="4E60C19E" w14:textId="3B347816" w:rsidR="00C21564" w:rsidRDefault="0070062D" w:rsidP="00C21564">
      <w:r>
        <w:t>Requiring</w:t>
      </w:r>
      <w:r w:rsidR="004D2E96" w:rsidRPr="004D2E96">
        <w:t xml:space="preserve"> a pre-admission clinical risk assessment </w:t>
      </w:r>
      <w:r w:rsidR="00CD137F">
        <w:t>in</w:t>
      </w:r>
      <w:r>
        <w:t xml:space="preserve"> the Regulations </w:t>
      </w:r>
      <w:r w:rsidR="0068096C">
        <w:t xml:space="preserve">makes </w:t>
      </w:r>
      <w:r w:rsidR="00531248">
        <w:t xml:space="preserve">explicit that </w:t>
      </w:r>
      <w:r w:rsidR="00563235">
        <w:t xml:space="preserve">the </w:t>
      </w:r>
      <w:r w:rsidR="00A138F2">
        <w:t xml:space="preserve">assessment must be undertaken </w:t>
      </w:r>
      <w:r w:rsidR="00004643">
        <w:t xml:space="preserve">and </w:t>
      </w:r>
      <w:r w:rsidR="00DB2C67">
        <w:t xml:space="preserve">supports the </w:t>
      </w:r>
      <w:r w:rsidR="00DB2C67" w:rsidRPr="00DB2C67">
        <w:t xml:space="preserve">department’s monitoring and enforcement </w:t>
      </w:r>
      <w:r w:rsidR="00DB2C67">
        <w:t>role</w:t>
      </w:r>
      <w:r w:rsidR="00604F51">
        <w:t xml:space="preserve"> on this matter</w:t>
      </w:r>
      <w:r w:rsidR="00DB2C67">
        <w:t xml:space="preserve">. </w:t>
      </w:r>
      <w:r w:rsidR="00642251">
        <w:t>This will have a</w:t>
      </w:r>
      <w:r w:rsidR="00C94C32">
        <w:t xml:space="preserve"> small positive impact on patient safe</w:t>
      </w:r>
      <w:r w:rsidR="007E59FA">
        <w:t>ty</w:t>
      </w:r>
      <w:r w:rsidR="00BF6BA2">
        <w:t xml:space="preserve"> and care compared to </w:t>
      </w:r>
      <w:r w:rsidR="007E59FA">
        <w:t xml:space="preserve">the </w:t>
      </w:r>
      <w:r w:rsidR="005A2F80">
        <w:t>Base Case</w:t>
      </w:r>
      <w:r w:rsidR="007E59FA">
        <w:t xml:space="preserve">. </w:t>
      </w:r>
      <w:r w:rsidR="00D8261A">
        <w:t xml:space="preserve"> </w:t>
      </w:r>
    </w:p>
    <w:p w14:paraId="263F1522" w14:textId="17329BF7" w:rsidR="00C21564" w:rsidRDefault="000130CF" w:rsidP="00E456A5">
      <w:r w:rsidRPr="005B2145">
        <w:t>Option 1 is given a score of +2</w:t>
      </w:r>
      <w:r w:rsidR="002F0B9E">
        <w:t xml:space="preserve"> compared to the </w:t>
      </w:r>
      <w:r w:rsidR="005A2F80">
        <w:t>Base Case</w:t>
      </w:r>
      <w:r w:rsidR="002F0B9E">
        <w:t>.</w:t>
      </w:r>
    </w:p>
    <w:p w14:paraId="61D47460" w14:textId="77777777" w:rsidR="00E456A5" w:rsidRPr="001E347D" w:rsidRDefault="00E456A5" w:rsidP="00E456A5">
      <w:pPr>
        <w:rPr>
          <w:rStyle w:val="Strong"/>
        </w:rPr>
      </w:pPr>
      <w:r w:rsidRPr="001E347D">
        <w:rPr>
          <w:rStyle w:val="Strong"/>
        </w:rPr>
        <w:t>Option 2</w:t>
      </w:r>
    </w:p>
    <w:p w14:paraId="6DB1C3CB" w14:textId="77777777" w:rsidR="009B061E" w:rsidRDefault="00000306" w:rsidP="009B061E">
      <w:r>
        <w:t xml:space="preserve">Option 2 clarifies the requirements for who must do the pre-assessment </w:t>
      </w:r>
      <w:r w:rsidR="009B061E">
        <w:t xml:space="preserve">and what information needs to be recorded. </w:t>
      </w:r>
    </w:p>
    <w:p w14:paraId="0E0B7BC6" w14:textId="5490111D" w:rsidR="009B061E" w:rsidRPr="00F818F3" w:rsidRDefault="009B061E" w:rsidP="00B81AC7">
      <w:r w:rsidRPr="00F818F3">
        <w:t>Stakeholder feedback to the consultation indicates that these proposed changes generally reflect current clinical practice, therefore most HSEs won’t be impacted.</w:t>
      </w:r>
    </w:p>
    <w:p w14:paraId="068ECD10" w14:textId="63C7F696" w:rsidR="003845B2" w:rsidRPr="00ED658A" w:rsidRDefault="008533EC" w:rsidP="00B81AC7">
      <w:r>
        <w:t>I</w:t>
      </w:r>
      <w:r w:rsidR="00F06899" w:rsidRPr="00F818F3">
        <w:t>n 2021-22</w:t>
      </w:r>
      <w:r w:rsidR="003A50BA">
        <w:t>,</w:t>
      </w:r>
      <w:r w:rsidR="00F06899" w:rsidRPr="00F818F3">
        <w:t xml:space="preserve"> over</w:t>
      </w:r>
      <w:r w:rsidR="006859F1" w:rsidRPr="00F818F3">
        <w:t xml:space="preserve"> 1 million separations occurred in private hospitals in </w:t>
      </w:r>
      <w:r w:rsidR="00F06899" w:rsidRPr="00F818F3">
        <w:t>Victoria</w:t>
      </w:r>
      <w:r w:rsidR="00CA61E7">
        <w:t>.</w:t>
      </w:r>
      <w:r w:rsidR="006859F1" w:rsidRPr="000D17F7">
        <w:rPr>
          <w:rStyle w:val="FootnoteReference"/>
        </w:rPr>
        <w:footnoteReference w:id="82"/>
      </w:r>
      <w:r w:rsidR="000C4193" w:rsidRPr="00F818F3">
        <w:rPr>
          <w:lang w:val="en-AU"/>
        </w:rPr>
        <w:t xml:space="preserve"> </w:t>
      </w:r>
      <w:r w:rsidR="007D34B1">
        <w:rPr>
          <w:lang w:val="en-AU"/>
        </w:rPr>
        <w:t>Hypothetically, i</w:t>
      </w:r>
      <w:r w:rsidR="006859F1" w:rsidRPr="00F818F3">
        <w:rPr>
          <w:lang w:val="en-AU"/>
        </w:rPr>
        <w:t>f the propos</w:t>
      </w:r>
      <w:r w:rsidR="00470D02">
        <w:rPr>
          <w:lang w:val="en-AU"/>
        </w:rPr>
        <w:t>ed</w:t>
      </w:r>
      <w:r w:rsidR="006859F1" w:rsidRPr="00F818F3">
        <w:rPr>
          <w:lang w:val="en-AU"/>
        </w:rPr>
        <w:t xml:space="preserve"> </w:t>
      </w:r>
      <w:r w:rsidR="00A14EC7">
        <w:rPr>
          <w:lang w:val="en-AU"/>
        </w:rPr>
        <w:t xml:space="preserve">amended requirements </w:t>
      </w:r>
      <w:r w:rsidR="00AC4C71">
        <w:rPr>
          <w:lang w:val="en-AU"/>
        </w:rPr>
        <w:t>affect</w:t>
      </w:r>
      <w:r w:rsidR="00896C70" w:rsidRPr="00ED658A">
        <w:t xml:space="preserve"> 5% of </w:t>
      </w:r>
      <w:r w:rsidR="00CD520E" w:rsidRPr="00ED658A">
        <w:t>pre-</w:t>
      </w:r>
      <w:r w:rsidR="00896C70" w:rsidRPr="00ED658A">
        <w:t>ad</w:t>
      </w:r>
      <w:r w:rsidR="00CD520E" w:rsidRPr="00ED658A">
        <w:t>mission processes, this proposal has the potential</w:t>
      </w:r>
      <w:r w:rsidR="00E924B5" w:rsidRPr="00ED658A">
        <w:t xml:space="preserve"> to</w:t>
      </w:r>
      <w:r w:rsidR="00CD520E" w:rsidRPr="00ED658A">
        <w:t xml:space="preserve"> impact </w:t>
      </w:r>
      <w:r w:rsidR="008616DC" w:rsidRPr="00ED658A">
        <w:t>over 50,000 pre-admission processes each year</w:t>
      </w:r>
      <w:r w:rsidR="00893C2B" w:rsidRPr="00ED658A">
        <w:t xml:space="preserve">. This example </w:t>
      </w:r>
      <w:r w:rsidR="00833E29" w:rsidRPr="00ED658A">
        <w:t>give</w:t>
      </w:r>
      <w:r w:rsidR="00835A27">
        <w:t>s</w:t>
      </w:r>
      <w:r w:rsidR="00833E29" w:rsidRPr="00ED658A">
        <w:t xml:space="preserve"> an indication of the potential size of impact</w:t>
      </w:r>
      <w:r w:rsidR="007464D6" w:rsidRPr="00ED658A">
        <w:t xml:space="preserve"> on patient safety</w:t>
      </w:r>
      <w:r w:rsidR="00893C2B" w:rsidRPr="00ED658A">
        <w:t xml:space="preserve">, </w:t>
      </w:r>
      <w:r w:rsidR="00985F05">
        <w:t>which is</w:t>
      </w:r>
      <w:r w:rsidR="009077C3" w:rsidRPr="00ED658A">
        <w:t xml:space="preserve"> potentially feasible and </w:t>
      </w:r>
      <w:r w:rsidR="007464D6" w:rsidRPr="00ED658A">
        <w:t>not immaterial.</w:t>
      </w:r>
      <w:r w:rsidR="00BE396F">
        <w:t xml:space="preserve"> It should be noted though, these practices are already required in the Standards and the proposed amendment</w:t>
      </w:r>
      <w:r w:rsidR="00452ED7">
        <w:t>s are for clarification only.</w:t>
      </w:r>
    </w:p>
    <w:p w14:paraId="6BDE07E6" w14:textId="7DAA4BA0" w:rsidR="00CA3761" w:rsidRPr="00ED658A" w:rsidRDefault="00176C96" w:rsidP="00B81AC7">
      <w:r w:rsidRPr="00ED658A">
        <w:t>There was some support for and some against these proposals in submissions to the discussion paper.</w:t>
      </w:r>
      <w:r w:rsidR="006709AD" w:rsidRPr="00ED658A">
        <w:t xml:space="preserve"> In relation to the requirement for pre-admission risk assessment</w:t>
      </w:r>
      <w:r w:rsidR="00510621">
        <w:t>s to be comprehensively documented</w:t>
      </w:r>
      <w:r w:rsidR="00870D0C" w:rsidRPr="00ED658A">
        <w:t xml:space="preserve">, </w:t>
      </w:r>
      <w:r w:rsidR="00873D2E">
        <w:t>a private healthcare provider</w:t>
      </w:r>
      <w:r w:rsidR="0031763B">
        <w:t xml:space="preserve"> </w:t>
      </w:r>
      <w:r w:rsidR="00291B0E" w:rsidRPr="00ED658A">
        <w:t xml:space="preserve">supported the proposal and said it reflected best practice. </w:t>
      </w:r>
      <w:r w:rsidR="008A60C2" w:rsidRPr="00ED658A">
        <w:t xml:space="preserve">On the proposal to require a registered health practitioner to do the assessment, </w:t>
      </w:r>
      <w:r w:rsidR="0031763B">
        <w:t>the private healthcare provider</w:t>
      </w:r>
      <w:r w:rsidR="000F3AD2" w:rsidRPr="00ED658A">
        <w:t xml:space="preserve"> </w:t>
      </w:r>
      <w:r w:rsidR="009C4527" w:rsidRPr="00ED658A">
        <w:t>said:</w:t>
      </w:r>
    </w:p>
    <w:p w14:paraId="7FC0EA5E" w14:textId="40DE4C99" w:rsidR="009C4527" w:rsidRPr="009C4527" w:rsidRDefault="009C4527" w:rsidP="005B2145">
      <w:pPr>
        <w:ind w:left="720"/>
        <w:rPr>
          <w:i/>
          <w:iCs/>
        </w:rPr>
      </w:pPr>
      <w:r w:rsidRPr="00ED658A">
        <w:rPr>
          <w:i/>
          <w:iCs/>
        </w:rPr>
        <w:t xml:space="preserve">Yes. </w:t>
      </w:r>
      <w:r w:rsidR="0031763B">
        <w:rPr>
          <w:i/>
          <w:iCs/>
        </w:rPr>
        <w:t>[our]</w:t>
      </w:r>
      <w:r w:rsidRPr="00ED658A">
        <w:rPr>
          <w:i/>
          <w:iCs/>
        </w:rPr>
        <w:t xml:space="preserve"> current preadmission service does this already. Any significant cases trigger a response, which involves alerting the anaesthetist regarding the</w:t>
      </w:r>
      <w:r w:rsidRPr="009C4527">
        <w:rPr>
          <w:i/>
          <w:iCs/>
        </w:rPr>
        <w:t xml:space="preserve"> complexity/ risk of the case.</w:t>
      </w:r>
    </w:p>
    <w:p w14:paraId="3DCC0919" w14:textId="353B79CA" w:rsidR="009C4527" w:rsidRPr="00F818F3" w:rsidRDefault="009C4527" w:rsidP="00B81AC7">
      <w:r>
        <w:t xml:space="preserve">The main reason for not supporting these two proposals was that </w:t>
      </w:r>
      <w:r w:rsidR="008D6937">
        <w:t>it</w:t>
      </w:r>
      <w:r w:rsidR="002A1AA2">
        <w:t xml:space="preserve"> i</w:t>
      </w:r>
      <w:r w:rsidR="008D6937">
        <w:t>s already covered in the Standards.</w:t>
      </w:r>
      <w:r w:rsidR="008F5136">
        <w:t xml:space="preserve"> However, it</w:t>
      </w:r>
      <w:r w:rsidR="003A4B59">
        <w:t xml:space="preserve"> i</w:t>
      </w:r>
      <w:r w:rsidR="008F5136">
        <w:t xml:space="preserve">s noted that the proposed amendments are being made to clarify </w:t>
      </w:r>
      <w:r w:rsidR="007B6B30">
        <w:t>the current Regulations and improve alignment with the Standards.</w:t>
      </w:r>
    </w:p>
    <w:p w14:paraId="3D6BBD0B" w14:textId="342ADF5B" w:rsidR="00F809E1" w:rsidRDefault="003E4265" w:rsidP="00B81AC7">
      <w:r w:rsidRPr="00F818F3">
        <w:t>The</w:t>
      </w:r>
      <w:r w:rsidR="00803141" w:rsidRPr="00F818F3">
        <w:t xml:space="preserve"> requirement</w:t>
      </w:r>
      <w:r w:rsidR="00682C1A" w:rsidRPr="00F818F3">
        <w:t xml:space="preserve"> </w:t>
      </w:r>
      <w:r w:rsidR="003857EB" w:rsidRPr="00F818F3">
        <w:t>for clinical assessments</w:t>
      </w:r>
      <w:r w:rsidR="00682C1A" w:rsidRPr="00F818F3">
        <w:t xml:space="preserve"> </w:t>
      </w:r>
      <w:r w:rsidR="00AC62CA" w:rsidRPr="00F818F3">
        <w:t xml:space="preserve">for HSEs that do not formally admit patients </w:t>
      </w:r>
      <w:r w:rsidR="0051144F">
        <w:t xml:space="preserve">addresses a current gap in regulations </w:t>
      </w:r>
      <w:r w:rsidR="00DB6CE3">
        <w:t>in relation to mobile health service providers (e.g.</w:t>
      </w:r>
      <w:r w:rsidR="00434C0F">
        <w:t xml:space="preserve"> anaesthetists)</w:t>
      </w:r>
      <w:r w:rsidR="00C87B2D">
        <w:t xml:space="preserve">. </w:t>
      </w:r>
      <w:r w:rsidR="00434C0F">
        <w:t>The department understand</w:t>
      </w:r>
      <w:r w:rsidR="00032D80">
        <w:t xml:space="preserve">s </w:t>
      </w:r>
      <w:r w:rsidR="00A761B3">
        <w:t xml:space="preserve">this proposed requirement is current practice by most mobile health service </w:t>
      </w:r>
      <w:r w:rsidR="00A761B3">
        <w:lastRenderedPageBreak/>
        <w:t>providers</w:t>
      </w:r>
      <w:r w:rsidR="003A3547">
        <w:t xml:space="preserve"> </w:t>
      </w:r>
      <w:r w:rsidR="00924ACC">
        <w:t xml:space="preserve">so </w:t>
      </w:r>
      <w:r w:rsidR="003A3547">
        <w:t xml:space="preserve">the impact is likely to be small, but will address the risk of some providers </w:t>
      </w:r>
      <w:r w:rsidR="00924ACC">
        <w:t>not currently doing so</w:t>
      </w:r>
      <w:r w:rsidR="00D772D0">
        <w:t>. There was general stakeholder support for the proposal</w:t>
      </w:r>
      <w:r w:rsidR="00C13632">
        <w:t>, as shown below by two private healthcare providers</w:t>
      </w:r>
      <w:r w:rsidR="00D772D0">
        <w:t>:</w:t>
      </w:r>
    </w:p>
    <w:p w14:paraId="14143243" w14:textId="45EFBD49" w:rsidR="00D772D0" w:rsidRDefault="00A302E8" w:rsidP="003F523E">
      <w:pPr>
        <w:ind w:left="720"/>
      </w:pPr>
      <w:r>
        <w:rPr>
          <w:i/>
          <w:iCs/>
        </w:rPr>
        <w:t xml:space="preserve">[Private </w:t>
      </w:r>
      <w:r w:rsidR="00D06E83">
        <w:rPr>
          <w:i/>
          <w:iCs/>
        </w:rPr>
        <w:t>Healthcare Provider</w:t>
      </w:r>
      <w:r>
        <w:rPr>
          <w:i/>
          <w:iCs/>
        </w:rPr>
        <w:t>]</w:t>
      </w:r>
      <w:r w:rsidR="003F523E" w:rsidRPr="005B2145">
        <w:rPr>
          <w:i/>
          <w:iCs/>
        </w:rPr>
        <w:t xml:space="preserve"> supports the requirements of a pre-procedural risk assessment for anaesthetics being conducted outside of a health service. Risk assessments are beneficial to foresee any actual or potential anaesthetic complications and ensuring the patient’s safety who is receiving an anaesthetic agent out of a typical hospital setting.</w:t>
      </w:r>
      <w:r w:rsidR="003F523E" w:rsidRPr="00EE42E7">
        <w:rPr>
          <w:i/>
          <w:iCs/>
        </w:rPr>
        <w:t xml:space="preserve"> </w:t>
      </w:r>
    </w:p>
    <w:p w14:paraId="291681E9" w14:textId="6AF2BECA" w:rsidR="00DF527A" w:rsidRPr="005B2145" w:rsidRDefault="00DF527A" w:rsidP="003F523E">
      <w:pPr>
        <w:ind w:left="720"/>
        <w:rPr>
          <w:i/>
          <w:iCs/>
        </w:rPr>
      </w:pPr>
      <w:r w:rsidRPr="005B2145">
        <w:rPr>
          <w:i/>
          <w:iCs/>
        </w:rPr>
        <w:t xml:space="preserve">Yes, any health service provider should do this as a basic standard of care. </w:t>
      </w:r>
    </w:p>
    <w:p w14:paraId="57B15B91" w14:textId="756A6F6E" w:rsidR="00DE3070" w:rsidRDefault="00DE3070" w:rsidP="0065602E">
      <w:pPr>
        <w:rPr>
          <w:rFonts w:cstheme="minorHAnsi"/>
          <w:color w:val="000000"/>
          <w:szCs w:val="20"/>
          <w:lang w:val="en-AU"/>
        </w:rPr>
      </w:pPr>
      <w:r>
        <w:rPr>
          <w:rFonts w:cstheme="minorHAnsi"/>
          <w:color w:val="000000"/>
          <w:szCs w:val="20"/>
          <w:lang w:val="en-AU"/>
        </w:rPr>
        <w:t xml:space="preserve">Similarly, extending the requirement </w:t>
      </w:r>
      <w:r w:rsidR="00CD207F">
        <w:rPr>
          <w:rFonts w:cstheme="minorHAnsi"/>
          <w:color w:val="000000"/>
          <w:szCs w:val="20"/>
          <w:lang w:val="en-AU"/>
        </w:rPr>
        <w:t xml:space="preserve">for a </w:t>
      </w:r>
      <w:r w:rsidR="00D03AA0">
        <w:rPr>
          <w:rFonts w:cstheme="minorHAnsi"/>
          <w:color w:val="000000"/>
          <w:szCs w:val="20"/>
          <w:lang w:val="en-AU"/>
        </w:rPr>
        <w:t>clinical risk assessment</w:t>
      </w:r>
      <w:r w:rsidR="006E495E">
        <w:rPr>
          <w:rFonts w:cstheme="minorHAnsi"/>
          <w:color w:val="000000"/>
          <w:szCs w:val="20"/>
          <w:lang w:val="en-AU"/>
        </w:rPr>
        <w:t xml:space="preserve"> to be conducted for</w:t>
      </w:r>
      <w:r>
        <w:rPr>
          <w:rFonts w:cstheme="minorHAnsi"/>
          <w:color w:val="000000"/>
          <w:szCs w:val="20"/>
          <w:lang w:val="en-AU"/>
        </w:rPr>
        <w:t xml:space="preserve"> </w:t>
      </w:r>
      <w:r w:rsidR="00D03AA0">
        <w:rPr>
          <w:rFonts w:cstheme="minorHAnsi"/>
          <w:color w:val="000000"/>
          <w:szCs w:val="20"/>
          <w:lang w:val="en-AU"/>
        </w:rPr>
        <w:t xml:space="preserve">patients receiving treatment at a registered HSE without being formally admitted is also intended to address a current gap in the Regulations. </w:t>
      </w:r>
    </w:p>
    <w:p w14:paraId="7D05B62D" w14:textId="48B1362B" w:rsidR="0065602E" w:rsidRPr="005B2145" w:rsidRDefault="00924ACC" w:rsidP="0065602E">
      <w:pPr>
        <w:rPr>
          <w:rFonts w:cstheme="minorHAnsi"/>
          <w:color w:val="000000"/>
          <w:szCs w:val="20"/>
          <w:lang w:val="en-AU"/>
        </w:rPr>
      </w:pPr>
      <w:r w:rsidRPr="005B2145">
        <w:rPr>
          <w:rFonts w:cstheme="minorHAnsi"/>
          <w:color w:val="000000"/>
          <w:szCs w:val="20"/>
          <w:lang w:val="en-AU"/>
        </w:rPr>
        <w:t>Overall, Option 2</w:t>
      </w:r>
      <w:r w:rsidR="0065602E">
        <w:rPr>
          <w:rFonts w:cstheme="minorHAnsi"/>
          <w:color w:val="000000"/>
          <w:szCs w:val="20"/>
          <w:lang w:val="en-AU"/>
        </w:rPr>
        <w:t xml:space="preserve"> is expected to have a small to moderate positive impact on patient safety and care and is therefore scored +</w:t>
      </w:r>
      <w:r w:rsidR="00C878FA">
        <w:rPr>
          <w:rFonts w:cstheme="minorHAnsi"/>
          <w:color w:val="000000"/>
          <w:szCs w:val="20"/>
          <w:lang w:val="en-AU"/>
        </w:rPr>
        <w:t>4</w:t>
      </w:r>
      <w:r w:rsidR="0065602E">
        <w:rPr>
          <w:rFonts w:cstheme="minorHAnsi"/>
          <w:color w:val="000000"/>
          <w:szCs w:val="20"/>
          <w:lang w:val="en-AU"/>
        </w:rPr>
        <w:t xml:space="preserve"> relative to the </w:t>
      </w:r>
      <w:r w:rsidR="005A2F80">
        <w:rPr>
          <w:rFonts w:cstheme="minorHAnsi"/>
          <w:color w:val="000000"/>
          <w:szCs w:val="20"/>
          <w:lang w:val="en-AU"/>
        </w:rPr>
        <w:t>Base Case</w:t>
      </w:r>
      <w:r w:rsidR="0065602E">
        <w:rPr>
          <w:rFonts w:cstheme="minorHAnsi"/>
          <w:color w:val="000000"/>
          <w:szCs w:val="20"/>
          <w:lang w:val="en-AU"/>
        </w:rPr>
        <w:t>.</w:t>
      </w:r>
    </w:p>
    <w:p w14:paraId="555D8BC9" w14:textId="77777777" w:rsidR="00A70AF8" w:rsidRPr="0076112E" w:rsidRDefault="00A70AF8" w:rsidP="00A70AF8">
      <w:pPr>
        <w:pStyle w:val="Heading7"/>
      </w:pPr>
      <w:r w:rsidRPr="0076112E">
        <w:t xml:space="preserve">Cost to </w:t>
      </w:r>
      <w:r w:rsidRPr="00A70AF8">
        <w:t>HSEs</w:t>
      </w:r>
      <w:r w:rsidRPr="0076112E">
        <w:t>; and cost to government</w:t>
      </w:r>
    </w:p>
    <w:p w14:paraId="693D126B" w14:textId="08216F4A" w:rsidR="00E456A5" w:rsidRPr="001E347D" w:rsidRDefault="005A2F80" w:rsidP="00E456A5">
      <w:pPr>
        <w:rPr>
          <w:rStyle w:val="Strong"/>
        </w:rPr>
      </w:pPr>
      <w:r w:rsidRPr="001E347D">
        <w:rPr>
          <w:rStyle w:val="Strong"/>
        </w:rPr>
        <w:t>Base Case</w:t>
      </w:r>
    </w:p>
    <w:p w14:paraId="0E219AE3" w14:textId="17C21421" w:rsidR="00692B27" w:rsidRPr="005B2145" w:rsidRDefault="00692B27" w:rsidP="00692B27">
      <w:r w:rsidRPr="005B2145">
        <w:t xml:space="preserve">There would be no direct costs to HSEs under the </w:t>
      </w:r>
      <w:r w:rsidR="005A2F80">
        <w:t>Base Case</w:t>
      </w:r>
      <w:r w:rsidR="00E3073E">
        <w:t>.</w:t>
      </w:r>
    </w:p>
    <w:p w14:paraId="3C829187" w14:textId="44BCDA5C" w:rsidR="00647D38" w:rsidRPr="00923814" w:rsidRDefault="00692B27" w:rsidP="00692B27">
      <w:r w:rsidRPr="005B2145">
        <w:t xml:space="preserve">Over time, </w:t>
      </w:r>
      <w:r w:rsidR="00597558">
        <w:t xml:space="preserve">if there are no regulations in place, </w:t>
      </w:r>
      <w:r w:rsidRPr="005B2145">
        <w:t xml:space="preserve">costs </w:t>
      </w:r>
      <w:r w:rsidR="00BF0C0F" w:rsidRPr="00923814">
        <w:t>to</w:t>
      </w:r>
      <w:r w:rsidRPr="005B2145">
        <w:t xml:space="preserve"> the government</w:t>
      </w:r>
      <w:r w:rsidR="00BF0C0F" w:rsidRPr="00923814">
        <w:t xml:space="preserve"> </w:t>
      </w:r>
      <w:r w:rsidR="00597558">
        <w:t xml:space="preserve">are likely to </w:t>
      </w:r>
      <w:r w:rsidR="00BF0C0F" w:rsidRPr="00923814">
        <w:t>increase</w:t>
      </w:r>
      <w:r w:rsidRPr="005B2145">
        <w:t xml:space="preserve"> </w:t>
      </w:r>
      <w:r w:rsidR="00DD212F">
        <w:t>because of</w:t>
      </w:r>
      <w:r w:rsidR="00597558">
        <w:t xml:space="preserve"> </w:t>
      </w:r>
      <w:r w:rsidR="00DD212F">
        <w:t xml:space="preserve">the </w:t>
      </w:r>
      <w:r w:rsidR="00D42E26">
        <w:t>need to</w:t>
      </w:r>
      <w:r w:rsidR="004F7BCC">
        <w:t xml:space="preserve"> </w:t>
      </w:r>
      <w:r w:rsidR="00D42E26">
        <w:t xml:space="preserve">respond to complaints and adverse events due to </w:t>
      </w:r>
      <w:r w:rsidR="004F7BCC">
        <w:t>increased risks to</w:t>
      </w:r>
      <w:r w:rsidR="00503214">
        <w:t xml:space="preserve"> </w:t>
      </w:r>
      <w:r w:rsidR="008334DD" w:rsidRPr="005B2145">
        <w:t xml:space="preserve">patient safety and </w:t>
      </w:r>
      <w:r w:rsidR="00C77D28" w:rsidRPr="005B2145">
        <w:t>quality of care</w:t>
      </w:r>
      <w:r w:rsidR="004F7BCC">
        <w:t>.</w:t>
      </w:r>
    </w:p>
    <w:p w14:paraId="3920C6DC" w14:textId="2D762AE2" w:rsidR="00692B27" w:rsidRPr="00923814" w:rsidRDefault="007F54ED" w:rsidP="00692B27">
      <w:r w:rsidRPr="00923814">
        <w:t xml:space="preserve">The </w:t>
      </w:r>
      <w:r w:rsidR="005A2F80">
        <w:t>Base Case</w:t>
      </w:r>
      <w:r w:rsidRPr="00923814">
        <w:t xml:space="preserve"> is give</w:t>
      </w:r>
      <w:r w:rsidR="00647D38" w:rsidRPr="00923814">
        <w:t>n</w:t>
      </w:r>
      <w:r w:rsidRPr="00923814">
        <w:t xml:space="preserve"> a score of 0.</w:t>
      </w:r>
    </w:p>
    <w:p w14:paraId="1DA25E79" w14:textId="485E9439" w:rsidR="00031A0F" w:rsidRPr="001E347D" w:rsidRDefault="00E456A5" w:rsidP="00754D1F">
      <w:pPr>
        <w:rPr>
          <w:rStyle w:val="Strong"/>
        </w:rPr>
      </w:pPr>
      <w:r w:rsidRPr="001E347D">
        <w:rPr>
          <w:rStyle w:val="Strong"/>
        </w:rPr>
        <w:t>Option 1</w:t>
      </w:r>
    </w:p>
    <w:p w14:paraId="2DE7DEC6" w14:textId="7243EC2B" w:rsidR="00754D1F" w:rsidRPr="009D0BC7" w:rsidRDefault="007B621D" w:rsidP="00A720AE">
      <w:r w:rsidRPr="00D85183">
        <w:t>The cost to HSEs</w:t>
      </w:r>
      <w:r w:rsidR="00380B8E" w:rsidRPr="00D85183">
        <w:t xml:space="preserve"> of Option 1</w:t>
      </w:r>
      <w:r w:rsidRPr="00D85183">
        <w:t xml:space="preserve"> is expected to be small as </w:t>
      </w:r>
      <w:r w:rsidR="00A720AE" w:rsidRPr="00D85183">
        <w:t>Regulation 20A</w:t>
      </w:r>
      <w:r w:rsidRPr="00D85183">
        <w:t xml:space="preserve"> </w:t>
      </w:r>
      <w:r w:rsidR="00A720AE" w:rsidRPr="00D85183">
        <w:t>align</w:t>
      </w:r>
      <w:r w:rsidR="00997E81">
        <w:t>s</w:t>
      </w:r>
      <w:r w:rsidR="00A720AE" w:rsidRPr="00D85183">
        <w:t xml:space="preserve"> to what is required under the </w:t>
      </w:r>
      <w:r w:rsidR="00A720AE" w:rsidRPr="009D0BC7">
        <w:t>Standards. It is understood that most HSEs currently meet these requirements</w:t>
      </w:r>
      <w:r w:rsidR="00F76D64" w:rsidRPr="009D0BC7">
        <w:t xml:space="preserve">. </w:t>
      </w:r>
      <w:r w:rsidR="00781043" w:rsidRPr="009D0BC7">
        <w:t xml:space="preserve">HSEs </w:t>
      </w:r>
      <w:r w:rsidR="008E4700" w:rsidRPr="009D0BC7">
        <w:t xml:space="preserve">are </w:t>
      </w:r>
      <w:r w:rsidR="00761198" w:rsidRPr="009D0BC7">
        <w:t xml:space="preserve">generally </w:t>
      </w:r>
      <w:r w:rsidR="008E4700" w:rsidRPr="009D0BC7">
        <w:t>in compliance with the</w:t>
      </w:r>
      <w:r w:rsidR="00781043" w:rsidRPr="009D0BC7">
        <w:t xml:space="preserve"> </w:t>
      </w:r>
      <w:r w:rsidR="00761198" w:rsidRPr="009D0BC7">
        <w:t>current requirements of Regulation 20A</w:t>
      </w:r>
      <w:r w:rsidR="00F76D64" w:rsidRPr="009D0BC7">
        <w:t xml:space="preserve"> and there has been no feedback from industry that the requirements </w:t>
      </w:r>
      <w:r w:rsidR="00D85183" w:rsidRPr="009D0BC7">
        <w:t>impose an unreasonable cost.</w:t>
      </w:r>
    </w:p>
    <w:p w14:paraId="685B8438" w14:textId="3CF8FEDD" w:rsidR="001664F7" w:rsidRPr="009D0BC7" w:rsidRDefault="009E4DE2" w:rsidP="00031A0F">
      <w:r w:rsidRPr="009D0BC7">
        <w:t>This option</w:t>
      </w:r>
      <w:r w:rsidR="006E7F2C" w:rsidRPr="009D0BC7">
        <w:t xml:space="preserve"> is scored as -2</w:t>
      </w:r>
      <w:r w:rsidRPr="009D0BC7">
        <w:t>, a small negative impact</w:t>
      </w:r>
      <w:r w:rsidR="006E7F2C" w:rsidRPr="009D0BC7">
        <w:t>.</w:t>
      </w:r>
    </w:p>
    <w:p w14:paraId="3926CBCE" w14:textId="28D6689F" w:rsidR="00E456A5" w:rsidRPr="001E347D" w:rsidRDefault="00E456A5" w:rsidP="00E456A5">
      <w:pPr>
        <w:rPr>
          <w:rStyle w:val="Strong"/>
        </w:rPr>
      </w:pPr>
      <w:r w:rsidRPr="001E347D">
        <w:rPr>
          <w:rStyle w:val="Strong"/>
        </w:rPr>
        <w:t>Option 2</w:t>
      </w:r>
    </w:p>
    <w:p w14:paraId="17599B34" w14:textId="7015D39E" w:rsidR="00B74022" w:rsidRPr="009D0BC7" w:rsidRDefault="00F11ABE" w:rsidP="00031A0F">
      <w:r w:rsidRPr="009D0BC7">
        <w:t xml:space="preserve">As noted </w:t>
      </w:r>
      <w:r w:rsidR="00340CA8">
        <w:t>previously</w:t>
      </w:r>
      <w:r w:rsidR="00A40003" w:rsidRPr="009D0BC7">
        <w:t xml:space="preserve">, </w:t>
      </w:r>
      <w:r w:rsidR="004948CB" w:rsidRPr="009D0BC7">
        <w:t>the changes being</w:t>
      </w:r>
      <w:r w:rsidR="00BC767A" w:rsidRPr="009D0BC7">
        <w:t xml:space="preserve"> proposed in Option </w:t>
      </w:r>
      <w:r w:rsidR="00263E42" w:rsidRPr="009D0BC7">
        <w:t xml:space="preserve">2 </w:t>
      </w:r>
      <w:r w:rsidR="004948CB" w:rsidRPr="009D0BC7">
        <w:t>are</w:t>
      </w:r>
      <w:r w:rsidR="00263E42" w:rsidRPr="009D0BC7">
        <w:t xml:space="preserve"> already curre</w:t>
      </w:r>
      <w:r w:rsidR="00A52291" w:rsidRPr="009D0BC7">
        <w:t xml:space="preserve">nt practice for </w:t>
      </w:r>
      <w:r w:rsidR="0022221E" w:rsidRPr="009D0BC7">
        <w:t>most HSEs</w:t>
      </w:r>
      <w:r w:rsidR="00766F19" w:rsidRPr="009D0BC7">
        <w:t xml:space="preserve"> and therefore will not impose additional costs compared to the current Regulation</w:t>
      </w:r>
      <w:r w:rsidR="00B74022" w:rsidRPr="009D0BC7">
        <w:t>.</w:t>
      </w:r>
      <w:r w:rsidR="00766F19" w:rsidRPr="009D0BC7">
        <w:t xml:space="preserve"> </w:t>
      </w:r>
    </w:p>
    <w:p w14:paraId="4169D84B" w14:textId="4422C538" w:rsidR="002942EE" w:rsidRPr="00976CE4" w:rsidRDefault="00B2694F" w:rsidP="00865BDD">
      <w:r w:rsidRPr="009D0BC7">
        <w:t xml:space="preserve">There will be some costs however for those HSEs </w:t>
      </w:r>
      <w:r w:rsidR="00953D1D">
        <w:t>that</w:t>
      </w:r>
      <w:r w:rsidR="00953D1D" w:rsidRPr="009D0BC7">
        <w:t xml:space="preserve"> </w:t>
      </w:r>
      <w:r w:rsidR="005B4930" w:rsidRPr="009D0BC7">
        <w:t>need to change their practices</w:t>
      </w:r>
      <w:r w:rsidR="005234CA" w:rsidRPr="009D0BC7">
        <w:t xml:space="preserve"> in relation to who undertakes pre-</w:t>
      </w:r>
      <w:r w:rsidR="005234CA" w:rsidRPr="00976CE4">
        <w:t>admission clinical risk assessments and what needs to be documented</w:t>
      </w:r>
      <w:r w:rsidR="004104BE" w:rsidRPr="00976CE4">
        <w:t xml:space="preserve">. </w:t>
      </w:r>
      <w:r w:rsidR="0054689A" w:rsidRPr="00976CE4">
        <w:t xml:space="preserve">HSEs </w:t>
      </w:r>
      <w:r w:rsidR="00093877" w:rsidRPr="00976CE4">
        <w:t xml:space="preserve">currently </w:t>
      </w:r>
      <w:r w:rsidR="0054689A" w:rsidRPr="00976CE4">
        <w:t xml:space="preserve">using </w:t>
      </w:r>
      <w:r w:rsidR="00FB3A5E" w:rsidRPr="00976CE4">
        <w:t>administration staff instead of a</w:t>
      </w:r>
      <w:r w:rsidR="0054689A" w:rsidRPr="00976CE4">
        <w:t xml:space="preserve"> </w:t>
      </w:r>
      <w:r w:rsidR="00803F45" w:rsidRPr="00976CE4">
        <w:t xml:space="preserve">clinician </w:t>
      </w:r>
      <w:r w:rsidR="00093877" w:rsidRPr="00976CE4">
        <w:t xml:space="preserve">to undertake the pre-admission clinical risk assessment will incur additional </w:t>
      </w:r>
      <w:r w:rsidR="0058191D" w:rsidRPr="00976CE4">
        <w:t>staff costs</w:t>
      </w:r>
      <w:r w:rsidR="00FB3A5E" w:rsidRPr="00976CE4">
        <w:t xml:space="preserve">. </w:t>
      </w:r>
      <w:r w:rsidR="00A53DE3" w:rsidRPr="00976CE4">
        <w:t xml:space="preserve">Similarly, documenting </w:t>
      </w:r>
      <w:r w:rsidR="00370E57">
        <w:t>the matters considered and assessed</w:t>
      </w:r>
      <w:r w:rsidR="00A53DE3" w:rsidRPr="00976CE4">
        <w:t xml:space="preserve"> rather than just </w:t>
      </w:r>
      <w:r w:rsidR="00DD3563" w:rsidRPr="00976CE4">
        <w:t xml:space="preserve">the </w:t>
      </w:r>
      <w:r w:rsidR="00A53DE3" w:rsidRPr="00976CE4">
        <w:t xml:space="preserve">results of an assessment </w:t>
      </w:r>
      <w:r w:rsidR="004B47B7" w:rsidRPr="00976CE4">
        <w:t xml:space="preserve">will take more time for each </w:t>
      </w:r>
      <w:r w:rsidR="004B47B7" w:rsidRPr="00793238">
        <w:t xml:space="preserve">admission. </w:t>
      </w:r>
      <w:r w:rsidR="00793238">
        <w:rPr>
          <w:rFonts w:cstheme="minorHAnsi"/>
          <w:i/>
          <w:iCs/>
        </w:rPr>
        <w:t>One</w:t>
      </w:r>
      <w:r w:rsidR="002942EE" w:rsidRPr="00793238">
        <w:t xml:space="preserve"> stakeholder noted that the requirement for recording the assessment</w:t>
      </w:r>
      <w:r w:rsidR="002942EE" w:rsidRPr="00976CE4">
        <w:t xml:space="preserve">, rather than the outcome, will be a significant departure from current practice, requiring behavioural change by physicians, in addition </w:t>
      </w:r>
      <w:r w:rsidR="002942EE" w:rsidRPr="00976CE4">
        <w:lastRenderedPageBreak/>
        <w:t xml:space="preserve">to process and system changes including larger data storage and security. </w:t>
      </w:r>
      <w:r w:rsidR="00976CE4" w:rsidRPr="00976CE4" w:rsidDel="001F2003">
        <w:t>Industry is encouraged to provide further information on the cost of this proposal during the public feedback stage on this RIS.</w:t>
      </w:r>
    </w:p>
    <w:p w14:paraId="28CBB052" w14:textId="495B8538" w:rsidR="001F2003" w:rsidRPr="00976CE4" w:rsidRDefault="00C9264B" w:rsidP="001F2003">
      <w:r w:rsidRPr="009D0BC7">
        <w:t>For over 1,000,000 admissions, if change</w:t>
      </w:r>
      <w:r w:rsidR="00CD7354">
        <w:t>s</w:t>
      </w:r>
      <w:r w:rsidRPr="009D0BC7">
        <w:t xml:space="preserve"> in </w:t>
      </w:r>
      <w:r w:rsidR="00CD7354">
        <w:t xml:space="preserve">pre-admission </w:t>
      </w:r>
      <w:r w:rsidR="00FE7689">
        <w:t>assessment processes are</w:t>
      </w:r>
      <w:r w:rsidRPr="009D0BC7">
        <w:t xml:space="preserve"> required for even a small proportion of </w:t>
      </w:r>
      <w:r w:rsidR="0087365B">
        <w:t>these</w:t>
      </w:r>
      <w:r w:rsidRPr="009D0BC7">
        <w:t>, th</w:t>
      </w:r>
      <w:r w:rsidR="003A4F9D" w:rsidRPr="009D0BC7">
        <w:t>e potential impact on costs is not immaterial</w:t>
      </w:r>
      <w:r w:rsidR="009D0BC7" w:rsidRPr="009D0BC7">
        <w:t>.</w:t>
      </w:r>
      <w:r w:rsidR="001F2003">
        <w:t xml:space="preserve"> </w:t>
      </w:r>
      <w:r w:rsidR="001F2003" w:rsidRPr="00976CE4">
        <w:t>Industry is encouraged to provide further information on the cost of this proposal during the public feedback stage on this RIS.</w:t>
      </w:r>
    </w:p>
    <w:p w14:paraId="05063D70" w14:textId="1FE1E1B8" w:rsidR="00B8287E" w:rsidRPr="009D0BC7" w:rsidRDefault="00E83EBE" w:rsidP="00031A0F">
      <w:r>
        <w:t xml:space="preserve">The requirement for mobile health services to do </w:t>
      </w:r>
      <w:r w:rsidR="00B75936">
        <w:t>pre-</w:t>
      </w:r>
      <w:r w:rsidR="00644A52">
        <w:t xml:space="preserve">presentation </w:t>
      </w:r>
      <w:r w:rsidR="00B75936">
        <w:t xml:space="preserve">clinical </w:t>
      </w:r>
      <w:r w:rsidR="00E725E3">
        <w:t xml:space="preserve">risk assessments is an additional requirement compared to </w:t>
      </w:r>
      <w:r w:rsidR="00585395">
        <w:t xml:space="preserve">Option 1. Feedback from industry and </w:t>
      </w:r>
      <w:r w:rsidR="004241C1">
        <w:t xml:space="preserve">input from the department indicates that most mobile health services are already </w:t>
      </w:r>
      <w:r w:rsidR="001553B4">
        <w:t>doing pre-</w:t>
      </w:r>
      <w:r w:rsidR="00644A52">
        <w:t xml:space="preserve">presentation </w:t>
      </w:r>
      <w:r w:rsidR="001553B4">
        <w:t xml:space="preserve">clinical risk </w:t>
      </w:r>
      <w:r w:rsidR="005A0A32">
        <w:t>assessments,</w:t>
      </w:r>
      <w:r w:rsidR="001553B4">
        <w:t xml:space="preserve"> so the impact of this change is likely to be small.</w:t>
      </w:r>
      <w:r w:rsidR="00585395">
        <w:t xml:space="preserve"> </w:t>
      </w:r>
      <w:r w:rsidR="00B62AF2">
        <w:t>In 2021-22, a total of 6,036 patients received services from a mobile health service provider.</w:t>
      </w:r>
      <w:r w:rsidR="00B62AF2">
        <w:rPr>
          <w:rStyle w:val="FootnoteReference"/>
        </w:rPr>
        <w:footnoteReference w:id="83"/>
      </w:r>
      <w:r w:rsidR="00B62AF2">
        <w:t xml:space="preserve"> This is a very small proportion of all services provided by HSEs.</w:t>
      </w:r>
    </w:p>
    <w:p w14:paraId="6564540E" w14:textId="67D38814" w:rsidR="00DE3396" w:rsidRDefault="00055706" w:rsidP="00DE3396">
      <w:pPr>
        <w:rPr>
          <w:szCs w:val="20"/>
        </w:rPr>
      </w:pPr>
      <w:r>
        <w:t>The cost to government of this proposal is expected to be small.</w:t>
      </w:r>
    </w:p>
    <w:p w14:paraId="7C7E9532" w14:textId="00C9FA3F" w:rsidR="001664F7" w:rsidRPr="001664F7" w:rsidRDefault="00055706" w:rsidP="00031A0F">
      <w:r>
        <w:t>Option 2 is given a score of -3, a small additional cost compared to Option 1.</w:t>
      </w:r>
    </w:p>
    <w:p w14:paraId="4C25FA5A" w14:textId="3ED51DCE" w:rsidR="00F40E92" w:rsidRDefault="00F40E92" w:rsidP="00F40E92">
      <w:pPr>
        <w:pStyle w:val="Heading6"/>
      </w:pPr>
      <w:r>
        <w:t>Summary of MCA and preferred option</w:t>
      </w:r>
    </w:p>
    <w:p w14:paraId="09BB6BB5" w14:textId="6CBC200E" w:rsidR="00C67DA1" w:rsidRPr="005F75BB" w:rsidRDefault="00C67DA1" w:rsidP="00C67DA1">
      <w:pPr>
        <w:rPr>
          <w:b/>
          <w:bCs/>
        </w:rPr>
      </w:pPr>
      <w:r>
        <w:t xml:space="preserve">Table </w:t>
      </w:r>
      <w:r w:rsidR="004768CE">
        <w:t>8</w:t>
      </w:r>
      <w:r>
        <w:t xml:space="preserve"> presents the MCA scores for </w:t>
      </w:r>
      <w:r w:rsidR="008604CB">
        <w:t>admissions information and assessments</w:t>
      </w:r>
      <w:r w:rsidRPr="00C63CCD">
        <w:rPr>
          <w:b/>
          <w:bCs/>
        </w:rPr>
        <w:t xml:space="preserve">. </w:t>
      </w:r>
      <w:r w:rsidRPr="000643EF">
        <w:rPr>
          <w:b/>
        </w:rPr>
        <w:t xml:space="preserve">Option </w:t>
      </w:r>
      <w:r w:rsidR="007B2873">
        <w:rPr>
          <w:b/>
          <w:bCs/>
        </w:rPr>
        <w:t>2</w:t>
      </w:r>
      <w:r>
        <w:rPr>
          <w:b/>
          <w:bCs/>
        </w:rPr>
        <w:t xml:space="preserve"> </w:t>
      </w:r>
      <w:r w:rsidRPr="00C63CCD">
        <w:rPr>
          <w:b/>
          <w:bCs/>
        </w:rPr>
        <w:t>is given the highest score and preferred</w:t>
      </w:r>
      <w:r>
        <w:t xml:space="preserve"> as it </w:t>
      </w:r>
      <w:r w:rsidR="001E4027">
        <w:t>provided for increased assurance in relation to the safety and quality of care of patients</w:t>
      </w:r>
      <w:r w:rsidR="000643EF">
        <w:t>.</w:t>
      </w:r>
    </w:p>
    <w:p w14:paraId="761FB5F9" w14:textId="7DEC25E5" w:rsidR="00C67DA1" w:rsidRDefault="00C67DA1" w:rsidP="00C67DA1">
      <w:pPr>
        <w:pStyle w:val="Caption"/>
      </w:pPr>
      <w:r>
        <w:t xml:space="preserve">Table </w:t>
      </w:r>
      <w:fldSimple w:instr=" SEQ Table \* ARABIC ">
        <w:r w:rsidR="00B865E5">
          <w:rPr>
            <w:noProof/>
          </w:rPr>
          <w:t>8</w:t>
        </w:r>
      </w:fldSimple>
      <w:r>
        <w:t xml:space="preserve"> Summary of MCA scores for </w:t>
      </w:r>
      <w:r w:rsidR="00FF0799">
        <w:t>admissions information and assessment</w:t>
      </w:r>
    </w:p>
    <w:tbl>
      <w:tblPr>
        <w:tblStyle w:val="SapereTable"/>
        <w:tblW w:w="9130" w:type="dxa"/>
        <w:tblInd w:w="5" w:type="dxa"/>
        <w:tblLook w:val="04A0" w:firstRow="1" w:lastRow="0" w:firstColumn="1" w:lastColumn="0" w:noHBand="0" w:noVBand="1"/>
      </w:tblPr>
      <w:tblGrid>
        <w:gridCol w:w="5215"/>
        <w:gridCol w:w="1305"/>
        <w:gridCol w:w="1305"/>
        <w:gridCol w:w="1305"/>
      </w:tblGrid>
      <w:tr w:rsidR="00C67DA1" w:rsidRPr="00BB32C7" w14:paraId="1C6FE7BC" w14:textId="77777777" w:rsidTr="00FB681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215" w:type="dxa"/>
          </w:tcPr>
          <w:p w14:paraId="39950CA4" w14:textId="77777777" w:rsidR="00C67DA1" w:rsidRDefault="00C67DA1" w:rsidP="00342587"/>
        </w:tc>
        <w:tc>
          <w:tcPr>
            <w:tcW w:w="1305" w:type="dxa"/>
          </w:tcPr>
          <w:p w14:paraId="2612BABC" w14:textId="5D7AFDC1" w:rsidR="00C67DA1" w:rsidRPr="00C63CCD" w:rsidRDefault="005A2F80" w:rsidP="003476CD">
            <w:pPr>
              <w:jc w:val="center"/>
              <w:cnfStyle w:val="100000000000" w:firstRow="1" w:lastRow="0" w:firstColumn="0" w:lastColumn="0" w:oddVBand="0" w:evenVBand="0" w:oddHBand="0" w:evenHBand="0" w:firstRowFirstColumn="0" w:firstRowLastColumn="0" w:lastRowFirstColumn="0" w:lastRowLastColumn="0"/>
              <w:rPr>
                <w:b w:val="0"/>
              </w:rPr>
            </w:pPr>
            <w:r>
              <w:t>Base Case</w:t>
            </w:r>
          </w:p>
        </w:tc>
        <w:tc>
          <w:tcPr>
            <w:tcW w:w="1305" w:type="dxa"/>
          </w:tcPr>
          <w:p w14:paraId="379278E4" w14:textId="77777777" w:rsidR="00C67DA1" w:rsidRPr="00C63CCD" w:rsidRDefault="00C67DA1" w:rsidP="003476CD">
            <w:pPr>
              <w:jc w:val="center"/>
              <w:cnfStyle w:val="100000000000" w:firstRow="1" w:lastRow="0" w:firstColumn="0" w:lastColumn="0" w:oddVBand="0" w:evenVBand="0" w:oddHBand="0" w:evenHBand="0" w:firstRowFirstColumn="0" w:firstRowLastColumn="0" w:lastRowFirstColumn="0" w:lastRowLastColumn="0"/>
              <w:rPr>
                <w:b w:val="0"/>
              </w:rPr>
            </w:pPr>
            <w:r w:rsidRPr="00C63CCD">
              <w:t>Option 1</w:t>
            </w:r>
          </w:p>
        </w:tc>
        <w:tc>
          <w:tcPr>
            <w:tcW w:w="1305" w:type="dxa"/>
          </w:tcPr>
          <w:p w14:paraId="09349E52" w14:textId="77777777" w:rsidR="00C67DA1" w:rsidRPr="00C63CCD" w:rsidRDefault="00C67DA1" w:rsidP="003476CD">
            <w:pPr>
              <w:jc w:val="center"/>
              <w:cnfStyle w:val="100000000000" w:firstRow="1" w:lastRow="0" w:firstColumn="0" w:lastColumn="0" w:oddVBand="0" w:evenVBand="0" w:oddHBand="0" w:evenHBand="0" w:firstRowFirstColumn="0" w:firstRowLastColumn="0" w:lastRowFirstColumn="0" w:lastRowLastColumn="0"/>
              <w:rPr>
                <w:b w:val="0"/>
              </w:rPr>
            </w:pPr>
            <w:r w:rsidRPr="00C63CCD">
              <w:t>Option 2</w:t>
            </w:r>
          </w:p>
        </w:tc>
      </w:tr>
      <w:tr w:rsidR="00C67DA1" w14:paraId="60C05385" w14:textId="77777777" w:rsidTr="00FB681A">
        <w:trPr>
          <w:trHeight w:val="920"/>
        </w:trPr>
        <w:tc>
          <w:tcPr>
            <w:cnfStyle w:val="001000000000" w:firstRow="0" w:lastRow="0" w:firstColumn="1" w:lastColumn="0" w:oddVBand="0" w:evenVBand="0" w:oddHBand="0" w:evenHBand="0" w:firstRowFirstColumn="0" w:firstRowLastColumn="0" w:lastRowFirstColumn="0" w:lastRowLastColumn="0"/>
            <w:tcW w:w="5215" w:type="dxa"/>
          </w:tcPr>
          <w:p w14:paraId="0C19C768" w14:textId="1C85D7F6" w:rsidR="00C67DA1" w:rsidRPr="005A2F80" w:rsidRDefault="00C67DA1" w:rsidP="00A13DEF">
            <w:pPr>
              <w:spacing w:before="40" w:after="40"/>
              <w:rPr>
                <w:b w:val="0"/>
                <w:color w:val="auto"/>
              </w:rPr>
            </w:pPr>
            <w:r w:rsidRPr="005A2F80">
              <w:rPr>
                <w:b w:val="0"/>
                <w:color w:val="auto"/>
              </w:rPr>
              <w:t xml:space="preserve">Protects the safety and quality of care of patients receiving health services in </w:t>
            </w:r>
            <w:r w:rsidR="002601B0">
              <w:rPr>
                <w:b w:val="0"/>
                <w:color w:val="auto"/>
              </w:rPr>
              <w:t>HSEs</w:t>
            </w:r>
            <w:r w:rsidRPr="005A2F80">
              <w:rPr>
                <w:b w:val="0"/>
                <w:color w:val="auto"/>
              </w:rPr>
              <w:t xml:space="preserve"> (50%)</w:t>
            </w:r>
          </w:p>
        </w:tc>
        <w:tc>
          <w:tcPr>
            <w:tcW w:w="1305" w:type="dxa"/>
          </w:tcPr>
          <w:p w14:paraId="5403856C" w14:textId="77777777" w:rsidR="00C67DA1" w:rsidRDefault="00C67DA1" w:rsidP="003476CD">
            <w:pPr>
              <w:spacing w:before="40" w:after="40"/>
              <w:jc w:val="center"/>
              <w:cnfStyle w:val="000000000000" w:firstRow="0" w:lastRow="0" w:firstColumn="0" w:lastColumn="0" w:oddVBand="0" w:evenVBand="0" w:oddHBand="0" w:evenHBand="0" w:firstRowFirstColumn="0" w:firstRowLastColumn="0" w:lastRowFirstColumn="0" w:lastRowLastColumn="0"/>
            </w:pPr>
            <w:r>
              <w:t>0</w:t>
            </w:r>
          </w:p>
        </w:tc>
        <w:tc>
          <w:tcPr>
            <w:tcW w:w="1305" w:type="dxa"/>
          </w:tcPr>
          <w:p w14:paraId="26225342" w14:textId="19867885" w:rsidR="00C67DA1" w:rsidRDefault="00BC7061" w:rsidP="003476CD">
            <w:pPr>
              <w:spacing w:before="40" w:after="40"/>
              <w:jc w:val="center"/>
              <w:cnfStyle w:val="000000000000" w:firstRow="0" w:lastRow="0" w:firstColumn="0" w:lastColumn="0" w:oddVBand="0" w:evenVBand="0" w:oddHBand="0" w:evenHBand="0" w:firstRowFirstColumn="0" w:firstRowLastColumn="0" w:lastRowFirstColumn="0" w:lastRowLastColumn="0"/>
            </w:pPr>
            <w:r>
              <w:t>+</w:t>
            </w:r>
            <w:r w:rsidR="00D60EAE">
              <w:t>2</w:t>
            </w:r>
          </w:p>
        </w:tc>
        <w:tc>
          <w:tcPr>
            <w:tcW w:w="1305" w:type="dxa"/>
          </w:tcPr>
          <w:p w14:paraId="0DE0C859" w14:textId="2310DAD8" w:rsidR="00C67DA1" w:rsidRDefault="00BC7061" w:rsidP="003476CD">
            <w:pPr>
              <w:spacing w:before="40" w:after="40"/>
              <w:jc w:val="center"/>
              <w:cnfStyle w:val="000000000000" w:firstRow="0" w:lastRow="0" w:firstColumn="0" w:lastColumn="0" w:oddVBand="0" w:evenVBand="0" w:oddHBand="0" w:evenHBand="0" w:firstRowFirstColumn="0" w:firstRowLastColumn="0" w:lastRowFirstColumn="0" w:lastRowLastColumn="0"/>
            </w:pPr>
            <w:r>
              <w:t>+</w:t>
            </w:r>
            <w:r w:rsidR="00D60EAE">
              <w:t>4</w:t>
            </w:r>
          </w:p>
        </w:tc>
      </w:tr>
      <w:tr w:rsidR="00C67DA1" w14:paraId="1B51C8A4" w14:textId="77777777" w:rsidTr="00FB681A">
        <w:trPr>
          <w:trHeight w:val="139"/>
        </w:trPr>
        <w:tc>
          <w:tcPr>
            <w:cnfStyle w:val="001000000000" w:firstRow="0" w:lastRow="0" w:firstColumn="1" w:lastColumn="0" w:oddVBand="0" w:evenVBand="0" w:oddHBand="0" w:evenHBand="0" w:firstRowFirstColumn="0" w:firstRowLastColumn="0" w:lastRowFirstColumn="0" w:lastRowLastColumn="0"/>
            <w:tcW w:w="5215" w:type="dxa"/>
          </w:tcPr>
          <w:p w14:paraId="4D50EEA1" w14:textId="55BAC58B" w:rsidR="00C67DA1" w:rsidRPr="005A2F80" w:rsidRDefault="00C67DA1" w:rsidP="00A13DEF">
            <w:pPr>
              <w:spacing w:before="40" w:after="40"/>
              <w:rPr>
                <w:b w:val="0"/>
                <w:color w:val="auto"/>
              </w:rPr>
            </w:pPr>
            <w:r w:rsidRPr="005A2F80">
              <w:rPr>
                <w:b w:val="0"/>
                <w:color w:val="auto"/>
              </w:rPr>
              <w:t xml:space="preserve">Cost to </w:t>
            </w:r>
            <w:r w:rsidR="002601B0">
              <w:rPr>
                <w:b w:val="0"/>
                <w:color w:val="auto"/>
              </w:rPr>
              <w:t>HSEs</w:t>
            </w:r>
            <w:r w:rsidRPr="005A2F80">
              <w:rPr>
                <w:b w:val="0"/>
                <w:color w:val="auto"/>
              </w:rPr>
              <w:t>; and cost to government (50%)</w:t>
            </w:r>
          </w:p>
        </w:tc>
        <w:tc>
          <w:tcPr>
            <w:tcW w:w="1305" w:type="dxa"/>
          </w:tcPr>
          <w:p w14:paraId="34DF841C" w14:textId="77777777" w:rsidR="00C67DA1" w:rsidRDefault="00C67DA1" w:rsidP="003476CD">
            <w:pPr>
              <w:spacing w:before="40" w:after="40"/>
              <w:jc w:val="center"/>
              <w:cnfStyle w:val="000000000000" w:firstRow="0" w:lastRow="0" w:firstColumn="0" w:lastColumn="0" w:oddVBand="0" w:evenVBand="0" w:oddHBand="0" w:evenHBand="0" w:firstRowFirstColumn="0" w:firstRowLastColumn="0" w:lastRowFirstColumn="0" w:lastRowLastColumn="0"/>
            </w:pPr>
            <w:r>
              <w:t>0</w:t>
            </w:r>
          </w:p>
        </w:tc>
        <w:tc>
          <w:tcPr>
            <w:tcW w:w="1305" w:type="dxa"/>
          </w:tcPr>
          <w:p w14:paraId="7DDBF60B" w14:textId="561C1E7B" w:rsidR="00C67DA1" w:rsidRDefault="00BC7061" w:rsidP="003476CD">
            <w:pPr>
              <w:spacing w:before="40" w:after="40"/>
              <w:jc w:val="center"/>
              <w:cnfStyle w:val="000000000000" w:firstRow="0" w:lastRow="0" w:firstColumn="0" w:lastColumn="0" w:oddVBand="0" w:evenVBand="0" w:oddHBand="0" w:evenHBand="0" w:firstRowFirstColumn="0" w:firstRowLastColumn="0" w:lastRowFirstColumn="0" w:lastRowLastColumn="0"/>
            </w:pPr>
            <w:r>
              <w:t>-</w:t>
            </w:r>
            <w:r w:rsidR="00324270">
              <w:t>2</w:t>
            </w:r>
          </w:p>
        </w:tc>
        <w:tc>
          <w:tcPr>
            <w:tcW w:w="1305" w:type="dxa"/>
          </w:tcPr>
          <w:p w14:paraId="7A7AF5F5" w14:textId="5175BEF5" w:rsidR="00C67DA1" w:rsidRDefault="00BC7061" w:rsidP="003476CD">
            <w:pPr>
              <w:spacing w:before="40" w:after="40"/>
              <w:jc w:val="center"/>
              <w:cnfStyle w:val="000000000000" w:firstRow="0" w:lastRow="0" w:firstColumn="0" w:lastColumn="0" w:oddVBand="0" w:evenVBand="0" w:oddHBand="0" w:evenHBand="0" w:firstRowFirstColumn="0" w:firstRowLastColumn="0" w:lastRowFirstColumn="0" w:lastRowLastColumn="0"/>
            </w:pPr>
            <w:r>
              <w:t>-</w:t>
            </w:r>
            <w:r w:rsidR="00324270">
              <w:t>3</w:t>
            </w:r>
          </w:p>
        </w:tc>
      </w:tr>
      <w:tr w:rsidR="00C67DA1" w14:paraId="14E04FFE" w14:textId="77777777" w:rsidTr="00FB681A">
        <w:trPr>
          <w:trHeight w:val="188"/>
        </w:trPr>
        <w:tc>
          <w:tcPr>
            <w:cnfStyle w:val="001000000000" w:firstRow="0" w:lastRow="0" w:firstColumn="1" w:lastColumn="0" w:oddVBand="0" w:evenVBand="0" w:oddHBand="0" w:evenHBand="0" w:firstRowFirstColumn="0" w:firstRowLastColumn="0" w:lastRowFirstColumn="0" w:lastRowLastColumn="0"/>
            <w:tcW w:w="5215" w:type="dxa"/>
          </w:tcPr>
          <w:p w14:paraId="2B8AEBD5" w14:textId="77777777" w:rsidR="00C67DA1" w:rsidRPr="000452AF" w:rsidRDefault="00C67DA1" w:rsidP="00A13DEF">
            <w:pPr>
              <w:spacing w:before="40" w:after="40"/>
              <w:rPr>
                <w:color w:val="auto"/>
              </w:rPr>
            </w:pPr>
            <w:r w:rsidRPr="000452AF">
              <w:rPr>
                <w:color w:val="auto"/>
              </w:rPr>
              <w:t xml:space="preserve">Net weighted score </w:t>
            </w:r>
          </w:p>
        </w:tc>
        <w:tc>
          <w:tcPr>
            <w:tcW w:w="1305" w:type="dxa"/>
          </w:tcPr>
          <w:p w14:paraId="0B862353" w14:textId="77777777" w:rsidR="00C67DA1" w:rsidRPr="001E347D" w:rsidRDefault="00C67DA1" w:rsidP="003476CD">
            <w:pPr>
              <w:spacing w:before="40" w:after="40"/>
              <w:jc w:val="center"/>
              <w:cnfStyle w:val="000000000000" w:firstRow="0" w:lastRow="0" w:firstColumn="0" w:lastColumn="0" w:oddVBand="0" w:evenVBand="0" w:oddHBand="0" w:evenHBand="0" w:firstRowFirstColumn="0" w:firstRowLastColumn="0" w:lastRowFirstColumn="0" w:lastRowLastColumn="0"/>
              <w:rPr>
                <w:b/>
                <w:color w:val="auto"/>
              </w:rPr>
            </w:pPr>
            <w:r w:rsidRPr="00C63CCD">
              <w:rPr>
                <w:b/>
                <w:bCs/>
              </w:rPr>
              <w:t>0</w:t>
            </w:r>
          </w:p>
        </w:tc>
        <w:tc>
          <w:tcPr>
            <w:tcW w:w="1305" w:type="dxa"/>
          </w:tcPr>
          <w:p w14:paraId="3405CB92" w14:textId="4832ED08" w:rsidR="00C67DA1" w:rsidRPr="001E347D" w:rsidRDefault="00324270" w:rsidP="003476CD">
            <w:pPr>
              <w:spacing w:before="40" w:after="40"/>
              <w:jc w:val="center"/>
              <w:cnfStyle w:val="000000000000" w:firstRow="0" w:lastRow="0" w:firstColumn="0" w:lastColumn="0" w:oddVBand="0" w:evenVBand="0" w:oddHBand="0" w:evenHBand="0" w:firstRowFirstColumn="0" w:firstRowLastColumn="0" w:lastRowFirstColumn="0" w:lastRowLastColumn="0"/>
              <w:rPr>
                <w:b/>
                <w:color w:val="auto"/>
              </w:rPr>
            </w:pPr>
            <w:r>
              <w:rPr>
                <w:b/>
                <w:bCs/>
              </w:rPr>
              <w:t>0</w:t>
            </w:r>
          </w:p>
        </w:tc>
        <w:tc>
          <w:tcPr>
            <w:tcW w:w="1305" w:type="dxa"/>
          </w:tcPr>
          <w:p w14:paraId="5D5F5E27" w14:textId="0826B206" w:rsidR="00C67DA1" w:rsidRPr="001E347D" w:rsidRDefault="00324270" w:rsidP="003476CD">
            <w:pPr>
              <w:spacing w:before="40" w:after="40"/>
              <w:jc w:val="center"/>
              <w:cnfStyle w:val="000000000000" w:firstRow="0" w:lastRow="0" w:firstColumn="0" w:lastColumn="0" w:oddVBand="0" w:evenVBand="0" w:oddHBand="0" w:evenHBand="0" w:firstRowFirstColumn="0" w:firstRowLastColumn="0" w:lastRowFirstColumn="0" w:lastRowLastColumn="0"/>
              <w:rPr>
                <w:b/>
                <w:color w:val="auto"/>
              </w:rPr>
            </w:pPr>
            <w:r>
              <w:rPr>
                <w:b/>
                <w:bCs/>
              </w:rPr>
              <w:t>+</w:t>
            </w:r>
            <w:r w:rsidR="00C878FA">
              <w:rPr>
                <w:b/>
                <w:bCs/>
              </w:rPr>
              <w:t>0.5</w:t>
            </w:r>
          </w:p>
        </w:tc>
      </w:tr>
    </w:tbl>
    <w:p w14:paraId="7C6979F8" w14:textId="77777777" w:rsidR="00C67DA1" w:rsidRDefault="00C67DA1" w:rsidP="00C67DA1">
      <w:pPr>
        <w:spacing w:before="0" w:line="259" w:lineRule="auto"/>
        <w:rPr>
          <w:rFonts w:asciiTheme="majorHAnsi" w:eastAsiaTheme="majorEastAsia" w:hAnsiTheme="majorHAnsi" w:cstheme="majorBidi"/>
          <w:b/>
          <w:iCs/>
          <w:color w:val="403151" w:themeColor="accent2"/>
          <w:sz w:val="28"/>
        </w:rPr>
      </w:pPr>
    </w:p>
    <w:p w14:paraId="2F50136B" w14:textId="77777777" w:rsidR="00F40E92" w:rsidRDefault="00F40E92" w:rsidP="00FE4A64"/>
    <w:p w14:paraId="368C5A9C" w14:textId="3D0F5310" w:rsidR="00FE4A64" w:rsidRDefault="000379C5" w:rsidP="00FE4A64">
      <w:pPr>
        <w:pStyle w:val="Heading5"/>
      </w:pPr>
      <w:bookmarkStart w:id="41" w:name="_Toc165287603"/>
      <w:r>
        <w:lastRenderedPageBreak/>
        <w:t>Infringements</w:t>
      </w:r>
      <w:bookmarkEnd w:id="41"/>
    </w:p>
    <w:tbl>
      <w:tblPr>
        <w:tblW w:w="0" w:type="auto"/>
        <w:tblInd w:w="7" w:type="dxa"/>
        <w:shd w:val="clear" w:color="auto" w:fill="EEECE1" w:themeFill="background2"/>
        <w:tblLook w:val="0000" w:firstRow="0" w:lastRow="0" w:firstColumn="0" w:lastColumn="0" w:noHBand="0" w:noVBand="0"/>
      </w:tblPr>
      <w:tblGrid>
        <w:gridCol w:w="8935"/>
      </w:tblGrid>
      <w:tr w:rsidR="00771CD4" w14:paraId="32417017" w14:textId="77777777" w:rsidTr="00214238">
        <w:trPr>
          <w:trHeight w:val="1473"/>
        </w:trPr>
        <w:tc>
          <w:tcPr>
            <w:tcW w:w="8935" w:type="dxa"/>
            <w:shd w:val="clear" w:color="auto" w:fill="EEECE1" w:themeFill="background2"/>
          </w:tcPr>
          <w:p w14:paraId="36A9FC51" w14:textId="46EF5774" w:rsidR="00771CD4" w:rsidRDefault="00035777" w:rsidP="00340CA8">
            <w:r w:rsidRPr="00214238">
              <w:t>S</w:t>
            </w:r>
            <w:r w:rsidR="00771CD4" w:rsidRPr="00214238">
              <w:t>ection 155 of the Act allow</w:t>
            </w:r>
            <w:r w:rsidRPr="00214238">
              <w:t>s</w:t>
            </w:r>
            <w:r w:rsidR="00771CD4" w:rsidRPr="00214238">
              <w:t xml:space="preserve"> an authorised officer to serve an infringement notice on a person whom the officer believes has committed a prescribed offence against the Regulations</w:t>
            </w:r>
            <w:r w:rsidR="001C0B81" w:rsidRPr="00214238">
              <w:t>. However,</w:t>
            </w:r>
            <w:r w:rsidR="00771CD4" w:rsidRPr="00214238">
              <w:t xml:space="preserve"> no infringement offences (or penalties) are </w:t>
            </w:r>
            <w:r w:rsidR="001C0B81" w:rsidRPr="00214238">
              <w:t>currently</w:t>
            </w:r>
            <w:r w:rsidR="00771CD4" w:rsidRPr="00214238">
              <w:t xml:space="preserve"> prescribed in the Regulations. This section considers making this power to serve infringement notices under the Act operational and thereby providing greater options for regulatory compliance and enforcement actions.</w:t>
            </w:r>
          </w:p>
        </w:tc>
      </w:tr>
    </w:tbl>
    <w:p w14:paraId="417CD270" w14:textId="77777777" w:rsidR="00FE4A64" w:rsidRDefault="00FE4A64" w:rsidP="00FE4A64">
      <w:pPr>
        <w:pStyle w:val="Heading6"/>
      </w:pPr>
      <w:r>
        <w:t>The nature and extent of the problem to be addressed</w:t>
      </w:r>
    </w:p>
    <w:p w14:paraId="5F220EF2" w14:textId="77777777" w:rsidR="00EA0D40" w:rsidRDefault="00EA0D40" w:rsidP="00EA0D40">
      <w:r>
        <w:t>The Act and Regulations work together to provide a regulatory framework that:</w:t>
      </w:r>
    </w:p>
    <w:p w14:paraId="38A431F5" w14:textId="77777777" w:rsidR="00EA0D40" w:rsidRDefault="00EA0D40" w:rsidP="00EA0D40">
      <w:pPr>
        <w:pStyle w:val="ListParagraph"/>
        <w:numPr>
          <w:ilvl w:val="0"/>
          <w:numId w:val="12"/>
        </w:numPr>
      </w:pPr>
      <w:r>
        <w:t>sets obligations that HSEs must meet</w:t>
      </w:r>
    </w:p>
    <w:p w14:paraId="0E1D47E4" w14:textId="77777777" w:rsidR="00EA0D40" w:rsidRDefault="00EA0D40" w:rsidP="00EA0D40">
      <w:pPr>
        <w:pStyle w:val="ListParagraph"/>
        <w:numPr>
          <w:ilvl w:val="0"/>
          <w:numId w:val="12"/>
        </w:numPr>
      </w:pPr>
      <w:r>
        <w:t>provides a range of powers and statutory tools for the department and SCV to monitor and enforce compliance with these obligations (for example, powers of entry for authorised officers; powers for the Secretary to request information)</w:t>
      </w:r>
    </w:p>
    <w:p w14:paraId="145BBF09" w14:textId="77777777" w:rsidR="00EA0D40" w:rsidRDefault="00EA0D40" w:rsidP="00EA0D40">
      <w:pPr>
        <w:pStyle w:val="ListParagraph"/>
        <w:numPr>
          <w:ilvl w:val="0"/>
          <w:numId w:val="12"/>
        </w:numPr>
      </w:pPr>
      <w:r>
        <w:t xml:space="preserve">defines offences, penalties and other sanctions that may be applied where serious breaches occur (for example, penalty units for various offences; registration conditions, suspensions and revocations). </w:t>
      </w:r>
    </w:p>
    <w:p w14:paraId="1EBC8181" w14:textId="77777777" w:rsidR="00EA0D40" w:rsidRPr="00687FA9" w:rsidRDefault="00EA0D40" w:rsidP="00EA0D40">
      <w:r w:rsidRPr="00687FA9">
        <w:t xml:space="preserve">Section 155 of the Act allows an authorised officer to serve an infringement notice on a person whom the officer believes has committed a prescribed offence against the Regulations requiring the person to pay the prescribed penalty for the infringement, being an amount not exceeding one-fifth of the maximum penalty applicable to the offence. </w:t>
      </w:r>
    </w:p>
    <w:p w14:paraId="40C10569" w14:textId="77777777" w:rsidR="00EA0D40" w:rsidRPr="00687FA9" w:rsidRDefault="00EA0D40" w:rsidP="00EA0D40">
      <w:r w:rsidRPr="00687FA9">
        <w:t>Infringements are an important part of the compliance and enforcement toolkit for regulators</w:t>
      </w:r>
      <w:r>
        <w:t xml:space="preserve">. Consistent with the </w:t>
      </w:r>
      <w:r w:rsidRPr="00A91215">
        <w:t>Attorney-General's guidelines to the Infringements Act 2006</w:t>
      </w:r>
      <w:r w:rsidRPr="00687FA9">
        <w:t>:</w:t>
      </w:r>
      <w:r w:rsidRPr="00687FA9">
        <w:rPr>
          <w:rStyle w:val="FootnoteReference"/>
        </w:rPr>
        <w:footnoteReference w:id="84"/>
      </w:r>
    </w:p>
    <w:p w14:paraId="47F954ED" w14:textId="77777777" w:rsidR="00EA0D40" w:rsidRPr="00687FA9" w:rsidRDefault="00EA0D40" w:rsidP="00EA0D40">
      <w:pPr>
        <w:pStyle w:val="ListParagraph"/>
        <w:numPr>
          <w:ilvl w:val="0"/>
          <w:numId w:val="12"/>
        </w:numPr>
      </w:pPr>
      <w:r w:rsidRPr="00687FA9">
        <w:t xml:space="preserve">Infringements can be issued swiftly as direct </w:t>
      </w:r>
      <w:r>
        <w:t>consequence</w:t>
      </w:r>
      <w:r w:rsidRPr="00687FA9">
        <w:t xml:space="preserve"> for lower-level and clear offences, </w:t>
      </w:r>
      <w:r>
        <w:t>thereby</w:t>
      </w:r>
      <w:r w:rsidRPr="00687FA9">
        <w:t xml:space="preserve"> </w:t>
      </w:r>
      <w:r>
        <w:t>addressing</w:t>
      </w:r>
      <w:r w:rsidRPr="00687FA9">
        <w:t xml:space="preserve"> non-compliance more quickly</w:t>
      </w:r>
      <w:r>
        <w:t xml:space="preserve"> than other enforcement options, including by prompting remediation and by deterring future non-compliance, by the HSE or more generally. Increased compliance is expected to have the benefit of reducing risk of harm to patients in HSEs.  </w:t>
      </w:r>
    </w:p>
    <w:p w14:paraId="433BE263" w14:textId="77777777" w:rsidR="00EA0D40" w:rsidRPr="00687FA9" w:rsidRDefault="00EA0D40" w:rsidP="00EA0D40">
      <w:pPr>
        <w:pStyle w:val="ListParagraph"/>
        <w:numPr>
          <w:ilvl w:val="0"/>
          <w:numId w:val="12"/>
        </w:numPr>
      </w:pPr>
      <w:r w:rsidRPr="00687FA9">
        <w:t>Infringements can be issued without potentially lengthy or costly court proceedings</w:t>
      </w:r>
      <w:r>
        <w:t>.</w:t>
      </w:r>
    </w:p>
    <w:p w14:paraId="6B68C515" w14:textId="77777777" w:rsidR="00EA0D40" w:rsidRPr="00687FA9" w:rsidRDefault="00EA0D40" w:rsidP="00EA0D40">
      <w:pPr>
        <w:pStyle w:val="ListParagraph"/>
        <w:numPr>
          <w:ilvl w:val="0"/>
          <w:numId w:val="12"/>
        </w:numPr>
      </w:pPr>
      <w:r w:rsidRPr="00687FA9">
        <w:t>Infringement amounts are lower than</w:t>
      </w:r>
      <w:r>
        <w:t xml:space="preserve"> the maximum </w:t>
      </w:r>
      <w:r w:rsidRPr="00687FA9">
        <w:t xml:space="preserve">penalty amounts </w:t>
      </w:r>
      <w:r>
        <w:t xml:space="preserve">imposed through prosecution </w:t>
      </w:r>
      <w:r w:rsidRPr="00687FA9">
        <w:t>and may therefore be proportionate to less serious offences</w:t>
      </w:r>
      <w:r>
        <w:t>.</w:t>
      </w:r>
    </w:p>
    <w:p w14:paraId="2D5D9DA8" w14:textId="77777777" w:rsidR="00EA0D40" w:rsidRPr="00687FA9" w:rsidRDefault="00EA0D40" w:rsidP="00EA0D40">
      <w:pPr>
        <w:pStyle w:val="ListParagraph"/>
        <w:numPr>
          <w:ilvl w:val="0"/>
          <w:numId w:val="12"/>
        </w:numPr>
      </w:pPr>
      <w:r w:rsidRPr="00687FA9">
        <w:t>Infringements do not result in a criminal record.</w:t>
      </w:r>
    </w:p>
    <w:p w14:paraId="7B760693" w14:textId="77777777" w:rsidR="00EA0D40" w:rsidRPr="00687FA9" w:rsidRDefault="00EA0D40" w:rsidP="00EA0D40">
      <w:r>
        <w:lastRenderedPageBreak/>
        <w:t>N</w:t>
      </w:r>
      <w:r w:rsidRPr="00687FA9">
        <w:t>o infringement offences (</w:t>
      </w:r>
      <w:r>
        <w:t xml:space="preserve">or </w:t>
      </w:r>
      <w:r w:rsidRPr="00687FA9">
        <w:t xml:space="preserve">penalties) are </w:t>
      </w:r>
      <w:r>
        <w:t>currently</w:t>
      </w:r>
      <w:r w:rsidRPr="00687FA9">
        <w:t xml:space="preserve"> prescribed in the Regulations, which means the power to serve infringement notices under </w:t>
      </w:r>
      <w:r>
        <w:t xml:space="preserve">section 155 of </w:t>
      </w:r>
      <w:r w:rsidRPr="00687FA9">
        <w:t xml:space="preserve">the Act is not operational. This leaves a gap in the current </w:t>
      </w:r>
      <w:r>
        <w:t xml:space="preserve">regulatory </w:t>
      </w:r>
      <w:r w:rsidRPr="00687FA9">
        <w:t>compliance and enforcement toolkit</w:t>
      </w:r>
      <w:r>
        <w:t>,</w:t>
      </w:r>
      <w:r w:rsidRPr="00687FA9">
        <w:t xml:space="preserve"> </w:t>
      </w:r>
      <w:r>
        <w:t xml:space="preserve">as the Act and Regulations currently only provide for the most extreme ‘full force of the law’ methods for dealing with non-compliance. These include court proceedings, which may be extremely costly to all parties and disproportionate to the compliance breach, or registration suspensions or revocations, which would interrupt service delivery (by removing legal authority for operation of the facility).   </w:t>
      </w:r>
    </w:p>
    <w:p w14:paraId="79E73FB7" w14:textId="77777777" w:rsidR="00EA0D40" w:rsidRDefault="00EA0D40" w:rsidP="00EA0D40">
      <w:pPr>
        <w:pStyle w:val="Heading6"/>
      </w:pPr>
      <w:r>
        <w:t>Identification of options</w:t>
      </w:r>
    </w:p>
    <w:p w14:paraId="37845BAC" w14:textId="77777777" w:rsidR="00EA0D40" w:rsidRDefault="00EA0D40" w:rsidP="00EA0D40">
      <w:pPr>
        <w:pStyle w:val="Heading7"/>
      </w:pPr>
      <w:r>
        <w:t>The Base Case</w:t>
      </w:r>
    </w:p>
    <w:p w14:paraId="6BBDA9A0" w14:textId="77777777" w:rsidR="00EA0D40" w:rsidRDefault="00EA0D40" w:rsidP="00EA0D40">
      <w:r>
        <w:t xml:space="preserve">The Base Case is no regulations. No offences or penalties would be included in the Regulations. HSEs would still be subject to penalties for offences set out in the Act, which would be enforced through court proceedings, and to other regulatory action (such as suspension or revocation of registration) for non-compliance with obligations under the Act. HSEs would also still be required (under the Act) to maintain accreditation against the Standards. </w:t>
      </w:r>
    </w:p>
    <w:p w14:paraId="66215EA7" w14:textId="77777777" w:rsidR="00EA0D40" w:rsidRDefault="00EA0D40" w:rsidP="00EA0D40">
      <w:pPr>
        <w:pStyle w:val="Heading7"/>
      </w:pPr>
      <w:r>
        <w:t xml:space="preserve">Option 1: current regulations are remade </w:t>
      </w:r>
    </w:p>
    <w:p w14:paraId="29390C81" w14:textId="77777777" w:rsidR="00EA0D40" w:rsidRDefault="00EA0D40" w:rsidP="00EA0D40">
      <w:r>
        <w:t>Under Option 1, 36 offences</w:t>
      </w:r>
      <w:r>
        <w:rPr>
          <w:rStyle w:val="FootnoteReference"/>
        </w:rPr>
        <w:footnoteReference w:id="85"/>
      </w:r>
      <w:r>
        <w:t xml:space="preserve"> and associated penalty units prescribed in the regulations are remade and apply to HSEs, however no infringement offences and penalties would be included in the Regulations. The penalties for non-compliance set out in the Regulations would only be enforced through court proceeding. Some other regulatory actions for non-compliance with the regulations would be available under the Act (for example such as suspension or revocation of registration). HSEs would also be required (under the Act) to maintain accreditation against the Standards.  </w:t>
      </w:r>
    </w:p>
    <w:p w14:paraId="0CA1708E" w14:textId="77777777" w:rsidR="00EA0D40" w:rsidRDefault="00EA0D40" w:rsidP="00EA0D40">
      <w:pPr>
        <w:pStyle w:val="Heading7"/>
      </w:pPr>
      <w:r>
        <w:t xml:space="preserve">Option 2: current regulations with the addition of prescribed infringement offences </w:t>
      </w:r>
    </w:p>
    <w:p w14:paraId="6B85299F" w14:textId="77777777" w:rsidR="00D53237" w:rsidRDefault="00D53237" w:rsidP="00D53237">
      <w:r>
        <w:t xml:space="preserve">Under Option 2, 29 new infringement offences will be prescribed in the regulations. These offences are set out below under the current Regulations, with the proposed new regulations included in blue for clarity: </w:t>
      </w:r>
    </w:p>
    <w:p w14:paraId="3F677AA8" w14:textId="77777777" w:rsidR="009D36D2" w:rsidRDefault="009D36D2" w:rsidP="009D36D2">
      <w:pPr>
        <w:pStyle w:val="ListParagraph"/>
        <w:numPr>
          <w:ilvl w:val="0"/>
          <w:numId w:val="121"/>
        </w:numPr>
        <w:ind w:left="709" w:hanging="425"/>
      </w:pPr>
      <w:r>
        <w:t xml:space="preserve">reg 14(1) </w:t>
      </w:r>
      <w:r w:rsidRPr="00415828">
        <w:rPr>
          <w:color w:val="2C778B" w:themeColor="accent5" w:themeShade="80"/>
        </w:rPr>
        <w:t xml:space="preserve">[proposed reg </w:t>
      </w:r>
      <w:r w:rsidR="00BC5086">
        <w:rPr>
          <w:color w:val="2C778B" w:themeColor="accent5" w:themeShade="80"/>
        </w:rPr>
        <w:t>1</w:t>
      </w:r>
      <w:r w:rsidRPr="00415828">
        <w:rPr>
          <w:color w:val="2C778B" w:themeColor="accent5" w:themeShade="80"/>
        </w:rPr>
        <w:t xml:space="preserve">8(1)] </w:t>
      </w:r>
      <w:r>
        <w:t>– not appointing a suitably qualified person as the DON [Director of Nursing]</w:t>
      </w:r>
    </w:p>
    <w:p w14:paraId="7FD95B44" w14:textId="6D1A01B8" w:rsidR="009D36D2" w:rsidRDefault="009D36D2" w:rsidP="009D36D2">
      <w:pPr>
        <w:pStyle w:val="ListParagraph"/>
        <w:numPr>
          <w:ilvl w:val="0"/>
          <w:numId w:val="121"/>
        </w:numPr>
        <w:ind w:left="709" w:hanging="425"/>
      </w:pPr>
      <w:r>
        <w:t xml:space="preserve">reg 15 </w:t>
      </w:r>
      <w:r w:rsidRPr="00BC5086">
        <w:rPr>
          <w:color w:val="2C778B" w:themeColor="accent5" w:themeShade="80"/>
        </w:rPr>
        <w:t>[proposed reg</w:t>
      </w:r>
      <w:r w:rsidR="00BC5086">
        <w:rPr>
          <w:color w:val="2C778B" w:themeColor="accent5" w:themeShade="80"/>
        </w:rPr>
        <w:t xml:space="preserve"> </w:t>
      </w:r>
      <w:r w:rsidRPr="00BC5086">
        <w:rPr>
          <w:color w:val="2C778B" w:themeColor="accent5" w:themeShade="80"/>
        </w:rPr>
        <w:t>19]</w:t>
      </w:r>
      <w:r w:rsidR="00BC5086" w:rsidRPr="00BC5086">
        <w:rPr>
          <w:color w:val="2C778B" w:themeColor="accent5" w:themeShade="80"/>
        </w:rPr>
        <w:t xml:space="preserve"> </w:t>
      </w:r>
      <w:r>
        <w:t>– not appointing an acting DON</w:t>
      </w:r>
    </w:p>
    <w:p w14:paraId="508F3EEE" w14:textId="44EF2A35" w:rsidR="009D36D2" w:rsidRDefault="009D36D2" w:rsidP="009D36D2">
      <w:pPr>
        <w:pStyle w:val="ListParagraph"/>
        <w:numPr>
          <w:ilvl w:val="0"/>
          <w:numId w:val="121"/>
        </w:numPr>
        <w:ind w:left="709" w:hanging="425"/>
      </w:pPr>
      <w:r>
        <w:t xml:space="preserve">reg 16 </w:t>
      </w:r>
      <w:r w:rsidRPr="00BC5086">
        <w:rPr>
          <w:color w:val="2C778B" w:themeColor="accent5" w:themeShade="80"/>
        </w:rPr>
        <w:t>[to be split into two offences in proposed regs 20(1) and 20(2)]</w:t>
      </w:r>
      <w:r w:rsidR="00BC5086" w:rsidRPr="00BC5086">
        <w:rPr>
          <w:color w:val="2C778B" w:themeColor="accent5" w:themeShade="80"/>
        </w:rPr>
        <w:t xml:space="preserve"> </w:t>
      </w:r>
      <w:r>
        <w:t>– not notifying the Secretary of the appointment, qualifications and experience of a DON or acting DON within 28 days</w:t>
      </w:r>
    </w:p>
    <w:p w14:paraId="79C656E3" w14:textId="77777777" w:rsidR="00415828" w:rsidRDefault="00415828" w:rsidP="00415828">
      <w:pPr>
        <w:pStyle w:val="ListParagraph"/>
        <w:numPr>
          <w:ilvl w:val="0"/>
          <w:numId w:val="121"/>
        </w:numPr>
        <w:ind w:left="709" w:hanging="425"/>
      </w:pPr>
      <w:r>
        <w:lastRenderedPageBreak/>
        <w:t xml:space="preserve">reg 17 </w:t>
      </w:r>
      <w:r w:rsidRPr="00BC5086">
        <w:rPr>
          <w:color w:val="2C778B" w:themeColor="accent5" w:themeShade="80"/>
        </w:rPr>
        <w:t xml:space="preserve">[proposed reg 21] </w:t>
      </w:r>
      <w:r>
        <w:t xml:space="preserve">– not notifying the Secretary of the appointment of a CEO or Medical Director (however titled) within 28 days </w:t>
      </w:r>
    </w:p>
    <w:p w14:paraId="49003F38" w14:textId="77777777" w:rsidR="00415828" w:rsidRPr="00DE0985" w:rsidRDefault="00415828" w:rsidP="00415828">
      <w:pPr>
        <w:pStyle w:val="ListParagraph"/>
        <w:numPr>
          <w:ilvl w:val="0"/>
          <w:numId w:val="121"/>
        </w:numPr>
        <w:ind w:left="709" w:hanging="425"/>
      </w:pPr>
      <w:r>
        <w:t xml:space="preserve">reg </w:t>
      </w:r>
      <w:r w:rsidRPr="00DE0985">
        <w:t>18</w:t>
      </w:r>
      <w:r>
        <w:t xml:space="preserve"> </w:t>
      </w:r>
      <w:r w:rsidRPr="00BC5086">
        <w:rPr>
          <w:color w:val="2C778B" w:themeColor="accent5" w:themeShade="80"/>
        </w:rPr>
        <w:t xml:space="preserve">[proposed reg 22] </w:t>
      </w:r>
      <w:r w:rsidRPr="00DE0985">
        <w:t xml:space="preserve">– not notifying the Secretary of the termination of a CEO or Medical Director (however titled) appointment or vacancy of the position with 28 days </w:t>
      </w:r>
    </w:p>
    <w:p w14:paraId="298631D2" w14:textId="77777777" w:rsidR="00415828" w:rsidRPr="00DE0985" w:rsidRDefault="00415828" w:rsidP="00415828">
      <w:pPr>
        <w:pStyle w:val="ListParagraph"/>
        <w:numPr>
          <w:ilvl w:val="0"/>
          <w:numId w:val="121"/>
        </w:numPr>
        <w:ind w:left="709" w:hanging="425"/>
      </w:pPr>
      <w:r>
        <w:t xml:space="preserve">reg </w:t>
      </w:r>
      <w:r w:rsidRPr="00DE0985">
        <w:t xml:space="preserve">19 </w:t>
      </w:r>
      <w:r w:rsidRPr="00BC5086">
        <w:rPr>
          <w:color w:val="2C778B" w:themeColor="accent5" w:themeShade="80"/>
        </w:rPr>
        <w:t xml:space="preserve">[proposed reg 23] </w:t>
      </w:r>
      <w:r w:rsidRPr="00DE0985">
        <w:t xml:space="preserve">– not allocating a unit record number to a patient on or as soon as practicable after admission </w:t>
      </w:r>
    </w:p>
    <w:p w14:paraId="1C31FD0A" w14:textId="77777777" w:rsidR="00415828" w:rsidRPr="00DE0985" w:rsidRDefault="00415828" w:rsidP="00415828">
      <w:pPr>
        <w:pStyle w:val="ListParagraph"/>
        <w:numPr>
          <w:ilvl w:val="0"/>
          <w:numId w:val="121"/>
        </w:numPr>
        <w:ind w:left="709" w:hanging="425"/>
      </w:pPr>
      <w:r>
        <w:t xml:space="preserve">reg </w:t>
      </w:r>
      <w:r w:rsidRPr="00DE0985">
        <w:t xml:space="preserve">20(1) </w:t>
      </w:r>
      <w:r w:rsidRPr="00BC5086">
        <w:rPr>
          <w:color w:val="2C778B" w:themeColor="accent5" w:themeShade="80"/>
        </w:rPr>
        <w:t xml:space="preserve">[proposed reg 24(1)] </w:t>
      </w:r>
      <w:r w:rsidRPr="00DE0985">
        <w:t xml:space="preserve">– not giving a patient on or before admission a statement containing information about the health care services provided by the </w:t>
      </w:r>
      <w:r>
        <w:t>HSEs</w:t>
      </w:r>
      <w:r w:rsidRPr="00DE0985">
        <w:rPr>
          <w:rStyle w:val="FootnoteReference"/>
        </w:rPr>
        <w:footnoteReference w:id="86"/>
      </w:r>
      <w:r w:rsidRPr="00DE0985">
        <w:t>; fees; and an explanation of the treatment</w:t>
      </w:r>
    </w:p>
    <w:p w14:paraId="44C52181" w14:textId="77777777" w:rsidR="00415828" w:rsidRPr="00DE0985" w:rsidRDefault="00415828" w:rsidP="00415828">
      <w:pPr>
        <w:pStyle w:val="ListParagraph"/>
        <w:numPr>
          <w:ilvl w:val="0"/>
          <w:numId w:val="121"/>
        </w:numPr>
        <w:ind w:left="709" w:hanging="425"/>
      </w:pPr>
      <w:r>
        <w:t xml:space="preserve">reg </w:t>
      </w:r>
      <w:r w:rsidRPr="00DE0985">
        <w:t xml:space="preserve">21 </w:t>
      </w:r>
      <w:r w:rsidRPr="00BC5086">
        <w:rPr>
          <w:color w:val="2C778B" w:themeColor="accent5" w:themeShade="80"/>
        </w:rPr>
        <w:t xml:space="preserve">[to be split into two offences in proposed regs 27(1) and 27(2)] </w:t>
      </w:r>
      <w:r w:rsidRPr="00DE0985">
        <w:t xml:space="preserve">–not creating and maintaining separate clinical records for each patient </w:t>
      </w:r>
    </w:p>
    <w:p w14:paraId="59A32688" w14:textId="2C34967D" w:rsidR="00415828" w:rsidRDefault="00415828" w:rsidP="00415828">
      <w:pPr>
        <w:pStyle w:val="ListParagraph"/>
        <w:numPr>
          <w:ilvl w:val="0"/>
          <w:numId w:val="121"/>
        </w:numPr>
        <w:ind w:left="709" w:hanging="425"/>
      </w:pPr>
      <w:r>
        <w:t xml:space="preserve">reg 23 </w:t>
      </w:r>
      <w:r w:rsidRPr="00BC5086">
        <w:rPr>
          <w:color w:val="2C778B" w:themeColor="accent5" w:themeShade="80"/>
        </w:rPr>
        <w:t xml:space="preserve">[proposed reg 29] </w:t>
      </w:r>
      <w:r w:rsidR="00BC5086" w:rsidRPr="00DE0985">
        <w:t xml:space="preserve">– </w:t>
      </w:r>
      <w:r>
        <w:t>n</w:t>
      </w:r>
      <w:r w:rsidRPr="00BF7AF7">
        <w:t>ot ensuring a patient can be readily identified by an attached identity band or device or a photograph on their clinical record</w:t>
      </w:r>
    </w:p>
    <w:p w14:paraId="630A12FC" w14:textId="19083F05" w:rsidR="00415828" w:rsidRDefault="00415828" w:rsidP="00415828">
      <w:pPr>
        <w:pStyle w:val="ListParagraph"/>
        <w:numPr>
          <w:ilvl w:val="0"/>
          <w:numId w:val="121"/>
        </w:numPr>
        <w:ind w:left="709" w:hanging="425"/>
      </w:pPr>
      <w:r>
        <w:t xml:space="preserve">reg 24(1) </w:t>
      </w:r>
      <w:r w:rsidRPr="00BC5086">
        <w:rPr>
          <w:color w:val="2C778B" w:themeColor="accent5" w:themeShade="80"/>
        </w:rPr>
        <w:t xml:space="preserve">[proposed reg 30(1)] </w:t>
      </w:r>
      <w:r w:rsidR="00BC5086" w:rsidRPr="00DE0985">
        <w:t xml:space="preserve">– </w:t>
      </w:r>
      <w:r>
        <w:t>n</w:t>
      </w:r>
      <w:r w:rsidRPr="00816471">
        <w:t>ot ensuring at least 2 identity bands or devices are attached to an infant before leaving the delivery room and while it remains on the premises</w:t>
      </w:r>
    </w:p>
    <w:p w14:paraId="148736C0" w14:textId="36D0256D" w:rsidR="00415828" w:rsidRPr="00DE0985" w:rsidRDefault="00415828" w:rsidP="00415828">
      <w:pPr>
        <w:pStyle w:val="ListParagraph"/>
        <w:numPr>
          <w:ilvl w:val="0"/>
          <w:numId w:val="121"/>
        </w:numPr>
        <w:ind w:left="709" w:hanging="425"/>
      </w:pPr>
      <w:r>
        <w:t xml:space="preserve">reg 24(2) </w:t>
      </w:r>
      <w:r w:rsidRPr="00BC5086">
        <w:rPr>
          <w:color w:val="2C778B" w:themeColor="accent5" w:themeShade="80"/>
        </w:rPr>
        <w:t xml:space="preserve">[proposed reg 30(2)] </w:t>
      </w:r>
      <w:r w:rsidR="00BC5086" w:rsidRPr="00DE0985">
        <w:t xml:space="preserve">– </w:t>
      </w:r>
      <w:r>
        <w:t>n</w:t>
      </w:r>
      <w:r w:rsidRPr="00E92AEA">
        <w:t>ot ensuring at least 2 identity bands or devices are attached to an infant if its mother is admitted as a patient immediately after giving birth</w:t>
      </w:r>
    </w:p>
    <w:p w14:paraId="224C1821" w14:textId="77777777" w:rsidR="00415828" w:rsidRPr="00DE0985" w:rsidRDefault="00415828" w:rsidP="00415828">
      <w:pPr>
        <w:pStyle w:val="ListParagraph"/>
        <w:numPr>
          <w:ilvl w:val="0"/>
          <w:numId w:val="121"/>
        </w:numPr>
        <w:ind w:left="709" w:hanging="425"/>
      </w:pPr>
      <w:r>
        <w:t xml:space="preserve">reg </w:t>
      </w:r>
      <w:r w:rsidRPr="00DE0985">
        <w:t xml:space="preserve">26 </w:t>
      </w:r>
      <w:r w:rsidRPr="00BC5086">
        <w:rPr>
          <w:color w:val="2C778B" w:themeColor="accent5" w:themeShade="80"/>
        </w:rPr>
        <w:t xml:space="preserve">[proposed reg 32] </w:t>
      </w:r>
      <w:r w:rsidRPr="00DE0985">
        <w:t>– not ensuring each nurse is an enrolled or registered nurse with the professional competence, education or experience relevant to the health services being provided</w:t>
      </w:r>
    </w:p>
    <w:p w14:paraId="5C465C30" w14:textId="77777777" w:rsidR="00415828" w:rsidRPr="00DE0985" w:rsidRDefault="00415828" w:rsidP="00415828">
      <w:pPr>
        <w:pStyle w:val="ListParagraph"/>
        <w:numPr>
          <w:ilvl w:val="0"/>
          <w:numId w:val="121"/>
        </w:numPr>
        <w:ind w:left="709" w:hanging="425"/>
      </w:pPr>
      <w:r>
        <w:t xml:space="preserve">reg </w:t>
      </w:r>
      <w:r w:rsidRPr="00DE0985">
        <w:t xml:space="preserve">27(1) </w:t>
      </w:r>
      <w:r w:rsidRPr="00BC5086">
        <w:rPr>
          <w:color w:val="2C778B" w:themeColor="accent5" w:themeShade="80"/>
        </w:rPr>
        <w:t xml:space="preserve">[proposed reg 35] </w:t>
      </w:r>
      <w:r w:rsidRPr="00DE0985">
        <w:t xml:space="preserve">– not ensuring </w:t>
      </w:r>
      <w:r>
        <w:t>a sufficient</w:t>
      </w:r>
      <w:r w:rsidRPr="00DE0985">
        <w:t xml:space="preserve"> number of nursing staff are on duty</w:t>
      </w:r>
      <w:r w:rsidRPr="00DE0985">
        <w:rPr>
          <w:rStyle w:val="FootnoteReference"/>
        </w:rPr>
        <w:footnoteReference w:id="87"/>
      </w:r>
    </w:p>
    <w:p w14:paraId="124B921B" w14:textId="09DC4DBF" w:rsidR="00415828" w:rsidRPr="00DE0985" w:rsidRDefault="00415828" w:rsidP="00415828">
      <w:pPr>
        <w:pStyle w:val="ListParagraph"/>
        <w:numPr>
          <w:ilvl w:val="0"/>
          <w:numId w:val="121"/>
        </w:numPr>
        <w:ind w:left="709" w:hanging="425"/>
      </w:pPr>
      <w:r>
        <w:t xml:space="preserve">reg </w:t>
      </w:r>
      <w:r w:rsidRPr="00DE0985">
        <w:t xml:space="preserve">29(1) </w:t>
      </w:r>
      <w:r w:rsidR="00BC5086" w:rsidRPr="00BC5086">
        <w:rPr>
          <w:color w:val="2C778B" w:themeColor="accent5" w:themeShade="80"/>
        </w:rPr>
        <w:t>[</w:t>
      </w:r>
      <w:r w:rsidRPr="00BC5086">
        <w:rPr>
          <w:color w:val="2C778B" w:themeColor="accent5" w:themeShade="80"/>
        </w:rPr>
        <w:t xml:space="preserve">proposed reg 38(1)] </w:t>
      </w:r>
      <w:r w:rsidRPr="00DE0985">
        <w:t>– not nominating a person to receive and de</w:t>
      </w:r>
      <w:r>
        <w:t>a</w:t>
      </w:r>
      <w:r w:rsidRPr="00DE0985">
        <w:t xml:space="preserve">l with patient complaints </w:t>
      </w:r>
    </w:p>
    <w:p w14:paraId="7830C22A" w14:textId="065EBDAF" w:rsidR="00415828" w:rsidRPr="00DE0985" w:rsidRDefault="00415828" w:rsidP="00415828">
      <w:pPr>
        <w:pStyle w:val="ListParagraph"/>
        <w:numPr>
          <w:ilvl w:val="0"/>
          <w:numId w:val="121"/>
        </w:numPr>
        <w:ind w:left="709" w:hanging="425"/>
      </w:pPr>
      <w:r>
        <w:t xml:space="preserve">reg 29(2) </w:t>
      </w:r>
      <w:r w:rsidRPr="00BC5086">
        <w:rPr>
          <w:color w:val="2C778B" w:themeColor="accent5" w:themeShade="80"/>
        </w:rPr>
        <w:t xml:space="preserve">[proposed reg 38(2)] </w:t>
      </w:r>
      <w:r w:rsidR="00BC5086" w:rsidRPr="00DE0985">
        <w:t xml:space="preserve">– </w:t>
      </w:r>
      <w:r>
        <w:t>n</w:t>
      </w:r>
      <w:r w:rsidRPr="009E75B5">
        <w:t>ot ensuring that patients and staff are informed of the name of the person nominated to receive and deal with complaints</w:t>
      </w:r>
    </w:p>
    <w:p w14:paraId="0195B37B" w14:textId="77777777" w:rsidR="00415828" w:rsidRPr="00DE0985" w:rsidRDefault="00415828" w:rsidP="00415828">
      <w:pPr>
        <w:pStyle w:val="ListParagraph"/>
        <w:numPr>
          <w:ilvl w:val="0"/>
          <w:numId w:val="121"/>
        </w:numPr>
        <w:ind w:left="709" w:hanging="425"/>
      </w:pPr>
      <w:r>
        <w:t xml:space="preserve">reg </w:t>
      </w:r>
      <w:r w:rsidRPr="00DE0985">
        <w:t xml:space="preserve">30(3) </w:t>
      </w:r>
      <w:r w:rsidRPr="00BC5086">
        <w:rPr>
          <w:color w:val="2C778B" w:themeColor="accent5" w:themeShade="80"/>
        </w:rPr>
        <w:t xml:space="preserve">[proposed reg 39(3)] </w:t>
      </w:r>
      <w:r w:rsidRPr="00DE0985">
        <w:t xml:space="preserve">– not informing the complainant of the action taken in respect of the complaint </w:t>
      </w:r>
    </w:p>
    <w:p w14:paraId="671330A6" w14:textId="77777777" w:rsidR="00415828" w:rsidRPr="00DE0985" w:rsidRDefault="00415828" w:rsidP="00415828">
      <w:pPr>
        <w:pStyle w:val="ListParagraph"/>
        <w:numPr>
          <w:ilvl w:val="0"/>
          <w:numId w:val="121"/>
        </w:numPr>
        <w:ind w:left="709" w:hanging="425"/>
      </w:pPr>
      <w:r>
        <w:t xml:space="preserve">reg </w:t>
      </w:r>
      <w:r w:rsidRPr="00DE0985">
        <w:t xml:space="preserve">31(1) </w:t>
      </w:r>
      <w:r w:rsidRPr="00BC5086">
        <w:rPr>
          <w:color w:val="2C778B" w:themeColor="accent5" w:themeShade="80"/>
        </w:rPr>
        <w:t xml:space="preserve">[proposed reg 40(1)] </w:t>
      </w:r>
      <w:r w:rsidRPr="00DE0985">
        <w:t>– not keeping a written record of every complaint</w:t>
      </w:r>
      <w:r w:rsidRPr="00DE0985">
        <w:rPr>
          <w:rStyle w:val="FootnoteReference"/>
        </w:rPr>
        <w:footnoteReference w:id="88"/>
      </w:r>
    </w:p>
    <w:p w14:paraId="663E4EA2" w14:textId="77777777" w:rsidR="00415828" w:rsidRPr="00DE0985" w:rsidRDefault="00415828" w:rsidP="00415828">
      <w:pPr>
        <w:pStyle w:val="ListParagraph"/>
        <w:numPr>
          <w:ilvl w:val="0"/>
          <w:numId w:val="121"/>
        </w:numPr>
        <w:ind w:left="709" w:hanging="425"/>
      </w:pPr>
      <w:r>
        <w:t xml:space="preserve">reg </w:t>
      </w:r>
      <w:r w:rsidRPr="00DE0985">
        <w:t xml:space="preserve">31(3) </w:t>
      </w:r>
      <w:r w:rsidRPr="00BC5086">
        <w:rPr>
          <w:color w:val="2C778B" w:themeColor="accent5" w:themeShade="80"/>
        </w:rPr>
        <w:t xml:space="preserve">[proposed reg 40(3)] </w:t>
      </w:r>
      <w:r w:rsidRPr="00DE0985">
        <w:t xml:space="preserve">– not storing the record securely for 7 years </w:t>
      </w:r>
    </w:p>
    <w:p w14:paraId="7F5B8B98" w14:textId="77777777" w:rsidR="00415828" w:rsidRPr="00DE0985" w:rsidRDefault="00415828" w:rsidP="00415828">
      <w:pPr>
        <w:pStyle w:val="ListParagraph"/>
        <w:numPr>
          <w:ilvl w:val="0"/>
          <w:numId w:val="121"/>
        </w:numPr>
        <w:ind w:left="709" w:hanging="425"/>
      </w:pPr>
      <w:r>
        <w:t xml:space="preserve">reg </w:t>
      </w:r>
      <w:r w:rsidRPr="00DE0985">
        <w:t xml:space="preserve">33 </w:t>
      </w:r>
      <w:r w:rsidRPr="00BC5086">
        <w:rPr>
          <w:color w:val="2C778B" w:themeColor="accent5" w:themeShade="80"/>
        </w:rPr>
        <w:t xml:space="preserve">[proposed reg 42] </w:t>
      </w:r>
      <w:r w:rsidRPr="00DE0985">
        <w:t xml:space="preserve">– not sending all information and documents relating to a transferring patient’s medical condition and treatment to the receiving establishment or agency </w:t>
      </w:r>
    </w:p>
    <w:p w14:paraId="760731E3" w14:textId="77777777" w:rsidR="00415828" w:rsidRPr="00DE0985" w:rsidRDefault="00415828" w:rsidP="00415828">
      <w:pPr>
        <w:pStyle w:val="ListParagraph"/>
        <w:numPr>
          <w:ilvl w:val="0"/>
          <w:numId w:val="121"/>
        </w:numPr>
        <w:ind w:left="709" w:hanging="425"/>
      </w:pPr>
      <w:r>
        <w:t xml:space="preserve">reg </w:t>
      </w:r>
      <w:r w:rsidRPr="00DE0985">
        <w:t xml:space="preserve">37(1) </w:t>
      </w:r>
      <w:r w:rsidRPr="00BC5086">
        <w:rPr>
          <w:color w:val="2C778B" w:themeColor="accent5" w:themeShade="80"/>
        </w:rPr>
        <w:t xml:space="preserve">[proposed reg 47(1)] </w:t>
      </w:r>
      <w:r w:rsidRPr="00DE0985">
        <w:t>– not keeping an Operation Theatre Register</w:t>
      </w:r>
      <w:r w:rsidRPr="00DE0985">
        <w:rPr>
          <w:rStyle w:val="FootnoteReference"/>
        </w:rPr>
        <w:footnoteReference w:id="89"/>
      </w:r>
      <w:r w:rsidRPr="00DE0985">
        <w:t xml:space="preserve"> where surgical health services or endoscopy is carried on </w:t>
      </w:r>
    </w:p>
    <w:p w14:paraId="0D11D26B" w14:textId="77777777" w:rsidR="00415828" w:rsidRPr="00DE0985" w:rsidRDefault="00415828" w:rsidP="00415828">
      <w:pPr>
        <w:pStyle w:val="ListParagraph"/>
        <w:numPr>
          <w:ilvl w:val="0"/>
          <w:numId w:val="121"/>
        </w:numPr>
        <w:ind w:left="709" w:hanging="425"/>
      </w:pPr>
      <w:r>
        <w:t xml:space="preserve">reg </w:t>
      </w:r>
      <w:r w:rsidRPr="00DE0985">
        <w:t xml:space="preserve">38(1) </w:t>
      </w:r>
      <w:r w:rsidRPr="00BC5086">
        <w:rPr>
          <w:color w:val="2C778B" w:themeColor="accent5" w:themeShade="80"/>
        </w:rPr>
        <w:t xml:space="preserve">[proposed reg 48(1)] </w:t>
      </w:r>
      <w:r w:rsidRPr="00DE0985">
        <w:t>– not keeping a Birth Register</w:t>
      </w:r>
      <w:r w:rsidRPr="00DE0985">
        <w:rPr>
          <w:rStyle w:val="FootnoteReference"/>
        </w:rPr>
        <w:footnoteReference w:id="90"/>
      </w:r>
      <w:r w:rsidRPr="00DE0985">
        <w:t xml:space="preserve"> where obstetrics may be carried on </w:t>
      </w:r>
    </w:p>
    <w:p w14:paraId="7FC21D92" w14:textId="639F457E" w:rsidR="00415828" w:rsidRPr="00DE0985" w:rsidRDefault="00415828" w:rsidP="00415828">
      <w:pPr>
        <w:pStyle w:val="ListParagraph"/>
        <w:numPr>
          <w:ilvl w:val="0"/>
          <w:numId w:val="121"/>
        </w:numPr>
        <w:ind w:left="709" w:hanging="425"/>
      </w:pPr>
      <w:r>
        <w:t xml:space="preserve">reg </w:t>
      </w:r>
      <w:r w:rsidRPr="00DE0985">
        <w:t>38(3)</w:t>
      </w:r>
      <w:r>
        <w:t xml:space="preserve"> </w:t>
      </w:r>
      <w:r w:rsidR="00BC5086" w:rsidRPr="00BC5086">
        <w:rPr>
          <w:color w:val="2C778B" w:themeColor="accent5" w:themeShade="80"/>
        </w:rPr>
        <w:t>[</w:t>
      </w:r>
      <w:r w:rsidRPr="00BC5086">
        <w:rPr>
          <w:color w:val="2C778B" w:themeColor="accent5" w:themeShade="80"/>
        </w:rPr>
        <w:t xml:space="preserve">proposed reg 48(3)] </w:t>
      </w:r>
      <w:r w:rsidRPr="00DE0985">
        <w:t xml:space="preserve">– not keeping a Birth Register for at least 25 years after the date of the last entry </w:t>
      </w:r>
    </w:p>
    <w:p w14:paraId="54F56DE9" w14:textId="77777777" w:rsidR="00415828" w:rsidRPr="006471DE" w:rsidRDefault="00415828" w:rsidP="00415828">
      <w:pPr>
        <w:pStyle w:val="ListParagraph"/>
        <w:numPr>
          <w:ilvl w:val="0"/>
          <w:numId w:val="121"/>
        </w:numPr>
        <w:ind w:left="709" w:hanging="425"/>
      </w:pPr>
      <w:r>
        <w:lastRenderedPageBreak/>
        <w:t xml:space="preserve">reg </w:t>
      </w:r>
      <w:r w:rsidRPr="006471DE">
        <w:t xml:space="preserve">39 </w:t>
      </w:r>
      <w:r w:rsidRPr="00BC5086">
        <w:rPr>
          <w:color w:val="2C778B" w:themeColor="accent5" w:themeShade="80"/>
        </w:rPr>
        <w:t xml:space="preserve">[proposed reg 50] </w:t>
      </w:r>
      <w:r w:rsidRPr="006471DE">
        <w:t xml:space="preserve">– not putting signage at room entrances to indicate the room’s letter or number and the number of beds and recovery chairs ordinarily in that room </w:t>
      </w:r>
    </w:p>
    <w:p w14:paraId="668677DB" w14:textId="77777777" w:rsidR="00415828" w:rsidRPr="006471DE" w:rsidRDefault="00415828" w:rsidP="00415828">
      <w:pPr>
        <w:pStyle w:val="ListParagraph"/>
        <w:numPr>
          <w:ilvl w:val="0"/>
          <w:numId w:val="121"/>
        </w:numPr>
        <w:ind w:left="709" w:hanging="425"/>
      </w:pPr>
      <w:r>
        <w:t xml:space="preserve">reg </w:t>
      </w:r>
      <w:r w:rsidRPr="006471DE">
        <w:t xml:space="preserve">40(1) </w:t>
      </w:r>
      <w:r w:rsidRPr="00BC5086">
        <w:rPr>
          <w:color w:val="2C778B" w:themeColor="accent5" w:themeShade="80"/>
        </w:rPr>
        <w:t xml:space="preserve">[proposed reg 51(1)] </w:t>
      </w:r>
      <w:r w:rsidRPr="006471DE">
        <w:t>– not operating an effective electronic communication system</w:t>
      </w:r>
      <w:r w:rsidRPr="006471DE">
        <w:rPr>
          <w:rStyle w:val="FootnoteReference"/>
        </w:rPr>
        <w:footnoteReference w:id="91"/>
      </w:r>
      <w:r w:rsidRPr="006471DE">
        <w:t xml:space="preserve"> at a registered premises </w:t>
      </w:r>
    </w:p>
    <w:p w14:paraId="4FB10232" w14:textId="77777777" w:rsidR="00415828" w:rsidRPr="006471DE" w:rsidRDefault="00415828" w:rsidP="00415828">
      <w:pPr>
        <w:pStyle w:val="ListParagraph"/>
        <w:numPr>
          <w:ilvl w:val="0"/>
          <w:numId w:val="121"/>
        </w:numPr>
        <w:ind w:left="709" w:hanging="425"/>
      </w:pPr>
      <w:r>
        <w:t xml:space="preserve">reg </w:t>
      </w:r>
      <w:r w:rsidRPr="006471DE">
        <w:t xml:space="preserve">44(1) </w:t>
      </w:r>
      <w:r w:rsidRPr="00BC5086">
        <w:rPr>
          <w:color w:val="2C778B" w:themeColor="accent5" w:themeShade="80"/>
        </w:rPr>
        <w:t xml:space="preserve">[proposed reg 56(1)] </w:t>
      </w:r>
      <w:r w:rsidRPr="006471DE">
        <w:t>– not implementing and maintaining an Infection Control Management Plan</w:t>
      </w:r>
      <w:r w:rsidRPr="000D17F7">
        <w:rPr>
          <w:rStyle w:val="FootnoteReference"/>
        </w:rPr>
        <w:footnoteReference w:id="92"/>
      </w:r>
      <w:r w:rsidRPr="009310F4">
        <w:rPr>
          <w:vertAlign w:val="superscript"/>
        </w:rPr>
        <w:t xml:space="preserve"> </w:t>
      </w:r>
    </w:p>
    <w:p w14:paraId="54AE18BF" w14:textId="77777777" w:rsidR="00415828" w:rsidRPr="006471DE" w:rsidRDefault="00415828" w:rsidP="00415828">
      <w:pPr>
        <w:pStyle w:val="ListParagraph"/>
        <w:numPr>
          <w:ilvl w:val="0"/>
          <w:numId w:val="121"/>
        </w:numPr>
        <w:ind w:left="709" w:hanging="425"/>
      </w:pPr>
      <w:r>
        <w:t xml:space="preserve">reg </w:t>
      </w:r>
      <w:r w:rsidRPr="006471DE">
        <w:t xml:space="preserve">45 </w:t>
      </w:r>
      <w:r w:rsidRPr="00BC5086">
        <w:rPr>
          <w:color w:val="2C778B" w:themeColor="accent5" w:themeShade="80"/>
        </w:rPr>
        <w:t>[proposed reg 57</w:t>
      </w:r>
      <w:r>
        <w:t xml:space="preserve">] </w:t>
      </w:r>
      <w:r w:rsidRPr="006471DE">
        <w:t>– not prominently displaying the registration certificate, name of the DON and the name of the CEO or Medical Director if appointed</w:t>
      </w:r>
    </w:p>
    <w:p w14:paraId="35F83666" w14:textId="77777777" w:rsidR="00415828" w:rsidRDefault="00415828" w:rsidP="00415828">
      <w:pPr>
        <w:pStyle w:val="ListParagraph"/>
        <w:numPr>
          <w:ilvl w:val="0"/>
          <w:numId w:val="121"/>
        </w:numPr>
        <w:ind w:left="709" w:hanging="425"/>
      </w:pPr>
      <w:r>
        <w:t xml:space="preserve">reg </w:t>
      </w:r>
      <w:r w:rsidRPr="006471DE">
        <w:t xml:space="preserve">46A </w:t>
      </w:r>
      <w:r w:rsidRPr="00BC5086">
        <w:rPr>
          <w:color w:val="2C778B" w:themeColor="accent5" w:themeShade="80"/>
        </w:rPr>
        <w:t>[proposed reg 66</w:t>
      </w:r>
      <w:r>
        <w:t xml:space="preserve">] </w:t>
      </w:r>
      <w:r w:rsidRPr="006471DE">
        <w:t xml:space="preserve">– not reporting (in writing) a sentinel event to the Secretary within the time determined. </w:t>
      </w:r>
    </w:p>
    <w:p w14:paraId="5FA31BF4" w14:textId="77777777" w:rsidR="00EA0D40" w:rsidRDefault="00EA0D40" w:rsidP="00EA0D40">
      <w:r>
        <w:t>This is additional to the remaking of 36 offences</w:t>
      </w:r>
      <w:r>
        <w:rPr>
          <w:rStyle w:val="FootnoteReference"/>
        </w:rPr>
        <w:footnoteReference w:id="93"/>
      </w:r>
      <w:r>
        <w:t xml:space="preserve"> and penalty units specified in the Regulations that may be imposed by a court if a person is prosecuted for a breach of the Regulations. </w:t>
      </w:r>
    </w:p>
    <w:p w14:paraId="0F7438CF" w14:textId="77777777" w:rsidR="00EA0D40" w:rsidRPr="00C227E4" w:rsidRDefault="00EA0D40" w:rsidP="00EA0D40">
      <w:r>
        <w:t xml:space="preserve">The </w:t>
      </w:r>
      <w:r w:rsidRPr="00C227E4">
        <w:t xml:space="preserve">offences that are suitable for being an infringement offence (that is, an offence where contravention may result in a fine being issued) are selected by reference to the </w:t>
      </w:r>
      <w:r w:rsidRPr="00C227E4">
        <w:rPr>
          <w:i/>
          <w:iCs/>
        </w:rPr>
        <w:t>Attorney General’s Guidelines to the Infringement Act 2006</w:t>
      </w:r>
      <w:r w:rsidRPr="00C227E4">
        <w:t xml:space="preserve"> </w:t>
      </w:r>
      <w:r w:rsidRPr="00C227E4">
        <w:rPr>
          <w:i/>
          <w:iCs/>
        </w:rPr>
        <w:t>(2022 Edition).</w:t>
      </w:r>
      <w:r w:rsidRPr="00C227E4">
        <w:t xml:space="preserve"> These require consideration of several factors, including whether the relevant behaviour should be criminalised, the gravity of the offence, and whether the elements of the offence are all sufficiently clear (unambiguous) such that there is only limited discretion for the officer issuing an infringement notice. The Guidelines also set parameters for the maximum amount of an infringement. In addition, the Act specifies that these can only be 20% of the maximum penalty for the relevant offence. </w:t>
      </w:r>
    </w:p>
    <w:p w14:paraId="78B41684" w14:textId="77777777" w:rsidR="00EA0D40" w:rsidRPr="00C227E4" w:rsidRDefault="00EA0D40" w:rsidP="00EA0D40">
      <w:r w:rsidRPr="00C227E4">
        <w:t xml:space="preserve">To assist transparency, as part of the implementation process for the Regulations the department will develop and communicate guidelines about the exercise of the powers to issue infringement notices.  </w:t>
      </w:r>
    </w:p>
    <w:p w14:paraId="2FD0C46F" w14:textId="77777777" w:rsidR="00EA0D40" w:rsidRPr="00C227E4" w:rsidRDefault="00EA0D40" w:rsidP="00EA0D40">
      <w:pPr>
        <w:pStyle w:val="Heading6"/>
      </w:pPr>
      <w:r w:rsidRPr="00C227E4">
        <w:t>Assessing the options</w:t>
      </w:r>
    </w:p>
    <w:p w14:paraId="770CA12D" w14:textId="77777777" w:rsidR="00EA0D40" w:rsidRPr="00C227E4" w:rsidRDefault="00EA0D40" w:rsidP="00EA0D40">
      <w:r w:rsidRPr="00C227E4">
        <w:t xml:space="preserve">This section assesses the options against the criteria outlined in chapter 4.  </w:t>
      </w:r>
      <w:r w:rsidRPr="006522DF">
        <w:t>Scores are not awarded for each option as both the costs and benefits to government and HSEs are difficult to predict because they will differ from case to case and over the range of offences and penalties. Further, the options are not binary, rather they illustrate the relative efficiency of the existing range of tools that the department currently has to respond to non-compliance with the regulations, as compared with the preferred option where an additional existing power is operationalised to enable a fuller range of proportionate enforcement activity consistent with established principles of best practice regulation.</w:t>
      </w:r>
      <w:r w:rsidRPr="00C227E4">
        <w:t xml:space="preserve">       </w:t>
      </w:r>
    </w:p>
    <w:p w14:paraId="3A9026CC" w14:textId="77777777" w:rsidR="00EA0D40" w:rsidRPr="00C227E4" w:rsidRDefault="00EA0D40" w:rsidP="006522DF">
      <w:pPr>
        <w:pStyle w:val="Heading7"/>
      </w:pPr>
      <w:r w:rsidRPr="00C227E4">
        <w:t>Protects the safety and quality of care of patients receiving health services in HSEs</w:t>
      </w:r>
    </w:p>
    <w:p w14:paraId="472D25DE" w14:textId="77777777" w:rsidR="00EA0D40" w:rsidRPr="00C227E4" w:rsidRDefault="00EA0D40" w:rsidP="006522DF">
      <w:pPr>
        <w:spacing w:before="0"/>
        <w:rPr>
          <w:rStyle w:val="Strong"/>
        </w:rPr>
      </w:pPr>
      <w:r w:rsidRPr="00C227E4">
        <w:rPr>
          <w:rStyle w:val="Strong"/>
        </w:rPr>
        <w:t>Base Case</w:t>
      </w:r>
    </w:p>
    <w:p w14:paraId="2A12939C" w14:textId="77777777" w:rsidR="00EA0D40" w:rsidRPr="00C227E4" w:rsidRDefault="00EA0D40" w:rsidP="00EA0D40">
      <w:r w:rsidRPr="00C227E4">
        <w:lastRenderedPageBreak/>
        <w:t xml:space="preserve">Under the Base Case, the offences and associated penalties specified in the regulations would no longer apply to HSEs. However, HSEs would still be subject to other offences and penalties set out in the Act. </w:t>
      </w:r>
    </w:p>
    <w:p w14:paraId="25B598F9" w14:textId="77777777" w:rsidR="00EA0D40" w:rsidRPr="001E347D" w:rsidRDefault="00EA0D40" w:rsidP="00EA0D40">
      <w:pPr>
        <w:rPr>
          <w:rStyle w:val="Strong"/>
        </w:rPr>
      </w:pPr>
      <w:r w:rsidRPr="00C227E4">
        <w:rPr>
          <w:rStyle w:val="Strong"/>
        </w:rPr>
        <w:t>Option 1</w:t>
      </w:r>
    </w:p>
    <w:p w14:paraId="42BA3F01" w14:textId="77777777" w:rsidR="00EA0D40" w:rsidRDefault="00EA0D40" w:rsidP="00EA0D40">
      <w:pPr>
        <w:tabs>
          <w:tab w:val="left" w:pos="5280"/>
        </w:tabs>
      </w:pPr>
      <w:r w:rsidRPr="003917FD">
        <w:rPr>
          <w:rFonts w:cstheme="minorHAnsi"/>
        </w:rPr>
        <w:t xml:space="preserve">Option 1 maintains the current arrangements with no </w:t>
      </w:r>
      <w:r>
        <w:rPr>
          <w:rFonts w:cstheme="minorHAnsi"/>
        </w:rPr>
        <w:t xml:space="preserve">proposed amendments. </w:t>
      </w:r>
      <w:r>
        <w:t>There continues to be no mechanism for an authorised officer to serve an infringement notice for non-compliance with penalty provisions in the regulations, as no infringement offences are prescribed in the regulations.</w:t>
      </w:r>
    </w:p>
    <w:p w14:paraId="7E0FEC31" w14:textId="77777777" w:rsidR="00EA0D40" w:rsidRPr="00F96A30" w:rsidRDefault="00EA0D40" w:rsidP="00EA0D40">
      <w:pPr>
        <w:tabs>
          <w:tab w:val="left" w:pos="5280"/>
        </w:tabs>
      </w:pPr>
      <w:r>
        <w:t xml:space="preserve">Thirty-six offences and associated penalty units that are currently set out in the </w:t>
      </w:r>
      <w:r>
        <w:rPr>
          <w:rFonts w:cstheme="minorHAnsi"/>
        </w:rPr>
        <w:t>regulations</w:t>
      </w:r>
      <w:r>
        <w:rPr>
          <w:rStyle w:val="FootnoteReference"/>
          <w:rFonts w:cstheme="minorHAnsi"/>
        </w:rPr>
        <w:footnoteReference w:id="94"/>
      </w:r>
      <w:r>
        <w:rPr>
          <w:rFonts w:cstheme="minorHAnsi"/>
        </w:rPr>
        <w:t xml:space="preserve"> would be </w:t>
      </w:r>
      <w:r>
        <w:t xml:space="preserve">remade and apply to </w:t>
      </w:r>
      <w:r>
        <w:rPr>
          <w:rFonts w:cstheme="minorHAnsi"/>
        </w:rPr>
        <w:t>HSEs</w:t>
      </w:r>
      <w:r>
        <w:t xml:space="preserve">. The maximum penalty amounts set out in the regulations could only be imposed by a court through a prosecution proceeding. In addition to prosecution to impose those penalties, the department would retain the powers (in the Act) to suspend or revoke registration if the proprietor of an HSE has failed to comply with the regulations, or is not likely to continue to carry on the HSE in compliance with the regulations. </w:t>
      </w:r>
    </w:p>
    <w:p w14:paraId="43E5040B" w14:textId="77777777" w:rsidR="00EA0D40" w:rsidRDefault="00EA0D40" w:rsidP="00EA0D40">
      <w:pPr>
        <w:tabs>
          <w:tab w:val="left" w:pos="5280"/>
        </w:tabs>
      </w:pPr>
      <w:r>
        <w:t xml:space="preserve">Although this option is an improvement on the Base Case, the actions available to the department to </w:t>
      </w:r>
      <w:r w:rsidRPr="00F96A30">
        <w:t xml:space="preserve">regulate and enforce compliance </w:t>
      </w:r>
      <w:r>
        <w:t xml:space="preserve">with the relevant provisions of the regulations </w:t>
      </w:r>
      <w:r w:rsidRPr="00F96A30">
        <w:t xml:space="preserve">are limited. </w:t>
      </w:r>
    </w:p>
    <w:p w14:paraId="43D8F7BB" w14:textId="77777777" w:rsidR="00EA0D40" w:rsidRDefault="00EA0D40" w:rsidP="00EA0D40">
      <w:pPr>
        <w:tabs>
          <w:tab w:val="left" w:pos="5280"/>
        </w:tabs>
      </w:pPr>
      <w:r>
        <w:t xml:space="preserve">Prosecution and court proceedings are often not the most appropriate regulatory response to non-compliance. Not only can they be protracted, onerous and costly, but they might also be a disproportionate course of action given the level of non-compliance. This can deter the use of such action, which significantly limits how the regulator can enforce compliance through offences and penalties. Suspension and revocation of registration, which affect the legal authority of the HSE under the Act to provide services, are likewise significant regulatory interventions that may not be proportionate to the nature and scale of non-compliance with the relevant provisions in the regulations. </w:t>
      </w:r>
    </w:p>
    <w:p w14:paraId="75A4A3B0" w14:textId="77777777" w:rsidR="00EA0D40" w:rsidRDefault="00EA0D40" w:rsidP="00EA0D40">
      <w:pPr>
        <w:tabs>
          <w:tab w:val="left" w:pos="5280"/>
        </w:tabs>
      </w:pPr>
      <w:r>
        <w:t xml:space="preserve">All enforcement action is intended to drive compliance to best achieve the quality and safety benefits of the relevant regulations. This option limits the avenues for enforcement as compared to Option 2 (see below) so on the quality and safety of care criterion it is not preferred.      </w:t>
      </w:r>
    </w:p>
    <w:p w14:paraId="48288036" w14:textId="77777777" w:rsidR="00EA0D40" w:rsidRPr="001E347D" w:rsidRDefault="00EA0D40" w:rsidP="00EA0D40">
      <w:pPr>
        <w:rPr>
          <w:rStyle w:val="Strong"/>
        </w:rPr>
      </w:pPr>
      <w:r w:rsidRPr="001E347D">
        <w:rPr>
          <w:rStyle w:val="Strong"/>
        </w:rPr>
        <w:t>Option 2</w:t>
      </w:r>
    </w:p>
    <w:p w14:paraId="54CB7966" w14:textId="77777777" w:rsidR="00EA0D40" w:rsidRPr="00DB2784" w:rsidRDefault="00EA0D40" w:rsidP="00EA0D40">
      <w:pPr>
        <w:tabs>
          <w:tab w:val="left" w:pos="5280"/>
        </w:tabs>
      </w:pPr>
      <w:r>
        <w:t xml:space="preserve">Prescribing </w:t>
      </w:r>
      <w:r w:rsidRPr="00DB2784">
        <w:t>infringements offences in the Regulations will provide the department, as the regulator of HSEs, an additional mechanism to a</w:t>
      </w:r>
      <w:r>
        <w:t>d</w:t>
      </w:r>
      <w:r w:rsidRPr="00DB2784">
        <w:t xml:space="preserve">dress non-compliance. This should bridge </w:t>
      </w:r>
      <w:r>
        <w:t>a</w:t>
      </w:r>
      <w:r w:rsidRPr="00DB2784">
        <w:t xml:space="preserve"> current gap in dealing with lower-level offences, where court proceedings, registration suspensions, or other ‘full force of the law’ sanctions are disproportionate to the </w:t>
      </w:r>
      <w:r>
        <w:t xml:space="preserve">nature and </w:t>
      </w:r>
      <w:r w:rsidRPr="00DB2784">
        <w:t>level of non-compliance.</w:t>
      </w:r>
      <w:r>
        <w:t xml:space="preserve"> This may provide a more appropriate (timely and proportionate) tool to address some non-compliance. This also supports an alternative to criminal prosecution where appropriate.</w:t>
      </w:r>
    </w:p>
    <w:p w14:paraId="1CFD1978" w14:textId="77777777" w:rsidR="00EA0D40" w:rsidRDefault="00EA0D40" w:rsidP="00EA0D40">
      <w:pPr>
        <w:tabs>
          <w:tab w:val="left" w:pos="5280"/>
        </w:tabs>
      </w:pPr>
      <w:r>
        <w:t>Feedback received via consultation on the proposed changes was largely non-supportive: various stakeholders suggested that punitive measures should be reserved for extreme cases, but non-</w:t>
      </w:r>
      <w:r>
        <w:lastRenderedPageBreak/>
        <w:t xml:space="preserve">punitive methods were preferred to ensure transparency (e.g., willingness to self-report errors without fearing a fine). </w:t>
      </w:r>
    </w:p>
    <w:p w14:paraId="34C6DB26" w14:textId="77777777" w:rsidR="00EA0D40" w:rsidRDefault="00EA0D40" w:rsidP="00EA0D40">
      <w:pPr>
        <w:tabs>
          <w:tab w:val="left" w:pos="5280"/>
        </w:tabs>
      </w:pPr>
      <w:r>
        <w:t>As permitted under section 155 of the Act, the proposed infringement amounts have been calculated at 20% of the current penalty amounts in the Regulations</w:t>
      </w:r>
      <w:r>
        <w:rPr>
          <w:rStyle w:val="FootnoteReference"/>
        </w:rPr>
        <w:footnoteReference w:id="95"/>
      </w:r>
      <w:r>
        <w:t>. They range from 2 penalty units (currently $385) up to 12 penalty units ($2,308). These amounts take into account the nature and potential consequences of any non-compliance and are intended to have a deterrent effect. For example:</w:t>
      </w:r>
    </w:p>
    <w:p w14:paraId="4BD21061" w14:textId="77777777" w:rsidR="00EA0D40" w:rsidRDefault="00EA0D40" w:rsidP="00EA0D40">
      <w:pPr>
        <w:pStyle w:val="ListParagraph"/>
        <w:numPr>
          <w:ilvl w:val="0"/>
          <w:numId w:val="123"/>
        </w:numPr>
        <w:tabs>
          <w:tab w:val="left" w:pos="5280"/>
        </w:tabs>
      </w:pPr>
      <w:r w:rsidRPr="00AD50E3">
        <w:t xml:space="preserve">The highest proposed amount </w:t>
      </w:r>
      <w:r>
        <w:t>of</w:t>
      </w:r>
      <w:r w:rsidRPr="00AD50E3">
        <w:t xml:space="preserve"> $</w:t>
      </w:r>
      <w:r>
        <w:t>2,308</w:t>
      </w:r>
      <w:r w:rsidRPr="00AD50E3">
        <w:t xml:space="preserve"> </w:t>
      </w:r>
      <w:r>
        <w:t xml:space="preserve">is the penalty for not having an operational electronic communications system (reg 40(1)) or not implementing and </w:t>
      </w:r>
      <w:r w:rsidRPr="00AD50E3">
        <w:t>maintain</w:t>
      </w:r>
      <w:r>
        <w:t>ing</w:t>
      </w:r>
      <w:r w:rsidRPr="00AD50E3">
        <w:t xml:space="preserve"> an Infection Control Management Plan</w:t>
      </w:r>
      <w:r>
        <w:t xml:space="preserve"> (reg 44(1))</w:t>
      </w:r>
      <w:r w:rsidRPr="00AD50E3">
        <w:t xml:space="preserve">. This amount </w:t>
      </w:r>
      <w:r>
        <w:t xml:space="preserve">reflects </w:t>
      </w:r>
      <w:r w:rsidRPr="00AD50E3">
        <w:t xml:space="preserve">the potentially </w:t>
      </w:r>
      <w:r>
        <w:t>serious</w:t>
      </w:r>
      <w:r w:rsidRPr="00AD50E3">
        <w:t xml:space="preserve"> impacts </w:t>
      </w:r>
      <w:r>
        <w:t xml:space="preserve">of non-compliance </w:t>
      </w:r>
      <w:r w:rsidRPr="00AD50E3">
        <w:t xml:space="preserve">on </w:t>
      </w:r>
      <w:r>
        <w:t>an</w:t>
      </w:r>
      <w:r w:rsidRPr="00AD50E3">
        <w:t xml:space="preserve"> entire facility, staff, patients and carers</w:t>
      </w:r>
      <w:r>
        <w:t xml:space="preserve"> in the absence of an operational communications system or effective Infection Control Management Plan</w:t>
      </w:r>
    </w:p>
    <w:p w14:paraId="54CB2F54" w14:textId="77777777" w:rsidR="00EA0D40" w:rsidRDefault="00EA0D40" w:rsidP="00EA0D40">
      <w:pPr>
        <w:pStyle w:val="ListParagraph"/>
        <w:numPr>
          <w:ilvl w:val="0"/>
          <w:numId w:val="123"/>
        </w:numPr>
        <w:tabs>
          <w:tab w:val="left" w:pos="5280"/>
        </w:tabs>
      </w:pPr>
      <w:r w:rsidRPr="006D690F">
        <w:t>The mid-range amounts ($1,538-$1,923) relate to senior appointments (DON), nurse credentialling, sufficient staffing levels, info</w:t>
      </w:r>
      <w:r>
        <w:t>rmation</w:t>
      </w:r>
      <w:r w:rsidRPr="006D690F">
        <w:t xml:space="preserve"> on fees and services for patients, and some complaints-related matters. </w:t>
      </w:r>
      <w:r>
        <w:t>Any n</w:t>
      </w:r>
      <w:r w:rsidRPr="006D690F">
        <w:t xml:space="preserve">on-compliance </w:t>
      </w:r>
      <w:r>
        <w:t xml:space="preserve">with these regulations </w:t>
      </w:r>
      <w:r w:rsidRPr="006D690F">
        <w:t xml:space="preserve">could significantly compromise quality and safety across the whole facility (e.g. </w:t>
      </w:r>
      <w:r>
        <w:t xml:space="preserve">from </w:t>
      </w:r>
      <w:r w:rsidRPr="006D690F">
        <w:t>unqualified staff) or significantly impact individuals (e.g. a patient not fully informed about costs or treatments, or about the outcome of their complaint)</w:t>
      </w:r>
    </w:p>
    <w:p w14:paraId="11E39E68" w14:textId="77777777" w:rsidR="00EA0D40" w:rsidRDefault="00EA0D40" w:rsidP="00EA0D40">
      <w:pPr>
        <w:pStyle w:val="ListParagraph"/>
        <w:numPr>
          <w:ilvl w:val="0"/>
          <w:numId w:val="123"/>
        </w:numPr>
        <w:tabs>
          <w:tab w:val="left" w:pos="5280"/>
        </w:tabs>
      </w:pPr>
      <w:r w:rsidRPr="00F52524">
        <w:t xml:space="preserve">The lower-range amounts ($385-$769) </w:t>
      </w:r>
      <w:r>
        <w:t xml:space="preserve">are </w:t>
      </w:r>
      <w:r w:rsidRPr="00F52524">
        <w:t xml:space="preserve">largely </w:t>
      </w:r>
      <w:r>
        <w:t xml:space="preserve">related to </w:t>
      </w:r>
      <w:r w:rsidRPr="00F52524">
        <w:t>administrative non-compliances (e.g. not notifying the Secretary about senior appointments, not displaying information prominently).</w:t>
      </w:r>
      <w:r>
        <w:t xml:space="preserve"> As direct impacts on patient safety and service quality from these non-compliances would be minimal, the infringement amounts reflect this reduced risk of harm.</w:t>
      </w:r>
    </w:p>
    <w:p w14:paraId="6440BD0B" w14:textId="77777777" w:rsidR="00EA0D40" w:rsidRDefault="00EA0D40" w:rsidP="00EA0D40">
      <w:pPr>
        <w:tabs>
          <w:tab w:val="left" w:pos="5280"/>
        </w:tabs>
      </w:pPr>
      <w:r w:rsidRPr="009310F4">
        <w:t xml:space="preserve">Further, as set out above, the offences to be prescribed have been selected in accordance with the </w:t>
      </w:r>
      <w:r w:rsidRPr="00044F2F">
        <w:rPr>
          <w:i/>
          <w:iCs/>
        </w:rPr>
        <w:t>Attorney General’s Guidelines to the Infringement Act 2006</w:t>
      </w:r>
      <w:r w:rsidRPr="00044F2F">
        <w:t xml:space="preserve"> </w:t>
      </w:r>
      <w:r w:rsidRPr="00044F2F">
        <w:rPr>
          <w:i/>
          <w:iCs/>
        </w:rPr>
        <w:t>(2022 Edition)</w:t>
      </w:r>
      <w:r>
        <w:t xml:space="preserve">, which provide for consideration of various factors including the gravity of contravention and clarity of the elements of the offence, to ensure that the issue of a fine is a reasonable and proportionate regulatory response. Further, to assist transparency the department will develop and communicate guidelines about the exercise of the powers to issue infringement notices.  </w:t>
      </w:r>
    </w:p>
    <w:p w14:paraId="22A130DB" w14:textId="77777777" w:rsidR="00EA0D40" w:rsidRDefault="00EA0D40" w:rsidP="00EA0D40">
      <w:pPr>
        <w:tabs>
          <w:tab w:val="left" w:pos="5280"/>
        </w:tabs>
      </w:pPr>
      <w:r>
        <w:t xml:space="preserve">Compared to the Base Case and Option 1, Option 2 provides </w:t>
      </w:r>
      <w:r w:rsidRPr="00516547">
        <w:t xml:space="preserve">more scope to </w:t>
      </w:r>
      <w:r>
        <w:t>enforce compliance with the regulations</w:t>
      </w:r>
      <w:r w:rsidRPr="00516547">
        <w:t xml:space="preserve">, from low-level </w:t>
      </w:r>
      <w:r>
        <w:t>administrative non-compliances</w:t>
      </w:r>
      <w:r w:rsidRPr="00516547">
        <w:t xml:space="preserve"> – such as </w:t>
      </w:r>
      <w:r>
        <w:t>not displaying information prominently</w:t>
      </w:r>
      <w:r w:rsidRPr="00516547">
        <w:t xml:space="preserve"> – which will incur a </w:t>
      </w:r>
      <w:r>
        <w:t>smaller financial penalty,</w:t>
      </w:r>
      <w:r w:rsidRPr="00516547">
        <w:t xml:space="preserve"> through to </w:t>
      </w:r>
      <w:r>
        <w:t xml:space="preserve">more serious </w:t>
      </w:r>
      <w:r w:rsidRPr="00516547">
        <w:t>offences</w:t>
      </w:r>
      <w:r>
        <w:t xml:space="preserve"> – such as </w:t>
      </w:r>
      <w:r w:rsidRPr="00516547">
        <w:t xml:space="preserve">not implementing and maintaining an Infection Control Management Plan </w:t>
      </w:r>
      <w:r>
        <w:t xml:space="preserve">- </w:t>
      </w:r>
      <w:r w:rsidRPr="00516547">
        <w:t xml:space="preserve">which </w:t>
      </w:r>
      <w:r>
        <w:t xml:space="preserve">will incur a larger financial penalty. The power to </w:t>
      </w:r>
      <w:r w:rsidRPr="00AB3D33">
        <w:t>prosecu</w:t>
      </w:r>
      <w:r>
        <w:t>te</w:t>
      </w:r>
      <w:r w:rsidRPr="00AB3D33">
        <w:t xml:space="preserve"> and </w:t>
      </w:r>
      <w:r>
        <w:t xml:space="preserve">undertake </w:t>
      </w:r>
      <w:r w:rsidRPr="00AB3D33">
        <w:t xml:space="preserve">court proceedings, or suspensions or revocations of registration, </w:t>
      </w:r>
      <w:r>
        <w:t xml:space="preserve">will still be available as per Option 1. </w:t>
      </w:r>
    </w:p>
    <w:p w14:paraId="1CDBFD94" w14:textId="77777777" w:rsidR="00EA0D40" w:rsidRDefault="00EA0D40" w:rsidP="00EA0D40">
      <w:pPr>
        <w:tabs>
          <w:tab w:val="left" w:pos="5280"/>
        </w:tabs>
      </w:pPr>
      <w:r>
        <w:t xml:space="preserve">Having an operationalised power to issue infringement notice for non-compliance with these requirements would allow earlier and more proportionate regulatory intervention to address non-compliance. This is expected to improve rates of compliance, by prompting remediation of non-compliance and acting as a specific and general deterrent for future non-compliance. Higher </w:t>
      </w:r>
      <w:r>
        <w:lastRenderedPageBreak/>
        <w:t xml:space="preserve">incidence of compliance makes it more likely that the intended quality and safety benefits of the relevant regulations will be realised.   </w:t>
      </w:r>
    </w:p>
    <w:p w14:paraId="3E9BDD33" w14:textId="2504CB0E" w:rsidR="00EA0D40" w:rsidRPr="0076112E" w:rsidRDefault="00EA0D40" w:rsidP="006522DF">
      <w:pPr>
        <w:pStyle w:val="Heading7"/>
      </w:pPr>
      <w:r w:rsidRPr="0076112E">
        <w:t xml:space="preserve">Cost to </w:t>
      </w:r>
      <w:r w:rsidR="00A70AF8" w:rsidRPr="00A70AF8">
        <w:t>HSEs</w:t>
      </w:r>
      <w:r w:rsidRPr="0076112E">
        <w:t>; and cost to government</w:t>
      </w:r>
    </w:p>
    <w:p w14:paraId="7C81BD79" w14:textId="77777777" w:rsidR="00EA0D40" w:rsidRPr="001E347D" w:rsidRDefault="00EA0D40" w:rsidP="00EA0D40">
      <w:pPr>
        <w:rPr>
          <w:rStyle w:val="Strong"/>
        </w:rPr>
      </w:pPr>
      <w:r w:rsidRPr="001E347D">
        <w:rPr>
          <w:rStyle w:val="Strong"/>
        </w:rPr>
        <w:t>Base Case</w:t>
      </w:r>
    </w:p>
    <w:p w14:paraId="184EC3E5" w14:textId="77777777" w:rsidR="00EA0D40" w:rsidRDefault="00EA0D40" w:rsidP="00EA0D40">
      <w:r>
        <w:t xml:space="preserve">Under the Base Case there would be no direct costs to HSEs apart from the cost of complying with national standards and with obligations in the Act (including penalty provisions). The cost incurred by the department would be minimal as they have limited ability to monitor compliance. </w:t>
      </w:r>
    </w:p>
    <w:p w14:paraId="20BDE243" w14:textId="77777777" w:rsidR="00EA0D40" w:rsidRPr="001E347D" w:rsidRDefault="00EA0D40" w:rsidP="00EA0D40">
      <w:pPr>
        <w:rPr>
          <w:rStyle w:val="Strong"/>
        </w:rPr>
      </w:pPr>
      <w:r w:rsidRPr="001E347D">
        <w:rPr>
          <w:rStyle w:val="Strong"/>
        </w:rPr>
        <w:t>Option 1</w:t>
      </w:r>
    </w:p>
    <w:p w14:paraId="2F9DF56A" w14:textId="77777777" w:rsidR="00EA0D40" w:rsidRDefault="00EA0D40" w:rsidP="00EA0D40">
      <w:r>
        <w:t xml:space="preserve">Under this option, where HSEs are compliant with the relevant regulations there are no costs to HSEs or to government for enforcement of the penalties for non-compliance. </w:t>
      </w:r>
    </w:p>
    <w:p w14:paraId="59DCAB83" w14:textId="77777777" w:rsidR="00EA0D40" w:rsidRPr="00A526C1" w:rsidRDefault="00EA0D40" w:rsidP="00EA0D40">
      <w:r>
        <w:t xml:space="preserve">It is expected that court proceedings to impose penalties for offences set out in the Regulations would be very costly for both HSEs and government. These would include court fees, fees for legal services (advice and representation) and costs associated with compilation and production of evidence (in documentary or testamentary form). These costs could vary considerably depending on the matters at issue in the proceeding, related evidentiary requirements, and decisions made by the parties, about their position in the proceedings and about the legal advice and representation they seek. Prosecutions may not be pursued very often, given regulatory experience is of relatively high levels of compliance overall, and given prosecution may not be the most appropriate regulatory response to all instances of non-compliance. This may mean that in practice the cost of prosecutions is not very high overall across the entire registration scheme. However, the costs to HSEs and to government of prosecution as a </w:t>
      </w:r>
      <w:r w:rsidRPr="00A526C1">
        <w:t xml:space="preserve">means of imposing penalties for the relevant offences (this Option 1) are much higher than the costs for issuing and paying infringements under Option 2 (below), where the costs described above are significantly less likely to arise.  </w:t>
      </w:r>
    </w:p>
    <w:p w14:paraId="01ACAFCA" w14:textId="77777777" w:rsidR="00EA0D40" w:rsidRPr="00A526C1" w:rsidRDefault="00EA0D40" w:rsidP="00EA0D40">
      <w:pPr>
        <w:keepNext/>
        <w:rPr>
          <w:rStyle w:val="Strong"/>
        </w:rPr>
      </w:pPr>
      <w:r w:rsidRPr="00A526C1">
        <w:rPr>
          <w:rStyle w:val="Strong"/>
        </w:rPr>
        <w:t>Option 2</w:t>
      </w:r>
    </w:p>
    <w:p w14:paraId="58E07AC6" w14:textId="77777777" w:rsidR="00EA0D40" w:rsidRPr="00A526C1" w:rsidRDefault="00EA0D40" w:rsidP="00EA0D40">
      <w:r w:rsidRPr="00A526C1">
        <w:t xml:space="preserve">Under this option, where HSEs are compliant with the relevant regulations there are no costs to HSEs or government associated with enforcing the penalties for non-compliance.  Under this option, the department may incur more costs in the short term as compared with Option 1 and the Base Case. The department would be able to issue infringement notices under Option 2, which would be a new area of regulatory activity not currently undertaken. There may also be initial administrative costs to the department, associated with establishing the systems and processes for issuing infringement notices. However, the costs of issuing infringement notices are expected to be lower than the cost of pursuing prosecution to impose penalties for the relevant offences as the legal costs described for Option 1 are much less likely to arise. Further, in the longer term, where introduction of infringement notices allows earlier intervention to rectify non-compliance or to deter non-compliance, it may reduce the number of compliance breaches that the department needs to respond to and thereby reduce enforcement costs overall. Overall, efficiencies in government costs are expected over time as regulatory activity is appropriately streamlined and focussed, with higher-resource activity focussed on instances of highest risk to patients, and more serious or complex non-compliance. </w:t>
      </w:r>
    </w:p>
    <w:p w14:paraId="2C5C38EC" w14:textId="77777777" w:rsidR="00C227E4" w:rsidRDefault="00EA0D40" w:rsidP="00EA0D40">
      <w:r w:rsidRPr="00A526C1">
        <w:lastRenderedPageBreak/>
        <w:t xml:space="preserve">Under this option, costs to HSEs are expected to be lower than under Option 1. Responding to an infringement notice will not incur the legal process costs associated with a prosecution (as discussed in Option 1 above). Where an HSE is non-compliant with a relevant provision of the regulations and an infringement notice is issued the HSE will incur the costs specified in the notice (see section 8.3.1.1 above for examples of dollar amounts). </w:t>
      </w:r>
      <w:r w:rsidRPr="006522DF">
        <w:t xml:space="preserve">The existence of an additional enforcement option for the regulator may mean that, due to the prospect of an infringement notice, or the issuing of an infringement notice, more non-compliant HSEs may take steps to ensure they become compliant (as compared to Option 1). </w:t>
      </w:r>
    </w:p>
    <w:p w14:paraId="36D2E615" w14:textId="70CE1082" w:rsidR="00EA0D40" w:rsidRDefault="00EA0D40" w:rsidP="00EA0D40">
      <w:r w:rsidRPr="006522DF">
        <w:t>The cost to HSEs of taking such actions is not considered in assessing the preferred option in this section as HSEs are already expected to be compliant with requirements, meaning that to factor in these costs would be contrary to the objectives of the decision-making criteria.  However, the benefits of these actions are considered in assessing the preferred option because improved compliance will support the quality and safety objectives of the regulatory framework. Moreover, the addition of infringement notices as an additional enforcement tool for the regulator is expected to allow earlier intervention to address non-compliance, often non-compliance that is less serious and would not form the basis of prosecution action. It is therefore considered that Option 2, allowing a fuller range of proactive and proportionate enforcement responses, is overall the more efficient way to drive improvements in compliance. This may include prompting actions to improve compliance at earlier stages so those actions are less costly.</w:t>
      </w:r>
      <w:r w:rsidRPr="00A526C1">
        <w:t xml:space="preserve">  </w:t>
      </w:r>
    </w:p>
    <w:p w14:paraId="48087BA0" w14:textId="443411AF" w:rsidR="00634FBF" w:rsidRDefault="00634FBF" w:rsidP="00634FBF">
      <w:pPr>
        <w:pStyle w:val="Heading6"/>
      </w:pPr>
      <w:r>
        <w:t>Summary of preferred option</w:t>
      </w:r>
    </w:p>
    <w:p w14:paraId="50DCC013" w14:textId="79AB29C5" w:rsidR="00634FBF" w:rsidRPr="006522DF" w:rsidRDefault="00634FBF" w:rsidP="00EA0D40">
      <w:r w:rsidRPr="006522DF">
        <w:rPr>
          <w:b/>
          <w:bCs/>
        </w:rPr>
        <w:t>Option 2 is the preferred option</w:t>
      </w:r>
      <w:r>
        <w:t xml:space="preserve"> as it allows a more proactive and efficient approach to enforcing compliance with relevant requirements in the regulations to achieve intended safety and quality benefits. The precise costs to government and HSEs may depend on how the proposed infringement notice approach is implemented. Information on this will be developed and published as part of the implementation of the updated regulations. It is expected that the compliance and enforcement approach taken by the department will consider the level of risk to patient safety, the HSE’s compliance history and willingness to engage in remedial activities, and which enforcement tool will most efficiently and effectively address the non-compliance. The regulator will continue to use lower-level interventions to address non-compliance, including providing guidance to HSEs and making written recommendations for how compliance can be achieved. Infringement penalties are likely to be used where non-punitive approaches have failed and where stronger sanctions (such as prosecution or suspension or revocation of registration) would not be necessary or appropriate. Overall this is expected to better ensure that costs relating to enforcement of the relevant regulations are proportionate to the quality and safety risk arising from non-compliance.   </w:t>
      </w:r>
    </w:p>
    <w:p w14:paraId="458D52C9" w14:textId="710B477B" w:rsidR="00FE4A64" w:rsidRPr="00A526C1" w:rsidRDefault="00201B0C" w:rsidP="00FE4A64">
      <w:pPr>
        <w:pStyle w:val="Heading5"/>
      </w:pPr>
      <w:bookmarkStart w:id="42" w:name="_Toc164419398"/>
      <w:bookmarkStart w:id="43" w:name="_Toc164419819"/>
      <w:bookmarkStart w:id="44" w:name="_Toc164420143"/>
      <w:bookmarkStart w:id="45" w:name="_Toc164419399"/>
      <w:bookmarkStart w:id="46" w:name="_Toc164419820"/>
      <w:bookmarkStart w:id="47" w:name="_Toc164420144"/>
      <w:bookmarkStart w:id="48" w:name="_Toc164419400"/>
      <w:bookmarkStart w:id="49" w:name="_Toc164419821"/>
      <w:bookmarkStart w:id="50" w:name="_Toc164420145"/>
      <w:bookmarkStart w:id="51" w:name="_Toc164419401"/>
      <w:bookmarkStart w:id="52" w:name="_Toc164419822"/>
      <w:bookmarkStart w:id="53" w:name="_Toc164420146"/>
      <w:bookmarkStart w:id="54" w:name="_Toc164419402"/>
      <w:bookmarkStart w:id="55" w:name="_Toc164419823"/>
      <w:bookmarkStart w:id="56" w:name="_Toc164420147"/>
      <w:bookmarkStart w:id="57" w:name="_Toc164419403"/>
      <w:bookmarkStart w:id="58" w:name="_Toc164419824"/>
      <w:bookmarkStart w:id="59" w:name="_Toc164420148"/>
      <w:bookmarkStart w:id="60" w:name="_Toc164419404"/>
      <w:bookmarkStart w:id="61" w:name="_Toc164419825"/>
      <w:bookmarkStart w:id="62" w:name="_Toc164420149"/>
      <w:bookmarkStart w:id="63" w:name="_Toc164419405"/>
      <w:bookmarkStart w:id="64" w:name="_Toc164419826"/>
      <w:bookmarkStart w:id="65" w:name="_Toc164420150"/>
      <w:bookmarkStart w:id="66" w:name="_Toc164419406"/>
      <w:bookmarkStart w:id="67" w:name="_Toc164419827"/>
      <w:bookmarkStart w:id="68" w:name="_Toc164420151"/>
      <w:bookmarkStart w:id="69" w:name="_Toc164419407"/>
      <w:bookmarkStart w:id="70" w:name="_Toc164419828"/>
      <w:bookmarkStart w:id="71" w:name="_Toc164420152"/>
      <w:bookmarkStart w:id="72" w:name="_Toc164419408"/>
      <w:bookmarkStart w:id="73" w:name="_Toc164419829"/>
      <w:bookmarkStart w:id="74" w:name="_Toc164420153"/>
      <w:bookmarkStart w:id="75" w:name="_Toc164419409"/>
      <w:bookmarkStart w:id="76" w:name="_Toc164419830"/>
      <w:bookmarkStart w:id="77" w:name="_Toc164420154"/>
      <w:bookmarkStart w:id="78" w:name="_Toc164419410"/>
      <w:bookmarkStart w:id="79" w:name="_Toc164419831"/>
      <w:bookmarkStart w:id="80" w:name="_Toc164420155"/>
      <w:bookmarkStart w:id="81" w:name="_Toc164419411"/>
      <w:bookmarkStart w:id="82" w:name="_Toc164419832"/>
      <w:bookmarkStart w:id="83" w:name="_Toc164420156"/>
      <w:bookmarkStart w:id="84" w:name="_Toc164419412"/>
      <w:bookmarkStart w:id="85" w:name="_Toc164419833"/>
      <w:bookmarkStart w:id="86" w:name="_Toc164420157"/>
      <w:bookmarkStart w:id="87" w:name="_Toc164419413"/>
      <w:bookmarkStart w:id="88" w:name="_Toc164419834"/>
      <w:bookmarkStart w:id="89" w:name="_Toc164420158"/>
      <w:bookmarkStart w:id="90" w:name="_Toc164419414"/>
      <w:bookmarkStart w:id="91" w:name="_Toc164419835"/>
      <w:bookmarkStart w:id="92" w:name="_Toc164420159"/>
      <w:bookmarkStart w:id="93" w:name="_Toc164419415"/>
      <w:bookmarkStart w:id="94" w:name="_Toc164419836"/>
      <w:bookmarkStart w:id="95" w:name="_Toc164420160"/>
      <w:bookmarkStart w:id="96" w:name="_Toc164419416"/>
      <w:bookmarkStart w:id="97" w:name="_Toc164419837"/>
      <w:bookmarkStart w:id="98" w:name="_Toc164420161"/>
      <w:bookmarkStart w:id="99" w:name="_Toc164419417"/>
      <w:bookmarkStart w:id="100" w:name="_Toc164419838"/>
      <w:bookmarkStart w:id="101" w:name="_Toc164420162"/>
      <w:bookmarkStart w:id="102" w:name="_Toc164419418"/>
      <w:bookmarkStart w:id="103" w:name="_Toc164419839"/>
      <w:bookmarkStart w:id="104" w:name="_Toc164420163"/>
      <w:bookmarkStart w:id="105" w:name="_Toc164419419"/>
      <w:bookmarkStart w:id="106" w:name="_Toc164419840"/>
      <w:bookmarkStart w:id="107" w:name="_Toc164420164"/>
      <w:bookmarkStart w:id="108" w:name="_Toc164419420"/>
      <w:bookmarkStart w:id="109" w:name="_Toc164419841"/>
      <w:bookmarkStart w:id="110" w:name="_Toc164420165"/>
      <w:bookmarkStart w:id="111" w:name="_Toc164419421"/>
      <w:bookmarkStart w:id="112" w:name="_Toc164419842"/>
      <w:bookmarkStart w:id="113" w:name="_Toc164420166"/>
      <w:bookmarkStart w:id="114" w:name="_Toc164419422"/>
      <w:bookmarkStart w:id="115" w:name="_Toc164419843"/>
      <w:bookmarkStart w:id="116" w:name="_Toc164420167"/>
      <w:bookmarkStart w:id="117" w:name="_Toc164419423"/>
      <w:bookmarkStart w:id="118" w:name="_Toc164419844"/>
      <w:bookmarkStart w:id="119" w:name="_Toc164420168"/>
      <w:bookmarkStart w:id="120" w:name="_Toc164419424"/>
      <w:bookmarkStart w:id="121" w:name="_Toc164419845"/>
      <w:bookmarkStart w:id="122" w:name="_Toc164420169"/>
      <w:bookmarkStart w:id="123" w:name="_Toc164419425"/>
      <w:bookmarkStart w:id="124" w:name="_Toc164419846"/>
      <w:bookmarkStart w:id="125" w:name="_Toc164420170"/>
      <w:bookmarkStart w:id="126" w:name="_Toc164419426"/>
      <w:bookmarkStart w:id="127" w:name="_Toc164419847"/>
      <w:bookmarkStart w:id="128" w:name="_Toc164420171"/>
      <w:bookmarkStart w:id="129" w:name="_Toc164419427"/>
      <w:bookmarkStart w:id="130" w:name="_Toc164419848"/>
      <w:bookmarkStart w:id="131" w:name="_Toc164420172"/>
      <w:bookmarkStart w:id="132" w:name="_Toc164419428"/>
      <w:bookmarkStart w:id="133" w:name="_Toc164419849"/>
      <w:bookmarkStart w:id="134" w:name="_Toc164420173"/>
      <w:bookmarkStart w:id="135" w:name="_Toc164419429"/>
      <w:bookmarkStart w:id="136" w:name="_Toc164419850"/>
      <w:bookmarkStart w:id="137" w:name="_Toc164420174"/>
      <w:bookmarkStart w:id="138" w:name="_Toc164419430"/>
      <w:bookmarkStart w:id="139" w:name="_Toc164419851"/>
      <w:bookmarkStart w:id="140" w:name="_Toc164420175"/>
      <w:bookmarkStart w:id="141" w:name="_Toc164419431"/>
      <w:bookmarkStart w:id="142" w:name="_Toc164419852"/>
      <w:bookmarkStart w:id="143" w:name="_Toc164420176"/>
      <w:bookmarkStart w:id="144" w:name="_Toc164419432"/>
      <w:bookmarkStart w:id="145" w:name="_Toc164419853"/>
      <w:bookmarkStart w:id="146" w:name="_Toc164420177"/>
      <w:bookmarkStart w:id="147" w:name="_Toc164419433"/>
      <w:bookmarkStart w:id="148" w:name="_Toc164419854"/>
      <w:bookmarkStart w:id="149" w:name="_Toc164420178"/>
      <w:bookmarkStart w:id="150" w:name="_Toc164419434"/>
      <w:bookmarkStart w:id="151" w:name="_Toc164419855"/>
      <w:bookmarkStart w:id="152" w:name="_Toc164420179"/>
      <w:bookmarkStart w:id="153" w:name="_Toc164419435"/>
      <w:bookmarkStart w:id="154" w:name="_Toc164419856"/>
      <w:bookmarkStart w:id="155" w:name="_Toc164420180"/>
      <w:bookmarkStart w:id="156" w:name="_Toc164419436"/>
      <w:bookmarkStart w:id="157" w:name="_Toc164419857"/>
      <w:bookmarkStart w:id="158" w:name="_Toc164420181"/>
      <w:bookmarkStart w:id="159" w:name="_Toc164419437"/>
      <w:bookmarkStart w:id="160" w:name="_Toc164419858"/>
      <w:bookmarkStart w:id="161" w:name="_Toc164420182"/>
      <w:bookmarkStart w:id="162" w:name="_Toc164419438"/>
      <w:bookmarkStart w:id="163" w:name="_Toc164419859"/>
      <w:bookmarkStart w:id="164" w:name="_Toc164420183"/>
      <w:bookmarkStart w:id="165" w:name="_Toc164419439"/>
      <w:bookmarkStart w:id="166" w:name="_Toc164419860"/>
      <w:bookmarkStart w:id="167" w:name="_Toc164420184"/>
      <w:bookmarkStart w:id="168" w:name="_Toc164419440"/>
      <w:bookmarkStart w:id="169" w:name="_Toc164419861"/>
      <w:bookmarkStart w:id="170" w:name="_Toc164420185"/>
      <w:bookmarkStart w:id="171" w:name="_Toc164419441"/>
      <w:bookmarkStart w:id="172" w:name="_Toc164419862"/>
      <w:bookmarkStart w:id="173" w:name="_Toc164420186"/>
      <w:bookmarkStart w:id="174" w:name="_Toc164419442"/>
      <w:bookmarkStart w:id="175" w:name="_Toc164419863"/>
      <w:bookmarkStart w:id="176" w:name="_Toc164420187"/>
      <w:bookmarkStart w:id="177" w:name="_Toc164419443"/>
      <w:bookmarkStart w:id="178" w:name="_Toc164419864"/>
      <w:bookmarkStart w:id="179" w:name="_Toc164420188"/>
      <w:bookmarkStart w:id="180" w:name="_Toc164419444"/>
      <w:bookmarkStart w:id="181" w:name="_Toc164419865"/>
      <w:bookmarkStart w:id="182" w:name="_Toc164420189"/>
      <w:bookmarkStart w:id="183" w:name="_Toc164419445"/>
      <w:bookmarkStart w:id="184" w:name="_Toc164419866"/>
      <w:bookmarkStart w:id="185" w:name="_Toc164420190"/>
      <w:bookmarkStart w:id="186" w:name="_Toc164419446"/>
      <w:bookmarkStart w:id="187" w:name="_Toc164419867"/>
      <w:bookmarkStart w:id="188" w:name="_Toc164420191"/>
      <w:bookmarkStart w:id="189" w:name="_Toc164419447"/>
      <w:bookmarkStart w:id="190" w:name="_Toc164419868"/>
      <w:bookmarkStart w:id="191" w:name="_Toc164420192"/>
      <w:bookmarkStart w:id="192" w:name="_Toc164419448"/>
      <w:bookmarkStart w:id="193" w:name="_Toc164419869"/>
      <w:bookmarkStart w:id="194" w:name="_Toc164420193"/>
      <w:bookmarkStart w:id="195" w:name="_Toc164419449"/>
      <w:bookmarkStart w:id="196" w:name="_Toc164419870"/>
      <w:bookmarkStart w:id="197" w:name="_Toc164420194"/>
      <w:bookmarkStart w:id="198" w:name="_Toc164419450"/>
      <w:bookmarkStart w:id="199" w:name="_Toc164419871"/>
      <w:bookmarkStart w:id="200" w:name="_Toc164420195"/>
      <w:bookmarkStart w:id="201" w:name="_Toc164419451"/>
      <w:bookmarkStart w:id="202" w:name="_Toc164419872"/>
      <w:bookmarkStart w:id="203" w:name="_Toc164420196"/>
      <w:bookmarkStart w:id="204" w:name="_Toc164419452"/>
      <w:bookmarkStart w:id="205" w:name="_Toc164419873"/>
      <w:bookmarkStart w:id="206" w:name="_Toc164420197"/>
      <w:bookmarkStart w:id="207" w:name="_Toc164419453"/>
      <w:bookmarkStart w:id="208" w:name="_Toc164419874"/>
      <w:bookmarkStart w:id="209" w:name="_Toc164420198"/>
      <w:bookmarkStart w:id="210" w:name="_Toc164419454"/>
      <w:bookmarkStart w:id="211" w:name="_Toc164419875"/>
      <w:bookmarkStart w:id="212" w:name="_Toc164420199"/>
      <w:bookmarkStart w:id="213" w:name="_Toc164419455"/>
      <w:bookmarkStart w:id="214" w:name="_Toc164419876"/>
      <w:bookmarkStart w:id="215" w:name="_Toc164420200"/>
      <w:bookmarkStart w:id="216" w:name="_Toc164419456"/>
      <w:bookmarkStart w:id="217" w:name="_Toc164419877"/>
      <w:bookmarkStart w:id="218" w:name="_Toc164420201"/>
      <w:bookmarkStart w:id="219" w:name="_Toc164419457"/>
      <w:bookmarkStart w:id="220" w:name="_Toc164419878"/>
      <w:bookmarkStart w:id="221" w:name="_Toc164420202"/>
      <w:bookmarkStart w:id="222" w:name="_Toc164419458"/>
      <w:bookmarkStart w:id="223" w:name="_Toc164419879"/>
      <w:bookmarkStart w:id="224" w:name="_Toc164420203"/>
      <w:bookmarkStart w:id="225" w:name="_Toc164419459"/>
      <w:bookmarkStart w:id="226" w:name="_Toc164419880"/>
      <w:bookmarkStart w:id="227" w:name="_Toc164420204"/>
      <w:bookmarkStart w:id="228" w:name="_Toc164419460"/>
      <w:bookmarkStart w:id="229" w:name="_Toc164419881"/>
      <w:bookmarkStart w:id="230" w:name="_Toc164420205"/>
      <w:bookmarkStart w:id="231" w:name="_Toc164419461"/>
      <w:bookmarkStart w:id="232" w:name="_Toc164419882"/>
      <w:bookmarkStart w:id="233" w:name="_Toc164420206"/>
      <w:bookmarkStart w:id="234" w:name="_Toc164419462"/>
      <w:bookmarkStart w:id="235" w:name="_Toc164419883"/>
      <w:bookmarkStart w:id="236" w:name="_Toc164420207"/>
      <w:bookmarkStart w:id="237" w:name="_Toc164419463"/>
      <w:bookmarkStart w:id="238" w:name="_Toc164419884"/>
      <w:bookmarkStart w:id="239" w:name="_Toc164420208"/>
      <w:bookmarkStart w:id="240" w:name="_Toc164419464"/>
      <w:bookmarkStart w:id="241" w:name="_Toc164419885"/>
      <w:bookmarkStart w:id="242" w:name="_Toc164420209"/>
      <w:bookmarkStart w:id="243" w:name="_Toc164419465"/>
      <w:bookmarkStart w:id="244" w:name="_Toc164419886"/>
      <w:bookmarkStart w:id="245" w:name="_Toc164420210"/>
      <w:bookmarkStart w:id="246" w:name="_Toc164419466"/>
      <w:bookmarkStart w:id="247" w:name="_Toc164419887"/>
      <w:bookmarkStart w:id="248" w:name="_Toc164420211"/>
      <w:bookmarkStart w:id="249" w:name="_Toc164419467"/>
      <w:bookmarkStart w:id="250" w:name="_Toc164419888"/>
      <w:bookmarkStart w:id="251" w:name="_Toc164420212"/>
      <w:bookmarkStart w:id="252" w:name="_Toc164419468"/>
      <w:bookmarkStart w:id="253" w:name="_Toc164419889"/>
      <w:bookmarkStart w:id="254" w:name="_Toc164420213"/>
      <w:bookmarkStart w:id="255" w:name="_Toc164419469"/>
      <w:bookmarkStart w:id="256" w:name="_Toc164419890"/>
      <w:bookmarkStart w:id="257" w:name="_Toc164420214"/>
      <w:bookmarkStart w:id="258" w:name="_Toc164419470"/>
      <w:bookmarkStart w:id="259" w:name="_Toc164419891"/>
      <w:bookmarkStart w:id="260" w:name="_Toc164420215"/>
      <w:bookmarkStart w:id="261" w:name="_Toc164419471"/>
      <w:bookmarkStart w:id="262" w:name="_Toc164419892"/>
      <w:bookmarkStart w:id="263" w:name="_Toc164420216"/>
      <w:bookmarkStart w:id="264" w:name="_Toc164419472"/>
      <w:bookmarkStart w:id="265" w:name="_Toc164419893"/>
      <w:bookmarkStart w:id="266" w:name="_Toc164420217"/>
      <w:bookmarkStart w:id="267" w:name="_Toc164419473"/>
      <w:bookmarkStart w:id="268" w:name="_Toc164419894"/>
      <w:bookmarkStart w:id="269" w:name="_Toc164420218"/>
      <w:bookmarkStart w:id="270" w:name="_Toc164419474"/>
      <w:bookmarkStart w:id="271" w:name="_Toc164419895"/>
      <w:bookmarkStart w:id="272" w:name="_Toc164420219"/>
      <w:bookmarkStart w:id="273" w:name="_Toc16528760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A526C1">
        <w:lastRenderedPageBreak/>
        <w:t>Administrative changes</w:t>
      </w:r>
      <w:r w:rsidR="00AA32A5" w:rsidRPr="00A526C1">
        <w:t xml:space="preserve"> </w:t>
      </w:r>
      <w:r w:rsidR="00523029" w:rsidRPr="00A526C1">
        <w:t>a</w:t>
      </w:r>
      <w:r w:rsidR="00AA32A5" w:rsidRPr="00A526C1">
        <w:t xml:space="preserve">nd </w:t>
      </w:r>
      <w:r w:rsidR="00B42DB7" w:rsidRPr="00A526C1">
        <w:t>clarifications</w:t>
      </w:r>
      <w:bookmarkEnd w:id="273"/>
    </w:p>
    <w:tbl>
      <w:tblPr>
        <w:tblW w:w="9210" w:type="dxa"/>
        <w:tblInd w:w="-1" w:type="dxa"/>
        <w:shd w:val="clear" w:color="auto" w:fill="DDD9C3" w:themeFill="background2" w:themeFillShade="E6"/>
        <w:tblLook w:val="0000" w:firstRow="0" w:lastRow="0" w:firstColumn="0" w:lastColumn="0" w:noHBand="0" w:noVBand="0"/>
      </w:tblPr>
      <w:tblGrid>
        <w:gridCol w:w="9210"/>
      </w:tblGrid>
      <w:tr w:rsidR="00E674DA" w:rsidRPr="00A526C1" w14:paraId="6D567D87" w14:textId="77777777" w:rsidTr="003476CD">
        <w:trPr>
          <w:trHeight w:val="3928"/>
        </w:trPr>
        <w:tc>
          <w:tcPr>
            <w:tcW w:w="9210" w:type="dxa"/>
            <w:shd w:val="clear" w:color="auto" w:fill="EEECE1" w:themeFill="background2"/>
          </w:tcPr>
          <w:p w14:paraId="58027A54" w14:textId="0712358E" w:rsidR="00771CD4" w:rsidRPr="00A526C1" w:rsidRDefault="00771CD4" w:rsidP="00771CD4">
            <w:pPr>
              <w:ind w:left="-4"/>
            </w:pPr>
            <w:r w:rsidRPr="00A526C1">
              <w:t>This section addresses administrative changes and clarifications to the Regulations in relation to:</w:t>
            </w:r>
          </w:p>
          <w:p w14:paraId="721BBB62" w14:textId="77777777" w:rsidR="00771CD4" w:rsidRPr="00A526C1" w:rsidRDefault="00771CD4" w:rsidP="00771CD4">
            <w:pPr>
              <w:pStyle w:val="ListParagraph"/>
              <w:numPr>
                <w:ilvl w:val="0"/>
                <w:numId w:val="23"/>
              </w:numPr>
              <w:ind w:left="716"/>
            </w:pPr>
            <w:r w:rsidRPr="00A526C1">
              <w:t>Regulation 20(1) – Information about fees and services.</w:t>
            </w:r>
          </w:p>
          <w:p w14:paraId="2CF09AC2" w14:textId="609D3145" w:rsidR="00771CD4" w:rsidRPr="00A526C1" w:rsidRDefault="00771CD4" w:rsidP="00771CD4">
            <w:pPr>
              <w:pStyle w:val="ListParagraph"/>
              <w:numPr>
                <w:ilvl w:val="0"/>
                <w:numId w:val="23"/>
              </w:numPr>
              <w:ind w:left="716"/>
            </w:pPr>
            <w:r w:rsidRPr="00A526C1">
              <w:t>Regulation 20(2) and regulation 25 – Addition of ‘gender identity’</w:t>
            </w:r>
          </w:p>
          <w:p w14:paraId="256DDD91" w14:textId="77777777" w:rsidR="00771CD4" w:rsidRPr="00A526C1" w:rsidRDefault="00771CD4" w:rsidP="00771CD4">
            <w:pPr>
              <w:pStyle w:val="ListParagraph"/>
              <w:numPr>
                <w:ilvl w:val="0"/>
                <w:numId w:val="23"/>
              </w:numPr>
              <w:ind w:left="716"/>
            </w:pPr>
            <w:r w:rsidRPr="00A526C1">
              <w:t>Regulation 28A – Reversible agents</w:t>
            </w:r>
          </w:p>
          <w:p w14:paraId="02D9DC65" w14:textId="57854845" w:rsidR="00771CD4" w:rsidRPr="00A526C1" w:rsidRDefault="00771CD4" w:rsidP="00771CD4">
            <w:pPr>
              <w:pStyle w:val="ListParagraph"/>
              <w:numPr>
                <w:ilvl w:val="0"/>
                <w:numId w:val="23"/>
              </w:numPr>
              <w:ind w:left="716"/>
            </w:pPr>
            <w:r w:rsidRPr="00A526C1">
              <w:t>Regulation 34(3)(e) – Discharge information to be given to patients</w:t>
            </w:r>
          </w:p>
          <w:p w14:paraId="7AE8C490" w14:textId="77777777" w:rsidR="00771CD4" w:rsidRPr="00A526C1" w:rsidRDefault="00771CD4" w:rsidP="00771CD4">
            <w:pPr>
              <w:pStyle w:val="ListParagraph"/>
              <w:numPr>
                <w:ilvl w:val="0"/>
                <w:numId w:val="23"/>
              </w:numPr>
              <w:ind w:left="716"/>
            </w:pPr>
            <w:r w:rsidRPr="00A526C1">
              <w:t>Regulation 37 – Operation Theatre Register</w:t>
            </w:r>
          </w:p>
          <w:p w14:paraId="4EC9B928" w14:textId="77777777" w:rsidR="00771CD4" w:rsidRPr="00A526C1" w:rsidRDefault="00771CD4" w:rsidP="00771CD4">
            <w:pPr>
              <w:pStyle w:val="ListParagraph"/>
              <w:numPr>
                <w:ilvl w:val="0"/>
                <w:numId w:val="23"/>
              </w:numPr>
              <w:ind w:left="716"/>
            </w:pPr>
            <w:r w:rsidRPr="00A526C1">
              <w:t>Regulation 41 – Prevention of scalding</w:t>
            </w:r>
          </w:p>
          <w:p w14:paraId="2BD11337" w14:textId="77777777" w:rsidR="00771CD4" w:rsidRPr="00A526C1" w:rsidRDefault="00771CD4" w:rsidP="00771CD4">
            <w:pPr>
              <w:pStyle w:val="ListParagraph"/>
              <w:numPr>
                <w:ilvl w:val="0"/>
                <w:numId w:val="23"/>
              </w:numPr>
              <w:ind w:left="716"/>
            </w:pPr>
            <w:r w:rsidRPr="00A526C1">
              <w:t>Regulation 45 - Information to be prominently displayed</w:t>
            </w:r>
          </w:p>
          <w:p w14:paraId="0EDAFD19" w14:textId="77777777" w:rsidR="00771CD4" w:rsidRPr="00A526C1" w:rsidRDefault="00771CD4" w:rsidP="00771CD4">
            <w:pPr>
              <w:pStyle w:val="ListParagraph"/>
              <w:numPr>
                <w:ilvl w:val="0"/>
                <w:numId w:val="23"/>
              </w:numPr>
              <w:ind w:left="716"/>
            </w:pPr>
            <w:r w:rsidRPr="00A526C1">
              <w:t>Regulation 46 – Returns and reports to be given to the Secretary</w:t>
            </w:r>
          </w:p>
          <w:p w14:paraId="022C72F1" w14:textId="77777777" w:rsidR="00771CD4" w:rsidRPr="00A526C1" w:rsidRDefault="00771CD4" w:rsidP="00771CD4">
            <w:pPr>
              <w:pStyle w:val="ListParagraph"/>
              <w:numPr>
                <w:ilvl w:val="0"/>
                <w:numId w:val="23"/>
              </w:numPr>
              <w:ind w:left="716"/>
            </w:pPr>
            <w:r w:rsidRPr="00A526C1">
              <w:t>Regulation 48 – Review of quality and safety of health services provided</w:t>
            </w:r>
          </w:p>
          <w:p w14:paraId="23FE4980" w14:textId="7062AD5D" w:rsidR="00771CD4" w:rsidRPr="00A526C1" w:rsidRDefault="00771CD4" w:rsidP="00771CD4">
            <w:pPr>
              <w:ind w:left="-4"/>
            </w:pPr>
            <w:r w:rsidRPr="00A526C1">
              <w:t>A detailed analysis is not undertaken for these changes.</w:t>
            </w:r>
          </w:p>
        </w:tc>
      </w:tr>
    </w:tbl>
    <w:p w14:paraId="4CE11357" w14:textId="2CA3B10E" w:rsidR="009F4C2E" w:rsidRPr="00A526C1" w:rsidRDefault="009F4C2E" w:rsidP="00A863A5">
      <w:pPr>
        <w:pStyle w:val="Heading6"/>
      </w:pPr>
      <w:r w:rsidRPr="00A526C1">
        <w:t>Regulation 20</w:t>
      </w:r>
      <w:r w:rsidR="0044510A" w:rsidRPr="00A526C1">
        <w:t>(1)</w:t>
      </w:r>
      <w:r w:rsidRPr="00A526C1">
        <w:t xml:space="preserve"> – Information about fees and services</w:t>
      </w:r>
    </w:p>
    <w:p w14:paraId="7F07DB04" w14:textId="41B2D8A5" w:rsidR="00D60335" w:rsidRPr="00A526C1" w:rsidRDefault="00B26950" w:rsidP="00795415">
      <w:pPr>
        <w:spacing w:before="0" w:line="259" w:lineRule="auto"/>
      </w:pPr>
      <w:r w:rsidRPr="00A526C1">
        <w:t xml:space="preserve">The current Regulations require patients to be provided with information about fees and services, including </w:t>
      </w:r>
      <w:r w:rsidR="00E32FFE" w:rsidRPr="00A526C1">
        <w:t>information about fees to be charged by the HSE and any likely out of pocket expenses which may be incurred by the patient</w:t>
      </w:r>
      <w:r w:rsidRPr="00A526C1">
        <w:t xml:space="preserve"> </w:t>
      </w:r>
      <w:r w:rsidR="005E3F4E" w:rsidRPr="00A526C1">
        <w:t>(</w:t>
      </w:r>
      <w:r w:rsidRPr="00A526C1">
        <w:t>under regulation 20(</w:t>
      </w:r>
      <w:r w:rsidR="00E32FFE" w:rsidRPr="00A526C1">
        <w:t>1</w:t>
      </w:r>
      <w:r w:rsidRPr="00A526C1">
        <w:t>)(</w:t>
      </w:r>
      <w:r w:rsidR="00E32FFE" w:rsidRPr="00A526C1">
        <w:t>b</w:t>
      </w:r>
      <w:r w:rsidRPr="00A526C1">
        <w:t>)</w:t>
      </w:r>
      <w:r w:rsidR="005E3F4E" w:rsidRPr="00A526C1">
        <w:t>)</w:t>
      </w:r>
      <w:r w:rsidRPr="00A526C1">
        <w:t xml:space="preserve">. </w:t>
      </w:r>
    </w:p>
    <w:p w14:paraId="5ACDE684" w14:textId="72CBA651" w:rsidR="00190E97" w:rsidRPr="00A526C1" w:rsidRDefault="00190E97" w:rsidP="00190E97">
      <w:pPr>
        <w:spacing w:before="0" w:line="259" w:lineRule="auto"/>
      </w:pPr>
      <w:r w:rsidRPr="00A526C1">
        <w:t xml:space="preserve">In 2022-23, the </w:t>
      </w:r>
      <w:r w:rsidR="009A0AE9" w:rsidRPr="00A526C1">
        <w:t>HCC</w:t>
      </w:r>
      <w:r w:rsidRPr="00A526C1">
        <w:t xml:space="preserve"> had 6,128 recorded issues against non-general health service providers (i.e. </w:t>
      </w:r>
      <w:r w:rsidR="00440EDC" w:rsidRPr="00A526C1">
        <w:t xml:space="preserve">providers providing </w:t>
      </w:r>
      <w:r w:rsidR="00BC60DD" w:rsidRPr="00A526C1">
        <w:t>h</w:t>
      </w:r>
      <w:r w:rsidR="008621D4" w:rsidRPr="00A526C1">
        <w:t xml:space="preserve">ealth services </w:t>
      </w:r>
      <w:r w:rsidR="00440EDC" w:rsidRPr="00A526C1">
        <w:t>that require</w:t>
      </w:r>
      <w:r w:rsidR="008621D4" w:rsidRPr="00A526C1">
        <w:t xml:space="preserve"> a </w:t>
      </w:r>
      <w:r w:rsidR="005549DA" w:rsidRPr="00A526C1">
        <w:t xml:space="preserve">registered </w:t>
      </w:r>
      <w:r w:rsidR="008621D4" w:rsidRPr="00A526C1">
        <w:t>health practitioner under the National Law</w:t>
      </w:r>
      <w:r w:rsidR="002D2274" w:rsidRPr="00A526C1">
        <w:rPr>
          <w:rStyle w:val="FootnoteReference"/>
        </w:rPr>
        <w:footnoteReference w:id="96"/>
      </w:r>
      <w:r w:rsidRPr="00A526C1">
        <w:t>). Of these, 8% related to fees, costs and billing, and 6% related to communication.</w:t>
      </w:r>
      <w:r w:rsidR="0002290C" w:rsidRPr="00A526C1">
        <w:rPr>
          <w:rStyle w:val="FootnoteReference"/>
        </w:rPr>
        <w:footnoteReference w:id="97"/>
      </w:r>
      <w:r w:rsidRPr="00A526C1">
        <w:t xml:space="preserve">  </w:t>
      </w:r>
    </w:p>
    <w:p w14:paraId="3045A358" w14:textId="65BE0011" w:rsidR="00795415" w:rsidRPr="00A526C1" w:rsidRDefault="00795415" w:rsidP="00795415">
      <w:pPr>
        <w:spacing w:before="0" w:line="259" w:lineRule="auto"/>
      </w:pPr>
      <w:r w:rsidRPr="00A526C1">
        <w:t>In a survey of 20 Victorian consumers</w:t>
      </w:r>
      <w:r w:rsidR="00053BED" w:rsidRPr="00A526C1">
        <w:rPr>
          <w:rStyle w:val="FootnoteReference"/>
        </w:rPr>
        <w:footnoteReference w:id="98"/>
      </w:r>
      <w:r w:rsidRPr="00A526C1">
        <w:t>, the provision of pre-admission information on fees, services and procedures was rated the most important type of information</w:t>
      </w:r>
      <w:r w:rsidR="00EF1BA3" w:rsidRPr="00A526C1">
        <w:t xml:space="preserve"> and </w:t>
      </w:r>
      <w:r w:rsidRPr="00A526C1">
        <w:t>communication.</w:t>
      </w:r>
      <w:r w:rsidRPr="00A526C1">
        <w:rPr>
          <w:rStyle w:val="FootnoteReference"/>
        </w:rPr>
        <w:footnoteReference w:id="99"/>
      </w:r>
      <w:r w:rsidR="00E32FFE" w:rsidRPr="00A526C1">
        <w:t xml:space="preserve"> </w:t>
      </w:r>
      <w:r w:rsidR="001F2BD2" w:rsidRPr="00A526C1">
        <w:t>A f</w:t>
      </w:r>
      <w:r w:rsidR="00384ABA" w:rsidRPr="00A526C1">
        <w:t>ollow up consumer workshop</w:t>
      </w:r>
      <w:r w:rsidR="00E32FFE" w:rsidRPr="00A526C1">
        <w:t xml:space="preserve"> on this matter</w:t>
      </w:r>
      <w:r w:rsidR="00F75845" w:rsidRPr="00A526C1">
        <w:t xml:space="preserve"> identified that consumers </w:t>
      </w:r>
      <w:r w:rsidR="00776265" w:rsidRPr="00A526C1">
        <w:t>would like more</w:t>
      </w:r>
      <w:r w:rsidR="00F75845" w:rsidRPr="00A526C1">
        <w:t xml:space="preserve"> information </w:t>
      </w:r>
      <w:r w:rsidR="00776265" w:rsidRPr="00A526C1">
        <w:t>about</w:t>
      </w:r>
      <w:r w:rsidR="00F170C1" w:rsidRPr="00A526C1">
        <w:t xml:space="preserve"> third party fees (e.g. </w:t>
      </w:r>
      <w:r w:rsidR="00146203" w:rsidRPr="00A526C1">
        <w:t>pathology, pharmacy, patient transport, surgeon, anaesthetist costs</w:t>
      </w:r>
      <w:r w:rsidR="00F170C1" w:rsidRPr="00A526C1">
        <w:t>).</w:t>
      </w:r>
      <w:r w:rsidR="004C31BB" w:rsidRPr="00A526C1">
        <w:t xml:space="preserve"> Consumers indicated setting an expectation ahead of time about the type of fees that may arise helps in </w:t>
      </w:r>
      <w:r w:rsidR="009C6065" w:rsidRPr="00A526C1">
        <w:t xml:space="preserve">patient </w:t>
      </w:r>
      <w:r w:rsidR="004C31BB" w:rsidRPr="00A526C1">
        <w:t>decision-making</w:t>
      </w:r>
      <w:r w:rsidR="009C6065" w:rsidRPr="00A526C1">
        <w:t xml:space="preserve"> regarding their care</w:t>
      </w:r>
      <w:r w:rsidR="004C31BB" w:rsidRPr="00A526C1">
        <w:t>.</w:t>
      </w:r>
      <w:r w:rsidR="00F170C1" w:rsidRPr="00A526C1">
        <w:rPr>
          <w:rStyle w:val="FootnoteReference"/>
        </w:rPr>
        <w:footnoteReference w:id="100"/>
      </w:r>
      <w:r w:rsidR="00EE32F9" w:rsidRPr="00A526C1">
        <w:t xml:space="preserve"> </w:t>
      </w:r>
      <w:r w:rsidR="00E6147A" w:rsidRPr="00A526C1">
        <w:t xml:space="preserve">Third party fees </w:t>
      </w:r>
      <w:r w:rsidR="00CD016D" w:rsidRPr="00A526C1">
        <w:t>are additional to the fees for health services charged by HSEs, and are charged</w:t>
      </w:r>
      <w:r w:rsidR="00B76D20" w:rsidRPr="00A526C1">
        <w:t xml:space="preserve"> to the patient</w:t>
      </w:r>
      <w:r w:rsidR="00CD016D" w:rsidRPr="00A526C1">
        <w:t xml:space="preserve"> separately by the </w:t>
      </w:r>
      <w:r w:rsidR="00B76D20" w:rsidRPr="00A526C1">
        <w:t>third party</w:t>
      </w:r>
      <w:r w:rsidR="00CD016D" w:rsidRPr="00A526C1">
        <w:t xml:space="preserve">. </w:t>
      </w:r>
      <w:r w:rsidR="00877120" w:rsidRPr="00A526C1">
        <w:t>Third party</w:t>
      </w:r>
      <w:r w:rsidR="00EE32F9" w:rsidRPr="00A526C1">
        <w:t xml:space="preserve"> </w:t>
      </w:r>
      <w:r w:rsidR="00A964A2" w:rsidRPr="00A526C1">
        <w:t xml:space="preserve">fees can </w:t>
      </w:r>
      <w:r w:rsidR="003A4789" w:rsidRPr="00A526C1">
        <w:t>be a significant cost to patients</w:t>
      </w:r>
      <w:r w:rsidR="00877120" w:rsidRPr="00A526C1">
        <w:t>.</w:t>
      </w:r>
    </w:p>
    <w:p w14:paraId="23383935" w14:textId="74042061" w:rsidR="002F651C" w:rsidRPr="00A526C1" w:rsidRDefault="002F651C" w:rsidP="002F651C">
      <w:pPr>
        <w:spacing w:before="0" w:line="259" w:lineRule="auto"/>
        <w:rPr>
          <w:i/>
          <w:iCs/>
        </w:rPr>
      </w:pPr>
      <w:r w:rsidRPr="00A526C1">
        <w:rPr>
          <w:i/>
          <w:iCs/>
        </w:rPr>
        <w:t>Proposed amendment to the Regulations</w:t>
      </w:r>
    </w:p>
    <w:p w14:paraId="3779361F" w14:textId="0D69F616" w:rsidR="00D1755C" w:rsidRPr="00A526C1" w:rsidRDefault="00F50892">
      <w:pPr>
        <w:pStyle w:val="ListParagraph"/>
        <w:numPr>
          <w:ilvl w:val="0"/>
          <w:numId w:val="12"/>
        </w:numPr>
        <w:spacing w:before="0" w:line="259" w:lineRule="auto"/>
      </w:pPr>
      <w:r w:rsidRPr="00A526C1">
        <w:lastRenderedPageBreak/>
        <w:t>Regulation 20(1)(b)</w:t>
      </w:r>
      <w:r w:rsidR="00901CA2" w:rsidRPr="00A526C1">
        <w:t xml:space="preserve"> would be amended to require that</w:t>
      </w:r>
      <w:r w:rsidRPr="00A526C1">
        <w:t xml:space="preserve"> </w:t>
      </w:r>
      <w:r w:rsidR="00901CA2" w:rsidRPr="00A526C1">
        <w:t xml:space="preserve">information </w:t>
      </w:r>
      <w:r w:rsidR="00E645CB" w:rsidRPr="00A526C1">
        <w:t xml:space="preserve">to be provided </w:t>
      </w:r>
      <w:r w:rsidR="00901CA2" w:rsidRPr="00A526C1">
        <w:t>about fees charged includes</w:t>
      </w:r>
      <w:r w:rsidR="00D1755C" w:rsidRPr="00A526C1">
        <w:t xml:space="preserve"> fees </w:t>
      </w:r>
      <w:r w:rsidR="00901CA2" w:rsidRPr="00A526C1">
        <w:t>that may be</w:t>
      </w:r>
      <w:r w:rsidR="00D1755C" w:rsidRPr="00A526C1">
        <w:t xml:space="preserve"> charged by third parties</w:t>
      </w:r>
      <w:r w:rsidR="00901CA2" w:rsidRPr="00A526C1">
        <w:t xml:space="preserve"> (i.e. separate to </w:t>
      </w:r>
      <w:r w:rsidR="00896579" w:rsidRPr="00A526C1">
        <w:t xml:space="preserve">fees charged by </w:t>
      </w:r>
      <w:r w:rsidR="00901CA2" w:rsidRPr="00A526C1">
        <w:t>the HSE)</w:t>
      </w:r>
      <w:r w:rsidR="00D1755C" w:rsidRPr="00A526C1">
        <w:t xml:space="preserve"> in </w:t>
      </w:r>
      <w:r w:rsidR="00901CA2" w:rsidRPr="00A526C1">
        <w:t>re</w:t>
      </w:r>
      <w:r w:rsidR="00D1755C" w:rsidRPr="00A526C1">
        <w:t>lation to the services provided at the HSE</w:t>
      </w:r>
      <w:r w:rsidR="00901CA2" w:rsidRPr="00A526C1">
        <w:t xml:space="preserve">. </w:t>
      </w:r>
      <w:r w:rsidR="00394240" w:rsidRPr="00A526C1">
        <w:t xml:space="preserve">This would be a statement informing of potential fees from third parties rather than the HSE being required to provide an estimate of the </w:t>
      </w:r>
      <w:r w:rsidR="005952E1" w:rsidRPr="00A526C1">
        <w:t>fee</w:t>
      </w:r>
      <w:r w:rsidR="00394240" w:rsidRPr="00A526C1">
        <w:t xml:space="preserve"> for any items.</w:t>
      </w:r>
    </w:p>
    <w:p w14:paraId="0A255801" w14:textId="3FE7888B" w:rsidR="006243A2" w:rsidRPr="00A526C1" w:rsidRDefault="006243A2" w:rsidP="00A863A5">
      <w:pPr>
        <w:pStyle w:val="Heading6"/>
      </w:pPr>
      <w:r w:rsidRPr="00A526C1">
        <w:t>Regulation 20</w:t>
      </w:r>
      <w:r w:rsidR="004C038B" w:rsidRPr="00A526C1">
        <w:t>(2)</w:t>
      </w:r>
      <w:r w:rsidRPr="00A526C1">
        <w:t xml:space="preserve"> and </w:t>
      </w:r>
      <w:r w:rsidR="004C038B" w:rsidRPr="00A526C1">
        <w:t xml:space="preserve">regulation </w:t>
      </w:r>
      <w:r w:rsidRPr="00A526C1">
        <w:t>25 – Addition of ‘gender identity’</w:t>
      </w:r>
    </w:p>
    <w:p w14:paraId="3DC680CA" w14:textId="3003CE1C" w:rsidR="006243A2" w:rsidRPr="00A526C1" w:rsidRDefault="00EB286D" w:rsidP="006243A2">
      <w:r w:rsidRPr="00A526C1">
        <w:t>Regulation 20(2)</w:t>
      </w:r>
      <w:r w:rsidR="00054B29" w:rsidRPr="00A526C1">
        <w:t>(c)</w:t>
      </w:r>
      <w:r w:rsidRPr="00A526C1">
        <w:t xml:space="preserve"> requires a statement to be provided to patients</w:t>
      </w:r>
      <w:r w:rsidR="00054B29" w:rsidRPr="00A526C1">
        <w:t xml:space="preserve"> that contains information about the consideration of a patient’s beliefs and ethnic, cultural and religious practices. Regulation 25</w:t>
      </w:r>
      <w:r w:rsidR="00F117BF" w:rsidRPr="00A526C1">
        <w:t xml:space="preserve">(a) requires that the proprietor of a HSE must ensure that a patient is </w:t>
      </w:r>
      <w:r w:rsidR="001B1EC1" w:rsidRPr="00A526C1">
        <w:t xml:space="preserve">treated with dignity and respect, and with due regard to his or her religious beliefs and ethnic and cultural practices. </w:t>
      </w:r>
    </w:p>
    <w:p w14:paraId="1AC2E93A" w14:textId="14A1AF71" w:rsidR="00C107AA" w:rsidRPr="00A526C1" w:rsidRDefault="00DD0416" w:rsidP="0028294E">
      <w:r w:rsidRPr="00A526C1">
        <w:t xml:space="preserve">Discrimination against someone because of their gender identify is against the law in Victoria. </w:t>
      </w:r>
      <w:r w:rsidR="0048438A" w:rsidRPr="00A526C1">
        <w:t xml:space="preserve">Under </w:t>
      </w:r>
      <w:r w:rsidR="00575212" w:rsidRPr="00A526C1">
        <w:t xml:space="preserve">the </w:t>
      </w:r>
      <w:r w:rsidR="00575212" w:rsidRPr="00A526C1">
        <w:rPr>
          <w:i/>
          <w:iCs/>
        </w:rPr>
        <w:t>Equal Opportunity Act 2010</w:t>
      </w:r>
      <w:r w:rsidR="00575212" w:rsidRPr="00A526C1">
        <w:t xml:space="preserve"> (Vic) a person</w:t>
      </w:r>
      <w:r w:rsidR="00C107AA" w:rsidRPr="00A526C1">
        <w:t xml:space="preserve"> must not discriminate against someone because of their </w:t>
      </w:r>
      <w:r w:rsidR="000673FA" w:rsidRPr="00A526C1">
        <w:t>gender identity</w:t>
      </w:r>
      <w:r w:rsidR="00A205ED" w:rsidRPr="00A526C1">
        <w:t xml:space="preserve"> (Part 2</w:t>
      </w:r>
      <w:r w:rsidR="00D57648" w:rsidRPr="00A526C1">
        <w:t>, Section 6</w:t>
      </w:r>
      <w:r w:rsidR="00A205ED" w:rsidRPr="00A526C1">
        <w:t xml:space="preserve"> of the Act</w:t>
      </w:r>
      <w:r w:rsidR="00D57648" w:rsidRPr="00A526C1">
        <w:t>)</w:t>
      </w:r>
      <w:r w:rsidR="00C107AA" w:rsidRPr="00A526C1">
        <w:t xml:space="preserve">. </w:t>
      </w:r>
      <w:r w:rsidR="0085308A" w:rsidRPr="00A526C1">
        <w:t xml:space="preserve">There is </w:t>
      </w:r>
      <w:r w:rsidR="00200C41" w:rsidRPr="00A526C1">
        <w:t xml:space="preserve">also </w:t>
      </w:r>
      <w:r w:rsidR="00D57648" w:rsidRPr="00A526C1">
        <w:t xml:space="preserve">a </w:t>
      </w:r>
      <w:r w:rsidR="00200C41" w:rsidRPr="00A526C1">
        <w:t xml:space="preserve">duty </w:t>
      </w:r>
      <w:r w:rsidR="00D57648" w:rsidRPr="00A526C1">
        <w:t xml:space="preserve">under Part 3 </w:t>
      </w:r>
      <w:r w:rsidR="00200C41" w:rsidRPr="00A526C1">
        <w:t>to eliminate discrimination, sexual harassment or victimisation</w:t>
      </w:r>
      <w:r w:rsidR="00C107AA" w:rsidRPr="00A526C1">
        <w:t>,</w:t>
      </w:r>
      <w:r w:rsidR="00200C41" w:rsidRPr="00A526C1">
        <w:t xml:space="preserve"> i.e. </w:t>
      </w:r>
      <w:r w:rsidR="00C107AA" w:rsidRPr="00A526C1">
        <w:t>rather than responding after a complaint has been made.</w:t>
      </w:r>
    </w:p>
    <w:p w14:paraId="13CC0FAE" w14:textId="79084852" w:rsidR="005C1EA1" w:rsidRPr="00A526C1" w:rsidRDefault="00BF19D6" w:rsidP="006243A2">
      <w:r w:rsidRPr="00A526C1">
        <w:t xml:space="preserve">The </w:t>
      </w:r>
      <w:r w:rsidR="002C6D77" w:rsidRPr="00A526C1">
        <w:rPr>
          <w:i/>
          <w:iCs/>
        </w:rPr>
        <w:t>Sex Discrimination Act 1984</w:t>
      </w:r>
      <w:r w:rsidR="002C6D77" w:rsidRPr="00A526C1">
        <w:t xml:space="preserve"> </w:t>
      </w:r>
      <w:r w:rsidR="0043572A" w:rsidRPr="00A526C1">
        <w:t xml:space="preserve">(Cth) </w:t>
      </w:r>
      <w:r w:rsidR="002C6D77" w:rsidRPr="00A526C1">
        <w:t xml:space="preserve">makes it </w:t>
      </w:r>
      <w:r w:rsidR="00A967C6" w:rsidRPr="00A526C1">
        <w:t xml:space="preserve">unlawful to treat people less favourably than another person in a similar situation because of their gender </w:t>
      </w:r>
      <w:r w:rsidR="007F05FB" w:rsidRPr="00A526C1">
        <w:t>identity (section 5B)</w:t>
      </w:r>
      <w:r w:rsidR="00A967C6" w:rsidRPr="00A526C1">
        <w:t xml:space="preserve">. </w:t>
      </w:r>
    </w:p>
    <w:p w14:paraId="0B9E2086" w14:textId="181C806C" w:rsidR="003009B2" w:rsidRPr="00A526C1" w:rsidRDefault="006D0386" w:rsidP="00FC05C2">
      <w:r w:rsidRPr="00A526C1">
        <w:t>Under the Standards, Partnering with Consumers Standard Action 2.03</w:t>
      </w:r>
      <w:r w:rsidR="00FC05C2" w:rsidRPr="00A526C1">
        <w:t xml:space="preserve">, health services organisations are to have a charter of rights that is consistent with the Australian Charter of Healthcare Rights, and easily accessible for patients, carers, families and consumers. </w:t>
      </w:r>
      <w:r w:rsidR="006D7F36" w:rsidRPr="00A526C1">
        <w:t>Consideration of gender identity aligns with this action.</w:t>
      </w:r>
    </w:p>
    <w:p w14:paraId="77F6F9F9" w14:textId="15B7866B" w:rsidR="00864907" w:rsidRPr="00A526C1" w:rsidRDefault="00E4697A" w:rsidP="006243A2">
      <w:r w:rsidRPr="00A526C1">
        <w:t xml:space="preserve">Ensuring that </w:t>
      </w:r>
      <w:r w:rsidR="003A3E1F" w:rsidRPr="00A526C1">
        <w:t xml:space="preserve">health services are </w:t>
      </w:r>
      <w:r w:rsidR="00EA50DD" w:rsidRPr="00A526C1">
        <w:t>inc</w:t>
      </w:r>
      <w:r w:rsidR="00F55E36" w:rsidRPr="00A526C1">
        <w:t>lusive and do not discrim</w:t>
      </w:r>
      <w:r w:rsidR="006930E3" w:rsidRPr="00A526C1">
        <w:t>in</w:t>
      </w:r>
      <w:r w:rsidR="00F55E36" w:rsidRPr="00A526C1">
        <w:t xml:space="preserve">ate against someone on the basis of their gender identity was rated highly by </w:t>
      </w:r>
      <w:r w:rsidR="006930E3" w:rsidRPr="00A526C1">
        <w:t>consumers in consultation</w:t>
      </w:r>
      <w:r w:rsidR="00C50BF5" w:rsidRPr="00A526C1">
        <w:t>.</w:t>
      </w:r>
      <w:r w:rsidR="007F05FB" w:rsidRPr="00A526C1">
        <w:rPr>
          <w:rStyle w:val="FootnoteReference"/>
        </w:rPr>
        <w:t xml:space="preserve"> </w:t>
      </w:r>
      <w:r w:rsidR="007F05FB" w:rsidRPr="00A526C1">
        <w:rPr>
          <w:rStyle w:val="FootnoteReference"/>
        </w:rPr>
        <w:footnoteReference w:id="101"/>
      </w:r>
    </w:p>
    <w:p w14:paraId="2E6AE5C4" w14:textId="77777777" w:rsidR="00267DB0" w:rsidRPr="00A526C1" w:rsidRDefault="00E47F38" w:rsidP="00214238">
      <w:pPr>
        <w:rPr>
          <w:rStyle w:val="Strong"/>
        </w:rPr>
      </w:pPr>
      <w:r w:rsidRPr="00A526C1">
        <w:rPr>
          <w:rStyle w:val="Strong"/>
        </w:rPr>
        <w:t>Proposed amendment to the Regulations</w:t>
      </w:r>
    </w:p>
    <w:p w14:paraId="3E8C019B" w14:textId="19D42FD6" w:rsidR="00C52224" w:rsidRPr="00A526C1" w:rsidRDefault="005C5086" w:rsidP="00C50BF5">
      <w:pPr>
        <w:pStyle w:val="ListParagraph"/>
        <w:numPr>
          <w:ilvl w:val="0"/>
          <w:numId w:val="12"/>
        </w:numPr>
      </w:pPr>
      <w:r w:rsidRPr="00A526C1">
        <w:t>Regulation 20(2)</w:t>
      </w:r>
      <w:r w:rsidR="005747FA" w:rsidRPr="00A526C1">
        <w:t>I</w:t>
      </w:r>
      <w:r w:rsidRPr="00A526C1">
        <w:t xml:space="preserve"> and Regulation 25(a) would </w:t>
      </w:r>
      <w:r w:rsidR="009D3310" w:rsidRPr="00A526C1">
        <w:t xml:space="preserve">be </w:t>
      </w:r>
      <w:r w:rsidR="00AD065E" w:rsidRPr="00A526C1">
        <w:t>amended to include the words ‘gender identity’.</w:t>
      </w:r>
      <w:r w:rsidR="00DD3F20" w:rsidRPr="00A526C1">
        <w:t xml:space="preserve"> </w:t>
      </w:r>
      <w:r w:rsidR="00DD0416" w:rsidRPr="00A526C1">
        <w:t xml:space="preserve">This aligns with the positive duty under the </w:t>
      </w:r>
      <w:r w:rsidR="00D9525D" w:rsidRPr="00A526C1">
        <w:t xml:space="preserve">Equal Opportunity Act to </w:t>
      </w:r>
      <w:r w:rsidR="00AF317B" w:rsidRPr="00A526C1">
        <w:t>eliminate discrim</w:t>
      </w:r>
      <w:r w:rsidR="00A25C06" w:rsidRPr="00A526C1">
        <w:t>in</w:t>
      </w:r>
      <w:r w:rsidR="00AF317B" w:rsidRPr="00A526C1">
        <w:t>ation, se</w:t>
      </w:r>
      <w:r w:rsidR="00A25C06" w:rsidRPr="00A526C1">
        <w:t>x</w:t>
      </w:r>
      <w:r w:rsidR="00AF317B" w:rsidRPr="00A526C1">
        <w:t xml:space="preserve">ual harassment or victimisation, not just </w:t>
      </w:r>
      <w:r w:rsidR="00A25C06" w:rsidRPr="00A526C1">
        <w:t>respond to it.</w:t>
      </w:r>
      <w:r w:rsidR="00340BDC" w:rsidRPr="00A526C1">
        <w:t xml:space="preserve"> </w:t>
      </w:r>
      <w:r w:rsidR="00792BCE" w:rsidRPr="00A526C1">
        <w:t>The gender neu</w:t>
      </w:r>
      <w:r w:rsidR="00B92AA0" w:rsidRPr="00A526C1">
        <w:t xml:space="preserve">tral pronoun ‘their’ </w:t>
      </w:r>
      <w:r w:rsidR="00C6377E" w:rsidRPr="00A526C1">
        <w:t>will also replace ‘</w:t>
      </w:r>
      <w:r w:rsidR="00A07048" w:rsidRPr="00A526C1">
        <w:t xml:space="preserve">his or her’ </w:t>
      </w:r>
      <w:r w:rsidR="00411C77" w:rsidRPr="00A526C1">
        <w:t xml:space="preserve">in </w:t>
      </w:r>
      <w:r w:rsidR="008F7D39" w:rsidRPr="00A526C1">
        <w:t>Regulation 25(a).</w:t>
      </w:r>
    </w:p>
    <w:p w14:paraId="27571FF2" w14:textId="5F6A3FFB" w:rsidR="009F4C2E" w:rsidRPr="00A526C1" w:rsidRDefault="009F4C2E" w:rsidP="00A863A5">
      <w:pPr>
        <w:pStyle w:val="Heading6"/>
      </w:pPr>
      <w:r w:rsidRPr="00A526C1">
        <w:lastRenderedPageBreak/>
        <w:t>Regulation 28A – Reversible agents</w:t>
      </w:r>
    </w:p>
    <w:p w14:paraId="2D5EE60C" w14:textId="549F5A22" w:rsidR="009F4C2E" w:rsidRDefault="009F4C2E" w:rsidP="009F4C2E">
      <w:r w:rsidRPr="00A526C1">
        <w:t>The current regulations refer to ‘reversible agents’ in regulation 28A. However, there is evidence that the term ‘reversal agents’ is currently used in anaesthesia practice e.g. in the Australasian Anaesthesia 2023 publication.</w:t>
      </w:r>
      <w:r w:rsidRPr="00A526C1">
        <w:rPr>
          <w:rStyle w:val="FootnoteReference"/>
        </w:rPr>
        <w:footnoteReference w:id="102"/>
      </w:r>
    </w:p>
    <w:p w14:paraId="2CAC3267" w14:textId="77777777" w:rsidR="009F4C2E" w:rsidRDefault="009F4C2E" w:rsidP="009F4C2E">
      <w:r>
        <w:t>According to the Subordinate Legislation Act 1994 Guidelines, regulations must be expressed in a language that is clear and unambiguous.</w:t>
      </w:r>
      <w:r>
        <w:rPr>
          <w:rStyle w:val="FootnoteReference"/>
        </w:rPr>
        <w:footnoteReference w:id="103"/>
      </w:r>
      <w:r>
        <w:t xml:space="preserve"> Ensuring that the regulations are kept up-to-date with the latest terminology is important to ensure the regulations are easily understood. </w:t>
      </w:r>
    </w:p>
    <w:p w14:paraId="65165D4D" w14:textId="3BFEFDF3" w:rsidR="009F4C2E" w:rsidRPr="001E347D" w:rsidRDefault="009F4C2E" w:rsidP="009F4C2E">
      <w:pPr>
        <w:rPr>
          <w:rStyle w:val="Strong"/>
        </w:rPr>
      </w:pPr>
      <w:r w:rsidRPr="001E347D">
        <w:rPr>
          <w:rStyle w:val="Strong"/>
        </w:rPr>
        <w:t>Proposed</w:t>
      </w:r>
      <w:r w:rsidR="003E6895" w:rsidRPr="001E347D">
        <w:rPr>
          <w:rStyle w:val="Strong"/>
        </w:rPr>
        <w:t xml:space="preserve"> amendment</w:t>
      </w:r>
      <w:r w:rsidRPr="001E347D">
        <w:rPr>
          <w:rStyle w:val="Strong"/>
        </w:rPr>
        <w:t xml:space="preserve"> to the Regulations</w:t>
      </w:r>
    </w:p>
    <w:p w14:paraId="2606428B" w14:textId="7C3BD78A" w:rsidR="009F4C2E" w:rsidRDefault="009F4C2E" w:rsidP="009F4C2E">
      <w:pPr>
        <w:pStyle w:val="ListParagraph"/>
        <w:numPr>
          <w:ilvl w:val="0"/>
          <w:numId w:val="12"/>
        </w:numPr>
      </w:pPr>
      <w:r>
        <w:t xml:space="preserve">Regulation 28A would be amended to “reversal agents must be available” from “reversible agents” </w:t>
      </w:r>
      <w:r w:rsidDel="003A69E7">
        <w:t xml:space="preserve">to </w:t>
      </w:r>
      <w:r>
        <w:t xml:space="preserve">more accurately reflect </w:t>
      </w:r>
      <w:r w:rsidR="005B05DD">
        <w:t xml:space="preserve">accepted </w:t>
      </w:r>
      <w:r>
        <w:t xml:space="preserve">terminology. </w:t>
      </w:r>
    </w:p>
    <w:p w14:paraId="3A463DAD" w14:textId="1E220A48" w:rsidR="00A863A5" w:rsidRPr="00F766D7" w:rsidRDefault="00A863A5" w:rsidP="00A863A5">
      <w:pPr>
        <w:pStyle w:val="Heading6"/>
      </w:pPr>
      <w:r w:rsidRPr="00F66AB0">
        <w:t xml:space="preserve">Regulation 34(3)(e) </w:t>
      </w:r>
      <w:r>
        <w:t xml:space="preserve">– Discharge information to be </w:t>
      </w:r>
      <w:r w:rsidR="002C114E">
        <w:t xml:space="preserve">given </w:t>
      </w:r>
      <w:r>
        <w:t>to patients</w:t>
      </w:r>
    </w:p>
    <w:p w14:paraId="33B8EC17" w14:textId="77777777" w:rsidR="00A863A5" w:rsidRPr="000C4EF1" w:rsidRDefault="00A863A5" w:rsidP="00A863A5">
      <w:r w:rsidRPr="000C4EF1">
        <w:t>Medications are the most common treatment in healthcare. They are associated with a higher incidence of errors and adverse events, compared to other healthcare interventions, and these events can be costly in terms of morbidity, mortality and resources.</w:t>
      </w:r>
      <w:r w:rsidRPr="000C4EF1">
        <w:rPr>
          <w:rStyle w:val="FootnoteReference"/>
        </w:rPr>
        <w:footnoteReference w:id="104"/>
      </w:r>
      <w:r w:rsidRPr="000C4EF1">
        <w:t xml:space="preserve"> Changes to a patient’</w:t>
      </w:r>
      <w:r>
        <w:t>s</w:t>
      </w:r>
      <w:r w:rsidRPr="000C4EF1">
        <w:t xml:space="preserve"> medication regimen during a hospital stay are common, and many medicine-related incidents that may cause harm occur at transitions of care.</w:t>
      </w:r>
    </w:p>
    <w:p w14:paraId="58460AD1" w14:textId="77777777" w:rsidR="00A863A5" w:rsidRPr="000C4EF1" w:rsidRDefault="00A863A5" w:rsidP="00A863A5">
      <w:r w:rsidRPr="000C4EF1">
        <w:t xml:space="preserve">Reflecting its importance, </w:t>
      </w:r>
      <w:r>
        <w:t xml:space="preserve">medication management is addressed directly in </w:t>
      </w:r>
      <w:r w:rsidRPr="000C4EF1">
        <w:t>NSQHS Standard 4 – Medication Safety. Under Action 4.12, health service organisations must have processes to provide patients on discharge with a current medicines list and the reasons for any changes.</w:t>
      </w:r>
      <w:r w:rsidRPr="000C4EF1">
        <w:rPr>
          <w:rStyle w:val="FootnoteReference"/>
        </w:rPr>
        <w:footnoteReference w:id="105"/>
      </w:r>
      <w:r w:rsidRPr="000C4EF1">
        <w:t xml:space="preserve"> </w:t>
      </w:r>
    </w:p>
    <w:p w14:paraId="1219D350" w14:textId="0404D9CB" w:rsidR="00A863A5" w:rsidRPr="000C4EF1" w:rsidRDefault="00A863A5" w:rsidP="00A863A5">
      <w:r w:rsidRPr="000C4EF1">
        <w:t>The Regulations require that a list of all medication</w:t>
      </w:r>
      <w:r w:rsidR="00407BFE">
        <w:t>s</w:t>
      </w:r>
      <w:r w:rsidRPr="000C4EF1">
        <w:t xml:space="preserve"> currently prescribed be provided as part of the discharge summary for all admitted patients, irrespective of whether the medication is in relation to the health service received (regulation 34(3)(e)). The purpose is to ensure appropriate continuity of care for the patient, whether they are transferred to another facility or discharged home (including ongoing primary care).  </w:t>
      </w:r>
    </w:p>
    <w:p w14:paraId="03CC604F" w14:textId="72CEF006" w:rsidR="00A863A5" w:rsidRPr="000C4EF1" w:rsidRDefault="00A863A5" w:rsidP="00A863A5">
      <w:r w:rsidRPr="000C4EF1">
        <w:t>Regulation 34(3)(e) applies to all admitted patients, including those undergoing day procedures</w:t>
      </w:r>
      <w:r>
        <w:t>.</w:t>
      </w:r>
      <w:r w:rsidRPr="000C4EF1">
        <w:t xml:space="preserve"> In 2021-2022, there were 1,083,287 separations in private hospitals in Victoria. Of these, almost 70 per cent (748,180) were discharged on the same day.</w:t>
      </w:r>
      <w:r w:rsidRPr="000C4EF1">
        <w:rPr>
          <w:rStyle w:val="FootnoteReference"/>
        </w:rPr>
        <w:footnoteReference w:id="106"/>
      </w:r>
      <w:r w:rsidRPr="000C4EF1">
        <w:t xml:space="preserve"> </w:t>
      </w:r>
      <w:r>
        <w:t>M</w:t>
      </w:r>
      <w:r w:rsidRPr="000C4EF1">
        <w:t xml:space="preserve">any day procedures are exploratory (e.g. </w:t>
      </w:r>
      <w:r w:rsidRPr="000C4EF1">
        <w:lastRenderedPageBreak/>
        <w:t>endoscopy) or minor, and do not involve any changes to a pati</w:t>
      </w:r>
      <w:r w:rsidR="00EE0229">
        <w:t>e</w:t>
      </w:r>
      <w:r w:rsidRPr="000C4EF1">
        <w:t xml:space="preserve">nt's </w:t>
      </w:r>
      <w:r>
        <w:t>medications</w:t>
      </w:r>
      <w:r w:rsidRPr="000C4EF1">
        <w:t xml:space="preserve">. Unlike </w:t>
      </w:r>
      <w:r>
        <w:t>with overnight</w:t>
      </w:r>
      <w:r w:rsidRPr="000C4EF1">
        <w:t xml:space="preserve"> </w:t>
      </w:r>
      <w:r>
        <w:t xml:space="preserve">or extended </w:t>
      </w:r>
      <w:r w:rsidRPr="000C4EF1">
        <w:t>hospital admission</w:t>
      </w:r>
      <w:r>
        <w:t>s</w:t>
      </w:r>
      <w:r w:rsidRPr="000C4EF1">
        <w:t xml:space="preserve">, </w:t>
      </w:r>
      <w:r>
        <w:t xml:space="preserve">when a patient undergoes a day procedure, the HSE </w:t>
      </w:r>
      <w:r w:rsidRPr="000C4EF1">
        <w:t xml:space="preserve">does not take over </w:t>
      </w:r>
      <w:r>
        <w:t xml:space="preserve">their </w:t>
      </w:r>
      <w:r w:rsidRPr="000C4EF1">
        <w:t xml:space="preserve">medication management. </w:t>
      </w:r>
      <w:r>
        <w:t>They are, however,</w:t>
      </w:r>
      <w:r w:rsidRPr="000C4EF1">
        <w:t xml:space="preserve"> expected to have processes in place to communicate any medication changes.</w:t>
      </w:r>
    </w:p>
    <w:p w14:paraId="52976BAC" w14:textId="77777777" w:rsidR="00A863A5" w:rsidRPr="008774A1" w:rsidRDefault="00A863A5" w:rsidP="00A863A5">
      <w:pPr>
        <w:rPr>
          <w:rStyle w:val="normaltextrun"/>
          <w:rFonts w:cstheme="minorHAnsi"/>
          <w:szCs w:val="20"/>
          <w:shd w:val="clear" w:color="auto" w:fill="FFFFFF"/>
        </w:rPr>
      </w:pPr>
      <w:r w:rsidRPr="000C4EF1">
        <w:t>The Medication Safety Standard’s strategies for improvement with respect to day procedure centres note that the requirement to provide a medications list is not applicable for day procedure services if they provide evidence that they are not changing or altering patients’ medicines during an episode of care. This indicates that the Standards do not envisage day procedure centres providing detailed medication information on discharge if no changes are made to the patients’ current medication</w:t>
      </w:r>
      <w:r>
        <w:t xml:space="preserve">, though the Department understands it would still be expected that the discharge summary note that no changes </w:t>
      </w:r>
      <w:r w:rsidRPr="008774A1">
        <w:rPr>
          <w:rStyle w:val="normaltextrun"/>
          <w:rFonts w:cstheme="minorHAnsi"/>
          <w:szCs w:val="20"/>
          <w:shd w:val="clear" w:color="auto" w:fill="FFFFFF"/>
        </w:rPr>
        <w:t>had been made.</w:t>
      </w:r>
    </w:p>
    <w:p w14:paraId="160A8F70" w14:textId="547F5740" w:rsidR="00A863A5" w:rsidRPr="008774A1" w:rsidRDefault="00A863A5" w:rsidP="00A863A5">
      <w:pPr>
        <w:rPr>
          <w:rStyle w:val="normaltextrun"/>
          <w:rFonts w:cstheme="minorHAnsi"/>
          <w:szCs w:val="20"/>
          <w:shd w:val="clear" w:color="auto" w:fill="FFFFFF"/>
        </w:rPr>
      </w:pPr>
      <w:r w:rsidRPr="00E346C6">
        <w:rPr>
          <w:rStyle w:val="normaltextrun"/>
          <w:rFonts w:cstheme="minorHAnsi"/>
          <w:szCs w:val="20"/>
          <w:shd w:val="clear" w:color="auto" w:fill="FFFFFF"/>
        </w:rPr>
        <w:t xml:space="preserve">Feedback from the sector was that the existing requirement for patients staying overnight is also unnecessarily prescriptive and does not reflect the risk-based approach included in the Standards and adopted by most health services. </w:t>
      </w:r>
      <w:r w:rsidRPr="008774A1">
        <w:rPr>
          <w:rStyle w:val="normaltextrun"/>
          <w:rFonts w:cstheme="minorHAnsi"/>
          <w:szCs w:val="20"/>
          <w:shd w:val="clear" w:color="auto" w:fill="FFFFFF"/>
        </w:rPr>
        <w:t xml:space="preserve">They argue the current requirement is </w:t>
      </w:r>
      <w:r w:rsidRPr="00E346C6">
        <w:rPr>
          <w:rStyle w:val="normaltextrun"/>
          <w:rFonts w:cstheme="minorHAnsi"/>
          <w:szCs w:val="20"/>
          <w:shd w:val="clear" w:color="auto" w:fill="FFFFFF"/>
        </w:rPr>
        <w:t>burdensome when applied to patients who are deemed low risk with no relevant medication changes</w:t>
      </w:r>
      <w:r>
        <w:rPr>
          <w:rStyle w:val="normaltextrun"/>
          <w:rFonts w:cstheme="minorHAnsi"/>
          <w:szCs w:val="20"/>
          <w:shd w:val="clear" w:color="auto" w:fill="FFFFFF"/>
        </w:rPr>
        <w:t>, and note that the process of transcribing medications lists can introduce a risk of errors</w:t>
      </w:r>
      <w:r w:rsidRPr="00E346C6">
        <w:rPr>
          <w:rStyle w:val="normaltextrun"/>
          <w:rFonts w:cstheme="minorHAnsi"/>
          <w:szCs w:val="20"/>
          <w:shd w:val="clear" w:color="auto" w:fill="FFFFFF"/>
        </w:rPr>
        <w:t>.</w:t>
      </w:r>
      <w:r>
        <w:rPr>
          <w:rStyle w:val="normaltextrun"/>
          <w:rFonts w:cstheme="minorHAnsi"/>
          <w:szCs w:val="20"/>
          <w:shd w:val="clear" w:color="auto" w:fill="FFFFFF"/>
        </w:rPr>
        <w:t xml:space="preserve"> </w:t>
      </w:r>
      <w:r w:rsidR="008774A1" w:rsidRPr="000319C4">
        <w:rPr>
          <w:rStyle w:val="normaltextrun"/>
          <w:shd w:val="clear" w:color="auto" w:fill="FFFFFF"/>
        </w:rPr>
        <w:t>The Commission ha</w:t>
      </w:r>
      <w:r w:rsidR="00DD443B">
        <w:rPr>
          <w:rStyle w:val="normaltextrun"/>
          <w:shd w:val="clear" w:color="auto" w:fill="FFFFFF"/>
        </w:rPr>
        <w:t>s</w:t>
      </w:r>
      <w:r w:rsidR="008774A1" w:rsidRPr="000319C4">
        <w:rPr>
          <w:rStyle w:val="normaltextrun"/>
          <w:shd w:val="clear" w:color="auto" w:fill="FFFFFF"/>
        </w:rPr>
        <w:t xml:space="preserve"> advised that the Standards outline safety and quality outcomes that a health service organisation must achieve, while allowing health service organisations the flexibility to decide how to achieve these outcomes in a way that is appropriate for their context. </w:t>
      </w:r>
      <w:r w:rsidR="00DD443B">
        <w:rPr>
          <w:rStyle w:val="normaltextrun"/>
          <w:shd w:val="clear" w:color="auto" w:fill="FFFFFF"/>
        </w:rPr>
        <w:t>D</w:t>
      </w:r>
      <w:r w:rsidR="008774A1" w:rsidRPr="000319C4">
        <w:rPr>
          <w:rStyle w:val="normaltextrun"/>
          <w:shd w:val="clear" w:color="auto" w:fill="FFFFFF"/>
        </w:rPr>
        <w:t>ischarge information will vary between patients, and organisations need to identify those patients most at risk and ensure they receive the information they need.</w:t>
      </w:r>
    </w:p>
    <w:p w14:paraId="2E2D6905" w14:textId="4CD4C042" w:rsidR="00A863A5" w:rsidRDefault="00A863A5" w:rsidP="00A863A5">
      <w:r w:rsidRPr="000C4EF1">
        <w:t>The</w:t>
      </w:r>
      <w:r w:rsidRPr="000C4EF1" w:rsidDel="005747FA">
        <w:t xml:space="preserve"> </w:t>
      </w:r>
      <w:r w:rsidRPr="000C4EF1">
        <w:t>proposed amendment</w:t>
      </w:r>
      <w:r>
        <w:t>s</w:t>
      </w:r>
      <w:r w:rsidRPr="000C4EF1">
        <w:t xml:space="preserve"> to the regulations remove the requirement for day </w:t>
      </w:r>
      <w:r>
        <w:t>procedure</w:t>
      </w:r>
      <w:r w:rsidRPr="000C4EF1">
        <w:t xml:space="preserve"> centres</w:t>
      </w:r>
      <w:r>
        <w:t xml:space="preserve"> or private hospitals</w:t>
      </w:r>
      <w:r w:rsidRPr="000C4EF1">
        <w:t xml:space="preserve"> </w:t>
      </w:r>
      <w:r>
        <w:t>who discharge patients within one day to provide a full medication list</w:t>
      </w:r>
      <w:r w:rsidRPr="000C4EF1">
        <w:t>.</w:t>
      </w:r>
      <w:r>
        <w:t xml:space="preserve"> It is also proposed </w:t>
      </w:r>
      <w:r w:rsidR="00DD443B">
        <w:t>that</w:t>
      </w:r>
      <w:r>
        <w:t xml:space="preserve"> the requirement for private hospitals to provide overnight patients with a full medication list on discharge</w:t>
      </w:r>
      <w:r w:rsidR="00DD443B">
        <w:t xml:space="preserve"> be amended to instead require </w:t>
      </w:r>
      <w:r>
        <w:t xml:space="preserve">a </w:t>
      </w:r>
      <w:r w:rsidR="00DD443B">
        <w:t>‘</w:t>
      </w:r>
      <w:r>
        <w:t>medication summary</w:t>
      </w:r>
      <w:r w:rsidR="00DD443B">
        <w:t>’</w:t>
      </w:r>
      <w:r>
        <w:t xml:space="preserve">, where assessed as clinically safe and appropriate. </w:t>
      </w:r>
      <w:r w:rsidRPr="00E346C6">
        <w:t xml:space="preserve">Using the term ‘summary’ </w:t>
      </w:r>
      <w:r>
        <w:t xml:space="preserve">would </w:t>
      </w:r>
      <w:r w:rsidRPr="00E346C6">
        <w:t>allow hospitals the option of providing a statement rather than documenting a full medication list for patients they deem as low risk (e.g. a summary could say “No changes to pre-existing medication list”).</w:t>
      </w:r>
      <w:r>
        <w:t xml:space="preserve"> For many patients</w:t>
      </w:r>
      <w:r w:rsidR="00DD443B">
        <w:t xml:space="preserve"> where the risks are higher</w:t>
      </w:r>
      <w:r w:rsidR="00D07EE4">
        <w:t>, for example,</w:t>
      </w:r>
      <w:r w:rsidR="00DD443B">
        <w:t xml:space="preserve"> due to complexities in the patient’s condition or the types </w:t>
      </w:r>
      <w:r w:rsidR="009748C4">
        <w:t xml:space="preserve">and combinations </w:t>
      </w:r>
      <w:r w:rsidR="00DD443B">
        <w:t>of medication</w:t>
      </w:r>
      <w:r w:rsidR="009748C4">
        <w:t>s being prescribed,</w:t>
      </w:r>
      <w:r>
        <w:t xml:space="preserve"> a full medication list would still be </w:t>
      </w:r>
      <w:r w:rsidR="009748C4">
        <w:t xml:space="preserve">necessary and </w:t>
      </w:r>
      <w:r>
        <w:t>appropriate</w:t>
      </w:r>
      <w:r w:rsidR="009748C4">
        <w:t xml:space="preserve"> to ensure their safety</w:t>
      </w:r>
      <w:r>
        <w:t xml:space="preserve">. All discharge summaries would be expected to clearly document </w:t>
      </w:r>
      <w:r w:rsidRPr="001F1E2E">
        <w:t>any changes</w:t>
      </w:r>
      <w:r>
        <w:t>, cessations</w:t>
      </w:r>
      <w:r w:rsidRPr="001F1E2E">
        <w:t xml:space="preserve"> or additions to prescribed medications</w:t>
      </w:r>
      <w:r>
        <w:t xml:space="preserve"> that occurred during the patient’s time at the facility.</w:t>
      </w:r>
      <w:r w:rsidRPr="001F1E2E">
        <w:t xml:space="preserve"> </w:t>
      </w:r>
      <w:r>
        <w:t>These amendments are intended to</w:t>
      </w:r>
      <w:r w:rsidRPr="000C4EF1">
        <w:t xml:space="preserve"> reduc</w:t>
      </w:r>
      <w:r>
        <w:t>e</w:t>
      </w:r>
      <w:r w:rsidRPr="000C4EF1">
        <w:t xml:space="preserve"> </w:t>
      </w:r>
      <w:r>
        <w:t xml:space="preserve">unnecessary regulatory </w:t>
      </w:r>
      <w:r w:rsidRPr="000C4EF1">
        <w:t>burden on HSEs and align the Regulations with the Standard</w:t>
      </w:r>
      <w:r>
        <w:t>s.</w:t>
      </w:r>
    </w:p>
    <w:p w14:paraId="1F22BA89" w14:textId="77777777" w:rsidR="00A863A5" w:rsidRPr="00580638" w:rsidRDefault="00A863A5" w:rsidP="00A863A5">
      <w:pPr>
        <w:rPr>
          <w:i/>
          <w:iCs/>
        </w:rPr>
      </w:pPr>
      <w:r>
        <w:rPr>
          <w:i/>
          <w:iCs/>
        </w:rPr>
        <w:t>Proposed amendment to the Regulations</w:t>
      </w:r>
    </w:p>
    <w:p w14:paraId="125AEBD2" w14:textId="77777777" w:rsidR="00A863A5" w:rsidRDefault="00A863A5" w:rsidP="00A863A5">
      <w:pPr>
        <w:pStyle w:val="ListParagraph"/>
        <w:numPr>
          <w:ilvl w:val="0"/>
          <w:numId w:val="12"/>
        </w:numPr>
      </w:pPr>
      <w:r>
        <w:t xml:space="preserve">Regulation 34(3)(e) – information to patients on discharge regarding lists of medications – would be amended to require the following: </w:t>
      </w:r>
    </w:p>
    <w:p w14:paraId="451586CB" w14:textId="77777777" w:rsidR="00A863A5" w:rsidRDefault="00A863A5" w:rsidP="00A863A5">
      <w:pPr>
        <w:pStyle w:val="ListParagraph"/>
        <w:numPr>
          <w:ilvl w:val="1"/>
          <w:numId w:val="18"/>
        </w:numPr>
        <w:shd w:val="clear" w:color="auto" w:fill="FFFFFF"/>
        <w:ind w:left="993" w:hanging="284"/>
      </w:pPr>
      <w:r w:rsidRPr="001F1E2E">
        <w:t>For private hospitals</w:t>
      </w:r>
      <w:r>
        <w:t>:</w:t>
      </w:r>
    </w:p>
    <w:p w14:paraId="65E0F9BA" w14:textId="79E56305" w:rsidR="00A863A5" w:rsidRPr="001F1E2E" w:rsidRDefault="00A863A5" w:rsidP="00A863A5">
      <w:pPr>
        <w:pStyle w:val="ListParagraph"/>
        <w:numPr>
          <w:ilvl w:val="0"/>
          <w:numId w:val="81"/>
        </w:numPr>
        <w:shd w:val="clear" w:color="auto" w:fill="FFFFFF"/>
        <w:ind w:left="1276" w:hanging="283"/>
      </w:pPr>
      <w:r w:rsidRPr="00506024">
        <w:t>a summary of current medications including details of any cessations</w:t>
      </w:r>
      <w:r w:rsidR="000A049E">
        <w:t>, variations</w:t>
      </w:r>
      <w:r w:rsidRPr="00506024">
        <w:t xml:space="preserve"> or additions made to the regular prescribed medication</w:t>
      </w:r>
      <w:r>
        <w:t xml:space="preserve"> </w:t>
      </w:r>
      <w:r w:rsidRPr="00E346C6">
        <w:t xml:space="preserve">for patients that stay one or more nights in the facility. </w:t>
      </w:r>
    </w:p>
    <w:p w14:paraId="02D94890" w14:textId="6C1318C7" w:rsidR="00A863A5" w:rsidRPr="001F1E2E" w:rsidRDefault="00A863A5" w:rsidP="00A863A5">
      <w:pPr>
        <w:pStyle w:val="ListParagraph"/>
        <w:numPr>
          <w:ilvl w:val="0"/>
          <w:numId w:val="81"/>
        </w:numPr>
        <w:shd w:val="clear" w:color="auto" w:fill="FFFFFF"/>
        <w:ind w:left="1276" w:hanging="283"/>
      </w:pPr>
      <w:r w:rsidRPr="001F1E2E">
        <w:t>any</w:t>
      </w:r>
      <w:r>
        <w:t xml:space="preserve"> cessations</w:t>
      </w:r>
      <w:r w:rsidR="00FD2808">
        <w:t>, variations</w:t>
      </w:r>
      <w:r w:rsidRPr="001F1E2E">
        <w:t xml:space="preserve"> or additions to prescribed medications must be on the patient’s discharge summary for patients who are discharged within one day. </w:t>
      </w:r>
    </w:p>
    <w:p w14:paraId="64C176AE" w14:textId="77777777" w:rsidR="00A863A5" w:rsidRDefault="00A863A5" w:rsidP="00A863A5">
      <w:pPr>
        <w:pStyle w:val="ListParagraph"/>
        <w:numPr>
          <w:ilvl w:val="1"/>
          <w:numId w:val="18"/>
        </w:numPr>
        <w:shd w:val="clear" w:color="auto" w:fill="FFFFFF"/>
        <w:ind w:left="993" w:hanging="284"/>
      </w:pPr>
      <w:r w:rsidRPr="001F1E2E">
        <w:lastRenderedPageBreak/>
        <w:t>For day procedure centres</w:t>
      </w:r>
      <w:r>
        <w:t>:</w:t>
      </w:r>
      <w:r w:rsidRPr="001F1E2E">
        <w:t xml:space="preserve"> </w:t>
      </w:r>
    </w:p>
    <w:p w14:paraId="6CF2DE28" w14:textId="54B8575D" w:rsidR="00A863A5" w:rsidRDefault="00A863A5" w:rsidP="00A863A5">
      <w:pPr>
        <w:pStyle w:val="ListParagraph"/>
        <w:numPr>
          <w:ilvl w:val="0"/>
          <w:numId w:val="81"/>
        </w:numPr>
        <w:shd w:val="clear" w:color="auto" w:fill="FFFFFF"/>
        <w:ind w:left="1276" w:hanging="283"/>
      </w:pPr>
      <w:r w:rsidRPr="001F1E2E">
        <w:t>any</w:t>
      </w:r>
      <w:r>
        <w:t xml:space="preserve"> cessations</w:t>
      </w:r>
      <w:r w:rsidR="000832B8">
        <w:t>, variations</w:t>
      </w:r>
      <w:r w:rsidRPr="001F1E2E">
        <w:t xml:space="preserve"> or additions to prescribed medications must be on the patient’s discharge summary.</w:t>
      </w:r>
    </w:p>
    <w:p w14:paraId="3C41996C" w14:textId="77777777" w:rsidR="00A863A5" w:rsidRPr="00B20503" w:rsidRDefault="00A863A5" w:rsidP="009310F4">
      <w:pPr>
        <w:pStyle w:val="Heading6"/>
      </w:pPr>
      <w:r w:rsidRPr="00B20503">
        <w:t>Regulation 37 – Operati</w:t>
      </w:r>
      <w:r>
        <w:t>on</w:t>
      </w:r>
      <w:r w:rsidRPr="00B20503">
        <w:t xml:space="preserve"> Theatre Register</w:t>
      </w:r>
    </w:p>
    <w:p w14:paraId="3BA7857F" w14:textId="77777777" w:rsidR="00A863A5" w:rsidRPr="00B43398" w:rsidRDefault="00A863A5" w:rsidP="00A863A5">
      <w:r w:rsidRPr="00277A9D">
        <w:rPr>
          <w:szCs w:val="20"/>
        </w:rPr>
        <w:t xml:space="preserve">This amendment is proposed to ensure that the title of the regulation reflects the intention of the provision, which is that the register requirement is not limited to procedures conducted in an operating theatre but rather covers all ‘surgical services’ and speciality endoscopy services, wherever in the facility they are performed. </w:t>
      </w:r>
    </w:p>
    <w:p w14:paraId="24B93AFF" w14:textId="77777777" w:rsidR="00A863A5" w:rsidRPr="001E347D" w:rsidRDefault="00A863A5" w:rsidP="00A863A5">
      <w:pPr>
        <w:rPr>
          <w:rStyle w:val="Strong"/>
        </w:rPr>
      </w:pPr>
      <w:r w:rsidRPr="001E347D">
        <w:rPr>
          <w:rStyle w:val="Strong"/>
        </w:rPr>
        <w:t>Proposed amendment to the Regulations</w:t>
      </w:r>
    </w:p>
    <w:p w14:paraId="711904A7" w14:textId="1EC8CF2F" w:rsidR="00A863A5" w:rsidRDefault="00A863A5" w:rsidP="005B2145">
      <w:pPr>
        <w:pStyle w:val="ListParagraph"/>
        <w:numPr>
          <w:ilvl w:val="0"/>
          <w:numId w:val="12"/>
        </w:numPr>
      </w:pPr>
      <w:r w:rsidRPr="00F4456B">
        <w:t>Reg</w:t>
      </w:r>
      <w:r>
        <w:t>ulation</w:t>
      </w:r>
      <w:r w:rsidRPr="00F4456B">
        <w:t xml:space="preserve"> 7 - Amend title and provision to refer to ‘Surgical Procedure Register’ rather than ‘Operati</w:t>
      </w:r>
      <w:r>
        <w:t>on</w:t>
      </w:r>
      <w:r w:rsidRPr="00F4456B">
        <w:t xml:space="preserve"> Theatre Register’</w:t>
      </w:r>
      <w:r>
        <w:t>.</w:t>
      </w:r>
    </w:p>
    <w:p w14:paraId="67575913" w14:textId="41080074" w:rsidR="00EC72EF" w:rsidRPr="007E4A93" w:rsidRDefault="00EC72EF" w:rsidP="00EC72EF">
      <w:pPr>
        <w:pStyle w:val="Heading6"/>
      </w:pPr>
      <w:r w:rsidRPr="008242C4">
        <w:t xml:space="preserve">Regulation 41 </w:t>
      </w:r>
      <w:r w:rsidR="00365533">
        <w:t>–</w:t>
      </w:r>
      <w:r>
        <w:t xml:space="preserve"> </w:t>
      </w:r>
      <w:r w:rsidR="00365533">
        <w:t>Prevention of s</w:t>
      </w:r>
      <w:r w:rsidRPr="007E4A93">
        <w:t>calding</w:t>
      </w:r>
    </w:p>
    <w:p w14:paraId="1D011B3A" w14:textId="77777777" w:rsidR="00EC72EF" w:rsidRDefault="00EC72EF" w:rsidP="00EC72EF">
      <w:r>
        <w:t>Regulation 41 states that t</w:t>
      </w:r>
      <w:r w:rsidRPr="00876CCF">
        <w:t xml:space="preserve">he proprietor of </w:t>
      </w:r>
      <w:r>
        <w:t>a HSE</w:t>
      </w:r>
      <w:r w:rsidRPr="00876CCF">
        <w:t xml:space="preserve"> must ensure that every bath, shower and hand basin used by patients is installed with a system or mechanism to avoid the risk of scalding by controlling the outlet temperature of hot water.</w:t>
      </w:r>
      <w:r>
        <w:t xml:space="preserve"> </w:t>
      </w:r>
    </w:p>
    <w:p w14:paraId="4E7E3412" w14:textId="77777777" w:rsidR="00EC72EF" w:rsidRPr="00DA5528" w:rsidRDefault="00EC72EF" w:rsidP="00EC72EF">
      <w:pPr>
        <w:rPr>
          <w:rFonts w:cstheme="minorHAnsi"/>
          <w:szCs w:val="20"/>
        </w:rPr>
      </w:pPr>
      <w:r>
        <w:rPr>
          <w:rFonts w:cstheme="minorHAnsi"/>
          <w:szCs w:val="20"/>
        </w:rPr>
        <w:t xml:space="preserve">Regulation 41 </w:t>
      </w:r>
      <w:r w:rsidRPr="00422849">
        <w:rPr>
          <w:rFonts w:cstheme="minorHAnsi"/>
          <w:szCs w:val="20"/>
        </w:rPr>
        <w:t>is duplicative</w:t>
      </w:r>
      <w:r>
        <w:rPr>
          <w:rFonts w:cstheme="minorHAnsi"/>
          <w:szCs w:val="20"/>
        </w:rPr>
        <w:t xml:space="preserve"> of existing national and state-based legislative requirements. P</w:t>
      </w:r>
      <w:r w:rsidRPr="00422849">
        <w:rPr>
          <w:rFonts w:cstheme="minorHAnsi"/>
          <w:szCs w:val="20"/>
        </w:rPr>
        <w:t>lumbing work</w:t>
      </w:r>
      <w:r>
        <w:rPr>
          <w:rFonts w:cstheme="minorHAnsi"/>
          <w:szCs w:val="20"/>
        </w:rPr>
        <w:t xml:space="preserve"> (including water temperature requirements)</w:t>
      </w:r>
      <w:r w:rsidRPr="00422849">
        <w:rPr>
          <w:rFonts w:cstheme="minorHAnsi"/>
          <w:szCs w:val="20"/>
        </w:rPr>
        <w:t xml:space="preserve"> in Victoria is regulated through a </w:t>
      </w:r>
      <w:r>
        <w:rPr>
          <w:rFonts w:cstheme="minorHAnsi"/>
          <w:szCs w:val="20"/>
        </w:rPr>
        <w:t>framework</w:t>
      </w:r>
      <w:r w:rsidRPr="00422849">
        <w:rPr>
          <w:rFonts w:cstheme="minorHAnsi"/>
          <w:szCs w:val="20"/>
        </w:rPr>
        <w:t xml:space="preserve"> which includes the </w:t>
      </w:r>
      <w:r w:rsidRPr="005D2470">
        <w:rPr>
          <w:rFonts w:cstheme="minorHAnsi"/>
          <w:i/>
          <w:iCs/>
          <w:szCs w:val="20"/>
        </w:rPr>
        <w:t>Building Act 1993</w:t>
      </w:r>
      <w:r w:rsidRPr="00422849">
        <w:rPr>
          <w:rFonts w:cstheme="minorHAnsi"/>
          <w:szCs w:val="20"/>
        </w:rPr>
        <w:t xml:space="preserve">, </w:t>
      </w:r>
      <w:r w:rsidRPr="005D2470">
        <w:rPr>
          <w:rFonts w:cstheme="minorHAnsi"/>
          <w:i/>
          <w:iCs/>
          <w:szCs w:val="20"/>
        </w:rPr>
        <w:t>Plumbing Regulations 2018</w:t>
      </w:r>
      <w:r w:rsidRPr="00422849">
        <w:rPr>
          <w:rFonts w:cstheme="minorHAnsi"/>
          <w:szCs w:val="20"/>
        </w:rPr>
        <w:t>, the National Construction Code,</w:t>
      </w:r>
      <w:r>
        <w:rPr>
          <w:rFonts w:cstheme="minorHAnsi"/>
          <w:szCs w:val="20"/>
        </w:rPr>
        <w:t xml:space="preserve"> Plumbing Code of Australia,</w:t>
      </w:r>
      <w:r w:rsidRPr="00422849">
        <w:rPr>
          <w:rFonts w:cstheme="minorHAnsi"/>
          <w:szCs w:val="20"/>
        </w:rPr>
        <w:t xml:space="preserve"> and referenced documents. </w:t>
      </w:r>
      <w:r>
        <w:rPr>
          <w:rFonts w:cstheme="minorHAnsi"/>
          <w:szCs w:val="20"/>
        </w:rPr>
        <w:t>These requirements are also set out in</w:t>
      </w:r>
      <w:r w:rsidRPr="00422849">
        <w:rPr>
          <w:rFonts w:cstheme="minorHAnsi"/>
          <w:szCs w:val="20"/>
        </w:rPr>
        <w:t xml:space="preserve"> the Victorian Health Building Authority (VHBA) Engineering Guidelines</w:t>
      </w:r>
      <w:r>
        <w:rPr>
          <w:rFonts w:cstheme="minorHAnsi"/>
          <w:szCs w:val="20"/>
        </w:rPr>
        <w:t>.</w:t>
      </w:r>
    </w:p>
    <w:p w14:paraId="5AA072A0" w14:textId="77777777" w:rsidR="00EC72EF" w:rsidRPr="001E347D" w:rsidRDefault="00EC72EF" w:rsidP="00EC72EF">
      <w:pPr>
        <w:rPr>
          <w:rStyle w:val="Strong"/>
        </w:rPr>
      </w:pPr>
      <w:r w:rsidRPr="001E347D">
        <w:rPr>
          <w:rStyle w:val="Strong"/>
        </w:rPr>
        <w:t>Proposed amendment to the Regulations</w:t>
      </w:r>
    </w:p>
    <w:p w14:paraId="585A4707" w14:textId="77777777" w:rsidR="00EC72EF" w:rsidRDefault="00EC72EF" w:rsidP="00EC72EF">
      <w:pPr>
        <w:pStyle w:val="ListParagraph"/>
        <w:numPr>
          <w:ilvl w:val="0"/>
          <w:numId w:val="12"/>
        </w:numPr>
      </w:pPr>
      <w:r>
        <w:t xml:space="preserve">Regulation 41 – prevention of scalding – would be deleted. </w:t>
      </w:r>
    </w:p>
    <w:p w14:paraId="1A63CEC2" w14:textId="1FE1CF06" w:rsidR="00EC72EF" w:rsidRPr="007E4A93" w:rsidRDefault="00EC72EF" w:rsidP="00EC72EF">
      <w:pPr>
        <w:pStyle w:val="Heading6"/>
      </w:pPr>
      <w:r>
        <w:t xml:space="preserve">Regulation 45 </w:t>
      </w:r>
      <w:r w:rsidR="00365533">
        <w:t>–</w:t>
      </w:r>
      <w:r>
        <w:t xml:space="preserve"> </w:t>
      </w:r>
      <w:r w:rsidR="00365533">
        <w:t>Information to be prominently displayed</w:t>
      </w:r>
    </w:p>
    <w:p w14:paraId="01FF9B95" w14:textId="77777777" w:rsidR="00EC72EF" w:rsidRDefault="00EC72EF" w:rsidP="00EC72EF">
      <w:r>
        <w:t xml:space="preserve">Under the current regulations, there is no requirement to display the accreditation certificate issued under the accreditation scheme that is approved by the Secretary under section 107 of the Act. HSEs are only required to display their registration certificate issued under section 85 of the Act. Displaying the accreditation certificate alongside the registration certificate may help </w:t>
      </w:r>
      <w:r w:rsidRPr="00877615">
        <w:t xml:space="preserve">ensure patients are </w:t>
      </w:r>
      <w:r>
        <w:t xml:space="preserve">further </w:t>
      </w:r>
      <w:r w:rsidRPr="00877615">
        <w:t>informed about the safety and quality of the services provided at the facility</w:t>
      </w:r>
      <w:r>
        <w:t>.</w:t>
      </w:r>
      <w:r w:rsidRPr="00877615">
        <w:t xml:space="preserve"> </w:t>
      </w:r>
    </w:p>
    <w:p w14:paraId="460051F6" w14:textId="77777777" w:rsidR="00EC72EF" w:rsidRDefault="00EC72EF" w:rsidP="00EC72EF">
      <w:r>
        <w:t>The requirement to display the accreditation certificate supplements</w:t>
      </w:r>
      <w:r w:rsidRPr="00877615">
        <w:t xml:space="preserve"> information</w:t>
      </w:r>
      <w:r>
        <w:t xml:space="preserve"> already</w:t>
      </w:r>
      <w:r w:rsidRPr="00877615">
        <w:t xml:space="preserve"> published by the </w:t>
      </w:r>
      <w:r>
        <w:t>Commission</w:t>
      </w:r>
      <w:r w:rsidRPr="00877615">
        <w:t xml:space="preserve"> about the accreditation status of facilities. There is evidence from sector stakeholders that</w:t>
      </w:r>
      <w:r>
        <w:t>,</w:t>
      </w:r>
      <w:r w:rsidRPr="00877615">
        <w:t xml:space="preserve"> in practice</w:t>
      </w:r>
      <w:r>
        <w:t>,</w:t>
      </w:r>
      <w:r w:rsidRPr="00877615">
        <w:t xml:space="preserve"> the accreditation certificate is already displayed. </w:t>
      </w:r>
    </w:p>
    <w:p w14:paraId="15551201" w14:textId="77777777" w:rsidR="00EC72EF" w:rsidRPr="00910DD2" w:rsidRDefault="00EC72EF" w:rsidP="00EC72EF">
      <w:r>
        <w:t xml:space="preserve">In the HIC-led consumer interviews and workshop, there was strong interest in knowing about an HSE’s accreditation when accessing their health services. Consumers supported making accreditation </w:t>
      </w:r>
      <w:r>
        <w:lastRenderedPageBreak/>
        <w:t xml:space="preserve">information about HSEs more available to consumers by having the certificate displayed in a prominent place. There was a range of views about the ideal location, including foyers and reception areas, waiting rooms, nurses’ stations and elevator areas.  </w:t>
      </w:r>
    </w:p>
    <w:p w14:paraId="7BA06D5A" w14:textId="77777777" w:rsidR="00EC72EF" w:rsidRPr="001E347D" w:rsidRDefault="00EC72EF" w:rsidP="00214238">
      <w:pPr>
        <w:keepNext/>
        <w:rPr>
          <w:rStyle w:val="Strong"/>
        </w:rPr>
      </w:pPr>
      <w:r w:rsidRPr="001E347D">
        <w:rPr>
          <w:rStyle w:val="Strong"/>
        </w:rPr>
        <w:t>Proposed amendment to the Regulations</w:t>
      </w:r>
    </w:p>
    <w:p w14:paraId="62E21E27" w14:textId="1D52515F" w:rsidR="00EC72EF" w:rsidRDefault="00EC72EF" w:rsidP="006E5545">
      <w:pPr>
        <w:pStyle w:val="ListParagraph"/>
        <w:numPr>
          <w:ilvl w:val="0"/>
          <w:numId w:val="12"/>
        </w:numPr>
      </w:pPr>
      <w:r>
        <w:t>Regulation 45 – information to be prominently displayed in facili</w:t>
      </w:r>
      <w:r w:rsidR="002E18CF">
        <w:t>t</w:t>
      </w:r>
      <w:r>
        <w:t>y - would be amended to include the certificates(s) issued in respect of the facility under the accreditation scheme approved by the Secretary under Section 107 of the Act.</w:t>
      </w:r>
    </w:p>
    <w:p w14:paraId="67D46776" w14:textId="77777777" w:rsidR="00A863A5" w:rsidRPr="00562516" w:rsidRDefault="00A863A5" w:rsidP="009310F4">
      <w:pPr>
        <w:pStyle w:val="Heading6"/>
      </w:pPr>
      <w:r w:rsidRPr="00562516">
        <w:t>Regulation 46 – Returns and reports to be given to the Secretary</w:t>
      </w:r>
    </w:p>
    <w:p w14:paraId="5A92102D" w14:textId="77777777" w:rsidR="00A863A5" w:rsidRPr="00E41C76" w:rsidRDefault="00A863A5" w:rsidP="00A863A5">
      <w:pPr>
        <w:rPr>
          <w:szCs w:val="20"/>
        </w:rPr>
      </w:pPr>
      <w:r>
        <w:rPr>
          <w:szCs w:val="20"/>
        </w:rPr>
        <w:t>Unlike other HSEs, mobile health services (usually anaesthetic and intravenous sedation services) are not required to report any Victorian Admitted Episode Data to the department as their patients are not admitted. Typically, the patients are seen at privately owned dental clinics and radiation clinics that have contracted anaesthetic services. Currently mobile health services are requested to report data to the department annually via a template that is emailed to the proprietor of the mobile health service establishment. It is proposed to formalise this arrangement to ensure data is received in a full and timely manner, thus supporting the department’s oversight of the sector and risk-based monitoring.</w:t>
      </w:r>
    </w:p>
    <w:p w14:paraId="30838748" w14:textId="77777777" w:rsidR="00A863A5" w:rsidRPr="001E347D" w:rsidRDefault="00A863A5" w:rsidP="00A863A5">
      <w:pPr>
        <w:rPr>
          <w:rStyle w:val="Strong"/>
        </w:rPr>
      </w:pPr>
      <w:r w:rsidRPr="001E347D">
        <w:rPr>
          <w:rStyle w:val="Strong"/>
        </w:rPr>
        <w:t>Proposed amendment to the Regulations</w:t>
      </w:r>
    </w:p>
    <w:p w14:paraId="40E9B570" w14:textId="13C0D3FA" w:rsidR="00A863A5" w:rsidRPr="00E41C76" w:rsidRDefault="00A863A5" w:rsidP="005B2145">
      <w:pPr>
        <w:pStyle w:val="ListParagraph"/>
        <w:numPr>
          <w:ilvl w:val="0"/>
          <w:numId w:val="12"/>
        </w:numPr>
      </w:pPr>
      <w:r w:rsidRPr="00F4456B">
        <w:t>Reg</w:t>
      </w:r>
      <w:r>
        <w:t>ulation</w:t>
      </w:r>
      <w:r w:rsidRPr="00F4456B">
        <w:t xml:space="preserve"> 6</w:t>
      </w:r>
      <w:r w:rsidR="00153791">
        <w:t>1</w:t>
      </w:r>
      <w:r w:rsidRPr="00F4456B">
        <w:t xml:space="preserve"> - Insert additional provision to allow the Secretary to direct statistical returns from mobile </w:t>
      </w:r>
      <w:r w:rsidR="006355C3">
        <w:t>HSEs</w:t>
      </w:r>
      <w:r w:rsidRPr="00F4456B">
        <w:t xml:space="preserve"> (i.e. those registered </w:t>
      </w:r>
      <w:r w:rsidR="00B65709">
        <w:t xml:space="preserve">HSEs </w:t>
      </w:r>
      <w:r w:rsidRPr="00F4456B">
        <w:t>where services are provided primarily from</w:t>
      </w:r>
      <w:r>
        <w:t>—</w:t>
      </w:r>
      <w:r w:rsidRPr="00F4456B">
        <w:t>rather than at</w:t>
      </w:r>
      <w:r>
        <w:t>—</w:t>
      </w:r>
      <w:r w:rsidRPr="00F4456B">
        <w:t>the registered premises) – in the form and within the timeframes directed by the Secretary.</w:t>
      </w:r>
    </w:p>
    <w:p w14:paraId="60E2732F" w14:textId="3CC042BD" w:rsidR="00A863A5" w:rsidRDefault="00A863A5" w:rsidP="009310F4">
      <w:pPr>
        <w:pStyle w:val="Heading6"/>
      </w:pPr>
      <w:r w:rsidRPr="00562516">
        <w:t xml:space="preserve">Regulation </w:t>
      </w:r>
      <w:r w:rsidR="004C15EB">
        <w:t>4</w:t>
      </w:r>
      <w:r>
        <w:t>8</w:t>
      </w:r>
      <w:r w:rsidRPr="00562516">
        <w:t xml:space="preserve"> </w:t>
      </w:r>
      <w:r w:rsidR="00227A93">
        <w:t xml:space="preserve">- </w:t>
      </w:r>
      <w:r>
        <w:t>Review of quality and safety of health services provided</w:t>
      </w:r>
      <w:r w:rsidR="00227A93">
        <w:t>: adding a requirement for</w:t>
      </w:r>
      <w:r w:rsidR="004160A8">
        <w:t xml:space="preserve"> </w:t>
      </w:r>
      <w:r w:rsidR="000B2DE7">
        <w:t>transfers out for escalation of care</w:t>
      </w:r>
    </w:p>
    <w:p w14:paraId="07A50D62" w14:textId="36CD33FD" w:rsidR="00D32A59" w:rsidRPr="00D32A59" w:rsidRDefault="00D32A59" w:rsidP="00D32A59">
      <w:r w:rsidRPr="00D32A59">
        <w:t xml:space="preserve">Transfers out are critical for supporting the </w:t>
      </w:r>
      <w:r w:rsidR="0025289B">
        <w:t xml:space="preserve">safety and </w:t>
      </w:r>
      <w:r w:rsidRPr="00D32A59">
        <w:t xml:space="preserve">effectiveness of the Victorian health system. </w:t>
      </w:r>
      <w:r w:rsidR="000C21D7">
        <w:t>In instances where p</w:t>
      </w:r>
      <w:r w:rsidRPr="00D32A59">
        <w:t>atients requir</w:t>
      </w:r>
      <w:r w:rsidR="000C21D7">
        <w:t>e</w:t>
      </w:r>
      <w:r w:rsidRPr="00D32A59">
        <w:t xml:space="preserve"> a higher level of care </w:t>
      </w:r>
      <w:r w:rsidR="00A740ED">
        <w:t>than can be safely provided by an HSE, they may</w:t>
      </w:r>
      <w:r w:rsidRPr="00D32A59">
        <w:t xml:space="preserve"> be transferred out of </w:t>
      </w:r>
      <w:r w:rsidR="00A740ED">
        <w:t xml:space="preserve">the </w:t>
      </w:r>
      <w:r w:rsidRPr="00D32A59">
        <w:t xml:space="preserve">HSE to </w:t>
      </w:r>
      <w:r w:rsidR="00A740ED">
        <w:t xml:space="preserve">an </w:t>
      </w:r>
      <w:r w:rsidRPr="00D32A59">
        <w:t xml:space="preserve">emergency department in </w:t>
      </w:r>
      <w:r w:rsidR="001372FC">
        <w:t>an</w:t>
      </w:r>
      <w:r w:rsidRPr="00D32A59">
        <w:t xml:space="preserve">other hospital </w:t>
      </w:r>
      <w:r w:rsidR="009C47F4">
        <w:t>to receive the care they need</w:t>
      </w:r>
      <w:r w:rsidRPr="00D32A59">
        <w:t>.</w:t>
      </w:r>
    </w:p>
    <w:p w14:paraId="65CD2528" w14:textId="394BBDE8" w:rsidR="00DC3623" w:rsidRDefault="00D32A59" w:rsidP="00D32A59">
      <w:r w:rsidRPr="00D32A59">
        <w:t xml:space="preserve">Transfers are often the safe and appropriate thing to do given </w:t>
      </w:r>
      <w:r w:rsidR="004A050C">
        <w:t>the patient’s condition and the capability of the HSE to escalate care accordingly.</w:t>
      </w:r>
      <w:r w:rsidR="000242EE">
        <w:t xml:space="preserve"> </w:t>
      </w:r>
      <w:r w:rsidR="00993156" w:rsidRPr="00993156">
        <w:t>It may be standard protocol at many facilities for certain cohorts of patients to be transferred out</w:t>
      </w:r>
      <w:r w:rsidR="00951240">
        <w:t xml:space="preserve"> if their condition deteriorates</w:t>
      </w:r>
      <w:r w:rsidR="00993156" w:rsidRPr="00993156">
        <w:t xml:space="preserve">. </w:t>
      </w:r>
      <w:r w:rsidR="00F22CDF">
        <w:t>During consultation, t</w:t>
      </w:r>
      <w:r w:rsidR="00993156" w:rsidRPr="00993156">
        <w:t xml:space="preserve">he sector pointed to neonatal transfers and mental health transfers as examples of this. </w:t>
      </w:r>
    </w:p>
    <w:p w14:paraId="61FF2CDC" w14:textId="61F0826B" w:rsidR="00D32A59" w:rsidRPr="00D32A59" w:rsidRDefault="00C718A4" w:rsidP="00D32A59">
      <w:r>
        <w:t xml:space="preserve">While these types of transfers </w:t>
      </w:r>
      <w:r w:rsidRPr="00C718A4">
        <w:t>would not be viewed as indicators of poor performance or delays in recognising or responding to patient deterioration</w:t>
      </w:r>
      <w:r w:rsidR="001B017B">
        <w:t xml:space="preserve">, </w:t>
      </w:r>
      <w:r w:rsidR="007B096E">
        <w:t xml:space="preserve">other types of </w:t>
      </w:r>
      <w:r w:rsidR="00DC3623">
        <w:t xml:space="preserve">transfers out may </w:t>
      </w:r>
      <w:r w:rsidR="00D32A59" w:rsidRPr="00D32A59">
        <w:t>indicat</w:t>
      </w:r>
      <w:r w:rsidR="00DC3623">
        <w:t>e</w:t>
      </w:r>
      <w:r w:rsidR="00D32A59" w:rsidRPr="00D32A59">
        <w:t xml:space="preserve"> that unexpected circumstances have arisen</w:t>
      </w:r>
      <w:r w:rsidR="00DE612A">
        <w:t xml:space="preserve"> that the HSE was not prepared for</w:t>
      </w:r>
      <w:r w:rsidR="00B17134">
        <w:t xml:space="preserve"> and cannot manage</w:t>
      </w:r>
      <w:r w:rsidR="00A70C60">
        <w:t xml:space="preserve"> -</w:t>
      </w:r>
      <w:r w:rsidR="00FA5189">
        <w:t xml:space="preserve"> </w:t>
      </w:r>
      <w:r w:rsidR="00A70C60">
        <w:t>f</w:t>
      </w:r>
      <w:r w:rsidR="005E7A56">
        <w:t xml:space="preserve">or example, </w:t>
      </w:r>
      <w:r w:rsidR="00AE4E83">
        <w:t>if</w:t>
      </w:r>
      <w:r w:rsidR="009129F4">
        <w:t xml:space="preserve"> patient</w:t>
      </w:r>
      <w:r w:rsidR="005E7A56">
        <w:t xml:space="preserve"> </w:t>
      </w:r>
      <w:r w:rsidR="00CC1148">
        <w:t>risk indicators</w:t>
      </w:r>
      <w:r w:rsidR="00D32A59" w:rsidRPr="00D32A59">
        <w:t xml:space="preserve"> </w:t>
      </w:r>
      <w:r w:rsidR="00AE4E83">
        <w:t xml:space="preserve">are missed during </w:t>
      </w:r>
      <w:r w:rsidR="00005882">
        <w:t>pre-admission clinical assessments</w:t>
      </w:r>
      <w:r w:rsidR="009129F4">
        <w:t>.</w:t>
      </w:r>
      <w:r w:rsidR="009338F6">
        <w:t xml:space="preserve"> Transfers out </w:t>
      </w:r>
      <w:r w:rsidR="009338F6">
        <w:lastRenderedPageBreak/>
        <w:t xml:space="preserve">could also </w:t>
      </w:r>
      <w:r w:rsidR="00D13B7A">
        <w:t>indicate that HSEs are</w:t>
      </w:r>
      <w:r w:rsidR="0031754E" w:rsidRPr="0031754E">
        <w:t xml:space="preserve"> admitting certain cohorts of patients for certain types of procedures or treatments that are beyond the</w:t>
      </w:r>
      <w:r w:rsidR="00815DED">
        <w:t xml:space="preserve"> HSE’s</w:t>
      </w:r>
      <w:r w:rsidR="0031754E" w:rsidRPr="0031754E">
        <w:t xml:space="preserve"> capability </w:t>
      </w:r>
      <w:r w:rsidR="0078103D">
        <w:t>framework</w:t>
      </w:r>
      <w:r w:rsidR="00F65751">
        <w:t xml:space="preserve">. </w:t>
      </w:r>
    </w:p>
    <w:p w14:paraId="636FB666" w14:textId="78726779" w:rsidR="003F04FA" w:rsidRDefault="00AC4891" w:rsidP="003F04FA">
      <w:pPr>
        <w:rPr>
          <w:szCs w:val="20"/>
        </w:rPr>
      </w:pPr>
      <w:r>
        <w:rPr>
          <w:szCs w:val="20"/>
        </w:rPr>
        <w:t>VAED d</w:t>
      </w:r>
      <w:r w:rsidR="00827AF8">
        <w:rPr>
          <w:szCs w:val="20"/>
        </w:rPr>
        <w:t>ata shows that transfers out</w:t>
      </w:r>
      <w:r>
        <w:rPr>
          <w:szCs w:val="20"/>
        </w:rPr>
        <w:t xml:space="preserve"> are</w:t>
      </w:r>
      <w:r w:rsidR="00827AF8">
        <w:rPr>
          <w:szCs w:val="20"/>
        </w:rPr>
        <w:t xml:space="preserve"> a common occurrence in the private sector. </w:t>
      </w:r>
      <w:r w:rsidR="00910AA7" w:rsidRPr="00627F50">
        <w:rPr>
          <w:szCs w:val="20"/>
        </w:rPr>
        <w:t xml:space="preserve">In 2021-22 there were 19,302 </w:t>
      </w:r>
      <w:r w:rsidR="00A25837" w:rsidRPr="00627F50">
        <w:rPr>
          <w:szCs w:val="20"/>
        </w:rPr>
        <w:t>transfers out of private hospitals and day procedure centres</w:t>
      </w:r>
      <w:r w:rsidR="00460701">
        <w:rPr>
          <w:szCs w:val="20"/>
        </w:rPr>
        <w:t>,</w:t>
      </w:r>
      <w:r w:rsidR="00A25837">
        <w:rPr>
          <w:szCs w:val="20"/>
        </w:rPr>
        <w:t xml:space="preserve"> </w:t>
      </w:r>
      <w:r w:rsidR="00910AA7" w:rsidRPr="00627F50">
        <w:rPr>
          <w:szCs w:val="20"/>
        </w:rPr>
        <w:t>and</w:t>
      </w:r>
      <w:r w:rsidR="00A25837">
        <w:rPr>
          <w:szCs w:val="20"/>
        </w:rPr>
        <w:t xml:space="preserve"> in</w:t>
      </w:r>
      <w:r w:rsidR="00910AA7" w:rsidRPr="00627F50">
        <w:rPr>
          <w:szCs w:val="20"/>
        </w:rPr>
        <w:t xml:space="preserve"> </w:t>
      </w:r>
      <w:r w:rsidR="00A25837" w:rsidRPr="00627F50">
        <w:rPr>
          <w:szCs w:val="20"/>
        </w:rPr>
        <w:t xml:space="preserve">2022-23 </w:t>
      </w:r>
      <w:r w:rsidR="00A25837">
        <w:rPr>
          <w:szCs w:val="20"/>
        </w:rPr>
        <w:t xml:space="preserve">there were </w:t>
      </w:r>
      <w:r w:rsidR="00910AA7" w:rsidRPr="00627F50">
        <w:rPr>
          <w:szCs w:val="20"/>
        </w:rPr>
        <w:t>18,827.</w:t>
      </w:r>
      <w:r w:rsidR="00910AA7" w:rsidRPr="000D17F7">
        <w:rPr>
          <w:rStyle w:val="FootnoteReference"/>
        </w:rPr>
        <w:footnoteReference w:id="107"/>
      </w:r>
      <w:r w:rsidR="00910AA7" w:rsidRPr="00627F50">
        <w:rPr>
          <w:szCs w:val="20"/>
        </w:rPr>
        <w:t xml:space="preserve"> </w:t>
      </w:r>
      <w:r w:rsidR="002E086B">
        <w:rPr>
          <w:szCs w:val="20"/>
        </w:rPr>
        <w:t xml:space="preserve">However, </w:t>
      </w:r>
      <w:r w:rsidR="00494F33">
        <w:rPr>
          <w:szCs w:val="20"/>
        </w:rPr>
        <w:t>a</w:t>
      </w:r>
      <w:r w:rsidR="002E086B" w:rsidRPr="00627F50">
        <w:rPr>
          <w:szCs w:val="20"/>
        </w:rPr>
        <w:t xml:space="preserve">s no clinical reason </w:t>
      </w:r>
      <w:r w:rsidR="004C5599">
        <w:rPr>
          <w:szCs w:val="20"/>
        </w:rPr>
        <w:t xml:space="preserve">for </w:t>
      </w:r>
      <w:r w:rsidR="00950EDB">
        <w:rPr>
          <w:szCs w:val="20"/>
        </w:rPr>
        <w:t>tra</w:t>
      </w:r>
      <w:r w:rsidR="00274B8F">
        <w:rPr>
          <w:szCs w:val="20"/>
        </w:rPr>
        <w:t>n</w:t>
      </w:r>
      <w:r w:rsidR="00950EDB">
        <w:rPr>
          <w:szCs w:val="20"/>
        </w:rPr>
        <w:t xml:space="preserve">sfers is </w:t>
      </w:r>
      <w:r w:rsidR="002E086B" w:rsidRPr="00627F50">
        <w:rPr>
          <w:szCs w:val="20"/>
        </w:rPr>
        <w:t>collected, it is not possible to know how many were due to patient</w:t>
      </w:r>
      <w:r w:rsidR="000E11E1">
        <w:rPr>
          <w:szCs w:val="20"/>
        </w:rPr>
        <w:t>s requiring escalated care</w:t>
      </w:r>
      <w:r w:rsidR="002E086B" w:rsidRPr="00627F50">
        <w:rPr>
          <w:szCs w:val="20"/>
        </w:rPr>
        <w:t>.</w:t>
      </w:r>
      <w:r w:rsidR="00872564">
        <w:rPr>
          <w:szCs w:val="20"/>
        </w:rPr>
        <w:t xml:space="preserve"> </w:t>
      </w:r>
      <w:r w:rsidR="00F308F1">
        <w:rPr>
          <w:szCs w:val="20"/>
        </w:rPr>
        <w:t>Public h</w:t>
      </w:r>
      <w:r w:rsidR="003F04FA" w:rsidRPr="00627F50">
        <w:rPr>
          <w:szCs w:val="20"/>
        </w:rPr>
        <w:t xml:space="preserve">ospitals receiving emergency transfers for escalation of care have advised the department that such transfers are reasonably common and suggested there are gaps in the department’s oversight about the prevalence or severity of these transfers. </w:t>
      </w:r>
    </w:p>
    <w:p w14:paraId="0EDC12F1" w14:textId="795036E4" w:rsidR="00170B4C" w:rsidRDefault="00170B4C" w:rsidP="003F04FA">
      <w:pPr>
        <w:rPr>
          <w:szCs w:val="20"/>
        </w:rPr>
      </w:pPr>
      <w:r>
        <w:rPr>
          <w:szCs w:val="20"/>
        </w:rPr>
        <w:t xml:space="preserve">As transfers may, in some situations, </w:t>
      </w:r>
      <w:r w:rsidR="000F3DAE">
        <w:rPr>
          <w:szCs w:val="20"/>
        </w:rPr>
        <w:t xml:space="preserve">indicate </w:t>
      </w:r>
      <w:r w:rsidR="00053A7A">
        <w:rPr>
          <w:szCs w:val="20"/>
        </w:rPr>
        <w:t xml:space="preserve">underlying </w:t>
      </w:r>
      <w:r w:rsidR="006F6EB6">
        <w:rPr>
          <w:szCs w:val="20"/>
        </w:rPr>
        <w:t xml:space="preserve">systemic </w:t>
      </w:r>
      <w:r w:rsidR="00053A7A">
        <w:rPr>
          <w:szCs w:val="20"/>
        </w:rPr>
        <w:t xml:space="preserve">issues at </w:t>
      </w:r>
      <w:r w:rsidR="00A82CFF">
        <w:rPr>
          <w:szCs w:val="20"/>
        </w:rPr>
        <w:t xml:space="preserve">an HSE, the </w:t>
      </w:r>
      <w:r w:rsidR="000416A2">
        <w:rPr>
          <w:szCs w:val="20"/>
        </w:rPr>
        <w:t xml:space="preserve">department </w:t>
      </w:r>
      <w:r w:rsidR="00E84CDE">
        <w:rPr>
          <w:szCs w:val="20"/>
        </w:rPr>
        <w:t xml:space="preserve">proposes to amend the regulations to require HSEs to record and review </w:t>
      </w:r>
      <w:r w:rsidR="002B502F">
        <w:rPr>
          <w:szCs w:val="20"/>
        </w:rPr>
        <w:t xml:space="preserve">transfers out for </w:t>
      </w:r>
      <w:r w:rsidR="00812476">
        <w:rPr>
          <w:szCs w:val="20"/>
        </w:rPr>
        <w:t>escalation of care</w:t>
      </w:r>
      <w:r w:rsidR="0062122A">
        <w:rPr>
          <w:szCs w:val="20"/>
        </w:rPr>
        <w:t xml:space="preserve"> as part of their </w:t>
      </w:r>
      <w:r w:rsidR="00AA535E">
        <w:rPr>
          <w:szCs w:val="20"/>
        </w:rPr>
        <w:t>regular</w:t>
      </w:r>
      <w:r w:rsidR="0062122A">
        <w:rPr>
          <w:szCs w:val="20"/>
        </w:rPr>
        <w:t xml:space="preserve"> quality and safety </w:t>
      </w:r>
      <w:r w:rsidR="00BD60FB">
        <w:rPr>
          <w:szCs w:val="20"/>
        </w:rPr>
        <w:t xml:space="preserve">review </w:t>
      </w:r>
      <w:r w:rsidR="0062122A">
        <w:rPr>
          <w:szCs w:val="20"/>
        </w:rPr>
        <w:t>processes</w:t>
      </w:r>
      <w:r w:rsidR="00AA535E">
        <w:rPr>
          <w:szCs w:val="20"/>
        </w:rPr>
        <w:t>.</w:t>
      </w:r>
      <w:r w:rsidR="0006190E" w:rsidRPr="0006190E">
        <w:t xml:space="preserve"> </w:t>
      </w:r>
      <w:r w:rsidR="001E4449">
        <w:rPr>
          <w:szCs w:val="20"/>
        </w:rPr>
        <w:t xml:space="preserve">The department proposes to add this requirement to existing </w:t>
      </w:r>
      <w:r w:rsidR="00973210">
        <w:rPr>
          <w:szCs w:val="20"/>
        </w:rPr>
        <w:t xml:space="preserve">regulation 48, which requires HSEs to </w:t>
      </w:r>
      <w:r w:rsidR="0049324F">
        <w:rPr>
          <w:szCs w:val="20"/>
        </w:rPr>
        <w:t xml:space="preserve">record and review at least every 3 months </w:t>
      </w:r>
      <w:r w:rsidR="00B660AD">
        <w:rPr>
          <w:szCs w:val="20"/>
        </w:rPr>
        <w:t xml:space="preserve">other information </w:t>
      </w:r>
      <w:r w:rsidR="00324BA0">
        <w:rPr>
          <w:szCs w:val="20"/>
        </w:rPr>
        <w:t xml:space="preserve">related to patient </w:t>
      </w:r>
      <w:r w:rsidR="00227F02">
        <w:rPr>
          <w:szCs w:val="20"/>
        </w:rPr>
        <w:t>incidents</w:t>
      </w:r>
      <w:r w:rsidR="001D3EB2">
        <w:rPr>
          <w:szCs w:val="20"/>
        </w:rPr>
        <w:t xml:space="preserve">, such as </w:t>
      </w:r>
      <w:r w:rsidR="00E106CE">
        <w:rPr>
          <w:szCs w:val="20"/>
        </w:rPr>
        <w:t>adverse events, sentinel events, mortality and morbidity</w:t>
      </w:r>
      <w:r w:rsidR="00B660AD">
        <w:rPr>
          <w:szCs w:val="20"/>
        </w:rPr>
        <w:t>.</w:t>
      </w:r>
      <w:r w:rsidR="000254C7">
        <w:rPr>
          <w:szCs w:val="20"/>
        </w:rPr>
        <w:t xml:space="preserve"> </w:t>
      </w:r>
      <w:r w:rsidR="007C7C9E">
        <w:rPr>
          <w:szCs w:val="20"/>
        </w:rPr>
        <w:t xml:space="preserve">As a complement to an </w:t>
      </w:r>
      <w:r w:rsidR="0088568E">
        <w:rPr>
          <w:szCs w:val="20"/>
        </w:rPr>
        <w:t>H</w:t>
      </w:r>
      <w:r w:rsidR="007C7C9E">
        <w:rPr>
          <w:szCs w:val="20"/>
        </w:rPr>
        <w:t xml:space="preserve">SE's current </w:t>
      </w:r>
      <w:r w:rsidR="007C7C9E">
        <w:t>overall quality and safety monitoring</w:t>
      </w:r>
      <w:r w:rsidR="00BE27C0">
        <w:t>,</w:t>
      </w:r>
      <w:r w:rsidR="007C7C9E">
        <w:rPr>
          <w:szCs w:val="20"/>
        </w:rPr>
        <w:t xml:space="preserve"> </w:t>
      </w:r>
      <w:r w:rsidR="000F25E0">
        <w:rPr>
          <w:szCs w:val="20"/>
        </w:rPr>
        <w:t xml:space="preserve">regular internal </w:t>
      </w:r>
      <w:r w:rsidR="00BE27C0">
        <w:rPr>
          <w:szCs w:val="20"/>
        </w:rPr>
        <w:t>r</w:t>
      </w:r>
      <w:r w:rsidR="000723F5">
        <w:rPr>
          <w:szCs w:val="20"/>
        </w:rPr>
        <w:t>eview</w:t>
      </w:r>
      <w:r w:rsidR="000F25E0">
        <w:rPr>
          <w:szCs w:val="20"/>
        </w:rPr>
        <w:t>s</w:t>
      </w:r>
      <w:r w:rsidR="000723F5">
        <w:rPr>
          <w:szCs w:val="20"/>
        </w:rPr>
        <w:t xml:space="preserve"> of </w:t>
      </w:r>
      <w:r w:rsidR="002507A9" w:rsidRPr="002507A9">
        <w:rPr>
          <w:szCs w:val="20"/>
        </w:rPr>
        <w:t xml:space="preserve">this cohort of transfers </w:t>
      </w:r>
      <w:r w:rsidR="00370339">
        <w:rPr>
          <w:szCs w:val="20"/>
        </w:rPr>
        <w:t>out</w:t>
      </w:r>
      <w:r w:rsidR="002507A9" w:rsidRPr="002507A9">
        <w:rPr>
          <w:szCs w:val="20"/>
        </w:rPr>
        <w:t xml:space="preserve"> </w:t>
      </w:r>
      <w:r w:rsidR="001124CF">
        <w:rPr>
          <w:szCs w:val="20"/>
        </w:rPr>
        <w:t>may</w:t>
      </w:r>
      <w:r w:rsidR="002507A9" w:rsidRPr="002507A9">
        <w:rPr>
          <w:szCs w:val="20"/>
        </w:rPr>
        <w:t xml:space="preserve"> provide useful insights </w:t>
      </w:r>
      <w:r w:rsidR="00C02402">
        <w:rPr>
          <w:szCs w:val="20"/>
        </w:rPr>
        <w:t>and lessons</w:t>
      </w:r>
      <w:r w:rsidR="00A534F1">
        <w:rPr>
          <w:szCs w:val="20"/>
        </w:rPr>
        <w:t>.</w:t>
      </w:r>
      <w:r w:rsidR="008457D7">
        <w:rPr>
          <w:szCs w:val="20"/>
        </w:rPr>
        <w:t xml:space="preserve"> </w:t>
      </w:r>
    </w:p>
    <w:p w14:paraId="4CD302C1" w14:textId="77777777" w:rsidR="00221448" w:rsidRPr="001E347D" w:rsidRDefault="00221448" w:rsidP="00221448">
      <w:pPr>
        <w:rPr>
          <w:rStyle w:val="Strong"/>
        </w:rPr>
      </w:pPr>
      <w:r w:rsidRPr="001E347D">
        <w:rPr>
          <w:rStyle w:val="Strong"/>
        </w:rPr>
        <w:t>Proposed amendment to the Regulations</w:t>
      </w:r>
    </w:p>
    <w:p w14:paraId="517A160C" w14:textId="1556BBB2" w:rsidR="00EF64C6" w:rsidRDefault="00C213B1" w:rsidP="009310F4">
      <w:pPr>
        <w:pStyle w:val="ListParagraph"/>
        <w:numPr>
          <w:ilvl w:val="0"/>
          <w:numId w:val="12"/>
        </w:numPr>
      </w:pPr>
      <w:r>
        <w:t xml:space="preserve">Regulation </w:t>
      </w:r>
      <w:r w:rsidR="000C67DA">
        <w:t>4</w:t>
      </w:r>
      <w:r>
        <w:t>8 - r</w:t>
      </w:r>
      <w:r w:rsidR="00FC7427" w:rsidRPr="00627F50">
        <w:t xml:space="preserve">equire the proprietor to record in writing and review at least every 3 months </w:t>
      </w:r>
      <w:r w:rsidR="000821D3">
        <w:t>all</w:t>
      </w:r>
      <w:r w:rsidR="000821D3" w:rsidRPr="00627F50">
        <w:t xml:space="preserve"> </w:t>
      </w:r>
      <w:r w:rsidR="00FC7427" w:rsidRPr="00627F50">
        <w:t>patient transfer</w:t>
      </w:r>
      <w:r w:rsidR="000821D3">
        <w:t>s</w:t>
      </w:r>
      <w:r w:rsidR="00FC7427" w:rsidRPr="00627F50">
        <w:t xml:space="preserve"> </w:t>
      </w:r>
      <w:r w:rsidR="00D92CA2">
        <w:t>from the health service establishment to another health service establishment or health care agency for the escalation of patient care</w:t>
      </w:r>
      <w:r w:rsidR="00EF64C6">
        <w:t>.</w:t>
      </w:r>
    </w:p>
    <w:p w14:paraId="45E90765" w14:textId="3B6B60AC" w:rsidR="00207CA1" w:rsidRPr="00EC3D4F" w:rsidRDefault="00680037" w:rsidP="008770B3">
      <w:pPr>
        <w:rPr>
          <w:szCs w:val="20"/>
        </w:rPr>
      </w:pPr>
      <w:r w:rsidRPr="008770B3">
        <w:rPr>
          <w:szCs w:val="20"/>
        </w:rPr>
        <w:t>Under Regulation 35(c)(viii) HSEs are already required to record in the patient admission and discharge register</w:t>
      </w:r>
      <w:r w:rsidR="007963F2">
        <w:rPr>
          <w:szCs w:val="20"/>
        </w:rPr>
        <w:t>,</w:t>
      </w:r>
      <w:r w:rsidRPr="008770B3">
        <w:rPr>
          <w:szCs w:val="20"/>
        </w:rPr>
        <w:t xml:space="preserve"> if a patient is transferred to another health service establishment or health care agency, the name of that establishment or agency and the reason for the transfer. In practice, the </w:t>
      </w:r>
      <w:r w:rsidRPr="00EC3D4F">
        <w:rPr>
          <w:szCs w:val="20"/>
        </w:rPr>
        <w:t>sector has advised that transfers out are recorded in internal incident management systems, along with data relating to SAPSE</w:t>
      </w:r>
      <w:r w:rsidR="00F31EFE">
        <w:rPr>
          <w:szCs w:val="20"/>
        </w:rPr>
        <w:t>s</w:t>
      </w:r>
      <w:r w:rsidRPr="00EC3D4F">
        <w:rPr>
          <w:szCs w:val="20"/>
        </w:rPr>
        <w:t xml:space="preserve">, sentinel events and other incidents. Some HSEs have also indicated that transfers out are routinely examined as part of their quality and safety review processes. </w:t>
      </w:r>
    </w:p>
    <w:p w14:paraId="241ACC63" w14:textId="21688B7D" w:rsidR="001A5C84" w:rsidRPr="00EC3D4F" w:rsidRDefault="00605A92" w:rsidP="001A5C84">
      <w:pPr>
        <w:rPr>
          <w:szCs w:val="20"/>
        </w:rPr>
      </w:pPr>
      <w:r w:rsidRPr="00EC3D4F">
        <w:rPr>
          <w:szCs w:val="20"/>
        </w:rPr>
        <w:t xml:space="preserve">In terms of impact of this proposed change, </w:t>
      </w:r>
      <w:r w:rsidR="001A5C84" w:rsidRPr="00EC3D4F">
        <w:rPr>
          <w:szCs w:val="20"/>
        </w:rPr>
        <w:t xml:space="preserve">the department </w:t>
      </w:r>
      <w:r w:rsidR="009A6BF7" w:rsidRPr="00EC3D4F">
        <w:rPr>
          <w:szCs w:val="20"/>
        </w:rPr>
        <w:t xml:space="preserve">considers this to be a minor amendment as </w:t>
      </w:r>
      <w:r w:rsidR="0081212F" w:rsidRPr="00EC3D4F">
        <w:rPr>
          <w:szCs w:val="20"/>
        </w:rPr>
        <w:t xml:space="preserve">it will formalise current practices for most </w:t>
      </w:r>
      <w:r w:rsidR="00612F89" w:rsidRPr="00EC3D4F">
        <w:rPr>
          <w:szCs w:val="20"/>
        </w:rPr>
        <w:t xml:space="preserve">HSEs that </w:t>
      </w:r>
      <w:r w:rsidR="009A6BF7" w:rsidRPr="00EC3D4F">
        <w:rPr>
          <w:szCs w:val="20"/>
        </w:rPr>
        <w:t xml:space="preserve">are already likely to be collecting and reviewing this data. </w:t>
      </w:r>
      <w:r w:rsidR="0015581D" w:rsidRPr="00EC3D4F">
        <w:rPr>
          <w:szCs w:val="20"/>
        </w:rPr>
        <w:t>However</w:t>
      </w:r>
      <w:r w:rsidR="001A5C84" w:rsidRPr="00EC3D4F">
        <w:rPr>
          <w:szCs w:val="20"/>
        </w:rPr>
        <w:t>, HSEs are encouraged to quanti</w:t>
      </w:r>
      <w:r w:rsidR="00975A0D">
        <w:rPr>
          <w:szCs w:val="20"/>
        </w:rPr>
        <w:t>f</w:t>
      </w:r>
      <w:r w:rsidR="001A5C84" w:rsidRPr="00EC3D4F">
        <w:rPr>
          <w:szCs w:val="20"/>
        </w:rPr>
        <w:t>y any incremental costs in their response to this RIS.</w:t>
      </w:r>
    </w:p>
    <w:p w14:paraId="6565028E" w14:textId="757E32C6" w:rsidR="003C2C0E" w:rsidRDefault="00680037" w:rsidP="00680037">
      <w:pPr>
        <w:rPr>
          <w:szCs w:val="20"/>
        </w:rPr>
      </w:pPr>
      <w:r w:rsidRPr="00EC3D4F">
        <w:rPr>
          <w:szCs w:val="20"/>
        </w:rPr>
        <w:t xml:space="preserve">It is anticipated this requirement will come into effect </w:t>
      </w:r>
      <w:r w:rsidR="00FF55DD" w:rsidRPr="006C473F">
        <w:rPr>
          <w:szCs w:val="20"/>
        </w:rPr>
        <w:t>some time</w:t>
      </w:r>
      <w:r w:rsidRPr="006C473F">
        <w:rPr>
          <w:szCs w:val="20"/>
        </w:rPr>
        <w:t xml:space="preserve"> after the new Regulations are made, to allow further consultation and communication.</w:t>
      </w:r>
      <w:r w:rsidR="00FF55DD" w:rsidRPr="006C473F">
        <w:rPr>
          <w:szCs w:val="20"/>
        </w:rPr>
        <w:t xml:space="preserve"> Feedback received in response to this RIS will inform </w:t>
      </w:r>
      <w:r w:rsidR="000645BD" w:rsidRPr="006C473F">
        <w:rPr>
          <w:szCs w:val="20"/>
        </w:rPr>
        <w:t>assessment of the timeframe reasonably required to prepare for implementation.</w:t>
      </w:r>
      <w:bookmarkStart w:id="274" w:name="_Toc135157725"/>
      <w:r w:rsidR="000645BD">
        <w:rPr>
          <w:szCs w:val="20"/>
        </w:rPr>
        <w:t xml:space="preserve">  </w:t>
      </w:r>
    </w:p>
    <w:p w14:paraId="056ED456" w14:textId="77777777" w:rsidR="003C2C0E" w:rsidRDefault="003C2C0E">
      <w:pPr>
        <w:spacing w:before="0" w:line="259" w:lineRule="auto"/>
        <w:rPr>
          <w:szCs w:val="20"/>
        </w:rPr>
      </w:pPr>
      <w:r>
        <w:rPr>
          <w:szCs w:val="20"/>
        </w:rPr>
        <w:br w:type="page"/>
      </w:r>
    </w:p>
    <w:p w14:paraId="4D5C5713" w14:textId="6D6FA9ED" w:rsidR="004160A8" w:rsidRPr="00562516" w:rsidRDefault="004160A8" w:rsidP="009310F4">
      <w:pPr>
        <w:pStyle w:val="Heading6"/>
      </w:pPr>
      <w:r w:rsidRPr="00562516">
        <w:lastRenderedPageBreak/>
        <w:t>Regulation 4</w:t>
      </w:r>
      <w:r>
        <w:t>8</w:t>
      </w:r>
      <w:r w:rsidRPr="00562516">
        <w:t xml:space="preserve"> </w:t>
      </w:r>
      <w:r>
        <w:t xml:space="preserve">- Review of quality and safety of health services provided: </w:t>
      </w:r>
      <w:r w:rsidR="002C7669">
        <w:t>adding a requirement to provide information to the Secretary on request</w:t>
      </w:r>
    </w:p>
    <w:p w14:paraId="166C8035" w14:textId="77777777" w:rsidR="004160A8" w:rsidRDefault="004160A8" w:rsidP="004160A8">
      <w:r>
        <w:t xml:space="preserve">Under the Act (section 147), </w:t>
      </w:r>
      <w:r w:rsidRPr="00F4456B">
        <w:t>during a site inspection</w:t>
      </w:r>
      <w:r>
        <w:t xml:space="preserve"> of a HSE, an</w:t>
      </w:r>
      <w:r w:rsidRPr="00F4456B">
        <w:t xml:space="preserve"> authorised officer </w:t>
      </w:r>
      <w:r>
        <w:t xml:space="preserve">can </w:t>
      </w:r>
      <w:r w:rsidRPr="00F4456B">
        <w:t xml:space="preserve">request </w:t>
      </w:r>
      <w:r>
        <w:t>access to records and documents, which includes any records that are currently required to be kept and reviewed under Regulation 48. It is proposed to amend the Regulations to provide a streamlined and transparent mechanism for the Secretary to request records kept under Regulation 48 at any time upon request, not just during a site visit of the facility.</w:t>
      </w:r>
    </w:p>
    <w:p w14:paraId="5B7F1F2F" w14:textId="52387594" w:rsidR="004160A8" w:rsidRPr="00864135" w:rsidRDefault="004160A8" w:rsidP="004160A8">
      <w:r w:rsidRPr="004C6C2B">
        <w:t xml:space="preserve">These requests will not be for routine, regular reports to be provided by every </w:t>
      </w:r>
      <w:r w:rsidR="00C061EB">
        <w:t>HSE</w:t>
      </w:r>
      <w:r w:rsidRPr="004C6C2B">
        <w:t xml:space="preserve">. </w:t>
      </w:r>
      <w:r w:rsidR="004B7965">
        <w:t>During consultation, t</w:t>
      </w:r>
      <w:r w:rsidR="004B7965" w:rsidRPr="008A505F">
        <w:t>he sector note</w:t>
      </w:r>
      <w:r w:rsidR="004B7965">
        <w:t xml:space="preserve">d </w:t>
      </w:r>
      <w:r w:rsidR="004B7965" w:rsidRPr="008A505F">
        <w:t>a high reporting burden overall, including reporting through various mechanisms at various times</w:t>
      </w:r>
      <w:r w:rsidR="004B7965">
        <w:t xml:space="preserve">. For this reason, the department has proposed an ‘upon request’ </w:t>
      </w:r>
      <w:r w:rsidR="00904427">
        <w:t>model</w:t>
      </w:r>
      <w:r w:rsidR="004B7965">
        <w:t xml:space="preserve"> for </w:t>
      </w:r>
      <w:r w:rsidR="00C96F9E">
        <w:t>HSEs to provide</w:t>
      </w:r>
      <w:r w:rsidR="00191996">
        <w:t xml:space="preserve"> information</w:t>
      </w:r>
      <w:r w:rsidR="00C96F9E">
        <w:t>.</w:t>
      </w:r>
      <w:r w:rsidR="004B7965">
        <w:t xml:space="preserve"> </w:t>
      </w:r>
      <w:r w:rsidRPr="004C6C2B">
        <w:t xml:space="preserve">The Secretary may request data from individual </w:t>
      </w:r>
      <w:r w:rsidR="00C061EB">
        <w:t>HSEs</w:t>
      </w:r>
      <w:r w:rsidR="00C061EB" w:rsidRPr="004C6C2B">
        <w:t xml:space="preserve"> </w:t>
      </w:r>
      <w:r w:rsidRPr="004C6C2B">
        <w:t xml:space="preserve">on occasion, for example during a registration renewal assessment or as part of its risk-based approach to compliance monitoring. This may expand the department’s understanding of </w:t>
      </w:r>
      <w:r>
        <w:t>matters related to compliance under the Regulations</w:t>
      </w:r>
      <w:r w:rsidRPr="004C6C2B">
        <w:t xml:space="preserve"> and also provide a means for the Secretary to obtain more information if there are concerns about a HSE operating outside its capability</w:t>
      </w:r>
      <w:r w:rsidR="008D6D2C">
        <w:t xml:space="preserve"> or about its qualit</w:t>
      </w:r>
      <w:r w:rsidR="00E94EA4">
        <w:t>y and safety performance</w:t>
      </w:r>
      <w:r w:rsidRPr="004C6C2B">
        <w:t>.</w:t>
      </w:r>
    </w:p>
    <w:p w14:paraId="36DC352D" w14:textId="77777777" w:rsidR="004160A8" w:rsidRPr="001E347D" w:rsidRDefault="004160A8" w:rsidP="004160A8">
      <w:pPr>
        <w:rPr>
          <w:rStyle w:val="Strong"/>
        </w:rPr>
      </w:pPr>
      <w:r w:rsidRPr="001E347D">
        <w:rPr>
          <w:rStyle w:val="Strong"/>
        </w:rPr>
        <w:t>Proposed amendment to the Regulations</w:t>
      </w:r>
    </w:p>
    <w:p w14:paraId="38F0D6CA" w14:textId="013C14D1" w:rsidR="004160A8" w:rsidRDefault="004160A8" w:rsidP="004160A8">
      <w:pPr>
        <w:pStyle w:val="ListParagraph"/>
        <w:numPr>
          <w:ilvl w:val="0"/>
          <w:numId w:val="12"/>
        </w:numPr>
      </w:pPr>
      <w:r w:rsidRPr="00F4456B">
        <w:t>Reg</w:t>
      </w:r>
      <w:r>
        <w:t>ulation</w:t>
      </w:r>
      <w:r w:rsidRPr="00F4456B">
        <w:t xml:space="preserve"> 48 - Amend to specify that </w:t>
      </w:r>
      <w:r w:rsidR="00EE7BD1">
        <w:t xml:space="preserve">information recorded </w:t>
      </w:r>
      <w:r w:rsidRPr="00F4456B">
        <w:t xml:space="preserve">and reviewed under </w:t>
      </w:r>
      <w:r w:rsidR="003A2089">
        <w:t>this</w:t>
      </w:r>
      <w:r w:rsidR="003A2089" w:rsidRPr="00F4456B">
        <w:t xml:space="preserve"> </w:t>
      </w:r>
      <w:r w:rsidRPr="00F4456B">
        <w:t>Regulation must be made available to the Secretary on request.</w:t>
      </w:r>
    </w:p>
    <w:p w14:paraId="6088623F" w14:textId="7670B04A" w:rsidR="00E966DF" w:rsidRDefault="00FF6D48" w:rsidP="00E966DF">
      <w:pPr>
        <w:rPr>
          <w:szCs w:val="20"/>
        </w:rPr>
      </w:pPr>
      <w:r>
        <w:rPr>
          <w:szCs w:val="20"/>
        </w:rPr>
        <w:t xml:space="preserve">In terms of impact of this proposed change, </w:t>
      </w:r>
      <w:r w:rsidRPr="00680037">
        <w:rPr>
          <w:szCs w:val="20"/>
        </w:rPr>
        <w:t xml:space="preserve">the department </w:t>
      </w:r>
      <w:r>
        <w:rPr>
          <w:szCs w:val="20"/>
        </w:rPr>
        <w:t>considers this to be a minor amendment</w:t>
      </w:r>
      <w:r w:rsidR="000D1BEF">
        <w:rPr>
          <w:szCs w:val="20"/>
        </w:rPr>
        <w:t xml:space="preserve"> as HSEs are alread</w:t>
      </w:r>
      <w:r w:rsidR="000706C6">
        <w:rPr>
          <w:szCs w:val="20"/>
        </w:rPr>
        <w:t xml:space="preserve">y required to </w:t>
      </w:r>
      <w:r w:rsidR="00301DBA">
        <w:rPr>
          <w:szCs w:val="20"/>
        </w:rPr>
        <w:t xml:space="preserve">record the matters </w:t>
      </w:r>
      <w:r w:rsidR="00030AD0">
        <w:rPr>
          <w:szCs w:val="20"/>
        </w:rPr>
        <w:t xml:space="preserve">set out in </w:t>
      </w:r>
      <w:r w:rsidR="00D92F65">
        <w:rPr>
          <w:szCs w:val="20"/>
        </w:rPr>
        <w:t xml:space="preserve">existing </w:t>
      </w:r>
      <w:r w:rsidR="00030AD0">
        <w:rPr>
          <w:szCs w:val="20"/>
        </w:rPr>
        <w:t>Regulation 48</w:t>
      </w:r>
      <w:r w:rsidR="00A3618F">
        <w:rPr>
          <w:szCs w:val="20"/>
        </w:rPr>
        <w:t>. There may be</w:t>
      </w:r>
      <w:r w:rsidR="00D92F65">
        <w:rPr>
          <w:szCs w:val="20"/>
        </w:rPr>
        <w:t xml:space="preserve"> incremental costs related to the proposed </w:t>
      </w:r>
      <w:r w:rsidR="00A3618F">
        <w:rPr>
          <w:szCs w:val="20"/>
        </w:rPr>
        <w:t>addition</w:t>
      </w:r>
      <w:r w:rsidR="005953C8">
        <w:rPr>
          <w:szCs w:val="20"/>
        </w:rPr>
        <w:t>al recording</w:t>
      </w:r>
      <w:r w:rsidR="00A3618F">
        <w:rPr>
          <w:szCs w:val="20"/>
        </w:rPr>
        <w:t xml:space="preserve"> </w:t>
      </w:r>
      <w:r w:rsidR="00D92F65">
        <w:rPr>
          <w:szCs w:val="20"/>
        </w:rPr>
        <w:t xml:space="preserve">of transfers out for escalation of care </w:t>
      </w:r>
      <w:bookmarkEnd w:id="274"/>
      <w:r w:rsidR="00180D15">
        <w:rPr>
          <w:rFonts w:cstheme="minorHAnsi"/>
          <w:szCs w:val="20"/>
          <w:lang w:val="en-AU"/>
        </w:rPr>
        <w:t xml:space="preserve">under this </w:t>
      </w:r>
      <w:r w:rsidR="00F54C76">
        <w:rPr>
          <w:rFonts w:cstheme="minorHAnsi"/>
          <w:szCs w:val="20"/>
          <w:lang w:val="en-AU"/>
        </w:rPr>
        <w:t xml:space="preserve">amended </w:t>
      </w:r>
      <w:r w:rsidR="00180D15">
        <w:rPr>
          <w:rFonts w:cstheme="minorHAnsi"/>
          <w:szCs w:val="20"/>
          <w:lang w:val="en-AU"/>
        </w:rPr>
        <w:t>regulation</w:t>
      </w:r>
      <w:r w:rsidR="004E5489">
        <w:rPr>
          <w:rFonts w:cstheme="minorHAnsi"/>
          <w:szCs w:val="20"/>
          <w:lang w:val="en-AU"/>
        </w:rPr>
        <w:t xml:space="preserve"> although</w:t>
      </w:r>
      <w:r w:rsidR="00890BF4">
        <w:rPr>
          <w:rFonts w:cstheme="minorHAnsi"/>
          <w:szCs w:val="20"/>
          <w:lang w:val="en-AU"/>
        </w:rPr>
        <w:t>,</w:t>
      </w:r>
      <w:r w:rsidR="004E5489">
        <w:rPr>
          <w:rFonts w:cstheme="minorHAnsi"/>
          <w:szCs w:val="20"/>
          <w:lang w:val="en-AU"/>
        </w:rPr>
        <w:t xml:space="preserve"> </w:t>
      </w:r>
      <w:r w:rsidR="00180D15">
        <w:rPr>
          <w:rFonts w:cstheme="minorHAnsi"/>
          <w:szCs w:val="20"/>
          <w:lang w:val="en-AU"/>
        </w:rPr>
        <w:t>as described in 9.6.3 above</w:t>
      </w:r>
      <w:r w:rsidR="004E5489">
        <w:rPr>
          <w:rFonts w:cstheme="minorHAnsi"/>
          <w:szCs w:val="20"/>
          <w:lang w:val="en-AU"/>
        </w:rPr>
        <w:t xml:space="preserve">, HSEs are already required to record all transfers out under </w:t>
      </w:r>
      <w:r w:rsidR="00255B1C">
        <w:rPr>
          <w:rFonts w:cstheme="minorHAnsi"/>
          <w:szCs w:val="20"/>
          <w:lang w:val="en-AU"/>
        </w:rPr>
        <w:t xml:space="preserve">Regulation </w:t>
      </w:r>
      <w:r w:rsidR="00255B1C" w:rsidRPr="008770B3">
        <w:rPr>
          <w:szCs w:val="20"/>
        </w:rPr>
        <w:t>35(c)(viii)</w:t>
      </w:r>
      <w:r w:rsidR="00255B1C">
        <w:rPr>
          <w:szCs w:val="20"/>
        </w:rPr>
        <w:t>.</w:t>
      </w:r>
    </w:p>
    <w:p w14:paraId="0395BE5C" w14:textId="42BC0E8E" w:rsidR="0073630D" w:rsidRDefault="0026670A" w:rsidP="0073630D">
      <w:pPr>
        <w:rPr>
          <w:szCs w:val="20"/>
        </w:rPr>
      </w:pPr>
      <w:r>
        <w:rPr>
          <w:szCs w:val="20"/>
        </w:rPr>
        <w:t xml:space="preserve">One sector stakeholder advised that the process of extracting records from internal </w:t>
      </w:r>
      <w:r w:rsidR="00432035">
        <w:rPr>
          <w:szCs w:val="20"/>
        </w:rPr>
        <w:t xml:space="preserve">incident management software </w:t>
      </w:r>
      <w:r w:rsidR="00FC55E0">
        <w:rPr>
          <w:szCs w:val="20"/>
        </w:rPr>
        <w:t xml:space="preserve">is likely to be </w:t>
      </w:r>
      <w:r w:rsidR="00DA6F69">
        <w:rPr>
          <w:szCs w:val="20"/>
        </w:rPr>
        <w:t>manual and may therefore</w:t>
      </w:r>
      <w:r w:rsidR="00FC55E0">
        <w:rPr>
          <w:szCs w:val="20"/>
        </w:rPr>
        <w:t xml:space="preserve"> introduce a cost burden</w:t>
      </w:r>
      <w:r w:rsidR="00280F40">
        <w:rPr>
          <w:szCs w:val="20"/>
        </w:rPr>
        <w:t xml:space="preserve">. </w:t>
      </w:r>
      <w:r w:rsidR="00F12F57">
        <w:rPr>
          <w:szCs w:val="20"/>
        </w:rPr>
        <w:t xml:space="preserve">However, this feedback was provided </w:t>
      </w:r>
      <w:r w:rsidR="00F93C17">
        <w:rPr>
          <w:szCs w:val="20"/>
        </w:rPr>
        <w:t>when the department was considering</w:t>
      </w:r>
      <w:r w:rsidR="00674F3D">
        <w:rPr>
          <w:szCs w:val="20"/>
        </w:rPr>
        <w:t xml:space="preserve"> </w:t>
      </w:r>
      <w:r w:rsidR="00F93C17">
        <w:rPr>
          <w:szCs w:val="20"/>
        </w:rPr>
        <w:t xml:space="preserve">a </w:t>
      </w:r>
      <w:r w:rsidR="00A100D0">
        <w:rPr>
          <w:szCs w:val="20"/>
        </w:rPr>
        <w:t xml:space="preserve">periodic </w:t>
      </w:r>
      <w:r w:rsidR="00F93C17">
        <w:rPr>
          <w:szCs w:val="20"/>
        </w:rPr>
        <w:t xml:space="preserve">reporting model rather than the current proposal for </w:t>
      </w:r>
      <w:r w:rsidR="00731A20">
        <w:rPr>
          <w:szCs w:val="20"/>
        </w:rPr>
        <w:t xml:space="preserve">information to be provided </w:t>
      </w:r>
      <w:r w:rsidR="00CA1BDA">
        <w:rPr>
          <w:szCs w:val="20"/>
        </w:rPr>
        <w:t xml:space="preserve">only </w:t>
      </w:r>
      <w:r w:rsidR="00731A20">
        <w:rPr>
          <w:szCs w:val="20"/>
        </w:rPr>
        <w:t xml:space="preserve">upon request. </w:t>
      </w:r>
      <w:r w:rsidR="00056605">
        <w:rPr>
          <w:szCs w:val="20"/>
        </w:rPr>
        <w:t>Under the current proposal, any additional burden would be infrequent</w:t>
      </w:r>
      <w:r w:rsidR="0067531F">
        <w:rPr>
          <w:szCs w:val="20"/>
        </w:rPr>
        <w:t xml:space="preserve"> – for example, it may only occur at registration renewal, </w:t>
      </w:r>
      <w:r w:rsidR="00373FA1">
        <w:rPr>
          <w:szCs w:val="20"/>
        </w:rPr>
        <w:t xml:space="preserve">and the </w:t>
      </w:r>
      <w:r w:rsidR="00FB0098">
        <w:rPr>
          <w:szCs w:val="20"/>
        </w:rPr>
        <w:t xml:space="preserve">information </w:t>
      </w:r>
      <w:r w:rsidR="00373FA1">
        <w:rPr>
          <w:szCs w:val="20"/>
        </w:rPr>
        <w:t>request</w:t>
      </w:r>
      <w:r w:rsidR="00FB0098">
        <w:rPr>
          <w:szCs w:val="20"/>
        </w:rPr>
        <w:t>ed</w:t>
      </w:r>
      <w:r w:rsidR="0093336B">
        <w:rPr>
          <w:szCs w:val="20"/>
        </w:rPr>
        <w:t xml:space="preserve"> </w:t>
      </w:r>
      <w:r w:rsidR="00FB0098">
        <w:rPr>
          <w:szCs w:val="20"/>
        </w:rPr>
        <w:t>will</w:t>
      </w:r>
      <w:r w:rsidR="0093336B">
        <w:rPr>
          <w:szCs w:val="20"/>
        </w:rPr>
        <w:t xml:space="preserve"> likely </w:t>
      </w:r>
      <w:r w:rsidR="00FB0098">
        <w:rPr>
          <w:szCs w:val="20"/>
        </w:rPr>
        <w:t xml:space="preserve">be confined </w:t>
      </w:r>
      <w:r w:rsidR="004B24D4">
        <w:rPr>
          <w:szCs w:val="20"/>
        </w:rPr>
        <w:t xml:space="preserve">to </w:t>
      </w:r>
      <w:r w:rsidR="0093336B">
        <w:rPr>
          <w:szCs w:val="20"/>
        </w:rPr>
        <w:t xml:space="preserve">a limited time period. </w:t>
      </w:r>
      <w:r w:rsidR="0073630D">
        <w:rPr>
          <w:szCs w:val="20"/>
        </w:rPr>
        <w:t>However</w:t>
      </w:r>
      <w:r w:rsidR="0073630D" w:rsidRPr="00680037">
        <w:rPr>
          <w:szCs w:val="20"/>
        </w:rPr>
        <w:t>, HSEs are encouraged to quanti</w:t>
      </w:r>
      <w:r w:rsidR="004B363C">
        <w:rPr>
          <w:szCs w:val="20"/>
        </w:rPr>
        <w:t>f</w:t>
      </w:r>
      <w:r w:rsidR="0073630D" w:rsidRPr="00680037">
        <w:rPr>
          <w:szCs w:val="20"/>
        </w:rPr>
        <w:t xml:space="preserve">y any </w:t>
      </w:r>
      <w:r w:rsidR="00907784">
        <w:rPr>
          <w:szCs w:val="20"/>
        </w:rPr>
        <w:t xml:space="preserve">potential </w:t>
      </w:r>
      <w:r w:rsidR="0073630D" w:rsidRPr="00680037">
        <w:rPr>
          <w:szCs w:val="20"/>
        </w:rPr>
        <w:t>costs in their response to this RIS.</w:t>
      </w:r>
    </w:p>
    <w:p w14:paraId="7D93B40A" w14:textId="73019EF6" w:rsidR="0054776F" w:rsidRPr="00680037" w:rsidRDefault="0054776F" w:rsidP="0073630D">
      <w:pPr>
        <w:rPr>
          <w:szCs w:val="20"/>
        </w:rPr>
      </w:pPr>
      <w:r>
        <w:rPr>
          <w:szCs w:val="20"/>
        </w:rPr>
        <w:t>It should also be noted that the department</w:t>
      </w:r>
      <w:r w:rsidR="00A83821">
        <w:rPr>
          <w:szCs w:val="20"/>
        </w:rPr>
        <w:t xml:space="preserve"> and</w:t>
      </w:r>
      <w:r>
        <w:rPr>
          <w:szCs w:val="20"/>
        </w:rPr>
        <w:t xml:space="preserve"> SCV </w:t>
      </w:r>
      <w:r w:rsidR="00C927FA">
        <w:rPr>
          <w:szCs w:val="20"/>
        </w:rPr>
        <w:t>plan</w:t>
      </w:r>
      <w:r w:rsidR="004F7179">
        <w:rPr>
          <w:szCs w:val="20"/>
        </w:rPr>
        <w:t xml:space="preserve"> to continue working together to</w:t>
      </w:r>
      <w:r w:rsidR="00906207">
        <w:rPr>
          <w:szCs w:val="20"/>
        </w:rPr>
        <w:t xml:space="preserve"> enhance analysis of existing datasets (e.g. VAED, VEMD)</w:t>
      </w:r>
      <w:r w:rsidR="00677DC2">
        <w:rPr>
          <w:szCs w:val="20"/>
        </w:rPr>
        <w:t xml:space="preserve"> and develop meaningful </w:t>
      </w:r>
      <w:r w:rsidR="00F61700">
        <w:rPr>
          <w:szCs w:val="20"/>
        </w:rPr>
        <w:t xml:space="preserve">performance indicators </w:t>
      </w:r>
      <w:r w:rsidR="001F0B1E">
        <w:rPr>
          <w:szCs w:val="20"/>
        </w:rPr>
        <w:t xml:space="preserve">to drive improvements across the </w:t>
      </w:r>
      <w:r w:rsidR="004138C1">
        <w:rPr>
          <w:szCs w:val="20"/>
        </w:rPr>
        <w:t xml:space="preserve">public and private </w:t>
      </w:r>
      <w:r w:rsidR="001F0B1E">
        <w:rPr>
          <w:szCs w:val="20"/>
        </w:rPr>
        <w:t>health sector</w:t>
      </w:r>
      <w:r w:rsidR="00A02AE8">
        <w:rPr>
          <w:szCs w:val="20"/>
        </w:rPr>
        <w:t>s</w:t>
      </w:r>
      <w:r w:rsidR="001F0B1E">
        <w:rPr>
          <w:szCs w:val="20"/>
        </w:rPr>
        <w:t xml:space="preserve">. </w:t>
      </w:r>
      <w:r w:rsidR="00D61D93">
        <w:rPr>
          <w:szCs w:val="20"/>
        </w:rPr>
        <w:t>The departmen</w:t>
      </w:r>
      <w:r w:rsidR="001101A1">
        <w:rPr>
          <w:szCs w:val="20"/>
        </w:rPr>
        <w:t xml:space="preserve">t will also continue to </w:t>
      </w:r>
      <w:r w:rsidR="00D95D37">
        <w:rPr>
          <w:szCs w:val="20"/>
        </w:rPr>
        <w:t xml:space="preserve">seek opportunities to improve </w:t>
      </w:r>
      <w:r w:rsidR="00355E21">
        <w:rPr>
          <w:szCs w:val="20"/>
        </w:rPr>
        <w:t xml:space="preserve">data collection mechanisms to </w:t>
      </w:r>
      <w:r w:rsidR="00AE75D9">
        <w:rPr>
          <w:szCs w:val="20"/>
        </w:rPr>
        <w:t>minimise</w:t>
      </w:r>
      <w:r w:rsidR="00355E21">
        <w:rPr>
          <w:szCs w:val="20"/>
        </w:rPr>
        <w:t xml:space="preserve"> reporting burdens on </w:t>
      </w:r>
      <w:r w:rsidR="00AE75D9">
        <w:rPr>
          <w:szCs w:val="20"/>
        </w:rPr>
        <w:t>HSEs</w:t>
      </w:r>
      <w:r w:rsidR="00355E21">
        <w:rPr>
          <w:szCs w:val="20"/>
        </w:rPr>
        <w:t>.</w:t>
      </w:r>
    </w:p>
    <w:p w14:paraId="13F747A6" w14:textId="22B479E9" w:rsidR="0026670A" w:rsidRPr="0029784F" w:rsidRDefault="0026670A" w:rsidP="00E966DF">
      <w:pPr>
        <w:rPr>
          <w:rFonts w:cstheme="minorHAnsi"/>
          <w:szCs w:val="20"/>
          <w:lang w:val="en-AU"/>
        </w:rPr>
      </w:pPr>
    </w:p>
    <w:p w14:paraId="54CA3B63" w14:textId="03F29DCD" w:rsidR="008B4C46" w:rsidRDefault="00A355B6" w:rsidP="0062632A">
      <w:pPr>
        <w:pStyle w:val="Heading5"/>
      </w:pPr>
      <w:bookmarkStart w:id="275" w:name="_Toc165287605"/>
      <w:r w:rsidRPr="00A355B6">
        <w:rPr>
          <w:noProof/>
          <w:color w:val="7B5E05" w:themeColor="accent1"/>
        </w:rPr>
        <w:lastRenderedPageBreak/>
        <mc:AlternateContent>
          <mc:Choice Requires="wps">
            <w:drawing>
              <wp:anchor distT="45720" distB="45720" distL="114300" distR="114300" simplePos="0" relativeHeight="251658251" behindDoc="0" locked="0" layoutInCell="1" allowOverlap="1" wp14:anchorId="12E7163A" wp14:editId="0D156418">
                <wp:simplePos x="0" y="0"/>
                <wp:positionH relativeFrom="margin">
                  <wp:align>left</wp:align>
                </wp:positionH>
                <wp:positionV relativeFrom="paragraph">
                  <wp:posOffset>499110</wp:posOffset>
                </wp:positionV>
                <wp:extent cx="5499100" cy="1000125"/>
                <wp:effectExtent l="0" t="0" r="254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000125"/>
                        </a:xfrm>
                        <a:prstGeom prst="rect">
                          <a:avLst/>
                        </a:prstGeom>
                        <a:solidFill>
                          <a:schemeClr val="bg2"/>
                        </a:solidFill>
                        <a:ln w="9525">
                          <a:solidFill>
                            <a:schemeClr val="bg1"/>
                          </a:solidFill>
                          <a:miter lim="800000"/>
                          <a:headEnd/>
                          <a:tailEnd/>
                        </a:ln>
                      </wps:spPr>
                      <wps:txbx>
                        <w:txbxContent>
                          <w:p w14:paraId="0EDEC05E" w14:textId="41FB285C" w:rsidR="00A355B6" w:rsidRDefault="00A355B6">
                            <w:r>
                              <w:t xml:space="preserve">This chapter outlines proposed fees for </w:t>
                            </w:r>
                            <w:r w:rsidR="00827BB3">
                              <w:t xml:space="preserve">recovering the costs of regulation of HSEs. </w:t>
                            </w:r>
                            <w:r w:rsidR="005C768B">
                              <w:t xml:space="preserve">It is proposed to remake the Regulations with </w:t>
                            </w:r>
                            <w:r w:rsidR="005A75F5">
                              <w:t xml:space="preserve">no change to </w:t>
                            </w:r>
                            <w:r w:rsidR="005C768B">
                              <w:t>the current fee arrangements</w:t>
                            </w:r>
                            <w:r w:rsidR="005A75F5">
                              <w:t>, except for the introduction of a fee for a</w:t>
                            </w:r>
                            <w:r w:rsidR="005A75F5" w:rsidRPr="005A75F5">
                              <w:t>pplication</w:t>
                            </w:r>
                            <w:r w:rsidR="005A75F5">
                              <w:t>s</w:t>
                            </w:r>
                            <w:r w:rsidR="005A75F5" w:rsidRPr="005A75F5">
                              <w:t xml:space="preserve"> to use particular land or premises as a private hospital or day procedure centre</w:t>
                            </w:r>
                            <w:r w:rsidR="005A75F5">
                              <w:t>, which is a minor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163A" id="Text Box 217" o:spid="_x0000_s1081" type="#_x0000_t202" style="position:absolute;left:0;text-align:left;margin-left:0;margin-top:39.3pt;width:433pt;height:78.7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" fillcolor="#eeece1 [3214]" strokecolor="white [3212]">
                <v:textbox>
                  <w:txbxContent>
                    <w:p w14:paraId="0EDEC05E" w14:textId="41FB285C" w:rsidR="00A355B6" w:rsidRDefault="00A355B6">
                      <w:r>
                        <w:t xml:space="preserve">This chapter outlines proposed fees for </w:t>
                      </w:r>
                      <w:r w:rsidR="00827BB3">
                        <w:t xml:space="preserve">recovering the costs of regulation of HSEs. </w:t>
                      </w:r>
                      <w:r w:rsidR="005C768B">
                        <w:t xml:space="preserve">It is proposed to remake the Regulations with </w:t>
                      </w:r>
                      <w:r w:rsidR="005A75F5">
                        <w:t xml:space="preserve">no change to </w:t>
                      </w:r>
                      <w:r w:rsidR="005C768B">
                        <w:t>the current fee arrangements</w:t>
                      </w:r>
                      <w:r w:rsidR="005A75F5">
                        <w:t>, except for the introduction of a fee for a</w:t>
                      </w:r>
                      <w:r w:rsidR="005A75F5" w:rsidRPr="005A75F5">
                        <w:t>pplication</w:t>
                      </w:r>
                      <w:r w:rsidR="005A75F5">
                        <w:t>s</w:t>
                      </w:r>
                      <w:r w:rsidR="005A75F5" w:rsidRPr="005A75F5">
                        <w:t xml:space="preserve"> to use particular land or premises as a private hospital or day procedure centre</w:t>
                      </w:r>
                      <w:r w:rsidR="005A75F5">
                        <w:t>, which is a minor change.</w:t>
                      </w:r>
                    </w:p>
                  </w:txbxContent>
                </v:textbox>
                <w10:wrap type="square" anchorx="margin"/>
              </v:shape>
            </w:pict>
          </mc:Fallback>
        </mc:AlternateContent>
      </w:r>
      <w:r w:rsidR="008B4C46">
        <w:t>Fees</w:t>
      </w:r>
      <w:bookmarkEnd w:id="275"/>
    </w:p>
    <w:p w14:paraId="7EB24E68" w14:textId="186200C2" w:rsidR="00694FE1" w:rsidRDefault="00694FE1" w:rsidP="001E347D">
      <w:pPr>
        <w:pStyle w:val="Heading6"/>
        <w:rPr>
          <w:color w:val="7B5E05" w:themeColor="accent1"/>
        </w:rPr>
      </w:pPr>
      <w:r w:rsidRPr="00434E86">
        <w:t>Why are fees needed</w:t>
      </w:r>
    </w:p>
    <w:p w14:paraId="1976E697" w14:textId="5DC8D742" w:rsidR="00694FE1" w:rsidRDefault="00694FE1" w:rsidP="00694FE1">
      <w:r>
        <w:t>The department</w:t>
      </w:r>
      <w:r w:rsidRPr="00434E86">
        <w:t xml:space="preserve">’s costs of administering the </w:t>
      </w:r>
      <w:r>
        <w:t>HSEs</w:t>
      </w:r>
      <w:r w:rsidRPr="00434E86">
        <w:t xml:space="preserve"> registrations process and other costs of regulating the establishments that give rise to the need for </w:t>
      </w:r>
      <w:r>
        <w:t>the department</w:t>
      </w:r>
      <w:r w:rsidRPr="00434E86">
        <w:t>’s regulatory activities are estimated to be</w:t>
      </w:r>
      <w:r w:rsidR="00822AAB">
        <w:t xml:space="preserve"> </w:t>
      </w:r>
      <w:r w:rsidR="00822AAB" w:rsidRPr="0053718C">
        <w:t>$</w:t>
      </w:r>
      <w:r w:rsidR="00FB2432" w:rsidRPr="005D59E5">
        <w:t xml:space="preserve">1,415,800 </w:t>
      </w:r>
      <w:r w:rsidRPr="002A32D3">
        <w:t xml:space="preserve">per annum (see detail in section </w:t>
      </w:r>
      <w:r w:rsidR="002A32D3" w:rsidRPr="002A32D3">
        <w:t>10.3</w:t>
      </w:r>
      <w:r w:rsidRPr="002A32D3">
        <w:t>).</w:t>
      </w:r>
    </w:p>
    <w:p w14:paraId="0178FD9C" w14:textId="77777777" w:rsidR="00694FE1" w:rsidRPr="002C14D4" w:rsidRDefault="00694FE1" w:rsidP="00694FE1">
      <w:r>
        <w:t>This section sets out the legal authority for setting fees under the Act, considerations under the Pricing for Value Guidelines for setting fees, and the rationale for setting fees in the regulations.</w:t>
      </w:r>
    </w:p>
    <w:p w14:paraId="19A5F97B" w14:textId="77777777" w:rsidR="00694FE1" w:rsidRDefault="00694FE1" w:rsidP="001E347D">
      <w:pPr>
        <w:pStyle w:val="Heading7"/>
        <w:rPr>
          <w:color w:val="403151" w:themeColor="accent2"/>
        </w:rPr>
      </w:pPr>
      <w:r w:rsidRPr="00434E86">
        <w:t>Legal authority to set fees</w:t>
      </w:r>
    </w:p>
    <w:p w14:paraId="0F6092D1" w14:textId="77777777" w:rsidR="00694FE1" w:rsidRDefault="00694FE1" w:rsidP="00694FE1">
      <w:r w:rsidRPr="009B3285">
        <w:t>The Act enables the department to set fees to recover the costs associated with regulation of HSEs. Specifically, it provides for the department to prescribes fees for the following:</w:t>
      </w:r>
    </w:p>
    <w:tbl>
      <w:tblPr>
        <w:tblStyle w:val="SapereTable"/>
        <w:tblW w:w="9255" w:type="dxa"/>
        <w:tblLook w:val="04A0" w:firstRow="1" w:lastRow="0" w:firstColumn="1" w:lastColumn="0" w:noHBand="0" w:noVBand="1"/>
      </w:tblPr>
      <w:tblGrid>
        <w:gridCol w:w="7655"/>
        <w:gridCol w:w="1600"/>
      </w:tblGrid>
      <w:tr w:rsidR="00EC4DF5" w14:paraId="24E9E6CA" w14:textId="77777777" w:rsidTr="00605AFA">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0" w:type="dxa"/>
            <w:hideMark/>
          </w:tcPr>
          <w:p w14:paraId="6722B760" w14:textId="77777777" w:rsidR="00EC4DF5" w:rsidRPr="003476CD" w:rsidRDefault="00EC4DF5">
            <w:pPr>
              <w:pStyle w:val="Body"/>
              <w:spacing w:after="0" w:line="240" w:lineRule="auto"/>
              <w:rPr>
                <w:rFonts w:asciiTheme="majorHAnsi" w:hAnsiTheme="majorHAnsi" w:cstheme="majorHAnsi"/>
                <w:sz w:val="20"/>
              </w:rPr>
            </w:pPr>
            <w:r w:rsidRPr="003476CD">
              <w:rPr>
                <w:rFonts w:asciiTheme="majorHAnsi" w:hAnsiTheme="majorHAnsi" w:cstheme="majorHAnsi"/>
                <w:sz w:val="20"/>
              </w:rPr>
              <w:t>Power to set prescribed fee</w:t>
            </w:r>
          </w:p>
        </w:tc>
        <w:tc>
          <w:tcPr>
            <w:tcW w:w="0" w:type="dxa"/>
            <w:hideMark/>
          </w:tcPr>
          <w:p w14:paraId="39E1C25B" w14:textId="77777777" w:rsidR="00EC4DF5" w:rsidRPr="003476CD" w:rsidRDefault="00EC4DF5">
            <w:pPr>
              <w:pStyle w:val="Body"/>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3476CD">
              <w:rPr>
                <w:rFonts w:asciiTheme="majorHAnsi" w:hAnsiTheme="majorHAnsi" w:cstheme="majorHAnsi"/>
                <w:sz w:val="20"/>
              </w:rPr>
              <w:t>Act reference</w:t>
            </w:r>
          </w:p>
        </w:tc>
      </w:tr>
      <w:tr w:rsidR="00FE3327" w:rsidRPr="00910F29" w14:paraId="0E57A380" w14:textId="77777777" w:rsidTr="00FE3327">
        <w:trPr>
          <w:trHeight w:val="870"/>
        </w:trPr>
        <w:tc>
          <w:tcPr>
            <w:cnfStyle w:val="001000000000" w:firstRow="0" w:lastRow="0" w:firstColumn="1" w:lastColumn="0" w:oddVBand="0" w:evenVBand="0" w:oddHBand="0" w:evenHBand="0" w:firstRowFirstColumn="0" w:firstRowLastColumn="0" w:lastRowFirstColumn="0" w:lastRowLastColumn="0"/>
            <w:tcW w:w="7655" w:type="dxa"/>
            <w:hideMark/>
          </w:tcPr>
          <w:p w14:paraId="3C47A308" w14:textId="77777777" w:rsidR="00EC4DF5" w:rsidRPr="00084CC0" w:rsidRDefault="00EC4DF5">
            <w:pPr>
              <w:pStyle w:val="Body"/>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An application for AIP of:</w:t>
            </w:r>
          </w:p>
          <w:p w14:paraId="17C43ACD" w14:textId="1E007220" w:rsidR="00AC53A6" w:rsidRPr="00AC53A6" w:rsidRDefault="00AC53A6" w:rsidP="00AC53A6">
            <w:pPr>
              <w:pStyle w:val="Body"/>
              <w:numPr>
                <w:ilvl w:val="0"/>
                <w:numId w:val="153"/>
              </w:numPr>
              <w:spacing w:after="0" w:line="240" w:lineRule="auto"/>
              <w:rPr>
                <w:rFonts w:asciiTheme="majorHAnsi" w:hAnsiTheme="majorHAnsi" w:cstheme="majorHAnsi"/>
                <w:b w:val="0"/>
                <w:bCs/>
                <w:color w:val="auto"/>
                <w:sz w:val="20"/>
              </w:rPr>
            </w:pPr>
            <w:r w:rsidRPr="00AC53A6">
              <w:rPr>
                <w:rFonts w:asciiTheme="majorHAnsi" w:hAnsiTheme="majorHAnsi" w:cstheme="majorHAnsi"/>
                <w:b w:val="0"/>
                <w:bCs/>
                <w:color w:val="auto"/>
                <w:sz w:val="20"/>
              </w:rPr>
              <w:t>the use of particular land or premises as a specified kind of HSE</w:t>
            </w:r>
            <w:r>
              <w:rPr>
                <w:rFonts w:asciiTheme="majorHAnsi" w:hAnsiTheme="majorHAnsi" w:cstheme="majorHAnsi"/>
                <w:b w:val="0"/>
                <w:bCs/>
                <w:color w:val="auto"/>
                <w:sz w:val="20"/>
              </w:rPr>
              <w:t>;</w:t>
            </w:r>
          </w:p>
          <w:p w14:paraId="5A1D627F" w14:textId="2E8AA40C" w:rsidR="00EC4DF5" w:rsidRPr="00084CC0" w:rsidRDefault="00EC4DF5" w:rsidP="00AC53A6">
            <w:pPr>
              <w:pStyle w:val="Body"/>
              <w:numPr>
                <w:ilvl w:val="0"/>
                <w:numId w:val="153"/>
              </w:numPr>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premises proposed to be constructed for use as a HSE of a particular kind; or</w:t>
            </w:r>
          </w:p>
          <w:p w14:paraId="34588A23" w14:textId="77777777" w:rsidR="00EC4DF5" w:rsidRPr="00084CC0" w:rsidRDefault="00EC4DF5" w:rsidP="00DE5D60">
            <w:pPr>
              <w:pStyle w:val="Body"/>
              <w:numPr>
                <w:ilvl w:val="0"/>
                <w:numId w:val="153"/>
              </w:numPr>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alterations or extensions to premises used or proposed to be used as a HSE.</w:t>
            </w:r>
          </w:p>
        </w:tc>
        <w:tc>
          <w:tcPr>
            <w:tcW w:w="1600" w:type="dxa"/>
            <w:hideMark/>
          </w:tcPr>
          <w:p w14:paraId="43B83F0D" w14:textId="77777777" w:rsidR="00EC4DF5" w:rsidRPr="00084CC0" w:rsidRDefault="00EC4DF5">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 w:val="20"/>
              </w:rPr>
            </w:pPr>
            <w:r w:rsidRPr="00377D71">
              <w:rPr>
                <w:rFonts w:asciiTheme="majorHAnsi" w:hAnsiTheme="majorHAnsi" w:cstheme="majorHAnsi"/>
                <w:bCs/>
                <w:color w:val="auto"/>
                <w:sz w:val="20"/>
              </w:rPr>
              <w:t>s 70(2)(b)</w:t>
            </w:r>
          </w:p>
        </w:tc>
      </w:tr>
      <w:tr w:rsidR="00466F45" w:rsidRPr="00910F29" w14:paraId="16001762" w14:textId="77777777" w:rsidTr="00605AFA">
        <w:trPr>
          <w:trHeight w:val="1590"/>
        </w:trPr>
        <w:tc>
          <w:tcPr>
            <w:cnfStyle w:val="001000000000" w:firstRow="0" w:lastRow="0" w:firstColumn="1" w:lastColumn="0" w:oddVBand="0" w:evenVBand="0" w:oddHBand="0" w:evenHBand="0" w:firstRowFirstColumn="0" w:firstRowLastColumn="0" w:lastRowFirstColumn="0" w:lastRowLastColumn="0"/>
            <w:tcW w:w="0" w:type="dxa"/>
            <w:hideMark/>
          </w:tcPr>
          <w:p w14:paraId="53282DCE" w14:textId="77777777" w:rsidR="00EC4DF5" w:rsidRPr="00084CC0" w:rsidRDefault="00EC4DF5">
            <w:pPr>
              <w:pStyle w:val="Body"/>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An application for AIP of a variation of the registration of a HSE for:</w:t>
            </w:r>
          </w:p>
          <w:p w14:paraId="47721C8A" w14:textId="77777777" w:rsidR="00EC4DF5" w:rsidRPr="00084CC0" w:rsidRDefault="00EC4DF5" w:rsidP="00DE5D60">
            <w:pPr>
              <w:pStyle w:val="Body"/>
              <w:numPr>
                <w:ilvl w:val="0"/>
                <w:numId w:val="154"/>
              </w:numPr>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an alteration in the number of beds to which the registration relates;</w:t>
            </w:r>
          </w:p>
          <w:p w14:paraId="7FBDB8C4" w14:textId="77777777" w:rsidR="00EC4DF5" w:rsidRPr="00084CC0" w:rsidRDefault="00EC4DF5" w:rsidP="00DE5D60">
            <w:pPr>
              <w:pStyle w:val="Body"/>
              <w:numPr>
                <w:ilvl w:val="0"/>
                <w:numId w:val="154"/>
              </w:numPr>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in the case of a day procedure centre or private hospital:</w:t>
            </w:r>
          </w:p>
          <w:p w14:paraId="2C6620DB" w14:textId="77777777" w:rsidR="00EC4DF5" w:rsidRPr="00084CC0" w:rsidRDefault="00EC4DF5" w:rsidP="00AC53A6">
            <w:pPr>
              <w:pStyle w:val="Body"/>
              <w:numPr>
                <w:ilvl w:val="0"/>
                <w:numId w:val="155"/>
              </w:numPr>
              <w:spacing w:after="0" w:line="240" w:lineRule="auto"/>
              <w:ind w:left="1029" w:hanging="283"/>
              <w:rPr>
                <w:rFonts w:asciiTheme="majorHAnsi" w:hAnsiTheme="majorHAnsi" w:cstheme="majorHAnsi"/>
                <w:b w:val="0"/>
                <w:bCs/>
                <w:color w:val="auto"/>
                <w:sz w:val="20"/>
              </w:rPr>
            </w:pPr>
            <w:r w:rsidRPr="00377D71">
              <w:rPr>
                <w:rFonts w:asciiTheme="majorHAnsi" w:hAnsiTheme="majorHAnsi" w:cstheme="majorHAnsi"/>
                <w:b w:val="0"/>
                <w:bCs/>
                <w:color w:val="auto"/>
                <w:sz w:val="20"/>
              </w:rPr>
              <w:t>a variation of the kinds of prescribed health services that may be carried on at, or from, the premises</w:t>
            </w:r>
          </w:p>
          <w:p w14:paraId="65072987" w14:textId="77777777" w:rsidR="00EC4DF5" w:rsidRPr="00084CC0" w:rsidRDefault="00EC4DF5" w:rsidP="00AC53A6">
            <w:pPr>
              <w:pStyle w:val="Body"/>
              <w:numPr>
                <w:ilvl w:val="0"/>
                <w:numId w:val="155"/>
              </w:numPr>
              <w:spacing w:after="0" w:line="240" w:lineRule="auto"/>
              <w:ind w:left="1029" w:hanging="283"/>
              <w:rPr>
                <w:rFonts w:asciiTheme="majorHAnsi" w:hAnsiTheme="majorHAnsi" w:cstheme="majorHAnsi"/>
                <w:b w:val="0"/>
                <w:bCs/>
                <w:color w:val="auto"/>
                <w:sz w:val="20"/>
              </w:rPr>
            </w:pPr>
            <w:r w:rsidRPr="00377D71">
              <w:rPr>
                <w:rFonts w:asciiTheme="majorHAnsi" w:hAnsiTheme="majorHAnsi" w:cstheme="majorHAnsi"/>
                <w:b w:val="0"/>
                <w:bCs/>
                <w:color w:val="auto"/>
                <w:sz w:val="20"/>
              </w:rPr>
              <w:t>a variation of the number of beds that may be used for specified kinds of prescribed health services.</w:t>
            </w:r>
          </w:p>
        </w:tc>
        <w:tc>
          <w:tcPr>
            <w:tcW w:w="0" w:type="dxa"/>
            <w:hideMark/>
          </w:tcPr>
          <w:p w14:paraId="5ED1142E" w14:textId="77777777" w:rsidR="00EC4DF5" w:rsidRPr="00084CC0" w:rsidRDefault="00EC4DF5">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 w:val="20"/>
              </w:rPr>
            </w:pPr>
            <w:r w:rsidRPr="00377D71">
              <w:rPr>
                <w:rFonts w:asciiTheme="majorHAnsi" w:hAnsiTheme="majorHAnsi" w:cstheme="majorHAnsi"/>
                <w:bCs/>
                <w:color w:val="auto"/>
                <w:sz w:val="20"/>
              </w:rPr>
              <w:t>s 70(2)(b)</w:t>
            </w:r>
          </w:p>
        </w:tc>
      </w:tr>
      <w:tr w:rsidR="00466F45" w:rsidRPr="00910F29" w14:paraId="114188BA" w14:textId="77777777" w:rsidTr="00605AFA">
        <w:trPr>
          <w:trHeight w:val="95"/>
        </w:trPr>
        <w:tc>
          <w:tcPr>
            <w:cnfStyle w:val="001000000000" w:firstRow="0" w:lastRow="0" w:firstColumn="1" w:lastColumn="0" w:oddVBand="0" w:evenVBand="0" w:oddHBand="0" w:evenHBand="0" w:firstRowFirstColumn="0" w:firstRowLastColumn="0" w:lastRowFirstColumn="0" w:lastRowLastColumn="0"/>
            <w:tcW w:w="0" w:type="dxa"/>
            <w:hideMark/>
          </w:tcPr>
          <w:p w14:paraId="1C8DC8F2" w14:textId="77777777" w:rsidR="00EC4DF5" w:rsidRPr="00084CC0" w:rsidRDefault="00EC4DF5">
            <w:pPr>
              <w:pStyle w:val="Body"/>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An application for transfer or variation of certificate of AIP</w:t>
            </w:r>
          </w:p>
        </w:tc>
        <w:tc>
          <w:tcPr>
            <w:tcW w:w="0" w:type="dxa"/>
            <w:hideMark/>
          </w:tcPr>
          <w:p w14:paraId="0662A430" w14:textId="77777777" w:rsidR="00EC4DF5" w:rsidRPr="00084CC0" w:rsidRDefault="00EC4DF5">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 w:val="20"/>
              </w:rPr>
            </w:pPr>
            <w:r w:rsidRPr="00377D71">
              <w:rPr>
                <w:rFonts w:asciiTheme="majorHAnsi" w:hAnsiTheme="majorHAnsi" w:cstheme="majorHAnsi"/>
                <w:bCs/>
                <w:color w:val="auto"/>
                <w:sz w:val="20"/>
              </w:rPr>
              <w:t>s 74(2)</w:t>
            </w:r>
          </w:p>
        </w:tc>
      </w:tr>
      <w:tr w:rsidR="00466F45" w:rsidRPr="00910F29" w14:paraId="2BAF82F5" w14:textId="77777777" w:rsidTr="00605AFA">
        <w:trPr>
          <w:trHeight w:val="57"/>
        </w:trPr>
        <w:tc>
          <w:tcPr>
            <w:cnfStyle w:val="001000000000" w:firstRow="0" w:lastRow="0" w:firstColumn="1" w:lastColumn="0" w:oddVBand="0" w:evenVBand="0" w:oddHBand="0" w:evenHBand="0" w:firstRowFirstColumn="0" w:firstRowLastColumn="0" w:lastRowFirstColumn="0" w:lastRowLastColumn="0"/>
            <w:tcW w:w="0" w:type="dxa"/>
            <w:hideMark/>
          </w:tcPr>
          <w:p w14:paraId="1A26FF65" w14:textId="77777777" w:rsidR="00EC4DF5" w:rsidRPr="00084CC0" w:rsidRDefault="00EC4DF5">
            <w:pPr>
              <w:pStyle w:val="Body"/>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An application for registration of premises as a HSE of a particular kind</w:t>
            </w:r>
          </w:p>
        </w:tc>
        <w:tc>
          <w:tcPr>
            <w:tcW w:w="0" w:type="dxa"/>
            <w:hideMark/>
          </w:tcPr>
          <w:p w14:paraId="65208587" w14:textId="77777777" w:rsidR="00EC4DF5" w:rsidRPr="00084CC0" w:rsidRDefault="00EC4DF5">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 w:val="20"/>
              </w:rPr>
            </w:pPr>
            <w:r w:rsidRPr="00377D71">
              <w:rPr>
                <w:rFonts w:asciiTheme="majorHAnsi" w:hAnsiTheme="majorHAnsi" w:cstheme="majorHAnsi"/>
                <w:bCs/>
                <w:color w:val="auto"/>
                <w:sz w:val="20"/>
              </w:rPr>
              <w:t>s 82(2)(b)</w:t>
            </w:r>
          </w:p>
        </w:tc>
      </w:tr>
      <w:tr w:rsidR="00466F45" w:rsidRPr="00910F29" w14:paraId="492257B0" w14:textId="77777777" w:rsidTr="00605AFA">
        <w:trPr>
          <w:trHeight w:val="22"/>
        </w:trPr>
        <w:tc>
          <w:tcPr>
            <w:cnfStyle w:val="001000000000" w:firstRow="0" w:lastRow="0" w:firstColumn="1" w:lastColumn="0" w:oddVBand="0" w:evenVBand="0" w:oddHBand="0" w:evenHBand="0" w:firstRowFirstColumn="0" w:firstRowLastColumn="0" w:lastRowFirstColumn="0" w:lastRowLastColumn="0"/>
            <w:tcW w:w="0" w:type="dxa"/>
            <w:hideMark/>
          </w:tcPr>
          <w:p w14:paraId="073FAE99" w14:textId="77777777" w:rsidR="00EC4DF5" w:rsidRPr="00084CC0" w:rsidRDefault="00EC4DF5">
            <w:pPr>
              <w:pStyle w:val="Body"/>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Prescribed annual fee for registration</w:t>
            </w:r>
          </w:p>
        </w:tc>
        <w:tc>
          <w:tcPr>
            <w:tcW w:w="0" w:type="dxa"/>
            <w:hideMark/>
          </w:tcPr>
          <w:p w14:paraId="3119E2E6" w14:textId="77777777" w:rsidR="00EC4DF5" w:rsidRPr="00084CC0" w:rsidRDefault="00EC4DF5">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 w:val="20"/>
              </w:rPr>
            </w:pPr>
            <w:r w:rsidRPr="00377D71">
              <w:rPr>
                <w:rFonts w:asciiTheme="majorHAnsi" w:hAnsiTheme="majorHAnsi" w:cstheme="majorHAnsi"/>
                <w:bCs/>
                <w:color w:val="auto"/>
                <w:sz w:val="20"/>
              </w:rPr>
              <w:t>s 87(2)</w:t>
            </w:r>
          </w:p>
        </w:tc>
      </w:tr>
      <w:tr w:rsidR="00466F45" w:rsidRPr="00910F29" w14:paraId="0498D740" w14:textId="77777777" w:rsidTr="00605AFA">
        <w:tc>
          <w:tcPr>
            <w:cnfStyle w:val="001000000000" w:firstRow="0" w:lastRow="0" w:firstColumn="1" w:lastColumn="0" w:oddVBand="0" w:evenVBand="0" w:oddHBand="0" w:evenHBand="0" w:firstRowFirstColumn="0" w:firstRowLastColumn="0" w:lastRowFirstColumn="0" w:lastRowLastColumn="0"/>
            <w:tcW w:w="0" w:type="dxa"/>
            <w:hideMark/>
          </w:tcPr>
          <w:p w14:paraId="458AD560" w14:textId="77777777" w:rsidR="00EC4DF5" w:rsidRPr="00084CC0" w:rsidRDefault="00EC4DF5">
            <w:pPr>
              <w:pStyle w:val="Body"/>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An application for renewal of registration of HSE</w:t>
            </w:r>
          </w:p>
        </w:tc>
        <w:tc>
          <w:tcPr>
            <w:tcW w:w="0" w:type="dxa"/>
            <w:hideMark/>
          </w:tcPr>
          <w:p w14:paraId="7A28A6ED" w14:textId="77777777" w:rsidR="00EC4DF5" w:rsidRPr="00084CC0" w:rsidRDefault="00EC4DF5">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 w:val="20"/>
              </w:rPr>
            </w:pPr>
            <w:r w:rsidRPr="00377D71">
              <w:rPr>
                <w:rFonts w:asciiTheme="majorHAnsi" w:hAnsiTheme="majorHAnsi" w:cstheme="majorHAnsi"/>
                <w:bCs/>
                <w:color w:val="auto"/>
                <w:sz w:val="20"/>
              </w:rPr>
              <w:t>s 88(2)(b)</w:t>
            </w:r>
          </w:p>
        </w:tc>
      </w:tr>
      <w:tr w:rsidR="00466F45" w:rsidRPr="00910F29" w14:paraId="0ADF9662" w14:textId="77777777" w:rsidTr="00605AFA">
        <w:tc>
          <w:tcPr>
            <w:cnfStyle w:val="001000000000" w:firstRow="0" w:lastRow="0" w:firstColumn="1" w:lastColumn="0" w:oddVBand="0" w:evenVBand="0" w:oddHBand="0" w:evenHBand="0" w:firstRowFirstColumn="0" w:firstRowLastColumn="0" w:lastRowFirstColumn="0" w:lastRowLastColumn="0"/>
            <w:tcW w:w="0" w:type="dxa"/>
            <w:hideMark/>
          </w:tcPr>
          <w:p w14:paraId="76865D2E" w14:textId="77777777" w:rsidR="00EC4DF5" w:rsidRPr="00084CC0" w:rsidRDefault="00EC4DF5">
            <w:pPr>
              <w:pStyle w:val="Body"/>
              <w:spacing w:after="0" w:line="240" w:lineRule="auto"/>
              <w:rPr>
                <w:rFonts w:asciiTheme="majorHAnsi" w:hAnsiTheme="majorHAnsi" w:cstheme="majorHAnsi"/>
                <w:b w:val="0"/>
                <w:bCs/>
                <w:color w:val="auto"/>
                <w:sz w:val="20"/>
              </w:rPr>
            </w:pPr>
            <w:r w:rsidRPr="00377D71">
              <w:rPr>
                <w:rFonts w:asciiTheme="majorHAnsi" w:hAnsiTheme="majorHAnsi" w:cstheme="majorHAnsi"/>
                <w:b w:val="0"/>
                <w:bCs/>
                <w:color w:val="auto"/>
                <w:sz w:val="20"/>
              </w:rPr>
              <w:t>An application for variation of registration of HSE</w:t>
            </w:r>
          </w:p>
        </w:tc>
        <w:tc>
          <w:tcPr>
            <w:tcW w:w="0" w:type="dxa"/>
            <w:hideMark/>
          </w:tcPr>
          <w:p w14:paraId="1BB1B0FD" w14:textId="77777777" w:rsidR="00EC4DF5" w:rsidRPr="00084CC0" w:rsidRDefault="00EC4DF5">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 w:val="20"/>
              </w:rPr>
            </w:pPr>
            <w:r w:rsidRPr="00377D71">
              <w:rPr>
                <w:rFonts w:asciiTheme="majorHAnsi" w:hAnsiTheme="majorHAnsi" w:cstheme="majorHAnsi"/>
                <w:bCs/>
                <w:color w:val="auto"/>
                <w:sz w:val="20"/>
              </w:rPr>
              <w:t>s 92(2)(b)</w:t>
            </w:r>
          </w:p>
        </w:tc>
      </w:tr>
    </w:tbl>
    <w:p w14:paraId="331745B3" w14:textId="77777777" w:rsidR="00827BB3" w:rsidRDefault="00827BB3" w:rsidP="001E347D">
      <w:pPr>
        <w:spacing w:before="0"/>
        <w:rPr>
          <w:bCs/>
        </w:rPr>
      </w:pPr>
    </w:p>
    <w:p w14:paraId="0203F00C" w14:textId="5CA7F963" w:rsidR="00EC4DF5" w:rsidRPr="001E347D" w:rsidRDefault="00EC4DF5" w:rsidP="001E347D">
      <w:pPr>
        <w:spacing w:before="0"/>
      </w:pPr>
      <w:r w:rsidRPr="001E347D">
        <w:rPr>
          <w:bCs/>
        </w:rPr>
        <w:t>The department currently prescribes fees</w:t>
      </w:r>
      <w:r w:rsidRPr="001E347D">
        <w:t xml:space="preserve"> in the Regulations for all of the items that the Act enables fees to be charged for except a prescribed annual fee for registration.</w:t>
      </w:r>
    </w:p>
    <w:p w14:paraId="6BB4D731" w14:textId="77777777" w:rsidR="00694FE1" w:rsidRPr="001E347D" w:rsidRDefault="00694FE1" w:rsidP="001E347D">
      <w:pPr>
        <w:pStyle w:val="Heading7"/>
      </w:pPr>
      <w:r w:rsidRPr="007D56B6">
        <w:lastRenderedPageBreak/>
        <w:t xml:space="preserve">Pricing for </w:t>
      </w:r>
      <w:r w:rsidRPr="001E347D">
        <w:t>Value considerations</w:t>
      </w:r>
    </w:p>
    <w:p w14:paraId="13B05C3A" w14:textId="04D31A87" w:rsidR="00A113E2" w:rsidRDefault="00694FE1" w:rsidP="00694FE1">
      <w:r w:rsidRPr="00D12303">
        <w:t xml:space="preserve">The Department of Treasury and Finance’s </w:t>
      </w:r>
      <w:r w:rsidRPr="00D12303">
        <w:rPr>
          <w:i/>
          <w:iCs/>
        </w:rPr>
        <w:t xml:space="preserve">Pricing for Value </w:t>
      </w:r>
      <w:r>
        <w:t>guide establishes the pricing principles that can be used for setting fees and charges, as well as a playbook which is a step by step ‘how-to’ guide for undertaking a review of an entity’s fees and charges.</w:t>
      </w:r>
      <w:r w:rsidR="00E56357">
        <w:t xml:space="preserve"> As the relevant Victorian Government guidance, the </w:t>
      </w:r>
      <w:r w:rsidR="008570AE">
        <w:t xml:space="preserve">Pricing for Value Guide is used </w:t>
      </w:r>
      <w:r w:rsidR="000C4D7F">
        <w:t>to</w:t>
      </w:r>
      <w:r w:rsidR="008570AE">
        <w:t xml:space="preserve"> inform the analysis of fees in this RIS</w:t>
      </w:r>
      <w:r w:rsidR="00666BD8">
        <w:t>. T</w:t>
      </w:r>
      <w:r w:rsidR="000E3E0B">
        <w:t>he MCA framework</w:t>
      </w:r>
      <w:r w:rsidR="00666BD8">
        <w:t xml:space="preserve"> is not used </w:t>
      </w:r>
      <w:r w:rsidR="00272C11">
        <w:t xml:space="preserve">in considering fees, partly </w:t>
      </w:r>
      <w:r w:rsidR="00666BD8">
        <w:t xml:space="preserve">because </w:t>
      </w:r>
      <w:r w:rsidR="00DF6C7D">
        <w:t xml:space="preserve">it would be difficult to </w:t>
      </w:r>
      <w:r w:rsidR="002007FA">
        <w:t>score</w:t>
      </w:r>
      <w:r w:rsidR="00631341">
        <w:t xml:space="preserve"> the quality and safety criterion</w:t>
      </w:r>
      <w:r w:rsidR="000C4D7F">
        <w:t xml:space="preserve"> given </w:t>
      </w:r>
      <w:r w:rsidR="00DF6C7D">
        <w:t xml:space="preserve">fees </w:t>
      </w:r>
      <w:r w:rsidR="00250B26">
        <w:t>may not directly impact</w:t>
      </w:r>
      <w:r w:rsidR="000C4D7F">
        <w:t xml:space="preserve"> patient outcome</w:t>
      </w:r>
      <w:r w:rsidR="008368F0">
        <w:t>s</w:t>
      </w:r>
      <w:r w:rsidR="00250B26">
        <w:t xml:space="preserve">. </w:t>
      </w:r>
    </w:p>
    <w:p w14:paraId="6FCEE66C" w14:textId="77777777" w:rsidR="00694FE1" w:rsidRDefault="00694FE1" w:rsidP="005C768B">
      <w:pPr>
        <w:spacing w:before="0" w:line="259" w:lineRule="auto"/>
      </w:pPr>
      <w:r>
        <w:t>The Pricing for Value principles are as follows:</w:t>
      </w:r>
    </w:p>
    <w:tbl>
      <w:tblPr>
        <w:tblStyle w:val="SapereTable"/>
        <w:tblW w:w="0" w:type="auto"/>
        <w:tblLook w:val="04A0" w:firstRow="1" w:lastRow="0" w:firstColumn="1" w:lastColumn="0" w:noHBand="0" w:noVBand="1"/>
      </w:tblPr>
      <w:tblGrid>
        <w:gridCol w:w="3194"/>
        <w:gridCol w:w="447"/>
        <w:gridCol w:w="5385"/>
      </w:tblGrid>
      <w:tr w:rsidR="00342E06" w:rsidRPr="00895491" w14:paraId="11B505AA" w14:textId="77777777" w:rsidTr="00342E0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7541B98D" w14:textId="77777777" w:rsidR="00342E06" w:rsidRPr="003476CD" w:rsidRDefault="00342E06">
            <w:pPr>
              <w:pStyle w:val="Body"/>
              <w:spacing w:after="0" w:line="240" w:lineRule="auto"/>
              <w:rPr>
                <w:rFonts w:asciiTheme="majorHAnsi" w:hAnsiTheme="majorHAnsi" w:cstheme="majorHAnsi"/>
                <w:sz w:val="20"/>
              </w:rPr>
            </w:pPr>
            <w:r w:rsidRPr="003476CD">
              <w:rPr>
                <w:rFonts w:asciiTheme="majorHAnsi" w:hAnsiTheme="majorHAnsi" w:cstheme="majorHAnsi"/>
                <w:sz w:val="20"/>
              </w:rPr>
              <w:t>How much does the service cost?</w:t>
            </w:r>
          </w:p>
        </w:tc>
        <w:tc>
          <w:tcPr>
            <w:tcW w:w="0" w:type="auto"/>
          </w:tcPr>
          <w:p w14:paraId="75784484" w14:textId="77777777" w:rsidR="00342E06" w:rsidRPr="003476CD" w:rsidRDefault="00342E06">
            <w:pPr>
              <w:pStyle w:val="Body"/>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3476CD">
              <w:rPr>
                <w:rFonts w:asciiTheme="majorHAnsi" w:hAnsiTheme="majorHAnsi" w:cstheme="majorHAnsi"/>
                <w:sz w:val="20"/>
              </w:rPr>
              <w:t>1</w:t>
            </w:r>
          </w:p>
        </w:tc>
        <w:tc>
          <w:tcPr>
            <w:tcW w:w="0" w:type="auto"/>
          </w:tcPr>
          <w:p w14:paraId="21E9642E" w14:textId="77777777" w:rsidR="00342E06" w:rsidRPr="00B1771F" w:rsidRDefault="00342E06">
            <w:pPr>
              <w:pStyle w:val="Body"/>
              <w:spacing w:after="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color w:val="000000" w:themeColor="text1"/>
                <w:sz w:val="20"/>
              </w:rPr>
            </w:pPr>
            <w:r w:rsidRPr="00B1771F">
              <w:rPr>
                <w:rFonts w:asciiTheme="majorHAnsi" w:hAnsiTheme="majorHAnsi" w:cstheme="majorHAnsi"/>
                <w:b w:val="0"/>
                <w:bCs/>
                <w:color w:val="000000" w:themeColor="text1"/>
                <w:sz w:val="20"/>
              </w:rPr>
              <w:t>Agencies should aim to recover the full costs of service provision to promote efficient consumption</w:t>
            </w:r>
          </w:p>
        </w:tc>
      </w:tr>
      <w:tr w:rsidR="00342E06" w:rsidRPr="00895491" w14:paraId="4BAE7B58"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68A71323" w14:textId="77777777" w:rsidR="00342E06" w:rsidRPr="003476CD" w:rsidRDefault="00342E06">
            <w:pPr>
              <w:pStyle w:val="Body"/>
              <w:spacing w:after="0" w:line="240" w:lineRule="auto"/>
              <w:rPr>
                <w:rFonts w:asciiTheme="majorHAnsi" w:hAnsiTheme="majorHAnsi" w:cstheme="majorHAnsi"/>
                <w:sz w:val="20"/>
              </w:rPr>
            </w:pPr>
          </w:p>
        </w:tc>
        <w:tc>
          <w:tcPr>
            <w:tcW w:w="0" w:type="auto"/>
          </w:tcPr>
          <w:p w14:paraId="6C961162"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2</w:t>
            </w:r>
          </w:p>
        </w:tc>
        <w:tc>
          <w:tcPr>
            <w:tcW w:w="0" w:type="auto"/>
          </w:tcPr>
          <w:p w14:paraId="5425DD7A"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The cost of service provision should be borne by those who benefit from the service</w:t>
            </w:r>
          </w:p>
        </w:tc>
      </w:tr>
      <w:tr w:rsidR="00342E06" w:rsidRPr="00895491" w14:paraId="002FE1C0"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7FBEB9A1" w14:textId="77777777" w:rsidR="00342E06" w:rsidRPr="003476CD" w:rsidRDefault="00342E06">
            <w:pPr>
              <w:pStyle w:val="Body"/>
              <w:spacing w:after="0" w:line="240" w:lineRule="auto"/>
              <w:rPr>
                <w:rFonts w:asciiTheme="majorHAnsi" w:hAnsiTheme="majorHAnsi" w:cstheme="majorHAnsi"/>
                <w:sz w:val="20"/>
              </w:rPr>
            </w:pPr>
          </w:p>
        </w:tc>
        <w:tc>
          <w:tcPr>
            <w:tcW w:w="0" w:type="auto"/>
          </w:tcPr>
          <w:p w14:paraId="52E44D73"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3</w:t>
            </w:r>
          </w:p>
        </w:tc>
        <w:tc>
          <w:tcPr>
            <w:tcW w:w="0" w:type="auto"/>
          </w:tcPr>
          <w:p w14:paraId="1B7C0747"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Services creating broad benefits for the community should be priced to support efficient consumption</w:t>
            </w:r>
          </w:p>
        </w:tc>
      </w:tr>
      <w:tr w:rsidR="00342E06" w:rsidRPr="00895491" w14:paraId="4257CFB1"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47F423A5" w14:textId="77777777" w:rsidR="00342E06" w:rsidRPr="003476CD" w:rsidRDefault="00342E06">
            <w:pPr>
              <w:pStyle w:val="Body"/>
              <w:spacing w:after="0" w:line="240" w:lineRule="auto"/>
              <w:rPr>
                <w:rFonts w:asciiTheme="majorHAnsi" w:hAnsiTheme="majorHAnsi" w:cstheme="majorHAnsi"/>
                <w:sz w:val="20"/>
              </w:rPr>
            </w:pPr>
            <w:r w:rsidRPr="003476CD">
              <w:rPr>
                <w:rFonts w:asciiTheme="majorHAnsi" w:hAnsiTheme="majorHAnsi" w:cstheme="majorHAnsi"/>
                <w:sz w:val="20"/>
              </w:rPr>
              <w:t>Who benefits from the service?</w:t>
            </w:r>
          </w:p>
        </w:tc>
        <w:tc>
          <w:tcPr>
            <w:tcW w:w="0" w:type="auto"/>
          </w:tcPr>
          <w:p w14:paraId="7C0840D0"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4</w:t>
            </w:r>
          </w:p>
        </w:tc>
        <w:tc>
          <w:tcPr>
            <w:tcW w:w="0" w:type="auto"/>
          </w:tcPr>
          <w:p w14:paraId="63AB6BEA"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The cost of interagency services should be borne by the user agency</w:t>
            </w:r>
          </w:p>
        </w:tc>
      </w:tr>
      <w:tr w:rsidR="00342E06" w:rsidRPr="00895491" w14:paraId="20D806A4" w14:textId="77777777" w:rsidTr="00342E06">
        <w:trPr>
          <w:trHeight w:val="23"/>
        </w:trPr>
        <w:tc>
          <w:tcPr>
            <w:cnfStyle w:val="001000000000" w:firstRow="0" w:lastRow="0" w:firstColumn="1" w:lastColumn="0" w:oddVBand="0" w:evenVBand="0" w:oddHBand="0" w:evenHBand="0" w:firstRowFirstColumn="0" w:firstRowLastColumn="0" w:lastRowFirstColumn="0" w:lastRowLastColumn="0"/>
            <w:tcW w:w="0" w:type="auto"/>
          </w:tcPr>
          <w:p w14:paraId="3DC7916B" w14:textId="77777777" w:rsidR="00342E06" w:rsidRPr="003476CD" w:rsidRDefault="00342E06">
            <w:pPr>
              <w:pStyle w:val="Body"/>
              <w:spacing w:after="0" w:line="240" w:lineRule="auto"/>
              <w:rPr>
                <w:rFonts w:asciiTheme="majorHAnsi" w:hAnsiTheme="majorHAnsi" w:cstheme="majorHAnsi"/>
                <w:sz w:val="20"/>
              </w:rPr>
            </w:pPr>
          </w:p>
        </w:tc>
        <w:tc>
          <w:tcPr>
            <w:tcW w:w="0" w:type="auto"/>
          </w:tcPr>
          <w:p w14:paraId="2C2280BA"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5</w:t>
            </w:r>
          </w:p>
        </w:tc>
        <w:tc>
          <w:tcPr>
            <w:tcW w:w="0" w:type="auto"/>
          </w:tcPr>
          <w:p w14:paraId="42B124A8"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The price of services should not limit access to those with a lower ability to pay</w:t>
            </w:r>
          </w:p>
        </w:tc>
      </w:tr>
      <w:tr w:rsidR="00342E06" w:rsidRPr="00895491" w14:paraId="194ED221" w14:textId="77777777" w:rsidTr="00342E06">
        <w:trPr>
          <w:trHeight w:val="102"/>
        </w:trPr>
        <w:tc>
          <w:tcPr>
            <w:cnfStyle w:val="001000000000" w:firstRow="0" w:lastRow="0" w:firstColumn="1" w:lastColumn="0" w:oddVBand="0" w:evenVBand="0" w:oddHBand="0" w:evenHBand="0" w:firstRowFirstColumn="0" w:firstRowLastColumn="0" w:lastRowFirstColumn="0" w:lastRowLastColumn="0"/>
            <w:tcW w:w="0" w:type="auto"/>
          </w:tcPr>
          <w:p w14:paraId="1A83919B" w14:textId="77777777" w:rsidR="00342E06" w:rsidRPr="003476CD" w:rsidRDefault="00342E06">
            <w:pPr>
              <w:pStyle w:val="Body"/>
              <w:spacing w:after="0" w:line="240" w:lineRule="auto"/>
              <w:rPr>
                <w:rFonts w:asciiTheme="majorHAnsi" w:hAnsiTheme="majorHAnsi" w:cstheme="majorHAnsi"/>
                <w:sz w:val="20"/>
              </w:rPr>
            </w:pPr>
            <w:r w:rsidRPr="003476CD">
              <w:rPr>
                <w:rFonts w:asciiTheme="majorHAnsi" w:hAnsiTheme="majorHAnsi" w:cstheme="majorHAnsi"/>
                <w:sz w:val="20"/>
              </w:rPr>
              <w:t xml:space="preserve">How do different users value the service? </w:t>
            </w:r>
          </w:p>
        </w:tc>
        <w:tc>
          <w:tcPr>
            <w:tcW w:w="0" w:type="auto"/>
          </w:tcPr>
          <w:p w14:paraId="44759A7C"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6</w:t>
            </w:r>
          </w:p>
        </w:tc>
        <w:tc>
          <w:tcPr>
            <w:tcW w:w="0" w:type="auto"/>
          </w:tcPr>
          <w:p w14:paraId="6EB46335"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Users should pay for differentiated service based on the value created by that differentiation</w:t>
            </w:r>
          </w:p>
        </w:tc>
      </w:tr>
      <w:tr w:rsidR="00342E06" w:rsidRPr="00895491" w14:paraId="1678C576"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7FE008C9" w14:textId="77777777" w:rsidR="00342E06" w:rsidRPr="003476CD" w:rsidRDefault="00342E06">
            <w:pPr>
              <w:pStyle w:val="Body"/>
              <w:spacing w:after="0" w:line="240" w:lineRule="auto"/>
              <w:rPr>
                <w:rFonts w:asciiTheme="majorHAnsi" w:hAnsiTheme="majorHAnsi" w:cstheme="majorHAnsi"/>
                <w:sz w:val="20"/>
              </w:rPr>
            </w:pPr>
          </w:p>
        </w:tc>
        <w:tc>
          <w:tcPr>
            <w:tcW w:w="0" w:type="auto"/>
          </w:tcPr>
          <w:p w14:paraId="50BE0E31"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7</w:t>
            </w:r>
          </w:p>
        </w:tc>
        <w:tc>
          <w:tcPr>
            <w:tcW w:w="0" w:type="auto"/>
          </w:tcPr>
          <w:p w14:paraId="26333B5A"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The public should share in the value generated by pricing based on user differentiation</w:t>
            </w:r>
          </w:p>
        </w:tc>
      </w:tr>
      <w:tr w:rsidR="00342E06" w:rsidRPr="00895491" w14:paraId="5766DB2D"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323C0A92" w14:textId="77777777" w:rsidR="00342E06" w:rsidRPr="003476CD" w:rsidRDefault="00342E06">
            <w:pPr>
              <w:pStyle w:val="Body"/>
              <w:spacing w:after="0" w:line="240" w:lineRule="auto"/>
              <w:rPr>
                <w:rFonts w:asciiTheme="majorHAnsi" w:hAnsiTheme="majorHAnsi" w:cstheme="majorHAnsi"/>
                <w:sz w:val="20"/>
              </w:rPr>
            </w:pPr>
            <w:r w:rsidRPr="003476CD">
              <w:rPr>
                <w:rFonts w:asciiTheme="majorHAnsi" w:hAnsiTheme="majorHAnsi" w:cstheme="majorHAnsi"/>
                <w:sz w:val="20"/>
              </w:rPr>
              <w:t xml:space="preserve">How will the price of the service impact behaviour? </w:t>
            </w:r>
          </w:p>
        </w:tc>
        <w:tc>
          <w:tcPr>
            <w:tcW w:w="0" w:type="auto"/>
          </w:tcPr>
          <w:p w14:paraId="446E608D"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8</w:t>
            </w:r>
          </w:p>
        </w:tc>
        <w:tc>
          <w:tcPr>
            <w:tcW w:w="0" w:type="auto"/>
          </w:tcPr>
          <w:p w14:paraId="597ACF12"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Pricing should support positive behaviours</w:t>
            </w:r>
          </w:p>
        </w:tc>
      </w:tr>
      <w:tr w:rsidR="00342E06" w:rsidRPr="00E57E0F" w14:paraId="21EEB1CA"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1FF32DEF" w14:textId="77777777" w:rsidR="00342E06" w:rsidRPr="003476CD" w:rsidRDefault="00342E06">
            <w:pPr>
              <w:pStyle w:val="Body"/>
              <w:spacing w:after="0" w:line="240" w:lineRule="auto"/>
              <w:rPr>
                <w:rFonts w:asciiTheme="majorHAnsi" w:hAnsiTheme="majorHAnsi" w:cstheme="majorHAnsi"/>
                <w:sz w:val="20"/>
              </w:rPr>
            </w:pPr>
          </w:p>
        </w:tc>
        <w:tc>
          <w:tcPr>
            <w:tcW w:w="0" w:type="auto"/>
          </w:tcPr>
          <w:p w14:paraId="4F35E278"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9</w:t>
            </w:r>
          </w:p>
        </w:tc>
        <w:tc>
          <w:tcPr>
            <w:tcW w:w="0" w:type="auto"/>
          </w:tcPr>
          <w:p w14:paraId="613DFBB8"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Pricing should ensure sustainable usage of public services and reflect the value of natural resources</w:t>
            </w:r>
          </w:p>
        </w:tc>
      </w:tr>
      <w:tr w:rsidR="00342E06" w:rsidRPr="00E57E0F" w14:paraId="2D7CFF6D"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D275418" w14:textId="77777777" w:rsidR="00342E06" w:rsidRPr="003476CD" w:rsidRDefault="00342E06">
            <w:pPr>
              <w:pStyle w:val="Body"/>
              <w:spacing w:after="0" w:line="240" w:lineRule="auto"/>
              <w:rPr>
                <w:rFonts w:asciiTheme="majorHAnsi" w:hAnsiTheme="majorHAnsi" w:cstheme="majorHAnsi"/>
                <w:sz w:val="20"/>
              </w:rPr>
            </w:pPr>
            <w:r w:rsidRPr="003476CD">
              <w:rPr>
                <w:rFonts w:asciiTheme="majorHAnsi" w:hAnsiTheme="majorHAnsi" w:cstheme="majorHAnsi"/>
                <w:sz w:val="20"/>
              </w:rPr>
              <w:t xml:space="preserve">Are there alternatives to this service? </w:t>
            </w:r>
          </w:p>
        </w:tc>
        <w:tc>
          <w:tcPr>
            <w:tcW w:w="0" w:type="auto"/>
          </w:tcPr>
          <w:p w14:paraId="48D20206"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10</w:t>
            </w:r>
          </w:p>
        </w:tc>
        <w:tc>
          <w:tcPr>
            <w:tcW w:w="0" w:type="auto"/>
          </w:tcPr>
          <w:p w14:paraId="3BA469D6"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Where services are in competition with the private sector, pricing should be relative to market prices</w:t>
            </w:r>
          </w:p>
        </w:tc>
      </w:tr>
      <w:tr w:rsidR="00342E06" w:rsidRPr="00E57E0F" w14:paraId="7C5A23D7"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2F5FB36B" w14:textId="77777777" w:rsidR="00342E06" w:rsidRPr="003476CD" w:rsidRDefault="00342E06">
            <w:pPr>
              <w:pStyle w:val="Body"/>
              <w:spacing w:after="0" w:line="240" w:lineRule="auto"/>
              <w:rPr>
                <w:rFonts w:asciiTheme="majorHAnsi" w:hAnsiTheme="majorHAnsi" w:cstheme="majorHAnsi"/>
                <w:sz w:val="20"/>
              </w:rPr>
            </w:pPr>
            <w:r w:rsidRPr="003476CD">
              <w:rPr>
                <w:rFonts w:asciiTheme="majorHAnsi" w:hAnsiTheme="majorHAnsi" w:cstheme="majorHAnsi"/>
                <w:sz w:val="20"/>
              </w:rPr>
              <w:t xml:space="preserve">How many different prices are there? </w:t>
            </w:r>
          </w:p>
        </w:tc>
        <w:tc>
          <w:tcPr>
            <w:tcW w:w="0" w:type="auto"/>
          </w:tcPr>
          <w:p w14:paraId="0572D9E7"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11</w:t>
            </w:r>
          </w:p>
        </w:tc>
        <w:tc>
          <w:tcPr>
            <w:tcW w:w="0" w:type="auto"/>
          </w:tcPr>
          <w:p w14:paraId="221E3814"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Pricing structures should be easy to understand and simple to administer</w:t>
            </w:r>
          </w:p>
        </w:tc>
      </w:tr>
      <w:tr w:rsidR="00342E06" w:rsidRPr="00E57E0F" w14:paraId="01A9C453" w14:textId="77777777" w:rsidTr="00342E06">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291DE15F" w14:textId="77777777" w:rsidR="00342E06" w:rsidRPr="003476CD" w:rsidRDefault="00342E06">
            <w:pPr>
              <w:pStyle w:val="Body"/>
              <w:spacing w:after="0" w:line="240" w:lineRule="auto"/>
              <w:rPr>
                <w:rFonts w:asciiTheme="majorHAnsi" w:hAnsiTheme="majorHAnsi" w:cstheme="majorHAnsi"/>
                <w:sz w:val="20"/>
              </w:rPr>
            </w:pPr>
            <w:r w:rsidRPr="003476CD">
              <w:rPr>
                <w:rFonts w:asciiTheme="majorHAnsi" w:hAnsiTheme="majorHAnsi" w:cstheme="majorHAnsi"/>
                <w:sz w:val="20"/>
              </w:rPr>
              <w:t>Are prices up to date?</w:t>
            </w:r>
          </w:p>
        </w:tc>
        <w:tc>
          <w:tcPr>
            <w:tcW w:w="0" w:type="auto"/>
          </w:tcPr>
          <w:p w14:paraId="7A5BD37F"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7EA0BC"/>
                <w:sz w:val="20"/>
              </w:rPr>
            </w:pPr>
            <w:r w:rsidRPr="003476CD">
              <w:rPr>
                <w:rFonts w:asciiTheme="majorHAnsi" w:hAnsiTheme="majorHAnsi" w:cstheme="majorHAnsi"/>
                <w:b/>
                <w:color w:val="7EA0BC"/>
                <w:sz w:val="20"/>
              </w:rPr>
              <w:t>12</w:t>
            </w:r>
          </w:p>
        </w:tc>
        <w:tc>
          <w:tcPr>
            <w:tcW w:w="0" w:type="auto"/>
          </w:tcPr>
          <w:p w14:paraId="2FCDB51C" w14:textId="77777777" w:rsidR="00342E06" w:rsidRPr="003476CD" w:rsidRDefault="00342E06">
            <w:pPr>
              <w:pStyle w:val="Body"/>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rPr>
            </w:pPr>
            <w:r w:rsidRPr="003476CD">
              <w:rPr>
                <w:rFonts w:asciiTheme="majorHAnsi" w:hAnsiTheme="majorHAnsi" w:cstheme="majorHAnsi"/>
                <w:bCs/>
                <w:sz w:val="20"/>
              </w:rPr>
              <w:t>Pricing arrangements should be monitored annually and reviewed periodically</w:t>
            </w:r>
          </w:p>
        </w:tc>
      </w:tr>
    </w:tbl>
    <w:p w14:paraId="555239A0" w14:textId="3FAC8009" w:rsidR="00694FE1" w:rsidRPr="000E1113" w:rsidRDefault="00694FE1" w:rsidP="000E1113">
      <w:r>
        <w:t xml:space="preserve">For this review of fees and charges for HSEs, cost recovery is the key focus. </w:t>
      </w:r>
      <w:r w:rsidRPr="000E1113">
        <w:t>Principles under the Pricing for Value guide relating to innovative pricing and sharing value are not relevant to the Regulations being considered.</w:t>
      </w:r>
    </w:p>
    <w:p w14:paraId="4E79812C" w14:textId="65D6CEB0" w:rsidR="00694FE1" w:rsidRPr="000E1113" w:rsidRDefault="00237152" w:rsidP="00694FE1">
      <w:r>
        <w:t>Other</w:t>
      </w:r>
      <w:r w:rsidR="00694FE1">
        <w:t xml:space="preserve"> key</w:t>
      </w:r>
      <w:r w:rsidR="00694FE1" w:rsidRPr="000E1113">
        <w:t xml:space="preserve"> issues in respect of cost recovery and fee setting for this RIS are:</w:t>
      </w:r>
    </w:p>
    <w:p w14:paraId="43AB5B2C" w14:textId="6062238C" w:rsidR="002718E8" w:rsidRPr="00434E86" w:rsidRDefault="001A7D6D" w:rsidP="002718E8">
      <w:pPr>
        <w:numPr>
          <w:ilvl w:val="0"/>
          <w:numId w:val="140"/>
        </w:numPr>
        <w:spacing w:before="0" w:after="0" w:line="240" w:lineRule="atLeast"/>
        <w:rPr>
          <w:rFonts w:cs="Segoe UI Light"/>
          <w:szCs w:val="20"/>
        </w:rPr>
      </w:pPr>
      <w:r>
        <w:rPr>
          <w:rFonts w:cs="Segoe UI Light"/>
          <w:szCs w:val="20"/>
        </w:rPr>
        <w:t>What</w:t>
      </w:r>
      <w:r w:rsidR="00DA3097">
        <w:rPr>
          <w:rFonts w:cs="Segoe UI Light"/>
          <w:szCs w:val="20"/>
        </w:rPr>
        <w:t xml:space="preserve"> costs need to be recovered</w:t>
      </w:r>
    </w:p>
    <w:p w14:paraId="265D4ADB" w14:textId="1E17D3A9" w:rsidR="00694FE1" w:rsidRPr="00434E86" w:rsidRDefault="00694FE1" w:rsidP="00694FE1">
      <w:pPr>
        <w:numPr>
          <w:ilvl w:val="0"/>
          <w:numId w:val="140"/>
        </w:numPr>
        <w:spacing w:before="0" w:after="0" w:line="240" w:lineRule="atLeast"/>
        <w:rPr>
          <w:rFonts w:cs="Segoe UI Light"/>
          <w:szCs w:val="20"/>
        </w:rPr>
      </w:pPr>
      <w:r w:rsidRPr="00434E86">
        <w:rPr>
          <w:rFonts w:cs="Segoe UI Light"/>
          <w:szCs w:val="20"/>
        </w:rPr>
        <w:t>Whether fees should be established, and if so what level of cost recovery they should achieve.</w:t>
      </w:r>
    </w:p>
    <w:p w14:paraId="72224B55" w14:textId="77777777" w:rsidR="00694FE1" w:rsidRDefault="00694FE1" w:rsidP="00694FE1">
      <w:pPr>
        <w:numPr>
          <w:ilvl w:val="0"/>
          <w:numId w:val="140"/>
        </w:numPr>
        <w:spacing w:before="0" w:after="120" w:line="240" w:lineRule="atLeast"/>
        <w:rPr>
          <w:rFonts w:cs="Segoe UI Light"/>
          <w:szCs w:val="20"/>
        </w:rPr>
      </w:pPr>
      <w:r w:rsidRPr="00434E86">
        <w:rPr>
          <w:rFonts w:cs="Segoe UI Light"/>
          <w:szCs w:val="20"/>
        </w:rPr>
        <w:t>The structure and level of the fees.</w:t>
      </w:r>
    </w:p>
    <w:p w14:paraId="3E321122" w14:textId="6967635D" w:rsidR="00DA3097" w:rsidRDefault="00DA3097" w:rsidP="00DA3097">
      <w:pPr>
        <w:spacing w:before="0" w:after="120" w:line="240" w:lineRule="atLeast"/>
        <w:rPr>
          <w:rFonts w:cs="Segoe UI Light"/>
          <w:szCs w:val="20"/>
        </w:rPr>
      </w:pPr>
      <w:r>
        <w:rPr>
          <w:rFonts w:cs="Segoe UI Light"/>
          <w:szCs w:val="20"/>
        </w:rPr>
        <w:t xml:space="preserve">Each of these issues is considered </w:t>
      </w:r>
      <w:r w:rsidR="00637D1E">
        <w:rPr>
          <w:rFonts w:cs="Segoe UI Light"/>
          <w:szCs w:val="20"/>
        </w:rPr>
        <w:t>in the following sections.</w:t>
      </w:r>
    </w:p>
    <w:p w14:paraId="08083D16" w14:textId="77777777" w:rsidR="00694FE1" w:rsidRPr="005E5220" w:rsidRDefault="00694FE1" w:rsidP="001E347D">
      <w:pPr>
        <w:pStyle w:val="Heading6"/>
        <w:rPr>
          <w:color w:val="7B5E05" w:themeColor="accent1"/>
        </w:rPr>
      </w:pPr>
      <w:r w:rsidRPr="005E5220">
        <w:lastRenderedPageBreak/>
        <w:t>Objectives</w:t>
      </w:r>
    </w:p>
    <w:p w14:paraId="3F1C19B5" w14:textId="77777777" w:rsidR="00694FE1" w:rsidRPr="005E5220" w:rsidRDefault="00694FE1" w:rsidP="00694FE1">
      <w:r w:rsidRPr="005E5220">
        <w:t>The desired outcome is to facilitate efficient administration of the Act by ensuring fees are received appropriate to the cost of Regulation activities. The objectives of prescribing fees are to:</w:t>
      </w:r>
    </w:p>
    <w:p w14:paraId="34130EBE" w14:textId="77777777" w:rsidR="00694FE1" w:rsidRPr="005E5220" w:rsidRDefault="00694FE1" w:rsidP="00694FE1">
      <w:pPr>
        <w:pStyle w:val="ListParagraph"/>
        <w:numPr>
          <w:ilvl w:val="0"/>
          <w:numId w:val="17"/>
        </w:numPr>
      </w:pPr>
      <w:r w:rsidRPr="005E5220">
        <w:t>effectively recover the costs to the department of administrating the Act</w:t>
      </w:r>
    </w:p>
    <w:p w14:paraId="5A296EA1" w14:textId="7CF6D870" w:rsidR="00694FE1" w:rsidRPr="005E5220" w:rsidRDefault="00694FE1" w:rsidP="00694FE1">
      <w:pPr>
        <w:pStyle w:val="ListParagraph"/>
        <w:numPr>
          <w:ilvl w:val="0"/>
          <w:numId w:val="17"/>
        </w:numPr>
      </w:pPr>
      <w:r w:rsidRPr="005E5220">
        <w:t xml:space="preserve">equitably distribute the costs incurred by the department across the registered </w:t>
      </w:r>
      <w:r w:rsidR="002601B0">
        <w:t>HSEs</w:t>
      </w:r>
      <w:r w:rsidRPr="005E5220">
        <w:t>.</w:t>
      </w:r>
    </w:p>
    <w:p w14:paraId="02860E01" w14:textId="77777777" w:rsidR="00694FE1" w:rsidRPr="005E5220" w:rsidRDefault="00694FE1" w:rsidP="001E347D">
      <w:pPr>
        <w:pStyle w:val="Heading6"/>
        <w:rPr>
          <w:color w:val="7B5E05" w:themeColor="accent1"/>
        </w:rPr>
      </w:pPr>
      <w:r w:rsidRPr="005E5220">
        <w:t>The department’s recoverable costs</w:t>
      </w:r>
    </w:p>
    <w:p w14:paraId="6BD3E4F9" w14:textId="52739906" w:rsidR="00694FE1" w:rsidRPr="00770025" w:rsidRDefault="00694FE1" w:rsidP="006522DF">
      <w:r w:rsidRPr="005E5220">
        <w:t xml:space="preserve">This section estimates the department’s costs of administering </w:t>
      </w:r>
      <w:r w:rsidR="00770025">
        <w:t>the department administering the Act as it relates to AIP and registration applications and associated tasks</w:t>
      </w:r>
      <w:r w:rsidRPr="005E5220">
        <w:t>. Out</w:t>
      </w:r>
      <w:r w:rsidR="00666DF1">
        <w:t>put</w:t>
      </w:r>
      <w:r w:rsidRPr="005E5220">
        <w:t>s and activities are identified, then the cost of each output is estimated.</w:t>
      </w:r>
    </w:p>
    <w:p w14:paraId="3B040F88" w14:textId="77777777" w:rsidR="00694FE1" w:rsidRPr="005E5220" w:rsidRDefault="00694FE1" w:rsidP="001E347D">
      <w:pPr>
        <w:pStyle w:val="Heading7"/>
        <w:rPr>
          <w:color w:val="403151" w:themeColor="accent2"/>
        </w:rPr>
      </w:pPr>
      <w:r w:rsidRPr="005E5220">
        <w:t xml:space="preserve">The department’s outputs and activities </w:t>
      </w:r>
    </w:p>
    <w:p w14:paraId="494E7BD7" w14:textId="6825AD25" w:rsidR="002B5D83" w:rsidRDefault="00694FE1" w:rsidP="006522DF">
      <w:r w:rsidRPr="005E5220">
        <w:t>The department</w:t>
      </w:r>
      <w:r>
        <w:t>’</w:t>
      </w:r>
      <w:r w:rsidRPr="005E5220">
        <w:t xml:space="preserve">s outputs and activities in relation </w:t>
      </w:r>
      <w:r w:rsidR="00666DF1">
        <w:t>to administering the Regulations</w:t>
      </w:r>
      <w:r w:rsidRPr="005E5220">
        <w:t xml:space="preserve"> </w:t>
      </w:r>
      <w:r>
        <w:t>are outlined</w:t>
      </w:r>
      <w:r w:rsidRPr="005E5220">
        <w:t xml:space="preserve"> in </w:t>
      </w:r>
      <w:r w:rsidR="002B5D83">
        <w:t xml:space="preserve">Table </w:t>
      </w:r>
      <w:r w:rsidR="005C3C98">
        <w:t>9</w:t>
      </w:r>
      <w:r>
        <w:t xml:space="preserve">, with further detail </w:t>
      </w:r>
      <w:r w:rsidRPr="005E5220">
        <w:t xml:space="preserve">provided in Appendix </w:t>
      </w:r>
      <w:r>
        <w:t>A</w:t>
      </w:r>
      <w:r w:rsidRPr="005E5220">
        <w:t>.</w:t>
      </w:r>
    </w:p>
    <w:p w14:paraId="1C616B1E" w14:textId="107508FF" w:rsidR="00D82B36" w:rsidRDefault="00024640" w:rsidP="006522DF">
      <w:r w:rsidRPr="00D601C9">
        <w:t xml:space="preserve">All of the outputs and activities align to </w:t>
      </w:r>
      <w:r w:rsidR="26C602C6" w:rsidRPr="005D59E5">
        <w:t>applications that are provided for in the Act, and for which fees are prescribed</w:t>
      </w:r>
      <w:r w:rsidR="009B570B" w:rsidRPr="005D59E5">
        <w:t xml:space="preserve"> in the current Regulations,</w:t>
      </w:r>
      <w:r w:rsidR="00510CC8">
        <w:t xml:space="preserve"> except for</w:t>
      </w:r>
      <w:r w:rsidR="00E44E8D">
        <w:t xml:space="preserve"> a proposed new fee, for </w:t>
      </w:r>
      <w:r w:rsidR="00510CC8">
        <w:t xml:space="preserve">an application for an AIP </w:t>
      </w:r>
      <w:r w:rsidR="00510CC8" w:rsidRPr="00510CC8">
        <w:t>to use particular land or premises as a private hospital or day procedure centre</w:t>
      </w:r>
      <w:r w:rsidR="00510CC8">
        <w:t>. There is power to pre</w:t>
      </w:r>
      <w:r w:rsidR="008F354C">
        <w:t>s</w:t>
      </w:r>
      <w:r w:rsidR="00510CC8">
        <w:t>cribe a fee for this</w:t>
      </w:r>
      <w:r w:rsidR="00E44E8D">
        <w:t xml:space="preserve"> – being an application made</w:t>
      </w:r>
      <w:r w:rsidR="00510CC8">
        <w:t xml:space="preserve"> under </w:t>
      </w:r>
      <w:r w:rsidR="008F354C">
        <w:t>section 70(2)(b) of the Act</w:t>
      </w:r>
      <w:r w:rsidR="00E44E8D">
        <w:t xml:space="preserve"> -</w:t>
      </w:r>
      <w:r w:rsidR="008F354C">
        <w:t xml:space="preserve"> but a fee has not currently </w:t>
      </w:r>
      <w:r w:rsidR="005913A5">
        <w:t>been set for these</w:t>
      </w:r>
      <w:r w:rsidR="00D82B36">
        <w:t xml:space="preserve"> type</w:t>
      </w:r>
      <w:r w:rsidR="005913A5">
        <w:t xml:space="preserve">s </w:t>
      </w:r>
      <w:r w:rsidR="00D82B36">
        <w:t xml:space="preserve">of applications </w:t>
      </w:r>
      <w:r w:rsidR="005913A5">
        <w:t xml:space="preserve">because they </w:t>
      </w:r>
      <w:r w:rsidR="00D82B36">
        <w:t>were historically not received. Current operational experience is that the Regulator now receives these type of applications</w:t>
      </w:r>
      <w:r w:rsidR="005913A5">
        <w:t xml:space="preserve"> so </w:t>
      </w:r>
      <w:r w:rsidR="003337A2">
        <w:t>it is proposed to prescribe a fee for this. The</w:t>
      </w:r>
      <w:r w:rsidR="00365D80">
        <w:t xml:space="preserve"> costs of administering this aspect of the regulatory scheme (that is of assessing the application and making a decision as to whether approval in principle will be granted)</w:t>
      </w:r>
      <w:r w:rsidR="003337A2">
        <w:t xml:space="preserve"> </w:t>
      </w:r>
      <w:r w:rsidR="00365D80">
        <w:t>are</w:t>
      </w:r>
      <w:r w:rsidR="003337A2">
        <w:t xml:space="preserve"> similar </w:t>
      </w:r>
      <w:r w:rsidR="006438AB">
        <w:t>to</w:t>
      </w:r>
      <w:r w:rsidR="00365D80">
        <w:t xml:space="preserve"> those for</w:t>
      </w:r>
      <w:r w:rsidR="003337A2">
        <w:t xml:space="preserve"> an application for AIP </w:t>
      </w:r>
      <w:r w:rsidR="003337A2" w:rsidRPr="003337A2">
        <w:t>to construct premises for use as a private hospital</w:t>
      </w:r>
      <w:r w:rsidR="006438AB">
        <w:t>.</w:t>
      </w:r>
    </w:p>
    <w:p w14:paraId="022D602F" w14:textId="6527A445" w:rsidR="002B5D83" w:rsidRDefault="002B5D83" w:rsidP="002B5D83">
      <w:pPr>
        <w:pStyle w:val="Caption"/>
      </w:pPr>
      <w:r>
        <w:t xml:space="preserve">Table </w:t>
      </w:r>
      <w:fldSimple w:instr=" SEQ Table \* ARABIC ">
        <w:r w:rsidR="004F2320">
          <w:rPr>
            <w:noProof/>
          </w:rPr>
          <w:t>10</w:t>
        </w:r>
      </w:fldSimple>
      <w:r>
        <w:t xml:space="preserve"> The d</w:t>
      </w:r>
      <w:r w:rsidRPr="002B5D83">
        <w:t>epartment’s outputs and activities</w:t>
      </w:r>
    </w:p>
    <w:tbl>
      <w:tblPr>
        <w:tblStyle w:val="SapereTable"/>
        <w:tblW w:w="5000" w:type="pct"/>
        <w:tblLook w:val="04A0" w:firstRow="1" w:lastRow="0" w:firstColumn="1" w:lastColumn="0" w:noHBand="0" w:noVBand="1"/>
      </w:tblPr>
      <w:tblGrid>
        <w:gridCol w:w="1277"/>
        <w:gridCol w:w="5186"/>
        <w:gridCol w:w="2563"/>
      </w:tblGrid>
      <w:tr w:rsidR="00694FE1" w:rsidRPr="005E5220" w14:paraId="30E0C73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7" w:type="pct"/>
          </w:tcPr>
          <w:p w14:paraId="79919E27" w14:textId="1B5FE151" w:rsidR="00694FE1" w:rsidRPr="003476CD" w:rsidRDefault="00694FE1">
            <w:pPr>
              <w:rPr>
                <w:szCs w:val="20"/>
              </w:rPr>
            </w:pPr>
            <w:bookmarkStart w:id="276" w:name="_Hlk160195930"/>
            <w:r w:rsidRPr="003476CD">
              <w:rPr>
                <w:szCs w:val="20"/>
              </w:rPr>
              <w:t xml:space="preserve">Regulation </w:t>
            </w:r>
          </w:p>
        </w:tc>
        <w:tc>
          <w:tcPr>
            <w:tcW w:w="2873" w:type="pct"/>
          </w:tcPr>
          <w:p w14:paraId="626D2BF0" w14:textId="77777777" w:rsidR="00694FE1" w:rsidRPr="003476CD" w:rsidRDefault="00694FE1">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Output</w:t>
            </w:r>
          </w:p>
        </w:tc>
        <w:tc>
          <w:tcPr>
            <w:tcW w:w="1420" w:type="pct"/>
          </w:tcPr>
          <w:p w14:paraId="113B7413" w14:textId="77777777" w:rsidR="00694FE1" w:rsidRPr="003476CD" w:rsidRDefault="00694FE1">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Department activity</w:t>
            </w:r>
          </w:p>
        </w:tc>
      </w:tr>
      <w:tr w:rsidR="00694FE1" w:rsidRPr="005E5220" w14:paraId="77B9CEAF" w14:textId="77777777">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3"/>
          </w:tcPr>
          <w:p w14:paraId="3A480377" w14:textId="77777777" w:rsidR="00694FE1" w:rsidRPr="00A30CB8" w:rsidRDefault="00694FE1">
            <w:pPr>
              <w:spacing w:before="0"/>
              <w:rPr>
                <w:b w:val="0"/>
                <w:bCs/>
                <w:color w:val="auto"/>
                <w:szCs w:val="20"/>
              </w:rPr>
            </w:pPr>
            <w:r w:rsidRPr="005C768B">
              <w:rPr>
                <w:color w:val="auto"/>
                <w:szCs w:val="20"/>
              </w:rPr>
              <w:t>AIP</w:t>
            </w:r>
          </w:p>
        </w:tc>
      </w:tr>
      <w:tr w:rsidR="00694FE1" w:rsidRPr="005E5220" w14:paraId="74926ED2" w14:textId="77777777">
        <w:tc>
          <w:tcPr>
            <w:cnfStyle w:val="001000000000" w:firstRow="0" w:lastRow="0" w:firstColumn="1" w:lastColumn="0" w:oddVBand="0" w:evenVBand="0" w:oddHBand="0" w:evenHBand="0" w:firstRowFirstColumn="0" w:firstRowLastColumn="0" w:lastRowFirstColumn="0" w:lastRowLastColumn="0"/>
            <w:tcW w:w="707" w:type="pct"/>
          </w:tcPr>
          <w:p w14:paraId="2E3B0357" w14:textId="54AE1306" w:rsidR="00694FE1" w:rsidRPr="000A7570" w:rsidRDefault="005036D0">
            <w:pPr>
              <w:spacing w:before="0"/>
              <w:rPr>
                <w:b w:val="0"/>
                <w:bCs/>
                <w:color w:val="auto"/>
                <w:szCs w:val="20"/>
              </w:rPr>
            </w:pPr>
            <w:r w:rsidRPr="000A7570">
              <w:rPr>
                <w:b w:val="0"/>
                <w:bCs/>
                <w:color w:val="auto"/>
                <w:szCs w:val="20"/>
              </w:rPr>
              <w:t>reg</w:t>
            </w:r>
            <w:r w:rsidR="00694FE1" w:rsidRPr="000A7570">
              <w:rPr>
                <w:b w:val="0"/>
                <w:bCs/>
                <w:color w:val="auto"/>
                <w:szCs w:val="20"/>
              </w:rPr>
              <w:t xml:space="preserve"> 8(2)</w:t>
            </w:r>
            <w:r w:rsidR="00024640">
              <w:rPr>
                <w:rStyle w:val="FootnoteReference"/>
                <w:b w:val="0"/>
                <w:color w:val="auto"/>
                <w:szCs w:val="20"/>
              </w:rPr>
              <w:footnoteReference w:id="108"/>
            </w:r>
          </w:p>
        </w:tc>
        <w:tc>
          <w:tcPr>
            <w:tcW w:w="2873" w:type="pct"/>
          </w:tcPr>
          <w:p w14:paraId="28FBEC82" w14:textId="2ED46B41" w:rsidR="00694FE1" w:rsidRPr="00A30CB8" w:rsidRDefault="00694FE1">
            <w:pPr>
              <w:spacing w:before="0"/>
              <w:cnfStyle w:val="000000000000" w:firstRow="0" w:lastRow="0" w:firstColumn="0" w:lastColumn="0" w:oddVBand="0" w:evenVBand="0" w:oddHBand="0" w:evenHBand="0" w:firstRowFirstColumn="0" w:firstRowLastColumn="0" w:lastRowFirstColumn="0" w:lastRowLastColumn="0"/>
              <w:rPr>
                <w:b/>
                <w:color w:val="auto"/>
                <w:szCs w:val="20"/>
              </w:rPr>
            </w:pPr>
            <w:r w:rsidRPr="00A30CB8">
              <w:rPr>
                <w:b/>
                <w:color w:val="auto"/>
                <w:szCs w:val="20"/>
              </w:rPr>
              <w:t>Application for an AIP</w:t>
            </w:r>
          </w:p>
          <w:p w14:paraId="6DCC4B37" w14:textId="7F6D32EF" w:rsidR="00255BC8" w:rsidRDefault="00A42D2B">
            <w:pPr>
              <w:spacing w:before="0"/>
              <w:cnfStyle w:val="000000000000" w:firstRow="0" w:lastRow="0" w:firstColumn="0" w:lastColumn="0" w:oddVBand="0" w:evenVBand="0" w:oddHBand="0" w:evenHBand="0" w:firstRowFirstColumn="0" w:firstRowLastColumn="0" w:lastRowFirstColumn="0" w:lastRowLastColumn="0"/>
              <w:rPr>
                <w:color w:val="auto"/>
                <w:szCs w:val="20"/>
              </w:rPr>
            </w:pPr>
            <w:r>
              <w:rPr>
                <w:color w:val="auto"/>
                <w:szCs w:val="20"/>
              </w:rPr>
              <w:t>(</w:t>
            </w:r>
            <w:r w:rsidR="00FB2432">
              <w:rPr>
                <w:color w:val="auto"/>
                <w:szCs w:val="20"/>
              </w:rPr>
              <w:t>a</w:t>
            </w:r>
            <w:r>
              <w:rPr>
                <w:color w:val="auto"/>
                <w:szCs w:val="20"/>
              </w:rPr>
              <w:t xml:space="preserve">) </w:t>
            </w:r>
            <w:r w:rsidRPr="00A42D2B">
              <w:rPr>
                <w:color w:val="auto"/>
                <w:szCs w:val="20"/>
              </w:rPr>
              <w:t>to use particular land or premises as a private hospital or day procedure centre</w:t>
            </w:r>
          </w:p>
          <w:p w14:paraId="2315514E" w14:textId="45601691" w:rsidR="00FB2432" w:rsidRPr="00A30CB8" w:rsidRDefault="00FB2432" w:rsidP="00FB2432">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A30CB8">
              <w:rPr>
                <w:color w:val="auto"/>
                <w:szCs w:val="20"/>
              </w:rPr>
              <w:t>(</w:t>
            </w:r>
            <w:r>
              <w:rPr>
                <w:color w:val="auto"/>
                <w:szCs w:val="20"/>
              </w:rPr>
              <w:t>b</w:t>
            </w:r>
            <w:r w:rsidRPr="00A30CB8">
              <w:rPr>
                <w:color w:val="auto"/>
                <w:szCs w:val="20"/>
              </w:rPr>
              <w:t>) to construct premises for use as a private hospital</w:t>
            </w:r>
          </w:p>
          <w:p w14:paraId="01776AB9" w14:textId="40D5894A" w:rsidR="00694FE1" w:rsidRPr="00A30CB8"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A30CB8">
              <w:rPr>
                <w:color w:val="auto"/>
                <w:szCs w:val="20"/>
              </w:rPr>
              <w:t>(</w:t>
            </w:r>
            <w:r w:rsidR="00255BC8">
              <w:rPr>
                <w:color w:val="auto"/>
                <w:szCs w:val="20"/>
              </w:rPr>
              <w:t>c</w:t>
            </w:r>
            <w:r w:rsidRPr="00A30CB8">
              <w:rPr>
                <w:color w:val="auto"/>
                <w:szCs w:val="20"/>
              </w:rPr>
              <w:t>) to make alterations or extensions to a premises used or proposed to be used as a private hospital</w:t>
            </w:r>
          </w:p>
          <w:p w14:paraId="5D45EA1C" w14:textId="1B1A5C12" w:rsidR="00694FE1" w:rsidRPr="00A30CB8"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A30CB8">
              <w:rPr>
                <w:color w:val="auto"/>
                <w:szCs w:val="20"/>
              </w:rPr>
              <w:t>(</w:t>
            </w:r>
            <w:r w:rsidR="00255BC8">
              <w:rPr>
                <w:color w:val="auto"/>
                <w:szCs w:val="20"/>
              </w:rPr>
              <w:t>d</w:t>
            </w:r>
            <w:r w:rsidRPr="00A30CB8">
              <w:rPr>
                <w:color w:val="auto"/>
                <w:szCs w:val="20"/>
              </w:rPr>
              <w:t xml:space="preserve">) to construct premises for use as a day procedure centre </w:t>
            </w:r>
          </w:p>
          <w:p w14:paraId="5E332922" w14:textId="286E61BD" w:rsidR="00694FE1" w:rsidRPr="00A30CB8"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A30CB8">
              <w:rPr>
                <w:color w:val="auto"/>
                <w:szCs w:val="20"/>
              </w:rPr>
              <w:lastRenderedPageBreak/>
              <w:t>(</w:t>
            </w:r>
            <w:r w:rsidR="00255BC8">
              <w:rPr>
                <w:color w:val="auto"/>
                <w:szCs w:val="20"/>
              </w:rPr>
              <w:t>e</w:t>
            </w:r>
            <w:r w:rsidRPr="00A30CB8">
              <w:rPr>
                <w:color w:val="auto"/>
                <w:szCs w:val="20"/>
              </w:rPr>
              <w:t>) to make alterations or extensions to a premises used or proposed to be used as a day procedure centre</w:t>
            </w:r>
          </w:p>
          <w:p w14:paraId="6BBDF768" w14:textId="254B5A6B" w:rsidR="00694FE1" w:rsidRPr="00A30CB8"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A30CB8">
              <w:rPr>
                <w:color w:val="auto"/>
                <w:szCs w:val="20"/>
              </w:rPr>
              <w:t>(</w:t>
            </w:r>
            <w:r w:rsidR="00255BC8">
              <w:rPr>
                <w:color w:val="auto"/>
                <w:szCs w:val="20"/>
              </w:rPr>
              <w:t>f</w:t>
            </w:r>
            <w:r w:rsidRPr="00A30CB8">
              <w:rPr>
                <w:color w:val="auto"/>
                <w:szCs w:val="20"/>
              </w:rPr>
              <w:t>) to use premises as a health service establishment from which health services are to be provided at premises other than the first-mentioned premises</w:t>
            </w:r>
          </w:p>
          <w:p w14:paraId="71C94CDC" w14:textId="48C6DA70" w:rsidR="00694FE1" w:rsidRPr="00A30CB8"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A30CB8">
              <w:rPr>
                <w:color w:val="auto"/>
                <w:szCs w:val="20"/>
              </w:rPr>
              <w:t>(</w:t>
            </w:r>
            <w:r w:rsidR="00255BC8">
              <w:rPr>
                <w:color w:val="auto"/>
                <w:szCs w:val="20"/>
              </w:rPr>
              <w:t>g</w:t>
            </w:r>
            <w:r w:rsidRPr="00A30CB8">
              <w:rPr>
                <w:color w:val="auto"/>
                <w:szCs w:val="20"/>
              </w:rPr>
              <w:t>) to vary the registration of a health service establishment</w:t>
            </w:r>
          </w:p>
        </w:tc>
        <w:tc>
          <w:tcPr>
            <w:tcW w:w="1420" w:type="pct"/>
          </w:tcPr>
          <w:p w14:paraId="52968C55"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lastRenderedPageBreak/>
              <w:t>Decide whether to grant or refuse an application for an AIP in accordance with prescribed criteria</w:t>
            </w:r>
          </w:p>
        </w:tc>
      </w:tr>
      <w:tr w:rsidR="00694FE1" w:rsidRPr="005E5220" w14:paraId="2EED1383" w14:textId="77777777">
        <w:trPr>
          <w:trHeight w:val="787"/>
        </w:trPr>
        <w:tc>
          <w:tcPr>
            <w:cnfStyle w:val="001000000000" w:firstRow="0" w:lastRow="0" w:firstColumn="1" w:lastColumn="0" w:oddVBand="0" w:evenVBand="0" w:oddHBand="0" w:evenHBand="0" w:firstRowFirstColumn="0" w:firstRowLastColumn="0" w:lastRowFirstColumn="0" w:lastRowLastColumn="0"/>
            <w:tcW w:w="707" w:type="pct"/>
          </w:tcPr>
          <w:p w14:paraId="30B2553E" w14:textId="19BD39A8" w:rsidR="00694FE1" w:rsidRPr="000A7570" w:rsidRDefault="005036D0">
            <w:pPr>
              <w:spacing w:before="0"/>
              <w:rPr>
                <w:b w:val="0"/>
                <w:bCs/>
                <w:color w:val="auto"/>
                <w:szCs w:val="20"/>
              </w:rPr>
            </w:pPr>
            <w:r w:rsidRPr="000A7570">
              <w:rPr>
                <w:b w:val="0"/>
                <w:bCs/>
                <w:color w:val="auto"/>
                <w:szCs w:val="20"/>
              </w:rPr>
              <w:t>reg</w:t>
            </w:r>
            <w:r w:rsidR="00694FE1" w:rsidRPr="000A7570">
              <w:rPr>
                <w:b w:val="0"/>
                <w:bCs/>
                <w:color w:val="auto"/>
                <w:szCs w:val="20"/>
              </w:rPr>
              <w:t xml:space="preserve"> 9(b)</w:t>
            </w:r>
          </w:p>
        </w:tc>
        <w:tc>
          <w:tcPr>
            <w:tcW w:w="2873" w:type="pct"/>
          </w:tcPr>
          <w:p w14:paraId="447CF52E"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b/>
                <w:color w:val="auto"/>
                <w:szCs w:val="20"/>
              </w:rPr>
            </w:pPr>
            <w:r w:rsidRPr="00377D71">
              <w:rPr>
                <w:b/>
                <w:color w:val="auto"/>
                <w:szCs w:val="20"/>
              </w:rPr>
              <w:t>Application for transfer or variation of certificate of AIP</w:t>
            </w:r>
          </w:p>
        </w:tc>
        <w:tc>
          <w:tcPr>
            <w:tcW w:w="1420" w:type="pct"/>
          </w:tcPr>
          <w:p w14:paraId="08D6AE65"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Decide whether to grant or refuse an application for transfer or variation of AIP certificate in accordance with prescribed criteria</w:t>
            </w:r>
          </w:p>
        </w:tc>
      </w:tr>
      <w:tr w:rsidR="00694FE1" w:rsidRPr="005E5220" w14:paraId="51F862EB" w14:textId="77777777">
        <w:trPr>
          <w:trHeight w:val="22"/>
        </w:trPr>
        <w:tc>
          <w:tcPr>
            <w:cnfStyle w:val="001000000000" w:firstRow="0" w:lastRow="0" w:firstColumn="1" w:lastColumn="0" w:oddVBand="0" w:evenVBand="0" w:oddHBand="0" w:evenHBand="0" w:firstRowFirstColumn="0" w:firstRowLastColumn="0" w:lastRowFirstColumn="0" w:lastRowLastColumn="0"/>
            <w:tcW w:w="5000" w:type="pct"/>
            <w:gridSpan w:val="3"/>
          </w:tcPr>
          <w:p w14:paraId="5812529E" w14:textId="77777777" w:rsidR="00694FE1" w:rsidRPr="00377D71" w:rsidRDefault="00694FE1">
            <w:pPr>
              <w:spacing w:before="0"/>
              <w:rPr>
                <w:color w:val="auto"/>
                <w:szCs w:val="20"/>
              </w:rPr>
            </w:pPr>
            <w:r w:rsidRPr="00377D71">
              <w:rPr>
                <w:color w:val="auto"/>
                <w:szCs w:val="20"/>
              </w:rPr>
              <w:t>Registration</w:t>
            </w:r>
          </w:p>
        </w:tc>
      </w:tr>
      <w:tr w:rsidR="00694FE1" w:rsidRPr="005E5220" w14:paraId="29A35CC5" w14:textId="77777777">
        <w:tc>
          <w:tcPr>
            <w:cnfStyle w:val="001000000000" w:firstRow="0" w:lastRow="0" w:firstColumn="1" w:lastColumn="0" w:oddVBand="0" w:evenVBand="0" w:oddHBand="0" w:evenHBand="0" w:firstRowFirstColumn="0" w:firstRowLastColumn="0" w:lastRowFirstColumn="0" w:lastRowLastColumn="0"/>
            <w:tcW w:w="707" w:type="pct"/>
          </w:tcPr>
          <w:p w14:paraId="40F7C450" w14:textId="1F2A9F09" w:rsidR="00694FE1" w:rsidRPr="000A7570" w:rsidRDefault="005036D0">
            <w:pPr>
              <w:spacing w:before="0"/>
              <w:rPr>
                <w:b w:val="0"/>
                <w:bCs/>
                <w:color w:val="auto"/>
                <w:szCs w:val="20"/>
              </w:rPr>
            </w:pPr>
            <w:r w:rsidRPr="000A7570">
              <w:rPr>
                <w:b w:val="0"/>
                <w:bCs/>
                <w:color w:val="auto"/>
                <w:szCs w:val="20"/>
              </w:rPr>
              <w:t>reg</w:t>
            </w:r>
            <w:r w:rsidR="00694FE1" w:rsidRPr="000A7570">
              <w:rPr>
                <w:b w:val="0"/>
                <w:bCs/>
                <w:color w:val="auto"/>
                <w:szCs w:val="20"/>
              </w:rPr>
              <w:t xml:space="preserve"> 10(2)</w:t>
            </w:r>
          </w:p>
        </w:tc>
        <w:tc>
          <w:tcPr>
            <w:tcW w:w="2873" w:type="pct"/>
          </w:tcPr>
          <w:p w14:paraId="7C32FCF6"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b/>
                <w:color w:val="auto"/>
                <w:szCs w:val="20"/>
              </w:rPr>
            </w:pPr>
            <w:r w:rsidRPr="00377D71">
              <w:rPr>
                <w:b/>
                <w:color w:val="auto"/>
                <w:szCs w:val="20"/>
              </w:rPr>
              <w:t>Application for registration</w:t>
            </w:r>
          </w:p>
          <w:p w14:paraId="4B1F69A5"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(a) for a HSE with 0 to 26 beds</w:t>
            </w:r>
          </w:p>
          <w:p w14:paraId="0F24B796"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(b) for a HSE with 27 to 50 beds</w:t>
            </w:r>
          </w:p>
          <w:p w14:paraId="0EA3A467"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(c) for a HSE with 51 to 75 beds</w:t>
            </w:r>
          </w:p>
          <w:p w14:paraId="36E6ABA8"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(d) for a HSE with 76 to 100 beds</w:t>
            </w:r>
          </w:p>
          <w:p w14:paraId="4A541443"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(e) for a HSE with 101 to 150 beds</w:t>
            </w:r>
          </w:p>
          <w:p w14:paraId="169A2C14"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(f) for a HSE with 151 to 200 beds</w:t>
            </w:r>
          </w:p>
          <w:p w14:paraId="3399B7A9"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(g) for a HSE with 201 to 300 beds</w:t>
            </w:r>
          </w:p>
          <w:p w14:paraId="2B27914F"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 xml:space="preserve">(h) for a HSE with 301 to 400 beds </w:t>
            </w:r>
          </w:p>
          <w:p w14:paraId="27FE3F0B"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(i) for a HSE with 401 to 500 beds</w:t>
            </w:r>
          </w:p>
          <w:p w14:paraId="5FC55D70"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(j) for a HSE with 501 or more beds</w:t>
            </w:r>
          </w:p>
        </w:tc>
        <w:tc>
          <w:tcPr>
            <w:tcW w:w="1420" w:type="pct"/>
          </w:tcPr>
          <w:p w14:paraId="319E86BA"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Decide whether to register or refuse to register premises as HSE in accordance with prescribed criteria</w:t>
            </w:r>
          </w:p>
        </w:tc>
      </w:tr>
      <w:tr w:rsidR="00694FE1" w:rsidRPr="005E5220" w14:paraId="2605FF9D" w14:textId="77777777">
        <w:tc>
          <w:tcPr>
            <w:cnfStyle w:val="001000000000" w:firstRow="0" w:lastRow="0" w:firstColumn="1" w:lastColumn="0" w:oddVBand="0" w:evenVBand="0" w:oddHBand="0" w:evenHBand="0" w:firstRowFirstColumn="0" w:firstRowLastColumn="0" w:lastRowFirstColumn="0" w:lastRowLastColumn="0"/>
            <w:tcW w:w="707" w:type="pct"/>
          </w:tcPr>
          <w:p w14:paraId="7B2ACB2D" w14:textId="6825DDCB" w:rsidR="00694FE1" w:rsidRPr="000A7570" w:rsidRDefault="005036D0">
            <w:pPr>
              <w:spacing w:before="0"/>
              <w:rPr>
                <w:b w:val="0"/>
                <w:bCs/>
                <w:color w:val="auto"/>
                <w:szCs w:val="20"/>
              </w:rPr>
            </w:pPr>
            <w:r w:rsidRPr="000A7570">
              <w:rPr>
                <w:b w:val="0"/>
                <w:bCs/>
                <w:color w:val="auto"/>
                <w:szCs w:val="20"/>
              </w:rPr>
              <w:t>reg</w:t>
            </w:r>
            <w:r w:rsidR="00694FE1" w:rsidRPr="000A7570">
              <w:rPr>
                <w:b w:val="0"/>
                <w:bCs/>
                <w:color w:val="auto"/>
                <w:szCs w:val="20"/>
              </w:rPr>
              <w:t xml:space="preserve"> 12(2)</w:t>
            </w:r>
          </w:p>
        </w:tc>
        <w:tc>
          <w:tcPr>
            <w:tcW w:w="2873" w:type="pct"/>
          </w:tcPr>
          <w:p w14:paraId="33C186D8"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b/>
                <w:color w:val="auto"/>
                <w:szCs w:val="20"/>
              </w:rPr>
            </w:pPr>
            <w:r w:rsidRPr="00377D71">
              <w:rPr>
                <w:b/>
                <w:color w:val="auto"/>
                <w:szCs w:val="20"/>
              </w:rPr>
              <w:t>Application for renewal of registration</w:t>
            </w:r>
          </w:p>
          <w:p w14:paraId="225ECBEF"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(a) for a HSE with 0 to 26 beds</w:t>
            </w:r>
          </w:p>
          <w:p w14:paraId="29C263E5"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(b) for a HSE with 27 to 50 beds</w:t>
            </w:r>
          </w:p>
          <w:p w14:paraId="217F1A64"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(c) for a HSE with 51 to 75 beds</w:t>
            </w:r>
          </w:p>
          <w:p w14:paraId="24242BC5"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(d) for a HSE with 76 to 100 beds</w:t>
            </w:r>
          </w:p>
          <w:p w14:paraId="1AAFFC4F"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(e) for a HSE with 101 to 150 beds</w:t>
            </w:r>
          </w:p>
          <w:p w14:paraId="6C6F3112"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(f) for a HSE with 151 to 200 beds</w:t>
            </w:r>
          </w:p>
          <w:p w14:paraId="00BA7F99"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(g) for a HSE with 201 to 300 beds</w:t>
            </w:r>
          </w:p>
          <w:p w14:paraId="0DBDAE08"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 xml:space="preserve">(h) for a HSE with 301 to 400 beds </w:t>
            </w:r>
          </w:p>
          <w:p w14:paraId="40CA2B25"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(i) for a HSE with 401 to 500 beds</w:t>
            </w:r>
          </w:p>
          <w:p w14:paraId="26E5FF4D"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(j) for a HSE with 501 or more beds</w:t>
            </w:r>
          </w:p>
        </w:tc>
        <w:tc>
          <w:tcPr>
            <w:tcW w:w="1420" w:type="pct"/>
          </w:tcPr>
          <w:p w14:paraId="607FE877"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Decide whether to renew registration or refuse to renew registration in accordance with prescribed criteria</w:t>
            </w:r>
          </w:p>
        </w:tc>
      </w:tr>
      <w:tr w:rsidR="00694FE1" w:rsidRPr="005E5220" w14:paraId="3EBE5A9D" w14:textId="77777777">
        <w:tc>
          <w:tcPr>
            <w:cnfStyle w:val="001000000000" w:firstRow="0" w:lastRow="0" w:firstColumn="1" w:lastColumn="0" w:oddVBand="0" w:evenVBand="0" w:oddHBand="0" w:evenHBand="0" w:firstRowFirstColumn="0" w:firstRowLastColumn="0" w:lastRowFirstColumn="0" w:lastRowLastColumn="0"/>
            <w:tcW w:w="707" w:type="pct"/>
          </w:tcPr>
          <w:p w14:paraId="4F2BF078" w14:textId="0BC35823" w:rsidR="00694FE1" w:rsidRPr="000A7570" w:rsidRDefault="005036D0">
            <w:pPr>
              <w:spacing w:before="0"/>
              <w:rPr>
                <w:b w:val="0"/>
                <w:bCs/>
                <w:color w:val="auto"/>
                <w:szCs w:val="20"/>
              </w:rPr>
            </w:pPr>
            <w:r w:rsidRPr="000A7570">
              <w:rPr>
                <w:b w:val="0"/>
                <w:bCs/>
                <w:color w:val="auto"/>
                <w:szCs w:val="20"/>
              </w:rPr>
              <w:t>reg</w:t>
            </w:r>
            <w:r w:rsidR="00694FE1" w:rsidRPr="000A7570">
              <w:rPr>
                <w:b w:val="0"/>
                <w:bCs/>
                <w:color w:val="auto"/>
                <w:szCs w:val="20"/>
              </w:rPr>
              <w:t xml:space="preserve"> 13(2)</w:t>
            </w:r>
          </w:p>
        </w:tc>
        <w:tc>
          <w:tcPr>
            <w:tcW w:w="2873" w:type="pct"/>
          </w:tcPr>
          <w:p w14:paraId="63B4FB8A"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b/>
                <w:color w:val="auto"/>
                <w:szCs w:val="20"/>
              </w:rPr>
            </w:pPr>
            <w:r w:rsidRPr="00377D71">
              <w:rPr>
                <w:b/>
                <w:color w:val="auto"/>
                <w:szCs w:val="20"/>
              </w:rPr>
              <w:t>Application for variation of registration</w:t>
            </w:r>
          </w:p>
          <w:p w14:paraId="3122D611"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(a) for the transfer of the certificate to another person who intends to become the proprietor</w:t>
            </w:r>
          </w:p>
          <w:p w14:paraId="207B2A76"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b/>
                <w:bCs/>
                <w:color w:val="auto"/>
                <w:szCs w:val="20"/>
              </w:rPr>
            </w:pPr>
            <w:r w:rsidRPr="00377D71">
              <w:rPr>
                <w:color w:val="auto"/>
                <w:szCs w:val="20"/>
              </w:rPr>
              <w:t>(b) for any other case</w:t>
            </w:r>
          </w:p>
        </w:tc>
        <w:tc>
          <w:tcPr>
            <w:tcW w:w="1420" w:type="pct"/>
          </w:tcPr>
          <w:p w14:paraId="3018B401" w14:textId="77777777" w:rsidR="00694FE1" w:rsidRPr="00377D71" w:rsidRDefault="00694FE1">
            <w:pPr>
              <w:spacing w:before="0"/>
              <w:cnfStyle w:val="000000000000" w:firstRow="0" w:lastRow="0" w:firstColumn="0" w:lastColumn="0" w:oddVBand="0" w:evenVBand="0" w:oddHBand="0" w:evenHBand="0" w:firstRowFirstColumn="0" w:firstRowLastColumn="0" w:lastRowFirstColumn="0" w:lastRowLastColumn="0"/>
              <w:rPr>
                <w:color w:val="auto"/>
                <w:szCs w:val="20"/>
              </w:rPr>
            </w:pPr>
            <w:r w:rsidRPr="00377D71">
              <w:rPr>
                <w:color w:val="auto"/>
                <w:szCs w:val="20"/>
              </w:rPr>
              <w:t>Decide whether to vary or refuse to vary registration in accordance with prescribed criteria</w:t>
            </w:r>
          </w:p>
        </w:tc>
      </w:tr>
    </w:tbl>
    <w:bookmarkEnd w:id="276"/>
    <w:p w14:paraId="27A7011E" w14:textId="77777777" w:rsidR="00694FE1" w:rsidRPr="005E5220" w:rsidRDefault="00694FE1" w:rsidP="00694FE1">
      <w:pPr>
        <w:pStyle w:val="Heading7"/>
      </w:pPr>
      <w:r w:rsidRPr="005E5220">
        <w:lastRenderedPageBreak/>
        <w:t>Estimating costs</w:t>
      </w:r>
    </w:p>
    <w:p w14:paraId="4CE2ABB2" w14:textId="1E814661" w:rsidR="00694FE1" w:rsidRPr="005E5220" w:rsidRDefault="00694FE1" w:rsidP="00694FE1">
      <w:r>
        <w:t>Direct costs are incurred exclusively for specific activities and can be specifically attributed to specific activities. The department’s direct costs of undert</w:t>
      </w:r>
      <w:r w:rsidRPr="005E5220">
        <w:t>aking the activities set out in</w:t>
      </w:r>
      <w:r w:rsidR="00BD237D">
        <w:t xml:space="preserve"> Table 10</w:t>
      </w:r>
      <w:r w:rsidRPr="005E5220">
        <w:t xml:space="preserve"> were estimated using an activity-based costing method. This involved, for each activity:</w:t>
      </w:r>
    </w:p>
    <w:p w14:paraId="2EE1B6AA" w14:textId="77777777" w:rsidR="00694FE1" w:rsidRPr="005E5220" w:rsidRDefault="00694FE1" w:rsidP="00694FE1">
      <w:pPr>
        <w:pStyle w:val="ListParagraph"/>
        <w:numPr>
          <w:ilvl w:val="0"/>
          <w:numId w:val="137"/>
        </w:numPr>
      </w:pPr>
      <w:r>
        <w:t>i</w:t>
      </w:r>
      <w:r w:rsidRPr="005E5220">
        <w:t>dentifying the tasks required to be undertaken</w:t>
      </w:r>
    </w:p>
    <w:p w14:paraId="242959EC" w14:textId="77777777" w:rsidR="00694FE1" w:rsidRPr="005E5220" w:rsidRDefault="00694FE1" w:rsidP="00694FE1">
      <w:pPr>
        <w:pStyle w:val="ListParagraph"/>
        <w:numPr>
          <w:ilvl w:val="0"/>
          <w:numId w:val="137"/>
        </w:numPr>
      </w:pPr>
      <w:r>
        <w:t>e</w:t>
      </w:r>
      <w:r w:rsidRPr="005E5220">
        <w:t>stimate of time for each activity based on the department’s expectation of performance, drawing on current and historical experience</w:t>
      </w:r>
    </w:p>
    <w:p w14:paraId="616B751E" w14:textId="77777777" w:rsidR="00694FE1" w:rsidRDefault="00694FE1" w:rsidP="00694FE1">
      <w:pPr>
        <w:pStyle w:val="ListParagraph"/>
        <w:numPr>
          <w:ilvl w:val="0"/>
          <w:numId w:val="137"/>
        </w:numPr>
      </w:pPr>
      <w:r>
        <w:t>i</w:t>
      </w:r>
      <w:r w:rsidRPr="005E5220">
        <w:t>dentifying the cost per hour for undertaking each activity, drawing on VPS salary grades of the person(s) undertaking the task or contracted rates for external suppliers</w:t>
      </w:r>
    </w:p>
    <w:p w14:paraId="7278FD8D" w14:textId="77777777" w:rsidR="00694FE1" w:rsidRDefault="00694FE1" w:rsidP="00694FE1">
      <w:pPr>
        <w:pStyle w:val="ListParagraph"/>
        <w:numPr>
          <w:ilvl w:val="0"/>
          <w:numId w:val="137"/>
        </w:numPr>
      </w:pPr>
      <w:r>
        <w:t>c</w:t>
      </w:r>
      <w:r w:rsidRPr="005E5220">
        <w:t>alculating the sum of the</w:t>
      </w:r>
      <w:r>
        <w:t xml:space="preserve"> cost of tasks to give the total cost of undertaking an activity.</w:t>
      </w:r>
    </w:p>
    <w:p w14:paraId="0BF2580E" w14:textId="0C0612FA" w:rsidR="003C3BF3" w:rsidRDefault="003C3BF3" w:rsidP="003C3BF3">
      <w:r>
        <w:t>Detail on the estimation of direct costs is provided in Appendix A.</w:t>
      </w:r>
    </w:p>
    <w:p w14:paraId="26A3FB84" w14:textId="08706552" w:rsidR="00694FE1" w:rsidRDefault="00694FE1" w:rsidP="00694FE1">
      <w:r>
        <w:t xml:space="preserve">The department also incurs fixed costs in undertaking its regulatory activities, which are less able to be attributed to specific activities. </w:t>
      </w:r>
      <w:r w:rsidR="006071DF">
        <w:t xml:space="preserve">The estimate of fixed costs for 2024-25 is </w:t>
      </w:r>
      <w:r w:rsidR="00D82F27">
        <w:t>$1</w:t>
      </w:r>
      <w:r w:rsidR="007F1EE9">
        <w:t>58,471</w:t>
      </w:r>
      <w:r w:rsidR="00D82F27">
        <w:t xml:space="preserve">. </w:t>
      </w:r>
      <w:r>
        <w:t xml:space="preserve">These include staff costs associated with development of policy and guidance materials, complaints and incident review and management, contract management, compliance and enforcement, website and information management, </w:t>
      </w:r>
      <w:r w:rsidR="007F1EE9">
        <w:t xml:space="preserve">oversight of high risk facilities </w:t>
      </w:r>
      <w:r>
        <w:t>and management of issues identified. These costs are included in the recoverable cost by allocating to outputs directly where possible or allocating to outputs based on proportion of costs.</w:t>
      </w:r>
    </w:p>
    <w:p w14:paraId="77E9E536" w14:textId="1F80E73A" w:rsidR="00694FE1" w:rsidRDefault="002B5D83" w:rsidP="00694FE1">
      <w:r w:rsidRPr="0053718C">
        <w:t>Table 1</w:t>
      </w:r>
      <w:r w:rsidR="004F2320">
        <w:t>1</w:t>
      </w:r>
      <w:r w:rsidR="00694FE1" w:rsidRPr="0053718C">
        <w:t xml:space="preserve"> shows</w:t>
      </w:r>
      <w:r w:rsidR="00F5345E">
        <w:t xml:space="preserve"> estimated</w:t>
      </w:r>
      <w:r w:rsidR="00694FE1" w:rsidRPr="0053718C">
        <w:t xml:space="preserve"> total costs split by direct costs and fixed costs. Total costs for the first year of the regulations, 2024-25, are expected to be $1,</w:t>
      </w:r>
      <w:r w:rsidR="00971531">
        <w:t>415</w:t>
      </w:r>
      <w:r w:rsidR="00694FE1" w:rsidRPr="0053718C">
        <w:t>,</w:t>
      </w:r>
      <w:r w:rsidR="00971531">
        <w:t>800</w:t>
      </w:r>
      <w:r w:rsidR="00694FE1" w:rsidRPr="0053718C">
        <w:t>.</w:t>
      </w:r>
      <w:r w:rsidR="00590668" w:rsidRPr="0053718C">
        <w:rPr>
          <w:rStyle w:val="FootnoteReference"/>
        </w:rPr>
        <w:footnoteReference w:id="109"/>
      </w:r>
      <w:r w:rsidR="00694FE1">
        <w:t xml:space="preserve"> </w:t>
      </w:r>
    </w:p>
    <w:p w14:paraId="630B3F87" w14:textId="2F33582A" w:rsidR="00694FE1" w:rsidRDefault="00694FE1" w:rsidP="00694FE1">
      <w:pPr>
        <w:pStyle w:val="Caption"/>
      </w:pPr>
      <w:bookmarkStart w:id="277" w:name="_Ref160609634"/>
      <w:r>
        <w:t xml:space="preserve">Table </w:t>
      </w:r>
      <w:fldSimple w:instr=" SEQ Table \* ARABIC ">
        <w:r w:rsidR="004F2320">
          <w:rPr>
            <w:noProof/>
          </w:rPr>
          <w:t>11</w:t>
        </w:r>
      </w:fldSimple>
      <w:bookmarkEnd w:id="277"/>
      <w:r>
        <w:t xml:space="preserve"> Department’s costs of regulating HSEs, $2024-25</w:t>
      </w:r>
    </w:p>
    <w:tbl>
      <w:tblPr>
        <w:tblStyle w:val="SapereTable"/>
        <w:tblW w:w="4820" w:type="dxa"/>
        <w:tblLook w:val="04A0" w:firstRow="1" w:lastRow="0" w:firstColumn="1" w:lastColumn="0" w:noHBand="0" w:noVBand="1"/>
      </w:tblPr>
      <w:tblGrid>
        <w:gridCol w:w="2977"/>
        <w:gridCol w:w="1843"/>
      </w:tblGrid>
      <w:tr w:rsidR="00694FE1" w:rsidRPr="002E07E7" w14:paraId="48AF4873" w14:textId="77777777" w:rsidTr="005D59E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41910213" w14:textId="77777777" w:rsidR="00694FE1" w:rsidRPr="003476CD" w:rsidRDefault="00694FE1">
            <w:pPr>
              <w:spacing w:before="0" w:line="240" w:lineRule="auto"/>
              <w:rPr>
                <w:rFonts w:eastAsia="Times New Roman" w:cstheme="minorHAnsi"/>
                <w:color w:val="7B5E05" w:themeColor="accent1"/>
                <w:szCs w:val="20"/>
                <w:lang w:val="en-AU" w:eastAsia="en-AU"/>
              </w:rPr>
            </w:pPr>
          </w:p>
        </w:tc>
        <w:tc>
          <w:tcPr>
            <w:tcW w:w="1843" w:type="dxa"/>
            <w:noWrap/>
            <w:hideMark/>
          </w:tcPr>
          <w:p w14:paraId="7309592F" w14:textId="77777777" w:rsidR="00694FE1" w:rsidRPr="003476CD" w:rsidRDefault="00694FE1" w:rsidP="00836785">
            <w:pPr>
              <w:spacing w:before="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7B5E05" w:themeColor="accent1"/>
                <w:szCs w:val="20"/>
                <w:lang w:val="en-AU" w:eastAsia="en-AU"/>
              </w:rPr>
            </w:pPr>
            <w:r w:rsidRPr="003476CD">
              <w:rPr>
                <w:szCs w:val="20"/>
              </w:rPr>
              <w:t>2024-25 $</w:t>
            </w:r>
          </w:p>
        </w:tc>
      </w:tr>
      <w:tr w:rsidR="00971531" w:rsidRPr="002E07E7" w14:paraId="48D15E66" w14:textId="77777777" w:rsidTr="005D59E5">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77B3EAB" w14:textId="77777777" w:rsidR="00971531" w:rsidRPr="000A7570" w:rsidRDefault="00971531" w:rsidP="00971531">
            <w:pPr>
              <w:spacing w:before="0" w:line="240" w:lineRule="auto"/>
              <w:rPr>
                <w:rFonts w:eastAsia="Times New Roman" w:cstheme="minorHAnsi"/>
                <w:b w:val="0"/>
                <w:bCs/>
                <w:color w:val="auto"/>
                <w:szCs w:val="20"/>
                <w:lang w:val="en-AU" w:eastAsia="en-AU"/>
              </w:rPr>
            </w:pPr>
            <w:r w:rsidRPr="00E9094E">
              <w:rPr>
                <w:rFonts w:eastAsia="Times New Roman" w:cstheme="minorHAnsi"/>
                <w:b w:val="0"/>
                <w:bCs/>
                <w:color w:val="auto"/>
                <w:szCs w:val="20"/>
                <w:lang w:val="en-AU" w:eastAsia="en-AU"/>
              </w:rPr>
              <w:t>Direct costs</w:t>
            </w:r>
          </w:p>
        </w:tc>
        <w:tc>
          <w:tcPr>
            <w:tcW w:w="1843" w:type="dxa"/>
            <w:noWrap/>
            <w:hideMark/>
          </w:tcPr>
          <w:p w14:paraId="1E1FE643" w14:textId="5A355841" w:rsidR="00971531" w:rsidRPr="00836785" w:rsidRDefault="00971531"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Cs w:val="20"/>
              </w:rPr>
            </w:pPr>
            <w:r w:rsidRPr="00836785">
              <w:rPr>
                <w:rFonts w:asciiTheme="majorHAnsi" w:hAnsiTheme="majorHAnsi" w:cstheme="majorHAnsi"/>
                <w:bCs/>
                <w:szCs w:val="20"/>
              </w:rPr>
              <w:t xml:space="preserve"> 1,257,329 </w:t>
            </w:r>
          </w:p>
        </w:tc>
      </w:tr>
      <w:tr w:rsidR="00971531" w:rsidRPr="002E07E7" w14:paraId="40AFB0F8" w14:textId="77777777" w:rsidTr="005D59E5">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31F4287" w14:textId="77777777" w:rsidR="00971531" w:rsidRPr="000A7570" w:rsidRDefault="00971531" w:rsidP="00971531">
            <w:pPr>
              <w:spacing w:before="0" w:line="240" w:lineRule="auto"/>
              <w:rPr>
                <w:rFonts w:eastAsia="Times New Roman" w:cstheme="minorHAnsi"/>
                <w:b w:val="0"/>
                <w:bCs/>
                <w:color w:val="auto"/>
                <w:szCs w:val="20"/>
                <w:lang w:val="en-AU" w:eastAsia="en-AU"/>
              </w:rPr>
            </w:pPr>
            <w:r w:rsidRPr="00E9094E">
              <w:rPr>
                <w:rFonts w:eastAsia="Times New Roman" w:cstheme="minorHAnsi"/>
                <w:b w:val="0"/>
                <w:bCs/>
                <w:color w:val="auto"/>
                <w:szCs w:val="20"/>
                <w:lang w:val="en-AU" w:eastAsia="en-AU"/>
              </w:rPr>
              <w:t>Fixed costs</w:t>
            </w:r>
          </w:p>
        </w:tc>
        <w:tc>
          <w:tcPr>
            <w:tcW w:w="1843" w:type="dxa"/>
            <w:noWrap/>
            <w:hideMark/>
          </w:tcPr>
          <w:p w14:paraId="0147F5DC" w14:textId="4B87A8C7" w:rsidR="00971531" w:rsidRPr="00836785" w:rsidRDefault="00971531"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szCs w:val="20"/>
              </w:rPr>
            </w:pPr>
            <w:r w:rsidRPr="00836785">
              <w:rPr>
                <w:rFonts w:asciiTheme="majorHAnsi" w:hAnsiTheme="majorHAnsi" w:cstheme="majorHAnsi"/>
                <w:bCs/>
                <w:szCs w:val="20"/>
              </w:rPr>
              <w:t xml:space="preserve"> 158,471 </w:t>
            </w:r>
          </w:p>
        </w:tc>
      </w:tr>
      <w:tr w:rsidR="00971531" w:rsidRPr="003A40AD" w14:paraId="0344322E" w14:textId="77777777" w:rsidTr="005D59E5">
        <w:trPr>
          <w:trHeight w:val="29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F24EED7" w14:textId="77777777" w:rsidR="00971531" w:rsidRPr="000A7570" w:rsidRDefault="00971531" w:rsidP="00971531">
            <w:pPr>
              <w:spacing w:before="0" w:line="240" w:lineRule="auto"/>
              <w:rPr>
                <w:rFonts w:eastAsia="Times New Roman" w:cstheme="minorHAnsi"/>
                <w:color w:val="auto"/>
                <w:szCs w:val="20"/>
                <w:lang w:val="en-AU" w:eastAsia="en-AU"/>
              </w:rPr>
            </w:pPr>
            <w:r w:rsidRPr="00E9094E">
              <w:rPr>
                <w:rFonts w:eastAsia="Times New Roman" w:cstheme="minorHAnsi"/>
                <w:color w:val="auto"/>
                <w:szCs w:val="20"/>
                <w:lang w:val="en-AU" w:eastAsia="en-AU"/>
              </w:rPr>
              <w:t>Total costs</w:t>
            </w:r>
          </w:p>
        </w:tc>
        <w:tc>
          <w:tcPr>
            <w:tcW w:w="1843" w:type="dxa"/>
            <w:noWrap/>
            <w:hideMark/>
          </w:tcPr>
          <w:p w14:paraId="36EB7DC1" w14:textId="2E62BB1A" w:rsidR="00971531" w:rsidRPr="00836785" w:rsidRDefault="00971531"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Cs w:val="20"/>
              </w:rPr>
            </w:pPr>
            <w:r w:rsidRPr="00836785">
              <w:rPr>
                <w:rFonts w:asciiTheme="majorHAnsi" w:hAnsiTheme="majorHAnsi" w:cstheme="majorHAnsi"/>
                <w:b/>
                <w:szCs w:val="20"/>
              </w:rPr>
              <w:t xml:space="preserve"> 1,415,800 </w:t>
            </w:r>
          </w:p>
        </w:tc>
      </w:tr>
    </w:tbl>
    <w:p w14:paraId="6A45B2C0" w14:textId="1D947320" w:rsidR="000E06CD" w:rsidRDefault="002B5D83" w:rsidP="00694FE1">
      <w:r w:rsidRPr="003A40AD">
        <w:t xml:space="preserve">Table </w:t>
      </w:r>
      <w:r>
        <w:t>1</w:t>
      </w:r>
      <w:r w:rsidR="004F2320">
        <w:t>2</w:t>
      </w:r>
      <w:r w:rsidR="00694FE1" w:rsidRPr="003A40AD">
        <w:t xml:space="preserve"> shows </w:t>
      </w:r>
      <w:r w:rsidR="00F5345E" w:rsidRPr="003A40AD">
        <w:t xml:space="preserve">estimated </w:t>
      </w:r>
      <w:r w:rsidR="00694FE1" w:rsidRPr="003A40AD">
        <w:t>costs by output</w:t>
      </w:r>
      <w:r w:rsidR="00A27EBC" w:rsidRPr="003A40AD">
        <w:t xml:space="preserve"> (including both direct and </w:t>
      </w:r>
      <w:r w:rsidR="00D82F27" w:rsidRPr="003A40AD">
        <w:t>fixed</w:t>
      </w:r>
      <w:r w:rsidR="00A27EBC" w:rsidRPr="003A40AD">
        <w:t xml:space="preserve"> costs).</w:t>
      </w:r>
    </w:p>
    <w:p w14:paraId="1BF8452D" w14:textId="77777777" w:rsidR="000E06CD" w:rsidRDefault="000E06CD">
      <w:pPr>
        <w:spacing w:before="0" w:line="259" w:lineRule="auto"/>
      </w:pPr>
      <w:r>
        <w:br w:type="page"/>
      </w:r>
    </w:p>
    <w:p w14:paraId="6254D19C" w14:textId="77777777" w:rsidR="00694FE1" w:rsidRPr="003A40AD" w:rsidRDefault="00694FE1" w:rsidP="00694FE1"/>
    <w:p w14:paraId="0EE757C2" w14:textId="4712CE83" w:rsidR="00694FE1" w:rsidRPr="003A40AD" w:rsidRDefault="00694FE1" w:rsidP="00694FE1">
      <w:pPr>
        <w:pStyle w:val="Caption"/>
      </w:pPr>
      <w:bookmarkStart w:id="278" w:name="_Ref160609650"/>
      <w:r w:rsidRPr="003A40AD">
        <w:t xml:space="preserve">Table </w:t>
      </w:r>
      <w:fldSimple w:instr=" SEQ Table \* ARABIC ">
        <w:r w:rsidR="004F2320">
          <w:rPr>
            <w:noProof/>
          </w:rPr>
          <w:t>12</w:t>
        </w:r>
      </w:fldSimple>
      <w:bookmarkEnd w:id="278"/>
      <w:r w:rsidRPr="003A40AD">
        <w:t xml:space="preserve"> Department’s </w:t>
      </w:r>
      <w:r w:rsidR="00F5345E" w:rsidRPr="003A40AD">
        <w:t xml:space="preserve">estimated </w:t>
      </w:r>
      <w:r w:rsidRPr="003A40AD">
        <w:t>costs of regulating HSEs, by output, 2024-25</w:t>
      </w:r>
    </w:p>
    <w:tbl>
      <w:tblPr>
        <w:tblStyle w:val="SapereTable"/>
        <w:tblW w:w="5000" w:type="pct"/>
        <w:tblLayout w:type="fixed"/>
        <w:tblLook w:val="04A0" w:firstRow="1" w:lastRow="0" w:firstColumn="1" w:lastColumn="0" w:noHBand="0" w:noVBand="1"/>
      </w:tblPr>
      <w:tblGrid>
        <w:gridCol w:w="4111"/>
        <w:gridCol w:w="1843"/>
        <w:gridCol w:w="1843"/>
        <w:gridCol w:w="1229"/>
      </w:tblGrid>
      <w:tr w:rsidR="00EE2CA8" w:rsidRPr="00E87B2F" w14:paraId="5EDCBD39" w14:textId="77777777" w:rsidTr="005D59E5">
        <w:trPr>
          <w:cnfStyle w:val="100000000000" w:firstRow="1" w:lastRow="0" w:firstColumn="0" w:lastColumn="0" w:oddVBand="0" w:evenVBand="0" w:oddHBand="0" w:evenHBand="0" w:firstRowFirstColumn="0" w:firstRowLastColumn="0" w:lastRowFirstColumn="0" w:lastRowLastColumn="0"/>
          <w:trHeight w:val="640"/>
          <w:tblHeader/>
        </w:trPr>
        <w:tc>
          <w:tcPr>
            <w:cnfStyle w:val="001000000000" w:firstRow="0" w:lastRow="0" w:firstColumn="1" w:lastColumn="0" w:oddVBand="0" w:evenVBand="0" w:oddHBand="0" w:evenHBand="0" w:firstRowFirstColumn="0" w:firstRowLastColumn="0" w:lastRowFirstColumn="0" w:lastRowLastColumn="0"/>
            <w:tcW w:w="2277" w:type="pct"/>
            <w:hideMark/>
          </w:tcPr>
          <w:p w14:paraId="51A48DE5" w14:textId="77777777" w:rsidR="00B4028C" w:rsidRPr="003476CD" w:rsidRDefault="00B4028C" w:rsidP="001E347D">
            <w:pPr>
              <w:spacing w:before="0"/>
              <w:rPr>
                <w:rFonts w:asciiTheme="majorHAnsi" w:hAnsiTheme="majorHAnsi" w:cstheme="majorHAnsi"/>
                <w:szCs w:val="20"/>
              </w:rPr>
            </w:pPr>
            <w:r w:rsidRPr="003476CD">
              <w:rPr>
                <w:rFonts w:asciiTheme="majorHAnsi" w:hAnsiTheme="majorHAnsi" w:cstheme="majorHAnsi"/>
                <w:szCs w:val="20"/>
              </w:rPr>
              <w:t>Output</w:t>
            </w:r>
          </w:p>
        </w:tc>
        <w:tc>
          <w:tcPr>
            <w:tcW w:w="1021" w:type="pct"/>
            <w:hideMark/>
          </w:tcPr>
          <w:p w14:paraId="30E46A54" w14:textId="370D48E4" w:rsidR="00B4028C" w:rsidRPr="003476CD" w:rsidRDefault="00F5345E" w:rsidP="0083678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476CD">
              <w:rPr>
                <w:rFonts w:asciiTheme="majorHAnsi" w:hAnsiTheme="majorHAnsi" w:cstheme="majorHAnsi"/>
                <w:szCs w:val="20"/>
              </w:rPr>
              <w:t>Estimated c</w:t>
            </w:r>
            <w:r w:rsidR="00B4028C" w:rsidRPr="003476CD">
              <w:rPr>
                <w:rFonts w:asciiTheme="majorHAnsi" w:hAnsiTheme="majorHAnsi" w:cstheme="majorHAnsi"/>
                <w:szCs w:val="20"/>
              </w:rPr>
              <w:t>ost per application</w:t>
            </w:r>
            <w:r w:rsidR="00FB2432">
              <w:rPr>
                <w:rFonts w:asciiTheme="majorHAnsi" w:hAnsiTheme="majorHAnsi" w:cstheme="majorHAnsi"/>
                <w:szCs w:val="20"/>
              </w:rPr>
              <w:t xml:space="preserve"> $</w:t>
            </w:r>
          </w:p>
        </w:tc>
        <w:tc>
          <w:tcPr>
            <w:tcW w:w="1021" w:type="pct"/>
            <w:hideMark/>
          </w:tcPr>
          <w:p w14:paraId="45CFE4B8" w14:textId="39826297" w:rsidR="00B4028C" w:rsidRPr="003476CD" w:rsidRDefault="00F5345E" w:rsidP="0083678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476CD">
              <w:rPr>
                <w:rFonts w:asciiTheme="majorHAnsi" w:hAnsiTheme="majorHAnsi" w:cstheme="majorHAnsi"/>
                <w:szCs w:val="20"/>
              </w:rPr>
              <w:t>Forecast n</w:t>
            </w:r>
            <w:r w:rsidR="00B4028C" w:rsidRPr="003476CD">
              <w:rPr>
                <w:rFonts w:asciiTheme="majorHAnsi" w:hAnsiTheme="majorHAnsi" w:cstheme="majorHAnsi"/>
                <w:szCs w:val="20"/>
              </w:rPr>
              <w:t>umber of applications</w:t>
            </w:r>
          </w:p>
        </w:tc>
        <w:tc>
          <w:tcPr>
            <w:tcW w:w="680" w:type="pct"/>
            <w:hideMark/>
          </w:tcPr>
          <w:p w14:paraId="71A54E21" w14:textId="77777777" w:rsidR="00A30CB8" w:rsidRDefault="00B4028C" w:rsidP="0083678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Cs w:val="20"/>
              </w:rPr>
            </w:pPr>
            <w:r w:rsidRPr="003476CD">
              <w:rPr>
                <w:rFonts w:asciiTheme="majorHAnsi" w:hAnsiTheme="majorHAnsi" w:cstheme="majorHAnsi"/>
                <w:szCs w:val="20"/>
              </w:rPr>
              <w:t>Total cost</w:t>
            </w:r>
            <w:r w:rsidR="00A30CB8">
              <w:rPr>
                <w:rFonts w:asciiTheme="majorHAnsi" w:hAnsiTheme="majorHAnsi" w:cstheme="majorHAnsi"/>
                <w:szCs w:val="20"/>
              </w:rPr>
              <w:t xml:space="preserve"> </w:t>
            </w:r>
          </w:p>
          <w:p w14:paraId="53863644" w14:textId="37487460" w:rsidR="00B4028C" w:rsidRPr="003476CD" w:rsidRDefault="00A30CB8" w:rsidP="0083678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rPr>
              <w:t>$</w:t>
            </w:r>
          </w:p>
        </w:tc>
      </w:tr>
      <w:tr w:rsidR="0025444F" w:rsidRPr="0025444F" w14:paraId="1422AAD6" w14:textId="77777777" w:rsidTr="00FB2432">
        <w:trPr>
          <w:trHeight w:val="24"/>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55540A79" w14:textId="77777777" w:rsidR="00B4028C" w:rsidRPr="003476CD" w:rsidRDefault="00B4028C" w:rsidP="00EE2CA8">
            <w:pPr>
              <w:spacing w:before="0" w:line="240" w:lineRule="auto"/>
              <w:rPr>
                <w:rFonts w:asciiTheme="majorHAnsi" w:eastAsia="Times New Roman" w:hAnsiTheme="majorHAnsi" w:cstheme="majorHAnsi"/>
                <w:color w:val="auto"/>
                <w:szCs w:val="20"/>
                <w:lang w:val="en-AU" w:eastAsia="en-AU"/>
              </w:rPr>
            </w:pPr>
            <w:r w:rsidRPr="00B1771F">
              <w:rPr>
                <w:rFonts w:asciiTheme="majorHAnsi" w:eastAsia="Times New Roman" w:hAnsiTheme="majorHAnsi" w:cstheme="majorHAnsi"/>
                <w:color w:val="auto"/>
                <w:szCs w:val="20"/>
                <w:lang w:val="en-AU" w:eastAsia="en-AU"/>
              </w:rPr>
              <w:t>Approval in principle</w:t>
            </w:r>
          </w:p>
        </w:tc>
      </w:tr>
      <w:tr w:rsidR="00EE2CA8" w:rsidRPr="0025444F" w14:paraId="2F735496" w14:textId="77777777" w:rsidTr="005D59E5">
        <w:trPr>
          <w:trHeight w:val="85"/>
        </w:trPr>
        <w:tc>
          <w:tcPr>
            <w:cnfStyle w:val="001000000000" w:firstRow="0" w:lastRow="0" w:firstColumn="1" w:lastColumn="0" w:oddVBand="0" w:evenVBand="0" w:oddHBand="0" w:evenHBand="0" w:firstRowFirstColumn="0" w:firstRowLastColumn="0" w:lastRowFirstColumn="0" w:lastRowLastColumn="0"/>
            <w:tcW w:w="2277" w:type="pct"/>
            <w:hideMark/>
          </w:tcPr>
          <w:p w14:paraId="11009648" w14:textId="77777777" w:rsidR="00B4028C" w:rsidRPr="00E9094E" w:rsidRDefault="00B4028C" w:rsidP="009642E1">
            <w:pPr>
              <w:spacing w:before="0" w:line="240" w:lineRule="auto"/>
              <w:ind w:left="176"/>
              <w:rPr>
                <w:rFonts w:asciiTheme="majorHAnsi" w:eastAsia="Times New Roman" w:hAnsiTheme="majorHAnsi" w:cstheme="majorHAnsi"/>
                <w:i/>
                <w:color w:val="auto"/>
                <w:szCs w:val="20"/>
                <w:lang w:val="en-AU" w:eastAsia="en-AU"/>
              </w:rPr>
            </w:pPr>
            <w:r w:rsidRPr="00E9094E">
              <w:rPr>
                <w:rFonts w:asciiTheme="majorHAnsi" w:eastAsia="Times New Roman" w:hAnsiTheme="majorHAnsi" w:cstheme="majorHAnsi"/>
                <w:i/>
                <w:color w:val="auto"/>
                <w:szCs w:val="20"/>
                <w:lang w:val="en-AU" w:eastAsia="en-AU"/>
              </w:rPr>
              <w:t>Application for an AIP</w:t>
            </w:r>
          </w:p>
        </w:tc>
        <w:tc>
          <w:tcPr>
            <w:tcW w:w="1021" w:type="pct"/>
            <w:hideMark/>
          </w:tcPr>
          <w:p w14:paraId="5E920705" w14:textId="77777777" w:rsidR="00B4028C" w:rsidRPr="00E9094E" w:rsidRDefault="00B4028C"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auto"/>
                <w:szCs w:val="20"/>
                <w:lang w:val="en-AU" w:eastAsia="en-AU"/>
              </w:rPr>
            </w:pPr>
            <w:r w:rsidRPr="00E9094E">
              <w:rPr>
                <w:rFonts w:asciiTheme="majorHAnsi" w:eastAsia="Times New Roman" w:hAnsiTheme="majorHAnsi" w:cstheme="majorHAnsi"/>
                <w:b/>
                <w:color w:val="auto"/>
                <w:szCs w:val="20"/>
                <w:lang w:val="en-AU" w:eastAsia="en-AU"/>
              </w:rPr>
              <w:t> </w:t>
            </w:r>
          </w:p>
        </w:tc>
        <w:tc>
          <w:tcPr>
            <w:tcW w:w="1021" w:type="pct"/>
            <w:hideMark/>
          </w:tcPr>
          <w:p w14:paraId="232433DE" w14:textId="77777777" w:rsidR="00B4028C" w:rsidRPr="00E9094E" w:rsidRDefault="00B4028C"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auto"/>
                <w:szCs w:val="20"/>
                <w:lang w:val="en-AU" w:eastAsia="en-AU"/>
              </w:rPr>
            </w:pPr>
            <w:r w:rsidRPr="00E9094E">
              <w:rPr>
                <w:rFonts w:asciiTheme="majorHAnsi" w:eastAsia="Times New Roman" w:hAnsiTheme="majorHAnsi" w:cstheme="majorHAnsi"/>
                <w:b/>
                <w:color w:val="auto"/>
                <w:szCs w:val="20"/>
                <w:lang w:val="en-AU" w:eastAsia="en-AU"/>
              </w:rPr>
              <w:t> </w:t>
            </w:r>
          </w:p>
        </w:tc>
        <w:tc>
          <w:tcPr>
            <w:tcW w:w="680" w:type="pct"/>
            <w:noWrap/>
            <w:hideMark/>
          </w:tcPr>
          <w:p w14:paraId="3EE69873" w14:textId="77777777" w:rsidR="00B4028C" w:rsidRPr="00E9094E" w:rsidRDefault="00B4028C"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E9094E">
              <w:rPr>
                <w:rFonts w:asciiTheme="majorHAnsi" w:eastAsia="Times New Roman" w:hAnsiTheme="majorHAnsi" w:cstheme="majorHAnsi"/>
                <w:color w:val="auto"/>
                <w:szCs w:val="20"/>
                <w:lang w:val="en-AU" w:eastAsia="en-AU"/>
              </w:rPr>
              <w:t> </w:t>
            </w:r>
          </w:p>
        </w:tc>
      </w:tr>
      <w:tr w:rsidR="00FB2432" w:rsidRPr="0025444F" w14:paraId="0E43FB19"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tcPr>
          <w:p w14:paraId="7FCF0886" w14:textId="602A0EFB" w:rsidR="00FB2432" w:rsidRPr="005D59E5" w:rsidRDefault="00FB2432" w:rsidP="00FB2432">
            <w:pPr>
              <w:spacing w:before="0" w:line="240" w:lineRule="auto"/>
              <w:ind w:left="176"/>
              <w:rPr>
                <w:rFonts w:asciiTheme="majorHAnsi" w:eastAsia="Times New Roman" w:hAnsiTheme="majorHAnsi" w:cstheme="majorHAnsi"/>
                <w:b w:val="0"/>
                <w:bCs/>
                <w:color w:val="auto"/>
                <w:szCs w:val="20"/>
                <w:lang w:val="en-AU" w:eastAsia="en-AU"/>
              </w:rPr>
            </w:pPr>
            <w:r w:rsidRPr="00836785">
              <w:rPr>
                <w:rFonts w:asciiTheme="majorHAnsi" w:eastAsia="Times New Roman" w:hAnsiTheme="majorHAnsi" w:cstheme="majorHAnsi"/>
                <w:b w:val="0"/>
                <w:bCs/>
                <w:color w:val="auto"/>
                <w:szCs w:val="20"/>
                <w:lang w:val="en-AU" w:eastAsia="en-AU"/>
              </w:rPr>
              <w:t>(</w:t>
            </w:r>
            <w:r>
              <w:rPr>
                <w:rFonts w:asciiTheme="majorHAnsi" w:eastAsia="Times New Roman" w:hAnsiTheme="majorHAnsi" w:cstheme="majorHAnsi"/>
                <w:b w:val="0"/>
                <w:bCs/>
                <w:color w:val="auto"/>
                <w:szCs w:val="20"/>
                <w:lang w:val="en-AU" w:eastAsia="en-AU"/>
              </w:rPr>
              <w:t>a</w:t>
            </w:r>
            <w:r w:rsidRPr="00836785">
              <w:rPr>
                <w:rFonts w:asciiTheme="majorHAnsi" w:eastAsia="Times New Roman" w:hAnsiTheme="majorHAnsi" w:cstheme="majorHAnsi"/>
                <w:b w:val="0"/>
                <w:bCs/>
                <w:color w:val="auto"/>
                <w:szCs w:val="20"/>
                <w:lang w:val="en-AU" w:eastAsia="en-AU"/>
              </w:rPr>
              <w:t xml:space="preserve">) </w:t>
            </w:r>
            <w:r w:rsidRPr="007E24EA">
              <w:rPr>
                <w:rFonts w:asciiTheme="majorHAnsi" w:eastAsia="Times New Roman" w:hAnsiTheme="majorHAnsi" w:cstheme="majorHAnsi"/>
                <w:b w:val="0"/>
                <w:bCs/>
                <w:color w:val="auto"/>
                <w:szCs w:val="20"/>
                <w:lang w:val="en-AU" w:eastAsia="en-AU"/>
              </w:rPr>
              <w:t>to use particular land or premises as a private hospital or day procedure centre</w:t>
            </w:r>
          </w:p>
        </w:tc>
        <w:tc>
          <w:tcPr>
            <w:tcW w:w="1021" w:type="pct"/>
            <w:noWrap/>
          </w:tcPr>
          <w:p w14:paraId="4486FDA2" w14:textId="761469E9" w:rsidR="00FB2432" w:rsidRPr="00BD315E" w:rsidRDefault="00FB2432" w:rsidP="00FB2432">
            <w:pPr>
              <w:spacing w:before="0" w:line="240" w:lineRule="auto"/>
              <w:jc w:val="right"/>
              <w:cnfStyle w:val="000000000000" w:firstRow="0" w:lastRow="0" w:firstColumn="0" w:lastColumn="0" w:oddVBand="0" w:evenVBand="0" w:oddHBand="0" w:evenHBand="0" w:firstRowFirstColumn="0" w:firstRowLastColumn="0" w:lastRowFirstColumn="0" w:lastRowLastColumn="0"/>
            </w:pPr>
            <w:r w:rsidRPr="00C40676">
              <w:t xml:space="preserve"> 5,511 </w:t>
            </w:r>
          </w:p>
        </w:tc>
        <w:tc>
          <w:tcPr>
            <w:tcW w:w="1021" w:type="pct"/>
            <w:noWrap/>
          </w:tcPr>
          <w:p w14:paraId="09BD0619" w14:textId="083006C9" w:rsidR="00FB2432" w:rsidRPr="00BD315E" w:rsidRDefault="00FB2432" w:rsidP="00FB2432">
            <w:pPr>
              <w:spacing w:before="0" w:line="240" w:lineRule="auto"/>
              <w:jc w:val="right"/>
              <w:cnfStyle w:val="000000000000" w:firstRow="0" w:lastRow="0" w:firstColumn="0" w:lastColumn="0" w:oddVBand="0" w:evenVBand="0" w:oddHBand="0" w:evenHBand="0" w:firstRowFirstColumn="0" w:firstRowLastColumn="0" w:lastRowFirstColumn="0" w:lastRowLastColumn="0"/>
            </w:pPr>
            <w:r w:rsidRPr="00C40676">
              <w:t xml:space="preserve"> 1 </w:t>
            </w:r>
          </w:p>
        </w:tc>
        <w:tc>
          <w:tcPr>
            <w:tcW w:w="680" w:type="pct"/>
            <w:noWrap/>
          </w:tcPr>
          <w:p w14:paraId="339FA32E" w14:textId="3580F94E" w:rsidR="00FB2432" w:rsidRPr="00BD315E" w:rsidRDefault="00FB2432" w:rsidP="00FB2432">
            <w:pPr>
              <w:spacing w:before="0" w:line="240" w:lineRule="auto"/>
              <w:jc w:val="right"/>
              <w:cnfStyle w:val="000000000000" w:firstRow="0" w:lastRow="0" w:firstColumn="0" w:lastColumn="0" w:oddVBand="0" w:evenVBand="0" w:oddHBand="0" w:evenHBand="0" w:firstRowFirstColumn="0" w:firstRowLastColumn="0" w:lastRowFirstColumn="0" w:lastRowLastColumn="0"/>
            </w:pPr>
            <w:r w:rsidRPr="00C40676">
              <w:t xml:space="preserve"> 5,511 </w:t>
            </w:r>
          </w:p>
        </w:tc>
      </w:tr>
      <w:tr w:rsidR="00C864B5" w:rsidRPr="0025444F" w14:paraId="6D34A04F"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tcPr>
          <w:p w14:paraId="4910D379" w14:textId="211BF51F" w:rsidR="00C864B5" w:rsidRPr="00836785" w:rsidRDefault="00FB2432" w:rsidP="00FB2432">
            <w:pPr>
              <w:spacing w:before="0" w:line="240" w:lineRule="auto"/>
              <w:ind w:left="176"/>
              <w:rPr>
                <w:rFonts w:asciiTheme="majorHAnsi" w:eastAsia="Times New Roman" w:hAnsiTheme="majorHAnsi" w:cstheme="majorHAnsi"/>
                <w:b w:val="0"/>
                <w:bCs/>
                <w:color w:val="auto"/>
                <w:szCs w:val="20"/>
                <w:lang w:val="en-AU" w:eastAsia="en-AU"/>
              </w:rPr>
            </w:pPr>
            <w:r w:rsidRPr="00836785">
              <w:rPr>
                <w:rFonts w:asciiTheme="majorHAnsi" w:eastAsia="Times New Roman" w:hAnsiTheme="majorHAnsi" w:cstheme="majorHAnsi"/>
                <w:b w:val="0"/>
                <w:bCs/>
                <w:color w:val="auto"/>
                <w:szCs w:val="20"/>
                <w:lang w:val="en-AU" w:eastAsia="en-AU"/>
              </w:rPr>
              <w:t>(</w:t>
            </w:r>
            <w:r>
              <w:rPr>
                <w:rFonts w:asciiTheme="majorHAnsi" w:eastAsia="Times New Roman" w:hAnsiTheme="majorHAnsi" w:cstheme="majorHAnsi"/>
                <w:b w:val="0"/>
                <w:bCs/>
                <w:color w:val="auto"/>
                <w:szCs w:val="20"/>
                <w:lang w:val="en-AU" w:eastAsia="en-AU"/>
              </w:rPr>
              <w:t>b</w:t>
            </w:r>
            <w:r w:rsidRPr="00836785">
              <w:rPr>
                <w:rFonts w:asciiTheme="majorHAnsi" w:eastAsia="Times New Roman" w:hAnsiTheme="majorHAnsi" w:cstheme="majorHAnsi"/>
                <w:b w:val="0"/>
                <w:bCs/>
                <w:color w:val="auto"/>
                <w:szCs w:val="20"/>
                <w:lang w:val="en-AU" w:eastAsia="en-AU"/>
              </w:rPr>
              <w:t>) to construct premises for use as a private hospital</w:t>
            </w:r>
          </w:p>
        </w:tc>
        <w:tc>
          <w:tcPr>
            <w:tcW w:w="1021" w:type="pct"/>
            <w:noWrap/>
          </w:tcPr>
          <w:p w14:paraId="258DB11C" w14:textId="178314F9" w:rsidR="00C864B5" w:rsidRPr="00C864B5" w:rsidRDefault="00C864B5" w:rsidP="00C864B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szCs w:val="20"/>
                <w:lang w:val="en-AU" w:eastAsia="en-AU"/>
              </w:rPr>
            </w:pPr>
            <w:r w:rsidRPr="00BD315E">
              <w:t xml:space="preserve"> 5,511 </w:t>
            </w:r>
          </w:p>
        </w:tc>
        <w:tc>
          <w:tcPr>
            <w:tcW w:w="1021" w:type="pct"/>
            <w:noWrap/>
          </w:tcPr>
          <w:p w14:paraId="47D04514" w14:textId="1AC85533" w:rsidR="00C864B5" w:rsidRPr="00C864B5" w:rsidRDefault="00C864B5" w:rsidP="00C864B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szCs w:val="20"/>
                <w:lang w:val="en-AU" w:eastAsia="en-AU"/>
              </w:rPr>
            </w:pPr>
            <w:r w:rsidRPr="00BD315E">
              <w:t xml:space="preserve"> 1 </w:t>
            </w:r>
          </w:p>
        </w:tc>
        <w:tc>
          <w:tcPr>
            <w:tcW w:w="680" w:type="pct"/>
            <w:noWrap/>
          </w:tcPr>
          <w:p w14:paraId="1BF6FC2A" w14:textId="1279369C" w:rsidR="00C864B5" w:rsidRPr="00C864B5" w:rsidRDefault="00C864B5" w:rsidP="00C864B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szCs w:val="20"/>
                <w:lang w:val="en-AU" w:eastAsia="en-AU"/>
              </w:rPr>
            </w:pPr>
            <w:r w:rsidRPr="00BD315E">
              <w:t xml:space="preserve"> 5,511 </w:t>
            </w:r>
          </w:p>
        </w:tc>
      </w:tr>
      <w:tr w:rsidR="00EE2CA8" w:rsidRPr="0025444F" w14:paraId="2AB01E2F"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75642B42" w14:textId="714F54A0" w:rsidR="005C10B9" w:rsidRPr="00E9094E" w:rsidRDefault="005C10B9" w:rsidP="005C10B9">
            <w:pPr>
              <w:spacing w:before="0" w:line="240" w:lineRule="auto"/>
              <w:ind w:left="176"/>
              <w:rPr>
                <w:rFonts w:asciiTheme="majorHAnsi" w:eastAsia="Times New Roman" w:hAnsiTheme="majorHAnsi" w:cstheme="majorHAnsi"/>
                <w:b w:val="0"/>
                <w:bCs/>
                <w:color w:val="auto"/>
                <w:szCs w:val="20"/>
                <w:lang w:val="en-AU" w:eastAsia="en-AU"/>
              </w:rPr>
            </w:pPr>
            <w:r w:rsidRPr="00836785">
              <w:rPr>
                <w:rFonts w:asciiTheme="majorHAnsi" w:eastAsia="Times New Roman" w:hAnsiTheme="majorHAnsi" w:cstheme="majorHAnsi"/>
                <w:b w:val="0"/>
                <w:bCs/>
                <w:color w:val="auto"/>
                <w:szCs w:val="20"/>
                <w:lang w:val="en-AU" w:eastAsia="en-AU"/>
              </w:rPr>
              <w:t>(c) to make alterations or extensions to a premises used or proposed to be used as a private hospital</w:t>
            </w:r>
          </w:p>
        </w:tc>
        <w:tc>
          <w:tcPr>
            <w:tcW w:w="1021" w:type="pct"/>
            <w:noWrap/>
            <w:hideMark/>
          </w:tcPr>
          <w:p w14:paraId="1EDC819C" w14:textId="0B6E68AD"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5,511 </w:t>
            </w:r>
          </w:p>
        </w:tc>
        <w:tc>
          <w:tcPr>
            <w:tcW w:w="1021" w:type="pct"/>
            <w:noWrap/>
            <w:hideMark/>
          </w:tcPr>
          <w:p w14:paraId="0C64FBA4" w14:textId="25B273B7"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9 </w:t>
            </w:r>
          </w:p>
        </w:tc>
        <w:tc>
          <w:tcPr>
            <w:tcW w:w="680" w:type="pct"/>
            <w:noWrap/>
            <w:hideMark/>
          </w:tcPr>
          <w:p w14:paraId="19167E60" w14:textId="4A0DF62B"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49,595 </w:t>
            </w:r>
          </w:p>
        </w:tc>
      </w:tr>
      <w:tr w:rsidR="00EE2CA8" w:rsidRPr="0025444F" w14:paraId="3A3540C2"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48997DBB" w14:textId="14A99C6D" w:rsidR="005C10B9" w:rsidRPr="00E9094E" w:rsidRDefault="005C10B9" w:rsidP="005C10B9">
            <w:pPr>
              <w:spacing w:before="0" w:line="240" w:lineRule="auto"/>
              <w:ind w:left="176"/>
              <w:rPr>
                <w:rFonts w:asciiTheme="majorHAnsi" w:eastAsia="Times New Roman" w:hAnsiTheme="majorHAnsi" w:cstheme="majorHAnsi"/>
                <w:b w:val="0"/>
                <w:bCs/>
                <w:color w:val="auto"/>
                <w:szCs w:val="20"/>
                <w:lang w:val="en-AU" w:eastAsia="en-AU"/>
              </w:rPr>
            </w:pPr>
            <w:r w:rsidRPr="00836785">
              <w:rPr>
                <w:rFonts w:asciiTheme="majorHAnsi" w:eastAsia="Times New Roman" w:hAnsiTheme="majorHAnsi" w:cstheme="majorHAnsi"/>
                <w:b w:val="0"/>
                <w:bCs/>
                <w:color w:val="auto"/>
                <w:szCs w:val="20"/>
                <w:lang w:val="en-AU" w:eastAsia="en-AU"/>
              </w:rPr>
              <w:t>(d) to construct premises for use as a day procedure centre</w:t>
            </w:r>
          </w:p>
        </w:tc>
        <w:tc>
          <w:tcPr>
            <w:tcW w:w="1021" w:type="pct"/>
            <w:noWrap/>
            <w:hideMark/>
          </w:tcPr>
          <w:p w14:paraId="43794061" w14:textId="49E2BC0B"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5,511 </w:t>
            </w:r>
          </w:p>
        </w:tc>
        <w:tc>
          <w:tcPr>
            <w:tcW w:w="1021" w:type="pct"/>
            <w:noWrap/>
            <w:hideMark/>
          </w:tcPr>
          <w:p w14:paraId="1DA7B417" w14:textId="1A54BF8D"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3 </w:t>
            </w:r>
          </w:p>
        </w:tc>
        <w:tc>
          <w:tcPr>
            <w:tcW w:w="680" w:type="pct"/>
            <w:noWrap/>
            <w:hideMark/>
          </w:tcPr>
          <w:p w14:paraId="45B48A95" w14:textId="404537A0"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16,532 </w:t>
            </w:r>
          </w:p>
        </w:tc>
      </w:tr>
      <w:tr w:rsidR="00EE2CA8" w:rsidRPr="0025444F" w14:paraId="50ECEF76"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28022905" w14:textId="05930588" w:rsidR="005C10B9" w:rsidRPr="00E9094E" w:rsidRDefault="005C10B9" w:rsidP="005C10B9">
            <w:pPr>
              <w:spacing w:before="0" w:line="240" w:lineRule="auto"/>
              <w:ind w:left="176"/>
              <w:rPr>
                <w:rFonts w:asciiTheme="majorHAnsi" w:eastAsia="Times New Roman" w:hAnsiTheme="majorHAnsi" w:cstheme="majorHAnsi"/>
                <w:b w:val="0"/>
                <w:bCs/>
                <w:color w:val="auto"/>
                <w:szCs w:val="20"/>
                <w:lang w:val="en-AU" w:eastAsia="en-AU"/>
              </w:rPr>
            </w:pPr>
            <w:r w:rsidRPr="00836785">
              <w:rPr>
                <w:rFonts w:asciiTheme="majorHAnsi" w:eastAsia="Times New Roman" w:hAnsiTheme="majorHAnsi" w:cstheme="majorHAnsi"/>
                <w:b w:val="0"/>
                <w:bCs/>
                <w:color w:val="auto"/>
                <w:szCs w:val="20"/>
                <w:lang w:val="en-AU" w:eastAsia="en-AU"/>
              </w:rPr>
              <w:t>(e) to make alterations or extensions to a premises used or proposed to be used as a day procedure centre</w:t>
            </w:r>
          </w:p>
        </w:tc>
        <w:tc>
          <w:tcPr>
            <w:tcW w:w="1021" w:type="pct"/>
            <w:noWrap/>
            <w:hideMark/>
          </w:tcPr>
          <w:p w14:paraId="75EC76C9" w14:textId="7447D9E4"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5,511 </w:t>
            </w:r>
          </w:p>
        </w:tc>
        <w:tc>
          <w:tcPr>
            <w:tcW w:w="1021" w:type="pct"/>
            <w:noWrap/>
            <w:hideMark/>
          </w:tcPr>
          <w:p w14:paraId="0B95F249" w14:textId="037EF578"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2 </w:t>
            </w:r>
          </w:p>
        </w:tc>
        <w:tc>
          <w:tcPr>
            <w:tcW w:w="680" w:type="pct"/>
            <w:noWrap/>
            <w:hideMark/>
          </w:tcPr>
          <w:p w14:paraId="127C9857" w14:textId="389BB6F7"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11,021 </w:t>
            </w:r>
          </w:p>
        </w:tc>
      </w:tr>
      <w:tr w:rsidR="00EE2CA8" w:rsidRPr="0025444F" w14:paraId="0006AB78" w14:textId="77777777" w:rsidTr="005D59E5">
        <w:trPr>
          <w:trHeight w:val="207"/>
        </w:trPr>
        <w:tc>
          <w:tcPr>
            <w:cnfStyle w:val="001000000000" w:firstRow="0" w:lastRow="0" w:firstColumn="1" w:lastColumn="0" w:oddVBand="0" w:evenVBand="0" w:oddHBand="0" w:evenHBand="0" w:firstRowFirstColumn="0" w:firstRowLastColumn="0" w:lastRowFirstColumn="0" w:lastRowLastColumn="0"/>
            <w:tcW w:w="2277" w:type="pct"/>
            <w:hideMark/>
          </w:tcPr>
          <w:p w14:paraId="2CAB6200" w14:textId="48C6E850" w:rsidR="005C10B9" w:rsidRPr="00E9094E" w:rsidRDefault="005C10B9" w:rsidP="005C10B9">
            <w:pPr>
              <w:spacing w:before="0" w:line="240" w:lineRule="auto"/>
              <w:ind w:left="176"/>
              <w:rPr>
                <w:rFonts w:asciiTheme="majorHAnsi" w:eastAsia="Times New Roman" w:hAnsiTheme="majorHAnsi" w:cstheme="majorHAnsi"/>
                <w:b w:val="0"/>
                <w:bCs/>
                <w:color w:val="auto"/>
                <w:szCs w:val="20"/>
                <w:lang w:val="en-AU" w:eastAsia="en-AU"/>
              </w:rPr>
            </w:pPr>
            <w:r w:rsidRPr="00836785">
              <w:rPr>
                <w:rFonts w:asciiTheme="majorHAnsi" w:eastAsia="Times New Roman" w:hAnsiTheme="majorHAnsi" w:cstheme="majorHAnsi"/>
                <w:b w:val="0"/>
                <w:bCs/>
                <w:color w:val="auto"/>
                <w:szCs w:val="20"/>
                <w:lang w:val="en-AU" w:eastAsia="en-AU"/>
              </w:rPr>
              <w:t>(f) to use premises as a health service establishment from which health services are to be provided at premises other than the first-mentioned premises</w:t>
            </w:r>
          </w:p>
        </w:tc>
        <w:tc>
          <w:tcPr>
            <w:tcW w:w="1021" w:type="pct"/>
            <w:noWrap/>
            <w:hideMark/>
          </w:tcPr>
          <w:p w14:paraId="45DB7590" w14:textId="40144053"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5,511 </w:t>
            </w:r>
          </w:p>
        </w:tc>
        <w:tc>
          <w:tcPr>
            <w:tcW w:w="1021" w:type="pct"/>
            <w:noWrap/>
            <w:hideMark/>
          </w:tcPr>
          <w:p w14:paraId="0F39EDCE" w14:textId="63F48319"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3 </w:t>
            </w:r>
          </w:p>
        </w:tc>
        <w:tc>
          <w:tcPr>
            <w:tcW w:w="680" w:type="pct"/>
            <w:noWrap/>
            <w:hideMark/>
          </w:tcPr>
          <w:p w14:paraId="3C64BF2B" w14:textId="11CB22F3"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16,532 </w:t>
            </w:r>
          </w:p>
        </w:tc>
      </w:tr>
      <w:tr w:rsidR="00EE2CA8" w:rsidRPr="0025444F" w14:paraId="6BF2F416"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1AECBBB7" w14:textId="39088E9B" w:rsidR="005C10B9" w:rsidRPr="00E9094E" w:rsidRDefault="005C10B9" w:rsidP="005C10B9">
            <w:pPr>
              <w:spacing w:before="0" w:line="240" w:lineRule="auto"/>
              <w:ind w:left="176"/>
              <w:rPr>
                <w:rFonts w:asciiTheme="majorHAnsi" w:eastAsia="Times New Roman" w:hAnsiTheme="majorHAnsi" w:cstheme="majorHAnsi"/>
                <w:b w:val="0"/>
                <w:bCs/>
                <w:color w:val="auto"/>
                <w:szCs w:val="20"/>
                <w:lang w:val="en-AU" w:eastAsia="en-AU"/>
              </w:rPr>
            </w:pPr>
            <w:r w:rsidRPr="00836785">
              <w:rPr>
                <w:rFonts w:asciiTheme="majorHAnsi" w:eastAsia="Times New Roman" w:hAnsiTheme="majorHAnsi" w:cstheme="majorHAnsi"/>
                <w:b w:val="0"/>
                <w:bCs/>
                <w:color w:val="auto"/>
                <w:szCs w:val="20"/>
                <w:lang w:val="en-AU" w:eastAsia="en-AU"/>
              </w:rPr>
              <w:t>(g) to vary the registration of a health service establishment</w:t>
            </w:r>
          </w:p>
        </w:tc>
        <w:tc>
          <w:tcPr>
            <w:tcW w:w="1021" w:type="pct"/>
            <w:noWrap/>
            <w:hideMark/>
          </w:tcPr>
          <w:p w14:paraId="06EA19E7" w14:textId="1853B158"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797 </w:t>
            </w:r>
          </w:p>
        </w:tc>
        <w:tc>
          <w:tcPr>
            <w:tcW w:w="1021" w:type="pct"/>
            <w:noWrap/>
            <w:hideMark/>
          </w:tcPr>
          <w:p w14:paraId="5DF0596E" w14:textId="5DC7390F"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20 </w:t>
            </w:r>
          </w:p>
        </w:tc>
        <w:tc>
          <w:tcPr>
            <w:tcW w:w="680" w:type="pct"/>
            <w:noWrap/>
            <w:hideMark/>
          </w:tcPr>
          <w:p w14:paraId="68A3B8BC" w14:textId="3EE4E837" w:rsidR="005C10B9" w:rsidRPr="00E9094E" w:rsidRDefault="005C10B9"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836785">
              <w:rPr>
                <w:rFonts w:asciiTheme="majorHAnsi" w:eastAsia="Times New Roman" w:hAnsiTheme="majorHAnsi" w:cstheme="majorHAnsi"/>
                <w:bCs/>
                <w:szCs w:val="20"/>
                <w:lang w:val="en-AU" w:eastAsia="en-AU"/>
              </w:rPr>
              <w:t xml:space="preserve"> 15,945 </w:t>
            </w:r>
          </w:p>
        </w:tc>
      </w:tr>
      <w:tr w:rsidR="00EE2CA8" w:rsidRPr="0025444F" w14:paraId="67763332" w14:textId="77777777" w:rsidTr="005D59E5">
        <w:trPr>
          <w:trHeight w:val="263"/>
        </w:trPr>
        <w:tc>
          <w:tcPr>
            <w:cnfStyle w:val="001000000000" w:firstRow="0" w:lastRow="0" w:firstColumn="1" w:lastColumn="0" w:oddVBand="0" w:evenVBand="0" w:oddHBand="0" w:evenHBand="0" w:firstRowFirstColumn="0" w:firstRowLastColumn="0" w:lastRowFirstColumn="0" w:lastRowLastColumn="0"/>
            <w:tcW w:w="2277" w:type="pct"/>
            <w:hideMark/>
          </w:tcPr>
          <w:p w14:paraId="628AF07E" w14:textId="6EAD51CE" w:rsidR="005B786B" w:rsidRPr="00E9094E" w:rsidRDefault="005B786B" w:rsidP="005B786B">
            <w:pPr>
              <w:spacing w:before="0" w:line="240" w:lineRule="auto"/>
              <w:ind w:left="176"/>
              <w:rPr>
                <w:rFonts w:asciiTheme="majorHAnsi" w:eastAsia="Times New Roman" w:hAnsiTheme="majorHAnsi" w:cstheme="majorHAnsi"/>
                <w:b w:val="0"/>
                <w:bCs/>
                <w:i/>
                <w:color w:val="auto"/>
                <w:szCs w:val="20"/>
                <w:lang w:val="en-AU" w:eastAsia="en-AU"/>
              </w:rPr>
            </w:pPr>
            <w:r w:rsidRPr="00E9094E">
              <w:rPr>
                <w:rFonts w:asciiTheme="majorHAnsi" w:eastAsia="Times New Roman" w:hAnsiTheme="majorHAnsi" w:cstheme="majorHAnsi"/>
                <w:b w:val="0"/>
                <w:bCs/>
                <w:i/>
                <w:color w:val="auto"/>
                <w:szCs w:val="20"/>
                <w:lang w:val="en-AU" w:eastAsia="en-AU"/>
              </w:rPr>
              <w:t>Application for t</w:t>
            </w:r>
            <w:r w:rsidRPr="003800AE">
              <w:rPr>
                <w:rFonts w:asciiTheme="majorHAnsi" w:eastAsia="Times New Roman" w:hAnsiTheme="majorHAnsi" w:cstheme="majorHAnsi"/>
                <w:b w:val="0"/>
                <w:bCs/>
                <w:i/>
                <w:color w:val="auto"/>
                <w:szCs w:val="20"/>
                <w:lang w:val="en-AU" w:eastAsia="en-AU"/>
              </w:rPr>
              <w:t xml:space="preserve">ransfer or variation of certificate of </w:t>
            </w:r>
            <w:r w:rsidR="003800AE" w:rsidRPr="003800AE">
              <w:rPr>
                <w:rFonts w:asciiTheme="majorHAnsi" w:eastAsia="Times New Roman" w:hAnsiTheme="majorHAnsi" w:cstheme="majorHAnsi"/>
                <w:b w:val="0"/>
                <w:bCs/>
                <w:i/>
                <w:color w:val="auto"/>
                <w:szCs w:val="20"/>
                <w:lang w:val="en-AU" w:eastAsia="en-AU"/>
              </w:rPr>
              <w:t>A</w:t>
            </w:r>
            <w:r w:rsidR="003800AE" w:rsidRPr="005C768B">
              <w:rPr>
                <w:rFonts w:asciiTheme="majorHAnsi" w:eastAsia="Times New Roman" w:hAnsiTheme="majorHAnsi" w:cstheme="majorHAnsi"/>
                <w:b w:val="0"/>
                <w:bCs/>
                <w:color w:val="auto"/>
                <w:lang w:val="en-AU" w:eastAsia="en-AU"/>
              </w:rPr>
              <w:t>IP</w:t>
            </w:r>
          </w:p>
        </w:tc>
        <w:tc>
          <w:tcPr>
            <w:tcW w:w="1021" w:type="pct"/>
            <w:hideMark/>
          </w:tcPr>
          <w:p w14:paraId="0738FF66" w14:textId="671CE71E" w:rsidR="005B786B" w:rsidRPr="00E9094E" w:rsidRDefault="005B786B"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E9094E">
              <w:rPr>
                <w:rFonts w:asciiTheme="majorHAnsi" w:hAnsiTheme="majorHAnsi" w:cstheme="majorHAnsi"/>
                <w:bCs/>
                <w:color w:val="auto"/>
                <w:szCs w:val="20"/>
              </w:rPr>
              <w:t xml:space="preserve"> 797 </w:t>
            </w:r>
          </w:p>
        </w:tc>
        <w:tc>
          <w:tcPr>
            <w:tcW w:w="1021" w:type="pct"/>
            <w:noWrap/>
            <w:hideMark/>
          </w:tcPr>
          <w:p w14:paraId="30AA9591" w14:textId="5ADB55F2" w:rsidR="005B786B" w:rsidRPr="00E9094E" w:rsidRDefault="005B786B"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E9094E">
              <w:rPr>
                <w:rFonts w:asciiTheme="majorHAnsi" w:hAnsiTheme="majorHAnsi" w:cstheme="majorHAnsi"/>
                <w:bCs/>
                <w:color w:val="auto"/>
                <w:szCs w:val="20"/>
              </w:rPr>
              <w:t xml:space="preserve"> -   </w:t>
            </w:r>
          </w:p>
        </w:tc>
        <w:tc>
          <w:tcPr>
            <w:tcW w:w="680" w:type="pct"/>
            <w:noWrap/>
            <w:hideMark/>
          </w:tcPr>
          <w:p w14:paraId="1B38A748" w14:textId="2B7CFBE8" w:rsidR="005B786B" w:rsidRPr="00E9094E" w:rsidRDefault="005B786B"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auto"/>
                <w:szCs w:val="20"/>
                <w:lang w:val="en-AU" w:eastAsia="en-AU"/>
              </w:rPr>
            </w:pPr>
            <w:r w:rsidRPr="00E9094E">
              <w:rPr>
                <w:rFonts w:asciiTheme="majorHAnsi" w:hAnsiTheme="majorHAnsi" w:cstheme="majorHAnsi"/>
                <w:bCs/>
                <w:color w:val="auto"/>
                <w:szCs w:val="20"/>
              </w:rPr>
              <w:t xml:space="preserve"> -   </w:t>
            </w:r>
          </w:p>
        </w:tc>
      </w:tr>
      <w:tr w:rsidR="0025444F" w:rsidRPr="0025444F" w14:paraId="054060A8" w14:textId="77777777" w:rsidTr="00FB2432">
        <w:trPr>
          <w:trHeight w:val="24"/>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3C96EE4A" w14:textId="77777777" w:rsidR="00B4028C" w:rsidRPr="00E9094E" w:rsidRDefault="00B4028C" w:rsidP="005D59E5">
            <w:pPr>
              <w:spacing w:before="0" w:line="240" w:lineRule="auto"/>
              <w:rPr>
                <w:rFonts w:asciiTheme="majorHAnsi" w:eastAsia="Times New Roman" w:hAnsiTheme="majorHAnsi" w:cstheme="majorHAnsi"/>
                <w:color w:val="auto"/>
                <w:szCs w:val="20"/>
                <w:lang w:val="en-AU" w:eastAsia="en-AU"/>
              </w:rPr>
            </w:pPr>
            <w:r w:rsidRPr="00E9094E">
              <w:rPr>
                <w:rFonts w:asciiTheme="majorHAnsi" w:eastAsia="Times New Roman" w:hAnsiTheme="majorHAnsi" w:cstheme="majorHAnsi"/>
                <w:color w:val="auto"/>
                <w:szCs w:val="20"/>
                <w:lang w:val="en-AU" w:eastAsia="en-AU"/>
              </w:rPr>
              <w:t>Registration</w:t>
            </w:r>
          </w:p>
        </w:tc>
      </w:tr>
      <w:tr w:rsidR="00EE2CA8" w:rsidRPr="0025444F" w14:paraId="67CDBEDA"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77" w:type="pct"/>
            <w:hideMark/>
          </w:tcPr>
          <w:p w14:paraId="11C8C35B" w14:textId="77777777" w:rsidR="00B4028C" w:rsidRPr="00E9094E" w:rsidRDefault="00B4028C" w:rsidP="009642E1">
            <w:pPr>
              <w:spacing w:before="0" w:line="240" w:lineRule="auto"/>
              <w:ind w:left="318" w:hanging="176"/>
              <w:rPr>
                <w:rFonts w:asciiTheme="majorHAnsi" w:eastAsia="Times New Roman" w:hAnsiTheme="majorHAnsi" w:cstheme="majorHAnsi"/>
                <w:i/>
                <w:color w:val="auto"/>
                <w:szCs w:val="20"/>
                <w:lang w:val="en-AU" w:eastAsia="en-AU"/>
              </w:rPr>
            </w:pPr>
            <w:r w:rsidRPr="00E9094E">
              <w:rPr>
                <w:rFonts w:asciiTheme="majorHAnsi" w:eastAsia="Times New Roman" w:hAnsiTheme="majorHAnsi" w:cstheme="majorHAnsi"/>
                <w:i/>
                <w:color w:val="auto"/>
                <w:szCs w:val="20"/>
                <w:lang w:val="en-AU" w:eastAsia="en-AU"/>
              </w:rPr>
              <w:t>Application for registration</w:t>
            </w:r>
          </w:p>
        </w:tc>
        <w:tc>
          <w:tcPr>
            <w:tcW w:w="1021" w:type="pct"/>
            <w:noWrap/>
            <w:hideMark/>
          </w:tcPr>
          <w:p w14:paraId="5DFB47FC" w14:textId="45F56739" w:rsidR="00B4028C" w:rsidRPr="00E9094E" w:rsidRDefault="00B4028C"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p>
        </w:tc>
        <w:tc>
          <w:tcPr>
            <w:tcW w:w="1021" w:type="pct"/>
            <w:hideMark/>
          </w:tcPr>
          <w:p w14:paraId="0C0564CB" w14:textId="7285C80D" w:rsidR="00B4028C" w:rsidRPr="00E9094E" w:rsidRDefault="00B4028C"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p>
        </w:tc>
        <w:tc>
          <w:tcPr>
            <w:tcW w:w="680" w:type="pct"/>
            <w:noWrap/>
            <w:hideMark/>
          </w:tcPr>
          <w:p w14:paraId="45F875D8" w14:textId="11588C78" w:rsidR="00B4028C" w:rsidRPr="00E9094E" w:rsidRDefault="00B4028C"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p>
        </w:tc>
      </w:tr>
      <w:tr w:rsidR="00EE2CA8" w:rsidRPr="0025444F" w14:paraId="7B27DE4A"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5B1F93CD"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(a) for a HSE with 0 to 26 beds</w:t>
            </w:r>
          </w:p>
        </w:tc>
        <w:tc>
          <w:tcPr>
            <w:tcW w:w="1021" w:type="pct"/>
            <w:noWrap/>
            <w:hideMark/>
          </w:tcPr>
          <w:p w14:paraId="6575FACF" w14:textId="0A284526"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7A23C125" w14:textId="45F17947"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8 </w:t>
            </w:r>
          </w:p>
        </w:tc>
        <w:tc>
          <w:tcPr>
            <w:tcW w:w="680" w:type="pct"/>
            <w:noWrap/>
            <w:hideMark/>
          </w:tcPr>
          <w:p w14:paraId="48B5A280" w14:textId="5BC674A7"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41,562 </w:t>
            </w:r>
          </w:p>
        </w:tc>
      </w:tr>
      <w:tr w:rsidR="00EE2CA8" w:rsidRPr="0025444F" w14:paraId="54104699"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4387BC43"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(b) for a HSE with 27 to 50 beds</w:t>
            </w:r>
          </w:p>
        </w:tc>
        <w:tc>
          <w:tcPr>
            <w:tcW w:w="1021" w:type="pct"/>
            <w:noWrap/>
            <w:hideMark/>
          </w:tcPr>
          <w:p w14:paraId="494E2816" w14:textId="67761F08"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5664B459" w14:textId="3991531E"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1 </w:t>
            </w:r>
          </w:p>
        </w:tc>
        <w:tc>
          <w:tcPr>
            <w:tcW w:w="680" w:type="pct"/>
            <w:noWrap/>
            <w:hideMark/>
          </w:tcPr>
          <w:p w14:paraId="7067AACC" w14:textId="172E7E3E"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4,442 </w:t>
            </w:r>
          </w:p>
        </w:tc>
      </w:tr>
      <w:tr w:rsidR="00EE2CA8" w:rsidRPr="0025444F" w14:paraId="0BAAEF31"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0F714A67"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(c) for a HSE with 51 to 75 beds</w:t>
            </w:r>
          </w:p>
        </w:tc>
        <w:tc>
          <w:tcPr>
            <w:tcW w:w="1021" w:type="pct"/>
            <w:noWrap/>
            <w:hideMark/>
          </w:tcPr>
          <w:p w14:paraId="08401DB3" w14:textId="6DADC9EB"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1EC00C0F" w14:textId="3F281B75"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1 </w:t>
            </w:r>
          </w:p>
        </w:tc>
        <w:tc>
          <w:tcPr>
            <w:tcW w:w="680" w:type="pct"/>
            <w:noWrap/>
            <w:hideMark/>
          </w:tcPr>
          <w:p w14:paraId="489B5F7C" w14:textId="00B21E51"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4,759 </w:t>
            </w:r>
          </w:p>
        </w:tc>
      </w:tr>
      <w:tr w:rsidR="00EE2CA8" w:rsidRPr="0025444F" w14:paraId="11292F87"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37A6E7CB"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(d) for a HSE with 76 to 100 beds</w:t>
            </w:r>
          </w:p>
        </w:tc>
        <w:tc>
          <w:tcPr>
            <w:tcW w:w="1021" w:type="pct"/>
            <w:noWrap/>
            <w:hideMark/>
          </w:tcPr>
          <w:p w14:paraId="19172B0B" w14:textId="4C41AF7D"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28DB05BC" w14:textId="0EF632BE"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0 </w:t>
            </w:r>
          </w:p>
        </w:tc>
        <w:tc>
          <w:tcPr>
            <w:tcW w:w="680" w:type="pct"/>
            <w:noWrap/>
            <w:hideMark/>
          </w:tcPr>
          <w:p w14:paraId="7577D4BC" w14:textId="16056A48"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1,586 </w:t>
            </w:r>
          </w:p>
        </w:tc>
      </w:tr>
      <w:tr w:rsidR="00EE2CA8" w:rsidRPr="0025444F" w14:paraId="33B8F83E"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74111200"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(e) for a HSE with 101 to 150 beds</w:t>
            </w:r>
          </w:p>
        </w:tc>
        <w:tc>
          <w:tcPr>
            <w:tcW w:w="1021" w:type="pct"/>
            <w:noWrap/>
            <w:hideMark/>
          </w:tcPr>
          <w:p w14:paraId="4DEC8089" w14:textId="68CB1C07"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050BEF66" w14:textId="52FF2A82"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1 </w:t>
            </w:r>
          </w:p>
        </w:tc>
        <w:tc>
          <w:tcPr>
            <w:tcW w:w="680" w:type="pct"/>
            <w:noWrap/>
            <w:hideMark/>
          </w:tcPr>
          <w:p w14:paraId="35EBD78C" w14:textId="220EA1A2"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3,490 </w:t>
            </w:r>
          </w:p>
        </w:tc>
      </w:tr>
      <w:tr w:rsidR="00EE2CA8" w:rsidRPr="0025444F" w14:paraId="2BD2DCCC"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5A1828F4"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(f) for a HSE with 151 to 200 beds</w:t>
            </w:r>
          </w:p>
        </w:tc>
        <w:tc>
          <w:tcPr>
            <w:tcW w:w="1021" w:type="pct"/>
            <w:noWrap/>
            <w:hideMark/>
          </w:tcPr>
          <w:p w14:paraId="6BE80EF3" w14:textId="265B869D"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40927936" w14:textId="204808CF"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0 </w:t>
            </w:r>
          </w:p>
        </w:tc>
        <w:tc>
          <w:tcPr>
            <w:tcW w:w="680" w:type="pct"/>
            <w:noWrap/>
            <w:hideMark/>
          </w:tcPr>
          <w:p w14:paraId="4E40ED0D" w14:textId="0686A387"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1,904 </w:t>
            </w:r>
          </w:p>
        </w:tc>
      </w:tr>
      <w:tr w:rsidR="00EE2CA8" w:rsidRPr="0025444F" w14:paraId="5153A743" w14:textId="77777777" w:rsidTr="005D59E5">
        <w:trPr>
          <w:trHeight w:val="278"/>
        </w:trPr>
        <w:tc>
          <w:tcPr>
            <w:cnfStyle w:val="001000000000" w:firstRow="0" w:lastRow="0" w:firstColumn="1" w:lastColumn="0" w:oddVBand="0" w:evenVBand="0" w:oddHBand="0" w:evenHBand="0" w:firstRowFirstColumn="0" w:firstRowLastColumn="0" w:lastRowFirstColumn="0" w:lastRowLastColumn="0"/>
            <w:tcW w:w="2277" w:type="pct"/>
            <w:hideMark/>
          </w:tcPr>
          <w:p w14:paraId="536D461D"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(g) for a HSE with 201 to 300 beds</w:t>
            </w:r>
          </w:p>
        </w:tc>
        <w:tc>
          <w:tcPr>
            <w:tcW w:w="1021" w:type="pct"/>
            <w:noWrap/>
            <w:hideMark/>
          </w:tcPr>
          <w:p w14:paraId="2227B5BB" w14:textId="763C199A"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68738FB0" w14:textId="7AAF258C"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1 </w:t>
            </w:r>
          </w:p>
        </w:tc>
        <w:tc>
          <w:tcPr>
            <w:tcW w:w="680" w:type="pct"/>
            <w:noWrap/>
            <w:hideMark/>
          </w:tcPr>
          <w:p w14:paraId="345C3B17" w14:textId="2C406EC3"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3,173 </w:t>
            </w:r>
          </w:p>
        </w:tc>
      </w:tr>
      <w:tr w:rsidR="00EE2CA8" w:rsidRPr="0025444F" w14:paraId="5913752E" w14:textId="77777777" w:rsidTr="005D59E5">
        <w:trPr>
          <w:trHeight w:val="28"/>
        </w:trPr>
        <w:tc>
          <w:tcPr>
            <w:cnfStyle w:val="001000000000" w:firstRow="0" w:lastRow="0" w:firstColumn="1" w:lastColumn="0" w:oddVBand="0" w:evenVBand="0" w:oddHBand="0" w:evenHBand="0" w:firstRowFirstColumn="0" w:firstRowLastColumn="0" w:lastRowFirstColumn="0" w:lastRowLastColumn="0"/>
            <w:tcW w:w="2277" w:type="pct"/>
            <w:hideMark/>
          </w:tcPr>
          <w:p w14:paraId="1144A13D"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(h) for a HSE with 301 to 400 beds</w:t>
            </w:r>
          </w:p>
        </w:tc>
        <w:tc>
          <w:tcPr>
            <w:tcW w:w="1021" w:type="pct"/>
            <w:noWrap/>
            <w:hideMark/>
          </w:tcPr>
          <w:p w14:paraId="10EA6A38" w14:textId="3EE5EEE7"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0BF99DA5" w14:textId="160AF960"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0 </w:t>
            </w:r>
          </w:p>
        </w:tc>
        <w:tc>
          <w:tcPr>
            <w:tcW w:w="680" w:type="pct"/>
            <w:noWrap/>
            <w:hideMark/>
          </w:tcPr>
          <w:p w14:paraId="0221785F" w14:textId="3E0D891A"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1,269 </w:t>
            </w:r>
          </w:p>
        </w:tc>
      </w:tr>
      <w:tr w:rsidR="00EE2CA8" w:rsidRPr="0025444F" w14:paraId="4F853AF6" w14:textId="77777777" w:rsidTr="005D59E5">
        <w:trPr>
          <w:trHeight w:val="62"/>
        </w:trPr>
        <w:tc>
          <w:tcPr>
            <w:cnfStyle w:val="001000000000" w:firstRow="0" w:lastRow="0" w:firstColumn="1" w:lastColumn="0" w:oddVBand="0" w:evenVBand="0" w:oddHBand="0" w:evenHBand="0" w:firstRowFirstColumn="0" w:firstRowLastColumn="0" w:lastRowFirstColumn="0" w:lastRowLastColumn="0"/>
            <w:tcW w:w="2277" w:type="pct"/>
            <w:hideMark/>
          </w:tcPr>
          <w:p w14:paraId="5A83470B"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(i) for a HSE with 401 to 500 beds</w:t>
            </w:r>
          </w:p>
        </w:tc>
        <w:tc>
          <w:tcPr>
            <w:tcW w:w="1021" w:type="pct"/>
            <w:noWrap/>
            <w:hideMark/>
          </w:tcPr>
          <w:p w14:paraId="79495FF6" w14:textId="28519140"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5,235 </w:t>
            </w:r>
          </w:p>
        </w:tc>
        <w:tc>
          <w:tcPr>
            <w:tcW w:w="1021" w:type="pct"/>
            <w:noWrap/>
            <w:hideMark/>
          </w:tcPr>
          <w:p w14:paraId="0EF360F3" w14:textId="5C3DFFD1"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   </w:t>
            </w:r>
          </w:p>
        </w:tc>
        <w:tc>
          <w:tcPr>
            <w:tcW w:w="680" w:type="pct"/>
            <w:noWrap/>
            <w:hideMark/>
          </w:tcPr>
          <w:p w14:paraId="29DAF211" w14:textId="518BDE46"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auto"/>
                <w:szCs w:val="20"/>
                <w:lang w:val="en-AU" w:eastAsia="en-AU"/>
              </w:rPr>
            </w:pPr>
            <w:r w:rsidRPr="007B05A0">
              <w:t xml:space="preserve"> -   </w:t>
            </w:r>
          </w:p>
        </w:tc>
      </w:tr>
      <w:tr w:rsidR="00EE2CA8" w:rsidRPr="0025444F" w14:paraId="510567DE" w14:textId="77777777" w:rsidTr="005D59E5">
        <w:trPr>
          <w:trHeight w:val="110"/>
        </w:trPr>
        <w:tc>
          <w:tcPr>
            <w:cnfStyle w:val="001000000000" w:firstRow="0" w:lastRow="0" w:firstColumn="1" w:lastColumn="0" w:oddVBand="0" w:evenVBand="0" w:oddHBand="0" w:evenHBand="0" w:firstRowFirstColumn="0" w:firstRowLastColumn="0" w:lastRowFirstColumn="0" w:lastRowLastColumn="0"/>
            <w:tcW w:w="2277" w:type="pct"/>
            <w:hideMark/>
          </w:tcPr>
          <w:p w14:paraId="4533BF77"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(j) for a HSE with 501 or more beds</w:t>
            </w:r>
          </w:p>
        </w:tc>
        <w:tc>
          <w:tcPr>
            <w:tcW w:w="1021" w:type="pct"/>
            <w:noWrap/>
            <w:hideMark/>
          </w:tcPr>
          <w:p w14:paraId="6D4518BC" w14:textId="7DDB0C1A"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5,235 </w:t>
            </w:r>
          </w:p>
        </w:tc>
        <w:tc>
          <w:tcPr>
            <w:tcW w:w="1021" w:type="pct"/>
            <w:noWrap/>
            <w:hideMark/>
          </w:tcPr>
          <w:p w14:paraId="0ED2E2B4" w14:textId="576C3821"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0 </w:t>
            </w:r>
          </w:p>
        </w:tc>
        <w:tc>
          <w:tcPr>
            <w:tcW w:w="680" w:type="pct"/>
            <w:noWrap/>
            <w:hideMark/>
          </w:tcPr>
          <w:p w14:paraId="4B4FD75A" w14:textId="6DB23F66"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635 </w:t>
            </w:r>
          </w:p>
        </w:tc>
      </w:tr>
      <w:tr w:rsidR="00EE2CA8" w:rsidRPr="0025444F" w14:paraId="575CF5E8" w14:textId="77777777" w:rsidTr="005D59E5">
        <w:trPr>
          <w:trHeight w:val="143"/>
        </w:trPr>
        <w:tc>
          <w:tcPr>
            <w:cnfStyle w:val="001000000000" w:firstRow="0" w:lastRow="0" w:firstColumn="1" w:lastColumn="0" w:oddVBand="0" w:evenVBand="0" w:oddHBand="0" w:evenHBand="0" w:firstRowFirstColumn="0" w:firstRowLastColumn="0" w:lastRowFirstColumn="0" w:lastRowLastColumn="0"/>
            <w:tcW w:w="2277" w:type="pct"/>
            <w:hideMark/>
          </w:tcPr>
          <w:p w14:paraId="576E9720" w14:textId="77777777" w:rsidR="00EE2CA8" w:rsidRPr="00E9094E" w:rsidRDefault="00EE2CA8" w:rsidP="00EE2CA8">
            <w:pPr>
              <w:spacing w:before="0" w:line="240" w:lineRule="auto"/>
              <w:ind w:left="318" w:hanging="176"/>
              <w:rPr>
                <w:rFonts w:asciiTheme="majorHAnsi" w:eastAsia="Times New Roman" w:hAnsiTheme="majorHAnsi" w:cstheme="majorHAnsi"/>
                <w:b w:val="0"/>
                <w:i/>
                <w:color w:val="auto"/>
                <w:szCs w:val="20"/>
                <w:lang w:val="en-AU" w:eastAsia="en-AU"/>
              </w:rPr>
            </w:pPr>
            <w:r w:rsidRPr="00E9094E">
              <w:rPr>
                <w:rFonts w:asciiTheme="majorHAnsi" w:eastAsia="Times New Roman" w:hAnsiTheme="majorHAnsi" w:cstheme="majorHAnsi"/>
                <w:i/>
                <w:color w:val="auto"/>
                <w:szCs w:val="20"/>
                <w:lang w:val="en-AU" w:eastAsia="en-AU"/>
              </w:rPr>
              <w:t>Application for renewal of registration</w:t>
            </w:r>
          </w:p>
        </w:tc>
        <w:tc>
          <w:tcPr>
            <w:tcW w:w="1021" w:type="pct"/>
            <w:noWrap/>
            <w:hideMark/>
          </w:tcPr>
          <w:p w14:paraId="48A87A8B" w14:textId="2A0CE021"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tc>
        <w:tc>
          <w:tcPr>
            <w:tcW w:w="1021" w:type="pct"/>
            <w:noWrap/>
            <w:hideMark/>
          </w:tcPr>
          <w:p w14:paraId="02721120" w14:textId="4AFF1CC4"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tc>
        <w:tc>
          <w:tcPr>
            <w:tcW w:w="680" w:type="pct"/>
            <w:noWrap/>
            <w:hideMark/>
          </w:tcPr>
          <w:p w14:paraId="6D0797F1" w14:textId="37FF6FAF"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tc>
      </w:tr>
      <w:tr w:rsidR="00EE2CA8" w:rsidRPr="0025444F" w14:paraId="4CFE5385" w14:textId="77777777" w:rsidTr="005D59E5">
        <w:trPr>
          <w:trHeight w:val="177"/>
        </w:trPr>
        <w:tc>
          <w:tcPr>
            <w:cnfStyle w:val="001000000000" w:firstRow="0" w:lastRow="0" w:firstColumn="1" w:lastColumn="0" w:oddVBand="0" w:evenVBand="0" w:oddHBand="0" w:evenHBand="0" w:firstRowFirstColumn="0" w:firstRowLastColumn="0" w:lastRowFirstColumn="0" w:lastRowLastColumn="0"/>
            <w:tcW w:w="2277" w:type="pct"/>
            <w:hideMark/>
          </w:tcPr>
          <w:p w14:paraId="2452B1B4"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(a) for a HSE with 0 to 26 beds</w:t>
            </w:r>
          </w:p>
        </w:tc>
        <w:tc>
          <w:tcPr>
            <w:tcW w:w="1021" w:type="pct"/>
            <w:noWrap/>
            <w:hideMark/>
          </w:tcPr>
          <w:p w14:paraId="137819DD" w14:textId="6A371E18"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0184F41A" w14:textId="5F8A6A3D"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66 </w:t>
            </w:r>
          </w:p>
        </w:tc>
        <w:tc>
          <w:tcPr>
            <w:tcW w:w="680" w:type="pct"/>
            <w:noWrap/>
            <w:hideMark/>
          </w:tcPr>
          <w:p w14:paraId="6495417D" w14:textId="5C1A9919"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780,936 </w:t>
            </w:r>
          </w:p>
        </w:tc>
      </w:tr>
      <w:tr w:rsidR="00EE2CA8" w:rsidRPr="0025444F" w14:paraId="40971C1E" w14:textId="77777777" w:rsidTr="005D59E5">
        <w:trPr>
          <w:trHeight w:val="83"/>
        </w:trPr>
        <w:tc>
          <w:tcPr>
            <w:cnfStyle w:val="001000000000" w:firstRow="0" w:lastRow="0" w:firstColumn="1" w:lastColumn="0" w:oddVBand="0" w:evenVBand="0" w:oddHBand="0" w:evenHBand="0" w:firstRowFirstColumn="0" w:firstRowLastColumn="0" w:lastRowFirstColumn="0" w:lastRowLastColumn="0"/>
            <w:tcW w:w="2277" w:type="pct"/>
            <w:hideMark/>
          </w:tcPr>
          <w:p w14:paraId="53D6E4F7"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(b) for a HSE with 27 to 50 beds</w:t>
            </w:r>
          </w:p>
        </w:tc>
        <w:tc>
          <w:tcPr>
            <w:tcW w:w="1021" w:type="pct"/>
            <w:noWrap/>
            <w:hideMark/>
          </w:tcPr>
          <w:p w14:paraId="761AB4CA" w14:textId="0370465A"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79969A26" w14:textId="05479E40"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7 </w:t>
            </w:r>
          </w:p>
        </w:tc>
        <w:tc>
          <w:tcPr>
            <w:tcW w:w="680" w:type="pct"/>
            <w:noWrap/>
            <w:hideMark/>
          </w:tcPr>
          <w:p w14:paraId="21A48BE2" w14:textId="278EAF87"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83,459 </w:t>
            </w:r>
          </w:p>
        </w:tc>
      </w:tr>
      <w:tr w:rsidR="00EE2CA8" w:rsidRPr="0025444F" w14:paraId="01A724C9"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001E7B87"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(c) for a HSE with 51 to 75 beds</w:t>
            </w:r>
          </w:p>
        </w:tc>
        <w:tc>
          <w:tcPr>
            <w:tcW w:w="1021" w:type="pct"/>
            <w:noWrap/>
            <w:hideMark/>
          </w:tcPr>
          <w:p w14:paraId="2C75883E" w14:textId="27F0A350"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33F86DB8" w14:textId="55B602A9"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8 </w:t>
            </w:r>
          </w:p>
        </w:tc>
        <w:tc>
          <w:tcPr>
            <w:tcW w:w="680" w:type="pct"/>
            <w:noWrap/>
            <w:hideMark/>
          </w:tcPr>
          <w:p w14:paraId="5C9600BC" w14:textId="4290FBFD"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89,420 </w:t>
            </w:r>
          </w:p>
        </w:tc>
      </w:tr>
      <w:tr w:rsidR="00EE2CA8" w:rsidRPr="0025444F" w14:paraId="5FFE39B3"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043AE97F"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(d) for a HSE with 76 to 100 beds</w:t>
            </w:r>
          </w:p>
        </w:tc>
        <w:tc>
          <w:tcPr>
            <w:tcW w:w="1021" w:type="pct"/>
            <w:noWrap/>
            <w:hideMark/>
          </w:tcPr>
          <w:p w14:paraId="631C62A3" w14:textId="4F1FF6A5"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5300E0B6" w14:textId="1845FAB3"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3 </w:t>
            </w:r>
          </w:p>
        </w:tc>
        <w:tc>
          <w:tcPr>
            <w:tcW w:w="680" w:type="pct"/>
            <w:noWrap/>
            <w:hideMark/>
          </w:tcPr>
          <w:p w14:paraId="63B98A5F" w14:textId="4FAF67F0"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29,807 </w:t>
            </w:r>
          </w:p>
        </w:tc>
      </w:tr>
      <w:tr w:rsidR="00EE2CA8" w:rsidRPr="0025444F" w14:paraId="2B7AAC62" w14:textId="77777777" w:rsidTr="005D59E5">
        <w:trPr>
          <w:trHeight w:val="58"/>
        </w:trPr>
        <w:tc>
          <w:tcPr>
            <w:cnfStyle w:val="001000000000" w:firstRow="0" w:lastRow="0" w:firstColumn="1" w:lastColumn="0" w:oddVBand="0" w:evenVBand="0" w:oddHBand="0" w:evenHBand="0" w:firstRowFirstColumn="0" w:firstRowLastColumn="0" w:lastRowFirstColumn="0" w:lastRowLastColumn="0"/>
            <w:tcW w:w="2277" w:type="pct"/>
            <w:hideMark/>
          </w:tcPr>
          <w:p w14:paraId="36F8640A"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lastRenderedPageBreak/>
              <w:t>(e) for a HSE with 101 to 150 beds</w:t>
            </w:r>
          </w:p>
        </w:tc>
        <w:tc>
          <w:tcPr>
            <w:tcW w:w="1021" w:type="pct"/>
            <w:noWrap/>
            <w:hideMark/>
          </w:tcPr>
          <w:p w14:paraId="7222AF91" w14:textId="173343E6"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37B64902" w14:textId="24C07CA3"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6 </w:t>
            </w:r>
          </w:p>
        </w:tc>
        <w:tc>
          <w:tcPr>
            <w:tcW w:w="680" w:type="pct"/>
            <w:noWrap/>
            <w:hideMark/>
          </w:tcPr>
          <w:p w14:paraId="671BAAF7" w14:textId="077A47E5"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65,575 </w:t>
            </w:r>
          </w:p>
        </w:tc>
      </w:tr>
      <w:tr w:rsidR="00EE2CA8" w:rsidRPr="0025444F" w14:paraId="0E9B982C"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1C33FF99"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(f) for a HSE with 151 to 200 beds</w:t>
            </w:r>
          </w:p>
        </w:tc>
        <w:tc>
          <w:tcPr>
            <w:tcW w:w="1021" w:type="pct"/>
            <w:noWrap/>
            <w:hideMark/>
          </w:tcPr>
          <w:p w14:paraId="11E15BD0" w14:textId="7924C506"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0D8BFC21" w14:textId="12A77729"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3 </w:t>
            </w:r>
          </w:p>
        </w:tc>
        <w:tc>
          <w:tcPr>
            <w:tcW w:w="680" w:type="pct"/>
            <w:noWrap/>
            <w:hideMark/>
          </w:tcPr>
          <w:p w14:paraId="4E542EFE" w14:textId="3D931CA9"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35,768 </w:t>
            </w:r>
          </w:p>
        </w:tc>
      </w:tr>
      <w:tr w:rsidR="00EE2CA8" w:rsidRPr="0025444F" w14:paraId="66D54011"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022997EB"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(g) for a HSE with 201 to 300 beds</w:t>
            </w:r>
          </w:p>
        </w:tc>
        <w:tc>
          <w:tcPr>
            <w:tcW w:w="1021" w:type="pct"/>
            <w:noWrap/>
            <w:hideMark/>
          </w:tcPr>
          <w:p w14:paraId="10B5D43C" w14:textId="4FBF6526"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2A9BCEAD" w14:textId="7C982FE7"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5 </w:t>
            </w:r>
          </w:p>
        </w:tc>
        <w:tc>
          <w:tcPr>
            <w:tcW w:w="680" w:type="pct"/>
            <w:noWrap/>
            <w:hideMark/>
          </w:tcPr>
          <w:p w14:paraId="36549B44" w14:textId="7572AD99"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59,613 </w:t>
            </w:r>
          </w:p>
        </w:tc>
      </w:tr>
      <w:tr w:rsidR="00EE2CA8" w:rsidRPr="0025444F" w14:paraId="3E4B1293"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1E07A724"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(h) for a HSE with 301 to 400 beds</w:t>
            </w:r>
          </w:p>
        </w:tc>
        <w:tc>
          <w:tcPr>
            <w:tcW w:w="1021" w:type="pct"/>
            <w:noWrap/>
            <w:hideMark/>
          </w:tcPr>
          <w:p w14:paraId="26A3D730" w14:textId="4B7AAA03"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76830E5F" w14:textId="3BD9106E"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2 </w:t>
            </w:r>
          </w:p>
        </w:tc>
        <w:tc>
          <w:tcPr>
            <w:tcW w:w="680" w:type="pct"/>
            <w:noWrap/>
            <w:hideMark/>
          </w:tcPr>
          <w:p w14:paraId="1CCB4CB9" w14:textId="11580F8D"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23,845 </w:t>
            </w:r>
          </w:p>
        </w:tc>
      </w:tr>
      <w:tr w:rsidR="00EE2CA8" w:rsidRPr="0025444F" w14:paraId="4DE002AB"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6114622C"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(i) for a HSE with 401 to 500 beds</w:t>
            </w:r>
          </w:p>
        </w:tc>
        <w:tc>
          <w:tcPr>
            <w:tcW w:w="1021" w:type="pct"/>
            <w:noWrap/>
            <w:hideMark/>
          </w:tcPr>
          <w:p w14:paraId="66072AD7" w14:textId="2B3F8D39"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tc>
        <w:tc>
          <w:tcPr>
            <w:tcW w:w="1021" w:type="pct"/>
            <w:noWrap/>
            <w:hideMark/>
          </w:tcPr>
          <w:p w14:paraId="3C0379C9" w14:textId="40199C1F"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tc>
        <w:tc>
          <w:tcPr>
            <w:tcW w:w="680" w:type="pct"/>
            <w:noWrap/>
            <w:hideMark/>
          </w:tcPr>
          <w:p w14:paraId="6C63DB46" w14:textId="7A59418D"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   </w:t>
            </w:r>
          </w:p>
        </w:tc>
      </w:tr>
      <w:tr w:rsidR="00EE2CA8" w:rsidRPr="0025444F" w14:paraId="274B8B2A"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25D325E0"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(j) for a HSE with 501 or more beds</w:t>
            </w:r>
          </w:p>
        </w:tc>
        <w:tc>
          <w:tcPr>
            <w:tcW w:w="1021" w:type="pct"/>
            <w:noWrap/>
            <w:hideMark/>
          </w:tcPr>
          <w:p w14:paraId="3060CE5B" w14:textId="4D34BA4E"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c>
          <w:tcPr>
            <w:tcW w:w="1021" w:type="pct"/>
            <w:noWrap/>
            <w:hideMark/>
          </w:tcPr>
          <w:p w14:paraId="0CD93395" w14:textId="7ADC1461"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 </w:t>
            </w:r>
          </w:p>
        </w:tc>
        <w:tc>
          <w:tcPr>
            <w:tcW w:w="680" w:type="pct"/>
            <w:noWrap/>
            <w:hideMark/>
          </w:tcPr>
          <w:p w14:paraId="039C894A" w14:textId="6806C978"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11,923 </w:t>
            </w:r>
          </w:p>
        </w:tc>
      </w:tr>
      <w:tr w:rsidR="00EE2CA8" w:rsidRPr="0025444F" w14:paraId="31C09A6B" w14:textId="77777777" w:rsidTr="005D59E5">
        <w:trPr>
          <w:trHeight w:val="227"/>
        </w:trPr>
        <w:tc>
          <w:tcPr>
            <w:cnfStyle w:val="001000000000" w:firstRow="0" w:lastRow="0" w:firstColumn="1" w:lastColumn="0" w:oddVBand="0" w:evenVBand="0" w:oddHBand="0" w:evenHBand="0" w:firstRowFirstColumn="0" w:firstRowLastColumn="0" w:lastRowFirstColumn="0" w:lastRowLastColumn="0"/>
            <w:tcW w:w="2277" w:type="pct"/>
            <w:hideMark/>
          </w:tcPr>
          <w:p w14:paraId="18269557" w14:textId="77777777" w:rsidR="00EE2CA8" w:rsidRPr="00E9094E" w:rsidRDefault="00EE2CA8" w:rsidP="00EE2CA8">
            <w:pPr>
              <w:spacing w:before="0" w:line="240" w:lineRule="auto"/>
              <w:ind w:left="318" w:hanging="176"/>
              <w:rPr>
                <w:rFonts w:asciiTheme="majorHAnsi" w:eastAsia="Times New Roman" w:hAnsiTheme="majorHAnsi" w:cstheme="majorHAnsi"/>
                <w:i/>
                <w:color w:val="auto"/>
                <w:szCs w:val="20"/>
                <w:lang w:val="en-AU" w:eastAsia="en-AU"/>
              </w:rPr>
            </w:pPr>
            <w:r w:rsidRPr="00E9094E">
              <w:rPr>
                <w:rFonts w:asciiTheme="majorHAnsi" w:eastAsia="Times New Roman" w:hAnsiTheme="majorHAnsi" w:cstheme="majorHAnsi"/>
                <w:i/>
                <w:color w:val="auto"/>
                <w:szCs w:val="20"/>
                <w:lang w:val="en-AU" w:eastAsia="en-AU"/>
              </w:rPr>
              <w:t>Application for variation of registration</w:t>
            </w:r>
          </w:p>
        </w:tc>
        <w:tc>
          <w:tcPr>
            <w:tcW w:w="1021" w:type="pct"/>
            <w:noWrap/>
            <w:hideMark/>
          </w:tcPr>
          <w:p w14:paraId="1B3BDE3C" w14:textId="49EC312B"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tc>
        <w:tc>
          <w:tcPr>
            <w:tcW w:w="1021" w:type="pct"/>
            <w:noWrap/>
            <w:hideMark/>
          </w:tcPr>
          <w:p w14:paraId="62C95D0A" w14:textId="05271D56"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tc>
        <w:tc>
          <w:tcPr>
            <w:tcW w:w="680" w:type="pct"/>
            <w:noWrap/>
            <w:hideMark/>
          </w:tcPr>
          <w:p w14:paraId="62034024" w14:textId="489D1022"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tc>
      </w:tr>
      <w:tr w:rsidR="00EE2CA8" w:rsidRPr="0025444F" w14:paraId="0319F33B" w14:textId="77777777" w:rsidTr="005D59E5">
        <w:trPr>
          <w:trHeight w:val="53"/>
        </w:trPr>
        <w:tc>
          <w:tcPr>
            <w:cnfStyle w:val="001000000000" w:firstRow="0" w:lastRow="0" w:firstColumn="1" w:lastColumn="0" w:oddVBand="0" w:evenVBand="0" w:oddHBand="0" w:evenHBand="0" w:firstRowFirstColumn="0" w:firstRowLastColumn="0" w:lastRowFirstColumn="0" w:lastRowLastColumn="0"/>
            <w:tcW w:w="2277" w:type="pct"/>
            <w:hideMark/>
          </w:tcPr>
          <w:p w14:paraId="44F0BF95"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(a) for the transfer of the certificate to another person who intends to become the proprietor</w:t>
            </w:r>
          </w:p>
        </w:tc>
        <w:tc>
          <w:tcPr>
            <w:tcW w:w="1021" w:type="pct"/>
            <w:noWrap/>
            <w:hideMark/>
          </w:tcPr>
          <w:p w14:paraId="62F28042" w14:textId="676BE0BA"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654 </w:t>
            </w:r>
          </w:p>
        </w:tc>
        <w:tc>
          <w:tcPr>
            <w:tcW w:w="1021" w:type="pct"/>
            <w:noWrap/>
            <w:hideMark/>
          </w:tcPr>
          <w:p w14:paraId="0C2F489C" w14:textId="30991B22"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40 </w:t>
            </w:r>
          </w:p>
        </w:tc>
        <w:tc>
          <w:tcPr>
            <w:tcW w:w="680" w:type="pct"/>
            <w:noWrap/>
            <w:hideMark/>
          </w:tcPr>
          <w:p w14:paraId="0D0139FA" w14:textId="7CB2BFD7"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26,174 </w:t>
            </w:r>
          </w:p>
        </w:tc>
      </w:tr>
      <w:tr w:rsidR="00EE2CA8" w:rsidRPr="0025444F" w14:paraId="46A5FFE9" w14:textId="77777777" w:rsidTr="005D59E5">
        <w:trPr>
          <w:trHeight w:val="24"/>
        </w:trPr>
        <w:tc>
          <w:tcPr>
            <w:cnfStyle w:val="001000000000" w:firstRow="0" w:lastRow="0" w:firstColumn="1" w:lastColumn="0" w:oddVBand="0" w:evenVBand="0" w:oddHBand="0" w:evenHBand="0" w:firstRowFirstColumn="0" w:firstRowLastColumn="0" w:lastRowFirstColumn="0" w:lastRowLastColumn="0"/>
            <w:tcW w:w="2277" w:type="pct"/>
            <w:hideMark/>
          </w:tcPr>
          <w:p w14:paraId="1594D5E2" w14:textId="77777777" w:rsidR="00EE2CA8" w:rsidRPr="00E9094E" w:rsidRDefault="00EE2CA8" w:rsidP="00EE2CA8">
            <w:pPr>
              <w:spacing w:before="0" w:line="240" w:lineRule="auto"/>
              <w:ind w:left="176"/>
              <w:rPr>
                <w:rFonts w:asciiTheme="majorHAnsi" w:eastAsia="Times New Roman" w:hAnsiTheme="majorHAnsi" w:cstheme="majorHAnsi"/>
                <w:b w:val="0"/>
                <w:bCs/>
                <w:color w:val="auto"/>
                <w:szCs w:val="20"/>
                <w:lang w:val="en-AU" w:eastAsia="en-AU"/>
              </w:rPr>
            </w:pPr>
            <w:r w:rsidRPr="00E9094E">
              <w:rPr>
                <w:rFonts w:asciiTheme="majorHAnsi" w:eastAsia="Times New Roman" w:hAnsiTheme="majorHAnsi" w:cstheme="majorHAnsi"/>
                <w:b w:val="0"/>
                <w:bCs/>
                <w:color w:val="auto"/>
                <w:szCs w:val="20"/>
                <w:lang w:val="en-AU" w:eastAsia="en-AU"/>
              </w:rPr>
              <w:t>(b) for any other case</w:t>
            </w:r>
          </w:p>
        </w:tc>
        <w:tc>
          <w:tcPr>
            <w:tcW w:w="1021" w:type="pct"/>
            <w:noWrap/>
            <w:hideMark/>
          </w:tcPr>
          <w:p w14:paraId="09DE0278" w14:textId="707688CC"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5,163 </w:t>
            </w:r>
          </w:p>
        </w:tc>
        <w:tc>
          <w:tcPr>
            <w:tcW w:w="1021" w:type="pct"/>
            <w:noWrap/>
            <w:hideMark/>
          </w:tcPr>
          <w:p w14:paraId="25116506" w14:textId="0E6AF751"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5 </w:t>
            </w:r>
          </w:p>
        </w:tc>
        <w:tc>
          <w:tcPr>
            <w:tcW w:w="680" w:type="pct"/>
            <w:noWrap/>
            <w:hideMark/>
          </w:tcPr>
          <w:p w14:paraId="275D7032" w14:textId="389EA5FC" w:rsidR="00EE2CA8" w:rsidRPr="00E9094E" w:rsidRDefault="00EE2CA8"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7B05A0">
              <w:t xml:space="preserve"> 25,814 </w:t>
            </w:r>
          </w:p>
        </w:tc>
      </w:tr>
      <w:tr w:rsidR="00EE2CA8" w:rsidRPr="0025444F" w14:paraId="597BE009" w14:textId="77777777" w:rsidTr="005D59E5">
        <w:trPr>
          <w:trHeight w:val="290"/>
        </w:trPr>
        <w:tc>
          <w:tcPr>
            <w:cnfStyle w:val="001000000000" w:firstRow="0" w:lastRow="0" w:firstColumn="1" w:lastColumn="0" w:oddVBand="0" w:evenVBand="0" w:oddHBand="0" w:evenHBand="0" w:firstRowFirstColumn="0" w:firstRowLastColumn="0" w:lastRowFirstColumn="0" w:lastRowLastColumn="0"/>
            <w:tcW w:w="2277" w:type="pct"/>
            <w:noWrap/>
            <w:hideMark/>
          </w:tcPr>
          <w:p w14:paraId="69576E00" w14:textId="77777777" w:rsidR="00EE2CA8" w:rsidRPr="00E9094E" w:rsidRDefault="00EE2CA8" w:rsidP="00EE2CA8">
            <w:pPr>
              <w:spacing w:before="0" w:line="240" w:lineRule="auto"/>
              <w:rPr>
                <w:rFonts w:asciiTheme="majorHAnsi" w:eastAsia="Times New Roman" w:hAnsiTheme="majorHAnsi" w:cstheme="majorHAnsi"/>
                <w:color w:val="auto"/>
                <w:szCs w:val="20"/>
                <w:lang w:val="en-AU" w:eastAsia="en-AU"/>
              </w:rPr>
            </w:pPr>
            <w:r w:rsidRPr="00E9094E">
              <w:rPr>
                <w:rFonts w:asciiTheme="majorHAnsi" w:eastAsia="Times New Roman" w:hAnsiTheme="majorHAnsi" w:cstheme="majorHAnsi"/>
                <w:color w:val="auto"/>
                <w:szCs w:val="20"/>
                <w:lang w:val="en-AU" w:eastAsia="en-AU"/>
              </w:rPr>
              <w:t>Total cost</w:t>
            </w:r>
          </w:p>
        </w:tc>
        <w:tc>
          <w:tcPr>
            <w:tcW w:w="1021" w:type="pct"/>
            <w:noWrap/>
            <w:hideMark/>
          </w:tcPr>
          <w:p w14:paraId="5A23E677" w14:textId="0B9286A4" w:rsidR="00EE2CA8" w:rsidRPr="00E9094E" w:rsidRDefault="00EE2CA8" w:rsidP="00EE2C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auto"/>
                <w:szCs w:val="20"/>
                <w:lang w:val="en-AU" w:eastAsia="en-AU"/>
              </w:rPr>
            </w:pPr>
          </w:p>
        </w:tc>
        <w:tc>
          <w:tcPr>
            <w:tcW w:w="1021" w:type="pct"/>
            <w:noWrap/>
            <w:hideMark/>
          </w:tcPr>
          <w:p w14:paraId="2E4D55B9" w14:textId="0F43FCB3" w:rsidR="00EE2CA8" w:rsidRPr="00E9094E" w:rsidRDefault="00EE2CA8" w:rsidP="00EE2CA8">
            <w:pPr>
              <w:spacing w:before="0"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auto"/>
                <w:szCs w:val="20"/>
                <w:lang w:val="en-AU" w:eastAsia="en-AU"/>
              </w:rPr>
            </w:pPr>
          </w:p>
        </w:tc>
        <w:tc>
          <w:tcPr>
            <w:tcW w:w="680" w:type="pct"/>
            <w:noWrap/>
            <w:hideMark/>
          </w:tcPr>
          <w:p w14:paraId="67DE62A9" w14:textId="395279EE" w:rsidR="00EE2CA8" w:rsidRPr="00EE2CA8" w:rsidRDefault="00EE2CA8" w:rsidP="00EE2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auto"/>
                <w:szCs w:val="20"/>
                <w:lang w:val="en-AU" w:eastAsia="en-AU"/>
              </w:rPr>
            </w:pPr>
            <w:r w:rsidRPr="00836785">
              <w:rPr>
                <w:b/>
                <w:bCs/>
              </w:rPr>
              <w:t xml:space="preserve"> 1,415,800 </w:t>
            </w:r>
          </w:p>
        </w:tc>
      </w:tr>
    </w:tbl>
    <w:p w14:paraId="200B65C5" w14:textId="7481CF81" w:rsidR="00694FE1" w:rsidRPr="003476CD" w:rsidRDefault="00694FE1" w:rsidP="001E347D">
      <w:pPr>
        <w:pStyle w:val="Heading6"/>
        <w:rPr>
          <w:color w:val="auto"/>
        </w:rPr>
      </w:pPr>
      <w:r w:rsidRPr="003476CD">
        <w:rPr>
          <w:color w:val="auto"/>
        </w:rPr>
        <w:t>Fee revenue</w:t>
      </w:r>
    </w:p>
    <w:p w14:paraId="67017DDD" w14:textId="76303E16" w:rsidR="005B01D1" w:rsidRPr="00F467FC" w:rsidRDefault="005B01D1" w:rsidP="004B4B32">
      <w:pPr>
        <w:pStyle w:val="Heading7"/>
      </w:pPr>
      <w:r w:rsidRPr="00F467FC">
        <w:t xml:space="preserve">Current </w:t>
      </w:r>
      <w:r w:rsidRPr="004B4B32">
        <w:t>fees</w:t>
      </w:r>
    </w:p>
    <w:p w14:paraId="704C05D7" w14:textId="2C1C80F2" w:rsidR="00694FE1" w:rsidRDefault="00350036" w:rsidP="00694FE1">
      <w:r>
        <w:t>Current p</w:t>
      </w:r>
      <w:r w:rsidRPr="00D82DE3">
        <w:t xml:space="preserve">rescribed fees </w:t>
      </w:r>
      <w:r>
        <w:t xml:space="preserve">under the sunsetting Regulations </w:t>
      </w:r>
      <w:r w:rsidRPr="00D82DE3">
        <w:t>are outlined in</w:t>
      </w:r>
      <w:r>
        <w:t xml:space="preserve"> Table 1</w:t>
      </w:r>
      <w:r w:rsidR="004F2320">
        <w:t>3</w:t>
      </w:r>
      <w:r w:rsidRPr="00D82DE3">
        <w:t>.</w:t>
      </w:r>
      <w:r>
        <w:t xml:space="preserve"> </w:t>
      </w:r>
      <w:r w:rsidR="00694FE1" w:rsidRPr="00D82DE3">
        <w:t xml:space="preserve">Fees are set in terms of fee units, where the value of fee unit is fixed by the Treasurer under the </w:t>
      </w:r>
      <w:r w:rsidR="00694FE1" w:rsidRPr="00D82DE3">
        <w:rPr>
          <w:i/>
          <w:iCs/>
        </w:rPr>
        <w:t>Monetary Units Act 2004</w:t>
      </w:r>
      <w:r w:rsidR="00694FE1" w:rsidRPr="00D82DE3">
        <w:t>. The value of a fee unit commencing 1 July 2023 is fixed at $15.90.</w:t>
      </w:r>
      <w:r w:rsidR="00694FE1" w:rsidRPr="00D82DE3">
        <w:rPr>
          <w:rStyle w:val="FootnoteReference"/>
        </w:rPr>
        <w:footnoteReference w:id="110"/>
      </w:r>
      <w:r w:rsidR="00694FE1" w:rsidRPr="00D82DE3">
        <w:t xml:space="preserve">  The value of a fee unit is revised each year to ensure that its original value is maintained. </w:t>
      </w:r>
    </w:p>
    <w:p w14:paraId="2F88E9B0" w14:textId="5C8B8374" w:rsidR="00694FE1" w:rsidRDefault="00694FE1" w:rsidP="00694FE1">
      <w:pPr>
        <w:pStyle w:val="Caption"/>
      </w:pPr>
      <w:bookmarkStart w:id="279" w:name="_Ref160609666"/>
      <w:r>
        <w:t xml:space="preserve">Table </w:t>
      </w:r>
      <w:fldSimple w:instr=" SEQ Table \* ARABIC ">
        <w:r w:rsidR="004F2320">
          <w:rPr>
            <w:noProof/>
          </w:rPr>
          <w:t>13</w:t>
        </w:r>
      </w:fldSimple>
      <w:bookmarkEnd w:id="279"/>
      <w:r>
        <w:t xml:space="preserve"> Current prescribed fees</w:t>
      </w:r>
    </w:p>
    <w:tbl>
      <w:tblPr>
        <w:tblStyle w:val="SapereTable"/>
        <w:tblW w:w="5000" w:type="pct"/>
        <w:tblLook w:val="04A0" w:firstRow="1" w:lastRow="0" w:firstColumn="1" w:lastColumn="0" w:noHBand="0" w:noVBand="1"/>
      </w:tblPr>
      <w:tblGrid>
        <w:gridCol w:w="1330"/>
        <w:gridCol w:w="4972"/>
        <w:gridCol w:w="1204"/>
        <w:gridCol w:w="1520"/>
      </w:tblGrid>
      <w:tr w:rsidR="00694FE1" w:rsidRPr="00C7081B" w14:paraId="12D023FF" w14:textId="77777777" w:rsidTr="005D59E5">
        <w:trPr>
          <w:cnfStyle w:val="100000000000" w:firstRow="1" w:lastRow="0" w:firstColumn="0" w:lastColumn="0" w:oddVBand="0" w:evenVBand="0" w:oddHBand="0" w:evenHBand="0" w:firstRowFirstColumn="0" w:firstRowLastColumn="0" w:lastRowFirstColumn="0" w:lastRowLastColumn="0"/>
          <w:trHeight w:val="119"/>
          <w:tblHeader/>
        </w:trPr>
        <w:tc>
          <w:tcPr>
            <w:cnfStyle w:val="001000000000" w:firstRow="0" w:lastRow="0" w:firstColumn="1" w:lastColumn="0" w:oddVBand="0" w:evenVBand="0" w:oddHBand="0" w:evenHBand="0" w:firstRowFirstColumn="0" w:firstRowLastColumn="0" w:lastRowFirstColumn="0" w:lastRowLastColumn="0"/>
            <w:tcW w:w="690" w:type="pct"/>
          </w:tcPr>
          <w:p w14:paraId="3279E406" w14:textId="3FF10900" w:rsidR="00694FE1" w:rsidRPr="003476CD" w:rsidRDefault="00694FE1" w:rsidP="001E347D">
            <w:pPr>
              <w:spacing w:before="0"/>
              <w:rPr>
                <w:rFonts w:asciiTheme="majorHAnsi" w:hAnsiTheme="majorHAnsi" w:cstheme="majorHAnsi"/>
                <w:szCs w:val="20"/>
              </w:rPr>
            </w:pPr>
            <w:r w:rsidRPr="003476CD">
              <w:rPr>
                <w:rFonts w:asciiTheme="majorHAnsi" w:hAnsiTheme="majorHAnsi" w:cstheme="majorHAnsi"/>
                <w:szCs w:val="20"/>
              </w:rPr>
              <w:t xml:space="preserve">Regulations </w:t>
            </w:r>
          </w:p>
        </w:tc>
        <w:tc>
          <w:tcPr>
            <w:tcW w:w="2799" w:type="pct"/>
          </w:tcPr>
          <w:p w14:paraId="092D80EA" w14:textId="77777777" w:rsidR="00694FE1" w:rsidRPr="003476CD" w:rsidRDefault="00694FE1" w:rsidP="001E347D">
            <w:pPr>
              <w:spacing w:before="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476CD">
              <w:rPr>
                <w:rFonts w:asciiTheme="majorHAnsi" w:hAnsiTheme="majorHAnsi" w:cstheme="majorHAnsi"/>
                <w:szCs w:val="20"/>
              </w:rPr>
              <w:t>Output</w:t>
            </w:r>
          </w:p>
        </w:tc>
        <w:tc>
          <w:tcPr>
            <w:tcW w:w="624" w:type="pct"/>
          </w:tcPr>
          <w:p w14:paraId="31B75678" w14:textId="77777777" w:rsidR="00694FE1" w:rsidRPr="003476CD" w:rsidRDefault="00694FE1" w:rsidP="001E347D">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476CD">
              <w:rPr>
                <w:rFonts w:asciiTheme="majorHAnsi" w:hAnsiTheme="majorHAnsi" w:cstheme="majorHAnsi"/>
                <w:szCs w:val="20"/>
              </w:rPr>
              <w:t xml:space="preserve">Prescribed fee units </w:t>
            </w:r>
          </w:p>
        </w:tc>
        <w:tc>
          <w:tcPr>
            <w:tcW w:w="887" w:type="pct"/>
          </w:tcPr>
          <w:p w14:paraId="617CFBAE" w14:textId="77777777" w:rsidR="00694FE1" w:rsidRPr="003476CD" w:rsidRDefault="00694FE1" w:rsidP="001E347D">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476CD">
              <w:rPr>
                <w:rFonts w:asciiTheme="majorHAnsi" w:hAnsiTheme="majorHAnsi" w:cstheme="majorHAnsi"/>
                <w:szCs w:val="20"/>
              </w:rPr>
              <w:t>2023-24 $ fee</w:t>
            </w:r>
          </w:p>
        </w:tc>
      </w:tr>
      <w:tr w:rsidR="00EE7D4F" w:rsidRPr="00EE7D4F" w14:paraId="17CB047E" w14:textId="77777777" w:rsidTr="005D59E5">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4"/>
          </w:tcPr>
          <w:p w14:paraId="5601A2AF" w14:textId="77777777" w:rsidR="00694FE1" w:rsidRPr="00BA5309" w:rsidRDefault="00694FE1">
            <w:pPr>
              <w:spacing w:before="0"/>
              <w:rPr>
                <w:rFonts w:asciiTheme="majorHAnsi" w:hAnsiTheme="majorHAnsi" w:cstheme="majorHAnsi"/>
                <w:b w:val="0"/>
                <w:color w:val="auto"/>
                <w:szCs w:val="20"/>
              </w:rPr>
            </w:pPr>
            <w:r w:rsidRPr="002C7B75">
              <w:rPr>
                <w:rFonts w:asciiTheme="majorHAnsi" w:hAnsiTheme="majorHAnsi" w:cstheme="majorHAnsi"/>
                <w:color w:val="auto"/>
                <w:szCs w:val="20"/>
              </w:rPr>
              <w:t>Approval in principle</w:t>
            </w:r>
          </w:p>
        </w:tc>
      </w:tr>
      <w:tr w:rsidR="00EE7D4F" w:rsidRPr="00EE7D4F" w14:paraId="4B465B55" w14:textId="77777777" w:rsidTr="006522DF">
        <w:trPr>
          <w:trHeight w:val="553"/>
        </w:trPr>
        <w:tc>
          <w:tcPr>
            <w:cnfStyle w:val="001000000000" w:firstRow="0" w:lastRow="0" w:firstColumn="1" w:lastColumn="0" w:oddVBand="0" w:evenVBand="0" w:oddHBand="0" w:evenHBand="0" w:firstRowFirstColumn="0" w:firstRowLastColumn="0" w:lastRowFirstColumn="0" w:lastRowLastColumn="0"/>
            <w:tcW w:w="690" w:type="pct"/>
          </w:tcPr>
          <w:p w14:paraId="62782558" w14:textId="77FA4275" w:rsidR="00694FE1" w:rsidRPr="00994DD7" w:rsidRDefault="000B7929">
            <w:pPr>
              <w:spacing w:before="0"/>
              <w:rPr>
                <w:rFonts w:asciiTheme="majorHAnsi" w:hAnsiTheme="majorHAnsi" w:cstheme="majorHAnsi"/>
                <w:b w:val="0"/>
                <w:color w:val="auto"/>
                <w:szCs w:val="20"/>
              </w:rPr>
            </w:pPr>
            <w:r w:rsidRPr="002C7B75">
              <w:rPr>
                <w:rFonts w:asciiTheme="majorHAnsi" w:hAnsiTheme="majorHAnsi" w:cstheme="majorHAnsi"/>
                <w:b w:val="0"/>
                <w:color w:val="auto"/>
                <w:szCs w:val="20"/>
              </w:rPr>
              <w:t>reg</w:t>
            </w:r>
            <w:r w:rsidR="00694FE1" w:rsidRPr="002C7B75">
              <w:rPr>
                <w:rFonts w:asciiTheme="majorHAnsi" w:hAnsiTheme="majorHAnsi" w:cstheme="majorHAnsi"/>
                <w:b w:val="0"/>
                <w:color w:val="auto"/>
                <w:szCs w:val="20"/>
              </w:rPr>
              <w:t xml:space="preserve"> 8(2) </w:t>
            </w:r>
          </w:p>
        </w:tc>
        <w:tc>
          <w:tcPr>
            <w:tcW w:w="2799" w:type="pct"/>
          </w:tcPr>
          <w:p w14:paraId="363D9D6D"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auto"/>
                <w:szCs w:val="20"/>
              </w:rPr>
            </w:pPr>
            <w:r w:rsidRPr="00BA5309">
              <w:rPr>
                <w:rFonts w:asciiTheme="majorHAnsi" w:hAnsiTheme="majorHAnsi" w:cstheme="majorHAnsi"/>
                <w:b/>
                <w:i/>
                <w:color w:val="auto"/>
                <w:szCs w:val="20"/>
              </w:rPr>
              <w:t>Application for an AIP</w:t>
            </w:r>
          </w:p>
          <w:p w14:paraId="74CD2D1F"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(a) to construct premises for use as a private hospital</w:t>
            </w:r>
          </w:p>
          <w:p w14:paraId="7E48E5E2"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(b) to make alterations or extensions to a premises used or proposed to be used as a private hospital</w:t>
            </w:r>
          </w:p>
          <w:p w14:paraId="4DA81765"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(c) to construct premises for use as a day procedure centre </w:t>
            </w:r>
          </w:p>
          <w:p w14:paraId="4496671E"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(d) to make alterations or extensions to a premises used or proposed to be used as a day procedure centre</w:t>
            </w:r>
          </w:p>
          <w:p w14:paraId="58FEB32D"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(e) to use premises as a health service establishment from which health services are to be provided at premises other than the first-mentioned premises</w:t>
            </w:r>
          </w:p>
          <w:p w14:paraId="3E2CB7EA"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lastRenderedPageBreak/>
              <w:t>(f) to vary the registration of a health service establishment</w:t>
            </w:r>
          </w:p>
        </w:tc>
        <w:tc>
          <w:tcPr>
            <w:tcW w:w="624" w:type="pct"/>
          </w:tcPr>
          <w:p w14:paraId="54985B6E"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73F8797A"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325 </w:t>
            </w:r>
          </w:p>
          <w:p w14:paraId="1E593A74"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290 </w:t>
            </w:r>
          </w:p>
          <w:p w14:paraId="602434CD"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680A934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285 </w:t>
            </w:r>
          </w:p>
          <w:p w14:paraId="78C21AA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276 </w:t>
            </w:r>
          </w:p>
          <w:p w14:paraId="4986955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4B1D49A2"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91 </w:t>
            </w:r>
          </w:p>
          <w:p w14:paraId="3D9EA9D0"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0AE561DD"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1CE811D6"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16.1 </w:t>
            </w:r>
          </w:p>
        </w:tc>
        <w:tc>
          <w:tcPr>
            <w:tcW w:w="887" w:type="pct"/>
          </w:tcPr>
          <w:p w14:paraId="0E00FB36"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56B2107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$5,167.50</w:t>
            </w:r>
          </w:p>
          <w:p w14:paraId="082FB5BA"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$4,611.00</w:t>
            </w:r>
          </w:p>
          <w:p w14:paraId="295B4F07"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2EF38AB3"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$4,531.50</w:t>
            </w:r>
          </w:p>
          <w:p w14:paraId="501CAF9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$4,388.40</w:t>
            </w:r>
          </w:p>
          <w:p w14:paraId="778A423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0E1C62C6"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$1,446.90</w:t>
            </w:r>
          </w:p>
          <w:p w14:paraId="72061161"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6DD5B311"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3A4384B1"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$256.00</w:t>
            </w:r>
          </w:p>
        </w:tc>
      </w:tr>
      <w:tr w:rsidR="00EE7D4F" w:rsidRPr="00EE7D4F" w14:paraId="368D08FA" w14:textId="77777777" w:rsidTr="005D59E5">
        <w:trPr>
          <w:trHeight w:val="275"/>
        </w:trPr>
        <w:tc>
          <w:tcPr>
            <w:cnfStyle w:val="001000000000" w:firstRow="0" w:lastRow="0" w:firstColumn="1" w:lastColumn="0" w:oddVBand="0" w:evenVBand="0" w:oddHBand="0" w:evenHBand="0" w:firstRowFirstColumn="0" w:firstRowLastColumn="0" w:lastRowFirstColumn="0" w:lastRowLastColumn="0"/>
            <w:tcW w:w="690" w:type="pct"/>
          </w:tcPr>
          <w:p w14:paraId="652AAE55" w14:textId="409CB870" w:rsidR="00694FE1" w:rsidRPr="00994DD7" w:rsidRDefault="000B7929">
            <w:pPr>
              <w:spacing w:before="0"/>
              <w:rPr>
                <w:rFonts w:asciiTheme="majorHAnsi" w:hAnsiTheme="majorHAnsi" w:cstheme="majorHAnsi"/>
                <w:b w:val="0"/>
                <w:color w:val="auto"/>
                <w:szCs w:val="20"/>
              </w:rPr>
            </w:pPr>
            <w:r w:rsidRPr="002C7B75">
              <w:rPr>
                <w:rFonts w:asciiTheme="majorHAnsi" w:hAnsiTheme="majorHAnsi" w:cstheme="majorHAnsi"/>
                <w:b w:val="0"/>
                <w:color w:val="auto"/>
                <w:szCs w:val="20"/>
              </w:rPr>
              <w:t>reg</w:t>
            </w:r>
            <w:r w:rsidR="00694FE1" w:rsidRPr="002C7B75">
              <w:rPr>
                <w:rFonts w:asciiTheme="majorHAnsi" w:hAnsiTheme="majorHAnsi" w:cstheme="majorHAnsi"/>
                <w:b w:val="0"/>
                <w:color w:val="auto"/>
                <w:szCs w:val="20"/>
              </w:rPr>
              <w:t xml:space="preserve"> 9(b)</w:t>
            </w:r>
          </w:p>
        </w:tc>
        <w:tc>
          <w:tcPr>
            <w:tcW w:w="2799" w:type="pct"/>
          </w:tcPr>
          <w:p w14:paraId="316EE6A5" w14:textId="0AADCCF1"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auto"/>
                <w:szCs w:val="20"/>
              </w:rPr>
            </w:pPr>
            <w:r w:rsidRPr="00BA5309">
              <w:rPr>
                <w:rFonts w:asciiTheme="majorHAnsi" w:hAnsiTheme="majorHAnsi" w:cstheme="majorHAnsi"/>
                <w:b/>
                <w:i/>
                <w:color w:val="auto"/>
                <w:szCs w:val="20"/>
              </w:rPr>
              <w:t xml:space="preserve">Application for transfer or variation of certificate of </w:t>
            </w:r>
            <w:r w:rsidR="00A44C78" w:rsidRPr="00BA5309">
              <w:rPr>
                <w:rFonts w:asciiTheme="majorHAnsi" w:hAnsiTheme="majorHAnsi" w:cstheme="majorHAnsi"/>
                <w:b/>
                <w:i/>
                <w:color w:val="auto"/>
                <w:szCs w:val="20"/>
              </w:rPr>
              <w:t>AIP</w:t>
            </w:r>
          </w:p>
        </w:tc>
        <w:tc>
          <w:tcPr>
            <w:tcW w:w="624" w:type="pct"/>
          </w:tcPr>
          <w:p w14:paraId="536A3F83" w14:textId="7F83BD74" w:rsidR="00694FE1" w:rsidRPr="00BA5309" w:rsidRDefault="00694FE1" w:rsidP="00A44C78">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16.1 </w:t>
            </w:r>
          </w:p>
        </w:tc>
        <w:tc>
          <w:tcPr>
            <w:tcW w:w="887" w:type="pct"/>
          </w:tcPr>
          <w:p w14:paraId="388A8E97" w14:textId="726F3736" w:rsidR="00694FE1" w:rsidRPr="00BA5309" w:rsidRDefault="00694FE1" w:rsidP="00A44C78">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$256.00</w:t>
            </w:r>
          </w:p>
        </w:tc>
      </w:tr>
      <w:tr w:rsidR="00EE7D4F" w:rsidRPr="00EE7D4F" w14:paraId="606377E4" w14:textId="77777777" w:rsidTr="005D59E5">
        <w:trPr>
          <w:trHeight w:val="22"/>
        </w:trPr>
        <w:tc>
          <w:tcPr>
            <w:cnfStyle w:val="001000000000" w:firstRow="0" w:lastRow="0" w:firstColumn="1" w:lastColumn="0" w:oddVBand="0" w:evenVBand="0" w:oddHBand="0" w:evenHBand="0" w:firstRowFirstColumn="0" w:firstRowLastColumn="0" w:lastRowFirstColumn="0" w:lastRowLastColumn="0"/>
            <w:tcW w:w="5000" w:type="pct"/>
            <w:gridSpan w:val="4"/>
          </w:tcPr>
          <w:p w14:paraId="5B9E3BA8" w14:textId="77777777" w:rsidR="00694FE1" w:rsidRPr="00BA5309" w:rsidRDefault="00694FE1">
            <w:pPr>
              <w:spacing w:before="0"/>
              <w:rPr>
                <w:rFonts w:asciiTheme="majorHAnsi" w:hAnsiTheme="majorHAnsi" w:cstheme="majorHAnsi"/>
                <w:color w:val="auto"/>
                <w:szCs w:val="20"/>
              </w:rPr>
            </w:pPr>
            <w:r w:rsidRPr="002C7B75">
              <w:rPr>
                <w:rFonts w:asciiTheme="majorHAnsi" w:hAnsiTheme="majorHAnsi" w:cstheme="majorHAnsi"/>
                <w:color w:val="auto"/>
                <w:szCs w:val="20"/>
              </w:rPr>
              <w:t>Registration</w:t>
            </w:r>
          </w:p>
        </w:tc>
      </w:tr>
      <w:tr w:rsidR="00EE7D4F" w:rsidRPr="00EE7D4F" w14:paraId="6B05C25B" w14:textId="77777777" w:rsidTr="005D59E5">
        <w:tc>
          <w:tcPr>
            <w:cnfStyle w:val="001000000000" w:firstRow="0" w:lastRow="0" w:firstColumn="1" w:lastColumn="0" w:oddVBand="0" w:evenVBand="0" w:oddHBand="0" w:evenHBand="0" w:firstRowFirstColumn="0" w:firstRowLastColumn="0" w:lastRowFirstColumn="0" w:lastRowLastColumn="0"/>
            <w:tcW w:w="690" w:type="pct"/>
          </w:tcPr>
          <w:p w14:paraId="62FB5A31" w14:textId="2DD96ABE" w:rsidR="00694FE1" w:rsidRPr="00994DD7" w:rsidRDefault="000B7929">
            <w:pPr>
              <w:spacing w:before="0"/>
              <w:rPr>
                <w:rFonts w:asciiTheme="majorHAnsi" w:hAnsiTheme="majorHAnsi" w:cstheme="majorHAnsi"/>
                <w:b w:val="0"/>
                <w:color w:val="auto"/>
                <w:szCs w:val="20"/>
              </w:rPr>
            </w:pPr>
            <w:r w:rsidRPr="002C7B75">
              <w:rPr>
                <w:rFonts w:asciiTheme="majorHAnsi" w:hAnsiTheme="majorHAnsi" w:cstheme="majorHAnsi"/>
                <w:b w:val="0"/>
                <w:color w:val="auto"/>
                <w:szCs w:val="20"/>
              </w:rPr>
              <w:t>reg</w:t>
            </w:r>
            <w:r w:rsidR="00694FE1" w:rsidRPr="002C7B75">
              <w:rPr>
                <w:rFonts w:asciiTheme="majorHAnsi" w:hAnsiTheme="majorHAnsi" w:cstheme="majorHAnsi"/>
                <w:b w:val="0"/>
                <w:color w:val="auto"/>
                <w:szCs w:val="20"/>
              </w:rPr>
              <w:t xml:space="preserve"> 10(2)</w:t>
            </w:r>
          </w:p>
        </w:tc>
        <w:tc>
          <w:tcPr>
            <w:tcW w:w="2799" w:type="pct"/>
          </w:tcPr>
          <w:p w14:paraId="5FBFE703"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auto"/>
                <w:szCs w:val="20"/>
              </w:rPr>
            </w:pPr>
            <w:r w:rsidRPr="00BA5309">
              <w:rPr>
                <w:rFonts w:asciiTheme="majorHAnsi" w:hAnsiTheme="majorHAnsi" w:cstheme="majorHAnsi"/>
                <w:b/>
                <w:i/>
                <w:color w:val="auto"/>
                <w:szCs w:val="20"/>
              </w:rPr>
              <w:t>Application for registration</w:t>
            </w:r>
          </w:p>
          <w:p w14:paraId="600E366E"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(a) for a HSE with 0 to 26 beds</w:t>
            </w:r>
          </w:p>
          <w:p w14:paraId="1C4AF9B9"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(b) for a HSE with 27 to 50 beds</w:t>
            </w:r>
          </w:p>
          <w:p w14:paraId="035AE6EF"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(c) for a HSE with 51 to 75 beds</w:t>
            </w:r>
          </w:p>
          <w:p w14:paraId="5159FF31"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(d) for a HSE with 76 to 100 beds</w:t>
            </w:r>
          </w:p>
          <w:p w14:paraId="049FE6A0"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(e) for a HSE with 101 to 150 beds</w:t>
            </w:r>
          </w:p>
          <w:p w14:paraId="055F4A37"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(f) for a HSE with 151 to 200 beds</w:t>
            </w:r>
          </w:p>
          <w:p w14:paraId="33AEDB66"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(g) for a HSE with 201 to 300 beds</w:t>
            </w:r>
          </w:p>
          <w:p w14:paraId="5623B377"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(h) for a HSE with 301 to 400 beds </w:t>
            </w:r>
          </w:p>
          <w:p w14:paraId="32A8CD26"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(i) for a HSE with 401 to 500 beds</w:t>
            </w:r>
          </w:p>
          <w:p w14:paraId="10D2FA62"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(j) for a HSE with 501 or more beds</w:t>
            </w:r>
          </w:p>
        </w:tc>
        <w:tc>
          <w:tcPr>
            <w:tcW w:w="624" w:type="pct"/>
          </w:tcPr>
          <w:p w14:paraId="08DC3156"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025D5868"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366 </w:t>
            </w:r>
          </w:p>
          <w:p w14:paraId="52154F0B"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405 </w:t>
            </w:r>
          </w:p>
          <w:p w14:paraId="16863ADC"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445 </w:t>
            </w:r>
          </w:p>
          <w:p w14:paraId="368CB694"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484 </w:t>
            </w:r>
          </w:p>
          <w:p w14:paraId="4F452F7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543 </w:t>
            </w:r>
          </w:p>
          <w:p w14:paraId="2C3BEBE9"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623 </w:t>
            </w:r>
          </w:p>
          <w:p w14:paraId="11D61C25"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701 </w:t>
            </w:r>
          </w:p>
          <w:p w14:paraId="5E026A64"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820 </w:t>
            </w:r>
          </w:p>
          <w:p w14:paraId="1DB86BF3"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978 </w:t>
            </w:r>
          </w:p>
          <w:p w14:paraId="47121927"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1175 </w:t>
            </w:r>
          </w:p>
        </w:tc>
        <w:tc>
          <w:tcPr>
            <w:tcW w:w="887" w:type="pct"/>
          </w:tcPr>
          <w:p w14:paraId="1C5BB8C6"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05CC41F9"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$5,819.40</w:t>
            </w:r>
          </w:p>
          <w:p w14:paraId="080BB039"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$6,439.50</w:t>
            </w:r>
          </w:p>
          <w:p w14:paraId="4374281D"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$7,075.50</w:t>
            </w:r>
          </w:p>
          <w:p w14:paraId="5A33BD38"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$7,695.60</w:t>
            </w:r>
          </w:p>
          <w:p w14:paraId="0DEF01A3"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$8,633.70</w:t>
            </w:r>
          </w:p>
          <w:p w14:paraId="251E7A19"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$9,905.70</w:t>
            </w:r>
          </w:p>
          <w:p w14:paraId="1D3EC72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$11,145.90</w:t>
            </w:r>
          </w:p>
          <w:p w14:paraId="0C6C0F19"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$13,038.00</w:t>
            </w:r>
          </w:p>
          <w:p w14:paraId="288BEE53"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$15,550.20</w:t>
            </w:r>
          </w:p>
          <w:p w14:paraId="1B42C17E"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$18,682.50</w:t>
            </w:r>
          </w:p>
        </w:tc>
      </w:tr>
      <w:tr w:rsidR="00EE7D4F" w:rsidRPr="00EE7D4F" w14:paraId="061352AC" w14:textId="77777777" w:rsidTr="005D59E5">
        <w:tc>
          <w:tcPr>
            <w:cnfStyle w:val="001000000000" w:firstRow="0" w:lastRow="0" w:firstColumn="1" w:lastColumn="0" w:oddVBand="0" w:evenVBand="0" w:oddHBand="0" w:evenHBand="0" w:firstRowFirstColumn="0" w:firstRowLastColumn="0" w:lastRowFirstColumn="0" w:lastRowLastColumn="0"/>
            <w:tcW w:w="690" w:type="pct"/>
          </w:tcPr>
          <w:p w14:paraId="56FE171E" w14:textId="3CB6C56F" w:rsidR="00694FE1" w:rsidRPr="00994DD7" w:rsidRDefault="000B7929">
            <w:pPr>
              <w:spacing w:before="0"/>
              <w:rPr>
                <w:rFonts w:asciiTheme="majorHAnsi" w:hAnsiTheme="majorHAnsi" w:cstheme="majorHAnsi"/>
                <w:b w:val="0"/>
                <w:color w:val="auto"/>
                <w:szCs w:val="20"/>
              </w:rPr>
            </w:pPr>
            <w:r w:rsidRPr="002C7B75">
              <w:rPr>
                <w:rFonts w:asciiTheme="majorHAnsi" w:hAnsiTheme="majorHAnsi" w:cstheme="majorHAnsi"/>
                <w:b w:val="0"/>
                <w:color w:val="auto"/>
                <w:szCs w:val="20"/>
              </w:rPr>
              <w:t>reg</w:t>
            </w:r>
            <w:r w:rsidR="00694FE1" w:rsidRPr="002C7B75">
              <w:rPr>
                <w:rFonts w:asciiTheme="majorHAnsi" w:hAnsiTheme="majorHAnsi" w:cstheme="majorHAnsi"/>
                <w:b w:val="0"/>
                <w:color w:val="auto"/>
                <w:szCs w:val="20"/>
              </w:rPr>
              <w:t xml:space="preserve"> 12(2)</w:t>
            </w:r>
          </w:p>
        </w:tc>
        <w:tc>
          <w:tcPr>
            <w:tcW w:w="2799" w:type="pct"/>
          </w:tcPr>
          <w:p w14:paraId="6CC9AFB0"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auto"/>
                <w:szCs w:val="20"/>
              </w:rPr>
            </w:pPr>
            <w:r w:rsidRPr="00BA5309">
              <w:rPr>
                <w:rFonts w:asciiTheme="majorHAnsi" w:hAnsiTheme="majorHAnsi" w:cstheme="majorHAnsi"/>
                <w:b/>
                <w:i/>
                <w:color w:val="auto"/>
                <w:szCs w:val="20"/>
              </w:rPr>
              <w:t>Application for renewal of registration</w:t>
            </w:r>
          </w:p>
          <w:p w14:paraId="1065F252"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(a) for a HSE with 0 to 26 beds</w:t>
            </w:r>
          </w:p>
          <w:p w14:paraId="320DDF2C"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(b) for a HSE with 27 to 50 beds</w:t>
            </w:r>
          </w:p>
          <w:p w14:paraId="59377B57"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(c) for a HSE with 51 to 75 beds</w:t>
            </w:r>
          </w:p>
          <w:p w14:paraId="4083A913"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(d) for a HSE with 76 to 100 beds</w:t>
            </w:r>
          </w:p>
          <w:p w14:paraId="15FA0A08"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(e) for a HSE with 101 to 150 beds</w:t>
            </w:r>
          </w:p>
          <w:p w14:paraId="345F9D5D"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(f) for a HSE with 151 to 200 beds</w:t>
            </w:r>
          </w:p>
          <w:p w14:paraId="5324C510"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(g) for a HSE with 201 to 300 beds</w:t>
            </w:r>
          </w:p>
          <w:p w14:paraId="44A8CD34"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(h) for a HSE with 301 to 400 beds </w:t>
            </w:r>
          </w:p>
          <w:p w14:paraId="1AD52E4B"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(i) for a HSE with 401 to 500 beds</w:t>
            </w:r>
          </w:p>
          <w:p w14:paraId="7F5DA405"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(j) for a HSE with 501 or more beds</w:t>
            </w:r>
          </w:p>
        </w:tc>
        <w:tc>
          <w:tcPr>
            <w:tcW w:w="624" w:type="pct"/>
          </w:tcPr>
          <w:p w14:paraId="466A5D89"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79932536"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366 </w:t>
            </w:r>
          </w:p>
          <w:p w14:paraId="1D077DA8"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405 </w:t>
            </w:r>
          </w:p>
          <w:p w14:paraId="436C6561"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445 </w:t>
            </w:r>
          </w:p>
          <w:p w14:paraId="307A21CA"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484</w:t>
            </w:r>
          </w:p>
          <w:p w14:paraId="586F1D45"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543 </w:t>
            </w:r>
          </w:p>
          <w:p w14:paraId="39C2C692"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623 </w:t>
            </w:r>
          </w:p>
          <w:p w14:paraId="0048951A"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701 </w:t>
            </w:r>
          </w:p>
          <w:p w14:paraId="7B8CB38D"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820 </w:t>
            </w:r>
          </w:p>
          <w:p w14:paraId="5FD10F66"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978 </w:t>
            </w:r>
          </w:p>
          <w:p w14:paraId="7248A8EC"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1175 </w:t>
            </w:r>
          </w:p>
        </w:tc>
        <w:tc>
          <w:tcPr>
            <w:tcW w:w="887" w:type="pct"/>
          </w:tcPr>
          <w:p w14:paraId="68856303"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60345EE7"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$5,819.40</w:t>
            </w:r>
          </w:p>
          <w:p w14:paraId="5429A493"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$6,439.50</w:t>
            </w:r>
          </w:p>
          <w:p w14:paraId="5C9B8161"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$7,075.50</w:t>
            </w:r>
          </w:p>
          <w:p w14:paraId="54BF483E"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$7,695.60</w:t>
            </w:r>
          </w:p>
          <w:p w14:paraId="494362D7"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$8,633.70</w:t>
            </w:r>
          </w:p>
          <w:p w14:paraId="3933B6A9"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$9,905.70</w:t>
            </w:r>
          </w:p>
          <w:p w14:paraId="0FF34218"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$11,145.90</w:t>
            </w:r>
          </w:p>
          <w:p w14:paraId="023B5E40"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$13,038.00</w:t>
            </w:r>
          </w:p>
          <w:p w14:paraId="3A9B7453"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$15,550.20</w:t>
            </w:r>
          </w:p>
          <w:p w14:paraId="78CA5B09"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$18,682.50</w:t>
            </w:r>
          </w:p>
        </w:tc>
      </w:tr>
      <w:tr w:rsidR="00EE7D4F" w:rsidRPr="00EE7D4F" w14:paraId="5D7A107E" w14:textId="77777777" w:rsidTr="005D59E5">
        <w:tc>
          <w:tcPr>
            <w:cnfStyle w:val="001000000000" w:firstRow="0" w:lastRow="0" w:firstColumn="1" w:lastColumn="0" w:oddVBand="0" w:evenVBand="0" w:oddHBand="0" w:evenHBand="0" w:firstRowFirstColumn="0" w:firstRowLastColumn="0" w:lastRowFirstColumn="0" w:lastRowLastColumn="0"/>
            <w:tcW w:w="690" w:type="pct"/>
          </w:tcPr>
          <w:p w14:paraId="2E574144" w14:textId="12177247" w:rsidR="00694FE1" w:rsidRPr="00994DD7" w:rsidRDefault="000B7929">
            <w:pPr>
              <w:spacing w:before="0"/>
              <w:rPr>
                <w:rFonts w:asciiTheme="majorHAnsi" w:hAnsiTheme="majorHAnsi" w:cstheme="majorHAnsi"/>
                <w:b w:val="0"/>
                <w:color w:val="auto"/>
                <w:szCs w:val="20"/>
              </w:rPr>
            </w:pPr>
            <w:r w:rsidRPr="002C7B75">
              <w:rPr>
                <w:rFonts w:asciiTheme="majorHAnsi" w:hAnsiTheme="majorHAnsi" w:cstheme="majorHAnsi"/>
                <w:b w:val="0"/>
                <w:color w:val="auto"/>
                <w:szCs w:val="20"/>
              </w:rPr>
              <w:t>reg</w:t>
            </w:r>
            <w:r w:rsidR="00694FE1" w:rsidRPr="002C7B75">
              <w:rPr>
                <w:rFonts w:asciiTheme="majorHAnsi" w:hAnsiTheme="majorHAnsi" w:cstheme="majorHAnsi"/>
                <w:b w:val="0"/>
                <w:color w:val="auto"/>
                <w:szCs w:val="20"/>
              </w:rPr>
              <w:t xml:space="preserve"> 13(2)</w:t>
            </w:r>
          </w:p>
        </w:tc>
        <w:tc>
          <w:tcPr>
            <w:tcW w:w="2799" w:type="pct"/>
          </w:tcPr>
          <w:p w14:paraId="646F8AB1"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
                <w:color w:val="auto"/>
                <w:szCs w:val="20"/>
              </w:rPr>
            </w:pPr>
            <w:r w:rsidRPr="00BA5309">
              <w:rPr>
                <w:rFonts w:asciiTheme="majorHAnsi" w:hAnsiTheme="majorHAnsi" w:cstheme="majorHAnsi"/>
                <w:b/>
                <w:i/>
                <w:color w:val="auto"/>
                <w:szCs w:val="20"/>
              </w:rPr>
              <w:t>Application for variation of registration</w:t>
            </w:r>
          </w:p>
          <w:p w14:paraId="2628A2F6"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(a) for the transfer of the certificate to another person who intends to become the proprietor</w:t>
            </w:r>
          </w:p>
          <w:p w14:paraId="0000781C" w14:textId="77777777" w:rsidR="00694FE1" w:rsidRPr="00BA5309" w:rsidRDefault="00694FE1">
            <w:p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szCs w:val="20"/>
              </w:rPr>
            </w:pPr>
            <w:r w:rsidRPr="002C7B75">
              <w:rPr>
                <w:rFonts w:asciiTheme="majorHAnsi" w:hAnsiTheme="majorHAnsi" w:cstheme="majorHAnsi"/>
                <w:color w:val="auto"/>
                <w:szCs w:val="20"/>
              </w:rPr>
              <w:t>(b) for any other case</w:t>
            </w:r>
          </w:p>
        </w:tc>
        <w:tc>
          <w:tcPr>
            <w:tcW w:w="624" w:type="pct"/>
          </w:tcPr>
          <w:p w14:paraId="2D0C7B40"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52E11F1E"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47.8 </w:t>
            </w:r>
          </w:p>
          <w:p w14:paraId="2173937F"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69EE418E"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 xml:space="preserve">16.1 </w:t>
            </w:r>
          </w:p>
        </w:tc>
        <w:tc>
          <w:tcPr>
            <w:tcW w:w="887" w:type="pct"/>
          </w:tcPr>
          <w:p w14:paraId="7455DD4B"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1D1777FD"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$760.00</w:t>
            </w:r>
          </w:p>
          <w:p w14:paraId="2862F490"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p>
          <w:p w14:paraId="774CEF02" w14:textId="77777777" w:rsidR="00694FE1" w:rsidRPr="00BA5309" w:rsidRDefault="00694FE1">
            <w:pPr>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Cs w:val="20"/>
              </w:rPr>
            </w:pPr>
            <w:r w:rsidRPr="002C7B75">
              <w:rPr>
                <w:rFonts w:asciiTheme="majorHAnsi" w:hAnsiTheme="majorHAnsi" w:cstheme="majorHAnsi"/>
                <w:color w:val="auto"/>
                <w:szCs w:val="20"/>
              </w:rPr>
              <w:t>$256.00</w:t>
            </w:r>
          </w:p>
        </w:tc>
      </w:tr>
    </w:tbl>
    <w:p w14:paraId="72120CF2" w14:textId="631C1AAB" w:rsidR="00453A96" w:rsidRDefault="00453A96">
      <w:pPr>
        <w:spacing w:before="0" w:line="259" w:lineRule="auto"/>
        <w:rPr>
          <w:rFonts w:asciiTheme="majorHAnsi" w:eastAsiaTheme="majorEastAsia" w:hAnsiTheme="majorHAnsi" w:cstheme="majorBidi"/>
          <w:b/>
          <w:iCs/>
          <w:color w:val="7EA0BC"/>
          <w:sz w:val="28"/>
        </w:rPr>
      </w:pPr>
    </w:p>
    <w:p w14:paraId="4837F267" w14:textId="77777777" w:rsidR="00453A96" w:rsidRDefault="00453A96">
      <w:pPr>
        <w:spacing w:before="0" w:line="259" w:lineRule="auto"/>
        <w:rPr>
          <w:rFonts w:asciiTheme="majorHAnsi" w:eastAsiaTheme="majorEastAsia" w:hAnsiTheme="majorHAnsi" w:cstheme="majorBidi"/>
          <w:b/>
          <w:iCs/>
          <w:color w:val="7EA0BC"/>
          <w:sz w:val="28"/>
        </w:rPr>
      </w:pPr>
      <w:r>
        <w:rPr>
          <w:rFonts w:asciiTheme="majorHAnsi" w:eastAsiaTheme="majorEastAsia" w:hAnsiTheme="majorHAnsi" w:cstheme="majorBidi"/>
          <w:b/>
          <w:iCs/>
          <w:color w:val="7EA0BC"/>
          <w:sz w:val="28"/>
        </w:rPr>
        <w:br w:type="page"/>
      </w:r>
    </w:p>
    <w:p w14:paraId="2A6B20E7" w14:textId="52A07E17" w:rsidR="00156F94" w:rsidRPr="00F467FC" w:rsidRDefault="00D54720" w:rsidP="00F467FC">
      <w:pPr>
        <w:pStyle w:val="Heading7"/>
      </w:pPr>
      <w:r>
        <w:lastRenderedPageBreak/>
        <w:t>Proposed fees</w:t>
      </w:r>
    </w:p>
    <w:p w14:paraId="51F044DD" w14:textId="63852C66" w:rsidR="00FB4559" w:rsidRPr="001E347D" w:rsidRDefault="004A5D6B" w:rsidP="001E347D">
      <w:pPr>
        <w:pStyle w:val="Heading8"/>
        <w:rPr>
          <w:rStyle w:val="Strong"/>
          <w:b/>
          <w:i w:val="0"/>
          <w:color w:val="7EA0BC"/>
          <w:szCs w:val="32"/>
        </w:rPr>
      </w:pPr>
      <w:r w:rsidRPr="001E347D">
        <w:rPr>
          <w:rStyle w:val="Strong"/>
          <w:b/>
          <w:i w:val="0"/>
          <w:color w:val="7EA0BC"/>
          <w:szCs w:val="32"/>
        </w:rPr>
        <w:t xml:space="preserve">Level </w:t>
      </w:r>
      <w:r w:rsidR="00453C7B" w:rsidRPr="001E347D">
        <w:rPr>
          <w:rStyle w:val="Strong"/>
          <w:b/>
          <w:i w:val="0"/>
          <w:color w:val="7EA0BC"/>
          <w:szCs w:val="32"/>
        </w:rPr>
        <w:t>of cost recovery</w:t>
      </w:r>
    </w:p>
    <w:p w14:paraId="6AD9F463" w14:textId="2078B624" w:rsidR="00156F94" w:rsidRPr="00172C5B" w:rsidRDefault="00156F94" w:rsidP="00156F94">
      <w:pPr>
        <w:rPr>
          <w:rFonts w:cs="Segoe UI Light"/>
          <w:szCs w:val="20"/>
        </w:rPr>
      </w:pPr>
      <w:r w:rsidRPr="00434E86">
        <w:rPr>
          <w:rFonts w:cs="Segoe UI Light"/>
          <w:szCs w:val="20"/>
        </w:rPr>
        <w:t>Cost recovery generally support</w:t>
      </w:r>
      <w:r w:rsidRPr="007F05A8">
        <w:rPr>
          <w:rFonts w:cs="Segoe UI Light"/>
          <w:szCs w:val="20"/>
        </w:rPr>
        <w:t>s</w:t>
      </w:r>
      <w:r w:rsidRPr="00434E86">
        <w:rPr>
          <w:rFonts w:cs="Segoe UI Light"/>
          <w:szCs w:val="20"/>
        </w:rPr>
        <w:t xml:space="preserve"> the concept </w:t>
      </w:r>
      <w:r>
        <w:t xml:space="preserve">that users that derive private benefit from government goods or services should </w:t>
      </w:r>
      <w:r w:rsidRPr="00434E86">
        <w:rPr>
          <w:rFonts w:cs="Segoe UI Light"/>
          <w:szCs w:val="20"/>
        </w:rPr>
        <w:t>pay for the cost of those services, rather than have them funded by others (typically through general taxation).</w:t>
      </w:r>
      <w:r w:rsidRPr="000862EF">
        <w:t xml:space="preserve"> </w:t>
      </w:r>
      <w:r>
        <w:t xml:space="preserve">Full cost recovery promotes the efficient consumption of services </w:t>
      </w:r>
      <w:r w:rsidRPr="00172C5B">
        <w:t xml:space="preserve">and, in turn, the efficient allocation of resources by sending appropriate price signals about the value of resources that are required to provide the good or service. </w:t>
      </w:r>
    </w:p>
    <w:p w14:paraId="46817C31" w14:textId="77777777" w:rsidR="00156F94" w:rsidRDefault="00156F94" w:rsidP="00156F94">
      <w:pPr>
        <w:rPr>
          <w:rFonts w:cs="Segoe UI Light"/>
          <w:szCs w:val="20"/>
        </w:rPr>
      </w:pPr>
      <w:r w:rsidRPr="00172C5B">
        <w:rPr>
          <w:rFonts w:cs="Segoe UI Light"/>
          <w:szCs w:val="20"/>
        </w:rPr>
        <w:t xml:space="preserve">The </w:t>
      </w:r>
      <w:r w:rsidRPr="00172C5B">
        <w:rPr>
          <w:rFonts w:cs="Segoe UI Light"/>
          <w:i/>
          <w:iCs/>
          <w:szCs w:val="20"/>
        </w:rPr>
        <w:t>Pricing for Value</w:t>
      </w:r>
      <w:r w:rsidRPr="00172C5B">
        <w:rPr>
          <w:rFonts w:cs="Segoe UI Light"/>
          <w:szCs w:val="20"/>
        </w:rPr>
        <w:t xml:space="preserve"> guide sets</w:t>
      </w:r>
      <w:r>
        <w:rPr>
          <w:rFonts w:cs="Segoe UI Light"/>
          <w:szCs w:val="20"/>
        </w:rPr>
        <w:t xml:space="preserve"> out principles for supporting different levels of cost recovery:</w:t>
      </w:r>
    </w:p>
    <w:tbl>
      <w:tblPr>
        <w:tblStyle w:val="SapereTable"/>
        <w:tblW w:w="5000" w:type="pct"/>
        <w:tblLook w:val="04A0" w:firstRow="1" w:lastRow="0" w:firstColumn="1" w:lastColumn="0" w:noHBand="0" w:noVBand="1"/>
      </w:tblPr>
      <w:tblGrid>
        <w:gridCol w:w="4419"/>
        <w:gridCol w:w="4607"/>
      </w:tblGrid>
      <w:tr w:rsidR="00156F94" w14:paraId="64A56FE9" w14:textId="77777777" w:rsidTr="005D59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8" w:type="pct"/>
            <w:vMerge w:val="restart"/>
          </w:tcPr>
          <w:p w14:paraId="708631F3" w14:textId="77777777" w:rsidR="00156F94" w:rsidRPr="001E347D" w:rsidRDefault="00156F94">
            <w:pPr>
              <w:spacing w:before="0"/>
              <w:rPr>
                <w:szCs w:val="20"/>
              </w:rPr>
            </w:pPr>
            <w:r w:rsidRPr="001E347D">
              <w:rPr>
                <w:color w:val="auto"/>
                <w:szCs w:val="20"/>
                <w:u w:val="single"/>
              </w:rPr>
              <w:t>Above</w:t>
            </w:r>
            <w:r w:rsidRPr="001E347D">
              <w:rPr>
                <w:color w:val="auto"/>
                <w:szCs w:val="20"/>
              </w:rPr>
              <w:t xml:space="preserve"> 100% </w:t>
            </w:r>
          </w:p>
          <w:p w14:paraId="6737226C" w14:textId="77777777" w:rsidR="00156F94" w:rsidRPr="001E347D" w:rsidRDefault="00156F94">
            <w:pPr>
              <w:spacing w:before="0"/>
              <w:rPr>
                <w:szCs w:val="20"/>
              </w:rPr>
            </w:pPr>
            <w:r w:rsidRPr="001E347D">
              <w:rPr>
                <w:color w:val="auto"/>
                <w:szCs w:val="20"/>
              </w:rPr>
              <w:t>cost recovery</w:t>
            </w:r>
          </w:p>
        </w:tc>
        <w:tc>
          <w:tcPr>
            <w:tcW w:w="2552" w:type="pct"/>
          </w:tcPr>
          <w:p w14:paraId="49307FD8" w14:textId="77777777" w:rsidR="00156F94" w:rsidRPr="002C7B75" w:rsidRDefault="00156F94">
            <w:pPr>
              <w:spacing w:before="0"/>
              <w:cnfStyle w:val="100000000000" w:firstRow="1" w:lastRow="0" w:firstColumn="0" w:lastColumn="0" w:oddVBand="0" w:evenVBand="0" w:oddHBand="0" w:evenHBand="0" w:firstRowFirstColumn="0" w:firstRowLastColumn="0" w:lastRowFirstColumn="0" w:lastRowLastColumn="0"/>
              <w:rPr>
                <w:rFonts w:cs="Segoe UI Light"/>
                <w:b w:val="0"/>
                <w:bCs/>
                <w:color w:val="000000" w:themeColor="text1"/>
                <w:szCs w:val="20"/>
              </w:rPr>
            </w:pPr>
            <w:r w:rsidRPr="002C7B75">
              <w:rPr>
                <w:rFonts w:cs="Segoe UI Light"/>
                <w:b w:val="0"/>
                <w:bCs/>
                <w:color w:val="000000" w:themeColor="text1"/>
                <w:szCs w:val="20"/>
              </w:rPr>
              <w:t>Pricing should promote positive behaviours</w:t>
            </w:r>
          </w:p>
        </w:tc>
      </w:tr>
      <w:tr w:rsidR="00156F94" w14:paraId="7DD4E3E7" w14:textId="77777777" w:rsidTr="005D59E5">
        <w:trPr>
          <w:trHeight w:val="20"/>
        </w:trPr>
        <w:tc>
          <w:tcPr>
            <w:cnfStyle w:val="001000000000" w:firstRow="0" w:lastRow="0" w:firstColumn="1" w:lastColumn="0" w:oddVBand="0" w:evenVBand="0" w:oddHBand="0" w:evenHBand="0" w:firstRowFirstColumn="0" w:firstRowLastColumn="0" w:lastRowFirstColumn="0" w:lastRowLastColumn="0"/>
            <w:tcW w:w="2448" w:type="pct"/>
            <w:vMerge/>
          </w:tcPr>
          <w:p w14:paraId="39C333CF" w14:textId="77777777" w:rsidR="00156F94" w:rsidRPr="001E347D" w:rsidRDefault="00156F94">
            <w:pPr>
              <w:spacing w:before="0"/>
              <w:rPr>
                <w:b w:val="0"/>
                <w:szCs w:val="20"/>
              </w:rPr>
            </w:pPr>
          </w:p>
        </w:tc>
        <w:tc>
          <w:tcPr>
            <w:tcW w:w="2552" w:type="pct"/>
          </w:tcPr>
          <w:p w14:paraId="10A750D6" w14:textId="77777777" w:rsidR="00156F94" w:rsidRPr="00994DD7" w:rsidRDefault="00156F94">
            <w:pPr>
              <w:spacing w:before="0"/>
              <w:cnfStyle w:val="000000000000" w:firstRow="0" w:lastRow="0" w:firstColumn="0" w:lastColumn="0" w:oddVBand="0" w:evenVBand="0" w:oddHBand="0" w:evenHBand="0" w:firstRowFirstColumn="0" w:firstRowLastColumn="0" w:lastRowFirstColumn="0" w:lastRowLastColumn="0"/>
              <w:rPr>
                <w:rFonts w:cs="Segoe UI Light"/>
                <w:bCs/>
                <w:szCs w:val="20"/>
              </w:rPr>
            </w:pPr>
            <w:r w:rsidRPr="00FE0EF1">
              <w:rPr>
                <w:rFonts w:cs="Segoe UI Light"/>
                <w:bCs/>
                <w:szCs w:val="20"/>
              </w:rPr>
              <w:t>Services creating broad community benefits should be priced to support efficient usage</w:t>
            </w:r>
          </w:p>
        </w:tc>
      </w:tr>
      <w:tr w:rsidR="00156F94" w:rsidRPr="005E5220" w14:paraId="75844D40" w14:textId="77777777" w:rsidTr="005D59E5">
        <w:trPr>
          <w:trHeight w:val="20"/>
        </w:trPr>
        <w:tc>
          <w:tcPr>
            <w:cnfStyle w:val="001000000000" w:firstRow="0" w:lastRow="0" w:firstColumn="1" w:lastColumn="0" w:oddVBand="0" w:evenVBand="0" w:oddHBand="0" w:evenHBand="0" w:firstRowFirstColumn="0" w:firstRowLastColumn="0" w:lastRowFirstColumn="0" w:lastRowLastColumn="0"/>
            <w:tcW w:w="2448" w:type="pct"/>
            <w:vMerge/>
          </w:tcPr>
          <w:p w14:paraId="6B37FDAA" w14:textId="77777777" w:rsidR="00156F94" w:rsidRPr="001E347D" w:rsidRDefault="00156F94">
            <w:pPr>
              <w:spacing w:before="0"/>
              <w:rPr>
                <w:b w:val="0"/>
                <w:szCs w:val="20"/>
              </w:rPr>
            </w:pPr>
          </w:p>
        </w:tc>
        <w:tc>
          <w:tcPr>
            <w:tcW w:w="2552" w:type="pct"/>
          </w:tcPr>
          <w:p w14:paraId="5E0B6090" w14:textId="77777777" w:rsidR="00156F94" w:rsidRPr="00994DD7" w:rsidRDefault="00156F94">
            <w:pPr>
              <w:spacing w:before="0"/>
              <w:cnfStyle w:val="000000000000" w:firstRow="0" w:lastRow="0" w:firstColumn="0" w:lastColumn="0" w:oddVBand="0" w:evenVBand="0" w:oddHBand="0" w:evenHBand="0" w:firstRowFirstColumn="0" w:firstRowLastColumn="0" w:lastRowFirstColumn="0" w:lastRowLastColumn="0"/>
              <w:rPr>
                <w:rFonts w:cs="Segoe UI Light"/>
                <w:bCs/>
                <w:szCs w:val="20"/>
              </w:rPr>
            </w:pPr>
            <w:r w:rsidRPr="005E5220">
              <w:rPr>
                <w:rFonts w:cs="Segoe UI Light"/>
                <w:bCs/>
                <w:szCs w:val="20"/>
              </w:rPr>
              <w:t>Pricing should promote positive behaviours</w:t>
            </w:r>
          </w:p>
        </w:tc>
      </w:tr>
      <w:tr w:rsidR="00156F94" w:rsidRPr="005E5220" w14:paraId="5A2F68C3" w14:textId="77777777" w:rsidTr="005D59E5">
        <w:trPr>
          <w:trHeight w:val="20"/>
        </w:trPr>
        <w:tc>
          <w:tcPr>
            <w:cnfStyle w:val="001000000000" w:firstRow="0" w:lastRow="0" w:firstColumn="1" w:lastColumn="0" w:oddVBand="0" w:evenVBand="0" w:oddHBand="0" w:evenHBand="0" w:firstRowFirstColumn="0" w:firstRowLastColumn="0" w:lastRowFirstColumn="0" w:lastRowLastColumn="0"/>
            <w:tcW w:w="2448" w:type="pct"/>
            <w:vMerge w:val="restart"/>
          </w:tcPr>
          <w:p w14:paraId="6F948164" w14:textId="77777777" w:rsidR="00156F94" w:rsidRPr="001E347D" w:rsidRDefault="00156F94">
            <w:pPr>
              <w:spacing w:before="0"/>
              <w:rPr>
                <w:b w:val="0"/>
                <w:szCs w:val="20"/>
              </w:rPr>
            </w:pPr>
            <w:r w:rsidRPr="001E347D">
              <w:rPr>
                <w:color w:val="auto"/>
                <w:szCs w:val="20"/>
              </w:rPr>
              <w:t xml:space="preserve">100% </w:t>
            </w:r>
          </w:p>
          <w:p w14:paraId="2F34BDF5" w14:textId="77777777" w:rsidR="00156F94" w:rsidRPr="001E347D" w:rsidRDefault="00156F94">
            <w:pPr>
              <w:spacing w:before="0"/>
              <w:rPr>
                <w:b w:val="0"/>
                <w:szCs w:val="20"/>
              </w:rPr>
            </w:pPr>
            <w:r w:rsidRPr="001E347D">
              <w:rPr>
                <w:color w:val="auto"/>
                <w:szCs w:val="20"/>
              </w:rPr>
              <w:t>cost recovery</w:t>
            </w:r>
          </w:p>
        </w:tc>
        <w:tc>
          <w:tcPr>
            <w:tcW w:w="2552" w:type="pct"/>
          </w:tcPr>
          <w:p w14:paraId="156837BF" w14:textId="77777777" w:rsidR="00156F94" w:rsidRPr="00994DD7" w:rsidRDefault="00156F94">
            <w:pPr>
              <w:spacing w:before="0"/>
              <w:cnfStyle w:val="000000000000" w:firstRow="0" w:lastRow="0" w:firstColumn="0" w:lastColumn="0" w:oddVBand="0" w:evenVBand="0" w:oddHBand="0" w:evenHBand="0" w:firstRowFirstColumn="0" w:firstRowLastColumn="0" w:lastRowFirstColumn="0" w:lastRowLastColumn="0"/>
              <w:rPr>
                <w:rFonts w:cs="Segoe UI Light"/>
                <w:bCs/>
                <w:szCs w:val="20"/>
              </w:rPr>
            </w:pPr>
            <w:r w:rsidRPr="005E5220">
              <w:rPr>
                <w:rFonts w:cs="Segoe UI Light"/>
                <w:bCs/>
                <w:szCs w:val="20"/>
              </w:rPr>
              <w:t>Entities should recover full cost of delivery to promote efficient usage</w:t>
            </w:r>
          </w:p>
        </w:tc>
      </w:tr>
      <w:tr w:rsidR="00156F94" w:rsidRPr="005E5220" w14:paraId="3719E1B6" w14:textId="77777777" w:rsidTr="005D59E5">
        <w:trPr>
          <w:trHeight w:val="23"/>
        </w:trPr>
        <w:tc>
          <w:tcPr>
            <w:cnfStyle w:val="001000000000" w:firstRow="0" w:lastRow="0" w:firstColumn="1" w:lastColumn="0" w:oddVBand="0" w:evenVBand="0" w:oddHBand="0" w:evenHBand="0" w:firstRowFirstColumn="0" w:firstRowLastColumn="0" w:lastRowFirstColumn="0" w:lastRowLastColumn="0"/>
            <w:tcW w:w="2448" w:type="pct"/>
            <w:vMerge/>
          </w:tcPr>
          <w:p w14:paraId="67D2DA87" w14:textId="77777777" w:rsidR="00156F94" w:rsidRPr="001E347D" w:rsidRDefault="00156F94">
            <w:pPr>
              <w:spacing w:before="0"/>
              <w:rPr>
                <w:b w:val="0"/>
                <w:szCs w:val="20"/>
              </w:rPr>
            </w:pPr>
          </w:p>
        </w:tc>
        <w:tc>
          <w:tcPr>
            <w:tcW w:w="2552" w:type="pct"/>
          </w:tcPr>
          <w:p w14:paraId="1F165725" w14:textId="77777777" w:rsidR="00156F94" w:rsidRPr="005E5220" w:rsidRDefault="00156F94">
            <w:pPr>
              <w:spacing w:before="0"/>
              <w:cnfStyle w:val="000000000000" w:firstRow="0" w:lastRow="0" w:firstColumn="0" w:lastColumn="0" w:oddVBand="0" w:evenVBand="0" w:oddHBand="0" w:evenHBand="0" w:firstRowFirstColumn="0" w:firstRowLastColumn="0" w:lastRowFirstColumn="0" w:lastRowLastColumn="0"/>
              <w:rPr>
                <w:bCs/>
              </w:rPr>
            </w:pPr>
            <w:r w:rsidRPr="005E5220">
              <w:rPr>
                <w:rFonts w:cs="Segoe UI Light"/>
                <w:bCs/>
                <w:szCs w:val="20"/>
              </w:rPr>
              <w:t>Cost of service should be borne by those who benefit from the service</w:t>
            </w:r>
          </w:p>
        </w:tc>
      </w:tr>
      <w:tr w:rsidR="00156F94" w:rsidRPr="005E5220" w14:paraId="6F5722CC" w14:textId="77777777" w:rsidTr="005D59E5">
        <w:trPr>
          <w:trHeight w:val="102"/>
        </w:trPr>
        <w:tc>
          <w:tcPr>
            <w:cnfStyle w:val="001000000000" w:firstRow="0" w:lastRow="0" w:firstColumn="1" w:lastColumn="0" w:oddVBand="0" w:evenVBand="0" w:oddHBand="0" w:evenHBand="0" w:firstRowFirstColumn="0" w:firstRowLastColumn="0" w:lastRowFirstColumn="0" w:lastRowLastColumn="0"/>
            <w:tcW w:w="2448" w:type="pct"/>
            <w:vMerge w:val="restart"/>
          </w:tcPr>
          <w:p w14:paraId="76F4D097" w14:textId="77777777" w:rsidR="00156F94" w:rsidRPr="001E347D" w:rsidRDefault="00156F94">
            <w:pPr>
              <w:spacing w:before="0"/>
              <w:rPr>
                <w:szCs w:val="20"/>
              </w:rPr>
            </w:pPr>
            <w:r w:rsidRPr="001E347D">
              <w:rPr>
                <w:color w:val="auto"/>
                <w:szCs w:val="20"/>
                <w:u w:val="single"/>
              </w:rPr>
              <w:t>Below</w:t>
            </w:r>
            <w:r w:rsidRPr="001E347D">
              <w:rPr>
                <w:color w:val="auto"/>
                <w:szCs w:val="20"/>
              </w:rPr>
              <w:t xml:space="preserve"> 100% </w:t>
            </w:r>
          </w:p>
          <w:p w14:paraId="28F32A04" w14:textId="77777777" w:rsidR="00156F94" w:rsidRPr="001E347D" w:rsidRDefault="00156F94">
            <w:pPr>
              <w:spacing w:before="0"/>
              <w:rPr>
                <w:b w:val="0"/>
                <w:szCs w:val="20"/>
              </w:rPr>
            </w:pPr>
            <w:r w:rsidRPr="001E347D">
              <w:rPr>
                <w:color w:val="auto"/>
                <w:szCs w:val="20"/>
              </w:rPr>
              <w:t xml:space="preserve">cost recovery </w:t>
            </w:r>
          </w:p>
        </w:tc>
        <w:tc>
          <w:tcPr>
            <w:tcW w:w="2552" w:type="pct"/>
          </w:tcPr>
          <w:p w14:paraId="139FAA5B" w14:textId="77777777" w:rsidR="00156F94" w:rsidRPr="005E5220" w:rsidRDefault="00156F94">
            <w:pPr>
              <w:spacing w:before="0"/>
              <w:cnfStyle w:val="000000000000" w:firstRow="0" w:lastRow="0" w:firstColumn="0" w:lastColumn="0" w:oddVBand="0" w:evenVBand="0" w:oddHBand="0" w:evenHBand="0" w:firstRowFirstColumn="0" w:firstRowLastColumn="0" w:lastRowFirstColumn="0" w:lastRowLastColumn="0"/>
              <w:rPr>
                <w:bCs/>
              </w:rPr>
            </w:pPr>
            <w:r w:rsidRPr="005E5220">
              <w:rPr>
                <w:rFonts w:cs="Segoe UI Light"/>
                <w:bCs/>
                <w:szCs w:val="20"/>
              </w:rPr>
              <w:t>Services creating broad community benefits should be priced to support efficient usage</w:t>
            </w:r>
          </w:p>
        </w:tc>
      </w:tr>
      <w:tr w:rsidR="00156F94" w:rsidRPr="005E5220" w14:paraId="76D089FF" w14:textId="77777777" w:rsidTr="005D59E5">
        <w:trPr>
          <w:trHeight w:val="20"/>
        </w:trPr>
        <w:tc>
          <w:tcPr>
            <w:cnfStyle w:val="001000000000" w:firstRow="0" w:lastRow="0" w:firstColumn="1" w:lastColumn="0" w:oddVBand="0" w:evenVBand="0" w:oddHBand="0" w:evenHBand="0" w:firstRowFirstColumn="0" w:firstRowLastColumn="0" w:lastRowFirstColumn="0" w:lastRowLastColumn="0"/>
            <w:tcW w:w="2448" w:type="pct"/>
            <w:vMerge/>
          </w:tcPr>
          <w:p w14:paraId="7CDEDFB8" w14:textId="77777777" w:rsidR="00156F94" w:rsidRPr="005E5220" w:rsidRDefault="00156F94">
            <w:pPr>
              <w:spacing w:before="0"/>
              <w:rPr>
                <w:b w:val="0"/>
                <w:color w:val="7B5E05" w:themeColor="accent1"/>
                <w:sz w:val="22"/>
              </w:rPr>
            </w:pPr>
          </w:p>
        </w:tc>
        <w:tc>
          <w:tcPr>
            <w:tcW w:w="2552" w:type="pct"/>
          </w:tcPr>
          <w:p w14:paraId="0D39A08A" w14:textId="77777777" w:rsidR="00156F94" w:rsidRPr="005E5220" w:rsidRDefault="00156F94">
            <w:pPr>
              <w:spacing w:before="0"/>
              <w:cnfStyle w:val="000000000000" w:firstRow="0" w:lastRow="0" w:firstColumn="0" w:lastColumn="0" w:oddVBand="0" w:evenVBand="0" w:oddHBand="0" w:evenHBand="0" w:firstRowFirstColumn="0" w:firstRowLastColumn="0" w:lastRowFirstColumn="0" w:lastRowLastColumn="0"/>
              <w:rPr>
                <w:bCs/>
              </w:rPr>
            </w:pPr>
            <w:r w:rsidRPr="005E5220">
              <w:rPr>
                <w:rFonts w:cs="Segoe UI Light"/>
                <w:bCs/>
                <w:szCs w:val="20"/>
              </w:rPr>
              <w:t>The price of services should not limit access to those with a lower ability to pay</w:t>
            </w:r>
          </w:p>
        </w:tc>
      </w:tr>
    </w:tbl>
    <w:p w14:paraId="394B00DC" w14:textId="7E4F5215" w:rsidR="00156F94" w:rsidRPr="002159B2" w:rsidRDefault="007E4EE8" w:rsidP="00156F94">
      <w:pPr>
        <w:rPr>
          <w:rFonts w:cs="Segoe UI Light"/>
          <w:szCs w:val="20"/>
          <w:highlight w:val="yellow"/>
        </w:rPr>
      </w:pPr>
      <w:r>
        <w:t>As part of this sunsetting review the department has considered the</w:t>
      </w:r>
      <w:r w:rsidR="00761CAE" w:rsidRPr="005E5220">
        <w:t xml:space="preserve"> appropriate level of cost recovery</w:t>
      </w:r>
      <w:r w:rsidR="00B32540">
        <w:t xml:space="preserve">. </w:t>
      </w:r>
    </w:p>
    <w:p w14:paraId="3699E497" w14:textId="6F4AB2EF" w:rsidR="009E02E3" w:rsidRDefault="00934194" w:rsidP="00232C0B">
      <w:r>
        <w:t>Under the current prescribed fees</w:t>
      </w:r>
      <w:r w:rsidR="00AF0A44">
        <w:t xml:space="preserve"> </w:t>
      </w:r>
      <w:r w:rsidR="0091051F">
        <w:t xml:space="preserve">(plus the addition of a proposed new fee for an application for an AIP </w:t>
      </w:r>
      <w:r w:rsidR="0091051F" w:rsidRPr="0091051F">
        <w:t>to use particular land or premises as a private hospital or day procedure centre</w:t>
      </w:r>
      <w:r w:rsidR="0091051F">
        <w:t xml:space="preserve">, as discussed in </w:t>
      </w:r>
      <w:r w:rsidR="007F0D29">
        <w:t xml:space="preserve">section 10.3.1), </w:t>
      </w:r>
      <w:r w:rsidR="009E02E3">
        <w:t xml:space="preserve">it is estimated that </w:t>
      </w:r>
      <w:r>
        <w:t>revenue of $</w:t>
      </w:r>
      <w:r w:rsidR="00612AEA" w:rsidRPr="00612AEA">
        <w:t>883,639</w:t>
      </w:r>
      <w:r w:rsidR="00612AEA">
        <w:t xml:space="preserve"> </w:t>
      </w:r>
      <w:r w:rsidR="009E02E3">
        <w:t>would be collected</w:t>
      </w:r>
      <w:r w:rsidR="009E02E3" w:rsidRPr="009E02E3">
        <w:t xml:space="preserve"> </w:t>
      </w:r>
      <w:r w:rsidR="009E02E3">
        <w:t>in</w:t>
      </w:r>
      <w:r w:rsidR="009E02E3" w:rsidRPr="009E02E3">
        <w:t xml:space="preserve"> the first year of the regulations, 2024-25</w:t>
      </w:r>
      <w:r w:rsidR="009E02E3">
        <w:t>, as shown in Table 1</w:t>
      </w:r>
      <w:r w:rsidR="004712A5">
        <w:t>4</w:t>
      </w:r>
      <w:r w:rsidR="009E02E3">
        <w:t>.</w:t>
      </w:r>
      <w:r w:rsidR="00F201B7">
        <w:t xml:space="preserve"> This represents a</w:t>
      </w:r>
      <w:r w:rsidR="00914172">
        <w:t>n estimated</w:t>
      </w:r>
      <w:r w:rsidR="00F201B7">
        <w:t xml:space="preserve"> cost recovery level of </w:t>
      </w:r>
      <w:r w:rsidR="00AB7211">
        <w:t>6</w:t>
      </w:r>
      <w:r w:rsidR="008C7A02">
        <w:t>2</w:t>
      </w:r>
      <w:r w:rsidR="00AB7211">
        <w:t>%</w:t>
      </w:r>
      <w:r w:rsidR="00914172">
        <w:t xml:space="preserve"> (versus estimated total costs of $</w:t>
      </w:r>
      <w:r w:rsidR="008C7A02" w:rsidRPr="008C7A02">
        <w:t>1,415,800</w:t>
      </w:r>
      <w:r w:rsidR="00914172">
        <w:t>).</w:t>
      </w:r>
    </w:p>
    <w:p w14:paraId="427FE165" w14:textId="7082AF6F" w:rsidR="00AB7211" w:rsidRDefault="00AB7211" w:rsidP="00AB7211">
      <w:r w:rsidRPr="00696FA9">
        <w:t xml:space="preserve">The department considers that fees should recover at least some amount of the department’s costs of administering the registrations framework and other regulatory activities related to HSEs. This is consistent with the principle </w:t>
      </w:r>
      <w:r w:rsidR="007E2E3D">
        <w:t>that the c</w:t>
      </w:r>
      <w:r w:rsidR="007E2E3D" w:rsidRPr="007E2E3D">
        <w:t>ost of service should be borne by those who benefit from the service</w:t>
      </w:r>
      <w:r w:rsidR="007E2E3D">
        <w:t>.</w:t>
      </w:r>
    </w:p>
    <w:p w14:paraId="1A8BC455" w14:textId="0CDD1E22" w:rsidR="00AB7211" w:rsidRPr="00977CF0" w:rsidRDefault="00AB7211" w:rsidP="00AB7211">
      <w:pPr>
        <w:rPr>
          <w:rFonts w:cs="Segoe UI Light"/>
          <w:szCs w:val="20"/>
        </w:rPr>
      </w:pPr>
      <w:r w:rsidRPr="00977CF0">
        <w:rPr>
          <w:rFonts w:cs="Segoe UI Light"/>
          <w:szCs w:val="20"/>
        </w:rPr>
        <w:t xml:space="preserve">To achieve </w:t>
      </w:r>
      <w:r w:rsidRPr="009B4D1E">
        <w:rPr>
          <w:rFonts w:cs="Segoe UI Light"/>
          <w:szCs w:val="20"/>
        </w:rPr>
        <w:t>full cost recovery</w:t>
      </w:r>
      <w:r w:rsidRPr="00977CF0">
        <w:rPr>
          <w:rFonts w:cs="Segoe UI Light"/>
          <w:szCs w:val="20"/>
        </w:rPr>
        <w:t xml:space="preserve">, there would need to be a uniform increase in fees of about </w:t>
      </w:r>
      <w:r w:rsidR="00F56E41">
        <w:rPr>
          <w:rFonts w:cs="Segoe UI Light"/>
          <w:szCs w:val="20"/>
        </w:rPr>
        <w:t>60</w:t>
      </w:r>
      <w:r w:rsidRPr="00977CF0">
        <w:rPr>
          <w:rFonts w:cs="Segoe UI Light"/>
          <w:szCs w:val="20"/>
        </w:rPr>
        <w:t>%.</w:t>
      </w:r>
      <w:r w:rsidR="00E42FA1">
        <w:rPr>
          <w:rFonts w:cs="Segoe UI Light"/>
          <w:szCs w:val="20"/>
        </w:rPr>
        <w:t xml:space="preserve"> </w:t>
      </w:r>
      <w:r w:rsidRPr="00977CF0">
        <w:rPr>
          <w:rFonts w:cs="Segoe UI Light"/>
          <w:szCs w:val="20"/>
        </w:rPr>
        <w:t>Application fees for AIP to build a private hospital would increase to $8,</w:t>
      </w:r>
      <w:r w:rsidR="00157A0C">
        <w:rPr>
          <w:rFonts w:cs="Segoe UI Light"/>
          <w:szCs w:val="20"/>
        </w:rPr>
        <w:t>268</w:t>
      </w:r>
      <w:r w:rsidRPr="00977CF0">
        <w:rPr>
          <w:rFonts w:cs="Segoe UI Light"/>
          <w:szCs w:val="20"/>
        </w:rPr>
        <w:t xml:space="preserve"> and to build a day procedure centre would increase to $7,</w:t>
      </w:r>
      <w:r w:rsidR="00157A0C">
        <w:rPr>
          <w:rFonts w:cs="Segoe UI Light"/>
          <w:szCs w:val="20"/>
        </w:rPr>
        <w:t>378</w:t>
      </w:r>
      <w:r w:rsidRPr="00977CF0">
        <w:rPr>
          <w:rFonts w:cs="Segoe UI Light"/>
          <w:szCs w:val="20"/>
        </w:rPr>
        <w:t>. Application fees for registration and renewals would increase to between $9,</w:t>
      </w:r>
      <w:r w:rsidR="00157A0C">
        <w:rPr>
          <w:rFonts w:cs="Segoe UI Light"/>
          <w:szCs w:val="20"/>
        </w:rPr>
        <w:t xml:space="preserve">311 </w:t>
      </w:r>
      <w:r w:rsidRPr="00977CF0">
        <w:rPr>
          <w:rFonts w:cs="Segoe UI Light"/>
          <w:szCs w:val="20"/>
        </w:rPr>
        <w:t>for a HSE with 0-26 beds to $29,</w:t>
      </w:r>
      <w:r w:rsidR="00157A0C">
        <w:rPr>
          <w:rFonts w:cs="Segoe UI Light"/>
          <w:szCs w:val="20"/>
        </w:rPr>
        <w:t>892</w:t>
      </w:r>
      <w:r w:rsidRPr="00977CF0">
        <w:rPr>
          <w:rFonts w:cs="Segoe UI Light"/>
          <w:szCs w:val="20"/>
        </w:rPr>
        <w:t xml:space="preserve"> for a HSE with 501 or more beds.</w:t>
      </w:r>
    </w:p>
    <w:p w14:paraId="7EF79F7B" w14:textId="290B46CF" w:rsidR="00AB7211" w:rsidRDefault="00E42FA1" w:rsidP="00AB7211">
      <w:r>
        <w:t>This would remove the under-recovery and ensure that the private health sector pays the full cost</w:t>
      </w:r>
      <w:r w:rsidR="009B4D1E">
        <w:t xml:space="preserve">s of its regulation. </w:t>
      </w:r>
    </w:p>
    <w:p w14:paraId="3F72FA6A" w14:textId="34B55C53" w:rsidR="009B4D1E" w:rsidRDefault="009B4D1E" w:rsidP="00AB7211">
      <w:r>
        <w:lastRenderedPageBreak/>
        <w:t>However,</w:t>
      </w:r>
      <w:r w:rsidR="002007FA">
        <w:t xml:space="preserve"> stakeholder feedback from the sector</w:t>
      </w:r>
      <w:r>
        <w:t xml:space="preserve"> </w:t>
      </w:r>
      <w:r w:rsidR="00697174">
        <w:t xml:space="preserve">raised concerns about the </w:t>
      </w:r>
      <w:r w:rsidR="00723A89">
        <w:t>impact of regulatory burden on financial viability of facilities</w:t>
      </w:r>
      <w:r w:rsidR="007408AD">
        <w:t>,</w:t>
      </w:r>
      <w:r w:rsidR="009F1436">
        <w:t xml:space="preserve"> arguing this</w:t>
      </w:r>
      <w:r w:rsidR="0005384C">
        <w:t xml:space="preserve"> </w:t>
      </w:r>
      <w:r w:rsidR="00DE34D9">
        <w:t xml:space="preserve">could ultimately adversely </w:t>
      </w:r>
      <w:r w:rsidR="0097373F">
        <w:t>impact capacity of facilities to offer safe and high</w:t>
      </w:r>
      <w:r w:rsidR="00E31508">
        <w:t>-</w:t>
      </w:r>
      <w:r w:rsidR="0097373F">
        <w:t>quality services</w:t>
      </w:r>
      <w:r w:rsidR="007147B5">
        <w:t>.</w:t>
      </w:r>
      <w:r w:rsidR="0005384C">
        <w:t xml:space="preserve"> </w:t>
      </w:r>
      <w:r w:rsidR="008662D5">
        <w:t xml:space="preserve"> </w:t>
      </w:r>
      <w:r w:rsidR="00D45E15">
        <w:t xml:space="preserve">It </w:t>
      </w:r>
      <w:r w:rsidR="00262410">
        <w:t>has been</w:t>
      </w:r>
      <w:r w:rsidR="00D45E15">
        <w:t xml:space="preserve"> considered </w:t>
      </w:r>
      <w:r w:rsidR="00713A10">
        <w:t>that the</w:t>
      </w:r>
      <w:r w:rsidR="008662D5">
        <w:t xml:space="preserve"> large fee increase required for full cost recovery could impact the ability to pay</w:t>
      </w:r>
      <w:r w:rsidR="0016462A">
        <w:t xml:space="preserve"> of some HSEs, particularly smaller day care procedure centres. </w:t>
      </w:r>
      <w:r w:rsidR="00002F25">
        <w:t xml:space="preserve">While the fee level </w:t>
      </w:r>
      <w:r w:rsidR="00C94E00">
        <w:t>may be</w:t>
      </w:r>
      <w:r w:rsidR="00002F25">
        <w:t xml:space="preserve"> negligible for some large HSEs </w:t>
      </w:r>
      <w:r w:rsidR="00002F25" w:rsidRPr="005E5220">
        <w:t>compared to total costs of health establishment operation</w:t>
      </w:r>
      <w:r w:rsidR="00002F25">
        <w:t xml:space="preserve">, </w:t>
      </w:r>
      <w:r w:rsidR="004F12B1">
        <w:t>if a large increase impacts viability it</w:t>
      </w:r>
      <w:r w:rsidR="00002F25">
        <w:t xml:space="preserve"> </w:t>
      </w:r>
      <w:r w:rsidR="00CA68E4">
        <w:t xml:space="preserve">could </w:t>
      </w:r>
      <w:r w:rsidR="004F12B1">
        <w:t>potentially</w:t>
      </w:r>
      <w:r w:rsidR="00CA68E4">
        <w:t xml:space="preserve"> </w:t>
      </w:r>
      <w:r w:rsidR="00D74D9E">
        <w:t>compromise</w:t>
      </w:r>
      <w:r w:rsidR="00F3018E">
        <w:t xml:space="preserve"> </w:t>
      </w:r>
      <w:r w:rsidR="00AC370D">
        <w:t>operation of the facility</w:t>
      </w:r>
      <w:r w:rsidR="002007FA">
        <w:t xml:space="preserve">, which could negatively impact </w:t>
      </w:r>
      <w:r w:rsidR="00D62E4E">
        <w:t>the quality and safety of patient care</w:t>
      </w:r>
    </w:p>
    <w:p w14:paraId="13D2E184" w14:textId="0008D6C0" w:rsidR="0011440F" w:rsidRDefault="00C62827" w:rsidP="00AB7211">
      <w:r>
        <w:t xml:space="preserve">Full cost recovery could be achieved by setting relatively higher fees for larger HSEs </w:t>
      </w:r>
      <w:r w:rsidR="00F20660">
        <w:t xml:space="preserve">instead of a uniform fee increase </w:t>
      </w:r>
      <w:r>
        <w:t>(</w:t>
      </w:r>
      <w:r w:rsidR="00DB410A">
        <w:t>thus increasing the level of cross-subsidy between larger and smaller HSEs – see below for discussion of fee structure)</w:t>
      </w:r>
      <w:r w:rsidR="002C1B37">
        <w:t xml:space="preserve">. However, given that most applications are in relation to HSEs with </w:t>
      </w:r>
      <w:r w:rsidR="00BE7472">
        <w:t>0-26 beds, the increase required for larger HSEs to fully subsidise smaller HSEs</w:t>
      </w:r>
      <w:r w:rsidR="00F20660">
        <w:t xml:space="preserve"> is very large and is</w:t>
      </w:r>
      <w:r w:rsidR="00BF116D">
        <w:t xml:space="preserve"> not considered reasonable</w:t>
      </w:r>
      <w:r w:rsidR="00390B1C">
        <w:t xml:space="preserve"> e.g. </w:t>
      </w:r>
      <w:r w:rsidR="00B3788D">
        <w:t>an increase of around 150% would be required, increasing registration and renewals fees to</w:t>
      </w:r>
      <w:r w:rsidR="00CF2513">
        <w:t xml:space="preserve"> nearly</w:t>
      </w:r>
      <w:r w:rsidR="00B3788D">
        <w:t xml:space="preserve"> </w:t>
      </w:r>
      <w:r w:rsidR="00A748B6">
        <w:t>$2</w:t>
      </w:r>
      <w:r w:rsidR="00CF2513">
        <w:t>2</w:t>
      </w:r>
      <w:r w:rsidR="00A748B6">
        <w:t>,</w:t>
      </w:r>
      <w:r w:rsidR="00CF2513">
        <w:t>000</w:t>
      </w:r>
      <w:r w:rsidR="00A748B6">
        <w:t xml:space="preserve"> for </w:t>
      </w:r>
      <w:r w:rsidR="000F55AF">
        <w:t xml:space="preserve">a HSE with 101-150 beds and </w:t>
      </w:r>
      <w:r w:rsidR="00CF2513">
        <w:t xml:space="preserve">nearly </w:t>
      </w:r>
      <w:r w:rsidR="000F55AF">
        <w:t>$</w:t>
      </w:r>
      <w:r w:rsidR="00CF2513">
        <w:t>47,000</w:t>
      </w:r>
      <w:r w:rsidR="000F55AF">
        <w:t xml:space="preserve"> for a HSE with 501 or more beds</w:t>
      </w:r>
      <w:r w:rsidR="00BF116D">
        <w:t>.</w:t>
      </w:r>
      <w:r w:rsidR="0081336A">
        <w:rPr>
          <w:rStyle w:val="FootnoteReference"/>
        </w:rPr>
        <w:footnoteReference w:id="111"/>
      </w:r>
      <w:r w:rsidR="002C1B37">
        <w:t xml:space="preserve"> </w:t>
      </w:r>
    </w:p>
    <w:p w14:paraId="5A347CDA" w14:textId="63BC9D95" w:rsidR="0011440F" w:rsidRDefault="0011440F" w:rsidP="00AB7211">
      <w:r>
        <w:t>The department therefore proposes to maintain a partial level of cost recovery.</w:t>
      </w:r>
      <w:r w:rsidR="00320800">
        <w:t xml:space="preserve"> </w:t>
      </w:r>
      <w:r w:rsidR="00843F1F">
        <w:rPr>
          <w:rStyle w:val="ui-provider"/>
        </w:rPr>
        <w:t xml:space="preserve">Having regard to the feedback received about possible impact </w:t>
      </w:r>
      <w:r w:rsidR="00C34143">
        <w:rPr>
          <w:rStyle w:val="ui-provider"/>
        </w:rPr>
        <w:t xml:space="preserve">from regulatory burden </w:t>
      </w:r>
      <w:r w:rsidR="00843F1F">
        <w:rPr>
          <w:rStyle w:val="ui-provider"/>
        </w:rPr>
        <w:t>on quality and safety of services, s</w:t>
      </w:r>
      <w:r w:rsidR="00320800">
        <w:t xml:space="preserve">etting fees </w:t>
      </w:r>
      <w:r w:rsidR="00B50338">
        <w:t xml:space="preserve">at this time </w:t>
      </w:r>
      <w:r w:rsidR="00320800">
        <w:t xml:space="preserve">below the level required to </w:t>
      </w:r>
      <w:r w:rsidR="006550E2">
        <w:t>fully recover the Department’s costs</w:t>
      </w:r>
      <w:r w:rsidR="00BE3DAC">
        <w:t xml:space="preserve"> </w:t>
      </w:r>
      <w:r w:rsidR="001B31CF">
        <w:t xml:space="preserve">also reflects the fact that </w:t>
      </w:r>
      <w:r w:rsidR="00D456A5">
        <w:t>where</w:t>
      </w:r>
      <w:r w:rsidR="001B31CF">
        <w:t xml:space="preserve"> HSEs </w:t>
      </w:r>
      <w:r w:rsidR="00487122">
        <w:t xml:space="preserve">can </w:t>
      </w:r>
      <w:r w:rsidR="00D64218">
        <w:t xml:space="preserve">offer </w:t>
      </w:r>
      <w:r w:rsidR="00487122">
        <w:t xml:space="preserve">safe and high quality patient care </w:t>
      </w:r>
      <w:r w:rsidR="00D64218">
        <w:t xml:space="preserve">on a sustainable financial basis </w:t>
      </w:r>
      <w:r w:rsidR="00D456A5">
        <w:t xml:space="preserve">this </w:t>
      </w:r>
      <w:r w:rsidR="00D64218">
        <w:t>provides</w:t>
      </w:r>
      <w:r w:rsidR="006550E2">
        <w:t xml:space="preserve"> broader public benefit. </w:t>
      </w:r>
    </w:p>
    <w:p w14:paraId="2C782BA1" w14:textId="0231816E" w:rsidR="009A386E" w:rsidRDefault="00434658" w:rsidP="001E347D">
      <w:r>
        <w:t>It is noted that the</w:t>
      </w:r>
      <w:r w:rsidR="00AB7211" w:rsidRPr="005E5220">
        <w:t xml:space="preserve"> assumption underpinning the analysis in this RIS is that the department must be funded to deliver its statutory obligations to regulate and administer the Act and Regulations. The hypothetical base case scenario is that if no new fees are established under the Regulations, the department would seek funding from the Consolidated Fund to ensure it can deliver on its statutory obligations. </w:t>
      </w:r>
    </w:p>
    <w:p w14:paraId="4B53E7FE" w14:textId="15D33444" w:rsidR="00EC6DC5" w:rsidRDefault="00EC6DC5" w:rsidP="00EC6DC5">
      <w:pPr>
        <w:pStyle w:val="Caption"/>
      </w:pPr>
      <w:r>
        <w:t xml:space="preserve">Table </w:t>
      </w:r>
      <w:fldSimple w:instr=" SEQ Table \* ARABIC ">
        <w:r w:rsidR="004F2320">
          <w:rPr>
            <w:noProof/>
          </w:rPr>
          <w:t>14</w:t>
        </w:r>
      </w:fldSimple>
      <w:r w:rsidR="00140425">
        <w:t xml:space="preserve"> </w:t>
      </w:r>
      <w:r w:rsidRPr="00EC6DC5">
        <w:t>Fee revenue with proposed fees, $2024-25</w:t>
      </w:r>
    </w:p>
    <w:tbl>
      <w:tblPr>
        <w:tblStyle w:val="SapereTable"/>
        <w:tblW w:w="5000" w:type="pct"/>
        <w:tblLook w:val="04A0" w:firstRow="1" w:lastRow="0" w:firstColumn="1" w:lastColumn="0" w:noHBand="0" w:noVBand="1"/>
      </w:tblPr>
      <w:tblGrid>
        <w:gridCol w:w="3220"/>
        <w:gridCol w:w="870"/>
        <w:gridCol w:w="1581"/>
        <w:gridCol w:w="141"/>
        <w:gridCol w:w="23"/>
        <w:gridCol w:w="1657"/>
        <w:gridCol w:w="1534"/>
      </w:tblGrid>
      <w:tr w:rsidR="00C7236A" w:rsidRPr="00855FEE" w14:paraId="13101859" w14:textId="77777777" w:rsidTr="005D59E5">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203486C4" w14:textId="77777777" w:rsidR="00EC6DC5" w:rsidRPr="003476CD" w:rsidRDefault="00EC6DC5" w:rsidP="003476CD">
            <w:pPr>
              <w:spacing w:before="0"/>
              <w:rPr>
                <w:rFonts w:asciiTheme="majorHAnsi" w:hAnsiTheme="majorHAnsi" w:cstheme="majorHAnsi"/>
                <w:szCs w:val="20"/>
              </w:rPr>
            </w:pPr>
            <w:r w:rsidRPr="003476CD">
              <w:rPr>
                <w:rFonts w:asciiTheme="majorHAnsi" w:hAnsiTheme="majorHAnsi" w:cstheme="majorHAnsi"/>
                <w:szCs w:val="20"/>
              </w:rPr>
              <w:t>Output</w:t>
            </w:r>
          </w:p>
        </w:tc>
        <w:tc>
          <w:tcPr>
            <w:tcW w:w="967" w:type="pct"/>
            <w:gridSpan w:val="3"/>
            <w:hideMark/>
          </w:tcPr>
          <w:p w14:paraId="1A22CA0C" w14:textId="77777777" w:rsidR="00EC6DC5" w:rsidRPr="003476CD" w:rsidRDefault="00EC6DC5" w:rsidP="0083678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476CD">
              <w:rPr>
                <w:rFonts w:asciiTheme="majorHAnsi" w:hAnsiTheme="majorHAnsi" w:cstheme="majorHAnsi"/>
                <w:szCs w:val="20"/>
              </w:rPr>
              <w:t>Fee per application $</w:t>
            </w:r>
          </w:p>
        </w:tc>
        <w:tc>
          <w:tcPr>
            <w:tcW w:w="918" w:type="pct"/>
            <w:hideMark/>
          </w:tcPr>
          <w:p w14:paraId="43ADF4B8" w14:textId="418CD72B" w:rsidR="00EC6DC5" w:rsidRPr="003476CD" w:rsidRDefault="00EC6DC5" w:rsidP="0083678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476CD">
              <w:rPr>
                <w:rFonts w:asciiTheme="majorHAnsi" w:hAnsiTheme="majorHAnsi" w:cstheme="majorHAnsi"/>
                <w:szCs w:val="20"/>
              </w:rPr>
              <w:t>N</w:t>
            </w:r>
            <w:r w:rsidR="00C7236A" w:rsidRPr="003476CD">
              <w:rPr>
                <w:rFonts w:asciiTheme="majorHAnsi" w:hAnsiTheme="majorHAnsi" w:cstheme="majorHAnsi"/>
                <w:szCs w:val="20"/>
              </w:rPr>
              <w:t>o.</w:t>
            </w:r>
            <w:r w:rsidRPr="003476CD">
              <w:rPr>
                <w:rFonts w:asciiTheme="majorHAnsi" w:hAnsiTheme="majorHAnsi" w:cstheme="majorHAnsi"/>
                <w:szCs w:val="20"/>
              </w:rPr>
              <w:t xml:space="preserve"> of applications</w:t>
            </w:r>
          </w:p>
        </w:tc>
        <w:tc>
          <w:tcPr>
            <w:tcW w:w="851" w:type="pct"/>
            <w:hideMark/>
          </w:tcPr>
          <w:p w14:paraId="0391FFD4" w14:textId="77777777" w:rsidR="00EC6DC5" w:rsidRPr="003476CD" w:rsidRDefault="00EC6DC5" w:rsidP="00836785">
            <w:pPr>
              <w:spacing w:before="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476CD">
              <w:rPr>
                <w:rFonts w:asciiTheme="majorHAnsi" w:hAnsiTheme="majorHAnsi" w:cstheme="majorHAnsi"/>
                <w:szCs w:val="20"/>
              </w:rPr>
              <w:t>Fee revenue $</w:t>
            </w:r>
          </w:p>
        </w:tc>
      </w:tr>
      <w:tr w:rsidR="00EC6DC5" w:rsidRPr="00855FEE" w14:paraId="133AC966" w14:textId="77777777" w:rsidTr="00CF5ACF">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auto"/>
            <w:hideMark/>
          </w:tcPr>
          <w:p w14:paraId="6B82C7E0" w14:textId="77777777" w:rsidR="00EC6DC5" w:rsidRPr="002C7B75" w:rsidRDefault="00EC6DC5">
            <w:pPr>
              <w:spacing w:before="0" w:line="240" w:lineRule="auto"/>
              <w:rPr>
                <w:rFonts w:eastAsia="Times New Roman" w:cstheme="minorHAnsi"/>
                <w:b w:val="0"/>
                <w:color w:val="auto"/>
                <w:szCs w:val="20"/>
                <w:lang w:val="en-AU" w:eastAsia="en-AU"/>
              </w:rPr>
            </w:pPr>
            <w:r w:rsidRPr="002C7B75">
              <w:rPr>
                <w:rFonts w:eastAsia="Times New Roman" w:cstheme="minorHAnsi"/>
                <w:color w:val="auto"/>
                <w:szCs w:val="20"/>
                <w:lang w:val="en-AU" w:eastAsia="en-AU"/>
              </w:rPr>
              <w:t>Approval in principle</w:t>
            </w:r>
          </w:p>
        </w:tc>
      </w:tr>
      <w:tr w:rsidR="00C7236A" w:rsidRPr="00855FEE" w14:paraId="05CCC958" w14:textId="77777777" w:rsidTr="005D59E5">
        <w:trPr>
          <w:trHeight w:val="7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14D0C9E" w14:textId="77777777" w:rsidR="00EC6DC5" w:rsidRPr="002C7B75" w:rsidRDefault="00EC6DC5">
            <w:pPr>
              <w:spacing w:before="0" w:line="240" w:lineRule="auto"/>
              <w:ind w:firstLineChars="200" w:firstLine="402"/>
              <w:rPr>
                <w:rFonts w:eastAsia="Times New Roman" w:cstheme="minorHAnsi"/>
                <w:i/>
                <w:color w:val="auto"/>
                <w:szCs w:val="20"/>
                <w:lang w:val="en-AU" w:eastAsia="en-AU"/>
              </w:rPr>
            </w:pPr>
            <w:r w:rsidRPr="002C7B75">
              <w:rPr>
                <w:rFonts w:eastAsia="Times New Roman" w:cstheme="minorHAnsi"/>
                <w:i/>
                <w:color w:val="auto"/>
                <w:szCs w:val="20"/>
                <w:lang w:val="en-AU" w:eastAsia="en-AU"/>
              </w:rPr>
              <w:t>Application for an AIP</w:t>
            </w:r>
          </w:p>
        </w:tc>
        <w:tc>
          <w:tcPr>
            <w:tcW w:w="954" w:type="pct"/>
            <w:gridSpan w:val="2"/>
            <w:hideMark/>
          </w:tcPr>
          <w:p w14:paraId="13E9FCF1" w14:textId="77777777" w:rsidR="00EC6DC5" w:rsidRPr="002C7B75" w:rsidRDefault="00EC6DC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Cs w:val="20"/>
                <w:lang w:val="en-AU" w:eastAsia="en-AU"/>
              </w:rPr>
            </w:pPr>
          </w:p>
        </w:tc>
        <w:tc>
          <w:tcPr>
            <w:tcW w:w="930" w:type="pct"/>
            <w:gridSpan w:val="2"/>
            <w:hideMark/>
          </w:tcPr>
          <w:p w14:paraId="1299607A" w14:textId="77777777" w:rsidR="00EC6DC5" w:rsidRPr="002C7B75" w:rsidRDefault="00EC6DC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Cs w:val="20"/>
                <w:lang w:val="en-AU" w:eastAsia="en-AU"/>
              </w:rPr>
            </w:pPr>
          </w:p>
        </w:tc>
        <w:tc>
          <w:tcPr>
            <w:tcW w:w="851" w:type="pct"/>
            <w:noWrap/>
            <w:hideMark/>
          </w:tcPr>
          <w:p w14:paraId="2116E145" w14:textId="77777777" w:rsidR="00EC6DC5" w:rsidRPr="002C7B75" w:rsidRDefault="00EC6DC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p>
        </w:tc>
      </w:tr>
      <w:tr w:rsidR="00D601C9" w:rsidRPr="00855FEE" w14:paraId="538B15E8" w14:textId="77777777" w:rsidTr="005D59E5">
        <w:trPr>
          <w:trHeight w:val="7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1C54EE11" w14:textId="6288C242" w:rsidR="00D601C9" w:rsidRPr="002C7B75" w:rsidRDefault="00D601C9" w:rsidP="00D601C9">
            <w:pPr>
              <w:spacing w:before="0" w:line="240" w:lineRule="auto"/>
              <w:ind w:left="318"/>
              <w:rPr>
                <w:rFonts w:eastAsia="Times New Roman" w:cstheme="minorHAnsi"/>
                <w:b w:val="0"/>
                <w:bCs/>
                <w:color w:val="auto"/>
                <w:szCs w:val="20"/>
                <w:lang w:val="en-AU" w:eastAsia="en-AU"/>
              </w:rPr>
            </w:pPr>
            <w:r w:rsidRPr="00836785">
              <w:rPr>
                <w:rFonts w:eastAsia="Times New Roman" w:cstheme="minorHAnsi"/>
                <w:b w:val="0"/>
                <w:bCs/>
                <w:color w:val="auto"/>
                <w:szCs w:val="20"/>
                <w:lang w:val="en-AU" w:eastAsia="en-AU"/>
              </w:rPr>
              <w:t>(</w:t>
            </w:r>
            <w:r>
              <w:rPr>
                <w:rFonts w:eastAsia="Times New Roman" w:cstheme="minorHAnsi"/>
                <w:b w:val="0"/>
                <w:bCs/>
                <w:color w:val="auto"/>
                <w:szCs w:val="20"/>
                <w:lang w:val="en-AU" w:eastAsia="en-AU"/>
              </w:rPr>
              <w:t>a</w:t>
            </w:r>
            <w:r w:rsidRPr="00836785">
              <w:rPr>
                <w:rFonts w:eastAsia="Times New Roman" w:cstheme="minorHAnsi"/>
                <w:b w:val="0"/>
                <w:bCs/>
                <w:color w:val="auto"/>
                <w:szCs w:val="20"/>
                <w:lang w:val="en-AU" w:eastAsia="en-AU"/>
              </w:rPr>
              <w:t>) to use particular land or premises as a private hospital or day procedure centre</w:t>
            </w:r>
          </w:p>
        </w:tc>
        <w:tc>
          <w:tcPr>
            <w:tcW w:w="954" w:type="pct"/>
            <w:gridSpan w:val="2"/>
            <w:hideMark/>
          </w:tcPr>
          <w:p w14:paraId="013DC564" w14:textId="3391489A" w:rsidR="00D601C9" w:rsidRPr="002C7B75" w:rsidRDefault="00D601C9" w:rsidP="00D601C9">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836785">
              <w:rPr>
                <w:rFonts w:eastAsia="Times New Roman" w:cstheme="minorHAnsi"/>
                <w:szCs w:val="20"/>
                <w:lang w:val="en-AU" w:eastAsia="en-AU"/>
              </w:rPr>
              <w:t>5,168</w:t>
            </w:r>
          </w:p>
        </w:tc>
        <w:tc>
          <w:tcPr>
            <w:tcW w:w="930" w:type="pct"/>
            <w:gridSpan w:val="2"/>
            <w:hideMark/>
          </w:tcPr>
          <w:p w14:paraId="39CA3E2F" w14:textId="679B01A0" w:rsidR="00D601C9" w:rsidRPr="00D601C9" w:rsidRDefault="00D601C9" w:rsidP="005D59E5">
            <w:pPr>
              <w:spacing w:before="0" w:line="240" w:lineRule="auto"/>
              <w:ind w:right="-93"/>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Cs w:val="20"/>
                <w:lang w:val="en-AU" w:eastAsia="en-AU"/>
              </w:rPr>
            </w:pPr>
            <w:r w:rsidRPr="005D59E5">
              <w:rPr>
                <w:rFonts w:eastAsia="Times New Roman" w:cstheme="minorHAnsi"/>
                <w:bCs/>
                <w:color w:val="auto"/>
                <w:szCs w:val="20"/>
                <w:lang w:val="en-AU" w:eastAsia="en-AU"/>
              </w:rPr>
              <w:t>1</w:t>
            </w:r>
          </w:p>
        </w:tc>
        <w:tc>
          <w:tcPr>
            <w:tcW w:w="851" w:type="pct"/>
            <w:noWrap/>
            <w:hideMark/>
          </w:tcPr>
          <w:p w14:paraId="1EC0550A" w14:textId="409A547B" w:rsidR="00D601C9" w:rsidRPr="002C7B75" w:rsidRDefault="00D601C9" w:rsidP="00D601C9">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5D59E5">
              <w:rPr>
                <w:rFonts w:eastAsia="Times New Roman" w:cstheme="minorHAnsi"/>
                <w:color w:val="auto"/>
                <w:szCs w:val="20"/>
                <w:lang w:val="en-AU" w:eastAsia="en-AU"/>
              </w:rPr>
              <w:t>5,168</w:t>
            </w:r>
          </w:p>
        </w:tc>
      </w:tr>
      <w:tr w:rsidR="00D601C9" w:rsidRPr="00855FEE" w14:paraId="5675ACB3" w14:textId="77777777" w:rsidTr="005D59E5">
        <w:trPr>
          <w:trHeight w:val="42"/>
        </w:trPr>
        <w:tc>
          <w:tcPr>
            <w:cnfStyle w:val="001000000000" w:firstRow="0" w:lastRow="0" w:firstColumn="1" w:lastColumn="0" w:oddVBand="0" w:evenVBand="0" w:oddHBand="0" w:evenHBand="0" w:firstRowFirstColumn="0" w:firstRowLastColumn="0" w:lastRowFirstColumn="0" w:lastRowLastColumn="0"/>
            <w:tcW w:w="1783" w:type="pct"/>
          </w:tcPr>
          <w:p w14:paraId="5202BE1B" w14:textId="4C4C074E" w:rsidR="00D601C9" w:rsidRPr="005D59E5" w:rsidRDefault="00D601C9" w:rsidP="00D601C9">
            <w:pPr>
              <w:spacing w:before="0" w:line="240" w:lineRule="auto"/>
              <w:ind w:left="318"/>
              <w:rPr>
                <w:rFonts w:eastAsia="Times New Roman" w:cstheme="minorHAnsi"/>
                <w:b w:val="0"/>
                <w:bCs/>
                <w:color w:val="auto"/>
                <w:szCs w:val="20"/>
                <w:lang w:val="en-AU" w:eastAsia="en-AU"/>
              </w:rPr>
            </w:pPr>
            <w:r w:rsidRPr="005D59E5">
              <w:rPr>
                <w:rFonts w:eastAsia="Times New Roman" w:cstheme="minorHAnsi"/>
                <w:b w:val="0"/>
                <w:bCs/>
                <w:color w:val="auto"/>
                <w:szCs w:val="20"/>
                <w:lang w:val="en-AU" w:eastAsia="en-AU"/>
              </w:rPr>
              <w:t>(b) to construct premises for use as a private hospital</w:t>
            </w:r>
          </w:p>
        </w:tc>
        <w:tc>
          <w:tcPr>
            <w:tcW w:w="1358" w:type="pct"/>
            <w:gridSpan w:val="2"/>
          </w:tcPr>
          <w:p w14:paraId="4E43E25B" w14:textId="23CAC4C8" w:rsidR="00D601C9" w:rsidRPr="005D59E5" w:rsidRDefault="00D601C9" w:rsidP="005D59E5">
            <w:pPr>
              <w:spacing w:before="0" w:line="240" w:lineRule="auto"/>
              <w:ind w:right="-110"/>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Cs w:val="20"/>
                <w:lang w:val="en-AU" w:eastAsia="en-AU"/>
              </w:rPr>
            </w:pPr>
            <w:r w:rsidRPr="005D59E5">
              <w:rPr>
                <w:rFonts w:eastAsia="Times New Roman" w:cstheme="minorHAnsi"/>
                <w:bCs/>
                <w:color w:val="auto"/>
                <w:szCs w:val="20"/>
                <w:lang w:val="en-AU" w:eastAsia="en-AU"/>
              </w:rPr>
              <w:t>5,168</w:t>
            </w:r>
          </w:p>
        </w:tc>
        <w:tc>
          <w:tcPr>
            <w:tcW w:w="1008" w:type="pct"/>
            <w:gridSpan w:val="3"/>
          </w:tcPr>
          <w:p w14:paraId="1D4FA104" w14:textId="34EBE048" w:rsidR="00D601C9" w:rsidRPr="005D59E5" w:rsidRDefault="00D601C9" w:rsidP="005D59E5">
            <w:pPr>
              <w:spacing w:before="0" w:line="240" w:lineRule="auto"/>
              <w:ind w:right="-93"/>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Cs w:val="20"/>
                <w:lang w:val="en-AU" w:eastAsia="en-AU"/>
              </w:rPr>
            </w:pPr>
            <w:r w:rsidRPr="005D59E5">
              <w:rPr>
                <w:rFonts w:eastAsia="Times New Roman" w:cstheme="minorHAnsi"/>
                <w:bCs/>
                <w:color w:val="auto"/>
                <w:szCs w:val="20"/>
                <w:lang w:val="en-AU" w:eastAsia="en-AU"/>
              </w:rPr>
              <w:t>1</w:t>
            </w:r>
          </w:p>
        </w:tc>
        <w:tc>
          <w:tcPr>
            <w:tcW w:w="851" w:type="pct"/>
            <w:noWrap/>
          </w:tcPr>
          <w:p w14:paraId="12E0D5C5" w14:textId="580809C3" w:rsidR="00D601C9" w:rsidRPr="005D59E5" w:rsidRDefault="00D601C9" w:rsidP="005D59E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5D59E5">
              <w:rPr>
                <w:rFonts w:eastAsia="Times New Roman" w:cstheme="minorHAnsi"/>
                <w:color w:val="auto"/>
                <w:szCs w:val="20"/>
                <w:lang w:val="en-AU" w:eastAsia="en-AU"/>
              </w:rPr>
              <w:t>5,168</w:t>
            </w:r>
          </w:p>
        </w:tc>
      </w:tr>
      <w:tr w:rsidR="00C7236A" w:rsidRPr="00855FEE" w14:paraId="688068AE" w14:textId="77777777" w:rsidTr="005D59E5">
        <w:trPr>
          <w:trHeight w:val="7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19D444BE" w14:textId="7BA7C819"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w:t>
            </w:r>
            <w:r w:rsidR="00D601C9">
              <w:rPr>
                <w:rFonts w:eastAsia="Times New Roman" w:cstheme="minorHAnsi"/>
                <w:b w:val="0"/>
                <w:bCs/>
                <w:color w:val="auto"/>
                <w:szCs w:val="20"/>
                <w:lang w:val="en-AU" w:eastAsia="en-AU"/>
              </w:rPr>
              <w:t>c</w:t>
            </w:r>
            <w:r w:rsidRPr="002C7B75">
              <w:rPr>
                <w:rFonts w:eastAsia="Times New Roman" w:cstheme="minorHAnsi"/>
                <w:b w:val="0"/>
                <w:bCs/>
                <w:color w:val="auto"/>
                <w:szCs w:val="20"/>
                <w:lang w:val="en-AU" w:eastAsia="en-AU"/>
              </w:rPr>
              <w:t>) to make alterations or extensions to a premises used or proposed to be used as a private hospital</w:t>
            </w:r>
          </w:p>
        </w:tc>
        <w:tc>
          <w:tcPr>
            <w:tcW w:w="954" w:type="pct"/>
            <w:gridSpan w:val="2"/>
            <w:hideMark/>
          </w:tcPr>
          <w:p w14:paraId="7F5DF03B"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4,611</w:t>
            </w:r>
          </w:p>
        </w:tc>
        <w:tc>
          <w:tcPr>
            <w:tcW w:w="930" w:type="pct"/>
            <w:gridSpan w:val="2"/>
            <w:hideMark/>
          </w:tcPr>
          <w:p w14:paraId="51D60503" w14:textId="77777777" w:rsidR="00EC6DC5" w:rsidRPr="00D601C9" w:rsidRDefault="00EC6DC5" w:rsidP="005D59E5">
            <w:pPr>
              <w:spacing w:before="0" w:line="240" w:lineRule="auto"/>
              <w:ind w:right="-93"/>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Cs w:val="20"/>
                <w:lang w:val="en-AU" w:eastAsia="en-AU"/>
              </w:rPr>
            </w:pPr>
            <w:r w:rsidRPr="00D601C9">
              <w:rPr>
                <w:rFonts w:eastAsia="Times New Roman" w:cstheme="minorHAnsi"/>
                <w:bCs/>
                <w:color w:val="auto"/>
                <w:szCs w:val="20"/>
                <w:lang w:val="en-AU" w:eastAsia="en-AU"/>
              </w:rPr>
              <w:t>9</w:t>
            </w:r>
          </w:p>
        </w:tc>
        <w:tc>
          <w:tcPr>
            <w:tcW w:w="851" w:type="pct"/>
            <w:noWrap/>
            <w:hideMark/>
          </w:tcPr>
          <w:p w14:paraId="1A8B2E6A" w14:textId="77777777" w:rsidR="00EC6DC5" w:rsidRPr="002C7B75" w:rsidRDefault="00EC6DC5" w:rsidP="005D59E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41,499</w:t>
            </w:r>
          </w:p>
        </w:tc>
      </w:tr>
      <w:tr w:rsidR="00C7236A" w:rsidRPr="00855FEE" w14:paraId="4635769E" w14:textId="77777777" w:rsidTr="005D59E5">
        <w:trPr>
          <w:trHeight w:val="7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213CC2B0" w14:textId="6EB469FB"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lastRenderedPageBreak/>
              <w:t>(</w:t>
            </w:r>
            <w:r w:rsidR="00D601C9">
              <w:rPr>
                <w:rFonts w:eastAsia="Times New Roman" w:cstheme="minorHAnsi"/>
                <w:b w:val="0"/>
                <w:bCs/>
                <w:color w:val="auto"/>
                <w:szCs w:val="20"/>
                <w:lang w:val="en-AU" w:eastAsia="en-AU"/>
              </w:rPr>
              <w:t>d</w:t>
            </w:r>
            <w:r w:rsidRPr="002C7B75">
              <w:rPr>
                <w:rFonts w:eastAsia="Times New Roman" w:cstheme="minorHAnsi"/>
                <w:b w:val="0"/>
                <w:bCs/>
                <w:color w:val="auto"/>
                <w:szCs w:val="20"/>
                <w:lang w:val="en-AU" w:eastAsia="en-AU"/>
              </w:rPr>
              <w:t>) to construct premises for use as a day procedure centre</w:t>
            </w:r>
          </w:p>
        </w:tc>
        <w:tc>
          <w:tcPr>
            <w:tcW w:w="954" w:type="pct"/>
            <w:gridSpan w:val="2"/>
            <w:hideMark/>
          </w:tcPr>
          <w:p w14:paraId="3305ADDC"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4,532</w:t>
            </w:r>
          </w:p>
        </w:tc>
        <w:tc>
          <w:tcPr>
            <w:tcW w:w="930" w:type="pct"/>
            <w:gridSpan w:val="2"/>
            <w:hideMark/>
          </w:tcPr>
          <w:p w14:paraId="7BEB952E" w14:textId="77777777" w:rsidR="00EC6DC5" w:rsidRPr="00D601C9" w:rsidRDefault="00EC6DC5" w:rsidP="005D59E5">
            <w:pPr>
              <w:spacing w:before="0" w:line="240" w:lineRule="auto"/>
              <w:ind w:right="-93"/>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Cs w:val="20"/>
                <w:lang w:val="en-AU" w:eastAsia="en-AU"/>
              </w:rPr>
            </w:pPr>
            <w:r w:rsidRPr="00D601C9">
              <w:rPr>
                <w:rFonts w:eastAsia="Times New Roman" w:cstheme="minorHAnsi"/>
                <w:bCs/>
                <w:color w:val="auto"/>
                <w:szCs w:val="20"/>
                <w:lang w:val="en-AU" w:eastAsia="en-AU"/>
              </w:rPr>
              <w:t>3</w:t>
            </w:r>
          </w:p>
        </w:tc>
        <w:tc>
          <w:tcPr>
            <w:tcW w:w="851" w:type="pct"/>
            <w:noWrap/>
            <w:hideMark/>
          </w:tcPr>
          <w:p w14:paraId="17C6F1C3"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13,595</w:t>
            </w:r>
          </w:p>
        </w:tc>
      </w:tr>
      <w:tr w:rsidR="00C7236A" w:rsidRPr="00855FEE" w14:paraId="79A1585C" w14:textId="77777777" w:rsidTr="005D59E5">
        <w:trPr>
          <w:trHeight w:val="7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0C146EC2" w14:textId="1A52A89D"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w:t>
            </w:r>
            <w:r w:rsidR="00D601C9">
              <w:rPr>
                <w:rFonts w:eastAsia="Times New Roman" w:cstheme="minorHAnsi"/>
                <w:b w:val="0"/>
                <w:bCs/>
                <w:color w:val="auto"/>
                <w:szCs w:val="20"/>
                <w:lang w:val="en-AU" w:eastAsia="en-AU"/>
              </w:rPr>
              <w:t>e</w:t>
            </w:r>
            <w:r w:rsidRPr="002C7B75">
              <w:rPr>
                <w:rFonts w:eastAsia="Times New Roman" w:cstheme="minorHAnsi"/>
                <w:b w:val="0"/>
                <w:bCs/>
                <w:color w:val="auto"/>
                <w:szCs w:val="20"/>
                <w:lang w:val="en-AU" w:eastAsia="en-AU"/>
              </w:rPr>
              <w:t>) to make alterations or extensions to a premises used or proposed to be used as a day procedure centre</w:t>
            </w:r>
          </w:p>
        </w:tc>
        <w:tc>
          <w:tcPr>
            <w:tcW w:w="954" w:type="pct"/>
            <w:gridSpan w:val="2"/>
            <w:hideMark/>
          </w:tcPr>
          <w:p w14:paraId="06E9B669"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4,388</w:t>
            </w:r>
          </w:p>
        </w:tc>
        <w:tc>
          <w:tcPr>
            <w:tcW w:w="930" w:type="pct"/>
            <w:gridSpan w:val="2"/>
            <w:hideMark/>
          </w:tcPr>
          <w:p w14:paraId="4F079AE2" w14:textId="77777777" w:rsidR="00EC6DC5" w:rsidRPr="00D601C9" w:rsidRDefault="00EC6DC5" w:rsidP="005D59E5">
            <w:pPr>
              <w:spacing w:before="0" w:line="240" w:lineRule="auto"/>
              <w:ind w:right="-93"/>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Cs w:val="20"/>
                <w:lang w:val="en-AU" w:eastAsia="en-AU"/>
              </w:rPr>
            </w:pPr>
            <w:r w:rsidRPr="00D601C9">
              <w:rPr>
                <w:rFonts w:eastAsia="Times New Roman" w:cstheme="minorHAnsi"/>
                <w:bCs/>
                <w:color w:val="auto"/>
                <w:szCs w:val="20"/>
                <w:lang w:val="en-AU" w:eastAsia="en-AU"/>
              </w:rPr>
              <w:t>2</w:t>
            </w:r>
          </w:p>
        </w:tc>
        <w:tc>
          <w:tcPr>
            <w:tcW w:w="851" w:type="pct"/>
            <w:noWrap/>
            <w:hideMark/>
          </w:tcPr>
          <w:p w14:paraId="71CDA78A"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8,777</w:t>
            </w:r>
          </w:p>
        </w:tc>
      </w:tr>
      <w:tr w:rsidR="00C7236A" w:rsidRPr="00855FEE" w14:paraId="67276AC7" w14:textId="77777777" w:rsidTr="005D59E5">
        <w:trPr>
          <w:trHeight w:val="127"/>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3DC7ABBF" w14:textId="701B4E32"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w:t>
            </w:r>
            <w:r w:rsidR="00D601C9">
              <w:rPr>
                <w:rFonts w:eastAsia="Times New Roman" w:cstheme="minorHAnsi"/>
                <w:b w:val="0"/>
                <w:bCs/>
                <w:color w:val="auto"/>
                <w:szCs w:val="20"/>
                <w:lang w:val="en-AU" w:eastAsia="en-AU"/>
              </w:rPr>
              <w:t>f</w:t>
            </w:r>
            <w:r w:rsidRPr="002C7B75">
              <w:rPr>
                <w:rFonts w:eastAsia="Times New Roman" w:cstheme="minorHAnsi"/>
                <w:b w:val="0"/>
                <w:bCs/>
                <w:color w:val="auto"/>
                <w:szCs w:val="20"/>
                <w:lang w:val="en-AU" w:eastAsia="en-AU"/>
              </w:rPr>
              <w:t>) to use premises as a health service establishment from which health services are to be provided at premises other than the first-mentioned premises</w:t>
            </w:r>
          </w:p>
        </w:tc>
        <w:tc>
          <w:tcPr>
            <w:tcW w:w="954" w:type="pct"/>
            <w:gridSpan w:val="2"/>
            <w:hideMark/>
          </w:tcPr>
          <w:p w14:paraId="30148EA3"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1,447</w:t>
            </w:r>
          </w:p>
        </w:tc>
        <w:tc>
          <w:tcPr>
            <w:tcW w:w="930" w:type="pct"/>
            <w:gridSpan w:val="2"/>
            <w:hideMark/>
          </w:tcPr>
          <w:p w14:paraId="1FB0CB4C" w14:textId="6293D916" w:rsidR="00EC6DC5" w:rsidRPr="00D601C9" w:rsidRDefault="00AF050A" w:rsidP="005D59E5">
            <w:pPr>
              <w:spacing w:before="0" w:line="240" w:lineRule="auto"/>
              <w:ind w:right="-93"/>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Cs w:val="20"/>
                <w:lang w:val="en-AU" w:eastAsia="en-AU"/>
              </w:rPr>
            </w:pPr>
            <w:r w:rsidRPr="00D601C9">
              <w:rPr>
                <w:rFonts w:eastAsia="Times New Roman" w:cstheme="minorHAnsi"/>
                <w:bCs/>
                <w:color w:val="auto"/>
                <w:szCs w:val="20"/>
                <w:lang w:val="en-AU" w:eastAsia="en-AU"/>
              </w:rPr>
              <w:t>3</w:t>
            </w:r>
          </w:p>
        </w:tc>
        <w:tc>
          <w:tcPr>
            <w:tcW w:w="851" w:type="pct"/>
            <w:noWrap/>
            <w:hideMark/>
          </w:tcPr>
          <w:p w14:paraId="5C73F268" w14:textId="5CFC03D2" w:rsidR="00EC6DC5" w:rsidRPr="002C7B75" w:rsidRDefault="00033CF3"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Pr>
                <w:rFonts w:eastAsia="Times New Roman" w:cstheme="minorHAnsi"/>
                <w:color w:val="auto"/>
                <w:szCs w:val="20"/>
                <w:lang w:val="en-AU" w:eastAsia="en-AU"/>
              </w:rPr>
              <w:t>4,341</w:t>
            </w:r>
          </w:p>
        </w:tc>
      </w:tr>
      <w:tr w:rsidR="00C7236A" w:rsidRPr="00855FEE" w14:paraId="2BB63E6F" w14:textId="77777777" w:rsidTr="005D59E5">
        <w:trPr>
          <w:trHeight w:val="22"/>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6E383CD1" w14:textId="4B2B7F88"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w:t>
            </w:r>
            <w:r w:rsidR="00D601C9">
              <w:rPr>
                <w:rFonts w:eastAsia="Times New Roman" w:cstheme="minorHAnsi"/>
                <w:b w:val="0"/>
                <w:bCs/>
                <w:color w:val="auto"/>
                <w:szCs w:val="20"/>
                <w:lang w:val="en-AU" w:eastAsia="en-AU"/>
              </w:rPr>
              <w:t>g</w:t>
            </w:r>
            <w:r w:rsidRPr="002C7B75">
              <w:rPr>
                <w:rFonts w:eastAsia="Times New Roman" w:cstheme="minorHAnsi"/>
                <w:b w:val="0"/>
                <w:bCs/>
                <w:color w:val="auto"/>
                <w:szCs w:val="20"/>
                <w:lang w:val="en-AU" w:eastAsia="en-AU"/>
              </w:rPr>
              <w:t>) to vary the registration of a health service establishment</w:t>
            </w:r>
          </w:p>
        </w:tc>
        <w:tc>
          <w:tcPr>
            <w:tcW w:w="954" w:type="pct"/>
            <w:gridSpan w:val="2"/>
            <w:hideMark/>
          </w:tcPr>
          <w:p w14:paraId="7E8206AC"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760</w:t>
            </w:r>
          </w:p>
        </w:tc>
        <w:tc>
          <w:tcPr>
            <w:tcW w:w="930" w:type="pct"/>
            <w:gridSpan w:val="2"/>
            <w:hideMark/>
          </w:tcPr>
          <w:p w14:paraId="5D46F24A" w14:textId="77777777" w:rsidR="00EC6DC5" w:rsidRPr="00D601C9" w:rsidRDefault="00EC6DC5" w:rsidP="005D59E5">
            <w:pPr>
              <w:spacing w:before="0" w:line="240" w:lineRule="auto"/>
              <w:ind w:right="-93"/>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auto"/>
                <w:szCs w:val="20"/>
                <w:lang w:val="en-AU" w:eastAsia="en-AU"/>
              </w:rPr>
            </w:pPr>
            <w:r w:rsidRPr="00D601C9">
              <w:rPr>
                <w:rFonts w:eastAsia="Times New Roman" w:cstheme="minorHAnsi"/>
                <w:bCs/>
                <w:color w:val="auto"/>
                <w:szCs w:val="20"/>
                <w:lang w:val="en-AU" w:eastAsia="en-AU"/>
              </w:rPr>
              <w:t>20</w:t>
            </w:r>
          </w:p>
        </w:tc>
        <w:tc>
          <w:tcPr>
            <w:tcW w:w="851" w:type="pct"/>
            <w:noWrap/>
            <w:hideMark/>
          </w:tcPr>
          <w:p w14:paraId="05C9D9D4"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15,200</w:t>
            </w:r>
          </w:p>
        </w:tc>
      </w:tr>
      <w:tr w:rsidR="00C7236A" w:rsidRPr="00855FEE" w14:paraId="07669255" w14:textId="77777777" w:rsidTr="005D59E5">
        <w:trPr>
          <w:trHeight w:val="7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0985E672" w14:textId="27B56402" w:rsidR="00EC6DC5" w:rsidRPr="002C7B75" w:rsidRDefault="00EC6DC5" w:rsidP="003476CD">
            <w:pPr>
              <w:spacing w:before="0" w:line="240" w:lineRule="auto"/>
              <w:ind w:left="316"/>
              <w:rPr>
                <w:rFonts w:eastAsia="Times New Roman" w:cstheme="minorHAnsi"/>
                <w:color w:val="auto"/>
                <w:szCs w:val="20"/>
                <w:lang w:val="en-AU" w:eastAsia="en-AU"/>
              </w:rPr>
            </w:pPr>
            <w:r w:rsidRPr="002C7B75">
              <w:rPr>
                <w:rFonts w:eastAsia="Times New Roman" w:cstheme="minorHAnsi"/>
                <w:i/>
                <w:color w:val="auto"/>
                <w:szCs w:val="20"/>
                <w:lang w:val="en-AU" w:eastAsia="en-AU"/>
              </w:rPr>
              <w:t xml:space="preserve">Application for transfer or variation of certificate of </w:t>
            </w:r>
            <w:r w:rsidR="00C7236A" w:rsidRPr="002C7B75">
              <w:rPr>
                <w:rFonts w:eastAsia="Times New Roman" w:cstheme="minorHAnsi"/>
                <w:i/>
                <w:color w:val="auto"/>
                <w:szCs w:val="20"/>
                <w:lang w:val="en-AU" w:eastAsia="en-AU"/>
              </w:rPr>
              <w:t>AIP</w:t>
            </w:r>
          </w:p>
        </w:tc>
        <w:tc>
          <w:tcPr>
            <w:tcW w:w="954" w:type="pct"/>
            <w:gridSpan w:val="2"/>
            <w:hideMark/>
          </w:tcPr>
          <w:p w14:paraId="70E646C7"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256</w:t>
            </w:r>
          </w:p>
        </w:tc>
        <w:tc>
          <w:tcPr>
            <w:tcW w:w="930" w:type="pct"/>
            <w:gridSpan w:val="2"/>
            <w:hideMark/>
          </w:tcPr>
          <w:p w14:paraId="4D36364E"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w:t>
            </w:r>
          </w:p>
        </w:tc>
        <w:tc>
          <w:tcPr>
            <w:tcW w:w="851" w:type="pct"/>
            <w:noWrap/>
            <w:hideMark/>
          </w:tcPr>
          <w:p w14:paraId="33CE2B79"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w:t>
            </w:r>
          </w:p>
        </w:tc>
      </w:tr>
      <w:tr w:rsidR="00EC6DC5" w:rsidRPr="00855FEE" w14:paraId="32CBF567" w14:textId="77777777" w:rsidTr="00CF5ACF">
        <w:trPr>
          <w:trHeight w:val="22"/>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auto"/>
            <w:hideMark/>
          </w:tcPr>
          <w:p w14:paraId="05088466" w14:textId="77777777" w:rsidR="00EC6DC5" w:rsidRPr="002C7B75" w:rsidRDefault="00EC6DC5">
            <w:pPr>
              <w:spacing w:before="0" w:line="240" w:lineRule="auto"/>
              <w:rPr>
                <w:rFonts w:eastAsia="Times New Roman" w:cstheme="minorHAnsi"/>
                <w:b w:val="0"/>
                <w:color w:val="auto"/>
                <w:szCs w:val="20"/>
                <w:lang w:val="en-AU" w:eastAsia="en-AU"/>
              </w:rPr>
            </w:pPr>
            <w:r w:rsidRPr="002C7B75">
              <w:rPr>
                <w:rFonts w:eastAsia="Times New Roman" w:cstheme="minorHAnsi"/>
                <w:color w:val="auto"/>
                <w:szCs w:val="20"/>
                <w:lang w:val="en-AU" w:eastAsia="en-AU"/>
              </w:rPr>
              <w:t>Registration</w:t>
            </w:r>
          </w:p>
        </w:tc>
      </w:tr>
      <w:tr w:rsidR="00C7236A" w:rsidRPr="00855FEE" w14:paraId="0F347FD5" w14:textId="77777777" w:rsidTr="005D59E5">
        <w:trPr>
          <w:trHeight w:val="22"/>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5923AAC" w14:textId="77777777" w:rsidR="00EC6DC5" w:rsidRPr="002C7B75" w:rsidRDefault="00EC6DC5" w:rsidP="001E347D">
            <w:pPr>
              <w:spacing w:before="0" w:line="240" w:lineRule="auto"/>
              <w:ind w:left="316"/>
              <w:rPr>
                <w:rFonts w:eastAsia="Times New Roman" w:cstheme="minorHAnsi"/>
                <w:b w:val="0"/>
                <w:i/>
                <w:color w:val="auto"/>
                <w:szCs w:val="20"/>
                <w:lang w:val="en-AU" w:eastAsia="en-AU"/>
              </w:rPr>
            </w:pPr>
            <w:r w:rsidRPr="002C7B75">
              <w:rPr>
                <w:rFonts w:eastAsia="Times New Roman" w:cstheme="minorHAnsi"/>
                <w:i/>
                <w:color w:val="auto"/>
                <w:szCs w:val="20"/>
                <w:lang w:val="en-AU" w:eastAsia="en-AU"/>
              </w:rPr>
              <w:t>Application for registration</w:t>
            </w:r>
          </w:p>
        </w:tc>
        <w:tc>
          <w:tcPr>
            <w:tcW w:w="954" w:type="pct"/>
            <w:gridSpan w:val="2"/>
            <w:hideMark/>
          </w:tcPr>
          <w:p w14:paraId="65E1B28C" w14:textId="77777777" w:rsidR="00EC6DC5" w:rsidRPr="002C7B75" w:rsidRDefault="00EC6DC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Cs w:val="20"/>
                <w:lang w:val="en-AU" w:eastAsia="en-AU"/>
              </w:rPr>
            </w:pPr>
          </w:p>
        </w:tc>
        <w:tc>
          <w:tcPr>
            <w:tcW w:w="930" w:type="pct"/>
            <w:gridSpan w:val="2"/>
            <w:hideMark/>
          </w:tcPr>
          <w:p w14:paraId="1E8B8B70" w14:textId="77777777" w:rsidR="00EC6DC5" w:rsidRPr="002C7B75" w:rsidRDefault="00EC6DC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p>
        </w:tc>
        <w:tc>
          <w:tcPr>
            <w:tcW w:w="851" w:type="pct"/>
            <w:noWrap/>
            <w:hideMark/>
          </w:tcPr>
          <w:p w14:paraId="6A7114B6" w14:textId="77777777" w:rsidR="00EC6DC5" w:rsidRPr="002C7B75" w:rsidRDefault="00EC6DC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p>
        </w:tc>
      </w:tr>
      <w:tr w:rsidR="00C7236A" w:rsidRPr="00855FEE" w14:paraId="32AA0DE9"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6C18CF90"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(a) for a HSE with 0 to 26 beds</w:t>
            </w:r>
          </w:p>
        </w:tc>
        <w:tc>
          <w:tcPr>
            <w:tcW w:w="954" w:type="pct"/>
            <w:gridSpan w:val="2"/>
            <w:hideMark/>
          </w:tcPr>
          <w:p w14:paraId="0EDFC891"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5,819</w:t>
            </w:r>
          </w:p>
        </w:tc>
        <w:tc>
          <w:tcPr>
            <w:tcW w:w="930" w:type="pct"/>
            <w:gridSpan w:val="2"/>
            <w:hideMark/>
          </w:tcPr>
          <w:p w14:paraId="3A1E22E4"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8</w:t>
            </w:r>
          </w:p>
        </w:tc>
        <w:tc>
          <w:tcPr>
            <w:tcW w:w="851" w:type="pct"/>
            <w:noWrap/>
            <w:hideMark/>
          </w:tcPr>
          <w:p w14:paraId="312D51DB"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46,203</w:t>
            </w:r>
          </w:p>
        </w:tc>
      </w:tr>
      <w:tr w:rsidR="00C7236A" w:rsidRPr="00855FEE" w14:paraId="1226DC89"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40E464D5"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(b) for a HSE with 27 to 50 beds</w:t>
            </w:r>
          </w:p>
        </w:tc>
        <w:tc>
          <w:tcPr>
            <w:tcW w:w="954" w:type="pct"/>
            <w:gridSpan w:val="2"/>
            <w:hideMark/>
          </w:tcPr>
          <w:p w14:paraId="14FD1A45"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6,440</w:t>
            </w:r>
          </w:p>
        </w:tc>
        <w:tc>
          <w:tcPr>
            <w:tcW w:w="930" w:type="pct"/>
            <w:gridSpan w:val="2"/>
            <w:hideMark/>
          </w:tcPr>
          <w:p w14:paraId="4CE58934"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w:t>
            </w:r>
          </w:p>
        </w:tc>
        <w:tc>
          <w:tcPr>
            <w:tcW w:w="851" w:type="pct"/>
            <w:noWrap/>
            <w:hideMark/>
          </w:tcPr>
          <w:p w14:paraId="1CCD7C50"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5,464</w:t>
            </w:r>
          </w:p>
        </w:tc>
      </w:tr>
      <w:tr w:rsidR="00C7236A" w:rsidRPr="00855FEE" w14:paraId="100E51B0"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77E73494"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(c) for a HSE with 51 to 75 beds</w:t>
            </w:r>
          </w:p>
        </w:tc>
        <w:tc>
          <w:tcPr>
            <w:tcW w:w="954" w:type="pct"/>
            <w:gridSpan w:val="2"/>
            <w:hideMark/>
          </w:tcPr>
          <w:p w14:paraId="7BD91689"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7,076</w:t>
            </w:r>
          </w:p>
        </w:tc>
        <w:tc>
          <w:tcPr>
            <w:tcW w:w="930" w:type="pct"/>
            <w:gridSpan w:val="2"/>
            <w:hideMark/>
          </w:tcPr>
          <w:p w14:paraId="524280E0"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w:t>
            </w:r>
          </w:p>
        </w:tc>
        <w:tc>
          <w:tcPr>
            <w:tcW w:w="851" w:type="pct"/>
            <w:noWrap/>
            <w:hideMark/>
          </w:tcPr>
          <w:p w14:paraId="5C56FBFF"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6,432</w:t>
            </w:r>
          </w:p>
        </w:tc>
      </w:tr>
      <w:tr w:rsidR="00C7236A" w:rsidRPr="00855FEE" w14:paraId="0927D35E"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10607D92"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(d) for a HSE with 76 to 100 beds</w:t>
            </w:r>
          </w:p>
        </w:tc>
        <w:tc>
          <w:tcPr>
            <w:tcW w:w="954" w:type="pct"/>
            <w:gridSpan w:val="2"/>
            <w:hideMark/>
          </w:tcPr>
          <w:p w14:paraId="60BDF918"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7,696</w:t>
            </w:r>
          </w:p>
        </w:tc>
        <w:tc>
          <w:tcPr>
            <w:tcW w:w="930" w:type="pct"/>
            <w:gridSpan w:val="2"/>
            <w:hideMark/>
          </w:tcPr>
          <w:p w14:paraId="7309EA41"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0</w:t>
            </w:r>
          </w:p>
        </w:tc>
        <w:tc>
          <w:tcPr>
            <w:tcW w:w="851" w:type="pct"/>
            <w:noWrap/>
            <w:hideMark/>
          </w:tcPr>
          <w:p w14:paraId="5E6CA5F7"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2,332</w:t>
            </w:r>
          </w:p>
        </w:tc>
      </w:tr>
      <w:tr w:rsidR="00C7236A" w:rsidRPr="00855FEE" w14:paraId="25B6242F"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7E4806F"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(e) for a HSE with 101 to 150 beds</w:t>
            </w:r>
          </w:p>
        </w:tc>
        <w:tc>
          <w:tcPr>
            <w:tcW w:w="954" w:type="pct"/>
            <w:gridSpan w:val="2"/>
            <w:hideMark/>
          </w:tcPr>
          <w:p w14:paraId="74200082"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8,634</w:t>
            </w:r>
          </w:p>
        </w:tc>
        <w:tc>
          <w:tcPr>
            <w:tcW w:w="930" w:type="pct"/>
            <w:gridSpan w:val="2"/>
            <w:hideMark/>
          </w:tcPr>
          <w:p w14:paraId="0AC0616F"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w:t>
            </w:r>
          </w:p>
        </w:tc>
        <w:tc>
          <w:tcPr>
            <w:tcW w:w="851" w:type="pct"/>
            <w:noWrap/>
            <w:hideMark/>
          </w:tcPr>
          <w:p w14:paraId="11668983"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5,756</w:t>
            </w:r>
          </w:p>
        </w:tc>
      </w:tr>
      <w:tr w:rsidR="00C7236A" w:rsidRPr="00855FEE" w14:paraId="3891DB1D"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796DE63"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(f) for a HSE with 151 to 200 beds</w:t>
            </w:r>
          </w:p>
        </w:tc>
        <w:tc>
          <w:tcPr>
            <w:tcW w:w="954" w:type="pct"/>
            <w:gridSpan w:val="2"/>
            <w:hideMark/>
          </w:tcPr>
          <w:p w14:paraId="51DE6876"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9,906</w:t>
            </w:r>
          </w:p>
        </w:tc>
        <w:tc>
          <w:tcPr>
            <w:tcW w:w="930" w:type="pct"/>
            <w:gridSpan w:val="2"/>
            <w:hideMark/>
          </w:tcPr>
          <w:p w14:paraId="5C5A514E"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0</w:t>
            </w:r>
          </w:p>
        </w:tc>
        <w:tc>
          <w:tcPr>
            <w:tcW w:w="851" w:type="pct"/>
            <w:noWrap/>
            <w:hideMark/>
          </w:tcPr>
          <w:p w14:paraId="0FEE0065"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3,602</w:t>
            </w:r>
          </w:p>
        </w:tc>
      </w:tr>
      <w:tr w:rsidR="00C7236A" w:rsidRPr="00855FEE" w14:paraId="7C43CE60"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4E8FB8C2"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(g) for a HSE with 201 to 300 beds</w:t>
            </w:r>
          </w:p>
        </w:tc>
        <w:tc>
          <w:tcPr>
            <w:tcW w:w="954" w:type="pct"/>
            <w:gridSpan w:val="2"/>
            <w:hideMark/>
          </w:tcPr>
          <w:p w14:paraId="7AAFC06B"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11,146</w:t>
            </w:r>
          </w:p>
        </w:tc>
        <w:tc>
          <w:tcPr>
            <w:tcW w:w="930" w:type="pct"/>
            <w:gridSpan w:val="2"/>
            <w:hideMark/>
          </w:tcPr>
          <w:p w14:paraId="4375AFD3"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w:t>
            </w:r>
          </w:p>
        </w:tc>
        <w:tc>
          <w:tcPr>
            <w:tcW w:w="851" w:type="pct"/>
            <w:noWrap/>
            <w:hideMark/>
          </w:tcPr>
          <w:p w14:paraId="14E6FB4F"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6,755</w:t>
            </w:r>
          </w:p>
        </w:tc>
      </w:tr>
      <w:tr w:rsidR="00C7236A" w:rsidRPr="00855FEE" w14:paraId="79F9B663"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051406B"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(h) for a HSE with 301 to 400 beds</w:t>
            </w:r>
          </w:p>
        </w:tc>
        <w:tc>
          <w:tcPr>
            <w:tcW w:w="954" w:type="pct"/>
            <w:gridSpan w:val="2"/>
            <w:hideMark/>
          </w:tcPr>
          <w:p w14:paraId="58213956"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13,038</w:t>
            </w:r>
          </w:p>
        </w:tc>
        <w:tc>
          <w:tcPr>
            <w:tcW w:w="930" w:type="pct"/>
            <w:gridSpan w:val="2"/>
            <w:hideMark/>
          </w:tcPr>
          <w:p w14:paraId="0DA18ABC"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0</w:t>
            </w:r>
          </w:p>
        </w:tc>
        <w:tc>
          <w:tcPr>
            <w:tcW w:w="851" w:type="pct"/>
            <w:noWrap/>
            <w:hideMark/>
          </w:tcPr>
          <w:p w14:paraId="095416C2"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3,161</w:t>
            </w:r>
          </w:p>
        </w:tc>
      </w:tr>
      <w:tr w:rsidR="00C7236A" w:rsidRPr="00855FEE" w14:paraId="1A9DD9DF"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7BD6F0B8"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(i) for a HSE with 401 to 500 beds</w:t>
            </w:r>
          </w:p>
        </w:tc>
        <w:tc>
          <w:tcPr>
            <w:tcW w:w="954" w:type="pct"/>
            <w:gridSpan w:val="2"/>
            <w:hideMark/>
          </w:tcPr>
          <w:p w14:paraId="7FDDAD50"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15,550</w:t>
            </w:r>
          </w:p>
        </w:tc>
        <w:tc>
          <w:tcPr>
            <w:tcW w:w="930" w:type="pct"/>
            <w:gridSpan w:val="2"/>
            <w:hideMark/>
          </w:tcPr>
          <w:p w14:paraId="764EDA9C"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w:t>
            </w:r>
          </w:p>
        </w:tc>
        <w:tc>
          <w:tcPr>
            <w:tcW w:w="851" w:type="pct"/>
            <w:noWrap/>
            <w:hideMark/>
          </w:tcPr>
          <w:p w14:paraId="4A2578F3"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w:t>
            </w:r>
          </w:p>
        </w:tc>
      </w:tr>
      <w:tr w:rsidR="00C7236A" w:rsidRPr="00855FEE" w14:paraId="2D8EED96" w14:textId="77777777" w:rsidTr="005D59E5">
        <w:trPr>
          <w:trHeight w:val="283"/>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34BC0073"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(j) for a HSE with 501 or more beds</w:t>
            </w:r>
          </w:p>
        </w:tc>
        <w:tc>
          <w:tcPr>
            <w:tcW w:w="954" w:type="pct"/>
            <w:gridSpan w:val="2"/>
            <w:hideMark/>
          </w:tcPr>
          <w:p w14:paraId="2B6A1DB6"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18,683</w:t>
            </w:r>
          </w:p>
        </w:tc>
        <w:tc>
          <w:tcPr>
            <w:tcW w:w="930" w:type="pct"/>
            <w:gridSpan w:val="2"/>
            <w:hideMark/>
          </w:tcPr>
          <w:p w14:paraId="2102921B"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0</w:t>
            </w:r>
          </w:p>
        </w:tc>
        <w:tc>
          <w:tcPr>
            <w:tcW w:w="851" w:type="pct"/>
            <w:noWrap/>
            <w:hideMark/>
          </w:tcPr>
          <w:p w14:paraId="7AABD81E"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2,265</w:t>
            </w:r>
          </w:p>
        </w:tc>
      </w:tr>
      <w:tr w:rsidR="00C7236A" w:rsidRPr="00855FEE" w14:paraId="2B1E9EF5" w14:textId="77777777" w:rsidTr="005D59E5">
        <w:trPr>
          <w:trHeight w:val="22"/>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F3D628A" w14:textId="77777777" w:rsidR="00EC6DC5" w:rsidRPr="002C7B75" w:rsidRDefault="00EC6DC5" w:rsidP="001E347D">
            <w:pPr>
              <w:spacing w:before="0" w:line="240" w:lineRule="auto"/>
              <w:ind w:left="316"/>
              <w:rPr>
                <w:rFonts w:eastAsia="Times New Roman" w:cstheme="minorHAnsi"/>
                <w:b w:val="0"/>
                <w:bCs/>
                <w:i/>
                <w:color w:val="auto"/>
                <w:szCs w:val="20"/>
                <w:lang w:val="en-AU" w:eastAsia="en-AU"/>
              </w:rPr>
            </w:pPr>
            <w:r w:rsidRPr="002241F5">
              <w:rPr>
                <w:rFonts w:eastAsia="Times New Roman" w:cstheme="minorHAnsi"/>
                <w:i/>
                <w:color w:val="auto"/>
                <w:szCs w:val="20"/>
                <w:lang w:val="en-AU" w:eastAsia="en-AU"/>
              </w:rPr>
              <w:t>Application for renewal of registration</w:t>
            </w:r>
          </w:p>
        </w:tc>
        <w:tc>
          <w:tcPr>
            <w:tcW w:w="954" w:type="pct"/>
            <w:gridSpan w:val="2"/>
            <w:hideMark/>
          </w:tcPr>
          <w:p w14:paraId="50FA3A2C"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Cs w:val="20"/>
                <w:lang w:val="en-AU" w:eastAsia="en-AU"/>
              </w:rPr>
            </w:pPr>
          </w:p>
        </w:tc>
        <w:tc>
          <w:tcPr>
            <w:tcW w:w="930" w:type="pct"/>
            <w:gridSpan w:val="2"/>
            <w:hideMark/>
          </w:tcPr>
          <w:p w14:paraId="2A96955C"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Cs w:val="20"/>
                <w:lang w:val="en-AU" w:eastAsia="en-AU"/>
              </w:rPr>
            </w:pPr>
            <w:r w:rsidRPr="002C7B75">
              <w:rPr>
                <w:rFonts w:eastAsia="Times New Roman" w:cstheme="minorHAnsi"/>
                <w:b/>
                <w:bCs/>
                <w:color w:val="auto"/>
                <w:szCs w:val="20"/>
                <w:lang w:val="en-AU" w:eastAsia="en-AU"/>
              </w:rPr>
              <w:t>-</w:t>
            </w:r>
          </w:p>
        </w:tc>
        <w:tc>
          <w:tcPr>
            <w:tcW w:w="851" w:type="pct"/>
            <w:noWrap/>
            <w:hideMark/>
          </w:tcPr>
          <w:p w14:paraId="6DECA90F"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p>
        </w:tc>
      </w:tr>
      <w:tr w:rsidR="00C7236A" w:rsidRPr="00855FEE" w14:paraId="226C0217"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0C4F63E"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(a) for a HSE with 0 to 26 beds</w:t>
            </w:r>
          </w:p>
        </w:tc>
        <w:tc>
          <w:tcPr>
            <w:tcW w:w="954" w:type="pct"/>
            <w:gridSpan w:val="2"/>
            <w:hideMark/>
          </w:tcPr>
          <w:p w14:paraId="2F278F2D"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5,819</w:t>
            </w:r>
          </w:p>
        </w:tc>
        <w:tc>
          <w:tcPr>
            <w:tcW w:w="930" w:type="pct"/>
            <w:gridSpan w:val="2"/>
            <w:hideMark/>
          </w:tcPr>
          <w:p w14:paraId="1BAC8558"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66</w:t>
            </w:r>
          </w:p>
        </w:tc>
        <w:tc>
          <w:tcPr>
            <w:tcW w:w="851" w:type="pct"/>
            <w:noWrap/>
            <w:hideMark/>
          </w:tcPr>
          <w:p w14:paraId="44844C32"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381,171</w:t>
            </w:r>
          </w:p>
        </w:tc>
      </w:tr>
      <w:tr w:rsidR="00C7236A" w:rsidRPr="00855FEE" w14:paraId="4744B86B"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249903B9"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(b) for a HSE with 27 to 50 beds</w:t>
            </w:r>
          </w:p>
        </w:tc>
        <w:tc>
          <w:tcPr>
            <w:tcW w:w="954" w:type="pct"/>
            <w:gridSpan w:val="2"/>
            <w:hideMark/>
          </w:tcPr>
          <w:p w14:paraId="1D30A21B"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6,440</w:t>
            </w:r>
          </w:p>
        </w:tc>
        <w:tc>
          <w:tcPr>
            <w:tcW w:w="930" w:type="pct"/>
            <w:gridSpan w:val="2"/>
            <w:hideMark/>
          </w:tcPr>
          <w:p w14:paraId="6DC7ADBD"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7</w:t>
            </w:r>
          </w:p>
        </w:tc>
        <w:tc>
          <w:tcPr>
            <w:tcW w:w="851" w:type="pct"/>
            <w:noWrap/>
            <w:hideMark/>
          </w:tcPr>
          <w:p w14:paraId="206113E3"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45,077</w:t>
            </w:r>
          </w:p>
        </w:tc>
      </w:tr>
      <w:tr w:rsidR="00C7236A" w:rsidRPr="00855FEE" w14:paraId="1D3AF24F"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3263A941"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(c) for a HSE with 51 to 75 beds</w:t>
            </w:r>
          </w:p>
        </w:tc>
        <w:tc>
          <w:tcPr>
            <w:tcW w:w="954" w:type="pct"/>
            <w:gridSpan w:val="2"/>
            <w:hideMark/>
          </w:tcPr>
          <w:p w14:paraId="3460E7EC"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7,076</w:t>
            </w:r>
          </w:p>
        </w:tc>
        <w:tc>
          <w:tcPr>
            <w:tcW w:w="930" w:type="pct"/>
            <w:gridSpan w:val="2"/>
            <w:hideMark/>
          </w:tcPr>
          <w:p w14:paraId="04AE2340"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8</w:t>
            </w:r>
          </w:p>
        </w:tc>
        <w:tc>
          <w:tcPr>
            <w:tcW w:w="851" w:type="pct"/>
            <w:noWrap/>
            <w:hideMark/>
          </w:tcPr>
          <w:p w14:paraId="278B11E9"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53,066</w:t>
            </w:r>
          </w:p>
        </w:tc>
      </w:tr>
      <w:tr w:rsidR="00C7236A" w:rsidRPr="00855FEE" w14:paraId="70F174EB"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796E924B"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(d) for a HSE with 76 to 100 beds</w:t>
            </w:r>
          </w:p>
        </w:tc>
        <w:tc>
          <w:tcPr>
            <w:tcW w:w="954" w:type="pct"/>
            <w:gridSpan w:val="2"/>
            <w:hideMark/>
          </w:tcPr>
          <w:p w14:paraId="21EF4008"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7,696</w:t>
            </w:r>
          </w:p>
        </w:tc>
        <w:tc>
          <w:tcPr>
            <w:tcW w:w="930" w:type="pct"/>
            <w:gridSpan w:val="2"/>
            <w:hideMark/>
          </w:tcPr>
          <w:p w14:paraId="72784540"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3</w:t>
            </w:r>
          </w:p>
        </w:tc>
        <w:tc>
          <w:tcPr>
            <w:tcW w:w="851" w:type="pct"/>
            <w:noWrap/>
            <w:hideMark/>
          </w:tcPr>
          <w:p w14:paraId="0B0599FF"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19,239</w:t>
            </w:r>
          </w:p>
        </w:tc>
      </w:tr>
      <w:tr w:rsidR="00C7236A" w:rsidRPr="00855FEE" w14:paraId="07896DE0"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7A1F5ECB"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(e) for a HSE with 101 to 150 beds</w:t>
            </w:r>
          </w:p>
        </w:tc>
        <w:tc>
          <w:tcPr>
            <w:tcW w:w="954" w:type="pct"/>
            <w:gridSpan w:val="2"/>
            <w:hideMark/>
          </w:tcPr>
          <w:p w14:paraId="208482AA"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8,634</w:t>
            </w:r>
          </w:p>
        </w:tc>
        <w:tc>
          <w:tcPr>
            <w:tcW w:w="930" w:type="pct"/>
            <w:gridSpan w:val="2"/>
            <w:hideMark/>
          </w:tcPr>
          <w:p w14:paraId="16958369"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6</w:t>
            </w:r>
          </w:p>
        </w:tc>
        <w:tc>
          <w:tcPr>
            <w:tcW w:w="851" w:type="pct"/>
            <w:noWrap/>
            <w:hideMark/>
          </w:tcPr>
          <w:p w14:paraId="00DF09D9"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47,485</w:t>
            </w:r>
          </w:p>
        </w:tc>
      </w:tr>
      <w:tr w:rsidR="00C7236A" w:rsidRPr="00855FEE" w14:paraId="3978707C"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3E48EC04"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(f) for a HSE with 151 to 200 beds</w:t>
            </w:r>
          </w:p>
        </w:tc>
        <w:tc>
          <w:tcPr>
            <w:tcW w:w="954" w:type="pct"/>
            <w:gridSpan w:val="2"/>
            <w:hideMark/>
          </w:tcPr>
          <w:p w14:paraId="0E9318EE"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9,906</w:t>
            </w:r>
          </w:p>
        </w:tc>
        <w:tc>
          <w:tcPr>
            <w:tcW w:w="930" w:type="pct"/>
            <w:gridSpan w:val="2"/>
            <w:hideMark/>
          </w:tcPr>
          <w:p w14:paraId="3C30188F"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3</w:t>
            </w:r>
          </w:p>
        </w:tc>
        <w:tc>
          <w:tcPr>
            <w:tcW w:w="851" w:type="pct"/>
            <w:noWrap/>
            <w:hideMark/>
          </w:tcPr>
          <w:p w14:paraId="1C2B0556"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29,717</w:t>
            </w:r>
          </w:p>
        </w:tc>
      </w:tr>
      <w:tr w:rsidR="00C7236A" w:rsidRPr="00855FEE" w14:paraId="4BCBAE67"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C802062"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(g) for a HSE with 201 to 300 beds</w:t>
            </w:r>
          </w:p>
        </w:tc>
        <w:tc>
          <w:tcPr>
            <w:tcW w:w="954" w:type="pct"/>
            <w:gridSpan w:val="2"/>
            <w:hideMark/>
          </w:tcPr>
          <w:p w14:paraId="3A67398D"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11,146</w:t>
            </w:r>
          </w:p>
        </w:tc>
        <w:tc>
          <w:tcPr>
            <w:tcW w:w="930" w:type="pct"/>
            <w:gridSpan w:val="2"/>
            <w:hideMark/>
          </w:tcPr>
          <w:p w14:paraId="2517A9EB"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5</w:t>
            </w:r>
          </w:p>
        </w:tc>
        <w:tc>
          <w:tcPr>
            <w:tcW w:w="851" w:type="pct"/>
            <w:noWrap/>
            <w:hideMark/>
          </w:tcPr>
          <w:p w14:paraId="17DE7218"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55,730</w:t>
            </w:r>
          </w:p>
        </w:tc>
      </w:tr>
      <w:tr w:rsidR="00C7236A" w:rsidRPr="00855FEE" w14:paraId="41312B06"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5FEE7B49"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(h) for a HSE with 301 to 400 beds</w:t>
            </w:r>
          </w:p>
        </w:tc>
        <w:tc>
          <w:tcPr>
            <w:tcW w:w="954" w:type="pct"/>
            <w:gridSpan w:val="2"/>
            <w:hideMark/>
          </w:tcPr>
          <w:p w14:paraId="5AFC7F80"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13,038</w:t>
            </w:r>
          </w:p>
        </w:tc>
        <w:tc>
          <w:tcPr>
            <w:tcW w:w="930" w:type="pct"/>
            <w:gridSpan w:val="2"/>
            <w:hideMark/>
          </w:tcPr>
          <w:p w14:paraId="23B4457E"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2</w:t>
            </w:r>
          </w:p>
        </w:tc>
        <w:tc>
          <w:tcPr>
            <w:tcW w:w="851" w:type="pct"/>
            <w:noWrap/>
            <w:hideMark/>
          </w:tcPr>
          <w:p w14:paraId="55DAAD24"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26,076</w:t>
            </w:r>
          </w:p>
        </w:tc>
      </w:tr>
      <w:tr w:rsidR="00C7236A" w:rsidRPr="00855FEE" w14:paraId="4FF652DB"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164C6311"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(i) for a HSE with 401 to 500 beds</w:t>
            </w:r>
          </w:p>
        </w:tc>
        <w:tc>
          <w:tcPr>
            <w:tcW w:w="954" w:type="pct"/>
            <w:gridSpan w:val="2"/>
            <w:hideMark/>
          </w:tcPr>
          <w:p w14:paraId="0B814D82"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15,550</w:t>
            </w:r>
          </w:p>
        </w:tc>
        <w:tc>
          <w:tcPr>
            <w:tcW w:w="930" w:type="pct"/>
            <w:gridSpan w:val="2"/>
            <w:hideMark/>
          </w:tcPr>
          <w:p w14:paraId="7A872EE4"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w:t>
            </w:r>
          </w:p>
        </w:tc>
        <w:tc>
          <w:tcPr>
            <w:tcW w:w="851" w:type="pct"/>
            <w:noWrap/>
            <w:hideMark/>
          </w:tcPr>
          <w:p w14:paraId="2F1EE9A6"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w:t>
            </w:r>
          </w:p>
        </w:tc>
      </w:tr>
      <w:tr w:rsidR="00C7236A" w:rsidRPr="00855FEE" w14:paraId="00F459AE"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37D57553"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(j) for a HSE with 501 or more beds</w:t>
            </w:r>
          </w:p>
        </w:tc>
        <w:tc>
          <w:tcPr>
            <w:tcW w:w="954" w:type="pct"/>
            <w:gridSpan w:val="2"/>
            <w:hideMark/>
          </w:tcPr>
          <w:p w14:paraId="1302BBDC"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18,683</w:t>
            </w:r>
          </w:p>
        </w:tc>
        <w:tc>
          <w:tcPr>
            <w:tcW w:w="930" w:type="pct"/>
            <w:gridSpan w:val="2"/>
            <w:hideMark/>
          </w:tcPr>
          <w:p w14:paraId="6AED9E11"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w:t>
            </w:r>
          </w:p>
        </w:tc>
        <w:tc>
          <w:tcPr>
            <w:tcW w:w="851" w:type="pct"/>
            <w:noWrap/>
            <w:hideMark/>
          </w:tcPr>
          <w:p w14:paraId="38D5E664"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18,683</w:t>
            </w:r>
          </w:p>
        </w:tc>
      </w:tr>
      <w:tr w:rsidR="00C7236A" w:rsidRPr="00855FEE" w14:paraId="098EF730" w14:textId="77777777" w:rsidTr="005D59E5">
        <w:trPr>
          <w:trHeight w:val="22"/>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39212966" w14:textId="77777777" w:rsidR="00EC6DC5" w:rsidRPr="002C7B75" w:rsidRDefault="00EC6DC5" w:rsidP="001E347D">
            <w:pPr>
              <w:spacing w:before="0" w:line="240" w:lineRule="auto"/>
              <w:ind w:left="316"/>
              <w:rPr>
                <w:rFonts w:eastAsia="Times New Roman" w:cstheme="minorHAnsi"/>
                <w:i/>
                <w:color w:val="auto"/>
                <w:szCs w:val="20"/>
                <w:lang w:val="en-AU" w:eastAsia="en-AU"/>
              </w:rPr>
            </w:pPr>
            <w:r w:rsidRPr="002C7B75">
              <w:rPr>
                <w:rFonts w:eastAsia="Times New Roman" w:cstheme="minorHAnsi"/>
                <w:i/>
                <w:color w:val="auto"/>
                <w:szCs w:val="20"/>
                <w:lang w:val="en-AU" w:eastAsia="en-AU"/>
              </w:rPr>
              <w:t>Application for variation of registration</w:t>
            </w:r>
          </w:p>
        </w:tc>
        <w:tc>
          <w:tcPr>
            <w:tcW w:w="954" w:type="pct"/>
            <w:gridSpan w:val="2"/>
            <w:hideMark/>
          </w:tcPr>
          <w:p w14:paraId="483E08F2"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Cs w:val="20"/>
                <w:lang w:val="en-AU" w:eastAsia="en-AU"/>
              </w:rPr>
            </w:pPr>
          </w:p>
        </w:tc>
        <w:tc>
          <w:tcPr>
            <w:tcW w:w="930" w:type="pct"/>
            <w:gridSpan w:val="2"/>
            <w:hideMark/>
          </w:tcPr>
          <w:p w14:paraId="0EE9F785"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Cs w:val="20"/>
                <w:lang w:val="en-AU" w:eastAsia="en-AU"/>
              </w:rPr>
            </w:pPr>
          </w:p>
        </w:tc>
        <w:tc>
          <w:tcPr>
            <w:tcW w:w="851" w:type="pct"/>
            <w:noWrap/>
            <w:hideMark/>
          </w:tcPr>
          <w:p w14:paraId="40C9675B"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p>
        </w:tc>
      </w:tr>
      <w:tr w:rsidR="00C7236A" w:rsidRPr="00855FEE" w14:paraId="5EC6DDD9" w14:textId="77777777" w:rsidTr="005D59E5">
        <w:trPr>
          <w:trHeight w:val="31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4CAD99D8"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lastRenderedPageBreak/>
              <w:t>(a) for the transfer of the certificate to another person who intends to become the proprietor</w:t>
            </w:r>
          </w:p>
        </w:tc>
        <w:tc>
          <w:tcPr>
            <w:tcW w:w="954" w:type="pct"/>
            <w:gridSpan w:val="2"/>
            <w:hideMark/>
          </w:tcPr>
          <w:p w14:paraId="3AF3D028"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760</w:t>
            </w:r>
          </w:p>
        </w:tc>
        <w:tc>
          <w:tcPr>
            <w:tcW w:w="930" w:type="pct"/>
            <w:gridSpan w:val="2"/>
            <w:hideMark/>
          </w:tcPr>
          <w:p w14:paraId="36855C75"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40</w:t>
            </w:r>
          </w:p>
        </w:tc>
        <w:tc>
          <w:tcPr>
            <w:tcW w:w="851" w:type="pct"/>
            <w:noWrap/>
            <w:hideMark/>
          </w:tcPr>
          <w:p w14:paraId="3538CABF"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30,401</w:t>
            </w:r>
          </w:p>
        </w:tc>
      </w:tr>
      <w:tr w:rsidR="00C7236A" w:rsidRPr="00855FEE" w14:paraId="45DAA76D" w14:textId="77777777" w:rsidTr="005D59E5">
        <w:trPr>
          <w:trHeight w:val="320"/>
        </w:trPr>
        <w:tc>
          <w:tcPr>
            <w:cnfStyle w:val="001000000000" w:firstRow="0" w:lastRow="0" w:firstColumn="1" w:lastColumn="0" w:oddVBand="0" w:evenVBand="0" w:oddHBand="0" w:evenHBand="0" w:firstRowFirstColumn="0" w:firstRowLastColumn="0" w:lastRowFirstColumn="0" w:lastRowLastColumn="0"/>
            <w:tcW w:w="2265" w:type="pct"/>
            <w:gridSpan w:val="2"/>
            <w:hideMark/>
          </w:tcPr>
          <w:p w14:paraId="0E39AD38" w14:textId="77777777" w:rsidR="00EC6DC5" w:rsidRPr="002C7B75" w:rsidRDefault="00EC6DC5">
            <w:pPr>
              <w:spacing w:before="0" w:line="240" w:lineRule="auto"/>
              <w:ind w:left="318"/>
              <w:rPr>
                <w:rFonts w:eastAsia="Times New Roman" w:cstheme="minorHAnsi"/>
                <w:b w:val="0"/>
                <w:bCs/>
                <w:color w:val="auto"/>
                <w:szCs w:val="20"/>
                <w:lang w:val="en-AU" w:eastAsia="en-AU"/>
              </w:rPr>
            </w:pPr>
            <w:r w:rsidRPr="002C7B75">
              <w:rPr>
                <w:rFonts w:eastAsia="Times New Roman" w:cstheme="minorHAnsi"/>
                <w:b w:val="0"/>
                <w:bCs/>
                <w:color w:val="auto"/>
                <w:szCs w:val="20"/>
                <w:lang w:val="en-AU" w:eastAsia="en-AU"/>
              </w:rPr>
              <w:t>(b) for any other case</w:t>
            </w:r>
          </w:p>
        </w:tc>
        <w:tc>
          <w:tcPr>
            <w:tcW w:w="954" w:type="pct"/>
            <w:gridSpan w:val="2"/>
            <w:hideMark/>
          </w:tcPr>
          <w:p w14:paraId="55B6F996"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256</w:t>
            </w:r>
          </w:p>
        </w:tc>
        <w:tc>
          <w:tcPr>
            <w:tcW w:w="930" w:type="pct"/>
            <w:gridSpan w:val="2"/>
            <w:hideMark/>
          </w:tcPr>
          <w:p w14:paraId="6791CAD4"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5</w:t>
            </w:r>
          </w:p>
        </w:tc>
        <w:tc>
          <w:tcPr>
            <w:tcW w:w="851" w:type="pct"/>
            <w:noWrap/>
            <w:hideMark/>
          </w:tcPr>
          <w:p w14:paraId="5F1F10F6"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r w:rsidRPr="002C7B75">
              <w:rPr>
                <w:rFonts w:eastAsia="Times New Roman" w:cstheme="minorHAnsi"/>
                <w:color w:val="auto"/>
                <w:szCs w:val="20"/>
                <w:lang w:val="en-AU" w:eastAsia="en-AU"/>
              </w:rPr>
              <w:t>1,280</w:t>
            </w:r>
          </w:p>
        </w:tc>
      </w:tr>
      <w:tr w:rsidR="00C7236A" w:rsidRPr="00855FEE" w14:paraId="6906D8BB" w14:textId="77777777" w:rsidTr="005D59E5">
        <w:trPr>
          <w:trHeight w:val="290"/>
        </w:trPr>
        <w:tc>
          <w:tcPr>
            <w:cnfStyle w:val="001000000000" w:firstRow="0" w:lastRow="0" w:firstColumn="1" w:lastColumn="0" w:oddVBand="0" w:evenVBand="0" w:oddHBand="0" w:evenHBand="0" w:firstRowFirstColumn="0" w:firstRowLastColumn="0" w:lastRowFirstColumn="0" w:lastRowLastColumn="0"/>
            <w:tcW w:w="2265" w:type="pct"/>
            <w:gridSpan w:val="2"/>
            <w:noWrap/>
            <w:hideMark/>
          </w:tcPr>
          <w:p w14:paraId="7055D650" w14:textId="77777777" w:rsidR="00EC6DC5" w:rsidRPr="002C7B75" w:rsidRDefault="00EC6DC5">
            <w:pPr>
              <w:spacing w:before="0" w:line="240" w:lineRule="auto"/>
              <w:rPr>
                <w:rFonts w:eastAsia="Times New Roman" w:cstheme="minorHAnsi"/>
                <w:b w:val="0"/>
                <w:color w:val="auto"/>
                <w:szCs w:val="20"/>
                <w:lang w:val="en-AU" w:eastAsia="en-AU"/>
              </w:rPr>
            </w:pPr>
            <w:r w:rsidRPr="002C7B75">
              <w:rPr>
                <w:rFonts w:eastAsia="Times New Roman" w:cstheme="minorHAnsi"/>
                <w:color w:val="auto"/>
                <w:szCs w:val="20"/>
                <w:lang w:val="en-AU" w:eastAsia="en-AU"/>
              </w:rPr>
              <w:t>Total cost</w:t>
            </w:r>
          </w:p>
        </w:tc>
        <w:tc>
          <w:tcPr>
            <w:tcW w:w="954" w:type="pct"/>
            <w:gridSpan w:val="2"/>
            <w:noWrap/>
            <w:hideMark/>
          </w:tcPr>
          <w:p w14:paraId="280BB379"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p>
        </w:tc>
        <w:tc>
          <w:tcPr>
            <w:tcW w:w="930" w:type="pct"/>
            <w:gridSpan w:val="2"/>
            <w:noWrap/>
            <w:hideMark/>
          </w:tcPr>
          <w:p w14:paraId="63F0FEE6" w14:textId="77777777" w:rsidR="00EC6DC5" w:rsidRPr="002C7B75"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Cs w:val="20"/>
                <w:lang w:val="en-AU" w:eastAsia="en-AU"/>
              </w:rPr>
            </w:pPr>
          </w:p>
        </w:tc>
        <w:tc>
          <w:tcPr>
            <w:tcW w:w="851" w:type="pct"/>
            <w:noWrap/>
            <w:hideMark/>
          </w:tcPr>
          <w:p w14:paraId="2F6FA482" w14:textId="48642218" w:rsidR="00EC6DC5" w:rsidRPr="00CF5ACF" w:rsidRDefault="00EC6DC5" w:rsidP="00836785">
            <w:pPr>
              <w:spacing w:before="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szCs w:val="20"/>
                <w:lang w:val="en-AU" w:eastAsia="en-AU"/>
              </w:rPr>
            </w:pPr>
            <w:r w:rsidRPr="00CF5ACF">
              <w:rPr>
                <w:rFonts w:eastAsia="Times New Roman" w:cstheme="minorHAnsi"/>
                <w:b/>
                <w:bCs/>
                <w:color w:val="auto"/>
                <w:szCs w:val="20"/>
                <w:lang w:val="en-AU" w:eastAsia="en-AU"/>
              </w:rPr>
              <w:t>8</w:t>
            </w:r>
            <w:r w:rsidR="00CF5ACF" w:rsidRPr="00CF5ACF">
              <w:rPr>
                <w:rFonts w:eastAsia="Times New Roman" w:cstheme="minorHAnsi"/>
                <w:b/>
                <w:bCs/>
                <w:color w:val="auto"/>
                <w:szCs w:val="20"/>
                <w:lang w:val="en-AU" w:eastAsia="en-AU"/>
              </w:rPr>
              <w:t>8</w:t>
            </w:r>
            <w:r w:rsidR="00CF5ACF" w:rsidRPr="00836785">
              <w:rPr>
                <w:rFonts w:eastAsia="Times New Roman" w:cstheme="minorHAnsi"/>
                <w:b/>
                <w:bCs/>
                <w:lang w:val="en-AU" w:eastAsia="en-AU"/>
              </w:rPr>
              <w:t>3</w:t>
            </w:r>
            <w:r w:rsidRPr="00CF5ACF">
              <w:rPr>
                <w:rFonts w:eastAsia="Times New Roman" w:cstheme="minorHAnsi"/>
                <w:b/>
                <w:bCs/>
                <w:color w:val="auto"/>
                <w:szCs w:val="20"/>
                <w:lang w:val="en-AU" w:eastAsia="en-AU"/>
              </w:rPr>
              <w:t>,</w:t>
            </w:r>
            <w:r w:rsidR="00CF5ACF" w:rsidRPr="00CF5ACF">
              <w:rPr>
                <w:rFonts w:eastAsia="Times New Roman" w:cstheme="minorHAnsi"/>
                <w:b/>
                <w:bCs/>
                <w:color w:val="auto"/>
                <w:szCs w:val="20"/>
                <w:lang w:val="en-AU" w:eastAsia="en-AU"/>
              </w:rPr>
              <w:t>6</w:t>
            </w:r>
            <w:r w:rsidR="00CF5ACF" w:rsidRPr="00836785">
              <w:rPr>
                <w:rFonts w:eastAsia="Times New Roman" w:cstheme="minorHAnsi"/>
                <w:b/>
                <w:bCs/>
                <w:lang w:val="en-AU" w:eastAsia="en-AU"/>
              </w:rPr>
              <w:t>39</w:t>
            </w:r>
          </w:p>
        </w:tc>
      </w:tr>
    </w:tbl>
    <w:p w14:paraId="612A2F72" w14:textId="1E1B1661" w:rsidR="00156F94" w:rsidRDefault="00F51160" w:rsidP="00F51160">
      <w:pPr>
        <w:pStyle w:val="Heading7"/>
      </w:pPr>
      <w:r>
        <w:t>Fee structure</w:t>
      </w:r>
    </w:p>
    <w:p w14:paraId="30295F4E" w14:textId="47483826" w:rsidR="0016229D" w:rsidRDefault="0016229D" w:rsidP="0016229D">
      <w:r w:rsidRPr="00D16335">
        <w:t xml:space="preserve">It is proposed that the current fee structure will be maintained in the proposed Regulations. </w:t>
      </w:r>
      <w:r w:rsidR="002D4C8C">
        <w:t>It is</w:t>
      </w:r>
      <w:r w:rsidR="00572590">
        <w:t xml:space="preserve"> anticipated that </w:t>
      </w:r>
      <w:r w:rsidR="002D4C8C">
        <w:t>the fees will continue to achieve a</w:t>
      </w:r>
      <w:r w:rsidR="00572590">
        <w:t xml:space="preserve"> similar </w:t>
      </w:r>
      <w:r w:rsidR="002D4C8C">
        <w:t xml:space="preserve">level of cost recovery as the existing Regulations, noting that the precise level of cost recovery may vary in practice with changing fee revenues and costs. </w:t>
      </w:r>
    </w:p>
    <w:p w14:paraId="24E06A2F" w14:textId="2F31A5F9" w:rsidR="00F51160" w:rsidRDefault="00F51160" w:rsidP="00F51160">
      <w:r>
        <w:t>The tiered fee structure for application for an AIP, registration and renewals aligns with the principle of setting fees so that access is not limited for those with a lower ability to pay, who are more likely to be smaller day care procedure centres. It also encourages positive behaviours amongst smaller HSEs, by not setting fees so high for smaller HSEs as to result in undesired behaviours such as evading regulatory obligations and illegal activities</w:t>
      </w:r>
      <w:r w:rsidR="00434658">
        <w:t>.</w:t>
      </w:r>
      <w:r>
        <w:t xml:space="preserve"> </w:t>
      </w:r>
    </w:p>
    <w:p w14:paraId="4F080BDB" w14:textId="439C7E08" w:rsidR="00694FE1" w:rsidRDefault="00F51160" w:rsidP="00694FE1">
      <w:r>
        <w:t>Over time there is no evidence that larger HSEs with more beds impose a higher administrative cost on the department than smaller ones. While inspections of larger faculties can take longer and there can be more information to review</w:t>
      </w:r>
      <w:r w:rsidRPr="00CF63DE">
        <w:t xml:space="preserve"> </w:t>
      </w:r>
      <w:r>
        <w:t xml:space="preserve">(because for example they have more a more complex range of services, more rooms etc) they are also more likely to have more advanced business and quality systems and be less reliant on advice or guidance by the department with less need for follow-up inquiries. The department can spend relatively more time responding to incidents and managing issues identified at smaller HSEs. </w:t>
      </w:r>
    </w:p>
    <w:p w14:paraId="02BBA289" w14:textId="77777777" w:rsidR="00694FE1" w:rsidRDefault="00694FE1" w:rsidP="001E347D">
      <w:pPr>
        <w:pStyle w:val="Heading6"/>
        <w:rPr>
          <w:color w:val="7B5E05" w:themeColor="accent1"/>
        </w:rPr>
      </w:pPr>
      <w:r>
        <w:t>Comparison to interstate arrangements</w:t>
      </w:r>
    </w:p>
    <w:p w14:paraId="73570A4E" w14:textId="74CA73AB" w:rsidR="00694FE1" w:rsidRDefault="00F5504A" w:rsidP="00694FE1">
      <w:r>
        <w:t>As part of the review of fees</w:t>
      </w:r>
      <w:r w:rsidR="00D82E61">
        <w:t>, we have compared the proposed fees for Victorian HSEs to those charged in other Australian jurisdictions</w:t>
      </w:r>
      <w:r w:rsidR="00FA23AD">
        <w:t>, as shown in Table 1</w:t>
      </w:r>
      <w:r w:rsidR="00EF79D1">
        <w:t>4</w:t>
      </w:r>
      <w:r w:rsidR="00D82E61">
        <w:t xml:space="preserve">. </w:t>
      </w:r>
    </w:p>
    <w:p w14:paraId="0731C26F" w14:textId="77777777" w:rsidR="00FA23AD" w:rsidRDefault="00D82E61" w:rsidP="00FA23AD">
      <w:r>
        <w:t>In any such comparison judgement needs to be used because d</w:t>
      </w:r>
      <w:r w:rsidR="00694FE1">
        <w:t>ifferent jurisdictions have different fee structures</w:t>
      </w:r>
      <w:r>
        <w:t xml:space="preserve">. Given the differences and complexity of fees charged in different jurisdictions, the </w:t>
      </w:r>
      <w:r w:rsidR="00694FE1">
        <w:t>table only shows key fee items and does not show all the additional small fees that some jurisdictions charge</w:t>
      </w:r>
      <w:r>
        <w:t>.</w:t>
      </w:r>
    </w:p>
    <w:p w14:paraId="68587273" w14:textId="447CBDDF" w:rsidR="00EF677D" w:rsidRDefault="00FA23AD" w:rsidP="00FA23AD">
      <w:r>
        <w:t>Assessed against the fees shown in Table 1</w:t>
      </w:r>
      <w:r w:rsidR="004712A5">
        <w:t>5</w:t>
      </w:r>
      <w:r>
        <w:t xml:space="preserve">, </w:t>
      </w:r>
      <w:r w:rsidR="00694FE1">
        <w:t xml:space="preserve">Victoria’s fees </w:t>
      </w:r>
      <w:r w:rsidR="001F084B">
        <w:t xml:space="preserve">are not </w:t>
      </w:r>
      <w:r w:rsidR="00944D0F">
        <w:t>noticeably different from fees charged in</w:t>
      </w:r>
      <w:r w:rsidR="00694FE1">
        <w:t xml:space="preserve"> other jurisdictions</w:t>
      </w:r>
      <w:r w:rsidR="00A41897">
        <w:t xml:space="preserve"> in terms of type of fees charged, structure and fee level.</w:t>
      </w:r>
    </w:p>
    <w:p w14:paraId="397DE2D5" w14:textId="77777777" w:rsidR="00EF677D" w:rsidRDefault="00EF677D">
      <w:pPr>
        <w:spacing w:before="0" w:line="259" w:lineRule="auto"/>
      </w:pPr>
      <w:r>
        <w:br w:type="page"/>
      </w:r>
    </w:p>
    <w:p w14:paraId="242BA455" w14:textId="73DC8AA6" w:rsidR="00694FE1" w:rsidRDefault="00694FE1" w:rsidP="00694FE1">
      <w:pPr>
        <w:pStyle w:val="Caption"/>
      </w:pPr>
      <w:r>
        <w:lastRenderedPageBreak/>
        <w:t xml:space="preserve">Table </w:t>
      </w:r>
      <w:fldSimple w:instr=" SEQ Table \* ARABIC ">
        <w:r w:rsidR="004712A5">
          <w:rPr>
            <w:noProof/>
          </w:rPr>
          <w:t>15</w:t>
        </w:r>
      </w:fldSimple>
      <w:r>
        <w:t xml:space="preserve"> Fees charged in other jurisdictions</w:t>
      </w:r>
    </w:p>
    <w:tbl>
      <w:tblPr>
        <w:tblStyle w:val="SapereTable"/>
        <w:tblW w:w="5000" w:type="pct"/>
        <w:tblLook w:val="04A0" w:firstRow="1" w:lastRow="0" w:firstColumn="1" w:lastColumn="0" w:noHBand="0" w:noVBand="1"/>
      </w:tblPr>
      <w:tblGrid>
        <w:gridCol w:w="2096"/>
        <w:gridCol w:w="1128"/>
        <w:gridCol w:w="1612"/>
        <w:gridCol w:w="1451"/>
        <w:gridCol w:w="1450"/>
        <w:gridCol w:w="1289"/>
      </w:tblGrid>
      <w:tr w:rsidR="006B09C3" w:rsidRPr="004A6BA7" w14:paraId="752DAD72" w14:textId="77777777" w:rsidTr="005D59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1" w:type="pct"/>
          </w:tcPr>
          <w:p w14:paraId="394C22B4" w14:textId="77777777" w:rsidR="00694FE1" w:rsidRPr="003476CD" w:rsidRDefault="00694FE1">
            <w:pPr>
              <w:rPr>
                <w:szCs w:val="20"/>
              </w:rPr>
            </w:pPr>
          </w:p>
        </w:tc>
        <w:tc>
          <w:tcPr>
            <w:tcW w:w="625" w:type="pct"/>
            <w:shd w:val="clear" w:color="auto" w:fill="EEECE1" w:themeFill="background2"/>
          </w:tcPr>
          <w:p w14:paraId="38DC145B" w14:textId="77777777" w:rsidR="00694FE1" w:rsidRPr="003476CD" w:rsidRDefault="00694FE1">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Victoria</w:t>
            </w:r>
          </w:p>
        </w:tc>
        <w:tc>
          <w:tcPr>
            <w:tcW w:w="893" w:type="pct"/>
          </w:tcPr>
          <w:p w14:paraId="6E05AD0A" w14:textId="77777777" w:rsidR="00694FE1" w:rsidRPr="003476CD" w:rsidRDefault="00694FE1">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Queensland</w:t>
            </w:r>
            <w:r w:rsidRPr="003476CD">
              <w:rPr>
                <w:rStyle w:val="FootnoteReference"/>
                <w:szCs w:val="20"/>
              </w:rPr>
              <w:footnoteReference w:id="112"/>
            </w:r>
          </w:p>
        </w:tc>
        <w:tc>
          <w:tcPr>
            <w:tcW w:w="804" w:type="pct"/>
          </w:tcPr>
          <w:p w14:paraId="6ACC4B7F" w14:textId="77777777" w:rsidR="00694FE1" w:rsidRPr="003476CD" w:rsidRDefault="00694FE1">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Western Australia</w:t>
            </w:r>
            <w:r w:rsidRPr="003476CD">
              <w:rPr>
                <w:rStyle w:val="FootnoteReference"/>
                <w:szCs w:val="20"/>
              </w:rPr>
              <w:footnoteReference w:id="113"/>
            </w:r>
          </w:p>
        </w:tc>
        <w:tc>
          <w:tcPr>
            <w:tcW w:w="803" w:type="pct"/>
          </w:tcPr>
          <w:p w14:paraId="3A793282" w14:textId="77777777" w:rsidR="00694FE1" w:rsidRPr="003476CD" w:rsidRDefault="00694FE1">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New South Wales</w:t>
            </w:r>
            <w:r w:rsidRPr="003476CD">
              <w:rPr>
                <w:rStyle w:val="FootnoteReference"/>
                <w:szCs w:val="20"/>
              </w:rPr>
              <w:footnoteReference w:id="114"/>
            </w:r>
          </w:p>
        </w:tc>
        <w:tc>
          <w:tcPr>
            <w:tcW w:w="715" w:type="pct"/>
          </w:tcPr>
          <w:p w14:paraId="56938A4E" w14:textId="77777777" w:rsidR="00694FE1" w:rsidRPr="003476CD" w:rsidRDefault="00694FE1">
            <w:pPr>
              <w:cnfStyle w:val="100000000000" w:firstRow="1" w:lastRow="0" w:firstColumn="0" w:lastColumn="0" w:oddVBand="0" w:evenVBand="0" w:oddHBand="0" w:evenHBand="0" w:firstRowFirstColumn="0" w:firstRowLastColumn="0" w:lastRowFirstColumn="0" w:lastRowLastColumn="0"/>
              <w:rPr>
                <w:szCs w:val="20"/>
              </w:rPr>
            </w:pPr>
            <w:r w:rsidRPr="003476CD">
              <w:rPr>
                <w:szCs w:val="20"/>
              </w:rPr>
              <w:t>South Australia</w:t>
            </w:r>
            <w:r w:rsidRPr="003476CD">
              <w:rPr>
                <w:rStyle w:val="FootnoteReference"/>
                <w:szCs w:val="20"/>
              </w:rPr>
              <w:footnoteReference w:id="115"/>
            </w:r>
          </w:p>
        </w:tc>
      </w:tr>
      <w:tr w:rsidR="006B09C3" w:rsidRPr="004A6BA7" w14:paraId="2562C611" w14:textId="77777777" w:rsidTr="005D59E5">
        <w:tc>
          <w:tcPr>
            <w:cnfStyle w:val="001000000000" w:firstRow="0" w:lastRow="0" w:firstColumn="1" w:lastColumn="0" w:oddVBand="0" w:evenVBand="0" w:oddHBand="0" w:evenHBand="0" w:firstRowFirstColumn="0" w:firstRowLastColumn="0" w:lastRowFirstColumn="0" w:lastRowLastColumn="0"/>
            <w:tcW w:w="1161" w:type="pct"/>
          </w:tcPr>
          <w:p w14:paraId="7463E9D1" w14:textId="77777777" w:rsidR="00694FE1" w:rsidRPr="005D614B" w:rsidRDefault="00694FE1">
            <w:pPr>
              <w:rPr>
                <w:b w:val="0"/>
                <w:color w:val="auto"/>
                <w:szCs w:val="20"/>
              </w:rPr>
            </w:pPr>
            <w:r w:rsidRPr="002241F5">
              <w:rPr>
                <w:b w:val="0"/>
                <w:color w:val="auto"/>
                <w:szCs w:val="20"/>
              </w:rPr>
              <w:t>AIP</w:t>
            </w:r>
          </w:p>
        </w:tc>
        <w:tc>
          <w:tcPr>
            <w:tcW w:w="625" w:type="pct"/>
            <w:shd w:val="clear" w:color="auto" w:fill="EEECE1" w:themeFill="background2"/>
          </w:tcPr>
          <w:p w14:paraId="380DFD6C" w14:textId="0338CAF6" w:rsidR="00694FE1" w:rsidRPr="005D614B" w:rsidRDefault="00AC77E6">
            <w:pPr>
              <w:cnfStyle w:val="000000000000" w:firstRow="0" w:lastRow="0" w:firstColumn="0" w:lastColumn="0" w:oddVBand="0" w:evenVBand="0" w:oddHBand="0" w:evenHBand="0" w:firstRowFirstColumn="0" w:firstRowLastColumn="0" w:lastRowFirstColumn="0" w:lastRowLastColumn="0"/>
              <w:rPr>
                <w:bCs/>
                <w:color w:val="auto"/>
                <w:szCs w:val="20"/>
              </w:rPr>
            </w:pPr>
            <w:r w:rsidRPr="002241F5">
              <w:rPr>
                <w:bCs/>
                <w:color w:val="auto"/>
                <w:szCs w:val="20"/>
              </w:rPr>
              <w:t>$4,</w:t>
            </w:r>
            <w:r w:rsidR="00555B1D" w:rsidRPr="002241F5">
              <w:rPr>
                <w:bCs/>
                <w:color w:val="auto"/>
                <w:szCs w:val="20"/>
              </w:rPr>
              <w:t>532</w:t>
            </w:r>
            <w:r w:rsidRPr="002241F5">
              <w:rPr>
                <w:bCs/>
                <w:color w:val="auto"/>
                <w:szCs w:val="20"/>
              </w:rPr>
              <w:t>-$</w:t>
            </w:r>
            <w:r w:rsidR="00555B1D" w:rsidRPr="002241F5">
              <w:rPr>
                <w:bCs/>
                <w:color w:val="auto"/>
                <w:szCs w:val="20"/>
              </w:rPr>
              <w:t>5,168</w:t>
            </w:r>
          </w:p>
        </w:tc>
        <w:tc>
          <w:tcPr>
            <w:tcW w:w="893" w:type="pct"/>
          </w:tcPr>
          <w:p w14:paraId="0BBFF3E0"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bCs/>
                <w:color w:val="auto"/>
                <w:szCs w:val="20"/>
              </w:rPr>
            </w:pPr>
            <w:r w:rsidRPr="002241F5">
              <w:rPr>
                <w:bCs/>
                <w:color w:val="auto"/>
                <w:szCs w:val="20"/>
              </w:rPr>
              <w:t>$1,761.19-$5,284.63</w:t>
            </w:r>
          </w:p>
        </w:tc>
        <w:tc>
          <w:tcPr>
            <w:tcW w:w="804" w:type="pct"/>
          </w:tcPr>
          <w:p w14:paraId="5DFB9178"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bCs/>
                <w:color w:val="auto"/>
                <w:szCs w:val="20"/>
              </w:rPr>
            </w:pPr>
            <w:r w:rsidRPr="002241F5">
              <w:rPr>
                <w:bCs/>
                <w:color w:val="auto"/>
                <w:szCs w:val="20"/>
              </w:rPr>
              <w:t>$8,960-$19,110</w:t>
            </w:r>
          </w:p>
        </w:tc>
        <w:tc>
          <w:tcPr>
            <w:tcW w:w="803" w:type="pct"/>
          </w:tcPr>
          <w:p w14:paraId="1708922C"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$7,931</w:t>
            </w:r>
          </w:p>
        </w:tc>
        <w:tc>
          <w:tcPr>
            <w:tcW w:w="715" w:type="pct"/>
          </w:tcPr>
          <w:p w14:paraId="3EDC52D7"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$5,345 - $10,690</w:t>
            </w:r>
            <w:r w:rsidRPr="002241F5">
              <w:rPr>
                <w:rStyle w:val="FootnoteReference"/>
                <w:color w:val="auto"/>
                <w:szCs w:val="20"/>
              </w:rPr>
              <w:footnoteReference w:id="116"/>
            </w:r>
          </w:p>
        </w:tc>
      </w:tr>
      <w:tr w:rsidR="006B09C3" w:rsidRPr="004A6BA7" w14:paraId="0A0AA8CA" w14:textId="77777777" w:rsidTr="005D59E5">
        <w:tc>
          <w:tcPr>
            <w:cnfStyle w:val="001000000000" w:firstRow="0" w:lastRow="0" w:firstColumn="1" w:lastColumn="0" w:oddVBand="0" w:evenVBand="0" w:oddHBand="0" w:evenHBand="0" w:firstRowFirstColumn="0" w:firstRowLastColumn="0" w:lastRowFirstColumn="0" w:lastRowLastColumn="0"/>
            <w:tcW w:w="1161" w:type="pct"/>
          </w:tcPr>
          <w:p w14:paraId="59554A59" w14:textId="77777777" w:rsidR="00694FE1" w:rsidRPr="005D614B" w:rsidRDefault="00694FE1">
            <w:pPr>
              <w:rPr>
                <w:b w:val="0"/>
                <w:color w:val="auto"/>
                <w:szCs w:val="20"/>
              </w:rPr>
            </w:pPr>
            <w:r w:rsidRPr="002241F5">
              <w:rPr>
                <w:b w:val="0"/>
                <w:color w:val="auto"/>
                <w:szCs w:val="20"/>
              </w:rPr>
              <w:t>Variation or transfer of AIP</w:t>
            </w:r>
          </w:p>
        </w:tc>
        <w:tc>
          <w:tcPr>
            <w:tcW w:w="625" w:type="pct"/>
            <w:shd w:val="clear" w:color="auto" w:fill="EEECE1" w:themeFill="background2"/>
          </w:tcPr>
          <w:p w14:paraId="38121FCF" w14:textId="4AA936F4" w:rsidR="00694FE1" w:rsidRPr="005D614B" w:rsidRDefault="00937CA7">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$256</w:t>
            </w:r>
          </w:p>
        </w:tc>
        <w:tc>
          <w:tcPr>
            <w:tcW w:w="893" w:type="pct"/>
          </w:tcPr>
          <w:p w14:paraId="2A5B1C1F"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$525.76</w:t>
            </w:r>
          </w:p>
        </w:tc>
        <w:tc>
          <w:tcPr>
            <w:tcW w:w="804" w:type="pct"/>
          </w:tcPr>
          <w:p w14:paraId="04529586" w14:textId="59E4BE3D" w:rsidR="00694FE1" w:rsidRPr="005D614B" w:rsidRDefault="000A149C">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w:t>
            </w:r>
          </w:p>
        </w:tc>
        <w:tc>
          <w:tcPr>
            <w:tcW w:w="803" w:type="pct"/>
          </w:tcPr>
          <w:p w14:paraId="6F3EFB5C"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$4,041</w:t>
            </w:r>
          </w:p>
        </w:tc>
        <w:tc>
          <w:tcPr>
            <w:tcW w:w="715" w:type="pct"/>
          </w:tcPr>
          <w:p w14:paraId="5E3DF5C7" w14:textId="3763233F" w:rsidR="00694FE1" w:rsidRPr="005D614B" w:rsidRDefault="000A149C">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w:t>
            </w:r>
          </w:p>
        </w:tc>
      </w:tr>
      <w:tr w:rsidR="006B09C3" w:rsidRPr="004A6BA7" w14:paraId="6E8FBBF3" w14:textId="77777777" w:rsidTr="005D59E5">
        <w:tc>
          <w:tcPr>
            <w:cnfStyle w:val="001000000000" w:firstRow="0" w:lastRow="0" w:firstColumn="1" w:lastColumn="0" w:oddVBand="0" w:evenVBand="0" w:oddHBand="0" w:evenHBand="0" w:firstRowFirstColumn="0" w:firstRowLastColumn="0" w:lastRowFirstColumn="0" w:lastRowLastColumn="0"/>
            <w:tcW w:w="1161" w:type="pct"/>
          </w:tcPr>
          <w:p w14:paraId="55FA0A86" w14:textId="77777777" w:rsidR="00694FE1" w:rsidRPr="005D614B" w:rsidRDefault="00694FE1">
            <w:pPr>
              <w:rPr>
                <w:b w:val="0"/>
                <w:color w:val="auto"/>
                <w:szCs w:val="20"/>
              </w:rPr>
            </w:pPr>
            <w:r w:rsidRPr="002241F5">
              <w:rPr>
                <w:b w:val="0"/>
                <w:color w:val="auto"/>
                <w:szCs w:val="20"/>
              </w:rPr>
              <w:t>Registration fee</w:t>
            </w:r>
          </w:p>
        </w:tc>
        <w:tc>
          <w:tcPr>
            <w:tcW w:w="625" w:type="pct"/>
            <w:shd w:val="clear" w:color="auto" w:fill="EEECE1" w:themeFill="background2"/>
          </w:tcPr>
          <w:p w14:paraId="747298E8" w14:textId="654B16B8" w:rsidR="00694FE1" w:rsidRPr="005D614B" w:rsidRDefault="009222C4">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$5,819-$18,683</w:t>
            </w:r>
          </w:p>
        </w:tc>
        <w:tc>
          <w:tcPr>
            <w:tcW w:w="893" w:type="pct"/>
          </w:tcPr>
          <w:p w14:paraId="6B610180"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$2,642.58-$8,810.19</w:t>
            </w:r>
          </w:p>
        </w:tc>
        <w:tc>
          <w:tcPr>
            <w:tcW w:w="804" w:type="pct"/>
          </w:tcPr>
          <w:p w14:paraId="03838A35"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$1,360</w:t>
            </w:r>
          </w:p>
        </w:tc>
        <w:tc>
          <w:tcPr>
            <w:tcW w:w="803" w:type="pct"/>
          </w:tcPr>
          <w:p w14:paraId="6859CCB9"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$7,065-$17,374</w:t>
            </w:r>
          </w:p>
        </w:tc>
        <w:tc>
          <w:tcPr>
            <w:tcW w:w="715" w:type="pct"/>
          </w:tcPr>
          <w:p w14:paraId="580FBB42"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$5,345 - $10,690</w:t>
            </w:r>
          </w:p>
        </w:tc>
      </w:tr>
      <w:tr w:rsidR="006B09C3" w:rsidRPr="004A6BA7" w14:paraId="5DEC4C04" w14:textId="77777777" w:rsidTr="005D59E5">
        <w:tc>
          <w:tcPr>
            <w:cnfStyle w:val="001000000000" w:firstRow="0" w:lastRow="0" w:firstColumn="1" w:lastColumn="0" w:oddVBand="0" w:evenVBand="0" w:oddHBand="0" w:evenHBand="0" w:firstRowFirstColumn="0" w:firstRowLastColumn="0" w:lastRowFirstColumn="0" w:lastRowLastColumn="0"/>
            <w:tcW w:w="1161" w:type="pct"/>
          </w:tcPr>
          <w:p w14:paraId="1B2A457A" w14:textId="77777777" w:rsidR="00694FE1" w:rsidRPr="005D614B" w:rsidRDefault="00694FE1">
            <w:pPr>
              <w:rPr>
                <w:b w:val="0"/>
                <w:color w:val="auto"/>
                <w:szCs w:val="20"/>
              </w:rPr>
            </w:pPr>
            <w:r w:rsidRPr="002241F5">
              <w:rPr>
                <w:b w:val="0"/>
                <w:color w:val="auto"/>
                <w:szCs w:val="20"/>
              </w:rPr>
              <w:t>Registration renewal</w:t>
            </w:r>
          </w:p>
        </w:tc>
        <w:tc>
          <w:tcPr>
            <w:tcW w:w="625" w:type="pct"/>
            <w:shd w:val="clear" w:color="auto" w:fill="EEECE1" w:themeFill="background2"/>
          </w:tcPr>
          <w:p w14:paraId="3FB817E3" w14:textId="417D30FD" w:rsidR="00694FE1" w:rsidRPr="005D614B" w:rsidRDefault="005D18FF">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$5,819-$18,683</w:t>
            </w:r>
          </w:p>
        </w:tc>
        <w:tc>
          <w:tcPr>
            <w:tcW w:w="893" w:type="pct"/>
          </w:tcPr>
          <w:p w14:paraId="14792CA5"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$525.76-$4,226.22</w:t>
            </w:r>
          </w:p>
        </w:tc>
        <w:tc>
          <w:tcPr>
            <w:tcW w:w="804" w:type="pct"/>
          </w:tcPr>
          <w:p w14:paraId="07B26CDE"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$4,000-$9,000</w:t>
            </w:r>
          </w:p>
        </w:tc>
        <w:tc>
          <w:tcPr>
            <w:tcW w:w="803" w:type="pct"/>
          </w:tcPr>
          <w:p w14:paraId="63073998"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$7,065-$17,374</w:t>
            </w:r>
          </w:p>
        </w:tc>
        <w:tc>
          <w:tcPr>
            <w:tcW w:w="715" w:type="pct"/>
          </w:tcPr>
          <w:p w14:paraId="273957DC"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$1,603-$11,759</w:t>
            </w:r>
          </w:p>
        </w:tc>
      </w:tr>
      <w:tr w:rsidR="006B09C3" w:rsidRPr="004A6BA7" w14:paraId="7EA31701" w14:textId="77777777" w:rsidTr="005D59E5">
        <w:tc>
          <w:tcPr>
            <w:cnfStyle w:val="001000000000" w:firstRow="0" w:lastRow="0" w:firstColumn="1" w:lastColumn="0" w:oddVBand="0" w:evenVBand="0" w:oddHBand="0" w:evenHBand="0" w:firstRowFirstColumn="0" w:firstRowLastColumn="0" w:lastRowFirstColumn="0" w:lastRowLastColumn="0"/>
            <w:tcW w:w="1161" w:type="pct"/>
          </w:tcPr>
          <w:p w14:paraId="4D2D1F07" w14:textId="77777777" w:rsidR="00694FE1" w:rsidRPr="005D614B" w:rsidRDefault="00694FE1">
            <w:pPr>
              <w:rPr>
                <w:b w:val="0"/>
                <w:color w:val="auto"/>
                <w:szCs w:val="20"/>
              </w:rPr>
            </w:pPr>
            <w:r w:rsidRPr="002241F5">
              <w:rPr>
                <w:b w:val="0"/>
                <w:color w:val="auto"/>
                <w:szCs w:val="20"/>
              </w:rPr>
              <w:t>Variation or transfer of registration</w:t>
            </w:r>
          </w:p>
        </w:tc>
        <w:tc>
          <w:tcPr>
            <w:tcW w:w="625" w:type="pct"/>
            <w:shd w:val="clear" w:color="auto" w:fill="EEECE1" w:themeFill="background2"/>
          </w:tcPr>
          <w:p w14:paraId="570C26C2" w14:textId="0C9F247C" w:rsidR="00694FE1" w:rsidRPr="005D614B" w:rsidRDefault="005D18FF">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$256-$</w:t>
            </w:r>
            <w:r w:rsidR="005431CF" w:rsidRPr="002241F5">
              <w:rPr>
                <w:color w:val="auto"/>
                <w:szCs w:val="20"/>
              </w:rPr>
              <w:t>760</w:t>
            </w:r>
          </w:p>
        </w:tc>
        <w:tc>
          <w:tcPr>
            <w:tcW w:w="893" w:type="pct"/>
          </w:tcPr>
          <w:p w14:paraId="0837CACE"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$1,055.23-$1,761.19</w:t>
            </w:r>
          </w:p>
        </w:tc>
        <w:tc>
          <w:tcPr>
            <w:tcW w:w="804" w:type="pct"/>
          </w:tcPr>
          <w:p w14:paraId="5F6BEAA5" w14:textId="714BEFBE" w:rsidR="00694FE1" w:rsidRPr="005D614B" w:rsidRDefault="000A149C">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w:t>
            </w:r>
          </w:p>
        </w:tc>
        <w:tc>
          <w:tcPr>
            <w:tcW w:w="803" w:type="pct"/>
          </w:tcPr>
          <w:p w14:paraId="4A15A36B"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$4,660</w:t>
            </w:r>
          </w:p>
        </w:tc>
        <w:tc>
          <w:tcPr>
            <w:tcW w:w="715" w:type="pct"/>
          </w:tcPr>
          <w:p w14:paraId="3B2B13CB" w14:textId="77777777" w:rsidR="00694FE1" w:rsidRPr="005D614B" w:rsidRDefault="00694FE1">
            <w:pPr>
              <w:cnfStyle w:val="000000000000" w:firstRow="0" w:lastRow="0" w:firstColumn="0" w:lastColumn="0" w:oddVBand="0" w:evenVBand="0" w:oddHBand="0" w:evenHBand="0" w:firstRowFirstColumn="0" w:firstRowLastColumn="0" w:lastRowFirstColumn="0" w:lastRowLastColumn="0"/>
              <w:rPr>
                <w:color w:val="auto"/>
                <w:szCs w:val="20"/>
              </w:rPr>
            </w:pPr>
            <w:r w:rsidRPr="002241F5">
              <w:rPr>
                <w:color w:val="auto"/>
                <w:szCs w:val="20"/>
              </w:rPr>
              <w:t>$1,603-$3,741</w:t>
            </w:r>
          </w:p>
        </w:tc>
      </w:tr>
    </w:tbl>
    <w:p w14:paraId="51B66D69" w14:textId="77777777" w:rsidR="00694FE1" w:rsidRDefault="00694FE1" w:rsidP="00694FE1"/>
    <w:p w14:paraId="5E902C49" w14:textId="77777777" w:rsidR="00694FE1" w:rsidRPr="00377B1A" w:rsidRDefault="00694FE1" w:rsidP="00694FE1"/>
    <w:p w14:paraId="001ED87E" w14:textId="17B9FA76" w:rsidR="00CA1A61" w:rsidRDefault="0088224B" w:rsidP="0062632A">
      <w:pPr>
        <w:pStyle w:val="Heading5"/>
      </w:pPr>
      <w:bookmarkStart w:id="280" w:name="_Toc164419477"/>
      <w:bookmarkStart w:id="281" w:name="_Toc164419898"/>
      <w:bookmarkStart w:id="282" w:name="_Toc164420222"/>
      <w:bookmarkStart w:id="283" w:name="_Toc165287606"/>
      <w:bookmarkEnd w:id="280"/>
      <w:bookmarkEnd w:id="281"/>
      <w:bookmarkEnd w:id="282"/>
      <w:r>
        <w:lastRenderedPageBreak/>
        <w:t>C</w:t>
      </w:r>
      <w:r w:rsidR="00793098">
        <w:t xml:space="preserve">ompetition </w:t>
      </w:r>
      <w:r>
        <w:t xml:space="preserve">and small business </w:t>
      </w:r>
      <w:r w:rsidR="00793098">
        <w:t>impacts</w:t>
      </w:r>
      <w:bookmarkEnd w:id="28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firstRow="1" w:lastRow="0" w:firstColumn="1" w:lastColumn="0" w:noHBand="0" w:noVBand="1"/>
      </w:tblPr>
      <w:tblGrid>
        <w:gridCol w:w="9016"/>
      </w:tblGrid>
      <w:tr w:rsidR="00771CD4" w:rsidRPr="003020ED" w14:paraId="5B6DDA99" w14:textId="77777777" w:rsidTr="00466F45">
        <w:tc>
          <w:tcPr>
            <w:tcW w:w="9016" w:type="dxa"/>
            <w:shd w:val="clear" w:color="auto" w:fill="EEECE1" w:themeFill="background2"/>
          </w:tcPr>
          <w:p w14:paraId="33F1B9B3" w14:textId="52A2E62E" w:rsidR="00771CD4" w:rsidRPr="003020ED" w:rsidRDefault="00771CD4" w:rsidP="003F2E38">
            <w:r w:rsidRPr="003020ED">
              <w:t xml:space="preserve">This section assesses the competition and small business impacts of the preferred option. </w:t>
            </w:r>
          </w:p>
        </w:tc>
      </w:tr>
    </w:tbl>
    <w:p w14:paraId="27BF1647" w14:textId="37AE3B10" w:rsidR="00D75472" w:rsidRDefault="005E34F1" w:rsidP="005E34F1">
      <w:pPr>
        <w:pStyle w:val="Heading6"/>
      </w:pPr>
      <w:r>
        <w:t>Compe</w:t>
      </w:r>
      <w:r w:rsidR="00E62621">
        <w:t>tition impacts</w:t>
      </w:r>
    </w:p>
    <w:p w14:paraId="58B542EA" w14:textId="77777777" w:rsidR="000A077A" w:rsidRDefault="003B372F" w:rsidP="00E62621">
      <w:r>
        <w:t xml:space="preserve">The Victorian Guide to Regulation requires a RIS to assess the impact of regulations on competition. Regulations can affect competition by preventing or limiting the ability of businesses and individuals to enter and compete within particular markets. </w:t>
      </w:r>
    </w:p>
    <w:p w14:paraId="48FFE0B6" w14:textId="3C904CE6" w:rsidR="00517FAA" w:rsidRDefault="000B4FA1" w:rsidP="007E51E9">
      <w:r>
        <w:t>A measure is likely to have an impact on competition if any of the questions</w:t>
      </w:r>
      <w:r w:rsidR="000C5750">
        <w:t xml:space="preserve"> in the </w:t>
      </w:r>
      <w:r w:rsidR="00507231">
        <w:t>Table</w:t>
      </w:r>
      <w:r w:rsidR="00FB7224">
        <w:t xml:space="preserve"> 1</w:t>
      </w:r>
      <w:r w:rsidR="004712A5">
        <w:t>6</w:t>
      </w:r>
      <w:r w:rsidR="00CA28CA">
        <w:t xml:space="preserve"> </w:t>
      </w:r>
      <w:r>
        <w:t>can be answered in the affirmati</w:t>
      </w:r>
      <w:r w:rsidR="000C5750">
        <w:t>ve.</w:t>
      </w:r>
      <w:r w:rsidR="007F7305">
        <w:t xml:space="preserve"> </w:t>
      </w:r>
    </w:p>
    <w:p w14:paraId="1E76F231" w14:textId="06E2DF3C" w:rsidR="00DD26C5" w:rsidRDefault="00DD26C5" w:rsidP="00DD26C5">
      <w:pPr>
        <w:pStyle w:val="Caption"/>
      </w:pPr>
      <w:r>
        <w:t xml:space="preserve">Table </w:t>
      </w:r>
      <w:fldSimple w:instr=" SEQ Table \* ARABIC ">
        <w:r w:rsidR="004712A5">
          <w:rPr>
            <w:noProof/>
          </w:rPr>
          <w:t>16</w:t>
        </w:r>
      </w:fldSimple>
      <w:r>
        <w:t xml:space="preserve"> Analysis of competition impacts</w:t>
      </w:r>
    </w:p>
    <w:tbl>
      <w:tblPr>
        <w:tblStyle w:val="SapereTable"/>
        <w:tblW w:w="0" w:type="auto"/>
        <w:tblLook w:val="04A0" w:firstRow="1" w:lastRow="0" w:firstColumn="1" w:lastColumn="0" w:noHBand="0" w:noVBand="1"/>
      </w:tblPr>
      <w:tblGrid>
        <w:gridCol w:w="2835"/>
        <w:gridCol w:w="1701"/>
        <w:gridCol w:w="4490"/>
      </w:tblGrid>
      <w:tr w:rsidR="004A2A9D" w14:paraId="4575C7DA" w14:textId="77777777" w:rsidTr="00D076E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hideMark/>
          </w:tcPr>
          <w:p w14:paraId="550DE71C" w14:textId="77777777" w:rsidR="00704630" w:rsidRPr="00704630" w:rsidRDefault="00704630" w:rsidP="00704630">
            <w:r w:rsidRPr="00704630">
              <w:rPr>
                <w:lang w:val="en-US"/>
              </w:rPr>
              <w:t>Test question</w:t>
            </w:r>
          </w:p>
        </w:tc>
        <w:tc>
          <w:tcPr>
            <w:tcW w:w="1701" w:type="dxa"/>
            <w:hideMark/>
          </w:tcPr>
          <w:p w14:paraId="1167F537" w14:textId="77777777" w:rsidR="00704630" w:rsidRPr="00704630" w:rsidRDefault="00704630" w:rsidP="00704630">
            <w:pPr>
              <w:cnfStyle w:val="100000000000" w:firstRow="1" w:lastRow="0" w:firstColumn="0" w:lastColumn="0" w:oddVBand="0" w:evenVBand="0" w:oddHBand="0" w:evenHBand="0" w:firstRowFirstColumn="0" w:firstRowLastColumn="0" w:lastRowFirstColumn="0" w:lastRowLastColumn="0"/>
            </w:pPr>
            <w:r w:rsidRPr="00704630">
              <w:rPr>
                <w:lang w:val="en-US"/>
              </w:rPr>
              <w:t>Assessment</w:t>
            </w:r>
          </w:p>
        </w:tc>
        <w:tc>
          <w:tcPr>
            <w:tcW w:w="4490" w:type="dxa"/>
            <w:hideMark/>
          </w:tcPr>
          <w:p w14:paraId="5C3702DD" w14:textId="77777777" w:rsidR="00704630" w:rsidRPr="00704630" w:rsidRDefault="00704630" w:rsidP="00704630">
            <w:pPr>
              <w:cnfStyle w:val="100000000000" w:firstRow="1" w:lastRow="0" w:firstColumn="0" w:lastColumn="0" w:oddVBand="0" w:evenVBand="0" w:oddHBand="0" w:evenHBand="0" w:firstRowFirstColumn="0" w:firstRowLastColumn="0" w:lastRowFirstColumn="0" w:lastRowLastColumn="0"/>
            </w:pPr>
            <w:r w:rsidRPr="00704630">
              <w:rPr>
                <w:lang w:val="en-US"/>
              </w:rPr>
              <w:t>Reason</w:t>
            </w:r>
          </w:p>
        </w:tc>
      </w:tr>
      <w:tr w:rsidR="004A2A9D" w14:paraId="064993D6" w14:textId="77777777" w:rsidTr="00D076E6">
        <w:trPr>
          <w:trHeight w:val="345"/>
        </w:trPr>
        <w:tc>
          <w:tcPr>
            <w:cnfStyle w:val="001000000000" w:firstRow="0" w:lastRow="0" w:firstColumn="1" w:lastColumn="0" w:oddVBand="0" w:evenVBand="0" w:oddHBand="0" w:evenHBand="0" w:firstRowFirstColumn="0" w:firstRowLastColumn="0" w:lastRowFirstColumn="0" w:lastRowLastColumn="0"/>
            <w:tcW w:w="2835" w:type="dxa"/>
            <w:hideMark/>
          </w:tcPr>
          <w:p w14:paraId="5280E1CB" w14:textId="4B7597BA" w:rsidR="00704630" w:rsidRPr="005D614B" w:rsidRDefault="00704630" w:rsidP="00704630">
            <w:pPr>
              <w:rPr>
                <w:color w:val="auto"/>
              </w:rPr>
            </w:pPr>
            <w:r w:rsidRPr="002241F5">
              <w:rPr>
                <w:color w:val="auto"/>
                <w:lang w:val="en-US"/>
              </w:rPr>
              <w:t>Is the proposed measure likely to affect the market structure of the affected sector(s)</w:t>
            </w:r>
          </w:p>
        </w:tc>
        <w:tc>
          <w:tcPr>
            <w:tcW w:w="1701" w:type="dxa"/>
          </w:tcPr>
          <w:p w14:paraId="3562FC4B" w14:textId="210B6E84" w:rsidR="00704630" w:rsidRPr="005D614B" w:rsidRDefault="002418FD"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No</w:t>
            </w:r>
          </w:p>
        </w:tc>
        <w:tc>
          <w:tcPr>
            <w:tcW w:w="4490" w:type="dxa"/>
          </w:tcPr>
          <w:p w14:paraId="6EE0F0DD" w14:textId="2E013FA7" w:rsidR="008E04E3" w:rsidRPr="005D614B" w:rsidRDefault="00CC03F2"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 xml:space="preserve">The </w:t>
            </w:r>
            <w:r w:rsidR="00D65E43" w:rsidRPr="002241F5">
              <w:rPr>
                <w:color w:val="auto"/>
              </w:rPr>
              <w:t xml:space="preserve">regulatory scheme for </w:t>
            </w:r>
            <w:r w:rsidR="004C0BB7" w:rsidRPr="002241F5">
              <w:rPr>
                <w:color w:val="auto"/>
              </w:rPr>
              <w:t>HSEs</w:t>
            </w:r>
            <w:r w:rsidRPr="002241F5">
              <w:rPr>
                <w:color w:val="auto"/>
              </w:rPr>
              <w:t xml:space="preserve"> impose</w:t>
            </w:r>
            <w:r w:rsidR="004C0BB7" w:rsidRPr="002241F5">
              <w:rPr>
                <w:color w:val="auto"/>
              </w:rPr>
              <w:t>s</w:t>
            </w:r>
            <w:r w:rsidRPr="002241F5">
              <w:rPr>
                <w:color w:val="auto"/>
              </w:rPr>
              <w:t xml:space="preserve"> restrictions on </w:t>
            </w:r>
            <w:r w:rsidR="00E924DF" w:rsidRPr="002241F5">
              <w:rPr>
                <w:color w:val="auto"/>
              </w:rPr>
              <w:t xml:space="preserve">service providers </w:t>
            </w:r>
            <w:r w:rsidRPr="002241F5">
              <w:rPr>
                <w:color w:val="auto"/>
              </w:rPr>
              <w:t xml:space="preserve">entering a market. </w:t>
            </w:r>
            <w:r w:rsidR="00706BE9" w:rsidRPr="002241F5">
              <w:rPr>
                <w:color w:val="auto"/>
              </w:rPr>
              <w:t>The</w:t>
            </w:r>
            <w:r w:rsidRPr="002241F5">
              <w:rPr>
                <w:color w:val="auto"/>
              </w:rPr>
              <w:t xml:space="preserve"> restrictions are </w:t>
            </w:r>
            <w:r w:rsidR="006D1616" w:rsidRPr="002241F5">
              <w:rPr>
                <w:color w:val="auto"/>
              </w:rPr>
              <w:t xml:space="preserve">effectively </w:t>
            </w:r>
            <w:r w:rsidRPr="002241F5">
              <w:rPr>
                <w:color w:val="auto"/>
              </w:rPr>
              <w:t>imposed by the Act</w:t>
            </w:r>
            <w:r w:rsidR="00557056" w:rsidRPr="002241F5">
              <w:rPr>
                <w:color w:val="auto"/>
              </w:rPr>
              <w:t xml:space="preserve">. The Act </w:t>
            </w:r>
            <w:r w:rsidR="008F359F" w:rsidRPr="002241F5">
              <w:rPr>
                <w:color w:val="auto"/>
              </w:rPr>
              <w:t xml:space="preserve">makes it an offence to operate a </w:t>
            </w:r>
            <w:r w:rsidR="004C0BB7" w:rsidRPr="002241F5">
              <w:rPr>
                <w:color w:val="auto"/>
              </w:rPr>
              <w:t xml:space="preserve">HSE </w:t>
            </w:r>
            <w:r w:rsidR="008F359F" w:rsidRPr="002241F5">
              <w:rPr>
                <w:color w:val="auto"/>
              </w:rPr>
              <w:t>without registration</w:t>
            </w:r>
            <w:r w:rsidR="00557056" w:rsidRPr="002241F5">
              <w:rPr>
                <w:color w:val="auto"/>
              </w:rPr>
              <w:t>, defining ‘</w:t>
            </w:r>
            <w:r w:rsidR="004C0BB7" w:rsidRPr="002241F5">
              <w:rPr>
                <w:color w:val="auto"/>
              </w:rPr>
              <w:t>HSE’</w:t>
            </w:r>
            <w:r w:rsidR="00557056" w:rsidRPr="002241F5">
              <w:rPr>
                <w:color w:val="auto"/>
              </w:rPr>
              <w:t xml:space="preserve"> </w:t>
            </w:r>
            <w:r w:rsidR="00DC7A63" w:rsidRPr="002241F5">
              <w:rPr>
                <w:color w:val="auto"/>
              </w:rPr>
              <w:t xml:space="preserve">by reference to services </w:t>
            </w:r>
            <w:r w:rsidR="006D1616" w:rsidRPr="002241F5">
              <w:rPr>
                <w:color w:val="auto"/>
              </w:rPr>
              <w:t xml:space="preserve">provided at or from </w:t>
            </w:r>
            <w:r w:rsidR="00557056" w:rsidRPr="002241F5">
              <w:rPr>
                <w:color w:val="auto"/>
              </w:rPr>
              <w:t>the</w:t>
            </w:r>
            <w:r w:rsidR="006D1616" w:rsidRPr="002241F5">
              <w:rPr>
                <w:color w:val="auto"/>
              </w:rPr>
              <w:t xml:space="preserve"> </w:t>
            </w:r>
            <w:r w:rsidR="00B35BBF" w:rsidRPr="002241F5">
              <w:rPr>
                <w:color w:val="auto"/>
              </w:rPr>
              <w:t>premises</w:t>
            </w:r>
            <w:r w:rsidR="00C53EDB" w:rsidRPr="002241F5">
              <w:rPr>
                <w:color w:val="auto"/>
              </w:rPr>
              <w:t xml:space="preserve">, </w:t>
            </w:r>
            <w:r w:rsidR="00EB213D" w:rsidRPr="002241F5">
              <w:rPr>
                <w:color w:val="auto"/>
              </w:rPr>
              <w:t xml:space="preserve">and </w:t>
            </w:r>
            <w:r w:rsidR="00C53EDB" w:rsidRPr="002241F5">
              <w:rPr>
                <w:color w:val="auto"/>
              </w:rPr>
              <w:t>where a charge is made</w:t>
            </w:r>
            <w:r w:rsidR="00557056" w:rsidRPr="002241F5">
              <w:rPr>
                <w:color w:val="auto"/>
              </w:rPr>
              <w:t>. These services are</w:t>
            </w:r>
            <w:r w:rsidR="006D1616" w:rsidRPr="002241F5">
              <w:rPr>
                <w:color w:val="auto"/>
              </w:rPr>
              <w:t xml:space="preserve"> </w:t>
            </w:r>
            <w:r w:rsidR="00DC7A63" w:rsidRPr="002241F5">
              <w:rPr>
                <w:color w:val="auto"/>
              </w:rPr>
              <w:t>prescribed in the Regulations</w:t>
            </w:r>
            <w:r w:rsidR="008F359F" w:rsidRPr="002241F5">
              <w:rPr>
                <w:color w:val="auto"/>
              </w:rPr>
              <w:t>.</w:t>
            </w:r>
            <w:r w:rsidR="006C1F7C" w:rsidRPr="002241F5">
              <w:rPr>
                <w:color w:val="auto"/>
              </w:rPr>
              <w:t xml:space="preserve"> </w:t>
            </w:r>
            <w:r w:rsidR="00812FC7" w:rsidRPr="002241F5">
              <w:rPr>
                <w:color w:val="auto"/>
              </w:rPr>
              <w:t>Prescribing them is necessary to give effect to the registration scheme in the Act.</w:t>
            </w:r>
          </w:p>
          <w:p w14:paraId="4076CA81" w14:textId="5169AF9D" w:rsidR="00A94820" w:rsidRPr="005D614B" w:rsidRDefault="00ED3C0A"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 xml:space="preserve">The proposed </w:t>
            </w:r>
            <w:r w:rsidR="00812FC7" w:rsidRPr="002241F5">
              <w:rPr>
                <w:color w:val="auto"/>
              </w:rPr>
              <w:t xml:space="preserve">2024 </w:t>
            </w:r>
            <w:r w:rsidRPr="002241F5">
              <w:rPr>
                <w:color w:val="auto"/>
              </w:rPr>
              <w:t xml:space="preserve">regulations do not change the scope of these </w:t>
            </w:r>
            <w:r w:rsidR="000842A8" w:rsidRPr="002241F5">
              <w:rPr>
                <w:color w:val="auto"/>
              </w:rPr>
              <w:t xml:space="preserve">prescribed </w:t>
            </w:r>
            <w:r w:rsidRPr="002241F5">
              <w:rPr>
                <w:color w:val="auto"/>
              </w:rPr>
              <w:t xml:space="preserve">services, as compared to the </w:t>
            </w:r>
            <w:r w:rsidR="00812FC7" w:rsidRPr="002241F5">
              <w:rPr>
                <w:color w:val="auto"/>
              </w:rPr>
              <w:t xml:space="preserve">current </w:t>
            </w:r>
            <w:r w:rsidRPr="002241F5">
              <w:rPr>
                <w:color w:val="auto"/>
              </w:rPr>
              <w:t>20</w:t>
            </w:r>
            <w:r w:rsidR="002C5DC3" w:rsidRPr="002241F5">
              <w:rPr>
                <w:color w:val="auto"/>
              </w:rPr>
              <w:t>13</w:t>
            </w:r>
            <w:r w:rsidRPr="002241F5">
              <w:rPr>
                <w:color w:val="auto"/>
              </w:rPr>
              <w:t xml:space="preserve"> </w:t>
            </w:r>
            <w:r w:rsidR="00AA6F9F" w:rsidRPr="002241F5">
              <w:rPr>
                <w:color w:val="auto"/>
              </w:rPr>
              <w:t>r</w:t>
            </w:r>
            <w:r w:rsidRPr="002241F5">
              <w:rPr>
                <w:color w:val="auto"/>
              </w:rPr>
              <w:t>egulations</w:t>
            </w:r>
            <w:r w:rsidR="002005B5" w:rsidRPr="002241F5">
              <w:rPr>
                <w:color w:val="auto"/>
              </w:rPr>
              <w:t>.</w:t>
            </w:r>
            <w:r w:rsidR="008E04E3" w:rsidRPr="002241F5">
              <w:rPr>
                <w:color w:val="auto"/>
              </w:rPr>
              <w:t xml:space="preserve"> </w:t>
            </w:r>
          </w:p>
          <w:p w14:paraId="31759107" w14:textId="178F94D0" w:rsidR="00704630" w:rsidRPr="005D614B" w:rsidRDefault="008F359F" w:rsidP="003E3969">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T</w:t>
            </w:r>
            <w:r w:rsidR="00CC03F2" w:rsidRPr="002241F5">
              <w:rPr>
                <w:color w:val="auto"/>
              </w:rPr>
              <w:t>he proposed Regulations</w:t>
            </w:r>
            <w:r w:rsidR="00DC7A63" w:rsidRPr="002241F5">
              <w:rPr>
                <w:color w:val="auto"/>
              </w:rPr>
              <w:t xml:space="preserve"> </w:t>
            </w:r>
            <w:r w:rsidR="00706BE9" w:rsidRPr="002241F5">
              <w:rPr>
                <w:color w:val="auto"/>
              </w:rPr>
              <w:t xml:space="preserve">also </w:t>
            </w:r>
            <w:r w:rsidR="00215B17" w:rsidRPr="002241F5">
              <w:rPr>
                <w:color w:val="auto"/>
              </w:rPr>
              <w:t>set out</w:t>
            </w:r>
            <w:r w:rsidR="00CC03F2" w:rsidRPr="002241F5">
              <w:rPr>
                <w:color w:val="auto"/>
              </w:rPr>
              <w:t xml:space="preserve"> some detail to the regulatory requirements</w:t>
            </w:r>
            <w:r w:rsidR="004A2A9D" w:rsidRPr="002241F5">
              <w:rPr>
                <w:color w:val="auto"/>
              </w:rPr>
              <w:t xml:space="preserve"> for registered facilities</w:t>
            </w:r>
            <w:r w:rsidR="00CC03F2" w:rsidRPr="002241F5">
              <w:rPr>
                <w:color w:val="auto"/>
              </w:rPr>
              <w:t xml:space="preserve"> and</w:t>
            </w:r>
            <w:r w:rsidR="00203F3E" w:rsidRPr="002241F5">
              <w:rPr>
                <w:color w:val="auto"/>
              </w:rPr>
              <w:t xml:space="preserve"> otherwise </w:t>
            </w:r>
            <w:r w:rsidR="00215B17" w:rsidRPr="002241F5">
              <w:rPr>
                <w:color w:val="auto"/>
              </w:rPr>
              <w:t xml:space="preserve">give </w:t>
            </w:r>
            <w:r w:rsidR="00CC03F2" w:rsidRPr="002241F5">
              <w:rPr>
                <w:color w:val="auto"/>
              </w:rPr>
              <w:t>practical effect to the Act.</w:t>
            </w:r>
            <w:r w:rsidR="00EC1971" w:rsidRPr="002241F5">
              <w:rPr>
                <w:color w:val="auto"/>
              </w:rPr>
              <w:t xml:space="preserve"> </w:t>
            </w:r>
          </w:p>
        </w:tc>
      </w:tr>
      <w:tr w:rsidR="004A2A9D" w14:paraId="51B71BEB" w14:textId="77777777" w:rsidTr="00D076E6">
        <w:trPr>
          <w:trHeight w:val="345"/>
        </w:trPr>
        <w:tc>
          <w:tcPr>
            <w:cnfStyle w:val="001000000000" w:firstRow="0" w:lastRow="0" w:firstColumn="1" w:lastColumn="0" w:oddVBand="0" w:evenVBand="0" w:oddHBand="0" w:evenHBand="0" w:firstRowFirstColumn="0" w:firstRowLastColumn="0" w:lastRowFirstColumn="0" w:lastRowLastColumn="0"/>
            <w:tcW w:w="2835" w:type="dxa"/>
            <w:hideMark/>
          </w:tcPr>
          <w:p w14:paraId="4FB9277F" w14:textId="77777777" w:rsidR="00704630" w:rsidRPr="005D614B" w:rsidRDefault="00704630" w:rsidP="00704630">
            <w:pPr>
              <w:rPr>
                <w:color w:val="auto"/>
              </w:rPr>
            </w:pPr>
            <w:r w:rsidRPr="002241F5">
              <w:rPr>
                <w:color w:val="auto"/>
                <w:lang w:val="en-US"/>
              </w:rPr>
              <w:t>Will it be more difficult for new firms or individuals to enter the industry after the imposition of the proposed measure?</w:t>
            </w:r>
            <w:r w:rsidRPr="002241F5">
              <w:rPr>
                <w:color w:val="auto"/>
              </w:rPr>
              <w:t> </w:t>
            </w:r>
          </w:p>
        </w:tc>
        <w:tc>
          <w:tcPr>
            <w:tcW w:w="1701" w:type="dxa"/>
          </w:tcPr>
          <w:p w14:paraId="0D2D1A2B" w14:textId="4FA5214C" w:rsidR="00704630" w:rsidRPr="005D614B" w:rsidRDefault="00704A40"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No</w:t>
            </w:r>
          </w:p>
        </w:tc>
        <w:tc>
          <w:tcPr>
            <w:tcW w:w="4490" w:type="dxa"/>
          </w:tcPr>
          <w:p w14:paraId="16518DBC" w14:textId="489DC811" w:rsidR="00704630" w:rsidRPr="005D614B" w:rsidRDefault="000F131B"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The proposed Regulations introduce new requirements</w:t>
            </w:r>
            <w:r w:rsidR="004E5EC9" w:rsidRPr="002241F5">
              <w:rPr>
                <w:color w:val="auto"/>
              </w:rPr>
              <w:t xml:space="preserve">. </w:t>
            </w:r>
            <w:r w:rsidR="003E3969" w:rsidRPr="002241F5">
              <w:rPr>
                <w:color w:val="auto"/>
              </w:rPr>
              <w:t xml:space="preserve">Stakeholder feedback provided to the review of the Regulations did include general comments that warned continued or significant increase in regulatory burden may affect the financial viability of facilities. However, this concern was not raised in relation to key elements of the proposed 2024 regulations discussed in this RIS. </w:t>
            </w:r>
            <w:r w:rsidR="00454309" w:rsidRPr="002241F5">
              <w:rPr>
                <w:color w:val="auto"/>
              </w:rPr>
              <w:t>On this basis it is not considered</w:t>
            </w:r>
            <w:r w:rsidRPr="002241F5">
              <w:rPr>
                <w:color w:val="auto"/>
              </w:rPr>
              <w:t xml:space="preserve"> likely that th</w:t>
            </w:r>
            <w:r w:rsidR="00F224B4" w:rsidRPr="002241F5">
              <w:rPr>
                <w:color w:val="auto"/>
              </w:rPr>
              <w:t>ose</w:t>
            </w:r>
            <w:r w:rsidRPr="002241F5">
              <w:rPr>
                <w:color w:val="auto"/>
              </w:rPr>
              <w:t xml:space="preserve"> new requirements </w:t>
            </w:r>
            <w:r w:rsidRPr="002241F5">
              <w:rPr>
                <w:color w:val="auto"/>
              </w:rPr>
              <w:lastRenderedPageBreak/>
              <w:t>will lead to either HSEs exiting the market, or new participants being reluctant to enter the market.</w:t>
            </w:r>
          </w:p>
        </w:tc>
      </w:tr>
      <w:tr w:rsidR="004A2A9D" w14:paraId="23ED67B7" w14:textId="77777777" w:rsidTr="00D076E6">
        <w:trPr>
          <w:trHeight w:val="345"/>
        </w:trPr>
        <w:tc>
          <w:tcPr>
            <w:cnfStyle w:val="001000000000" w:firstRow="0" w:lastRow="0" w:firstColumn="1" w:lastColumn="0" w:oddVBand="0" w:evenVBand="0" w:oddHBand="0" w:evenHBand="0" w:firstRowFirstColumn="0" w:firstRowLastColumn="0" w:lastRowFirstColumn="0" w:lastRowLastColumn="0"/>
            <w:tcW w:w="2835" w:type="dxa"/>
            <w:hideMark/>
          </w:tcPr>
          <w:p w14:paraId="78B6F02B" w14:textId="77777777" w:rsidR="00704630" w:rsidRPr="005D614B" w:rsidRDefault="00704630" w:rsidP="00704630">
            <w:pPr>
              <w:rPr>
                <w:color w:val="auto"/>
              </w:rPr>
            </w:pPr>
            <w:r w:rsidRPr="002241F5">
              <w:rPr>
                <w:color w:val="auto"/>
                <w:lang w:val="en-US"/>
              </w:rPr>
              <w:lastRenderedPageBreak/>
              <w:t>Will the costs/benefits associated with the proposed measure affect some firms or individuals substantially more than others (e.g. small firms, part-time participants in occupations etc.)?</w:t>
            </w:r>
            <w:r w:rsidRPr="002241F5">
              <w:rPr>
                <w:color w:val="auto"/>
              </w:rPr>
              <w:t> </w:t>
            </w:r>
          </w:p>
        </w:tc>
        <w:tc>
          <w:tcPr>
            <w:tcW w:w="1701" w:type="dxa"/>
          </w:tcPr>
          <w:p w14:paraId="1D288DBF" w14:textId="593AB567" w:rsidR="00704630" w:rsidRPr="005D614B" w:rsidRDefault="00704A40"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Minimal</w:t>
            </w:r>
          </w:p>
        </w:tc>
        <w:tc>
          <w:tcPr>
            <w:tcW w:w="4490" w:type="dxa"/>
          </w:tcPr>
          <w:p w14:paraId="37D2900F" w14:textId="4B58F47E" w:rsidR="00704630" w:rsidRPr="005D614B" w:rsidRDefault="000E5EFE"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Larger HSEs</w:t>
            </w:r>
            <w:r w:rsidR="002C1F64" w:rsidRPr="002241F5">
              <w:rPr>
                <w:color w:val="auto"/>
              </w:rPr>
              <w:t xml:space="preserve"> may find it easier to </w:t>
            </w:r>
            <w:r w:rsidR="00D17686" w:rsidRPr="002241F5">
              <w:rPr>
                <w:color w:val="auto"/>
              </w:rPr>
              <w:t>create the processes needed to comply with</w:t>
            </w:r>
            <w:r w:rsidRPr="002241F5">
              <w:rPr>
                <w:color w:val="auto"/>
              </w:rPr>
              <w:t xml:space="preserve"> </w:t>
            </w:r>
            <w:r w:rsidR="00151D07" w:rsidRPr="002241F5">
              <w:rPr>
                <w:color w:val="auto"/>
              </w:rPr>
              <w:t>requirements in</w:t>
            </w:r>
            <w:r w:rsidR="00D17686" w:rsidRPr="002241F5">
              <w:rPr>
                <w:color w:val="auto"/>
              </w:rPr>
              <w:t xml:space="preserve"> </w:t>
            </w:r>
            <w:r w:rsidR="00151D07" w:rsidRPr="002241F5">
              <w:rPr>
                <w:color w:val="auto"/>
              </w:rPr>
              <w:t>the proposed Regulations</w:t>
            </w:r>
            <w:r w:rsidR="00D17686" w:rsidRPr="002241F5">
              <w:rPr>
                <w:color w:val="auto"/>
              </w:rPr>
              <w:t xml:space="preserve">. </w:t>
            </w:r>
            <w:r w:rsidR="006A241A" w:rsidRPr="002241F5">
              <w:rPr>
                <w:color w:val="auto"/>
              </w:rPr>
              <w:t xml:space="preserve">However, </w:t>
            </w:r>
            <w:r w:rsidR="00AB7FDC" w:rsidRPr="002241F5">
              <w:rPr>
                <w:color w:val="auto"/>
              </w:rPr>
              <w:t xml:space="preserve">there is also some flexibility for HSEs adhering to the Regulations (and the National Standards) depending on nature of size, </w:t>
            </w:r>
            <w:r w:rsidR="00217DE5" w:rsidRPr="002241F5">
              <w:rPr>
                <w:color w:val="auto"/>
              </w:rPr>
              <w:t>acuity level of patients etc.</w:t>
            </w:r>
            <w:r w:rsidR="00875BB5" w:rsidRPr="002241F5">
              <w:rPr>
                <w:color w:val="auto"/>
              </w:rPr>
              <w:t xml:space="preserve"> </w:t>
            </w:r>
            <w:r w:rsidR="00A04E29" w:rsidRPr="002241F5">
              <w:rPr>
                <w:color w:val="auto"/>
              </w:rPr>
              <w:t xml:space="preserve"> </w:t>
            </w:r>
          </w:p>
        </w:tc>
      </w:tr>
      <w:tr w:rsidR="004A2A9D" w14:paraId="2D925F5D" w14:textId="77777777" w:rsidTr="00D076E6">
        <w:trPr>
          <w:trHeight w:val="345"/>
        </w:trPr>
        <w:tc>
          <w:tcPr>
            <w:cnfStyle w:val="001000000000" w:firstRow="0" w:lastRow="0" w:firstColumn="1" w:lastColumn="0" w:oddVBand="0" w:evenVBand="0" w:oddHBand="0" w:evenHBand="0" w:firstRowFirstColumn="0" w:firstRowLastColumn="0" w:lastRowFirstColumn="0" w:lastRowLastColumn="0"/>
            <w:tcW w:w="2835" w:type="dxa"/>
            <w:hideMark/>
          </w:tcPr>
          <w:p w14:paraId="65B0B045" w14:textId="77777777" w:rsidR="00704630" w:rsidRPr="005D614B" w:rsidRDefault="00704630" w:rsidP="00704630">
            <w:pPr>
              <w:rPr>
                <w:color w:val="auto"/>
              </w:rPr>
            </w:pPr>
            <w:r w:rsidRPr="002241F5">
              <w:rPr>
                <w:color w:val="auto"/>
                <w:lang w:val="en-US"/>
              </w:rPr>
              <w:t>Will the proposed measure restrict the ability of businesses to choose the price, quality, range or location of their products?</w:t>
            </w:r>
            <w:r w:rsidRPr="002241F5">
              <w:rPr>
                <w:color w:val="auto"/>
              </w:rPr>
              <w:t> </w:t>
            </w:r>
          </w:p>
        </w:tc>
        <w:tc>
          <w:tcPr>
            <w:tcW w:w="1701" w:type="dxa"/>
          </w:tcPr>
          <w:p w14:paraId="46672A45" w14:textId="31B212BD" w:rsidR="00704630" w:rsidRPr="005D614B" w:rsidRDefault="00D65C00"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Not applicable</w:t>
            </w:r>
          </w:p>
        </w:tc>
        <w:tc>
          <w:tcPr>
            <w:tcW w:w="4490" w:type="dxa"/>
          </w:tcPr>
          <w:p w14:paraId="7ECD85C9" w14:textId="1F6A8699" w:rsidR="00704630" w:rsidRPr="005D614B" w:rsidRDefault="00875BB5"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 xml:space="preserve">Health care is considered a service, rather than a product. </w:t>
            </w:r>
          </w:p>
        </w:tc>
      </w:tr>
      <w:tr w:rsidR="004A2A9D" w14:paraId="6EE4329D" w14:textId="77777777" w:rsidTr="00D076E6">
        <w:trPr>
          <w:trHeight w:val="345"/>
        </w:trPr>
        <w:tc>
          <w:tcPr>
            <w:cnfStyle w:val="001000000000" w:firstRow="0" w:lastRow="0" w:firstColumn="1" w:lastColumn="0" w:oddVBand="0" w:evenVBand="0" w:oddHBand="0" w:evenHBand="0" w:firstRowFirstColumn="0" w:firstRowLastColumn="0" w:lastRowFirstColumn="0" w:lastRowLastColumn="0"/>
            <w:tcW w:w="2835" w:type="dxa"/>
            <w:hideMark/>
          </w:tcPr>
          <w:p w14:paraId="636149A0" w14:textId="77777777" w:rsidR="00704630" w:rsidRPr="005D614B" w:rsidRDefault="00704630" w:rsidP="00704630">
            <w:pPr>
              <w:rPr>
                <w:color w:val="auto"/>
              </w:rPr>
            </w:pPr>
            <w:r w:rsidRPr="002241F5">
              <w:rPr>
                <w:color w:val="auto"/>
                <w:lang w:val="en-US"/>
              </w:rPr>
              <w:t>Will the proposed measure lead to higher ongoing costs for new entrants that existing firms do not have to meet?</w:t>
            </w:r>
            <w:r w:rsidRPr="002241F5">
              <w:rPr>
                <w:color w:val="auto"/>
              </w:rPr>
              <w:t> </w:t>
            </w:r>
          </w:p>
        </w:tc>
        <w:tc>
          <w:tcPr>
            <w:tcW w:w="1701" w:type="dxa"/>
          </w:tcPr>
          <w:p w14:paraId="26526CF9" w14:textId="12406F9A" w:rsidR="00704630" w:rsidRPr="005D614B" w:rsidRDefault="00713DB0"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No</w:t>
            </w:r>
          </w:p>
        </w:tc>
        <w:tc>
          <w:tcPr>
            <w:tcW w:w="4490" w:type="dxa"/>
          </w:tcPr>
          <w:p w14:paraId="432B4ADF" w14:textId="4FD14089" w:rsidR="00704630" w:rsidRPr="005D614B" w:rsidRDefault="00713DB0"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 xml:space="preserve">The costs imposed on new entrants will be the same as for existing businesses. </w:t>
            </w:r>
            <w:r w:rsidR="0016602E" w:rsidRPr="002241F5">
              <w:rPr>
                <w:color w:val="auto"/>
              </w:rPr>
              <w:t>It is acknowledged that s</w:t>
            </w:r>
            <w:r w:rsidRPr="002241F5">
              <w:rPr>
                <w:color w:val="auto"/>
              </w:rPr>
              <w:t>ome mature businesses may have</w:t>
            </w:r>
            <w:r w:rsidR="00F4227E" w:rsidRPr="002241F5">
              <w:rPr>
                <w:color w:val="auto"/>
              </w:rPr>
              <w:t xml:space="preserve"> processes in place already or</w:t>
            </w:r>
            <w:r w:rsidRPr="002241F5">
              <w:rPr>
                <w:color w:val="auto"/>
              </w:rPr>
              <w:t xml:space="preserve"> more efficient processes in pla</w:t>
            </w:r>
            <w:r w:rsidR="0082377E" w:rsidRPr="002241F5">
              <w:rPr>
                <w:color w:val="auto"/>
              </w:rPr>
              <w:t>ce</w:t>
            </w:r>
            <w:r w:rsidR="0016602E" w:rsidRPr="002241F5">
              <w:rPr>
                <w:color w:val="auto"/>
              </w:rPr>
              <w:t xml:space="preserve"> </w:t>
            </w:r>
            <w:r w:rsidR="00F4227E" w:rsidRPr="002241F5">
              <w:rPr>
                <w:color w:val="auto"/>
              </w:rPr>
              <w:t>already which will lower their upfront costs.</w:t>
            </w:r>
            <w:r w:rsidR="008D03A2" w:rsidRPr="002241F5">
              <w:rPr>
                <w:color w:val="auto"/>
              </w:rPr>
              <w:t xml:space="preserve"> </w:t>
            </w:r>
            <w:r w:rsidR="00F4227E" w:rsidRPr="002241F5">
              <w:rPr>
                <w:color w:val="auto"/>
              </w:rPr>
              <w:t>However</w:t>
            </w:r>
            <w:r w:rsidR="00D6094F" w:rsidRPr="002241F5">
              <w:rPr>
                <w:color w:val="auto"/>
              </w:rPr>
              <w:t>,</w:t>
            </w:r>
            <w:r w:rsidR="00F4227E" w:rsidRPr="002241F5">
              <w:rPr>
                <w:color w:val="auto"/>
              </w:rPr>
              <w:t xml:space="preserve"> the ongoing costs are expected to</w:t>
            </w:r>
            <w:r w:rsidR="008D03A2" w:rsidRPr="002241F5">
              <w:rPr>
                <w:color w:val="auto"/>
              </w:rPr>
              <w:t xml:space="preserve"> be the same for new entrants.</w:t>
            </w:r>
          </w:p>
        </w:tc>
      </w:tr>
      <w:tr w:rsidR="004A2A9D" w14:paraId="2B643B80" w14:textId="77777777" w:rsidTr="00D076E6">
        <w:trPr>
          <w:trHeight w:val="345"/>
        </w:trPr>
        <w:tc>
          <w:tcPr>
            <w:cnfStyle w:val="001000000000" w:firstRow="0" w:lastRow="0" w:firstColumn="1" w:lastColumn="0" w:oddVBand="0" w:evenVBand="0" w:oddHBand="0" w:evenHBand="0" w:firstRowFirstColumn="0" w:firstRowLastColumn="0" w:lastRowFirstColumn="0" w:lastRowLastColumn="0"/>
            <w:tcW w:w="2835" w:type="dxa"/>
            <w:hideMark/>
          </w:tcPr>
          <w:p w14:paraId="43769690" w14:textId="77777777" w:rsidR="00704630" w:rsidRPr="005D614B" w:rsidRDefault="00704630" w:rsidP="00704630">
            <w:pPr>
              <w:rPr>
                <w:color w:val="auto"/>
              </w:rPr>
            </w:pPr>
            <w:r w:rsidRPr="002241F5">
              <w:rPr>
                <w:color w:val="auto"/>
                <w:lang w:val="en-US"/>
              </w:rPr>
              <w:t>Is the ability or incentive to innovate or develop new products or services likely to be affected by the proposed measure?</w:t>
            </w:r>
            <w:r w:rsidRPr="002241F5">
              <w:rPr>
                <w:color w:val="auto"/>
              </w:rPr>
              <w:t> </w:t>
            </w:r>
          </w:p>
        </w:tc>
        <w:tc>
          <w:tcPr>
            <w:tcW w:w="1701" w:type="dxa"/>
          </w:tcPr>
          <w:p w14:paraId="377AF0F3" w14:textId="4FCAAA47" w:rsidR="00704630" w:rsidRPr="005D614B" w:rsidRDefault="00CA6A45"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No</w:t>
            </w:r>
          </w:p>
        </w:tc>
        <w:tc>
          <w:tcPr>
            <w:tcW w:w="4490" w:type="dxa"/>
          </w:tcPr>
          <w:p w14:paraId="027A5D91" w14:textId="25C3366D" w:rsidR="00704630" w:rsidRPr="005D614B" w:rsidRDefault="00CA6A45" w:rsidP="00704630">
            <w:pPr>
              <w:cnfStyle w:val="000000000000" w:firstRow="0" w:lastRow="0" w:firstColumn="0" w:lastColumn="0" w:oddVBand="0" w:evenVBand="0" w:oddHBand="0" w:evenHBand="0" w:firstRowFirstColumn="0" w:firstRowLastColumn="0" w:lastRowFirstColumn="0" w:lastRowLastColumn="0"/>
              <w:rPr>
                <w:color w:val="auto"/>
              </w:rPr>
            </w:pPr>
            <w:r w:rsidRPr="002241F5">
              <w:rPr>
                <w:color w:val="auto"/>
              </w:rPr>
              <w:t>The proposed regulations do not restrict the ability</w:t>
            </w:r>
            <w:r w:rsidR="00E12C86" w:rsidRPr="002241F5">
              <w:rPr>
                <w:color w:val="auto"/>
              </w:rPr>
              <w:t xml:space="preserve"> or incentive to innovate or develop new services.</w:t>
            </w:r>
            <w:r w:rsidR="00FC605A" w:rsidRPr="002241F5">
              <w:rPr>
                <w:color w:val="auto"/>
              </w:rPr>
              <w:t xml:space="preserve"> Any new services developed need to consider the quality and safety of patient care</w:t>
            </w:r>
            <w:r w:rsidR="00EE1318" w:rsidRPr="002241F5">
              <w:rPr>
                <w:color w:val="auto"/>
              </w:rPr>
              <w:t>.</w:t>
            </w:r>
            <w:r w:rsidR="00E12C86" w:rsidRPr="002241F5">
              <w:rPr>
                <w:color w:val="auto"/>
              </w:rPr>
              <w:t xml:space="preserve"> </w:t>
            </w:r>
          </w:p>
        </w:tc>
      </w:tr>
    </w:tbl>
    <w:p w14:paraId="589DE788" w14:textId="77777777" w:rsidR="009A386E" w:rsidRDefault="009A386E" w:rsidP="006522DF"/>
    <w:p w14:paraId="66E00001" w14:textId="77777777" w:rsidR="009A386E" w:rsidRDefault="009A386E">
      <w:pPr>
        <w:spacing w:before="0" w:line="259" w:lineRule="auto"/>
        <w:rPr>
          <w:rFonts w:asciiTheme="majorHAnsi" w:eastAsiaTheme="majorEastAsia" w:hAnsiTheme="majorHAnsi" w:cstheme="majorBidi"/>
          <w:b/>
          <w:color w:val="081729"/>
          <w:sz w:val="32"/>
        </w:rPr>
      </w:pPr>
      <w:r>
        <w:br w:type="page"/>
      </w:r>
    </w:p>
    <w:p w14:paraId="4134C59E" w14:textId="3CC82FD6" w:rsidR="0088224B" w:rsidRDefault="0088224B" w:rsidP="0088224B">
      <w:pPr>
        <w:pStyle w:val="Heading6"/>
      </w:pPr>
      <w:r>
        <w:lastRenderedPageBreak/>
        <w:t>Small business impacts</w:t>
      </w:r>
    </w:p>
    <w:p w14:paraId="208E1970" w14:textId="42D68A49" w:rsidR="0088224B" w:rsidRDefault="0088224B" w:rsidP="0088224B">
      <w:r>
        <w:t>The Victorian Guide to Regulation also considers it good practice for a RIS to consider the impacts of proposed Regulations on small businesses. Small businesses may experience disproportionate effects from regulation for a range of reasons. This may include that the requirement applies mostly to small businesses, or because small businesses have limited resources to interpret compliance requirements or meet substantive compliance requirements compared to larger businesses. Small businesses may also lack the economies of scale that allow regulatory costs to be spread across a large customer base.</w:t>
      </w:r>
    </w:p>
    <w:p w14:paraId="55655B79" w14:textId="377493FA" w:rsidR="00BC767D" w:rsidRDefault="00FD07CC" w:rsidP="0088224B">
      <w:r>
        <w:t xml:space="preserve">Smaller </w:t>
      </w:r>
      <w:r w:rsidR="003430A6">
        <w:t>HSEs</w:t>
      </w:r>
      <w:r>
        <w:t xml:space="preserve"> may be impacted</w:t>
      </w:r>
      <w:r w:rsidR="0006409D">
        <w:t xml:space="preserve"> more than larger</w:t>
      </w:r>
      <w:r w:rsidR="003430A6">
        <w:t xml:space="preserve"> HSEs</w:t>
      </w:r>
      <w:r w:rsidR="000E00CE">
        <w:t xml:space="preserve"> when </w:t>
      </w:r>
      <w:r w:rsidR="0054504C">
        <w:t>developing processes to comply with the new Regulations, as larger HSEs</w:t>
      </w:r>
      <w:r w:rsidR="009F716E">
        <w:t xml:space="preserve"> have more resources available to </w:t>
      </w:r>
      <w:r w:rsidR="004E1EEC">
        <w:t xml:space="preserve">develop and interpret new compliance requirements. </w:t>
      </w:r>
      <w:r w:rsidR="00BC767D">
        <w:t xml:space="preserve">However, </w:t>
      </w:r>
      <w:r w:rsidR="00A7584D">
        <w:t>most of</w:t>
      </w:r>
      <w:r w:rsidR="00F10D3C">
        <w:t xml:space="preserve"> </w:t>
      </w:r>
      <w:r w:rsidR="00957660">
        <w:t xml:space="preserve">the </w:t>
      </w:r>
      <w:r w:rsidR="00F10D3C">
        <w:t>proposed changes reflect current practice in HSEs</w:t>
      </w:r>
      <w:r w:rsidR="00A96F87">
        <w:t>, and are already part of the NSQHS Standards</w:t>
      </w:r>
      <w:r w:rsidR="000233E7">
        <w:t xml:space="preserve">, which HSEs are required to </w:t>
      </w:r>
      <w:r w:rsidR="000F3271">
        <w:t>be accredited against</w:t>
      </w:r>
      <w:r w:rsidR="00AD019C">
        <w:t>.</w:t>
      </w:r>
      <w:r w:rsidR="00A96F87">
        <w:t xml:space="preserve"> </w:t>
      </w:r>
      <w:r w:rsidR="00B06B8F">
        <w:t xml:space="preserve"> </w:t>
      </w:r>
    </w:p>
    <w:p w14:paraId="3B8EB987" w14:textId="68CC0B52" w:rsidR="008922F3" w:rsidRDefault="00B06B8F" w:rsidP="0088224B">
      <w:r>
        <w:t>Given that the proposed Regulations represent a continuation of the Regulations that have been in place for over 20 years, the department does not expect significant implementation issues or unintended consequences for smaller HSEs.</w:t>
      </w:r>
      <w:r w:rsidR="00124DC4">
        <w:t xml:space="preserve"> </w:t>
      </w:r>
    </w:p>
    <w:p w14:paraId="505B4AA9" w14:textId="62FF0BD8" w:rsidR="00793098" w:rsidRDefault="00793098" w:rsidP="001E347D">
      <w:pPr>
        <w:pStyle w:val="Heading5"/>
      </w:pPr>
      <w:bookmarkStart w:id="284" w:name="_Toc165287607"/>
      <w:r>
        <w:lastRenderedPageBreak/>
        <w:t>Implementation and evaluation</w:t>
      </w:r>
      <w:bookmarkEnd w:id="2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firstRow="1" w:lastRow="0" w:firstColumn="1" w:lastColumn="0" w:noHBand="0" w:noVBand="1"/>
      </w:tblPr>
      <w:tblGrid>
        <w:gridCol w:w="9016"/>
      </w:tblGrid>
      <w:tr w:rsidR="00E47DED" w:rsidRPr="00A773C3" w14:paraId="77105421" w14:textId="77777777" w:rsidTr="001E347D">
        <w:tc>
          <w:tcPr>
            <w:tcW w:w="9016" w:type="dxa"/>
            <w:shd w:val="clear" w:color="auto" w:fill="EEECE1" w:themeFill="background2"/>
          </w:tcPr>
          <w:p w14:paraId="66AC323E" w14:textId="77777777" w:rsidR="00E47DED" w:rsidRPr="00A773C3" w:rsidRDefault="00E47DED" w:rsidP="003F2E38">
            <w:pPr>
              <w:spacing w:before="0" w:after="120" w:line="259" w:lineRule="auto"/>
              <w:rPr>
                <w:szCs w:val="20"/>
              </w:rPr>
            </w:pPr>
            <w:r w:rsidRPr="00A773C3">
              <w:rPr>
                <w:szCs w:val="20"/>
              </w:rPr>
              <w:t>This chapter discusses key issues to be considered in the implementation and evaluation of the Regulations.</w:t>
            </w:r>
          </w:p>
        </w:tc>
      </w:tr>
    </w:tbl>
    <w:p w14:paraId="40EA94D1" w14:textId="77777777" w:rsidR="00200E11" w:rsidRDefault="00200E11" w:rsidP="001E347D">
      <w:pPr>
        <w:pStyle w:val="Heading6"/>
      </w:pPr>
      <w:r>
        <w:t>Implementation</w:t>
      </w:r>
    </w:p>
    <w:p w14:paraId="6AC8BCB3" w14:textId="1352F18C" w:rsidR="00F80C83" w:rsidRDefault="00F80C83" w:rsidP="00F80C83">
      <w:pPr>
        <w:spacing w:before="120"/>
      </w:pPr>
      <w:r w:rsidRPr="00F80C83">
        <w:t>The proposed Regulations remake the existing Health Services (Health Service Establishments) Regulations 2013</w:t>
      </w:r>
      <w:r>
        <w:t xml:space="preserve">, </w:t>
      </w:r>
      <w:r w:rsidRPr="00F80C83">
        <w:t xml:space="preserve">with amendments as considered in this RIS. Based on the analysis in this RIS, the </w:t>
      </w:r>
      <w:r>
        <w:t>d</w:t>
      </w:r>
      <w:r w:rsidRPr="00F80C83">
        <w:t>epartment is</w:t>
      </w:r>
      <w:r>
        <w:t xml:space="preserve"> </w:t>
      </w:r>
      <w:r w:rsidRPr="00F80C83">
        <w:t>recommending remaking the Regulations with a</w:t>
      </w:r>
      <w:r>
        <w:t xml:space="preserve"> number of targeted </w:t>
      </w:r>
      <w:r w:rsidRPr="00F80C83">
        <w:t xml:space="preserve">improvements. </w:t>
      </w:r>
      <w:r w:rsidR="00FA27CD">
        <w:t xml:space="preserve">As noted </w:t>
      </w:r>
      <w:r w:rsidR="002B001C">
        <w:t>in sections</w:t>
      </w:r>
      <w:r w:rsidR="005747FA">
        <w:t xml:space="preserve"> </w:t>
      </w:r>
      <w:r w:rsidR="006758CC">
        <w:fldChar w:fldCharType="begin"/>
      </w:r>
      <w:r w:rsidR="006758CC">
        <w:instrText xml:space="preserve"> REF _Ref161739860 \r \h </w:instrText>
      </w:r>
      <w:r w:rsidR="006758CC">
        <w:fldChar w:fldCharType="separate"/>
      </w:r>
      <w:r w:rsidR="00B865E5">
        <w:t>1.4</w:t>
      </w:r>
      <w:r w:rsidR="006758CC">
        <w:fldChar w:fldCharType="end"/>
      </w:r>
      <w:r w:rsidR="006758CC">
        <w:t xml:space="preserve"> and </w:t>
      </w:r>
      <w:r w:rsidR="006758CC">
        <w:fldChar w:fldCharType="begin"/>
      </w:r>
      <w:r w:rsidR="006758CC">
        <w:instrText xml:space="preserve"> REF _Ref161739867 \r \h </w:instrText>
      </w:r>
      <w:r w:rsidR="006758CC">
        <w:fldChar w:fldCharType="separate"/>
      </w:r>
      <w:r w:rsidR="00B865E5">
        <w:t>2.4</w:t>
      </w:r>
      <w:r w:rsidR="006758CC">
        <w:fldChar w:fldCharType="end"/>
      </w:r>
      <w:r w:rsidR="002B001C">
        <w:t xml:space="preserve"> above</w:t>
      </w:r>
      <w:r w:rsidR="00FA27CD">
        <w:t xml:space="preserve">, </w:t>
      </w:r>
      <w:r w:rsidR="00DF30B3">
        <w:t>additional matters that arose in the review of the Regulations are still under active consideration and will be subject to further consultation and subsequent reform processes</w:t>
      </w:r>
      <w:r w:rsidR="00FA27CD">
        <w:t xml:space="preserve">. </w:t>
      </w:r>
    </w:p>
    <w:p w14:paraId="207AD8AB" w14:textId="7E810179" w:rsidR="002143B4" w:rsidRDefault="00F80C83" w:rsidP="00F80C83">
      <w:pPr>
        <w:spacing w:before="120"/>
      </w:pPr>
      <w:r w:rsidRPr="00F80C83">
        <w:t xml:space="preserve">The </w:t>
      </w:r>
      <w:r>
        <w:t>d</w:t>
      </w:r>
      <w:r w:rsidRPr="00F80C83">
        <w:t xml:space="preserve">epartment </w:t>
      </w:r>
      <w:r>
        <w:t>will</w:t>
      </w:r>
      <w:r w:rsidRPr="00F80C83">
        <w:t xml:space="preserve"> be </w:t>
      </w:r>
      <w:r w:rsidR="00DB03A7">
        <w:t xml:space="preserve">primarily </w:t>
      </w:r>
      <w:r w:rsidRPr="00F80C83">
        <w:t>responsible for</w:t>
      </w:r>
      <w:r>
        <w:t xml:space="preserve"> </w:t>
      </w:r>
      <w:r w:rsidRPr="00F80C83">
        <w:t>implementation of the proposed changes</w:t>
      </w:r>
      <w:r w:rsidR="00DF30B3">
        <w:t xml:space="preserve"> discussed in this RIS</w:t>
      </w:r>
      <w:r w:rsidRPr="00F80C83">
        <w:t xml:space="preserve">. </w:t>
      </w:r>
    </w:p>
    <w:p w14:paraId="046EF2B2" w14:textId="712A50C6" w:rsidR="002143B4" w:rsidRDefault="00594E30" w:rsidP="00F80C83">
      <w:pPr>
        <w:spacing w:before="120"/>
      </w:pPr>
      <w:r>
        <w:t>Key aspects of the implementation plan are:</w:t>
      </w:r>
    </w:p>
    <w:p w14:paraId="0061A972" w14:textId="36B48D6C" w:rsidR="00594E30" w:rsidRDefault="00B50458" w:rsidP="000B55DA">
      <w:pPr>
        <w:pStyle w:val="ListParagraph"/>
        <w:numPr>
          <w:ilvl w:val="0"/>
          <w:numId w:val="112"/>
        </w:numPr>
        <w:spacing w:before="120"/>
      </w:pPr>
      <w:r>
        <w:t>Finalise the remade Re</w:t>
      </w:r>
      <w:r w:rsidR="001A0114">
        <w:t>gulations</w:t>
      </w:r>
    </w:p>
    <w:p w14:paraId="7EFA3AFF" w14:textId="41A64A92" w:rsidR="001A0114" w:rsidRDefault="00A1589C" w:rsidP="000B55DA">
      <w:pPr>
        <w:pStyle w:val="ListParagraph"/>
        <w:numPr>
          <w:ilvl w:val="0"/>
          <w:numId w:val="112"/>
        </w:numPr>
        <w:spacing w:before="120"/>
      </w:pPr>
      <w:r>
        <w:t>Deve</w:t>
      </w:r>
      <w:r w:rsidR="008B1100">
        <w:t xml:space="preserve">lop </w:t>
      </w:r>
      <w:r w:rsidR="00D631B5">
        <w:t xml:space="preserve">and implement </w:t>
      </w:r>
      <w:r w:rsidR="008B1100">
        <w:t xml:space="preserve">the </w:t>
      </w:r>
      <w:r w:rsidR="0020653D">
        <w:t xml:space="preserve">processes for </w:t>
      </w:r>
      <w:r w:rsidR="00FA27CD">
        <w:t xml:space="preserve">proposed additional oversight of </w:t>
      </w:r>
      <w:r w:rsidR="00BE74A7">
        <w:t xml:space="preserve">clinical governance </w:t>
      </w:r>
      <w:r w:rsidR="00FA27CD">
        <w:t xml:space="preserve">through review of protocols by the </w:t>
      </w:r>
      <w:r w:rsidR="00BE74A7">
        <w:t>Secret</w:t>
      </w:r>
      <w:r w:rsidR="00D631B5">
        <w:t>ar</w:t>
      </w:r>
      <w:r w:rsidR="00BE74A7">
        <w:t>y</w:t>
      </w:r>
      <w:r w:rsidR="00D631B5">
        <w:t xml:space="preserve"> </w:t>
      </w:r>
      <w:r w:rsidR="00864204">
        <w:t>(see proposed amendment in section 6.1)</w:t>
      </w:r>
    </w:p>
    <w:p w14:paraId="294AFBEC" w14:textId="701A5F84" w:rsidR="00136066" w:rsidRDefault="00136066" w:rsidP="000B55DA">
      <w:pPr>
        <w:pStyle w:val="ListParagraph"/>
        <w:numPr>
          <w:ilvl w:val="0"/>
          <w:numId w:val="112"/>
        </w:numPr>
        <w:spacing w:before="120"/>
      </w:pPr>
      <w:r>
        <w:t xml:space="preserve">Education and communication with industry on </w:t>
      </w:r>
      <w:r w:rsidR="00FA27CD">
        <w:t>the</w:t>
      </w:r>
      <w:r>
        <w:t xml:space="preserve"> amendments to the Regulations.</w:t>
      </w:r>
    </w:p>
    <w:p w14:paraId="715A3944" w14:textId="4E65492D" w:rsidR="00A77420" w:rsidRDefault="00372E9D" w:rsidP="00F80C83">
      <w:pPr>
        <w:spacing w:before="120"/>
      </w:pPr>
      <w:r w:rsidRPr="00301D42">
        <w:t xml:space="preserve">It is proposed that the commencement of </w:t>
      </w:r>
      <w:r>
        <w:t xml:space="preserve">substantial </w:t>
      </w:r>
      <w:r w:rsidRPr="00301D42">
        <w:t xml:space="preserve">new provisions in the Regulations may be </w:t>
      </w:r>
      <w:r>
        <w:t>some time</w:t>
      </w:r>
      <w:r w:rsidRPr="00301D42">
        <w:t xml:space="preserve"> after the new Regulations are made to allow time for</w:t>
      </w:r>
      <w:r>
        <w:t xml:space="preserve"> the department and</w:t>
      </w:r>
      <w:r w:rsidRPr="00301D42">
        <w:t xml:space="preserve"> facilities to prepare for implementation.</w:t>
      </w:r>
      <w:r>
        <w:t xml:space="preserve"> Responses to this RIS on implementation issues will inform final decisions on the commencement date for relevant provisions.  </w:t>
      </w:r>
    </w:p>
    <w:p w14:paraId="025BF8AF" w14:textId="42E54A25" w:rsidR="00200E11" w:rsidRPr="001E347D" w:rsidRDefault="00200E11" w:rsidP="00F80C83">
      <w:pPr>
        <w:spacing w:before="120"/>
        <w:rPr>
          <w:rStyle w:val="Strong"/>
        </w:rPr>
      </w:pPr>
      <w:r w:rsidRPr="001E347D">
        <w:rPr>
          <w:rStyle w:val="Strong"/>
        </w:rPr>
        <w:t xml:space="preserve">Finalise the remade Regulations </w:t>
      </w:r>
    </w:p>
    <w:p w14:paraId="1D60147D" w14:textId="4887C750" w:rsidR="00200E11" w:rsidRPr="00746AA9" w:rsidRDefault="00200E11" w:rsidP="00FF14FE">
      <w:pPr>
        <w:spacing w:before="120"/>
      </w:pPr>
      <w:r w:rsidRPr="00A77420">
        <w:t xml:space="preserve">The release of the proposed Regulations and this RIS for a </w:t>
      </w:r>
      <w:r w:rsidR="00A77420" w:rsidRPr="00ED4E46">
        <w:t>28</w:t>
      </w:r>
      <w:r w:rsidRPr="00A77420">
        <w:t>-day public comment period will provide key stakeholders and members of the public the opportunity to consider the proposed changes to the Regulations and provide feedback. At the conclusion of the public comment period</w:t>
      </w:r>
      <w:r w:rsidR="009C0FE9" w:rsidRPr="00A77420">
        <w:t>,</w:t>
      </w:r>
      <w:r w:rsidRPr="00A77420">
        <w:t xml:space="preserve"> the </w:t>
      </w:r>
      <w:r w:rsidR="00ED4E46">
        <w:t>department</w:t>
      </w:r>
      <w:r w:rsidRPr="00A77420">
        <w:t xml:space="preserve"> will review and consider each </w:t>
      </w:r>
      <w:r w:rsidR="00205E3D" w:rsidRPr="00A77420">
        <w:t>submission and</w:t>
      </w:r>
      <w:r w:rsidRPr="00A77420">
        <w:t xml:space="preserve"> take account of the feedback on both the proposed Regulations and the RIS in finalising the Regulations.</w:t>
      </w:r>
      <w:r w:rsidRPr="00BB1DB5">
        <w:t xml:space="preserve"> </w:t>
      </w:r>
    </w:p>
    <w:p w14:paraId="09FEBAC2" w14:textId="5962E243" w:rsidR="00200E11" w:rsidRPr="00746AA9" w:rsidRDefault="00ED4E46" w:rsidP="00200E11">
      <w:r>
        <w:t xml:space="preserve">The </w:t>
      </w:r>
      <w:r w:rsidR="000F4872">
        <w:t>department</w:t>
      </w:r>
      <w:r w:rsidR="008C50EF">
        <w:t xml:space="preserve"> </w:t>
      </w:r>
      <w:r w:rsidR="00200E11" w:rsidRPr="00746AA9">
        <w:t xml:space="preserve">will prepare a </w:t>
      </w:r>
      <w:r w:rsidR="00200E11" w:rsidRPr="00C901B0">
        <w:t>document</w:t>
      </w:r>
      <w:r w:rsidR="00200E11">
        <w:t>,</w:t>
      </w:r>
      <w:r w:rsidR="00200E11" w:rsidRPr="00C901B0">
        <w:t xml:space="preserve"> which will discuss the comments provided in </w:t>
      </w:r>
      <w:r w:rsidR="00FA27CD">
        <w:t>in response to this RIS</w:t>
      </w:r>
      <w:r w:rsidR="00200E11" w:rsidRPr="00C901B0">
        <w:t xml:space="preserve"> and </w:t>
      </w:r>
      <w:r w:rsidR="00200E11">
        <w:t>respond</w:t>
      </w:r>
      <w:r w:rsidR="00200E11" w:rsidRPr="00C901B0">
        <w:t xml:space="preserve"> to those comments.</w:t>
      </w:r>
      <w:r w:rsidR="00200E11" w:rsidRPr="00BB1DB5">
        <w:t xml:space="preserve"> </w:t>
      </w:r>
    </w:p>
    <w:p w14:paraId="5D917EEB" w14:textId="3068240B" w:rsidR="00200E11" w:rsidRPr="009976DC" w:rsidRDefault="00200E11" w:rsidP="009976DC">
      <w:r w:rsidRPr="00746AA9">
        <w:t xml:space="preserve">The </w:t>
      </w:r>
      <w:r w:rsidRPr="00C901B0">
        <w:t>Office of Chief Parliamentary Council will review and settle the Regulations</w:t>
      </w:r>
      <w:r>
        <w:t>,</w:t>
      </w:r>
      <w:r w:rsidRPr="00C901B0">
        <w:t xml:space="preserve"> which will then be submitted to the Minister </w:t>
      </w:r>
      <w:r w:rsidRPr="00E131CE">
        <w:t>for Health for</w:t>
      </w:r>
      <w:r w:rsidRPr="00C901B0">
        <w:t xml:space="preserve"> approval.</w:t>
      </w:r>
      <w:r>
        <w:t xml:space="preserve"> </w:t>
      </w:r>
    </w:p>
    <w:p w14:paraId="70267F79" w14:textId="741BDF2F" w:rsidR="006C4305" w:rsidRPr="001E347D" w:rsidRDefault="00DB03A7" w:rsidP="00606681">
      <w:pPr>
        <w:spacing w:before="120"/>
        <w:rPr>
          <w:rStyle w:val="Strong"/>
        </w:rPr>
      </w:pPr>
      <w:r w:rsidRPr="001E347D">
        <w:rPr>
          <w:rStyle w:val="Strong"/>
        </w:rPr>
        <w:t>Develop and implement the clinical governance Secretary</w:t>
      </w:r>
      <w:r w:rsidR="0009138C" w:rsidRPr="001E347D">
        <w:rPr>
          <w:rStyle w:val="Strong"/>
        </w:rPr>
        <w:t xml:space="preserve"> </w:t>
      </w:r>
      <w:r w:rsidR="00AF7730" w:rsidRPr="001E347D">
        <w:rPr>
          <w:rStyle w:val="Strong"/>
        </w:rPr>
        <w:t>oversight</w:t>
      </w:r>
      <w:r w:rsidRPr="001E347D">
        <w:rPr>
          <w:rStyle w:val="Strong"/>
        </w:rPr>
        <w:t xml:space="preserve"> mechanism</w:t>
      </w:r>
    </w:p>
    <w:p w14:paraId="5A508196" w14:textId="200DCCE9" w:rsidR="00D437AD" w:rsidRPr="0028659B" w:rsidRDefault="003239A2" w:rsidP="00D437AD">
      <w:pPr>
        <w:spacing w:before="240"/>
        <w:rPr>
          <w:szCs w:val="20"/>
        </w:rPr>
      </w:pPr>
      <w:r>
        <w:rPr>
          <w:szCs w:val="20"/>
        </w:rPr>
        <w:t>As noted above it is proposed that</w:t>
      </w:r>
      <w:r w:rsidR="00D437AD">
        <w:rPr>
          <w:szCs w:val="20"/>
        </w:rPr>
        <w:t xml:space="preserve"> new</w:t>
      </w:r>
      <w:r w:rsidR="00D437AD" w:rsidRPr="0028659B">
        <w:rPr>
          <w:szCs w:val="20"/>
        </w:rPr>
        <w:t xml:space="preserve"> additional requirements </w:t>
      </w:r>
      <w:r w:rsidR="00D437AD">
        <w:rPr>
          <w:szCs w:val="20"/>
        </w:rPr>
        <w:t xml:space="preserve">for clinical governance </w:t>
      </w:r>
      <w:r w:rsidR="00D437AD" w:rsidRPr="0028659B">
        <w:rPr>
          <w:szCs w:val="20"/>
        </w:rPr>
        <w:t xml:space="preserve">will come into effect after the new Regulations are made. This is to allow time for appropriate communication and </w:t>
      </w:r>
      <w:r w:rsidR="00D437AD" w:rsidRPr="0028659B">
        <w:rPr>
          <w:szCs w:val="20"/>
        </w:rPr>
        <w:lastRenderedPageBreak/>
        <w:t xml:space="preserve">consultation about how such reviews will be conducted, which best practice </w:t>
      </w:r>
      <w:r w:rsidR="00077C91">
        <w:rPr>
          <w:szCs w:val="20"/>
        </w:rPr>
        <w:t xml:space="preserve">guidelines </w:t>
      </w:r>
      <w:r w:rsidR="00D437AD" w:rsidRPr="0028659B">
        <w:rPr>
          <w:szCs w:val="20"/>
        </w:rPr>
        <w:t>will be used to inform the Secretary’s assessment, and time for facilities to prepare and comply.</w:t>
      </w:r>
    </w:p>
    <w:p w14:paraId="5D882FC2" w14:textId="4B28370B" w:rsidR="00D437AD" w:rsidRDefault="00A4450A" w:rsidP="00D437AD">
      <w:pPr>
        <w:rPr>
          <w:szCs w:val="20"/>
        </w:rPr>
      </w:pPr>
      <w:r>
        <w:rPr>
          <w:szCs w:val="20"/>
        </w:rPr>
        <w:t xml:space="preserve">Key steps in implementation of the </w:t>
      </w:r>
      <w:r w:rsidR="00AF7730">
        <w:rPr>
          <w:szCs w:val="20"/>
        </w:rPr>
        <w:t>oversight</w:t>
      </w:r>
      <w:r w:rsidR="00754EA3">
        <w:rPr>
          <w:szCs w:val="20"/>
        </w:rPr>
        <w:t xml:space="preserve"> mechanism will be:</w:t>
      </w:r>
    </w:p>
    <w:p w14:paraId="7F8BB72F" w14:textId="51A7A1E7" w:rsidR="00754EA3" w:rsidRPr="005C72C8" w:rsidRDefault="00CE3B02" w:rsidP="005C72C8">
      <w:pPr>
        <w:pStyle w:val="ListParagraph"/>
        <w:numPr>
          <w:ilvl w:val="0"/>
          <w:numId w:val="114"/>
        </w:numPr>
        <w:spacing w:before="80" w:after="120"/>
        <w:rPr>
          <w:rFonts w:cstheme="minorHAnsi"/>
          <w:szCs w:val="20"/>
        </w:rPr>
      </w:pPr>
      <w:r w:rsidRPr="005C72C8">
        <w:rPr>
          <w:rFonts w:cstheme="minorHAnsi"/>
          <w:szCs w:val="20"/>
        </w:rPr>
        <w:t xml:space="preserve">Development of </w:t>
      </w:r>
      <w:r w:rsidR="008C72BE" w:rsidRPr="005C72C8">
        <w:rPr>
          <w:rFonts w:cstheme="minorHAnsi"/>
          <w:szCs w:val="20"/>
        </w:rPr>
        <w:t>the department</w:t>
      </w:r>
      <w:r w:rsidR="00BE489E" w:rsidRPr="005C72C8">
        <w:rPr>
          <w:rFonts w:cstheme="minorHAnsi"/>
          <w:szCs w:val="20"/>
        </w:rPr>
        <w:t>’s</w:t>
      </w:r>
      <w:r w:rsidR="008C72BE" w:rsidRPr="005C72C8">
        <w:rPr>
          <w:rFonts w:cstheme="minorHAnsi"/>
          <w:szCs w:val="20"/>
        </w:rPr>
        <w:t xml:space="preserve"> </w:t>
      </w:r>
      <w:r w:rsidR="00597276" w:rsidRPr="005C72C8">
        <w:rPr>
          <w:rFonts w:cstheme="minorHAnsi"/>
          <w:szCs w:val="20"/>
        </w:rPr>
        <w:t xml:space="preserve">proposed </w:t>
      </w:r>
      <w:r w:rsidR="008C72BE" w:rsidRPr="005C72C8">
        <w:rPr>
          <w:rFonts w:cstheme="minorHAnsi"/>
          <w:szCs w:val="20"/>
        </w:rPr>
        <w:t xml:space="preserve">approach to conducting </w:t>
      </w:r>
      <w:r w:rsidR="000E2235" w:rsidRPr="005C72C8">
        <w:rPr>
          <w:rFonts w:cstheme="minorHAnsi"/>
          <w:szCs w:val="20"/>
        </w:rPr>
        <w:t xml:space="preserve">Secretary </w:t>
      </w:r>
      <w:r w:rsidR="00EC6C7E" w:rsidRPr="005C72C8">
        <w:rPr>
          <w:rFonts w:cstheme="minorHAnsi"/>
          <w:szCs w:val="20"/>
        </w:rPr>
        <w:t xml:space="preserve">reviews, including </w:t>
      </w:r>
      <w:r w:rsidR="00C44574" w:rsidRPr="005C72C8">
        <w:rPr>
          <w:rFonts w:cstheme="minorHAnsi"/>
          <w:szCs w:val="20"/>
        </w:rPr>
        <w:t>review processes and which</w:t>
      </w:r>
      <w:r w:rsidR="000E2235" w:rsidRPr="005C72C8">
        <w:rPr>
          <w:rFonts w:cstheme="minorHAnsi"/>
          <w:szCs w:val="20"/>
        </w:rPr>
        <w:t xml:space="preserve"> </w:t>
      </w:r>
      <w:r w:rsidR="00FE1F73" w:rsidRPr="005C72C8">
        <w:rPr>
          <w:rFonts w:cstheme="minorHAnsi"/>
          <w:szCs w:val="20"/>
        </w:rPr>
        <w:t xml:space="preserve">best practice </w:t>
      </w:r>
      <w:r w:rsidR="00276C94">
        <w:rPr>
          <w:szCs w:val="20"/>
        </w:rPr>
        <w:t xml:space="preserve">guidelines </w:t>
      </w:r>
      <w:r w:rsidR="00C44574" w:rsidRPr="005C72C8">
        <w:rPr>
          <w:rFonts w:cstheme="minorHAnsi"/>
          <w:szCs w:val="20"/>
        </w:rPr>
        <w:t>will be used</w:t>
      </w:r>
    </w:p>
    <w:p w14:paraId="71A68278" w14:textId="4824F76D" w:rsidR="00C44574" w:rsidRPr="005C72C8" w:rsidRDefault="00597276" w:rsidP="005C72C8">
      <w:pPr>
        <w:pStyle w:val="ListParagraph"/>
        <w:numPr>
          <w:ilvl w:val="0"/>
          <w:numId w:val="114"/>
        </w:numPr>
        <w:spacing w:before="80" w:after="120"/>
        <w:rPr>
          <w:rFonts w:cstheme="minorHAnsi"/>
          <w:szCs w:val="20"/>
        </w:rPr>
      </w:pPr>
      <w:r w:rsidRPr="005C72C8">
        <w:rPr>
          <w:rFonts w:cstheme="minorHAnsi"/>
          <w:szCs w:val="20"/>
        </w:rPr>
        <w:t xml:space="preserve">Consulting with </w:t>
      </w:r>
      <w:r w:rsidR="004A4C9B" w:rsidRPr="005C72C8">
        <w:rPr>
          <w:rFonts w:cstheme="minorHAnsi"/>
          <w:szCs w:val="20"/>
        </w:rPr>
        <w:t xml:space="preserve">key stakeholders </w:t>
      </w:r>
      <w:r w:rsidR="003E0ACC" w:rsidRPr="005C72C8">
        <w:rPr>
          <w:rFonts w:cstheme="minorHAnsi"/>
          <w:szCs w:val="20"/>
        </w:rPr>
        <w:t>on the proposed approach</w:t>
      </w:r>
    </w:p>
    <w:p w14:paraId="1F035A3E" w14:textId="4FF35381" w:rsidR="003E0ACC" w:rsidRPr="005C72C8" w:rsidRDefault="003E0ACC" w:rsidP="005C72C8">
      <w:pPr>
        <w:pStyle w:val="ListParagraph"/>
        <w:numPr>
          <w:ilvl w:val="0"/>
          <w:numId w:val="114"/>
        </w:numPr>
        <w:spacing w:before="80" w:after="120"/>
        <w:rPr>
          <w:rFonts w:cstheme="minorHAnsi"/>
          <w:szCs w:val="20"/>
        </w:rPr>
      </w:pPr>
      <w:r w:rsidRPr="005C72C8">
        <w:rPr>
          <w:rFonts w:cstheme="minorHAnsi"/>
          <w:szCs w:val="20"/>
        </w:rPr>
        <w:t>Finalising the approach to conducting Secretary reviews</w:t>
      </w:r>
    </w:p>
    <w:p w14:paraId="726061A4" w14:textId="0199E1CC" w:rsidR="002F323D" w:rsidRPr="005C72C8" w:rsidRDefault="003239A2" w:rsidP="005C72C8">
      <w:pPr>
        <w:pStyle w:val="ListParagraph"/>
        <w:numPr>
          <w:ilvl w:val="0"/>
          <w:numId w:val="114"/>
        </w:numPr>
        <w:spacing w:before="80" w:after="120"/>
        <w:rPr>
          <w:rFonts w:cstheme="minorHAnsi"/>
          <w:szCs w:val="20"/>
        </w:rPr>
      </w:pPr>
      <w:r>
        <w:rPr>
          <w:rFonts w:cstheme="minorHAnsi"/>
          <w:szCs w:val="20"/>
        </w:rPr>
        <w:t>Informing</w:t>
      </w:r>
      <w:r w:rsidRPr="005C72C8">
        <w:rPr>
          <w:rFonts w:cstheme="minorHAnsi"/>
          <w:szCs w:val="20"/>
        </w:rPr>
        <w:t xml:space="preserve"> </w:t>
      </w:r>
      <w:r>
        <w:rPr>
          <w:rFonts w:cstheme="minorHAnsi"/>
          <w:szCs w:val="20"/>
        </w:rPr>
        <w:t>stakeholders</w:t>
      </w:r>
      <w:r w:rsidRPr="005C72C8">
        <w:rPr>
          <w:rFonts w:cstheme="minorHAnsi"/>
          <w:szCs w:val="20"/>
        </w:rPr>
        <w:t xml:space="preserve"> </w:t>
      </w:r>
      <w:r w:rsidR="00B945BA" w:rsidRPr="005C72C8">
        <w:rPr>
          <w:rFonts w:cstheme="minorHAnsi"/>
          <w:szCs w:val="20"/>
        </w:rPr>
        <w:t xml:space="preserve">about the </w:t>
      </w:r>
      <w:r w:rsidR="005C72C8" w:rsidRPr="005C72C8">
        <w:rPr>
          <w:rFonts w:cstheme="minorHAnsi"/>
          <w:szCs w:val="20"/>
        </w:rPr>
        <w:t>changes being made.</w:t>
      </w:r>
    </w:p>
    <w:p w14:paraId="53E5AC8E" w14:textId="1F282746" w:rsidR="00606681" w:rsidRPr="001E347D" w:rsidRDefault="004A5720" w:rsidP="00606681">
      <w:pPr>
        <w:spacing w:before="120"/>
        <w:rPr>
          <w:rStyle w:val="Strong"/>
        </w:rPr>
      </w:pPr>
      <w:r w:rsidRPr="001E347D">
        <w:rPr>
          <w:rStyle w:val="Strong"/>
        </w:rPr>
        <w:t>Refresh</w:t>
      </w:r>
      <w:r w:rsidR="00606681" w:rsidRPr="001E347D">
        <w:rPr>
          <w:rStyle w:val="Strong"/>
        </w:rPr>
        <w:t xml:space="preserve"> </w:t>
      </w:r>
      <w:r w:rsidR="002E5ACC" w:rsidRPr="001E347D">
        <w:rPr>
          <w:rStyle w:val="Strong"/>
        </w:rPr>
        <w:t xml:space="preserve">and communicate </w:t>
      </w:r>
      <w:r w:rsidR="00606681" w:rsidRPr="001E347D">
        <w:rPr>
          <w:rStyle w:val="Strong"/>
        </w:rPr>
        <w:t xml:space="preserve">compliance and enforcement </w:t>
      </w:r>
      <w:r w:rsidR="002E5ACC" w:rsidRPr="001E347D">
        <w:rPr>
          <w:rStyle w:val="Strong"/>
        </w:rPr>
        <w:t>processes</w:t>
      </w:r>
    </w:p>
    <w:p w14:paraId="2DBBF0BB" w14:textId="1C9580C6" w:rsidR="001D6D15" w:rsidRDefault="004A5720" w:rsidP="00226860">
      <w:pPr>
        <w:spacing w:before="80" w:after="120"/>
        <w:rPr>
          <w:rFonts w:cstheme="minorHAnsi"/>
          <w:szCs w:val="20"/>
        </w:rPr>
      </w:pPr>
      <w:r>
        <w:rPr>
          <w:rFonts w:cstheme="minorHAnsi"/>
          <w:szCs w:val="20"/>
        </w:rPr>
        <w:t xml:space="preserve">Reflecting the proposed introduction of prescribed infringement offences and penalties in the Regulations, the </w:t>
      </w:r>
      <w:r w:rsidR="00A7640B">
        <w:rPr>
          <w:rFonts w:cstheme="minorHAnsi"/>
          <w:szCs w:val="20"/>
        </w:rPr>
        <w:t xml:space="preserve">department will </w:t>
      </w:r>
      <w:r w:rsidR="00777D55">
        <w:rPr>
          <w:rFonts w:cstheme="minorHAnsi"/>
          <w:szCs w:val="20"/>
        </w:rPr>
        <w:t xml:space="preserve">undertake a refresh of its </w:t>
      </w:r>
      <w:r w:rsidR="00135C62">
        <w:rPr>
          <w:rFonts w:cstheme="minorHAnsi"/>
          <w:szCs w:val="20"/>
        </w:rPr>
        <w:t xml:space="preserve">existing compliance and enforcement </w:t>
      </w:r>
      <w:r w:rsidR="003239A2">
        <w:rPr>
          <w:rFonts w:cstheme="minorHAnsi"/>
          <w:szCs w:val="20"/>
        </w:rPr>
        <w:t>arrangements</w:t>
      </w:r>
      <w:r w:rsidR="00135C62">
        <w:rPr>
          <w:rFonts w:cstheme="minorHAnsi"/>
          <w:szCs w:val="20"/>
        </w:rPr>
        <w:t xml:space="preserve">. This will include </w:t>
      </w:r>
      <w:r w:rsidR="00F0141B">
        <w:rPr>
          <w:rFonts w:cstheme="minorHAnsi"/>
          <w:szCs w:val="20"/>
        </w:rPr>
        <w:t>setting out the department’s approach to compliance and enf</w:t>
      </w:r>
      <w:r w:rsidR="001D6D15">
        <w:rPr>
          <w:rFonts w:cstheme="minorHAnsi"/>
          <w:szCs w:val="20"/>
        </w:rPr>
        <w:t>orcement, including</w:t>
      </w:r>
      <w:r w:rsidR="002E5ACC">
        <w:rPr>
          <w:rFonts w:cstheme="minorHAnsi"/>
          <w:szCs w:val="20"/>
        </w:rPr>
        <w:t xml:space="preserve"> arrangements for issuing infringements for non-compliance.</w:t>
      </w:r>
    </w:p>
    <w:p w14:paraId="10405EF7" w14:textId="383CD408" w:rsidR="00CE2480" w:rsidRPr="00CE2480" w:rsidRDefault="00CE2480" w:rsidP="009E1521">
      <w:pPr>
        <w:spacing w:before="80" w:after="120"/>
        <w:rPr>
          <w:rFonts w:cstheme="minorHAnsi"/>
          <w:szCs w:val="20"/>
        </w:rPr>
      </w:pPr>
      <w:r w:rsidRPr="00CE2480">
        <w:rPr>
          <w:rFonts w:cstheme="minorHAnsi"/>
          <w:szCs w:val="20"/>
        </w:rPr>
        <w:t xml:space="preserve">The </w:t>
      </w:r>
      <w:r w:rsidR="009E1521" w:rsidRPr="009E1521">
        <w:rPr>
          <w:rFonts w:cstheme="minorHAnsi"/>
          <w:szCs w:val="20"/>
        </w:rPr>
        <w:t>will</w:t>
      </w:r>
      <w:r w:rsidRPr="00CE2480">
        <w:rPr>
          <w:rFonts w:cstheme="minorHAnsi"/>
          <w:szCs w:val="20"/>
        </w:rPr>
        <w:t xml:space="preserve"> provide clarity on how </w:t>
      </w:r>
      <w:r w:rsidR="009E1521" w:rsidRPr="009E1521">
        <w:rPr>
          <w:rFonts w:cstheme="minorHAnsi"/>
          <w:szCs w:val="20"/>
        </w:rPr>
        <w:t>the department</w:t>
      </w:r>
      <w:r w:rsidRPr="00CE2480">
        <w:rPr>
          <w:rFonts w:cstheme="minorHAnsi"/>
          <w:szCs w:val="20"/>
        </w:rPr>
        <w:t xml:space="preserve"> will exercise </w:t>
      </w:r>
      <w:r w:rsidR="009E1521" w:rsidRPr="009E1521">
        <w:rPr>
          <w:rFonts w:cstheme="minorHAnsi"/>
          <w:szCs w:val="20"/>
        </w:rPr>
        <w:t>its</w:t>
      </w:r>
      <w:r w:rsidRPr="00CE2480">
        <w:rPr>
          <w:rFonts w:cstheme="minorHAnsi"/>
          <w:szCs w:val="20"/>
        </w:rPr>
        <w:t xml:space="preserve"> regulatory powers</w:t>
      </w:r>
      <w:r w:rsidR="00755CB9">
        <w:rPr>
          <w:rFonts w:cstheme="minorHAnsi"/>
          <w:szCs w:val="20"/>
        </w:rPr>
        <w:t>, including how it will apply the new</w:t>
      </w:r>
      <w:r w:rsidR="006A621A">
        <w:rPr>
          <w:rFonts w:cstheme="minorHAnsi"/>
          <w:szCs w:val="20"/>
        </w:rPr>
        <w:t xml:space="preserve"> powers in the Regulations in relation to</w:t>
      </w:r>
      <w:r w:rsidR="00755CB9">
        <w:rPr>
          <w:rFonts w:cstheme="minorHAnsi"/>
          <w:szCs w:val="20"/>
        </w:rPr>
        <w:t xml:space="preserve"> infringement notices</w:t>
      </w:r>
      <w:r w:rsidR="006A621A">
        <w:rPr>
          <w:rFonts w:cstheme="minorHAnsi"/>
          <w:szCs w:val="20"/>
        </w:rPr>
        <w:t xml:space="preserve"> and penalties</w:t>
      </w:r>
      <w:r w:rsidR="00755CB9">
        <w:rPr>
          <w:rFonts w:cstheme="minorHAnsi"/>
          <w:szCs w:val="20"/>
        </w:rPr>
        <w:t>.</w:t>
      </w:r>
    </w:p>
    <w:p w14:paraId="065EEC33" w14:textId="4AF47759" w:rsidR="00606681" w:rsidRPr="001E347D" w:rsidRDefault="00606681" w:rsidP="00606681">
      <w:pPr>
        <w:spacing w:before="120"/>
        <w:rPr>
          <w:rStyle w:val="Strong"/>
        </w:rPr>
      </w:pPr>
      <w:r w:rsidRPr="001E347D">
        <w:rPr>
          <w:rStyle w:val="Strong"/>
        </w:rPr>
        <w:t>Education and communication plan</w:t>
      </w:r>
    </w:p>
    <w:p w14:paraId="04C38E7B" w14:textId="3BC71FD9" w:rsidR="006C4305" w:rsidRDefault="006A621A" w:rsidP="00226860">
      <w:pPr>
        <w:spacing w:before="80" w:after="120"/>
        <w:rPr>
          <w:rFonts w:cstheme="minorHAnsi"/>
          <w:szCs w:val="20"/>
        </w:rPr>
      </w:pPr>
      <w:r>
        <w:rPr>
          <w:rFonts w:cstheme="minorHAnsi"/>
          <w:szCs w:val="20"/>
        </w:rPr>
        <w:t>The department will d</w:t>
      </w:r>
      <w:r w:rsidR="00606681" w:rsidRPr="00606681">
        <w:rPr>
          <w:rFonts w:cstheme="minorHAnsi"/>
          <w:szCs w:val="20"/>
        </w:rPr>
        <w:t xml:space="preserve">evelop and deliver </w:t>
      </w:r>
      <w:r w:rsidR="002F323D">
        <w:rPr>
          <w:rFonts w:cstheme="minorHAnsi"/>
          <w:szCs w:val="20"/>
        </w:rPr>
        <w:t xml:space="preserve">a </w:t>
      </w:r>
      <w:r w:rsidR="00606681" w:rsidRPr="00606681">
        <w:rPr>
          <w:rFonts w:cstheme="minorHAnsi"/>
          <w:szCs w:val="20"/>
        </w:rPr>
        <w:t>high level education and information campaign to promote industry and community awareness of the new regulatory framework</w:t>
      </w:r>
      <w:r w:rsidR="00390696">
        <w:rPr>
          <w:rFonts w:cstheme="minorHAnsi"/>
          <w:szCs w:val="20"/>
        </w:rPr>
        <w:t xml:space="preserve">. </w:t>
      </w:r>
    </w:p>
    <w:p w14:paraId="059A3305" w14:textId="423E0F00" w:rsidR="00200E11" w:rsidRDefault="00200E11" w:rsidP="001E347D">
      <w:pPr>
        <w:pStyle w:val="Heading6"/>
      </w:pPr>
      <w:r>
        <w:t>Evaluation</w:t>
      </w:r>
    </w:p>
    <w:p w14:paraId="53BA6606" w14:textId="43B98F5A" w:rsidR="00651342" w:rsidRDefault="00DE068E" w:rsidP="00E32C9E">
      <w:r>
        <w:t>The Regulations will sunset 10 years after the commencement of the Regulations. The department will actively monitor and evaluate the effectiveness and efficiency of the Regulations throughout the life of the Regulations</w:t>
      </w:r>
      <w:r w:rsidR="007D651B">
        <w:t xml:space="preserve"> </w:t>
      </w:r>
      <w:r w:rsidR="00C36C77">
        <w:t>(</w:t>
      </w:r>
      <w:r w:rsidR="007D651B">
        <w:t xml:space="preserve">including </w:t>
      </w:r>
      <w:r w:rsidR="00DB32EC">
        <w:t xml:space="preserve">provisions </w:t>
      </w:r>
      <w:r w:rsidR="00C36C77">
        <w:t>that are updated</w:t>
      </w:r>
      <w:r w:rsidR="00DB32EC">
        <w:t xml:space="preserve"> after the </w:t>
      </w:r>
      <w:r w:rsidR="00C36C77">
        <w:t>R</w:t>
      </w:r>
      <w:r w:rsidR="00DB32EC">
        <w:t>egulations are remade as a result of issues raised in the current sunsetting review</w:t>
      </w:r>
      <w:r w:rsidR="00C36C77">
        <w:t>)</w:t>
      </w:r>
      <w:r w:rsidR="002121E8">
        <w:t>.</w:t>
      </w:r>
      <w:r>
        <w:t xml:space="preserve"> A structured evaluation of the Regulations will be undertaken before the sunsetting of the Regulations.</w:t>
      </w:r>
      <w:r w:rsidR="006E620A">
        <w:t xml:space="preserve"> To support this evaluation t</w:t>
      </w:r>
      <w:r w:rsidR="003F749E">
        <w:t>he</w:t>
      </w:r>
      <w:r w:rsidR="00686DF4">
        <w:t xml:space="preserve"> department will</w:t>
      </w:r>
      <w:r w:rsidR="00F57941">
        <w:t xml:space="preserve"> develop a</w:t>
      </w:r>
      <w:r w:rsidR="002E5ACC">
        <w:t>n</w:t>
      </w:r>
      <w:r w:rsidR="00F57941">
        <w:t xml:space="preserve"> evaluation plan including </w:t>
      </w:r>
      <w:r>
        <w:t>evaluation questions,</w:t>
      </w:r>
      <w:r w:rsidR="003F749E">
        <w:t xml:space="preserve"> available data and data gaps to assess any potential gaps in evidence. </w:t>
      </w:r>
    </w:p>
    <w:p w14:paraId="6EA45671" w14:textId="78DB4A6E" w:rsidR="000F7994" w:rsidRDefault="000F7994" w:rsidP="00D040F9">
      <w:r>
        <w:t xml:space="preserve">Key evaluation questions will </w:t>
      </w:r>
      <w:r w:rsidR="00AE4B5D">
        <w:t xml:space="preserve">be designed to </w:t>
      </w:r>
      <w:r>
        <w:t>align with the D</w:t>
      </w:r>
      <w:r w:rsidR="007D651B">
        <w:t xml:space="preserve">epartment of </w:t>
      </w:r>
      <w:r>
        <w:t>T</w:t>
      </w:r>
      <w:r w:rsidR="007D651B">
        <w:t xml:space="preserve">reasury and </w:t>
      </w:r>
      <w:r>
        <w:t>F</w:t>
      </w:r>
      <w:r w:rsidR="007D651B">
        <w:t>inance</w:t>
      </w:r>
      <w:r>
        <w:t xml:space="preserve"> Resource Management Framework</w:t>
      </w:r>
      <w:r w:rsidR="00D040F9">
        <w:t>, such as</w:t>
      </w:r>
      <w:r w:rsidR="00AE4B5D">
        <w:t>:</w:t>
      </w:r>
    </w:p>
    <w:p w14:paraId="15BC11D7" w14:textId="17FADFF1" w:rsidR="004D1074" w:rsidRDefault="000F7994" w:rsidP="006C473F">
      <w:pPr>
        <w:pStyle w:val="ListParagraph"/>
        <w:numPr>
          <w:ilvl w:val="0"/>
          <w:numId w:val="134"/>
        </w:numPr>
      </w:pPr>
      <w:r w:rsidRPr="006C473F">
        <w:rPr>
          <w:i/>
          <w:iCs/>
        </w:rPr>
        <w:t>Pro</w:t>
      </w:r>
      <w:r w:rsidR="004D1074" w:rsidRPr="006C473F">
        <w:rPr>
          <w:i/>
          <w:iCs/>
        </w:rPr>
        <w:t>blem justification</w:t>
      </w:r>
      <w:r w:rsidR="008B5D92">
        <w:t xml:space="preserve">: </w:t>
      </w:r>
      <w:r>
        <w:t xml:space="preserve">What is the evidence of continued need for the </w:t>
      </w:r>
      <w:r w:rsidR="000D2372">
        <w:t>R</w:t>
      </w:r>
      <w:r>
        <w:t>egulation</w:t>
      </w:r>
      <w:r w:rsidR="004036E1">
        <w:t>s</w:t>
      </w:r>
      <w:r>
        <w:t xml:space="preserve"> and role for government?</w:t>
      </w:r>
    </w:p>
    <w:p w14:paraId="077B0A88" w14:textId="77777777" w:rsidR="00261D4B" w:rsidRDefault="000F7994" w:rsidP="00816398">
      <w:pPr>
        <w:pStyle w:val="ListParagraph"/>
        <w:numPr>
          <w:ilvl w:val="0"/>
          <w:numId w:val="134"/>
        </w:numPr>
      </w:pPr>
      <w:r w:rsidRPr="006C473F">
        <w:rPr>
          <w:i/>
          <w:iCs/>
        </w:rPr>
        <w:t>Effectiveness</w:t>
      </w:r>
      <w:r>
        <w:t xml:space="preserve">: </w:t>
      </w:r>
      <w:r w:rsidR="004D1074">
        <w:t>T</w:t>
      </w:r>
      <w:r w:rsidR="00816398">
        <w:t xml:space="preserve">o what extent has the </w:t>
      </w:r>
      <w:r w:rsidR="00651342">
        <w:t>primary objective of these Regulations</w:t>
      </w:r>
      <w:r w:rsidR="00816398">
        <w:t>, which</w:t>
      </w:r>
      <w:r w:rsidR="00651342">
        <w:t xml:space="preserve"> is to provide for the safety and quality of care of patients receiving health services in HSEs</w:t>
      </w:r>
      <w:r w:rsidR="00816398">
        <w:t>, been achieved?</w:t>
      </w:r>
    </w:p>
    <w:p w14:paraId="1B9B9B74" w14:textId="77777777" w:rsidR="007F5F57" w:rsidRDefault="00261D4B" w:rsidP="006C473F">
      <w:pPr>
        <w:pStyle w:val="ListParagraph"/>
        <w:numPr>
          <w:ilvl w:val="1"/>
          <w:numId w:val="135"/>
        </w:numPr>
        <w:ind w:left="1134" w:hanging="283"/>
      </w:pPr>
      <w:r>
        <w:t>Have the Regulations been effective in reducing</w:t>
      </w:r>
      <w:r w:rsidR="007F5F57">
        <w:t xml:space="preserve"> the likelihood of</w:t>
      </w:r>
      <w:r>
        <w:t xml:space="preserve"> </w:t>
      </w:r>
      <w:r w:rsidR="007F5F57">
        <w:t>adverse events?</w:t>
      </w:r>
    </w:p>
    <w:p w14:paraId="6B4BC4B7" w14:textId="0B651350" w:rsidR="00816398" w:rsidRDefault="00816398" w:rsidP="006C473F">
      <w:pPr>
        <w:pStyle w:val="ListParagraph"/>
        <w:numPr>
          <w:ilvl w:val="1"/>
          <w:numId w:val="135"/>
        </w:numPr>
        <w:ind w:left="1134" w:hanging="283"/>
      </w:pPr>
      <w:r>
        <w:t>How well have the changes to the Regulations been understood and implemented?</w:t>
      </w:r>
    </w:p>
    <w:p w14:paraId="469AD193" w14:textId="1BF7EAFB" w:rsidR="00651342" w:rsidRDefault="007F5F57" w:rsidP="006C473F">
      <w:pPr>
        <w:pStyle w:val="ListParagraph"/>
        <w:numPr>
          <w:ilvl w:val="0"/>
          <w:numId w:val="134"/>
        </w:numPr>
      </w:pPr>
      <w:r w:rsidRPr="006C473F">
        <w:rPr>
          <w:i/>
          <w:iCs/>
        </w:rPr>
        <w:t>Efficiency</w:t>
      </w:r>
      <w:r>
        <w:t xml:space="preserve">: do the Regulations </w:t>
      </w:r>
      <w:r w:rsidR="00D040F9">
        <w:t xml:space="preserve">achieve the objectives in the most efficient way? </w:t>
      </w:r>
    </w:p>
    <w:p w14:paraId="7CB47056" w14:textId="77777777" w:rsidR="00651342" w:rsidRDefault="00651342" w:rsidP="00E32C9E"/>
    <w:p w14:paraId="5E30DE4C" w14:textId="77777777" w:rsidR="00651342" w:rsidRDefault="00651342" w:rsidP="00E32C9E"/>
    <w:p w14:paraId="7ECFFE9C" w14:textId="5D1714D7" w:rsidR="00E32C9E" w:rsidRDefault="00651342" w:rsidP="00E32C9E">
      <w:r>
        <w:lastRenderedPageBreak/>
        <w:t xml:space="preserve">Data assessment will </w:t>
      </w:r>
      <w:r w:rsidR="00586AC3">
        <w:t>include consideration of ensuring appropriate b</w:t>
      </w:r>
      <w:r w:rsidR="00E32C9E">
        <w:t xml:space="preserve">aseline data for performance indicators to enable a comparison of the current state versus future state. </w:t>
      </w:r>
    </w:p>
    <w:p w14:paraId="59FD7F1B" w14:textId="77777777" w:rsidR="001A4D3B" w:rsidRDefault="001A4D3B" w:rsidP="001A4D3B">
      <w:r>
        <w:t>In terms of existing data sources:</w:t>
      </w:r>
    </w:p>
    <w:p w14:paraId="6D0213E2" w14:textId="3F9EC7E3" w:rsidR="001A4D3B" w:rsidRDefault="001A4D3B" w:rsidP="001A4D3B">
      <w:pPr>
        <w:pStyle w:val="ListParagraph"/>
        <w:numPr>
          <w:ilvl w:val="0"/>
          <w:numId w:val="93"/>
        </w:numPr>
      </w:pPr>
      <w:r>
        <w:t xml:space="preserve">The department </w:t>
      </w:r>
      <w:r w:rsidR="006F20A4">
        <w:t xml:space="preserve">will </w:t>
      </w:r>
      <w:r w:rsidR="006F059D" w:rsidRPr="006F059D">
        <w:t>continue</w:t>
      </w:r>
      <w:r w:rsidR="00AF7A04">
        <w:t xml:space="preserve"> </w:t>
      </w:r>
      <w:r w:rsidR="006F059D" w:rsidRPr="006F059D">
        <w:t xml:space="preserve">work to optimise </w:t>
      </w:r>
      <w:r w:rsidR="00AF7A04" w:rsidRPr="006F059D">
        <w:t xml:space="preserve">analysis </w:t>
      </w:r>
      <w:r w:rsidR="00AF7A04">
        <w:t xml:space="preserve">of </w:t>
      </w:r>
      <w:r w:rsidR="006F059D" w:rsidRPr="006F059D">
        <w:t xml:space="preserve">VAED </w:t>
      </w:r>
      <w:r w:rsidR="00AF7A04">
        <w:t>data</w:t>
      </w:r>
      <w:r w:rsidR="006F059D" w:rsidRPr="006F059D">
        <w:t>.</w:t>
      </w:r>
    </w:p>
    <w:p w14:paraId="550ACD14" w14:textId="2FC07630" w:rsidR="002E5ACC" w:rsidRDefault="002E5ACC" w:rsidP="001A4D3B">
      <w:pPr>
        <w:pStyle w:val="ListParagraph"/>
        <w:numPr>
          <w:ilvl w:val="0"/>
          <w:numId w:val="93"/>
        </w:numPr>
      </w:pPr>
      <w:r>
        <w:t xml:space="preserve">The department will continue to work with SCV to optimise use of data that is reported or otherwise available on quality and safety indicators </w:t>
      </w:r>
      <w:r w:rsidR="00FF79F8">
        <w:t>to inform</w:t>
      </w:r>
      <w:r>
        <w:t xml:space="preserve"> ongoing regulatory monitoring and enforcement and future assessment of regulatory settings and reform proposals (it is noted that amendments to the Regulations discussed in the RIS designed to improve oversight will assist in this regard).</w:t>
      </w:r>
    </w:p>
    <w:p w14:paraId="03C1C695" w14:textId="77777777" w:rsidR="001A4D3B" w:rsidRDefault="001A4D3B" w:rsidP="001A4D3B">
      <w:pPr>
        <w:pStyle w:val="ListParagraph"/>
        <w:numPr>
          <w:ilvl w:val="0"/>
          <w:numId w:val="93"/>
        </w:numPr>
      </w:pPr>
      <w:r>
        <w:t xml:space="preserve">The regulator will continue to visit HSEs, with these inspections providing compliance data that will feed into the overall picture of quality and safety in HSEs. </w:t>
      </w:r>
    </w:p>
    <w:p w14:paraId="1B07E204" w14:textId="1798CE0B" w:rsidR="00C071BB" w:rsidRDefault="001A4D3B" w:rsidP="00C071BB">
      <w:pPr>
        <w:pStyle w:val="ListParagraph"/>
        <w:numPr>
          <w:ilvl w:val="0"/>
          <w:numId w:val="93"/>
        </w:numPr>
      </w:pPr>
      <w:r>
        <w:t xml:space="preserve">The department will continue to receive accreditation data from the Commission, which supports </w:t>
      </w:r>
      <w:r w:rsidR="006E1778">
        <w:t xml:space="preserve">monitoring of facilities and </w:t>
      </w:r>
      <w:r>
        <w:t>system-wide m</w:t>
      </w:r>
      <w:r w:rsidR="006E1778">
        <w:t>onitoring and m</w:t>
      </w:r>
      <w:r>
        <w:t>anagement.</w:t>
      </w:r>
    </w:p>
    <w:p w14:paraId="348F4026" w14:textId="0625D0B1" w:rsidR="0052151C" w:rsidRDefault="0052151C">
      <w:pPr>
        <w:spacing w:before="0" w:line="259" w:lineRule="auto"/>
      </w:pPr>
      <w:r>
        <w:br w:type="page"/>
      </w:r>
    </w:p>
    <w:p w14:paraId="73C3D5E9" w14:textId="794211E7" w:rsidR="00380446" w:rsidRPr="00B57CB3" w:rsidRDefault="0052151C" w:rsidP="001E347D">
      <w:pPr>
        <w:pStyle w:val="Heading5"/>
        <w:numPr>
          <w:ilvl w:val="0"/>
          <w:numId w:val="0"/>
        </w:numPr>
        <w:ind w:left="567"/>
      </w:pPr>
      <w:bookmarkStart w:id="285" w:name="_Toc165287608"/>
      <w:r w:rsidRPr="00B57CB3">
        <w:lastRenderedPageBreak/>
        <w:t>Appendix A</w:t>
      </w:r>
      <w:r w:rsidR="00BC7D65" w:rsidRPr="00B57CB3">
        <w:t xml:space="preserve"> </w:t>
      </w:r>
      <w:r w:rsidR="00B57CB3" w:rsidRPr="001E347D">
        <w:t>Cost estimations for fees</w:t>
      </w:r>
      <w:bookmarkEnd w:id="285"/>
    </w:p>
    <w:p w14:paraId="2462305B" w14:textId="7DF56DD7" w:rsidR="0052151C" w:rsidRPr="001E347D" w:rsidRDefault="0052151C" w:rsidP="0052151C">
      <w:pPr>
        <w:rPr>
          <w:rStyle w:val="Strong"/>
          <w:sz w:val="28"/>
          <w:szCs w:val="28"/>
        </w:rPr>
      </w:pPr>
      <w:r w:rsidRPr="001E347D">
        <w:rPr>
          <w:rStyle w:val="Strong"/>
          <w:sz w:val="28"/>
          <w:szCs w:val="28"/>
        </w:rPr>
        <w:t>Direct cost estimation, for fees estimates</w:t>
      </w:r>
    </w:p>
    <w:p w14:paraId="5727D5FE" w14:textId="533F8AC2" w:rsidR="006151DE" w:rsidRDefault="006151DE" w:rsidP="0052151C">
      <w:r w:rsidRPr="006151DE">
        <w:t>The following tables show time allocation and staff cost per hour for each key output</w:t>
      </w:r>
      <w:r w:rsidR="006737CF">
        <w:t>, direct costs only.</w:t>
      </w:r>
    </w:p>
    <w:p w14:paraId="38242B86" w14:textId="0797B3F9" w:rsidR="00D15FBE" w:rsidRDefault="00D15FBE" w:rsidP="0052151C">
      <w:r>
        <w:t>All staff time costs for VPS staff include on-costs of 75% of hourly wage, as per Victorian Department of Treasury and Finance guidance.</w:t>
      </w:r>
      <w:r>
        <w:rPr>
          <w:rStyle w:val="FootnoteReference"/>
        </w:rPr>
        <w:footnoteReference w:id="117"/>
      </w:r>
    </w:p>
    <w:p w14:paraId="0290BE5D" w14:textId="6A745A14" w:rsidR="006737CF" w:rsidRPr="006151DE" w:rsidRDefault="00AA1229" w:rsidP="0052151C">
      <w:r>
        <w:t xml:space="preserve">For fee calculations, </w:t>
      </w:r>
      <w:r w:rsidR="006737CF">
        <w:t xml:space="preserve">it is noted that </w:t>
      </w:r>
      <w:r w:rsidR="00D82F27">
        <w:t xml:space="preserve">fixed </w:t>
      </w:r>
      <w:r>
        <w:t xml:space="preserve">costs are allocated to estimate the </w:t>
      </w:r>
      <w:r w:rsidR="00940245">
        <w:t xml:space="preserve">total cost of each output. A total of $135,820 is allocated. </w:t>
      </w:r>
      <w:r w:rsidR="007A183A">
        <w:t xml:space="preserve">Most of this is allocated to registration renewals reflecting the ongoing compliance and monitoring work that </w:t>
      </w:r>
      <w:r w:rsidR="00CD36AB">
        <w:t>is included as part of the renewals and registration function.</w:t>
      </w:r>
      <w:r w:rsidR="006737CF">
        <w:t xml:space="preserve"> </w:t>
      </w:r>
    </w:p>
    <w:p w14:paraId="6C6692C2" w14:textId="799AC24D" w:rsidR="0052151C" w:rsidRPr="001E347D" w:rsidRDefault="0052151C" w:rsidP="0052151C">
      <w:pPr>
        <w:rPr>
          <w:rStyle w:val="Strong"/>
        </w:rPr>
      </w:pPr>
      <w:r w:rsidRPr="001E347D">
        <w:rPr>
          <w:rStyle w:val="Strong"/>
        </w:rPr>
        <w:t xml:space="preserve">AIP </w:t>
      </w:r>
    </w:p>
    <w:tbl>
      <w:tblPr>
        <w:tblStyle w:val="SapereTable"/>
        <w:tblW w:w="5000" w:type="pct"/>
        <w:tblLook w:val="04A0" w:firstRow="1" w:lastRow="0" w:firstColumn="1" w:lastColumn="0" w:noHBand="0" w:noVBand="1"/>
      </w:tblPr>
      <w:tblGrid>
        <w:gridCol w:w="4861"/>
        <w:gridCol w:w="1100"/>
        <w:gridCol w:w="1077"/>
        <w:gridCol w:w="1053"/>
        <w:gridCol w:w="935"/>
      </w:tblGrid>
      <w:tr w:rsidR="008B0CDB" w:rsidRPr="00675BDB" w14:paraId="75AFBB0A" w14:textId="77777777" w:rsidTr="006522DF">
        <w:trPr>
          <w:cnfStyle w:val="100000000000" w:firstRow="1" w:lastRow="0" w:firstColumn="0" w:lastColumn="0" w:oddVBand="0" w:evenVBand="0" w:oddHBand="0" w:evenHBand="0" w:firstRowFirstColumn="0" w:firstRowLastColumn="0" w:lastRowFirstColumn="0" w:lastRowLastColumn="0"/>
          <w:trHeight w:val="22"/>
          <w:tblHeader/>
        </w:trPr>
        <w:tc>
          <w:tcPr>
            <w:cnfStyle w:val="001000000000" w:firstRow="0" w:lastRow="0" w:firstColumn="1" w:lastColumn="0" w:oddVBand="0" w:evenVBand="0" w:oddHBand="0" w:evenHBand="0" w:firstRowFirstColumn="0" w:firstRowLastColumn="0" w:lastRowFirstColumn="0" w:lastRowLastColumn="0"/>
            <w:tcW w:w="2827" w:type="pct"/>
            <w:hideMark/>
          </w:tcPr>
          <w:p w14:paraId="5554A582" w14:textId="087F00A6" w:rsidR="007324C3" w:rsidRPr="007324C3" w:rsidRDefault="008B0CDB" w:rsidP="007324C3">
            <w:pPr>
              <w:spacing w:before="0" w:line="240" w:lineRule="auto"/>
              <w:rPr>
                <w:rFonts w:eastAsia="Times New Roman" w:cstheme="minorHAnsi"/>
                <w:color w:val="auto"/>
                <w:sz w:val="18"/>
                <w:szCs w:val="18"/>
                <w:lang w:val="en-AU" w:eastAsia="en-AU"/>
              </w:rPr>
            </w:pPr>
            <w:r w:rsidRPr="00BC7D65">
              <w:rPr>
                <w:rFonts w:eastAsia="Times New Roman" w:cstheme="minorHAnsi"/>
                <w:sz w:val="18"/>
                <w:szCs w:val="18"/>
                <w:lang w:val="en-AU" w:eastAsia="en-AU"/>
              </w:rPr>
              <w:t>Task</w:t>
            </w:r>
          </w:p>
        </w:tc>
        <w:tc>
          <w:tcPr>
            <w:tcW w:w="208" w:type="pct"/>
            <w:noWrap/>
            <w:hideMark/>
          </w:tcPr>
          <w:p w14:paraId="2B5E44F1" w14:textId="77777777" w:rsidR="007324C3" w:rsidRPr="007324C3" w:rsidRDefault="007324C3" w:rsidP="003476CD">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sz w:val="18"/>
                <w:szCs w:val="18"/>
                <w:lang w:val="en-AU" w:eastAsia="en-AU"/>
              </w:rPr>
            </w:pPr>
            <w:r w:rsidRPr="007324C3">
              <w:rPr>
                <w:rFonts w:eastAsia="Times New Roman" w:cstheme="minorHAnsi"/>
                <w:bCs/>
                <w:sz w:val="18"/>
                <w:szCs w:val="18"/>
                <w:lang w:val="en-AU" w:eastAsia="en-AU"/>
              </w:rPr>
              <w:t>Staff tariff</w:t>
            </w:r>
          </w:p>
        </w:tc>
        <w:tc>
          <w:tcPr>
            <w:tcW w:w="597" w:type="pct"/>
            <w:noWrap/>
            <w:hideMark/>
          </w:tcPr>
          <w:p w14:paraId="5A87ADC9" w14:textId="77777777" w:rsidR="007324C3" w:rsidRPr="007324C3" w:rsidRDefault="007324C3" w:rsidP="003476CD">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sz w:val="18"/>
                <w:szCs w:val="18"/>
                <w:lang w:val="en-AU" w:eastAsia="en-AU"/>
              </w:rPr>
            </w:pPr>
            <w:r w:rsidRPr="007324C3">
              <w:rPr>
                <w:rFonts w:eastAsia="Times New Roman" w:cstheme="minorHAnsi"/>
                <w:bCs/>
                <w:sz w:val="18"/>
                <w:szCs w:val="18"/>
                <w:lang w:val="en-AU" w:eastAsia="en-AU"/>
              </w:rPr>
              <w:t>Time (hrs)</w:t>
            </w:r>
          </w:p>
        </w:tc>
        <w:tc>
          <w:tcPr>
            <w:tcW w:w="850" w:type="pct"/>
            <w:hideMark/>
          </w:tcPr>
          <w:p w14:paraId="2222E8DD" w14:textId="75FF9125" w:rsidR="007324C3" w:rsidRPr="007324C3" w:rsidRDefault="007324C3" w:rsidP="003476CD">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sz w:val="18"/>
                <w:szCs w:val="18"/>
                <w:lang w:val="en-AU" w:eastAsia="en-AU"/>
              </w:rPr>
            </w:pPr>
            <w:r w:rsidRPr="007324C3">
              <w:rPr>
                <w:rFonts w:eastAsia="Times New Roman" w:cstheme="minorHAnsi"/>
                <w:bCs/>
                <w:sz w:val="18"/>
                <w:szCs w:val="18"/>
                <w:lang w:val="en-AU" w:eastAsia="en-AU"/>
              </w:rPr>
              <w:t>Staff cost per hr</w:t>
            </w:r>
            <w:r w:rsidR="00AB6775">
              <w:rPr>
                <w:rFonts w:eastAsia="Times New Roman" w:cstheme="minorHAnsi"/>
                <w:bCs/>
                <w:sz w:val="18"/>
                <w:szCs w:val="18"/>
                <w:lang w:val="en-AU" w:eastAsia="en-AU"/>
              </w:rPr>
              <w:t xml:space="preserve"> $</w:t>
            </w:r>
          </w:p>
        </w:tc>
        <w:tc>
          <w:tcPr>
            <w:tcW w:w="518" w:type="pct"/>
            <w:hideMark/>
          </w:tcPr>
          <w:p w14:paraId="304C2EE4" w14:textId="4A22084A" w:rsidR="007324C3" w:rsidRPr="007324C3" w:rsidRDefault="007324C3" w:rsidP="003476CD">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sz w:val="18"/>
                <w:szCs w:val="18"/>
                <w:lang w:val="en-AU" w:eastAsia="en-AU"/>
              </w:rPr>
            </w:pPr>
            <w:r w:rsidRPr="007324C3">
              <w:rPr>
                <w:rFonts w:eastAsia="Times New Roman" w:cstheme="minorHAnsi"/>
                <w:bCs/>
                <w:sz w:val="18"/>
                <w:szCs w:val="18"/>
                <w:lang w:val="en-AU" w:eastAsia="en-AU"/>
              </w:rPr>
              <w:t>Cost</w:t>
            </w:r>
            <w:r w:rsidR="00AB6775">
              <w:rPr>
                <w:rFonts w:eastAsia="Times New Roman" w:cstheme="minorHAnsi"/>
                <w:bCs/>
                <w:sz w:val="18"/>
                <w:szCs w:val="18"/>
                <w:lang w:val="en-AU" w:eastAsia="en-AU"/>
              </w:rPr>
              <w:t xml:space="preserve"> $</w:t>
            </w:r>
          </w:p>
        </w:tc>
      </w:tr>
      <w:tr w:rsidR="009A2A8B" w:rsidRPr="00675BDB" w14:paraId="21D31B4A"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71A76325"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color w:val="auto"/>
                <w:sz w:val="18"/>
                <w:szCs w:val="18"/>
                <w:lang w:val="en-AU" w:eastAsia="en-AU"/>
              </w:rPr>
              <w:t>Telephone/email enquiries</w:t>
            </w:r>
          </w:p>
        </w:tc>
        <w:tc>
          <w:tcPr>
            <w:tcW w:w="208" w:type="pct"/>
            <w:hideMark/>
          </w:tcPr>
          <w:p w14:paraId="3D936DAA" w14:textId="163B184B"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5BE2E9E6"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2B33FFE9"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04ED61F1" w14:textId="55523A84"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103.15 </w:t>
            </w:r>
          </w:p>
        </w:tc>
      </w:tr>
      <w:tr w:rsidR="009A2A8B" w:rsidRPr="00675BDB" w14:paraId="6BD0F244"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3ACABD53"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Pre-AIP meeting with proprietor</w:t>
            </w:r>
          </w:p>
        </w:tc>
        <w:tc>
          <w:tcPr>
            <w:tcW w:w="208" w:type="pct"/>
            <w:hideMark/>
          </w:tcPr>
          <w:p w14:paraId="0ECDF205"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0DCA6DA1"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29DC7BBA"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0A8357EE" w14:textId="4A2CF7CD"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123.28 </w:t>
            </w:r>
          </w:p>
        </w:tc>
      </w:tr>
      <w:tr w:rsidR="009A2A8B" w:rsidRPr="00675BDB" w14:paraId="4E9B4140"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49EB0C5E"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Receive application and review for completeness</w:t>
            </w:r>
          </w:p>
        </w:tc>
        <w:tc>
          <w:tcPr>
            <w:tcW w:w="208" w:type="pct"/>
            <w:hideMark/>
          </w:tcPr>
          <w:p w14:paraId="5946611E"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7C08961C"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0.5</w:t>
            </w:r>
          </w:p>
        </w:tc>
        <w:tc>
          <w:tcPr>
            <w:tcW w:w="850" w:type="pct"/>
            <w:hideMark/>
          </w:tcPr>
          <w:p w14:paraId="7073A4AF"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1F81B8CD" w14:textId="29D76C85"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61.64 </w:t>
            </w:r>
          </w:p>
        </w:tc>
      </w:tr>
      <w:tr w:rsidR="009A2A8B" w:rsidRPr="00675BDB" w14:paraId="2286156B"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3523179B"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File application and update AIP spreadsheet</w:t>
            </w:r>
          </w:p>
        </w:tc>
        <w:tc>
          <w:tcPr>
            <w:tcW w:w="208" w:type="pct"/>
            <w:hideMark/>
          </w:tcPr>
          <w:p w14:paraId="1E4D699B"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1AD9200D"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16AF43CE"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5CC8E856" w14:textId="4C54A6A9"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25.79 </w:t>
            </w:r>
          </w:p>
        </w:tc>
      </w:tr>
      <w:tr w:rsidR="009A2A8B" w:rsidRPr="00675BDB" w14:paraId="7B2C0CBF"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0CF06C1C"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Follow up with applicant if documents outstanding</w:t>
            </w:r>
          </w:p>
        </w:tc>
        <w:tc>
          <w:tcPr>
            <w:tcW w:w="208" w:type="pct"/>
            <w:hideMark/>
          </w:tcPr>
          <w:p w14:paraId="7E703786"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320F0937"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05E14E70"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2F8ACECB" w14:textId="69D19C8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25.79 </w:t>
            </w:r>
          </w:p>
        </w:tc>
      </w:tr>
      <w:tr w:rsidR="009A2A8B" w:rsidRPr="00675BDB" w14:paraId="346FDB2F"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63F1F4C5"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Raise invoice</w:t>
            </w:r>
          </w:p>
        </w:tc>
        <w:tc>
          <w:tcPr>
            <w:tcW w:w="208" w:type="pct"/>
            <w:hideMark/>
          </w:tcPr>
          <w:p w14:paraId="54480D4C"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6B32ED61"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0.17</w:t>
            </w:r>
          </w:p>
        </w:tc>
        <w:tc>
          <w:tcPr>
            <w:tcW w:w="850" w:type="pct"/>
            <w:hideMark/>
          </w:tcPr>
          <w:p w14:paraId="1BC99B1A"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204FE779" w14:textId="1B1536D1"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17.54 </w:t>
            </w:r>
          </w:p>
        </w:tc>
      </w:tr>
      <w:tr w:rsidR="009A2A8B" w:rsidRPr="00675BDB" w14:paraId="28B1FA3A"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423865D4"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Allocate design review to architect panel</w:t>
            </w:r>
          </w:p>
        </w:tc>
        <w:tc>
          <w:tcPr>
            <w:tcW w:w="208" w:type="pct"/>
            <w:hideMark/>
          </w:tcPr>
          <w:p w14:paraId="08A741FF"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139B8E29"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51A9690D"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6B2FED5D" w14:textId="3AD60726"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30.82 </w:t>
            </w:r>
          </w:p>
        </w:tc>
      </w:tr>
      <w:tr w:rsidR="009A2A8B" w:rsidRPr="00675BDB" w14:paraId="6DC92056" w14:textId="77777777" w:rsidTr="00A252C0">
        <w:trPr>
          <w:trHeight w:val="35"/>
        </w:trPr>
        <w:tc>
          <w:tcPr>
            <w:cnfStyle w:val="001000000000" w:firstRow="0" w:lastRow="0" w:firstColumn="1" w:lastColumn="0" w:oddVBand="0" w:evenVBand="0" w:oddHBand="0" w:evenHBand="0" w:firstRowFirstColumn="0" w:firstRowLastColumn="0" w:lastRowFirstColumn="0" w:lastRowLastColumn="0"/>
            <w:tcW w:w="2827" w:type="pct"/>
            <w:hideMark/>
          </w:tcPr>
          <w:p w14:paraId="4ED95D35"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color w:val="auto"/>
                <w:sz w:val="18"/>
                <w:szCs w:val="18"/>
                <w:lang w:val="en-AU" w:eastAsia="en-AU"/>
              </w:rPr>
              <w:t>Design review by architect</w:t>
            </w:r>
          </w:p>
        </w:tc>
        <w:tc>
          <w:tcPr>
            <w:tcW w:w="208" w:type="pct"/>
            <w:hideMark/>
          </w:tcPr>
          <w:p w14:paraId="03D9A7CE" w14:textId="1134F929" w:rsidR="009A2A8B" w:rsidRPr="00D076E6" w:rsidRDefault="009A2A8B" w:rsidP="001E347D">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bookmarkStart w:id="286" w:name="RANGE!C13"/>
            <w:r w:rsidRPr="00D076E6">
              <w:rPr>
                <w:rFonts w:eastAsia="Times New Roman" w:cstheme="minorHAnsi"/>
                <w:color w:val="auto"/>
                <w:sz w:val="18"/>
                <w:szCs w:val="18"/>
                <w:lang w:val="en-AU" w:eastAsia="en-AU"/>
              </w:rPr>
              <w:t>Contract</w:t>
            </w:r>
            <w:bookmarkEnd w:id="286"/>
          </w:p>
        </w:tc>
        <w:tc>
          <w:tcPr>
            <w:tcW w:w="597" w:type="pct"/>
            <w:hideMark/>
          </w:tcPr>
          <w:p w14:paraId="50072C61" w14:textId="6BA05A22" w:rsidR="009A2A8B" w:rsidRPr="00D076E6" w:rsidRDefault="00AB53B9"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5</w:t>
            </w:r>
          </w:p>
        </w:tc>
        <w:tc>
          <w:tcPr>
            <w:tcW w:w="850" w:type="pct"/>
            <w:hideMark/>
          </w:tcPr>
          <w:p w14:paraId="3E3E54F6" w14:textId="489AC5CE" w:rsidR="009A2A8B" w:rsidRPr="00D076E6" w:rsidRDefault="00B51098"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300</w:t>
            </w:r>
            <w:r w:rsidR="00AB6775">
              <w:rPr>
                <w:rFonts w:eastAsia="Times New Roman" w:cstheme="minorHAnsi"/>
                <w:color w:val="auto"/>
                <w:sz w:val="18"/>
                <w:szCs w:val="18"/>
                <w:lang w:val="en-AU" w:eastAsia="en-AU"/>
              </w:rPr>
              <w:t>.00</w:t>
            </w:r>
          </w:p>
        </w:tc>
        <w:tc>
          <w:tcPr>
            <w:tcW w:w="518" w:type="pct"/>
            <w:hideMark/>
          </w:tcPr>
          <w:p w14:paraId="784E4565" w14:textId="261CA3AF"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w:t>
            </w:r>
            <w:r w:rsidR="00653D1B" w:rsidRPr="00D076E6">
              <w:rPr>
                <w:rFonts w:cstheme="minorHAnsi"/>
                <w:color w:val="auto"/>
                <w:sz w:val="18"/>
                <w:szCs w:val="18"/>
              </w:rPr>
              <w:t>500</w:t>
            </w:r>
            <w:r w:rsidRPr="00D076E6">
              <w:rPr>
                <w:rFonts w:cstheme="minorHAnsi"/>
                <w:color w:val="auto"/>
                <w:sz w:val="18"/>
                <w:szCs w:val="18"/>
              </w:rPr>
              <w:t xml:space="preserve">.00 </w:t>
            </w:r>
          </w:p>
        </w:tc>
      </w:tr>
      <w:tr w:rsidR="009A2A8B" w:rsidRPr="00675BDB" w14:paraId="6BE19E7A" w14:textId="77777777" w:rsidTr="00A252C0">
        <w:trPr>
          <w:trHeight w:val="580"/>
        </w:trPr>
        <w:tc>
          <w:tcPr>
            <w:cnfStyle w:val="001000000000" w:firstRow="0" w:lastRow="0" w:firstColumn="1" w:lastColumn="0" w:oddVBand="0" w:evenVBand="0" w:oddHBand="0" w:evenHBand="0" w:firstRowFirstColumn="0" w:firstRowLastColumn="0" w:lastRowFirstColumn="0" w:lastRowLastColumn="0"/>
            <w:tcW w:w="2827" w:type="pct"/>
            <w:hideMark/>
          </w:tcPr>
          <w:p w14:paraId="57EA6BC4"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Full review of application and design review by senior compliance officer (note 2)</w:t>
            </w:r>
          </w:p>
        </w:tc>
        <w:tc>
          <w:tcPr>
            <w:tcW w:w="208" w:type="pct"/>
            <w:hideMark/>
          </w:tcPr>
          <w:p w14:paraId="57352707"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bookmarkStart w:id="287" w:name="RANGE!D14"/>
        <w:tc>
          <w:tcPr>
            <w:tcW w:w="597" w:type="pct"/>
            <w:hideMark/>
          </w:tcPr>
          <w:p w14:paraId="2D2715CE"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sz w:val="18"/>
                <w:szCs w:val="18"/>
                <w:lang w:val="en-AU" w:eastAsia="en-AU"/>
              </w:rPr>
              <w:fldChar w:fldCharType="begin"/>
            </w:r>
            <w:r w:rsidRPr="00D076E6">
              <w:rPr>
                <w:rFonts w:eastAsia="Times New Roman" w:cstheme="minorHAnsi"/>
                <w:color w:val="auto"/>
                <w:sz w:val="18"/>
                <w:szCs w:val="18"/>
                <w:lang w:val="en-AU" w:eastAsia="en-AU"/>
              </w:rPr>
              <w:instrText xml:space="preserve"> HYPERLINK "file:///C:\\Users\\scarrick\\AppData\\Local\\Microsoft\\Windows\\INetCache\\Content.MSO\\9DCF5312.xlsx" \l "RANGE!J12" </w:instrText>
            </w:r>
            <w:r w:rsidRPr="00D076E6">
              <w:rPr>
                <w:rFonts w:eastAsia="Times New Roman" w:cstheme="minorHAnsi"/>
                <w:sz w:val="18"/>
                <w:szCs w:val="18"/>
                <w:lang w:val="en-AU" w:eastAsia="en-AU"/>
              </w:rPr>
            </w:r>
            <w:r w:rsidRPr="00D076E6">
              <w:rPr>
                <w:rFonts w:eastAsia="Times New Roman" w:cstheme="minorHAnsi"/>
                <w:sz w:val="18"/>
                <w:szCs w:val="18"/>
                <w:lang w:val="en-AU" w:eastAsia="en-AU"/>
              </w:rPr>
              <w:fldChar w:fldCharType="separate"/>
            </w:r>
            <w:r w:rsidRPr="00D076E6">
              <w:rPr>
                <w:rFonts w:eastAsia="Times New Roman" w:cstheme="minorHAnsi"/>
                <w:color w:val="auto"/>
                <w:sz w:val="18"/>
                <w:szCs w:val="18"/>
                <w:lang w:val="en-AU" w:eastAsia="en-AU"/>
              </w:rPr>
              <w:t>3</w:t>
            </w:r>
            <w:r w:rsidRPr="00D076E6">
              <w:rPr>
                <w:rFonts w:eastAsia="Times New Roman" w:cstheme="minorHAnsi"/>
                <w:sz w:val="18"/>
                <w:szCs w:val="18"/>
                <w:lang w:val="en-AU" w:eastAsia="en-AU"/>
              </w:rPr>
              <w:fldChar w:fldCharType="end"/>
            </w:r>
            <w:bookmarkEnd w:id="287"/>
          </w:p>
        </w:tc>
        <w:tc>
          <w:tcPr>
            <w:tcW w:w="850" w:type="pct"/>
            <w:hideMark/>
          </w:tcPr>
          <w:p w14:paraId="4F7C46A4"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6DAEF45E" w14:textId="275D1C1B"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369.84 </w:t>
            </w:r>
          </w:p>
        </w:tc>
      </w:tr>
      <w:tr w:rsidR="009A2A8B" w:rsidRPr="00675BDB" w14:paraId="19E93BDB" w14:textId="77777777" w:rsidTr="00A252C0">
        <w:trPr>
          <w:trHeight w:val="580"/>
        </w:trPr>
        <w:tc>
          <w:tcPr>
            <w:cnfStyle w:val="001000000000" w:firstRow="0" w:lastRow="0" w:firstColumn="1" w:lastColumn="0" w:oddVBand="0" w:evenVBand="0" w:oddHBand="0" w:evenHBand="0" w:firstRowFirstColumn="0" w:firstRowLastColumn="0" w:lastRowFirstColumn="0" w:lastRowLastColumn="0"/>
            <w:tcW w:w="2827" w:type="pct"/>
            <w:hideMark/>
          </w:tcPr>
          <w:p w14:paraId="4989908D"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Design review feedback letter drafted and issued to applicant</w:t>
            </w:r>
          </w:p>
        </w:tc>
        <w:tc>
          <w:tcPr>
            <w:tcW w:w="208" w:type="pct"/>
            <w:hideMark/>
          </w:tcPr>
          <w:p w14:paraId="3D7B5028"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3EBEEDB1"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0.5</w:t>
            </w:r>
          </w:p>
        </w:tc>
        <w:tc>
          <w:tcPr>
            <w:tcW w:w="850" w:type="pct"/>
            <w:hideMark/>
          </w:tcPr>
          <w:p w14:paraId="3DB16D00"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5AAF80B3" w14:textId="79A3DAC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61.64 </w:t>
            </w:r>
          </w:p>
        </w:tc>
      </w:tr>
      <w:tr w:rsidR="009A2A8B" w:rsidRPr="00675BDB" w14:paraId="079BC8B1" w14:textId="77777777" w:rsidTr="00A252C0">
        <w:trPr>
          <w:trHeight w:val="219"/>
        </w:trPr>
        <w:tc>
          <w:tcPr>
            <w:cnfStyle w:val="001000000000" w:firstRow="0" w:lastRow="0" w:firstColumn="1" w:lastColumn="0" w:oddVBand="0" w:evenVBand="0" w:oddHBand="0" w:evenHBand="0" w:firstRowFirstColumn="0" w:firstRowLastColumn="0" w:lastRowFirstColumn="0" w:lastRowLastColumn="0"/>
            <w:tcW w:w="2827" w:type="pct"/>
            <w:vMerge w:val="restart"/>
            <w:hideMark/>
          </w:tcPr>
          <w:p w14:paraId="23A9F875"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color w:val="auto"/>
                <w:sz w:val="18"/>
                <w:szCs w:val="18"/>
                <w:lang w:val="en-AU" w:eastAsia="en-AU"/>
              </w:rPr>
              <w:t>Further design review if required – architect or senior compliance officer</w:t>
            </w:r>
          </w:p>
        </w:tc>
        <w:tc>
          <w:tcPr>
            <w:tcW w:w="208" w:type="pct"/>
            <w:hideMark/>
          </w:tcPr>
          <w:p w14:paraId="4AAD6750" w14:textId="7F6ADAE2" w:rsidR="009A2A8B" w:rsidRPr="00D076E6" w:rsidRDefault="009A2A8B" w:rsidP="001E347D">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bookmarkStart w:id="288" w:name="RANGE!C16"/>
            <w:r w:rsidRPr="00D076E6">
              <w:rPr>
                <w:rFonts w:eastAsia="Times New Roman" w:cstheme="minorHAnsi"/>
                <w:color w:val="auto"/>
                <w:sz w:val="18"/>
                <w:szCs w:val="18"/>
                <w:lang w:val="en-AU" w:eastAsia="en-AU"/>
              </w:rPr>
              <w:t>Contract</w:t>
            </w:r>
            <w:bookmarkEnd w:id="288"/>
          </w:p>
        </w:tc>
        <w:tc>
          <w:tcPr>
            <w:tcW w:w="597" w:type="pct"/>
            <w:hideMark/>
          </w:tcPr>
          <w:p w14:paraId="7961347C"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212783BE" w14:textId="74A354D6" w:rsidR="009A2A8B" w:rsidRPr="00D076E6" w:rsidRDefault="00651D29"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300</w:t>
            </w:r>
            <w:r w:rsidR="00AB6775">
              <w:rPr>
                <w:rFonts w:eastAsia="Times New Roman" w:cstheme="minorHAnsi"/>
                <w:color w:val="auto"/>
                <w:sz w:val="18"/>
                <w:szCs w:val="18"/>
                <w:lang w:val="en-AU" w:eastAsia="en-AU"/>
              </w:rPr>
              <w:t>.00</w:t>
            </w:r>
          </w:p>
        </w:tc>
        <w:tc>
          <w:tcPr>
            <w:tcW w:w="518" w:type="pct"/>
            <w:hideMark/>
          </w:tcPr>
          <w:p w14:paraId="03F5CBE5" w14:textId="7124E200"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w:t>
            </w:r>
            <w:r w:rsidR="00651D29" w:rsidRPr="00D076E6">
              <w:rPr>
                <w:rFonts w:cstheme="minorHAnsi"/>
                <w:color w:val="auto"/>
                <w:sz w:val="18"/>
                <w:szCs w:val="18"/>
              </w:rPr>
              <w:t>300</w:t>
            </w:r>
            <w:r w:rsidRPr="00D076E6">
              <w:rPr>
                <w:rFonts w:cstheme="minorHAnsi"/>
                <w:color w:val="auto"/>
                <w:sz w:val="18"/>
                <w:szCs w:val="18"/>
              </w:rPr>
              <w:t xml:space="preserve">.00 </w:t>
            </w:r>
          </w:p>
        </w:tc>
      </w:tr>
      <w:tr w:rsidR="009A2A8B" w:rsidRPr="00675BDB" w14:paraId="098FC830"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vMerge/>
            <w:hideMark/>
          </w:tcPr>
          <w:p w14:paraId="7E6EE020" w14:textId="77777777" w:rsidR="009A2A8B" w:rsidRPr="00D076E6" w:rsidRDefault="009A2A8B" w:rsidP="009A2A8B">
            <w:pPr>
              <w:spacing w:before="0" w:line="240" w:lineRule="auto"/>
              <w:rPr>
                <w:rFonts w:eastAsia="Times New Roman" w:cstheme="minorHAnsi"/>
                <w:color w:val="auto"/>
                <w:sz w:val="18"/>
                <w:szCs w:val="18"/>
                <w:lang w:val="en-AU" w:eastAsia="en-AU"/>
              </w:rPr>
            </w:pPr>
          </w:p>
        </w:tc>
        <w:tc>
          <w:tcPr>
            <w:tcW w:w="208" w:type="pct"/>
            <w:hideMark/>
          </w:tcPr>
          <w:p w14:paraId="7E9923CE"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53FFA386"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1131381B"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284210EB" w14:textId="2AFCD6BB"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123.28 </w:t>
            </w:r>
          </w:p>
        </w:tc>
      </w:tr>
      <w:tr w:rsidR="009A2A8B" w:rsidRPr="00675BDB" w14:paraId="79238334"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6BFF917B"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Preparation of memo, cert and letter of approval</w:t>
            </w:r>
          </w:p>
        </w:tc>
        <w:tc>
          <w:tcPr>
            <w:tcW w:w="208" w:type="pct"/>
            <w:hideMark/>
          </w:tcPr>
          <w:p w14:paraId="467D16CA"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47E02E01"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7E51C868"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22823B23" w14:textId="1F042214"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103.15 </w:t>
            </w:r>
          </w:p>
        </w:tc>
      </w:tr>
      <w:tr w:rsidR="009A2A8B" w:rsidRPr="00675BDB" w14:paraId="10811C28"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626D6BC2" w14:textId="2EFF1C01"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M</w:t>
            </w:r>
            <w:r w:rsidR="00826035" w:rsidRPr="00D076E6">
              <w:rPr>
                <w:rFonts w:eastAsia="Times New Roman" w:cstheme="minorHAnsi"/>
                <w:b w:val="0"/>
                <w:color w:val="auto"/>
                <w:sz w:val="18"/>
                <w:szCs w:val="18"/>
                <w:lang w:val="en-AU" w:eastAsia="en-AU"/>
              </w:rPr>
              <w:t>emo, Certificate and Letter</w:t>
            </w:r>
            <w:r w:rsidRPr="00D076E6">
              <w:rPr>
                <w:rFonts w:eastAsia="Times New Roman" w:cstheme="minorHAnsi"/>
                <w:b w:val="0"/>
                <w:color w:val="auto"/>
                <w:sz w:val="18"/>
                <w:szCs w:val="18"/>
                <w:lang w:val="en-AU" w:eastAsia="en-AU"/>
              </w:rPr>
              <w:t xml:space="preserve"> reviewed by manager</w:t>
            </w:r>
          </w:p>
        </w:tc>
        <w:tc>
          <w:tcPr>
            <w:tcW w:w="208" w:type="pct"/>
            <w:hideMark/>
          </w:tcPr>
          <w:p w14:paraId="1ACBD3B6"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6</w:t>
            </w:r>
          </w:p>
        </w:tc>
        <w:tc>
          <w:tcPr>
            <w:tcW w:w="597" w:type="pct"/>
            <w:hideMark/>
          </w:tcPr>
          <w:p w14:paraId="1885A59E"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5A2F5039"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159.86</w:t>
            </w:r>
          </w:p>
        </w:tc>
        <w:tc>
          <w:tcPr>
            <w:tcW w:w="518" w:type="pct"/>
            <w:hideMark/>
          </w:tcPr>
          <w:p w14:paraId="642592E4" w14:textId="0AF1F791"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159.86 </w:t>
            </w:r>
          </w:p>
        </w:tc>
      </w:tr>
      <w:tr w:rsidR="009A2A8B" w:rsidRPr="00675BDB" w14:paraId="11C682C0"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4421F084"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Decision by delegate (director)</w:t>
            </w:r>
          </w:p>
        </w:tc>
        <w:tc>
          <w:tcPr>
            <w:tcW w:w="208" w:type="pct"/>
            <w:hideMark/>
          </w:tcPr>
          <w:p w14:paraId="6514C474"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EO3</w:t>
            </w:r>
          </w:p>
        </w:tc>
        <w:tc>
          <w:tcPr>
            <w:tcW w:w="597" w:type="pct"/>
            <w:hideMark/>
          </w:tcPr>
          <w:p w14:paraId="68C18170"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628F83B9"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259.34</w:t>
            </w:r>
          </w:p>
        </w:tc>
        <w:tc>
          <w:tcPr>
            <w:tcW w:w="518" w:type="pct"/>
            <w:hideMark/>
          </w:tcPr>
          <w:p w14:paraId="36BD2879" w14:textId="19AB72E8"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259.34 </w:t>
            </w:r>
          </w:p>
        </w:tc>
      </w:tr>
      <w:tr w:rsidR="009A2A8B" w:rsidRPr="00675BDB" w14:paraId="01252502"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0792BC98"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Email of cert and letter of approval to applicant</w:t>
            </w:r>
          </w:p>
        </w:tc>
        <w:tc>
          <w:tcPr>
            <w:tcW w:w="208" w:type="pct"/>
            <w:hideMark/>
          </w:tcPr>
          <w:p w14:paraId="2359D994"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48FCCBBF"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25213515"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05FE202D" w14:textId="5461ECE6"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25.79 </w:t>
            </w:r>
          </w:p>
        </w:tc>
      </w:tr>
      <w:tr w:rsidR="009A2A8B" w:rsidRPr="00675BDB" w14:paraId="656B3F92" w14:textId="77777777" w:rsidTr="00A252C0">
        <w:trPr>
          <w:trHeight w:val="580"/>
        </w:trPr>
        <w:tc>
          <w:tcPr>
            <w:cnfStyle w:val="001000000000" w:firstRow="0" w:lastRow="0" w:firstColumn="1" w:lastColumn="0" w:oddVBand="0" w:evenVBand="0" w:oddHBand="0" w:evenHBand="0" w:firstRowFirstColumn="0" w:firstRowLastColumn="0" w:lastRowFirstColumn="0" w:lastRowLastColumn="0"/>
            <w:tcW w:w="2827" w:type="pct"/>
            <w:hideMark/>
          </w:tcPr>
          <w:p w14:paraId="09097C38"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Save documents to TRIM and update AIP tracking sheet</w:t>
            </w:r>
          </w:p>
        </w:tc>
        <w:tc>
          <w:tcPr>
            <w:tcW w:w="208" w:type="pct"/>
            <w:hideMark/>
          </w:tcPr>
          <w:p w14:paraId="4BEF368D"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330CAC22"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08345B8A"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5BA85FAC" w14:textId="24D4C64F"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25.79 </w:t>
            </w:r>
          </w:p>
        </w:tc>
      </w:tr>
      <w:tr w:rsidR="009A2A8B" w:rsidRPr="00675BDB" w14:paraId="4DF14F79"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5E72A811"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Contact applicant to arrange AIP site inspection.</w:t>
            </w:r>
          </w:p>
        </w:tc>
        <w:tc>
          <w:tcPr>
            <w:tcW w:w="208" w:type="pct"/>
            <w:hideMark/>
          </w:tcPr>
          <w:p w14:paraId="6FA680D2"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61A8E0AA"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26BFB4A6"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23820472" w14:textId="55DC03CF"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25.79 </w:t>
            </w:r>
          </w:p>
        </w:tc>
      </w:tr>
      <w:tr w:rsidR="009A2A8B" w:rsidRPr="00675BDB" w14:paraId="586960D1" w14:textId="77777777" w:rsidTr="006522DF">
        <w:trPr>
          <w:trHeight w:val="22"/>
        </w:trPr>
        <w:tc>
          <w:tcPr>
            <w:cnfStyle w:val="001000000000" w:firstRow="0" w:lastRow="0" w:firstColumn="1" w:lastColumn="0" w:oddVBand="0" w:evenVBand="0" w:oddHBand="0" w:evenHBand="0" w:firstRowFirstColumn="0" w:firstRowLastColumn="0" w:lastRowFirstColumn="0" w:lastRowLastColumn="0"/>
            <w:tcW w:w="2827" w:type="pct"/>
            <w:hideMark/>
          </w:tcPr>
          <w:p w14:paraId="3D82A86D"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Email applicant with information required prior to inspection</w:t>
            </w:r>
          </w:p>
        </w:tc>
        <w:tc>
          <w:tcPr>
            <w:tcW w:w="208" w:type="pct"/>
            <w:hideMark/>
          </w:tcPr>
          <w:p w14:paraId="588444C6"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654F3E56"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2C17645A"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187194E2" w14:textId="11897542"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25.79 </w:t>
            </w:r>
          </w:p>
        </w:tc>
      </w:tr>
      <w:tr w:rsidR="009A2A8B" w:rsidRPr="00675BDB" w14:paraId="67B13ADD"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5DB40D09"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lastRenderedPageBreak/>
              <w:t>Arrange inspection with applicant and architect</w:t>
            </w:r>
          </w:p>
        </w:tc>
        <w:tc>
          <w:tcPr>
            <w:tcW w:w="208" w:type="pct"/>
            <w:hideMark/>
          </w:tcPr>
          <w:p w14:paraId="5F650DAD"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42CA85E8"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6E7FE9DF"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3C3C12FD" w14:textId="57A37078"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25.79 </w:t>
            </w:r>
          </w:p>
        </w:tc>
      </w:tr>
      <w:tr w:rsidR="009A2A8B" w:rsidRPr="00675BDB" w14:paraId="17A27913"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vMerge w:val="restart"/>
            <w:hideMark/>
          </w:tcPr>
          <w:p w14:paraId="152C3104"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AIP inspection by authorised officer(s) and architect</w:t>
            </w:r>
          </w:p>
        </w:tc>
        <w:tc>
          <w:tcPr>
            <w:tcW w:w="208" w:type="pct"/>
            <w:hideMark/>
          </w:tcPr>
          <w:p w14:paraId="5B611C2D"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3782CD41"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4</w:t>
            </w:r>
          </w:p>
        </w:tc>
        <w:tc>
          <w:tcPr>
            <w:tcW w:w="850" w:type="pct"/>
            <w:hideMark/>
          </w:tcPr>
          <w:p w14:paraId="30090776"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65701354" w14:textId="111D0E92"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493.12 </w:t>
            </w:r>
          </w:p>
        </w:tc>
      </w:tr>
      <w:tr w:rsidR="009A2A8B" w:rsidRPr="00675BDB" w14:paraId="226845A4" w14:textId="77777777" w:rsidTr="006522DF">
        <w:trPr>
          <w:trHeight w:val="22"/>
        </w:trPr>
        <w:tc>
          <w:tcPr>
            <w:cnfStyle w:val="001000000000" w:firstRow="0" w:lastRow="0" w:firstColumn="1" w:lastColumn="0" w:oddVBand="0" w:evenVBand="0" w:oddHBand="0" w:evenHBand="0" w:firstRowFirstColumn="0" w:firstRowLastColumn="0" w:lastRowFirstColumn="0" w:lastRowLastColumn="0"/>
            <w:tcW w:w="2827" w:type="pct"/>
            <w:vMerge/>
            <w:hideMark/>
          </w:tcPr>
          <w:p w14:paraId="4F0B9588" w14:textId="77777777" w:rsidR="009A2A8B" w:rsidRPr="00D076E6" w:rsidRDefault="009A2A8B" w:rsidP="009A2A8B">
            <w:pPr>
              <w:spacing w:before="0" w:line="240" w:lineRule="auto"/>
              <w:rPr>
                <w:rFonts w:eastAsia="Times New Roman" w:cstheme="minorHAnsi"/>
                <w:color w:val="auto"/>
                <w:sz w:val="18"/>
                <w:szCs w:val="18"/>
                <w:lang w:val="en-AU" w:eastAsia="en-AU"/>
              </w:rPr>
            </w:pPr>
          </w:p>
        </w:tc>
        <w:tc>
          <w:tcPr>
            <w:tcW w:w="208" w:type="pct"/>
            <w:hideMark/>
          </w:tcPr>
          <w:p w14:paraId="0A747520" w14:textId="5FA507CA" w:rsidR="009A2A8B" w:rsidRPr="00D076E6" w:rsidRDefault="009A2A8B" w:rsidP="001E347D">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bookmarkStart w:id="289" w:name="RANGE!C27"/>
            <w:r w:rsidRPr="00D076E6">
              <w:rPr>
                <w:rFonts w:eastAsia="Times New Roman" w:cstheme="minorHAnsi"/>
                <w:color w:val="auto"/>
                <w:sz w:val="18"/>
                <w:szCs w:val="18"/>
                <w:lang w:val="en-AU" w:eastAsia="en-AU"/>
              </w:rPr>
              <w:t>Contract</w:t>
            </w:r>
            <w:bookmarkEnd w:id="289"/>
          </w:p>
        </w:tc>
        <w:tc>
          <w:tcPr>
            <w:tcW w:w="597" w:type="pct"/>
            <w:hideMark/>
          </w:tcPr>
          <w:p w14:paraId="30BE03A0"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4</w:t>
            </w:r>
          </w:p>
        </w:tc>
        <w:tc>
          <w:tcPr>
            <w:tcW w:w="850" w:type="pct"/>
            <w:hideMark/>
          </w:tcPr>
          <w:p w14:paraId="049DD10B" w14:textId="38FA9040" w:rsidR="009A2A8B" w:rsidRPr="00D076E6" w:rsidRDefault="00B7612C"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300</w:t>
            </w:r>
            <w:r w:rsidR="00AB6775">
              <w:rPr>
                <w:rFonts w:eastAsia="Times New Roman" w:cstheme="minorHAnsi"/>
                <w:color w:val="auto"/>
                <w:sz w:val="18"/>
                <w:szCs w:val="18"/>
                <w:lang w:val="en-AU" w:eastAsia="en-AU"/>
              </w:rPr>
              <w:t>.00</w:t>
            </w:r>
          </w:p>
        </w:tc>
        <w:tc>
          <w:tcPr>
            <w:tcW w:w="518" w:type="pct"/>
            <w:hideMark/>
          </w:tcPr>
          <w:p w14:paraId="35694426" w14:textId="53EB4D5F"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w:t>
            </w:r>
            <w:r w:rsidR="008B614F" w:rsidRPr="00D076E6">
              <w:rPr>
                <w:rFonts w:cstheme="minorHAnsi"/>
                <w:color w:val="auto"/>
                <w:sz w:val="18"/>
                <w:szCs w:val="18"/>
              </w:rPr>
              <w:t>20</w:t>
            </w:r>
            <w:r w:rsidRPr="00D076E6">
              <w:rPr>
                <w:rFonts w:cstheme="minorHAnsi"/>
                <w:color w:val="auto"/>
                <w:sz w:val="18"/>
                <w:szCs w:val="18"/>
              </w:rPr>
              <w:t xml:space="preserve">0.00 </w:t>
            </w:r>
          </w:p>
        </w:tc>
      </w:tr>
      <w:tr w:rsidR="009A2A8B" w:rsidRPr="00675BDB" w14:paraId="3EEC5BDE" w14:textId="77777777" w:rsidTr="006522DF">
        <w:trPr>
          <w:trHeight w:val="22"/>
        </w:trPr>
        <w:tc>
          <w:tcPr>
            <w:cnfStyle w:val="001000000000" w:firstRow="0" w:lastRow="0" w:firstColumn="1" w:lastColumn="0" w:oddVBand="0" w:evenVBand="0" w:oddHBand="0" w:evenHBand="0" w:firstRowFirstColumn="0" w:firstRowLastColumn="0" w:lastRowFirstColumn="0" w:lastRowLastColumn="0"/>
            <w:tcW w:w="2827" w:type="pct"/>
            <w:hideMark/>
          </w:tcPr>
          <w:p w14:paraId="15446445"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Architect issues post inspection report. Reviewed by authorised officer</w:t>
            </w:r>
          </w:p>
        </w:tc>
        <w:tc>
          <w:tcPr>
            <w:tcW w:w="208" w:type="pct"/>
            <w:hideMark/>
          </w:tcPr>
          <w:p w14:paraId="7BC76DAD"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2CC7720C"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7A6EF4EC"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0DB6F547" w14:textId="7A7DA9C3"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123.28 </w:t>
            </w:r>
          </w:p>
        </w:tc>
      </w:tr>
      <w:tr w:rsidR="009A2A8B" w:rsidRPr="00675BDB" w14:paraId="445CBE8C" w14:textId="77777777" w:rsidTr="006522DF">
        <w:trPr>
          <w:trHeight w:val="22"/>
        </w:trPr>
        <w:tc>
          <w:tcPr>
            <w:cnfStyle w:val="001000000000" w:firstRow="0" w:lastRow="0" w:firstColumn="1" w:lastColumn="0" w:oddVBand="0" w:evenVBand="0" w:oddHBand="0" w:evenHBand="0" w:firstRowFirstColumn="0" w:firstRowLastColumn="0" w:lastRowFirstColumn="0" w:lastRowLastColumn="0"/>
            <w:tcW w:w="2827" w:type="pct"/>
            <w:hideMark/>
          </w:tcPr>
          <w:p w14:paraId="0C8D1A89"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Further correspondence to applicant following report if required</w:t>
            </w:r>
          </w:p>
        </w:tc>
        <w:tc>
          <w:tcPr>
            <w:tcW w:w="208" w:type="pct"/>
            <w:hideMark/>
          </w:tcPr>
          <w:p w14:paraId="1C3FA6CE" w14:textId="77777777" w:rsidR="009A2A8B" w:rsidRPr="00D076E6" w:rsidRDefault="009A2A8B" w:rsidP="00A35203">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50EEE6AE"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0.5</w:t>
            </w:r>
          </w:p>
        </w:tc>
        <w:tc>
          <w:tcPr>
            <w:tcW w:w="850" w:type="pct"/>
            <w:hideMark/>
          </w:tcPr>
          <w:p w14:paraId="781483BD"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460EE465" w14:textId="45DCCE18"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61.64 </w:t>
            </w:r>
          </w:p>
        </w:tc>
      </w:tr>
      <w:tr w:rsidR="009A2A8B" w:rsidRPr="00675BDB" w14:paraId="1585C076" w14:textId="77777777" w:rsidTr="006522DF">
        <w:trPr>
          <w:trHeight w:val="22"/>
        </w:trPr>
        <w:tc>
          <w:tcPr>
            <w:cnfStyle w:val="001000000000" w:firstRow="0" w:lastRow="0" w:firstColumn="1" w:lastColumn="0" w:oddVBand="0" w:evenVBand="0" w:oddHBand="0" w:evenHBand="0" w:firstRowFirstColumn="0" w:firstRowLastColumn="0" w:lastRowFirstColumn="0" w:lastRowLastColumn="0"/>
            <w:tcW w:w="2827" w:type="pct"/>
            <w:hideMark/>
          </w:tcPr>
          <w:p w14:paraId="3506E21E"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Receive proof of any outstanding works and documents</w:t>
            </w:r>
          </w:p>
        </w:tc>
        <w:tc>
          <w:tcPr>
            <w:tcW w:w="208" w:type="pct"/>
            <w:hideMark/>
          </w:tcPr>
          <w:p w14:paraId="641D69E5"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5</w:t>
            </w:r>
          </w:p>
        </w:tc>
        <w:tc>
          <w:tcPr>
            <w:tcW w:w="597" w:type="pct"/>
            <w:hideMark/>
          </w:tcPr>
          <w:p w14:paraId="57745D97"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w:t>
            </w:r>
          </w:p>
        </w:tc>
        <w:tc>
          <w:tcPr>
            <w:tcW w:w="850" w:type="pct"/>
            <w:hideMark/>
          </w:tcPr>
          <w:p w14:paraId="26375D2C"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123.28</w:t>
            </w:r>
          </w:p>
        </w:tc>
        <w:tc>
          <w:tcPr>
            <w:tcW w:w="518" w:type="pct"/>
            <w:hideMark/>
          </w:tcPr>
          <w:p w14:paraId="34FE295E" w14:textId="6F5C2010"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123.28 </w:t>
            </w:r>
          </w:p>
        </w:tc>
      </w:tr>
      <w:tr w:rsidR="009A2A8B" w:rsidRPr="00675BDB" w14:paraId="0A2DBAA3"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47352304"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Approval to occupy emailed to facility</w:t>
            </w:r>
          </w:p>
        </w:tc>
        <w:tc>
          <w:tcPr>
            <w:tcW w:w="208" w:type="pct"/>
            <w:hideMark/>
          </w:tcPr>
          <w:p w14:paraId="5C8D3A7A"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310934FC"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0.25</w:t>
            </w:r>
          </w:p>
        </w:tc>
        <w:tc>
          <w:tcPr>
            <w:tcW w:w="850" w:type="pct"/>
            <w:hideMark/>
          </w:tcPr>
          <w:p w14:paraId="49427925"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162E52DE" w14:textId="07AB2813"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25.79 </w:t>
            </w:r>
          </w:p>
        </w:tc>
      </w:tr>
      <w:tr w:rsidR="009A2A8B" w:rsidRPr="00675BDB" w14:paraId="1E8CCDCC"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175DA43B"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Update TRIM and AIP tracking sheet</w:t>
            </w:r>
          </w:p>
        </w:tc>
        <w:tc>
          <w:tcPr>
            <w:tcW w:w="208" w:type="pct"/>
            <w:hideMark/>
          </w:tcPr>
          <w:p w14:paraId="7E723AEE"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VPS 4</w:t>
            </w:r>
          </w:p>
        </w:tc>
        <w:tc>
          <w:tcPr>
            <w:tcW w:w="597" w:type="pct"/>
            <w:hideMark/>
          </w:tcPr>
          <w:p w14:paraId="7F4BB1F2"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0.17</w:t>
            </w:r>
          </w:p>
        </w:tc>
        <w:tc>
          <w:tcPr>
            <w:tcW w:w="850" w:type="pct"/>
            <w:hideMark/>
          </w:tcPr>
          <w:p w14:paraId="15F689ED"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103.15</w:t>
            </w:r>
          </w:p>
        </w:tc>
        <w:tc>
          <w:tcPr>
            <w:tcW w:w="518" w:type="pct"/>
            <w:hideMark/>
          </w:tcPr>
          <w:p w14:paraId="2E160A10" w14:textId="7859C012"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cstheme="minorHAnsi"/>
                <w:color w:val="auto"/>
                <w:sz w:val="18"/>
                <w:szCs w:val="18"/>
              </w:rPr>
              <w:t xml:space="preserve"> 17.54 </w:t>
            </w:r>
          </w:p>
        </w:tc>
      </w:tr>
      <w:tr w:rsidR="009A2A8B" w:rsidRPr="00675BDB" w14:paraId="0634D8A0" w14:textId="77777777" w:rsidTr="00A252C0">
        <w:trPr>
          <w:trHeight w:val="580"/>
        </w:trPr>
        <w:tc>
          <w:tcPr>
            <w:cnfStyle w:val="001000000000" w:firstRow="0" w:lastRow="0" w:firstColumn="1" w:lastColumn="0" w:oddVBand="0" w:evenVBand="0" w:oddHBand="0" w:evenHBand="0" w:firstRowFirstColumn="0" w:firstRowLastColumn="0" w:lastRowFirstColumn="0" w:lastRowLastColumn="0"/>
            <w:tcW w:w="2827" w:type="pct"/>
            <w:hideMark/>
          </w:tcPr>
          <w:p w14:paraId="1ABFD79D" w14:textId="77777777" w:rsidR="009A2A8B" w:rsidRPr="00D076E6" w:rsidRDefault="009A2A8B" w:rsidP="009A2A8B">
            <w:pPr>
              <w:spacing w:before="0" w:line="240" w:lineRule="auto"/>
              <w:rPr>
                <w:rFonts w:eastAsia="Times New Roman" w:cstheme="minorHAnsi"/>
                <w:b w:val="0"/>
                <w:color w:val="auto"/>
                <w:sz w:val="18"/>
                <w:szCs w:val="18"/>
                <w:lang w:val="en-AU" w:eastAsia="en-AU"/>
              </w:rPr>
            </w:pPr>
            <w:r w:rsidRPr="00D076E6">
              <w:rPr>
                <w:rFonts w:eastAsia="Times New Roman" w:cstheme="minorHAnsi"/>
                <w:b w:val="0"/>
                <w:color w:val="auto"/>
                <w:sz w:val="18"/>
                <w:szCs w:val="18"/>
                <w:lang w:val="en-AU" w:eastAsia="en-AU"/>
              </w:rPr>
              <w:t>Variation of registration or registration may be required. See later sections.</w:t>
            </w:r>
          </w:p>
        </w:tc>
        <w:tc>
          <w:tcPr>
            <w:tcW w:w="208" w:type="pct"/>
            <w:hideMark/>
          </w:tcPr>
          <w:p w14:paraId="4CBF66F8" w14:textId="77777777" w:rsidR="009A2A8B" w:rsidRPr="00D076E6" w:rsidRDefault="009A2A8B" w:rsidP="009A2A8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 </w:t>
            </w:r>
          </w:p>
        </w:tc>
        <w:tc>
          <w:tcPr>
            <w:tcW w:w="597" w:type="pct"/>
            <w:hideMark/>
          </w:tcPr>
          <w:p w14:paraId="65DE1620" w14:textId="77777777" w:rsidR="009A2A8B" w:rsidRPr="00D076E6" w:rsidRDefault="009A2A8B" w:rsidP="009A2A8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As per variation</w:t>
            </w:r>
          </w:p>
        </w:tc>
        <w:tc>
          <w:tcPr>
            <w:tcW w:w="850" w:type="pct"/>
            <w:hideMark/>
          </w:tcPr>
          <w:p w14:paraId="1403C842" w14:textId="77777777"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 </w:t>
            </w:r>
          </w:p>
        </w:tc>
        <w:tc>
          <w:tcPr>
            <w:tcW w:w="518" w:type="pct"/>
            <w:hideMark/>
          </w:tcPr>
          <w:p w14:paraId="70263E67" w14:textId="262A7105" w:rsidR="009A2A8B" w:rsidRPr="00D076E6" w:rsidRDefault="009A2A8B" w:rsidP="009A2A8B">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p>
        </w:tc>
      </w:tr>
      <w:tr w:rsidR="009A2A8B" w:rsidRPr="00675BDB" w14:paraId="7C1322E3"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827" w:type="pct"/>
            <w:hideMark/>
          </w:tcPr>
          <w:p w14:paraId="3467387C" w14:textId="011C1CCC" w:rsidR="009A2A8B" w:rsidRPr="00D076E6" w:rsidRDefault="009A2A8B" w:rsidP="009A2A8B">
            <w:pPr>
              <w:spacing w:before="0" w:line="240" w:lineRule="auto"/>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Total</w:t>
            </w:r>
          </w:p>
        </w:tc>
        <w:tc>
          <w:tcPr>
            <w:tcW w:w="208" w:type="pct"/>
            <w:hideMark/>
          </w:tcPr>
          <w:p w14:paraId="76EEB606" w14:textId="77777777" w:rsidR="009A2A8B" w:rsidRPr="00D076E6" w:rsidRDefault="009A2A8B" w:rsidP="009A2A8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 </w:t>
            </w:r>
          </w:p>
        </w:tc>
        <w:tc>
          <w:tcPr>
            <w:tcW w:w="597" w:type="pct"/>
            <w:hideMark/>
          </w:tcPr>
          <w:p w14:paraId="3ECA013C" w14:textId="77777777" w:rsidR="009A2A8B" w:rsidRPr="00D076E6" w:rsidRDefault="009A2A8B" w:rsidP="009A2A8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 </w:t>
            </w:r>
          </w:p>
        </w:tc>
        <w:tc>
          <w:tcPr>
            <w:tcW w:w="850" w:type="pct"/>
            <w:hideMark/>
          </w:tcPr>
          <w:p w14:paraId="669E3AC7" w14:textId="77777777" w:rsidR="009A2A8B" w:rsidRPr="00D076E6" w:rsidRDefault="009A2A8B" w:rsidP="009A2A8B">
            <w:pPr>
              <w:spacing w:before="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r w:rsidRPr="00D076E6">
              <w:rPr>
                <w:rFonts w:eastAsia="Times New Roman" w:cstheme="minorHAnsi"/>
                <w:color w:val="auto"/>
                <w:sz w:val="18"/>
                <w:szCs w:val="18"/>
                <w:lang w:val="en-AU" w:eastAsia="en-AU"/>
              </w:rPr>
              <w:t> </w:t>
            </w:r>
          </w:p>
        </w:tc>
        <w:tc>
          <w:tcPr>
            <w:tcW w:w="518" w:type="pct"/>
            <w:hideMark/>
          </w:tcPr>
          <w:p w14:paraId="5F41D848" w14:textId="0504204A" w:rsidR="009A2A8B" w:rsidRPr="00D076E6" w:rsidRDefault="00771B24" w:rsidP="001E347D">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8"/>
                <w:szCs w:val="18"/>
                <w:lang w:val="en-AU" w:eastAsia="en-AU"/>
              </w:rPr>
            </w:pPr>
            <w:r w:rsidRPr="00D076E6">
              <w:rPr>
                <w:rFonts w:cstheme="minorHAnsi"/>
                <w:b/>
                <w:bCs/>
                <w:color w:val="auto"/>
                <w:sz w:val="18"/>
                <w:szCs w:val="18"/>
              </w:rPr>
              <w:t>5,</w:t>
            </w:r>
            <w:r w:rsidR="00890B1A" w:rsidRPr="00D076E6">
              <w:rPr>
                <w:rFonts w:cstheme="minorHAnsi"/>
                <w:b/>
                <w:bCs/>
                <w:color w:val="auto"/>
                <w:sz w:val="18"/>
                <w:szCs w:val="18"/>
              </w:rPr>
              <w:t>438.69</w:t>
            </w:r>
          </w:p>
        </w:tc>
      </w:tr>
    </w:tbl>
    <w:p w14:paraId="5D9B25B1" w14:textId="7295FED6" w:rsidR="00DC24D5" w:rsidRDefault="00DC24D5">
      <w:pPr>
        <w:spacing w:before="0" w:line="259" w:lineRule="auto"/>
        <w:rPr>
          <w:b/>
          <w:bCs/>
          <w:i/>
          <w:iCs/>
        </w:rPr>
      </w:pPr>
    </w:p>
    <w:p w14:paraId="379D10A4" w14:textId="4412F94C" w:rsidR="007324C3" w:rsidRPr="001E347D" w:rsidRDefault="00595A5D" w:rsidP="0052151C">
      <w:pPr>
        <w:rPr>
          <w:rStyle w:val="Strong"/>
        </w:rPr>
      </w:pPr>
      <w:r w:rsidRPr="001E347D">
        <w:rPr>
          <w:rStyle w:val="Strong"/>
        </w:rPr>
        <w:t>Variation of transfer of AIP</w:t>
      </w:r>
    </w:p>
    <w:tbl>
      <w:tblPr>
        <w:tblStyle w:val="SapereTable"/>
        <w:tblW w:w="5000" w:type="pct"/>
        <w:tblLayout w:type="fixed"/>
        <w:tblLook w:val="04A0" w:firstRow="1" w:lastRow="0" w:firstColumn="1" w:lastColumn="0" w:noHBand="0" w:noVBand="1"/>
      </w:tblPr>
      <w:tblGrid>
        <w:gridCol w:w="4822"/>
        <w:gridCol w:w="1135"/>
        <w:gridCol w:w="1135"/>
        <w:gridCol w:w="1132"/>
        <w:gridCol w:w="802"/>
      </w:tblGrid>
      <w:tr w:rsidR="000E779B" w:rsidRPr="007C3DD4" w14:paraId="74A81B86" w14:textId="77777777" w:rsidTr="006522DF">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71" w:type="pct"/>
            <w:hideMark/>
          </w:tcPr>
          <w:p w14:paraId="6B841846" w14:textId="10938CD6" w:rsidR="00595A5D" w:rsidRPr="001E347D" w:rsidRDefault="00595A5D" w:rsidP="00595A5D">
            <w:pPr>
              <w:spacing w:before="0" w:line="240" w:lineRule="auto"/>
              <w:rPr>
                <w:rFonts w:eastAsia="Times New Roman" w:cstheme="minorHAnsi"/>
                <w:sz w:val="18"/>
                <w:szCs w:val="18"/>
                <w:lang w:val="en-AU" w:eastAsia="en-AU"/>
              </w:rPr>
            </w:pPr>
            <w:r w:rsidRPr="0017709C">
              <w:rPr>
                <w:rFonts w:eastAsia="Times New Roman" w:cstheme="minorHAnsi"/>
                <w:sz w:val="18"/>
                <w:szCs w:val="18"/>
                <w:lang w:val="en-AU" w:eastAsia="en-AU"/>
              </w:rPr>
              <w:t>Task</w:t>
            </w:r>
          </w:p>
        </w:tc>
        <w:tc>
          <w:tcPr>
            <w:tcW w:w="629" w:type="pct"/>
            <w:hideMark/>
          </w:tcPr>
          <w:p w14:paraId="45A427B2" w14:textId="77777777" w:rsidR="00595A5D" w:rsidRPr="001E347D" w:rsidRDefault="00595A5D"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tariff</w:t>
            </w:r>
          </w:p>
        </w:tc>
        <w:tc>
          <w:tcPr>
            <w:tcW w:w="629" w:type="pct"/>
            <w:hideMark/>
          </w:tcPr>
          <w:p w14:paraId="4593B1A7" w14:textId="77777777" w:rsidR="00595A5D" w:rsidRPr="001E347D" w:rsidRDefault="00595A5D"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Time (hrs)</w:t>
            </w:r>
          </w:p>
        </w:tc>
        <w:tc>
          <w:tcPr>
            <w:tcW w:w="627" w:type="pct"/>
            <w:hideMark/>
          </w:tcPr>
          <w:p w14:paraId="4E133347" w14:textId="77777777" w:rsidR="00595A5D" w:rsidRPr="001E347D" w:rsidRDefault="00595A5D"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cost per hr</w:t>
            </w:r>
          </w:p>
        </w:tc>
        <w:tc>
          <w:tcPr>
            <w:tcW w:w="445" w:type="pct"/>
            <w:hideMark/>
          </w:tcPr>
          <w:p w14:paraId="51A2FBF1" w14:textId="403DACFA" w:rsidR="00595A5D" w:rsidRPr="001E347D" w:rsidRDefault="00595A5D"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Cost</w:t>
            </w:r>
            <w:r w:rsidR="00AB6775">
              <w:rPr>
                <w:rFonts w:eastAsia="Times New Roman" w:cstheme="minorHAnsi"/>
                <w:sz w:val="18"/>
                <w:szCs w:val="18"/>
                <w:lang w:val="en-AU" w:eastAsia="en-AU"/>
              </w:rPr>
              <w:t xml:space="preserve"> $</w:t>
            </w:r>
          </w:p>
        </w:tc>
      </w:tr>
      <w:tr w:rsidR="000E779B" w:rsidRPr="007C3DD4" w14:paraId="24905930"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7034CEC0" w14:textId="77777777" w:rsidR="006E6003" w:rsidRPr="001E347D" w:rsidRDefault="006E6003" w:rsidP="006E6003">
            <w:pPr>
              <w:spacing w:before="0" w:line="240" w:lineRule="auto"/>
              <w:rPr>
                <w:rFonts w:eastAsia="Times New Roman" w:cstheme="minorHAnsi"/>
                <w:b w:val="0"/>
                <w:color w:val="000000"/>
                <w:sz w:val="18"/>
                <w:szCs w:val="18"/>
                <w:lang w:val="en-AU" w:eastAsia="en-AU"/>
              </w:rPr>
            </w:pPr>
            <w:r w:rsidRPr="007E0884">
              <w:rPr>
                <w:rFonts w:eastAsia="Times New Roman" w:cstheme="minorHAnsi"/>
                <w:color w:val="000000"/>
                <w:sz w:val="18"/>
                <w:szCs w:val="18"/>
                <w:lang w:val="en-AU" w:eastAsia="en-AU"/>
              </w:rPr>
              <w:t>Telephone/email enquiries</w:t>
            </w:r>
          </w:p>
        </w:tc>
        <w:tc>
          <w:tcPr>
            <w:tcW w:w="629" w:type="pct"/>
            <w:hideMark/>
          </w:tcPr>
          <w:p w14:paraId="34EC8B52"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4</w:t>
            </w:r>
          </w:p>
        </w:tc>
        <w:tc>
          <w:tcPr>
            <w:tcW w:w="629" w:type="pct"/>
            <w:hideMark/>
          </w:tcPr>
          <w:p w14:paraId="71A98E18"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0.17</w:t>
            </w:r>
          </w:p>
        </w:tc>
        <w:tc>
          <w:tcPr>
            <w:tcW w:w="627" w:type="pct"/>
            <w:hideMark/>
          </w:tcPr>
          <w:p w14:paraId="10BD2F99"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103.15</w:t>
            </w:r>
          </w:p>
        </w:tc>
        <w:tc>
          <w:tcPr>
            <w:tcW w:w="445" w:type="pct"/>
            <w:hideMark/>
          </w:tcPr>
          <w:p w14:paraId="44D7C43E" w14:textId="54C9A366"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17.54</w:t>
            </w:r>
          </w:p>
        </w:tc>
      </w:tr>
      <w:tr w:rsidR="000E779B" w:rsidRPr="007C3DD4" w14:paraId="53EC7B07"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50BA5809"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Receive application and review for completeness</w:t>
            </w:r>
          </w:p>
        </w:tc>
        <w:tc>
          <w:tcPr>
            <w:tcW w:w="629" w:type="pct"/>
            <w:hideMark/>
          </w:tcPr>
          <w:p w14:paraId="17D023B2"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4</w:t>
            </w:r>
          </w:p>
        </w:tc>
        <w:tc>
          <w:tcPr>
            <w:tcW w:w="629" w:type="pct"/>
            <w:hideMark/>
          </w:tcPr>
          <w:p w14:paraId="26F60FA6"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0.25</w:t>
            </w:r>
          </w:p>
        </w:tc>
        <w:tc>
          <w:tcPr>
            <w:tcW w:w="627" w:type="pct"/>
            <w:hideMark/>
          </w:tcPr>
          <w:p w14:paraId="48C31EAF"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103.15</w:t>
            </w:r>
          </w:p>
        </w:tc>
        <w:tc>
          <w:tcPr>
            <w:tcW w:w="445" w:type="pct"/>
            <w:hideMark/>
          </w:tcPr>
          <w:p w14:paraId="007CEF14" w14:textId="2D3E21D3"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25.79</w:t>
            </w:r>
          </w:p>
        </w:tc>
      </w:tr>
      <w:tr w:rsidR="000E779B" w:rsidRPr="007C3DD4" w14:paraId="23D5D92C"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32388E31"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File application and update AIP spreadsheet</w:t>
            </w:r>
          </w:p>
        </w:tc>
        <w:tc>
          <w:tcPr>
            <w:tcW w:w="629" w:type="pct"/>
            <w:hideMark/>
          </w:tcPr>
          <w:p w14:paraId="3EB3BA27"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4</w:t>
            </w:r>
          </w:p>
        </w:tc>
        <w:tc>
          <w:tcPr>
            <w:tcW w:w="629" w:type="pct"/>
            <w:hideMark/>
          </w:tcPr>
          <w:p w14:paraId="0FF94788"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0.25</w:t>
            </w:r>
          </w:p>
        </w:tc>
        <w:tc>
          <w:tcPr>
            <w:tcW w:w="627" w:type="pct"/>
            <w:hideMark/>
          </w:tcPr>
          <w:p w14:paraId="6939EC51"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103.15</w:t>
            </w:r>
          </w:p>
        </w:tc>
        <w:tc>
          <w:tcPr>
            <w:tcW w:w="445" w:type="pct"/>
            <w:hideMark/>
          </w:tcPr>
          <w:p w14:paraId="6E2BDD4E" w14:textId="12FAC576"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25.79</w:t>
            </w:r>
          </w:p>
        </w:tc>
      </w:tr>
      <w:tr w:rsidR="000E779B" w:rsidRPr="007C3DD4" w14:paraId="388C86E7"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5DF92CBF"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Follow up with applicant if documents outstanding</w:t>
            </w:r>
          </w:p>
        </w:tc>
        <w:tc>
          <w:tcPr>
            <w:tcW w:w="629" w:type="pct"/>
            <w:hideMark/>
          </w:tcPr>
          <w:p w14:paraId="3B368B55"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4</w:t>
            </w:r>
          </w:p>
        </w:tc>
        <w:tc>
          <w:tcPr>
            <w:tcW w:w="629" w:type="pct"/>
            <w:hideMark/>
          </w:tcPr>
          <w:p w14:paraId="368BFD98"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0.25</w:t>
            </w:r>
          </w:p>
        </w:tc>
        <w:tc>
          <w:tcPr>
            <w:tcW w:w="627" w:type="pct"/>
            <w:hideMark/>
          </w:tcPr>
          <w:p w14:paraId="338C6F29"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103.15</w:t>
            </w:r>
          </w:p>
        </w:tc>
        <w:tc>
          <w:tcPr>
            <w:tcW w:w="445" w:type="pct"/>
            <w:hideMark/>
          </w:tcPr>
          <w:p w14:paraId="2D91418D" w14:textId="010D3A3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25.79</w:t>
            </w:r>
          </w:p>
        </w:tc>
      </w:tr>
      <w:tr w:rsidR="000E779B" w:rsidRPr="007C3DD4" w14:paraId="524BFADF"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02202D1B"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Raise invoice</w:t>
            </w:r>
          </w:p>
        </w:tc>
        <w:tc>
          <w:tcPr>
            <w:tcW w:w="629" w:type="pct"/>
            <w:hideMark/>
          </w:tcPr>
          <w:p w14:paraId="276F087A"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4</w:t>
            </w:r>
          </w:p>
        </w:tc>
        <w:tc>
          <w:tcPr>
            <w:tcW w:w="629" w:type="pct"/>
            <w:hideMark/>
          </w:tcPr>
          <w:p w14:paraId="69A4F57B"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0.17</w:t>
            </w:r>
          </w:p>
        </w:tc>
        <w:tc>
          <w:tcPr>
            <w:tcW w:w="627" w:type="pct"/>
            <w:hideMark/>
          </w:tcPr>
          <w:p w14:paraId="786A5343"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103.15</w:t>
            </w:r>
          </w:p>
        </w:tc>
        <w:tc>
          <w:tcPr>
            <w:tcW w:w="445" w:type="pct"/>
            <w:hideMark/>
          </w:tcPr>
          <w:p w14:paraId="22091A8B" w14:textId="6D24351C"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17.54</w:t>
            </w:r>
          </w:p>
        </w:tc>
      </w:tr>
      <w:tr w:rsidR="000E779B" w:rsidRPr="007C3DD4" w14:paraId="7FAEC369" w14:textId="77777777" w:rsidTr="00A252C0">
        <w:trPr>
          <w:trHeight w:val="580"/>
        </w:trPr>
        <w:tc>
          <w:tcPr>
            <w:cnfStyle w:val="001000000000" w:firstRow="0" w:lastRow="0" w:firstColumn="1" w:lastColumn="0" w:oddVBand="0" w:evenVBand="0" w:oddHBand="0" w:evenHBand="0" w:firstRowFirstColumn="0" w:firstRowLastColumn="0" w:lastRowFirstColumn="0" w:lastRowLastColumn="0"/>
            <w:tcW w:w="2671" w:type="pct"/>
            <w:hideMark/>
          </w:tcPr>
          <w:p w14:paraId="47E41594"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Further design review by architect if required (contract)</w:t>
            </w:r>
          </w:p>
        </w:tc>
        <w:tc>
          <w:tcPr>
            <w:tcW w:w="629" w:type="pct"/>
            <w:hideMark/>
          </w:tcPr>
          <w:p w14:paraId="141C9D12" w14:textId="3D102E91" w:rsidR="006E6003" w:rsidRPr="001E347D" w:rsidRDefault="00DD6371"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1E347D">
              <w:rPr>
                <w:rFonts w:eastAsia="Times New Roman" w:cstheme="minorHAnsi"/>
                <w:color w:val="000000"/>
                <w:sz w:val="18"/>
                <w:szCs w:val="18"/>
                <w:lang w:val="en-AU" w:eastAsia="en-AU"/>
              </w:rPr>
              <w:t>Contract</w:t>
            </w:r>
          </w:p>
        </w:tc>
        <w:tc>
          <w:tcPr>
            <w:tcW w:w="629" w:type="pct"/>
            <w:hideMark/>
          </w:tcPr>
          <w:p w14:paraId="28C267E6"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w:t>
            </w:r>
          </w:p>
        </w:tc>
        <w:tc>
          <w:tcPr>
            <w:tcW w:w="627" w:type="pct"/>
            <w:hideMark/>
          </w:tcPr>
          <w:p w14:paraId="4518AA69" w14:textId="7F5E49B4" w:rsidR="006E6003" w:rsidRPr="00595A5D" w:rsidRDefault="00DD6371"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eastAsia="Times New Roman" w:cstheme="minorHAnsi"/>
                <w:color w:val="000000"/>
                <w:sz w:val="18"/>
                <w:szCs w:val="18"/>
                <w:lang w:val="en-AU" w:eastAsia="en-AU"/>
              </w:rPr>
              <w:t>300</w:t>
            </w:r>
            <w:r w:rsidR="00303C0A">
              <w:rPr>
                <w:rFonts w:eastAsia="Times New Roman" w:cstheme="minorHAnsi"/>
                <w:color w:val="000000"/>
                <w:sz w:val="18"/>
                <w:szCs w:val="18"/>
                <w:lang w:val="en-AU" w:eastAsia="en-AU"/>
              </w:rPr>
              <w:t>.00</w:t>
            </w:r>
          </w:p>
        </w:tc>
        <w:tc>
          <w:tcPr>
            <w:tcW w:w="445" w:type="pct"/>
            <w:hideMark/>
          </w:tcPr>
          <w:p w14:paraId="5E4E5F66" w14:textId="5ED8DE69" w:rsidR="006E6003" w:rsidRPr="00595A5D" w:rsidRDefault="00DD6371"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Pr>
                <w:rFonts w:cstheme="minorHAnsi"/>
                <w:sz w:val="18"/>
                <w:szCs w:val="18"/>
              </w:rPr>
              <w:t>300.00</w:t>
            </w:r>
          </w:p>
        </w:tc>
      </w:tr>
      <w:tr w:rsidR="000E779B" w:rsidRPr="007C3DD4" w14:paraId="1626C2B6"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6E8BA0E8"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Full review of application</w:t>
            </w:r>
          </w:p>
        </w:tc>
        <w:tc>
          <w:tcPr>
            <w:tcW w:w="629" w:type="pct"/>
            <w:hideMark/>
          </w:tcPr>
          <w:p w14:paraId="7DA8D798"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5</w:t>
            </w:r>
          </w:p>
        </w:tc>
        <w:tc>
          <w:tcPr>
            <w:tcW w:w="629" w:type="pct"/>
            <w:hideMark/>
          </w:tcPr>
          <w:p w14:paraId="5163D109"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0.5</w:t>
            </w:r>
          </w:p>
        </w:tc>
        <w:tc>
          <w:tcPr>
            <w:tcW w:w="627" w:type="pct"/>
            <w:hideMark/>
          </w:tcPr>
          <w:p w14:paraId="7D5738FB"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123.28</w:t>
            </w:r>
          </w:p>
        </w:tc>
        <w:tc>
          <w:tcPr>
            <w:tcW w:w="445" w:type="pct"/>
            <w:hideMark/>
          </w:tcPr>
          <w:p w14:paraId="1631F8E9" w14:textId="6B2BC456"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61.64</w:t>
            </w:r>
          </w:p>
        </w:tc>
      </w:tr>
      <w:tr w:rsidR="000E779B" w:rsidRPr="007C3DD4" w14:paraId="614D1B38"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68087F34"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Preparation of memo, cert and letter of approval</w:t>
            </w:r>
          </w:p>
        </w:tc>
        <w:tc>
          <w:tcPr>
            <w:tcW w:w="629" w:type="pct"/>
            <w:hideMark/>
          </w:tcPr>
          <w:p w14:paraId="2904EBD9"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4</w:t>
            </w:r>
          </w:p>
        </w:tc>
        <w:tc>
          <w:tcPr>
            <w:tcW w:w="629" w:type="pct"/>
            <w:hideMark/>
          </w:tcPr>
          <w:p w14:paraId="3CD8A445"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0.5</w:t>
            </w:r>
          </w:p>
        </w:tc>
        <w:tc>
          <w:tcPr>
            <w:tcW w:w="627" w:type="pct"/>
            <w:hideMark/>
          </w:tcPr>
          <w:p w14:paraId="5E22CCFF"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103.15</w:t>
            </w:r>
          </w:p>
        </w:tc>
        <w:tc>
          <w:tcPr>
            <w:tcW w:w="445" w:type="pct"/>
            <w:hideMark/>
          </w:tcPr>
          <w:p w14:paraId="781F3BFC" w14:textId="79C17F55"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51.58</w:t>
            </w:r>
          </w:p>
        </w:tc>
      </w:tr>
      <w:tr w:rsidR="000E779B" w:rsidRPr="007C3DD4" w14:paraId="144B8F68"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661A2A1A" w14:textId="689FC710" w:rsidR="006E6003" w:rsidRPr="00595A5D" w:rsidRDefault="008331D8" w:rsidP="006E6003">
            <w:pPr>
              <w:spacing w:before="0" w:line="240" w:lineRule="auto"/>
              <w:rPr>
                <w:rFonts w:eastAsia="Times New Roman" w:cstheme="minorHAnsi"/>
                <w:b w:val="0"/>
                <w:color w:val="000000"/>
                <w:sz w:val="18"/>
                <w:szCs w:val="18"/>
                <w:lang w:val="en-AU" w:eastAsia="en-AU"/>
              </w:rPr>
            </w:pPr>
            <w:r w:rsidRPr="007324C3">
              <w:rPr>
                <w:rFonts w:eastAsia="Times New Roman" w:cstheme="minorHAnsi"/>
                <w:b w:val="0"/>
                <w:color w:val="auto"/>
                <w:sz w:val="18"/>
                <w:szCs w:val="18"/>
                <w:lang w:val="en-AU" w:eastAsia="en-AU"/>
              </w:rPr>
              <w:t>M</w:t>
            </w:r>
            <w:r>
              <w:rPr>
                <w:rFonts w:eastAsia="Times New Roman" w:cstheme="minorHAnsi"/>
                <w:b w:val="0"/>
                <w:color w:val="auto"/>
                <w:sz w:val="18"/>
                <w:szCs w:val="18"/>
                <w:lang w:val="en-AU" w:eastAsia="en-AU"/>
              </w:rPr>
              <w:t>emo, Certificate and Letter</w:t>
            </w:r>
            <w:r w:rsidRPr="007324C3">
              <w:rPr>
                <w:rFonts w:eastAsia="Times New Roman" w:cstheme="minorHAnsi"/>
                <w:b w:val="0"/>
                <w:color w:val="auto"/>
                <w:sz w:val="18"/>
                <w:szCs w:val="18"/>
                <w:lang w:val="en-AU" w:eastAsia="en-AU"/>
              </w:rPr>
              <w:t xml:space="preserve"> reviewed by manager</w:t>
            </w:r>
          </w:p>
        </w:tc>
        <w:tc>
          <w:tcPr>
            <w:tcW w:w="629" w:type="pct"/>
            <w:hideMark/>
          </w:tcPr>
          <w:p w14:paraId="14CE23D4"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6</w:t>
            </w:r>
          </w:p>
        </w:tc>
        <w:tc>
          <w:tcPr>
            <w:tcW w:w="629" w:type="pct"/>
            <w:hideMark/>
          </w:tcPr>
          <w:p w14:paraId="43414393"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0.5</w:t>
            </w:r>
          </w:p>
        </w:tc>
        <w:tc>
          <w:tcPr>
            <w:tcW w:w="627" w:type="pct"/>
            <w:hideMark/>
          </w:tcPr>
          <w:p w14:paraId="39CA23C9"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159.86</w:t>
            </w:r>
          </w:p>
        </w:tc>
        <w:tc>
          <w:tcPr>
            <w:tcW w:w="445" w:type="pct"/>
            <w:hideMark/>
          </w:tcPr>
          <w:p w14:paraId="1ACBB781" w14:textId="77671722"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79.93</w:t>
            </w:r>
          </w:p>
        </w:tc>
      </w:tr>
      <w:tr w:rsidR="000E779B" w:rsidRPr="007C3DD4" w14:paraId="7A2964AE"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31C93D75"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Decision by delegate (director)</w:t>
            </w:r>
          </w:p>
        </w:tc>
        <w:tc>
          <w:tcPr>
            <w:tcW w:w="629" w:type="pct"/>
            <w:hideMark/>
          </w:tcPr>
          <w:p w14:paraId="10477F95"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EO 3</w:t>
            </w:r>
          </w:p>
        </w:tc>
        <w:tc>
          <w:tcPr>
            <w:tcW w:w="629" w:type="pct"/>
            <w:hideMark/>
          </w:tcPr>
          <w:p w14:paraId="21F634F2"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0.5</w:t>
            </w:r>
          </w:p>
        </w:tc>
        <w:tc>
          <w:tcPr>
            <w:tcW w:w="627" w:type="pct"/>
            <w:hideMark/>
          </w:tcPr>
          <w:p w14:paraId="7D59FC21"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259.34</w:t>
            </w:r>
          </w:p>
        </w:tc>
        <w:tc>
          <w:tcPr>
            <w:tcW w:w="445" w:type="pct"/>
            <w:hideMark/>
          </w:tcPr>
          <w:p w14:paraId="002A847D" w14:textId="234B1644"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129.67</w:t>
            </w:r>
          </w:p>
        </w:tc>
      </w:tr>
      <w:tr w:rsidR="000E779B" w:rsidRPr="007C3DD4" w14:paraId="00B8AB1F"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21086D09"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Email of cert and letter of approval to applicant</w:t>
            </w:r>
          </w:p>
        </w:tc>
        <w:tc>
          <w:tcPr>
            <w:tcW w:w="629" w:type="pct"/>
            <w:hideMark/>
          </w:tcPr>
          <w:p w14:paraId="5B4BC3DD"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4</w:t>
            </w:r>
          </w:p>
        </w:tc>
        <w:tc>
          <w:tcPr>
            <w:tcW w:w="629" w:type="pct"/>
            <w:hideMark/>
          </w:tcPr>
          <w:p w14:paraId="04A5EE13"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0.25</w:t>
            </w:r>
          </w:p>
        </w:tc>
        <w:tc>
          <w:tcPr>
            <w:tcW w:w="627" w:type="pct"/>
            <w:hideMark/>
          </w:tcPr>
          <w:p w14:paraId="6CAAFAE2"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103.15</w:t>
            </w:r>
          </w:p>
        </w:tc>
        <w:tc>
          <w:tcPr>
            <w:tcW w:w="445" w:type="pct"/>
            <w:hideMark/>
          </w:tcPr>
          <w:p w14:paraId="7667A1D7" w14:textId="6A574EE3"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25.79</w:t>
            </w:r>
          </w:p>
        </w:tc>
      </w:tr>
      <w:tr w:rsidR="000E779B" w:rsidRPr="007C3DD4" w14:paraId="575ED0EC"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47897B09" w14:textId="77777777" w:rsidR="006E6003" w:rsidRPr="00595A5D" w:rsidRDefault="006E6003" w:rsidP="006E6003">
            <w:pPr>
              <w:spacing w:before="0" w:line="240" w:lineRule="auto"/>
              <w:rPr>
                <w:rFonts w:eastAsia="Times New Roman" w:cstheme="minorHAnsi"/>
                <w:b w:val="0"/>
                <w:color w:val="000000"/>
                <w:sz w:val="18"/>
                <w:szCs w:val="18"/>
                <w:lang w:val="en-AU" w:eastAsia="en-AU"/>
              </w:rPr>
            </w:pPr>
            <w:r w:rsidRPr="00595A5D">
              <w:rPr>
                <w:rFonts w:eastAsia="Times New Roman" w:cstheme="minorHAnsi"/>
                <w:b w:val="0"/>
                <w:color w:val="000000"/>
                <w:sz w:val="18"/>
                <w:szCs w:val="18"/>
                <w:lang w:val="en-AU" w:eastAsia="en-AU"/>
              </w:rPr>
              <w:t>Save documents to TRIM and update AIP tracking sheet</w:t>
            </w:r>
          </w:p>
        </w:tc>
        <w:tc>
          <w:tcPr>
            <w:tcW w:w="629" w:type="pct"/>
            <w:hideMark/>
          </w:tcPr>
          <w:p w14:paraId="0041D9A6"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VPS 4</w:t>
            </w:r>
          </w:p>
        </w:tc>
        <w:tc>
          <w:tcPr>
            <w:tcW w:w="629" w:type="pct"/>
            <w:hideMark/>
          </w:tcPr>
          <w:p w14:paraId="794757EB"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0.25</w:t>
            </w:r>
          </w:p>
        </w:tc>
        <w:tc>
          <w:tcPr>
            <w:tcW w:w="627" w:type="pct"/>
            <w:hideMark/>
          </w:tcPr>
          <w:p w14:paraId="4104CF6E" w14:textId="77777777"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95A5D">
              <w:rPr>
                <w:rFonts w:eastAsia="Times New Roman" w:cstheme="minorHAnsi"/>
                <w:color w:val="000000"/>
                <w:sz w:val="18"/>
                <w:szCs w:val="18"/>
                <w:lang w:val="en-AU" w:eastAsia="en-AU"/>
              </w:rPr>
              <w:t>103.15</w:t>
            </w:r>
          </w:p>
        </w:tc>
        <w:tc>
          <w:tcPr>
            <w:tcW w:w="445" w:type="pct"/>
            <w:hideMark/>
          </w:tcPr>
          <w:p w14:paraId="709676F7" w14:textId="1629BB05"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C3DD4">
              <w:rPr>
                <w:rFonts w:cstheme="minorHAnsi"/>
                <w:sz w:val="18"/>
                <w:szCs w:val="18"/>
              </w:rPr>
              <w:t>25.79</w:t>
            </w:r>
          </w:p>
        </w:tc>
      </w:tr>
      <w:tr w:rsidR="000E779B" w:rsidRPr="007C3DD4" w14:paraId="724CEFD1"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1" w:type="pct"/>
            <w:hideMark/>
          </w:tcPr>
          <w:p w14:paraId="6B81DCDA" w14:textId="6243E4BA" w:rsidR="006E6003" w:rsidRPr="00595A5D" w:rsidRDefault="006E6003" w:rsidP="006E6003">
            <w:pPr>
              <w:spacing w:before="0" w:line="240" w:lineRule="auto"/>
              <w:rPr>
                <w:rFonts w:eastAsia="Times New Roman" w:cstheme="minorHAnsi"/>
                <w:bCs/>
                <w:color w:val="000000"/>
                <w:sz w:val="18"/>
                <w:szCs w:val="18"/>
                <w:lang w:val="en-AU" w:eastAsia="en-AU"/>
              </w:rPr>
            </w:pPr>
            <w:r w:rsidRPr="00595A5D">
              <w:rPr>
                <w:rFonts w:eastAsia="Times New Roman" w:cstheme="minorHAnsi"/>
                <w:bCs/>
                <w:color w:val="000000"/>
                <w:sz w:val="18"/>
                <w:szCs w:val="18"/>
                <w:lang w:val="en-AU" w:eastAsia="en-AU"/>
              </w:rPr>
              <w:t>T</w:t>
            </w:r>
            <w:r w:rsidRPr="007C3DD4">
              <w:rPr>
                <w:rFonts w:eastAsia="Times New Roman" w:cstheme="minorHAnsi"/>
                <w:bCs/>
                <w:color w:val="000000"/>
                <w:sz w:val="18"/>
                <w:szCs w:val="18"/>
                <w:lang w:val="en-AU" w:eastAsia="en-AU"/>
              </w:rPr>
              <w:t>otal</w:t>
            </w:r>
          </w:p>
        </w:tc>
        <w:tc>
          <w:tcPr>
            <w:tcW w:w="629" w:type="pct"/>
            <w:hideMark/>
          </w:tcPr>
          <w:p w14:paraId="70027F58" w14:textId="25451F49"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629" w:type="pct"/>
            <w:hideMark/>
          </w:tcPr>
          <w:p w14:paraId="2ADC3F64" w14:textId="67CDF860"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627" w:type="pct"/>
            <w:hideMark/>
          </w:tcPr>
          <w:p w14:paraId="5E78B2DF" w14:textId="63BE784E" w:rsidR="006E6003" w:rsidRPr="00595A5D" w:rsidRDefault="006E6003"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p>
        </w:tc>
        <w:tc>
          <w:tcPr>
            <w:tcW w:w="445" w:type="pct"/>
            <w:hideMark/>
          </w:tcPr>
          <w:p w14:paraId="57730328" w14:textId="54A49823" w:rsidR="006E6003" w:rsidRPr="00595A5D" w:rsidRDefault="00485A27" w:rsidP="007724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r>
              <w:rPr>
                <w:rFonts w:cstheme="minorHAnsi"/>
                <w:b/>
                <w:bCs/>
                <w:sz w:val="18"/>
                <w:szCs w:val="18"/>
              </w:rPr>
              <w:t>786.82</w:t>
            </w:r>
          </w:p>
        </w:tc>
      </w:tr>
    </w:tbl>
    <w:p w14:paraId="38B84662" w14:textId="77777777" w:rsidR="00376656" w:rsidRDefault="00376656" w:rsidP="0052151C">
      <w:pPr>
        <w:rPr>
          <w:rStyle w:val="Strong"/>
        </w:rPr>
      </w:pPr>
    </w:p>
    <w:p w14:paraId="5924D7F9" w14:textId="77777777" w:rsidR="00376656" w:rsidRDefault="00376656">
      <w:pPr>
        <w:spacing w:before="0" w:line="259" w:lineRule="auto"/>
        <w:rPr>
          <w:rStyle w:val="Strong"/>
        </w:rPr>
      </w:pPr>
      <w:r>
        <w:rPr>
          <w:rStyle w:val="Strong"/>
        </w:rPr>
        <w:br w:type="page"/>
      </w:r>
    </w:p>
    <w:p w14:paraId="1CED2D37" w14:textId="1070F99E" w:rsidR="00595A5D" w:rsidRPr="001E347D" w:rsidRDefault="009A2A8B" w:rsidP="0052151C">
      <w:pPr>
        <w:rPr>
          <w:rStyle w:val="Strong"/>
        </w:rPr>
      </w:pPr>
      <w:r w:rsidRPr="001E347D">
        <w:rPr>
          <w:rStyle w:val="Strong"/>
        </w:rPr>
        <w:lastRenderedPageBreak/>
        <w:t>Initial registration</w:t>
      </w:r>
    </w:p>
    <w:tbl>
      <w:tblPr>
        <w:tblStyle w:val="SapereTable"/>
        <w:tblW w:w="5000" w:type="pct"/>
        <w:tblLook w:val="04A0" w:firstRow="1" w:lastRow="0" w:firstColumn="1" w:lastColumn="0" w:noHBand="0" w:noVBand="1"/>
      </w:tblPr>
      <w:tblGrid>
        <w:gridCol w:w="4787"/>
        <w:gridCol w:w="1102"/>
        <w:gridCol w:w="1101"/>
        <w:gridCol w:w="1101"/>
        <w:gridCol w:w="935"/>
      </w:tblGrid>
      <w:tr w:rsidR="00C0048D" w:rsidRPr="00C0048D" w14:paraId="17F59F01" w14:textId="77777777" w:rsidTr="006522DF">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670" w:type="pct"/>
            <w:hideMark/>
          </w:tcPr>
          <w:p w14:paraId="4DFD660F" w14:textId="2D49F861" w:rsidR="00C0048D" w:rsidRPr="001E347D" w:rsidRDefault="00C0048D" w:rsidP="00C0048D">
            <w:pPr>
              <w:spacing w:before="0" w:line="240" w:lineRule="auto"/>
              <w:rPr>
                <w:rFonts w:eastAsia="Times New Roman" w:cstheme="minorHAnsi"/>
                <w:sz w:val="18"/>
                <w:szCs w:val="18"/>
                <w:lang w:val="en-AU" w:eastAsia="en-AU"/>
              </w:rPr>
            </w:pPr>
            <w:r w:rsidRPr="0017709C">
              <w:rPr>
                <w:rFonts w:eastAsia="Times New Roman" w:cstheme="minorHAnsi"/>
                <w:sz w:val="18"/>
                <w:szCs w:val="18"/>
                <w:lang w:val="en-AU" w:eastAsia="en-AU"/>
              </w:rPr>
              <w:t>Task</w:t>
            </w:r>
          </w:p>
        </w:tc>
        <w:tc>
          <w:tcPr>
            <w:tcW w:w="629" w:type="pct"/>
            <w:hideMark/>
          </w:tcPr>
          <w:p w14:paraId="0D413B5F" w14:textId="77777777" w:rsidR="00C0048D" w:rsidRPr="001E347D" w:rsidRDefault="00C0048D" w:rsidP="006522D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tariff</w:t>
            </w:r>
          </w:p>
        </w:tc>
        <w:tc>
          <w:tcPr>
            <w:tcW w:w="628" w:type="pct"/>
            <w:hideMark/>
          </w:tcPr>
          <w:p w14:paraId="1A8F70E6" w14:textId="77777777" w:rsidR="00C0048D" w:rsidRPr="001E347D" w:rsidRDefault="00C0048D" w:rsidP="006522D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Time (hrs)</w:t>
            </w:r>
          </w:p>
        </w:tc>
        <w:tc>
          <w:tcPr>
            <w:tcW w:w="628" w:type="pct"/>
            <w:hideMark/>
          </w:tcPr>
          <w:p w14:paraId="0BEAE2AD" w14:textId="3258EE54" w:rsidR="00C0048D" w:rsidRPr="001E347D" w:rsidRDefault="00C0048D" w:rsidP="006522D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cost per hr</w:t>
            </w:r>
            <w:r w:rsidR="00AB6775">
              <w:rPr>
                <w:rFonts w:eastAsia="Times New Roman" w:cstheme="minorHAnsi"/>
                <w:sz w:val="18"/>
                <w:szCs w:val="18"/>
                <w:lang w:val="en-AU" w:eastAsia="en-AU"/>
              </w:rPr>
              <w:t xml:space="preserve"> $</w:t>
            </w:r>
          </w:p>
        </w:tc>
        <w:tc>
          <w:tcPr>
            <w:tcW w:w="445" w:type="pct"/>
            <w:hideMark/>
          </w:tcPr>
          <w:p w14:paraId="4D06C663" w14:textId="00A12FA0" w:rsidR="00C0048D" w:rsidRPr="001E347D" w:rsidRDefault="00C0048D" w:rsidP="006522DF">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Cost</w:t>
            </w:r>
            <w:r w:rsidR="00AB6775">
              <w:rPr>
                <w:rFonts w:eastAsia="Times New Roman" w:cstheme="minorHAnsi"/>
                <w:sz w:val="18"/>
                <w:szCs w:val="18"/>
                <w:lang w:val="en-AU" w:eastAsia="en-AU"/>
              </w:rPr>
              <w:t xml:space="preserve"> $</w:t>
            </w:r>
          </w:p>
        </w:tc>
      </w:tr>
      <w:tr w:rsidR="00C0048D" w:rsidRPr="00C0048D" w14:paraId="6858D3D5"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44E1B770" w14:textId="77777777" w:rsidR="00C0048D" w:rsidRPr="001E347D" w:rsidRDefault="00C0048D" w:rsidP="00C0048D">
            <w:pPr>
              <w:spacing w:before="0" w:line="240" w:lineRule="auto"/>
              <w:rPr>
                <w:rFonts w:eastAsia="Times New Roman" w:cstheme="minorHAnsi"/>
                <w:b w:val="0"/>
                <w:color w:val="000000"/>
                <w:sz w:val="18"/>
                <w:szCs w:val="18"/>
                <w:lang w:val="en-AU" w:eastAsia="en-AU"/>
              </w:rPr>
            </w:pPr>
            <w:r w:rsidRPr="007E0884">
              <w:rPr>
                <w:rFonts w:eastAsia="Times New Roman" w:cstheme="minorHAnsi"/>
                <w:color w:val="000000"/>
                <w:sz w:val="18"/>
                <w:szCs w:val="18"/>
                <w:lang w:val="en-AU" w:eastAsia="en-AU"/>
              </w:rPr>
              <w:t>Telephone/email enquiries</w:t>
            </w:r>
          </w:p>
        </w:tc>
        <w:tc>
          <w:tcPr>
            <w:tcW w:w="629" w:type="pct"/>
            <w:hideMark/>
          </w:tcPr>
          <w:p w14:paraId="224727DE"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4</w:t>
            </w:r>
          </w:p>
        </w:tc>
        <w:tc>
          <w:tcPr>
            <w:tcW w:w="628" w:type="pct"/>
            <w:hideMark/>
          </w:tcPr>
          <w:p w14:paraId="1ED143DF"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0.5</w:t>
            </w:r>
          </w:p>
        </w:tc>
        <w:tc>
          <w:tcPr>
            <w:tcW w:w="628" w:type="pct"/>
            <w:hideMark/>
          </w:tcPr>
          <w:p w14:paraId="5D257BC8" w14:textId="6C52DFB6"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103.15</w:t>
            </w:r>
          </w:p>
        </w:tc>
        <w:tc>
          <w:tcPr>
            <w:tcW w:w="445" w:type="pct"/>
            <w:noWrap/>
            <w:hideMark/>
          </w:tcPr>
          <w:p w14:paraId="020A8339" w14:textId="425D2B46"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51.58</w:t>
            </w:r>
          </w:p>
        </w:tc>
      </w:tr>
      <w:tr w:rsidR="00C0048D" w:rsidRPr="00C0048D" w14:paraId="0A8DCD6A"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32C38014"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Receive application and review for completeness and regulatory compliance</w:t>
            </w:r>
          </w:p>
        </w:tc>
        <w:tc>
          <w:tcPr>
            <w:tcW w:w="629" w:type="pct"/>
            <w:hideMark/>
          </w:tcPr>
          <w:p w14:paraId="111546C0"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5</w:t>
            </w:r>
          </w:p>
        </w:tc>
        <w:tc>
          <w:tcPr>
            <w:tcW w:w="628" w:type="pct"/>
            <w:hideMark/>
          </w:tcPr>
          <w:p w14:paraId="7847F22A"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8</w:t>
            </w:r>
          </w:p>
        </w:tc>
        <w:tc>
          <w:tcPr>
            <w:tcW w:w="628" w:type="pct"/>
            <w:hideMark/>
          </w:tcPr>
          <w:p w14:paraId="7B221ADB" w14:textId="0B51F479"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c>
          <w:tcPr>
            <w:tcW w:w="445" w:type="pct"/>
            <w:noWrap/>
            <w:hideMark/>
          </w:tcPr>
          <w:p w14:paraId="666D4F73" w14:textId="621C89D7"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986.24</w:t>
            </w:r>
          </w:p>
        </w:tc>
      </w:tr>
      <w:tr w:rsidR="00C0048D" w:rsidRPr="00C0048D" w14:paraId="513E59C3"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7D0E1ECA"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File application and update AIP and master spreadsheet</w:t>
            </w:r>
          </w:p>
        </w:tc>
        <w:tc>
          <w:tcPr>
            <w:tcW w:w="629" w:type="pct"/>
            <w:hideMark/>
          </w:tcPr>
          <w:p w14:paraId="21C02FEF"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5</w:t>
            </w:r>
          </w:p>
        </w:tc>
        <w:tc>
          <w:tcPr>
            <w:tcW w:w="628" w:type="pct"/>
            <w:hideMark/>
          </w:tcPr>
          <w:p w14:paraId="64FBA3BC"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0.25</w:t>
            </w:r>
          </w:p>
        </w:tc>
        <w:tc>
          <w:tcPr>
            <w:tcW w:w="628" w:type="pct"/>
            <w:hideMark/>
          </w:tcPr>
          <w:p w14:paraId="24C5612E" w14:textId="7BE0ECAC"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c>
          <w:tcPr>
            <w:tcW w:w="445" w:type="pct"/>
            <w:noWrap/>
            <w:hideMark/>
          </w:tcPr>
          <w:p w14:paraId="432DDB2E" w14:textId="7EE46E14"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30.82</w:t>
            </w:r>
          </w:p>
        </w:tc>
      </w:tr>
      <w:tr w:rsidR="00C0048D" w:rsidRPr="00C0048D" w14:paraId="2CA8EE3C"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600676D0"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Follow up with applicant if documents outstanding and provision of feedback</w:t>
            </w:r>
          </w:p>
        </w:tc>
        <w:tc>
          <w:tcPr>
            <w:tcW w:w="629" w:type="pct"/>
            <w:hideMark/>
          </w:tcPr>
          <w:p w14:paraId="7308F5C2"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5</w:t>
            </w:r>
          </w:p>
        </w:tc>
        <w:tc>
          <w:tcPr>
            <w:tcW w:w="628" w:type="pct"/>
            <w:hideMark/>
          </w:tcPr>
          <w:p w14:paraId="39C8F868"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w:t>
            </w:r>
          </w:p>
        </w:tc>
        <w:tc>
          <w:tcPr>
            <w:tcW w:w="628" w:type="pct"/>
            <w:hideMark/>
          </w:tcPr>
          <w:p w14:paraId="6DEE7B08" w14:textId="1C5FEF2D"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c>
          <w:tcPr>
            <w:tcW w:w="445" w:type="pct"/>
            <w:noWrap/>
            <w:hideMark/>
          </w:tcPr>
          <w:p w14:paraId="70F2C628" w14:textId="27675935"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r>
      <w:tr w:rsidR="00C0048D" w:rsidRPr="00C0048D" w14:paraId="7C5C2C99"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67C83774"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Raise invoice</w:t>
            </w:r>
          </w:p>
        </w:tc>
        <w:tc>
          <w:tcPr>
            <w:tcW w:w="629" w:type="pct"/>
            <w:hideMark/>
          </w:tcPr>
          <w:p w14:paraId="07045E2C"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4</w:t>
            </w:r>
          </w:p>
        </w:tc>
        <w:tc>
          <w:tcPr>
            <w:tcW w:w="628" w:type="pct"/>
            <w:hideMark/>
          </w:tcPr>
          <w:p w14:paraId="4D9D6938"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0.17</w:t>
            </w:r>
          </w:p>
        </w:tc>
        <w:tc>
          <w:tcPr>
            <w:tcW w:w="628" w:type="pct"/>
            <w:hideMark/>
          </w:tcPr>
          <w:p w14:paraId="2ADA5BC4" w14:textId="42D60126"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103.15</w:t>
            </w:r>
          </w:p>
        </w:tc>
        <w:tc>
          <w:tcPr>
            <w:tcW w:w="445" w:type="pct"/>
            <w:noWrap/>
            <w:hideMark/>
          </w:tcPr>
          <w:p w14:paraId="15FF408D" w14:textId="26F6DFCE"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17.54</w:t>
            </w:r>
          </w:p>
        </w:tc>
      </w:tr>
      <w:tr w:rsidR="00C0048D" w:rsidRPr="00C0048D" w14:paraId="6F6A1691"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7727DF71"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Arrange for facility inspection</w:t>
            </w:r>
          </w:p>
        </w:tc>
        <w:tc>
          <w:tcPr>
            <w:tcW w:w="629" w:type="pct"/>
            <w:hideMark/>
          </w:tcPr>
          <w:p w14:paraId="4FB3E79D"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5</w:t>
            </w:r>
          </w:p>
        </w:tc>
        <w:tc>
          <w:tcPr>
            <w:tcW w:w="628" w:type="pct"/>
            <w:hideMark/>
          </w:tcPr>
          <w:p w14:paraId="43C94BB9"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0.17</w:t>
            </w:r>
          </w:p>
        </w:tc>
        <w:tc>
          <w:tcPr>
            <w:tcW w:w="628" w:type="pct"/>
            <w:hideMark/>
          </w:tcPr>
          <w:p w14:paraId="1C6AE24F" w14:textId="67F4A2DF"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c>
          <w:tcPr>
            <w:tcW w:w="445" w:type="pct"/>
            <w:noWrap/>
            <w:hideMark/>
          </w:tcPr>
          <w:p w14:paraId="4B78ABF8" w14:textId="2F193854"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20.96</w:t>
            </w:r>
          </w:p>
        </w:tc>
      </w:tr>
      <w:tr w:rsidR="00C0048D" w:rsidRPr="00C0048D" w14:paraId="15FE9F79"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53F0B1D5"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Pre-inspection preparation</w:t>
            </w:r>
          </w:p>
        </w:tc>
        <w:tc>
          <w:tcPr>
            <w:tcW w:w="629" w:type="pct"/>
            <w:hideMark/>
          </w:tcPr>
          <w:p w14:paraId="53E32DA4"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5</w:t>
            </w:r>
          </w:p>
        </w:tc>
        <w:tc>
          <w:tcPr>
            <w:tcW w:w="628" w:type="pct"/>
            <w:hideMark/>
          </w:tcPr>
          <w:p w14:paraId="4D5AD0AF"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8</w:t>
            </w:r>
          </w:p>
        </w:tc>
        <w:tc>
          <w:tcPr>
            <w:tcW w:w="628" w:type="pct"/>
            <w:hideMark/>
          </w:tcPr>
          <w:p w14:paraId="300496D4" w14:textId="7592B6E5"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c>
          <w:tcPr>
            <w:tcW w:w="445" w:type="pct"/>
            <w:noWrap/>
            <w:hideMark/>
          </w:tcPr>
          <w:p w14:paraId="3B1B00E8" w14:textId="187F5ADE"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986.24</w:t>
            </w:r>
          </w:p>
        </w:tc>
      </w:tr>
      <w:tr w:rsidR="00C0048D" w:rsidRPr="00C0048D" w14:paraId="33BA2C0E"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64389A9B"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On-site inspection by authorised officer(s)</w:t>
            </w:r>
          </w:p>
        </w:tc>
        <w:tc>
          <w:tcPr>
            <w:tcW w:w="629" w:type="pct"/>
            <w:hideMark/>
          </w:tcPr>
          <w:p w14:paraId="6A90083E"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5</w:t>
            </w:r>
          </w:p>
        </w:tc>
        <w:tc>
          <w:tcPr>
            <w:tcW w:w="628" w:type="pct"/>
            <w:hideMark/>
          </w:tcPr>
          <w:p w14:paraId="32992DDB"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7</w:t>
            </w:r>
          </w:p>
        </w:tc>
        <w:tc>
          <w:tcPr>
            <w:tcW w:w="628" w:type="pct"/>
            <w:hideMark/>
          </w:tcPr>
          <w:p w14:paraId="398103A6" w14:textId="68CDAADF"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c>
          <w:tcPr>
            <w:tcW w:w="445" w:type="pct"/>
            <w:noWrap/>
            <w:hideMark/>
          </w:tcPr>
          <w:p w14:paraId="2575D006" w14:textId="35211E01"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862.96</w:t>
            </w:r>
          </w:p>
        </w:tc>
      </w:tr>
      <w:tr w:rsidR="00C0048D" w:rsidRPr="00C0048D" w14:paraId="61B99E98"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0838DF92"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Complete post-inspection file note</w:t>
            </w:r>
          </w:p>
        </w:tc>
        <w:tc>
          <w:tcPr>
            <w:tcW w:w="629" w:type="pct"/>
            <w:hideMark/>
          </w:tcPr>
          <w:p w14:paraId="08E58649"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5</w:t>
            </w:r>
          </w:p>
        </w:tc>
        <w:tc>
          <w:tcPr>
            <w:tcW w:w="628" w:type="pct"/>
            <w:hideMark/>
          </w:tcPr>
          <w:p w14:paraId="685D525E"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8</w:t>
            </w:r>
          </w:p>
        </w:tc>
        <w:tc>
          <w:tcPr>
            <w:tcW w:w="628" w:type="pct"/>
            <w:hideMark/>
          </w:tcPr>
          <w:p w14:paraId="5F2DD4A9" w14:textId="5288E2E8"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c>
          <w:tcPr>
            <w:tcW w:w="445" w:type="pct"/>
            <w:noWrap/>
            <w:hideMark/>
          </w:tcPr>
          <w:p w14:paraId="7C44428A" w14:textId="6875B040"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986.24</w:t>
            </w:r>
          </w:p>
        </w:tc>
      </w:tr>
      <w:tr w:rsidR="00C0048D" w:rsidRPr="00C0048D" w14:paraId="54450778"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29060DCE"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Preparation of memo, cert and letter of approval</w:t>
            </w:r>
          </w:p>
        </w:tc>
        <w:tc>
          <w:tcPr>
            <w:tcW w:w="629" w:type="pct"/>
            <w:hideMark/>
          </w:tcPr>
          <w:p w14:paraId="684C507B"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5</w:t>
            </w:r>
          </w:p>
        </w:tc>
        <w:tc>
          <w:tcPr>
            <w:tcW w:w="628" w:type="pct"/>
            <w:hideMark/>
          </w:tcPr>
          <w:p w14:paraId="52B864CF"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1.5</w:t>
            </w:r>
          </w:p>
        </w:tc>
        <w:tc>
          <w:tcPr>
            <w:tcW w:w="628" w:type="pct"/>
            <w:hideMark/>
          </w:tcPr>
          <w:p w14:paraId="07004925" w14:textId="05F77C84"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123.28</w:t>
            </w:r>
          </w:p>
        </w:tc>
        <w:tc>
          <w:tcPr>
            <w:tcW w:w="445" w:type="pct"/>
            <w:noWrap/>
            <w:hideMark/>
          </w:tcPr>
          <w:p w14:paraId="3102D228" w14:textId="027091B3"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184.92</w:t>
            </w:r>
          </w:p>
        </w:tc>
      </w:tr>
      <w:tr w:rsidR="00C0048D" w:rsidRPr="00C0048D" w14:paraId="0E5ABC7B"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773C769C" w14:textId="339226EB" w:rsidR="00C0048D" w:rsidRPr="00C0048D" w:rsidRDefault="002601B0" w:rsidP="00C0048D">
            <w:pPr>
              <w:spacing w:before="0" w:line="240" w:lineRule="auto"/>
              <w:rPr>
                <w:rFonts w:eastAsia="Times New Roman" w:cstheme="minorHAnsi"/>
                <w:b w:val="0"/>
                <w:color w:val="000000"/>
                <w:sz w:val="18"/>
                <w:szCs w:val="18"/>
                <w:lang w:val="en-AU" w:eastAsia="en-AU"/>
              </w:rPr>
            </w:pPr>
            <w:r w:rsidRPr="007324C3">
              <w:rPr>
                <w:rFonts w:eastAsia="Times New Roman" w:cstheme="minorHAnsi"/>
                <w:b w:val="0"/>
                <w:color w:val="auto"/>
                <w:sz w:val="18"/>
                <w:szCs w:val="18"/>
                <w:lang w:val="en-AU" w:eastAsia="en-AU"/>
              </w:rPr>
              <w:t>M</w:t>
            </w:r>
            <w:r>
              <w:rPr>
                <w:rFonts w:eastAsia="Times New Roman" w:cstheme="minorHAnsi"/>
                <w:b w:val="0"/>
                <w:color w:val="auto"/>
                <w:sz w:val="18"/>
                <w:szCs w:val="18"/>
                <w:lang w:val="en-AU" w:eastAsia="en-AU"/>
              </w:rPr>
              <w:t>emo, Certificate and Letter</w:t>
            </w:r>
            <w:r w:rsidRPr="007324C3">
              <w:rPr>
                <w:rFonts w:eastAsia="Times New Roman" w:cstheme="minorHAnsi"/>
                <w:b w:val="0"/>
                <w:color w:val="auto"/>
                <w:sz w:val="18"/>
                <w:szCs w:val="18"/>
                <w:lang w:val="en-AU" w:eastAsia="en-AU"/>
              </w:rPr>
              <w:t xml:space="preserve"> reviewed by manager</w:t>
            </w:r>
          </w:p>
        </w:tc>
        <w:tc>
          <w:tcPr>
            <w:tcW w:w="629" w:type="pct"/>
            <w:hideMark/>
          </w:tcPr>
          <w:p w14:paraId="659F2DB7"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6</w:t>
            </w:r>
          </w:p>
        </w:tc>
        <w:tc>
          <w:tcPr>
            <w:tcW w:w="628" w:type="pct"/>
            <w:hideMark/>
          </w:tcPr>
          <w:p w14:paraId="26A9A6D0"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2</w:t>
            </w:r>
          </w:p>
        </w:tc>
        <w:tc>
          <w:tcPr>
            <w:tcW w:w="628" w:type="pct"/>
            <w:hideMark/>
          </w:tcPr>
          <w:p w14:paraId="55715187" w14:textId="08EBC345"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159.86</w:t>
            </w:r>
          </w:p>
        </w:tc>
        <w:tc>
          <w:tcPr>
            <w:tcW w:w="445" w:type="pct"/>
            <w:noWrap/>
            <w:hideMark/>
          </w:tcPr>
          <w:p w14:paraId="77518B52" w14:textId="57AED388"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319.72</w:t>
            </w:r>
          </w:p>
        </w:tc>
      </w:tr>
      <w:tr w:rsidR="00C0048D" w:rsidRPr="00C0048D" w14:paraId="5F6BAF54"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49FD7F8B"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Decision by delegate (director)</w:t>
            </w:r>
          </w:p>
        </w:tc>
        <w:tc>
          <w:tcPr>
            <w:tcW w:w="629" w:type="pct"/>
            <w:hideMark/>
          </w:tcPr>
          <w:p w14:paraId="1D12CE91"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EO 3</w:t>
            </w:r>
          </w:p>
        </w:tc>
        <w:tc>
          <w:tcPr>
            <w:tcW w:w="628" w:type="pct"/>
            <w:hideMark/>
          </w:tcPr>
          <w:p w14:paraId="758B46B2"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2</w:t>
            </w:r>
          </w:p>
        </w:tc>
        <w:tc>
          <w:tcPr>
            <w:tcW w:w="628" w:type="pct"/>
            <w:hideMark/>
          </w:tcPr>
          <w:p w14:paraId="7B241970" w14:textId="68F5DB5A"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259.34</w:t>
            </w:r>
          </w:p>
        </w:tc>
        <w:tc>
          <w:tcPr>
            <w:tcW w:w="445" w:type="pct"/>
            <w:noWrap/>
            <w:hideMark/>
          </w:tcPr>
          <w:p w14:paraId="32F0EAC7" w14:textId="3AECE875"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518.68</w:t>
            </w:r>
          </w:p>
        </w:tc>
      </w:tr>
      <w:tr w:rsidR="00C0048D" w:rsidRPr="00C0048D" w14:paraId="3BC8AC0A"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41321DF4"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Email of cert and letter of approval to applicant</w:t>
            </w:r>
          </w:p>
        </w:tc>
        <w:tc>
          <w:tcPr>
            <w:tcW w:w="629" w:type="pct"/>
            <w:hideMark/>
          </w:tcPr>
          <w:p w14:paraId="3AB3FDD2"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4</w:t>
            </w:r>
          </w:p>
        </w:tc>
        <w:tc>
          <w:tcPr>
            <w:tcW w:w="628" w:type="pct"/>
            <w:hideMark/>
          </w:tcPr>
          <w:p w14:paraId="261D3583"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0.25</w:t>
            </w:r>
          </w:p>
        </w:tc>
        <w:tc>
          <w:tcPr>
            <w:tcW w:w="628" w:type="pct"/>
            <w:hideMark/>
          </w:tcPr>
          <w:p w14:paraId="499A9C5C" w14:textId="2D9EA566"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103.15</w:t>
            </w:r>
          </w:p>
        </w:tc>
        <w:tc>
          <w:tcPr>
            <w:tcW w:w="445" w:type="pct"/>
            <w:noWrap/>
            <w:hideMark/>
          </w:tcPr>
          <w:p w14:paraId="4B6D50FC" w14:textId="3A3C0C2D"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25.79</w:t>
            </w:r>
          </w:p>
        </w:tc>
      </w:tr>
      <w:tr w:rsidR="00C0048D" w:rsidRPr="00C0048D" w14:paraId="3CD2B7EA"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1C7CC2F8"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Save documents to TRIM and update spreadsheets</w:t>
            </w:r>
          </w:p>
        </w:tc>
        <w:tc>
          <w:tcPr>
            <w:tcW w:w="629" w:type="pct"/>
            <w:hideMark/>
          </w:tcPr>
          <w:p w14:paraId="79505492"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4</w:t>
            </w:r>
          </w:p>
        </w:tc>
        <w:tc>
          <w:tcPr>
            <w:tcW w:w="628" w:type="pct"/>
            <w:hideMark/>
          </w:tcPr>
          <w:p w14:paraId="19C952E3"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0.25</w:t>
            </w:r>
          </w:p>
        </w:tc>
        <w:tc>
          <w:tcPr>
            <w:tcW w:w="628" w:type="pct"/>
            <w:hideMark/>
          </w:tcPr>
          <w:p w14:paraId="5B7D8D07" w14:textId="2CABF72F"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103.15</w:t>
            </w:r>
          </w:p>
        </w:tc>
        <w:tc>
          <w:tcPr>
            <w:tcW w:w="445" w:type="pct"/>
            <w:noWrap/>
            <w:hideMark/>
          </w:tcPr>
          <w:p w14:paraId="7A983914" w14:textId="5C36A1EF"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25.79</w:t>
            </w:r>
          </w:p>
        </w:tc>
      </w:tr>
      <w:tr w:rsidR="00C0048D" w:rsidRPr="00C0048D" w14:paraId="05C75BDF"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7AE66B63" w14:textId="77777777" w:rsidR="00C0048D" w:rsidRPr="00C0048D" w:rsidRDefault="00C0048D" w:rsidP="00C0048D">
            <w:pPr>
              <w:spacing w:before="0" w:line="240" w:lineRule="auto"/>
              <w:rPr>
                <w:rFonts w:eastAsia="Times New Roman" w:cstheme="minorHAnsi"/>
                <w:b w:val="0"/>
                <w:color w:val="000000"/>
                <w:sz w:val="18"/>
                <w:szCs w:val="18"/>
                <w:lang w:val="en-AU" w:eastAsia="en-AU"/>
              </w:rPr>
            </w:pPr>
            <w:r w:rsidRPr="00C0048D">
              <w:rPr>
                <w:rFonts w:eastAsia="Times New Roman" w:cstheme="minorHAnsi"/>
                <w:b w:val="0"/>
                <w:color w:val="000000"/>
                <w:sz w:val="18"/>
                <w:szCs w:val="18"/>
                <w:lang w:val="en-AU" w:eastAsia="en-AU"/>
              </w:rPr>
              <w:t>Advice of new registration sent to internal and external stakeholders</w:t>
            </w:r>
          </w:p>
        </w:tc>
        <w:tc>
          <w:tcPr>
            <w:tcW w:w="629" w:type="pct"/>
            <w:hideMark/>
          </w:tcPr>
          <w:p w14:paraId="74B2BDEE"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VPS 4</w:t>
            </w:r>
          </w:p>
        </w:tc>
        <w:tc>
          <w:tcPr>
            <w:tcW w:w="628" w:type="pct"/>
            <w:hideMark/>
          </w:tcPr>
          <w:p w14:paraId="082D552A" w14:textId="77777777"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0.25</w:t>
            </w:r>
          </w:p>
        </w:tc>
        <w:tc>
          <w:tcPr>
            <w:tcW w:w="628" w:type="pct"/>
            <w:hideMark/>
          </w:tcPr>
          <w:p w14:paraId="4E28EFEB" w14:textId="36EF4230" w:rsidR="00C0048D" w:rsidRPr="00C0048D" w:rsidRDefault="00C0048D"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103.15</w:t>
            </w:r>
          </w:p>
        </w:tc>
        <w:tc>
          <w:tcPr>
            <w:tcW w:w="445" w:type="pct"/>
            <w:noWrap/>
            <w:hideMark/>
          </w:tcPr>
          <w:p w14:paraId="1388E50A" w14:textId="13CB08A7" w:rsidR="00C0048D" w:rsidRPr="00C0048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C0048D">
              <w:rPr>
                <w:rFonts w:eastAsia="Times New Roman" w:cstheme="minorHAnsi"/>
                <w:color w:val="000000"/>
                <w:sz w:val="18"/>
                <w:szCs w:val="18"/>
                <w:lang w:val="en-AU" w:eastAsia="en-AU"/>
              </w:rPr>
              <w:t>25.79</w:t>
            </w:r>
          </w:p>
        </w:tc>
      </w:tr>
      <w:tr w:rsidR="00C0048D" w:rsidRPr="00C0048D" w14:paraId="09D0D1C6" w14:textId="77777777" w:rsidTr="00A252C0">
        <w:trPr>
          <w:trHeight w:val="290"/>
        </w:trPr>
        <w:tc>
          <w:tcPr>
            <w:cnfStyle w:val="001000000000" w:firstRow="0" w:lastRow="0" w:firstColumn="1" w:lastColumn="0" w:oddVBand="0" w:evenVBand="0" w:oddHBand="0" w:evenHBand="0" w:firstRowFirstColumn="0" w:firstRowLastColumn="0" w:lastRowFirstColumn="0" w:lastRowLastColumn="0"/>
            <w:tcW w:w="2670" w:type="pct"/>
            <w:hideMark/>
          </w:tcPr>
          <w:p w14:paraId="4C1C2612" w14:textId="01083C73" w:rsidR="00C0048D" w:rsidRPr="001E347D" w:rsidRDefault="00C0048D" w:rsidP="00C0048D">
            <w:pPr>
              <w:spacing w:before="0" w:line="240" w:lineRule="auto"/>
              <w:jc w:val="both"/>
              <w:rPr>
                <w:rFonts w:eastAsia="Times New Roman" w:cstheme="minorHAnsi"/>
                <w:color w:val="auto"/>
                <w:sz w:val="18"/>
                <w:szCs w:val="18"/>
                <w:lang w:val="en-AU" w:eastAsia="en-AU"/>
              </w:rPr>
            </w:pPr>
            <w:r w:rsidRPr="001E347D">
              <w:rPr>
                <w:rFonts w:eastAsia="Times New Roman" w:cstheme="minorHAnsi"/>
                <w:color w:val="auto"/>
                <w:sz w:val="18"/>
                <w:szCs w:val="18"/>
                <w:lang w:val="en-AU" w:eastAsia="en-AU"/>
              </w:rPr>
              <w:t>Total</w:t>
            </w:r>
          </w:p>
        </w:tc>
        <w:tc>
          <w:tcPr>
            <w:tcW w:w="629" w:type="pct"/>
            <w:hideMark/>
          </w:tcPr>
          <w:p w14:paraId="6EED52E2" w14:textId="153F60CD" w:rsidR="00C0048D" w:rsidRPr="001E347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p>
        </w:tc>
        <w:tc>
          <w:tcPr>
            <w:tcW w:w="628" w:type="pct"/>
            <w:hideMark/>
          </w:tcPr>
          <w:p w14:paraId="219199D8" w14:textId="3B714940" w:rsidR="00C0048D" w:rsidRPr="001E347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auto"/>
                <w:sz w:val="18"/>
                <w:szCs w:val="18"/>
                <w:lang w:val="en-AU" w:eastAsia="en-AU"/>
              </w:rPr>
            </w:pPr>
          </w:p>
        </w:tc>
        <w:tc>
          <w:tcPr>
            <w:tcW w:w="628" w:type="pct"/>
            <w:hideMark/>
          </w:tcPr>
          <w:p w14:paraId="69C7C31E" w14:textId="0413FF9C" w:rsidR="00C0048D" w:rsidRPr="001E347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8"/>
                <w:szCs w:val="18"/>
                <w:lang w:val="en-AU" w:eastAsia="en-AU"/>
              </w:rPr>
            </w:pPr>
          </w:p>
        </w:tc>
        <w:tc>
          <w:tcPr>
            <w:tcW w:w="445" w:type="pct"/>
            <w:noWrap/>
            <w:hideMark/>
          </w:tcPr>
          <w:p w14:paraId="2F9532F6" w14:textId="6F17A0A5" w:rsidR="00C0048D" w:rsidRPr="001E347D" w:rsidRDefault="00C0048D" w:rsidP="006522DF">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auto"/>
                <w:sz w:val="18"/>
                <w:szCs w:val="18"/>
                <w:lang w:val="en-AU" w:eastAsia="en-AU"/>
              </w:rPr>
            </w:pPr>
            <w:r w:rsidRPr="001E347D">
              <w:rPr>
                <w:rFonts w:eastAsia="Times New Roman" w:cstheme="minorHAnsi"/>
                <w:b/>
                <w:color w:val="auto"/>
                <w:sz w:val="18"/>
                <w:szCs w:val="18"/>
                <w:lang w:val="en-AU" w:eastAsia="en-AU"/>
              </w:rPr>
              <w:t>5,166.53</w:t>
            </w:r>
          </w:p>
        </w:tc>
      </w:tr>
    </w:tbl>
    <w:p w14:paraId="70ADA2FE" w14:textId="77777777" w:rsidR="004E70D0" w:rsidRDefault="004E70D0" w:rsidP="0052151C">
      <w:pPr>
        <w:rPr>
          <w:rStyle w:val="Strong"/>
        </w:rPr>
      </w:pPr>
    </w:p>
    <w:p w14:paraId="2587CC01" w14:textId="26ADB2B5" w:rsidR="00C0048D" w:rsidRPr="001E347D" w:rsidRDefault="005C472F" w:rsidP="0052151C">
      <w:pPr>
        <w:rPr>
          <w:rStyle w:val="Strong"/>
        </w:rPr>
      </w:pPr>
      <w:r w:rsidRPr="001E347D">
        <w:rPr>
          <w:rStyle w:val="Strong"/>
        </w:rPr>
        <w:t>Registration renewal</w:t>
      </w:r>
    </w:p>
    <w:tbl>
      <w:tblPr>
        <w:tblStyle w:val="SapereTable"/>
        <w:tblW w:w="5000" w:type="pct"/>
        <w:tblLook w:val="04A0" w:firstRow="1" w:lastRow="0" w:firstColumn="1" w:lastColumn="0" w:noHBand="0" w:noVBand="1"/>
      </w:tblPr>
      <w:tblGrid>
        <w:gridCol w:w="4681"/>
        <w:gridCol w:w="1027"/>
        <w:gridCol w:w="1098"/>
        <w:gridCol w:w="1045"/>
        <w:gridCol w:w="1175"/>
      </w:tblGrid>
      <w:tr w:rsidR="0067679F" w:rsidRPr="005C472F" w14:paraId="04754BA5" w14:textId="77777777" w:rsidTr="006522DF">
        <w:trPr>
          <w:cnfStyle w:val="100000000000" w:firstRow="1" w:lastRow="0" w:firstColumn="0" w:lastColumn="0" w:oddVBand="0" w:evenVBand="0" w:oddHBand="0" w:evenHBand="0" w:firstRowFirstColumn="0" w:firstRowLastColumn="0" w:lastRowFirstColumn="0" w:lastRowLastColumn="0"/>
          <w:trHeight w:val="22"/>
          <w:tblHeader/>
        </w:trPr>
        <w:tc>
          <w:tcPr>
            <w:cnfStyle w:val="001000000000" w:firstRow="0" w:lastRow="0" w:firstColumn="1" w:lastColumn="0" w:oddVBand="0" w:evenVBand="0" w:oddHBand="0" w:evenHBand="0" w:firstRowFirstColumn="0" w:firstRowLastColumn="0" w:lastRowFirstColumn="0" w:lastRowLastColumn="0"/>
            <w:tcW w:w="2593" w:type="pct"/>
            <w:hideMark/>
          </w:tcPr>
          <w:p w14:paraId="7FD5280E" w14:textId="2FF59C27" w:rsidR="005C472F" w:rsidRPr="001E347D" w:rsidRDefault="005C472F" w:rsidP="005C472F">
            <w:pPr>
              <w:spacing w:before="0" w:line="240" w:lineRule="auto"/>
              <w:rPr>
                <w:rFonts w:eastAsia="Times New Roman" w:cstheme="minorHAnsi"/>
                <w:sz w:val="18"/>
                <w:szCs w:val="18"/>
                <w:lang w:val="en-AU" w:eastAsia="en-AU"/>
              </w:rPr>
            </w:pPr>
            <w:r w:rsidRPr="0017709C">
              <w:rPr>
                <w:rFonts w:eastAsia="Times New Roman" w:cstheme="minorHAnsi"/>
                <w:sz w:val="18"/>
                <w:szCs w:val="18"/>
                <w:lang w:val="en-AU" w:eastAsia="en-AU"/>
              </w:rPr>
              <w:t>Task</w:t>
            </w:r>
          </w:p>
        </w:tc>
        <w:tc>
          <w:tcPr>
            <w:tcW w:w="569" w:type="pct"/>
            <w:hideMark/>
          </w:tcPr>
          <w:p w14:paraId="2F6EA9AE" w14:textId="77777777" w:rsidR="005C472F" w:rsidRPr="001E347D" w:rsidRDefault="005C472F" w:rsidP="00F57CA8">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tariff</w:t>
            </w:r>
          </w:p>
        </w:tc>
        <w:tc>
          <w:tcPr>
            <w:tcW w:w="608" w:type="pct"/>
            <w:hideMark/>
          </w:tcPr>
          <w:p w14:paraId="43705725" w14:textId="77777777" w:rsidR="005C472F" w:rsidRPr="001E347D" w:rsidRDefault="005C472F" w:rsidP="00F57CA8">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Time (hrs)</w:t>
            </w:r>
          </w:p>
        </w:tc>
        <w:tc>
          <w:tcPr>
            <w:tcW w:w="579" w:type="pct"/>
            <w:hideMark/>
          </w:tcPr>
          <w:p w14:paraId="47CC059A" w14:textId="44C6788E" w:rsidR="005C472F" w:rsidRPr="001E347D" w:rsidRDefault="005C472F" w:rsidP="00F57CA8">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cost per hr</w:t>
            </w:r>
            <w:r w:rsidR="00AB6775">
              <w:rPr>
                <w:rFonts w:eastAsia="Times New Roman" w:cstheme="minorHAnsi"/>
                <w:sz w:val="18"/>
                <w:szCs w:val="18"/>
                <w:lang w:val="en-AU" w:eastAsia="en-AU"/>
              </w:rPr>
              <w:t xml:space="preserve"> $</w:t>
            </w:r>
          </w:p>
        </w:tc>
        <w:tc>
          <w:tcPr>
            <w:tcW w:w="652" w:type="pct"/>
            <w:hideMark/>
          </w:tcPr>
          <w:p w14:paraId="78FFB2A5" w14:textId="21D50AEA" w:rsidR="005C472F" w:rsidRPr="001E347D" w:rsidRDefault="005C472F" w:rsidP="00F57CA8">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Cost</w:t>
            </w:r>
            <w:r w:rsidR="00AB6775">
              <w:rPr>
                <w:rFonts w:eastAsia="Times New Roman" w:cstheme="minorHAnsi"/>
                <w:sz w:val="18"/>
                <w:szCs w:val="18"/>
                <w:lang w:val="en-AU" w:eastAsia="en-AU"/>
              </w:rPr>
              <w:t xml:space="preserve"> $</w:t>
            </w:r>
          </w:p>
        </w:tc>
      </w:tr>
      <w:tr w:rsidR="0067679F" w:rsidRPr="005C472F" w14:paraId="485F6D5A"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22E3BB68" w14:textId="77777777" w:rsidR="005C472F" w:rsidRPr="001E347D" w:rsidRDefault="005C472F" w:rsidP="005C472F">
            <w:pPr>
              <w:spacing w:before="0" w:line="240" w:lineRule="auto"/>
              <w:rPr>
                <w:rFonts w:eastAsia="Times New Roman" w:cstheme="minorHAnsi"/>
                <w:b w:val="0"/>
                <w:color w:val="000000"/>
                <w:sz w:val="18"/>
                <w:szCs w:val="18"/>
                <w:lang w:val="en-AU" w:eastAsia="en-AU"/>
              </w:rPr>
            </w:pPr>
            <w:r w:rsidRPr="007E0884">
              <w:rPr>
                <w:rFonts w:eastAsia="Times New Roman" w:cstheme="minorHAnsi"/>
                <w:color w:val="000000"/>
                <w:sz w:val="18"/>
                <w:szCs w:val="18"/>
                <w:lang w:val="en-AU" w:eastAsia="en-AU"/>
              </w:rPr>
              <w:t>Telephone/email enquiries</w:t>
            </w:r>
          </w:p>
        </w:tc>
        <w:tc>
          <w:tcPr>
            <w:tcW w:w="569" w:type="pct"/>
            <w:hideMark/>
          </w:tcPr>
          <w:p w14:paraId="15993CAE"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32B9A605"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w:t>
            </w:r>
          </w:p>
        </w:tc>
        <w:tc>
          <w:tcPr>
            <w:tcW w:w="579" w:type="pct"/>
            <w:hideMark/>
          </w:tcPr>
          <w:p w14:paraId="1722DA3F" w14:textId="787AB9B2"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2F1B60DB" w14:textId="1732E744"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r>
      <w:tr w:rsidR="0067679F" w:rsidRPr="005C472F" w14:paraId="352DF150"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0FF2ED97"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Generation of reminder email and invoice</w:t>
            </w:r>
          </w:p>
        </w:tc>
        <w:tc>
          <w:tcPr>
            <w:tcW w:w="569" w:type="pct"/>
            <w:hideMark/>
          </w:tcPr>
          <w:p w14:paraId="75916FCD"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677B0348"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0.83</w:t>
            </w:r>
          </w:p>
        </w:tc>
        <w:tc>
          <w:tcPr>
            <w:tcW w:w="579" w:type="pct"/>
            <w:hideMark/>
          </w:tcPr>
          <w:p w14:paraId="7539CC13" w14:textId="16DECA16"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4556FCD3" w14:textId="7BFB722C"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85.61</w:t>
            </w:r>
          </w:p>
        </w:tc>
      </w:tr>
      <w:tr w:rsidR="0067679F" w:rsidRPr="005C472F" w14:paraId="69ADB102" w14:textId="77777777" w:rsidTr="006522DF">
        <w:trPr>
          <w:trHeight w:val="580"/>
        </w:trPr>
        <w:tc>
          <w:tcPr>
            <w:cnfStyle w:val="001000000000" w:firstRow="0" w:lastRow="0" w:firstColumn="1" w:lastColumn="0" w:oddVBand="0" w:evenVBand="0" w:oddHBand="0" w:evenHBand="0" w:firstRowFirstColumn="0" w:firstRowLastColumn="0" w:lastRowFirstColumn="0" w:lastRowLastColumn="0"/>
            <w:tcW w:w="2593" w:type="pct"/>
            <w:hideMark/>
          </w:tcPr>
          <w:p w14:paraId="3E8F488E"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Risk based assessment and determination of renewal schedule</w:t>
            </w:r>
          </w:p>
        </w:tc>
        <w:tc>
          <w:tcPr>
            <w:tcW w:w="569" w:type="pct"/>
            <w:hideMark/>
          </w:tcPr>
          <w:p w14:paraId="19DF35CC"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231F8E28"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38</w:t>
            </w:r>
          </w:p>
        </w:tc>
        <w:tc>
          <w:tcPr>
            <w:tcW w:w="579" w:type="pct"/>
            <w:hideMark/>
          </w:tcPr>
          <w:p w14:paraId="0C9D4D1B" w14:textId="78580D6C"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09A3BD9C" w14:textId="6507E9C9"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4,684.64</w:t>
            </w:r>
          </w:p>
        </w:tc>
      </w:tr>
      <w:tr w:rsidR="0067679F" w:rsidRPr="005C472F" w14:paraId="5115C7EF"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476C816D"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Arrange inspection and provide advice documents</w:t>
            </w:r>
          </w:p>
        </w:tc>
        <w:tc>
          <w:tcPr>
            <w:tcW w:w="569" w:type="pct"/>
            <w:hideMark/>
          </w:tcPr>
          <w:p w14:paraId="28AE1B6D"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3A5EDC7F"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w:t>
            </w:r>
          </w:p>
        </w:tc>
        <w:tc>
          <w:tcPr>
            <w:tcW w:w="579" w:type="pct"/>
            <w:hideMark/>
          </w:tcPr>
          <w:p w14:paraId="643DBAF1" w14:textId="7BA0A01A"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2F39A258" w14:textId="5C2B0EB6"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r>
      <w:tr w:rsidR="0067679F" w:rsidRPr="005C472F" w14:paraId="54723E00"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4BA3FDFB"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Pre-inspection preparation</w:t>
            </w:r>
          </w:p>
        </w:tc>
        <w:tc>
          <w:tcPr>
            <w:tcW w:w="569" w:type="pct"/>
            <w:hideMark/>
          </w:tcPr>
          <w:p w14:paraId="6D535E12"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324CDB37"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7.6</w:t>
            </w:r>
          </w:p>
        </w:tc>
        <w:tc>
          <w:tcPr>
            <w:tcW w:w="579" w:type="pct"/>
            <w:hideMark/>
          </w:tcPr>
          <w:p w14:paraId="49829E6D" w14:textId="7AE05353"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3304A672" w14:textId="0AE996FC"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936.93</w:t>
            </w:r>
          </w:p>
        </w:tc>
      </w:tr>
      <w:tr w:rsidR="0067679F" w:rsidRPr="005C472F" w14:paraId="2A545524"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3DC176FE"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Inspection</w:t>
            </w:r>
          </w:p>
        </w:tc>
        <w:tc>
          <w:tcPr>
            <w:tcW w:w="569" w:type="pct"/>
            <w:hideMark/>
          </w:tcPr>
          <w:p w14:paraId="41FEC4D1"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65D157E5"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13</w:t>
            </w:r>
          </w:p>
        </w:tc>
        <w:tc>
          <w:tcPr>
            <w:tcW w:w="579" w:type="pct"/>
            <w:hideMark/>
          </w:tcPr>
          <w:p w14:paraId="2B25E175" w14:textId="3E51F08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6747033E" w14:textId="6885409C"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1,602.64</w:t>
            </w:r>
          </w:p>
        </w:tc>
      </w:tr>
      <w:tr w:rsidR="0067679F" w:rsidRPr="005C472F" w14:paraId="3C829341"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005303F9"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Post inspection filenote</w:t>
            </w:r>
          </w:p>
        </w:tc>
        <w:tc>
          <w:tcPr>
            <w:tcW w:w="569" w:type="pct"/>
            <w:hideMark/>
          </w:tcPr>
          <w:p w14:paraId="0BCC1C49"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3065D22C"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8</w:t>
            </w:r>
          </w:p>
        </w:tc>
        <w:tc>
          <w:tcPr>
            <w:tcW w:w="579" w:type="pct"/>
            <w:hideMark/>
          </w:tcPr>
          <w:p w14:paraId="4D3CA5EF" w14:textId="5B0C8B25"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2AB6A91D" w14:textId="0B42E88E"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986.24</w:t>
            </w:r>
          </w:p>
        </w:tc>
      </w:tr>
      <w:tr w:rsidR="0067679F" w:rsidRPr="005C472F" w14:paraId="69952887"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7857F6A8"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Preparation of post inspection rectification letter</w:t>
            </w:r>
          </w:p>
        </w:tc>
        <w:tc>
          <w:tcPr>
            <w:tcW w:w="569" w:type="pct"/>
            <w:hideMark/>
          </w:tcPr>
          <w:p w14:paraId="619E8743"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19B7F57A"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3</w:t>
            </w:r>
          </w:p>
        </w:tc>
        <w:tc>
          <w:tcPr>
            <w:tcW w:w="579" w:type="pct"/>
            <w:hideMark/>
          </w:tcPr>
          <w:p w14:paraId="4150FE85" w14:textId="20E04875"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5B410CCE" w14:textId="5748852C"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369.84</w:t>
            </w:r>
          </w:p>
        </w:tc>
      </w:tr>
      <w:tr w:rsidR="0067679F" w:rsidRPr="005C472F" w14:paraId="1E8A8613" w14:textId="77777777" w:rsidTr="006522DF">
        <w:trPr>
          <w:trHeight w:val="580"/>
        </w:trPr>
        <w:tc>
          <w:tcPr>
            <w:cnfStyle w:val="001000000000" w:firstRow="0" w:lastRow="0" w:firstColumn="1" w:lastColumn="0" w:oddVBand="0" w:evenVBand="0" w:oddHBand="0" w:evenHBand="0" w:firstRowFirstColumn="0" w:firstRowLastColumn="0" w:lastRowFirstColumn="0" w:lastRowLastColumn="0"/>
            <w:tcW w:w="2593" w:type="pct"/>
            <w:hideMark/>
          </w:tcPr>
          <w:p w14:paraId="1A40C040"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Post inspection letter reviewed and signed by manager.</w:t>
            </w:r>
          </w:p>
        </w:tc>
        <w:tc>
          <w:tcPr>
            <w:tcW w:w="569" w:type="pct"/>
            <w:hideMark/>
          </w:tcPr>
          <w:p w14:paraId="411C1EBB"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6</w:t>
            </w:r>
          </w:p>
        </w:tc>
        <w:tc>
          <w:tcPr>
            <w:tcW w:w="608" w:type="pct"/>
            <w:hideMark/>
          </w:tcPr>
          <w:p w14:paraId="6ED3D0B6"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w:t>
            </w:r>
          </w:p>
        </w:tc>
        <w:tc>
          <w:tcPr>
            <w:tcW w:w="579" w:type="pct"/>
            <w:hideMark/>
          </w:tcPr>
          <w:p w14:paraId="4EFABBB8" w14:textId="1429CC91"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159.86</w:t>
            </w:r>
          </w:p>
        </w:tc>
        <w:tc>
          <w:tcPr>
            <w:tcW w:w="652" w:type="pct"/>
            <w:noWrap/>
            <w:hideMark/>
          </w:tcPr>
          <w:p w14:paraId="04006760" w14:textId="22999984"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159.86</w:t>
            </w:r>
          </w:p>
        </w:tc>
      </w:tr>
      <w:tr w:rsidR="0067679F" w:rsidRPr="005C472F" w14:paraId="54967DA8" w14:textId="77777777" w:rsidTr="006522DF">
        <w:trPr>
          <w:trHeight w:val="580"/>
        </w:trPr>
        <w:tc>
          <w:tcPr>
            <w:cnfStyle w:val="001000000000" w:firstRow="0" w:lastRow="0" w:firstColumn="1" w:lastColumn="0" w:oddVBand="0" w:evenVBand="0" w:oddHBand="0" w:evenHBand="0" w:firstRowFirstColumn="0" w:firstRowLastColumn="0" w:lastRowFirstColumn="0" w:lastRowLastColumn="0"/>
            <w:tcW w:w="2593" w:type="pct"/>
            <w:hideMark/>
          </w:tcPr>
          <w:p w14:paraId="43464338"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Letter filed in TRIM and issued to facility. Databases updated.</w:t>
            </w:r>
          </w:p>
        </w:tc>
        <w:tc>
          <w:tcPr>
            <w:tcW w:w="569" w:type="pct"/>
            <w:hideMark/>
          </w:tcPr>
          <w:p w14:paraId="798D9DA5"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48E5CF22"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0.25</w:t>
            </w:r>
          </w:p>
        </w:tc>
        <w:tc>
          <w:tcPr>
            <w:tcW w:w="579" w:type="pct"/>
            <w:hideMark/>
          </w:tcPr>
          <w:p w14:paraId="33481F7F" w14:textId="79A31153"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70ED244C" w14:textId="7FDC9C14"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30.82</w:t>
            </w:r>
          </w:p>
        </w:tc>
      </w:tr>
      <w:tr w:rsidR="0067679F" w:rsidRPr="005C472F" w14:paraId="77AC4A40"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2C5F6E39"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Authorised officer review of facility action plan.</w:t>
            </w:r>
          </w:p>
        </w:tc>
        <w:tc>
          <w:tcPr>
            <w:tcW w:w="569" w:type="pct"/>
            <w:hideMark/>
          </w:tcPr>
          <w:p w14:paraId="64145287"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7AAEEC5E"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0.5</w:t>
            </w:r>
          </w:p>
        </w:tc>
        <w:tc>
          <w:tcPr>
            <w:tcW w:w="579" w:type="pct"/>
            <w:hideMark/>
          </w:tcPr>
          <w:p w14:paraId="23AEBE7F" w14:textId="4D5CA014"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01CEDACB" w14:textId="7575FFFF"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61.64</w:t>
            </w:r>
          </w:p>
        </w:tc>
      </w:tr>
      <w:tr w:rsidR="0067679F" w:rsidRPr="005C472F" w14:paraId="389ABEBB" w14:textId="77777777" w:rsidTr="006522DF">
        <w:trPr>
          <w:trHeight w:val="580"/>
        </w:trPr>
        <w:tc>
          <w:tcPr>
            <w:cnfStyle w:val="001000000000" w:firstRow="0" w:lastRow="0" w:firstColumn="1" w:lastColumn="0" w:oddVBand="0" w:evenVBand="0" w:oddHBand="0" w:evenHBand="0" w:firstRowFirstColumn="0" w:firstRowLastColumn="0" w:lastRowFirstColumn="0" w:lastRowLastColumn="0"/>
            <w:tcW w:w="2593" w:type="pct"/>
            <w:hideMark/>
          </w:tcPr>
          <w:p w14:paraId="27A97569"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lastRenderedPageBreak/>
              <w:t>Acceptance of action plan and/or further communication with facility</w:t>
            </w:r>
          </w:p>
        </w:tc>
        <w:tc>
          <w:tcPr>
            <w:tcW w:w="569" w:type="pct"/>
            <w:hideMark/>
          </w:tcPr>
          <w:p w14:paraId="2B0A06CD"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5</w:t>
            </w:r>
          </w:p>
        </w:tc>
        <w:tc>
          <w:tcPr>
            <w:tcW w:w="608" w:type="pct"/>
            <w:hideMark/>
          </w:tcPr>
          <w:p w14:paraId="3AB3AF27"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2</w:t>
            </w:r>
          </w:p>
        </w:tc>
        <w:tc>
          <w:tcPr>
            <w:tcW w:w="579" w:type="pct"/>
            <w:hideMark/>
          </w:tcPr>
          <w:p w14:paraId="1A534C5A" w14:textId="4AEAC695"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123.28</w:t>
            </w:r>
          </w:p>
        </w:tc>
        <w:tc>
          <w:tcPr>
            <w:tcW w:w="652" w:type="pct"/>
            <w:noWrap/>
            <w:hideMark/>
          </w:tcPr>
          <w:p w14:paraId="08A4E2BA" w14:textId="2BD1202A"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246.56</w:t>
            </w:r>
          </w:p>
        </w:tc>
      </w:tr>
      <w:tr w:rsidR="0067679F" w:rsidRPr="005C472F" w14:paraId="4DE4D305"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2393D883"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Receive application, file and enter into database</w:t>
            </w:r>
          </w:p>
        </w:tc>
        <w:tc>
          <w:tcPr>
            <w:tcW w:w="569" w:type="pct"/>
            <w:hideMark/>
          </w:tcPr>
          <w:p w14:paraId="79E5E57D"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03A1ECB1"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w:t>
            </w:r>
          </w:p>
        </w:tc>
        <w:tc>
          <w:tcPr>
            <w:tcW w:w="579" w:type="pct"/>
            <w:hideMark/>
          </w:tcPr>
          <w:p w14:paraId="7601F493" w14:textId="10CBC38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4410A709" w14:textId="7418C478"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r>
      <w:tr w:rsidR="0067679F" w:rsidRPr="005C472F" w14:paraId="4830621F"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5E803CFB"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Check for completeness and assess against checklist</w:t>
            </w:r>
          </w:p>
        </w:tc>
        <w:tc>
          <w:tcPr>
            <w:tcW w:w="569" w:type="pct"/>
            <w:hideMark/>
          </w:tcPr>
          <w:p w14:paraId="78B06509"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22211424"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1.5</w:t>
            </w:r>
          </w:p>
        </w:tc>
        <w:tc>
          <w:tcPr>
            <w:tcW w:w="579" w:type="pct"/>
            <w:hideMark/>
          </w:tcPr>
          <w:p w14:paraId="6A0E64F2" w14:textId="753612CC"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454376C6" w14:textId="367C08D5"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154.73</w:t>
            </w:r>
          </w:p>
        </w:tc>
      </w:tr>
      <w:tr w:rsidR="0067679F" w:rsidRPr="005C472F" w14:paraId="77D46E54"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03311116"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Follow up applicant by phone/email if required</w:t>
            </w:r>
          </w:p>
        </w:tc>
        <w:tc>
          <w:tcPr>
            <w:tcW w:w="569" w:type="pct"/>
            <w:hideMark/>
          </w:tcPr>
          <w:p w14:paraId="0C6939F5"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3BE131FD"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0.5</w:t>
            </w:r>
          </w:p>
        </w:tc>
        <w:tc>
          <w:tcPr>
            <w:tcW w:w="579" w:type="pct"/>
            <w:hideMark/>
          </w:tcPr>
          <w:p w14:paraId="49479A68" w14:textId="4F6B9C6F"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5AFB5ABA" w14:textId="6E5D2BFB"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51.58</w:t>
            </w:r>
          </w:p>
        </w:tc>
      </w:tr>
      <w:tr w:rsidR="0067679F" w:rsidRPr="005C472F" w14:paraId="372DF2E5"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2B9987C6"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Processing payment of fee</w:t>
            </w:r>
          </w:p>
        </w:tc>
        <w:tc>
          <w:tcPr>
            <w:tcW w:w="569" w:type="pct"/>
            <w:hideMark/>
          </w:tcPr>
          <w:p w14:paraId="3BFA8920"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156B746F"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0.5</w:t>
            </w:r>
          </w:p>
        </w:tc>
        <w:tc>
          <w:tcPr>
            <w:tcW w:w="579" w:type="pct"/>
            <w:hideMark/>
          </w:tcPr>
          <w:p w14:paraId="565E77B3" w14:textId="076D3E56"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012302C5" w14:textId="04FD305A"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51.58</w:t>
            </w:r>
          </w:p>
        </w:tc>
      </w:tr>
      <w:tr w:rsidR="0067679F" w:rsidRPr="005C472F" w14:paraId="6D76EB8A"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78CBFEED"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Prepare certificate, memo and letter</w:t>
            </w:r>
          </w:p>
        </w:tc>
        <w:tc>
          <w:tcPr>
            <w:tcW w:w="569" w:type="pct"/>
            <w:hideMark/>
          </w:tcPr>
          <w:p w14:paraId="44FFB731"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2123BEA0"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w:t>
            </w:r>
          </w:p>
        </w:tc>
        <w:tc>
          <w:tcPr>
            <w:tcW w:w="579" w:type="pct"/>
            <w:hideMark/>
          </w:tcPr>
          <w:p w14:paraId="7354C235" w14:textId="0034AEA3"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15AB7367" w14:textId="001C50B3"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r>
      <w:tr w:rsidR="0067679F" w:rsidRPr="005C472F" w14:paraId="0E3B7303"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06370506"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 xml:space="preserve">Application package reviewed by manager </w:t>
            </w:r>
          </w:p>
        </w:tc>
        <w:tc>
          <w:tcPr>
            <w:tcW w:w="569" w:type="pct"/>
            <w:hideMark/>
          </w:tcPr>
          <w:p w14:paraId="07C85C46"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6</w:t>
            </w:r>
          </w:p>
        </w:tc>
        <w:tc>
          <w:tcPr>
            <w:tcW w:w="608" w:type="pct"/>
            <w:hideMark/>
          </w:tcPr>
          <w:p w14:paraId="2C889989"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w:t>
            </w:r>
          </w:p>
        </w:tc>
        <w:tc>
          <w:tcPr>
            <w:tcW w:w="579" w:type="pct"/>
            <w:hideMark/>
          </w:tcPr>
          <w:p w14:paraId="0F76E7C7" w14:textId="5950A052"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159.86</w:t>
            </w:r>
          </w:p>
        </w:tc>
        <w:tc>
          <w:tcPr>
            <w:tcW w:w="652" w:type="pct"/>
            <w:noWrap/>
            <w:hideMark/>
          </w:tcPr>
          <w:p w14:paraId="5FA669F3" w14:textId="052341F9"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159.86</w:t>
            </w:r>
          </w:p>
        </w:tc>
      </w:tr>
      <w:tr w:rsidR="0067679F" w:rsidRPr="005C472F" w14:paraId="5051C090"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19B7E480"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Decision by delegate (director)</w:t>
            </w:r>
          </w:p>
        </w:tc>
        <w:tc>
          <w:tcPr>
            <w:tcW w:w="569" w:type="pct"/>
            <w:hideMark/>
          </w:tcPr>
          <w:p w14:paraId="3EC5D4FF"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EO 3</w:t>
            </w:r>
          </w:p>
        </w:tc>
        <w:tc>
          <w:tcPr>
            <w:tcW w:w="608" w:type="pct"/>
            <w:hideMark/>
          </w:tcPr>
          <w:p w14:paraId="468913F3"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0.67</w:t>
            </w:r>
          </w:p>
        </w:tc>
        <w:tc>
          <w:tcPr>
            <w:tcW w:w="579" w:type="pct"/>
            <w:hideMark/>
          </w:tcPr>
          <w:p w14:paraId="13CF3EE7" w14:textId="34A6934C"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259.34</w:t>
            </w:r>
          </w:p>
        </w:tc>
        <w:tc>
          <w:tcPr>
            <w:tcW w:w="652" w:type="pct"/>
            <w:noWrap/>
            <w:hideMark/>
          </w:tcPr>
          <w:p w14:paraId="10ACCD6E" w14:textId="756D9A08"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173.76</w:t>
            </w:r>
          </w:p>
        </w:tc>
      </w:tr>
      <w:tr w:rsidR="0067679F" w:rsidRPr="005C472F" w14:paraId="72433CDC"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6B5538B7"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Update all files</w:t>
            </w:r>
          </w:p>
        </w:tc>
        <w:tc>
          <w:tcPr>
            <w:tcW w:w="569" w:type="pct"/>
            <w:hideMark/>
          </w:tcPr>
          <w:p w14:paraId="3F6DAD9B"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6DA9E727"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0.42</w:t>
            </w:r>
          </w:p>
        </w:tc>
        <w:tc>
          <w:tcPr>
            <w:tcW w:w="579" w:type="pct"/>
            <w:hideMark/>
          </w:tcPr>
          <w:p w14:paraId="2A15A6D3" w14:textId="08BB136E"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1BADB69C" w14:textId="0BE51371"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43.32</w:t>
            </w:r>
          </w:p>
        </w:tc>
      </w:tr>
      <w:tr w:rsidR="0067679F" w:rsidRPr="005C472F" w14:paraId="0A17FB91"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1882BAFC"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Email cert and letter to applicant</w:t>
            </w:r>
          </w:p>
        </w:tc>
        <w:tc>
          <w:tcPr>
            <w:tcW w:w="569" w:type="pct"/>
            <w:hideMark/>
          </w:tcPr>
          <w:p w14:paraId="6A4C2126"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05A09336"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0.17</w:t>
            </w:r>
          </w:p>
        </w:tc>
        <w:tc>
          <w:tcPr>
            <w:tcW w:w="579" w:type="pct"/>
            <w:hideMark/>
          </w:tcPr>
          <w:p w14:paraId="7C3C4160" w14:textId="6E279D88"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2EA4FA02" w14:textId="00D34F30"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17.54</w:t>
            </w:r>
          </w:p>
        </w:tc>
      </w:tr>
      <w:tr w:rsidR="0067679F" w:rsidRPr="005C472F" w14:paraId="0CB60488"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hideMark/>
          </w:tcPr>
          <w:p w14:paraId="551A9F2C" w14:textId="77777777" w:rsidR="005C472F" w:rsidRPr="005C472F" w:rsidRDefault="005C472F" w:rsidP="005C472F">
            <w:pPr>
              <w:spacing w:before="0" w:line="240" w:lineRule="auto"/>
              <w:rPr>
                <w:rFonts w:eastAsia="Times New Roman" w:cstheme="minorHAnsi"/>
                <w:b w:val="0"/>
                <w:color w:val="000000"/>
                <w:sz w:val="18"/>
                <w:szCs w:val="18"/>
                <w:lang w:val="en-AU" w:eastAsia="en-AU"/>
              </w:rPr>
            </w:pPr>
            <w:r w:rsidRPr="005C472F">
              <w:rPr>
                <w:rFonts w:eastAsia="Times New Roman" w:cstheme="minorHAnsi"/>
                <w:b w:val="0"/>
                <w:color w:val="000000"/>
                <w:sz w:val="18"/>
                <w:szCs w:val="18"/>
                <w:lang w:val="en-AU" w:eastAsia="en-AU"/>
              </w:rPr>
              <w:t>Advice sent to relevant stakeholders</w:t>
            </w:r>
          </w:p>
        </w:tc>
        <w:tc>
          <w:tcPr>
            <w:tcW w:w="569" w:type="pct"/>
            <w:hideMark/>
          </w:tcPr>
          <w:p w14:paraId="79594F58"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VPS 4</w:t>
            </w:r>
          </w:p>
        </w:tc>
        <w:tc>
          <w:tcPr>
            <w:tcW w:w="608" w:type="pct"/>
            <w:hideMark/>
          </w:tcPr>
          <w:p w14:paraId="7245E68A" w14:textId="77777777"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w:t>
            </w:r>
          </w:p>
        </w:tc>
        <w:tc>
          <w:tcPr>
            <w:tcW w:w="579" w:type="pct"/>
            <w:hideMark/>
          </w:tcPr>
          <w:p w14:paraId="7EAA3AD5" w14:textId="4591A3C0"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c>
          <w:tcPr>
            <w:tcW w:w="652" w:type="pct"/>
            <w:noWrap/>
            <w:hideMark/>
          </w:tcPr>
          <w:p w14:paraId="63A00393" w14:textId="7F43E93E" w:rsidR="005C472F" w:rsidRPr="005C472F"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5C472F">
              <w:rPr>
                <w:rFonts w:eastAsia="Times New Roman" w:cstheme="minorHAnsi"/>
                <w:color w:val="000000"/>
                <w:sz w:val="18"/>
                <w:szCs w:val="18"/>
                <w:lang w:val="en-AU" w:eastAsia="en-AU"/>
              </w:rPr>
              <w:t>103.15</w:t>
            </w:r>
          </w:p>
        </w:tc>
      </w:tr>
      <w:tr w:rsidR="0067679F" w:rsidRPr="007C3DD4" w14:paraId="4198D7FE" w14:textId="77777777" w:rsidTr="006522DF">
        <w:trPr>
          <w:trHeight w:val="290"/>
        </w:trPr>
        <w:tc>
          <w:tcPr>
            <w:cnfStyle w:val="001000000000" w:firstRow="0" w:lastRow="0" w:firstColumn="1" w:lastColumn="0" w:oddVBand="0" w:evenVBand="0" w:oddHBand="0" w:evenHBand="0" w:firstRowFirstColumn="0" w:firstRowLastColumn="0" w:lastRowFirstColumn="0" w:lastRowLastColumn="0"/>
            <w:tcW w:w="2593" w:type="pct"/>
          </w:tcPr>
          <w:p w14:paraId="5B1BF15E" w14:textId="47CFCBCA" w:rsidR="005C472F" w:rsidRPr="007C3DD4" w:rsidRDefault="005C472F" w:rsidP="005C472F">
            <w:pPr>
              <w:spacing w:before="0" w:line="240" w:lineRule="auto"/>
              <w:rPr>
                <w:rFonts w:eastAsia="Times New Roman" w:cstheme="minorHAnsi"/>
                <w:color w:val="000000"/>
                <w:sz w:val="18"/>
                <w:szCs w:val="18"/>
                <w:lang w:val="en-AU" w:eastAsia="en-AU"/>
              </w:rPr>
            </w:pPr>
            <w:r w:rsidRPr="007C3DD4">
              <w:rPr>
                <w:rFonts w:eastAsia="Times New Roman" w:cstheme="minorHAnsi"/>
                <w:color w:val="000000"/>
                <w:sz w:val="18"/>
                <w:szCs w:val="18"/>
                <w:lang w:val="en-AU" w:eastAsia="en-AU"/>
              </w:rPr>
              <w:t>Total</w:t>
            </w:r>
          </w:p>
        </w:tc>
        <w:tc>
          <w:tcPr>
            <w:tcW w:w="569" w:type="pct"/>
          </w:tcPr>
          <w:p w14:paraId="5A0787ED" w14:textId="77777777" w:rsidR="005C472F" w:rsidRPr="007C3DD4"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608" w:type="pct"/>
          </w:tcPr>
          <w:p w14:paraId="6DF674B3" w14:textId="77777777" w:rsidR="005C472F" w:rsidRPr="007C3DD4"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579" w:type="pct"/>
          </w:tcPr>
          <w:p w14:paraId="22E7DC8F" w14:textId="77777777" w:rsidR="005C472F" w:rsidRPr="007C3DD4"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652" w:type="pct"/>
            <w:noWrap/>
          </w:tcPr>
          <w:p w14:paraId="34051239" w14:textId="6B57FBC9" w:rsidR="005C472F" w:rsidRPr="007C3DD4" w:rsidRDefault="005C472F" w:rsidP="00F57CA8">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r w:rsidRPr="007C3DD4">
              <w:rPr>
                <w:rFonts w:eastAsia="Times New Roman" w:cstheme="minorHAnsi"/>
                <w:b/>
                <w:bCs/>
                <w:color w:val="000000"/>
                <w:sz w:val="18"/>
                <w:szCs w:val="18"/>
                <w:lang w:val="en-AU" w:eastAsia="en-AU"/>
              </w:rPr>
              <w:t>10,353.01</w:t>
            </w:r>
          </w:p>
        </w:tc>
      </w:tr>
    </w:tbl>
    <w:p w14:paraId="396D7776" w14:textId="7F072D37" w:rsidR="00376656" w:rsidRDefault="00376656">
      <w:pPr>
        <w:spacing w:before="0" w:line="259" w:lineRule="auto"/>
        <w:rPr>
          <w:b/>
          <w:bCs/>
          <w:i/>
          <w:iCs/>
        </w:rPr>
      </w:pPr>
    </w:p>
    <w:p w14:paraId="1572B56C" w14:textId="037D8AC1" w:rsidR="005C472F" w:rsidRPr="001E347D" w:rsidRDefault="00BE7BC3" w:rsidP="0052151C">
      <w:pPr>
        <w:rPr>
          <w:rStyle w:val="Strong"/>
        </w:rPr>
      </w:pPr>
      <w:r w:rsidRPr="001E347D">
        <w:rPr>
          <w:rStyle w:val="Strong"/>
        </w:rPr>
        <w:t>Variation of registration</w:t>
      </w:r>
    </w:p>
    <w:tbl>
      <w:tblPr>
        <w:tblStyle w:val="SapereTable"/>
        <w:tblW w:w="5000" w:type="pct"/>
        <w:tblLook w:val="04A0" w:firstRow="1" w:lastRow="0" w:firstColumn="1" w:lastColumn="0" w:noHBand="0" w:noVBand="1"/>
      </w:tblPr>
      <w:tblGrid>
        <w:gridCol w:w="4395"/>
        <w:gridCol w:w="1134"/>
        <w:gridCol w:w="993"/>
        <w:gridCol w:w="1415"/>
        <w:gridCol w:w="1089"/>
      </w:tblGrid>
      <w:tr w:rsidR="006C567A" w:rsidRPr="006C567A" w14:paraId="70A22C57" w14:textId="77777777" w:rsidTr="006522DF">
        <w:trPr>
          <w:cnfStyle w:val="100000000000" w:firstRow="1" w:lastRow="0" w:firstColumn="0" w:lastColumn="0" w:oddVBand="0" w:evenVBand="0" w:oddHBand="0" w:evenHBand="0" w:firstRowFirstColumn="0" w:firstRowLastColumn="0" w:lastRowFirstColumn="0" w:lastRowLastColumn="0"/>
          <w:trHeight w:val="22"/>
          <w:tblHeader/>
        </w:trPr>
        <w:tc>
          <w:tcPr>
            <w:cnfStyle w:val="001000000000" w:firstRow="0" w:lastRow="0" w:firstColumn="1" w:lastColumn="0" w:oddVBand="0" w:evenVBand="0" w:oddHBand="0" w:evenHBand="0" w:firstRowFirstColumn="0" w:firstRowLastColumn="0" w:lastRowFirstColumn="0" w:lastRowLastColumn="0"/>
            <w:tcW w:w="2435" w:type="pct"/>
            <w:hideMark/>
          </w:tcPr>
          <w:p w14:paraId="7B67A769" w14:textId="02846937" w:rsidR="006C567A" w:rsidRPr="001E347D" w:rsidRDefault="00733801" w:rsidP="006C567A">
            <w:pPr>
              <w:spacing w:before="0" w:line="240" w:lineRule="auto"/>
              <w:rPr>
                <w:rFonts w:eastAsia="Times New Roman" w:cstheme="minorHAnsi"/>
                <w:sz w:val="18"/>
                <w:szCs w:val="18"/>
                <w:lang w:val="en-AU" w:eastAsia="en-AU"/>
              </w:rPr>
            </w:pPr>
            <w:r w:rsidRPr="0017709C">
              <w:rPr>
                <w:rFonts w:eastAsia="Times New Roman" w:cstheme="minorHAnsi"/>
                <w:sz w:val="18"/>
                <w:szCs w:val="18"/>
                <w:lang w:val="en-AU" w:eastAsia="en-AU"/>
              </w:rPr>
              <w:t>Task</w:t>
            </w:r>
          </w:p>
        </w:tc>
        <w:tc>
          <w:tcPr>
            <w:tcW w:w="628" w:type="pct"/>
            <w:hideMark/>
          </w:tcPr>
          <w:p w14:paraId="528E6C37" w14:textId="77777777" w:rsidR="006C567A" w:rsidRPr="001E347D" w:rsidRDefault="006C567A"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tariff</w:t>
            </w:r>
          </w:p>
        </w:tc>
        <w:tc>
          <w:tcPr>
            <w:tcW w:w="550" w:type="pct"/>
            <w:hideMark/>
          </w:tcPr>
          <w:p w14:paraId="3CDA6A99" w14:textId="77777777" w:rsidR="006C567A" w:rsidRPr="001E347D" w:rsidRDefault="006C567A"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Time (hrs)</w:t>
            </w:r>
          </w:p>
        </w:tc>
        <w:tc>
          <w:tcPr>
            <w:tcW w:w="784" w:type="pct"/>
            <w:hideMark/>
          </w:tcPr>
          <w:p w14:paraId="223849A6" w14:textId="6DF7A2C2" w:rsidR="006C567A" w:rsidRPr="001E347D" w:rsidRDefault="006C567A"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cost per hr</w:t>
            </w:r>
            <w:r w:rsidR="00AB6775">
              <w:rPr>
                <w:rFonts w:eastAsia="Times New Roman" w:cstheme="minorHAnsi"/>
                <w:sz w:val="18"/>
                <w:szCs w:val="18"/>
                <w:lang w:val="en-AU" w:eastAsia="en-AU"/>
              </w:rPr>
              <w:t xml:space="preserve"> $</w:t>
            </w:r>
          </w:p>
        </w:tc>
        <w:tc>
          <w:tcPr>
            <w:tcW w:w="603" w:type="pct"/>
            <w:hideMark/>
          </w:tcPr>
          <w:p w14:paraId="646E2584" w14:textId="26705811" w:rsidR="006C567A" w:rsidRPr="001E347D" w:rsidRDefault="006C567A"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Cost</w:t>
            </w:r>
            <w:r w:rsidR="00AB6775">
              <w:rPr>
                <w:rFonts w:eastAsia="Times New Roman" w:cstheme="minorHAnsi"/>
                <w:sz w:val="18"/>
                <w:szCs w:val="18"/>
                <w:lang w:val="en-AU" w:eastAsia="en-AU"/>
              </w:rPr>
              <w:t xml:space="preserve"> $</w:t>
            </w:r>
          </w:p>
        </w:tc>
      </w:tr>
      <w:tr w:rsidR="006C567A" w:rsidRPr="006C567A" w14:paraId="5BA79A1B"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435" w:type="pct"/>
            <w:hideMark/>
          </w:tcPr>
          <w:p w14:paraId="188BFB52" w14:textId="77777777" w:rsidR="006C567A" w:rsidRPr="001E347D" w:rsidRDefault="006C567A" w:rsidP="006C567A">
            <w:pPr>
              <w:spacing w:before="0" w:line="240" w:lineRule="auto"/>
              <w:rPr>
                <w:rFonts w:eastAsia="Times New Roman" w:cstheme="minorHAnsi"/>
                <w:b w:val="0"/>
                <w:color w:val="000000"/>
                <w:sz w:val="18"/>
                <w:szCs w:val="18"/>
                <w:lang w:val="en-AU" w:eastAsia="en-AU"/>
              </w:rPr>
            </w:pPr>
            <w:r w:rsidRPr="007E0884">
              <w:rPr>
                <w:rFonts w:eastAsia="Times New Roman" w:cstheme="minorHAnsi"/>
                <w:color w:val="000000"/>
                <w:sz w:val="18"/>
                <w:szCs w:val="18"/>
                <w:lang w:val="en-AU" w:eastAsia="en-AU"/>
              </w:rPr>
              <w:t>Telephone/email enquiries</w:t>
            </w:r>
          </w:p>
        </w:tc>
        <w:tc>
          <w:tcPr>
            <w:tcW w:w="628" w:type="pct"/>
            <w:hideMark/>
          </w:tcPr>
          <w:p w14:paraId="4D353A0D"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4</w:t>
            </w:r>
          </w:p>
        </w:tc>
        <w:tc>
          <w:tcPr>
            <w:tcW w:w="550" w:type="pct"/>
            <w:hideMark/>
          </w:tcPr>
          <w:p w14:paraId="0E00E695"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0.25</w:t>
            </w:r>
          </w:p>
        </w:tc>
        <w:tc>
          <w:tcPr>
            <w:tcW w:w="784" w:type="pct"/>
            <w:hideMark/>
          </w:tcPr>
          <w:p w14:paraId="539A9E25" w14:textId="0240B7DA"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103.15</w:t>
            </w:r>
          </w:p>
        </w:tc>
        <w:tc>
          <w:tcPr>
            <w:tcW w:w="603" w:type="pct"/>
            <w:hideMark/>
          </w:tcPr>
          <w:p w14:paraId="6DB1DE3C" w14:textId="07D9E058"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25.79</w:t>
            </w:r>
          </w:p>
        </w:tc>
      </w:tr>
      <w:tr w:rsidR="006C567A" w:rsidRPr="006C567A" w14:paraId="5A253AD6" w14:textId="77777777" w:rsidTr="00A252C0">
        <w:trPr>
          <w:trHeight w:val="24"/>
        </w:trPr>
        <w:tc>
          <w:tcPr>
            <w:cnfStyle w:val="001000000000" w:firstRow="0" w:lastRow="0" w:firstColumn="1" w:lastColumn="0" w:oddVBand="0" w:evenVBand="0" w:oddHBand="0" w:evenHBand="0" w:firstRowFirstColumn="0" w:firstRowLastColumn="0" w:lastRowFirstColumn="0" w:lastRowLastColumn="0"/>
            <w:tcW w:w="2435" w:type="pct"/>
            <w:hideMark/>
          </w:tcPr>
          <w:p w14:paraId="47CFF6D1" w14:textId="7777777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Receive application and review for completeness. File.</w:t>
            </w:r>
          </w:p>
        </w:tc>
        <w:tc>
          <w:tcPr>
            <w:tcW w:w="628" w:type="pct"/>
            <w:hideMark/>
          </w:tcPr>
          <w:p w14:paraId="103C972E"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4</w:t>
            </w:r>
          </w:p>
        </w:tc>
        <w:tc>
          <w:tcPr>
            <w:tcW w:w="550" w:type="pct"/>
            <w:hideMark/>
          </w:tcPr>
          <w:p w14:paraId="7F807EB9"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0.5</w:t>
            </w:r>
          </w:p>
        </w:tc>
        <w:tc>
          <w:tcPr>
            <w:tcW w:w="784" w:type="pct"/>
            <w:hideMark/>
          </w:tcPr>
          <w:p w14:paraId="7F8A7631" w14:textId="4C8041A6"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103.15</w:t>
            </w:r>
          </w:p>
        </w:tc>
        <w:tc>
          <w:tcPr>
            <w:tcW w:w="603" w:type="pct"/>
            <w:hideMark/>
          </w:tcPr>
          <w:p w14:paraId="7DE520B8" w14:textId="6F63582E"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51.58</w:t>
            </w:r>
          </w:p>
        </w:tc>
      </w:tr>
      <w:tr w:rsidR="006C567A" w:rsidRPr="006C567A" w14:paraId="10FF1777" w14:textId="77777777" w:rsidTr="00A252C0">
        <w:trPr>
          <w:trHeight w:val="24"/>
        </w:trPr>
        <w:tc>
          <w:tcPr>
            <w:cnfStyle w:val="001000000000" w:firstRow="0" w:lastRow="0" w:firstColumn="1" w:lastColumn="0" w:oddVBand="0" w:evenVBand="0" w:oddHBand="0" w:evenHBand="0" w:firstRowFirstColumn="0" w:firstRowLastColumn="0" w:lastRowFirstColumn="0" w:lastRowLastColumn="0"/>
            <w:tcW w:w="2435" w:type="pct"/>
            <w:hideMark/>
          </w:tcPr>
          <w:p w14:paraId="614F17A8" w14:textId="7777777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Follow up with applicant if documents outstanding</w:t>
            </w:r>
          </w:p>
        </w:tc>
        <w:tc>
          <w:tcPr>
            <w:tcW w:w="628" w:type="pct"/>
            <w:hideMark/>
          </w:tcPr>
          <w:p w14:paraId="324B61CC"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4</w:t>
            </w:r>
          </w:p>
        </w:tc>
        <w:tc>
          <w:tcPr>
            <w:tcW w:w="550" w:type="pct"/>
            <w:hideMark/>
          </w:tcPr>
          <w:p w14:paraId="10F399D1"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0.17</w:t>
            </w:r>
          </w:p>
        </w:tc>
        <w:tc>
          <w:tcPr>
            <w:tcW w:w="784" w:type="pct"/>
            <w:hideMark/>
          </w:tcPr>
          <w:p w14:paraId="6C609E12" w14:textId="513ADA4A"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103.15</w:t>
            </w:r>
          </w:p>
        </w:tc>
        <w:tc>
          <w:tcPr>
            <w:tcW w:w="603" w:type="pct"/>
            <w:hideMark/>
          </w:tcPr>
          <w:p w14:paraId="519D0CC1" w14:textId="59D53334"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17.54</w:t>
            </w:r>
          </w:p>
        </w:tc>
      </w:tr>
      <w:tr w:rsidR="006C567A" w:rsidRPr="006C567A" w14:paraId="64BE8373"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435" w:type="pct"/>
            <w:hideMark/>
          </w:tcPr>
          <w:p w14:paraId="2533F16C" w14:textId="7777777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Raise invoice</w:t>
            </w:r>
          </w:p>
        </w:tc>
        <w:tc>
          <w:tcPr>
            <w:tcW w:w="628" w:type="pct"/>
            <w:hideMark/>
          </w:tcPr>
          <w:p w14:paraId="54C170C2"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4</w:t>
            </w:r>
          </w:p>
        </w:tc>
        <w:tc>
          <w:tcPr>
            <w:tcW w:w="550" w:type="pct"/>
            <w:hideMark/>
          </w:tcPr>
          <w:p w14:paraId="1C0FA8FB"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0.17</w:t>
            </w:r>
          </w:p>
        </w:tc>
        <w:tc>
          <w:tcPr>
            <w:tcW w:w="784" w:type="pct"/>
            <w:hideMark/>
          </w:tcPr>
          <w:p w14:paraId="1FD26B3E" w14:textId="631A486D"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103.15</w:t>
            </w:r>
          </w:p>
        </w:tc>
        <w:tc>
          <w:tcPr>
            <w:tcW w:w="603" w:type="pct"/>
            <w:hideMark/>
          </w:tcPr>
          <w:p w14:paraId="6668FCFE" w14:textId="02596514"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17.54</w:t>
            </w:r>
          </w:p>
        </w:tc>
      </w:tr>
      <w:tr w:rsidR="006C567A" w:rsidRPr="006C567A" w14:paraId="532F0CC6" w14:textId="77777777" w:rsidTr="00A252C0">
        <w:trPr>
          <w:trHeight w:val="153"/>
        </w:trPr>
        <w:tc>
          <w:tcPr>
            <w:cnfStyle w:val="001000000000" w:firstRow="0" w:lastRow="0" w:firstColumn="1" w:lastColumn="0" w:oddVBand="0" w:evenVBand="0" w:oddHBand="0" w:evenHBand="0" w:firstRowFirstColumn="0" w:firstRowLastColumn="0" w:lastRowFirstColumn="0" w:lastRowLastColumn="0"/>
            <w:tcW w:w="2435" w:type="pct"/>
            <w:hideMark/>
          </w:tcPr>
          <w:p w14:paraId="7BC5B12F" w14:textId="7777777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Application assessed by Authorised Officer if variation is for addition of clinical services</w:t>
            </w:r>
          </w:p>
        </w:tc>
        <w:tc>
          <w:tcPr>
            <w:tcW w:w="628" w:type="pct"/>
            <w:hideMark/>
          </w:tcPr>
          <w:p w14:paraId="6A2B532E"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5</w:t>
            </w:r>
          </w:p>
        </w:tc>
        <w:tc>
          <w:tcPr>
            <w:tcW w:w="550" w:type="pct"/>
            <w:hideMark/>
          </w:tcPr>
          <w:p w14:paraId="1B22F656"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2</w:t>
            </w:r>
          </w:p>
        </w:tc>
        <w:tc>
          <w:tcPr>
            <w:tcW w:w="784" w:type="pct"/>
            <w:hideMark/>
          </w:tcPr>
          <w:p w14:paraId="275106ED" w14:textId="3A875DD3"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123.28</w:t>
            </w:r>
          </w:p>
        </w:tc>
        <w:tc>
          <w:tcPr>
            <w:tcW w:w="603" w:type="pct"/>
            <w:hideMark/>
          </w:tcPr>
          <w:p w14:paraId="6A838916" w14:textId="76272BE9"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246.56</w:t>
            </w:r>
          </w:p>
        </w:tc>
      </w:tr>
      <w:tr w:rsidR="006C567A" w:rsidRPr="006C567A" w14:paraId="72960D03" w14:textId="77777777" w:rsidTr="00A252C0">
        <w:trPr>
          <w:trHeight w:val="24"/>
        </w:trPr>
        <w:tc>
          <w:tcPr>
            <w:cnfStyle w:val="001000000000" w:firstRow="0" w:lastRow="0" w:firstColumn="1" w:lastColumn="0" w:oddVBand="0" w:evenVBand="0" w:oddHBand="0" w:evenHBand="0" w:firstRowFirstColumn="0" w:firstRowLastColumn="0" w:lastRowFirstColumn="0" w:lastRowLastColumn="0"/>
            <w:tcW w:w="2435" w:type="pct"/>
            <w:hideMark/>
          </w:tcPr>
          <w:p w14:paraId="4F09E477" w14:textId="6F931D9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Preparation of memo, cert</w:t>
            </w:r>
            <w:r w:rsidR="002601B0">
              <w:rPr>
                <w:rFonts w:eastAsia="Times New Roman" w:cstheme="minorHAnsi"/>
                <w:b w:val="0"/>
                <w:color w:val="000000"/>
                <w:sz w:val="18"/>
                <w:szCs w:val="18"/>
                <w:lang w:val="en-AU" w:eastAsia="en-AU"/>
              </w:rPr>
              <w:t>ificate</w:t>
            </w:r>
            <w:r w:rsidRPr="006C567A">
              <w:rPr>
                <w:rFonts w:eastAsia="Times New Roman" w:cstheme="minorHAnsi"/>
                <w:b w:val="0"/>
                <w:color w:val="000000"/>
                <w:sz w:val="18"/>
                <w:szCs w:val="18"/>
                <w:lang w:val="en-AU" w:eastAsia="en-AU"/>
              </w:rPr>
              <w:t xml:space="preserve"> and letter of approval</w:t>
            </w:r>
          </w:p>
        </w:tc>
        <w:tc>
          <w:tcPr>
            <w:tcW w:w="628" w:type="pct"/>
            <w:hideMark/>
          </w:tcPr>
          <w:p w14:paraId="498E8F95"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4</w:t>
            </w:r>
          </w:p>
        </w:tc>
        <w:tc>
          <w:tcPr>
            <w:tcW w:w="550" w:type="pct"/>
            <w:hideMark/>
          </w:tcPr>
          <w:p w14:paraId="7D27259C"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0.5</w:t>
            </w:r>
          </w:p>
        </w:tc>
        <w:tc>
          <w:tcPr>
            <w:tcW w:w="784" w:type="pct"/>
            <w:hideMark/>
          </w:tcPr>
          <w:p w14:paraId="61DAD3BF" w14:textId="57CC8CB1"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103.15</w:t>
            </w:r>
          </w:p>
        </w:tc>
        <w:tc>
          <w:tcPr>
            <w:tcW w:w="603" w:type="pct"/>
            <w:hideMark/>
          </w:tcPr>
          <w:p w14:paraId="22FA2CD1" w14:textId="5D3E56AA"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51.58</w:t>
            </w:r>
          </w:p>
        </w:tc>
      </w:tr>
      <w:tr w:rsidR="006C567A" w:rsidRPr="006C567A" w14:paraId="006653E4"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435" w:type="pct"/>
            <w:hideMark/>
          </w:tcPr>
          <w:p w14:paraId="017E2A0C" w14:textId="3B8F94F8" w:rsidR="006C567A" w:rsidRPr="006C567A" w:rsidRDefault="002601B0" w:rsidP="006C567A">
            <w:pPr>
              <w:spacing w:before="0" w:line="240" w:lineRule="auto"/>
              <w:rPr>
                <w:rFonts w:eastAsia="Times New Roman" w:cstheme="minorHAnsi"/>
                <w:b w:val="0"/>
                <w:color w:val="000000"/>
                <w:sz w:val="18"/>
                <w:szCs w:val="18"/>
                <w:lang w:val="en-AU" w:eastAsia="en-AU"/>
              </w:rPr>
            </w:pPr>
            <w:r w:rsidRPr="007324C3">
              <w:rPr>
                <w:rFonts w:eastAsia="Times New Roman" w:cstheme="minorHAnsi"/>
                <w:b w:val="0"/>
                <w:color w:val="auto"/>
                <w:sz w:val="18"/>
                <w:szCs w:val="18"/>
                <w:lang w:val="en-AU" w:eastAsia="en-AU"/>
              </w:rPr>
              <w:t>M</w:t>
            </w:r>
            <w:r>
              <w:rPr>
                <w:rFonts w:eastAsia="Times New Roman" w:cstheme="minorHAnsi"/>
                <w:b w:val="0"/>
                <w:color w:val="auto"/>
                <w:sz w:val="18"/>
                <w:szCs w:val="18"/>
                <w:lang w:val="en-AU" w:eastAsia="en-AU"/>
              </w:rPr>
              <w:t>emo, Certificate and Letter</w:t>
            </w:r>
            <w:r w:rsidRPr="007324C3">
              <w:rPr>
                <w:rFonts w:eastAsia="Times New Roman" w:cstheme="minorHAnsi"/>
                <w:b w:val="0"/>
                <w:color w:val="auto"/>
                <w:sz w:val="18"/>
                <w:szCs w:val="18"/>
                <w:lang w:val="en-AU" w:eastAsia="en-AU"/>
              </w:rPr>
              <w:t xml:space="preserve"> reviewed by manager</w:t>
            </w:r>
          </w:p>
        </w:tc>
        <w:tc>
          <w:tcPr>
            <w:tcW w:w="628" w:type="pct"/>
            <w:hideMark/>
          </w:tcPr>
          <w:p w14:paraId="601FCEDF"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6</w:t>
            </w:r>
          </w:p>
        </w:tc>
        <w:tc>
          <w:tcPr>
            <w:tcW w:w="550" w:type="pct"/>
            <w:hideMark/>
          </w:tcPr>
          <w:p w14:paraId="3F5029EA"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0.5</w:t>
            </w:r>
          </w:p>
        </w:tc>
        <w:tc>
          <w:tcPr>
            <w:tcW w:w="784" w:type="pct"/>
            <w:hideMark/>
          </w:tcPr>
          <w:p w14:paraId="0164C057" w14:textId="0E52C670"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159.86</w:t>
            </w:r>
          </w:p>
        </w:tc>
        <w:tc>
          <w:tcPr>
            <w:tcW w:w="603" w:type="pct"/>
            <w:hideMark/>
          </w:tcPr>
          <w:p w14:paraId="11338447" w14:textId="18937016"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79.93</w:t>
            </w:r>
          </w:p>
        </w:tc>
      </w:tr>
      <w:tr w:rsidR="006C567A" w:rsidRPr="006C567A" w14:paraId="585730EB" w14:textId="77777777" w:rsidTr="00A252C0">
        <w:trPr>
          <w:trHeight w:val="24"/>
        </w:trPr>
        <w:tc>
          <w:tcPr>
            <w:cnfStyle w:val="001000000000" w:firstRow="0" w:lastRow="0" w:firstColumn="1" w:lastColumn="0" w:oddVBand="0" w:evenVBand="0" w:oddHBand="0" w:evenHBand="0" w:firstRowFirstColumn="0" w:firstRowLastColumn="0" w:lastRowFirstColumn="0" w:lastRowLastColumn="0"/>
            <w:tcW w:w="2435" w:type="pct"/>
            <w:hideMark/>
          </w:tcPr>
          <w:p w14:paraId="70AD045D" w14:textId="7777777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Decision by delegate (director)</w:t>
            </w:r>
          </w:p>
        </w:tc>
        <w:tc>
          <w:tcPr>
            <w:tcW w:w="628" w:type="pct"/>
            <w:hideMark/>
          </w:tcPr>
          <w:p w14:paraId="388D64A0"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Director (EO3)</w:t>
            </w:r>
          </w:p>
        </w:tc>
        <w:tc>
          <w:tcPr>
            <w:tcW w:w="550" w:type="pct"/>
            <w:hideMark/>
          </w:tcPr>
          <w:p w14:paraId="235A2FE9"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0.33</w:t>
            </w:r>
          </w:p>
        </w:tc>
        <w:tc>
          <w:tcPr>
            <w:tcW w:w="784" w:type="pct"/>
            <w:hideMark/>
          </w:tcPr>
          <w:p w14:paraId="55ECB2B1" w14:textId="6B3FB4B6"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259.34</w:t>
            </w:r>
          </w:p>
        </w:tc>
        <w:tc>
          <w:tcPr>
            <w:tcW w:w="603" w:type="pct"/>
            <w:hideMark/>
          </w:tcPr>
          <w:p w14:paraId="74902137" w14:textId="0604973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85.58</w:t>
            </w:r>
          </w:p>
        </w:tc>
      </w:tr>
      <w:tr w:rsidR="006C567A" w:rsidRPr="006C567A" w14:paraId="128AB07E" w14:textId="77777777" w:rsidTr="00A252C0">
        <w:trPr>
          <w:trHeight w:val="24"/>
        </w:trPr>
        <w:tc>
          <w:tcPr>
            <w:cnfStyle w:val="001000000000" w:firstRow="0" w:lastRow="0" w:firstColumn="1" w:lastColumn="0" w:oddVBand="0" w:evenVBand="0" w:oddHBand="0" w:evenHBand="0" w:firstRowFirstColumn="0" w:firstRowLastColumn="0" w:lastRowFirstColumn="0" w:lastRowLastColumn="0"/>
            <w:tcW w:w="2435" w:type="pct"/>
            <w:hideMark/>
          </w:tcPr>
          <w:p w14:paraId="23FC7D9E" w14:textId="7777777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Email of cert and letter of approval to applicant</w:t>
            </w:r>
          </w:p>
        </w:tc>
        <w:tc>
          <w:tcPr>
            <w:tcW w:w="628" w:type="pct"/>
            <w:hideMark/>
          </w:tcPr>
          <w:p w14:paraId="286BCC80"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4</w:t>
            </w:r>
          </w:p>
        </w:tc>
        <w:tc>
          <w:tcPr>
            <w:tcW w:w="550" w:type="pct"/>
            <w:hideMark/>
          </w:tcPr>
          <w:p w14:paraId="4A910385"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0.17</w:t>
            </w:r>
          </w:p>
        </w:tc>
        <w:tc>
          <w:tcPr>
            <w:tcW w:w="784" w:type="pct"/>
            <w:hideMark/>
          </w:tcPr>
          <w:p w14:paraId="3840E7EC" w14:textId="7929DE70"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103.15</w:t>
            </w:r>
          </w:p>
        </w:tc>
        <w:tc>
          <w:tcPr>
            <w:tcW w:w="603" w:type="pct"/>
            <w:hideMark/>
          </w:tcPr>
          <w:p w14:paraId="2D0E2413" w14:textId="56475723"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17.54</w:t>
            </w:r>
          </w:p>
        </w:tc>
      </w:tr>
      <w:tr w:rsidR="006C567A" w:rsidRPr="006C567A" w14:paraId="1A7DEE8B"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435" w:type="pct"/>
            <w:hideMark/>
          </w:tcPr>
          <w:p w14:paraId="6DA17F1A" w14:textId="7777777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Save documents to TRIM and database</w:t>
            </w:r>
          </w:p>
        </w:tc>
        <w:tc>
          <w:tcPr>
            <w:tcW w:w="628" w:type="pct"/>
            <w:hideMark/>
          </w:tcPr>
          <w:p w14:paraId="67960486"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4</w:t>
            </w:r>
          </w:p>
        </w:tc>
        <w:tc>
          <w:tcPr>
            <w:tcW w:w="550" w:type="pct"/>
            <w:hideMark/>
          </w:tcPr>
          <w:p w14:paraId="01388118"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0.17</w:t>
            </w:r>
          </w:p>
        </w:tc>
        <w:tc>
          <w:tcPr>
            <w:tcW w:w="784" w:type="pct"/>
            <w:hideMark/>
          </w:tcPr>
          <w:p w14:paraId="6FBD2539" w14:textId="09E6BBA6"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103.15</w:t>
            </w:r>
          </w:p>
        </w:tc>
        <w:tc>
          <w:tcPr>
            <w:tcW w:w="603" w:type="pct"/>
            <w:hideMark/>
          </w:tcPr>
          <w:p w14:paraId="4649DBB1" w14:textId="73B9924A"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17.54</w:t>
            </w:r>
          </w:p>
        </w:tc>
      </w:tr>
      <w:tr w:rsidR="006C567A" w:rsidRPr="006C567A" w14:paraId="2CC6F1BB" w14:textId="77777777" w:rsidTr="00A252C0">
        <w:trPr>
          <w:trHeight w:val="24"/>
        </w:trPr>
        <w:tc>
          <w:tcPr>
            <w:cnfStyle w:val="001000000000" w:firstRow="0" w:lastRow="0" w:firstColumn="1" w:lastColumn="0" w:oddVBand="0" w:evenVBand="0" w:oddHBand="0" w:evenHBand="0" w:firstRowFirstColumn="0" w:firstRowLastColumn="0" w:lastRowFirstColumn="0" w:lastRowLastColumn="0"/>
            <w:tcW w:w="2435" w:type="pct"/>
            <w:hideMark/>
          </w:tcPr>
          <w:p w14:paraId="6C350AC8" w14:textId="77777777" w:rsidR="006C567A" w:rsidRPr="006C567A" w:rsidRDefault="006C567A" w:rsidP="006C567A">
            <w:pPr>
              <w:spacing w:before="0" w:line="240" w:lineRule="auto"/>
              <w:rPr>
                <w:rFonts w:eastAsia="Times New Roman" w:cstheme="minorHAnsi"/>
                <w:b w:val="0"/>
                <w:color w:val="000000"/>
                <w:sz w:val="18"/>
                <w:szCs w:val="18"/>
                <w:lang w:val="en-AU" w:eastAsia="en-AU"/>
              </w:rPr>
            </w:pPr>
            <w:r w:rsidRPr="006C567A">
              <w:rPr>
                <w:rFonts w:eastAsia="Times New Roman" w:cstheme="minorHAnsi"/>
                <w:b w:val="0"/>
                <w:color w:val="000000"/>
                <w:sz w:val="18"/>
                <w:szCs w:val="18"/>
                <w:lang w:val="en-AU" w:eastAsia="en-AU"/>
              </w:rPr>
              <w:t>Advise sent to internal and external stakeholders</w:t>
            </w:r>
          </w:p>
        </w:tc>
        <w:tc>
          <w:tcPr>
            <w:tcW w:w="628" w:type="pct"/>
            <w:hideMark/>
          </w:tcPr>
          <w:p w14:paraId="49EB9504"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VPS 4</w:t>
            </w:r>
          </w:p>
        </w:tc>
        <w:tc>
          <w:tcPr>
            <w:tcW w:w="550" w:type="pct"/>
            <w:hideMark/>
          </w:tcPr>
          <w:p w14:paraId="6DC085C1" w14:textId="77777777"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0.25</w:t>
            </w:r>
          </w:p>
        </w:tc>
        <w:tc>
          <w:tcPr>
            <w:tcW w:w="784" w:type="pct"/>
            <w:hideMark/>
          </w:tcPr>
          <w:p w14:paraId="0DD82C03" w14:textId="312E098F"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103.15</w:t>
            </w:r>
          </w:p>
        </w:tc>
        <w:tc>
          <w:tcPr>
            <w:tcW w:w="603" w:type="pct"/>
            <w:hideMark/>
          </w:tcPr>
          <w:p w14:paraId="391D1BF9" w14:textId="4E318359"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6C567A">
              <w:rPr>
                <w:rFonts w:eastAsia="Times New Roman" w:cstheme="minorHAnsi"/>
                <w:color w:val="000000"/>
                <w:sz w:val="18"/>
                <w:szCs w:val="18"/>
                <w:lang w:val="en-AU" w:eastAsia="en-AU"/>
              </w:rPr>
              <w:t>25.79</w:t>
            </w:r>
          </w:p>
        </w:tc>
      </w:tr>
      <w:tr w:rsidR="006C567A" w:rsidRPr="006C567A" w14:paraId="3B1B5111"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435" w:type="pct"/>
            <w:hideMark/>
          </w:tcPr>
          <w:p w14:paraId="67345757" w14:textId="1EE9E804" w:rsidR="006C567A" w:rsidRPr="006C567A" w:rsidRDefault="006C567A" w:rsidP="006C567A">
            <w:pPr>
              <w:spacing w:before="0" w:line="240" w:lineRule="auto"/>
              <w:rPr>
                <w:rFonts w:eastAsia="Times New Roman" w:cstheme="minorHAnsi"/>
                <w:bCs/>
                <w:color w:val="000000"/>
                <w:sz w:val="18"/>
                <w:szCs w:val="18"/>
                <w:lang w:val="en-AU" w:eastAsia="en-AU"/>
              </w:rPr>
            </w:pPr>
            <w:r w:rsidRPr="006C567A">
              <w:rPr>
                <w:rFonts w:eastAsia="Times New Roman" w:cstheme="minorHAnsi"/>
                <w:bCs/>
                <w:color w:val="000000"/>
                <w:sz w:val="18"/>
                <w:szCs w:val="18"/>
                <w:lang w:val="en-AU" w:eastAsia="en-AU"/>
              </w:rPr>
              <w:t>T</w:t>
            </w:r>
            <w:r w:rsidRPr="007C3DD4">
              <w:rPr>
                <w:rFonts w:eastAsia="Times New Roman" w:cstheme="minorHAnsi"/>
                <w:bCs/>
                <w:color w:val="000000"/>
                <w:sz w:val="18"/>
                <w:szCs w:val="18"/>
                <w:lang w:val="en-AU" w:eastAsia="en-AU"/>
              </w:rPr>
              <w:t>otal</w:t>
            </w:r>
          </w:p>
        </w:tc>
        <w:tc>
          <w:tcPr>
            <w:tcW w:w="628" w:type="pct"/>
            <w:hideMark/>
          </w:tcPr>
          <w:p w14:paraId="5E079E96" w14:textId="34D32280"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550" w:type="pct"/>
            <w:hideMark/>
          </w:tcPr>
          <w:p w14:paraId="655BD59A" w14:textId="22DF571A"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784" w:type="pct"/>
            <w:hideMark/>
          </w:tcPr>
          <w:p w14:paraId="0F1E717B" w14:textId="6D1D48AC"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603" w:type="pct"/>
            <w:hideMark/>
          </w:tcPr>
          <w:p w14:paraId="1DF42AD1" w14:textId="5C88C359" w:rsidR="006C567A" w:rsidRPr="006C567A" w:rsidRDefault="006C567A"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r w:rsidRPr="006C567A">
              <w:rPr>
                <w:rFonts w:eastAsia="Times New Roman" w:cstheme="minorHAnsi"/>
                <w:b/>
                <w:bCs/>
                <w:color w:val="000000"/>
                <w:sz w:val="18"/>
                <w:szCs w:val="18"/>
                <w:lang w:val="en-AU" w:eastAsia="en-AU"/>
              </w:rPr>
              <w:t>636.94</w:t>
            </w:r>
          </w:p>
        </w:tc>
      </w:tr>
    </w:tbl>
    <w:p w14:paraId="03664A38" w14:textId="1183851F" w:rsidR="006F1D3B" w:rsidRDefault="006F1D3B">
      <w:pPr>
        <w:spacing w:before="0" w:line="259" w:lineRule="auto"/>
        <w:rPr>
          <w:i/>
          <w:iCs/>
        </w:rPr>
      </w:pPr>
    </w:p>
    <w:p w14:paraId="029C90C3" w14:textId="77777777" w:rsidR="00F57CA8" w:rsidRDefault="00F57CA8">
      <w:pPr>
        <w:spacing w:before="0" w:line="259" w:lineRule="auto"/>
        <w:rPr>
          <w:rStyle w:val="Strong"/>
        </w:rPr>
      </w:pPr>
      <w:r>
        <w:rPr>
          <w:rStyle w:val="Strong"/>
        </w:rPr>
        <w:br w:type="page"/>
      </w:r>
    </w:p>
    <w:p w14:paraId="1FFA66E8" w14:textId="75F99380" w:rsidR="005C472F" w:rsidRPr="001E347D" w:rsidRDefault="00BE7BC3" w:rsidP="0052151C">
      <w:pPr>
        <w:rPr>
          <w:rStyle w:val="Strong"/>
        </w:rPr>
      </w:pPr>
      <w:r w:rsidRPr="001E347D">
        <w:rPr>
          <w:rStyle w:val="Strong"/>
        </w:rPr>
        <w:lastRenderedPageBreak/>
        <w:t>Transfer of registration</w:t>
      </w:r>
    </w:p>
    <w:tbl>
      <w:tblPr>
        <w:tblStyle w:val="SapereTable"/>
        <w:tblW w:w="5000" w:type="pct"/>
        <w:tblLayout w:type="fixed"/>
        <w:tblLook w:val="04A0" w:firstRow="1" w:lastRow="0" w:firstColumn="1" w:lastColumn="0" w:noHBand="0" w:noVBand="1"/>
      </w:tblPr>
      <w:tblGrid>
        <w:gridCol w:w="4253"/>
        <w:gridCol w:w="1134"/>
        <w:gridCol w:w="1134"/>
        <w:gridCol w:w="1276"/>
        <w:gridCol w:w="1229"/>
      </w:tblGrid>
      <w:tr w:rsidR="006238A2" w:rsidRPr="00733801" w14:paraId="0BD9C98A" w14:textId="77777777" w:rsidTr="006522DF">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2356" w:type="pct"/>
            <w:hideMark/>
          </w:tcPr>
          <w:p w14:paraId="037FF9CE" w14:textId="1EA0BF04" w:rsidR="00733801" w:rsidRPr="001E347D" w:rsidRDefault="00733801" w:rsidP="00733801">
            <w:pPr>
              <w:spacing w:before="0" w:line="240" w:lineRule="auto"/>
              <w:rPr>
                <w:rFonts w:eastAsia="Times New Roman" w:cstheme="minorHAnsi"/>
                <w:sz w:val="18"/>
                <w:szCs w:val="18"/>
                <w:lang w:val="en-AU" w:eastAsia="en-AU"/>
              </w:rPr>
            </w:pPr>
            <w:r w:rsidRPr="0017709C">
              <w:rPr>
                <w:rFonts w:eastAsia="Times New Roman" w:cstheme="minorHAnsi"/>
                <w:sz w:val="18"/>
                <w:szCs w:val="18"/>
                <w:lang w:val="en-AU" w:eastAsia="en-AU"/>
              </w:rPr>
              <w:t>Task</w:t>
            </w:r>
          </w:p>
        </w:tc>
        <w:tc>
          <w:tcPr>
            <w:tcW w:w="628" w:type="pct"/>
            <w:hideMark/>
          </w:tcPr>
          <w:p w14:paraId="5F9F1818" w14:textId="77777777" w:rsidR="00733801" w:rsidRPr="001E347D" w:rsidRDefault="00733801"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tariff</w:t>
            </w:r>
          </w:p>
        </w:tc>
        <w:tc>
          <w:tcPr>
            <w:tcW w:w="628" w:type="pct"/>
            <w:hideMark/>
          </w:tcPr>
          <w:p w14:paraId="756C3CC3" w14:textId="77777777" w:rsidR="00733801" w:rsidRPr="001E347D" w:rsidRDefault="00733801"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Time (hrs)</w:t>
            </w:r>
          </w:p>
        </w:tc>
        <w:tc>
          <w:tcPr>
            <w:tcW w:w="707" w:type="pct"/>
            <w:hideMark/>
          </w:tcPr>
          <w:p w14:paraId="54640232" w14:textId="251C4504" w:rsidR="00733801" w:rsidRPr="001E347D" w:rsidRDefault="00733801"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Staff cost per hr</w:t>
            </w:r>
            <w:r w:rsidR="00AB6775">
              <w:rPr>
                <w:rFonts w:eastAsia="Times New Roman" w:cstheme="minorHAnsi"/>
                <w:sz w:val="18"/>
                <w:szCs w:val="18"/>
                <w:lang w:val="en-AU" w:eastAsia="en-AU"/>
              </w:rPr>
              <w:t xml:space="preserve"> $</w:t>
            </w:r>
          </w:p>
        </w:tc>
        <w:tc>
          <w:tcPr>
            <w:tcW w:w="681" w:type="pct"/>
            <w:noWrap/>
            <w:hideMark/>
          </w:tcPr>
          <w:p w14:paraId="1BB50DA9" w14:textId="299C04CB" w:rsidR="00733801" w:rsidRPr="001E347D" w:rsidRDefault="00733801" w:rsidP="00466F45">
            <w:pPr>
              <w:spacing w:before="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val="en-AU" w:eastAsia="en-AU"/>
              </w:rPr>
            </w:pPr>
            <w:r w:rsidRPr="0017709C">
              <w:rPr>
                <w:rFonts w:eastAsia="Times New Roman" w:cstheme="minorHAnsi"/>
                <w:sz w:val="18"/>
                <w:szCs w:val="18"/>
                <w:lang w:val="en-AU" w:eastAsia="en-AU"/>
              </w:rPr>
              <w:t>Cost</w:t>
            </w:r>
            <w:r w:rsidR="00AB6775">
              <w:rPr>
                <w:rFonts w:eastAsia="Times New Roman" w:cstheme="minorHAnsi"/>
                <w:sz w:val="18"/>
                <w:szCs w:val="18"/>
                <w:lang w:val="en-AU" w:eastAsia="en-AU"/>
              </w:rPr>
              <w:t xml:space="preserve"> $</w:t>
            </w:r>
          </w:p>
        </w:tc>
      </w:tr>
      <w:tr w:rsidR="006238A2" w:rsidRPr="00733801" w14:paraId="169512B6"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3D156F00" w14:textId="77777777" w:rsidR="00733801" w:rsidRPr="001E347D" w:rsidRDefault="00733801" w:rsidP="00733801">
            <w:pPr>
              <w:spacing w:before="0" w:line="240" w:lineRule="auto"/>
              <w:rPr>
                <w:rFonts w:eastAsia="Times New Roman" w:cstheme="minorHAnsi"/>
                <w:b w:val="0"/>
                <w:color w:val="000000"/>
                <w:sz w:val="18"/>
                <w:szCs w:val="18"/>
                <w:lang w:val="en-AU" w:eastAsia="en-AU"/>
              </w:rPr>
            </w:pPr>
            <w:r w:rsidRPr="007E0884">
              <w:rPr>
                <w:rFonts w:eastAsia="Times New Roman" w:cstheme="minorHAnsi"/>
                <w:color w:val="000000"/>
                <w:sz w:val="18"/>
                <w:szCs w:val="18"/>
                <w:lang w:val="en-AU" w:eastAsia="en-AU"/>
              </w:rPr>
              <w:t>Telephone/email enquiries</w:t>
            </w:r>
          </w:p>
        </w:tc>
        <w:tc>
          <w:tcPr>
            <w:tcW w:w="628" w:type="pct"/>
            <w:hideMark/>
          </w:tcPr>
          <w:p w14:paraId="7A5031DB"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4</w:t>
            </w:r>
          </w:p>
        </w:tc>
        <w:tc>
          <w:tcPr>
            <w:tcW w:w="628" w:type="pct"/>
            <w:hideMark/>
          </w:tcPr>
          <w:p w14:paraId="71959D1C"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0.5</w:t>
            </w:r>
          </w:p>
        </w:tc>
        <w:tc>
          <w:tcPr>
            <w:tcW w:w="707" w:type="pct"/>
            <w:hideMark/>
          </w:tcPr>
          <w:p w14:paraId="13B9336F" w14:textId="1608996B"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103.15</w:t>
            </w:r>
          </w:p>
        </w:tc>
        <w:tc>
          <w:tcPr>
            <w:tcW w:w="681" w:type="pct"/>
            <w:noWrap/>
            <w:hideMark/>
          </w:tcPr>
          <w:p w14:paraId="42F6F155" w14:textId="62F25FCE"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51.58</w:t>
            </w:r>
          </w:p>
        </w:tc>
      </w:tr>
      <w:tr w:rsidR="006238A2" w:rsidRPr="00733801" w14:paraId="1F39024D" w14:textId="77777777" w:rsidTr="00A252C0">
        <w:trPr>
          <w:trHeight w:val="590"/>
        </w:trPr>
        <w:tc>
          <w:tcPr>
            <w:cnfStyle w:val="001000000000" w:firstRow="0" w:lastRow="0" w:firstColumn="1" w:lastColumn="0" w:oddVBand="0" w:evenVBand="0" w:oddHBand="0" w:evenHBand="0" w:firstRowFirstColumn="0" w:firstRowLastColumn="0" w:lastRowFirstColumn="0" w:lastRowLastColumn="0"/>
            <w:tcW w:w="2356" w:type="pct"/>
            <w:hideMark/>
          </w:tcPr>
          <w:p w14:paraId="6FFB98DF"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Receive application and review for completeness and regulatory compliance</w:t>
            </w:r>
          </w:p>
        </w:tc>
        <w:tc>
          <w:tcPr>
            <w:tcW w:w="628" w:type="pct"/>
            <w:hideMark/>
          </w:tcPr>
          <w:p w14:paraId="22248B2A"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5</w:t>
            </w:r>
          </w:p>
        </w:tc>
        <w:tc>
          <w:tcPr>
            <w:tcW w:w="628" w:type="pct"/>
            <w:hideMark/>
          </w:tcPr>
          <w:p w14:paraId="6EFB9050"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8</w:t>
            </w:r>
          </w:p>
        </w:tc>
        <w:tc>
          <w:tcPr>
            <w:tcW w:w="707" w:type="pct"/>
            <w:hideMark/>
          </w:tcPr>
          <w:p w14:paraId="43DC46E5" w14:textId="07525C0C"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c>
          <w:tcPr>
            <w:tcW w:w="681" w:type="pct"/>
            <w:noWrap/>
            <w:hideMark/>
          </w:tcPr>
          <w:p w14:paraId="7498A684" w14:textId="7DA1F5A6"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986.24</w:t>
            </w:r>
          </w:p>
        </w:tc>
      </w:tr>
      <w:tr w:rsidR="006238A2" w:rsidRPr="00733801" w14:paraId="25804F09"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691A109F"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File application and update master spreadsheet</w:t>
            </w:r>
          </w:p>
        </w:tc>
        <w:tc>
          <w:tcPr>
            <w:tcW w:w="628" w:type="pct"/>
            <w:hideMark/>
          </w:tcPr>
          <w:p w14:paraId="27FC9CFF"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5</w:t>
            </w:r>
          </w:p>
        </w:tc>
        <w:tc>
          <w:tcPr>
            <w:tcW w:w="628" w:type="pct"/>
            <w:hideMark/>
          </w:tcPr>
          <w:p w14:paraId="211FB86F"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0.25</w:t>
            </w:r>
          </w:p>
        </w:tc>
        <w:tc>
          <w:tcPr>
            <w:tcW w:w="707" w:type="pct"/>
            <w:hideMark/>
          </w:tcPr>
          <w:p w14:paraId="58F32CF9" w14:textId="4959D179"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c>
          <w:tcPr>
            <w:tcW w:w="681" w:type="pct"/>
            <w:noWrap/>
            <w:hideMark/>
          </w:tcPr>
          <w:p w14:paraId="04114492" w14:textId="15C5E5A7"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30.82</w:t>
            </w:r>
          </w:p>
        </w:tc>
      </w:tr>
      <w:tr w:rsidR="006238A2" w:rsidRPr="00733801" w14:paraId="40E6AA93" w14:textId="77777777" w:rsidTr="00A252C0">
        <w:trPr>
          <w:trHeight w:val="590"/>
        </w:trPr>
        <w:tc>
          <w:tcPr>
            <w:cnfStyle w:val="001000000000" w:firstRow="0" w:lastRow="0" w:firstColumn="1" w:lastColumn="0" w:oddVBand="0" w:evenVBand="0" w:oddHBand="0" w:evenHBand="0" w:firstRowFirstColumn="0" w:firstRowLastColumn="0" w:lastRowFirstColumn="0" w:lastRowLastColumn="0"/>
            <w:tcW w:w="2356" w:type="pct"/>
            <w:hideMark/>
          </w:tcPr>
          <w:p w14:paraId="4664D660"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Follow up with applicant if documents outstanding and provision of feedback</w:t>
            </w:r>
          </w:p>
        </w:tc>
        <w:tc>
          <w:tcPr>
            <w:tcW w:w="628" w:type="pct"/>
            <w:hideMark/>
          </w:tcPr>
          <w:p w14:paraId="2580ED01"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5</w:t>
            </w:r>
          </w:p>
        </w:tc>
        <w:tc>
          <w:tcPr>
            <w:tcW w:w="628" w:type="pct"/>
            <w:hideMark/>
          </w:tcPr>
          <w:p w14:paraId="5E1107D1"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w:t>
            </w:r>
          </w:p>
        </w:tc>
        <w:tc>
          <w:tcPr>
            <w:tcW w:w="707" w:type="pct"/>
            <w:hideMark/>
          </w:tcPr>
          <w:p w14:paraId="4E65CF91" w14:textId="6407F136"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c>
          <w:tcPr>
            <w:tcW w:w="681" w:type="pct"/>
            <w:noWrap/>
            <w:hideMark/>
          </w:tcPr>
          <w:p w14:paraId="32D8C412" w14:textId="1FBD91A4"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r>
      <w:tr w:rsidR="006238A2" w:rsidRPr="00733801" w14:paraId="5B11D52D"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6C2AA08B"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Raise invoice</w:t>
            </w:r>
          </w:p>
        </w:tc>
        <w:tc>
          <w:tcPr>
            <w:tcW w:w="628" w:type="pct"/>
            <w:hideMark/>
          </w:tcPr>
          <w:p w14:paraId="3A5DD7DA"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4</w:t>
            </w:r>
          </w:p>
        </w:tc>
        <w:tc>
          <w:tcPr>
            <w:tcW w:w="628" w:type="pct"/>
            <w:hideMark/>
          </w:tcPr>
          <w:p w14:paraId="3D2E9AA4"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0.17</w:t>
            </w:r>
          </w:p>
        </w:tc>
        <w:tc>
          <w:tcPr>
            <w:tcW w:w="707" w:type="pct"/>
            <w:hideMark/>
          </w:tcPr>
          <w:p w14:paraId="3FEF5441" w14:textId="4688FF11"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103.15</w:t>
            </w:r>
          </w:p>
        </w:tc>
        <w:tc>
          <w:tcPr>
            <w:tcW w:w="681" w:type="pct"/>
            <w:noWrap/>
            <w:hideMark/>
          </w:tcPr>
          <w:p w14:paraId="5B8010D0" w14:textId="10AE1BC0"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17.54</w:t>
            </w:r>
          </w:p>
        </w:tc>
      </w:tr>
      <w:tr w:rsidR="006238A2" w:rsidRPr="00733801" w14:paraId="7D7FB8BA"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562C027A"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Arrange for facility inspection</w:t>
            </w:r>
          </w:p>
        </w:tc>
        <w:tc>
          <w:tcPr>
            <w:tcW w:w="628" w:type="pct"/>
            <w:hideMark/>
          </w:tcPr>
          <w:p w14:paraId="7167E812"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5</w:t>
            </w:r>
          </w:p>
        </w:tc>
        <w:tc>
          <w:tcPr>
            <w:tcW w:w="628" w:type="pct"/>
            <w:hideMark/>
          </w:tcPr>
          <w:p w14:paraId="3A3EEE01"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0.17</w:t>
            </w:r>
          </w:p>
        </w:tc>
        <w:tc>
          <w:tcPr>
            <w:tcW w:w="707" w:type="pct"/>
            <w:hideMark/>
          </w:tcPr>
          <w:p w14:paraId="1B3D72C2" w14:textId="026B4FCC"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c>
          <w:tcPr>
            <w:tcW w:w="681" w:type="pct"/>
            <w:noWrap/>
            <w:hideMark/>
          </w:tcPr>
          <w:p w14:paraId="1F684084" w14:textId="69E0FDAE"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20.96</w:t>
            </w:r>
          </w:p>
        </w:tc>
      </w:tr>
      <w:tr w:rsidR="006238A2" w:rsidRPr="00733801" w14:paraId="7C125F29"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27DEC14A"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Pre-inspection preparation</w:t>
            </w:r>
          </w:p>
        </w:tc>
        <w:tc>
          <w:tcPr>
            <w:tcW w:w="628" w:type="pct"/>
            <w:hideMark/>
          </w:tcPr>
          <w:p w14:paraId="27AA0854"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5</w:t>
            </w:r>
          </w:p>
        </w:tc>
        <w:tc>
          <w:tcPr>
            <w:tcW w:w="628" w:type="pct"/>
            <w:hideMark/>
          </w:tcPr>
          <w:p w14:paraId="410E4D31"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8</w:t>
            </w:r>
          </w:p>
        </w:tc>
        <w:tc>
          <w:tcPr>
            <w:tcW w:w="707" w:type="pct"/>
            <w:hideMark/>
          </w:tcPr>
          <w:p w14:paraId="5CB42000" w14:textId="7770DB5F"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c>
          <w:tcPr>
            <w:tcW w:w="681" w:type="pct"/>
            <w:noWrap/>
            <w:hideMark/>
          </w:tcPr>
          <w:p w14:paraId="053C799E" w14:textId="3F9CB037"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986.24</w:t>
            </w:r>
          </w:p>
        </w:tc>
      </w:tr>
      <w:tr w:rsidR="006238A2" w:rsidRPr="00733801" w14:paraId="78150CE1"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67D9B402"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On-site inspection by authorised officer(s)</w:t>
            </w:r>
          </w:p>
        </w:tc>
        <w:tc>
          <w:tcPr>
            <w:tcW w:w="628" w:type="pct"/>
            <w:hideMark/>
          </w:tcPr>
          <w:p w14:paraId="25DBA458"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5</w:t>
            </w:r>
          </w:p>
        </w:tc>
        <w:tc>
          <w:tcPr>
            <w:tcW w:w="628" w:type="pct"/>
            <w:hideMark/>
          </w:tcPr>
          <w:p w14:paraId="763C81DB"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7</w:t>
            </w:r>
          </w:p>
        </w:tc>
        <w:tc>
          <w:tcPr>
            <w:tcW w:w="707" w:type="pct"/>
            <w:hideMark/>
          </w:tcPr>
          <w:p w14:paraId="0A4EB01D" w14:textId="79210C9D"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c>
          <w:tcPr>
            <w:tcW w:w="681" w:type="pct"/>
            <w:noWrap/>
            <w:hideMark/>
          </w:tcPr>
          <w:p w14:paraId="07C6FE43" w14:textId="03EDCCB0"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862.96</w:t>
            </w:r>
          </w:p>
        </w:tc>
      </w:tr>
      <w:tr w:rsidR="006238A2" w:rsidRPr="00733801" w14:paraId="33FEE1B7"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5A9C0AF3"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Complete post-inspection filenote</w:t>
            </w:r>
          </w:p>
        </w:tc>
        <w:tc>
          <w:tcPr>
            <w:tcW w:w="628" w:type="pct"/>
            <w:hideMark/>
          </w:tcPr>
          <w:p w14:paraId="2F5CE5D1"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5</w:t>
            </w:r>
          </w:p>
        </w:tc>
        <w:tc>
          <w:tcPr>
            <w:tcW w:w="628" w:type="pct"/>
            <w:hideMark/>
          </w:tcPr>
          <w:p w14:paraId="19E95F17"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8</w:t>
            </w:r>
          </w:p>
        </w:tc>
        <w:tc>
          <w:tcPr>
            <w:tcW w:w="707" w:type="pct"/>
            <w:hideMark/>
          </w:tcPr>
          <w:p w14:paraId="28F1B8DE" w14:textId="54D233E8"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c>
          <w:tcPr>
            <w:tcW w:w="681" w:type="pct"/>
            <w:noWrap/>
            <w:hideMark/>
          </w:tcPr>
          <w:p w14:paraId="5C4DE960" w14:textId="1F1E3F6C"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986.24</w:t>
            </w:r>
          </w:p>
        </w:tc>
      </w:tr>
      <w:tr w:rsidR="006238A2" w:rsidRPr="00733801" w14:paraId="6F2EC31D"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5425FB27"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Preparation of memo, cert and letter of approval</w:t>
            </w:r>
          </w:p>
        </w:tc>
        <w:tc>
          <w:tcPr>
            <w:tcW w:w="628" w:type="pct"/>
            <w:hideMark/>
          </w:tcPr>
          <w:p w14:paraId="5020E08F"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5</w:t>
            </w:r>
          </w:p>
        </w:tc>
        <w:tc>
          <w:tcPr>
            <w:tcW w:w="628" w:type="pct"/>
            <w:hideMark/>
          </w:tcPr>
          <w:p w14:paraId="18539C2D"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1.5</w:t>
            </w:r>
          </w:p>
        </w:tc>
        <w:tc>
          <w:tcPr>
            <w:tcW w:w="707" w:type="pct"/>
            <w:hideMark/>
          </w:tcPr>
          <w:p w14:paraId="5A9B3619" w14:textId="6673DA8A"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123.28</w:t>
            </w:r>
          </w:p>
        </w:tc>
        <w:tc>
          <w:tcPr>
            <w:tcW w:w="681" w:type="pct"/>
            <w:noWrap/>
            <w:hideMark/>
          </w:tcPr>
          <w:p w14:paraId="0F774F6D" w14:textId="0593C4D7"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184.92</w:t>
            </w:r>
          </w:p>
        </w:tc>
      </w:tr>
      <w:tr w:rsidR="006238A2" w:rsidRPr="00733801" w14:paraId="0EFCB4E7"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70002A6A" w14:textId="10F32461" w:rsidR="00733801" w:rsidRPr="00733801" w:rsidRDefault="002601B0" w:rsidP="00733801">
            <w:pPr>
              <w:spacing w:before="0" w:line="240" w:lineRule="auto"/>
              <w:rPr>
                <w:rFonts w:eastAsia="Times New Roman" w:cstheme="minorHAnsi"/>
                <w:b w:val="0"/>
                <w:color w:val="000000"/>
                <w:sz w:val="18"/>
                <w:szCs w:val="18"/>
                <w:lang w:val="en-AU" w:eastAsia="en-AU"/>
              </w:rPr>
            </w:pPr>
            <w:r w:rsidRPr="007324C3">
              <w:rPr>
                <w:rFonts w:eastAsia="Times New Roman" w:cstheme="minorHAnsi"/>
                <w:b w:val="0"/>
                <w:color w:val="auto"/>
                <w:sz w:val="18"/>
                <w:szCs w:val="18"/>
                <w:lang w:val="en-AU" w:eastAsia="en-AU"/>
              </w:rPr>
              <w:t>M</w:t>
            </w:r>
            <w:r>
              <w:rPr>
                <w:rFonts w:eastAsia="Times New Roman" w:cstheme="minorHAnsi"/>
                <w:b w:val="0"/>
                <w:color w:val="auto"/>
                <w:sz w:val="18"/>
                <w:szCs w:val="18"/>
                <w:lang w:val="en-AU" w:eastAsia="en-AU"/>
              </w:rPr>
              <w:t>emo, Certificate and Letter</w:t>
            </w:r>
            <w:r w:rsidRPr="007324C3">
              <w:rPr>
                <w:rFonts w:eastAsia="Times New Roman" w:cstheme="minorHAnsi"/>
                <w:b w:val="0"/>
                <w:color w:val="auto"/>
                <w:sz w:val="18"/>
                <w:szCs w:val="18"/>
                <w:lang w:val="en-AU" w:eastAsia="en-AU"/>
              </w:rPr>
              <w:t xml:space="preserve"> reviewed by manager</w:t>
            </w:r>
          </w:p>
        </w:tc>
        <w:tc>
          <w:tcPr>
            <w:tcW w:w="628" w:type="pct"/>
            <w:hideMark/>
          </w:tcPr>
          <w:p w14:paraId="51682083"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6</w:t>
            </w:r>
          </w:p>
        </w:tc>
        <w:tc>
          <w:tcPr>
            <w:tcW w:w="628" w:type="pct"/>
            <w:hideMark/>
          </w:tcPr>
          <w:p w14:paraId="22B4331C"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2</w:t>
            </w:r>
          </w:p>
        </w:tc>
        <w:tc>
          <w:tcPr>
            <w:tcW w:w="707" w:type="pct"/>
            <w:hideMark/>
          </w:tcPr>
          <w:p w14:paraId="761973C3" w14:textId="5AC76086"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159.86</w:t>
            </w:r>
          </w:p>
        </w:tc>
        <w:tc>
          <w:tcPr>
            <w:tcW w:w="681" w:type="pct"/>
            <w:noWrap/>
            <w:hideMark/>
          </w:tcPr>
          <w:p w14:paraId="497B01B1" w14:textId="2DCED2DE"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319.72</w:t>
            </w:r>
          </w:p>
        </w:tc>
      </w:tr>
      <w:tr w:rsidR="006238A2" w:rsidRPr="00733801" w14:paraId="0CF82FC6"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0FB4ADFB"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Decision by delegate (director)</w:t>
            </w:r>
          </w:p>
        </w:tc>
        <w:tc>
          <w:tcPr>
            <w:tcW w:w="628" w:type="pct"/>
            <w:hideMark/>
          </w:tcPr>
          <w:p w14:paraId="2183222B"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EO 3</w:t>
            </w:r>
          </w:p>
        </w:tc>
        <w:tc>
          <w:tcPr>
            <w:tcW w:w="628" w:type="pct"/>
            <w:hideMark/>
          </w:tcPr>
          <w:p w14:paraId="3EC29700"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2</w:t>
            </w:r>
          </w:p>
        </w:tc>
        <w:tc>
          <w:tcPr>
            <w:tcW w:w="707" w:type="pct"/>
            <w:hideMark/>
          </w:tcPr>
          <w:p w14:paraId="4A27AA80" w14:textId="727C4E7C"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259.34</w:t>
            </w:r>
          </w:p>
        </w:tc>
        <w:tc>
          <w:tcPr>
            <w:tcW w:w="681" w:type="pct"/>
            <w:noWrap/>
            <w:hideMark/>
          </w:tcPr>
          <w:p w14:paraId="6EC4BF9F" w14:textId="25DBE1F6"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518.68</w:t>
            </w:r>
          </w:p>
        </w:tc>
      </w:tr>
      <w:tr w:rsidR="006238A2" w:rsidRPr="00733801" w14:paraId="1FAA4A73"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284D7FE5"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Email of cert and letter of approval to applicant</w:t>
            </w:r>
          </w:p>
        </w:tc>
        <w:tc>
          <w:tcPr>
            <w:tcW w:w="628" w:type="pct"/>
            <w:hideMark/>
          </w:tcPr>
          <w:p w14:paraId="40303A2D"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4</w:t>
            </w:r>
          </w:p>
        </w:tc>
        <w:tc>
          <w:tcPr>
            <w:tcW w:w="628" w:type="pct"/>
            <w:hideMark/>
          </w:tcPr>
          <w:p w14:paraId="15349CDA"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0.25</w:t>
            </w:r>
          </w:p>
        </w:tc>
        <w:tc>
          <w:tcPr>
            <w:tcW w:w="707" w:type="pct"/>
            <w:hideMark/>
          </w:tcPr>
          <w:p w14:paraId="1E721C22" w14:textId="7F785808"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103.15</w:t>
            </w:r>
          </w:p>
        </w:tc>
        <w:tc>
          <w:tcPr>
            <w:tcW w:w="681" w:type="pct"/>
            <w:noWrap/>
            <w:hideMark/>
          </w:tcPr>
          <w:p w14:paraId="1AADFC07" w14:textId="46D6178D"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25.79</w:t>
            </w:r>
          </w:p>
        </w:tc>
      </w:tr>
      <w:tr w:rsidR="006238A2" w:rsidRPr="00733801" w14:paraId="031DC192" w14:textId="77777777" w:rsidTr="00A252C0">
        <w:trPr>
          <w:trHeight w:val="590"/>
        </w:trPr>
        <w:tc>
          <w:tcPr>
            <w:cnfStyle w:val="001000000000" w:firstRow="0" w:lastRow="0" w:firstColumn="1" w:lastColumn="0" w:oddVBand="0" w:evenVBand="0" w:oddHBand="0" w:evenHBand="0" w:firstRowFirstColumn="0" w:firstRowLastColumn="0" w:lastRowFirstColumn="0" w:lastRowLastColumn="0"/>
            <w:tcW w:w="2356" w:type="pct"/>
            <w:hideMark/>
          </w:tcPr>
          <w:p w14:paraId="62F6D034"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Save documents to TRIM and update new reg spreadsheet and master database</w:t>
            </w:r>
          </w:p>
        </w:tc>
        <w:tc>
          <w:tcPr>
            <w:tcW w:w="628" w:type="pct"/>
            <w:hideMark/>
          </w:tcPr>
          <w:p w14:paraId="319E3E19"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4</w:t>
            </w:r>
          </w:p>
        </w:tc>
        <w:tc>
          <w:tcPr>
            <w:tcW w:w="628" w:type="pct"/>
            <w:hideMark/>
          </w:tcPr>
          <w:p w14:paraId="1EC10B71"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0.25</w:t>
            </w:r>
          </w:p>
        </w:tc>
        <w:tc>
          <w:tcPr>
            <w:tcW w:w="707" w:type="pct"/>
            <w:hideMark/>
          </w:tcPr>
          <w:p w14:paraId="6EE0B707" w14:textId="1E5264C0"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103.15</w:t>
            </w:r>
          </w:p>
        </w:tc>
        <w:tc>
          <w:tcPr>
            <w:tcW w:w="681" w:type="pct"/>
            <w:noWrap/>
            <w:hideMark/>
          </w:tcPr>
          <w:p w14:paraId="3DDA8499" w14:textId="59EFDC23"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25.79</w:t>
            </w:r>
          </w:p>
        </w:tc>
      </w:tr>
      <w:tr w:rsidR="006238A2" w:rsidRPr="00733801" w14:paraId="608E3A99" w14:textId="77777777" w:rsidTr="00A252C0">
        <w:trPr>
          <w:trHeight w:val="590"/>
        </w:trPr>
        <w:tc>
          <w:tcPr>
            <w:cnfStyle w:val="001000000000" w:firstRow="0" w:lastRow="0" w:firstColumn="1" w:lastColumn="0" w:oddVBand="0" w:evenVBand="0" w:oddHBand="0" w:evenHBand="0" w:firstRowFirstColumn="0" w:firstRowLastColumn="0" w:lastRowFirstColumn="0" w:lastRowLastColumn="0"/>
            <w:tcW w:w="2356" w:type="pct"/>
            <w:hideMark/>
          </w:tcPr>
          <w:p w14:paraId="2797A54E" w14:textId="77777777" w:rsidR="00733801" w:rsidRPr="00733801" w:rsidRDefault="00733801" w:rsidP="00733801">
            <w:pPr>
              <w:spacing w:before="0" w:line="240" w:lineRule="auto"/>
              <w:rPr>
                <w:rFonts w:eastAsia="Times New Roman" w:cstheme="minorHAnsi"/>
                <w:b w:val="0"/>
                <w:color w:val="000000"/>
                <w:sz w:val="18"/>
                <w:szCs w:val="18"/>
                <w:lang w:val="en-AU" w:eastAsia="en-AU"/>
              </w:rPr>
            </w:pPr>
            <w:r w:rsidRPr="00733801">
              <w:rPr>
                <w:rFonts w:eastAsia="Times New Roman" w:cstheme="minorHAnsi"/>
                <w:b w:val="0"/>
                <w:color w:val="000000"/>
                <w:sz w:val="18"/>
                <w:szCs w:val="18"/>
                <w:lang w:val="en-AU" w:eastAsia="en-AU"/>
              </w:rPr>
              <w:t>Advice of transfer of registration sent to internal and external stakeholders</w:t>
            </w:r>
          </w:p>
        </w:tc>
        <w:tc>
          <w:tcPr>
            <w:tcW w:w="628" w:type="pct"/>
            <w:hideMark/>
          </w:tcPr>
          <w:p w14:paraId="7FAD5BB4"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VPS 4</w:t>
            </w:r>
          </w:p>
        </w:tc>
        <w:tc>
          <w:tcPr>
            <w:tcW w:w="628" w:type="pct"/>
            <w:hideMark/>
          </w:tcPr>
          <w:p w14:paraId="38A40C57" w14:textId="77777777"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0.25</w:t>
            </w:r>
          </w:p>
        </w:tc>
        <w:tc>
          <w:tcPr>
            <w:tcW w:w="707" w:type="pct"/>
            <w:hideMark/>
          </w:tcPr>
          <w:p w14:paraId="087A3A81" w14:textId="61DD0201"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103.15</w:t>
            </w:r>
          </w:p>
        </w:tc>
        <w:tc>
          <w:tcPr>
            <w:tcW w:w="681" w:type="pct"/>
            <w:noWrap/>
            <w:hideMark/>
          </w:tcPr>
          <w:p w14:paraId="5423129F" w14:textId="76A2D1A7"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733801">
              <w:rPr>
                <w:rFonts w:eastAsia="Times New Roman" w:cstheme="minorHAnsi"/>
                <w:color w:val="000000"/>
                <w:sz w:val="18"/>
                <w:szCs w:val="18"/>
                <w:lang w:val="en-AU" w:eastAsia="en-AU"/>
              </w:rPr>
              <w:t>25.79</w:t>
            </w:r>
          </w:p>
        </w:tc>
      </w:tr>
      <w:tr w:rsidR="006238A2" w:rsidRPr="00733801" w14:paraId="7D239C76" w14:textId="77777777" w:rsidTr="00A252C0">
        <w:trPr>
          <w:trHeight w:val="300"/>
        </w:trPr>
        <w:tc>
          <w:tcPr>
            <w:cnfStyle w:val="001000000000" w:firstRow="0" w:lastRow="0" w:firstColumn="1" w:lastColumn="0" w:oddVBand="0" w:evenVBand="0" w:oddHBand="0" w:evenHBand="0" w:firstRowFirstColumn="0" w:firstRowLastColumn="0" w:lastRowFirstColumn="0" w:lastRowLastColumn="0"/>
            <w:tcW w:w="2356" w:type="pct"/>
            <w:hideMark/>
          </w:tcPr>
          <w:p w14:paraId="4B6ADB72" w14:textId="7E89B583" w:rsidR="00733801" w:rsidRPr="00733801" w:rsidRDefault="00733801" w:rsidP="00733801">
            <w:pPr>
              <w:spacing w:before="0" w:line="240" w:lineRule="auto"/>
              <w:rPr>
                <w:rFonts w:eastAsia="Times New Roman" w:cstheme="minorHAnsi"/>
                <w:bCs/>
                <w:color w:val="000000"/>
                <w:sz w:val="18"/>
                <w:szCs w:val="18"/>
                <w:lang w:val="en-AU" w:eastAsia="en-AU"/>
              </w:rPr>
            </w:pPr>
            <w:r w:rsidRPr="00733801">
              <w:rPr>
                <w:rFonts w:eastAsia="Times New Roman" w:cstheme="minorHAnsi"/>
                <w:bCs/>
                <w:color w:val="000000"/>
                <w:sz w:val="18"/>
                <w:szCs w:val="18"/>
                <w:lang w:val="en-AU" w:eastAsia="en-AU"/>
              </w:rPr>
              <w:t>T</w:t>
            </w:r>
            <w:r w:rsidRPr="006238A2">
              <w:rPr>
                <w:rFonts w:eastAsia="Times New Roman" w:cstheme="minorHAnsi"/>
                <w:bCs/>
                <w:color w:val="000000"/>
                <w:sz w:val="18"/>
                <w:szCs w:val="18"/>
                <w:lang w:val="en-AU" w:eastAsia="en-AU"/>
              </w:rPr>
              <w:t>otal</w:t>
            </w:r>
          </w:p>
        </w:tc>
        <w:tc>
          <w:tcPr>
            <w:tcW w:w="628" w:type="pct"/>
            <w:hideMark/>
          </w:tcPr>
          <w:p w14:paraId="5D71726A" w14:textId="5BC45F2D"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628" w:type="pct"/>
            <w:hideMark/>
          </w:tcPr>
          <w:p w14:paraId="643F29B7" w14:textId="178426E1"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c>
          <w:tcPr>
            <w:tcW w:w="707" w:type="pct"/>
            <w:hideMark/>
          </w:tcPr>
          <w:p w14:paraId="6630502F" w14:textId="43D43DEF" w:rsidR="00733801" w:rsidRPr="00733801" w:rsidRDefault="00733801" w:rsidP="00873A32">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p>
        </w:tc>
        <w:tc>
          <w:tcPr>
            <w:tcW w:w="681" w:type="pct"/>
            <w:noWrap/>
            <w:hideMark/>
          </w:tcPr>
          <w:p w14:paraId="6680FAD5" w14:textId="5F51E615" w:rsidR="00733801" w:rsidRPr="00733801" w:rsidRDefault="00733801" w:rsidP="00466F45">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AU" w:eastAsia="en-AU"/>
              </w:rPr>
            </w:pPr>
            <w:r w:rsidRPr="00733801">
              <w:rPr>
                <w:rFonts w:eastAsia="Times New Roman" w:cstheme="minorHAnsi"/>
                <w:b/>
                <w:bCs/>
                <w:color w:val="000000"/>
                <w:sz w:val="18"/>
                <w:szCs w:val="18"/>
                <w:lang w:val="en-AU" w:eastAsia="en-AU"/>
              </w:rPr>
              <w:t>5,166.53</w:t>
            </w:r>
          </w:p>
        </w:tc>
      </w:tr>
    </w:tbl>
    <w:p w14:paraId="606CD704" w14:textId="3B2E1EA8" w:rsidR="00136121" w:rsidRPr="001E347D" w:rsidRDefault="00136121" w:rsidP="00A659D0">
      <w:pPr>
        <w:pStyle w:val="Heading1"/>
        <w:rPr>
          <w:color w:val="081729"/>
        </w:rPr>
      </w:pPr>
      <w:bookmarkStart w:id="290" w:name="_Toc3903344"/>
      <w:bookmarkStart w:id="291" w:name="_Toc135157731"/>
      <w:bookmarkStart w:id="292" w:name="_Toc165287609"/>
      <w:r w:rsidRPr="001E347D">
        <w:rPr>
          <w:color w:val="081729"/>
        </w:rPr>
        <w:lastRenderedPageBreak/>
        <w:t xml:space="preserve">About </w:t>
      </w:r>
      <w:bookmarkEnd w:id="290"/>
      <w:r w:rsidR="000B3D68" w:rsidRPr="001E347D">
        <w:rPr>
          <w:color w:val="081729"/>
        </w:rPr>
        <w:t>S</w:t>
      </w:r>
      <w:r w:rsidR="00AE1BD4" w:rsidRPr="001E347D">
        <w:rPr>
          <w:color w:val="081729"/>
        </w:rPr>
        <w:t>apere</w:t>
      </w:r>
      <w:bookmarkEnd w:id="291"/>
      <w:bookmarkEnd w:id="292"/>
    </w:p>
    <w:p w14:paraId="4A818B4B" w14:textId="77777777" w:rsidR="00566167" w:rsidRPr="00C2659E" w:rsidRDefault="00566167" w:rsidP="00A659D0">
      <w:r w:rsidRPr="00C2659E">
        <w:t>Sapere is one of the largest expert consulting firms in Australasia, and a leader in the provision of independent economic, forensic accounting and public policy services. We provide independent expert testimony, strategic advisory services, data analytics and other advice to Australasia’s private sector corporate clients, major law firms, government agencies, and regulatory bodies.</w:t>
      </w:r>
    </w:p>
    <w:p w14:paraId="66C9AA17" w14:textId="77777777" w:rsidR="00566167" w:rsidRPr="00C2659E" w:rsidRDefault="00566167" w:rsidP="00A659D0">
      <w:r w:rsidRPr="00C2659E">
        <w:t>‘Sapere’ comes from Latin (to be wise) and the phrase ‘sapere aude’ (dare to be wise). The phrase is associated with German philosopher Immanuel Kant, who promoted the use of reason as a tool of thought; an approach that underpins all Sapere’s practice groups.</w:t>
      </w:r>
    </w:p>
    <w:p w14:paraId="618F1922" w14:textId="77777777" w:rsidR="00566167" w:rsidRPr="00C2659E" w:rsidRDefault="00566167" w:rsidP="00A659D0">
      <w:r w:rsidRPr="00C2659E">
        <w:t>We build and maintain effective relationships as demonstrated by the volume of repeat work. Many of our experts have held leadership and senior management positions and are experienced in navigating complex relationships in government, industry, and academic settings.</w:t>
      </w:r>
    </w:p>
    <w:p w14:paraId="49C412F4" w14:textId="77777777" w:rsidR="00566167" w:rsidRPr="00C2659E" w:rsidRDefault="00566167" w:rsidP="00A659D0">
      <w:r w:rsidRPr="00C2659E">
        <w:t>We adopt a collaborative approach to our work and routinely partner with specialist firms in other fields, such as social research, IT design and architecture, and survey design. This enables us to deliver a comprehensive product and to ensure value for money</w:t>
      </w:r>
      <w:r w:rsidR="008676F4" w:rsidRPr="00C2659E">
        <w:t>.</w:t>
      </w:r>
    </w:p>
    <w:p w14:paraId="0218002C" w14:textId="77777777" w:rsidR="005E26AA" w:rsidRPr="001E347D" w:rsidRDefault="0065008B" w:rsidP="004E58C6">
      <w:pPr>
        <w:pStyle w:val="Heading3"/>
        <w:rPr>
          <w:color w:val="081729"/>
        </w:rPr>
      </w:pPr>
      <w:r w:rsidRPr="001E347D">
        <w:rPr>
          <w:color w:val="081729"/>
        </w:rPr>
        <w:t>For more information, please contact:</w:t>
      </w:r>
    </w:p>
    <w:tbl>
      <w:tblPr>
        <w:tblStyle w:val="zBlank"/>
        <w:tblW w:w="0" w:type="auto"/>
        <w:tblLook w:val="0480" w:firstRow="0" w:lastRow="0" w:firstColumn="1" w:lastColumn="0" w:noHBand="0" w:noVBand="1"/>
      </w:tblPr>
      <w:tblGrid>
        <w:gridCol w:w="1560"/>
        <w:gridCol w:w="7466"/>
      </w:tblGrid>
      <w:tr w:rsidR="0065008B" w:rsidRPr="00C2659E" w14:paraId="2BCFD765" w14:textId="77777777" w:rsidTr="00D4482F">
        <w:trPr>
          <w:trHeight w:val="126"/>
        </w:trPr>
        <w:tc>
          <w:tcPr>
            <w:tcW w:w="9026" w:type="dxa"/>
            <w:gridSpan w:val="2"/>
          </w:tcPr>
          <w:p w14:paraId="6DCB502E" w14:textId="42F0FA01" w:rsidR="0065008B" w:rsidRPr="00C2659E" w:rsidRDefault="00577E9A" w:rsidP="00566BA3">
            <w:pPr>
              <w:spacing w:before="0"/>
            </w:pPr>
            <w:r>
              <w:t>Sally Carrick, Director</w:t>
            </w:r>
          </w:p>
        </w:tc>
      </w:tr>
      <w:tr w:rsidR="00577E9A" w:rsidRPr="00C2659E" w14:paraId="286F60B7" w14:textId="77777777" w:rsidTr="000D6A17">
        <w:tc>
          <w:tcPr>
            <w:tcW w:w="1560" w:type="dxa"/>
          </w:tcPr>
          <w:p w14:paraId="5F8710A3" w14:textId="44E20A61" w:rsidR="00577E9A" w:rsidRPr="00C2659E" w:rsidRDefault="00577E9A" w:rsidP="00566BA3">
            <w:pPr>
              <w:spacing w:before="0"/>
            </w:pPr>
            <w:r w:rsidRPr="00C2659E">
              <w:t>Mobile:</w:t>
            </w:r>
          </w:p>
        </w:tc>
        <w:tc>
          <w:tcPr>
            <w:tcW w:w="7466" w:type="dxa"/>
          </w:tcPr>
          <w:p w14:paraId="5B9619FA" w14:textId="76F1150B" w:rsidR="00577E9A" w:rsidRPr="00C2659E" w:rsidRDefault="00577E9A" w:rsidP="00566BA3">
            <w:pPr>
              <w:spacing w:before="0"/>
            </w:pPr>
            <w:r>
              <w:t>0412 454 653</w:t>
            </w:r>
            <w:r w:rsidRPr="00C2659E">
              <w:t xml:space="preserve"> </w:t>
            </w:r>
          </w:p>
        </w:tc>
      </w:tr>
      <w:tr w:rsidR="00577E9A" w:rsidRPr="00C2659E" w14:paraId="04649286" w14:textId="77777777" w:rsidTr="000D6A17">
        <w:trPr>
          <w:trHeight w:val="23"/>
        </w:trPr>
        <w:tc>
          <w:tcPr>
            <w:tcW w:w="1560" w:type="dxa"/>
          </w:tcPr>
          <w:p w14:paraId="53DE1E9A" w14:textId="6CF08796" w:rsidR="00577E9A" w:rsidRPr="00C2659E" w:rsidRDefault="00577E9A" w:rsidP="00566BA3">
            <w:pPr>
              <w:spacing w:before="0"/>
            </w:pPr>
            <w:r w:rsidRPr="00C2659E">
              <w:t>Email:</w:t>
            </w:r>
          </w:p>
        </w:tc>
        <w:tc>
          <w:tcPr>
            <w:tcW w:w="7466" w:type="dxa"/>
          </w:tcPr>
          <w:p w14:paraId="0B48D6C9" w14:textId="0DA5FD3D" w:rsidR="00577E9A" w:rsidRPr="00C2659E" w:rsidRDefault="00577E9A" w:rsidP="00566BA3">
            <w:pPr>
              <w:spacing w:before="0"/>
            </w:pPr>
            <w:r>
              <w:t>scarrick</w:t>
            </w:r>
            <w:r w:rsidRPr="00C2659E">
              <w:t>@</w:t>
            </w:r>
            <w:r>
              <w:t>think</w:t>
            </w:r>
            <w:r>
              <w:rPr>
                <w:color w:val="7B5E05" w:themeColor="accent1"/>
              </w:rPr>
              <w:t>S</w:t>
            </w:r>
            <w:r w:rsidRPr="00C2659E">
              <w:rPr>
                <w:color w:val="7B5E05" w:themeColor="accent1"/>
              </w:rPr>
              <w:t>apere</w:t>
            </w:r>
            <w:r w:rsidRPr="00C2659E">
              <w:t>.com</w:t>
            </w:r>
          </w:p>
        </w:tc>
      </w:tr>
      <w:tr w:rsidR="00577E9A" w:rsidRPr="00C2659E" w14:paraId="62C0BB8E" w14:textId="77777777" w:rsidTr="000D6A17">
        <w:tc>
          <w:tcPr>
            <w:tcW w:w="1560" w:type="dxa"/>
          </w:tcPr>
          <w:p w14:paraId="2155C652" w14:textId="2C49B08C" w:rsidR="00577E9A" w:rsidRPr="00C2659E" w:rsidRDefault="00577E9A" w:rsidP="00566BA3">
            <w:pPr>
              <w:spacing w:before="0"/>
            </w:pPr>
          </w:p>
        </w:tc>
        <w:tc>
          <w:tcPr>
            <w:tcW w:w="7466" w:type="dxa"/>
          </w:tcPr>
          <w:p w14:paraId="72A5EEA2" w14:textId="2206A5FB" w:rsidR="00577E9A" w:rsidRPr="00C2659E" w:rsidRDefault="00577E9A" w:rsidP="00566BA3">
            <w:pPr>
              <w:spacing w:before="0"/>
            </w:pPr>
          </w:p>
        </w:tc>
      </w:tr>
      <w:tr w:rsidR="00577E9A" w:rsidRPr="00C2659E" w14:paraId="7E7E02B5" w14:textId="77777777" w:rsidTr="000D6A17">
        <w:trPr>
          <w:trHeight w:val="584"/>
        </w:trPr>
        <w:tc>
          <w:tcPr>
            <w:tcW w:w="1560" w:type="dxa"/>
          </w:tcPr>
          <w:p w14:paraId="16E8166C" w14:textId="77777777" w:rsidR="00577E9A" w:rsidRPr="00C2659E" w:rsidRDefault="00577E9A" w:rsidP="00566BA3">
            <w:pPr>
              <w:spacing w:before="0"/>
            </w:pPr>
          </w:p>
        </w:tc>
        <w:tc>
          <w:tcPr>
            <w:tcW w:w="7466" w:type="dxa"/>
          </w:tcPr>
          <w:p w14:paraId="60B0ECEC" w14:textId="77777777" w:rsidR="00577E9A" w:rsidRPr="00C2659E" w:rsidRDefault="00577E9A" w:rsidP="00566BA3">
            <w:pPr>
              <w:spacing w:before="0"/>
            </w:pPr>
          </w:p>
        </w:tc>
      </w:tr>
    </w:tbl>
    <w:p w14:paraId="433AC5F3" w14:textId="77777777" w:rsidR="002C1220" w:rsidRPr="00C2659E" w:rsidRDefault="002C1220" w:rsidP="00A659D0"/>
    <w:tbl>
      <w:tblPr>
        <w:tblStyle w:val="zBlank"/>
        <w:tblW w:w="0" w:type="auto"/>
        <w:tblLook w:val="0480" w:firstRow="0" w:lastRow="0" w:firstColumn="1" w:lastColumn="0" w:noHBand="0" w:noVBand="1"/>
      </w:tblPr>
      <w:tblGrid>
        <w:gridCol w:w="1323"/>
        <w:gridCol w:w="1319"/>
        <w:gridCol w:w="1277"/>
        <w:gridCol w:w="1353"/>
        <w:gridCol w:w="1313"/>
        <w:gridCol w:w="1099"/>
        <w:gridCol w:w="1342"/>
      </w:tblGrid>
      <w:tr w:rsidR="0030150E" w:rsidRPr="00566BA3" w14:paraId="78799F3C" w14:textId="77777777" w:rsidTr="001E347D">
        <w:trPr>
          <w:trHeight w:val="445"/>
        </w:trPr>
        <w:tc>
          <w:tcPr>
            <w:tcW w:w="1323" w:type="dxa"/>
            <w:tcBorders>
              <w:right w:val="single" w:sz="4" w:space="0" w:color="auto"/>
            </w:tcBorders>
          </w:tcPr>
          <w:p w14:paraId="40C8E035" w14:textId="77777777" w:rsidR="0030150E" w:rsidRPr="00566BA3" w:rsidRDefault="0030150E">
            <w:pPr>
              <w:spacing w:before="0"/>
              <w:rPr>
                <w:b/>
                <w:bCs/>
                <w:sz w:val="16"/>
                <w:szCs w:val="16"/>
              </w:rPr>
            </w:pPr>
            <w:r w:rsidRPr="00566BA3">
              <w:rPr>
                <w:b/>
                <w:bCs/>
                <w:sz w:val="16"/>
                <w:szCs w:val="16"/>
              </w:rPr>
              <w:t>Wellington</w:t>
            </w:r>
          </w:p>
        </w:tc>
        <w:tc>
          <w:tcPr>
            <w:tcW w:w="1319" w:type="dxa"/>
            <w:tcBorders>
              <w:left w:val="single" w:sz="4" w:space="0" w:color="auto"/>
              <w:right w:val="single" w:sz="4" w:space="0" w:color="auto"/>
            </w:tcBorders>
          </w:tcPr>
          <w:p w14:paraId="754E1E6D" w14:textId="77777777" w:rsidR="0030150E" w:rsidRPr="00566BA3" w:rsidRDefault="0030150E">
            <w:pPr>
              <w:spacing w:before="0"/>
              <w:ind w:left="113"/>
              <w:rPr>
                <w:b/>
                <w:bCs/>
                <w:sz w:val="16"/>
                <w:szCs w:val="16"/>
              </w:rPr>
            </w:pPr>
            <w:r w:rsidRPr="00566BA3">
              <w:rPr>
                <w:b/>
                <w:bCs/>
                <w:sz w:val="16"/>
                <w:szCs w:val="16"/>
              </w:rPr>
              <w:t>Auckland</w:t>
            </w:r>
          </w:p>
        </w:tc>
        <w:tc>
          <w:tcPr>
            <w:tcW w:w="1277" w:type="dxa"/>
            <w:tcBorders>
              <w:left w:val="single" w:sz="4" w:space="0" w:color="auto"/>
              <w:right w:val="single" w:sz="4" w:space="0" w:color="auto"/>
            </w:tcBorders>
          </w:tcPr>
          <w:p w14:paraId="50F23F3F" w14:textId="77777777" w:rsidR="0030150E" w:rsidRPr="00566BA3" w:rsidRDefault="0030150E">
            <w:pPr>
              <w:spacing w:before="0"/>
              <w:ind w:left="113"/>
              <w:rPr>
                <w:b/>
                <w:bCs/>
                <w:sz w:val="16"/>
                <w:szCs w:val="16"/>
              </w:rPr>
            </w:pPr>
            <w:r w:rsidRPr="00566BA3">
              <w:rPr>
                <w:b/>
                <w:bCs/>
                <w:sz w:val="16"/>
                <w:szCs w:val="16"/>
              </w:rPr>
              <w:t>Sydney</w:t>
            </w:r>
          </w:p>
        </w:tc>
        <w:tc>
          <w:tcPr>
            <w:tcW w:w="1353" w:type="dxa"/>
            <w:tcBorders>
              <w:left w:val="single" w:sz="4" w:space="0" w:color="auto"/>
              <w:right w:val="single" w:sz="4" w:space="0" w:color="auto"/>
            </w:tcBorders>
          </w:tcPr>
          <w:p w14:paraId="78713344" w14:textId="77777777" w:rsidR="0030150E" w:rsidRPr="00566BA3" w:rsidRDefault="0030150E">
            <w:pPr>
              <w:spacing w:before="0"/>
              <w:ind w:left="113"/>
              <w:rPr>
                <w:b/>
                <w:bCs/>
                <w:sz w:val="16"/>
                <w:szCs w:val="16"/>
              </w:rPr>
            </w:pPr>
            <w:r w:rsidRPr="00566BA3">
              <w:rPr>
                <w:b/>
                <w:bCs/>
                <w:sz w:val="16"/>
                <w:szCs w:val="16"/>
              </w:rPr>
              <w:t>Melbourne</w:t>
            </w:r>
          </w:p>
        </w:tc>
        <w:tc>
          <w:tcPr>
            <w:tcW w:w="1313" w:type="dxa"/>
            <w:tcBorders>
              <w:left w:val="single" w:sz="4" w:space="0" w:color="auto"/>
            </w:tcBorders>
          </w:tcPr>
          <w:p w14:paraId="29C8C0AC" w14:textId="77777777" w:rsidR="0030150E" w:rsidRPr="00566BA3" w:rsidRDefault="0030150E">
            <w:pPr>
              <w:spacing w:before="0"/>
              <w:ind w:left="113"/>
              <w:rPr>
                <w:b/>
                <w:bCs/>
                <w:sz w:val="16"/>
                <w:szCs w:val="16"/>
              </w:rPr>
            </w:pPr>
            <w:r w:rsidRPr="00566BA3">
              <w:rPr>
                <w:b/>
                <w:bCs/>
                <w:sz w:val="16"/>
                <w:szCs w:val="16"/>
              </w:rPr>
              <w:t>Canberra</w:t>
            </w:r>
          </w:p>
        </w:tc>
        <w:tc>
          <w:tcPr>
            <w:tcW w:w="1099" w:type="dxa"/>
            <w:tcBorders>
              <w:left w:val="single" w:sz="4" w:space="0" w:color="auto"/>
              <w:right w:val="single" w:sz="4" w:space="0" w:color="auto"/>
            </w:tcBorders>
          </w:tcPr>
          <w:p w14:paraId="67B34346" w14:textId="77777777" w:rsidR="005D5AC4" w:rsidRDefault="005D5AC4">
            <w:pPr>
              <w:spacing w:before="0"/>
              <w:ind w:left="113"/>
              <w:rPr>
                <w:b/>
                <w:bCs/>
                <w:sz w:val="16"/>
                <w:szCs w:val="16"/>
              </w:rPr>
            </w:pPr>
            <w:r>
              <w:rPr>
                <w:b/>
                <w:bCs/>
                <w:sz w:val="16"/>
                <w:szCs w:val="16"/>
              </w:rPr>
              <w:t>Brisbane</w:t>
            </w:r>
          </w:p>
          <w:p w14:paraId="03FBBB3F" w14:textId="58511D0D" w:rsidR="005D5AC4" w:rsidRDefault="005D5AC4">
            <w:pPr>
              <w:spacing w:before="0"/>
              <w:ind w:left="113"/>
              <w:rPr>
                <w:b/>
                <w:bCs/>
                <w:sz w:val="16"/>
                <w:szCs w:val="16"/>
              </w:rPr>
            </w:pPr>
          </w:p>
        </w:tc>
        <w:tc>
          <w:tcPr>
            <w:tcW w:w="1342" w:type="dxa"/>
            <w:tcBorders>
              <w:left w:val="single" w:sz="4" w:space="0" w:color="auto"/>
            </w:tcBorders>
          </w:tcPr>
          <w:p w14:paraId="159461D3" w14:textId="77777777" w:rsidR="0030150E" w:rsidRPr="00566BA3" w:rsidRDefault="0030150E">
            <w:pPr>
              <w:spacing w:before="0"/>
              <w:ind w:left="113"/>
              <w:rPr>
                <w:b/>
                <w:bCs/>
                <w:sz w:val="16"/>
                <w:szCs w:val="16"/>
              </w:rPr>
            </w:pPr>
            <w:r>
              <w:rPr>
                <w:b/>
                <w:bCs/>
                <w:sz w:val="16"/>
                <w:szCs w:val="16"/>
              </w:rPr>
              <w:t>Perth</w:t>
            </w:r>
          </w:p>
        </w:tc>
      </w:tr>
      <w:tr w:rsidR="0030150E" w:rsidRPr="00566BA3" w14:paraId="7C7070F2" w14:textId="77777777" w:rsidTr="001E347D">
        <w:trPr>
          <w:trHeight w:val="445"/>
        </w:trPr>
        <w:tc>
          <w:tcPr>
            <w:tcW w:w="1323" w:type="dxa"/>
            <w:tcBorders>
              <w:right w:val="single" w:sz="4" w:space="0" w:color="auto"/>
            </w:tcBorders>
          </w:tcPr>
          <w:p w14:paraId="6CDEBADA" w14:textId="77777777" w:rsidR="0030150E" w:rsidRPr="00566BA3" w:rsidRDefault="0030150E">
            <w:pPr>
              <w:spacing w:before="0"/>
              <w:rPr>
                <w:sz w:val="16"/>
                <w:szCs w:val="16"/>
              </w:rPr>
            </w:pPr>
            <w:r w:rsidRPr="00566BA3">
              <w:rPr>
                <w:sz w:val="16"/>
                <w:szCs w:val="16"/>
              </w:rPr>
              <w:t>Level 9</w:t>
            </w:r>
          </w:p>
          <w:p w14:paraId="37B3395A" w14:textId="77777777" w:rsidR="0030150E" w:rsidRPr="00566BA3" w:rsidRDefault="0030150E">
            <w:pPr>
              <w:spacing w:before="0"/>
              <w:rPr>
                <w:sz w:val="16"/>
                <w:szCs w:val="16"/>
              </w:rPr>
            </w:pPr>
            <w:r w:rsidRPr="00566BA3">
              <w:rPr>
                <w:sz w:val="16"/>
                <w:szCs w:val="16"/>
              </w:rPr>
              <w:t>1 Willeston Street</w:t>
            </w:r>
          </w:p>
          <w:p w14:paraId="71AC0AC8" w14:textId="77777777" w:rsidR="0030150E" w:rsidRPr="00566BA3" w:rsidRDefault="0030150E">
            <w:pPr>
              <w:spacing w:before="0"/>
              <w:rPr>
                <w:sz w:val="16"/>
                <w:szCs w:val="16"/>
              </w:rPr>
            </w:pPr>
            <w:r w:rsidRPr="00566BA3">
              <w:rPr>
                <w:sz w:val="16"/>
                <w:szCs w:val="16"/>
              </w:rPr>
              <w:t>PO Box 587</w:t>
            </w:r>
          </w:p>
          <w:p w14:paraId="702699BB" w14:textId="77777777" w:rsidR="0030150E" w:rsidRPr="00566BA3" w:rsidRDefault="0030150E">
            <w:pPr>
              <w:spacing w:before="0"/>
              <w:rPr>
                <w:b/>
                <w:sz w:val="16"/>
                <w:szCs w:val="16"/>
              </w:rPr>
            </w:pPr>
            <w:r w:rsidRPr="00566BA3">
              <w:rPr>
                <w:sz w:val="16"/>
                <w:szCs w:val="16"/>
              </w:rPr>
              <w:t>Wellington 6140</w:t>
            </w:r>
          </w:p>
        </w:tc>
        <w:tc>
          <w:tcPr>
            <w:tcW w:w="1319" w:type="dxa"/>
            <w:tcBorders>
              <w:left w:val="single" w:sz="4" w:space="0" w:color="auto"/>
              <w:right w:val="single" w:sz="4" w:space="0" w:color="auto"/>
            </w:tcBorders>
          </w:tcPr>
          <w:p w14:paraId="13E49D89" w14:textId="77777777" w:rsidR="0030150E" w:rsidRPr="00566BA3" w:rsidRDefault="0030150E">
            <w:pPr>
              <w:spacing w:before="0"/>
              <w:ind w:left="113"/>
              <w:rPr>
                <w:sz w:val="16"/>
                <w:szCs w:val="16"/>
              </w:rPr>
            </w:pPr>
            <w:r w:rsidRPr="00566BA3">
              <w:rPr>
                <w:sz w:val="16"/>
                <w:szCs w:val="16"/>
              </w:rPr>
              <w:t>Level 8</w:t>
            </w:r>
          </w:p>
          <w:p w14:paraId="447C5B53" w14:textId="77777777" w:rsidR="0030150E" w:rsidRPr="00566BA3" w:rsidRDefault="0030150E">
            <w:pPr>
              <w:spacing w:before="0"/>
              <w:ind w:left="113"/>
              <w:rPr>
                <w:sz w:val="16"/>
                <w:szCs w:val="16"/>
              </w:rPr>
            </w:pPr>
            <w:r w:rsidRPr="00566BA3">
              <w:rPr>
                <w:sz w:val="16"/>
                <w:szCs w:val="16"/>
              </w:rPr>
              <w:t>203 Queen Street</w:t>
            </w:r>
          </w:p>
          <w:p w14:paraId="71C84EB9" w14:textId="77777777" w:rsidR="0030150E" w:rsidRPr="00566BA3" w:rsidRDefault="0030150E">
            <w:pPr>
              <w:spacing w:before="0"/>
              <w:ind w:left="113"/>
              <w:rPr>
                <w:sz w:val="16"/>
                <w:szCs w:val="16"/>
              </w:rPr>
            </w:pPr>
            <w:r w:rsidRPr="00566BA3">
              <w:rPr>
                <w:sz w:val="16"/>
                <w:szCs w:val="16"/>
              </w:rPr>
              <w:t>PO Box 2475</w:t>
            </w:r>
          </w:p>
          <w:p w14:paraId="2C810BAA" w14:textId="77777777" w:rsidR="0030150E" w:rsidRPr="00566BA3" w:rsidRDefault="0030150E">
            <w:pPr>
              <w:spacing w:before="0"/>
              <w:ind w:left="113"/>
              <w:rPr>
                <w:sz w:val="16"/>
                <w:szCs w:val="16"/>
              </w:rPr>
            </w:pPr>
            <w:r w:rsidRPr="00566BA3">
              <w:rPr>
                <w:sz w:val="16"/>
                <w:szCs w:val="16"/>
              </w:rPr>
              <w:t>Shortland Street</w:t>
            </w:r>
          </w:p>
          <w:p w14:paraId="4C31F0DF" w14:textId="77777777" w:rsidR="005D5AC4" w:rsidRDefault="0030150E">
            <w:pPr>
              <w:spacing w:before="0"/>
              <w:ind w:left="113"/>
              <w:rPr>
                <w:sz w:val="16"/>
                <w:szCs w:val="16"/>
              </w:rPr>
            </w:pPr>
            <w:r w:rsidRPr="00566BA3">
              <w:rPr>
                <w:sz w:val="16"/>
                <w:szCs w:val="16"/>
              </w:rPr>
              <w:t>Auckland 1140</w:t>
            </w:r>
          </w:p>
          <w:p w14:paraId="6DA9475B" w14:textId="77777777" w:rsidR="0030150E" w:rsidRPr="00566BA3" w:rsidRDefault="0030150E">
            <w:pPr>
              <w:spacing w:before="0"/>
              <w:ind w:left="113"/>
              <w:rPr>
                <w:b/>
                <w:sz w:val="16"/>
                <w:szCs w:val="16"/>
              </w:rPr>
            </w:pPr>
          </w:p>
        </w:tc>
        <w:tc>
          <w:tcPr>
            <w:tcW w:w="1277" w:type="dxa"/>
            <w:tcBorders>
              <w:left w:val="single" w:sz="4" w:space="0" w:color="auto"/>
              <w:right w:val="single" w:sz="4" w:space="0" w:color="auto"/>
            </w:tcBorders>
          </w:tcPr>
          <w:p w14:paraId="12235CA8" w14:textId="77777777" w:rsidR="0030150E" w:rsidRPr="00566BA3" w:rsidRDefault="0030150E">
            <w:pPr>
              <w:spacing w:before="0"/>
              <w:ind w:left="113"/>
              <w:rPr>
                <w:sz w:val="16"/>
                <w:szCs w:val="16"/>
              </w:rPr>
            </w:pPr>
            <w:r w:rsidRPr="00566BA3">
              <w:rPr>
                <w:sz w:val="16"/>
                <w:szCs w:val="16"/>
              </w:rPr>
              <w:t>Level 18</w:t>
            </w:r>
          </w:p>
          <w:p w14:paraId="71A65067" w14:textId="77777777" w:rsidR="0030150E" w:rsidRPr="00566BA3" w:rsidRDefault="0030150E">
            <w:pPr>
              <w:spacing w:before="0"/>
              <w:ind w:left="113"/>
              <w:rPr>
                <w:sz w:val="16"/>
                <w:szCs w:val="16"/>
              </w:rPr>
            </w:pPr>
            <w:r w:rsidRPr="00566BA3">
              <w:rPr>
                <w:sz w:val="16"/>
                <w:szCs w:val="16"/>
              </w:rPr>
              <w:t>135 King Street</w:t>
            </w:r>
          </w:p>
          <w:p w14:paraId="1467622D" w14:textId="77777777" w:rsidR="0030150E" w:rsidRPr="00566BA3" w:rsidRDefault="0030150E">
            <w:pPr>
              <w:spacing w:before="0"/>
              <w:ind w:left="113"/>
              <w:rPr>
                <w:sz w:val="16"/>
                <w:szCs w:val="16"/>
              </w:rPr>
            </w:pPr>
            <w:r w:rsidRPr="00566BA3">
              <w:rPr>
                <w:sz w:val="16"/>
                <w:szCs w:val="16"/>
              </w:rPr>
              <w:t xml:space="preserve">Sydney </w:t>
            </w:r>
          </w:p>
          <w:p w14:paraId="5D2E1B68" w14:textId="77777777" w:rsidR="0030150E" w:rsidRPr="00566BA3" w:rsidRDefault="0030150E">
            <w:pPr>
              <w:spacing w:before="0"/>
              <w:ind w:left="113"/>
              <w:rPr>
                <w:b/>
                <w:sz w:val="16"/>
                <w:szCs w:val="16"/>
              </w:rPr>
            </w:pPr>
            <w:r w:rsidRPr="00566BA3">
              <w:rPr>
                <w:sz w:val="16"/>
                <w:szCs w:val="16"/>
              </w:rPr>
              <w:t>NSW 2000</w:t>
            </w:r>
          </w:p>
        </w:tc>
        <w:tc>
          <w:tcPr>
            <w:tcW w:w="1353" w:type="dxa"/>
            <w:tcBorders>
              <w:left w:val="single" w:sz="4" w:space="0" w:color="auto"/>
              <w:right w:val="single" w:sz="4" w:space="0" w:color="auto"/>
            </w:tcBorders>
          </w:tcPr>
          <w:p w14:paraId="4CDE546D" w14:textId="77777777" w:rsidR="0030150E" w:rsidRDefault="0030150E">
            <w:pPr>
              <w:spacing w:before="0"/>
              <w:ind w:left="113"/>
              <w:rPr>
                <w:sz w:val="16"/>
                <w:szCs w:val="16"/>
              </w:rPr>
            </w:pPr>
            <w:r>
              <w:rPr>
                <w:sz w:val="16"/>
                <w:szCs w:val="16"/>
              </w:rPr>
              <w:t>Level 5</w:t>
            </w:r>
          </w:p>
          <w:p w14:paraId="0859A5CE" w14:textId="77777777" w:rsidR="0030150E" w:rsidRDefault="0030150E">
            <w:pPr>
              <w:spacing w:before="0"/>
              <w:ind w:left="113"/>
              <w:rPr>
                <w:sz w:val="16"/>
                <w:szCs w:val="16"/>
              </w:rPr>
            </w:pPr>
            <w:r>
              <w:rPr>
                <w:sz w:val="16"/>
                <w:szCs w:val="16"/>
              </w:rPr>
              <w:t>171 Collins Street</w:t>
            </w:r>
          </w:p>
          <w:p w14:paraId="723A78E5" w14:textId="77777777" w:rsidR="0030150E" w:rsidRDefault="0030150E">
            <w:pPr>
              <w:spacing w:before="0"/>
              <w:ind w:left="113"/>
              <w:rPr>
                <w:sz w:val="16"/>
                <w:szCs w:val="16"/>
              </w:rPr>
            </w:pPr>
            <w:r>
              <w:rPr>
                <w:sz w:val="16"/>
                <w:szCs w:val="16"/>
              </w:rPr>
              <w:t xml:space="preserve">Melbourne </w:t>
            </w:r>
          </w:p>
          <w:p w14:paraId="483CD7B6" w14:textId="77777777" w:rsidR="0030150E" w:rsidRPr="00566BA3" w:rsidRDefault="0030150E">
            <w:pPr>
              <w:spacing w:before="0"/>
              <w:ind w:left="113"/>
              <w:rPr>
                <w:b/>
                <w:sz w:val="16"/>
                <w:szCs w:val="16"/>
              </w:rPr>
            </w:pPr>
            <w:r>
              <w:rPr>
                <w:sz w:val="16"/>
                <w:szCs w:val="16"/>
              </w:rPr>
              <w:t>VIC 3000</w:t>
            </w:r>
          </w:p>
        </w:tc>
        <w:tc>
          <w:tcPr>
            <w:tcW w:w="1313" w:type="dxa"/>
            <w:tcBorders>
              <w:left w:val="single" w:sz="4" w:space="0" w:color="auto"/>
            </w:tcBorders>
          </w:tcPr>
          <w:p w14:paraId="612C37F5" w14:textId="77777777" w:rsidR="0030150E" w:rsidRPr="00FA5487" w:rsidRDefault="0030150E">
            <w:pPr>
              <w:spacing w:before="0"/>
              <w:ind w:left="113"/>
              <w:rPr>
                <w:bCs/>
                <w:sz w:val="16"/>
                <w:szCs w:val="16"/>
              </w:rPr>
            </w:pPr>
            <w:r w:rsidRPr="00FA5487">
              <w:rPr>
                <w:bCs/>
                <w:sz w:val="16"/>
                <w:szCs w:val="16"/>
              </w:rPr>
              <w:t>GPO Box 252</w:t>
            </w:r>
          </w:p>
          <w:p w14:paraId="786B9FD8" w14:textId="77777777" w:rsidR="0030150E" w:rsidRPr="00FA5487" w:rsidRDefault="0030150E">
            <w:pPr>
              <w:spacing w:before="0"/>
              <w:ind w:left="113"/>
              <w:rPr>
                <w:bCs/>
                <w:sz w:val="16"/>
                <w:szCs w:val="16"/>
              </w:rPr>
            </w:pPr>
            <w:r w:rsidRPr="00FA5487">
              <w:rPr>
                <w:bCs/>
                <w:sz w:val="16"/>
                <w:szCs w:val="16"/>
              </w:rPr>
              <w:t>Canberra City</w:t>
            </w:r>
          </w:p>
          <w:p w14:paraId="53E02C9C" w14:textId="77777777" w:rsidR="0030150E" w:rsidRPr="00BE43DA" w:rsidRDefault="0030150E">
            <w:pPr>
              <w:spacing w:before="0"/>
              <w:ind w:left="113"/>
              <w:rPr>
                <w:bCs/>
                <w:sz w:val="16"/>
                <w:szCs w:val="16"/>
              </w:rPr>
            </w:pPr>
            <w:r w:rsidRPr="00FA5487">
              <w:rPr>
                <w:bCs/>
                <w:sz w:val="16"/>
                <w:szCs w:val="16"/>
              </w:rPr>
              <w:t>ACT 2601</w:t>
            </w:r>
          </w:p>
          <w:p w14:paraId="5A1C4259" w14:textId="77777777" w:rsidR="0030150E" w:rsidRPr="00566BA3" w:rsidRDefault="0030150E">
            <w:pPr>
              <w:spacing w:before="0"/>
              <w:ind w:left="113"/>
              <w:rPr>
                <w:b/>
                <w:sz w:val="16"/>
                <w:szCs w:val="16"/>
              </w:rPr>
            </w:pPr>
          </w:p>
        </w:tc>
        <w:tc>
          <w:tcPr>
            <w:tcW w:w="1099" w:type="dxa"/>
            <w:tcBorders>
              <w:left w:val="single" w:sz="4" w:space="0" w:color="auto"/>
              <w:right w:val="single" w:sz="4" w:space="0" w:color="auto"/>
            </w:tcBorders>
          </w:tcPr>
          <w:p w14:paraId="4AE7367F" w14:textId="77777777" w:rsidR="00B15096" w:rsidRPr="00B15096" w:rsidRDefault="00B15096" w:rsidP="00B15096">
            <w:pPr>
              <w:spacing w:before="0"/>
              <w:ind w:left="113"/>
              <w:rPr>
                <w:sz w:val="16"/>
                <w:szCs w:val="16"/>
              </w:rPr>
            </w:pPr>
            <w:r w:rsidRPr="00B15096">
              <w:rPr>
                <w:sz w:val="16"/>
                <w:szCs w:val="16"/>
              </w:rPr>
              <w:t>L18, 324 Queen Street</w:t>
            </w:r>
          </w:p>
          <w:p w14:paraId="23227257" w14:textId="77777777" w:rsidR="00B15096" w:rsidRPr="00B15096" w:rsidRDefault="00B15096" w:rsidP="00B15096">
            <w:pPr>
              <w:spacing w:before="0"/>
              <w:ind w:left="113"/>
              <w:rPr>
                <w:sz w:val="16"/>
                <w:szCs w:val="16"/>
              </w:rPr>
            </w:pPr>
            <w:r w:rsidRPr="00B15096">
              <w:rPr>
                <w:sz w:val="16"/>
                <w:szCs w:val="16"/>
              </w:rPr>
              <w:t>Brisbane</w:t>
            </w:r>
          </w:p>
          <w:p w14:paraId="7B894307" w14:textId="77777777" w:rsidR="00B15096" w:rsidRPr="00B15096" w:rsidRDefault="00B15096" w:rsidP="00B15096">
            <w:pPr>
              <w:spacing w:before="0"/>
              <w:ind w:left="113"/>
              <w:rPr>
                <w:sz w:val="16"/>
                <w:szCs w:val="16"/>
              </w:rPr>
            </w:pPr>
            <w:r w:rsidRPr="00B15096">
              <w:rPr>
                <w:sz w:val="16"/>
                <w:szCs w:val="16"/>
              </w:rPr>
              <w:t>QLD 4000</w:t>
            </w:r>
          </w:p>
          <w:p w14:paraId="257BC01B" w14:textId="1FDAFEEF" w:rsidR="005D5AC4" w:rsidRPr="00FA5487" w:rsidRDefault="005D5AC4">
            <w:pPr>
              <w:spacing w:before="0"/>
              <w:ind w:left="113"/>
              <w:rPr>
                <w:sz w:val="16"/>
                <w:szCs w:val="16"/>
              </w:rPr>
            </w:pPr>
          </w:p>
        </w:tc>
        <w:tc>
          <w:tcPr>
            <w:tcW w:w="1342" w:type="dxa"/>
            <w:tcBorders>
              <w:left w:val="single" w:sz="4" w:space="0" w:color="auto"/>
            </w:tcBorders>
          </w:tcPr>
          <w:p w14:paraId="092A3CD5" w14:textId="77777777" w:rsidR="0030150E" w:rsidRPr="00FA5487" w:rsidRDefault="0030150E">
            <w:pPr>
              <w:spacing w:before="0"/>
              <w:ind w:left="113"/>
              <w:rPr>
                <w:sz w:val="16"/>
                <w:szCs w:val="16"/>
              </w:rPr>
            </w:pPr>
            <w:r w:rsidRPr="00FA5487">
              <w:rPr>
                <w:sz w:val="16"/>
                <w:szCs w:val="16"/>
              </w:rPr>
              <w:t>PO Box 1210</w:t>
            </w:r>
          </w:p>
          <w:p w14:paraId="346C6B75" w14:textId="77777777" w:rsidR="0030150E" w:rsidRDefault="0030150E">
            <w:pPr>
              <w:spacing w:before="0"/>
              <w:ind w:left="113"/>
              <w:rPr>
                <w:sz w:val="16"/>
                <w:szCs w:val="16"/>
              </w:rPr>
            </w:pPr>
            <w:r w:rsidRPr="00FA5487">
              <w:rPr>
                <w:sz w:val="16"/>
                <w:szCs w:val="16"/>
              </w:rPr>
              <w:t xml:space="preserve">Booragoon </w:t>
            </w:r>
          </w:p>
          <w:p w14:paraId="3E632432" w14:textId="77777777" w:rsidR="0030150E" w:rsidRPr="00566BA3" w:rsidRDefault="0030150E">
            <w:pPr>
              <w:spacing w:before="0"/>
              <w:ind w:left="113"/>
              <w:rPr>
                <w:sz w:val="16"/>
                <w:szCs w:val="16"/>
              </w:rPr>
            </w:pPr>
            <w:r w:rsidRPr="00FA5487">
              <w:rPr>
                <w:sz w:val="16"/>
                <w:szCs w:val="16"/>
              </w:rPr>
              <w:t>WA 6954</w:t>
            </w:r>
          </w:p>
        </w:tc>
      </w:tr>
      <w:tr w:rsidR="0030150E" w:rsidRPr="00566BA3" w14:paraId="01BB0CFA" w14:textId="77777777" w:rsidTr="001E347D">
        <w:trPr>
          <w:trHeight w:val="445"/>
        </w:trPr>
        <w:tc>
          <w:tcPr>
            <w:tcW w:w="1323" w:type="dxa"/>
            <w:tcBorders>
              <w:right w:val="single" w:sz="4" w:space="0" w:color="auto"/>
            </w:tcBorders>
          </w:tcPr>
          <w:p w14:paraId="00A9EB81" w14:textId="77777777" w:rsidR="0030150E" w:rsidRPr="00566BA3" w:rsidRDefault="0030150E">
            <w:pPr>
              <w:spacing w:before="0"/>
              <w:rPr>
                <w:sz w:val="16"/>
                <w:szCs w:val="16"/>
              </w:rPr>
            </w:pPr>
            <w:r w:rsidRPr="00566BA3">
              <w:rPr>
                <w:sz w:val="16"/>
                <w:szCs w:val="16"/>
              </w:rPr>
              <w:t>P +64 4 915 7590</w:t>
            </w:r>
          </w:p>
        </w:tc>
        <w:tc>
          <w:tcPr>
            <w:tcW w:w="1319" w:type="dxa"/>
            <w:tcBorders>
              <w:left w:val="single" w:sz="4" w:space="0" w:color="auto"/>
              <w:right w:val="single" w:sz="4" w:space="0" w:color="auto"/>
            </w:tcBorders>
          </w:tcPr>
          <w:p w14:paraId="11BC6372" w14:textId="77777777" w:rsidR="0030150E" w:rsidRPr="00566BA3" w:rsidRDefault="0030150E">
            <w:pPr>
              <w:spacing w:before="0"/>
              <w:ind w:left="113"/>
              <w:rPr>
                <w:sz w:val="16"/>
                <w:szCs w:val="16"/>
              </w:rPr>
            </w:pPr>
            <w:r w:rsidRPr="00566BA3">
              <w:rPr>
                <w:sz w:val="16"/>
                <w:szCs w:val="16"/>
              </w:rPr>
              <w:t>P +64 9 909 5810</w:t>
            </w:r>
          </w:p>
        </w:tc>
        <w:tc>
          <w:tcPr>
            <w:tcW w:w="1277" w:type="dxa"/>
            <w:tcBorders>
              <w:left w:val="single" w:sz="4" w:space="0" w:color="auto"/>
              <w:right w:val="single" w:sz="4" w:space="0" w:color="auto"/>
            </w:tcBorders>
          </w:tcPr>
          <w:p w14:paraId="033FCD02" w14:textId="77777777" w:rsidR="0030150E" w:rsidRPr="00566BA3" w:rsidRDefault="0030150E">
            <w:pPr>
              <w:spacing w:before="0"/>
              <w:ind w:left="113"/>
              <w:rPr>
                <w:sz w:val="16"/>
                <w:szCs w:val="16"/>
              </w:rPr>
            </w:pPr>
            <w:r w:rsidRPr="00566BA3">
              <w:rPr>
                <w:sz w:val="16"/>
                <w:szCs w:val="16"/>
              </w:rPr>
              <w:t>P +61 2 9234 0200</w:t>
            </w:r>
          </w:p>
        </w:tc>
        <w:tc>
          <w:tcPr>
            <w:tcW w:w="1353" w:type="dxa"/>
            <w:tcBorders>
              <w:left w:val="single" w:sz="4" w:space="0" w:color="auto"/>
              <w:right w:val="single" w:sz="4" w:space="0" w:color="auto"/>
            </w:tcBorders>
          </w:tcPr>
          <w:p w14:paraId="41A8745F" w14:textId="77777777" w:rsidR="0030150E" w:rsidRPr="00566BA3" w:rsidRDefault="0030150E">
            <w:pPr>
              <w:spacing w:before="0"/>
              <w:ind w:left="113"/>
              <w:rPr>
                <w:sz w:val="16"/>
                <w:szCs w:val="16"/>
              </w:rPr>
            </w:pPr>
            <w:r>
              <w:rPr>
                <w:sz w:val="16"/>
                <w:szCs w:val="16"/>
              </w:rPr>
              <w:t>P +61 3 9005 1454</w:t>
            </w:r>
          </w:p>
        </w:tc>
        <w:tc>
          <w:tcPr>
            <w:tcW w:w="1313" w:type="dxa"/>
            <w:tcBorders>
              <w:left w:val="single" w:sz="4" w:space="0" w:color="auto"/>
            </w:tcBorders>
          </w:tcPr>
          <w:p w14:paraId="768529E7" w14:textId="77777777" w:rsidR="0030150E" w:rsidRPr="00566BA3" w:rsidRDefault="0030150E">
            <w:pPr>
              <w:spacing w:before="0"/>
              <w:ind w:left="113"/>
              <w:rPr>
                <w:sz w:val="16"/>
                <w:szCs w:val="16"/>
              </w:rPr>
            </w:pPr>
            <w:r w:rsidRPr="00566BA3">
              <w:rPr>
                <w:sz w:val="16"/>
                <w:szCs w:val="16"/>
              </w:rPr>
              <w:t>P +61 2 6100 6363</w:t>
            </w:r>
          </w:p>
        </w:tc>
        <w:tc>
          <w:tcPr>
            <w:tcW w:w="1099" w:type="dxa"/>
            <w:tcBorders>
              <w:left w:val="single" w:sz="4" w:space="0" w:color="auto"/>
              <w:right w:val="single" w:sz="4" w:space="0" w:color="auto"/>
            </w:tcBorders>
          </w:tcPr>
          <w:p w14:paraId="19257A77" w14:textId="733BEF24" w:rsidR="005D5AC4" w:rsidRDefault="00D8606F">
            <w:pPr>
              <w:spacing w:before="0"/>
              <w:ind w:left="113"/>
              <w:rPr>
                <w:rFonts w:ascii="Segoe UI" w:eastAsia="Segoe UI" w:hAnsi="Segoe UI" w:cs="Times New Roman"/>
                <w:sz w:val="16"/>
                <w:szCs w:val="16"/>
                <w:lang w:val="en-AU"/>
              </w:rPr>
            </w:pPr>
            <w:r w:rsidRPr="00B15096">
              <w:rPr>
                <w:sz w:val="16"/>
                <w:szCs w:val="16"/>
              </w:rPr>
              <w:t>t +61 7 2113 4080</w:t>
            </w:r>
          </w:p>
        </w:tc>
        <w:tc>
          <w:tcPr>
            <w:tcW w:w="1342" w:type="dxa"/>
            <w:tcBorders>
              <w:left w:val="single" w:sz="4" w:space="0" w:color="auto"/>
            </w:tcBorders>
          </w:tcPr>
          <w:p w14:paraId="6DA583B8" w14:textId="77777777" w:rsidR="0030150E" w:rsidRPr="00566BA3" w:rsidRDefault="0030150E">
            <w:pPr>
              <w:spacing w:before="0"/>
              <w:ind w:left="113"/>
              <w:rPr>
                <w:sz w:val="16"/>
                <w:szCs w:val="16"/>
              </w:rPr>
            </w:pPr>
            <w:r>
              <w:rPr>
                <w:rFonts w:ascii="Segoe UI" w:eastAsia="Segoe UI" w:hAnsi="Segoe UI" w:cs="Times New Roman"/>
                <w:sz w:val="16"/>
                <w:szCs w:val="16"/>
                <w:lang w:val="en-AU"/>
              </w:rPr>
              <w:t>P</w:t>
            </w:r>
            <w:r w:rsidRPr="009858C9">
              <w:rPr>
                <w:rFonts w:ascii="Segoe UI" w:eastAsia="Segoe UI" w:hAnsi="Segoe UI" w:cs="Times New Roman"/>
                <w:sz w:val="16"/>
                <w:szCs w:val="16"/>
                <w:lang w:val="en-AU"/>
              </w:rPr>
              <w:t>+61 8 6186 1410</w:t>
            </w:r>
          </w:p>
        </w:tc>
      </w:tr>
    </w:tbl>
    <w:p w14:paraId="7FED9248" w14:textId="77777777" w:rsidR="00A34ABA" w:rsidRPr="00C2659E" w:rsidRDefault="00A34ABA" w:rsidP="00A659D0"/>
    <w:p w14:paraId="5811CE97" w14:textId="77777777" w:rsidR="008676F4" w:rsidRPr="00566BA3" w:rsidRDefault="008676F4" w:rsidP="00566BA3">
      <w:pPr>
        <w:spacing w:before="0" w:after="240"/>
        <w:jc w:val="center"/>
        <w:rPr>
          <w:sz w:val="28"/>
          <w:szCs w:val="28"/>
        </w:rPr>
      </w:pPr>
      <w:r w:rsidRPr="00566BA3">
        <w:rPr>
          <w:sz w:val="28"/>
          <w:szCs w:val="28"/>
        </w:rPr>
        <w:t>www.</w:t>
      </w:r>
      <w:r w:rsidR="004048BA" w:rsidRPr="00566BA3">
        <w:rPr>
          <w:sz w:val="28"/>
          <w:szCs w:val="28"/>
        </w:rPr>
        <w:t>think</w:t>
      </w:r>
      <w:r w:rsidR="004048BA" w:rsidRPr="00566BA3">
        <w:rPr>
          <w:color w:val="7B5E05"/>
          <w:sz w:val="28"/>
          <w:szCs w:val="28"/>
        </w:rPr>
        <w:t>Sapere</w:t>
      </w:r>
      <w:r w:rsidRPr="00566BA3">
        <w:rPr>
          <w:sz w:val="28"/>
          <w:szCs w:val="28"/>
        </w:rPr>
        <w:t>.com</w:t>
      </w:r>
    </w:p>
    <w:p w14:paraId="3E2F6021" w14:textId="77777777" w:rsidR="00136121" w:rsidRPr="00566BA3" w:rsidRDefault="008676F4" w:rsidP="00566BA3">
      <w:pPr>
        <w:spacing w:before="840" w:after="0"/>
        <w:jc w:val="center"/>
        <w:rPr>
          <w:sz w:val="36"/>
          <w:szCs w:val="36"/>
        </w:rPr>
      </w:pPr>
      <w:r w:rsidRPr="00566BA3">
        <w:rPr>
          <w:sz w:val="36"/>
          <w:szCs w:val="36"/>
        </w:rPr>
        <w:t>independence, integrity and objectivity</w:t>
      </w:r>
    </w:p>
    <w:sectPr w:rsidR="00136121" w:rsidRPr="00566BA3" w:rsidSect="005E26AA">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0B70" w14:textId="77777777" w:rsidR="00112EF2" w:rsidRDefault="00112EF2" w:rsidP="00A659D0">
      <w:r>
        <w:separator/>
      </w:r>
    </w:p>
    <w:p w14:paraId="65019AA2" w14:textId="77777777" w:rsidR="00112EF2" w:rsidRDefault="00112EF2" w:rsidP="00A659D0"/>
  </w:endnote>
  <w:endnote w:type="continuationSeparator" w:id="0">
    <w:p w14:paraId="5DC7FCED" w14:textId="77777777" w:rsidR="00112EF2" w:rsidRDefault="00112EF2" w:rsidP="00A659D0">
      <w:r>
        <w:continuationSeparator/>
      </w:r>
    </w:p>
    <w:p w14:paraId="5C3F0895" w14:textId="77777777" w:rsidR="00112EF2" w:rsidRDefault="00112EF2" w:rsidP="00A659D0"/>
  </w:endnote>
  <w:endnote w:type="continuationNotice" w:id="1">
    <w:p w14:paraId="1E7F9798" w14:textId="77777777" w:rsidR="00112EF2" w:rsidRDefault="00112E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30D7" w14:textId="326BD6C6" w:rsidR="00566167" w:rsidRPr="000B46A6" w:rsidRDefault="00C378C4" w:rsidP="00A659D0">
    <w:pPr>
      <w:pStyle w:val="Footer"/>
      <w:rPr>
        <w:lang w:val="en-US"/>
      </w:rPr>
    </w:pPr>
    <w:r>
      <w:rPr>
        <w:lang w:val="en-US"/>
      </w:rPr>
      <w:fldChar w:fldCharType="begin"/>
    </w:r>
    <w:r>
      <w:rPr>
        <w:lang w:val="en-US"/>
      </w:rPr>
      <w:instrText xml:space="preserve"> PAGE  \* roman  \* MERGEFORMAT </w:instrText>
    </w:r>
    <w:r>
      <w:rPr>
        <w:lang w:val="en-US"/>
      </w:rPr>
      <w:fldChar w:fldCharType="separate"/>
    </w:r>
    <w:r>
      <w:rPr>
        <w:lang w:val="en-US"/>
      </w:rPr>
      <w:t>vii</w:t>
    </w:r>
    <w:r>
      <w:rPr>
        <w:lang w:val="en-US"/>
      </w:rPr>
      <w:fldChar w:fldCharType="end"/>
    </w:r>
    <w:r>
      <w:rPr>
        <w:lang w:val="en-US"/>
      </w:rPr>
      <w:ptab w:relativeTo="margin" w:alignment="center" w:leader="none"/>
    </w:r>
    <w:r>
      <w:rPr>
        <w:lang w:val="en-US"/>
      </w:rPr>
      <w:ptab w:relativeTo="margin" w:alignment="right" w:leader="none"/>
    </w:r>
    <w:r w:rsidRPr="0083218C">
      <w:t xml:space="preserve"> </w:t>
    </w:r>
    <w:r w:rsidR="004048BA" w:rsidRPr="004048BA">
      <w:t>www.think</w:t>
    </w:r>
    <w:r w:rsidR="004048BA" w:rsidRPr="004048BA">
      <w:rPr>
        <w:color w:val="7B5E05" w:themeColor="accent1"/>
      </w:rPr>
      <w:t>Sapere</w:t>
    </w:r>
    <w:r w:rsidR="004048BA" w:rsidRPr="004048BA">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86C3" w14:textId="3DD9B951" w:rsidR="00651311" w:rsidRPr="00184E7C" w:rsidRDefault="004048BA" w:rsidP="00A659D0">
    <w:pPr>
      <w:pStyle w:val="Footer"/>
    </w:pPr>
    <w:r w:rsidRPr="004048BA">
      <w:t>www.think</w:t>
    </w:r>
    <w:r w:rsidRPr="004048BA">
      <w:rPr>
        <w:color w:val="7B5E05" w:themeColor="accent1"/>
      </w:rPr>
      <w:t>Sapere</w:t>
    </w:r>
    <w:r w:rsidRPr="004048BA">
      <w:t>.com</w:t>
    </w:r>
    <w:r w:rsidR="00651311">
      <w:ptab w:relativeTo="margin" w:alignment="center" w:leader="none"/>
    </w:r>
    <w:r w:rsidR="00651311">
      <w:ptab w:relativeTo="margin" w:alignment="right" w:leader="none"/>
    </w:r>
    <w:r w:rsidR="00651311">
      <w:fldChar w:fldCharType="begin"/>
    </w:r>
    <w:r w:rsidR="00651311">
      <w:instrText xml:space="preserve"> PAGE  \* roman  \* MERGEFORMAT </w:instrText>
    </w:r>
    <w:r w:rsidR="00651311">
      <w:fldChar w:fldCharType="separate"/>
    </w:r>
    <w:r w:rsidR="00651311">
      <w:t>iii</w:t>
    </w:r>
    <w:r w:rsidR="0065131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F417" w14:textId="1056DE9C" w:rsidR="00EB6024" w:rsidRDefault="00914BA1">
    <w:pPr>
      <w:pStyle w:val="Footer"/>
    </w:pPr>
    <w:r>
      <w:rPr>
        <w:noProof/>
      </w:rPr>
      <mc:AlternateContent>
        <mc:Choice Requires="wps">
          <w:drawing>
            <wp:anchor distT="0" distB="0" distL="114300" distR="114300" simplePos="1" relativeHeight="251658243" behindDoc="0" locked="0" layoutInCell="0" allowOverlap="1" wp14:anchorId="6FA6D2CC" wp14:editId="3B35C07A">
              <wp:simplePos x="0" y="10189687"/>
              <wp:positionH relativeFrom="page">
                <wp:posOffset>0</wp:posOffset>
              </wp:positionH>
              <wp:positionV relativeFrom="page">
                <wp:posOffset>10189210</wp:posOffset>
              </wp:positionV>
              <wp:extent cx="7560310" cy="311785"/>
              <wp:effectExtent l="0" t="0" r="0" b="12065"/>
              <wp:wrapNone/>
              <wp:docPr id="60" name="Text Box 60" descr="{&quot;HashCode&quot;:136874154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2D8CF" w14:textId="6734419F" w:rsidR="00914BA1" w:rsidRPr="00914BA1" w:rsidRDefault="00914BA1" w:rsidP="00914BA1">
                          <w:pPr>
                            <w:spacing w:before="0" w:after="0"/>
                            <w:jc w:val="center"/>
                            <w:rPr>
                              <w:rFonts w:ascii="Arial Black" w:hAnsi="Arial Black"/>
                              <w:color w:val="E4100E"/>
                            </w:rPr>
                          </w:pPr>
                          <w:r w:rsidRPr="00914BA1">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A6D2CC" id="_x0000_t202" coordsize="21600,21600" o:spt="202" path="m,l,21600r21600,l21600,xe">
              <v:stroke joinstyle="miter"/>
              <v:path gradientshapeok="t" o:connecttype="rect"/>
            </v:shapetype>
            <v:shape id="Text Box 60" o:spid="_x0000_s1082" type="#_x0000_t202" alt="{&quot;HashCode&quot;:1368741547,&quot;Height&quot;:841.0,&quot;Width&quot;:595.0,&quot;Placement&quot;:&quot;Footer&quot;,&quot;Index&quot;:&quot;FirstPage&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002D8CF" w14:textId="6734419F" w:rsidR="00914BA1" w:rsidRPr="00914BA1" w:rsidRDefault="00914BA1" w:rsidP="00914BA1">
                    <w:pPr>
                      <w:spacing w:before="0" w:after="0"/>
                      <w:jc w:val="center"/>
                      <w:rPr>
                        <w:rFonts w:ascii="Arial Black" w:hAnsi="Arial Black"/>
                        <w:color w:val="E4100E"/>
                      </w:rPr>
                    </w:pPr>
                    <w:r w:rsidRPr="00914BA1">
                      <w:rPr>
                        <w:rFonts w:ascii="Arial Black" w:hAnsi="Arial Black"/>
                        <w:color w:val="E4100E"/>
                      </w:rPr>
                      <w:t>OFFICIAL: Sensitive</w:t>
                    </w:r>
                  </w:p>
                </w:txbxContent>
              </v:textbox>
              <w10:wrap anchorx="page" anchory="page"/>
            </v:shape>
          </w:pict>
        </mc:Fallback>
      </mc:AlternateContent>
    </w:r>
    <w:r w:rsidR="00924F0F">
      <w:rPr>
        <w:noProof/>
      </w:rPr>
      <mc:AlternateContent>
        <mc:Choice Requires="wps">
          <w:drawing>
            <wp:anchor distT="0" distB="0" distL="114300" distR="114300" simplePos="1" relativeHeight="251658242" behindDoc="0" locked="0" layoutInCell="0" allowOverlap="1" wp14:anchorId="6F93AB5D" wp14:editId="6C1C0D75">
              <wp:simplePos x="0" y="10189687"/>
              <wp:positionH relativeFrom="page">
                <wp:posOffset>0</wp:posOffset>
              </wp:positionH>
              <wp:positionV relativeFrom="page">
                <wp:posOffset>10189210</wp:posOffset>
              </wp:positionV>
              <wp:extent cx="7560310" cy="311785"/>
              <wp:effectExtent l="0" t="0" r="0" b="12065"/>
              <wp:wrapNone/>
              <wp:docPr id="53" name="Text Box 53" descr="{&quot;HashCode&quot;:136874154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3CD7D" w14:textId="401B0448" w:rsidR="00924F0F" w:rsidRPr="00924F0F" w:rsidRDefault="00924F0F" w:rsidP="00924F0F">
                          <w:pPr>
                            <w:spacing w:before="0" w:after="0"/>
                            <w:jc w:val="center"/>
                            <w:rPr>
                              <w:rFonts w:ascii="Arial Black" w:hAnsi="Arial Black"/>
                              <w:color w:val="E4100E"/>
                            </w:rPr>
                          </w:pPr>
                          <w:r w:rsidRPr="00924F0F">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F93AB5D" id="Text Box 53" o:spid="_x0000_s1083" type="#_x0000_t202" alt="{&quot;HashCode&quot;:1368741547,&quot;Height&quot;:841.0,&quot;Width&quot;:595.0,&quot;Placement&quot;:&quot;Footer&quot;,&quot;Index&quot;:&quot;FirstPage&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D23CD7D" w14:textId="401B0448" w:rsidR="00924F0F" w:rsidRPr="00924F0F" w:rsidRDefault="00924F0F" w:rsidP="00924F0F">
                    <w:pPr>
                      <w:spacing w:before="0" w:after="0"/>
                      <w:jc w:val="center"/>
                      <w:rPr>
                        <w:rFonts w:ascii="Arial Black" w:hAnsi="Arial Black"/>
                        <w:color w:val="E4100E"/>
                      </w:rPr>
                    </w:pPr>
                    <w:r w:rsidRPr="00924F0F">
                      <w:rPr>
                        <w:rFonts w:ascii="Arial Black" w:hAnsi="Arial Black"/>
                        <w:color w:val="E4100E"/>
                      </w:rPr>
                      <w:t>OFFICIAL: Sensitive</w:t>
                    </w:r>
                  </w:p>
                </w:txbxContent>
              </v:textbox>
              <w10:wrap anchorx="page" anchory="page"/>
            </v:shape>
          </w:pict>
        </mc:Fallback>
      </mc:AlternateContent>
    </w:r>
    <w:r w:rsidR="002E5ACC">
      <w:rPr>
        <w:noProof/>
      </w:rPr>
      <mc:AlternateContent>
        <mc:Choice Requires="wps">
          <w:drawing>
            <wp:anchor distT="0" distB="0" distL="114300" distR="114300" simplePos="1" relativeHeight="251658241" behindDoc="0" locked="0" layoutInCell="0" allowOverlap="1" wp14:anchorId="726AF305" wp14:editId="2E9E5D06">
              <wp:simplePos x="0" y="10189687"/>
              <wp:positionH relativeFrom="page">
                <wp:posOffset>0</wp:posOffset>
              </wp:positionH>
              <wp:positionV relativeFrom="page">
                <wp:posOffset>10189210</wp:posOffset>
              </wp:positionV>
              <wp:extent cx="7560310" cy="311785"/>
              <wp:effectExtent l="0" t="0" r="0" b="12065"/>
              <wp:wrapNone/>
              <wp:docPr id="46" name="Text Box 46" descr="{&quot;HashCode&quot;:136874154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8F439B" w14:textId="3FD6C060" w:rsidR="002E5ACC" w:rsidRPr="002E5ACC" w:rsidRDefault="002E5ACC" w:rsidP="002E5ACC">
                          <w:pPr>
                            <w:spacing w:before="0" w:after="0"/>
                            <w:jc w:val="center"/>
                            <w:rPr>
                              <w:rFonts w:ascii="Arial Black" w:hAnsi="Arial Black"/>
                              <w:color w:val="E4100E"/>
                            </w:rPr>
                          </w:pPr>
                          <w:r w:rsidRPr="002E5ACC">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AF305" id="Text Box 46" o:spid="_x0000_s1084" type="#_x0000_t202" alt="{&quot;HashCode&quot;:1368741547,&quot;Height&quot;:841.0,&quot;Width&quot;:595.0,&quot;Placement&quot;:&quot;Footer&quot;,&quot;Index&quot;:&quot;FirstPage&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8F439B" w14:textId="3FD6C060" w:rsidR="002E5ACC" w:rsidRPr="002E5ACC" w:rsidRDefault="002E5ACC" w:rsidP="002E5ACC">
                    <w:pPr>
                      <w:spacing w:before="0" w:after="0"/>
                      <w:jc w:val="center"/>
                      <w:rPr>
                        <w:rFonts w:ascii="Arial Black" w:hAnsi="Arial Black"/>
                        <w:color w:val="E4100E"/>
                      </w:rPr>
                    </w:pPr>
                    <w:r w:rsidRPr="002E5ACC">
                      <w:rPr>
                        <w:rFonts w:ascii="Arial Black" w:hAnsi="Arial Black"/>
                        <w:color w:val="E4100E"/>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BF5F" w14:textId="2D171383" w:rsidR="00EB6024" w:rsidRDefault="00EB60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2AD9" w14:textId="44FFFF74" w:rsidR="00580184" w:rsidRDefault="00AB64A5">
    <w:pPr>
      <w:pStyle w:val="Footer"/>
      <w:jc w:val="right"/>
    </w:pPr>
    <w:sdt>
      <w:sdtPr>
        <w:id w:val="553040155"/>
        <w:docPartObj>
          <w:docPartGallery w:val="Page Numbers (Bottom of Page)"/>
          <w:docPartUnique/>
        </w:docPartObj>
      </w:sdtPr>
      <w:sdtEndPr>
        <w:rPr>
          <w:noProof/>
        </w:rPr>
      </w:sdtEndPr>
      <w:sdtContent>
        <w:r w:rsidR="00580184">
          <w:fldChar w:fldCharType="begin"/>
        </w:r>
        <w:r w:rsidR="00580184">
          <w:instrText xml:space="preserve"> PAGE   \* MERGEFORMAT </w:instrText>
        </w:r>
        <w:r w:rsidR="00580184">
          <w:fldChar w:fldCharType="separate"/>
        </w:r>
        <w:r w:rsidR="00580184">
          <w:rPr>
            <w:noProof/>
          </w:rPr>
          <w:t>2</w:t>
        </w:r>
        <w:r w:rsidR="00580184">
          <w:rPr>
            <w:noProof/>
          </w:rPr>
          <w:fldChar w:fldCharType="end"/>
        </w:r>
      </w:sdtContent>
    </w:sdt>
  </w:p>
  <w:p w14:paraId="6C7624BB" w14:textId="22709A46" w:rsidR="00EB6024" w:rsidRDefault="00EB60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B645" w14:textId="72B9A903" w:rsidR="000B46A6" w:rsidRPr="000B46A6" w:rsidRDefault="0083218C" w:rsidP="00A659D0">
    <w:pPr>
      <w:pStyle w:val="Footer"/>
    </w:pPr>
    <w:r>
      <w:ptab w:relativeTo="margin" w:alignment="right" w:leader="none"/>
    </w:r>
    <w:r w:rsidR="000B46A6" w:rsidRPr="00D54161">
      <w:t xml:space="preserve">© </w:t>
    </w:r>
    <w:r w:rsidR="004E58C6">
      <w:t>2020</w:t>
    </w:r>
    <w:r w:rsidR="000B46A6" w:rsidRPr="00D54161">
      <w:t xml:space="preserve"> Sapere Research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942E" w14:textId="77777777" w:rsidR="00112EF2" w:rsidRDefault="00112EF2" w:rsidP="00A659D0">
      <w:r>
        <w:separator/>
      </w:r>
    </w:p>
  </w:footnote>
  <w:footnote w:type="continuationSeparator" w:id="0">
    <w:p w14:paraId="23F3076D" w14:textId="77777777" w:rsidR="00112EF2" w:rsidRDefault="00112EF2" w:rsidP="00A659D0">
      <w:r>
        <w:continuationSeparator/>
      </w:r>
    </w:p>
  </w:footnote>
  <w:footnote w:type="continuationNotice" w:id="1">
    <w:p w14:paraId="24016229" w14:textId="77777777" w:rsidR="00112EF2" w:rsidRDefault="00112EF2">
      <w:pPr>
        <w:spacing w:before="0" w:after="0" w:line="240" w:lineRule="auto"/>
      </w:pPr>
    </w:p>
  </w:footnote>
  <w:footnote w:id="2">
    <w:p w14:paraId="77A4912C" w14:textId="77777777" w:rsidR="00875284" w:rsidRPr="006D5D58" w:rsidRDefault="00875284" w:rsidP="00875284">
      <w:pPr>
        <w:pStyle w:val="FootnoteText"/>
        <w:rPr>
          <w:lang w:val="en-AU"/>
        </w:rPr>
      </w:pPr>
      <w:r>
        <w:rPr>
          <w:rStyle w:val="FootnoteReference"/>
        </w:rPr>
        <w:footnoteRef/>
      </w:r>
      <w:r>
        <w:t xml:space="preserve"> Separation - </w:t>
      </w:r>
      <w:r w:rsidRPr="006D5D58">
        <w:t>The process by which an episode of care for an admitted patient ceases</w:t>
      </w:r>
      <w:r>
        <w:t xml:space="preserve"> (AIHW definition </w:t>
      </w:r>
      <w:hyperlink r:id="rId1" w:history="1">
        <w:r w:rsidRPr="008C0DEA">
          <w:rPr>
            <w:rStyle w:val="Hyperlink"/>
          </w:rPr>
          <w:t>https://meteor.aihw.gov.au/content/327268</w:t>
        </w:r>
      </w:hyperlink>
      <w:r>
        <w:t xml:space="preserve">) </w:t>
      </w:r>
    </w:p>
  </w:footnote>
  <w:footnote w:id="3">
    <w:p w14:paraId="7F623BD1" w14:textId="77777777" w:rsidR="00875284" w:rsidRPr="006D5D58" w:rsidRDefault="00875284" w:rsidP="00875284">
      <w:pPr>
        <w:pStyle w:val="FootnoteText"/>
      </w:pPr>
      <w:r>
        <w:rPr>
          <w:rStyle w:val="FootnoteReference"/>
        </w:rPr>
        <w:footnoteRef/>
      </w:r>
      <w:r>
        <w:t xml:space="preserve"> </w:t>
      </w:r>
      <w:r>
        <w:rPr>
          <w:lang w:val="en-AU"/>
        </w:rPr>
        <w:t xml:space="preserve">Australian Institute of Health and Welfare (2023) </w:t>
      </w:r>
      <w:hyperlink r:id="rId2" w:history="1">
        <w:r w:rsidRPr="00BF2C2E">
          <w:rPr>
            <w:rStyle w:val="Hyperlink"/>
            <w:i/>
            <w:iCs/>
            <w:lang w:val="en-AU"/>
          </w:rPr>
          <w:t>Admitted patient care 2021-22 2 How much admitted patient activity?</w:t>
        </w:r>
      </w:hyperlink>
      <w:r>
        <w:rPr>
          <w:i/>
          <w:iCs/>
          <w:lang w:val="en-AU"/>
        </w:rPr>
        <w:t xml:space="preserve"> </w:t>
      </w:r>
      <w:r>
        <w:rPr>
          <w:lang w:val="en-AU"/>
        </w:rPr>
        <w:t xml:space="preserve">Australian Government. </w:t>
      </w:r>
    </w:p>
  </w:footnote>
  <w:footnote w:id="4">
    <w:p w14:paraId="4CA6115D" w14:textId="6538BDC6" w:rsidR="00C9501E" w:rsidRPr="005B2145" w:rsidRDefault="00C9501E" w:rsidP="001F4FFD">
      <w:pPr>
        <w:pStyle w:val="FootnoteText"/>
      </w:pPr>
      <w:r>
        <w:rPr>
          <w:rStyle w:val="FootnoteReference"/>
        </w:rPr>
        <w:footnoteRef/>
      </w:r>
      <w:r>
        <w:t xml:space="preserve"> </w:t>
      </w:r>
      <w:r w:rsidRPr="00AE55E3">
        <w:rPr>
          <w:i/>
          <w:iCs/>
        </w:rPr>
        <w:t>Review of the Health Services (Health Service Establishments) Regulations 2013</w:t>
      </w:r>
      <w:r>
        <w:rPr>
          <w:i/>
          <w:iCs/>
        </w:rPr>
        <w:t xml:space="preserve"> Discussion Paper – August 2023</w:t>
      </w:r>
      <w:r>
        <w:t>, Department of Health, August 2023.</w:t>
      </w:r>
    </w:p>
  </w:footnote>
  <w:footnote w:id="5">
    <w:p w14:paraId="4F36D9B9" w14:textId="77777777" w:rsidR="002262F9" w:rsidRDefault="002262F9" w:rsidP="002262F9">
      <w:pPr>
        <w:pStyle w:val="FootnoteText"/>
      </w:pPr>
      <w:r>
        <w:rPr>
          <w:rStyle w:val="FootnoteReference"/>
        </w:rPr>
        <w:footnoteRef/>
      </w:r>
      <w:r>
        <w:t xml:space="preserve"> Available at the </w:t>
      </w:r>
      <w:hyperlink r:id="rId3" w:history="1">
        <w:r>
          <w:rPr>
            <w:rStyle w:val="Hyperlink"/>
          </w:rPr>
          <w:t>Department of Health website</w:t>
        </w:r>
      </w:hyperlink>
      <w:r>
        <w:t xml:space="preserve"> at &lt;https://www.health.vic.gov.au/publications/targeting-zero-the-review-of-hospital-safety-and-quality-assurance-in-victoria&gt;.</w:t>
      </w:r>
    </w:p>
  </w:footnote>
  <w:footnote w:id="6">
    <w:p w14:paraId="3617BFD0" w14:textId="62E8A113" w:rsidR="008114EF" w:rsidRPr="00372E9D" w:rsidRDefault="008114EF" w:rsidP="00372E9D">
      <w:pPr>
        <w:pStyle w:val="FootnoteText"/>
      </w:pPr>
      <w:r>
        <w:rPr>
          <w:rStyle w:val="FootnoteReference"/>
        </w:rPr>
        <w:footnoteRef/>
      </w:r>
      <w:r>
        <w:t xml:space="preserve"> HSEs</w:t>
      </w:r>
      <w:r w:rsidR="00372E9D">
        <w:t xml:space="preserve"> are currently required to prepare</w:t>
      </w:r>
      <w:r>
        <w:t xml:space="preserve"> health service protocols for quality and safety </w:t>
      </w:r>
      <w:r w:rsidR="00372E9D">
        <w:t xml:space="preserve">under regulation </w:t>
      </w:r>
      <w:r>
        <w:t>7</w:t>
      </w:r>
      <w:r w:rsidR="00372E9D">
        <w:t>A</w:t>
      </w:r>
      <w:r>
        <w:t>. Matters that must be included in these protocols include (but are not limited to):</w:t>
      </w:r>
      <w:r w:rsidR="00372E9D">
        <w:t xml:space="preserve"> </w:t>
      </w:r>
      <w:r>
        <w:t>processes for assessing every three years the credentials of each health professional practising at the health service</w:t>
      </w:r>
      <w:r w:rsidR="00372E9D">
        <w:t>; p</w:t>
      </w:r>
      <w:r>
        <w:t>rocesses for setting the scope of practice for each health professional practising at the health service</w:t>
      </w:r>
      <w:r w:rsidR="00372E9D">
        <w:t xml:space="preserve">; </w:t>
      </w:r>
      <w:r>
        <w:t>processes for continually assessing the capacity of the health service to provide safe, patient-centred, and appropriate health services to patients</w:t>
      </w:r>
      <w:r w:rsidR="00372E9D">
        <w:t xml:space="preserve">; </w:t>
      </w:r>
      <w:r>
        <w:t>setting the frequency and procedures for meetings of committees with responsibility for the quality and safety of health services.</w:t>
      </w:r>
    </w:p>
  </w:footnote>
  <w:footnote w:id="7">
    <w:p w14:paraId="61D20D02" w14:textId="77777777" w:rsidR="004E24E9" w:rsidRPr="006D5D58" w:rsidRDefault="004E24E9" w:rsidP="004E24E9">
      <w:pPr>
        <w:pStyle w:val="FootnoteText"/>
        <w:rPr>
          <w:lang w:val="en-AU"/>
        </w:rPr>
      </w:pPr>
      <w:r>
        <w:rPr>
          <w:rStyle w:val="FootnoteReference"/>
        </w:rPr>
        <w:footnoteRef/>
      </w:r>
      <w:r>
        <w:t xml:space="preserve"> Separation - </w:t>
      </w:r>
      <w:r w:rsidRPr="006D5D58">
        <w:t>The process by which an episode of care for an admitted patient ceases</w:t>
      </w:r>
      <w:r>
        <w:t xml:space="preserve"> (AIHW definition </w:t>
      </w:r>
      <w:hyperlink r:id="rId4" w:history="1">
        <w:r w:rsidRPr="008C0DEA">
          <w:rPr>
            <w:rStyle w:val="Hyperlink"/>
          </w:rPr>
          <w:t>https://meteor.aihw.gov.au/content/327268</w:t>
        </w:r>
      </w:hyperlink>
      <w:r>
        <w:t xml:space="preserve">) </w:t>
      </w:r>
    </w:p>
  </w:footnote>
  <w:footnote w:id="8">
    <w:p w14:paraId="5249FFA2" w14:textId="6F8CAF62" w:rsidR="004E24E9" w:rsidRPr="00D97555" w:rsidRDefault="004E24E9" w:rsidP="004E24E9">
      <w:pPr>
        <w:pStyle w:val="FootnoteText"/>
      </w:pPr>
      <w:r>
        <w:rPr>
          <w:rStyle w:val="FootnoteReference"/>
        </w:rPr>
        <w:footnoteRef/>
      </w:r>
      <w:r>
        <w:t xml:space="preserve"> </w:t>
      </w:r>
      <w:r>
        <w:rPr>
          <w:lang w:val="en-AU"/>
        </w:rPr>
        <w:t xml:space="preserve">Australian Institute of Health and Welfare (2023) </w:t>
      </w:r>
      <w:hyperlink r:id="rId5" w:history="1">
        <w:r w:rsidRPr="00D97555">
          <w:rPr>
            <w:rStyle w:val="Hyperlink"/>
            <w:i/>
            <w:iCs/>
            <w:lang w:val="en-AU"/>
          </w:rPr>
          <w:t>Admitted patient care 2021-22 2 How much admitted patient activity?</w:t>
        </w:r>
      </w:hyperlink>
      <w:r w:rsidRPr="00D97555">
        <w:rPr>
          <w:i/>
          <w:iCs/>
          <w:lang w:val="en-AU"/>
        </w:rPr>
        <w:t xml:space="preserve"> </w:t>
      </w:r>
      <w:r w:rsidRPr="00D97555">
        <w:rPr>
          <w:lang w:val="en-AU"/>
        </w:rPr>
        <w:t xml:space="preserve">Australian Government. </w:t>
      </w:r>
    </w:p>
  </w:footnote>
  <w:footnote w:id="9">
    <w:p w14:paraId="3C60F84B" w14:textId="77777777" w:rsidR="004E24E9" w:rsidRPr="00D97555" w:rsidRDefault="004E24E9" w:rsidP="004E24E9">
      <w:pPr>
        <w:pStyle w:val="FootnoteText"/>
        <w:rPr>
          <w:lang w:val="en-AU"/>
        </w:rPr>
      </w:pPr>
      <w:r w:rsidRPr="00D97555">
        <w:rPr>
          <w:rStyle w:val="FootnoteReference"/>
        </w:rPr>
        <w:footnoteRef/>
      </w:r>
      <w:r w:rsidRPr="00D97555">
        <w:t xml:space="preserve"> </w:t>
      </w:r>
      <w:hyperlink r:id="rId6" w:history="1">
        <w:r w:rsidRPr="00D97555">
          <w:rPr>
            <w:rStyle w:val="Hyperlink"/>
          </w:rPr>
          <w:t>Spending on admitted patients - Australian Institute of Health and Welfare (aihw.gov.au)</w:t>
        </w:r>
      </w:hyperlink>
      <w:r w:rsidRPr="00D97555">
        <w:t xml:space="preserve"> </w:t>
      </w:r>
    </w:p>
  </w:footnote>
  <w:footnote w:id="10">
    <w:p w14:paraId="6F221CF3" w14:textId="6939B85B" w:rsidR="004E24E9" w:rsidRPr="00C95F6D" w:rsidRDefault="004E24E9" w:rsidP="004E24E9">
      <w:pPr>
        <w:pStyle w:val="FootnoteText"/>
        <w:rPr>
          <w:lang w:val="en-AU"/>
        </w:rPr>
      </w:pPr>
      <w:r w:rsidRPr="00D97555">
        <w:rPr>
          <w:rStyle w:val="FootnoteReference"/>
        </w:rPr>
        <w:footnoteRef/>
      </w:r>
      <w:r w:rsidRPr="00D97555">
        <w:t xml:space="preserve"> </w:t>
      </w:r>
      <w:r w:rsidRPr="00D97555">
        <w:rPr>
          <w:lang w:val="en-AU"/>
        </w:rPr>
        <w:t xml:space="preserve">Department of Health data. </w:t>
      </w:r>
      <w:bookmarkStart w:id="22" w:name="_Hlk157687657"/>
      <w:r w:rsidRPr="00D97555">
        <w:rPr>
          <w:lang w:val="en-AU"/>
        </w:rPr>
        <w:t>Note these figures include 3 bush nursing private hospitals, 3 alcohol and other drug establishments, and 1 Day Procedure Centre focussed solely on liposuction. These figures do not include 10 Approval in Principle establishments</w:t>
      </w:r>
      <w:bookmarkEnd w:id="22"/>
      <w:r w:rsidRPr="00D97555">
        <w:rPr>
          <w:lang w:val="en-AU"/>
        </w:rPr>
        <w:t>.</w:t>
      </w:r>
    </w:p>
  </w:footnote>
  <w:footnote w:id="11">
    <w:p w14:paraId="0ABD8FF7" w14:textId="77777777" w:rsidR="004E24E9" w:rsidRPr="00C12E69" w:rsidRDefault="004E24E9" w:rsidP="004E24E9">
      <w:pPr>
        <w:pStyle w:val="FootnoteText"/>
        <w:rPr>
          <w:rFonts w:cs="Arial"/>
          <w:lang w:val="en-AU"/>
        </w:rPr>
      </w:pPr>
      <w:r w:rsidRPr="000D17F7">
        <w:rPr>
          <w:rStyle w:val="FootnoteReference"/>
        </w:rPr>
        <w:footnoteRef/>
      </w:r>
      <w:r>
        <w:t xml:space="preserve"> </w:t>
      </w:r>
      <w:r w:rsidRPr="00F22FCC">
        <w:t>In 2023, the department began using the term ‘planned surgery’ instead of ‘elective surgery’</w:t>
      </w:r>
      <w:r>
        <w:t xml:space="preserve">. </w:t>
      </w:r>
      <w:r w:rsidRPr="00C12E69">
        <w:t xml:space="preserve">Planned surgery refers to planned surgical procedures that can be booked in advance. Source: Victorian Department of Health. </w:t>
      </w:r>
      <w:r w:rsidRPr="00C12E69">
        <w:rPr>
          <w:i/>
          <w:iCs/>
        </w:rPr>
        <w:t>Planned Surgery Reform Blueprint</w:t>
      </w:r>
      <w:r w:rsidRPr="00C12E69">
        <w:t>. October 2023.</w:t>
      </w:r>
    </w:p>
  </w:footnote>
  <w:footnote w:id="12">
    <w:p w14:paraId="2548A99C" w14:textId="77777777" w:rsidR="004E24E9" w:rsidRPr="00A14C6A" w:rsidRDefault="004E24E9" w:rsidP="004E24E9">
      <w:pPr>
        <w:pStyle w:val="FootnoteText"/>
        <w:rPr>
          <w:lang w:val="en-AU"/>
        </w:rPr>
      </w:pPr>
      <w:r>
        <w:rPr>
          <w:rStyle w:val="FootnoteReference"/>
        </w:rPr>
        <w:footnoteRef/>
      </w:r>
      <w:r>
        <w:t xml:space="preserve"> </w:t>
      </w:r>
      <w:r w:rsidRPr="00A14C6A">
        <w:t>Elective surgery is planned surgery that can be booked in advance as a result of a specialist clinical assessment. Elective surgery is considered medically necessary, and may be required urgently, but is not conducted as a result of an emergency presentation.</w:t>
      </w:r>
      <w:r w:rsidRPr="004B47E6">
        <w:t xml:space="preserve"> </w:t>
      </w:r>
      <w:r>
        <w:t xml:space="preserve">Source: Australia Institute of Health and Welfare, </w:t>
      </w:r>
      <w:hyperlink r:id="rId7" w:history="1">
        <w:r w:rsidRPr="00367AAC">
          <w:rPr>
            <w:rStyle w:val="Hyperlink"/>
          </w:rPr>
          <w:t>https://www.aihw.gov.au/</w:t>
        </w:r>
      </w:hyperlink>
      <w:r>
        <w:t>.</w:t>
      </w:r>
    </w:p>
  </w:footnote>
  <w:footnote w:id="13">
    <w:p w14:paraId="6F9F85F5" w14:textId="77777777" w:rsidR="004E24E9" w:rsidRPr="00EB7538" w:rsidRDefault="004E24E9" w:rsidP="004E24E9">
      <w:pPr>
        <w:pStyle w:val="FootnoteText"/>
        <w:rPr>
          <w:szCs w:val="18"/>
          <w:lang w:val="en-AU"/>
        </w:rPr>
      </w:pPr>
      <w:r w:rsidRPr="000D17F7">
        <w:rPr>
          <w:rStyle w:val="FootnoteReference"/>
        </w:rPr>
        <w:footnoteRef/>
      </w:r>
      <w:r w:rsidRPr="00EB7538">
        <w:rPr>
          <w:szCs w:val="18"/>
        </w:rPr>
        <w:t xml:space="preserve"> </w:t>
      </w:r>
      <w:hyperlink r:id="rId8" w:history="1">
        <w:r w:rsidRPr="00EB7538">
          <w:rPr>
            <w:rStyle w:val="Hyperlink"/>
            <w:szCs w:val="18"/>
          </w:rPr>
          <w:t>https://www.aihw.gov.au/getmedia/71d19036-8c1e-485d-9d93-6618780346ae/australia-s-hospitals-at-a-glance.pdf</w:t>
        </w:r>
      </w:hyperlink>
      <w:r w:rsidRPr="00EB7538">
        <w:rPr>
          <w:szCs w:val="18"/>
        </w:rPr>
        <w:t xml:space="preserve"> </w:t>
      </w:r>
    </w:p>
  </w:footnote>
  <w:footnote w:id="14">
    <w:p w14:paraId="55E3025C" w14:textId="77777777" w:rsidR="004E24E9" w:rsidRPr="00EB7538" w:rsidRDefault="004E24E9" w:rsidP="004E24E9">
      <w:pPr>
        <w:pStyle w:val="FootnoteText"/>
        <w:rPr>
          <w:szCs w:val="18"/>
          <w:lang w:val="en-AU"/>
        </w:rPr>
      </w:pPr>
      <w:r w:rsidRPr="000D17F7">
        <w:rPr>
          <w:rStyle w:val="FootnoteReference"/>
        </w:rPr>
        <w:footnoteRef/>
      </w:r>
      <w:r w:rsidRPr="00EB7538">
        <w:rPr>
          <w:szCs w:val="18"/>
        </w:rPr>
        <w:t xml:space="preserve"> </w:t>
      </w:r>
      <w:hyperlink r:id="rId9" w:history="1">
        <w:r w:rsidRPr="00EB7538">
          <w:rPr>
            <w:rStyle w:val="Hyperlink"/>
            <w:szCs w:val="18"/>
          </w:rPr>
          <w:t>Spending on admitted patients - Australian Institute of Health and Welfare (aihw.gov.au)</w:t>
        </w:r>
      </w:hyperlink>
      <w:r w:rsidRPr="00EB7538">
        <w:rPr>
          <w:szCs w:val="18"/>
        </w:rPr>
        <w:t xml:space="preserve"> </w:t>
      </w:r>
    </w:p>
  </w:footnote>
  <w:footnote w:id="15">
    <w:p w14:paraId="00DE7518" w14:textId="77777777" w:rsidR="004E24E9" w:rsidRPr="00EB7538" w:rsidRDefault="004E24E9" w:rsidP="004E24E9">
      <w:pPr>
        <w:autoSpaceDE w:val="0"/>
        <w:autoSpaceDN w:val="0"/>
        <w:adjustRightInd w:val="0"/>
        <w:spacing w:before="0" w:after="0" w:line="240" w:lineRule="auto"/>
        <w:rPr>
          <w:sz w:val="18"/>
          <w:szCs w:val="18"/>
          <w:lang w:val="en-AU"/>
        </w:rPr>
      </w:pPr>
      <w:r w:rsidRPr="000D17F7">
        <w:rPr>
          <w:rStyle w:val="FootnoteReference"/>
        </w:rPr>
        <w:footnoteRef/>
      </w:r>
      <w:r w:rsidRPr="00EB7538">
        <w:rPr>
          <w:sz w:val="18"/>
          <w:szCs w:val="18"/>
        </w:rPr>
        <w:t xml:space="preserve"> </w:t>
      </w:r>
      <w:r w:rsidRPr="00EB7538">
        <w:rPr>
          <w:sz w:val="18"/>
          <w:szCs w:val="18"/>
          <w:lang w:val="en-AU"/>
        </w:rPr>
        <w:t xml:space="preserve">Victorian Department of Health. </w:t>
      </w:r>
      <w:r>
        <w:rPr>
          <w:i/>
          <w:sz w:val="18"/>
          <w:szCs w:val="18"/>
          <w:lang w:val="en-AU"/>
        </w:rPr>
        <w:t>Media release: COVID catch-up plan to deliver for patients</w:t>
      </w:r>
      <w:r w:rsidRPr="00EB7538">
        <w:rPr>
          <w:sz w:val="18"/>
          <w:szCs w:val="18"/>
          <w:lang w:val="en-AU"/>
        </w:rPr>
        <w:t xml:space="preserve">. </w:t>
      </w:r>
      <w:r>
        <w:rPr>
          <w:sz w:val="18"/>
          <w:szCs w:val="18"/>
          <w:lang w:val="en-AU"/>
        </w:rPr>
        <w:t>3 April 2022</w:t>
      </w:r>
      <w:r w:rsidRPr="00EB7538">
        <w:rPr>
          <w:sz w:val="18"/>
          <w:szCs w:val="18"/>
          <w:lang w:val="en-AU"/>
        </w:rPr>
        <w:t xml:space="preserve"> </w:t>
      </w:r>
      <w:r w:rsidRPr="001147F1">
        <w:rPr>
          <w:sz w:val="18"/>
          <w:szCs w:val="18"/>
          <w:lang w:val="en-AU"/>
        </w:rPr>
        <w:t>(</w:t>
      </w:r>
      <w:r w:rsidRPr="006E6057">
        <w:rPr>
          <w:sz w:val="18"/>
          <w:szCs w:val="18"/>
        </w:rPr>
        <w:t>https://www.premier.vic.gov.au/covid-catch-plan-deliver-patients</w:t>
      </w:r>
      <w:r w:rsidRPr="00EB7538">
        <w:rPr>
          <w:sz w:val="18"/>
          <w:szCs w:val="18"/>
        </w:rPr>
        <w:t>)</w:t>
      </w:r>
    </w:p>
  </w:footnote>
  <w:footnote w:id="16">
    <w:p w14:paraId="713EBBE2" w14:textId="77777777" w:rsidR="004E24E9" w:rsidRPr="004E24E9" w:rsidRDefault="004E24E9" w:rsidP="004E24E9">
      <w:pPr>
        <w:pStyle w:val="FootnoteText"/>
        <w:rPr>
          <w:lang w:val="en-AU"/>
        </w:rPr>
      </w:pPr>
      <w:r>
        <w:rPr>
          <w:rStyle w:val="FootnoteReference"/>
        </w:rPr>
        <w:footnoteRef/>
      </w:r>
      <w:r>
        <w:t xml:space="preserve"> </w:t>
      </w:r>
      <w:r w:rsidRPr="009966D7">
        <w:t>https://www.betterhealth.vic.gov.au/health/servicesandsupport/hospitals-in-victoria</w:t>
      </w:r>
    </w:p>
  </w:footnote>
  <w:footnote w:id="17">
    <w:p w14:paraId="0EBAC6B7" w14:textId="77777777" w:rsidR="004E24E9" w:rsidRPr="0048730D" w:rsidRDefault="004E24E9" w:rsidP="004E24E9">
      <w:pPr>
        <w:pStyle w:val="FootnoteText"/>
        <w:rPr>
          <w:lang w:val="en-AU"/>
        </w:rPr>
      </w:pPr>
      <w:r w:rsidRPr="000D17F7">
        <w:rPr>
          <w:rStyle w:val="FootnoteReference"/>
        </w:rPr>
        <w:footnoteRef/>
      </w:r>
      <w:r w:rsidRPr="00EB7538">
        <w:rPr>
          <w:szCs w:val="18"/>
        </w:rPr>
        <w:t xml:space="preserve"> </w:t>
      </w:r>
      <w:hyperlink r:id="rId10" w:history="1">
        <w:r w:rsidRPr="00EB7538">
          <w:rPr>
            <w:rStyle w:val="Hyperlink"/>
            <w:szCs w:val="18"/>
          </w:rPr>
          <w:t>https://www.aihw.gov.au/reports-data/myhospitals/intersection/activity/apc</w:t>
        </w:r>
      </w:hyperlink>
      <w:r>
        <w:t xml:space="preserve"> </w:t>
      </w:r>
    </w:p>
  </w:footnote>
  <w:footnote w:id="18">
    <w:p w14:paraId="2E661201" w14:textId="77777777" w:rsidR="004E24E9" w:rsidRPr="006F3BC6" w:rsidRDefault="004E24E9" w:rsidP="004E24E9">
      <w:pPr>
        <w:pStyle w:val="FootnoteText"/>
        <w:rPr>
          <w:lang w:val="en-AU"/>
        </w:rPr>
      </w:pPr>
      <w:r>
        <w:rPr>
          <w:rStyle w:val="FootnoteReference"/>
        </w:rPr>
        <w:footnoteRef/>
      </w:r>
      <w:r>
        <w:t xml:space="preserve"> </w:t>
      </w:r>
      <w:hyperlink r:id="rId11" w:history="1">
        <w:r w:rsidRPr="00EA7A7A">
          <w:t>Ibid.</w:t>
        </w:r>
      </w:hyperlink>
    </w:p>
  </w:footnote>
  <w:footnote w:id="19">
    <w:p w14:paraId="2850B4A5" w14:textId="77777777" w:rsidR="004E24E9" w:rsidRPr="006E6057" w:rsidRDefault="004E24E9" w:rsidP="004E24E9">
      <w:pPr>
        <w:pStyle w:val="FootnoteText"/>
        <w:rPr>
          <w:lang w:val="en-AU"/>
        </w:rPr>
      </w:pPr>
      <w:r>
        <w:rPr>
          <w:rStyle w:val="FootnoteReference"/>
        </w:rPr>
        <w:footnoteRef/>
      </w:r>
      <w:r>
        <w:t xml:space="preserve"> Victorian Government. </w:t>
      </w:r>
      <w:r>
        <w:rPr>
          <w:i/>
          <w:iCs/>
        </w:rPr>
        <w:t xml:space="preserve">Better Safer Care: Delivering a world-leading healthcare system. </w:t>
      </w:r>
      <w:r>
        <w:t>October 2016.</w:t>
      </w:r>
    </w:p>
  </w:footnote>
  <w:footnote w:id="20">
    <w:p w14:paraId="3B2EE9C5" w14:textId="77777777" w:rsidR="004E24E9" w:rsidRPr="00BA7921" w:rsidRDefault="004E24E9" w:rsidP="004E24E9">
      <w:pPr>
        <w:pStyle w:val="FootnoteText"/>
        <w:rPr>
          <w:lang w:val="en-AU"/>
        </w:rPr>
      </w:pPr>
      <w:r>
        <w:rPr>
          <w:rStyle w:val="FootnoteReference"/>
        </w:rPr>
        <w:footnoteRef/>
      </w:r>
      <w:r>
        <w:t xml:space="preserve"> </w:t>
      </w:r>
      <w:r w:rsidRPr="00C83B7C">
        <w:rPr>
          <w:i/>
          <w:iCs/>
          <w:lang w:val="en-AU"/>
        </w:rPr>
        <w:t>Health Practitioner Regulation National Law Act 2009</w:t>
      </w:r>
      <w:r>
        <w:rPr>
          <w:lang w:val="en-AU"/>
        </w:rPr>
        <w:t>.</w:t>
      </w:r>
    </w:p>
  </w:footnote>
  <w:footnote w:id="21">
    <w:p w14:paraId="11CAFD84" w14:textId="77777777" w:rsidR="004E24E9" w:rsidRPr="00D84900" w:rsidRDefault="004E24E9" w:rsidP="004E24E9">
      <w:pPr>
        <w:pStyle w:val="FootnoteText"/>
        <w:rPr>
          <w:lang w:val="en-AU"/>
        </w:rPr>
      </w:pPr>
      <w:r>
        <w:rPr>
          <w:rStyle w:val="FootnoteReference"/>
        </w:rPr>
        <w:footnoteRef/>
      </w:r>
      <w:r>
        <w:t xml:space="preserve"> The criteria which must be considered by the secretary are set out </w:t>
      </w:r>
      <w:r w:rsidRPr="007C4E3E">
        <w:t xml:space="preserve">fully in </w:t>
      </w:r>
      <w:r w:rsidRPr="00E174BD">
        <w:t>s</w:t>
      </w:r>
      <w:r w:rsidRPr="007C4E3E">
        <w:t xml:space="preserve">ection </w:t>
      </w:r>
      <w:r w:rsidRPr="00D84900">
        <w:t>71</w:t>
      </w:r>
      <w:r w:rsidRPr="007C4E3E">
        <w:t xml:space="preserve"> of the Act.</w:t>
      </w:r>
    </w:p>
  </w:footnote>
  <w:footnote w:id="22">
    <w:p w14:paraId="60C5BC96" w14:textId="215E79F0" w:rsidR="004E24E9" w:rsidRPr="0052276C" w:rsidRDefault="004E24E9" w:rsidP="004E24E9">
      <w:pPr>
        <w:pStyle w:val="FootnoteText"/>
        <w:rPr>
          <w:lang w:val="en-AU"/>
        </w:rPr>
      </w:pPr>
      <w:r>
        <w:rPr>
          <w:rStyle w:val="FootnoteReference"/>
        </w:rPr>
        <w:footnoteRef/>
      </w:r>
      <w:r>
        <w:t xml:space="preserve"> Under Gazette Notice G 34, 23 August.</w:t>
      </w:r>
      <w:r w:rsidR="00C015CA" w:rsidRPr="00C015CA">
        <w:t xml:space="preserve"> </w:t>
      </w:r>
      <w:r w:rsidR="00C015CA">
        <w:t>This was agreed by Health Ministers in 2010.</w:t>
      </w:r>
    </w:p>
  </w:footnote>
  <w:footnote w:id="23">
    <w:p w14:paraId="7219F972" w14:textId="77777777" w:rsidR="003323C7" w:rsidRPr="00E174BD" w:rsidRDefault="003323C7" w:rsidP="003323C7">
      <w:pPr>
        <w:pStyle w:val="FootnoteText"/>
        <w:rPr>
          <w:lang w:val="en-AU"/>
        </w:rPr>
      </w:pPr>
      <w:r>
        <w:rPr>
          <w:rStyle w:val="FootnoteReference"/>
        </w:rPr>
        <w:footnoteRef/>
      </w:r>
      <w:r>
        <w:t xml:space="preserve"> </w:t>
      </w:r>
      <w:r w:rsidRPr="00EB0A1A">
        <w:t xml:space="preserve">The Australian Commission on Safety and Quality in Health Care (the Commission) was formed under the </w:t>
      </w:r>
      <w:r w:rsidRPr="00E174BD">
        <w:rPr>
          <w:i/>
        </w:rPr>
        <w:t>National Health Reform Act 2011</w:t>
      </w:r>
      <w:r w:rsidRPr="00EB0A1A">
        <w:t>.</w:t>
      </w:r>
    </w:p>
  </w:footnote>
  <w:footnote w:id="24">
    <w:p w14:paraId="68EB5A02" w14:textId="08F52158" w:rsidR="000B59E9" w:rsidRPr="009310F4" w:rsidRDefault="000B59E9">
      <w:pPr>
        <w:pStyle w:val="FootnoteText"/>
        <w:rPr>
          <w:lang w:val="en-AU"/>
        </w:rPr>
      </w:pPr>
      <w:r>
        <w:rPr>
          <w:rStyle w:val="FootnoteReference"/>
        </w:rPr>
        <w:footnoteRef/>
      </w:r>
      <w:r>
        <w:t xml:space="preserve"> </w:t>
      </w:r>
      <w:r w:rsidR="005A379F" w:rsidRPr="005A379F">
        <w:t>Qualified third parties approved by the Commission conduct the accreditation assessments and certifications.</w:t>
      </w:r>
    </w:p>
  </w:footnote>
  <w:footnote w:id="25">
    <w:p w14:paraId="5CAD90F3" w14:textId="369F8DF1" w:rsidR="008114EF" w:rsidRPr="009310F4" w:rsidRDefault="008114EF">
      <w:pPr>
        <w:pStyle w:val="FootnoteText"/>
        <w:rPr>
          <w:lang w:val="en-AU"/>
        </w:rPr>
      </w:pPr>
      <w:r>
        <w:rPr>
          <w:rStyle w:val="FootnoteReference"/>
        </w:rPr>
        <w:footnoteRef/>
      </w:r>
      <w:r>
        <w:t xml:space="preserve"> </w:t>
      </w:r>
      <w:r>
        <w:rPr>
          <w:lang w:val="en-AU"/>
        </w:rPr>
        <w:t xml:space="preserve">The predecessor legislation (prior to 1988) was the </w:t>
      </w:r>
      <w:r w:rsidRPr="009310F4">
        <w:rPr>
          <w:i/>
          <w:iCs/>
          <w:lang w:val="en-AU"/>
        </w:rPr>
        <w:t>Hospitals and Ch</w:t>
      </w:r>
      <w:r>
        <w:rPr>
          <w:i/>
          <w:iCs/>
          <w:lang w:val="en-AU"/>
        </w:rPr>
        <w:t>ar</w:t>
      </w:r>
      <w:r w:rsidRPr="009310F4">
        <w:rPr>
          <w:i/>
          <w:iCs/>
          <w:lang w:val="en-AU"/>
        </w:rPr>
        <w:t>ities Act 1958</w:t>
      </w:r>
      <w:r>
        <w:rPr>
          <w:lang w:val="en-AU"/>
        </w:rPr>
        <w:t>.</w:t>
      </w:r>
    </w:p>
  </w:footnote>
  <w:footnote w:id="26">
    <w:p w14:paraId="21F568FE" w14:textId="77777777" w:rsidR="00B30E1C" w:rsidRPr="00734F7C" w:rsidRDefault="00B30E1C" w:rsidP="00B30E1C">
      <w:pPr>
        <w:pStyle w:val="FootnoteText"/>
        <w:rPr>
          <w:lang w:val="en-AU"/>
        </w:rPr>
      </w:pPr>
      <w:r>
        <w:rPr>
          <w:rStyle w:val="FootnoteReference"/>
        </w:rPr>
        <w:footnoteRef/>
      </w:r>
      <w:r>
        <w:t xml:space="preserve"> </w:t>
      </w:r>
      <w:r w:rsidRPr="00734F7C">
        <w:t>Amended by the Health Services (Private Hospitals and Day Procedure Centres) Amendment Regulations 2018</w:t>
      </w:r>
    </w:p>
  </w:footnote>
  <w:footnote w:id="27">
    <w:p w14:paraId="5EC997A9" w14:textId="77777777" w:rsidR="00B30E1C" w:rsidRPr="002F38EC" w:rsidRDefault="00B30E1C" w:rsidP="00B30E1C">
      <w:pPr>
        <w:pStyle w:val="FootnoteText"/>
        <w:rPr>
          <w:lang w:val="en-AU"/>
        </w:rPr>
      </w:pPr>
      <w:r>
        <w:rPr>
          <w:rStyle w:val="FootnoteReference"/>
        </w:rPr>
        <w:footnoteRef/>
      </w:r>
      <w:r>
        <w:t xml:space="preserve"> </w:t>
      </w:r>
      <w:r>
        <w:rPr>
          <w:lang w:val="en-AU"/>
        </w:rPr>
        <w:t>Amended by the Health Legislation Amendment (Quality and Safety) Act 2017</w:t>
      </w:r>
    </w:p>
  </w:footnote>
  <w:footnote w:id="28">
    <w:p w14:paraId="76CC21DB" w14:textId="77777777" w:rsidR="00B30E1C" w:rsidRPr="00CD23BE" w:rsidRDefault="00B30E1C" w:rsidP="00B30E1C">
      <w:pPr>
        <w:pStyle w:val="FootnoteText"/>
        <w:rPr>
          <w:lang w:val="en-AU"/>
        </w:rPr>
      </w:pPr>
      <w:r>
        <w:rPr>
          <w:rStyle w:val="FootnoteReference"/>
        </w:rPr>
        <w:footnoteRef/>
      </w:r>
      <w:r>
        <w:t xml:space="preserve"> </w:t>
      </w:r>
      <w:r>
        <w:rPr>
          <w:lang w:val="en-AU"/>
        </w:rPr>
        <w:t>Health Legislation Amendment (Quality and Safety) Bill, second reading speech, 21 June 2017</w:t>
      </w:r>
    </w:p>
  </w:footnote>
  <w:footnote w:id="29">
    <w:p w14:paraId="103BCB3E" w14:textId="77777777" w:rsidR="00B30E1C" w:rsidRPr="007F5505" w:rsidRDefault="00B30E1C" w:rsidP="00B30E1C">
      <w:pPr>
        <w:pStyle w:val="FootnoteText"/>
      </w:pPr>
      <w:r w:rsidRPr="000D17F7">
        <w:rPr>
          <w:rStyle w:val="FootnoteReference"/>
        </w:rPr>
        <w:footnoteRef/>
      </w:r>
      <w:r>
        <w:t xml:space="preserve"> </w:t>
      </w:r>
      <w:r w:rsidRPr="00AE55E3">
        <w:rPr>
          <w:i/>
          <w:iCs/>
        </w:rPr>
        <w:t>Review of the Health Services (Health Service Establishments) Regulations 2013</w:t>
      </w:r>
      <w:r>
        <w:rPr>
          <w:i/>
          <w:iCs/>
        </w:rPr>
        <w:t xml:space="preserve"> Discussion Paper – August 2023</w:t>
      </w:r>
      <w:r>
        <w:t>, Department of Health, August 2023.</w:t>
      </w:r>
    </w:p>
    <w:p w14:paraId="60F0C697" w14:textId="77777777" w:rsidR="00B30E1C" w:rsidRPr="00AE55E3" w:rsidRDefault="00B30E1C" w:rsidP="00B30E1C">
      <w:pPr>
        <w:pStyle w:val="FootnoteText"/>
        <w:rPr>
          <w:lang w:val="en-AU"/>
        </w:rPr>
      </w:pPr>
    </w:p>
  </w:footnote>
  <w:footnote w:id="30">
    <w:p w14:paraId="0FFF6A1F" w14:textId="77777777" w:rsidR="00B30E1C" w:rsidRPr="0050725B" w:rsidRDefault="00B30E1C" w:rsidP="00B30E1C">
      <w:pPr>
        <w:pStyle w:val="FootnoteText"/>
        <w:rPr>
          <w:lang w:val="en-AU"/>
        </w:rPr>
      </w:pPr>
      <w:r>
        <w:rPr>
          <w:rStyle w:val="FootnoteReference"/>
        </w:rPr>
        <w:footnoteRef/>
      </w:r>
      <w:r>
        <w:t xml:space="preserve"> </w:t>
      </w:r>
      <w:r>
        <w:rPr>
          <w:lang w:val="en-AU"/>
        </w:rPr>
        <w:t>Which is out of scope of this RIS but is a critical element of the Victorian regulatory scheme.</w:t>
      </w:r>
    </w:p>
  </w:footnote>
  <w:footnote w:id="31">
    <w:p w14:paraId="245BFB02" w14:textId="77777777" w:rsidR="004E24E9" w:rsidRPr="003B7787" w:rsidRDefault="004E24E9" w:rsidP="004E24E9">
      <w:pPr>
        <w:pStyle w:val="FootnoteText"/>
        <w:rPr>
          <w:lang w:val="en-US"/>
        </w:rPr>
      </w:pPr>
      <w:r>
        <w:rPr>
          <w:rStyle w:val="FootnoteReference"/>
        </w:rPr>
        <w:footnoteRef/>
      </w:r>
      <w:r>
        <w:t xml:space="preserve"> </w:t>
      </w:r>
      <w:r w:rsidRPr="00943ED1">
        <w:t>Office of the Commissioner for Better Regulation, 2016, Victorian Guide to Regulation: A handbook for policy makers in Victoria, Department of Treasury and Finance, Melbourne</w:t>
      </w:r>
      <w:r>
        <w:t>.</w:t>
      </w:r>
    </w:p>
  </w:footnote>
  <w:footnote w:id="32">
    <w:p w14:paraId="3CB079FA" w14:textId="77777777" w:rsidR="005B50C9" w:rsidRPr="005B2145" w:rsidRDefault="005B50C9" w:rsidP="005B50C9">
      <w:pPr>
        <w:pStyle w:val="FootnoteText"/>
        <w:rPr>
          <w:sz w:val="16"/>
          <w:szCs w:val="16"/>
          <w:lang w:val="en-AU"/>
        </w:rPr>
      </w:pPr>
      <w:r w:rsidRPr="000D17F7">
        <w:rPr>
          <w:rStyle w:val="FootnoteReference"/>
        </w:rPr>
        <w:footnoteRef/>
      </w:r>
      <w:r w:rsidRPr="005B2145">
        <w:rPr>
          <w:sz w:val="16"/>
          <w:szCs w:val="16"/>
        </w:rPr>
        <w:t xml:space="preserve"> Ibid.</w:t>
      </w:r>
    </w:p>
  </w:footnote>
  <w:footnote w:id="33">
    <w:p w14:paraId="59443B2B" w14:textId="77777777" w:rsidR="005B50C9" w:rsidRPr="005B2145" w:rsidRDefault="005B50C9" w:rsidP="005B50C9">
      <w:pPr>
        <w:pStyle w:val="FootnoteText"/>
        <w:rPr>
          <w:sz w:val="16"/>
          <w:szCs w:val="16"/>
          <w:lang w:val="en-AU"/>
        </w:rPr>
      </w:pPr>
      <w:r w:rsidRPr="000D17F7">
        <w:rPr>
          <w:rStyle w:val="FootnoteReference"/>
        </w:rPr>
        <w:footnoteRef/>
      </w:r>
      <w:r w:rsidRPr="005B2145">
        <w:rPr>
          <w:sz w:val="16"/>
          <w:szCs w:val="16"/>
        </w:rPr>
        <w:t xml:space="preserve"> </w:t>
      </w:r>
      <w:r w:rsidRPr="005B2145">
        <w:rPr>
          <w:sz w:val="16"/>
          <w:szCs w:val="16"/>
          <w:lang w:val="en-AU"/>
        </w:rPr>
        <w:t>Regulation 48 of the Regulations.</w:t>
      </w:r>
    </w:p>
  </w:footnote>
  <w:footnote w:id="34">
    <w:p w14:paraId="3AC26503" w14:textId="77777777" w:rsidR="005B50C9" w:rsidRPr="00BD2711" w:rsidRDefault="005B50C9" w:rsidP="005B50C9">
      <w:pPr>
        <w:pStyle w:val="FootnoteText"/>
        <w:rPr>
          <w:lang w:val="en-AU"/>
        </w:rPr>
      </w:pPr>
      <w:r w:rsidRPr="000D17F7">
        <w:rPr>
          <w:rStyle w:val="FootnoteReference"/>
        </w:rPr>
        <w:footnoteRef/>
      </w:r>
      <w:r w:rsidRPr="005B2145">
        <w:rPr>
          <w:sz w:val="16"/>
          <w:szCs w:val="16"/>
        </w:rPr>
        <w:t xml:space="preserve"> Australian Commission on Safety and Quality in Health Care, </w:t>
      </w:r>
      <w:r w:rsidRPr="005B2145">
        <w:rPr>
          <w:i/>
          <w:iCs/>
          <w:sz w:val="16"/>
          <w:szCs w:val="16"/>
        </w:rPr>
        <w:t>The state of patient safety and quality in Australian hospitals 2019</w:t>
      </w:r>
      <w:r w:rsidRPr="005B2145">
        <w:rPr>
          <w:sz w:val="16"/>
          <w:szCs w:val="16"/>
        </w:rPr>
        <w:t>, p.6.</w:t>
      </w:r>
    </w:p>
  </w:footnote>
  <w:footnote w:id="35">
    <w:p w14:paraId="4EA9F7A2" w14:textId="77777777" w:rsidR="005B50C9" w:rsidRPr="005B2145" w:rsidRDefault="005B50C9" w:rsidP="005B50C9">
      <w:pPr>
        <w:pStyle w:val="FootnoteText"/>
        <w:rPr>
          <w:sz w:val="16"/>
          <w:szCs w:val="16"/>
          <w:lang w:val="en-AU"/>
        </w:rPr>
      </w:pPr>
      <w:r w:rsidRPr="000D17F7">
        <w:rPr>
          <w:rStyle w:val="FootnoteReference"/>
        </w:rPr>
        <w:footnoteRef/>
      </w:r>
      <w:r w:rsidRPr="005B2145">
        <w:rPr>
          <w:sz w:val="16"/>
          <w:szCs w:val="16"/>
        </w:rPr>
        <w:t xml:space="preserve"> </w:t>
      </w:r>
      <w:r w:rsidRPr="005B2145">
        <w:rPr>
          <w:sz w:val="16"/>
          <w:szCs w:val="16"/>
          <w:lang w:val="en-AU"/>
        </w:rPr>
        <w:t>No data on the costs of adverse events is available for Victoria specifically.</w:t>
      </w:r>
    </w:p>
  </w:footnote>
  <w:footnote w:id="36">
    <w:p w14:paraId="698DEFFE" w14:textId="77777777" w:rsidR="005B50C9" w:rsidRPr="005B2145" w:rsidRDefault="005B50C9" w:rsidP="005B50C9">
      <w:pPr>
        <w:pStyle w:val="FootnoteText"/>
        <w:rPr>
          <w:sz w:val="16"/>
          <w:szCs w:val="16"/>
          <w:lang w:val="en-AU"/>
        </w:rPr>
      </w:pPr>
      <w:r w:rsidRPr="000D17F7">
        <w:rPr>
          <w:rStyle w:val="FootnoteReference"/>
        </w:rPr>
        <w:footnoteRef/>
      </w:r>
      <w:r w:rsidRPr="005B2145">
        <w:rPr>
          <w:sz w:val="16"/>
          <w:szCs w:val="16"/>
        </w:rPr>
        <w:t xml:space="preserve"> </w:t>
      </w:r>
      <w:r w:rsidRPr="005B2145">
        <w:rPr>
          <w:sz w:val="16"/>
          <w:szCs w:val="16"/>
          <w:lang w:val="en-AU"/>
        </w:rPr>
        <w:t>Ibid.</w:t>
      </w:r>
    </w:p>
  </w:footnote>
  <w:footnote w:id="37">
    <w:p w14:paraId="053CE3EE" w14:textId="77777777" w:rsidR="005B50C9" w:rsidRPr="005B2145" w:rsidRDefault="005B50C9" w:rsidP="005B50C9">
      <w:pPr>
        <w:pStyle w:val="FootnoteText"/>
        <w:rPr>
          <w:sz w:val="16"/>
          <w:szCs w:val="16"/>
          <w:lang w:val="en-AU"/>
        </w:rPr>
      </w:pPr>
      <w:r w:rsidRPr="000D17F7">
        <w:rPr>
          <w:rStyle w:val="FootnoteReference"/>
        </w:rPr>
        <w:footnoteRef/>
      </w:r>
      <w:r w:rsidRPr="005B2145">
        <w:rPr>
          <w:sz w:val="16"/>
          <w:szCs w:val="16"/>
        </w:rPr>
        <w:t xml:space="preserve"> </w:t>
      </w:r>
      <w:r w:rsidRPr="005B2145">
        <w:rPr>
          <w:i/>
          <w:iCs/>
          <w:sz w:val="16"/>
          <w:szCs w:val="16"/>
          <w:lang w:val="en-AU"/>
        </w:rPr>
        <w:t>The Economics of Patient Safety</w:t>
      </w:r>
      <w:r w:rsidRPr="005B2145">
        <w:rPr>
          <w:sz w:val="16"/>
          <w:szCs w:val="16"/>
          <w:lang w:val="en-AU"/>
        </w:rPr>
        <w:t>, OECD, March 2017.</w:t>
      </w:r>
    </w:p>
  </w:footnote>
  <w:footnote w:id="38">
    <w:p w14:paraId="0C00D038" w14:textId="77777777" w:rsidR="005B50C9" w:rsidRPr="005B2145" w:rsidRDefault="005B50C9" w:rsidP="005B50C9">
      <w:pPr>
        <w:pStyle w:val="FootnoteText"/>
        <w:rPr>
          <w:sz w:val="16"/>
          <w:szCs w:val="16"/>
          <w:lang w:val="en-AU"/>
        </w:rPr>
      </w:pPr>
      <w:r w:rsidRPr="000D17F7">
        <w:rPr>
          <w:rStyle w:val="FootnoteReference"/>
        </w:rPr>
        <w:footnoteRef/>
      </w:r>
      <w:r w:rsidRPr="005B2145">
        <w:rPr>
          <w:sz w:val="16"/>
          <w:szCs w:val="16"/>
        </w:rPr>
        <w:t xml:space="preserve"> </w:t>
      </w:r>
      <w:r w:rsidRPr="005B2145">
        <w:rPr>
          <w:sz w:val="16"/>
          <w:szCs w:val="16"/>
          <w:lang w:val="en-AU"/>
        </w:rPr>
        <w:t>These regulations became the Health Services (Health Services Establishments) Regulations 2013.</w:t>
      </w:r>
    </w:p>
  </w:footnote>
  <w:footnote w:id="39">
    <w:p w14:paraId="1640B502" w14:textId="77777777" w:rsidR="005B50C9" w:rsidRPr="005B2145" w:rsidRDefault="005B50C9" w:rsidP="005B50C9">
      <w:pPr>
        <w:pStyle w:val="FootnoteText"/>
        <w:rPr>
          <w:i/>
          <w:iCs/>
          <w:sz w:val="16"/>
          <w:szCs w:val="16"/>
          <w:lang w:val="en-AU"/>
        </w:rPr>
      </w:pPr>
      <w:r w:rsidRPr="000D17F7">
        <w:rPr>
          <w:rStyle w:val="FootnoteReference"/>
        </w:rPr>
        <w:footnoteRef/>
      </w:r>
      <w:r w:rsidRPr="005B2145">
        <w:rPr>
          <w:sz w:val="16"/>
          <w:szCs w:val="16"/>
        </w:rPr>
        <w:t xml:space="preserve"> Department of Health, </w:t>
      </w:r>
      <w:r w:rsidRPr="005B2145">
        <w:rPr>
          <w:i/>
          <w:iCs/>
          <w:sz w:val="16"/>
          <w:szCs w:val="16"/>
          <w:lang w:val="en-AU"/>
        </w:rPr>
        <w:t>Regulation Impact Statement for the proposed Health Services (Private</w:t>
      </w:r>
    </w:p>
    <w:p w14:paraId="4B6CDE33" w14:textId="77777777" w:rsidR="005B50C9" w:rsidRPr="005B2145" w:rsidRDefault="005B50C9" w:rsidP="005B50C9">
      <w:pPr>
        <w:pStyle w:val="FootnoteText"/>
        <w:rPr>
          <w:sz w:val="16"/>
          <w:szCs w:val="16"/>
          <w:lang w:val="en-AU"/>
        </w:rPr>
      </w:pPr>
      <w:r w:rsidRPr="005B2145">
        <w:rPr>
          <w:i/>
          <w:iCs/>
          <w:sz w:val="16"/>
          <w:szCs w:val="16"/>
          <w:lang w:val="en-AU"/>
        </w:rPr>
        <w:t>Hospitals and Day Procedure Centres), Regulations 2013</w:t>
      </w:r>
      <w:r w:rsidRPr="005B2145">
        <w:rPr>
          <w:sz w:val="16"/>
          <w:szCs w:val="16"/>
          <w:lang w:val="en-AU"/>
        </w:rPr>
        <w:t>, July 2013.</w:t>
      </w:r>
    </w:p>
  </w:footnote>
  <w:footnote w:id="40">
    <w:p w14:paraId="2A952784" w14:textId="347EF84B" w:rsidR="005B50C9" w:rsidRPr="000010A1" w:rsidRDefault="005B50C9" w:rsidP="005B50C9">
      <w:pPr>
        <w:pStyle w:val="FootnoteText"/>
        <w:rPr>
          <w:lang w:val="en-AU"/>
        </w:rPr>
      </w:pPr>
      <w:r w:rsidRPr="000D17F7">
        <w:rPr>
          <w:rStyle w:val="FootnoteReference"/>
        </w:rPr>
        <w:footnoteRef/>
      </w:r>
      <w:r w:rsidRPr="005B2145">
        <w:rPr>
          <w:sz w:val="16"/>
          <w:szCs w:val="16"/>
        </w:rPr>
        <w:t xml:space="preserve"> </w:t>
      </w:r>
      <w:r w:rsidRPr="005B2145">
        <w:rPr>
          <w:sz w:val="16"/>
          <w:szCs w:val="16"/>
          <w:lang w:val="en-AU"/>
        </w:rPr>
        <w:t>Not inflated for 2024 dollars.</w:t>
      </w:r>
      <w:r>
        <w:rPr>
          <w:lang w:val="en-AU"/>
        </w:rPr>
        <w:t xml:space="preserve"> </w:t>
      </w:r>
    </w:p>
  </w:footnote>
  <w:footnote w:id="41">
    <w:p w14:paraId="2B505AAD" w14:textId="77777777" w:rsidR="0028659B" w:rsidRPr="005B2145" w:rsidRDefault="0028659B" w:rsidP="0028659B">
      <w:pPr>
        <w:pStyle w:val="FootnoteText"/>
        <w:rPr>
          <w:sz w:val="16"/>
          <w:szCs w:val="16"/>
          <w:lang w:val="en-AU"/>
        </w:rPr>
      </w:pPr>
      <w:r w:rsidRPr="000D17F7">
        <w:rPr>
          <w:rStyle w:val="FootnoteReference"/>
        </w:rPr>
        <w:footnoteRef/>
      </w:r>
      <w:r w:rsidRPr="005B2145">
        <w:rPr>
          <w:sz w:val="16"/>
          <w:szCs w:val="16"/>
        </w:rPr>
        <w:t xml:space="preserve"> </w:t>
      </w:r>
      <w:r w:rsidRPr="005B2145">
        <w:rPr>
          <w:sz w:val="16"/>
          <w:szCs w:val="16"/>
          <w:lang w:val="en-AU"/>
        </w:rPr>
        <w:t>Australian Commission on Safety and Quality in Health Care submission to DH Discussion Paper, September 2023.</w:t>
      </w:r>
    </w:p>
  </w:footnote>
  <w:footnote w:id="42">
    <w:p w14:paraId="44B3728B" w14:textId="712BBD5E" w:rsidR="0028659B" w:rsidRPr="005B2145" w:rsidRDefault="0028659B" w:rsidP="0028659B">
      <w:pPr>
        <w:pStyle w:val="FootnoteText"/>
        <w:rPr>
          <w:sz w:val="16"/>
          <w:szCs w:val="16"/>
          <w:lang w:val="en-AU"/>
        </w:rPr>
      </w:pPr>
      <w:r w:rsidRPr="000D17F7">
        <w:rPr>
          <w:rStyle w:val="FootnoteReference"/>
        </w:rPr>
        <w:footnoteRef/>
      </w:r>
      <w:r w:rsidRPr="005B2145">
        <w:rPr>
          <w:sz w:val="16"/>
          <w:szCs w:val="16"/>
        </w:rPr>
        <w:t xml:space="preserve"> </w:t>
      </w:r>
      <w:r w:rsidRPr="005B2145">
        <w:rPr>
          <w:sz w:val="16"/>
          <w:szCs w:val="16"/>
          <w:lang w:val="en-AU"/>
        </w:rPr>
        <w:t xml:space="preserve">Australian Commission on Safety and Quality in Health Care, </w:t>
      </w:r>
      <w:r w:rsidRPr="005B2145">
        <w:rPr>
          <w:i/>
          <w:iCs/>
          <w:sz w:val="16"/>
          <w:szCs w:val="16"/>
          <w:lang w:val="en-AU"/>
        </w:rPr>
        <w:t>Australian Sentinel Events List (version 2) Specifications</w:t>
      </w:r>
      <w:r w:rsidRPr="005B2145">
        <w:rPr>
          <w:sz w:val="16"/>
          <w:szCs w:val="16"/>
          <w:lang w:val="en-AU"/>
        </w:rPr>
        <w:t xml:space="preserve">, April 2020, p.5. The </w:t>
      </w:r>
      <w:r w:rsidR="006B5052">
        <w:rPr>
          <w:sz w:val="16"/>
          <w:szCs w:val="16"/>
          <w:lang w:val="en-AU"/>
        </w:rPr>
        <w:t>Commission</w:t>
      </w:r>
      <w:r w:rsidRPr="005B2145">
        <w:rPr>
          <w:sz w:val="16"/>
          <w:szCs w:val="16"/>
          <w:lang w:val="en-AU"/>
        </w:rPr>
        <w:t xml:space="preserve"> states that “Sentinel events will be considered ‘wholly preventable’ in the context of preventive barriers being available to stop the event from occurring. Preventive barriers may include: the National Safety and Quality Health Service (NSQHS) Standards (2) (such as NSQHS Standard 1: Governance for Safety and Quality in Health Service Organisations and NSQHS Standard 2: Partnering with Consumers), policy documents or clinical protocols, documents providing safety guidance, safety recommendations or both, on how the event can be prevented.”</w:t>
      </w:r>
    </w:p>
  </w:footnote>
  <w:footnote w:id="43">
    <w:p w14:paraId="333E1437" w14:textId="28C72A87" w:rsidR="0028659B" w:rsidRPr="00DB414C" w:rsidRDefault="0028659B" w:rsidP="0028659B">
      <w:pPr>
        <w:pStyle w:val="FootnoteText"/>
        <w:rPr>
          <w:sz w:val="16"/>
          <w:szCs w:val="16"/>
        </w:rPr>
      </w:pPr>
      <w:r w:rsidRPr="000D17F7">
        <w:rPr>
          <w:rStyle w:val="FootnoteReference"/>
        </w:rPr>
        <w:footnoteRef/>
      </w:r>
      <w:r w:rsidRPr="00DB414C">
        <w:rPr>
          <w:sz w:val="16"/>
          <w:szCs w:val="16"/>
        </w:rPr>
        <w:t xml:space="preserve"> </w:t>
      </w:r>
      <w:r w:rsidR="0008690A" w:rsidRPr="00DB414C">
        <w:rPr>
          <w:sz w:val="16"/>
          <w:szCs w:val="16"/>
        </w:rPr>
        <w:t>Commission</w:t>
      </w:r>
      <w:r w:rsidRPr="00DB414C">
        <w:rPr>
          <w:sz w:val="16"/>
          <w:szCs w:val="16"/>
        </w:rPr>
        <w:t xml:space="preserve"> national self-report survey of hospital board members - </w:t>
      </w:r>
      <w:r w:rsidRPr="00DB414C">
        <w:rPr>
          <w:i/>
          <w:iCs/>
          <w:sz w:val="16"/>
          <w:szCs w:val="16"/>
        </w:rPr>
        <w:t>Safety and Quality Governance Survey</w:t>
      </w:r>
      <w:r w:rsidRPr="00DB414C">
        <w:rPr>
          <w:sz w:val="16"/>
          <w:szCs w:val="16"/>
        </w:rPr>
        <w:t>, 2015.</w:t>
      </w:r>
    </w:p>
  </w:footnote>
  <w:footnote w:id="44">
    <w:p w14:paraId="6F9A5406" w14:textId="77777777" w:rsidR="0028659B" w:rsidRPr="00DB414C" w:rsidRDefault="0028659B" w:rsidP="0028659B">
      <w:pPr>
        <w:pStyle w:val="FootnoteText"/>
        <w:rPr>
          <w:sz w:val="16"/>
          <w:szCs w:val="16"/>
          <w:lang w:val="en-AU"/>
        </w:rPr>
      </w:pPr>
      <w:r w:rsidRPr="000D17F7">
        <w:rPr>
          <w:rStyle w:val="FootnoteReference"/>
        </w:rPr>
        <w:footnoteRef/>
      </w:r>
      <w:r w:rsidRPr="00DB414C">
        <w:rPr>
          <w:sz w:val="16"/>
          <w:szCs w:val="16"/>
        </w:rPr>
        <w:t xml:space="preserve"> ‘Met with recommendations’ means that the requirements of an action are largely met, with the exception of a minor part of the action in a specific service or location in the organisation, where additional implementation is required.</w:t>
      </w:r>
    </w:p>
  </w:footnote>
  <w:footnote w:id="45">
    <w:p w14:paraId="0E96666A" w14:textId="77777777" w:rsidR="0028659B" w:rsidRPr="00DB414C" w:rsidRDefault="0028659B" w:rsidP="0028659B">
      <w:pPr>
        <w:pStyle w:val="FootnoteText"/>
        <w:rPr>
          <w:sz w:val="16"/>
          <w:szCs w:val="16"/>
          <w:lang w:val="en-AU"/>
        </w:rPr>
      </w:pPr>
      <w:r w:rsidRPr="000D17F7">
        <w:rPr>
          <w:rStyle w:val="FootnoteReference"/>
        </w:rPr>
        <w:footnoteRef/>
      </w:r>
      <w:r w:rsidRPr="00DB414C">
        <w:rPr>
          <w:sz w:val="16"/>
          <w:szCs w:val="16"/>
        </w:rPr>
        <w:t xml:space="preserve"> </w:t>
      </w:r>
      <w:hyperlink r:id="rId12" w:history="1">
        <w:r w:rsidRPr="00DB414C">
          <w:rPr>
            <w:rStyle w:val="Hyperlink"/>
            <w:sz w:val="16"/>
            <w:szCs w:val="16"/>
          </w:rPr>
          <w:t>https://www.safetyandquality.gov.au/standards/nsqhs-standards/nsqhs-standards-assessment-outcomes</w:t>
        </w:r>
      </w:hyperlink>
      <w:r w:rsidRPr="00DB414C">
        <w:rPr>
          <w:sz w:val="16"/>
          <w:szCs w:val="16"/>
        </w:rPr>
        <w:t>.</w:t>
      </w:r>
    </w:p>
  </w:footnote>
  <w:footnote w:id="46">
    <w:p w14:paraId="459BDEB4" w14:textId="67226091" w:rsidR="00DB414C" w:rsidRPr="009310F4" w:rsidRDefault="00DB414C">
      <w:pPr>
        <w:pStyle w:val="FootnoteText"/>
        <w:rPr>
          <w:lang w:val="en-AU"/>
        </w:rPr>
      </w:pPr>
      <w:r w:rsidRPr="000D17F7">
        <w:rPr>
          <w:rStyle w:val="FootnoteReference"/>
        </w:rPr>
        <w:footnoteRef/>
      </w:r>
      <w:r w:rsidRPr="009310F4">
        <w:rPr>
          <w:sz w:val="16"/>
          <w:szCs w:val="16"/>
        </w:rPr>
        <w:t xml:space="preserve"> </w:t>
      </w:r>
      <w:r w:rsidRPr="009310F4">
        <w:rPr>
          <w:sz w:val="16"/>
          <w:szCs w:val="16"/>
          <w:lang w:val="en-AU"/>
        </w:rPr>
        <w:t>Data provided to the department by the Commission but not published.</w:t>
      </w:r>
    </w:p>
  </w:footnote>
  <w:footnote w:id="47">
    <w:p w14:paraId="3AE3AA47" w14:textId="48BB67CC" w:rsidR="0028659B" w:rsidRPr="005B2145" w:rsidRDefault="0028659B" w:rsidP="0028659B">
      <w:pPr>
        <w:pStyle w:val="FootnoteText"/>
        <w:rPr>
          <w:sz w:val="16"/>
          <w:szCs w:val="16"/>
          <w:lang w:val="en-AU"/>
        </w:rPr>
      </w:pPr>
      <w:r w:rsidRPr="000D17F7">
        <w:rPr>
          <w:rStyle w:val="FootnoteReference"/>
        </w:rPr>
        <w:footnoteRef/>
      </w:r>
      <w:r w:rsidRPr="005B2145">
        <w:rPr>
          <w:sz w:val="16"/>
          <w:szCs w:val="16"/>
        </w:rPr>
        <w:t xml:space="preserve"> The other Top 5 Actions related to Standard 2 Action 2.11 Partnering with consume</w:t>
      </w:r>
      <w:r w:rsidR="0090553D">
        <w:rPr>
          <w:sz w:val="16"/>
          <w:szCs w:val="16"/>
        </w:rPr>
        <w:t>r</w:t>
      </w:r>
      <w:r w:rsidRPr="005B2145">
        <w:rPr>
          <w:sz w:val="16"/>
          <w:szCs w:val="16"/>
        </w:rPr>
        <w:t>s and Standard 5: Action 5.13 Comprehensive care.</w:t>
      </w:r>
    </w:p>
  </w:footnote>
  <w:footnote w:id="48">
    <w:p w14:paraId="6EFDE6C8" w14:textId="77777777" w:rsidR="00B9522B" w:rsidRPr="00682C44" w:rsidRDefault="00B9522B" w:rsidP="00B9522B">
      <w:pPr>
        <w:pStyle w:val="FootnoteText"/>
        <w:rPr>
          <w:lang w:val="en-AU"/>
        </w:rPr>
      </w:pPr>
      <w:r>
        <w:rPr>
          <w:rStyle w:val="FootnoteReference"/>
        </w:rPr>
        <w:footnoteRef/>
      </w:r>
      <w:r>
        <w:t xml:space="preserve"> </w:t>
      </w:r>
      <w:r w:rsidRPr="009310F4">
        <w:rPr>
          <w:sz w:val="16"/>
          <w:szCs w:val="16"/>
        </w:rPr>
        <w:t>Note that there is crossover in these numbers i.e. some HSEs did not meet both Action 1.10 and Action 1.27.</w:t>
      </w:r>
    </w:p>
  </w:footnote>
  <w:footnote w:id="49">
    <w:p w14:paraId="4B08415B" w14:textId="13A96362" w:rsidR="0028659B" w:rsidRPr="005B2145" w:rsidRDefault="0028659B" w:rsidP="0028659B">
      <w:pPr>
        <w:pStyle w:val="FootnoteText"/>
        <w:rPr>
          <w:sz w:val="16"/>
          <w:szCs w:val="16"/>
          <w:lang w:val="en-AU"/>
        </w:rPr>
      </w:pPr>
      <w:r w:rsidRPr="000D17F7">
        <w:rPr>
          <w:rStyle w:val="FootnoteReference"/>
        </w:rPr>
        <w:footnoteRef/>
      </w:r>
      <w:r w:rsidRPr="005B2145">
        <w:rPr>
          <w:sz w:val="16"/>
          <w:szCs w:val="16"/>
        </w:rPr>
        <w:t xml:space="preserve"> </w:t>
      </w:r>
      <w:r w:rsidRPr="005B2145">
        <w:rPr>
          <w:sz w:val="16"/>
          <w:szCs w:val="16"/>
          <w:lang w:val="en-AU"/>
        </w:rPr>
        <w:t>Blood management has a lower met assessment at but is not applicable to 63% of HSEs.</w:t>
      </w:r>
    </w:p>
  </w:footnote>
  <w:footnote w:id="50">
    <w:p w14:paraId="16C0188D" w14:textId="77777777" w:rsidR="0028659B" w:rsidRPr="005B2145" w:rsidRDefault="0028659B" w:rsidP="0028659B">
      <w:pPr>
        <w:pStyle w:val="FootnoteText"/>
        <w:rPr>
          <w:sz w:val="16"/>
          <w:szCs w:val="16"/>
          <w:lang w:val="en-AU"/>
        </w:rPr>
      </w:pPr>
      <w:r w:rsidRPr="000D17F7">
        <w:rPr>
          <w:rStyle w:val="FootnoteReference"/>
        </w:rPr>
        <w:footnoteRef/>
      </w:r>
      <w:r w:rsidRPr="005B2145">
        <w:rPr>
          <w:sz w:val="16"/>
          <w:szCs w:val="16"/>
        </w:rPr>
        <w:t xml:space="preserve"> Commission submission to DH Discussion Paper, September 2023.</w:t>
      </w:r>
    </w:p>
  </w:footnote>
  <w:footnote w:id="51">
    <w:p w14:paraId="627AA08D" w14:textId="77777777" w:rsidR="0028659B" w:rsidRPr="000010A1" w:rsidRDefault="0028659B" w:rsidP="0028659B">
      <w:pPr>
        <w:pStyle w:val="FootnoteText"/>
        <w:rPr>
          <w:lang w:val="en-AU"/>
        </w:rPr>
      </w:pPr>
      <w:r w:rsidRPr="000D17F7">
        <w:rPr>
          <w:rStyle w:val="FootnoteReference"/>
        </w:rPr>
        <w:footnoteRef/>
      </w:r>
      <w:r w:rsidRPr="005B2145">
        <w:rPr>
          <w:sz w:val="16"/>
          <w:szCs w:val="16"/>
        </w:rPr>
        <w:t xml:space="preserve"> Under </w:t>
      </w:r>
      <w:r w:rsidRPr="005B2145">
        <w:rPr>
          <w:sz w:val="16"/>
          <w:szCs w:val="16"/>
          <w:lang w:val="en-AU"/>
        </w:rPr>
        <w:t>regulation 46(6), the report must be provided to the Secretary within 14 days of receipt.</w:t>
      </w:r>
    </w:p>
  </w:footnote>
  <w:footnote w:id="52">
    <w:p w14:paraId="415DC971" w14:textId="77777777" w:rsidR="0028659B" w:rsidRPr="00AE55E3" w:rsidRDefault="0028659B" w:rsidP="0028659B">
      <w:pPr>
        <w:pStyle w:val="FootnoteText"/>
        <w:rPr>
          <w:lang w:val="en-AU"/>
        </w:rPr>
      </w:pPr>
      <w:r>
        <w:rPr>
          <w:rStyle w:val="FootnoteReference"/>
        </w:rPr>
        <w:footnoteRef/>
      </w:r>
      <w:r>
        <w:t xml:space="preserve"> </w:t>
      </w:r>
      <w:r w:rsidRPr="00AE55E3">
        <w:rPr>
          <w:i/>
        </w:rPr>
        <w:t>Delivering high-quality healthcare Victorian clinical governance framework</w:t>
      </w:r>
      <w:r>
        <w:t>, Safer Care Victoria, June 2017.</w:t>
      </w:r>
    </w:p>
  </w:footnote>
  <w:footnote w:id="53">
    <w:p w14:paraId="4605D8D4" w14:textId="77777777" w:rsidR="0028659B" w:rsidRPr="004B6EB9" w:rsidRDefault="0028659B" w:rsidP="0028659B">
      <w:pPr>
        <w:pStyle w:val="FootnoteText"/>
        <w:rPr>
          <w:lang w:val="en-AU"/>
        </w:rPr>
      </w:pPr>
      <w:r>
        <w:rPr>
          <w:rStyle w:val="FootnoteReference"/>
        </w:rPr>
        <w:footnoteRef/>
      </w:r>
      <w:r>
        <w:t xml:space="preserve"> </w:t>
      </w:r>
      <w:r w:rsidRPr="00AE55E3">
        <w:rPr>
          <w:i/>
        </w:rPr>
        <w:t>Credentialing and scope of clinical practice for senior medical practitioners policy</w:t>
      </w:r>
      <w:r>
        <w:t>, Safer Care Victoria, April 2020.</w:t>
      </w:r>
    </w:p>
  </w:footnote>
  <w:footnote w:id="54">
    <w:p w14:paraId="695C229E" w14:textId="77777777" w:rsidR="0028659B" w:rsidRPr="0050725B" w:rsidRDefault="0028659B" w:rsidP="0028659B">
      <w:pPr>
        <w:pStyle w:val="FootnoteText"/>
        <w:rPr>
          <w:lang w:val="en-AU"/>
        </w:rPr>
      </w:pPr>
      <w:r>
        <w:rPr>
          <w:rStyle w:val="FootnoteReference"/>
        </w:rPr>
        <w:footnoteRef/>
      </w:r>
      <w:r>
        <w:t xml:space="preserve"> </w:t>
      </w:r>
      <w:r>
        <w:rPr>
          <w:lang w:val="en-AU"/>
        </w:rPr>
        <w:t xml:space="preserve">Private hospitals expressed concerns about including a staff fatigue protocol in section 7A, but that is not being considered under this proposal (see discussion in chapter 1). </w:t>
      </w:r>
    </w:p>
  </w:footnote>
  <w:footnote w:id="55">
    <w:p w14:paraId="0EA8ECEE" w14:textId="45278631" w:rsidR="0028659B" w:rsidRPr="0050725B" w:rsidRDefault="0028659B" w:rsidP="0028659B">
      <w:pPr>
        <w:pStyle w:val="FootnoteText"/>
        <w:rPr>
          <w:rFonts w:cstheme="minorHAnsi"/>
          <w:color w:val="000000"/>
          <w:lang w:val="en-AU"/>
        </w:rPr>
      </w:pPr>
      <w:r>
        <w:rPr>
          <w:rStyle w:val="FootnoteReference"/>
        </w:rPr>
        <w:footnoteRef/>
      </w:r>
      <w:r>
        <w:t xml:space="preserve"> </w:t>
      </w:r>
      <w:r w:rsidR="00232F9B">
        <w:rPr>
          <w:lang w:val="en-AU"/>
        </w:rPr>
        <w:t>T</w:t>
      </w:r>
      <w:r w:rsidRPr="0050725B">
        <w:rPr>
          <w:lang w:val="en-AU"/>
        </w:rPr>
        <w:t>he inclusion of an adjunct diagnostics services protocol aligns to the intention of Standard 8 (Recognising and Responding to Acute Deterioration Standard), which supports the provision of appropriate and timely care to patients whose condition is acutely deteriorating. It requires that systems are in place to detect, recognise and respond to acute deterioration in physiological or mental state. However</w:t>
      </w:r>
      <w:r>
        <w:rPr>
          <w:lang w:val="en-AU"/>
        </w:rPr>
        <w:t>,</w:t>
      </w:r>
      <w:r w:rsidRPr="0050725B">
        <w:rPr>
          <w:lang w:val="en-AU"/>
        </w:rPr>
        <w:t xml:space="preserve"> this alignment is not as clear and explicit as for the other proposed additions.</w:t>
      </w:r>
    </w:p>
  </w:footnote>
  <w:footnote w:id="56">
    <w:p w14:paraId="01961EA9" w14:textId="6622B9FA" w:rsidR="0028659B" w:rsidRPr="0050725B" w:rsidRDefault="0028659B" w:rsidP="0028659B">
      <w:pPr>
        <w:pStyle w:val="FootnoteText"/>
        <w:rPr>
          <w:lang w:val="en-AU"/>
        </w:rPr>
      </w:pPr>
      <w:r>
        <w:rPr>
          <w:rStyle w:val="FootnoteReference"/>
        </w:rPr>
        <w:footnoteRef/>
      </w:r>
      <w:r>
        <w:t xml:space="preserve"> </w:t>
      </w:r>
      <w:r>
        <w:rPr>
          <w:lang w:val="en-AU"/>
        </w:rPr>
        <w:t>Private health sector stakeholders objected to the proposal in the discussion paper that the protocol includes</w:t>
      </w:r>
      <w:r w:rsidRPr="00FC5E00">
        <w:rPr>
          <w:lang w:val="en-AU"/>
        </w:rPr>
        <w:t xml:space="preserve"> assessing the reliability, availability and timeliness of adjunct diagnostic services, whether provided by the </w:t>
      </w:r>
      <w:r w:rsidR="005A2F80">
        <w:rPr>
          <w:lang w:val="en-AU"/>
        </w:rPr>
        <w:t>HSE</w:t>
      </w:r>
      <w:r w:rsidRPr="00FC5E00">
        <w:rPr>
          <w:lang w:val="en-AU"/>
        </w:rPr>
        <w:t xml:space="preserve"> or an external supplier.</w:t>
      </w:r>
      <w:r>
        <w:rPr>
          <w:lang w:val="en-AU"/>
        </w:rPr>
        <w:t xml:space="preserve"> The main objection was that HSEs are not best positioned to assess quality of adjunct diagnostic services. However, the department has refined the proposal to include only the availability of adjunct diagnostic services.</w:t>
      </w:r>
    </w:p>
  </w:footnote>
  <w:footnote w:id="57">
    <w:p w14:paraId="7722F5B5" w14:textId="77777777" w:rsidR="0028659B" w:rsidRPr="001574AD" w:rsidRDefault="0028659B" w:rsidP="0028659B">
      <w:pPr>
        <w:pStyle w:val="FootnoteText"/>
        <w:rPr>
          <w:sz w:val="16"/>
          <w:szCs w:val="16"/>
          <w:lang w:val="en-AU"/>
        </w:rPr>
      </w:pPr>
      <w:r w:rsidRPr="000D17F7">
        <w:rPr>
          <w:rStyle w:val="FootnoteReference"/>
        </w:rPr>
        <w:footnoteRef/>
      </w:r>
      <w:r w:rsidRPr="001574AD">
        <w:rPr>
          <w:sz w:val="16"/>
          <w:szCs w:val="16"/>
        </w:rPr>
        <w:t xml:space="preserve"> </w:t>
      </w:r>
      <w:r w:rsidRPr="001574AD">
        <w:rPr>
          <w:sz w:val="16"/>
          <w:szCs w:val="16"/>
          <w:lang w:val="en-AU"/>
        </w:rPr>
        <w:t>In practice existing HSEs have already developed protocols so will not have to develop these again. New HSEs would need to develop protocols.</w:t>
      </w:r>
    </w:p>
  </w:footnote>
  <w:footnote w:id="58">
    <w:p w14:paraId="1339296D" w14:textId="77777777" w:rsidR="0028659B" w:rsidRPr="00C5587B" w:rsidRDefault="0028659B" w:rsidP="0028659B">
      <w:pPr>
        <w:pStyle w:val="FootnoteText"/>
        <w:rPr>
          <w:lang w:val="en-AU"/>
        </w:rPr>
      </w:pPr>
      <w:r w:rsidRPr="000D17F7">
        <w:rPr>
          <w:rStyle w:val="FootnoteReference"/>
        </w:rPr>
        <w:footnoteRef/>
      </w:r>
      <w:r w:rsidRPr="001574AD">
        <w:rPr>
          <w:sz w:val="16"/>
          <w:szCs w:val="16"/>
        </w:rPr>
        <w:t xml:space="preserve"> </w:t>
      </w:r>
      <w:r w:rsidRPr="001574AD">
        <w:rPr>
          <w:sz w:val="16"/>
          <w:szCs w:val="16"/>
          <w:lang w:val="en-AU"/>
        </w:rPr>
        <w:t>Stakeholders expressed strong concerns about the potential inclusion of staff fatigue in the list of protocols, but this is not being considered as part of this RIS (see section 1.4).</w:t>
      </w:r>
    </w:p>
  </w:footnote>
  <w:footnote w:id="59">
    <w:p w14:paraId="28D1989A" w14:textId="58E0718A" w:rsidR="00D023C4" w:rsidRPr="00A13283" w:rsidRDefault="00D023C4" w:rsidP="00D023C4">
      <w:pPr>
        <w:pStyle w:val="FootnoteText"/>
        <w:rPr>
          <w:lang w:val="en-AU"/>
        </w:rPr>
      </w:pPr>
      <w:r>
        <w:rPr>
          <w:rStyle w:val="FootnoteReference"/>
        </w:rPr>
        <w:footnoteRef/>
      </w:r>
      <w:r>
        <w:t xml:space="preserve"> </w:t>
      </w:r>
      <w:r w:rsidRPr="00A13283">
        <w:t>https://www.safetyandquality.gov.au/our-work/indicators-measurement-and-reporting/incident-management-and-sentinel-</w:t>
      </w:r>
      <w:r w:rsidR="009B4C7C">
        <w:t>e</w:t>
      </w:r>
      <w:r w:rsidRPr="00A13283">
        <w:t>vents.</w:t>
      </w:r>
    </w:p>
  </w:footnote>
  <w:footnote w:id="60">
    <w:p w14:paraId="57F5EEB4" w14:textId="798A7C23" w:rsidR="00C44D53" w:rsidRPr="009310F4" w:rsidRDefault="00C44D53">
      <w:pPr>
        <w:pStyle w:val="FootnoteText"/>
        <w:rPr>
          <w:lang w:val="en-AU"/>
        </w:rPr>
      </w:pPr>
      <w:r>
        <w:rPr>
          <w:rStyle w:val="FootnoteReference"/>
        </w:rPr>
        <w:footnoteRef/>
      </w:r>
      <w:r>
        <w:t xml:space="preserve"> </w:t>
      </w:r>
      <w:r w:rsidRPr="00C44D53">
        <w:t>https://www.safercare.vic.gov.au/best-practice-improvement/publications/sentinel-events-guide</w:t>
      </w:r>
    </w:p>
  </w:footnote>
  <w:footnote w:id="61">
    <w:p w14:paraId="0BD8050B" w14:textId="77777777" w:rsidR="00D023C4" w:rsidRPr="00200E0A" w:rsidRDefault="00D023C4" w:rsidP="00D023C4">
      <w:pPr>
        <w:pStyle w:val="FootnoteText"/>
        <w:rPr>
          <w:lang w:val="en-AU"/>
        </w:rPr>
      </w:pPr>
      <w:r>
        <w:rPr>
          <w:rStyle w:val="FootnoteReference"/>
        </w:rPr>
        <w:footnoteRef/>
      </w:r>
      <w:bookmarkStart w:id="36" w:name="_Hlk158962645"/>
      <w:r>
        <w:t xml:space="preserve"> 2021-22 Sentinel Events Annual Report, p.11.</w:t>
      </w:r>
      <w:bookmarkEnd w:id="36"/>
    </w:p>
  </w:footnote>
  <w:footnote w:id="62">
    <w:p w14:paraId="79463A34" w14:textId="77777777" w:rsidR="00D023C4" w:rsidRPr="00200E0A" w:rsidRDefault="00D023C4" w:rsidP="00D023C4">
      <w:pPr>
        <w:pStyle w:val="FootnoteText"/>
        <w:rPr>
          <w:lang w:val="en-AU"/>
        </w:rPr>
      </w:pPr>
      <w:r>
        <w:rPr>
          <w:rStyle w:val="FootnoteReference"/>
        </w:rPr>
        <w:footnoteRef/>
      </w:r>
      <w:r>
        <w:t xml:space="preserve"> Ibid.</w:t>
      </w:r>
    </w:p>
  </w:footnote>
  <w:footnote w:id="63">
    <w:p w14:paraId="1633DA79" w14:textId="15A87DC3" w:rsidR="00D023C4" w:rsidRPr="00A373EA" w:rsidRDefault="00D023C4" w:rsidP="00D023C4">
      <w:pPr>
        <w:pStyle w:val="FootnoteText"/>
        <w:rPr>
          <w:lang w:val="en-AU"/>
        </w:rPr>
      </w:pPr>
      <w:r>
        <w:rPr>
          <w:rStyle w:val="FootnoteReference"/>
        </w:rPr>
        <w:footnoteRef/>
      </w:r>
      <w:r>
        <w:t xml:space="preserve"> </w:t>
      </w:r>
      <w:r w:rsidRPr="00A373EA">
        <w:t>202</w:t>
      </w:r>
      <w:r>
        <w:t>0</w:t>
      </w:r>
      <w:r w:rsidRPr="00A373EA">
        <w:t>-2</w:t>
      </w:r>
      <w:r>
        <w:t>1</w:t>
      </w:r>
      <w:r w:rsidRPr="00A373EA">
        <w:t xml:space="preserve"> Sentinel Events Annual Report</w:t>
      </w:r>
      <w:r>
        <w:t>.</w:t>
      </w:r>
    </w:p>
  </w:footnote>
  <w:footnote w:id="64">
    <w:p w14:paraId="170F7BB4" w14:textId="70B45A85" w:rsidR="003C6B1A" w:rsidRPr="006522DF" w:rsidRDefault="003C6B1A">
      <w:pPr>
        <w:pStyle w:val="FootnoteText"/>
        <w:rPr>
          <w:lang w:val="en-AU"/>
        </w:rPr>
      </w:pPr>
      <w:r>
        <w:rPr>
          <w:rStyle w:val="FootnoteReference"/>
        </w:rPr>
        <w:footnoteRef/>
      </w:r>
      <w:r>
        <w:t xml:space="preserve"> </w:t>
      </w:r>
      <w:r w:rsidRPr="00A373EA">
        <w:t>20</w:t>
      </w:r>
      <w:r>
        <w:t>19</w:t>
      </w:r>
      <w:r w:rsidRPr="00A373EA">
        <w:t>-2</w:t>
      </w:r>
      <w:r>
        <w:t>0</w:t>
      </w:r>
      <w:r w:rsidRPr="00A373EA">
        <w:t xml:space="preserve"> Sentinel Events Annual Report</w:t>
      </w:r>
      <w:r>
        <w:t>.</w:t>
      </w:r>
    </w:p>
  </w:footnote>
  <w:footnote w:id="65">
    <w:p w14:paraId="5E5117EA" w14:textId="77777777" w:rsidR="00D023C4" w:rsidRPr="00500D99" w:rsidRDefault="00D023C4" w:rsidP="00D023C4">
      <w:pPr>
        <w:pStyle w:val="FootnoteText"/>
        <w:rPr>
          <w:lang w:val="en-AU"/>
        </w:rPr>
      </w:pPr>
      <w:r>
        <w:rPr>
          <w:rStyle w:val="FootnoteReference"/>
        </w:rPr>
        <w:footnoteRef/>
      </w:r>
      <w:r>
        <w:t xml:space="preserve"> </w:t>
      </w:r>
      <w:r w:rsidRPr="005B2145">
        <w:t>Ibid.</w:t>
      </w:r>
    </w:p>
  </w:footnote>
  <w:footnote w:id="66">
    <w:p w14:paraId="104CEA3D" w14:textId="4B3CB328" w:rsidR="006920F0" w:rsidRPr="00A76045" w:rsidRDefault="006920F0">
      <w:pPr>
        <w:pStyle w:val="FootnoteText"/>
        <w:rPr>
          <w:lang w:val="en-AU"/>
        </w:rPr>
      </w:pPr>
      <w:r>
        <w:rPr>
          <w:rStyle w:val="FootnoteReference"/>
        </w:rPr>
        <w:footnoteRef/>
      </w:r>
      <w:r>
        <w:t xml:space="preserve"> </w:t>
      </w:r>
      <w:r w:rsidR="004D546D" w:rsidRPr="004D546D">
        <w:t>https://www.safercare.vic.gov.au/report-manage-issues/sentinel-events/about-the-sentinel-events-portal</w:t>
      </w:r>
      <w:r w:rsidR="004D546D">
        <w:t>.</w:t>
      </w:r>
    </w:p>
  </w:footnote>
  <w:footnote w:id="67">
    <w:p w14:paraId="680F628B" w14:textId="77777777" w:rsidR="00D023C4" w:rsidRPr="005D184F" w:rsidRDefault="00D023C4" w:rsidP="00D023C4">
      <w:pPr>
        <w:pStyle w:val="FootnoteText"/>
        <w:rPr>
          <w:lang w:val="en-AU"/>
        </w:rPr>
      </w:pPr>
      <w:r>
        <w:rPr>
          <w:rStyle w:val="FootnoteReference"/>
        </w:rPr>
        <w:footnoteRef/>
      </w:r>
      <w:r>
        <w:t xml:space="preserve"> </w:t>
      </w:r>
      <w:r>
        <w:rPr>
          <w:lang w:val="en-AU"/>
        </w:rPr>
        <w:t xml:space="preserve">Safer Care Victoria, </w:t>
      </w:r>
      <w:r w:rsidRPr="00E335B2">
        <w:rPr>
          <w:i/>
          <w:iCs/>
          <w:lang w:val="en-AU"/>
        </w:rPr>
        <w:t>Adverse Patient S</w:t>
      </w:r>
      <w:r>
        <w:rPr>
          <w:i/>
          <w:iCs/>
          <w:lang w:val="en-AU"/>
        </w:rPr>
        <w:t>a</w:t>
      </w:r>
      <w:r w:rsidRPr="00E335B2">
        <w:rPr>
          <w:i/>
          <w:iCs/>
          <w:lang w:val="en-AU"/>
        </w:rPr>
        <w:t>fety Event policy</w:t>
      </w:r>
      <w:r>
        <w:rPr>
          <w:lang w:val="en-AU"/>
        </w:rPr>
        <w:t>.</w:t>
      </w:r>
    </w:p>
  </w:footnote>
  <w:footnote w:id="68">
    <w:p w14:paraId="314455F9" w14:textId="77777777" w:rsidR="00D023C4" w:rsidRPr="000D17F7" w:rsidRDefault="00D023C4" w:rsidP="00D023C4">
      <w:pPr>
        <w:rPr>
          <w:rStyle w:val="FootnoteReference"/>
        </w:rPr>
      </w:pPr>
    </w:p>
  </w:footnote>
  <w:footnote w:id="69">
    <w:p w14:paraId="25A30561" w14:textId="77777777" w:rsidR="00D023C4" w:rsidRPr="009C726B" w:rsidRDefault="00D023C4" w:rsidP="00D023C4">
      <w:pPr>
        <w:pStyle w:val="FootnoteText"/>
        <w:rPr>
          <w:lang w:val="en-AU"/>
        </w:rPr>
      </w:pPr>
      <w:r>
        <w:rPr>
          <w:rStyle w:val="FootnoteReference"/>
        </w:rPr>
        <w:footnoteRef/>
      </w:r>
      <w:r>
        <w:t xml:space="preserve"> </w:t>
      </w:r>
      <w:r>
        <w:rPr>
          <w:lang w:val="en-AU"/>
        </w:rPr>
        <w:t xml:space="preserve">Referred to as a protected SAPSE review </w:t>
      </w:r>
      <w:r w:rsidRPr="00286550">
        <w:rPr>
          <w:lang w:val="en-AU"/>
        </w:rPr>
        <w:t>due to protections from liability provided in the Act for SAPSE review panel members and participants</w:t>
      </w:r>
      <w:r>
        <w:rPr>
          <w:lang w:val="en-AU"/>
        </w:rPr>
        <w:t>.</w:t>
      </w:r>
    </w:p>
  </w:footnote>
  <w:footnote w:id="70">
    <w:p w14:paraId="219FEAE2" w14:textId="69ECFE84" w:rsidR="00B30A53" w:rsidRPr="006C473F" w:rsidRDefault="00B30A53">
      <w:pPr>
        <w:pStyle w:val="FootnoteText"/>
        <w:rPr>
          <w:lang w:val="en-AU"/>
        </w:rPr>
      </w:pPr>
      <w:r>
        <w:rPr>
          <w:rStyle w:val="FootnoteReference"/>
        </w:rPr>
        <w:footnoteRef/>
      </w:r>
      <w:r>
        <w:t xml:space="preserve"> </w:t>
      </w:r>
      <w:r>
        <w:rPr>
          <w:lang w:val="en-AU"/>
        </w:rPr>
        <w:t xml:space="preserve">The Guide is mandatory for </w:t>
      </w:r>
      <w:r w:rsidR="0035597D">
        <w:rPr>
          <w:lang w:val="en-AU"/>
        </w:rPr>
        <w:t>public health services but not mandatory for HSEs.</w:t>
      </w:r>
    </w:p>
  </w:footnote>
  <w:footnote w:id="71">
    <w:p w14:paraId="58AA9B01" w14:textId="15AF5C19" w:rsidR="00D023C4" w:rsidRPr="005B2145" w:rsidRDefault="00D023C4" w:rsidP="00D023C4">
      <w:pPr>
        <w:pStyle w:val="FootnoteText"/>
        <w:rPr>
          <w:lang w:val="en-AU"/>
        </w:rPr>
      </w:pPr>
      <w:r w:rsidRPr="004928BD">
        <w:rPr>
          <w:rStyle w:val="FootnoteReference"/>
        </w:rPr>
        <w:footnoteRef/>
      </w:r>
      <w:r w:rsidRPr="004928BD">
        <w:t xml:space="preserve"> </w:t>
      </w:r>
      <w:r w:rsidR="004928BD" w:rsidRPr="004928BD">
        <w:rPr>
          <w:lang w:val="en-AU"/>
        </w:rPr>
        <w:t>While</w:t>
      </w:r>
      <w:r w:rsidRPr="004928BD">
        <w:rPr>
          <w:lang w:val="en-AU"/>
        </w:rPr>
        <w:t xml:space="preserve"> </w:t>
      </w:r>
      <w:r w:rsidRPr="006C473F">
        <w:rPr>
          <w:lang w:val="en-AU"/>
        </w:rPr>
        <w:t>the national list</w:t>
      </w:r>
      <w:r w:rsidRPr="004928BD">
        <w:rPr>
          <w:lang w:val="en-AU"/>
        </w:rPr>
        <w:t xml:space="preserve"> provides guidance on 10 main event categories, it isn’t comprehensive and the guide aims to fill the gap particularly for sub-categories of adverse patient safety events that fall outside the 10 main categories.</w:t>
      </w:r>
    </w:p>
  </w:footnote>
  <w:footnote w:id="72">
    <w:p w14:paraId="24095FB0" w14:textId="77777777" w:rsidR="00D023C4" w:rsidRPr="009D1810" w:rsidRDefault="00D023C4" w:rsidP="00D023C4">
      <w:pPr>
        <w:pStyle w:val="FootnoteText"/>
        <w:rPr>
          <w:lang w:val="en-AU"/>
        </w:rPr>
      </w:pPr>
      <w:r>
        <w:rPr>
          <w:rStyle w:val="FootnoteReference"/>
        </w:rPr>
        <w:footnoteRef/>
      </w:r>
      <w:r>
        <w:t xml:space="preserve"> Coroners Court of Victoria, Court reference COR 2017 004055.</w:t>
      </w:r>
    </w:p>
  </w:footnote>
  <w:footnote w:id="73">
    <w:p w14:paraId="5BAD9981" w14:textId="77777777" w:rsidR="001E1DBD" w:rsidRPr="00C92023" w:rsidRDefault="001E1DBD" w:rsidP="001E1DBD">
      <w:pPr>
        <w:pStyle w:val="FootnoteText"/>
        <w:rPr>
          <w:lang w:val="en-AU"/>
        </w:rPr>
      </w:pPr>
      <w:r>
        <w:rPr>
          <w:rStyle w:val="FootnoteReference"/>
        </w:rPr>
        <w:footnoteRef/>
      </w:r>
      <w:r>
        <w:t xml:space="preserve"> </w:t>
      </w:r>
      <w:r>
        <w:rPr>
          <w:rStyle w:val="ui-provider"/>
        </w:rPr>
        <w:t>Including anaesthetists, specialist physicians, surgeons, other medical practitioners, managers, corporate services manages, CEOs// Managing directors.</w:t>
      </w:r>
    </w:p>
  </w:footnote>
  <w:footnote w:id="74">
    <w:p w14:paraId="01423125" w14:textId="373E3711" w:rsidR="006C31D2" w:rsidRPr="006C473F" w:rsidRDefault="006C31D2">
      <w:pPr>
        <w:pStyle w:val="FootnoteText"/>
        <w:rPr>
          <w:lang w:val="en-AU"/>
        </w:rPr>
      </w:pPr>
      <w:r>
        <w:rPr>
          <w:rStyle w:val="FootnoteReference"/>
        </w:rPr>
        <w:footnoteRef/>
      </w:r>
      <w:r>
        <w:t xml:space="preserve"> </w:t>
      </w:r>
      <w:r>
        <w:rPr>
          <w:rStyle w:val="ui-provider"/>
        </w:rPr>
        <w:t>Including anaesthetists, specialist physicians, surgeons, other medical practitioners</w:t>
      </w:r>
      <w:r w:rsidR="001952ED">
        <w:rPr>
          <w:rStyle w:val="ui-provider"/>
        </w:rPr>
        <w:t xml:space="preserve"> and quality and safety experts</w:t>
      </w:r>
      <w:r>
        <w:rPr>
          <w:rStyle w:val="ui-provider"/>
        </w:rPr>
        <w:t>, managers, corporate services manage</w:t>
      </w:r>
      <w:r w:rsidR="00B564B2">
        <w:rPr>
          <w:rStyle w:val="ui-provider"/>
        </w:rPr>
        <w:t>r</w:t>
      </w:r>
      <w:r>
        <w:rPr>
          <w:rStyle w:val="ui-provider"/>
        </w:rPr>
        <w:t>s, CEOs/Managing directors.</w:t>
      </w:r>
    </w:p>
  </w:footnote>
  <w:footnote w:id="75">
    <w:p w14:paraId="463B9DA2" w14:textId="3FA2E874" w:rsidR="00512E64" w:rsidRPr="00512E64" w:rsidRDefault="00512E64">
      <w:pPr>
        <w:pStyle w:val="FootnoteText"/>
        <w:rPr>
          <w:lang w:val="en-AU"/>
        </w:rPr>
      </w:pPr>
      <w:r>
        <w:rPr>
          <w:rStyle w:val="FootnoteReference"/>
        </w:rPr>
        <w:footnoteRef/>
      </w:r>
      <w:r>
        <w:t xml:space="preserve"> </w:t>
      </w:r>
      <w:r w:rsidR="00FA03F5">
        <w:rPr>
          <w:lang w:val="en-AU"/>
        </w:rPr>
        <w:t>Victorian Department of Health (</w:t>
      </w:r>
      <w:r w:rsidR="00ED6F99">
        <w:rPr>
          <w:lang w:val="en-AU"/>
        </w:rPr>
        <w:t xml:space="preserve">2023). </w:t>
      </w:r>
      <w:r w:rsidR="00B719DB" w:rsidRPr="00B719DB">
        <w:rPr>
          <w:i/>
          <w:iCs/>
          <w:lang w:val="en-AU"/>
        </w:rPr>
        <w:t>Perioperative service capability framework for Victoria</w:t>
      </w:r>
      <w:r w:rsidR="00B719DB">
        <w:rPr>
          <w:i/>
          <w:iCs/>
          <w:lang w:val="en-AU"/>
        </w:rPr>
        <w:t xml:space="preserve">, </w:t>
      </w:r>
      <w:hyperlink r:id="rId13" w:history="1">
        <w:r w:rsidR="00FC39A8" w:rsidRPr="00671488">
          <w:rPr>
            <w:rStyle w:val="Hyperlink"/>
            <w:lang w:val="en-AU"/>
          </w:rPr>
          <w:t>https://www.health.vic.gov.au/health-system-design-planning/perioperative-service-capability-framework-for-victoria</w:t>
        </w:r>
      </w:hyperlink>
      <w:r w:rsidR="00FC39A8">
        <w:rPr>
          <w:lang w:val="en-AU"/>
        </w:rPr>
        <w:t>. Accessed December 2023.</w:t>
      </w:r>
    </w:p>
  </w:footnote>
  <w:footnote w:id="76">
    <w:p w14:paraId="51A76187" w14:textId="77777777" w:rsidR="00617BD5" w:rsidRPr="00091A68" w:rsidRDefault="00617BD5" w:rsidP="00617BD5">
      <w:pPr>
        <w:pStyle w:val="FootnoteText"/>
        <w:rPr>
          <w:lang w:val="en-AU"/>
        </w:rPr>
      </w:pPr>
      <w:r>
        <w:rPr>
          <w:rStyle w:val="FootnoteReference"/>
        </w:rPr>
        <w:footnoteRef/>
      </w:r>
      <w:r>
        <w:t xml:space="preserve"> </w:t>
      </w:r>
      <w:hyperlink r:id="rId14" w:history="1">
        <w:r w:rsidRPr="00671488">
          <w:rPr>
            <w:rStyle w:val="Hyperlink"/>
          </w:rPr>
          <w:t>https://www.safetyandquality.gov.au/standards/nsqhs-standards/comprehensive-care-standard</w:t>
        </w:r>
      </w:hyperlink>
      <w:r>
        <w:t xml:space="preserve"> </w:t>
      </w:r>
    </w:p>
  </w:footnote>
  <w:footnote w:id="77">
    <w:p w14:paraId="56CAEF0F" w14:textId="77777777" w:rsidR="003748C5" w:rsidRPr="00CC5CEE" w:rsidRDefault="003748C5" w:rsidP="003748C5">
      <w:pPr>
        <w:pStyle w:val="FootnoteText"/>
        <w:rPr>
          <w:lang w:val="en-AU"/>
        </w:rPr>
      </w:pPr>
      <w:r>
        <w:rPr>
          <w:rStyle w:val="FootnoteReference"/>
        </w:rPr>
        <w:footnoteRef/>
      </w:r>
      <w:r>
        <w:t xml:space="preserve"> Health Issues Centre (2023). Health Services Establishments Regulations Review: Consumer Interviews Report. Melbourne, Victoria. </w:t>
      </w:r>
    </w:p>
  </w:footnote>
  <w:footnote w:id="78">
    <w:p w14:paraId="107C8BF9" w14:textId="77777777" w:rsidR="009E6155" w:rsidRPr="00D76287" w:rsidRDefault="009E6155" w:rsidP="009E6155">
      <w:pPr>
        <w:pStyle w:val="FootnoteText"/>
        <w:rPr>
          <w:lang w:val="en-AU"/>
        </w:rPr>
      </w:pPr>
      <w:r>
        <w:rPr>
          <w:rStyle w:val="FootnoteReference"/>
        </w:rPr>
        <w:footnoteRef/>
      </w:r>
      <w:r>
        <w:t xml:space="preserve"> </w:t>
      </w:r>
      <w:hyperlink r:id="rId15" w:history="1">
        <w:r w:rsidRPr="006E32D7">
          <w:rPr>
            <w:rStyle w:val="Hyperlink"/>
          </w:rPr>
          <w:t>https://www.safetyandquality.gov.au/standards/nsqhs-standards/communicating-safety-standard/documentation-information</w:t>
        </w:r>
      </w:hyperlink>
      <w:r>
        <w:t xml:space="preserve"> </w:t>
      </w:r>
    </w:p>
  </w:footnote>
  <w:footnote w:id="79">
    <w:p w14:paraId="78012EBA" w14:textId="77777777" w:rsidR="00D25749" w:rsidRPr="00A41ED7" w:rsidRDefault="00D25749" w:rsidP="00D25749">
      <w:pPr>
        <w:pStyle w:val="FootnoteText"/>
        <w:rPr>
          <w:lang w:val="en-AU"/>
        </w:rPr>
      </w:pPr>
      <w:r>
        <w:rPr>
          <w:rStyle w:val="FootnoteReference"/>
        </w:rPr>
        <w:footnoteRef/>
      </w:r>
      <w:r>
        <w:t xml:space="preserve"> </w:t>
      </w:r>
      <w:hyperlink r:id="rId16" w:history="1">
        <w:r w:rsidRPr="00671488">
          <w:rPr>
            <w:rStyle w:val="Hyperlink"/>
          </w:rPr>
          <w:t>https://www.safetyandquality.gov.au/standards/nsqhs-standards/communicating-safety-standard/documentation-information/action-611</w:t>
        </w:r>
      </w:hyperlink>
      <w:r>
        <w:t xml:space="preserve"> </w:t>
      </w:r>
    </w:p>
  </w:footnote>
  <w:footnote w:id="80">
    <w:p w14:paraId="14F498C2" w14:textId="77777777" w:rsidR="009F3FF6" w:rsidRPr="00D76287" w:rsidRDefault="009F3FF6" w:rsidP="009F3FF6">
      <w:pPr>
        <w:pStyle w:val="FootnoteText"/>
        <w:rPr>
          <w:lang w:val="en-AU"/>
        </w:rPr>
      </w:pPr>
      <w:r>
        <w:rPr>
          <w:rStyle w:val="FootnoteReference"/>
        </w:rPr>
        <w:footnoteRef/>
      </w:r>
      <w:r>
        <w:t xml:space="preserve"> </w:t>
      </w:r>
      <w:hyperlink r:id="rId17" w:history="1">
        <w:r w:rsidRPr="006E32D7">
          <w:rPr>
            <w:rStyle w:val="Hyperlink"/>
          </w:rPr>
          <w:t>https://www.safetyandquality.gov.au/standards/nsqhs-standards/communicating-safety-standard/documentation-information</w:t>
        </w:r>
      </w:hyperlink>
      <w:r>
        <w:t xml:space="preserve"> </w:t>
      </w:r>
    </w:p>
  </w:footnote>
  <w:footnote w:id="81">
    <w:p w14:paraId="51D51B4B" w14:textId="0E23E943" w:rsidR="00A66E15" w:rsidRPr="00A66E15" w:rsidRDefault="00A66E15">
      <w:pPr>
        <w:pStyle w:val="FootnoteText"/>
        <w:rPr>
          <w:lang w:val="en-AU"/>
        </w:rPr>
      </w:pPr>
      <w:r>
        <w:rPr>
          <w:rStyle w:val="FootnoteReference"/>
        </w:rPr>
        <w:footnoteRef/>
      </w:r>
      <w:r>
        <w:t xml:space="preserve"> </w:t>
      </w:r>
      <w:r>
        <w:rPr>
          <w:lang w:val="en-AU"/>
        </w:rPr>
        <w:t xml:space="preserve">DH data </w:t>
      </w:r>
      <w:r w:rsidR="0066426E">
        <w:rPr>
          <w:lang w:val="en-AU"/>
        </w:rPr>
        <w:t>on Mobile Services Activity Summaries</w:t>
      </w:r>
      <w:r w:rsidR="00392B53">
        <w:rPr>
          <w:lang w:val="en-AU"/>
        </w:rPr>
        <w:t>, provided December 2023.</w:t>
      </w:r>
    </w:p>
  </w:footnote>
  <w:footnote w:id="82">
    <w:p w14:paraId="7BDCAED9" w14:textId="17150D8F" w:rsidR="006859F1" w:rsidRPr="00795916" w:rsidRDefault="006859F1" w:rsidP="006859F1">
      <w:pPr>
        <w:pStyle w:val="FootnoteText"/>
        <w:rPr>
          <w:lang w:val="en-AU"/>
        </w:rPr>
      </w:pPr>
      <w:r>
        <w:rPr>
          <w:rStyle w:val="FootnoteReference"/>
        </w:rPr>
        <w:footnoteRef/>
      </w:r>
      <w:r>
        <w:t xml:space="preserve"> </w:t>
      </w:r>
      <w:r w:rsidR="003A50BA">
        <w:rPr>
          <w:lang w:val="en-AU"/>
        </w:rPr>
        <w:t>In 2022/23, there were 1,031,819</w:t>
      </w:r>
      <w:r w:rsidR="00607B65">
        <w:rPr>
          <w:lang w:val="en-AU"/>
        </w:rPr>
        <w:t xml:space="preserve"> planned/elective admissions (</w:t>
      </w:r>
      <w:r w:rsidR="00BC34A0">
        <w:rPr>
          <w:lang w:val="en-AU"/>
        </w:rPr>
        <w:t xml:space="preserve">source: </w:t>
      </w:r>
      <w:r w:rsidR="00607B65">
        <w:rPr>
          <w:lang w:val="en-AU"/>
        </w:rPr>
        <w:t>Victorian Admitted Episodes Dataset)</w:t>
      </w:r>
    </w:p>
  </w:footnote>
  <w:footnote w:id="83">
    <w:p w14:paraId="24F096F0" w14:textId="77777777" w:rsidR="00B62AF2" w:rsidRPr="00A66E15" w:rsidRDefault="00B62AF2" w:rsidP="00B62AF2">
      <w:pPr>
        <w:pStyle w:val="FootnoteText"/>
        <w:rPr>
          <w:lang w:val="en-AU"/>
        </w:rPr>
      </w:pPr>
      <w:r>
        <w:rPr>
          <w:rStyle w:val="FootnoteReference"/>
        </w:rPr>
        <w:footnoteRef/>
      </w:r>
      <w:r>
        <w:t xml:space="preserve"> </w:t>
      </w:r>
      <w:r>
        <w:rPr>
          <w:lang w:val="en-AU"/>
        </w:rPr>
        <w:t>DH data on Mobile Services Activity Summaries, provided December 2023.</w:t>
      </w:r>
    </w:p>
  </w:footnote>
  <w:footnote w:id="84">
    <w:p w14:paraId="11CACAAF" w14:textId="77777777" w:rsidR="00EA0D40" w:rsidRPr="005B2145" w:rsidRDefault="00EA0D40" w:rsidP="00EA0D40">
      <w:pPr>
        <w:pStyle w:val="FootnoteText"/>
        <w:rPr>
          <w:lang w:val="en-AU"/>
        </w:rPr>
      </w:pPr>
      <w:r>
        <w:rPr>
          <w:rStyle w:val="FootnoteReference"/>
        </w:rPr>
        <w:footnoteRef/>
      </w:r>
      <w:r>
        <w:t xml:space="preserve"> </w:t>
      </w:r>
      <w:r>
        <w:rPr>
          <w:szCs w:val="18"/>
        </w:rPr>
        <w:t xml:space="preserve">Department of Justice and Community Safety Victoria, 2022, </w:t>
      </w:r>
      <w:r w:rsidRPr="005B2145">
        <w:rPr>
          <w:szCs w:val="18"/>
        </w:rPr>
        <w:t>Attorney-General's guidelines to the Infringements Act 2006</w:t>
      </w:r>
      <w:r>
        <w:rPr>
          <w:szCs w:val="18"/>
        </w:rPr>
        <w:t xml:space="preserve">, &lt;https://www.justice.vic.gov.au/justice-system/fines-and-penalties/attorney-generals-guidelines-to-the-infringements-act-2006&gt;. </w:t>
      </w:r>
      <w:r>
        <w:t xml:space="preserve"> </w:t>
      </w:r>
    </w:p>
  </w:footnote>
  <w:footnote w:id="85">
    <w:p w14:paraId="2BCE47A2" w14:textId="77777777" w:rsidR="00EA0D40" w:rsidRPr="009310F4" w:rsidRDefault="00EA0D40" w:rsidP="00EA0D40">
      <w:pPr>
        <w:pStyle w:val="FootnoteText"/>
        <w:rPr>
          <w:lang w:val="en-AU"/>
        </w:rPr>
      </w:pPr>
      <w:r>
        <w:rPr>
          <w:rStyle w:val="FootnoteReference"/>
        </w:rPr>
        <w:footnoteRef/>
      </w:r>
      <w:r>
        <w:t xml:space="preserve"> If the current regulations are remade under Option 1, the total number of penalty offences will change because </w:t>
      </w:r>
      <w:r>
        <w:rPr>
          <w:lang w:val="en-AU"/>
        </w:rPr>
        <w:t>regulation 41 ‘Prevention of scalding’ is proposed to be deleted from the Regulations and two other regulations that currently contain two offences (regulations 16 and 21) will be split into separate regulations, each with their own offence penalty, but with no substantive change to the nature of the offences or the associated penalty units.</w:t>
      </w:r>
    </w:p>
  </w:footnote>
  <w:footnote w:id="86">
    <w:p w14:paraId="0E4BA6D2" w14:textId="77777777" w:rsidR="00415828" w:rsidRPr="00223E9F" w:rsidRDefault="00415828" w:rsidP="00415828">
      <w:pPr>
        <w:pStyle w:val="Default"/>
        <w:rPr>
          <w:rFonts w:asciiTheme="minorHAnsi" w:hAnsiTheme="minorHAnsi" w:cstheme="minorHAnsi"/>
          <w:sz w:val="18"/>
          <w:szCs w:val="18"/>
        </w:rPr>
      </w:pPr>
      <w:r w:rsidRPr="00B20280">
        <w:rPr>
          <w:rStyle w:val="FootnoteReference"/>
          <w:rFonts w:asciiTheme="minorHAnsi" w:hAnsiTheme="minorHAnsi" w:cstheme="minorBidi"/>
          <w:color w:val="auto"/>
          <w:sz w:val="18"/>
          <w:szCs w:val="20"/>
          <w:lang w:val="en-NZ"/>
        </w:rPr>
        <w:footnoteRef/>
      </w:r>
      <w:r w:rsidRPr="00B20280">
        <w:rPr>
          <w:rStyle w:val="FootnoteReference"/>
          <w:rFonts w:cstheme="minorBidi"/>
          <w:color w:val="auto"/>
          <w:szCs w:val="20"/>
          <w:lang w:val="en-NZ"/>
        </w:rPr>
        <w:t xml:space="preserve"> </w:t>
      </w:r>
      <w:r>
        <w:rPr>
          <w:rFonts w:asciiTheme="minorHAnsi" w:hAnsiTheme="minorHAnsi" w:cstheme="minorHAnsi"/>
          <w:sz w:val="18"/>
          <w:szCs w:val="18"/>
        </w:rPr>
        <w:t xml:space="preserve">Regulation </w:t>
      </w:r>
      <w:r w:rsidRPr="00223E9F">
        <w:rPr>
          <w:rFonts w:asciiTheme="minorHAnsi" w:hAnsiTheme="minorHAnsi" w:cstheme="minorHAnsi"/>
          <w:sz w:val="18"/>
          <w:szCs w:val="18"/>
        </w:rPr>
        <w:t>20(2) gives an extensive list of items that must be covered in the statement</w:t>
      </w:r>
      <w:r>
        <w:rPr>
          <w:rFonts w:asciiTheme="minorHAnsi" w:hAnsiTheme="minorHAnsi" w:cstheme="minorHAnsi"/>
          <w:sz w:val="18"/>
          <w:szCs w:val="18"/>
        </w:rPr>
        <w:t>.</w:t>
      </w:r>
    </w:p>
  </w:footnote>
  <w:footnote w:id="87">
    <w:p w14:paraId="074B8FDF" w14:textId="77777777" w:rsidR="00415828" w:rsidRPr="00223E9F" w:rsidRDefault="00415828" w:rsidP="00415828">
      <w:pPr>
        <w:pStyle w:val="Default"/>
      </w:pPr>
      <w:r w:rsidRPr="000D17F7">
        <w:rPr>
          <w:rStyle w:val="FootnoteReference"/>
        </w:rPr>
        <w:footnoteRef/>
      </w:r>
      <w:r>
        <w:t xml:space="preserve"> </w:t>
      </w:r>
      <w:r>
        <w:rPr>
          <w:rFonts w:asciiTheme="minorHAnsi" w:hAnsiTheme="minorHAnsi" w:cstheme="minorHAnsi"/>
          <w:sz w:val="18"/>
          <w:szCs w:val="18"/>
        </w:rPr>
        <w:t xml:space="preserve">Regulation </w:t>
      </w:r>
      <w:r w:rsidRPr="00D87CE2">
        <w:rPr>
          <w:rFonts w:asciiTheme="minorHAnsi" w:hAnsiTheme="minorHAnsi" w:cstheme="minorHAnsi"/>
          <w:sz w:val="18"/>
          <w:szCs w:val="18"/>
        </w:rPr>
        <w:t>27(2) gives the required nurse-to-patient ratios for private hospitals and day procedure centres</w:t>
      </w:r>
    </w:p>
  </w:footnote>
  <w:footnote w:id="88">
    <w:p w14:paraId="78DB1FB8" w14:textId="77777777" w:rsidR="00415828" w:rsidRPr="00567564" w:rsidRDefault="00415828" w:rsidP="00415828">
      <w:pPr>
        <w:pStyle w:val="FootnoteText"/>
        <w:rPr>
          <w:lang w:val="en-AU"/>
        </w:rPr>
      </w:pPr>
      <w:r>
        <w:rPr>
          <w:rStyle w:val="FootnoteReference"/>
        </w:rPr>
        <w:footnoteRef/>
      </w:r>
      <w:r>
        <w:t xml:space="preserve"> Regulation 31(2) lists the information to be recorded </w:t>
      </w:r>
    </w:p>
  </w:footnote>
  <w:footnote w:id="89">
    <w:p w14:paraId="095CE184" w14:textId="77777777" w:rsidR="00415828" w:rsidRPr="005B076E" w:rsidRDefault="00415828" w:rsidP="00415828">
      <w:pPr>
        <w:pStyle w:val="FootnoteText"/>
        <w:rPr>
          <w:lang w:val="en-AU"/>
        </w:rPr>
      </w:pPr>
      <w:r>
        <w:rPr>
          <w:rStyle w:val="FootnoteReference"/>
        </w:rPr>
        <w:footnoteRef/>
      </w:r>
      <w:r>
        <w:t xml:space="preserve"> </w:t>
      </w:r>
      <w:r>
        <w:rPr>
          <w:lang w:val="en-AU"/>
        </w:rPr>
        <w:t>Regulation 37(2) lists the information to be contained in the register.</w:t>
      </w:r>
    </w:p>
  </w:footnote>
  <w:footnote w:id="90">
    <w:p w14:paraId="4B44283E" w14:textId="77777777" w:rsidR="00415828" w:rsidRPr="003842A4" w:rsidRDefault="00415828" w:rsidP="00415828">
      <w:pPr>
        <w:pStyle w:val="FootnoteText"/>
        <w:rPr>
          <w:lang w:val="en-AU"/>
        </w:rPr>
      </w:pPr>
      <w:r>
        <w:rPr>
          <w:rStyle w:val="FootnoteReference"/>
        </w:rPr>
        <w:footnoteRef/>
      </w:r>
      <w:r>
        <w:t xml:space="preserve"> </w:t>
      </w:r>
      <w:r>
        <w:rPr>
          <w:lang w:val="en-AU"/>
        </w:rPr>
        <w:t>Regulation 38(2) lists the information to be contained in the register.</w:t>
      </w:r>
    </w:p>
  </w:footnote>
  <w:footnote w:id="91">
    <w:p w14:paraId="10C8C192" w14:textId="77777777" w:rsidR="00415828" w:rsidRPr="00EB06F8" w:rsidRDefault="00415828" w:rsidP="00415828">
      <w:pPr>
        <w:pStyle w:val="FootnoteText"/>
        <w:rPr>
          <w:lang w:val="en-AU"/>
        </w:rPr>
      </w:pPr>
      <w:r>
        <w:rPr>
          <w:rStyle w:val="FootnoteReference"/>
        </w:rPr>
        <w:footnoteRef/>
      </w:r>
      <w:r>
        <w:t xml:space="preserve"> </w:t>
      </w:r>
      <w:r>
        <w:rPr>
          <w:lang w:val="en-AU"/>
        </w:rPr>
        <w:t xml:space="preserve">Regulation 40(2) specifies the purpose and required functionality of the system. </w:t>
      </w:r>
    </w:p>
  </w:footnote>
  <w:footnote w:id="92">
    <w:p w14:paraId="00B6B8DD" w14:textId="77777777" w:rsidR="00415828" w:rsidRPr="007359E5" w:rsidRDefault="00415828" w:rsidP="00415828">
      <w:pPr>
        <w:pStyle w:val="FootnoteText"/>
        <w:rPr>
          <w:lang w:val="en-AU"/>
        </w:rPr>
      </w:pPr>
      <w:r>
        <w:rPr>
          <w:rStyle w:val="FootnoteReference"/>
        </w:rPr>
        <w:footnoteRef/>
      </w:r>
      <w:r>
        <w:t xml:space="preserve"> </w:t>
      </w:r>
      <w:r>
        <w:rPr>
          <w:lang w:val="en-AU"/>
        </w:rPr>
        <w:t xml:space="preserve">Regulation 44(2) and regulation 44(30) specify the purpose and requirements of the Plan. </w:t>
      </w:r>
    </w:p>
  </w:footnote>
  <w:footnote w:id="93">
    <w:p w14:paraId="1E5EDF61" w14:textId="77777777" w:rsidR="00EA0D40" w:rsidRPr="009310F4" w:rsidRDefault="00EA0D40" w:rsidP="00EA0D40">
      <w:pPr>
        <w:pStyle w:val="FootnoteText"/>
        <w:rPr>
          <w:lang w:val="en-AU"/>
        </w:rPr>
      </w:pPr>
      <w:r>
        <w:rPr>
          <w:rStyle w:val="FootnoteReference"/>
        </w:rPr>
        <w:footnoteRef/>
      </w:r>
      <w:r>
        <w:t xml:space="preserve"> There will be 36 penalty offences if </w:t>
      </w:r>
      <w:r>
        <w:rPr>
          <w:lang w:val="en-AU"/>
        </w:rPr>
        <w:t>regulation 41 is deleted from the Regulations, and regulations 16 and 21 are each divided into two regulations with associated penalty offences.</w:t>
      </w:r>
    </w:p>
  </w:footnote>
  <w:footnote w:id="94">
    <w:p w14:paraId="38AC4D0D" w14:textId="77777777" w:rsidR="00EA0D40" w:rsidRPr="00792B12" w:rsidRDefault="00EA0D40" w:rsidP="00EA0D40">
      <w:pPr>
        <w:pStyle w:val="FootnoteText"/>
        <w:rPr>
          <w:lang w:val="en-AU"/>
        </w:rPr>
      </w:pPr>
      <w:r>
        <w:rPr>
          <w:rStyle w:val="FootnoteReference"/>
        </w:rPr>
        <w:footnoteRef/>
      </w:r>
      <w:r>
        <w:t xml:space="preserve"> There will be 36 penalty offences if </w:t>
      </w:r>
      <w:r>
        <w:rPr>
          <w:lang w:val="en-AU"/>
        </w:rPr>
        <w:t>regulation 41 is deleted from the Regulations, and regulation 16 and 21 are each divided into two regulations with associated penalty offences.</w:t>
      </w:r>
    </w:p>
  </w:footnote>
  <w:footnote w:id="95">
    <w:p w14:paraId="4514CA22" w14:textId="77777777" w:rsidR="00EA0D40" w:rsidRPr="00792B12" w:rsidRDefault="00EA0D40" w:rsidP="00EA0D40">
      <w:pPr>
        <w:pStyle w:val="FootnoteText"/>
        <w:rPr>
          <w:lang w:val="en-AU"/>
        </w:rPr>
      </w:pPr>
      <w:r>
        <w:rPr>
          <w:rStyle w:val="FootnoteReference"/>
        </w:rPr>
        <w:footnoteRef/>
      </w:r>
      <w:r>
        <w:t xml:space="preserve"> </w:t>
      </w:r>
      <w:r>
        <w:rPr>
          <w:lang w:val="en-AU"/>
        </w:rPr>
        <w:t xml:space="preserve">Except for regulation 44, where the proposed infringement penalty of 12 penalty units is less than 20% of the penalty amount. </w:t>
      </w:r>
    </w:p>
  </w:footnote>
  <w:footnote w:id="96">
    <w:p w14:paraId="3CBE830C" w14:textId="77777777" w:rsidR="002D2274" w:rsidRPr="00BA4085" w:rsidRDefault="002D2274" w:rsidP="002D2274">
      <w:pPr>
        <w:pStyle w:val="FootnoteText"/>
        <w:rPr>
          <w:lang w:val="en-AU"/>
        </w:rPr>
      </w:pPr>
      <w:r>
        <w:rPr>
          <w:rStyle w:val="FootnoteReference"/>
        </w:rPr>
        <w:footnoteRef/>
      </w:r>
      <w:r>
        <w:t xml:space="preserve"> </w:t>
      </w:r>
      <w:r w:rsidRPr="00BA4085">
        <w:rPr>
          <w:i/>
          <w:iCs/>
        </w:rPr>
        <w:t>Health Practitioner Regulation National Law Act 2009</w:t>
      </w:r>
      <w:r>
        <w:t>.</w:t>
      </w:r>
    </w:p>
  </w:footnote>
  <w:footnote w:id="97">
    <w:p w14:paraId="411C95A9" w14:textId="25C7ECC1" w:rsidR="0002290C" w:rsidRPr="005952E1" w:rsidRDefault="0002290C" w:rsidP="006A3746">
      <w:pPr>
        <w:pStyle w:val="FootnoteText"/>
        <w:rPr>
          <w:lang w:val="en-AU"/>
        </w:rPr>
      </w:pPr>
      <w:r w:rsidRPr="005952E1">
        <w:rPr>
          <w:rStyle w:val="FootnoteReference"/>
        </w:rPr>
        <w:footnoteRef/>
      </w:r>
      <w:r w:rsidRPr="005952E1">
        <w:t xml:space="preserve"> </w:t>
      </w:r>
      <w:r w:rsidR="00053BED" w:rsidRPr="005952E1">
        <w:rPr>
          <w:lang w:val="en-AU"/>
        </w:rPr>
        <w:t>HCC,</w:t>
      </w:r>
      <w:r w:rsidR="006A3746" w:rsidRPr="005952E1">
        <w:rPr>
          <w:lang w:val="en-AU"/>
        </w:rPr>
        <w:t xml:space="preserve"> Annual Report 2022-23. Found at </w:t>
      </w:r>
      <w:hyperlink r:id="rId18" w:history="1">
        <w:r w:rsidR="006A3746" w:rsidRPr="005952E1">
          <w:rPr>
            <w:rStyle w:val="Hyperlink"/>
            <w:lang w:val="en-AU"/>
          </w:rPr>
          <w:t>https://www.hcc.vic.gov.au/sites/default/files/media-document/HCC%20Annual%20Report%202022-2023_0.pdf</w:t>
        </w:r>
      </w:hyperlink>
      <w:r w:rsidR="006A3746" w:rsidRPr="005952E1">
        <w:rPr>
          <w:lang w:val="en-AU"/>
        </w:rPr>
        <w:t xml:space="preserve"> </w:t>
      </w:r>
    </w:p>
  </w:footnote>
  <w:footnote w:id="98">
    <w:p w14:paraId="5D386E1B" w14:textId="74D3AE89" w:rsidR="00053BED" w:rsidRPr="005952E1" w:rsidRDefault="00053BED">
      <w:pPr>
        <w:pStyle w:val="FootnoteText"/>
        <w:rPr>
          <w:lang w:val="en-AU"/>
        </w:rPr>
      </w:pPr>
      <w:r w:rsidRPr="005952E1">
        <w:rPr>
          <w:rStyle w:val="FootnoteReference"/>
        </w:rPr>
        <w:footnoteRef/>
      </w:r>
      <w:r w:rsidRPr="005952E1">
        <w:t xml:space="preserve"> Either a patient and/or a loved one who has had an experience of a private hospital or day procedure centre.</w:t>
      </w:r>
    </w:p>
  </w:footnote>
  <w:footnote w:id="99">
    <w:p w14:paraId="3C182C99" w14:textId="77777777" w:rsidR="00795415" w:rsidRPr="005952E1" w:rsidRDefault="00795415" w:rsidP="00795415">
      <w:pPr>
        <w:pStyle w:val="FootnoteText"/>
        <w:rPr>
          <w:lang w:val="en-AU"/>
        </w:rPr>
      </w:pPr>
      <w:r w:rsidRPr="005952E1">
        <w:rPr>
          <w:rStyle w:val="FootnoteReference"/>
        </w:rPr>
        <w:footnoteRef/>
      </w:r>
      <w:r w:rsidRPr="005952E1">
        <w:t xml:space="preserve"> Health Issues Centre (2023). Health Services Establishments Regulations Review: Consumer Interviews Report. Melbourne, Victoria. </w:t>
      </w:r>
    </w:p>
  </w:footnote>
  <w:footnote w:id="100">
    <w:p w14:paraId="3E7919F3" w14:textId="28CA0179" w:rsidR="00F170C1" w:rsidRPr="00EE01AA" w:rsidRDefault="00F170C1">
      <w:pPr>
        <w:pStyle w:val="FootnoteText"/>
        <w:rPr>
          <w:lang w:val="en-AU"/>
        </w:rPr>
      </w:pPr>
      <w:r w:rsidRPr="005952E1">
        <w:rPr>
          <w:rStyle w:val="FootnoteReference"/>
        </w:rPr>
        <w:footnoteRef/>
      </w:r>
      <w:r w:rsidRPr="005952E1">
        <w:t xml:space="preserve"> </w:t>
      </w:r>
      <w:r w:rsidRPr="005952E1">
        <w:rPr>
          <w:lang w:val="en-AU"/>
        </w:rPr>
        <w:t xml:space="preserve">Consumer consultation workshop held </w:t>
      </w:r>
      <w:r w:rsidR="00A51DE4" w:rsidRPr="005952E1">
        <w:rPr>
          <w:lang w:val="en-AU"/>
        </w:rPr>
        <w:t>February 2024.</w:t>
      </w:r>
    </w:p>
  </w:footnote>
  <w:footnote w:id="101">
    <w:p w14:paraId="46BC1364" w14:textId="77777777" w:rsidR="007F05FB" w:rsidRPr="00EE01AA" w:rsidRDefault="007F05FB" w:rsidP="007F05FB">
      <w:pPr>
        <w:pStyle w:val="FootnoteText"/>
        <w:rPr>
          <w:lang w:val="en-AU"/>
        </w:rPr>
      </w:pPr>
      <w:r w:rsidRPr="002E18CF">
        <w:rPr>
          <w:rStyle w:val="FootnoteReference"/>
        </w:rPr>
        <w:footnoteRef/>
      </w:r>
      <w:r w:rsidRPr="002E18CF">
        <w:t xml:space="preserve"> </w:t>
      </w:r>
      <w:r w:rsidRPr="006C473F">
        <w:rPr>
          <w:lang w:val="en-AU"/>
        </w:rPr>
        <w:t>Consumer consultation workshop held February 2024.</w:t>
      </w:r>
    </w:p>
  </w:footnote>
  <w:footnote w:id="102">
    <w:p w14:paraId="593393BB" w14:textId="77777777" w:rsidR="009F4C2E" w:rsidRPr="007524EE" w:rsidRDefault="009F4C2E" w:rsidP="009F4C2E">
      <w:pPr>
        <w:pStyle w:val="FootnoteText"/>
        <w:rPr>
          <w:lang w:val="en-AU"/>
        </w:rPr>
      </w:pPr>
      <w:r>
        <w:rPr>
          <w:rStyle w:val="FootnoteReference"/>
        </w:rPr>
        <w:footnoteRef/>
      </w:r>
      <w:r>
        <w:t xml:space="preserve"> </w:t>
      </w:r>
      <w:r>
        <w:rPr>
          <w:lang w:val="en-AU"/>
        </w:rPr>
        <w:t xml:space="preserve">Australian and New Zealand College of Anaesthetists (2023). Australasian Anaesthesia (aka the Blue Book). Accessed December 2023 at </w:t>
      </w:r>
      <w:hyperlink r:id="rId19" w:history="1">
        <w:r w:rsidRPr="00334D81">
          <w:rPr>
            <w:rStyle w:val="Hyperlink"/>
            <w:lang w:val="en-AU"/>
          </w:rPr>
          <w:t>https://www.anzca.edu.au/getattachment/9ec71c61-8a66-4f81-b0f8-c87d65e36298/Australasian-Anaesthesia-2023</w:t>
        </w:r>
      </w:hyperlink>
      <w:r>
        <w:rPr>
          <w:lang w:val="en-AU"/>
        </w:rPr>
        <w:t xml:space="preserve"> </w:t>
      </w:r>
    </w:p>
  </w:footnote>
  <w:footnote w:id="103">
    <w:p w14:paraId="2AB7407B" w14:textId="77777777" w:rsidR="009F4C2E" w:rsidRPr="00130DE1" w:rsidRDefault="009F4C2E" w:rsidP="009F4C2E">
      <w:pPr>
        <w:pStyle w:val="FootnoteText"/>
        <w:rPr>
          <w:lang w:val="en-AU"/>
        </w:rPr>
      </w:pPr>
      <w:r>
        <w:rPr>
          <w:rStyle w:val="FootnoteReference"/>
        </w:rPr>
        <w:footnoteRef/>
      </w:r>
      <w:r>
        <w:t xml:space="preserve"> Victorian Department of Premier and Cabinet (2023). Subordinate Legislation Act 1994 Guidelines. Accessed December 2023 at </w:t>
      </w:r>
      <w:hyperlink r:id="rId20" w:history="1">
        <w:r w:rsidRPr="00334D81">
          <w:rPr>
            <w:rStyle w:val="Hyperlink"/>
          </w:rPr>
          <w:t>https://new.parliament.vic.gov.au/4a7aed/globalassets/tabled-paper-documents/tabled-paper-7465/subordinate-legislation-act-1994-guidelines-september-2023.pdf</w:t>
        </w:r>
      </w:hyperlink>
      <w:r>
        <w:t xml:space="preserve"> </w:t>
      </w:r>
    </w:p>
  </w:footnote>
  <w:footnote w:id="104">
    <w:p w14:paraId="4280C82C" w14:textId="77777777" w:rsidR="00A863A5" w:rsidRPr="003D3D10" w:rsidRDefault="00A863A5" w:rsidP="00A863A5">
      <w:pPr>
        <w:pStyle w:val="FootnoteText"/>
        <w:rPr>
          <w:lang w:val="en-AU"/>
        </w:rPr>
      </w:pPr>
      <w:r>
        <w:rPr>
          <w:rStyle w:val="FootnoteReference"/>
        </w:rPr>
        <w:footnoteRef/>
      </w:r>
      <w:r>
        <w:t xml:space="preserve"> Australian Commission on Safety and Quality in Health Care. </w:t>
      </w:r>
      <w:r>
        <w:rPr>
          <w:i/>
          <w:iCs/>
        </w:rPr>
        <w:t xml:space="preserve">National Safety and Quality Health Service Standard 4: Medication Safety Standard. </w:t>
      </w:r>
    </w:p>
  </w:footnote>
  <w:footnote w:id="105">
    <w:p w14:paraId="618C1AF2" w14:textId="77777777" w:rsidR="00A863A5" w:rsidRPr="00265F61" w:rsidRDefault="00A863A5" w:rsidP="00A863A5">
      <w:pPr>
        <w:pStyle w:val="FootnoteText"/>
        <w:rPr>
          <w:lang w:val="en-AU"/>
        </w:rPr>
      </w:pPr>
      <w:r>
        <w:rPr>
          <w:rStyle w:val="FootnoteReference"/>
        </w:rPr>
        <w:footnoteRef/>
      </w:r>
      <w:r>
        <w:t xml:space="preserve"> </w:t>
      </w:r>
      <w:r>
        <w:rPr>
          <w:lang w:val="en-AU"/>
        </w:rPr>
        <w:t>Ibid.</w:t>
      </w:r>
    </w:p>
  </w:footnote>
  <w:footnote w:id="106">
    <w:p w14:paraId="56F2A362" w14:textId="77777777" w:rsidR="00A863A5" w:rsidRPr="005E2FA0" w:rsidRDefault="00A863A5" w:rsidP="00A863A5">
      <w:pPr>
        <w:pStyle w:val="FootnoteText"/>
        <w:rPr>
          <w:lang w:val="en-AU"/>
        </w:rPr>
      </w:pPr>
      <w:r>
        <w:rPr>
          <w:rStyle w:val="FootnoteReference"/>
        </w:rPr>
        <w:footnoteRef/>
      </w:r>
      <w:r>
        <w:t xml:space="preserve"> </w:t>
      </w:r>
      <w:r>
        <w:rPr>
          <w:lang w:val="en-AU"/>
        </w:rPr>
        <w:t xml:space="preserve">AIHW admitted patient care data, </w:t>
      </w:r>
      <w:r>
        <w:rPr>
          <w:rStyle w:val="cf01"/>
        </w:rPr>
        <w:t xml:space="preserve">Table S2.1: Separation statistics, public and private hospitals, </w:t>
      </w:r>
      <w:r>
        <w:rPr>
          <w:lang w:val="en-AU"/>
        </w:rPr>
        <w:t>2021-22.</w:t>
      </w:r>
    </w:p>
  </w:footnote>
  <w:footnote w:id="107">
    <w:p w14:paraId="11480E6B" w14:textId="77777777" w:rsidR="00910AA7" w:rsidRPr="001639C1" w:rsidRDefault="00910AA7" w:rsidP="00910AA7">
      <w:pPr>
        <w:pStyle w:val="FootnoteText"/>
        <w:rPr>
          <w:lang w:val="en-AU"/>
        </w:rPr>
      </w:pPr>
      <w:r>
        <w:rPr>
          <w:rStyle w:val="FootnoteReference"/>
        </w:rPr>
        <w:footnoteRef/>
      </w:r>
      <w:r>
        <w:t xml:space="preserve"> </w:t>
      </w:r>
      <w:r w:rsidRPr="003E3408">
        <w:t>Data from the Victorian Admitted Episodes Dataset</w:t>
      </w:r>
      <w:r>
        <w:t>.</w:t>
      </w:r>
    </w:p>
  </w:footnote>
  <w:footnote w:id="108">
    <w:p w14:paraId="6931CD8F" w14:textId="100551AB" w:rsidR="00024640" w:rsidRPr="00A42D2B" w:rsidRDefault="00024640" w:rsidP="00024640">
      <w:pPr>
        <w:pStyle w:val="FootnoteText"/>
        <w:rPr>
          <w:lang w:val="en-AU"/>
        </w:rPr>
      </w:pPr>
      <w:r>
        <w:rPr>
          <w:rStyle w:val="FootnoteReference"/>
        </w:rPr>
        <w:footnoteRef/>
      </w:r>
      <w:r>
        <w:t xml:space="preserve"> </w:t>
      </w:r>
      <w:r>
        <w:rPr>
          <w:lang w:val="en-AU"/>
        </w:rPr>
        <w:t>Under Regulation 8(2) currently except for (</w:t>
      </w:r>
      <w:r w:rsidR="00FB2432">
        <w:rPr>
          <w:lang w:val="en-AU"/>
        </w:rPr>
        <w:t>a</w:t>
      </w:r>
      <w:r>
        <w:rPr>
          <w:lang w:val="en-AU"/>
        </w:rPr>
        <w:t xml:space="preserve">) </w:t>
      </w:r>
      <w:r w:rsidRPr="00A42D2B">
        <w:rPr>
          <w:lang w:val="en-AU"/>
        </w:rPr>
        <w:t>to use particular land or premises as a private hospital or day procedure centre</w:t>
      </w:r>
      <w:r>
        <w:rPr>
          <w:lang w:val="en-AU"/>
        </w:rPr>
        <w:t>, which is proposed for inclusion.</w:t>
      </w:r>
    </w:p>
  </w:footnote>
  <w:footnote w:id="109">
    <w:p w14:paraId="66563F31" w14:textId="74EA48FC" w:rsidR="00590668" w:rsidRPr="00590668" w:rsidRDefault="00590668">
      <w:pPr>
        <w:pStyle w:val="FootnoteText"/>
        <w:rPr>
          <w:lang w:val="en-AU"/>
        </w:rPr>
      </w:pPr>
      <w:r>
        <w:rPr>
          <w:rStyle w:val="FootnoteReference"/>
        </w:rPr>
        <w:footnoteRef/>
      </w:r>
      <w:r>
        <w:t xml:space="preserve"> </w:t>
      </w:r>
      <w:r>
        <w:rPr>
          <w:lang w:val="en-AU"/>
        </w:rPr>
        <w:t xml:space="preserve">Costs are likely to change over time, for example </w:t>
      </w:r>
      <w:r w:rsidR="00ED3429">
        <w:rPr>
          <w:lang w:val="en-AU"/>
        </w:rPr>
        <w:t xml:space="preserve">an </w:t>
      </w:r>
      <w:r>
        <w:rPr>
          <w:lang w:val="en-AU"/>
        </w:rPr>
        <w:t xml:space="preserve">increase </w:t>
      </w:r>
      <w:r w:rsidR="00ED3429">
        <w:rPr>
          <w:lang w:val="en-AU"/>
        </w:rPr>
        <w:t xml:space="preserve">would be likely </w:t>
      </w:r>
      <w:r>
        <w:rPr>
          <w:lang w:val="en-AU"/>
        </w:rPr>
        <w:t xml:space="preserve">due to wage increases under </w:t>
      </w:r>
      <w:r w:rsidR="00C74B35">
        <w:rPr>
          <w:lang w:val="en-AU"/>
        </w:rPr>
        <w:t xml:space="preserve">Victorian </w:t>
      </w:r>
      <w:r w:rsidR="00C74B35" w:rsidRPr="00C74B35">
        <w:rPr>
          <w:lang w:val="en-AU"/>
        </w:rPr>
        <w:t>Public Service Enterprise Agreemen</w:t>
      </w:r>
      <w:r w:rsidR="00C74B35">
        <w:rPr>
          <w:lang w:val="en-AU"/>
        </w:rPr>
        <w:t xml:space="preserve">ts. </w:t>
      </w:r>
      <w:r w:rsidR="006D7C1E">
        <w:rPr>
          <w:lang w:val="en-AU"/>
        </w:rPr>
        <w:t xml:space="preserve">The indexation of fee units by the Treasurer </w:t>
      </w:r>
      <w:r w:rsidR="005F5DC2">
        <w:rPr>
          <w:lang w:val="en-AU"/>
        </w:rPr>
        <w:t xml:space="preserve">is intended to increase fees in line with </w:t>
      </w:r>
      <w:r w:rsidR="00FE70C4">
        <w:rPr>
          <w:lang w:val="en-AU"/>
        </w:rPr>
        <w:t xml:space="preserve">inflation so that </w:t>
      </w:r>
      <w:r w:rsidR="00822AAB">
        <w:rPr>
          <w:lang w:val="en-AU"/>
        </w:rPr>
        <w:t xml:space="preserve">fees do not decrease in real terms </w:t>
      </w:r>
      <w:r w:rsidR="00D7167A">
        <w:rPr>
          <w:lang w:val="en-AU"/>
        </w:rPr>
        <w:t>(see section 10.4).</w:t>
      </w:r>
    </w:p>
  </w:footnote>
  <w:footnote w:id="110">
    <w:p w14:paraId="660F7AD8" w14:textId="77777777" w:rsidR="00694FE1" w:rsidRPr="00AE2E1E" w:rsidRDefault="00694FE1" w:rsidP="00694FE1">
      <w:pPr>
        <w:pStyle w:val="FootnoteText"/>
        <w:rPr>
          <w:lang w:val="en-AU"/>
        </w:rPr>
      </w:pPr>
      <w:r>
        <w:rPr>
          <w:rStyle w:val="FootnoteReference"/>
        </w:rPr>
        <w:footnoteRef/>
      </w:r>
      <w:r>
        <w:t xml:space="preserve"> </w:t>
      </w:r>
      <w:r>
        <w:rPr>
          <w:lang w:val="en-AU"/>
        </w:rPr>
        <w:t>Victoria Government Gazette No. S 256 23 May 2023.</w:t>
      </w:r>
    </w:p>
  </w:footnote>
  <w:footnote w:id="111">
    <w:p w14:paraId="4538D837" w14:textId="3D2ECE5D" w:rsidR="0081336A" w:rsidRPr="0081336A" w:rsidRDefault="0081336A">
      <w:pPr>
        <w:pStyle w:val="FootnoteText"/>
        <w:rPr>
          <w:lang w:val="en-AU"/>
        </w:rPr>
      </w:pPr>
      <w:r>
        <w:rPr>
          <w:rStyle w:val="FootnoteReference"/>
        </w:rPr>
        <w:footnoteRef/>
      </w:r>
      <w:r>
        <w:t xml:space="preserve"> </w:t>
      </w:r>
      <w:r>
        <w:rPr>
          <w:lang w:val="en-AU"/>
        </w:rPr>
        <w:t xml:space="preserve">Different scenarios could be modelled. This modelled example is where there is </w:t>
      </w:r>
      <w:r w:rsidR="00286D72">
        <w:rPr>
          <w:lang w:val="en-AU"/>
        </w:rPr>
        <w:t xml:space="preserve">150% increase for all AIP applications and registration and renewal application for HSEs with 100 beds of more, but zero </w:t>
      </w:r>
      <w:r w:rsidR="00BA25DC">
        <w:rPr>
          <w:lang w:val="en-AU"/>
        </w:rPr>
        <w:t>increase for other fees.</w:t>
      </w:r>
      <w:r>
        <w:rPr>
          <w:lang w:val="en-AU"/>
        </w:rPr>
        <w:t xml:space="preserve"> </w:t>
      </w:r>
    </w:p>
  </w:footnote>
  <w:footnote w:id="112">
    <w:p w14:paraId="7AE8A02F" w14:textId="08C92D41" w:rsidR="00694FE1" w:rsidRPr="00843A8F" w:rsidRDefault="00694FE1" w:rsidP="00694FE1">
      <w:pPr>
        <w:pStyle w:val="FootnoteText"/>
        <w:rPr>
          <w:rFonts w:cstheme="minorHAnsi"/>
          <w:szCs w:val="18"/>
          <w:lang w:val="en-AU"/>
        </w:rPr>
      </w:pPr>
      <w:r w:rsidRPr="00843A8F">
        <w:rPr>
          <w:rStyle w:val="FootnoteReference"/>
          <w:rFonts w:cstheme="minorHAnsi"/>
          <w:szCs w:val="18"/>
        </w:rPr>
        <w:footnoteRef/>
      </w:r>
      <w:r w:rsidRPr="00843A8F">
        <w:rPr>
          <w:rFonts w:cstheme="minorHAnsi"/>
          <w:szCs w:val="18"/>
        </w:rPr>
        <w:t xml:space="preserve"> </w:t>
      </w:r>
      <w:r w:rsidRPr="009F628F">
        <w:rPr>
          <w:rFonts w:cstheme="minorHAnsi"/>
          <w:szCs w:val="18"/>
        </w:rPr>
        <w:t>Private Health Facilities Regulation 2016</w:t>
      </w:r>
      <w:r w:rsidR="009F628F">
        <w:rPr>
          <w:rFonts w:cstheme="minorHAnsi"/>
          <w:szCs w:val="18"/>
        </w:rPr>
        <w:t>.</w:t>
      </w:r>
    </w:p>
  </w:footnote>
  <w:footnote w:id="113">
    <w:p w14:paraId="4956249C" w14:textId="28D9C452" w:rsidR="00694FE1" w:rsidRPr="001E347D" w:rsidRDefault="00694FE1" w:rsidP="00694FE1">
      <w:pPr>
        <w:pStyle w:val="FootnoteText"/>
        <w:rPr>
          <w:rStyle w:val="FootnoteReference"/>
          <w:vertAlign w:val="baseline"/>
        </w:rPr>
      </w:pPr>
      <w:r w:rsidRPr="00843A8F">
        <w:rPr>
          <w:rStyle w:val="FootnoteReference"/>
          <w:rFonts w:cstheme="minorHAnsi"/>
          <w:szCs w:val="18"/>
        </w:rPr>
        <w:footnoteRef/>
      </w:r>
      <w:r w:rsidRPr="001E347D">
        <w:rPr>
          <w:rStyle w:val="FootnoteReference"/>
        </w:rPr>
        <w:t xml:space="preserve"> </w:t>
      </w:r>
      <w:r w:rsidRPr="001E347D">
        <w:rPr>
          <w:rStyle w:val="FootnoteReference"/>
          <w:vertAlign w:val="baseline"/>
        </w:rPr>
        <w:t>Private Hospitals (Licensing and Conduct of Private Hospitals) Regulations 1987</w:t>
      </w:r>
      <w:r w:rsidR="009F628F" w:rsidRPr="001E347D">
        <w:rPr>
          <w:rStyle w:val="FootnoteReference"/>
          <w:vertAlign w:val="baseline"/>
        </w:rPr>
        <w:t>.</w:t>
      </w:r>
    </w:p>
  </w:footnote>
  <w:footnote w:id="114">
    <w:p w14:paraId="08C74021" w14:textId="454D4FFC" w:rsidR="00694FE1" w:rsidRPr="007E0884" w:rsidRDefault="00694FE1" w:rsidP="001E347D">
      <w:pPr>
        <w:pStyle w:val="FootnoteText"/>
        <w:rPr>
          <w:rFonts w:eastAsia="Times New Roman"/>
          <w:color w:val="000000"/>
          <w:kern w:val="36"/>
          <w:szCs w:val="18"/>
          <w:lang w:val="en-AU" w:eastAsia="en-AU"/>
        </w:rPr>
      </w:pPr>
      <w:r w:rsidRPr="009407B5">
        <w:rPr>
          <w:rStyle w:val="FootnoteReference"/>
          <w:rFonts w:cstheme="minorHAnsi"/>
          <w:szCs w:val="18"/>
        </w:rPr>
        <w:footnoteRef/>
      </w:r>
      <w:r w:rsidRPr="001E347D">
        <w:rPr>
          <w:rStyle w:val="FootnoteReference"/>
          <w:rFonts w:cstheme="minorHAnsi"/>
          <w:szCs w:val="18"/>
          <w:vertAlign w:val="baseline"/>
        </w:rPr>
        <w:t xml:space="preserve"> </w:t>
      </w:r>
      <w:r w:rsidRPr="001E347D">
        <w:rPr>
          <w:rStyle w:val="FootnoteReference"/>
          <w:vertAlign w:val="baseline"/>
        </w:rPr>
        <w:t>Private Health Facilities Regulation 2017</w:t>
      </w:r>
      <w:r w:rsidR="009F628F" w:rsidRPr="001E347D">
        <w:rPr>
          <w:rStyle w:val="FootnoteReference"/>
          <w:vertAlign w:val="baseline"/>
        </w:rPr>
        <w:t>.</w:t>
      </w:r>
    </w:p>
  </w:footnote>
  <w:footnote w:id="115">
    <w:p w14:paraId="5EF3E217" w14:textId="6F51066F" w:rsidR="00694FE1" w:rsidRPr="008E3FD8" w:rsidRDefault="00694FE1" w:rsidP="00694FE1">
      <w:pPr>
        <w:pStyle w:val="FootnoteText"/>
        <w:rPr>
          <w:lang w:val="en-AU"/>
        </w:rPr>
      </w:pPr>
      <w:r w:rsidRPr="00843A8F">
        <w:rPr>
          <w:rStyle w:val="FootnoteReference"/>
          <w:rFonts w:cstheme="minorHAnsi"/>
          <w:szCs w:val="18"/>
        </w:rPr>
        <w:footnoteRef/>
      </w:r>
      <w:r>
        <w:rPr>
          <w:lang w:val="en-AU"/>
        </w:rPr>
        <w:t xml:space="preserve"> </w:t>
      </w:r>
      <w:r w:rsidRPr="00D17AEF">
        <w:rPr>
          <w:lang w:val="en-AU"/>
        </w:rPr>
        <w:t>Private hospitals licensed under Part 10 of the Health Care Act 2008</w:t>
      </w:r>
      <w:r>
        <w:rPr>
          <w:lang w:val="en-AU"/>
        </w:rPr>
        <w:t xml:space="preserve"> and </w:t>
      </w:r>
      <w:r w:rsidRPr="00D17AEF">
        <w:rPr>
          <w:lang w:val="en-AU"/>
        </w:rPr>
        <w:t>Private day procedure centres</w:t>
      </w:r>
      <w:r w:rsidR="009F628F">
        <w:rPr>
          <w:lang w:val="en-AU"/>
        </w:rPr>
        <w:t xml:space="preserve"> </w:t>
      </w:r>
      <w:r w:rsidRPr="00D17AEF">
        <w:rPr>
          <w:lang w:val="en-AU"/>
        </w:rPr>
        <w:t>licensed under Part 10A of the Health Care Act 2008</w:t>
      </w:r>
      <w:r>
        <w:rPr>
          <w:lang w:val="en-AU"/>
        </w:rPr>
        <w:t>.</w:t>
      </w:r>
    </w:p>
  </w:footnote>
  <w:footnote w:id="116">
    <w:p w14:paraId="4D357DB9" w14:textId="77777777" w:rsidR="00694FE1" w:rsidRPr="0013425C" w:rsidRDefault="00694FE1" w:rsidP="00694FE1">
      <w:pPr>
        <w:pStyle w:val="FootnoteText"/>
        <w:rPr>
          <w:lang w:val="en-AU"/>
        </w:rPr>
      </w:pPr>
      <w:r>
        <w:rPr>
          <w:rStyle w:val="FootnoteReference"/>
        </w:rPr>
        <w:footnoteRef/>
      </w:r>
      <w:r>
        <w:t xml:space="preserve"> </w:t>
      </w:r>
      <w:r>
        <w:rPr>
          <w:lang w:val="en-AU"/>
        </w:rPr>
        <w:t>Licence application fee and fee for grant of licence.</w:t>
      </w:r>
    </w:p>
  </w:footnote>
  <w:footnote w:id="117">
    <w:p w14:paraId="61E0150C" w14:textId="4A33378C" w:rsidR="00D15FBE" w:rsidRPr="00AA1229" w:rsidRDefault="00D15FBE">
      <w:pPr>
        <w:pStyle w:val="FootnoteText"/>
        <w:rPr>
          <w:sz w:val="16"/>
          <w:szCs w:val="16"/>
          <w:lang w:val="en-AU"/>
        </w:rPr>
      </w:pPr>
      <w:r w:rsidRPr="00AA1229">
        <w:rPr>
          <w:rStyle w:val="FootnoteReference"/>
          <w:sz w:val="16"/>
          <w:szCs w:val="16"/>
        </w:rPr>
        <w:footnoteRef/>
      </w:r>
      <w:r w:rsidRPr="00AA1229">
        <w:rPr>
          <w:sz w:val="16"/>
          <w:szCs w:val="16"/>
        </w:rPr>
        <w:t xml:space="preserve"> </w:t>
      </w:r>
      <w:r w:rsidR="00AA1229" w:rsidRPr="00AA1229">
        <w:rPr>
          <w:sz w:val="16"/>
          <w:szCs w:val="16"/>
        </w:rPr>
        <w:t>https://www.dtf.vic.gov.au/reducing-regulatory-burden/regulatory-change-measurement-manual.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A649" w14:textId="6EE73D22" w:rsidR="00AE1BD4" w:rsidRDefault="0014577D" w:rsidP="00A659D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F5B2" w14:textId="77777777" w:rsidR="00566167" w:rsidRPr="0097741D" w:rsidRDefault="007B7D3A" w:rsidP="00A659D0">
    <w:r w:rsidRPr="00671F44">
      <w:rPr>
        <w:noProof/>
        <w:lang w:eastAsia="en-NZ"/>
      </w:rPr>
      <w:drawing>
        <wp:anchor distT="0" distB="0" distL="114300" distR="114300" simplePos="0" relativeHeight="251658240" behindDoc="0" locked="0" layoutInCell="1" allowOverlap="1" wp14:anchorId="125B195B" wp14:editId="4BE865EA">
          <wp:simplePos x="0" y="0"/>
          <wp:positionH relativeFrom="margin">
            <wp:posOffset>4411980</wp:posOffset>
          </wp:positionH>
          <wp:positionV relativeFrom="paragraph">
            <wp:posOffset>-5080</wp:posOffset>
          </wp:positionV>
          <wp:extent cx="1327785" cy="406400"/>
          <wp:effectExtent l="0" t="0" r="5715"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AppData\Local\Microsoft\Windows\INetCache\Content.Outlook\N6NTDJPR\Sapere_valuation_RGB_lg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7785" cy="40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EB54" w14:textId="0BF36654" w:rsidR="000B46A6" w:rsidRPr="0097741D" w:rsidRDefault="000B46A6" w:rsidP="00A65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ECDF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0E10"/>
    <w:multiLevelType w:val="hybridMultilevel"/>
    <w:tmpl w:val="3628096E"/>
    <w:lvl w:ilvl="0" w:tplc="0C09000F">
      <w:start w:val="1"/>
      <w:numFmt w:val="decimal"/>
      <w:lvlText w:val="%1."/>
      <w:lvlJc w:val="left"/>
      <w:pPr>
        <w:ind w:left="720" w:hanging="360"/>
      </w:pPr>
      <w:rPr>
        <w:rFonts w:hint="default"/>
        <w:color w:val="7B5E0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524F01"/>
    <w:multiLevelType w:val="hybridMultilevel"/>
    <w:tmpl w:val="47167E0E"/>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652366"/>
    <w:multiLevelType w:val="hybridMultilevel"/>
    <w:tmpl w:val="81E47F80"/>
    <w:lvl w:ilvl="0" w:tplc="C81EDF10">
      <w:start w:val="1"/>
      <w:numFmt w:val="bullet"/>
      <w:lvlText w:val=""/>
      <w:lvlJc w:val="left"/>
      <w:pPr>
        <w:ind w:left="720" w:hanging="360"/>
      </w:pPr>
      <w:rPr>
        <w:rFonts w:ascii="Symbol" w:hAnsi="Symbol"/>
      </w:rPr>
    </w:lvl>
    <w:lvl w:ilvl="1" w:tplc="EEE67F36">
      <w:start w:val="1"/>
      <w:numFmt w:val="bullet"/>
      <w:lvlText w:val=""/>
      <w:lvlJc w:val="left"/>
      <w:pPr>
        <w:ind w:left="720" w:hanging="360"/>
      </w:pPr>
      <w:rPr>
        <w:rFonts w:ascii="Symbol" w:hAnsi="Symbol"/>
      </w:rPr>
    </w:lvl>
    <w:lvl w:ilvl="2" w:tplc="CBDE8FF0">
      <w:start w:val="1"/>
      <w:numFmt w:val="bullet"/>
      <w:lvlText w:val=""/>
      <w:lvlJc w:val="left"/>
      <w:pPr>
        <w:ind w:left="720" w:hanging="360"/>
      </w:pPr>
      <w:rPr>
        <w:rFonts w:ascii="Symbol" w:hAnsi="Symbol"/>
      </w:rPr>
    </w:lvl>
    <w:lvl w:ilvl="3" w:tplc="92544916">
      <w:start w:val="1"/>
      <w:numFmt w:val="bullet"/>
      <w:lvlText w:val=""/>
      <w:lvlJc w:val="left"/>
      <w:pPr>
        <w:ind w:left="720" w:hanging="360"/>
      </w:pPr>
      <w:rPr>
        <w:rFonts w:ascii="Symbol" w:hAnsi="Symbol"/>
      </w:rPr>
    </w:lvl>
    <w:lvl w:ilvl="4" w:tplc="28665070">
      <w:start w:val="1"/>
      <w:numFmt w:val="bullet"/>
      <w:lvlText w:val=""/>
      <w:lvlJc w:val="left"/>
      <w:pPr>
        <w:ind w:left="720" w:hanging="360"/>
      </w:pPr>
      <w:rPr>
        <w:rFonts w:ascii="Symbol" w:hAnsi="Symbol"/>
      </w:rPr>
    </w:lvl>
    <w:lvl w:ilvl="5" w:tplc="38B28456">
      <w:start w:val="1"/>
      <w:numFmt w:val="bullet"/>
      <w:lvlText w:val=""/>
      <w:lvlJc w:val="left"/>
      <w:pPr>
        <w:ind w:left="720" w:hanging="360"/>
      </w:pPr>
      <w:rPr>
        <w:rFonts w:ascii="Symbol" w:hAnsi="Symbol"/>
      </w:rPr>
    </w:lvl>
    <w:lvl w:ilvl="6" w:tplc="57ACED56">
      <w:start w:val="1"/>
      <w:numFmt w:val="bullet"/>
      <w:lvlText w:val=""/>
      <w:lvlJc w:val="left"/>
      <w:pPr>
        <w:ind w:left="720" w:hanging="360"/>
      </w:pPr>
      <w:rPr>
        <w:rFonts w:ascii="Symbol" w:hAnsi="Symbol"/>
      </w:rPr>
    </w:lvl>
    <w:lvl w:ilvl="7" w:tplc="AA5AC28C">
      <w:start w:val="1"/>
      <w:numFmt w:val="bullet"/>
      <w:lvlText w:val=""/>
      <w:lvlJc w:val="left"/>
      <w:pPr>
        <w:ind w:left="720" w:hanging="360"/>
      </w:pPr>
      <w:rPr>
        <w:rFonts w:ascii="Symbol" w:hAnsi="Symbol"/>
      </w:rPr>
    </w:lvl>
    <w:lvl w:ilvl="8" w:tplc="25B4ECEA">
      <w:start w:val="1"/>
      <w:numFmt w:val="bullet"/>
      <w:lvlText w:val=""/>
      <w:lvlJc w:val="left"/>
      <w:pPr>
        <w:ind w:left="720" w:hanging="360"/>
      </w:pPr>
      <w:rPr>
        <w:rFonts w:ascii="Symbol" w:hAnsi="Symbol"/>
      </w:rPr>
    </w:lvl>
  </w:abstractNum>
  <w:abstractNum w:abstractNumId="4" w15:restartNumberingAfterBreak="0">
    <w:nsid w:val="02FA4E78"/>
    <w:multiLevelType w:val="hybridMultilevel"/>
    <w:tmpl w:val="D4D0B41C"/>
    <w:lvl w:ilvl="0" w:tplc="32B0DA1E">
      <w:start w:val="1"/>
      <w:numFmt w:val="decimal"/>
      <w:lvlText w:val="%1."/>
      <w:lvlJc w:val="left"/>
      <w:pPr>
        <w:ind w:left="720" w:hanging="360"/>
      </w:pPr>
      <w:rPr>
        <w:rFonts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4047F4"/>
    <w:multiLevelType w:val="hybridMultilevel"/>
    <w:tmpl w:val="84F424A4"/>
    <w:lvl w:ilvl="0" w:tplc="FFFFFFFF">
      <w:start w:val="1"/>
      <w:numFmt w:val="bullet"/>
      <w:lvlText w:val=""/>
      <w:lvlJc w:val="left"/>
      <w:pPr>
        <w:ind w:left="720" w:hanging="360"/>
      </w:pPr>
      <w:rPr>
        <w:rFonts w:ascii="Symbol" w:hAnsi="Symbol" w:hint="default"/>
        <w:color w:val="7B5E05" w:themeColor="accent1"/>
      </w:rPr>
    </w:lvl>
    <w:lvl w:ilvl="1" w:tplc="EF52B0D2">
      <w:start w:val="1"/>
      <w:numFmt w:val="bullet"/>
      <w:lvlText w:val="o"/>
      <w:lvlJc w:val="left"/>
      <w:pPr>
        <w:ind w:left="1440" w:hanging="360"/>
      </w:pPr>
      <w:rPr>
        <w:rFonts w:ascii="Courier New" w:hAnsi="Courier New" w:cs="Courier New" w:hint="default"/>
        <w:color w:val="808080" w:themeColor="background1" w:themeShade="8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5F1ADF"/>
    <w:multiLevelType w:val="hybridMultilevel"/>
    <w:tmpl w:val="73C0268A"/>
    <w:lvl w:ilvl="0" w:tplc="41944CA0">
      <w:numFmt w:val="bullet"/>
      <w:lvlText w:val="-"/>
      <w:lvlJc w:val="left"/>
      <w:pPr>
        <w:ind w:left="720" w:hanging="360"/>
      </w:pPr>
      <w:rPr>
        <w:rFonts w:ascii="Segoe UI" w:eastAsiaTheme="minorHAnsi" w:hAnsi="Segoe UI" w:cs="Segoe UI" w:hint="default"/>
        <w:color w:val="7B5E0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BA4AF1"/>
    <w:multiLevelType w:val="hybridMultilevel"/>
    <w:tmpl w:val="9614E8C6"/>
    <w:lvl w:ilvl="0" w:tplc="07DAB3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2E1876"/>
    <w:multiLevelType w:val="hybridMultilevel"/>
    <w:tmpl w:val="2C2CDE66"/>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4933FA"/>
    <w:multiLevelType w:val="hybridMultilevel"/>
    <w:tmpl w:val="B98CB44A"/>
    <w:lvl w:ilvl="0" w:tplc="0C09000F">
      <w:start w:val="1"/>
      <w:numFmt w:val="decimal"/>
      <w:lvlText w:val="%1."/>
      <w:lvlJc w:val="left"/>
      <w:pPr>
        <w:ind w:left="720" w:hanging="360"/>
      </w:pPr>
      <w:rPr>
        <w:rFonts w:hint="default"/>
        <w:color w:val="7B5E0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630210"/>
    <w:multiLevelType w:val="multilevel"/>
    <w:tmpl w:val="1409001D"/>
    <w:styleLink w:val="Cap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0444F6"/>
    <w:multiLevelType w:val="hybridMultilevel"/>
    <w:tmpl w:val="B7025CA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B40269"/>
    <w:multiLevelType w:val="hybridMultilevel"/>
    <w:tmpl w:val="2B20F4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78488F"/>
    <w:multiLevelType w:val="hybridMultilevel"/>
    <w:tmpl w:val="CDFCBDBA"/>
    <w:lvl w:ilvl="0" w:tplc="2598A684">
      <w:start w:val="1"/>
      <w:numFmt w:val="bullet"/>
      <w:lvlText w:val=""/>
      <w:lvlJc w:val="left"/>
      <w:pPr>
        <w:ind w:left="720" w:hanging="360"/>
      </w:pPr>
      <w:rPr>
        <w:rFonts w:ascii="Symbol" w:hAnsi="Symbol"/>
      </w:rPr>
    </w:lvl>
    <w:lvl w:ilvl="1" w:tplc="95CE78A2">
      <w:start w:val="1"/>
      <w:numFmt w:val="bullet"/>
      <w:lvlText w:val=""/>
      <w:lvlJc w:val="left"/>
      <w:pPr>
        <w:ind w:left="720" w:hanging="360"/>
      </w:pPr>
      <w:rPr>
        <w:rFonts w:ascii="Symbol" w:hAnsi="Symbol"/>
      </w:rPr>
    </w:lvl>
    <w:lvl w:ilvl="2" w:tplc="7BE0D47C">
      <w:start w:val="1"/>
      <w:numFmt w:val="bullet"/>
      <w:lvlText w:val=""/>
      <w:lvlJc w:val="left"/>
      <w:pPr>
        <w:ind w:left="720" w:hanging="360"/>
      </w:pPr>
      <w:rPr>
        <w:rFonts w:ascii="Symbol" w:hAnsi="Symbol"/>
      </w:rPr>
    </w:lvl>
    <w:lvl w:ilvl="3" w:tplc="4AB8CC0A">
      <w:start w:val="1"/>
      <w:numFmt w:val="bullet"/>
      <w:lvlText w:val=""/>
      <w:lvlJc w:val="left"/>
      <w:pPr>
        <w:ind w:left="720" w:hanging="360"/>
      </w:pPr>
      <w:rPr>
        <w:rFonts w:ascii="Symbol" w:hAnsi="Symbol"/>
      </w:rPr>
    </w:lvl>
    <w:lvl w:ilvl="4" w:tplc="18BA1686">
      <w:start w:val="1"/>
      <w:numFmt w:val="bullet"/>
      <w:lvlText w:val=""/>
      <w:lvlJc w:val="left"/>
      <w:pPr>
        <w:ind w:left="720" w:hanging="360"/>
      </w:pPr>
      <w:rPr>
        <w:rFonts w:ascii="Symbol" w:hAnsi="Symbol"/>
      </w:rPr>
    </w:lvl>
    <w:lvl w:ilvl="5" w:tplc="80BE9E2C">
      <w:start w:val="1"/>
      <w:numFmt w:val="bullet"/>
      <w:lvlText w:val=""/>
      <w:lvlJc w:val="left"/>
      <w:pPr>
        <w:ind w:left="720" w:hanging="360"/>
      </w:pPr>
      <w:rPr>
        <w:rFonts w:ascii="Symbol" w:hAnsi="Symbol"/>
      </w:rPr>
    </w:lvl>
    <w:lvl w:ilvl="6" w:tplc="A230BB68">
      <w:start w:val="1"/>
      <w:numFmt w:val="bullet"/>
      <w:lvlText w:val=""/>
      <w:lvlJc w:val="left"/>
      <w:pPr>
        <w:ind w:left="720" w:hanging="360"/>
      </w:pPr>
      <w:rPr>
        <w:rFonts w:ascii="Symbol" w:hAnsi="Symbol"/>
      </w:rPr>
    </w:lvl>
    <w:lvl w:ilvl="7" w:tplc="F7D0B194">
      <w:start w:val="1"/>
      <w:numFmt w:val="bullet"/>
      <w:lvlText w:val=""/>
      <w:lvlJc w:val="left"/>
      <w:pPr>
        <w:ind w:left="720" w:hanging="360"/>
      </w:pPr>
      <w:rPr>
        <w:rFonts w:ascii="Symbol" w:hAnsi="Symbol"/>
      </w:rPr>
    </w:lvl>
    <w:lvl w:ilvl="8" w:tplc="18780376">
      <w:start w:val="1"/>
      <w:numFmt w:val="bullet"/>
      <w:lvlText w:val=""/>
      <w:lvlJc w:val="left"/>
      <w:pPr>
        <w:ind w:left="720" w:hanging="360"/>
      </w:pPr>
      <w:rPr>
        <w:rFonts w:ascii="Symbol" w:hAnsi="Symbol"/>
      </w:rPr>
    </w:lvl>
  </w:abstractNum>
  <w:abstractNum w:abstractNumId="14" w15:restartNumberingAfterBreak="0">
    <w:nsid w:val="0B85122E"/>
    <w:multiLevelType w:val="hybridMultilevel"/>
    <w:tmpl w:val="91F28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830AF4"/>
    <w:multiLevelType w:val="hybridMultilevel"/>
    <w:tmpl w:val="B47C86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E120A6B"/>
    <w:multiLevelType w:val="hybridMultilevel"/>
    <w:tmpl w:val="D6260978"/>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E829D9"/>
    <w:multiLevelType w:val="hybridMultilevel"/>
    <w:tmpl w:val="729E7350"/>
    <w:lvl w:ilvl="0" w:tplc="C1E4BEC0">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42C67"/>
    <w:multiLevelType w:val="hybridMultilevel"/>
    <w:tmpl w:val="49967FC4"/>
    <w:lvl w:ilvl="0" w:tplc="FFFFFFFF">
      <w:start w:val="1"/>
      <w:numFmt w:val="bullet"/>
      <w:lvlText w:val=""/>
      <w:lvlJc w:val="left"/>
      <w:pPr>
        <w:ind w:left="720" w:hanging="360"/>
      </w:pPr>
      <w:rPr>
        <w:rFonts w:ascii="Symbol" w:hAnsi="Symbol" w:hint="default"/>
        <w:color w:val="7B5E05" w:themeColor="accent1"/>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7B24057"/>
    <w:multiLevelType w:val="hybridMultilevel"/>
    <w:tmpl w:val="FF809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ACC1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3B30FC"/>
    <w:multiLevelType w:val="hybridMultilevel"/>
    <w:tmpl w:val="F3384008"/>
    <w:lvl w:ilvl="0" w:tplc="076CF912">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98D7471"/>
    <w:multiLevelType w:val="hybridMultilevel"/>
    <w:tmpl w:val="D1425166"/>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EF5817"/>
    <w:multiLevelType w:val="hybridMultilevel"/>
    <w:tmpl w:val="75BC52E6"/>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E1118B"/>
    <w:multiLevelType w:val="hybridMultilevel"/>
    <w:tmpl w:val="53C65672"/>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610D6C"/>
    <w:multiLevelType w:val="hybridMultilevel"/>
    <w:tmpl w:val="58D8F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0F21DF9"/>
    <w:multiLevelType w:val="hybridMultilevel"/>
    <w:tmpl w:val="A96AB55E"/>
    <w:lvl w:ilvl="0" w:tplc="EE749B2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21F2925"/>
    <w:multiLevelType w:val="hybridMultilevel"/>
    <w:tmpl w:val="0F7AF706"/>
    <w:lvl w:ilvl="0" w:tplc="065418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D50932"/>
    <w:multiLevelType w:val="hybridMultilevel"/>
    <w:tmpl w:val="D60E5DAE"/>
    <w:lvl w:ilvl="0" w:tplc="45229C10">
      <w:start w:val="1"/>
      <w:numFmt w:val="bullet"/>
      <w:lvlText w:val=""/>
      <w:lvlJc w:val="left"/>
      <w:pPr>
        <w:ind w:left="720" w:hanging="360"/>
      </w:pPr>
      <w:rPr>
        <w:rFonts w:ascii="Symbol" w:hAnsi="Symbol"/>
      </w:rPr>
    </w:lvl>
    <w:lvl w:ilvl="1" w:tplc="B34C047C">
      <w:start w:val="1"/>
      <w:numFmt w:val="bullet"/>
      <w:lvlText w:val=""/>
      <w:lvlJc w:val="left"/>
      <w:pPr>
        <w:ind w:left="720" w:hanging="360"/>
      </w:pPr>
      <w:rPr>
        <w:rFonts w:ascii="Symbol" w:hAnsi="Symbol"/>
      </w:rPr>
    </w:lvl>
    <w:lvl w:ilvl="2" w:tplc="43F6B2D6">
      <w:start w:val="1"/>
      <w:numFmt w:val="bullet"/>
      <w:lvlText w:val=""/>
      <w:lvlJc w:val="left"/>
      <w:pPr>
        <w:ind w:left="720" w:hanging="360"/>
      </w:pPr>
      <w:rPr>
        <w:rFonts w:ascii="Symbol" w:hAnsi="Symbol"/>
      </w:rPr>
    </w:lvl>
    <w:lvl w:ilvl="3" w:tplc="403A6DBC">
      <w:start w:val="1"/>
      <w:numFmt w:val="bullet"/>
      <w:lvlText w:val=""/>
      <w:lvlJc w:val="left"/>
      <w:pPr>
        <w:ind w:left="720" w:hanging="360"/>
      </w:pPr>
      <w:rPr>
        <w:rFonts w:ascii="Symbol" w:hAnsi="Symbol"/>
      </w:rPr>
    </w:lvl>
    <w:lvl w:ilvl="4" w:tplc="34202A8A">
      <w:start w:val="1"/>
      <w:numFmt w:val="bullet"/>
      <w:lvlText w:val=""/>
      <w:lvlJc w:val="left"/>
      <w:pPr>
        <w:ind w:left="720" w:hanging="360"/>
      </w:pPr>
      <w:rPr>
        <w:rFonts w:ascii="Symbol" w:hAnsi="Symbol"/>
      </w:rPr>
    </w:lvl>
    <w:lvl w:ilvl="5" w:tplc="72047A18">
      <w:start w:val="1"/>
      <w:numFmt w:val="bullet"/>
      <w:lvlText w:val=""/>
      <w:lvlJc w:val="left"/>
      <w:pPr>
        <w:ind w:left="720" w:hanging="360"/>
      </w:pPr>
      <w:rPr>
        <w:rFonts w:ascii="Symbol" w:hAnsi="Symbol"/>
      </w:rPr>
    </w:lvl>
    <w:lvl w:ilvl="6" w:tplc="779C4204">
      <w:start w:val="1"/>
      <w:numFmt w:val="bullet"/>
      <w:lvlText w:val=""/>
      <w:lvlJc w:val="left"/>
      <w:pPr>
        <w:ind w:left="720" w:hanging="360"/>
      </w:pPr>
      <w:rPr>
        <w:rFonts w:ascii="Symbol" w:hAnsi="Symbol"/>
      </w:rPr>
    </w:lvl>
    <w:lvl w:ilvl="7" w:tplc="0D223E86">
      <w:start w:val="1"/>
      <w:numFmt w:val="bullet"/>
      <w:lvlText w:val=""/>
      <w:lvlJc w:val="left"/>
      <w:pPr>
        <w:ind w:left="720" w:hanging="360"/>
      </w:pPr>
      <w:rPr>
        <w:rFonts w:ascii="Symbol" w:hAnsi="Symbol"/>
      </w:rPr>
    </w:lvl>
    <w:lvl w:ilvl="8" w:tplc="28327DE2">
      <w:start w:val="1"/>
      <w:numFmt w:val="bullet"/>
      <w:lvlText w:val=""/>
      <w:lvlJc w:val="left"/>
      <w:pPr>
        <w:ind w:left="720" w:hanging="360"/>
      </w:pPr>
      <w:rPr>
        <w:rFonts w:ascii="Symbol" w:hAnsi="Symbol"/>
      </w:rPr>
    </w:lvl>
  </w:abstractNum>
  <w:abstractNum w:abstractNumId="29" w15:restartNumberingAfterBreak="0">
    <w:nsid w:val="243969C3"/>
    <w:multiLevelType w:val="hybridMultilevel"/>
    <w:tmpl w:val="50683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747D01"/>
    <w:multiLevelType w:val="hybridMultilevel"/>
    <w:tmpl w:val="BD8A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0341B5"/>
    <w:multiLevelType w:val="hybridMultilevel"/>
    <w:tmpl w:val="80362562"/>
    <w:lvl w:ilvl="0" w:tplc="7CF89AE0">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8FE59DE"/>
    <w:multiLevelType w:val="hybridMultilevel"/>
    <w:tmpl w:val="1EC02C40"/>
    <w:lvl w:ilvl="0" w:tplc="FFFFFFFF">
      <w:start w:val="1"/>
      <w:numFmt w:val="bullet"/>
      <w:lvlText w:val=""/>
      <w:lvlJc w:val="left"/>
      <w:pPr>
        <w:ind w:left="720" w:hanging="360"/>
      </w:pPr>
      <w:rPr>
        <w:rFonts w:ascii="Symbol" w:hAnsi="Symbol" w:hint="default"/>
        <w:color w:val="7B5E05" w:themeColor="accent1"/>
      </w:rPr>
    </w:lvl>
    <w:lvl w:ilvl="1" w:tplc="41944CA0">
      <w:numFmt w:val="bullet"/>
      <w:lvlText w:val="-"/>
      <w:lvlJc w:val="left"/>
      <w:pPr>
        <w:ind w:left="1800" w:hanging="360"/>
      </w:pPr>
      <w:rPr>
        <w:rFonts w:ascii="Segoe UI" w:eastAsiaTheme="minorHAnsi"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A35706D"/>
    <w:multiLevelType w:val="hybridMultilevel"/>
    <w:tmpl w:val="BAFA7CCA"/>
    <w:lvl w:ilvl="0" w:tplc="0C090001">
      <w:start w:val="1"/>
      <w:numFmt w:val="bullet"/>
      <w:lvlText w:val=""/>
      <w:lvlJc w:val="left"/>
      <w:pPr>
        <w:ind w:left="1501" w:hanging="360"/>
      </w:pPr>
      <w:rPr>
        <w:rFonts w:ascii="Symbol" w:hAnsi="Symbol" w:hint="default"/>
      </w:rPr>
    </w:lvl>
    <w:lvl w:ilvl="1" w:tplc="0C090003" w:tentative="1">
      <w:start w:val="1"/>
      <w:numFmt w:val="bullet"/>
      <w:lvlText w:val="o"/>
      <w:lvlJc w:val="left"/>
      <w:pPr>
        <w:ind w:left="2221" w:hanging="360"/>
      </w:pPr>
      <w:rPr>
        <w:rFonts w:ascii="Courier New" w:hAnsi="Courier New" w:cs="Courier New" w:hint="default"/>
      </w:rPr>
    </w:lvl>
    <w:lvl w:ilvl="2" w:tplc="0C090005" w:tentative="1">
      <w:start w:val="1"/>
      <w:numFmt w:val="bullet"/>
      <w:lvlText w:val=""/>
      <w:lvlJc w:val="left"/>
      <w:pPr>
        <w:ind w:left="2941" w:hanging="360"/>
      </w:pPr>
      <w:rPr>
        <w:rFonts w:ascii="Wingdings" w:hAnsi="Wingdings" w:hint="default"/>
      </w:rPr>
    </w:lvl>
    <w:lvl w:ilvl="3" w:tplc="0C090001" w:tentative="1">
      <w:start w:val="1"/>
      <w:numFmt w:val="bullet"/>
      <w:lvlText w:val=""/>
      <w:lvlJc w:val="left"/>
      <w:pPr>
        <w:ind w:left="3661" w:hanging="360"/>
      </w:pPr>
      <w:rPr>
        <w:rFonts w:ascii="Symbol" w:hAnsi="Symbol" w:hint="default"/>
      </w:rPr>
    </w:lvl>
    <w:lvl w:ilvl="4" w:tplc="0C090003" w:tentative="1">
      <w:start w:val="1"/>
      <w:numFmt w:val="bullet"/>
      <w:lvlText w:val="o"/>
      <w:lvlJc w:val="left"/>
      <w:pPr>
        <w:ind w:left="4381" w:hanging="360"/>
      </w:pPr>
      <w:rPr>
        <w:rFonts w:ascii="Courier New" w:hAnsi="Courier New" w:cs="Courier New" w:hint="default"/>
      </w:rPr>
    </w:lvl>
    <w:lvl w:ilvl="5" w:tplc="0C090005" w:tentative="1">
      <w:start w:val="1"/>
      <w:numFmt w:val="bullet"/>
      <w:lvlText w:val=""/>
      <w:lvlJc w:val="left"/>
      <w:pPr>
        <w:ind w:left="5101" w:hanging="360"/>
      </w:pPr>
      <w:rPr>
        <w:rFonts w:ascii="Wingdings" w:hAnsi="Wingdings" w:hint="default"/>
      </w:rPr>
    </w:lvl>
    <w:lvl w:ilvl="6" w:tplc="0C090001" w:tentative="1">
      <w:start w:val="1"/>
      <w:numFmt w:val="bullet"/>
      <w:lvlText w:val=""/>
      <w:lvlJc w:val="left"/>
      <w:pPr>
        <w:ind w:left="5821" w:hanging="360"/>
      </w:pPr>
      <w:rPr>
        <w:rFonts w:ascii="Symbol" w:hAnsi="Symbol" w:hint="default"/>
      </w:rPr>
    </w:lvl>
    <w:lvl w:ilvl="7" w:tplc="0C090003" w:tentative="1">
      <w:start w:val="1"/>
      <w:numFmt w:val="bullet"/>
      <w:lvlText w:val="o"/>
      <w:lvlJc w:val="left"/>
      <w:pPr>
        <w:ind w:left="6541" w:hanging="360"/>
      </w:pPr>
      <w:rPr>
        <w:rFonts w:ascii="Courier New" w:hAnsi="Courier New" w:cs="Courier New" w:hint="default"/>
      </w:rPr>
    </w:lvl>
    <w:lvl w:ilvl="8" w:tplc="0C090005" w:tentative="1">
      <w:start w:val="1"/>
      <w:numFmt w:val="bullet"/>
      <w:lvlText w:val=""/>
      <w:lvlJc w:val="left"/>
      <w:pPr>
        <w:ind w:left="7261" w:hanging="360"/>
      </w:pPr>
      <w:rPr>
        <w:rFonts w:ascii="Wingdings" w:hAnsi="Wingdings" w:hint="default"/>
      </w:rPr>
    </w:lvl>
  </w:abstractNum>
  <w:abstractNum w:abstractNumId="34" w15:restartNumberingAfterBreak="0">
    <w:nsid w:val="2CBD7AF1"/>
    <w:multiLevelType w:val="hybridMultilevel"/>
    <w:tmpl w:val="32E62624"/>
    <w:lvl w:ilvl="0" w:tplc="51220934">
      <w:start w:val="1"/>
      <w:numFmt w:val="decimal"/>
      <w:lvlText w:val="(%1)"/>
      <w:lvlJc w:val="left"/>
      <w:pPr>
        <w:ind w:left="360" w:hanging="360"/>
      </w:pPr>
      <w:rPr>
        <w:rFonts w:hint="default"/>
      </w:rPr>
    </w:lvl>
    <w:lvl w:ilvl="1" w:tplc="AB06BA72">
      <w:numFmt w:val="bullet"/>
      <w:lvlText w:val="·"/>
      <w:lvlJc w:val="left"/>
      <w:pPr>
        <w:ind w:left="1080" w:hanging="360"/>
      </w:pPr>
      <w:rPr>
        <w:rFonts w:ascii="Segoe UI" w:eastAsiaTheme="minorHAnsi" w:hAnsi="Segoe UI" w:cs="Segoe U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DB40844"/>
    <w:multiLevelType w:val="hybridMultilevel"/>
    <w:tmpl w:val="E5DA6866"/>
    <w:lvl w:ilvl="0" w:tplc="73EA3752">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AA3E9F"/>
    <w:multiLevelType w:val="hybridMultilevel"/>
    <w:tmpl w:val="3D66DB38"/>
    <w:lvl w:ilvl="0" w:tplc="43F6CB28">
      <w:start w:val="1"/>
      <w:numFmt w:val="bullet"/>
      <w:lvlText w:val=""/>
      <w:lvlJc w:val="left"/>
      <w:pPr>
        <w:ind w:left="1080" w:hanging="360"/>
      </w:pPr>
      <w:rPr>
        <w:rFonts w:ascii="Symbol" w:hAnsi="Symbol" w:hint="default"/>
        <w:color w:val="7B5E05"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2FC71446"/>
    <w:multiLevelType w:val="hybridMultilevel"/>
    <w:tmpl w:val="DD964542"/>
    <w:lvl w:ilvl="0" w:tplc="7C2C0BEA">
      <w:start w:val="1"/>
      <w:numFmt w:val="bullet"/>
      <w:lvlText w:val=""/>
      <w:lvlJc w:val="left"/>
      <w:pPr>
        <w:ind w:left="720" w:hanging="360"/>
      </w:pPr>
      <w:rPr>
        <w:rFonts w:ascii="Symbol" w:hAnsi="Symbol"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09D24DB"/>
    <w:multiLevelType w:val="hybridMultilevel"/>
    <w:tmpl w:val="CEBA309C"/>
    <w:lvl w:ilvl="0" w:tplc="32BE17BA">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2B61EA7"/>
    <w:multiLevelType w:val="hybridMultilevel"/>
    <w:tmpl w:val="5B567FDC"/>
    <w:lvl w:ilvl="0" w:tplc="889C4C78">
      <w:start w:val="1"/>
      <w:numFmt w:val="bullet"/>
      <w:lvlText w:val=""/>
      <w:lvlJc w:val="left"/>
      <w:pPr>
        <w:ind w:left="1080" w:hanging="360"/>
      </w:pPr>
      <w:rPr>
        <w:rFonts w:ascii="Symbol" w:hAnsi="Symbol"/>
      </w:rPr>
    </w:lvl>
    <w:lvl w:ilvl="1" w:tplc="302674A6">
      <w:start w:val="1"/>
      <w:numFmt w:val="bullet"/>
      <w:lvlText w:val=""/>
      <w:lvlJc w:val="left"/>
      <w:pPr>
        <w:ind w:left="1080" w:hanging="360"/>
      </w:pPr>
      <w:rPr>
        <w:rFonts w:ascii="Symbol" w:hAnsi="Symbol"/>
      </w:rPr>
    </w:lvl>
    <w:lvl w:ilvl="2" w:tplc="684CCCA0">
      <w:start w:val="1"/>
      <w:numFmt w:val="bullet"/>
      <w:lvlText w:val=""/>
      <w:lvlJc w:val="left"/>
      <w:pPr>
        <w:ind w:left="1080" w:hanging="360"/>
      </w:pPr>
      <w:rPr>
        <w:rFonts w:ascii="Symbol" w:hAnsi="Symbol"/>
      </w:rPr>
    </w:lvl>
    <w:lvl w:ilvl="3" w:tplc="9F8E8CD2">
      <w:start w:val="1"/>
      <w:numFmt w:val="bullet"/>
      <w:lvlText w:val=""/>
      <w:lvlJc w:val="left"/>
      <w:pPr>
        <w:ind w:left="1080" w:hanging="360"/>
      </w:pPr>
      <w:rPr>
        <w:rFonts w:ascii="Symbol" w:hAnsi="Symbol"/>
      </w:rPr>
    </w:lvl>
    <w:lvl w:ilvl="4" w:tplc="B548139E">
      <w:start w:val="1"/>
      <w:numFmt w:val="bullet"/>
      <w:lvlText w:val=""/>
      <w:lvlJc w:val="left"/>
      <w:pPr>
        <w:ind w:left="1080" w:hanging="360"/>
      </w:pPr>
      <w:rPr>
        <w:rFonts w:ascii="Symbol" w:hAnsi="Symbol"/>
      </w:rPr>
    </w:lvl>
    <w:lvl w:ilvl="5" w:tplc="1124F4C0">
      <w:start w:val="1"/>
      <w:numFmt w:val="bullet"/>
      <w:lvlText w:val=""/>
      <w:lvlJc w:val="left"/>
      <w:pPr>
        <w:ind w:left="1080" w:hanging="360"/>
      </w:pPr>
      <w:rPr>
        <w:rFonts w:ascii="Symbol" w:hAnsi="Symbol"/>
      </w:rPr>
    </w:lvl>
    <w:lvl w:ilvl="6" w:tplc="28D4A7CC">
      <w:start w:val="1"/>
      <w:numFmt w:val="bullet"/>
      <w:lvlText w:val=""/>
      <w:lvlJc w:val="left"/>
      <w:pPr>
        <w:ind w:left="1080" w:hanging="360"/>
      </w:pPr>
      <w:rPr>
        <w:rFonts w:ascii="Symbol" w:hAnsi="Symbol"/>
      </w:rPr>
    </w:lvl>
    <w:lvl w:ilvl="7" w:tplc="D5EC5BF6">
      <w:start w:val="1"/>
      <w:numFmt w:val="bullet"/>
      <w:lvlText w:val=""/>
      <w:lvlJc w:val="left"/>
      <w:pPr>
        <w:ind w:left="1080" w:hanging="360"/>
      </w:pPr>
      <w:rPr>
        <w:rFonts w:ascii="Symbol" w:hAnsi="Symbol"/>
      </w:rPr>
    </w:lvl>
    <w:lvl w:ilvl="8" w:tplc="464E9AEC">
      <w:start w:val="1"/>
      <w:numFmt w:val="bullet"/>
      <w:lvlText w:val=""/>
      <w:lvlJc w:val="left"/>
      <w:pPr>
        <w:ind w:left="1080" w:hanging="360"/>
      </w:pPr>
      <w:rPr>
        <w:rFonts w:ascii="Symbol" w:hAnsi="Symbol"/>
      </w:rPr>
    </w:lvl>
  </w:abstractNum>
  <w:abstractNum w:abstractNumId="40" w15:restartNumberingAfterBreak="0">
    <w:nsid w:val="32CB61BC"/>
    <w:multiLevelType w:val="hybridMultilevel"/>
    <w:tmpl w:val="878EF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32E19DE"/>
    <w:multiLevelType w:val="hybridMultilevel"/>
    <w:tmpl w:val="206AEC2A"/>
    <w:lvl w:ilvl="0" w:tplc="C0065584">
      <w:start w:val="1"/>
      <w:numFmt w:val="bullet"/>
      <w:lvlText w:val=""/>
      <w:lvlJc w:val="left"/>
      <w:pPr>
        <w:ind w:left="720" w:hanging="360"/>
      </w:pPr>
      <w:rPr>
        <w:rFonts w:ascii="Symbol" w:hAnsi="Symbol" w:hint="default"/>
        <w:color w:val="808080" w:themeColor="background1" w:themeShade="80"/>
      </w:rPr>
    </w:lvl>
    <w:lvl w:ilvl="1" w:tplc="FC2E3148">
      <w:numFmt w:val="bullet"/>
      <w:lvlText w:val="•"/>
      <w:lvlJc w:val="left"/>
      <w:pPr>
        <w:ind w:left="1800" w:hanging="720"/>
      </w:pPr>
      <w:rPr>
        <w:rFonts w:ascii="Segoe UI" w:eastAsiaTheme="minorHAnsi"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3DF38A7"/>
    <w:multiLevelType w:val="hybridMultilevel"/>
    <w:tmpl w:val="4BA6A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500740A"/>
    <w:multiLevelType w:val="hybridMultilevel"/>
    <w:tmpl w:val="389E5DE4"/>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5A94B06"/>
    <w:multiLevelType w:val="hybridMultilevel"/>
    <w:tmpl w:val="F4B2D4B2"/>
    <w:lvl w:ilvl="0" w:tplc="59F20FC6">
      <w:start w:val="1"/>
      <w:numFmt w:val="bullet"/>
      <w:lvlText w:val=""/>
      <w:lvlJc w:val="left"/>
      <w:pPr>
        <w:ind w:left="720" w:hanging="360"/>
      </w:pPr>
      <w:rPr>
        <w:rFonts w:ascii="Symbol" w:hAnsi="Symbol"/>
      </w:rPr>
    </w:lvl>
    <w:lvl w:ilvl="1" w:tplc="6C985A82">
      <w:start w:val="1"/>
      <w:numFmt w:val="bullet"/>
      <w:lvlText w:val=""/>
      <w:lvlJc w:val="left"/>
      <w:pPr>
        <w:ind w:left="720" w:hanging="360"/>
      </w:pPr>
      <w:rPr>
        <w:rFonts w:ascii="Symbol" w:hAnsi="Symbol"/>
      </w:rPr>
    </w:lvl>
    <w:lvl w:ilvl="2" w:tplc="8ACAC95C">
      <w:start w:val="1"/>
      <w:numFmt w:val="bullet"/>
      <w:lvlText w:val=""/>
      <w:lvlJc w:val="left"/>
      <w:pPr>
        <w:ind w:left="720" w:hanging="360"/>
      </w:pPr>
      <w:rPr>
        <w:rFonts w:ascii="Symbol" w:hAnsi="Symbol"/>
      </w:rPr>
    </w:lvl>
    <w:lvl w:ilvl="3" w:tplc="8110D88A">
      <w:start w:val="1"/>
      <w:numFmt w:val="bullet"/>
      <w:lvlText w:val=""/>
      <w:lvlJc w:val="left"/>
      <w:pPr>
        <w:ind w:left="720" w:hanging="360"/>
      </w:pPr>
      <w:rPr>
        <w:rFonts w:ascii="Symbol" w:hAnsi="Symbol"/>
      </w:rPr>
    </w:lvl>
    <w:lvl w:ilvl="4" w:tplc="B22E07B0">
      <w:start w:val="1"/>
      <w:numFmt w:val="bullet"/>
      <w:lvlText w:val=""/>
      <w:lvlJc w:val="left"/>
      <w:pPr>
        <w:ind w:left="720" w:hanging="360"/>
      </w:pPr>
      <w:rPr>
        <w:rFonts w:ascii="Symbol" w:hAnsi="Symbol"/>
      </w:rPr>
    </w:lvl>
    <w:lvl w:ilvl="5" w:tplc="68B66916">
      <w:start w:val="1"/>
      <w:numFmt w:val="bullet"/>
      <w:lvlText w:val=""/>
      <w:lvlJc w:val="left"/>
      <w:pPr>
        <w:ind w:left="720" w:hanging="360"/>
      </w:pPr>
      <w:rPr>
        <w:rFonts w:ascii="Symbol" w:hAnsi="Symbol"/>
      </w:rPr>
    </w:lvl>
    <w:lvl w:ilvl="6" w:tplc="FD94BBBE">
      <w:start w:val="1"/>
      <w:numFmt w:val="bullet"/>
      <w:lvlText w:val=""/>
      <w:lvlJc w:val="left"/>
      <w:pPr>
        <w:ind w:left="720" w:hanging="360"/>
      </w:pPr>
      <w:rPr>
        <w:rFonts w:ascii="Symbol" w:hAnsi="Symbol"/>
      </w:rPr>
    </w:lvl>
    <w:lvl w:ilvl="7" w:tplc="227EB000">
      <w:start w:val="1"/>
      <w:numFmt w:val="bullet"/>
      <w:lvlText w:val=""/>
      <w:lvlJc w:val="left"/>
      <w:pPr>
        <w:ind w:left="720" w:hanging="360"/>
      </w:pPr>
      <w:rPr>
        <w:rFonts w:ascii="Symbol" w:hAnsi="Symbol"/>
      </w:rPr>
    </w:lvl>
    <w:lvl w:ilvl="8" w:tplc="A6B87548">
      <w:start w:val="1"/>
      <w:numFmt w:val="bullet"/>
      <w:lvlText w:val=""/>
      <w:lvlJc w:val="left"/>
      <w:pPr>
        <w:ind w:left="720" w:hanging="360"/>
      </w:pPr>
      <w:rPr>
        <w:rFonts w:ascii="Symbol" w:hAnsi="Symbol"/>
      </w:rPr>
    </w:lvl>
  </w:abstractNum>
  <w:abstractNum w:abstractNumId="45" w15:restartNumberingAfterBreak="0">
    <w:nsid w:val="363E2D65"/>
    <w:multiLevelType w:val="hybridMultilevel"/>
    <w:tmpl w:val="E7E61672"/>
    <w:lvl w:ilvl="0" w:tplc="43F6CB28">
      <w:start w:val="1"/>
      <w:numFmt w:val="bullet"/>
      <w:lvlText w:val=""/>
      <w:lvlJc w:val="left"/>
      <w:pPr>
        <w:ind w:left="720" w:hanging="360"/>
      </w:pPr>
      <w:rPr>
        <w:rFonts w:ascii="Symbol" w:hAnsi="Symbol" w:hint="default"/>
        <w:color w:val="7B5E0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6970524"/>
    <w:multiLevelType w:val="hybridMultilevel"/>
    <w:tmpl w:val="4476D304"/>
    <w:lvl w:ilvl="0" w:tplc="EF6E019C">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6C56944"/>
    <w:multiLevelType w:val="multilevel"/>
    <w:tmpl w:val="A39645E6"/>
    <w:lvl w:ilvl="0">
      <w:start w:val="1"/>
      <w:numFmt w:val="decimal"/>
      <w:pStyle w:val="ListNumber"/>
      <w:lvlText w:val="%1."/>
      <w:lvlJc w:val="left"/>
      <w:pPr>
        <w:ind w:left="720" w:hanging="363"/>
      </w:pPr>
      <w:rPr>
        <w:rFonts w:hint="default"/>
      </w:rPr>
    </w:lvl>
    <w:lvl w:ilvl="1">
      <w:start w:val="1"/>
      <w:numFmt w:val="lowerLetter"/>
      <w:pStyle w:val="ListNumber2"/>
      <w:lvlText w:val="%2)"/>
      <w:lvlJc w:val="left"/>
      <w:pPr>
        <w:ind w:left="1077" w:hanging="357"/>
      </w:pPr>
      <w:rPr>
        <w:rFonts w:hint="default"/>
      </w:rPr>
    </w:lvl>
    <w:lvl w:ilvl="2">
      <w:start w:val="1"/>
      <w:numFmt w:val="lowerRoman"/>
      <w:pStyle w:val="ListNumber3"/>
      <w:lvlText w:val="%3."/>
      <w:lvlJc w:val="left"/>
      <w:pPr>
        <w:ind w:left="1440" w:hanging="363"/>
      </w:pPr>
      <w:rPr>
        <w:rFonts w:hint="default"/>
      </w:rPr>
    </w:lvl>
    <w:lvl w:ilvl="3">
      <w:start w:val="1"/>
      <w:numFmt w:val="bullet"/>
      <w:pStyle w:val="ListNumber4"/>
      <w:lvlText w:val=""/>
      <w:lvlJc w:val="left"/>
      <w:pPr>
        <w:ind w:left="1797" w:hanging="357"/>
      </w:pPr>
      <w:rPr>
        <w:rFonts w:ascii="Wingdings" w:hAnsi="Wingdings" w:hint="default"/>
        <w:color w:val="7B5E05" w:themeColor="accent1"/>
      </w:rPr>
    </w:lvl>
    <w:lvl w:ilvl="4">
      <w:start w:val="1"/>
      <w:numFmt w:val="bullet"/>
      <w:pStyle w:val="ListNumber5"/>
      <w:lvlText w:val="­"/>
      <w:lvlJc w:val="left"/>
      <w:pPr>
        <w:ind w:left="1800" w:hanging="337"/>
      </w:pPr>
      <w:rPr>
        <w:rFonts w:ascii="Century Gothic" w:hAnsi="Century Gothic" w:hint="default"/>
        <w:color w:val="7B5E05"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76E31D1"/>
    <w:multiLevelType w:val="hybridMultilevel"/>
    <w:tmpl w:val="EF287688"/>
    <w:lvl w:ilvl="0" w:tplc="92EAC89E">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7F44A16"/>
    <w:multiLevelType w:val="hybridMultilevel"/>
    <w:tmpl w:val="5A9A563C"/>
    <w:lvl w:ilvl="0" w:tplc="99480F00">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86361A0"/>
    <w:multiLevelType w:val="hybridMultilevel"/>
    <w:tmpl w:val="E7BE1CA4"/>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A325864"/>
    <w:multiLevelType w:val="hybridMultilevel"/>
    <w:tmpl w:val="7702E66A"/>
    <w:lvl w:ilvl="0" w:tplc="C7709AC8">
      <w:start w:val="19"/>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A411CD1"/>
    <w:multiLevelType w:val="hybridMultilevel"/>
    <w:tmpl w:val="6AF6D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CCF0D84"/>
    <w:multiLevelType w:val="hybridMultilevel"/>
    <w:tmpl w:val="87D6A872"/>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DBC1E56"/>
    <w:multiLevelType w:val="hybridMultilevel"/>
    <w:tmpl w:val="801C33FA"/>
    <w:lvl w:ilvl="0" w:tplc="46220DA8">
      <w:start w:val="1"/>
      <w:numFmt w:val="bullet"/>
      <w:lvlText w:val=""/>
      <w:lvlJc w:val="left"/>
      <w:pPr>
        <w:ind w:left="720" w:hanging="360"/>
      </w:pPr>
      <w:rPr>
        <w:rFonts w:ascii="Symbol" w:hAnsi="Symbol"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E213B6F"/>
    <w:multiLevelType w:val="hybridMultilevel"/>
    <w:tmpl w:val="F6DC190A"/>
    <w:lvl w:ilvl="0" w:tplc="0212E7E6">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F8754F2"/>
    <w:multiLevelType w:val="hybridMultilevel"/>
    <w:tmpl w:val="440E496E"/>
    <w:lvl w:ilvl="0" w:tplc="5D028936">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FCD6F95"/>
    <w:multiLevelType w:val="hybridMultilevel"/>
    <w:tmpl w:val="D5223080"/>
    <w:lvl w:ilvl="0" w:tplc="0FAA3960">
      <w:start w:val="1"/>
      <w:numFmt w:val="bullet"/>
      <w:lvlText w:val=""/>
      <w:lvlJc w:val="left"/>
      <w:pPr>
        <w:ind w:left="720" w:hanging="360"/>
      </w:pPr>
      <w:rPr>
        <w:rFonts w:ascii="Symbol" w:hAnsi="Symbol"/>
      </w:rPr>
    </w:lvl>
    <w:lvl w:ilvl="1" w:tplc="AA8C3CC0">
      <w:start w:val="1"/>
      <w:numFmt w:val="bullet"/>
      <w:lvlText w:val=""/>
      <w:lvlJc w:val="left"/>
      <w:pPr>
        <w:ind w:left="720" w:hanging="360"/>
      </w:pPr>
      <w:rPr>
        <w:rFonts w:ascii="Symbol" w:hAnsi="Symbol"/>
      </w:rPr>
    </w:lvl>
    <w:lvl w:ilvl="2" w:tplc="154A0876">
      <w:start w:val="1"/>
      <w:numFmt w:val="bullet"/>
      <w:lvlText w:val=""/>
      <w:lvlJc w:val="left"/>
      <w:pPr>
        <w:ind w:left="720" w:hanging="360"/>
      </w:pPr>
      <w:rPr>
        <w:rFonts w:ascii="Symbol" w:hAnsi="Symbol"/>
      </w:rPr>
    </w:lvl>
    <w:lvl w:ilvl="3" w:tplc="D2D844CA">
      <w:start w:val="1"/>
      <w:numFmt w:val="bullet"/>
      <w:lvlText w:val=""/>
      <w:lvlJc w:val="left"/>
      <w:pPr>
        <w:ind w:left="720" w:hanging="360"/>
      </w:pPr>
      <w:rPr>
        <w:rFonts w:ascii="Symbol" w:hAnsi="Symbol"/>
      </w:rPr>
    </w:lvl>
    <w:lvl w:ilvl="4" w:tplc="8E980A46">
      <w:start w:val="1"/>
      <w:numFmt w:val="bullet"/>
      <w:lvlText w:val=""/>
      <w:lvlJc w:val="left"/>
      <w:pPr>
        <w:ind w:left="720" w:hanging="360"/>
      </w:pPr>
      <w:rPr>
        <w:rFonts w:ascii="Symbol" w:hAnsi="Symbol"/>
      </w:rPr>
    </w:lvl>
    <w:lvl w:ilvl="5" w:tplc="6C28B1C6">
      <w:start w:val="1"/>
      <w:numFmt w:val="bullet"/>
      <w:lvlText w:val=""/>
      <w:lvlJc w:val="left"/>
      <w:pPr>
        <w:ind w:left="720" w:hanging="360"/>
      </w:pPr>
      <w:rPr>
        <w:rFonts w:ascii="Symbol" w:hAnsi="Symbol"/>
      </w:rPr>
    </w:lvl>
    <w:lvl w:ilvl="6" w:tplc="7ED07202">
      <w:start w:val="1"/>
      <w:numFmt w:val="bullet"/>
      <w:lvlText w:val=""/>
      <w:lvlJc w:val="left"/>
      <w:pPr>
        <w:ind w:left="720" w:hanging="360"/>
      </w:pPr>
      <w:rPr>
        <w:rFonts w:ascii="Symbol" w:hAnsi="Symbol"/>
      </w:rPr>
    </w:lvl>
    <w:lvl w:ilvl="7" w:tplc="48FA3266">
      <w:start w:val="1"/>
      <w:numFmt w:val="bullet"/>
      <w:lvlText w:val=""/>
      <w:lvlJc w:val="left"/>
      <w:pPr>
        <w:ind w:left="720" w:hanging="360"/>
      </w:pPr>
      <w:rPr>
        <w:rFonts w:ascii="Symbol" w:hAnsi="Symbol"/>
      </w:rPr>
    </w:lvl>
    <w:lvl w:ilvl="8" w:tplc="BDE238EA">
      <w:start w:val="1"/>
      <w:numFmt w:val="bullet"/>
      <w:lvlText w:val=""/>
      <w:lvlJc w:val="left"/>
      <w:pPr>
        <w:ind w:left="720" w:hanging="360"/>
      </w:pPr>
      <w:rPr>
        <w:rFonts w:ascii="Symbol" w:hAnsi="Symbol"/>
      </w:rPr>
    </w:lvl>
  </w:abstractNum>
  <w:abstractNum w:abstractNumId="58" w15:restartNumberingAfterBreak="0">
    <w:nsid w:val="3FF8581F"/>
    <w:multiLevelType w:val="hybridMultilevel"/>
    <w:tmpl w:val="03E49FF8"/>
    <w:lvl w:ilvl="0" w:tplc="FFFFFFFF">
      <w:start w:val="1"/>
      <w:numFmt w:val="bullet"/>
      <w:lvlText w:val=""/>
      <w:lvlJc w:val="left"/>
      <w:pPr>
        <w:ind w:left="1080" w:hanging="360"/>
      </w:pPr>
      <w:rPr>
        <w:rFonts w:ascii="Symbol" w:hAnsi="Symbol" w:hint="default"/>
        <w:color w:val="7B5E05" w:themeColor="accent1"/>
      </w:rPr>
    </w:lvl>
    <w:lvl w:ilvl="1" w:tplc="FFFFFFFF">
      <w:start w:val="1"/>
      <w:numFmt w:val="bullet"/>
      <w:lvlText w:val="o"/>
      <w:lvlJc w:val="left"/>
      <w:pPr>
        <w:ind w:left="1800" w:hanging="360"/>
      </w:pPr>
      <w:rPr>
        <w:rFonts w:ascii="Courier New" w:hAnsi="Courier New" w:cs="Courier New" w:hint="default"/>
      </w:rPr>
    </w:lvl>
    <w:lvl w:ilvl="2" w:tplc="14B24178">
      <w:start w:val="3"/>
      <w:numFmt w:val="bullet"/>
      <w:lvlText w:val="-"/>
      <w:lvlJc w:val="left"/>
      <w:pPr>
        <w:ind w:left="2520" w:hanging="360"/>
      </w:pPr>
      <w:rPr>
        <w:rFonts w:ascii="Calibri" w:eastAsiaTheme="minorHAnsi" w:hAnsi="Calibri" w:cs="Calibri"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18F4693"/>
    <w:multiLevelType w:val="hybridMultilevel"/>
    <w:tmpl w:val="2EA01E82"/>
    <w:lvl w:ilvl="0" w:tplc="D8D85E8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1AF130B"/>
    <w:multiLevelType w:val="hybridMultilevel"/>
    <w:tmpl w:val="26DC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28370C2"/>
    <w:multiLevelType w:val="multilevel"/>
    <w:tmpl w:val="AA945AE8"/>
    <w:lvl w:ilvl="0">
      <w:start w:val="1"/>
      <w:numFmt w:val="decimal"/>
      <w:pStyle w:val="NumberedParagraphs"/>
      <w:lvlText w:val="%1."/>
      <w:lvlJc w:val="left"/>
      <w:pPr>
        <w:ind w:left="1134" w:hanging="567"/>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62" w15:restartNumberingAfterBreak="0">
    <w:nsid w:val="42D533E9"/>
    <w:multiLevelType w:val="hybridMultilevel"/>
    <w:tmpl w:val="CB82F124"/>
    <w:lvl w:ilvl="0" w:tplc="B5843006">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4302DE4"/>
    <w:multiLevelType w:val="hybridMultilevel"/>
    <w:tmpl w:val="72243A2E"/>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5244668"/>
    <w:multiLevelType w:val="hybridMultilevel"/>
    <w:tmpl w:val="853240FE"/>
    <w:lvl w:ilvl="0" w:tplc="065418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6322D23"/>
    <w:multiLevelType w:val="hybridMultilevel"/>
    <w:tmpl w:val="47D66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85119AC"/>
    <w:multiLevelType w:val="multilevel"/>
    <w:tmpl w:val="17184FBE"/>
    <w:lvl w:ilvl="0">
      <w:start w:val="1"/>
      <w:numFmt w:val="decimal"/>
      <w:pStyle w:val="Heading5"/>
      <w:lvlText w:val="%1."/>
      <w:lvlJc w:val="left"/>
      <w:pPr>
        <w:ind w:left="567" w:hanging="567"/>
      </w:pPr>
      <w:rPr>
        <w:rFonts w:hint="default"/>
      </w:rPr>
    </w:lvl>
    <w:lvl w:ilvl="1">
      <w:start w:val="1"/>
      <w:numFmt w:val="decimal"/>
      <w:pStyle w:val="Heading6"/>
      <w:lvlText w:val="%1.%2"/>
      <w:lvlJc w:val="left"/>
      <w:pPr>
        <w:ind w:left="1588" w:hanging="737"/>
      </w:pPr>
      <w:rPr>
        <w:rFonts w:hint="default"/>
        <w:color w:val="081729"/>
      </w:rPr>
    </w:lvl>
    <w:lvl w:ilvl="2">
      <w:start w:val="1"/>
      <w:numFmt w:val="decimal"/>
      <w:pStyle w:val="Heading7"/>
      <w:lvlText w:val="%1.%2.%3"/>
      <w:lvlJc w:val="left"/>
      <w:pPr>
        <w:ind w:left="907" w:hanging="907"/>
      </w:pPr>
      <w:rPr>
        <w:color w:val="7EA0BC"/>
      </w:rPr>
    </w:lvl>
    <w:lvl w:ilvl="3">
      <w:start w:val="1"/>
      <w:numFmt w:val="decimal"/>
      <w:pStyle w:val="Heading8"/>
      <w:lvlText w:val="%1.%2.%3.%4"/>
      <w:lvlJc w:val="left"/>
      <w:pPr>
        <w:ind w:left="1077" w:hanging="107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pStyle w:val="Heading9"/>
      <w:lvlText w:val="Appendix %9"/>
      <w:lvlJc w:val="left"/>
      <w:pPr>
        <w:ind w:left="2268" w:hanging="2268"/>
      </w:pPr>
      <w:rPr>
        <w:rFonts w:hint="default"/>
        <w:color w:val="7B5E05" w:themeColor="accent1"/>
      </w:rPr>
    </w:lvl>
  </w:abstractNum>
  <w:abstractNum w:abstractNumId="67" w15:restartNumberingAfterBreak="0">
    <w:nsid w:val="48534ECE"/>
    <w:multiLevelType w:val="hybridMultilevel"/>
    <w:tmpl w:val="695C9088"/>
    <w:lvl w:ilvl="0" w:tplc="43F6CB28">
      <w:start w:val="1"/>
      <w:numFmt w:val="bullet"/>
      <w:lvlText w:val=""/>
      <w:lvlJc w:val="left"/>
      <w:pPr>
        <w:ind w:left="720" w:hanging="360"/>
      </w:pPr>
      <w:rPr>
        <w:rFonts w:ascii="Symbol" w:hAnsi="Symbol" w:hint="default"/>
        <w:color w:val="7B5E0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9197D88"/>
    <w:multiLevelType w:val="hybridMultilevel"/>
    <w:tmpl w:val="E2B28BBE"/>
    <w:lvl w:ilvl="0" w:tplc="62DACB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95B7098"/>
    <w:multiLevelType w:val="hybridMultilevel"/>
    <w:tmpl w:val="55807C58"/>
    <w:lvl w:ilvl="0" w:tplc="DF623D70">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AC2448A"/>
    <w:multiLevelType w:val="hybridMultilevel"/>
    <w:tmpl w:val="78EC8E94"/>
    <w:lvl w:ilvl="0" w:tplc="53B49170">
      <w:start w:val="1"/>
      <w:numFmt w:val="bullet"/>
      <w:lvlText w:val=""/>
      <w:lvlJc w:val="left"/>
      <w:pPr>
        <w:ind w:left="1080" w:hanging="360"/>
      </w:pPr>
      <w:rPr>
        <w:rFonts w:ascii="Symbol" w:hAnsi="Symbol" w:hint="default"/>
        <w:color w:val="808080" w:themeColor="background1" w:themeShade="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4B1A6574"/>
    <w:multiLevelType w:val="hybridMultilevel"/>
    <w:tmpl w:val="1A349AF4"/>
    <w:lvl w:ilvl="0" w:tplc="FFFFFFFF">
      <w:start w:val="1"/>
      <w:numFmt w:val="bullet"/>
      <w:lvlText w:val=""/>
      <w:lvlJc w:val="left"/>
      <w:pPr>
        <w:ind w:left="720" w:hanging="360"/>
      </w:pPr>
      <w:rPr>
        <w:rFonts w:ascii="Symbol" w:hAnsi="Symbol" w:hint="default"/>
        <w:color w:val="7B5E05" w:themeColor="accent1"/>
      </w:rPr>
    </w:lvl>
    <w:lvl w:ilvl="1" w:tplc="43F6CB28">
      <w:start w:val="1"/>
      <w:numFmt w:val="bullet"/>
      <w:lvlText w:val=""/>
      <w:lvlJc w:val="left"/>
      <w:pPr>
        <w:ind w:left="720" w:hanging="360"/>
      </w:pPr>
      <w:rPr>
        <w:rFonts w:ascii="Symbol" w:hAnsi="Symbol" w:hint="default"/>
        <w:color w:val="7B5E05"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B302916"/>
    <w:multiLevelType w:val="hybridMultilevel"/>
    <w:tmpl w:val="D7AC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CD66BF8"/>
    <w:multiLevelType w:val="hybridMultilevel"/>
    <w:tmpl w:val="FEAA56CA"/>
    <w:lvl w:ilvl="0" w:tplc="43F6CB28">
      <w:start w:val="1"/>
      <w:numFmt w:val="bullet"/>
      <w:lvlText w:val=""/>
      <w:lvlJc w:val="left"/>
      <w:pPr>
        <w:ind w:left="1080" w:hanging="360"/>
      </w:pPr>
      <w:rPr>
        <w:rFonts w:ascii="Symbol" w:hAnsi="Symbol" w:hint="default"/>
        <w:color w:val="7B5E05" w:themeColor="accent1"/>
      </w:rPr>
    </w:lvl>
    <w:lvl w:ilvl="1" w:tplc="E2D2329C">
      <w:start w:val="1"/>
      <w:numFmt w:val="bullet"/>
      <w:lvlText w:val=""/>
      <w:lvlJc w:val="left"/>
      <w:pPr>
        <w:ind w:left="1800" w:hanging="360"/>
      </w:pPr>
      <w:rPr>
        <w:rFonts w:ascii="Symbol" w:hAnsi="Symbol" w:hint="default"/>
        <w:color w:val="808080" w:themeColor="background1" w:themeShade="80"/>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15:restartNumberingAfterBreak="0">
    <w:nsid w:val="4DA15C72"/>
    <w:multiLevelType w:val="hybridMultilevel"/>
    <w:tmpl w:val="8AFEAB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F151E21"/>
    <w:multiLevelType w:val="hybridMultilevel"/>
    <w:tmpl w:val="70586266"/>
    <w:lvl w:ilvl="0" w:tplc="FFFFFFFF">
      <w:start w:val="1"/>
      <w:numFmt w:val="bullet"/>
      <w:lvlText w:val=""/>
      <w:lvlJc w:val="left"/>
      <w:pPr>
        <w:ind w:left="720" w:hanging="360"/>
      </w:pPr>
      <w:rPr>
        <w:rFonts w:ascii="Symbol" w:hAnsi="Symbol" w:hint="default"/>
      </w:rPr>
    </w:lvl>
    <w:lvl w:ilvl="1" w:tplc="81A62FDC">
      <w:start w:val="1"/>
      <w:numFmt w:val="bullet"/>
      <w:lvlText w:val=""/>
      <w:lvlJc w:val="left"/>
      <w:pPr>
        <w:ind w:left="720" w:hanging="360"/>
      </w:pPr>
      <w:rPr>
        <w:rFonts w:ascii="Symbol" w:hAnsi="Symbol" w:hint="default"/>
        <w:color w:val="808080" w:themeColor="background1" w:themeShade="80"/>
      </w:rPr>
    </w:lvl>
    <w:lvl w:ilvl="2" w:tplc="FFFFFFFF">
      <w:numFmt w:val="bullet"/>
      <w:lvlText w:val="-"/>
      <w:lvlJc w:val="left"/>
      <w:pPr>
        <w:ind w:left="2160" w:hanging="360"/>
      </w:pPr>
      <w:rPr>
        <w:rFonts w:ascii="Segoe UI" w:eastAsiaTheme="minorHAnsi" w:hAnsi="Segoe UI" w:cs="Segoe UI" w:hint="default"/>
      </w:rPr>
    </w:lvl>
    <w:lvl w:ilvl="3" w:tplc="FFFFFFFF">
      <w:numFmt w:val="bullet"/>
      <w:lvlText w:val="•"/>
      <w:lvlJc w:val="left"/>
      <w:pPr>
        <w:ind w:left="2880" w:hanging="360"/>
      </w:pPr>
      <w:rPr>
        <w:rFonts w:ascii="Segoe UI" w:eastAsiaTheme="minorHAnsi" w:hAnsi="Segoe UI" w:cs="Segoe U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F360E4F"/>
    <w:multiLevelType w:val="hybridMultilevel"/>
    <w:tmpl w:val="3BCC52E8"/>
    <w:lvl w:ilvl="0" w:tplc="43F6CB28">
      <w:start w:val="1"/>
      <w:numFmt w:val="bullet"/>
      <w:lvlText w:val=""/>
      <w:lvlJc w:val="left"/>
      <w:pPr>
        <w:ind w:left="720" w:hanging="360"/>
      </w:pPr>
      <w:rPr>
        <w:rFonts w:ascii="Symbol" w:hAnsi="Symbol" w:hint="default"/>
        <w:color w:val="7B5E05"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FCD205F"/>
    <w:multiLevelType w:val="hybridMultilevel"/>
    <w:tmpl w:val="F9D8A008"/>
    <w:lvl w:ilvl="0" w:tplc="E1003B34">
      <w:start w:val="1"/>
      <w:numFmt w:val="bullet"/>
      <w:lvlText w:val=""/>
      <w:lvlJc w:val="left"/>
      <w:pPr>
        <w:ind w:left="720" w:hanging="360"/>
      </w:pPr>
      <w:rPr>
        <w:rFonts w:ascii="Symbol" w:hAnsi="Symbol" w:hint="default"/>
        <w:color w:val="808080" w:themeColor="background1"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4FE66070"/>
    <w:multiLevelType w:val="hybridMultilevel"/>
    <w:tmpl w:val="E20216C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07018A5"/>
    <w:multiLevelType w:val="hybridMultilevel"/>
    <w:tmpl w:val="58F0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2356FF2"/>
    <w:multiLevelType w:val="hybridMultilevel"/>
    <w:tmpl w:val="3000C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2F22576">
      <w:numFmt w:val="bullet"/>
      <w:lvlText w:val="–"/>
      <w:lvlJc w:val="left"/>
      <w:pPr>
        <w:ind w:left="2160" w:hanging="360"/>
      </w:pPr>
      <w:rPr>
        <w:rFonts w:ascii="Segoe UI" w:eastAsiaTheme="minorHAnsi" w:hAnsi="Segoe UI" w:cs="Segoe U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24D1DB9"/>
    <w:multiLevelType w:val="hybridMultilevel"/>
    <w:tmpl w:val="B810F670"/>
    <w:lvl w:ilvl="0" w:tplc="41944CA0">
      <w:numFmt w:val="bullet"/>
      <w:lvlText w:val="-"/>
      <w:lvlJc w:val="left"/>
      <w:pPr>
        <w:ind w:left="720" w:hanging="360"/>
      </w:pPr>
      <w:rPr>
        <w:rFonts w:ascii="Segoe UI" w:eastAsiaTheme="minorHAnsi" w:hAnsi="Segoe UI" w:cs="Segoe UI" w:hint="default"/>
        <w:color w:val="7B5E0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2FF4C14"/>
    <w:multiLevelType w:val="hybridMultilevel"/>
    <w:tmpl w:val="BC1C2320"/>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46737FF"/>
    <w:multiLevelType w:val="hybridMultilevel"/>
    <w:tmpl w:val="D33E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4824880"/>
    <w:multiLevelType w:val="hybridMultilevel"/>
    <w:tmpl w:val="4900F41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5" w15:restartNumberingAfterBreak="0">
    <w:nsid w:val="54B638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55247CA2"/>
    <w:multiLevelType w:val="hybridMultilevel"/>
    <w:tmpl w:val="E1C2726C"/>
    <w:lvl w:ilvl="0" w:tplc="36F00BD0">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57C45AF"/>
    <w:multiLevelType w:val="hybridMultilevel"/>
    <w:tmpl w:val="2A0A1710"/>
    <w:lvl w:ilvl="0" w:tplc="12E07744">
      <w:start w:val="1"/>
      <w:numFmt w:val="bullet"/>
      <w:lvlText w:val=""/>
      <w:lvlJc w:val="left"/>
      <w:pPr>
        <w:ind w:left="720" w:hanging="360"/>
      </w:pPr>
      <w:rPr>
        <w:rFonts w:ascii="Symbol" w:hAnsi="Symbol" w:hint="default"/>
        <w:color w:val="808080" w:themeColor="background1" w:themeShade="8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6694FEB"/>
    <w:multiLevelType w:val="hybridMultilevel"/>
    <w:tmpl w:val="4F98E460"/>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7BA40A9"/>
    <w:multiLevelType w:val="hybridMultilevel"/>
    <w:tmpl w:val="9620D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824365E"/>
    <w:multiLevelType w:val="hybridMultilevel"/>
    <w:tmpl w:val="F2B259A6"/>
    <w:lvl w:ilvl="0" w:tplc="9DC2B9AA">
      <w:start w:val="1"/>
      <w:numFmt w:val="bullet"/>
      <w:lvlText w:val=""/>
      <w:lvlJc w:val="left"/>
      <w:pPr>
        <w:ind w:left="720" w:hanging="360"/>
      </w:pPr>
      <w:rPr>
        <w:rFonts w:ascii="Symbol" w:hAnsi="Symbol"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84D4641"/>
    <w:multiLevelType w:val="hybridMultilevel"/>
    <w:tmpl w:val="BFEA07A6"/>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8CE1084"/>
    <w:multiLevelType w:val="hybridMultilevel"/>
    <w:tmpl w:val="C69AABAE"/>
    <w:lvl w:ilvl="0" w:tplc="0C090003">
      <w:start w:val="1"/>
      <w:numFmt w:val="bullet"/>
      <w:lvlText w:val="o"/>
      <w:lvlJc w:val="left"/>
      <w:pPr>
        <w:ind w:left="1080" w:hanging="360"/>
      </w:pPr>
      <w:rPr>
        <w:rFonts w:ascii="Courier New" w:hAnsi="Courier New" w:cs="Courier New" w:hint="default"/>
        <w:color w:val="7B5E05"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15:restartNumberingAfterBreak="0">
    <w:nsid w:val="59C515F8"/>
    <w:multiLevelType w:val="hybridMultilevel"/>
    <w:tmpl w:val="1D5E02F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94" w15:restartNumberingAfterBreak="0">
    <w:nsid w:val="5A6B77A0"/>
    <w:multiLevelType w:val="hybridMultilevel"/>
    <w:tmpl w:val="04B025E8"/>
    <w:lvl w:ilvl="0" w:tplc="0E58B0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B8E1521"/>
    <w:multiLevelType w:val="hybridMultilevel"/>
    <w:tmpl w:val="9F368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C031D5A"/>
    <w:multiLevelType w:val="hybridMultilevel"/>
    <w:tmpl w:val="5D38C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1944CA0">
      <w:numFmt w:val="bullet"/>
      <w:lvlText w:val="-"/>
      <w:lvlJc w:val="left"/>
      <w:pPr>
        <w:ind w:left="2160" w:hanging="360"/>
      </w:pPr>
      <w:rPr>
        <w:rFonts w:ascii="Segoe UI" w:eastAsiaTheme="minorHAnsi" w:hAnsi="Segoe UI" w:cs="Segoe UI" w:hint="default"/>
      </w:rPr>
    </w:lvl>
    <w:lvl w:ilvl="3" w:tplc="7CE6F35A">
      <w:numFmt w:val="bullet"/>
      <w:lvlText w:val="•"/>
      <w:lvlJc w:val="left"/>
      <w:pPr>
        <w:ind w:left="2880" w:hanging="360"/>
      </w:pPr>
      <w:rPr>
        <w:rFonts w:ascii="Segoe UI" w:eastAsiaTheme="minorHAnsi" w:hAnsi="Segoe UI" w:cs="Segoe U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C562323"/>
    <w:multiLevelType w:val="hybridMultilevel"/>
    <w:tmpl w:val="C0E6DDE4"/>
    <w:lvl w:ilvl="0" w:tplc="0C090003">
      <w:start w:val="1"/>
      <w:numFmt w:val="bullet"/>
      <w:lvlText w:val="o"/>
      <w:lvlJc w:val="left"/>
      <w:pPr>
        <w:ind w:left="1080" w:hanging="360"/>
      </w:pPr>
      <w:rPr>
        <w:rFonts w:ascii="Courier New" w:hAnsi="Courier New" w:cs="Courier New" w:hint="default"/>
        <w:color w:val="7B5E05" w:themeColor="accent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8" w15:restartNumberingAfterBreak="0">
    <w:nsid w:val="601A7DA2"/>
    <w:multiLevelType w:val="hybridMultilevel"/>
    <w:tmpl w:val="2BACBF0A"/>
    <w:lvl w:ilvl="0" w:tplc="85D49FE2">
      <w:start w:val="1"/>
      <w:numFmt w:val="bullet"/>
      <w:lvlText w:val=""/>
      <w:lvlJc w:val="left"/>
      <w:pPr>
        <w:ind w:left="1440" w:hanging="360"/>
      </w:pPr>
      <w:rPr>
        <w:rFonts w:ascii="Symbol" w:hAnsi="Symbol"/>
      </w:rPr>
    </w:lvl>
    <w:lvl w:ilvl="1" w:tplc="2820D05A">
      <w:start w:val="1"/>
      <w:numFmt w:val="bullet"/>
      <w:lvlText w:val=""/>
      <w:lvlJc w:val="left"/>
      <w:pPr>
        <w:ind w:left="1440" w:hanging="360"/>
      </w:pPr>
      <w:rPr>
        <w:rFonts w:ascii="Symbol" w:hAnsi="Symbol"/>
      </w:rPr>
    </w:lvl>
    <w:lvl w:ilvl="2" w:tplc="928C79F4">
      <w:start w:val="1"/>
      <w:numFmt w:val="bullet"/>
      <w:lvlText w:val=""/>
      <w:lvlJc w:val="left"/>
      <w:pPr>
        <w:ind w:left="1440" w:hanging="360"/>
      </w:pPr>
      <w:rPr>
        <w:rFonts w:ascii="Symbol" w:hAnsi="Symbol"/>
      </w:rPr>
    </w:lvl>
    <w:lvl w:ilvl="3" w:tplc="FDC28BE8">
      <w:start w:val="1"/>
      <w:numFmt w:val="bullet"/>
      <w:lvlText w:val=""/>
      <w:lvlJc w:val="left"/>
      <w:pPr>
        <w:ind w:left="1440" w:hanging="360"/>
      </w:pPr>
      <w:rPr>
        <w:rFonts w:ascii="Symbol" w:hAnsi="Symbol"/>
      </w:rPr>
    </w:lvl>
    <w:lvl w:ilvl="4" w:tplc="DCC27B22">
      <w:start w:val="1"/>
      <w:numFmt w:val="bullet"/>
      <w:lvlText w:val=""/>
      <w:lvlJc w:val="left"/>
      <w:pPr>
        <w:ind w:left="1440" w:hanging="360"/>
      </w:pPr>
      <w:rPr>
        <w:rFonts w:ascii="Symbol" w:hAnsi="Symbol"/>
      </w:rPr>
    </w:lvl>
    <w:lvl w:ilvl="5" w:tplc="663095A8">
      <w:start w:val="1"/>
      <w:numFmt w:val="bullet"/>
      <w:lvlText w:val=""/>
      <w:lvlJc w:val="left"/>
      <w:pPr>
        <w:ind w:left="1440" w:hanging="360"/>
      </w:pPr>
      <w:rPr>
        <w:rFonts w:ascii="Symbol" w:hAnsi="Symbol"/>
      </w:rPr>
    </w:lvl>
    <w:lvl w:ilvl="6" w:tplc="B99C160A">
      <w:start w:val="1"/>
      <w:numFmt w:val="bullet"/>
      <w:lvlText w:val=""/>
      <w:lvlJc w:val="left"/>
      <w:pPr>
        <w:ind w:left="1440" w:hanging="360"/>
      </w:pPr>
      <w:rPr>
        <w:rFonts w:ascii="Symbol" w:hAnsi="Symbol"/>
      </w:rPr>
    </w:lvl>
    <w:lvl w:ilvl="7" w:tplc="ED96596E">
      <w:start w:val="1"/>
      <w:numFmt w:val="bullet"/>
      <w:lvlText w:val=""/>
      <w:lvlJc w:val="left"/>
      <w:pPr>
        <w:ind w:left="1440" w:hanging="360"/>
      </w:pPr>
      <w:rPr>
        <w:rFonts w:ascii="Symbol" w:hAnsi="Symbol"/>
      </w:rPr>
    </w:lvl>
    <w:lvl w:ilvl="8" w:tplc="245C28F8">
      <w:start w:val="1"/>
      <w:numFmt w:val="bullet"/>
      <w:lvlText w:val=""/>
      <w:lvlJc w:val="left"/>
      <w:pPr>
        <w:ind w:left="1440" w:hanging="360"/>
      </w:pPr>
      <w:rPr>
        <w:rFonts w:ascii="Symbol" w:hAnsi="Symbol"/>
      </w:rPr>
    </w:lvl>
  </w:abstractNum>
  <w:abstractNum w:abstractNumId="99" w15:restartNumberingAfterBreak="0">
    <w:nsid w:val="60D40367"/>
    <w:multiLevelType w:val="hybridMultilevel"/>
    <w:tmpl w:val="7FD480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0D75D67"/>
    <w:multiLevelType w:val="hybridMultilevel"/>
    <w:tmpl w:val="F95830F8"/>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1C3485C"/>
    <w:multiLevelType w:val="multilevel"/>
    <w:tmpl w:val="54B40F84"/>
    <w:lvl w:ilvl="0">
      <w:start w:val="1"/>
      <w:numFmt w:val="bullet"/>
      <w:lvlText w:val=""/>
      <w:lvlJc w:val="left"/>
      <w:pPr>
        <w:ind w:left="1145" w:hanging="425"/>
      </w:pPr>
      <w:rPr>
        <w:rFonts w:ascii="Symbol" w:hAnsi="Symbol" w:hint="default"/>
        <w:color w:val="7B5E05" w:themeColor="accent1"/>
        <w:u w:color="000000" w:themeColor="text1"/>
      </w:rPr>
    </w:lvl>
    <w:lvl w:ilvl="1">
      <w:start w:val="1"/>
      <w:numFmt w:val="bullet"/>
      <w:pStyle w:val="ListBullet2"/>
      <w:lvlText w:val="o"/>
      <w:lvlJc w:val="left"/>
      <w:pPr>
        <w:ind w:left="1854" w:hanging="425"/>
      </w:pPr>
      <w:rPr>
        <w:rFonts w:ascii="Courier New" w:hAnsi="Courier New" w:hint="default"/>
        <w:color w:val="7B5E05" w:themeColor="accent1"/>
      </w:rPr>
    </w:lvl>
    <w:lvl w:ilvl="2">
      <w:start w:val="1"/>
      <w:numFmt w:val="bullet"/>
      <w:pStyle w:val="OutlineBoxBullets"/>
      <w:lvlText w:val=""/>
      <w:lvlJc w:val="left"/>
      <w:pPr>
        <w:ind w:left="720" w:firstLine="238"/>
      </w:pPr>
      <w:rPr>
        <w:rFonts w:ascii="Symbol" w:hAnsi="Symbol" w:hint="default"/>
        <w:color w:val="7B5E05" w:themeColor="accent1"/>
      </w:rPr>
    </w:lvl>
    <w:lvl w:ilvl="3">
      <w:start w:val="1"/>
      <w:numFmt w:val="bullet"/>
      <w:lvlText w:val="໐"/>
      <w:lvlJc w:val="left"/>
      <w:pPr>
        <w:ind w:left="1196" w:hanging="238"/>
      </w:pPr>
      <w:rPr>
        <w:rFonts w:ascii="Segoe UI" w:hAnsi="Segoe UI" w:hint="default"/>
        <w:color w:val="7B5E05" w:themeColor="accent1"/>
      </w:rPr>
    </w:lvl>
    <w:lvl w:ilvl="4">
      <w:start w:val="1"/>
      <w:numFmt w:val="bullet"/>
      <w:lvlText w:val="o"/>
      <w:lvlJc w:val="left"/>
      <w:pPr>
        <w:ind w:left="2826" w:hanging="360"/>
      </w:pPr>
      <w:rPr>
        <w:rFonts w:ascii="Courier New" w:hAnsi="Courier New" w:hint="default"/>
      </w:rPr>
    </w:lvl>
    <w:lvl w:ilvl="5">
      <w:start w:val="1"/>
      <w:numFmt w:val="bullet"/>
      <w:lvlText w:val=""/>
      <w:lvlJc w:val="left"/>
      <w:pPr>
        <w:ind w:left="3546" w:hanging="360"/>
      </w:pPr>
      <w:rPr>
        <w:rFonts w:ascii="Wingdings" w:hAnsi="Wingdings" w:hint="default"/>
      </w:rPr>
    </w:lvl>
    <w:lvl w:ilvl="6">
      <w:start w:val="1"/>
      <w:numFmt w:val="bullet"/>
      <w:lvlText w:val=""/>
      <w:lvlJc w:val="left"/>
      <w:pPr>
        <w:ind w:left="4266" w:hanging="360"/>
      </w:pPr>
      <w:rPr>
        <w:rFonts w:ascii="Symbol" w:hAnsi="Symbol" w:hint="default"/>
      </w:rPr>
    </w:lvl>
    <w:lvl w:ilvl="7">
      <w:start w:val="1"/>
      <w:numFmt w:val="bullet"/>
      <w:lvlText w:val="o"/>
      <w:lvlJc w:val="left"/>
      <w:pPr>
        <w:ind w:left="4986" w:hanging="360"/>
      </w:pPr>
      <w:rPr>
        <w:rFonts w:ascii="Courier New" w:hAnsi="Courier New" w:cs="Courier New" w:hint="default"/>
      </w:rPr>
    </w:lvl>
    <w:lvl w:ilvl="8">
      <w:start w:val="1"/>
      <w:numFmt w:val="bullet"/>
      <w:lvlText w:val=""/>
      <w:lvlJc w:val="left"/>
      <w:pPr>
        <w:ind w:left="5706" w:hanging="360"/>
      </w:pPr>
      <w:rPr>
        <w:rFonts w:ascii="Wingdings" w:hAnsi="Wingdings" w:hint="default"/>
      </w:rPr>
    </w:lvl>
  </w:abstractNum>
  <w:abstractNum w:abstractNumId="102" w15:restartNumberingAfterBreak="0">
    <w:nsid w:val="63C12D3A"/>
    <w:multiLevelType w:val="hybridMultilevel"/>
    <w:tmpl w:val="47D663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5AD5DAF"/>
    <w:multiLevelType w:val="hybridMultilevel"/>
    <w:tmpl w:val="6986D7FE"/>
    <w:lvl w:ilvl="0" w:tplc="BB52C81A">
      <w:start w:val="1"/>
      <w:numFmt w:val="bullet"/>
      <w:lvlText w:val=""/>
      <w:lvlJc w:val="left"/>
      <w:pPr>
        <w:ind w:left="720" w:hanging="360"/>
      </w:pPr>
      <w:rPr>
        <w:rFonts w:ascii="Symbol" w:hAnsi="Symbol" w:hint="default"/>
        <w:color w:val="808080" w:themeColor="background1" w:themeShade="8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6C137E4"/>
    <w:multiLevelType w:val="hybridMultilevel"/>
    <w:tmpl w:val="B99C3F76"/>
    <w:lvl w:ilvl="0" w:tplc="43F6CB28">
      <w:start w:val="1"/>
      <w:numFmt w:val="bullet"/>
      <w:lvlText w:val=""/>
      <w:lvlJc w:val="left"/>
      <w:pPr>
        <w:ind w:left="720" w:hanging="360"/>
      </w:pPr>
      <w:rPr>
        <w:rFonts w:ascii="Symbol" w:hAnsi="Symbol" w:hint="default"/>
        <w:color w:val="7B5E05"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6FE73EB"/>
    <w:multiLevelType w:val="hybridMultilevel"/>
    <w:tmpl w:val="9CA4C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8C76B79"/>
    <w:multiLevelType w:val="hybridMultilevel"/>
    <w:tmpl w:val="816A600E"/>
    <w:lvl w:ilvl="0" w:tplc="67EE7D70">
      <w:start w:val="1"/>
      <w:numFmt w:val="bullet"/>
      <w:lvlText w:val=""/>
      <w:lvlJc w:val="left"/>
      <w:pPr>
        <w:ind w:left="720" w:hanging="360"/>
      </w:pPr>
      <w:rPr>
        <w:rFonts w:ascii="Symbol" w:hAnsi="Symbol" w:hint="default"/>
        <w:color w:val="808080" w:themeColor="background1" w:themeShade="8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BE91267"/>
    <w:multiLevelType w:val="hybridMultilevel"/>
    <w:tmpl w:val="097C2DAE"/>
    <w:lvl w:ilvl="0" w:tplc="DF9E4DCA">
      <w:start w:val="1"/>
      <w:numFmt w:val="bullet"/>
      <w:lvlText w:val=""/>
      <w:lvlJc w:val="left"/>
      <w:pPr>
        <w:ind w:left="720" w:hanging="360"/>
      </w:pPr>
      <w:rPr>
        <w:rFonts w:ascii="Symbol" w:hAnsi="Symbol"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E0458BF"/>
    <w:multiLevelType w:val="hybridMultilevel"/>
    <w:tmpl w:val="D8ACC528"/>
    <w:lvl w:ilvl="0" w:tplc="43F6CB28">
      <w:start w:val="1"/>
      <w:numFmt w:val="bullet"/>
      <w:lvlText w:val=""/>
      <w:lvlJc w:val="left"/>
      <w:pPr>
        <w:ind w:left="720" w:hanging="360"/>
      </w:pPr>
      <w:rPr>
        <w:rFonts w:ascii="Symbol" w:hAnsi="Symbol" w:hint="default"/>
        <w:color w:val="7B5E05"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1867AF9"/>
    <w:multiLevelType w:val="hybridMultilevel"/>
    <w:tmpl w:val="F3EE91B6"/>
    <w:lvl w:ilvl="0" w:tplc="759A2E82">
      <w:start w:val="1"/>
      <w:numFmt w:val="bullet"/>
      <w:lvlText w:val=""/>
      <w:lvlJc w:val="left"/>
      <w:pPr>
        <w:ind w:left="1440" w:hanging="360"/>
      </w:pPr>
      <w:rPr>
        <w:rFonts w:ascii="Symbol" w:hAnsi="Symbol"/>
      </w:rPr>
    </w:lvl>
    <w:lvl w:ilvl="1" w:tplc="7FD0D47E">
      <w:start w:val="1"/>
      <w:numFmt w:val="bullet"/>
      <w:lvlText w:val=""/>
      <w:lvlJc w:val="left"/>
      <w:pPr>
        <w:ind w:left="1440" w:hanging="360"/>
      </w:pPr>
      <w:rPr>
        <w:rFonts w:ascii="Symbol" w:hAnsi="Symbol"/>
      </w:rPr>
    </w:lvl>
    <w:lvl w:ilvl="2" w:tplc="7F6EFD92">
      <w:start w:val="1"/>
      <w:numFmt w:val="bullet"/>
      <w:lvlText w:val=""/>
      <w:lvlJc w:val="left"/>
      <w:pPr>
        <w:ind w:left="1440" w:hanging="360"/>
      </w:pPr>
      <w:rPr>
        <w:rFonts w:ascii="Symbol" w:hAnsi="Symbol"/>
      </w:rPr>
    </w:lvl>
    <w:lvl w:ilvl="3" w:tplc="8D8A7EC2">
      <w:start w:val="1"/>
      <w:numFmt w:val="bullet"/>
      <w:lvlText w:val=""/>
      <w:lvlJc w:val="left"/>
      <w:pPr>
        <w:ind w:left="1440" w:hanging="360"/>
      </w:pPr>
      <w:rPr>
        <w:rFonts w:ascii="Symbol" w:hAnsi="Symbol"/>
      </w:rPr>
    </w:lvl>
    <w:lvl w:ilvl="4" w:tplc="5216AB92">
      <w:start w:val="1"/>
      <w:numFmt w:val="bullet"/>
      <w:lvlText w:val=""/>
      <w:lvlJc w:val="left"/>
      <w:pPr>
        <w:ind w:left="1440" w:hanging="360"/>
      </w:pPr>
      <w:rPr>
        <w:rFonts w:ascii="Symbol" w:hAnsi="Symbol"/>
      </w:rPr>
    </w:lvl>
    <w:lvl w:ilvl="5" w:tplc="AA529714">
      <w:start w:val="1"/>
      <w:numFmt w:val="bullet"/>
      <w:lvlText w:val=""/>
      <w:lvlJc w:val="left"/>
      <w:pPr>
        <w:ind w:left="1440" w:hanging="360"/>
      </w:pPr>
      <w:rPr>
        <w:rFonts w:ascii="Symbol" w:hAnsi="Symbol"/>
      </w:rPr>
    </w:lvl>
    <w:lvl w:ilvl="6" w:tplc="86E6A408">
      <w:start w:val="1"/>
      <w:numFmt w:val="bullet"/>
      <w:lvlText w:val=""/>
      <w:lvlJc w:val="left"/>
      <w:pPr>
        <w:ind w:left="1440" w:hanging="360"/>
      </w:pPr>
      <w:rPr>
        <w:rFonts w:ascii="Symbol" w:hAnsi="Symbol"/>
      </w:rPr>
    </w:lvl>
    <w:lvl w:ilvl="7" w:tplc="4E3A968E">
      <w:start w:val="1"/>
      <w:numFmt w:val="bullet"/>
      <w:lvlText w:val=""/>
      <w:lvlJc w:val="left"/>
      <w:pPr>
        <w:ind w:left="1440" w:hanging="360"/>
      </w:pPr>
      <w:rPr>
        <w:rFonts w:ascii="Symbol" w:hAnsi="Symbol"/>
      </w:rPr>
    </w:lvl>
    <w:lvl w:ilvl="8" w:tplc="3782F1BA">
      <w:start w:val="1"/>
      <w:numFmt w:val="bullet"/>
      <w:lvlText w:val=""/>
      <w:lvlJc w:val="left"/>
      <w:pPr>
        <w:ind w:left="1440" w:hanging="360"/>
      </w:pPr>
      <w:rPr>
        <w:rFonts w:ascii="Symbol" w:hAnsi="Symbol"/>
      </w:rPr>
    </w:lvl>
  </w:abstractNum>
  <w:abstractNum w:abstractNumId="110" w15:restartNumberingAfterBreak="0">
    <w:nsid w:val="729E6519"/>
    <w:multiLevelType w:val="hybridMultilevel"/>
    <w:tmpl w:val="101AF72E"/>
    <w:lvl w:ilvl="0" w:tplc="0C090003">
      <w:start w:val="1"/>
      <w:numFmt w:val="bullet"/>
      <w:lvlText w:val="o"/>
      <w:lvlJc w:val="left"/>
      <w:pPr>
        <w:ind w:left="720" w:hanging="360"/>
      </w:pPr>
      <w:rPr>
        <w:rFonts w:ascii="Courier New" w:hAnsi="Courier New" w:cs="Courier New" w:hint="default"/>
        <w:color w:val="7B5E0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4036A46"/>
    <w:multiLevelType w:val="hybridMultilevel"/>
    <w:tmpl w:val="B63A7A54"/>
    <w:lvl w:ilvl="0" w:tplc="41944CA0">
      <w:numFmt w:val="bullet"/>
      <w:lvlText w:val="-"/>
      <w:lvlJc w:val="left"/>
      <w:pPr>
        <w:ind w:left="2160" w:hanging="360"/>
      </w:pPr>
      <w:rPr>
        <w:rFonts w:ascii="Segoe UI" w:eastAsiaTheme="minorHAnsi" w:hAnsi="Segoe UI" w:cs="Segoe UI"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2" w15:restartNumberingAfterBreak="0">
    <w:nsid w:val="74BA5636"/>
    <w:multiLevelType w:val="hybridMultilevel"/>
    <w:tmpl w:val="5854281E"/>
    <w:lvl w:ilvl="0" w:tplc="43F6CB28">
      <w:start w:val="1"/>
      <w:numFmt w:val="bullet"/>
      <w:lvlText w:val=""/>
      <w:lvlJc w:val="left"/>
      <w:pPr>
        <w:ind w:left="720" w:hanging="360"/>
      </w:pPr>
      <w:rPr>
        <w:rFonts w:ascii="Symbol" w:hAnsi="Symbol" w:hint="default"/>
        <w:color w:val="7B5E0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5922165"/>
    <w:multiLevelType w:val="hybridMultilevel"/>
    <w:tmpl w:val="C5C82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5A74FB7"/>
    <w:multiLevelType w:val="multilevel"/>
    <w:tmpl w:val="D31C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F3F4E"/>
    <w:multiLevelType w:val="hybridMultilevel"/>
    <w:tmpl w:val="97D65B28"/>
    <w:lvl w:ilvl="0" w:tplc="A9000CE4">
      <w:start w:val="1"/>
      <w:numFmt w:val="bullet"/>
      <w:lvlText w:val=""/>
      <w:lvlJc w:val="left"/>
      <w:pPr>
        <w:ind w:left="720" w:hanging="360"/>
      </w:pPr>
      <w:rPr>
        <w:rFonts w:ascii="Symbol" w:hAnsi="Symbol"/>
      </w:rPr>
    </w:lvl>
    <w:lvl w:ilvl="1" w:tplc="E458AB8E">
      <w:start w:val="1"/>
      <w:numFmt w:val="bullet"/>
      <w:lvlText w:val=""/>
      <w:lvlJc w:val="left"/>
      <w:pPr>
        <w:ind w:left="720" w:hanging="360"/>
      </w:pPr>
      <w:rPr>
        <w:rFonts w:ascii="Symbol" w:hAnsi="Symbol"/>
      </w:rPr>
    </w:lvl>
    <w:lvl w:ilvl="2" w:tplc="092092C2">
      <w:start w:val="1"/>
      <w:numFmt w:val="bullet"/>
      <w:lvlText w:val=""/>
      <w:lvlJc w:val="left"/>
      <w:pPr>
        <w:ind w:left="720" w:hanging="360"/>
      </w:pPr>
      <w:rPr>
        <w:rFonts w:ascii="Symbol" w:hAnsi="Symbol"/>
      </w:rPr>
    </w:lvl>
    <w:lvl w:ilvl="3" w:tplc="7FA4534C">
      <w:start w:val="1"/>
      <w:numFmt w:val="bullet"/>
      <w:lvlText w:val=""/>
      <w:lvlJc w:val="left"/>
      <w:pPr>
        <w:ind w:left="720" w:hanging="360"/>
      </w:pPr>
      <w:rPr>
        <w:rFonts w:ascii="Symbol" w:hAnsi="Symbol"/>
      </w:rPr>
    </w:lvl>
    <w:lvl w:ilvl="4" w:tplc="0E74EAE0">
      <w:start w:val="1"/>
      <w:numFmt w:val="bullet"/>
      <w:lvlText w:val=""/>
      <w:lvlJc w:val="left"/>
      <w:pPr>
        <w:ind w:left="720" w:hanging="360"/>
      </w:pPr>
      <w:rPr>
        <w:rFonts w:ascii="Symbol" w:hAnsi="Symbol"/>
      </w:rPr>
    </w:lvl>
    <w:lvl w:ilvl="5" w:tplc="58E4840A">
      <w:start w:val="1"/>
      <w:numFmt w:val="bullet"/>
      <w:lvlText w:val=""/>
      <w:lvlJc w:val="left"/>
      <w:pPr>
        <w:ind w:left="720" w:hanging="360"/>
      </w:pPr>
      <w:rPr>
        <w:rFonts w:ascii="Symbol" w:hAnsi="Symbol"/>
      </w:rPr>
    </w:lvl>
    <w:lvl w:ilvl="6" w:tplc="0D42FFB6">
      <w:start w:val="1"/>
      <w:numFmt w:val="bullet"/>
      <w:lvlText w:val=""/>
      <w:lvlJc w:val="left"/>
      <w:pPr>
        <w:ind w:left="720" w:hanging="360"/>
      </w:pPr>
      <w:rPr>
        <w:rFonts w:ascii="Symbol" w:hAnsi="Symbol"/>
      </w:rPr>
    </w:lvl>
    <w:lvl w:ilvl="7" w:tplc="6E30BB86">
      <w:start w:val="1"/>
      <w:numFmt w:val="bullet"/>
      <w:lvlText w:val=""/>
      <w:lvlJc w:val="left"/>
      <w:pPr>
        <w:ind w:left="720" w:hanging="360"/>
      </w:pPr>
      <w:rPr>
        <w:rFonts w:ascii="Symbol" w:hAnsi="Symbol"/>
      </w:rPr>
    </w:lvl>
    <w:lvl w:ilvl="8" w:tplc="745A2900">
      <w:start w:val="1"/>
      <w:numFmt w:val="bullet"/>
      <w:lvlText w:val=""/>
      <w:lvlJc w:val="left"/>
      <w:pPr>
        <w:ind w:left="720" w:hanging="360"/>
      </w:pPr>
      <w:rPr>
        <w:rFonts w:ascii="Symbol" w:hAnsi="Symbol"/>
      </w:rPr>
    </w:lvl>
  </w:abstractNum>
  <w:abstractNum w:abstractNumId="116" w15:restartNumberingAfterBreak="0">
    <w:nsid w:val="78790D87"/>
    <w:multiLevelType w:val="hybridMultilevel"/>
    <w:tmpl w:val="65201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7" w15:restartNumberingAfterBreak="0">
    <w:nsid w:val="79C42DA6"/>
    <w:multiLevelType w:val="hybridMultilevel"/>
    <w:tmpl w:val="C5E2E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9EE0484"/>
    <w:multiLevelType w:val="hybridMultilevel"/>
    <w:tmpl w:val="C30A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BED16E1"/>
    <w:multiLevelType w:val="multilevel"/>
    <w:tmpl w:val="CCD6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B04EBF"/>
    <w:multiLevelType w:val="hybridMultilevel"/>
    <w:tmpl w:val="82522646"/>
    <w:lvl w:ilvl="0" w:tplc="22C676FE">
      <w:start w:val="19"/>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D3F3AD8"/>
    <w:multiLevelType w:val="hybridMultilevel"/>
    <w:tmpl w:val="2872E442"/>
    <w:lvl w:ilvl="0" w:tplc="43F6CB28">
      <w:start w:val="1"/>
      <w:numFmt w:val="bullet"/>
      <w:lvlText w:val=""/>
      <w:lvlJc w:val="left"/>
      <w:pPr>
        <w:ind w:left="720" w:hanging="360"/>
      </w:pPr>
      <w:rPr>
        <w:rFonts w:ascii="Symbol" w:hAnsi="Symbol" w:hint="default"/>
        <w:color w:val="7B5E0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D4518C4"/>
    <w:multiLevelType w:val="hybridMultilevel"/>
    <w:tmpl w:val="BEBCE80C"/>
    <w:lvl w:ilvl="0" w:tplc="CF1295C8">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E862574"/>
    <w:multiLevelType w:val="hybridMultilevel"/>
    <w:tmpl w:val="1BD8A01C"/>
    <w:lvl w:ilvl="0" w:tplc="629EB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F77500A"/>
    <w:multiLevelType w:val="hybridMultilevel"/>
    <w:tmpl w:val="02921CD8"/>
    <w:lvl w:ilvl="0" w:tplc="5FF6F3E6">
      <w:start w:val="1"/>
      <w:numFmt w:val="bullet"/>
      <w:lvlText w:val=""/>
      <w:lvlJc w:val="left"/>
      <w:pPr>
        <w:ind w:left="1440" w:hanging="360"/>
      </w:pPr>
      <w:rPr>
        <w:rFonts w:ascii="Symbol" w:hAnsi="Symbol"/>
      </w:rPr>
    </w:lvl>
    <w:lvl w:ilvl="1" w:tplc="F9CE1E0C">
      <w:start w:val="1"/>
      <w:numFmt w:val="bullet"/>
      <w:lvlText w:val=""/>
      <w:lvlJc w:val="left"/>
      <w:pPr>
        <w:ind w:left="2160" w:hanging="360"/>
      </w:pPr>
      <w:rPr>
        <w:rFonts w:ascii="Symbol" w:hAnsi="Symbol"/>
      </w:rPr>
    </w:lvl>
    <w:lvl w:ilvl="2" w:tplc="3C52951E">
      <w:start w:val="1"/>
      <w:numFmt w:val="bullet"/>
      <w:lvlText w:val=""/>
      <w:lvlJc w:val="left"/>
      <w:pPr>
        <w:ind w:left="1440" w:hanging="360"/>
      </w:pPr>
      <w:rPr>
        <w:rFonts w:ascii="Symbol" w:hAnsi="Symbol"/>
      </w:rPr>
    </w:lvl>
    <w:lvl w:ilvl="3" w:tplc="188271F6">
      <w:start w:val="1"/>
      <w:numFmt w:val="bullet"/>
      <w:lvlText w:val=""/>
      <w:lvlJc w:val="left"/>
      <w:pPr>
        <w:ind w:left="1440" w:hanging="360"/>
      </w:pPr>
      <w:rPr>
        <w:rFonts w:ascii="Symbol" w:hAnsi="Symbol"/>
      </w:rPr>
    </w:lvl>
    <w:lvl w:ilvl="4" w:tplc="8B84EE94">
      <w:start w:val="1"/>
      <w:numFmt w:val="bullet"/>
      <w:lvlText w:val=""/>
      <w:lvlJc w:val="left"/>
      <w:pPr>
        <w:ind w:left="1440" w:hanging="360"/>
      </w:pPr>
      <w:rPr>
        <w:rFonts w:ascii="Symbol" w:hAnsi="Symbol"/>
      </w:rPr>
    </w:lvl>
    <w:lvl w:ilvl="5" w:tplc="5452374E">
      <w:start w:val="1"/>
      <w:numFmt w:val="bullet"/>
      <w:lvlText w:val=""/>
      <w:lvlJc w:val="left"/>
      <w:pPr>
        <w:ind w:left="1440" w:hanging="360"/>
      </w:pPr>
      <w:rPr>
        <w:rFonts w:ascii="Symbol" w:hAnsi="Symbol"/>
      </w:rPr>
    </w:lvl>
    <w:lvl w:ilvl="6" w:tplc="345647F8">
      <w:start w:val="1"/>
      <w:numFmt w:val="bullet"/>
      <w:lvlText w:val=""/>
      <w:lvlJc w:val="left"/>
      <w:pPr>
        <w:ind w:left="1440" w:hanging="360"/>
      </w:pPr>
      <w:rPr>
        <w:rFonts w:ascii="Symbol" w:hAnsi="Symbol"/>
      </w:rPr>
    </w:lvl>
    <w:lvl w:ilvl="7" w:tplc="79A89C72">
      <w:start w:val="1"/>
      <w:numFmt w:val="bullet"/>
      <w:lvlText w:val=""/>
      <w:lvlJc w:val="left"/>
      <w:pPr>
        <w:ind w:left="1440" w:hanging="360"/>
      </w:pPr>
      <w:rPr>
        <w:rFonts w:ascii="Symbol" w:hAnsi="Symbol"/>
      </w:rPr>
    </w:lvl>
    <w:lvl w:ilvl="8" w:tplc="59B85B5E">
      <w:start w:val="1"/>
      <w:numFmt w:val="bullet"/>
      <w:lvlText w:val=""/>
      <w:lvlJc w:val="left"/>
      <w:pPr>
        <w:ind w:left="1440" w:hanging="360"/>
      </w:pPr>
      <w:rPr>
        <w:rFonts w:ascii="Symbol" w:hAnsi="Symbol"/>
      </w:rPr>
    </w:lvl>
  </w:abstractNum>
  <w:num w:numId="1" w16cid:durableId="667829454">
    <w:abstractNumId w:val="66"/>
  </w:num>
  <w:num w:numId="2" w16cid:durableId="2081709249">
    <w:abstractNumId w:val="101"/>
  </w:num>
  <w:num w:numId="3" w16cid:durableId="2134446842">
    <w:abstractNumId w:val="15"/>
  </w:num>
  <w:num w:numId="4" w16cid:durableId="1209024410">
    <w:abstractNumId w:val="47"/>
  </w:num>
  <w:num w:numId="5" w16cid:durableId="1137259169">
    <w:abstractNumId w:val="66"/>
  </w:num>
  <w:num w:numId="6" w16cid:durableId="1534687219">
    <w:abstractNumId w:val="10"/>
  </w:num>
  <w:num w:numId="7" w16cid:durableId="289632091">
    <w:abstractNumId w:val="61"/>
  </w:num>
  <w:num w:numId="8" w16cid:durableId="1470516487">
    <w:abstractNumId w:val="34"/>
  </w:num>
  <w:num w:numId="9" w16cid:durableId="591817664">
    <w:abstractNumId w:val="74"/>
  </w:num>
  <w:num w:numId="10" w16cid:durableId="1116026855">
    <w:abstractNumId w:val="96"/>
  </w:num>
  <w:num w:numId="11" w16cid:durableId="2089837679">
    <w:abstractNumId w:val="45"/>
  </w:num>
  <w:num w:numId="12" w16cid:durableId="1346059237">
    <w:abstractNumId w:val="41"/>
  </w:num>
  <w:num w:numId="13" w16cid:durableId="558633011">
    <w:abstractNumId w:val="63"/>
  </w:num>
  <w:num w:numId="14" w16cid:durableId="136530994">
    <w:abstractNumId w:val="73"/>
  </w:num>
  <w:num w:numId="15" w16cid:durableId="1475679927">
    <w:abstractNumId w:val="25"/>
  </w:num>
  <w:num w:numId="16" w16cid:durableId="1451977889">
    <w:abstractNumId w:val="53"/>
  </w:num>
  <w:num w:numId="17" w16cid:durableId="1811481644">
    <w:abstractNumId w:val="91"/>
  </w:num>
  <w:num w:numId="18" w16cid:durableId="1389304091">
    <w:abstractNumId w:val="80"/>
  </w:num>
  <w:num w:numId="19" w16cid:durableId="899242702">
    <w:abstractNumId w:val="99"/>
  </w:num>
  <w:num w:numId="20" w16cid:durableId="682129101">
    <w:abstractNumId w:val="102"/>
  </w:num>
  <w:num w:numId="21" w16cid:durableId="1962876572">
    <w:abstractNumId w:val="11"/>
  </w:num>
  <w:num w:numId="22" w16cid:durableId="1653169745">
    <w:abstractNumId w:val="121"/>
  </w:num>
  <w:num w:numId="23" w16cid:durableId="1308315702">
    <w:abstractNumId w:val="62"/>
  </w:num>
  <w:num w:numId="24" w16cid:durableId="1622692031">
    <w:abstractNumId w:val="22"/>
  </w:num>
  <w:num w:numId="25" w16cid:durableId="2127842736">
    <w:abstractNumId w:val="35"/>
  </w:num>
  <w:num w:numId="26" w16cid:durableId="215941787">
    <w:abstractNumId w:val="122"/>
  </w:num>
  <w:num w:numId="27" w16cid:durableId="617107029">
    <w:abstractNumId w:val="82"/>
  </w:num>
  <w:num w:numId="28" w16cid:durableId="1878003831">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29" w16cid:durableId="1997569272">
    <w:abstractNumId w:val="75"/>
  </w:num>
  <w:num w:numId="30" w16cid:durableId="1999845478">
    <w:abstractNumId w:val="58"/>
  </w:num>
  <w:num w:numId="31" w16cid:durableId="673074591">
    <w:abstractNumId w:val="98"/>
  </w:num>
  <w:num w:numId="32" w16cid:durableId="373818757">
    <w:abstractNumId w:val="124"/>
  </w:num>
  <w:num w:numId="33" w16cid:durableId="1498233330">
    <w:abstractNumId w:val="65"/>
  </w:num>
  <w:num w:numId="34" w16cid:durableId="554395412">
    <w:abstractNumId w:val="18"/>
  </w:num>
  <w:num w:numId="35" w16cid:durableId="2054384009">
    <w:abstractNumId w:val="115"/>
  </w:num>
  <w:num w:numId="36" w16cid:durableId="446201719">
    <w:abstractNumId w:val="44"/>
  </w:num>
  <w:num w:numId="37" w16cid:durableId="1877541087">
    <w:abstractNumId w:val="14"/>
  </w:num>
  <w:num w:numId="38" w16cid:durableId="584799221">
    <w:abstractNumId w:val="39"/>
  </w:num>
  <w:num w:numId="39" w16cid:durableId="603465116">
    <w:abstractNumId w:val="3"/>
  </w:num>
  <w:num w:numId="40" w16cid:durableId="456995541">
    <w:abstractNumId w:val="28"/>
  </w:num>
  <w:num w:numId="41" w16cid:durableId="169876850">
    <w:abstractNumId w:val="109"/>
  </w:num>
  <w:num w:numId="42" w16cid:durableId="1585189313">
    <w:abstractNumId w:val="57"/>
  </w:num>
  <w:num w:numId="43" w16cid:durableId="197402870">
    <w:abstractNumId w:val="13"/>
  </w:num>
  <w:num w:numId="44" w16cid:durableId="1507793761">
    <w:abstractNumId w:val="27"/>
  </w:num>
  <w:num w:numId="45" w16cid:durableId="357505910">
    <w:abstractNumId w:val="64"/>
  </w:num>
  <w:num w:numId="46" w16cid:durableId="1289504777">
    <w:abstractNumId w:val="40"/>
  </w:num>
  <w:num w:numId="47" w16cid:durableId="19014299">
    <w:abstractNumId w:val="17"/>
  </w:num>
  <w:num w:numId="48" w16cid:durableId="1220894974">
    <w:abstractNumId w:val="30"/>
  </w:num>
  <w:num w:numId="49" w16cid:durableId="658995359">
    <w:abstractNumId w:val="38"/>
  </w:num>
  <w:num w:numId="50" w16cid:durableId="200900055">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51" w16cid:durableId="944655971">
    <w:abstractNumId w:val="85"/>
  </w:num>
  <w:num w:numId="52" w16cid:durableId="1107382441">
    <w:abstractNumId w:val="20"/>
  </w:num>
  <w:num w:numId="53" w16cid:durableId="741101835">
    <w:abstractNumId w:val="78"/>
  </w:num>
  <w:num w:numId="54" w16cid:durableId="1910263544">
    <w:abstractNumId w:val="43"/>
  </w:num>
  <w:num w:numId="55" w16cid:durableId="1106462022">
    <w:abstractNumId w:val="92"/>
  </w:num>
  <w:num w:numId="56" w16cid:durableId="2064940862">
    <w:abstractNumId w:val="55"/>
  </w:num>
  <w:num w:numId="57" w16cid:durableId="1444111266">
    <w:abstractNumId w:val="16"/>
  </w:num>
  <w:num w:numId="58" w16cid:durableId="697434635">
    <w:abstractNumId w:val="23"/>
  </w:num>
  <w:num w:numId="59" w16cid:durableId="643504945">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60" w16cid:durableId="1063260879">
    <w:abstractNumId w:val="50"/>
  </w:num>
  <w:num w:numId="61" w16cid:durableId="962463343">
    <w:abstractNumId w:val="108"/>
  </w:num>
  <w:num w:numId="62" w16cid:durableId="2072608328">
    <w:abstractNumId w:val="104"/>
  </w:num>
  <w:num w:numId="63" w16cid:durableId="388501567">
    <w:abstractNumId w:val="106"/>
  </w:num>
  <w:num w:numId="64" w16cid:durableId="25452272">
    <w:abstractNumId w:val="113"/>
  </w:num>
  <w:num w:numId="65" w16cid:durableId="1506432552">
    <w:abstractNumId w:val="94"/>
  </w:num>
  <w:num w:numId="66" w16cid:durableId="1055740551">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67" w16cid:durableId="1159079172">
    <w:abstractNumId w:val="101"/>
  </w:num>
  <w:num w:numId="68" w16cid:durableId="1826774702">
    <w:abstractNumId w:val="101"/>
  </w:num>
  <w:num w:numId="69" w16cid:durableId="765812937">
    <w:abstractNumId w:val="88"/>
  </w:num>
  <w:num w:numId="70" w16cid:durableId="208222108">
    <w:abstractNumId w:val="9"/>
  </w:num>
  <w:num w:numId="71" w16cid:durableId="1243828892">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72" w16cid:durableId="1736317925">
    <w:abstractNumId w:val="93"/>
  </w:num>
  <w:num w:numId="73" w16cid:durableId="1882087883">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74" w16cid:durableId="1530483600">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75" w16cid:durableId="1332414673">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76" w16cid:durableId="686055008">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77" w16cid:durableId="1793982567">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78" w16cid:durableId="900293936">
    <w:abstractNumId w:val="29"/>
  </w:num>
  <w:num w:numId="79" w16cid:durableId="2063169521">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80" w16cid:durableId="1923678607">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81" w16cid:durableId="1548486939">
    <w:abstractNumId w:val="111"/>
  </w:num>
  <w:num w:numId="82" w16cid:durableId="1803158733">
    <w:abstractNumId w:val="66"/>
    <w:lvlOverride w:ilvl="0">
      <w:lvl w:ilvl="0">
        <w:start w:val="1"/>
        <w:numFmt w:val="decimal"/>
        <w:pStyle w:val="Heading5"/>
        <w:lvlText w:val="%1."/>
        <w:lvlJc w:val="left"/>
        <w:pPr>
          <w:ind w:left="993" w:hanging="567"/>
        </w:p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83" w16cid:durableId="964233301">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84" w16cid:durableId="1071653738">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85" w16cid:durableId="294330859">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86" w16cid:durableId="979072118">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87" w16cid:durableId="647979609">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88" w16cid:durableId="242421985">
    <w:abstractNumId w:val="118"/>
  </w:num>
  <w:num w:numId="89" w16cid:durableId="472799308">
    <w:abstractNumId w:val="1"/>
  </w:num>
  <w:num w:numId="90" w16cid:durableId="664867083">
    <w:abstractNumId w:val="19"/>
  </w:num>
  <w:num w:numId="91" w16cid:durableId="337738860">
    <w:abstractNumId w:val="33"/>
  </w:num>
  <w:num w:numId="92" w16cid:durableId="1594121434">
    <w:abstractNumId w:val="84"/>
  </w:num>
  <w:num w:numId="93" w16cid:durableId="1464423327">
    <w:abstractNumId w:val="49"/>
  </w:num>
  <w:num w:numId="94" w16cid:durableId="540364785">
    <w:abstractNumId w:val="0"/>
  </w:num>
  <w:num w:numId="95" w16cid:durableId="11760046">
    <w:abstractNumId w:val="105"/>
  </w:num>
  <w:num w:numId="96" w16cid:durableId="2066417312">
    <w:abstractNumId w:val="37"/>
  </w:num>
  <w:num w:numId="97" w16cid:durableId="1032263163">
    <w:abstractNumId w:val="100"/>
  </w:num>
  <w:num w:numId="98" w16cid:durableId="827328321">
    <w:abstractNumId w:val="110"/>
  </w:num>
  <w:num w:numId="99" w16cid:durableId="96410386">
    <w:abstractNumId w:val="6"/>
  </w:num>
  <w:num w:numId="100" w16cid:durableId="1470517713">
    <w:abstractNumId w:val="101"/>
  </w:num>
  <w:num w:numId="101" w16cid:durableId="1907764690">
    <w:abstractNumId w:val="31"/>
  </w:num>
  <w:num w:numId="102" w16cid:durableId="149372195">
    <w:abstractNumId w:val="59"/>
  </w:num>
  <w:num w:numId="103" w16cid:durableId="1033582107">
    <w:abstractNumId w:val="95"/>
  </w:num>
  <w:num w:numId="104" w16cid:durableId="2046828196">
    <w:abstractNumId w:val="69"/>
  </w:num>
  <w:num w:numId="105" w16cid:durableId="2134204976">
    <w:abstractNumId w:val="21"/>
  </w:num>
  <w:num w:numId="106" w16cid:durableId="325012699">
    <w:abstractNumId w:val="116"/>
  </w:num>
  <w:num w:numId="107" w16cid:durableId="98112127">
    <w:abstractNumId w:val="79"/>
  </w:num>
  <w:num w:numId="108" w16cid:durableId="1655253944">
    <w:abstractNumId w:val="116"/>
  </w:num>
  <w:num w:numId="109" w16cid:durableId="707606961">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3431" w:hanging="737"/>
        </w:pPr>
      </w:lvl>
    </w:lvlOverride>
    <w:lvlOverride w:ilvl="2">
      <w:lvl w:ilvl="2">
        <w:start w:val="1"/>
        <w:numFmt w:val="decimal"/>
        <w:pStyle w:val="Heading7"/>
        <w:lvlText w:val="%1.%2.%3"/>
        <w:lvlJc w:val="left"/>
        <w:pPr>
          <w:ind w:left="907" w:hanging="907"/>
        </w:p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2438" w:hanging="2438"/>
        </w:pPr>
        <w:rPr>
          <w:rFonts w:hint="default"/>
          <w:color w:val="7B5E05" w:themeColor="accent1"/>
        </w:rPr>
      </w:lvl>
    </w:lvlOverride>
  </w:num>
  <w:num w:numId="110" w16cid:durableId="583998506">
    <w:abstractNumId w:val="42"/>
  </w:num>
  <w:num w:numId="111" w16cid:durableId="1601336004">
    <w:abstractNumId w:val="71"/>
  </w:num>
  <w:num w:numId="112" w16cid:durableId="1907914418">
    <w:abstractNumId w:val="86"/>
  </w:num>
  <w:num w:numId="113" w16cid:durableId="51075982">
    <w:abstractNumId w:val="119"/>
  </w:num>
  <w:num w:numId="114" w16cid:durableId="1809545495">
    <w:abstractNumId w:val="46"/>
  </w:num>
  <w:num w:numId="115" w16cid:durableId="41947821">
    <w:abstractNumId w:val="36"/>
  </w:num>
  <w:num w:numId="116" w16cid:durableId="1082022492">
    <w:abstractNumId w:val="76"/>
  </w:num>
  <w:num w:numId="117" w16cid:durableId="737367905">
    <w:abstractNumId w:val="97"/>
  </w:num>
  <w:num w:numId="118" w16cid:durableId="1275406551">
    <w:abstractNumId w:val="12"/>
  </w:num>
  <w:num w:numId="119" w16cid:durableId="770593319">
    <w:abstractNumId w:val="107"/>
  </w:num>
  <w:num w:numId="120" w16cid:durableId="709258715">
    <w:abstractNumId w:val="52"/>
  </w:num>
  <w:num w:numId="121" w16cid:durableId="672219859">
    <w:abstractNumId w:val="70"/>
  </w:num>
  <w:num w:numId="122" w16cid:durableId="1092124494">
    <w:abstractNumId w:val="24"/>
  </w:num>
  <w:num w:numId="123" w16cid:durableId="1812752045">
    <w:abstractNumId w:val="56"/>
  </w:num>
  <w:num w:numId="124" w16cid:durableId="621494192">
    <w:abstractNumId w:val="66"/>
    <w:lvlOverride w:ilvl="0">
      <w:lvl w:ilvl="0">
        <w:start w:val="1"/>
        <w:numFmt w:val="decimal"/>
        <w:pStyle w:val="Heading5"/>
        <w:lvlText w:val="%1."/>
        <w:lvlJc w:val="left"/>
        <w:pPr>
          <w:ind w:left="567" w:hanging="567"/>
        </w:pPr>
        <w:rPr>
          <w:rFonts w:hint="default"/>
        </w:rPr>
      </w:lvl>
    </w:lvlOverride>
    <w:lvlOverride w:ilvl="1">
      <w:lvl w:ilvl="1">
        <w:start w:val="1"/>
        <w:numFmt w:val="decimal"/>
        <w:pStyle w:val="Heading6"/>
        <w:lvlText w:val="%1.%2"/>
        <w:lvlJc w:val="left"/>
        <w:pPr>
          <w:ind w:left="737" w:hanging="737"/>
        </w:pPr>
        <w:rPr>
          <w:rFonts w:hint="default"/>
        </w:rPr>
      </w:lvl>
    </w:lvlOverride>
    <w:lvlOverride w:ilvl="2">
      <w:lvl w:ilvl="2">
        <w:start w:val="1"/>
        <w:numFmt w:val="decimal"/>
        <w:pStyle w:val="Heading7"/>
        <w:lvlText w:val="%1.%2.%3"/>
        <w:lvlJc w:val="left"/>
        <w:pPr>
          <w:ind w:left="907" w:hanging="907"/>
        </w:pPr>
        <w:rPr>
          <w:rFonts w:hint="default"/>
        </w:rPr>
      </w:lvl>
    </w:lvlOverride>
    <w:lvlOverride w:ilvl="3">
      <w:lvl w:ilvl="3">
        <w:start w:val="1"/>
        <w:numFmt w:val="decimal"/>
        <w:pStyle w:val="Heading8"/>
        <w:lvlText w:val="%1.%2.%3.%4"/>
        <w:lvlJc w:val="left"/>
        <w:pPr>
          <w:ind w:left="1077" w:hanging="1077"/>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pStyle w:val="Heading9"/>
        <w:lvlText w:val="Appendix %9"/>
        <w:lvlJc w:val="left"/>
        <w:pPr>
          <w:ind w:left="6975" w:hanging="2438"/>
        </w:pPr>
        <w:rPr>
          <w:rFonts w:hint="default"/>
          <w:color w:val="7B5E05" w:themeColor="accent1"/>
        </w:rPr>
      </w:lvl>
    </w:lvlOverride>
  </w:num>
  <w:num w:numId="125" w16cid:durableId="615792819">
    <w:abstractNumId w:val="83"/>
  </w:num>
  <w:num w:numId="126" w16cid:durableId="1343820654">
    <w:abstractNumId w:val="120"/>
  </w:num>
  <w:num w:numId="127" w16cid:durableId="1668240085">
    <w:abstractNumId w:val="90"/>
  </w:num>
  <w:num w:numId="128" w16cid:durableId="1758673428">
    <w:abstractNumId w:val="51"/>
  </w:num>
  <w:num w:numId="129" w16cid:durableId="1406688603">
    <w:abstractNumId w:val="60"/>
  </w:num>
  <w:num w:numId="130" w16cid:durableId="861939362">
    <w:abstractNumId w:val="72"/>
  </w:num>
  <w:num w:numId="131" w16cid:durableId="639113792">
    <w:abstractNumId w:val="117"/>
  </w:num>
  <w:num w:numId="132" w16cid:durableId="1360080382">
    <w:abstractNumId w:val="4"/>
  </w:num>
  <w:num w:numId="133" w16cid:durableId="384646386">
    <w:abstractNumId w:val="89"/>
  </w:num>
  <w:num w:numId="134" w16cid:durableId="411002988">
    <w:abstractNumId w:val="77"/>
  </w:num>
  <w:num w:numId="135" w16cid:durableId="1908494681">
    <w:abstractNumId w:val="32"/>
  </w:num>
  <w:num w:numId="136" w16cid:durableId="1872572262">
    <w:abstractNumId w:val="8"/>
  </w:num>
  <w:num w:numId="137" w16cid:durableId="1662543781">
    <w:abstractNumId w:val="54"/>
  </w:num>
  <w:num w:numId="138" w16cid:durableId="1612282046">
    <w:abstractNumId w:val="87"/>
  </w:num>
  <w:num w:numId="139" w16cid:durableId="1602029160">
    <w:abstractNumId w:val="5"/>
  </w:num>
  <w:num w:numId="140" w16cid:durableId="1778021038">
    <w:abstractNumId w:val="103"/>
  </w:num>
  <w:num w:numId="141" w16cid:durableId="1071386020">
    <w:abstractNumId w:val="7"/>
  </w:num>
  <w:num w:numId="142" w16cid:durableId="1905291401">
    <w:abstractNumId w:val="68"/>
  </w:num>
  <w:num w:numId="143" w16cid:durableId="325985991">
    <w:abstractNumId w:val="26"/>
  </w:num>
  <w:num w:numId="144" w16cid:durableId="1681927683">
    <w:abstractNumId w:val="123"/>
  </w:num>
  <w:num w:numId="145" w16cid:durableId="1515270052">
    <w:abstractNumId w:val="48"/>
  </w:num>
  <w:num w:numId="146" w16cid:durableId="1610502824">
    <w:abstractNumId w:val="66"/>
  </w:num>
  <w:num w:numId="147" w16cid:durableId="1361586038">
    <w:abstractNumId w:val="66"/>
  </w:num>
  <w:num w:numId="148" w16cid:durableId="61175446">
    <w:abstractNumId w:val="67"/>
  </w:num>
  <w:num w:numId="149" w16cid:durableId="1872765913">
    <w:abstractNumId w:val="66"/>
  </w:num>
  <w:num w:numId="150" w16cid:durableId="692804875">
    <w:abstractNumId w:val="114"/>
  </w:num>
  <w:num w:numId="151" w16cid:durableId="101037088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46343263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33191790">
    <w:abstractNumId w:val="2"/>
  </w:num>
  <w:num w:numId="154" w16cid:durableId="1411656692">
    <w:abstractNumId w:val="112"/>
  </w:num>
  <w:num w:numId="155" w16cid:durableId="1663678">
    <w:abstractNumId w:val="81"/>
  </w:num>
  <w:num w:numId="156" w16cid:durableId="792945487">
    <w:abstractNumId w:val="66"/>
  </w:num>
  <w:num w:numId="157" w16cid:durableId="1603223629">
    <w:abstractNumId w:val="66"/>
  </w:num>
  <w:num w:numId="158" w16cid:durableId="1604263178">
    <w:abstractNumId w:val="66"/>
  </w:num>
  <w:num w:numId="159" w16cid:durableId="1104348002">
    <w:abstractNumId w:val="66"/>
  </w:num>
  <w:num w:numId="160" w16cid:durableId="116922293">
    <w:abstractNumId w:val="66"/>
  </w:num>
  <w:num w:numId="161" w16cid:durableId="1356954375">
    <w:abstractNumId w:val="66"/>
  </w:num>
  <w:num w:numId="162" w16cid:durableId="140927886">
    <w:abstractNumId w:val="66"/>
  </w:num>
  <w:num w:numId="163" w16cid:durableId="1111826111">
    <w:abstractNumId w:val="66"/>
  </w:num>
  <w:num w:numId="164" w16cid:durableId="204679872">
    <w:abstractNumId w:val="66"/>
  </w:num>
  <w:num w:numId="165" w16cid:durableId="2074160754">
    <w:abstractNumId w:val="66"/>
  </w:num>
  <w:num w:numId="166" w16cid:durableId="36205639">
    <w:abstractNumId w:val="66"/>
  </w:num>
  <w:num w:numId="167" w16cid:durableId="661858940">
    <w:abstractNumId w:val="66"/>
  </w:num>
  <w:num w:numId="168" w16cid:durableId="1438984459">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2M7EwMjQ2N7C0NDdS0lEKTi0uzszPAykwrwUAdgamEiwAAAA="/>
  </w:docVars>
  <w:rsids>
    <w:rsidRoot w:val="005B76C6"/>
    <w:rsid w:val="00000078"/>
    <w:rsid w:val="000001F2"/>
    <w:rsid w:val="000001F4"/>
    <w:rsid w:val="000002BC"/>
    <w:rsid w:val="00000306"/>
    <w:rsid w:val="00000491"/>
    <w:rsid w:val="00000600"/>
    <w:rsid w:val="0000069A"/>
    <w:rsid w:val="000006EE"/>
    <w:rsid w:val="00000804"/>
    <w:rsid w:val="000008BE"/>
    <w:rsid w:val="0000092D"/>
    <w:rsid w:val="00000935"/>
    <w:rsid w:val="0000093E"/>
    <w:rsid w:val="00000974"/>
    <w:rsid w:val="00000E69"/>
    <w:rsid w:val="00000F72"/>
    <w:rsid w:val="000011C5"/>
    <w:rsid w:val="000012FA"/>
    <w:rsid w:val="00001459"/>
    <w:rsid w:val="0000162B"/>
    <w:rsid w:val="00001642"/>
    <w:rsid w:val="00001657"/>
    <w:rsid w:val="00001682"/>
    <w:rsid w:val="000016F9"/>
    <w:rsid w:val="00001898"/>
    <w:rsid w:val="00001975"/>
    <w:rsid w:val="00001A29"/>
    <w:rsid w:val="00001B21"/>
    <w:rsid w:val="00001B3B"/>
    <w:rsid w:val="00001C74"/>
    <w:rsid w:val="00001C8A"/>
    <w:rsid w:val="00001CBE"/>
    <w:rsid w:val="00001ECD"/>
    <w:rsid w:val="00001F55"/>
    <w:rsid w:val="00001FCB"/>
    <w:rsid w:val="0000208B"/>
    <w:rsid w:val="000022D0"/>
    <w:rsid w:val="000022E2"/>
    <w:rsid w:val="00002385"/>
    <w:rsid w:val="000025AF"/>
    <w:rsid w:val="000025CA"/>
    <w:rsid w:val="000025CB"/>
    <w:rsid w:val="00002704"/>
    <w:rsid w:val="00002723"/>
    <w:rsid w:val="0000283D"/>
    <w:rsid w:val="0000299A"/>
    <w:rsid w:val="00002ACB"/>
    <w:rsid w:val="00002B11"/>
    <w:rsid w:val="00002D44"/>
    <w:rsid w:val="00002D5E"/>
    <w:rsid w:val="00002F25"/>
    <w:rsid w:val="00002F43"/>
    <w:rsid w:val="00002F51"/>
    <w:rsid w:val="00002F7E"/>
    <w:rsid w:val="00003173"/>
    <w:rsid w:val="00003379"/>
    <w:rsid w:val="0000345D"/>
    <w:rsid w:val="00003500"/>
    <w:rsid w:val="000035D6"/>
    <w:rsid w:val="00003684"/>
    <w:rsid w:val="000036B9"/>
    <w:rsid w:val="0000378E"/>
    <w:rsid w:val="000037F7"/>
    <w:rsid w:val="0000388C"/>
    <w:rsid w:val="000038B7"/>
    <w:rsid w:val="000039C7"/>
    <w:rsid w:val="00003A01"/>
    <w:rsid w:val="00003A79"/>
    <w:rsid w:val="00003ABC"/>
    <w:rsid w:val="00003D12"/>
    <w:rsid w:val="00003E0E"/>
    <w:rsid w:val="00003F06"/>
    <w:rsid w:val="0000422B"/>
    <w:rsid w:val="00004351"/>
    <w:rsid w:val="00004387"/>
    <w:rsid w:val="0000439C"/>
    <w:rsid w:val="0000441C"/>
    <w:rsid w:val="0000448F"/>
    <w:rsid w:val="0000452F"/>
    <w:rsid w:val="000045E9"/>
    <w:rsid w:val="00004643"/>
    <w:rsid w:val="000046A8"/>
    <w:rsid w:val="00004921"/>
    <w:rsid w:val="00004A20"/>
    <w:rsid w:val="00004C12"/>
    <w:rsid w:val="00004D12"/>
    <w:rsid w:val="00004D6B"/>
    <w:rsid w:val="00004E19"/>
    <w:rsid w:val="00004F41"/>
    <w:rsid w:val="00004FF6"/>
    <w:rsid w:val="0000505E"/>
    <w:rsid w:val="00005082"/>
    <w:rsid w:val="00005260"/>
    <w:rsid w:val="000054CC"/>
    <w:rsid w:val="0000557D"/>
    <w:rsid w:val="000055B1"/>
    <w:rsid w:val="0000569A"/>
    <w:rsid w:val="0000574A"/>
    <w:rsid w:val="000057C7"/>
    <w:rsid w:val="00005882"/>
    <w:rsid w:val="00005A82"/>
    <w:rsid w:val="00005AD7"/>
    <w:rsid w:val="00005BF0"/>
    <w:rsid w:val="00005DB2"/>
    <w:rsid w:val="00005DCF"/>
    <w:rsid w:val="00005DF2"/>
    <w:rsid w:val="00005FA5"/>
    <w:rsid w:val="0000600C"/>
    <w:rsid w:val="000061ED"/>
    <w:rsid w:val="00006281"/>
    <w:rsid w:val="00006475"/>
    <w:rsid w:val="000065D8"/>
    <w:rsid w:val="00006891"/>
    <w:rsid w:val="000068CF"/>
    <w:rsid w:val="00006A26"/>
    <w:rsid w:val="00006B46"/>
    <w:rsid w:val="00006C9E"/>
    <w:rsid w:val="00006D12"/>
    <w:rsid w:val="00006D42"/>
    <w:rsid w:val="00006E80"/>
    <w:rsid w:val="00006E92"/>
    <w:rsid w:val="00006EBB"/>
    <w:rsid w:val="00006F05"/>
    <w:rsid w:val="00006F7F"/>
    <w:rsid w:val="00007082"/>
    <w:rsid w:val="000070DB"/>
    <w:rsid w:val="0000713A"/>
    <w:rsid w:val="0000717C"/>
    <w:rsid w:val="0000719A"/>
    <w:rsid w:val="00007240"/>
    <w:rsid w:val="000074C7"/>
    <w:rsid w:val="000074C9"/>
    <w:rsid w:val="00007612"/>
    <w:rsid w:val="0000765E"/>
    <w:rsid w:val="00007757"/>
    <w:rsid w:val="00007803"/>
    <w:rsid w:val="0000786A"/>
    <w:rsid w:val="00007A07"/>
    <w:rsid w:val="00007A20"/>
    <w:rsid w:val="00007B03"/>
    <w:rsid w:val="00007B21"/>
    <w:rsid w:val="00007B56"/>
    <w:rsid w:val="00007CBE"/>
    <w:rsid w:val="00007DD9"/>
    <w:rsid w:val="00007DDD"/>
    <w:rsid w:val="00007F0A"/>
    <w:rsid w:val="0001010B"/>
    <w:rsid w:val="00010185"/>
    <w:rsid w:val="00010391"/>
    <w:rsid w:val="0001042F"/>
    <w:rsid w:val="00010461"/>
    <w:rsid w:val="0001049B"/>
    <w:rsid w:val="000104AC"/>
    <w:rsid w:val="000104D7"/>
    <w:rsid w:val="00010716"/>
    <w:rsid w:val="0001072A"/>
    <w:rsid w:val="00010780"/>
    <w:rsid w:val="0001080D"/>
    <w:rsid w:val="000109B6"/>
    <w:rsid w:val="00010ABB"/>
    <w:rsid w:val="00010AD7"/>
    <w:rsid w:val="00010B33"/>
    <w:rsid w:val="00010CBF"/>
    <w:rsid w:val="00010CFD"/>
    <w:rsid w:val="00010D4F"/>
    <w:rsid w:val="00010DB7"/>
    <w:rsid w:val="00010EC0"/>
    <w:rsid w:val="0001105F"/>
    <w:rsid w:val="00011129"/>
    <w:rsid w:val="000111B1"/>
    <w:rsid w:val="000111E1"/>
    <w:rsid w:val="000116B9"/>
    <w:rsid w:val="00011976"/>
    <w:rsid w:val="00011A19"/>
    <w:rsid w:val="00011AEC"/>
    <w:rsid w:val="00011B10"/>
    <w:rsid w:val="00011B3B"/>
    <w:rsid w:val="00011B3E"/>
    <w:rsid w:val="00011D15"/>
    <w:rsid w:val="00011D84"/>
    <w:rsid w:val="00011D88"/>
    <w:rsid w:val="00011E9A"/>
    <w:rsid w:val="00011F21"/>
    <w:rsid w:val="00011FED"/>
    <w:rsid w:val="000120B4"/>
    <w:rsid w:val="0001212E"/>
    <w:rsid w:val="0001224B"/>
    <w:rsid w:val="0001227D"/>
    <w:rsid w:val="00012326"/>
    <w:rsid w:val="000123CA"/>
    <w:rsid w:val="00012459"/>
    <w:rsid w:val="00012472"/>
    <w:rsid w:val="00012530"/>
    <w:rsid w:val="00012651"/>
    <w:rsid w:val="000126B0"/>
    <w:rsid w:val="000127C3"/>
    <w:rsid w:val="00012884"/>
    <w:rsid w:val="00012997"/>
    <w:rsid w:val="00012E8E"/>
    <w:rsid w:val="00012F56"/>
    <w:rsid w:val="00012FCF"/>
    <w:rsid w:val="000130CF"/>
    <w:rsid w:val="00013252"/>
    <w:rsid w:val="00013263"/>
    <w:rsid w:val="000132D0"/>
    <w:rsid w:val="000135B2"/>
    <w:rsid w:val="0001365A"/>
    <w:rsid w:val="00013935"/>
    <w:rsid w:val="00013CF0"/>
    <w:rsid w:val="00013D04"/>
    <w:rsid w:val="00013E64"/>
    <w:rsid w:val="00013F10"/>
    <w:rsid w:val="00013FD7"/>
    <w:rsid w:val="00014119"/>
    <w:rsid w:val="00014167"/>
    <w:rsid w:val="00014287"/>
    <w:rsid w:val="00014295"/>
    <w:rsid w:val="00014308"/>
    <w:rsid w:val="00014496"/>
    <w:rsid w:val="00014513"/>
    <w:rsid w:val="00014592"/>
    <w:rsid w:val="000145BE"/>
    <w:rsid w:val="000145CF"/>
    <w:rsid w:val="0001471E"/>
    <w:rsid w:val="000147A6"/>
    <w:rsid w:val="000148CE"/>
    <w:rsid w:val="00014A56"/>
    <w:rsid w:val="00014A5F"/>
    <w:rsid w:val="00014A6A"/>
    <w:rsid w:val="00014AED"/>
    <w:rsid w:val="00014BAC"/>
    <w:rsid w:val="00014D29"/>
    <w:rsid w:val="00014D3E"/>
    <w:rsid w:val="00014ED8"/>
    <w:rsid w:val="00014EEC"/>
    <w:rsid w:val="0001514C"/>
    <w:rsid w:val="0001515C"/>
    <w:rsid w:val="0001528E"/>
    <w:rsid w:val="00015454"/>
    <w:rsid w:val="00015613"/>
    <w:rsid w:val="0001568E"/>
    <w:rsid w:val="00015766"/>
    <w:rsid w:val="000157A7"/>
    <w:rsid w:val="000157A9"/>
    <w:rsid w:val="000158FD"/>
    <w:rsid w:val="00015A7E"/>
    <w:rsid w:val="00015A80"/>
    <w:rsid w:val="00015BD0"/>
    <w:rsid w:val="00015CC2"/>
    <w:rsid w:val="00015D0A"/>
    <w:rsid w:val="00015F15"/>
    <w:rsid w:val="00016005"/>
    <w:rsid w:val="00016265"/>
    <w:rsid w:val="000163D4"/>
    <w:rsid w:val="000164DB"/>
    <w:rsid w:val="00016710"/>
    <w:rsid w:val="00016813"/>
    <w:rsid w:val="0001681A"/>
    <w:rsid w:val="000168B9"/>
    <w:rsid w:val="00016922"/>
    <w:rsid w:val="00016952"/>
    <w:rsid w:val="00017164"/>
    <w:rsid w:val="00017330"/>
    <w:rsid w:val="0001758E"/>
    <w:rsid w:val="00017639"/>
    <w:rsid w:val="00017700"/>
    <w:rsid w:val="00017939"/>
    <w:rsid w:val="000179E5"/>
    <w:rsid w:val="00017A37"/>
    <w:rsid w:val="00017A40"/>
    <w:rsid w:val="00017A50"/>
    <w:rsid w:val="00017C38"/>
    <w:rsid w:val="00017CFA"/>
    <w:rsid w:val="00017EB1"/>
    <w:rsid w:val="00017F40"/>
    <w:rsid w:val="00017FBC"/>
    <w:rsid w:val="00017FEF"/>
    <w:rsid w:val="0002006F"/>
    <w:rsid w:val="00020240"/>
    <w:rsid w:val="0002031C"/>
    <w:rsid w:val="0002052D"/>
    <w:rsid w:val="00020573"/>
    <w:rsid w:val="000205EB"/>
    <w:rsid w:val="000206B2"/>
    <w:rsid w:val="000207D8"/>
    <w:rsid w:val="00020A23"/>
    <w:rsid w:val="00020A3D"/>
    <w:rsid w:val="00020B38"/>
    <w:rsid w:val="00020B6F"/>
    <w:rsid w:val="00020C6B"/>
    <w:rsid w:val="00020D70"/>
    <w:rsid w:val="00020E13"/>
    <w:rsid w:val="000210DF"/>
    <w:rsid w:val="0002124B"/>
    <w:rsid w:val="000212D6"/>
    <w:rsid w:val="000212E6"/>
    <w:rsid w:val="0002144A"/>
    <w:rsid w:val="0002157A"/>
    <w:rsid w:val="000215B0"/>
    <w:rsid w:val="00021778"/>
    <w:rsid w:val="0002179C"/>
    <w:rsid w:val="000219CC"/>
    <w:rsid w:val="00021AA9"/>
    <w:rsid w:val="00021BA5"/>
    <w:rsid w:val="00021C81"/>
    <w:rsid w:val="00021D0C"/>
    <w:rsid w:val="00021DA7"/>
    <w:rsid w:val="00021E8A"/>
    <w:rsid w:val="00022000"/>
    <w:rsid w:val="0002207C"/>
    <w:rsid w:val="000220E3"/>
    <w:rsid w:val="00022145"/>
    <w:rsid w:val="00022262"/>
    <w:rsid w:val="000222EB"/>
    <w:rsid w:val="000223CC"/>
    <w:rsid w:val="000223EF"/>
    <w:rsid w:val="000223F9"/>
    <w:rsid w:val="0002242C"/>
    <w:rsid w:val="0002273F"/>
    <w:rsid w:val="000228B8"/>
    <w:rsid w:val="0002290C"/>
    <w:rsid w:val="00022911"/>
    <w:rsid w:val="00022B67"/>
    <w:rsid w:val="00022CAB"/>
    <w:rsid w:val="00022CC3"/>
    <w:rsid w:val="00022CDB"/>
    <w:rsid w:val="00022D1B"/>
    <w:rsid w:val="00022D99"/>
    <w:rsid w:val="00022E7E"/>
    <w:rsid w:val="00022EE7"/>
    <w:rsid w:val="00022F47"/>
    <w:rsid w:val="00022F53"/>
    <w:rsid w:val="00023004"/>
    <w:rsid w:val="00023045"/>
    <w:rsid w:val="000231B9"/>
    <w:rsid w:val="00023201"/>
    <w:rsid w:val="00023228"/>
    <w:rsid w:val="000233E7"/>
    <w:rsid w:val="0002355E"/>
    <w:rsid w:val="000235BD"/>
    <w:rsid w:val="00023671"/>
    <w:rsid w:val="000236A9"/>
    <w:rsid w:val="00023A96"/>
    <w:rsid w:val="00023D13"/>
    <w:rsid w:val="00023DC4"/>
    <w:rsid w:val="00023FEC"/>
    <w:rsid w:val="00024197"/>
    <w:rsid w:val="000241C4"/>
    <w:rsid w:val="000242EE"/>
    <w:rsid w:val="00024353"/>
    <w:rsid w:val="000244FC"/>
    <w:rsid w:val="00024554"/>
    <w:rsid w:val="000245AF"/>
    <w:rsid w:val="000245FF"/>
    <w:rsid w:val="00024640"/>
    <w:rsid w:val="000246B4"/>
    <w:rsid w:val="00024A23"/>
    <w:rsid w:val="00024DFF"/>
    <w:rsid w:val="00024FF8"/>
    <w:rsid w:val="00025058"/>
    <w:rsid w:val="00025188"/>
    <w:rsid w:val="000253AB"/>
    <w:rsid w:val="000254C7"/>
    <w:rsid w:val="00025562"/>
    <w:rsid w:val="0002557C"/>
    <w:rsid w:val="00025629"/>
    <w:rsid w:val="000256FE"/>
    <w:rsid w:val="00025788"/>
    <w:rsid w:val="000259FB"/>
    <w:rsid w:val="00025A33"/>
    <w:rsid w:val="00025A70"/>
    <w:rsid w:val="00025B0F"/>
    <w:rsid w:val="00025BBF"/>
    <w:rsid w:val="00025C69"/>
    <w:rsid w:val="00025D03"/>
    <w:rsid w:val="00025DE7"/>
    <w:rsid w:val="00025F01"/>
    <w:rsid w:val="000261D6"/>
    <w:rsid w:val="0002624B"/>
    <w:rsid w:val="00026363"/>
    <w:rsid w:val="0002637D"/>
    <w:rsid w:val="0002652A"/>
    <w:rsid w:val="000265A2"/>
    <w:rsid w:val="0002675A"/>
    <w:rsid w:val="00026A51"/>
    <w:rsid w:val="00026BC8"/>
    <w:rsid w:val="00026C23"/>
    <w:rsid w:val="00026DF3"/>
    <w:rsid w:val="00027022"/>
    <w:rsid w:val="000272C8"/>
    <w:rsid w:val="00027386"/>
    <w:rsid w:val="000273E8"/>
    <w:rsid w:val="00027473"/>
    <w:rsid w:val="000276DA"/>
    <w:rsid w:val="0002774C"/>
    <w:rsid w:val="00027777"/>
    <w:rsid w:val="00027797"/>
    <w:rsid w:val="000277C8"/>
    <w:rsid w:val="0002780B"/>
    <w:rsid w:val="00027936"/>
    <w:rsid w:val="00027B41"/>
    <w:rsid w:val="00027B52"/>
    <w:rsid w:val="00027C08"/>
    <w:rsid w:val="00027CC9"/>
    <w:rsid w:val="00027F2D"/>
    <w:rsid w:val="0003001C"/>
    <w:rsid w:val="000300AC"/>
    <w:rsid w:val="000301AE"/>
    <w:rsid w:val="0003046D"/>
    <w:rsid w:val="00030501"/>
    <w:rsid w:val="000306AA"/>
    <w:rsid w:val="00030856"/>
    <w:rsid w:val="000309E8"/>
    <w:rsid w:val="00030A90"/>
    <w:rsid w:val="00030AD0"/>
    <w:rsid w:val="00030AE7"/>
    <w:rsid w:val="00030BB4"/>
    <w:rsid w:val="00030BC8"/>
    <w:rsid w:val="00030D24"/>
    <w:rsid w:val="00030DFB"/>
    <w:rsid w:val="00030E64"/>
    <w:rsid w:val="000310E9"/>
    <w:rsid w:val="00031116"/>
    <w:rsid w:val="0003113B"/>
    <w:rsid w:val="00031151"/>
    <w:rsid w:val="000311F7"/>
    <w:rsid w:val="00031206"/>
    <w:rsid w:val="00031481"/>
    <w:rsid w:val="00031644"/>
    <w:rsid w:val="0003164F"/>
    <w:rsid w:val="00031675"/>
    <w:rsid w:val="000316DA"/>
    <w:rsid w:val="000318F0"/>
    <w:rsid w:val="000319C4"/>
    <w:rsid w:val="00031A0F"/>
    <w:rsid w:val="00031A5B"/>
    <w:rsid w:val="00031AA6"/>
    <w:rsid w:val="00031E92"/>
    <w:rsid w:val="00031FD8"/>
    <w:rsid w:val="00031FE7"/>
    <w:rsid w:val="00032195"/>
    <w:rsid w:val="000321F1"/>
    <w:rsid w:val="0003224C"/>
    <w:rsid w:val="000323CE"/>
    <w:rsid w:val="0003240A"/>
    <w:rsid w:val="000324FF"/>
    <w:rsid w:val="000327E0"/>
    <w:rsid w:val="00032988"/>
    <w:rsid w:val="000329CD"/>
    <w:rsid w:val="00032BF3"/>
    <w:rsid w:val="00032C3C"/>
    <w:rsid w:val="00032D80"/>
    <w:rsid w:val="00032DF5"/>
    <w:rsid w:val="00032E48"/>
    <w:rsid w:val="00032EE2"/>
    <w:rsid w:val="00032EEB"/>
    <w:rsid w:val="00032F8E"/>
    <w:rsid w:val="0003301E"/>
    <w:rsid w:val="0003304F"/>
    <w:rsid w:val="00033213"/>
    <w:rsid w:val="0003334C"/>
    <w:rsid w:val="00033993"/>
    <w:rsid w:val="00033A78"/>
    <w:rsid w:val="00033BD6"/>
    <w:rsid w:val="00033C89"/>
    <w:rsid w:val="00033CD8"/>
    <w:rsid w:val="00033CF3"/>
    <w:rsid w:val="00033ED7"/>
    <w:rsid w:val="00034206"/>
    <w:rsid w:val="0003425E"/>
    <w:rsid w:val="0003428E"/>
    <w:rsid w:val="00034345"/>
    <w:rsid w:val="0003437C"/>
    <w:rsid w:val="000343CD"/>
    <w:rsid w:val="0003442D"/>
    <w:rsid w:val="00034474"/>
    <w:rsid w:val="000346D2"/>
    <w:rsid w:val="000346FC"/>
    <w:rsid w:val="00034757"/>
    <w:rsid w:val="00034889"/>
    <w:rsid w:val="00034AD7"/>
    <w:rsid w:val="00034C3A"/>
    <w:rsid w:val="00034C8D"/>
    <w:rsid w:val="00034D33"/>
    <w:rsid w:val="00034D98"/>
    <w:rsid w:val="00035058"/>
    <w:rsid w:val="00035203"/>
    <w:rsid w:val="00035270"/>
    <w:rsid w:val="000352B3"/>
    <w:rsid w:val="00035369"/>
    <w:rsid w:val="00035381"/>
    <w:rsid w:val="000353D7"/>
    <w:rsid w:val="0003548C"/>
    <w:rsid w:val="0003557E"/>
    <w:rsid w:val="0003557F"/>
    <w:rsid w:val="000355E6"/>
    <w:rsid w:val="00035777"/>
    <w:rsid w:val="00035882"/>
    <w:rsid w:val="000358EE"/>
    <w:rsid w:val="00035A2D"/>
    <w:rsid w:val="00035B30"/>
    <w:rsid w:val="00035C92"/>
    <w:rsid w:val="00035D5A"/>
    <w:rsid w:val="00035FA8"/>
    <w:rsid w:val="00036070"/>
    <w:rsid w:val="000360DC"/>
    <w:rsid w:val="00036851"/>
    <w:rsid w:val="0003696D"/>
    <w:rsid w:val="00036991"/>
    <w:rsid w:val="00036A2C"/>
    <w:rsid w:val="00036A82"/>
    <w:rsid w:val="00036A9D"/>
    <w:rsid w:val="00036CC5"/>
    <w:rsid w:val="00036EBD"/>
    <w:rsid w:val="00036F60"/>
    <w:rsid w:val="000370AD"/>
    <w:rsid w:val="000370EF"/>
    <w:rsid w:val="00037195"/>
    <w:rsid w:val="0003727F"/>
    <w:rsid w:val="00037360"/>
    <w:rsid w:val="0003738D"/>
    <w:rsid w:val="000373CC"/>
    <w:rsid w:val="000373E5"/>
    <w:rsid w:val="00037486"/>
    <w:rsid w:val="00037877"/>
    <w:rsid w:val="00037968"/>
    <w:rsid w:val="000379C5"/>
    <w:rsid w:val="00037A0E"/>
    <w:rsid w:val="00037AA8"/>
    <w:rsid w:val="00037ADE"/>
    <w:rsid w:val="00037C62"/>
    <w:rsid w:val="00037CE7"/>
    <w:rsid w:val="00037DB9"/>
    <w:rsid w:val="00037E26"/>
    <w:rsid w:val="00037F3C"/>
    <w:rsid w:val="00040023"/>
    <w:rsid w:val="00040095"/>
    <w:rsid w:val="0004015B"/>
    <w:rsid w:val="00040333"/>
    <w:rsid w:val="00040439"/>
    <w:rsid w:val="000404AA"/>
    <w:rsid w:val="00040594"/>
    <w:rsid w:val="00040640"/>
    <w:rsid w:val="00040829"/>
    <w:rsid w:val="000408E5"/>
    <w:rsid w:val="000409CC"/>
    <w:rsid w:val="00040AEC"/>
    <w:rsid w:val="00040AFA"/>
    <w:rsid w:val="00040B85"/>
    <w:rsid w:val="00040C43"/>
    <w:rsid w:val="00040F2F"/>
    <w:rsid w:val="0004124F"/>
    <w:rsid w:val="00041281"/>
    <w:rsid w:val="0004143C"/>
    <w:rsid w:val="000415CA"/>
    <w:rsid w:val="00041676"/>
    <w:rsid w:val="000416A2"/>
    <w:rsid w:val="000418FA"/>
    <w:rsid w:val="00041971"/>
    <w:rsid w:val="00041A88"/>
    <w:rsid w:val="00041D85"/>
    <w:rsid w:val="00041E7F"/>
    <w:rsid w:val="00042117"/>
    <w:rsid w:val="000421FC"/>
    <w:rsid w:val="000422E3"/>
    <w:rsid w:val="0004244D"/>
    <w:rsid w:val="00042456"/>
    <w:rsid w:val="0004253E"/>
    <w:rsid w:val="00042576"/>
    <w:rsid w:val="000425A9"/>
    <w:rsid w:val="000425C0"/>
    <w:rsid w:val="0004265A"/>
    <w:rsid w:val="000427A7"/>
    <w:rsid w:val="00042825"/>
    <w:rsid w:val="0004288A"/>
    <w:rsid w:val="00042AD9"/>
    <w:rsid w:val="00042B80"/>
    <w:rsid w:val="00042B9F"/>
    <w:rsid w:val="00042BA0"/>
    <w:rsid w:val="00042CD8"/>
    <w:rsid w:val="00042E92"/>
    <w:rsid w:val="00042EFB"/>
    <w:rsid w:val="00042F7B"/>
    <w:rsid w:val="00043341"/>
    <w:rsid w:val="00043372"/>
    <w:rsid w:val="000433B8"/>
    <w:rsid w:val="000433C6"/>
    <w:rsid w:val="00043652"/>
    <w:rsid w:val="000436A1"/>
    <w:rsid w:val="00043785"/>
    <w:rsid w:val="000437EC"/>
    <w:rsid w:val="00043814"/>
    <w:rsid w:val="000438B9"/>
    <w:rsid w:val="00043A1D"/>
    <w:rsid w:val="00043ACB"/>
    <w:rsid w:val="00043CB4"/>
    <w:rsid w:val="00043DCD"/>
    <w:rsid w:val="00043E7E"/>
    <w:rsid w:val="00043F40"/>
    <w:rsid w:val="00044050"/>
    <w:rsid w:val="000441F2"/>
    <w:rsid w:val="00044413"/>
    <w:rsid w:val="000444A6"/>
    <w:rsid w:val="00044685"/>
    <w:rsid w:val="000446A6"/>
    <w:rsid w:val="000446B7"/>
    <w:rsid w:val="000449AB"/>
    <w:rsid w:val="00044CAA"/>
    <w:rsid w:val="00044D2B"/>
    <w:rsid w:val="00044D8F"/>
    <w:rsid w:val="00044DA4"/>
    <w:rsid w:val="00044E02"/>
    <w:rsid w:val="00044E4F"/>
    <w:rsid w:val="00044F2F"/>
    <w:rsid w:val="00044FE9"/>
    <w:rsid w:val="00044FED"/>
    <w:rsid w:val="000450BE"/>
    <w:rsid w:val="00045129"/>
    <w:rsid w:val="000451F8"/>
    <w:rsid w:val="000452AF"/>
    <w:rsid w:val="00045347"/>
    <w:rsid w:val="000453D4"/>
    <w:rsid w:val="00045513"/>
    <w:rsid w:val="00045525"/>
    <w:rsid w:val="00045541"/>
    <w:rsid w:val="00045664"/>
    <w:rsid w:val="00045710"/>
    <w:rsid w:val="00045838"/>
    <w:rsid w:val="000458C5"/>
    <w:rsid w:val="00045901"/>
    <w:rsid w:val="00045C37"/>
    <w:rsid w:val="00045F2D"/>
    <w:rsid w:val="000461F6"/>
    <w:rsid w:val="0004639F"/>
    <w:rsid w:val="000464BB"/>
    <w:rsid w:val="000464D6"/>
    <w:rsid w:val="0004657E"/>
    <w:rsid w:val="00046716"/>
    <w:rsid w:val="000468A9"/>
    <w:rsid w:val="000468FC"/>
    <w:rsid w:val="0004692C"/>
    <w:rsid w:val="00046AAE"/>
    <w:rsid w:val="00046B59"/>
    <w:rsid w:val="00046BF1"/>
    <w:rsid w:val="00046C4E"/>
    <w:rsid w:val="00046CF0"/>
    <w:rsid w:val="000470C7"/>
    <w:rsid w:val="0004714E"/>
    <w:rsid w:val="000472E8"/>
    <w:rsid w:val="0004731B"/>
    <w:rsid w:val="0004743B"/>
    <w:rsid w:val="000475F0"/>
    <w:rsid w:val="000475FB"/>
    <w:rsid w:val="00047669"/>
    <w:rsid w:val="00047708"/>
    <w:rsid w:val="0004784E"/>
    <w:rsid w:val="000478FC"/>
    <w:rsid w:val="00047951"/>
    <w:rsid w:val="000479C4"/>
    <w:rsid w:val="00047A2D"/>
    <w:rsid w:val="00047AE7"/>
    <w:rsid w:val="00047AFF"/>
    <w:rsid w:val="00047CA2"/>
    <w:rsid w:val="00047E4B"/>
    <w:rsid w:val="00047E83"/>
    <w:rsid w:val="00047ED2"/>
    <w:rsid w:val="00047F6B"/>
    <w:rsid w:val="0005003C"/>
    <w:rsid w:val="0005012E"/>
    <w:rsid w:val="0005025E"/>
    <w:rsid w:val="00050350"/>
    <w:rsid w:val="0005037F"/>
    <w:rsid w:val="00050432"/>
    <w:rsid w:val="0005044D"/>
    <w:rsid w:val="000505B7"/>
    <w:rsid w:val="000505F5"/>
    <w:rsid w:val="00050619"/>
    <w:rsid w:val="000506EC"/>
    <w:rsid w:val="00050856"/>
    <w:rsid w:val="00050AB4"/>
    <w:rsid w:val="00050B5F"/>
    <w:rsid w:val="00050B7A"/>
    <w:rsid w:val="00050CFF"/>
    <w:rsid w:val="00050D71"/>
    <w:rsid w:val="00050EAA"/>
    <w:rsid w:val="00050EE3"/>
    <w:rsid w:val="00050F0B"/>
    <w:rsid w:val="00050F16"/>
    <w:rsid w:val="00050F35"/>
    <w:rsid w:val="0005105D"/>
    <w:rsid w:val="000510D9"/>
    <w:rsid w:val="0005135E"/>
    <w:rsid w:val="00051380"/>
    <w:rsid w:val="0005154F"/>
    <w:rsid w:val="000515E0"/>
    <w:rsid w:val="00051602"/>
    <w:rsid w:val="000517DE"/>
    <w:rsid w:val="000518FC"/>
    <w:rsid w:val="00051A31"/>
    <w:rsid w:val="00051A5E"/>
    <w:rsid w:val="00051AC5"/>
    <w:rsid w:val="00051D12"/>
    <w:rsid w:val="00051D4C"/>
    <w:rsid w:val="00051D66"/>
    <w:rsid w:val="00051F63"/>
    <w:rsid w:val="0005201D"/>
    <w:rsid w:val="0005205B"/>
    <w:rsid w:val="0005209E"/>
    <w:rsid w:val="00052177"/>
    <w:rsid w:val="00052198"/>
    <w:rsid w:val="000522D1"/>
    <w:rsid w:val="00052333"/>
    <w:rsid w:val="00052560"/>
    <w:rsid w:val="000525C4"/>
    <w:rsid w:val="00052611"/>
    <w:rsid w:val="00052624"/>
    <w:rsid w:val="000526AD"/>
    <w:rsid w:val="000526CE"/>
    <w:rsid w:val="000527F0"/>
    <w:rsid w:val="00052902"/>
    <w:rsid w:val="00052933"/>
    <w:rsid w:val="000529CF"/>
    <w:rsid w:val="00052AB0"/>
    <w:rsid w:val="00052E15"/>
    <w:rsid w:val="00052E74"/>
    <w:rsid w:val="00052EA8"/>
    <w:rsid w:val="00052EF6"/>
    <w:rsid w:val="00052FAC"/>
    <w:rsid w:val="00053040"/>
    <w:rsid w:val="00053162"/>
    <w:rsid w:val="000531B3"/>
    <w:rsid w:val="000531C3"/>
    <w:rsid w:val="00053325"/>
    <w:rsid w:val="00053518"/>
    <w:rsid w:val="0005357A"/>
    <w:rsid w:val="0005371F"/>
    <w:rsid w:val="0005379D"/>
    <w:rsid w:val="000537E9"/>
    <w:rsid w:val="0005384C"/>
    <w:rsid w:val="00053990"/>
    <w:rsid w:val="00053A7A"/>
    <w:rsid w:val="00053A86"/>
    <w:rsid w:val="00053B45"/>
    <w:rsid w:val="00053BED"/>
    <w:rsid w:val="00053CC9"/>
    <w:rsid w:val="00053D39"/>
    <w:rsid w:val="00053E5B"/>
    <w:rsid w:val="00053EB9"/>
    <w:rsid w:val="00053F14"/>
    <w:rsid w:val="000542D6"/>
    <w:rsid w:val="000542D7"/>
    <w:rsid w:val="000542FA"/>
    <w:rsid w:val="00054373"/>
    <w:rsid w:val="000543C5"/>
    <w:rsid w:val="000543FC"/>
    <w:rsid w:val="00054451"/>
    <w:rsid w:val="0005455A"/>
    <w:rsid w:val="00054787"/>
    <w:rsid w:val="00054876"/>
    <w:rsid w:val="00054B29"/>
    <w:rsid w:val="00054D36"/>
    <w:rsid w:val="00054D38"/>
    <w:rsid w:val="00054FE6"/>
    <w:rsid w:val="0005520B"/>
    <w:rsid w:val="00055339"/>
    <w:rsid w:val="00055446"/>
    <w:rsid w:val="0005554D"/>
    <w:rsid w:val="000555A5"/>
    <w:rsid w:val="000556C9"/>
    <w:rsid w:val="00055706"/>
    <w:rsid w:val="000558FA"/>
    <w:rsid w:val="00055990"/>
    <w:rsid w:val="00055C28"/>
    <w:rsid w:val="00055E4D"/>
    <w:rsid w:val="00055FE5"/>
    <w:rsid w:val="00056387"/>
    <w:rsid w:val="000563DA"/>
    <w:rsid w:val="00056605"/>
    <w:rsid w:val="000567FF"/>
    <w:rsid w:val="00056AB8"/>
    <w:rsid w:val="00056AC7"/>
    <w:rsid w:val="00056BAA"/>
    <w:rsid w:val="00056C1E"/>
    <w:rsid w:val="00056F3F"/>
    <w:rsid w:val="0005718E"/>
    <w:rsid w:val="00057296"/>
    <w:rsid w:val="000572AF"/>
    <w:rsid w:val="0005737F"/>
    <w:rsid w:val="000573E8"/>
    <w:rsid w:val="0005742F"/>
    <w:rsid w:val="00057510"/>
    <w:rsid w:val="000577A3"/>
    <w:rsid w:val="00057845"/>
    <w:rsid w:val="00057A8A"/>
    <w:rsid w:val="00057B43"/>
    <w:rsid w:val="00057B8F"/>
    <w:rsid w:val="00057CE5"/>
    <w:rsid w:val="00057DE0"/>
    <w:rsid w:val="00057E0D"/>
    <w:rsid w:val="00057E37"/>
    <w:rsid w:val="00057F00"/>
    <w:rsid w:val="00057F26"/>
    <w:rsid w:val="00057F49"/>
    <w:rsid w:val="00060105"/>
    <w:rsid w:val="00060295"/>
    <w:rsid w:val="000602F6"/>
    <w:rsid w:val="0006032A"/>
    <w:rsid w:val="000603B7"/>
    <w:rsid w:val="00060429"/>
    <w:rsid w:val="0006044D"/>
    <w:rsid w:val="00060598"/>
    <w:rsid w:val="00060745"/>
    <w:rsid w:val="000609AF"/>
    <w:rsid w:val="00060AD6"/>
    <w:rsid w:val="00060BD1"/>
    <w:rsid w:val="00060DAD"/>
    <w:rsid w:val="00060E11"/>
    <w:rsid w:val="00060E70"/>
    <w:rsid w:val="00060F35"/>
    <w:rsid w:val="00060F7C"/>
    <w:rsid w:val="000610EB"/>
    <w:rsid w:val="00061175"/>
    <w:rsid w:val="0006121B"/>
    <w:rsid w:val="000612EF"/>
    <w:rsid w:val="00061495"/>
    <w:rsid w:val="000614A7"/>
    <w:rsid w:val="00061659"/>
    <w:rsid w:val="000616B2"/>
    <w:rsid w:val="000616C6"/>
    <w:rsid w:val="0006190E"/>
    <w:rsid w:val="000619ED"/>
    <w:rsid w:val="00061BDF"/>
    <w:rsid w:val="00061F0F"/>
    <w:rsid w:val="00061FA2"/>
    <w:rsid w:val="0006232B"/>
    <w:rsid w:val="00062350"/>
    <w:rsid w:val="00062477"/>
    <w:rsid w:val="00062523"/>
    <w:rsid w:val="000625E9"/>
    <w:rsid w:val="000627BB"/>
    <w:rsid w:val="0006283C"/>
    <w:rsid w:val="0006290E"/>
    <w:rsid w:val="000629B2"/>
    <w:rsid w:val="00062CC8"/>
    <w:rsid w:val="00062D75"/>
    <w:rsid w:val="00062ECB"/>
    <w:rsid w:val="0006301D"/>
    <w:rsid w:val="00063170"/>
    <w:rsid w:val="00063204"/>
    <w:rsid w:val="000632E6"/>
    <w:rsid w:val="000632EA"/>
    <w:rsid w:val="00063432"/>
    <w:rsid w:val="000634F3"/>
    <w:rsid w:val="0006354D"/>
    <w:rsid w:val="00063561"/>
    <w:rsid w:val="000635AC"/>
    <w:rsid w:val="000635CA"/>
    <w:rsid w:val="00063606"/>
    <w:rsid w:val="0006362A"/>
    <w:rsid w:val="00063668"/>
    <w:rsid w:val="000637C3"/>
    <w:rsid w:val="00063963"/>
    <w:rsid w:val="00063A54"/>
    <w:rsid w:val="00063AA0"/>
    <w:rsid w:val="00063AE1"/>
    <w:rsid w:val="00063D61"/>
    <w:rsid w:val="00063DC1"/>
    <w:rsid w:val="00063EF5"/>
    <w:rsid w:val="00063FF2"/>
    <w:rsid w:val="00064019"/>
    <w:rsid w:val="0006409B"/>
    <w:rsid w:val="0006409D"/>
    <w:rsid w:val="000643EF"/>
    <w:rsid w:val="000644D4"/>
    <w:rsid w:val="0006453B"/>
    <w:rsid w:val="00064579"/>
    <w:rsid w:val="000645BD"/>
    <w:rsid w:val="00064707"/>
    <w:rsid w:val="0006479F"/>
    <w:rsid w:val="000647A3"/>
    <w:rsid w:val="00064893"/>
    <w:rsid w:val="00064927"/>
    <w:rsid w:val="00064B75"/>
    <w:rsid w:val="00064C32"/>
    <w:rsid w:val="00064D42"/>
    <w:rsid w:val="00064E46"/>
    <w:rsid w:val="00064EFC"/>
    <w:rsid w:val="00064FBE"/>
    <w:rsid w:val="00064FDE"/>
    <w:rsid w:val="00065032"/>
    <w:rsid w:val="000650B0"/>
    <w:rsid w:val="0006515F"/>
    <w:rsid w:val="000651D7"/>
    <w:rsid w:val="0006526F"/>
    <w:rsid w:val="000652B3"/>
    <w:rsid w:val="000652F3"/>
    <w:rsid w:val="000654F6"/>
    <w:rsid w:val="0006569A"/>
    <w:rsid w:val="0006586B"/>
    <w:rsid w:val="000659F2"/>
    <w:rsid w:val="00065A62"/>
    <w:rsid w:val="00065A9F"/>
    <w:rsid w:val="00065B3F"/>
    <w:rsid w:val="00065B62"/>
    <w:rsid w:val="00065D21"/>
    <w:rsid w:val="00065F11"/>
    <w:rsid w:val="0006600A"/>
    <w:rsid w:val="000660D6"/>
    <w:rsid w:val="000661E7"/>
    <w:rsid w:val="000663A8"/>
    <w:rsid w:val="00066616"/>
    <w:rsid w:val="00066638"/>
    <w:rsid w:val="00066753"/>
    <w:rsid w:val="000667EE"/>
    <w:rsid w:val="000667FD"/>
    <w:rsid w:val="0006686B"/>
    <w:rsid w:val="00066989"/>
    <w:rsid w:val="0006698E"/>
    <w:rsid w:val="000669CA"/>
    <w:rsid w:val="000669E3"/>
    <w:rsid w:val="00066B7C"/>
    <w:rsid w:val="00066B86"/>
    <w:rsid w:val="00066BBA"/>
    <w:rsid w:val="00066EA0"/>
    <w:rsid w:val="00066F07"/>
    <w:rsid w:val="00066F7A"/>
    <w:rsid w:val="00067050"/>
    <w:rsid w:val="000671CE"/>
    <w:rsid w:val="0006722E"/>
    <w:rsid w:val="000672E0"/>
    <w:rsid w:val="000673B3"/>
    <w:rsid w:val="000673D4"/>
    <w:rsid w:val="000673FA"/>
    <w:rsid w:val="0006741C"/>
    <w:rsid w:val="000677EB"/>
    <w:rsid w:val="0006787F"/>
    <w:rsid w:val="00067C1B"/>
    <w:rsid w:val="00067C38"/>
    <w:rsid w:val="00067ED0"/>
    <w:rsid w:val="00067FCA"/>
    <w:rsid w:val="00070087"/>
    <w:rsid w:val="000700C3"/>
    <w:rsid w:val="000703D1"/>
    <w:rsid w:val="0007045B"/>
    <w:rsid w:val="0007052D"/>
    <w:rsid w:val="000706C6"/>
    <w:rsid w:val="000707C2"/>
    <w:rsid w:val="0007082F"/>
    <w:rsid w:val="00070A53"/>
    <w:rsid w:val="00070B0D"/>
    <w:rsid w:val="00070B27"/>
    <w:rsid w:val="00070BAB"/>
    <w:rsid w:val="00070F0A"/>
    <w:rsid w:val="00071116"/>
    <w:rsid w:val="0007125F"/>
    <w:rsid w:val="0007130F"/>
    <w:rsid w:val="00071321"/>
    <w:rsid w:val="00071403"/>
    <w:rsid w:val="00071634"/>
    <w:rsid w:val="000717AA"/>
    <w:rsid w:val="000717CB"/>
    <w:rsid w:val="00071818"/>
    <w:rsid w:val="0007192D"/>
    <w:rsid w:val="00071CC5"/>
    <w:rsid w:val="00071D32"/>
    <w:rsid w:val="00072185"/>
    <w:rsid w:val="0007236B"/>
    <w:rsid w:val="000723F5"/>
    <w:rsid w:val="000725B3"/>
    <w:rsid w:val="0007278D"/>
    <w:rsid w:val="0007278E"/>
    <w:rsid w:val="0007285E"/>
    <w:rsid w:val="00072900"/>
    <w:rsid w:val="00072988"/>
    <w:rsid w:val="000729B0"/>
    <w:rsid w:val="00072B95"/>
    <w:rsid w:val="00072B9C"/>
    <w:rsid w:val="00072BBF"/>
    <w:rsid w:val="00072D77"/>
    <w:rsid w:val="00072EB9"/>
    <w:rsid w:val="00072FF8"/>
    <w:rsid w:val="0007314C"/>
    <w:rsid w:val="00073237"/>
    <w:rsid w:val="0007326F"/>
    <w:rsid w:val="00073416"/>
    <w:rsid w:val="000734C4"/>
    <w:rsid w:val="000736BB"/>
    <w:rsid w:val="000738FB"/>
    <w:rsid w:val="0007398E"/>
    <w:rsid w:val="000739A3"/>
    <w:rsid w:val="00073A24"/>
    <w:rsid w:val="00073B0D"/>
    <w:rsid w:val="00073DA1"/>
    <w:rsid w:val="00073DA9"/>
    <w:rsid w:val="00073E03"/>
    <w:rsid w:val="00073EC9"/>
    <w:rsid w:val="00073FF9"/>
    <w:rsid w:val="00074085"/>
    <w:rsid w:val="000740A7"/>
    <w:rsid w:val="00074194"/>
    <w:rsid w:val="0007449F"/>
    <w:rsid w:val="000744D9"/>
    <w:rsid w:val="00074515"/>
    <w:rsid w:val="000745B8"/>
    <w:rsid w:val="0007478C"/>
    <w:rsid w:val="00074815"/>
    <w:rsid w:val="00074940"/>
    <w:rsid w:val="00074A7A"/>
    <w:rsid w:val="00074B08"/>
    <w:rsid w:val="00074B11"/>
    <w:rsid w:val="00074D07"/>
    <w:rsid w:val="00075026"/>
    <w:rsid w:val="00075040"/>
    <w:rsid w:val="00075061"/>
    <w:rsid w:val="000750A2"/>
    <w:rsid w:val="0007515C"/>
    <w:rsid w:val="00075397"/>
    <w:rsid w:val="00075445"/>
    <w:rsid w:val="000754B3"/>
    <w:rsid w:val="00075562"/>
    <w:rsid w:val="00075868"/>
    <w:rsid w:val="0007597C"/>
    <w:rsid w:val="00075AD2"/>
    <w:rsid w:val="00075DAC"/>
    <w:rsid w:val="00075EA2"/>
    <w:rsid w:val="00075ED3"/>
    <w:rsid w:val="00075F14"/>
    <w:rsid w:val="000760CF"/>
    <w:rsid w:val="000761A2"/>
    <w:rsid w:val="000761E5"/>
    <w:rsid w:val="00076577"/>
    <w:rsid w:val="000765F1"/>
    <w:rsid w:val="0007669B"/>
    <w:rsid w:val="000766A6"/>
    <w:rsid w:val="000767C5"/>
    <w:rsid w:val="0007681D"/>
    <w:rsid w:val="00076835"/>
    <w:rsid w:val="0007691E"/>
    <w:rsid w:val="000769A5"/>
    <w:rsid w:val="000769E9"/>
    <w:rsid w:val="00076A87"/>
    <w:rsid w:val="00076DFE"/>
    <w:rsid w:val="00077038"/>
    <w:rsid w:val="000770FE"/>
    <w:rsid w:val="000775E6"/>
    <w:rsid w:val="0007787A"/>
    <w:rsid w:val="0007794B"/>
    <w:rsid w:val="00077992"/>
    <w:rsid w:val="000779AA"/>
    <w:rsid w:val="00077A0D"/>
    <w:rsid w:val="00077A34"/>
    <w:rsid w:val="00077B82"/>
    <w:rsid w:val="00077C18"/>
    <w:rsid w:val="00077C91"/>
    <w:rsid w:val="0008005C"/>
    <w:rsid w:val="000802E1"/>
    <w:rsid w:val="000803C7"/>
    <w:rsid w:val="000806E1"/>
    <w:rsid w:val="000806ED"/>
    <w:rsid w:val="00080710"/>
    <w:rsid w:val="00080840"/>
    <w:rsid w:val="00080AC0"/>
    <w:rsid w:val="00080B60"/>
    <w:rsid w:val="00080E46"/>
    <w:rsid w:val="00080ED7"/>
    <w:rsid w:val="00080F67"/>
    <w:rsid w:val="00080FF9"/>
    <w:rsid w:val="00081013"/>
    <w:rsid w:val="00081120"/>
    <w:rsid w:val="0008125D"/>
    <w:rsid w:val="00081319"/>
    <w:rsid w:val="0008145C"/>
    <w:rsid w:val="00081477"/>
    <w:rsid w:val="0008172B"/>
    <w:rsid w:val="0008188C"/>
    <w:rsid w:val="00081990"/>
    <w:rsid w:val="000819B8"/>
    <w:rsid w:val="00081B14"/>
    <w:rsid w:val="00081DA8"/>
    <w:rsid w:val="00081FDF"/>
    <w:rsid w:val="00082031"/>
    <w:rsid w:val="0008219B"/>
    <w:rsid w:val="000821D3"/>
    <w:rsid w:val="00082327"/>
    <w:rsid w:val="00082395"/>
    <w:rsid w:val="000825DA"/>
    <w:rsid w:val="000826D6"/>
    <w:rsid w:val="00082768"/>
    <w:rsid w:val="00082814"/>
    <w:rsid w:val="0008298E"/>
    <w:rsid w:val="000829E5"/>
    <w:rsid w:val="000829E8"/>
    <w:rsid w:val="00082AC5"/>
    <w:rsid w:val="00082D1D"/>
    <w:rsid w:val="00082DB2"/>
    <w:rsid w:val="00082E16"/>
    <w:rsid w:val="000832A5"/>
    <w:rsid w:val="000832B8"/>
    <w:rsid w:val="000834E0"/>
    <w:rsid w:val="000834F9"/>
    <w:rsid w:val="000836DE"/>
    <w:rsid w:val="0008376B"/>
    <w:rsid w:val="00083939"/>
    <w:rsid w:val="0008393B"/>
    <w:rsid w:val="00083947"/>
    <w:rsid w:val="000839E9"/>
    <w:rsid w:val="00083A3F"/>
    <w:rsid w:val="00083C41"/>
    <w:rsid w:val="00083DF0"/>
    <w:rsid w:val="00083F38"/>
    <w:rsid w:val="00083FE8"/>
    <w:rsid w:val="00084085"/>
    <w:rsid w:val="000842A8"/>
    <w:rsid w:val="0008443A"/>
    <w:rsid w:val="0008452C"/>
    <w:rsid w:val="0008455C"/>
    <w:rsid w:val="00084571"/>
    <w:rsid w:val="000845CC"/>
    <w:rsid w:val="000845F1"/>
    <w:rsid w:val="0008481F"/>
    <w:rsid w:val="0008482D"/>
    <w:rsid w:val="00084886"/>
    <w:rsid w:val="000848E8"/>
    <w:rsid w:val="0008497F"/>
    <w:rsid w:val="00084B3A"/>
    <w:rsid w:val="00084B5E"/>
    <w:rsid w:val="00084BB4"/>
    <w:rsid w:val="00084C18"/>
    <w:rsid w:val="00084C19"/>
    <w:rsid w:val="00084C2F"/>
    <w:rsid w:val="00084CC0"/>
    <w:rsid w:val="00084D53"/>
    <w:rsid w:val="00084E81"/>
    <w:rsid w:val="00084F4B"/>
    <w:rsid w:val="000851A4"/>
    <w:rsid w:val="00085358"/>
    <w:rsid w:val="0008544F"/>
    <w:rsid w:val="0008567E"/>
    <w:rsid w:val="0008579E"/>
    <w:rsid w:val="00085875"/>
    <w:rsid w:val="00085961"/>
    <w:rsid w:val="00085ACC"/>
    <w:rsid w:val="00085B26"/>
    <w:rsid w:val="00085D13"/>
    <w:rsid w:val="00085D32"/>
    <w:rsid w:val="00085EB4"/>
    <w:rsid w:val="00085F01"/>
    <w:rsid w:val="00085FD5"/>
    <w:rsid w:val="00085FE6"/>
    <w:rsid w:val="00086087"/>
    <w:rsid w:val="000861C1"/>
    <w:rsid w:val="000861D4"/>
    <w:rsid w:val="0008624C"/>
    <w:rsid w:val="000862EF"/>
    <w:rsid w:val="000862F3"/>
    <w:rsid w:val="000864A8"/>
    <w:rsid w:val="00086732"/>
    <w:rsid w:val="00086773"/>
    <w:rsid w:val="0008678D"/>
    <w:rsid w:val="0008681D"/>
    <w:rsid w:val="000868E8"/>
    <w:rsid w:val="0008690A"/>
    <w:rsid w:val="00086AF0"/>
    <w:rsid w:val="00086B6B"/>
    <w:rsid w:val="00086C09"/>
    <w:rsid w:val="00086CC7"/>
    <w:rsid w:val="00086D1A"/>
    <w:rsid w:val="00086D43"/>
    <w:rsid w:val="00086DC5"/>
    <w:rsid w:val="00086F6D"/>
    <w:rsid w:val="00086F6F"/>
    <w:rsid w:val="00087190"/>
    <w:rsid w:val="000872C9"/>
    <w:rsid w:val="0008739C"/>
    <w:rsid w:val="0008743E"/>
    <w:rsid w:val="00087576"/>
    <w:rsid w:val="000876AD"/>
    <w:rsid w:val="00087735"/>
    <w:rsid w:val="00087854"/>
    <w:rsid w:val="00087879"/>
    <w:rsid w:val="00087A08"/>
    <w:rsid w:val="00087A3B"/>
    <w:rsid w:val="00087A59"/>
    <w:rsid w:val="00087B95"/>
    <w:rsid w:val="00087CDB"/>
    <w:rsid w:val="00087DF1"/>
    <w:rsid w:val="00087E40"/>
    <w:rsid w:val="00087E7A"/>
    <w:rsid w:val="00087F09"/>
    <w:rsid w:val="00087F4D"/>
    <w:rsid w:val="000900E5"/>
    <w:rsid w:val="0009020C"/>
    <w:rsid w:val="00090300"/>
    <w:rsid w:val="00090367"/>
    <w:rsid w:val="000903C5"/>
    <w:rsid w:val="0009043F"/>
    <w:rsid w:val="00090455"/>
    <w:rsid w:val="00090495"/>
    <w:rsid w:val="0009051E"/>
    <w:rsid w:val="000908CF"/>
    <w:rsid w:val="00090A74"/>
    <w:rsid w:val="00090B63"/>
    <w:rsid w:val="00090B6C"/>
    <w:rsid w:val="00090E04"/>
    <w:rsid w:val="00090E5B"/>
    <w:rsid w:val="0009103A"/>
    <w:rsid w:val="0009107C"/>
    <w:rsid w:val="000911B8"/>
    <w:rsid w:val="000911E6"/>
    <w:rsid w:val="0009138C"/>
    <w:rsid w:val="00091425"/>
    <w:rsid w:val="000915DB"/>
    <w:rsid w:val="00091680"/>
    <w:rsid w:val="00091835"/>
    <w:rsid w:val="0009194F"/>
    <w:rsid w:val="00091999"/>
    <w:rsid w:val="000919B5"/>
    <w:rsid w:val="000919D0"/>
    <w:rsid w:val="00091A42"/>
    <w:rsid w:val="00091A68"/>
    <w:rsid w:val="00091A7C"/>
    <w:rsid w:val="00091C2B"/>
    <w:rsid w:val="00091D13"/>
    <w:rsid w:val="00091D92"/>
    <w:rsid w:val="00091F7E"/>
    <w:rsid w:val="00092001"/>
    <w:rsid w:val="00092012"/>
    <w:rsid w:val="00092164"/>
    <w:rsid w:val="00092330"/>
    <w:rsid w:val="000923E4"/>
    <w:rsid w:val="0009261B"/>
    <w:rsid w:val="0009266F"/>
    <w:rsid w:val="00092720"/>
    <w:rsid w:val="00092948"/>
    <w:rsid w:val="00092A1A"/>
    <w:rsid w:val="00092A3D"/>
    <w:rsid w:val="00092A7F"/>
    <w:rsid w:val="00092BC9"/>
    <w:rsid w:val="00092C28"/>
    <w:rsid w:val="00092C48"/>
    <w:rsid w:val="00092C55"/>
    <w:rsid w:val="00092C82"/>
    <w:rsid w:val="00092E26"/>
    <w:rsid w:val="00092EE4"/>
    <w:rsid w:val="000930BD"/>
    <w:rsid w:val="000930F9"/>
    <w:rsid w:val="0009312E"/>
    <w:rsid w:val="00093213"/>
    <w:rsid w:val="00093256"/>
    <w:rsid w:val="0009327D"/>
    <w:rsid w:val="0009335E"/>
    <w:rsid w:val="000934CC"/>
    <w:rsid w:val="00093524"/>
    <w:rsid w:val="0009353E"/>
    <w:rsid w:val="000936EF"/>
    <w:rsid w:val="0009373C"/>
    <w:rsid w:val="0009375E"/>
    <w:rsid w:val="000937F6"/>
    <w:rsid w:val="00093835"/>
    <w:rsid w:val="0009384F"/>
    <w:rsid w:val="00093877"/>
    <w:rsid w:val="00093979"/>
    <w:rsid w:val="00093BBB"/>
    <w:rsid w:val="00093C93"/>
    <w:rsid w:val="00093CA1"/>
    <w:rsid w:val="00093CDA"/>
    <w:rsid w:val="00093D84"/>
    <w:rsid w:val="00093DC5"/>
    <w:rsid w:val="00093F24"/>
    <w:rsid w:val="00093F72"/>
    <w:rsid w:val="0009412C"/>
    <w:rsid w:val="00094170"/>
    <w:rsid w:val="00094326"/>
    <w:rsid w:val="00094461"/>
    <w:rsid w:val="00094505"/>
    <w:rsid w:val="00094561"/>
    <w:rsid w:val="0009499D"/>
    <w:rsid w:val="00094A97"/>
    <w:rsid w:val="00094A99"/>
    <w:rsid w:val="00094ADE"/>
    <w:rsid w:val="00094C16"/>
    <w:rsid w:val="00094E9F"/>
    <w:rsid w:val="00094EC0"/>
    <w:rsid w:val="00094ED8"/>
    <w:rsid w:val="00094F76"/>
    <w:rsid w:val="0009530D"/>
    <w:rsid w:val="00095372"/>
    <w:rsid w:val="00095519"/>
    <w:rsid w:val="0009571A"/>
    <w:rsid w:val="000957C5"/>
    <w:rsid w:val="000957E9"/>
    <w:rsid w:val="00095DB5"/>
    <w:rsid w:val="00095E0D"/>
    <w:rsid w:val="00095F11"/>
    <w:rsid w:val="00095FEF"/>
    <w:rsid w:val="000960AF"/>
    <w:rsid w:val="00096162"/>
    <w:rsid w:val="00096333"/>
    <w:rsid w:val="0009633F"/>
    <w:rsid w:val="000968A3"/>
    <w:rsid w:val="00096972"/>
    <w:rsid w:val="00096B61"/>
    <w:rsid w:val="00096D3E"/>
    <w:rsid w:val="00096D5D"/>
    <w:rsid w:val="00096EA5"/>
    <w:rsid w:val="000970EF"/>
    <w:rsid w:val="0009715F"/>
    <w:rsid w:val="0009727C"/>
    <w:rsid w:val="00097397"/>
    <w:rsid w:val="00097488"/>
    <w:rsid w:val="0009759E"/>
    <w:rsid w:val="000975F4"/>
    <w:rsid w:val="00097725"/>
    <w:rsid w:val="00097728"/>
    <w:rsid w:val="0009778C"/>
    <w:rsid w:val="000978FA"/>
    <w:rsid w:val="0009793F"/>
    <w:rsid w:val="00097A05"/>
    <w:rsid w:val="00097A53"/>
    <w:rsid w:val="00097A74"/>
    <w:rsid w:val="00097B0A"/>
    <w:rsid w:val="00097C6F"/>
    <w:rsid w:val="00097F0D"/>
    <w:rsid w:val="000A0086"/>
    <w:rsid w:val="000A01FE"/>
    <w:rsid w:val="000A0204"/>
    <w:rsid w:val="000A0347"/>
    <w:rsid w:val="000A038E"/>
    <w:rsid w:val="000A039A"/>
    <w:rsid w:val="000A03C8"/>
    <w:rsid w:val="000A049E"/>
    <w:rsid w:val="000A0570"/>
    <w:rsid w:val="000A05D5"/>
    <w:rsid w:val="000A0606"/>
    <w:rsid w:val="000A0769"/>
    <w:rsid w:val="000A077A"/>
    <w:rsid w:val="000A0B16"/>
    <w:rsid w:val="000A0EBB"/>
    <w:rsid w:val="000A0F8F"/>
    <w:rsid w:val="000A1045"/>
    <w:rsid w:val="000A10E7"/>
    <w:rsid w:val="000A114A"/>
    <w:rsid w:val="000A13EF"/>
    <w:rsid w:val="000A1421"/>
    <w:rsid w:val="000A147C"/>
    <w:rsid w:val="000A149C"/>
    <w:rsid w:val="000A151D"/>
    <w:rsid w:val="000A1726"/>
    <w:rsid w:val="000A1A19"/>
    <w:rsid w:val="000A1A20"/>
    <w:rsid w:val="000A1A80"/>
    <w:rsid w:val="000A1AB2"/>
    <w:rsid w:val="000A1ABE"/>
    <w:rsid w:val="000A1AF1"/>
    <w:rsid w:val="000A1B38"/>
    <w:rsid w:val="000A1B9C"/>
    <w:rsid w:val="000A1BD4"/>
    <w:rsid w:val="000A1C67"/>
    <w:rsid w:val="000A1DB4"/>
    <w:rsid w:val="000A1EFD"/>
    <w:rsid w:val="000A1F0E"/>
    <w:rsid w:val="000A1F1C"/>
    <w:rsid w:val="000A202D"/>
    <w:rsid w:val="000A2213"/>
    <w:rsid w:val="000A2399"/>
    <w:rsid w:val="000A2402"/>
    <w:rsid w:val="000A25D9"/>
    <w:rsid w:val="000A25DB"/>
    <w:rsid w:val="000A2684"/>
    <w:rsid w:val="000A2700"/>
    <w:rsid w:val="000A2763"/>
    <w:rsid w:val="000A27FF"/>
    <w:rsid w:val="000A289C"/>
    <w:rsid w:val="000A28AA"/>
    <w:rsid w:val="000A2A71"/>
    <w:rsid w:val="000A2AAB"/>
    <w:rsid w:val="000A2C48"/>
    <w:rsid w:val="000A2C64"/>
    <w:rsid w:val="000A2D19"/>
    <w:rsid w:val="000A30A5"/>
    <w:rsid w:val="000A311A"/>
    <w:rsid w:val="000A3154"/>
    <w:rsid w:val="000A317F"/>
    <w:rsid w:val="000A3212"/>
    <w:rsid w:val="000A3435"/>
    <w:rsid w:val="000A34A6"/>
    <w:rsid w:val="000A3575"/>
    <w:rsid w:val="000A366C"/>
    <w:rsid w:val="000A36D4"/>
    <w:rsid w:val="000A36E6"/>
    <w:rsid w:val="000A376B"/>
    <w:rsid w:val="000A380B"/>
    <w:rsid w:val="000A38F5"/>
    <w:rsid w:val="000A3927"/>
    <w:rsid w:val="000A3A35"/>
    <w:rsid w:val="000A3AB4"/>
    <w:rsid w:val="000A3AF9"/>
    <w:rsid w:val="000A3BEC"/>
    <w:rsid w:val="000A3D34"/>
    <w:rsid w:val="000A3D92"/>
    <w:rsid w:val="000A3E46"/>
    <w:rsid w:val="000A3F0E"/>
    <w:rsid w:val="000A42E0"/>
    <w:rsid w:val="000A4380"/>
    <w:rsid w:val="000A4504"/>
    <w:rsid w:val="000A46C9"/>
    <w:rsid w:val="000A4740"/>
    <w:rsid w:val="000A47D5"/>
    <w:rsid w:val="000A4850"/>
    <w:rsid w:val="000A4898"/>
    <w:rsid w:val="000A4A46"/>
    <w:rsid w:val="000A4AD3"/>
    <w:rsid w:val="000A4B2F"/>
    <w:rsid w:val="000A4C1F"/>
    <w:rsid w:val="000A4C75"/>
    <w:rsid w:val="000A4DDF"/>
    <w:rsid w:val="000A4E8A"/>
    <w:rsid w:val="000A4F80"/>
    <w:rsid w:val="000A4FFB"/>
    <w:rsid w:val="000A50B1"/>
    <w:rsid w:val="000A5139"/>
    <w:rsid w:val="000A5658"/>
    <w:rsid w:val="000A584F"/>
    <w:rsid w:val="000A5894"/>
    <w:rsid w:val="000A5A1E"/>
    <w:rsid w:val="000A5A61"/>
    <w:rsid w:val="000A5B8B"/>
    <w:rsid w:val="000A5CA8"/>
    <w:rsid w:val="000A5D52"/>
    <w:rsid w:val="000A5E6B"/>
    <w:rsid w:val="000A5E78"/>
    <w:rsid w:val="000A5EAC"/>
    <w:rsid w:val="000A6197"/>
    <w:rsid w:val="000A62F0"/>
    <w:rsid w:val="000A63EB"/>
    <w:rsid w:val="000A6469"/>
    <w:rsid w:val="000A662F"/>
    <w:rsid w:val="000A66F4"/>
    <w:rsid w:val="000A67ED"/>
    <w:rsid w:val="000A6824"/>
    <w:rsid w:val="000A6835"/>
    <w:rsid w:val="000A6852"/>
    <w:rsid w:val="000A69E1"/>
    <w:rsid w:val="000A6A94"/>
    <w:rsid w:val="000A6B2D"/>
    <w:rsid w:val="000A6C37"/>
    <w:rsid w:val="000A6EFE"/>
    <w:rsid w:val="000A7049"/>
    <w:rsid w:val="000A712A"/>
    <w:rsid w:val="000A751A"/>
    <w:rsid w:val="000A7570"/>
    <w:rsid w:val="000A75D5"/>
    <w:rsid w:val="000A76C8"/>
    <w:rsid w:val="000A79C1"/>
    <w:rsid w:val="000A79C3"/>
    <w:rsid w:val="000A7F87"/>
    <w:rsid w:val="000A7F92"/>
    <w:rsid w:val="000A8CB8"/>
    <w:rsid w:val="000B01B7"/>
    <w:rsid w:val="000B024A"/>
    <w:rsid w:val="000B0310"/>
    <w:rsid w:val="000B0462"/>
    <w:rsid w:val="000B0514"/>
    <w:rsid w:val="000B0572"/>
    <w:rsid w:val="000B0598"/>
    <w:rsid w:val="000B06C4"/>
    <w:rsid w:val="000B07E9"/>
    <w:rsid w:val="000B0928"/>
    <w:rsid w:val="000B0AAC"/>
    <w:rsid w:val="000B0AE3"/>
    <w:rsid w:val="000B0CE8"/>
    <w:rsid w:val="000B0D40"/>
    <w:rsid w:val="000B0ED6"/>
    <w:rsid w:val="000B0F02"/>
    <w:rsid w:val="000B0F9E"/>
    <w:rsid w:val="000B102C"/>
    <w:rsid w:val="000B13CA"/>
    <w:rsid w:val="000B148A"/>
    <w:rsid w:val="000B1557"/>
    <w:rsid w:val="000B1A67"/>
    <w:rsid w:val="000B1BA4"/>
    <w:rsid w:val="000B1C54"/>
    <w:rsid w:val="000B1C74"/>
    <w:rsid w:val="000B1D5C"/>
    <w:rsid w:val="000B1DDE"/>
    <w:rsid w:val="000B1F17"/>
    <w:rsid w:val="000B1F56"/>
    <w:rsid w:val="000B1F75"/>
    <w:rsid w:val="000B1F76"/>
    <w:rsid w:val="000B2040"/>
    <w:rsid w:val="000B20F4"/>
    <w:rsid w:val="000B221B"/>
    <w:rsid w:val="000B2220"/>
    <w:rsid w:val="000B223B"/>
    <w:rsid w:val="000B238F"/>
    <w:rsid w:val="000B23F1"/>
    <w:rsid w:val="000B24D3"/>
    <w:rsid w:val="000B24DD"/>
    <w:rsid w:val="000B266F"/>
    <w:rsid w:val="000B2900"/>
    <w:rsid w:val="000B2928"/>
    <w:rsid w:val="000B29AC"/>
    <w:rsid w:val="000B29BC"/>
    <w:rsid w:val="000B2AE3"/>
    <w:rsid w:val="000B2B7F"/>
    <w:rsid w:val="000B2B92"/>
    <w:rsid w:val="000B2DE7"/>
    <w:rsid w:val="000B2E36"/>
    <w:rsid w:val="000B3265"/>
    <w:rsid w:val="000B3373"/>
    <w:rsid w:val="000B3376"/>
    <w:rsid w:val="000B3605"/>
    <w:rsid w:val="000B3731"/>
    <w:rsid w:val="000B3B0D"/>
    <w:rsid w:val="000B3C7E"/>
    <w:rsid w:val="000B3C95"/>
    <w:rsid w:val="000B3D68"/>
    <w:rsid w:val="000B3F47"/>
    <w:rsid w:val="000B4062"/>
    <w:rsid w:val="000B408B"/>
    <w:rsid w:val="000B412E"/>
    <w:rsid w:val="000B4211"/>
    <w:rsid w:val="000B424B"/>
    <w:rsid w:val="000B4297"/>
    <w:rsid w:val="000B4314"/>
    <w:rsid w:val="000B4374"/>
    <w:rsid w:val="000B443D"/>
    <w:rsid w:val="000B46A6"/>
    <w:rsid w:val="000B474D"/>
    <w:rsid w:val="000B4760"/>
    <w:rsid w:val="000B4786"/>
    <w:rsid w:val="000B48A2"/>
    <w:rsid w:val="000B48D8"/>
    <w:rsid w:val="000B4950"/>
    <w:rsid w:val="000B4986"/>
    <w:rsid w:val="000B4ADD"/>
    <w:rsid w:val="000B4B3D"/>
    <w:rsid w:val="000B4B42"/>
    <w:rsid w:val="000B4D4B"/>
    <w:rsid w:val="000B4DE9"/>
    <w:rsid w:val="000B4E23"/>
    <w:rsid w:val="000B4FA1"/>
    <w:rsid w:val="000B50FB"/>
    <w:rsid w:val="000B512B"/>
    <w:rsid w:val="000B518B"/>
    <w:rsid w:val="000B51F6"/>
    <w:rsid w:val="000B5490"/>
    <w:rsid w:val="000B55DA"/>
    <w:rsid w:val="000B5676"/>
    <w:rsid w:val="000B59E9"/>
    <w:rsid w:val="000B5A1A"/>
    <w:rsid w:val="000B5A34"/>
    <w:rsid w:val="000B5A86"/>
    <w:rsid w:val="000B5AA2"/>
    <w:rsid w:val="000B5B4D"/>
    <w:rsid w:val="000B5EEE"/>
    <w:rsid w:val="000B5EFF"/>
    <w:rsid w:val="000B62B7"/>
    <w:rsid w:val="000B662D"/>
    <w:rsid w:val="000B68C6"/>
    <w:rsid w:val="000B6AAC"/>
    <w:rsid w:val="000B6AC8"/>
    <w:rsid w:val="000B6AD5"/>
    <w:rsid w:val="000B6B2F"/>
    <w:rsid w:val="000B6B9B"/>
    <w:rsid w:val="000B6C45"/>
    <w:rsid w:val="000B6E85"/>
    <w:rsid w:val="000B6EF9"/>
    <w:rsid w:val="000B7192"/>
    <w:rsid w:val="000B71CA"/>
    <w:rsid w:val="000B7215"/>
    <w:rsid w:val="000B72B5"/>
    <w:rsid w:val="000B7326"/>
    <w:rsid w:val="000B7344"/>
    <w:rsid w:val="000B7478"/>
    <w:rsid w:val="000B74B6"/>
    <w:rsid w:val="000B74E0"/>
    <w:rsid w:val="000B760E"/>
    <w:rsid w:val="000B765B"/>
    <w:rsid w:val="000B7929"/>
    <w:rsid w:val="000B7A75"/>
    <w:rsid w:val="000B7C6B"/>
    <w:rsid w:val="000B7CCE"/>
    <w:rsid w:val="000B7D6B"/>
    <w:rsid w:val="000B7DAD"/>
    <w:rsid w:val="000B7F1D"/>
    <w:rsid w:val="000C0098"/>
    <w:rsid w:val="000C00B0"/>
    <w:rsid w:val="000C00F5"/>
    <w:rsid w:val="000C0182"/>
    <w:rsid w:val="000C0382"/>
    <w:rsid w:val="000C04CB"/>
    <w:rsid w:val="000C05EC"/>
    <w:rsid w:val="000C05FD"/>
    <w:rsid w:val="000C0690"/>
    <w:rsid w:val="000C07DB"/>
    <w:rsid w:val="000C0A17"/>
    <w:rsid w:val="000C0B67"/>
    <w:rsid w:val="000C0D57"/>
    <w:rsid w:val="000C0E70"/>
    <w:rsid w:val="000C0E8F"/>
    <w:rsid w:val="000C0EC3"/>
    <w:rsid w:val="000C0F60"/>
    <w:rsid w:val="000C101C"/>
    <w:rsid w:val="000C11A3"/>
    <w:rsid w:val="000C1605"/>
    <w:rsid w:val="000C162C"/>
    <w:rsid w:val="000C1751"/>
    <w:rsid w:val="000C18CF"/>
    <w:rsid w:val="000C1940"/>
    <w:rsid w:val="000C1981"/>
    <w:rsid w:val="000C19AA"/>
    <w:rsid w:val="000C19C5"/>
    <w:rsid w:val="000C1A14"/>
    <w:rsid w:val="000C1A1F"/>
    <w:rsid w:val="000C1AA8"/>
    <w:rsid w:val="000C1F5A"/>
    <w:rsid w:val="000C1F90"/>
    <w:rsid w:val="000C2164"/>
    <w:rsid w:val="000C21D7"/>
    <w:rsid w:val="000C226E"/>
    <w:rsid w:val="000C22BE"/>
    <w:rsid w:val="000C2354"/>
    <w:rsid w:val="000C2433"/>
    <w:rsid w:val="000C264B"/>
    <w:rsid w:val="000C2671"/>
    <w:rsid w:val="000C2812"/>
    <w:rsid w:val="000C2846"/>
    <w:rsid w:val="000C2A40"/>
    <w:rsid w:val="000C2A61"/>
    <w:rsid w:val="000C2ABB"/>
    <w:rsid w:val="000C3077"/>
    <w:rsid w:val="000C30BC"/>
    <w:rsid w:val="000C3364"/>
    <w:rsid w:val="000C339F"/>
    <w:rsid w:val="000C33F7"/>
    <w:rsid w:val="000C33FC"/>
    <w:rsid w:val="000C345D"/>
    <w:rsid w:val="000C350C"/>
    <w:rsid w:val="000C35F7"/>
    <w:rsid w:val="000C37E1"/>
    <w:rsid w:val="000C3826"/>
    <w:rsid w:val="000C3838"/>
    <w:rsid w:val="000C3925"/>
    <w:rsid w:val="000C3A0A"/>
    <w:rsid w:val="000C3AFB"/>
    <w:rsid w:val="000C3C3F"/>
    <w:rsid w:val="000C3CB9"/>
    <w:rsid w:val="000C3CE6"/>
    <w:rsid w:val="000C3D11"/>
    <w:rsid w:val="000C3ED7"/>
    <w:rsid w:val="000C3F99"/>
    <w:rsid w:val="000C400A"/>
    <w:rsid w:val="000C4082"/>
    <w:rsid w:val="000C4193"/>
    <w:rsid w:val="000C41D2"/>
    <w:rsid w:val="000C421B"/>
    <w:rsid w:val="000C4341"/>
    <w:rsid w:val="000C444B"/>
    <w:rsid w:val="000C4451"/>
    <w:rsid w:val="000C45AC"/>
    <w:rsid w:val="000C45B8"/>
    <w:rsid w:val="000C45E4"/>
    <w:rsid w:val="000C4640"/>
    <w:rsid w:val="000C46D7"/>
    <w:rsid w:val="000C46F1"/>
    <w:rsid w:val="000C4700"/>
    <w:rsid w:val="000C4701"/>
    <w:rsid w:val="000C486A"/>
    <w:rsid w:val="000C48E7"/>
    <w:rsid w:val="000C494F"/>
    <w:rsid w:val="000C49E9"/>
    <w:rsid w:val="000C4A35"/>
    <w:rsid w:val="000C4B22"/>
    <w:rsid w:val="000C4C22"/>
    <w:rsid w:val="000C4C95"/>
    <w:rsid w:val="000C4D7F"/>
    <w:rsid w:val="000C4DBE"/>
    <w:rsid w:val="000C4F9F"/>
    <w:rsid w:val="000C5053"/>
    <w:rsid w:val="000C5060"/>
    <w:rsid w:val="000C5192"/>
    <w:rsid w:val="000C5385"/>
    <w:rsid w:val="000C559D"/>
    <w:rsid w:val="000C5707"/>
    <w:rsid w:val="000C5750"/>
    <w:rsid w:val="000C582B"/>
    <w:rsid w:val="000C59B8"/>
    <w:rsid w:val="000C5A1B"/>
    <w:rsid w:val="000C5ABE"/>
    <w:rsid w:val="000C5CE2"/>
    <w:rsid w:val="000C5EDD"/>
    <w:rsid w:val="000C5F15"/>
    <w:rsid w:val="000C5F60"/>
    <w:rsid w:val="000C6035"/>
    <w:rsid w:val="000C6121"/>
    <w:rsid w:val="000C6270"/>
    <w:rsid w:val="000C6271"/>
    <w:rsid w:val="000C635D"/>
    <w:rsid w:val="000C6361"/>
    <w:rsid w:val="000C639C"/>
    <w:rsid w:val="000C63A7"/>
    <w:rsid w:val="000C64DC"/>
    <w:rsid w:val="000C67DA"/>
    <w:rsid w:val="000C67FB"/>
    <w:rsid w:val="000C6956"/>
    <w:rsid w:val="000C6B05"/>
    <w:rsid w:val="000C6BA4"/>
    <w:rsid w:val="000C6DD8"/>
    <w:rsid w:val="000C70DF"/>
    <w:rsid w:val="000C7174"/>
    <w:rsid w:val="000C7201"/>
    <w:rsid w:val="000C7480"/>
    <w:rsid w:val="000C7586"/>
    <w:rsid w:val="000C7701"/>
    <w:rsid w:val="000C7871"/>
    <w:rsid w:val="000C79DD"/>
    <w:rsid w:val="000C7A1B"/>
    <w:rsid w:val="000C7A2F"/>
    <w:rsid w:val="000C7A3E"/>
    <w:rsid w:val="000C7AE6"/>
    <w:rsid w:val="000C7E87"/>
    <w:rsid w:val="000C7F6C"/>
    <w:rsid w:val="000C7F9B"/>
    <w:rsid w:val="000D014C"/>
    <w:rsid w:val="000D0259"/>
    <w:rsid w:val="000D02E0"/>
    <w:rsid w:val="000D030A"/>
    <w:rsid w:val="000D0562"/>
    <w:rsid w:val="000D060F"/>
    <w:rsid w:val="000D065D"/>
    <w:rsid w:val="000D0714"/>
    <w:rsid w:val="000D071D"/>
    <w:rsid w:val="000D073C"/>
    <w:rsid w:val="000D080F"/>
    <w:rsid w:val="000D0816"/>
    <w:rsid w:val="000D09C9"/>
    <w:rsid w:val="000D0AB1"/>
    <w:rsid w:val="000D0ABD"/>
    <w:rsid w:val="000D0B16"/>
    <w:rsid w:val="000D0BE3"/>
    <w:rsid w:val="000D0E07"/>
    <w:rsid w:val="000D0F14"/>
    <w:rsid w:val="000D0FEA"/>
    <w:rsid w:val="000D103A"/>
    <w:rsid w:val="000D10B7"/>
    <w:rsid w:val="000D110F"/>
    <w:rsid w:val="000D12D6"/>
    <w:rsid w:val="000D1349"/>
    <w:rsid w:val="000D1379"/>
    <w:rsid w:val="000D13B3"/>
    <w:rsid w:val="000D1439"/>
    <w:rsid w:val="000D14C9"/>
    <w:rsid w:val="000D1547"/>
    <w:rsid w:val="000D159F"/>
    <w:rsid w:val="000D15B8"/>
    <w:rsid w:val="000D1606"/>
    <w:rsid w:val="000D1734"/>
    <w:rsid w:val="000D17F7"/>
    <w:rsid w:val="000D1806"/>
    <w:rsid w:val="000D1981"/>
    <w:rsid w:val="000D1AAF"/>
    <w:rsid w:val="000D1ADF"/>
    <w:rsid w:val="000D1BAE"/>
    <w:rsid w:val="000D1BEF"/>
    <w:rsid w:val="000D1F86"/>
    <w:rsid w:val="000D208B"/>
    <w:rsid w:val="000D20AD"/>
    <w:rsid w:val="000D215B"/>
    <w:rsid w:val="000D226D"/>
    <w:rsid w:val="000D2371"/>
    <w:rsid w:val="000D2372"/>
    <w:rsid w:val="000D23A8"/>
    <w:rsid w:val="000D2439"/>
    <w:rsid w:val="000D2552"/>
    <w:rsid w:val="000D27C8"/>
    <w:rsid w:val="000D27C9"/>
    <w:rsid w:val="000D27EB"/>
    <w:rsid w:val="000D29DE"/>
    <w:rsid w:val="000D2C29"/>
    <w:rsid w:val="000D2DEE"/>
    <w:rsid w:val="000D2EE3"/>
    <w:rsid w:val="000D3132"/>
    <w:rsid w:val="000D324B"/>
    <w:rsid w:val="000D325B"/>
    <w:rsid w:val="000D327A"/>
    <w:rsid w:val="000D345C"/>
    <w:rsid w:val="000D3490"/>
    <w:rsid w:val="000D35E6"/>
    <w:rsid w:val="000D3794"/>
    <w:rsid w:val="000D37B4"/>
    <w:rsid w:val="000D380C"/>
    <w:rsid w:val="000D3881"/>
    <w:rsid w:val="000D390F"/>
    <w:rsid w:val="000D3984"/>
    <w:rsid w:val="000D3AA3"/>
    <w:rsid w:val="000D3B28"/>
    <w:rsid w:val="000D3B87"/>
    <w:rsid w:val="000D3C01"/>
    <w:rsid w:val="000D3D2B"/>
    <w:rsid w:val="000D3D35"/>
    <w:rsid w:val="000D40A6"/>
    <w:rsid w:val="000D40A9"/>
    <w:rsid w:val="000D4247"/>
    <w:rsid w:val="000D42B4"/>
    <w:rsid w:val="000D4408"/>
    <w:rsid w:val="000D4598"/>
    <w:rsid w:val="000D4616"/>
    <w:rsid w:val="000D46EF"/>
    <w:rsid w:val="000D472E"/>
    <w:rsid w:val="000D4733"/>
    <w:rsid w:val="000D481A"/>
    <w:rsid w:val="000D4842"/>
    <w:rsid w:val="000D49E3"/>
    <w:rsid w:val="000D4A90"/>
    <w:rsid w:val="000D4B67"/>
    <w:rsid w:val="000D4BB2"/>
    <w:rsid w:val="000D4BF6"/>
    <w:rsid w:val="000D4C11"/>
    <w:rsid w:val="000D4C5C"/>
    <w:rsid w:val="000D4E44"/>
    <w:rsid w:val="000D4EC7"/>
    <w:rsid w:val="000D50B8"/>
    <w:rsid w:val="000D50DF"/>
    <w:rsid w:val="000D52DE"/>
    <w:rsid w:val="000D5412"/>
    <w:rsid w:val="000D5544"/>
    <w:rsid w:val="000D5628"/>
    <w:rsid w:val="000D582B"/>
    <w:rsid w:val="000D595E"/>
    <w:rsid w:val="000D5AEF"/>
    <w:rsid w:val="000D5B3B"/>
    <w:rsid w:val="000D5B40"/>
    <w:rsid w:val="000D5CD6"/>
    <w:rsid w:val="000D5D45"/>
    <w:rsid w:val="000D5EC5"/>
    <w:rsid w:val="000D6078"/>
    <w:rsid w:val="000D6119"/>
    <w:rsid w:val="000D61D8"/>
    <w:rsid w:val="000D621B"/>
    <w:rsid w:val="000D62D4"/>
    <w:rsid w:val="000D6324"/>
    <w:rsid w:val="000D63EF"/>
    <w:rsid w:val="000D659E"/>
    <w:rsid w:val="000D65D6"/>
    <w:rsid w:val="000D68A4"/>
    <w:rsid w:val="000D68AF"/>
    <w:rsid w:val="000D68E1"/>
    <w:rsid w:val="000D69A6"/>
    <w:rsid w:val="000D69F2"/>
    <w:rsid w:val="000D6A17"/>
    <w:rsid w:val="000D6A66"/>
    <w:rsid w:val="000D6BA7"/>
    <w:rsid w:val="000D6C78"/>
    <w:rsid w:val="000D6E4A"/>
    <w:rsid w:val="000D6FA4"/>
    <w:rsid w:val="000D71E0"/>
    <w:rsid w:val="000D734A"/>
    <w:rsid w:val="000D754C"/>
    <w:rsid w:val="000D7606"/>
    <w:rsid w:val="000D765A"/>
    <w:rsid w:val="000D7686"/>
    <w:rsid w:val="000D775E"/>
    <w:rsid w:val="000D7843"/>
    <w:rsid w:val="000D78B4"/>
    <w:rsid w:val="000D7C04"/>
    <w:rsid w:val="000D7C33"/>
    <w:rsid w:val="000D7E96"/>
    <w:rsid w:val="000D7EA8"/>
    <w:rsid w:val="000D7FA5"/>
    <w:rsid w:val="000E00CE"/>
    <w:rsid w:val="000E0323"/>
    <w:rsid w:val="000E0361"/>
    <w:rsid w:val="000E03C1"/>
    <w:rsid w:val="000E0401"/>
    <w:rsid w:val="000E044F"/>
    <w:rsid w:val="000E0572"/>
    <w:rsid w:val="000E05C1"/>
    <w:rsid w:val="000E0607"/>
    <w:rsid w:val="000E0613"/>
    <w:rsid w:val="000E06CD"/>
    <w:rsid w:val="000E0797"/>
    <w:rsid w:val="000E07E2"/>
    <w:rsid w:val="000E0833"/>
    <w:rsid w:val="000E083A"/>
    <w:rsid w:val="000E0933"/>
    <w:rsid w:val="000E0936"/>
    <w:rsid w:val="000E0947"/>
    <w:rsid w:val="000E0A11"/>
    <w:rsid w:val="000E0A82"/>
    <w:rsid w:val="000E0D4C"/>
    <w:rsid w:val="000E0D82"/>
    <w:rsid w:val="000E0DCA"/>
    <w:rsid w:val="000E0EF3"/>
    <w:rsid w:val="000E0F68"/>
    <w:rsid w:val="000E1058"/>
    <w:rsid w:val="000E1113"/>
    <w:rsid w:val="000E11E1"/>
    <w:rsid w:val="000E120C"/>
    <w:rsid w:val="000E1317"/>
    <w:rsid w:val="000E155E"/>
    <w:rsid w:val="000E1605"/>
    <w:rsid w:val="000E161E"/>
    <w:rsid w:val="000E1718"/>
    <w:rsid w:val="000E18C8"/>
    <w:rsid w:val="000E19E8"/>
    <w:rsid w:val="000E1C26"/>
    <w:rsid w:val="000E1CE1"/>
    <w:rsid w:val="000E1DDB"/>
    <w:rsid w:val="000E2015"/>
    <w:rsid w:val="000E2190"/>
    <w:rsid w:val="000E2235"/>
    <w:rsid w:val="000E245E"/>
    <w:rsid w:val="000E279E"/>
    <w:rsid w:val="000E2DD7"/>
    <w:rsid w:val="000E2E25"/>
    <w:rsid w:val="000E2E63"/>
    <w:rsid w:val="000E3040"/>
    <w:rsid w:val="000E307D"/>
    <w:rsid w:val="000E3087"/>
    <w:rsid w:val="000E3158"/>
    <w:rsid w:val="000E31CE"/>
    <w:rsid w:val="000E3221"/>
    <w:rsid w:val="000E3313"/>
    <w:rsid w:val="000E3509"/>
    <w:rsid w:val="000E3510"/>
    <w:rsid w:val="000E35E9"/>
    <w:rsid w:val="000E362E"/>
    <w:rsid w:val="000E3704"/>
    <w:rsid w:val="000E387D"/>
    <w:rsid w:val="000E390F"/>
    <w:rsid w:val="000E39D1"/>
    <w:rsid w:val="000E39DD"/>
    <w:rsid w:val="000E3B6F"/>
    <w:rsid w:val="000E3C59"/>
    <w:rsid w:val="000E3D93"/>
    <w:rsid w:val="000E3E0B"/>
    <w:rsid w:val="000E3F2D"/>
    <w:rsid w:val="000E3F7B"/>
    <w:rsid w:val="000E3F91"/>
    <w:rsid w:val="000E4160"/>
    <w:rsid w:val="000E41B8"/>
    <w:rsid w:val="000E41D5"/>
    <w:rsid w:val="000E41F4"/>
    <w:rsid w:val="000E42C7"/>
    <w:rsid w:val="000E4589"/>
    <w:rsid w:val="000E4734"/>
    <w:rsid w:val="000E493C"/>
    <w:rsid w:val="000E4A9F"/>
    <w:rsid w:val="000E4AAE"/>
    <w:rsid w:val="000E4AE0"/>
    <w:rsid w:val="000E4D21"/>
    <w:rsid w:val="000E4E8B"/>
    <w:rsid w:val="000E508F"/>
    <w:rsid w:val="000E51FB"/>
    <w:rsid w:val="000E537D"/>
    <w:rsid w:val="000E5393"/>
    <w:rsid w:val="000E553E"/>
    <w:rsid w:val="000E5551"/>
    <w:rsid w:val="000E5613"/>
    <w:rsid w:val="000E5622"/>
    <w:rsid w:val="000E5875"/>
    <w:rsid w:val="000E5A17"/>
    <w:rsid w:val="000E5ADC"/>
    <w:rsid w:val="000E5AEB"/>
    <w:rsid w:val="000E5EE7"/>
    <w:rsid w:val="000E5EFE"/>
    <w:rsid w:val="000E60AA"/>
    <w:rsid w:val="000E60DF"/>
    <w:rsid w:val="000E611A"/>
    <w:rsid w:val="000E614D"/>
    <w:rsid w:val="000E6155"/>
    <w:rsid w:val="000E61F0"/>
    <w:rsid w:val="000E6205"/>
    <w:rsid w:val="000E65EC"/>
    <w:rsid w:val="000E6650"/>
    <w:rsid w:val="000E66BF"/>
    <w:rsid w:val="000E6919"/>
    <w:rsid w:val="000E6BD6"/>
    <w:rsid w:val="000E6F92"/>
    <w:rsid w:val="000E6FDD"/>
    <w:rsid w:val="000E7139"/>
    <w:rsid w:val="000E7155"/>
    <w:rsid w:val="000E736F"/>
    <w:rsid w:val="000E74D9"/>
    <w:rsid w:val="000E779B"/>
    <w:rsid w:val="000E7880"/>
    <w:rsid w:val="000E7C04"/>
    <w:rsid w:val="000E7CC5"/>
    <w:rsid w:val="000E7E4F"/>
    <w:rsid w:val="000E7F72"/>
    <w:rsid w:val="000E7FC3"/>
    <w:rsid w:val="000F0017"/>
    <w:rsid w:val="000F0115"/>
    <w:rsid w:val="000F014B"/>
    <w:rsid w:val="000F019A"/>
    <w:rsid w:val="000F0234"/>
    <w:rsid w:val="000F046A"/>
    <w:rsid w:val="000F0656"/>
    <w:rsid w:val="000F0911"/>
    <w:rsid w:val="000F098E"/>
    <w:rsid w:val="000F0A50"/>
    <w:rsid w:val="000F0A59"/>
    <w:rsid w:val="000F0AB3"/>
    <w:rsid w:val="000F0AB4"/>
    <w:rsid w:val="000F0B8E"/>
    <w:rsid w:val="000F0C58"/>
    <w:rsid w:val="000F0FE5"/>
    <w:rsid w:val="000F10DF"/>
    <w:rsid w:val="000F1178"/>
    <w:rsid w:val="000F120D"/>
    <w:rsid w:val="000F12E0"/>
    <w:rsid w:val="000F131B"/>
    <w:rsid w:val="000F14B9"/>
    <w:rsid w:val="000F14FD"/>
    <w:rsid w:val="000F173F"/>
    <w:rsid w:val="000F17AC"/>
    <w:rsid w:val="000F1848"/>
    <w:rsid w:val="000F1B1A"/>
    <w:rsid w:val="000F1B4B"/>
    <w:rsid w:val="000F1C5E"/>
    <w:rsid w:val="000F1D3E"/>
    <w:rsid w:val="000F1DCC"/>
    <w:rsid w:val="000F1EAC"/>
    <w:rsid w:val="000F2022"/>
    <w:rsid w:val="000F208E"/>
    <w:rsid w:val="000F218D"/>
    <w:rsid w:val="000F2418"/>
    <w:rsid w:val="000F25E0"/>
    <w:rsid w:val="000F288A"/>
    <w:rsid w:val="000F29DF"/>
    <w:rsid w:val="000F2A42"/>
    <w:rsid w:val="000F2A63"/>
    <w:rsid w:val="000F2ABF"/>
    <w:rsid w:val="000F2C74"/>
    <w:rsid w:val="000F2D45"/>
    <w:rsid w:val="000F2E50"/>
    <w:rsid w:val="000F2EB8"/>
    <w:rsid w:val="000F2F46"/>
    <w:rsid w:val="000F2F6A"/>
    <w:rsid w:val="000F30CF"/>
    <w:rsid w:val="000F3271"/>
    <w:rsid w:val="000F363D"/>
    <w:rsid w:val="000F369C"/>
    <w:rsid w:val="000F37A5"/>
    <w:rsid w:val="000F3893"/>
    <w:rsid w:val="000F38F3"/>
    <w:rsid w:val="000F394E"/>
    <w:rsid w:val="000F3982"/>
    <w:rsid w:val="000F3AD1"/>
    <w:rsid w:val="000F3AD2"/>
    <w:rsid w:val="000F3B7A"/>
    <w:rsid w:val="000F3C3E"/>
    <w:rsid w:val="000F3DAE"/>
    <w:rsid w:val="000F3F73"/>
    <w:rsid w:val="000F4067"/>
    <w:rsid w:val="000F409E"/>
    <w:rsid w:val="000F412F"/>
    <w:rsid w:val="000F4244"/>
    <w:rsid w:val="000F43A2"/>
    <w:rsid w:val="000F4409"/>
    <w:rsid w:val="000F4584"/>
    <w:rsid w:val="000F46DB"/>
    <w:rsid w:val="000F471D"/>
    <w:rsid w:val="000F4872"/>
    <w:rsid w:val="000F48B2"/>
    <w:rsid w:val="000F4995"/>
    <w:rsid w:val="000F4A19"/>
    <w:rsid w:val="000F4C1D"/>
    <w:rsid w:val="000F4C33"/>
    <w:rsid w:val="000F4D11"/>
    <w:rsid w:val="000F4E2C"/>
    <w:rsid w:val="000F4F26"/>
    <w:rsid w:val="000F5056"/>
    <w:rsid w:val="000F5267"/>
    <w:rsid w:val="000F527A"/>
    <w:rsid w:val="000F5295"/>
    <w:rsid w:val="000F52E4"/>
    <w:rsid w:val="000F52F5"/>
    <w:rsid w:val="000F5373"/>
    <w:rsid w:val="000F53DE"/>
    <w:rsid w:val="000F54C4"/>
    <w:rsid w:val="000F55AF"/>
    <w:rsid w:val="000F5675"/>
    <w:rsid w:val="000F5851"/>
    <w:rsid w:val="000F5999"/>
    <w:rsid w:val="000F5CA5"/>
    <w:rsid w:val="000F5D41"/>
    <w:rsid w:val="000F5E06"/>
    <w:rsid w:val="000F6085"/>
    <w:rsid w:val="000F60F3"/>
    <w:rsid w:val="000F61A2"/>
    <w:rsid w:val="000F61D7"/>
    <w:rsid w:val="000F632B"/>
    <w:rsid w:val="000F632C"/>
    <w:rsid w:val="000F6592"/>
    <w:rsid w:val="000F675E"/>
    <w:rsid w:val="000F6A35"/>
    <w:rsid w:val="000F6AB8"/>
    <w:rsid w:val="000F6BF9"/>
    <w:rsid w:val="000F6D66"/>
    <w:rsid w:val="000F6D70"/>
    <w:rsid w:val="000F6F04"/>
    <w:rsid w:val="000F6FC6"/>
    <w:rsid w:val="000F71AC"/>
    <w:rsid w:val="000F7309"/>
    <w:rsid w:val="000F7408"/>
    <w:rsid w:val="000F7525"/>
    <w:rsid w:val="000F76C3"/>
    <w:rsid w:val="000F7959"/>
    <w:rsid w:val="000F7994"/>
    <w:rsid w:val="000F7B91"/>
    <w:rsid w:val="000F7C35"/>
    <w:rsid w:val="000F7CC9"/>
    <w:rsid w:val="000F7D8E"/>
    <w:rsid w:val="000F7E13"/>
    <w:rsid w:val="000F7E20"/>
    <w:rsid w:val="000F7E55"/>
    <w:rsid w:val="001000EF"/>
    <w:rsid w:val="00100137"/>
    <w:rsid w:val="0010021F"/>
    <w:rsid w:val="0010030C"/>
    <w:rsid w:val="001003EF"/>
    <w:rsid w:val="00100448"/>
    <w:rsid w:val="0010059E"/>
    <w:rsid w:val="00100631"/>
    <w:rsid w:val="0010065E"/>
    <w:rsid w:val="001008E7"/>
    <w:rsid w:val="001008FB"/>
    <w:rsid w:val="00100904"/>
    <w:rsid w:val="00100A11"/>
    <w:rsid w:val="00100A1B"/>
    <w:rsid w:val="00100A25"/>
    <w:rsid w:val="00100A79"/>
    <w:rsid w:val="00100D98"/>
    <w:rsid w:val="00100FC4"/>
    <w:rsid w:val="00101008"/>
    <w:rsid w:val="0010105B"/>
    <w:rsid w:val="001010AE"/>
    <w:rsid w:val="001013E7"/>
    <w:rsid w:val="0010182C"/>
    <w:rsid w:val="00101926"/>
    <w:rsid w:val="00101ADD"/>
    <w:rsid w:val="00101AFB"/>
    <w:rsid w:val="00101CD3"/>
    <w:rsid w:val="00101E57"/>
    <w:rsid w:val="00101E67"/>
    <w:rsid w:val="00101EDC"/>
    <w:rsid w:val="00101F05"/>
    <w:rsid w:val="0010204F"/>
    <w:rsid w:val="001020A6"/>
    <w:rsid w:val="001022E8"/>
    <w:rsid w:val="00102584"/>
    <w:rsid w:val="0010260A"/>
    <w:rsid w:val="0010263D"/>
    <w:rsid w:val="001027DA"/>
    <w:rsid w:val="00102BA8"/>
    <w:rsid w:val="00102BCA"/>
    <w:rsid w:val="00102C36"/>
    <w:rsid w:val="00102D0B"/>
    <w:rsid w:val="00102E32"/>
    <w:rsid w:val="00103036"/>
    <w:rsid w:val="0010322B"/>
    <w:rsid w:val="001034BD"/>
    <w:rsid w:val="00103566"/>
    <w:rsid w:val="00103579"/>
    <w:rsid w:val="001035E7"/>
    <w:rsid w:val="00103660"/>
    <w:rsid w:val="0010374E"/>
    <w:rsid w:val="001037C8"/>
    <w:rsid w:val="00103808"/>
    <w:rsid w:val="00103907"/>
    <w:rsid w:val="0010394F"/>
    <w:rsid w:val="00103A92"/>
    <w:rsid w:val="00103B13"/>
    <w:rsid w:val="00103B9B"/>
    <w:rsid w:val="00103BD4"/>
    <w:rsid w:val="00103F95"/>
    <w:rsid w:val="0010402D"/>
    <w:rsid w:val="001040E8"/>
    <w:rsid w:val="00104161"/>
    <w:rsid w:val="001041FF"/>
    <w:rsid w:val="0010462E"/>
    <w:rsid w:val="00104AF9"/>
    <w:rsid w:val="00104BD7"/>
    <w:rsid w:val="00104CB3"/>
    <w:rsid w:val="00104CB5"/>
    <w:rsid w:val="00104CB7"/>
    <w:rsid w:val="00104D2F"/>
    <w:rsid w:val="00104DB3"/>
    <w:rsid w:val="00104DDC"/>
    <w:rsid w:val="00104E1E"/>
    <w:rsid w:val="00104E2A"/>
    <w:rsid w:val="0010505D"/>
    <w:rsid w:val="00105075"/>
    <w:rsid w:val="001050DD"/>
    <w:rsid w:val="00105348"/>
    <w:rsid w:val="001053F6"/>
    <w:rsid w:val="001054D5"/>
    <w:rsid w:val="0010553B"/>
    <w:rsid w:val="001055FB"/>
    <w:rsid w:val="00105807"/>
    <w:rsid w:val="001058EC"/>
    <w:rsid w:val="001059BC"/>
    <w:rsid w:val="00105C5C"/>
    <w:rsid w:val="00105CB4"/>
    <w:rsid w:val="00105F0F"/>
    <w:rsid w:val="00106146"/>
    <w:rsid w:val="00106259"/>
    <w:rsid w:val="001063A9"/>
    <w:rsid w:val="001063E0"/>
    <w:rsid w:val="0010652E"/>
    <w:rsid w:val="001065A8"/>
    <w:rsid w:val="00106628"/>
    <w:rsid w:val="0010683D"/>
    <w:rsid w:val="001068C2"/>
    <w:rsid w:val="00106A7E"/>
    <w:rsid w:val="00106C6E"/>
    <w:rsid w:val="00106E76"/>
    <w:rsid w:val="001070C3"/>
    <w:rsid w:val="001071A4"/>
    <w:rsid w:val="0010723C"/>
    <w:rsid w:val="0010730D"/>
    <w:rsid w:val="00107455"/>
    <w:rsid w:val="00107475"/>
    <w:rsid w:val="0010766D"/>
    <w:rsid w:val="00107676"/>
    <w:rsid w:val="0010769B"/>
    <w:rsid w:val="001076DC"/>
    <w:rsid w:val="00107879"/>
    <w:rsid w:val="00107941"/>
    <w:rsid w:val="001079F8"/>
    <w:rsid w:val="001079FF"/>
    <w:rsid w:val="00107A6A"/>
    <w:rsid w:val="00107AA7"/>
    <w:rsid w:val="00107B24"/>
    <w:rsid w:val="00107BDB"/>
    <w:rsid w:val="00107BFC"/>
    <w:rsid w:val="00107D54"/>
    <w:rsid w:val="00107DC8"/>
    <w:rsid w:val="00107F72"/>
    <w:rsid w:val="00107F87"/>
    <w:rsid w:val="00107F9C"/>
    <w:rsid w:val="001101A1"/>
    <w:rsid w:val="001102DD"/>
    <w:rsid w:val="0011058D"/>
    <w:rsid w:val="001106B3"/>
    <w:rsid w:val="001106E0"/>
    <w:rsid w:val="00110AC0"/>
    <w:rsid w:val="00110D2A"/>
    <w:rsid w:val="00110DAB"/>
    <w:rsid w:val="00110FE7"/>
    <w:rsid w:val="0011119B"/>
    <w:rsid w:val="001111D3"/>
    <w:rsid w:val="0011138A"/>
    <w:rsid w:val="00111547"/>
    <w:rsid w:val="001115F6"/>
    <w:rsid w:val="00111871"/>
    <w:rsid w:val="001118A3"/>
    <w:rsid w:val="00111938"/>
    <w:rsid w:val="00111C02"/>
    <w:rsid w:val="00111C76"/>
    <w:rsid w:val="00111CEA"/>
    <w:rsid w:val="00111CFC"/>
    <w:rsid w:val="00111DE4"/>
    <w:rsid w:val="00111E2C"/>
    <w:rsid w:val="00111F0E"/>
    <w:rsid w:val="00111F53"/>
    <w:rsid w:val="00111FF2"/>
    <w:rsid w:val="0011202C"/>
    <w:rsid w:val="0011215B"/>
    <w:rsid w:val="001121EC"/>
    <w:rsid w:val="00112275"/>
    <w:rsid w:val="001122BC"/>
    <w:rsid w:val="0011234A"/>
    <w:rsid w:val="001124CF"/>
    <w:rsid w:val="0011252E"/>
    <w:rsid w:val="0011253A"/>
    <w:rsid w:val="001125FA"/>
    <w:rsid w:val="001125FF"/>
    <w:rsid w:val="00112774"/>
    <w:rsid w:val="001127E5"/>
    <w:rsid w:val="0011285D"/>
    <w:rsid w:val="001129B2"/>
    <w:rsid w:val="001129D2"/>
    <w:rsid w:val="00112BBB"/>
    <w:rsid w:val="00112BBE"/>
    <w:rsid w:val="00112DF4"/>
    <w:rsid w:val="00112ED5"/>
    <w:rsid w:val="00112EF2"/>
    <w:rsid w:val="00112F43"/>
    <w:rsid w:val="00112F7F"/>
    <w:rsid w:val="00113044"/>
    <w:rsid w:val="00113187"/>
    <w:rsid w:val="00113241"/>
    <w:rsid w:val="0011326C"/>
    <w:rsid w:val="001132DF"/>
    <w:rsid w:val="00113551"/>
    <w:rsid w:val="00113577"/>
    <w:rsid w:val="001137BC"/>
    <w:rsid w:val="001138D9"/>
    <w:rsid w:val="00113903"/>
    <w:rsid w:val="00113AFA"/>
    <w:rsid w:val="00113B40"/>
    <w:rsid w:val="00113B7C"/>
    <w:rsid w:val="00113C1A"/>
    <w:rsid w:val="00113C3D"/>
    <w:rsid w:val="00113C97"/>
    <w:rsid w:val="00113E1D"/>
    <w:rsid w:val="00113F49"/>
    <w:rsid w:val="00114084"/>
    <w:rsid w:val="0011409A"/>
    <w:rsid w:val="001141AF"/>
    <w:rsid w:val="001141D9"/>
    <w:rsid w:val="001141E7"/>
    <w:rsid w:val="00114211"/>
    <w:rsid w:val="001142EE"/>
    <w:rsid w:val="0011439F"/>
    <w:rsid w:val="0011440F"/>
    <w:rsid w:val="0011472F"/>
    <w:rsid w:val="001147BB"/>
    <w:rsid w:val="001147F1"/>
    <w:rsid w:val="00114860"/>
    <w:rsid w:val="001148A4"/>
    <w:rsid w:val="001149E6"/>
    <w:rsid w:val="001149F6"/>
    <w:rsid w:val="00114A5D"/>
    <w:rsid w:val="00114A9C"/>
    <w:rsid w:val="00114B96"/>
    <w:rsid w:val="00114BE3"/>
    <w:rsid w:val="00114DBA"/>
    <w:rsid w:val="00114DF6"/>
    <w:rsid w:val="00114EAE"/>
    <w:rsid w:val="00115063"/>
    <w:rsid w:val="001150C4"/>
    <w:rsid w:val="00115157"/>
    <w:rsid w:val="00115220"/>
    <w:rsid w:val="001152E7"/>
    <w:rsid w:val="0011531E"/>
    <w:rsid w:val="001157A0"/>
    <w:rsid w:val="001157AC"/>
    <w:rsid w:val="00115943"/>
    <w:rsid w:val="0011596A"/>
    <w:rsid w:val="00115ACD"/>
    <w:rsid w:val="00115B8F"/>
    <w:rsid w:val="00115B9C"/>
    <w:rsid w:val="00115BAC"/>
    <w:rsid w:val="00115C95"/>
    <w:rsid w:val="00115D8A"/>
    <w:rsid w:val="001160F1"/>
    <w:rsid w:val="0011617D"/>
    <w:rsid w:val="00116183"/>
    <w:rsid w:val="001161FD"/>
    <w:rsid w:val="0011641D"/>
    <w:rsid w:val="001165B8"/>
    <w:rsid w:val="0011665B"/>
    <w:rsid w:val="001166B1"/>
    <w:rsid w:val="0011686C"/>
    <w:rsid w:val="00116948"/>
    <w:rsid w:val="0011694C"/>
    <w:rsid w:val="0011698E"/>
    <w:rsid w:val="00116A79"/>
    <w:rsid w:val="00116BDE"/>
    <w:rsid w:val="00116BE9"/>
    <w:rsid w:val="00116CE9"/>
    <w:rsid w:val="00116D74"/>
    <w:rsid w:val="00116EC5"/>
    <w:rsid w:val="00116F1A"/>
    <w:rsid w:val="00117230"/>
    <w:rsid w:val="0011724B"/>
    <w:rsid w:val="00117370"/>
    <w:rsid w:val="00117386"/>
    <w:rsid w:val="00117527"/>
    <w:rsid w:val="00117647"/>
    <w:rsid w:val="0011767D"/>
    <w:rsid w:val="00117771"/>
    <w:rsid w:val="0011787F"/>
    <w:rsid w:val="00117A9D"/>
    <w:rsid w:val="00117AC7"/>
    <w:rsid w:val="00117B9E"/>
    <w:rsid w:val="00117C3F"/>
    <w:rsid w:val="00117CC2"/>
    <w:rsid w:val="00117D6F"/>
    <w:rsid w:val="00117D8A"/>
    <w:rsid w:val="00117D92"/>
    <w:rsid w:val="00117E29"/>
    <w:rsid w:val="00117E2F"/>
    <w:rsid w:val="00117F72"/>
    <w:rsid w:val="001201D8"/>
    <w:rsid w:val="00120263"/>
    <w:rsid w:val="00120483"/>
    <w:rsid w:val="0012049C"/>
    <w:rsid w:val="001204FB"/>
    <w:rsid w:val="0012060E"/>
    <w:rsid w:val="0012062A"/>
    <w:rsid w:val="0012083B"/>
    <w:rsid w:val="001208CD"/>
    <w:rsid w:val="00120931"/>
    <w:rsid w:val="001209F3"/>
    <w:rsid w:val="00120AB8"/>
    <w:rsid w:val="00120BA5"/>
    <w:rsid w:val="00120C91"/>
    <w:rsid w:val="00120CF8"/>
    <w:rsid w:val="00121140"/>
    <w:rsid w:val="00121265"/>
    <w:rsid w:val="001212C2"/>
    <w:rsid w:val="00121382"/>
    <w:rsid w:val="001215FF"/>
    <w:rsid w:val="00121655"/>
    <w:rsid w:val="001216D5"/>
    <w:rsid w:val="00121728"/>
    <w:rsid w:val="00121821"/>
    <w:rsid w:val="00121952"/>
    <w:rsid w:val="0012197D"/>
    <w:rsid w:val="00121ADF"/>
    <w:rsid w:val="00121C5E"/>
    <w:rsid w:val="00121CAB"/>
    <w:rsid w:val="00121D34"/>
    <w:rsid w:val="00121DCD"/>
    <w:rsid w:val="001220B1"/>
    <w:rsid w:val="001221AB"/>
    <w:rsid w:val="001221E4"/>
    <w:rsid w:val="001222B1"/>
    <w:rsid w:val="001222B5"/>
    <w:rsid w:val="00122683"/>
    <w:rsid w:val="001229CD"/>
    <w:rsid w:val="00122B21"/>
    <w:rsid w:val="00122C02"/>
    <w:rsid w:val="00122D89"/>
    <w:rsid w:val="00122DAA"/>
    <w:rsid w:val="00122F45"/>
    <w:rsid w:val="00122F6B"/>
    <w:rsid w:val="00122FBD"/>
    <w:rsid w:val="00123090"/>
    <w:rsid w:val="00123091"/>
    <w:rsid w:val="00123100"/>
    <w:rsid w:val="0012331F"/>
    <w:rsid w:val="00123414"/>
    <w:rsid w:val="00123549"/>
    <w:rsid w:val="001236BF"/>
    <w:rsid w:val="001236D5"/>
    <w:rsid w:val="001236FB"/>
    <w:rsid w:val="00123775"/>
    <w:rsid w:val="0012382B"/>
    <w:rsid w:val="001239E7"/>
    <w:rsid w:val="00123A98"/>
    <w:rsid w:val="00123B31"/>
    <w:rsid w:val="00123DB4"/>
    <w:rsid w:val="00123EEF"/>
    <w:rsid w:val="00123FD0"/>
    <w:rsid w:val="001240AD"/>
    <w:rsid w:val="001241C6"/>
    <w:rsid w:val="00124256"/>
    <w:rsid w:val="00124296"/>
    <w:rsid w:val="001244B8"/>
    <w:rsid w:val="001245A0"/>
    <w:rsid w:val="001245FA"/>
    <w:rsid w:val="00124703"/>
    <w:rsid w:val="00124748"/>
    <w:rsid w:val="0012484B"/>
    <w:rsid w:val="00124895"/>
    <w:rsid w:val="00124A64"/>
    <w:rsid w:val="00124C5F"/>
    <w:rsid w:val="00124CC3"/>
    <w:rsid w:val="00124DC4"/>
    <w:rsid w:val="00124E54"/>
    <w:rsid w:val="00124EE7"/>
    <w:rsid w:val="00125008"/>
    <w:rsid w:val="00125112"/>
    <w:rsid w:val="0012516B"/>
    <w:rsid w:val="00125183"/>
    <w:rsid w:val="00125299"/>
    <w:rsid w:val="001254AF"/>
    <w:rsid w:val="001254F0"/>
    <w:rsid w:val="001257DF"/>
    <w:rsid w:val="001257EF"/>
    <w:rsid w:val="00125BB2"/>
    <w:rsid w:val="00125BFD"/>
    <w:rsid w:val="00125DB9"/>
    <w:rsid w:val="00125DBF"/>
    <w:rsid w:val="00126144"/>
    <w:rsid w:val="001261A9"/>
    <w:rsid w:val="001261BE"/>
    <w:rsid w:val="0012637F"/>
    <w:rsid w:val="0012640E"/>
    <w:rsid w:val="00126556"/>
    <w:rsid w:val="001265B9"/>
    <w:rsid w:val="0012673B"/>
    <w:rsid w:val="0012677E"/>
    <w:rsid w:val="0012678C"/>
    <w:rsid w:val="00126904"/>
    <w:rsid w:val="00126B8F"/>
    <w:rsid w:val="00126DC5"/>
    <w:rsid w:val="0012703E"/>
    <w:rsid w:val="00127095"/>
    <w:rsid w:val="001270A7"/>
    <w:rsid w:val="001270F0"/>
    <w:rsid w:val="0012715E"/>
    <w:rsid w:val="00127178"/>
    <w:rsid w:val="0012723D"/>
    <w:rsid w:val="001272DB"/>
    <w:rsid w:val="0012732C"/>
    <w:rsid w:val="00127447"/>
    <w:rsid w:val="0012749F"/>
    <w:rsid w:val="001274C4"/>
    <w:rsid w:val="00127513"/>
    <w:rsid w:val="001275BA"/>
    <w:rsid w:val="00127601"/>
    <w:rsid w:val="00127618"/>
    <w:rsid w:val="001276EF"/>
    <w:rsid w:val="001276FF"/>
    <w:rsid w:val="00127755"/>
    <w:rsid w:val="00127758"/>
    <w:rsid w:val="001278B6"/>
    <w:rsid w:val="00127A0B"/>
    <w:rsid w:val="00127ADE"/>
    <w:rsid w:val="00127BAE"/>
    <w:rsid w:val="00127D08"/>
    <w:rsid w:val="00127DF0"/>
    <w:rsid w:val="00127E76"/>
    <w:rsid w:val="00127E97"/>
    <w:rsid w:val="00127FC6"/>
    <w:rsid w:val="001301AE"/>
    <w:rsid w:val="00130311"/>
    <w:rsid w:val="00130387"/>
    <w:rsid w:val="0013039F"/>
    <w:rsid w:val="001303C3"/>
    <w:rsid w:val="00130543"/>
    <w:rsid w:val="0013056C"/>
    <w:rsid w:val="001305B2"/>
    <w:rsid w:val="001305D4"/>
    <w:rsid w:val="001305F8"/>
    <w:rsid w:val="0013063B"/>
    <w:rsid w:val="0013063F"/>
    <w:rsid w:val="00130757"/>
    <w:rsid w:val="0013099B"/>
    <w:rsid w:val="001309C0"/>
    <w:rsid w:val="00130BE6"/>
    <w:rsid w:val="00130C81"/>
    <w:rsid w:val="00130DB7"/>
    <w:rsid w:val="00130DC0"/>
    <w:rsid w:val="00130DE1"/>
    <w:rsid w:val="00130DE7"/>
    <w:rsid w:val="00130E32"/>
    <w:rsid w:val="001312A0"/>
    <w:rsid w:val="001313FA"/>
    <w:rsid w:val="001316C4"/>
    <w:rsid w:val="001318C3"/>
    <w:rsid w:val="001318FD"/>
    <w:rsid w:val="00131967"/>
    <w:rsid w:val="00131A3F"/>
    <w:rsid w:val="00131A52"/>
    <w:rsid w:val="00131A56"/>
    <w:rsid w:val="00131A66"/>
    <w:rsid w:val="00131C46"/>
    <w:rsid w:val="00131F46"/>
    <w:rsid w:val="0013211F"/>
    <w:rsid w:val="00132331"/>
    <w:rsid w:val="0013251D"/>
    <w:rsid w:val="001326DA"/>
    <w:rsid w:val="001327BC"/>
    <w:rsid w:val="0013299F"/>
    <w:rsid w:val="00132A03"/>
    <w:rsid w:val="00132BC3"/>
    <w:rsid w:val="00132C60"/>
    <w:rsid w:val="00132D24"/>
    <w:rsid w:val="00132E02"/>
    <w:rsid w:val="00132E42"/>
    <w:rsid w:val="001331F5"/>
    <w:rsid w:val="001332AA"/>
    <w:rsid w:val="001332CB"/>
    <w:rsid w:val="001332E1"/>
    <w:rsid w:val="00133427"/>
    <w:rsid w:val="00133593"/>
    <w:rsid w:val="001337A9"/>
    <w:rsid w:val="00133903"/>
    <w:rsid w:val="001339F7"/>
    <w:rsid w:val="00133A69"/>
    <w:rsid w:val="00133A73"/>
    <w:rsid w:val="00133B25"/>
    <w:rsid w:val="00133B9C"/>
    <w:rsid w:val="00133DA1"/>
    <w:rsid w:val="00133EE6"/>
    <w:rsid w:val="00133F7F"/>
    <w:rsid w:val="001340AE"/>
    <w:rsid w:val="001340DE"/>
    <w:rsid w:val="001340E7"/>
    <w:rsid w:val="0013464A"/>
    <w:rsid w:val="001346A0"/>
    <w:rsid w:val="0013476B"/>
    <w:rsid w:val="001347F2"/>
    <w:rsid w:val="0013483C"/>
    <w:rsid w:val="00134AA0"/>
    <w:rsid w:val="00134FDD"/>
    <w:rsid w:val="00135062"/>
    <w:rsid w:val="001350E5"/>
    <w:rsid w:val="001351E7"/>
    <w:rsid w:val="0013537C"/>
    <w:rsid w:val="0013541C"/>
    <w:rsid w:val="001355DF"/>
    <w:rsid w:val="00135641"/>
    <w:rsid w:val="001356DF"/>
    <w:rsid w:val="00135858"/>
    <w:rsid w:val="00135924"/>
    <w:rsid w:val="0013593E"/>
    <w:rsid w:val="00135AE7"/>
    <w:rsid w:val="00135AFA"/>
    <w:rsid w:val="00135C04"/>
    <w:rsid w:val="00135C4D"/>
    <w:rsid w:val="00135C62"/>
    <w:rsid w:val="00135C6E"/>
    <w:rsid w:val="00135C87"/>
    <w:rsid w:val="00135D27"/>
    <w:rsid w:val="00135D7C"/>
    <w:rsid w:val="00136066"/>
    <w:rsid w:val="001360C0"/>
    <w:rsid w:val="00136121"/>
    <w:rsid w:val="00136241"/>
    <w:rsid w:val="0013632C"/>
    <w:rsid w:val="001363F3"/>
    <w:rsid w:val="001363F7"/>
    <w:rsid w:val="001364B6"/>
    <w:rsid w:val="0013657F"/>
    <w:rsid w:val="00136681"/>
    <w:rsid w:val="0013671A"/>
    <w:rsid w:val="00136808"/>
    <w:rsid w:val="00136871"/>
    <w:rsid w:val="00136957"/>
    <w:rsid w:val="001369D8"/>
    <w:rsid w:val="00136AB5"/>
    <w:rsid w:val="00136B9C"/>
    <w:rsid w:val="00136C4C"/>
    <w:rsid w:val="00136CEC"/>
    <w:rsid w:val="00136E58"/>
    <w:rsid w:val="00136ECA"/>
    <w:rsid w:val="00136FEE"/>
    <w:rsid w:val="00137082"/>
    <w:rsid w:val="00137231"/>
    <w:rsid w:val="001372FC"/>
    <w:rsid w:val="0013737A"/>
    <w:rsid w:val="001374B8"/>
    <w:rsid w:val="001374DE"/>
    <w:rsid w:val="00137778"/>
    <w:rsid w:val="00137941"/>
    <w:rsid w:val="001379B2"/>
    <w:rsid w:val="001379BE"/>
    <w:rsid w:val="00137A42"/>
    <w:rsid w:val="00137B9C"/>
    <w:rsid w:val="00137CAA"/>
    <w:rsid w:val="00137F75"/>
    <w:rsid w:val="00137FFB"/>
    <w:rsid w:val="00140257"/>
    <w:rsid w:val="00140425"/>
    <w:rsid w:val="00140438"/>
    <w:rsid w:val="0014045E"/>
    <w:rsid w:val="001404BB"/>
    <w:rsid w:val="001405E0"/>
    <w:rsid w:val="00140664"/>
    <w:rsid w:val="001406A8"/>
    <w:rsid w:val="001408D2"/>
    <w:rsid w:val="00140921"/>
    <w:rsid w:val="00140934"/>
    <w:rsid w:val="0014094C"/>
    <w:rsid w:val="00140980"/>
    <w:rsid w:val="00140A0D"/>
    <w:rsid w:val="00140BAF"/>
    <w:rsid w:val="00140C02"/>
    <w:rsid w:val="00140C0C"/>
    <w:rsid w:val="00140C3D"/>
    <w:rsid w:val="00140CF2"/>
    <w:rsid w:val="00140D5B"/>
    <w:rsid w:val="00140EDF"/>
    <w:rsid w:val="00140F75"/>
    <w:rsid w:val="00140FD9"/>
    <w:rsid w:val="00141210"/>
    <w:rsid w:val="0014124E"/>
    <w:rsid w:val="001412B3"/>
    <w:rsid w:val="001412E1"/>
    <w:rsid w:val="00141561"/>
    <w:rsid w:val="001416AA"/>
    <w:rsid w:val="0014170D"/>
    <w:rsid w:val="0014174E"/>
    <w:rsid w:val="00141939"/>
    <w:rsid w:val="001419A7"/>
    <w:rsid w:val="00141CC6"/>
    <w:rsid w:val="00141F65"/>
    <w:rsid w:val="00142090"/>
    <w:rsid w:val="00142131"/>
    <w:rsid w:val="001421AB"/>
    <w:rsid w:val="00142251"/>
    <w:rsid w:val="00142511"/>
    <w:rsid w:val="00142519"/>
    <w:rsid w:val="001425CA"/>
    <w:rsid w:val="00142721"/>
    <w:rsid w:val="0014287E"/>
    <w:rsid w:val="0014291C"/>
    <w:rsid w:val="00142982"/>
    <w:rsid w:val="00142B91"/>
    <w:rsid w:val="00142B93"/>
    <w:rsid w:val="00142BEA"/>
    <w:rsid w:val="00142FD0"/>
    <w:rsid w:val="00143153"/>
    <w:rsid w:val="001431A0"/>
    <w:rsid w:val="0014331D"/>
    <w:rsid w:val="001435DA"/>
    <w:rsid w:val="001436D2"/>
    <w:rsid w:val="001437E2"/>
    <w:rsid w:val="0014388C"/>
    <w:rsid w:val="001438C1"/>
    <w:rsid w:val="00143969"/>
    <w:rsid w:val="00143A24"/>
    <w:rsid w:val="00143AC4"/>
    <w:rsid w:val="00143B36"/>
    <w:rsid w:val="00143D0F"/>
    <w:rsid w:val="00143F43"/>
    <w:rsid w:val="00144088"/>
    <w:rsid w:val="0014408A"/>
    <w:rsid w:val="00144171"/>
    <w:rsid w:val="0014427F"/>
    <w:rsid w:val="0014439A"/>
    <w:rsid w:val="00144524"/>
    <w:rsid w:val="00144616"/>
    <w:rsid w:val="00144C7A"/>
    <w:rsid w:val="00144EA7"/>
    <w:rsid w:val="00144F75"/>
    <w:rsid w:val="00144F89"/>
    <w:rsid w:val="0014503F"/>
    <w:rsid w:val="00145055"/>
    <w:rsid w:val="001450C7"/>
    <w:rsid w:val="0014513B"/>
    <w:rsid w:val="001451B0"/>
    <w:rsid w:val="00145248"/>
    <w:rsid w:val="001452EE"/>
    <w:rsid w:val="001453A9"/>
    <w:rsid w:val="001454AF"/>
    <w:rsid w:val="0014551A"/>
    <w:rsid w:val="00145612"/>
    <w:rsid w:val="00145650"/>
    <w:rsid w:val="0014577D"/>
    <w:rsid w:val="001457ED"/>
    <w:rsid w:val="00145A05"/>
    <w:rsid w:val="00145A2A"/>
    <w:rsid w:val="00145BCA"/>
    <w:rsid w:val="00145CDF"/>
    <w:rsid w:val="00145FA5"/>
    <w:rsid w:val="0014602C"/>
    <w:rsid w:val="001460CC"/>
    <w:rsid w:val="00146203"/>
    <w:rsid w:val="00146206"/>
    <w:rsid w:val="0014622A"/>
    <w:rsid w:val="00146282"/>
    <w:rsid w:val="00146679"/>
    <w:rsid w:val="001467C8"/>
    <w:rsid w:val="0014681E"/>
    <w:rsid w:val="0014685B"/>
    <w:rsid w:val="00146878"/>
    <w:rsid w:val="00146963"/>
    <w:rsid w:val="00146996"/>
    <w:rsid w:val="001469F7"/>
    <w:rsid w:val="00146B92"/>
    <w:rsid w:val="00146C93"/>
    <w:rsid w:val="00146D62"/>
    <w:rsid w:val="00146D65"/>
    <w:rsid w:val="00147069"/>
    <w:rsid w:val="0014712C"/>
    <w:rsid w:val="001473BB"/>
    <w:rsid w:val="00147583"/>
    <w:rsid w:val="001475D0"/>
    <w:rsid w:val="001475F1"/>
    <w:rsid w:val="0014761B"/>
    <w:rsid w:val="001477E8"/>
    <w:rsid w:val="0014788B"/>
    <w:rsid w:val="00147A22"/>
    <w:rsid w:val="00147C4B"/>
    <w:rsid w:val="00147C6D"/>
    <w:rsid w:val="00147C91"/>
    <w:rsid w:val="00147CB0"/>
    <w:rsid w:val="00147D01"/>
    <w:rsid w:val="00147D20"/>
    <w:rsid w:val="00147E2C"/>
    <w:rsid w:val="00147E2F"/>
    <w:rsid w:val="00147EAB"/>
    <w:rsid w:val="00147F80"/>
    <w:rsid w:val="0015021A"/>
    <w:rsid w:val="00150222"/>
    <w:rsid w:val="001502DF"/>
    <w:rsid w:val="00150301"/>
    <w:rsid w:val="0015032E"/>
    <w:rsid w:val="00150345"/>
    <w:rsid w:val="001504F2"/>
    <w:rsid w:val="00150647"/>
    <w:rsid w:val="001506DC"/>
    <w:rsid w:val="00150788"/>
    <w:rsid w:val="00150802"/>
    <w:rsid w:val="00150805"/>
    <w:rsid w:val="0015093C"/>
    <w:rsid w:val="00150978"/>
    <w:rsid w:val="00150B0D"/>
    <w:rsid w:val="00150D05"/>
    <w:rsid w:val="00150D15"/>
    <w:rsid w:val="00150D36"/>
    <w:rsid w:val="00150E40"/>
    <w:rsid w:val="00151084"/>
    <w:rsid w:val="00151307"/>
    <w:rsid w:val="00151335"/>
    <w:rsid w:val="00151458"/>
    <w:rsid w:val="00151485"/>
    <w:rsid w:val="0015148F"/>
    <w:rsid w:val="001514DE"/>
    <w:rsid w:val="0015172A"/>
    <w:rsid w:val="00151CCA"/>
    <w:rsid w:val="00151D07"/>
    <w:rsid w:val="00151D20"/>
    <w:rsid w:val="00151DA9"/>
    <w:rsid w:val="00151E3D"/>
    <w:rsid w:val="00151EE6"/>
    <w:rsid w:val="00151EFC"/>
    <w:rsid w:val="00151FAD"/>
    <w:rsid w:val="00152017"/>
    <w:rsid w:val="00152051"/>
    <w:rsid w:val="001520C8"/>
    <w:rsid w:val="0015222C"/>
    <w:rsid w:val="0015224E"/>
    <w:rsid w:val="001522BD"/>
    <w:rsid w:val="001523E0"/>
    <w:rsid w:val="001524AB"/>
    <w:rsid w:val="001524D6"/>
    <w:rsid w:val="00152511"/>
    <w:rsid w:val="001525AF"/>
    <w:rsid w:val="0015280D"/>
    <w:rsid w:val="00152950"/>
    <w:rsid w:val="001529A6"/>
    <w:rsid w:val="001529B2"/>
    <w:rsid w:val="00152AB9"/>
    <w:rsid w:val="00152CF6"/>
    <w:rsid w:val="00152D5E"/>
    <w:rsid w:val="00152D65"/>
    <w:rsid w:val="00152D92"/>
    <w:rsid w:val="00152E83"/>
    <w:rsid w:val="00152EB5"/>
    <w:rsid w:val="00152EEF"/>
    <w:rsid w:val="00152F4A"/>
    <w:rsid w:val="00152FB0"/>
    <w:rsid w:val="00152FDD"/>
    <w:rsid w:val="001531C9"/>
    <w:rsid w:val="0015355A"/>
    <w:rsid w:val="00153571"/>
    <w:rsid w:val="00153673"/>
    <w:rsid w:val="001536F6"/>
    <w:rsid w:val="00153791"/>
    <w:rsid w:val="00153846"/>
    <w:rsid w:val="0015389B"/>
    <w:rsid w:val="001538BF"/>
    <w:rsid w:val="00153905"/>
    <w:rsid w:val="0015391B"/>
    <w:rsid w:val="00153C45"/>
    <w:rsid w:val="00153D92"/>
    <w:rsid w:val="00153D96"/>
    <w:rsid w:val="00153DDA"/>
    <w:rsid w:val="00154171"/>
    <w:rsid w:val="0015417C"/>
    <w:rsid w:val="001542C9"/>
    <w:rsid w:val="00154322"/>
    <w:rsid w:val="00154558"/>
    <w:rsid w:val="001546B0"/>
    <w:rsid w:val="0015479B"/>
    <w:rsid w:val="001547AC"/>
    <w:rsid w:val="001548BA"/>
    <w:rsid w:val="001548BF"/>
    <w:rsid w:val="0015493C"/>
    <w:rsid w:val="00154BB9"/>
    <w:rsid w:val="00154C4E"/>
    <w:rsid w:val="00154C5A"/>
    <w:rsid w:val="00154C7D"/>
    <w:rsid w:val="00154D1D"/>
    <w:rsid w:val="00154D38"/>
    <w:rsid w:val="00154D61"/>
    <w:rsid w:val="00154E5F"/>
    <w:rsid w:val="00154E69"/>
    <w:rsid w:val="00154F38"/>
    <w:rsid w:val="00154F3D"/>
    <w:rsid w:val="00154F92"/>
    <w:rsid w:val="001551A6"/>
    <w:rsid w:val="001552DB"/>
    <w:rsid w:val="001553B4"/>
    <w:rsid w:val="00155443"/>
    <w:rsid w:val="0015556D"/>
    <w:rsid w:val="00155784"/>
    <w:rsid w:val="001557C4"/>
    <w:rsid w:val="0015581D"/>
    <w:rsid w:val="00155946"/>
    <w:rsid w:val="00155959"/>
    <w:rsid w:val="00155999"/>
    <w:rsid w:val="001559D1"/>
    <w:rsid w:val="00155A0C"/>
    <w:rsid w:val="00155A2F"/>
    <w:rsid w:val="00155ABD"/>
    <w:rsid w:val="00155AD5"/>
    <w:rsid w:val="00155B25"/>
    <w:rsid w:val="00155B6E"/>
    <w:rsid w:val="00155D15"/>
    <w:rsid w:val="00155DA7"/>
    <w:rsid w:val="00155FD2"/>
    <w:rsid w:val="001560DF"/>
    <w:rsid w:val="001561A8"/>
    <w:rsid w:val="001561AA"/>
    <w:rsid w:val="001562B8"/>
    <w:rsid w:val="001562ED"/>
    <w:rsid w:val="00156301"/>
    <w:rsid w:val="00156332"/>
    <w:rsid w:val="001563A8"/>
    <w:rsid w:val="00156407"/>
    <w:rsid w:val="0015651B"/>
    <w:rsid w:val="00156626"/>
    <w:rsid w:val="00156869"/>
    <w:rsid w:val="0015693E"/>
    <w:rsid w:val="00156B96"/>
    <w:rsid w:val="00156CE9"/>
    <w:rsid w:val="00156E81"/>
    <w:rsid w:val="00156EBC"/>
    <w:rsid w:val="00156EC6"/>
    <w:rsid w:val="00156F0D"/>
    <w:rsid w:val="00156F94"/>
    <w:rsid w:val="00156FFE"/>
    <w:rsid w:val="00157159"/>
    <w:rsid w:val="001571AC"/>
    <w:rsid w:val="001574AD"/>
    <w:rsid w:val="001576A0"/>
    <w:rsid w:val="001576E2"/>
    <w:rsid w:val="00157712"/>
    <w:rsid w:val="00157A0C"/>
    <w:rsid w:val="00157CE8"/>
    <w:rsid w:val="00157E26"/>
    <w:rsid w:val="00157EB0"/>
    <w:rsid w:val="00157F16"/>
    <w:rsid w:val="00157FBD"/>
    <w:rsid w:val="00157FE7"/>
    <w:rsid w:val="00160048"/>
    <w:rsid w:val="00160174"/>
    <w:rsid w:val="0016028B"/>
    <w:rsid w:val="001602B4"/>
    <w:rsid w:val="001602DD"/>
    <w:rsid w:val="00160466"/>
    <w:rsid w:val="00160526"/>
    <w:rsid w:val="00160686"/>
    <w:rsid w:val="0016070B"/>
    <w:rsid w:val="0016078A"/>
    <w:rsid w:val="001607C2"/>
    <w:rsid w:val="0016099A"/>
    <w:rsid w:val="001609DA"/>
    <w:rsid w:val="00160B12"/>
    <w:rsid w:val="00160C1A"/>
    <w:rsid w:val="00160C5D"/>
    <w:rsid w:val="00161281"/>
    <w:rsid w:val="001613C1"/>
    <w:rsid w:val="001614B0"/>
    <w:rsid w:val="00161622"/>
    <w:rsid w:val="00161693"/>
    <w:rsid w:val="0016193D"/>
    <w:rsid w:val="0016196D"/>
    <w:rsid w:val="001619A9"/>
    <w:rsid w:val="00161DAA"/>
    <w:rsid w:val="00161E6C"/>
    <w:rsid w:val="00161FBE"/>
    <w:rsid w:val="00162039"/>
    <w:rsid w:val="00162089"/>
    <w:rsid w:val="0016215C"/>
    <w:rsid w:val="00162165"/>
    <w:rsid w:val="00162253"/>
    <w:rsid w:val="00162280"/>
    <w:rsid w:val="0016229D"/>
    <w:rsid w:val="001623EA"/>
    <w:rsid w:val="001623EF"/>
    <w:rsid w:val="00162689"/>
    <w:rsid w:val="001626B6"/>
    <w:rsid w:val="00162813"/>
    <w:rsid w:val="0016298E"/>
    <w:rsid w:val="00162AF2"/>
    <w:rsid w:val="00162AF7"/>
    <w:rsid w:val="00162C1D"/>
    <w:rsid w:val="00162C3A"/>
    <w:rsid w:val="00162C4F"/>
    <w:rsid w:val="00162CBC"/>
    <w:rsid w:val="00162CD0"/>
    <w:rsid w:val="00162D0E"/>
    <w:rsid w:val="00162EE5"/>
    <w:rsid w:val="00162F53"/>
    <w:rsid w:val="00162F7D"/>
    <w:rsid w:val="00162FCF"/>
    <w:rsid w:val="00162FE9"/>
    <w:rsid w:val="00163153"/>
    <w:rsid w:val="001631C6"/>
    <w:rsid w:val="00163223"/>
    <w:rsid w:val="00163302"/>
    <w:rsid w:val="00163322"/>
    <w:rsid w:val="00163419"/>
    <w:rsid w:val="00163433"/>
    <w:rsid w:val="00163448"/>
    <w:rsid w:val="0016345B"/>
    <w:rsid w:val="00163552"/>
    <w:rsid w:val="0016364F"/>
    <w:rsid w:val="00163718"/>
    <w:rsid w:val="001637F8"/>
    <w:rsid w:val="001638FE"/>
    <w:rsid w:val="0016391D"/>
    <w:rsid w:val="00163B74"/>
    <w:rsid w:val="00163D59"/>
    <w:rsid w:val="00163F44"/>
    <w:rsid w:val="00164010"/>
    <w:rsid w:val="001640AF"/>
    <w:rsid w:val="001641B5"/>
    <w:rsid w:val="00164252"/>
    <w:rsid w:val="00164476"/>
    <w:rsid w:val="0016462A"/>
    <w:rsid w:val="001646AD"/>
    <w:rsid w:val="001646C5"/>
    <w:rsid w:val="0016488B"/>
    <w:rsid w:val="001648C7"/>
    <w:rsid w:val="00164ADB"/>
    <w:rsid w:val="00164B5C"/>
    <w:rsid w:val="00164B87"/>
    <w:rsid w:val="00164BB8"/>
    <w:rsid w:val="00164BC1"/>
    <w:rsid w:val="00164C12"/>
    <w:rsid w:val="00164C35"/>
    <w:rsid w:val="00164C47"/>
    <w:rsid w:val="00164C57"/>
    <w:rsid w:val="00164DDC"/>
    <w:rsid w:val="00164E25"/>
    <w:rsid w:val="00164EB9"/>
    <w:rsid w:val="00164F02"/>
    <w:rsid w:val="00164F39"/>
    <w:rsid w:val="0016508C"/>
    <w:rsid w:val="001651FC"/>
    <w:rsid w:val="00165261"/>
    <w:rsid w:val="00165345"/>
    <w:rsid w:val="00165456"/>
    <w:rsid w:val="001654FC"/>
    <w:rsid w:val="001655C0"/>
    <w:rsid w:val="00165607"/>
    <w:rsid w:val="001657EB"/>
    <w:rsid w:val="001657F4"/>
    <w:rsid w:val="0016584C"/>
    <w:rsid w:val="00165AC8"/>
    <w:rsid w:val="00165AF6"/>
    <w:rsid w:val="00165B27"/>
    <w:rsid w:val="00165B2F"/>
    <w:rsid w:val="00165B7E"/>
    <w:rsid w:val="00165BB1"/>
    <w:rsid w:val="00165C4B"/>
    <w:rsid w:val="00165EBB"/>
    <w:rsid w:val="00165EE5"/>
    <w:rsid w:val="00165FBC"/>
    <w:rsid w:val="0016602E"/>
    <w:rsid w:val="001661AA"/>
    <w:rsid w:val="001662AF"/>
    <w:rsid w:val="001662D9"/>
    <w:rsid w:val="001663EF"/>
    <w:rsid w:val="001664B6"/>
    <w:rsid w:val="001664F7"/>
    <w:rsid w:val="001665D3"/>
    <w:rsid w:val="001666CD"/>
    <w:rsid w:val="0016676F"/>
    <w:rsid w:val="001667BD"/>
    <w:rsid w:val="00166A12"/>
    <w:rsid w:val="00166AE7"/>
    <w:rsid w:val="00166BB9"/>
    <w:rsid w:val="00166C03"/>
    <w:rsid w:val="00166CE7"/>
    <w:rsid w:val="00166D99"/>
    <w:rsid w:val="00166E64"/>
    <w:rsid w:val="00166F0C"/>
    <w:rsid w:val="001670D9"/>
    <w:rsid w:val="0016710E"/>
    <w:rsid w:val="0016713F"/>
    <w:rsid w:val="001671EF"/>
    <w:rsid w:val="00167406"/>
    <w:rsid w:val="00167436"/>
    <w:rsid w:val="0016743A"/>
    <w:rsid w:val="0016749C"/>
    <w:rsid w:val="00167550"/>
    <w:rsid w:val="001676CF"/>
    <w:rsid w:val="001676ED"/>
    <w:rsid w:val="00167777"/>
    <w:rsid w:val="0016778B"/>
    <w:rsid w:val="001677E6"/>
    <w:rsid w:val="001677FA"/>
    <w:rsid w:val="00167890"/>
    <w:rsid w:val="00167A23"/>
    <w:rsid w:val="00167AB6"/>
    <w:rsid w:val="00167C39"/>
    <w:rsid w:val="00167C5F"/>
    <w:rsid w:val="00167D61"/>
    <w:rsid w:val="00167E30"/>
    <w:rsid w:val="00167E7E"/>
    <w:rsid w:val="00167EE8"/>
    <w:rsid w:val="001700D6"/>
    <w:rsid w:val="00170111"/>
    <w:rsid w:val="00170182"/>
    <w:rsid w:val="0017023E"/>
    <w:rsid w:val="00170376"/>
    <w:rsid w:val="00170391"/>
    <w:rsid w:val="001703C9"/>
    <w:rsid w:val="0017043B"/>
    <w:rsid w:val="001705A2"/>
    <w:rsid w:val="00170676"/>
    <w:rsid w:val="00170756"/>
    <w:rsid w:val="00170795"/>
    <w:rsid w:val="001707AC"/>
    <w:rsid w:val="001708FC"/>
    <w:rsid w:val="0017094F"/>
    <w:rsid w:val="00170960"/>
    <w:rsid w:val="0017099D"/>
    <w:rsid w:val="00170A85"/>
    <w:rsid w:val="00170B4C"/>
    <w:rsid w:val="00170CD1"/>
    <w:rsid w:val="00170ED4"/>
    <w:rsid w:val="00170EDB"/>
    <w:rsid w:val="001710E1"/>
    <w:rsid w:val="001711A5"/>
    <w:rsid w:val="00171218"/>
    <w:rsid w:val="00171274"/>
    <w:rsid w:val="001712E0"/>
    <w:rsid w:val="00171306"/>
    <w:rsid w:val="001713A0"/>
    <w:rsid w:val="00171564"/>
    <w:rsid w:val="001715C6"/>
    <w:rsid w:val="00171795"/>
    <w:rsid w:val="001717A3"/>
    <w:rsid w:val="00171A6D"/>
    <w:rsid w:val="00171A72"/>
    <w:rsid w:val="00171C8F"/>
    <w:rsid w:val="00171CFF"/>
    <w:rsid w:val="00171EEA"/>
    <w:rsid w:val="00171F46"/>
    <w:rsid w:val="00171F9B"/>
    <w:rsid w:val="00171FD4"/>
    <w:rsid w:val="001721C7"/>
    <w:rsid w:val="001721E9"/>
    <w:rsid w:val="00172348"/>
    <w:rsid w:val="001724CA"/>
    <w:rsid w:val="00172690"/>
    <w:rsid w:val="001726F2"/>
    <w:rsid w:val="00172A1A"/>
    <w:rsid w:val="00172A28"/>
    <w:rsid w:val="00172AF2"/>
    <w:rsid w:val="00172B28"/>
    <w:rsid w:val="00172B2C"/>
    <w:rsid w:val="00172D31"/>
    <w:rsid w:val="00172D41"/>
    <w:rsid w:val="00173010"/>
    <w:rsid w:val="001732B3"/>
    <w:rsid w:val="00173478"/>
    <w:rsid w:val="001734D4"/>
    <w:rsid w:val="001736D5"/>
    <w:rsid w:val="00173718"/>
    <w:rsid w:val="0017382E"/>
    <w:rsid w:val="001738AF"/>
    <w:rsid w:val="00173992"/>
    <w:rsid w:val="00173995"/>
    <w:rsid w:val="0017399A"/>
    <w:rsid w:val="00173AD5"/>
    <w:rsid w:val="00173BD7"/>
    <w:rsid w:val="00173E9F"/>
    <w:rsid w:val="00173EC0"/>
    <w:rsid w:val="00174313"/>
    <w:rsid w:val="001743DD"/>
    <w:rsid w:val="0017445D"/>
    <w:rsid w:val="001745AC"/>
    <w:rsid w:val="0017464D"/>
    <w:rsid w:val="00174674"/>
    <w:rsid w:val="00174737"/>
    <w:rsid w:val="001747F1"/>
    <w:rsid w:val="001748DB"/>
    <w:rsid w:val="001749DD"/>
    <w:rsid w:val="00174AA5"/>
    <w:rsid w:val="00174BF2"/>
    <w:rsid w:val="00174C74"/>
    <w:rsid w:val="00174CC7"/>
    <w:rsid w:val="00174D92"/>
    <w:rsid w:val="00174E8D"/>
    <w:rsid w:val="001755B5"/>
    <w:rsid w:val="0017561F"/>
    <w:rsid w:val="0017574F"/>
    <w:rsid w:val="00175806"/>
    <w:rsid w:val="00175AC2"/>
    <w:rsid w:val="00175B43"/>
    <w:rsid w:val="00175BB1"/>
    <w:rsid w:val="00175D9D"/>
    <w:rsid w:val="00175F02"/>
    <w:rsid w:val="001760E2"/>
    <w:rsid w:val="00176109"/>
    <w:rsid w:val="00176267"/>
    <w:rsid w:val="0017628D"/>
    <w:rsid w:val="001762C7"/>
    <w:rsid w:val="001762E3"/>
    <w:rsid w:val="00176341"/>
    <w:rsid w:val="00176392"/>
    <w:rsid w:val="0017658F"/>
    <w:rsid w:val="001766E8"/>
    <w:rsid w:val="00176736"/>
    <w:rsid w:val="00176845"/>
    <w:rsid w:val="00176955"/>
    <w:rsid w:val="0017695F"/>
    <w:rsid w:val="00176991"/>
    <w:rsid w:val="001769C1"/>
    <w:rsid w:val="00176A60"/>
    <w:rsid w:val="00176A69"/>
    <w:rsid w:val="00176A6C"/>
    <w:rsid w:val="00176AFF"/>
    <w:rsid w:val="00176B97"/>
    <w:rsid w:val="00176BDD"/>
    <w:rsid w:val="00176C96"/>
    <w:rsid w:val="00176D37"/>
    <w:rsid w:val="00176E4F"/>
    <w:rsid w:val="00176E90"/>
    <w:rsid w:val="0017709C"/>
    <w:rsid w:val="00177350"/>
    <w:rsid w:val="001773B2"/>
    <w:rsid w:val="001774FF"/>
    <w:rsid w:val="00177658"/>
    <w:rsid w:val="00177736"/>
    <w:rsid w:val="00177848"/>
    <w:rsid w:val="0017793B"/>
    <w:rsid w:val="001779E8"/>
    <w:rsid w:val="00177B0E"/>
    <w:rsid w:val="00177C60"/>
    <w:rsid w:val="00177E4E"/>
    <w:rsid w:val="00177EAA"/>
    <w:rsid w:val="00177EC2"/>
    <w:rsid w:val="00177EE1"/>
    <w:rsid w:val="00180114"/>
    <w:rsid w:val="00180171"/>
    <w:rsid w:val="00180579"/>
    <w:rsid w:val="001806EB"/>
    <w:rsid w:val="0018074A"/>
    <w:rsid w:val="0018082D"/>
    <w:rsid w:val="00180951"/>
    <w:rsid w:val="0018095A"/>
    <w:rsid w:val="00180AB9"/>
    <w:rsid w:val="00180D15"/>
    <w:rsid w:val="00180E14"/>
    <w:rsid w:val="00180EB9"/>
    <w:rsid w:val="00180F7C"/>
    <w:rsid w:val="001810D8"/>
    <w:rsid w:val="001810F4"/>
    <w:rsid w:val="00181199"/>
    <w:rsid w:val="001812DB"/>
    <w:rsid w:val="00181323"/>
    <w:rsid w:val="001813DA"/>
    <w:rsid w:val="001814B2"/>
    <w:rsid w:val="001815D3"/>
    <w:rsid w:val="001815ED"/>
    <w:rsid w:val="00181626"/>
    <w:rsid w:val="001816B2"/>
    <w:rsid w:val="001816BC"/>
    <w:rsid w:val="001818BC"/>
    <w:rsid w:val="001818C8"/>
    <w:rsid w:val="00181A4A"/>
    <w:rsid w:val="00181AD1"/>
    <w:rsid w:val="00181CAF"/>
    <w:rsid w:val="00181DFD"/>
    <w:rsid w:val="00181E05"/>
    <w:rsid w:val="00181E44"/>
    <w:rsid w:val="00181E7E"/>
    <w:rsid w:val="00181F57"/>
    <w:rsid w:val="00181F91"/>
    <w:rsid w:val="00182017"/>
    <w:rsid w:val="00182046"/>
    <w:rsid w:val="0018204C"/>
    <w:rsid w:val="00182338"/>
    <w:rsid w:val="001823D2"/>
    <w:rsid w:val="00182505"/>
    <w:rsid w:val="001825E7"/>
    <w:rsid w:val="001827F6"/>
    <w:rsid w:val="001828CC"/>
    <w:rsid w:val="00182963"/>
    <w:rsid w:val="00182A74"/>
    <w:rsid w:val="00182A99"/>
    <w:rsid w:val="00182B52"/>
    <w:rsid w:val="00182C3C"/>
    <w:rsid w:val="00182E1C"/>
    <w:rsid w:val="00182E5B"/>
    <w:rsid w:val="00182EBE"/>
    <w:rsid w:val="00182F05"/>
    <w:rsid w:val="00182FE6"/>
    <w:rsid w:val="0018305B"/>
    <w:rsid w:val="00183282"/>
    <w:rsid w:val="001832A1"/>
    <w:rsid w:val="001833DB"/>
    <w:rsid w:val="00183442"/>
    <w:rsid w:val="001834AD"/>
    <w:rsid w:val="001835B5"/>
    <w:rsid w:val="00183623"/>
    <w:rsid w:val="001836A3"/>
    <w:rsid w:val="001836C1"/>
    <w:rsid w:val="001836C6"/>
    <w:rsid w:val="001837AB"/>
    <w:rsid w:val="00183801"/>
    <w:rsid w:val="001838F8"/>
    <w:rsid w:val="00183B2D"/>
    <w:rsid w:val="00183D50"/>
    <w:rsid w:val="00183DCC"/>
    <w:rsid w:val="00183E18"/>
    <w:rsid w:val="00183E65"/>
    <w:rsid w:val="00183E69"/>
    <w:rsid w:val="00183EE3"/>
    <w:rsid w:val="001841E0"/>
    <w:rsid w:val="0018441D"/>
    <w:rsid w:val="0018445F"/>
    <w:rsid w:val="001845C5"/>
    <w:rsid w:val="0018463D"/>
    <w:rsid w:val="00184671"/>
    <w:rsid w:val="00184691"/>
    <w:rsid w:val="00184781"/>
    <w:rsid w:val="00184862"/>
    <w:rsid w:val="00184A23"/>
    <w:rsid w:val="00184A88"/>
    <w:rsid w:val="00184AD8"/>
    <w:rsid w:val="00184ADF"/>
    <w:rsid w:val="00184B25"/>
    <w:rsid w:val="00184C6B"/>
    <w:rsid w:val="00184E39"/>
    <w:rsid w:val="00184E7C"/>
    <w:rsid w:val="00184EEB"/>
    <w:rsid w:val="001853E7"/>
    <w:rsid w:val="00185406"/>
    <w:rsid w:val="001856C8"/>
    <w:rsid w:val="001856D6"/>
    <w:rsid w:val="00185876"/>
    <w:rsid w:val="001858BC"/>
    <w:rsid w:val="001858EF"/>
    <w:rsid w:val="00185A97"/>
    <w:rsid w:val="00185B97"/>
    <w:rsid w:val="00185CBA"/>
    <w:rsid w:val="00185E8C"/>
    <w:rsid w:val="00186096"/>
    <w:rsid w:val="0018641A"/>
    <w:rsid w:val="001864C2"/>
    <w:rsid w:val="001865B3"/>
    <w:rsid w:val="00186611"/>
    <w:rsid w:val="00186624"/>
    <w:rsid w:val="0018662B"/>
    <w:rsid w:val="00186648"/>
    <w:rsid w:val="0018679C"/>
    <w:rsid w:val="0018694B"/>
    <w:rsid w:val="00186A61"/>
    <w:rsid w:val="00186B0E"/>
    <w:rsid w:val="00186CD0"/>
    <w:rsid w:val="00186E5C"/>
    <w:rsid w:val="00186E66"/>
    <w:rsid w:val="00186F93"/>
    <w:rsid w:val="00186FEE"/>
    <w:rsid w:val="0018704F"/>
    <w:rsid w:val="001870F5"/>
    <w:rsid w:val="00187176"/>
    <w:rsid w:val="001872ED"/>
    <w:rsid w:val="00187476"/>
    <w:rsid w:val="0018762D"/>
    <w:rsid w:val="00187632"/>
    <w:rsid w:val="00187643"/>
    <w:rsid w:val="001878A9"/>
    <w:rsid w:val="00187C1F"/>
    <w:rsid w:val="00187C9A"/>
    <w:rsid w:val="00187E1E"/>
    <w:rsid w:val="00187E92"/>
    <w:rsid w:val="00187E9E"/>
    <w:rsid w:val="00187F90"/>
    <w:rsid w:val="00187FCD"/>
    <w:rsid w:val="00187FF4"/>
    <w:rsid w:val="001900D1"/>
    <w:rsid w:val="00190347"/>
    <w:rsid w:val="001904D3"/>
    <w:rsid w:val="001904F3"/>
    <w:rsid w:val="00190586"/>
    <w:rsid w:val="001905B0"/>
    <w:rsid w:val="0019099C"/>
    <w:rsid w:val="001909BC"/>
    <w:rsid w:val="00190CE5"/>
    <w:rsid w:val="00190DBD"/>
    <w:rsid w:val="00190DFF"/>
    <w:rsid w:val="00190E2F"/>
    <w:rsid w:val="00190E97"/>
    <w:rsid w:val="00190F91"/>
    <w:rsid w:val="00191082"/>
    <w:rsid w:val="0019110A"/>
    <w:rsid w:val="0019146E"/>
    <w:rsid w:val="00191649"/>
    <w:rsid w:val="0019164F"/>
    <w:rsid w:val="0019180F"/>
    <w:rsid w:val="0019184E"/>
    <w:rsid w:val="00191876"/>
    <w:rsid w:val="001918F3"/>
    <w:rsid w:val="00191996"/>
    <w:rsid w:val="00191A13"/>
    <w:rsid w:val="00191AF9"/>
    <w:rsid w:val="00191B3F"/>
    <w:rsid w:val="00191C67"/>
    <w:rsid w:val="00191D24"/>
    <w:rsid w:val="00191D54"/>
    <w:rsid w:val="00191E0E"/>
    <w:rsid w:val="00191F9B"/>
    <w:rsid w:val="00191FBA"/>
    <w:rsid w:val="00192123"/>
    <w:rsid w:val="00192317"/>
    <w:rsid w:val="00192411"/>
    <w:rsid w:val="00192416"/>
    <w:rsid w:val="00192546"/>
    <w:rsid w:val="00192688"/>
    <w:rsid w:val="001928F0"/>
    <w:rsid w:val="00192984"/>
    <w:rsid w:val="00192AC9"/>
    <w:rsid w:val="00192B8D"/>
    <w:rsid w:val="00192E98"/>
    <w:rsid w:val="00192F11"/>
    <w:rsid w:val="001930A9"/>
    <w:rsid w:val="001930EC"/>
    <w:rsid w:val="001930F3"/>
    <w:rsid w:val="00193261"/>
    <w:rsid w:val="001932AC"/>
    <w:rsid w:val="001932BF"/>
    <w:rsid w:val="001932DC"/>
    <w:rsid w:val="0019333E"/>
    <w:rsid w:val="0019338E"/>
    <w:rsid w:val="0019343D"/>
    <w:rsid w:val="001934D7"/>
    <w:rsid w:val="001934EE"/>
    <w:rsid w:val="00193861"/>
    <w:rsid w:val="0019387C"/>
    <w:rsid w:val="0019394E"/>
    <w:rsid w:val="00193A88"/>
    <w:rsid w:val="00193AFD"/>
    <w:rsid w:val="00193D9D"/>
    <w:rsid w:val="00193F11"/>
    <w:rsid w:val="00194027"/>
    <w:rsid w:val="00194037"/>
    <w:rsid w:val="001940DD"/>
    <w:rsid w:val="0019427B"/>
    <w:rsid w:val="0019433F"/>
    <w:rsid w:val="001945F2"/>
    <w:rsid w:val="0019469F"/>
    <w:rsid w:val="0019488F"/>
    <w:rsid w:val="00194F2A"/>
    <w:rsid w:val="001950E1"/>
    <w:rsid w:val="00195171"/>
    <w:rsid w:val="0019526D"/>
    <w:rsid w:val="001952ED"/>
    <w:rsid w:val="0019530C"/>
    <w:rsid w:val="00195337"/>
    <w:rsid w:val="0019540A"/>
    <w:rsid w:val="00195498"/>
    <w:rsid w:val="001954C9"/>
    <w:rsid w:val="001955ED"/>
    <w:rsid w:val="001956C5"/>
    <w:rsid w:val="00195714"/>
    <w:rsid w:val="00195C06"/>
    <w:rsid w:val="00195D5B"/>
    <w:rsid w:val="00195D98"/>
    <w:rsid w:val="00195E70"/>
    <w:rsid w:val="00195F29"/>
    <w:rsid w:val="00195F5B"/>
    <w:rsid w:val="00195FF5"/>
    <w:rsid w:val="001960F8"/>
    <w:rsid w:val="00196572"/>
    <w:rsid w:val="001965D2"/>
    <w:rsid w:val="00196639"/>
    <w:rsid w:val="00196705"/>
    <w:rsid w:val="001967A0"/>
    <w:rsid w:val="0019684D"/>
    <w:rsid w:val="001968D3"/>
    <w:rsid w:val="0019699E"/>
    <w:rsid w:val="00196B38"/>
    <w:rsid w:val="00196DBD"/>
    <w:rsid w:val="0019705E"/>
    <w:rsid w:val="001970B2"/>
    <w:rsid w:val="00197163"/>
    <w:rsid w:val="001971B9"/>
    <w:rsid w:val="001972FE"/>
    <w:rsid w:val="001974A9"/>
    <w:rsid w:val="00197DC6"/>
    <w:rsid w:val="00197DF1"/>
    <w:rsid w:val="00197EA0"/>
    <w:rsid w:val="001A0114"/>
    <w:rsid w:val="001A0312"/>
    <w:rsid w:val="001A060B"/>
    <w:rsid w:val="001A074A"/>
    <w:rsid w:val="001A07A5"/>
    <w:rsid w:val="001A092E"/>
    <w:rsid w:val="001A0A42"/>
    <w:rsid w:val="001A0B31"/>
    <w:rsid w:val="001A0C97"/>
    <w:rsid w:val="001A0F3B"/>
    <w:rsid w:val="001A0FEE"/>
    <w:rsid w:val="001A1192"/>
    <w:rsid w:val="001A123E"/>
    <w:rsid w:val="001A1321"/>
    <w:rsid w:val="001A143C"/>
    <w:rsid w:val="001A15C9"/>
    <w:rsid w:val="001A18A3"/>
    <w:rsid w:val="001A1954"/>
    <w:rsid w:val="001A199F"/>
    <w:rsid w:val="001A1BD9"/>
    <w:rsid w:val="001A1BFA"/>
    <w:rsid w:val="001A1D4A"/>
    <w:rsid w:val="001A1D9B"/>
    <w:rsid w:val="001A20CC"/>
    <w:rsid w:val="001A20DF"/>
    <w:rsid w:val="001A210A"/>
    <w:rsid w:val="001A24B8"/>
    <w:rsid w:val="001A26E7"/>
    <w:rsid w:val="001A2867"/>
    <w:rsid w:val="001A2A2E"/>
    <w:rsid w:val="001A2AC0"/>
    <w:rsid w:val="001A2AD3"/>
    <w:rsid w:val="001A2C0C"/>
    <w:rsid w:val="001A3056"/>
    <w:rsid w:val="001A338F"/>
    <w:rsid w:val="001A3549"/>
    <w:rsid w:val="001A3775"/>
    <w:rsid w:val="001A39E3"/>
    <w:rsid w:val="001A3BD9"/>
    <w:rsid w:val="001A3D0E"/>
    <w:rsid w:val="001A3D5B"/>
    <w:rsid w:val="001A3E1F"/>
    <w:rsid w:val="001A3E2E"/>
    <w:rsid w:val="001A3F01"/>
    <w:rsid w:val="001A3FB2"/>
    <w:rsid w:val="001A4083"/>
    <w:rsid w:val="001A4151"/>
    <w:rsid w:val="001A416C"/>
    <w:rsid w:val="001A417A"/>
    <w:rsid w:val="001A426B"/>
    <w:rsid w:val="001A4448"/>
    <w:rsid w:val="001A45A9"/>
    <w:rsid w:val="001A45D7"/>
    <w:rsid w:val="001A46B4"/>
    <w:rsid w:val="001A4802"/>
    <w:rsid w:val="001A49D4"/>
    <w:rsid w:val="001A49F7"/>
    <w:rsid w:val="001A4A87"/>
    <w:rsid w:val="001A4AF4"/>
    <w:rsid w:val="001A4B5C"/>
    <w:rsid w:val="001A4CE4"/>
    <w:rsid w:val="001A4D3B"/>
    <w:rsid w:val="001A4F7D"/>
    <w:rsid w:val="001A52D7"/>
    <w:rsid w:val="001A52E7"/>
    <w:rsid w:val="001A553E"/>
    <w:rsid w:val="001A5600"/>
    <w:rsid w:val="001A57C2"/>
    <w:rsid w:val="001A5908"/>
    <w:rsid w:val="001A59AA"/>
    <w:rsid w:val="001A5A18"/>
    <w:rsid w:val="001A5C84"/>
    <w:rsid w:val="001A5DD8"/>
    <w:rsid w:val="001A5DF8"/>
    <w:rsid w:val="001A5EF6"/>
    <w:rsid w:val="001A5F20"/>
    <w:rsid w:val="001A5F4C"/>
    <w:rsid w:val="001A6173"/>
    <w:rsid w:val="001A6354"/>
    <w:rsid w:val="001A635F"/>
    <w:rsid w:val="001A64A5"/>
    <w:rsid w:val="001A64D1"/>
    <w:rsid w:val="001A65B3"/>
    <w:rsid w:val="001A6627"/>
    <w:rsid w:val="001A6660"/>
    <w:rsid w:val="001A67E2"/>
    <w:rsid w:val="001A6825"/>
    <w:rsid w:val="001A6AE3"/>
    <w:rsid w:val="001A6C94"/>
    <w:rsid w:val="001A6D6E"/>
    <w:rsid w:val="001A6E23"/>
    <w:rsid w:val="001A6F83"/>
    <w:rsid w:val="001A6FE7"/>
    <w:rsid w:val="001A7044"/>
    <w:rsid w:val="001A714A"/>
    <w:rsid w:val="001A7367"/>
    <w:rsid w:val="001A7484"/>
    <w:rsid w:val="001A753B"/>
    <w:rsid w:val="001A7584"/>
    <w:rsid w:val="001A75BA"/>
    <w:rsid w:val="001A78D0"/>
    <w:rsid w:val="001A7A02"/>
    <w:rsid w:val="001A7B8A"/>
    <w:rsid w:val="001A7D6D"/>
    <w:rsid w:val="001A7D7C"/>
    <w:rsid w:val="001A7E20"/>
    <w:rsid w:val="001A7E7F"/>
    <w:rsid w:val="001A7EB5"/>
    <w:rsid w:val="001A7EBD"/>
    <w:rsid w:val="001A7F7B"/>
    <w:rsid w:val="001A7F81"/>
    <w:rsid w:val="001A7FF2"/>
    <w:rsid w:val="001B008B"/>
    <w:rsid w:val="001B017B"/>
    <w:rsid w:val="001B0398"/>
    <w:rsid w:val="001B043A"/>
    <w:rsid w:val="001B04AA"/>
    <w:rsid w:val="001B0590"/>
    <w:rsid w:val="001B05B6"/>
    <w:rsid w:val="001B05F3"/>
    <w:rsid w:val="001B0695"/>
    <w:rsid w:val="001B0719"/>
    <w:rsid w:val="001B089B"/>
    <w:rsid w:val="001B0997"/>
    <w:rsid w:val="001B0A41"/>
    <w:rsid w:val="001B0AA2"/>
    <w:rsid w:val="001B0B6C"/>
    <w:rsid w:val="001B0C8B"/>
    <w:rsid w:val="001B0CFD"/>
    <w:rsid w:val="001B0D33"/>
    <w:rsid w:val="001B0E6A"/>
    <w:rsid w:val="001B15B0"/>
    <w:rsid w:val="001B1659"/>
    <w:rsid w:val="001B1838"/>
    <w:rsid w:val="001B190A"/>
    <w:rsid w:val="001B1A52"/>
    <w:rsid w:val="001B1A5C"/>
    <w:rsid w:val="001B1ABA"/>
    <w:rsid w:val="001B1D3A"/>
    <w:rsid w:val="001B1DE5"/>
    <w:rsid w:val="001B1EC1"/>
    <w:rsid w:val="001B1FAE"/>
    <w:rsid w:val="001B203E"/>
    <w:rsid w:val="001B206E"/>
    <w:rsid w:val="001B20B4"/>
    <w:rsid w:val="001B20B7"/>
    <w:rsid w:val="001B2246"/>
    <w:rsid w:val="001B2257"/>
    <w:rsid w:val="001B230B"/>
    <w:rsid w:val="001B2328"/>
    <w:rsid w:val="001B2355"/>
    <w:rsid w:val="001B2486"/>
    <w:rsid w:val="001B24D3"/>
    <w:rsid w:val="001B2622"/>
    <w:rsid w:val="001B2811"/>
    <w:rsid w:val="001B2973"/>
    <w:rsid w:val="001B2985"/>
    <w:rsid w:val="001B2AF5"/>
    <w:rsid w:val="001B2DCC"/>
    <w:rsid w:val="001B2F8C"/>
    <w:rsid w:val="001B2FC0"/>
    <w:rsid w:val="001B30D4"/>
    <w:rsid w:val="001B31CF"/>
    <w:rsid w:val="001B334A"/>
    <w:rsid w:val="001B3509"/>
    <w:rsid w:val="001B37F9"/>
    <w:rsid w:val="001B3A2A"/>
    <w:rsid w:val="001B3AC2"/>
    <w:rsid w:val="001B3C4F"/>
    <w:rsid w:val="001B3C87"/>
    <w:rsid w:val="001B3D2A"/>
    <w:rsid w:val="001B3EFE"/>
    <w:rsid w:val="001B3F42"/>
    <w:rsid w:val="001B3F6F"/>
    <w:rsid w:val="001B402A"/>
    <w:rsid w:val="001B40C6"/>
    <w:rsid w:val="001B4228"/>
    <w:rsid w:val="001B4267"/>
    <w:rsid w:val="001B42C3"/>
    <w:rsid w:val="001B42E0"/>
    <w:rsid w:val="001B42F3"/>
    <w:rsid w:val="001B4358"/>
    <w:rsid w:val="001B4363"/>
    <w:rsid w:val="001B43DE"/>
    <w:rsid w:val="001B4454"/>
    <w:rsid w:val="001B4734"/>
    <w:rsid w:val="001B4898"/>
    <w:rsid w:val="001B48D4"/>
    <w:rsid w:val="001B4919"/>
    <w:rsid w:val="001B4A31"/>
    <w:rsid w:val="001B4A67"/>
    <w:rsid w:val="001B4AB9"/>
    <w:rsid w:val="001B4B55"/>
    <w:rsid w:val="001B4EC9"/>
    <w:rsid w:val="001B4F52"/>
    <w:rsid w:val="001B50CB"/>
    <w:rsid w:val="001B51C2"/>
    <w:rsid w:val="001B522E"/>
    <w:rsid w:val="001B5484"/>
    <w:rsid w:val="001B5582"/>
    <w:rsid w:val="001B55DC"/>
    <w:rsid w:val="001B5615"/>
    <w:rsid w:val="001B5736"/>
    <w:rsid w:val="001B5ADB"/>
    <w:rsid w:val="001B5B41"/>
    <w:rsid w:val="001B5C45"/>
    <w:rsid w:val="001B5CC6"/>
    <w:rsid w:val="001B5E84"/>
    <w:rsid w:val="001B5E85"/>
    <w:rsid w:val="001B5EF1"/>
    <w:rsid w:val="001B60C7"/>
    <w:rsid w:val="001B60F7"/>
    <w:rsid w:val="001B625A"/>
    <w:rsid w:val="001B62A5"/>
    <w:rsid w:val="001B643E"/>
    <w:rsid w:val="001B6459"/>
    <w:rsid w:val="001B6486"/>
    <w:rsid w:val="001B64A5"/>
    <w:rsid w:val="001B6530"/>
    <w:rsid w:val="001B6532"/>
    <w:rsid w:val="001B6647"/>
    <w:rsid w:val="001B66ED"/>
    <w:rsid w:val="001B66F4"/>
    <w:rsid w:val="001B67D2"/>
    <w:rsid w:val="001B6926"/>
    <w:rsid w:val="001B69F7"/>
    <w:rsid w:val="001B6B23"/>
    <w:rsid w:val="001B6B5C"/>
    <w:rsid w:val="001B6BFC"/>
    <w:rsid w:val="001B6C10"/>
    <w:rsid w:val="001B6DDB"/>
    <w:rsid w:val="001B7132"/>
    <w:rsid w:val="001B7197"/>
    <w:rsid w:val="001B720E"/>
    <w:rsid w:val="001B72A4"/>
    <w:rsid w:val="001B72C4"/>
    <w:rsid w:val="001B73BE"/>
    <w:rsid w:val="001B74D1"/>
    <w:rsid w:val="001B7700"/>
    <w:rsid w:val="001B7838"/>
    <w:rsid w:val="001B794F"/>
    <w:rsid w:val="001B798A"/>
    <w:rsid w:val="001B79F2"/>
    <w:rsid w:val="001B7A6E"/>
    <w:rsid w:val="001B7D27"/>
    <w:rsid w:val="001B7E32"/>
    <w:rsid w:val="001B7EFC"/>
    <w:rsid w:val="001C00E2"/>
    <w:rsid w:val="001C00F3"/>
    <w:rsid w:val="001C0295"/>
    <w:rsid w:val="001C0401"/>
    <w:rsid w:val="001C0422"/>
    <w:rsid w:val="001C04B9"/>
    <w:rsid w:val="001C0537"/>
    <w:rsid w:val="001C0558"/>
    <w:rsid w:val="001C0656"/>
    <w:rsid w:val="001C06F0"/>
    <w:rsid w:val="001C07B0"/>
    <w:rsid w:val="001C0811"/>
    <w:rsid w:val="001C0906"/>
    <w:rsid w:val="001C09AF"/>
    <w:rsid w:val="001C0A38"/>
    <w:rsid w:val="001C0AAC"/>
    <w:rsid w:val="001C0B81"/>
    <w:rsid w:val="001C0CC8"/>
    <w:rsid w:val="001C0F1B"/>
    <w:rsid w:val="001C0F8A"/>
    <w:rsid w:val="001C111A"/>
    <w:rsid w:val="001C11E7"/>
    <w:rsid w:val="001C127B"/>
    <w:rsid w:val="001C1301"/>
    <w:rsid w:val="001C132B"/>
    <w:rsid w:val="001C1428"/>
    <w:rsid w:val="001C1458"/>
    <w:rsid w:val="001C1479"/>
    <w:rsid w:val="001C14BE"/>
    <w:rsid w:val="001C1574"/>
    <w:rsid w:val="001C1581"/>
    <w:rsid w:val="001C15CA"/>
    <w:rsid w:val="001C16BA"/>
    <w:rsid w:val="001C1975"/>
    <w:rsid w:val="001C1998"/>
    <w:rsid w:val="001C1A1B"/>
    <w:rsid w:val="001C1A49"/>
    <w:rsid w:val="001C1A4F"/>
    <w:rsid w:val="001C1BE2"/>
    <w:rsid w:val="001C1C2F"/>
    <w:rsid w:val="001C1E7F"/>
    <w:rsid w:val="001C20C2"/>
    <w:rsid w:val="001C21AB"/>
    <w:rsid w:val="001C221E"/>
    <w:rsid w:val="001C23F1"/>
    <w:rsid w:val="001C25F5"/>
    <w:rsid w:val="001C272E"/>
    <w:rsid w:val="001C286E"/>
    <w:rsid w:val="001C297B"/>
    <w:rsid w:val="001C2A7E"/>
    <w:rsid w:val="001C2AB9"/>
    <w:rsid w:val="001C2AEE"/>
    <w:rsid w:val="001C2B54"/>
    <w:rsid w:val="001C2BA9"/>
    <w:rsid w:val="001C2D8C"/>
    <w:rsid w:val="001C2EDE"/>
    <w:rsid w:val="001C2F36"/>
    <w:rsid w:val="001C2FD5"/>
    <w:rsid w:val="001C301D"/>
    <w:rsid w:val="001C3371"/>
    <w:rsid w:val="001C33AC"/>
    <w:rsid w:val="001C3503"/>
    <w:rsid w:val="001C3513"/>
    <w:rsid w:val="001C3A53"/>
    <w:rsid w:val="001C3C54"/>
    <w:rsid w:val="001C3C61"/>
    <w:rsid w:val="001C3CBB"/>
    <w:rsid w:val="001C3D54"/>
    <w:rsid w:val="001C41A6"/>
    <w:rsid w:val="001C4205"/>
    <w:rsid w:val="001C42B8"/>
    <w:rsid w:val="001C4628"/>
    <w:rsid w:val="001C466B"/>
    <w:rsid w:val="001C47C4"/>
    <w:rsid w:val="001C48C0"/>
    <w:rsid w:val="001C4961"/>
    <w:rsid w:val="001C4A0B"/>
    <w:rsid w:val="001C4B03"/>
    <w:rsid w:val="001C4C29"/>
    <w:rsid w:val="001C4C30"/>
    <w:rsid w:val="001C4D1D"/>
    <w:rsid w:val="001C4D85"/>
    <w:rsid w:val="001C5031"/>
    <w:rsid w:val="001C530C"/>
    <w:rsid w:val="001C5446"/>
    <w:rsid w:val="001C5645"/>
    <w:rsid w:val="001C5728"/>
    <w:rsid w:val="001C5802"/>
    <w:rsid w:val="001C590E"/>
    <w:rsid w:val="001C59B3"/>
    <w:rsid w:val="001C5A73"/>
    <w:rsid w:val="001C5AB7"/>
    <w:rsid w:val="001C5B9D"/>
    <w:rsid w:val="001C5D3B"/>
    <w:rsid w:val="001C5E0A"/>
    <w:rsid w:val="001C613C"/>
    <w:rsid w:val="001C6208"/>
    <w:rsid w:val="001C6292"/>
    <w:rsid w:val="001C62AE"/>
    <w:rsid w:val="001C6441"/>
    <w:rsid w:val="001C64AC"/>
    <w:rsid w:val="001C668B"/>
    <w:rsid w:val="001C67A6"/>
    <w:rsid w:val="001C67C5"/>
    <w:rsid w:val="001C67EF"/>
    <w:rsid w:val="001C69A4"/>
    <w:rsid w:val="001C69AB"/>
    <w:rsid w:val="001C6AC3"/>
    <w:rsid w:val="001C6B1C"/>
    <w:rsid w:val="001C6B54"/>
    <w:rsid w:val="001C6E84"/>
    <w:rsid w:val="001C6EA8"/>
    <w:rsid w:val="001C6F26"/>
    <w:rsid w:val="001C6FE9"/>
    <w:rsid w:val="001C7145"/>
    <w:rsid w:val="001C7158"/>
    <w:rsid w:val="001C71DF"/>
    <w:rsid w:val="001C7342"/>
    <w:rsid w:val="001C7476"/>
    <w:rsid w:val="001C7538"/>
    <w:rsid w:val="001C7717"/>
    <w:rsid w:val="001C7727"/>
    <w:rsid w:val="001C77C9"/>
    <w:rsid w:val="001C795A"/>
    <w:rsid w:val="001C7AB8"/>
    <w:rsid w:val="001C7AF7"/>
    <w:rsid w:val="001C7DC3"/>
    <w:rsid w:val="001C7EBE"/>
    <w:rsid w:val="001C7F63"/>
    <w:rsid w:val="001D0048"/>
    <w:rsid w:val="001D008C"/>
    <w:rsid w:val="001D00C3"/>
    <w:rsid w:val="001D016F"/>
    <w:rsid w:val="001D0202"/>
    <w:rsid w:val="001D036D"/>
    <w:rsid w:val="001D0620"/>
    <w:rsid w:val="001D07C6"/>
    <w:rsid w:val="001D0A1F"/>
    <w:rsid w:val="001D0AEE"/>
    <w:rsid w:val="001D0B2F"/>
    <w:rsid w:val="001D0B47"/>
    <w:rsid w:val="001D0C31"/>
    <w:rsid w:val="001D1186"/>
    <w:rsid w:val="001D1189"/>
    <w:rsid w:val="001D126A"/>
    <w:rsid w:val="001D136D"/>
    <w:rsid w:val="001D1394"/>
    <w:rsid w:val="001D13B0"/>
    <w:rsid w:val="001D13D7"/>
    <w:rsid w:val="001D172E"/>
    <w:rsid w:val="001D1786"/>
    <w:rsid w:val="001D17E0"/>
    <w:rsid w:val="001D18E4"/>
    <w:rsid w:val="001D1916"/>
    <w:rsid w:val="001D192E"/>
    <w:rsid w:val="001D196F"/>
    <w:rsid w:val="001D1B7B"/>
    <w:rsid w:val="001D1DB1"/>
    <w:rsid w:val="001D1E1C"/>
    <w:rsid w:val="001D1F41"/>
    <w:rsid w:val="001D23F5"/>
    <w:rsid w:val="001D25D7"/>
    <w:rsid w:val="001D2664"/>
    <w:rsid w:val="001D2681"/>
    <w:rsid w:val="001D26F0"/>
    <w:rsid w:val="001D27C4"/>
    <w:rsid w:val="001D28BD"/>
    <w:rsid w:val="001D28C2"/>
    <w:rsid w:val="001D28E9"/>
    <w:rsid w:val="001D293F"/>
    <w:rsid w:val="001D2B35"/>
    <w:rsid w:val="001D2B99"/>
    <w:rsid w:val="001D2C97"/>
    <w:rsid w:val="001D2CA1"/>
    <w:rsid w:val="001D2CDC"/>
    <w:rsid w:val="001D2D58"/>
    <w:rsid w:val="001D2EF5"/>
    <w:rsid w:val="001D3102"/>
    <w:rsid w:val="001D3305"/>
    <w:rsid w:val="001D3479"/>
    <w:rsid w:val="001D34BA"/>
    <w:rsid w:val="001D362F"/>
    <w:rsid w:val="001D3769"/>
    <w:rsid w:val="001D3813"/>
    <w:rsid w:val="001D393C"/>
    <w:rsid w:val="001D39B5"/>
    <w:rsid w:val="001D3AB0"/>
    <w:rsid w:val="001D3B5C"/>
    <w:rsid w:val="001D3B79"/>
    <w:rsid w:val="001D3C40"/>
    <w:rsid w:val="001D3D21"/>
    <w:rsid w:val="001D3E0B"/>
    <w:rsid w:val="001D3E20"/>
    <w:rsid w:val="001D3EB2"/>
    <w:rsid w:val="001D3EF9"/>
    <w:rsid w:val="001D4080"/>
    <w:rsid w:val="001D40C3"/>
    <w:rsid w:val="001D4241"/>
    <w:rsid w:val="001D424C"/>
    <w:rsid w:val="001D434F"/>
    <w:rsid w:val="001D4368"/>
    <w:rsid w:val="001D450B"/>
    <w:rsid w:val="001D4519"/>
    <w:rsid w:val="001D4577"/>
    <w:rsid w:val="001D4815"/>
    <w:rsid w:val="001D4A68"/>
    <w:rsid w:val="001D4B46"/>
    <w:rsid w:val="001D4FC8"/>
    <w:rsid w:val="001D5037"/>
    <w:rsid w:val="001D533F"/>
    <w:rsid w:val="001D5340"/>
    <w:rsid w:val="001D53E4"/>
    <w:rsid w:val="001D5459"/>
    <w:rsid w:val="001D545C"/>
    <w:rsid w:val="001D546E"/>
    <w:rsid w:val="001D5686"/>
    <w:rsid w:val="001D5A5F"/>
    <w:rsid w:val="001D5AE1"/>
    <w:rsid w:val="001D5B87"/>
    <w:rsid w:val="001D5C31"/>
    <w:rsid w:val="001D5CD1"/>
    <w:rsid w:val="001D5E50"/>
    <w:rsid w:val="001D5E5D"/>
    <w:rsid w:val="001D5E5F"/>
    <w:rsid w:val="001D5ECB"/>
    <w:rsid w:val="001D5ED4"/>
    <w:rsid w:val="001D6009"/>
    <w:rsid w:val="001D61FC"/>
    <w:rsid w:val="001D624B"/>
    <w:rsid w:val="001D62AF"/>
    <w:rsid w:val="001D62D9"/>
    <w:rsid w:val="001D64ED"/>
    <w:rsid w:val="001D6569"/>
    <w:rsid w:val="001D6761"/>
    <w:rsid w:val="001D67B9"/>
    <w:rsid w:val="001D67D0"/>
    <w:rsid w:val="001D69C2"/>
    <w:rsid w:val="001D6B8A"/>
    <w:rsid w:val="001D6BA5"/>
    <w:rsid w:val="001D6BB9"/>
    <w:rsid w:val="001D6D0D"/>
    <w:rsid w:val="001D6D15"/>
    <w:rsid w:val="001D6F9E"/>
    <w:rsid w:val="001D70D7"/>
    <w:rsid w:val="001D712B"/>
    <w:rsid w:val="001D71ED"/>
    <w:rsid w:val="001D7203"/>
    <w:rsid w:val="001D735C"/>
    <w:rsid w:val="001D73E8"/>
    <w:rsid w:val="001D7441"/>
    <w:rsid w:val="001D7495"/>
    <w:rsid w:val="001D7502"/>
    <w:rsid w:val="001D7586"/>
    <w:rsid w:val="001D76CA"/>
    <w:rsid w:val="001D7888"/>
    <w:rsid w:val="001D78E9"/>
    <w:rsid w:val="001D7C36"/>
    <w:rsid w:val="001D7C38"/>
    <w:rsid w:val="001D7D61"/>
    <w:rsid w:val="001D7F36"/>
    <w:rsid w:val="001D7FEC"/>
    <w:rsid w:val="001E02F0"/>
    <w:rsid w:val="001E053C"/>
    <w:rsid w:val="001E08A6"/>
    <w:rsid w:val="001E0A9F"/>
    <w:rsid w:val="001E0C82"/>
    <w:rsid w:val="001E0D6C"/>
    <w:rsid w:val="001E0E49"/>
    <w:rsid w:val="001E0FCF"/>
    <w:rsid w:val="001E121F"/>
    <w:rsid w:val="001E1408"/>
    <w:rsid w:val="001E14DC"/>
    <w:rsid w:val="001E15AF"/>
    <w:rsid w:val="001E15CA"/>
    <w:rsid w:val="001E1680"/>
    <w:rsid w:val="001E16C3"/>
    <w:rsid w:val="001E18F4"/>
    <w:rsid w:val="001E1A6C"/>
    <w:rsid w:val="001E1B9E"/>
    <w:rsid w:val="001E1C88"/>
    <w:rsid w:val="001E1CFB"/>
    <w:rsid w:val="001E1DBD"/>
    <w:rsid w:val="001E1E7A"/>
    <w:rsid w:val="001E1E96"/>
    <w:rsid w:val="001E1F2C"/>
    <w:rsid w:val="001E20C9"/>
    <w:rsid w:val="001E2423"/>
    <w:rsid w:val="001E2442"/>
    <w:rsid w:val="001E2663"/>
    <w:rsid w:val="001E2863"/>
    <w:rsid w:val="001E28DA"/>
    <w:rsid w:val="001E2C1B"/>
    <w:rsid w:val="001E2DA6"/>
    <w:rsid w:val="001E2FA2"/>
    <w:rsid w:val="001E2FF6"/>
    <w:rsid w:val="001E3018"/>
    <w:rsid w:val="001E308D"/>
    <w:rsid w:val="001E30DE"/>
    <w:rsid w:val="001E31F7"/>
    <w:rsid w:val="001E33B1"/>
    <w:rsid w:val="001E347D"/>
    <w:rsid w:val="001E34DF"/>
    <w:rsid w:val="001E35A2"/>
    <w:rsid w:val="001E3865"/>
    <w:rsid w:val="001E3958"/>
    <w:rsid w:val="001E3A38"/>
    <w:rsid w:val="001E3A8A"/>
    <w:rsid w:val="001E3BB7"/>
    <w:rsid w:val="001E3BFD"/>
    <w:rsid w:val="001E3C04"/>
    <w:rsid w:val="001E3D38"/>
    <w:rsid w:val="001E3E85"/>
    <w:rsid w:val="001E3EBE"/>
    <w:rsid w:val="001E4027"/>
    <w:rsid w:val="001E4140"/>
    <w:rsid w:val="001E4449"/>
    <w:rsid w:val="001E452B"/>
    <w:rsid w:val="001E4603"/>
    <w:rsid w:val="001E4738"/>
    <w:rsid w:val="001E4741"/>
    <w:rsid w:val="001E4AC1"/>
    <w:rsid w:val="001E4AE3"/>
    <w:rsid w:val="001E4B8B"/>
    <w:rsid w:val="001E4D31"/>
    <w:rsid w:val="001E4E9A"/>
    <w:rsid w:val="001E4EBF"/>
    <w:rsid w:val="001E4EC5"/>
    <w:rsid w:val="001E4ED4"/>
    <w:rsid w:val="001E4F16"/>
    <w:rsid w:val="001E5462"/>
    <w:rsid w:val="001E54FA"/>
    <w:rsid w:val="001E5562"/>
    <w:rsid w:val="001E569B"/>
    <w:rsid w:val="001E579F"/>
    <w:rsid w:val="001E57E6"/>
    <w:rsid w:val="001E582D"/>
    <w:rsid w:val="001E58C8"/>
    <w:rsid w:val="001E5A8D"/>
    <w:rsid w:val="001E5B29"/>
    <w:rsid w:val="001E5B2E"/>
    <w:rsid w:val="001E5CD4"/>
    <w:rsid w:val="001E5D72"/>
    <w:rsid w:val="001E5DF7"/>
    <w:rsid w:val="001E5EA5"/>
    <w:rsid w:val="001E612A"/>
    <w:rsid w:val="001E6537"/>
    <w:rsid w:val="001E65D5"/>
    <w:rsid w:val="001E6708"/>
    <w:rsid w:val="001E6874"/>
    <w:rsid w:val="001E6C17"/>
    <w:rsid w:val="001E6CBE"/>
    <w:rsid w:val="001E6DF3"/>
    <w:rsid w:val="001E7091"/>
    <w:rsid w:val="001E70E0"/>
    <w:rsid w:val="001E70FE"/>
    <w:rsid w:val="001E7199"/>
    <w:rsid w:val="001E7323"/>
    <w:rsid w:val="001E7338"/>
    <w:rsid w:val="001E743C"/>
    <w:rsid w:val="001E74AB"/>
    <w:rsid w:val="001E74BE"/>
    <w:rsid w:val="001E7567"/>
    <w:rsid w:val="001E757D"/>
    <w:rsid w:val="001E75FC"/>
    <w:rsid w:val="001E760C"/>
    <w:rsid w:val="001E764A"/>
    <w:rsid w:val="001E7848"/>
    <w:rsid w:val="001E78B2"/>
    <w:rsid w:val="001E791E"/>
    <w:rsid w:val="001E7EE3"/>
    <w:rsid w:val="001E7EEC"/>
    <w:rsid w:val="001E7F99"/>
    <w:rsid w:val="001F0038"/>
    <w:rsid w:val="001F0063"/>
    <w:rsid w:val="001F01D4"/>
    <w:rsid w:val="001F0211"/>
    <w:rsid w:val="001F0275"/>
    <w:rsid w:val="001F02E9"/>
    <w:rsid w:val="001F05DF"/>
    <w:rsid w:val="001F084B"/>
    <w:rsid w:val="001F093F"/>
    <w:rsid w:val="001F0954"/>
    <w:rsid w:val="001F0A41"/>
    <w:rsid w:val="001F0AD1"/>
    <w:rsid w:val="001F0B1E"/>
    <w:rsid w:val="001F0B2F"/>
    <w:rsid w:val="001F0C28"/>
    <w:rsid w:val="001F0C7F"/>
    <w:rsid w:val="001F0DD4"/>
    <w:rsid w:val="001F0E0D"/>
    <w:rsid w:val="001F0EE4"/>
    <w:rsid w:val="001F104A"/>
    <w:rsid w:val="001F115A"/>
    <w:rsid w:val="001F117E"/>
    <w:rsid w:val="001F118A"/>
    <w:rsid w:val="001F11EE"/>
    <w:rsid w:val="001F1330"/>
    <w:rsid w:val="001F1397"/>
    <w:rsid w:val="001F1502"/>
    <w:rsid w:val="001F1509"/>
    <w:rsid w:val="001F1674"/>
    <w:rsid w:val="001F16A0"/>
    <w:rsid w:val="001F16CD"/>
    <w:rsid w:val="001F1765"/>
    <w:rsid w:val="001F18CB"/>
    <w:rsid w:val="001F19B8"/>
    <w:rsid w:val="001F19BE"/>
    <w:rsid w:val="001F19C2"/>
    <w:rsid w:val="001F1B2E"/>
    <w:rsid w:val="001F1E2E"/>
    <w:rsid w:val="001F1E96"/>
    <w:rsid w:val="001F1F51"/>
    <w:rsid w:val="001F2003"/>
    <w:rsid w:val="001F202C"/>
    <w:rsid w:val="001F205A"/>
    <w:rsid w:val="001F22C1"/>
    <w:rsid w:val="001F2356"/>
    <w:rsid w:val="001F25AB"/>
    <w:rsid w:val="001F26BF"/>
    <w:rsid w:val="001F26FA"/>
    <w:rsid w:val="001F26FB"/>
    <w:rsid w:val="001F2783"/>
    <w:rsid w:val="001F27F5"/>
    <w:rsid w:val="001F284E"/>
    <w:rsid w:val="001F28B2"/>
    <w:rsid w:val="001F29A0"/>
    <w:rsid w:val="001F2A0C"/>
    <w:rsid w:val="001F2AFC"/>
    <w:rsid w:val="001F2B66"/>
    <w:rsid w:val="001F2BB0"/>
    <w:rsid w:val="001F2BD2"/>
    <w:rsid w:val="001F308F"/>
    <w:rsid w:val="001F31E8"/>
    <w:rsid w:val="001F335C"/>
    <w:rsid w:val="001F34E6"/>
    <w:rsid w:val="001F358D"/>
    <w:rsid w:val="001F35DB"/>
    <w:rsid w:val="001F3731"/>
    <w:rsid w:val="001F387E"/>
    <w:rsid w:val="001F3AE9"/>
    <w:rsid w:val="001F3C35"/>
    <w:rsid w:val="001F3CC5"/>
    <w:rsid w:val="001F3E4D"/>
    <w:rsid w:val="001F4070"/>
    <w:rsid w:val="001F420C"/>
    <w:rsid w:val="001F421E"/>
    <w:rsid w:val="001F42D1"/>
    <w:rsid w:val="001F431D"/>
    <w:rsid w:val="001F4362"/>
    <w:rsid w:val="001F43B9"/>
    <w:rsid w:val="001F4458"/>
    <w:rsid w:val="001F4494"/>
    <w:rsid w:val="001F44B7"/>
    <w:rsid w:val="001F45FF"/>
    <w:rsid w:val="001F4874"/>
    <w:rsid w:val="001F4875"/>
    <w:rsid w:val="001F491F"/>
    <w:rsid w:val="001F49C5"/>
    <w:rsid w:val="001F49D1"/>
    <w:rsid w:val="001F49DB"/>
    <w:rsid w:val="001F4A29"/>
    <w:rsid w:val="001F4A52"/>
    <w:rsid w:val="001F4C7F"/>
    <w:rsid w:val="001F4F7F"/>
    <w:rsid w:val="001F4F94"/>
    <w:rsid w:val="001F4FFD"/>
    <w:rsid w:val="001F5064"/>
    <w:rsid w:val="001F5084"/>
    <w:rsid w:val="001F5107"/>
    <w:rsid w:val="001F53F8"/>
    <w:rsid w:val="001F55E5"/>
    <w:rsid w:val="001F57AE"/>
    <w:rsid w:val="001F57F1"/>
    <w:rsid w:val="001F5A18"/>
    <w:rsid w:val="001F5A7D"/>
    <w:rsid w:val="001F5AFD"/>
    <w:rsid w:val="001F5B52"/>
    <w:rsid w:val="001F5CF6"/>
    <w:rsid w:val="001F5D35"/>
    <w:rsid w:val="001F5DCB"/>
    <w:rsid w:val="001F5DE2"/>
    <w:rsid w:val="001F5E3E"/>
    <w:rsid w:val="001F618B"/>
    <w:rsid w:val="001F6340"/>
    <w:rsid w:val="001F63AC"/>
    <w:rsid w:val="001F6453"/>
    <w:rsid w:val="001F656B"/>
    <w:rsid w:val="001F659E"/>
    <w:rsid w:val="001F6738"/>
    <w:rsid w:val="001F67D5"/>
    <w:rsid w:val="001F6AC0"/>
    <w:rsid w:val="001F6B08"/>
    <w:rsid w:val="001F6C5D"/>
    <w:rsid w:val="001F6C5F"/>
    <w:rsid w:val="001F6CF7"/>
    <w:rsid w:val="001F6DF9"/>
    <w:rsid w:val="001F6F01"/>
    <w:rsid w:val="001F6F86"/>
    <w:rsid w:val="001F71F1"/>
    <w:rsid w:val="001F7206"/>
    <w:rsid w:val="001F7474"/>
    <w:rsid w:val="001F7535"/>
    <w:rsid w:val="001F758D"/>
    <w:rsid w:val="001F76A6"/>
    <w:rsid w:val="001F77D5"/>
    <w:rsid w:val="001F79BB"/>
    <w:rsid w:val="001F7A2F"/>
    <w:rsid w:val="001F7AAA"/>
    <w:rsid w:val="001F7AFD"/>
    <w:rsid w:val="001F7B1D"/>
    <w:rsid w:val="001F7BCE"/>
    <w:rsid w:val="001F7D00"/>
    <w:rsid w:val="001F7D05"/>
    <w:rsid w:val="001F7DBA"/>
    <w:rsid w:val="001F7EB8"/>
    <w:rsid w:val="00200091"/>
    <w:rsid w:val="0020010B"/>
    <w:rsid w:val="002001BA"/>
    <w:rsid w:val="002002FC"/>
    <w:rsid w:val="002005B5"/>
    <w:rsid w:val="002007FA"/>
    <w:rsid w:val="002008CF"/>
    <w:rsid w:val="00200951"/>
    <w:rsid w:val="00200B32"/>
    <w:rsid w:val="00200C41"/>
    <w:rsid w:val="00200C59"/>
    <w:rsid w:val="00200E0A"/>
    <w:rsid w:val="00200E11"/>
    <w:rsid w:val="00200FA1"/>
    <w:rsid w:val="002010E0"/>
    <w:rsid w:val="002011DB"/>
    <w:rsid w:val="0020128D"/>
    <w:rsid w:val="002012DF"/>
    <w:rsid w:val="0020134E"/>
    <w:rsid w:val="002013C4"/>
    <w:rsid w:val="002013D1"/>
    <w:rsid w:val="002013EE"/>
    <w:rsid w:val="0020145C"/>
    <w:rsid w:val="0020157F"/>
    <w:rsid w:val="0020173E"/>
    <w:rsid w:val="002018A4"/>
    <w:rsid w:val="00201931"/>
    <w:rsid w:val="0020196F"/>
    <w:rsid w:val="00201A64"/>
    <w:rsid w:val="00201B0C"/>
    <w:rsid w:val="00201B3F"/>
    <w:rsid w:val="00201BB2"/>
    <w:rsid w:val="00201BE4"/>
    <w:rsid w:val="00201E3F"/>
    <w:rsid w:val="00201FB1"/>
    <w:rsid w:val="00202097"/>
    <w:rsid w:val="002021E6"/>
    <w:rsid w:val="00202238"/>
    <w:rsid w:val="00202259"/>
    <w:rsid w:val="0020231C"/>
    <w:rsid w:val="002023F3"/>
    <w:rsid w:val="0020248E"/>
    <w:rsid w:val="002024E8"/>
    <w:rsid w:val="002024F0"/>
    <w:rsid w:val="00202679"/>
    <w:rsid w:val="002028D2"/>
    <w:rsid w:val="00202902"/>
    <w:rsid w:val="002029AF"/>
    <w:rsid w:val="00202A30"/>
    <w:rsid w:val="00202A4F"/>
    <w:rsid w:val="00202A6D"/>
    <w:rsid w:val="00202BBE"/>
    <w:rsid w:val="00202D4C"/>
    <w:rsid w:val="00202DEA"/>
    <w:rsid w:val="00202EE0"/>
    <w:rsid w:val="00202F6E"/>
    <w:rsid w:val="00203052"/>
    <w:rsid w:val="0020314B"/>
    <w:rsid w:val="0020332D"/>
    <w:rsid w:val="002036F0"/>
    <w:rsid w:val="002038B9"/>
    <w:rsid w:val="00203990"/>
    <w:rsid w:val="002039CE"/>
    <w:rsid w:val="00203B0E"/>
    <w:rsid w:val="00203B8D"/>
    <w:rsid w:val="00203D63"/>
    <w:rsid w:val="00203DA6"/>
    <w:rsid w:val="00203F3E"/>
    <w:rsid w:val="00203FB5"/>
    <w:rsid w:val="00203FCF"/>
    <w:rsid w:val="00204044"/>
    <w:rsid w:val="002041F5"/>
    <w:rsid w:val="00204209"/>
    <w:rsid w:val="00204289"/>
    <w:rsid w:val="00204391"/>
    <w:rsid w:val="00204404"/>
    <w:rsid w:val="0020486A"/>
    <w:rsid w:val="00204893"/>
    <w:rsid w:val="00204944"/>
    <w:rsid w:val="00204978"/>
    <w:rsid w:val="00204D49"/>
    <w:rsid w:val="00204D6C"/>
    <w:rsid w:val="00204D95"/>
    <w:rsid w:val="00204DEE"/>
    <w:rsid w:val="00204E6C"/>
    <w:rsid w:val="002052F0"/>
    <w:rsid w:val="00205352"/>
    <w:rsid w:val="00205452"/>
    <w:rsid w:val="00205460"/>
    <w:rsid w:val="00205589"/>
    <w:rsid w:val="0020573A"/>
    <w:rsid w:val="0020574E"/>
    <w:rsid w:val="00205990"/>
    <w:rsid w:val="00205DFB"/>
    <w:rsid w:val="00205E3D"/>
    <w:rsid w:val="0020653D"/>
    <w:rsid w:val="00206593"/>
    <w:rsid w:val="00206794"/>
    <w:rsid w:val="002067C1"/>
    <w:rsid w:val="00206925"/>
    <w:rsid w:val="00206A78"/>
    <w:rsid w:val="00206AB4"/>
    <w:rsid w:val="00206AB9"/>
    <w:rsid w:val="00206B7E"/>
    <w:rsid w:val="00206CBA"/>
    <w:rsid w:val="00206D1E"/>
    <w:rsid w:val="00206D35"/>
    <w:rsid w:val="00206DE1"/>
    <w:rsid w:val="00206E2C"/>
    <w:rsid w:val="00206E8A"/>
    <w:rsid w:val="00206EC9"/>
    <w:rsid w:val="00206F25"/>
    <w:rsid w:val="00206F51"/>
    <w:rsid w:val="00206F61"/>
    <w:rsid w:val="00206F89"/>
    <w:rsid w:val="00207046"/>
    <w:rsid w:val="00207079"/>
    <w:rsid w:val="002070B6"/>
    <w:rsid w:val="0020717B"/>
    <w:rsid w:val="0020717E"/>
    <w:rsid w:val="00207203"/>
    <w:rsid w:val="002073F0"/>
    <w:rsid w:val="00207469"/>
    <w:rsid w:val="00207474"/>
    <w:rsid w:val="00207636"/>
    <w:rsid w:val="00207706"/>
    <w:rsid w:val="002077D2"/>
    <w:rsid w:val="002078CD"/>
    <w:rsid w:val="002079AD"/>
    <w:rsid w:val="00207A1B"/>
    <w:rsid w:val="00207BA7"/>
    <w:rsid w:val="00207C76"/>
    <w:rsid w:val="00207CA1"/>
    <w:rsid w:val="00210076"/>
    <w:rsid w:val="00210080"/>
    <w:rsid w:val="0021012D"/>
    <w:rsid w:val="0021022B"/>
    <w:rsid w:val="00210550"/>
    <w:rsid w:val="002105A2"/>
    <w:rsid w:val="002105F1"/>
    <w:rsid w:val="002107CD"/>
    <w:rsid w:val="002107DC"/>
    <w:rsid w:val="00210882"/>
    <w:rsid w:val="002108AF"/>
    <w:rsid w:val="002109A8"/>
    <w:rsid w:val="002109BE"/>
    <w:rsid w:val="00210A53"/>
    <w:rsid w:val="00210A56"/>
    <w:rsid w:val="00210AD6"/>
    <w:rsid w:val="00210BF0"/>
    <w:rsid w:val="00210DAD"/>
    <w:rsid w:val="00210F4E"/>
    <w:rsid w:val="00210FE5"/>
    <w:rsid w:val="00210FEE"/>
    <w:rsid w:val="002110E0"/>
    <w:rsid w:val="00211114"/>
    <w:rsid w:val="00211169"/>
    <w:rsid w:val="0021132D"/>
    <w:rsid w:val="00211339"/>
    <w:rsid w:val="00211406"/>
    <w:rsid w:val="002114F3"/>
    <w:rsid w:val="0021196A"/>
    <w:rsid w:val="00211A26"/>
    <w:rsid w:val="00211BB5"/>
    <w:rsid w:val="00211CCD"/>
    <w:rsid w:val="00211D7A"/>
    <w:rsid w:val="00211D94"/>
    <w:rsid w:val="00211DD8"/>
    <w:rsid w:val="00211EAA"/>
    <w:rsid w:val="002121D9"/>
    <w:rsid w:val="002121E8"/>
    <w:rsid w:val="00212245"/>
    <w:rsid w:val="0021227F"/>
    <w:rsid w:val="0021246C"/>
    <w:rsid w:val="00212520"/>
    <w:rsid w:val="00212577"/>
    <w:rsid w:val="002125F3"/>
    <w:rsid w:val="002126AA"/>
    <w:rsid w:val="0021275F"/>
    <w:rsid w:val="002127BC"/>
    <w:rsid w:val="002127E1"/>
    <w:rsid w:val="00212A7D"/>
    <w:rsid w:val="00212B02"/>
    <w:rsid w:val="00212B8D"/>
    <w:rsid w:val="00212D26"/>
    <w:rsid w:val="00213151"/>
    <w:rsid w:val="0021331C"/>
    <w:rsid w:val="00213354"/>
    <w:rsid w:val="0021342A"/>
    <w:rsid w:val="00213457"/>
    <w:rsid w:val="0021346E"/>
    <w:rsid w:val="002134D4"/>
    <w:rsid w:val="00213846"/>
    <w:rsid w:val="0021385E"/>
    <w:rsid w:val="002138C7"/>
    <w:rsid w:val="00213933"/>
    <w:rsid w:val="002139B7"/>
    <w:rsid w:val="00213B73"/>
    <w:rsid w:val="00213C96"/>
    <w:rsid w:val="00213D6C"/>
    <w:rsid w:val="00213E87"/>
    <w:rsid w:val="002140A4"/>
    <w:rsid w:val="00214129"/>
    <w:rsid w:val="00214176"/>
    <w:rsid w:val="0021421A"/>
    <w:rsid w:val="00214238"/>
    <w:rsid w:val="0021431E"/>
    <w:rsid w:val="002143B4"/>
    <w:rsid w:val="00214456"/>
    <w:rsid w:val="002148B4"/>
    <w:rsid w:val="002148F1"/>
    <w:rsid w:val="00214994"/>
    <w:rsid w:val="00214BF2"/>
    <w:rsid w:val="00214CB8"/>
    <w:rsid w:val="00214D62"/>
    <w:rsid w:val="00214D67"/>
    <w:rsid w:val="00214DF6"/>
    <w:rsid w:val="00214E84"/>
    <w:rsid w:val="00214F45"/>
    <w:rsid w:val="002151AB"/>
    <w:rsid w:val="002151F3"/>
    <w:rsid w:val="0021529D"/>
    <w:rsid w:val="002152AA"/>
    <w:rsid w:val="0021534E"/>
    <w:rsid w:val="00215423"/>
    <w:rsid w:val="002154C8"/>
    <w:rsid w:val="00215662"/>
    <w:rsid w:val="002156E2"/>
    <w:rsid w:val="002157AF"/>
    <w:rsid w:val="002159E3"/>
    <w:rsid w:val="00215B17"/>
    <w:rsid w:val="00215BC7"/>
    <w:rsid w:val="00215C62"/>
    <w:rsid w:val="00215D83"/>
    <w:rsid w:val="00215F24"/>
    <w:rsid w:val="002160A6"/>
    <w:rsid w:val="00216227"/>
    <w:rsid w:val="00216245"/>
    <w:rsid w:val="0021634C"/>
    <w:rsid w:val="002163B0"/>
    <w:rsid w:val="002165B2"/>
    <w:rsid w:val="00216713"/>
    <w:rsid w:val="0021678E"/>
    <w:rsid w:val="002168AD"/>
    <w:rsid w:val="002168F1"/>
    <w:rsid w:val="00216972"/>
    <w:rsid w:val="00216984"/>
    <w:rsid w:val="002169A5"/>
    <w:rsid w:val="002169FA"/>
    <w:rsid w:val="00216B6C"/>
    <w:rsid w:val="00216C46"/>
    <w:rsid w:val="00216DE9"/>
    <w:rsid w:val="00216E2A"/>
    <w:rsid w:val="00216EC0"/>
    <w:rsid w:val="00216FFC"/>
    <w:rsid w:val="00217021"/>
    <w:rsid w:val="002170A6"/>
    <w:rsid w:val="002170C8"/>
    <w:rsid w:val="00217179"/>
    <w:rsid w:val="00217411"/>
    <w:rsid w:val="002174D8"/>
    <w:rsid w:val="002174E9"/>
    <w:rsid w:val="00217849"/>
    <w:rsid w:val="00217866"/>
    <w:rsid w:val="00217917"/>
    <w:rsid w:val="00217924"/>
    <w:rsid w:val="0021794A"/>
    <w:rsid w:val="00217A73"/>
    <w:rsid w:val="00217C86"/>
    <w:rsid w:val="00217DE5"/>
    <w:rsid w:val="00217DF7"/>
    <w:rsid w:val="00217E65"/>
    <w:rsid w:val="00217F50"/>
    <w:rsid w:val="0022026E"/>
    <w:rsid w:val="002202D4"/>
    <w:rsid w:val="00220302"/>
    <w:rsid w:val="00220447"/>
    <w:rsid w:val="0022065D"/>
    <w:rsid w:val="00220780"/>
    <w:rsid w:val="00220BA8"/>
    <w:rsid w:val="00220E09"/>
    <w:rsid w:val="00220E1B"/>
    <w:rsid w:val="00220E8B"/>
    <w:rsid w:val="00220F87"/>
    <w:rsid w:val="00221022"/>
    <w:rsid w:val="002211CD"/>
    <w:rsid w:val="002211D1"/>
    <w:rsid w:val="002211FF"/>
    <w:rsid w:val="0022132B"/>
    <w:rsid w:val="0022137C"/>
    <w:rsid w:val="002213E8"/>
    <w:rsid w:val="00221448"/>
    <w:rsid w:val="00221458"/>
    <w:rsid w:val="0022147E"/>
    <w:rsid w:val="002215F9"/>
    <w:rsid w:val="0022170A"/>
    <w:rsid w:val="00221723"/>
    <w:rsid w:val="0022178C"/>
    <w:rsid w:val="002218AC"/>
    <w:rsid w:val="002218CD"/>
    <w:rsid w:val="00221991"/>
    <w:rsid w:val="0022199E"/>
    <w:rsid w:val="002219FC"/>
    <w:rsid w:val="00221A9F"/>
    <w:rsid w:val="00221D57"/>
    <w:rsid w:val="00221D7B"/>
    <w:rsid w:val="00221E6C"/>
    <w:rsid w:val="00221F3A"/>
    <w:rsid w:val="0022209D"/>
    <w:rsid w:val="002220ED"/>
    <w:rsid w:val="0022211B"/>
    <w:rsid w:val="00222126"/>
    <w:rsid w:val="0022221E"/>
    <w:rsid w:val="002222C4"/>
    <w:rsid w:val="0022230F"/>
    <w:rsid w:val="00222345"/>
    <w:rsid w:val="00222564"/>
    <w:rsid w:val="00222573"/>
    <w:rsid w:val="00222646"/>
    <w:rsid w:val="00222697"/>
    <w:rsid w:val="0022277E"/>
    <w:rsid w:val="0022278C"/>
    <w:rsid w:val="00222AE8"/>
    <w:rsid w:val="00222B06"/>
    <w:rsid w:val="00222D46"/>
    <w:rsid w:val="00222E65"/>
    <w:rsid w:val="00222E6D"/>
    <w:rsid w:val="00222F3E"/>
    <w:rsid w:val="00223163"/>
    <w:rsid w:val="0022325F"/>
    <w:rsid w:val="00223289"/>
    <w:rsid w:val="0022338F"/>
    <w:rsid w:val="002236BE"/>
    <w:rsid w:val="00223703"/>
    <w:rsid w:val="00223794"/>
    <w:rsid w:val="0022381D"/>
    <w:rsid w:val="00223B8A"/>
    <w:rsid w:val="00223BFF"/>
    <w:rsid w:val="00223C29"/>
    <w:rsid w:val="00223CEC"/>
    <w:rsid w:val="00223D11"/>
    <w:rsid w:val="00223E2B"/>
    <w:rsid w:val="00223E9F"/>
    <w:rsid w:val="00223FB3"/>
    <w:rsid w:val="00224082"/>
    <w:rsid w:val="002240AB"/>
    <w:rsid w:val="002240DD"/>
    <w:rsid w:val="002241DD"/>
    <w:rsid w:val="002241F5"/>
    <w:rsid w:val="00224206"/>
    <w:rsid w:val="002242B6"/>
    <w:rsid w:val="00224391"/>
    <w:rsid w:val="002243E7"/>
    <w:rsid w:val="0022441F"/>
    <w:rsid w:val="0022451C"/>
    <w:rsid w:val="0022457D"/>
    <w:rsid w:val="002245C2"/>
    <w:rsid w:val="002246DB"/>
    <w:rsid w:val="0022478A"/>
    <w:rsid w:val="00224813"/>
    <w:rsid w:val="00224957"/>
    <w:rsid w:val="002249C5"/>
    <w:rsid w:val="00224A3B"/>
    <w:rsid w:val="00224B03"/>
    <w:rsid w:val="00224B93"/>
    <w:rsid w:val="00224BE7"/>
    <w:rsid w:val="00224C6D"/>
    <w:rsid w:val="00224DD7"/>
    <w:rsid w:val="00224F48"/>
    <w:rsid w:val="002250CE"/>
    <w:rsid w:val="002250D9"/>
    <w:rsid w:val="0022529E"/>
    <w:rsid w:val="0022539A"/>
    <w:rsid w:val="0022555A"/>
    <w:rsid w:val="0022568C"/>
    <w:rsid w:val="002256B9"/>
    <w:rsid w:val="00225790"/>
    <w:rsid w:val="0022595D"/>
    <w:rsid w:val="00225ABA"/>
    <w:rsid w:val="00225B05"/>
    <w:rsid w:val="00225B67"/>
    <w:rsid w:val="00225EE4"/>
    <w:rsid w:val="00225F37"/>
    <w:rsid w:val="00225FF8"/>
    <w:rsid w:val="0022608D"/>
    <w:rsid w:val="00226235"/>
    <w:rsid w:val="0022627C"/>
    <w:rsid w:val="002262F9"/>
    <w:rsid w:val="0022635C"/>
    <w:rsid w:val="00226457"/>
    <w:rsid w:val="0022671E"/>
    <w:rsid w:val="00226860"/>
    <w:rsid w:val="002269DC"/>
    <w:rsid w:val="00226A6C"/>
    <w:rsid w:val="0022710E"/>
    <w:rsid w:val="0022724E"/>
    <w:rsid w:val="00227302"/>
    <w:rsid w:val="002273A7"/>
    <w:rsid w:val="00227469"/>
    <w:rsid w:val="002274D4"/>
    <w:rsid w:val="00227770"/>
    <w:rsid w:val="00227A93"/>
    <w:rsid w:val="00227ABB"/>
    <w:rsid w:val="00227CAC"/>
    <w:rsid w:val="00227D93"/>
    <w:rsid w:val="00227ECF"/>
    <w:rsid w:val="00227F02"/>
    <w:rsid w:val="0023008B"/>
    <w:rsid w:val="00230254"/>
    <w:rsid w:val="0023027C"/>
    <w:rsid w:val="00230354"/>
    <w:rsid w:val="00230450"/>
    <w:rsid w:val="002305B4"/>
    <w:rsid w:val="00230624"/>
    <w:rsid w:val="002306DE"/>
    <w:rsid w:val="00230760"/>
    <w:rsid w:val="00230834"/>
    <w:rsid w:val="002308E6"/>
    <w:rsid w:val="0023096E"/>
    <w:rsid w:val="00230AD5"/>
    <w:rsid w:val="00230BCA"/>
    <w:rsid w:val="00230BE9"/>
    <w:rsid w:val="00230CA6"/>
    <w:rsid w:val="00230D20"/>
    <w:rsid w:val="00230DC7"/>
    <w:rsid w:val="00230F52"/>
    <w:rsid w:val="00230F71"/>
    <w:rsid w:val="002311F4"/>
    <w:rsid w:val="002312D3"/>
    <w:rsid w:val="002312DF"/>
    <w:rsid w:val="00231326"/>
    <w:rsid w:val="0023136F"/>
    <w:rsid w:val="002313DC"/>
    <w:rsid w:val="00231498"/>
    <w:rsid w:val="002314EF"/>
    <w:rsid w:val="002314F1"/>
    <w:rsid w:val="0023157D"/>
    <w:rsid w:val="00231666"/>
    <w:rsid w:val="00231886"/>
    <w:rsid w:val="00231983"/>
    <w:rsid w:val="00231988"/>
    <w:rsid w:val="00231B4D"/>
    <w:rsid w:val="00231BFB"/>
    <w:rsid w:val="00231C37"/>
    <w:rsid w:val="00231EEE"/>
    <w:rsid w:val="0023218A"/>
    <w:rsid w:val="002321A3"/>
    <w:rsid w:val="002322F5"/>
    <w:rsid w:val="002323B8"/>
    <w:rsid w:val="002323F0"/>
    <w:rsid w:val="002325AD"/>
    <w:rsid w:val="0023275B"/>
    <w:rsid w:val="002327FC"/>
    <w:rsid w:val="00232896"/>
    <w:rsid w:val="0023296A"/>
    <w:rsid w:val="00232AF8"/>
    <w:rsid w:val="00232BD4"/>
    <w:rsid w:val="00232C0B"/>
    <w:rsid w:val="00232CB4"/>
    <w:rsid w:val="00232CBA"/>
    <w:rsid w:val="00232D11"/>
    <w:rsid w:val="00232D16"/>
    <w:rsid w:val="00232DBB"/>
    <w:rsid w:val="00232F77"/>
    <w:rsid w:val="00232F9B"/>
    <w:rsid w:val="00232FC5"/>
    <w:rsid w:val="00233060"/>
    <w:rsid w:val="002333B1"/>
    <w:rsid w:val="002334DB"/>
    <w:rsid w:val="0023353A"/>
    <w:rsid w:val="00233576"/>
    <w:rsid w:val="00233637"/>
    <w:rsid w:val="0023377C"/>
    <w:rsid w:val="002338FD"/>
    <w:rsid w:val="00233A76"/>
    <w:rsid w:val="00233CC3"/>
    <w:rsid w:val="00233D1A"/>
    <w:rsid w:val="00233EB1"/>
    <w:rsid w:val="00233FFE"/>
    <w:rsid w:val="00234217"/>
    <w:rsid w:val="0023425F"/>
    <w:rsid w:val="0023434D"/>
    <w:rsid w:val="002343C9"/>
    <w:rsid w:val="0023448B"/>
    <w:rsid w:val="002344BB"/>
    <w:rsid w:val="00234505"/>
    <w:rsid w:val="00234650"/>
    <w:rsid w:val="0023489E"/>
    <w:rsid w:val="00234A73"/>
    <w:rsid w:val="00234ABC"/>
    <w:rsid w:val="00234B23"/>
    <w:rsid w:val="00234CD0"/>
    <w:rsid w:val="00234E56"/>
    <w:rsid w:val="00234FB4"/>
    <w:rsid w:val="00234FD0"/>
    <w:rsid w:val="00234FE8"/>
    <w:rsid w:val="00235240"/>
    <w:rsid w:val="002352AD"/>
    <w:rsid w:val="002353CA"/>
    <w:rsid w:val="0023566E"/>
    <w:rsid w:val="00235885"/>
    <w:rsid w:val="00235901"/>
    <w:rsid w:val="00235BAB"/>
    <w:rsid w:val="00235C09"/>
    <w:rsid w:val="00235C1A"/>
    <w:rsid w:val="00235C74"/>
    <w:rsid w:val="00235E1F"/>
    <w:rsid w:val="00235F25"/>
    <w:rsid w:val="0023604B"/>
    <w:rsid w:val="0023606F"/>
    <w:rsid w:val="002362B8"/>
    <w:rsid w:val="00236375"/>
    <w:rsid w:val="002364FF"/>
    <w:rsid w:val="00236672"/>
    <w:rsid w:val="00236713"/>
    <w:rsid w:val="002367D9"/>
    <w:rsid w:val="00236A24"/>
    <w:rsid w:val="00236A54"/>
    <w:rsid w:val="00236B90"/>
    <w:rsid w:val="00236C05"/>
    <w:rsid w:val="00236C40"/>
    <w:rsid w:val="00236C5D"/>
    <w:rsid w:val="00236CFB"/>
    <w:rsid w:val="00236D63"/>
    <w:rsid w:val="00236EEE"/>
    <w:rsid w:val="00236F57"/>
    <w:rsid w:val="00237152"/>
    <w:rsid w:val="0023718A"/>
    <w:rsid w:val="002371E8"/>
    <w:rsid w:val="0023732B"/>
    <w:rsid w:val="002373AE"/>
    <w:rsid w:val="002376AD"/>
    <w:rsid w:val="0023781B"/>
    <w:rsid w:val="00237A16"/>
    <w:rsid w:val="00237C23"/>
    <w:rsid w:val="00237C60"/>
    <w:rsid w:val="00237C69"/>
    <w:rsid w:val="00237D5F"/>
    <w:rsid w:val="00237F24"/>
    <w:rsid w:val="00237F26"/>
    <w:rsid w:val="00237FAB"/>
    <w:rsid w:val="0024022A"/>
    <w:rsid w:val="00240278"/>
    <w:rsid w:val="002402B2"/>
    <w:rsid w:val="002402BA"/>
    <w:rsid w:val="002403D2"/>
    <w:rsid w:val="00240453"/>
    <w:rsid w:val="002404C5"/>
    <w:rsid w:val="002404EA"/>
    <w:rsid w:val="002405E6"/>
    <w:rsid w:val="002405F2"/>
    <w:rsid w:val="002408D5"/>
    <w:rsid w:val="0024096E"/>
    <w:rsid w:val="002409B7"/>
    <w:rsid w:val="002409D0"/>
    <w:rsid w:val="00240B2D"/>
    <w:rsid w:val="00240D0D"/>
    <w:rsid w:val="00240D6C"/>
    <w:rsid w:val="00240D9B"/>
    <w:rsid w:val="00240EA7"/>
    <w:rsid w:val="00240ED9"/>
    <w:rsid w:val="00240FB6"/>
    <w:rsid w:val="00241014"/>
    <w:rsid w:val="0024133A"/>
    <w:rsid w:val="00241348"/>
    <w:rsid w:val="002413A7"/>
    <w:rsid w:val="002413FD"/>
    <w:rsid w:val="00241470"/>
    <w:rsid w:val="002415C5"/>
    <w:rsid w:val="002418FD"/>
    <w:rsid w:val="002419A2"/>
    <w:rsid w:val="002419ED"/>
    <w:rsid w:val="00241AE1"/>
    <w:rsid w:val="00241B28"/>
    <w:rsid w:val="00241C08"/>
    <w:rsid w:val="00241C12"/>
    <w:rsid w:val="00241D04"/>
    <w:rsid w:val="00241D89"/>
    <w:rsid w:val="00241DAF"/>
    <w:rsid w:val="00241DB6"/>
    <w:rsid w:val="002420E7"/>
    <w:rsid w:val="0024261D"/>
    <w:rsid w:val="0024278E"/>
    <w:rsid w:val="00242877"/>
    <w:rsid w:val="00242920"/>
    <w:rsid w:val="00242A53"/>
    <w:rsid w:val="00242CFB"/>
    <w:rsid w:val="00242D34"/>
    <w:rsid w:val="00242D94"/>
    <w:rsid w:val="00242DB5"/>
    <w:rsid w:val="00242E43"/>
    <w:rsid w:val="00242E70"/>
    <w:rsid w:val="00242F97"/>
    <w:rsid w:val="002430FE"/>
    <w:rsid w:val="002431B3"/>
    <w:rsid w:val="002431CF"/>
    <w:rsid w:val="0024325D"/>
    <w:rsid w:val="00243418"/>
    <w:rsid w:val="002436C3"/>
    <w:rsid w:val="00243705"/>
    <w:rsid w:val="0024375C"/>
    <w:rsid w:val="0024377C"/>
    <w:rsid w:val="0024382F"/>
    <w:rsid w:val="00243893"/>
    <w:rsid w:val="00243A61"/>
    <w:rsid w:val="00243A83"/>
    <w:rsid w:val="00243B16"/>
    <w:rsid w:val="00243B29"/>
    <w:rsid w:val="00243BF3"/>
    <w:rsid w:val="00243E9F"/>
    <w:rsid w:val="00243F0A"/>
    <w:rsid w:val="00243FAB"/>
    <w:rsid w:val="0024409A"/>
    <w:rsid w:val="00244185"/>
    <w:rsid w:val="002441A9"/>
    <w:rsid w:val="002442E9"/>
    <w:rsid w:val="00244363"/>
    <w:rsid w:val="00244368"/>
    <w:rsid w:val="00244589"/>
    <w:rsid w:val="002445BE"/>
    <w:rsid w:val="00244689"/>
    <w:rsid w:val="002448DD"/>
    <w:rsid w:val="00244A1A"/>
    <w:rsid w:val="00244D7B"/>
    <w:rsid w:val="00244DDE"/>
    <w:rsid w:val="00244DEF"/>
    <w:rsid w:val="00244DF6"/>
    <w:rsid w:val="00244F2B"/>
    <w:rsid w:val="00244F89"/>
    <w:rsid w:val="00245019"/>
    <w:rsid w:val="002450BD"/>
    <w:rsid w:val="002450C8"/>
    <w:rsid w:val="002452E4"/>
    <w:rsid w:val="002454C6"/>
    <w:rsid w:val="0024576A"/>
    <w:rsid w:val="0024579A"/>
    <w:rsid w:val="0024590D"/>
    <w:rsid w:val="00245A66"/>
    <w:rsid w:val="00245B30"/>
    <w:rsid w:val="00245EB1"/>
    <w:rsid w:val="00245FBB"/>
    <w:rsid w:val="0024606F"/>
    <w:rsid w:val="00246133"/>
    <w:rsid w:val="00246182"/>
    <w:rsid w:val="0024619E"/>
    <w:rsid w:val="002461B3"/>
    <w:rsid w:val="0024624A"/>
    <w:rsid w:val="002462BD"/>
    <w:rsid w:val="002463DF"/>
    <w:rsid w:val="002466F7"/>
    <w:rsid w:val="0024673C"/>
    <w:rsid w:val="00246A09"/>
    <w:rsid w:val="00246A89"/>
    <w:rsid w:val="00246ADE"/>
    <w:rsid w:val="00246B2B"/>
    <w:rsid w:val="00246C40"/>
    <w:rsid w:val="00246CB7"/>
    <w:rsid w:val="00246E51"/>
    <w:rsid w:val="002470AA"/>
    <w:rsid w:val="002472B6"/>
    <w:rsid w:val="0024731F"/>
    <w:rsid w:val="00247348"/>
    <w:rsid w:val="00247403"/>
    <w:rsid w:val="00247570"/>
    <w:rsid w:val="00247670"/>
    <w:rsid w:val="002476D0"/>
    <w:rsid w:val="00247836"/>
    <w:rsid w:val="002478F0"/>
    <w:rsid w:val="00247CB3"/>
    <w:rsid w:val="00247CB8"/>
    <w:rsid w:val="00247CC9"/>
    <w:rsid w:val="00247D9F"/>
    <w:rsid w:val="00247DB5"/>
    <w:rsid w:val="00247E53"/>
    <w:rsid w:val="00247F53"/>
    <w:rsid w:val="00247FA8"/>
    <w:rsid w:val="00250002"/>
    <w:rsid w:val="002500F8"/>
    <w:rsid w:val="002501B8"/>
    <w:rsid w:val="002502D0"/>
    <w:rsid w:val="00250395"/>
    <w:rsid w:val="0025050D"/>
    <w:rsid w:val="0025055E"/>
    <w:rsid w:val="00250575"/>
    <w:rsid w:val="00250597"/>
    <w:rsid w:val="002507A9"/>
    <w:rsid w:val="0025084C"/>
    <w:rsid w:val="00250913"/>
    <w:rsid w:val="00250972"/>
    <w:rsid w:val="00250A22"/>
    <w:rsid w:val="00250AE8"/>
    <w:rsid w:val="00250B26"/>
    <w:rsid w:val="00250C12"/>
    <w:rsid w:val="00250C29"/>
    <w:rsid w:val="00250F37"/>
    <w:rsid w:val="00251005"/>
    <w:rsid w:val="00251128"/>
    <w:rsid w:val="0025122E"/>
    <w:rsid w:val="002512CF"/>
    <w:rsid w:val="002512E6"/>
    <w:rsid w:val="002516B9"/>
    <w:rsid w:val="002516E5"/>
    <w:rsid w:val="00251795"/>
    <w:rsid w:val="002517C7"/>
    <w:rsid w:val="0025190B"/>
    <w:rsid w:val="00251953"/>
    <w:rsid w:val="00251D46"/>
    <w:rsid w:val="00251D71"/>
    <w:rsid w:val="00251E6E"/>
    <w:rsid w:val="00251EFB"/>
    <w:rsid w:val="00251F0C"/>
    <w:rsid w:val="00252191"/>
    <w:rsid w:val="0025222A"/>
    <w:rsid w:val="0025247C"/>
    <w:rsid w:val="00252741"/>
    <w:rsid w:val="0025282A"/>
    <w:rsid w:val="0025289B"/>
    <w:rsid w:val="00252A6B"/>
    <w:rsid w:val="00252B63"/>
    <w:rsid w:val="00252B6F"/>
    <w:rsid w:val="00252D38"/>
    <w:rsid w:val="00252EA7"/>
    <w:rsid w:val="00252F32"/>
    <w:rsid w:val="00253068"/>
    <w:rsid w:val="002532C2"/>
    <w:rsid w:val="002532DE"/>
    <w:rsid w:val="002534B0"/>
    <w:rsid w:val="0025370B"/>
    <w:rsid w:val="0025397B"/>
    <w:rsid w:val="00253A1F"/>
    <w:rsid w:val="00253BFA"/>
    <w:rsid w:val="00253C0D"/>
    <w:rsid w:val="00253C8B"/>
    <w:rsid w:val="00253CE0"/>
    <w:rsid w:val="00253D27"/>
    <w:rsid w:val="00253FA8"/>
    <w:rsid w:val="00254101"/>
    <w:rsid w:val="002542C6"/>
    <w:rsid w:val="00254343"/>
    <w:rsid w:val="0025444F"/>
    <w:rsid w:val="00254575"/>
    <w:rsid w:val="0025461C"/>
    <w:rsid w:val="00254637"/>
    <w:rsid w:val="00254786"/>
    <w:rsid w:val="0025497F"/>
    <w:rsid w:val="002549A5"/>
    <w:rsid w:val="00254CF9"/>
    <w:rsid w:val="00254DCF"/>
    <w:rsid w:val="00254EDB"/>
    <w:rsid w:val="00254F02"/>
    <w:rsid w:val="00254F7A"/>
    <w:rsid w:val="00255277"/>
    <w:rsid w:val="0025558F"/>
    <w:rsid w:val="00255B1C"/>
    <w:rsid w:val="00255B73"/>
    <w:rsid w:val="00255BC8"/>
    <w:rsid w:val="00255C91"/>
    <w:rsid w:val="00255CE4"/>
    <w:rsid w:val="00255D2D"/>
    <w:rsid w:val="00255F70"/>
    <w:rsid w:val="002560ED"/>
    <w:rsid w:val="00256195"/>
    <w:rsid w:val="00256271"/>
    <w:rsid w:val="00256293"/>
    <w:rsid w:val="00256362"/>
    <w:rsid w:val="002563E9"/>
    <w:rsid w:val="002564F8"/>
    <w:rsid w:val="00256503"/>
    <w:rsid w:val="00256538"/>
    <w:rsid w:val="00256A2B"/>
    <w:rsid w:val="00256ACB"/>
    <w:rsid w:val="00256B07"/>
    <w:rsid w:val="00256BB1"/>
    <w:rsid w:val="00256BC5"/>
    <w:rsid w:val="00256CCC"/>
    <w:rsid w:val="00256E10"/>
    <w:rsid w:val="00256FCC"/>
    <w:rsid w:val="00256FCD"/>
    <w:rsid w:val="00257170"/>
    <w:rsid w:val="002571D2"/>
    <w:rsid w:val="00257223"/>
    <w:rsid w:val="0025735C"/>
    <w:rsid w:val="002573E0"/>
    <w:rsid w:val="00257444"/>
    <w:rsid w:val="00257758"/>
    <w:rsid w:val="00257801"/>
    <w:rsid w:val="00257991"/>
    <w:rsid w:val="00257AAA"/>
    <w:rsid w:val="00257BD0"/>
    <w:rsid w:val="00257CC6"/>
    <w:rsid w:val="00257CDE"/>
    <w:rsid w:val="00257D2A"/>
    <w:rsid w:val="00257D3A"/>
    <w:rsid w:val="00257E15"/>
    <w:rsid w:val="00257E9D"/>
    <w:rsid w:val="00257F8B"/>
    <w:rsid w:val="00260097"/>
    <w:rsid w:val="002601B0"/>
    <w:rsid w:val="002601EF"/>
    <w:rsid w:val="002603A4"/>
    <w:rsid w:val="002604F4"/>
    <w:rsid w:val="00260A15"/>
    <w:rsid w:val="00260A46"/>
    <w:rsid w:val="00260C89"/>
    <w:rsid w:val="00260F46"/>
    <w:rsid w:val="00260F6B"/>
    <w:rsid w:val="00260FFD"/>
    <w:rsid w:val="00261004"/>
    <w:rsid w:val="0026107B"/>
    <w:rsid w:val="0026108E"/>
    <w:rsid w:val="002610DE"/>
    <w:rsid w:val="00261194"/>
    <w:rsid w:val="00261491"/>
    <w:rsid w:val="00261535"/>
    <w:rsid w:val="0026176B"/>
    <w:rsid w:val="0026190C"/>
    <w:rsid w:val="00261A6A"/>
    <w:rsid w:val="00261A8A"/>
    <w:rsid w:val="00261AE4"/>
    <w:rsid w:val="00261B17"/>
    <w:rsid w:val="00261B2A"/>
    <w:rsid w:val="00261BA3"/>
    <w:rsid w:val="00261C56"/>
    <w:rsid w:val="00261C6F"/>
    <w:rsid w:val="00261CDE"/>
    <w:rsid w:val="00261CE5"/>
    <w:rsid w:val="00261CEF"/>
    <w:rsid w:val="00261D4B"/>
    <w:rsid w:val="00261DEC"/>
    <w:rsid w:val="00261E90"/>
    <w:rsid w:val="00261E9C"/>
    <w:rsid w:val="00261EA3"/>
    <w:rsid w:val="00262410"/>
    <w:rsid w:val="0026246B"/>
    <w:rsid w:val="00262732"/>
    <w:rsid w:val="00262896"/>
    <w:rsid w:val="00262AC9"/>
    <w:rsid w:val="00262AD7"/>
    <w:rsid w:val="00262B75"/>
    <w:rsid w:val="00262BC8"/>
    <w:rsid w:val="00262D1C"/>
    <w:rsid w:val="00262D67"/>
    <w:rsid w:val="00262E73"/>
    <w:rsid w:val="00262EEA"/>
    <w:rsid w:val="00262F7F"/>
    <w:rsid w:val="002630C1"/>
    <w:rsid w:val="00263177"/>
    <w:rsid w:val="002631AA"/>
    <w:rsid w:val="002632ED"/>
    <w:rsid w:val="00263429"/>
    <w:rsid w:val="002634D1"/>
    <w:rsid w:val="002634E0"/>
    <w:rsid w:val="00263676"/>
    <w:rsid w:val="002636CA"/>
    <w:rsid w:val="00263706"/>
    <w:rsid w:val="002637C2"/>
    <w:rsid w:val="00263A40"/>
    <w:rsid w:val="00263C74"/>
    <w:rsid w:val="00263DB7"/>
    <w:rsid w:val="00263DE8"/>
    <w:rsid w:val="00263E42"/>
    <w:rsid w:val="00263E83"/>
    <w:rsid w:val="00264069"/>
    <w:rsid w:val="0026420E"/>
    <w:rsid w:val="0026428B"/>
    <w:rsid w:val="00264751"/>
    <w:rsid w:val="00264764"/>
    <w:rsid w:val="00264A91"/>
    <w:rsid w:val="00264B07"/>
    <w:rsid w:val="00264B7C"/>
    <w:rsid w:val="00264D19"/>
    <w:rsid w:val="00264EB2"/>
    <w:rsid w:val="00264F27"/>
    <w:rsid w:val="00264F33"/>
    <w:rsid w:val="00265253"/>
    <w:rsid w:val="00265278"/>
    <w:rsid w:val="0026527F"/>
    <w:rsid w:val="002654B9"/>
    <w:rsid w:val="0026575C"/>
    <w:rsid w:val="00265921"/>
    <w:rsid w:val="00265994"/>
    <w:rsid w:val="002659F4"/>
    <w:rsid w:val="00265A32"/>
    <w:rsid w:val="00265C7F"/>
    <w:rsid w:val="00265CFE"/>
    <w:rsid w:val="00265D70"/>
    <w:rsid w:val="00265D78"/>
    <w:rsid w:val="00265D7B"/>
    <w:rsid w:val="00265DF1"/>
    <w:rsid w:val="00266121"/>
    <w:rsid w:val="00266195"/>
    <w:rsid w:val="00266201"/>
    <w:rsid w:val="00266307"/>
    <w:rsid w:val="002663E3"/>
    <w:rsid w:val="00266466"/>
    <w:rsid w:val="002664D8"/>
    <w:rsid w:val="0026670A"/>
    <w:rsid w:val="00266916"/>
    <w:rsid w:val="0026697C"/>
    <w:rsid w:val="00266C1A"/>
    <w:rsid w:val="00266C37"/>
    <w:rsid w:val="00266DA8"/>
    <w:rsid w:val="00266E23"/>
    <w:rsid w:val="00266FD1"/>
    <w:rsid w:val="00267099"/>
    <w:rsid w:val="002670CE"/>
    <w:rsid w:val="00267239"/>
    <w:rsid w:val="0026727B"/>
    <w:rsid w:val="00267684"/>
    <w:rsid w:val="00267690"/>
    <w:rsid w:val="0026783D"/>
    <w:rsid w:val="002678BA"/>
    <w:rsid w:val="002678BF"/>
    <w:rsid w:val="00267B16"/>
    <w:rsid w:val="00267D3B"/>
    <w:rsid w:val="00267DB0"/>
    <w:rsid w:val="00267DD3"/>
    <w:rsid w:val="00267EAF"/>
    <w:rsid w:val="00267F24"/>
    <w:rsid w:val="00270009"/>
    <w:rsid w:val="0027003D"/>
    <w:rsid w:val="0027014F"/>
    <w:rsid w:val="00270374"/>
    <w:rsid w:val="0027037E"/>
    <w:rsid w:val="00270419"/>
    <w:rsid w:val="0027059A"/>
    <w:rsid w:val="002706DB"/>
    <w:rsid w:val="00270811"/>
    <w:rsid w:val="00270830"/>
    <w:rsid w:val="002708B0"/>
    <w:rsid w:val="00270A3F"/>
    <w:rsid w:val="00270B4A"/>
    <w:rsid w:val="00270C38"/>
    <w:rsid w:val="00270D7F"/>
    <w:rsid w:val="00270DC6"/>
    <w:rsid w:val="00270FF2"/>
    <w:rsid w:val="002710A4"/>
    <w:rsid w:val="002711A9"/>
    <w:rsid w:val="002712CE"/>
    <w:rsid w:val="002712D7"/>
    <w:rsid w:val="00271478"/>
    <w:rsid w:val="00271508"/>
    <w:rsid w:val="00271593"/>
    <w:rsid w:val="002715EF"/>
    <w:rsid w:val="002715F1"/>
    <w:rsid w:val="00271702"/>
    <w:rsid w:val="00271764"/>
    <w:rsid w:val="0027178F"/>
    <w:rsid w:val="00271813"/>
    <w:rsid w:val="0027182A"/>
    <w:rsid w:val="002718E8"/>
    <w:rsid w:val="00271995"/>
    <w:rsid w:val="002719F6"/>
    <w:rsid w:val="00271CB4"/>
    <w:rsid w:val="00271F06"/>
    <w:rsid w:val="00272124"/>
    <w:rsid w:val="0027225E"/>
    <w:rsid w:val="002722A9"/>
    <w:rsid w:val="0027251D"/>
    <w:rsid w:val="00272586"/>
    <w:rsid w:val="00272609"/>
    <w:rsid w:val="0027263D"/>
    <w:rsid w:val="00272871"/>
    <w:rsid w:val="00272913"/>
    <w:rsid w:val="002729E8"/>
    <w:rsid w:val="00272C11"/>
    <w:rsid w:val="00272CD5"/>
    <w:rsid w:val="00272D26"/>
    <w:rsid w:val="00272D64"/>
    <w:rsid w:val="00272FD9"/>
    <w:rsid w:val="00272FDC"/>
    <w:rsid w:val="00273050"/>
    <w:rsid w:val="002731A6"/>
    <w:rsid w:val="0027327B"/>
    <w:rsid w:val="002732EF"/>
    <w:rsid w:val="0027349B"/>
    <w:rsid w:val="002734CA"/>
    <w:rsid w:val="002734ED"/>
    <w:rsid w:val="00273522"/>
    <w:rsid w:val="00273567"/>
    <w:rsid w:val="00273621"/>
    <w:rsid w:val="00273A82"/>
    <w:rsid w:val="00273BA1"/>
    <w:rsid w:val="00273C1C"/>
    <w:rsid w:val="00273C70"/>
    <w:rsid w:val="00273D22"/>
    <w:rsid w:val="00273EB5"/>
    <w:rsid w:val="00273FF2"/>
    <w:rsid w:val="002741D5"/>
    <w:rsid w:val="002744B5"/>
    <w:rsid w:val="002744FB"/>
    <w:rsid w:val="002745A8"/>
    <w:rsid w:val="002745E2"/>
    <w:rsid w:val="00274630"/>
    <w:rsid w:val="00274717"/>
    <w:rsid w:val="002747AF"/>
    <w:rsid w:val="002748CA"/>
    <w:rsid w:val="002748DF"/>
    <w:rsid w:val="00274977"/>
    <w:rsid w:val="002749E2"/>
    <w:rsid w:val="00274A2A"/>
    <w:rsid w:val="00274A35"/>
    <w:rsid w:val="00274B03"/>
    <w:rsid w:val="00274B27"/>
    <w:rsid w:val="00274B8F"/>
    <w:rsid w:val="00274BC1"/>
    <w:rsid w:val="00274CC1"/>
    <w:rsid w:val="00274E1A"/>
    <w:rsid w:val="00274E97"/>
    <w:rsid w:val="002750E7"/>
    <w:rsid w:val="0027533C"/>
    <w:rsid w:val="002753BD"/>
    <w:rsid w:val="002754DF"/>
    <w:rsid w:val="002754E6"/>
    <w:rsid w:val="0027551A"/>
    <w:rsid w:val="002755CB"/>
    <w:rsid w:val="00275790"/>
    <w:rsid w:val="00275951"/>
    <w:rsid w:val="00275A12"/>
    <w:rsid w:val="00275AA9"/>
    <w:rsid w:val="00275D70"/>
    <w:rsid w:val="00275D72"/>
    <w:rsid w:val="00275F95"/>
    <w:rsid w:val="0027611A"/>
    <w:rsid w:val="00276151"/>
    <w:rsid w:val="002762AB"/>
    <w:rsid w:val="00276312"/>
    <w:rsid w:val="00276346"/>
    <w:rsid w:val="002763EC"/>
    <w:rsid w:val="002765A1"/>
    <w:rsid w:val="002765C7"/>
    <w:rsid w:val="002765F4"/>
    <w:rsid w:val="00276657"/>
    <w:rsid w:val="00276875"/>
    <w:rsid w:val="002768D6"/>
    <w:rsid w:val="002768F4"/>
    <w:rsid w:val="002769E5"/>
    <w:rsid w:val="00276B8E"/>
    <w:rsid w:val="00276C94"/>
    <w:rsid w:val="00276CEA"/>
    <w:rsid w:val="00276D16"/>
    <w:rsid w:val="002770E8"/>
    <w:rsid w:val="00277262"/>
    <w:rsid w:val="00277269"/>
    <w:rsid w:val="002773F2"/>
    <w:rsid w:val="002774DA"/>
    <w:rsid w:val="002775C9"/>
    <w:rsid w:val="00277959"/>
    <w:rsid w:val="00277A9D"/>
    <w:rsid w:val="00277AB4"/>
    <w:rsid w:val="00277B42"/>
    <w:rsid w:val="00277DB7"/>
    <w:rsid w:val="00277F40"/>
    <w:rsid w:val="00280069"/>
    <w:rsid w:val="00280110"/>
    <w:rsid w:val="002801F6"/>
    <w:rsid w:val="0028035B"/>
    <w:rsid w:val="002803E0"/>
    <w:rsid w:val="0028040E"/>
    <w:rsid w:val="002804BB"/>
    <w:rsid w:val="00280544"/>
    <w:rsid w:val="002805A2"/>
    <w:rsid w:val="00280810"/>
    <w:rsid w:val="002809BE"/>
    <w:rsid w:val="00280A75"/>
    <w:rsid w:val="00280A81"/>
    <w:rsid w:val="00280AC4"/>
    <w:rsid w:val="00280BDF"/>
    <w:rsid w:val="00280D6B"/>
    <w:rsid w:val="00280E76"/>
    <w:rsid w:val="00280F17"/>
    <w:rsid w:val="00280F40"/>
    <w:rsid w:val="00280F70"/>
    <w:rsid w:val="0028106D"/>
    <w:rsid w:val="00281194"/>
    <w:rsid w:val="002811F8"/>
    <w:rsid w:val="0028125B"/>
    <w:rsid w:val="002813D5"/>
    <w:rsid w:val="002813E8"/>
    <w:rsid w:val="002813FD"/>
    <w:rsid w:val="00281462"/>
    <w:rsid w:val="00281537"/>
    <w:rsid w:val="00281644"/>
    <w:rsid w:val="002816D2"/>
    <w:rsid w:val="00281936"/>
    <w:rsid w:val="00281B20"/>
    <w:rsid w:val="00281B28"/>
    <w:rsid w:val="00281C48"/>
    <w:rsid w:val="00281CB7"/>
    <w:rsid w:val="00281D1A"/>
    <w:rsid w:val="00281D90"/>
    <w:rsid w:val="00281DCE"/>
    <w:rsid w:val="00281EEC"/>
    <w:rsid w:val="00281F20"/>
    <w:rsid w:val="00281F3E"/>
    <w:rsid w:val="00282008"/>
    <w:rsid w:val="00282218"/>
    <w:rsid w:val="0028221D"/>
    <w:rsid w:val="0028253C"/>
    <w:rsid w:val="002825D1"/>
    <w:rsid w:val="00282787"/>
    <w:rsid w:val="0028280A"/>
    <w:rsid w:val="00282832"/>
    <w:rsid w:val="00282858"/>
    <w:rsid w:val="00282883"/>
    <w:rsid w:val="0028294E"/>
    <w:rsid w:val="0028295B"/>
    <w:rsid w:val="00282A9E"/>
    <w:rsid w:val="00282B62"/>
    <w:rsid w:val="00282C3A"/>
    <w:rsid w:val="00282DE8"/>
    <w:rsid w:val="00282F6F"/>
    <w:rsid w:val="00282FB5"/>
    <w:rsid w:val="00283181"/>
    <w:rsid w:val="0028326F"/>
    <w:rsid w:val="0028327B"/>
    <w:rsid w:val="002832EF"/>
    <w:rsid w:val="00283362"/>
    <w:rsid w:val="0028336E"/>
    <w:rsid w:val="002834E0"/>
    <w:rsid w:val="00283503"/>
    <w:rsid w:val="00283694"/>
    <w:rsid w:val="002836BA"/>
    <w:rsid w:val="002836E9"/>
    <w:rsid w:val="0028383F"/>
    <w:rsid w:val="002838BE"/>
    <w:rsid w:val="00283A93"/>
    <w:rsid w:val="00283BB9"/>
    <w:rsid w:val="00283BFC"/>
    <w:rsid w:val="00283F7D"/>
    <w:rsid w:val="002840BA"/>
    <w:rsid w:val="0028410D"/>
    <w:rsid w:val="00284278"/>
    <w:rsid w:val="002844EC"/>
    <w:rsid w:val="00284557"/>
    <w:rsid w:val="002845B4"/>
    <w:rsid w:val="00284653"/>
    <w:rsid w:val="00284720"/>
    <w:rsid w:val="0028480D"/>
    <w:rsid w:val="00284833"/>
    <w:rsid w:val="002848D2"/>
    <w:rsid w:val="00284926"/>
    <w:rsid w:val="00284A0F"/>
    <w:rsid w:val="00284B15"/>
    <w:rsid w:val="00284CE8"/>
    <w:rsid w:val="00284D7E"/>
    <w:rsid w:val="00284EF9"/>
    <w:rsid w:val="00284FF9"/>
    <w:rsid w:val="0028511C"/>
    <w:rsid w:val="00285194"/>
    <w:rsid w:val="002852FE"/>
    <w:rsid w:val="00285382"/>
    <w:rsid w:val="0028579F"/>
    <w:rsid w:val="002857E2"/>
    <w:rsid w:val="00285848"/>
    <w:rsid w:val="002859B8"/>
    <w:rsid w:val="00285A62"/>
    <w:rsid w:val="00285A72"/>
    <w:rsid w:val="00285C7C"/>
    <w:rsid w:val="00285CD3"/>
    <w:rsid w:val="00285EA0"/>
    <w:rsid w:val="0028612C"/>
    <w:rsid w:val="00286253"/>
    <w:rsid w:val="002862B3"/>
    <w:rsid w:val="0028659B"/>
    <w:rsid w:val="002865FF"/>
    <w:rsid w:val="00286643"/>
    <w:rsid w:val="002866BE"/>
    <w:rsid w:val="00286777"/>
    <w:rsid w:val="002868CC"/>
    <w:rsid w:val="00286923"/>
    <w:rsid w:val="00286B2E"/>
    <w:rsid w:val="00286B70"/>
    <w:rsid w:val="00286D72"/>
    <w:rsid w:val="00286D75"/>
    <w:rsid w:val="00286E33"/>
    <w:rsid w:val="00286E42"/>
    <w:rsid w:val="00286EAA"/>
    <w:rsid w:val="00286F69"/>
    <w:rsid w:val="002871AF"/>
    <w:rsid w:val="0028725F"/>
    <w:rsid w:val="002872BC"/>
    <w:rsid w:val="002872D0"/>
    <w:rsid w:val="002873BA"/>
    <w:rsid w:val="00287468"/>
    <w:rsid w:val="002874B4"/>
    <w:rsid w:val="002875BB"/>
    <w:rsid w:val="002875DB"/>
    <w:rsid w:val="002876D1"/>
    <w:rsid w:val="002877BB"/>
    <w:rsid w:val="00287843"/>
    <w:rsid w:val="002878D2"/>
    <w:rsid w:val="002878E1"/>
    <w:rsid w:val="00287934"/>
    <w:rsid w:val="0028794C"/>
    <w:rsid w:val="002879D0"/>
    <w:rsid w:val="00287A5C"/>
    <w:rsid w:val="00287A85"/>
    <w:rsid w:val="00287BBC"/>
    <w:rsid w:val="00287C00"/>
    <w:rsid w:val="00287E65"/>
    <w:rsid w:val="00287F17"/>
    <w:rsid w:val="00287F23"/>
    <w:rsid w:val="00287F70"/>
    <w:rsid w:val="002901AB"/>
    <w:rsid w:val="002906CB"/>
    <w:rsid w:val="002908D3"/>
    <w:rsid w:val="0029096B"/>
    <w:rsid w:val="00290BC2"/>
    <w:rsid w:val="00290BDD"/>
    <w:rsid w:val="00290C5F"/>
    <w:rsid w:val="00290CEC"/>
    <w:rsid w:val="00290D4D"/>
    <w:rsid w:val="00290E5B"/>
    <w:rsid w:val="00290E84"/>
    <w:rsid w:val="00290E8D"/>
    <w:rsid w:val="00290FBA"/>
    <w:rsid w:val="00291105"/>
    <w:rsid w:val="00291346"/>
    <w:rsid w:val="002913E4"/>
    <w:rsid w:val="0029148E"/>
    <w:rsid w:val="002915DF"/>
    <w:rsid w:val="002915F7"/>
    <w:rsid w:val="0029184B"/>
    <w:rsid w:val="0029198B"/>
    <w:rsid w:val="00291A10"/>
    <w:rsid w:val="00291AC4"/>
    <w:rsid w:val="00291B0E"/>
    <w:rsid w:val="00291B0F"/>
    <w:rsid w:val="00291B5B"/>
    <w:rsid w:val="00291BCB"/>
    <w:rsid w:val="00291CBA"/>
    <w:rsid w:val="00291E2E"/>
    <w:rsid w:val="00291E9F"/>
    <w:rsid w:val="00291EE0"/>
    <w:rsid w:val="00292172"/>
    <w:rsid w:val="00292382"/>
    <w:rsid w:val="002923DE"/>
    <w:rsid w:val="002923F3"/>
    <w:rsid w:val="00292413"/>
    <w:rsid w:val="00292416"/>
    <w:rsid w:val="0029256B"/>
    <w:rsid w:val="00292640"/>
    <w:rsid w:val="00292821"/>
    <w:rsid w:val="0029284F"/>
    <w:rsid w:val="002928EC"/>
    <w:rsid w:val="00292A3F"/>
    <w:rsid w:val="00292A60"/>
    <w:rsid w:val="00292A8F"/>
    <w:rsid w:val="00292B1B"/>
    <w:rsid w:val="00292BE9"/>
    <w:rsid w:val="00292C90"/>
    <w:rsid w:val="00292D22"/>
    <w:rsid w:val="00292D36"/>
    <w:rsid w:val="00292D59"/>
    <w:rsid w:val="00292D90"/>
    <w:rsid w:val="00292DEB"/>
    <w:rsid w:val="0029310D"/>
    <w:rsid w:val="00293134"/>
    <w:rsid w:val="0029313A"/>
    <w:rsid w:val="00293356"/>
    <w:rsid w:val="00293405"/>
    <w:rsid w:val="002934DE"/>
    <w:rsid w:val="0029357B"/>
    <w:rsid w:val="0029380D"/>
    <w:rsid w:val="0029388B"/>
    <w:rsid w:val="002938B2"/>
    <w:rsid w:val="002938D7"/>
    <w:rsid w:val="00293974"/>
    <w:rsid w:val="002939C1"/>
    <w:rsid w:val="00293B40"/>
    <w:rsid w:val="00293C22"/>
    <w:rsid w:val="00293CDC"/>
    <w:rsid w:val="00293D5D"/>
    <w:rsid w:val="00293E0B"/>
    <w:rsid w:val="00293E41"/>
    <w:rsid w:val="00293E98"/>
    <w:rsid w:val="00294085"/>
    <w:rsid w:val="002940B4"/>
    <w:rsid w:val="00294117"/>
    <w:rsid w:val="002942EE"/>
    <w:rsid w:val="0029439B"/>
    <w:rsid w:val="002945AC"/>
    <w:rsid w:val="002947B9"/>
    <w:rsid w:val="0029483E"/>
    <w:rsid w:val="0029489C"/>
    <w:rsid w:val="002948C6"/>
    <w:rsid w:val="00294932"/>
    <w:rsid w:val="00294C26"/>
    <w:rsid w:val="00294E9E"/>
    <w:rsid w:val="00294EF9"/>
    <w:rsid w:val="00294F82"/>
    <w:rsid w:val="002952E8"/>
    <w:rsid w:val="0029534E"/>
    <w:rsid w:val="002953A6"/>
    <w:rsid w:val="002953E0"/>
    <w:rsid w:val="00295577"/>
    <w:rsid w:val="002955CB"/>
    <w:rsid w:val="002955CC"/>
    <w:rsid w:val="0029565D"/>
    <w:rsid w:val="0029568F"/>
    <w:rsid w:val="002956CA"/>
    <w:rsid w:val="002956FF"/>
    <w:rsid w:val="002959A8"/>
    <w:rsid w:val="00295A21"/>
    <w:rsid w:val="00295A60"/>
    <w:rsid w:val="00295C45"/>
    <w:rsid w:val="00295D76"/>
    <w:rsid w:val="00295E32"/>
    <w:rsid w:val="00295E5E"/>
    <w:rsid w:val="00295EA1"/>
    <w:rsid w:val="00295F9B"/>
    <w:rsid w:val="00295FD5"/>
    <w:rsid w:val="0029606B"/>
    <w:rsid w:val="00296242"/>
    <w:rsid w:val="00296380"/>
    <w:rsid w:val="00296413"/>
    <w:rsid w:val="00296443"/>
    <w:rsid w:val="0029656B"/>
    <w:rsid w:val="0029656D"/>
    <w:rsid w:val="00296644"/>
    <w:rsid w:val="0029665D"/>
    <w:rsid w:val="002966AB"/>
    <w:rsid w:val="00296757"/>
    <w:rsid w:val="002968F0"/>
    <w:rsid w:val="00296BA7"/>
    <w:rsid w:val="00296C3A"/>
    <w:rsid w:val="00296C47"/>
    <w:rsid w:val="00296CCE"/>
    <w:rsid w:val="00296DC1"/>
    <w:rsid w:val="00296DDB"/>
    <w:rsid w:val="00296FA6"/>
    <w:rsid w:val="002970C5"/>
    <w:rsid w:val="00297282"/>
    <w:rsid w:val="0029729C"/>
    <w:rsid w:val="002974E0"/>
    <w:rsid w:val="00297562"/>
    <w:rsid w:val="0029763F"/>
    <w:rsid w:val="002976BA"/>
    <w:rsid w:val="0029784F"/>
    <w:rsid w:val="0029793C"/>
    <w:rsid w:val="00297A15"/>
    <w:rsid w:val="00297B1D"/>
    <w:rsid w:val="00297BF2"/>
    <w:rsid w:val="00297C8B"/>
    <w:rsid w:val="00297CE8"/>
    <w:rsid w:val="00297DA5"/>
    <w:rsid w:val="00297DCD"/>
    <w:rsid w:val="00297E3F"/>
    <w:rsid w:val="00297E9D"/>
    <w:rsid w:val="002A009A"/>
    <w:rsid w:val="002A0266"/>
    <w:rsid w:val="002A0677"/>
    <w:rsid w:val="002A07DC"/>
    <w:rsid w:val="002A08FE"/>
    <w:rsid w:val="002A0971"/>
    <w:rsid w:val="002A099C"/>
    <w:rsid w:val="002A0B4B"/>
    <w:rsid w:val="002A0DC0"/>
    <w:rsid w:val="002A0E39"/>
    <w:rsid w:val="002A0FD9"/>
    <w:rsid w:val="002A114E"/>
    <w:rsid w:val="002A12BC"/>
    <w:rsid w:val="002A13B4"/>
    <w:rsid w:val="002A1466"/>
    <w:rsid w:val="002A14B2"/>
    <w:rsid w:val="002A1649"/>
    <w:rsid w:val="002A16D3"/>
    <w:rsid w:val="002A183D"/>
    <w:rsid w:val="002A19C8"/>
    <w:rsid w:val="002A1A61"/>
    <w:rsid w:val="002A1AA2"/>
    <w:rsid w:val="002A1B26"/>
    <w:rsid w:val="002A1BD4"/>
    <w:rsid w:val="002A1BF8"/>
    <w:rsid w:val="002A1C02"/>
    <w:rsid w:val="002A1C79"/>
    <w:rsid w:val="002A1CF7"/>
    <w:rsid w:val="002A1F0A"/>
    <w:rsid w:val="002A2128"/>
    <w:rsid w:val="002A213F"/>
    <w:rsid w:val="002A2274"/>
    <w:rsid w:val="002A243B"/>
    <w:rsid w:val="002A260A"/>
    <w:rsid w:val="002A2A80"/>
    <w:rsid w:val="002A2AE1"/>
    <w:rsid w:val="002A2B1B"/>
    <w:rsid w:val="002A2CA0"/>
    <w:rsid w:val="002A2CF4"/>
    <w:rsid w:val="002A2D9E"/>
    <w:rsid w:val="002A2DCD"/>
    <w:rsid w:val="002A32D3"/>
    <w:rsid w:val="002A3523"/>
    <w:rsid w:val="002A3602"/>
    <w:rsid w:val="002A3707"/>
    <w:rsid w:val="002A37D3"/>
    <w:rsid w:val="002A3829"/>
    <w:rsid w:val="002A382B"/>
    <w:rsid w:val="002A3836"/>
    <w:rsid w:val="002A388D"/>
    <w:rsid w:val="002A38CC"/>
    <w:rsid w:val="002A3988"/>
    <w:rsid w:val="002A39A1"/>
    <w:rsid w:val="002A3AAA"/>
    <w:rsid w:val="002A3B6E"/>
    <w:rsid w:val="002A3BF0"/>
    <w:rsid w:val="002A3FD2"/>
    <w:rsid w:val="002A41A4"/>
    <w:rsid w:val="002A4270"/>
    <w:rsid w:val="002A4466"/>
    <w:rsid w:val="002A447E"/>
    <w:rsid w:val="002A45B5"/>
    <w:rsid w:val="002A461D"/>
    <w:rsid w:val="002A4661"/>
    <w:rsid w:val="002A4680"/>
    <w:rsid w:val="002A4689"/>
    <w:rsid w:val="002A478D"/>
    <w:rsid w:val="002A483F"/>
    <w:rsid w:val="002A48D0"/>
    <w:rsid w:val="002A48DC"/>
    <w:rsid w:val="002A48E0"/>
    <w:rsid w:val="002A4996"/>
    <w:rsid w:val="002A49BE"/>
    <w:rsid w:val="002A4C5D"/>
    <w:rsid w:val="002A4D00"/>
    <w:rsid w:val="002A4EEB"/>
    <w:rsid w:val="002A4F0E"/>
    <w:rsid w:val="002A4F9A"/>
    <w:rsid w:val="002A501B"/>
    <w:rsid w:val="002A519D"/>
    <w:rsid w:val="002A51E8"/>
    <w:rsid w:val="002A51F9"/>
    <w:rsid w:val="002A5289"/>
    <w:rsid w:val="002A5300"/>
    <w:rsid w:val="002A5316"/>
    <w:rsid w:val="002A5330"/>
    <w:rsid w:val="002A54DC"/>
    <w:rsid w:val="002A5628"/>
    <w:rsid w:val="002A5775"/>
    <w:rsid w:val="002A5783"/>
    <w:rsid w:val="002A582D"/>
    <w:rsid w:val="002A58E6"/>
    <w:rsid w:val="002A5B9D"/>
    <w:rsid w:val="002A5BA8"/>
    <w:rsid w:val="002A5C52"/>
    <w:rsid w:val="002A5C71"/>
    <w:rsid w:val="002A5D0D"/>
    <w:rsid w:val="002A5DDE"/>
    <w:rsid w:val="002A5E1E"/>
    <w:rsid w:val="002A5FC0"/>
    <w:rsid w:val="002A615F"/>
    <w:rsid w:val="002A61F6"/>
    <w:rsid w:val="002A6498"/>
    <w:rsid w:val="002A64FE"/>
    <w:rsid w:val="002A6596"/>
    <w:rsid w:val="002A6748"/>
    <w:rsid w:val="002A6850"/>
    <w:rsid w:val="002A69A1"/>
    <w:rsid w:val="002A6B65"/>
    <w:rsid w:val="002A6B9D"/>
    <w:rsid w:val="002A6BD7"/>
    <w:rsid w:val="002A6CEC"/>
    <w:rsid w:val="002A6D5A"/>
    <w:rsid w:val="002A6D7B"/>
    <w:rsid w:val="002A6D95"/>
    <w:rsid w:val="002A6E43"/>
    <w:rsid w:val="002A7118"/>
    <w:rsid w:val="002A722B"/>
    <w:rsid w:val="002A73DA"/>
    <w:rsid w:val="002A7519"/>
    <w:rsid w:val="002A7697"/>
    <w:rsid w:val="002A77E1"/>
    <w:rsid w:val="002A77FB"/>
    <w:rsid w:val="002A7811"/>
    <w:rsid w:val="002A7813"/>
    <w:rsid w:val="002A791D"/>
    <w:rsid w:val="002A7927"/>
    <w:rsid w:val="002A79C4"/>
    <w:rsid w:val="002A7F43"/>
    <w:rsid w:val="002B001C"/>
    <w:rsid w:val="002B0083"/>
    <w:rsid w:val="002B008C"/>
    <w:rsid w:val="002B02FF"/>
    <w:rsid w:val="002B0405"/>
    <w:rsid w:val="002B044C"/>
    <w:rsid w:val="002B04B7"/>
    <w:rsid w:val="002B0572"/>
    <w:rsid w:val="002B05A7"/>
    <w:rsid w:val="002B0625"/>
    <w:rsid w:val="002B06CB"/>
    <w:rsid w:val="002B07C0"/>
    <w:rsid w:val="002B07F3"/>
    <w:rsid w:val="002B086D"/>
    <w:rsid w:val="002B0972"/>
    <w:rsid w:val="002B0A0D"/>
    <w:rsid w:val="002B0B0C"/>
    <w:rsid w:val="002B0B43"/>
    <w:rsid w:val="002B0BAB"/>
    <w:rsid w:val="002B0DA6"/>
    <w:rsid w:val="002B0E35"/>
    <w:rsid w:val="002B0FD1"/>
    <w:rsid w:val="002B10E0"/>
    <w:rsid w:val="002B119D"/>
    <w:rsid w:val="002B1299"/>
    <w:rsid w:val="002B130F"/>
    <w:rsid w:val="002B134F"/>
    <w:rsid w:val="002B1649"/>
    <w:rsid w:val="002B1708"/>
    <w:rsid w:val="002B1759"/>
    <w:rsid w:val="002B18F1"/>
    <w:rsid w:val="002B19AD"/>
    <w:rsid w:val="002B1B7D"/>
    <w:rsid w:val="002B1D20"/>
    <w:rsid w:val="002B1D3F"/>
    <w:rsid w:val="002B2126"/>
    <w:rsid w:val="002B21B5"/>
    <w:rsid w:val="002B2476"/>
    <w:rsid w:val="002B24A1"/>
    <w:rsid w:val="002B278D"/>
    <w:rsid w:val="002B290D"/>
    <w:rsid w:val="002B29B4"/>
    <w:rsid w:val="002B2A70"/>
    <w:rsid w:val="002B2AD0"/>
    <w:rsid w:val="002B2C54"/>
    <w:rsid w:val="002B2D82"/>
    <w:rsid w:val="002B30D5"/>
    <w:rsid w:val="002B311E"/>
    <w:rsid w:val="002B319A"/>
    <w:rsid w:val="002B31AA"/>
    <w:rsid w:val="002B31F8"/>
    <w:rsid w:val="002B3220"/>
    <w:rsid w:val="002B329B"/>
    <w:rsid w:val="002B3341"/>
    <w:rsid w:val="002B3521"/>
    <w:rsid w:val="002B3579"/>
    <w:rsid w:val="002B3641"/>
    <w:rsid w:val="002B3681"/>
    <w:rsid w:val="002B36CD"/>
    <w:rsid w:val="002B3828"/>
    <w:rsid w:val="002B384D"/>
    <w:rsid w:val="002B38D0"/>
    <w:rsid w:val="002B3929"/>
    <w:rsid w:val="002B3BA8"/>
    <w:rsid w:val="002B3BB1"/>
    <w:rsid w:val="002B3F04"/>
    <w:rsid w:val="002B3F67"/>
    <w:rsid w:val="002B3F86"/>
    <w:rsid w:val="002B4154"/>
    <w:rsid w:val="002B41F6"/>
    <w:rsid w:val="002B439A"/>
    <w:rsid w:val="002B445D"/>
    <w:rsid w:val="002B4473"/>
    <w:rsid w:val="002B452E"/>
    <w:rsid w:val="002B45F2"/>
    <w:rsid w:val="002B4772"/>
    <w:rsid w:val="002B47A1"/>
    <w:rsid w:val="002B48F6"/>
    <w:rsid w:val="002B493E"/>
    <w:rsid w:val="002B4983"/>
    <w:rsid w:val="002B49FB"/>
    <w:rsid w:val="002B4AB5"/>
    <w:rsid w:val="002B4CE8"/>
    <w:rsid w:val="002B4D12"/>
    <w:rsid w:val="002B4D68"/>
    <w:rsid w:val="002B4DC2"/>
    <w:rsid w:val="002B4E7B"/>
    <w:rsid w:val="002B4F87"/>
    <w:rsid w:val="002B4FB7"/>
    <w:rsid w:val="002B502F"/>
    <w:rsid w:val="002B50DF"/>
    <w:rsid w:val="002B5155"/>
    <w:rsid w:val="002B519A"/>
    <w:rsid w:val="002B5200"/>
    <w:rsid w:val="002B5450"/>
    <w:rsid w:val="002B5470"/>
    <w:rsid w:val="002B54F3"/>
    <w:rsid w:val="002B55F3"/>
    <w:rsid w:val="002B574C"/>
    <w:rsid w:val="002B57FF"/>
    <w:rsid w:val="002B58FA"/>
    <w:rsid w:val="002B59B1"/>
    <w:rsid w:val="002B59C7"/>
    <w:rsid w:val="002B59FE"/>
    <w:rsid w:val="002B5B20"/>
    <w:rsid w:val="002B5CE3"/>
    <w:rsid w:val="002B5D83"/>
    <w:rsid w:val="002B616B"/>
    <w:rsid w:val="002B61EB"/>
    <w:rsid w:val="002B6424"/>
    <w:rsid w:val="002B657C"/>
    <w:rsid w:val="002B6698"/>
    <w:rsid w:val="002B66FE"/>
    <w:rsid w:val="002B673E"/>
    <w:rsid w:val="002B6903"/>
    <w:rsid w:val="002B69CA"/>
    <w:rsid w:val="002B6A04"/>
    <w:rsid w:val="002B6BF9"/>
    <w:rsid w:val="002B6D85"/>
    <w:rsid w:val="002B6D87"/>
    <w:rsid w:val="002B6DB7"/>
    <w:rsid w:val="002B6ECC"/>
    <w:rsid w:val="002B6ED9"/>
    <w:rsid w:val="002B6F14"/>
    <w:rsid w:val="002B7061"/>
    <w:rsid w:val="002B70E4"/>
    <w:rsid w:val="002B7258"/>
    <w:rsid w:val="002B7405"/>
    <w:rsid w:val="002B756F"/>
    <w:rsid w:val="002B775C"/>
    <w:rsid w:val="002B7789"/>
    <w:rsid w:val="002B77D1"/>
    <w:rsid w:val="002B7975"/>
    <w:rsid w:val="002B79E2"/>
    <w:rsid w:val="002B7C3D"/>
    <w:rsid w:val="002B7C49"/>
    <w:rsid w:val="002B7C62"/>
    <w:rsid w:val="002B7EBD"/>
    <w:rsid w:val="002B7F32"/>
    <w:rsid w:val="002B7FF8"/>
    <w:rsid w:val="002C0123"/>
    <w:rsid w:val="002C0174"/>
    <w:rsid w:val="002C02DB"/>
    <w:rsid w:val="002C0499"/>
    <w:rsid w:val="002C04EE"/>
    <w:rsid w:val="002C0506"/>
    <w:rsid w:val="002C050A"/>
    <w:rsid w:val="002C0541"/>
    <w:rsid w:val="002C0579"/>
    <w:rsid w:val="002C061E"/>
    <w:rsid w:val="002C0821"/>
    <w:rsid w:val="002C0907"/>
    <w:rsid w:val="002C090F"/>
    <w:rsid w:val="002C0BB5"/>
    <w:rsid w:val="002C0D9C"/>
    <w:rsid w:val="002C0EAC"/>
    <w:rsid w:val="002C0EF5"/>
    <w:rsid w:val="002C10E3"/>
    <w:rsid w:val="002C114E"/>
    <w:rsid w:val="002C1220"/>
    <w:rsid w:val="002C14D4"/>
    <w:rsid w:val="002C174A"/>
    <w:rsid w:val="002C19EF"/>
    <w:rsid w:val="002C19FB"/>
    <w:rsid w:val="002C1A11"/>
    <w:rsid w:val="002C1B2B"/>
    <w:rsid w:val="002C1B37"/>
    <w:rsid w:val="002C1C43"/>
    <w:rsid w:val="002C1F64"/>
    <w:rsid w:val="002C1FC6"/>
    <w:rsid w:val="002C22CF"/>
    <w:rsid w:val="002C231F"/>
    <w:rsid w:val="002C245A"/>
    <w:rsid w:val="002C2566"/>
    <w:rsid w:val="002C256A"/>
    <w:rsid w:val="002C25F8"/>
    <w:rsid w:val="002C26D1"/>
    <w:rsid w:val="002C2750"/>
    <w:rsid w:val="002C278B"/>
    <w:rsid w:val="002C291A"/>
    <w:rsid w:val="002C2B2D"/>
    <w:rsid w:val="002C2B75"/>
    <w:rsid w:val="002C2B9F"/>
    <w:rsid w:val="002C2D31"/>
    <w:rsid w:val="002C3036"/>
    <w:rsid w:val="002C324D"/>
    <w:rsid w:val="002C328B"/>
    <w:rsid w:val="002C32DF"/>
    <w:rsid w:val="002C3664"/>
    <w:rsid w:val="002C381E"/>
    <w:rsid w:val="002C395F"/>
    <w:rsid w:val="002C39AF"/>
    <w:rsid w:val="002C39D5"/>
    <w:rsid w:val="002C3A9E"/>
    <w:rsid w:val="002C3B2F"/>
    <w:rsid w:val="002C3DB7"/>
    <w:rsid w:val="002C403D"/>
    <w:rsid w:val="002C4069"/>
    <w:rsid w:val="002C410E"/>
    <w:rsid w:val="002C41C6"/>
    <w:rsid w:val="002C42D4"/>
    <w:rsid w:val="002C42DC"/>
    <w:rsid w:val="002C4311"/>
    <w:rsid w:val="002C4351"/>
    <w:rsid w:val="002C4359"/>
    <w:rsid w:val="002C4417"/>
    <w:rsid w:val="002C4429"/>
    <w:rsid w:val="002C446A"/>
    <w:rsid w:val="002C44BD"/>
    <w:rsid w:val="002C44BF"/>
    <w:rsid w:val="002C45B8"/>
    <w:rsid w:val="002C4814"/>
    <w:rsid w:val="002C4942"/>
    <w:rsid w:val="002C49A7"/>
    <w:rsid w:val="002C49C2"/>
    <w:rsid w:val="002C49D2"/>
    <w:rsid w:val="002C4A18"/>
    <w:rsid w:val="002C4B28"/>
    <w:rsid w:val="002C4CC9"/>
    <w:rsid w:val="002C4E51"/>
    <w:rsid w:val="002C4E92"/>
    <w:rsid w:val="002C50B3"/>
    <w:rsid w:val="002C50D6"/>
    <w:rsid w:val="002C50EB"/>
    <w:rsid w:val="002C51DF"/>
    <w:rsid w:val="002C53C2"/>
    <w:rsid w:val="002C5527"/>
    <w:rsid w:val="002C5532"/>
    <w:rsid w:val="002C565E"/>
    <w:rsid w:val="002C5793"/>
    <w:rsid w:val="002C580D"/>
    <w:rsid w:val="002C588C"/>
    <w:rsid w:val="002C5946"/>
    <w:rsid w:val="002C59F0"/>
    <w:rsid w:val="002C5B36"/>
    <w:rsid w:val="002C5B5E"/>
    <w:rsid w:val="002C5BAC"/>
    <w:rsid w:val="002C5BDF"/>
    <w:rsid w:val="002C5D0B"/>
    <w:rsid w:val="002C5DC3"/>
    <w:rsid w:val="002C5EBF"/>
    <w:rsid w:val="002C6057"/>
    <w:rsid w:val="002C61AF"/>
    <w:rsid w:val="002C61B1"/>
    <w:rsid w:val="002C620C"/>
    <w:rsid w:val="002C626D"/>
    <w:rsid w:val="002C6556"/>
    <w:rsid w:val="002C6696"/>
    <w:rsid w:val="002C66A7"/>
    <w:rsid w:val="002C69D7"/>
    <w:rsid w:val="002C6B0C"/>
    <w:rsid w:val="002C6B68"/>
    <w:rsid w:val="002C6CF9"/>
    <w:rsid w:val="002C6D77"/>
    <w:rsid w:val="002C6E2B"/>
    <w:rsid w:val="002C6ED6"/>
    <w:rsid w:val="002C70F8"/>
    <w:rsid w:val="002C7125"/>
    <w:rsid w:val="002C71EA"/>
    <w:rsid w:val="002C71F7"/>
    <w:rsid w:val="002C720E"/>
    <w:rsid w:val="002C727E"/>
    <w:rsid w:val="002C72C8"/>
    <w:rsid w:val="002C738E"/>
    <w:rsid w:val="002C7517"/>
    <w:rsid w:val="002C762D"/>
    <w:rsid w:val="002C7669"/>
    <w:rsid w:val="002C7B75"/>
    <w:rsid w:val="002C7BB1"/>
    <w:rsid w:val="002C7E7A"/>
    <w:rsid w:val="002D002A"/>
    <w:rsid w:val="002D0099"/>
    <w:rsid w:val="002D0128"/>
    <w:rsid w:val="002D0179"/>
    <w:rsid w:val="002D0214"/>
    <w:rsid w:val="002D03E8"/>
    <w:rsid w:val="002D0526"/>
    <w:rsid w:val="002D0558"/>
    <w:rsid w:val="002D08AE"/>
    <w:rsid w:val="002D0A13"/>
    <w:rsid w:val="002D0A64"/>
    <w:rsid w:val="002D0AA2"/>
    <w:rsid w:val="002D0AAE"/>
    <w:rsid w:val="002D0AF3"/>
    <w:rsid w:val="002D0BAE"/>
    <w:rsid w:val="002D0CA9"/>
    <w:rsid w:val="002D0E8D"/>
    <w:rsid w:val="002D0F1C"/>
    <w:rsid w:val="002D0FB4"/>
    <w:rsid w:val="002D1252"/>
    <w:rsid w:val="002D131B"/>
    <w:rsid w:val="002D1494"/>
    <w:rsid w:val="002D14B2"/>
    <w:rsid w:val="002D14BB"/>
    <w:rsid w:val="002D158E"/>
    <w:rsid w:val="002D16BA"/>
    <w:rsid w:val="002D18FD"/>
    <w:rsid w:val="002D1B61"/>
    <w:rsid w:val="002D1B79"/>
    <w:rsid w:val="002D1BA9"/>
    <w:rsid w:val="002D1BC2"/>
    <w:rsid w:val="002D1CCE"/>
    <w:rsid w:val="002D1CDF"/>
    <w:rsid w:val="002D1D33"/>
    <w:rsid w:val="002D1D75"/>
    <w:rsid w:val="002D1DBA"/>
    <w:rsid w:val="002D1DCC"/>
    <w:rsid w:val="002D1DD3"/>
    <w:rsid w:val="002D1F55"/>
    <w:rsid w:val="002D2000"/>
    <w:rsid w:val="002D210B"/>
    <w:rsid w:val="002D221C"/>
    <w:rsid w:val="002D223C"/>
    <w:rsid w:val="002D2274"/>
    <w:rsid w:val="002D253C"/>
    <w:rsid w:val="002D2663"/>
    <w:rsid w:val="002D29F5"/>
    <w:rsid w:val="002D2C41"/>
    <w:rsid w:val="002D2C94"/>
    <w:rsid w:val="002D2F3B"/>
    <w:rsid w:val="002D3040"/>
    <w:rsid w:val="002D30ED"/>
    <w:rsid w:val="002D317D"/>
    <w:rsid w:val="002D3252"/>
    <w:rsid w:val="002D33B9"/>
    <w:rsid w:val="002D352D"/>
    <w:rsid w:val="002D360F"/>
    <w:rsid w:val="002D3811"/>
    <w:rsid w:val="002D389A"/>
    <w:rsid w:val="002D3917"/>
    <w:rsid w:val="002D39E8"/>
    <w:rsid w:val="002D3B4A"/>
    <w:rsid w:val="002D3B52"/>
    <w:rsid w:val="002D3C10"/>
    <w:rsid w:val="002D3D2F"/>
    <w:rsid w:val="002D3DC6"/>
    <w:rsid w:val="002D3F7D"/>
    <w:rsid w:val="002D3F9C"/>
    <w:rsid w:val="002D41F3"/>
    <w:rsid w:val="002D42EA"/>
    <w:rsid w:val="002D4398"/>
    <w:rsid w:val="002D4415"/>
    <w:rsid w:val="002D4643"/>
    <w:rsid w:val="002D4930"/>
    <w:rsid w:val="002D4A15"/>
    <w:rsid w:val="002D4A6E"/>
    <w:rsid w:val="002D4C82"/>
    <w:rsid w:val="002D4C8C"/>
    <w:rsid w:val="002D4DF4"/>
    <w:rsid w:val="002D4F34"/>
    <w:rsid w:val="002D50B8"/>
    <w:rsid w:val="002D53E7"/>
    <w:rsid w:val="002D5435"/>
    <w:rsid w:val="002D5684"/>
    <w:rsid w:val="002D56FF"/>
    <w:rsid w:val="002D5821"/>
    <w:rsid w:val="002D58D1"/>
    <w:rsid w:val="002D5B69"/>
    <w:rsid w:val="002D5C1B"/>
    <w:rsid w:val="002D5C91"/>
    <w:rsid w:val="002D5D4E"/>
    <w:rsid w:val="002D5FF0"/>
    <w:rsid w:val="002D6181"/>
    <w:rsid w:val="002D618D"/>
    <w:rsid w:val="002D63D4"/>
    <w:rsid w:val="002D6465"/>
    <w:rsid w:val="002D6638"/>
    <w:rsid w:val="002D66BA"/>
    <w:rsid w:val="002D66C6"/>
    <w:rsid w:val="002D67EB"/>
    <w:rsid w:val="002D6947"/>
    <w:rsid w:val="002D696D"/>
    <w:rsid w:val="002D6AAF"/>
    <w:rsid w:val="002D6D57"/>
    <w:rsid w:val="002D6EA9"/>
    <w:rsid w:val="002D6F90"/>
    <w:rsid w:val="002D71E1"/>
    <w:rsid w:val="002D7442"/>
    <w:rsid w:val="002D7573"/>
    <w:rsid w:val="002D75E6"/>
    <w:rsid w:val="002D766E"/>
    <w:rsid w:val="002D77FA"/>
    <w:rsid w:val="002D7845"/>
    <w:rsid w:val="002D7B3C"/>
    <w:rsid w:val="002D7C27"/>
    <w:rsid w:val="002D7EA2"/>
    <w:rsid w:val="002E0297"/>
    <w:rsid w:val="002E02F5"/>
    <w:rsid w:val="002E037A"/>
    <w:rsid w:val="002E0393"/>
    <w:rsid w:val="002E0396"/>
    <w:rsid w:val="002E043E"/>
    <w:rsid w:val="002E056A"/>
    <w:rsid w:val="002E05AF"/>
    <w:rsid w:val="002E07A3"/>
    <w:rsid w:val="002E0838"/>
    <w:rsid w:val="002E0850"/>
    <w:rsid w:val="002E086B"/>
    <w:rsid w:val="002E08A1"/>
    <w:rsid w:val="002E0C02"/>
    <w:rsid w:val="002E0E62"/>
    <w:rsid w:val="002E0EC3"/>
    <w:rsid w:val="002E0F7A"/>
    <w:rsid w:val="002E10E1"/>
    <w:rsid w:val="002E11C4"/>
    <w:rsid w:val="002E120A"/>
    <w:rsid w:val="002E1406"/>
    <w:rsid w:val="002E148F"/>
    <w:rsid w:val="002E1810"/>
    <w:rsid w:val="002E1891"/>
    <w:rsid w:val="002E18CF"/>
    <w:rsid w:val="002E1956"/>
    <w:rsid w:val="002E1C0E"/>
    <w:rsid w:val="002E1E4E"/>
    <w:rsid w:val="002E1FA9"/>
    <w:rsid w:val="002E215E"/>
    <w:rsid w:val="002E2180"/>
    <w:rsid w:val="002E219E"/>
    <w:rsid w:val="002E21B5"/>
    <w:rsid w:val="002E220D"/>
    <w:rsid w:val="002E22BB"/>
    <w:rsid w:val="002E22D2"/>
    <w:rsid w:val="002E2498"/>
    <w:rsid w:val="002E27E2"/>
    <w:rsid w:val="002E28B6"/>
    <w:rsid w:val="002E2917"/>
    <w:rsid w:val="002E2AE8"/>
    <w:rsid w:val="002E2D12"/>
    <w:rsid w:val="002E2DEE"/>
    <w:rsid w:val="002E2E7E"/>
    <w:rsid w:val="002E2FF7"/>
    <w:rsid w:val="002E3006"/>
    <w:rsid w:val="002E306B"/>
    <w:rsid w:val="002E30E5"/>
    <w:rsid w:val="002E3239"/>
    <w:rsid w:val="002E32D2"/>
    <w:rsid w:val="002E3356"/>
    <w:rsid w:val="002E34BF"/>
    <w:rsid w:val="002E358C"/>
    <w:rsid w:val="002E3651"/>
    <w:rsid w:val="002E3699"/>
    <w:rsid w:val="002E3916"/>
    <w:rsid w:val="002E39F9"/>
    <w:rsid w:val="002E3A07"/>
    <w:rsid w:val="002E3A18"/>
    <w:rsid w:val="002E3BD5"/>
    <w:rsid w:val="002E3D64"/>
    <w:rsid w:val="002E41BD"/>
    <w:rsid w:val="002E41EE"/>
    <w:rsid w:val="002E4583"/>
    <w:rsid w:val="002E45D0"/>
    <w:rsid w:val="002E45EB"/>
    <w:rsid w:val="002E473D"/>
    <w:rsid w:val="002E4A09"/>
    <w:rsid w:val="002E4CFA"/>
    <w:rsid w:val="002E4E39"/>
    <w:rsid w:val="002E4F28"/>
    <w:rsid w:val="002E50CA"/>
    <w:rsid w:val="002E5164"/>
    <w:rsid w:val="002E51FB"/>
    <w:rsid w:val="002E5542"/>
    <w:rsid w:val="002E58EE"/>
    <w:rsid w:val="002E59DE"/>
    <w:rsid w:val="002E59F4"/>
    <w:rsid w:val="002E5A46"/>
    <w:rsid w:val="002E5ACC"/>
    <w:rsid w:val="002E5B82"/>
    <w:rsid w:val="002E5C5D"/>
    <w:rsid w:val="002E5C6E"/>
    <w:rsid w:val="002E605F"/>
    <w:rsid w:val="002E631F"/>
    <w:rsid w:val="002E6498"/>
    <w:rsid w:val="002E65EA"/>
    <w:rsid w:val="002E6674"/>
    <w:rsid w:val="002E6686"/>
    <w:rsid w:val="002E67EE"/>
    <w:rsid w:val="002E693A"/>
    <w:rsid w:val="002E69E5"/>
    <w:rsid w:val="002E6B2C"/>
    <w:rsid w:val="002E6E5B"/>
    <w:rsid w:val="002E6EE5"/>
    <w:rsid w:val="002E7041"/>
    <w:rsid w:val="002E71F6"/>
    <w:rsid w:val="002E721B"/>
    <w:rsid w:val="002E722A"/>
    <w:rsid w:val="002E730E"/>
    <w:rsid w:val="002E741A"/>
    <w:rsid w:val="002E778D"/>
    <w:rsid w:val="002E7842"/>
    <w:rsid w:val="002E78E4"/>
    <w:rsid w:val="002E799D"/>
    <w:rsid w:val="002E79FD"/>
    <w:rsid w:val="002E7C79"/>
    <w:rsid w:val="002E7DBC"/>
    <w:rsid w:val="002E7F70"/>
    <w:rsid w:val="002F005A"/>
    <w:rsid w:val="002F00F8"/>
    <w:rsid w:val="002F01F5"/>
    <w:rsid w:val="002F0679"/>
    <w:rsid w:val="002F074E"/>
    <w:rsid w:val="002F0809"/>
    <w:rsid w:val="002F0824"/>
    <w:rsid w:val="002F08D3"/>
    <w:rsid w:val="002F091D"/>
    <w:rsid w:val="002F0B70"/>
    <w:rsid w:val="002F0B7E"/>
    <w:rsid w:val="002F0B9E"/>
    <w:rsid w:val="002F0DF0"/>
    <w:rsid w:val="002F0E10"/>
    <w:rsid w:val="002F1093"/>
    <w:rsid w:val="002F11C7"/>
    <w:rsid w:val="002F11D0"/>
    <w:rsid w:val="002F1235"/>
    <w:rsid w:val="002F136D"/>
    <w:rsid w:val="002F1434"/>
    <w:rsid w:val="002F146B"/>
    <w:rsid w:val="002F14AD"/>
    <w:rsid w:val="002F16A9"/>
    <w:rsid w:val="002F1813"/>
    <w:rsid w:val="002F18A8"/>
    <w:rsid w:val="002F1988"/>
    <w:rsid w:val="002F19CC"/>
    <w:rsid w:val="002F1BD6"/>
    <w:rsid w:val="002F1C11"/>
    <w:rsid w:val="002F1C30"/>
    <w:rsid w:val="002F1D47"/>
    <w:rsid w:val="002F1D7C"/>
    <w:rsid w:val="002F1DE4"/>
    <w:rsid w:val="002F1E70"/>
    <w:rsid w:val="002F1EEC"/>
    <w:rsid w:val="002F1F86"/>
    <w:rsid w:val="002F1F9B"/>
    <w:rsid w:val="002F1FD0"/>
    <w:rsid w:val="002F2029"/>
    <w:rsid w:val="002F2046"/>
    <w:rsid w:val="002F2058"/>
    <w:rsid w:val="002F21FF"/>
    <w:rsid w:val="002F2349"/>
    <w:rsid w:val="002F2353"/>
    <w:rsid w:val="002F2403"/>
    <w:rsid w:val="002F2438"/>
    <w:rsid w:val="002F2582"/>
    <w:rsid w:val="002F26D8"/>
    <w:rsid w:val="002F272A"/>
    <w:rsid w:val="002F282B"/>
    <w:rsid w:val="002F28F4"/>
    <w:rsid w:val="002F2937"/>
    <w:rsid w:val="002F2A06"/>
    <w:rsid w:val="002F2B40"/>
    <w:rsid w:val="002F2BC8"/>
    <w:rsid w:val="002F2C0E"/>
    <w:rsid w:val="002F2D6E"/>
    <w:rsid w:val="002F2E21"/>
    <w:rsid w:val="002F2E7C"/>
    <w:rsid w:val="002F2F24"/>
    <w:rsid w:val="002F3195"/>
    <w:rsid w:val="002F323D"/>
    <w:rsid w:val="002F32A5"/>
    <w:rsid w:val="002F32BF"/>
    <w:rsid w:val="002F32CF"/>
    <w:rsid w:val="002F32FD"/>
    <w:rsid w:val="002F347F"/>
    <w:rsid w:val="002F34AA"/>
    <w:rsid w:val="002F36A5"/>
    <w:rsid w:val="002F3735"/>
    <w:rsid w:val="002F376C"/>
    <w:rsid w:val="002F38EC"/>
    <w:rsid w:val="002F3A8B"/>
    <w:rsid w:val="002F3C60"/>
    <w:rsid w:val="002F3CF4"/>
    <w:rsid w:val="002F3D83"/>
    <w:rsid w:val="002F3EE4"/>
    <w:rsid w:val="002F3F7B"/>
    <w:rsid w:val="002F3FC1"/>
    <w:rsid w:val="002F40E1"/>
    <w:rsid w:val="002F4122"/>
    <w:rsid w:val="002F42B7"/>
    <w:rsid w:val="002F42C2"/>
    <w:rsid w:val="002F45DD"/>
    <w:rsid w:val="002F4AFA"/>
    <w:rsid w:val="002F4B02"/>
    <w:rsid w:val="002F4BD8"/>
    <w:rsid w:val="002F4BE7"/>
    <w:rsid w:val="002F4D3B"/>
    <w:rsid w:val="002F4D41"/>
    <w:rsid w:val="002F4D79"/>
    <w:rsid w:val="002F4EBC"/>
    <w:rsid w:val="002F509E"/>
    <w:rsid w:val="002F512C"/>
    <w:rsid w:val="002F5176"/>
    <w:rsid w:val="002F51B2"/>
    <w:rsid w:val="002F51C0"/>
    <w:rsid w:val="002F52D1"/>
    <w:rsid w:val="002F52F7"/>
    <w:rsid w:val="002F5321"/>
    <w:rsid w:val="002F532D"/>
    <w:rsid w:val="002F5350"/>
    <w:rsid w:val="002F53CF"/>
    <w:rsid w:val="002F5512"/>
    <w:rsid w:val="002F55EE"/>
    <w:rsid w:val="002F5626"/>
    <w:rsid w:val="002F562C"/>
    <w:rsid w:val="002F5738"/>
    <w:rsid w:val="002F57C2"/>
    <w:rsid w:val="002F5A18"/>
    <w:rsid w:val="002F5E18"/>
    <w:rsid w:val="002F5F18"/>
    <w:rsid w:val="002F5F56"/>
    <w:rsid w:val="002F6242"/>
    <w:rsid w:val="002F62EB"/>
    <w:rsid w:val="002F62EC"/>
    <w:rsid w:val="002F6431"/>
    <w:rsid w:val="002F6470"/>
    <w:rsid w:val="002F6471"/>
    <w:rsid w:val="002F6479"/>
    <w:rsid w:val="002F651C"/>
    <w:rsid w:val="002F6559"/>
    <w:rsid w:val="002F667F"/>
    <w:rsid w:val="002F67A7"/>
    <w:rsid w:val="002F69E1"/>
    <w:rsid w:val="002F6B13"/>
    <w:rsid w:val="002F6D57"/>
    <w:rsid w:val="002F6DBB"/>
    <w:rsid w:val="002F6EBC"/>
    <w:rsid w:val="002F6F84"/>
    <w:rsid w:val="002F6F8B"/>
    <w:rsid w:val="002F7161"/>
    <w:rsid w:val="002F71FD"/>
    <w:rsid w:val="002F7211"/>
    <w:rsid w:val="002F7280"/>
    <w:rsid w:val="002F72B0"/>
    <w:rsid w:val="002F73C4"/>
    <w:rsid w:val="002F7621"/>
    <w:rsid w:val="002F76B8"/>
    <w:rsid w:val="002F7734"/>
    <w:rsid w:val="002F7788"/>
    <w:rsid w:val="002F7830"/>
    <w:rsid w:val="002F7B41"/>
    <w:rsid w:val="002F7B9A"/>
    <w:rsid w:val="002F7BBF"/>
    <w:rsid w:val="002F7CD5"/>
    <w:rsid w:val="002F7D16"/>
    <w:rsid w:val="002F7DD6"/>
    <w:rsid w:val="003000A1"/>
    <w:rsid w:val="003000E2"/>
    <w:rsid w:val="003001BC"/>
    <w:rsid w:val="0030023E"/>
    <w:rsid w:val="003003D5"/>
    <w:rsid w:val="003005FC"/>
    <w:rsid w:val="00300742"/>
    <w:rsid w:val="0030079B"/>
    <w:rsid w:val="003008B3"/>
    <w:rsid w:val="003009B2"/>
    <w:rsid w:val="00300BD6"/>
    <w:rsid w:val="00300C0B"/>
    <w:rsid w:val="00300CD2"/>
    <w:rsid w:val="00300CFB"/>
    <w:rsid w:val="00300D15"/>
    <w:rsid w:val="00300FD4"/>
    <w:rsid w:val="00301112"/>
    <w:rsid w:val="003011AB"/>
    <w:rsid w:val="003011CF"/>
    <w:rsid w:val="003011F6"/>
    <w:rsid w:val="003012C6"/>
    <w:rsid w:val="003013C2"/>
    <w:rsid w:val="00301407"/>
    <w:rsid w:val="0030150E"/>
    <w:rsid w:val="003015AD"/>
    <w:rsid w:val="003015B9"/>
    <w:rsid w:val="0030164C"/>
    <w:rsid w:val="003016B5"/>
    <w:rsid w:val="003016C1"/>
    <w:rsid w:val="00301703"/>
    <w:rsid w:val="003017C0"/>
    <w:rsid w:val="003017FB"/>
    <w:rsid w:val="0030180D"/>
    <w:rsid w:val="00301891"/>
    <w:rsid w:val="00301902"/>
    <w:rsid w:val="00301A18"/>
    <w:rsid w:val="00301AEB"/>
    <w:rsid w:val="00301B66"/>
    <w:rsid w:val="00301BE1"/>
    <w:rsid w:val="00301C3B"/>
    <w:rsid w:val="00301D42"/>
    <w:rsid w:val="00301D4A"/>
    <w:rsid w:val="00301DBA"/>
    <w:rsid w:val="00301E90"/>
    <w:rsid w:val="00301F64"/>
    <w:rsid w:val="00302096"/>
    <w:rsid w:val="00302310"/>
    <w:rsid w:val="0030238D"/>
    <w:rsid w:val="003023AA"/>
    <w:rsid w:val="00302492"/>
    <w:rsid w:val="00302642"/>
    <w:rsid w:val="00302758"/>
    <w:rsid w:val="0030281B"/>
    <w:rsid w:val="00302941"/>
    <w:rsid w:val="00302A9B"/>
    <w:rsid w:val="00302CAC"/>
    <w:rsid w:val="00302D31"/>
    <w:rsid w:val="00302E7B"/>
    <w:rsid w:val="00302EE9"/>
    <w:rsid w:val="00302FEE"/>
    <w:rsid w:val="00303062"/>
    <w:rsid w:val="00303152"/>
    <w:rsid w:val="00303161"/>
    <w:rsid w:val="003031FD"/>
    <w:rsid w:val="0030340C"/>
    <w:rsid w:val="00303519"/>
    <w:rsid w:val="0030351C"/>
    <w:rsid w:val="00303604"/>
    <w:rsid w:val="00303726"/>
    <w:rsid w:val="0030372A"/>
    <w:rsid w:val="0030385D"/>
    <w:rsid w:val="00303A22"/>
    <w:rsid w:val="00303BA8"/>
    <w:rsid w:val="00303BF1"/>
    <w:rsid w:val="00303C0A"/>
    <w:rsid w:val="00303E9A"/>
    <w:rsid w:val="00303F56"/>
    <w:rsid w:val="00303F91"/>
    <w:rsid w:val="00304206"/>
    <w:rsid w:val="0030432B"/>
    <w:rsid w:val="0030458D"/>
    <w:rsid w:val="003045E2"/>
    <w:rsid w:val="00304754"/>
    <w:rsid w:val="00304A61"/>
    <w:rsid w:val="00304A7E"/>
    <w:rsid w:val="00304AA2"/>
    <w:rsid w:val="00304C3C"/>
    <w:rsid w:val="00304CE0"/>
    <w:rsid w:val="00304D7D"/>
    <w:rsid w:val="00304E12"/>
    <w:rsid w:val="00304E42"/>
    <w:rsid w:val="00304EB2"/>
    <w:rsid w:val="00304FA5"/>
    <w:rsid w:val="003050ED"/>
    <w:rsid w:val="00305274"/>
    <w:rsid w:val="003052A4"/>
    <w:rsid w:val="003052E3"/>
    <w:rsid w:val="003053D7"/>
    <w:rsid w:val="00305436"/>
    <w:rsid w:val="003055C1"/>
    <w:rsid w:val="0030569E"/>
    <w:rsid w:val="00305751"/>
    <w:rsid w:val="0030596A"/>
    <w:rsid w:val="003059A0"/>
    <w:rsid w:val="00305A25"/>
    <w:rsid w:val="00305B07"/>
    <w:rsid w:val="00305B28"/>
    <w:rsid w:val="00305B64"/>
    <w:rsid w:val="00305BED"/>
    <w:rsid w:val="00305DF3"/>
    <w:rsid w:val="00305E97"/>
    <w:rsid w:val="003060F2"/>
    <w:rsid w:val="00306192"/>
    <w:rsid w:val="003062AD"/>
    <w:rsid w:val="003065C2"/>
    <w:rsid w:val="0030664C"/>
    <w:rsid w:val="00306786"/>
    <w:rsid w:val="003067C7"/>
    <w:rsid w:val="00306A56"/>
    <w:rsid w:val="00306CBC"/>
    <w:rsid w:val="00306CD6"/>
    <w:rsid w:val="00306CD7"/>
    <w:rsid w:val="00306CE3"/>
    <w:rsid w:val="00307072"/>
    <w:rsid w:val="003070B0"/>
    <w:rsid w:val="00307157"/>
    <w:rsid w:val="0030716E"/>
    <w:rsid w:val="00307212"/>
    <w:rsid w:val="003072A9"/>
    <w:rsid w:val="00307315"/>
    <w:rsid w:val="003073BE"/>
    <w:rsid w:val="0030755B"/>
    <w:rsid w:val="0030789C"/>
    <w:rsid w:val="00307956"/>
    <w:rsid w:val="003079C8"/>
    <w:rsid w:val="003079DE"/>
    <w:rsid w:val="00307A22"/>
    <w:rsid w:val="00307A35"/>
    <w:rsid w:val="00307C42"/>
    <w:rsid w:val="00307CCB"/>
    <w:rsid w:val="00307CD8"/>
    <w:rsid w:val="00307EE7"/>
    <w:rsid w:val="00307F34"/>
    <w:rsid w:val="00307F4F"/>
    <w:rsid w:val="003100B2"/>
    <w:rsid w:val="003100D6"/>
    <w:rsid w:val="003102E9"/>
    <w:rsid w:val="0031056C"/>
    <w:rsid w:val="0031072B"/>
    <w:rsid w:val="0031075C"/>
    <w:rsid w:val="00310840"/>
    <w:rsid w:val="00310917"/>
    <w:rsid w:val="00310DEC"/>
    <w:rsid w:val="00310E20"/>
    <w:rsid w:val="00310FFA"/>
    <w:rsid w:val="00311120"/>
    <w:rsid w:val="0031114A"/>
    <w:rsid w:val="00311238"/>
    <w:rsid w:val="0031124F"/>
    <w:rsid w:val="003112B4"/>
    <w:rsid w:val="0031145B"/>
    <w:rsid w:val="0031154F"/>
    <w:rsid w:val="003115D8"/>
    <w:rsid w:val="00311856"/>
    <w:rsid w:val="00311A4D"/>
    <w:rsid w:val="00311AE9"/>
    <w:rsid w:val="00311B5D"/>
    <w:rsid w:val="00311B8B"/>
    <w:rsid w:val="00311E05"/>
    <w:rsid w:val="00311E3C"/>
    <w:rsid w:val="00311F21"/>
    <w:rsid w:val="00312431"/>
    <w:rsid w:val="003125C9"/>
    <w:rsid w:val="00312602"/>
    <w:rsid w:val="0031266C"/>
    <w:rsid w:val="00312692"/>
    <w:rsid w:val="00312775"/>
    <w:rsid w:val="00312792"/>
    <w:rsid w:val="003127DD"/>
    <w:rsid w:val="003128CE"/>
    <w:rsid w:val="00312951"/>
    <w:rsid w:val="00312A60"/>
    <w:rsid w:val="00312A7F"/>
    <w:rsid w:val="00312C6C"/>
    <w:rsid w:val="00312CDD"/>
    <w:rsid w:val="00312E4E"/>
    <w:rsid w:val="00313027"/>
    <w:rsid w:val="00313102"/>
    <w:rsid w:val="00313178"/>
    <w:rsid w:val="003134D4"/>
    <w:rsid w:val="003135EE"/>
    <w:rsid w:val="0031373C"/>
    <w:rsid w:val="003137F7"/>
    <w:rsid w:val="0031381E"/>
    <w:rsid w:val="00313951"/>
    <w:rsid w:val="003139A1"/>
    <w:rsid w:val="003139F7"/>
    <w:rsid w:val="00313A25"/>
    <w:rsid w:val="00313A35"/>
    <w:rsid w:val="00313AD7"/>
    <w:rsid w:val="00313B35"/>
    <w:rsid w:val="00313B6B"/>
    <w:rsid w:val="00313F28"/>
    <w:rsid w:val="003141A4"/>
    <w:rsid w:val="00314271"/>
    <w:rsid w:val="00314492"/>
    <w:rsid w:val="003145D9"/>
    <w:rsid w:val="003145DA"/>
    <w:rsid w:val="00314632"/>
    <w:rsid w:val="0031467D"/>
    <w:rsid w:val="003146C9"/>
    <w:rsid w:val="003147C4"/>
    <w:rsid w:val="0031491F"/>
    <w:rsid w:val="00314976"/>
    <w:rsid w:val="0031498D"/>
    <w:rsid w:val="00314BBA"/>
    <w:rsid w:val="00314C2F"/>
    <w:rsid w:val="00314C90"/>
    <w:rsid w:val="00314E25"/>
    <w:rsid w:val="00314E31"/>
    <w:rsid w:val="00314E8B"/>
    <w:rsid w:val="00314EA9"/>
    <w:rsid w:val="00314F8A"/>
    <w:rsid w:val="00314FCB"/>
    <w:rsid w:val="0031501B"/>
    <w:rsid w:val="003150E6"/>
    <w:rsid w:val="00315161"/>
    <w:rsid w:val="00315366"/>
    <w:rsid w:val="00315547"/>
    <w:rsid w:val="003155B9"/>
    <w:rsid w:val="003156EE"/>
    <w:rsid w:val="00315768"/>
    <w:rsid w:val="0031577F"/>
    <w:rsid w:val="003157DA"/>
    <w:rsid w:val="003158BC"/>
    <w:rsid w:val="00315B09"/>
    <w:rsid w:val="00315B97"/>
    <w:rsid w:val="00315C09"/>
    <w:rsid w:val="00315C35"/>
    <w:rsid w:val="00315CC2"/>
    <w:rsid w:val="00315CD5"/>
    <w:rsid w:val="00315E26"/>
    <w:rsid w:val="00315EB7"/>
    <w:rsid w:val="00315F59"/>
    <w:rsid w:val="0031633E"/>
    <w:rsid w:val="0031644B"/>
    <w:rsid w:val="003165CA"/>
    <w:rsid w:val="00316608"/>
    <w:rsid w:val="0031660A"/>
    <w:rsid w:val="003166F7"/>
    <w:rsid w:val="003168AD"/>
    <w:rsid w:val="00316979"/>
    <w:rsid w:val="00316A20"/>
    <w:rsid w:val="00316A42"/>
    <w:rsid w:val="00316B84"/>
    <w:rsid w:val="00316CA8"/>
    <w:rsid w:val="00316EC7"/>
    <w:rsid w:val="00316EDC"/>
    <w:rsid w:val="00316EE4"/>
    <w:rsid w:val="0031707D"/>
    <w:rsid w:val="003170E6"/>
    <w:rsid w:val="00317320"/>
    <w:rsid w:val="00317457"/>
    <w:rsid w:val="00317510"/>
    <w:rsid w:val="0031754E"/>
    <w:rsid w:val="00317622"/>
    <w:rsid w:val="0031763B"/>
    <w:rsid w:val="00317814"/>
    <w:rsid w:val="00317842"/>
    <w:rsid w:val="00317851"/>
    <w:rsid w:val="003178EF"/>
    <w:rsid w:val="00317954"/>
    <w:rsid w:val="00317C3B"/>
    <w:rsid w:val="00317D23"/>
    <w:rsid w:val="00317D5F"/>
    <w:rsid w:val="00317F02"/>
    <w:rsid w:val="00317F1C"/>
    <w:rsid w:val="0032013F"/>
    <w:rsid w:val="0032016A"/>
    <w:rsid w:val="003201AA"/>
    <w:rsid w:val="003203F6"/>
    <w:rsid w:val="003204BF"/>
    <w:rsid w:val="00320800"/>
    <w:rsid w:val="00320862"/>
    <w:rsid w:val="003208C9"/>
    <w:rsid w:val="0032095B"/>
    <w:rsid w:val="00320977"/>
    <w:rsid w:val="00320A46"/>
    <w:rsid w:val="00320BB6"/>
    <w:rsid w:val="00320D46"/>
    <w:rsid w:val="00320EB9"/>
    <w:rsid w:val="00320FC1"/>
    <w:rsid w:val="00321031"/>
    <w:rsid w:val="0032103E"/>
    <w:rsid w:val="0032119D"/>
    <w:rsid w:val="0032131B"/>
    <w:rsid w:val="00321327"/>
    <w:rsid w:val="0032138E"/>
    <w:rsid w:val="00321397"/>
    <w:rsid w:val="003214C6"/>
    <w:rsid w:val="00321592"/>
    <w:rsid w:val="00321595"/>
    <w:rsid w:val="00321609"/>
    <w:rsid w:val="0032163C"/>
    <w:rsid w:val="003216E5"/>
    <w:rsid w:val="00321866"/>
    <w:rsid w:val="0032186D"/>
    <w:rsid w:val="00321898"/>
    <w:rsid w:val="003219BC"/>
    <w:rsid w:val="00321BB4"/>
    <w:rsid w:val="00321D5A"/>
    <w:rsid w:val="00321D9B"/>
    <w:rsid w:val="00321E36"/>
    <w:rsid w:val="00321E47"/>
    <w:rsid w:val="003221A2"/>
    <w:rsid w:val="003221ED"/>
    <w:rsid w:val="003223F0"/>
    <w:rsid w:val="0032248B"/>
    <w:rsid w:val="0032251A"/>
    <w:rsid w:val="00322552"/>
    <w:rsid w:val="00322564"/>
    <w:rsid w:val="003226B4"/>
    <w:rsid w:val="003227D6"/>
    <w:rsid w:val="00322843"/>
    <w:rsid w:val="0032287C"/>
    <w:rsid w:val="00322A1F"/>
    <w:rsid w:val="00322C60"/>
    <w:rsid w:val="00322DBD"/>
    <w:rsid w:val="00322E6F"/>
    <w:rsid w:val="0032301D"/>
    <w:rsid w:val="00323132"/>
    <w:rsid w:val="003233C1"/>
    <w:rsid w:val="00323565"/>
    <w:rsid w:val="0032356F"/>
    <w:rsid w:val="00323598"/>
    <w:rsid w:val="003236DD"/>
    <w:rsid w:val="003239A2"/>
    <w:rsid w:val="00323B32"/>
    <w:rsid w:val="00323C5F"/>
    <w:rsid w:val="00323DC7"/>
    <w:rsid w:val="00323E33"/>
    <w:rsid w:val="00323EB0"/>
    <w:rsid w:val="00323F40"/>
    <w:rsid w:val="003241DE"/>
    <w:rsid w:val="00324270"/>
    <w:rsid w:val="0032427F"/>
    <w:rsid w:val="003244D5"/>
    <w:rsid w:val="003245FE"/>
    <w:rsid w:val="003246C4"/>
    <w:rsid w:val="0032475A"/>
    <w:rsid w:val="00324861"/>
    <w:rsid w:val="00324940"/>
    <w:rsid w:val="0032494B"/>
    <w:rsid w:val="00324B30"/>
    <w:rsid w:val="00324BA0"/>
    <w:rsid w:val="00324D71"/>
    <w:rsid w:val="00324E9B"/>
    <w:rsid w:val="00324EE3"/>
    <w:rsid w:val="00324F62"/>
    <w:rsid w:val="00325072"/>
    <w:rsid w:val="003250FA"/>
    <w:rsid w:val="0032527B"/>
    <w:rsid w:val="003253E2"/>
    <w:rsid w:val="003254F7"/>
    <w:rsid w:val="003259B8"/>
    <w:rsid w:val="00325B3A"/>
    <w:rsid w:val="00325C27"/>
    <w:rsid w:val="0032611F"/>
    <w:rsid w:val="003261AA"/>
    <w:rsid w:val="003263A4"/>
    <w:rsid w:val="003263ED"/>
    <w:rsid w:val="0032641F"/>
    <w:rsid w:val="00326510"/>
    <w:rsid w:val="003266BA"/>
    <w:rsid w:val="003266EE"/>
    <w:rsid w:val="0032683C"/>
    <w:rsid w:val="00326987"/>
    <w:rsid w:val="003269DF"/>
    <w:rsid w:val="00326CCB"/>
    <w:rsid w:val="00326E5F"/>
    <w:rsid w:val="00326EB6"/>
    <w:rsid w:val="00326ED3"/>
    <w:rsid w:val="0032706C"/>
    <w:rsid w:val="0032707B"/>
    <w:rsid w:val="00327162"/>
    <w:rsid w:val="003272D0"/>
    <w:rsid w:val="003273DA"/>
    <w:rsid w:val="00327520"/>
    <w:rsid w:val="003275CD"/>
    <w:rsid w:val="0032761F"/>
    <w:rsid w:val="00327761"/>
    <w:rsid w:val="00327B62"/>
    <w:rsid w:val="00327BD8"/>
    <w:rsid w:val="00327E51"/>
    <w:rsid w:val="00327F82"/>
    <w:rsid w:val="00327FEF"/>
    <w:rsid w:val="00327FF4"/>
    <w:rsid w:val="00327FFD"/>
    <w:rsid w:val="003302FB"/>
    <w:rsid w:val="0033032E"/>
    <w:rsid w:val="003303A3"/>
    <w:rsid w:val="0033041D"/>
    <w:rsid w:val="003305FD"/>
    <w:rsid w:val="003306B4"/>
    <w:rsid w:val="00330741"/>
    <w:rsid w:val="0033077D"/>
    <w:rsid w:val="00330781"/>
    <w:rsid w:val="0033091A"/>
    <w:rsid w:val="00330B50"/>
    <w:rsid w:val="00330B95"/>
    <w:rsid w:val="00330CC5"/>
    <w:rsid w:val="00330D9C"/>
    <w:rsid w:val="00330DFC"/>
    <w:rsid w:val="00330E88"/>
    <w:rsid w:val="00330EFB"/>
    <w:rsid w:val="0033100B"/>
    <w:rsid w:val="00331185"/>
    <w:rsid w:val="003311C0"/>
    <w:rsid w:val="00331215"/>
    <w:rsid w:val="0033125B"/>
    <w:rsid w:val="003312C0"/>
    <w:rsid w:val="00331334"/>
    <w:rsid w:val="0033144B"/>
    <w:rsid w:val="003314C2"/>
    <w:rsid w:val="0033154A"/>
    <w:rsid w:val="00331631"/>
    <w:rsid w:val="00331764"/>
    <w:rsid w:val="00331783"/>
    <w:rsid w:val="0033179A"/>
    <w:rsid w:val="003317BC"/>
    <w:rsid w:val="00331842"/>
    <w:rsid w:val="003318B1"/>
    <w:rsid w:val="00331B35"/>
    <w:rsid w:val="00331C58"/>
    <w:rsid w:val="00331D1A"/>
    <w:rsid w:val="00331D2E"/>
    <w:rsid w:val="00331D62"/>
    <w:rsid w:val="00332117"/>
    <w:rsid w:val="0033224E"/>
    <w:rsid w:val="00332309"/>
    <w:rsid w:val="00332340"/>
    <w:rsid w:val="003323C7"/>
    <w:rsid w:val="003324C1"/>
    <w:rsid w:val="0033289D"/>
    <w:rsid w:val="00332B2C"/>
    <w:rsid w:val="00332DDC"/>
    <w:rsid w:val="00332E2B"/>
    <w:rsid w:val="00332E71"/>
    <w:rsid w:val="00332E9F"/>
    <w:rsid w:val="00332F18"/>
    <w:rsid w:val="00332F73"/>
    <w:rsid w:val="003330EF"/>
    <w:rsid w:val="00333153"/>
    <w:rsid w:val="00333341"/>
    <w:rsid w:val="0033340F"/>
    <w:rsid w:val="0033343F"/>
    <w:rsid w:val="00333497"/>
    <w:rsid w:val="0033350E"/>
    <w:rsid w:val="0033355D"/>
    <w:rsid w:val="0033366E"/>
    <w:rsid w:val="0033370C"/>
    <w:rsid w:val="0033372B"/>
    <w:rsid w:val="003337A2"/>
    <w:rsid w:val="003337EA"/>
    <w:rsid w:val="00333832"/>
    <w:rsid w:val="00333855"/>
    <w:rsid w:val="003338EC"/>
    <w:rsid w:val="00333927"/>
    <w:rsid w:val="003339F5"/>
    <w:rsid w:val="00333A11"/>
    <w:rsid w:val="00333AD9"/>
    <w:rsid w:val="00333B52"/>
    <w:rsid w:val="00333C0D"/>
    <w:rsid w:val="00333C49"/>
    <w:rsid w:val="00333F48"/>
    <w:rsid w:val="00334033"/>
    <w:rsid w:val="00334191"/>
    <w:rsid w:val="003342BE"/>
    <w:rsid w:val="00334309"/>
    <w:rsid w:val="003343C6"/>
    <w:rsid w:val="003343E7"/>
    <w:rsid w:val="00334425"/>
    <w:rsid w:val="003344D1"/>
    <w:rsid w:val="003345EA"/>
    <w:rsid w:val="00334767"/>
    <w:rsid w:val="003348A1"/>
    <w:rsid w:val="00334AD5"/>
    <w:rsid w:val="00334B19"/>
    <w:rsid w:val="00334DC4"/>
    <w:rsid w:val="00334FE3"/>
    <w:rsid w:val="00335200"/>
    <w:rsid w:val="0033527B"/>
    <w:rsid w:val="00335293"/>
    <w:rsid w:val="0033545D"/>
    <w:rsid w:val="0033552A"/>
    <w:rsid w:val="003356BF"/>
    <w:rsid w:val="0033571B"/>
    <w:rsid w:val="0033574E"/>
    <w:rsid w:val="00335823"/>
    <w:rsid w:val="00335B02"/>
    <w:rsid w:val="00335B0A"/>
    <w:rsid w:val="00335CCF"/>
    <w:rsid w:val="00335E0B"/>
    <w:rsid w:val="00335EBE"/>
    <w:rsid w:val="00335F92"/>
    <w:rsid w:val="00336018"/>
    <w:rsid w:val="003360ED"/>
    <w:rsid w:val="003360F0"/>
    <w:rsid w:val="003361AA"/>
    <w:rsid w:val="003361C6"/>
    <w:rsid w:val="00336238"/>
    <w:rsid w:val="0033642E"/>
    <w:rsid w:val="00336498"/>
    <w:rsid w:val="003364D0"/>
    <w:rsid w:val="003366A4"/>
    <w:rsid w:val="003368FE"/>
    <w:rsid w:val="00336A99"/>
    <w:rsid w:val="00336AB4"/>
    <w:rsid w:val="00336C28"/>
    <w:rsid w:val="00336D42"/>
    <w:rsid w:val="00336DEC"/>
    <w:rsid w:val="00336E1F"/>
    <w:rsid w:val="00336EB7"/>
    <w:rsid w:val="00336EFC"/>
    <w:rsid w:val="00336F53"/>
    <w:rsid w:val="00336F5C"/>
    <w:rsid w:val="00336FD4"/>
    <w:rsid w:val="00337175"/>
    <w:rsid w:val="00337179"/>
    <w:rsid w:val="003371EB"/>
    <w:rsid w:val="00337259"/>
    <w:rsid w:val="003372A9"/>
    <w:rsid w:val="00337321"/>
    <w:rsid w:val="0033752A"/>
    <w:rsid w:val="0033773E"/>
    <w:rsid w:val="003378D0"/>
    <w:rsid w:val="00337BAE"/>
    <w:rsid w:val="00337C8D"/>
    <w:rsid w:val="00337E41"/>
    <w:rsid w:val="00337FFB"/>
    <w:rsid w:val="003400F7"/>
    <w:rsid w:val="0034031E"/>
    <w:rsid w:val="00340382"/>
    <w:rsid w:val="003404C2"/>
    <w:rsid w:val="0034054F"/>
    <w:rsid w:val="00340666"/>
    <w:rsid w:val="003407B7"/>
    <w:rsid w:val="00340B02"/>
    <w:rsid w:val="00340BDC"/>
    <w:rsid w:val="00340C0E"/>
    <w:rsid w:val="00340C48"/>
    <w:rsid w:val="00340CA8"/>
    <w:rsid w:val="00340E51"/>
    <w:rsid w:val="00341070"/>
    <w:rsid w:val="0034113F"/>
    <w:rsid w:val="0034124C"/>
    <w:rsid w:val="0034124F"/>
    <w:rsid w:val="003413C5"/>
    <w:rsid w:val="0034144C"/>
    <w:rsid w:val="0034179C"/>
    <w:rsid w:val="0034183A"/>
    <w:rsid w:val="003419A0"/>
    <w:rsid w:val="00341AA0"/>
    <w:rsid w:val="00341B76"/>
    <w:rsid w:val="00341BD8"/>
    <w:rsid w:val="00341CC4"/>
    <w:rsid w:val="00341DBA"/>
    <w:rsid w:val="00341E28"/>
    <w:rsid w:val="00342009"/>
    <w:rsid w:val="00342013"/>
    <w:rsid w:val="003420DC"/>
    <w:rsid w:val="003420DD"/>
    <w:rsid w:val="00342128"/>
    <w:rsid w:val="0034216F"/>
    <w:rsid w:val="003422F6"/>
    <w:rsid w:val="0034235B"/>
    <w:rsid w:val="003424D0"/>
    <w:rsid w:val="00342587"/>
    <w:rsid w:val="003425F5"/>
    <w:rsid w:val="00342614"/>
    <w:rsid w:val="0034269A"/>
    <w:rsid w:val="00342768"/>
    <w:rsid w:val="0034282A"/>
    <w:rsid w:val="00342B4F"/>
    <w:rsid w:val="00342BAF"/>
    <w:rsid w:val="00342C3F"/>
    <w:rsid w:val="00342D0E"/>
    <w:rsid w:val="00342D72"/>
    <w:rsid w:val="00342E06"/>
    <w:rsid w:val="00342E4C"/>
    <w:rsid w:val="00342EB5"/>
    <w:rsid w:val="003430A6"/>
    <w:rsid w:val="003430CC"/>
    <w:rsid w:val="0034320C"/>
    <w:rsid w:val="003433F2"/>
    <w:rsid w:val="0034344C"/>
    <w:rsid w:val="0034345A"/>
    <w:rsid w:val="0034356D"/>
    <w:rsid w:val="003435E3"/>
    <w:rsid w:val="003435F6"/>
    <w:rsid w:val="00343732"/>
    <w:rsid w:val="00343758"/>
    <w:rsid w:val="0034393A"/>
    <w:rsid w:val="003439F5"/>
    <w:rsid w:val="00343A45"/>
    <w:rsid w:val="00343B08"/>
    <w:rsid w:val="00343C42"/>
    <w:rsid w:val="00343EA5"/>
    <w:rsid w:val="00343EB5"/>
    <w:rsid w:val="00343F25"/>
    <w:rsid w:val="00344201"/>
    <w:rsid w:val="00344270"/>
    <w:rsid w:val="003442FE"/>
    <w:rsid w:val="003445F8"/>
    <w:rsid w:val="0034471B"/>
    <w:rsid w:val="00344A94"/>
    <w:rsid w:val="00344BC0"/>
    <w:rsid w:val="00344CFD"/>
    <w:rsid w:val="00344E39"/>
    <w:rsid w:val="00345204"/>
    <w:rsid w:val="003454D3"/>
    <w:rsid w:val="00345669"/>
    <w:rsid w:val="003456A3"/>
    <w:rsid w:val="00345813"/>
    <w:rsid w:val="003458BF"/>
    <w:rsid w:val="003458DB"/>
    <w:rsid w:val="00345994"/>
    <w:rsid w:val="00345CD0"/>
    <w:rsid w:val="00345EFB"/>
    <w:rsid w:val="00345EFD"/>
    <w:rsid w:val="00345FAB"/>
    <w:rsid w:val="00346099"/>
    <w:rsid w:val="003461E4"/>
    <w:rsid w:val="00346249"/>
    <w:rsid w:val="00346338"/>
    <w:rsid w:val="0034659E"/>
    <w:rsid w:val="0034661B"/>
    <w:rsid w:val="003466C9"/>
    <w:rsid w:val="0034680D"/>
    <w:rsid w:val="0034682D"/>
    <w:rsid w:val="00346888"/>
    <w:rsid w:val="003469B4"/>
    <w:rsid w:val="00346A68"/>
    <w:rsid w:val="00346B61"/>
    <w:rsid w:val="00346D8C"/>
    <w:rsid w:val="00346DAE"/>
    <w:rsid w:val="00346DC7"/>
    <w:rsid w:val="00347157"/>
    <w:rsid w:val="00347367"/>
    <w:rsid w:val="0034743E"/>
    <w:rsid w:val="00347504"/>
    <w:rsid w:val="00347518"/>
    <w:rsid w:val="003475EB"/>
    <w:rsid w:val="003476CD"/>
    <w:rsid w:val="003476E8"/>
    <w:rsid w:val="0034773B"/>
    <w:rsid w:val="00347783"/>
    <w:rsid w:val="00347878"/>
    <w:rsid w:val="003478A1"/>
    <w:rsid w:val="00347900"/>
    <w:rsid w:val="003479E0"/>
    <w:rsid w:val="003479F1"/>
    <w:rsid w:val="00347A79"/>
    <w:rsid w:val="00347A80"/>
    <w:rsid w:val="00347A97"/>
    <w:rsid w:val="00347FF4"/>
    <w:rsid w:val="00350036"/>
    <w:rsid w:val="00350066"/>
    <w:rsid w:val="00350305"/>
    <w:rsid w:val="0035049B"/>
    <w:rsid w:val="0035061B"/>
    <w:rsid w:val="00350779"/>
    <w:rsid w:val="003507F1"/>
    <w:rsid w:val="0035092B"/>
    <w:rsid w:val="0035098B"/>
    <w:rsid w:val="00350A16"/>
    <w:rsid w:val="00350A8C"/>
    <w:rsid w:val="00350AB9"/>
    <w:rsid w:val="00350AC5"/>
    <w:rsid w:val="00350B30"/>
    <w:rsid w:val="00350C20"/>
    <w:rsid w:val="00350C8B"/>
    <w:rsid w:val="00350CA7"/>
    <w:rsid w:val="00350DF7"/>
    <w:rsid w:val="00350F1C"/>
    <w:rsid w:val="00350F4F"/>
    <w:rsid w:val="0035103B"/>
    <w:rsid w:val="003510DF"/>
    <w:rsid w:val="0035121B"/>
    <w:rsid w:val="003512E8"/>
    <w:rsid w:val="0035130D"/>
    <w:rsid w:val="003514C3"/>
    <w:rsid w:val="003515C8"/>
    <w:rsid w:val="0035166E"/>
    <w:rsid w:val="00351681"/>
    <w:rsid w:val="0035175B"/>
    <w:rsid w:val="003518FE"/>
    <w:rsid w:val="00351938"/>
    <w:rsid w:val="00351BA5"/>
    <w:rsid w:val="00351CDD"/>
    <w:rsid w:val="00351F9B"/>
    <w:rsid w:val="0035218D"/>
    <w:rsid w:val="00352370"/>
    <w:rsid w:val="003523A2"/>
    <w:rsid w:val="003523C0"/>
    <w:rsid w:val="003523D1"/>
    <w:rsid w:val="003524CA"/>
    <w:rsid w:val="0035258E"/>
    <w:rsid w:val="0035265C"/>
    <w:rsid w:val="003526DD"/>
    <w:rsid w:val="00352948"/>
    <w:rsid w:val="003529B6"/>
    <w:rsid w:val="00352AF6"/>
    <w:rsid w:val="00352D32"/>
    <w:rsid w:val="00352E75"/>
    <w:rsid w:val="00352F8B"/>
    <w:rsid w:val="003530FC"/>
    <w:rsid w:val="00353271"/>
    <w:rsid w:val="003532C4"/>
    <w:rsid w:val="003532ED"/>
    <w:rsid w:val="00353542"/>
    <w:rsid w:val="0035354C"/>
    <w:rsid w:val="0035355C"/>
    <w:rsid w:val="003535CD"/>
    <w:rsid w:val="00353710"/>
    <w:rsid w:val="00353734"/>
    <w:rsid w:val="003537F7"/>
    <w:rsid w:val="003539E2"/>
    <w:rsid w:val="00353B07"/>
    <w:rsid w:val="00353B79"/>
    <w:rsid w:val="00353C54"/>
    <w:rsid w:val="00353CF3"/>
    <w:rsid w:val="00353E17"/>
    <w:rsid w:val="00353ECD"/>
    <w:rsid w:val="00353FAF"/>
    <w:rsid w:val="00354011"/>
    <w:rsid w:val="003541D9"/>
    <w:rsid w:val="00354286"/>
    <w:rsid w:val="00354299"/>
    <w:rsid w:val="003542CB"/>
    <w:rsid w:val="003543B3"/>
    <w:rsid w:val="003543CE"/>
    <w:rsid w:val="00354442"/>
    <w:rsid w:val="0035453D"/>
    <w:rsid w:val="00354625"/>
    <w:rsid w:val="003546B8"/>
    <w:rsid w:val="003546E1"/>
    <w:rsid w:val="003546F5"/>
    <w:rsid w:val="003547CA"/>
    <w:rsid w:val="003548DA"/>
    <w:rsid w:val="0035490C"/>
    <w:rsid w:val="00354987"/>
    <w:rsid w:val="003549DD"/>
    <w:rsid w:val="00354A41"/>
    <w:rsid w:val="00354A46"/>
    <w:rsid w:val="00354A90"/>
    <w:rsid w:val="00354BDA"/>
    <w:rsid w:val="00354C3E"/>
    <w:rsid w:val="00354FEB"/>
    <w:rsid w:val="00355006"/>
    <w:rsid w:val="003550C3"/>
    <w:rsid w:val="003550F5"/>
    <w:rsid w:val="0035525C"/>
    <w:rsid w:val="003552C5"/>
    <w:rsid w:val="003552D3"/>
    <w:rsid w:val="00355408"/>
    <w:rsid w:val="003555DF"/>
    <w:rsid w:val="00355728"/>
    <w:rsid w:val="00355802"/>
    <w:rsid w:val="0035597D"/>
    <w:rsid w:val="00355CC8"/>
    <w:rsid w:val="00355CF1"/>
    <w:rsid w:val="00355D1F"/>
    <w:rsid w:val="00355E21"/>
    <w:rsid w:val="00355F82"/>
    <w:rsid w:val="003561D4"/>
    <w:rsid w:val="00356387"/>
    <w:rsid w:val="003563DC"/>
    <w:rsid w:val="003565D2"/>
    <w:rsid w:val="003567AB"/>
    <w:rsid w:val="003568EC"/>
    <w:rsid w:val="003569C3"/>
    <w:rsid w:val="00356D3D"/>
    <w:rsid w:val="00356FEF"/>
    <w:rsid w:val="0035710B"/>
    <w:rsid w:val="003571D5"/>
    <w:rsid w:val="003572A5"/>
    <w:rsid w:val="003573BF"/>
    <w:rsid w:val="003573D2"/>
    <w:rsid w:val="003573DF"/>
    <w:rsid w:val="0035741D"/>
    <w:rsid w:val="00357431"/>
    <w:rsid w:val="0035744A"/>
    <w:rsid w:val="003574AB"/>
    <w:rsid w:val="003575F4"/>
    <w:rsid w:val="003578EC"/>
    <w:rsid w:val="003579C9"/>
    <w:rsid w:val="00357C18"/>
    <w:rsid w:val="00357CCF"/>
    <w:rsid w:val="00357DF8"/>
    <w:rsid w:val="00357E0E"/>
    <w:rsid w:val="00357E24"/>
    <w:rsid w:val="0036000A"/>
    <w:rsid w:val="0036008D"/>
    <w:rsid w:val="003600EE"/>
    <w:rsid w:val="003600FB"/>
    <w:rsid w:val="003605B3"/>
    <w:rsid w:val="003605F1"/>
    <w:rsid w:val="00360637"/>
    <w:rsid w:val="00360809"/>
    <w:rsid w:val="003608F3"/>
    <w:rsid w:val="0036094D"/>
    <w:rsid w:val="00360971"/>
    <w:rsid w:val="00360C4C"/>
    <w:rsid w:val="00360E9F"/>
    <w:rsid w:val="003610B5"/>
    <w:rsid w:val="0036113A"/>
    <w:rsid w:val="003611F0"/>
    <w:rsid w:val="003617AB"/>
    <w:rsid w:val="0036186A"/>
    <w:rsid w:val="00361937"/>
    <w:rsid w:val="00361961"/>
    <w:rsid w:val="00361B45"/>
    <w:rsid w:val="00361BED"/>
    <w:rsid w:val="00361CC5"/>
    <w:rsid w:val="00361D0E"/>
    <w:rsid w:val="00361E0F"/>
    <w:rsid w:val="00361E2D"/>
    <w:rsid w:val="00361EE2"/>
    <w:rsid w:val="00362305"/>
    <w:rsid w:val="00362475"/>
    <w:rsid w:val="0036256B"/>
    <w:rsid w:val="00362752"/>
    <w:rsid w:val="003627E9"/>
    <w:rsid w:val="00362890"/>
    <w:rsid w:val="00362A3F"/>
    <w:rsid w:val="00362BD1"/>
    <w:rsid w:val="00363209"/>
    <w:rsid w:val="003632D1"/>
    <w:rsid w:val="003634B2"/>
    <w:rsid w:val="003639B9"/>
    <w:rsid w:val="00363A96"/>
    <w:rsid w:val="00363D64"/>
    <w:rsid w:val="00363F21"/>
    <w:rsid w:val="00363F30"/>
    <w:rsid w:val="003640AE"/>
    <w:rsid w:val="003641EC"/>
    <w:rsid w:val="0036436D"/>
    <w:rsid w:val="003644DB"/>
    <w:rsid w:val="0036464E"/>
    <w:rsid w:val="003646D0"/>
    <w:rsid w:val="003646ED"/>
    <w:rsid w:val="00364745"/>
    <w:rsid w:val="00364771"/>
    <w:rsid w:val="00364823"/>
    <w:rsid w:val="0036488C"/>
    <w:rsid w:val="00364DE2"/>
    <w:rsid w:val="00364ED3"/>
    <w:rsid w:val="00364EFD"/>
    <w:rsid w:val="00365093"/>
    <w:rsid w:val="0036512A"/>
    <w:rsid w:val="0036513A"/>
    <w:rsid w:val="003651F5"/>
    <w:rsid w:val="003651F7"/>
    <w:rsid w:val="003653A5"/>
    <w:rsid w:val="003653E2"/>
    <w:rsid w:val="00365417"/>
    <w:rsid w:val="0036544F"/>
    <w:rsid w:val="00365533"/>
    <w:rsid w:val="0036563D"/>
    <w:rsid w:val="00365640"/>
    <w:rsid w:val="003656FE"/>
    <w:rsid w:val="0036584F"/>
    <w:rsid w:val="0036586B"/>
    <w:rsid w:val="00365884"/>
    <w:rsid w:val="003658C2"/>
    <w:rsid w:val="00365A44"/>
    <w:rsid w:val="00365ADF"/>
    <w:rsid w:val="00365D80"/>
    <w:rsid w:val="00365E7D"/>
    <w:rsid w:val="00365EF2"/>
    <w:rsid w:val="00365F72"/>
    <w:rsid w:val="003662A5"/>
    <w:rsid w:val="0036637D"/>
    <w:rsid w:val="00366492"/>
    <w:rsid w:val="003665A8"/>
    <w:rsid w:val="003665E3"/>
    <w:rsid w:val="00366790"/>
    <w:rsid w:val="00366AED"/>
    <w:rsid w:val="00366AF1"/>
    <w:rsid w:val="00366B3D"/>
    <w:rsid w:val="00366BC5"/>
    <w:rsid w:val="00366C79"/>
    <w:rsid w:val="00366C7F"/>
    <w:rsid w:val="00366D6B"/>
    <w:rsid w:val="00366D84"/>
    <w:rsid w:val="00366ED0"/>
    <w:rsid w:val="00366F56"/>
    <w:rsid w:val="00366FE5"/>
    <w:rsid w:val="003670CF"/>
    <w:rsid w:val="00367168"/>
    <w:rsid w:val="003671E7"/>
    <w:rsid w:val="003672A1"/>
    <w:rsid w:val="003672DB"/>
    <w:rsid w:val="00367476"/>
    <w:rsid w:val="0036756B"/>
    <w:rsid w:val="003679BA"/>
    <w:rsid w:val="00367E17"/>
    <w:rsid w:val="00367E60"/>
    <w:rsid w:val="00367EB8"/>
    <w:rsid w:val="003701CF"/>
    <w:rsid w:val="0037026F"/>
    <w:rsid w:val="00370290"/>
    <w:rsid w:val="003702D6"/>
    <w:rsid w:val="00370339"/>
    <w:rsid w:val="003703AE"/>
    <w:rsid w:val="003703B1"/>
    <w:rsid w:val="003704FE"/>
    <w:rsid w:val="0037055C"/>
    <w:rsid w:val="003707BE"/>
    <w:rsid w:val="003707CF"/>
    <w:rsid w:val="00370889"/>
    <w:rsid w:val="0037096D"/>
    <w:rsid w:val="00370A35"/>
    <w:rsid w:val="00370A9E"/>
    <w:rsid w:val="00370AFA"/>
    <w:rsid w:val="00370B3D"/>
    <w:rsid w:val="00370B5D"/>
    <w:rsid w:val="00370C17"/>
    <w:rsid w:val="00370C53"/>
    <w:rsid w:val="00370CE5"/>
    <w:rsid w:val="00370E35"/>
    <w:rsid w:val="00370E57"/>
    <w:rsid w:val="00370F18"/>
    <w:rsid w:val="00370F53"/>
    <w:rsid w:val="003711EA"/>
    <w:rsid w:val="00371204"/>
    <w:rsid w:val="00371240"/>
    <w:rsid w:val="003712A7"/>
    <w:rsid w:val="0037130B"/>
    <w:rsid w:val="003713F1"/>
    <w:rsid w:val="003714AE"/>
    <w:rsid w:val="00371587"/>
    <w:rsid w:val="00371668"/>
    <w:rsid w:val="003716ED"/>
    <w:rsid w:val="003719B6"/>
    <w:rsid w:val="00371A91"/>
    <w:rsid w:val="00371ADD"/>
    <w:rsid w:val="00371B2A"/>
    <w:rsid w:val="00371B6A"/>
    <w:rsid w:val="00371C84"/>
    <w:rsid w:val="00371E36"/>
    <w:rsid w:val="003721FD"/>
    <w:rsid w:val="00372213"/>
    <w:rsid w:val="00372227"/>
    <w:rsid w:val="00372412"/>
    <w:rsid w:val="0037245E"/>
    <w:rsid w:val="003726A2"/>
    <w:rsid w:val="00372751"/>
    <w:rsid w:val="00372B03"/>
    <w:rsid w:val="00372D05"/>
    <w:rsid w:val="00372DD7"/>
    <w:rsid w:val="00372E9D"/>
    <w:rsid w:val="003731FD"/>
    <w:rsid w:val="003731FE"/>
    <w:rsid w:val="00373240"/>
    <w:rsid w:val="0037333C"/>
    <w:rsid w:val="00373372"/>
    <w:rsid w:val="003733B4"/>
    <w:rsid w:val="003733CE"/>
    <w:rsid w:val="00373518"/>
    <w:rsid w:val="003735BD"/>
    <w:rsid w:val="00373789"/>
    <w:rsid w:val="0037388F"/>
    <w:rsid w:val="0037393C"/>
    <w:rsid w:val="00373AFB"/>
    <w:rsid w:val="00373CD9"/>
    <w:rsid w:val="00373EB2"/>
    <w:rsid w:val="00373EB9"/>
    <w:rsid w:val="00373EF0"/>
    <w:rsid w:val="00373FA1"/>
    <w:rsid w:val="0037423B"/>
    <w:rsid w:val="00374288"/>
    <w:rsid w:val="003742E2"/>
    <w:rsid w:val="0037448A"/>
    <w:rsid w:val="003744BF"/>
    <w:rsid w:val="003746F5"/>
    <w:rsid w:val="003747F6"/>
    <w:rsid w:val="00374804"/>
    <w:rsid w:val="003748C5"/>
    <w:rsid w:val="003749B0"/>
    <w:rsid w:val="003749D3"/>
    <w:rsid w:val="00374AB8"/>
    <w:rsid w:val="00374AF1"/>
    <w:rsid w:val="00374BCC"/>
    <w:rsid w:val="00374E27"/>
    <w:rsid w:val="00374FD7"/>
    <w:rsid w:val="003750B8"/>
    <w:rsid w:val="003750D4"/>
    <w:rsid w:val="00375154"/>
    <w:rsid w:val="0037518D"/>
    <w:rsid w:val="003751C1"/>
    <w:rsid w:val="003751CA"/>
    <w:rsid w:val="003751EC"/>
    <w:rsid w:val="003751FB"/>
    <w:rsid w:val="00375315"/>
    <w:rsid w:val="00375442"/>
    <w:rsid w:val="0037549D"/>
    <w:rsid w:val="00375545"/>
    <w:rsid w:val="003756AD"/>
    <w:rsid w:val="003756D6"/>
    <w:rsid w:val="003759F9"/>
    <w:rsid w:val="00375C6D"/>
    <w:rsid w:val="00375E2D"/>
    <w:rsid w:val="00375EC0"/>
    <w:rsid w:val="00375FE8"/>
    <w:rsid w:val="003760C6"/>
    <w:rsid w:val="00376246"/>
    <w:rsid w:val="00376321"/>
    <w:rsid w:val="003763E2"/>
    <w:rsid w:val="00376656"/>
    <w:rsid w:val="003766C1"/>
    <w:rsid w:val="0037678E"/>
    <w:rsid w:val="00376850"/>
    <w:rsid w:val="003769EA"/>
    <w:rsid w:val="00376AF0"/>
    <w:rsid w:val="00376B37"/>
    <w:rsid w:val="00376C9C"/>
    <w:rsid w:val="00376CAB"/>
    <w:rsid w:val="00376D31"/>
    <w:rsid w:val="00376EDD"/>
    <w:rsid w:val="00377089"/>
    <w:rsid w:val="0037721F"/>
    <w:rsid w:val="00377258"/>
    <w:rsid w:val="0037756B"/>
    <w:rsid w:val="00377658"/>
    <w:rsid w:val="003776AE"/>
    <w:rsid w:val="003776BF"/>
    <w:rsid w:val="00377774"/>
    <w:rsid w:val="00377BC0"/>
    <w:rsid w:val="00377D71"/>
    <w:rsid w:val="00377DC3"/>
    <w:rsid w:val="0038005F"/>
    <w:rsid w:val="003800AE"/>
    <w:rsid w:val="00380278"/>
    <w:rsid w:val="00380285"/>
    <w:rsid w:val="003803F3"/>
    <w:rsid w:val="0038042D"/>
    <w:rsid w:val="00380446"/>
    <w:rsid w:val="003804A0"/>
    <w:rsid w:val="00380790"/>
    <w:rsid w:val="0038087E"/>
    <w:rsid w:val="00380962"/>
    <w:rsid w:val="00380974"/>
    <w:rsid w:val="00380A32"/>
    <w:rsid w:val="00380A9C"/>
    <w:rsid w:val="00380B2C"/>
    <w:rsid w:val="00380B8E"/>
    <w:rsid w:val="00380BDB"/>
    <w:rsid w:val="00380DCF"/>
    <w:rsid w:val="00380E2D"/>
    <w:rsid w:val="00380F09"/>
    <w:rsid w:val="00381371"/>
    <w:rsid w:val="003813FE"/>
    <w:rsid w:val="00381470"/>
    <w:rsid w:val="0038169F"/>
    <w:rsid w:val="00381895"/>
    <w:rsid w:val="00381930"/>
    <w:rsid w:val="00381B57"/>
    <w:rsid w:val="00381C03"/>
    <w:rsid w:val="00381C14"/>
    <w:rsid w:val="00381EB3"/>
    <w:rsid w:val="00381FAE"/>
    <w:rsid w:val="00381FCE"/>
    <w:rsid w:val="00381FD3"/>
    <w:rsid w:val="00381FE1"/>
    <w:rsid w:val="00382244"/>
    <w:rsid w:val="00382367"/>
    <w:rsid w:val="00382388"/>
    <w:rsid w:val="003823BB"/>
    <w:rsid w:val="0038240A"/>
    <w:rsid w:val="00382484"/>
    <w:rsid w:val="003824DF"/>
    <w:rsid w:val="00382511"/>
    <w:rsid w:val="0038256A"/>
    <w:rsid w:val="003826D7"/>
    <w:rsid w:val="003826DF"/>
    <w:rsid w:val="003827B2"/>
    <w:rsid w:val="00382818"/>
    <w:rsid w:val="00382913"/>
    <w:rsid w:val="00382BBA"/>
    <w:rsid w:val="00382CA9"/>
    <w:rsid w:val="00382D31"/>
    <w:rsid w:val="00382D46"/>
    <w:rsid w:val="00382DF7"/>
    <w:rsid w:val="00383048"/>
    <w:rsid w:val="00383278"/>
    <w:rsid w:val="003834CC"/>
    <w:rsid w:val="00383600"/>
    <w:rsid w:val="00383618"/>
    <w:rsid w:val="00383650"/>
    <w:rsid w:val="003838BF"/>
    <w:rsid w:val="00383ADC"/>
    <w:rsid w:val="00383B4B"/>
    <w:rsid w:val="00383B6C"/>
    <w:rsid w:val="00383C71"/>
    <w:rsid w:val="00383CB1"/>
    <w:rsid w:val="00383E06"/>
    <w:rsid w:val="0038413C"/>
    <w:rsid w:val="00384242"/>
    <w:rsid w:val="003842A4"/>
    <w:rsid w:val="0038431F"/>
    <w:rsid w:val="0038444F"/>
    <w:rsid w:val="0038447E"/>
    <w:rsid w:val="0038451B"/>
    <w:rsid w:val="0038454C"/>
    <w:rsid w:val="00384554"/>
    <w:rsid w:val="003845B2"/>
    <w:rsid w:val="0038476E"/>
    <w:rsid w:val="003847D8"/>
    <w:rsid w:val="00384A53"/>
    <w:rsid w:val="00384AB8"/>
    <w:rsid w:val="00384ABA"/>
    <w:rsid w:val="00384AD8"/>
    <w:rsid w:val="00384BD2"/>
    <w:rsid w:val="00384DE4"/>
    <w:rsid w:val="003850F1"/>
    <w:rsid w:val="00385133"/>
    <w:rsid w:val="00385280"/>
    <w:rsid w:val="003852FF"/>
    <w:rsid w:val="00385325"/>
    <w:rsid w:val="00385363"/>
    <w:rsid w:val="0038544D"/>
    <w:rsid w:val="003854AD"/>
    <w:rsid w:val="00385503"/>
    <w:rsid w:val="00385566"/>
    <w:rsid w:val="003857AD"/>
    <w:rsid w:val="003857AE"/>
    <w:rsid w:val="003857EB"/>
    <w:rsid w:val="003858D9"/>
    <w:rsid w:val="003858E6"/>
    <w:rsid w:val="003858F8"/>
    <w:rsid w:val="0038595B"/>
    <w:rsid w:val="00385A6F"/>
    <w:rsid w:val="00385BCB"/>
    <w:rsid w:val="00385BED"/>
    <w:rsid w:val="00385DBA"/>
    <w:rsid w:val="0038602D"/>
    <w:rsid w:val="003860EA"/>
    <w:rsid w:val="003861F0"/>
    <w:rsid w:val="003862BC"/>
    <w:rsid w:val="003862F7"/>
    <w:rsid w:val="0038642F"/>
    <w:rsid w:val="0038656F"/>
    <w:rsid w:val="003866CD"/>
    <w:rsid w:val="00386796"/>
    <w:rsid w:val="00386820"/>
    <w:rsid w:val="00386A4E"/>
    <w:rsid w:val="00386A7F"/>
    <w:rsid w:val="00386AD0"/>
    <w:rsid w:val="00386B3C"/>
    <w:rsid w:val="00386BD6"/>
    <w:rsid w:val="00386BE7"/>
    <w:rsid w:val="00386D54"/>
    <w:rsid w:val="00386D86"/>
    <w:rsid w:val="00386FE5"/>
    <w:rsid w:val="00387158"/>
    <w:rsid w:val="003871B4"/>
    <w:rsid w:val="00387236"/>
    <w:rsid w:val="003872BE"/>
    <w:rsid w:val="00387606"/>
    <w:rsid w:val="00387645"/>
    <w:rsid w:val="00387648"/>
    <w:rsid w:val="00387662"/>
    <w:rsid w:val="0038778C"/>
    <w:rsid w:val="0038779B"/>
    <w:rsid w:val="0038784A"/>
    <w:rsid w:val="003879FD"/>
    <w:rsid w:val="00387AE3"/>
    <w:rsid w:val="00387BB8"/>
    <w:rsid w:val="00387CD5"/>
    <w:rsid w:val="00387D41"/>
    <w:rsid w:val="00387D83"/>
    <w:rsid w:val="00387E42"/>
    <w:rsid w:val="00387F06"/>
    <w:rsid w:val="0039002B"/>
    <w:rsid w:val="0039014F"/>
    <w:rsid w:val="0039024F"/>
    <w:rsid w:val="00390281"/>
    <w:rsid w:val="00390335"/>
    <w:rsid w:val="00390492"/>
    <w:rsid w:val="003904B6"/>
    <w:rsid w:val="00390520"/>
    <w:rsid w:val="003905F9"/>
    <w:rsid w:val="00390696"/>
    <w:rsid w:val="00390997"/>
    <w:rsid w:val="003909DE"/>
    <w:rsid w:val="00390A58"/>
    <w:rsid w:val="00390B1C"/>
    <w:rsid w:val="00390BB8"/>
    <w:rsid w:val="00390C11"/>
    <w:rsid w:val="00390D9E"/>
    <w:rsid w:val="00390DD8"/>
    <w:rsid w:val="00390F70"/>
    <w:rsid w:val="0039105D"/>
    <w:rsid w:val="00391069"/>
    <w:rsid w:val="003910EE"/>
    <w:rsid w:val="003910F4"/>
    <w:rsid w:val="003912A5"/>
    <w:rsid w:val="00391311"/>
    <w:rsid w:val="00391342"/>
    <w:rsid w:val="003913E5"/>
    <w:rsid w:val="0039148D"/>
    <w:rsid w:val="003915E2"/>
    <w:rsid w:val="0039160E"/>
    <w:rsid w:val="003917FD"/>
    <w:rsid w:val="00391978"/>
    <w:rsid w:val="003919FE"/>
    <w:rsid w:val="00391A40"/>
    <w:rsid w:val="00391A74"/>
    <w:rsid w:val="00391AE8"/>
    <w:rsid w:val="00391D48"/>
    <w:rsid w:val="00391EAF"/>
    <w:rsid w:val="00391F4E"/>
    <w:rsid w:val="00391F9D"/>
    <w:rsid w:val="003925DB"/>
    <w:rsid w:val="00392642"/>
    <w:rsid w:val="00392690"/>
    <w:rsid w:val="00392742"/>
    <w:rsid w:val="003927AE"/>
    <w:rsid w:val="0039280C"/>
    <w:rsid w:val="0039282B"/>
    <w:rsid w:val="0039285A"/>
    <w:rsid w:val="003928D0"/>
    <w:rsid w:val="003928FA"/>
    <w:rsid w:val="00392A74"/>
    <w:rsid w:val="00392A76"/>
    <w:rsid w:val="00392A90"/>
    <w:rsid w:val="00392B46"/>
    <w:rsid w:val="00392B53"/>
    <w:rsid w:val="00392BB1"/>
    <w:rsid w:val="00392CBF"/>
    <w:rsid w:val="00392DD9"/>
    <w:rsid w:val="00392DE5"/>
    <w:rsid w:val="00392DFA"/>
    <w:rsid w:val="00392E49"/>
    <w:rsid w:val="0039308D"/>
    <w:rsid w:val="00393192"/>
    <w:rsid w:val="003933D4"/>
    <w:rsid w:val="003934DB"/>
    <w:rsid w:val="00393719"/>
    <w:rsid w:val="00393A86"/>
    <w:rsid w:val="00393B99"/>
    <w:rsid w:val="00393BB2"/>
    <w:rsid w:val="00393C7F"/>
    <w:rsid w:val="00393CA7"/>
    <w:rsid w:val="00393DB3"/>
    <w:rsid w:val="00393F07"/>
    <w:rsid w:val="00394129"/>
    <w:rsid w:val="003941E3"/>
    <w:rsid w:val="00394206"/>
    <w:rsid w:val="00394240"/>
    <w:rsid w:val="00394478"/>
    <w:rsid w:val="003944D5"/>
    <w:rsid w:val="00394512"/>
    <w:rsid w:val="003946E9"/>
    <w:rsid w:val="00394790"/>
    <w:rsid w:val="003947E6"/>
    <w:rsid w:val="003947E9"/>
    <w:rsid w:val="00394A2D"/>
    <w:rsid w:val="00394B28"/>
    <w:rsid w:val="00394DA2"/>
    <w:rsid w:val="00394DC7"/>
    <w:rsid w:val="00394E82"/>
    <w:rsid w:val="00394EF4"/>
    <w:rsid w:val="00395011"/>
    <w:rsid w:val="00395056"/>
    <w:rsid w:val="0039537E"/>
    <w:rsid w:val="003955FF"/>
    <w:rsid w:val="00395657"/>
    <w:rsid w:val="003956AA"/>
    <w:rsid w:val="00395738"/>
    <w:rsid w:val="0039577D"/>
    <w:rsid w:val="00395816"/>
    <w:rsid w:val="0039585E"/>
    <w:rsid w:val="0039590D"/>
    <w:rsid w:val="00395998"/>
    <w:rsid w:val="00395AFE"/>
    <w:rsid w:val="00395B11"/>
    <w:rsid w:val="00395D60"/>
    <w:rsid w:val="00395EFD"/>
    <w:rsid w:val="00396002"/>
    <w:rsid w:val="00396051"/>
    <w:rsid w:val="003960DF"/>
    <w:rsid w:val="003961D9"/>
    <w:rsid w:val="003961E9"/>
    <w:rsid w:val="003963BC"/>
    <w:rsid w:val="003966F2"/>
    <w:rsid w:val="00396712"/>
    <w:rsid w:val="00396860"/>
    <w:rsid w:val="00396B1B"/>
    <w:rsid w:val="00396BB3"/>
    <w:rsid w:val="00396BB8"/>
    <w:rsid w:val="00396C10"/>
    <w:rsid w:val="0039713E"/>
    <w:rsid w:val="00397271"/>
    <w:rsid w:val="0039743E"/>
    <w:rsid w:val="003974EF"/>
    <w:rsid w:val="003977D5"/>
    <w:rsid w:val="0039784D"/>
    <w:rsid w:val="00397A19"/>
    <w:rsid w:val="00397B29"/>
    <w:rsid w:val="00397BA2"/>
    <w:rsid w:val="00397BF1"/>
    <w:rsid w:val="00397D39"/>
    <w:rsid w:val="00397E13"/>
    <w:rsid w:val="003A004A"/>
    <w:rsid w:val="003A0064"/>
    <w:rsid w:val="003A0180"/>
    <w:rsid w:val="003A01BC"/>
    <w:rsid w:val="003A0321"/>
    <w:rsid w:val="003A05A9"/>
    <w:rsid w:val="003A05C3"/>
    <w:rsid w:val="003A0627"/>
    <w:rsid w:val="003A062F"/>
    <w:rsid w:val="003A07B7"/>
    <w:rsid w:val="003A07E2"/>
    <w:rsid w:val="003A08E4"/>
    <w:rsid w:val="003A09AD"/>
    <w:rsid w:val="003A09BA"/>
    <w:rsid w:val="003A0AFF"/>
    <w:rsid w:val="003A0BEA"/>
    <w:rsid w:val="003A0BF9"/>
    <w:rsid w:val="003A0C43"/>
    <w:rsid w:val="003A0D16"/>
    <w:rsid w:val="003A0D4A"/>
    <w:rsid w:val="003A0F11"/>
    <w:rsid w:val="003A0F23"/>
    <w:rsid w:val="003A1074"/>
    <w:rsid w:val="003A13E3"/>
    <w:rsid w:val="003A187C"/>
    <w:rsid w:val="003A19C6"/>
    <w:rsid w:val="003A1A2E"/>
    <w:rsid w:val="003A1BD0"/>
    <w:rsid w:val="003A1C88"/>
    <w:rsid w:val="003A1CDA"/>
    <w:rsid w:val="003A1DE9"/>
    <w:rsid w:val="003A201D"/>
    <w:rsid w:val="003A2029"/>
    <w:rsid w:val="003A2089"/>
    <w:rsid w:val="003A21CC"/>
    <w:rsid w:val="003A21CD"/>
    <w:rsid w:val="003A21F4"/>
    <w:rsid w:val="003A2293"/>
    <w:rsid w:val="003A22A5"/>
    <w:rsid w:val="003A257E"/>
    <w:rsid w:val="003A25B0"/>
    <w:rsid w:val="003A2941"/>
    <w:rsid w:val="003A299C"/>
    <w:rsid w:val="003A2A14"/>
    <w:rsid w:val="003A2A4A"/>
    <w:rsid w:val="003A2A8F"/>
    <w:rsid w:val="003A2B23"/>
    <w:rsid w:val="003A2B34"/>
    <w:rsid w:val="003A2FD8"/>
    <w:rsid w:val="003A319A"/>
    <w:rsid w:val="003A31BB"/>
    <w:rsid w:val="003A31E9"/>
    <w:rsid w:val="003A320F"/>
    <w:rsid w:val="003A33C5"/>
    <w:rsid w:val="003A34B2"/>
    <w:rsid w:val="003A3547"/>
    <w:rsid w:val="003A3569"/>
    <w:rsid w:val="003A35EB"/>
    <w:rsid w:val="003A3792"/>
    <w:rsid w:val="003A3A23"/>
    <w:rsid w:val="003A3AC7"/>
    <w:rsid w:val="003A3BE0"/>
    <w:rsid w:val="003A3E1F"/>
    <w:rsid w:val="003A3EEE"/>
    <w:rsid w:val="003A4058"/>
    <w:rsid w:val="003A40AD"/>
    <w:rsid w:val="003A426C"/>
    <w:rsid w:val="003A4380"/>
    <w:rsid w:val="003A4466"/>
    <w:rsid w:val="003A4482"/>
    <w:rsid w:val="003A4613"/>
    <w:rsid w:val="003A4789"/>
    <w:rsid w:val="003A4791"/>
    <w:rsid w:val="003A48ED"/>
    <w:rsid w:val="003A49B9"/>
    <w:rsid w:val="003A4B59"/>
    <w:rsid w:val="003A4CDA"/>
    <w:rsid w:val="003A4E0C"/>
    <w:rsid w:val="003A4E45"/>
    <w:rsid w:val="003A4F9D"/>
    <w:rsid w:val="003A5094"/>
    <w:rsid w:val="003A50BA"/>
    <w:rsid w:val="003A514E"/>
    <w:rsid w:val="003A524A"/>
    <w:rsid w:val="003A52A9"/>
    <w:rsid w:val="003A5488"/>
    <w:rsid w:val="003A551D"/>
    <w:rsid w:val="003A55DD"/>
    <w:rsid w:val="003A5641"/>
    <w:rsid w:val="003A56CF"/>
    <w:rsid w:val="003A5762"/>
    <w:rsid w:val="003A57F9"/>
    <w:rsid w:val="003A583D"/>
    <w:rsid w:val="003A5993"/>
    <w:rsid w:val="003A5C20"/>
    <w:rsid w:val="003A5F2B"/>
    <w:rsid w:val="003A5F6D"/>
    <w:rsid w:val="003A6065"/>
    <w:rsid w:val="003A6169"/>
    <w:rsid w:val="003A631C"/>
    <w:rsid w:val="003A65D1"/>
    <w:rsid w:val="003A6600"/>
    <w:rsid w:val="003A664C"/>
    <w:rsid w:val="003A671F"/>
    <w:rsid w:val="003A67E1"/>
    <w:rsid w:val="003A6818"/>
    <w:rsid w:val="003A685F"/>
    <w:rsid w:val="003A691A"/>
    <w:rsid w:val="003A692A"/>
    <w:rsid w:val="003A695F"/>
    <w:rsid w:val="003A69E7"/>
    <w:rsid w:val="003A6A3F"/>
    <w:rsid w:val="003A6BF0"/>
    <w:rsid w:val="003A6C5B"/>
    <w:rsid w:val="003A6CC3"/>
    <w:rsid w:val="003A6E80"/>
    <w:rsid w:val="003A705D"/>
    <w:rsid w:val="003A7175"/>
    <w:rsid w:val="003A7287"/>
    <w:rsid w:val="003A73A6"/>
    <w:rsid w:val="003A746D"/>
    <w:rsid w:val="003A74C9"/>
    <w:rsid w:val="003A752F"/>
    <w:rsid w:val="003A753C"/>
    <w:rsid w:val="003A787E"/>
    <w:rsid w:val="003A7938"/>
    <w:rsid w:val="003A796B"/>
    <w:rsid w:val="003A79EF"/>
    <w:rsid w:val="003A7A71"/>
    <w:rsid w:val="003A7C9C"/>
    <w:rsid w:val="003A7D8C"/>
    <w:rsid w:val="003A7DAC"/>
    <w:rsid w:val="003A7DB8"/>
    <w:rsid w:val="003B0042"/>
    <w:rsid w:val="003B01A9"/>
    <w:rsid w:val="003B036E"/>
    <w:rsid w:val="003B0370"/>
    <w:rsid w:val="003B06B9"/>
    <w:rsid w:val="003B06FB"/>
    <w:rsid w:val="003B0709"/>
    <w:rsid w:val="003B0783"/>
    <w:rsid w:val="003B0A11"/>
    <w:rsid w:val="003B0AA5"/>
    <w:rsid w:val="003B0B13"/>
    <w:rsid w:val="003B0B66"/>
    <w:rsid w:val="003B0DDB"/>
    <w:rsid w:val="003B0F19"/>
    <w:rsid w:val="003B0FB7"/>
    <w:rsid w:val="003B161F"/>
    <w:rsid w:val="003B1754"/>
    <w:rsid w:val="003B1770"/>
    <w:rsid w:val="003B17AB"/>
    <w:rsid w:val="003B17FC"/>
    <w:rsid w:val="003B18A0"/>
    <w:rsid w:val="003B1949"/>
    <w:rsid w:val="003B1982"/>
    <w:rsid w:val="003B1992"/>
    <w:rsid w:val="003B1A17"/>
    <w:rsid w:val="003B1A18"/>
    <w:rsid w:val="003B1A33"/>
    <w:rsid w:val="003B1B29"/>
    <w:rsid w:val="003B1B2C"/>
    <w:rsid w:val="003B1B51"/>
    <w:rsid w:val="003B1CD0"/>
    <w:rsid w:val="003B1D10"/>
    <w:rsid w:val="003B2032"/>
    <w:rsid w:val="003B20FE"/>
    <w:rsid w:val="003B21B7"/>
    <w:rsid w:val="003B2261"/>
    <w:rsid w:val="003B2302"/>
    <w:rsid w:val="003B239D"/>
    <w:rsid w:val="003B23C7"/>
    <w:rsid w:val="003B258F"/>
    <w:rsid w:val="003B2747"/>
    <w:rsid w:val="003B2900"/>
    <w:rsid w:val="003B2975"/>
    <w:rsid w:val="003B29C0"/>
    <w:rsid w:val="003B2A1B"/>
    <w:rsid w:val="003B2D08"/>
    <w:rsid w:val="003B2D5C"/>
    <w:rsid w:val="003B2D86"/>
    <w:rsid w:val="003B2F83"/>
    <w:rsid w:val="003B2FEB"/>
    <w:rsid w:val="003B322B"/>
    <w:rsid w:val="003B3306"/>
    <w:rsid w:val="003B350C"/>
    <w:rsid w:val="003B3684"/>
    <w:rsid w:val="003B372F"/>
    <w:rsid w:val="003B3739"/>
    <w:rsid w:val="003B37AB"/>
    <w:rsid w:val="003B388F"/>
    <w:rsid w:val="003B3B60"/>
    <w:rsid w:val="003B3BC7"/>
    <w:rsid w:val="003B3CD1"/>
    <w:rsid w:val="003B3E02"/>
    <w:rsid w:val="003B3F9B"/>
    <w:rsid w:val="003B406C"/>
    <w:rsid w:val="003B415F"/>
    <w:rsid w:val="003B420C"/>
    <w:rsid w:val="003B4248"/>
    <w:rsid w:val="003B42DA"/>
    <w:rsid w:val="003B4418"/>
    <w:rsid w:val="003B4470"/>
    <w:rsid w:val="003B4505"/>
    <w:rsid w:val="003B4576"/>
    <w:rsid w:val="003B4600"/>
    <w:rsid w:val="003B4616"/>
    <w:rsid w:val="003B4630"/>
    <w:rsid w:val="003B47E8"/>
    <w:rsid w:val="003B4876"/>
    <w:rsid w:val="003B4894"/>
    <w:rsid w:val="003B48BA"/>
    <w:rsid w:val="003B4B7E"/>
    <w:rsid w:val="003B4BF7"/>
    <w:rsid w:val="003B4E46"/>
    <w:rsid w:val="003B5032"/>
    <w:rsid w:val="003B518B"/>
    <w:rsid w:val="003B52F6"/>
    <w:rsid w:val="003B53E7"/>
    <w:rsid w:val="003B547F"/>
    <w:rsid w:val="003B5512"/>
    <w:rsid w:val="003B5785"/>
    <w:rsid w:val="003B5836"/>
    <w:rsid w:val="003B590B"/>
    <w:rsid w:val="003B5972"/>
    <w:rsid w:val="003B5B0A"/>
    <w:rsid w:val="003B5C81"/>
    <w:rsid w:val="003B5D7A"/>
    <w:rsid w:val="003B5D9A"/>
    <w:rsid w:val="003B5E39"/>
    <w:rsid w:val="003B5E6B"/>
    <w:rsid w:val="003B5E6D"/>
    <w:rsid w:val="003B5F6A"/>
    <w:rsid w:val="003B5FD9"/>
    <w:rsid w:val="003B60F0"/>
    <w:rsid w:val="003B6180"/>
    <w:rsid w:val="003B621A"/>
    <w:rsid w:val="003B627A"/>
    <w:rsid w:val="003B629E"/>
    <w:rsid w:val="003B62E5"/>
    <w:rsid w:val="003B62EB"/>
    <w:rsid w:val="003B64CB"/>
    <w:rsid w:val="003B66B7"/>
    <w:rsid w:val="003B69FB"/>
    <w:rsid w:val="003B6B67"/>
    <w:rsid w:val="003B6C84"/>
    <w:rsid w:val="003B6D4B"/>
    <w:rsid w:val="003B6E4E"/>
    <w:rsid w:val="003B6FA9"/>
    <w:rsid w:val="003B7023"/>
    <w:rsid w:val="003B71B0"/>
    <w:rsid w:val="003B7386"/>
    <w:rsid w:val="003B73AE"/>
    <w:rsid w:val="003B7505"/>
    <w:rsid w:val="003B757A"/>
    <w:rsid w:val="003B760F"/>
    <w:rsid w:val="003B761D"/>
    <w:rsid w:val="003B76FA"/>
    <w:rsid w:val="003B77E1"/>
    <w:rsid w:val="003B7827"/>
    <w:rsid w:val="003B784F"/>
    <w:rsid w:val="003B7A2F"/>
    <w:rsid w:val="003B7A35"/>
    <w:rsid w:val="003B7B8C"/>
    <w:rsid w:val="003B7C93"/>
    <w:rsid w:val="003B7D4E"/>
    <w:rsid w:val="003B7E87"/>
    <w:rsid w:val="003B7EDF"/>
    <w:rsid w:val="003C00E6"/>
    <w:rsid w:val="003C023F"/>
    <w:rsid w:val="003C03BE"/>
    <w:rsid w:val="003C0499"/>
    <w:rsid w:val="003C063E"/>
    <w:rsid w:val="003C0728"/>
    <w:rsid w:val="003C07D0"/>
    <w:rsid w:val="003C09FE"/>
    <w:rsid w:val="003C0BC5"/>
    <w:rsid w:val="003C0CF5"/>
    <w:rsid w:val="003C1013"/>
    <w:rsid w:val="003C1195"/>
    <w:rsid w:val="003C1198"/>
    <w:rsid w:val="003C13A4"/>
    <w:rsid w:val="003C1422"/>
    <w:rsid w:val="003C145A"/>
    <w:rsid w:val="003C1472"/>
    <w:rsid w:val="003C1589"/>
    <w:rsid w:val="003C177C"/>
    <w:rsid w:val="003C1854"/>
    <w:rsid w:val="003C1A49"/>
    <w:rsid w:val="003C1A65"/>
    <w:rsid w:val="003C1C72"/>
    <w:rsid w:val="003C1DF8"/>
    <w:rsid w:val="003C1E26"/>
    <w:rsid w:val="003C1E39"/>
    <w:rsid w:val="003C1F4B"/>
    <w:rsid w:val="003C2074"/>
    <w:rsid w:val="003C215D"/>
    <w:rsid w:val="003C220C"/>
    <w:rsid w:val="003C2234"/>
    <w:rsid w:val="003C23EC"/>
    <w:rsid w:val="003C24C2"/>
    <w:rsid w:val="003C24DF"/>
    <w:rsid w:val="003C25AA"/>
    <w:rsid w:val="003C267E"/>
    <w:rsid w:val="003C27B1"/>
    <w:rsid w:val="003C2890"/>
    <w:rsid w:val="003C296F"/>
    <w:rsid w:val="003C29E8"/>
    <w:rsid w:val="003C2B24"/>
    <w:rsid w:val="003C2C0E"/>
    <w:rsid w:val="003C2CD2"/>
    <w:rsid w:val="003C2DED"/>
    <w:rsid w:val="003C2F1A"/>
    <w:rsid w:val="003C3024"/>
    <w:rsid w:val="003C3251"/>
    <w:rsid w:val="003C37C7"/>
    <w:rsid w:val="003C399C"/>
    <w:rsid w:val="003C3A78"/>
    <w:rsid w:val="003C3BF3"/>
    <w:rsid w:val="003C3EE7"/>
    <w:rsid w:val="003C3F6B"/>
    <w:rsid w:val="003C40EE"/>
    <w:rsid w:val="003C4276"/>
    <w:rsid w:val="003C427D"/>
    <w:rsid w:val="003C4402"/>
    <w:rsid w:val="003C4454"/>
    <w:rsid w:val="003C4670"/>
    <w:rsid w:val="003C49B2"/>
    <w:rsid w:val="003C49EC"/>
    <w:rsid w:val="003C4A43"/>
    <w:rsid w:val="003C4ABB"/>
    <w:rsid w:val="003C4B5B"/>
    <w:rsid w:val="003C4CE3"/>
    <w:rsid w:val="003C4D40"/>
    <w:rsid w:val="003C4E00"/>
    <w:rsid w:val="003C4FF4"/>
    <w:rsid w:val="003C50A1"/>
    <w:rsid w:val="003C5147"/>
    <w:rsid w:val="003C51CF"/>
    <w:rsid w:val="003C51FF"/>
    <w:rsid w:val="003C52CB"/>
    <w:rsid w:val="003C5307"/>
    <w:rsid w:val="003C540E"/>
    <w:rsid w:val="003C54B5"/>
    <w:rsid w:val="003C54F4"/>
    <w:rsid w:val="003C565B"/>
    <w:rsid w:val="003C56FD"/>
    <w:rsid w:val="003C57F0"/>
    <w:rsid w:val="003C584D"/>
    <w:rsid w:val="003C58C1"/>
    <w:rsid w:val="003C5A2A"/>
    <w:rsid w:val="003C5AD1"/>
    <w:rsid w:val="003C5BD8"/>
    <w:rsid w:val="003C5CEC"/>
    <w:rsid w:val="003C5D86"/>
    <w:rsid w:val="003C5D95"/>
    <w:rsid w:val="003C6123"/>
    <w:rsid w:val="003C613B"/>
    <w:rsid w:val="003C61A2"/>
    <w:rsid w:val="003C61D5"/>
    <w:rsid w:val="003C6469"/>
    <w:rsid w:val="003C64E4"/>
    <w:rsid w:val="003C64F2"/>
    <w:rsid w:val="003C66F9"/>
    <w:rsid w:val="003C6738"/>
    <w:rsid w:val="003C6760"/>
    <w:rsid w:val="003C67D9"/>
    <w:rsid w:val="003C6AA3"/>
    <w:rsid w:val="003C6B1A"/>
    <w:rsid w:val="003C6D2E"/>
    <w:rsid w:val="003C6EC5"/>
    <w:rsid w:val="003C6F12"/>
    <w:rsid w:val="003C6F53"/>
    <w:rsid w:val="003C6FA8"/>
    <w:rsid w:val="003C7041"/>
    <w:rsid w:val="003C7062"/>
    <w:rsid w:val="003C71F2"/>
    <w:rsid w:val="003C720A"/>
    <w:rsid w:val="003C72E0"/>
    <w:rsid w:val="003C74DB"/>
    <w:rsid w:val="003C753E"/>
    <w:rsid w:val="003C75FE"/>
    <w:rsid w:val="003C7665"/>
    <w:rsid w:val="003C76B5"/>
    <w:rsid w:val="003C77A3"/>
    <w:rsid w:val="003C7850"/>
    <w:rsid w:val="003C7BEB"/>
    <w:rsid w:val="003C7C1B"/>
    <w:rsid w:val="003C7F80"/>
    <w:rsid w:val="003C7FB8"/>
    <w:rsid w:val="003D003B"/>
    <w:rsid w:val="003D00AF"/>
    <w:rsid w:val="003D0119"/>
    <w:rsid w:val="003D015F"/>
    <w:rsid w:val="003D048C"/>
    <w:rsid w:val="003D04AF"/>
    <w:rsid w:val="003D04BA"/>
    <w:rsid w:val="003D04DE"/>
    <w:rsid w:val="003D0530"/>
    <w:rsid w:val="003D0614"/>
    <w:rsid w:val="003D0689"/>
    <w:rsid w:val="003D06F4"/>
    <w:rsid w:val="003D0791"/>
    <w:rsid w:val="003D0954"/>
    <w:rsid w:val="003D0C5B"/>
    <w:rsid w:val="003D0EB8"/>
    <w:rsid w:val="003D0F64"/>
    <w:rsid w:val="003D0FC3"/>
    <w:rsid w:val="003D1092"/>
    <w:rsid w:val="003D111A"/>
    <w:rsid w:val="003D11B2"/>
    <w:rsid w:val="003D1213"/>
    <w:rsid w:val="003D1321"/>
    <w:rsid w:val="003D1412"/>
    <w:rsid w:val="003D1470"/>
    <w:rsid w:val="003D1488"/>
    <w:rsid w:val="003D151F"/>
    <w:rsid w:val="003D15C7"/>
    <w:rsid w:val="003D15C9"/>
    <w:rsid w:val="003D15EF"/>
    <w:rsid w:val="003D1691"/>
    <w:rsid w:val="003D18C8"/>
    <w:rsid w:val="003D18D5"/>
    <w:rsid w:val="003D1A02"/>
    <w:rsid w:val="003D1A69"/>
    <w:rsid w:val="003D1DA2"/>
    <w:rsid w:val="003D1E76"/>
    <w:rsid w:val="003D1E95"/>
    <w:rsid w:val="003D1F70"/>
    <w:rsid w:val="003D1FF9"/>
    <w:rsid w:val="003D20F0"/>
    <w:rsid w:val="003D2135"/>
    <w:rsid w:val="003D221A"/>
    <w:rsid w:val="003D2246"/>
    <w:rsid w:val="003D234A"/>
    <w:rsid w:val="003D23FE"/>
    <w:rsid w:val="003D2493"/>
    <w:rsid w:val="003D27D5"/>
    <w:rsid w:val="003D2852"/>
    <w:rsid w:val="003D2881"/>
    <w:rsid w:val="003D2906"/>
    <w:rsid w:val="003D2AD3"/>
    <w:rsid w:val="003D2EB4"/>
    <w:rsid w:val="003D2EE4"/>
    <w:rsid w:val="003D2FF8"/>
    <w:rsid w:val="003D3145"/>
    <w:rsid w:val="003D315A"/>
    <w:rsid w:val="003D3282"/>
    <w:rsid w:val="003D32F7"/>
    <w:rsid w:val="003D338A"/>
    <w:rsid w:val="003D3537"/>
    <w:rsid w:val="003D3554"/>
    <w:rsid w:val="003D35D3"/>
    <w:rsid w:val="003D35E6"/>
    <w:rsid w:val="003D3674"/>
    <w:rsid w:val="003D36E7"/>
    <w:rsid w:val="003D37D5"/>
    <w:rsid w:val="003D386E"/>
    <w:rsid w:val="003D3931"/>
    <w:rsid w:val="003D3A6F"/>
    <w:rsid w:val="003D3AF8"/>
    <w:rsid w:val="003D3B99"/>
    <w:rsid w:val="003D3D10"/>
    <w:rsid w:val="003D3D6A"/>
    <w:rsid w:val="003D3F66"/>
    <w:rsid w:val="003D40F6"/>
    <w:rsid w:val="003D411B"/>
    <w:rsid w:val="003D412E"/>
    <w:rsid w:val="003D4147"/>
    <w:rsid w:val="003D4229"/>
    <w:rsid w:val="003D4376"/>
    <w:rsid w:val="003D4466"/>
    <w:rsid w:val="003D44EA"/>
    <w:rsid w:val="003D4582"/>
    <w:rsid w:val="003D45C0"/>
    <w:rsid w:val="003D464B"/>
    <w:rsid w:val="003D475C"/>
    <w:rsid w:val="003D4815"/>
    <w:rsid w:val="003D48DC"/>
    <w:rsid w:val="003D49A8"/>
    <w:rsid w:val="003D49AA"/>
    <w:rsid w:val="003D4A37"/>
    <w:rsid w:val="003D4B42"/>
    <w:rsid w:val="003D4CDC"/>
    <w:rsid w:val="003D4DA9"/>
    <w:rsid w:val="003D4E4F"/>
    <w:rsid w:val="003D4E5E"/>
    <w:rsid w:val="003D4ED8"/>
    <w:rsid w:val="003D4F9E"/>
    <w:rsid w:val="003D5183"/>
    <w:rsid w:val="003D57C6"/>
    <w:rsid w:val="003D5884"/>
    <w:rsid w:val="003D591C"/>
    <w:rsid w:val="003D5A36"/>
    <w:rsid w:val="003D5B54"/>
    <w:rsid w:val="003D5BA4"/>
    <w:rsid w:val="003D5C37"/>
    <w:rsid w:val="003D5C71"/>
    <w:rsid w:val="003D5D10"/>
    <w:rsid w:val="003D5E73"/>
    <w:rsid w:val="003D5E8B"/>
    <w:rsid w:val="003D5EE0"/>
    <w:rsid w:val="003D5FCF"/>
    <w:rsid w:val="003D613E"/>
    <w:rsid w:val="003D61EB"/>
    <w:rsid w:val="003D62F0"/>
    <w:rsid w:val="003D6354"/>
    <w:rsid w:val="003D641C"/>
    <w:rsid w:val="003D64DC"/>
    <w:rsid w:val="003D6689"/>
    <w:rsid w:val="003D66AB"/>
    <w:rsid w:val="003D67B6"/>
    <w:rsid w:val="003D69EA"/>
    <w:rsid w:val="003D6A6B"/>
    <w:rsid w:val="003D6A96"/>
    <w:rsid w:val="003D6AA1"/>
    <w:rsid w:val="003D6BFB"/>
    <w:rsid w:val="003D6C1E"/>
    <w:rsid w:val="003D6C42"/>
    <w:rsid w:val="003D6C8B"/>
    <w:rsid w:val="003D6CDD"/>
    <w:rsid w:val="003D6FC8"/>
    <w:rsid w:val="003D6FE9"/>
    <w:rsid w:val="003D71CA"/>
    <w:rsid w:val="003D737B"/>
    <w:rsid w:val="003D73DE"/>
    <w:rsid w:val="003D7410"/>
    <w:rsid w:val="003D7521"/>
    <w:rsid w:val="003D7526"/>
    <w:rsid w:val="003D7585"/>
    <w:rsid w:val="003D7611"/>
    <w:rsid w:val="003D761A"/>
    <w:rsid w:val="003D76B3"/>
    <w:rsid w:val="003D7834"/>
    <w:rsid w:val="003D79AA"/>
    <w:rsid w:val="003D7B3C"/>
    <w:rsid w:val="003D7D72"/>
    <w:rsid w:val="003E00B2"/>
    <w:rsid w:val="003E014A"/>
    <w:rsid w:val="003E016F"/>
    <w:rsid w:val="003E0189"/>
    <w:rsid w:val="003E01AC"/>
    <w:rsid w:val="003E04CA"/>
    <w:rsid w:val="003E059B"/>
    <w:rsid w:val="003E06A1"/>
    <w:rsid w:val="003E0743"/>
    <w:rsid w:val="003E0780"/>
    <w:rsid w:val="003E07A8"/>
    <w:rsid w:val="003E096D"/>
    <w:rsid w:val="003E098B"/>
    <w:rsid w:val="003E0A5F"/>
    <w:rsid w:val="003E0ACC"/>
    <w:rsid w:val="003E0F79"/>
    <w:rsid w:val="003E0FB5"/>
    <w:rsid w:val="003E0FBD"/>
    <w:rsid w:val="003E1357"/>
    <w:rsid w:val="003E1378"/>
    <w:rsid w:val="003E1445"/>
    <w:rsid w:val="003E1663"/>
    <w:rsid w:val="003E1818"/>
    <w:rsid w:val="003E18DE"/>
    <w:rsid w:val="003E1943"/>
    <w:rsid w:val="003E1984"/>
    <w:rsid w:val="003E1B84"/>
    <w:rsid w:val="003E1BD1"/>
    <w:rsid w:val="003E2042"/>
    <w:rsid w:val="003E20B1"/>
    <w:rsid w:val="003E20FC"/>
    <w:rsid w:val="003E2199"/>
    <w:rsid w:val="003E22EA"/>
    <w:rsid w:val="003E235E"/>
    <w:rsid w:val="003E23A4"/>
    <w:rsid w:val="003E2401"/>
    <w:rsid w:val="003E248B"/>
    <w:rsid w:val="003E24F0"/>
    <w:rsid w:val="003E2739"/>
    <w:rsid w:val="003E273F"/>
    <w:rsid w:val="003E2765"/>
    <w:rsid w:val="003E2911"/>
    <w:rsid w:val="003E2A17"/>
    <w:rsid w:val="003E2A43"/>
    <w:rsid w:val="003E2ACB"/>
    <w:rsid w:val="003E2AE0"/>
    <w:rsid w:val="003E2C42"/>
    <w:rsid w:val="003E2C79"/>
    <w:rsid w:val="003E2CCC"/>
    <w:rsid w:val="003E2E57"/>
    <w:rsid w:val="003E2FE7"/>
    <w:rsid w:val="003E310F"/>
    <w:rsid w:val="003E312F"/>
    <w:rsid w:val="003E3408"/>
    <w:rsid w:val="003E3470"/>
    <w:rsid w:val="003E34AF"/>
    <w:rsid w:val="003E3630"/>
    <w:rsid w:val="003E36F7"/>
    <w:rsid w:val="003E3705"/>
    <w:rsid w:val="003E3755"/>
    <w:rsid w:val="003E37F2"/>
    <w:rsid w:val="003E392D"/>
    <w:rsid w:val="003E3969"/>
    <w:rsid w:val="003E39C4"/>
    <w:rsid w:val="003E3A3F"/>
    <w:rsid w:val="003E3A48"/>
    <w:rsid w:val="003E3A84"/>
    <w:rsid w:val="003E3AAD"/>
    <w:rsid w:val="003E3AC3"/>
    <w:rsid w:val="003E3AE8"/>
    <w:rsid w:val="003E3C11"/>
    <w:rsid w:val="003E3C8F"/>
    <w:rsid w:val="003E3DA0"/>
    <w:rsid w:val="003E409A"/>
    <w:rsid w:val="003E4172"/>
    <w:rsid w:val="003E41F0"/>
    <w:rsid w:val="003E4265"/>
    <w:rsid w:val="003E43BE"/>
    <w:rsid w:val="003E43C1"/>
    <w:rsid w:val="003E43D8"/>
    <w:rsid w:val="003E4624"/>
    <w:rsid w:val="003E4657"/>
    <w:rsid w:val="003E466C"/>
    <w:rsid w:val="003E470E"/>
    <w:rsid w:val="003E4961"/>
    <w:rsid w:val="003E4992"/>
    <w:rsid w:val="003E49A8"/>
    <w:rsid w:val="003E4AB3"/>
    <w:rsid w:val="003E4C5C"/>
    <w:rsid w:val="003E4D44"/>
    <w:rsid w:val="003E4E32"/>
    <w:rsid w:val="003E5102"/>
    <w:rsid w:val="003E5243"/>
    <w:rsid w:val="003E53B8"/>
    <w:rsid w:val="003E54EA"/>
    <w:rsid w:val="003E5539"/>
    <w:rsid w:val="003E55F1"/>
    <w:rsid w:val="003E55F2"/>
    <w:rsid w:val="003E570C"/>
    <w:rsid w:val="003E5711"/>
    <w:rsid w:val="003E57C6"/>
    <w:rsid w:val="003E57E2"/>
    <w:rsid w:val="003E582F"/>
    <w:rsid w:val="003E5838"/>
    <w:rsid w:val="003E583D"/>
    <w:rsid w:val="003E58F6"/>
    <w:rsid w:val="003E5950"/>
    <w:rsid w:val="003E5A75"/>
    <w:rsid w:val="003E5C8B"/>
    <w:rsid w:val="003E5CCE"/>
    <w:rsid w:val="003E5FF3"/>
    <w:rsid w:val="003E6141"/>
    <w:rsid w:val="003E61E3"/>
    <w:rsid w:val="003E61E4"/>
    <w:rsid w:val="003E62BB"/>
    <w:rsid w:val="003E63B8"/>
    <w:rsid w:val="003E6467"/>
    <w:rsid w:val="003E6895"/>
    <w:rsid w:val="003E69F0"/>
    <w:rsid w:val="003E6A71"/>
    <w:rsid w:val="003E6AF3"/>
    <w:rsid w:val="003E6B24"/>
    <w:rsid w:val="003E6B89"/>
    <w:rsid w:val="003E6BC5"/>
    <w:rsid w:val="003E6BDD"/>
    <w:rsid w:val="003E6DF3"/>
    <w:rsid w:val="003E6E8E"/>
    <w:rsid w:val="003E6EDF"/>
    <w:rsid w:val="003E7028"/>
    <w:rsid w:val="003E7118"/>
    <w:rsid w:val="003E72E2"/>
    <w:rsid w:val="003E7313"/>
    <w:rsid w:val="003E744E"/>
    <w:rsid w:val="003E7550"/>
    <w:rsid w:val="003E777A"/>
    <w:rsid w:val="003E77A2"/>
    <w:rsid w:val="003E7A03"/>
    <w:rsid w:val="003E7B57"/>
    <w:rsid w:val="003E7B69"/>
    <w:rsid w:val="003E7D5C"/>
    <w:rsid w:val="003E7F0C"/>
    <w:rsid w:val="003E7F61"/>
    <w:rsid w:val="003F0016"/>
    <w:rsid w:val="003F0029"/>
    <w:rsid w:val="003F005C"/>
    <w:rsid w:val="003F0116"/>
    <w:rsid w:val="003F0203"/>
    <w:rsid w:val="003F028D"/>
    <w:rsid w:val="003F030E"/>
    <w:rsid w:val="003F0393"/>
    <w:rsid w:val="003F04FA"/>
    <w:rsid w:val="003F0615"/>
    <w:rsid w:val="003F0801"/>
    <w:rsid w:val="003F0974"/>
    <w:rsid w:val="003F0A47"/>
    <w:rsid w:val="003F0AAE"/>
    <w:rsid w:val="003F0AE8"/>
    <w:rsid w:val="003F0C0A"/>
    <w:rsid w:val="003F0C5D"/>
    <w:rsid w:val="003F0C87"/>
    <w:rsid w:val="003F0CB7"/>
    <w:rsid w:val="003F0FBA"/>
    <w:rsid w:val="003F100B"/>
    <w:rsid w:val="003F1107"/>
    <w:rsid w:val="003F112A"/>
    <w:rsid w:val="003F12EF"/>
    <w:rsid w:val="003F13B0"/>
    <w:rsid w:val="003F1466"/>
    <w:rsid w:val="003F15AA"/>
    <w:rsid w:val="003F1602"/>
    <w:rsid w:val="003F1797"/>
    <w:rsid w:val="003F17C0"/>
    <w:rsid w:val="003F18AA"/>
    <w:rsid w:val="003F19C8"/>
    <w:rsid w:val="003F1A23"/>
    <w:rsid w:val="003F1B3F"/>
    <w:rsid w:val="003F1D34"/>
    <w:rsid w:val="003F1D54"/>
    <w:rsid w:val="003F1D94"/>
    <w:rsid w:val="003F1DBE"/>
    <w:rsid w:val="003F1E6A"/>
    <w:rsid w:val="003F1EBF"/>
    <w:rsid w:val="003F1FD9"/>
    <w:rsid w:val="003F2260"/>
    <w:rsid w:val="003F22BD"/>
    <w:rsid w:val="003F2446"/>
    <w:rsid w:val="003F2470"/>
    <w:rsid w:val="003F250E"/>
    <w:rsid w:val="003F25D9"/>
    <w:rsid w:val="003F26CD"/>
    <w:rsid w:val="003F26D0"/>
    <w:rsid w:val="003F28FB"/>
    <w:rsid w:val="003F2A99"/>
    <w:rsid w:val="003F2AD1"/>
    <w:rsid w:val="003F2AFE"/>
    <w:rsid w:val="003F2D11"/>
    <w:rsid w:val="003F2D7E"/>
    <w:rsid w:val="003F2E38"/>
    <w:rsid w:val="003F3044"/>
    <w:rsid w:val="003F3051"/>
    <w:rsid w:val="003F3206"/>
    <w:rsid w:val="003F33A4"/>
    <w:rsid w:val="003F365C"/>
    <w:rsid w:val="003F36F4"/>
    <w:rsid w:val="003F38C2"/>
    <w:rsid w:val="003F3E43"/>
    <w:rsid w:val="003F3E92"/>
    <w:rsid w:val="003F3F22"/>
    <w:rsid w:val="003F409C"/>
    <w:rsid w:val="003F40F7"/>
    <w:rsid w:val="003F4117"/>
    <w:rsid w:val="003F411E"/>
    <w:rsid w:val="003F45DA"/>
    <w:rsid w:val="003F467A"/>
    <w:rsid w:val="003F4764"/>
    <w:rsid w:val="003F478B"/>
    <w:rsid w:val="003F48F6"/>
    <w:rsid w:val="003F4934"/>
    <w:rsid w:val="003F4935"/>
    <w:rsid w:val="003F4943"/>
    <w:rsid w:val="003F4A38"/>
    <w:rsid w:val="003F4BDE"/>
    <w:rsid w:val="003F4D66"/>
    <w:rsid w:val="003F514A"/>
    <w:rsid w:val="003F523E"/>
    <w:rsid w:val="003F5398"/>
    <w:rsid w:val="003F5460"/>
    <w:rsid w:val="003F54C7"/>
    <w:rsid w:val="003F572C"/>
    <w:rsid w:val="003F584D"/>
    <w:rsid w:val="003F58FE"/>
    <w:rsid w:val="003F59EB"/>
    <w:rsid w:val="003F5D13"/>
    <w:rsid w:val="003F5D50"/>
    <w:rsid w:val="003F5D62"/>
    <w:rsid w:val="003F5EB3"/>
    <w:rsid w:val="003F5F28"/>
    <w:rsid w:val="003F5F7E"/>
    <w:rsid w:val="003F5F80"/>
    <w:rsid w:val="003F5FAA"/>
    <w:rsid w:val="003F6071"/>
    <w:rsid w:val="003F620C"/>
    <w:rsid w:val="003F6219"/>
    <w:rsid w:val="003F62FC"/>
    <w:rsid w:val="003F636C"/>
    <w:rsid w:val="003F63FC"/>
    <w:rsid w:val="003F64BC"/>
    <w:rsid w:val="003F65F6"/>
    <w:rsid w:val="003F669E"/>
    <w:rsid w:val="003F6745"/>
    <w:rsid w:val="003F678D"/>
    <w:rsid w:val="003F68EC"/>
    <w:rsid w:val="003F6920"/>
    <w:rsid w:val="003F6C3D"/>
    <w:rsid w:val="003F6CD2"/>
    <w:rsid w:val="003F6DDD"/>
    <w:rsid w:val="003F6F3F"/>
    <w:rsid w:val="003F6F4E"/>
    <w:rsid w:val="003F6FD7"/>
    <w:rsid w:val="003F726D"/>
    <w:rsid w:val="003F73A5"/>
    <w:rsid w:val="003F749E"/>
    <w:rsid w:val="003F74DD"/>
    <w:rsid w:val="003F760F"/>
    <w:rsid w:val="003F761B"/>
    <w:rsid w:val="003F76C2"/>
    <w:rsid w:val="003F781B"/>
    <w:rsid w:val="003F7988"/>
    <w:rsid w:val="003F79D3"/>
    <w:rsid w:val="003F7A4F"/>
    <w:rsid w:val="003F7B4A"/>
    <w:rsid w:val="004003B1"/>
    <w:rsid w:val="00400679"/>
    <w:rsid w:val="0040067E"/>
    <w:rsid w:val="00400721"/>
    <w:rsid w:val="00400768"/>
    <w:rsid w:val="00400856"/>
    <w:rsid w:val="004008F6"/>
    <w:rsid w:val="004009DC"/>
    <w:rsid w:val="00400A12"/>
    <w:rsid w:val="00400C3B"/>
    <w:rsid w:val="00400D31"/>
    <w:rsid w:val="00400EF3"/>
    <w:rsid w:val="00401003"/>
    <w:rsid w:val="0040116F"/>
    <w:rsid w:val="004013AF"/>
    <w:rsid w:val="00401454"/>
    <w:rsid w:val="00401562"/>
    <w:rsid w:val="00401663"/>
    <w:rsid w:val="00401724"/>
    <w:rsid w:val="004017E9"/>
    <w:rsid w:val="00401804"/>
    <w:rsid w:val="00401894"/>
    <w:rsid w:val="004019E1"/>
    <w:rsid w:val="00401A4B"/>
    <w:rsid w:val="00401AEB"/>
    <w:rsid w:val="00401B85"/>
    <w:rsid w:val="00401BE3"/>
    <w:rsid w:val="00401E33"/>
    <w:rsid w:val="00401E4B"/>
    <w:rsid w:val="00401F22"/>
    <w:rsid w:val="00401F6F"/>
    <w:rsid w:val="00401F8F"/>
    <w:rsid w:val="00402001"/>
    <w:rsid w:val="00402034"/>
    <w:rsid w:val="004020DD"/>
    <w:rsid w:val="00402191"/>
    <w:rsid w:val="0040228F"/>
    <w:rsid w:val="00402290"/>
    <w:rsid w:val="004022C9"/>
    <w:rsid w:val="0040238A"/>
    <w:rsid w:val="0040240E"/>
    <w:rsid w:val="0040247D"/>
    <w:rsid w:val="00402488"/>
    <w:rsid w:val="00402497"/>
    <w:rsid w:val="00402574"/>
    <w:rsid w:val="00402619"/>
    <w:rsid w:val="0040276E"/>
    <w:rsid w:val="004028AF"/>
    <w:rsid w:val="00402969"/>
    <w:rsid w:val="004029EE"/>
    <w:rsid w:val="00402ACF"/>
    <w:rsid w:val="00402B5C"/>
    <w:rsid w:val="00402BD4"/>
    <w:rsid w:val="00402C1D"/>
    <w:rsid w:val="00402C31"/>
    <w:rsid w:val="00402C38"/>
    <w:rsid w:val="00402DE9"/>
    <w:rsid w:val="00402F69"/>
    <w:rsid w:val="00402FE1"/>
    <w:rsid w:val="0040316A"/>
    <w:rsid w:val="0040321F"/>
    <w:rsid w:val="0040329D"/>
    <w:rsid w:val="0040330E"/>
    <w:rsid w:val="00403327"/>
    <w:rsid w:val="00403476"/>
    <w:rsid w:val="004035B4"/>
    <w:rsid w:val="004036E1"/>
    <w:rsid w:val="0040372C"/>
    <w:rsid w:val="004037AE"/>
    <w:rsid w:val="004037CA"/>
    <w:rsid w:val="004037F3"/>
    <w:rsid w:val="00403806"/>
    <w:rsid w:val="00403818"/>
    <w:rsid w:val="004038E5"/>
    <w:rsid w:val="0040395A"/>
    <w:rsid w:val="004039E7"/>
    <w:rsid w:val="00403B22"/>
    <w:rsid w:val="00403B7C"/>
    <w:rsid w:val="00403CA7"/>
    <w:rsid w:val="00403F4D"/>
    <w:rsid w:val="00404199"/>
    <w:rsid w:val="004042BB"/>
    <w:rsid w:val="004042DD"/>
    <w:rsid w:val="00404311"/>
    <w:rsid w:val="004043EE"/>
    <w:rsid w:val="00404515"/>
    <w:rsid w:val="004045E5"/>
    <w:rsid w:val="00404661"/>
    <w:rsid w:val="004046D6"/>
    <w:rsid w:val="0040484F"/>
    <w:rsid w:val="004048BA"/>
    <w:rsid w:val="00404967"/>
    <w:rsid w:val="00404996"/>
    <w:rsid w:val="004049AC"/>
    <w:rsid w:val="00404C24"/>
    <w:rsid w:val="00404C5A"/>
    <w:rsid w:val="00404CF1"/>
    <w:rsid w:val="00404CF8"/>
    <w:rsid w:val="00404DFE"/>
    <w:rsid w:val="00404E30"/>
    <w:rsid w:val="00404E9F"/>
    <w:rsid w:val="00405282"/>
    <w:rsid w:val="004052BE"/>
    <w:rsid w:val="004052F5"/>
    <w:rsid w:val="0040536A"/>
    <w:rsid w:val="0040575D"/>
    <w:rsid w:val="00405798"/>
    <w:rsid w:val="00405A07"/>
    <w:rsid w:val="00405A08"/>
    <w:rsid w:val="00405ACD"/>
    <w:rsid w:val="00405AEE"/>
    <w:rsid w:val="00405B53"/>
    <w:rsid w:val="00405F35"/>
    <w:rsid w:val="00405FD5"/>
    <w:rsid w:val="00406024"/>
    <w:rsid w:val="004061E3"/>
    <w:rsid w:val="00406279"/>
    <w:rsid w:val="004064CF"/>
    <w:rsid w:val="00406617"/>
    <w:rsid w:val="004066FA"/>
    <w:rsid w:val="00406771"/>
    <w:rsid w:val="004068DE"/>
    <w:rsid w:val="00406960"/>
    <w:rsid w:val="0040699C"/>
    <w:rsid w:val="004069D1"/>
    <w:rsid w:val="00406A1B"/>
    <w:rsid w:val="00406AFE"/>
    <w:rsid w:val="00406B8E"/>
    <w:rsid w:val="00406BF3"/>
    <w:rsid w:val="00406D64"/>
    <w:rsid w:val="00406D90"/>
    <w:rsid w:val="00406DF8"/>
    <w:rsid w:val="00406F00"/>
    <w:rsid w:val="00407092"/>
    <w:rsid w:val="00407406"/>
    <w:rsid w:val="0040760F"/>
    <w:rsid w:val="0040764D"/>
    <w:rsid w:val="0040764E"/>
    <w:rsid w:val="00407683"/>
    <w:rsid w:val="004077A1"/>
    <w:rsid w:val="004077E0"/>
    <w:rsid w:val="00407962"/>
    <w:rsid w:val="00407A74"/>
    <w:rsid w:val="00407BD6"/>
    <w:rsid w:val="00407BFE"/>
    <w:rsid w:val="00407D0B"/>
    <w:rsid w:val="00407FEC"/>
    <w:rsid w:val="00407FF0"/>
    <w:rsid w:val="0041025B"/>
    <w:rsid w:val="004103AB"/>
    <w:rsid w:val="00410435"/>
    <w:rsid w:val="004104BE"/>
    <w:rsid w:val="0041062F"/>
    <w:rsid w:val="00410744"/>
    <w:rsid w:val="0041077F"/>
    <w:rsid w:val="004107C6"/>
    <w:rsid w:val="00410858"/>
    <w:rsid w:val="004109A3"/>
    <w:rsid w:val="00410AEC"/>
    <w:rsid w:val="00410DF5"/>
    <w:rsid w:val="00410F96"/>
    <w:rsid w:val="00410FC5"/>
    <w:rsid w:val="0041120E"/>
    <w:rsid w:val="00411341"/>
    <w:rsid w:val="00411401"/>
    <w:rsid w:val="0041148C"/>
    <w:rsid w:val="004114C1"/>
    <w:rsid w:val="00411586"/>
    <w:rsid w:val="00411601"/>
    <w:rsid w:val="00411636"/>
    <w:rsid w:val="004116BC"/>
    <w:rsid w:val="00411AB0"/>
    <w:rsid w:val="00411BE1"/>
    <w:rsid w:val="00411C77"/>
    <w:rsid w:val="00411ED4"/>
    <w:rsid w:val="00412003"/>
    <w:rsid w:val="00412076"/>
    <w:rsid w:val="004121D8"/>
    <w:rsid w:val="00412525"/>
    <w:rsid w:val="00412530"/>
    <w:rsid w:val="0041265D"/>
    <w:rsid w:val="0041280B"/>
    <w:rsid w:val="00412835"/>
    <w:rsid w:val="00412878"/>
    <w:rsid w:val="00412997"/>
    <w:rsid w:val="00412A16"/>
    <w:rsid w:val="00412A9E"/>
    <w:rsid w:val="00412B36"/>
    <w:rsid w:val="00412C7F"/>
    <w:rsid w:val="00412DF6"/>
    <w:rsid w:val="00412E14"/>
    <w:rsid w:val="00412ECD"/>
    <w:rsid w:val="00412F2C"/>
    <w:rsid w:val="00413195"/>
    <w:rsid w:val="004131E3"/>
    <w:rsid w:val="00413237"/>
    <w:rsid w:val="004134F4"/>
    <w:rsid w:val="0041368E"/>
    <w:rsid w:val="004136DC"/>
    <w:rsid w:val="0041372B"/>
    <w:rsid w:val="00413751"/>
    <w:rsid w:val="0041389C"/>
    <w:rsid w:val="004138C1"/>
    <w:rsid w:val="0041395F"/>
    <w:rsid w:val="004139C0"/>
    <w:rsid w:val="004139DE"/>
    <w:rsid w:val="00413B44"/>
    <w:rsid w:val="00413B59"/>
    <w:rsid w:val="00413C5C"/>
    <w:rsid w:val="00414126"/>
    <w:rsid w:val="0041414B"/>
    <w:rsid w:val="004141CA"/>
    <w:rsid w:val="0041426F"/>
    <w:rsid w:val="0041435A"/>
    <w:rsid w:val="0041437B"/>
    <w:rsid w:val="00414683"/>
    <w:rsid w:val="00414789"/>
    <w:rsid w:val="0041486C"/>
    <w:rsid w:val="00414B26"/>
    <w:rsid w:val="00414BEE"/>
    <w:rsid w:val="00414D45"/>
    <w:rsid w:val="00414E49"/>
    <w:rsid w:val="00414EF2"/>
    <w:rsid w:val="00414F5F"/>
    <w:rsid w:val="00414FBF"/>
    <w:rsid w:val="00415245"/>
    <w:rsid w:val="0041534E"/>
    <w:rsid w:val="004153AA"/>
    <w:rsid w:val="004154FB"/>
    <w:rsid w:val="00415505"/>
    <w:rsid w:val="00415634"/>
    <w:rsid w:val="00415794"/>
    <w:rsid w:val="00415824"/>
    <w:rsid w:val="00415828"/>
    <w:rsid w:val="00415956"/>
    <w:rsid w:val="00415A30"/>
    <w:rsid w:val="00415C2E"/>
    <w:rsid w:val="00415E1D"/>
    <w:rsid w:val="00415F30"/>
    <w:rsid w:val="004160A8"/>
    <w:rsid w:val="004163E6"/>
    <w:rsid w:val="00416471"/>
    <w:rsid w:val="00416598"/>
    <w:rsid w:val="004165A8"/>
    <w:rsid w:val="0041674A"/>
    <w:rsid w:val="00416779"/>
    <w:rsid w:val="0041680A"/>
    <w:rsid w:val="00416FB7"/>
    <w:rsid w:val="00417025"/>
    <w:rsid w:val="00417100"/>
    <w:rsid w:val="0041726A"/>
    <w:rsid w:val="0041727D"/>
    <w:rsid w:val="004173B1"/>
    <w:rsid w:val="00417552"/>
    <w:rsid w:val="00417605"/>
    <w:rsid w:val="0041768D"/>
    <w:rsid w:val="004177C2"/>
    <w:rsid w:val="00417831"/>
    <w:rsid w:val="004178F2"/>
    <w:rsid w:val="00417B5F"/>
    <w:rsid w:val="00417C43"/>
    <w:rsid w:val="00417CD9"/>
    <w:rsid w:val="00417EC2"/>
    <w:rsid w:val="00417FB3"/>
    <w:rsid w:val="00417FC4"/>
    <w:rsid w:val="004200A1"/>
    <w:rsid w:val="004200B8"/>
    <w:rsid w:val="004200D9"/>
    <w:rsid w:val="004200DB"/>
    <w:rsid w:val="00420180"/>
    <w:rsid w:val="004202C0"/>
    <w:rsid w:val="004205C4"/>
    <w:rsid w:val="0042080D"/>
    <w:rsid w:val="00420B42"/>
    <w:rsid w:val="00420B5C"/>
    <w:rsid w:val="00420B61"/>
    <w:rsid w:val="00420C12"/>
    <w:rsid w:val="00420C3E"/>
    <w:rsid w:val="00420CFC"/>
    <w:rsid w:val="00420DC9"/>
    <w:rsid w:val="00420EE5"/>
    <w:rsid w:val="0042101D"/>
    <w:rsid w:val="00421225"/>
    <w:rsid w:val="00421287"/>
    <w:rsid w:val="00421298"/>
    <w:rsid w:val="00421471"/>
    <w:rsid w:val="00421537"/>
    <w:rsid w:val="004215FC"/>
    <w:rsid w:val="0042166D"/>
    <w:rsid w:val="004216EF"/>
    <w:rsid w:val="004217DE"/>
    <w:rsid w:val="00421961"/>
    <w:rsid w:val="00421BD6"/>
    <w:rsid w:val="00421C0B"/>
    <w:rsid w:val="00421CF8"/>
    <w:rsid w:val="00422258"/>
    <w:rsid w:val="00422281"/>
    <w:rsid w:val="00422393"/>
    <w:rsid w:val="0042262D"/>
    <w:rsid w:val="00422731"/>
    <w:rsid w:val="00422733"/>
    <w:rsid w:val="004227A4"/>
    <w:rsid w:val="004228BE"/>
    <w:rsid w:val="004228E8"/>
    <w:rsid w:val="0042291A"/>
    <w:rsid w:val="004229C1"/>
    <w:rsid w:val="00422C8A"/>
    <w:rsid w:val="00422ED3"/>
    <w:rsid w:val="00422F2D"/>
    <w:rsid w:val="00423007"/>
    <w:rsid w:val="00423046"/>
    <w:rsid w:val="004231EB"/>
    <w:rsid w:val="0042320D"/>
    <w:rsid w:val="004232A8"/>
    <w:rsid w:val="00423346"/>
    <w:rsid w:val="00423379"/>
    <w:rsid w:val="0042349F"/>
    <w:rsid w:val="0042357E"/>
    <w:rsid w:val="00423587"/>
    <w:rsid w:val="0042359A"/>
    <w:rsid w:val="0042364D"/>
    <w:rsid w:val="00423687"/>
    <w:rsid w:val="0042374C"/>
    <w:rsid w:val="00423823"/>
    <w:rsid w:val="004238D5"/>
    <w:rsid w:val="004238FE"/>
    <w:rsid w:val="00423A80"/>
    <w:rsid w:val="00423C60"/>
    <w:rsid w:val="00423D89"/>
    <w:rsid w:val="00423DCB"/>
    <w:rsid w:val="00423E74"/>
    <w:rsid w:val="00423EB5"/>
    <w:rsid w:val="00423F17"/>
    <w:rsid w:val="00423F36"/>
    <w:rsid w:val="004241C1"/>
    <w:rsid w:val="00424302"/>
    <w:rsid w:val="0042437B"/>
    <w:rsid w:val="00424498"/>
    <w:rsid w:val="004244A0"/>
    <w:rsid w:val="00424585"/>
    <w:rsid w:val="004245AB"/>
    <w:rsid w:val="00424609"/>
    <w:rsid w:val="00424722"/>
    <w:rsid w:val="004248CA"/>
    <w:rsid w:val="00424A61"/>
    <w:rsid w:val="00424B6A"/>
    <w:rsid w:val="00424BE9"/>
    <w:rsid w:val="00424C34"/>
    <w:rsid w:val="00424E25"/>
    <w:rsid w:val="00424EB0"/>
    <w:rsid w:val="00424EE7"/>
    <w:rsid w:val="004250CC"/>
    <w:rsid w:val="00425278"/>
    <w:rsid w:val="00425665"/>
    <w:rsid w:val="0042589C"/>
    <w:rsid w:val="0042593E"/>
    <w:rsid w:val="0042598F"/>
    <w:rsid w:val="00425DCF"/>
    <w:rsid w:val="00425E64"/>
    <w:rsid w:val="00425E80"/>
    <w:rsid w:val="00425EB2"/>
    <w:rsid w:val="00425EC6"/>
    <w:rsid w:val="00425ECA"/>
    <w:rsid w:val="00425F14"/>
    <w:rsid w:val="00426158"/>
    <w:rsid w:val="0042625E"/>
    <w:rsid w:val="004262C2"/>
    <w:rsid w:val="004262F6"/>
    <w:rsid w:val="00426395"/>
    <w:rsid w:val="00426450"/>
    <w:rsid w:val="004267C5"/>
    <w:rsid w:val="00426812"/>
    <w:rsid w:val="00426956"/>
    <w:rsid w:val="0042696E"/>
    <w:rsid w:val="00426AC8"/>
    <w:rsid w:val="00426AE0"/>
    <w:rsid w:val="00426B4F"/>
    <w:rsid w:val="00426C7B"/>
    <w:rsid w:val="00426DB7"/>
    <w:rsid w:val="00426E68"/>
    <w:rsid w:val="00426EF5"/>
    <w:rsid w:val="00427094"/>
    <w:rsid w:val="00427139"/>
    <w:rsid w:val="00427368"/>
    <w:rsid w:val="0042740B"/>
    <w:rsid w:val="0042740D"/>
    <w:rsid w:val="004274DF"/>
    <w:rsid w:val="00427639"/>
    <w:rsid w:val="00427675"/>
    <w:rsid w:val="004276E1"/>
    <w:rsid w:val="004277A8"/>
    <w:rsid w:val="00427C5B"/>
    <w:rsid w:val="00427E5C"/>
    <w:rsid w:val="00427F96"/>
    <w:rsid w:val="0043012E"/>
    <w:rsid w:val="00430171"/>
    <w:rsid w:val="00430379"/>
    <w:rsid w:val="004304B7"/>
    <w:rsid w:val="0043066B"/>
    <w:rsid w:val="0043084A"/>
    <w:rsid w:val="0043096A"/>
    <w:rsid w:val="004309A3"/>
    <w:rsid w:val="00430B2C"/>
    <w:rsid w:val="00430C3A"/>
    <w:rsid w:val="00430C58"/>
    <w:rsid w:val="00430C78"/>
    <w:rsid w:val="00430C93"/>
    <w:rsid w:val="00430D38"/>
    <w:rsid w:val="00430E21"/>
    <w:rsid w:val="00430E5C"/>
    <w:rsid w:val="00430F60"/>
    <w:rsid w:val="00430FEB"/>
    <w:rsid w:val="0043109F"/>
    <w:rsid w:val="004310DA"/>
    <w:rsid w:val="004312A9"/>
    <w:rsid w:val="004313CB"/>
    <w:rsid w:val="004315D0"/>
    <w:rsid w:val="004316BB"/>
    <w:rsid w:val="004317D0"/>
    <w:rsid w:val="004317ED"/>
    <w:rsid w:val="00431931"/>
    <w:rsid w:val="00431B4C"/>
    <w:rsid w:val="00431B78"/>
    <w:rsid w:val="00431C6D"/>
    <w:rsid w:val="00431D21"/>
    <w:rsid w:val="00431D71"/>
    <w:rsid w:val="00431E0B"/>
    <w:rsid w:val="00431E78"/>
    <w:rsid w:val="00431E88"/>
    <w:rsid w:val="00432035"/>
    <w:rsid w:val="004320D7"/>
    <w:rsid w:val="00432247"/>
    <w:rsid w:val="004322D5"/>
    <w:rsid w:val="004323B9"/>
    <w:rsid w:val="00432463"/>
    <w:rsid w:val="00432510"/>
    <w:rsid w:val="0043269E"/>
    <w:rsid w:val="0043273C"/>
    <w:rsid w:val="004328F7"/>
    <w:rsid w:val="00432912"/>
    <w:rsid w:val="00432941"/>
    <w:rsid w:val="004329B8"/>
    <w:rsid w:val="00432AF7"/>
    <w:rsid w:val="00432D72"/>
    <w:rsid w:val="00432E30"/>
    <w:rsid w:val="00432EE3"/>
    <w:rsid w:val="00433095"/>
    <w:rsid w:val="004330BB"/>
    <w:rsid w:val="004330C1"/>
    <w:rsid w:val="004332D2"/>
    <w:rsid w:val="0043332E"/>
    <w:rsid w:val="00433355"/>
    <w:rsid w:val="00433513"/>
    <w:rsid w:val="0043351C"/>
    <w:rsid w:val="00433559"/>
    <w:rsid w:val="004335A1"/>
    <w:rsid w:val="00433662"/>
    <w:rsid w:val="004338B9"/>
    <w:rsid w:val="00433A41"/>
    <w:rsid w:val="00433BF2"/>
    <w:rsid w:val="00433CFC"/>
    <w:rsid w:val="00433D6E"/>
    <w:rsid w:val="00433DA1"/>
    <w:rsid w:val="00433ED2"/>
    <w:rsid w:val="00434044"/>
    <w:rsid w:val="0043417B"/>
    <w:rsid w:val="0043447A"/>
    <w:rsid w:val="004344BC"/>
    <w:rsid w:val="004344DA"/>
    <w:rsid w:val="00434531"/>
    <w:rsid w:val="00434658"/>
    <w:rsid w:val="0043472B"/>
    <w:rsid w:val="00434801"/>
    <w:rsid w:val="00434846"/>
    <w:rsid w:val="0043488A"/>
    <w:rsid w:val="00434C0F"/>
    <w:rsid w:val="00434CEB"/>
    <w:rsid w:val="00434E86"/>
    <w:rsid w:val="00434EDE"/>
    <w:rsid w:val="00434F1C"/>
    <w:rsid w:val="004350F0"/>
    <w:rsid w:val="00435278"/>
    <w:rsid w:val="00435342"/>
    <w:rsid w:val="004353FB"/>
    <w:rsid w:val="004355A9"/>
    <w:rsid w:val="0043572A"/>
    <w:rsid w:val="004358F8"/>
    <w:rsid w:val="0043597F"/>
    <w:rsid w:val="004359B8"/>
    <w:rsid w:val="00435A7E"/>
    <w:rsid w:val="00435A9A"/>
    <w:rsid w:val="00435B88"/>
    <w:rsid w:val="00435DAA"/>
    <w:rsid w:val="00435FB1"/>
    <w:rsid w:val="0043602E"/>
    <w:rsid w:val="00436090"/>
    <w:rsid w:val="00436394"/>
    <w:rsid w:val="00436519"/>
    <w:rsid w:val="00436BBB"/>
    <w:rsid w:val="00436EE9"/>
    <w:rsid w:val="0043706C"/>
    <w:rsid w:val="00437126"/>
    <w:rsid w:val="0043725B"/>
    <w:rsid w:val="004372E9"/>
    <w:rsid w:val="0043732F"/>
    <w:rsid w:val="00437404"/>
    <w:rsid w:val="0043741F"/>
    <w:rsid w:val="004376A9"/>
    <w:rsid w:val="00437713"/>
    <w:rsid w:val="0043787B"/>
    <w:rsid w:val="0043790E"/>
    <w:rsid w:val="0043791D"/>
    <w:rsid w:val="00437B23"/>
    <w:rsid w:val="00437B6A"/>
    <w:rsid w:val="00437BE3"/>
    <w:rsid w:val="00437D00"/>
    <w:rsid w:val="00437DC0"/>
    <w:rsid w:val="00437DFC"/>
    <w:rsid w:val="00437EE4"/>
    <w:rsid w:val="00437F2B"/>
    <w:rsid w:val="00437FC8"/>
    <w:rsid w:val="0044007A"/>
    <w:rsid w:val="00440279"/>
    <w:rsid w:val="004403C0"/>
    <w:rsid w:val="0044044A"/>
    <w:rsid w:val="00440489"/>
    <w:rsid w:val="004404A1"/>
    <w:rsid w:val="0044055C"/>
    <w:rsid w:val="00440688"/>
    <w:rsid w:val="00440909"/>
    <w:rsid w:val="00440A0A"/>
    <w:rsid w:val="00440A4C"/>
    <w:rsid w:val="00440CC7"/>
    <w:rsid w:val="00440D7A"/>
    <w:rsid w:val="00440EDC"/>
    <w:rsid w:val="00440EDD"/>
    <w:rsid w:val="0044110E"/>
    <w:rsid w:val="00441341"/>
    <w:rsid w:val="0044140D"/>
    <w:rsid w:val="004414AC"/>
    <w:rsid w:val="004416DC"/>
    <w:rsid w:val="00441866"/>
    <w:rsid w:val="004418A0"/>
    <w:rsid w:val="00441981"/>
    <w:rsid w:val="00441AE6"/>
    <w:rsid w:val="00441DD9"/>
    <w:rsid w:val="0044201E"/>
    <w:rsid w:val="00442107"/>
    <w:rsid w:val="0044212C"/>
    <w:rsid w:val="0044225F"/>
    <w:rsid w:val="00442752"/>
    <w:rsid w:val="00442959"/>
    <w:rsid w:val="00442D0A"/>
    <w:rsid w:val="00442D31"/>
    <w:rsid w:val="00442EBF"/>
    <w:rsid w:val="00442FC3"/>
    <w:rsid w:val="0044318E"/>
    <w:rsid w:val="0044334D"/>
    <w:rsid w:val="004435D9"/>
    <w:rsid w:val="00443B24"/>
    <w:rsid w:val="00443C7D"/>
    <w:rsid w:val="00443CD5"/>
    <w:rsid w:val="00443D2D"/>
    <w:rsid w:val="00443E11"/>
    <w:rsid w:val="00443E51"/>
    <w:rsid w:val="00443F92"/>
    <w:rsid w:val="00444115"/>
    <w:rsid w:val="00444163"/>
    <w:rsid w:val="00444226"/>
    <w:rsid w:val="00444422"/>
    <w:rsid w:val="004444DF"/>
    <w:rsid w:val="004445DC"/>
    <w:rsid w:val="00444648"/>
    <w:rsid w:val="0044465A"/>
    <w:rsid w:val="0044469A"/>
    <w:rsid w:val="00444762"/>
    <w:rsid w:val="004447F0"/>
    <w:rsid w:val="0044483A"/>
    <w:rsid w:val="004448D0"/>
    <w:rsid w:val="004448D6"/>
    <w:rsid w:val="0044490E"/>
    <w:rsid w:val="00444A97"/>
    <w:rsid w:val="00444ADA"/>
    <w:rsid w:val="00444E69"/>
    <w:rsid w:val="00444F01"/>
    <w:rsid w:val="00444F98"/>
    <w:rsid w:val="0044510A"/>
    <w:rsid w:val="00445143"/>
    <w:rsid w:val="00445801"/>
    <w:rsid w:val="0044588D"/>
    <w:rsid w:val="00445982"/>
    <w:rsid w:val="00445A12"/>
    <w:rsid w:val="00445AB8"/>
    <w:rsid w:val="00445CD8"/>
    <w:rsid w:val="00445D1E"/>
    <w:rsid w:val="00445F7D"/>
    <w:rsid w:val="00446171"/>
    <w:rsid w:val="0044658C"/>
    <w:rsid w:val="004465DE"/>
    <w:rsid w:val="0044660C"/>
    <w:rsid w:val="004466A9"/>
    <w:rsid w:val="004466B6"/>
    <w:rsid w:val="00446772"/>
    <w:rsid w:val="004469B5"/>
    <w:rsid w:val="00446C99"/>
    <w:rsid w:val="00446CDD"/>
    <w:rsid w:val="00446D35"/>
    <w:rsid w:val="004470EF"/>
    <w:rsid w:val="004471E9"/>
    <w:rsid w:val="004472E9"/>
    <w:rsid w:val="0044733D"/>
    <w:rsid w:val="0044756D"/>
    <w:rsid w:val="004475FE"/>
    <w:rsid w:val="00447675"/>
    <w:rsid w:val="004476B6"/>
    <w:rsid w:val="004477A8"/>
    <w:rsid w:val="004477BF"/>
    <w:rsid w:val="004478FC"/>
    <w:rsid w:val="00447904"/>
    <w:rsid w:val="00447B29"/>
    <w:rsid w:val="00447BBF"/>
    <w:rsid w:val="00447C2F"/>
    <w:rsid w:val="00447CA7"/>
    <w:rsid w:val="00447CB8"/>
    <w:rsid w:val="00447D9E"/>
    <w:rsid w:val="00450078"/>
    <w:rsid w:val="00450108"/>
    <w:rsid w:val="004503BB"/>
    <w:rsid w:val="004505C1"/>
    <w:rsid w:val="004506F4"/>
    <w:rsid w:val="0045070D"/>
    <w:rsid w:val="00450848"/>
    <w:rsid w:val="00450867"/>
    <w:rsid w:val="0045097F"/>
    <w:rsid w:val="00450A1B"/>
    <w:rsid w:val="00450B50"/>
    <w:rsid w:val="00450B6B"/>
    <w:rsid w:val="00450B99"/>
    <w:rsid w:val="00450BC2"/>
    <w:rsid w:val="00450C03"/>
    <w:rsid w:val="00450CF1"/>
    <w:rsid w:val="00450FC5"/>
    <w:rsid w:val="0045103C"/>
    <w:rsid w:val="00451293"/>
    <w:rsid w:val="004512CF"/>
    <w:rsid w:val="004514BC"/>
    <w:rsid w:val="00451696"/>
    <w:rsid w:val="0045181D"/>
    <w:rsid w:val="004518EC"/>
    <w:rsid w:val="00451956"/>
    <w:rsid w:val="00451D49"/>
    <w:rsid w:val="00451D6E"/>
    <w:rsid w:val="00451F47"/>
    <w:rsid w:val="00451F96"/>
    <w:rsid w:val="0045204C"/>
    <w:rsid w:val="0045206D"/>
    <w:rsid w:val="004520AC"/>
    <w:rsid w:val="004522E3"/>
    <w:rsid w:val="00452303"/>
    <w:rsid w:val="00452540"/>
    <w:rsid w:val="0045257E"/>
    <w:rsid w:val="00452670"/>
    <w:rsid w:val="004526E0"/>
    <w:rsid w:val="00452899"/>
    <w:rsid w:val="004529AD"/>
    <w:rsid w:val="00452AF2"/>
    <w:rsid w:val="00452ED7"/>
    <w:rsid w:val="00452F37"/>
    <w:rsid w:val="00452F91"/>
    <w:rsid w:val="00453009"/>
    <w:rsid w:val="00453129"/>
    <w:rsid w:val="0045325F"/>
    <w:rsid w:val="0045327E"/>
    <w:rsid w:val="00453519"/>
    <w:rsid w:val="004535B4"/>
    <w:rsid w:val="004536A7"/>
    <w:rsid w:val="004536F7"/>
    <w:rsid w:val="00453729"/>
    <w:rsid w:val="00453895"/>
    <w:rsid w:val="004539B8"/>
    <w:rsid w:val="00453A96"/>
    <w:rsid w:val="00453AB0"/>
    <w:rsid w:val="00453B08"/>
    <w:rsid w:val="00453C7B"/>
    <w:rsid w:val="00453C9D"/>
    <w:rsid w:val="00453CA9"/>
    <w:rsid w:val="00453CB6"/>
    <w:rsid w:val="00453CE3"/>
    <w:rsid w:val="004541E5"/>
    <w:rsid w:val="00454309"/>
    <w:rsid w:val="00454356"/>
    <w:rsid w:val="004543DF"/>
    <w:rsid w:val="00454535"/>
    <w:rsid w:val="004545C4"/>
    <w:rsid w:val="004546AF"/>
    <w:rsid w:val="004546F2"/>
    <w:rsid w:val="0045470E"/>
    <w:rsid w:val="00454730"/>
    <w:rsid w:val="00454853"/>
    <w:rsid w:val="0045488F"/>
    <w:rsid w:val="0045498F"/>
    <w:rsid w:val="00454A53"/>
    <w:rsid w:val="00454ACF"/>
    <w:rsid w:val="00454C01"/>
    <w:rsid w:val="00454CC2"/>
    <w:rsid w:val="00454DA1"/>
    <w:rsid w:val="00454DB4"/>
    <w:rsid w:val="00454E71"/>
    <w:rsid w:val="00454F0D"/>
    <w:rsid w:val="00455012"/>
    <w:rsid w:val="00455295"/>
    <w:rsid w:val="004552BD"/>
    <w:rsid w:val="0045535E"/>
    <w:rsid w:val="004553AA"/>
    <w:rsid w:val="00455540"/>
    <w:rsid w:val="0045563F"/>
    <w:rsid w:val="004556FE"/>
    <w:rsid w:val="00455744"/>
    <w:rsid w:val="0045577E"/>
    <w:rsid w:val="004557C6"/>
    <w:rsid w:val="00455956"/>
    <w:rsid w:val="00455A27"/>
    <w:rsid w:val="00455A41"/>
    <w:rsid w:val="00455BF5"/>
    <w:rsid w:val="00455E77"/>
    <w:rsid w:val="00455EC4"/>
    <w:rsid w:val="00455FAA"/>
    <w:rsid w:val="00455FEE"/>
    <w:rsid w:val="00456006"/>
    <w:rsid w:val="0045603F"/>
    <w:rsid w:val="0045617E"/>
    <w:rsid w:val="004561B5"/>
    <w:rsid w:val="00456331"/>
    <w:rsid w:val="0045634A"/>
    <w:rsid w:val="00456471"/>
    <w:rsid w:val="004564BB"/>
    <w:rsid w:val="004564BD"/>
    <w:rsid w:val="004564D9"/>
    <w:rsid w:val="004565C8"/>
    <w:rsid w:val="004566DC"/>
    <w:rsid w:val="004567CF"/>
    <w:rsid w:val="00456861"/>
    <w:rsid w:val="004568B4"/>
    <w:rsid w:val="00456959"/>
    <w:rsid w:val="00456D1C"/>
    <w:rsid w:val="00456DB3"/>
    <w:rsid w:val="00456F2F"/>
    <w:rsid w:val="00457225"/>
    <w:rsid w:val="004574DA"/>
    <w:rsid w:val="00457539"/>
    <w:rsid w:val="0045762F"/>
    <w:rsid w:val="004576FC"/>
    <w:rsid w:val="00457802"/>
    <w:rsid w:val="00457878"/>
    <w:rsid w:val="00457C05"/>
    <w:rsid w:val="00457D79"/>
    <w:rsid w:val="00457D95"/>
    <w:rsid w:val="00457E03"/>
    <w:rsid w:val="00457EE1"/>
    <w:rsid w:val="00457F22"/>
    <w:rsid w:val="00457FA4"/>
    <w:rsid w:val="00460147"/>
    <w:rsid w:val="00460180"/>
    <w:rsid w:val="00460197"/>
    <w:rsid w:val="004603D3"/>
    <w:rsid w:val="0046050A"/>
    <w:rsid w:val="00460701"/>
    <w:rsid w:val="004608D4"/>
    <w:rsid w:val="0046098C"/>
    <w:rsid w:val="00460B30"/>
    <w:rsid w:val="00460BA6"/>
    <w:rsid w:val="00460C54"/>
    <w:rsid w:val="00460D1B"/>
    <w:rsid w:val="00460D64"/>
    <w:rsid w:val="00460D83"/>
    <w:rsid w:val="00460E1E"/>
    <w:rsid w:val="004610F3"/>
    <w:rsid w:val="00461247"/>
    <w:rsid w:val="0046125B"/>
    <w:rsid w:val="00461292"/>
    <w:rsid w:val="00461482"/>
    <w:rsid w:val="004614D4"/>
    <w:rsid w:val="00461A05"/>
    <w:rsid w:val="00461A97"/>
    <w:rsid w:val="00461B3C"/>
    <w:rsid w:val="00461BC3"/>
    <w:rsid w:val="00461C4C"/>
    <w:rsid w:val="00461CC5"/>
    <w:rsid w:val="00461F1F"/>
    <w:rsid w:val="0046201F"/>
    <w:rsid w:val="0046202C"/>
    <w:rsid w:val="004623D0"/>
    <w:rsid w:val="004624C5"/>
    <w:rsid w:val="004627D5"/>
    <w:rsid w:val="00462858"/>
    <w:rsid w:val="00462871"/>
    <w:rsid w:val="0046288A"/>
    <w:rsid w:val="004628A1"/>
    <w:rsid w:val="0046290A"/>
    <w:rsid w:val="00462941"/>
    <w:rsid w:val="00462AC8"/>
    <w:rsid w:val="00462CFF"/>
    <w:rsid w:val="00462D3F"/>
    <w:rsid w:val="00462E22"/>
    <w:rsid w:val="00462E34"/>
    <w:rsid w:val="00462E9E"/>
    <w:rsid w:val="00463004"/>
    <w:rsid w:val="00463026"/>
    <w:rsid w:val="0046332B"/>
    <w:rsid w:val="004634FC"/>
    <w:rsid w:val="004635A7"/>
    <w:rsid w:val="00463639"/>
    <w:rsid w:val="004636EB"/>
    <w:rsid w:val="004636FA"/>
    <w:rsid w:val="00463715"/>
    <w:rsid w:val="00463985"/>
    <w:rsid w:val="00463B1A"/>
    <w:rsid w:val="00463CA9"/>
    <w:rsid w:val="00463D76"/>
    <w:rsid w:val="00463F1B"/>
    <w:rsid w:val="00463F83"/>
    <w:rsid w:val="00463F9E"/>
    <w:rsid w:val="00464014"/>
    <w:rsid w:val="00464087"/>
    <w:rsid w:val="004640AA"/>
    <w:rsid w:val="00464171"/>
    <w:rsid w:val="004641F8"/>
    <w:rsid w:val="0046436A"/>
    <w:rsid w:val="004643EC"/>
    <w:rsid w:val="0046442D"/>
    <w:rsid w:val="004645D3"/>
    <w:rsid w:val="004645F5"/>
    <w:rsid w:val="0046477C"/>
    <w:rsid w:val="00464931"/>
    <w:rsid w:val="004649BA"/>
    <w:rsid w:val="00464A4D"/>
    <w:rsid w:val="00464BAB"/>
    <w:rsid w:val="00464BAF"/>
    <w:rsid w:val="00464BB8"/>
    <w:rsid w:val="00464D62"/>
    <w:rsid w:val="00464F19"/>
    <w:rsid w:val="00464FFF"/>
    <w:rsid w:val="004651BD"/>
    <w:rsid w:val="00465287"/>
    <w:rsid w:val="00465381"/>
    <w:rsid w:val="004653CD"/>
    <w:rsid w:val="00465479"/>
    <w:rsid w:val="00465517"/>
    <w:rsid w:val="00465641"/>
    <w:rsid w:val="00465689"/>
    <w:rsid w:val="004656B6"/>
    <w:rsid w:val="004656BB"/>
    <w:rsid w:val="00465741"/>
    <w:rsid w:val="00465892"/>
    <w:rsid w:val="0046592E"/>
    <w:rsid w:val="00465A21"/>
    <w:rsid w:val="00465B9C"/>
    <w:rsid w:val="00465DD4"/>
    <w:rsid w:val="00465E9B"/>
    <w:rsid w:val="00465F31"/>
    <w:rsid w:val="00466220"/>
    <w:rsid w:val="00466550"/>
    <w:rsid w:val="0046659F"/>
    <w:rsid w:val="004666ED"/>
    <w:rsid w:val="0046671A"/>
    <w:rsid w:val="00466A6C"/>
    <w:rsid w:val="00466B40"/>
    <w:rsid w:val="00466EB7"/>
    <w:rsid w:val="00466F45"/>
    <w:rsid w:val="0046717D"/>
    <w:rsid w:val="004671C2"/>
    <w:rsid w:val="00467375"/>
    <w:rsid w:val="004673F2"/>
    <w:rsid w:val="004675D4"/>
    <w:rsid w:val="00467782"/>
    <w:rsid w:val="0046779B"/>
    <w:rsid w:val="004677BA"/>
    <w:rsid w:val="004677BC"/>
    <w:rsid w:val="00467987"/>
    <w:rsid w:val="00467B85"/>
    <w:rsid w:val="00467B99"/>
    <w:rsid w:val="00467CE8"/>
    <w:rsid w:val="00467D95"/>
    <w:rsid w:val="00467DAF"/>
    <w:rsid w:val="00467E50"/>
    <w:rsid w:val="00467EBC"/>
    <w:rsid w:val="00467F33"/>
    <w:rsid w:val="00467F5F"/>
    <w:rsid w:val="0046D51C"/>
    <w:rsid w:val="004700B5"/>
    <w:rsid w:val="0047027B"/>
    <w:rsid w:val="00470433"/>
    <w:rsid w:val="00470483"/>
    <w:rsid w:val="004705CA"/>
    <w:rsid w:val="0047062E"/>
    <w:rsid w:val="004708D1"/>
    <w:rsid w:val="00470A2D"/>
    <w:rsid w:val="00470A56"/>
    <w:rsid w:val="00470A60"/>
    <w:rsid w:val="00470B96"/>
    <w:rsid w:val="00470CD1"/>
    <w:rsid w:val="00470D01"/>
    <w:rsid w:val="00470D02"/>
    <w:rsid w:val="00470D2F"/>
    <w:rsid w:val="00470D31"/>
    <w:rsid w:val="00470F15"/>
    <w:rsid w:val="00471033"/>
    <w:rsid w:val="00471135"/>
    <w:rsid w:val="00471170"/>
    <w:rsid w:val="004712A5"/>
    <w:rsid w:val="004713C9"/>
    <w:rsid w:val="00471753"/>
    <w:rsid w:val="00471768"/>
    <w:rsid w:val="004717F0"/>
    <w:rsid w:val="00471822"/>
    <w:rsid w:val="004718BE"/>
    <w:rsid w:val="004718C8"/>
    <w:rsid w:val="004719D9"/>
    <w:rsid w:val="00471A7B"/>
    <w:rsid w:val="00471AA8"/>
    <w:rsid w:val="00471BAB"/>
    <w:rsid w:val="00471D4E"/>
    <w:rsid w:val="00471F0A"/>
    <w:rsid w:val="00471F88"/>
    <w:rsid w:val="00472040"/>
    <w:rsid w:val="004720D4"/>
    <w:rsid w:val="00472133"/>
    <w:rsid w:val="004721BF"/>
    <w:rsid w:val="004721ED"/>
    <w:rsid w:val="00472208"/>
    <w:rsid w:val="00472227"/>
    <w:rsid w:val="004723B2"/>
    <w:rsid w:val="00472568"/>
    <w:rsid w:val="00472743"/>
    <w:rsid w:val="00472784"/>
    <w:rsid w:val="0047281C"/>
    <w:rsid w:val="00472A0C"/>
    <w:rsid w:val="00472A6F"/>
    <w:rsid w:val="00472C92"/>
    <w:rsid w:val="00472D7B"/>
    <w:rsid w:val="00472DC8"/>
    <w:rsid w:val="00472E5D"/>
    <w:rsid w:val="00472EA2"/>
    <w:rsid w:val="00472EC5"/>
    <w:rsid w:val="00472ED3"/>
    <w:rsid w:val="00473083"/>
    <w:rsid w:val="0047308C"/>
    <w:rsid w:val="004730C4"/>
    <w:rsid w:val="0047311A"/>
    <w:rsid w:val="0047341D"/>
    <w:rsid w:val="0047341F"/>
    <w:rsid w:val="00473452"/>
    <w:rsid w:val="0047362B"/>
    <w:rsid w:val="00473684"/>
    <w:rsid w:val="0047383A"/>
    <w:rsid w:val="00473991"/>
    <w:rsid w:val="00473A16"/>
    <w:rsid w:val="00473A55"/>
    <w:rsid w:val="00473A7C"/>
    <w:rsid w:val="00473C7B"/>
    <w:rsid w:val="00473D4B"/>
    <w:rsid w:val="00473E0D"/>
    <w:rsid w:val="00473F32"/>
    <w:rsid w:val="00473F54"/>
    <w:rsid w:val="00474065"/>
    <w:rsid w:val="004740EB"/>
    <w:rsid w:val="0047413D"/>
    <w:rsid w:val="004743E4"/>
    <w:rsid w:val="004744DF"/>
    <w:rsid w:val="0047458E"/>
    <w:rsid w:val="004745D6"/>
    <w:rsid w:val="0047461E"/>
    <w:rsid w:val="00474714"/>
    <w:rsid w:val="00474716"/>
    <w:rsid w:val="004749DC"/>
    <w:rsid w:val="004749FA"/>
    <w:rsid w:val="00474B6B"/>
    <w:rsid w:val="00474BA5"/>
    <w:rsid w:val="00474BF2"/>
    <w:rsid w:val="00474C17"/>
    <w:rsid w:val="00474C8B"/>
    <w:rsid w:val="00474DDC"/>
    <w:rsid w:val="00474E81"/>
    <w:rsid w:val="00474FD3"/>
    <w:rsid w:val="0047504D"/>
    <w:rsid w:val="00475075"/>
    <w:rsid w:val="0047519F"/>
    <w:rsid w:val="0047542F"/>
    <w:rsid w:val="00475488"/>
    <w:rsid w:val="004754AF"/>
    <w:rsid w:val="0047557D"/>
    <w:rsid w:val="0047565A"/>
    <w:rsid w:val="00475790"/>
    <w:rsid w:val="00475A16"/>
    <w:rsid w:val="00475A58"/>
    <w:rsid w:val="00475AAB"/>
    <w:rsid w:val="00475B57"/>
    <w:rsid w:val="00475B81"/>
    <w:rsid w:val="00475C40"/>
    <w:rsid w:val="00475D1B"/>
    <w:rsid w:val="00475D49"/>
    <w:rsid w:val="00475EA5"/>
    <w:rsid w:val="00475F08"/>
    <w:rsid w:val="00475F35"/>
    <w:rsid w:val="00476151"/>
    <w:rsid w:val="00476398"/>
    <w:rsid w:val="004764CE"/>
    <w:rsid w:val="00476515"/>
    <w:rsid w:val="0047661A"/>
    <w:rsid w:val="00476665"/>
    <w:rsid w:val="004766AD"/>
    <w:rsid w:val="004766BB"/>
    <w:rsid w:val="00476770"/>
    <w:rsid w:val="004768CE"/>
    <w:rsid w:val="00476C77"/>
    <w:rsid w:val="00476DE9"/>
    <w:rsid w:val="00476F4A"/>
    <w:rsid w:val="004770D1"/>
    <w:rsid w:val="004770EE"/>
    <w:rsid w:val="004772DF"/>
    <w:rsid w:val="00477322"/>
    <w:rsid w:val="00477339"/>
    <w:rsid w:val="00477420"/>
    <w:rsid w:val="004774B4"/>
    <w:rsid w:val="00477524"/>
    <w:rsid w:val="004775CB"/>
    <w:rsid w:val="004775E0"/>
    <w:rsid w:val="00477662"/>
    <w:rsid w:val="004777B7"/>
    <w:rsid w:val="00477AB5"/>
    <w:rsid w:val="00477B4A"/>
    <w:rsid w:val="00477BB3"/>
    <w:rsid w:val="00477C5E"/>
    <w:rsid w:val="00477CED"/>
    <w:rsid w:val="00477D0A"/>
    <w:rsid w:val="00477E74"/>
    <w:rsid w:val="00477F9D"/>
    <w:rsid w:val="00480044"/>
    <w:rsid w:val="0048004C"/>
    <w:rsid w:val="00480088"/>
    <w:rsid w:val="0048010E"/>
    <w:rsid w:val="004801DA"/>
    <w:rsid w:val="00480242"/>
    <w:rsid w:val="00480294"/>
    <w:rsid w:val="0048029B"/>
    <w:rsid w:val="0048034E"/>
    <w:rsid w:val="00480384"/>
    <w:rsid w:val="00480400"/>
    <w:rsid w:val="00480433"/>
    <w:rsid w:val="004804A3"/>
    <w:rsid w:val="00480595"/>
    <w:rsid w:val="00480682"/>
    <w:rsid w:val="004806B6"/>
    <w:rsid w:val="00480752"/>
    <w:rsid w:val="00480859"/>
    <w:rsid w:val="0048088F"/>
    <w:rsid w:val="00480AE2"/>
    <w:rsid w:val="00480C46"/>
    <w:rsid w:val="00480CD8"/>
    <w:rsid w:val="00480EA5"/>
    <w:rsid w:val="004810A2"/>
    <w:rsid w:val="0048115D"/>
    <w:rsid w:val="004812E4"/>
    <w:rsid w:val="00481463"/>
    <w:rsid w:val="00481580"/>
    <w:rsid w:val="00481758"/>
    <w:rsid w:val="00481857"/>
    <w:rsid w:val="00481D86"/>
    <w:rsid w:val="00481E68"/>
    <w:rsid w:val="00481F94"/>
    <w:rsid w:val="00481FEB"/>
    <w:rsid w:val="0048214C"/>
    <w:rsid w:val="0048215E"/>
    <w:rsid w:val="004821A6"/>
    <w:rsid w:val="004822D3"/>
    <w:rsid w:val="0048235A"/>
    <w:rsid w:val="0048238B"/>
    <w:rsid w:val="004823FB"/>
    <w:rsid w:val="004824C7"/>
    <w:rsid w:val="00482509"/>
    <w:rsid w:val="00482566"/>
    <w:rsid w:val="00482592"/>
    <w:rsid w:val="004828A6"/>
    <w:rsid w:val="004829C0"/>
    <w:rsid w:val="00482AF9"/>
    <w:rsid w:val="00482B20"/>
    <w:rsid w:val="00482C39"/>
    <w:rsid w:val="00482C3D"/>
    <w:rsid w:val="00482D9F"/>
    <w:rsid w:val="00482E49"/>
    <w:rsid w:val="00482E5C"/>
    <w:rsid w:val="00482EFA"/>
    <w:rsid w:val="00482F33"/>
    <w:rsid w:val="004831F4"/>
    <w:rsid w:val="004831FC"/>
    <w:rsid w:val="00483254"/>
    <w:rsid w:val="00483415"/>
    <w:rsid w:val="004834F5"/>
    <w:rsid w:val="00483566"/>
    <w:rsid w:val="004835D6"/>
    <w:rsid w:val="004836D2"/>
    <w:rsid w:val="004836F0"/>
    <w:rsid w:val="0048375D"/>
    <w:rsid w:val="004837F1"/>
    <w:rsid w:val="004837FF"/>
    <w:rsid w:val="00483852"/>
    <w:rsid w:val="004838F6"/>
    <w:rsid w:val="00483949"/>
    <w:rsid w:val="00483B5A"/>
    <w:rsid w:val="00483C0F"/>
    <w:rsid w:val="00483C1C"/>
    <w:rsid w:val="00483CB0"/>
    <w:rsid w:val="00483CDC"/>
    <w:rsid w:val="00483D5C"/>
    <w:rsid w:val="00483E60"/>
    <w:rsid w:val="00483E92"/>
    <w:rsid w:val="00483E9D"/>
    <w:rsid w:val="00483EA9"/>
    <w:rsid w:val="00483FFE"/>
    <w:rsid w:val="004840A8"/>
    <w:rsid w:val="0048412E"/>
    <w:rsid w:val="0048424E"/>
    <w:rsid w:val="00484377"/>
    <w:rsid w:val="0048438A"/>
    <w:rsid w:val="00484414"/>
    <w:rsid w:val="00484545"/>
    <w:rsid w:val="004845A5"/>
    <w:rsid w:val="004845DD"/>
    <w:rsid w:val="004846FB"/>
    <w:rsid w:val="0048480C"/>
    <w:rsid w:val="0048484E"/>
    <w:rsid w:val="004848A2"/>
    <w:rsid w:val="004848EF"/>
    <w:rsid w:val="004849D3"/>
    <w:rsid w:val="00484A09"/>
    <w:rsid w:val="00484A40"/>
    <w:rsid w:val="00484AF4"/>
    <w:rsid w:val="00484BF9"/>
    <w:rsid w:val="00484CD3"/>
    <w:rsid w:val="00484D67"/>
    <w:rsid w:val="00484EC5"/>
    <w:rsid w:val="00484F76"/>
    <w:rsid w:val="00484F8E"/>
    <w:rsid w:val="00484FD4"/>
    <w:rsid w:val="0048515C"/>
    <w:rsid w:val="00485176"/>
    <w:rsid w:val="004851D1"/>
    <w:rsid w:val="00485253"/>
    <w:rsid w:val="0048553E"/>
    <w:rsid w:val="004855F4"/>
    <w:rsid w:val="00485738"/>
    <w:rsid w:val="004857DF"/>
    <w:rsid w:val="004858AF"/>
    <w:rsid w:val="00485A27"/>
    <w:rsid w:val="00485B32"/>
    <w:rsid w:val="00485CB6"/>
    <w:rsid w:val="00485D0A"/>
    <w:rsid w:val="00485D29"/>
    <w:rsid w:val="00485DAE"/>
    <w:rsid w:val="00485E95"/>
    <w:rsid w:val="00485EA2"/>
    <w:rsid w:val="00485EAB"/>
    <w:rsid w:val="004860A9"/>
    <w:rsid w:val="004860D4"/>
    <w:rsid w:val="004860F6"/>
    <w:rsid w:val="00486105"/>
    <w:rsid w:val="004861AC"/>
    <w:rsid w:val="004867B4"/>
    <w:rsid w:val="00486832"/>
    <w:rsid w:val="004868F9"/>
    <w:rsid w:val="00486A6D"/>
    <w:rsid w:val="00486B54"/>
    <w:rsid w:val="00486B8B"/>
    <w:rsid w:val="00486DB0"/>
    <w:rsid w:val="00486F12"/>
    <w:rsid w:val="00486FEC"/>
    <w:rsid w:val="0048706D"/>
    <w:rsid w:val="00487122"/>
    <w:rsid w:val="004872CF"/>
    <w:rsid w:val="0048730D"/>
    <w:rsid w:val="004874BF"/>
    <w:rsid w:val="00487862"/>
    <w:rsid w:val="00487886"/>
    <w:rsid w:val="00487BD5"/>
    <w:rsid w:val="00487C06"/>
    <w:rsid w:val="00487D65"/>
    <w:rsid w:val="00487DC7"/>
    <w:rsid w:val="00487E98"/>
    <w:rsid w:val="00487F12"/>
    <w:rsid w:val="00487F80"/>
    <w:rsid w:val="00490073"/>
    <w:rsid w:val="0049025A"/>
    <w:rsid w:val="004902AC"/>
    <w:rsid w:val="004902F8"/>
    <w:rsid w:val="0049065E"/>
    <w:rsid w:val="0049090A"/>
    <w:rsid w:val="004909E1"/>
    <w:rsid w:val="00490AC7"/>
    <w:rsid w:val="00490C87"/>
    <w:rsid w:val="00490CBF"/>
    <w:rsid w:val="00490CFE"/>
    <w:rsid w:val="00490D00"/>
    <w:rsid w:val="00490E94"/>
    <w:rsid w:val="00491027"/>
    <w:rsid w:val="00491366"/>
    <w:rsid w:val="004914C8"/>
    <w:rsid w:val="0049157E"/>
    <w:rsid w:val="00491731"/>
    <w:rsid w:val="00491762"/>
    <w:rsid w:val="00491784"/>
    <w:rsid w:val="004918A8"/>
    <w:rsid w:val="00491910"/>
    <w:rsid w:val="00491913"/>
    <w:rsid w:val="00491B53"/>
    <w:rsid w:val="00491D0C"/>
    <w:rsid w:val="00491D82"/>
    <w:rsid w:val="00491DFF"/>
    <w:rsid w:val="00491EE7"/>
    <w:rsid w:val="00491F21"/>
    <w:rsid w:val="00491FB4"/>
    <w:rsid w:val="00491FEB"/>
    <w:rsid w:val="00492113"/>
    <w:rsid w:val="00492189"/>
    <w:rsid w:val="00492296"/>
    <w:rsid w:val="0049231E"/>
    <w:rsid w:val="00492345"/>
    <w:rsid w:val="0049244E"/>
    <w:rsid w:val="004924D0"/>
    <w:rsid w:val="00492524"/>
    <w:rsid w:val="0049261A"/>
    <w:rsid w:val="0049267A"/>
    <w:rsid w:val="00492791"/>
    <w:rsid w:val="00492827"/>
    <w:rsid w:val="004928BD"/>
    <w:rsid w:val="00492A2D"/>
    <w:rsid w:val="00492AD8"/>
    <w:rsid w:val="00492C88"/>
    <w:rsid w:val="00492DF4"/>
    <w:rsid w:val="00492E5D"/>
    <w:rsid w:val="004931A6"/>
    <w:rsid w:val="00493219"/>
    <w:rsid w:val="0049324F"/>
    <w:rsid w:val="004934C2"/>
    <w:rsid w:val="00493586"/>
    <w:rsid w:val="00493804"/>
    <w:rsid w:val="0049389A"/>
    <w:rsid w:val="004939DA"/>
    <w:rsid w:val="00493B1F"/>
    <w:rsid w:val="00493B3B"/>
    <w:rsid w:val="00493DB8"/>
    <w:rsid w:val="004940D9"/>
    <w:rsid w:val="004941A6"/>
    <w:rsid w:val="00494272"/>
    <w:rsid w:val="004943C4"/>
    <w:rsid w:val="00494616"/>
    <w:rsid w:val="00494736"/>
    <w:rsid w:val="004948CB"/>
    <w:rsid w:val="00494D59"/>
    <w:rsid w:val="00494DA7"/>
    <w:rsid w:val="00494F33"/>
    <w:rsid w:val="00495004"/>
    <w:rsid w:val="004951DD"/>
    <w:rsid w:val="004951E0"/>
    <w:rsid w:val="004951E2"/>
    <w:rsid w:val="004952E9"/>
    <w:rsid w:val="0049585C"/>
    <w:rsid w:val="0049592E"/>
    <w:rsid w:val="00495A4A"/>
    <w:rsid w:val="00495A5F"/>
    <w:rsid w:val="00495ACA"/>
    <w:rsid w:val="00495C13"/>
    <w:rsid w:val="00495CA4"/>
    <w:rsid w:val="00495CAD"/>
    <w:rsid w:val="00495F21"/>
    <w:rsid w:val="004960CF"/>
    <w:rsid w:val="00496365"/>
    <w:rsid w:val="00496484"/>
    <w:rsid w:val="004964EB"/>
    <w:rsid w:val="00496781"/>
    <w:rsid w:val="00496942"/>
    <w:rsid w:val="00496B90"/>
    <w:rsid w:val="00496C67"/>
    <w:rsid w:val="00496E1C"/>
    <w:rsid w:val="00496E37"/>
    <w:rsid w:val="00496E71"/>
    <w:rsid w:val="00496E7B"/>
    <w:rsid w:val="00496F1C"/>
    <w:rsid w:val="00497024"/>
    <w:rsid w:val="004971AD"/>
    <w:rsid w:val="00497326"/>
    <w:rsid w:val="004974A6"/>
    <w:rsid w:val="00497514"/>
    <w:rsid w:val="0049758F"/>
    <w:rsid w:val="00497712"/>
    <w:rsid w:val="00497A62"/>
    <w:rsid w:val="00497ACC"/>
    <w:rsid w:val="00497BDB"/>
    <w:rsid w:val="00497C86"/>
    <w:rsid w:val="00497C8E"/>
    <w:rsid w:val="00497EAF"/>
    <w:rsid w:val="00497FA7"/>
    <w:rsid w:val="00497FDB"/>
    <w:rsid w:val="004A0081"/>
    <w:rsid w:val="004A013E"/>
    <w:rsid w:val="004A0326"/>
    <w:rsid w:val="004A0457"/>
    <w:rsid w:val="004A050C"/>
    <w:rsid w:val="004A08CB"/>
    <w:rsid w:val="004A095A"/>
    <w:rsid w:val="004A09C8"/>
    <w:rsid w:val="004A0AA2"/>
    <w:rsid w:val="004A0C8C"/>
    <w:rsid w:val="004A0D56"/>
    <w:rsid w:val="004A11D8"/>
    <w:rsid w:val="004A122D"/>
    <w:rsid w:val="004A12FB"/>
    <w:rsid w:val="004A1308"/>
    <w:rsid w:val="004A1389"/>
    <w:rsid w:val="004A148D"/>
    <w:rsid w:val="004A161E"/>
    <w:rsid w:val="004A162C"/>
    <w:rsid w:val="004A168C"/>
    <w:rsid w:val="004A18A8"/>
    <w:rsid w:val="004A1BA0"/>
    <w:rsid w:val="004A1BB4"/>
    <w:rsid w:val="004A1C60"/>
    <w:rsid w:val="004A1D40"/>
    <w:rsid w:val="004A1D51"/>
    <w:rsid w:val="004A1D53"/>
    <w:rsid w:val="004A1E89"/>
    <w:rsid w:val="004A1EBC"/>
    <w:rsid w:val="004A1F0A"/>
    <w:rsid w:val="004A2072"/>
    <w:rsid w:val="004A2167"/>
    <w:rsid w:val="004A21A8"/>
    <w:rsid w:val="004A23EC"/>
    <w:rsid w:val="004A25B7"/>
    <w:rsid w:val="004A270E"/>
    <w:rsid w:val="004A28A2"/>
    <w:rsid w:val="004A29BA"/>
    <w:rsid w:val="004A2A9D"/>
    <w:rsid w:val="004A2DC2"/>
    <w:rsid w:val="004A2DEE"/>
    <w:rsid w:val="004A2E24"/>
    <w:rsid w:val="004A2E5E"/>
    <w:rsid w:val="004A2E74"/>
    <w:rsid w:val="004A2FB6"/>
    <w:rsid w:val="004A30E1"/>
    <w:rsid w:val="004A31A0"/>
    <w:rsid w:val="004A31E1"/>
    <w:rsid w:val="004A3219"/>
    <w:rsid w:val="004A3312"/>
    <w:rsid w:val="004A3493"/>
    <w:rsid w:val="004A358B"/>
    <w:rsid w:val="004A36A4"/>
    <w:rsid w:val="004A36E3"/>
    <w:rsid w:val="004A377E"/>
    <w:rsid w:val="004A388A"/>
    <w:rsid w:val="004A3A7E"/>
    <w:rsid w:val="004A3B59"/>
    <w:rsid w:val="004A3DB0"/>
    <w:rsid w:val="004A3E01"/>
    <w:rsid w:val="004A3E77"/>
    <w:rsid w:val="004A4136"/>
    <w:rsid w:val="004A4161"/>
    <w:rsid w:val="004A42C7"/>
    <w:rsid w:val="004A4458"/>
    <w:rsid w:val="004A4508"/>
    <w:rsid w:val="004A4690"/>
    <w:rsid w:val="004A46F6"/>
    <w:rsid w:val="004A46F7"/>
    <w:rsid w:val="004A491A"/>
    <w:rsid w:val="004A4972"/>
    <w:rsid w:val="004A4A70"/>
    <w:rsid w:val="004A4C9B"/>
    <w:rsid w:val="004A4FD8"/>
    <w:rsid w:val="004A5034"/>
    <w:rsid w:val="004A50CC"/>
    <w:rsid w:val="004A515E"/>
    <w:rsid w:val="004A51B6"/>
    <w:rsid w:val="004A5277"/>
    <w:rsid w:val="004A559E"/>
    <w:rsid w:val="004A5720"/>
    <w:rsid w:val="004A580E"/>
    <w:rsid w:val="004A58A0"/>
    <w:rsid w:val="004A5980"/>
    <w:rsid w:val="004A5A52"/>
    <w:rsid w:val="004A5B93"/>
    <w:rsid w:val="004A5C3D"/>
    <w:rsid w:val="004A5D60"/>
    <w:rsid w:val="004A5D6B"/>
    <w:rsid w:val="004A5DC4"/>
    <w:rsid w:val="004A5E5B"/>
    <w:rsid w:val="004A6018"/>
    <w:rsid w:val="004A60F4"/>
    <w:rsid w:val="004A6131"/>
    <w:rsid w:val="004A620E"/>
    <w:rsid w:val="004A6232"/>
    <w:rsid w:val="004A6334"/>
    <w:rsid w:val="004A6361"/>
    <w:rsid w:val="004A65DF"/>
    <w:rsid w:val="004A67A2"/>
    <w:rsid w:val="004A6925"/>
    <w:rsid w:val="004A698A"/>
    <w:rsid w:val="004A6ABC"/>
    <w:rsid w:val="004A6BA7"/>
    <w:rsid w:val="004A6C0D"/>
    <w:rsid w:val="004A6C1B"/>
    <w:rsid w:val="004A6C51"/>
    <w:rsid w:val="004A6D26"/>
    <w:rsid w:val="004A6E78"/>
    <w:rsid w:val="004A6F28"/>
    <w:rsid w:val="004A709B"/>
    <w:rsid w:val="004A70AA"/>
    <w:rsid w:val="004A718C"/>
    <w:rsid w:val="004A71F7"/>
    <w:rsid w:val="004A728F"/>
    <w:rsid w:val="004A72E0"/>
    <w:rsid w:val="004A73ED"/>
    <w:rsid w:val="004A747C"/>
    <w:rsid w:val="004A75FE"/>
    <w:rsid w:val="004A7785"/>
    <w:rsid w:val="004A77FE"/>
    <w:rsid w:val="004A7975"/>
    <w:rsid w:val="004A79B3"/>
    <w:rsid w:val="004A7EBB"/>
    <w:rsid w:val="004A7ECD"/>
    <w:rsid w:val="004A7EE0"/>
    <w:rsid w:val="004A7F9E"/>
    <w:rsid w:val="004B005B"/>
    <w:rsid w:val="004B0411"/>
    <w:rsid w:val="004B0428"/>
    <w:rsid w:val="004B043B"/>
    <w:rsid w:val="004B04F0"/>
    <w:rsid w:val="004B0538"/>
    <w:rsid w:val="004B0623"/>
    <w:rsid w:val="004B06A4"/>
    <w:rsid w:val="004B096A"/>
    <w:rsid w:val="004B0BF0"/>
    <w:rsid w:val="004B0E0E"/>
    <w:rsid w:val="004B0E16"/>
    <w:rsid w:val="004B0ED9"/>
    <w:rsid w:val="004B0EFF"/>
    <w:rsid w:val="004B0FAE"/>
    <w:rsid w:val="004B11BC"/>
    <w:rsid w:val="004B1366"/>
    <w:rsid w:val="004B1641"/>
    <w:rsid w:val="004B165D"/>
    <w:rsid w:val="004B1815"/>
    <w:rsid w:val="004B18D1"/>
    <w:rsid w:val="004B18E2"/>
    <w:rsid w:val="004B1A92"/>
    <w:rsid w:val="004B1B60"/>
    <w:rsid w:val="004B1B9A"/>
    <w:rsid w:val="004B1ECD"/>
    <w:rsid w:val="004B1FD0"/>
    <w:rsid w:val="004B20F2"/>
    <w:rsid w:val="004B246D"/>
    <w:rsid w:val="004B24D4"/>
    <w:rsid w:val="004B2521"/>
    <w:rsid w:val="004B27EB"/>
    <w:rsid w:val="004B29D7"/>
    <w:rsid w:val="004B2B08"/>
    <w:rsid w:val="004B2B0A"/>
    <w:rsid w:val="004B2C22"/>
    <w:rsid w:val="004B2F99"/>
    <w:rsid w:val="004B2F9F"/>
    <w:rsid w:val="004B3010"/>
    <w:rsid w:val="004B3120"/>
    <w:rsid w:val="004B3226"/>
    <w:rsid w:val="004B3267"/>
    <w:rsid w:val="004B32AE"/>
    <w:rsid w:val="004B3507"/>
    <w:rsid w:val="004B35E1"/>
    <w:rsid w:val="004B363C"/>
    <w:rsid w:val="004B3907"/>
    <w:rsid w:val="004B392F"/>
    <w:rsid w:val="004B39FA"/>
    <w:rsid w:val="004B3D1F"/>
    <w:rsid w:val="004B3E04"/>
    <w:rsid w:val="004B3E68"/>
    <w:rsid w:val="004B3ED0"/>
    <w:rsid w:val="004B3ED7"/>
    <w:rsid w:val="004B4111"/>
    <w:rsid w:val="004B429E"/>
    <w:rsid w:val="004B4323"/>
    <w:rsid w:val="004B4712"/>
    <w:rsid w:val="004B4723"/>
    <w:rsid w:val="004B4798"/>
    <w:rsid w:val="004B47B7"/>
    <w:rsid w:val="004B47E6"/>
    <w:rsid w:val="004B48BA"/>
    <w:rsid w:val="004B496D"/>
    <w:rsid w:val="004B4B32"/>
    <w:rsid w:val="004B4C53"/>
    <w:rsid w:val="004B4CC5"/>
    <w:rsid w:val="004B4CC6"/>
    <w:rsid w:val="004B4D4E"/>
    <w:rsid w:val="004B4DED"/>
    <w:rsid w:val="004B4E41"/>
    <w:rsid w:val="004B4EEF"/>
    <w:rsid w:val="004B4F4E"/>
    <w:rsid w:val="004B4FCB"/>
    <w:rsid w:val="004B50B3"/>
    <w:rsid w:val="004B513B"/>
    <w:rsid w:val="004B538C"/>
    <w:rsid w:val="004B5470"/>
    <w:rsid w:val="004B5648"/>
    <w:rsid w:val="004B5654"/>
    <w:rsid w:val="004B5A07"/>
    <w:rsid w:val="004B5BFE"/>
    <w:rsid w:val="004B60EB"/>
    <w:rsid w:val="004B6181"/>
    <w:rsid w:val="004B6216"/>
    <w:rsid w:val="004B6267"/>
    <w:rsid w:val="004B62BF"/>
    <w:rsid w:val="004B62E5"/>
    <w:rsid w:val="004B65EC"/>
    <w:rsid w:val="004B6620"/>
    <w:rsid w:val="004B6677"/>
    <w:rsid w:val="004B6724"/>
    <w:rsid w:val="004B6877"/>
    <w:rsid w:val="004B6953"/>
    <w:rsid w:val="004B6A78"/>
    <w:rsid w:val="004B6B40"/>
    <w:rsid w:val="004B6B48"/>
    <w:rsid w:val="004B6CAE"/>
    <w:rsid w:val="004B6D42"/>
    <w:rsid w:val="004B6DD5"/>
    <w:rsid w:val="004B6DD7"/>
    <w:rsid w:val="004B6E09"/>
    <w:rsid w:val="004B6E6A"/>
    <w:rsid w:val="004B6E86"/>
    <w:rsid w:val="004B6E96"/>
    <w:rsid w:val="004B6EB9"/>
    <w:rsid w:val="004B7016"/>
    <w:rsid w:val="004B71C4"/>
    <w:rsid w:val="004B7249"/>
    <w:rsid w:val="004B7328"/>
    <w:rsid w:val="004B7373"/>
    <w:rsid w:val="004B73B9"/>
    <w:rsid w:val="004B75CD"/>
    <w:rsid w:val="004B7797"/>
    <w:rsid w:val="004B78F4"/>
    <w:rsid w:val="004B7965"/>
    <w:rsid w:val="004B7A75"/>
    <w:rsid w:val="004B7B13"/>
    <w:rsid w:val="004B7B97"/>
    <w:rsid w:val="004B7C26"/>
    <w:rsid w:val="004B7C82"/>
    <w:rsid w:val="004B7C8C"/>
    <w:rsid w:val="004C000E"/>
    <w:rsid w:val="004C0133"/>
    <w:rsid w:val="004C0214"/>
    <w:rsid w:val="004C02E9"/>
    <w:rsid w:val="004C0377"/>
    <w:rsid w:val="004C038B"/>
    <w:rsid w:val="004C03B2"/>
    <w:rsid w:val="004C03EB"/>
    <w:rsid w:val="004C0523"/>
    <w:rsid w:val="004C052E"/>
    <w:rsid w:val="004C05AB"/>
    <w:rsid w:val="004C05B9"/>
    <w:rsid w:val="004C06F6"/>
    <w:rsid w:val="004C0774"/>
    <w:rsid w:val="004C07DA"/>
    <w:rsid w:val="004C0809"/>
    <w:rsid w:val="004C08DE"/>
    <w:rsid w:val="004C0A31"/>
    <w:rsid w:val="004C0BB7"/>
    <w:rsid w:val="004C0C74"/>
    <w:rsid w:val="004C0DA5"/>
    <w:rsid w:val="004C0DEB"/>
    <w:rsid w:val="004C0DEE"/>
    <w:rsid w:val="004C0E19"/>
    <w:rsid w:val="004C0F22"/>
    <w:rsid w:val="004C108C"/>
    <w:rsid w:val="004C1352"/>
    <w:rsid w:val="004C1365"/>
    <w:rsid w:val="004C1370"/>
    <w:rsid w:val="004C13B0"/>
    <w:rsid w:val="004C13BB"/>
    <w:rsid w:val="004C1583"/>
    <w:rsid w:val="004C15EB"/>
    <w:rsid w:val="004C15F1"/>
    <w:rsid w:val="004C16ED"/>
    <w:rsid w:val="004C1830"/>
    <w:rsid w:val="004C18E3"/>
    <w:rsid w:val="004C18EF"/>
    <w:rsid w:val="004C1ACF"/>
    <w:rsid w:val="004C1AE0"/>
    <w:rsid w:val="004C1B37"/>
    <w:rsid w:val="004C1C53"/>
    <w:rsid w:val="004C1D70"/>
    <w:rsid w:val="004C1E59"/>
    <w:rsid w:val="004C20CF"/>
    <w:rsid w:val="004C2140"/>
    <w:rsid w:val="004C23B2"/>
    <w:rsid w:val="004C245A"/>
    <w:rsid w:val="004C255C"/>
    <w:rsid w:val="004C263E"/>
    <w:rsid w:val="004C265B"/>
    <w:rsid w:val="004C295A"/>
    <w:rsid w:val="004C2A13"/>
    <w:rsid w:val="004C2B17"/>
    <w:rsid w:val="004C2E7E"/>
    <w:rsid w:val="004C30A0"/>
    <w:rsid w:val="004C30A4"/>
    <w:rsid w:val="004C30C5"/>
    <w:rsid w:val="004C31BB"/>
    <w:rsid w:val="004C3209"/>
    <w:rsid w:val="004C3249"/>
    <w:rsid w:val="004C32DC"/>
    <w:rsid w:val="004C363E"/>
    <w:rsid w:val="004C36A8"/>
    <w:rsid w:val="004C36B7"/>
    <w:rsid w:val="004C380B"/>
    <w:rsid w:val="004C399D"/>
    <w:rsid w:val="004C3B54"/>
    <w:rsid w:val="004C3C0D"/>
    <w:rsid w:val="004C3CC2"/>
    <w:rsid w:val="004C3CD8"/>
    <w:rsid w:val="004C3D2E"/>
    <w:rsid w:val="004C3E87"/>
    <w:rsid w:val="004C3E88"/>
    <w:rsid w:val="004C3F0F"/>
    <w:rsid w:val="004C4076"/>
    <w:rsid w:val="004C4659"/>
    <w:rsid w:val="004C4718"/>
    <w:rsid w:val="004C4831"/>
    <w:rsid w:val="004C4979"/>
    <w:rsid w:val="004C4D90"/>
    <w:rsid w:val="004C5101"/>
    <w:rsid w:val="004C514A"/>
    <w:rsid w:val="004C520C"/>
    <w:rsid w:val="004C53A7"/>
    <w:rsid w:val="004C5505"/>
    <w:rsid w:val="004C5599"/>
    <w:rsid w:val="004C5618"/>
    <w:rsid w:val="004C573E"/>
    <w:rsid w:val="004C5781"/>
    <w:rsid w:val="004C583F"/>
    <w:rsid w:val="004C59DF"/>
    <w:rsid w:val="004C5A0D"/>
    <w:rsid w:val="004C5A1E"/>
    <w:rsid w:val="004C5C78"/>
    <w:rsid w:val="004C5EAE"/>
    <w:rsid w:val="004C5EDE"/>
    <w:rsid w:val="004C5F75"/>
    <w:rsid w:val="004C5F80"/>
    <w:rsid w:val="004C6135"/>
    <w:rsid w:val="004C6237"/>
    <w:rsid w:val="004C6303"/>
    <w:rsid w:val="004C645E"/>
    <w:rsid w:val="004C65B0"/>
    <w:rsid w:val="004C668E"/>
    <w:rsid w:val="004C66AE"/>
    <w:rsid w:val="004C682F"/>
    <w:rsid w:val="004C690F"/>
    <w:rsid w:val="004C6ACB"/>
    <w:rsid w:val="004C6C2B"/>
    <w:rsid w:val="004C6D59"/>
    <w:rsid w:val="004C6E58"/>
    <w:rsid w:val="004C6FB1"/>
    <w:rsid w:val="004C6FF9"/>
    <w:rsid w:val="004C7045"/>
    <w:rsid w:val="004C70CE"/>
    <w:rsid w:val="004C7161"/>
    <w:rsid w:val="004C71BD"/>
    <w:rsid w:val="004C71C3"/>
    <w:rsid w:val="004C7280"/>
    <w:rsid w:val="004C7384"/>
    <w:rsid w:val="004C74E4"/>
    <w:rsid w:val="004C77FE"/>
    <w:rsid w:val="004C786B"/>
    <w:rsid w:val="004C7B1B"/>
    <w:rsid w:val="004C7E7E"/>
    <w:rsid w:val="004C7F69"/>
    <w:rsid w:val="004C7FD7"/>
    <w:rsid w:val="004D000D"/>
    <w:rsid w:val="004D0142"/>
    <w:rsid w:val="004D0447"/>
    <w:rsid w:val="004D0482"/>
    <w:rsid w:val="004D05D9"/>
    <w:rsid w:val="004D06B8"/>
    <w:rsid w:val="004D0927"/>
    <w:rsid w:val="004D097C"/>
    <w:rsid w:val="004D0AEF"/>
    <w:rsid w:val="004D0B23"/>
    <w:rsid w:val="004D0F37"/>
    <w:rsid w:val="004D0FD0"/>
    <w:rsid w:val="004D1066"/>
    <w:rsid w:val="004D1074"/>
    <w:rsid w:val="004D10B9"/>
    <w:rsid w:val="004D111F"/>
    <w:rsid w:val="004D1152"/>
    <w:rsid w:val="004D1430"/>
    <w:rsid w:val="004D147A"/>
    <w:rsid w:val="004D15B7"/>
    <w:rsid w:val="004D1629"/>
    <w:rsid w:val="004D1658"/>
    <w:rsid w:val="004D168C"/>
    <w:rsid w:val="004D170D"/>
    <w:rsid w:val="004D183E"/>
    <w:rsid w:val="004D199A"/>
    <w:rsid w:val="004D1BE9"/>
    <w:rsid w:val="004D1E20"/>
    <w:rsid w:val="004D1E64"/>
    <w:rsid w:val="004D1E89"/>
    <w:rsid w:val="004D1F7A"/>
    <w:rsid w:val="004D2088"/>
    <w:rsid w:val="004D20D8"/>
    <w:rsid w:val="004D216D"/>
    <w:rsid w:val="004D2206"/>
    <w:rsid w:val="004D243E"/>
    <w:rsid w:val="004D25A7"/>
    <w:rsid w:val="004D25D9"/>
    <w:rsid w:val="004D277B"/>
    <w:rsid w:val="004D277F"/>
    <w:rsid w:val="004D295B"/>
    <w:rsid w:val="004D2B4F"/>
    <w:rsid w:val="004D2CDC"/>
    <w:rsid w:val="004D2E7C"/>
    <w:rsid w:val="004D2E96"/>
    <w:rsid w:val="004D2F7A"/>
    <w:rsid w:val="004D2F7D"/>
    <w:rsid w:val="004D2F9F"/>
    <w:rsid w:val="004D3277"/>
    <w:rsid w:val="004D3321"/>
    <w:rsid w:val="004D36E7"/>
    <w:rsid w:val="004D3711"/>
    <w:rsid w:val="004D3A18"/>
    <w:rsid w:val="004D3A88"/>
    <w:rsid w:val="004D3B02"/>
    <w:rsid w:val="004D3D1E"/>
    <w:rsid w:val="004D3D23"/>
    <w:rsid w:val="004D3DC1"/>
    <w:rsid w:val="004D3E24"/>
    <w:rsid w:val="004D3EF7"/>
    <w:rsid w:val="004D4120"/>
    <w:rsid w:val="004D4131"/>
    <w:rsid w:val="004D4185"/>
    <w:rsid w:val="004D4345"/>
    <w:rsid w:val="004D434D"/>
    <w:rsid w:val="004D4361"/>
    <w:rsid w:val="004D440F"/>
    <w:rsid w:val="004D44F9"/>
    <w:rsid w:val="004D4671"/>
    <w:rsid w:val="004D4710"/>
    <w:rsid w:val="004D4903"/>
    <w:rsid w:val="004D4986"/>
    <w:rsid w:val="004D49C8"/>
    <w:rsid w:val="004D4AFF"/>
    <w:rsid w:val="004D4CF2"/>
    <w:rsid w:val="004D4D3E"/>
    <w:rsid w:val="004D4D87"/>
    <w:rsid w:val="004D4EF0"/>
    <w:rsid w:val="004D4F90"/>
    <w:rsid w:val="004D5199"/>
    <w:rsid w:val="004D5251"/>
    <w:rsid w:val="004D528F"/>
    <w:rsid w:val="004D544C"/>
    <w:rsid w:val="004D5462"/>
    <w:rsid w:val="004D546D"/>
    <w:rsid w:val="004D5631"/>
    <w:rsid w:val="004D572F"/>
    <w:rsid w:val="004D5844"/>
    <w:rsid w:val="004D58CA"/>
    <w:rsid w:val="004D5961"/>
    <w:rsid w:val="004D59CB"/>
    <w:rsid w:val="004D5A1D"/>
    <w:rsid w:val="004D5B90"/>
    <w:rsid w:val="004D5BDB"/>
    <w:rsid w:val="004D5C59"/>
    <w:rsid w:val="004D5DC5"/>
    <w:rsid w:val="004D5DC7"/>
    <w:rsid w:val="004D5DD5"/>
    <w:rsid w:val="004D5DF2"/>
    <w:rsid w:val="004D5E7F"/>
    <w:rsid w:val="004D5E8C"/>
    <w:rsid w:val="004D5EF6"/>
    <w:rsid w:val="004D5F2C"/>
    <w:rsid w:val="004D6074"/>
    <w:rsid w:val="004D62E1"/>
    <w:rsid w:val="004D6430"/>
    <w:rsid w:val="004D6475"/>
    <w:rsid w:val="004D6512"/>
    <w:rsid w:val="004D653C"/>
    <w:rsid w:val="004D664E"/>
    <w:rsid w:val="004D66E8"/>
    <w:rsid w:val="004D6752"/>
    <w:rsid w:val="004D6791"/>
    <w:rsid w:val="004D6847"/>
    <w:rsid w:val="004D6A11"/>
    <w:rsid w:val="004D6ABA"/>
    <w:rsid w:val="004D6AF4"/>
    <w:rsid w:val="004D6B54"/>
    <w:rsid w:val="004D6C4F"/>
    <w:rsid w:val="004D6D15"/>
    <w:rsid w:val="004D6D3B"/>
    <w:rsid w:val="004D6F77"/>
    <w:rsid w:val="004D70FB"/>
    <w:rsid w:val="004D72CB"/>
    <w:rsid w:val="004D72FB"/>
    <w:rsid w:val="004D7596"/>
    <w:rsid w:val="004D763F"/>
    <w:rsid w:val="004D778B"/>
    <w:rsid w:val="004D79BD"/>
    <w:rsid w:val="004D7BE1"/>
    <w:rsid w:val="004D7D09"/>
    <w:rsid w:val="004D7D22"/>
    <w:rsid w:val="004D7E03"/>
    <w:rsid w:val="004D7E5A"/>
    <w:rsid w:val="004E006C"/>
    <w:rsid w:val="004E008A"/>
    <w:rsid w:val="004E01B4"/>
    <w:rsid w:val="004E01BB"/>
    <w:rsid w:val="004E0538"/>
    <w:rsid w:val="004E0546"/>
    <w:rsid w:val="004E05B0"/>
    <w:rsid w:val="004E0815"/>
    <w:rsid w:val="004E0836"/>
    <w:rsid w:val="004E096A"/>
    <w:rsid w:val="004E09BD"/>
    <w:rsid w:val="004E0B1C"/>
    <w:rsid w:val="004E0BC1"/>
    <w:rsid w:val="004E0C38"/>
    <w:rsid w:val="004E0C6A"/>
    <w:rsid w:val="004E0E59"/>
    <w:rsid w:val="004E0E7E"/>
    <w:rsid w:val="004E102B"/>
    <w:rsid w:val="004E1202"/>
    <w:rsid w:val="004E12F1"/>
    <w:rsid w:val="004E1365"/>
    <w:rsid w:val="004E1520"/>
    <w:rsid w:val="004E1550"/>
    <w:rsid w:val="004E1586"/>
    <w:rsid w:val="004E1666"/>
    <w:rsid w:val="004E170B"/>
    <w:rsid w:val="004E192A"/>
    <w:rsid w:val="004E1968"/>
    <w:rsid w:val="004E1A69"/>
    <w:rsid w:val="004E1D71"/>
    <w:rsid w:val="004E1E5B"/>
    <w:rsid w:val="004E1EEC"/>
    <w:rsid w:val="004E1FA9"/>
    <w:rsid w:val="004E1FF8"/>
    <w:rsid w:val="004E2055"/>
    <w:rsid w:val="004E214B"/>
    <w:rsid w:val="004E2421"/>
    <w:rsid w:val="004E24E9"/>
    <w:rsid w:val="004E2567"/>
    <w:rsid w:val="004E27CA"/>
    <w:rsid w:val="004E27DD"/>
    <w:rsid w:val="004E2923"/>
    <w:rsid w:val="004E2B43"/>
    <w:rsid w:val="004E2C21"/>
    <w:rsid w:val="004E2C33"/>
    <w:rsid w:val="004E2C58"/>
    <w:rsid w:val="004E2C93"/>
    <w:rsid w:val="004E2CB5"/>
    <w:rsid w:val="004E2D14"/>
    <w:rsid w:val="004E2E9A"/>
    <w:rsid w:val="004E304B"/>
    <w:rsid w:val="004E3204"/>
    <w:rsid w:val="004E3750"/>
    <w:rsid w:val="004E37AC"/>
    <w:rsid w:val="004E37BF"/>
    <w:rsid w:val="004E3800"/>
    <w:rsid w:val="004E38DB"/>
    <w:rsid w:val="004E39B9"/>
    <w:rsid w:val="004E39FD"/>
    <w:rsid w:val="004E3A2A"/>
    <w:rsid w:val="004E3B4F"/>
    <w:rsid w:val="004E3DBE"/>
    <w:rsid w:val="004E3DEB"/>
    <w:rsid w:val="004E3F61"/>
    <w:rsid w:val="004E3F7D"/>
    <w:rsid w:val="004E4002"/>
    <w:rsid w:val="004E406A"/>
    <w:rsid w:val="004E41E7"/>
    <w:rsid w:val="004E428D"/>
    <w:rsid w:val="004E446F"/>
    <w:rsid w:val="004E4513"/>
    <w:rsid w:val="004E4531"/>
    <w:rsid w:val="004E462A"/>
    <w:rsid w:val="004E47F1"/>
    <w:rsid w:val="004E4948"/>
    <w:rsid w:val="004E494B"/>
    <w:rsid w:val="004E4A43"/>
    <w:rsid w:val="004E4AAC"/>
    <w:rsid w:val="004E4C5B"/>
    <w:rsid w:val="004E4D4C"/>
    <w:rsid w:val="004E4E02"/>
    <w:rsid w:val="004E5101"/>
    <w:rsid w:val="004E525B"/>
    <w:rsid w:val="004E53FD"/>
    <w:rsid w:val="004E5489"/>
    <w:rsid w:val="004E57AB"/>
    <w:rsid w:val="004E58C6"/>
    <w:rsid w:val="004E59F1"/>
    <w:rsid w:val="004E5A73"/>
    <w:rsid w:val="004E5A7D"/>
    <w:rsid w:val="004E5A9D"/>
    <w:rsid w:val="004E5EC9"/>
    <w:rsid w:val="004E5F87"/>
    <w:rsid w:val="004E5FD0"/>
    <w:rsid w:val="004E61B5"/>
    <w:rsid w:val="004E61CC"/>
    <w:rsid w:val="004E662E"/>
    <w:rsid w:val="004E6909"/>
    <w:rsid w:val="004E6A16"/>
    <w:rsid w:val="004E6AB7"/>
    <w:rsid w:val="004E6DDD"/>
    <w:rsid w:val="004E6E6E"/>
    <w:rsid w:val="004E6EC3"/>
    <w:rsid w:val="004E701D"/>
    <w:rsid w:val="004E70D0"/>
    <w:rsid w:val="004E7189"/>
    <w:rsid w:val="004E73C2"/>
    <w:rsid w:val="004E73D6"/>
    <w:rsid w:val="004E744A"/>
    <w:rsid w:val="004E74CB"/>
    <w:rsid w:val="004E7729"/>
    <w:rsid w:val="004E795B"/>
    <w:rsid w:val="004E79F8"/>
    <w:rsid w:val="004E7B20"/>
    <w:rsid w:val="004E7D68"/>
    <w:rsid w:val="004E7E17"/>
    <w:rsid w:val="004E7F30"/>
    <w:rsid w:val="004E7F40"/>
    <w:rsid w:val="004F011D"/>
    <w:rsid w:val="004F0331"/>
    <w:rsid w:val="004F0494"/>
    <w:rsid w:val="004F04B7"/>
    <w:rsid w:val="004F057D"/>
    <w:rsid w:val="004F071C"/>
    <w:rsid w:val="004F07EA"/>
    <w:rsid w:val="004F09C4"/>
    <w:rsid w:val="004F0A23"/>
    <w:rsid w:val="004F0CDB"/>
    <w:rsid w:val="004F0DEC"/>
    <w:rsid w:val="004F0E5A"/>
    <w:rsid w:val="004F0E82"/>
    <w:rsid w:val="004F0F4B"/>
    <w:rsid w:val="004F0F6C"/>
    <w:rsid w:val="004F1052"/>
    <w:rsid w:val="004F10C2"/>
    <w:rsid w:val="004F111E"/>
    <w:rsid w:val="004F1267"/>
    <w:rsid w:val="004F12B1"/>
    <w:rsid w:val="004F15CF"/>
    <w:rsid w:val="004F1784"/>
    <w:rsid w:val="004F17B2"/>
    <w:rsid w:val="004F1806"/>
    <w:rsid w:val="004F1850"/>
    <w:rsid w:val="004F18EA"/>
    <w:rsid w:val="004F1A26"/>
    <w:rsid w:val="004F1A5B"/>
    <w:rsid w:val="004F1C07"/>
    <w:rsid w:val="004F1C31"/>
    <w:rsid w:val="004F1D23"/>
    <w:rsid w:val="004F1D3C"/>
    <w:rsid w:val="004F1F2A"/>
    <w:rsid w:val="004F1F86"/>
    <w:rsid w:val="004F1FF0"/>
    <w:rsid w:val="004F211A"/>
    <w:rsid w:val="004F2254"/>
    <w:rsid w:val="004F2320"/>
    <w:rsid w:val="004F2329"/>
    <w:rsid w:val="004F232F"/>
    <w:rsid w:val="004F240C"/>
    <w:rsid w:val="004F24DA"/>
    <w:rsid w:val="004F29C7"/>
    <w:rsid w:val="004F2A1E"/>
    <w:rsid w:val="004F2AA5"/>
    <w:rsid w:val="004F2E4A"/>
    <w:rsid w:val="004F2E7A"/>
    <w:rsid w:val="004F2FCF"/>
    <w:rsid w:val="004F32AD"/>
    <w:rsid w:val="004F3453"/>
    <w:rsid w:val="004F347F"/>
    <w:rsid w:val="004F3482"/>
    <w:rsid w:val="004F34FB"/>
    <w:rsid w:val="004F3617"/>
    <w:rsid w:val="004F3662"/>
    <w:rsid w:val="004F374C"/>
    <w:rsid w:val="004F3983"/>
    <w:rsid w:val="004F3A64"/>
    <w:rsid w:val="004F3A70"/>
    <w:rsid w:val="004F3C08"/>
    <w:rsid w:val="004F3D2A"/>
    <w:rsid w:val="004F3DF0"/>
    <w:rsid w:val="004F400C"/>
    <w:rsid w:val="004F4257"/>
    <w:rsid w:val="004F42CE"/>
    <w:rsid w:val="004F4319"/>
    <w:rsid w:val="004F4323"/>
    <w:rsid w:val="004F432A"/>
    <w:rsid w:val="004F4521"/>
    <w:rsid w:val="004F4551"/>
    <w:rsid w:val="004F4564"/>
    <w:rsid w:val="004F45C6"/>
    <w:rsid w:val="004F4864"/>
    <w:rsid w:val="004F486E"/>
    <w:rsid w:val="004F4890"/>
    <w:rsid w:val="004F48E1"/>
    <w:rsid w:val="004F49F2"/>
    <w:rsid w:val="004F4A6F"/>
    <w:rsid w:val="004F4B41"/>
    <w:rsid w:val="004F4E52"/>
    <w:rsid w:val="004F4E87"/>
    <w:rsid w:val="004F515C"/>
    <w:rsid w:val="004F532A"/>
    <w:rsid w:val="004F532E"/>
    <w:rsid w:val="004F53A6"/>
    <w:rsid w:val="004F59AC"/>
    <w:rsid w:val="004F5A91"/>
    <w:rsid w:val="004F5B3B"/>
    <w:rsid w:val="004F5BD9"/>
    <w:rsid w:val="004F5C21"/>
    <w:rsid w:val="004F5C89"/>
    <w:rsid w:val="004F5D2D"/>
    <w:rsid w:val="004F5DBA"/>
    <w:rsid w:val="004F5E1D"/>
    <w:rsid w:val="004F6075"/>
    <w:rsid w:val="004F60BC"/>
    <w:rsid w:val="004F612D"/>
    <w:rsid w:val="004F6151"/>
    <w:rsid w:val="004F617E"/>
    <w:rsid w:val="004F6258"/>
    <w:rsid w:val="004F6371"/>
    <w:rsid w:val="004F637F"/>
    <w:rsid w:val="004F655C"/>
    <w:rsid w:val="004F6571"/>
    <w:rsid w:val="004F6678"/>
    <w:rsid w:val="004F66A7"/>
    <w:rsid w:val="004F66BB"/>
    <w:rsid w:val="004F6A1A"/>
    <w:rsid w:val="004F6A5C"/>
    <w:rsid w:val="004F6B2D"/>
    <w:rsid w:val="004F6C96"/>
    <w:rsid w:val="004F6CAF"/>
    <w:rsid w:val="004F6DD3"/>
    <w:rsid w:val="004F7011"/>
    <w:rsid w:val="004F7103"/>
    <w:rsid w:val="004F7150"/>
    <w:rsid w:val="004F7179"/>
    <w:rsid w:val="004F7186"/>
    <w:rsid w:val="004F72E8"/>
    <w:rsid w:val="004F7820"/>
    <w:rsid w:val="004F7BCC"/>
    <w:rsid w:val="004F7BEC"/>
    <w:rsid w:val="004F7CF8"/>
    <w:rsid w:val="004F7DF3"/>
    <w:rsid w:val="004F7E97"/>
    <w:rsid w:val="004F7EEA"/>
    <w:rsid w:val="004F7F82"/>
    <w:rsid w:val="004F7FC6"/>
    <w:rsid w:val="00500034"/>
    <w:rsid w:val="00500271"/>
    <w:rsid w:val="005002F0"/>
    <w:rsid w:val="0050038E"/>
    <w:rsid w:val="00500698"/>
    <w:rsid w:val="005007B3"/>
    <w:rsid w:val="0050081C"/>
    <w:rsid w:val="0050085C"/>
    <w:rsid w:val="00500C8A"/>
    <w:rsid w:val="00500CBB"/>
    <w:rsid w:val="00500D0C"/>
    <w:rsid w:val="00500D99"/>
    <w:rsid w:val="00500F73"/>
    <w:rsid w:val="00500FD4"/>
    <w:rsid w:val="00501071"/>
    <w:rsid w:val="005010FC"/>
    <w:rsid w:val="0050121D"/>
    <w:rsid w:val="00501452"/>
    <w:rsid w:val="00501477"/>
    <w:rsid w:val="005014ED"/>
    <w:rsid w:val="00501614"/>
    <w:rsid w:val="0050171E"/>
    <w:rsid w:val="005017F5"/>
    <w:rsid w:val="005018A7"/>
    <w:rsid w:val="0050192F"/>
    <w:rsid w:val="00501B9D"/>
    <w:rsid w:val="00501BEB"/>
    <w:rsid w:val="00501D0A"/>
    <w:rsid w:val="00501D7D"/>
    <w:rsid w:val="00501D91"/>
    <w:rsid w:val="00501D98"/>
    <w:rsid w:val="00501E8B"/>
    <w:rsid w:val="00501F35"/>
    <w:rsid w:val="0050215B"/>
    <w:rsid w:val="0050226C"/>
    <w:rsid w:val="0050260A"/>
    <w:rsid w:val="00502617"/>
    <w:rsid w:val="00502670"/>
    <w:rsid w:val="005026EF"/>
    <w:rsid w:val="0050272F"/>
    <w:rsid w:val="0050274F"/>
    <w:rsid w:val="00502794"/>
    <w:rsid w:val="005027B8"/>
    <w:rsid w:val="00502835"/>
    <w:rsid w:val="00502A7C"/>
    <w:rsid w:val="00502C32"/>
    <w:rsid w:val="00502DBD"/>
    <w:rsid w:val="00502E4D"/>
    <w:rsid w:val="00502ED4"/>
    <w:rsid w:val="00502FC1"/>
    <w:rsid w:val="00503088"/>
    <w:rsid w:val="00503214"/>
    <w:rsid w:val="005033BE"/>
    <w:rsid w:val="005034A1"/>
    <w:rsid w:val="005035D6"/>
    <w:rsid w:val="00503646"/>
    <w:rsid w:val="005036D0"/>
    <w:rsid w:val="00503800"/>
    <w:rsid w:val="00503890"/>
    <w:rsid w:val="005038D2"/>
    <w:rsid w:val="005038D6"/>
    <w:rsid w:val="00503911"/>
    <w:rsid w:val="00503A9A"/>
    <w:rsid w:val="00503AB4"/>
    <w:rsid w:val="00503DF2"/>
    <w:rsid w:val="00503F77"/>
    <w:rsid w:val="00503FCC"/>
    <w:rsid w:val="005040A6"/>
    <w:rsid w:val="005041F6"/>
    <w:rsid w:val="0050435E"/>
    <w:rsid w:val="00504782"/>
    <w:rsid w:val="0050486A"/>
    <w:rsid w:val="005048C3"/>
    <w:rsid w:val="00504935"/>
    <w:rsid w:val="0050497C"/>
    <w:rsid w:val="00504A92"/>
    <w:rsid w:val="00504AB6"/>
    <w:rsid w:val="00504BFA"/>
    <w:rsid w:val="00504C27"/>
    <w:rsid w:val="00504CB9"/>
    <w:rsid w:val="00504D02"/>
    <w:rsid w:val="00504E0A"/>
    <w:rsid w:val="00504E3E"/>
    <w:rsid w:val="00504E87"/>
    <w:rsid w:val="00504ED4"/>
    <w:rsid w:val="00504EFB"/>
    <w:rsid w:val="00504FA4"/>
    <w:rsid w:val="005050A0"/>
    <w:rsid w:val="005050A2"/>
    <w:rsid w:val="005050B4"/>
    <w:rsid w:val="00505252"/>
    <w:rsid w:val="005052AD"/>
    <w:rsid w:val="005053CB"/>
    <w:rsid w:val="00505663"/>
    <w:rsid w:val="0050580E"/>
    <w:rsid w:val="00505B69"/>
    <w:rsid w:val="00505C1B"/>
    <w:rsid w:val="00505C37"/>
    <w:rsid w:val="00505C74"/>
    <w:rsid w:val="00505D3B"/>
    <w:rsid w:val="00505F41"/>
    <w:rsid w:val="00506024"/>
    <w:rsid w:val="0050605F"/>
    <w:rsid w:val="00506089"/>
    <w:rsid w:val="005060C3"/>
    <w:rsid w:val="0050613F"/>
    <w:rsid w:val="005062F4"/>
    <w:rsid w:val="0050632F"/>
    <w:rsid w:val="0050634C"/>
    <w:rsid w:val="00506409"/>
    <w:rsid w:val="0050643F"/>
    <w:rsid w:val="0050667D"/>
    <w:rsid w:val="005066D2"/>
    <w:rsid w:val="00506858"/>
    <w:rsid w:val="005068DC"/>
    <w:rsid w:val="00506A0E"/>
    <w:rsid w:val="00506C00"/>
    <w:rsid w:val="00506CEC"/>
    <w:rsid w:val="00506CF3"/>
    <w:rsid w:val="00506D93"/>
    <w:rsid w:val="00506DCE"/>
    <w:rsid w:val="0050703A"/>
    <w:rsid w:val="005071C2"/>
    <w:rsid w:val="00507231"/>
    <w:rsid w:val="0050725B"/>
    <w:rsid w:val="005072E0"/>
    <w:rsid w:val="005076BF"/>
    <w:rsid w:val="0050770E"/>
    <w:rsid w:val="00507965"/>
    <w:rsid w:val="00507A3E"/>
    <w:rsid w:val="00507B01"/>
    <w:rsid w:val="00507B55"/>
    <w:rsid w:val="00507C0E"/>
    <w:rsid w:val="0051007A"/>
    <w:rsid w:val="0051008D"/>
    <w:rsid w:val="00510157"/>
    <w:rsid w:val="005101F6"/>
    <w:rsid w:val="00510223"/>
    <w:rsid w:val="0051033A"/>
    <w:rsid w:val="00510486"/>
    <w:rsid w:val="005104AC"/>
    <w:rsid w:val="00510621"/>
    <w:rsid w:val="005106A5"/>
    <w:rsid w:val="0051072C"/>
    <w:rsid w:val="00510B65"/>
    <w:rsid w:val="00510B9E"/>
    <w:rsid w:val="00510CC3"/>
    <w:rsid w:val="00510CC8"/>
    <w:rsid w:val="00510E45"/>
    <w:rsid w:val="00510E48"/>
    <w:rsid w:val="00510EB8"/>
    <w:rsid w:val="00510EBC"/>
    <w:rsid w:val="00510F44"/>
    <w:rsid w:val="0051125C"/>
    <w:rsid w:val="005113AF"/>
    <w:rsid w:val="0051144F"/>
    <w:rsid w:val="005114C0"/>
    <w:rsid w:val="0051172E"/>
    <w:rsid w:val="005119B4"/>
    <w:rsid w:val="00511A53"/>
    <w:rsid w:val="00511B35"/>
    <w:rsid w:val="00511B39"/>
    <w:rsid w:val="00511B4C"/>
    <w:rsid w:val="00511BA3"/>
    <w:rsid w:val="00511DC1"/>
    <w:rsid w:val="00511E36"/>
    <w:rsid w:val="00511F33"/>
    <w:rsid w:val="0051206D"/>
    <w:rsid w:val="00512092"/>
    <w:rsid w:val="00512095"/>
    <w:rsid w:val="0051247A"/>
    <w:rsid w:val="005124ED"/>
    <w:rsid w:val="00512590"/>
    <w:rsid w:val="005125E3"/>
    <w:rsid w:val="00512703"/>
    <w:rsid w:val="00512734"/>
    <w:rsid w:val="00512848"/>
    <w:rsid w:val="0051285A"/>
    <w:rsid w:val="00512931"/>
    <w:rsid w:val="00512A0D"/>
    <w:rsid w:val="00512A7D"/>
    <w:rsid w:val="00512ADF"/>
    <w:rsid w:val="00512B10"/>
    <w:rsid w:val="00512B35"/>
    <w:rsid w:val="00512B89"/>
    <w:rsid w:val="00512C4C"/>
    <w:rsid w:val="00512E51"/>
    <w:rsid w:val="00512E64"/>
    <w:rsid w:val="00512F5B"/>
    <w:rsid w:val="0051300C"/>
    <w:rsid w:val="0051335B"/>
    <w:rsid w:val="005133E7"/>
    <w:rsid w:val="0051347B"/>
    <w:rsid w:val="005135EF"/>
    <w:rsid w:val="0051361E"/>
    <w:rsid w:val="005136B1"/>
    <w:rsid w:val="00513762"/>
    <w:rsid w:val="005137A2"/>
    <w:rsid w:val="005139D0"/>
    <w:rsid w:val="005139F6"/>
    <w:rsid w:val="00513AE8"/>
    <w:rsid w:val="00513AF0"/>
    <w:rsid w:val="00513E4F"/>
    <w:rsid w:val="00514053"/>
    <w:rsid w:val="005140E1"/>
    <w:rsid w:val="0051412E"/>
    <w:rsid w:val="0051414A"/>
    <w:rsid w:val="005141EB"/>
    <w:rsid w:val="0051424B"/>
    <w:rsid w:val="00514479"/>
    <w:rsid w:val="00514557"/>
    <w:rsid w:val="00514627"/>
    <w:rsid w:val="0051466A"/>
    <w:rsid w:val="005146DC"/>
    <w:rsid w:val="00514C0A"/>
    <w:rsid w:val="00514CC8"/>
    <w:rsid w:val="00514D4E"/>
    <w:rsid w:val="00514F30"/>
    <w:rsid w:val="00515046"/>
    <w:rsid w:val="0051518D"/>
    <w:rsid w:val="0051523C"/>
    <w:rsid w:val="00515504"/>
    <w:rsid w:val="0051559C"/>
    <w:rsid w:val="0051572F"/>
    <w:rsid w:val="0051576A"/>
    <w:rsid w:val="00515989"/>
    <w:rsid w:val="00515AFC"/>
    <w:rsid w:val="00515B1B"/>
    <w:rsid w:val="0051604F"/>
    <w:rsid w:val="00516142"/>
    <w:rsid w:val="00516148"/>
    <w:rsid w:val="005161AB"/>
    <w:rsid w:val="0051629C"/>
    <w:rsid w:val="0051632B"/>
    <w:rsid w:val="00516540"/>
    <w:rsid w:val="00516547"/>
    <w:rsid w:val="00516556"/>
    <w:rsid w:val="005165C0"/>
    <w:rsid w:val="005167D2"/>
    <w:rsid w:val="005168E1"/>
    <w:rsid w:val="00516939"/>
    <w:rsid w:val="005169A0"/>
    <w:rsid w:val="00516D9F"/>
    <w:rsid w:val="00516DE3"/>
    <w:rsid w:val="00516E63"/>
    <w:rsid w:val="00516F6D"/>
    <w:rsid w:val="00517036"/>
    <w:rsid w:val="00517187"/>
    <w:rsid w:val="005171A0"/>
    <w:rsid w:val="005171CF"/>
    <w:rsid w:val="005171F4"/>
    <w:rsid w:val="0051722C"/>
    <w:rsid w:val="00517250"/>
    <w:rsid w:val="0051735A"/>
    <w:rsid w:val="005173AF"/>
    <w:rsid w:val="00517524"/>
    <w:rsid w:val="005176BE"/>
    <w:rsid w:val="00517725"/>
    <w:rsid w:val="005179D9"/>
    <w:rsid w:val="00517A35"/>
    <w:rsid w:val="00517AAD"/>
    <w:rsid w:val="00517C24"/>
    <w:rsid w:val="00517D57"/>
    <w:rsid w:val="00517DFA"/>
    <w:rsid w:val="00517EF7"/>
    <w:rsid w:val="00517FAA"/>
    <w:rsid w:val="00517FDB"/>
    <w:rsid w:val="005207DA"/>
    <w:rsid w:val="005207E9"/>
    <w:rsid w:val="005207F1"/>
    <w:rsid w:val="00520867"/>
    <w:rsid w:val="005208BA"/>
    <w:rsid w:val="005209F1"/>
    <w:rsid w:val="00520A16"/>
    <w:rsid w:val="00520A38"/>
    <w:rsid w:val="00520B78"/>
    <w:rsid w:val="00520C12"/>
    <w:rsid w:val="00520F8D"/>
    <w:rsid w:val="00520FD6"/>
    <w:rsid w:val="00521258"/>
    <w:rsid w:val="005212EE"/>
    <w:rsid w:val="00521366"/>
    <w:rsid w:val="005214D4"/>
    <w:rsid w:val="0052151C"/>
    <w:rsid w:val="00521677"/>
    <w:rsid w:val="00521860"/>
    <w:rsid w:val="005219FC"/>
    <w:rsid w:val="00521B89"/>
    <w:rsid w:val="00521D26"/>
    <w:rsid w:val="00521EE5"/>
    <w:rsid w:val="0052216A"/>
    <w:rsid w:val="005221BC"/>
    <w:rsid w:val="005221D1"/>
    <w:rsid w:val="00522363"/>
    <w:rsid w:val="0052240F"/>
    <w:rsid w:val="005225DD"/>
    <w:rsid w:val="0052276C"/>
    <w:rsid w:val="005227E4"/>
    <w:rsid w:val="0052289B"/>
    <w:rsid w:val="0052289F"/>
    <w:rsid w:val="00522963"/>
    <w:rsid w:val="00522A2F"/>
    <w:rsid w:val="00522B0F"/>
    <w:rsid w:val="00522CAC"/>
    <w:rsid w:val="00522D6C"/>
    <w:rsid w:val="00522EC4"/>
    <w:rsid w:val="00522F27"/>
    <w:rsid w:val="00522FE6"/>
    <w:rsid w:val="00523029"/>
    <w:rsid w:val="00523119"/>
    <w:rsid w:val="00523177"/>
    <w:rsid w:val="00523182"/>
    <w:rsid w:val="00523293"/>
    <w:rsid w:val="005232A9"/>
    <w:rsid w:val="00523487"/>
    <w:rsid w:val="00523498"/>
    <w:rsid w:val="005234A5"/>
    <w:rsid w:val="005234CA"/>
    <w:rsid w:val="00523663"/>
    <w:rsid w:val="0052374A"/>
    <w:rsid w:val="0052385A"/>
    <w:rsid w:val="00523873"/>
    <w:rsid w:val="00523A0A"/>
    <w:rsid w:val="00523A40"/>
    <w:rsid w:val="00523CB5"/>
    <w:rsid w:val="00523D45"/>
    <w:rsid w:val="00523D4E"/>
    <w:rsid w:val="00523E1D"/>
    <w:rsid w:val="00523FA2"/>
    <w:rsid w:val="00524292"/>
    <w:rsid w:val="005244D5"/>
    <w:rsid w:val="00524987"/>
    <w:rsid w:val="00524A34"/>
    <w:rsid w:val="00524BC4"/>
    <w:rsid w:val="00524D50"/>
    <w:rsid w:val="00524DA6"/>
    <w:rsid w:val="00524ECB"/>
    <w:rsid w:val="00524EF6"/>
    <w:rsid w:val="0052529C"/>
    <w:rsid w:val="00525381"/>
    <w:rsid w:val="005255E0"/>
    <w:rsid w:val="0052562F"/>
    <w:rsid w:val="00525708"/>
    <w:rsid w:val="0052599F"/>
    <w:rsid w:val="00525BAA"/>
    <w:rsid w:val="00525C89"/>
    <w:rsid w:val="00525EBD"/>
    <w:rsid w:val="00525F61"/>
    <w:rsid w:val="0052601D"/>
    <w:rsid w:val="005260B2"/>
    <w:rsid w:val="00526103"/>
    <w:rsid w:val="005261D2"/>
    <w:rsid w:val="0052624C"/>
    <w:rsid w:val="005262FC"/>
    <w:rsid w:val="0052639B"/>
    <w:rsid w:val="005263E2"/>
    <w:rsid w:val="005265DC"/>
    <w:rsid w:val="00526742"/>
    <w:rsid w:val="00526BA1"/>
    <w:rsid w:val="00526CD0"/>
    <w:rsid w:val="00526CD7"/>
    <w:rsid w:val="00526D7E"/>
    <w:rsid w:val="00526E14"/>
    <w:rsid w:val="00526E22"/>
    <w:rsid w:val="00526F66"/>
    <w:rsid w:val="005270DB"/>
    <w:rsid w:val="00527265"/>
    <w:rsid w:val="005272B7"/>
    <w:rsid w:val="005272F6"/>
    <w:rsid w:val="00527519"/>
    <w:rsid w:val="005276E2"/>
    <w:rsid w:val="005278F9"/>
    <w:rsid w:val="00527A5A"/>
    <w:rsid w:val="00527ADC"/>
    <w:rsid w:val="00527D46"/>
    <w:rsid w:val="00527DDF"/>
    <w:rsid w:val="00527EC4"/>
    <w:rsid w:val="00527FB8"/>
    <w:rsid w:val="00527FC5"/>
    <w:rsid w:val="00527FCA"/>
    <w:rsid w:val="00530070"/>
    <w:rsid w:val="005300A4"/>
    <w:rsid w:val="005300CB"/>
    <w:rsid w:val="0053016F"/>
    <w:rsid w:val="005302DC"/>
    <w:rsid w:val="005302F5"/>
    <w:rsid w:val="005303FB"/>
    <w:rsid w:val="00530932"/>
    <w:rsid w:val="00530B24"/>
    <w:rsid w:val="00530B2A"/>
    <w:rsid w:val="00530C13"/>
    <w:rsid w:val="00530C30"/>
    <w:rsid w:val="00530D8A"/>
    <w:rsid w:val="00530DD6"/>
    <w:rsid w:val="00530E1F"/>
    <w:rsid w:val="00530F26"/>
    <w:rsid w:val="00531076"/>
    <w:rsid w:val="00531086"/>
    <w:rsid w:val="005311F5"/>
    <w:rsid w:val="00531216"/>
    <w:rsid w:val="00531248"/>
    <w:rsid w:val="00531427"/>
    <w:rsid w:val="0053164B"/>
    <w:rsid w:val="0053171B"/>
    <w:rsid w:val="0053191D"/>
    <w:rsid w:val="0053197D"/>
    <w:rsid w:val="00531C54"/>
    <w:rsid w:val="00531D9E"/>
    <w:rsid w:val="00531DAB"/>
    <w:rsid w:val="00531DFB"/>
    <w:rsid w:val="00531F65"/>
    <w:rsid w:val="00531FFB"/>
    <w:rsid w:val="00532003"/>
    <w:rsid w:val="0053201C"/>
    <w:rsid w:val="00532137"/>
    <w:rsid w:val="00532161"/>
    <w:rsid w:val="005321F3"/>
    <w:rsid w:val="00532233"/>
    <w:rsid w:val="00532359"/>
    <w:rsid w:val="0053236E"/>
    <w:rsid w:val="005323B4"/>
    <w:rsid w:val="005323CE"/>
    <w:rsid w:val="0053241A"/>
    <w:rsid w:val="00532485"/>
    <w:rsid w:val="0053264B"/>
    <w:rsid w:val="005326BC"/>
    <w:rsid w:val="00532710"/>
    <w:rsid w:val="005328FC"/>
    <w:rsid w:val="00532941"/>
    <w:rsid w:val="00532CBD"/>
    <w:rsid w:val="00532DCA"/>
    <w:rsid w:val="00532E07"/>
    <w:rsid w:val="00532EAC"/>
    <w:rsid w:val="00532EF8"/>
    <w:rsid w:val="00532F7E"/>
    <w:rsid w:val="005332DE"/>
    <w:rsid w:val="0053333E"/>
    <w:rsid w:val="0053337E"/>
    <w:rsid w:val="00533434"/>
    <w:rsid w:val="00533582"/>
    <w:rsid w:val="00533662"/>
    <w:rsid w:val="005336C8"/>
    <w:rsid w:val="005336F8"/>
    <w:rsid w:val="005337F2"/>
    <w:rsid w:val="00533801"/>
    <w:rsid w:val="005338F1"/>
    <w:rsid w:val="00533956"/>
    <w:rsid w:val="00533AF1"/>
    <w:rsid w:val="00533B25"/>
    <w:rsid w:val="00533E9B"/>
    <w:rsid w:val="00533F21"/>
    <w:rsid w:val="00533F36"/>
    <w:rsid w:val="00533FAF"/>
    <w:rsid w:val="0053403E"/>
    <w:rsid w:val="005340A6"/>
    <w:rsid w:val="00534200"/>
    <w:rsid w:val="005343A5"/>
    <w:rsid w:val="0053452E"/>
    <w:rsid w:val="005345F6"/>
    <w:rsid w:val="0053461D"/>
    <w:rsid w:val="0053464D"/>
    <w:rsid w:val="00534663"/>
    <w:rsid w:val="00534804"/>
    <w:rsid w:val="00534B30"/>
    <w:rsid w:val="00534D14"/>
    <w:rsid w:val="00534D3E"/>
    <w:rsid w:val="00534D4E"/>
    <w:rsid w:val="00534E71"/>
    <w:rsid w:val="00534F0E"/>
    <w:rsid w:val="00534F46"/>
    <w:rsid w:val="00534FC3"/>
    <w:rsid w:val="0053508C"/>
    <w:rsid w:val="005350BC"/>
    <w:rsid w:val="005350D4"/>
    <w:rsid w:val="00535149"/>
    <w:rsid w:val="00535254"/>
    <w:rsid w:val="005354D6"/>
    <w:rsid w:val="00535562"/>
    <w:rsid w:val="005356CB"/>
    <w:rsid w:val="00535873"/>
    <w:rsid w:val="00535968"/>
    <w:rsid w:val="00535AE2"/>
    <w:rsid w:val="00535B4E"/>
    <w:rsid w:val="00535B9B"/>
    <w:rsid w:val="00535C6B"/>
    <w:rsid w:val="00535D12"/>
    <w:rsid w:val="00535D29"/>
    <w:rsid w:val="00535F44"/>
    <w:rsid w:val="00535FCF"/>
    <w:rsid w:val="0053622E"/>
    <w:rsid w:val="00536291"/>
    <w:rsid w:val="00536337"/>
    <w:rsid w:val="0053652E"/>
    <w:rsid w:val="0053653E"/>
    <w:rsid w:val="00536636"/>
    <w:rsid w:val="0053663D"/>
    <w:rsid w:val="00536684"/>
    <w:rsid w:val="00536872"/>
    <w:rsid w:val="005369EB"/>
    <w:rsid w:val="00536B6D"/>
    <w:rsid w:val="00537178"/>
    <w:rsid w:val="0053718C"/>
    <w:rsid w:val="005373C7"/>
    <w:rsid w:val="0053750F"/>
    <w:rsid w:val="00537775"/>
    <w:rsid w:val="005377B8"/>
    <w:rsid w:val="005377F8"/>
    <w:rsid w:val="005378AB"/>
    <w:rsid w:val="00537906"/>
    <w:rsid w:val="00537ADE"/>
    <w:rsid w:val="00537B3A"/>
    <w:rsid w:val="00537DC2"/>
    <w:rsid w:val="00537E3E"/>
    <w:rsid w:val="00537F80"/>
    <w:rsid w:val="00537FB3"/>
    <w:rsid w:val="00540112"/>
    <w:rsid w:val="005401FF"/>
    <w:rsid w:val="00540557"/>
    <w:rsid w:val="005405AB"/>
    <w:rsid w:val="005407B0"/>
    <w:rsid w:val="005407BE"/>
    <w:rsid w:val="00540963"/>
    <w:rsid w:val="00540ABB"/>
    <w:rsid w:val="00540C1C"/>
    <w:rsid w:val="00540C75"/>
    <w:rsid w:val="00540D12"/>
    <w:rsid w:val="00540EA6"/>
    <w:rsid w:val="00541047"/>
    <w:rsid w:val="00541501"/>
    <w:rsid w:val="00541626"/>
    <w:rsid w:val="0054174E"/>
    <w:rsid w:val="005417A3"/>
    <w:rsid w:val="00541801"/>
    <w:rsid w:val="005418A0"/>
    <w:rsid w:val="005419A8"/>
    <w:rsid w:val="00541ACC"/>
    <w:rsid w:val="00541B4A"/>
    <w:rsid w:val="00541BBF"/>
    <w:rsid w:val="00541C5A"/>
    <w:rsid w:val="00541CB3"/>
    <w:rsid w:val="00541D6D"/>
    <w:rsid w:val="00541DEB"/>
    <w:rsid w:val="005420B0"/>
    <w:rsid w:val="005420EF"/>
    <w:rsid w:val="005421FE"/>
    <w:rsid w:val="00542237"/>
    <w:rsid w:val="005422FD"/>
    <w:rsid w:val="00542384"/>
    <w:rsid w:val="00542411"/>
    <w:rsid w:val="00542413"/>
    <w:rsid w:val="0054254A"/>
    <w:rsid w:val="005425B0"/>
    <w:rsid w:val="005425C6"/>
    <w:rsid w:val="0054268E"/>
    <w:rsid w:val="005426E6"/>
    <w:rsid w:val="005426E7"/>
    <w:rsid w:val="00542874"/>
    <w:rsid w:val="005428B4"/>
    <w:rsid w:val="00542936"/>
    <w:rsid w:val="00542A20"/>
    <w:rsid w:val="00542AB7"/>
    <w:rsid w:val="00542BEB"/>
    <w:rsid w:val="00542CFF"/>
    <w:rsid w:val="00542FAC"/>
    <w:rsid w:val="00543032"/>
    <w:rsid w:val="00543131"/>
    <w:rsid w:val="0054314C"/>
    <w:rsid w:val="005431CF"/>
    <w:rsid w:val="005431E5"/>
    <w:rsid w:val="005434DF"/>
    <w:rsid w:val="0054369D"/>
    <w:rsid w:val="00543A97"/>
    <w:rsid w:val="00543D27"/>
    <w:rsid w:val="00543F9A"/>
    <w:rsid w:val="005440E3"/>
    <w:rsid w:val="0054414D"/>
    <w:rsid w:val="005441B5"/>
    <w:rsid w:val="005443E6"/>
    <w:rsid w:val="00544A40"/>
    <w:rsid w:val="00544A57"/>
    <w:rsid w:val="00544A5B"/>
    <w:rsid w:val="00544C3D"/>
    <w:rsid w:val="00544D7C"/>
    <w:rsid w:val="00544D89"/>
    <w:rsid w:val="00544DD7"/>
    <w:rsid w:val="0054504C"/>
    <w:rsid w:val="005451AE"/>
    <w:rsid w:val="0054525B"/>
    <w:rsid w:val="00545376"/>
    <w:rsid w:val="005453CD"/>
    <w:rsid w:val="00545703"/>
    <w:rsid w:val="005457E8"/>
    <w:rsid w:val="00545AB9"/>
    <w:rsid w:val="00545B53"/>
    <w:rsid w:val="00545CE2"/>
    <w:rsid w:val="00545D47"/>
    <w:rsid w:val="00545DA5"/>
    <w:rsid w:val="005460B5"/>
    <w:rsid w:val="005465F0"/>
    <w:rsid w:val="0054667B"/>
    <w:rsid w:val="005466DE"/>
    <w:rsid w:val="00546717"/>
    <w:rsid w:val="0054689A"/>
    <w:rsid w:val="00546A4C"/>
    <w:rsid w:val="00546A97"/>
    <w:rsid w:val="00546AE8"/>
    <w:rsid w:val="00546BB3"/>
    <w:rsid w:val="00546CF8"/>
    <w:rsid w:val="00546E6E"/>
    <w:rsid w:val="00546F88"/>
    <w:rsid w:val="00547114"/>
    <w:rsid w:val="005471AC"/>
    <w:rsid w:val="005471D6"/>
    <w:rsid w:val="005475A6"/>
    <w:rsid w:val="005476F0"/>
    <w:rsid w:val="0054771D"/>
    <w:rsid w:val="0054776F"/>
    <w:rsid w:val="00547A78"/>
    <w:rsid w:val="00547AC6"/>
    <w:rsid w:val="00547B41"/>
    <w:rsid w:val="00547B4F"/>
    <w:rsid w:val="00547B73"/>
    <w:rsid w:val="00547E41"/>
    <w:rsid w:val="00547E9F"/>
    <w:rsid w:val="0055001C"/>
    <w:rsid w:val="00550044"/>
    <w:rsid w:val="005500AB"/>
    <w:rsid w:val="005501CC"/>
    <w:rsid w:val="005502C5"/>
    <w:rsid w:val="005505AD"/>
    <w:rsid w:val="005505EF"/>
    <w:rsid w:val="0055069C"/>
    <w:rsid w:val="005506D1"/>
    <w:rsid w:val="005507C9"/>
    <w:rsid w:val="005507CA"/>
    <w:rsid w:val="0055082F"/>
    <w:rsid w:val="00550862"/>
    <w:rsid w:val="00550A1F"/>
    <w:rsid w:val="00550B7B"/>
    <w:rsid w:val="005510E0"/>
    <w:rsid w:val="005511D8"/>
    <w:rsid w:val="00551224"/>
    <w:rsid w:val="0055131E"/>
    <w:rsid w:val="005514E8"/>
    <w:rsid w:val="005515B2"/>
    <w:rsid w:val="005517E3"/>
    <w:rsid w:val="00551879"/>
    <w:rsid w:val="0055195A"/>
    <w:rsid w:val="00551AD5"/>
    <w:rsid w:val="00551EF3"/>
    <w:rsid w:val="00551FDD"/>
    <w:rsid w:val="00551FE7"/>
    <w:rsid w:val="0055217D"/>
    <w:rsid w:val="00552190"/>
    <w:rsid w:val="005523D0"/>
    <w:rsid w:val="0055240C"/>
    <w:rsid w:val="00552524"/>
    <w:rsid w:val="0055259F"/>
    <w:rsid w:val="00552602"/>
    <w:rsid w:val="00552666"/>
    <w:rsid w:val="005529E2"/>
    <w:rsid w:val="005529EF"/>
    <w:rsid w:val="00552B47"/>
    <w:rsid w:val="00552C4E"/>
    <w:rsid w:val="00552C99"/>
    <w:rsid w:val="00552D31"/>
    <w:rsid w:val="00552D5A"/>
    <w:rsid w:val="00552E4D"/>
    <w:rsid w:val="00552FFC"/>
    <w:rsid w:val="0055326F"/>
    <w:rsid w:val="00553334"/>
    <w:rsid w:val="00553367"/>
    <w:rsid w:val="00553383"/>
    <w:rsid w:val="00553397"/>
    <w:rsid w:val="005535C9"/>
    <w:rsid w:val="00553626"/>
    <w:rsid w:val="005539D8"/>
    <w:rsid w:val="00553A32"/>
    <w:rsid w:val="00553DAB"/>
    <w:rsid w:val="00553E88"/>
    <w:rsid w:val="00553EBE"/>
    <w:rsid w:val="0055400D"/>
    <w:rsid w:val="005541CE"/>
    <w:rsid w:val="005541F1"/>
    <w:rsid w:val="005544C2"/>
    <w:rsid w:val="005545AC"/>
    <w:rsid w:val="00554757"/>
    <w:rsid w:val="005547FA"/>
    <w:rsid w:val="00554851"/>
    <w:rsid w:val="00554872"/>
    <w:rsid w:val="005548A6"/>
    <w:rsid w:val="005549DA"/>
    <w:rsid w:val="00554B12"/>
    <w:rsid w:val="00554BBC"/>
    <w:rsid w:val="00554D7B"/>
    <w:rsid w:val="00554D8C"/>
    <w:rsid w:val="00554D96"/>
    <w:rsid w:val="00554FE7"/>
    <w:rsid w:val="00555198"/>
    <w:rsid w:val="005551A5"/>
    <w:rsid w:val="0055522B"/>
    <w:rsid w:val="0055542A"/>
    <w:rsid w:val="00555543"/>
    <w:rsid w:val="005555C6"/>
    <w:rsid w:val="00555630"/>
    <w:rsid w:val="005557FF"/>
    <w:rsid w:val="0055581E"/>
    <w:rsid w:val="00555ADE"/>
    <w:rsid w:val="00555AF6"/>
    <w:rsid w:val="00555B1D"/>
    <w:rsid w:val="00555B4E"/>
    <w:rsid w:val="00555DCD"/>
    <w:rsid w:val="00555E0E"/>
    <w:rsid w:val="00555E43"/>
    <w:rsid w:val="00555EF1"/>
    <w:rsid w:val="005560B1"/>
    <w:rsid w:val="00556169"/>
    <w:rsid w:val="005563AE"/>
    <w:rsid w:val="005563AF"/>
    <w:rsid w:val="005563E3"/>
    <w:rsid w:val="00556481"/>
    <w:rsid w:val="0055652A"/>
    <w:rsid w:val="005565CE"/>
    <w:rsid w:val="0055673B"/>
    <w:rsid w:val="005567F7"/>
    <w:rsid w:val="00556F37"/>
    <w:rsid w:val="00557004"/>
    <w:rsid w:val="00557056"/>
    <w:rsid w:val="00557090"/>
    <w:rsid w:val="00557117"/>
    <w:rsid w:val="0055743F"/>
    <w:rsid w:val="005574A3"/>
    <w:rsid w:val="005574D2"/>
    <w:rsid w:val="005574E0"/>
    <w:rsid w:val="0055752C"/>
    <w:rsid w:val="005575B9"/>
    <w:rsid w:val="005575F7"/>
    <w:rsid w:val="0055765B"/>
    <w:rsid w:val="005576E2"/>
    <w:rsid w:val="005578DF"/>
    <w:rsid w:val="00557962"/>
    <w:rsid w:val="00557AA4"/>
    <w:rsid w:val="00557B5F"/>
    <w:rsid w:val="00557D60"/>
    <w:rsid w:val="00557DBC"/>
    <w:rsid w:val="005602DE"/>
    <w:rsid w:val="0056048C"/>
    <w:rsid w:val="00560563"/>
    <w:rsid w:val="00560711"/>
    <w:rsid w:val="00560796"/>
    <w:rsid w:val="005608B1"/>
    <w:rsid w:val="0056091E"/>
    <w:rsid w:val="00560AF4"/>
    <w:rsid w:val="00560D31"/>
    <w:rsid w:val="00560D5C"/>
    <w:rsid w:val="00560D69"/>
    <w:rsid w:val="00560E43"/>
    <w:rsid w:val="00560EA4"/>
    <w:rsid w:val="00560F42"/>
    <w:rsid w:val="00560FBF"/>
    <w:rsid w:val="0056113C"/>
    <w:rsid w:val="00561286"/>
    <w:rsid w:val="005612B4"/>
    <w:rsid w:val="005615A8"/>
    <w:rsid w:val="0056166D"/>
    <w:rsid w:val="005616CB"/>
    <w:rsid w:val="0056189C"/>
    <w:rsid w:val="0056194A"/>
    <w:rsid w:val="00561A64"/>
    <w:rsid w:val="00561AAE"/>
    <w:rsid w:val="00561AC5"/>
    <w:rsid w:val="00561D07"/>
    <w:rsid w:val="00561E2A"/>
    <w:rsid w:val="00561E7F"/>
    <w:rsid w:val="00561EA3"/>
    <w:rsid w:val="00561F71"/>
    <w:rsid w:val="00561FED"/>
    <w:rsid w:val="005620A1"/>
    <w:rsid w:val="0056214C"/>
    <w:rsid w:val="005621CE"/>
    <w:rsid w:val="00562516"/>
    <w:rsid w:val="005625AE"/>
    <w:rsid w:val="00562641"/>
    <w:rsid w:val="005626C8"/>
    <w:rsid w:val="0056279C"/>
    <w:rsid w:val="005627FC"/>
    <w:rsid w:val="00562845"/>
    <w:rsid w:val="00562858"/>
    <w:rsid w:val="00562867"/>
    <w:rsid w:val="005629E8"/>
    <w:rsid w:val="00562B82"/>
    <w:rsid w:val="00562B83"/>
    <w:rsid w:val="00562B8D"/>
    <w:rsid w:val="00562C8C"/>
    <w:rsid w:val="00562FF5"/>
    <w:rsid w:val="0056305A"/>
    <w:rsid w:val="005631F8"/>
    <w:rsid w:val="00563235"/>
    <w:rsid w:val="00563264"/>
    <w:rsid w:val="005634A5"/>
    <w:rsid w:val="00563562"/>
    <w:rsid w:val="005636BC"/>
    <w:rsid w:val="005637F8"/>
    <w:rsid w:val="00563825"/>
    <w:rsid w:val="00563979"/>
    <w:rsid w:val="005639A5"/>
    <w:rsid w:val="00563A2E"/>
    <w:rsid w:val="00563BB4"/>
    <w:rsid w:val="00563C38"/>
    <w:rsid w:val="00563D70"/>
    <w:rsid w:val="00563F33"/>
    <w:rsid w:val="00563F87"/>
    <w:rsid w:val="00563F9A"/>
    <w:rsid w:val="0056406E"/>
    <w:rsid w:val="005642ED"/>
    <w:rsid w:val="005644A4"/>
    <w:rsid w:val="005644FF"/>
    <w:rsid w:val="0056451C"/>
    <w:rsid w:val="0056456F"/>
    <w:rsid w:val="00564599"/>
    <w:rsid w:val="005645B0"/>
    <w:rsid w:val="005645C2"/>
    <w:rsid w:val="00564796"/>
    <w:rsid w:val="00564847"/>
    <w:rsid w:val="0056485A"/>
    <w:rsid w:val="00564874"/>
    <w:rsid w:val="005648AC"/>
    <w:rsid w:val="005649C9"/>
    <w:rsid w:val="00564A60"/>
    <w:rsid w:val="00564AF7"/>
    <w:rsid w:val="00564B6D"/>
    <w:rsid w:val="00564C06"/>
    <w:rsid w:val="00564E07"/>
    <w:rsid w:val="00564EE9"/>
    <w:rsid w:val="00565126"/>
    <w:rsid w:val="00565202"/>
    <w:rsid w:val="00565393"/>
    <w:rsid w:val="005654EF"/>
    <w:rsid w:val="00565936"/>
    <w:rsid w:val="0056598F"/>
    <w:rsid w:val="005659FD"/>
    <w:rsid w:val="00565A96"/>
    <w:rsid w:val="00565BB4"/>
    <w:rsid w:val="00565BCD"/>
    <w:rsid w:val="00565BEF"/>
    <w:rsid w:val="00565C7E"/>
    <w:rsid w:val="00565CA6"/>
    <w:rsid w:val="00565CD0"/>
    <w:rsid w:val="00565E00"/>
    <w:rsid w:val="00565E39"/>
    <w:rsid w:val="00565E77"/>
    <w:rsid w:val="00565ED9"/>
    <w:rsid w:val="00565F0C"/>
    <w:rsid w:val="00566167"/>
    <w:rsid w:val="0056618D"/>
    <w:rsid w:val="0056626C"/>
    <w:rsid w:val="00566314"/>
    <w:rsid w:val="005663D4"/>
    <w:rsid w:val="005665D4"/>
    <w:rsid w:val="00566627"/>
    <w:rsid w:val="005666E6"/>
    <w:rsid w:val="0056673A"/>
    <w:rsid w:val="005667F1"/>
    <w:rsid w:val="0056684C"/>
    <w:rsid w:val="00566992"/>
    <w:rsid w:val="00566A44"/>
    <w:rsid w:val="00566BA3"/>
    <w:rsid w:val="00566BE7"/>
    <w:rsid w:val="00566DA3"/>
    <w:rsid w:val="00566DB1"/>
    <w:rsid w:val="00566DE8"/>
    <w:rsid w:val="00566DEB"/>
    <w:rsid w:val="00566E0D"/>
    <w:rsid w:val="00566E4D"/>
    <w:rsid w:val="00566F52"/>
    <w:rsid w:val="00567061"/>
    <w:rsid w:val="005670DE"/>
    <w:rsid w:val="005670F1"/>
    <w:rsid w:val="00567119"/>
    <w:rsid w:val="00567184"/>
    <w:rsid w:val="005671E7"/>
    <w:rsid w:val="005672A8"/>
    <w:rsid w:val="005672BD"/>
    <w:rsid w:val="0056732F"/>
    <w:rsid w:val="0056741E"/>
    <w:rsid w:val="005674E8"/>
    <w:rsid w:val="00567518"/>
    <w:rsid w:val="00567519"/>
    <w:rsid w:val="00567564"/>
    <w:rsid w:val="00567593"/>
    <w:rsid w:val="005675B9"/>
    <w:rsid w:val="005676A0"/>
    <w:rsid w:val="00567AE5"/>
    <w:rsid w:val="00567AEE"/>
    <w:rsid w:val="00567BE1"/>
    <w:rsid w:val="00567C00"/>
    <w:rsid w:val="00567CBE"/>
    <w:rsid w:val="00567DF9"/>
    <w:rsid w:val="00567E3F"/>
    <w:rsid w:val="00567E6D"/>
    <w:rsid w:val="00567E91"/>
    <w:rsid w:val="00567FBE"/>
    <w:rsid w:val="00567FC2"/>
    <w:rsid w:val="00570043"/>
    <w:rsid w:val="0057017D"/>
    <w:rsid w:val="00570342"/>
    <w:rsid w:val="00570574"/>
    <w:rsid w:val="005705A1"/>
    <w:rsid w:val="005705CF"/>
    <w:rsid w:val="00570666"/>
    <w:rsid w:val="00570722"/>
    <w:rsid w:val="005708AB"/>
    <w:rsid w:val="00570A09"/>
    <w:rsid w:val="00570A31"/>
    <w:rsid w:val="00570A89"/>
    <w:rsid w:val="00570CBA"/>
    <w:rsid w:val="00570D35"/>
    <w:rsid w:val="00570DEF"/>
    <w:rsid w:val="00570E2A"/>
    <w:rsid w:val="00570EAE"/>
    <w:rsid w:val="00570EF5"/>
    <w:rsid w:val="00570FEE"/>
    <w:rsid w:val="005710C6"/>
    <w:rsid w:val="00571357"/>
    <w:rsid w:val="005714F2"/>
    <w:rsid w:val="005715D0"/>
    <w:rsid w:val="005715EE"/>
    <w:rsid w:val="00571637"/>
    <w:rsid w:val="005716E3"/>
    <w:rsid w:val="00571853"/>
    <w:rsid w:val="00571A9D"/>
    <w:rsid w:val="00571AC3"/>
    <w:rsid w:val="00571AD7"/>
    <w:rsid w:val="00571B01"/>
    <w:rsid w:val="00571CEB"/>
    <w:rsid w:val="00571D24"/>
    <w:rsid w:val="00571DD6"/>
    <w:rsid w:val="00571FB9"/>
    <w:rsid w:val="005720F6"/>
    <w:rsid w:val="0057211D"/>
    <w:rsid w:val="005721C1"/>
    <w:rsid w:val="005722E1"/>
    <w:rsid w:val="005724B8"/>
    <w:rsid w:val="00572590"/>
    <w:rsid w:val="00572652"/>
    <w:rsid w:val="005728F2"/>
    <w:rsid w:val="00572AE5"/>
    <w:rsid w:val="00572B3A"/>
    <w:rsid w:val="00572B61"/>
    <w:rsid w:val="00572BD3"/>
    <w:rsid w:val="00572D24"/>
    <w:rsid w:val="00572D90"/>
    <w:rsid w:val="00572F24"/>
    <w:rsid w:val="00573074"/>
    <w:rsid w:val="005731D6"/>
    <w:rsid w:val="00573224"/>
    <w:rsid w:val="005732EF"/>
    <w:rsid w:val="005733E7"/>
    <w:rsid w:val="00573554"/>
    <w:rsid w:val="00573696"/>
    <w:rsid w:val="005736B6"/>
    <w:rsid w:val="00573700"/>
    <w:rsid w:val="005737CA"/>
    <w:rsid w:val="005738F2"/>
    <w:rsid w:val="0057391F"/>
    <w:rsid w:val="00573A0F"/>
    <w:rsid w:val="00573BB0"/>
    <w:rsid w:val="00573BFD"/>
    <w:rsid w:val="00573C7C"/>
    <w:rsid w:val="00573CC8"/>
    <w:rsid w:val="00573D20"/>
    <w:rsid w:val="00573D23"/>
    <w:rsid w:val="00573EB7"/>
    <w:rsid w:val="0057403C"/>
    <w:rsid w:val="00574134"/>
    <w:rsid w:val="00574162"/>
    <w:rsid w:val="005742B0"/>
    <w:rsid w:val="0057436D"/>
    <w:rsid w:val="0057452A"/>
    <w:rsid w:val="00574596"/>
    <w:rsid w:val="0057462C"/>
    <w:rsid w:val="00574694"/>
    <w:rsid w:val="005746F0"/>
    <w:rsid w:val="005747FA"/>
    <w:rsid w:val="0057491F"/>
    <w:rsid w:val="0057497B"/>
    <w:rsid w:val="00574B19"/>
    <w:rsid w:val="00574B71"/>
    <w:rsid w:val="00574FAA"/>
    <w:rsid w:val="005751D2"/>
    <w:rsid w:val="00575212"/>
    <w:rsid w:val="00575231"/>
    <w:rsid w:val="00575297"/>
    <w:rsid w:val="00575403"/>
    <w:rsid w:val="00575519"/>
    <w:rsid w:val="0057560F"/>
    <w:rsid w:val="0057577D"/>
    <w:rsid w:val="00575A78"/>
    <w:rsid w:val="00575CE5"/>
    <w:rsid w:val="00575EF6"/>
    <w:rsid w:val="00576081"/>
    <w:rsid w:val="00576430"/>
    <w:rsid w:val="0057665C"/>
    <w:rsid w:val="00576973"/>
    <w:rsid w:val="00576A2E"/>
    <w:rsid w:val="00576A35"/>
    <w:rsid w:val="00576B5C"/>
    <w:rsid w:val="00576C4C"/>
    <w:rsid w:val="00576DC7"/>
    <w:rsid w:val="00576E24"/>
    <w:rsid w:val="00576F61"/>
    <w:rsid w:val="005770F0"/>
    <w:rsid w:val="005770F6"/>
    <w:rsid w:val="00577112"/>
    <w:rsid w:val="00577116"/>
    <w:rsid w:val="005771AE"/>
    <w:rsid w:val="00577223"/>
    <w:rsid w:val="00577440"/>
    <w:rsid w:val="00577478"/>
    <w:rsid w:val="005776AE"/>
    <w:rsid w:val="00577713"/>
    <w:rsid w:val="005778EA"/>
    <w:rsid w:val="00577CB4"/>
    <w:rsid w:val="00577D7C"/>
    <w:rsid w:val="00577DA7"/>
    <w:rsid w:val="00577E0E"/>
    <w:rsid w:val="00577E9A"/>
    <w:rsid w:val="00580184"/>
    <w:rsid w:val="005801A2"/>
    <w:rsid w:val="00580276"/>
    <w:rsid w:val="0058027A"/>
    <w:rsid w:val="0058027D"/>
    <w:rsid w:val="00580570"/>
    <w:rsid w:val="0058059B"/>
    <w:rsid w:val="0058059F"/>
    <w:rsid w:val="00580638"/>
    <w:rsid w:val="0058072D"/>
    <w:rsid w:val="00580814"/>
    <w:rsid w:val="005809B4"/>
    <w:rsid w:val="00580E7E"/>
    <w:rsid w:val="00580F49"/>
    <w:rsid w:val="00581157"/>
    <w:rsid w:val="005811A6"/>
    <w:rsid w:val="005811D2"/>
    <w:rsid w:val="005812A9"/>
    <w:rsid w:val="00581401"/>
    <w:rsid w:val="0058157D"/>
    <w:rsid w:val="005816C5"/>
    <w:rsid w:val="00581716"/>
    <w:rsid w:val="00581792"/>
    <w:rsid w:val="0058191B"/>
    <w:rsid w:val="0058191D"/>
    <w:rsid w:val="0058199B"/>
    <w:rsid w:val="005819B9"/>
    <w:rsid w:val="005819DE"/>
    <w:rsid w:val="0058204A"/>
    <w:rsid w:val="00582283"/>
    <w:rsid w:val="00582289"/>
    <w:rsid w:val="00582332"/>
    <w:rsid w:val="00582418"/>
    <w:rsid w:val="005824BA"/>
    <w:rsid w:val="0058259F"/>
    <w:rsid w:val="00582741"/>
    <w:rsid w:val="00582784"/>
    <w:rsid w:val="005827DC"/>
    <w:rsid w:val="005828A1"/>
    <w:rsid w:val="00582A2A"/>
    <w:rsid w:val="00582C77"/>
    <w:rsid w:val="00582C94"/>
    <w:rsid w:val="00582CB2"/>
    <w:rsid w:val="00582D04"/>
    <w:rsid w:val="00582E47"/>
    <w:rsid w:val="00582F6A"/>
    <w:rsid w:val="00582FA5"/>
    <w:rsid w:val="00582FEF"/>
    <w:rsid w:val="00583012"/>
    <w:rsid w:val="005831A4"/>
    <w:rsid w:val="00583355"/>
    <w:rsid w:val="005833D7"/>
    <w:rsid w:val="00583453"/>
    <w:rsid w:val="005834BF"/>
    <w:rsid w:val="0058362D"/>
    <w:rsid w:val="005836FE"/>
    <w:rsid w:val="0058374E"/>
    <w:rsid w:val="00583871"/>
    <w:rsid w:val="0058396B"/>
    <w:rsid w:val="00583BCF"/>
    <w:rsid w:val="00583BEE"/>
    <w:rsid w:val="00583CEF"/>
    <w:rsid w:val="00583DD7"/>
    <w:rsid w:val="00583DDF"/>
    <w:rsid w:val="00583DEF"/>
    <w:rsid w:val="00584042"/>
    <w:rsid w:val="0058405C"/>
    <w:rsid w:val="005840B2"/>
    <w:rsid w:val="005840F1"/>
    <w:rsid w:val="00584133"/>
    <w:rsid w:val="0058414E"/>
    <w:rsid w:val="005843FE"/>
    <w:rsid w:val="00584575"/>
    <w:rsid w:val="005845C0"/>
    <w:rsid w:val="0058464C"/>
    <w:rsid w:val="005846DB"/>
    <w:rsid w:val="0058470A"/>
    <w:rsid w:val="00584764"/>
    <w:rsid w:val="00584838"/>
    <w:rsid w:val="00584997"/>
    <w:rsid w:val="00584B14"/>
    <w:rsid w:val="00584BCA"/>
    <w:rsid w:val="00584C48"/>
    <w:rsid w:val="00584D12"/>
    <w:rsid w:val="00584D44"/>
    <w:rsid w:val="00584DDE"/>
    <w:rsid w:val="00585082"/>
    <w:rsid w:val="005850CA"/>
    <w:rsid w:val="0058519A"/>
    <w:rsid w:val="005851FF"/>
    <w:rsid w:val="005852E4"/>
    <w:rsid w:val="0058530A"/>
    <w:rsid w:val="00585391"/>
    <w:rsid w:val="00585395"/>
    <w:rsid w:val="00585502"/>
    <w:rsid w:val="00585514"/>
    <w:rsid w:val="005855D5"/>
    <w:rsid w:val="005858D2"/>
    <w:rsid w:val="00585937"/>
    <w:rsid w:val="00585AC1"/>
    <w:rsid w:val="00585BAD"/>
    <w:rsid w:val="00585DD5"/>
    <w:rsid w:val="00586121"/>
    <w:rsid w:val="005861A3"/>
    <w:rsid w:val="00586423"/>
    <w:rsid w:val="0058643F"/>
    <w:rsid w:val="0058644C"/>
    <w:rsid w:val="005865C2"/>
    <w:rsid w:val="00586664"/>
    <w:rsid w:val="00586690"/>
    <w:rsid w:val="00586877"/>
    <w:rsid w:val="00586955"/>
    <w:rsid w:val="005869EA"/>
    <w:rsid w:val="00586AC3"/>
    <w:rsid w:val="00586B11"/>
    <w:rsid w:val="00586B43"/>
    <w:rsid w:val="00586CBD"/>
    <w:rsid w:val="00586D1D"/>
    <w:rsid w:val="00587213"/>
    <w:rsid w:val="005873EC"/>
    <w:rsid w:val="0058756C"/>
    <w:rsid w:val="0058758B"/>
    <w:rsid w:val="005875C5"/>
    <w:rsid w:val="00587642"/>
    <w:rsid w:val="005877A9"/>
    <w:rsid w:val="00587802"/>
    <w:rsid w:val="00587874"/>
    <w:rsid w:val="005878D2"/>
    <w:rsid w:val="00587935"/>
    <w:rsid w:val="00587A45"/>
    <w:rsid w:val="00587AE2"/>
    <w:rsid w:val="00587B54"/>
    <w:rsid w:val="00587C92"/>
    <w:rsid w:val="00587D2F"/>
    <w:rsid w:val="00587EC1"/>
    <w:rsid w:val="00587F95"/>
    <w:rsid w:val="00590020"/>
    <w:rsid w:val="00590128"/>
    <w:rsid w:val="005901C7"/>
    <w:rsid w:val="00590288"/>
    <w:rsid w:val="00590353"/>
    <w:rsid w:val="00590390"/>
    <w:rsid w:val="00590643"/>
    <w:rsid w:val="00590668"/>
    <w:rsid w:val="00590849"/>
    <w:rsid w:val="00590E56"/>
    <w:rsid w:val="00590EFE"/>
    <w:rsid w:val="0059109A"/>
    <w:rsid w:val="0059115D"/>
    <w:rsid w:val="005911D7"/>
    <w:rsid w:val="00591255"/>
    <w:rsid w:val="005913A5"/>
    <w:rsid w:val="00591524"/>
    <w:rsid w:val="00591627"/>
    <w:rsid w:val="005916DE"/>
    <w:rsid w:val="005916FB"/>
    <w:rsid w:val="00591802"/>
    <w:rsid w:val="00591812"/>
    <w:rsid w:val="0059183B"/>
    <w:rsid w:val="0059185B"/>
    <w:rsid w:val="00591880"/>
    <w:rsid w:val="00591A6E"/>
    <w:rsid w:val="00591ACB"/>
    <w:rsid w:val="00591B4C"/>
    <w:rsid w:val="00591C33"/>
    <w:rsid w:val="00591C57"/>
    <w:rsid w:val="00591D6D"/>
    <w:rsid w:val="00592021"/>
    <w:rsid w:val="00592048"/>
    <w:rsid w:val="00592188"/>
    <w:rsid w:val="005921AE"/>
    <w:rsid w:val="0059226E"/>
    <w:rsid w:val="005922FE"/>
    <w:rsid w:val="00592439"/>
    <w:rsid w:val="005929A1"/>
    <w:rsid w:val="005929A8"/>
    <w:rsid w:val="00592D19"/>
    <w:rsid w:val="00592D28"/>
    <w:rsid w:val="00592D4F"/>
    <w:rsid w:val="00592FBF"/>
    <w:rsid w:val="0059309C"/>
    <w:rsid w:val="005932E3"/>
    <w:rsid w:val="005933A3"/>
    <w:rsid w:val="0059353D"/>
    <w:rsid w:val="0059356E"/>
    <w:rsid w:val="00593594"/>
    <w:rsid w:val="0059381D"/>
    <w:rsid w:val="005938AD"/>
    <w:rsid w:val="005938ED"/>
    <w:rsid w:val="00593990"/>
    <w:rsid w:val="00593A5A"/>
    <w:rsid w:val="00593B3D"/>
    <w:rsid w:val="00593B90"/>
    <w:rsid w:val="00593BDB"/>
    <w:rsid w:val="00593C09"/>
    <w:rsid w:val="00593D76"/>
    <w:rsid w:val="00593D7C"/>
    <w:rsid w:val="00593DAA"/>
    <w:rsid w:val="00593DC6"/>
    <w:rsid w:val="00593E1D"/>
    <w:rsid w:val="00593EFC"/>
    <w:rsid w:val="00593F5E"/>
    <w:rsid w:val="00593FCC"/>
    <w:rsid w:val="0059403B"/>
    <w:rsid w:val="0059413C"/>
    <w:rsid w:val="00594205"/>
    <w:rsid w:val="00594276"/>
    <w:rsid w:val="005942BA"/>
    <w:rsid w:val="00594357"/>
    <w:rsid w:val="0059439E"/>
    <w:rsid w:val="005943E9"/>
    <w:rsid w:val="00594408"/>
    <w:rsid w:val="0059448E"/>
    <w:rsid w:val="005945F0"/>
    <w:rsid w:val="005946AD"/>
    <w:rsid w:val="005946DA"/>
    <w:rsid w:val="005946E9"/>
    <w:rsid w:val="005948C6"/>
    <w:rsid w:val="005948EC"/>
    <w:rsid w:val="00594BC5"/>
    <w:rsid w:val="00594C12"/>
    <w:rsid w:val="00594CBC"/>
    <w:rsid w:val="00594CCA"/>
    <w:rsid w:val="00594D5B"/>
    <w:rsid w:val="00594D94"/>
    <w:rsid w:val="00594E2F"/>
    <w:rsid w:val="00594E30"/>
    <w:rsid w:val="00595207"/>
    <w:rsid w:val="00595227"/>
    <w:rsid w:val="0059524B"/>
    <w:rsid w:val="005952E1"/>
    <w:rsid w:val="005953C8"/>
    <w:rsid w:val="00595413"/>
    <w:rsid w:val="0059580F"/>
    <w:rsid w:val="00595872"/>
    <w:rsid w:val="00595938"/>
    <w:rsid w:val="00595A5D"/>
    <w:rsid w:val="00595C15"/>
    <w:rsid w:val="00595C65"/>
    <w:rsid w:val="00595CE4"/>
    <w:rsid w:val="005960E5"/>
    <w:rsid w:val="0059632C"/>
    <w:rsid w:val="00596369"/>
    <w:rsid w:val="0059649F"/>
    <w:rsid w:val="0059668D"/>
    <w:rsid w:val="005966B1"/>
    <w:rsid w:val="005968DD"/>
    <w:rsid w:val="00596D82"/>
    <w:rsid w:val="00596F99"/>
    <w:rsid w:val="00596FF5"/>
    <w:rsid w:val="005970E7"/>
    <w:rsid w:val="00597276"/>
    <w:rsid w:val="005972E3"/>
    <w:rsid w:val="00597382"/>
    <w:rsid w:val="00597556"/>
    <w:rsid w:val="00597558"/>
    <w:rsid w:val="00597969"/>
    <w:rsid w:val="00597B09"/>
    <w:rsid w:val="00597B51"/>
    <w:rsid w:val="00597BD3"/>
    <w:rsid w:val="00597CC2"/>
    <w:rsid w:val="00597CD0"/>
    <w:rsid w:val="00597CE9"/>
    <w:rsid w:val="00597D06"/>
    <w:rsid w:val="00597D50"/>
    <w:rsid w:val="00597DE7"/>
    <w:rsid w:val="00597EBB"/>
    <w:rsid w:val="00597F14"/>
    <w:rsid w:val="00597F6B"/>
    <w:rsid w:val="005A00CC"/>
    <w:rsid w:val="005A014B"/>
    <w:rsid w:val="005A016A"/>
    <w:rsid w:val="005A0193"/>
    <w:rsid w:val="005A076F"/>
    <w:rsid w:val="005A0790"/>
    <w:rsid w:val="005A08B6"/>
    <w:rsid w:val="005A0A32"/>
    <w:rsid w:val="005A0AC2"/>
    <w:rsid w:val="005A0B53"/>
    <w:rsid w:val="005A0B65"/>
    <w:rsid w:val="005A0B9C"/>
    <w:rsid w:val="005A0BC9"/>
    <w:rsid w:val="005A0CFB"/>
    <w:rsid w:val="005A0DE0"/>
    <w:rsid w:val="005A0EAD"/>
    <w:rsid w:val="005A0F19"/>
    <w:rsid w:val="005A116D"/>
    <w:rsid w:val="005A14AE"/>
    <w:rsid w:val="005A14F2"/>
    <w:rsid w:val="005A15AA"/>
    <w:rsid w:val="005A15D8"/>
    <w:rsid w:val="005A1647"/>
    <w:rsid w:val="005A1659"/>
    <w:rsid w:val="005A1681"/>
    <w:rsid w:val="005A1687"/>
    <w:rsid w:val="005A1740"/>
    <w:rsid w:val="005A175D"/>
    <w:rsid w:val="005A17CC"/>
    <w:rsid w:val="005A17F9"/>
    <w:rsid w:val="005A18AF"/>
    <w:rsid w:val="005A18F4"/>
    <w:rsid w:val="005A1AAF"/>
    <w:rsid w:val="005A1B0B"/>
    <w:rsid w:val="005A1C76"/>
    <w:rsid w:val="005A1D90"/>
    <w:rsid w:val="005A1DB1"/>
    <w:rsid w:val="005A1E69"/>
    <w:rsid w:val="005A1EF5"/>
    <w:rsid w:val="005A21FB"/>
    <w:rsid w:val="005A23E5"/>
    <w:rsid w:val="005A246C"/>
    <w:rsid w:val="005A24B2"/>
    <w:rsid w:val="005A254E"/>
    <w:rsid w:val="005A262A"/>
    <w:rsid w:val="005A2654"/>
    <w:rsid w:val="005A272A"/>
    <w:rsid w:val="005A291A"/>
    <w:rsid w:val="005A291C"/>
    <w:rsid w:val="005A2991"/>
    <w:rsid w:val="005A2A26"/>
    <w:rsid w:val="005A2AED"/>
    <w:rsid w:val="005A2B8C"/>
    <w:rsid w:val="005A2C62"/>
    <w:rsid w:val="005A2D6E"/>
    <w:rsid w:val="005A2D74"/>
    <w:rsid w:val="005A2E03"/>
    <w:rsid w:val="005A2E5C"/>
    <w:rsid w:val="005A2E8A"/>
    <w:rsid w:val="005A2E9C"/>
    <w:rsid w:val="005A2F80"/>
    <w:rsid w:val="005A3030"/>
    <w:rsid w:val="005A303F"/>
    <w:rsid w:val="005A30C4"/>
    <w:rsid w:val="005A30CF"/>
    <w:rsid w:val="005A31EA"/>
    <w:rsid w:val="005A32C8"/>
    <w:rsid w:val="005A33C1"/>
    <w:rsid w:val="005A3488"/>
    <w:rsid w:val="005A35D5"/>
    <w:rsid w:val="005A362D"/>
    <w:rsid w:val="005A371B"/>
    <w:rsid w:val="005A379F"/>
    <w:rsid w:val="005A3839"/>
    <w:rsid w:val="005A38AF"/>
    <w:rsid w:val="005A390A"/>
    <w:rsid w:val="005A3A2E"/>
    <w:rsid w:val="005A3A93"/>
    <w:rsid w:val="005A3C1E"/>
    <w:rsid w:val="005A3D1B"/>
    <w:rsid w:val="005A3E00"/>
    <w:rsid w:val="005A3E6B"/>
    <w:rsid w:val="005A3EC3"/>
    <w:rsid w:val="005A4259"/>
    <w:rsid w:val="005A4328"/>
    <w:rsid w:val="005A43B6"/>
    <w:rsid w:val="005A44F0"/>
    <w:rsid w:val="005A45E3"/>
    <w:rsid w:val="005A47A8"/>
    <w:rsid w:val="005A4823"/>
    <w:rsid w:val="005A4963"/>
    <w:rsid w:val="005A4B6B"/>
    <w:rsid w:val="005A4C3C"/>
    <w:rsid w:val="005A4EAC"/>
    <w:rsid w:val="005A5004"/>
    <w:rsid w:val="005A522E"/>
    <w:rsid w:val="005A529C"/>
    <w:rsid w:val="005A52B9"/>
    <w:rsid w:val="005A5419"/>
    <w:rsid w:val="005A550D"/>
    <w:rsid w:val="005A5830"/>
    <w:rsid w:val="005A58C9"/>
    <w:rsid w:val="005A5ACE"/>
    <w:rsid w:val="005A61EE"/>
    <w:rsid w:val="005A6218"/>
    <w:rsid w:val="005A62AC"/>
    <w:rsid w:val="005A6664"/>
    <w:rsid w:val="005A671B"/>
    <w:rsid w:val="005A67A2"/>
    <w:rsid w:val="005A67C6"/>
    <w:rsid w:val="005A682A"/>
    <w:rsid w:val="005A6869"/>
    <w:rsid w:val="005A691B"/>
    <w:rsid w:val="005A6A72"/>
    <w:rsid w:val="005A6A89"/>
    <w:rsid w:val="005A6C7B"/>
    <w:rsid w:val="005A6CAD"/>
    <w:rsid w:val="005A6FAC"/>
    <w:rsid w:val="005A6FE2"/>
    <w:rsid w:val="005A7045"/>
    <w:rsid w:val="005A71A6"/>
    <w:rsid w:val="005A7358"/>
    <w:rsid w:val="005A74F4"/>
    <w:rsid w:val="005A75F5"/>
    <w:rsid w:val="005A7811"/>
    <w:rsid w:val="005A7822"/>
    <w:rsid w:val="005A795F"/>
    <w:rsid w:val="005A7986"/>
    <w:rsid w:val="005A7A59"/>
    <w:rsid w:val="005A7AA0"/>
    <w:rsid w:val="005A7ABB"/>
    <w:rsid w:val="005A7BF3"/>
    <w:rsid w:val="005A7BFF"/>
    <w:rsid w:val="005A7CDB"/>
    <w:rsid w:val="005A7FF3"/>
    <w:rsid w:val="005B0016"/>
    <w:rsid w:val="005B01D1"/>
    <w:rsid w:val="005B020D"/>
    <w:rsid w:val="005B024E"/>
    <w:rsid w:val="005B03BC"/>
    <w:rsid w:val="005B045F"/>
    <w:rsid w:val="005B046E"/>
    <w:rsid w:val="005B04C7"/>
    <w:rsid w:val="005B05DD"/>
    <w:rsid w:val="005B0711"/>
    <w:rsid w:val="005B076E"/>
    <w:rsid w:val="005B078B"/>
    <w:rsid w:val="005B08AF"/>
    <w:rsid w:val="005B08E5"/>
    <w:rsid w:val="005B0A3E"/>
    <w:rsid w:val="005B0A91"/>
    <w:rsid w:val="005B0AA0"/>
    <w:rsid w:val="005B0B1C"/>
    <w:rsid w:val="005B0B39"/>
    <w:rsid w:val="005B0B5F"/>
    <w:rsid w:val="005B0DEE"/>
    <w:rsid w:val="005B0EB4"/>
    <w:rsid w:val="005B0F88"/>
    <w:rsid w:val="005B1075"/>
    <w:rsid w:val="005B10D8"/>
    <w:rsid w:val="005B111A"/>
    <w:rsid w:val="005B12D3"/>
    <w:rsid w:val="005B138E"/>
    <w:rsid w:val="005B13CA"/>
    <w:rsid w:val="005B191B"/>
    <w:rsid w:val="005B19B7"/>
    <w:rsid w:val="005B1A5E"/>
    <w:rsid w:val="005B1A6E"/>
    <w:rsid w:val="005B1B39"/>
    <w:rsid w:val="005B1CA3"/>
    <w:rsid w:val="005B1D14"/>
    <w:rsid w:val="005B1EB5"/>
    <w:rsid w:val="005B1FB2"/>
    <w:rsid w:val="005B20B7"/>
    <w:rsid w:val="005B2145"/>
    <w:rsid w:val="005B242E"/>
    <w:rsid w:val="005B254C"/>
    <w:rsid w:val="005B257B"/>
    <w:rsid w:val="005B27FD"/>
    <w:rsid w:val="005B2EB1"/>
    <w:rsid w:val="005B2EBC"/>
    <w:rsid w:val="005B2ED3"/>
    <w:rsid w:val="005B2F91"/>
    <w:rsid w:val="005B2FDF"/>
    <w:rsid w:val="005B303E"/>
    <w:rsid w:val="005B304B"/>
    <w:rsid w:val="005B30A6"/>
    <w:rsid w:val="005B347D"/>
    <w:rsid w:val="005B355B"/>
    <w:rsid w:val="005B3620"/>
    <w:rsid w:val="005B38C5"/>
    <w:rsid w:val="005B38DF"/>
    <w:rsid w:val="005B3957"/>
    <w:rsid w:val="005B39E9"/>
    <w:rsid w:val="005B3A77"/>
    <w:rsid w:val="005B3C05"/>
    <w:rsid w:val="005B3E3E"/>
    <w:rsid w:val="005B4012"/>
    <w:rsid w:val="005B4082"/>
    <w:rsid w:val="005B4160"/>
    <w:rsid w:val="005B41F2"/>
    <w:rsid w:val="005B4608"/>
    <w:rsid w:val="005B4620"/>
    <w:rsid w:val="005B470B"/>
    <w:rsid w:val="005B479B"/>
    <w:rsid w:val="005B484D"/>
    <w:rsid w:val="005B4856"/>
    <w:rsid w:val="005B4930"/>
    <w:rsid w:val="005B4AF7"/>
    <w:rsid w:val="005B4CD5"/>
    <w:rsid w:val="005B50C9"/>
    <w:rsid w:val="005B531F"/>
    <w:rsid w:val="005B5489"/>
    <w:rsid w:val="005B54AA"/>
    <w:rsid w:val="005B5586"/>
    <w:rsid w:val="005B571F"/>
    <w:rsid w:val="005B57D1"/>
    <w:rsid w:val="005B58C5"/>
    <w:rsid w:val="005B58ED"/>
    <w:rsid w:val="005B593B"/>
    <w:rsid w:val="005B5979"/>
    <w:rsid w:val="005B59C2"/>
    <w:rsid w:val="005B59F9"/>
    <w:rsid w:val="005B5CC9"/>
    <w:rsid w:val="005B5DDB"/>
    <w:rsid w:val="005B6189"/>
    <w:rsid w:val="005B6370"/>
    <w:rsid w:val="005B63ED"/>
    <w:rsid w:val="005B63F9"/>
    <w:rsid w:val="005B6695"/>
    <w:rsid w:val="005B6711"/>
    <w:rsid w:val="005B6787"/>
    <w:rsid w:val="005B6895"/>
    <w:rsid w:val="005B6960"/>
    <w:rsid w:val="005B696B"/>
    <w:rsid w:val="005B6AF5"/>
    <w:rsid w:val="005B6DAA"/>
    <w:rsid w:val="005B6F39"/>
    <w:rsid w:val="005B6FBC"/>
    <w:rsid w:val="005B70BB"/>
    <w:rsid w:val="005B70BD"/>
    <w:rsid w:val="005B7235"/>
    <w:rsid w:val="005B72C8"/>
    <w:rsid w:val="005B7318"/>
    <w:rsid w:val="005B749A"/>
    <w:rsid w:val="005B74BB"/>
    <w:rsid w:val="005B74CE"/>
    <w:rsid w:val="005B75E4"/>
    <w:rsid w:val="005B76B0"/>
    <w:rsid w:val="005B76C4"/>
    <w:rsid w:val="005B76C6"/>
    <w:rsid w:val="005B7714"/>
    <w:rsid w:val="005B7858"/>
    <w:rsid w:val="005B786B"/>
    <w:rsid w:val="005B792D"/>
    <w:rsid w:val="005B7AAE"/>
    <w:rsid w:val="005B7C87"/>
    <w:rsid w:val="005B7D24"/>
    <w:rsid w:val="005B7D42"/>
    <w:rsid w:val="005B7E6F"/>
    <w:rsid w:val="005B7F03"/>
    <w:rsid w:val="005B7F37"/>
    <w:rsid w:val="005B7FF1"/>
    <w:rsid w:val="005C0056"/>
    <w:rsid w:val="005C00E1"/>
    <w:rsid w:val="005C0214"/>
    <w:rsid w:val="005C02C6"/>
    <w:rsid w:val="005C034B"/>
    <w:rsid w:val="005C0549"/>
    <w:rsid w:val="005C055D"/>
    <w:rsid w:val="005C0610"/>
    <w:rsid w:val="005C0762"/>
    <w:rsid w:val="005C07F7"/>
    <w:rsid w:val="005C086D"/>
    <w:rsid w:val="005C089A"/>
    <w:rsid w:val="005C0CBC"/>
    <w:rsid w:val="005C0E0E"/>
    <w:rsid w:val="005C0F4D"/>
    <w:rsid w:val="005C0FB9"/>
    <w:rsid w:val="005C1097"/>
    <w:rsid w:val="005C10B9"/>
    <w:rsid w:val="005C1153"/>
    <w:rsid w:val="005C11E6"/>
    <w:rsid w:val="005C156C"/>
    <w:rsid w:val="005C178D"/>
    <w:rsid w:val="005C178E"/>
    <w:rsid w:val="005C17A0"/>
    <w:rsid w:val="005C1893"/>
    <w:rsid w:val="005C1902"/>
    <w:rsid w:val="005C1980"/>
    <w:rsid w:val="005C1991"/>
    <w:rsid w:val="005C1CA2"/>
    <w:rsid w:val="005C1CF1"/>
    <w:rsid w:val="005C1DF6"/>
    <w:rsid w:val="005C1EA1"/>
    <w:rsid w:val="005C210F"/>
    <w:rsid w:val="005C21B6"/>
    <w:rsid w:val="005C220E"/>
    <w:rsid w:val="005C257C"/>
    <w:rsid w:val="005C25FB"/>
    <w:rsid w:val="005C2650"/>
    <w:rsid w:val="005C2797"/>
    <w:rsid w:val="005C2873"/>
    <w:rsid w:val="005C28B8"/>
    <w:rsid w:val="005C28D1"/>
    <w:rsid w:val="005C29EC"/>
    <w:rsid w:val="005C2AC0"/>
    <w:rsid w:val="005C2C07"/>
    <w:rsid w:val="005C2C78"/>
    <w:rsid w:val="005C2C9B"/>
    <w:rsid w:val="005C2F92"/>
    <w:rsid w:val="005C3012"/>
    <w:rsid w:val="005C3112"/>
    <w:rsid w:val="005C3122"/>
    <w:rsid w:val="005C31E4"/>
    <w:rsid w:val="005C32DD"/>
    <w:rsid w:val="005C3330"/>
    <w:rsid w:val="005C33C9"/>
    <w:rsid w:val="005C35F4"/>
    <w:rsid w:val="005C3605"/>
    <w:rsid w:val="005C3692"/>
    <w:rsid w:val="005C36AD"/>
    <w:rsid w:val="005C374C"/>
    <w:rsid w:val="005C3875"/>
    <w:rsid w:val="005C3936"/>
    <w:rsid w:val="005C397C"/>
    <w:rsid w:val="005C39D8"/>
    <w:rsid w:val="005C39DC"/>
    <w:rsid w:val="005C3A37"/>
    <w:rsid w:val="005C3AD7"/>
    <w:rsid w:val="005C3B34"/>
    <w:rsid w:val="005C3BFB"/>
    <w:rsid w:val="005C3C98"/>
    <w:rsid w:val="005C3EDE"/>
    <w:rsid w:val="005C3FE2"/>
    <w:rsid w:val="005C41C2"/>
    <w:rsid w:val="005C43E4"/>
    <w:rsid w:val="005C4636"/>
    <w:rsid w:val="005C4693"/>
    <w:rsid w:val="005C472F"/>
    <w:rsid w:val="005C47F0"/>
    <w:rsid w:val="005C4970"/>
    <w:rsid w:val="005C4A16"/>
    <w:rsid w:val="005C4A47"/>
    <w:rsid w:val="005C4D32"/>
    <w:rsid w:val="005C4E09"/>
    <w:rsid w:val="005C4FBC"/>
    <w:rsid w:val="005C4FEA"/>
    <w:rsid w:val="005C5086"/>
    <w:rsid w:val="005C509A"/>
    <w:rsid w:val="005C50EE"/>
    <w:rsid w:val="005C512C"/>
    <w:rsid w:val="005C518B"/>
    <w:rsid w:val="005C51B3"/>
    <w:rsid w:val="005C52D7"/>
    <w:rsid w:val="005C53CD"/>
    <w:rsid w:val="005C540E"/>
    <w:rsid w:val="005C590E"/>
    <w:rsid w:val="005C5A29"/>
    <w:rsid w:val="005C5A94"/>
    <w:rsid w:val="005C5AA8"/>
    <w:rsid w:val="005C5B72"/>
    <w:rsid w:val="005C5B84"/>
    <w:rsid w:val="005C5BBE"/>
    <w:rsid w:val="005C5C0D"/>
    <w:rsid w:val="005C5DE2"/>
    <w:rsid w:val="005C5EF8"/>
    <w:rsid w:val="005C6014"/>
    <w:rsid w:val="005C60A8"/>
    <w:rsid w:val="005C61EC"/>
    <w:rsid w:val="005C62BD"/>
    <w:rsid w:val="005C640E"/>
    <w:rsid w:val="005C6475"/>
    <w:rsid w:val="005C64B2"/>
    <w:rsid w:val="005C651B"/>
    <w:rsid w:val="005C6623"/>
    <w:rsid w:val="005C667C"/>
    <w:rsid w:val="005C66CB"/>
    <w:rsid w:val="005C6894"/>
    <w:rsid w:val="005C68E4"/>
    <w:rsid w:val="005C7084"/>
    <w:rsid w:val="005C7247"/>
    <w:rsid w:val="005C72C8"/>
    <w:rsid w:val="005C7465"/>
    <w:rsid w:val="005C7469"/>
    <w:rsid w:val="005C768B"/>
    <w:rsid w:val="005C7898"/>
    <w:rsid w:val="005C78A5"/>
    <w:rsid w:val="005C793C"/>
    <w:rsid w:val="005C7970"/>
    <w:rsid w:val="005C7A3A"/>
    <w:rsid w:val="005C7A7C"/>
    <w:rsid w:val="005C7B22"/>
    <w:rsid w:val="005C7CD5"/>
    <w:rsid w:val="005C7CFF"/>
    <w:rsid w:val="005D00D7"/>
    <w:rsid w:val="005D0193"/>
    <w:rsid w:val="005D019E"/>
    <w:rsid w:val="005D02BB"/>
    <w:rsid w:val="005D033D"/>
    <w:rsid w:val="005D04BA"/>
    <w:rsid w:val="005D05B2"/>
    <w:rsid w:val="005D082C"/>
    <w:rsid w:val="005D08F7"/>
    <w:rsid w:val="005D0A09"/>
    <w:rsid w:val="005D0A19"/>
    <w:rsid w:val="005D0A40"/>
    <w:rsid w:val="005D0AB3"/>
    <w:rsid w:val="005D0B21"/>
    <w:rsid w:val="005D0D16"/>
    <w:rsid w:val="005D0D34"/>
    <w:rsid w:val="005D0D5C"/>
    <w:rsid w:val="005D0E66"/>
    <w:rsid w:val="005D0F3F"/>
    <w:rsid w:val="005D1126"/>
    <w:rsid w:val="005D1378"/>
    <w:rsid w:val="005D13B3"/>
    <w:rsid w:val="005D14D6"/>
    <w:rsid w:val="005D154A"/>
    <w:rsid w:val="005D1670"/>
    <w:rsid w:val="005D1691"/>
    <w:rsid w:val="005D175A"/>
    <w:rsid w:val="005D18FF"/>
    <w:rsid w:val="005D190D"/>
    <w:rsid w:val="005D194E"/>
    <w:rsid w:val="005D19AC"/>
    <w:rsid w:val="005D19E0"/>
    <w:rsid w:val="005D1A61"/>
    <w:rsid w:val="005D1B06"/>
    <w:rsid w:val="005D1B13"/>
    <w:rsid w:val="005D1D1E"/>
    <w:rsid w:val="005D1D7C"/>
    <w:rsid w:val="005D1DD4"/>
    <w:rsid w:val="005D1FD5"/>
    <w:rsid w:val="005D2106"/>
    <w:rsid w:val="005D21D5"/>
    <w:rsid w:val="005D220C"/>
    <w:rsid w:val="005D2487"/>
    <w:rsid w:val="005D249B"/>
    <w:rsid w:val="005D2558"/>
    <w:rsid w:val="005D256A"/>
    <w:rsid w:val="005D263F"/>
    <w:rsid w:val="005D26B4"/>
    <w:rsid w:val="005D2716"/>
    <w:rsid w:val="005D28AC"/>
    <w:rsid w:val="005D295A"/>
    <w:rsid w:val="005D2EA6"/>
    <w:rsid w:val="005D2F5A"/>
    <w:rsid w:val="005D2F6D"/>
    <w:rsid w:val="005D3332"/>
    <w:rsid w:val="005D3423"/>
    <w:rsid w:val="005D34F8"/>
    <w:rsid w:val="005D3529"/>
    <w:rsid w:val="005D3580"/>
    <w:rsid w:val="005D3793"/>
    <w:rsid w:val="005D38E9"/>
    <w:rsid w:val="005D3A6F"/>
    <w:rsid w:val="005D3B88"/>
    <w:rsid w:val="005D3F01"/>
    <w:rsid w:val="005D3F4E"/>
    <w:rsid w:val="005D40E4"/>
    <w:rsid w:val="005D4357"/>
    <w:rsid w:val="005D4620"/>
    <w:rsid w:val="005D477E"/>
    <w:rsid w:val="005D480F"/>
    <w:rsid w:val="005D48E0"/>
    <w:rsid w:val="005D4BE4"/>
    <w:rsid w:val="005D4E3C"/>
    <w:rsid w:val="005D4E7B"/>
    <w:rsid w:val="005D5063"/>
    <w:rsid w:val="005D5363"/>
    <w:rsid w:val="005D53A3"/>
    <w:rsid w:val="005D559E"/>
    <w:rsid w:val="005D5791"/>
    <w:rsid w:val="005D5808"/>
    <w:rsid w:val="005D580A"/>
    <w:rsid w:val="005D5918"/>
    <w:rsid w:val="005D59E5"/>
    <w:rsid w:val="005D5AC4"/>
    <w:rsid w:val="005D5E41"/>
    <w:rsid w:val="005D5E7E"/>
    <w:rsid w:val="005D5ECA"/>
    <w:rsid w:val="005D5F18"/>
    <w:rsid w:val="005D5F8C"/>
    <w:rsid w:val="005D5FFA"/>
    <w:rsid w:val="005D607F"/>
    <w:rsid w:val="005D60EE"/>
    <w:rsid w:val="005D614B"/>
    <w:rsid w:val="005D6301"/>
    <w:rsid w:val="005D6498"/>
    <w:rsid w:val="005D65A4"/>
    <w:rsid w:val="005D665E"/>
    <w:rsid w:val="005D66D6"/>
    <w:rsid w:val="005D675A"/>
    <w:rsid w:val="005D684F"/>
    <w:rsid w:val="005D69AE"/>
    <w:rsid w:val="005D69BF"/>
    <w:rsid w:val="005D6AB5"/>
    <w:rsid w:val="005D6C8C"/>
    <w:rsid w:val="005D6CA0"/>
    <w:rsid w:val="005D6DF9"/>
    <w:rsid w:val="005D7168"/>
    <w:rsid w:val="005D72D7"/>
    <w:rsid w:val="005D748A"/>
    <w:rsid w:val="005D7498"/>
    <w:rsid w:val="005D752B"/>
    <w:rsid w:val="005D7822"/>
    <w:rsid w:val="005D784E"/>
    <w:rsid w:val="005D787E"/>
    <w:rsid w:val="005D78B2"/>
    <w:rsid w:val="005D78D2"/>
    <w:rsid w:val="005D7B58"/>
    <w:rsid w:val="005D7BC6"/>
    <w:rsid w:val="005D7D2F"/>
    <w:rsid w:val="005D7D7B"/>
    <w:rsid w:val="005D7D8E"/>
    <w:rsid w:val="005D7E59"/>
    <w:rsid w:val="005E0027"/>
    <w:rsid w:val="005E0089"/>
    <w:rsid w:val="005E01B8"/>
    <w:rsid w:val="005E0506"/>
    <w:rsid w:val="005E057C"/>
    <w:rsid w:val="005E07D9"/>
    <w:rsid w:val="005E07FC"/>
    <w:rsid w:val="005E09C7"/>
    <w:rsid w:val="005E0BBA"/>
    <w:rsid w:val="005E0BFB"/>
    <w:rsid w:val="005E0DA7"/>
    <w:rsid w:val="005E12E2"/>
    <w:rsid w:val="005E135D"/>
    <w:rsid w:val="005E13AF"/>
    <w:rsid w:val="005E15AB"/>
    <w:rsid w:val="005E15BA"/>
    <w:rsid w:val="005E169C"/>
    <w:rsid w:val="005E1765"/>
    <w:rsid w:val="005E17F7"/>
    <w:rsid w:val="005E19F6"/>
    <w:rsid w:val="005E1B2B"/>
    <w:rsid w:val="005E1BE3"/>
    <w:rsid w:val="005E1C3A"/>
    <w:rsid w:val="005E1CE4"/>
    <w:rsid w:val="005E1CFA"/>
    <w:rsid w:val="005E1DE9"/>
    <w:rsid w:val="005E1F26"/>
    <w:rsid w:val="005E1F46"/>
    <w:rsid w:val="005E1F54"/>
    <w:rsid w:val="005E1FB9"/>
    <w:rsid w:val="005E2070"/>
    <w:rsid w:val="005E209C"/>
    <w:rsid w:val="005E20B5"/>
    <w:rsid w:val="005E20D4"/>
    <w:rsid w:val="005E20F4"/>
    <w:rsid w:val="005E2180"/>
    <w:rsid w:val="005E2258"/>
    <w:rsid w:val="005E22AB"/>
    <w:rsid w:val="005E22D6"/>
    <w:rsid w:val="005E236E"/>
    <w:rsid w:val="005E23F8"/>
    <w:rsid w:val="005E2509"/>
    <w:rsid w:val="005E25BE"/>
    <w:rsid w:val="005E26AA"/>
    <w:rsid w:val="005E26C9"/>
    <w:rsid w:val="005E272B"/>
    <w:rsid w:val="005E2760"/>
    <w:rsid w:val="005E27C8"/>
    <w:rsid w:val="005E296C"/>
    <w:rsid w:val="005E29C2"/>
    <w:rsid w:val="005E2A0C"/>
    <w:rsid w:val="005E2B2E"/>
    <w:rsid w:val="005E2B3E"/>
    <w:rsid w:val="005E2C71"/>
    <w:rsid w:val="005E2C95"/>
    <w:rsid w:val="005E2ED6"/>
    <w:rsid w:val="005E2F8C"/>
    <w:rsid w:val="005E2FA0"/>
    <w:rsid w:val="005E30BD"/>
    <w:rsid w:val="005E319B"/>
    <w:rsid w:val="005E3221"/>
    <w:rsid w:val="005E33C5"/>
    <w:rsid w:val="005E340B"/>
    <w:rsid w:val="005E3469"/>
    <w:rsid w:val="005E34F1"/>
    <w:rsid w:val="005E375F"/>
    <w:rsid w:val="005E37BA"/>
    <w:rsid w:val="005E37E8"/>
    <w:rsid w:val="005E3849"/>
    <w:rsid w:val="005E39A1"/>
    <w:rsid w:val="005E39B4"/>
    <w:rsid w:val="005E3A2B"/>
    <w:rsid w:val="005E3A6D"/>
    <w:rsid w:val="005E3B7D"/>
    <w:rsid w:val="005E3D5A"/>
    <w:rsid w:val="005E3DD7"/>
    <w:rsid w:val="005E3E0F"/>
    <w:rsid w:val="005E3E87"/>
    <w:rsid w:val="005E3F4E"/>
    <w:rsid w:val="005E3F66"/>
    <w:rsid w:val="005E3FDB"/>
    <w:rsid w:val="005E4036"/>
    <w:rsid w:val="005E4152"/>
    <w:rsid w:val="005E41B1"/>
    <w:rsid w:val="005E41C8"/>
    <w:rsid w:val="005E4270"/>
    <w:rsid w:val="005E445B"/>
    <w:rsid w:val="005E44AF"/>
    <w:rsid w:val="005E4543"/>
    <w:rsid w:val="005E475E"/>
    <w:rsid w:val="005E4760"/>
    <w:rsid w:val="005E47AD"/>
    <w:rsid w:val="005E483D"/>
    <w:rsid w:val="005E4846"/>
    <w:rsid w:val="005E4A69"/>
    <w:rsid w:val="005E4B60"/>
    <w:rsid w:val="005E4B7E"/>
    <w:rsid w:val="005E4C2B"/>
    <w:rsid w:val="005E4C2F"/>
    <w:rsid w:val="005E4C39"/>
    <w:rsid w:val="005E4E95"/>
    <w:rsid w:val="005E4EA7"/>
    <w:rsid w:val="005E4F3E"/>
    <w:rsid w:val="005E50CD"/>
    <w:rsid w:val="005E518C"/>
    <w:rsid w:val="005E51FB"/>
    <w:rsid w:val="005E5247"/>
    <w:rsid w:val="005E5250"/>
    <w:rsid w:val="005E52C0"/>
    <w:rsid w:val="005E5382"/>
    <w:rsid w:val="005E5394"/>
    <w:rsid w:val="005E5454"/>
    <w:rsid w:val="005E54E8"/>
    <w:rsid w:val="005E5829"/>
    <w:rsid w:val="005E58D7"/>
    <w:rsid w:val="005E5A99"/>
    <w:rsid w:val="005E5C2A"/>
    <w:rsid w:val="005E5D1A"/>
    <w:rsid w:val="005E6134"/>
    <w:rsid w:val="005E614B"/>
    <w:rsid w:val="005E61CE"/>
    <w:rsid w:val="005E61EB"/>
    <w:rsid w:val="005E6202"/>
    <w:rsid w:val="005E620A"/>
    <w:rsid w:val="005E6358"/>
    <w:rsid w:val="005E664B"/>
    <w:rsid w:val="005E6693"/>
    <w:rsid w:val="005E66AD"/>
    <w:rsid w:val="005E671B"/>
    <w:rsid w:val="005E684D"/>
    <w:rsid w:val="005E69B1"/>
    <w:rsid w:val="005E6A3A"/>
    <w:rsid w:val="005E6AC2"/>
    <w:rsid w:val="005E6B1E"/>
    <w:rsid w:val="005E6C87"/>
    <w:rsid w:val="005E6FC4"/>
    <w:rsid w:val="005E6FC8"/>
    <w:rsid w:val="005E7091"/>
    <w:rsid w:val="005E7094"/>
    <w:rsid w:val="005E70D9"/>
    <w:rsid w:val="005E7280"/>
    <w:rsid w:val="005E759D"/>
    <w:rsid w:val="005E768D"/>
    <w:rsid w:val="005E79B9"/>
    <w:rsid w:val="005E7A56"/>
    <w:rsid w:val="005E7C56"/>
    <w:rsid w:val="005E7C58"/>
    <w:rsid w:val="005E7C67"/>
    <w:rsid w:val="005E7CAB"/>
    <w:rsid w:val="005E7CDB"/>
    <w:rsid w:val="005F0055"/>
    <w:rsid w:val="005F00A1"/>
    <w:rsid w:val="005F0136"/>
    <w:rsid w:val="005F01BE"/>
    <w:rsid w:val="005F03C8"/>
    <w:rsid w:val="005F0568"/>
    <w:rsid w:val="005F0672"/>
    <w:rsid w:val="005F0788"/>
    <w:rsid w:val="005F08B5"/>
    <w:rsid w:val="005F08FE"/>
    <w:rsid w:val="005F0A2D"/>
    <w:rsid w:val="005F0B50"/>
    <w:rsid w:val="005F0F66"/>
    <w:rsid w:val="005F0F99"/>
    <w:rsid w:val="005F102E"/>
    <w:rsid w:val="005F1193"/>
    <w:rsid w:val="005F1300"/>
    <w:rsid w:val="005F133F"/>
    <w:rsid w:val="005F1354"/>
    <w:rsid w:val="005F1387"/>
    <w:rsid w:val="005F17B2"/>
    <w:rsid w:val="005F191F"/>
    <w:rsid w:val="005F1A49"/>
    <w:rsid w:val="005F1A83"/>
    <w:rsid w:val="005F1B4E"/>
    <w:rsid w:val="005F1D69"/>
    <w:rsid w:val="005F1D7B"/>
    <w:rsid w:val="005F1EB6"/>
    <w:rsid w:val="005F1F99"/>
    <w:rsid w:val="005F1FB0"/>
    <w:rsid w:val="005F2090"/>
    <w:rsid w:val="005F2343"/>
    <w:rsid w:val="005F23E2"/>
    <w:rsid w:val="005F2481"/>
    <w:rsid w:val="005F25E5"/>
    <w:rsid w:val="005F28C3"/>
    <w:rsid w:val="005F28E2"/>
    <w:rsid w:val="005F2C19"/>
    <w:rsid w:val="005F2DC9"/>
    <w:rsid w:val="005F2E6D"/>
    <w:rsid w:val="005F2F9F"/>
    <w:rsid w:val="005F2FA2"/>
    <w:rsid w:val="005F3025"/>
    <w:rsid w:val="005F3178"/>
    <w:rsid w:val="005F32EF"/>
    <w:rsid w:val="005F33B5"/>
    <w:rsid w:val="005F34AB"/>
    <w:rsid w:val="005F34EE"/>
    <w:rsid w:val="005F35E1"/>
    <w:rsid w:val="005F3622"/>
    <w:rsid w:val="005F36A3"/>
    <w:rsid w:val="005F36AF"/>
    <w:rsid w:val="005F3726"/>
    <w:rsid w:val="005F3734"/>
    <w:rsid w:val="005F3750"/>
    <w:rsid w:val="005F3858"/>
    <w:rsid w:val="005F3891"/>
    <w:rsid w:val="005F3A5E"/>
    <w:rsid w:val="005F3B3D"/>
    <w:rsid w:val="005F3BBF"/>
    <w:rsid w:val="005F3BDE"/>
    <w:rsid w:val="005F3C34"/>
    <w:rsid w:val="005F3DEF"/>
    <w:rsid w:val="005F3DF4"/>
    <w:rsid w:val="005F3E29"/>
    <w:rsid w:val="005F3E6D"/>
    <w:rsid w:val="005F3F90"/>
    <w:rsid w:val="005F40EF"/>
    <w:rsid w:val="005F436D"/>
    <w:rsid w:val="005F44F6"/>
    <w:rsid w:val="005F450F"/>
    <w:rsid w:val="005F45BB"/>
    <w:rsid w:val="005F4882"/>
    <w:rsid w:val="005F4B4B"/>
    <w:rsid w:val="005F4BB6"/>
    <w:rsid w:val="005F4E12"/>
    <w:rsid w:val="005F4E66"/>
    <w:rsid w:val="005F4E6A"/>
    <w:rsid w:val="005F4ECB"/>
    <w:rsid w:val="005F50CC"/>
    <w:rsid w:val="005F5532"/>
    <w:rsid w:val="005F553A"/>
    <w:rsid w:val="005F5640"/>
    <w:rsid w:val="005F566A"/>
    <w:rsid w:val="005F58CE"/>
    <w:rsid w:val="005F58EC"/>
    <w:rsid w:val="005F5971"/>
    <w:rsid w:val="005F5D7E"/>
    <w:rsid w:val="005F5DC2"/>
    <w:rsid w:val="005F5E05"/>
    <w:rsid w:val="005F5F32"/>
    <w:rsid w:val="005F5F8D"/>
    <w:rsid w:val="005F61EC"/>
    <w:rsid w:val="005F6230"/>
    <w:rsid w:val="005F62D4"/>
    <w:rsid w:val="005F6310"/>
    <w:rsid w:val="005F6333"/>
    <w:rsid w:val="005F637E"/>
    <w:rsid w:val="005F6474"/>
    <w:rsid w:val="005F64D0"/>
    <w:rsid w:val="005F677D"/>
    <w:rsid w:val="005F682D"/>
    <w:rsid w:val="005F683E"/>
    <w:rsid w:val="005F68FC"/>
    <w:rsid w:val="005F6BD8"/>
    <w:rsid w:val="005F6C58"/>
    <w:rsid w:val="005F6C5F"/>
    <w:rsid w:val="005F6D92"/>
    <w:rsid w:val="005F6DCD"/>
    <w:rsid w:val="005F6E49"/>
    <w:rsid w:val="005F6E7C"/>
    <w:rsid w:val="005F7050"/>
    <w:rsid w:val="005F70A4"/>
    <w:rsid w:val="005F714A"/>
    <w:rsid w:val="005F72F2"/>
    <w:rsid w:val="005F73CF"/>
    <w:rsid w:val="005F77AC"/>
    <w:rsid w:val="005F7896"/>
    <w:rsid w:val="005F7DE1"/>
    <w:rsid w:val="005F7E66"/>
    <w:rsid w:val="005F7E7A"/>
    <w:rsid w:val="005F7E83"/>
    <w:rsid w:val="005F7ECA"/>
    <w:rsid w:val="006001C9"/>
    <w:rsid w:val="006004EE"/>
    <w:rsid w:val="0060065E"/>
    <w:rsid w:val="00600894"/>
    <w:rsid w:val="006009E5"/>
    <w:rsid w:val="00600A19"/>
    <w:rsid w:val="00600A45"/>
    <w:rsid w:val="00600B65"/>
    <w:rsid w:val="00600E28"/>
    <w:rsid w:val="00600ED3"/>
    <w:rsid w:val="00600F4E"/>
    <w:rsid w:val="00600FF8"/>
    <w:rsid w:val="0060106A"/>
    <w:rsid w:val="00601110"/>
    <w:rsid w:val="0060113D"/>
    <w:rsid w:val="006011DD"/>
    <w:rsid w:val="00601307"/>
    <w:rsid w:val="0060134D"/>
    <w:rsid w:val="00601452"/>
    <w:rsid w:val="00601509"/>
    <w:rsid w:val="0060154D"/>
    <w:rsid w:val="00601557"/>
    <w:rsid w:val="006017E6"/>
    <w:rsid w:val="00601858"/>
    <w:rsid w:val="00601A8C"/>
    <w:rsid w:val="00601B1A"/>
    <w:rsid w:val="00601EB7"/>
    <w:rsid w:val="00601FE4"/>
    <w:rsid w:val="00601FFA"/>
    <w:rsid w:val="00602189"/>
    <w:rsid w:val="0060226F"/>
    <w:rsid w:val="00602275"/>
    <w:rsid w:val="00602281"/>
    <w:rsid w:val="006024CB"/>
    <w:rsid w:val="00602518"/>
    <w:rsid w:val="006025C4"/>
    <w:rsid w:val="00602609"/>
    <w:rsid w:val="006026F0"/>
    <w:rsid w:val="0060293D"/>
    <w:rsid w:val="00602949"/>
    <w:rsid w:val="00602CC5"/>
    <w:rsid w:val="00602CD1"/>
    <w:rsid w:val="00602D29"/>
    <w:rsid w:val="00602DAE"/>
    <w:rsid w:val="00602E3E"/>
    <w:rsid w:val="00602ED8"/>
    <w:rsid w:val="00602FE3"/>
    <w:rsid w:val="00603174"/>
    <w:rsid w:val="00603275"/>
    <w:rsid w:val="00603362"/>
    <w:rsid w:val="006035B2"/>
    <w:rsid w:val="006035C7"/>
    <w:rsid w:val="0060360B"/>
    <w:rsid w:val="006036A7"/>
    <w:rsid w:val="006037F7"/>
    <w:rsid w:val="00603910"/>
    <w:rsid w:val="00603997"/>
    <w:rsid w:val="006039A3"/>
    <w:rsid w:val="006039AF"/>
    <w:rsid w:val="00603ACD"/>
    <w:rsid w:val="00603D13"/>
    <w:rsid w:val="00604211"/>
    <w:rsid w:val="0060437D"/>
    <w:rsid w:val="006043CB"/>
    <w:rsid w:val="006044D7"/>
    <w:rsid w:val="006044E8"/>
    <w:rsid w:val="00604790"/>
    <w:rsid w:val="00604821"/>
    <w:rsid w:val="006048EE"/>
    <w:rsid w:val="00604943"/>
    <w:rsid w:val="00604B60"/>
    <w:rsid w:val="00604BCA"/>
    <w:rsid w:val="00604EBF"/>
    <w:rsid w:val="00604F51"/>
    <w:rsid w:val="0060503A"/>
    <w:rsid w:val="006050CD"/>
    <w:rsid w:val="0060517E"/>
    <w:rsid w:val="006052D0"/>
    <w:rsid w:val="00605386"/>
    <w:rsid w:val="0060557C"/>
    <w:rsid w:val="0060580D"/>
    <w:rsid w:val="0060585F"/>
    <w:rsid w:val="0060598E"/>
    <w:rsid w:val="00605A30"/>
    <w:rsid w:val="00605A92"/>
    <w:rsid w:val="00605AFA"/>
    <w:rsid w:val="00605BD1"/>
    <w:rsid w:val="00605C7B"/>
    <w:rsid w:val="00605C86"/>
    <w:rsid w:val="00605D1D"/>
    <w:rsid w:val="00605F83"/>
    <w:rsid w:val="006061B8"/>
    <w:rsid w:val="006063B9"/>
    <w:rsid w:val="0060642F"/>
    <w:rsid w:val="00606467"/>
    <w:rsid w:val="00606558"/>
    <w:rsid w:val="006065BF"/>
    <w:rsid w:val="006065C1"/>
    <w:rsid w:val="00606681"/>
    <w:rsid w:val="00606717"/>
    <w:rsid w:val="00606732"/>
    <w:rsid w:val="00606882"/>
    <w:rsid w:val="00606ACA"/>
    <w:rsid w:val="00606D5D"/>
    <w:rsid w:val="00606D63"/>
    <w:rsid w:val="00606E01"/>
    <w:rsid w:val="00606E85"/>
    <w:rsid w:val="00606FA6"/>
    <w:rsid w:val="006070C8"/>
    <w:rsid w:val="0060717B"/>
    <w:rsid w:val="006071DF"/>
    <w:rsid w:val="00607259"/>
    <w:rsid w:val="0060725C"/>
    <w:rsid w:val="00607387"/>
    <w:rsid w:val="006073A0"/>
    <w:rsid w:val="006075C5"/>
    <w:rsid w:val="006076C4"/>
    <w:rsid w:val="00607727"/>
    <w:rsid w:val="00607B65"/>
    <w:rsid w:val="00607C50"/>
    <w:rsid w:val="00607C61"/>
    <w:rsid w:val="00607C9B"/>
    <w:rsid w:val="00607E03"/>
    <w:rsid w:val="00607E80"/>
    <w:rsid w:val="00607F05"/>
    <w:rsid w:val="00607F3F"/>
    <w:rsid w:val="0060B9FE"/>
    <w:rsid w:val="00610037"/>
    <w:rsid w:val="00610063"/>
    <w:rsid w:val="006100A3"/>
    <w:rsid w:val="00610260"/>
    <w:rsid w:val="00610355"/>
    <w:rsid w:val="006103C1"/>
    <w:rsid w:val="006103DD"/>
    <w:rsid w:val="00610508"/>
    <w:rsid w:val="00610509"/>
    <w:rsid w:val="006108B5"/>
    <w:rsid w:val="006109C7"/>
    <w:rsid w:val="006109F7"/>
    <w:rsid w:val="00610C2D"/>
    <w:rsid w:val="00610E93"/>
    <w:rsid w:val="00610F05"/>
    <w:rsid w:val="00610F8E"/>
    <w:rsid w:val="00611006"/>
    <w:rsid w:val="00611038"/>
    <w:rsid w:val="00611392"/>
    <w:rsid w:val="006113E4"/>
    <w:rsid w:val="0061149F"/>
    <w:rsid w:val="0061152F"/>
    <w:rsid w:val="006115A3"/>
    <w:rsid w:val="0061174B"/>
    <w:rsid w:val="006118E0"/>
    <w:rsid w:val="006119E9"/>
    <w:rsid w:val="00611A53"/>
    <w:rsid w:val="00611AC6"/>
    <w:rsid w:val="00611AE4"/>
    <w:rsid w:val="00611B1C"/>
    <w:rsid w:val="00611B79"/>
    <w:rsid w:val="00611B9C"/>
    <w:rsid w:val="00611C63"/>
    <w:rsid w:val="00611CF7"/>
    <w:rsid w:val="00611DEF"/>
    <w:rsid w:val="00611EB8"/>
    <w:rsid w:val="00611F96"/>
    <w:rsid w:val="00611FD9"/>
    <w:rsid w:val="006122A0"/>
    <w:rsid w:val="0061232B"/>
    <w:rsid w:val="006124B6"/>
    <w:rsid w:val="00612522"/>
    <w:rsid w:val="00612581"/>
    <w:rsid w:val="006125A8"/>
    <w:rsid w:val="00612758"/>
    <w:rsid w:val="006127A0"/>
    <w:rsid w:val="00612A24"/>
    <w:rsid w:val="00612AEA"/>
    <w:rsid w:val="00612D1B"/>
    <w:rsid w:val="00612D5D"/>
    <w:rsid w:val="00612F6F"/>
    <w:rsid w:val="00612F7A"/>
    <w:rsid w:val="00612F89"/>
    <w:rsid w:val="006130A5"/>
    <w:rsid w:val="0061315F"/>
    <w:rsid w:val="00613182"/>
    <w:rsid w:val="006132CC"/>
    <w:rsid w:val="00613301"/>
    <w:rsid w:val="006133E1"/>
    <w:rsid w:val="006134FE"/>
    <w:rsid w:val="006135BC"/>
    <w:rsid w:val="0061368F"/>
    <w:rsid w:val="006136DE"/>
    <w:rsid w:val="00613826"/>
    <w:rsid w:val="006138E7"/>
    <w:rsid w:val="00613919"/>
    <w:rsid w:val="0061391D"/>
    <w:rsid w:val="0061393D"/>
    <w:rsid w:val="00613960"/>
    <w:rsid w:val="006139B2"/>
    <w:rsid w:val="00613BAD"/>
    <w:rsid w:val="00613F44"/>
    <w:rsid w:val="00613FA7"/>
    <w:rsid w:val="00613FF2"/>
    <w:rsid w:val="00614035"/>
    <w:rsid w:val="006140C6"/>
    <w:rsid w:val="006142A9"/>
    <w:rsid w:val="006142E1"/>
    <w:rsid w:val="006143A8"/>
    <w:rsid w:val="006143AD"/>
    <w:rsid w:val="0061450B"/>
    <w:rsid w:val="00614592"/>
    <w:rsid w:val="006145BA"/>
    <w:rsid w:val="0061476E"/>
    <w:rsid w:val="006147A9"/>
    <w:rsid w:val="0061485A"/>
    <w:rsid w:val="00614927"/>
    <w:rsid w:val="006149DB"/>
    <w:rsid w:val="00614A70"/>
    <w:rsid w:val="00614B79"/>
    <w:rsid w:val="00614C79"/>
    <w:rsid w:val="00614C8B"/>
    <w:rsid w:val="00614D9D"/>
    <w:rsid w:val="00614F32"/>
    <w:rsid w:val="0061501F"/>
    <w:rsid w:val="00615117"/>
    <w:rsid w:val="00615177"/>
    <w:rsid w:val="006151DE"/>
    <w:rsid w:val="0061521C"/>
    <w:rsid w:val="006152A2"/>
    <w:rsid w:val="00615361"/>
    <w:rsid w:val="0061544F"/>
    <w:rsid w:val="006154E4"/>
    <w:rsid w:val="006156B1"/>
    <w:rsid w:val="006156E2"/>
    <w:rsid w:val="00615729"/>
    <w:rsid w:val="0061590E"/>
    <w:rsid w:val="00615A56"/>
    <w:rsid w:val="00615A88"/>
    <w:rsid w:val="00615CB4"/>
    <w:rsid w:val="00615CCC"/>
    <w:rsid w:val="00615DE9"/>
    <w:rsid w:val="00615E15"/>
    <w:rsid w:val="00615E2E"/>
    <w:rsid w:val="00615EBC"/>
    <w:rsid w:val="00615FFE"/>
    <w:rsid w:val="006160A7"/>
    <w:rsid w:val="006164E5"/>
    <w:rsid w:val="006165DF"/>
    <w:rsid w:val="00616600"/>
    <w:rsid w:val="006166E9"/>
    <w:rsid w:val="0061674A"/>
    <w:rsid w:val="006167F4"/>
    <w:rsid w:val="0061682A"/>
    <w:rsid w:val="006168E2"/>
    <w:rsid w:val="006168EC"/>
    <w:rsid w:val="00616A31"/>
    <w:rsid w:val="00616A4D"/>
    <w:rsid w:val="00616BF1"/>
    <w:rsid w:val="00616D84"/>
    <w:rsid w:val="00616D8C"/>
    <w:rsid w:val="00617160"/>
    <w:rsid w:val="00617231"/>
    <w:rsid w:val="0061729C"/>
    <w:rsid w:val="006172AC"/>
    <w:rsid w:val="00617308"/>
    <w:rsid w:val="0061733D"/>
    <w:rsid w:val="0061739E"/>
    <w:rsid w:val="006173C7"/>
    <w:rsid w:val="006175B5"/>
    <w:rsid w:val="00617792"/>
    <w:rsid w:val="006177F7"/>
    <w:rsid w:val="00617918"/>
    <w:rsid w:val="00617BD5"/>
    <w:rsid w:val="00617BFC"/>
    <w:rsid w:val="00617D3F"/>
    <w:rsid w:val="00617D96"/>
    <w:rsid w:val="00617ED2"/>
    <w:rsid w:val="00617FCD"/>
    <w:rsid w:val="006201DC"/>
    <w:rsid w:val="00620281"/>
    <w:rsid w:val="006202FE"/>
    <w:rsid w:val="006204AF"/>
    <w:rsid w:val="00620560"/>
    <w:rsid w:val="00620646"/>
    <w:rsid w:val="00620714"/>
    <w:rsid w:val="0062086A"/>
    <w:rsid w:val="00620949"/>
    <w:rsid w:val="006209FB"/>
    <w:rsid w:val="00620A03"/>
    <w:rsid w:val="00620A51"/>
    <w:rsid w:val="00620A5B"/>
    <w:rsid w:val="00620A5D"/>
    <w:rsid w:val="00620AE1"/>
    <w:rsid w:val="00620C86"/>
    <w:rsid w:val="00620CF0"/>
    <w:rsid w:val="00620E74"/>
    <w:rsid w:val="00620EA3"/>
    <w:rsid w:val="00620F64"/>
    <w:rsid w:val="00621000"/>
    <w:rsid w:val="00621081"/>
    <w:rsid w:val="0062122A"/>
    <w:rsid w:val="00621256"/>
    <w:rsid w:val="00621283"/>
    <w:rsid w:val="006212BE"/>
    <w:rsid w:val="006212EB"/>
    <w:rsid w:val="00621408"/>
    <w:rsid w:val="006214A0"/>
    <w:rsid w:val="006214F0"/>
    <w:rsid w:val="006215C6"/>
    <w:rsid w:val="00621627"/>
    <w:rsid w:val="006216BD"/>
    <w:rsid w:val="00621802"/>
    <w:rsid w:val="0062180D"/>
    <w:rsid w:val="00621AB7"/>
    <w:rsid w:val="00621D37"/>
    <w:rsid w:val="00621D7A"/>
    <w:rsid w:val="00621E02"/>
    <w:rsid w:val="006221EA"/>
    <w:rsid w:val="0062223A"/>
    <w:rsid w:val="006222A8"/>
    <w:rsid w:val="0062232A"/>
    <w:rsid w:val="006223A5"/>
    <w:rsid w:val="00622701"/>
    <w:rsid w:val="00622726"/>
    <w:rsid w:val="00622804"/>
    <w:rsid w:val="0062288E"/>
    <w:rsid w:val="006228F5"/>
    <w:rsid w:val="00622970"/>
    <w:rsid w:val="00622B10"/>
    <w:rsid w:val="00622D13"/>
    <w:rsid w:val="00622D8B"/>
    <w:rsid w:val="00622EA4"/>
    <w:rsid w:val="00623233"/>
    <w:rsid w:val="006232ED"/>
    <w:rsid w:val="00623315"/>
    <w:rsid w:val="006233B8"/>
    <w:rsid w:val="00623493"/>
    <w:rsid w:val="006235E4"/>
    <w:rsid w:val="0062370B"/>
    <w:rsid w:val="006238A2"/>
    <w:rsid w:val="00623929"/>
    <w:rsid w:val="00623938"/>
    <w:rsid w:val="00623A27"/>
    <w:rsid w:val="00623AD5"/>
    <w:rsid w:val="00623B19"/>
    <w:rsid w:val="00623BAB"/>
    <w:rsid w:val="00623BD0"/>
    <w:rsid w:val="00623D00"/>
    <w:rsid w:val="00623ED5"/>
    <w:rsid w:val="00623EF0"/>
    <w:rsid w:val="00623F50"/>
    <w:rsid w:val="0062415F"/>
    <w:rsid w:val="006242B2"/>
    <w:rsid w:val="006242C7"/>
    <w:rsid w:val="006243A2"/>
    <w:rsid w:val="00624440"/>
    <w:rsid w:val="00624619"/>
    <w:rsid w:val="0062461D"/>
    <w:rsid w:val="00624738"/>
    <w:rsid w:val="006247FE"/>
    <w:rsid w:val="006249C1"/>
    <w:rsid w:val="00624A14"/>
    <w:rsid w:val="00624BFE"/>
    <w:rsid w:val="00624C42"/>
    <w:rsid w:val="00625064"/>
    <w:rsid w:val="0062528A"/>
    <w:rsid w:val="006252C6"/>
    <w:rsid w:val="0062544B"/>
    <w:rsid w:val="006255F1"/>
    <w:rsid w:val="0062578A"/>
    <w:rsid w:val="00625994"/>
    <w:rsid w:val="006259B9"/>
    <w:rsid w:val="006259BD"/>
    <w:rsid w:val="006259DF"/>
    <w:rsid w:val="006259E0"/>
    <w:rsid w:val="00625A83"/>
    <w:rsid w:val="00625BA6"/>
    <w:rsid w:val="00625C89"/>
    <w:rsid w:val="00625E50"/>
    <w:rsid w:val="00625E89"/>
    <w:rsid w:val="0062611A"/>
    <w:rsid w:val="00626162"/>
    <w:rsid w:val="00626246"/>
    <w:rsid w:val="0062625A"/>
    <w:rsid w:val="00626273"/>
    <w:rsid w:val="0062632A"/>
    <w:rsid w:val="00626367"/>
    <w:rsid w:val="006263BC"/>
    <w:rsid w:val="00626507"/>
    <w:rsid w:val="0062652B"/>
    <w:rsid w:val="0062665C"/>
    <w:rsid w:val="006267B4"/>
    <w:rsid w:val="006268E7"/>
    <w:rsid w:val="00626AE4"/>
    <w:rsid w:val="00626B39"/>
    <w:rsid w:val="00626C85"/>
    <w:rsid w:val="00626DA5"/>
    <w:rsid w:val="00626E05"/>
    <w:rsid w:val="00626E2C"/>
    <w:rsid w:val="00626ED1"/>
    <w:rsid w:val="00626F45"/>
    <w:rsid w:val="00627067"/>
    <w:rsid w:val="00627079"/>
    <w:rsid w:val="006270DF"/>
    <w:rsid w:val="0062721C"/>
    <w:rsid w:val="00627352"/>
    <w:rsid w:val="00627361"/>
    <w:rsid w:val="0062738D"/>
    <w:rsid w:val="00627412"/>
    <w:rsid w:val="00627467"/>
    <w:rsid w:val="006274A5"/>
    <w:rsid w:val="006274C2"/>
    <w:rsid w:val="006276A4"/>
    <w:rsid w:val="00627704"/>
    <w:rsid w:val="0062785A"/>
    <w:rsid w:val="0062788B"/>
    <w:rsid w:val="00627ADA"/>
    <w:rsid w:val="00627AE1"/>
    <w:rsid w:val="00627B64"/>
    <w:rsid w:val="00627C50"/>
    <w:rsid w:val="00627D2B"/>
    <w:rsid w:val="00627DD6"/>
    <w:rsid w:val="00627DFA"/>
    <w:rsid w:val="00627DFD"/>
    <w:rsid w:val="00627ECF"/>
    <w:rsid w:val="00627F50"/>
    <w:rsid w:val="00627F9C"/>
    <w:rsid w:val="00627FAB"/>
    <w:rsid w:val="006300AE"/>
    <w:rsid w:val="0063023D"/>
    <w:rsid w:val="00630267"/>
    <w:rsid w:val="00630436"/>
    <w:rsid w:val="0063066B"/>
    <w:rsid w:val="0063067B"/>
    <w:rsid w:val="0063075C"/>
    <w:rsid w:val="006309DB"/>
    <w:rsid w:val="00630B48"/>
    <w:rsid w:val="00630BDA"/>
    <w:rsid w:val="00630BDE"/>
    <w:rsid w:val="00630F05"/>
    <w:rsid w:val="00630F9C"/>
    <w:rsid w:val="00630FCE"/>
    <w:rsid w:val="00631161"/>
    <w:rsid w:val="0063126F"/>
    <w:rsid w:val="00631341"/>
    <w:rsid w:val="006313DE"/>
    <w:rsid w:val="00631467"/>
    <w:rsid w:val="00631505"/>
    <w:rsid w:val="00631548"/>
    <w:rsid w:val="00631577"/>
    <w:rsid w:val="00631599"/>
    <w:rsid w:val="00631768"/>
    <w:rsid w:val="0063176F"/>
    <w:rsid w:val="00631778"/>
    <w:rsid w:val="00631799"/>
    <w:rsid w:val="00631864"/>
    <w:rsid w:val="00631A71"/>
    <w:rsid w:val="00631AA6"/>
    <w:rsid w:val="00631D89"/>
    <w:rsid w:val="00631EDE"/>
    <w:rsid w:val="00631F4C"/>
    <w:rsid w:val="0063231F"/>
    <w:rsid w:val="006324C0"/>
    <w:rsid w:val="00632647"/>
    <w:rsid w:val="006326A3"/>
    <w:rsid w:val="006327DA"/>
    <w:rsid w:val="00632A09"/>
    <w:rsid w:val="00632DB5"/>
    <w:rsid w:val="0063313B"/>
    <w:rsid w:val="006331BD"/>
    <w:rsid w:val="00633496"/>
    <w:rsid w:val="0063363B"/>
    <w:rsid w:val="00633682"/>
    <w:rsid w:val="006336CD"/>
    <w:rsid w:val="00633886"/>
    <w:rsid w:val="00633C6B"/>
    <w:rsid w:val="00633D0B"/>
    <w:rsid w:val="00633FAA"/>
    <w:rsid w:val="00634094"/>
    <w:rsid w:val="00634100"/>
    <w:rsid w:val="0063472E"/>
    <w:rsid w:val="00634782"/>
    <w:rsid w:val="00634A30"/>
    <w:rsid w:val="00634CCB"/>
    <w:rsid w:val="00634E11"/>
    <w:rsid w:val="00634E4E"/>
    <w:rsid w:val="00634E79"/>
    <w:rsid w:val="00634EA8"/>
    <w:rsid w:val="00634EC0"/>
    <w:rsid w:val="00634FBF"/>
    <w:rsid w:val="0063501C"/>
    <w:rsid w:val="0063504C"/>
    <w:rsid w:val="00635071"/>
    <w:rsid w:val="006350DC"/>
    <w:rsid w:val="00635165"/>
    <w:rsid w:val="006352F9"/>
    <w:rsid w:val="00635309"/>
    <w:rsid w:val="006353BF"/>
    <w:rsid w:val="0063542E"/>
    <w:rsid w:val="006354C9"/>
    <w:rsid w:val="006355C3"/>
    <w:rsid w:val="006357E1"/>
    <w:rsid w:val="00635829"/>
    <w:rsid w:val="00635A63"/>
    <w:rsid w:val="00635CD7"/>
    <w:rsid w:val="00635ED5"/>
    <w:rsid w:val="00636012"/>
    <w:rsid w:val="00636177"/>
    <w:rsid w:val="00636428"/>
    <w:rsid w:val="00636464"/>
    <w:rsid w:val="0063650C"/>
    <w:rsid w:val="006365B2"/>
    <w:rsid w:val="00636727"/>
    <w:rsid w:val="0063672F"/>
    <w:rsid w:val="0063693F"/>
    <w:rsid w:val="00636BC5"/>
    <w:rsid w:val="00636BCB"/>
    <w:rsid w:val="00636C2B"/>
    <w:rsid w:val="00636C2D"/>
    <w:rsid w:val="00636CDF"/>
    <w:rsid w:val="0063719E"/>
    <w:rsid w:val="00637269"/>
    <w:rsid w:val="006372E2"/>
    <w:rsid w:val="0063742A"/>
    <w:rsid w:val="0063749D"/>
    <w:rsid w:val="006374A4"/>
    <w:rsid w:val="00637500"/>
    <w:rsid w:val="006375CF"/>
    <w:rsid w:val="006376B0"/>
    <w:rsid w:val="006376F0"/>
    <w:rsid w:val="00637709"/>
    <w:rsid w:val="00637724"/>
    <w:rsid w:val="00637785"/>
    <w:rsid w:val="00637790"/>
    <w:rsid w:val="00637805"/>
    <w:rsid w:val="006378C5"/>
    <w:rsid w:val="00637925"/>
    <w:rsid w:val="00637A8D"/>
    <w:rsid w:val="00637B4B"/>
    <w:rsid w:val="00637B96"/>
    <w:rsid w:val="00637CAA"/>
    <w:rsid w:val="00637D1E"/>
    <w:rsid w:val="00640062"/>
    <w:rsid w:val="0064019A"/>
    <w:rsid w:val="0064034E"/>
    <w:rsid w:val="0064046B"/>
    <w:rsid w:val="00640726"/>
    <w:rsid w:val="0064072A"/>
    <w:rsid w:val="00640738"/>
    <w:rsid w:val="00640745"/>
    <w:rsid w:val="00640893"/>
    <w:rsid w:val="006408BD"/>
    <w:rsid w:val="006408CB"/>
    <w:rsid w:val="006408EF"/>
    <w:rsid w:val="00640998"/>
    <w:rsid w:val="00640A21"/>
    <w:rsid w:val="00640A4F"/>
    <w:rsid w:val="00640A99"/>
    <w:rsid w:val="00640BB5"/>
    <w:rsid w:val="00640C26"/>
    <w:rsid w:val="00640C68"/>
    <w:rsid w:val="00640D1B"/>
    <w:rsid w:val="00640D98"/>
    <w:rsid w:val="00640E0A"/>
    <w:rsid w:val="00640E85"/>
    <w:rsid w:val="00640E8B"/>
    <w:rsid w:val="00640ED0"/>
    <w:rsid w:val="00640EDB"/>
    <w:rsid w:val="00640F41"/>
    <w:rsid w:val="006410A5"/>
    <w:rsid w:val="006410AF"/>
    <w:rsid w:val="006410FC"/>
    <w:rsid w:val="006412B0"/>
    <w:rsid w:val="0064149D"/>
    <w:rsid w:val="006415A4"/>
    <w:rsid w:val="006417A1"/>
    <w:rsid w:val="00641BCF"/>
    <w:rsid w:val="00641D57"/>
    <w:rsid w:val="00641ED1"/>
    <w:rsid w:val="00641EF4"/>
    <w:rsid w:val="0064209B"/>
    <w:rsid w:val="006420B2"/>
    <w:rsid w:val="00642152"/>
    <w:rsid w:val="0064224D"/>
    <w:rsid w:val="00642251"/>
    <w:rsid w:val="006425B3"/>
    <w:rsid w:val="00642640"/>
    <w:rsid w:val="0064285C"/>
    <w:rsid w:val="006428D2"/>
    <w:rsid w:val="00642A0E"/>
    <w:rsid w:val="00642A90"/>
    <w:rsid w:val="00642AAF"/>
    <w:rsid w:val="00642AEB"/>
    <w:rsid w:val="00642BD0"/>
    <w:rsid w:val="00642CC9"/>
    <w:rsid w:val="00642E15"/>
    <w:rsid w:val="00642FAC"/>
    <w:rsid w:val="006430BF"/>
    <w:rsid w:val="006433B1"/>
    <w:rsid w:val="00643431"/>
    <w:rsid w:val="00643436"/>
    <w:rsid w:val="0064344C"/>
    <w:rsid w:val="00643817"/>
    <w:rsid w:val="006438AB"/>
    <w:rsid w:val="006438C6"/>
    <w:rsid w:val="0064391D"/>
    <w:rsid w:val="00643922"/>
    <w:rsid w:val="00643A05"/>
    <w:rsid w:val="00643BB8"/>
    <w:rsid w:val="00643CD7"/>
    <w:rsid w:val="00643D1A"/>
    <w:rsid w:val="00643E74"/>
    <w:rsid w:val="00643EDD"/>
    <w:rsid w:val="00643F67"/>
    <w:rsid w:val="00644091"/>
    <w:rsid w:val="006441D1"/>
    <w:rsid w:val="006442AF"/>
    <w:rsid w:val="006442B6"/>
    <w:rsid w:val="00644363"/>
    <w:rsid w:val="00644628"/>
    <w:rsid w:val="00644774"/>
    <w:rsid w:val="00644989"/>
    <w:rsid w:val="00644A52"/>
    <w:rsid w:val="00644AFC"/>
    <w:rsid w:val="00644C5D"/>
    <w:rsid w:val="00645378"/>
    <w:rsid w:val="0064539D"/>
    <w:rsid w:val="006453E2"/>
    <w:rsid w:val="0064540A"/>
    <w:rsid w:val="00645529"/>
    <w:rsid w:val="00645635"/>
    <w:rsid w:val="006459DB"/>
    <w:rsid w:val="00645B69"/>
    <w:rsid w:val="00645BEB"/>
    <w:rsid w:val="00645E43"/>
    <w:rsid w:val="00646587"/>
    <w:rsid w:val="006466B3"/>
    <w:rsid w:val="0064680F"/>
    <w:rsid w:val="00646928"/>
    <w:rsid w:val="00646956"/>
    <w:rsid w:val="00646AB8"/>
    <w:rsid w:val="00646B4B"/>
    <w:rsid w:val="00646D51"/>
    <w:rsid w:val="00646D94"/>
    <w:rsid w:val="00646E5D"/>
    <w:rsid w:val="00646F17"/>
    <w:rsid w:val="006470AF"/>
    <w:rsid w:val="0064715E"/>
    <w:rsid w:val="006471DE"/>
    <w:rsid w:val="0064736A"/>
    <w:rsid w:val="0064748E"/>
    <w:rsid w:val="006475A1"/>
    <w:rsid w:val="0064763C"/>
    <w:rsid w:val="0064767C"/>
    <w:rsid w:val="006476CC"/>
    <w:rsid w:val="00647750"/>
    <w:rsid w:val="006477BB"/>
    <w:rsid w:val="0064782B"/>
    <w:rsid w:val="00647A6C"/>
    <w:rsid w:val="00647AAE"/>
    <w:rsid w:val="00647AF2"/>
    <w:rsid w:val="00647B27"/>
    <w:rsid w:val="00647B6B"/>
    <w:rsid w:val="00647C77"/>
    <w:rsid w:val="00647CD3"/>
    <w:rsid w:val="00647D38"/>
    <w:rsid w:val="00647E3E"/>
    <w:rsid w:val="00647EDD"/>
    <w:rsid w:val="0065008B"/>
    <w:rsid w:val="00650168"/>
    <w:rsid w:val="006501E7"/>
    <w:rsid w:val="0065021C"/>
    <w:rsid w:val="00650281"/>
    <w:rsid w:val="00650373"/>
    <w:rsid w:val="006503EF"/>
    <w:rsid w:val="00650556"/>
    <w:rsid w:val="00650674"/>
    <w:rsid w:val="0065074D"/>
    <w:rsid w:val="0065080E"/>
    <w:rsid w:val="00650826"/>
    <w:rsid w:val="00650A57"/>
    <w:rsid w:val="00650B0F"/>
    <w:rsid w:val="00650B6B"/>
    <w:rsid w:val="00650C76"/>
    <w:rsid w:val="00650D9E"/>
    <w:rsid w:val="00650F6E"/>
    <w:rsid w:val="00650FF2"/>
    <w:rsid w:val="0065113E"/>
    <w:rsid w:val="00651149"/>
    <w:rsid w:val="00651311"/>
    <w:rsid w:val="00651342"/>
    <w:rsid w:val="006513BD"/>
    <w:rsid w:val="006516AA"/>
    <w:rsid w:val="0065184F"/>
    <w:rsid w:val="00651890"/>
    <w:rsid w:val="006518C1"/>
    <w:rsid w:val="006518DE"/>
    <w:rsid w:val="00651A68"/>
    <w:rsid w:val="00651B4B"/>
    <w:rsid w:val="00651C80"/>
    <w:rsid w:val="00651D29"/>
    <w:rsid w:val="00651DAA"/>
    <w:rsid w:val="00651E31"/>
    <w:rsid w:val="00651EC6"/>
    <w:rsid w:val="006520F5"/>
    <w:rsid w:val="00652163"/>
    <w:rsid w:val="006522DF"/>
    <w:rsid w:val="00652312"/>
    <w:rsid w:val="006523B1"/>
    <w:rsid w:val="00652585"/>
    <w:rsid w:val="006525CC"/>
    <w:rsid w:val="00652751"/>
    <w:rsid w:val="00652768"/>
    <w:rsid w:val="006527AC"/>
    <w:rsid w:val="006527AD"/>
    <w:rsid w:val="00652883"/>
    <w:rsid w:val="006528BD"/>
    <w:rsid w:val="00652AF1"/>
    <w:rsid w:val="00652BF3"/>
    <w:rsid w:val="00652CD2"/>
    <w:rsid w:val="00652DB0"/>
    <w:rsid w:val="00653104"/>
    <w:rsid w:val="0065329C"/>
    <w:rsid w:val="00653443"/>
    <w:rsid w:val="0065356A"/>
    <w:rsid w:val="006535AD"/>
    <w:rsid w:val="006535EC"/>
    <w:rsid w:val="00653721"/>
    <w:rsid w:val="006537F1"/>
    <w:rsid w:val="00653BB6"/>
    <w:rsid w:val="00653BE6"/>
    <w:rsid w:val="00653C1A"/>
    <w:rsid w:val="00653C49"/>
    <w:rsid w:val="00653D1B"/>
    <w:rsid w:val="00653D9F"/>
    <w:rsid w:val="00653DFB"/>
    <w:rsid w:val="00653E12"/>
    <w:rsid w:val="00653F43"/>
    <w:rsid w:val="00654158"/>
    <w:rsid w:val="00654162"/>
    <w:rsid w:val="006543B0"/>
    <w:rsid w:val="0065454A"/>
    <w:rsid w:val="006545A1"/>
    <w:rsid w:val="00654679"/>
    <w:rsid w:val="006546C1"/>
    <w:rsid w:val="00654762"/>
    <w:rsid w:val="00654825"/>
    <w:rsid w:val="006549B2"/>
    <w:rsid w:val="006549D2"/>
    <w:rsid w:val="00654A20"/>
    <w:rsid w:val="00654C24"/>
    <w:rsid w:val="00654CFA"/>
    <w:rsid w:val="00654D07"/>
    <w:rsid w:val="00654D1A"/>
    <w:rsid w:val="00654D4D"/>
    <w:rsid w:val="00654D87"/>
    <w:rsid w:val="00654E54"/>
    <w:rsid w:val="00654EB4"/>
    <w:rsid w:val="0065500A"/>
    <w:rsid w:val="00655094"/>
    <w:rsid w:val="006550E2"/>
    <w:rsid w:val="006552B4"/>
    <w:rsid w:val="006553B2"/>
    <w:rsid w:val="006554DF"/>
    <w:rsid w:val="006554F1"/>
    <w:rsid w:val="00655519"/>
    <w:rsid w:val="00655542"/>
    <w:rsid w:val="00655559"/>
    <w:rsid w:val="006556CB"/>
    <w:rsid w:val="00655770"/>
    <w:rsid w:val="006557DE"/>
    <w:rsid w:val="00655976"/>
    <w:rsid w:val="006559C4"/>
    <w:rsid w:val="00655A6E"/>
    <w:rsid w:val="00655B02"/>
    <w:rsid w:val="00655CD7"/>
    <w:rsid w:val="00655CDA"/>
    <w:rsid w:val="00655EA1"/>
    <w:rsid w:val="00655ECB"/>
    <w:rsid w:val="00655F3B"/>
    <w:rsid w:val="00655F44"/>
    <w:rsid w:val="00655FA7"/>
    <w:rsid w:val="0065602E"/>
    <w:rsid w:val="006560CD"/>
    <w:rsid w:val="006560FD"/>
    <w:rsid w:val="00656246"/>
    <w:rsid w:val="0065630B"/>
    <w:rsid w:val="006563A7"/>
    <w:rsid w:val="006563C3"/>
    <w:rsid w:val="0065642C"/>
    <w:rsid w:val="00656538"/>
    <w:rsid w:val="006566D1"/>
    <w:rsid w:val="006566F2"/>
    <w:rsid w:val="00656704"/>
    <w:rsid w:val="00656A56"/>
    <w:rsid w:val="00656C0C"/>
    <w:rsid w:val="00656C82"/>
    <w:rsid w:val="00656D6B"/>
    <w:rsid w:val="00656E6F"/>
    <w:rsid w:val="00656E7D"/>
    <w:rsid w:val="00656F15"/>
    <w:rsid w:val="00657145"/>
    <w:rsid w:val="00657340"/>
    <w:rsid w:val="00657857"/>
    <w:rsid w:val="006578A9"/>
    <w:rsid w:val="00657902"/>
    <w:rsid w:val="00657A11"/>
    <w:rsid w:val="00657A2F"/>
    <w:rsid w:val="00657A97"/>
    <w:rsid w:val="00657B45"/>
    <w:rsid w:val="00657BBE"/>
    <w:rsid w:val="00657BCE"/>
    <w:rsid w:val="00657E18"/>
    <w:rsid w:val="00657E7F"/>
    <w:rsid w:val="00657EF1"/>
    <w:rsid w:val="00657F89"/>
    <w:rsid w:val="00657FBD"/>
    <w:rsid w:val="006600A1"/>
    <w:rsid w:val="006600F7"/>
    <w:rsid w:val="0066019C"/>
    <w:rsid w:val="00660281"/>
    <w:rsid w:val="00660371"/>
    <w:rsid w:val="006603AE"/>
    <w:rsid w:val="00660563"/>
    <w:rsid w:val="0066056B"/>
    <w:rsid w:val="0066059C"/>
    <w:rsid w:val="00660677"/>
    <w:rsid w:val="00660725"/>
    <w:rsid w:val="006609C9"/>
    <w:rsid w:val="00660A87"/>
    <w:rsid w:val="00660ABD"/>
    <w:rsid w:val="00660CFC"/>
    <w:rsid w:val="00660DC4"/>
    <w:rsid w:val="00660EAC"/>
    <w:rsid w:val="00660F3D"/>
    <w:rsid w:val="006610BC"/>
    <w:rsid w:val="006610BD"/>
    <w:rsid w:val="0066119D"/>
    <w:rsid w:val="00661250"/>
    <w:rsid w:val="006612C3"/>
    <w:rsid w:val="00661309"/>
    <w:rsid w:val="0066160C"/>
    <w:rsid w:val="0066160D"/>
    <w:rsid w:val="00661664"/>
    <w:rsid w:val="00661683"/>
    <w:rsid w:val="006616F3"/>
    <w:rsid w:val="0066189C"/>
    <w:rsid w:val="00661AD1"/>
    <w:rsid w:val="00661C34"/>
    <w:rsid w:val="00661D09"/>
    <w:rsid w:val="00661D41"/>
    <w:rsid w:val="00661DC4"/>
    <w:rsid w:val="00661DE7"/>
    <w:rsid w:val="00661EED"/>
    <w:rsid w:val="0066205E"/>
    <w:rsid w:val="00662085"/>
    <w:rsid w:val="006620F0"/>
    <w:rsid w:val="0066212F"/>
    <w:rsid w:val="006621AF"/>
    <w:rsid w:val="006621E9"/>
    <w:rsid w:val="006622DF"/>
    <w:rsid w:val="006623F9"/>
    <w:rsid w:val="0066241B"/>
    <w:rsid w:val="00662439"/>
    <w:rsid w:val="00662536"/>
    <w:rsid w:val="00662605"/>
    <w:rsid w:val="00662628"/>
    <w:rsid w:val="00662640"/>
    <w:rsid w:val="0066285C"/>
    <w:rsid w:val="00662892"/>
    <w:rsid w:val="00662A54"/>
    <w:rsid w:val="00662AF9"/>
    <w:rsid w:val="00662B69"/>
    <w:rsid w:val="00662BA1"/>
    <w:rsid w:val="00662C28"/>
    <w:rsid w:val="00662D60"/>
    <w:rsid w:val="00662FAB"/>
    <w:rsid w:val="006630A6"/>
    <w:rsid w:val="0066319B"/>
    <w:rsid w:val="00663555"/>
    <w:rsid w:val="006635B2"/>
    <w:rsid w:val="00663754"/>
    <w:rsid w:val="006638CD"/>
    <w:rsid w:val="006638EE"/>
    <w:rsid w:val="00663989"/>
    <w:rsid w:val="006639E9"/>
    <w:rsid w:val="00663A13"/>
    <w:rsid w:val="00663C21"/>
    <w:rsid w:val="00663D10"/>
    <w:rsid w:val="00663DC8"/>
    <w:rsid w:val="00663E43"/>
    <w:rsid w:val="00663E80"/>
    <w:rsid w:val="00663E9A"/>
    <w:rsid w:val="0066426E"/>
    <w:rsid w:val="00664335"/>
    <w:rsid w:val="006643FB"/>
    <w:rsid w:val="006643FD"/>
    <w:rsid w:val="00664438"/>
    <w:rsid w:val="006647BE"/>
    <w:rsid w:val="00664840"/>
    <w:rsid w:val="006649E9"/>
    <w:rsid w:val="00664AA5"/>
    <w:rsid w:val="00664DFA"/>
    <w:rsid w:val="00664E4D"/>
    <w:rsid w:val="00664EA0"/>
    <w:rsid w:val="00664F49"/>
    <w:rsid w:val="0066505D"/>
    <w:rsid w:val="00665143"/>
    <w:rsid w:val="0066536D"/>
    <w:rsid w:val="006654D9"/>
    <w:rsid w:val="006655B8"/>
    <w:rsid w:val="006655CD"/>
    <w:rsid w:val="006655EA"/>
    <w:rsid w:val="006657FB"/>
    <w:rsid w:val="00665892"/>
    <w:rsid w:val="00665AA3"/>
    <w:rsid w:val="00665AE7"/>
    <w:rsid w:val="00665B6E"/>
    <w:rsid w:val="00665CEF"/>
    <w:rsid w:val="00665D12"/>
    <w:rsid w:val="00665D6D"/>
    <w:rsid w:val="00665F11"/>
    <w:rsid w:val="0066618D"/>
    <w:rsid w:val="00666228"/>
    <w:rsid w:val="006662EC"/>
    <w:rsid w:val="00666344"/>
    <w:rsid w:val="006664F8"/>
    <w:rsid w:val="0066650A"/>
    <w:rsid w:val="006666C9"/>
    <w:rsid w:val="0066699A"/>
    <w:rsid w:val="006669C3"/>
    <w:rsid w:val="00666A8B"/>
    <w:rsid w:val="00666BD8"/>
    <w:rsid w:val="00666C63"/>
    <w:rsid w:val="00666DAB"/>
    <w:rsid w:val="00666DF1"/>
    <w:rsid w:val="00666EB5"/>
    <w:rsid w:val="00666F41"/>
    <w:rsid w:val="0066707D"/>
    <w:rsid w:val="006673A6"/>
    <w:rsid w:val="006678A6"/>
    <w:rsid w:val="006679DB"/>
    <w:rsid w:val="00667A39"/>
    <w:rsid w:val="00667EB4"/>
    <w:rsid w:val="00667F66"/>
    <w:rsid w:val="00670011"/>
    <w:rsid w:val="00670044"/>
    <w:rsid w:val="006700CC"/>
    <w:rsid w:val="006700DD"/>
    <w:rsid w:val="0067019B"/>
    <w:rsid w:val="00670342"/>
    <w:rsid w:val="006703DD"/>
    <w:rsid w:val="006704C9"/>
    <w:rsid w:val="0067059D"/>
    <w:rsid w:val="00670731"/>
    <w:rsid w:val="00670743"/>
    <w:rsid w:val="00670889"/>
    <w:rsid w:val="00670892"/>
    <w:rsid w:val="006708FA"/>
    <w:rsid w:val="00670932"/>
    <w:rsid w:val="0067094E"/>
    <w:rsid w:val="00670975"/>
    <w:rsid w:val="006709AD"/>
    <w:rsid w:val="00670B12"/>
    <w:rsid w:val="00670DB3"/>
    <w:rsid w:val="00671137"/>
    <w:rsid w:val="0067122C"/>
    <w:rsid w:val="0067124E"/>
    <w:rsid w:val="006712EA"/>
    <w:rsid w:val="00671322"/>
    <w:rsid w:val="00671458"/>
    <w:rsid w:val="0067161F"/>
    <w:rsid w:val="00671632"/>
    <w:rsid w:val="006716F7"/>
    <w:rsid w:val="006716FD"/>
    <w:rsid w:val="0067184C"/>
    <w:rsid w:val="00671BF5"/>
    <w:rsid w:val="00671DC4"/>
    <w:rsid w:val="00671DFA"/>
    <w:rsid w:val="00671E0B"/>
    <w:rsid w:val="00671E0D"/>
    <w:rsid w:val="00671F44"/>
    <w:rsid w:val="00672049"/>
    <w:rsid w:val="006720BE"/>
    <w:rsid w:val="00672161"/>
    <w:rsid w:val="00672311"/>
    <w:rsid w:val="00672525"/>
    <w:rsid w:val="00672548"/>
    <w:rsid w:val="00672740"/>
    <w:rsid w:val="006727C0"/>
    <w:rsid w:val="006727CA"/>
    <w:rsid w:val="006727E5"/>
    <w:rsid w:val="00672854"/>
    <w:rsid w:val="00672920"/>
    <w:rsid w:val="0067293B"/>
    <w:rsid w:val="00672990"/>
    <w:rsid w:val="006729C5"/>
    <w:rsid w:val="00672A48"/>
    <w:rsid w:val="00672A54"/>
    <w:rsid w:val="00672B64"/>
    <w:rsid w:val="00672BC9"/>
    <w:rsid w:val="00672E52"/>
    <w:rsid w:val="00672F5E"/>
    <w:rsid w:val="006730D8"/>
    <w:rsid w:val="0067318F"/>
    <w:rsid w:val="0067334E"/>
    <w:rsid w:val="006734B4"/>
    <w:rsid w:val="00673668"/>
    <w:rsid w:val="006737CF"/>
    <w:rsid w:val="006738EF"/>
    <w:rsid w:val="0067399E"/>
    <w:rsid w:val="00673A3A"/>
    <w:rsid w:val="00673B83"/>
    <w:rsid w:val="00673BCB"/>
    <w:rsid w:val="00673BD3"/>
    <w:rsid w:val="00673E37"/>
    <w:rsid w:val="00673EDF"/>
    <w:rsid w:val="0067401A"/>
    <w:rsid w:val="0067408B"/>
    <w:rsid w:val="006740AE"/>
    <w:rsid w:val="006740C6"/>
    <w:rsid w:val="00674116"/>
    <w:rsid w:val="0067415F"/>
    <w:rsid w:val="006742D6"/>
    <w:rsid w:val="006742E9"/>
    <w:rsid w:val="006745E7"/>
    <w:rsid w:val="00674784"/>
    <w:rsid w:val="00674816"/>
    <w:rsid w:val="0067483C"/>
    <w:rsid w:val="00674883"/>
    <w:rsid w:val="006749FA"/>
    <w:rsid w:val="00674CF8"/>
    <w:rsid w:val="00674D1F"/>
    <w:rsid w:val="00674D32"/>
    <w:rsid w:val="00674DBB"/>
    <w:rsid w:val="00674E97"/>
    <w:rsid w:val="00674ED6"/>
    <w:rsid w:val="00674F1E"/>
    <w:rsid w:val="00674F3D"/>
    <w:rsid w:val="00674FA3"/>
    <w:rsid w:val="0067531F"/>
    <w:rsid w:val="006753FD"/>
    <w:rsid w:val="006755DB"/>
    <w:rsid w:val="006755E8"/>
    <w:rsid w:val="006757A3"/>
    <w:rsid w:val="00675877"/>
    <w:rsid w:val="006758CC"/>
    <w:rsid w:val="006759A6"/>
    <w:rsid w:val="00675A81"/>
    <w:rsid w:val="00675A8A"/>
    <w:rsid w:val="00675B1D"/>
    <w:rsid w:val="00675BDB"/>
    <w:rsid w:val="00675CC3"/>
    <w:rsid w:val="00675D96"/>
    <w:rsid w:val="00675FAC"/>
    <w:rsid w:val="00675FB1"/>
    <w:rsid w:val="00676071"/>
    <w:rsid w:val="00676150"/>
    <w:rsid w:val="006764BB"/>
    <w:rsid w:val="00676545"/>
    <w:rsid w:val="00676590"/>
    <w:rsid w:val="006765F9"/>
    <w:rsid w:val="00676603"/>
    <w:rsid w:val="0067679F"/>
    <w:rsid w:val="006769E6"/>
    <w:rsid w:val="00676A2B"/>
    <w:rsid w:val="00676A3F"/>
    <w:rsid w:val="00676A57"/>
    <w:rsid w:val="00676B31"/>
    <w:rsid w:val="00676C37"/>
    <w:rsid w:val="0067715C"/>
    <w:rsid w:val="00677183"/>
    <w:rsid w:val="00677236"/>
    <w:rsid w:val="00677501"/>
    <w:rsid w:val="00677643"/>
    <w:rsid w:val="006776ED"/>
    <w:rsid w:val="0067779B"/>
    <w:rsid w:val="006778A7"/>
    <w:rsid w:val="006779A1"/>
    <w:rsid w:val="00677A34"/>
    <w:rsid w:val="00677A9C"/>
    <w:rsid w:val="00677B83"/>
    <w:rsid w:val="00677CEE"/>
    <w:rsid w:val="00677CF3"/>
    <w:rsid w:val="00677D47"/>
    <w:rsid w:val="00677DC2"/>
    <w:rsid w:val="00677E19"/>
    <w:rsid w:val="00677E48"/>
    <w:rsid w:val="00677F07"/>
    <w:rsid w:val="00677F49"/>
    <w:rsid w:val="00680012"/>
    <w:rsid w:val="00680037"/>
    <w:rsid w:val="0068007E"/>
    <w:rsid w:val="00680096"/>
    <w:rsid w:val="0068018A"/>
    <w:rsid w:val="00680430"/>
    <w:rsid w:val="0068046A"/>
    <w:rsid w:val="006804B3"/>
    <w:rsid w:val="0068052D"/>
    <w:rsid w:val="0068079A"/>
    <w:rsid w:val="0068096C"/>
    <w:rsid w:val="00680A34"/>
    <w:rsid w:val="00680D30"/>
    <w:rsid w:val="00680D40"/>
    <w:rsid w:val="00680F18"/>
    <w:rsid w:val="00680F4D"/>
    <w:rsid w:val="00680F99"/>
    <w:rsid w:val="0068113F"/>
    <w:rsid w:val="006811A9"/>
    <w:rsid w:val="0068134F"/>
    <w:rsid w:val="006813A3"/>
    <w:rsid w:val="00681612"/>
    <w:rsid w:val="00681680"/>
    <w:rsid w:val="006816B4"/>
    <w:rsid w:val="00681754"/>
    <w:rsid w:val="006817E5"/>
    <w:rsid w:val="006818AF"/>
    <w:rsid w:val="006819D3"/>
    <w:rsid w:val="00681A41"/>
    <w:rsid w:val="00681A58"/>
    <w:rsid w:val="00681AF6"/>
    <w:rsid w:val="00681BA2"/>
    <w:rsid w:val="00681FC0"/>
    <w:rsid w:val="00682036"/>
    <w:rsid w:val="006822A9"/>
    <w:rsid w:val="00682465"/>
    <w:rsid w:val="00682492"/>
    <w:rsid w:val="00682497"/>
    <w:rsid w:val="0068249E"/>
    <w:rsid w:val="0068255D"/>
    <w:rsid w:val="006825DA"/>
    <w:rsid w:val="0068261A"/>
    <w:rsid w:val="00682746"/>
    <w:rsid w:val="0068279B"/>
    <w:rsid w:val="00682BDB"/>
    <w:rsid w:val="00682C1A"/>
    <w:rsid w:val="00682D5D"/>
    <w:rsid w:val="00682F32"/>
    <w:rsid w:val="00683011"/>
    <w:rsid w:val="006830EF"/>
    <w:rsid w:val="0068315F"/>
    <w:rsid w:val="00683224"/>
    <w:rsid w:val="006834D6"/>
    <w:rsid w:val="006834EA"/>
    <w:rsid w:val="0068356C"/>
    <w:rsid w:val="0068360B"/>
    <w:rsid w:val="006837F9"/>
    <w:rsid w:val="00683BD7"/>
    <w:rsid w:val="00683C0E"/>
    <w:rsid w:val="00683C4A"/>
    <w:rsid w:val="00683C84"/>
    <w:rsid w:val="00683CA9"/>
    <w:rsid w:val="00683DAE"/>
    <w:rsid w:val="00683EFD"/>
    <w:rsid w:val="00683F42"/>
    <w:rsid w:val="00684021"/>
    <w:rsid w:val="006840EA"/>
    <w:rsid w:val="006841B9"/>
    <w:rsid w:val="0068440A"/>
    <w:rsid w:val="00684484"/>
    <w:rsid w:val="00684580"/>
    <w:rsid w:val="0068468F"/>
    <w:rsid w:val="0068473C"/>
    <w:rsid w:val="00684965"/>
    <w:rsid w:val="006849C4"/>
    <w:rsid w:val="006849ED"/>
    <w:rsid w:val="00684A0D"/>
    <w:rsid w:val="00684A8A"/>
    <w:rsid w:val="00684CF1"/>
    <w:rsid w:val="00684D2A"/>
    <w:rsid w:val="00684E32"/>
    <w:rsid w:val="00684FA8"/>
    <w:rsid w:val="00685055"/>
    <w:rsid w:val="006851CD"/>
    <w:rsid w:val="006852DC"/>
    <w:rsid w:val="0068533F"/>
    <w:rsid w:val="006853D4"/>
    <w:rsid w:val="00685451"/>
    <w:rsid w:val="00685458"/>
    <w:rsid w:val="00685650"/>
    <w:rsid w:val="00685808"/>
    <w:rsid w:val="00685973"/>
    <w:rsid w:val="006859F1"/>
    <w:rsid w:val="00685A1C"/>
    <w:rsid w:val="00685ACA"/>
    <w:rsid w:val="00685B4C"/>
    <w:rsid w:val="00685BF1"/>
    <w:rsid w:val="00685E21"/>
    <w:rsid w:val="00685E96"/>
    <w:rsid w:val="00685F37"/>
    <w:rsid w:val="00685FEA"/>
    <w:rsid w:val="00686009"/>
    <w:rsid w:val="00686176"/>
    <w:rsid w:val="0068626A"/>
    <w:rsid w:val="00686310"/>
    <w:rsid w:val="00686343"/>
    <w:rsid w:val="00686443"/>
    <w:rsid w:val="00686485"/>
    <w:rsid w:val="00686553"/>
    <w:rsid w:val="00686636"/>
    <w:rsid w:val="00686DF4"/>
    <w:rsid w:val="00686E3B"/>
    <w:rsid w:val="00686EB0"/>
    <w:rsid w:val="00686EC0"/>
    <w:rsid w:val="00686ED7"/>
    <w:rsid w:val="00686F0A"/>
    <w:rsid w:val="00686F67"/>
    <w:rsid w:val="00687163"/>
    <w:rsid w:val="006871D0"/>
    <w:rsid w:val="00687431"/>
    <w:rsid w:val="0068747C"/>
    <w:rsid w:val="00687495"/>
    <w:rsid w:val="006874B6"/>
    <w:rsid w:val="006874EC"/>
    <w:rsid w:val="00687584"/>
    <w:rsid w:val="0068760D"/>
    <w:rsid w:val="00687682"/>
    <w:rsid w:val="0068768E"/>
    <w:rsid w:val="0068772D"/>
    <w:rsid w:val="006877D4"/>
    <w:rsid w:val="006878CE"/>
    <w:rsid w:val="006879A1"/>
    <w:rsid w:val="00687AE0"/>
    <w:rsid w:val="00687B6A"/>
    <w:rsid w:val="00687C7B"/>
    <w:rsid w:val="00687D09"/>
    <w:rsid w:val="00687FA9"/>
    <w:rsid w:val="0069001D"/>
    <w:rsid w:val="0069009A"/>
    <w:rsid w:val="0069009F"/>
    <w:rsid w:val="006901B7"/>
    <w:rsid w:val="006901F4"/>
    <w:rsid w:val="00690255"/>
    <w:rsid w:val="00690277"/>
    <w:rsid w:val="00690376"/>
    <w:rsid w:val="00690408"/>
    <w:rsid w:val="0069049F"/>
    <w:rsid w:val="00690528"/>
    <w:rsid w:val="006905D1"/>
    <w:rsid w:val="0069062D"/>
    <w:rsid w:val="006907F1"/>
    <w:rsid w:val="006909E6"/>
    <w:rsid w:val="00690AC0"/>
    <w:rsid w:val="00690C18"/>
    <w:rsid w:val="00690F21"/>
    <w:rsid w:val="00690F30"/>
    <w:rsid w:val="0069100F"/>
    <w:rsid w:val="0069103B"/>
    <w:rsid w:val="006910C4"/>
    <w:rsid w:val="006912F4"/>
    <w:rsid w:val="00691434"/>
    <w:rsid w:val="006914D0"/>
    <w:rsid w:val="006914EA"/>
    <w:rsid w:val="00691765"/>
    <w:rsid w:val="00691784"/>
    <w:rsid w:val="00691919"/>
    <w:rsid w:val="0069193F"/>
    <w:rsid w:val="006919E0"/>
    <w:rsid w:val="006919EE"/>
    <w:rsid w:val="00691C08"/>
    <w:rsid w:val="00691C73"/>
    <w:rsid w:val="00691F03"/>
    <w:rsid w:val="00691F23"/>
    <w:rsid w:val="006920F0"/>
    <w:rsid w:val="0069220C"/>
    <w:rsid w:val="00692263"/>
    <w:rsid w:val="006923A7"/>
    <w:rsid w:val="0069244E"/>
    <w:rsid w:val="00692965"/>
    <w:rsid w:val="006929EB"/>
    <w:rsid w:val="00692B27"/>
    <w:rsid w:val="00692BBE"/>
    <w:rsid w:val="00692D3B"/>
    <w:rsid w:val="00692E8E"/>
    <w:rsid w:val="00692F2F"/>
    <w:rsid w:val="00692FB9"/>
    <w:rsid w:val="006930B0"/>
    <w:rsid w:val="006930E3"/>
    <w:rsid w:val="006930ED"/>
    <w:rsid w:val="006934AA"/>
    <w:rsid w:val="00693526"/>
    <w:rsid w:val="00693580"/>
    <w:rsid w:val="0069374E"/>
    <w:rsid w:val="00693814"/>
    <w:rsid w:val="00693A6D"/>
    <w:rsid w:val="00693A86"/>
    <w:rsid w:val="00694148"/>
    <w:rsid w:val="0069417B"/>
    <w:rsid w:val="00694195"/>
    <w:rsid w:val="006942E6"/>
    <w:rsid w:val="00694375"/>
    <w:rsid w:val="00694618"/>
    <w:rsid w:val="0069468C"/>
    <w:rsid w:val="00694696"/>
    <w:rsid w:val="006947D1"/>
    <w:rsid w:val="0069480F"/>
    <w:rsid w:val="0069482D"/>
    <w:rsid w:val="006948E0"/>
    <w:rsid w:val="006949F8"/>
    <w:rsid w:val="00694B9D"/>
    <w:rsid w:val="00694BC3"/>
    <w:rsid w:val="00694CB0"/>
    <w:rsid w:val="00694D04"/>
    <w:rsid w:val="00694DEF"/>
    <w:rsid w:val="00694E00"/>
    <w:rsid w:val="00694E03"/>
    <w:rsid w:val="00694E6B"/>
    <w:rsid w:val="00694FE1"/>
    <w:rsid w:val="0069506D"/>
    <w:rsid w:val="00695189"/>
    <w:rsid w:val="006951CA"/>
    <w:rsid w:val="006951CC"/>
    <w:rsid w:val="006951F5"/>
    <w:rsid w:val="00695219"/>
    <w:rsid w:val="00695413"/>
    <w:rsid w:val="006955E2"/>
    <w:rsid w:val="006956EC"/>
    <w:rsid w:val="006956FD"/>
    <w:rsid w:val="00695DF4"/>
    <w:rsid w:val="00695E90"/>
    <w:rsid w:val="00695EC7"/>
    <w:rsid w:val="00695F20"/>
    <w:rsid w:val="00695F4D"/>
    <w:rsid w:val="00695FCA"/>
    <w:rsid w:val="00696085"/>
    <w:rsid w:val="00696093"/>
    <w:rsid w:val="006961EC"/>
    <w:rsid w:val="006961F7"/>
    <w:rsid w:val="006963B2"/>
    <w:rsid w:val="00696786"/>
    <w:rsid w:val="00696AEB"/>
    <w:rsid w:val="00696B62"/>
    <w:rsid w:val="00696B96"/>
    <w:rsid w:val="00696C63"/>
    <w:rsid w:val="00696DEE"/>
    <w:rsid w:val="00696E36"/>
    <w:rsid w:val="00696F2F"/>
    <w:rsid w:val="00696FA9"/>
    <w:rsid w:val="00697174"/>
    <w:rsid w:val="00697189"/>
    <w:rsid w:val="006971F4"/>
    <w:rsid w:val="00697257"/>
    <w:rsid w:val="00697269"/>
    <w:rsid w:val="00697272"/>
    <w:rsid w:val="006973AD"/>
    <w:rsid w:val="0069745B"/>
    <w:rsid w:val="0069748F"/>
    <w:rsid w:val="0069751D"/>
    <w:rsid w:val="006977D9"/>
    <w:rsid w:val="006977FB"/>
    <w:rsid w:val="00697879"/>
    <w:rsid w:val="00697994"/>
    <w:rsid w:val="00697ACE"/>
    <w:rsid w:val="00697B0C"/>
    <w:rsid w:val="00697C9F"/>
    <w:rsid w:val="00697D10"/>
    <w:rsid w:val="00697DD0"/>
    <w:rsid w:val="00697E46"/>
    <w:rsid w:val="00697F24"/>
    <w:rsid w:val="00697FB1"/>
    <w:rsid w:val="006A0136"/>
    <w:rsid w:val="006A01EA"/>
    <w:rsid w:val="006A0378"/>
    <w:rsid w:val="006A03CE"/>
    <w:rsid w:val="006A0608"/>
    <w:rsid w:val="006A076D"/>
    <w:rsid w:val="006A0C02"/>
    <w:rsid w:val="006A0C6D"/>
    <w:rsid w:val="006A0D1B"/>
    <w:rsid w:val="006A0D49"/>
    <w:rsid w:val="006A0F50"/>
    <w:rsid w:val="006A1172"/>
    <w:rsid w:val="006A125E"/>
    <w:rsid w:val="006A1309"/>
    <w:rsid w:val="006A1347"/>
    <w:rsid w:val="006A1368"/>
    <w:rsid w:val="006A13E5"/>
    <w:rsid w:val="006A14DC"/>
    <w:rsid w:val="006A16B6"/>
    <w:rsid w:val="006A1878"/>
    <w:rsid w:val="006A19D6"/>
    <w:rsid w:val="006A19DE"/>
    <w:rsid w:val="006A1B94"/>
    <w:rsid w:val="006A1CBE"/>
    <w:rsid w:val="006A1D96"/>
    <w:rsid w:val="006A1E59"/>
    <w:rsid w:val="006A1F9C"/>
    <w:rsid w:val="006A22D9"/>
    <w:rsid w:val="006A241A"/>
    <w:rsid w:val="006A2484"/>
    <w:rsid w:val="006A2534"/>
    <w:rsid w:val="006A26AF"/>
    <w:rsid w:val="006A27FE"/>
    <w:rsid w:val="006A2817"/>
    <w:rsid w:val="006A2827"/>
    <w:rsid w:val="006A2B0B"/>
    <w:rsid w:val="006A2B5B"/>
    <w:rsid w:val="006A2EBE"/>
    <w:rsid w:val="006A2F1B"/>
    <w:rsid w:val="006A2F58"/>
    <w:rsid w:val="006A33CD"/>
    <w:rsid w:val="006A3415"/>
    <w:rsid w:val="006A3519"/>
    <w:rsid w:val="006A3540"/>
    <w:rsid w:val="006A3611"/>
    <w:rsid w:val="006A3746"/>
    <w:rsid w:val="006A38AC"/>
    <w:rsid w:val="006A3953"/>
    <w:rsid w:val="006A3A1F"/>
    <w:rsid w:val="006A3B4B"/>
    <w:rsid w:val="006A3D63"/>
    <w:rsid w:val="006A4015"/>
    <w:rsid w:val="006A4203"/>
    <w:rsid w:val="006A443C"/>
    <w:rsid w:val="006A44B6"/>
    <w:rsid w:val="006A450E"/>
    <w:rsid w:val="006A4510"/>
    <w:rsid w:val="006A4588"/>
    <w:rsid w:val="006A4741"/>
    <w:rsid w:val="006A478C"/>
    <w:rsid w:val="006A4792"/>
    <w:rsid w:val="006A49C9"/>
    <w:rsid w:val="006A4A04"/>
    <w:rsid w:val="006A4AFF"/>
    <w:rsid w:val="006A4B1A"/>
    <w:rsid w:val="006A4B2C"/>
    <w:rsid w:val="006A4B92"/>
    <w:rsid w:val="006A4C31"/>
    <w:rsid w:val="006A4CE2"/>
    <w:rsid w:val="006A4F50"/>
    <w:rsid w:val="006A4FA8"/>
    <w:rsid w:val="006A5138"/>
    <w:rsid w:val="006A5142"/>
    <w:rsid w:val="006A51B4"/>
    <w:rsid w:val="006A5232"/>
    <w:rsid w:val="006A534F"/>
    <w:rsid w:val="006A53C2"/>
    <w:rsid w:val="006A54D6"/>
    <w:rsid w:val="006A5590"/>
    <w:rsid w:val="006A55A6"/>
    <w:rsid w:val="006A55D7"/>
    <w:rsid w:val="006A576E"/>
    <w:rsid w:val="006A57ED"/>
    <w:rsid w:val="006A59AC"/>
    <w:rsid w:val="006A5BE0"/>
    <w:rsid w:val="006A5D2C"/>
    <w:rsid w:val="006A5F42"/>
    <w:rsid w:val="006A60CA"/>
    <w:rsid w:val="006A61CB"/>
    <w:rsid w:val="006A61FD"/>
    <w:rsid w:val="006A621A"/>
    <w:rsid w:val="006A6302"/>
    <w:rsid w:val="006A6303"/>
    <w:rsid w:val="006A645A"/>
    <w:rsid w:val="006A6519"/>
    <w:rsid w:val="006A673B"/>
    <w:rsid w:val="006A6790"/>
    <w:rsid w:val="006A68B0"/>
    <w:rsid w:val="006A69A8"/>
    <w:rsid w:val="006A6A51"/>
    <w:rsid w:val="006A6A53"/>
    <w:rsid w:val="006A6A77"/>
    <w:rsid w:val="006A6C39"/>
    <w:rsid w:val="006A6C3C"/>
    <w:rsid w:val="006A6DD6"/>
    <w:rsid w:val="006A6E37"/>
    <w:rsid w:val="006A6F83"/>
    <w:rsid w:val="006A6FAB"/>
    <w:rsid w:val="006A7034"/>
    <w:rsid w:val="006A7084"/>
    <w:rsid w:val="006A7136"/>
    <w:rsid w:val="006A7158"/>
    <w:rsid w:val="006A7326"/>
    <w:rsid w:val="006A7351"/>
    <w:rsid w:val="006A741F"/>
    <w:rsid w:val="006A7431"/>
    <w:rsid w:val="006A75CE"/>
    <w:rsid w:val="006A76D7"/>
    <w:rsid w:val="006A77A0"/>
    <w:rsid w:val="006A7820"/>
    <w:rsid w:val="006A78FA"/>
    <w:rsid w:val="006A7A20"/>
    <w:rsid w:val="006A7C4B"/>
    <w:rsid w:val="006A7C56"/>
    <w:rsid w:val="006A7CD6"/>
    <w:rsid w:val="006A7E0D"/>
    <w:rsid w:val="006A7E7A"/>
    <w:rsid w:val="006A7F05"/>
    <w:rsid w:val="006A7F71"/>
    <w:rsid w:val="006A7FE0"/>
    <w:rsid w:val="006B02CD"/>
    <w:rsid w:val="006B0662"/>
    <w:rsid w:val="006B06D3"/>
    <w:rsid w:val="006B06D4"/>
    <w:rsid w:val="006B0780"/>
    <w:rsid w:val="006B080C"/>
    <w:rsid w:val="006B0887"/>
    <w:rsid w:val="006B08AD"/>
    <w:rsid w:val="006B09C3"/>
    <w:rsid w:val="006B0BD7"/>
    <w:rsid w:val="006B0D8C"/>
    <w:rsid w:val="006B0E92"/>
    <w:rsid w:val="006B0E9E"/>
    <w:rsid w:val="006B0EA0"/>
    <w:rsid w:val="006B1002"/>
    <w:rsid w:val="006B111D"/>
    <w:rsid w:val="006B114F"/>
    <w:rsid w:val="006B11AC"/>
    <w:rsid w:val="006B11FE"/>
    <w:rsid w:val="006B1290"/>
    <w:rsid w:val="006B1307"/>
    <w:rsid w:val="006B131E"/>
    <w:rsid w:val="006B1364"/>
    <w:rsid w:val="006B13C7"/>
    <w:rsid w:val="006B141C"/>
    <w:rsid w:val="006B15AA"/>
    <w:rsid w:val="006B18D9"/>
    <w:rsid w:val="006B1949"/>
    <w:rsid w:val="006B1987"/>
    <w:rsid w:val="006B1AAD"/>
    <w:rsid w:val="006B1B66"/>
    <w:rsid w:val="006B1B96"/>
    <w:rsid w:val="006B1CDD"/>
    <w:rsid w:val="006B1CF6"/>
    <w:rsid w:val="006B1DF6"/>
    <w:rsid w:val="006B1E75"/>
    <w:rsid w:val="006B2007"/>
    <w:rsid w:val="006B2060"/>
    <w:rsid w:val="006B211B"/>
    <w:rsid w:val="006B2232"/>
    <w:rsid w:val="006B227F"/>
    <w:rsid w:val="006B2306"/>
    <w:rsid w:val="006B239E"/>
    <w:rsid w:val="006B2432"/>
    <w:rsid w:val="006B24B5"/>
    <w:rsid w:val="006B2756"/>
    <w:rsid w:val="006B2923"/>
    <w:rsid w:val="006B2A70"/>
    <w:rsid w:val="006B2A7A"/>
    <w:rsid w:val="006B2C0D"/>
    <w:rsid w:val="006B2DA1"/>
    <w:rsid w:val="006B2E11"/>
    <w:rsid w:val="006B2E19"/>
    <w:rsid w:val="006B2EC2"/>
    <w:rsid w:val="006B3062"/>
    <w:rsid w:val="006B308D"/>
    <w:rsid w:val="006B315D"/>
    <w:rsid w:val="006B31BC"/>
    <w:rsid w:val="006B3278"/>
    <w:rsid w:val="006B3336"/>
    <w:rsid w:val="006B35F2"/>
    <w:rsid w:val="006B36AF"/>
    <w:rsid w:val="006B3783"/>
    <w:rsid w:val="006B383E"/>
    <w:rsid w:val="006B3BF3"/>
    <w:rsid w:val="006B3C6A"/>
    <w:rsid w:val="006B3E22"/>
    <w:rsid w:val="006B3E2A"/>
    <w:rsid w:val="006B3E4B"/>
    <w:rsid w:val="006B3F8D"/>
    <w:rsid w:val="006B4440"/>
    <w:rsid w:val="006B45D6"/>
    <w:rsid w:val="006B4633"/>
    <w:rsid w:val="006B479F"/>
    <w:rsid w:val="006B4800"/>
    <w:rsid w:val="006B48EA"/>
    <w:rsid w:val="006B4B65"/>
    <w:rsid w:val="006B4B77"/>
    <w:rsid w:val="006B4B98"/>
    <w:rsid w:val="006B4C40"/>
    <w:rsid w:val="006B4D8E"/>
    <w:rsid w:val="006B4DCB"/>
    <w:rsid w:val="006B4FA7"/>
    <w:rsid w:val="006B4FFE"/>
    <w:rsid w:val="006B5052"/>
    <w:rsid w:val="006B5157"/>
    <w:rsid w:val="006B51AF"/>
    <w:rsid w:val="006B51CB"/>
    <w:rsid w:val="006B542A"/>
    <w:rsid w:val="006B54B8"/>
    <w:rsid w:val="006B55B1"/>
    <w:rsid w:val="006B5895"/>
    <w:rsid w:val="006B5995"/>
    <w:rsid w:val="006B59F8"/>
    <w:rsid w:val="006B5A0D"/>
    <w:rsid w:val="006B5A0E"/>
    <w:rsid w:val="006B5A32"/>
    <w:rsid w:val="006B5A5A"/>
    <w:rsid w:val="006B5B5F"/>
    <w:rsid w:val="006B5C0B"/>
    <w:rsid w:val="006B5D17"/>
    <w:rsid w:val="006B5DA6"/>
    <w:rsid w:val="006B5EB3"/>
    <w:rsid w:val="006B5FF7"/>
    <w:rsid w:val="006B604C"/>
    <w:rsid w:val="006B612C"/>
    <w:rsid w:val="006B635F"/>
    <w:rsid w:val="006B63A2"/>
    <w:rsid w:val="006B63F5"/>
    <w:rsid w:val="006B6417"/>
    <w:rsid w:val="006B6463"/>
    <w:rsid w:val="006B64A3"/>
    <w:rsid w:val="006B65A4"/>
    <w:rsid w:val="006B6655"/>
    <w:rsid w:val="006B670E"/>
    <w:rsid w:val="006B678A"/>
    <w:rsid w:val="006B682A"/>
    <w:rsid w:val="006B6924"/>
    <w:rsid w:val="006B69FF"/>
    <w:rsid w:val="006B6D29"/>
    <w:rsid w:val="006B6DA2"/>
    <w:rsid w:val="006B6F9C"/>
    <w:rsid w:val="006B7076"/>
    <w:rsid w:val="006B70A2"/>
    <w:rsid w:val="006B747B"/>
    <w:rsid w:val="006B75EB"/>
    <w:rsid w:val="006B7633"/>
    <w:rsid w:val="006B76CD"/>
    <w:rsid w:val="006B7881"/>
    <w:rsid w:val="006B7CE6"/>
    <w:rsid w:val="006B7D26"/>
    <w:rsid w:val="006B7D3A"/>
    <w:rsid w:val="006B7D5E"/>
    <w:rsid w:val="006B7F6F"/>
    <w:rsid w:val="006B7FE3"/>
    <w:rsid w:val="006C0014"/>
    <w:rsid w:val="006C00BA"/>
    <w:rsid w:val="006C00D7"/>
    <w:rsid w:val="006C027D"/>
    <w:rsid w:val="006C0301"/>
    <w:rsid w:val="006C03E2"/>
    <w:rsid w:val="006C043C"/>
    <w:rsid w:val="006C0496"/>
    <w:rsid w:val="006C0593"/>
    <w:rsid w:val="006C0832"/>
    <w:rsid w:val="006C09FB"/>
    <w:rsid w:val="006C0A71"/>
    <w:rsid w:val="006C0B80"/>
    <w:rsid w:val="006C0BA9"/>
    <w:rsid w:val="006C0CEC"/>
    <w:rsid w:val="006C0D65"/>
    <w:rsid w:val="006C1145"/>
    <w:rsid w:val="006C1201"/>
    <w:rsid w:val="006C122D"/>
    <w:rsid w:val="006C1298"/>
    <w:rsid w:val="006C1370"/>
    <w:rsid w:val="006C143E"/>
    <w:rsid w:val="006C1488"/>
    <w:rsid w:val="006C1582"/>
    <w:rsid w:val="006C1888"/>
    <w:rsid w:val="006C18FF"/>
    <w:rsid w:val="006C1C53"/>
    <w:rsid w:val="006C1DB0"/>
    <w:rsid w:val="006C1DCF"/>
    <w:rsid w:val="006C1E7B"/>
    <w:rsid w:val="006C1F7C"/>
    <w:rsid w:val="006C1F8C"/>
    <w:rsid w:val="006C1F9E"/>
    <w:rsid w:val="006C1FAD"/>
    <w:rsid w:val="006C2463"/>
    <w:rsid w:val="006C261A"/>
    <w:rsid w:val="006C26D9"/>
    <w:rsid w:val="006C26FB"/>
    <w:rsid w:val="006C2791"/>
    <w:rsid w:val="006C2829"/>
    <w:rsid w:val="006C2839"/>
    <w:rsid w:val="006C28EE"/>
    <w:rsid w:val="006C294F"/>
    <w:rsid w:val="006C297B"/>
    <w:rsid w:val="006C29B5"/>
    <w:rsid w:val="006C29BA"/>
    <w:rsid w:val="006C2A2E"/>
    <w:rsid w:val="006C2ADA"/>
    <w:rsid w:val="006C2AF4"/>
    <w:rsid w:val="006C2B6B"/>
    <w:rsid w:val="006C2B96"/>
    <w:rsid w:val="006C2BCC"/>
    <w:rsid w:val="006C2CA5"/>
    <w:rsid w:val="006C2D38"/>
    <w:rsid w:val="006C2E49"/>
    <w:rsid w:val="006C2EC2"/>
    <w:rsid w:val="006C2EDC"/>
    <w:rsid w:val="006C30B8"/>
    <w:rsid w:val="006C31AF"/>
    <w:rsid w:val="006C31D2"/>
    <w:rsid w:val="006C3335"/>
    <w:rsid w:val="006C34FD"/>
    <w:rsid w:val="006C36EE"/>
    <w:rsid w:val="006C3766"/>
    <w:rsid w:val="006C378D"/>
    <w:rsid w:val="006C3CB2"/>
    <w:rsid w:val="006C3CDC"/>
    <w:rsid w:val="006C3DD3"/>
    <w:rsid w:val="006C3E32"/>
    <w:rsid w:val="006C3EA1"/>
    <w:rsid w:val="006C3F5F"/>
    <w:rsid w:val="006C4168"/>
    <w:rsid w:val="006C4252"/>
    <w:rsid w:val="006C4305"/>
    <w:rsid w:val="006C45C0"/>
    <w:rsid w:val="006C465E"/>
    <w:rsid w:val="006C473F"/>
    <w:rsid w:val="006C47EA"/>
    <w:rsid w:val="006C4862"/>
    <w:rsid w:val="006C4910"/>
    <w:rsid w:val="006C49B2"/>
    <w:rsid w:val="006C4AAA"/>
    <w:rsid w:val="006C4BB3"/>
    <w:rsid w:val="006C4E3E"/>
    <w:rsid w:val="006C4E59"/>
    <w:rsid w:val="006C4F2A"/>
    <w:rsid w:val="006C51B9"/>
    <w:rsid w:val="006C5323"/>
    <w:rsid w:val="006C5644"/>
    <w:rsid w:val="006C5656"/>
    <w:rsid w:val="006C567A"/>
    <w:rsid w:val="006C5849"/>
    <w:rsid w:val="006C5AFE"/>
    <w:rsid w:val="006C60C7"/>
    <w:rsid w:val="006C60F8"/>
    <w:rsid w:val="006C6183"/>
    <w:rsid w:val="006C6225"/>
    <w:rsid w:val="006C623C"/>
    <w:rsid w:val="006C6553"/>
    <w:rsid w:val="006C6594"/>
    <w:rsid w:val="006C65C6"/>
    <w:rsid w:val="006C66EF"/>
    <w:rsid w:val="006C6774"/>
    <w:rsid w:val="006C6788"/>
    <w:rsid w:val="006C6A17"/>
    <w:rsid w:val="006C6A3F"/>
    <w:rsid w:val="006C6AC8"/>
    <w:rsid w:val="006C6B36"/>
    <w:rsid w:val="006C6B72"/>
    <w:rsid w:val="006C6C23"/>
    <w:rsid w:val="006C715D"/>
    <w:rsid w:val="006C71E8"/>
    <w:rsid w:val="006C71E9"/>
    <w:rsid w:val="006C75B4"/>
    <w:rsid w:val="006C7701"/>
    <w:rsid w:val="006C7710"/>
    <w:rsid w:val="006C7773"/>
    <w:rsid w:val="006C7869"/>
    <w:rsid w:val="006C7A44"/>
    <w:rsid w:val="006C7B8D"/>
    <w:rsid w:val="006C7CAD"/>
    <w:rsid w:val="006C7CC7"/>
    <w:rsid w:val="006C7DD3"/>
    <w:rsid w:val="006D00AC"/>
    <w:rsid w:val="006D00D2"/>
    <w:rsid w:val="006D0153"/>
    <w:rsid w:val="006D0175"/>
    <w:rsid w:val="006D01DD"/>
    <w:rsid w:val="006D023A"/>
    <w:rsid w:val="006D036F"/>
    <w:rsid w:val="006D0386"/>
    <w:rsid w:val="006D050F"/>
    <w:rsid w:val="006D0776"/>
    <w:rsid w:val="006D08F2"/>
    <w:rsid w:val="006D0B38"/>
    <w:rsid w:val="006D0B51"/>
    <w:rsid w:val="006D0B6C"/>
    <w:rsid w:val="006D0C8D"/>
    <w:rsid w:val="006D0D75"/>
    <w:rsid w:val="006D0ED1"/>
    <w:rsid w:val="006D0F5E"/>
    <w:rsid w:val="006D0FDE"/>
    <w:rsid w:val="006D1032"/>
    <w:rsid w:val="006D1039"/>
    <w:rsid w:val="006D11D4"/>
    <w:rsid w:val="006D1331"/>
    <w:rsid w:val="006D1357"/>
    <w:rsid w:val="006D13C8"/>
    <w:rsid w:val="006D13DB"/>
    <w:rsid w:val="006D1616"/>
    <w:rsid w:val="006D1649"/>
    <w:rsid w:val="006D181B"/>
    <w:rsid w:val="006D1B58"/>
    <w:rsid w:val="006D1C29"/>
    <w:rsid w:val="006D1CF8"/>
    <w:rsid w:val="006D1D3C"/>
    <w:rsid w:val="006D21FB"/>
    <w:rsid w:val="006D2269"/>
    <w:rsid w:val="006D2305"/>
    <w:rsid w:val="006D23CF"/>
    <w:rsid w:val="006D2598"/>
    <w:rsid w:val="006D25FF"/>
    <w:rsid w:val="006D2826"/>
    <w:rsid w:val="006D282B"/>
    <w:rsid w:val="006D2878"/>
    <w:rsid w:val="006D289C"/>
    <w:rsid w:val="006D2972"/>
    <w:rsid w:val="006D2AFB"/>
    <w:rsid w:val="006D2B1D"/>
    <w:rsid w:val="006D2C81"/>
    <w:rsid w:val="006D2E5F"/>
    <w:rsid w:val="006D2FBD"/>
    <w:rsid w:val="006D30E2"/>
    <w:rsid w:val="006D3207"/>
    <w:rsid w:val="006D320B"/>
    <w:rsid w:val="006D324C"/>
    <w:rsid w:val="006D346E"/>
    <w:rsid w:val="006D3528"/>
    <w:rsid w:val="006D3934"/>
    <w:rsid w:val="006D3BE3"/>
    <w:rsid w:val="006D3CF3"/>
    <w:rsid w:val="006D3D25"/>
    <w:rsid w:val="006D3E5D"/>
    <w:rsid w:val="006D4029"/>
    <w:rsid w:val="006D4369"/>
    <w:rsid w:val="006D4654"/>
    <w:rsid w:val="006D4728"/>
    <w:rsid w:val="006D480C"/>
    <w:rsid w:val="006D4840"/>
    <w:rsid w:val="006D4991"/>
    <w:rsid w:val="006D49D5"/>
    <w:rsid w:val="006D4AD0"/>
    <w:rsid w:val="006D4B20"/>
    <w:rsid w:val="006D4BE1"/>
    <w:rsid w:val="006D4C81"/>
    <w:rsid w:val="006D4D4C"/>
    <w:rsid w:val="006D4E86"/>
    <w:rsid w:val="006D4EFC"/>
    <w:rsid w:val="006D4F14"/>
    <w:rsid w:val="006D4FA7"/>
    <w:rsid w:val="006D5078"/>
    <w:rsid w:val="006D50DC"/>
    <w:rsid w:val="006D5150"/>
    <w:rsid w:val="006D5378"/>
    <w:rsid w:val="006D53F6"/>
    <w:rsid w:val="006D5434"/>
    <w:rsid w:val="006D5468"/>
    <w:rsid w:val="006D549A"/>
    <w:rsid w:val="006D56EC"/>
    <w:rsid w:val="006D571F"/>
    <w:rsid w:val="006D5770"/>
    <w:rsid w:val="006D57E8"/>
    <w:rsid w:val="006D5A5D"/>
    <w:rsid w:val="006D5BAE"/>
    <w:rsid w:val="006D5BEF"/>
    <w:rsid w:val="006D5C6B"/>
    <w:rsid w:val="006D5CAE"/>
    <w:rsid w:val="006D5D58"/>
    <w:rsid w:val="006D5EFE"/>
    <w:rsid w:val="006D6120"/>
    <w:rsid w:val="006D644A"/>
    <w:rsid w:val="006D6639"/>
    <w:rsid w:val="006D66EA"/>
    <w:rsid w:val="006D690F"/>
    <w:rsid w:val="006D6B06"/>
    <w:rsid w:val="006D6B75"/>
    <w:rsid w:val="006D6CA7"/>
    <w:rsid w:val="006D6E8D"/>
    <w:rsid w:val="006D6FC4"/>
    <w:rsid w:val="006D71DC"/>
    <w:rsid w:val="006D761C"/>
    <w:rsid w:val="006D76DB"/>
    <w:rsid w:val="006D76E3"/>
    <w:rsid w:val="006D76FD"/>
    <w:rsid w:val="006D7BF5"/>
    <w:rsid w:val="006D7C1E"/>
    <w:rsid w:val="006D7E6A"/>
    <w:rsid w:val="006D7F36"/>
    <w:rsid w:val="006D7F4C"/>
    <w:rsid w:val="006D7FC4"/>
    <w:rsid w:val="006E02F9"/>
    <w:rsid w:val="006E0378"/>
    <w:rsid w:val="006E0492"/>
    <w:rsid w:val="006E0533"/>
    <w:rsid w:val="006E0577"/>
    <w:rsid w:val="006E05E8"/>
    <w:rsid w:val="006E05FD"/>
    <w:rsid w:val="006E075A"/>
    <w:rsid w:val="006E08B3"/>
    <w:rsid w:val="006E099A"/>
    <w:rsid w:val="006E09B9"/>
    <w:rsid w:val="006E0A8E"/>
    <w:rsid w:val="006E0B40"/>
    <w:rsid w:val="006E0D53"/>
    <w:rsid w:val="006E0D55"/>
    <w:rsid w:val="006E0DF5"/>
    <w:rsid w:val="006E10EB"/>
    <w:rsid w:val="006E10FC"/>
    <w:rsid w:val="006E1153"/>
    <w:rsid w:val="006E1312"/>
    <w:rsid w:val="006E1434"/>
    <w:rsid w:val="006E15A0"/>
    <w:rsid w:val="006E170C"/>
    <w:rsid w:val="006E1778"/>
    <w:rsid w:val="006E1882"/>
    <w:rsid w:val="006E1961"/>
    <w:rsid w:val="006E1BE5"/>
    <w:rsid w:val="006E1BF4"/>
    <w:rsid w:val="006E1CE0"/>
    <w:rsid w:val="006E1E04"/>
    <w:rsid w:val="006E1ECA"/>
    <w:rsid w:val="006E22C0"/>
    <w:rsid w:val="006E233A"/>
    <w:rsid w:val="006E2391"/>
    <w:rsid w:val="006E24FF"/>
    <w:rsid w:val="006E259A"/>
    <w:rsid w:val="006E2658"/>
    <w:rsid w:val="006E26E2"/>
    <w:rsid w:val="006E28C0"/>
    <w:rsid w:val="006E28E0"/>
    <w:rsid w:val="006E2944"/>
    <w:rsid w:val="006E2C76"/>
    <w:rsid w:val="006E2CCB"/>
    <w:rsid w:val="006E2CD6"/>
    <w:rsid w:val="006E2E95"/>
    <w:rsid w:val="006E2FDB"/>
    <w:rsid w:val="006E30DA"/>
    <w:rsid w:val="006E3269"/>
    <w:rsid w:val="006E3334"/>
    <w:rsid w:val="006E3432"/>
    <w:rsid w:val="006E351E"/>
    <w:rsid w:val="006E358B"/>
    <w:rsid w:val="006E359A"/>
    <w:rsid w:val="006E35D1"/>
    <w:rsid w:val="006E3655"/>
    <w:rsid w:val="006E3729"/>
    <w:rsid w:val="006E3A65"/>
    <w:rsid w:val="006E3B06"/>
    <w:rsid w:val="006E3B0D"/>
    <w:rsid w:val="006E3CA1"/>
    <w:rsid w:val="006E3ECA"/>
    <w:rsid w:val="006E42D4"/>
    <w:rsid w:val="006E42E4"/>
    <w:rsid w:val="006E4338"/>
    <w:rsid w:val="006E4374"/>
    <w:rsid w:val="006E4414"/>
    <w:rsid w:val="006E4443"/>
    <w:rsid w:val="006E4598"/>
    <w:rsid w:val="006E45F6"/>
    <w:rsid w:val="006E48B6"/>
    <w:rsid w:val="006E48E9"/>
    <w:rsid w:val="006E4921"/>
    <w:rsid w:val="006E495E"/>
    <w:rsid w:val="006E4970"/>
    <w:rsid w:val="006E49A8"/>
    <w:rsid w:val="006E4A8E"/>
    <w:rsid w:val="006E4A94"/>
    <w:rsid w:val="006E4E95"/>
    <w:rsid w:val="006E4E9C"/>
    <w:rsid w:val="006E4FD0"/>
    <w:rsid w:val="006E50F4"/>
    <w:rsid w:val="006E511D"/>
    <w:rsid w:val="006E53E6"/>
    <w:rsid w:val="006E5433"/>
    <w:rsid w:val="006E546C"/>
    <w:rsid w:val="006E5534"/>
    <w:rsid w:val="006E5545"/>
    <w:rsid w:val="006E567B"/>
    <w:rsid w:val="006E57D9"/>
    <w:rsid w:val="006E57DF"/>
    <w:rsid w:val="006E582E"/>
    <w:rsid w:val="006E58DD"/>
    <w:rsid w:val="006E596C"/>
    <w:rsid w:val="006E598A"/>
    <w:rsid w:val="006E59F3"/>
    <w:rsid w:val="006E5ACF"/>
    <w:rsid w:val="006E5C56"/>
    <w:rsid w:val="006E5E3A"/>
    <w:rsid w:val="006E5E7D"/>
    <w:rsid w:val="006E5EBB"/>
    <w:rsid w:val="006E5F33"/>
    <w:rsid w:val="006E5FF8"/>
    <w:rsid w:val="006E6003"/>
    <w:rsid w:val="006E603D"/>
    <w:rsid w:val="006E6057"/>
    <w:rsid w:val="006E6138"/>
    <w:rsid w:val="006E613F"/>
    <w:rsid w:val="006E620A"/>
    <w:rsid w:val="006E629B"/>
    <w:rsid w:val="006E6318"/>
    <w:rsid w:val="006E6504"/>
    <w:rsid w:val="006E66B3"/>
    <w:rsid w:val="006E67F4"/>
    <w:rsid w:val="006E69C0"/>
    <w:rsid w:val="006E6B60"/>
    <w:rsid w:val="006E6D6D"/>
    <w:rsid w:val="006E6E65"/>
    <w:rsid w:val="006E6EAF"/>
    <w:rsid w:val="006E6EC2"/>
    <w:rsid w:val="006E6FD3"/>
    <w:rsid w:val="006E72C3"/>
    <w:rsid w:val="006E742F"/>
    <w:rsid w:val="006E7669"/>
    <w:rsid w:val="006E788D"/>
    <w:rsid w:val="006E7950"/>
    <w:rsid w:val="006E7B03"/>
    <w:rsid w:val="006E7D8D"/>
    <w:rsid w:val="006E7EF7"/>
    <w:rsid w:val="006E7F2C"/>
    <w:rsid w:val="006E7F3C"/>
    <w:rsid w:val="006E7FAF"/>
    <w:rsid w:val="006F0113"/>
    <w:rsid w:val="006F015B"/>
    <w:rsid w:val="006F01E0"/>
    <w:rsid w:val="006F02C1"/>
    <w:rsid w:val="006F04B1"/>
    <w:rsid w:val="006F0579"/>
    <w:rsid w:val="006F057F"/>
    <w:rsid w:val="006F059D"/>
    <w:rsid w:val="006F059F"/>
    <w:rsid w:val="006F05A8"/>
    <w:rsid w:val="006F0675"/>
    <w:rsid w:val="006F0721"/>
    <w:rsid w:val="006F0851"/>
    <w:rsid w:val="006F0A9D"/>
    <w:rsid w:val="006F0B10"/>
    <w:rsid w:val="006F0BDE"/>
    <w:rsid w:val="006F0BEB"/>
    <w:rsid w:val="006F0CAB"/>
    <w:rsid w:val="006F0CB3"/>
    <w:rsid w:val="006F0E1B"/>
    <w:rsid w:val="006F106F"/>
    <w:rsid w:val="006F10B2"/>
    <w:rsid w:val="006F10F9"/>
    <w:rsid w:val="006F117D"/>
    <w:rsid w:val="006F13BD"/>
    <w:rsid w:val="006F14B6"/>
    <w:rsid w:val="006F168B"/>
    <w:rsid w:val="006F1884"/>
    <w:rsid w:val="006F1A0E"/>
    <w:rsid w:val="006F1A8B"/>
    <w:rsid w:val="006F1ABD"/>
    <w:rsid w:val="006F1C72"/>
    <w:rsid w:val="006F1CB5"/>
    <w:rsid w:val="006F1CD7"/>
    <w:rsid w:val="006F1D3B"/>
    <w:rsid w:val="006F1E01"/>
    <w:rsid w:val="006F1E02"/>
    <w:rsid w:val="006F2050"/>
    <w:rsid w:val="006F20A4"/>
    <w:rsid w:val="006F2207"/>
    <w:rsid w:val="006F223A"/>
    <w:rsid w:val="006F2286"/>
    <w:rsid w:val="006F24CF"/>
    <w:rsid w:val="006F2554"/>
    <w:rsid w:val="006F25D1"/>
    <w:rsid w:val="006F25F1"/>
    <w:rsid w:val="006F2612"/>
    <w:rsid w:val="006F261E"/>
    <w:rsid w:val="006F2742"/>
    <w:rsid w:val="006F297A"/>
    <w:rsid w:val="006F2AE7"/>
    <w:rsid w:val="006F2B1A"/>
    <w:rsid w:val="006F2B33"/>
    <w:rsid w:val="006F2C02"/>
    <w:rsid w:val="006F2F69"/>
    <w:rsid w:val="006F318C"/>
    <w:rsid w:val="006F3194"/>
    <w:rsid w:val="006F3328"/>
    <w:rsid w:val="006F337F"/>
    <w:rsid w:val="006F36B8"/>
    <w:rsid w:val="006F36E7"/>
    <w:rsid w:val="006F38AC"/>
    <w:rsid w:val="006F38D2"/>
    <w:rsid w:val="006F39AB"/>
    <w:rsid w:val="006F3A8C"/>
    <w:rsid w:val="006F3B62"/>
    <w:rsid w:val="006F3BC6"/>
    <w:rsid w:val="006F3C23"/>
    <w:rsid w:val="006F3E09"/>
    <w:rsid w:val="006F3EE8"/>
    <w:rsid w:val="006F40EA"/>
    <w:rsid w:val="006F40F2"/>
    <w:rsid w:val="006F418B"/>
    <w:rsid w:val="006F41EF"/>
    <w:rsid w:val="006F41F6"/>
    <w:rsid w:val="006F4293"/>
    <w:rsid w:val="006F43FE"/>
    <w:rsid w:val="006F445E"/>
    <w:rsid w:val="006F4471"/>
    <w:rsid w:val="006F44E1"/>
    <w:rsid w:val="006F4764"/>
    <w:rsid w:val="006F47E4"/>
    <w:rsid w:val="006F487A"/>
    <w:rsid w:val="006F4886"/>
    <w:rsid w:val="006F48F7"/>
    <w:rsid w:val="006F4A37"/>
    <w:rsid w:val="006F4A66"/>
    <w:rsid w:val="006F4E0E"/>
    <w:rsid w:val="006F4EAA"/>
    <w:rsid w:val="006F4F51"/>
    <w:rsid w:val="006F508F"/>
    <w:rsid w:val="006F50F5"/>
    <w:rsid w:val="006F519A"/>
    <w:rsid w:val="006F5277"/>
    <w:rsid w:val="006F5383"/>
    <w:rsid w:val="006F546F"/>
    <w:rsid w:val="006F54A7"/>
    <w:rsid w:val="006F5515"/>
    <w:rsid w:val="006F5532"/>
    <w:rsid w:val="006F5683"/>
    <w:rsid w:val="006F56B1"/>
    <w:rsid w:val="006F5762"/>
    <w:rsid w:val="006F57F4"/>
    <w:rsid w:val="006F5837"/>
    <w:rsid w:val="006F584B"/>
    <w:rsid w:val="006F591F"/>
    <w:rsid w:val="006F59E5"/>
    <w:rsid w:val="006F5A48"/>
    <w:rsid w:val="006F5A7E"/>
    <w:rsid w:val="006F5ACF"/>
    <w:rsid w:val="006F5BD0"/>
    <w:rsid w:val="006F5C29"/>
    <w:rsid w:val="006F5C70"/>
    <w:rsid w:val="006F605E"/>
    <w:rsid w:val="006F60EE"/>
    <w:rsid w:val="006F630E"/>
    <w:rsid w:val="006F6414"/>
    <w:rsid w:val="006F666A"/>
    <w:rsid w:val="006F667E"/>
    <w:rsid w:val="006F6873"/>
    <w:rsid w:val="006F688C"/>
    <w:rsid w:val="006F6947"/>
    <w:rsid w:val="006F6A61"/>
    <w:rsid w:val="006F6D86"/>
    <w:rsid w:val="006F6E7A"/>
    <w:rsid w:val="006F6E9B"/>
    <w:rsid w:val="006F6EB6"/>
    <w:rsid w:val="006F7046"/>
    <w:rsid w:val="006F7080"/>
    <w:rsid w:val="006F70C4"/>
    <w:rsid w:val="006F70F4"/>
    <w:rsid w:val="006F7293"/>
    <w:rsid w:val="006F73B8"/>
    <w:rsid w:val="006F73EE"/>
    <w:rsid w:val="006F7486"/>
    <w:rsid w:val="006F74BE"/>
    <w:rsid w:val="006F75FA"/>
    <w:rsid w:val="006F76CC"/>
    <w:rsid w:val="006F77C3"/>
    <w:rsid w:val="006F796E"/>
    <w:rsid w:val="006F79BB"/>
    <w:rsid w:val="006F79EC"/>
    <w:rsid w:val="006F7A58"/>
    <w:rsid w:val="006F7B36"/>
    <w:rsid w:val="006F7B8E"/>
    <w:rsid w:val="006F7C04"/>
    <w:rsid w:val="006F7C06"/>
    <w:rsid w:val="006F7DFD"/>
    <w:rsid w:val="006F7E18"/>
    <w:rsid w:val="006F7E80"/>
    <w:rsid w:val="006F7EBE"/>
    <w:rsid w:val="0070011C"/>
    <w:rsid w:val="007001EB"/>
    <w:rsid w:val="00700223"/>
    <w:rsid w:val="007002CF"/>
    <w:rsid w:val="00700478"/>
    <w:rsid w:val="0070062D"/>
    <w:rsid w:val="00700686"/>
    <w:rsid w:val="007007DF"/>
    <w:rsid w:val="0070082B"/>
    <w:rsid w:val="00700853"/>
    <w:rsid w:val="00700978"/>
    <w:rsid w:val="00700A36"/>
    <w:rsid w:val="00700A85"/>
    <w:rsid w:val="00700B55"/>
    <w:rsid w:val="00700C7E"/>
    <w:rsid w:val="00700D24"/>
    <w:rsid w:val="00700E89"/>
    <w:rsid w:val="00700EE1"/>
    <w:rsid w:val="00701038"/>
    <w:rsid w:val="007011C1"/>
    <w:rsid w:val="00701257"/>
    <w:rsid w:val="00701265"/>
    <w:rsid w:val="00701352"/>
    <w:rsid w:val="00701374"/>
    <w:rsid w:val="00701694"/>
    <w:rsid w:val="007016C2"/>
    <w:rsid w:val="00701756"/>
    <w:rsid w:val="00701822"/>
    <w:rsid w:val="007018D0"/>
    <w:rsid w:val="007018DE"/>
    <w:rsid w:val="00701A18"/>
    <w:rsid w:val="00701BF4"/>
    <w:rsid w:val="00701D14"/>
    <w:rsid w:val="00701FCF"/>
    <w:rsid w:val="00702087"/>
    <w:rsid w:val="00702129"/>
    <w:rsid w:val="007021B0"/>
    <w:rsid w:val="0070223C"/>
    <w:rsid w:val="0070223E"/>
    <w:rsid w:val="007022F5"/>
    <w:rsid w:val="00702494"/>
    <w:rsid w:val="00702660"/>
    <w:rsid w:val="0070268E"/>
    <w:rsid w:val="0070283D"/>
    <w:rsid w:val="00702AB8"/>
    <w:rsid w:val="00702D9E"/>
    <w:rsid w:val="00702E37"/>
    <w:rsid w:val="00702EE2"/>
    <w:rsid w:val="0070302F"/>
    <w:rsid w:val="007032F9"/>
    <w:rsid w:val="00703304"/>
    <w:rsid w:val="0070347B"/>
    <w:rsid w:val="007035D4"/>
    <w:rsid w:val="00703658"/>
    <w:rsid w:val="007036FC"/>
    <w:rsid w:val="0070379F"/>
    <w:rsid w:val="007038AD"/>
    <w:rsid w:val="00703900"/>
    <w:rsid w:val="007039FC"/>
    <w:rsid w:val="00703A59"/>
    <w:rsid w:val="00703C80"/>
    <w:rsid w:val="00703CC4"/>
    <w:rsid w:val="00703CD7"/>
    <w:rsid w:val="00703E3E"/>
    <w:rsid w:val="00703E7E"/>
    <w:rsid w:val="00703F71"/>
    <w:rsid w:val="0070400D"/>
    <w:rsid w:val="0070402C"/>
    <w:rsid w:val="00704213"/>
    <w:rsid w:val="0070438A"/>
    <w:rsid w:val="0070438C"/>
    <w:rsid w:val="0070450C"/>
    <w:rsid w:val="007045A1"/>
    <w:rsid w:val="00704630"/>
    <w:rsid w:val="007046F7"/>
    <w:rsid w:val="00704719"/>
    <w:rsid w:val="00704788"/>
    <w:rsid w:val="00704883"/>
    <w:rsid w:val="00704908"/>
    <w:rsid w:val="0070497C"/>
    <w:rsid w:val="00704A40"/>
    <w:rsid w:val="00704A4E"/>
    <w:rsid w:val="00704B5B"/>
    <w:rsid w:val="00704B69"/>
    <w:rsid w:val="00704BEC"/>
    <w:rsid w:val="00704C19"/>
    <w:rsid w:val="00704D24"/>
    <w:rsid w:val="00704E3C"/>
    <w:rsid w:val="00704F02"/>
    <w:rsid w:val="00704F9F"/>
    <w:rsid w:val="00705050"/>
    <w:rsid w:val="0070506F"/>
    <w:rsid w:val="007052FC"/>
    <w:rsid w:val="007054E0"/>
    <w:rsid w:val="00705699"/>
    <w:rsid w:val="00705873"/>
    <w:rsid w:val="00705A07"/>
    <w:rsid w:val="00705A15"/>
    <w:rsid w:val="00705C11"/>
    <w:rsid w:val="00705C61"/>
    <w:rsid w:val="00705CFB"/>
    <w:rsid w:val="00705E32"/>
    <w:rsid w:val="00705EA2"/>
    <w:rsid w:val="00705EF4"/>
    <w:rsid w:val="00705F44"/>
    <w:rsid w:val="00705F71"/>
    <w:rsid w:val="00705FB5"/>
    <w:rsid w:val="0070645D"/>
    <w:rsid w:val="007064C3"/>
    <w:rsid w:val="007064EB"/>
    <w:rsid w:val="0070656A"/>
    <w:rsid w:val="007066A6"/>
    <w:rsid w:val="00706914"/>
    <w:rsid w:val="0070698C"/>
    <w:rsid w:val="00706BE9"/>
    <w:rsid w:val="00706D0D"/>
    <w:rsid w:val="00706D50"/>
    <w:rsid w:val="00706E2D"/>
    <w:rsid w:val="00707456"/>
    <w:rsid w:val="007075AF"/>
    <w:rsid w:val="007075D2"/>
    <w:rsid w:val="00707780"/>
    <w:rsid w:val="007078CF"/>
    <w:rsid w:val="00707914"/>
    <w:rsid w:val="00707940"/>
    <w:rsid w:val="00707955"/>
    <w:rsid w:val="007079B8"/>
    <w:rsid w:val="00707A02"/>
    <w:rsid w:val="00707B3C"/>
    <w:rsid w:val="00707BCB"/>
    <w:rsid w:val="00707D4F"/>
    <w:rsid w:val="00707E84"/>
    <w:rsid w:val="00707EEA"/>
    <w:rsid w:val="00707F27"/>
    <w:rsid w:val="00707F4D"/>
    <w:rsid w:val="00710022"/>
    <w:rsid w:val="00710049"/>
    <w:rsid w:val="00710072"/>
    <w:rsid w:val="007100F9"/>
    <w:rsid w:val="00710381"/>
    <w:rsid w:val="00710400"/>
    <w:rsid w:val="00710473"/>
    <w:rsid w:val="0071058E"/>
    <w:rsid w:val="007105BB"/>
    <w:rsid w:val="007106DB"/>
    <w:rsid w:val="00710733"/>
    <w:rsid w:val="00710859"/>
    <w:rsid w:val="00710882"/>
    <w:rsid w:val="007108D8"/>
    <w:rsid w:val="007109F6"/>
    <w:rsid w:val="00710CA9"/>
    <w:rsid w:val="00710D3F"/>
    <w:rsid w:val="00710F65"/>
    <w:rsid w:val="00710FF8"/>
    <w:rsid w:val="00711147"/>
    <w:rsid w:val="0071118C"/>
    <w:rsid w:val="00711269"/>
    <w:rsid w:val="0071129F"/>
    <w:rsid w:val="007113E7"/>
    <w:rsid w:val="007115CB"/>
    <w:rsid w:val="0071181F"/>
    <w:rsid w:val="007118C5"/>
    <w:rsid w:val="0071192C"/>
    <w:rsid w:val="00711A45"/>
    <w:rsid w:val="00711AFD"/>
    <w:rsid w:val="00711FDD"/>
    <w:rsid w:val="00712127"/>
    <w:rsid w:val="007122E0"/>
    <w:rsid w:val="00712490"/>
    <w:rsid w:val="0071252F"/>
    <w:rsid w:val="007125B3"/>
    <w:rsid w:val="0071265C"/>
    <w:rsid w:val="0071268D"/>
    <w:rsid w:val="007126AB"/>
    <w:rsid w:val="007126DF"/>
    <w:rsid w:val="0071292E"/>
    <w:rsid w:val="00712B3A"/>
    <w:rsid w:val="00712B5C"/>
    <w:rsid w:val="00712E6C"/>
    <w:rsid w:val="00712E9F"/>
    <w:rsid w:val="00712EF5"/>
    <w:rsid w:val="00712EFE"/>
    <w:rsid w:val="00712F4B"/>
    <w:rsid w:val="00712F8A"/>
    <w:rsid w:val="007130EC"/>
    <w:rsid w:val="00713192"/>
    <w:rsid w:val="0071320D"/>
    <w:rsid w:val="0071322B"/>
    <w:rsid w:val="00713488"/>
    <w:rsid w:val="007134E6"/>
    <w:rsid w:val="00713674"/>
    <w:rsid w:val="007137FC"/>
    <w:rsid w:val="007139A3"/>
    <w:rsid w:val="00713A10"/>
    <w:rsid w:val="00713B73"/>
    <w:rsid w:val="00713BE8"/>
    <w:rsid w:val="00713DB0"/>
    <w:rsid w:val="00713E26"/>
    <w:rsid w:val="0071414A"/>
    <w:rsid w:val="00714284"/>
    <w:rsid w:val="00714492"/>
    <w:rsid w:val="00714589"/>
    <w:rsid w:val="0071458C"/>
    <w:rsid w:val="0071476E"/>
    <w:rsid w:val="007147B5"/>
    <w:rsid w:val="00714A10"/>
    <w:rsid w:val="00714AB5"/>
    <w:rsid w:val="00714BF6"/>
    <w:rsid w:val="00714C47"/>
    <w:rsid w:val="00714FA5"/>
    <w:rsid w:val="00715119"/>
    <w:rsid w:val="007151CF"/>
    <w:rsid w:val="00715265"/>
    <w:rsid w:val="0071538E"/>
    <w:rsid w:val="007155D1"/>
    <w:rsid w:val="00715603"/>
    <w:rsid w:val="007156D0"/>
    <w:rsid w:val="00715706"/>
    <w:rsid w:val="007157F3"/>
    <w:rsid w:val="00715802"/>
    <w:rsid w:val="007159FE"/>
    <w:rsid w:val="00715C08"/>
    <w:rsid w:val="00715D39"/>
    <w:rsid w:val="00715D50"/>
    <w:rsid w:val="00715DBD"/>
    <w:rsid w:val="00715EF4"/>
    <w:rsid w:val="007160A8"/>
    <w:rsid w:val="007160C6"/>
    <w:rsid w:val="007160F3"/>
    <w:rsid w:val="00716210"/>
    <w:rsid w:val="0071621A"/>
    <w:rsid w:val="00716407"/>
    <w:rsid w:val="00716415"/>
    <w:rsid w:val="00716465"/>
    <w:rsid w:val="007165BA"/>
    <w:rsid w:val="0071661B"/>
    <w:rsid w:val="00716837"/>
    <w:rsid w:val="00716877"/>
    <w:rsid w:val="00716911"/>
    <w:rsid w:val="0071692E"/>
    <w:rsid w:val="007169CD"/>
    <w:rsid w:val="00716B1F"/>
    <w:rsid w:val="00716D68"/>
    <w:rsid w:val="00716D96"/>
    <w:rsid w:val="00716E6C"/>
    <w:rsid w:val="00717032"/>
    <w:rsid w:val="00717144"/>
    <w:rsid w:val="00717153"/>
    <w:rsid w:val="00717300"/>
    <w:rsid w:val="007173CC"/>
    <w:rsid w:val="007173DF"/>
    <w:rsid w:val="0071749D"/>
    <w:rsid w:val="007177ED"/>
    <w:rsid w:val="0071789A"/>
    <w:rsid w:val="007178F3"/>
    <w:rsid w:val="0071790B"/>
    <w:rsid w:val="00717AC4"/>
    <w:rsid w:val="00717BC4"/>
    <w:rsid w:val="00717D1B"/>
    <w:rsid w:val="00717D4E"/>
    <w:rsid w:val="00717E1A"/>
    <w:rsid w:val="00717F8E"/>
    <w:rsid w:val="00720053"/>
    <w:rsid w:val="007201A6"/>
    <w:rsid w:val="00720265"/>
    <w:rsid w:val="00720305"/>
    <w:rsid w:val="007203B1"/>
    <w:rsid w:val="007203F6"/>
    <w:rsid w:val="007203FB"/>
    <w:rsid w:val="00720427"/>
    <w:rsid w:val="007205E0"/>
    <w:rsid w:val="0072067E"/>
    <w:rsid w:val="007206E3"/>
    <w:rsid w:val="007207B5"/>
    <w:rsid w:val="007208D4"/>
    <w:rsid w:val="007209DA"/>
    <w:rsid w:val="00720A05"/>
    <w:rsid w:val="00720BE7"/>
    <w:rsid w:val="00720D09"/>
    <w:rsid w:val="00720DF9"/>
    <w:rsid w:val="00721044"/>
    <w:rsid w:val="007210D0"/>
    <w:rsid w:val="007210F6"/>
    <w:rsid w:val="0072110F"/>
    <w:rsid w:val="0072114B"/>
    <w:rsid w:val="007211E1"/>
    <w:rsid w:val="00721272"/>
    <w:rsid w:val="00721382"/>
    <w:rsid w:val="00721415"/>
    <w:rsid w:val="007216E2"/>
    <w:rsid w:val="00721731"/>
    <w:rsid w:val="0072185E"/>
    <w:rsid w:val="0072193E"/>
    <w:rsid w:val="0072197F"/>
    <w:rsid w:val="00721AE1"/>
    <w:rsid w:val="00721E68"/>
    <w:rsid w:val="00721EEC"/>
    <w:rsid w:val="00721FF5"/>
    <w:rsid w:val="007220E8"/>
    <w:rsid w:val="00722302"/>
    <w:rsid w:val="0072233A"/>
    <w:rsid w:val="007224D9"/>
    <w:rsid w:val="00722582"/>
    <w:rsid w:val="007225EB"/>
    <w:rsid w:val="00722636"/>
    <w:rsid w:val="007226CE"/>
    <w:rsid w:val="00722993"/>
    <w:rsid w:val="00722AA3"/>
    <w:rsid w:val="00722AB2"/>
    <w:rsid w:val="00722C04"/>
    <w:rsid w:val="00722C63"/>
    <w:rsid w:val="00722D2E"/>
    <w:rsid w:val="00722D9D"/>
    <w:rsid w:val="007230F4"/>
    <w:rsid w:val="00723138"/>
    <w:rsid w:val="007231FB"/>
    <w:rsid w:val="007234E8"/>
    <w:rsid w:val="00723837"/>
    <w:rsid w:val="007238FA"/>
    <w:rsid w:val="0072395B"/>
    <w:rsid w:val="00723976"/>
    <w:rsid w:val="00723A89"/>
    <w:rsid w:val="00723ACC"/>
    <w:rsid w:val="00723B7D"/>
    <w:rsid w:val="00723BA6"/>
    <w:rsid w:val="00723D70"/>
    <w:rsid w:val="00723D96"/>
    <w:rsid w:val="00723D9E"/>
    <w:rsid w:val="00723DDC"/>
    <w:rsid w:val="00723E43"/>
    <w:rsid w:val="00723E7F"/>
    <w:rsid w:val="00723FC9"/>
    <w:rsid w:val="0072416C"/>
    <w:rsid w:val="0072418F"/>
    <w:rsid w:val="007241FE"/>
    <w:rsid w:val="00724218"/>
    <w:rsid w:val="0072421D"/>
    <w:rsid w:val="0072431D"/>
    <w:rsid w:val="007243B7"/>
    <w:rsid w:val="00724564"/>
    <w:rsid w:val="00724648"/>
    <w:rsid w:val="007248F9"/>
    <w:rsid w:val="00724994"/>
    <w:rsid w:val="007249CB"/>
    <w:rsid w:val="00724AEC"/>
    <w:rsid w:val="00724B1E"/>
    <w:rsid w:val="00724B4A"/>
    <w:rsid w:val="00724CA2"/>
    <w:rsid w:val="00724CB2"/>
    <w:rsid w:val="00724DD0"/>
    <w:rsid w:val="00725050"/>
    <w:rsid w:val="00725214"/>
    <w:rsid w:val="0072526A"/>
    <w:rsid w:val="00725314"/>
    <w:rsid w:val="00725379"/>
    <w:rsid w:val="007254F9"/>
    <w:rsid w:val="0072555E"/>
    <w:rsid w:val="007255A4"/>
    <w:rsid w:val="007256B1"/>
    <w:rsid w:val="007256FD"/>
    <w:rsid w:val="00725879"/>
    <w:rsid w:val="00725A80"/>
    <w:rsid w:val="00725B64"/>
    <w:rsid w:val="00725B70"/>
    <w:rsid w:val="00725DB0"/>
    <w:rsid w:val="00725DC0"/>
    <w:rsid w:val="0072600A"/>
    <w:rsid w:val="00726138"/>
    <w:rsid w:val="00726166"/>
    <w:rsid w:val="007261C1"/>
    <w:rsid w:val="007262A6"/>
    <w:rsid w:val="00726313"/>
    <w:rsid w:val="007264AC"/>
    <w:rsid w:val="00726545"/>
    <w:rsid w:val="00726685"/>
    <w:rsid w:val="007266E0"/>
    <w:rsid w:val="0072684D"/>
    <w:rsid w:val="00726875"/>
    <w:rsid w:val="007268D7"/>
    <w:rsid w:val="00726901"/>
    <w:rsid w:val="00726B0F"/>
    <w:rsid w:val="00726C71"/>
    <w:rsid w:val="00726E89"/>
    <w:rsid w:val="00726F1D"/>
    <w:rsid w:val="00727160"/>
    <w:rsid w:val="007271BD"/>
    <w:rsid w:val="00727260"/>
    <w:rsid w:val="00727454"/>
    <w:rsid w:val="0072749A"/>
    <w:rsid w:val="0072754D"/>
    <w:rsid w:val="0072759D"/>
    <w:rsid w:val="00727732"/>
    <w:rsid w:val="007279CC"/>
    <w:rsid w:val="00727B2D"/>
    <w:rsid w:val="00727BCF"/>
    <w:rsid w:val="00727C3D"/>
    <w:rsid w:val="00727CD8"/>
    <w:rsid w:val="00727DE3"/>
    <w:rsid w:val="00727F7C"/>
    <w:rsid w:val="00727FD8"/>
    <w:rsid w:val="00730432"/>
    <w:rsid w:val="00730739"/>
    <w:rsid w:val="00730858"/>
    <w:rsid w:val="007308D4"/>
    <w:rsid w:val="00730A57"/>
    <w:rsid w:val="00730AF9"/>
    <w:rsid w:val="00730E5B"/>
    <w:rsid w:val="00730EF5"/>
    <w:rsid w:val="0073102E"/>
    <w:rsid w:val="00731067"/>
    <w:rsid w:val="0073113B"/>
    <w:rsid w:val="00731367"/>
    <w:rsid w:val="007313B2"/>
    <w:rsid w:val="00731787"/>
    <w:rsid w:val="00731895"/>
    <w:rsid w:val="007319E7"/>
    <w:rsid w:val="00731A20"/>
    <w:rsid w:val="00731BF8"/>
    <w:rsid w:val="00731CBB"/>
    <w:rsid w:val="00731D00"/>
    <w:rsid w:val="00731D23"/>
    <w:rsid w:val="00731E75"/>
    <w:rsid w:val="00731F41"/>
    <w:rsid w:val="00731FB0"/>
    <w:rsid w:val="00732077"/>
    <w:rsid w:val="00732091"/>
    <w:rsid w:val="007320DF"/>
    <w:rsid w:val="00732106"/>
    <w:rsid w:val="00732218"/>
    <w:rsid w:val="007324C3"/>
    <w:rsid w:val="00732535"/>
    <w:rsid w:val="00732580"/>
    <w:rsid w:val="007325DF"/>
    <w:rsid w:val="007326CF"/>
    <w:rsid w:val="00732726"/>
    <w:rsid w:val="007327AC"/>
    <w:rsid w:val="00732CD4"/>
    <w:rsid w:val="00732FE5"/>
    <w:rsid w:val="00733072"/>
    <w:rsid w:val="0073313F"/>
    <w:rsid w:val="0073333F"/>
    <w:rsid w:val="007333A0"/>
    <w:rsid w:val="007333BD"/>
    <w:rsid w:val="007334DB"/>
    <w:rsid w:val="007335E4"/>
    <w:rsid w:val="007336CF"/>
    <w:rsid w:val="007337AD"/>
    <w:rsid w:val="007337E4"/>
    <w:rsid w:val="00733801"/>
    <w:rsid w:val="00733885"/>
    <w:rsid w:val="007339F8"/>
    <w:rsid w:val="00733A2F"/>
    <w:rsid w:val="00733A3A"/>
    <w:rsid w:val="00733C80"/>
    <w:rsid w:val="00733E5A"/>
    <w:rsid w:val="00734005"/>
    <w:rsid w:val="0073408C"/>
    <w:rsid w:val="007341E8"/>
    <w:rsid w:val="0073458A"/>
    <w:rsid w:val="007345C9"/>
    <w:rsid w:val="00734B04"/>
    <w:rsid w:val="00734BEC"/>
    <w:rsid w:val="00734BFA"/>
    <w:rsid w:val="00734C0B"/>
    <w:rsid w:val="00734DBE"/>
    <w:rsid w:val="00734E07"/>
    <w:rsid w:val="00734F7C"/>
    <w:rsid w:val="007350EF"/>
    <w:rsid w:val="007350F8"/>
    <w:rsid w:val="00735225"/>
    <w:rsid w:val="00735248"/>
    <w:rsid w:val="00735262"/>
    <w:rsid w:val="007352A2"/>
    <w:rsid w:val="007352FF"/>
    <w:rsid w:val="007353FA"/>
    <w:rsid w:val="007355F3"/>
    <w:rsid w:val="00735630"/>
    <w:rsid w:val="00735655"/>
    <w:rsid w:val="0073597F"/>
    <w:rsid w:val="007359E5"/>
    <w:rsid w:val="00735A98"/>
    <w:rsid w:val="00735BE2"/>
    <w:rsid w:val="00735C5D"/>
    <w:rsid w:val="00735D65"/>
    <w:rsid w:val="00735E61"/>
    <w:rsid w:val="00735FD7"/>
    <w:rsid w:val="00735FDD"/>
    <w:rsid w:val="00736104"/>
    <w:rsid w:val="007361EC"/>
    <w:rsid w:val="00736240"/>
    <w:rsid w:val="007362FD"/>
    <w:rsid w:val="0073630D"/>
    <w:rsid w:val="0073666E"/>
    <w:rsid w:val="00736686"/>
    <w:rsid w:val="00736783"/>
    <w:rsid w:val="007367E2"/>
    <w:rsid w:val="0073681B"/>
    <w:rsid w:val="00736A25"/>
    <w:rsid w:val="00736D24"/>
    <w:rsid w:val="00736DF9"/>
    <w:rsid w:val="007372A6"/>
    <w:rsid w:val="0073733C"/>
    <w:rsid w:val="00737406"/>
    <w:rsid w:val="0073744A"/>
    <w:rsid w:val="00737553"/>
    <w:rsid w:val="0073758E"/>
    <w:rsid w:val="00737646"/>
    <w:rsid w:val="007376D9"/>
    <w:rsid w:val="007377A7"/>
    <w:rsid w:val="00737A4D"/>
    <w:rsid w:val="00737ADA"/>
    <w:rsid w:val="00737B68"/>
    <w:rsid w:val="00737CD2"/>
    <w:rsid w:val="00737CF5"/>
    <w:rsid w:val="00737D2C"/>
    <w:rsid w:val="00737DC5"/>
    <w:rsid w:val="007400EB"/>
    <w:rsid w:val="007401BB"/>
    <w:rsid w:val="00740272"/>
    <w:rsid w:val="007402D5"/>
    <w:rsid w:val="007403B0"/>
    <w:rsid w:val="007404C4"/>
    <w:rsid w:val="007404C7"/>
    <w:rsid w:val="007407DE"/>
    <w:rsid w:val="00740826"/>
    <w:rsid w:val="007408AD"/>
    <w:rsid w:val="00740A02"/>
    <w:rsid w:val="00740A9D"/>
    <w:rsid w:val="00740BEF"/>
    <w:rsid w:val="00740FE8"/>
    <w:rsid w:val="00741398"/>
    <w:rsid w:val="007413E2"/>
    <w:rsid w:val="007414B6"/>
    <w:rsid w:val="00741600"/>
    <w:rsid w:val="00741608"/>
    <w:rsid w:val="0074167C"/>
    <w:rsid w:val="007416DA"/>
    <w:rsid w:val="00741737"/>
    <w:rsid w:val="00741747"/>
    <w:rsid w:val="007417F0"/>
    <w:rsid w:val="00741962"/>
    <w:rsid w:val="00741AB5"/>
    <w:rsid w:val="00741B18"/>
    <w:rsid w:val="00742383"/>
    <w:rsid w:val="0074250A"/>
    <w:rsid w:val="007425E9"/>
    <w:rsid w:val="007425F8"/>
    <w:rsid w:val="00742768"/>
    <w:rsid w:val="007427EA"/>
    <w:rsid w:val="0074281D"/>
    <w:rsid w:val="0074287C"/>
    <w:rsid w:val="007429AF"/>
    <w:rsid w:val="00742AAD"/>
    <w:rsid w:val="00742DB7"/>
    <w:rsid w:val="00742E7F"/>
    <w:rsid w:val="00742F9B"/>
    <w:rsid w:val="00742FA7"/>
    <w:rsid w:val="007430C7"/>
    <w:rsid w:val="007430E8"/>
    <w:rsid w:val="007431D4"/>
    <w:rsid w:val="00743240"/>
    <w:rsid w:val="0074325F"/>
    <w:rsid w:val="00743500"/>
    <w:rsid w:val="00743995"/>
    <w:rsid w:val="007439C3"/>
    <w:rsid w:val="00743A7F"/>
    <w:rsid w:val="00743B4B"/>
    <w:rsid w:val="00743D25"/>
    <w:rsid w:val="00743DEB"/>
    <w:rsid w:val="00743E3E"/>
    <w:rsid w:val="00743E82"/>
    <w:rsid w:val="00743EF7"/>
    <w:rsid w:val="00743FA7"/>
    <w:rsid w:val="00744023"/>
    <w:rsid w:val="007442EC"/>
    <w:rsid w:val="00744310"/>
    <w:rsid w:val="0074439E"/>
    <w:rsid w:val="00744610"/>
    <w:rsid w:val="00744727"/>
    <w:rsid w:val="00744867"/>
    <w:rsid w:val="00744A95"/>
    <w:rsid w:val="00744B33"/>
    <w:rsid w:val="00744DD9"/>
    <w:rsid w:val="00744F8C"/>
    <w:rsid w:val="00744FAB"/>
    <w:rsid w:val="0074506A"/>
    <w:rsid w:val="007452AB"/>
    <w:rsid w:val="00745474"/>
    <w:rsid w:val="00745809"/>
    <w:rsid w:val="007458B4"/>
    <w:rsid w:val="007459DD"/>
    <w:rsid w:val="00745A66"/>
    <w:rsid w:val="00745A7E"/>
    <w:rsid w:val="00745B1F"/>
    <w:rsid w:val="00746150"/>
    <w:rsid w:val="007461AB"/>
    <w:rsid w:val="007461B1"/>
    <w:rsid w:val="007464D6"/>
    <w:rsid w:val="007465CA"/>
    <w:rsid w:val="00746765"/>
    <w:rsid w:val="007467F9"/>
    <w:rsid w:val="0074690D"/>
    <w:rsid w:val="0074695E"/>
    <w:rsid w:val="00746963"/>
    <w:rsid w:val="007469DE"/>
    <w:rsid w:val="00746B97"/>
    <w:rsid w:val="00746C79"/>
    <w:rsid w:val="00746E38"/>
    <w:rsid w:val="00746F0E"/>
    <w:rsid w:val="00746FF1"/>
    <w:rsid w:val="00747058"/>
    <w:rsid w:val="007470CD"/>
    <w:rsid w:val="007470F5"/>
    <w:rsid w:val="0074734D"/>
    <w:rsid w:val="007473B2"/>
    <w:rsid w:val="00747683"/>
    <w:rsid w:val="0074778A"/>
    <w:rsid w:val="00747790"/>
    <w:rsid w:val="0074784E"/>
    <w:rsid w:val="00747865"/>
    <w:rsid w:val="007478EC"/>
    <w:rsid w:val="0074794E"/>
    <w:rsid w:val="0074798F"/>
    <w:rsid w:val="007479C2"/>
    <w:rsid w:val="00747A4E"/>
    <w:rsid w:val="00747A5F"/>
    <w:rsid w:val="00747E2E"/>
    <w:rsid w:val="00747EDC"/>
    <w:rsid w:val="00747F40"/>
    <w:rsid w:val="00747F8C"/>
    <w:rsid w:val="0075010E"/>
    <w:rsid w:val="0075012F"/>
    <w:rsid w:val="0075013D"/>
    <w:rsid w:val="007501C2"/>
    <w:rsid w:val="0075029D"/>
    <w:rsid w:val="007504E2"/>
    <w:rsid w:val="0075064F"/>
    <w:rsid w:val="0075068B"/>
    <w:rsid w:val="0075072D"/>
    <w:rsid w:val="007507ED"/>
    <w:rsid w:val="007508AB"/>
    <w:rsid w:val="007509BB"/>
    <w:rsid w:val="00750AEF"/>
    <w:rsid w:val="00750BED"/>
    <w:rsid w:val="00750DAF"/>
    <w:rsid w:val="00750EB0"/>
    <w:rsid w:val="00750FA7"/>
    <w:rsid w:val="00750FE0"/>
    <w:rsid w:val="007510D8"/>
    <w:rsid w:val="007511A6"/>
    <w:rsid w:val="007512A0"/>
    <w:rsid w:val="007513F5"/>
    <w:rsid w:val="0075142A"/>
    <w:rsid w:val="0075142D"/>
    <w:rsid w:val="00751481"/>
    <w:rsid w:val="007515AD"/>
    <w:rsid w:val="007519DA"/>
    <w:rsid w:val="00751A3D"/>
    <w:rsid w:val="00751C50"/>
    <w:rsid w:val="00751CC1"/>
    <w:rsid w:val="00751E08"/>
    <w:rsid w:val="00751EB1"/>
    <w:rsid w:val="00751F6E"/>
    <w:rsid w:val="00751FB4"/>
    <w:rsid w:val="00752105"/>
    <w:rsid w:val="0075215D"/>
    <w:rsid w:val="0075218E"/>
    <w:rsid w:val="0075237D"/>
    <w:rsid w:val="007524A2"/>
    <w:rsid w:val="007524EE"/>
    <w:rsid w:val="007527D7"/>
    <w:rsid w:val="007527DD"/>
    <w:rsid w:val="00752855"/>
    <w:rsid w:val="00752856"/>
    <w:rsid w:val="00752B1B"/>
    <w:rsid w:val="00752B98"/>
    <w:rsid w:val="00752C10"/>
    <w:rsid w:val="00752D46"/>
    <w:rsid w:val="00752EB9"/>
    <w:rsid w:val="00752FD1"/>
    <w:rsid w:val="00753088"/>
    <w:rsid w:val="007532AB"/>
    <w:rsid w:val="007532CC"/>
    <w:rsid w:val="00753331"/>
    <w:rsid w:val="00753584"/>
    <w:rsid w:val="007535DF"/>
    <w:rsid w:val="0075379C"/>
    <w:rsid w:val="007538CC"/>
    <w:rsid w:val="00753932"/>
    <w:rsid w:val="0075395F"/>
    <w:rsid w:val="00753A2F"/>
    <w:rsid w:val="00753A44"/>
    <w:rsid w:val="00753A5A"/>
    <w:rsid w:val="00753B5D"/>
    <w:rsid w:val="00753BD5"/>
    <w:rsid w:val="00753C41"/>
    <w:rsid w:val="00753DA5"/>
    <w:rsid w:val="00753DEF"/>
    <w:rsid w:val="00753E96"/>
    <w:rsid w:val="00753F57"/>
    <w:rsid w:val="0075419D"/>
    <w:rsid w:val="007541FA"/>
    <w:rsid w:val="00754222"/>
    <w:rsid w:val="0075427B"/>
    <w:rsid w:val="007543C8"/>
    <w:rsid w:val="007543F9"/>
    <w:rsid w:val="007544E4"/>
    <w:rsid w:val="00754624"/>
    <w:rsid w:val="00754643"/>
    <w:rsid w:val="00754880"/>
    <w:rsid w:val="00754A1D"/>
    <w:rsid w:val="00754B0A"/>
    <w:rsid w:val="00754D1F"/>
    <w:rsid w:val="00754E85"/>
    <w:rsid w:val="00754EA3"/>
    <w:rsid w:val="00754EF7"/>
    <w:rsid w:val="007550EA"/>
    <w:rsid w:val="00755232"/>
    <w:rsid w:val="00755563"/>
    <w:rsid w:val="0075558D"/>
    <w:rsid w:val="0075563A"/>
    <w:rsid w:val="007556B6"/>
    <w:rsid w:val="00755721"/>
    <w:rsid w:val="00755771"/>
    <w:rsid w:val="00755885"/>
    <w:rsid w:val="007559DA"/>
    <w:rsid w:val="00755A01"/>
    <w:rsid w:val="00755B24"/>
    <w:rsid w:val="00755B31"/>
    <w:rsid w:val="00755B5C"/>
    <w:rsid w:val="00755B7C"/>
    <w:rsid w:val="00755BF1"/>
    <w:rsid w:val="00755CB9"/>
    <w:rsid w:val="00755CD6"/>
    <w:rsid w:val="00755CF2"/>
    <w:rsid w:val="00755DFC"/>
    <w:rsid w:val="007560A2"/>
    <w:rsid w:val="007560B9"/>
    <w:rsid w:val="007561F3"/>
    <w:rsid w:val="00756351"/>
    <w:rsid w:val="0075646C"/>
    <w:rsid w:val="00756493"/>
    <w:rsid w:val="0075656F"/>
    <w:rsid w:val="007565AD"/>
    <w:rsid w:val="007565C3"/>
    <w:rsid w:val="007566AE"/>
    <w:rsid w:val="00756711"/>
    <w:rsid w:val="007568A1"/>
    <w:rsid w:val="007568F2"/>
    <w:rsid w:val="00756916"/>
    <w:rsid w:val="00756989"/>
    <w:rsid w:val="00756AE3"/>
    <w:rsid w:val="00756BE6"/>
    <w:rsid w:val="00756C0A"/>
    <w:rsid w:val="00756C7E"/>
    <w:rsid w:val="00756F29"/>
    <w:rsid w:val="00757316"/>
    <w:rsid w:val="007574E6"/>
    <w:rsid w:val="007575AA"/>
    <w:rsid w:val="00757752"/>
    <w:rsid w:val="00757856"/>
    <w:rsid w:val="00757971"/>
    <w:rsid w:val="00757AA4"/>
    <w:rsid w:val="00757ACB"/>
    <w:rsid w:val="00757B01"/>
    <w:rsid w:val="00757C42"/>
    <w:rsid w:val="00757C86"/>
    <w:rsid w:val="00757DCD"/>
    <w:rsid w:val="00757E46"/>
    <w:rsid w:val="00757F0F"/>
    <w:rsid w:val="00760096"/>
    <w:rsid w:val="00760098"/>
    <w:rsid w:val="007601C3"/>
    <w:rsid w:val="0076031F"/>
    <w:rsid w:val="00760426"/>
    <w:rsid w:val="007604D2"/>
    <w:rsid w:val="007605D4"/>
    <w:rsid w:val="007606C2"/>
    <w:rsid w:val="00760932"/>
    <w:rsid w:val="00760940"/>
    <w:rsid w:val="0076099B"/>
    <w:rsid w:val="007609B6"/>
    <w:rsid w:val="007609EE"/>
    <w:rsid w:val="00760A17"/>
    <w:rsid w:val="00760B52"/>
    <w:rsid w:val="00760B62"/>
    <w:rsid w:val="00760C6C"/>
    <w:rsid w:val="00760D2D"/>
    <w:rsid w:val="00760D3C"/>
    <w:rsid w:val="00760DE7"/>
    <w:rsid w:val="00760DEC"/>
    <w:rsid w:val="00760FC9"/>
    <w:rsid w:val="007610F2"/>
    <w:rsid w:val="0076112E"/>
    <w:rsid w:val="00761198"/>
    <w:rsid w:val="00761315"/>
    <w:rsid w:val="007613F0"/>
    <w:rsid w:val="00761960"/>
    <w:rsid w:val="00761B22"/>
    <w:rsid w:val="00761B71"/>
    <w:rsid w:val="00761B85"/>
    <w:rsid w:val="00761CA0"/>
    <w:rsid w:val="00761CAE"/>
    <w:rsid w:val="00761DB6"/>
    <w:rsid w:val="00761EC6"/>
    <w:rsid w:val="00761F02"/>
    <w:rsid w:val="0076202A"/>
    <w:rsid w:val="0076205C"/>
    <w:rsid w:val="007620CC"/>
    <w:rsid w:val="00762146"/>
    <w:rsid w:val="007621EF"/>
    <w:rsid w:val="00762700"/>
    <w:rsid w:val="0076285B"/>
    <w:rsid w:val="0076290C"/>
    <w:rsid w:val="00762A84"/>
    <w:rsid w:val="00762C7A"/>
    <w:rsid w:val="00762CE8"/>
    <w:rsid w:val="00762D5C"/>
    <w:rsid w:val="00762E45"/>
    <w:rsid w:val="00762E51"/>
    <w:rsid w:val="00762E63"/>
    <w:rsid w:val="00762EE0"/>
    <w:rsid w:val="00763000"/>
    <w:rsid w:val="007632A5"/>
    <w:rsid w:val="00763364"/>
    <w:rsid w:val="0076347C"/>
    <w:rsid w:val="007634C4"/>
    <w:rsid w:val="00763541"/>
    <w:rsid w:val="00763588"/>
    <w:rsid w:val="007635BF"/>
    <w:rsid w:val="007636E9"/>
    <w:rsid w:val="007638F2"/>
    <w:rsid w:val="00763904"/>
    <w:rsid w:val="007639A4"/>
    <w:rsid w:val="00763B55"/>
    <w:rsid w:val="00763BD4"/>
    <w:rsid w:val="00763BE1"/>
    <w:rsid w:val="00763C69"/>
    <w:rsid w:val="00763EDD"/>
    <w:rsid w:val="00763F5E"/>
    <w:rsid w:val="00764045"/>
    <w:rsid w:val="00764277"/>
    <w:rsid w:val="007642BF"/>
    <w:rsid w:val="0076442A"/>
    <w:rsid w:val="0076446E"/>
    <w:rsid w:val="00764499"/>
    <w:rsid w:val="00764546"/>
    <w:rsid w:val="007645A0"/>
    <w:rsid w:val="00764919"/>
    <w:rsid w:val="00764920"/>
    <w:rsid w:val="00764AF9"/>
    <w:rsid w:val="00764CB9"/>
    <w:rsid w:val="00764D5C"/>
    <w:rsid w:val="00764D5D"/>
    <w:rsid w:val="00764DBD"/>
    <w:rsid w:val="00764DC0"/>
    <w:rsid w:val="00764F07"/>
    <w:rsid w:val="00765223"/>
    <w:rsid w:val="007652F0"/>
    <w:rsid w:val="00765390"/>
    <w:rsid w:val="00765458"/>
    <w:rsid w:val="00765617"/>
    <w:rsid w:val="007656DE"/>
    <w:rsid w:val="007656EA"/>
    <w:rsid w:val="0076573D"/>
    <w:rsid w:val="0076580B"/>
    <w:rsid w:val="00765818"/>
    <w:rsid w:val="007658DF"/>
    <w:rsid w:val="0076591E"/>
    <w:rsid w:val="007659A0"/>
    <w:rsid w:val="00765C98"/>
    <w:rsid w:val="00765F84"/>
    <w:rsid w:val="007660E5"/>
    <w:rsid w:val="00766488"/>
    <w:rsid w:val="0076655D"/>
    <w:rsid w:val="0076665C"/>
    <w:rsid w:val="00766892"/>
    <w:rsid w:val="0076690B"/>
    <w:rsid w:val="00766BB8"/>
    <w:rsid w:val="00766CC9"/>
    <w:rsid w:val="00766DB5"/>
    <w:rsid w:val="00766DEF"/>
    <w:rsid w:val="00766F19"/>
    <w:rsid w:val="00766F31"/>
    <w:rsid w:val="00767022"/>
    <w:rsid w:val="0076705A"/>
    <w:rsid w:val="007670F9"/>
    <w:rsid w:val="007671DB"/>
    <w:rsid w:val="007671EB"/>
    <w:rsid w:val="0076730F"/>
    <w:rsid w:val="00767315"/>
    <w:rsid w:val="00767386"/>
    <w:rsid w:val="00767418"/>
    <w:rsid w:val="0076742F"/>
    <w:rsid w:val="00767460"/>
    <w:rsid w:val="007674AD"/>
    <w:rsid w:val="0076771F"/>
    <w:rsid w:val="0076786F"/>
    <w:rsid w:val="00767D31"/>
    <w:rsid w:val="00767E66"/>
    <w:rsid w:val="00767FF5"/>
    <w:rsid w:val="0077000B"/>
    <w:rsid w:val="00770025"/>
    <w:rsid w:val="007700BC"/>
    <w:rsid w:val="0077026F"/>
    <w:rsid w:val="007703B5"/>
    <w:rsid w:val="007706D5"/>
    <w:rsid w:val="00770751"/>
    <w:rsid w:val="00770875"/>
    <w:rsid w:val="00770999"/>
    <w:rsid w:val="00770A74"/>
    <w:rsid w:val="00770CEE"/>
    <w:rsid w:val="00770DC1"/>
    <w:rsid w:val="00770E13"/>
    <w:rsid w:val="00771031"/>
    <w:rsid w:val="00771120"/>
    <w:rsid w:val="0077113C"/>
    <w:rsid w:val="00771211"/>
    <w:rsid w:val="00771356"/>
    <w:rsid w:val="0077138F"/>
    <w:rsid w:val="00771393"/>
    <w:rsid w:val="007714FB"/>
    <w:rsid w:val="0077151A"/>
    <w:rsid w:val="007716B9"/>
    <w:rsid w:val="007718BC"/>
    <w:rsid w:val="00771B23"/>
    <w:rsid w:val="00771B24"/>
    <w:rsid w:val="00771CD4"/>
    <w:rsid w:val="00771F00"/>
    <w:rsid w:val="00771FCE"/>
    <w:rsid w:val="00772164"/>
    <w:rsid w:val="00772298"/>
    <w:rsid w:val="007722D3"/>
    <w:rsid w:val="007722EA"/>
    <w:rsid w:val="007724E9"/>
    <w:rsid w:val="007726F2"/>
    <w:rsid w:val="00772783"/>
    <w:rsid w:val="007727AB"/>
    <w:rsid w:val="00772948"/>
    <w:rsid w:val="00772A38"/>
    <w:rsid w:val="00772B4E"/>
    <w:rsid w:val="00772CE2"/>
    <w:rsid w:val="00772DB5"/>
    <w:rsid w:val="00772EE6"/>
    <w:rsid w:val="007731A2"/>
    <w:rsid w:val="007732B2"/>
    <w:rsid w:val="007732E2"/>
    <w:rsid w:val="00773350"/>
    <w:rsid w:val="0077337B"/>
    <w:rsid w:val="007734B4"/>
    <w:rsid w:val="00773541"/>
    <w:rsid w:val="0077378B"/>
    <w:rsid w:val="00773999"/>
    <w:rsid w:val="007739B2"/>
    <w:rsid w:val="007739E9"/>
    <w:rsid w:val="00773D5D"/>
    <w:rsid w:val="00773EA9"/>
    <w:rsid w:val="0077403A"/>
    <w:rsid w:val="007741B8"/>
    <w:rsid w:val="00774612"/>
    <w:rsid w:val="00774647"/>
    <w:rsid w:val="00774784"/>
    <w:rsid w:val="00774798"/>
    <w:rsid w:val="00774A89"/>
    <w:rsid w:val="00774AF8"/>
    <w:rsid w:val="00774BB0"/>
    <w:rsid w:val="00774BFD"/>
    <w:rsid w:val="00774D17"/>
    <w:rsid w:val="00774D3C"/>
    <w:rsid w:val="00774DC5"/>
    <w:rsid w:val="00774DD5"/>
    <w:rsid w:val="00774ECC"/>
    <w:rsid w:val="00774FB2"/>
    <w:rsid w:val="007750C6"/>
    <w:rsid w:val="00775317"/>
    <w:rsid w:val="0077546D"/>
    <w:rsid w:val="007756E4"/>
    <w:rsid w:val="0077571C"/>
    <w:rsid w:val="00775920"/>
    <w:rsid w:val="00775952"/>
    <w:rsid w:val="00775973"/>
    <w:rsid w:val="00775995"/>
    <w:rsid w:val="00775ADB"/>
    <w:rsid w:val="00775ADC"/>
    <w:rsid w:val="00775C42"/>
    <w:rsid w:val="00775C4E"/>
    <w:rsid w:val="00775DDD"/>
    <w:rsid w:val="00775E21"/>
    <w:rsid w:val="00775E52"/>
    <w:rsid w:val="00775E54"/>
    <w:rsid w:val="00775F13"/>
    <w:rsid w:val="00775F4D"/>
    <w:rsid w:val="00775FB2"/>
    <w:rsid w:val="0077609B"/>
    <w:rsid w:val="00776238"/>
    <w:rsid w:val="00776265"/>
    <w:rsid w:val="007762D4"/>
    <w:rsid w:val="007762DF"/>
    <w:rsid w:val="00776343"/>
    <w:rsid w:val="007765C1"/>
    <w:rsid w:val="007767B9"/>
    <w:rsid w:val="0077694F"/>
    <w:rsid w:val="007769B2"/>
    <w:rsid w:val="00776A3B"/>
    <w:rsid w:val="00776B6A"/>
    <w:rsid w:val="00776C60"/>
    <w:rsid w:val="00776E90"/>
    <w:rsid w:val="007771B5"/>
    <w:rsid w:val="007771C9"/>
    <w:rsid w:val="007771F5"/>
    <w:rsid w:val="007772F5"/>
    <w:rsid w:val="0077746F"/>
    <w:rsid w:val="007774E0"/>
    <w:rsid w:val="00777553"/>
    <w:rsid w:val="00777864"/>
    <w:rsid w:val="007779E2"/>
    <w:rsid w:val="00777B20"/>
    <w:rsid w:val="00777B54"/>
    <w:rsid w:val="00777BB0"/>
    <w:rsid w:val="00777D55"/>
    <w:rsid w:val="00777EA4"/>
    <w:rsid w:val="00777ECF"/>
    <w:rsid w:val="00777F97"/>
    <w:rsid w:val="00780013"/>
    <w:rsid w:val="00780088"/>
    <w:rsid w:val="007800AD"/>
    <w:rsid w:val="007800C7"/>
    <w:rsid w:val="00780189"/>
    <w:rsid w:val="0078020D"/>
    <w:rsid w:val="0078029B"/>
    <w:rsid w:val="007803D3"/>
    <w:rsid w:val="0078047D"/>
    <w:rsid w:val="007805F3"/>
    <w:rsid w:val="0078065D"/>
    <w:rsid w:val="007806A3"/>
    <w:rsid w:val="007807A3"/>
    <w:rsid w:val="007808D2"/>
    <w:rsid w:val="00780A1E"/>
    <w:rsid w:val="00780A2A"/>
    <w:rsid w:val="00780ABD"/>
    <w:rsid w:val="00780ACD"/>
    <w:rsid w:val="00780C44"/>
    <w:rsid w:val="00780CB5"/>
    <w:rsid w:val="00780DB4"/>
    <w:rsid w:val="00780F7C"/>
    <w:rsid w:val="00780FD2"/>
    <w:rsid w:val="0078103D"/>
    <w:rsid w:val="00781043"/>
    <w:rsid w:val="007810E1"/>
    <w:rsid w:val="007811F7"/>
    <w:rsid w:val="007813D7"/>
    <w:rsid w:val="00781401"/>
    <w:rsid w:val="007814C0"/>
    <w:rsid w:val="007819E3"/>
    <w:rsid w:val="00781BF7"/>
    <w:rsid w:val="00781CAF"/>
    <w:rsid w:val="00781E21"/>
    <w:rsid w:val="00781F4D"/>
    <w:rsid w:val="007820B0"/>
    <w:rsid w:val="0078223C"/>
    <w:rsid w:val="007822A1"/>
    <w:rsid w:val="00782459"/>
    <w:rsid w:val="00782710"/>
    <w:rsid w:val="00782726"/>
    <w:rsid w:val="00782781"/>
    <w:rsid w:val="007828BC"/>
    <w:rsid w:val="00782A79"/>
    <w:rsid w:val="00782A92"/>
    <w:rsid w:val="00782B19"/>
    <w:rsid w:val="00782B7F"/>
    <w:rsid w:val="00782CD7"/>
    <w:rsid w:val="00782D3B"/>
    <w:rsid w:val="00782DD2"/>
    <w:rsid w:val="00783140"/>
    <w:rsid w:val="00783323"/>
    <w:rsid w:val="00783348"/>
    <w:rsid w:val="00783419"/>
    <w:rsid w:val="0078349F"/>
    <w:rsid w:val="007834CC"/>
    <w:rsid w:val="0078359B"/>
    <w:rsid w:val="00783656"/>
    <w:rsid w:val="0078381E"/>
    <w:rsid w:val="00783AEA"/>
    <w:rsid w:val="00783BDF"/>
    <w:rsid w:val="00783E59"/>
    <w:rsid w:val="00783EE8"/>
    <w:rsid w:val="00783F38"/>
    <w:rsid w:val="00784126"/>
    <w:rsid w:val="007842AC"/>
    <w:rsid w:val="007843FA"/>
    <w:rsid w:val="0078451B"/>
    <w:rsid w:val="007846DA"/>
    <w:rsid w:val="00784745"/>
    <w:rsid w:val="00784976"/>
    <w:rsid w:val="00784AEF"/>
    <w:rsid w:val="00784D03"/>
    <w:rsid w:val="00785113"/>
    <w:rsid w:val="0078512E"/>
    <w:rsid w:val="00785200"/>
    <w:rsid w:val="00785295"/>
    <w:rsid w:val="007852B1"/>
    <w:rsid w:val="007853DA"/>
    <w:rsid w:val="007854A6"/>
    <w:rsid w:val="0078562A"/>
    <w:rsid w:val="0078568C"/>
    <w:rsid w:val="007858A0"/>
    <w:rsid w:val="00785916"/>
    <w:rsid w:val="007859A1"/>
    <w:rsid w:val="007859F1"/>
    <w:rsid w:val="0078602E"/>
    <w:rsid w:val="00786128"/>
    <w:rsid w:val="0078634E"/>
    <w:rsid w:val="007867D3"/>
    <w:rsid w:val="0078694B"/>
    <w:rsid w:val="00786950"/>
    <w:rsid w:val="007869F3"/>
    <w:rsid w:val="00786A93"/>
    <w:rsid w:val="00786BA4"/>
    <w:rsid w:val="00786C26"/>
    <w:rsid w:val="00786DC4"/>
    <w:rsid w:val="00786E15"/>
    <w:rsid w:val="00786E54"/>
    <w:rsid w:val="00786EDF"/>
    <w:rsid w:val="00787016"/>
    <w:rsid w:val="00787100"/>
    <w:rsid w:val="00787267"/>
    <w:rsid w:val="007872A7"/>
    <w:rsid w:val="007872CD"/>
    <w:rsid w:val="007872EA"/>
    <w:rsid w:val="007874FE"/>
    <w:rsid w:val="007875C5"/>
    <w:rsid w:val="007876AA"/>
    <w:rsid w:val="0078772D"/>
    <w:rsid w:val="00787999"/>
    <w:rsid w:val="0078799C"/>
    <w:rsid w:val="00787C57"/>
    <w:rsid w:val="00787CD5"/>
    <w:rsid w:val="00787D17"/>
    <w:rsid w:val="00787D5E"/>
    <w:rsid w:val="00790029"/>
    <w:rsid w:val="0079010A"/>
    <w:rsid w:val="007901A7"/>
    <w:rsid w:val="007901BC"/>
    <w:rsid w:val="0079047E"/>
    <w:rsid w:val="0079049F"/>
    <w:rsid w:val="00790637"/>
    <w:rsid w:val="00790812"/>
    <w:rsid w:val="00790845"/>
    <w:rsid w:val="00790BAC"/>
    <w:rsid w:val="00790BB3"/>
    <w:rsid w:val="00790C67"/>
    <w:rsid w:val="00790CB4"/>
    <w:rsid w:val="00790E9F"/>
    <w:rsid w:val="00790EE3"/>
    <w:rsid w:val="00790EE8"/>
    <w:rsid w:val="00790EEC"/>
    <w:rsid w:val="00790F8D"/>
    <w:rsid w:val="0079106A"/>
    <w:rsid w:val="00791158"/>
    <w:rsid w:val="007911AD"/>
    <w:rsid w:val="007911B0"/>
    <w:rsid w:val="007912AE"/>
    <w:rsid w:val="007912FC"/>
    <w:rsid w:val="00791369"/>
    <w:rsid w:val="00791425"/>
    <w:rsid w:val="00791456"/>
    <w:rsid w:val="00791475"/>
    <w:rsid w:val="0079164C"/>
    <w:rsid w:val="00791812"/>
    <w:rsid w:val="0079191B"/>
    <w:rsid w:val="00791A30"/>
    <w:rsid w:val="00791B3F"/>
    <w:rsid w:val="00791B62"/>
    <w:rsid w:val="00791BDC"/>
    <w:rsid w:val="00791DB5"/>
    <w:rsid w:val="00791DD2"/>
    <w:rsid w:val="00791E5D"/>
    <w:rsid w:val="00791EA8"/>
    <w:rsid w:val="00791FD3"/>
    <w:rsid w:val="00792063"/>
    <w:rsid w:val="00792119"/>
    <w:rsid w:val="007921BE"/>
    <w:rsid w:val="0079234C"/>
    <w:rsid w:val="007926A2"/>
    <w:rsid w:val="00792785"/>
    <w:rsid w:val="007927BD"/>
    <w:rsid w:val="007928DD"/>
    <w:rsid w:val="00792A04"/>
    <w:rsid w:val="00792A09"/>
    <w:rsid w:val="00792B12"/>
    <w:rsid w:val="00792BCE"/>
    <w:rsid w:val="00792E0E"/>
    <w:rsid w:val="00792E9A"/>
    <w:rsid w:val="00792ED9"/>
    <w:rsid w:val="00792F62"/>
    <w:rsid w:val="00792F93"/>
    <w:rsid w:val="00793098"/>
    <w:rsid w:val="00793238"/>
    <w:rsid w:val="00793563"/>
    <w:rsid w:val="007937D0"/>
    <w:rsid w:val="007938B4"/>
    <w:rsid w:val="00793977"/>
    <w:rsid w:val="007939D3"/>
    <w:rsid w:val="00793B21"/>
    <w:rsid w:val="00793B5B"/>
    <w:rsid w:val="00793C20"/>
    <w:rsid w:val="00793D33"/>
    <w:rsid w:val="00793D95"/>
    <w:rsid w:val="00793DAC"/>
    <w:rsid w:val="007940F1"/>
    <w:rsid w:val="0079433B"/>
    <w:rsid w:val="00794524"/>
    <w:rsid w:val="0079453E"/>
    <w:rsid w:val="007945A7"/>
    <w:rsid w:val="0079485C"/>
    <w:rsid w:val="0079490E"/>
    <w:rsid w:val="00794961"/>
    <w:rsid w:val="00794A4D"/>
    <w:rsid w:val="00794A87"/>
    <w:rsid w:val="00794F79"/>
    <w:rsid w:val="00794FBD"/>
    <w:rsid w:val="0079506D"/>
    <w:rsid w:val="007951AA"/>
    <w:rsid w:val="007951BA"/>
    <w:rsid w:val="0079521F"/>
    <w:rsid w:val="0079537C"/>
    <w:rsid w:val="00795415"/>
    <w:rsid w:val="007955CC"/>
    <w:rsid w:val="007956BB"/>
    <w:rsid w:val="0079570D"/>
    <w:rsid w:val="00795724"/>
    <w:rsid w:val="00795778"/>
    <w:rsid w:val="007957B3"/>
    <w:rsid w:val="00795916"/>
    <w:rsid w:val="00795CB4"/>
    <w:rsid w:val="00795CFA"/>
    <w:rsid w:val="00795DED"/>
    <w:rsid w:val="00795E93"/>
    <w:rsid w:val="00795FE1"/>
    <w:rsid w:val="0079612A"/>
    <w:rsid w:val="0079627D"/>
    <w:rsid w:val="007963B1"/>
    <w:rsid w:val="007963F2"/>
    <w:rsid w:val="0079658E"/>
    <w:rsid w:val="0079677D"/>
    <w:rsid w:val="007968B8"/>
    <w:rsid w:val="007968C1"/>
    <w:rsid w:val="007968DD"/>
    <w:rsid w:val="00796944"/>
    <w:rsid w:val="007969E1"/>
    <w:rsid w:val="00796A02"/>
    <w:rsid w:val="00796A3E"/>
    <w:rsid w:val="00796A76"/>
    <w:rsid w:val="00796C1C"/>
    <w:rsid w:val="00796C20"/>
    <w:rsid w:val="00796D63"/>
    <w:rsid w:val="00796E7E"/>
    <w:rsid w:val="00796FE0"/>
    <w:rsid w:val="00797151"/>
    <w:rsid w:val="00797265"/>
    <w:rsid w:val="007972D8"/>
    <w:rsid w:val="00797368"/>
    <w:rsid w:val="0079744A"/>
    <w:rsid w:val="0079748E"/>
    <w:rsid w:val="007975C6"/>
    <w:rsid w:val="007975E1"/>
    <w:rsid w:val="007976A9"/>
    <w:rsid w:val="007976AF"/>
    <w:rsid w:val="007978D4"/>
    <w:rsid w:val="00797C52"/>
    <w:rsid w:val="00797DF0"/>
    <w:rsid w:val="00797EB9"/>
    <w:rsid w:val="007A00E2"/>
    <w:rsid w:val="007A0388"/>
    <w:rsid w:val="007A056B"/>
    <w:rsid w:val="007A0746"/>
    <w:rsid w:val="007A08BB"/>
    <w:rsid w:val="007A08CD"/>
    <w:rsid w:val="007A09B2"/>
    <w:rsid w:val="007A0A3B"/>
    <w:rsid w:val="007A0A80"/>
    <w:rsid w:val="007A0A95"/>
    <w:rsid w:val="007A0AE0"/>
    <w:rsid w:val="007A0C56"/>
    <w:rsid w:val="007A0C89"/>
    <w:rsid w:val="007A0CF0"/>
    <w:rsid w:val="007A0DB0"/>
    <w:rsid w:val="007A0FCE"/>
    <w:rsid w:val="007A1365"/>
    <w:rsid w:val="007A13F0"/>
    <w:rsid w:val="007A147F"/>
    <w:rsid w:val="007A157D"/>
    <w:rsid w:val="007A163E"/>
    <w:rsid w:val="007A170D"/>
    <w:rsid w:val="007A1779"/>
    <w:rsid w:val="007A17DE"/>
    <w:rsid w:val="007A183A"/>
    <w:rsid w:val="007A1854"/>
    <w:rsid w:val="007A19C9"/>
    <w:rsid w:val="007A1B0B"/>
    <w:rsid w:val="007A1B19"/>
    <w:rsid w:val="007A1BB5"/>
    <w:rsid w:val="007A1C45"/>
    <w:rsid w:val="007A1D4C"/>
    <w:rsid w:val="007A1E52"/>
    <w:rsid w:val="007A2221"/>
    <w:rsid w:val="007A22F1"/>
    <w:rsid w:val="007A2370"/>
    <w:rsid w:val="007A23F5"/>
    <w:rsid w:val="007A2426"/>
    <w:rsid w:val="007A24A1"/>
    <w:rsid w:val="007A24A2"/>
    <w:rsid w:val="007A27A1"/>
    <w:rsid w:val="007A27FB"/>
    <w:rsid w:val="007A2845"/>
    <w:rsid w:val="007A29A8"/>
    <w:rsid w:val="007A29BA"/>
    <w:rsid w:val="007A2ADD"/>
    <w:rsid w:val="007A2B28"/>
    <w:rsid w:val="007A2ECB"/>
    <w:rsid w:val="007A301F"/>
    <w:rsid w:val="007A3110"/>
    <w:rsid w:val="007A3165"/>
    <w:rsid w:val="007A35DC"/>
    <w:rsid w:val="007A36ED"/>
    <w:rsid w:val="007A3720"/>
    <w:rsid w:val="007A37B0"/>
    <w:rsid w:val="007A37E8"/>
    <w:rsid w:val="007A380E"/>
    <w:rsid w:val="007A389F"/>
    <w:rsid w:val="007A3915"/>
    <w:rsid w:val="007A39F6"/>
    <w:rsid w:val="007A3ABC"/>
    <w:rsid w:val="007A3B25"/>
    <w:rsid w:val="007A3C5D"/>
    <w:rsid w:val="007A3CC1"/>
    <w:rsid w:val="007A3D93"/>
    <w:rsid w:val="007A3F64"/>
    <w:rsid w:val="007A424A"/>
    <w:rsid w:val="007A425D"/>
    <w:rsid w:val="007A427D"/>
    <w:rsid w:val="007A4294"/>
    <w:rsid w:val="007A42B4"/>
    <w:rsid w:val="007A44A7"/>
    <w:rsid w:val="007A45D8"/>
    <w:rsid w:val="007A486F"/>
    <w:rsid w:val="007A4C3C"/>
    <w:rsid w:val="007A4F2D"/>
    <w:rsid w:val="007A5023"/>
    <w:rsid w:val="007A503A"/>
    <w:rsid w:val="007A51EE"/>
    <w:rsid w:val="007A526A"/>
    <w:rsid w:val="007A5345"/>
    <w:rsid w:val="007A539C"/>
    <w:rsid w:val="007A53C0"/>
    <w:rsid w:val="007A54AF"/>
    <w:rsid w:val="007A55F0"/>
    <w:rsid w:val="007A5656"/>
    <w:rsid w:val="007A573B"/>
    <w:rsid w:val="007A57CC"/>
    <w:rsid w:val="007A5854"/>
    <w:rsid w:val="007A58E5"/>
    <w:rsid w:val="007A5BC3"/>
    <w:rsid w:val="007A5C79"/>
    <w:rsid w:val="007A5C7B"/>
    <w:rsid w:val="007A5D1F"/>
    <w:rsid w:val="007A5E5B"/>
    <w:rsid w:val="007A5F76"/>
    <w:rsid w:val="007A5FCE"/>
    <w:rsid w:val="007A6065"/>
    <w:rsid w:val="007A60CC"/>
    <w:rsid w:val="007A623B"/>
    <w:rsid w:val="007A6312"/>
    <w:rsid w:val="007A6389"/>
    <w:rsid w:val="007A671A"/>
    <w:rsid w:val="007A68E2"/>
    <w:rsid w:val="007A6AAE"/>
    <w:rsid w:val="007A6E80"/>
    <w:rsid w:val="007A6F87"/>
    <w:rsid w:val="007A6FA1"/>
    <w:rsid w:val="007A7086"/>
    <w:rsid w:val="007A733D"/>
    <w:rsid w:val="007A74C9"/>
    <w:rsid w:val="007A7637"/>
    <w:rsid w:val="007A76A0"/>
    <w:rsid w:val="007A76FD"/>
    <w:rsid w:val="007A78A3"/>
    <w:rsid w:val="007A7C35"/>
    <w:rsid w:val="007A7E0F"/>
    <w:rsid w:val="007A7E84"/>
    <w:rsid w:val="007A7F6F"/>
    <w:rsid w:val="007A7FA5"/>
    <w:rsid w:val="007B00CC"/>
    <w:rsid w:val="007B012A"/>
    <w:rsid w:val="007B015C"/>
    <w:rsid w:val="007B048F"/>
    <w:rsid w:val="007B0591"/>
    <w:rsid w:val="007B05D1"/>
    <w:rsid w:val="007B05FE"/>
    <w:rsid w:val="007B06E6"/>
    <w:rsid w:val="007B0947"/>
    <w:rsid w:val="007B096E"/>
    <w:rsid w:val="007B099B"/>
    <w:rsid w:val="007B0A74"/>
    <w:rsid w:val="007B0AA3"/>
    <w:rsid w:val="007B0BB4"/>
    <w:rsid w:val="007B0C49"/>
    <w:rsid w:val="007B0CDD"/>
    <w:rsid w:val="007B0D93"/>
    <w:rsid w:val="007B0EF9"/>
    <w:rsid w:val="007B0FA2"/>
    <w:rsid w:val="007B0FED"/>
    <w:rsid w:val="007B1144"/>
    <w:rsid w:val="007B1207"/>
    <w:rsid w:val="007B1226"/>
    <w:rsid w:val="007B1242"/>
    <w:rsid w:val="007B1266"/>
    <w:rsid w:val="007B146D"/>
    <w:rsid w:val="007B14AF"/>
    <w:rsid w:val="007B14ED"/>
    <w:rsid w:val="007B1536"/>
    <w:rsid w:val="007B177D"/>
    <w:rsid w:val="007B17E0"/>
    <w:rsid w:val="007B18E3"/>
    <w:rsid w:val="007B1B8A"/>
    <w:rsid w:val="007B1C53"/>
    <w:rsid w:val="007B1EBC"/>
    <w:rsid w:val="007B2075"/>
    <w:rsid w:val="007B2132"/>
    <w:rsid w:val="007B216B"/>
    <w:rsid w:val="007B2347"/>
    <w:rsid w:val="007B23F2"/>
    <w:rsid w:val="007B2411"/>
    <w:rsid w:val="007B243E"/>
    <w:rsid w:val="007B2579"/>
    <w:rsid w:val="007B2642"/>
    <w:rsid w:val="007B2704"/>
    <w:rsid w:val="007B27A9"/>
    <w:rsid w:val="007B2873"/>
    <w:rsid w:val="007B28A6"/>
    <w:rsid w:val="007B29EA"/>
    <w:rsid w:val="007B2C1A"/>
    <w:rsid w:val="007B2EEF"/>
    <w:rsid w:val="007B3282"/>
    <w:rsid w:val="007B33E6"/>
    <w:rsid w:val="007B345A"/>
    <w:rsid w:val="007B34AF"/>
    <w:rsid w:val="007B36BF"/>
    <w:rsid w:val="007B3745"/>
    <w:rsid w:val="007B378C"/>
    <w:rsid w:val="007B38FB"/>
    <w:rsid w:val="007B3A41"/>
    <w:rsid w:val="007B3AD0"/>
    <w:rsid w:val="007B4010"/>
    <w:rsid w:val="007B4016"/>
    <w:rsid w:val="007B4033"/>
    <w:rsid w:val="007B4066"/>
    <w:rsid w:val="007B409D"/>
    <w:rsid w:val="007B41E2"/>
    <w:rsid w:val="007B41EE"/>
    <w:rsid w:val="007B421D"/>
    <w:rsid w:val="007B4227"/>
    <w:rsid w:val="007B4466"/>
    <w:rsid w:val="007B452F"/>
    <w:rsid w:val="007B453E"/>
    <w:rsid w:val="007B46BE"/>
    <w:rsid w:val="007B4700"/>
    <w:rsid w:val="007B4806"/>
    <w:rsid w:val="007B4842"/>
    <w:rsid w:val="007B490B"/>
    <w:rsid w:val="007B4AC8"/>
    <w:rsid w:val="007B4AF6"/>
    <w:rsid w:val="007B4B64"/>
    <w:rsid w:val="007B4E54"/>
    <w:rsid w:val="007B4F4D"/>
    <w:rsid w:val="007B50D3"/>
    <w:rsid w:val="007B50E2"/>
    <w:rsid w:val="007B51DA"/>
    <w:rsid w:val="007B5206"/>
    <w:rsid w:val="007B5522"/>
    <w:rsid w:val="007B566F"/>
    <w:rsid w:val="007B58E2"/>
    <w:rsid w:val="007B5A44"/>
    <w:rsid w:val="007B5B19"/>
    <w:rsid w:val="007B5B3F"/>
    <w:rsid w:val="007B5C0C"/>
    <w:rsid w:val="007B5C92"/>
    <w:rsid w:val="007B5EE5"/>
    <w:rsid w:val="007B621D"/>
    <w:rsid w:val="007B6304"/>
    <w:rsid w:val="007B64C0"/>
    <w:rsid w:val="007B6792"/>
    <w:rsid w:val="007B6859"/>
    <w:rsid w:val="007B6929"/>
    <w:rsid w:val="007B69B4"/>
    <w:rsid w:val="007B6A0E"/>
    <w:rsid w:val="007B6A10"/>
    <w:rsid w:val="007B6B30"/>
    <w:rsid w:val="007B6DA9"/>
    <w:rsid w:val="007B6E23"/>
    <w:rsid w:val="007B6FD2"/>
    <w:rsid w:val="007B711B"/>
    <w:rsid w:val="007B71FC"/>
    <w:rsid w:val="007B735E"/>
    <w:rsid w:val="007B73A5"/>
    <w:rsid w:val="007B74B4"/>
    <w:rsid w:val="007B7556"/>
    <w:rsid w:val="007B7811"/>
    <w:rsid w:val="007B78E5"/>
    <w:rsid w:val="007B7925"/>
    <w:rsid w:val="007B79C2"/>
    <w:rsid w:val="007B7A5D"/>
    <w:rsid w:val="007B7D3A"/>
    <w:rsid w:val="007B7E49"/>
    <w:rsid w:val="007B7F42"/>
    <w:rsid w:val="007C0094"/>
    <w:rsid w:val="007C00AB"/>
    <w:rsid w:val="007C0247"/>
    <w:rsid w:val="007C0397"/>
    <w:rsid w:val="007C0404"/>
    <w:rsid w:val="007C04DC"/>
    <w:rsid w:val="007C05BC"/>
    <w:rsid w:val="007C05F3"/>
    <w:rsid w:val="007C07CC"/>
    <w:rsid w:val="007C09AA"/>
    <w:rsid w:val="007C0A9B"/>
    <w:rsid w:val="007C0A9E"/>
    <w:rsid w:val="007C0B89"/>
    <w:rsid w:val="007C0DE9"/>
    <w:rsid w:val="007C0E22"/>
    <w:rsid w:val="007C0E3A"/>
    <w:rsid w:val="007C10BA"/>
    <w:rsid w:val="007C10C9"/>
    <w:rsid w:val="007C117B"/>
    <w:rsid w:val="007C1185"/>
    <w:rsid w:val="007C11C1"/>
    <w:rsid w:val="007C1367"/>
    <w:rsid w:val="007C146E"/>
    <w:rsid w:val="007C14FD"/>
    <w:rsid w:val="007C1789"/>
    <w:rsid w:val="007C18CE"/>
    <w:rsid w:val="007C18F0"/>
    <w:rsid w:val="007C1C15"/>
    <w:rsid w:val="007C1C90"/>
    <w:rsid w:val="007C1CA0"/>
    <w:rsid w:val="007C1CC9"/>
    <w:rsid w:val="007C1D1A"/>
    <w:rsid w:val="007C1E1E"/>
    <w:rsid w:val="007C1EF1"/>
    <w:rsid w:val="007C20CB"/>
    <w:rsid w:val="007C20DA"/>
    <w:rsid w:val="007C2350"/>
    <w:rsid w:val="007C2386"/>
    <w:rsid w:val="007C248A"/>
    <w:rsid w:val="007C2499"/>
    <w:rsid w:val="007C24A0"/>
    <w:rsid w:val="007C24CC"/>
    <w:rsid w:val="007C2693"/>
    <w:rsid w:val="007C27B0"/>
    <w:rsid w:val="007C2812"/>
    <w:rsid w:val="007C29C5"/>
    <w:rsid w:val="007C2A0C"/>
    <w:rsid w:val="007C2A88"/>
    <w:rsid w:val="007C2B55"/>
    <w:rsid w:val="007C2CC8"/>
    <w:rsid w:val="007C2F34"/>
    <w:rsid w:val="007C2F4A"/>
    <w:rsid w:val="007C300E"/>
    <w:rsid w:val="007C3037"/>
    <w:rsid w:val="007C31C7"/>
    <w:rsid w:val="007C32D2"/>
    <w:rsid w:val="007C333B"/>
    <w:rsid w:val="007C344E"/>
    <w:rsid w:val="007C354F"/>
    <w:rsid w:val="007C38AD"/>
    <w:rsid w:val="007C39C1"/>
    <w:rsid w:val="007C3BA8"/>
    <w:rsid w:val="007C3CB3"/>
    <w:rsid w:val="007C3D6D"/>
    <w:rsid w:val="007C3DAD"/>
    <w:rsid w:val="007C3DD4"/>
    <w:rsid w:val="007C3F61"/>
    <w:rsid w:val="007C3F6D"/>
    <w:rsid w:val="007C3FB7"/>
    <w:rsid w:val="007C40CF"/>
    <w:rsid w:val="007C415F"/>
    <w:rsid w:val="007C42E1"/>
    <w:rsid w:val="007C4404"/>
    <w:rsid w:val="007C44A8"/>
    <w:rsid w:val="007C45FA"/>
    <w:rsid w:val="007C4734"/>
    <w:rsid w:val="007C47D2"/>
    <w:rsid w:val="007C4931"/>
    <w:rsid w:val="007C49AB"/>
    <w:rsid w:val="007C49E1"/>
    <w:rsid w:val="007C4AAF"/>
    <w:rsid w:val="007C4C5C"/>
    <w:rsid w:val="007C4CC1"/>
    <w:rsid w:val="007C4E3E"/>
    <w:rsid w:val="007C5001"/>
    <w:rsid w:val="007C52F9"/>
    <w:rsid w:val="007C5335"/>
    <w:rsid w:val="007C53B4"/>
    <w:rsid w:val="007C53E0"/>
    <w:rsid w:val="007C551D"/>
    <w:rsid w:val="007C5573"/>
    <w:rsid w:val="007C55A7"/>
    <w:rsid w:val="007C5636"/>
    <w:rsid w:val="007C5661"/>
    <w:rsid w:val="007C5679"/>
    <w:rsid w:val="007C56A7"/>
    <w:rsid w:val="007C5710"/>
    <w:rsid w:val="007C5A05"/>
    <w:rsid w:val="007C5A3F"/>
    <w:rsid w:val="007C5A87"/>
    <w:rsid w:val="007C5B20"/>
    <w:rsid w:val="007C5B33"/>
    <w:rsid w:val="007C5CA8"/>
    <w:rsid w:val="007C5D01"/>
    <w:rsid w:val="007C5DE0"/>
    <w:rsid w:val="007C6425"/>
    <w:rsid w:val="007C66B3"/>
    <w:rsid w:val="007C6848"/>
    <w:rsid w:val="007C6945"/>
    <w:rsid w:val="007C6A0B"/>
    <w:rsid w:val="007C6A27"/>
    <w:rsid w:val="007C6CA1"/>
    <w:rsid w:val="007C6CE3"/>
    <w:rsid w:val="007C6E5E"/>
    <w:rsid w:val="007C6FC4"/>
    <w:rsid w:val="007C716A"/>
    <w:rsid w:val="007C73F9"/>
    <w:rsid w:val="007C7446"/>
    <w:rsid w:val="007C75FD"/>
    <w:rsid w:val="007C7734"/>
    <w:rsid w:val="007C7737"/>
    <w:rsid w:val="007C799F"/>
    <w:rsid w:val="007C79D5"/>
    <w:rsid w:val="007C7C9E"/>
    <w:rsid w:val="007C7D04"/>
    <w:rsid w:val="007D0226"/>
    <w:rsid w:val="007D025A"/>
    <w:rsid w:val="007D02D0"/>
    <w:rsid w:val="007D03AA"/>
    <w:rsid w:val="007D059F"/>
    <w:rsid w:val="007D05BD"/>
    <w:rsid w:val="007D0655"/>
    <w:rsid w:val="007D06EB"/>
    <w:rsid w:val="007D078B"/>
    <w:rsid w:val="007D09F1"/>
    <w:rsid w:val="007D0AD8"/>
    <w:rsid w:val="007D0B9B"/>
    <w:rsid w:val="007D0C74"/>
    <w:rsid w:val="007D0C99"/>
    <w:rsid w:val="007D0D8E"/>
    <w:rsid w:val="007D0DC8"/>
    <w:rsid w:val="007D0ECA"/>
    <w:rsid w:val="007D100E"/>
    <w:rsid w:val="007D1014"/>
    <w:rsid w:val="007D105F"/>
    <w:rsid w:val="007D10A4"/>
    <w:rsid w:val="007D11F8"/>
    <w:rsid w:val="007D14A1"/>
    <w:rsid w:val="007D151A"/>
    <w:rsid w:val="007D16D8"/>
    <w:rsid w:val="007D181D"/>
    <w:rsid w:val="007D18F8"/>
    <w:rsid w:val="007D191A"/>
    <w:rsid w:val="007D19A5"/>
    <w:rsid w:val="007D1A04"/>
    <w:rsid w:val="007D1A1C"/>
    <w:rsid w:val="007D1A59"/>
    <w:rsid w:val="007D1C64"/>
    <w:rsid w:val="007D1C7A"/>
    <w:rsid w:val="007D1C82"/>
    <w:rsid w:val="007D1CD9"/>
    <w:rsid w:val="007D1D4F"/>
    <w:rsid w:val="007D1D5D"/>
    <w:rsid w:val="007D1EA5"/>
    <w:rsid w:val="007D2251"/>
    <w:rsid w:val="007D227B"/>
    <w:rsid w:val="007D2343"/>
    <w:rsid w:val="007D23CD"/>
    <w:rsid w:val="007D2516"/>
    <w:rsid w:val="007D256A"/>
    <w:rsid w:val="007D2581"/>
    <w:rsid w:val="007D26F2"/>
    <w:rsid w:val="007D2734"/>
    <w:rsid w:val="007D27DE"/>
    <w:rsid w:val="007D28A0"/>
    <w:rsid w:val="007D28FA"/>
    <w:rsid w:val="007D2A6A"/>
    <w:rsid w:val="007D2D2E"/>
    <w:rsid w:val="007D2D68"/>
    <w:rsid w:val="007D2E40"/>
    <w:rsid w:val="007D2FE7"/>
    <w:rsid w:val="007D3128"/>
    <w:rsid w:val="007D315F"/>
    <w:rsid w:val="007D318E"/>
    <w:rsid w:val="007D34B1"/>
    <w:rsid w:val="007D34F7"/>
    <w:rsid w:val="007D3619"/>
    <w:rsid w:val="007D369E"/>
    <w:rsid w:val="007D3728"/>
    <w:rsid w:val="007D3903"/>
    <w:rsid w:val="007D3A08"/>
    <w:rsid w:val="007D3A6A"/>
    <w:rsid w:val="007D3A87"/>
    <w:rsid w:val="007D3BD8"/>
    <w:rsid w:val="007D3C6C"/>
    <w:rsid w:val="007D3CAC"/>
    <w:rsid w:val="007D3F14"/>
    <w:rsid w:val="007D3F20"/>
    <w:rsid w:val="007D3F25"/>
    <w:rsid w:val="007D40A4"/>
    <w:rsid w:val="007D43F7"/>
    <w:rsid w:val="007D4562"/>
    <w:rsid w:val="007D4B59"/>
    <w:rsid w:val="007D4D79"/>
    <w:rsid w:val="007D4D8F"/>
    <w:rsid w:val="007D4DBB"/>
    <w:rsid w:val="007D4E7E"/>
    <w:rsid w:val="007D4E96"/>
    <w:rsid w:val="007D4ECA"/>
    <w:rsid w:val="007D5059"/>
    <w:rsid w:val="007D50D1"/>
    <w:rsid w:val="007D52D2"/>
    <w:rsid w:val="007D537D"/>
    <w:rsid w:val="007D53A7"/>
    <w:rsid w:val="007D54E5"/>
    <w:rsid w:val="007D5530"/>
    <w:rsid w:val="007D55C9"/>
    <w:rsid w:val="007D563F"/>
    <w:rsid w:val="007D568C"/>
    <w:rsid w:val="007D56CF"/>
    <w:rsid w:val="007D56FC"/>
    <w:rsid w:val="007D57F6"/>
    <w:rsid w:val="007D583B"/>
    <w:rsid w:val="007D5867"/>
    <w:rsid w:val="007D5A14"/>
    <w:rsid w:val="007D5B51"/>
    <w:rsid w:val="007D5BAE"/>
    <w:rsid w:val="007D5BF4"/>
    <w:rsid w:val="007D5E00"/>
    <w:rsid w:val="007D5E17"/>
    <w:rsid w:val="007D5E76"/>
    <w:rsid w:val="007D5E85"/>
    <w:rsid w:val="007D616B"/>
    <w:rsid w:val="007D6193"/>
    <w:rsid w:val="007D6223"/>
    <w:rsid w:val="007D6344"/>
    <w:rsid w:val="007D651B"/>
    <w:rsid w:val="007D68E0"/>
    <w:rsid w:val="007D6AA9"/>
    <w:rsid w:val="007D6BC6"/>
    <w:rsid w:val="007D6C76"/>
    <w:rsid w:val="007D6CCC"/>
    <w:rsid w:val="007D7011"/>
    <w:rsid w:val="007D7050"/>
    <w:rsid w:val="007D70CC"/>
    <w:rsid w:val="007D70D7"/>
    <w:rsid w:val="007D71E1"/>
    <w:rsid w:val="007D729D"/>
    <w:rsid w:val="007D7367"/>
    <w:rsid w:val="007D7418"/>
    <w:rsid w:val="007D74E0"/>
    <w:rsid w:val="007D7575"/>
    <w:rsid w:val="007D75E9"/>
    <w:rsid w:val="007D760B"/>
    <w:rsid w:val="007D7701"/>
    <w:rsid w:val="007D7D59"/>
    <w:rsid w:val="007D7D65"/>
    <w:rsid w:val="007D7F47"/>
    <w:rsid w:val="007D7FB5"/>
    <w:rsid w:val="007D7FBE"/>
    <w:rsid w:val="007E0010"/>
    <w:rsid w:val="007E00E7"/>
    <w:rsid w:val="007E03E8"/>
    <w:rsid w:val="007E04CA"/>
    <w:rsid w:val="007E052F"/>
    <w:rsid w:val="007E053D"/>
    <w:rsid w:val="007E0589"/>
    <w:rsid w:val="007E064A"/>
    <w:rsid w:val="007E0884"/>
    <w:rsid w:val="007E0A02"/>
    <w:rsid w:val="007E0A3A"/>
    <w:rsid w:val="007E0A53"/>
    <w:rsid w:val="007E0B2D"/>
    <w:rsid w:val="007E0C53"/>
    <w:rsid w:val="007E0D63"/>
    <w:rsid w:val="007E109C"/>
    <w:rsid w:val="007E11BC"/>
    <w:rsid w:val="007E12A7"/>
    <w:rsid w:val="007E12F2"/>
    <w:rsid w:val="007E133E"/>
    <w:rsid w:val="007E13C6"/>
    <w:rsid w:val="007E1641"/>
    <w:rsid w:val="007E1653"/>
    <w:rsid w:val="007E1668"/>
    <w:rsid w:val="007E181E"/>
    <w:rsid w:val="007E18A9"/>
    <w:rsid w:val="007E18E1"/>
    <w:rsid w:val="007E1ADD"/>
    <w:rsid w:val="007E1D5A"/>
    <w:rsid w:val="007E1EA0"/>
    <w:rsid w:val="007E20B1"/>
    <w:rsid w:val="007E255E"/>
    <w:rsid w:val="007E25D8"/>
    <w:rsid w:val="007E2616"/>
    <w:rsid w:val="007E2763"/>
    <w:rsid w:val="007E276B"/>
    <w:rsid w:val="007E27A1"/>
    <w:rsid w:val="007E27BB"/>
    <w:rsid w:val="007E27D9"/>
    <w:rsid w:val="007E2851"/>
    <w:rsid w:val="007E285E"/>
    <w:rsid w:val="007E28DE"/>
    <w:rsid w:val="007E2905"/>
    <w:rsid w:val="007E2B49"/>
    <w:rsid w:val="007E2BD4"/>
    <w:rsid w:val="007E2CE5"/>
    <w:rsid w:val="007E2E3D"/>
    <w:rsid w:val="007E2E74"/>
    <w:rsid w:val="007E3042"/>
    <w:rsid w:val="007E3252"/>
    <w:rsid w:val="007E3310"/>
    <w:rsid w:val="007E35B1"/>
    <w:rsid w:val="007E369B"/>
    <w:rsid w:val="007E3865"/>
    <w:rsid w:val="007E3872"/>
    <w:rsid w:val="007E39AF"/>
    <w:rsid w:val="007E3BF9"/>
    <w:rsid w:val="007E3C34"/>
    <w:rsid w:val="007E3C54"/>
    <w:rsid w:val="007E3CDC"/>
    <w:rsid w:val="007E3DB7"/>
    <w:rsid w:val="007E3F6F"/>
    <w:rsid w:val="007E4142"/>
    <w:rsid w:val="007E427D"/>
    <w:rsid w:val="007E42A1"/>
    <w:rsid w:val="007E4368"/>
    <w:rsid w:val="007E4387"/>
    <w:rsid w:val="007E4414"/>
    <w:rsid w:val="007E4415"/>
    <w:rsid w:val="007E47E7"/>
    <w:rsid w:val="007E494D"/>
    <w:rsid w:val="007E4A78"/>
    <w:rsid w:val="007E4A93"/>
    <w:rsid w:val="007E4ABE"/>
    <w:rsid w:val="007E4AE6"/>
    <w:rsid w:val="007E4B09"/>
    <w:rsid w:val="007E4DBE"/>
    <w:rsid w:val="007E4E96"/>
    <w:rsid w:val="007E4EE8"/>
    <w:rsid w:val="007E4F70"/>
    <w:rsid w:val="007E512E"/>
    <w:rsid w:val="007E51E9"/>
    <w:rsid w:val="007E5218"/>
    <w:rsid w:val="007E5321"/>
    <w:rsid w:val="007E55B9"/>
    <w:rsid w:val="007E5615"/>
    <w:rsid w:val="007E56DF"/>
    <w:rsid w:val="007E572F"/>
    <w:rsid w:val="007E574D"/>
    <w:rsid w:val="007E57D0"/>
    <w:rsid w:val="007E5816"/>
    <w:rsid w:val="007E592B"/>
    <w:rsid w:val="007E593E"/>
    <w:rsid w:val="007E59FA"/>
    <w:rsid w:val="007E5B46"/>
    <w:rsid w:val="007E5B8A"/>
    <w:rsid w:val="007E5BB7"/>
    <w:rsid w:val="007E5BBD"/>
    <w:rsid w:val="007E5BFD"/>
    <w:rsid w:val="007E5CE5"/>
    <w:rsid w:val="007E5D56"/>
    <w:rsid w:val="007E5D66"/>
    <w:rsid w:val="007E5F80"/>
    <w:rsid w:val="007E5F89"/>
    <w:rsid w:val="007E613C"/>
    <w:rsid w:val="007E63B0"/>
    <w:rsid w:val="007E65A1"/>
    <w:rsid w:val="007E65AA"/>
    <w:rsid w:val="007E6790"/>
    <w:rsid w:val="007E691D"/>
    <w:rsid w:val="007E69FC"/>
    <w:rsid w:val="007E6A84"/>
    <w:rsid w:val="007E6FCE"/>
    <w:rsid w:val="007E7151"/>
    <w:rsid w:val="007E72E0"/>
    <w:rsid w:val="007E730E"/>
    <w:rsid w:val="007E7373"/>
    <w:rsid w:val="007E742E"/>
    <w:rsid w:val="007E7522"/>
    <w:rsid w:val="007E773D"/>
    <w:rsid w:val="007E78FD"/>
    <w:rsid w:val="007E7915"/>
    <w:rsid w:val="007E7A4A"/>
    <w:rsid w:val="007E7C3E"/>
    <w:rsid w:val="007E7DD9"/>
    <w:rsid w:val="007E7E9E"/>
    <w:rsid w:val="007E7F72"/>
    <w:rsid w:val="007F0030"/>
    <w:rsid w:val="007F00A4"/>
    <w:rsid w:val="007F018D"/>
    <w:rsid w:val="007F01CF"/>
    <w:rsid w:val="007F0241"/>
    <w:rsid w:val="007F025D"/>
    <w:rsid w:val="007F0300"/>
    <w:rsid w:val="007F030B"/>
    <w:rsid w:val="007F0445"/>
    <w:rsid w:val="007F0454"/>
    <w:rsid w:val="007F0488"/>
    <w:rsid w:val="007F04BF"/>
    <w:rsid w:val="007F05A8"/>
    <w:rsid w:val="007F05B0"/>
    <w:rsid w:val="007F05FB"/>
    <w:rsid w:val="007F05FE"/>
    <w:rsid w:val="007F0742"/>
    <w:rsid w:val="007F0833"/>
    <w:rsid w:val="007F096F"/>
    <w:rsid w:val="007F0ABE"/>
    <w:rsid w:val="007F0D29"/>
    <w:rsid w:val="007F0D8C"/>
    <w:rsid w:val="007F0EC5"/>
    <w:rsid w:val="007F0EE3"/>
    <w:rsid w:val="007F0FB6"/>
    <w:rsid w:val="007F101A"/>
    <w:rsid w:val="007F102C"/>
    <w:rsid w:val="007F1069"/>
    <w:rsid w:val="007F1184"/>
    <w:rsid w:val="007F1348"/>
    <w:rsid w:val="007F138B"/>
    <w:rsid w:val="007F138C"/>
    <w:rsid w:val="007F13CF"/>
    <w:rsid w:val="007F13D8"/>
    <w:rsid w:val="007F1495"/>
    <w:rsid w:val="007F14B2"/>
    <w:rsid w:val="007F14CC"/>
    <w:rsid w:val="007F15F3"/>
    <w:rsid w:val="007F17AF"/>
    <w:rsid w:val="007F1851"/>
    <w:rsid w:val="007F18CD"/>
    <w:rsid w:val="007F191A"/>
    <w:rsid w:val="007F1A27"/>
    <w:rsid w:val="007F1EE9"/>
    <w:rsid w:val="007F2143"/>
    <w:rsid w:val="007F21D6"/>
    <w:rsid w:val="007F241B"/>
    <w:rsid w:val="007F24B5"/>
    <w:rsid w:val="007F2897"/>
    <w:rsid w:val="007F28BC"/>
    <w:rsid w:val="007F2910"/>
    <w:rsid w:val="007F29C9"/>
    <w:rsid w:val="007F2A01"/>
    <w:rsid w:val="007F2A37"/>
    <w:rsid w:val="007F2B01"/>
    <w:rsid w:val="007F2B8A"/>
    <w:rsid w:val="007F2E88"/>
    <w:rsid w:val="007F2FDD"/>
    <w:rsid w:val="007F306F"/>
    <w:rsid w:val="007F30A5"/>
    <w:rsid w:val="007F31E1"/>
    <w:rsid w:val="007F32AF"/>
    <w:rsid w:val="007F3374"/>
    <w:rsid w:val="007F3738"/>
    <w:rsid w:val="007F3850"/>
    <w:rsid w:val="007F3893"/>
    <w:rsid w:val="007F39A5"/>
    <w:rsid w:val="007F3A61"/>
    <w:rsid w:val="007F3A67"/>
    <w:rsid w:val="007F3B8C"/>
    <w:rsid w:val="007F3BB9"/>
    <w:rsid w:val="007F3C32"/>
    <w:rsid w:val="007F3CEF"/>
    <w:rsid w:val="007F3D9A"/>
    <w:rsid w:val="007F3E15"/>
    <w:rsid w:val="007F3FE9"/>
    <w:rsid w:val="007F4101"/>
    <w:rsid w:val="007F4294"/>
    <w:rsid w:val="007F42DD"/>
    <w:rsid w:val="007F439D"/>
    <w:rsid w:val="007F4454"/>
    <w:rsid w:val="007F46CC"/>
    <w:rsid w:val="007F4838"/>
    <w:rsid w:val="007F4A73"/>
    <w:rsid w:val="007F4D22"/>
    <w:rsid w:val="007F4E8E"/>
    <w:rsid w:val="007F50CC"/>
    <w:rsid w:val="007F5102"/>
    <w:rsid w:val="007F52AB"/>
    <w:rsid w:val="007F531F"/>
    <w:rsid w:val="007F54ED"/>
    <w:rsid w:val="007F5505"/>
    <w:rsid w:val="007F56E8"/>
    <w:rsid w:val="007F5781"/>
    <w:rsid w:val="007F579E"/>
    <w:rsid w:val="007F585E"/>
    <w:rsid w:val="007F5C38"/>
    <w:rsid w:val="007F5CB6"/>
    <w:rsid w:val="007F5CFE"/>
    <w:rsid w:val="007F5EDD"/>
    <w:rsid w:val="007F5F03"/>
    <w:rsid w:val="007F5F57"/>
    <w:rsid w:val="007F60E9"/>
    <w:rsid w:val="007F610C"/>
    <w:rsid w:val="007F6119"/>
    <w:rsid w:val="007F61B3"/>
    <w:rsid w:val="007F654B"/>
    <w:rsid w:val="007F65AF"/>
    <w:rsid w:val="007F65C2"/>
    <w:rsid w:val="007F66A0"/>
    <w:rsid w:val="007F6709"/>
    <w:rsid w:val="007F6775"/>
    <w:rsid w:val="007F6794"/>
    <w:rsid w:val="007F6A02"/>
    <w:rsid w:val="007F6A06"/>
    <w:rsid w:val="007F6A36"/>
    <w:rsid w:val="007F6ADD"/>
    <w:rsid w:val="007F6B43"/>
    <w:rsid w:val="007F6BAC"/>
    <w:rsid w:val="007F6C0F"/>
    <w:rsid w:val="007F6C26"/>
    <w:rsid w:val="007F6CBF"/>
    <w:rsid w:val="007F6D97"/>
    <w:rsid w:val="007F6DA2"/>
    <w:rsid w:val="007F6E2B"/>
    <w:rsid w:val="007F6FC7"/>
    <w:rsid w:val="007F71F3"/>
    <w:rsid w:val="007F721A"/>
    <w:rsid w:val="007F7305"/>
    <w:rsid w:val="007F73A3"/>
    <w:rsid w:val="007F76F7"/>
    <w:rsid w:val="007F78A8"/>
    <w:rsid w:val="007F78AC"/>
    <w:rsid w:val="007F7982"/>
    <w:rsid w:val="007F7A54"/>
    <w:rsid w:val="007F7A63"/>
    <w:rsid w:val="007F7B10"/>
    <w:rsid w:val="007F7BA4"/>
    <w:rsid w:val="007F7BBD"/>
    <w:rsid w:val="007F7BEA"/>
    <w:rsid w:val="007F7CC5"/>
    <w:rsid w:val="007F7D14"/>
    <w:rsid w:val="007F7E17"/>
    <w:rsid w:val="007F7F24"/>
    <w:rsid w:val="007F7F78"/>
    <w:rsid w:val="007F7FCD"/>
    <w:rsid w:val="00800039"/>
    <w:rsid w:val="00800335"/>
    <w:rsid w:val="00800349"/>
    <w:rsid w:val="008004AE"/>
    <w:rsid w:val="00800586"/>
    <w:rsid w:val="00800654"/>
    <w:rsid w:val="0080070A"/>
    <w:rsid w:val="00800D5A"/>
    <w:rsid w:val="00800DB7"/>
    <w:rsid w:val="00800DE8"/>
    <w:rsid w:val="00800FC6"/>
    <w:rsid w:val="00800FC9"/>
    <w:rsid w:val="008010F2"/>
    <w:rsid w:val="00801173"/>
    <w:rsid w:val="008013DD"/>
    <w:rsid w:val="008013F4"/>
    <w:rsid w:val="00801488"/>
    <w:rsid w:val="008015DF"/>
    <w:rsid w:val="00801648"/>
    <w:rsid w:val="00801657"/>
    <w:rsid w:val="0080177B"/>
    <w:rsid w:val="008018CE"/>
    <w:rsid w:val="008019EF"/>
    <w:rsid w:val="00801AEB"/>
    <w:rsid w:val="00801D1D"/>
    <w:rsid w:val="00801D7A"/>
    <w:rsid w:val="00801E7C"/>
    <w:rsid w:val="008021DD"/>
    <w:rsid w:val="0080246E"/>
    <w:rsid w:val="008024CE"/>
    <w:rsid w:val="0080261D"/>
    <w:rsid w:val="0080285F"/>
    <w:rsid w:val="0080290F"/>
    <w:rsid w:val="00802B15"/>
    <w:rsid w:val="00802BE1"/>
    <w:rsid w:val="00802C0D"/>
    <w:rsid w:val="00802C6B"/>
    <w:rsid w:val="00802CC1"/>
    <w:rsid w:val="00802D36"/>
    <w:rsid w:val="00802EE2"/>
    <w:rsid w:val="00802F1D"/>
    <w:rsid w:val="00802FC7"/>
    <w:rsid w:val="0080310E"/>
    <w:rsid w:val="00803141"/>
    <w:rsid w:val="008031F7"/>
    <w:rsid w:val="0080337D"/>
    <w:rsid w:val="00803394"/>
    <w:rsid w:val="008033D8"/>
    <w:rsid w:val="00803503"/>
    <w:rsid w:val="00803572"/>
    <w:rsid w:val="008035FB"/>
    <w:rsid w:val="00803827"/>
    <w:rsid w:val="00803846"/>
    <w:rsid w:val="00803862"/>
    <w:rsid w:val="008038DB"/>
    <w:rsid w:val="00803931"/>
    <w:rsid w:val="00803974"/>
    <w:rsid w:val="00803A93"/>
    <w:rsid w:val="00803AA1"/>
    <w:rsid w:val="00803EC1"/>
    <w:rsid w:val="00803EDB"/>
    <w:rsid w:val="00803EF6"/>
    <w:rsid w:val="00803F0F"/>
    <w:rsid w:val="00803F45"/>
    <w:rsid w:val="0080410B"/>
    <w:rsid w:val="00804381"/>
    <w:rsid w:val="008044B0"/>
    <w:rsid w:val="008046F0"/>
    <w:rsid w:val="008047C0"/>
    <w:rsid w:val="00804814"/>
    <w:rsid w:val="0080486C"/>
    <w:rsid w:val="0080486D"/>
    <w:rsid w:val="0080490B"/>
    <w:rsid w:val="00804B7F"/>
    <w:rsid w:val="00804CE1"/>
    <w:rsid w:val="00804DBF"/>
    <w:rsid w:val="00804DFA"/>
    <w:rsid w:val="00804ED6"/>
    <w:rsid w:val="0080505D"/>
    <w:rsid w:val="008050A3"/>
    <w:rsid w:val="008052DE"/>
    <w:rsid w:val="0080554B"/>
    <w:rsid w:val="0080555D"/>
    <w:rsid w:val="0080557C"/>
    <w:rsid w:val="0080560C"/>
    <w:rsid w:val="00805868"/>
    <w:rsid w:val="00805A94"/>
    <w:rsid w:val="00805B90"/>
    <w:rsid w:val="00805BBC"/>
    <w:rsid w:val="00805CC7"/>
    <w:rsid w:val="00805D2C"/>
    <w:rsid w:val="00805DC2"/>
    <w:rsid w:val="00805E11"/>
    <w:rsid w:val="00805E1C"/>
    <w:rsid w:val="00805EB7"/>
    <w:rsid w:val="00805F5D"/>
    <w:rsid w:val="00805FBA"/>
    <w:rsid w:val="008061EF"/>
    <w:rsid w:val="0080631E"/>
    <w:rsid w:val="0080642D"/>
    <w:rsid w:val="008064FC"/>
    <w:rsid w:val="00806561"/>
    <w:rsid w:val="00806727"/>
    <w:rsid w:val="00806A2B"/>
    <w:rsid w:val="00806A58"/>
    <w:rsid w:val="00806A59"/>
    <w:rsid w:val="00806BA9"/>
    <w:rsid w:val="00806CD1"/>
    <w:rsid w:val="00806D37"/>
    <w:rsid w:val="00806E0D"/>
    <w:rsid w:val="00806ED7"/>
    <w:rsid w:val="00807086"/>
    <w:rsid w:val="008071F2"/>
    <w:rsid w:val="008072E2"/>
    <w:rsid w:val="008072F2"/>
    <w:rsid w:val="00807427"/>
    <w:rsid w:val="00807447"/>
    <w:rsid w:val="008074D2"/>
    <w:rsid w:val="008075C8"/>
    <w:rsid w:val="00807648"/>
    <w:rsid w:val="0080767F"/>
    <w:rsid w:val="008076FF"/>
    <w:rsid w:val="00807938"/>
    <w:rsid w:val="0080794D"/>
    <w:rsid w:val="008079D0"/>
    <w:rsid w:val="00807A8D"/>
    <w:rsid w:val="00807AF7"/>
    <w:rsid w:val="00807B82"/>
    <w:rsid w:val="00807ECB"/>
    <w:rsid w:val="00807F89"/>
    <w:rsid w:val="008100D6"/>
    <w:rsid w:val="00810144"/>
    <w:rsid w:val="0081014B"/>
    <w:rsid w:val="0081035E"/>
    <w:rsid w:val="008103A8"/>
    <w:rsid w:val="00810769"/>
    <w:rsid w:val="00810832"/>
    <w:rsid w:val="00810833"/>
    <w:rsid w:val="008109BA"/>
    <w:rsid w:val="00810B56"/>
    <w:rsid w:val="00810BD2"/>
    <w:rsid w:val="00810C32"/>
    <w:rsid w:val="00810D2C"/>
    <w:rsid w:val="00810D66"/>
    <w:rsid w:val="00810DE6"/>
    <w:rsid w:val="00810EC0"/>
    <w:rsid w:val="00810FF0"/>
    <w:rsid w:val="008110B9"/>
    <w:rsid w:val="008110CE"/>
    <w:rsid w:val="008111DB"/>
    <w:rsid w:val="0081128E"/>
    <w:rsid w:val="008114EF"/>
    <w:rsid w:val="00811537"/>
    <w:rsid w:val="008116CA"/>
    <w:rsid w:val="008117CC"/>
    <w:rsid w:val="0081185D"/>
    <w:rsid w:val="0081187C"/>
    <w:rsid w:val="00811A9B"/>
    <w:rsid w:val="00811A9C"/>
    <w:rsid w:val="00811C39"/>
    <w:rsid w:val="00811C79"/>
    <w:rsid w:val="00811E6A"/>
    <w:rsid w:val="00811EE0"/>
    <w:rsid w:val="00811F3F"/>
    <w:rsid w:val="00811FD9"/>
    <w:rsid w:val="008120A5"/>
    <w:rsid w:val="008120B2"/>
    <w:rsid w:val="0081212F"/>
    <w:rsid w:val="00812189"/>
    <w:rsid w:val="00812242"/>
    <w:rsid w:val="008122AE"/>
    <w:rsid w:val="008122D8"/>
    <w:rsid w:val="0081238A"/>
    <w:rsid w:val="00812476"/>
    <w:rsid w:val="0081260C"/>
    <w:rsid w:val="00812697"/>
    <w:rsid w:val="0081274B"/>
    <w:rsid w:val="0081283D"/>
    <w:rsid w:val="00812881"/>
    <w:rsid w:val="00812A4A"/>
    <w:rsid w:val="00812AEF"/>
    <w:rsid w:val="00812C1A"/>
    <w:rsid w:val="00812E45"/>
    <w:rsid w:val="00812E7B"/>
    <w:rsid w:val="00812ED5"/>
    <w:rsid w:val="00812FC7"/>
    <w:rsid w:val="008130DC"/>
    <w:rsid w:val="00813107"/>
    <w:rsid w:val="0081322D"/>
    <w:rsid w:val="00813241"/>
    <w:rsid w:val="008132D0"/>
    <w:rsid w:val="0081336A"/>
    <w:rsid w:val="00813399"/>
    <w:rsid w:val="00813447"/>
    <w:rsid w:val="008135B4"/>
    <w:rsid w:val="00813606"/>
    <w:rsid w:val="0081376C"/>
    <w:rsid w:val="008137DB"/>
    <w:rsid w:val="008138BB"/>
    <w:rsid w:val="00813B91"/>
    <w:rsid w:val="00813C23"/>
    <w:rsid w:val="00813C40"/>
    <w:rsid w:val="00813CE2"/>
    <w:rsid w:val="00813DAD"/>
    <w:rsid w:val="00813E54"/>
    <w:rsid w:val="00813ECE"/>
    <w:rsid w:val="00813F3D"/>
    <w:rsid w:val="00813FD5"/>
    <w:rsid w:val="008142DF"/>
    <w:rsid w:val="00814357"/>
    <w:rsid w:val="00814650"/>
    <w:rsid w:val="00814694"/>
    <w:rsid w:val="008146C6"/>
    <w:rsid w:val="008147DF"/>
    <w:rsid w:val="00814841"/>
    <w:rsid w:val="0081491A"/>
    <w:rsid w:val="00814A5A"/>
    <w:rsid w:val="00814C5A"/>
    <w:rsid w:val="00814DB6"/>
    <w:rsid w:val="00814EF1"/>
    <w:rsid w:val="00814FEB"/>
    <w:rsid w:val="0081500D"/>
    <w:rsid w:val="00815010"/>
    <w:rsid w:val="008154FC"/>
    <w:rsid w:val="008155F0"/>
    <w:rsid w:val="008156F2"/>
    <w:rsid w:val="0081585A"/>
    <w:rsid w:val="00815A47"/>
    <w:rsid w:val="00815AB8"/>
    <w:rsid w:val="00815B92"/>
    <w:rsid w:val="00815BC0"/>
    <w:rsid w:val="00815D1B"/>
    <w:rsid w:val="00815D2F"/>
    <w:rsid w:val="00815D39"/>
    <w:rsid w:val="00815DB0"/>
    <w:rsid w:val="00815DED"/>
    <w:rsid w:val="0081601B"/>
    <w:rsid w:val="00816328"/>
    <w:rsid w:val="00816358"/>
    <w:rsid w:val="00816398"/>
    <w:rsid w:val="00816471"/>
    <w:rsid w:val="008165E1"/>
    <w:rsid w:val="0081688B"/>
    <w:rsid w:val="0081697D"/>
    <w:rsid w:val="00816B24"/>
    <w:rsid w:val="00816B78"/>
    <w:rsid w:val="00816BA4"/>
    <w:rsid w:val="00816DA6"/>
    <w:rsid w:val="00816EEF"/>
    <w:rsid w:val="0081702D"/>
    <w:rsid w:val="0081706B"/>
    <w:rsid w:val="008170F6"/>
    <w:rsid w:val="00817174"/>
    <w:rsid w:val="00817212"/>
    <w:rsid w:val="0081728E"/>
    <w:rsid w:val="008172B5"/>
    <w:rsid w:val="00817355"/>
    <w:rsid w:val="008173A0"/>
    <w:rsid w:val="008173A4"/>
    <w:rsid w:val="008173FC"/>
    <w:rsid w:val="00817476"/>
    <w:rsid w:val="00817592"/>
    <w:rsid w:val="008176A6"/>
    <w:rsid w:val="00817784"/>
    <w:rsid w:val="00817865"/>
    <w:rsid w:val="008178DD"/>
    <w:rsid w:val="00817A98"/>
    <w:rsid w:val="00817CCD"/>
    <w:rsid w:val="00817CE6"/>
    <w:rsid w:val="00817E59"/>
    <w:rsid w:val="00817F0C"/>
    <w:rsid w:val="00817F14"/>
    <w:rsid w:val="0082003D"/>
    <w:rsid w:val="00820096"/>
    <w:rsid w:val="0082013B"/>
    <w:rsid w:val="00820461"/>
    <w:rsid w:val="008204AC"/>
    <w:rsid w:val="008206B5"/>
    <w:rsid w:val="008206C1"/>
    <w:rsid w:val="0082073B"/>
    <w:rsid w:val="008208ED"/>
    <w:rsid w:val="0082091F"/>
    <w:rsid w:val="008209B5"/>
    <w:rsid w:val="008209F1"/>
    <w:rsid w:val="00820A33"/>
    <w:rsid w:val="00820AE6"/>
    <w:rsid w:val="00820B0D"/>
    <w:rsid w:val="00820C97"/>
    <w:rsid w:val="00820CCB"/>
    <w:rsid w:val="00820E1C"/>
    <w:rsid w:val="00820E52"/>
    <w:rsid w:val="00820F84"/>
    <w:rsid w:val="00821063"/>
    <w:rsid w:val="008210E8"/>
    <w:rsid w:val="008210ED"/>
    <w:rsid w:val="00821183"/>
    <w:rsid w:val="0082162B"/>
    <w:rsid w:val="0082163A"/>
    <w:rsid w:val="008216F2"/>
    <w:rsid w:val="0082180C"/>
    <w:rsid w:val="008219F0"/>
    <w:rsid w:val="00821A62"/>
    <w:rsid w:val="00821ABE"/>
    <w:rsid w:val="00821B10"/>
    <w:rsid w:val="00821B97"/>
    <w:rsid w:val="00821C14"/>
    <w:rsid w:val="00821DD4"/>
    <w:rsid w:val="00821F2F"/>
    <w:rsid w:val="00821F44"/>
    <w:rsid w:val="00822023"/>
    <w:rsid w:val="0082218A"/>
    <w:rsid w:val="0082224F"/>
    <w:rsid w:val="00822345"/>
    <w:rsid w:val="00822478"/>
    <w:rsid w:val="008225E5"/>
    <w:rsid w:val="008229CE"/>
    <w:rsid w:val="008229F5"/>
    <w:rsid w:val="00822A7B"/>
    <w:rsid w:val="00822AAB"/>
    <w:rsid w:val="00822ABB"/>
    <w:rsid w:val="00822AF6"/>
    <w:rsid w:val="00822B3C"/>
    <w:rsid w:val="00822C3A"/>
    <w:rsid w:val="00822CA6"/>
    <w:rsid w:val="00822CE8"/>
    <w:rsid w:val="00822D52"/>
    <w:rsid w:val="00822DAB"/>
    <w:rsid w:val="00822EE5"/>
    <w:rsid w:val="00823175"/>
    <w:rsid w:val="0082317D"/>
    <w:rsid w:val="0082318B"/>
    <w:rsid w:val="00823194"/>
    <w:rsid w:val="00823322"/>
    <w:rsid w:val="0082335C"/>
    <w:rsid w:val="008233E2"/>
    <w:rsid w:val="008234B4"/>
    <w:rsid w:val="00823554"/>
    <w:rsid w:val="00823560"/>
    <w:rsid w:val="00823574"/>
    <w:rsid w:val="0082368A"/>
    <w:rsid w:val="0082377E"/>
    <w:rsid w:val="008237C9"/>
    <w:rsid w:val="00823876"/>
    <w:rsid w:val="00823933"/>
    <w:rsid w:val="00823A20"/>
    <w:rsid w:val="00823A2F"/>
    <w:rsid w:val="00823AFF"/>
    <w:rsid w:val="00823B3D"/>
    <w:rsid w:val="00823B56"/>
    <w:rsid w:val="00823DE2"/>
    <w:rsid w:val="00823EEA"/>
    <w:rsid w:val="00823FCA"/>
    <w:rsid w:val="008241B1"/>
    <w:rsid w:val="00824491"/>
    <w:rsid w:val="00824531"/>
    <w:rsid w:val="00824B2C"/>
    <w:rsid w:val="00824BDC"/>
    <w:rsid w:val="00824BF7"/>
    <w:rsid w:val="00825106"/>
    <w:rsid w:val="008251E3"/>
    <w:rsid w:val="00825202"/>
    <w:rsid w:val="00825224"/>
    <w:rsid w:val="00825259"/>
    <w:rsid w:val="008252ED"/>
    <w:rsid w:val="00825385"/>
    <w:rsid w:val="00825647"/>
    <w:rsid w:val="0082565A"/>
    <w:rsid w:val="00825891"/>
    <w:rsid w:val="00825B43"/>
    <w:rsid w:val="00825C58"/>
    <w:rsid w:val="00825DAD"/>
    <w:rsid w:val="00825F57"/>
    <w:rsid w:val="00826035"/>
    <w:rsid w:val="0082603F"/>
    <w:rsid w:val="00826079"/>
    <w:rsid w:val="00826160"/>
    <w:rsid w:val="0082631C"/>
    <w:rsid w:val="00826500"/>
    <w:rsid w:val="00826537"/>
    <w:rsid w:val="008265DF"/>
    <w:rsid w:val="008265EF"/>
    <w:rsid w:val="008267F6"/>
    <w:rsid w:val="00826959"/>
    <w:rsid w:val="00826B54"/>
    <w:rsid w:val="00826CB9"/>
    <w:rsid w:val="00826D9E"/>
    <w:rsid w:val="00826DC2"/>
    <w:rsid w:val="00826E08"/>
    <w:rsid w:val="00826EAD"/>
    <w:rsid w:val="00826F94"/>
    <w:rsid w:val="00826FF0"/>
    <w:rsid w:val="00826FF3"/>
    <w:rsid w:val="00827019"/>
    <w:rsid w:val="00827033"/>
    <w:rsid w:val="00827122"/>
    <w:rsid w:val="0082725C"/>
    <w:rsid w:val="008272E0"/>
    <w:rsid w:val="0082749B"/>
    <w:rsid w:val="00827545"/>
    <w:rsid w:val="00827583"/>
    <w:rsid w:val="0082769A"/>
    <w:rsid w:val="0082781A"/>
    <w:rsid w:val="00827AF8"/>
    <w:rsid w:val="00827BB3"/>
    <w:rsid w:val="00827C04"/>
    <w:rsid w:val="00827C3E"/>
    <w:rsid w:val="00827EE7"/>
    <w:rsid w:val="0083001D"/>
    <w:rsid w:val="0083002A"/>
    <w:rsid w:val="0083038C"/>
    <w:rsid w:val="008303BC"/>
    <w:rsid w:val="00830454"/>
    <w:rsid w:val="0083050D"/>
    <w:rsid w:val="00830548"/>
    <w:rsid w:val="0083063F"/>
    <w:rsid w:val="0083070C"/>
    <w:rsid w:val="0083073F"/>
    <w:rsid w:val="008308A8"/>
    <w:rsid w:val="008308D0"/>
    <w:rsid w:val="008309BE"/>
    <w:rsid w:val="00830A6B"/>
    <w:rsid w:val="00830C47"/>
    <w:rsid w:val="00830CDD"/>
    <w:rsid w:val="00830EBB"/>
    <w:rsid w:val="00830F91"/>
    <w:rsid w:val="00831021"/>
    <w:rsid w:val="00831029"/>
    <w:rsid w:val="00831112"/>
    <w:rsid w:val="0083143C"/>
    <w:rsid w:val="008315B6"/>
    <w:rsid w:val="0083160D"/>
    <w:rsid w:val="00831777"/>
    <w:rsid w:val="00831792"/>
    <w:rsid w:val="008318F4"/>
    <w:rsid w:val="0083191F"/>
    <w:rsid w:val="0083192F"/>
    <w:rsid w:val="00831A4C"/>
    <w:rsid w:val="00831A72"/>
    <w:rsid w:val="00831CB6"/>
    <w:rsid w:val="00831D3F"/>
    <w:rsid w:val="00831E44"/>
    <w:rsid w:val="00831E95"/>
    <w:rsid w:val="00831F22"/>
    <w:rsid w:val="008320ED"/>
    <w:rsid w:val="0083218C"/>
    <w:rsid w:val="00832195"/>
    <w:rsid w:val="008322E0"/>
    <w:rsid w:val="008322E7"/>
    <w:rsid w:val="008322F9"/>
    <w:rsid w:val="00832390"/>
    <w:rsid w:val="00832521"/>
    <w:rsid w:val="0083254A"/>
    <w:rsid w:val="008325C5"/>
    <w:rsid w:val="00832663"/>
    <w:rsid w:val="00832911"/>
    <w:rsid w:val="00832928"/>
    <w:rsid w:val="00832A39"/>
    <w:rsid w:val="00832E3F"/>
    <w:rsid w:val="00832F96"/>
    <w:rsid w:val="00832FF8"/>
    <w:rsid w:val="00833001"/>
    <w:rsid w:val="008330DC"/>
    <w:rsid w:val="008330EE"/>
    <w:rsid w:val="008331D8"/>
    <w:rsid w:val="00833241"/>
    <w:rsid w:val="00833261"/>
    <w:rsid w:val="0083326C"/>
    <w:rsid w:val="0083343A"/>
    <w:rsid w:val="008334AD"/>
    <w:rsid w:val="008334DD"/>
    <w:rsid w:val="00833540"/>
    <w:rsid w:val="00833558"/>
    <w:rsid w:val="0083356F"/>
    <w:rsid w:val="00833682"/>
    <w:rsid w:val="0083378E"/>
    <w:rsid w:val="00833913"/>
    <w:rsid w:val="00833934"/>
    <w:rsid w:val="00833A60"/>
    <w:rsid w:val="00833A74"/>
    <w:rsid w:val="00833AED"/>
    <w:rsid w:val="00833B60"/>
    <w:rsid w:val="00833C70"/>
    <w:rsid w:val="00833E29"/>
    <w:rsid w:val="00833E44"/>
    <w:rsid w:val="00833EB2"/>
    <w:rsid w:val="00833F32"/>
    <w:rsid w:val="00833F6E"/>
    <w:rsid w:val="00833FE8"/>
    <w:rsid w:val="00833FEC"/>
    <w:rsid w:val="00833FF6"/>
    <w:rsid w:val="00834124"/>
    <w:rsid w:val="008341EB"/>
    <w:rsid w:val="008341F8"/>
    <w:rsid w:val="00834293"/>
    <w:rsid w:val="008346B7"/>
    <w:rsid w:val="0083477D"/>
    <w:rsid w:val="008347EA"/>
    <w:rsid w:val="0083484D"/>
    <w:rsid w:val="00834900"/>
    <w:rsid w:val="008349F4"/>
    <w:rsid w:val="00834A48"/>
    <w:rsid w:val="00834A4F"/>
    <w:rsid w:val="00834CD3"/>
    <w:rsid w:val="00834E0D"/>
    <w:rsid w:val="00834E9B"/>
    <w:rsid w:val="00835058"/>
    <w:rsid w:val="008351D7"/>
    <w:rsid w:val="0083527A"/>
    <w:rsid w:val="0083538C"/>
    <w:rsid w:val="00835421"/>
    <w:rsid w:val="0083547C"/>
    <w:rsid w:val="00835508"/>
    <w:rsid w:val="0083553F"/>
    <w:rsid w:val="00835551"/>
    <w:rsid w:val="00835598"/>
    <w:rsid w:val="00835673"/>
    <w:rsid w:val="0083570C"/>
    <w:rsid w:val="0083587C"/>
    <w:rsid w:val="008358D7"/>
    <w:rsid w:val="00835A27"/>
    <w:rsid w:val="00835E10"/>
    <w:rsid w:val="00835FE3"/>
    <w:rsid w:val="00836070"/>
    <w:rsid w:val="00836156"/>
    <w:rsid w:val="00836170"/>
    <w:rsid w:val="00836436"/>
    <w:rsid w:val="00836715"/>
    <w:rsid w:val="00836785"/>
    <w:rsid w:val="008368DD"/>
    <w:rsid w:val="008368F0"/>
    <w:rsid w:val="00836A15"/>
    <w:rsid w:val="00836A6C"/>
    <w:rsid w:val="00836B26"/>
    <w:rsid w:val="00836B38"/>
    <w:rsid w:val="00836C88"/>
    <w:rsid w:val="00836CEB"/>
    <w:rsid w:val="0083702A"/>
    <w:rsid w:val="008372EC"/>
    <w:rsid w:val="00837303"/>
    <w:rsid w:val="008373EA"/>
    <w:rsid w:val="0083745A"/>
    <w:rsid w:val="008375FD"/>
    <w:rsid w:val="0083762D"/>
    <w:rsid w:val="00837716"/>
    <w:rsid w:val="008377AB"/>
    <w:rsid w:val="00837811"/>
    <w:rsid w:val="008379B4"/>
    <w:rsid w:val="00837A2B"/>
    <w:rsid w:val="00837C13"/>
    <w:rsid w:val="00837CAF"/>
    <w:rsid w:val="00837DC4"/>
    <w:rsid w:val="008400B3"/>
    <w:rsid w:val="00840282"/>
    <w:rsid w:val="0084030B"/>
    <w:rsid w:val="008403E2"/>
    <w:rsid w:val="00840587"/>
    <w:rsid w:val="008405AE"/>
    <w:rsid w:val="00840622"/>
    <w:rsid w:val="0084079B"/>
    <w:rsid w:val="0084082D"/>
    <w:rsid w:val="0084088D"/>
    <w:rsid w:val="008408A6"/>
    <w:rsid w:val="00840C10"/>
    <w:rsid w:val="00840E1B"/>
    <w:rsid w:val="00840FEC"/>
    <w:rsid w:val="00841003"/>
    <w:rsid w:val="008411F1"/>
    <w:rsid w:val="00841263"/>
    <w:rsid w:val="008415C4"/>
    <w:rsid w:val="00841862"/>
    <w:rsid w:val="00841899"/>
    <w:rsid w:val="00841AE0"/>
    <w:rsid w:val="00841AF7"/>
    <w:rsid w:val="00841BB3"/>
    <w:rsid w:val="00841C6B"/>
    <w:rsid w:val="00841CBF"/>
    <w:rsid w:val="00841F79"/>
    <w:rsid w:val="00841FE3"/>
    <w:rsid w:val="00842108"/>
    <w:rsid w:val="00842109"/>
    <w:rsid w:val="0084210D"/>
    <w:rsid w:val="0084214E"/>
    <w:rsid w:val="00842186"/>
    <w:rsid w:val="00842267"/>
    <w:rsid w:val="00842394"/>
    <w:rsid w:val="008423BE"/>
    <w:rsid w:val="00842419"/>
    <w:rsid w:val="00842456"/>
    <w:rsid w:val="0084267F"/>
    <w:rsid w:val="008426FA"/>
    <w:rsid w:val="00842729"/>
    <w:rsid w:val="00842814"/>
    <w:rsid w:val="00842B4F"/>
    <w:rsid w:val="00842BE5"/>
    <w:rsid w:val="00842C9E"/>
    <w:rsid w:val="00842DB0"/>
    <w:rsid w:val="00842E33"/>
    <w:rsid w:val="00842F1B"/>
    <w:rsid w:val="0084302F"/>
    <w:rsid w:val="008432DF"/>
    <w:rsid w:val="00843341"/>
    <w:rsid w:val="008433B2"/>
    <w:rsid w:val="008433BF"/>
    <w:rsid w:val="00843499"/>
    <w:rsid w:val="0084364F"/>
    <w:rsid w:val="00843672"/>
    <w:rsid w:val="008437A9"/>
    <w:rsid w:val="0084384F"/>
    <w:rsid w:val="008438F1"/>
    <w:rsid w:val="00843C36"/>
    <w:rsid w:val="00843C61"/>
    <w:rsid w:val="00843D45"/>
    <w:rsid w:val="00843DA2"/>
    <w:rsid w:val="00843DBF"/>
    <w:rsid w:val="00843DC2"/>
    <w:rsid w:val="00843F1F"/>
    <w:rsid w:val="00843FA1"/>
    <w:rsid w:val="00844050"/>
    <w:rsid w:val="008440FF"/>
    <w:rsid w:val="00844157"/>
    <w:rsid w:val="0084417C"/>
    <w:rsid w:val="00844270"/>
    <w:rsid w:val="0084452B"/>
    <w:rsid w:val="00844592"/>
    <w:rsid w:val="008445EE"/>
    <w:rsid w:val="00844843"/>
    <w:rsid w:val="00844884"/>
    <w:rsid w:val="00844BE0"/>
    <w:rsid w:val="00844BF3"/>
    <w:rsid w:val="00844C14"/>
    <w:rsid w:val="00844C69"/>
    <w:rsid w:val="00845037"/>
    <w:rsid w:val="00845095"/>
    <w:rsid w:val="008452A7"/>
    <w:rsid w:val="008452BD"/>
    <w:rsid w:val="008452C2"/>
    <w:rsid w:val="008452CF"/>
    <w:rsid w:val="00845324"/>
    <w:rsid w:val="00845367"/>
    <w:rsid w:val="00845385"/>
    <w:rsid w:val="008453F3"/>
    <w:rsid w:val="008455B2"/>
    <w:rsid w:val="008456B0"/>
    <w:rsid w:val="00845798"/>
    <w:rsid w:val="008457D7"/>
    <w:rsid w:val="00845871"/>
    <w:rsid w:val="008458F0"/>
    <w:rsid w:val="00845901"/>
    <w:rsid w:val="00845923"/>
    <w:rsid w:val="00845AAA"/>
    <w:rsid w:val="00845B06"/>
    <w:rsid w:val="00845CBA"/>
    <w:rsid w:val="00845F4E"/>
    <w:rsid w:val="00846451"/>
    <w:rsid w:val="0084645E"/>
    <w:rsid w:val="00846497"/>
    <w:rsid w:val="008465C5"/>
    <w:rsid w:val="008466B4"/>
    <w:rsid w:val="00846785"/>
    <w:rsid w:val="008467D5"/>
    <w:rsid w:val="008468FC"/>
    <w:rsid w:val="00846B3B"/>
    <w:rsid w:val="00846BB4"/>
    <w:rsid w:val="00846D14"/>
    <w:rsid w:val="00846E1E"/>
    <w:rsid w:val="00846EC0"/>
    <w:rsid w:val="00846EDF"/>
    <w:rsid w:val="00846F7C"/>
    <w:rsid w:val="00847112"/>
    <w:rsid w:val="0084715A"/>
    <w:rsid w:val="008473C6"/>
    <w:rsid w:val="008474ED"/>
    <w:rsid w:val="008475D2"/>
    <w:rsid w:val="00847625"/>
    <w:rsid w:val="0084775D"/>
    <w:rsid w:val="008479F7"/>
    <w:rsid w:val="00847B88"/>
    <w:rsid w:val="00847CEC"/>
    <w:rsid w:val="00847D02"/>
    <w:rsid w:val="00847DCE"/>
    <w:rsid w:val="00847EA8"/>
    <w:rsid w:val="00847ED3"/>
    <w:rsid w:val="00850047"/>
    <w:rsid w:val="00850096"/>
    <w:rsid w:val="0085014F"/>
    <w:rsid w:val="00850164"/>
    <w:rsid w:val="008502A3"/>
    <w:rsid w:val="008502B8"/>
    <w:rsid w:val="008502D4"/>
    <w:rsid w:val="008502EE"/>
    <w:rsid w:val="008503B2"/>
    <w:rsid w:val="008504D7"/>
    <w:rsid w:val="008507D5"/>
    <w:rsid w:val="008507E6"/>
    <w:rsid w:val="0085080D"/>
    <w:rsid w:val="00850B75"/>
    <w:rsid w:val="00850C39"/>
    <w:rsid w:val="00850CFE"/>
    <w:rsid w:val="00850E02"/>
    <w:rsid w:val="00850F40"/>
    <w:rsid w:val="0085116C"/>
    <w:rsid w:val="0085134B"/>
    <w:rsid w:val="00851355"/>
    <w:rsid w:val="00851519"/>
    <w:rsid w:val="0085152C"/>
    <w:rsid w:val="008515BB"/>
    <w:rsid w:val="00851623"/>
    <w:rsid w:val="008516C5"/>
    <w:rsid w:val="00851787"/>
    <w:rsid w:val="00851975"/>
    <w:rsid w:val="00851996"/>
    <w:rsid w:val="00851A72"/>
    <w:rsid w:val="00851A73"/>
    <w:rsid w:val="00851EEA"/>
    <w:rsid w:val="00851F5E"/>
    <w:rsid w:val="00852330"/>
    <w:rsid w:val="0085245C"/>
    <w:rsid w:val="0085247B"/>
    <w:rsid w:val="00852489"/>
    <w:rsid w:val="008525B8"/>
    <w:rsid w:val="008527F9"/>
    <w:rsid w:val="00852BC5"/>
    <w:rsid w:val="00852C7A"/>
    <w:rsid w:val="00852DCD"/>
    <w:rsid w:val="00852DE4"/>
    <w:rsid w:val="00852F80"/>
    <w:rsid w:val="00852FC2"/>
    <w:rsid w:val="00852FD9"/>
    <w:rsid w:val="0085308A"/>
    <w:rsid w:val="008530BC"/>
    <w:rsid w:val="008530CA"/>
    <w:rsid w:val="008530EC"/>
    <w:rsid w:val="008532A4"/>
    <w:rsid w:val="00853345"/>
    <w:rsid w:val="008533A5"/>
    <w:rsid w:val="008533EC"/>
    <w:rsid w:val="008534B0"/>
    <w:rsid w:val="008535D4"/>
    <w:rsid w:val="0085361B"/>
    <w:rsid w:val="0085366B"/>
    <w:rsid w:val="00853719"/>
    <w:rsid w:val="00853920"/>
    <w:rsid w:val="00853B4F"/>
    <w:rsid w:val="00853B88"/>
    <w:rsid w:val="00853E1E"/>
    <w:rsid w:val="00853EE6"/>
    <w:rsid w:val="00853F0A"/>
    <w:rsid w:val="00853F8F"/>
    <w:rsid w:val="00853F92"/>
    <w:rsid w:val="00854012"/>
    <w:rsid w:val="00854053"/>
    <w:rsid w:val="008542F4"/>
    <w:rsid w:val="00854303"/>
    <w:rsid w:val="00854333"/>
    <w:rsid w:val="008543C9"/>
    <w:rsid w:val="00854646"/>
    <w:rsid w:val="00854739"/>
    <w:rsid w:val="00854929"/>
    <w:rsid w:val="008549EC"/>
    <w:rsid w:val="00854AB9"/>
    <w:rsid w:val="00854C01"/>
    <w:rsid w:val="00854F35"/>
    <w:rsid w:val="00855021"/>
    <w:rsid w:val="00855052"/>
    <w:rsid w:val="00855109"/>
    <w:rsid w:val="0085522E"/>
    <w:rsid w:val="008552D5"/>
    <w:rsid w:val="008552E2"/>
    <w:rsid w:val="008552F4"/>
    <w:rsid w:val="008553A9"/>
    <w:rsid w:val="008553C7"/>
    <w:rsid w:val="00855423"/>
    <w:rsid w:val="00855561"/>
    <w:rsid w:val="0085575B"/>
    <w:rsid w:val="0085576B"/>
    <w:rsid w:val="008559CE"/>
    <w:rsid w:val="00855B89"/>
    <w:rsid w:val="00855CFC"/>
    <w:rsid w:val="00855D2C"/>
    <w:rsid w:val="00855D2F"/>
    <w:rsid w:val="00855DAD"/>
    <w:rsid w:val="00855DCF"/>
    <w:rsid w:val="00855FEE"/>
    <w:rsid w:val="00856041"/>
    <w:rsid w:val="008560D1"/>
    <w:rsid w:val="008560EE"/>
    <w:rsid w:val="00856140"/>
    <w:rsid w:val="008562D1"/>
    <w:rsid w:val="008562FF"/>
    <w:rsid w:val="0085643C"/>
    <w:rsid w:val="008566B8"/>
    <w:rsid w:val="008567A2"/>
    <w:rsid w:val="008567C8"/>
    <w:rsid w:val="00856870"/>
    <w:rsid w:val="00856AF4"/>
    <w:rsid w:val="00856B35"/>
    <w:rsid w:val="00856CDF"/>
    <w:rsid w:val="00856D50"/>
    <w:rsid w:val="00856DD2"/>
    <w:rsid w:val="00856F58"/>
    <w:rsid w:val="008570AE"/>
    <w:rsid w:val="0085714A"/>
    <w:rsid w:val="008572FC"/>
    <w:rsid w:val="008573BD"/>
    <w:rsid w:val="008573FC"/>
    <w:rsid w:val="008574BE"/>
    <w:rsid w:val="0085771A"/>
    <w:rsid w:val="00857826"/>
    <w:rsid w:val="00857AA2"/>
    <w:rsid w:val="00857B1A"/>
    <w:rsid w:val="00857D5E"/>
    <w:rsid w:val="00857EA9"/>
    <w:rsid w:val="00857F54"/>
    <w:rsid w:val="00857F61"/>
    <w:rsid w:val="00857FC9"/>
    <w:rsid w:val="0086010E"/>
    <w:rsid w:val="0086013D"/>
    <w:rsid w:val="0086014B"/>
    <w:rsid w:val="008601A6"/>
    <w:rsid w:val="008602E3"/>
    <w:rsid w:val="00860371"/>
    <w:rsid w:val="008603A4"/>
    <w:rsid w:val="008603E5"/>
    <w:rsid w:val="008604CB"/>
    <w:rsid w:val="0086059A"/>
    <w:rsid w:val="00860614"/>
    <w:rsid w:val="00860776"/>
    <w:rsid w:val="008607D2"/>
    <w:rsid w:val="00860942"/>
    <w:rsid w:val="00860AC4"/>
    <w:rsid w:val="00860CD6"/>
    <w:rsid w:val="00860D69"/>
    <w:rsid w:val="00860F1D"/>
    <w:rsid w:val="00860F61"/>
    <w:rsid w:val="00860F75"/>
    <w:rsid w:val="008610E6"/>
    <w:rsid w:val="0086119D"/>
    <w:rsid w:val="008611AA"/>
    <w:rsid w:val="00861324"/>
    <w:rsid w:val="0086136F"/>
    <w:rsid w:val="00861404"/>
    <w:rsid w:val="00861677"/>
    <w:rsid w:val="008616DC"/>
    <w:rsid w:val="00861738"/>
    <w:rsid w:val="00861868"/>
    <w:rsid w:val="00861967"/>
    <w:rsid w:val="00861B34"/>
    <w:rsid w:val="00861C96"/>
    <w:rsid w:val="00861CDD"/>
    <w:rsid w:val="00861F23"/>
    <w:rsid w:val="0086219C"/>
    <w:rsid w:val="008621D4"/>
    <w:rsid w:val="008623C2"/>
    <w:rsid w:val="008625B5"/>
    <w:rsid w:val="0086282F"/>
    <w:rsid w:val="00862850"/>
    <w:rsid w:val="00862A39"/>
    <w:rsid w:val="00862BE8"/>
    <w:rsid w:val="00862D9F"/>
    <w:rsid w:val="00862DB2"/>
    <w:rsid w:val="00862F89"/>
    <w:rsid w:val="00863182"/>
    <w:rsid w:val="00863186"/>
    <w:rsid w:val="008631B8"/>
    <w:rsid w:val="0086324F"/>
    <w:rsid w:val="0086335A"/>
    <w:rsid w:val="008633D6"/>
    <w:rsid w:val="008634F6"/>
    <w:rsid w:val="0086367C"/>
    <w:rsid w:val="0086389B"/>
    <w:rsid w:val="00863928"/>
    <w:rsid w:val="008639BE"/>
    <w:rsid w:val="008639EA"/>
    <w:rsid w:val="00863AD4"/>
    <w:rsid w:val="00863D48"/>
    <w:rsid w:val="00863DE3"/>
    <w:rsid w:val="00863E84"/>
    <w:rsid w:val="00863EAD"/>
    <w:rsid w:val="00863EBB"/>
    <w:rsid w:val="00863F08"/>
    <w:rsid w:val="00863F88"/>
    <w:rsid w:val="0086404A"/>
    <w:rsid w:val="00864118"/>
    <w:rsid w:val="00864135"/>
    <w:rsid w:val="0086416A"/>
    <w:rsid w:val="00864204"/>
    <w:rsid w:val="00864334"/>
    <w:rsid w:val="00864431"/>
    <w:rsid w:val="00864652"/>
    <w:rsid w:val="00864907"/>
    <w:rsid w:val="0086498F"/>
    <w:rsid w:val="008649FA"/>
    <w:rsid w:val="00864B68"/>
    <w:rsid w:val="00864B78"/>
    <w:rsid w:val="00864BB4"/>
    <w:rsid w:val="00864D1B"/>
    <w:rsid w:val="00864D59"/>
    <w:rsid w:val="00864DF0"/>
    <w:rsid w:val="00864F13"/>
    <w:rsid w:val="00864F4E"/>
    <w:rsid w:val="0086508C"/>
    <w:rsid w:val="008650E1"/>
    <w:rsid w:val="008652ED"/>
    <w:rsid w:val="00865433"/>
    <w:rsid w:val="008655DE"/>
    <w:rsid w:val="008658BD"/>
    <w:rsid w:val="00865BDD"/>
    <w:rsid w:val="00865C5C"/>
    <w:rsid w:val="00865CAB"/>
    <w:rsid w:val="00865D43"/>
    <w:rsid w:val="00865D52"/>
    <w:rsid w:val="00865D86"/>
    <w:rsid w:val="00865E12"/>
    <w:rsid w:val="00865E6F"/>
    <w:rsid w:val="00865EE9"/>
    <w:rsid w:val="00865F11"/>
    <w:rsid w:val="0086601F"/>
    <w:rsid w:val="00866056"/>
    <w:rsid w:val="008662D5"/>
    <w:rsid w:val="0086630F"/>
    <w:rsid w:val="008663D8"/>
    <w:rsid w:val="008664A7"/>
    <w:rsid w:val="008665DD"/>
    <w:rsid w:val="0086678A"/>
    <w:rsid w:val="008667A7"/>
    <w:rsid w:val="0086680E"/>
    <w:rsid w:val="0086686D"/>
    <w:rsid w:val="00866AA7"/>
    <w:rsid w:val="00866C19"/>
    <w:rsid w:val="00866C4E"/>
    <w:rsid w:val="00866DC7"/>
    <w:rsid w:val="00867020"/>
    <w:rsid w:val="008670E3"/>
    <w:rsid w:val="00867181"/>
    <w:rsid w:val="0086730C"/>
    <w:rsid w:val="0086735A"/>
    <w:rsid w:val="00867505"/>
    <w:rsid w:val="00867525"/>
    <w:rsid w:val="008676B8"/>
    <w:rsid w:val="008676CD"/>
    <w:rsid w:val="008676F4"/>
    <w:rsid w:val="00867A37"/>
    <w:rsid w:val="00867A6F"/>
    <w:rsid w:val="00867AB8"/>
    <w:rsid w:val="00867AD0"/>
    <w:rsid w:val="00867AF5"/>
    <w:rsid w:val="00867B52"/>
    <w:rsid w:val="00867C28"/>
    <w:rsid w:val="00867D57"/>
    <w:rsid w:val="00867DD0"/>
    <w:rsid w:val="00867DD7"/>
    <w:rsid w:val="00867F97"/>
    <w:rsid w:val="008701FD"/>
    <w:rsid w:val="00870492"/>
    <w:rsid w:val="008705ED"/>
    <w:rsid w:val="00870671"/>
    <w:rsid w:val="00870748"/>
    <w:rsid w:val="0087079F"/>
    <w:rsid w:val="008707D9"/>
    <w:rsid w:val="008709AB"/>
    <w:rsid w:val="00870A3E"/>
    <w:rsid w:val="00870B59"/>
    <w:rsid w:val="00870BAE"/>
    <w:rsid w:val="00870C87"/>
    <w:rsid w:val="00870D0C"/>
    <w:rsid w:val="00870D9D"/>
    <w:rsid w:val="00870F07"/>
    <w:rsid w:val="00870F7F"/>
    <w:rsid w:val="0087104A"/>
    <w:rsid w:val="00871210"/>
    <w:rsid w:val="00871245"/>
    <w:rsid w:val="0087135E"/>
    <w:rsid w:val="00871573"/>
    <w:rsid w:val="00871622"/>
    <w:rsid w:val="00871695"/>
    <w:rsid w:val="00871730"/>
    <w:rsid w:val="008717D3"/>
    <w:rsid w:val="00871876"/>
    <w:rsid w:val="00871B9F"/>
    <w:rsid w:val="00871C7F"/>
    <w:rsid w:val="00871DAE"/>
    <w:rsid w:val="00871DD5"/>
    <w:rsid w:val="00871E0A"/>
    <w:rsid w:val="00871EC7"/>
    <w:rsid w:val="00871FF1"/>
    <w:rsid w:val="0087200B"/>
    <w:rsid w:val="008720F0"/>
    <w:rsid w:val="0087217C"/>
    <w:rsid w:val="00872397"/>
    <w:rsid w:val="00872430"/>
    <w:rsid w:val="0087247D"/>
    <w:rsid w:val="00872515"/>
    <w:rsid w:val="00872535"/>
    <w:rsid w:val="00872564"/>
    <w:rsid w:val="008725AA"/>
    <w:rsid w:val="008725F6"/>
    <w:rsid w:val="00872854"/>
    <w:rsid w:val="00872949"/>
    <w:rsid w:val="008729B0"/>
    <w:rsid w:val="00872A3A"/>
    <w:rsid w:val="00872A4B"/>
    <w:rsid w:val="00872B17"/>
    <w:rsid w:val="00872B3E"/>
    <w:rsid w:val="00872C7D"/>
    <w:rsid w:val="00872CE3"/>
    <w:rsid w:val="00872E88"/>
    <w:rsid w:val="00872F84"/>
    <w:rsid w:val="00873149"/>
    <w:rsid w:val="0087334F"/>
    <w:rsid w:val="00873479"/>
    <w:rsid w:val="00873624"/>
    <w:rsid w:val="0087365B"/>
    <w:rsid w:val="0087375F"/>
    <w:rsid w:val="0087385D"/>
    <w:rsid w:val="008738E3"/>
    <w:rsid w:val="00873A32"/>
    <w:rsid w:val="00873AF0"/>
    <w:rsid w:val="00873B01"/>
    <w:rsid w:val="00873D2E"/>
    <w:rsid w:val="00873D4F"/>
    <w:rsid w:val="0087408A"/>
    <w:rsid w:val="0087417E"/>
    <w:rsid w:val="0087444A"/>
    <w:rsid w:val="008745F2"/>
    <w:rsid w:val="00874B64"/>
    <w:rsid w:val="00874C13"/>
    <w:rsid w:val="00874EC4"/>
    <w:rsid w:val="00874EC9"/>
    <w:rsid w:val="00874ED8"/>
    <w:rsid w:val="008750E4"/>
    <w:rsid w:val="00875142"/>
    <w:rsid w:val="008751F7"/>
    <w:rsid w:val="00875284"/>
    <w:rsid w:val="008752F8"/>
    <w:rsid w:val="008753A1"/>
    <w:rsid w:val="008754C3"/>
    <w:rsid w:val="008756F7"/>
    <w:rsid w:val="00875BB5"/>
    <w:rsid w:val="00875C15"/>
    <w:rsid w:val="00875CB7"/>
    <w:rsid w:val="00875E55"/>
    <w:rsid w:val="00876232"/>
    <w:rsid w:val="008762F3"/>
    <w:rsid w:val="0087630E"/>
    <w:rsid w:val="00876409"/>
    <w:rsid w:val="00876633"/>
    <w:rsid w:val="008767A4"/>
    <w:rsid w:val="00876947"/>
    <w:rsid w:val="00876971"/>
    <w:rsid w:val="008769E1"/>
    <w:rsid w:val="00876AC5"/>
    <w:rsid w:val="00876B8E"/>
    <w:rsid w:val="00876BAE"/>
    <w:rsid w:val="00876CB5"/>
    <w:rsid w:val="00876CCF"/>
    <w:rsid w:val="00876E1B"/>
    <w:rsid w:val="00876EEE"/>
    <w:rsid w:val="00876F42"/>
    <w:rsid w:val="0087706F"/>
    <w:rsid w:val="008770B3"/>
    <w:rsid w:val="00877120"/>
    <w:rsid w:val="008774A1"/>
    <w:rsid w:val="008775A4"/>
    <w:rsid w:val="008775DC"/>
    <w:rsid w:val="00877615"/>
    <w:rsid w:val="0087764A"/>
    <w:rsid w:val="0087766E"/>
    <w:rsid w:val="0087786D"/>
    <w:rsid w:val="00877AEC"/>
    <w:rsid w:val="00877BE4"/>
    <w:rsid w:val="00877C82"/>
    <w:rsid w:val="00877E04"/>
    <w:rsid w:val="008800E6"/>
    <w:rsid w:val="008801AE"/>
    <w:rsid w:val="008801EC"/>
    <w:rsid w:val="00880266"/>
    <w:rsid w:val="00880268"/>
    <w:rsid w:val="0088036F"/>
    <w:rsid w:val="008803AE"/>
    <w:rsid w:val="00880476"/>
    <w:rsid w:val="00880492"/>
    <w:rsid w:val="00880650"/>
    <w:rsid w:val="008806FC"/>
    <w:rsid w:val="0088074D"/>
    <w:rsid w:val="0088086E"/>
    <w:rsid w:val="0088090E"/>
    <w:rsid w:val="00880B28"/>
    <w:rsid w:val="00880D09"/>
    <w:rsid w:val="00880D52"/>
    <w:rsid w:val="00880F16"/>
    <w:rsid w:val="0088121B"/>
    <w:rsid w:val="00881224"/>
    <w:rsid w:val="008814BC"/>
    <w:rsid w:val="008814CA"/>
    <w:rsid w:val="0088158F"/>
    <w:rsid w:val="008817AE"/>
    <w:rsid w:val="0088188D"/>
    <w:rsid w:val="00881899"/>
    <w:rsid w:val="008818CB"/>
    <w:rsid w:val="008818D2"/>
    <w:rsid w:val="00881964"/>
    <w:rsid w:val="00881A5C"/>
    <w:rsid w:val="00881A8A"/>
    <w:rsid w:val="0088203F"/>
    <w:rsid w:val="0088219F"/>
    <w:rsid w:val="0088224B"/>
    <w:rsid w:val="008823D3"/>
    <w:rsid w:val="00882446"/>
    <w:rsid w:val="00882523"/>
    <w:rsid w:val="0088257A"/>
    <w:rsid w:val="008825AF"/>
    <w:rsid w:val="00882654"/>
    <w:rsid w:val="0088282C"/>
    <w:rsid w:val="00882B88"/>
    <w:rsid w:val="00882C22"/>
    <w:rsid w:val="00882C72"/>
    <w:rsid w:val="00882FD4"/>
    <w:rsid w:val="00883007"/>
    <w:rsid w:val="008830AF"/>
    <w:rsid w:val="0088310D"/>
    <w:rsid w:val="0088312C"/>
    <w:rsid w:val="008831AF"/>
    <w:rsid w:val="00883364"/>
    <w:rsid w:val="00883415"/>
    <w:rsid w:val="008834C3"/>
    <w:rsid w:val="0088380E"/>
    <w:rsid w:val="00883A58"/>
    <w:rsid w:val="00883A7E"/>
    <w:rsid w:val="00883D68"/>
    <w:rsid w:val="00883E2F"/>
    <w:rsid w:val="00883E9D"/>
    <w:rsid w:val="00883EB4"/>
    <w:rsid w:val="00883F18"/>
    <w:rsid w:val="00883F96"/>
    <w:rsid w:val="00884017"/>
    <w:rsid w:val="00884125"/>
    <w:rsid w:val="00884156"/>
    <w:rsid w:val="00884195"/>
    <w:rsid w:val="008846C9"/>
    <w:rsid w:val="008847B9"/>
    <w:rsid w:val="0088492F"/>
    <w:rsid w:val="00884995"/>
    <w:rsid w:val="00884A1A"/>
    <w:rsid w:val="00884B0F"/>
    <w:rsid w:val="00884C35"/>
    <w:rsid w:val="00884CC8"/>
    <w:rsid w:val="00884CF9"/>
    <w:rsid w:val="00884F48"/>
    <w:rsid w:val="008850ED"/>
    <w:rsid w:val="008851B7"/>
    <w:rsid w:val="00885426"/>
    <w:rsid w:val="0088568E"/>
    <w:rsid w:val="008858D7"/>
    <w:rsid w:val="008858FB"/>
    <w:rsid w:val="00885930"/>
    <w:rsid w:val="008859F8"/>
    <w:rsid w:val="00885AD4"/>
    <w:rsid w:val="00885B01"/>
    <w:rsid w:val="00885B49"/>
    <w:rsid w:val="00885B4E"/>
    <w:rsid w:val="00885C6E"/>
    <w:rsid w:val="00885DE9"/>
    <w:rsid w:val="00885E8D"/>
    <w:rsid w:val="00885ED8"/>
    <w:rsid w:val="0088605F"/>
    <w:rsid w:val="0088659D"/>
    <w:rsid w:val="008866C2"/>
    <w:rsid w:val="008866EE"/>
    <w:rsid w:val="00886822"/>
    <w:rsid w:val="00886999"/>
    <w:rsid w:val="008869F8"/>
    <w:rsid w:val="00886B40"/>
    <w:rsid w:val="00886D4E"/>
    <w:rsid w:val="00886D7E"/>
    <w:rsid w:val="00886E17"/>
    <w:rsid w:val="00886EE5"/>
    <w:rsid w:val="00887012"/>
    <w:rsid w:val="00887094"/>
    <w:rsid w:val="008872AE"/>
    <w:rsid w:val="008872B0"/>
    <w:rsid w:val="0088788B"/>
    <w:rsid w:val="00887A47"/>
    <w:rsid w:val="00887AD5"/>
    <w:rsid w:val="00887B4E"/>
    <w:rsid w:val="00887CB8"/>
    <w:rsid w:val="00887D26"/>
    <w:rsid w:val="00887F22"/>
    <w:rsid w:val="00890092"/>
    <w:rsid w:val="008900FA"/>
    <w:rsid w:val="008903EB"/>
    <w:rsid w:val="00890536"/>
    <w:rsid w:val="008905BC"/>
    <w:rsid w:val="00890734"/>
    <w:rsid w:val="00890844"/>
    <w:rsid w:val="00890A43"/>
    <w:rsid w:val="00890B1A"/>
    <w:rsid w:val="00890BA3"/>
    <w:rsid w:val="00890BB3"/>
    <w:rsid w:val="00890BF4"/>
    <w:rsid w:val="00890C24"/>
    <w:rsid w:val="00890D5D"/>
    <w:rsid w:val="0089100C"/>
    <w:rsid w:val="0089104D"/>
    <w:rsid w:val="00891146"/>
    <w:rsid w:val="00891471"/>
    <w:rsid w:val="008914BF"/>
    <w:rsid w:val="008919A7"/>
    <w:rsid w:val="00891A2E"/>
    <w:rsid w:val="00891A66"/>
    <w:rsid w:val="00891C03"/>
    <w:rsid w:val="00891C2D"/>
    <w:rsid w:val="00891C90"/>
    <w:rsid w:val="00891CB9"/>
    <w:rsid w:val="00891E53"/>
    <w:rsid w:val="00891EFA"/>
    <w:rsid w:val="00891F49"/>
    <w:rsid w:val="008921CB"/>
    <w:rsid w:val="0089223D"/>
    <w:rsid w:val="008922F3"/>
    <w:rsid w:val="008922FE"/>
    <w:rsid w:val="00892438"/>
    <w:rsid w:val="0089244C"/>
    <w:rsid w:val="00892481"/>
    <w:rsid w:val="00892513"/>
    <w:rsid w:val="0089252C"/>
    <w:rsid w:val="00892A7A"/>
    <w:rsid w:val="00892AA9"/>
    <w:rsid w:val="00892B0F"/>
    <w:rsid w:val="00892C19"/>
    <w:rsid w:val="00892C8A"/>
    <w:rsid w:val="00892E46"/>
    <w:rsid w:val="00892F99"/>
    <w:rsid w:val="00892FE5"/>
    <w:rsid w:val="00893109"/>
    <w:rsid w:val="00893150"/>
    <w:rsid w:val="008931D2"/>
    <w:rsid w:val="00893295"/>
    <w:rsid w:val="008932BE"/>
    <w:rsid w:val="008932CE"/>
    <w:rsid w:val="00893339"/>
    <w:rsid w:val="0089334C"/>
    <w:rsid w:val="0089336C"/>
    <w:rsid w:val="0089354A"/>
    <w:rsid w:val="00893639"/>
    <w:rsid w:val="0089375F"/>
    <w:rsid w:val="008939E8"/>
    <w:rsid w:val="00893B3C"/>
    <w:rsid w:val="00893BE4"/>
    <w:rsid w:val="00893C2B"/>
    <w:rsid w:val="00893C8D"/>
    <w:rsid w:val="00893DB2"/>
    <w:rsid w:val="00893DDC"/>
    <w:rsid w:val="00893E48"/>
    <w:rsid w:val="0089404F"/>
    <w:rsid w:val="00894137"/>
    <w:rsid w:val="00894349"/>
    <w:rsid w:val="00894427"/>
    <w:rsid w:val="00894845"/>
    <w:rsid w:val="008948FF"/>
    <w:rsid w:val="0089490E"/>
    <w:rsid w:val="008949EF"/>
    <w:rsid w:val="00894A23"/>
    <w:rsid w:val="00894A3B"/>
    <w:rsid w:val="00894A57"/>
    <w:rsid w:val="00894BB3"/>
    <w:rsid w:val="00894BBE"/>
    <w:rsid w:val="00894C1A"/>
    <w:rsid w:val="00894CEB"/>
    <w:rsid w:val="00894D77"/>
    <w:rsid w:val="0089516C"/>
    <w:rsid w:val="00895491"/>
    <w:rsid w:val="00895545"/>
    <w:rsid w:val="008955B4"/>
    <w:rsid w:val="00895659"/>
    <w:rsid w:val="00895676"/>
    <w:rsid w:val="00895690"/>
    <w:rsid w:val="008956B5"/>
    <w:rsid w:val="00895D29"/>
    <w:rsid w:val="00895EEC"/>
    <w:rsid w:val="0089601E"/>
    <w:rsid w:val="0089604D"/>
    <w:rsid w:val="00896102"/>
    <w:rsid w:val="00896141"/>
    <w:rsid w:val="008961B0"/>
    <w:rsid w:val="00896238"/>
    <w:rsid w:val="008963A9"/>
    <w:rsid w:val="008964F3"/>
    <w:rsid w:val="00896579"/>
    <w:rsid w:val="00896700"/>
    <w:rsid w:val="00896967"/>
    <w:rsid w:val="00896969"/>
    <w:rsid w:val="00896A8F"/>
    <w:rsid w:val="00896AB7"/>
    <w:rsid w:val="00896AEE"/>
    <w:rsid w:val="00896AEF"/>
    <w:rsid w:val="00896B42"/>
    <w:rsid w:val="00896C70"/>
    <w:rsid w:val="00896D3F"/>
    <w:rsid w:val="00896D82"/>
    <w:rsid w:val="00896F9F"/>
    <w:rsid w:val="00896FE0"/>
    <w:rsid w:val="0089700B"/>
    <w:rsid w:val="00897089"/>
    <w:rsid w:val="00897275"/>
    <w:rsid w:val="008972C4"/>
    <w:rsid w:val="00897483"/>
    <w:rsid w:val="008974C2"/>
    <w:rsid w:val="00897556"/>
    <w:rsid w:val="00897691"/>
    <w:rsid w:val="008976C6"/>
    <w:rsid w:val="008977A5"/>
    <w:rsid w:val="00897A3E"/>
    <w:rsid w:val="00897A9F"/>
    <w:rsid w:val="00897B6F"/>
    <w:rsid w:val="00897E2A"/>
    <w:rsid w:val="00897EA0"/>
    <w:rsid w:val="00897F3F"/>
    <w:rsid w:val="008A0064"/>
    <w:rsid w:val="008A0359"/>
    <w:rsid w:val="008A04EE"/>
    <w:rsid w:val="008A05C7"/>
    <w:rsid w:val="008A0617"/>
    <w:rsid w:val="008A0685"/>
    <w:rsid w:val="008A06B9"/>
    <w:rsid w:val="008A0821"/>
    <w:rsid w:val="008A0863"/>
    <w:rsid w:val="008A0865"/>
    <w:rsid w:val="008A0E96"/>
    <w:rsid w:val="008A0ECE"/>
    <w:rsid w:val="008A0F13"/>
    <w:rsid w:val="008A0F91"/>
    <w:rsid w:val="008A10AE"/>
    <w:rsid w:val="008A10BA"/>
    <w:rsid w:val="008A126D"/>
    <w:rsid w:val="008A162D"/>
    <w:rsid w:val="008A170F"/>
    <w:rsid w:val="008A1816"/>
    <w:rsid w:val="008A18C2"/>
    <w:rsid w:val="008A19DE"/>
    <w:rsid w:val="008A1C3C"/>
    <w:rsid w:val="008A1D26"/>
    <w:rsid w:val="008A1D89"/>
    <w:rsid w:val="008A1E0F"/>
    <w:rsid w:val="008A1E34"/>
    <w:rsid w:val="008A206E"/>
    <w:rsid w:val="008A2202"/>
    <w:rsid w:val="008A24FA"/>
    <w:rsid w:val="008A2713"/>
    <w:rsid w:val="008A27BE"/>
    <w:rsid w:val="008A2A7D"/>
    <w:rsid w:val="008A2AF0"/>
    <w:rsid w:val="008A2B5E"/>
    <w:rsid w:val="008A2CEC"/>
    <w:rsid w:val="008A2DF3"/>
    <w:rsid w:val="008A2FBA"/>
    <w:rsid w:val="008A311E"/>
    <w:rsid w:val="008A3266"/>
    <w:rsid w:val="008A332C"/>
    <w:rsid w:val="008A339E"/>
    <w:rsid w:val="008A33EF"/>
    <w:rsid w:val="008A3497"/>
    <w:rsid w:val="008A370C"/>
    <w:rsid w:val="008A371F"/>
    <w:rsid w:val="008A3783"/>
    <w:rsid w:val="008A37D0"/>
    <w:rsid w:val="008A3B75"/>
    <w:rsid w:val="008A3F1A"/>
    <w:rsid w:val="008A3FB8"/>
    <w:rsid w:val="008A4156"/>
    <w:rsid w:val="008A41DE"/>
    <w:rsid w:val="008A4233"/>
    <w:rsid w:val="008A4319"/>
    <w:rsid w:val="008A4492"/>
    <w:rsid w:val="008A44D0"/>
    <w:rsid w:val="008A497F"/>
    <w:rsid w:val="008A4B00"/>
    <w:rsid w:val="008A4E11"/>
    <w:rsid w:val="008A4E53"/>
    <w:rsid w:val="008A4F1B"/>
    <w:rsid w:val="008A4FD1"/>
    <w:rsid w:val="008A505F"/>
    <w:rsid w:val="008A5187"/>
    <w:rsid w:val="008A5295"/>
    <w:rsid w:val="008A53BC"/>
    <w:rsid w:val="008A54CE"/>
    <w:rsid w:val="008A5578"/>
    <w:rsid w:val="008A559D"/>
    <w:rsid w:val="008A55E1"/>
    <w:rsid w:val="008A5644"/>
    <w:rsid w:val="008A56AE"/>
    <w:rsid w:val="008A57AF"/>
    <w:rsid w:val="008A58CB"/>
    <w:rsid w:val="008A598C"/>
    <w:rsid w:val="008A5ACE"/>
    <w:rsid w:val="008A5B3D"/>
    <w:rsid w:val="008A5DC2"/>
    <w:rsid w:val="008A6037"/>
    <w:rsid w:val="008A60C2"/>
    <w:rsid w:val="008A6203"/>
    <w:rsid w:val="008A622C"/>
    <w:rsid w:val="008A628A"/>
    <w:rsid w:val="008A62E0"/>
    <w:rsid w:val="008A630F"/>
    <w:rsid w:val="008A6828"/>
    <w:rsid w:val="008A6875"/>
    <w:rsid w:val="008A6A19"/>
    <w:rsid w:val="008A6AAA"/>
    <w:rsid w:val="008A6E87"/>
    <w:rsid w:val="008A6F54"/>
    <w:rsid w:val="008A70DD"/>
    <w:rsid w:val="008A7314"/>
    <w:rsid w:val="008A73DC"/>
    <w:rsid w:val="008A7401"/>
    <w:rsid w:val="008A74AC"/>
    <w:rsid w:val="008A75D3"/>
    <w:rsid w:val="008A75FA"/>
    <w:rsid w:val="008A7878"/>
    <w:rsid w:val="008A78C1"/>
    <w:rsid w:val="008A7955"/>
    <w:rsid w:val="008A7978"/>
    <w:rsid w:val="008A7A5A"/>
    <w:rsid w:val="008A7B0B"/>
    <w:rsid w:val="008A7B31"/>
    <w:rsid w:val="008A7C4F"/>
    <w:rsid w:val="008A7CA9"/>
    <w:rsid w:val="008A7DC4"/>
    <w:rsid w:val="008A7F00"/>
    <w:rsid w:val="008A7F90"/>
    <w:rsid w:val="008B0043"/>
    <w:rsid w:val="008B0265"/>
    <w:rsid w:val="008B0298"/>
    <w:rsid w:val="008B04B0"/>
    <w:rsid w:val="008B05DD"/>
    <w:rsid w:val="008B0678"/>
    <w:rsid w:val="008B0925"/>
    <w:rsid w:val="008B0932"/>
    <w:rsid w:val="008B0AF5"/>
    <w:rsid w:val="008B0BAB"/>
    <w:rsid w:val="008B0CDB"/>
    <w:rsid w:val="008B0ED8"/>
    <w:rsid w:val="008B1100"/>
    <w:rsid w:val="008B13EB"/>
    <w:rsid w:val="008B1417"/>
    <w:rsid w:val="008B151B"/>
    <w:rsid w:val="008B1594"/>
    <w:rsid w:val="008B1618"/>
    <w:rsid w:val="008B17AB"/>
    <w:rsid w:val="008B189F"/>
    <w:rsid w:val="008B192C"/>
    <w:rsid w:val="008B1942"/>
    <w:rsid w:val="008B19A9"/>
    <w:rsid w:val="008B1A94"/>
    <w:rsid w:val="008B1AA3"/>
    <w:rsid w:val="008B1B51"/>
    <w:rsid w:val="008B1BF6"/>
    <w:rsid w:val="008B1D0F"/>
    <w:rsid w:val="008B1D91"/>
    <w:rsid w:val="008B1F88"/>
    <w:rsid w:val="008B203F"/>
    <w:rsid w:val="008B235D"/>
    <w:rsid w:val="008B243A"/>
    <w:rsid w:val="008B247A"/>
    <w:rsid w:val="008B26EA"/>
    <w:rsid w:val="008B278E"/>
    <w:rsid w:val="008B27B5"/>
    <w:rsid w:val="008B281B"/>
    <w:rsid w:val="008B29D6"/>
    <w:rsid w:val="008B2A12"/>
    <w:rsid w:val="008B2A31"/>
    <w:rsid w:val="008B2D1E"/>
    <w:rsid w:val="008B2D41"/>
    <w:rsid w:val="008B3098"/>
    <w:rsid w:val="008B313E"/>
    <w:rsid w:val="008B319F"/>
    <w:rsid w:val="008B3231"/>
    <w:rsid w:val="008B346A"/>
    <w:rsid w:val="008B37F2"/>
    <w:rsid w:val="008B3836"/>
    <w:rsid w:val="008B3A20"/>
    <w:rsid w:val="008B3AC3"/>
    <w:rsid w:val="008B3ACA"/>
    <w:rsid w:val="008B3AFE"/>
    <w:rsid w:val="008B3B14"/>
    <w:rsid w:val="008B3D48"/>
    <w:rsid w:val="008B3EDD"/>
    <w:rsid w:val="008B3FBA"/>
    <w:rsid w:val="008B3FEF"/>
    <w:rsid w:val="008B402F"/>
    <w:rsid w:val="008B406A"/>
    <w:rsid w:val="008B40E2"/>
    <w:rsid w:val="008B4113"/>
    <w:rsid w:val="008B413F"/>
    <w:rsid w:val="008B4144"/>
    <w:rsid w:val="008B41A5"/>
    <w:rsid w:val="008B4227"/>
    <w:rsid w:val="008B4230"/>
    <w:rsid w:val="008B4357"/>
    <w:rsid w:val="008B4394"/>
    <w:rsid w:val="008B439E"/>
    <w:rsid w:val="008B43B4"/>
    <w:rsid w:val="008B4403"/>
    <w:rsid w:val="008B4632"/>
    <w:rsid w:val="008B46B9"/>
    <w:rsid w:val="008B4745"/>
    <w:rsid w:val="008B49DF"/>
    <w:rsid w:val="008B4AB9"/>
    <w:rsid w:val="008B4C46"/>
    <w:rsid w:val="008B4DF8"/>
    <w:rsid w:val="008B51CA"/>
    <w:rsid w:val="008B52A8"/>
    <w:rsid w:val="008B534E"/>
    <w:rsid w:val="008B5561"/>
    <w:rsid w:val="008B5570"/>
    <w:rsid w:val="008B590A"/>
    <w:rsid w:val="008B594F"/>
    <w:rsid w:val="008B5979"/>
    <w:rsid w:val="008B5A73"/>
    <w:rsid w:val="008B5B42"/>
    <w:rsid w:val="008B5D92"/>
    <w:rsid w:val="008B5DF9"/>
    <w:rsid w:val="008B5F9C"/>
    <w:rsid w:val="008B614F"/>
    <w:rsid w:val="008B6155"/>
    <w:rsid w:val="008B61D7"/>
    <w:rsid w:val="008B6387"/>
    <w:rsid w:val="008B63FB"/>
    <w:rsid w:val="008B6476"/>
    <w:rsid w:val="008B65EA"/>
    <w:rsid w:val="008B6990"/>
    <w:rsid w:val="008B69B9"/>
    <w:rsid w:val="008B6AA9"/>
    <w:rsid w:val="008B6AF6"/>
    <w:rsid w:val="008B6C59"/>
    <w:rsid w:val="008B6DDB"/>
    <w:rsid w:val="008B6DE0"/>
    <w:rsid w:val="008B6E3D"/>
    <w:rsid w:val="008B7133"/>
    <w:rsid w:val="008B725A"/>
    <w:rsid w:val="008B728E"/>
    <w:rsid w:val="008B72C8"/>
    <w:rsid w:val="008B764C"/>
    <w:rsid w:val="008B770F"/>
    <w:rsid w:val="008B7A4A"/>
    <w:rsid w:val="008B7A99"/>
    <w:rsid w:val="008B7AF0"/>
    <w:rsid w:val="008B7D16"/>
    <w:rsid w:val="008B7DCA"/>
    <w:rsid w:val="008B7EAD"/>
    <w:rsid w:val="008B7FFC"/>
    <w:rsid w:val="008C00C8"/>
    <w:rsid w:val="008C00D3"/>
    <w:rsid w:val="008C00E4"/>
    <w:rsid w:val="008C03F4"/>
    <w:rsid w:val="008C041C"/>
    <w:rsid w:val="008C0490"/>
    <w:rsid w:val="008C04A8"/>
    <w:rsid w:val="008C04C4"/>
    <w:rsid w:val="008C0752"/>
    <w:rsid w:val="008C086E"/>
    <w:rsid w:val="008C089A"/>
    <w:rsid w:val="008C08A1"/>
    <w:rsid w:val="008C09A1"/>
    <w:rsid w:val="008C0A3A"/>
    <w:rsid w:val="008C0CA0"/>
    <w:rsid w:val="008C0DE5"/>
    <w:rsid w:val="008C0DE7"/>
    <w:rsid w:val="008C0E2C"/>
    <w:rsid w:val="008C0E9C"/>
    <w:rsid w:val="008C0EDA"/>
    <w:rsid w:val="008C0FE1"/>
    <w:rsid w:val="008C1067"/>
    <w:rsid w:val="008C10FD"/>
    <w:rsid w:val="008C1438"/>
    <w:rsid w:val="008C150C"/>
    <w:rsid w:val="008C151D"/>
    <w:rsid w:val="008C156C"/>
    <w:rsid w:val="008C171E"/>
    <w:rsid w:val="008C1728"/>
    <w:rsid w:val="008C1729"/>
    <w:rsid w:val="008C172F"/>
    <w:rsid w:val="008C1973"/>
    <w:rsid w:val="008C19C3"/>
    <w:rsid w:val="008C19FC"/>
    <w:rsid w:val="008C1A25"/>
    <w:rsid w:val="008C1AD0"/>
    <w:rsid w:val="008C1B67"/>
    <w:rsid w:val="008C1CD3"/>
    <w:rsid w:val="008C1DF3"/>
    <w:rsid w:val="008C1EA1"/>
    <w:rsid w:val="008C1EE0"/>
    <w:rsid w:val="008C1EE9"/>
    <w:rsid w:val="008C1EFD"/>
    <w:rsid w:val="008C20B6"/>
    <w:rsid w:val="008C2557"/>
    <w:rsid w:val="008C25C7"/>
    <w:rsid w:val="008C26D4"/>
    <w:rsid w:val="008C2715"/>
    <w:rsid w:val="008C271B"/>
    <w:rsid w:val="008C2863"/>
    <w:rsid w:val="008C28B6"/>
    <w:rsid w:val="008C28F2"/>
    <w:rsid w:val="008C297F"/>
    <w:rsid w:val="008C29C2"/>
    <w:rsid w:val="008C2A82"/>
    <w:rsid w:val="008C2A93"/>
    <w:rsid w:val="008C2D22"/>
    <w:rsid w:val="008C2D6D"/>
    <w:rsid w:val="008C2DE6"/>
    <w:rsid w:val="008C2DF1"/>
    <w:rsid w:val="008C2E21"/>
    <w:rsid w:val="008C2E53"/>
    <w:rsid w:val="008C2ED0"/>
    <w:rsid w:val="008C2F09"/>
    <w:rsid w:val="008C2F71"/>
    <w:rsid w:val="008C3050"/>
    <w:rsid w:val="008C3175"/>
    <w:rsid w:val="008C32E9"/>
    <w:rsid w:val="008C33CB"/>
    <w:rsid w:val="008C33EC"/>
    <w:rsid w:val="008C3445"/>
    <w:rsid w:val="008C345D"/>
    <w:rsid w:val="008C3495"/>
    <w:rsid w:val="008C3573"/>
    <w:rsid w:val="008C3639"/>
    <w:rsid w:val="008C3677"/>
    <w:rsid w:val="008C37D2"/>
    <w:rsid w:val="008C3913"/>
    <w:rsid w:val="008C39C0"/>
    <w:rsid w:val="008C3A3E"/>
    <w:rsid w:val="008C3ABE"/>
    <w:rsid w:val="008C3F3B"/>
    <w:rsid w:val="008C3FAD"/>
    <w:rsid w:val="008C40CE"/>
    <w:rsid w:val="008C40CF"/>
    <w:rsid w:val="008C433C"/>
    <w:rsid w:val="008C434C"/>
    <w:rsid w:val="008C4403"/>
    <w:rsid w:val="008C44CC"/>
    <w:rsid w:val="008C45F3"/>
    <w:rsid w:val="008C46FA"/>
    <w:rsid w:val="008C4860"/>
    <w:rsid w:val="008C492F"/>
    <w:rsid w:val="008C4AE2"/>
    <w:rsid w:val="008C4B30"/>
    <w:rsid w:val="008C4B57"/>
    <w:rsid w:val="008C4BAC"/>
    <w:rsid w:val="008C4BEB"/>
    <w:rsid w:val="008C4DC0"/>
    <w:rsid w:val="008C4FC2"/>
    <w:rsid w:val="008C5094"/>
    <w:rsid w:val="008C50EF"/>
    <w:rsid w:val="008C5336"/>
    <w:rsid w:val="008C53B8"/>
    <w:rsid w:val="008C5453"/>
    <w:rsid w:val="008C54B5"/>
    <w:rsid w:val="008C54DB"/>
    <w:rsid w:val="008C5767"/>
    <w:rsid w:val="008C5778"/>
    <w:rsid w:val="008C58F2"/>
    <w:rsid w:val="008C591E"/>
    <w:rsid w:val="008C5A25"/>
    <w:rsid w:val="008C5BB7"/>
    <w:rsid w:val="008C5F94"/>
    <w:rsid w:val="008C5FF3"/>
    <w:rsid w:val="008C6082"/>
    <w:rsid w:val="008C61E3"/>
    <w:rsid w:val="008C6226"/>
    <w:rsid w:val="008C62DE"/>
    <w:rsid w:val="008C64E5"/>
    <w:rsid w:val="008C6532"/>
    <w:rsid w:val="008C6571"/>
    <w:rsid w:val="008C65F6"/>
    <w:rsid w:val="008C660F"/>
    <w:rsid w:val="008C665C"/>
    <w:rsid w:val="008C6756"/>
    <w:rsid w:val="008C6795"/>
    <w:rsid w:val="008C6998"/>
    <w:rsid w:val="008C6A4F"/>
    <w:rsid w:val="008C6C0D"/>
    <w:rsid w:val="008C6C95"/>
    <w:rsid w:val="008C6D24"/>
    <w:rsid w:val="008C6D8E"/>
    <w:rsid w:val="008C6D92"/>
    <w:rsid w:val="008C6F12"/>
    <w:rsid w:val="008C6F97"/>
    <w:rsid w:val="008C7055"/>
    <w:rsid w:val="008C70B9"/>
    <w:rsid w:val="008C7244"/>
    <w:rsid w:val="008C72A6"/>
    <w:rsid w:val="008C72BE"/>
    <w:rsid w:val="008C731D"/>
    <w:rsid w:val="008C7392"/>
    <w:rsid w:val="008C74A9"/>
    <w:rsid w:val="008C74E9"/>
    <w:rsid w:val="008C758F"/>
    <w:rsid w:val="008C7597"/>
    <w:rsid w:val="008C7682"/>
    <w:rsid w:val="008C771D"/>
    <w:rsid w:val="008C783B"/>
    <w:rsid w:val="008C78A2"/>
    <w:rsid w:val="008C7980"/>
    <w:rsid w:val="008C7A02"/>
    <w:rsid w:val="008C7B2E"/>
    <w:rsid w:val="008C7BB9"/>
    <w:rsid w:val="008C7C53"/>
    <w:rsid w:val="008C7C9B"/>
    <w:rsid w:val="008C7CAC"/>
    <w:rsid w:val="008C7CC5"/>
    <w:rsid w:val="008C7D78"/>
    <w:rsid w:val="008C7E62"/>
    <w:rsid w:val="008C7FC3"/>
    <w:rsid w:val="008D0129"/>
    <w:rsid w:val="008D0147"/>
    <w:rsid w:val="008D02A9"/>
    <w:rsid w:val="008D038F"/>
    <w:rsid w:val="008D03A2"/>
    <w:rsid w:val="008D03C5"/>
    <w:rsid w:val="008D0451"/>
    <w:rsid w:val="008D0519"/>
    <w:rsid w:val="008D05A1"/>
    <w:rsid w:val="008D0653"/>
    <w:rsid w:val="008D0675"/>
    <w:rsid w:val="008D0943"/>
    <w:rsid w:val="008D0AC1"/>
    <w:rsid w:val="008D0BAE"/>
    <w:rsid w:val="008D0BCE"/>
    <w:rsid w:val="008D0C22"/>
    <w:rsid w:val="008D0D5B"/>
    <w:rsid w:val="008D0D97"/>
    <w:rsid w:val="008D0E72"/>
    <w:rsid w:val="008D0E74"/>
    <w:rsid w:val="008D106E"/>
    <w:rsid w:val="008D1095"/>
    <w:rsid w:val="008D10BC"/>
    <w:rsid w:val="008D1314"/>
    <w:rsid w:val="008D137F"/>
    <w:rsid w:val="008D138D"/>
    <w:rsid w:val="008D13CB"/>
    <w:rsid w:val="008D14D5"/>
    <w:rsid w:val="008D1583"/>
    <w:rsid w:val="008D1668"/>
    <w:rsid w:val="008D1686"/>
    <w:rsid w:val="008D16CD"/>
    <w:rsid w:val="008D176D"/>
    <w:rsid w:val="008D187D"/>
    <w:rsid w:val="008D191D"/>
    <w:rsid w:val="008D198A"/>
    <w:rsid w:val="008D1C4F"/>
    <w:rsid w:val="008D1CC9"/>
    <w:rsid w:val="008D1D40"/>
    <w:rsid w:val="008D1E04"/>
    <w:rsid w:val="008D22ED"/>
    <w:rsid w:val="008D23CA"/>
    <w:rsid w:val="008D24F4"/>
    <w:rsid w:val="008D26DF"/>
    <w:rsid w:val="008D2AE5"/>
    <w:rsid w:val="008D2BD0"/>
    <w:rsid w:val="008D2C8D"/>
    <w:rsid w:val="008D2CEF"/>
    <w:rsid w:val="008D2D9F"/>
    <w:rsid w:val="008D2E6C"/>
    <w:rsid w:val="008D2F2C"/>
    <w:rsid w:val="008D2FA2"/>
    <w:rsid w:val="008D30A9"/>
    <w:rsid w:val="008D30C6"/>
    <w:rsid w:val="008D30E6"/>
    <w:rsid w:val="008D32C6"/>
    <w:rsid w:val="008D3682"/>
    <w:rsid w:val="008D3718"/>
    <w:rsid w:val="008D382C"/>
    <w:rsid w:val="008D39AA"/>
    <w:rsid w:val="008D3A21"/>
    <w:rsid w:val="008D3C5F"/>
    <w:rsid w:val="008D3C64"/>
    <w:rsid w:val="008D3CDB"/>
    <w:rsid w:val="008D3D21"/>
    <w:rsid w:val="008D3ED1"/>
    <w:rsid w:val="008D3FFA"/>
    <w:rsid w:val="008D4008"/>
    <w:rsid w:val="008D4026"/>
    <w:rsid w:val="008D40B8"/>
    <w:rsid w:val="008D40D5"/>
    <w:rsid w:val="008D4154"/>
    <w:rsid w:val="008D4170"/>
    <w:rsid w:val="008D4197"/>
    <w:rsid w:val="008D4201"/>
    <w:rsid w:val="008D4390"/>
    <w:rsid w:val="008D44B8"/>
    <w:rsid w:val="008D44D9"/>
    <w:rsid w:val="008D4616"/>
    <w:rsid w:val="008D471D"/>
    <w:rsid w:val="008D49DE"/>
    <w:rsid w:val="008D49E6"/>
    <w:rsid w:val="008D4A3D"/>
    <w:rsid w:val="008D4A78"/>
    <w:rsid w:val="008D4E95"/>
    <w:rsid w:val="008D4F37"/>
    <w:rsid w:val="008D4F68"/>
    <w:rsid w:val="008D501D"/>
    <w:rsid w:val="008D50CF"/>
    <w:rsid w:val="008D544A"/>
    <w:rsid w:val="008D5729"/>
    <w:rsid w:val="008D5782"/>
    <w:rsid w:val="008D57AB"/>
    <w:rsid w:val="008D5829"/>
    <w:rsid w:val="008D5868"/>
    <w:rsid w:val="008D59B0"/>
    <w:rsid w:val="008D59FD"/>
    <w:rsid w:val="008D5A94"/>
    <w:rsid w:val="008D5C33"/>
    <w:rsid w:val="008D5C5B"/>
    <w:rsid w:val="008D5C6D"/>
    <w:rsid w:val="008D5D05"/>
    <w:rsid w:val="008D5ECC"/>
    <w:rsid w:val="008D5FDE"/>
    <w:rsid w:val="008D6017"/>
    <w:rsid w:val="008D6178"/>
    <w:rsid w:val="008D6201"/>
    <w:rsid w:val="008D6261"/>
    <w:rsid w:val="008D62A2"/>
    <w:rsid w:val="008D660B"/>
    <w:rsid w:val="008D663B"/>
    <w:rsid w:val="008D675E"/>
    <w:rsid w:val="008D6782"/>
    <w:rsid w:val="008D6806"/>
    <w:rsid w:val="008D6829"/>
    <w:rsid w:val="008D68BE"/>
    <w:rsid w:val="008D6937"/>
    <w:rsid w:val="008D6C9F"/>
    <w:rsid w:val="008D6D2C"/>
    <w:rsid w:val="008D6EA8"/>
    <w:rsid w:val="008D6F01"/>
    <w:rsid w:val="008D6F4F"/>
    <w:rsid w:val="008D70A4"/>
    <w:rsid w:val="008D713A"/>
    <w:rsid w:val="008D719D"/>
    <w:rsid w:val="008D71EB"/>
    <w:rsid w:val="008D7219"/>
    <w:rsid w:val="008D73CB"/>
    <w:rsid w:val="008D7556"/>
    <w:rsid w:val="008D765F"/>
    <w:rsid w:val="008D7905"/>
    <w:rsid w:val="008D790F"/>
    <w:rsid w:val="008D7BA7"/>
    <w:rsid w:val="008D7C45"/>
    <w:rsid w:val="008D7CF0"/>
    <w:rsid w:val="008D7D88"/>
    <w:rsid w:val="008D7E58"/>
    <w:rsid w:val="008D7EA5"/>
    <w:rsid w:val="008D7F95"/>
    <w:rsid w:val="008D7FCC"/>
    <w:rsid w:val="008E00F9"/>
    <w:rsid w:val="008E0265"/>
    <w:rsid w:val="008E029C"/>
    <w:rsid w:val="008E0316"/>
    <w:rsid w:val="008E0398"/>
    <w:rsid w:val="008E0431"/>
    <w:rsid w:val="008E0445"/>
    <w:rsid w:val="008E04C2"/>
    <w:rsid w:val="008E04E3"/>
    <w:rsid w:val="008E05E6"/>
    <w:rsid w:val="008E05EF"/>
    <w:rsid w:val="008E068E"/>
    <w:rsid w:val="008E07EB"/>
    <w:rsid w:val="008E086A"/>
    <w:rsid w:val="008E0892"/>
    <w:rsid w:val="008E0925"/>
    <w:rsid w:val="008E095B"/>
    <w:rsid w:val="008E09D6"/>
    <w:rsid w:val="008E0A35"/>
    <w:rsid w:val="008E0A52"/>
    <w:rsid w:val="008E0B94"/>
    <w:rsid w:val="008E0BB3"/>
    <w:rsid w:val="008E0C15"/>
    <w:rsid w:val="008E0C25"/>
    <w:rsid w:val="008E0D9A"/>
    <w:rsid w:val="008E0F6C"/>
    <w:rsid w:val="008E0FA4"/>
    <w:rsid w:val="008E1120"/>
    <w:rsid w:val="008E12C9"/>
    <w:rsid w:val="008E12FB"/>
    <w:rsid w:val="008E148A"/>
    <w:rsid w:val="008E157A"/>
    <w:rsid w:val="008E16FC"/>
    <w:rsid w:val="008E1866"/>
    <w:rsid w:val="008E192C"/>
    <w:rsid w:val="008E19FF"/>
    <w:rsid w:val="008E1A11"/>
    <w:rsid w:val="008E1ABB"/>
    <w:rsid w:val="008E1C1E"/>
    <w:rsid w:val="008E1CB3"/>
    <w:rsid w:val="008E1CD9"/>
    <w:rsid w:val="008E1D86"/>
    <w:rsid w:val="008E1E63"/>
    <w:rsid w:val="008E2340"/>
    <w:rsid w:val="008E23B8"/>
    <w:rsid w:val="008E241F"/>
    <w:rsid w:val="008E257A"/>
    <w:rsid w:val="008E2673"/>
    <w:rsid w:val="008E26EE"/>
    <w:rsid w:val="008E2B01"/>
    <w:rsid w:val="008E2C2D"/>
    <w:rsid w:val="008E2D67"/>
    <w:rsid w:val="008E2F80"/>
    <w:rsid w:val="008E2F8C"/>
    <w:rsid w:val="008E2F8F"/>
    <w:rsid w:val="008E311E"/>
    <w:rsid w:val="008E3162"/>
    <w:rsid w:val="008E31B1"/>
    <w:rsid w:val="008E3260"/>
    <w:rsid w:val="008E33BA"/>
    <w:rsid w:val="008E3465"/>
    <w:rsid w:val="008E362A"/>
    <w:rsid w:val="008E36ED"/>
    <w:rsid w:val="008E38E6"/>
    <w:rsid w:val="008E392A"/>
    <w:rsid w:val="008E3A62"/>
    <w:rsid w:val="008E3B50"/>
    <w:rsid w:val="008E3EE6"/>
    <w:rsid w:val="008E4076"/>
    <w:rsid w:val="008E40F2"/>
    <w:rsid w:val="008E4131"/>
    <w:rsid w:val="008E4173"/>
    <w:rsid w:val="008E424C"/>
    <w:rsid w:val="008E42AD"/>
    <w:rsid w:val="008E44A3"/>
    <w:rsid w:val="008E45FC"/>
    <w:rsid w:val="008E4700"/>
    <w:rsid w:val="008E470C"/>
    <w:rsid w:val="008E4D6E"/>
    <w:rsid w:val="008E4DD5"/>
    <w:rsid w:val="008E5045"/>
    <w:rsid w:val="008E50D5"/>
    <w:rsid w:val="008E50DA"/>
    <w:rsid w:val="008E51DD"/>
    <w:rsid w:val="008E51FE"/>
    <w:rsid w:val="008E522D"/>
    <w:rsid w:val="008E536F"/>
    <w:rsid w:val="008E5510"/>
    <w:rsid w:val="008E5530"/>
    <w:rsid w:val="008E56C4"/>
    <w:rsid w:val="008E5828"/>
    <w:rsid w:val="008E594E"/>
    <w:rsid w:val="008E5BFB"/>
    <w:rsid w:val="008E5D8D"/>
    <w:rsid w:val="008E6246"/>
    <w:rsid w:val="008E64E9"/>
    <w:rsid w:val="008E65B3"/>
    <w:rsid w:val="008E65DA"/>
    <w:rsid w:val="008E6627"/>
    <w:rsid w:val="008E6635"/>
    <w:rsid w:val="008E68AE"/>
    <w:rsid w:val="008E691D"/>
    <w:rsid w:val="008E6A6C"/>
    <w:rsid w:val="008E6BDD"/>
    <w:rsid w:val="008E6CC1"/>
    <w:rsid w:val="008E6D15"/>
    <w:rsid w:val="008E6D54"/>
    <w:rsid w:val="008E6ED0"/>
    <w:rsid w:val="008E6FE1"/>
    <w:rsid w:val="008E715E"/>
    <w:rsid w:val="008E74CB"/>
    <w:rsid w:val="008E7651"/>
    <w:rsid w:val="008E7722"/>
    <w:rsid w:val="008E7764"/>
    <w:rsid w:val="008E7966"/>
    <w:rsid w:val="008E7A6F"/>
    <w:rsid w:val="008E7BE4"/>
    <w:rsid w:val="008E7CA0"/>
    <w:rsid w:val="008E7DE3"/>
    <w:rsid w:val="008E7F52"/>
    <w:rsid w:val="008E7F6A"/>
    <w:rsid w:val="008E7F74"/>
    <w:rsid w:val="008F00AF"/>
    <w:rsid w:val="008F0290"/>
    <w:rsid w:val="008F0381"/>
    <w:rsid w:val="008F05A7"/>
    <w:rsid w:val="008F06A0"/>
    <w:rsid w:val="008F0790"/>
    <w:rsid w:val="008F07C1"/>
    <w:rsid w:val="008F0822"/>
    <w:rsid w:val="008F0930"/>
    <w:rsid w:val="008F0AAA"/>
    <w:rsid w:val="008F0BAD"/>
    <w:rsid w:val="008F0BE8"/>
    <w:rsid w:val="008F0C39"/>
    <w:rsid w:val="008F0CB2"/>
    <w:rsid w:val="008F0D5B"/>
    <w:rsid w:val="008F0E56"/>
    <w:rsid w:val="008F0F83"/>
    <w:rsid w:val="008F115E"/>
    <w:rsid w:val="008F11FB"/>
    <w:rsid w:val="008F12BB"/>
    <w:rsid w:val="008F1346"/>
    <w:rsid w:val="008F1362"/>
    <w:rsid w:val="008F13F0"/>
    <w:rsid w:val="008F1587"/>
    <w:rsid w:val="008F1729"/>
    <w:rsid w:val="008F1788"/>
    <w:rsid w:val="008F1885"/>
    <w:rsid w:val="008F18A0"/>
    <w:rsid w:val="008F1997"/>
    <w:rsid w:val="008F1AFA"/>
    <w:rsid w:val="008F1C3C"/>
    <w:rsid w:val="008F1D1C"/>
    <w:rsid w:val="008F1D67"/>
    <w:rsid w:val="008F1DBB"/>
    <w:rsid w:val="008F1F09"/>
    <w:rsid w:val="008F1F42"/>
    <w:rsid w:val="008F1F9E"/>
    <w:rsid w:val="008F2058"/>
    <w:rsid w:val="008F21D9"/>
    <w:rsid w:val="008F2362"/>
    <w:rsid w:val="008F236D"/>
    <w:rsid w:val="008F25D6"/>
    <w:rsid w:val="008F25F3"/>
    <w:rsid w:val="008F26E9"/>
    <w:rsid w:val="008F2710"/>
    <w:rsid w:val="008F271C"/>
    <w:rsid w:val="008F2721"/>
    <w:rsid w:val="008F28CE"/>
    <w:rsid w:val="008F295F"/>
    <w:rsid w:val="008F2A13"/>
    <w:rsid w:val="008F2BC2"/>
    <w:rsid w:val="008F2C69"/>
    <w:rsid w:val="008F2F37"/>
    <w:rsid w:val="008F3256"/>
    <w:rsid w:val="008F32B5"/>
    <w:rsid w:val="008F32F0"/>
    <w:rsid w:val="008F333B"/>
    <w:rsid w:val="008F33E1"/>
    <w:rsid w:val="008F344B"/>
    <w:rsid w:val="008F354C"/>
    <w:rsid w:val="008F359B"/>
    <w:rsid w:val="008F359F"/>
    <w:rsid w:val="008F360F"/>
    <w:rsid w:val="008F36F2"/>
    <w:rsid w:val="008F3777"/>
    <w:rsid w:val="008F37C4"/>
    <w:rsid w:val="008F3859"/>
    <w:rsid w:val="008F3965"/>
    <w:rsid w:val="008F39FC"/>
    <w:rsid w:val="008F3AC3"/>
    <w:rsid w:val="008F3B58"/>
    <w:rsid w:val="008F3C60"/>
    <w:rsid w:val="008F3CEE"/>
    <w:rsid w:val="008F3D21"/>
    <w:rsid w:val="008F3E0B"/>
    <w:rsid w:val="008F3E1F"/>
    <w:rsid w:val="008F3EC6"/>
    <w:rsid w:val="008F3F61"/>
    <w:rsid w:val="008F4035"/>
    <w:rsid w:val="008F4101"/>
    <w:rsid w:val="008F41BF"/>
    <w:rsid w:val="008F425F"/>
    <w:rsid w:val="008F427C"/>
    <w:rsid w:val="008F4320"/>
    <w:rsid w:val="008F4349"/>
    <w:rsid w:val="008F4376"/>
    <w:rsid w:val="008F457E"/>
    <w:rsid w:val="008F45B0"/>
    <w:rsid w:val="008F4708"/>
    <w:rsid w:val="008F47BA"/>
    <w:rsid w:val="008F480E"/>
    <w:rsid w:val="008F4990"/>
    <w:rsid w:val="008F4A23"/>
    <w:rsid w:val="008F4E01"/>
    <w:rsid w:val="008F4EAE"/>
    <w:rsid w:val="008F4F1C"/>
    <w:rsid w:val="008F5136"/>
    <w:rsid w:val="008F5284"/>
    <w:rsid w:val="008F5290"/>
    <w:rsid w:val="008F53DA"/>
    <w:rsid w:val="008F5500"/>
    <w:rsid w:val="008F55BE"/>
    <w:rsid w:val="008F56D8"/>
    <w:rsid w:val="008F56F1"/>
    <w:rsid w:val="008F57A7"/>
    <w:rsid w:val="008F57BC"/>
    <w:rsid w:val="008F587A"/>
    <w:rsid w:val="008F593F"/>
    <w:rsid w:val="008F59C9"/>
    <w:rsid w:val="008F5E84"/>
    <w:rsid w:val="008F5EEB"/>
    <w:rsid w:val="008F6285"/>
    <w:rsid w:val="008F650B"/>
    <w:rsid w:val="008F654B"/>
    <w:rsid w:val="008F6575"/>
    <w:rsid w:val="008F6828"/>
    <w:rsid w:val="008F6951"/>
    <w:rsid w:val="008F6975"/>
    <w:rsid w:val="008F69CE"/>
    <w:rsid w:val="008F6A62"/>
    <w:rsid w:val="008F6BF8"/>
    <w:rsid w:val="008F6DF1"/>
    <w:rsid w:val="008F6F0B"/>
    <w:rsid w:val="008F7143"/>
    <w:rsid w:val="008F716F"/>
    <w:rsid w:val="008F71A2"/>
    <w:rsid w:val="008F72B8"/>
    <w:rsid w:val="008F72C6"/>
    <w:rsid w:val="008F756C"/>
    <w:rsid w:val="008F75C5"/>
    <w:rsid w:val="008F7724"/>
    <w:rsid w:val="008F77A5"/>
    <w:rsid w:val="008F77BF"/>
    <w:rsid w:val="008F78EF"/>
    <w:rsid w:val="008F7AFF"/>
    <w:rsid w:val="008F7B48"/>
    <w:rsid w:val="008F7D39"/>
    <w:rsid w:val="008F7DD7"/>
    <w:rsid w:val="008F7E30"/>
    <w:rsid w:val="008F7E5A"/>
    <w:rsid w:val="008F7F3F"/>
    <w:rsid w:val="008F7F63"/>
    <w:rsid w:val="009000B7"/>
    <w:rsid w:val="00900176"/>
    <w:rsid w:val="0090027E"/>
    <w:rsid w:val="009004A6"/>
    <w:rsid w:val="00900559"/>
    <w:rsid w:val="009005D6"/>
    <w:rsid w:val="00900733"/>
    <w:rsid w:val="0090079F"/>
    <w:rsid w:val="00900BA7"/>
    <w:rsid w:val="00900C4A"/>
    <w:rsid w:val="00900D70"/>
    <w:rsid w:val="00900E1F"/>
    <w:rsid w:val="00900FAD"/>
    <w:rsid w:val="00901071"/>
    <w:rsid w:val="0090108D"/>
    <w:rsid w:val="00901099"/>
    <w:rsid w:val="009010C3"/>
    <w:rsid w:val="0090131C"/>
    <w:rsid w:val="009013BA"/>
    <w:rsid w:val="00901582"/>
    <w:rsid w:val="009016B2"/>
    <w:rsid w:val="009016F3"/>
    <w:rsid w:val="0090185B"/>
    <w:rsid w:val="0090193F"/>
    <w:rsid w:val="00901A6A"/>
    <w:rsid w:val="00901BB7"/>
    <w:rsid w:val="00901CA2"/>
    <w:rsid w:val="00901D7A"/>
    <w:rsid w:val="00901E1D"/>
    <w:rsid w:val="00901F63"/>
    <w:rsid w:val="00902160"/>
    <w:rsid w:val="009022DA"/>
    <w:rsid w:val="009022F8"/>
    <w:rsid w:val="009024A0"/>
    <w:rsid w:val="0090258B"/>
    <w:rsid w:val="009026C8"/>
    <w:rsid w:val="0090285A"/>
    <w:rsid w:val="00902863"/>
    <w:rsid w:val="0090299F"/>
    <w:rsid w:val="00902AC0"/>
    <w:rsid w:val="00902AD9"/>
    <w:rsid w:val="00902B80"/>
    <w:rsid w:val="00902D72"/>
    <w:rsid w:val="00902DED"/>
    <w:rsid w:val="00902DF9"/>
    <w:rsid w:val="00902E68"/>
    <w:rsid w:val="0090301F"/>
    <w:rsid w:val="00903059"/>
    <w:rsid w:val="0090307E"/>
    <w:rsid w:val="009030C7"/>
    <w:rsid w:val="009030E9"/>
    <w:rsid w:val="009031BF"/>
    <w:rsid w:val="00903328"/>
    <w:rsid w:val="00903493"/>
    <w:rsid w:val="00903572"/>
    <w:rsid w:val="00903658"/>
    <w:rsid w:val="009036EF"/>
    <w:rsid w:val="009038D6"/>
    <w:rsid w:val="00903B3D"/>
    <w:rsid w:val="00903B48"/>
    <w:rsid w:val="00903E39"/>
    <w:rsid w:val="00903FA0"/>
    <w:rsid w:val="00903FF0"/>
    <w:rsid w:val="0090404D"/>
    <w:rsid w:val="00904098"/>
    <w:rsid w:val="00904427"/>
    <w:rsid w:val="009045FC"/>
    <w:rsid w:val="0090460D"/>
    <w:rsid w:val="00904657"/>
    <w:rsid w:val="009047AD"/>
    <w:rsid w:val="00904A85"/>
    <w:rsid w:val="00904B1D"/>
    <w:rsid w:val="00904DF5"/>
    <w:rsid w:val="00904F4B"/>
    <w:rsid w:val="00904F79"/>
    <w:rsid w:val="00904FDE"/>
    <w:rsid w:val="009050E6"/>
    <w:rsid w:val="00905235"/>
    <w:rsid w:val="00905297"/>
    <w:rsid w:val="0090532B"/>
    <w:rsid w:val="0090532D"/>
    <w:rsid w:val="00905410"/>
    <w:rsid w:val="009054BB"/>
    <w:rsid w:val="009054FA"/>
    <w:rsid w:val="0090553D"/>
    <w:rsid w:val="009055C0"/>
    <w:rsid w:val="00905605"/>
    <w:rsid w:val="009057DD"/>
    <w:rsid w:val="009057EF"/>
    <w:rsid w:val="0090583D"/>
    <w:rsid w:val="009058B2"/>
    <w:rsid w:val="0090597F"/>
    <w:rsid w:val="00905A33"/>
    <w:rsid w:val="00905ABD"/>
    <w:rsid w:val="00905B10"/>
    <w:rsid w:val="00905D3A"/>
    <w:rsid w:val="00905DA7"/>
    <w:rsid w:val="00906060"/>
    <w:rsid w:val="00906073"/>
    <w:rsid w:val="0090609F"/>
    <w:rsid w:val="009061A7"/>
    <w:rsid w:val="00906207"/>
    <w:rsid w:val="0090621F"/>
    <w:rsid w:val="0090646C"/>
    <w:rsid w:val="00906716"/>
    <w:rsid w:val="009067B4"/>
    <w:rsid w:val="0090681E"/>
    <w:rsid w:val="00906878"/>
    <w:rsid w:val="0090689C"/>
    <w:rsid w:val="009068E6"/>
    <w:rsid w:val="00906935"/>
    <w:rsid w:val="009069F5"/>
    <w:rsid w:val="00906B23"/>
    <w:rsid w:val="00906D65"/>
    <w:rsid w:val="00906DE8"/>
    <w:rsid w:val="00906E6B"/>
    <w:rsid w:val="00906EBA"/>
    <w:rsid w:val="0090717E"/>
    <w:rsid w:val="009073A3"/>
    <w:rsid w:val="009073FA"/>
    <w:rsid w:val="00907491"/>
    <w:rsid w:val="009074A1"/>
    <w:rsid w:val="0090750A"/>
    <w:rsid w:val="00907591"/>
    <w:rsid w:val="00907703"/>
    <w:rsid w:val="00907784"/>
    <w:rsid w:val="009077AB"/>
    <w:rsid w:val="009077C1"/>
    <w:rsid w:val="009077C3"/>
    <w:rsid w:val="00907815"/>
    <w:rsid w:val="009079D2"/>
    <w:rsid w:val="00907A1B"/>
    <w:rsid w:val="00907CAA"/>
    <w:rsid w:val="00907E5F"/>
    <w:rsid w:val="00907EBA"/>
    <w:rsid w:val="00907F90"/>
    <w:rsid w:val="00907FE7"/>
    <w:rsid w:val="0091003A"/>
    <w:rsid w:val="009100E2"/>
    <w:rsid w:val="009101EE"/>
    <w:rsid w:val="0091027D"/>
    <w:rsid w:val="009102AE"/>
    <w:rsid w:val="009102F4"/>
    <w:rsid w:val="009103EE"/>
    <w:rsid w:val="0091051F"/>
    <w:rsid w:val="009105D2"/>
    <w:rsid w:val="00910614"/>
    <w:rsid w:val="00910631"/>
    <w:rsid w:val="00910AA7"/>
    <w:rsid w:val="00910B12"/>
    <w:rsid w:val="00910C20"/>
    <w:rsid w:val="00910CA9"/>
    <w:rsid w:val="00910D96"/>
    <w:rsid w:val="00910DD2"/>
    <w:rsid w:val="00910E16"/>
    <w:rsid w:val="00910F29"/>
    <w:rsid w:val="00910FF6"/>
    <w:rsid w:val="009113AF"/>
    <w:rsid w:val="00911501"/>
    <w:rsid w:val="009115BF"/>
    <w:rsid w:val="00911620"/>
    <w:rsid w:val="00911753"/>
    <w:rsid w:val="00911842"/>
    <w:rsid w:val="009118DB"/>
    <w:rsid w:val="009118E3"/>
    <w:rsid w:val="00911B71"/>
    <w:rsid w:val="00911C1E"/>
    <w:rsid w:val="00911D16"/>
    <w:rsid w:val="00911E78"/>
    <w:rsid w:val="00911F2A"/>
    <w:rsid w:val="00912139"/>
    <w:rsid w:val="009121D8"/>
    <w:rsid w:val="0091224B"/>
    <w:rsid w:val="0091229A"/>
    <w:rsid w:val="0091234B"/>
    <w:rsid w:val="00912539"/>
    <w:rsid w:val="009125AB"/>
    <w:rsid w:val="009125AC"/>
    <w:rsid w:val="0091263B"/>
    <w:rsid w:val="00912858"/>
    <w:rsid w:val="00912968"/>
    <w:rsid w:val="009129F4"/>
    <w:rsid w:val="00912F34"/>
    <w:rsid w:val="00912FE4"/>
    <w:rsid w:val="00912FF0"/>
    <w:rsid w:val="009130A9"/>
    <w:rsid w:val="00913188"/>
    <w:rsid w:val="00913318"/>
    <w:rsid w:val="00913481"/>
    <w:rsid w:val="00913499"/>
    <w:rsid w:val="0091362F"/>
    <w:rsid w:val="00913649"/>
    <w:rsid w:val="00913751"/>
    <w:rsid w:val="00913A22"/>
    <w:rsid w:val="00913D20"/>
    <w:rsid w:val="00913DAF"/>
    <w:rsid w:val="00913DD4"/>
    <w:rsid w:val="00913DF3"/>
    <w:rsid w:val="00913EE1"/>
    <w:rsid w:val="00913FAF"/>
    <w:rsid w:val="0091410E"/>
    <w:rsid w:val="00914172"/>
    <w:rsid w:val="00914186"/>
    <w:rsid w:val="009142E2"/>
    <w:rsid w:val="009143CF"/>
    <w:rsid w:val="009144F9"/>
    <w:rsid w:val="00914521"/>
    <w:rsid w:val="00914525"/>
    <w:rsid w:val="00914725"/>
    <w:rsid w:val="0091476E"/>
    <w:rsid w:val="009147FC"/>
    <w:rsid w:val="009148B9"/>
    <w:rsid w:val="00914A53"/>
    <w:rsid w:val="00914BA1"/>
    <w:rsid w:val="00914CA9"/>
    <w:rsid w:val="00914E9E"/>
    <w:rsid w:val="009151A2"/>
    <w:rsid w:val="0091537B"/>
    <w:rsid w:val="0091552F"/>
    <w:rsid w:val="009156FB"/>
    <w:rsid w:val="0091574B"/>
    <w:rsid w:val="0091582A"/>
    <w:rsid w:val="00915886"/>
    <w:rsid w:val="009159D4"/>
    <w:rsid w:val="00915ACF"/>
    <w:rsid w:val="00915B5A"/>
    <w:rsid w:val="00915C2B"/>
    <w:rsid w:val="00915C70"/>
    <w:rsid w:val="00915CA6"/>
    <w:rsid w:val="00915D1C"/>
    <w:rsid w:val="00915E07"/>
    <w:rsid w:val="00915F16"/>
    <w:rsid w:val="00916214"/>
    <w:rsid w:val="0091628F"/>
    <w:rsid w:val="00916298"/>
    <w:rsid w:val="0091630E"/>
    <w:rsid w:val="00916313"/>
    <w:rsid w:val="009163F4"/>
    <w:rsid w:val="00916944"/>
    <w:rsid w:val="00916976"/>
    <w:rsid w:val="00916C55"/>
    <w:rsid w:val="00916C98"/>
    <w:rsid w:val="00916FDB"/>
    <w:rsid w:val="0091712C"/>
    <w:rsid w:val="00917290"/>
    <w:rsid w:val="0091731D"/>
    <w:rsid w:val="00917356"/>
    <w:rsid w:val="009173B3"/>
    <w:rsid w:val="0091786C"/>
    <w:rsid w:val="009178A5"/>
    <w:rsid w:val="00917AF8"/>
    <w:rsid w:val="00917B8D"/>
    <w:rsid w:val="00917C13"/>
    <w:rsid w:val="00917E7C"/>
    <w:rsid w:val="00917ED0"/>
    <w:rsid w:val="009200CE"/>
    <w:rsid w:val="009200D5"/>
    <w:rsid w:val="00920153"/>
    <w:rsid w:val="00920261"/>
    <w:rsid w:val="009203CB"/>
    <w:rsid w:val="009203CF"/>
    <w:rsid w:val="00920447"/>
    <w:rsid w:val="009205A8"/>
    <w:rsid w:val="009206D5"/>
    <w:rsid w:val="009207EB"/>
    <w:rsid w:val="00920839"/>
    <w:rsid w:val="00920B19"/>
    <w:rsid w:val="00920B50"/>
    <w:rsid w:val="00920C5C"/>
    <w:rsid w:val="00920D28"/>
    <w:rsid w:val="00920DF6"/>
    <w:rsid w:val="00920E8E"/>
    <w:rsid w:val="00920E91"/>
    <w:rsid w:val="00920F5A"/>
    <w:rsid w:val="00920F72"/>
    <w:rsid w:val="00920F97"/>
    <w:rsid w:val="00920FB3"/>
    <w:rsid w:val="00921025"/>
    <w:rsid w:val="009210E6"/>
    <w:rsid w:val="009211DC"/>
    <w:rsid w:val="00921304"/>
    <w:rsid w:val="0092132A"/>
    <w:rsid w:val="009213A2"/>
    <w:rsid w:val="009213C9"/>
    <w:rsid w:val="0092162A"/>
    <w:rsid w:val="009216F3"/>
    <w:rsid w:val="009217EA"/>
    <w:rsid w:val="009218DA"/>
    <w:rsid w:val="00921935"/>
    <w:rsid w:val="00921A9E"/>
    <w:rsid w:val="00921BA2"/>
    <w:rsid w:val="00921BED"/>
    <w:rsid w:val="00921CFE"/>
    <w:rsid w:val="00921D9C"/>
    <w:rsid w:val="00921DCC"/>
    <w:rsid w:val="00921E34"/>
    <w:rsid w:val="00921F62"/>
    <w:rsid w:val="00922028"/>
    <w:rsid w:val="009220ED"/>
    <w:rsid w:val="009220F1"/>
    <w:rsid w:val="009222C4"/>
    <w:rsid w:val="00922515"/>
    <w:rsid w:val="00922686"/>
    <w:rsid w:val="009226A2"/>
    <w:rsid w:val="009227C4"/>
    <w:rsid w:val="009229D7"/>
    <w:rsid w:val="00922B4A"/>
    <w:rsid w:val="00922B53"/>
    <w:rsid w:val="00922B56"/>
    <w:rsid w:val="00922B7F"/>
    <w:rsid w:val="00922B9B"/>
    <w:rsid w:val="00922BF9"/>
    <w:rsid w:val="00922C41"/>
    <w:rsid w:val="00922CA6"/>
    <w:rsid w:val="00922DDF"/>
    <w:rsid w:val="00922ECA"/>
    <w:rsid w:val="00922EF7"/>
    <w:rsid w:val="0092305F"/>
    <w:rsid w:val="00923124"/>
    <w:rsid w:val="009231D7"/>
    <w:rsid w:val="009232D9"/>
    <w:rsid w:val="009232F8"/>
    <w:rsid w:val="00923375"/>
    <w:rsid w:val="0092340C"/>
    <w:rsid w:val="00923454"/>
    <w:rsid w:val="0092356E"/>
    <w:rsid w:val="00923814"/>
    <w:rsid w:val="0092388A"/>
    <w:rsid w:val="009239FE"/>
    <w:rsid w:val="00923B71"/>
    <w:rsid w:val="00923CF1"/>
    <w:rsid w:val="00923DB6"/>
    <w:rsid w:val="00924203"/>
    <w:rsid w:val="0092425E"/>
    <w:rsid w:val="00924552"/>
    <w:rsid w:val="0092455F"/>
    <w:rsid w:val="00924677"/>
    <w:rsid w:val="0092467F"/>
    <w:rsid w:val="009246B8"/>
    <w:rsid w:val="00924705"/>
    <w:rsid w:val="0092474E"/>
    <w:rsid w:val="009247A0"/>
    <w:rsid w:val="009248FB"/>
    <w:rsid w:val="00924ACC"/>
    <w:rsid w:val="00924B8A"/>
    <w:rsid w:val="00924C6D"/>
    <w:rsid w:val="00924CC2"/>
    <w:rsid w:val="00924D4C"/>
    <w:rsid w:val="00924E9A"/>
    <w:rsid w:val="00924F0F"/>
    <w:rsid w:val="00924FDA"/>
    <w:rsid w:val="00925004"/>
    <w:rsid w:val="00925008"/>
    <w:rsid w:val="009250D3"/>
    <w:rsid w:val="00925148"/>
    <w:rsid w:val="00925169"/>
    <w:rsid w:val="00925288"/>
    <w:rsid w:val="009253B8"/>
    <w:rsid w:val="00925514"/>
    <w:rsid w:val="0092554A"/>
    <w:rsid w:val="0092555E"/>
    <w:rsid w:val="00925594"/>
    <w:rsid w:val="0092561A"/>
    <w:rsid w:val="00925622"/>
    <w:rsid w:val="0092573B"/>
    <w:rsid w:val="0092574D"/>
    <w:rsid w:val="00925753"/>
    <w:rsid w:val="00925780"/>
    <w:rsid w:val="00925831"/>
    <w:rsid w:val="0092584A"/>
    <w:rsid w:val="009259A5"/>
    <w:rsid w:val="00925AEE"/>
    <w:rsid w:val="00925BAB"/>
    <w:rsid w:val="00925CD6"/>
    <w:rsid w:val="00925EA0"/>
    <w:rsid w:val="00925EA9"/>
    <w:rsid w:val="00925EFC"/>
    <w:rsid w:val="0092602A"/>
    <w:rsid w:val="00926113"/>
    <w:rsid w:val="00926491"/>
    <w:rsid w:val="009264AC"/>
    <w:rsid w:val="0092669A"/>
    <w:rsid w:val="009266AB"/>
    <w:rsid w:val="009266DC"/>
    <w:rsid w:val="00926761"/>
    <w:rsid w:val="0092687F"/>
    <w:rsid w:val="00926889"/>
    <w:rsid w:val="00926914"/>
    <w:rsid w:val="00926B22"/>
    <w:rsid w:val="00926B67"/>
    <w:rsid w:val="00926DB8"/>
    <w:rsid w:val="00926FE3"/>
    <w:rsid w:val="0092739D"/>
    <w:rsid w:val="009273EF"/>
    <w:rsid w:val="00927643"/>
    <w:rsid w:val="00927672"/>
    <w:rsid w:val="009277E7"/>
    <w:rsid w:val="009278F8"/>
    <w:rsid w:val="00927A24"/>
    <w:rsid w:val="00927DB6"/>
    <w:rsid w:val="00927EFF"/>
    <w:rsid w:val="00927FCB"/>
    <w:rsid w:val="00930321"/>
    <w:rsid w:val="00930411"/>
    <w:rsid w:val="00930424"/>
    <w:rsid w:val="0093044B"/>
    <w:rsid w:val="0093054D"/>
    <w:rsid w:val="00930818"/>
    <w:rsid w:val="00930B0E"/>
    <w:rsid w:val="00930B90"/>
    <w:rsid w:val="00930BA0"/>
    <w:rsid w:val="00930E37"/>
    <w:rsid w:val="00930FA5"/>
    <w:rsid w:val="00931036"/>
    <w:rsid w:val="009310D7"/>
    <w:rsid w:val="009310F4"/>
    <w:rsid w:val="0093112D"/>
    <w:rsid w:val="00931174"/>
    <w:rsid w:val="00931259"/>
    <w:rsid w:val="009312FB"/>
    <w:rsid w:val="0093131A"/>
    <w:rsid w:val="009313F2"/>
    <w:rsid w:val="0093148C"/>
    <w:rsid w:val="009314DF"/>
    <w:rsid w:val="009314E8"/>
    <w:rsid w:val="0093166E"/>
    <w:rsid w:val="009316F0"/>
    <w:rsid w:val="0093182E"/>
    <w:rsid w:val="00931951"/>
    <w:rsid w:val="00931958"/>
    <w:rsid w:val="00931BAE"/>
    <w:rsid w:val="00931DD1"/>
    <w:rsid w:val="00931ECA"/>
    <w:rsid w:val="00931FC6"/>
    <w:rsid w:val="00932131"/>
    <w:rsid w:val="0093214D"/>
    <w:rsid w:val="00932568"/>
    <w:rsid w:val="009325AD"/>
    <w:rsid w:val="0093274B"/>
    <w:rsid w:val="00932958"/>
    <w:rsid w:val="00932990"/>
    <w:rsid w:val="00932A00"/>
    <w:rsid w:val="00932A3F"/>
    <w:rsid w:val="00932BBE"/>
    <w:rsid w:val="00932BF5"/>
    <w:rsid w:val="00932C8B"/>
    <w:rsid w:val="00932D2D"/>
    <w:rsid w:val="00932D37"/>
    <w:rsid w:val="00932F41"/>
    <w:rsid w:val="00933009"/>
    <w:rsid w:val="00933104"/>
    <w:rsid w:val="0093310A"/>
    <w:rsid w:val="00933137"/>
    <w:rsid w:val="00933145"/>
    <w:rsid w:val="0093330A"/>
    <w:rsid w:val="0093336B"/>
    <w:rsid w:val="00933387"/>
    <w:rsid w:val="0093340A"/>
    <w:rsid w:val="009334EF"/>
    <w:rsid w:val="00933501"/>
    <w:rsid w:val="00933588"/>
    <w:rsid w:val="0093362D"/>
    <w:rsid w:val="0093380D"/>
    <w:rsid w:val="00933858"/>
    <w:rsid w:val="009338F6"/>
    <w:rsid w:val="00933925"/>
    <w:rsid w:val="00933A91"/>
    <w:rsid w:val="00933A9D"/>
    <w:rsid w:val="00933ADD"/>
    <w:rsid w:val="00933B12"/>
    <w:rsid w:val="00933BAA"/>
    <w:rsid w:val="00933BB8"/>
    <w:rsid w:val="00933C48"/>
    <w:rsid w:val="00933C56"/>
    <w:rsid w:val="00933C76"/>
    <w:rsid w:val="00933F9A"/>
    <w:rsid w:val="00934194"/>
    <w:rsid w:val="009346DD"/>
    <w:rsid w:val="009347FD"/>
    <w:rsid w:val="00934834"/>
    <w:rsid w:val="009348A4"/>
    <w:rsid w:val="0093492D"/>
    <w:rsid w:val="00934CF2"/>
    <w:rsid w:val="00934D76"/>
    <w:rsid w:val="00934EC6"/>
    <w:rsid w:val="00935024"/>
    <w:rsid w:val="00935193"/>
    <w:rsid w:val="00935201"/>
    <w:rsid w:val="0093524A"/>
    <w:rsid w:val="00935407"/>
    <w:rsid w:val="00935618"/>
    <w:rsid w:val="00935948"/>
    <w:rsid w:val="00935A15"/>
    <w:rsid w:val="00935A65"/>
    <w:rsid w:val="00935AF4"/>
    <w:rsid w:val="00935AFB"/>
    <w:rsid w:val="00935C08"/>
    <w:rsid w:val="00935CCD"/>
    <w:rsid w:val="00935CF0"/>
    <w:rsid w:val="00935F3D"/>
    <w:rsid w:val="00935F4E"/>
    <w:rsid w:val="00936001"/>
    <w:rsid w:val="00936081"/>
    <w:rsid w:val="00936211"/>
    <w:rsid w:val="00936215"/>
    <w:rsid w:val="00936247"/>
    <w:rsid w:val="0093634C"/>
    <w:rsid w:val="009363F4"/>
    <w:rsid w:val="0093641D"/>
    <w:rsid w:val="009364CA"/>
    <w:rsid w:val="00936603"/>
    <w:rsid w:val="00936768"/>
    <w:rsid w:val="00936783"/>
    <w:rsid w:val="0093688E"/>
    <w:rsid w:val="00936CC7"/>
    <w:rsid w:val="00937021"/>
    <w:rsid w:val="00937074"/>
    <w:rsid w:val="00937283"/>
    <w:rsid w:val="009372CD"/>
    <w:rsid w:val="009372E5"/>
    <w:rsid w:val="009372EC"/>
    <w:rsid w:val="009373CE"/>
    <w:rsid w:val="009373DB"/>
    <w:rsid w:val="009373E2"/>
    <w:rsid w:val="00937407"/>
    <w:rsid w:val="009374AF"/>
    <w:rsid w:val="00937507"/>
    <w:rsid w:val="009375CF"/>
    <w:rsid w:val="00937955"/>
    <w:rsid w:val="0093797D"/>
    <w:rsid w:val="00937985"/>
    <w:rsid w:val="0093798B"/>
    <w:rsid w:val="009379FF"/>
    <w:rsid w:val="00937CA7"/>
    <w:rsid w:val="00937E7D"/>
    <w:rsid w:val="00937E9E"/>
    <w:rsid w:val="00937E9F"/>
    <w:rsid w:val="00937F93"/>
    <w:rsid w:val="0094011C"/>
    <w:rsid w:val="0094016A"/>
    <w:rsid w:val="00940210"/>
    <w:rsid w:val="00940245"/>
    <w:rsid w:val="00940367"/>
    <w:rsid w:val="009403CC"/>
    <w:rsid w:val="0094060B"/>
    <w:rsid w:val="00940789"/>
    <w:rsid w:val="009407B5"/>
    <w:rsid w:val="009407C3"/>
    <w:rsid w:val="00940806"/>
    <w:rsid w:val="009409AB"/>
    <w:rsid w:val="00940A16"/>
    <w:rsid w:val="00940A27"/>
    <w:rsid w:val="00940B17"/>
    <w:rsid w:val="00940B73"/>
    <w:rsid w:val="00940C0C"/>
    <w:rsid w:val="00940CC3"/>
    <w:rsid w:val="00940CD8"/>
    <w:rsid w:val="00940DA4"/>
    <w:rsid w:val="00940DAB"/>
    <w:rsid w:val="00940E0C"/>
    <w:rsid w:val="00940E7E"/>
    <w:rsid w:val="00940FAE"/>
    <w:rsid w:val="0094118F"/>
    <w:rsid w:val="00941251"/>
    <w:rsid w:val="009412C1"/>
    <w:rsid w:val="009412DD"/>
    <w:rsid w:val="00941325"/>
    <w:rsid w:val="0094133B"/>
    <w:rsid w:val="00941395"/>
    <w:rsid w:val="009414BC"/>
    <w:rsid w:val="00941595"/>
    <w:rsid w:val="0094161C"/>
    <w:rsid w:val="009418FB"/>
    <w:rsid w:val="00941A0D"/>
    <w:rsid w:val="00941AAA"/>
    <w:rsid w:val="00941BD4"/>
    <w:rsid w:val="00941C59"/>
    <w:rsid w:val="00941DEF"/>
    <w:rsid w:val="00941ECE"/>
    <w:rsid w:val="00941F21"/>
    <w:rsid w:val="00942023"/>
    <w:rsid w:val="009421BE"/>
    <w:rsid w:val="00942225"/>
    <w:rsid w:val="00942260"/>
    <w:rsid w:val="0094229F"/>
    <w:rsid w:val="00942419"/>
    <w:rsid w:val="009424B6"/>
    <w:rsid w:val="009427AD"/>
    <w:rsid w:val="009427B1"/>
    <w:rsid w:val="009428EA"/>
    <w:rsid w:val="00942B9A"/>
    <w:rsid w:val="00942C4F"/>
    <w:rsid w:val="00942DBD"/>
    <w:rsid w:val="00943082"/>
    <w:rsid w:val="0094310D"/>
    <w:rsid w:val="00943209"/>
    <w:rsid w:val="009433B6"/>
    <w:rsid w:val="009435D8"/>
    <w:rsid w:val="00943662"/>
    <w:rsid w:val="009437CB"/>
    <w:rsid w:val="00943881"/>
    <w:rsid w:val="0094389D"/>
    <w:rsid w:val="009438FD"/>
    <w:rsid w:val="00943AFD"/>
    <w:rsid w:val="00943DD8"/>
    <w:rsid w:val="00943EF7"/>
    <w:rsid w:val="00943F82"/>
    <w:rsid w:val="00944035"/>
    <w:rsid w:val="0094405A"/>
    <w:rsid w:val="009441D6"/>
    <w:rsid w:val="0094420B"/>
    <w:rsid w:val="00944411"/>
    <w:rsid w:val="009444DF"/>
    <w:rsid w:val="00944630"/>
    <w:rsid w:val="00944694"/>
    <w:rsid w:val="0094472D"/>
    <w:rsid w:val="00944776"/>
    <w:rsid w:val="009448BB"/>
    <w:rsid w:val="009448D3"/>
    <w:rsid w:val="0094493A"/>
    <w:rsid w:val="0094494A"/>
    <w:rsid w:val="009449A8"/>
    <w:rsid w:val="009449BE"/>
    <w:rsid w:val="00944A7F"/>
    <w:rsid w:val="00944AE1"/>
    <w:rsid w:val="00944B7A"/>
    <w:rsid w:val="00944CC6"/>
    <w:rsid w:val="00944D0F"/>
    <w:rsid w:val="00945373"/>
    <w:rsid w:val="00945477"/>
    <w:rsid w:val="009454D9"/>
    <w:rsid w:val="0094556F"/>
    <w:rsid w:val="0094558C"/>
    <w:rsid w:val="009455E1"/>
    <w:rsid w:val="00945790"/>
    <w:rsid w:val="009458DC"/>
    <w:rsid w:val="00945AE3"/>
    <w:rsid w:val="00945C16"/>
    <w:rsid w:val="00945C83"/>
    <w:rsid w:val="00945E65"/>
    <w:rsid w:val="009460A3"/>
    <w:rsid w:val="009460C8"/>
    <w:rsid w:val="0094612C"/>
    <w:rsid w:val="0094620E"/>
    <w:rsid w:val="0094621F"/>
    <w:rsid w:val="00946359"/>
    <w:rsid w:val="00946413"/>
    <w:rsid w:val="00946424"/>
    <w:rsid w:val="009464CE"/>
    <w:rsid w:val="009466CA"/>
    <w:rsid w:val="00946740"/>
    <w:rsid w:val="00946A70"/>
    <w:rsid w:val="00946C3A"/>
    <w:rsid w:val="00946CFE"/>
    <w:rsid w:val="00946D1B"/>
    <w:rsid w:val="00946F61"/>
    <w:rsid w:val="00947434"/>
    <w:rsid w:val="009474EE"/>
    <w:rsid w:val="00947610"/>
    <w:rsid w:val="00947776"/>
    <w:rsid w:val="009478D9"/>
    <w:rsid w:val="00947904"/>
    <w:rsid w:val="00947B62"/>
    <w:rsid w:val="00947B94"/>
    <w:rsid w:val="00947CA5"/>
    <w:rsid w:val="00947F75"/>
    <w:rsid w:val="00947FD3"/>
    <w:rsid w:val="00950124"/>
    <w:rsid w:val="0095022B"/>
    <w:rsid w:val="00950286"/>
    <w:rsid w:val="009502F9"/>
    <w:rsid w:val="00950367"/>
    <w:rsid w:val="00950725"/>
    <w:rsid w:val="00950876"/>
    <w:rsid w:val="009508C7"/>
    <w:rsid w:val="009509AB"/>
    <w:rsid w:val="00950B9E"/>
    <w:rsid w:val="00950BC1"/>
    <w:rsid w:val="00950D97"/>
    <w:rsid w:val="00950E91"/>
    <w:rsid w:val="00950EDB"/>
    <w:rsid w:val="00950F24"/>
    <w:rsid w:val="00950F44"/>
    <w:rsid w:val="00951240"/>
    <w:rsid w:val="009512B8"/>
    <w:rsid w:val="0095142D"/>
    <w:rsid w:val="00951475"/>
    <w:rsid w:val="009514CA"/>
    <w:rsid w:val="00951521"/>
    <w:rsid w:val="0095165D"/>
    <w:rsid w:val="009518B7"/>
    <w:rsid w:val="00951A24"/>
    <w:rsid w:val="00951B68"/>
    <w:rsid w:val="00951E5C"/>
    <w:rsid w:val="00951F93"/>
    <w:rsid w:val="00952293"/>
    <w:rsid w:val="0095234B"/>
    <w:rsid w:val="009523C8"/>
    <w:rsid w:val="009525CD"/>
    <w:rsid w:val="009526CF"/>
    <w:rsid w:val="009528B0"/>
    <w:rsid w:val="009528DC"/>
    <w:rsid w:val="0095297B"/>
    <w:rsid w:val="00952DB2"/>
    <w:rsid w:val="00952F0A"/>
    <w:rsid w:val="00952F29"/>
    <w:rsid w:val="00952F2B"/>
    <w:rsid w:val="00953061"/>
    <w:rsid w:val="0095306A"/>
    <w:rsid w:val="009530A8"/>
    <w:rsid w:val="009530AB"/>
    <w:rsid w:val="009530EA"/>
    <w:rsid w:val="0095310D"/>
    <w:rsid w:val="0095322B"/>
    <w:rsid w:val="009534D8"/>
    <w:rsid w:val="009534DE"/>
    <w:rsid w:val="00953650"/>
    <w:rsid w:val="0095376C"/>
    <w:rsid w:val="009537A3"/>
    <w:rsid w:val="0095384D"/>
    <w:rsid w:val="009538B6"/>
    <w:rsid w:val="00953926"/>
    <w:rsid w:val="009539DD"/>
    <w:rsid w:val="00953C37"/>
    <w:rsid w:val="00953C55"/>
    <w:rsid w:val="00953C92"/>
    <w:rsid w:val="00953D1D"/>
    <w:rsid w:val="00953D8E"/>
    <w:rsid w:val="00953DF1"/>
    <w:rsid w:val="00953E77"/>
    <w:rsid w:val="00953E81"/>
    <w:rsid w:val="00953F0F"/>
    <w:rsid w:val="00953FA3"/>
    <w:rsid w:val="0095408C"/>
    <w:rsid w:val="009540F1"/>
    <w:rsid w:val="00954190"/>
    <w:rsid w:val="009541E3"/>
    <w:rsid w:val="009542B9"/>
    <w:rsid w:val="00954304"/>
    <w:rsid w:val="009544A7"/>
    <w:rsid w:val="009544C1"/>
    <w:rsid w:val="00954558"/>
    <w:rsid w:val="009545E3"/>
    <w:rsid w:val="009545F6"/>
    <w:rsid w:val="009547F1"/>
    <w:rsid w:val="009549BF"/>
    <w:rsid w:val="00954B32"/>
    <w:rsid w:val="00954E99"/>
    <w:rsid w:val="00954EE1"/>
    <w:rsid w:val="00954F48"/>
    <w:rsid w:val="009552D4"/>
    <w:rsid w:val="009553C5"/>
    <w:rsid w:val="00955561"/>
    <w:rsid w:val="009555AC"/>
    <w:rsid w:val="009556F2"/>
    <w:rsid w:val="0095590C"/>
    <w:rsid w:val="0095595D"/>
    <w:rsid w:val="00955ABF"/>
    <w:rsid w:val="00955ADC"/>
    <w:rsid w:val="00955AF8"/>
    <w:rsid w:val="00955B1E"/>
    <w:rsid w:val="00955B56"/>
    <w:rsid w:val="00955BF9"/>
    <w:rsid w:val="00955D62"/>
    <w:rsid w:val="00955E6D"/>
    <w:rsid w:val="00955FB1"/>
    <w:rsid w:val="00956003"/>
    <w:rsid w:val="0095602C"/>
    <w:rsid w:val="0095608E"/>
    <w:rsid w:val="00956205"/>
    <w:rsid w:val="00956237"/>
    <w:rsid w:val="00956249"/>
    <w:rsid w:val="009563C8"/>
    <w:rsid w:val="009563D4"/>
    <w:rsid w:val="00956468"/>
    <w:rsid w:val="009564D7"/>
    <w:rsid w:val="0095650F"/>
    <w:rsid w:val="00956587"/>
    <w:rsid w:val="009565AE"/>
    <w:rsid w:val="0095677D"/>
    <w:rsid w:val="0095687F"/>
    <w:rsid w:val="009568BB"/>
    <w:rsid w:val="009569C6"/>
    <w:rsid w:val="00956BD7"/>
    <w:rsid w:val="00956CAC"/>
    <w:rsid w:val="00956CBD"/>
    <w:rsid w:val="00956D02"/>
    <w:rsid w:val="00956E3D"/>
    <w:rsid w:val="00956F1E"/>
    <w:rsid w:val="00956F80"/>
    <w:rsid w:val="009570B0"/>
    <w:rsid w:val="009570E2"/>
    <w:rsid w:val="009574B8"/>
    <w:rsid w:val="0095757A"/>
    <w:rsid w:val="009575AF"/>
    <w:rsid w:val="009575B7"/>
    <w:rsid w:val="00957660"/>
    <w:rsid w:val="00957735"/>
    <w:rsid w:val="00957908"/>
    <w:rsid w:val="00957A17"/>
    <w:rsid w:val="00957A7D"/>
    <w:rsid w:val="00957A93"/>
    <w:rsid w:val="00957B47"/>
    <w:rsid w:val="00957E8F"/>
    <w:rsid w:val="00957EBB"/>
    <w:rsid w:val="009602D1"/>
    <w:rsid w:val="00960378"/>
    <w:rsid w:val="009603D8"/>
    <w:rsid w:val="00960421"/>
    <w:rsid w:val="009606F1"/>
    <w:rsid w:val="00960755"/>
    <w:rsid w:val="009607B6"/>
    <w:rsid w:val="0096080C"/>
    <w:rsid w:val="00960A10"/>
    <w:rsid w:val="00960A7E"/>
    <w:rsid w:val="00960B3E"/>
    <w:rsid w:val="00960D41"/>
    <w:rsid w:val="00960D48"/>
    <w:rsid w:val="00960DE8"/>
    <w:rsid w:val="00961289"/>
    <w:rsid w:val="009612E0"/>
    <w:rsid w:val="00961608"/>
    <w:rsid w:val="00961694"/>
    <w:rsid w:val="00961AD7"/>
    <w:rsid w:val="00961AE8"/>
    <w:rsid w:val="00961E1D"/>
    <w:rsid w:val="00961F3F"/>
    <w:rsid w:val="00962248"/>
    <w:rsid w:val="00962259"/>
    <w:rsid w:val="0096234C"/>
    <w:rsid w:val="009623B2"/>
    <w:rsid w:val="009623DE"/>
    <w:rsid w:val="00962518"/>
    <w:rsid w:val="00962625"/>
    <w:rsid w:val="00962973"/>
    <w:rsid w:val="00962A66"/>
    <w:rsid w:val="00962ABF"/>
    <w:rsid w:val="00962B7E"/>
    <w:rsid w:val="00962BAC"/>
    <w:rsid w:val="00962C90"/>
    <w:rsid w:val="00962CD0"/>
    <w:rsid w:val="00962D62"/>
    <w:rsid w:val="00962DA4"/>
    <w:rsid w:val="00962E79"/>
    <w:rsid w:val="00962EB0"/>
    <w:rsid w:val="00962ED4"/>
    <w:rsid w:val="00962EE9"/>
    <w:rsid w:val="00962FE2"/>
    <w:rsid w:val="0096307E"/>
    <w:rsid w:val="00963369"/>
    <w:rsid w:val="009634A4"/>
    <w:rsid w:val="00963536"/>
    <w:rsid w:val="00963583"/>
    <w:rsid w:val="009635A4"/>
    <w:rsid w:val="009635B9"/>
    <w:rsid w:val="0096364F"/>
    <w:rsid w:val="009637C0"/>
    <w:rsid w:val="00963899"/>
    <w:rsid w:val="0096389E"/>
    <w:rsid w:val="009639DD"/>
    <w:rsid w:val="00963C18"/>
    <w:rsid w:val="00963C8B"/>
    <w:rsid w:val="00963CCA"/>
    <w:rsid w:val="00963CCF"/>
    <w:rsid w:val="00963D0E"/>
    <w:rsid w:val="00963DC7"/>
    <w:rsid w:val="00963F27"/>
    <w:rsid w:val="00964063"/>
    <w:rsid w:val="009642A7"/>
    <w:rsid w:val="009642E1"/>
    <w:rsid w:val="00964476"/>
    <w:rsid w:val="009644E0"/>
    <w:rsid w:val="009644FF"/>
    <w:rsid w:val="009645F5"/>
    <w:rsid w:val="00964774"/>
    <w:rsid w:val="009648FD"/>
    <w:rsid w:val="00964A86"/>
    <w:rsid w:val="00964AA6"/>
    <w:rsid w:val="00964ABC"/>
    <w:rsid w:val="00964B37"/>
    <w:rsid w:val="00964C1E"/>
    <w:rsid w:val="00964C55"/>
    <w:rsid w:val="00964D63"/>
    <w:rsid w:val="00965128"/>
    <w:rsid w:val="009652DB"/>
    <w:rsid w:val="009653E0"/>
    <w:rsid w:val="0096543D"/>
    <w:rsid w:val="00965460"/>
    <w:rsid w:val="009654AD"/>
    <w:rsid w:val="009655CA"/>
    <w:rsid w:val="00965664"/>
    <w:rsid w:val="009656EB"/>
    <w:rsid w:val="009658E9"/>
    <w:rsid w:val="00965A85"/>
    <w:rsid w:val="00965AA1"/>
    <w:rsid w:val="00965AF2"/>
    <w:rsid w:val="00965E08"/>
    <w:rsid w:val="00965E7F"/>
    <w:rsid w:val="00965F31"/>
    <w:rsid w:val="00966279"/>
    <w:rsid w:val="00966519"/>
    <w:rsid w:val="009665BC"/>
    <w:rsid w:val="0096665D"/>
    <w:rsid w:val="0096681B"/>
    <w:rsid w:val="009668A7"/>
    <w:rsid w:val="009668FE"/>
    <w:rsid w:val="0096699F"/>
    <w:rsid w:val="00966A2E"/>
    <w:rsid w:val="00966BA5"/>
    <w:rsid w:val="00966C1A"/>
    <w:rsid w:val="00966C74"/>
    <w:rsid w:val="00966C9D"/>
    <w:rsid w:val="00966DD3"/>
    <w:rsid w:val="00966EAF"/>
    <w:rsid w:val="00966FCD"/>
    <w:rsid w:val="0096701C"/>
    <w:rsid w:val="00967088"/>
    <w:rsid w:val="00967148"/>
    <w:rsid w:val="00967225"/>
    <w:rsid w:val="00967390"/>
    <w:rsid w:val="00967498"/>
    <w:rsid w:val="0096753E"/>
    <w:rsid w:val="0096759D"/>
    <w:rsid w:val="0096781C"/>
    <w:rsid w:val="00967AA0"/>
    <w:rsid w:val="00967BA4"/>
    <w:rsid w:val="00967D91"/>
    <w:rsid w:val="00967E2B"/>
    <w:rsid w:val="00967EB1"/>
    <w:rsid w:val="00967EFD"/>
    <w:rsid w:val="00967F1E"/>
    <w:rsid w:val="009702F6"/>
    <w:rsid w:val="00970303"/>
    <w:rsid w:val="0097061D"/>
    <w:rsid w:val="009706C7"/>
    <w:rsid w:val="009708B3"/>
    <w:rsid w:val="009709F0"/>
    <w:rsid w:val="00970AEF"/>
    <w:rsid w:val="00970B61"/>
    <w:rsid w:val="00970BB0"/>
    <w:rsid w:val="00970CBA"/>
    <w:rsid w:val="00970DE0"/>
    <w:rsid w:val="00970F41"/>
    <w:rsid w:val="00970F61"/>
    <w:rsid w:val="00971067"/>
    <w:rsid w:val="009710DB"/>
    <w:rsid w:val="0097116F"/>
    <w:rsid w:val="009711F5"/>
    <w:rsid w:val="009714C3"/>
    <w:rsid w:val="00971531"/>
    <w:rsid w:val="0097179A"/>
    <w:rsid w:val="009719E7"/>
    <w:rsid w:val="00971A7C"/>
    <w:rsid w:val="00971C42"/>
    <w:rsid w:val="00971C8B"/>
    <w:rsid w:val="00971CA8"/>
    <w:rsid w:val="00971CE1"/>
    <w:rsid w:val="00971DC1"/>
    <w:rsid w:val="00971DD2"/>
    <w:rsid w:val="00971E16"/>
    <w:rsid w:val="00972147"/>
    <w:rsid w:val="00972371"/>
    <w:rsid w:val="009728E9"/>
    <w:rsid w:val="00972ABA"/>
    <w:rsid w:val="00972ABE"/>
    <w:rsid w:val="00972AC5"/>
    <w:rsid w:val="00972B16"/>
    <w:rsid w:val="00972B98"/>
    <w:rsid w:val="00972BBD"/>
    <w:rsid w:val="00972FE5"/>
    <w:rsid w:val="0097309C"/>
    <w:rsid w:val="009730B9"/>
    <w:rsid w:val="009730FF"/>
    <w:rsid w:val="00973100"/>
    <w:rsid w:val="0097311A"/>
    <w:rsid w:val="00973210"/>
    <w:rsid w:val="0097329B"/>
    <w:rsid w:val="00973494"/>
    <w:rsid w:val="009734D8"/>
    <w:rsid w:val="009736B1"/>
    <w:rsid w:val="0097373F"/>
    <w:rsid w:val="009739D0"/>
    <w:rsid w:val="00973A36"/>
    <w:rsid w:val="00973A42"/>
    <w:rsid w:val="00973AB2"/>
    <w:rsid w:val="00973C8A"/>
    <w:rsid w:val="00973CC9"/>
    <w:rsid w:val="00973DC6"/>
    <w:rsid w:val="00973E44"/>
    <w:rsid w:val="00973FC3"/>
    <w:rsid w:val="00974074"/>
    <w:rsid w:val="00974122"/>
    <w:rsid w:val="00974150"/>
    <w:rsid w:val="00974214"/>
    <w:rsid w:val="00974233"/>
    <w:rsid w:val="00974278"/>
    <w:rsid w:val="0097427D"/>
    <w:rsid w:val="009744A8"/>
    <w:rsid w:val="009746AA"/>
    <w:rsid w:val="009746C6"/>
    <w:rsid w:val="00974750"/>
    <w:rsid w:val="00974776"/>
    <w:rsid w:val="009747B7"/>
    <w:rsid w:val="009748B7"/>
    <w:rsid w:val="009748C4"/>
    <w:rsid w:val="00974988"/>
    <w:rsid w:val="009749AA"/>
    <w:rsid w:val="00974ADE"/>
    <w:rsid w:val="00974ED4"/>
    <w:rsid w:val="00974F44"/>
    <w:rsid w:val="00974F66"/>
    <w:rsid w:val="009751FD"/>
    <w:rsid w:val="009751FE"/>
    <w:rsid w:val="00975310"/>
    <w:rsid w:val="009754F4"/>
    <w:rsid w:val="00975542"/>
    <w:rsid w:val="0097564F"/>
    <w:rsid w:val="009756A7"/>
    <w:rsid w:val="0097570B"/>
    <w:rsid w:val="009757C5"/>
    <w:rsid w:val="009758D9"/>
    <w:rsid w:val="00975993"/>
    <w:rsid w:val="00975A0D"/>
    <w:rsid w:val="00975A27"/>
    <w:rsid w:val="00975AC1"/>
    <w:rsid w:val="00975AC8"/>
    <w:rsid w:val="00975B92"/>
    <w:rsid w:val="00975CB3"/>
    <w:rsid w:val="00975D3A"/>
    <w:rsid w:val="00975F19"/>
    <w:rsid w:val="00975F2B"/>
    <w:rsid w:val="00976192"/>
    <w:rsid w:val="009761BE"/>
    <w:rsid w:val="00976275"/>
    <w:rsid w:val="00976283"/>
    <w:rsid w:val="0097644C"/>
    <w:rsid w:val="009764B9"/>
    <w:rsid w:val="0097659E"/>
    <w:rsid w:val="00976615"/>
    <w:rsid w:val="00976619"/>
    <w:rsid w:val="0097662C"/>
    <w:rsid w:val="009766A8"/>
    <w:rsid w:val="009767D1"/>
    <w:rsid w:val="009767D8"/>
    <w:rsid w:val="009768C4"/>
    <w:rsid w:val="009769CA"/>
    <w:rsid w:val="00976CE4"/>
    <w:rsid w:val="00976CE7"/>
    <w:rsid w:val="00976D3A"/>
    <w:rsid w:val="00976E07"/>
    <w:rsid w:val="00976E35"/>
    <w:rsid w:val="00976FDB"/>
    <w:rsid w:val="00977026"/>
    <w:rsid w:val="009770F4"/>
    <w:rsid w:val="009771F1"/>
    <w:rsid w:val="00977235"/>
    <w:rsid w:val="0097741D"/>
    <w:rsid w:val="0097744B"/>
    <w:rsid w:val="00977602"/>
    <w:rsid w:val="00977611"/>
    <w:rsid w:val="00977779"/>
    <w:rsid w:val="00977CCF"/>
    <w:rsid w:val="00977CF0"/>
    <w:rsid w:val="00977D53"/>
    <w:rsid w:val="00980068"/>
    <w:rsid w:val="00980092"/>
    <w:rsid w:val="0098025D"/>
    <w:rsid w:val="00980416"/>
    <w:rsid w:val="009805A9"/>
    <w:rsid w:val="009806C1"/>
    <w:rsid w:val="0098083F"/>
    <w:rsid w:val="009808DA"/>
    <w:rsid w:val="0098093F"/>
    <w:rsid w:val="00980A29"/>
    <w:rsid w:val="00980A51"/>
    <w:rsid w:val="00980A72"/>
    <w:rsid w:val="00980ACF"/>
    <w:rsid w:val="00980AD2"/>
    <w:rsid w:val="00980C03"/>
    <w:rsid w:val="00980C35"/>
    <w:rsid w:val="00980D82"/>
    <w:rsid w:val="00980D97"/>
    <w:rsid w:val="00980EFC"/>
    <w:rsid w:val="00980FC5"/>
    <w:rsid w:val="0098103B"/>
    <w:rsid w:val="0098112E"/>
    <w:rsid w:val="009814B0"/>
    <w:rsid w:val="0098191A"/>
    <w:rsid w:val="00981961"/>
    <w:rsid w:val="009819EA"/>
    <w:rsid w:val="00981B0F"/>
    <w:rsid w:val="00981B54"/>
    <w:rsid w:val="00981BD3"/>
    <w:rsid w:val="00981D0D"/>
    <w:rsid w:val="00981D90"/>
    <w:rsid w:val="00981F06"/>
    <w:rsid w:val="009821AC"/>
    <w:rsid w:val="00982447"/>
    <w:rsid w:val="009825D8"/>
    <w:rsid w:val="0098271B"/>
    <w:rsid w:val="0098272B"/>
    <w:rsid w:val="00982759"/>
    <w:rsid w:val="0098276D"/>
    <w:rsid w:val="00982793"/>
    <w:rsid w:val="009828A4"/>
    <w:rsid w:val="00982AF2"/>
    <w:rsid w:val="00982BFD"/>
    <w:rsid w:val="00982C5B"/>
    <w:rsid w:val="00982CDB"/>
    <w:rsid w:val="00982D12"/>
    <w:rsid w:val="00982D4C"/>
    <w:rsid w:val="00982D94"/>
    <w:rsid w:val="00982F79"/>
    <w:rsid w:val="00983032"/>
    <w:rsid w:val="009831BC"/>
    <w:rsid w:val="009831C1"/>
    <w:rsid w:val="0098332F"/>
    <w:rsid w:val="009833A1"/>
    <w:rsid w:val="009834A6"/>
    <w:rsid w:val="00983507"/>
    <w:rsid w:val="0098375C"/>
    <w:rsid w:val="009837A4"/>
    <w:rsid w:val="009837BE"/>
    <w:rsid w:val="009838E8"/>
    <w:rsid w:val="009839C3"/>
    <w:rsid w:val="00983A80"/>
    <w:rsid w:val="00983B54"/>
    <w:rsid w:val="00983D85"/>
    <w:rsid w:val="00983E59"/>
    <w:rsid w:val="00983E6F"/>
    <w:rsid w:val="0098415F"/>
    <w:rsid w:val="009841DA"/>
    <w:rsid w:val="00984215"/>
    <w:rsid w:val="00984444"/>
    <w:rsid w:val="00984475"/>
    <w:rsid w:val="009844D9"/>
    <w:rsid w:val="009845E1"/>
    <w:rsid w:val="009846B9"/>
    <w:rsid w:val="00984954"/>
    <w:rsid w:val="00984A7F"/>
    <w:rsid w:val="00984AB3"/>
    <w:rsid w:val="00984B18"/>
    <w:rsid w:val="00984BEE"/>
    <w:rsid w:val="00984CF0"/>
    <w:rsid w:val="00984E0E"/>
    <w:rsid w:val="00984E17"/>
    <w:rsid w:val="00984F8D"/>
    <w:rsid w:val="00984FD6"/>
    <w:rsid w:val="0098503C"/>
    <w:rsid w:val="00985132"/>
    <w:rsid w:val="00985144"/>
    <w:rsid w:val="00985461"/>
    <w:rsid w:val="00985644"/>
    <w:rsid w:val="009856D1"/>
    <w:rsid w:val="0098574B"/>
    <w:rsid w:val="0098574E"/>
    <w:rsid w:val="0098581F"/>
    <w:rsid w:val="00985969"/>
    <w:rsid w:val="009859EC"/>
    <w:rsid w:val="00985B2C"/>
    <w:rsid w:val="00985B8B"/>
    <w:rsid w:val="00985BFA"/>
    <w:rsid w:val="00985CEB"/>
    <w:rsid w:val="00985D05"/>
    <w:rsid w:val="00985F05"/>
    <w:rsid w:val="00985F7B"/>
    <w:rsid w:val="00986177"/>
    <w:rsid w:val="009864CB"/>
    <w:rsid w:val="009864F1"/>
    <w:rsid w:val="0098654C"/>
    <w:rsid w:val="00986596"/>
    <w:rsid w:val="00986984"/>
    <w:rsid w:val="00986B0A"/>
    <w:rsid w:val="00986C19"/>
    <w:rsid w:val="00986C67"/>
    <w:rsid w:val="00986C87"/>
    <w:rsid w:val="00986D65"/>
    <w:rsid w:val="00986DE5"/>
    <w:rsid w:val="00986E0E"/>
    <w:rsid w:val="00987122"/>
    <w:rsid w:val="00987187"/>
    <w:rsid w:val="0098729F"/>
    <w:rsid w:val="009874AE"/>
    <w:rsid w:val="00987584"/>
    <w:rsid w:val="0098764C"/>
    <w:rsid w:val="009877EB"/>
    <w:rsid w:val="0098793B"/>
    <w:rsid w:val="00987A44"/>
    <w:rsid w:val="00987A8C"/>
    <w:rsid w:val="00987B09"/>
    <w:rsid w:val="00987C26"/>
    <w:rsid w:val="00987F0C"/>
    <w:rsid w:val="00987F83"/>
    <w:rsid w:val="00987FF9"/>
    <w:rsid w:val="00990010"/>
    <w:rsid w:val="009901D6"/>
    <w:rsid w:val="009905EF"/>
    <w:rsid w:val="00990B62"/>
    <w:rsid w:val="00990BF2"/>
    <w:rsid w:val="00990CCC"/>
    <w:rsid w:val="00990DD2"/>
    <w:rsid w:val="00990E22"/>
    <w:rsid w:val="00990E5B"/>
    <w:rsid w:val="00990F95"/>
    <w:rsid w:val="00990FCE"/>
    <w:rsid w:val="0099119E"/>
    <w:rsid w:val="00991236"/>
    <w:rsid w:val="0099125A"/>
    <w:rsid w:val="009912B3"/>
    <w:rsid w:val="0099141C"/>
    <w:rsid w:val="00991425"/>
    <w:rsid w:val="009915E8"/>
    <w:rsid w:val="00991622"/>
    <w:rsid w:val="009917EB"/>
    <w:rsid w:val="00991857"/>
    <w:rsid w:val="0099185D"/>
    <w:rsid w:val="00991881"/>
    <w:rsid w:val="009919D6"/>
    <w:rsid w:val="00991A1E"/>
    <w:rsid w:val="00991A35"/>
    <w:rsid w:val="00991BD5"/>
    <w:rsid w:val="00991BDB"/>
    <w:rsid w:val="00991D97"/>
    <w:rsid w:val="00992008"/>
    <w:rsid w:val="00992062"/>
    <w:rsid w:val="0099214C"/>
    <w:rsid w:val="0099250E"/>
    <w:rsid w:val="00992580"/>
    <w:rsid w:val="009925C2"/>
    <w:rsid w:val="00992615"/>
    <w:rsid w:val="0099293C"/>
    <w:rsid w:val="00992A1E"/>
    <w:rsid w:val="00992A6E"/>
    <w:rsid w:val="00992D2D"/>
    <w:rsid w:val="00992FD6"/>
    <w:rsid w:val="009930FC"/>
    <w:rsid w:val="00993106"/>
    <w:rsid w:val="00993156"/>
    <w:rsid w:val="0099315E"/>
    <w:rsid w:val="00993209"/>
    <w:rsid w:val="0099331A"/>
    <w:rsid w:val="0099331D"/>
    <w:rsid w:val="009933E0"/>
    <w:rsid w:val="00993593"/>
    <w:rsid w:val="00993904"/>
    <w:rsid w:val="00993B42"/>
    <w:rsid w:val="00993E9D"/>
    <w:rsid w:val="009941C3"/>
    <w:rsid w:val="009941F8"/>
    <w:rsid w:val="009943D2"/>
    <w:rsid w:val="009944D4"/>
    <w:rsid w:val="009946FE"/>
    <w:rsid w:val="0099472E"/>
    <w:rsid w:val="009947FB"/>
    <w:rsid w:val="00994979"/>
    <w:rsid w:val="009949F9"/>
    <w:rsid w:val="00994B2F"/>
    <w:rsid w:val="00994DD7"/>
    <w:rsid w:val="00994EB8"/>
    <w:rsid w:val="00994EBA"/>
    <w:rsid w:val="00994F8D"/>
    <w:rsid w:val="00995134"/>
    <w:rsid w:val="00995141"/>
    <w:rsid w:val="00995263"/>
    <w:rsid w:val="0099526A"/>
    <w:rsid w:val="0099582F"/>
    <w:rsid w:val="00995990"/>
    <w:rsid w:val="00995A2E"/>
    <w:rsid w:val="00995A6A"/>
    <w:rsid w:val="00995DD5"/>
    <w:rsid w:val="00995EC4"/>
    <w:rsid w:val="009960BA"/>
    <w:rsid w:val="009961D5"/>
    <w:rsid w:val="009962AC"/>
    <w:rsid w:val="009962F8"/>
    <w:rsid w:val="00996377"/>
    <w:rsid w:val="009963F5"/>
    <w:rsid w:val="0099645A"/>
    <w:rsid w:val="009965C9"/>
    <w:rsid w:val="009966EB"/>
    <w:rsid w:val="00996847"/>
    <w:rsid w:val="009968A2"/>
    <w:rsid w:val="00996923"/>
    <w:rsid w:val="00996978"/>
    <w:rsid w:val="00996980"/>
    <w:rsid w:val="00996AF1"/>
    <w:rsid w:val="00996CD7"/>
    <w:rsid w:val="00996DCA"/>
    <w:rsid w:val="00996EF7"/>
    <w:rsid w:val="0099710B"/>
    <w:rsid w:val="009971BD"/>
    <w:rsid w:val="009971F6"/>
    <w:rsid w:val="0099727A"/>
    <w:rsid w:val="009972F7"/>
    <w:rsid w:val="00997309"/>
    <w:rsid w:val="00997475"/>
    <w:rsid w:val="00997478"/>
    <w:rsid w:val="0099765F"/>
    <w:rsid w:val="009976DC"/>
    <w:rsid w:val="009978E8"/>
    <w:rsid w:val="00997AFF"/>
    <w:rsid w:val="00997B8F"/>
    <w:rsid w:val="00997BD4"/>
    <w:rsid w:val="00997BFE"/>
    <w:rsid w:val="00997C81"/>
    <w:rsid w:val="00997CCA"/>
    <w:rsid w:val="00997DF4"/>
    <w:rsid w:val="00997E80"/>
    <w:rsid w:val="00997E81"/>
    <w:rsid w:val="00997EEA"/>
    <w:rsid w:val="00997FAE"/>
    <w:rsid w:val="00997FEF"/>
    <w:rsid w:val="009A017C"/>
    <w:rsid w:val="009A01EA"/>
    <w:rsid w:val="009A02A0"/>
    <w:rsid w:val="009A03DB"/>
    <w:rsid w:val="009A058C"/>
    <w:rsid w:val="009A05AE"/>
    <w:rsid w:val="009A072E"/>
    <w:rsid w:val="009A07D2"/>
    <w:rsid w:val="009A0822"/>
    <w:rsid w:val="009A08FB"/>
    <w:rsid w:val="009A0AE9"/>
    <w:rsid w:val="009A0C2D"/>
    <w:rsid w:val="009A0CCB"/>
    <w:rsid w:val="009A0D10"/>
    <w:rsid w:val="009A0D3F"/>
    <w:rsid w:val="009A0E66"/>
    <w:rsid w:val="009A11DE"/>
    <w:rsid w:val="009A123D"/>
    <w:rsid w:val="009A12CB"/>
    <w:rsid w:val="009A1321"/>
    <w:rsid w:val="009A13AE"/>
    <w:rsid w:val="009A1585"/>
    <w:rsid w:val="009A1772"/>
    <w:rsid w:val="009A1862"/>
    <w:rsid w:val="009A187E"/>
    <w:rsid w:val="009A1934"/>
    <w:rsid w:val="009A1A3F"/>
    <w:rsid w:val="009A1C7F"/>
    <w:rsid w:val="009A1CD4"/>
    <w:rsid w:val="009A1DB0"/>
    <w:rsid w:val="009A1F83"/>
    <w:rsid w:val="009A20E0"/>
    <w:rsid w:val="009A225D"/>
    <w:rsid w:val="009A2267"/>
    <w:rsid w:val="009A2296"/>
    <w:rsid w:val="009A2302"/>
    <w:rsid w:val="009A24B2"/>
    <w:rsid w:val="009A2706"/>
    <w:rsid w:val="009A27A4"/>
    <w:rsid w:val="009A2A8B"/>
    <w:rsid w:val="009A2A91"/>
    <w:rsid w:val="009A2B0E"/>
    <w:rsid w:val="009A2B9D"/>
    <w:rsid w:val="009A2BB8"/>
    <w:rsid w:val="009A2C6E"/>
    <w:rsid w:val="009A30D0"/>
    <w:rsid w:val="009A312F"/>
    <w:rsid w:val="009A31D5"/>
    <w:rsid w:val="009A31D6"/>
    <w:rsid w:val="009A3201"/>
    <w:rsid w:val="009A3261"/>
    <w:rsid w:val="009A32D7"/>
    <w:rsid w:val="009A3366"/>
    <w:rsid w:val="009A3468"/>
    <w:rsid w:val="009A3625"/>
    <w:rsid w:val="009A3655"/>
    <w:rsid w:val="009A367D"/>
    <w:rsid w:val="009A36DE"/>
    <w:rsid w:val="009A37A9"/>
    <w:rsid w:val="009A37BC"/>
    <w:rsid w:val="009A3810"/>
    <w:rsid w:val="009A386E"/>
    <w:rsid w:val="009A3A06"/>
    <w:rsid w:val="009A3A14"/>
    <w:rsid w:val="009A3AE0"/>
    <w:rsid w:val="009A3BA3"/>
    <w:rsid w:val="009A3BAA"/>
    <w:rsid w:val="009A3C22"/>
    <w:rsid w:val="009A3C87"/>
    <w:rsid w:val="009A3D14"/>
    <w:rsid w:val="009A3F98"/>
    <w:rsid w:val="009A3FDA"/>
    <w:rsid w:val="009A40D0"/>
    <w:rsid w:val="009A410D"/>
    <w:rsid w:val="009A413B"/>
    <w:rsid w:val="009A41B9"/>
    <w:rsid w:val="009A43A4"/>
    <w:rsid w:val="009A43F5"/>
    <w:rsid w:val="009A457D"/>
    <w:rsid w:val="009A4769"/>
    <w:rsid w:val="009A4808"/>
    <w:rsid w:val="009A494B"/>
    <w:rsid w:val="009A49B2"/>
    <w:rsid w:val="009A4A6B"/>
    <w:rsid w:val="009A4B3D"/>
    <w:rsid w:val="009A4BB0"/>
    <w:rsid w:val="009A4EFE"/>
    <w:rsid w:val="009A4F63"/>
    <w:rsid w:val="009A52F2"/>
    <w:rsid w:val="009A53A5"/>
    <w:rsid w:val="009A5446"/>
    <w:rsid w:val="009A5554"/>
    <w:rsid w:val="009A55B6"/>
    <w:rsid w:val="009A55B9"/>
    <w:rsid w:val="009A5644"/>
    <w:rsid w:val="009A5650"/>
    <w:rsid w:val="009A56CD"/>
    <w:rsid w:val="009A5834"/>
    <w:rsid w:val="009A587C"/>
    <w:rsid w:val="009A5905"/>
    <w:rsid w:val="009A5AE6"/>
    <w:rsid w:val="009A5B56"/>
    <w:rsid w:val="009A5B76"/>
    <w:rsid w:val="009A5CDA"/>
    <w:rsid w:val="009A5D0F"/>
    <w:rsid w:val="009A5DF8"/>
    <w:rsid w:val="009A5EFA"/>
    <w:rsid w:val="009A5F8D"/>
    <w:rsid w:val="009A5FC8"/>
    <w:rsid w:val="009A5FEA"/>
    <w:rsid w:val="009A60ED"/>
    <w:rsid w:val="009A6109"/>
    <w:rsid w:val="009A61D4"/>
    <w:rsid w:val="009A630D"/>
    <w:rsid w:val="009A6374"/>
    <w:rsid w:val="009A63E9"/>
    <w:rsid w:val="009A645B"/>
    <w:rsid w:val="009A647E"/>
    <w:rsid w:val="009A64C7"/>
    <w:rsid w:val="009A6839"/>
    <w:rsid w:val="009A684A"/>
    <w:rsid w:val="009A6971"/>
    <w:rsid w:val="009A6A07"/>
    <w:rsid w:val="009A6B94"/>
    <w:rsid w:val="009A6BF1"/>
    <w:rsid w:val="009A6BF7"/>
    <w:rsid w:val="009A6F32"/>
    <w:rsid w:val="009A6F68"/>
    <w:rsid w:val="009A719C"/>
    <w:rsid w:val="009A71AC"/>
    <w:rsid w:val="009A71D0"/>
    <w:rsid w:val="009A7273"/>
    <w:rsid w:val="009A73CA"/>
    <w:rsid w:val="009A76AA"/>
    <w:rsid w:val="009A7730"/>
    <w:rsid w:val="009A7905"/>
    <w:rsid w:val="009A7961"/>
    <w:rsid w:val="009A7AC6"/>
    <w:rsid w:val="009A7C5E"/>
    <w:rsid w:val="009A7CFC"/>
    <w:rsid w:val="009A7D1A"/>
    <w:rsid w:val="009A7D60"/>
    <w:rsid w:val="009B033E"/>
    <w:rsid w:val="009B0375"/>
    <w:rsid w:val="009B04C2"/>
    <w:rsid w:val="009B061E"/>
    <w:rsid w:val="009B077D"/>
    <w:rsid w:val="009B0799"/>
    <w:rsid w:val="009B08E7"/>
    <w:rsid w:val="009B09D4"/>
    <w:rsid w:val="009B0A33"/>
    <w:rsid w:val="009B0A49"/>
    <w:rsid w:val="009B0B50"/>
    <w:rsid w:val="009B0C42"/>
    <w:rsid w:val="009B0C55"/>
    <w:rsid w:val="009B0E42"/>
    <w:rsid w:val="009B0F92"/>
    <w:rsid w:val="009B0FFC"/>
    <w:rsid w:val="009B13F1"/>
    <w:rsid w:val="009B1483"/>
    <w:rsid w:val="009B18DF"/>
    <w:rsid w:val="009B1996"/>
    <w:rsid w:val="009B1A74"/>
    <w:rsid w:val="009B1AFF"/>
    <w:rsid w:val="009B1B08"/>
    <w:rsid w:val="009B1B4F"/>
    <w:rsid w:val="009B1B51"/>
    <w:rsid w:val="009B1CE8"/>
    <w:rsid w:val="009B1F23"/>
    <w:rsid w:val="009B1FD9"/>
    <w:rsid w:val="009B21EC"/>
    <w:rsid w:val="009B23EB"/>
    <w:rsid w:val="009B2839"/>
    <w:rsid w:val="009B28C5"/>
    <w:rsid w:val="009B2904"/>
    <w:rsid w:val="009B2957"/>
    <w:rsid w:val="009B295A"/>
    <w:rsid w:val="009B2CFF"/>
    <w:rsid w:val="009B2E44"/>
    <w:rsid w:val="009B2EEE"/>
    <w:rsid w:val="009B2F1C"/>
    <w:rsid w:val="009B3041"/>
    <w:rsid w:val="009B30F8"/>
    <w:rsid w:val="009B3226"/>
    <w:rsid w:val="009B3556"/>
    <w:rsid w:val="009B35AD"/>
    <w:rsid w:val="009B365D"/>
    <w:rsid w:val="009B37D2"/>
    <w:rsid w:val="009B38BA"/>
    <w:rsid w:val="009B394A"/>
    <w:rsid w:val="009B39CD"/>
    <w:rsid w:val="009B39DE"/>
    <w:rsid w:val="009B3BB0"/>
    <w:rsid w:val="009B3BB1"/>
    <w:rsid w:val="009B3DEA"/>
    <w:rsid w:val="009B3F44"/>
    <w:rsid w:val="009B3FB9"/>
    <w:rsid w:val="009B418F"/>
    <w:rsid w:val="009B45E6"/>
    <w:rsid w:val="009B46AA"/>
    <w:rsid w:val="009B46C8"/>
    <w:rsid w:val="009B46CC"/>
    <w:rsid w:val="009B47F1"/>
    <w:rsid w:val="009B4830"/>
    <w:rsid w:val="009B486B"/>
    <w:rsid w:val="009B48BC"/>
    <w:rsid w:val="009B48C4"/>
    <w:rsid w:val="009B4BF2"/>
    <w:rsid w:val="009B4C32"/>
    <w:rsid w:val="009B4C7C"/>
    <w:rsid w:val="009B4D1E"/>
    <w:rsid w:val="009B4D50"/>
    <w:rsid w:val="009B4E1F"/>
    <w:rsid w:val="009B5069"/>
    <w:rsid w:val="009B50C8"/>
    <w:rsid w:val="009B50E7"/>
    <w:rsid w:val="009B5129"/>
    <w:rsid w:val="009B517B"/>
    <w:rsid w:val="009B519E"/>
    <w:rsid w:val="009B52B0"/>
    <w:rsid w:val="009B5518"/>
    <w:rsid w:val="009B5591"/>
    <w:rsid w:val="009B55B0"/>
    <w:rsid w:val="009B570B"/>
    <w:rsid w:val="009B5727"/>
    <w:rsid w:val="009B57AA"/>
    <w:rsid w:val="009B57FB"/>
    <w:rsid w:val="009B58BF"/>
    <w:rsid w:val="009B59BD"/>
    <w:rsid w:val="009B5C82"/>
    <w:rsid w:val="009B5F49"/>
    <w:rsid w:val="009B5F6D"/>
    <w:rsid w:val="009B6157"/>
    <w:rsid w:val="009B6177"/>
    <w:rsid w:val="009B6254"/>
    <w:rsid w:val="009B62E4"/>
    <w:rsid w:val="009B63E7"/>
    <w:rsid w:val="009B6885"/>
    <w:rsid w:val="009B68FA"/>
    <w:rsid w:val="009B694F"/>
    <w:rsid w:val="009B698D"/>
    <w:rsid w:val="009B6BE2"/>
    <w:rsid w:val="009B6C18"/>
    <w:rsid w:val="009B6DA0"/>
    <w:rsid w:val="009B707D"/>
    <w:rsid w:val="009B71E3"/>
    <w:rsid w:val="009B7251"/>
    <w:rsid w:val="009B75B1"/>
    <w:rsid w:val="009B7757"/>
    <w:rsid w:val="009B77D4"/>
    <w:rsid w:val="009B77E9"/>
    <w:rsid w:val="009B79C2"/>
    <w:rsid w:val="009B79D9"/>
    <w:rsid w:val="009B7D11"/>
    <w:rsid w:val="009C02D7"/>
    <w:rsid w:val="009C0394"/>
    <w:rsid w:val="009C050E"/>
    <w:rsid w:val="009C0512"/>
    <w:rsid w:val="009C066D"/>
    <w:rsid w:val="009C06BC"/>
    <w:rsid w:val="009C07A0"/>
    <w:rsid w:val="009C082B"/>
    <w:rsid w:val="009C08B9"/>
    <w:rsid w:val="009C091D"/>
    <w:rsid w:val="009C099A"/>
    <w:rsid w:val="009C0B98"/>
    <w:rsid w:val="009C0BD5"/>
    <w:rsid w:val="009C0BDD"/>
    <w:rsid w:val="009C0C04"/>
    <w:rsid w:val="009C0D61"/>
    <w:rsid w:val="009C0E53"/>
    <w:rsid w:val="009C0F01"/>
    <w:rsid w:val="009C0FE9"/>
    <w:rsid w:val="009C1277"/>
    <w:rsid w:val="009C1282"/>
    <w:rsid w:val="009C133A"/>
    <w:rsid w:val="009C137F"/>
    <w:rsid w:val="009C14A5"/>
    <w:rsid w:val="009C1526"/>
    <w:rsid w:val="009C156B"/>
    <w:rsid w:val="009C1680"/>
    <w:rsid w:val="009C16D7"/>
    <w:rsid w:val="009C16E5"/>
    <w:rsid w:val="009C184A"/>
    <w:rsid w:val="009C185B"/>
    <w:rsid w:val="009C18CC"/>
    <w:rsid w:val="009C18FF"/>
    <w:rsid w:val="009C1A12"/>
    <w:rsid w:val="009C1A64"/>
    <w:rsid w:val="009C1A90"/>
    <w:rsid w:val="009C1B47"/>
    <w:rsid w:val="009C1C2F"/>
    <w:rsid w:val="009C1D48"/>
    <w:rsid w:val="009C1F94"/>
    <w:rsid w:val="009C20EF"/>
    <w:rsid w:val="009C2110"/>
    <w:rsid w:val="009C2114"/>
    <w:rsid w:val="009C220C"/>
    <w:rsid w:val="009C22D8"/>
    <w:rsid w:val="009C240A"/>
    <w:rsid w:val="009C2564"/>
    <w:rsid w:val="009C2635"/>
    <w:rsid w:val="009C273D"/>
    <w:rsid w:val="009C2919"/>
    <w:rsid w:val="009C2A3E"/>
    <w:rsid w:val="009C2AD7"/>
    <w:rsid w:val="009C2AF6"/>
    <w:rsid w:val="009C2CD7"/>
    <w:rsid w:val="009C2DAB"/>
    <w:rsid w:val="009C2E09"/>
    <w:rsid w:val="009C2F2D"/>
    <w:rsid w:val="009C2F9D"/>
    <w:rsid w:val="009C2FE6"/>
    <w:rsid w:val="009C2FFE"/>
    <w:rsid w:val="009C3064"/>
    <w:rsid w:val="009C3103"/>
    <w:rsid w:val="009C3139"/>
    <w:rsid w:val="009C32A1"/>
    <w:rsid w:val="009C3314"/>
    <w:rsid w:val="009C33BB"/>
    <w:rsid w:val="009C344B"/>
    <w:rsid w:val="009C3596"/>
    <w:rsid w:val="009C35F3"/>
    <w:rsid w:val="009C3607"/>
    <w:rsid w:val="009C365C"/>
    <w:rsid w:val="009C3748"/>
    <w:rsid w:val="009C37EE"/>
    <w:rsid w:val="009C39EC"/>
    <w:rsid w:val="009C3AF4"/>
    <w:rsid w:val="009C3B98"/>
    <w:rsid w:val="009C3D5E"/>
    <w:rsid w:val="009C3D7F"/>
    <w:rsid w:val="009C3DEC"/>
    <w:rsid w:val="009C400A"/>
    <w:rsid w:val="009C409A"/>
    <w:rsid w:val="009C40A5"/>
    <w:rsid w:val="009C417F"/>
    <w:rsid w:val="009C426B"/>
    <w:rsid w:val="009C431A"/>
    <w:rsid w:val="009C44E9"/>
    <w:rsid w:val="009C4527"/>
    <w:rsid w:val="009C4610"/>
    <w:rsid w:val="009C46A3"/>
    <w:rsid w:val="009C4765"/>
    <w:rsid w:val="009C47F3"/>
    <w:rsid w:val="009C47F4"/>
    <w:rsid w:val="009C4994"/>
    <w:rsid w:val="009C4A00"/>
    <w:rsid w:val="009C4B6A"/>
    <w:rsid w:val="009C4B78"/>
    <w:rsid w:val="009C4CA5"/>
    <w:rsid w:val="009C4CDA"/>
    <w:rsid w:val="009C4DEC"/>
    <w:rsid w:val="009C4F48"/>
    <w:rsid w:val="009C5037"/>
    <w:rsid w:val="009C50AC"/>
    <w:rsid w:val="009C50B1"/>
    <w:rsid w:val="009C5113"/>
    <w:rsid w:val="009C568D"/>
    <w:rsid w:val="009C5703"/>
    <w:rsid w:val="009C57F8"/>
    <w:rsid w:val="009C5800"/>
    <w:rsid w:val="009C583F"/>
    <w:rsid w:val="009C585D"/>
    <w:rsid w:val="009C58F2"/>
    <w:rsid w:val="009C5A22"/>
    <w:rsid w:val="009C5AB2"/>
    <w:rsid w:val="009C5AEE"/>
    <w:rsid w:val="009C5D88"/>
    <w:rsid w:val="009C6065"/>
    <w:rsid w:val="009C60B3"/>
    <w:rsid w:val="009C6110"/>
    <w:rsid w:val="009C6235"/>
    <w:rsid w:val="009C6410"/>
    <w:rsid w:val="009C643F"/>
    <w:rsid w:val="009C64B0"/>
    <w:rsid w:val="009C6525"/>
    <w:rsid w:val="009C6839"/>
    <w:rsid w:val="009C6B83"/>
    <w:rsid w:val="009C6BDF"/>
    <w:rsid w:val="009C708C"/>
    <w:rsid w:val="009C71A0"/>
    <w:rsid w:val="009C7409"/>
    <w:rsid w:val="009C77AB"/>
    <w:rsid w:val="009C77C2"/>
    <w:rsid w:val="009C7A43"/>
    <w:rsid w:val="009C7BA6"/>
    <w:rsid w:val="009C7BFD"/>
    <w:rsid w:val="009C7DB7"/>
    <w:rsid w:val="009C7DFB"/>
    <w:rsid w:val="009C7EFD"/>
    <w:rsid w:val="009C7FF9"/>
    <w:rsid w:val="009D0079"/>
    <w:rsid w:val="009D00BD"/>
    <w:rsid w:val="009D06C4"/>
    <w:rsid w:val="009D072F"/>
    <w:rsid w:val="009D09F9"/>
    <w:rsid w:val="009D0ABF"/>
    <w:rsid w:val="009D0B0F"/>
    <w:rsid w:val="009D0BC7"/>
    <w:rsid w:val="009D0C30"/>
    <w:rsid w:val="009D0D11"/>
    <w:rsid w:val="009D0D85"/>
    <w:rsid w:val="009D0DBF"/>
    <w:rsid w:val="009D1105"/>
    <w:rsid w:val="009D1212"/>
    <w:rsid w:val="009D12C1"/>
    <w:rsid w:val="009D13C3"/>
    <w:rsid w:val="009D1419"/>
    <w:rsid w:val="009D14C3"/>
    <w:rsid w:val="009D1650"/>
    <w:rsid w:val="009D16DC"/>
    <w:rsid w:val="009D1810"/>
    <w:rsid w:val="009D18A2"/>
    <w:rsid w:val="009D1983"/>
    <w:rsid w:val="009D1A76"/>
    <w:rsid w:val="009D1AB7"/>
    <w:rsid w:val="009D1C2C"/>
    <w:rsid w:val="009D1D1F"/>
    <w:rsid w:val="009D1DF7"/>
    <w:rsid w:val="009D1E8E"/>
    <w:rsid w:val="009D1FC5"/>
    <w:rsid w:val="009D22DE"/>
    <w:rsid w:val="009D2323"/>
    <w:rsid w:val="009D23A0"/>
    <w:rsid w:val="009D25B3"/>
    <w:rsid w:val="009D269D"/>
    <w:rsid w:val="009D2934"/>
    <w:rsid w:val="009D29BF"/>
    <w:rsid w:val="009D2C60"/>
    <w:rsid w:val="009D2C8E"/>
    <w:rsid w:val="009D2D1C"/>
    <w:rsid w:val="009D2D4D"/>
    <w:rsid w:val="009D2DA9"/>
    <w:rsid w:val="009D2DC6"/>
    <w:rsid w:val="009D2DF5"/>
    <w:rsid w:val="009D2F57"/>
    <w:rsid w:val="009D2F5D"/>
    <w:rsid w:val="009D3047"/>
    <w:rsid w:val="009D325B"/>
    <w:rsid w:val="009D3310"/>
    <w:rsid w:val="009D33EB"/>
    <w:rsid w:val="009D33F3"/>
    <w:rsid w:val="009D347C"/>
    <w:rsid w:val="009D36D2"/>
    <w:rsid w:val="009D37F1"/>
    <w:rsid w:val="009D3896"/>
    <w:rsid w:val="009D38DE"/>
    <w:rsid w:val="009D3C9C"/>
    <w:rsid w:val="009D3E30"/>
    <w:rsid w:val="009D3ED2"/>
    <w:rsid w:val="009D3EE5"/>
    <w:rsid w:val="009D3F3B"/>
    <w:rsid w:val="009D4015"/>
    <w:rsid w:val="009D420F"/>
    <w:rsid w:val="009D4379"/>
    <w:rsid w:val="009D4507"/>
    <w:rsid w:val="009D463A"/>
    <w:rsid w:val="009D46B2"/>
    <w:rsid w:val="009D4713"/>
    <w:rsid w:val="009D491D"/>
    <w:rsid w:val="009D4990"/>
    <w:rsid w:val="009D4AC5"/>
    <w:rsid w:val="009D4C5D"/>
    <w:rsid w:val="009D4EB6"/>
    <w:rsid w:val="009D4F81"/>
    <w:rsid w:val="009D5012"/>
    <w:rsid w:val="009D512C"/>
    <w:rsid w:val="009D5280"/>
    <w:rsid w:val="009D5286"/>
    <w:rsid w:val="009D57D1"/>
    <w:rsid w:val="009D587D"/>
    <w:rsid w:val="009D5B3F"/>
    <w:rsid w:val="009D5CFF"/>
    <w:rsid w:val="009D5E6F"/>
    <w:rsid w:val="009D5E70"/>
    <w:rsid w:val="009D5EBC"/>
    <w:rsid w:val="009D5F92"/>
    <w:rsid w:val="009D5F9B"/>
    <w:rsid w:val="009D6216"/>
    <w:rsid w:val="009D639F"/>
    <w:rsid w:val="009D648B"/>
    <w:rsid w:val="009D6719"/>
    <w:rsid w:val="009D6755"/>
    <w:rsid w:val="009D6867"/>
    <w:rsid w:val="009D6A1B"/>
    <w:rsid w:val="009D6A58"/>
    <w:rsid w:val="009D6A61"/>
    <w:rsid w:val="009D6AB7"/>
    <w:rsid w:val="009D6C3E"/>
    <w:rsid w:val="009D6EDB"/>
    <w:rsid w:val="009D6F31"/>
    <w:rsid w:val="009D71E3"/>
    <w:rsid w:val="009D72CF"/>
    <w:rsid w:val="009D7320"/>
    <w:rsid w:val="009D7362"/>
    <w:rsid w:val="009D7404"/>
    <w:rsid w:val="009D749B"/>
    <w:rsid w:val="009D752B"/>
    <w:rsid w:val="009D75D9"/>
    <w:rsid w:val="009D7711"/>
    <w:rsid w:val="009D7747"/>
    <w:rsid w:val="009D79D1"/>
    <w:rsid w:val="009D7AA1"/>
    <w:rsid w:val="009D7C04"/>
    <w:rsid w:val="009D7C62"/>
    <w:rsid w:val="009D7CAB"/>
    <w:rsid w:val="009D7D3E"/>
    <w:rsid w:val="009D7DAF"/>
    <w:rsid w:val="009E0013"/>
    <w:rsid w:val="009E001A"/>
    <w:rsid w:val="009E0113"/>
    <w:rsid w:val="009E01D9"/>
    <w:rsid w:val="009E02BA"/>
    <w:rsid w:val="009E02E3"/>
    <w:rsid w:val="009E03CB"/>
    <w:rsid w:val="009E0476"/>
    <w:rsid w:val="009E050E"/>
    <w:rsid w:val="009E05A3"/>
    <w:rsid w:val="009E05EA"/>
    <w:rsid w:val="009E0657"/>
    <w:rsid w:val="009E08DB"/>
    <w:rsid w:val="009E0B1F"/>
    <w:rsid w:val="009E0B5B"/>
    <w:rsid w:val="009E0BD3"/>
    <w:rsid w:val="009E0C30"/>
    <w:rsid w:val="009E0D1F"/>
    <w:rsid w:val="009E0E86"/>
    <w:rsid w:val="009E0F4E"/>
    <w:rsid w:val="009E1082"/>
    <w:rsid w:val="009E10F5"/>
    <w:rsid w:val="009E1276"/>
    <w:rsid w:val="009E1521"/>
    <w:rsid w:val="009E15DA"/>
    <w:rsid w:val="009E166C"/>
    <w:rsid w:val="009E18C5"/>
    <w:rsid w:val="009E19BB"/>
    <w:rsid w:val="009E1BFF"/>
    <w:rsid w:val="009E1C3D"/>
    <w:rsid w:val="009E1C6B"/>
    <w:rsid w:val="009E1E1F"/>
    <w:rsid w:val="009E1E99"/>
    <w:rsid w:val="009E1FA7"/>
    <w:rsid w:val="009E1FE5"/>
    <w:rsid w:val="009E228B"/>
    <w:rsid w:val="009E23F3"/>
    <w:rsid w:val="009E244F"/>
    <w:rsid w:val="009E2496"/>
    <w:rsid w:val="009E24CB"/>
    <w:rsid w:val="009E24FC"/>
    <w:rsid w:val="009E2635"/>
    <w:rsid w:val="009E264F"/>
    <w:rsid w:val="009E2662"/>
    <w:rsid w:val="009E26D4"/>
    <w:rsid w:val="009E2AC7"/>
    <w:rsid w:val="009E2B11"/>
    <w:rsid w:val="009E2B42"/>
    <w:rsid w:val="009E2CAF"/>
    <w:rsid w:val="009E2D25"/>
    <w:rsid w:val="009E2DDB"/>
    <w:rsid w:val="009E2F34"/>
    <w:rsid w:val="009E2F63"/>
    <w:rsid w:val="009E2F78"/>
    <w:rsid w:val="009E3270"/>
    <w:rsid w:val="009E3337"/>
    <w:rsid w:val="009E3379"/>
    <w:rsid w:val="009E3412"/>
    <w:rsid w:val="009E355E"/>
    <w:rsid w:val="009E36E6"/>
    <w:rsid w:val="009E376B"/>
    <w:rsid w:val="009E3828"/>
    <w:rsid w:val="009E3A59"/>
    <w:rsid w:val="009E3A70"/>
    <w:rsid w:val="009E3C97"/>
    <w:rsid w:val="009E3D9D"/>
    <w:rsid w:val="009E3E1E"/>
    <w:rsid w:val="009E3F21"/>
    <w:rsid w:val="009E4046"/>
    <w:rsid w:val="009E432C"/>
    <w:rsid w:val="009E43F2"/>
    <w:rsid w:val="009E44F4"/>
    <w:rsid w:val="009E458D"/>
    <w:rsid w:val="009E4643"/>
    <w:rsid w:val="009E4792"/>
    <w:rsid w:val="009E47D3"/>
    <w:rsid w:val="009E4879"/>
    <w:rsid w:val="009E48B1"/>
    <w:rsid w:val="009E48FE"/>
    <w:rsid w:val="009E4990"/>
    <w:rsid w:val="009E4A0F"/>
    <w:rsid w:val="009E4B3C"/>
    <w:rsid w:val="009E4DC6"/>
    <w:rsid w:val="009E4DE2"/>
    <w:rsid w:val="009E4EDF"/>
    <w:rsid w:val="009E5007"/>
    <w:rsid w:val="009E507A"/>
    <w:rsid w:val="009E5127"/>
    <w:rsid w:val="009E5161"/>
    <w:rsid w:val="009E51D2"/>
    <w:rsid w:val="009E5322"/>
    <w:rsid w:val="009E5379"/>
    <w:rsid w:val="009E553F"/>
    <w:rsid w:val="009E5703"/>
    <w:rsid w:val="009E58AF"/>
    <w:rsid w:val="009E5A0C"/>
    <w:rsid w:val="009E5A10"/>
    <w:rsid w:val="009E5A2B"/>
    <w:rsid w:val="009E5CF3"/>
    <w:rsid w:val="009E5DA7"/>
    <w:rsid w:val="009E5DE8"/>
    <w:rsid w:val="009E6008"/>
    <w:rsid w:val="009E6039"/>
    <w:rsid w:val="009E614F"/>
    <w:rsid w:val="009E6155"/>
    <w:rsid w:val="009E621F"/>
    <w:rsid w:val="009E6231"/>
    <w:rsid w:val="009E63F2"/>
    <w:rsid w:val="009E64B4"/>
    <w:rsid w:val="009E65A0"/>
    <w:rsid w:val="009E65A4"/>
    <w:rsid w:val="009E65D0"/>
    <w:rsid w:val="009E664F"/>
    <w:rsid w:val="009E66EF"/>
    <w:rsid w:val="009E69E8"/>
    <w:rsid w:val="009E6A84"/>
    <w:rsid w:val="009E6AB3"/>
    <w:rsid w:val="009E6C2A"/>
    <w:rsid w:val="009E6D85"/>
    <w:rsid w:val="009E7152"/>
    <w:rsid w:val="009E717E"/>
    <w:rsid w:val="009E7222"/>
    <w:rsid w:val="009E7270"/>
    <w:rsid w:val="009E7283"/>
    <w:rsid w:val="009E74C1"/>
    <w:rsid w:val="009E75B5"/>
    <w:rsid w:val="009E762B"/>
    <w:rsid w:val="009E7846"/>
    <w:rsid w:val="009E790F"/>
    <w:rsid w:val="009E7B80"/>
    <w:rsid w:val="009E7DA9"/>
    <w:rsid w:val="009E7EE7"/>
    <w:rsid w:val="009E7F1E"/>
    <w:rsid w:val="009E7FA7"/>
    <w:rsid w:val="009E7FB0"/>
    <w:rsid w:val="009F00CD"/>
    <w:rsid w:val="009F0137"/>
    <w:rsid w:val="009F018A"/>
    <w:rsid w:val="009F02C8"/>
    <w:rsid w:val="009F02D9"/>
    <w:rsid w:val="009F041D"/>
    <w:rsid w:val="009F0424"/>
    <w:rsid w:val="009F04C4"/>
    <w:rsid w:val="009F0769"/>
    <w:rsid w:val="009F0872"/>
    <w:rsid w:val="009F08FF"/>
    <w:rsid w:val="009F0947"/>
    <w:rsid w:val="009F094F"/>
    <w:rsid w:val="009F096E"/>
    <w:rsid w:val="009F097D"/>
    <w:rsid w:val="009F0A36"/>
    <w:rsid w:val="009F0A81"/>
    <w:rsid w:val="009F0C2B"/>
    <w:rsid w:val="009F0DA6"/>
    <w:rsid w:val="009F0E07"/>
    <w:rsid w:val="009F0F73"/>
    <w:rsid w:val="009F0FA4"/>
    <w:rsid w:val="009F1091"/>
    <w:rsid w:val="009F1110"/>
    <w:rsid w:val="009F12B2"/>
    <w:rsid w:val="009F13C6"/>
    <w:rsid w:val="009F1436"/>
    <w:rsid w:val="009F15A1"/>
    <w:rsid w:val="009F163D"/>
    <w:rsid w:val="009F1660"/>
    <w:rsid w:val="009F18ED"/>
    <w:rsid w:val="009F1957"/>
    <w:rsid w:val="009F1AA2"/>
    <w:rsid w:val="009F1C7D"/>
    <w:rsid w:val="009F1CB6"/>
    <w:rsid w:val="009F1CE9"/>
    <w:rsid w:val="009F1DCE"/>
    <w:rsid w:val="009F2148"/>
    <w:rsid w:val="009F21B6"/>
    <w:rsid w:val="009F21BF"/>
    <w:rsid w:val="009F2375"/>
    <w:rsid w:val="009F24F9"/>
    <w:rsid w:val="009F26BF"/>
    <w:rsid w:val="009F2717"/>
    <w:rsid w:val="009F2870"/>
    <w:rsid w:val="009F28DA"/>
    <w:rsid w:val="009F2ACF"/>
    <w:rsid w:val="009F2C1B"/>
    <w:rsid w:val="009F2C63"/>
    <w:rsid w:val="009F2C6E"/>
    <w:rsid w:val="009F2D2D"/>
    <w:rsid w:val="009F2D5C"/>
    <w:rsid w:val="009F2E9E"/>
    <w:rsid w:val="009F3159"/>
    <w:rsid w:val="009F3330"/>
    <w:rsid w:val="009F348A"/>
    <w:rsid w:val="009F34E4"/>
    <w:rsid w:val="009F36F1"/>
    <w:rsid w:val="009F3957"/>
    <w:rsid w:val="009F395D"/>
    <w:rsid w:val="009F3AA1"/>
    <w:rsid w:val="009F3B05"/>
    <w:rsid w:val="009F3B30"/>
    <w:rsid w:val="009F3B3C"/>
    <w:rsid w:val="009F3B5B"/>
    <w:rsid w:val="009F3BD4"/>
    <w:rsid w:val="009F3CBF"/>
    <w:rsid w:val="009F3D19"/>
    <w:rsid w:val="009F3DF8"/>
    <w:rsid w:val="009F3FA4"/>
    <w:rsid w:val="009F3FF6"/>
    <w:rsid w:val="009F3FFE"/>
    <w:rsid w:val="009F418A"/>
    <w:rsid w:val="009F4233"/>
    <w:rsid w:val="009F4241"/>
    <w:rsid w:val="009F4286"/>
    <w:rsid w:val="009F45B0"/>
    <w:rsid w:val="009F45FB"/>
    <w:rsid w:val="009F4613"/>
    <w:rsid w:val="009F465D"/>
    <w:rsid w:val="009F4739"/>
    <w:rsid w:val="009F4746"/>
    <w:rsid w:val="009F474E"/>
    <w:rsid w:val="009F4899"/>
    <w:rsid w:val="009F494F"/>
    <w:rsid w:val="009F4955"/>
    <w:rsid w:val="009F4AD5"/>
    <w:rsid w:val="009F4BA9"/>
    <w:rsid w:val="009F4C2E"/>
    <w:rsid w:val="009F4CFE"/>
    <w:rsid w:val="009F4DA1"/>
    <w:rsid w:val="009F4F4A"/>
    <w:rsid w:val="009F50D3"/>
    <w:rsid w:val="009F5110"/>
    <w:rsid w:val="009F5139"/>
    <w:rsid w:val="009F56AD"/>
    <w:rsid w:val="009F5705"/>
    <w:rsid w:val="009F5C40"/>
    <w:rsid w:val="009F5C62"/>
    <w:rsid w:val="009F5CB7"/>
    <w:rsid w:val="009F5D95"/>
    <w:rsid w:val="009F5E2A"/>
    <w:rsid w:val="009F5EAE"/>
    <w:rsid w:val="009F600F"/>
    <w:rsid w:val="009F6041"/>
    <w:rsid w:val="009F6071"/>
    <w:rsid w:val="009F614F"/>
    <w:rsid w:val="009F628F"/>
    <w:rsid w:val="009F6422"/>
    <w:rsid w:val="009F648B"/>
    <w:rsid w:val="009F65B6"/>
    <w:rsid w:val="009F65D6"/>
    <w:rsid w:val="009F668D"/>
    <w:rsid w:val="009F66A3"/>
    <w:rsid w:val="009F672C"/>
    <w:rsid w:val="009F6785"/>
    <w:rsid w:val="009F684A"/>
    <w:rsid w:val="009F68FE"/>
    <w:rsid w:val="009F6A74"/>
    <w:rsid w:val="009F6AEE"/>
    <w:rsid w:val="009F6B48"/>
    <w:rsid w:val="009F6B50"/>
    <w:rsid w:val="009F6BF9"/>
    <w:rsid w:val="009F6D7E"/>
    <w:rsid w:val="009F6EB1"/>
    <w:rsid w:val="009F6F11"/>
    <w:rsid w:val="009F6FD1"/>
    <w:rsid w:val="009F707F"/>
    <w:rsid w:val="009F716E"/>
    <w:rsid w:val="009F75DF"/>
    <w:rsid w:val="009F75EA"/>
    <w:rsid w:val="009F7623"/>
    <w:rsid w:val="009F7724"/>
    <w:rsid w:val="009F77B9"/>
    <w:rsid w:val="009F7840"/>
    <w:rsid w:val="009F78AF"/>
    <w:rsid w:val="009F78B1"/>
    <w:rsid w:val="009F7A73"/>
    <w:rsid w:val="009F7B79"/>
    <w:rsid w:val="009F7CB5"/>
    <w:rsid w:val="009F7E0B"/>
    <w:rsid w:val="009F7F3A"/>
    <w:rsid w:val="009F7F3C"/>
    <w:rsid w:val="009F7F3D"/>
    <w:rsid w:val="009F7FCB"/>
    <w:rsid w:val="00A00020"/>
    <w:rsid w:val="00A00037"/>
    <w:rsid w:val="00A0005D"/>
    <w:rsid w:val="00A000BD"/>
    <w:rsid w:val="00A002EB"/>
    <w:rsid w:val="00A003EA"/>
    <w:rsid w:val="00A004FC"/>
    <w:rsid w:val="00A00659"/>
    <w:rsid w:val="00A0081B"/>
    <w:rsid w:val="00A00862"/>
    <w:rsid w:val="00A00936"/>
    <w:rsid w:val="00A0098E"/>
    <w:rsid w:val="00A00A55"/>
    <w:rsid w:val="00A00B85"/>
    <w:rsid w:val="00A00C36"/>
    <w:rsid w:val="00A00D0E"/>
    <w:rsid w:val="00A00D80"/>
    <w:rsid w:val="00A010DF"/>
    <w:rsid w:val="00A01306"/>
    <w:rsid w:val="00A0138B"/>
    <w:rsid w:val="00A014ED"/>
    <w:rsid w:val="00A018AA"/>
    <w:rsid w:val="00A01A06"/>
    <w:rsid w:val="00A01B2A"/>
    <w:rsid w:val="00A01B57"/>
    <w:rsid w:val="00A01DFC"/>
    <w:rsid w:val="00A01F1D"/>
    <w:rsid w:val="00A01F55"/>
    <w:rsid w:val="00A01FF3"/>
    <w:rsid w:val="00A0215F"/>
    <w:rsid w:val="00A02160"/>
    <w:rsid w:val="00A02203"/>
    <w:rsid w:val="00A0229D"/>
    <w:rsid w:val="00A02826"/>
    <w:rsid w:val="00A029AC"/>
    <w:rsid w:val="00A029EC"/>
    <w:rsid w:val="00A02A09"/>
    <w:rsid w:val="00A02A67"/>
    <w:rsid w:val="00A02AE8"/>
    <w:rsid w:val="00A02B58"/>
    <w:rsid w:val="00A02BC5"/>
    <w:rsid w:val="00A02CBD"/>
    <w:rsid w:val="00A02CBF"/>
    <w:rsid w:val="00A02D11"/>
    <w:rsid w:val="00A02E7E"/>
    <w:rsid w:val="00A02EB3"/>
    <w:rsid w:val="00A031FE"/>
    <w:rsid w:val="00A0326E"/>
    <w:rsid w:val="00A032A2"/>
    <w:rsid w:val="00A03592"/>
    <w:rsid w:val="00A035D8"/>
    <w:rsid w:val="00A03615"/>
    <w:rsid w:val="00A0365A"/>
    <w:rsid w:val="00A03762"/>
    <w:rsid w:val="00A037DC"/>
    <w:rsid w:val="00A03854"/>
    <w:rsid w:val="00A03A48"/>
    <w:rsid w:val="00A03B0D"/>
    <w:rsid w:val="00A03B56"/>
    <w:rsid w:val="00A03C4E"/>
    <w:rsid w:val="00A03EDC"/>
    <w:rsid w:val="00A0405B"/>
    <w:rsid w:val="00A042B7"/>
    <w:rsid w:val="00A044D7"/>
    <w:rsid w:val="00A0452F"/>
    <w:rsid w:val="00A047F9"/>
    <w:rsid w:val="00A0497B"/>
    <w:rsid w:val="00A04AE0"/>
    <w:rsid w:val="00A04C55"/>
    <w:rsid w:val="00A04C5A"/>
    <w:rsid w:val="00A04C6A"/>
    <w:rsid w:val="00A04D4B"/>
    <w:rsid w:val="00A04D7F"/>
    <w:rsid w:val="00A04E29"/>
    <w:rsid w:val="00A04EA9"/>
    <w:rsid w:val="00A04F13"/>
    <w:rsid w:val="00A04F36"/>
    <w:rsid w:val="00A05111"/>
    <w:rsid w:val="00A05443"/>
    <w:rsid w:val="00A05466"/>
    <w:rsid w:val="00A05604"/>
    <w:rsid w:val="00A056C8"/>
    <w:rsid w:val="00A05942"/>
    <w:rsid w:val="00A059EF"/>
    <w:rsid w:val="00A05B17"/>
    <w:rsid w:val="00A05BF5"/>
    <w:rsid w:val="00A05C8A"/>
    <w:rsid w:val="00A05E47"/>
    <w:rsid w:val="00A05E63"/>
    <w:rsid w:val="00A05EFF"/>
    <w:rsid w:val="00A05F86"/>
    <w:rsid w:val="00A05FBB"/>
    <w:rsid w:val="00A0609B"/>
    <w:rsid w:val="00A061B5"/>
    <w:rsid w:val="00A066A5"/>
    <w:rsid w:val="00A06718"/>
    <w:rsid w:val="00A0680E"/>
    <w:rsid w:val="00A0697D"/>
    <w:rsid w:val="00A06AFB"/>
    <w:rsid w:val="00A06B50"/>
    <w:rsid w:val="00A06B8E"/>
    <w:rsid w:val="00A06C0E"/>
    <w:rsid w:val="00A06D3B"/>
    <w:rsid w:val="00A06D93"/>
    <w:rsid w:val="00A06F28"/>
    <w:rsid w:val="00A06FCD"/>
    <w:rsid w:val="00A07048"/>
    <w:rsid w:val="00A070BF"/>
    <w:rsid w:val="00A070C6"/>
    <w:rsid w:val="00A07266"/>
    <w:rsid w:val="00A0755C"/>
    <w:rsid w:val="00A0772A"/>
    <w:rsid w:val="00A07782"/>
    <w:rsid w:val="00A077DB"/>
    <w:rsid w:val="00A07818"/>
    <w:rsid w:val="00A07A61"/>
    <w:rsid w:val="00A07B78"/>
    <w:rsid w:val="00A07BBB"/>
    <w:rsid w:val="00A07E58"/>
    <w:rsid w:val="00A07EF3"/>
    <w:rsid w:val="00A07F54"/>
    <w:rsid w:val="00A07F7F"/>
    <w:rsid w:val="00A100D0"/>
    <w:rsid w:val="00A100D7"/>
    <w:rsid w:val="00A1012C"/>
    <w:rsid w:val="00A1014A"/>
    <w:rsid w:val="00A1033D"/>
    <w:rsid w:val="00A103D2"/>
    <w:rsid w:val="00A10596"/>
    <w:rsid w:val="00A106ED"/>
    <w:rsid w:val="00A10726"/>
    <w:rsid w:val="00A10816"/>
    <w:rsid w:val="00A10831"/>
    <w:rsid w:val="00A109B2"/>
    <w:rsid w:val="00A109EF"/>
    <w:rsid w:val="00A10A6B"/>
    <w:rsid w:val="00A10A6D"/>
    <w:rsid w:val="00A10A7E"/>
    <w:rsid w:val="00A10B4F"/>
    <w:rsid w:val="00A10C63"/>
    <w:rsid w:val="00A10DA0"/>
    <w:rsid w:val="00A10EDC"/>
    <w:rsid w:val="00A10F61"/>
    <w:rsid w:val="00A10FA8"/>
    <w:rsid w:val="00A11106"/>
    <w:rsid w:val="00A11145"/>
    <w:rsid w:val="00A1130C"/>
    <w:rsid w:val="00A113E2"/>
    <w:rsid w:val="00A11444"/>
    <w:rsid w:val="00A1144A"/>
    <w:rsid w:val="00A114C1"/>
    <w:rsid w:val="00A11540"/>
    <w:rsid w:val="00A11624"/>
    <w:rsid w:val="00A116BA"/>
    <w:rsid w:val="00A1176A"/>
    <w:rsid w:val="00A11907"/>
    <w:rsid w:val="00A11910"/>
    <w:rsid w:val="00A11AE7"/>
    <w:rsid w:val="00A11C88"/>
    <w:rsid w:val="00A11CC7"/>
    <w:rsid w:val="00A11D68"/>
    <w:rsid w:val="00A11D75"/>
    <w:rsid w:val="00A11E20"/>
    <w:rsid w:val="00A11EB7"/>
    <w:rsid w:val="00A11EEB"/>
    <w:rsid w:val="00A12003"/>
    <w:rsid w:val="00A121B4"/>
    <w:rsid w:val="00A122A9"/>
    <w:rsid w:val="00A123CB"/>
    <w:rsid w:val="00A123CC"/>
    <w:rsid w:val="00A12662"/>
    <w:rsid w:val="00A12697"/>
    <w:rsid w:val="00A12939"/>
    <w:rsid w:val="00A12A70"/>
    <w:rsid w:val="00A12C8D"/>
    <w:rsid w:val="00A12D0E"/>
    <w:rsid w:val="00A12E68"/>
    <w:rsid w:val="00A12FD1"/>
    <w:rsid w:val="00A1321E"/>
    <w:rsid w:val="00A13253"/>
    <w:rsid w:val="00A13283"/>
    <w:rsid w:val="00A13378"/>
    <w:rsid w:val="00A13388"/>
    <w:rsid w:val="00A13420"/>
    <w:rsid w:val="00A1350E"/>
    <w:rsid w:val="00A1351E"/>
    <w:rsid w:val="00A137AC"/>
    <w:rsid w:val="00A13899"/>
    <w:rsid w:val="00A138C8"/>
    <w:rsid w:val="00A138F2"/>
    <w:rsid w:val="00A1395A"/>
    <w:rsid w:val="00A139C8"/>
    <w:rsid w:val="00A13BDA"/>
    <w:rsid w:val="00A13CAC"/>
    <w:rsid w:val="00A13DEF"/>
    <w:rsid w:val="00A13EB0"/>
    <w:rsid w:val="00A13ECB"/>
    <w:rsid w:val="00A14034"/>
    <w:rsid w:val="00A14128"/>
    <w:rsid w:val="00A14182"/>
    <w:rsid w:val="00A141E7"/>
    <w:rsid w:val="00A1437F"/>
    <w:rsid w:val="00A1440D"/>
    <w:rsid w:val="00A14461"/>
    <w:rsid w:val="00A145FD"/>
    <w:rsid w:val="00A1464E"/>
    <w:rsid w:val="00A14863"/>
    <w:rsid w:val="00A14875"/>
    <w:rsid w:val="00A14A05"/>
    <w:rsid w:val="00A14A29"/>
    <w:rsid w:val="00A14ADB"/>
    <w:rsid w:val="00A14B03"/>
    <w:rsid w:val="00A14C43"/>
    <w:rsid w:val="00A14C6A"/>
    <w:rsid w:val="00A14D25"/>
    <w:rsid w:val="00A14DC7"/>
    <w:rsid w:val="00A14EAD"/>
    <w:rsid w:val="00A14EC7"/>
    <w:rsid w:val="00A14EE0"/>
    <w:rsid w:val="00A15094"/>
    <w:rsid w:val="00A151C6"/>
    <w:rsid w:val="00A152ED"/>
    <w:rsid w:val="00A15493"/>
    <w:rsid w:val="00A154F1"/>
    <w:rsid w:val="00A1559D"/>
    <w:rsid w:val="00A155B4"/>
    <w:rsid w:val="00A1562D"/>
    <w:rsid w:val="00A1567C"/>
    <w:rsid w:val="00A15803"/>
    <w:rsid w:val="00A15853"/>
    <w:rsid w:val="00A1589C"/>
    <w:rsid w:val="00A158E5"/>
    <w:rsid w:val="00A15A26"/>
    <w:rsid w:val="00A15A87"/>
    <w:rsid w:val="00A15B2E"/>
    <w:rsid w:val="00A15C87"/>
    <w:rsid w:val="00A15D20"/>
    <w:rsid w:val="00A15D9A"/>
    <w:rsid w:val="00A160B0"/>
    <w:rsid w:val="00A16123"/>
    <w:rsid w:val="00A1629C"/>
    <w:rsid w:val="00A1634E"/>
    <w:rsid w:val="00A16474"/>
    <w:rsid w:val="00A16609"/>
    <w:rsid w:val="00A16A7C"/>
    <w:rsid w:val="00A16B3E"/>
    <w:rsid w:val="00A16C00"/>
    <w:rsid w:val="00A16DB9"/>
    <w:rsid w:val="00A16DC4"/>
    <w:rsid w:val="00A16E1D"/>
    <w:rsid w:val="00A16ED9"/>
    <w:rsid w:val="00A17039"/>
    <w:rsid w:val="00A17159"/>
    <w:rsid w:val="00A17223"/>
    <w:rsid w:val="00A17354"/>
    <w:rsid w:val="00A17359"/>
    <w:rsid w:val="00A1735D"/>
    <w:rsid w:val="00A17587"/>
    <w:rsid w:val="00A17863"/>
    <w:rsid w:val="00A178C6"/>
    <w:rsid w:val="00A17968"/>
    <w:rsid w:val="00A17D81"/>
    <w:rsid w:val="00A17EEE"/>
    <w:rsid w:val="00A17FA1"/>
    <w:rsid w:val="00A17FF0"/>
    <w:rsid w:val="00A20141"/>
    <w:rsid w:val="00A201AB"/>
    <w:rsid w:val="00A202A7"/>
    <w:rsid w:val="00A202D2"/>
    <w:rsid w:val="00A20418"/>
    <w:rsid w:val="00A2051D"/>
    <w:rsid w:val="00A205A1"/>
    <w:rsid w:val="00A205C3"/>
    <w:rsid w:val="00A205ED"/>
    <w:rsid w:val="00A20655"/>
    <w:rsid w:val="00A2072B"/>
    <w:rsid w:val="00A20742"/>
    <w:rsid w:val="00A20796"/>
    <w:rsid w:val="00A207AF"/>
    <w:rsid w:val="00A208B4"/>
    <w:rsid w:val="00A208D0"/>
    <w:rsid w:val="00A20AB5"/>
    <w:rsid w:val="00A20B26"/>
    <w:rsid w:val="00A20BBC"/>
    <w:rsid w:val="00A20BCD"/>
    <w:rsid w:val="00A20C67"/>
    <w:rsid w:val="00A20C75"/>
    <w:rsid w:val="00A20C85"/>
    <w:rsid w:val="00A20C9F"/>
    <w:rsid w:val="00A20D70"/>
    <w:rsid w:val="00A20DD3"/>
    <w:rsid w:val="00A20DFC"/>
    <w:rsid w:val="00A20E11"/>
    <w:rsid w:val="00A20F49"/>
    <w:rsid w:val="00A2100C"/>
    <w:rsid w:val="00A210B9"/>
    <w:rsid w:val="00A21163"/>
    <w:rsid w:val="00A21216"/>
    <w:rsid w:val="00A212AE"/>
    <w:rsid w:val="00A214EA"/>
    <w:rsid w:val="00A217CA"/>
    <w:rsid w:val="00A2184C"/>
    <w:rsid w:val="00A221EB"/>
    <w:rsid w:val="00A2236E"/>
    <w:rsid w:val="00A223B4"/>
    <w:rsid w:val="00A22417"/>
    <w:rsid w:val="00A22446"/>
    <w:rsid w:val="00A22447"/>
    <w:rsid w:val="00A2253B"/>
    <w:rsid w:val="00A22641"/>
    <w:rsid w:val="00A226B8"/>
    <w:rsid w:val="00A22AA2"/>
    <w:rsid w:val="00A22B1D"/>
    <w:rsid w:val="00A22B7E"/>
    <w:rsid w:val="00A22B9A"/>
    <w:rsid w:val="00A22C1A"/>
    <w:rsid w:val="00A22C61"/>
    <w:rsid w:val="00A22E48"/>
    <w:rsid w:val="00A231AE"/>
    <w:rsid w:val="00A2323A"/>
    <w:rsid w:val="00A232C5"/>
    <w:rsid w:val="00A234AE"/>
    <w:rsid w:val="00A2371A"/>
    <w:rsid w:val="00A2371F"/>
    <w:rsid w:val="00A2375B"/>
    <w:rsid w:val="00A237C9"/>
    <w:rsid w:val="00A23825"/>
    <w:rsid w:val="00A23959"/>
    <w:rsid w:val="00A23C9F"/>
    <w:rsid w:val="00A23D4A"/>
    <w:rsid w:val="00A23E06"/>
    <w:rsid w:val="00A23ED6"/>
    <w:rsid w:val="00A23F3D"/>
    <w:rsid w:val="00A23F60"/>
    <w:rsid w:val="00A240C3"/>
    <w:rsid w:val="00A24151"/>
    <w:rsid w:val="00A2418C"/>
    <w:rsid w:val="00A2428B"/>
    <w:rsid w:val="00A24434"/>
    <w:rsid w:val="00A24563"/>
    <w:rsid w:val="00A2474B"/>
    <w:rsid w:val="00A247FB"/>
    <w:rsid w:val="00A24811"/>
    <w:rsid w:val="00A24A6B"/>
    <w:rsid w:val="00A24A97"/>
    <w:rsid w:val="00A24AA4"/>
    <w:rsid w:val="00A24EEA"/>
    <w:rsid w:val="00A25055"/>
    <w:rsid w:val="00A250B4"/>
    <w:rsid w:val="00A25118"/>
    <w:rsid w:val="00A25128"/>
    <w:rsid w:val="00A2513A"/>
    <w:rsid w:val="00A252C0"/>
    <w:rsid w:val="00A2539A"/>
    <w:rsid w:val="00A2552F"/>
    <w:rsid w:val="00A2562F"/>
    <w:rsid w:val="00A256B5"/>
    <w:rsid w:val="00A256DC"/>
    <w:rsid w:val="00A25718"/>
    <w:rsid w:val="00A2571E"/>
    <w:rsid w:val="00A2574C"/>
    <w:rsid w:val="00A25837"/>
    <w:rsid w:val="00A25970"/>
    <w:rsid w:val="00A25AED"/>
    <w:rsid w:val="00A25B32"/>
    <w:rsid w:val="00A25B6C"/>
    <w:rsid w:val="00A25C06"/>
    <w:rsid w:val="00A25EF8"/>
    <w:rsid w:val="00A25F8C"/>
    <w:rsid w:val="00A260B9"/>
    <w:rsid w:val="00A262B5"/>
    <w:rsid w:val="00A263F0"/>
    <w:rsid w:val="00A26660"/>
    <w:rsid w:val="00A26706"/>
    <w:rsid w:val="00A267C3"/>
    <w:rsid w:val="00A26A2B"/>
    <w:rsid w:val="00A26D6A"/>
    <w:rsid w:val="00A26D89"/>
    <w:rsid w:val="00A26E13"/>
    <w:rsid w:val="00A26F9B"/>
    <w:rsid w:val="00A27116"/>
    <w:rsid w:val="00A27233"/>
    <w:rsid w:val="00A272DD"/>
    <w:rsid w:val="00A272EB"/>
    <w:rsid w:val="00A2731E"/>
    <w:rsid w:val="00A27423"/>
    <w:rsid w:val="00A2745F"/>
    <w:rsid w:val="00A275B7"/>
    <w:rsid w:val="00A2760E"/>
    <w:rsid w:val="00A27767"/>
    <w:rsid w:val="00A27829"/>
    <w:rsid w:val="00A27938"/>
    <w:rsid w:val="00A27A0C"/>
    <w:rsid w:val="00A27B38"/>
    <w:rsid w:val="00A27B3E"/>
    <w:rsid w:val="00A27B98"/>
    <w:rsid w:val="00A27D14"/>
    <w:rsid w:val="00A27D65"/>
    <w:rsid w:val="00A27DE9"/>
    <w:rsid w:val="00A27EBC"/>
    <w:rsid w:val="00A27F31"/>
    <w:rsid w:val="00A27FE7"/>
    <w:rsid w:val="00A3011F"/>
    <w:rsid w:val="00A30156"/>
    <w:rsid w:val="00A3018E"/>
    <w:rsid w:val="00A30194"/>
    <w:rsid w:val="00A302A3"/>
    <w:rsid w:val="00A302E8"/>
    <w:rsid w:val="00A30570"/>
    <w:rsid w:val="00A30571"/>
    <w:rsid w:val="00A306A3"/>
    <w:rsid w:val="00A30708"/>
    <w:rsid w:val="00A307B0"/>
    <w:rsid w:val="00A30B1F"/>
    <w:rsid w:val="00A30CB8"/>
    <w:rsid w:val="00A30D79"/>
    <w:rsid w:val="00A3112D"/>
    <w:rsid w:val="00A31133"/>
    <w:rsid w:val="00A31188"/>
    <w:rsid w:val="00A311EA"/>
    <w:rsid w:val="00A31385"/>
    <w:rsid w:val="00A313FD"/>
    <w:rsid w:val="00A314AC"/>
    <w:rsid w:val="00A314F2"/>
    <w:rsid w:val="00A3151C"/>
    <w:rsid w:val="00A31645"/>
    <w:rsid w:val="00A31664"/>
    <w:rsid w:val="00A319A1"/>
    <w:rsid w:val="00A31A43"/>
    <w:rsid w:val="00A31CD1"/>
    <w:rsid w:val="00A31DBE"/>
    <w:rsid w:val="00A31E80"/>
    <w:rsid w:val="00A3208B"/>
    <w:rsid w:val="00A3212B"/>
    <w:rsid w:val="00A32359"/>
    <w:rsid w:val="00A323B4"/>
    <w:rsid w:val="00A32461"/>
    <w:rsid w:val="00A32464"/>
    <w:rsid w:val="00A324FB"/>
    <w:rsid w:val="00A326BC"/>
    <w:rsid w:val="00A3278D"/>
    <w:rsid w:val="00A32800"/>
    <w:rsid w:val="00A32B20"/>
    <w:rsid w:val="00A32BCB"/>
    <w:rsid w:val="00A33142"/>
    <w:rsid w:val="00A3316E"/>
    <w:rsid w:val="00A33266"/>
    <w:rsid w:val="00A33378"/>
    <w:rsid w:val="00A333BD"/>
    <w:rsid w:val="00A33907"/>
    <w:rsid w:val="00A339CB"/>
    <w:rsid w:val="00A33C66"/>
    <w:rsid w:val="00A33C7C"/>
    <w:rsid w:val="00A33C89"/>
    <w:rsid w:val="00A33C8C"/>
    <w:rsid w:val="00A340D9"/>
    <w:rsid w:val="00A340EF"/>
    <w:rsid w:val="00A34137"/>
    <w:rsid w:val="00A341CE"/>
    <w:rsid w:val="00A34283"/>
    <w:rsid w:val="00A34493"/>
    <w:rsid w:val="00A34546"/>
    <w:rsid w:val="00A3465F"/>
    <w:rsid w:val="00A347E7"/>
    <w:rsid w:val="00A3487E"/>
    <w:rsid w:val="00A348CD"/>
    <w:rsid w:val="00A348E3"/>
    <w:rsid w:val="00A34ABA"/>
    <w:rsid w:val="00A34B6A"/>
    <w:rsid w:val="00A34CF8"/>
    <w:rsid w:val="00A34DB3"/>
    <w:rsid w:val="00A34F8E"/>
    <w:rsid w:val="00A35203"/>
    <w:rsid w:val="00A354E8"/>
    <w:rsid w:val="00A355AF"/>
    <w:rsid w:val="00A355B6"/>
    <w:rsid w:val="00A355DC"/>
    <w:rsid w:val="00A3563B"/>
    <w:rsid w:val="00A35854"/>
    <w:rsid w:val="00A35872"/>
    <w:rsid w:val="00A35896"/>
    <w:rsid w:val="00A358DB"/>
    <w:rsid w:val="00A3598D"/>
    <w:rsid w:val="00A359FC"/>
    <w:rsid w:val="00A35B3D"/>
    <w:rsid w:val="00A35DBE"/>
    <w:rsid w:val="00A35F5F"/>
    <w:rsid w:val="00A35FD9"/>
    <w:rsid w:val="00A36097"/>
    <w:rsid w:val="00A3618F"/>
    <w:rsid w:val="00A36257"/>
    <w:rsid w:val="00A362CD"/>
    <w:rsid w:val="00A364B3"/>
    <w:rsid w:val="00A366B0"/>
    <w:rsid w:val="00A36760"/>
    <w:rsid w:val="00A36830"/>
    <w:rsid w:val="00A3687A"/>
    <w:rsid w:val="00A36974"/>
    <w:rsid w:val="00A36982"/>
    <w:rsid w:val="00A369A7"/>
    <w:rsid w:val="00A36B1B"/>
    <w:rsid w:val="00A36C3E"/>
    <w:rsid w:val="00A3705A"/>
    <w:rsid w:val="00A37384"/>
    <w:rsid w:val="00A37390"/>
    <w:rsid w:val="00A37476"/>
    <w:rsid w:val="00A375A1"/>
    <w:rsid w:val="00A375DF"/>
    <w:rsid w:val="00A3773C"/>
    <w:rsid w:val="00A37A6A"/>
    <w:rsid w:val="00A37BD8"/>
    <w:rsid w:val="00A37BFE"/>
    <w:rsid w:val="00A37D16"/>
    <w:rsid w:val="00A37D2A"/>
    <w:rsid w:val="00A37D40"/>
    <w:rsid w:val="00A37F7C"/>
    <w:rsid w:val="00A37F90"/>
    <w:rsid w:val="00A37F9C"/>
    <w:rsid w:val="00A40003"/>
    <w:rsid w:val="00A403A4"/>
    <w:rsid w:val="00A40417"/>
    <w:rsid w:val="00A4051B"/>
    <w:rsid w:val="00A4053B"/>
    <w:rsid w:val="00A405EB"/>
    <w:rsid w:val="00A4074D"/>
    <w:rsid w:val="00A409E5"/>
    <w:rsid w:val="00A40A32"/>
    <w:rsid w:val="00A40B6C"/>
    <w:rsid w:val="00A40C7E"/>
    <w:rsid w:val="00A40D95"/>
    <w:rsid w:val="00A40DC0"/>
    <w:rsid w:val="00A40E22"/>
    <w:rsid w:val="00A40F1F"/>
    <w:rsid w:val="00A40F2B"/>
    <w:rsid w:val="00A40F9C"/>
    <w:rsid w:val="00A40FA5"/>
    <w:rsid w:val="00A40FC1"/>
    <w:rsid w:val="00A410CA"/>
    <w:rsid w:val="00A411BB"/>
    <w:rsid w:val="00A412FF"/>
    <w:rsid w:val="00A41435"/>
    <w:rsid w:val="00A4149C"/>
    <w:rsid w:val="00A415A3"/>
    <w:rsid w:val="00A415BC"/>
    <w:rsid w:val="00A41706"/>
    <w:rsid w:val="00A41897"/>
    <w:rsid w:val="00A4197A"/>
    <w:rsid w:val="00A419A6"/>
    <w:rsid w:val="00A419E5"/>
    <w:rsid w:val="00A41A6B"/>
    <w:rsid w:val="00A41A76"/>
    <w:rsid w:val="00A41A78"/>
    <w:rsid w:val="00A41AE8"/>
    <w:rsid w:val="00A41ED7"/>
    <w:rsid w:val="00A4201B"/>
    <w:rsid w:val="00A42102"/>
    <w:rsid w:val="00A4215E"/>
    <w:rsid w:val="00A42189"/>
    <w:rsid w:val="00A42229"/>
    <w:rsid w:val="00A42381"/>
    <w:rsid w:val="00A424A7"/>
    <w:rsid w:val="00A424ED"/>
    <w:rsid w:val="00A4254E"/>
    <w:rsid w:val="00A4255F"/>
    <w:rsid w:val="00A426E4"/>
    <w:rsid w:val="00A42728"/>
    <w:rsid w:val="00A42787"/>
    <w:rsid w:val="00A42890"/>
    <w:rsid w:val="00A42AD6"/>
    <w:rsid w:val="00A42B6D"/>
    <w:rsid w:val="00A42C6D"/>
    <w:rsid w:val="00A42D2B"/>
    <w:rsid w:val="00A42D71"/>
    <w:rsid w:val="00A42DE7"/>
    <w:rsid w:val="00A4313C"/>
    <w:rsid w:val="00A431AA"/>
    <w:rsid w:val="00A4321D"/>
    <w:rsid w:val="00A432A2"/>
    <w:rsid w:val="00A434FA"/>
    <w:rsid w:val="00A438F8"/>
    <w:rsid w:val="00A43AD8"/>
    <w:rsid w:val="00A43C9D"/>
    <w:rsid w:val="00A43DC5"/>
    <w:rsid w:val="00A43E42"/>
    <w:rsid w:val="00A44338"/>
    <w:rsid w:val="00A4450A"/>
    <w:rsid w:val="00A44776"/>
    <w:rsid w:val="00A44948"/>
    <w:rsid w:val="00A44AF1"/>
    <w:rsid w:val="00A44B3C"/>
    <w:rsid w:val="00A44C78"/>
    <w:rsid w:val="00A44D3B"/>
    <w:rsid w:val="00A44F8A"/>
    <w:rsid w:val="00A44FEB"/>
    <w:rsid w:val="00A450D9"/>
    <w:rsid w:val="00A450F1"/>
    <w:rsid w:val="00A4511F"/>
    <w:rsid w:val="00A45246"/>
    <w:rsid w:val="00A45254"/>
    <w:rsid w:val="00A452A8"/>
    <w:rsid w:val="00A45327"/>
    <w:rsid w:val="00A45875"/>
    <w:rsid w:val="00A45C99"/>
    <w:rsid w:val="00A45DB5"/>
    <w:rsid w:val="00A45E54"/>
    <w:rsid w:val="00A45F44"/>
    <w:rsid w:val="00A45FB2"/>
    <w:rsid w:val="00A46185"/>
    <w:rsid w:val="00A461DC"/>
    <w:rsid w:val="00A46224"/>
    <w:rsid w:val="00A462FB"/>
    <w:rsid w:val="00A463D4"/>
    <w:rsid w:val="00A46497"/>
    <w:rsid w:val="00A464B9"/>
    <w:rsid w:val="00A465B5"/>
    <w:rsid w:val="00A4666A"/>
    <w:rsid w:val="00A46740"/>
    <w:rsid w:val="00A4674A"/>
    <w:rsid w:val="00A4680C"/>
    <w:rsid w:val="00A4697D"/>
    <w:rsid w:val="00A469BF"/>
    <w:rsid w:val="00A469EE"/>
    <w:rsid w:val="00A46ADB"/>
    <w:rsid w:val="00A46BAE"/>
    <w:rsid w:val="00A46BDD"/>
    <w:rsid w:val="00A46BE3"/>
    <w:rsid w:val="00A46DAE"/>
    <w:rsid w:val="00A46E48"/>
    <w:rsid w:val="00A46F61"/>
    <w:rsid w:val="00A47052"/>
    <w:rsid w:val="00A4715F"/>
    <w:rsid w:val="00A4725B"/>
    <w:rsid w:val="00A472AD"/>
    <w:rsid w:val="00A472CD"/>
    <w:rsid w:val="00A4755F"/>
    <w:rsid w:val="00A4759A"/>
    <w:rsid w:val="00A476DA"/>
    <w:rsid w:val="00A47799"/>
    <w:rsid w:val="00A47911"/>
    <w:rsid w:val="00A47A61"/>
    <w:rsid w:val="00A47CCD"/>
    <w:rsid w:val="00A47D07"/>
    <w:rsid w:val="00A47D6E"/>
    <w:rsid w:val="00A47DB7"/>
    <w:rsid w:val="00A47F05"/>
    <w:rsid w:val="00A47FAF"/>
    <w:rsid w:val="00A502C9"/>
    <w:rsid w:val="00A503BD"/>
    <w:rsid w:val="00A504CD"/>
    <w:rsid w:val="00A50504"/>
    <w:rsid w:val="00A5060C"/>
    <w:rsid w:val="00A507EA"/>
    <w:rsid w:val="00A5092A"/>
    <w:rsid w:val="00A5098E"/>
    <w:rsid w:val="00A50C31"/>
    <w:rsid w:val="00A50C51"/>
    <w:rsid w:val="00A50C5A"/>
    <w:rsid w:val="00A50DEF"/>
    <w:rsid w:val="00A50EA5"/>
    <w:rsid w:val="00A51092"/>
    <w:rsid w:val="00A51190"/>
    <w:rsid w:val="00A5135F"/>
    <w:rsid w:val="00A513CB"/>
    <w:rsid w:val="00A513E5"/>
    <w:rsid w:val="00A5148B"/>
    <w:rsid w:val="00A51567"/>
    <w:rsid w:val="00A516B8"/>
    <w:rsid w:val="00A518D0"/>
    <w:rsid w:val="00A519EF"/>
    <w:rsid w:val="00A51BAE"/>
    <w:rsid w:val="00A51C34"/>
    <w:rsid w:val="00A51C61"/>
    <w:rsid w:val="00A51DDB"/>
    <w:rsid w:val="00A51DE4"/>
    <w:rsid w:val="00A51EBE"/>
    <w:rsid w:val="00A51EE7"/>
    <w:rsid w:val="00A51F54"/>
    <w:rsid w:val="00A51F81"/>
    <w:rsid w:val="00A52023"/>
    <w:rsid w:val="00A52128"/>
    <w:rsid w:val="00A521C1"/>
    <w:rsid w:val="00A52215"/>
    <w:rsid w:val="00A52264"/>
    <w:rsid w:val="00A52291"/>
    <w:rsid w:val="00A523BB"/>
    <w:rsid w:val="00A523ED"/>
    <w:rsid w:val="00A52488"/>
    <w:rsid w:val="00A525D3"/>
    <w:rsid w:val="00A526C1"/>
    <w:rsid w:val="00A526DD"/>
    <w:rsid w:val="00A526E6"/>
    <w:rsid w:val="00A52700"/>
    <w:rsid w:val="00A52781"/>
    <w:rsid w:val="00A527CF"/>
    <w:rsid w:val="00A52A10"/>
    <w:rsid w:val="00A52AD6"/>
    <w:rsid w:val="00A52B41"/>
    <w:rsid w:val="00A52C77"/>
    <w:rsid w:val="00A53019"/>
    <w:rsid w:val="00A53057"/>
    <w:rsid w:val="00A530AA"/>
    <w:rsid w:val="00A5313A"/>
    <w:rsid w:val="00A53212"/>
    <w:rsid w:val="00A53322"/>
    <w:rsid w:val="00A53406"/>
    <w:rsid w:val="00A53468"/>
    <w:rsid w:val="00A53488"/>
    <w:rsid w:val="00A534F1"/>
    <w:rsid w:val="00A53578"/>
    <w:rsid w:val="00A5361D"/>
    <w:rsid w:val="00A53700"/>
    <w:rsid w:val="00A538AA"/>
    <w:rsid w:val="00A53956"/>
    <w:rsid w:val="00A53A89"/>
    <w:rsid w:val="00A53AC8"/>
    <w:rsid w:val="00A53CDC"/>
    <w:rsid w:val="00A53D58"/>
    <w:rsid w:val="00A53DE3"/>
    <w:rsid w:val="00A53DFC"/>
    <w:rsid w:val="00A53E0B"/>
    <w:rsid w:val="00A53EF3"/>
    <w:rsid w:val="00A53F5D"/>
    <w:rsid w:val="00A54126"/>
    <w:rsid w:val="00A54179"/>
    <w:rsid w:val="00A54265"/>
    <w:rsid w:val="00A542D6"/>
    <w:rsid w:val="00A542E8"/>
    <w:rsid w:val="00A544FF"/>
    <w:rsid w:val="00A54533"/>
    <w:rsid w:val="00A54712"/>
    <w:rsid w:val="00A54917"/>
    <w:rsid w:val="00A549A4"/>
    <w:rsid w:val="00A54D66"/>
    <w:rsid w:val="00A54DCB"/>
    <w:rsid w:val="00A54F13"/>
    <w:rsid w:val="00A550CA"/>
    <w:rsid w:val="00A551AB"/>
    <w:rsid w:val="00A55435"/>
    <w:rsid w:val="00A554F3"/>
    <w:rsid w:val="00A5563D"/>
    <w:rsid w:val="00A55679"/>
    <w:rsid w:val="00A5575A"/>
    <w:rsid w:val="00A557E6"/>
    <w:rsid w:val="00A558C4"/>
    <w:rsid w:val="00A558EA"/>
    <w:rsid w:val="00A55949"/>
    <w:rsid w:val="00A55A03"/>
    <w:rsid w:val="00A55C42"/>
    <w:rsid w:val="00A55C83"/>
    <w:rsid w:val="00A55CE5"/>
    <w:rsid w:val="00A55E79"/>
    <w:rsid w:val="00A560BD"/>
    <w:rsid w:val="00A560FB"/>
    <w:rsid w:val="00A5626C"/>
    <w:rsid w:val="00A563BB"/>
    <w:rsid w:val="00A5646B"/>
    <w:rsid w:val="00A566D6"/>
    <w:rsid w:val="00A5686A"/>
    <w:rsid w:val="00A56A34"/>
    <w:rsid w:val="00A56A3A"/>
    <w:rsid w:val="00A56B3D"/>
    <w:rsid w:val="00A56B8C"/>
    <w:rsid w:val="00A56C0A"/>
    <w:rsid w:val="00A56DAE"/>
    <w:rsid w:val="00A56F50"/>
    <w:rsid w:val="00A570B1"/>
    <w:rsid w:val="00A57298"/>
    <w:rsid w:val="00A572D2"/>
    <w:rsid w:val="00A5776B"/>
    <w:rsid w:val="00A5781C"/>
    <w:rsid w:val="00A57A18"/>
    <w:rsid w:val="00A57AB0"/>
    <w:rsid w:val="00A57B80"/>
    <w:rsid w:val="00A57BFC"/>
    <w:rsid w:val="00A57EC6"/>
    <w:rsid w:val="00A6024A"/>
    <w:rsid w:val="00A6037A"/>
    <w:rsid w:val="00A604EB"/>
    <w:rsid w:val="00A60804"/>
    <w:rsid w:val="00A608C1"/>
    <w:rsid w:val="00A60991"/>
    <w:rsid w:val="00A609C2"/>
    <w:rsid w:val="00A60A58"/>
    <w:rsid w:val="00A60AF9"/>
    <w:rsid w:val="00A60CB3"/>
    <w:rsid w:val="00A60CED"/>
    <w:rsid w:val="00A60CFF"/>
    <w:rsid w:val="00A60D8F"/>
    <w:rsid w:val="00A60F4E"/>
    <w:rsid w:val="00A610CC"/>
    <w:rsid w:val="00A61151"/>
    <w:rsid w:val="00A61234"/>
    <w:rsid w:val="00A612C8"/>
    <w:rsid w:val="00A6140D"/>
    <w:rsid w:val="00A61410"/>
    <w:rsid w:val="00A6142A"/>
    <w:rsid w:val="00A6143D"/>
    <w:rsid w:val="00A61507"/>
    <w:rsid w:val="00A61578"/>
    <w:rsid w:val="00A616BF"/>
    <w:rsid w:val="00A6176B"/>
    <w:rsid w:val="00A61839"/>
    <w:rsid w:val="00A618C5"/>
    <w:rsid w:val="00A618CB"/>
    <w:rsid w:val="00A61917"/>
    <w:rsid w:val="00A61A67"/>
    <w:rsid w:val="00A61B7F"/>
    <w:rsid w:val="00A61C4D"/>
    <w:rsid w:val="00A61CC7"/>
    <w:rsid w:val="00A61D7A"/>
    <w:rsid w:val="00A61DBA"/>
    <w:rsid w:val="00A61EDF"/>
    <w:rsid w:val="00A61F58"/>
    <w:rsid w:val="00A61FDF"/>
    <w:rsid w:val="00A6211D"/>
    <w:rsid w:val="00A62124"/>
    <w:rsid w:val="00A621E2"/>
    <w:rsid w:val="00A6224E"/>
    <w:rsid w:val="00A622A2"/>
    <w:rsid w:val="00A6239C"/>
    <w:rsid w:val="00A6253D"/>
    <w:rsid w:val="00A6274F"/>
    <w:rsid w:val="00A627B2"/>
    <w:rsid w:val="00A62A51"/>
    <w:rsid w:val="00A62AD0"/>
    <w:rsid w:val="00A62B3D"/>
    <w:rsid w:val="00A62B6D"/>
    <w:rsid w:val="00A62B9E"/>
    <w:rsid w:val="00A62BA7"/>
    <w:rsid w:val="00A62BD8"/>
    <w:rsid w:val="00A62BE0"/>
    <w:rsid w:val="00A62C63"/>
    <w:rsid w:val="00A62D17"/>
    <w:rsid w:val="00A62DF1"/>
    <w:rsid w:val="00A62E70"/>
    <w:rsid w:val="00A62F47"/>
    <w:rsid w:val="00A62F9D"/>
    <w:rsid w:val="00A62FB1"/>
    <w:rsid w:val="00A62FC1"/>
    <w:rsid w:val="00A63289"/>
    <w:rsid w:val="00A63298"/>
    <w:rsid w:val="00A6330E"/>
    <w:rsid w:val="00A633FF"/>
    <w:rsid w:val="00A6341B"/>
    <w:rsid w:val="00A63464"/>
    <w:rsid w:val="00A634B0"/>
    <w:rsid w:val="00A636E1"/>
    <w:rsid w:val="00A63780"/>
    <w:rsid w:val="00A63931"/>
    <w:rsid w:val="00A63992"/>
    <w:rsid w:val="00A63A02"/>
    <w:rsid w:val="00A63A36"/>
    <w:rsid w:val="00A63AE1"/>
    <w:rsid w:val="00A63B05"/>
    <w:rsid w:val="00A63C0F"/>
    <w:rsid w:val="00A63C49"/>
    <w:rsid w:val="00A63F47"/>
    <w:rsid w:val="00A63F91"/>
    <w:rsid w:val="00A640E1"/>
    <w:rsid w:val="00A642A7"/>
    <w:rsid w:val="00A6432B"/>
    <w:rsid w:val="00A643FB"/>
    <w:rsid w:val="00A644FF"/>
    <w:rsid w:val="00A6450C"/>
    <w:rsid w:val="00A645A0"/>
    <w:rsid w:val="00A64720"/>
    <w:rsid w:val="00A64938"/>
    <w:rsid w:val="00A64971"/>
    <w:rsid w:val="00A64A33"/>
    <w:rsid w:val="00A64A98"/>
    <w:rsid w:val="00A64B66"/>
    <w:rsid w:val="00A64C1A"/>
    <w:rsid w:val="00A64C3F"/>
    <w:rsid w:val="00A64C78"/>
    <w:rsid w:val="00A64C85"/>
    <w:rsid w:val="00A64CDC"/>
    <w:rsid w:val="00A64DB0"/>
    <w:rsid w:val="00A64F4F"/>
    <w:rsid w:val="00A64F94"/>
    <w:rsid w:val="00A64FFA"/>
    <w:rsid w:val="00A6500E"/>
    <w:rsid w:val="00A6502C"/>
    <w:rsid w:val="00A65293"/>
    <w:rsid w:val="00A65305"/>
    <w:rsid w:val="00A65424"/>
    <w:rsid w:val="00A65440"/>
    <w:rsid w:val="00A659D0"/>
    <w:rsid w:val="00A65AAB"/>
    <w:rsid w:val="00A65B95"/>
    <w:rsid w:val="00A65BCA"/>
    <w:rsid w:val="00A65EC2"/>
    <w:rsid w:val="00A65EED"/>
    <w:rsid w:val="00A65F60"/>
    <w:rsid w:val="00A66098"/>
    <w:rsid w:val="00A6624B"/>
    <w:rsid w:val="00A66527"/>
    <w:rsid w:val="00A66940"/>
    <w:rsid w:val="00A66A27"/>
    <w:rsid w:val="00A66B0F"/>
    <w:rsid w:val="00A66B56"/>
    <w:rsid w:val="00A66C22"/>
    <w:rsid w:val="00A66C85"/>
    <w:rsid w:val="00A66CFA"/>
    <w:rsid w:val="00A66E15"/>
    <w:rsid w:val="00A66F2E"/>
    <w:rsid w:val="00A67058"/>
    <w:rsid w:val="00A6712F"/>
    <w:rsid w:val="00A674DD"/>
    <w:rsid w:val="00A6774F"/>
    <w:rsid w:val="00A678CD"/>
    <w:rsid w:val="00A6799D"/>
    <w:rsid w:val="00A67A1D"/>
    <w:rsid w:val="00A67A71"/>
    <w:rsid w:val="00A67B53"/>
    <w:rsid w:val="00A67BD4"/>
    <w:rsid w:val="00A67C11"/>
    <w:rsid w:val="00A67DF9"/>
    <w:rsid w:val="00A67E1F"/>
    <w:rsid w:val="00A67F11"/>
    <w:rsid w:val="00A702C4"/>
    <w:rsid w:val="00A703B8"/>
    <w:rsid w:val="00A70803"/>
    <w:rsid w:val="00A70887"/>
    <w:rsid w:val="00A70936"/>
    <w:rsid w:val="00A70A23"/>
    <w:rsid w:val="00A70A9F"/>
    <w:rsid w:val="00A70AF8"/>
    <w:rsid w:val="00A70C18"/>
    <w:rsid w:val="00A70C60"/>
    <w:rsid w:val="00A70D68"/>
    <w:rsid w:val="00A70E99"/>
    <w:rsid w:val="00A70EB7"/>
    <w:rsid w:val="00A70ED6"/>
    <w:rsid w:val="00A70F0F"/>
    <w:rsid w:val="00A714EC"/>
    <w:rsid w:val="00A7155D"/>
    <w:rsid w:val="00A71861"/>
    <w:rsid w:val="00A7188B"/>
    <w:rsid w:val="00A7191B"/>
    <w:rsid w:val="00A719C9"/>
    <w:rsid w:val="00A71A3F"/>
    <w:rsid w:val="00A71B70"/>
    <w:rsid w:val="00A71C80"/>
    <w:rsid w:val="00A71C97"/>
    <w:rsid w:val="00A71CA4"/>
    <w:rsid w:val="00A71CB6"/>
    <w:rsid w:val="00A71CFC"/>
    <w:rsid w:val="00A71D20"/>
    <w:rsid w:val="00A71D93"/>
    <w:rsid w:val="00A720AE"/>
    <w:rsid w:val="00A72108"/>
    <w:rsid w:val="00A72374"/>
    <w:rsid w:val="00A723C0"/>
    <w:rsid w:val="00A723F8"/>
    <w:rsid w:val="00A724DC"/>
    <w:rsid w:val="00A72603"/>
    <w:rsid w:val="00A7260E"/>
    <w:rsid w:val="00A72875"/>
    <w:rsid w:val="00A728A7"/>
    <w:rsid w:val="00A729C7"/>
    <w:rsid w:val="00A72A35"/>
    <w:rsid w:val="00A72A84"/>
    <w:rsid w:val="00A72B17"/>
    <w:rsid w:val="00A72C99"/>
    <w:rsid w:val="00A72CD4"/>
    <w:rsid w:val="00A72EB1"/>
    <w:rsid w:val="00A72FFD"/>
    <w:rsid w:val="00A73075"/>
    <w:rsid w:val="00A73124"/>
    <w:rsid w:val="00A7313D"/>
    <w:rsid w:val="00A731E6"/>
    <w:rsid w:val="00A7332E"/>
    <w:rsid w:val="00A7340B"/>
    <w:rsid w:val="00A736F2"/>
    <w:rsid w:val="00A737F1"/>
    <w:rsid w:val="00A7382D"/>
    <w:rsid w:val="00A7389B"/>
    <w:rsid w:val="00A73945"/>
    <w:rsid w:val="00A739E9"/>
    <w:rsid w:val="00A73C3E"/>
    <w:rsid w:val="00A73D95"/>
    <w:rsid w:val="00A73DEB"/>
    <w:rsid w:val="00A7405C"/>
    <w:rsid w:val="00A74072"/>
    <w:rsid w:val="00A740ED"/>
    <w:rsid w:val="00A74128"/>
    <w:rsid w:val="00A74155"/>
    <w:rsid w:val="00A7428C"/>
    <w:rsid w:val="00A746A1"/>
    <w:rsid w:val="00A748B6"/>
    <w:rsid w:val="00A74A8A"/>
    <w:rsid w:val="00A74E9A"/>
    <w:rsid w:val="00A74EC5"/>
    <w:rsid w:val="00A74ED2"/>
    <w:rsid w:val="00A7522D"/>
    <w:rsid w:val="00A7557B"/>
    <w:rsid w:val="00A755CD"/>
    <w:rsid w:val="00A756DD"/>
    <w:rsid w:val="00A7570F"/>
    <w:rsid w:val="00A7584D"/>
    <w:rsid w:val="00A75875"/>
    <w:rsid w:val="00A759D4"/>
    <w:rsid w:val="00A75A0A"/>
    <w:rsid w:val="00A75A2F"/>
    <w:rsid w:val="00A75C57"/>
    <w:rsid w:val="00A75DCD"/>
    <w:rsid w:val="00A75F4D"/>
    <w:rsid w:val="00A7601C"/>
    <w:rsid w:val="00A76045"/>
    <w:rsid w:val="00A761B3"/>
    <w:rsid w:val="00A76204"/>
    <w:rsid w:val="00A7633A"/>
    <w:rsid w:val="00A7640B"/>
    <w:rsid w:val="00A76494"/>
    <w:rsid w:val="00A7649E"/>
    <w:rsid w:val="00A76504"/>
    <w:rsid w:val="00A7650D"/>
    <w:rsid w:val="00A76565"/>
    <w:rsid w:val="00A76670"/>
    <w:rsid w:val="00A76741"/>
    <w:rsid w:val="00A767C6"/>
    <w:rsid w:val="00A76893"/>
    <w:rsid w:val="00A769BF"/>
    <w:rsid w:val="00A76BA0"/>
    <w:rsid w:val="00A76FD4"/>
    <w:rsid w:val="00A771CA"/>
    <w:rsid w:val="00A77275"/>
    <w:rsid w:val="00A77347"/>
    <w:rsid w:val="00A77420"/>
    <w:rsid w:val="00A77449"/>
    <w:rsid w:val="00A77470"/>
    <w:rsid w:val="00A77533"/>
    <w:rsid w:val="00A775A5"/>
    <w:rsid w:val="00A775B9"/>
    <w:rsid w:val="00A775F9"/>
    <w:rsid w:val="00A776C2"/>
    <w:rsid w:val="00A77894"/>
    <w:rsid w:val="00A77A52"/>
    <w:rsid w:val="00A77A5B"/>
    <w:rsid w:val="00A77A75"/>
    <w:rsid w:val="00A77B34"/>
    <w:rsid w:val="00A77CA8"/>
    <w:rsid w:val="00A77DA9"/>
    <w:rsid w:val="00A77EBB"/>
    <w:rsid w:val="00A80018"/>
    <w:rsid w:val="00A801EC"/>
    <w:rsid w:val="00A8040F"/>
    <w:rsid w:val="00A8050E"/>
    <w:rsid w:val="00A8052C"/>
    <w:rsid w:val="00A8075A"/>
    <w:rsid w:val="00A808B9"/>
    <w:rsid w:val="00A808ED"/>
    <w:rsid w:val="00A80A78"/>
    <w:rsid w:val="00A80C14"/>
    <w:rsid w:val="00A80C60"/>
    <w:rsid w:val="00A80D4E"/>
    <w:rsid w:val="00A80D83"/>
    <w:rsid w:val="00A80D92"/>
    <w:rsid w:val="00A80E3D"/>
    <w:rsid w:val="00A80FB7"/>
    <w:rsid w:val="00A81082"/>
    <w:rsid w:val="00A81150"/>
    <w:rsid w:val="00A8119A"/>
    <w:rsid w:val="00A812CA"/>
    <w:rsid w:val="00A8135C"/>
    <w:rsid w:val="00A813A3"/>
    <w:rsid w:val="00A814AB"/>
    <w:rsid w:val="00A8151D"/>
    <w:rsid w:val="00A8159E"/>
    <w:rsid w:val="00A8170A"/>
    <w:rsid w:val="00A818B3"/>
    <w:rsid w:val="00A818E1"/>
    <w:rsid w:val="00A81937"/>
    <w:rsid w:val="00A819CB"/>
    <w:rsid w:val="00A81A09"/>
    <w:rsid w:val="00A81AAB"/>
    <w:rsid w:val="00A81C84"/>
    <w:rsid w:val="00A81D12"/>
    <w:rsid w:val="00A81EA9"/>
    <w:rsid w:val="00A81EF9"/>
    <w:rsid w:val="00A8204E"/>
    <w:rsid w:val="00A8231B"/>
    <w:rsid w:val="00A823B7"/>
    <w:rsid w:val="00A823FE"/>
    <w:rsid w:val="00A825DD"/>
    <w:rsid w:val="00A82845"/>
    <w:rsid w:val="00A828D5"/>
    <w:rsid w:val="00A82A3E"/>
    <w:rsid w:val="00A82B05"/>
    <w:rsid w:val="00A82CFF"/>
    <w:rsid w:val="00A82D4B"/>
    <w:rsid w:val="00A82D85"/>
    <w:rsid w:val="00A82E4D"/>
    <w:rsid w:val="00A82E76"/>
    <w:rsid w:val="00A830C8"/>
    <w:rsid w:val="00A83119"/>
    <w:rsid w:val="00A8314E"/>
    <w:rsid w:val="00A831F0"/>
    <w:rsid w:val="00A832BD"/>
    <w:rsid w:val="00A833FA"/>
    <w:rsid w:val="00A83463"/>
    <w:rsid w:val="00A8361E"/>
    <w:rsid w:val="00A8373E"/>
    <w:rsid w:val="00A83821"/>
    <w:rsid w:val="00A83ADE"/>
    <w:rsid w:val="00A83C36"/>
    <w:rsid w:val="00A83C8A"/>
    <w:rsid w:val="00A83F5E"/>
    <w:rsid w:val="00A83F73"/>
    <w:rsid w:val="00A84006"/>
    <w:rsid w:val="00A840A6"/>
    <w:rsid w:val="00A84153"/>
    <w:rsid w:val="00A8417D"/>
    <w:rsid w:val="00A8425E"/>
    <w:rsid w:val="00A84493"/>
    <w:rsid w:val="00A8457B"/>
    <w:rsid w:val="00A84587"/>
    <w:rsid w:val="00A847EC"/>
    <w:rsid w:val="00A847F9"/>
    <w:rsid w:val="00A84875"/>
    <w:rsid w:val="00A84895"/>
    <w:rsid w:val="00A848C8"/>
    <w:rsid w:val="00A848D9"/>
    <w:rsid w:val="00A84907"/>
    <w:rsid w:val="00A849B4"/>
    <w:rsid w:val="00A84BC6"/>
    <w:rsid w:val="00A84FBC"/>
    <w:rsid w:val="00A85445"/>
    <w:rsid w:val="00A8560E"/>
    <w:rsid w:val="00A858EE"/>
    <w:rsid w:val="00A85979"/>
    <w:rsid w:val="00A85FE0"/>
    <w:rsid w:val="00A8617F"/>
    <w:rsid w:val="00A862AC"/>
    <w:rsid w:val="00A863A5"/>
    <w:rsid w:val="00A863D5"/>
    <w:rsid w:val="00A86442"/>
    <w:rsid w:val="00A865C9"/>
    <w:rsid w:val="00A867A0"/>
    <w:rsid w:val="00A86829"/>
    <w:rsid w:val="00A868C6"/>
    <w:rsid w:val="00A86917"/>
    <w:rsid w:val="00A8696C"/>
    <w:rsid w:val="00A86A5A"/>
    <w:rsid w:val="00A86AEE"/>
    <w:rsid w:val="00A86B36"/>
    <w:rsid w:val="00A86C25"/>
    <w:rsid w:val="00A86DA1"/>
    <w:rsid w:val="00A86E3F"/>
    <w:rsid w:val="00A86E90"/>
    <w:rsid w:val="00A86F44"/>
    <w:rsid w:val="00A872AB"/>
    <w:rsid w:val="00A873F2"/>
    <w:rsid w:val="00A874CD"/>
    <w:rsid w:val="00A875C5"/>
    <w:rsid w:val="00A877D1"/>
    <w:rsid w:val="00A87854"/>
    <w:rsid w:val="00A8785D"/>
    <w:rsid w:val="00A87862"/>
    <w:rsid w:val="00A87950"/>
    <w:rsid w:val="00A87A66"/>
    <w:rsid w:val="00A87AAE"/>
    <w:rsid w:val="00A87C21"/>
    <w:rsid w:val="00A87C55"/>
    <w:rsid w:val="00A87DA1"/>
    <w:rsid w:val="00A87E37"/>
    <w:rsid w:val="00A87E64"/>
    <w:rsid w:val="00A87EB4"/>
    <w:rsid w:val="00A87F1A"/>
    <w:rsid w:val="00A90139"/>
    <w:rsid w:val="00A90167"/>
    <w:rsid w:val="00A902A2"/>
    <w:rsid w:val="00A902D1"/>
    <w:rsid w:val="00A9039B"/>
    <w:rsid w:val="00A90589"/>
    <w:rsid w:val="00A905D1"/>
    <w:rsid w:val="00A906E7"/>
    <w:rsid w:val="00A90791"/>
    <w:rsid w:val="00A907A2"/>
    <w:rsid w:val="00A907E1"/>
    <w:rsid w:val="00A90AA1"/>
    <w:rsid w:val="00A90C18"/>
    <w:rsid w:val="00A90C1E"/>
    <w:rsid w:val="00A90EDB"/>
    <w:rsid w:val="00A90F9E"/>
    <w:rsid w:val="00A90FCF"/>
    <w:rsid w:val="00A90FE5"/>
    <w:rsid w:val="00A91056"/>
    <w:rsid w:val="00A910FC"/>
    <w:rsid w:val="00A91100"/>
    <w:rsid w:val="00A91141"/>
    <w:rsid w:val="00A91215"/>
    <w:rsid w:val="00A91250"/>
    <w:rsid w:val="00A91465"/>
    <w:rsid w:val="00A91576"/>
    <w:rsid w:val="00A9179A"/>
    <w:rsid w:val="00A91BBF"/>
    <w:rsid w:val="00A91D37"/>
    <w:rsid w:val="00A91EDF"/>
    <w:rsid w:val="00A91F26"/>
    <w:rsid w:val="00A91FBB"/>
    <w:rsid w:val="00A92011"/>
    <w:rsid w:val="00A92058"/>
    <w:rsid w:val="00A921BD"/>
    <w:rsid w:val="00A92292"/>
    <w:rsid w:val="00A9231C"/>
    <w:rsid w:val="00A923D2"/>
    <w:rsid w:val="00A9248F"/>
    <w:rsid w:val="00A925AD"/>
    <w:rsid w:val="00A926AD"/>
    <w:rsid w:val="00A928ED"/>
    <w:rsid w:val="00A9297C"/>
    <w:rsid w:val="00A929AE"/>
    <w:rsid w:val="00A92BEB"/>
    <w:rsid w:val="00A92CF3"/>
    <w:rsid w:val="00A92DB6"/>
    <w:rsid w:val="00A92E0C"/>
    <w:rsid w:val="00A92F30"/>
    <w:rsid w:val="00A92F7E"/>
    <w:rsid w:val="00A92FCD"/>
    <w:rsid w:val="00A9307D"/>
    <w:rsid w:val="00A930D0"/>
    <w:rsid w:val="00A93170"/>
    <w:rsid w:val="00A9342F"/>
    <w:rsid w:val="00A93521"/>
    <w:rsid w:val="00A93525"/>
    <w:rsid w:val="00A93573"/>
    <w:rsid w:val="00A93785"/>
    <w:rsid w:val="00A93896"/>
    <w:rsid w:val="00A938FC"/>
    <w:rsid w:val="00A93924"/>
    <w:rsid w:val="00A93997"/>
    <w:rsid w:val="00A93B3C"/>
    <w:rsid w:val="00A93BBD"/>
    <w:rsid w:val="00A93FA3"/>
    <w:rsid w:val="00A9414B"/>
    <w:rsid w:val="00A9420E"/>
    <w:rsid w:val="00A944CA"/>
    <w:rsid w:val="00A94551"/>
    <w:rsid w:val="00A9468A"/>
    <w:rsid w:val="00A9469C"/>
    <w:rsid w:val="00A946C8"/>
    <w:rsid w:val="00A9475D"/>
    <w:rsid w:val="00A94820"/>
    <w:rsid w:val="00A94870"/>
    <w:rsid w:val="00A94982"/>
    <w:rsid w:val="00A949F5"/>
    <w:rsid w:val="00A94A54"/>
    <w:rsid w:val="00A94B66"/>
    <w:rsid w:val="00A94B7E"/>
    <w:rsid w:val="00A94BB4"/>
    <w:rsid w:val="00A94D49"/>
    <w:rsid w:val="00A94E0B"/>
    <w:rsid w:val="00A94E2F"/>
    <w:rsid w:val="00A94E68"/>
    <w:rsid w:val="00A95058"/>
    <w:rsid w:val="00A9506F"/>
    <w:rsid w:val="00A950F4"/>
    <w:rsid w:val="00A9512D"/>
    <w:rsid w:val="00A951CD"/>
    <w:rsid w:val="00A95221"/>
    <w:rsid w:val="00A9535B"/>
    <w:rsid w:val="00A954DB"/>
    <w:rsid w:val="00A955A6"/>
    <w:rsid w:val="00A955E1"/>
    <w:rsid w:val="00A95609"/>
    <w:rsid w:val="00A957EF"/>
    <w:rsid w:val="00A958D6"/>
    <w:rsid w:val="00A958F9"/>
    <w:rsid w:val="00A9599D"/>
    <w:rsid w:val="00A95A05"/>
    <w:rsid w:val="00A95A11"/>
    <w:rsid w:val="00A95A6F"/>
    <w:rsid w:val="00A95BA3"/>
    <w:rsid w:val="00A95D17"/>
    <w:rsid w:val="00A95D5D"/>
    <w:rsid w:val="00A95D5E"/>
    <w:rsid w:val="00A95ECA"/>
    <w:rsid w:val="00A962E5"/>
    <w:rsid w:val="00A96429"/>
    <w:rsid w:val="00A964A2"/>
    <w:rsid w:val="00A964B0"/>
    <w:rsid w:val="00A9651D"/>
    <w:rsid w:val="00A96564"/>
    <w:rsid w:val="00A96568"/>
    <w:rsid w:val="00A96735"/>
    <w:rsid w:val="00A967C6"/>
    <w:rsid w:val="00A96886"/>
    <w:rsid w:val="00A968E3"/>
    <w:rsid w:val="00A96A22"/>
    <w:rsid w:val="00A96A40"/>
    <w:rsid w:val="00A96AAD"/>
    <w:rsid w:val="00A96C59"/>
    <w:rsid w:val="00A96DDB"/>
    <w:rsid w:val="00A96EEE"/>
    <w:rsid w:val="00A96F87"/>
    <w:rsid w:val="00A970E4"/>
    <w:rsid w:val="00A97107"/>
    <w:rsid w:val="00A97190"/>
    <w:rsid w:val="00A97466"/>
    <w:rsid w:val="00A974D3"/>
    <w:rsid w:val="00A97690"/>
    <w:rsid w:val="00A976EF"/>
    <w:rsid w:val="00A97785"/>
    <w:rsid w:val="00A977B8"/>
    <w:rsid w:val="00A978E1"/>
    <w:rsid w:val="00A978E2"/>
    <w:rsid w:val="00A97A55"/>
    <w:rsid w:val="00A97B79"/>
    <w:rsid w:val="00A97BC7"/>
    <w:rsid w:val="00A97C12"/>
    <w:rsid w:val="00A97CEF"/>
    <w:rsid w:val="00A97EA6"/>
    <w:rsid w:val="00A97F1B"/>
    <w:rsid w:val="00AA01DC"/>
    <w:rsid w:val="00AA0396"/>
    <w:rsid w:val="00AA03CC"/>
    <w:rsid w:val="00AA03E6"/>
    <w:rsid w:val="00AA0461"/>
    <w:rsid w:val="00AA0686"/>
    <w:rsid w:val="00AA084A"/>
    <w:rsid w:val="00AA0880"/>
    <w:rsid w:val="00AA08E6"/>
    <w:rsid w:val="00AA0986"/>
    <w:rsid w:val="00AA0A11"/>
    <w:rsid w:val="00AA0BA9"/>
    <w:rsid w:val="00AA0D35"/>
    <w:rsid w:val="00AA0E74"/>
    <w:rsid w:val="00AA0EA9"/>
    <w:rsid w:val="00AA0EDE"/>
    <w:rsid w:val="00AA0F0E"/>
    <w:rsid w:val="00AA0F15"/>
    <w:rsid w:val="00AA1229"/>
    <w:rsid w:val="00AA1392"/>
    <w:rsid w:val="00AA13FE"/>
    <w:rsid w:val="00AA1420"/>
    <w:rsid w:val="00AA1623"/>
    <w:rsid w:val="00AA172C"/>
    <w:rsid w:val="00AA17CF"/>
    <w:rsid w:val="00AA17E5"/>
    <w:rsid w:val="00AA1843"/>
    <w:rsid w:val="00AA18F1"/>
    <w:rsid w:val="00AA1933"/>
    <w:rsid w:val="00AA195B"/>
    <w:rsid w:val="00AA1B79"/>
    <w:rsid w:val="00AA1B9B"/>
    <w:rsid w:val="00AA1C3C"/>
    <w:rsid w:val="00AA1EA7"/>
    <w:rsid w:val="00AA2024"/>
    <w:rsid w:val="00AA2201"/>
    <w:rsid w:val="00AA2344"/>
    <w:rsid w:val="00AA2349"/>
    <w:rsid w:val="00AA23B9"/>
    <w:rsid w:val="00AA2503"/>
    <w:rsid w:val="00AA25AC"/>
    <w:rsid w:val="00AA2617"/>
    <w:rsid w:val="00AA2647"/>
    <w:rsid w:val="00AA2765"/>
    <w:rsid w:val="00AA27AA"/>
    <w:rsid w:val="00AA298F"/>
    <w:rsid w:val="00AA29A8"/>
    <w:rsid w:val="00AA2B18"/>
    <w:rsid w:val="00AA2B3D"/>
    <w:rsid w:val="00AA2C8B"/>
    <w:rsid w:val="00AA2F1B"/>
    <w:rsid w:val="00AA303E"/>
    <w:rsid w:val="00AA30E0"/>
    <w:rsid w:val="00AA31B5"/>
    <w:rsid w:val="00AA322E"/>
    <w:rsid w:val="00AA32A5"/>
    <w:rsid w:val="00AA3338"/>
    <w:rsid w:val="00AA3488"/>
    <w:rsid w:val="00AA37C4"/>
    <w:rsid w:val="00AA37EC"/>
    <w:rsid w:val="00AA38F2"/>
    <w:rsid w:val="00AA3BEC"/>
    <w:rsid w:val="00AA3F54"/>
    <w:rsid w:val="00AA3FF4"/>
    <w:rsid w:val="00AA40D0"/>
    <w:rsid w:val="00AA4420"/>
    <w:rsid w:val="00AA45D0"/>
    <w:rsid w:val="00AA470A"/>
    <w:rsid w:val="00AA48C7"/>
    <w:rsid w:val="00AA4916"/>
    <w:rsid w:val="00AA4EA2"/>
    <w:rsid w:val="00AA52BA"/>
    <w:rsid w:val="00AA535E"/>
    <w:rsid w:val="00AA539E"/>
    <w:rsid w:val="00AA54DF"/>
    <w:rsid w:val="00AA55A2"/>
    <w:rsid w:val="00AA5625"/>
    <w:rsid w:val="00AA56B7"/>
    <w:rsid w:val="00AA56DC"/>
    <w:rsid w:val="00AA5704"/>
    <w:rsid w:val="00AA570C"/>
    <w:rsid w:val="00AA57EC"/>
    <w:rsid w:val="00AA5947"/>
    <w:rsid w:val="00AA5953"/>
    <w:rsid w:val="00AA5A04"/>
    <w:rsid w:val="00AA5A27"/>
    <w:rsid w:val="00AA5B24"/>
    <w:rsid w:val="00AA5BA6"/>
    <w:rsid w:val="00AA5C83"/>
    <w:rsid w:val="00AA5CEA"/>
    <w:rsid w:val="00AA5D98"/>
    <w:rsid w:val="00AA5E09"/>
    <w:rsid w:val="00AA5E4E"/>
    <w:rsid w:val="00AA63E5"/>
    <w:rsid w:val="00AA64C1"/>
    <w:rsid w:val="00AA6559"/>
    <w:rsid w:val="00AA6631"/>
    <w:rsid w:val="00AA682E"/>
    <w:rsid w:val="00AA68AD"/>
    <w:rsid w:val="00AA6948"/>
    <w:rsid w:val="00AA695B"/>
    <w:rsid w:val="00AA6976"/>
    <w:rsid w:val="00AA6AA0"/>
    <w:rsid w:val="00AA6C77"/>
    <w:rsid w:val="00AA6DFF"/>
    <w:rsid w:val="00AA6F92"/>
    <w:rsid w:val="00AA6F9F"/>
    <w:rsid w:val="00AA6FB4"/>
    <w:rsid w:val="00AA7044"/>
    <w:rsid w:val="00AA71E9"/>
    <w:rsid w:val="00AA723E"/>
    <w:rsid w:val="00AA7261"/>
    <w:rsid w:val="00AA7424"/>
    <w:rsid w:val="00AA774A"/>
    <w:rsid w:val="00AA7830"/>
    <w:rsid w:val="00AA786C"/>
    <w:rsid w:val="00AA7951"/>
    <w:rsid w:val="00AA7AB6"/>
    <w:rsid w:val="00AA7B3E"/>
    <w:rsid w:val="00AA7BC0"/>
    <w:rsid w:val="00AA7C73"/>
    <w:rsid w:val="00AA7E01"/>
    <w:rsid w:val="00AB004F"/>
    <w:rsid w:val="00AB0311"/>
    <w:rsid w:val="00AB0342"/>
    <w:rsid w:val="00AB0463"/>
    <w:rsid w:val="00AB05D7"/>
    <w:rsid w:val="00AB05F7"/>
    <w:rsid w:val="00AB0720"/>
    <w:rsid w:val="00AB0A45"/>
    <w:rsid w:val="00AB0A65"/>
    <w:rsid w:val="00AB0B29"/>
    <w:rsid w:val="00AB0B71"/>
    <w:rsid w:val="00AB0D87"/>
    <w:rsid w:val="00AB0D9A"/>
    <w:rsid w:val="00AB0E4A"/>
    <w:rsid w:val="00AB0F0C"/>
    <w:rsid w:val="00AB10BB"/>
    <w:rsid w:val="00AB11E5"/>
    <w:rsid w:val="00AB12C2"/>
    <w:rsid w:val="00AB1392"/>
    <w:rsid w:val="00AB13B6"/>
    <w:rsid w:val="00AB14A5"/>
    <w:rsid w:val="00AB168C"/>
    <w:rsid w:val="00AB17F9"/>
    <w:rsid w:val="00AB1837"/>
    <w:rsid w:val="00AB1953"/>
    <w:rsid w:val="00AB1AB9"/>
    <w:rsid w:val="00AB1B45"/>
    <w:rsid w:val="00AB1B65"/>
    <w:rsid w:val="00AB1C44"/>
    <w:rsid w:val="00AB1CA8"/>
    <w:rsid w:val="00AB1E76"/>
    <w:rsid w:val="00AB1EB3"/>
    <w:rsid w:val="00AB1FAF"/>
    <w:rsid w:val="00AB1FDD"/>
    <w:rsid w:val="00AB2274"/>
    <w:rsid w:val="00AB22D5"/>
    <w:rsid w:val="00AB2432"/>
    <w:rsid w:val="00AB2741"/>
    <w:rsid w:val="00AB2839"/>
    <w:rsid w:val="00AB2AEF"/>
    <w:rsid w:val="00AB2D0F"/>
    <w:rsid w:val="00AB2F13"/>
    <w:rsid w:val="00AB308A"/>
    <w:rsid w:val="00AB31C2"/>
    <w:rsid w:val="00AB3228"/>
    <w:rsid w:val="00AB339C"/>
    <w:rsid w:val="00AB349B"/>
    <w:rsid w:val="00AB34BE"/>
    <w:rsid w:val="00AB373C"/>
    <w:rsid w:val="00AB3788"/>
    <w:rsid w:val="00AB379E"/>
    <w:rsid w:val="00AB3822"/>
    <w:rsid w:val="00AB3B4C"/>
    <w:rsid w:val="00AB3C3C"/>
    <w:rsid w:val="00AB3C68"/>
    <w:rsid w:val="00AB3D33"/>
    <w:rsid w:val="00AB3DBE"/>
    <w:rsid w:val="00AB3E1D"/>
    <w:rsid w:val="00AB43E6"/>
    <w:rsid w:val="00AB44E2"/>
    <w:rsid w:val="00AB44FC"/>
    <w:rsid w:val="00AB4590"/>
    <w:rsid w:val="00AB4769"/>
    <w:rsid w:val="00AB498C"/>
    <w:rsid w:val="00AB49C5"/>
    <w:rsid w:val="00AB4B24"/>
    <w:rsid w:val="00AB4B41"/>
    <w:rsid w:val="00AB4CD5"/>
    <w:rsid w:val="00AB4DA3"/>
    <w:rsid w:val="00AB4DD1"/>
    <w:rsid w:val="00AB4DE8"/>
    <w:rsid w:val="00AB4E1C"/>
    <w:rsid w:val="00AB4F0C"/>
    <w:rsid w:val="00AB4F2F"/>
    <w:rsid w:val="00AB4FA8"/>
    <w:rsid w:val="00AB5272"/>
    <w:rsid w:val="00AB5325"/>
    <w:rsid w:val="00AB53B9"/>
    <w:rsid w:val="00AB541C"/>
    <w:rsid w:val="00AB543E"/>
    <w:rsid w:val="00AB5444"/>
    <w:rsid w:val="00AB5740"/>
    <w:rsid w:val="00AB5879"/>
    <w:rsid w:val="00AB5DAD"/>
    <w:rsid w:val="00AB5DE1"/>
    <w:rsid w:val="00AB5ED4"/>
    <w:rsid w:val="00AB5F1B"/>
    <w:rsid w:val="00AB6087"/>
    <w:rsid w:val="00AB60BC"/>
    <w:rsid w:val="00AB626E"/>
    <w:rsid w:val="00AB62C4"/>
    <w:rsid w:val="00AB62D1"/>
    <w:rsid w:val="00AB64A5"/>
    <w:rsid w:val="00AB654F"/>
    <w:rsid w:val="00AB6729"/>
    <w:rsid w:val="00AB6775"/>
    <w:rsid w:val="00AB6803"/>
    <w:rsid w:val="00AB6950"/>
    <w:rsid w:val="00AB696A"/>
    <w:rsid w:val="00AB6AA0"/>
    <w:rsid w:val="00AB6BC3"/>
    <w:rsid w:val="00AB6BE3"/>
    <w:rsid w:val="00AB6CE6"/>
    <w:rsid w:val="00AB6FBD"/>
    <w:rsid w:val="00AB705C"/>
    <w:rsid w:val="00AB7080"/>
    <w:rsid w:val="00AB718F"/>
    <w:rsid w:val="00AB7211"/>
    <w:rsid w:val="00AB723E"/>
    <w:rsid w:val="00AB748F"/>
    <w:rsid w:val="00AB75A9"/>
    <w:rsid w:val="00AB77E3"/>
    <w:rsid w:val="00AB7824"/>
    <w:rsid w:val="00AB7925"/>
    <w:rsid w:val="00AB7949"/>
    <w:rsid w:val="00AB7A3B"/>
    <w:rsid w:val="00AB7BA4"/>
    <w:rsid w:val="00AB7BE8"/>
    <w:rsid w:val="00AB7C53"/>
    <w:rsid w:val="00AB7C9F"/>
    <w:rsid w:val="00AB7DC7"/>
    <w:rsid w:val="00AB7E77"/>
    <w:rsid w:val="00AB7F66"/>
    <w:rsid w:val="00AB7FDC"/>
    <w:rsid w:val="00AC0426"/>
    <w:rsid w:val="00AC04B8"/>
    <w:rsid w:val="00AC05F5"/>
    <w:rsid w:val="00AC076B"/>
    <w:rsid w:val="00AC094E"/>
    <w:rsid w:val="00AC0CE7"/>
    <w:rsid w:val="00AC0DDD"/>
    <w:rsid w:val="00AC0E0E"/>
    <w:rsid w:val="00AC0E18"/>
    <w:rsid w:val="00AC0F0C"/>
    <w:rsid w:val="00AC0F4B"/>
    <w:rsid w:val="00AC0FE6"/>
    <w:rsid w:val="00AC1018"/>
    <w:rsid w:val="00AC105C"/>
    <w:rsid w:val="00AC10E2"/>
    <w:rsid w:val="00AC116B"/>
    <w:rsid w:val="00AC11E8"/>
    <w:rsid w:val="00AC1210"/>
    <w:rsid w:val="00AC128F"/>
    <w:rsid w:val="00AC14F5"/>
    <w:rsid w:val="00AC1543"/>
    <w:rsid w:val="00AC18A6"/>
    <w:rsid w:val="00AC1967"/>
    <w:rsid w:val="00AC19D9"/>
    <w:rsid w:val="00AC1A84"/>
    <w:rsid w:val="00AC1C70"/>
    <w:rsid w:val="00AC1D8E"/>
    <w:rsid w:val="00AC1EFA"/>
    <w:rsid w:val="00AC2020"/>
    <w:rsid w:val="00AC2067"/>
    <w:rsid w:val="00AC209A"/>
    <w:rsid w:val="00AC211F"/>
    <w:rsid w:val="00AC21A0"/>
    <w:rsid w:val="00AC22D2"/>
    <w:rsid w:val="00AC23C5"/>
    <w:rsid w:val="00AC24DB"/>
    <w:rsid w:val="00AC2965"/>
    <w:rsid w:val="00AC2A67"/>
    <w:rsid w:val="00AC2A97"/>
    <w:rsid w:val="00AC2AD1"/>
    <w:rsid w:val="00AC2B4D"/>
    <w:rsid w:val="00AC2B57"/>
    <w:rsid w:val="00AC2E12"/>
    <w:rsid w:val="00AC2E54"/>
    <w:rsid w:val="00AC2F5D"/>
    <w:rsid w:val="00AC3136"/>
    <w:rsid w:val="00AC31BE"/>
    <w:rsid w:val="00AC325C"/>
    <w:rsid w:val="00AC33C5"/>
    <w:rsid w:val="00AC370D"/>
    <w:rsid w:val="00AC377F"/>
    <w:rsid w:val="00AC38B5"/>
    <w:rsid w:val="00AC39E4"/>
    <w:rsid w:val="00AC3A77"/>
    <w:rsid w:val="00AC3AB3"/>
    <w:rsid w:val="00AC3D66"/>
    <w:rsid w:val="00AC3F11"/>
    <w:rsid w:val="00AC4003"/>
    <w:rsid w:val="00AC406E"/>
    <w:rsid w:val="00AC4157"/>
    <w:rsid w:val="00AC416B"/>
    <w:rsid w:val="00AC419D"/>
    <w:rsid w:val="00AC4265"/>
    <w:rsid w:val="00AC43C8"/>
    <w:rsid w:val="00AC43F9"/>
    <w:rsid w:val="00AC45B3"/>
    <w:rsid w:val="00AC4615"/>
    <w:rsid w:val="00AC4741"/>
    <w:rsid w:val="00AC4833"/>
    <w:rsid w:val="00AC4891"/>
    <w:rsid w:val="00AC499C"/>
    <w:rsid w:val="00AC49F5"/>
    <w:rsid w:val="00AC4AB5"/>
    <w:rsid w:val="00AC4ACE"/>
    <w:rsid w:val="00AC4BF1"/>
    <w:rsid w:val="00AC4C12"/>
    <w:rsid w:val="00AC4C20"/>
    <w:rsid w:val="00AC4C71"/>
    <w:rsid w:val="00AC4D35"/>
    <w:rsid w:val="00AC4ED0"/>
    <w:rsid w:val="00AC4F52"/>
    <w:rsid w:val="00AC5074"/>
    <w:rsid w:val="00AC508B"/>
    <w:rsid w:val="00AC522C"/>
    <w:rsid w:val="00AC5352"/>
    <w:rsid w:val="00AC53A6"/>
    <w:rsid w:val="00AC54E1"/>
    <w:rsid w:val="00AC54E4"/>
    <w:rsid w:val="00AC563D"/>
    <w:rsid w:val="00AC591E"/>
    <w:rsid w:val="00AC5A3E"/>
    <w:rsid w:val="00AC5A8C"/>
    <w:rsid w:val="00AC5C4F"/>
    <w:rsid w:val="00AC5C74"/>
    <w:rsid w:val="00AC62CA"/>
    <w:rsid w:val="00AC62F6"/>
    <w:rsid w:val="00AC6325"/>
    <w:rsid w:val="00AC63D4"/>
    <w:rsid w:val="00AC65DB"/>
    <w:rsid w:val="00AC677D"/>
    <w:rsid w:val="00AC68A8"/>
    <w:rsid w:val="00AC697C"/>
    <w:rsid w:val="00AC697D"/>
    <w:rsid w:val="00AC6BC9"/>
    <w:rsid w:val="00AC6BF7"/>
    <w:rsid w:val="00AC6C2A"/>
    <w:rsid w:val="00AC6D0D"/>
    <w:rsid w:val="00AC6E39"/>
    <w:rsid w:val="00AC6F63"/>
    <w:rsid w:val="00AC70EB"/>
    <w:rsid w:val="00AC7332"/>
    <w:rsid w:val="00AC7457"/>
    <w:rsid w:val="00AC7582"/>
    <w:rsid w:val="00AC759A"/>
    <w:rsid w:val="00AC7785"/>
    <w:rsid w:val="00AC77E6"/>
    <w:rsid w:val="00AC783E"/>
    <w:rsid w:val="00AC7864"/>
    <w:rsid w:val="00AC78B9"/>
    <w:rsid w:val="00AC7933"/>
    <w:rsid w:val="00AC7995"/>
    <w:rsid w:val="00AC7CCF"/>
    <w:rsid w:val="00AC7F1C"/>
    <w:rsid w:val="00AD0056"/>
    <w:rsid w:val="00AD00C6"/>
    <w:rsid w:val="00AD019C"/>
    <w:rsid w:val="00AD02BE"/>
    <w:rsid w:val="00AD03A8"/>
    <w:rsid w:val="00AD065E"/>
    <w:rsid w:val="00AD07EE"/>
    <w:rsid w:val="00AD09C9"/>
    <w:rsid w:val="00AD0BC0"/>
    <w:rsid w:val="00AD0C38"/>
    <w:rsid w:val="00AD0D32"/>
    <w:rsid w:val="00AD0E46"/>
    <w:rsid w:val="00AD0EFD"/>
    <w:rsid w:val="00AD0FF9"/>
    <w:rsid w:val="00AD11A1"/>
    <w:rsid w:val="00AD1273"/>
    <w:rsid w:val="00AD12AC"/>
    <w:rsid w:val="00AD13B5"/>
    <w:rsid w:val="00AD13B9"/>
    <w:rsid w:val="00AD1421"/>
    <w:rsid w:val="00AD14C1"/>
    <w:rsid w:val="00AD1604"/>
    <w:rsid w:val="00AD169D"/>
    <w:rsid w:val="00AD18B7"/>
    <w:rsid w:val="00AD18C0"/>
    <w:rsid w:val="00AD194B"/>
    <w:rsid w:val="00AD19EE"/>
    <w:rsid w:val="00AD1A73"/>
    <w:rsid w:val="00AD1AE7"/>
    <w:rsid w:val="00AD1B38"/>
    <w:rsid w:val="00AD1B5B"/>
    <w:rsid w:val="00AD1C21"/>
    <w:rsid w:val="00AD1C25"/>
    <w:rsid w:val="00AD1C81"/>
    <w:rsid w:val="00AD1EB5"/>
    <w:rsid w:val="00AD1ED1"/>
    <w:rsid w:val="00AD1F12"/>
    <w:rsid w:val="00AD2041"/>
    <w:rsid w:val="00AD21C5"/>
    <w:rsid w:val="00AD22A3"/>
    <w:rsid w:val="00AD2423"/>
    <w:rsid w:val="00AD25E5"/>
    <w:rsid w:val="00AD26B1"/>
    <w:rsid w:val="00AD2709"/>
    <w:rsid w:val="00AD2760"/>
    <w:rsid w:val="00AD27FB"/>
    <w:rsid w:val="00AD2914"/>
    <w:rsid w:val="00AD296D"/>
    <w:rsid w:val="00AD29E0"/>
    <w:rsid w:val="00AD2A69"/>
    <w:rsid w:val="00AD2D10"/>
    <w:rsid w:val="00AD2DC3"/>
    <w:rsid w:val="00AD2F73"/>
    <w:rsid w:val="00AD3163"/>
    <w:rsid w:val="00AD31FD"/>
    <w:rsid w:val="00AD3453"/>
    <w:rsid w:val="00AD3752"/>
    <w:rsid w:val="00AD3753"/>
    <w:rsid w:val="00AD38EB"/>
    <w:rsid w:val="00AD394A"/>
    <w:rsid w:val="00AD3A29"/>
    <w:rsid w:val="00AD3A49"/>
    <w:rsid w:val="00AD3AEC"/>
    <w:rsid w:val="00AD3B4C"/>
    <w:rsid w:val="00AD3C0A"/>
    <w:rsid w:val="00AD3E8E"/>
    <w:rsid w:val="00AD3EFB"/>
    <w:rsid w:val="00AD3FDA"/>
    <w:rsid w:val="00AD403C"/>
    <w:rsid w:val="00AD40FD"/>
    <w:rsid w:val="00AD4594"/>
    <w:rsid w:val="00AD46A0"/>
    <w:rsid w:val="00AD4722"/>
    <w:rsid w:val="00AD479E"/>
    <w:rsid w:val="00AD4BEE"/>
    <w:rsid w:val="00AD4C42"/>
    <w:rsid w:val="00AD4C89"/>
    <w:rsid w:val="00AD4F01"/>
    <w:rsid w:val="00AD4FA5"/>
    <w:rsid w:val="00AD50E3"/>
    <w:rsid w:val="00AD536D"/>
    <w:rsid w:val="00AD53AE"/>
    <w:rsid w:val="00AD555A"/>
    <w:rsid w:val="00AD56B9"/>
    <w:rsid w:val="00AD570B"/>
    <w:rsid w:val="00AD57BE"/>
    <w:rsid w:val="00AD5851"/>
    <w:rsid w:val="00AD593D"/>
    <w:rsid w:val="00AD5968"/>
    <w:rsid w:val="00AD5A7E"/>
    <w:rsid w:val="00AD5ACE"/>
    <w:rsid w:val="00AD5B2A"/>
    <w:rsid w:val="00AD5B6D"/>
    <w:rsid w:val="00AD5BE3"/>
    <w:rsid w:val="00AD5E1D"/>
    <w:rsid w:val="00AD60A5"/>
    <w:rsid w:val="00AD61AD"/>
    <w:rsid w:val="00AD626D"/>
    <w:rsid w:val="00AD64A4"/>
    <w:rsid w:val="00AD6520"/>
    <w:rsid w:val="00AD66CD"/>
    <w:rsid w:val="00AD66D8"/>
    <w:rsid w:val="00AD67D3"/>
    <w:rsid w:val="00AD696C"/>
    <w:rsid w:val="00AD6994"/>
    <w:rsid w:val="00AD69EC"/>
    <w:rsid w:val="00AD6A8A"/>
    <w:rsid w:val="00AD6C84"/>
    <w:rsid w:val="00AD6F19"/>
    <w:rsid w:val="00AD6F59"/>
    <w:rsid w:val="00AD7153"/>
    <w:rsid w:val="00AD7399"/>
    <w:rsid w:val="00AD73ED"/>
    <w:rsid w:val="00AD743E"/>
    <w:rsid w:val="00AD76C5"/>
    <w:rsid w:val="00AD77B7"/>
    <w:rsid w:val="00AD785F"/>
    <w:rsid w:val="00AD7911"/>
    <w:rsid w:val="00AD7A33"/>
    <w:rsid w:val="00AD7E7F"/>
    <w:rsid w:val="00AD7F5D"/>
    <w:rsid w:val="00AE0006"/>
    <w:rsid w:val="00AE0090"/>
    <w:rsid w:val="00AE00C3"/>
    <w:rsid w:val="00AE0129"/>
    <w:rsid w:val="00AE01E5"/>
    <w:rsid w:val="00AE024E"/>
    <w:rsid w:val="00AE0399"/>
    <w:rsid w:val="00AE039D"/>
    <w:rsid w:val="00AE054C"/>
    <w:rsid w:val="00AE066A"/>
    <w:rsid w:val="00AE0676"/>
    <w:rsid w:val="00AE0704"/>
    <w:rsid w:val="00AE0726"/>
    <w:rsid w:val="00AE082E"/>
    <w:rsid w:val="00AE0944"/>
    <w:rsid w:val="00AE0A1F"/>
    <w:rsid w:val="00AE0C12"/>
    <w:rsid w:val="00AE0CFE"/>
    <w:rsid w:val="00AE0E6A"/>
    <w:rsid w:val="00AE0FD8"/>
    <w:rsid w:val="00AE1062"/>
    <w:rsid w:val="00AE109A"/>
    <w:rsid w:val="00AE1140"/>
    <w:rsid w:val="00AE114C"/>
    <w:rsid w:val="00AE1169"/>
    <w:rsid w:val="00AE1252"/>
    <w:rsid w:val="00AE14C2"/>
    <w:rsid w:val="00AE1523"/>
    <w:rsid w:val="00AE1539"/>
    <w:rsid w:val="00AE15C6"/>
    <w:rsid w:val="00AE182F"/>
    <w:rsid w:val="00AE18C2"/>
    <w:rsid w:val="00AE1923"/>
    <w:rsid w:val="00AE1955"/>
    <w:rsid w:val="00AE19B2"/>
    <w:rsid w:val="00AE19CA"/>
    <w:rsid w:val="00AE1ADF"/>
    <w:rsid w:val="00AE1B47"/>
    <w:rsid w:val="00AE1B5F"/>
    <w:rsid w:val="00AE1B9A"/>
    <w:rsid w:val="00AE1BB5"/>
    <w:rsid w:val="00AE1BCB"/>
    <w:rsid w:val="00AE1BD4"/>
    <w:rsid w:val="00AE1D4F"/>
    <w:rsid w:val="00AE1F22"/>
    <w:rsid w:val="00AE20A5"/>
    <w:rsid w:val="00AE215C"/>
    <w:rsid w:val="00AE21AC"/>
    <w:rsid w:val="00AE246E"/>
    <w:rsid w:val="00AE2594"/>
    <w:rsid w:val="00AE25D0"/>
    <w:rsid w:val="00AE262F"/>
    <w:rsid w:val="00AE26C8"/>
    <w:rsid w:val="00AE274A"/>
    <w:rsid w:val="00AE27CD"/>
    <w:rsid w:val="00AE2841"/>
    <w:rsid w:val="00AE2912"/>
    <w:rsid w:val="00AE2990"/>
    <w:rsid w:val="00AE29E7"/>
    <w:rsid w:val="00AE2C55"/>
    <w:rsid w:val="00AE2DA4"/>
    <w:rsid w:val="00AE2F13"/>
    <w:rsid w:val="00AE2FAF"/>
    <w:rsid w:val="00AE2FEC"/>
    <w:rsid w:val="00AE3300"/>
    <w:rsid w:val="00AE3456"/>
    <w:rsid w:val="00AE3649"/>
    <w:rsid w:val="00AE3663"/>
    <w:rsid w:val="00AE36B8"/>
    <w:rsid w:val="00AE36BD"/>
    <w:rsid w:val="00AE36EA"/>
    <w:rsid w:val="00AE38D6"/>
    <w:rsid w:val="00AE3A97"/>
    <w:rsid w:val="00AE3BC5"/>
    <w:rsid w:val="00AE3C28"/>
    <w:rsid w:val="00AE3C5A"/>
    <w:rsid w:val="00AE3D94"/>
    <w:rsid w:val="00AE3DC9"/>
    <w:rsid w:val="00AE4214"/>
    <w:rsid w:val="00AE4277"/>
    <w:rsid w:val="00AE4489"/>
    <w:rsid w:val="00AE45A9"/>
    <w:rsid w:val="00AE46D7"/>
    <w:rsid w:val="00AE470D"/>
    <w:rsid w:val="00AE4893"/>
    <w:rsid w:val="00AE48CE"/>
    <w:rsid w:val="00AE48FC"/>
    <w:rsid w:val="00AE4A01"/>
    <w:rsid w:val="00AE4A54"/>
    <w:rsid w:val="00AE4A97"/>
    <w:rsid w:val="00AE4ADA"/>
    <w:rsid w:val="00AE4AED"/>
    <w:rsid w:val="00AE4B5D"/>
    <w:rsid w:val="00AE4BE1"/>
    <w:rsid w:val="00AE4C36"/>
    <w:rsid w:val="00AE4C71"/>
    <w:rsid w:val="00AE4D5D"/>
    <w:rsid w:val="00AE4E83"/>
    <w:rsid w:val="00AE4FFD"/>
    <w:rsid w:val="00AE504E"/>
    <w:rsid w:val="00AE5134"/>
    <w:rsid w:val="00AE5247"/>
    <w:rsid w:val="00AE5279"/>
    <w:rsid w:val="00AE52F9"/>
    <w:rsid w:val="00AE5351"/>
    <w:rsid w:val="00AE5386"/>
    <w:rsid w:val="00AE54BE"/>
    <w:rsid w:val="00AE54EF"/>
    <w:rsid w:val="00AE551E"/>
    <w:rsid w:val="00AE5578"/>
    <w:rsid w:val="00AE55E3"/>
    <w:rsid w:val="00AE563E"/>
    <w:rsid w:val="00AE5644"/>
    <w:rsid w:val="00AE57CD"/>
    <w:rsid w:val="00AE598C"/>
    <w:rsid w:val="00AE59E6"/>
    <w:rsid w:val="00AE5CAC"/>
    <w:rsid w:val="00AE5D08"/>
    <w:rsid w:val="00AE5D70"/>
    <w:rsid w:val="00AE5FB6"/>
    <w:rsid w:val="00AE60E3"/>
    <w:rsid w:val="00AE620C"/>
    <w:rsid w:val="00AE6295"/>
    <w:rsid w:val="00AE6428"/>
    <w:rsid w:val="00AE6615"/>
    <w:rsid w:val="00AE661B"/>
    <w:rsid w:val="00AE669C"/>
    <w:rsid w:val="00AE67CC"/>
    <w:rsid w:val="00AE6A03"/>
    <w:rsid w:val="00AE6B82"/>
    <w:rsid w:val="00AE6C4C"/>
    <w:rsid w:val="00AE6C55"/>
    <w:rsid w:val="00AE6D1C"/>
    <w:rsid w:val="00AE7099"/>
    <w:rsid w:val="00AE710B"/>
    <w:rsid w:val="00AE726E"/>
    <w:rsid w:val="00AE727B"/>
    <w:rsid w:val="00AE73A2"/>
    <w:rsid w:val="00AE74A3"/>
    <w:rsid w:val="00AE752A"/>
    <w:rsid w:val="00AE75A3"/>
    <w:rsid w:val="00AE75D9"/>
    <w:rsid w:val="00AE77F2"/>
    <w:rsid w:val="00AE7834"/>
    <w:rsid w:val="00AE786D"/>
    <w:rsid w:val="00AE7880"/>
    <w:rsid w:val="00AE79BD"/>
    <w:rsid w:val="00AE7BAE"/>
    <w:rsid w:val="00AE7FD2"/>
    <w:rsid w:val="00AE7FE7"/>
    <w:rsid w:val="00AF0087"/>
    <w:rsid w:val="00AF02DD"/>
    <w:rsid w:val="00AF0350"/>
    <w:rsid w:val="00AF0419"/>
    <w:rsid w:val="00AF050A"/>
    <w:rsid w:val="00AF0607"/>
    <w:rsid w:val="00AF098A"/>
    <w:rsid w:val="00AF0A44"/>
    <w:rsid w:val="00AF0A7A"/>
    <w:rsid w:val="00AF0C1F"/>
    <w:rsid w:val="00AF0DEC"/>
    <w:rsid w:val="00AF0E8B"/>
    <w:rsid w:val="00AF0F34"/>
    <w:rsid w:val="00AF1132"/>
    <w:rsid w:val="00AF1537"/>
    <w:rsid w:val="00AF156C"/>
    <w:rsid w:val="00AF1579"/>
    <w:rsid w:val="00AF15AD"/>
    <w:rsid w:val="00AF15E0"/>
    <w:rsid w:val="00AF1692"/>
    <w:rsid w:val="00AF171F"/>
    <w:rsid w:val="00AF184D"/>
    <w:rsid w:val="00AF1852"/>
    <w:rsid w:val="00AF18CE"/>
    <w:rsid w:val="00AF18E4"/>
    <w:rsid w:val="00AF19CA"/>
    <w:rsid w:val="00AF19E7"/>
    <w:rsid w:val="00AF19ED"/>
    <w:rsid w:val="00AF1BFF"/>
    <w:rsid w:val="00AF1C8D"/>
    <w:rsid w:val="00AF1CE7"/>
    <w:rsid w:val="00AF1D0E"/>
    <w:rsid w:val="00AF1D3E"/>
    <w:rsid w:val="00AF1D60"/>
    <w:rsid w:val="00AF1FAB"/>
    <w:rsid w:val="00AF217D"/>
    <w:rsid w:val="00AF2341"/>
    <w:rsid w:val="00AF237E"/>
    <w:rsid w:val="00AF25BB"/>
    <w:rsid w:val="00AF2696"/>
    <w:rsid w:val="00AF2760"/>
    <w:rsid w:val="00AF27ED"/>
    <w:rsid w:val="00AF28D6"/>
    <w:rsid w:val="00AF28FF"/>
    <w:rsid w:val="00AF29B0"/>
    <w:rsid w:val="00AF29D8"/>
    <w:rsid w:val="00AF2CB0"/>
    <w:rsid w:val="00AF2E89"/>
    <w:rsid w:val="00AF3128"/>
    <w:rsid w:val="00AF317B"/>
    <w:rsid w:val="00AF33D1"/>
    <w:rsid w:val="00AF3437"/>
    <w:rsid w:val="00AF34A1"/>
    <w:rsid w:val="00AF3566"/>
    <w:rsid w:val="00AF35A1"/>
    <w:rsid w:val="00AF35A4"/>
    <w:rsid w:val="00AF3A47"/>
    <w:rsid w:val="00AF3A9B"/>
    <w:rsid w:val="00AF3ABF"/>
    <w:rsid w:val="00AF3BFC"/>
    <w:rsid w:val="00AF3C10"/>
    <w:rsid w:val="00AF3CD2"/>
    <w:rsid w:val="00AF402B"/>
    <w:rsid w:val="00AF40A0"/>
    <w:rsid w:val="00AF4103"/>
    <w:rsid w:val="00AF42AA"/>
    <w:rsid w:val="00AF4308"/>
    <w:rsid w:val="00AF44CF"/>
    <w:rsid w:val="00AF463D"/>
    <w:rsid w:val="00AF4675"/>
    <w:rsid w:val="00AF484A"/>
    <w:rsid w:val="00AF498D"/>
    <w:rsid w:val="00AF4A0E"/>
    <w:rsid w:val="00AF4A38"/>
    <w:rsid w:val="00AF4AA4"/>
    <w:rsid w:val="00AF4B7F"/>
    <w:rsid w:val="00AF4C79"/>
    <w:rsid w:val="00AF4CB7"/>
    <w:rsid w:val="00AF4CBA"/>
    <w:rsid w:val="00AF4D64"/>
    <w:rsid w:val="00AF4DBB"/>
    <w:rsid w:val="00AF50B2"/>
    <w:rsid w:val="00AF51AE"/>
    <w:rsid w:val="00AF5337"/>
    <w:rsid w:val="00AF5551"/>
    <w:rsid w:val="00AF5704"/>
    <w:rsid w:val="00AF5758"/>
    <w:rsid w:val="00AF576B"/>
    <w:rsid w:val="00AF58E1"/>
    <w:rsid w:val="00AF5E08"/>
    <w:rsid w:val="00AF5EA2"/>
    <w:rsid w:val="00AF5F4E"/>
    <w:rsid w:val="00AF6091"/>
    <w:rsid w:val="00AF6225"/>
    <w:rsid w:val="00AF62FA"/>
    <w:rsid w:val="00AF6316"/>
    <w:rsid w:val="00AF635F"/>
    <w:rsid w:val="00AF6383"/>
    <w:rsid w:val="00AF6392"/>
    <w:rsid w:val="00AF64CB"/>
    <w:rsid w:val="00AF676B"/>
    <w:rsid w:val="00AF67AB"/>
    <w:rsid w:val="00AF6977"/>
    <w:rsid w:val="00AF69F8"/>
    <w:rsid w:val="00AF6D4C"/>
    <w:rsid w:val="00AF6E1A"/>
    <w:rsid w:val="00AF6E1E"/>
    <w:rsid w:val="00AF6E93"/>
    <w:rsid w:val="00AF7021"/>
    <w:rsid w:val="00AF71E6"/>
    <w:rsid w:val="00AF72BA"/>
    <w:rsid w:val="00AF7337"/>
    <w:rsid w:val="00AF7564"/>
    <w:rsid w:val="00AF75E5"/>
    <w:rsid w:val="00AF76E9"/>
    <w:rsid w:val="00AF7730"/>
    <w:rsid w:val="00AF776E"/>
    <w:rsid w:val="00AF77D3"/>
    <w:rsid w:val="00AF77F1"/>
    <w:rsid w:val="00AF7849"/>
    <w:rsid w:val="00AF7939"/>
    <w:rsid w:val="00AF7A04"/>
    <w:rsid w:val="00AF7A98"/>
    <w:rsid w:val="00AF7AD9"/>
    <w:rsid w:val="00AF7CB0"/>
    <w:rsid w:val="00AF7CCE"/>
    <w:rsid w:val="00AF7CEE"/>
    <w:rsid w:val="00AF7CF8"/>
    <w:rsid w:val="00AF7E18"/>
    <w:rsid w:val="00AF7FB1"/>
    <w:rsid w:val="00B00028"/>
    <w:rsid w:val="00B000C5"/>
    <w:rsid w:val="00B00111"/>
    <w:rsid w:val="00B00255"/>
    <w:rsid w:val="00B00330"/>
    <w:rsid w:val="00B004A2"/>
    <w:rsid w:val="00B00569"/>
    <w:rsid w:val="00B005D5"/>
    <w:rsid w:val="00B006BD"/>
    <w:rsid w:val="00B009CF"/>
    <w:rsid w:val="00B00A2E"/>
    <w:rsid w:val="00B00A55"/>
    <w:rsid w:val="00B00AAB"/>
    <w:rsid w:val="00B00B59"/>
    <w:rsid w:val="00B00BAF"/>
    <w:rsid w:val="00B00BDB"/>
    <w:rsid w:val="00B00CF9"/>
    <w:rsid w:val="00B00D93"/>
    <w:rsid w:val="00B00FA0"/>
    <w:rsid w:val="00B00FA3"/>
    <w:rsid w:val="00B0110D"/>
    <w:rsid w:val="00B011BF"/>
    <w:rsid w:val="00B01313"/>
    <w:rsid w:val="00B013A3"/>
    <w:rsid w:val="00B015B9"/>
    <w:rsid w:val="00B0162D"/>
    <w:rsid w:val="00B016FB"/>
    <w:rsid w:val="00B01714"/>
    <w:rsid w:val="00B01905"/>
    <w:rsid w:val="00B0192B"/>
    <w:rsid w:val="00B01965"/>
    <w:rsid w:val="00B019BC"/>
    <w:rsid w:val="00B01A2A"/>
    <w:rsid w:val="00B01A6A"/>
    <w:rsid w:val="00B01B23"/>
    <w:rsid w:val="00B01CD6"/>
    <w:rsid w:val="00B01D2C"/>
    <w:rsid w:val="00B01D4E"/>
    <w:rsid w:val="00B01DAA"/>
    <w:rsid w:val="00B01F20"/>
    <w:rsid w:val="00B01F94"/>
    <w:rsid w:val="00B020F7"/>
    <w:rsid w:val="00B02260"/>
    <w:rsid w:val="00B0230F"/>
    <w:rsid w:val="00B0232A"/>
    <w:rsid w:val="00B02388"/>
    <w:rsid w:val="00B0243A"/>
    <w:rsid w:val="00B02715"/>
    <w:rsid w:val="00B028AD"/>
    <w:rsid w:val="00B02A5A"/>
    <w:rsid w:val="00B02AC5"/>
    <w:rsid w:val="00B02C97"/>
    <w:rsid w:val="00B02FDF"/>
    <w:rsid w:val="00B0316C"/>
    <w:rsid w:val="00B03189"/>
    <w:rsid w:val="00B03212"/>
    <w:rsid w:val="00B03352"/>
    <w:rsid w:val="00B0337F"/>
    <w:rsid w:val="00B033ED"/>
    <w:rsid w:val="00B034D3"/>
    <w:rsid w:val="00B03556"/>
    <w:rsid w:val="00B035C0"/>
    <w:rsid w:val="00B03636"/>
    <w:rsid w:val="00B0367A"/>
    <w:rsid w:val="00B03849"/>
    <w:rsid w:val="00B03955"/>
    <w:rsid w:val="00B03AC0"/>
    <w:rsid w:val="00B03B30"/>
    <w:rsid w:val="00B03BEC"/>
    <w:rsid w:val="00B03D36"/>
    <w:rsid w:val="00B03E71"/>
    <w:rsid w:val="00B03EBF"/>
    <w:rsid w:val="00B040B3"/>
    <w:rsid w:val="00B04374"/>
    <w:rsid w:val="00B04422"/>
    <w:rsid w:val="00B04516"/>
    <w:rsid w:val="00B04623"/>
    <w:rsid w:val="00B04643"/>
    <w:rsid w:val="00B04701"/>
    <w:rsid w:val="00B04762"/>
    <w:rsid w:val="00B048CE"/>
    <w:rsid w:val="00B04A57"/>
    <w:rsid w:val="00B04A97"/>
    <w:rsid w:val="00B04A98"/>
    <w:rsid w:val="00B04B9A"/>
    <w:rsid w:val="00B04BF4"/>
    <w:rsid w:val="00B04C4A"/>
    <w:rsid w:val="00B04C4B"/>
    <w:rsid w:val="00B04DB0"/>
    <w:rsid w:val="00B05068"/>
    <w:rsid w:val="00B051A6"/>
    <w:rsid w:val="00B051C4"/>
    <w:rsid w:val="00B051C8"/>
    <w:rsid w:val="00B0547A"/>
    <w:rsid w:val="00B05532"/>
    <w:rsid w:val="00B05792"/>
    <w:rsid w:val="00B05797"/>
    <w:rsid w:val="00B05966"/>
    <w:rsid w:val="00B0597C"/>
    <w:rsid w:val="00B05A55"/>
    <w:rsid w:val="00B05A6A"/>
    <w:rsid w:val="00B05E25"/>
    <w:rsid w:val="00B05EB5"/>
    <w:rsid w:val="00B05FF6"/>
    <w:rsid w:val="00B06048"/>
    <w:rsid w:val="00B06154"/>
    <w:rsid w:val="00B06174"/>
    <w:rsid w:val="00B0617F"/>
    <w:rsid w:val="00B06273"/>
    <w:rsid w:val="00B062DC"/>
    <w:rsid w:val="00B06581"/>
    <w:rsid w:val="00B065C0"/>
    <w:rsid w:val="00B065D0"/>
    <w:rsid w:val="00B065DF"/>
    <w:rsid w:val="00B06603"/>
    <w:rsid w:val="00B06617"/>
    <w:rsid w:val="00B066C1"/>
    <w:rsid w:val="00B06731"/>
    <w:rsid w:val="00B0674A"/>
    <w:rsid w:val="00B06961"/>
    <w:rsid w:val="00B069FA"/>
    <w:rsid w:val="00B06AE7"/>
    <w:rsid w:val="00B06B71"/>
    <w:rsid w:val="00B06B8F"/>
    <w:rsid w:val="00B06BAC"/>
    <w:rsid w:val="00B06E08"/>
    <w:rsid w:val="00B06F93"/>
    <w:rsid w:val="00B06F94"/>
    <w:rsid w:val="00B0704A"/>
    <w:rsid w:val="00B07081"/>
    <w:rsid w:val="00B0712F"/>
    <w:rsid w:val="00B07244"/>
    <w:rsid w:val="00B0724A"/>
    <w:rsid w:val="00B073A3"/>
    <w:rsid w:val="00B07497"/>
    <w:rsid w:val="00B07514"/>
    <w:rsid w:val="00B0764C"/>
    <w:rsid w:val="00B07821"/>
    <w:rsid w:val="00B0785C"/>
    <w:rsid w:val="00B07A93"/>
    <w:rsid w:val="00B07BB8"/>
    <w:rsid w:val="00B07CE4"/>
    <w:rsid w:val="00B07D48"/>
    <w:rsid w:val="00B07F16"/>
    <w:rsid w:val="00B07F6A"/>
    <w:rsid w:val="00B1006D"/>
    <w:rsid w:val="00B10129"/>
    <w:rsid w:val="00B10136"/>
    <w:rsid w:val="00B1013D"/>
    <w:rsid w:val="00B101F5"/>
    <w:rsid w:val="00B10235"/>
    <w:rsid w:val="00B1031B"/>
    <w:rsid w:val="00B104F3"/>
    <w:rsid w:val="00B10A31"/>
    <w:rsid w:val="00B10C30"/>
    <w:rsid w:val="00B10D78"/>
    <w:rsid w:val="00B10E5A"/>
    <w:rsid w:val="00B10F10"/>
    <w:rsid w:val="00B11031"/>
    <w:rsid w:val="00B1123C"/>
    <w:rsid w:val="00B1130E"/>
    <w:rsid w:val="00B11380"/>
    <w:rsid w:val="00B1148C"/>
    <w:rsid w:val="00B118E7"/>
    <w:rsid w:val="00B1199D"/>
    <w:rsid w:val="00B11A2A"/>
    <w:rsid w:val="00B11ACD"/>
    <w:rsid w:val="00B11C2A"/>
    <w:rsid w:val="00B11DF0"/>
    <w:rsid w:val="00B11E75"/>
    <w:rsid w:val="00B11F5A"/>
    <w:rsid w:val="00B1214D"/>
    <w:rsid w:val="00B12172"/>
    <w:rsid w:val="00B12343"/>
    <w:rsid w:val="00B12378"/>
    <w:rsid w:val="00B125E8"/>
    <w:rsid w:val="00B127C0"/>
    <w:rsid w:val="00B127D1"/>
    <w:rsid w:val="00B129E3"/>
    <w:rsid w:val="00B12AEC"/>
    <w:rsid w:val="00B12B4C"/>
    <w:rsid w:val="00B12BB6"/>
    <w:rsid w:val="00B12BF9"/>
    <w:rsid w:val="00B12C24"/>
    <w:rsid w:val="00B12E4E"/>
    <w:rsid w:val="00B12EA4"/>
    <w:rsid w:val="00B13009"/>
    <w:rsid w:val="00B13053"/>
    <w:rsid w:val="00B1307B"/>
    <w:rsid w:val="00B131F8"/>
    <w:rsid w:val="00B132FE"/>
    <w:rsid w:val="00B134C3"/>
    <w:rsid w:val="00B134F5"/>
    <w:rsid w:val="00B1358D"/>
    <w:rsid w:val="00B13805"/>
    <w:rsid w:val="00B138EF"/>
    <w:rsid w:val="00B13A92"/>
    <w:rsid w:val="00B13B4C"/>
    <w:rsid w:val="00B13C06"/>
    <w:rsid w:val="00B13C4E"/>
    <w:rsid w:val="00B13CA8"/>
    <w:rsid w:val="00B13D12"/>
    <w:rsid w:val="00B13DCB"/>
    <w:rsid w:val="00B13E02"/>
    <w:rsid w:val="00B13EBE"/>
    <w:rsid w:val="00B1407E"/>
    <w:rsid w:val="00B14119"/>
    <w:rsid w:val="00B14296"/>
    <w:rsid w:val="00B142EE"/>
    <w:rsid w:val="00B143CD"/>
    <w:rsid w:val="00B1447F"/>
    <w:rsid w:val="00B14531"/>
    <w:rsid w:val="00B146D6"/>
    <w:rsid w:val="00B1479D"/>
    <w:rsid w:val="00B1496A"/>
    <w:rsid w:val="00B14C1C"/>
    <w:rsid w:val="00B14CF0"/>
    <w:rsid w:val="00B14D06"/>
    <w:rsid w:val="00B14E6A"/>
    <w:rsid w:val="00B14FAD"/>
    <w:rsid w:val="00B15096"/>
    <w:rsid w:val="00B15170"/>
    <w:rsid w:val="00B1523A"/>
    <w:rsid w:val="00B152B6"/>
    <w:rsid w:val="00B1535C"/>
    <w:rsid w:val="00B156AB"/>
    <w:rsid w:val="00B156C2"/>
    <w:rsid w:val="00B156DA"/>
    <w:rsid w:val="00B15848"/>
    <w:rsid w:val="00B1597C"/>
    <w:rsid w:val="00B159F5"/>
    <w:rsid w:val="00B15B0E"/>
    <w:rsid w:val="00B15B8D"/>
    <w:rsid w:val="00B15BCE"/>
    <w:rsid w:val="00B15D0E"/>
    <w:rsid w:val="00B15D53"/>
    <w:rsid w:val="00B15ED4"/>
    <w:rsid w:val="00B15F06"/>
    <w:rsid w:val="00B15F22"/>
    <w:rsid w:val="00B1655A"/>
    <w:rsid w:val="00B16597"/>
    <w:rsid w:val="00B165E7"/>
    <w:rsid w:val="00B165F8"/>
    <w:rsid w:val="00B166C7"/>
    <w:rsid w:val="00B166F8"/>
    <w:rsid w:val="00B16727"/>
    <w:rsid w:val="00B16754"/>
    <w:rsid w:val="00B167C7"/>
    <w:rsid w:val="00B16851"/>
    <w:rsid w:val="00B1699E"/>
    <w:rsid w:val="00B16A35"/>
    <w:rsid w:val="00B16A46"/>
    <w:rsid w:val="00B16B1A"/>
    <w:rsid w:val="00B16CDF"/>
    <w:rsid w:val="00B17134"/>
    <w:rsid w:val="00B17203"/>
    <w:rsid w:val="00B17230"/>
    <w:rsid w:val="00B17497"/>
    <w:rsid w:val="00B174CC"/>
    <w:rsid w:val="00B174EC"/>
    <w:rsid w:val="00B175D1"/>
    <w:rsid w:val="00B17706"/>
    <w:rsid w:val="00B1771F"/>
    <w:rsid w:val="00B17A25"/>
    <w:rsid w:val="00B17A64"/>
    <w:rsid w:val="00B17AE1"/>
    <w:rsid w:val="00B17BEB"/>
    <w:rsid w:val="00B17E88"/>
    <w:rsid w:val="00B17E89"/>
    <w:rsid w:val="00B17EFF"/>
    <w:rsid w:val="00B17F1C"/>
    <w:rsid w:val="00B20280"/>
    <w:rsid w:val="00B2039C"/>
    <w:rsid w:val="00B20461"/>
    <w:rsid w:val="00B20503"/>
    <w:rsid w:val="00B20790"/>
    <w:rsid w:val="00B20913"/>
    <w:rsid w:val="00B20A67"/>
    <w:rsid w:val="00B20B40"/>
    <w:rsid w:val="00B20C3B"/>
    <w:rsid w:val="00B20C86"/>
    <w:rsid w:val="00B20C96"/>
    <w:rsid w:val="00B20DAB"/>
    <w:rsid w:val="00B20DF9"/>
    <w:rsid w:val="00B20F07"/>
    <w:rsid w:val="00B20F2A"/>
    <w:rsid w:val="00B21111"/>
    <w:rsid w:val="00B211D5"/>
    <w:rsid w:val="00B212DD"/>
    <w:rsid w:val="00B21466"/>
    <w:rsid w:val="00B214EE"/>
    <w:rsid w:val="00B21508"/>
    <w:rsid w:val="00B215D5"/>
    <w:rsid w:val="00B21787"/>
    <w:rsid w:val="00B218F4"/>
    <w:rsid w:val="00B21951"/>
    <w:rsid w:val="00B21968"/>
    <w:rsid w:val="00B219B9"/>
    <w:rsid w:val="00B219D5"/>
    <w:rsid w:val="00B21B2C"/>
    <w:rsid w:val="00B21B40"/>
    <w:rsid w:val="00B21B5B"/>
    <w:rsid w:val="00B21C02"/>
    <w:rsid w:val="00B220DB"/>
    <w:rsid w:val="00B22140"/>
    <w:rsid w:val="00B2215C"/>
    <w:rsid w:val="00B222A2"/>
    <w:rsid w:val="00B222AE"/>
    <w:rsid w:val="00B225CC"/>
    <w:rsid w:val="00B2268D"/>
    <w:rsid w:val="00B227FA"/>
    <w:rsid w:val="00B228DE"/>
    <w:rsid w:val="00B229BE"/>
    <w:rsid w:val="00B22B7E"/>
    <w:rsid w:val="00B22D6C"/>
    <w:rsid w:val="00B22DC5"/>
    <w:rsid w:val="00B22DF4"/>
    <w:rsid w:val="00B22F03"/>
    <w:rsid w:val="00B23106"/>
    <w:rsid w:val="00B231AD"/>
    <w:rsid w:val="00B23218"/>
    <w:rsid w:val="00B232E3"/>
    <w:rsid w:val="00B23378"/>
    <w:rsid w:val="00B2337F"/>
    <w:rsid w:val="00B235D2"/>
    <w:rsid w:val="00B23629"/>
    <w:rsid w:val="00B23678"/>
    <w:rsid w:val="00B237BA"/>
    <w:rsid w:val="00B23ABF"/>
    <w:rsid w:val="00B23B3F"/>
    <w:rsid w:val="00B23B56"/>
    <w:rsid w:val="00B23B6F"/>
    <w:rsid w:val="00B23C69"/>
    <w:rsid w:val="00B23C93"/>
    <w:rsid w:val="00B23F35"/>
    <w:rsid w:val="00B241A2"/>
    <w:rsid w:val="00B24222"/>
    <w:rsid w:val="00B243BA"/>
    <w:rsid w:val="00B24495"/>
    <w:rsid w:val="00B244B1"/>
    <w:rsid w:val="00B24577"/>
    <w:rsid w:val="00B24663"/>
    <w:rsid w:val="00B246A2"/>
    <w:rsid w:val="00B24751"/>
    <w:rsid w:val="00B247D9"/>
    <w:rsid w:val="00B247E6"/>
    <w:rsid w:val="00B24879"/>
    <w:rsid w:val="00B248B3"/>
    <w:rsid w:val="00B248EB"/>
    <w:rsid w:val="00B248ED"/>
    <w:rsid w:val="00B24976"/>
    <w:rsid w:val="00B24AB0"/>
    <w:rsid w:val="00B24AC0"/>
    <w:rsid w:val="00B24C22"/>
    <w:rsid w:val="00B25087"/>
    <w:rsid w:val="00B2508B"/>
    <w:rsid w:val="00B252FB"/>
    <w:rsid w:val="00B253C6"/>
    <w:rsid w:val="00B25485"/>
    <w:rsid w:val="00B255EB"/>
    <w:rsid w:val="00B25684"/>
    <w:rsid w:val="00B258BA"/>
    <w:rsid w:val="00B2591C"/>
    <w:rsid w:val="00B259AA"/>
    <w:rsid w:val="00B259DA"/>
    <w:rsid w:val="00B25A23"/>
    <w:rsid w:val="00B25A81"/>
    <w:rsid w:val="00B25BAD"/>
    <w:rsid w:val="00B25BE6"/>
    <w:rsid w:val="00B25C4F"/>
    <w:rsid w:val="00B25CC1"/>
    <w:rsid w:val="00B25DCC"/>
    <w:rsid w:val="00B25F5D"/>
    <w:rsid w:val="00B260F5"/>
    <w:rsid w:val="00B26138"/>
    <w:rsid w:val="00B2644F"/>
    <w:rsid w:val="00B2650E"/>
    <w:rsid w:val="00B2659E"/>
    <w:rsid w:val="00B26710"/>
    <w:rsid w:val="00B2672F"/>
    <w:rsid w:val="00B267B4"/>
    <w:rsid w:val="00B268AC"/>
    <w:rsid w:val="00B2694F"/>
    <w:rsid w:val="00B26950"/>
    <w:rsid w:val="00B269A2"/>
    <w:rsid w:val="00B26A32"/>
    <w:rsid w:val="00B26AB3"/>
    <w:rsid w:val="00B26B5A"/>
    <w:rsid w:val="00B26D1E"/>
    <w:rsid w:val="00B26D41"/>
    <w:rsid w:val="00B26EC7"/>
    <w:rsid w:val="00B2706A"/>
    <w:rsid w:val="00B270B0"/>
    <w:rsid w:val="00B2717E"/>
    <w:rsid w:val="00B272DD"/>
    <w:rsid w:val="00B27313"/>
    <w:rsid w:val="00B274A2"/>
    <w:rsid w:val="00B274AF"/>
    <w:rsid w:val="00B27606"/>
    <w:rsid w:val="00B27786"/>
    <w:rsid w:val="00B2798C"/>
    <w:rsid w:val="00B27A23"/>
    <w:rsid w:val="00B27A56"/>
    <w:rsid w:val="00B27BE4"/>
    <w:rsid w:val="00B27C69"/>
    <w:rsid w:val="00B27CBC"/>
    <w:rsid w:val="00B27D51"/>
    <w:rsid w:val="00B27E33"/>
    <w:rsid w:val="00B27F58"/>
    <w:rsid w:val="00B3034B"/>
    <w:rsid w:val="00B304B9"/>
    <w:rsid w:val="00B304D4"/>
    <w:rsid w:val="00B30580"/>
    <w:rsid w:val="00B305F3"/>
    <w:rsid w:val="00B306A9"/>
    <w:rsid w:val="00B30794"/>
    <w:rsid w:val="00B307B3"/>
    <w:rsid w:val="00B308BA"/>
    <w:rsid w:val="00B309C3"/>
    <w:rsid w:val="00B309D2"/>
    <w:rsid w:val="00B30A53"/>
    <w:rsid w:val="00B30B10"/>
    <w:rsid w:val="00B30C32"/>
    <w:rsid w:val="00B30C99"/>
    <w:rsid w:val="00B30CD7"/>
    <w:rsid w:val="00B30E1C"/>
    <w:rsid w:val="00B30EA1"/>
    <w:rsid w:val="00B30EC7"/>
    <w:rsid w:val="00B311F7"/>
    <w:rsid w:val="00B312DC"/>
    <w:rsid w:val="00B313E0"/>
    <w:rsid w:val="00B315B1"/>
    <w:rsid w:val="00B316B8"/>
    <w:rsid w:val="00B316FE"/>
    <w:rsid w:val="00B31704"/>
    <w:rsid w:val="00B317B7"/>
    <w:rsid w:val="00B319F8"/>
    <w:rsid w:val="00B31C52"/>
    <w:rsid w:val="00B31D56"/>
    <w:rsid w:val="00B31E58"/>
    <w:rsid w:val="00B31EF1"/>
    <w:rsid w:val="00B31F5B"/>
    <w:rsid w:val="00B31F63"/>
    <w:rsid w:val="00B3218D"/>
    <w:rsid w:val="00B321EE"/>
    <w:rsid w:val="00B3224F"/>
    <w:rsid w:val="00B322E7"/>
    <w:rsid w:val="00B3233D"/>
    <w:rsid w:val="00B323A0"/>
    <w:rsid w:val="00B32540"/>
    <w:rsid w:val="00B3254D"/>
    <w:rsid w:val="00B32577"/>
    <w:rsid w:val="00B32736"/>
    <w:rsid w:val="00B3279F"/>
    <w:rsid w:val="00B328ED"/>
    <w:rsid w:val="00B32B5E"/>
    <w:rsid w:val="00B32BEC"/>
    <w:rsid w:val="00B32C98"/>
    <w:rsid w:val="00B32CF7"/>
    <w:rsid w:val="00B32FD6"/>
    <w:rsid w:val="00B32FEC"/>
    <w:rsid w:val="00B3326C"/>
    <w:rsid w:val="00B332AE"/>
    <w:rsid w:val="00B3364A"/>
    <w:rsid w:val="00B3368F"/>
    <w:rsid w:val="00B336C3"/>
    <w:rsid w:val="00B33724"/>
    <w:rsid w:val="00B33772"/>
    <w:rsid w:val="00B33899"/>
    <w:rsid w:val="00B338A7"/>
    <w:rsid w:val="00B33BF8"/>
    <w:rsid w:val="00B33D94"/>
    <w:rsid w:val="00B33DD1"/>
    <w:rsid w:val="00B33E02"/>
    <w:rsid w:val="00B33F5C"/>
    <w:rsid w:val="00B33FD0"/>
    <w:rsid w:val="00B34056"/>
    <w:rsid w:val="00B3411F"/>
    <w:rsid w:val="00B34356"/>
    <w:rsid w:val="00B343D7"/>
    <w:rsid w:val="00B3440F"/>
    <w:rsid w:val="00B345C7"/>
    <w:rsid w:val="00B3489C"/>
    <w:rsid w:val="00B3495F"/>
    <w:rsid w:val="00B34BF6"/>
    <w:rsid w:val="00B34C07"/>
    <w:rsid w:val="00B34D25"/>
    <w:rsid w:val="00B34E2F"/>
    <w:rsid w:val="00B34ED9"/>
    <w:rsid w:val="00B350C2"/>
    <w:rsid w:val="00B3512A"/>
    <w:rsid w:val="00B3527A"/>
    <w:rsid w:val="00B3535C"/>
    <w:rsid w:val="00B35439"/>
    <w:rsid w:val="00B35445"/>
    <w:rsid w:val="00B354EF"/>
    <w:rsid w:val="00B355DE"/>
    <w:rsid w:val="00B35898"/>
    <w:rsid w:val="00B358E2"/>
    <w:rsid w:val="00B358F3"/>
    <w:rsid w:val="00B35BB4"/>
    <w:rsid w:val="00B35BBF"/>
    <w:rsid w:val="00B35C2B"/>
    <w:rsid w:val="00B35C60"/>
    <w:rsid w:val="00B35F46"/>
    <w:rsid w:val="00B3606A"/>
    <w:rsid w:val="00B360C7"/>
    <w:rsid w:val="00B360F1"/>
    <w:rsid w:val="00B3612E"/>
    <w:rsid w:val="00B3632B"/>
    <w:rsid w:val="00B36345"/>
    <w:rsid w:val="00B364BC"/>
    <w:rsid w:val="00B364FD"/>
    <w:rsid w:val="00B3658E"/>
    <w:rsid w:val="00B366AF"/>
    <w:rsid w:val="00B366BF"/>
    <w:rsid w:val="00B368FF"/>
    <w:rsid w:val="00B36931"/>
    <w:rsid w:val="00B3695A"/>
    <w:rsid w:val="00B3697C"/>
    <w:rsid w:val="00B369DD"/>
    <w:rsid w:val="00B36BAF"/>
    <w:rsid w:val="00B36F4B"/>
    <w:rsid w:val="00B37036"/>
    <w:rsid w:val="00B3713F"/>
    <w:rsid w:val="00B371B6"/>
    <w:rsid w:val="00B371C8"/>
    <w:rsid w:val="00B37223"/>
    <w:rsid w:val="00B37368"/>
    <w:rsid w:val="00B37477"/>
    <w:rsid w:val="00B376BF"/>
    <w:rsid w:val="00B37856"/>
    <w:rsid w:val="00B3788D"/>
    <w:rsid w:val="00B37901"/>
    <w:rsid w:val="00B37995"/>
    <w:rsid w:val="00B37A52"/>
    <w:rsid w:val="00B37A72"/>
    <w:rsid w:val="00B37B45"/>
    <w:rsid w:val="00B37B67"/>
    <w:rsid w:val="00B37B9A"/>
    <w:rsid w:val="00B37BC2"/>
    <w:rsid w:val="00B37C7F"/>
    <w:rsid w:val="00B37DC1"/>
    <w:rsid w:val="00B37EBF"/>
    <w:rsid w:val="00B37FE5"/>
    <w:rsid w:val="00B3CC0E"/>
    <w:rsid w:val="00B4008F"/>
    <w:rsid w:val="00B4028C"/>
    <w:rsid w:val="00B403E9"/>
    <w:rsid w:val="00B403FA"/>
    <w:rsid w:val="00B4043E"/>
    <w:rsid w:val="00B405E9"/>
    <w:rsid w:val="00B405F5"/>
    <w:rsid w:val="00B40909"/>
    <w:rsid w:val="00B4092E"/>
    <w:rsid w:val="00B40945"/>
    <w:rsid w:val="00B40B19"/>
    <w:rsid w:val="00B40C62"/>
    <w:rsid w:val="00B40E18"/>
    <w:rsid w:val="00B40EEB"/>
    <w:rsid w:val="00B40F39"/>
    <w:rsid w:val="00B40FAB"/>
    <w:rsid w:val="00B4100B"/>
    <w:rsid w:val="00B410CC"/>
    <w:rsid w:val="00B4112B"/>
    <w:rsid w:val="00B411C8"/>
    <w:rsid w:val="00B41267"/>
    <w:rsid w:val="00B412AF"/>
    <w:rsid w:val="00B4150C"/>
    <w:rsid w:val="00B4155F"/>
    <w:rsid w:val="00B415D8"/>
    <w:rsid w:val="00B41606"/>
    <w:rsid w:val="00B417DA"/>
    <w:rsid w:val="00B41816"/>
    <w:rsid w:val="00B41A0D"/>
    <w:rsid w:val="00B41B77"/>
    <w:rsid w:val="00B41D70"/>
    <w:rsid w:val="00B41D85"/>
    <w:rsid w:val="00B41E49"/>
    <w:rsid w:val="00B420A6"/>
    <w:rsid w:val="00B42304"/>
    <w:rsid w:val="00B4238F"/>
    <w:rsid w:val="00B42506"/>
    <w:rsid w:val="00B426D2"/>
    <w:rsid w:val="00B42717"/>
    <w:rsid w:val="00B42801"/>
    <w:rsid w:val="00B42A2A"/>
    <w:rsid w:val="00B42A41"/>
    <w:rsid w:val="00B42B70"/>
    <w:rsid w:val="00B42C1F"/>
    <w:rsid w:val="00B42C64"/>
    <w:rsid w:val="00B42C9B"/>
    <w:rsid w:val="00B42CB9"/>
    <w:rsid w:val="00B42DB7"/>
    <w:rsid w:val="00B42E0C"/>
    <w:rsid w:val="00B42E21"/>
    <w:rsid w:val="00B42F1B"/>
    <w:rsid w:val="00B43013"/>
    <w:rsid w:val="00B430C4"/>
    <w:rsid w:val="00B4327A"/>
    <w:rsid w:val="00B43288"/>
    <w:rsid w:val="00B43304"/>
    <w:rsid w:val="00B43398"/>
    <w:rsid w:val="00B436AE"/>
    <w:rsid w:val="00B43770"/>
    <w:rsid w:val="00B4382E"/>
    <w:rsid w:val="00B438BD"/>
    <w:rsid w:val="00B43922"/>
    <w:rsid w:val="00B43B66"/>
    <w:rsid w:val="00B43CD6"/>
    <w:rsid w:val="00B43CFC"/>
    <w:rsid w:val="00B43D0E"/>
    <w:rsid w:val="00B43E0B"/>
    <w:rsid w:val="00B43E79"/>
    <w:rsid w:val="00B43E86"/>
    <w:rsid w:val="00B43F2B"/>
    <w:rsid w:val="00B440E3"/>
    <w:rsid w:val="00B441D8"/>
    <w:rsid w:val="00B4428A"/>
    <w:rsid w:val="00B443A4"/>
    <w:rsid w:val="00B44446"/>
    <w:rsid w:val="00B4453F"/>
    <w:rsid w:val="00B445EE"/>
    <w:rsid w:val="00B446DB"/>
    <w:rsid w:val="00B4488A"/>
    <w:rsid w:val="00B44A40"/>
    <w:rsid w:val="00B44B0E"/>
    <w:rsid w:val="00B44B33"/>
    <w:rsid w:val="00B44BA3"/>
    <w:rsid w:val="00B44DE7"/>
    <w:rsid w:val="00B44E26"/>
    <w:rsid w:val="00B44FFD"/>
    <w:rsid w:val="00B453CD"/>
    <w:rsid w:val="00B45443"/>
    <w:rsid w:val="00B454E4"/>
    <w:rsid w:val="00B45559"/>
    <w:rsid w:val="00B455CC"/>
    <w:rsid w:val="00B45906"/>
    <w:rsid w:val="00B45A48"/>
    <w:rsid w:val="00B45BB7"/>
    <w:rsid w:val="00B45BC3"/>
    <w:rsid w:val="00B45DE1"/>
    <w:rsid w:val="00B45E24"/>
    <w:rsid w:val="00B461B9"/>
    <w:rsid w:val="00B461DE"/>
    <w:rsid w:val="00B46213"/>
    <w:rsid w:val="00B462CF"/>
    <w:rsid w:val="00B46399"/>
    <w:rsid w:val="00B46487"/>
    <w:rsid w:val="00B464D5"/>
    <w:rsid w:val="00B467D1"/>
    <w:rsid w:val="00B4683D"/>
    <w:rsid w:val="00B4689B"/>
    <w:rsid w:val="00B46912"/>
    <w:rsid w:val="00B46971"/>
    <w:rsid w:val="00B4698A"/>
    <w:rsid w:val="00B46ADA"/>
    <w:rsid w:val="00B46B08"/>
    <w:rsid w:val="00B46B15"/>
    <w:rsid w:val="00B46CAE"/>
    <w:rsid w:val="00B46DAB"/>
    <w:rsid w:val="00B46EBD"/>
    <w:rsid w:val="00B46FEC"/>
    <w:rsid w:val="00B47261"/>
    <w:rsid w:val="00B4727A"/>
    <w:rsid w:val="00B4742A"/>
    <w:rsid w:val="00B4743D"/>
    <w:rsid w:val="00B47519"/>
    <w:rsid w:val="00B477E9"/>
    <w:rsid w:val="00B478B6"/>
    <w:rsid w:val="00B478D2"/>
    <w:rsid w:val="00B478D7"/>
    <w:rsid w:val="00B478E0"/>
    <w:rsid w:val="00B47921"/>
    <w:rsid w:val="00B47969"/>
    <w:rsid w:val="00B47C1F"/>
    <w:rsid w:val="00B47D54"/>
    <w:rsid w:val="00B47DC9"/>
    <w:rsid w:val="00B47E7A"/>
    <w:rsid w:val="00B500F9"/>
    <w:rsid w:val="00B502E2"/>
    <w:rsid w:val="00B50338"/>
    <w:rsid w:val="00B50458"/>
    <w:rsid w:val="00B5075C"/>
    <w:rsid w:val="00B507A6"/>
    <w:rsid w:val="00B5082F"/>
    <w:rsid w:val="00B508A1"/>
    <w:rsid w:val="00B508A3"/>
    <w:rsid w:val="00B50903"/>
    <w:rsid w:val="00B509C2"/>
    <w:rsid w:val="00B50BD8"/>
    <w:rsid w:val="00B50D78"/>
    <w:rsid w:val="00B50F71"/>
    <w:rsid w:val="00B50F98"/>
    <w:rsid w:val="00B51034"/>
    <w:rsid w:val="00B51098"/>
    <w:rsid w:val="00B511E2"/>
    <w:rsid w:val="00B512D0"/>
    <w:rsid w:val="00B5137E"/>
    <w:rsid w:val="00B514DA"/>
    <w:rsid w:val="00B5159B"/>
    <w:rsid w:val="00B515A8"/>
    <w:rsid w:val="00B51703"/>
    <w:rsid w:val="00B51762"/>
    <w:rsid w:val="00B5183B"/>
    <w:rsid w:val="00B51854"/>
    <w:rsid w:val="00B5192E"/>
    <w:rsid w:val="00B5197D"/>
    <w:rsid w:val="00B51C12"/>
    <w:rsid w:val="00B51CFF"/>
    <w:rsid w:val="00B51D6E"/>
    <w:rsid w:val="00B51E43"/>
    <w:rsid w:val="00B51EEE"/>
    <w:rsid w:val="00B51F4E"/>
    <w:rsid w:val="00B51F95"/>
    <w:rsid w:val="00B52034"/>
    <w:rsid w:val="00B520F0"/>
    <w:rsid w:val="00B5216B"/>
    <w:rsid w:val="00B522DD"/>
    <w:rsid w:val="00B523BB"/>
    <w:rsid w:val="00B52408"/>
    <w:rsid w:val="00B524A5"/>
    <w:rsid w:val="00B52507"/>
    <w:rsid w:val="00B525B5"/>
    <w:rsid w:val="00B525BD"/>
    <w:rsid w:val="00B5280C"/>
    <w:rsid w:val="00B52993"/>
    <w:rsid w:val="00B52B28"/>
    <w:rsid w:val="00B52C74"/>
    <w:rsid w:val="00B52C7A"/>
    <w:rsid w:val="00B52CE6"/>
    <w:rsid w:val="00B52D7D"/>
    <w:rsid w:val="00B52DE3"/>
    <w:rsid w:val="00B52E22"/>
    <w:rsid w:val="00B52E80"/>
    <w:rsid w:val="00B52EB4"/>
    <w:rsid w:val="00B52F93"/>
    <w:rsid w:val="00B53113"/>
    <w:rsid w:val="00B53190"/>
    <w:rsid w:val="00B531CB"/>
    <w:rsid w:val="00B53323"/>
    <w:rsid w:val="00B5334E"/>
    <w:rsid w:val="00B533D5"/>
    <w:rsid w:val="00B5346B"/>
    <w:rsid w:val="00B53567"/>
    <w:rsid w:val="00B5379C"/>
    <w:rsid w:val="00B5379E"/>
    <w:rsid w:val="00B537FF"/>
    <w:rsid w:val="00B53A38"/>
    <w:rsid w:val="00B53AB9"/>
    <w:rsid w:val="00B53B36"/>
    <w:rsid w:val="00B53C21"/>
    <w:rsid w:val="00B53D00"/>
    <w:rsid w:val="00B53D4A"/>
    <w:rsid w:val="00B53E98"/>
    <w:rsid w:val="00B53F5B"/>
    <w:rsid w:val="00B53FBA"/>
    <w:rsid w:val="00B541F5"/>
    <w:rsid w:val="00B5420D"/>
    <w:rsid w:val="00B54371"/>
    <w:rsid w:val="00B5444D"/>
    <w:rsid w:val="00B5449C"/>
    <w:rsid w:val="00B544B9"/>
    <w:rsid w:val="00B54646"/>
    <w:rsid w:val="00B54721"/>
    <w:rsid w:val="00B54727"/>
    <w:rsid w:val="00B5481B"/>
    <w:rsid w:val="00B548BB"/>
    <w:rsid w:val="00B54ADB"/>
    <w:rsid w:val="00B54DDB"/>
    <w:rsid w:val="00B54F85"/>
    <w:rsid w:val="00B550D4"/>
    <w:rsid w:val="00B551C4"/>
    <w:rsid w:val="00B5523F"/>
    <w:rsid w:val="00B55360"/>
    <w:rsid w:val="00B5548F"/>
    <w:rsid w:val="00B55518"/>
    <w:rsid w:val="00B55731"/>
    <w:rsid w:val="00B557FD"/>
    <w:rsid w:val="00B558C8"/>
    <w:rsid w:val="00B559E1"/>
    <w:rsid w:val="00B55A50"/>
    <w:rsid w:val="00B55ACA"/>
    <w:rsid w:val="00B55B97"/>
    <w:rsid w:val="00B55C3E"/>
    <w:rsid w:val="00B55C4F"/>
    <w:rsid w:val="00B55CA0"/>
    <w:rsid w:val="00B55D9E"/>
    <w:rsid w:val="00B55E00"/>
    <w:rsid w:val="00B560B8"/>
    <w:rsid w:val="00B562F6"/>
    <w:rsid w:val="00B56317"/>
    <w:rsid w:val="00B564B2"/>
    <w:rsid w:val="00B56638"/>
    <w:rsid w:val="00B566F0"/>
    <w:rsid w:val="00B5690E"/>
    <w:rsid w:val="00B56B7A"/>
    <w:rsid w:val="00B56BFA"/>
    <w:rsid w:val="00B56FDA"/>
    <w:rsid w:val="00B57184"/>
    <w:rsid w:val="00B57235"/>
    <w:rsid w:val="00B574C8"/>
    <w:rsid w:val="00B574E5"/>
    <w:rsid w:val="00B57528"/>
    <w:rsid w:val="00B5781D"/>
    <w:rsid w:val="00B578AD"/>
    <w:rsid w:val="00B578B5"/>
    <w:rsid w:val="00B5796F"/>
    <w:rsid w:val="00B57A3F"/>
    <w:rsid w:val="00B57A48"/>
    <w:rsid w:val="00B57C4A"/>
    <w:rsid w:val="00B57CB3"/>
    <w:rsid w:val="00B57CB8"/>
    <w:rsid w:val="00B57D1F"/>
    <w:rsid w:val="00B60243"/>
    <w:rsid w:val="00B60884"/>
    <w:rsid w:val="00B608A1"/>
    <w:rsid w:val="00B60A2B"/>
    <w:rsid w:val="00B60A56"/>
    <w:rsid w:val="00B60A59"/>
    <w:rsid w:val="00B60CC8"/>
    <w:rsid w:val="00B60D54"/>
    <w:rsid w:val="00B60D78"/>
    <w:rsid w:val="00B60D91"/>
    <w:rsid w:val="00B60E7C"/>
    <w:rsid w:val="00B61022"/>
    <w:rsid w:val="00B61174"/>
    <w:rsid w:val="00B614C3"/>
    <w:rsid w:val="00B614E3"/>
    <w:rsid w:val="00B614F3"/>
    <w:rsid w:val="00B61506"/>
    <w:rsid w:val="00B615F3"/>
    <w:rsid w:val="00B616EC"/>
    <w:rsid w:val="00B616FB"/>
    <w:rsid w:val="00B61758"/>
    <w:rsid w:val="00B6181D"/>
    <w:rsid w:val="00B619CF"/>
    <w:rsid w:val="00B61B3A"/>
    <w:rsid w:val="00B61B9B"/>
    <w:rsid w:val="00B61C47"/>
    <w:rsid w:val="00B61C8B"/>
    <w:rsid w:val="00B61CBE"/>
    <w:rsid w:val="00B61D68"/>
    <w:rsid w:val="00B61E71"/>
    <w:rsid w:val="00B61F20"/>
    <w:rsid w:val="00B61F7F"/>
    <w:rsid w:val="00B62137"/>
    <w:rsid w:val="00B621AF"/>
    <w:rsid w:val="00B62514"/>
    <w:rsid w:val="00B62605"/>
    <w:rsid w:val="00B62645"/>
    <w:rsid w:val="00B6265B"/>
    <w:rsid w:val="00B628DA"/>
    <w:rsid w:val="00B62A0C"/>
    <w:rsid w:val="00B62A7C"/>
    <w:rsid w:val="00B62ADA"/>
    <w:rsid w:val="00B62AF2"/>
    <w:rsid w:val="00B62DBC"/>
    <w:rsid w:val="00B62F87"/>
    <w:rsid w:val="00B630AF"/>
    <w:rsid w:val="00B630FF"/>
    <w:rsid w:val="00B63243"/>
    <w:rsid w:val="00B6333D"/>
    <w:rsid w:val="00B63367"/>
    <w:rsid w:val="00B6345D"/>
    <w:rsid w:val="00B6364E"/>
    <w:rsid w:val="00B638A6"/>
    <w:rsid w:val="00B638EE"/>
    <w:rsid w:val="00B63904"/>
    <w:rsid w:val="00B639EE"/>
    <w:rsid w:val="00B63A1B"/>
    <w:rsid w:val="00B63A48"/>
    <w:rsid w:val="00B63B25"/>
    <w:rsid w:val="00B63B5C"/>
    <w:rsid w:val="00B63B8D"/>
    <w:rsid w:val="00B63C18"/>
    <w:rsid w:val="00B63D38"/>
    <w:rsid w:val="00B63F36"/>
    <w:rsid w:val="00B63FDC"/>
    <w:rsid w:val="00B6406C"/>
    <w:rsid w:val="00B64071"/>
    <w:rsid w:val="00B6410D"/>
    <w:rsid w:val="00B6449A"/>
    <w:rsid w:val="00B644FB"/>
    <w:rsid w:val="00B6458F"/>
    <w:rsid w:val="00B64796"/>
    <w:rsid w:val="00B6486E"/>
    <w:rsid w:val="00B648C1"/>
    <w:rsid w:val="00B648D7"/>
    <w:rsid w:val="00B64956"/>
    <w:rsid w:val="00B64991"/>
    <w:rsid w:val="00B649B6"/>
    <w:rsid w:val="00B64A66"/>
    <w:rsid w:val="00B64AE1"/>
    <w:rsid w:val="00B64B18"/>
    <w:rsid w:val="00B64C30"/>
    <w:rsid w:val="00B64D27"/>
    <w:rsid w:val="00B64E00"/>
    <w:rsid w:val="00B64EDA"/>
    <w:rsid w:val="00B64F2C"/>
    <w:rsid w:val="00B64FC6"/>
    <w:rsid w:val="00B65172"/>
    <w:rsid w:val="00B65307"/>
    <w:rsid w:val="00B65332"/>
    <w:rsid w:val="00B65335"/>
    <w:rsid w:val="00B6539E"/>
    <w:rsid w:val="00B65414"/>
    <w:rsid w:val="00B65435"/>
    <w:rsid w:val="00B655AF"/>
    <w:rsid w:val="00B65709"/>
    <w:rsid w:val="00B658E4"/>
    <w:rsid w:val="00B659CF"/>
    <w:rsid w:val="00B65A06"/>
    <w:rsid w:val="00B65BE8"/>
    <w:rsid w:val="00B65CD6"/>
    <w:rsid w:val="00B65D3A"/>
    <w:rsid w:val="00B65F74"/>
    <w:rsid w:val="00B66020"/>
    <w:rsid w:val="00B660AD"/>
    <w:rsid w:val="00B661EF"/>
    <w:rsid w:val="00B66284"/>
    <w:rsid w:val="00B66402"/>
    <w:rsid w:val="00B66511"/>
    <w:rsid w:val="00B665B6"/>
    <w:rsid w:val="00B666A7"/>
    <w:rsid w:val="00B666DE"/>
    <w:rsid w:val="00B667C7"/>
    <w:rsid w:val="00B669B6"/>
    <w:rsid w:val="00B669C9"/>
    <w:rsid w:val="00B669D1"/>
    <w:rsid w:val="00B669D3"/>
    <w:rsid w:val="00B66A69"/>
    <w:rsid w:val="00B66A95"/>
    <w:rsid w:val="00B66B63"/>
    <w:rsid w:val="00B66C76"/>
    <w:rsid w:val="00B66CF1"/>
    <w:rsid w:val="00B66DEA"/>
    <w:rsid w:val="00B66E5A"/>
    <w:rsid w:val="00B66EC8"/>
    <w:rsid w:val="00B66F08"/>
    <w:rsid w:val="00B66FFE"/>
    <w:rsid w:val="00B67093"/>
    <w:rsid w:val="00B67177"/>
    <w:rsid w:val="00B671B3"/>
    <w:rsid w:val="00B6724B"/>
    <w:rsid w:val="00B67304"/>
    <w:rsid w:val="00B6762A"/>
    <w:rsid w:val="00B6769C"/>
    <w:rsid w:val="00B6787C"/>
    <w:rsid w:val="00B67B0B"/>
    <w:rsid w:val="00B67B73"/>
    <w:rsid w:val="00B67C1A"/>
    <w:rsid w:val="00B67C28"/>
    <w:rsid w:val="00B67CA2"/>
    <w:rsid w:val="00B67DA7"/>
    <w:rsid w:val="00B67DA9"/>
    <w:rsid w:val="00B67EEE"/>
    <w:rsid w:val="00B7025A"/>
    <w:rsid w:val="00B702BB"/>
    <w:rsid w:val="00B70477"/>
    <w:rsid w:val="00B704F0"/>
    <w:rsid w:val="00B7069A"/>
    <w:rsid w:val="00B7082F"/>
    <w:rsid w:val="00B70A3D"/>
    <w:rsid w:val="00B70AF6"/>
    <w:rsid w:val="00B70D4E"/>
    <w:rsid w:val="00B70D83"/>
    <w:rsid w:val="00B70E6B"/>
    <w:rsid w:val="00B71024"/>
    <w:rsid w:val="00B7104C"/>
    <w:rsid w:val="00B710BA"/>
    <w:rsid w:val="00B711F5"/>
    <w:rsid w:val="00B7131C"/>
    <w:rsid w:val="00B71323"/>
    <w:rsid w:val="00B714B5"/>
    <w:rsid w:val="00B7151F"/>
    <w:rsid w:val="00B716D8"/>
    <w:rsid w:val="00B719DB"/>
    <w:rsid w:val="00B71B6C"/>
    <w:rsid w:val="00B71B7D"/>
    <w:rsid w:val="00B71C30"/>
    <w:rsid w:val="00B71D18"/>
    <w:rsid w:val="00B72129"/>
    <w:rsid w:val="00B722A3"/>
    <w:rsid w:val="00B72340"/>
    <w:rsid w:val="00B72386"/>
    <w:rsid w:val="00B72422"/>
    <w:rsid w:val="00B72536"/>
    <w:rsid w:val="00B72580"/>
    <w:rsid w:val="00B726B1"/>
    <w:rsid w:val="00B72747"/>
    <w:rsid w:val="00B72884"/>
    <w:rsid w:val="00B728C6"/>
    <w:rsid w:val="00B7292A"/>
    <w:rsid w:val="00B72969"/>
    <w:rsid w:val="00B72A9C"/>
    <w:rsid w:val="00B72C5E"/>
    <w:rsid w:val="00B72C62"/>
    <w:rsid w:val="00B72CAC"/>
    <w:rsid w:val="00B72CE8"/>
    <w:rsid w:val="00B72D91"/>
    <w:rsid w:val="00B73016"/>
    <w:rsid w:val="00B73046"/>
    <w:rsid w:val="00B731E5"/>
    <w:rsid w:val="00B7321C"/>
    <w:rsid w:val="00B7321D"/>
    <w:rsid w:val="00B7336B"/>
    <w:rsid w:val="00B73377"/>
    <w:rsid w:val="00B734D7"/>
    <w:rsid w:val="00B735E7"/>
    <w:rsid w:val="00B7364A"/>
    <w:rsid w:val="00B7364D"/>
    <w:rsid w:val="00B73891"/>
    <w:rsid w:val="00B738EB"/>
    <w:rsid w:val="00B73926"/>
    <w:rsid w:val="00B73934"/>
    <w:rsid w:val="00B73A03"/>
    <w:rsid w:val="00B73A5E"/>
    <w:rsid w:val="00B73B4A"/>
    <w:rsid w:val="00B73BBA"/>
    <w:rsid w:val="00B73D94"/>
    <w:rsid w:val="00B74022"/>
    <w:rsid w:val="00B742C7"/>
    <w:rsid w:val="00B7449A"/>
    <w:rsid w:val="00B7464A"/>
    <w:rsid w:val="00B747CC"/>
    <w:rsid w:val="00B747E8"/>
    <w:rsid w:val="00B74813"/>
    <w:rsid w:val="00B7486C"/>
    <w:rsid w:val="00B74A15"/>
    <w:rsid w:val="00B74A72"/>
    <w:rsid w:val="00B74B14"/>
    <w:rsid w:val="00B74B3D"/>
    <w:rsid w:val="00B74B94"/>
    <w:rsid w:val="00B74CFE"/>
    <w:rsid w:val="00B74EAA"/>
    <w:rsid w:val="00B74F7E"/>
    <w:rsid w:val="00B74F96"/>
    <w:rsid w:val="00B75161"/>
    <w:rsid w:val="00B7516C"/>
    <w:rsid w:val="00B751D1"/>
    <w:rsid w:val="00B75310"/>
    <w:rsid w:val="00B75358"/>
    <w:rsid w:val="00B75449"/>
    <w:rsid w:val="00B754FC"/>
    <w:rsid w:val="00B756F5"/>
    <w:rsid w:val="00B757E5"/>
    <w:rsid w:val="00B75877"/>
    <w:rsid w:val="00B758C5"/>
    <w:rsid w:val="00B758DA"/>
    <w:rsid w:val="00B75911"/>
    <w:rsid w:val="00B75936"/>
    <w:rsid w:val="00B759D5"/>
    <w:rsid w:val="00B75C14"/>
    <w:rsid w:val="00B75CCE"/>
    <w:rsid w:val="00B75D71"/>
    <w:rsid w:val="00B75E33"/>
    <w:rsid w:val="00B75EED"/>
    <w:rsid w:val="00B75F46"/>
    <w:rsid w:val="00B75F88"/>
    <w:rsid w:val="00B7612C"/>
    <w:rsid w:val="00B7616E"/>
    <w:rsid w:val="00B761C9"/>
    <w:rsid w:val="00B761FE"/>
    <w:rsid w:val="00B76200"/>
    <w:rsid w:val="00B762E8"/>
    <w:rsid w:val="00B76374"/>
    <w:rsid w:val="00B7650E"/>
    <w:rsid w:val="00B76566"/>
    <w:rsid w:val="00B765FF"/>
    <w:rsid w:val="00B76772"/>
    <w:rsid w:val="00B767F9"/>
    <w:rsid w:val="00B769A9"/>
    <w:rsid w:val="00B76B73"/>
    <w:rsid w:val="00B76C4B"/>
    <w:rsid w:val="00B76D20"/>
    <w:rsid w:val="00B76E5F"/>
    <w:rsid w:val="00B76F74"/>
    <w:rsid w:val="00B7708E"/>
    <w:rsid w:val="00B770F4"/>
    <w:rsid w:val="00B7721B"/>
    <w:rsid w:val="00B7733A"/>
    <w:rsid w:val="00B77422"/>
    <w:rsid w:val="00B77433"/>
    <w:rsid w:val="00B7744A"/>
    <w:rsid w:val="00B77488"/>
    <w:rsid w:val="00B774F3"/>
    <w:rsid w:val="00B775C0"/>
    <w:rsid w:val="00B77682"/>
    <w:rsid w:val="00B77743"/>
    <w:rsid w:val="00B77857"/>
    <w:rsid w:val="00B77984"/>
    <w:rsid w:val="00B77987"/>
    <w:rsid w:val="00B77A1B"/>
    <w:rsid w:val="00B77A59"/>
    <w:rsid w:val="00B77B3B"/>
    <w:rsid w:val="00B77C2A"/>
    <w:rsid w:val="00B77D1B"/>
    <w:rsid w:val="00B77DE7"/>
    <w:rsid w:val="00B77E10"/>
    <w:rsid w:val="00B77FA7"/>
    <w:rsid w:val="00B8000A"/>
    <w:rsid w:val="00B8004F"/>
    <w:rsid w:val="00B800D5"/>
    <w:rsid w:val="00B800EF"/>
    <w:rsid w:val="00B80156"/>
    <w:rsid w:val="00B801E6"/>
    <w:rsid w:val="00B8022B"/>
    <w:rsid w:val="00B80294"/>
    <w:rsid w:val="00B80351"/>
    <w:rsid w:val="00B803C4"/>
    <w:rsid w:val="00B8040B"/>
    <w:rsid w:val="00B804AA"/>
    <w:rsid w:val="00B804C4"/>
    <w:rsid w:val="00B804FC"/>
    <w:rsid w:val="00B805F7"/>
    <w:rsid w:val="00B80745"/>
    <w:rsid w:val="00B80823"/>
    <w:rsid w:val="00B80826"/>
    <w:rsid w:val="00B80896"/>
    <w:rsid w:val="00B80938"/>
    <w:rsid w:val="00B809FF"/>
    <w:rsid w:val="00B80A25"/>
    <w:rsid w:val="00B80A30"/>
    <w:rsid w:val="00B80BB5"/>
    <w:rsid w:val="00B80C33"/>
    <w:rsid w:val="00B80D30"/>
    <w:rsid w:val="00B80ECE"/>
    <w:rsid w:val="00B81045"/>
    <w:rsid w:val="00B81107"/>
    <w:rsid w:val="00B811B6"/>
    <w:rsid w:val="00B81234"/>
    <w:rsid w:val="00B81357"/>
    <w:rsid w:val="00B81504"/>
    <w:rsid w:val="00B81512"/>
    <w:rsid w:val="00B8153A"/>
    <w:rsid w:val="00B8164A"/>
    <w:rsid w:val="00B81650"/>
    <w:rsid w:val="00B81825"/>
    <w:rsid w:val="00B81AC7"/>
    <w:rsid w:val="00B81B7E"/>
    <w:rsid w:val="00B81D96"/>
    <w:rsid w:val="00B81E0C"/>
    <w:rsid w:val="00B81E6E"/>
    <w:rsid w:val="00B81EC5"/>
    <w:rsid w:val="00B81F0E"/>
    <w:rsid w:val="00B8208F"/>
    <w:rsid w:val="00B820FE"/>
    <w:rsid w:val="00B8214C"/>
    <w:rsid w:val="00B82512"/>
    <w:rsid w:val="00B8256B"/>
    <w:rsid w:val="00B825C0"/>
    <w:rsid w:val="00B826F9"/>
    <w:rsid w:val="00B82854"/>
    <w:rsid w:val="00B82861"/>
    <w:rsid w:val="00B8287E"/>
    <w:rsid w:val="00B8294C"/>
    <w:rsid w:val="00B829DD"/>
    <w:rsid w:val="00B82BB6"/>
    <w:rsid w:val="00B82C42"/>
    <w:rsid w:val="00B82D3F"/>
    <w:rsid w:val="00B830C1"/>
    <w:rsid w:val="00B831A2"/>
    <w:rsid w:val="00B83251"/>
    <w:rsid w:val="00B8343D"/>
    <w:rsid w:val="00B83479"/>
    <w:rsid w:val="00B834E3"/>
    <w:rsid w:val="00B836F3"/>
    <w:rsid w:val="00B8376A"/>
    <w:rsid w:val="00B8384D"/>
    <w:rsid w:val="00B838BD"/>
    <w:rsid w:val="00B838CD"/>
    <w:rsid w:val="00B838DF"/>
    <w:rsid w:val="00B83A0E"/>
    <w:rsid w:val="00B83B1D"/>
    <w:rsid w:val="00B83C78"/>
    <w:rsid w:val="00B83CBB"/>
    <w:rsid w:val="00B83D46"/>
    <w:rsid w:val="00B84064"/>
    <w:rsid w:val="00B8410A"/>
    <w:rsid w:val="00B84165"/>
    <w:rsid w:val="00B84218"/>
    <w:rsid w:val="00B842D4"/>
    <w:rsid w:val="00B8439E"/>
    <w:rsid w:val="00B845AC"/>
    <w:rsid w:val="00B848E8"/>
    <w:rsid w:val="00B849EF"/>
    <w:rsid w:val="00B84A14"/>
    <w:rsid w:val="00B84B52"/>
    <w:rsid w:val="00B84CC9"/>
    <w:rsid w:val="00B84CE9"/>
    <w:rsid w:val="00B84D55"/>
    <w:rsid w:val="00B84DAB"/>
    <w:rsid w:val="00B8527E"/>
    <w:rsid w:val="00B85408"/>
    <w:rsid w:val="00B85515"/>
    <w:rsid w:val="00B85518"/>
    <w:rsid w:val="00B85727"/>
    <w:rsid w:val="00B857C3"/>
    <w:rsid w:val="00B85853"/>
    <w:rsid w:val="00B858E4"/>
    <w:rsid w:val="00B85D55"/>
    <w:rsid w:val="00B85D6A"/>
    <w:rsid w:val="00B85DDE"/>
    <w:rsid w:val="00B85E43"/>
    <w:rsid w:val="00B85E64"/>
    <w:rsid w:val="00B85F5D"/>
    <w:rsid w:val="00B85F85"/>
    <w:rsid w:val="00B85FA2"/>
    <w:rsid w:val="00B86066"/>
    <w:rsid w:val="00B86179"/>
    <w:rsid w:val="00B86272"/>
    <w:rsid w:val="00B862E6"/>
    <w:rsid w:val="00B863D7"/>
    <w:rsid w:val="00B86448"/>
    <w:rsid w:val="00B864E7"/>
    <w:rsid w:val="00B8658F"/>
    <w:rsid w:val="00B865E5"/>
    <w:rsid w:val="00B86644"/>
    <w:rsid w:val="00B866ED"/>
    <w:rsid w:val="00B868C1"/>
    <w:rsid w:val="00B86AF8"/>
    <w:rsid w:val="00B86B0B"/>
    <w:rsid w:val="00B86C2A"/>
    <w:rsid w:val="00B86C83"/>
    <w:rsid w:val="00B86CA0"/>
    <w:rsid w:val="00B86DB8"/>
    <w:rsid w:val="00B86F6C"/>
    <w:rsid w:val="00B86FA4"/>
    <w:rsid w:val="00B8707B"/>
    <w:rsid w:val="00B87097"/>
    <w:rsid w:val="00B87146"/>
    <w:rsid w:val="00B8716F"/>
    <w:rsid w:val="00B87170"/>
    <w:rsid w:val="00B8723E"/>
    <w:rsid w:val="00B872DE"/>
    <w:rsid w:val="00B87306"/>
    <w:rsid w:val="00B87461"/>
    <w:rsid w:val="00B8753D"/>
    <w:rsid w:val="00B87555"/>
    <w:rsid w:val="00B87587"/>
    <w:rsid w:val="00B876F9"/>
    <w:rsid w:val="00B87765"/>
    <w:rsid w:val="00B8778F"/>
    <w:rsid w:val="00B8790B"/>
    <w:rsid w:val="00B8791B"/>
    <w:rsid w:val="00B87AB5"/>
    <w:rsid w:val="00B87B8C"/>
    <w:rsid w:val="00B87C8C"/>
    <w:rsid w:val="00B87DC8"/>
    <w:rsid w:val="00B87E45"/>
    <w:rsid w:val="00B905D7"/>
    <w:rsid w:val="00B906BF"/>
    <w:rsid w:val="00B906D0"/>
    <w:rsid w:val="00B907B6"/>
    <w:rsid w:val="00B907E3"/>
    <w:rsid w:val="00B908E8"/>
    <w:rsid w:val="00B90A11"/>
    <w:rsid w:val="00B90CDB"/>
    <w:rsid w:val="00B90CEF"/>
    <w:rsid w:val="00B90D5A"/>
    <w:rsid w:val="00B90EF0"/>
    <w:rsid w:val="00B90F88"/>
    <w:rsid w:val="00B90FC9"/>
    <w:rsid w:val="00B90FE9"/>
    <w:rsid w:val="00B910D9"/>
    <w:rsid w:val="00B91333"/>
    <w:rsid w:val="00B9139D"/>
    <w:rsid w:val="00B914F4"/>
    <w:rsid w:val="00B915EF"/>
    <w:rsid w:val="00B91818"/>
    <w:rsid w:val="00B918B2"/>
    <w:rsid w:val="00B918CF"/>
    <w:rsid w:val="00B918D6"/>
    <w:rsid w:val="00B91996"/>
    <w:rsid w:val="00B91A2E"/>
    <w:rsid w:val="00B91C45"/>
    <w:rsid w:val="00B91C7B"/>
    <w:rsid w:val="00B91D26"/>
    <w:rsid w:val="00B91DBE"/>
    <w:rsid w:val="00B91F5B"/>
    <w:rsid w:val="00B9246E"/>
    <w:rsid w:val="00B92533"/>
    <w:rsid w:val="00B92555"/>
    <w:rsid w:val="00B92574"/>
    <w:rsid w:val="00B9265E"/>
    <w:rsid w:val="00B92735"/>
    <w:rsid w:val="00B9299C"/>
    <w:rsid w:val="00B92A41"/>
    <w:rsid w:val="00B92AA0"/>
    <w:rsid w:val="00B92B34"/>
    <w:rsid w:val="00B92E28"/>
    <w:rsid w:val="00B92EB3"/>
    <w:rsid w:val="00B930C9"/>
    <w:rsid w:val="00B93135"/>
    <w:rsid w:val="00B93223"/>
    <w:rsid w:val="00B9339E"/>
    <w:rsid w:val="00B933A0"/>
    <w:rsid w:val="00B93436"/>
    <w:rsid w:val="00B934FE"/>
    <w:rsid w:val="00B93599"/>
    <w:rsid w:val="00B9360C"/>
    <w:rsid w:val="00B9379E"/>
    <w:rsid w:val="00B93916"/>
    <w:rsid w:val="00B93BEE"/>
    <w:rsid w:val="00B93C15"/>
    <w:rsid w:val="00B93C86"/>
    <w:rsid w:val="00B93E75"/>
    <w:rsid w:val="00B93F71"/>
    <w:rsid w:val="00B93F95"/>
    <w:rsid w:val="00B93FD9"/>
    <w:rsid w:val="00B9419A"/>
    <w:rsid w:val="00B9420F"/>
    <w:rsid w:val="00B942CB"/>
    <w:rsid w:val="00B9457C"/>
    <w:rsid w:val="00B945BA"/>
    <w:rsid w:val="00B9462E"/>
    <w:rsid w:val="00B9466D"/>
    <w:rsid w:val="00B9467A"/>
    <w:rsid w:val="00B94954"/>
    <w:rsid w:val="00B94D3B"/>
    <w:rsid w:val="00B94DF8"/>
    <w:rsid w:val="00B950EA"/>
    <w:rsid w:val="00B95110"/>
    <w:rsid w:val="00B9517C"/>
    <w:rsid w:val="00B9522B"/>
    <w:rsid w:val="00B9526C"/>
    <w:rsid w:val="00B95299"/>
    <w:rsid w:val="00B952ED"/>
    <w:rsid w:val="00B95445"/>
    <w:rsid w:val="00B9552A"/>
    <w:rsid w:val="00B957E2"/>
    <w:rsid w:val="00B95820"/>
    <w:rsid w:val="00B9586F"/>
    <w:rsid w:val="00B95A8B"/>
    <w:rsid w:val="00B95B13"/>
    <w:rsid w:val="00B95B2F"/>
    <w:rsid w:val="00B95B8E"/>
    <w:rsid w:val="00B95BC9"/>
    <w:rsid w:val="00B95C9B"/>
    <w:rsid w:val="00B95D10"/>
    <w:rsid w:val="00B95D7A"/>
    <w:rsid w:val="00B95F4C"/>
    <w:rsid w:val="00B95FE8"/>
    <w:rsid w:val="00B9600C"/>
    <w:rsid w:val="00B96072"/>
    <w:rsid w:val="00B96154"/>
    <w:rsid w:val="00B96593"/>
    <w:rsid w:val="00B9664D"/>
    <w:rsid w:val="00B967C0"/>
    <w:rsid w:val="00B96855"/>
    <w:rsid w:val="00B96ABB"/>
    <w:rsid w:val="00B96C0C"/>
    <w:rsid w:val="00B96C10"/>
    <w:rsid w:val="00B96DE1"/>
    <w:rsid w:val="00B96DF5"/>
    <w:rsid w:val="00B96EE3"/>
    <w:rsid w:val="00B970C1"/>
    <w:rsid w:val="00B97154"/>
    <w:rsid w:val="00B971D8"/>
    <w:rsid w:val="00B97256"/>
    <w:rsid w:val="00B9726D"/>
    <w:rsid w:val="00B973DE"/>
    <w:rsid w:val="00B9746F"/>
    <w:rsid w:val="00B9766E"/>
    <w:rsid w:val="00B97AA3"/>
    <w:rsid w:val="00B97B40"/>
    <w:rsid w:val="00B97CF9"/>
    <w:rsid w:val="00B97FD6"/>
    <w:rsid w:val="00B97FE8"/>
    <w:rsid w:val="00BA00D2"/>
    <w:rsid w:val="00BA00E0"/>
    <w:rsid w:val="00BA00EE"/>
    <w:rsid w:val="00BA020F"/>
    <w:rsid w:val="00BA029D"/>
    <w:rsid w:val="00BA03D1"/>
    <w:rsid w:val="00BA046E"/>
    <w:rsid w:val="00BA049E"/>
    <w:rsid w:val="00BA04C3"/>
    <w:rsid w:val="00BA0539"/>
    <w:rsid w:val="00BA0626"/>
    <w:rsid w:val="00BA0676"/>
    <w:rsid w:val="00BA06F1"/>
    <w:rsid w:val="00BA09AB"/>
    <w:rsid w:val="00BA0A68"/>
    <w:rsid w:val="00BA0AE0"/>
    <w:rsid w:val="00BA0D60"/>
    <w:rsid w:val="00BA0E47"/>
    <w:rsid w:val="00BA0FA1"/>
    <w:rsid w:val="00BA1032"/>
    <w:rsid w:val="00BA11C2"/>
    <w:rsid w:val="00BA12AC"/>
    <w:rsid w:val="00BA12B6"/>
    <w:rsid w:val="00BA1319"/>
    <w:rsid w:val="00BA1333"/>
    <w:rsid w:val="00BA14D9"/>
    <w:rsid w:val="00BA157A"/>
    <w:rsid w:val="00BA158D"/>
    <w:rsid w:val="00BA19B5"/>
    <w:rsid w:val="00BA1ADD"/>
    <w:rsid w:val="00BA1BB9"/>
    <w:rsid w:val="00BA1CAB"/>
    <w:rsid w:val="00BA1CB1"/>
    <w:rsid w:val="00BA1CDE"/>
    <w:rsid w:val="00BA1E71"/>
    <w:rsid w:val="00BA1FC9"/>
    <w:rsid w:val="00BA1FDD"/>
    <w:rsid w:val="00BA2014"/>
    <w:rsid w:val="00BA212C"/>
    <w:rsid w:val="00BA218B"/>
    <w:rsid w:val="00BA21A2"/>
    <w:rsid w:val="00BA2207"/>
    <w:rsid w:val="00BA23FA"/>
    <w:rsid w:val="00BA2436"/>
    <w:rsid w:val="00BA246D"/>
    <w:rsid w:val="00BA2485"/>
    <w:rsid w:val="00BA2488"/>
    <w:rsid w:val="00BA25DC"/>
    <w:rsid w:val="00BA2644"/>
    <w:rsid w:val="00BA284A"/>
    <w:rsid w:val="00BA28AC"/>
    <w:rsid w:val="00BA2958"/>
    <w:rsid w:val="00BA29AF"/>
    <w:rsid w:val="00BA2A54"/>
    <w:rsid w:val="00BA2C36"/>
    <w:rsid w:val="00BA2CFE"/>
    <w:rsid w:val="00BA2D78"/>
    <w:rsid w:val="00BA3116"/>
    <w:rsid w:val="00BA31B8"/>
    <w:rsid w:val="00BA3493"/>
    <w:rsid w:val="00BA349F"/>
    <w:rsid w:val="00BA34F1"/>
    <w:rsid w:val="00BA361E"/>
    <w:rsid w:val="00BA3882"/>
    <w:rsid w:val="00BA3947"/>
    <w:rsid w:val="00BA3993"/>
    <w:rsid w:val="00BA399F"/>
    <w:rsid w:val="00BA39AE"/>
    <w:rsid w:val="00BA3B1F"/>
    <w:rsid w:val="00BA3B9E"/>
    <w:rsid w:val="00BA3C09"/>
    <w:rsid w:val="00BA3C32"/>
    <w:rsid w:val="00BA3C43"/>
    <w:rsid w:val="00BA3C4E"/>
    <w:rsid w:val="00BA3C63"/>
    <w:rsid w:val="00BA3CC8"/>
    <w:rsid w:val="00BA406A"/>
    <w:rsid w:val="00BA4095"/>
    <w:rsid w:val="00BA410A"/>
    <w:rsid w:val="00BA4483"/>
    <w:rsid w:val="00BA45AD"/>
    <w:rsid w:val="00BA4638"/>
    <w:rsid w:val="00BA486D"/>
    <w:rsid w:val="00BA497C"/>
    <w:rsid w:val="00BA49F7"/>
    <w:rsid w:val="00BA4BE5"/>
    <w:rsid w:val="00BA4CE7"/>
    <w:rsid w:val="00BA4E64"/>
    <w:rsid w:val="00BA4E6C"/>
    <w:rsid w:val="00BA4E72"/>
    <w:rsid w:val="00BA4FB1"/>
    <w:rsid w:val="00BA4FE4"/>
    <w:rsid w:val="00BA5309"/>
    <w:rsid w:val="00BA534C"/>
    <w:rsid w:val="00BA53DA"/>
    <w:rsid w:val="00BA5489"/>
    <w:rsid w:val="00BA5761"/>
    <w:rsid w:val="00BA57C1"/>
    <w:rsid w:val="00BA57CA"/>
    <w:rsid w:val="00BA57F0"/>
    <w:rsid w:val="00BA5841"/>
    <w:rsid w:val="00BA5866"/>
    <w:rsid w:val="00BA5A94"/>
    <w:rsid w:val="00BA5AD4"/>
    <w:rsid w:val="00BA5B1F"/>
    <w:rsid w:val="00BA5C96"/>
    <w:rsid w:val="00BA5E6F"/>
    <w:rsid w:val="00BA5F6F"/>
    <w:rsid w:val="00BA6083"/>
    <w:rsid w:val="00BA6230"/>
    <w:rsid w:val="00BA631C"/>
    <w:rsid w:val="00BA63E7"/>
    <w:rsid w:val="00BA643F"/>
    <w:rsid w:val="00BA6472"/>
    <w:rsid w:val="00BA6599"/>
    <w:rsid w:val="00BA65FC"/>
    <w:rsid w:val="00BA6767"/>
    <w:rsid w:val="00BA680B"/>
    <w:rsid w:val="00BA6817"/>
    <w:rsid w:val="00BA698F"/>
    <w:rsid w:val="00BA69A3"/>
    <w:rsid w:val="00BA6B8B"/>
    <w:rsid w:val="00BA6BC8"/>
    <w:rsid w:val="00BA6D21"/>
    <w:rsid w:val="00BA71B4"/>
    <w:rsid w:val="00BA7407"/>
    <w:rsid w:val="00BA74A7"/>
    <w:rsid w:val="00BA74B5"/>
    <w:rsid w:val="00BA762C"/>
    <w:rsid w:val="00BA771B"/>
    <w:rsid w:val="00BA7768"/>
    <w:rsid w:val="00BA7BA8"/>
    <w:rsid w:val="00BA7C7F"/>
    <w:rsid w:val="00BA7CAB"/>
    <w:rsid w:val="00BA7D8C"/>
    <w:rsid w:val="00BA7E6D"/>
    <w:rsid w:val="00BA7F52"/>
    <w:rsid w:val="00BB00C8"/>
    <w:rsid w:val="00BB03C6"/>
    <w:rsid w:val="00BB0658"/>
    <w:rsid w:val="00BB0768"/>
    <w:rsid w:val="00BB0AE0"/>
    <w:rsid w:val="00BB0AF0"/>
    <w:rsid w:val="00BB0B57"/>
    <w:rsid w:val="00BB0C08"/>
    <w:rsid w:val="00BB0C60"/>
    <w:rsid w:val="00BB0C7C"/>
    <w:rsid w:val="00BB0C96"/>
    <w:rsid w:val="00BB0EEF"/>
    <w:rsid w:val="00BB0F82"/>
    <w:rsid w:val="00BB10FF"/>
    <w:rsid w:val="00BB11B8"/>
    <w:rsid w:val="00BB134F"/>
    <w:rsid w:val="00BB147E"/>
    <w:rsid w:val="00BB1646"/>
    <w:rsid w:val="00BB17AA"/>
    <w:rsid w:val="00BB17DE"/>
    <w:rsid w:val="00BB18FC"/>
    <w:rsid w:val="00BB1907"/>
    <w:rsid w:val="00BB1933"/>
    <w:rsid w:val="00BB194A"/>
    <w:rsid w:val="00BB1BAB"/>
    <w:rsid w:val="00BB1BE3"/>
    <w:rsid w:val="00BB1C23"/>
    <w:rsid w:val="00BB1D71"/>
    <w:rsid w:val="00BB1DE9"/>
    <w:rsid w:val="00BB1E31"/>
    <w:rsid w:val="00BB20C7"/>
    <w:rsid w:val="00BB20D2"/>
    <w:rsid w:val="00BB216B"/>
    <w:rsid w:val="00BB221A"/>
    <w:rsid w:val="00BB2285"/>
    <w:rsid w:val="00BB22B5"/>
    <w:rsid w:val="00BB22D6"/>
    <w:rsid w:val="00BB22E4"/>
    <w:rsid w:val="00BB23CD"/>
    <w:rsid w:val="00BB2513"/>
    <w:rsid w:val="00BB2547"/>
    <w:rsid w:val="00BB25DA"/>
    <w:rsid w:val="00BB2648"/>
    <w:rsid w:val="00BB26BD"/>
    <w:rsid w:val="00BB2826"/>
    <w:rsid w:val="00BB2ABC"/>
    <w:rsid w:val="00BB2B11"/>
    <w:rsid w:val="00BB2C7B"/>
    <w:rsid w:val="00BB2D08"/>
    <w:rsid w:val="00BB2E49"/>
    <w:rsid w:val="00BB2F11"/>
    <w:rsid w:val="00BB2FCD"/>
    <w:rsid w:val="00BB306A"/>
    <w:rsid w:val="00BB30FC"/>
    <w:rsid w:val="00BB319A"/>
    <w:rsid w:val="00BB3299"/>
    <w:rsid w:val="00BB32C7"/>
    <w:rsid w:val="00BB33B5"/>
    <w:rsid w:val="00BB3419"/>
    <w:rsid w:val="00BB3450"/>
    <w:rsid w:val="00BB347C"/>
    <w:rsid w:val="00BB36A2"/>
    <w:rsid w:val="00BB36AB"/>
    <w:rsid w:val="00BB36FE"/>
    <w:rsid w:val="00BB372C"/>
    <w:rsid w:val="00BB3778"/>
    <w:rsid w:val="00BB3819"/>
    <w:rsid w:val="00BB38BB"/>
    <w:rsid w:val="00BB38D2"/>
    <w:rsid w:val="00BB39B8"/>
    <w:rsid w:val="00BB39F1"/>
    <w:rsid w:val="00BB3AC2"/>
    <w:rsid w:val="00BB3B21"/>
    <w:rsid w:val="00BB3B48"/>
    <w:rsid w:val="00BB3C51"/>
    <w:rsid w:val="00BB3F55"/>
    <w:rsid w:val="00BB3FEC"/>
    <w:rsid w:val="00BB4051"/>
    <w:rsid w:val="00BB4089"/>
    <w:rsid w:val="00BB4096"/>
    <w:rsid w:val="00BB40C0"/>
    <w:rsid w:val="00BB40E8"/>
    <w:rsid w:val="00BB4131"/>
    <w:rsid w:val="00BB42CE"/>
    <w:rsid w:val="00BB4407"/>
    <w:rsid w:val="00BB4420"/>
    <w:rsid w:val="00BB4448"/>
    <w:rsid w:val="00BB44BE"/>
    <w:rsid w:val="00BB482F"/>
    <w:rsid w:val="00BB48BA"/>
    <w:rsid w:val="00BB4909"/>
    <w:rsid w:val="00BB496E"/>
    <w:rsid w:val="00BB49DC"/>
    <w:rsid w:val="00BB4AB3"/>
    <w:rsid w:val="00BB4BB8"/>
    <w:rsid w:val="00BB4C80"/>
    <w:rsid w:val="00BB4C8C"/>
    <w:rsid w:val="00BB4E91"/>
    <w:rsid w:val="00BB4F8A"/>
    <w:rsid w:val="00BB5070"/>
    <w:rsid w:val="00BB50C5"/>
    <w:rsid w:val="00BB5115"/>
    <w:rsid w:val="00BB513C"/>
    <w:rsid w:val="00BB52A3"/>
    <w:rsid w:val="00BB536A"/>
    <w:rsid w:val="00BB5371"/>
    <w:rsid w:val="00BB53C9"/>
    <w:rsid w:val="00BB54D8"/>
    <w:rsid w:val="00BB559A"/>
    <w:rsid w:val="00BB568E"/>
    <w:rsid w:val="00BB56D7"/>
    <w:rsid w:val="00BB58E1"/>
    <w:rsid w:val="00BB58E2"/>
    <w:rsid w:val="00BB5A82"/>
    <w:rsid w:val="00BB5BBF"/>
    <w:rsid w:val="00BB5C5F"/>
    <w:rsid w:val="00BB5D1A"/>
    <w:rsid w:val="00BB5F08"/>
    <w:rsid w:val="00BB5F19"/>
    <w:rsid w:val="00BB5F30"/>
    <w:rsid w:val="00BB5F55"/>
    <w:rsid w:val="00BB61C0"/>
    <w:rsid w:val="00BB6226"/>
    <w:rsid w:val="00BB633A"/>
    <w:rsid w:val="00BB64CC"/>
    <w:rsid w:val="00BB64E9"/>
    <w:rsid w:val="00BB656F"/>
    <w:rsid w:val="00BB6639"/>
    <w:rsid w:val="00BB66C2"/>
    <w:rsid w:val="00BB6769"/>
    <w:rsid w:val="00BB67A7"/>
    <w:rsid w:val="00BB6817"/>
    <w:rsid w:val="00BB6B7E"/>
    <w:rsid w:val="00BB6C13"/>
    <w:rsid w:val="00BB6D46"/>
    <w:rsid w:val="00BB6D8C"/>
    <w:rsid w:val="00BB6E2C"/>
    <w:rsid w:val="00BB6E4F"/>
    <w:rsid w:val="00BB6F5A"/>
    <w:rsid w:val="00BB6F86"/>
    <w:rsid w:val="00BB70BA"/>
    <w:rsid w:val="00BB70DE"/>
    <w:rsid w:val="00BB73B3"/>
    <w:rsid w:val="00BB746E"/>
    <w:rsid w:val="00BB7710"/>
    <w:rsid w:val="00BB7711"/>
    <w:rsid w:val="00BB778B"/>
    <w:rsid w:val="00BB7862"/>
    <w:rsid w:val="00BB7BDE"/>
    <w:rsid w:val="00BB7DED"/>
    <w:rsid w:val="00BB7E78"/>
    <w:rsid w:val="00BB7EB0"/>
    <w:rsid w:val="00BB7FA2"/>
    <w:rsid w:val="00BB7FAF"/>
    <w:rsid w:val="00BB7FDE"/>
    <w:rsid w:val="00BC0128"/>
    <w:rsid w:val="00BC018E"/>
    <w:rsid w:val="00BC01E4"/>
    <w:rsid w:val="00BC0278"/>
    <w:rsid w:val="00BC0405"/>
    <w:rsid w:val="00BC044F"/>
    <w:rsid w:val="00BC048E"/>
    <w:rsid w:val="00BC062F"/>
    <w:rsid w:val="00BC09E6"/>
    <w:rsid w:val="00BC0BC2"/>
    <w:rsid w:val="00BC0C0D"/>
    <w:rsid w:val="00BC0CBE"/>
    <w:rsid w:val="00BC0F39"/>
    <w:rsid w:val="00BC109A"/>
    <w:rsid w:val="00BC11B4"/>
    <w:rsid w:val="00BC146B"/>
    <w:rsid w:val="00BC14FB"/>
    <w:rsid w:val="00BC155C"/>
    <w:rsid w:val="00BC155F"/>
    <w:rsid w:val="00BC1928"/>
    <w:rsid w:val="00BC19B7"/>
    <w:rsid w:val="00BC19C3"/>
    <w:rsid w:val="00BC1A30"/>
    <w:rsid w:val="00BC1AB5"/>
    <w:rsid w:val="00BC1B1F"/>
    <w:rsid w:val="00BC1B55"/>
    <w:rsid w:val="00BC1B81"/>
    <w:rsid w:val="00BC20C6"/>
    <w:rsid w:val="00BC21BC"/>
    <w:rsid w:val="00BC21EF"/>
    <w:rsid w:val="00BC22B4"/>
    <w:rsid w:val="00BC22CA"/>
    <w:rsid w:val="00BC2386"/>
    <w:rsid w:val="00BC238E"/>
    <w:rsid w:val="00BC23D4"/>
    <w:rsid w:val="00BC24A6"/>
    <w:rsid w:val="00BC2528"/>
    <w:rsid w:val="00BC2542"/>
    <w:rsid w:val="00BC25A6"/>
    <w:rsid w:val="00BC264E"/>
    <w:rsid w:val="00BC2720"/>
    <w:rsid w:val="00BC27A8"/>
    <w:rsid w:val="00BC27F3"/>
    <w:rsid w:val="00BC289F"/>
    <w:rsid w:val="00BC29F2"/>
    <w:rsid w:val="00BC2B0C"/>
    <w:rsid w:val="00BC2B2A"/>
    <w:rsid w:val="00BC2C7E"/>
    <w:rsid w:val="00BC2D4A"/>
    <w:rsid w:val="00BC2DB4"/>
    <w:rsid w:val="00BC2DF2"/>
    <w:rsid w:val="00BC2DFF"/>
    <w:rsid w:val="00BC30AF"/>
    <w:rsid w:val="00BC33B2"/>
    <w:rsid w:val="00BC3454"/>
    <w:rsid w:val="00BC3457"/>
    <w:rsid w:val="00BC3460"/>
    <w:rsid w:val="00BC346A"/>
    <w:rsid w:val="00BC34A0"/>
    <w:rsid w:val="00BC35E4"/>
    <w:rsid w:val="00BC3681"/>
    <w:rsid w:val="00BC37D7"/>
    <w:rsid w:val="00BC393E"/>
    <w:rsid w:val="00BC3B68"/>
    <w:rsid w:val="00BC3C5F"/>
    <w:rsid w:val="00BC3D67"/>
    <w:rsid w:val="00BC3E4C"/>
    <w:rsid w:val="00BC3F82"/>
    <w:rsid w:val="00BC3FD1"/>
    <w:rsid w:val="00BC4157"/>
    <w:rsid w:val="00BC437F"/>
    <w:rsid w:val="00BC43A3"/>
    <w:rsid w:val="00BC4536"/>
    <w:rsid w:val="00BC457A"/>
    <w:rsid w:val="00BC45C3"/>
    <w:rsid w:val="00BC469A"/>
    <w:rsid w:val="00BC496C"/>
    <w:rsid w:val="00BC4AB5"/>
    <w:rsid w:val="00BC4AD0"/>
    <w:rsid w:val="00BC4AEB"/>
    <w:rsid w:val="00BC4B2F"/>
    <w:rsid w:val="00BC4C02"/>
    <w:rsid w:val="00BC4DE6"/>
    <w:rsid w:val="00BC4DF1"/>
    <w:rsid w:val="00BC4F03"/>
    <w:rsid w:val="00BC4F6C"/>
    <w:rsid w:val="00BC5086"/>
    <w:rsid w:val="00BC512F"/>
    <w:rsid w:val="00BC5154"/>
    <w:rsid w:val="00BC522D"/>
    <w:rsid w:val="00BC532A"/>
    <w:rsid w:val="00BC558A"/>
    <w:rsid w:val="00BC55B4"/>
    <w:rsid w:val="00BC55C8"/>
    <w:rsid w:val="00BC565D"/>
    <w:rsid w:val="00BC56A3"/>
    <w:rsid w:val="00BC5764"/>
    <w:rsid w:val="00BC577F"/>
    <w:rsid w:val="00BC57C0"/>
    <w:rsid w:val="00BC5824"/>
    <w:rsid w:val="00BC582C"/>
    <w:rsid w:val="00BC5862"/>
    <w:rsid w:val="00BC5B88"/>
    <w:rsid w:val="00BC5C39"/>
    <w:rsid w:val="00BC5D05"/>
    <w:rsid w:val="00BC5ED4"/>
    <w:rsid w:val="00BC5F99"/>
    <w:rsid w:val="00BC5FEB"/>
    <w:rsid w:val="00BC60DD"/>
    <w:rsid w:val="00BC6190"/>
    <w:rsid w:val="00BC6259"/>
    <w:rsid w:val="00BC638C"/>
    <w:rsid w:val="00BC63B9"/>
    <w:rsid w:val="00BC64B9"/>
    <w:rsid w:val="00BC64CE"/>
    <w:rsid w:val="00BC6564"/>
    <w:rsid w:val="00BC6BE4"/>
    <w:rsid w:val="00BC6C05"/>
    <w:rsid w:val="00BC6DBA"/>
    <w:rsid w:val="00BC7014"/>
    <w:rsid w:val="00BC701F"/>
    <w:rsid w:val="00BC7061"/>
    <w:rsid w:val="00BC71DB"/>
    <w:rsid w:val="00BC732E"/>
    <w:rsid w:val="00BC733D"/>
    <w:rsid w:val="00BC738B"/>
    <w:rsid w:val="00BC741A"/>
    <w:rsid w:val="00BC741D"/>
    <w:rsid w:val="00BC7422"/>
    <w:rsid w:val="00BC7588"/>
    <w:rsid w:val="00BC75F5"/>
    <w:rsid w:val="00BC767A"/>
    <w:rsid w:val="00BC767D"/>
    <w:rsid w:val="00BC771C"/>
    <w:rsid w:val="00BC7774"/>
    <w:rsid w:val="00BC78D6"/>
    <w:rsid w:val="00BC78D9"/>
    <w:rsid w:val="00BC7923"/>
    <w:rsid w:val="00BC7B25"/>
    <w:rsid w:val="00BC7BD6"/>
    <w:rsid w:val="00BC7C84"/>
    <w:rsid w:val="00BC7D65"/>
    <w:rsid w:val="00BC7D81"/>
    <w:rsid w:val="00BD00C5"/>
    <w:rsid w:val="00BD01FA"/>
    <w:rsid w:val="00BD02B6"/>
    <w:rsid w:val="00BD06DB"/>
    <w:rsid w:val="00BD0A90"/>
    <w:rsid w:val="00BD0AE6"/>
    <w:rsid w:val="00BD0B23"/>
    <w:rsid w:val="00BD0BA1"/>
    <w:rsid w:val="00BD0C17"/>
    <w:rsid w:val="00BD0C1D"/>
    <w:rsid w:val="00BD0C51"/>
    <w:rsid w:val="00BD0D3C"/>
    <w:rsid w:val="00BD0F33"/>
    <w:rsid w:val="00BD0F57"/>
    <w:rsid w:val="00BD0F81"/>
    <w:rsid w:val="00BD0F93"/>
    <w:rsid w:val="00BD11DD"/>
    <w:rsid w:val="00BD1654"/>
    <w:rsid w:val="00BD17C2"/>
    <w:rsid w:val="00BD18BF"/>
    <w:rsid w:val="00BD1972"/>
    <w:rsid w:val="00BD1ABC"/>
    <w:rsid w:val="00BD1AE7"/>
    <w:rsid w:val="00BD1BF2"/>
    <w:rsid w:val="00BD1C27"/>
    <w:rsid w:val="00BD1C5C"/>
    <w:rsid w:val="00BD1CA5"/>
    <w:rsid w:val="00BD1CC4"/>
    <w:rsid w:val="00BD1D1A"/>
    <w:rsid w:val="00BD1D3C"/>
    <w:rsid w:val="00BD1E5D"/>
    <w:rsid w:val="00BD1E73"/>
    <w:rsid w:val="00BD1ED1"/>
    <w:rsid w:val="00BD21CB"/>
    <w:rsid w:val="00BD237D"/>
    <w:rsid w:val="00BD239A"/>
    <w:rsid w:val="00BD24CF"/>
    <w:rsid w:val="00BD24EF"/>
    <w:rsid w:val="00BD2561"/>
    <w:rsid w:val="00BD2711"/>
    <w:rsid w:val="00BD291B"/>
    <w:rsid w:val="00BD29A4"/>
    <w:rsid w:val="00BD2ADC"/>
    <w:rsid w:val="00BD2B32"/>
    <w:rsid w:val="00BD2B3E"/>
    <w:rsid w:val="00BD2BF1"/>
    <w:rsid w:val="00BD2C54"/>
    <w:rsid w:val="00BD2CEB"/>
    <w:rsid w:val="00BD31FF"/>
    <w:rsid w:val="00BD32AF"/>
    <w:rsid w:val="00BD32B7"/>
    <w:rsid w:val="00BD33CE"/>
    <w:rsid w:val="00BD3560"/>
    <w:rsid w:val="00BD3638"/>
    <w:rsid w:val="00BD3712"/>
    <w:rsid w:val="00BD389D"/>
    <w:rsid w:val="00BD39A4"/>
    <w:rsid w:val="00BD3B5D"/>
    <w:rsid w:val="00BD3D93"/>
    <w:rsid w:val="00BD3F6D"/>
    <w:rsid w:val="00BD4420"/>
    <w:rsid w:val="00BD451F"/>
    <w:rsid w:val="00BD460F"/>
    <w:rsid w:val="00BD4714"/>
    <w:rsid w:val="00BD4872"/>
    <w:rsid w:val="00BD48E8"/>
    <w:rsid w:val="00BD4B02"/>
    <w:rsid w:val="00BD4BCD"/>
    <w:rsid w:val="00BD4C1D"/>
    <w:rsid w:val="00BD4C32"/>
    <w:rsid w:val="00BD4E6E"/>
    <w:rsid w:val="00BD4EBF"/>
    <w:rsid w:val="00BD4F23"/>
    <w:rsid w:val="00BD50D1"/>
    <w:rsid w:val="00BD525B"/>
    <w:rsid w:val="00BD534A"/>
    <w:rsid w:val="00BD544C"/>
    <w:rsid w:val="00BD54C3"/>
    <w:rsid w:val="00BD5540"/>
    <w:rsid w:val="00BD5553"/>
    <w:rsid w:val="00BD5993"/>
    <w:rsid w:val="00BD5A51"/>
    <w:rsid w:val="00BD5AC3"/>
    <w:rsid w:val="00BD5BD8"/>
    <w:rsid w:val="00BD5D84"/>
    <w:rsid w:val="00BD5F3B"/>
    <w:rsid w:val="00BD6000"/>
    <w:rsid w:val="00BD60DB"/>
    <w:rsid w:val="00BD60FB"/>
    <w:rsid w:val="00BD6214"/>
    <w:rsid w:val="00BD6296"/>
    <w:rsid w:val="00BD62EB"/>
    <w:rsid w:val="00BD62F7"/>
    <w:rsid w:val="00BD6342"/>
    <w:rsid w:val="00BD6527"/>
    <w:rsid w:val="00BD65A6"/>
    <w:rsid w:val="00BD6703"/>
    <w:rsid w:val="00BD6763"/>
    <w:rsid w:val="00BD682B"/>
    <w:rsid w:val="00BD69A8"/>
    <w:rsid w:val="00BD6A57"/>
    <w:rsid w:val="00BD6D0E"/>
    <w:rsid w:val="00BD6D7A"/>
    <w:rsid w:val="00BD6E66"/>
    <w:rsid w:val="00BD6F72"/>
    <w:rsid w:val="00BD7078"/>
    <w:rsid w:val="00BD70AC"/>
    <w:rsid w:val="00BD74C4"/>
    <w:rsid w:val="00BD754B"/>
    <w:rsid w:val="00BD7564"/>
    <w:rsid w:val="00BD75A9"/>
    <w:rsid w:val="00BD75DF"/>
    <w:rsid w:val="00BD7AA5"/>
    <w:rsid w:val="00BD7B13"/>
    <w:rsid w:val="00BD7B5C"/>
    <w:rsid w:val="00BD7BC4"/>
    <w:rsid w:val="00BD7CA6"/>
    <w:rsid w:val="00BD7CEE"/>
    <w:rsid w:val="00BD7D45"/>
    <w:rsid w:val="00BD7F41"/>
    <w:rsid w:val="00BE00B9"/>
    <w:rsid w:val="00BE00D2"/>
    <w:rsid w:val="00BE00EC"/>
    <w:rsid w:val="00BE00F5"/>
    <w:rsid w:val="00BE0255"/>
    <w:rsid w:val="00BE0289"/>
    <w:rsid w:val="00BE0418"/>
    <w:rsid w:val="00BE04D4"/>
    <w:rsid w:val="00BE0535"/>
    <w:rsid w:val="00BE054C"/>
    <w:rsid w:val="00BE0669"/>
    <w:rsid w:val="00BE06DF"/>
    <w:rsid w:val="00BE0A3C"/>
    <w:rsid w:val="00BE0A46"/>
    <w:rsid w:val="00BE0A55"/>
    <w:rsid w:val="00BE0B68"/>
    <w:rsid w:val="00BE0C36"/>
    <w:rsid w:val="00BE0D23"/>
    <w:rsid w:val="00BE0D44"/>
    <w:rsid w:val="00BE0DB5"/>
    <w:rsid w:val="00BE0FFB"/>
    <w:rsid w:val="00BE1145"/>
    <w:rsid w:val="00BE127F"/>
    <w:rsid w:val="00BE1376"/>
    <w:rsid w:val="00BE13D7"/>
    <w:rsid w:val="00BE15EE"/>
    <w:rsid w:val="00BE1602"/>
    <w:rsid w:val="00BE168A"/>
    <w:rsid w:val="00BE169A"/>
    <w:rsid w:val="00BE17F4"/>
    <w:rsid w:val="00BE19F2"/>
    <w:rsid w:val="00BE1B1D"/>
    <w:rsid w:val="00BE1B57"/>
    <w:rsid w:val="00BE1C44"/>
    <w:rsid w:val="00BE1C81"/>
    <w:rsid w:val="00BE1E87"/>
    <w:rsid w:val="00BE1EB2"/>
    <w:rsid w:val="00BE21B3"/>
    <w:rsid w:val="00BE22AC"/>
    <w:rsid w:val="00BE22C4"/>
    <w:rsid w:val="00BE22FF"/>
    <w:rsid w:val="00BE231A"/>
    <w:rsid w:val="00BE2349"/>
    <w:rsid w:val="00BE2405"/>
    <w:rsid w:val="00BE24FB"/>
    <w:rsid w:val="00BE25CA"/>
    <w:rsid w:val="00BE2705"/>
    <w:rsid w:val="00BE27B7"/>
    <w:rsid w:val="00BE27C0"/>
    <w:rsid w:val="00BE28A7"/>
    <w:rsid w:val="00BE299F"/>
    <w:rsid w:val="00BE2A53"/>
    <w:rsid w:val="00BE2A97"/>
    <w:rsid w:val="00BE2AA3"/>
    <w:rsid w:val="00BE2B31"/>
    <w:rsid w:val="00BE2BC5"/>
    <w:rsid w:val="00BE2C5F"/>
    <w:rsid w:val="00BE2DC0"/>
    <w:rsid w:val="00BE2DE1"/>
    <w:rsid w:val="00BE2EE5"/>
    <w:rsid w:val="00BE3069"/>
    <w:rsid w:val="00BE3106"/>
    <w:rsid w:val="00BE3178"/>
    <w:rsid w:val="00BE31A5"/>
    <w:rsid w:val="00BE3213"/>
    <w:rsid w:val="00BE3330"/>
    <w:rsid w:val="00BE334C"/>
    <w:rsid w:val="00BE33BC"/>
    <w:rsid w:val="00BE3456"/>
    <w:rsid w:val="00BE3458"/>
    <w:rsid w:val="00BE3467"/>
    <w:rsid w:val="00BE34FA"/>
    <w:rsid w:val="00BE367D"/>
    <w:rsid w:val="00BE3696"/>
    <w:rsid w:val="00BE37C9"/>
    <w:rsid w:val="00BE37D4"/>
    <w:rsid w:val="00BE3864"/>
    <w:rsid w:val="00BE396F"/>
    <w:rsid w:val="00BE3AFB"/>
    <w:rsid w:val="00BE3B54"/>
    <w:rsid w:val="00BE3BF0"/>
    <w:rsid w:val="00BE3CF7"/>
    <w:rsid w:val="00BE3DAC"/>
    <w:rsid w:val="00BE3E14"/>
    <w:rsid w:val="00BE3E79"/>
    <w:rsid w:val="00BE3FD5"/>
    <w:rsid w:val="00BE407F"/>
    <w:rsid w:val="00BE40B2"/>
    <w:rsid w:val="00BE41F4"/>
    <w:rsid w:val="00BE42FE"/>
    <w:rsid w:val="00BE4438"/>
    <w:rsid w:val="00BE4471"/>
    <w:rsid w:val="00BE4636"/>
    <w:rsid w:val="00BE4672"/>
    <w:rsid w:val="00BE4726"/>
    <w:rsid w:val="00BE4768"/>
    <w:rsid w:val="00BE489E"/>
    <w:rsid w:val="00BE48FF"/>
    <w:rsid w:val="00BE49E3"/>
    <w:rsid w:val="00BE4A3A"/>
    <w:rsid w:val="00BE4BE5"/>
    <w:rsid w:val="00BE4F0E"/>
    <w:rsid w:val="00BE5042"/>
    <w:rsid w:val="00BE515A"/>
    <w:rsid w:val="00BE51D2"/>
    <w:rsid w:val="00BE568C"/>
    <w:rsid w:val="00BE57C7"/>
    <w:rsid w:val="00BE58C7"/>
    <w:rsid w:val="00BE5C16"/>
    <w:rsid w:val="00BE5D1E"/>
    <w:rsid w:val="00BE5D6E"/>
    <w:rsid w:val="00BE5E2B"/>
    <w:rsid w:val="00BE5FAB"/>
    <w:rsid w:val="00BE6019"/>
    <w:rsid w:val="00BE612B"/>
    <w:rsid w:val="00BE619E"/>
    <w:rsid w:val="00BE6217"/>
    <w:rsid w:val="00BE6350"/>
    <w:rsid w:val="00BE6490"/>
    <w:rsid w:val="00BE6A00"/>
    <w:rsid w:val="00BE6A04"/>
    <w:rsid w:val="00BE6B16"/>
    <w:rsid w:val="00BE6B59"/>
    <w:rsid w:val="00BE6BAA"/>
    <w:rsid w:val="00BE6CED"/>
    <w:rsid w:val="00BE6D01"/>
    <w:rsid w:val="00BE6D72"/>
    <w:rsid w:val="00BE6D7A"/>
    <w:rsid w:val="00BE6DB4"/>
    <w:rsid w:val="00BE6DF5"/>
    <w:rsid w:val="00BE714C"/>
    <w:rsid w:val="00BE723E"/>
    <w:rsid w:val="00BE72A1"/>
    <w:rsid w:val="00BE72F0"/>
    <w:rsid w:val="00BE7472"/>
    <w:rsid w:val="00BE74A7"/>
    <w:rsid w:val="00BE74C3"/>
    <w:rsid w:val="00BE75E3"/>
    <w:rsid w:val="00BE76D8"/>
    <w:rsid w:val="00BE7AD0"/>
    <w:rsid w:val="00BE7BC3"/>
    <w:rsid w:val="00BE7C3A"/>
    <w:rsid w:val="00BE7C4A"/>
    <w:rsid w:val="00BE7C4C"/>
    <w:rsid w:val="00BE7F7D"/>
    <w:rsid w:val="00BF0018"/>
    <w:rsid w:val="00BF00FF"/>
    <w:rsid w:val="00BF0100"/>
    <w:rsid w:val="00BF0205"/>
    <w:rsid w:val="00BF03BC"/>
    <w:rsid w:val="00BF03BD"/>
    <w:rsid w:val="00BF04F7"/>
    <w:rsid w:val="00BF0587"/>
    <w:rsid w:val="00BF09C9"/>
    <w:rsid w:val="00BF0A7A"/>
    <w:rsid w:val="00BF0A96"/>
    <w:rsid w:val="00BF0B5A"/>
    <w:rsid w:val="00BF0BE4"/>
    <w:rsid w:val="00BF0C0F"/>
    <w:rsid w:val="00BF0CD3"/>
    <w:rsid w:val="00BF1027"/>
    <w:rsid w:val="00BF116D"/>
    <w:rsid w:val="00BF11AC"/>
    <w:rsid w:val="00BF123B"/>
    <w:rsid w:val="00BF1290"/>
    <w:rsid w:val="00BF12C3"/>
    <w:rsid w:val="00BF1352"/>
    <w:rsid w:val="00BF13A5"/>
    <w:rsid w:val="00BF1425"/>
    <w:rsid w:val="00BF15C4"/>
    <w:rsid w:val="00BF1601"/>
    <w:rsid w:val="00BF1865"/>
    <w:rsid w:val="00BF192F"/>
    <w:rsid w:val="00BF19D6"/>
    <w:rsid w:val="00BF1A1C"/>
    <w:rsid w:val="00BF1AC6"/>
    <w:rsid w:val="00BF1AD9"/>
    <w:rsid w:val="00BF1D43"/>
    <w:rsid w:val="00BF202A"/>
    <w:rsid w:val="00BF2182"/>
    <w:rsid w:val="00BF21E4"/>
    <w:rsid w:val="00BF21FE"/>
    <w:rsid w:val="00BF22F6"/>
    <w:rsid w:val="00BF2475"/>
    <w:rsid w:val="00BF2565"/>
    <w:rsid w:val="00BF25BD"/>
    <w:rsid w:val="00BF2690"/>
    <w:rsid w:val="00BF2943"/>
    <w:rsid w:val="00BF2A79"/>
    <w:rsid w:val="00BF2A97"/>
    <w:rsid w:val="00BF2B6B"/>
    <w:rsid w:val="00BF2C2E"/>
    <w:rsid w:val="00BF2CAD"/>
    <w:rsid w:val="00BF2D88"/>
    <w:rsid w:val="00BF2EE3"/>
    <w:rsid w:val="00BF2F27"/>
    <w:rsid w:val="00BF3008"/>
    <w:rsid w:val="00BF3188"/>
    <w:rsid w:val="00BF3207"/>
    <w:rsid w:val="00BF3259"/>
    <w:rsid w:val="00BF3297"/>
    <w:rsid w:val="00BF32AF"/>
    <w:rsid w:val="00BF32B9"/>
    <w:rsid w:val="00BF32E3"/>
    <w:rsid w:val="00BF3411"/>
    <w:rsid w:val="00BF346B"/>
    <w:rsid w:val="00BF360B"/>
    <w:rsid w:val="00BF36F0"/>
    <w:rsid w:val="00BF3749"/>
    <w:rsid w:val="00BF37FE"/>
    <w:rsid w:val="00BF3880"/>
    <w:rsid w:val="00BF3977"/>
    <w:rsid w:val="00BF3993"/>
    <w:rsid w:val="00BF3A24"/>
    <w:rsid w:val="00BF3BA6"/>
    <w:rsid w:val="00BF3E5F"/>
    <w:rsid w:val="00BF3E7F"/>
    <w:rsid w:val="00BF3F21"/>
    <w:rsid w:val="00BF400B"/>
    <w:rsid w:val="00BF4059"/>
    <w:rsid w:val="00BF40AB"/>
    <w:rsid w:val="00BF4381"/>
    <w:rsid w:val="00BF461E"/>
    <w:rsid w:val="00BF4640"/>
    <w:rsid w:val="00BF46A1"/>
    <w:rsid w:val="00BF4708"/>
    <w:rsid w:val="00BF47C4"/>
    <w:rsid w:val="00BF47ED"/>
    <w:rsid w:val="00BF4816"/>
    <w:rsid w:val="00BF481F"/>
    <w:rsid w:val="00BF489E"/>
    <w:rsid w:val="00BF4BA3"/>
    <w:rsid w:val="00BF4C2D"/>
    <w:rsid w:val="00BF4C6F"/>
    <w:rsid w:val="00BF4C7D"/>
    <w:rsid w:val="00BF4CE8"/>
    <w:rsid w:val="00BF4D55"/>
    <w:rsid w:val="00BF4D5B"/>
    <w:rsid w:val="00BF4D61"/>
    <w:rsid w:val="00BF4F03"/>
    <w:rsid w:val="00BF50AE"/>
    <w:rsid w:val="00BF512B"/>
    <w:rsid w:val="00BF5300"/>
    <w:rsid w:val="00BF535C"/>
    <w:rsid w:val="00BF5561"/>
    <w:rsid w:val="00BF5602"/>
    <w:rsid w:val="00BF57A1"/>
    <w:rsid w:val="00BF57E2"/>
    <w:rsid w:val="00BF5805"/>
    <w:rsid w:val="00BF592F"/>
    <w:rsid w:val="00BF5A1F"/>
    <w:rsid w:val="00BF5AAB"/>
    <w:rsid w:val="00BF5B3C"/>
    <w:rsid w:val="00BF5B58"/>
    <w:rsid w:val="00BF5B8A"/>
    <w:rsid w:val="00BF5BB0"/>
    <w:rsid w:val="00BF5C19"/>
    <w:rsid w:val="00BF5CCA"/>
    <w:rsid w:val="00BF5DD7"/>
    <w:rsid w:val="00BF5EB6"/>
    <w:rsid w:val="00BF5F56"/>
    <w:rsid w:val="00BF6008"/>
    <w:rsid w:val="00BF61B8"/>
    <w:rsid w:val="00BF6725"/>
    <w:rsid w:val="00BF6743"/>
    <w:rsid w:val="00BF682C"/>
    <w:rsid w:val="00BF6857"/>
    <w:rsid w:val="00BF68AB"/>
    <w:rsid w:val="00BF698A"/>
    <w:rsid w:val="00BF69ED"/>
    <w:rsid w:val="00BF6A59"/>
    <w:rsid w:val="00BF6AD3"/>
    <w:rsid w:val="00BF6AEC"/>
    <w:rsid w:val="00BF6BA2"/>
    <w:rsid w:val="00BF6BE7"/>
    <w:rsid w:val="00BF6D55"/>
    <w:rsid w:val="00BF6E00"/>
    <w:rsid w:val="00BF6E06"/>
    <w:rsid w:val="00BF6EED"/>
    <w:rsid w:val="00BF6F1B"/>
    <w:rsid w:val="00BF6FCF"/>
    <w:rsid w:val="00BF70E1"/>
    <w:rsid w:val="00BF7129"/>
    <w:rsid w:val="00BF7246"/>
    <w:rsid w:val="00BF72A6"/>
    <w:rsid w:val="00BF7455"/>
    <w:rsid w:val="00BF74D5"/>
    <w:rsid w:val="00BF761E"/>
    <w:rsid w:val="00BF76A4"/>
    <w:rsid w:val="00BF77F2"/>
    <w:rsid w:val="00BF78B2"/>
    <w:rsid w:val="00BF7970"/>
    <w:rsid w:val="00BF79AE"/>
    <w:rsid w:val="00BF7A9C"/>
    <w:rsid w:val="00BF7AF7"/>
    <w:rsid w:val="00BF7BF9"/>
    <w:rsid w:val="00BF7D3F"/>
    <w:rsid w:val="00BF7E5D"/>
    <w:rsid w:val="00BF7EE8"/>
    <w:rsid w:val="00C00451"/>
    <w:rsid w:val="00C00475"/>
    <w:rsid w:val="00C0048D"/>
    <w:rsid w:val="00C0049F"/>
    <w:rsid w:val="00C00C5F"/>
    <w:rsid w:val="00C00D1E"/>
    <w:rsid w:val="00C00D6A"/>
    <w:rsid w:val="00C00D9D"/>
    <w:rsid w:val="00C00E66"/>
    <w:rsid w:val="00C01195"/>
    <w:rsid w:val="00C0130D"/>
    <w:rsid w:val="00C01370"/>
    <w:rsid w:val="00C014CB"/>
    <w:rsid w:val="00C015CA"/>
    <w:rsid w:val="00C0160D"/>
    <w:rsid w:val="00C01744"/>
    <w:rsid w:val="00C01836"/>
    <w:rsid w:val="00C01A7A"/>
    <w:rsid w:val="00C01ADA"/>
    <w:rsid w:val="00C01CE2"/>
    <w:rsid w:val="00C01E68"/>
    <w:rsid w:val="00C01FBE"/>
    <w:rsid w:val="00C01FEB"/>
    <w:rsid w:val="00C0213D"/>
    <w:rsid w:val="00C02402"/>
    <w:rsid w:val="00C02439"/>
    <w:rsid w:val="00C0244A"/>
    <w:rsid w:val="00C024F1"/>
    <w:rsid w:val="00C025B7"/>
    <w:rsid w:val="00C0291E"/>
    <w:rsid w:val="00C02B40"/>
    <w:rsid w:val="00C02BF8"/>
    <w:rsid w:val="00C02CA8"/>
    <w:rsid w:val="00C02DB0"/>
    <w:rsid w:val="00C02F9F"/>
    <w:rsid w:val="00C03069"/>
    <w:rsid w:val="00C03163"/>
    <w:rsid w:val="00C031AB"/>
    <w:rsid w:val="00C032F3"/>
    <w:rsid w:val="00C03343"/>
    <w:rsid w:val="00C03344"/>
    <w:rsid w:val="00C0347B"/>
    <w:rsid w:val="00C03480"/>
    <w:rsid w:val="00C0359F"/>
    <w:rsid w:val="00C035AD"/>
    <w:rsid w:val="00C03839"/>
    <w:rsid w:val="00C038E7"/>
    <w:rsid w:val="00C03955"/>
    <w:rsid w:val="00C03BA3"/>
    <w:rsid w:val="00C03BB6"/>
    <w:rsid w:val="00C03BD4"/>
    <w:rsid w:val="00C03BE3"/>
    <w:rsid w:val="00C03BFF"/>
    <w:rsid w:val="00C03C58"/>
    <w:rsid w:val="00C03D13"/>
    <w:rsid w:val="00C03DC2"/>
    <w:rsid w:val="00C03EED"/>
    <w:rsid w:val="00C0403E"/>
    <w:rsid w:val="00C04184"/>
    <w:rsid w:val="00C041C2"/>
    <w:rsid w:val="00C04289"/>
    <w:rsid w:val="00C04329"/>
    <w:rsid w:val="00C0433E"/>
    <w:rsid w:val="00C04345"/>
    <w:rsid w:val="00C04378"/>
    <w:rsid w:val="00C04428"/>
    <w:rsid w:val="00C044F0"/>
    <w:rsid w:val="00C04572"/>
    <w:rsid w:val="00C04603"/>
    <w:rsid w:val="00C04695"/>
    <w:rsid w:val="00C0470D"/>
    <w:rsid w:val="00C04713"/>
    <w:rsid w:val="00C0475B"/>
    <w:rsid w:val="00C0484F"/>
    <w:rsid w:val="00C0486D"/>
    <w:rsid w:val="00C04884"/>
    <w:rsid w:val="00C04AD3"/>
    <w:rsid w:val="00C04B87"/>
    <w:rsid w:val="00C04D43"/>
    <w:rsid w:val="00C04FF0"/>
    <w:rsid w:val="00C050C5"/>
    <w:rsid w:val="00C050F8"/>
    <w:rsid w:val="00C05254"/>
    <w:rsid w:val="00C05321"/>
    <w:rsid w:val="00C05329"/>
    <w:rsid w:val="00C053E0"/>
    <w:rsid w:val="00C05432"/>
    <w:rsid w:val="00C0564D"/>
    <w:rsid w:val="00C05799"/>
    <w:rsid w:val="00C059F1"/>
    <w:rsid w:val="00C05C33"/>
    <w:rsid w:val="00C05E9A"/>
    <w:rsid w:val="00C05FCB"/>
    <w:rsid w:val="00C0619F"/>
    <w:rsid w:val="00C061EB"/>
    <w:rsid w:val="00C06314"/>
    <w:rsid w:val="00C0642F"/>
    <w:rsid w:val="00C06721"/>
    <w:rsid w:val="00C06A16"/>
    <w:rsid w:val="00C06A97"/>
    <w:rsid w:val="00C06ACF"/>
    <w:rsid w:val="00C06C85"/>
    <w:rsid w:val="00C06E39"/>
    <w:rsid w:val="00C06E3D"/>
    <w:rsid w:val="00C06E63"/>
    <w:rsid w:val="00C06EBA"/>
    <w:rsid w:val="00C06FC7"/>
    <w:rsid w:val="00C070BC"/>
    <w:rsid w:val="00C070E0"/>
    <w:rsid w:val="00C071BB"/>
    <w:rsid w:val="00C071E6"/>
    <w:rsid w:val="00C07279"/>
    <w:rsid w:val="00C07607"/>
    <w:rsid w:val="00C0773B"/>
    <w:rsid w:val="00C07775"/>
    <w:rsid w:val="00C07867"/>
    <w:rsid w:val="00C0799C"/>
    <w:rsid w:val="00C07A0B"/>
    <w:rsid w:val="00C07A2D"/>
    <w:rsid w:val="00C07AA6"/>
    <w:rsid w:val="00C07C3D"/>
    <w:rsid w:val="00C07C5F"/>
    <w:rsid w:val="00C07D2F"/>
    <w:rsid w:val="00C07F2E"/>
    <w:rsid w:val="00C10028"/>
    <w:rsid w:val="00C10040"/>
    <w:rsid w:val="00C100AC"/>
    <w:rsid w:val="00C10126"/>
    <w:rsid w:val="00C10181"/>
    <w:rsid w:val="00C10291"/>
    <w:rsid w:val="00C107AA"/>
    <w:rsid w:val="00C1089E"/>
    <w:rsid w:val="00C108B0"/>
    <w:rsid w:val="00C10994"/>
    <w:rsid w:val="00C109D8"/>
    <w:rsid w:val="00C10CB2"/>
    <w:rsid w:val="00C10D80"/>
    <w:rsid w:val="00C10E48"/>
    <w:rsid w:val="00C110E0"/>
    <w:rsid w:val="00C110EC"/>
    <w:rsid w:val="00C111F6"/>
    <w:rsid w:val="00C11259"/>
    <w:rsid w:val="00C11260"/>
    <w:rsid w:val="00C114AF"/>
    <w:rsid w:val="00C11B49"/>
    <w:rsid w:val="00C11CA6"/>
    <w:rsid w:val="00C11D8E"/>
    <w:rsid w:val="00C11E71"/>
    <w:rsid w:val="00C1214B"/>
    <w:rsid w:val="00C12152"/>
    <w:rsid w:val="00C121AE"/>
    <w:rsid w:val="00C12369"/>
    <w:rsid w:val="00C12425"/>
    <w:rsid w:val="00C124DB"/>
    <w:rsid w:val="00C1265B"/>
    <w:rsid w:val="00C12712"/>
    <w:rsid w:val="00C127BC"/>
    <w:rsid w:val="00C127DE"/>
    <w:rsid w:val="00C1284E"/>
    <w:rsid w:val="00C12863"/>
    <w:rsid w:val="00C1299A"/>
    <w:rsid w:val="00C12ABF"/>
    <w:rsid w:val="00C12B30"/>
    <w:rsid w:val="00C12CA1"/>
    <w:rsid w:val="00C12D5C"/>
    <w:rsid w:val="00C12E23"/>
    <w:rsid w:val="00C12E5E"/>
    <w:rsid w:val="00C12E69"/>
    <w:rsid w:val="00C12FA1"/>
    <w:rsid w:val="00C130E8"/>
    <w:rsid w:val="00C130EF"/>
    <w:rsid w:val="00C13169"/>
    <w:rsid w:val="00C1316E"/>
    <w:rsid w:val="00C13174"/>
    <w:rsid w:val="00C133FD"/>
    <w:rsid w:val="00C134F8"/>
    <w:rsid w:val="00C13568"/>
    <w:rsid w:val="00C13632"/>
    <w:rsid w:val="00C1365C"/>
    <w:rsid w:val="00C13691"/>
    <w:rsid w:val="00C136FE"/>
    <w:rsid w:val="00C1387B"/>
    <w:rsid w:val="00C13912"/>
    <w:rsid w:val="00C1391D"/>
    <w:rsid w:val="00C13953"/>
    <w:rsid w:val="00C13BA8"/>
    <w:rsid w:val="00C13C6C"/>
    <w:rsid w:val="00C13C9B"/>
    <w:rsid w:val="00C13E21"/>
    <w:rsid w:val="00C13F19"/>
    <w:rsid w:val="00C13F9C"/>
    <w:rsid w:val="00C1407B"/>
    <w:rsid w:val="00C14195"/>
    <w:rsid w:val="00C1420B"/>
    <w:rsid w:val="00C14249"/>
    <w:rsid w:val="00C14255"/>
    <w:rsid w:val="00C142A6"/>
    <w:rsid w:val="00C142A7"/>
    <w:rsid w:val="00C14369"/>
    <w:rsid w:val="00C144D4"/>
    <w:rsid w:val="00C14572"/>
    <w:rsid w:val="00C1470E"/>
    <w:rsid w:val="00C14A56"/>
    <w:rsid w:val="00C14BE7"/>
    <w:rsid w:val="00C14D2A"/>
    <w:rsid w:val="00C14D4B"/>
    <w:rsid w:val="00C14F70"/>
    <w:rsid w:val="00C151F0"/>
    <w:rsid w:val="00C152B5"/>
    <w:rsid w:val="00C15393"/>
    <w:rsid w:val="00C15522"/>
    <w:rsid w:val="00C15566"/>
    <w:rsid w:val="00C15855"/>
    <w:rsid w:val="00C15987"/>
    <w:rsid w:val="00C15A64"/>
    <w:rsid w:val="00C15B38"/>
    <w:rsid w:val="00C15B7A"/>
    <w:rsid w:val="00C15C0A"/>
    <w:rsid w:val="00C15C87"/>
    <w:rsid w:val="00C15DCE"/>
    <w:rsid w:val="00C15E1C"/>
    <w:rsid w:val="00C15EB3"/>
    <w:rsid w:val="00C15EFC"/>
    <w:rsid w:val="00C15FED"/>
    <w:rsid w:val="00C15FF7"/>
    <w:rsid w:val="00C15FF8"/>
    <w:rsid w:val="00C16204"/>
    <w:rsid w:val="00C162D9"/>
    <w:rsid w:val="00C1635D"/>
    <w:rsid w:val="00C163AA"/>
    <w:rsid w:val="00C16440"/>
    <w:rsid w:val="00C16464"/>
    <w:rsid w:val="00C16594"/>
    <w:rsid w:val="00C1674B"/>
    <w:rsid w:val="00C16755"/>
    <w:rsid w:val="00C167A5"/>
    <w:rsid w:val="00C167A6"/>
    <w:rsid w:val="00C16944"/>
    <w:rsid w:val="00C16945"/>
    <w:rsid w:val="00C16A40"/>
    <w:rsid w:val="00C16BFB"/>
    <w:rsid w:val="00C16FD8"/>
    <w:rsid w:val="00C1700C"/>
    <w:rsid w:val="00C1703C"/>
    <w:rsid w:val="00C17076"/>
    <w:rsid w:val="00C1710A"/>
    <w:rsid w:val="00C17197"/>
    <w:rsid w:val="00C1725F"/>
    <w:rsid w:val="00C172CF"/>
    <w:rsid w:val="00C172DA"/>
    <w:rsid w:val="00C1741D"/>
    <w:rsid w:val="00C174F9"/>
    <w:rsid w:val="00C175E2"/>
    <w:rsid w:val="00C1765E"/>
    <w:rsid w:val="00C1779A"/>
    <w:rsid w:val="00C179BB"/>
    <w:rsid w:val="00C179BE"/>
    <w:rsid w:val="00C17B7B"/>
    <w:rsid w:val="00C17CAA"/>
    <w:rsid w:val="00C17CFC"/>
    <w:rsid w:val="00C17F6C"/>
    <w:rsid w:val="00C17FF4"/>
    <w:rsid w:val="00C200C2"/>
    <w:rsid w:val="00C2021E"/>
    <w:rsid w:val="00C202A9"/>
    <w:rsid w:val="00C20555"/>
    <w:rsid w:val="00C2061F"/>
    <w:rsid w:val="00C20665"/>
    <w:rsid w:val="00C20784"/>
    <w:rsid w:val="00C207BD"/>
    <w:rsid w:val="00C207E3"/>
    <w:rsid w:val="00C20811"/>
    <w:rsid w:val="00C2084A"/>
    <w:rsid w:val="00C20855"/>
    <w:rsid w:val="00C2088F"/>
    <w:rsid w:val="00C20959"/>
    <w:rsid w:val="00C20A07"/>
    <w:rsid w:val="00C20AAD"/>
    <w:rsid w:val="00C20AAE"/>
    <w:rsid w:val="00C20C96"/>
    <w:rsid w:val="00C20EF3"/>
    <w:rsid w:val="00C20F27"/>
    <w:rsid w:val="00C20F8C"/>
    <w:rsid w:val="00C212F8"/>
    <w:rsid w:val="00C213B1"/>
    <w:rsid w:val="00C213F0"/>
    <w:rsid w:val="00C21484"/>
    <w:rsid w:val="00C214EB"/>
    <w:rsid w:val="00C21564"/>
    <w:rsid w:val="00C21595"/>
    <w:rsid w:val="00C21607"/>
    <w:rsid w:val="00C21636"/>
    <w:rsid w:val="00C21680"/>
    <w:rsid w:val="00C21708"/>
    <w:rsid w:val="00C21720"/>
    <w:rsid w:val="00C2190B"/>
    <w:rsid w:val="00C2194C"/>
    <w:rsid w:val="00C21B8E"/>
    <w:rsid w:val="00C21B99"/>
    <w:rsid w:val="00C21C3E"/>
    <w:rsid w:val="00C21C50"/>
    <w:rsid w:val="00C21CC8"/>
    <w:rsid w:val="00C21E73"/>
    <w:rsid w:val="00C21FA3"/>
    <w:rsid w:val="00C22096"/>
    <w:rsid w:val="00C2225D"/>
    <w:rsid w:val="00C222B3"/>
    <w:rsid w:val="00C223A1"/>
    <w:rsid w:val="00C2241E"/>
    <w:rsid w:val="00C2246C"/>
    <w:rsid w:val="00C2266D"/>
    <w:rsid w:val="00C226D6"/>
    <w:rsid w:val="00C22734"/>
    <w:rsid w:val="00C22793"/>
    <w:rsid w:val="00C227E4"/>
    <w:rsid w:val="00C228AB"/>
    <w:rsid w:val="00C22BAA"/>
    <w:rsid w:val="00C22BF0"/>
    <w:rsid w:val="00C22C8E"/>
    <w:rsid w:val="00C22D54"/>
    <w:rsid w:val="00C22DD3"/>
    <w:rsid w:val="00C22EF2"/>
    <w:rsid w:val="00C22EF6"/>
    <w:rsid w:val="00C22F66"/>
    <w:rsid w:val="00C22F76"/>
    <w:rsid w:val="00C22F94"/>
    <w:rsid w:val="00C23054"/>
    <w:rsid w:val="00C2306A"/>
    <w:rsid w:val="00C23199"/>
    <w:rsid w:val="00C231FB"/>
    <w:rsid w:val="00C23627"/>
    <w:rsid w:val="00C23708"/>
    <w:rsid w:val="00C23715"/>
    <w:rsid w:val="00C238C4"/>
    <w:rsid w:val="00C239E0"/>
    <w:rsid w:val="00C23B9E"/>
    <w:rsid w:val="00C23CE6"/>
    <w:rsid w:val="00C23CED"/>
    <w:rsid w:val="00C23E40"/>
    <w:rsid w:val="00C23EE2"/>
    <w:rsid w:val="00C23EE7"/>
    <w:rsid w:val="00C23FFA"/>
    <w:rsid w:val="00C24541"/>
    <w:rsid w:val="00C245FB"/>
    <w:rsid w:val="00C2466A"/>
    <w:rsid w:val="00C24682"/>
    <w:rsid w:val="00C246DD"/>
    <w:rsid w:val="00C247AA"/>
    <w:rsid w:val="00C247CC"/>
    <w:rsid w:val="00C248C5"/>
    <w:rsid w:val="00C2493C"/>
    <w:rsid w:val="00C24958"/>
    <w:rsid w:val="00C249BF"/>
    <w:rsid w:val="00C24AB7"/>
    <w:rsid w:val="00C24AF8"/>
    <w:rsid w:val="00C24B97"/>
    <w:rsid w:val="00C24C9C"/>
    <w:rsid w:val="00C24CF7"/>
    <w:rsid w:val="00C24E1C"/>
    <w:rsid w:val="00C24E4C"/>
    <w:rsid w:val="00C24E83"/>
    <w:rsid w:val="00C24E91"/>
    <w:rsid w:val="00C250D7"/>
    <w:rsid w:val="00C2522B"/>
    <w:rsid w:val="00C25299"/>
    <w:rsid w:val="00C25520"/>
    <w:rsid w:val="00C255B3"/>
    <w:rsid w:val="00C256A5"/>
    <w:rsid w:val="00C2571A"/>
    <w:rsid w:val="00C25814"/>
    <w:rsid w:val="00C258F3"/>
    <w:rsid w:val="00C2595A"/>
    <w:rsid w:val="00C259A0"/>
    <w:rsid w:val="00C25AD9"/>
    <w:rsid w:val="00C25B39"/>
    <w:rsid w:val="00C25BCF"/>
    <w:rsid w:val="00C25C2A"/>
    <w:rsid w:val="00C25C41"/>
    <w:rsid w:val="00C25CA8"/>
    <w:rsid w:val="00C25D46"/>
    <w:rsid w:val="00C25E12"/>
    <w:rsid w:val="00C25F15"/>
    <w:rsid w:val="00C26084"/>
    <w:rsid w:val="00C260C9"/>
    <w:rsid w:val="00C260EE"/>
    <w:rsid w:val="00C2617D"/>
    <w:rsid w:val="00C26295"/>
    <w:rsid w:val="00C263C8"/>
    <w:rsid w:val="00C2646A"/>
    <w:rsid w:val="00C2659E"/>
    <w:rsid w:val="00C2661D"/>
    <w:rsid w:val="00C2667E"/>
    <w:rsid w:val="00C267AC"/>
    <w:rsid w:val="00C2690D"/>
    <w:rsid w:val="00C2691D"/>
    <w:rsid w:val="00C26A71"/>
    <w:rsid w:val="00C26AF1"/>
    <w:rsid w:val="00C26BAE"/>
    <w:rsid w:val="00C26C75"/>
    <w:rsid w:val="00C26D0F"/>
    <w:rsid w:val="00C26D91"/>
    <w:rsid w:val="00C26D99"/>
    <w:rsid w:val="00C26DD3"/>
    <w:rsid w:val="00C26DF2"/>
    <w:rsid w:val="00C26EA3"/>
    <w:rsid w:val="00C26FA9"/>
    <w:rsid w:val="00C2710D"/>
    <w:rsid w:val="00C271A7"/>
    <w:rsid w:val="00C271A9"/>
    <w:rsid w:val="00C27319"/>
    <w:rsid w:val="00C273AF"/>
    <w:rsid w:val="00C277FA"/>
    <w:rsid w:val="00C27838"/>
    <w:rsid w:val="00C278A2"/>
    <w:rsid w:val="00C278D0"/>
    <w:rsid w:val="00C278F4"/>
    <w:rsid w:val="00C27939"/>
    <w:rsid w:val="00C27953"/>
    <w:rsid w:val="00C27F7A"/>
    <w:rsid w:val="00C302EE"/>
    <w:rsid w:val="00C30348"/>
    <w:rsid w:val="00C303A8"/>
    <w:rsid w:val="00C305DE"/>
    <w:rsid w:val="00C306C4"/>
    <w:rsid w:val="00C309F2"/>
    <w:rsid w:val="00C30ACC"/>
    <w:rsid w:val="00C30BF8"/>
    <w:rsid w:val="00C30E6F"/>
    <w:rsid w:val="00C30F41"/>
    <w:rsid w:val="00C31013"/>
    <w:rsid w:val="00C3103C"/>
    <w:rsid w:val="00C310F4"/>
    <w:rsid w:val="00C31190"/>
    <w:rsid w:val="00C3128B"/>
    <w:rsid w:val="00C31294"/>
    <w:rsid w:val="00C313FA"/>
    <w:rsid w:val="00C31406"/>
    <w:rsid w:val="00C31434"/>
    <w:rsid w:val="00C3147B"/>
    <w:rsid w:val="00C3152F"/>
    <w:rsid w:val="00C315D2"/>
    <w:rsid w:val="00C317D7"/>
    <w:rsid w:val="00C317EB"/>
    <w:rsid w:val="00C3189F"/>
    <w:rsid w:val="00C318A6"/>
    <w:rsid w:val="00C31A08"/>
    <w:rsid w:val="00C31A24"/>
    <w:rsid w:val="00C31AB1"/>
    <w:rsid w:val="00C31B21"/>
    <w:rsid w:val="00C31D7E"/>
    <w:rsid w:val="00C31EAA"/>
    <w:rsid w:val="00C31F60"/>
    <w:rsid w:val="00C3219E"/>
    <w:rsid w:val="00C321C7"/>
    <w:rsid w:val="00C32223"/>
    <w:rsid w:val="00C322CB"/>
    <w:rsid w:val="00C32407"/>
    <w:rsid w:val="00C325C5"/>
    <w:rsid w:val="00C32A56"/>
    <w:rsid w:val="00C32B6D"/>
    <w:rsid w:val="00C32B7B"/>
    <w:rsid w:val="00C32F18"/>
    <w:rsid w:val="00C32F97"/>
    <w:rsid w:val="00C33162"/>
    <w:rsid w:val="00C331E6"/>
    <w:rsid w:val="00C33273"/>
    <w:rsid w:val="00C333C0"/>
    <w:rsid w:val="00C33655"/>
    <w:rsid w:val="00C336A1"/>
    <w:rsid w:val="00C33740"/>
    <w:rsid w:val="00C33866"/>
    <w:rsid w:val="00C338FB"/>
    <w:rsid w:val="00C33900"/>
    <w:rsid w:val="00C33AC2"/>
    <w:rsid w:val="00C33C40"/>
    <w:rsid w:val="00C33D0B"/>
    <w:rsid w:val="00C33D80"/>
    <w:rsid w:val="00C33EF5"/>
    <w:rsid w:val="00C33F73"/>
    <w:rsid w:val="00C33F86"/>
    <w:rsid w:val="00C33FE7"/>
    <w:rsid w:val="00C34027"/>
    <w:rsid w:val="00C3403B"/>
    <w:rsid w:val="00C340DD"/>
    <w:rsid w:val="00C34143"/>
    <w:rsid w:val="00C34374"/>
    <w:rsid w:val="00C34612"/>
    <w:rsid w:val="00C34630"/>
    <w:rsid w:val="00C3486B"/>
    <w:rsid w:val="00C348C2"/>
    <w:rsid w:val="00C3497C"/>
    <w:rsid w:val="00C349A8"/>
    <w:rsid w:val="00C34C6B"/>
    <w:rsid w:val="00C34CDD"/>
    <w:rsid w:val="00C34D6E"/>
    <w:rsid w:val="00C34D96"/>
    <w:rsid w:val="00C35015"/>
    <w:rsid w:val="00C35066"/>
    <w:rsid w:val="00C350CC"/>
    <w:rsid w:val="00C351B4"/>
    <w:rsid w:val="00C3531B"/>
    <w:rsid w:val="00C353DA"/>
    <w:rsid w:val="00C353EF"/>
    <w:rsid w:val="00C35696"/>
    <w:rsid w:val="00C3579C"/>
    <w:rsid w:val="00C357C5"/>
    <w:rsid w:val="00C35A00"/>
    <w:rsid w:val="00C35B8E"/>
    <w:rsid w:val="00C35BD6"/>
    <w:rsid w:val="00C35CB8"/>
    <w:rsid w:val="00C35CE8"/>
    <w:rsid w:val="00C35D09"/>
    <w:rsid w:val="00C35D5E"/>
    <w:rsid w:val="00C35DE7"/>
    <w:rsid w:val="00C35DFC"/>
    <w:rsid w:val="00C35E23"/>
    <w:rsid w:val="00C35E76"/>
    <w:rsid w:val="00C35F89"/>
    <w:rsid w:val="00C3608D"/>
    <w:rsid w:val="00C360A3"/>
    <w:rsid w:val="00C36209"/>
    <w:rsid w:val="00C36288"/>
    <w:rsid w:val="00C3630B"/>
    <w:rsid w:val="00C363C3"/>
    <w:rsid w:val="00C366F6"/>
    <w:rsid w:val="00C367B6"/>
    <w:rsid w:val="00C367F5"/>
    <w:rsid w:val="00C368A3"/>
    <w:rsid w:val="00C36925"/>
    <w:rsid w:val="00C369DC"/>
    <w:rsid w:val="00C36C77"/>
    <w:rsid w:val="00C36D3C"/>
    <w:rsid w:val="00C36EAF"/>
    <w:rsid w:val="00C36F6D"/>
    <w:rsid w:val="00C371BF"/>
    <w:rsid w:val="00C37466"/>
    <w:rsid w:val="00C37516"/>
    <w:rsid w:val="00C375D3"/>
    <w:rsid w:val="00C3778A"/>
    <w:rsid w:val="00C3787D"/>
    <w:rsid w:val="00C378C4"/>
    <w:rsid w:val="00C37BA0"/>
    <w:rsid w:val="00C37C13"/>
    <w:rsid w:val="00C37C2E"/>
    <w:rsid w:val="00C37CD2"/>
    <w:rsid w:val="00C402EA"/>
    <w:rsid w:val="00C40372"/>
    <w:rsid w:val="00C403B7"/>
    <w:rsid w:val="00C403BB"/>
    <w:rsid w:val="00C403CA"/>
    <w:rsid w:val="00C40527"/>
    <w:rsid w:val="00C4056F"/>
    <w:rsid w:val="00C4074D"/>
    <w:rsid w:val="00C4077A"/>
    <w:rsid w:val="00C407A9"/>
    <w:rsid w:val="00C407E1"/>
    <w:rsid w:val="00C408AA"/>
    <w:rsid w:val="00C409FA"/>
    <w:rsid w:val="00C40A5C"/>
    <w:rsid w:val="00C40AD2"/>
    <w:rsid w:val="00C40AF9"/>
    <w:rsid w:val="00C40B23"/>
    <w:rsid w:val="00C40C49"/>
    <w:rsid w:val="00C40D97"/>
    <w:rsid w:val="00C40E46"/>
    <w:rsid w:val="00C40F46"/>
    <w:rsid w:val="00C415DC"/>
    <w:rsid w:val="00C41649"/>
    <w:rsid w:val="00C4166C"/>
    <w:rsid w:val="00C41690"/>
    <w:rsid w:val="00C416F1"/>
    <w:rsid w:val="00C417AB"/>
    <w:rsid w:val="00C417BF"/>
    <w:rsid w:val="00C417CE"/>
    <w:rsid w:val="00C4193E"/>
    <w:rsid w:val="00C41B1B"/>
    <w:rsid w:val="00C41C15"/>
    <w:rsid w:val="00C41CCC"/>
    <w:rsid w:val="00C41E2F"/>
    <w:rsid w:val="00C41E87"/>
    <w:rsid w:val="00C42061"/>
    <w:rsid w:val="00C4209B"/>
    <w:rsid w:val="00C42209"/>
    <w:rsid w:val="00C42270"/>
    <w:rsid w:val="00C4229C"/>
    <w:rsid w:val="00C422F2"/>
    <w:rsid w:val="00C425F2"/>
    <w:rsid w:val="00C426F3"/>
    <w:rsid w:val="00C4271A"/>
    <w:rsid w:val="00C42854"/>
    <w:rsid w:val="00C4288D"/>
    <w:rsid w:val="00C42BD5"/>
    <w:rsid w:val="00C42CC4"/>
    <w:rsid w:val="00C42D29"/>
    <w:rsid w:val="00C42D5F"/>
    <w:rsid w:val="00C42D75"/>
    <w:rsid w:val="00C42F74"/>
    <w:rsid w:val="00C43200"/>
    <w:rsid w:val="00C4330B"/>
    <w:rsid w:val="00C43405"/>
    <w:rsid w:val="00C43422"/>
    <w:rsid w:val="00C43540"/>
    <w:rsid w:val="00C43802"/>
    <w:rsid w:val="00C44092"/>
    <w:rsid w:val="00C44426"/>
    <w:rsid w:val="00C44574"/>
    <w:rsid w:val="00C445C4"/>
    <w:rsid w:val="00C4461C"/>
    <w:rsid w:val="00C446C8"/>
    <w:rsid w:val="00C447E0"/>
    <w:rsid w:val="00C4491D"/>
    <w:rsid w:val="00C44994"/>
    <w:rsid w:val="00C44B84"/>
    <w:rsid w:val="00C44BE3"/>
    <w:rsid w:val="00C44C24"/>
    <w:rsid w:val="00C44D53"/>
    <w:rsid w:val="00C44DB3"/>
    <w:rsid w:val="00C44E27"/>
    <w:rsid w:val="00C44E70"/>
    <w:rsid w:val="00C44F46"/>
    <w:rsid w:val="00C44F90"/>
    <w:rsid w:val="00C450A3"/>
    <w:rsid w:val="00C45173"/>
    <w:rsid w:val="00C45293"/>
    <w:rsid w:val="00C45366"/>
    <w:rsid w:val="00C45374"/>
    <w:rsid w:val="00C4566F"/>
    <w:rsid w:val="00C456D9"/>
    <w:rsid w:val="00C45870"/>
    <w:rsid w:val="00C458F7"/>
    <w:rsid w:val="00C45938"/>
    <w:rsid w:val="00C45C3B"/>
    <w:rsid w:val="00C45E48"/>
    <w:rsid w:val="00C45E59"/>
    <w:rsid w:val="00C464B9"/>
    <w:rsid w:val="00C4652F"/>
    <w:rsid w:val="00C46542"/>
    <w:rsid w:val="00C4656D"/>
    <w:rsid w:val="00C466EB"/>
    <w:rsid w:val="00C4687F"/>
    <w:rsid w:val="00C46BEA"/>
    <w:rsid w:val="00C46C5C"/>
    <w:rsid w:val="00C46D15"/>
    <w:rsid w:val="00C46D21"/>
    <w:rsid w:val="00C46D9A"/>
    <w:rsid w:val="00C46DAA"/>
    <w:rsid w:val="00C46E7E"/>
    <w:rsid w:val="00C46EB7"/>
    <w:rsid w:val="00C46F5F"/>
    <w:rsid w:val="00C46FBB"/>
    <w:rsid w:val="00C46FC2"/>
    <w:rsid w:val="00C4716F"/>
    <w:rsid w:val="00C471F0"/>
    <w:rsid w:val="00C47255"/>
    <w:rsid w:val="00C47293"/>
    <w:rsid w:val="00C473FC"/>
    <w:rsid w:val="00C47400"/>
    <w:rsid w:val="00C4742B"/>
    <w:rsid w:val="00C47487"/>
    <w:rsid w:val="00C474B3"/>
    <w:rsid w:val="00C474B6"/>
    <w:rsid w:val="00C4750F"/>
    <w:rsid w:val="00C4795E"/>
    <w:rsid w:val="00C479E1"/>
    <w:rsid w:val="00C47CF2"/>
    <w:rsid w:val="00C47DCF"/>
    <w:rsid w:val="00C47FDC"/>
    <w:rsid w:val="00C5005C"/>
    <w:rsid w:val="00C500EE"/>
    <w:rsid w:val="00C50223"/>
    <w:rsid w:val="00C50448"/>
    <w:rsid w:val="00C5051B"/>
    <w:rsid w:val="00C505D5"/>
    <w:rsid w:val="00C508E6"/>
    <w:rsid w:val="00C50BF5"/>
    <w:rsid w:val="00C50CD1"/>
    <w:rsid w:val="00C50D32"/>
    <w:rsid w:val="00C50D35"/>
    <w:rsid w:val="00C50D78"/>
    <w:rsid w:val="00C50DCD"/>
    <w:rsid w:val="00C50DEB"/>
    <w:rsid w:val="00C50E81"/>
    <w:rsid w:val="00C50F4B"/>
    <w:rsid w:val="00C51021"/>
    <w:rsid w:val="00C51169"/>
    <w:rsid w:val="00C51450"/>
    <w:rsid w:val="00C51591"/>
    <w:rsid w:val="00C51733"/>
    <w:rsid w:val="00C5175B"/>
    <w:rsid w:val="00C51B2C"/>
    <w:rsid w:val="00C51B3D"/>
    <w:rsid w:val="00C51D6C"/>
    <w:rsid w:val="00C51DEE"/>
    <w:rsid w:val="00C51E8B"/>
    <w:rsid w:val="00C520B1"/>
    <w:rsid w:val="00C520E9"/>
    <w:rsid w:val="00C521CF"/>
    <w:rsid w:val="00C52224"/>
    <w:rsid w:val="00C522D7"/>
    <w:rsid w:val="00C52345"/>
    <w:rsid w:val="00C524DA"/>
    <w:rsid w:val="00C52577"/>
    <w:rsid w:val="00C52616"/>
    <w:rsid w:val="00C52696"/>
    <w:rsid w:val="00C5291F"/>
    <w:rsid w:val="00C529C8"/>
    <w:rsid w:val="00C52B15"/>
    <w:rsid w:val="00C52B71"/>
    <w:rsid w:val="00C52CB3"/>
    <w:rsid w:val="00C52F2B"/>
    <w:rsid w:val="00C52F7B"/>
    <w:rsid w:val="00C52FE8"/>
    <w:rsid w:val="00C52FF5"/>
    <w:rsid w:val="00C53066"/>
    <w:rsid w:val="00C531F1"/>
    <w:rsid w:val="00C53224"/>
    <w:rsid w:val="00C53274"/>
    <w:rsid w:val="00C53355"/>
    <w:rsid w:val="00C5343B"/>
    <w:rsid w:val="00C53545"/>
    <w:rsid w:val="00C535B4"/>
    <w:rsid w:val="00C53696"/>
    <w:rsid w:val="00C53818"/>
    <w:rsid w:val="00C53840"/>
    <w:rsid w:val="00C5386D"/>
    <w:rsid w:val="00C5389E"/>
    <w:rsid w:val="00C538B6"/>
    <w:rsid w:val="00C53B32"/>
    <w:rsid w:val="00C53B42"/>
    <w:rsid w:val="00C53BA2"/>
    <w:rsid w:val="00C53BB3"/>
    <w:rsid w:val="00C53BF1"/>
    <w:rsid w:val="00C53C29"/>
    <w:rsid w:val="00C53DE8"/>
    <w:rsid w:val="00C53E6D"/>
    <w:rsid w:val="00C53EDB"/>
    <w:rsid w:val="00C53F7C"/>
    <w:rsid w:val="00C54075"/>
    <w:rsid w:val="00C54102"/>
    <w:rsid w:val="00C54237"/>
    <w:rsid w:val="00C54244"/>
    <w:rsid w:val="00C542F6"/>
    <w:rsid w:val="00C5450C"/>
    <w:rsid w:val="00C545DF"/>
    <w:rsid w:val="00C546D2"/>
    <w:rsid w:val="00C5479D"/>
    <w:rsid w:val="00C547A4"/>
    <w:rsid w:val="00C5491C"/>
    <w:rsid w:val="00C5493C"/>
    <w:rsid w:val="00C54A00"/>
    <w:rsid w:val="00C54B00"/>
    <w:rsid w:val="00C54B32"/>
    <w:rsid w:val="00C54BF1"/>
    <w:rsid w:val="00C54C3C"/>
    <w:rsid w:val="00C54F2D"/>
    <w:rsid w:val="00C54F65"/>
    <w:rsid w:val="00C55081"/>
    <w:rsid w:val="00C551C0"/>
    <w:rsid w:val="00C55217"/>
    <w:rsid w:val="00C5534A"/>
    <w:rsid w:val="00C55432"/>
    <w:rsid w:val="00C55452"/>
    <w:rsid w:val="00C55550"/>
    <w:rsid w:val="00C5568A"/>
    <w:rsid w:val="00C557A3"/>
    <w:rsid w:val="00C55863"/>
    <w:rsid w:val="00C55887"/>
    <w:rsid w:val="00C55A0D"/>
    <w:rsid w:val="00C55AAA"/>
    <w:rsid w:val="00C55BEC"/>
    <w:rsid w:val="00C55C1A"/>
    <w:rsid w:val="00C55EE6"/>
    <w:rsid w:val="00C5601C"/>
    <w:rsid w:val="00C56041"/>
    <w:rsid w:val="00C56051"/>
    <w:rsid w:val="00C561EF"/>
    <w:rsid w:val="00C5623B"/>
    <w:rsid w:val="00C562B4"/>
    <w:rsid w:val="00C56307"/>
    <w:rsid w:val="00C5637E"/>
    <w:rsid w:val="00C5646A"/>
    <w:rsid w:val="00C56511"/>
    <w:rsid w:val="00C56533"/>
    <w:rsid w:val="00C5660A"/>
    <w:rsid w:val="00C56626"/>
    <w:rsid w:val="00C56929"/>
    <w:rsid w:val="00C56AD9"/>
    <w:rsid w:val="00C56AE2"/>
    <w:rsid w:val="00C56B8B"/>
    <w:rsid w:val="00C56B9A"/>
    <w:rsid w:val="00C56BA4"/>
    <w:rsid w:val="00C56C1D"/>
    <w:rsid w:val="00C56D4D"/>
    <w:rsid w:val="00C56F2C"/>
    <w:rsid w:val="00C57032"/>
    <w:rsid w:val="00C574E6"/>
    <w:rsid w:val="00C5750D"/>
    <w:rsid w:val="00C5751A"/>
    <w:rsid w:val="00C577B8"/>
    <w:rsid w:val="00C57812"/>
    <w:rsid w:val="00C5782E"/>
    <w:rsid w:val="00C578B4"/>
    <w:rsid w:val="00C57A8D"/>
    <w:rsid w:val="00C57AEC"/>
    <w:rsid w:val="00C57C90"/>
    <w:rsid w:val="00C57E23"/>
    <w:rsid w:val="00C57ED2"/>
    <w:rsid w:val="00C60043"/>
    <w:rsid w:val="00C6008C"/>
    <w:rsid w:val="00C600EF"/>
    <w:rsid w:val="00C60174"/>
    <w:rsid w:val="00C6031A"/>
    <w:rsid w:val="00C60594"/>
    <w:rsid w:val="00C60597"/>
    <w:rsid w:val="00C60696"/>
    <w:rsid w:val="00C607A7"/>
    <w:rsid w:val="00C607EF"/>
    <w:rsid w:val="00C609CC"/>
    <w:rsid w:val="00C60D58"/>
    <w:rsid w:val="00C60DEB"/>
    <w:rsid w:val="00C60E3F"/>
    <w:rsid w:val="00C60F59"/>
    <w:rsid w:val="00C612A2"/>
    <w:rsid w:val="00C613C9"/>
    <w:rsid w:val="00C613EB"/>
    <w:rsid w:val="00C61408"/>
    <w:rsid w:val="00C616C9"/>
    <w:rsid w:val="00C618B3"/>
    <w:rsid w:val="00C619FF"/>
    <w:rsid w:val="00C61B9A"/>
    <w:rsid w:val="00C61BDA"/>
    <w:rsid w:val="00C61D0D"/>
    <w:rsid w:val="00C61D93"/>
    <w:rsid w:val="00C61EA4"/>
    <w:rsid w:val="00C61F08"/>
    <w:rsid w:val="00C6220B"/>
    <w:rsid w:val="00C623A7"/>
    <w:rsid w:val="00C62750"/>
    <w:rsid w:val="00C627A8"/>
    <w:rsid w:val="00C62827"/>
    <w:rsid w:val="00C62835"/>
    <w:rsid w:val="00C628C2"/>
    <w:rsid w:val="00C62959"/>
    <w:rsid w:val="00C6297D"/>
    <w:rsid w:val="00C62A75"/>
    <w:rsid w:val="00C62B62"/>
    <w:rsid w:val="00C62C33"/>
    <w:rsid w:val="00C631E3"/>
    <w:rsid w:val="00C6325D"/>
    <w:rsid w:val="00C6327B"/>
    <w:rsid w:val="00C6335A"/>
    <w:rsid w:val="00C63414"/>
    <w:rsid w:val="00C6356F"/>
    <w:rsid w:val="00C6359B"/>
    <w:rsid w:val="00C63649"/>
    <w:rsid w:val="00C6377E"/>
    <w:rsid w:val="00C63806"/>
    <w:rsid w:val="00C63855"/>
    <w:rsid w:val="00C638E8"/>
    <w:rsid w:val="00C63B14"/>
    <w:rsid w:val="00C63CC7"/>
    <w:rsid w:val="00C63D54"/>
    <w:rsid w:val="00C63D75"/>
    <w:rsid w:val="00C63E88"/>
    <w:rsid w:val="00C63F84"/>
    <w:rsid w:val="00C63F92"/>
    <w:rsid w:val="00C63FBD"/>
    <w:rsid w:val="00C6411C"/>
    <w:rsid w:val="00C64140"/>
    <w:rsid w:val="00C64192"/>
    <w:rsid w:val="00C641A9"/>
    <w:rsid w:val="00C642CF"/>
    <w:rsid w:val="00C64651"/>
    <w:rsid w:val="00C646F6"/>
    <w:rsid w:val="00C64814"/>
    <w:rsid w:val="00C648D3"/>
    <w:rsid w:val="00C64A54"/>
    <w:rsid w:val="00C64AAE"/>
    <w:rsid w:val="00C64AD6"/>
    <w:rsid w:val="00C64AEE"/>
    <w:rsid w:val="00C64B02"/>
    <w:rsid w:val="00C64D0E"/>
    <w:rsid w:val="00C64D1F"/>
    <w:rsid w:val="00C64D60"/>
    <w:rsid w:val="00C64E20"/>
    <w:rsid w:val="00C64E35"/>
    <w:rsid w:val="00C64F91"/>
    <w:rsid w:val="00C65061"/>
    <w:rsid w:val="00C65384"/>
    <w:rsid w:val="00C654D7"/>
    <w:rsid w:val="00C65524"/>
    <w:rsid w:val="00C65570"/>
    <w:rsid w:val="00C656D3"/>
    <w:rsid w:val="00C657F5"/>
    <w:rsid w:val="00C658E5"/>
    <w:rsid w:val="00C65925"/>
    <w:rsid w:val="00C65A21"/>
    <w:rsid w:val="00C65D04"/>
    <w:rsid w:val="00C65E62"/>
    <w:rsid w:val="00C65ED4"/>
    <w:rsid w:val="00C65F7A"/>
    <w:rsid w:val="00C65FAD"/>
    <w:rsid w:val="00C66054"/>
    <w:rsid w:val="00C6615D"/>
    <w:rsid w:val="00C661E5"/>
    <w:rsid w:val="00C6622F"/>
    <w:rsid w:val="00C662E7"/>
    <w:rsid w:val="00C6647B"/>
    <w:rsid w:val="00C66507"/>
    <w:rsid w:val="00C66621"/>
    <w:rsid w:val="00C666B3"/>
    <w:rsid w:val="00C66A39"/>
    <w:rsid w:val="00C66B2C"/>
    <w:rsid w:val="00C66B88"/>
    <w:rsid w:val="00C66CFD"/>
    <w:rsid w:val="00C66D3C"/>
    <w:rsid w:val="00C66D88"/>
    <w:rsid w:val="00C66E0B"/>
    <w:rsid w:val="00C66FDE"/>
    <w:rsid w:val="00C66FE7"/>
    <w:rsid w:val="00C67247"/>
    <w:rsid w:val="00C673EF"/>
    <w:rsid w:val="00C67404"/>
    <w:rsid w:val="00C6747B"/>
    <w:rsid w:val="00C67629"/>
    <w:rsid w:val="00C676E3"/>
    <w:rsid w:val="00C6778C"/>
    <w:rsid w:val="00C67811"/>
    <w:rsid w:val="00C6783F"/>
    <w:rsid w:val="00C67939"/>
    <w:rsid w:val="00C67AC0"/>
    <w:rsid w:val="00C67B80"/>
    <w:rsid w:val="00C67C22"/>
    <w:rsid w:val="00C67CEA"/>
    <w:rsid w:val="00C67DA1"/>
    <w:rsid w:val="00C67F03"/>
    <w:rsid w:val="00C67FEE"/>
    <w:rsid w:val="00C702AB"/>
    <w:rsid w:val="00C702C9"/>
    <w:rsid w:val="00C70343"/>
    <w:rsid w:val="00C703EF"/>
    <w:rsid w:val="00C7042A"/>
    <w:rsid w:val="00C7044D"/>
    <w:rsid w:val="00C705ED"/>
    <w:rsid w:val="00C70659"/>
    <w:rsid w:val="00C70725"/>
    <w:rsid w:val="00C7081B"/>
    <w:rsid w:val="00C70951"/>
    <w:rsid w:val="00C70A11"/>
    <w:rsid w:val="00C70D6D"/>
    <w:rsid w:val="00C71011"/>
    <w:rsid w:val="00C71023"/>
    <w:rsid w:val="00C7104F"/>
    <w:rsid w:val="00C711EA"/>
    <w:rsid w:val="00C711F9"/>
    <w:rsid w:val="00C714C6"/>
    <w:rsid w:val="00C7155F"/>
    <w:rsid w:val="00C71586"/>
    <w:rsid w:val="00C715F7"/>
    <w:rsid w:val="00C7160D"/>
    <w:rsid w:val="00C71625"/>
    <w:rsid w:val="00C716C9"/>
    <w:rsid w:val="00C71837"/>
    <w:rsid w:val="00C718A4"/>
    <w:rsid w:val="00C719A1"/>
    <w:rsid w:val="00C71AA2"/>
    <w:rsid w:val="00C71B6E"/>
    <w:rsid w:val="00C71C0D"/>
    <w:rsid w:val="00C71C15"/>
    <w:rsid w:val="00C71CC0"/>
    <w:rsid w:val="00C71D76"/>
    <w:rsid w:val="00C71E1F"/>
    <w:rsid w:val="00C71E63"/>
    <w:rsid w:val="00C72237"/>
    <w:rsid w:val="00C722C9"/>
    <w:rsid w:val="00C7236A"/>
    <w:rsid w:val="00C7246E"/>
    <w:rsid w:val="00C727F6"/>
    <w:rsid w:val="00C72933"/>
    <w:rsid w:val="00C72A1A"/>
    <w:rsid w:val="00C72A6F"/>
    <w:rsid w:val="00C72B50"/>
    <w:rsid w:val="00C72C98"/>
    <w:rsid w:val="00C72F20"/>
    <w:rsid w:val="00C72F81"/>
    <w:rsid w:val="00C72F9D"/>
    <w:rsid w:val="00C7309A"/>
    <w:rsid w:val="00C7311A"/>
    <w:rsid w:val="00C7317F"/>
    <w:rsid w:val="00C73198"/>
    <w:rsid w:val="00C73223"/>
    <w:rsid w:val="00C73271"/>
    <w:rsid w:val="00C73276"/>
    <w:rsid w:val="00C7349E"/>
    <w:rsid w:val="00C734EC"/>
    <w:rsid w:val="00C73734"/>
    <w:rsid w:val="00C738B0"/>
    <w:rsid w:val="00C738F7"/>
    <w:rsid w:val="00C73926"/>
    <w:rsid w:val="00C73BC4"/>
    <w:rsid w:val="00C73CE0"/>
    <w:rsid w:val="00C73D54"/>
    <w:rsid w:val="00C73D72"/>
    <w:rsid w:val="00C73E41"/>
    <w:rsid w:val="00C741FA"/>
    <w:rsid w:val="00C743AD"/>
    <w:rsid w:val="00C74402"/>
    <w:rsid w:val="00C744F7"/>
    <w:rsid w:val="00C74679"/>
    <w:rsid w:val="00C7479D"/>
    <w:rsid w:val="00C74805"/>
    <w:rsid w:val="00C74864"/>
    <w:rsid w:val="00C748E9"/>
    <w:rsid w:val="00C74987"/>
    <w:rsid w:val="00C74A5D"/>
    <w:rsid w:val="00C74AD6"/>
    <w:rsid w:val="00C74B23"/>
    <w:rsid w:val="00C74B35"/>
    <w:rsid w:val="00C74D71"/>
    <w:rsid w:val="00C7545C"/>
    <w:rsid w:val="00C754FD"/>
    <w:rsid w:val="00C757D8"/>
    <w:rsid w:val="00C7582C"/>
    <w:rsid w:val="00C75B4B"/>
    <w:rsid w:val="00C75B6E"/>
    <w:rsid w:val="00C75C7C"/>
    <w:rsid w:val="00C75CD0"/>
    <w:rsid w:val="00C75E23"/>
    <w:rsid w:val="00C75E2E"/>
    <w:rsid w:val="00C75EE9"/>
    <w:rsid w:val="00C75F10"/>
    <w:rsid w:val="00C760CA"/>
    <w:rsid w:val="00C76166"/>
    <w:rsid w:val="00C76239"/>
    <w:rsid w:val="00C76248"/>
    <w:rsid w:val="00C7626B"/>
    <w:rsid w:val="00C762C6"/>
    <w:rsid w:val="00C76345"/>
    <w:rsid w:val="00C764D8"/>
    <w:rsid w:val="00C7662E"/>
    <w:rsid w:val="00C7666B"/>
    <w:rsid w:val="00C76685"/>
    <w:rsid w:val="00C76B4F"/>
    <w:rsid w:val="00C76D1E"/>
    <w:rsid w:val="00C76D2E"/>
    <w:rsid w:val="00C76E35"/>
    <w:rsid w:val="00C76ED7"/>
    <w:rsid w:val="00C77021"/>
    <w:rsid w:val="00C7712E"/>
    <w:rsid w:val="00C771F4"/>
    <w:rsid w:val="00C7724F"/>
    <w:rsid w:val="00C77286"/>
    <w:rsid w:val="00C77385"/>
    <w:rsid w:val="00C77422"/>
    <w:rsid w:val="00C774ED"/>
    <w:rsid w:val="00C7753D"/>
    <w:rsid w:val="00C776DE"/>
    <w:rsid w:val="00C77798"/>
    <w:rsid w:val="00C77A69"/>
    <w:rsid w:val="00C77B26"/>
    <w:rsid w:val="00C77C98"/>
    <w:rsid w:val="00C77CB8"/>
    <w:rsid w:val="00C77D1E"/>
    <w:rsid w:val="00C77D28"/>
    <w:rsid w:val="00C77DF8"/>
    <w:rsid w:val="00C80013"/>
    <w:rsid w:val="00C80094"/>
    <w:rsid w:val="00C80110"/>
    <w:rsid w:val="00C80334"/>
    <w:rsid w:val="00C80338"/>
    <w:rsid w:val="00C8061C"/>
    <w:rsid w:val="00C8062C"/>
    <w:rsid w:val="00C807D6"/>
    <w:rsid w:val="00C8086F"/>
    <w:rsid w:val="00C80911"/>
    <w:rsid w:val="00C8094A"/>
    <w:rsid w:val="00C80A52"/>
    <w:rsid w:val="00C80AC9"/>
    <w:rsid w:val="00C80B38"/>
    <w:rsid w:val="00C80B74"/>
    <w:rsid w:val="00C80B76"/>
    <w:rsid w:val="00C80B96"/>
    <w:rsid w:val="00C80BB5"/>
    <w:rsid w:val="00C80C5D"/>
    <w:rsid w:val="00C80CFE"/>
    <w:rsid w:val="00C80DF3"/>
    <w:rsid w:val="00C80E78"/>
    <w:rsid w:val="00C80EA9"/>
    <w:rsid w:val="00C80EFA"/>
    <w:rsid w:val="00C80F8F"/>
    <w:rsid w:val="00C810CC"/>
    <w:rsid w:val="00C8123A"/>
    <w:rsid w:val="00C81271"/>
    <w:rsid w:val="00C812ED"/>
    <w:rsid w:val="00C8131B"/>
    <w:rsid w:val="00C8134C"/>
    <w:rsid w:val="00C81730"/>
    <w:rsid w:val="00C8182F"/>
    <w:rsid w:val="00C81A65"/>
    <w:rsid w:val="00C81AE6"/>
    <w:rsid w:val="00C81CBA"/>
    <w:rsid w:val="00C81D0C"/>
    <w:rsid w:val="00C81E8B"/>
    <w:rsid w:val="00C8212C"/>
    <w:rsid w:val="00C8228F"/>
    <w:rsid w:val="00C8229A"/>
    <w:rsid w:val="00C822A9"/>
    <w:rsid w:val="00C82305"/>
    <w:rsid w:val="00C82462"/>
    <w:rsid w:val="00C824CB"/>
    <w:rsid w:val="00C82588"/>
    <w:rsid w:val="00C825BE"/>
    <w:rsid w:val="00C825C1"/>
    <w:rsid w:val="00C825DB"/>
    <w:rsid w:val="00C8261A"/>
    <w:rsid w:val="00C827CC"/>
    <w:rsid w:val="00C82818"/>
    <w:rsid w:val="00C82C74"/>
    <w:rsid w:val="00C82D2E"/>
    <w:rsid w:val="00C82D71"/>
    <w:rsid w:val="00C82F9C"/>
    <w:rsid w:val="00C83031"/>
    <w:rsid w:val="00C83097"/>
    <w:rsid w:val="00C830A3"/>
    <w:rsid w:val="00C831B0"/>
    <w:rsid w:val="00C83214"/>
    <w:rsid w:val="00C83347"/>
    <w:rsid w:val="00C8375F"/>
    <w:rsid w:val="00C837AD"/>
    <w:rsid w:val="00C83A81"/>
    <w:rsid w:val="00C83BFD"/>
    <w:rsid w:val="00C83C7B"/>
    <w:rsid w:val="00C83D85"/>
    <w:rsid w:val="00C83F14"/>
    <w:rsid w:val="00C83F4A"/>
    <w:rsid w:val="00C83FBF"/>
    <w:rsid w:val="00C84251"/>
    <w:rsid w:val="00C8445E"/>
    <w:rsid w:val="00C8453E"/>
    <w:rsid w:val="00C8469B"/>
    <w:rsid w:val="00C84942"/>
    <w:rsid w:val="00C849DC"/>
    <w:rsid w:val="00C84BFD"/>
    <w:rsid w:val="00C84C52"/>
    <w:rsid w:val="00C84C91"/>
    <w:rsid w:val="00C85105"/>
    <w:rsid w:val="00C8526D"/>
    <w:rsid w:val="00C85307"/>
    <w:rsid w:val="00C85581"/>
    <w:rsid w:val="00C85727"/>
    <w:rsid w:val="00C857EB"/>
    <w:rsid w:val="00C85957"/>
    <w:rsid w:val="00C85A8D"/>
    <w:rsid w:val="00C85B03"/>
    <w:rsid w:val="00C85D2C"/>
    <w:rsid w:val="00C85D4E"/>
    <w:rsid w:val="00C85FB2"/>
    <w:rsid w:val="00C85FCD"/>
    <w:rsid w:val="00C8616F"/>
    <w:rsid w:val="00C86308"/>
    <w:rsid w:val="00C86378"/>
    <w:rsid w:val="00C864B5"/>
    <w:rsid w:val="00C864C9"/>
    <w:rsid w:val="00C86501"/>
    <w:rsid w:val="00C86564"/>
    <w:rsid w:val="00C86590"/>
    <w:rsid w:val="00C8679B"/>
    <w:rsid w:val="00C86856"/>
    <w:rsid w:val="00C86857"/>
    <w:rsid w:val="00C86AF7"/>
    <w:rsid w:val="00C86CB3"/>
    <w:rsid w:val="00C86CF0"/>
    <w:rsid w:val="00C86F08"/>
    <w:rsid w:val="00C86F73"/>
    <w:rsid w:val="00C86FD4"/>
    <w:rsid w:val="00C8708B"/>
    <w:rsid w:val="00C8719F"/>
    <w:rsid w:val="00C871B1"/>
    <w:rsid w:val="00C871F4"/>
    <w:rsid w:val="00C8723D"/>
    <w:rsid w:val="00C872FF"/>
    <w:rsid w:val="00C8737D"/>
    <w:rsid w:val="00C87411"/>
    <w:rsid w:val="00C87454"/>
    <w:rsid w:val="00C87694"/>
    <w:rsid w:val="00C87700"/>
    <w:rsid w:val="00C87817"/>
    <w:rsid w:val="00C8782D"/>
    <w:rsid w:val="00C878FA"/>
    <w:rsid w:val="00C879B9"/>
    <w:rsid w:val="00C87A14"/>
    <w:rsid w:val="00C87B2D"/>
    <w:rsid w:val="00C87B87"/>
    <w:rsid w:val="00C87DC2"/>
    <w:rsid w:val="00C900C5"/>
    <w:rsid w:val="00C90366"/>
    <w:rsid w:val="00C90446"/>
    <w:rsid w:val="00C90463"/>
    <w:rsid w:val="00C905BB"/>
    <w:rsid w:val="00C905FC"/>
    <w:rsid w:val="00C90602"/>
    <w:rsid w:val="00C90605"/>
    <w:rsid w:val="00C9087A"/>
    <w:rsid w:val="00C908CC"/>
    <w:rsid w:val="00C90A81"/>
    <w:rsid w:val="00C90B2B"/>
    <w:rsid w:val="00C90CE2"/>
    <w:rsid w:val="00C90E6A"/>
    <w:rsid w:val="00C90F5D"/>
    <w:rsid w:val="00C91017"/>
    <w:rsid w:val="00C91141"/>
    <w:rsid w:val="00C91159"/>
    <w:rsid w:val="00C914EF"/>
    <w:rsid w:val="00C91544"/>
    <w:rsid w:val="00C9157A"/>
    <w:rsid w:val="00C91590"/>
    <w:rsid w:val="00C915CB"/>
    <w:rsid w:val="00C915FD"/>
    <w:rsid w:val="00C91724"/>
    <w:rsid w:val="00C91768"/>
    <w:rsid w:val="00C917D5"/>
    <w:rsid w:val="00C91819"/>
    <w:rsid w:val="00C91964"/>
    <w:rsid w:val="00C919B4"/>
    <w:rsid w:val="00C91CEF"/>
    <w:rsid w:val="00C91D85"/>
    <w:rsid w:val="00C91DF5"/>
    <w:rsid w:val="00C91E4D"/>
    <w:rsid w:val="00C920C9"/>
    <w:rsid w:val="00C92105"/>
    <w:rsid w:val="00C9247B"/>
    <w:rsid w:val="00C9264B"/>
    <w:rsid w:val="00C926EF"/>
    <w:rsid w:val="00C927FA"/>
    <w:rsid w:val="00C92C53"/>
    <w:rsid w:val="00C92D7D"/>
    <w:rsid w:val="00C92E2A"/>
    <w:rsid w:val="00C92E36"/>
    <w:rsid w:val="00C930B7"/>
    <w:rsid w:val="00C93399"/>
    <w:rsid w:val="00C9373D"/>
    <w:rsid w:val="00C93759"/>
    <w:rsid w:val="00C93834"/>
    <w:rsid w:val="00C939C9"/>
    <w:rsid w:val="00C93A63"/>
    <w:rsid w:val="00C93AD6"/>
    <w:rsid w:val="00C93B31"/>
    <w:rsid w:val="00C93B44"/>
    <w:rsid w:val="00C93BB1"/>
    <w:rsid w:val="00C93D16"/>
    <w:rsid w:val="00C93DB3"/>
    <w:rsid w:val="00C93DF5"/>
    <w:rsid w:val="00C94132"/>
    <w:rsid w:val="00C941A5"/>
    <w:rsid w:val="00C941BE"/>
    <w:rsid w:val="00C943EE"/>
    <w:rsid w:val="00C94656"/>
    <w:rsid w:val="00C94681"/>
    <w:rsid w:val="00C946DE"/>
    <w:rsid w:val="00C946E1"/>
    <w:rsid w:val="00C946E6"/>
    <w:rsid w:val="00C94757"/>
    <w:rsid w:val="00C94824"/>
    <w:rsid w:val="00C94830"/>
    <w:rsid w:val="00C948BD"/>
    <w:rsid w:val="00C949BF"/>
    <w:rsid w:val="00C94A49"/>
    <w:rsid w:val="00C94A80"/>
    <w:rsid w:val="00C94AEE"/>
    <w:rsid w:val="00C94C32"/>
    <w:rsid w:val="00C94CF6"/>
    <w:rsid w:val="00C94D26"/>
    <w:rsid w:val="00C94DD8"/>
    <w:rsid w:val="00C94E00"/>
    <w:rsid w:val="00C9501E"/>
    <w:rsid w:val="00C9506A"/>
    <w:rsid w:val="00C952C0"/>
    <w:rsid w:val="00C952D4"/>
    <w:rsid w:val="00C95387"/>
    <w:rsid w:val="00C95504"/>
    <w:rsid w:val="00C9550A"/>
    <w:rsid w:val="00C95725"/>
    <w:rsid w:val="00C95810"/>
    <w:rsid w:val="00C95868"/>
    <w:rsid w:val="00C958A9"/>
    <w:rsid w:val="00C95962"/>
    <w:rsid w:val="00C959ED"/>
    <w:rsid w:val="00C95CD4"/>
    <w:rsid w:val="00C95F22"/>
    <w:rsid w:val="00C95F56"/>
    <w:rsid w:val="00C95F6D"/>
    <w:rsid w:val="00C96073"/>
    <w:rsid w:val="00C9628F"/>
    <w:rsid w:val="00C96332"/>
    <w:rsid w:val="00C965EF"/>
    <w:rsid w:val="00C967CF"/>
    <w:rsid w:val="00C9691D"/>
    <w:rsid w:val="00C96942"/>
    <w:rsid w:val="00C969F1"/>
    <w:rsid w:val="00C96B13"/>
    <w:rsid w:val="00C96B4E"/>
    <w:rsid w:val="00C96D3D"/>
    <w:rsid w:val="00C96D88"/>
    <w:rsid w:val="00C96E66"/>
    <w:rsid w:val="00C96EBF"/>
    <w:rsid w:val="00C96F9E"/>
    <w:rsid w:val="00C970CB"/>
    <w:rsid w:val="00C97192"/>
    <w:rsid w:val="00C97244"/>
    <w:rsid w:val="00C97349"/>
    <w:rsid w:val="00C97480"/>
    <w:rsid w:val="00C97614"/>
    <w:rsid w:val="00C97670"/>
    <w:rsid w:val="00C97787"/>
    <w:rsid w:val="00C97867"/>
    <w:rsid w:val="00C978B1"/>
    <w:rsid w:val="00C978ED"/>
    <w:rsid w:val="00C9795A"/>
    <w:rsid w:val="00C9799B"/>
    <w:rsid w:val="00C97A1D"/>
    <w:rsid w:val="00C97D08"/>
    <w:rsid w:val="00C97D94"/>
    <w:rsid w:val="00C97DC0"/>
    <w:rsid w:val="00C97E77"/>
    <w:rsid w:val="00CA00C4"/>
    <w:rsid w:val="00CA0113"/>
    <w:rsid w:val="00CA0119"/>
    <w:rsid w:val="00CA01BC"/>
    <w:rsid w:val="00CA032D"/>
    <w:rsid w:val="00CA04C3"/>
    <w:rsid w:val="00CA0506"/>
    <w:rsid w:val="00CA0554"/>
    <w:rsid w:val="00CA069C"/>
    <w:rsid w:val="00CA06F3"/>
    <w:rsid w:val="00CA093F"/>
    <w:rsid w:val="00CA09C9"/>
    <w:rsid w:val="00CA09DB"/>
    <w:rsid w:val="00CA0AA4"/>
    <w:rsid w:val="00CA0B67"/>
    <w:rsid w:val="00CA0C3A"/>
    <w:rsid w:val="00CA0DAD"/>
    <w:rsid w:val="00CA0DE2"/>
    <w:rsid w:val="00CA0DE7"/>
    <w:rsid w:val="00CA0F60"/>
    <w:rsid w:val="00CA0F87"/>
    <w:rsid w:val="00CA100E"/>
    <w:rsid w:val="00CA1096"/>
    <w:rsid w:val="00CA10BA"/>
    <w:rsid w:val="00CA10BF"/>
    <w:rsid w:val="00CA10CE"/>
    <w:rsid w:val="00CA1182"/>
    <w:rsid w:val="00CA1342"/>
    <w:rsid w:val="00CA13ED"/>
    <w:rsid w:val="00CA1402"/>
    <w:rsid w:val="00CA14B5"/>
    <w:rsid w:val="00CA14C9"/>
    <w:rsid w:val="00CA164C"/>
    <w:rsid w:val="00CA172A"/>
    <w:rsid w:val="00CA17EB"/>
    <w:rsid w:val="00CA18B3"/>
    <w:rsid w:val="00CA18DF"/>
    <w:rsid w:val="00CA1A61"/>
    <w:rsid w:val="00CA1BDA"/>
    <w:rsid w:val="00CA1C1D"/>
    <w:rsid w:val="00CA1C97"/>
    <w:rsid w:val="00CA1CC8"/>
    <w:rsid w:val="00CA1D7A"/>
    <w:rsid w:val="00CA1DB2"/>
    <w:rsid w:val="00CA208D"/>
    <w:rsid w:val="00CA20C2"/>
    <w:rsid w:val="00CA220A"/>
    <w:rsid w:val="00CA22C6"/>
    <w:rsid w:val="00CA2438"/>
    <w:rsid w:val="00CA24A4"/>
    <w:rsid w:val="00CA2625"/>
    <w:rsid w:val="00CA2638"/>
    <w:rsid w:val="00CA2758"/>
    <w:rsid w:val="00CA27DC"/>
    <w:rsid w:val="00CA2850"/>
    <w:rsid w:val="00CA28CA"/>
    <w:rsid w:val="00CA296C"/>
    <w:rsid w:val="00CA2BE8"/>
    <w:rsid w:val="00CA2C6B"/>
    <w:rsid w:val="00CA2DB7"/>
    <w:rsid w:val="00CA2E2C"/>
    <w:rsid w:val="00CA2EFD"/>
    <w:rsid w:val="00CA3025"/>
    <w:rsid w:val="00CA3089"/>
    <w:rsid w:val="00CA31E2"/>
    <w:rsid w:val="00CA326D"/>
    <w:rsid w:val="00CA32A4"/>
    <w:rsid w:val="00CA33C6"/>
    <w:rsid w:val="00CA352E"/>
    <w:rsid w:val="00CA3556"/>
    <w:rsid w:val="00CA3761"/>
    <w:rsid w:val="00CA37AA"/>
    <w:rsid w:val="00CA37B7"/>
    <w:rsid w:val="00CA3800"/>
    <w:rsid w:val="00CA38D7"/>
    <w:rsid w:val="00CA3A10"/>
    <w:rsid w:val="00CA3BBF"/>
    <w:rsid w:val="00CA3D19"/>
    <w:rsid w:val="00CA3FEE"/>
    <w:rsid w:val="00CA4249"/>
    <w:rsid w:val="00CA4342"/>
    <w:rsid w:val="00CA4460"/>
    <w:rsid w:val="00CA45F4"/>
    <w:rsid w:val="00CA4646"/>
    <w:rsid w:val="00CA4757"/>
    <w:rsid w:val="00CA47B8"/>
    <w:rsid w:val="00CA49A6"/>
    <w:rsid w:val="00CA49AE"/>
    <w:rsid w:val="00CA4A6D"/>
    <w:rsid w:val="00CA4BD8"/>
    <w:rsid w:val="00CA4C26"/>
    <w:rsid w:val="00CA4C46"/>
    <w:rsid w:val="00CA4E52"/>
    <w:rsid w:val="00CA4E97"/>
    <w:rsid w:val="00CA4EC7"/>
    <w:rsid w:val="00CA5023"/>
    <w:rsid w:val="00CA503A"/>
    <w:rsid w:val="00CA504E"/>
    <w:rsid w:val="00CA50EA"/>
    <w:rsid w:val="00CA510C"/>
    <w:rsid w:val="00CA53EC"/>
    <w:rsid w:val="00CA5461"/>
    <w:rsid w:val="00CA5528"/>
    <w:rsid w:val="00CA5791"/>
    <w:rsid w:val="00CA581D"/>
    <w:rsid w:val="00CA5AF4"/>
    <w:rsid w:val="00CA5B73"/>
    <w:rsid w:val="00CA5B93"/>
    <w:rsid w:val="00CA5C72"/>
    <w:rsid w:val="00CA5CA4"/>
    <w:rsid w:val="00CA5CD2"/>
    <w:rsid w:val="00CA5CD3"/>
    <w:rsid w:val="00CA5D7E"/>
    <w:rsid w:val="00CA5F22"/>
    <w:rsid w:val="00CA6080"/>
    <w:rsid w:val="00CA61E7"/>
    <w:rsid w:val="00CA6213"/>
    <w:rsid w:val="00CA6251"/>
    <w:rsid w:val="00CA63EF"/>
    <w:rsid w:val="00CA646B"/>
    <w:rsid w:val="00CA650A"/>
    <w:rsid w:val="00CA663D"/>
    <w:rsid w:val="00CA6826"/>
    <w:rsid w:val="00CA6878"/>
    <w:rsid w:val="00CA68E4"/>
    <w:rsid w:val="00CA698C"/>
    <w:rsid w:val="00CA69B9"/>
    <w:rsid w:val="00CA6A45"/>
    <w:rsid w:val="00CA6A9E"/>
    <w:rsid w:val="00CA6AAE"/>
    <w:rsid w:val="00CA6B5F"/>
    <w:rsid w:val="00CA6C12"/>
    <w:rsid w:val="00CA6D9D"/>
    <w:rsid w:val="00CA6DBC"/>
    <w:rsid w:val="00CA6DC6"/>
    <w:rsid w:val="00CA6DCF"/>
    <w:rsid w:val="00CA6EBD"/>
    <w:rsid w:val="00CA6F03"/>
    <w:rsid w:val="00CA6F15"/>
    <w:rsid w:val="00CA70E3"/>
    <w:rsid w:val="00CA7441"/>
    <w:rsid w:val="00CA7649"/>
    <w:rsid w:val="00CA7777"/>
    <w:rsid w:val="00CA783C"/>
    <w:rsid w:val="00CA7952"/>
    <w:rsid w:val="00CA7A3C"/>
    <w:rsid w:val="00CA7A7C"/>
    <w:rsid w:val="00CA7AC8"/>
    <w:rsid w:val="00CA7C95"/>
    <w:rsid w:val="00CA7D24"/>
    <w:rsid w:val="00CA7D56"/>
    <w:rsid w:val="00CB0023"/>
    <w:rsid w:val="00CB0121"/>
    <w:rsid w:val="00CB036B"/>
    <w:rsid w:val="00CB057F"/>
    <w:rsid w:val="00CB0626"/>
    <w:rsid w:val="00CB064D"/>
    <w:rsid w:val="00CB07E1"/>
    <w:rsid w:val="00CB0887"/>
    <w:rsid w:val="00CB0A07"/>
    <w:rsid w:val="00CB0B58"/>
    <w:rsid w:val="00CB0F82"/>
    <w:rsid w:val="00CB112C"/>
    <w:rsid w:val="00CB112E"/>
    <w:rsid w:val="00CB1146"/>
    <w:rsid w:val="00CB1171"/>
    <w:rsid w:val="00CB11AD"/>
    <w:rsid w:val="00CB123D"/>
    <w:rsid w:val="00CB12AA"/>
    <w:rsid w:val="00CB134D"/>
    <w:rsid w:val="00CB13B1"/>
    <w:rsid w:val="00CB144F"/>
    <w:rsid w:val="00CB1642"/>
    <w:rsid w:val="00CB1848"/>
    <w:rsid w:val="00CB188D"/>
    <w:rsid w:val="00CB1913"/>
    <w:rsid w:val="00CB1931"/>
    <w:rsid w:val="00CB199B"/>
    <w:rsid w:val="00CB19FD"/>
    <w:rsid w:val="00CB1CDE"/>
    <w:rsid w:val="00CB1E84"/>
    <w:rsid w:val="00CB1ED7"/>
    <w:rsid w:val="00CB1F75"/>
    <w:rsid w:val="00CB1F98"/>
    <w:rsid w:val="00CB20A9"/>
    <w:rsid w:val="00CB2275"/>
    <w:rsid w:val="00CB2280"/>
    <w:rsid w:val="00CB2292"/>
    <w:rsid w:val="00CB22C4"/>
    <w:rsid w:val="00CB22E6"/>
    <w:rsid w:val="00CB23F7"/>
    <w:rsid w:val="00CB24C6"/>
    <w:rsid w:val="00CB2580"/>
    <w:rsid w:val="00CB27B3"/>
    <w:rsid w:val="00CB2830"/>
    <w:rsid w:val="00CB2855"/>
    <w:rsid w:val="00CB2924"/>
    <w:rsid w:val="00CB2930"/>
    <w:rsid w:val="00CB2965"/>
    <w:rsid w:val="00CB2B64"/>
    <w:rsid w:val="00CB2BB1"/>
    <w:rsid w:val="00CB2C0D"/>
    <w:rsid w:val="00CB2CD0"/>
    <w:rsid w:val="00CB2DE4"/>
    <w:rsid w:val="00CB2E14"/>
    <w:rsid w:val="00CB2E15"/>
    <w:rsid w:val="00CB2FD6"/>
    <w:rsid w:val="00CB2FE7"/>
    <w:rsid w:val="00CB306F"/>
    <w:rsid w:val="00CB3093"/>
    <w:rsid w:val="00CB30F2"/>
    <w:rsid w:val="00CB3197"/>
    <w:rsid w:val="00CB31E4"/>
    <w:rsid w:val="00CB3381"/>
    <w:rsid w:val="00CB33FE"/>
    <w:rsid w:val="00CB3427"/>
    <w:rsid w:val="00CB3544"/>
    <w:rsid w:val="00CB357E"/>
    <w:rsid w:val="00CB35DC"/>
    <w:rsid w:val="00CB377A"/>
    <w:rsid w:val="00CB396F"/>
    <w:rsid w:val="00CB3A82"/>
    <w:rsid w:val="00CB3A98"/>
    <w:rsid w:val="00CB3D11"/>
    <w:rsid w:val="00CB3D63"/>
    <w:rsid w:val="00CB3D89"/>
    <w:rsid w:val="00CB3E08"/>
    <w:rsid w:val="00CB40A8"/>
    <w:rsid w:val="00CB426F"/>
    <w:rsid w:val="00CB431B"/>
    <w:rsid w:val="00CB4365"/>
    <w:rsid w:val="00CB4372"/>
    <w:rsid w:val="00CB438B"/>
    <w:rsid w:val="00CB454E"/>
    <w:rsid w:val="00CB46EE"/>
    <w:rsid w:val="00CB4798"/>
    <w:rsid w:val="00CB48D0"/>
    <w:rsid w:val="00CB4ABF"/>
    <w:rsid w:val="00CB4BD9"/>
    <w:rsid w:val="00CB4EC2"/>
    <w:rsid w:val="00CB4F58"/>
    <w:rsid w:val="00CB50E2"/>
    <w:rsid w:val="00CB5275"/>
    <w:rsid w:val="00CB5398"/>
    <w:rsid w:val="00CB54A9"/>
    <w:rsid w:val="00CB578B"/>
    <w:rsid w:val="00CB59F2"/>
    <w:rsid w:val="00CB5B12"/>
    <w:rsid w:val="00CB5B2C"/>
    <w:rsid w:val="00CB5B6A"/>
    <w:rsid w:val="00CB5BF7"/>
    <w:rsid w:val="00CB5DA9"/>
    <w:rsid w:val="00CB5DB6"/>
    <w:rsid w:val="00CB60E2"/>
    <w:rsid w:val="00CB62B4"/>
    <w:rsid w:val="00CB62D1"/>
    <w:rsid w:val="00CB6315"/>
    <w:rsid w:val="00CB6625"/>
    <w:rsid w:val="00CB67ED"/>
    <w:rsid w:val="00CB68DC"/>
    <w:rsid w:val="00CB6A57"/>
    <w:rsid w:val="00CB6AD1"/>
    <w:rsid w:val="00CB6F08"/>
    <w:rsid w:val="00CB6FB6"/>
    <w:rsid w:val="00CB6FCC"/>
    <w:rsid w:val="00CB6FF5"/>
    <w:rsid w:val="00CB726B"/>
    <w:rsid w:val="00CB72E8"/>
    <w:rsid w:val="00CB7450"/>
    <w:rsid w:val="00CB754C"/>
    <w:rsid w:val="00CB7671"/>
    <w:rsid w:val="00CB77BD"/>
    <w:rsid w:val="00CB77D5"/>
    <w:rsid w:val="00CB7867"/>
    <w:rsid w:val="00CB78C7"/>
    <w:rsid w:val="00CB7A61"/>
    <w:rsid w:val="00CB7AFB"/>
    <w:rsid w:val="00CB7B3A"/>
    <w:rsid w:val="00CB7BD7"/>
    <w:rsid w:val="00CB7C36"/>
    <w:rsid w:val="00CB7D3A"/>
    <w:rsid w:val="00CB7E62"/>
    <w:rsid w:val="00CB7FB5"/>
    <w:rsid w:val="00CB7FBF"/>
    <w:rsid w:val="00CC03F2"/>
    <w:rsid w:val="00CC0422"/>
    <w:rsid w:val="00CC0789"/>
    <w:rsid w:val="00CC0874"/>
    <w:rsid w:val="00CC09BD"/>
    <w:rsid w:val="00CC09BF"/>
    <w:rsid w:val="00CC09F4"/>
    <w:rsid w:val="00CC0BF4"/>
    <w:rsid w:val="00CC0C24"/>
    <w:rsid w:val="00CC0C57"/>
    <w:rsid w:val="00CC0CA7"/>
    <w:rsid w:val="00CC0FB5"/>
    <w:rsid w:val="00CC0FD3"/>
    <w:rsid w:val="00CC1148"/>
    <w:rsid w:val="00CC1180"/>
    <w:rsid w:val="00CC11A5"/>
    <w:rsid w:val="00CC1440"/>
    <w:rsid w:val="00CC15C9"/>
    <w:rsid w:val="00CC15E5"/>
    <w:rsid w:val="00CC16BB"/>
    <w:rsid w:val="00CC1705"/>
    <w:rsid w:val="00CC173D"/>
    <w:rsid w:val="00CC1896"/>
    <w:rsid w:val="00CC18D1"/>
    <w:rsid w:val="00CC191B"/>
    <w:rsid w:val="00CC1952"/>
    <w:rsid w:val="00CC196C"/>
    <w:rsid w:val="00CC198B"/>
    <w:rsid w:val="00CC1A78"/>
    <w:rsid w:val="00CC1AF6"/>
    <w:rsid w:val="00CC1B42"/>
    <w:rsid w:val="00CC1C97"/>
    <w:rsid w:val="00CC1EA5"/>
    <w:rsid w:val="00CC1ECA"/>
    <w:rsid w:val="00CC1F99"/>
    <w:rsid w:val="00CC2420"/>
    <w:rsid w:val="00CC246F"/>
    <w:rsid w:val="00CC2499"/>
    <w:rsid w:val="00CC2561"/>
    <w:rsid w:val="00CC2833"/>
    <w:rsid w:val="00CC2902"/>
    <w:rsid w:val="00CC29B4"/>
    <w:rsid w:val="00CC2C9A"/>
    <w:rsid w:val="00CC2C9D"/>
    <w:rsid w:val="00CC2CB3"/>
    <w:rsid w:val="00CC2CFC"/>
    <w:rsid w:val="00CC2D37"/>
    <w:rsid w:val="00CC2D96"/>
    <w:rsid w:val="00CC2DBF"/>
    <w:rsid w:val="00CC2F6D"/>
    <w:rsid w:val="00CC2FDD"/>
    <w:rsid w:val="00CC3161"/>
    <w:rsid w:val="00CC323E"/>
    <w:rsid w:val="00CC3298"/>
    <w:rsid w:val="00CC3417"/>
    <w:rsid w:val="00CC3476"/>
    <w:rsid w:val="00CC35F1"/>
    <w:rsid w:val="00CC36FA"/>
    <w:rsid w:val="00CC37DE"/>
    <w:rsid w:val="00CC3823"/>
    <w:rsid w:val="00CC3AFD"/>
    <w:rsid w:val="00CC3B3C"/>
    <w:rsid w:val="00CC3BAC"/>
    <w:rsid w:val="00CC3D0F"/>
    <w:rsid w:val="00CC3E1B"/>
    <w:rsid w:val="00CC3E32"/>
    <w:rsid w:val="00CC3F4F"/>
    <w:rsid w:val="00CC3FF3"/>
    <w:rsid w:val="00CC4130"/>
    <w:rsid w:val="00CC414F"/>
    <w:rsid w:val="00CC4233"/>
    <w:rsid w:val="00CC4505"/>
    <w:rsid w:val="00CC4665"/>
    <w:rsid w:val="00CC48C8"/>
    <w:rsid w:val="00CC4984"/>
    <w:rsid w:val="00CC4EB8"/>
    <w:rsid w:val="00CC4EF1"/>
    <w:rsid w:val="00CC4F4C"/>
    <w:rsid w:val="00CC5012"/>
    <w:rsid w:val="00CC50BC"/>
    <w:rsid w:val="00CC522B"/>
    <w:rsid w:val="00CC52FA"/>
    <w:rsid w:val="00CC53E8"/>
    <w:rsid w:val="00CC542A"/>
    <w:rsid w:val="00CC550C"/>
    <w:rsid w:val="00CC552F"/>
    <w:rsid w:val="00CC577A"/>
    <w:rsid w:val="00CC57D1"/>
    <w:rsid w:val="00CC57D7"/>
    <w:rsid w:val="00CC5AB0"/>
    <w:rsid w:val="00CC5B72"/>
    <w:rsid w:val="00CC5B93"/>
    <w:rsid w:val="00CC5C87"/>
    <w:rsid w:val="00CC5CE3"/>
    <w:rsid w:val="00CC5CEE"/>
    <w:rsid w:val="00CC5D9F"/>
    <w:rsid w:val="00CC5DF4"/>
    <w:rsid w:val="00CC5ED8"/>
    <w:rsid w:val="00CC5F1E"/>
    <w:rsid w:val="00CC607A"/>
    <w:rsid w:val="00CC6098"/>
    <w:rsid w:val="00CC633B"/>
    <w:rsid w:val="00CC63FF"/>
    <w:rsid w:val="00CC6468"/>
    <w:rsid w:val="00CC648F"/>
    <w:rsid w:val="00CC68CD"/>
    <w:rsid w:val="00CC68D8"/>
    <w:rsid w:val="00CC695F"/>
    <w:rsid w:val="00CC698F"/>
    <w:rsid w:val="00CC6A9A"/>
    <w:rsid w:val="00CC6C6D"/>
    <w:rsid w:val="00CC6CEA"/>
    <w:rsid w:val="00CC6E07"/>
    <w:rsid w:val="00CC6EBA"/>
    <w:rsid w:val="00CC7593"/>
    <w:rsid w:val="00CC76A7"/>
    <w:rsid w:val="00CC771C"/>
    <w:rsid w:val="00CC7746"/>
    <w:rsid w:val="00CC77BD"/>
    <w:rsid w:val="00CC7885"/>
    <w:rsid w:val="00CC78C2"/>
    <w:rsid w:val="00CC7A6E"/>
    <w:rsid w:val="00CC7C9E"/>
    <w:rsid w:val="00CC7D1D"/>
    <w:rsid w:val="00CC7E1E"/>
    <w:rsid w:val="00CC7E83"/>
    <w:rsid w:val="00CC7EF8"/>
    <w:rsid w:val="00CC7FCD"/>
    <w:rsid w:val="00CD016D"/>
    <w:rsid w:val="00CD01B8"/>
    <w:rsid w:val="00CD01EB"/>
    <w:rsid w:val="00CD04E8"/>
    <w:rsid w:val="00CD0519"/>
    <w:rsid w:val="00CD0669"/>
    <w:rsid w:val="00CD0707"/>
    <w:rsid w:val="00CD095D"/>
    <w:rsid w:val="00CD0B3E"/>
    <w:rsid w:val="00CD0BB4"/>
    <w:rsid w:val="00CD0C7C"/>
    <w:rsid w:val="00CD0CAB"/>
    <w:rsid w:val="00CD0CC8"/>
    <w:rsid w:val="00CD0D2F"/>
    <w:rsid w:val="00CD0E16"/>
    <w:rsid w:val="00CD0E20"/>
    <w:rsid w:val="00CD0ECA"/>
    <w:rsid w:val="00CD0F43"/>
    <w:rsid w:val="00CD0FA4"/>
    <w:rsid w:val="00CD101F"/>
    <w:rsid w:val="00CD10F0"/>
    <w:rsid w:val="00CD137F"/>
    <w:rsid w:val="00CD14CC"/>
    <w:rsid w:val="00CD14EA"/>
    <w:rsid w:val="00CD16CA"/>
    <w:rsid w:val="00CD17D8"/>
    <w:rsid w:val="00CD17F8"/>
    <w:rsid w:val="00CD1A4F"/>
    <w:rsid w:val="00CD1AD4"/>
    <w:rsid w:val="00CD1B71"/>
    <w:rsid w:val="00CD1C37"/>
    <w:rsid w:val="00CD1C41"/>
    <w:rsid w:val="00CD1CD3"/>
    <w:rsid w:val="00CD1D85"/>
    <w:rsid w:val="00CD1D99"/>
    <w:rsid w:val="00CD1FA2"/>
    <w:rsid w:val="00CD207F"/>
    <w:rsid w:val="00CD20F6"/>
    <w:rsid w:val="00CD23BE"/>
    <w:rsid w:val="00CD2672"/>
    <w:rsid w:val="00CD2677"/>
    <w:rsid w:val="00CD267E"/>
    <w:rsid w:val="00CD27E4"/>
    <w:rsid w:val="00CD29E1"/>
    <w:rsid w:val="00CD2BB2"/>
    <w:rsid w:val="00CD2BEC"/>
    <w:rsid w:val="00CD2D28"/>
    <w:rsid w:val="00CD2D9F"/>
    <w:rsid w:val="00CD2E23"/>
    <w:rsid w:val="00CD2EF9"/>
    <w:rsid w:val="00CD3035"/>
    <w:rsid w:val="00CD3134"/>
    <w:rsid w:val="00CD31F1"/>
    <w:rsid w:val="00CD33B2"/>
    <w:rsid w:val="00CD3490"/>
    <w:rsid w:val="00CD351F"/>
    <w:rsid w:val="00CD364F"/>
    <w:rsid w:val="00CD3689"/>
    <w:rsid w:val="00CD369B"/>
    <w:rsid w:val="00CD36AB"/>
    <w:rsid w:val="00CD36F7"/>
    <w:rsid w:val="00CD3886"/>
    <w:rsid w:val="00CD38C1"/>
    <w:rsid w:val="00CD396E"/>
    <w:rsid w:val="00CD3A14"/>
    <w:rsid w:val="00CD3A66"/>
    <w:rsid w:val="00CD3C26"/>
    <w:rsid w:val="00CD3D27"/>
    <w:rsid w:val="00CD3E87"/>
    <w:rsid w:val="00CD40F5"/>
    <w:rsid w:val="00CD41A4"/>
    <w:rsid w:val="00CD41C8"/>
    <w:rsid w:val="00CD41D9"/>
    <w:rsid w:val="00CD426D"/>
    <w:rsid w:val="00CD4300"/>
    <w:rsid w:val="00CD43A5"/>
    <w:rsid w:val="00CD4552"/>
    <w:rsid w:val="00CD4647"/>
    <w:rsid w:val="00CD4932"/>
    <w:rsid w:val="00CD4951"/>
    <w:rsid w:val="00CD49F5"/>
    <w:rsid w:val="00CD4A88"/>
    <w:rsid w:val="00CD4AE9"/>
    <w:rsid w:val="00CD4BB4"/>
    <w:rsid w:val="00CD4E8B"/>
    <w:rsid w:val="00CD4E92"/>
    <w:rsid w:val="00CD4F57"/>
    <w:rsid w:val="00CD4F75"/>
    <w:rsid w:val="00CD510A"/>
    <w:rsid w:val="00CD5123"/>
    <w:rsid w:val="00CD5195"/>
    <w:rsid w:val="00CD51AA"/>
    <w:rsid w:val="00CD520E"/>
    <w:rsid w:val="00CD535C"/>
    <w:rsid w:val="00CD559D"/>
    <w:rsid w:val="00CD5772"/>
    <w:rsid w:val="00CD58F4"/>
    <w:rsid w:val="00CD5C05"/>
    <w:rsid w:val="00CD5C39"/>
    <w:rsid w:val="00CD5C45"/>
    <w:rsid w:val="00CD5C79"/>
    <w:rsid w:val="00CD5D7A"/>
    <w:rsid w:val="00CD5DBB"/>
    <w:rsid w:val="00CD5ED4"/>
    <w:rsid w:val="00CD6009"/>
    <w:rsid w:val="00CD62C4"/>
    <w:rsid w:val="00CD631F"/>
    <w:rsid w:val="00CD63B6"/>
    <w:rsid w:val="00CD63EB"/>
    <w:rsid w:val="00CD6443"/>
    <w:rsid w:val="00CD6521"/>
    <w:rsid w:val="00CD6550"/>
    <w:rsid w:val="00CD65C6"/>
    <w:rsid w:val="00CD65FF"/>
    <w:rsid w:val="00CD6615"/>
    <w:rsid w:val="00CD6626"/>
    <w:rsid w:val="00CD6650"/>
    <w:rsid w:val="00CD68DA"/>
    <w:rsid w:val="00CD6BCE"/>
    <w:rsid w:val="00CD6C19"/>
    <w:rsid w:val="00CD6D43"/>
    <w:rsid w:val="00CD6E03"/>
    <w:rsid w:val="00CD6EFB"/>
    <w:rsid w:val="00CD6F84"/>
    <w:rsid w:val="00CD6FC9"/>
    <w:rsid w:val="00CD6FF5"/>
    <w:rsid w:val="00CD7072"/>
    <w:rsid w:val="00CD709B"/>
    <w:rsid w:val="00CD7354"/>
    <w:rsid w:val="00CD735E"/>
    <w:rsid w:val="00CD7466"/>
    <w:rsid w:val="00CD748E"/>
    <w:rsid w:val="00CD7595"/>
    <w:rsid w:val="00CD771B"/>
    <w:rsid w:val="00CD7838"/>
    <w:rsid w:val="00CD784E"/>
    <w:rsid w:val="00CD79B5"/>
    <w:rsid w:val="00CD79E9"/>
    <w:rsid w:val="00CD7FBB"/>
    <w:rsid w:val="00CD7FD3"/>
    <w:rsid w:val="00CE0029"/>
    <w:rsid w:val="00CE01AC"/>
    <w:rsid w:val="00CE0395"/>
    <w:rsid w:val="00CE055A"/>
    <w:rsid w:val="00CE0A8B"/>
    <w:rsid w:val="00CE0B2D"/>
    <w:rsid w:val="00CE0C84"/>
    <w:rsid w:val="00CE0EC3"/>
    <w:rsid w:val="00CE0FE3"/>
    <w:rsid w:val="00CE102E"/>
    <w:rsid w:val="00CE10F7"/>
    <w:rsid w:val="00CE126F"/>
    <w:rsid w:val="00CE134D"/>
    <w:rsid w:val="00CE13CF"/>
    <w:rsid w:val="00CE13E9"/>
    <w:rsid w:val="00CE1445"/>
    <w:rsid w:val="00CE1552"/>
    <w:rsid w:val="00CE15A9"/>
    <w:rsid w:val="00CE167E"/>
    <w:rsid w:val="00CE1683"/>
    <w:rsid w:val="00CE170F"/>
    <w:rsid w:val="00CE175D"/>
    <w:rsid w:val="00CE17DE"/>
    <w:rsid w:val="00CE181E"/>
    <w:rsid w:val="00CE1891"/>
    <w:rsid w:val="00CE1BEA"/>
    <w:rsid w:val="00CE1C84"/>
    <w:rsid w:val="00CE1C8F"/>
    <w:rsid w:val="00CE1CB1"/>
    <w:rsid w:val="00CE1D71"/>
    <w:rsid w:val="00CE1D78"/>
    <w:rsid w:val="00CE1DA0"/>
    <w:rsid w:val="00CE1E04"/>
    <w:rsid w:val="00CE1E66"/>
    <w:rsid w:val="00CE1E85"/>
    <w:rsid w:val="00CE1FA8"/>
    <w:rsid w:val="00CE213C"/>
    <w:rsid w:val="00CE2140"/>
    <w:rsid w:val="00CE2148"/>
    <w:rsid w:val="00CE21DC"/>
    <w:rsid w:val="00CE2246"/>
    <w:rsid w:val="00CE22E8"/>
    <w:rsid w:val="00CE22F7"/>
    <w:rsid w:val="00CE2406"/>
    <w:rsid w:val="00CE2480"/>
    <w:rsid w:val="00CE2493"/>
    <w:rsid w:val="00CE24CF"/>
    <w:rsid w:val="00CE25E4"/>
    <w:rsid w:val="00CE2796"/>
    <w:rsid w:val="00CE29B8"/>
    <w:rsid w:val="00CE2B71"/>
    <w:rsid w:val="00CE2D3A"/>
    <w:rsid w:val="00CE2D60"/>
    <w:rsid w:val="00CE2E23"/>
    <w:rsid w:val="00CE2E74"/>
    <w:rsid w:val="00CE2ED5"/>
    <w:rsid w:val="00CE2F2B"/>
    <w:rsid w:val="00CE2FEF"/>
    <w:rsid w:val="00CE303F"/>
    <w:rsid w:val="00CE3059"/>
    <w:rsid w:val="00CE31D7"/>
    <w:rsid w:val="00CE329B"/>
    <w:rsid w:val="00CE34C3"/>
    <w:rsid w:val="00CE356F"/>
    <w:rsid w:val="00CE3573"/>
    <w:rsid w:val="00CE3581"/>
    <w:rsid w:val="00CE358B"/>
    <w:rsid w:val="00CE3609"/>
    <w:rsid w:val="00CE3826"/>
    <w:rsid w:val="00CE393C"/>
    <w:rsid w:val="00CE3B02"/>
    <w:rsid w:val="00CE3B42"/>
    <w:rsid w:val="00CE3CEE"/>
    <w:rsid w:val="00CE3DE3"/>
    <w:rsid w:val="00CE3E11"/>
    <w:rsid w:val="00CE3E14"/>
    <w:rsid w:val="00CE3EC4"/>
    <w:rsid w:val="00CE3F84"/>
    <w:rsid w:val="00CE3FE5"/>
    <w:rsid w:val="00CE4076"/>
    <w:rsid w:val="00CE44ED"/>
    <w:rsid w:val="00CE4516"/>
    <w:rsid w:val="00CE4547"/>
    <w:rsid w:val="00CE4563"/>
    <w:rsid w:val="00CE4592"/>
    <w:rsid w:val="00CE45D6"/>
    <w:rsid w:val="00CE4667"/>
    <w:rsid w:val="00CE484D"/>
    <w:rsid w:val="00CE48FE"/>
    <w:rsid w:val="00CE491E"/>
    <w:rsid w:val="00CE4ACF"/>
    <w:rsid w:val="00CE4BC6"/>
    <w:rsid w:val="00CE4E70"/>
    <w:rsid w:val="00CE4EF7"/>
    <w:rsid w:val="00CE4F16"/>
    <w:rsid w:val="00CE5231"/>
    <w:rsid w:val="00CE5539"/>
    <w:rsid w:val="00CE567E"/>
    <w:rsid w:val="00CE57AB"/>
    <w:rsid w:val="00CE57FF"/>
    <w:rsid w:val="00CE587D"/>
    <w:rsid w:val="00CE59BB"/>
    <w:rsid w:val="00CE5AA3"/>
    <w:rsid w:val="00CE5B6E"/>
    <w:rsid w:val="00CE5BFB"/>
    <w:rsid w:val="00CE5C59"/>
    <w:rsid w:val="00CE5CB8"/>
    <w:rsid w:val="00CE5CE4"/>
    <w:rsid w:val="00CE5CF7"/>
    <w:rsid w:val="00CE5E0B"/>
    <w:rsid w:val="00CE5E1F"/>
    <w:rsid w:val="00CE5F1D"/>
    <w:rsid w:val="00CE5F35"/>
    <w:rsid w:val="00CE5FE0"/>
    <w:rsid w:val="00CE5FE9"/>
    <w:rsid w:val="00CE6003"/>
    <w:rsid w:val="00CE612A"/>
    <w:rsid w:val="00CE6322"/>
    <w:rsid w:val="00CE639D"/>
    <w:rsid w:val="00CE64D9"/>
    <w:rsid w:val="00CE653B"/>
    <w:rsid w:val="00CE67A7"/>
    <w:rsid w:val="00CE68BC"/>
    <w:rsid w:val="00CE68F3"/>
    <w:rsid w:val="00CE691A"/>
    <w:rsid w:val="00CE69C3"/>
    <w:rsid w:val="00CE6A77"/>
    <w:rsid w:val="00CE6B8B"/>
    <w:rsid w:val="00CE6C71"/>
    <w:rsid w:val="00CE6D12"/>
    <w:rsid w:val="00CE6D42"/>
    <w:rsid w:val="00CE6E39"/>
    <w:rsid w:val="00CE6E64"/>
    <w:rsid w:val="00CE6EA2"/>
    <w:rsid w:val="00CE6EF0"/>
    <w:rsid w:val="00CE7046"/>
    <w:rsid w:val="00CE70C8"/>
    <w:rsid w:val="00CE71AF"/>
    <w:rsid w:val="00CE7230"/>
    <w:rsid w:val="00CE756F"/>
    <w:rsid w:val="00CE7597"/>
    <w:rsid w:val="00CE76DE"/>
    <w:rsid w:val="00CE7A10"/>
    <w:rsid w:val="00CE7A21"/>
    <w:rsid w:val="00CE7B02"/>
    <w:rsid w:val="00CE7C14"/>
    <w:rsid w:val="00CE7C83"/>
    <w:rsid w:val="00CE7CF8"/>
    <w:rsid w:val="00CE7ED8"/>
    <w:rsid w:val="00CE7F97"/>
    <w:rsid w:val="00CF006E"/>
    <w:rsid w:val="00CF015B"/>
    <w:rsid w:val="00CF017B"/>
    <w:rsid w:val="00CF0336"/>
    <w:rsid w:val="00CF036F"/>
    <w:rsid w:val="00CF04B7"/>
    <w:rsid w:val="00CF06BA"/>
    <w:rsid w:val="00CF0719"/>
    <w:rsid w:val="00CF0763"/>
    <w:rsid w:val="00CF0794"/>
    <w:rsid w:val="00CF0833"/>
    <w:rsid w:val="00CF0887"/>
    <w:rsid w:val="00CF0AEC"/>
    <w:rsid w:val="00CF0B1E"/>
    <w:rsid w:val="00CF0BF5"/>
    <w:rsid w:val="00CF0CBF"/>
    <w:rsid w:val="00CF0CC1"/>
    <w:rsid w:val="00CF0D7B"/>
    <w:rsid w:val="00CF0DEA"/>
    <w:rsid w:val="00CF0ECC"/>
    <w:rsid w:val="00CF0F2D"/>
    <w:rsid w:val="00CF106A"/>
    <w:rsid w:val="00CF10EC"/>
    <w:rsid w:val="00CF146F"/>
    <w:rsid w:val="00CF16C1"/>
    <w:rsid w:val="00CF1748"/>
    <w:rsid w:val="00CF1762"/>
    <w:rsid w:val="00CF186E"/>
    <w:rsid w:val="00CF18E7"/>
    <w:rsid w:val="00CF18E8"/>
    <w:rsid w:val="00CF1914"/>
    <w:rsid w:val="00CF1A77"/>
    <w:rsid w:val="00CF1BF0"/>
    <w:rsid w:val="00CF1C58"/>
    <w:rsid w:val="00CF1C76"/>
    <w:rsid w:val="00CF1C92"/>
    <w:rsid w:val="00CF1DD1"/>
    <w:rsid w:val="00CF1DEE"/>
    <w:rsid w:val="00CF1E47"/>
    <w:rsid w:val="00CF2102"/>
    <w:rsid w:val="00CF22B0"/>
    <w:rsid w:val="00CF22B1"/>
    <w:rsid w:val="00CF22B4"/>
    <w:rsid w:val="00CF2351"/>
    <w:rsid w:val="00CF2425"/>
    <w:rsid w:val="00CF242C"/>
    <w:rsid w:val="00CF2449"/>
    <w:rsid w:val="00CF2513"/>
    <w:rsid w:val="00CF2590"/>
    <w:rsid w:val="00CF275D"/>
    <w:rsid w:val="00CF2AF6"/>
    <w:rsid w:val="00CF2BD2"/>
    <w:rsid w:val="00CF2DF2"/>
    <w:rsid w:val="00CF2F35"/>
    <w:rsid w:val="00CF2F88"/>
    <w:rsid w:val="00CF300C"/>
    <w:rsid w:val="00CF3131"/>
    <w:rsid w:val="00CF3146"/>
    <w:rsid w:val="00CF3238"/>
    <w:rsid w:val="00CF32DA"/>
    <w:rsid w:val="00CF3344"/>
    <w:rsid w:val="00CF349B"/>
    <w:rsid w:val="00CF34B1"/>
    <w:rsid w:val="00CF3511"/>
    <w:rsid w:val="00CF3622"/>
    <w:rsid w:val="00CF3A59"/>
    <w:rsid w:val="00CF3D84"/>
    <w:rsid w:val="00CF3DC9"/>
    <w:rsid w:val="00CF3E6E"/>
    <w:rsid w:val="00CF4149"/>
    <w:rsid w:val="00CF417C"/>
    <w:rsid w:val="00CF41E1"/>
    <w:rsid w:val="00CF4201"/>
    <w:rsid w:val="00CF4233"/>
    <w:rsid w:val="00CF4263"/>
    <w:rsid w:val="00CF42E9"/>
    <w:rsid w:val="00CF4532"/>
    <w:rsid w:val="00CF488C"/>
    <w:rsid w:val="00CF48A9"/>
    <w:rsid w:val="00CF48AE"/>
    <w:rsid w:val="00CF48CC"/>
    <w:rsid w:val="00CF4979"/>
    <w:rsid w:val="00CF4983"/>
    <w:rsid w:val="00CF4AE9"/>
    <w:rsid w:val="00CF4BD2"/>
    <w:rsid w:val="00CF4BF5"/>
    <w:rsid w:val="00CF4C51"/>
    <w:rsid w:val="00CF4E4C"/>
    <w:rsid w:val="00CF50EC"/>
    <w:rsid w:val="00CF50F3"/>
    <w:rsid w:val="00CF5296"/>
    <w:rsid w:val="00CF5405"/>
    <w:rsid w:val="00CF54C0"/>
    <w:rsid w:val="00CF5560"/>
    <w:rsid w:val="00CF5669"/>
    <w:rsid w:val="00CF569A"/>
    <w:rsid w:val="00CF573E"/>
    <w:rsid w:val="00CF5834"/>
    <w:rsid w:val="00CF583E"/>
    <w:rsid w:val="00CF58DC"/>
    <w:rsid w:val="00CF58FC"/>
    <w:rsid w:val="00CF5963"/>
    <w:rsid w:val="00CF5ACF"/>
    <w:rsid w:val="00CF5F20"/>
    <w:rsid w:val="00CF5F51"/>
    <w:rsid w:val="00CF603C"/>
    <w:rsid w:val="00CF6093"/>
    <w:rsid w:val="00CF626F"/>
    <w:rsid w:val="00CF6275"/>
    <w:rsid w:val="00CF638D"/>
    <w:rsid w:val="00CF63C5"/>
    <w:rsid w:val="00CF63DE"/>
    <w:rsid w:val="00CF644D"/>
    <w:rsid w:val="00CF6491"/>
    <w:rsid w:val="00CF659F"/>
    <w:rsid w:val="00CF6666"/>
    <w:rsid w:val="00CF68A6"/>
    <w:rsid w:val="00CF6A6E"/>
    <w:rsid w:val="00CF6E22"/>
    <w:rsid w:val="00CF6F5B"/>
    <w:rsid w:val="00CF7061"/>
    <w:rsid w:val="00CF7291"/>
    <w:rsid w:val="00CF72EC"/>
    <w:rsid w:val="00CF7348"/>
    <w:rsid w:val="00CF7373"/>
    <w:rsid w:val="00CF73B1"/>
    <w:rsid w:val="00CF74C4"/>
    <w:rsid w:val="00CF7552"/>
    <w:rsid w:val="00CF759A"/>
    <w:rsid w:val="00CF767A"/>
    <w:rsid w:val="00CF7686"/>
    <w:rsid w:val="00CF77B6"/>
    <w:rsid w:val="00CF7802"/>
    <w:rsid w:val="00CF7818"/>
    <w:rsid w:val="00CF7845"/>
    <w:rsid w:val="00CF78A7"/>
    <w:rsid w:val="00CF78CA"/>
    <w:rsid w:val="00CF78F8"/>
    <w:rsid w:val="00CF796A"/>
    <w:rsid w:val="00CF79D3"/>
    <w:rsid w:val="00CF7ACF"/>
    <w:rsid w:val="00CF7B46"/>
    <w:rsid w:val="00CF7BB6"/>
    <w:rsid w:val="00CF7C91"/>
    <w:rsid w:val="00CF7CDA"/>
    <w:rsid w:val="00CF7CF2"/>
    <w:rsid w:val="00CF7D7B"/>
    <w:rsid w:val="00CF7D83"/>
    <w:rsid w:val="00CF7E06"/>
    <w:rsid w:val="00D0006C"/>
    <w:rsid w:val="00D00151"/>
    <w:rsid w:val="00D00283"/>
    <w:rsid w:val="00D00306"/>
    <w:rsid w:val="00D0044C"/>
    <w:rsid w:val="00D00550"/>
    <w:rsid w:val="00D0066B"/>
    <w:rsid w:val="00D008D2"/>
    <w:rsid w:val="00D0093B"/>
    <w:rsid w:val="00D009A4"/>
    <w:rsid w:val="00D00AF5"/>
    <w:rsid w:val="00D00D98"/>
    <w:rsid w:val="00D00DB6"/>
    <w:rsid w:val="00D00DFB"/>
    <w:rsid w:val="00D00E5A"/>
    <w:rsid w:val="00D00E5D"/>
    <w:rsid w:val="00D00EF4"/>
    <w:rsid w:val="00D00F52"/>
    <w:rsid w:val="00D00FE3"/>
    <w:rsid w:val="00D0103D"/>
    <w:rsid w:val="00D011DE"/>
    <w:rsid w:val="00D01523"/>
    <w:rsid w:val="00D0156C"/>
    <w:rsid w:val="00D01624"/>
    <w:rsid w:val="00D0166C"/>
    <w:rsid w:val="00D017A2"/>
    <w:rsid w:val="00D01837"/>
    <w:rsid w:val="00D01869"/>
    <w:rsid w:val="00D0193B"/>
    <w:rsid w:val="00D01A02"/>
    <w:rsid w:val="00D01A6D"/>
    <w:rsid w:val="00D01ABB"/>
    <w:rsid w:val="00D01E28"/>
    <w:rsid w:val="00D01E8D"/>
    <w:rsid w:val="00D01F5B"/>
    <w:rsid w:val="00D023C4"/>
    <w:rsid w:val="00D025E5"/>
    <w:rsid w:val="00D02631"/>
    <w:rsid w:val="00D02828"/>
    <w:rsid w:val="00D02A15"/>
    <w:rsid w:val="00D02A56"/>
    <w:rsid w:val="00D02B44"/>
    <w:rsid w:val="00D02C36"/>
    <w:rsid w:val="00D02CE0"/>
    <w:rsid w:val="00D02D05"/>
    <w:rsid w:val="00D02D10"/>
    <w:rsid w:val="00D02D7C"/>
    <w:rsid w:val="00D02F02"/>
    <w:rsid w:val="00D030C9"/>
    <w:rsid w:val="00D03169"/>
    <w:rsid w:val="00D03422"/>
    <w:rsid w:val="00D034EB"/>
    <w:rsid w:val="00D037C6"/>
    <w:rsid w:val="00D03810"/>
    <w:rsid w:val="00D038AA"/>
    <w:rsid w:val="00D03A51"/>
    <w:rsid w:val="00D03AA0"/>
    <w:rsid w:val="00D03ADB"/>
    <w:rsid w:val="00D03B63"/>
    <w:rsid w:val="00D03BED"/>
    <w:rsid w:val="00D03C48"/>
    <w:rsid w:val="00D03DB8"/>
    <w:rsid w:val="00D03E99"/>
    <w:rsid w:val="00D03F4C"/>
    <w:rsid w:val="00D03FAA"/>
    <w:rsid w:val="00D040E7"/>
    <w:rsid w:val="00D040F9"/>
    <w:rsid w:val="00D0410F"/>
    <w:rsid w:val="00D04111"/>
    <w:rsid w:val="00D04271"/>
    <w:rsid w:val="00D0440D"/>
    <w:rsid w:val="00D0440F"/>
    <w:rsid w:val="00D04462"/>
    <w:rsid w:val="00D04464"/>
    <w:rsid w:val="00D044EA"/>
    <w:rsid w:val="00D0450A"/>
    <w:rsid w:val="00D04778"/>
    <w:rsid w:val="00D04AD2"/>
    <w:rsid w:val="00D04D82"/>
    <w:rsid w:val="00D04DEE"/>
    <w:rsid w:val="00D04F71"/>
    <w:rsid w:val="00D05151"/>
    <w:rsid w:val="00D05430"/>
    <w:rsid w:val="00D0548D"/>
    <w:rsid w:val="00D05702"/>
    <w:rsid w:val="00D05951"/>
    <w:rsid w:val="00D05992"/>
    <w:rsid w:val="00D05AE7"/>
    <w:rsid w:val="00D05CE8"/>
    <w:rsid w:val="00D05D53"/>
    <w:rsid w:val="00D05DCF"/>
    <w:rsid w:val="00D0604F"/>
    <w:rsid w:val="00D061FA"/>
    <w:rsid w:val="00D062E7"/>
    <w:rsid w:val="00D063C5"/>
    <w:rsid w:val="00D064FA"/>
    <w:rsid w:val="00D06528"/>
    <w:rsid w:val="00D066A1"/>
    <w:rsid w:val="00D066DA"/>
    <w:rsid w:val="00D067D5"/>
    <w:rsid w:val="00D06938"/>
    <w:rsid w:val="00D06991"/>
    <w:rsid w:val="00D06AE1"/>
    <w:rsid w:val="00D06C01"/>
    <w:rsid w:val="00D06D26"/>
    <w:rsid w:val="00D06D3F"/>
    <w:rsid w:val="00D06D83"/>
    <w:rsid w:val="00D06E83"/>
    <w:rsid w:val="00D06E8C"/>
    <w:rsid w:val="00D06FEF"/>
    <w:rsid w:val="00D070D8"/>
    <w:rsid w:val="00D07155"/>
    <w:rsid w:val="00D0723F"/>
    <w:rsid w:val="00D0735B"/>
    <w:rsid w:val="00D07376"/>
    <w:rsid w:val="00D0747E"/>
    <w:rsid w:val="00D07576"/>
    <w:rsid w:val="00D076E6"/>
    <w:rsid w:val="00D07703"/>
    <w:rsid w:val="00D0790A"/>
    <w:rsid w:val="00D07C99"/>
    <w:rsid w:val="00D07D9A"/>
    <w:rsid w:val="00D07E00"/>
    <w:rsid w:val="00D07EE4"/>
    <w:rsid w:val="00D0C459"/>
    <w:rsid w:val="00D10014"/>
    <w:rsid w:val="00D10049"/>
    <w:rsid w:val="00D10181"/>
    <w:rsid w:val="00D102E4"/>
    <w:rsid w:val="00D10443"/>
    <w:rsid w:val="00D104C7"/>
    <w:rsid w:val="00D10532"/>
    <w:rsid w:val="00D105A0"/>
    <w:rsid w:val="00D1071E"/>
    <w:rsid w:val="00D107D1"/>
    <w:rsid w:val="00D107DA"/>
    <w:rsid w:val="00D1082F"/>
    <w:rsid w:val="00D1099C"/>
    <w:rsid w:val="00D10AAB"/>
    <w:rsid w:val="00D10BB0"/>
    <w:rsid w:val="00D10C8B"/>
    <w:rsid w:val="00D10DF1"/>
    <w:rsid w:val="00D10EE3"/>
    <w:rsid w:val="00D10F1D"/>
    <w:rsid w:val="00D111C7"/>
    <w:rsid w:val="00D1145F"/>
    <w:rsid w:val="00D11639"/>
    <w:rsid w:val="00D11768"/>
    <w:rsid w:val="00D11823"/>
    <w:rsid w:val="00D119A2"/>
    <w:rsid w:val="00D11A9F"/>
    <w:rsid w:val="00D11B1C"/>
    <w:rsid w:val="00D11C72"/>
    <w:rsid w:val="00D11D37"/>
    <w:rsid w:val="00D11E41"/>
    <w:rsid w:val="00D11ED2"/>
    <w:rsid w:val="00D11F86"/>
    <w:rsid w:val="00D12050"/>
    <w:rsid w:val="00D12303"/>
    <w:rsid w:val="00D1244E"/>
    <w:rsid w:val="00D124AD"/>
    <w:rsid w:val="00D12533"/>
    <w:rsid w:val="00D12542"/>
    <w:rsid w:val="00D12654"/>
    <w:rsid w:val="00D126E1"/>
    <w:rsid w:val="00D12806"/>
    <w:rsid w:val="00D12F88"/>
    <w:rsid w:val="00D13122"/>
    <w:rsid w:val="00D1320F"/>
    <w:rsid w:val="00D132AA"/>
    <w:rsid w:val="00D132B7"/>
    <w:rsid w:val="00D13300"/>
    <w:rsid w:val="00D13382"/>
    <w:rsid w:val="00D13538"/>
    <w:rsid w:val="00D1366E"/>
    <w:rsid w:val="00D13785"/>
    <w:rsid w:val="00D13845"/>
    <w:rsid w:val="00D13988"/>
    <w:rsid w:val="00D13B7A"/>
    <w:rsid w:val="00D13CF8"/>
    <w:rsid w:val="00D13FCC"/>
    <w:rsid w:val="00D1407A"/>
    <w:rsid w:val="00D140E6"/>
    <w:rsid w:val="00D141B8"/>
    <w:rsid w:val="00D14295"/>
    <w:rsid w:val="00D144CE"/>
    <w:rsid w:val="00D14562"/>
    <w:rsid w:val="00D1471D"/>
    <w:rsid w:val="00D148BB"/>
    <w:rsid w:val="00D148D3"/>
    <w:rsid w:val="00D1496B"/>
    <w:rsid w:val="00D14A7C"/>
    <w:rsid w:val="00D14A8E"/>
    <w:rsid w:val="00D14B15"/>
    <w:rsid w:val="00D14CBE"/>
    <w:rsid w:val="00D14CDB"/>
    <w:rsid w:val="00D14D12"/>
    <w:rsid w:val="00D14F12"/>
    <w:rsid w:val="00D14FA2"/>
    <w:rsid w:val="00D15047"/>
    <w:rsid w:val="00D15174"/>
    <w:rsid w:val="00D15235"/>
    <w:rsid w:val="00D15259"/>
    <w:rsid w:val="00D15342"/>
    <w:rsid w:val="00D15478"/>
    <w:rsid w:val="00D155FA"/>
    <w:rsid w:val="00D15957"/>
    <w:rsid w:val="00D15A32"/>
    <w:rsid w:val="00D15C26"/>
    <w:rsid w:val="00D15DF4"/>
    <w:rsid w:val="00D15E24"/>
    <w:rsid w:val="00D15F3D"/>
    <w:rsid w:val="00D15FBE"/>
    <w:rsid w:val="00D1602F"/>
    <w:rsid w:val="00D16248"/>
    <w:rsid w:val="00D16345"/>
    <w:rsid w:val="00D163A0"/>
    <w:rsid w:val="00D164BD"/>
    <w:rsid w:val="00D166A0"/>
    <w:rsid w:val="00D166A6"/>
    <w:rsid w:val="00D1681E"/>
    <w:rsid w:val="00D16938"/>
    <w:rsid w:val="00D16A0A"/>
    <w:rsid w:val="00D16B3F"/>
    <w:rsid w:val="00D16B5D"/>
    <w:rsid w:val="00D16BB8"/>
    <w:rsid w:val="00D16E99"/>
    <w:rsid w:val="00D16EDA"/>
    <w:rsid w:val="00D16F5D"/>
    <w:rsid w:val="00D16F8F"/>
    <w:rsid w:val="00D16FBB"/>
    <w:rsid w:val="00D16FBE"/>
    <w:rsid w:val="00D17086"/>
    <w:rsid w:val="00D1719A"/>
    <w:rsid w:val="00D1744A"/>
    <w:rsid w:val="00D1755C"/>
    <w:rsid w:val="00D17594"/>
    <w:rsid w:val="00D17608"/>
    <w:rsid w:val="00D17686"/>
    <w:rsid w:val="00D178AD"/>
    <w:rsid w:val="00D179F3"/>
    <w:rsid w:val="00D17A75"/>
    <w:rsid w:val="00D17AEC"/>
    <w:rsid w:val="00D17AF6"/>
    <w:rsid w:val="00D17E0B"/>
    <w:rsid w:val="00D17FD5"/>
    <w:rsid w:val="00D200C3"/>
    <w:rsid w:val="00D200EF"/>
    <w:rsid w:val="00D201EA"/>
    <w:rsid w:val="00D20254"/>
    <w:rsid w:val="00D203A9"/>
    <w:rsid w:val="00D20413"/>
    <w:rsid w:val="00D204AD"/>
    <w:rsid w:val="00D2052E"/>
    <w:rsid w:val="00D20727"/>
    <w:rsid w:val="00D2076B"/>
    <w:rsid w:val="00D20942"/>
    <w:rsid w:val="00D20950"/>
    <w:rsid w:val="00D2098A"/>
    <w:rsid w:val="00D2098B"/>
    <w:rsid w:val="00D20C48"/>
    <w:rsid w:val="00D20E71"/>
    <w:rsid w:val="00D210B1"/>
    <w:rsid w:val="00D211DD"/>
    <w:rsid w:val="00D211DF"/>
    <w:rsid w:val="00D21311"/>
    <w:rsid w:val="00D2135D"/>
    <w:rsid w:val="00D2139E"/>
    <w:rsid w:val="00D2140D"/>
    <w:rsid w:val="00D2157C"/>
    <w:rsid w:val="00D21648"/>
    <w:rsid w:val="00D216A9"/>
    <w:rsid w:val="00D21762"/>
    <w:rsid w:val="00D2182D"/>
    <w:rsid w:val="00D2186B"/>
    <w:rsid w:val="00D219BD"/>
    <w:rsid w:val="00D219FD"/>
    <w:rsid w:val="00D21B31"/>
    <w:rsid w:val="00D21C1F"/>
    <w:rsid w:val="00D21CFD"/>
    <w:rsid w:val="00D21D96"/>
    <w:rsid w:val="00D222AC"/>
    <w:rsid w:val="00D222FC"/>
    <w:rsid w:val="00D22328"/>
    <w:rsid w:val="00D223D3"/>
    <w:rsid w:val="00D224FF"/>
    <w:rsid w:val="00D22935"/>
    <w:rsid w:val="00D22BFA"/>
    <w:rsid w:val="00D22C03"/>
    <w:rsid w:val="00D22C1C"/>
    <w:rsid w:val="00D22CFC"/>
    <w:rsid w:val="00D22D04"/>
    <w:rsid w:val="00D22E1B"/>
    <w:rsid w:val="00D2325B"/>
    <w:rsid w:val="00D23267"/>
    <w:rsid w:val="00D23295"/>
    <w:rsid w:val="00D23444"/>
    <w:rsid w:val="00D235AC"/>
    <w:rsid w:val="00D235E1"/>
    <w:rsid w:val="00D235EA"/>
    <w:rsid w:val="00D236D3"/>
    <w:rsid w:val="00D237DE"/>
    <w:rsid w:val="00D23997"/>
    <w:rsid w:val="00D239D2"/>
    <w:rsid w:val="00D23AA7"/>
    <w:rsid w:val="00D23AC2"/>
    <w:rsid w:val="00D23BA8"/>
    <w:rsid w:val="00D23D09"/>
    <w:rsid w:val="00D23D26"/>
    <w:rsid w:val="00D23DE1"/>
    <w:rsid w:val="00D23E0E"/>
    <w:rsid w:val="00D23E4D"/>
    <w:rsid w:val="00D23FAC"/>
    <w:rsid w:val="00D2401A"/>
    <w:rsid w:val="00D24032"/>
    <w:rsid w:val="00D2417D"/>
    <w:rsid w:val="00D24233"/>
    <w:rsid w:val="00D24234"/>
    <w:rsid w:val="00D2425C"/>
    <w:rsid w:val="00D242BE"/>
    <w:rsid w:val="00D242FC"/>
    <w:rsid w:val="00D24399"/>
    <w:rsid w:val="00D24959"/>
    <w:rsid w:val="00D24A55"/>
    <w:rsid w:val="00D24BDC"/>
    <w:rsid w:val="00D24CE3"/>
    <w:rsid w:val="00D24EFB"/>
    <w:rsid w:val="00D24FAF"/>
    <w:rsid w:val="00D25037"/>
    <w:rsid w:val="00D250ED"/>
    <w:rsid w:val="00D25292"/>
    <w:rsid w:val="00D252E7"/>
    <w:rsid w:val="00D2537F"/>
    <w:rsid w:val="00D25629"/>
    <w:rsid w:val="00D256AB"/>
    <w:rsid w:val="00D25749"/>
    <w:rsid w:val="00D25994"/>
    <w:rsid w:val="00D259D0"/>
    <w:rsid w:val="00D259DA"/>
    <w:rsid w:val="00D25AAD"/>
    <w:rsid w:val="00D25B7A"/>
    <w:rsid w:val="00D25B9E"/>
    <w:rsid w:val="00D25F29"/>
    <w:rsid w:val="00D261EE"/>
    <w:rsid w:val="00D2631D"/>
    <w:rsid w:val="00D265B4"/>
    <w:rsid w:val="00D26604"/>
    <w:rsid w:val="00D266C2"/>
    <w:rsid w:val="00D266DF"/>
    <w:rsid w:val="00D266E4"/>
    <w:rsid w:val="00D26770"/>
    <w:rsid w:val="00D2679B"/>
    <w:rsid w:val="00D26864"/>
    <w:rsid w:val="00D26901"/>
    <w:rsid w:val="00D26B69"/>
    <w:rsid w:val="00D26CA0"/>
    <w:rsid w:val="00D26D2A"/>
    <w:rsid w:val="00D26DB3"/>
    <w:rsid w:val="00D26DF9"/>
    <w:rsid w:val="00D26E1F"/>
    <w:rsid w:val="00D26E25"/>
    <w:rsid w:val="00D26FD8"/>
    <w:rsid w:val="00D2709E"/>
    <w:rsid w:val="00D27148"/>
    <w:rsid w:val="00D27197"/>
    <w:rsid w:val="00D273B1"/>
    <w:rsid w:val="00D27484"/>
    <w:rsid w:val="00D275C7"/>
    <w:rsid w:val="00D27731"/>
    <w:rsid w:val="00D27900"/>
    <w:rsid w:val="00D27944"/>
    <w:rsid w:val="00D27A45"/>
    <w:rsid w:val="00D27A50"/>
    <w:rsid w:val="00D27A8F"/>
    <w:rsid w:val="00D27AB4"/>
    <w:rsid w:val="00D27B56"/>
    <w:rsid w:val="00D27B7A"/>
    <w:rsid w:val="00D27BA0"/>
    <w:rsid w:val="00D27CBF"/>
    <w:rsid w:val="00D27CCF"/>
    <w:rsid w:val="00D27CDE"/>
    <w:rsid w:val="00D27D6D"/>
    <w:rsid w:val="00D27EBB"/>
    <w:rsid w:val="00D27EEE"/>
    <w:rsid w:val="00D3001D"/>
    <w:rsid w:val="00D30110"/>
    <w:rsid w:val="00D3012B"/>
    <w:rsid w:val="00D301D5"/>
    <w:rsid w:val="00D30214"/>
    <w:rsid w:val="00D3033B"/>
    <w:rsid w:val="00D30491"/>
    <w:rsid w:val="00D304CA"/>
    <w:rsid w:val="00D3059A"/>
    <w:rsid w:val="00D305AC"/>
    <w:rsid w:val="00D305DE"/>
    <w:rsid w:val="00D307E3"/>
    <w:rsid w:val="00D30821"/>
    <w:rsid w:val="00D30977"/>
    <w:rsid w:val="00D309CC"/>
    <w:rsid w:val="00D309F3"/>
    <w:rsid w:val="00D30A28"/>
    <w:rsid w:val="00D30AA4"/>
    <w:rsid w:val="00D30AB1"/>
    <w:rsid w:val="00D30B46"/>
    <w:rsid w:val="00D30DC2"/>
    <w:rsid w:val="00D30F9F"/>
    <w:rsid w:val="00D31256"/>
    <w:rsid w:val="00D31259"/>
    <w:rsid w:val="00D31289"/>
    <w:rsid w:val="00D3150C"/>
    <w:rsid w:val="00D31531"/>
    <w:rsid w:val="00D31558"/>
    <w:rsid w:val="00D3158C"/>
    <w:rsid w:val="00D315D9"/>
    <w:rsid w:val="00D31668"/>
    <w:rsid w:val="00D316BF"/>
    <w:rsid w:val="00D3188A"/>
    <w:rsid w:val="00D31A81"/>
    <w:rsid w:val="00D31BD2"/>
    <w:rsid w:val="00D31F3A"/>
    <w:rsid w:val="00D3200E"/>
    <w:rsid w:val="00D32114"/>
    <w:rsid w:val="00D32306"/>
    <w:rsid w:val="00D323A0"/>
    <w:rsid w:val="00D32476"/>
    <w:rsid w:val="00D32664"/>
    <w:rsid w:val="00D3269A"/>
    <w:rsid w:val="00D326AD"/>
    <w:rsid w:val="00D326D6"/>
    <w:rsid w:val="00D3284D"/>
    <w:rsid w:val="00D328A9"/>
    <w:rsid w:val="00D328B7"/>
    <w:rsid w:val="00D32911"/>
    <w:rsid w:val="00D32976"/>
    <w:rsid w:val="00D329CE"/>
    <w:rsid w:val="00D32A59"/>
    <w:rsid w:val="00D32C3D"/>
    <w:rsid w:val="00D32DB7"/>
    <w:rsid w:val="00D32DBF"/>
    <w:rsid w:val="00D32E00"/>
    <w:rsid w:val="00D32E97"/>
    <w:rsid w:val="00D32EC2"/>
    <w:rsid w:val="00D32F76"/>
    <w:rsid w:val="00D32F95"/>
    <w:rsid w:val="00D33040"/>
    <w:rsid w:val="00D33127"/>
    <w:rsid w:val="00D33139"/>
    <w:rsid w:val="00D33151"/>
    <w:rsid w:val="00D3371C"/>
    <w:rsid w:val="00D33750"/>
    <w:rsid w:val="00D33782"/>
    <w:rsid w:val="00D337AA"/>
    <w:rsid w:val="00D337B9"/>
    <w:rsid w:val="00D33BF6"/>
    <w:rsid w:val="00D33C0F"/>
    <w:rsid w:val="00D33D07"/>
    <w:rsid w:val="00D33D69"/>
    <w:rsid w:val="00D34225"/>
    <w:rsid w:val="00D34307"/>
    <w:rsid w:val="00D3451B"/>
    <w:rsid w:val="00D3465B"/>
    <w:rsid w:val="00D3465F"/>
    <w:rsid w:val="00D34679"/>
    <w:rsid w:val="00D3473D"/>
    <w:rsid w:val="00D348A3"/>
    <w:rsid w:val="00D349FE"/>
    <w:rsid w:val="00D34B3B"/>
    <w:rsid w:val="00D34B4B"/>
    <w:rsid w:val="00D34B77"/>
    <w:rsid w:val="00D34CDE"/>
    <w:rsid w:val="00D34F45"/>
    <w:rsid w:val="00D34F5A"/>
    <w:rsid w:val="00D350C6"/>
    <w:rsid w:val="00D355B0"/>
    <w:rsid w:val="00D356C6"/>
    <w:rsid w:val="00D357EA"/>
    <w:rsid w:val="00D35902"/>
    <w:rsid w:val="00D35924"/>
    <w:rsid w:val="00D35931"/>
    <w:rsid w:val="00D35A71"/>
    <w:rsid w:val="00D35B33"/>
    <w:rsid w:val="00D35B51"/>
    <w:rsid w:val="00D35B62"/>
    <w:rsid w:val="00D35BC5"/>
    <w:rsid w:val="00D35C11"/>
    <w:rsid w:val="00D35D83"/>
    <w:rsid w:val="00D35E68"/>
    <w:rsid w:val="00D35FE0"/>
    <w:rsid w:val="00D3602B"/>
    <w:rsid w:val="00D36095"/>
    <w:rsid w:val="00D36147"/>
    <w:rsid w:val="00D362CF"/>
    <w:rsid w:val="00D364C5"/>
    <w:rsid w:val="00D364E3"/>
    <w:rsid w:val="00D3657B"/>
    <w:rsid w:val="00D36688"/>
    <w:rsid w:val="00D3671C"/>
    <w:rsid w:val="00D36724"/>
    <w:rsid w:val="00D367AA"/>
    <w:rsid w:val="00D368D8"/>
    <w:rsid w:val="00D369BF"/>
    <w:rsid w:val="00D36AE8"/>
    <w:rsid w:val="00D36D93"/>
    <w:rsid w:val="00D36E67"/>
    <w:rsid w:val="00D36EDB"/>
    <w:rsid w:val="00D36FF7"/>
    <w:rsid w:val="00D370E2"/>
    <w:rsid w:val="00D37131"/>
    <w:rsid w:val="00D37168"/>
    <w:rsid w:val="00D371D8"/>
    <w:rsid w:val="00D37248"/>
    <w:rsid w:val="00D37411"/>
    <w:rsid w:val="00D374A3"/>
    <w:rsid w:val="00D37667"/>
    <w:rsid w:val="00D37761"/>
    <w:rsid w:val="00D378B5"/>
    <w:rsid w:val="00D37B2D"/>
    <w:rsid w:val="00D37CB6"/>
    <w:rsid w:val="00D37E74"/>
    <w:rsid w:val="00D400C7"/>
    <w:rsid w:val="00D400D0"/>
    <w:rsid w:val="00D4053E"/>
    <w:rsid w:val="00D405A3"/>
    <w:rsid w:val="00D405AB"/>
    <w:rsid w:val="00D407CD"/>
    <w:rsid w:val="00D407D2"/>
    <w:rsid w:val="00D4086F"/>
    <w:rsid w:val="00D40A5E"/>
    <w:rsid w:val="00D40B46"/>
    <w:rsid w:val="00D40B80"/>
    <w:rsid w:val="00D40C68"/>
    <w:rsid w:val="00D40C9C"/>
    <w:rsid w:val="00D40CCE"/>
    <w:rsid w:val="00D40D57"/>
    <w:rsid w:val="00D40E33"/>
    <w:rsid w:val="00D40EA3"/>
    <w:rsid w:val="00D40FA4"/>
    <w:rsid w:val="00D410CE"/>
    <w:rsid w:val="00D410E9"/>
    <w:rsid w:val="00D41105"/>
    <w:rsid w:val="00D4115D"/>
    <w:rsid w:val="00D411AA"/>
    <w:rsid w:val="00D415A4"/>
    <w:rsid w:val="00D41860"/>
    <w:rsid w:val="00D41927"/>
    <w:rsid w:val="00D41976"/>
    <w:rsid w:val="00D419E2"/>
    <w:rsid w:val="00D41A98"/>
    <w:rsid w:val="00D41CEF"/>
    <w:rsid w:val="00D41D18"/>
    <w:rsid w:val="00D41D1F"/>
    <w:rsid w:val="00D41D6B"/>
    <w:rsid w:val="00D41DB9"/>
    <w:rsid w:val="00D41EB8"/>
    <w:rsid w:val="00D41EBB"/>
    <w:rsid w:val="00D41F11"/>
    <w:rsid w:val="00D4207B"/>
    <w:rsid w:val="00D42240"/>
    <w:rsid w:val="00D422A7"/>
    <w:rsid w:val="00D42434"/>
    <w:rsid w:val="00D42502"/>
    <w:rsid w:val="00D425A0"/>
    <w:rsid w:val="00D4285F"/>
    <w:rsid w:val="00D42A9D"/>
    <w:rsid w:val="00D42B7E"/>
    <w:rsid w:val="00D42B82"/>
    <w:rsid w:val="00D42BED"/>
    <w:rsid w:val="00D42BFB"/>
    <w:rsid w:val="00D42C99"/>
    <w:rsid w:val="00D42D15"/>
    <w:rsid w:val="00D42E26"/>
    <w:rsid w:val="00D42E47"/>
    <w:rsid w:val="00D42E49"/>
    <w:rsid w:val="00D42ECE"/>
    <w:rsid w:val="00D42F90"/>
    <w:rsid w:val="00D432D2"/>
    <w:rsid w:val="00D433AA"/>
    <w:rsid w:val="00D43563"/>
    <w:rsid w:val="00D43597"/>
    <w:rsid w:val="00D437AD"/>
    <w:rsid w:val="00D4386D"/>
    <w:rsid w:val="00D43964"/>
    <w:rsid w:val="00D43B3A"/>
    <w:rsid w:val="00D43B9D"/>
    <w:rsid w:val="00D43DE6"/>
    <w:rsid w:val="00D43E42"/>
    <w:rsid w:val="00D43ED1"/>
    <w:rsid w:val="00D43F96"/>
    <w:rsid w:val="00D43FB1"/>
    <w:rsid w:val="00D43FD6"/>
    <w:rsid w:val="00D44174"/>
    <w:rsid w:val="00D441D1"/>
    <w:rsid w:val="00D441FC"/>
    <w:rsid w:val="00D443D5"/>
    <w:rsid w:val="00D4482F"/>
    <w:rsid w:val="00D448A1"/>
    <w:rsid w:val="00D44904"/>
    <w:rsid w:val="00D44965"/>
    <w:rsid w:val="00D44A98"/>
    <w:rsid w:val="00D44B02"/>
    <w:rsid w:val="00D44FAC"/>
    <w:rsid w:val="00D450DB"/>
    <w:rsid w:val="00D45179"/>
    <w:rsid w:val="00D451D8"/>
    <w:rsid w:val="00D452AD"/>
    <w:rsid w:val="00D452C9"/>
    <w:rsid w:val="00D4547A"/>
    <w:rsid w:val="00D4549F"/>
    <w:rsid w:val="00D456A5"/>
    <w:rsid w:val="00D45843"/>
    <w:rsid w:val="00D45846"/>
    <w:rsid w:val="00D459DC"/>
    <w:rsid w:val="00D45A83"/>
    <w:rsid w:val="00D45B54"/>
    <w:rsid w:val="00D45B89"/>
    <w:rsid w:val="00D45BDF"/>
    <w:rsid w:val="00D45CA6"/>
    <w:rsid w:val="00D45CD6"/>
    <w:rsid w:val="00D45E0C"/>
    <w:rsid w:val="00D45E15"/>
    <w:rsid w:val="00D45F06"/>
    <w:rsid w:val="00D45FBF"/>
    <w:rsid w:val="00D461BF"/>
    <w:rsid w:val="00D462F3"/>
    <w:rsid w:val="00D463F7"/>
    <w:rsid w:val="00D46424"/>
    <w:rsid w:val="00D46551"/>
    <w:rsid w:val="00D46562"/>
    <w:rsid w:val="00D46675"/>
    <w:rsid w:val="00D469A4"/>
    <w:rsid w:val="00D46A9C"/>
    <w:rsid w:val="00D46B00"/>
    <w:rsid w:val="00D46B92"/>
    <w:rsid w:val="00D46B99"/>
    <w:rsid w:val="00D46C12"/>
    <w:rsid w:val="00D46C54"/>
    <w:rsid w:val="00D46EDF"/>
    <w:rsid w:val="00D46FDC"/>
    <w:rsid w:val="00D4741F"/>
    <w:rsid w:val="00D4747D"/>
    <w:rsid w:val="00D4758C"/>
    <w:rsid w:val="00D47609"/>
    <w:rsid w:val="00D47647"/>
    <w:rsid w:val="00D4766B"/>
    <w:rsid w:val="00D47734"/>
    <w:rsid w:val="00D477AB"/>
    <w:rsid w:val="00D477CD"/>
    <w:rsid w:val="00D47961"/>
    <w:rsid w:val="00D479B5"/>
    <w:rsid w:val="00D47B7D"/>
    <w:rsid w:val="00D47CDB"/>
    <w:rsid w:val="00D47D76"/>
    <w:rsid w:val="00D47E1C"/>
    <w:rsid w:val="00D47F63"/>
    <w:rsid w:val="00D50050"/>
    <w:rsid w:val="00D501B7"/>
    <w:rsid w:val="00D5031E"/>
    <w:rsid w:val="00D503E8"/>
    <w:rsid w:val="00D50420"/>
    <w:rsid w:val="00D50547"/>
    <w:rsid w:val="00D5058E"/>
    <w:rsid w:val="00D505A9"/>
    <w:rsid w:val="00D50841"/>
    <w:rsid w:val="00D509BD"/>
    <w:rsid w:val="00D50A32"/>
    <w:rsid w:val="00D50A55"/>
    <w:rsid w:val="00D50AB2"/>
    <w:rsid w:val="00D50BD6"/>
    <w:rsid w:val="00D50D0A"/>
    <w:rsid w:val="00D50D39"/>
    <w:rsid w:val="00D50F4D"/>
    <w:rsid w:val="00D50FB7"/>
    <w:rsid w:val="00D50FD5"/>
    <w:rsid w:val="00D51090"/>
    <w:rsid w:val="00D51105"/>
    <w:rsid w:val="00D51144"/>
    <w:rsid w:val="00D51237"/>
    <w:rsid w:val="00D512F2"/>
    <w:rsid w:val="00D51314"/>
    <w:rsid w:val="00D51454"/>
    <w:rsid w:val="00D514DA"/>
    <w:rsid w:val="00D51539"/>
    <w:rsid w:val="00D51685"/>
    <w:rsid w:val="00D516DB"/>
    <w:rsid w:val="00D51721"/>
    <w:rsid w:val="00D51739"/>
    <w:rsid w:val="00D5176F"/>
    <w:rsid w:val="00D51820"/>
    <w:rsid w:val="00D51871"/>
    <w:rsid w:val="00D51872"/>
    <w:rsid w:val="00D5196F"/>
    <w:rsid w:val="00D51B37"/>
    <w:rsid w:val="00D51CBA"/>
    <w:rsid w:val="00D520C7"/>
    <w:rsid w:val="00D52122"/>
    <w:rsid w:val="00D5229D"/>
    <w:rsid w:val="00D522B1"/>
    <w:rsid w:val="00D523E3"/>
    <w:rsid w:val="00D52463"/>
    <w:rsid w:val="00D527C0"/>
    <w:rsid w:val="00D52823"/>
    <w:rsid w:val="00D52A0D"/>
    <w:rsid w:val="00D52A1E"/>
    <w:rsid w:val="00D52A52"/>
    <w:rsid w:val="00D52AD0"/>
    <w:rsid w:val="00D52B1B"/>
    <w:rsid w:val="00D52B7B"/>
    <w:rsid w:val="00D52BC8"/>
    <w:rsid w:val="00D52D00"/>
    <w:rsid w:val="00D52DD8"/>
    <w:rsid w:val="00D52E1F"/>
    <w:rsid w:val="00D5306E"/>
    <w:rsid w:val="00D53119"/>
    <w:rsid w:val="00D53237"/>
    <w:rsid w:val="00D53260"/>
    <w:rsid w:val="00D532A3"/>
    <w:rsid w:val="00D53343"/>
    <w:rsid w:val="00D53355"/>
    <w:rsid w:val="00D53356"/>
    <w:rsid w:val="00D53367"/>
    <w:rsid w:val="00D53517"/>
    <w:rsid w:val="00D53593"/>
    <w:rsid w:val="00D536CA"/>
    <w:rsid w:val="00D53A51"/>
    <w:rsid w:val="00D53C2C"/>
    <w:rsid w:val="00D53CFF"/>
    <w:rsid w:val="00D53DEE"/>
    <w:rsid w:val="00D53DF1"/>
    <w:rsid w:val="00D53E1E"/>
    <w:rsid w:val="00D53FBF"/>
    <w:rsid w:val="00D54052"/>
    <w:rsid w:val="00D54161"/>
    <w:rsid w:val="00D54315"/>
    <w:rsid w:val="00D5438B"/>
    <w:rsid w:val="00D5448D"/>
    <w:rsid w:val="00D54720"/>
    <w:rsid w:val="00D5475E"/>
    <w:rsid w:val="00D547FC"/>
    <w:rsid w:val="00D54844"/>
    <w:rsid w:val="00D549D5"/>
    <w:rsid w:val="00D54AF1"/>
    <w:rsid w:val="00D54BC3"/>
    <w:rsid w:val="00D54C12"/>
    <w:rsid w:val="00D54C63"/>
    <w:rsid w:val="00D54C7C"/>
    <w:rsid w:val="00D54D10"/>
    <w:rsid w:val="00D54DC2"/>
    <w:rsid w:val="00D54F75"/>
    <w:rsid w:val="00D54FC2"/>
    <w:rsid w:val="00D550AB"/>
    <w:rsid w:val="00D551C4"/>
    <w:rsid w:val="00D55287"/>
    <w:rsid w:val="00D5535E"/>
    <w:rsid w:val="00D553C4"/>
    <w:rsid w:val="00D5586F"/>
    <w:rsid w:val="00D558B7"/>
    <w:rsid w:val="00D5591F"/>
    <w:rsid w:val="00D55975"/>
    <w:rsid w:val="00D559A1"/>
    <w:rsid w:val="00D55A85"/>
    <w:rsid w:val="00D55CE9"/>
    <w:rsid w:val="00D55D10"/>
    <w:rsid w:val="00D55D65"/>
    <w:rsid w:val="00D55F4F"/>
    <w:rsid w:val="00D5604A"/>
    <w:rsid w:val="00D5623C"/>
    <w:rsid w:val="00D5634D"/>
    <w:rsid w:val="00D563CA"/>
    <w:rsid w:val="00D56487"/>
    <w:rsid w:val="00D56580"/>
    <w:rsid w:val="00D565DD"/>
    <w:rsid w:val="00D565ED"/>
    <w:rsid w:val="00D5670C"/>
    <w:rsid w:val="00D567EA"/>
    <w:rsid w:val="00D568B8"/>
    <w:rsid w:val="00D568D9"/>
    <w:rsid w:val="00D568DC"/>
    <w:rsid w:val="00D5694A"/>
    <w:rsid w:val="00D569A6"/>
    <w:rsid w:val="00D569B5"/>
    <w:rsid w:val="00D56A11"/>
    <w:rsid w:val="00D56BC6"/>
    <w:rsid w:val="00D56DF1"/>
    <w:rsid w:val="00D57041"/>
    <w:rsid w:val="00D57103"/>
    <w:rsid w:val="00D57111"/>
    <w:rsid w:val="00D57425"/>
    <w:rsid w:val="00D57648"/>
    <w:rsid w:val="00D57690"/>
    <w:rsid w:val="00D576E0"/>
    <w:rsid w:val="00D576FC"/>
    <w:rsid w:val="00D577F2"/>
    <w:rsid w:val="00D57883"/>
    <w:rsid w:val="00D578DC"/>
    <w:rsid w:val="00D57957"/>
    <w:rsid w:val="00D57974"/>
    <w:rsid w:val="00D57983"/>
    <w:rsid w:val="00D57A16"/>
    <w:rsid w:val="00D57A2E"/>
    <w:rsid w:val="00D57A40"/>
    <w:rsid w:val="00D57A58"/>
    <w:rsid w:val="00D57D8E"/>
    <w:rsid w:val="00D57E1D"/>
    <w:rsid w:val="00D57EE6"/>
    <w:rsid w:val="00D57F3B"/>
    <w:rsid w:val="00D57FB9"/>
    <w:rsid w:val="00D60063"/>
    <w:rsid w:val="00D600E8"/>
    <w:rsid w:val="00D601C9"/>
    <w:rsid w:val="00D6022E"/>
    <w:rsid w:val="00D60242"/>
    <w:rsid w:val="00D60335"/>
    <w:rsid w:val="00D603A3"/>
    <w:rsid w:val="00D60627"/>
    <w:rsid w:val="00D606C1"/>
    <w:rsid w:val="00D607A8"/>
    <w:rsid w:val="00D6084E"/>
    <w:rsid w:val="00D608F5"/>
    <w:rsid w:val="00D6094F"/>
    <w:rsid w:val="00D609B0"/>
    <w:rsid w:val="00D60B1D"/>
    <w:rsid w:val="00D60BB9"/>
    <w:rsid w:val="00D60C11"/>
    <w:rsid w:val="00D60C3B"/>
    <w:rsid w:val="00D60CA0"/>
    <w:rsid w:val="00D60D0D"/>
    <w:rsid w:val="00D60E98"/>
    <w:rsid w:val="00D60EAE"/>
    <w:rsid w:val="00D60F03"/>
    <w:rsid w:val="00D60FA7"/>
    <w:rsid w:val="00D60FF7"/>
    <w:rsid w:val="00D610BE"/>
    <w:rsid w:val="00D61298"/>
    <w:rsid w:val="00D612B5"/>
    <w:rsid w:val="00D6133D"/>
    <w:rsid w:val="00D61421"/>
    <w:rsid w:val="00D61659"/>
    <w:rsid w:val="00D61716"/>
    <w:rsid w:val="00D6193E"/>
    <w:rsid w:val="00D619DC"/>
    <w:rsid w:val="00D61ADE"/>
    <w:rsid w:val="00D61D93"/>
    <w:rsid w:val="00D61E42"/>
    <w:rsid w:val="00D61EDF"/>
    <w:rsid w:val="00D6218A"/>
    <w:rsid w:val="00D62242"/>
    <w:rsid w:val="00D62261"/>
    <w:rsid w:val="00D62349"/>
    <w:rsid w:val="00D625F1"/>
    <w:rsid w:val="00D6267E"/>
    <w:rsid w:val="00D62A14"/>
    <w:rsid w:val="00D62A79"/>
    <w:rsid w:val="00D62B80"/>
    <w:rsid w:val="00D62D14"/>
    <w:rsid w:val="00D62E4E"/>
    <w:rsid w:val="00D631B5"/>
    <w:rsid w:val="00D632D2"/>
    <w:rsid w:val="00D633A8"/>
    <w:rsid w:val="00D635DE"/>
    <w:rsid w:val="00D638DE"/>
    <w:rsid w:val="00D639D0"/>
    <w:rsid w:val="00D63A09"/>
    <w:rsid w:val="00D63BB8"/>
    <w:rsid w:val="00D63C21"/>
    <w:rsid w:val="00D63C9C"/>
    <w:rsid w:val="00D63D8A"/>
    <w:rsid w:val="00D63F2B"/>
    <w:rsid w:val="00D63F39"/>
    <w:rsid w:val="00D63F77"/>
    <w:rsid w:val="00D64207"/>
    <w:rsid w:val="00D64218"/>
    <w:rsid w:val="00D64376"/>
    <w:rsid w:val="00D6449E"/>
    <w:rsid w:val="00D644A8"/>
    <w:rsid w:val="00D6461F"/>
    <w:rsid w:val="00D646ED"/>
    <w:rsid w:val="00D646F9"/>
    <w:rsid w:val="00D649AB"/>
    <w:rsid w:val="00D649F2"/>
    <w:rsid w:val="00D64A51"/>
    <w:rsid w:val="00D64AAF"/>
    <w:rsid w:val="00D64B11"/>
    <w:rsid w:val="00D64B41"/>
    <w:rsid w:val="00D64B42"/>
    <w:rsid w:val="00D64BB0"/>
    <w:rsid w:val="00D64C8E"/>
    <w:rsid w:val="00D64CB0"/>
    <w:rsid w:val="00D64CD3"/>
    <w:rsid w:val="00D64D11"/>
    <w:rsid w:val="00D64D8A"/>
    <w:rsid w:val="00D64DC3"/>
    <w:rsid w:val="00D64DC4"/>
    <w:rsid w:val="00D64E02"/>
    <w:rsid w:val="00D64E4C"/>
    <w:rsid w:val="00D64EB6"/>
    <w:rsid w:val="00D64F84"/>
    <w:rsid w:val="00D64FE1"/>
    <w:rsid w:val="00D64FEC"/>
    <w:rsid w:val="00D65016"/>
    <w:rsid w:val="00D65258"/>
    <w:rsid w:val="00D652E6"/>
    <w:rsid w:val="00D65617"/>
    <w:rsid w:val="00D6566D"/>
    <w:rsid w:val="00D65678"/>
    <w:rsid w:val="00D6578D"/>
    <w:rsid w:val="00D659FC"/>
    <w:rsid w:val="00D65AEA"/>
    <w:rsid w:val="00D65C00"/>
    <w:rsid w:val="00D65DDF"/>
    <w:rsid w:val="00D65E43"/>
    <w:rsid w:val="00D65EC8"/>
    <w:rsid w:val="00D65EDF"/>
    <w:rsid w:val="00D65F9D"/>
    <w:rsid w:val="00D663C7"/>
    <w:rsid w:val="00D66431"/>
    <w:rsid w:val="00D665A6"/>
    <w:rsid w:val="00D665A7"/>
    <w:rsid w:val="00D666A7"/>
    <w:rsid w:val="00D666F1"/>
    <w:rsid w:val="00D668F3"/>
    <w:rsid w:val="00D66A63"/>
    <w:rsid w:val="00D66B93"/>
    <w:rsid w:val="00D66DB8"/>
    <w:rsid w:val="00D66F21"/>
    <w:rsid w:val="00D66F94"/>
    <w:rsid w:val="00D671E1"/>
    <w:rsid w:val="00D672FC"/>
    <w:rsid w:val="00D6730A"/>
    <w:rsid w:val="00D67605"/>
    <w:rsid w:val="00D676B4"/>
    <w:rsid w:val="00D676DB"/>
    <w:rsid w:val="00D67701"/>
    <w:rsid w:val="00D679E0"/>
    <w:rsid w:val="00D67D0C"/>
    <w:rsid w:val="00D67DBA"/>
    <w:rsid w:val="00D67F20"/>
    <w:rsid w:val="00D7035A"/>
    <w:rsid w:val="00D7042F"/>
    <w:rsid w:val="00D70622"/>
    <w:rsid w:val="00D70723"/>
    <w:rsid w:val="00D707B9"/>
    <w:rsid w:val="00D70858"/>
    <w:rsid w:val="00D70885"/>
    <w:rsid w:val="00D70B5D"/>
    <w:rsid w:val="00D70C05"/>
    <w:rsid w:val="00D70F04"/>
    <w:rsid w:val="00D70FBE"/>
    <w:rsid w:val="00D71011"/>
    <w:rsid w:val="00D712D6"/>
    <w:rsid w:val="00D7159E"/>
    <w:rsid w:val="00D715C3"/>
    <w:rsid w:val="00D715D4"/>
    <w:rsid w:val="00D7167A"/>
    <w:rsid w:val="00D71851"/>
    <w:rsid w:val="00D719A1"/>
    <w:rsid w:val="00D71A51"/>
    <w:rsid w:val="00D71B20"/>
    <w:rsid w:val="00D71B3D"/>
    <w:rsid w:val="00D71C46"/>
    <w:rsid w:val="00D71DE2"/>
    <w:rsid w:val="00D71E2F"/>
    <w:rsid w:val="00D71EEA"/>
    <w:rsid w:val="00D71F87"/>
    <w:rsid w:val="00D71FF8"/>
    <w:rsid w:val="00D7202F"/>
    <w:rsid w:val="00D72055"/>
    <w:rsid w:val="00D7211F"/>
    <w:rsid w:val="00D721C3"/>
    <w:rsid w:val="00D72246"/>
    <w:rsid w:val="00D7247A"/>
    <w:rsid w:val="00D72584"/>
    <w:rsid w:val="00D72671"/>
    <w:rsid w:val="00D7277B"/>
    <w:rsid w:val="00D72839"/>
    <w:rsid w:val="00D72A69"/>
    <w:rsid w:val="00D72AFB"/>
    <w:rsid w:val="00D72C4A"/>
    <w:rsid w:val="00D72D5E"/>
    <w:rsid w:val="00D72ECF"/>
    <w:rsid w:val="00D72F6B"/>
    <w:rsid w:val="00D73017"/>
    <w:rsid w:val="00D73030"/>
    <w:rsid w:val="00D730C7"/>
    <w:rsid w:val="00D73231"/>
    <w:rsid w:val="00D73272"/>
    <w:rsid w:val="00D732AC"/>
    <w:rsid w:val="00D732F3"/>
    <w:rsid w:val="00D732FA"/>
    <w:rsid w:val="00D73319"/>
    <w:rsid w:val="00D73445"/>
    <w:rsid w:val="00D734CD"/>
    <w:rsid w:val="00D73519"/>
    <w:rsid w:val="00D736A1"/>
    <w:rsid w:val="00D736DB"/>
    <w:rsid w:val="00D736DD"/>
    <w:rsid w:val="00D7376F"/>
    <w:rsid w:val="00D73779"/>
    <w:rsid w:val="00D737DE"/>
    <w:rsid w:val="00D73A80"/>
    <w:rsid w:val="00D73A86"/>
    <w:rsid w:val="00D73D69"/>
    <w:rsid w:val="00D73D8F"/>
    <w:rsid w:val="00D73E48"/>
    <w:rsid w:val="00D74047"/>
    <w:rsid w:val="00D74075"/>
    <w:rsid w:val="00D740B5"/>
    <w:rsid w:val="00D7424A"/>
    <w:rsid w:val="00D742FE"/>
    <w:rsid w:val="00D7433A"/>
    <w:rsid w:val="00D74454"/>
    <w:rsid w:val="00D7453B"/>
    <w:rsid w:val="00D74572"/>
    <w:rsid w:val="00D745EA"/>
    <w:rsid w:val="00D74775"/>
    <w:rsid w:val="00D749DE"/>
    <w:rsid w:val="00D74A87"/>
    <w:rsid w:val="00D74A89"/>
    <w:rsid w:val="00D74BE7"/>
    <w:rsid w:val="00D74D9E"/>
    <w:rsid w:val="00D7503E"/>
    <w:rsid w:val="00D75101"/>
    <w:rsid w:val="00D751E3"/>
    <w:rsid w:val="00D75356"/>
    <w:rsid w:val="00D753CB"/>
    <w:rsid w:val="00D7542F"/>
    <w:rsid w:val="00D75472"/>
    <w:rsid w:val="00D75482"/>
    <w:rsid w:val="00D754EA"/>
    <w:rsid w:val="00D75501"/>
    <w:rsid w:val="00D75523"/>
    <w:rsid w:val="00D75681"/>
    <w:rsid w:val="00D75686"/>
    <w:rsid w:val="00D7571E"/>
    <w:rsid w:val="00D7579B"/>
    <w:rsid w:val="00D759AF"/>
    <w:rsid w:val="00D75B22"/>
    <w:rsid w:val="00D75B49"/>
    <w:rsid w:val="00D75B59"/>
    <w:rsid w:val="00D75E35"/>
    <w:rsid w:val="00D75EE8"/>
    <w:rsid w:val="00D75F73"/>
    <w:rsid w:val="00D75FE8"/>
    <w:rsid w:val="00D76040"/>
    <w:rsid w:val="00D760B6"/>
    <w:rsid w:val="00D760FF"/>
    <w:rsid w:val="00D761C5"/>
    <w:rsid w:val="00D76215"/>
    <w:rsid w:val="00D76287"/>
    <w:rsid w:val="00D7640F"/>
    <w:rsid w:val="00D76494"/>
    <w:rsid w:val="00D76637"/>
    <w:rsid w:val="00D76645"/>
    <w:rsid w:val="00D76BDC"/>
    <w:rsid w:val="00D76DE9"/>
    <w:rsid w:val="00D76EAC"/>
    <w:rsid w:val="00D76F7D"/>
    <w:rsid w:val="00D76F7F"/>
    <w:rsid w:val="00D76FE0"/>
    <w:rsid w:val="00D772D0"/>
    <w:rsid w:val="00D77324"/>
    <w:rsid w:val="00D77383"/>
    <w:rsid w:val="00D774E7"/>
    <w:rsid w:val="00D7754F"/>
    <w:rsid w:val="00D7766F"/>
    <w:rsid w:val="00D777C5"/>
    <w:rsid w:val="00D77957"/>
    <w:rsid w:val="00D77AE9"/>
    <w:rsid w:val="00D77AFB"/>
    <w:rsid w:val="00D77D22"/>
    <w:rsid w:val="00D77E0A"/>
    <w:rsid w:val="00D77F31"/>
    <w:rsid w:val="00D77F5F"/>
    <w:rsid w:val="00D80135"/>
    <w:rsid w:val="00D80144"/>
    <w:rsid w:val="00D801C2"/>
    <w:rsid w:val="00D802E1"/>
    <w:rsid w:val="00D80402"/>
    <w:rsid w:val="00D80511"/>
    <w:rsid w:val="00D80525"/>
    <w:rsid w:val="00D80758"/>
    <w:rsid w:val="00D80A3D"/>
    <w:rsid w:val="00D80C22"/>
    <w:rsid w:val="00D80CA8"/>
    <w:rsid w:val="00D80F5D"/>
    <w:rsid w:val="00D8104A"/>
    <w:rsid w:val="00D81091"/>
    <w:rsid w:val="00D81101"/>
    <w:rsid w:val="00D812CA"/>
    <w:rsid w:val="00D8130A"/>
    <w:rsid w:val="00D81432"/>
    <w:rsid w:val="00D8160B"/>
    <w:rsid w:val="00D8178E"/>
    <w:rsid w:val="00D8179B"/>
    <w:rsid w:val="00D81838"/>
    <w:rsid w:val="00D81A72"/>
    <w:rsid w:val="00D81AF6"/>
    <w:rsid w:val="00D81B88"/>
    <w:rsid w:val="00D81C55"/>
    <w:rsid w:val="00D81E40"/>
    <w:rsid w:val="00D81E9B"/>
    <w:rsid w:val="00D81F31"/>
    <w:rsid w:val="00D82052"/>
    <w:rsid w:val="00D8212A"/>
    <w:rsid w:val="00D821AD"/>
    <w:rsid w:val="00D82268"/>
    <w:rsid w:val="00D82356"/>
    <w:rsid w:val="00D8257D"/>
    <w:rsid w:val="00D82616"/>
    <w:rsid w:val="00D8261A"/>
    <w:rsid w:val="00D82690"/>
    <w:rsid w:val="00D826F2"/>
    <w:rsid w:val="00D828B4"/>
    <w:rsid w:val="00D828DB"/>
    <w:rsid w:val="00D82921"/>
    <w:rsid w:val="00D82937"/>
    <w:rsid w:val="00D82A52"/>
    <w:rsid w:val="00D82B36"/>
    <w:rsid w:val="00D82BBC"/>
    <w:rsid w:val="00D82C97"/>
    <w:rsid w:val="00D82CC3"/>
    <w:rsid w:val="00D82DDA"/>
    <w:rsid w:val="00D82E12"/>
    <w:rsid w:val="00D82E61"/>
    <w:rsid w:val="00D82F27"/>
    <w:rsid w:val="00D82FB3"/>
    <w:rsid w:val="00D83032"/>
    <w:rsid w:val="00D83085"/>
    <w:rsid w:val="00D830A8"/>
    <w:rsid w:val="00D830BA"/>
    <w:rsid w:val="00D830DB"/>
    <w:rsid w:val="00D83111"/>
    <w:rsid w:val="00D831A4"/>
    <w:rsid w:val="00D831A7"/>
    <w:rsid w:val="00D831B4"/>
    <w:rsid w:val="00D831FD"/>
    <w:rsid w:val="00D8320B"/>
    <w:rsid w:val="00D8329E"/>
    <w:rsid w:val="00D833F4"/>
    <w:rsid w:val="00D83451"/>
    <w:rsid w:val="00D83566"/>
    <w:rsid w:val="00D83627"/>
    <w:rsid w:val="00D83654"/>
    <w:rsid w:val="00D83701"/>
    <w:rsid w:val="00D83810"/>
    <w:rsid w:val="00D838C7"/>
    <w:rsid w:val="00D83A09"/>
    <w:rsid w:val="00D83A60"/>
    <w:rsid w:val="00D83C1F"/>
    <w:rsid w:val="00D83DA6"/>
    <w:rsid w:val="00D83FE7"/>
    <w:rsid w:val="00D8424F"/>
    <w:rsid w:val="00D84275"/>
    <w:rsid w:val="00D8427C"/>
    <w:rsid w:val="00D8444E"/>
    <w:rsid w:val="00D84563"/>
    <w:rsid w:val="00D84567"/>
    <w:rsid w:val="00D845FB"/>
    <w:rsid w:val="00D84629"/>
    <w:rsid w:val="00D846C3"/>
    <w:rsid w:val="00D84782"/>
    <w:rsid w:val="00D847CF"/>
    <w:rsid w:val="00D84897"/>
    <w:rsid w:val="00D84900"/>
    <w:rsid w:val="00D84928"/>
    <w:rsid w:val="00D84971"/>
    <w:rsid w:val="00D849FB"/>
    <w:rsid w:val="00D84BEF"/>
    <w:rsid w:val="00D84C48"/>
    <w:rsid w:val="00D84C7B"/>
    <w:rsid w:val="00D84C94"/>
    <w:rsid w:val="00D84E86"/>
    <w:rsid w:val="00D84FAC"/>
    <w:rsid w:val="00D85183"/>
    <w:rsid w:val="00D85364"/>
    <w:rsid w:val="00D85373"/>
    <w:rsid w:val="00D85405"/>
    <w:rsid w:val="00D85406"/>
    <w:rsid w:val="00D85418"/>
    <w:rsid w:val="00D855B4"/>
    <w:rsid w:val="00D855F5"/>
    <w:rsid w:val="00D8567C"/>
    <w:rsid w:val="00D85787"/>
    <w:rsid w:val="00D857FC"/>
    <w:rsid w:val="00D85A7D"/>
    <w:rsid w:val="00D85B3F"/>
    <w:rsid w:val="00D85E5F"/>
    <w:rsid w:val="00D8606F"/>
    <w:rsid w:val="00D8611B"/>
    <w:rsid w:val="00D861CC"/>
    <w:rsid w:val="00D8625C"/>
    <w:rsid w:val="00D8642A"/>
    <w:rsid w:val="00D86437"/>
    <w:rsid w:val="00D86537"/>
    <w:rsid w:val="00D86624"/>
    <w:rsid w:val="00D86688"/>
    <w:rsid w:val="00D866E7"/>
    <w:rsid w:val="00D86708"/>
    <w:rsid w:val="00D867B8"/>
    <w:rsid w:val="00D8691A"/>
    <w:rsid w:val="00D86933"/>
    <w:rsid w:val="00D869D7"/>
    <w:rsid w:val="00D869E5"/>
    <w:rsid w:val="00D86A75"/>
    <w:rsid w:val="00D86B86"/>
    <w:rsid w:val="00D86B87"/>
    <w:rsid w:val="00D86DC8"/>
    <w:rsid w:val="00D86EBC"/>
    <w:rsid w:val="00D87015"/>
    <w:rsid w:val="00D8706F"/>
    <w:rsid w:val="00D87084"/>
    <w:rsid w:val="00D87246"/>
    <w:rsid w:val="00D873B4"/>
    <w:rsid w:val="00D876DF"/>
    <w:rsid w:val="00D877DC"/>
    <w:rsid w:val="00D879E5"/>
    <w:rsid w:val="00D87CE2"/>
    <w:rsid w:val="00D87F43"/>
    <w:rsid w:val="00D87FF2"/>
    <w:rsid w:val="00D90036"/>
    <w:rsid w:val="00D9008F"/>
    <w:rsid w:val="00D9018F"/>
    <w:rsid w:val="00D90463"/>
    <w:rsid w:val="00D90488"/>
    <w:rsid w:val="00D904C5"/>
    <w:rsid w:val="00D905B3"/>
    <w:rsid w:val="00D90642"/>
    <w:rsid w:val="00D907C8"/>
    <w:rsid w:val="00D907F3"/>
    <w:rsid w:val="00D90809"/>
    <w:rsid w:val="00D90864"/>
    <w:rsid w:val="00D90B43"/>
    <w:rsid w:val="00D90EA8"/>
    <w:rsid w:val="00D90F24"/>
    <w:rsid w:val="00D911AF"/>
    <w:rsid w:val="00D91244"/>
    <w:rsid w:val="00D912CE"/>
    <w:rsid w:val="00D912FE"/>
    <w:rsid w:val="00D91314"/>
    <w:rsid w:val="00D91334"/>
    <w:rsid w:val="00D913DE"/>
    <w:rsid w:val="00D91423"/>
    <w:rsid w:val="00D9154A"/>
    <w:rsid w:val="00D91628"/>
    <w:rsid w:val="00D916D0"/>
    <w:rsid w:val="00D91764"/>
    <w:rsid w:val="00D91809"/>
    <w:rsid w:val="00D91842"/>
    <w:rsid w:val="00D91861"/>
    <w:rsid w:val="00D9186C"/>
    <w:rsid w:val="00D918F3"/>
    <w:rsid w:val="00D91A4A"/>
    <w:rsid w:val="00D91BAC"/>
    <w:rsid w:val="00D91C5E"/>
    <w:rsid w:val="00D91D1B"/>
    <w:rsid w:val="00D91D7C"/>
    <w:rsid w:val="00D91ECC"/>
    <w:rsid w:val="00D91EFC"/>
    <w:rsid w:val="00D9203A"/>
    <w:rsid w:val="00D9208D"/>
    <w:rsid w:val="00D923C6"/>
    <w:rsid w:val="00D923C8"/>
    <w:rsid w:val="00D923D3"/>
    <w:rsid w:val="00D92443"/>
    <w:rsid w:val="00D9247C"/>
    <w:rsid w:val="00D92507"/>
    <w:rsid w:val="00D92671"/>
    <w:rsid w:val="00D926B0"/>
    <w:rsid w:val="00D926DC"/>
    <w:rsid w:val="00D927CE"/>
    <w:rsid w:val="00D92814"/>
    <w:rsid w:val="00D929A1"/>
    <w:rsid w:val="00D92B51"/>
    <w:rsid w:val="00D92BBB"/>
    <w:rsid w:val="00D92C5D"/>
    <w:rsid w:val="00D92CA2"/>
    <w:rsid w:val="00D92CB5"/>
    <w:rsid w:val="00D92CB8"/>
    <w:rsid w:val="00D92EA7"/>
    <w:rsid w:val="00D92F65"/>
    <w:rsid w:val="00D92F8D"/>
    <w:rsid w:val="00D9301D"/>
    <w:rsid w:val="00D9302C"/>
    <w:rsid w:val="00D93150"/>
    <w:rsid w:val="00D931D8"/>
    <w:rsid w:val="00D933BB"/>
    <w:rsid w:val="00D934D1"/>
    <w:rsid w:val="00D93555"/>
    <w:rsid w:val="00D9355D"/>
    <w:rsid w:val="00D9361A"/>
    <w:rsid w:val="00D93771"/>
    <w:rsid w:val="00D93869"/>
    <w:rsid w:val="00D93908"/>
    <w:rsid w:val="00D93A15"/>
    <w:rsid w:val="00D93A64"/>
    <w:rsid w:val="00D93A68"/>
    <w:rsid w:val="00D93ABD"/>
    <w:rsid w:val="00D93BB2"/>
    <w:rsid w:val="00D93BE4"/>
    <w:rsid w:val="00D93D67"/>
    <w:rsid w:val="00D93D98"/>
    <w:rsid w:val="00D93E6F"/>
    <w:rsid w:val="00D94077"/>
    <w:rsid w:val="00D940D2"/>
    <w:rsid w:val="00D94111"/>
    <w:rsid w:val="00D94184"/>
    <w:rsid w:val="00D941E3"/>
    <w:rsid w:val="00D94230"/>
    <w:rsid w:val="00D94273"/>
    <w:rsid w:val="00D94379"/>
    <w:rsid w:val="00D94480"/>
    <w:rsid w:val="00D94542"/>
    <w:rsid w:val="00D94552"/>
    <w:rsid w:val="00D94591"/>
    <w:rsid w:val="00D946EA"/>
    <w:rsid w:val="00D94738"/>
    <w:rsid w:val="00D949C7"/>
    <w:rsid w:val="00D94B5C"/>
    <w:rsid w:val="00D94BE1"/>
    <w:rsid w:val="00D94C06"/>
    <w:rsid w:val="00D94D20"/>
    <w:rsid w:val="00D94E74"/>
    <w:rsid w:val="00D94FBA"/>
    <w:rsid w:val="00D950C4"/>
    <w:rsid w:val="00D950C5"/>
    <w:rsid w:val="00D9525D"/>
    <w:rsid w:val="00D95265"/>
    <w:rsid w:val="00D95288"/>
    <w:rsid w:val="00D9530A"/>
    <w:rsid w:val="00D9535A"/>
    <w:rsid w:val="00D9537B"/>
    <w:rsid w:val="00D9543D"/>
    <w:rsid w:val="00D954C8"/>
    <w:rsid w:val="00D954E9"/>
    <w:rsid w:val="00D957BE"/>
    <w:rsid w:val="00D957D7"/>
    <w:rsid w:val="00D9589D"/>
    <w:rsid w:val="00D95A34"/>
    <w:rsid w:val="00D95A9A"/>
    <w:rsid w:val="00D95AB9"/>
    <w:rsid w:val="00D95AC1"/>
    <w:rsid w:val="00D95ACC"/>
    <w:rsid w:val="00D95D37"/>
    <w:rsid w:val="00D95DA6"/>
    <w:rsid w:val="00D95E6C"/>
    <w:rsid w:val="00D95F4B"/>
    <w:rsid w:val="00D95F4F"/>
    <w:rsid w:val="00D95F5A"/>
    <w:rsid w:val="00D95F96"/>
    <w:rsid w:val="00D95FD4"/>
    <w:rsid w:val="00D9600A"/>
    <w:rsid w:val="00D96209"/>
    <w:rsid w:val="00D964F6"/>
    <w:rsid w:val="00D966F0"/>
    <w:rsid w:val="00D969B8"/>
    <w:rsid w:val="00D96A7C"/>
    <w:rsid w:val="00D96BB0"/>
    <w:rsid w:val="00D96C01"/>
    <w:rsid w:val="00D96D13"/>
    <w:rsid w:val="00D96DCD"/>
    <w:rsid w:val="00D96EEE"/>
    <w:rsid w:val="00D96F49"/>
    <w:rsid w:val="00D97012"/>
    <w:rsid w:val="00D97119"/>
    <w:rsid w:val="00D97143"/>
    <w:rsid w:val="00D97177"/>
    <w:rsid w:val="00D971A8"/>
    <w:rsid w:val="00D971FA"/>
    <w:rsid w:val="00D9740D"/>
    <w:rsid w:val="00D97555"/>
    <w:rsid w:val="00D9778C"/>
    <w:rsid w:val="00D97AAA"/>
    <w:rsid w:val="00D97B75"/>
    <w:rsid w:val="00D97C95"/>
    <w:rsid w:val="00D97D11"/>
    <w:rsid w:val="00D97E01"/>
    <w:rsid w:val="00D97F97"/>
    <w:rsid w:val="00D97FA7"/>
    <w:rsid w:val="00D97FC6"/>
    <w:rsid w:val="00DA006B"/>
    <w:rsid w:val="00DA02A0"/>
    <w:rsid w:val="00DA03E3"/>
    <w:rsid w:val="00DA0427"/>
    <w:rsid w:val="00DA05B8"/>
    <w:rsid w:val="00DA0705"/>
    <w:rsid w:val="00DA074A"/>
    <w:rsid w:val="00DA07F8"/>
    <w:rsid w:val="00DA08AD"/>
    <w:rsid w:val="00DA08B8"/>
    <w:rsid w:val="00DA0961"/>
    <w:rsid w:val="00DA0A0E"/>
    <w:rsid w:val="00DA0AC7"/>
    <w:rsid w:val="00DA0B09"/>
    <w:rsid w:val="00DA0B58"/>
    <w:rsid w:val="00DA0C83"/>
    <w:rsid w:val="00DA0F30"/>
    <w:rsid w:val="00DA0FED"/>
    <w:rsid w:val="00DA11CE"/>
    <w:rsid w:val="00DA11F5"/>
    <w:rsid w:val="00DA1318"/>
    <w:rsid w:val="00DA1320"/>
    <w:rsid w:val="00DA140F"/>
    <w:rsid w:val="00DA144F"/>
    <w:rsid w:val="00DA1693"/>
    <w:rsid w:val="00DA17B8"/>
    <w:rsid w:val="00DA1834"/>
    <w:rsid w:val="00DA1DD7"/>
    <w:rsid w:val="00DA1E50"/>
    <w:rsid w:val="00DA1EC9"/>
    <w:rsid w:val="00DA1F36"/>
    <w:rsid w:val="00DA247E"/>
    <w:rsid w:val="00DA2520"/>
    <w:rsid w:val="00DA2642"/>
    <w:rsid w:val="00DA271C"/>
    <w:rsid w:val="00DA29B6"/>
    <w:rsid w:val="00DA2A21"/>
    <w:rsid w:val="00DA2A53"/>
    <w:rsid w:val="00DA2BB5"/>
    <w:rsid w:val="00DA2C48"/>
    <w:rsid w:val="00DA2D40"/>
    <w:rsid w:val="00DA2F07"/>
    <w:rsid w:val="00DA2F4F"/>
    <w:rsid w:val="00DA2FCD"/>
    <w:rsid w:val="00DA301A"/>
    <w:rsid w:val="00DA3097"/>
    <w:rsid w:val="00DA30BD"/>
    <w:rsid w:val="00DA30E6"/>
    <w:rsid w:val="00DA31D7"/>
    <w:rsid w:val="00DA330F"/>
    <w:rsid w:val="00DA335D"/>
    <w:rsid w:val="00DA34C6"/>
    <w:rsid w:val="00DA3682"/>
    <w:rsid w:val="00DA36F0"/>
    <w:rsid w:val="00DA378B"/>
    <w:rsid w:val="00DA38F4"/>
    <w:rsid w:val="00DA3B70"/>
    <w:rsid w:val="00DA3BAB"/>
    <w:rsid w:val="00DA3D30"/>
    <w:rsid w:val="00DA3D44"/>
    <w:rsid w:val="00DA3D73"/>
    <w:rsid w:val="00DA3EAC"/>
    <w:rsid w:val="00DA3F11"/>
    <w:rsid w:val="00DA3F8D"/>
    <w:rsid w:val="00DA3FF3"/>
    <w:rsid w:val="00DA4195"/>
    <w:rsid w:val="00DA42AA"/>
    <w:rsid w:val="00DA4338"/>
    <w:rsid w:val="00DA43B9"/>
    <w:rsid w:val="00DA43C5"/>
    <w:rsid w:val="00DA467D"/>
    <w:rsid w:val="00DA4759"/>
    <w:rsid w:val="00DA47C4"/>
    <w:rsid w:val="00DA49AE"/>
    <w:rsid w:val="00DA4D76"/>
    <w:rsid w:val="00DA4D93"/>
    <w:rsid w:val="00DA4E1A"/>
    <w:rsid w:val="00DA4E3E"/>
    <w:rsid w:val="00DA4EBA"/>
    <w:rsid w:val="00DA4F6D"/>
    <w:rsid w:val="00DA4FAD"/>
    <w:rsid w:val="00DA50B1"/>
    <w:rsid w:val="00DA511D"/>
    <w:rsid w:val="00DA51F3"/>
    <w:rsid w:val="00DA5374"/>
    <w:rsid w:val="00DA539E"/>
    <w:rsid w:val="00DA53DF"/>
    <w:rsid w:val="00DA541C"/>
    <w:rsid w:val="00DA55BA"/>
    <w:rsid w:val="00DA5641"/>
    <w:rsid w:val="00DA58BB"/>
    <w:rsid w:val="00DA591B"/>
    <w:rsid w:val="00DA59D5"/>
    <w:rsid w:val="00DA59E6"/>
    <w:rsid w:val="00DA5A42"/>
    <w:rsid w:val="00DA5A68"/>
    <w:rsid w:val="00DA5CC0"/>
    <w:rsid w:val="00DA5CD1"/>
    <w:rsid w:val="00DA5D56"/>
    <w:rsid w:val="00DA5D84"/>
    <w:rsid w:val="00DA5D90"/>
    <w:rsid w:val="00DA5D9D"/>
    <w:rsid w:val="00DA5DB3"/>
    <w:rsid w:val="00DA5FB8"/>
    <w:rsid w:val="00DA60B1"/>
    <w:rsid w:val="00DA6102"/>
    <w:rsid w:val="00DA618D"/>
    <w:rsid w:val="00DA61EA"/>
    <w:rsid w:val="00DA6345"/>
    <w:rsid w:val="00DA63AB"/>
    <w:rsid w:val="00DA649E"/>
    <w:rsid w:val="00DA6776"/>
    <w:rsid w:val="00DA6C44"/>
    <w:rsid w:val="00DA6CD0"/>
    <w:rsid w:val="00DA6E37"/>
    <w:rsid w:val="00DA6F01"/>
    <w:rsid w:val="00DA6F69"/>
    <w:rsid w:val="00DA6FE3"/>
    <w:rsid w:val="00DA7097"/>
    <w:rsid w:val="00DA741D"/>
    <w:rsid w:val="00DA741E"/>
    <w:rsid w:val="00DA74CB"/>
    <w:rsid w:val="00DA7624"/>
    <w:rsid w:val="00DA763B"/>
    <w:rsid w:val="00DA7685"/>
    <w:rsid w:val="00DA76E6"/>
    <w:rsid w:val="00DA779A"/>
    <w:rsid w:val="00DA7809"/>
    <w:rsid w:val="00DA7A03"/>
    <w:rsid w:val="00DA7AC0"/>
    <w:rsid w:val="00DA7ADD"/>
    <w:rsid w:val="00DA7C35"/>
    <w:rsid w:val="00DA7FAF"/>
    <w:rsid w:val="00DB006B"/>
    <w:rsid w:val="00DB01D1"/>
    <w:rsid w:val="00DB02B6"/>
    <w:rsid w:val="00DB02D5"/>
    <w:rsid w:val="00DB037C"/>
    <w:rsid w:val="00DB0386"/>
    <w:rsid w:val="00DB03A7"/>
    <w:rsid w:val="00DB0420"/>
    <w:rsid w:val="00DB04B9"/>
    <w:rsid w:val="00DB0568"/>
    <w:rsid w:val="00DB0574"/>
    <w:rsid w:val="00DB06AD"/>
    <w:rsid w:val="00DB0753"/>
    <w:rsid w:val="00DB0AA8"/>
    <w:rsid w:val="00DB0ADC"/>
    <w:rsid w:val="00DB0B58"/>
    <w:rsid w:val="00DB0D54"/>
    <w:rsid w:val="00DB0E00"/>
    <w:rsid w:val="00DB0E97"/>
    <w:rsid w:val="00DB0EFB"/>
    <w:rsid w:val="00DB0F61"/>
    <w:rsid w:val="00DB1029"/>
    <w:rsid w:val="00DB10CC"/>
    <w:rsid w:val="00DB11A3"/>
    <w:rsid w:val="00DB12A2"/>
    <w:rsid w:val="00DB1433"/>
    <w:rsid w:val="00DB16A9"/>
    <w:rsid w:val="00DB171C"/>
    <w:rsid w:val="00DB18C4"/>
    <w:rsid w:val="00DB1A4E"/>
    <w:rsid w:val="00DB1A6B"/>
    <w:rsid w:val="00DB1AA9"/>
    <w:rsid w:val="00DB1C3D"/>
    <w:rsid w:val="00DB1CCE"/>
    <w:rsid w:val="00DB1F2A"/>
    <w:rsid w:val="00DB20D3"/>
    <w:rsid w:val="00DB214E"/>
    <w:rsid w:val="00DB21C7"/>
    <w:rsid w:val="00DB2333"/>
    <w:rsid w:val="00DB2348"/>
    <w:rsid w:val="00DB25CA"/>
    <w:rsid w:val="00DB2784"/>
    <w:rsid w:val="00DB2804"/>
    <w:rsid w:val="00DB2860"/>
    <w:rsid w:val="00DB2A71"/>
    <w:rsid w:val="00DB2B1C"/>
    <w:rsid w:val="00DB2B82"/>
    <w:rsid w:val="00DB2C67"/>
    <w:rsid w:val="00DB2C9F"/>
    <w:rsid w:val="00DB2D6D"/>
    <w:rsid w:val="00DB2DD7"/>
    <w:rsid w:val="00DB2E0A"/>
    <w:rsid w:val="00DB30E3"/>
    <w:rsid w:val="00DB317E"/>
    <w:rsid w:val="00DB32B0"/>
    <w:rsid w:val="00DB32EC"/>
    <w:rsid w:val="00DB32FD"/>
    <w:rsid w:val="00DB3343"/>
    <w:rsid w:val="00DB3357"/>
    <w:rsid w:val="00DB350B"/>
    <w:rsid w:val="00DB3576"/>
    <w:rsid w:val="00DB359E"/>
    <w:rsid w:val="00DB378F"/>
    <w:rsid w:val="00DB37AD"/>
    <w:rsid w:val="00DB3828"/>
    <w:rsid w:val="00DB382B"/>
    <w:rsid w:val="00DB39F1"/>
    <w:rsid w:val="00DB3BE4"/>
    <w:rsid w:val="00DB3CC1"/>
    <w:rsid w:val="00DB3FD6"/>
    <w:rsid w:val="00DB4021"/>
    <w:rsid w:val="00DB410A"/>
    <w:rsid w:val="00DB414C"/>
    <w:rsid w:val="00DB4370"/>
    <w:rsid w:val="00DB452D"/>
    <w:rsid w:val="00DB460A"/>
    <w:rsid w:val="00DB4749"/>
    <w:rsid w:val="00DB484C"/>
    <w:rsid w:val="00DB48FD"/>
    <w:rsid w:val="00DB4AAC"/>
    <w:rsid w:val="00DB4BD7"/>
    <w:rsid w:val="00DB4CDD"/>
    <w:rsid w:val="00DB5290"/>
    <w:rsid w:val="00DB5295"/>
    <w:rsid w:val="00DB546D"/>
    <w:rsid w:val="00DB5470"/>
    <w:rsid w:val="00DB54E3"/>
    <w:rsid w:val="00DB54E4"/>
    <w:rsid w:val="00DB54F9"/>
    <w:rsid w:val="00DB554F"/>
    <w:rsid w:val="00DB5585"/>
    <w:rsid w:val="00DB569D"/>
    <w:rsid w:val="00DB57B6"/>
    <w:rsid w:val="00DB57F9"/>
    <w:rsid w:val="00DB59C9"/>
    <w:rsid w:val="00DB5AC2"/>
    <w:rsid w:val="00DB5E30"/>
    <w:rsid w:val="00DB6059"/>
    <w:rsid w:val="00DB60E1"/>
    <w:rsid w:val="00DB6116"/>
    <w:rsid w:val="00DB6143"/>
    <w:rsid w:val="00DB61FE"/>
    <w:rsid w:val="00DB6367"/>
    <w:rsid w:val="00DB64F3"/>
    <w:rsid w:val="00DB6642"/>
    <w:rsid w:val="00DB67AE"/>
    <w:rsid w:val="00DB694C"/>
    <w:rsid w:val="00DB69A8"/>
    <w:rsid w:val="00DB6B98"/>
    <w:rsid w:val="00DB6C43"/>
    <w:rsid w:val="00DB6C54"/>
    <w:rsid w:val="00DB6CE3"/>
    <w:rsid w:val="00DB6E26"/>
    <w:rsid w:val="00DB6E2A"/>
    <w:rsid w:val="00DB6EB5"/>
    <w:rsid w:val="00DB6F7C"/>
    <w:rsid w:val="00DB702F"/>
    <w:rsid w:val="00DB712E"/>
    <w:rsid w:val="00DB71AA"/>
    <w:rsid w:val="00DB7258"/>
    <w:rsid w:val="00DB7617"/>
    <w:rsid w:val="00DB77C5"/>
    <w:rsid w:val="00DB787E"/>
    <w:rsid w:val="00DB7A1D"/>
    <w:rsid w:val="00DB7A84"/>
    <w:rsid w:val="00DB7B18"/>
    <w:rsid w:val="00DB7B3E"/>
    <w:rsid w:val="00DB7B3F"/>
    <w:rsid w:val="00DB7C24"/>
    <w:rsid w:val="00DB7CF0"/>
    <w:rsid w:val="00DB7DC2"/>
    <w:rsid w:val="00DB7EE1"/>
    <w:rsid w:val="00DBFE81"/>
    <w:rsid w:val="00DC0186"/>
    <w:rsid w:val="00DC021F"/>
    <w:rsid w:val="00DC0487"/>
    <w:rsid w:val="00DC0546"/>
    <w:rsid w:val="00DC070F"/>
    <w:rsid w:val="00DC0934"/>
    <w:rsid w:val="00DC0A28"/>
    <w:rsid w:val="00DC0A56"/>
    <w:rsid w:val="00DC0B05"/>
    <w:rsid w:val="00DC0B65"/>
    <w:rsid w:val="00DC0CFD"/>
    <w:rsid w:val="00DC1294"/>
    <w:rsid w:val="00DC145F"/>
    <w:rsid w:val="00DC148F"/>
    <w:rsid w:val="00DC16BA"/>
    <w:rsid w:val="00DC186E"/>
    <w:rsid w:val="00DC18A9"/>
    <w:rsid w:val="00DC19C8"/>
    <w:rsid w:val="00DC1A9F"/>
    <w:rsid w:val="00DC1B7E"/>
    <w:rsid w:val="00DC1B97"/>
    <w:rsid w:val="00DC1C89"/>
    <w:rsid w:val="00DC1E2F"/>
    <w:rsid w:val="00DC2192"/>
    <w:rsid w:val="00DC2232"/>
    <w:rsid w:val="00DC22A0"/>
    <w:rsid w:val="00DC24D5"/>
    <w:rsid w:val="00DC2681"/>
    <w:rsid w:val="00DC26B0"/>
    <w:rsid w:val="00DC27C6"/>
    <w:rsid w:val="00DC2816"/>
    <w:rsid w:val="00DC2951"/>
    <w:rsid w:val="00DC2BE1"/>
    <w:rsid w:val="00DC2D1B"/>
    <w:rsid w:val="00DC2DE4"/>
    <w:rsid w:val="00DC2E59"/>
    <w:rsid w:val="00DC31E7"/>
    <w:rsid w:val="00DC3604"/>
    <w:rsid w:val="00DC3623"/>
    <w:rsid w:val="00DC36EA"/>
    <w:rsid w:val="00DC3769"/>
    <w:rsid w:val="00DC3860"/>
    <w:rsid w:val="00DC3AE6"/>
    <w:rsid w:val="00DC3C1C"/>
    <w:rsid w:val="00DC3D52"/>
    <w:rsid w:val="00DC406A"/>
    <w:rsid w:val="00DC42C7"/>
    <w:rsid w:val="00DC44AE"/>
    <w:rsid w:val="00DC4614"/>
    <w:rsid w:val="00DC463C"/>
    <w:rsid w:val="00DC47D8"/>
    <w:rsid w:val="00DC47D9"/>
    <w:rsid w:val="00DC481F"/>
    <w:rsid w:val="00DC49FF"/>
    <w:rsid w:val="00DC4A3C"/>
    <w:rsid w:val="00DC4B0E"/>
    <w:rsid w:val="00DC4BA5"/>
    <w:rsid w:val="00DC4C50"/>
    <w:rsid w:val="00DC4E75"/>
    <w:rsid w:val="00DC4E88"/>
    <w:rsid w:val="00DC4F8D"/>
    <w:rsid w:val="00DC4F8E"/>
    <w:rsid w:val="00DC4FC3"/>
    <w:rsid w:val="00DC5012"/>
    <w:rsid w:val="00DC522E"/>
    <w:rsid w:val="00DC52B8"/>
    <w:rsid w:val="00DC5338"/>
    <w:rsid w:val="00DC53D5"/>
    <w:rsid w:val="00DC556A"/>
    <w:rsid w:val="00DC557E"/>
    <w:rsid w:val="00DC59B3"/>
    <w:rsid w:val="00DC5AAB"/>
    <w:rsid w:val="00DC5C27"/>
    <w:rsid w:val="00DC5C4C"/>
    <w:rsid w:val="00DC5C91"/>
    <w:rsid w:val="00DC5CF2"/>
    <w:rsid w:val="00DC5EF3"/>
    <w:rsid w:val="00DC5F4B"/>
    <w:rsid w:val="00DC5F7C"/>
    <w:rsid w:val="00DC61B4"/>
    <w:rsid w:val="00DC638F"/>
    <w:rsid w:val="00DC64C4"/>
    <w:rsid w:val="00DC6516"/>
    <w:rsid w:val="00DC659A"/>
    <w:rsid w:val="00DC659E"/>
    <w:rsid w:val="00DC6749"/>
    <w:rsid w:val="00DC6753"/>
    <w:rsid w:val="00DC6810"/>
    <w:rsid w:val="00DC6825"/>
    <w:rsid w:val="00DC68F1"/>
    <w:rsid w:val="00DC6B5A"/>
    <w:rsid w:val="00DC6BF8"/>
    <w:rsid w:val="00DC6C27"/>
    <w:rsid w:val="00DC6C76"/>
    <w:rsid w:val="00DC6C90"/>
    <w:rsid w:val="00DC6D29"/>
    <w:rsid w:val="00DC6D71"/>
    <w:rsid w:val="00DC6E31"/>
    <w:rsid w:val="00DC6FDE"/>
    <w:rsid w:val="00DC72F4"/>
    <w:rsid w:val="00DC7479"/>
    <w:rsid w:val="00DC749D"/>
    <w:rsid w:val="00DC7504"/>
    <w:rsid w:val="00DC765F"/>
    <w:rsid w:val="00DC7694"/>
    <w:rsid w:val="00DC7723"/>
    <w:rsid w:val="00DC784A"/>
    <w:rsid w:val="00DC7A63"/>
    <w:rsid w:val="00DC7AC8"/>
    <w:rsid w:val="00DC7B35"/>
    <w:rsid w:val="00DC7B9E"/>
    <w:rsid w:val="00DC7C10"/>
    <w:rsid w:val="00DC7D76"/>
    <w:rsid w:val="00DD00F3"/>
    <w:rsid w:val="00DD013F"/>
    <w:rsid w:val="00DD032A"/>
    <w:rsid w:val="00DD03BC"/>
    <w:rsid w:val="00DD0416"/>
    <w:rsid w:val="00DD041C"/>
    <w:rsid w:val="00DD06AB"/>
    <w:rsid w:val="00DD06D9"/>
    <w:rsid w:val="00DD07C8"/>
    <w:rsid w:val="00DD093A"/>
    <w:rsid w:val="00DD0CE4"/>
    <w:rsid w:val="00DD0DFE"/>
    <w:rsid w:val="00DD0F3A"/>
    <w:rsid w:val="00DD0FA4"/>
    <w:rsid w:val="00DD1361"/>
    <w:rsid w:val="00DD14C0"/>
    <w:rsid w:val="00DD1568"/>
    <w:rsid w:val="00DD15C7"/>
    <w:rsid w:val="00DD182A"/>
    <w:rsid w:val="00DD19DD"/>
    <w:rsid w:val="00DD1A12"/>
    <w:rsid w:val="00DD1AB7"/>
    <w:rsid w:val="00DD1D0D"/>
    <w:rsid w:val="00DD1DDF"/>
    <w:rsid w:val="00DD1E17"/>
    <w:rsid w:val="00DD1E1E"/>
    <w:rsid w:val="00DD20B7"/>
    <w:rsid w:val="00DD212F"/>
    <w:rsid w:val="00DD2147"/>
    <w:rsid w:val="00DD21DC"/>
    <w:rsid w:val="00DD2311"/>
    <w:rsid w:val="00DD23AD"/>
    <w:rsid w:val="00DD23B2"/>
    <w:rsid w:val="00DD2473"/>
    <w:rsid w:val="00DD255A"/>
    <w:rsid w:val="00DD265E"/>
    <w:rsid w:val="00DD26C5"/>
    <w:rsid w:val="00DD27DC"/>
    <w:rsid w:val="00DD2890"/>
    <w:rsid w:val="00DD2912"/>
    <w:rsid w:val="00DD29D7"/>
    <w:rsid w:val="00DD2ABC"/>
    <w:rsid w:val="00DD2C7E"/>
    <w:rsid w:val="00DD2E1E"/>
    <w:rsid w:val="00DD3050"/>
    <w:rsid w:val="00DD3052"/>
    <w:rsid w:val="00DD3254"/>
    <w:rsid w:val="00DD32D2"/>
    <w:rsid w:val="00DD34D5"/>
    <w:rsid w:val="00DD3510"/>
    <w:rsid w:val="00DD3554"/>
    <w:rsid w:val="00DD3563"/>
    <w:rsid w:val="00DD35B9"/>
    <w:rsid w:val="00DD3778"/>
    <w:rsid w:val="00DD387E"/>
    <w:rsid w:val="00DD39B6"/>
    <w:rsid w:val="00DD3A84"/>
    <w:rsid w:val="00DD3B3F"/>
    <w:rsid w:val="00DD3CB3"/>
    <w:rsid w:val="00DD3CF2"/>
    <w:rsid w:val="00DD3CF5"/>
    <w:rsid w:val="00DD3D69"/>
    <w:rsid w:val="00DD3DFC"/>
    <w:rsid w:val="00DD3E4C"/>
    <w:rsid w:val="00DD3E98"/>
    <w:rsid w:val="00DD3F20"/>
    <w:rsid w:val="00DD443B"/>
    <w:rsid w:val="00DD4855"/>
    <w:rsid w:val="00DD48C4"/>
    <w:rsid w:val="00DD494C"/>
    <w:rsid w:val="00DD4A9F"/>
    <w:rsid w:val="00DD4BA9"/>
    <w:rsid w:val="00DD4C35"/>
    <w:rsid w:val="00DD4C62"/>
    <w:rsid w:val="00DD4FF3"/>
    <w:rsid w:val="00DD5121"/>
    <w:rsid w:val="00DD51CD"/>
    <w:rsid w:val="00DD535C"/>
    <w:rsid w:val="00DD536D"/>
    <w:rsid w:val="00DD5381"/>
    <w:rsid w:val="00DD53A2"/>
    <w:rsid w:val="00DD53C9"/>
    <w:rsid w:val="00DD545D"/>
    <w:rsid w:val="00DD5478"/>
    <w:rsid w:val="00DD572B"/>
    <w:rsid w:val="00DD5761"/>
    <w:rsid w:val="00DD5782"/>
    <w:rsid w:val="00DD59F1"/>
    <w:rsid w:val="00DD5B53"/>
    <w:rsid w:val="00DD5B5F"/>
    <w:rsid w:val="00DD5D0A"/>
    <w:rsid w:val="00DD5E6E"/>
    <w:rsid w:val="00DD5FC5"/>
    <w:rsid w:val="00DD5FEB"/>
    <w:rsid w:val="00DD608D"/>
    <w:rsid w:val="00DD60DB"/>
    <w:rsid w:val="00DD610E"/>
    <w:rsid w:val="00DD6148"/>
    <w:rsid w:val="00DD6371"/>
    <w:rsid w:val="00DD63B7"/>
    <w:rsid w:val="00DD64B5"/>
    <w:rsid w:val="00DD64DD"/>
    <w:rsid w:val="00DD667D"/>
    <w:rsid w:val="00DD67B5"/>
    <w:rsid w:val="00DD69FF"/>
    <w:rsid w:val="00DD6B07"/>
    <w:rsid w:val="00DD6BFD"/>
    <w:rsid w:val="00DD6CCF"/>
    <w:rsid w:val="00DD6D39"/>
    <w:rsid w:val="00DD6D3F"/>
    <w:rsid w:val="00DD6DA0"/>
    <w:rsid w:val="00DD7018"/>
    <w:rsid w:val="00DD7089"/>
    <w:rsid w:val="00DD7099"/>
    <w:rsid w:val="00DD7111"/>
    <w:rsid w:val="00DD717E"/>
    <w:rsid w:val="00DD72A6"/>
    <w:rsid w:val="00DD743F"/>
    <w:rsid w:val="00DD7448"/>
    <w:rsid w:val="00DD75C9"/>
    <w:rsid w:val="00DD777C"/>
    <w:rsid w:val="00DD77C1"/>
    <w:rsid w:val="00DD7954"/>
    <w:rsid w:val="00DD7C53"/>
    <w:rsid w:val="00DD7D20"/>
    <w:rsid w:val="00DD7E41"/>
    <w:rsid w:val="00DE04DA"/>
    <w:rsid w:val="00DE0500"/>
    <w:rsid w:val="00DE0515"/>
    <w:rsid w:val="00DE068E"/>
    <w:rsid w:val="00DE07F0"/>
    <w:rsid w:val="00DE080B"/>
    <w:rsid w:val="00DE0874"/>
    <w:rsid w:val="00DE0879"/>
    <w:rsid w:val="00DE08B9"/>
    <w:rsid w:val="00DE0985"/>
    <w:rsid w:val="00DE0BC7"/>
    <w:rsid w:val="00DE0EA8"/>
    <w:rsid w:val="00DE0FC0"/>
    <w:rsid w:val="00DE115D"/>
    <w:rsid w:val="00DE11B1"/>
    <w:rsid w:val="00DE11C8"/>
    <w:rsid w:val="00DE1213"/>
    <w:rsid w:val="00DE127E"/>
    <w:rsid w:val="00DE1281"/>
    <w:rsid w:val="00DE1485"/>
    <w:rsid w:val="00DE149F"/>
    <w:rsid w:val="00DE150B"/>
    <w:rsid w:val="00DE1583"/>
    <w:rsid w:val="00DE15A0"/>
    <w:rsid w:val="00DE172B"/>
    <w:rsid w:val="00DE176B"/>
    <w:rsid w:val="00DE1792"/>
    <w:rsid w:val="00DE1812"/>
    <w:rsid w:val="00DE19CA"/>
    <w:rsid w:val="00DE19EA"/>
    <w:rsid w:val="00DE1B1E"/>
    <w:rsid w:val="00DE1B82"/>
    <w:rsid w:val="00DE1C0D"/>
    <w:rsid w:val="00DE1C47"/>
    <w:rsid w:val="00DE1DC5"/>
    <w:rsid w:val="00DE1E57"/>
    <w:rsid w:val="00DE1ED1"/>
    <w:rsid w:val="00DE1F63"/>
    <w:rsid w:val="00DE2061"/>
    <w:rsid w:val="00DE20C4"/>
    <w:rsid w:val="00DE219B"/>
    <w:rsid w:val="00DE21E2"/>
    <w:rsid w:val="00DE2276"/>
    <w:rsid w:val="00DE24F3"/>
    <w:rsid w:val="00DE2553"/>
    <w:rsid w:val="00DE2564"/>
    <w:rsid w:val="00DE25EB"/>
    <w:rsid w:val="00DE2634"/>
    <w:rsid w:val="00DE2652"/>
    <w:rsid w:val="00DE269A"/>
    <w:rsid w:val="00DE2729"/>
    <w:rsid w:val="00DE27BF"/>
    <w:rsid w:val="00DE2863"/>
    <w:rsid w:val="00DE2965"/>
    <w:rsid w:val="00DE2A14"/>
    <w:rsid w:val="00DE2B57"/>
    <w:rsid w:val="00DE2C23"/>
    <w:rsid w:val="00DE2E1A"/>
    <w:rsid w:val="00DE2EA4"/>
    <w:rsid w:val="00DE3048"/>
    <w:rsid w:val="00DE3070"/>
    <w:rsid w:val="00DE31B4"/>
    <w:rsid w:val="00DE3241"/>
    <w:rsid w:val="00DE3396"/>
    <w:rsid w:val="00DE3441"/>
    <w:rsid w:val="00DE34D9"/>
    <w:rsid w:val="00DE3672"/>
    <w:rsid w:val="00DE36AA"/>
    <w:rsid w:val="00DE3713"/>
    <w:rsid w:val="00DE371A"/>
    <w:rsid w:val="00DE3829"/>
    <w:rsid w:val="00DE383E"/>
    <w:rsid w:val="00DE38D3"/>
    <w:rsid w:val="00DE3933"/>
    <w:rsid w:val="00DE3B5C"/>
    <w:rsid w:val="00DE3EAC"/>
    <w:rsid w:val="00DE41E3"/>
    <w:rsid w:val="00DE41F0"/>
    <w:rsid w:val="00DE4308"/>
    <w:rsid w:val="00DE442A"/>
    <w:rsid w:val="00DE453F"/>
    <w:rsid w:val="00DE45BD"/>
    <w:rsid w:val="00DE46D0"/>
    <w:rsid w:val="00DE47C5"/>
    <w:rsid w:val="00DE482A"/>
    <w:rsid w:val="00DE4938"/>
    <w:rsid w:val="00DE495E"/>
    <w:rsid w:val="00DE4988"/>
    <w:rsid w:val="00DE49D4"/>
    <w:rsid w:val="00DE4BD9"/>
    <w:rsid w:val="00DE4D52"/>
    <w:rsid w:val="00DE4F39"/>
    <w:rsid w:val="00DE4F61"/>
    <w:rsid w:val="00DE506A"/>
    <w:rsid w:val="00DE50F2"/>
    <w:rsid w:val="00DE5188"/>
    <w:rsid w:val="00DE525A"/>
    <w:rsid w:val="00DE567B"/>
    <w:rsid w:val="00DE56B8"/>
    <w:rsid w:val="00DE56CC"/>
    <w:rsid w:val="00DE573B"/>
    <w:rsid w:val="00DE5800"/>
    <w:rsid w:val="00DE5816"/>
    <w:rsid w:val="00DE5923"/>
    <w:rsid w:val="00DE5B26"/>
    <w:rsid w:val="00DE5D53"/>
    <w:rsid w:val="00DE5D60"/>
    <w:rsid w:val="00DE5DFF"/>
    <w:rsid w:val="00DE5E80"/>
    <w:rsid w:val="00DE5FFD"/>
    <w:rsid w:val="00DE612A"/>
    <w:rsid w:val="00DE633D"/>
    <w:rsid w:val="00DE635C"/>
    <w:rsid w:val="00DE637C"/>
    <w:rsid w:val="00DE6380"/>
    <w:rsid w:val="00DE6406"/>
    <w:rsid w:val="00DE6494"/>
    <w:rsid w:val="00DE6503"/>
    <w:rsid w:val="00DE6619"/>
    <w:rsid w:val="00DE6800"/>
    <w:rsid w:val="00DE6835"/>
    <w:rsid w:val="00DE697E"/>
    <w:rsid w:val="00DE6AE1"/>
    <w:rsid w:val="00DE6D4B"/>
    <w:rsid w:val="00DE7098"/>
    <w:rsid w:val="00DE7123"/>
    <w:rsid w:val="00DE7208"/>
    <w:rsid w:val="00DE74C1"/>
    <w:rsid w:val="00DE74C5"/>
    <w:rsid w:val="00DE74E6"/>
    <w:rsid w:val="00DE7520"/>
    <w:rsid w:val="00DE7651"/>
    <w:rsid w:val="00DE76A1"/>
    <w:rsid w:val="00DE7A38"/>
    <w:rsid w:val="00DE7A8E"/>
    <w:rsid w:val="00DE7B88"/>
    <w:rsid w:val="00DE7D50"/>
    <w:rsid w:val="00DE7DDF"/>
    <w:rsid w:val="00DF0163"/>
    <w:rsid w:val="00DF022F"/>
    <w:rsid w:val="00DF02FA"/>
    <w:rsid w:val="00DF0339"/>
    <w:rsid w:val="00DF03E4"/>
    <w:rsid w:val="00DF0454"/>
    <w:rsid w:val="00DF0660"/>
    <w:rsid w:val="00DF06D9"/>
    <w:rsid w:val="00DF074B"/>
    <w:rsid w:val="00DF0811"/>
    <w:rsid w:val="00DF0914"/>
    <w:rsid w:val="00DF0925"/>
    <w:rsid w:val="00DF0935"/>
    <w:rsid w:val="00DF09EB"/>
    <w:rsid w:val="00DF0A87"/>
    <w:rsid w:val="00DF0BA4"/>
    <w:rsid w:val="00DF0CF7"/>
    <w:rsid w:val="00DF0D9B"/>
    <w:rsid w:val="00DF0EA3"/>
    <w:rsid w:val="00DF0EB4"/>
    <w:rsid w:val="00DF0ECB"/>
    <w:rsid w:val="00DF1098"/>
    <w:rsid w:val="00DF1464"/>
    <w:rsid w:val="00DF14BE"/>
    <w:rsid w:val="00DF15F9"/>
    <w:rsid w:val="00DF1619"/>
    <w:rsid w:val="00DF16B9"/>
    <w:rsid w:val="00DF16BB"/>
    <w:rsid w:val="00DF17A8"/>
    <w:rsid w:val="00DF1874"/>
    <w:rsid w:val="00DF1A31"/>
    <w:rsid w:val="00DF1B2F"/>
    <w:rsid w:val="00DF1BE8"/>
    <w:rsid w:val="00DF1C4B"/>
    <w:rsid w:val="00DF1E8B"/>
    <w:rsid w:val="00DF1EA0"/>
    <w:rsid w:val="00DF1FBD"/>
    <w:rsid w:val="00DF2034"/>
    <w:rsid w:val="00DF2147"/>
    <w:rsid w:val="00DF2376"/>
    <w:rsid w:val="00DF242D"/>
    <w:rsid w:val="00DF251D"/>
    <w:rsid w:val="00DF252B"/>
    <w:rsid w:val="00DF26E2"/>
    <w:rsid w:val="00DF27BF"/>
    <w:rsid w:val="00DF2879"/>
    <w:rsid w:val="00DF2961"/>
    <w:rsid w:val="00DF2ACB"/>
    <w:rsid w:val="00DF2E40"/>
    <w:rsid w:val="00DF2FC2"/>
    <w:rsid w:val="00DF3010"/>
    <w:rsid w:val="00DF3026"/>
    <w:rsid w:val="00DF30B3"/>
    <w:rsid w:val="00DF316C"/>
    <w:rsid w:val="00DF3196"/>
    <w:rsid w:val="00DF34C2"/>
    <w:rsid w:val="00DF3508"/>
    <w:rsid w:val="00DF3531"/>
    <w:rsid w:val="00DF3548"/>
    <w:rsid w:val="00DF35D5"/>
    <w:rsid w:val="00DF36AA"/>
    <w:rsid w:val="00DF3781"/>
    <w:rsid w:val="00DF39A9"/>
    <w:rsid w:val="00DF3A12"/>
    <w:rsid w:val="00DF3A7D"/>
    <w:rsid w:val="00DF3DAA"/>
    <w:rsid w:val="00DF3DC7"/>
    <w:rsid w:val="00DF3FD5"/>
    <w:rsid w:val="00DF4511"/>
    <w:rsid w:val="00DF451F"/>
    <w:rsid w:val="00DF4537"/>
    <w:rsid w:val="00DF45A2"/>
    <w:rsid w:val="00DF481B"/>
    <w:rsid w:val="00DF482E"/>
    <w:rsid w:val="00DF4923"/>
    <w:rsid w:val="00DF4B16"/>
    <w:rsid w:val="00DF4CD5"/>
    <w:rsid w:val="00DF509C"/>
    <w:rsid w:val="00DF50AD"/>
    <w:rsid w:val="00DF51C4"/>
    <w:rsid w:val="00DF51D4"/>
    <w:rsid w:val="00DF527A"/>
    <w:rsid w:val="00DF52F6"/>
    <w:rsid w:val="00DF5326"/>
    <w:rsid w:val="00DF5333"/>
    <w:rsid w:val="00DF5424"/>
    <w:rsid w:val="00DF544D"/>
    <w:rsid w:val="00DF5497"/>
    <w:rsid w:val="00DF54B0"/>
    <w:rsid w:val="00DF55B2"/>
    <w:rsid w:val="00DF573C"/>
    <w:rsid w:val="00DF57F6"/>
    <w:rsid w:val="00DF57FC"/>
    <w:rsid w:val="00DF580E"/>
    <w:rsid w:val="00DF5851"/>
    <w:rsid w:val="00DF592F"/>
    <w:rsid w:val="00DF5C69"/>
    <w:rsid w:val="00DF5DFF"/>
    <w:rsid w:val="00DF5FEC"/>
    <w:rsid w:val="00DF61F0"/>
    <w:rsid w:val="00DF635F"/>
    <w:rsid w:val="00DF63CD"/>
    <w:rsid w:val="00DF64C3"/>
    <w:rsid w:val="00DF6615"/>
    <w:rsid w:val="00DF6863"/>
    <w:rsid w:val="00DF6A22"/>
    <w:rsid w:val="00DF6B76"/>
    <w:rsid w:val="00DF6C1C"/>
    <w:rsid w:val="00DF6C7D"/>
    <w:rsid w:val="00DF6F33"/>
    <w:rsid w:val="00DF6F7B"/>
    <w:rsid w:val="00DF705C"/>
    <w:rsid w:val="00DF70EE"/>
    <w:rsid w:val="00DF7207"/>
    <w:rsid w:val="00DF72AF"/>
    <w:rsid w:val="00DF72D2"/>
    <w:rsid w:val="00DF73B8"/>
    <w:rsid w:val="00DF73E4"/>
    <w:rsid w:val="00DF745E"/>
    <w:rsid w:val="00DF7629"/>
    <w:rsid w:val="00DF7753"/>
    <w:rsid w:val="00DF7854"/>
    <w:rsid w:val="00DF787C"/>
    <w:rsid w:val="00DF7950"/>
    <w:rsid w:val="00DF799E"/>
    <w:rsid w:val="00DF7A22"/>
    <w:rsid w:val="00DF7AFB"/>
    <w:rsid w:val="00DF7BF2"/>
    <w:rsid w:val="00DF7D1A"/>
    <w:rsid w:val="00DF7FDD"/>
    <w:rsid w:val="00E00171"/>
    <w:rsid w:val="00E00192"/>
    <w:rsid w:val="00E002EC"/>
    <w:rsid w:val="00E0038B"/>
    <w:rsid w:val="00E0038D"/>
    <w:rsid w:val="00E003C7"/>
    <w:rsid w:val="00E007C9"/>
    <w:rsid w:val="00E0083F"/>
    <w:rsid w:val="00E0091D"/>
    <w:rsid w:val="00E0097C"/>
    <w:rsid w:val="00E00B30"/>
    <w:rsid w:val="00E00B8F"/>
    <w:rsid w:val="00E00C9A"/>
    <w:rsid w:val="00E00D2D"/>
    <w:rsid w:val="00E00D30"/>
    <w:rsid w:val="00E00EB2"/>
    <w:rsid w:val="00E010DE"/>
    <w:rsid w:val="00E0133D"/>
    <w:rsid w:val="00E014D7"/>
    <w:rsid w:val="00E015C1"/>
    <w:rsid w:val="00E016E7"/>
    <w:rsid w:val="00E01703"/>
    <w:rsid w:val="00E01725"/>
    <w:rsid w:val="00E01852"/>
    <w:rsid w:val="00E01938"/>
    <w:rsid w:val="00E01A3A"/>
    <w:rsid w:val="00E01A54"/>
    <w:rsid w:val="00E01AA2"/>
    <w:rsid w:val="00E01B7C"/>
    <w:rsid w:val="00E01CED"/>
    <w:rsid w:val="00E01D0B"/>
    <w:rsid w:val="00E01D24"/>
    <w:rsid w:val="00E01DD6"/>
    <w:rsid w:val="00E01F2F"/>
    <w:rsid w:val="00E02102"/>
    <w:rsid w:val="00E0215D"/>
    <w:rsid w:val="00E0228F"/>
    <w:rsid w:val="00E0235B"/>
    <w:rsid w:val="00E02451"/>
    <w:rsid w:val="00E025F3"/>
    <w:rsid w:val="00E0276F"/>
    <w:rsid w:val="00E028D9"/>
    <w:rsid w:val="00E02974"/>
    <w:rsid w:val="00E02A1E"/>
    <w:rsid w:val="00E02EB4"/>
    <w:rsid w:val="00E03155"/>
    <w:rsid w:val="00E03321"/>
    <w:rsid w:val="00E033F1"/>
    <w:rsid w:val="00E03605"/>
    <w:rsid w:val="00E037FF"/>
    <w:rsid w:val="00E0387C"/>
    <w:rsid w:val="00E039D4"/>
    <w:rsid w:val="00E03BB7"/>
    <w:rsid w:val="00E03DA9"/>
    <w:rsid w:val="00E03E0D"/>
    <w:rsid w:val="00E03E7E"/>
    <w:rsid w:val="00E03EA1"/>
    <w:rsid w:val="00E03EAC"/>
    <w:rsid w:val="00E043F5"/>
    <w:rsid w:val="00E0475C"/>
    <w:rsid w:val="00E04767"/>
    <w:rsid w:val="00E04AE0"/>
    <w:rsid w:val="00E04AFE"/>
    <w:rsid w:val="00E04BCE"/>
    <w:rsid w:val="00E04C20"/>
    <w:rsid w:val="00E04C2D"/>
    <w:rsid w:val="00E04D29"/>
    <w:rsid w:val="00E05078"/>
    <w:rsid w:val="00E051EC"/>
    <w:rsid w:val="00E053C8"/>
    <w:rsid w:val="00E05402"/>
    <w:rsid w:val="00E054C9"/>
    <w:rsid w:val="00E054D5"/>
    <w:rsid w:val="00E05562"/>
    <w:rsid w:val="00E056E0"/>
    <w:rsid w:val="00E05730"/>
    <w:rsid w:val="00E057B1"/>
    <w:rsid w:val="00E0582C"/>
    <w:rsid w:val="00E05B2C"/>
    <w:rsid w:val="00E05CEA"/>
    <w:rsid w:val="00E05F05"/>
    <w:rsid w:val="00E05F85"/>
    <w:rsid w:val="00E060B3"/>
    <w:rsid w:val="00E060FA"/>
    <w:rsid w:val="00E0616C"/>
    <w:rsid w:val="00E062B0"/>
    <w:rsid w:val="00E0634E"/>
    <w:rsid w:val="00E064EE"/>
    <w:rsid w:val="00E06647"/>
    <w:rsid w:val="00E067ED"/>
    <w:rsid w:val="00E06913"/>
    <w:rsid w:val="00E06AAC"/>
    <w:rsid w:val="00E06AE8"/>
    <w:rsid w:val="00E06B1F"/>
    <w:rsid w:val="00E06C79"/>
    <w:rsid w:val="00E06E9C"/>
    <w:rsid w:val="00E06F29"/>
    <w:rsid w:val="00E07058"/>
    <w:rsid w:val="00E07119"/>
    <w:rsid w:val="00E071C1"/>
    <w:rsid w:val="00E072AB"/>
    <w:rsid w:val="00E07367"/>
    <w:rsid w:val="00E07397"/>
    <w:rsid w:val="00E073C7"/>
    <w:rsid w:val="00E07583"/>
    <w:rsid w:val="00E0768D"/>
    <w:rsid w:val="00E07961"/>
    <w:rsid w:val="00E07A04"/>
    <w:rsid w:val="00E07B3F"/>
    <w:rsid w:val="00E07D23"/>
    <w:rsid w:val="00E07D44"/>
    <w:rsid w:val="00E07ED8"/>
    <w:rsid w:val="00E07EE1"/>
    <w:rsid w:val="00E07FD8"/>
    <w:rsid w:val="00E100B0"/>
    <w:rsid w:val="00E100CC"/>
    <w:rsid w:val="00E10189"/>
    <w:rsid w:val="00E101AF"/>
    <w:rsid w:val="00E101E9"/>
    <w:rsid w:val="00E102C8"/>
    <w:rsid w:val="00E102E0"/>
    <w:rsid w:val="00E10416"/>
    <w:rsid w:val="00E10481"/>
    <w:rsid w:val="00E10604"/>
    <w:rsid w:val="00E106CE"/>
    <w:rsid w:val="00E107E0"/>
    <w:rsid w:val="00E10C1E"/>
    <w:rsid w:val="00E10CD6"/>
    <w:rsid w:val="00E10DCA"/>
    <w:rsid w:val="00E11070"/>
    <w:rsid w:val="00E11082"/>
    <w:rsid w:val="00E110BE"/>
    <w:rsid w:val="00E1113F"/>
    <w:rsid w:val="00E11189"/>
    <w:rsid w:val="00E111CB"/>
    <w:rsid w:val="00E1123F"/>
    <w:rsid w:val="00E1142A"/>
    <w:rsid w:val="00E11B5E"/>
    <w:rsid w:val="00E11DBC"/>
    <w:rsid w:val="00E11EC1"/>
    <w:rsid w:val="00E121BD"/>
    <w:rsid w:val="00E122C3"/>
    <w:rsid w:val="00E122F9"/>
    <w:rsid w:val="00E123B1"/>
    <w:rsid w:val="00E124F0"/>
    <w:rsid w:val="00E124F7"/>
    <w:rsid w:val="00E12581"/>
    <w:rsid w:val="00E12954"/>
    <w:rsid w:val="00E12AA6"/>
    <w:rsid w:val="00E12AE6"/>
    <w:rsid w:val="00E12AFA"/>
    <w:rsid w:val="00E12BB2"/>
    <w:rsid w:val="00E12BD0"/>
    <w:rsid w:val="00E12BFB"/>
    <w:rsid w:val="00E12C86"/>
    <w:rsid w:val="00E12CF7"/>
    <w:rsid w:val="00E12D97"/>
    <w:rsid w:val="00E12E42"/>
    <w:rsid w:val="00E131CE"/>
    <w:rsid w:val="00E131DC"/>
    <w:rsid w:val="00E1327F"/>
    <w:rsid w:val="00E13466"/>
    <w:rsid w:val="00E134C1"/>
    <w:rsid w:val="00E1352F"/>
    <w:rsid w:val="00E13545"/>
    <w:rsid w:val="00E13652"/>
    <w:rsid w:val="00E13718"/>
    <w:rsid w:val="00E13780"/>
    <w:rsid w:val="00E1391E"/>
    <w:rsid w:val="00E13945"/>
    <w:rsid w:val="00E13B6E"/>
    <w:rsid w:val="00E13C16"/>
    <w:rsid w:val="00E13DD0"/>
    <w:rsid w:val="00E13DFA"/>
    <w:rsid w:val="00E13E5A"/>
    <w:rsid w:val="00E13EE8"/>
    <w:rsid w:val="00E13F62"/>
    <w:rsid w:val="00E13F7C"/>
    <w:rsid w:val="00E14001"/>
    <w:rsid w:val="00E14027"/>
    <w:rsid w:val="00E14032"/>
    <w:rsid w:val="00E14091"/>
    <w:rsid w:val="00E140A7"/>
    <w:rsid w:val="00E14145"/>
    <w:rsid w:val="00E14169"/>
    <w:rsid w:val="00E141B7"/>
    <w:rsid w:val="00E141CA"/>
    <w:rsid w:val="00E142DF"/>
    <w:rsid w:val="00E142EC"/>
    <w:rsid w:val="00E14497"/>
    <w:rsid w:val="00E14980"/>
    <w:rsid w:val="00E14A74"/>
    <w:rsid w:val="00E14B50"/>
    <w:rsid w:val="00E14B9D"/>
    <w:rsid w:val="00E14F7F"/>
    <w:rsid w:val="00E15226"/>
    <w:rsid w:val="00E152C0"/>
    <w:rsid w:val="00E1531E"/>
    <w:rsid w:val="00E15394"/>
    <w:rsid w:val="00E15463"/>
    <w:rsid w:val="00E15824"/>
    <w:rsid w:val="00E15852"/>
    <w:rsid w:val="00E158A1"/>
    <w:rsid w:val="00E15A0C"/>
    <w:rsid w:val="00E15C41"/>
    <w:rsid w:val="00E15C67"/>
    <w:rsid w:val="00E15CFA"/>
    <w:rsid w:val="00E15D16"/>
    <w:rsid w:val="00E15D8B"/>
    <w:rsid w:val="00E15E6B"/>
    <w:rsid w:val="00E16273"/>
    <w:rsid w:val="00E1645C"/>
    <w:rsid w:val="00E1646D"/>
    <w:rsid w:val="00E16474"/>
    <w:rsid w:val="00E16572"/>
    <w:rsid w:val="00E165DC"/>
    <w:rsid w:val="00E16709"/>
    <w:rsid w:val="00E1674A"/>
    <w:rsid w:val="00E1674C"/>
    <w:rsid w:val="00E1681A"/>
    <w:rsid w:val="00E168A6"/>
    <w:rsid w:val="00E169EF"/>
    <w:rsid w:val="00E16A86"/>
    <w:rsid w:val="00E1700B"/>
    <w:rsid w:val="00E172AD"/>
    <w:rsid w:val="00E17352"/>
    <w:rsid w:val="00E17395"/>
    <w:rsid w:val="00E173E0"/>
    <w:rsid w:val="00E174BD"/>
    <w:rsid w:val="00E174BE"/>
    <w:rsid w:val="00E17C0B"/>
    <w:rsid w:val="00E17C19"/>
    <w:rsid w:val="00E17D59"/>
    <w:rsid w:val="00E17D61"/>
    <w:rsid w:val="00E17D87"/>
    <w:rsid w:val="00E17F93"/>
    <w:rsid w:val="00E2011F"/>
    <w:rsid w:val="00E204C6"/>
    <w:rsid w:val="00E2076E"/>
    <w:rsid w:val="00E20912"/>
    <w:rsid w:val="00E2091C"/>
    <w:rsid w:val="00E20969"/>
    <w:rsid w:val="00E20A4D"/>
    <w:rsid w:val="00E20A5B"/>
    <w:rsid w:val="00E20B80"/>
    <w:rsid w:val="00E20C82"/>
    <w:rsid w:val="00E210B2"/>
    <w:rsid w:val="00E2118A"/>
    <w:rsid w:val="00E2129E"/>
    <w:rsid w:val="00E2135B"/>
    <w:rsid w:val="00E2135E"/>
    <w:rsid w:val="00E214BE"/>
    <w:rsid w:val="00E216B6"/>
    <w:rsid w:val="00E216FA"/>
    <w:rsid w:val="00E21828"/>
    <w:rsid w:val="00E21965"/>
    <w:rsid w:val="00E219E8"/>
    <w:rsid w:val="00E21A63"/>
    <w:rsid w:val="00E21AFE"/>
    <w:rsid w:val="00E21B12"/>
    <w:rsid w:val="00E21B41"/>
    <w:rsid w:val="00E21C90"/>
    <w:rsid w:val="00E21D77"/>
    <w:rsid w:val="00E21E88"/>
    <w:rsid w:val="00E21EEC"/>
    <w:rsid w:val="00E21F81"/>
    <w:rsid w:val="00E2200D"/>
    <w:rsid w:val="00E2209D"/>
    <w:rsid w:val="00E221B0"/>
    <w:rsid w:val="00E221E6"/>
    <w:rsid w:val="00E22232"/>
    <w:rsid w:val="00E222E6"/>
    <w:rsid w:val="00E22346"/>
    <w:rsid w:val="00E22365"/>
    <w:rsid w:val="00E224EC"/>
    <w:rsid w:val="00E22763"/>
    <w:rsid w:val="00E22781"/>
    <w:rsid w:val="00E22833"/>
    <w:rsid w:val="00E22A69"/>
    <w:rsid w:val="00E22A6D"/>
    <w:rsid w:val="00E22B32"/>
    <w:rsid w:val="00E22B4D"/>
    <w:rsid w:val="00E22C19"/>
    <w:rsid w:val="00E22C5D"/>
    <w:rsid w:val="00E22CEA"/>
    <w:rsid w:val="00E22DF4"/>
    <w:rsid w:val="00E230BE"/>
    <w:rsid w:val="00E23294"/>
    <w:rsid w:val="00E232BB"/>
    <w:rsid w:val="00E233C2"/>
    <w:rsid w:val="00E234D8"/>
    <w:rsid w:val="00E23675"/>
    <w:rsid w:val="00E23783"/>
    <w:rsid w:val="00E237A3"/>
    <w:rsid w:val="00E239FE"/>
    <w:rsid w:val="00E23CC6"/>
    <w:rsid w:val="00E23EC0"/>
    <w:rsid w:val="00E240FF"/>
    <w:rsid w:val="00E2411F"/>
    <w:rsid w:val="00E241CD"/>
    <w:rsid w:val="00E241D6"/>
    <w:rsid w:val="00E24201"/>
    <w:rsid w:val="00E2431C"/>
    <w:rsid w:val="00E24472"/>
    <w:rsid w:val="00E245A1"/>
    <w:rsid w:val="00E2464C"/>
    <w:rsid w:val="00E2467F"/>
    <w:rsid w:val="00E247C7"/>
    <w:rsid w:val="00E2490C"/>
    <w:rsid w:val="00E24949"/>
    <w:rsid w:val="00E24A87"/>
    <w:rsid w:val="00E24AA8"/>
    <w:rsid w:val="00E24B56"/>
    <w:rsid w:val="00E24D5B"/>
    <w:rsid w:val="00E24ECA"/>
    <w:rsid w:val="00E24F56"/>
    <w:rsid w:val="00E24FA9"/>
    <w:rsid w:val="00E25022"/>
    <w:rsid w:val="00E25049"/>
    <w:rsid w:val="00E251C8"/>
    <w:rsid w:val="00E25456"/>
    <w:rsid w:val="00E254EA"/>
    <w:rsid w:val="00E2553A"/>
    <w:rsid w:val="00E258E9"/>
    <w:rsid w:val="00E25948"/>
    <w:rsid w:val="00E25C69"/>
    <w:rsid w:val="00E25F4F"/>
    <w:rsid w:val="00E25FBC"/>
    <w:rsid w:val="00E25FFB"/>
    <w:rsid w:val="00E26158"/>
    <w:rsid w:val="00E2616D"/>
    <w:rsid w:val="00E263B2"/>
    <w:rsid w:val="00E26525"/>
    <w:rsid w:val="00E26640"/>
    <w:rsid w:val="00E26642"/>
    <w:rsid w:val="00E26667"/>
    <w:rsid w:val="00E266E9"/>
    <w:rsid w:val="00E267EC"/>
    <w:rsid w:val="00E26829"/>
    <w:rsid w:val="00E2682A"/>
    <w:rsid w:val="00E268F4"/>
    <w:rsid w:val="00E26B19"/>
    <w:rsid w:val="00E26C76"/>
    <w:rsid w:val="00E26D2B"/>
    <w:rsid w:val="00E26EB1"/>
    <w:rsid w:val="00E26F75"/>
    <w:rsid w:val="00E27021"/>
    <w:rsid w:val="00E2703F"/>
    <w:rsid w:val="00E273F3"/>
    <w:rsid w:val="00E27584"/>
    <w:rsid w:val="00E27589"/>
    <w:rsid w:val="00E276A8"/>
    <w:rsid w:val="00E278A1"/>
    <w:rsid w:val="00E278F2"/>
    <w:rsid w:val="00E278F8"/>
    <w:rsid w:val="00E279EF"/>
    <w:rsid w:val="00E27A4C"/>
    <w:rsid w:val="00E27BCC"/>
    <w:rsid w:val="00E27BE0"/>
    <w:rsid w:val="00E27D10"/>
    <w:rsid w:val="00E27D83"/>
    <w:rsid w:val="00E27FAB"/>
    <w:rsid w:val="00E27FBF"/>
    <w:rsid w:val="00E30137"/>
    <w:rsid w:val="00E301D7"/>
    <w:rsid w:val="00E302FE"/>
    <w:rsid w:val="00E30644"/>
    <w:rsid w:val="00E3066B"/>
    <w:rsid w:val="00E3073E"/>
    <w:rsid w:val="00E3075D"/>
    <w:rsid w:val="00E3087F"/>
    <w:rsid w:val="00E308AB"/>
    <w:rsid w:val="00E308CD"/>
    <w:rsid w:val="00E30A67"/>
    <w:rsid w:val="00E30C28"/>
    <w:rsid w:val="00E30C55"/>
    <w:rsid w:val="00E30D63"/>
    <w:rsid w:val="00E30DCC"/>
    <w:rsid w:val="00E30E03"/>
    <w:rsid w:val="00E310B8"/>
    <w:rsid w:val="00E310E6"/>
    <w:rsid w:val="00E311AB"/>
    <w:rsid w:val="00E31322"/>
    <w:rsid w:val="00E31336"/>
    <w:rsid w:val="00E3134B"/>
    <w:rsid w:val="00E31472"/>
    <w:rsid w:val="00E31508"/>
    <w:rsid w:val="00E31718"/>
    <w:rsid w:val="00E317B1"/>
    <w:rsid w:val="00E317C4"/>
    <w:rsid w:val="00E31963"/>
    <w:rsid w:val="00E319B2"/>
    <w:rsid w:val="00E31B19"/>
    <w:rsid w:val="00E31C26"/>
    <w:rsid w:val="00E31CDC"/>
    <w:rsid w:val="00E31DB9"/>
    <w:rsid w:val="00E31F4F"/>
    <w:rsid w:val="00E32020"/>
    <w:rsid w:val="00E320DD"/>
    <w:rsid w:val="00E3213C"/>
    <w:rsid w:val="00E323A3"/>
    <w:rsid w:val="00E3247D"/>
    <w:rsid w:val="00E32495"/>
    <w:rsid w:val="00E3252E"/>
    <w:rsid w:val="00E326E2"/>
    <w:rsid w:val="00E3275E"/>
    <w:rsid w:val="00E32867"/>
    <w:rsid w:val="00E32892"/>
    <w:rsid w:val="00E328B7"/>
    <w:rsid w:val="00E32967"/>
    <w:rsid w:val="00E32A17"/>
    <w:rsid w:val="00E32A1E"/>
    <w:rsid w:val="00E32C4B"/>
    <w:rsid w:val="00E32C9E"/>
    <w:rsid w:val="00E32D86"/>
    <w:rsid w:val="00E32E15"/>
    <w:rsid w:val="00E32F26"/>
    <w:rsid w:val="00E32FFE"/>
    <w:rsid w:val="00E33018"/>
    <w:rsid w:val="00E330D5"/>
    <w:rsid w:val="00E33162"/>
    <w:rsid w:val="00E3320B"/>
    <w:rsid w:val="00E332F5"/>
    <w:rsid w:val="00E33313"/>
    <w:rsid w:val="00E333B1"/>
    <w:rsid w:val="00E334C0"/>
    <w:rsid w:val="00E3363A"/>
    <w:rsid w:val="00E337B0"/>
    <w:rsid w:val="00E337DC"/>
    <w:rsid w:val="00E338E4"/>
    <w:rsid w:val="00E33B3A"/>
    <w:rsid w:val="00E33F95"/>
    <w:rsid w:val="00E34025"/>
    <w:rsid w:val="00E34057"/>
    <w:rsid w:val="00E34072"/>
    <w:rsid w:val="00E3417B"/>
    <w:rsid w:val="00E341A4"/>
    <w:rsid w:val="00E34412"/>
    <w:rsid w:val="00E34487"/>
    <w:rsid w:val="00E3448C"/>
    <w:rsid w:val="00E34598"/>
    <w:rsid w:val="00E346EF"/>
    <w:rsid w:val="00E34815"/>
    <w:rsid w:val="00E34843"/>
    <w:rsid w:val="00E348B0"/>
    <w:rsid w:val="00E348C3"/>
    <w:rsid w:val="00E34950"/>
    <w:rsid w:val="00E3496B"/>
    <w:rsid w:val="00E34B79"/>
    <w:rsid w:val="00E34B7F"/>
    <w:rsid w:val="00E34BA6"/>
    <w:rsid w:val="00E34C7C"/>
    <w:rsid w:val="00E34CE8"/>
    <w:rsid w:val="00E34E5A"/>
    <w:rsid w:val="00E34EF3"/>
    <w:rsid w:val="00E3500D"/>
    <w:rsid w:val="00E35139"/>
    <w:rsid w:val="00E35340"/>
    <w:rsid w:val="00E354C7"/>
    <w:rsid w:val="00E357B5"/>
    <w:rsid w:val="00E357CF"/>
    <w:rsid w:val="00E3599A"/>
    <w:rsid w:val="00E35C0C"/>
    <w:rsid w:val="00E35CEC"/>
    <w:rsid w:val="00E35D63"/>
    <w:rsid w:val="00E35E49"/>
    <w:rsid w:val="00E35EA5"/>
    <w:rsid w:val="00E35F73"/>
    <w:rsid w:val="00E36034"/>
    <w:rsid w:val="00E36093"/>
    <w:rsid w:val="00E362BD"/>
    <w:rsid w:val="00E36562"/>
    <w:rsid w:val="00E36654"/>
    <w:rsid w:val="00E366ED"/>
    <w:rsid w:val="00E366EE"/>
    <w:rsid w:val="00E36995"/>
    <w:rsid w:val="00E36AEE"/>
    <w:rsid w:val="00E36E76"/>
    <w:rsid w:val="00E370A5"/>
    <w:rsid w:val="00E370F5"/>
    <w:rsid w:val="00E372DA"/>
    <w:rsid w:val="00E3744E"/>
    <w:rsid w:val="00E37616"/>
    <w:rsid w:val="00E3762B"/>
    <w:rsid w:val="00E378BB"/>
    <w:rsid w:val="00E37D83"/>
    <w:rsid w:val="00E37D8F"/>
    <w:rsid w:val="00E37EBA"/>
    <w:rsid w:val="00E400D9"/>
    <w:rsid w:val="00E403DC"/>
    <w:rsid w:val="00E4046D"/>
    <w:rsid w:val="00E40473"/>
    <w:rsid w:val="00E406FB"/>
    <w:rsid w:val="00E40795"/>
    <w:rsid w:val="00E407BD"/>
    <w:rsid w:val="00E40801"/>
    <w:rsid w:val="00E40BE8"/>
    <w:rsid w:val="00E40DBC"/>
    <w:rsid w:val="00E40EAE"/>
    <w:rsid w:val="00E40EB0"/>
    <w:rsid w:val="00E41074"/>
    <w:rsid w:val="00E41089"/>
    <w:rsid w:val="00E41149"/>
    <w:rsid w:val="00E41332"/>
    <w:rsid w:val="00E413A6"/>
    <w:rsid w:val="00E413BA"/>
    <w:rsid w:val="00E4178F"/>
    <w:rsid w:val="00E417B6"/>
    <w:rsid w:val="00E41958"/>
    <w:rsid w:val="00E41B77"/>
    <w:rsid w:val="00E41BB8"/>
    <w:rsid w:val="00E41BDF"/>
    <w:rsid w:val="00E41C76"/>
    <w:rsid w:val="00E41D6D"/>
    <w:rsid w:val="00E41DBA"/>
    <w:rsid w:val="00E41DDF"/>
    <w:rsid w:val="00E41DEF"/>
    <w:rsid w:val="00E41F2B"/>
    <w:rsid w:val="00E41FDC"/>
    <w:rsid w:val="00E41FF2"/>
    <w:rsid w:val="00E4223E"/>
    <w:rsid w:val="00E4229A"/>
    <w:rsid w:val="00E423C8"/>
    <w:rsid w:val="00E4290C"/>
    <w:rsid w:val="00E429E6"/>
    <w:rsid w:val="00E42A4E"/>
    <w:rsid w:val="00E42BCC"/>
    <w:rsid w:val="00E42FA1"/>
    <w:rsid w:val="00E430C3"/>
    <w:rsid w:val="00E431E7"/>
    <w:rsid w:val="00E4325E"/>
    <w:rsid w:val="00E4332D"/>
    <w:rsid w:val="00E43333"/>
    <w:rsid w:val="00E4349F"/>
    <w:rsid w:val="00E43709"/>
    <w:rsid w:val="00E43946"/>
    <w:rsid w:val="00E4399A"/>
    <w:rsid w:val="00E439A3"/>
    <w:rsid w:val="00E43ABB"/>
    <w:rsid w:val="00E43B0D"/>
    <w:rsid w:val="00E43E61"/>
    <w:rsid w:val="00E440C9"/>
    <w:rsid w:val="00E44115"/>
    <w:rsid w:val="00E4414F"/>
    <w:rsid w:val="00E441D5"/>
    <w:rsid w:val="00E441E5"/>
    <w:rsid w:val="00E44213"/>
    <w:rsid w:val="00E44244"/>
    <w:rsid w:val="00E442A2"/>
    <w:rsid w:val="00E4438B"/>
    <w:rsid w:val="00E444EB"/>
    <w:rsid w:val="00E444FB"/>
    <w:rsid w:val="00E446D0"/>
    <w:rsid w:val="00E448B5"/>
    <w:rsid w:val="00E448FF"/>
    <w:rsid w:val="00E449DC"/>
    <w:rsid w:val="00E44AD9"/>
    <w:rsid w:val="00E44B28"/>
    <w:rsid w:val="00E44D78"/>
    <w:rsid w:val="00E44DF3"/>
    <w:rsid w:val="00E44E26"/>
    <w:rsid w:val="00E44E8D"/>
    <w:rsid w:val="00E4507E"/>
    <w:rsid w:val="00E450B3"/>
    <w:rsid w:val="00E451FD"/>
    <w:rsid w:val="00E45382"/>
    <w:rsid w:val="00E45469"/>
    <w:rsid w:val="00E45480"/>
    <w:rsid w:val="00E45504"/>
    <w:rsid w:val="00E45635"/>
    <w:rsid w:val="00E456A5"/>
    <w:rsid w:val="00E456D7"/>
    <w:rsid w:val="00E45726"/>
    <w:rsid w:val="00E459B5"/>
    <w:rsid w:val="00E45A69"/>
    <w:rsid w:val="00E45B2D"/>
    <w:rsid w:val="00E45DDB"/>
    <w:rsid w:val="00E45E61"/>
    <w:rsid w:val="00E45F22"/>
    <w:rsid w:val="00E45F46"/>
    <w:rsid w:val="00E45FC7"/>
    <w:rsid w:val="00E46435"/>
    <w:rsid w:val="00E464F4"/>
    <w:rsid w:val="00E46507"/>
    <w:rsid w:val="00E465FD"/>
    <w:rsid w:val="00E46916"/>
    <w:rsid w:val="00E4697A"/>
    <w:rsid w:val="00E46BAD"/>
    <w:rsid w:val="00E46BFA"/>
    <w:rsid w:val="00E46C8F"/>
    <w:rsid w:val="00E46CC2"/>
    <w:rsid w:val="00E46E43"/>
    <w:rsid w:val="00E47025"/>
    <w:rsid w:val="00E4705B"/>
    <w:rsid w:val="00E47252"/>
    <w:rsid w:val="00E47273"/>
    <w:rsid w:val="00E4741A"/>
    <w:rsid w:val="00E47556"/>
    <w:rsid w:val="00E47740"/>
    <w:rsid w:val="00E4775A"/>
    <w:rsid w:val="00E4792A"/>
    <w:rsid w:val="00E4798D"/>
    <w:rsid w:val="00E47A33"/>
    <w:rsid w:val="00E47ACB"/>
    <w:rsid w:val="00E47B5C"/>
    <w:rsid w:val="00E47D4C"/>
    <w:rsid w:val="00E47DED"/>
    <w:rsid w:val="00E47F1F"/>
    <w:rsid w:val="00E47F38"/>
    <w:rsid w:val="00E50025"/>
    <w:rsid w:val="00E500E3"/>
    <w:rsid w:val="00E500F3"/>
    <w:rsid w:val="00E50215"/>
    <w:rsid w:val="00E502EB"/>
    <w:rsid w:val="00E5039D"/>
    <w:rsid w:val="00E504CC"/>
    <w:rsid w:val="00E507D7"/>
    <w:rsid w:val="00E507FA"/>
    <w:rsid w:val="00E50811"/>
    <w:rsid w:val="00E50983"/>
    <w:rsid w:val="00E509C5"/>
    <w:rsid w:val="00E50A9E"/>
    <w:rsid w:val="00E50AB2"/>
    <w:rsid w:val="00E50AD6"/>
    <w:rsid w:val="00E50BA8"/>
    <w:rsid w:val="00E50CDD"/>
    <w:rsid w:val="00E50CE0"/>
    <w:rsid w:val="00E50CE6"/>
    <w:rsid w:val="00E510BA"/>
    <w:rsid w:val="00E510F0"/>
    <w:rsid w:val="00E51193"/>
    <w:rsid w:val="00E5151C"/>
    <w:rsid w:val="00E51523"/>
    <w:rsid w:val="00E515C0"/>
    <w:rsid w:val="00E51702"/>
    <w:rsid w:val="00E518AF"/>
    <w:rsid w:val="00E518D2"/>
    <w:rsid w:val="00E5191B"/>
    <w:rsid w:val="00E51941"/>
    <w:rsid w:val="00E51A03"/>
    <w:rsid w:val="00E51BE7"/>
    <w:rsid w:val="00E51CF3"/>
    <w:rsid w:val="00E51D9A"/>
    <w:rsid w:val="00E51DD9"/>
    <w:rsid w:val="00E51E48"/>
    <w:rsid w:val="00E51FB4"/>
    <w:rsid w:val="00E51FB5"/>
    <w:rsid w:val="00E5255A"/>
    <w:rsid w:val="00E525C2"/>
    <w:rsid w:val="00E52652"/>
    <w:rsid w:val="00E526A3"/>
    <w:rsid w:val="00E52735"/>
    <w:rsid w:val="00E527A1"/>
    <w:rsid w:val="00E528CB"/>
    <w:rsid w:val="00E5298B"/>
    <w:rsid w:val="00E52D64"/>
    <w:rsid w:val="00E52D72"/>
    <w:rsid w:val="00E52E37"/>
    <w:rsid w:val="00E52F15"/>
    <w:rsid w:val="00E52FC7"/>
    <w:rsid w:val="00E52FE0"/>
    <w:rsid w:val="00E5300F"/>
    <w:rsid w:val="00E5312A"/>
    <w:rsid w:val="00E53161"/>
    <w:rsid w:val="00E5320E"/>
    <w:rsid w:val="00E53412"/>
    <w:rsid w:val="00E535CC"/>
    <w:rsid w:val="00E538FB"/>
    <w:rsid w:val="00E539D6"/>
    <w:rsid w:val="00E53C3E"/>
    <w:rsid w:val="00E53D14"/>
    <w:rsid w:val="00E53DEB"/>
    <w:rsid w:val="00E54111"/>
    <w:rsid w:val="00E543CE"/>
    <w:rsid w:val="00E544E3"/>
    <w:rsid w:val="00E54601"/>
    <w:rsid w:val="00E5466E"/>
    <w:rsid w:val="00E5476C"/>
    <w:rsid w:val="00E5483B"/>
    <w:rsid w:val="00E549A2"/>
    <w:rsid w:val="00E54B49"/>
    <w:rsid w:val="00E54C5E"/>
    <w:rsid w:val="00E54E4C"/>
    <w:rsid w:val="00E54E67"/>
    <w:rsid w:val="00E54EF9"/>
    <w:rsid w:val="00E54F80"/>
    <w:rsid w:val="00E55008"/>
    <w:rsid w:val="00E550CE"/>
    <w:rsid w:val="00E55122"/>
    <w:rsid w:val="00E551D1"/>
    <w:rsid w:val="00E5527C"/>
    <w:rsid w:val="00E552A7"/>
    <w:rsid w:val="00E5533E"/>
    <w:rsid w:val="00E554E9"/>
    <w:rsid w:val="00E554EC"/>
    <w:rsid w:val="00E557DA"/>
    <w:rsid w:val="00E558AC"/>
    <w:rsid w:val="00E55925"/>
    <w:rsid w:val="00E55B87"/>
    <w:rsid w:val="00E55CAF"/>
    <w:rsid w:val="00E55E55"/>
    <w:rsid w:val="00E56021"/>
    <w:rsid w:val="00E56029"/>
    <w:rsid w:val="00E56060"/>
    <w:rsid w:val="00E561BC"/>
    <w:rsid w:val="00E56357"/>
    <w:rsid w:val="00E5664C"/>
    <w:rsid w:val="00E56695"/>
    <w:rsid w:val="00E567A8"/>
    <w:rsid w:val="00E56811"/>
    <w:rsid w:val="00E568B6"/>
    <w:rsid w:val="00E56BA8"/>
    <w:rsid w:val="00E56BE9"/>
    <w:rsid w:val="00E56DA8"/>
    <w:rsid w:val="00E56E12"/>
    <w:rsid w:val="00E56ED0"/>
    <w:rsid w:val="00E56F91"/>
    <w:rsid w:val="00E57150"/>
    <w:rsid w:val="00E5717C"/>
    <w:rsid w:val="00E5726B"/>
    <w:rsid w:val="00E572B0"/>
    <w:rsid w:val="00E5743B"/>
    <w:rsid w:val="00E574F5"/>
    <w:rsid w:val="00E575F9"/>
    <w:rsid w:val="00E5760E"/>
    <w:rsid w:val="00E57969"/>
    <w:rsid w:val="00E57A5D"/>
    <w:rsid w:val="00E57ACF"/>
    <w:rsid w:val="00E57AF7"/>
    <w:rsid w:val="00E57B46"/>
    <w:rsid w:val="00E57C21"/>
    <w:rsid w:val="00E57C62"/>
    <w:rsid w:val="00E57D97"/>
    <w:rsid w:val="00E57DC7"/>
    <w:rsid w:val="00E57E0F"/>
    <w:rsid w:val="00E6005F"/>
    <w:rsid w:val="00E6011F"/>
    <w:rsid w:val="00E601E3"/>
    <w:rsid w:val="00E6026C"/>
    <w:rsid w:val="00E602C9"/>
    <w:rsid w:val="00E602DA"/>
    <w:rsid w:val="00E604A0"/>
    <w:rsid w:val="00E604B1"/>
    <w:rsid w:val="00E604C4"/>
    <w:rsid w:val="00E604D9"/>
    <w:rsid w:val="00E60592"/>
    <w:rsid w:val="00E605C1"/>
    <w:rsid w:val="00E605E4"/>
    <w:rsid w:val="00E606AB"/>
    <w:rsid w:val="00E607EC"/>
    <w:rsid w:val="00E60AAE"/>
    <w:rsid w:val="00E60B1D"/>
    <w:rsid w:val="00E60B4A"/>
    <w:rsid w:val="00E60DE3"/>
    <w:rsid w:val="00E60E42"/>
    <w:rsid w:val="00E60E75"/>
    <w:rsid w:val="00E60FF0"/>
    <w:rsid w:val="00E61137"/>
    <w:rsid w:val="00E61149"/>
    <w:rsid w:val="00E6125C"/>
    <w:rsid w:val="00E6147A"/>
    <w:rsid w:val="00E6151C"/>
    <w:rsid w:val="00E6168E"/>
    <w:rsid w:val="00E61979"/>
    <w:rsid w:val="00E61AF9"/>
    <w:rsid w:val="00E61B41"/>
    <w:rsid w:val="00E61B9E"/>
    <w:rsid w:val="00E61DDE"/>
    <w:rsid w:val="00E62334"/>
    <w:rsid w:val="00E6233C"/>
    <w:rsid w:val="00E6260E"/>
    <w:rsid w:val="00E62621"/>
    <w:rsid w:val="00E62729"/>
    <w:rsid w:val="00E6276D"/>
    <w:rsid w:val="00E62A67"/>
    <w:rsid w:val="00E62A6D"/>
    <w:rsid w:val="00E62BBF"/>
    <w:rsid w:val="00E62BDD"/>
    <w:rsid w:val="00E62C1E"/>
    <w:rsid w:val="00E62D00"/>
    <w:rsid w:val="00E62DAB"/>
    <w:rsid w:val="00E62E41"/>
    <w:rsid w:val="00E6303F"/>
    <w:rsid w:val="00E6309E"/>
    <w:rsid w:val="00E630B2"/>
    <w:rsid w:val="00E6314A"/>
    <w:rsid w:val="00E63152"/>
    <w:rsid w:val="00E63216"/>
    <w:rsid w:val="00E633A3"/>
    <w:rsid w:val="00E633A7"/>
    <w:rsid w:val="00E636A3"/>
    <w:rsid w:val="00E6385E"/>
    <w:rsid w:val="00E63A19"/>
    <w:rsid w:val="00E63AAC"/>
    <w:rsid w:val="00E63AD7"/>
    <w:rsid w:val="00E63B4E"/>
    <w:rsid w:val="00E63D46"/>
    <w:rsid w:val="00E63D84"/>
    <w:rsid w:val="00E63E99"/>
    <w:rsid w:val="00E64199"/>
    <w:rsid w:val="00E6437F"/>
    <w:rsid w:val="00E643B2"/>
    <w:rsid w:val="00E643C3"/>
    <w:rsid w:val="00E644F6"/>
    <w:rsid w:val="00E6450A"/>
    <w:rsid w:val="00E645CB"/>
    <w:rsid w:val="00E64636"/>
    <w:rsid w:val="00E64A24"/>
    <w:rsid w:val="00E64A7D"/>
    <w:rsid w:val="00E64F0B"/>
    <w:rsid w:val="00E64F40"/>
    <w:rsid w:val="00E64FF2"/>
    <w:rsid w:val="00E65190"/>
    <w:rsid w:val="00E65258"/>
    <w:rsid w:val="00E653BE"/>
    <w:rsid w:val="00E653D1"/>
    <w:rsid w:val="00E65464"/>
    <w:rsid w:val="00E6555A"/>
    <w:rsid w:val="00E656DA"/>
    <w:rsid w:val="00E65809"/>
    <w:rsid w:val="00E659FD"/>
    <w:rsid w:val="00E65A15"/>
    <w:rsid w:val="00E65AB9"/>
    <w:rsid w:val="00E65B76"/>
    <w:rsid w:val="00E65D35"/>
    <w:rsid w:val="00E65F7A"/>
    <w:rsid w:val="00E6605D"/>
    <w:rsid w:val="00E660D7"/>
    <w:rsid w:val="00E66135"/>
    <w:rsid w:val="00E66215"/>
    <w:rsid w:val="00E66291"/>
    <w:rsid w:val="00E663E7"/>
    <w:rsid w:val="00E66421"/>
    <w:rsid w:val="00E66481"/>
    <w:rsid w:val="00E664C9"/>
    <w:rsid w:val="00E665DC"/>
    <w:rsid w:val="00E666C5"/>
    <w:rsid w:val="00E66787"/>
    <w:rsid w:val="00E6681D"/>
    <w:rsid w:val="00E6695E"/>
    <w:rsid w:val="00E66D60"/>
    <w:rsid w:val="00E66E75"/>
    <w:rsid w:val="00E66E87"/>
    <w:rsid w:val="00E66E9B"/>
    <w:rsid w:val="00E66F00"/>
    <w:rsid w:val="00E670AD"/>
    <w:rsid w:val="00E672F7"/>
    <w:rsid w:val="00E674DA"/>
    <w:rsid w:val="00E674E7"/>
    <w:rsid w:val="00E674EA"/>
    <w:rsid w:val="00E6761C"/>
    <w:rsid w:val="00E67A12"/>
    <w:rsid w:val="00E67A50"/>
    <w:rsid w:val="00E67B31"/>
    <w:rsid w:val="00E67C91"/>
    <w:rsid w:val="00E67D9B"/>
    <w:rsid w:val="00E67E51"/>
    <w:rsid w:val="00E67EEC"/>
    <w:rsid w:val="00E67F42"/>
    <w:rsid w:val="00E70011"/>
    <w:rsid w:val="00E701E4"/>
    <w:rsid w:val="00E7047E"/>
    <w:rsid w:val="00E70886"/>
    <w:rsid w:val="00E70B30"/>
    <w:rsid w:val="00E70F8C"/>
    <w:rsid w:val="00E7101D"/>
    <w:rsid w:val="00E71571"/>
    <w:rsid w:val="00E71584"/>
    <w:rsid w:val="00E715BA"/>
    <w:rsid w:val="00E71805"/>
    <w:rsid w:val="00E718D1"/>
    <w:rsid w:val="00E7195B"/>
    <w:rsid w:val="00E719E9"/>
    <w:rsid w:val="00E71AB7"/>
    <w:rsid w:val="00E71BB6"/>
    <w:rsid w:val="00E71BF9"/>
    <w:rsid w:val="00E71C3C"/>
    <w:rsid w:val="00E71D0C"/>
    <w:rsid w:val="00E71E49"/>
    <w:rsid w:val="00E71F72"/>
    <w:rsid w:val="00E72030"/>
    <w:rsid w:val="00E72076"/>
    <w:rsid w:val="00E720F5"/>
    <w:rsid w:val="00E721E2"/>
    <w:rsid w:val="00E722BD"/>
    <w:rsid w:val="00E72369"/>
    <w:rsid w:val="00E723F4"/>
    <w:rsid w:val="00E72573"/>
    <w:rsid w:val="00E725E3"/>
    <w:rsid w:val="00E726C4"/>
    <w:rsid w:val="00E72861"/>
    <w:rsid w:val="00E72862"/>
    <w:rsid w:val="00E7288F"/>
    <w:rsid w:val="00E729A7"/>
    <w:rsid w:val="00E729F1"/>
    <w:rsid w:val="00E72A3B"/>
    <w:rsid w:val="00E72A4F"/>
    <w:rsid w:val="00E72A69"/>
    <w:rsid w:val="00E72AA4"/>
    <w:rsid w:val="00E72B3D"/>
    <w:rsid w:val="00E72BF5"/>
    <w:rsid w:val="00E72C6E"/>
    <w:rsid w:val="00E72C81"/>
    <w:rsid w:val="00E72C8E"/>
    <w:rsid w:val="00E72CB5"/>
    <w:rsid w:val="00E72D6E"/>
    <w:rsid w:val="00E72E05"/>
    <w:rsid w:val="00E72FD2"/>
    <w:rsid w:val="00E73034"/>
    <w:rsid w:val="00E7308D"/>
    <w:rsid w:val="00E7342B"/>
    <w:rsid w:val="00E7358A"/>
    <w:rsid w:val="00E73792"/>
    <w:rsid w:val="00E7385E"/>
    <w:rsid w:val="00E73987"/>
    <w:rsid w:val="00E739E7"/>
    <w:rsid w:val="00E739E8"/>
    <w:rsid w:val="00E739F9"/>
    <w:rsid w:val="00E73A87"/>
    <w:rsid w:val="00E73CEA"/>
    <w:rsid w:val="00E73D04"/>
    <w:rsid w:val="00E73DC3"/>
    <w:rsid w:val="00E74079"/>
    <w:rsid w:val="00E74106"/>
    <w:rsid w:val="00E74139"/>
    <w:rsid w:val="00E74172"/>
    <w:rsid w:val="00E74200"/>
    <w:rsid w:val="00E742F1"/>
    <w:rsid w:val="00E74677"/>
    <w:rsid w:val="00E7472B"/>
    <w:rsid w:val="00E74946"/>
    <w:rsid w:val="00E7498F"/>
    <w:rsid w:val="00E74B65"/>
    <w:rsid w:val="00E74E91"/>
    <w:rsid w:val="00E7522D"/>
    <w:rsid w:val="00E75284"/>
    <w:rsid w:val="00E75624"/>
    <w:rsid w:val="00E75668"/>
    <w:rsid w:val="00E75843"/>
    <w:rsid w:val="00E758A6"/>
    <w:rsid w:val="00E758AC"/>
    <w:rsid w:val="00E758DE"/>
    <w:rsid w:val="00E759AD"/>
    <w:rsid w:val="00E75BD6"/>
    <w:rsid w:val="00E75EDB"/>
    <w:rsid w:val="00E75EEE"/>
    <w:rsid w:val="00E761E6"/>
    <w:rsid w:val="00E76230"/>
    <w:rsid w:val="00E76321"/>
    <w:rsid w:val="00E76374"/>
    <w:rsid w:val="00E764DC"/>
    <w:rsid w:val="00E76720"/>
    <w:rsid w:val="00E76898"/>
    <w:rsid w:val="00E7690F"/>
    <w:rsid w:val="00E7697B"/>
    <w:rsid w:val="00E76A77"/>
    <w:rsid w:val="00E76A7C"/>
    <w:rsid w:val="00E76B79"/>
    <w:rsid w:val="00E76B80"/>
    <w:rsid w:val="00E76BDF"/>
    <w:rsid w:val="00E76CB0"/>
    <w:rsid w:val="00E76DFA"/>
    <w:rsid w:val="00E76F17"/>
    <w:rsid w:val="00E76F26"/>
    <w:rsid w:val="00E76F80"/>
    <w:rsid w:val="00E77095"/>
    <w:rsid w:val="00E7710F"/>
    <w:rsid w:val="00E77145"/>
    <w:rsid w:val="00E7716A"/>
    <w:rsid w:val="00E77188"/>
    <w:rsid w:val="00E772FA"/>
    <w:rsid w:val="00E773F3"/>
    <w:rsid w:val="00E7741C"/>
    <w:rsid w:val="00E775D3"/>
    <w:rsid w:val="00E775F7"/>
    <w:rsid w:val="00E77609"/>
    <w:rsid w:val="00E776EC"/>
    <w:rsid w:val="00E7786C"/>
    <w:rsid w:val="00E77A0D"/>
    <w:rsid w:val="00E77B04"/>
    <w:rsid w:val="00E77BA7"/>
    <w:rsid w:val="00E77C12"/>
    <w:rsid w:val="00E77D41"/>
    <w:rsid w:val="00E77DFC"/>
    <w:rsid w:val="00E77E2D"/>
    <w:rsid w:val="00E77F48"/>
    <w:rsid w:val="00E77F6B"/>
    <w:rsid w:val="00E80136"/>
    <w:rsid w:val="00E80359"/>
    <w:rsid w:val="00E803CC"/>
    <w:rsid w:val="00E8044D"/>
    <w:rsid w:val="00E80506"/>
    <w:rsid w:val="00E8055C"/>
    <w:rsid w:val="00E805A7"/>
    <w:rsid w:val="00E805F5"/>
    <w:rsid w:val="00E806E0"/>
    <w:rsid w:val="00E807DC"/>
    <w:rsid w:val="00E8084B"/>
    <w:rsid w:val="00E80921"/>
    <w:rsid w:val="00E80950"/>
    <w:rsid w:val="00E80B10"/>
    <w:rsid w:val="00E80B90"/>
    <w:rsid w:val="00E80DD4"/>
    <w:rsid w:val="00E80E0A"/>
    <w:rsid w:val="00E80F51"/>
    <w:rsid w:val="00E80FBC"/>
    <w:rsid w:val="00E813F1"/>
    <w:rsid w:val="00E814A8"/>
    <w:rsid w:val="00E8150E"/>
    <w:rsid w:val="00E8157D"/>
    <w:rsid w:val="00E816A3"/>
    <w:rsid w:val="00E81A6B"/>
    <w:rsid w:val="00E81A96"/>
    <w:rsid w:val="00E81BE5"/>
    <w:rsid w:val="00E81CCD"/>
    <w:rsid w:val="00E81D33"/>
    <w:rsid w:val="00E82111"/>
    <w:rsid w:val="00E82182"/>
    <w:rsid w:val="00E82863"/>
    <w:rsid w:val="00E829B2"/>
    <w:rsid w:val="00E829D6"/>
    <w:rsid w:val="00E82A3C"/>
    <w:rsid w:val="00E82AA3"/>
    <w:rsid w:val="00E82C0E"/>
    <w:rsid w:val="00E82CA4"/>
    <w:rsid w:val="00E82CE3"/>
    <w:rsid w:val="00E82D20"/>
    <w:rsid w:val="00E82E1F"/>
    <w:rsid w:val="00E82FC0"/>
    <w:rsid w:val="00E83035"/>
    <w:rsid w:val="00E830FE"/>
    <w:rsid w:val="00E83190"/>
    <w:rsid w:val="00E831D9"/>
    <w:rsid w:val="00E83232"/>
    <w:rsid w:val="00E83249"/>
    <w:rsid w:val="00E835C3"/>
    <w:rsid w:val="00E83865"/>
    <w:rsid w:val="00E83A5C"/>
    <w:rsid w:val="00E83A9B"/>
    <w:rsid w:val="00E83CB7"/>
    <w:rsid w:val="00E83D4C"/>
    <w:rsid w:val="00E83D72"/>
    <w:rsid w:val="00E83D88"/>
    <w:rsid w:val="00E83EA1"/>
    <w:rsid w:val="00E83EBE"/>
    <w:rsid w:val="00E8406D"/>
    <w:rsid w:val="00E8418E"/>
    <w:rsid w:val="00E841A6"/>
    <w:rsid w:val="00E8422F"/>
    <w:rsid w:val="00E84314"/>
    <w:rsid w:val="00E843E1"/>
    <w:rsid w:val="00E844AB"/>
    <w:rsid w:val="00E844F5"/>
    <w:rsid w:val="00E846B9"/>
    <w:rsid w:val="00E8476B"/>
    <w:rsid w:val="00E84907"/>
    <w:rsid w:val="00E849BC"/>
    <w:rsid w:val="00E84A1D"/>
    <w:rsid w:val="00E84C4E"/>
    <w:rsid w:val="00E84CDE"/>
    <w:rsid w:val="00E84DA8"/>
    <w:rsid w:val="00E84DCC"/>
    <w:rsid w:val="00E84E9C"/>
    <w:rsid w:val="00E84EB2"/>
    <w:rsid w:val="00E84F1B"/>
    <w:rsid w:val="00E84F1D"/>
    <w:rsid w:val="00E84FC5"/>
    <w:rsid w:val="00E85051"/>
    <w:rsid w:val="00E85059"/>
    <w:rsid w:val="00E850F8"/>
    <w:rsid w:val="00E852AF"/>
    <w:rsid w:val="00E852C4"/>
    <w:rsid w:val="00E853C5"/>
    <w:rsid w:val="00E853F0"/>
    <w:rsid w:val="00E853F9"/>
    <w:rsid w:val="00E85645"/>
    <w:rsid w:val="00E856DB"/>
    <w:rsid w:val="00E85805"/>
    <w:rsid w:val="00E85843"/>
    <w:rsid w:val="00E8586E"/>
    <w:rsid w:val="00E858F3"/>
    <w:rsid w:val="00E85C72"/>
    <w:rsid w:val="00E85DA8"/>
    <w:rsid w:val="00E85FB8"/>
    <w:rsid w:val="00E8618D"/>
    <w:rsid w:val="00E861F7"/>
    <w:rsid w:val="00E86242"/>
    <w:rsid w:val="00E863F3"/>
    <w:rsid w:val="00E86457"/>
    <w:rsid w:val="00E867B7"/>
    <w:rsid w:val="00E8680E"/>
    <w:rsid w:val="00E8684F"/>
    <w:rsid w:val="00E86B38"/>
    <w:rsid w:val="00E86BF7"/>
    <w:rsid w:val="00E86C31"/>
    <w:rsid w:val="00E86CE4"/>
    <w:rsid w:val="00E86E2D"/>
    <w:rsid w:val="00E86E71"/>
    <w:rsid w:val="00E86F6B"/>
    <w:rsid w:val="00E86FE8"/>
    <w:rsid w:val="00E87033"/>
    <w:rsid w:val="00E870A0"/>
    <w:rsid w:val="00E87137"/>
    <w:rsid w:val="00E872F0"/>
    <w:rsid w:val="00E87596"/>
    <w:rsid w:val="00E8763F"/>
    <w:rsid w:val="00E876C0"/>
    <w:rsid w:val="00E8771C"/>
    <w:rsid w:val="00E87780"/>
    <w:rsid w:val="00E8779E"/>
    <w:rsid w:val="00E87A16"/>
    <w:rsid w:val="00E87B2F"/>
    <w:rsid w:val="00E87BBD"/>
    <w:rsid w:val="00E87C18"/>
    <w:rsid w:val="00E87C91"/>
    <w:rsid w:val="00E87CBF"/>
    <w:rsid w:val="00E87CEE"/>
    <w:rsid w:val="00E87D38"/>
    <w:rsid w:val="00E87DFE"/>
    <w:rsid w:val="00E87F0D"/>
    <w:rsid w:val="00E90081"/>
    <w:rsid w:val="00E9010D"/>
    <w:rsid w:val="00E90167"/>
    <w:rsid w:val="00E901DA"/>
    <w:rsid w:val="00E9026C"/>
    <w:rsid w:val="00E90626"/>
    <w:rsid w:val="00E9062F"/>
    <w:rsid w:val="00E90689"/>
    <w:rsid w:val="00E907DC"/>
    <w:rsid w:val="00E908F1"/>
    <w:rsid w:val="00E90937"/>
    <w:rsid w:val="00E90947"/>
    <w:rsid w:val="00E9094E"/>
    <w:rsid w:val="00E90AFF"/>
    <w:rsid w:val="00E90CB6"/>
    <w:rsid w:val="00E90DE0"/>
    <w:rsid w:val="00E90EE0"/>
    <w:rsid w:val="00E90EFD"/>
    <w:rsid w:val="00E9103B"/>
    <w:rsid w:val="00E910CF"/>
    <w:rsid w:val="00E9141A"/>
    <w:rsid w:val="00E91537"/>
    <w:rsid w:val="00E9153B"/>
    <w:rsid w:val="00E91544"/>
    <w:rsid w:val="00E915AE"/>
    <w:rsid w:val="00E91787"/>
    <w:rsid w:val="00E918B9"/>
    <w:rsid w:val="00E9196F"/>
    <w:rsid w:val="00E91983"/>
    <w:rsid w:val="00E91987"/>
    <w:rsid w:val="00E91D27"/>
    <w:rsid w:val="00E91F27"/>
    <w:rsid w:val="00E91F2B"/>
    <w:rsid w:val="00E91F2F"/>
    <w:rsid w:val="00E91F3B"/>
    <w:rsid w:val="00E91F4F"/>
    <w:rsid w:val="00E91FDE"/>
    <w:rsid w:val="00E92014"/>
    <w:rsid w:val="00E921F5"/>
    <w:rsid w:val="00E92209"/>
    <w:rsid w:val="00E9221A"/>
    <w:rsid w:val="00E922B8"/>
    <w:rsid w:val="00E923FD"/>
    <w:rsid w:val="00E92427"/>
    <w:rsid w:val="00E9242B"/>
    <w:rsid w:val="00E924B5"/>
    <w:rsid w:val="00E924DF"/>
    <w:rsid w:val="00E9250A"/>
    <w:rsid w:val="00E925A1"/>
    <w:rsid w:val="00E925EA"/>
    <w:rsid w:val="00E926A6"/>
    <w:rsid w:val="00E926E6"/>
    <w:rsid w:val="00E9271F"/>
    <w:rsid w:val="00E9278E"/>
    <w:rsid w:val="00E9295C"/>
    <w:rsid w:val="00E92A5C"/>
    <w:rsid w:val="00E92AEA"/>
    <w:rsid w:val="00E92BCC"/>
    <w:rsid w:val="00E92CBD"/>
    <w:rsid w:val="00E92FF3"/>
    <w:rsid w:val="00E9315A"/>
    <w:rsid w:val="00E93243"/>
    <w:rsid w:val="00E933C9"/>
    <w:rsid w:val="00E933E3"/>
    <w:rsid w:val="00E93417"/>
    <w:rsid w:val="00E93623"/>
    <w:rsid w:val="00E936CD"/>
    <w:rsid w:val="00E93846"/>
    <w:rsid w:val="00E93896"/>
    <w:rsid w:val="00E93A11"/>
    <w:rsid w:val="00E93A16"/>
    <w:rsid w:val="00E93B5A"/>
    <w:rsid w:val="00E93D59"/>
    <w:rsid w:val="00E93D89"/>
    <w:rsid w:val="00E93E6C"/>
    <w:rsid w:val="00E93EEF"/>
    <w:rsid w:val="00E9403B"/>
    <w:rsid w:val="00E941D7"/>
    <w:rsid w:val="00E943C5"/>
    <w:rsid w:val="00E94461"/>
    <w:rsid w:val="00E94679"/>
    <w:rsid w:val="00E946A5"/>
    <w:rsid w:val="00E946E4"/>
    <w:rsid w:val="00E94798"/>
    <w:rsid w:val="00E94852"/>
    <w:rsid w:val="00E94857"/>
    <w:rsid w:val="00E94E94"/>
    <w:rsid w:val="00E94EA4"/>
    <w:rsid w:val="00E95010"/>
    <w:rsid w:val="00E950EA"/>
    <w:rsid w:val="00E9510D"/>
    <w:rsid w:val="00E9511B"/>
    <w:rsid w:val="00E95201"/>
    <w:rsid w:val="00E952D9"/>
    <w:rsid w:val="00E95757"/>
    <w:rsid w:val="00E9580F"/>
    <w:rsid w:val="00E95919"/>
    <w:rsid w:val="00E95A01"/>
    <w:rsid w:val="00E95B5F"/>
    <w:rsid w:val="00E95D64"/>
    <w:rsid w:val="00E95DEF"/>
    <w:rsid w:val="00E95EAC"/>
    <w:rsid w:val="00E95FFA"/>
    <w:rsid w:val="00E96143"/>
    <w:rsid w:val="00E9622D"/>
    <w:rsid w:val="00E962B7"/>
    <w:rsid w:val="00E962C8"/>
    <w:rsid w:val="00E966DF"/>
    <w:rsid w:val="00E966E1"/>
    <w:rsid w:val="00E967A3"/>
    <w:rsid w:val="00E968B9"/>
    <w:rsid w:val="00E96924"/>
    <w:rsid w:val="00E969C1"/>
    <w:rsid w:val="00E96CB8"/>
    <w:rsid w:val="00E96D1C"/>
    <w:rsid w:val="00E96D7C"/>
    <w:rsid w:val="00E96DA9"/>
    <w:rsid w:val="00E96E7F"/>
    <w:rsid w:val="00E96EC0"/>
    <w:rsid w:val="00E96EFE"/>
    <w:rsid w:val="00E97015"/>
    <w:rsid w:val="00E970A1"/>
    <w:rsid w:val="00E9712D"/>
    <w:rsid w:val="00E972CE"/>
    <w:rsid w:val="00E973CE"/>
    <w:rsid w:val="00E974EF"/>
    <w:rsid w:val="00E975B9"/>
    <w:rsid w:val="00E975E1"/>
    <w:rsid w:val="00E97704"/>
    <w:rsid w:val="00E97742"/>
    <w:rsid w:val="00E97752"/>
    <w:rsid w:val="00E97769"/>
    <w:rsid w:val="00E97907"/>
    <w:rsid w:val="00E9792C"/>
    <w:rsid w:val="00E9793C"/>
    <w:rsid w:val="00E97948"/>
    <w:rsid w:val="00E97997"/>
    <w:rsid w:val="00E97C2F"/>
    <w:rsid w:val="00E97CAD"/>
    <w:rsid w:val="00E97D53"/>
    <w:rsid w:val="00E97D89"/>
    <w:rsid w:val="00EA0030"/>
    <w:rsid w:val="00EA01C6"/>
    <w:rsid w:val="00EA0300"/>
    <w:rsid w:val="00EA036C"/>
    <w:rsid w:val="00EA03CE"/>
    <w:rsid w:val="00EA03D0"/>
    <w:rsid w:val="00EA0462"/>
    <w:rsid w:val="00EA07C4"/>
    <w:rsid w:val="00EA080E"/>
    <w:rsid w:val="00EA0837"/>
    <w:rsid w:val="00EA08D3"/>
    <w:rsid w:val="00EA0902"/>
    <w:rsid w:val="00EA090D"/>
    <w:rsid w:val="00EA0CDA"/>
    <w:rsid w:val="00EA0D40"/>
    <w:rsid w:val="00EA0D8E"/>
    <w:rsid w:val="00EA0E59"/>
    <w:rsid w:val="00EA1054"/>
    <w:rsid w:val="00EA10F7"/>
    <w:rsid w:val="00EA11C9"/>
    <w:rsid w:val="00EA1449"/>
    <w:rsid w:val="00EA160E"/>
    <w:rsid w:val="00EA16B3"/>
    <w:rsid w:val="00EA174C"/>
    <w:rsid w:val="00EA1753"/>
    <w:rsid w:val="00EA1756"/>
    <w:rsid w:val="00EA175B"/>
    <w:rsid w:val="00EA17C8"/>
    <w:rsid w:val="00EA18A5"/>
    <w:rsid w:val="00EA18B9"/>
    <w:rsid w:val="00EA1998"/>
    <w:rsid w:val="00EA19E8"/>
    <w:rsid w:val="00EA1B3C"/>
    <w:rsid w:val="00EA1D0B"/>
    <w:rsid w:val="00EA1D2B"/>
    <w:rsid w:val="00EA1DEC"/>
    <w:rsid w:val="00EA1F63"/>
    <w:rsid w:val="00EA1F83"/>
    <w:rsid w:val="00EA1F87"/>
    <w:rsid w:val="00EA201A"/>
    <w:rsid w:val="00EA20ED"/>
    <w:rsid w:val="00EA2187"/>
    <w:rsid w:val="00EA23CB"/>
    <w:rsid w:val="00EA2532"/>
    <w:rsid w:val="00EA2538"/>
    <w:rsid w:val="00EA260A"/>
    <w:rsid w:val="00EA2626"/>
    <w:rsid w:val="00EA264F"/>
    <w:rsid w:val="00EA2730"/>
    <w:rsid w:val="00EA2A4C"/>
    <w:rsid w:val="00EA2E0C"/>
    <w:rsid w:val="00EA2E4B"/>
    <w:rsid w:val="00EA2E61"/>
    <w:rsid w:val="00EA2E6D"/>
    <w:rsid w:val="00EA2E7C"/>
    <w:rsid w:val="00EA2E81"/>
    <w:rsid w:val="00EA2F1A"/>
    <w:rsid w:val="00EA2FD1"/>
    <w:rsid w:val="00EA30C3"/>
    <w:rsid w:val="00EA3120"/>
    <w:rsid w:val="00EA3150"/>
    <w:rsid w:val="00EA31DF"/>
    <w:rsid w:val="00EA31F2"/>
    <w:rsid w:val="00EA3288"/>
    <w:rsid w:val="00EA3502"/>
    <w:rsid w:val="00EA352A"/>
    <w:rsid w:val="00EA37E8"/>
    <w:rsid w:val="00EA39E0"/>
    <w:rsid w:val="00EA3AFD"/>
    <w:rsid w:val="00EA3B14"/>
    <w:rsid w:val="00EA3B17"/>
    <w:rsid w:val="00EA3C94"/>
    <w:rsid w:val="00EA3CE5"/>
    <w:rsid w:val="00EA3EA2"/>
    <w:rsid w:val="00EA40AB"/>
    <w:rsid w:val="00EA420F"/>
    <w:rsid w:val="00EA42E9"/>
    <w:rsid w:val="00EA42F0"/>
    <w:rsid w:val="00EA4332"/>
    <w:rsid w:val="00EA4372"/>
    <w:rsid w:val="00EA4592"/>
    <w:rsid w:val="00EA45F9"/>
    <w:rsid w:val="00EA461A"/>
    <w:rsid w:val="00EA48E7"/>
    <w:rsid w:val="00EA49F0"/>
    <w:rsid w:val="00EA4BD8"/>
    <w:rsid w:val="00EA4BEE"/>
    <w:rsid w:val="00EA4DB7"/>
    <w:rsid w:val="00EA4F65"/>
    <w:rsid w:val="00EA4FAA"/>
    <w:rsid w:val="00EA5096"/>
    <w:rsid w:val="00EA50B7"/>
    <w:rsid w:val="00EA50DD"/>
    <w:rsid w:val="00EA5250"/>
    <w:rsid w:val="00EA52F4"/>
    <w:rsid w:val="00EA540C"/>
    <w:rsid w:val="00EA5443"/>
    <w:rsid w:val="00EA548A"/>
    <w:rsid w:val="00EA552E"/>
    <w:rsid w:val="00EA5555"/>
    <w:rsid w:val="00EA56A7"/>
    <w:rsid w:val="00EA5718"/>
    <w:rsid w:val="00EA57CE"/>
    <w:rsid w:val="00EA586D"/>
    <w:rsid w:val="00EA5897"/>
    <w:rsid w:val="00EA58AF"/>
    <w:rsid w:val="00EA595C"/>
    <w:rsid w:val="00EA5A0D"/>
    <w:rsid w:val="00EA5C33"/>
    <w:rsid w:val="00EA5CBE"/>
    <w:rsid w:val="00EA5CED"/>
    <w:rsid w:val="00EA5E14"/>
    <w:rsid w:val="00EA5E29"/>
    <w:rsid w:val="00EA60E9"/>
    <w:rsid w:val="00EA628E"/>
    <w:rsid w:val="00EA630E"/>
    <w:rsid w:val="00EA63B5"/>
    <w:rsid w:val="00EA6420"/>
    <w:rsid w:val="00EA6612"/>
    <w:rsid w:val="00EA664B"/>
    <w:rsid w:val="00EA66DF"/>
    <w:rsid w:val="00EA6723"/>
    <w:rsid w:val="00EA6955"/>
    <w:rsid w:val="00EA697F"/>
    <w:rsid w:val="00EA6A0C"/>
    <w:rsid w:val="00EA6BCA"/>
    <w:rsid w:val="00EA6BEF"/>
    <w:rsid w:val="00EA6BFE"/>
    <w:rsid w:val="00EA6C7C"/>
    <w:rsid w:val="00EA6D2C"/>
    <w:rsid w:val="00EA6E25"/>
    <w:rsid w:val="00EA6E56"/>
    <w:rsid w:val="00EA6F79"/>
    <w:rsid w:val="00EA7081"/>
    <w:rsid w:val="00EA70CA"/>
    <w:rsid w:val="00EA72D6"/>
    <w:rsid w:val="00EA73FA"/>
    <w:rsid w:val="00EA7425"/>
    <w:rsid w:val="00EA7621"/>
    <w:rsid w:val="00EA7779"/>
    <w:rsid w:val="00EA7876"/>
    <w:rsid w:val="00EA7889"/>
    <w:rsid w:val="00EA7B30"/>
    <w:rsid w:val="00EA7C5C"/>
    <w:rsid w:val="00EA7CC0"/>
    <w:rsid w:val="00EA7D13"/>
    <w:rsid w:val="00EA7E7C"/>
    <w:rsid w:val="00EB005B"/>
    <w:rsid w:val="00EB0082"/>
    <w:rsid w:val="00EB01F5"/>
    <w:rsid w:val="00EB0307"/>
    <w:rsid w:val="00EB031D"/>
    <w:rsid w:val="00EB051C"/>
    <w:rsid w:val="00EB061E"/>
    <w:rsid w:val="00EB06F8"/>
    <w:rsid w:val="00EB0739"/>
    <w:rsid w:val="00EB08EB"/>
    <w:rsid w:val="00EB0A1A"/>
    <w:rsid w:val="00EB0BDF"/>
    <w:rsid w:val="00EB0C4D"/>
    <w:rsid w:val="00EB0CE0"/>
    <w:rsid w:val="00EB0E3C"/>
    <w:rsid w:val="00EB0E42"/>
    <w:rsid w:val="00EB0E7C"/>
    <w:rsid w:val="00EB0E8D"/>
    <w:rsid w:val="00EB1436"/>
    <w:rsid w:val="00EB14DB"/>
    <w:rsid w:val="00EB1639"/>
    <w:rsid w:val="00EB17B1"/>
    <w:rsid w:val="00EB1857"/>
    <w:rsid w:val="00EB18E0"/>
    <w:rsid w:val="00EB19CF"/>
    <w:rsid w:val="00EB1A80"/>
    <w:rsid w:val="00EB1C22"/>
    <w:rsid w:val="00EB1D93"/>
    <w:rsid w:val="00EB1DE4"/>
    <w:rsid w:val="00EB1EFE"/>
    <w:rsid w:val="00EB213D"/>
    <w:rsid w:val="00EB2319"/>
    <w:rsid w:val="00EB2343"/>
    <w:rsid w:val="00EB2351"/>
    <w:rsid w:val="00EB27D6"/>
    <w:rsid w:val="00EB286D"/>
    <w:rsid w:val="00EB2879"/>
    <w:rsid w:val="00EB2998"/>
    <w:rsid w:val="00EB2AEF"/>
    <w:rsid w:val="00EB2BA8"/>
    <w:rsid w:val="00EB2C2C"/>
    <w:rsid w:val="00EB2FBB"/>
    <w:rsid w:val="00EB2FF6"/>
    <w:rsid w:val="00EB307E"/>
    <w:rsid w:val="00EB3164"/>
    <w:rsid w:val="00EB31C2"/>
    <w:rsid w:val="00EB3390"/>
    <w:rsid w:val="00EB33B5"/>
    <w:rsid w:val="00EB3477"/>
    <w:rsid w:val="00EB3553"/>
    <w:rsid w:val="00EB3625"/>
    <w:rsid w:val="00EB36D8"/>
    <w:rsid w:val="00EB38DD"/>
    <w:rsid w:val="00EB395A"/>
    <w:rsid w:val="00EB3AF2"/>
    <w:rsid w:val="00EB3B33"/>
    <w:rsid w:val="00EB3E59"/>
    <w:rsid w:val="00EB3E5C"/>
    <w:rsid w:val="00EB3F36"/>
    <w:rsid w:val="00EB42FC"/>
    <w:rsid w:val="00EB4308"/>
    <w:rsid w:val="00EB4309"/>
    <w:rsid w:val="00EB43C6"/>
    <w:rsid w:val="00EB440B"/>
    <w:rsid w:val="00EB45D8"/>
    <w:rsid w:val="00EB470D"/>
    <w:rsid w:val="00EB483D"/>
    <w:rsid w:val="00EB488B"/>
    <w:rsid w:val="00EB499C"/>
    <w:rsid w:val="00EB4BD1"/>
    <w:rsid w:val="00EB4D47"/>
    <w:rsid w:val="00EB5062"/>
    <w:rsid w:val="00EB5086"/>
    <w:rsid w:val="00EB5102"/>
    <w:rsid w:val="00EB51E7"/>
    <w:rsid w:val="00EB521E"/>
    <w:rsid w:val="00EB5233"/>
    <w:rsid w:val="00EB5257"/>
    <w:rsid w:val="00EB5392"/>
    <w:rsid w:val="00EB54AE"/>
    <w:rsid w:val="00EB54E8"/>
    <w:rsid w:val="00EB5553"/>
    <w:rsid w:val="00EB5582"/>
    <w:rsid w:val="00EB55D3"/>
    <w:rsid w:val="00EB59DA"/>
    <w:rsid w:val="00EB5AFA"/>
    <w:rsid w:val="00EB5B73"/>
    <w:rsid w:val="00EB5BED"/>
    <w:rsid w:val="00EB5C43"/>
    <w:rsid w:val="00EB5C6C"/>
    <w:rsid w:val="00EB5D27"/>
    <w:rsid w:val="00EB5D36"/>
    <w:rsid w:val="00EB5DBF"/>
    <w:rsid w:val="00EB5E8D"/>
    <w:rsid w:val="00EB5EBB"/>
    <w:rsid w:val="00EB5EC5"/>
    <w:rsid w:val="00EB5FC5"/>
    <w:rsid w:val="00EB6024"/>
    <w:rsid w:val="00EB6116"/>
    <w:rsid w:val="00EB616F"/>
    <w:rsid w:val="00EB61D0"/>
    <w:rsid w:val="00EB623A"/>
    <w:rsid w:val="00EB62C5"/>
    <w:rsid w:val="00EB63B6"/>
    <w:rsid w:val="00EB6428"/>
    <w:rsid w:val="00EB64AF"/>
    <w:rsid w:val="00EB6603"/>
    <w:rsid w:val="00EB69D6"/>
    <w:rsid w:val="00EB6A80"/>
    <w:rsid w:val="00EB6B95"/>
    <w:rsid w:val="00EB6E56"/>
    <w:rsid w:val="00EB6F21"/>
    <w:rsid w:val="00EB729A"/>
    <w:rsid w:val="00EB72FC"/>
    <w:rsid w:val="00EB73A8"/>
    <w:rsid w:val="00EB73A9"/>
    <w:rsid w:val="00EB7412"/>
    <w:rsid w:val="00EB7430"/>
    <w:rsid w:val="00EB743D"/>
    <w:rsid w:val="00EB7538"/>
    <w:rsid w:val="00EB75EA"/>
    <w:rsid w:val="00EB7602"/>
    <w:rsid w:val="00EB7694"/>
    <w:rsid w:val="00EB7964"/>
    <w:rsid w:val="00EB796A"/>
    <w:rsid w:val="00EB7A39"/>
    <w:rsid w:val="00EB7AB7"/>
    <w:rsid w:val="00EB7BA4"/>
    <w:rsid w:val="00EB7C22"/>
    <w:rsid w:val="00EB7CAA"/>
    <w:rsid w:val="00EB7DFB"/>
    <w:rsid w:val="00EB7E7D"/>
    <w:rsid w:val="00EB7FCA"/>
    <w:rsid w:val="00EC00E0"/>
    <w:rsid w:val="00EC0103"/>
    <w:rsid w:val="00EC01D3"/>
    <w:rsid w:val="00EC0216"/>
    <w:rsid w:val="00EC02D5"/>
    <w:rsid w:val="00EC0520"/>
    <w:rsid w:val="00EC0557"/>
    <w:rsid w:val="00EC05F1"/>
    <w:rsid w:val="00EC06F7"/>
    <w:rsid w:val="00EC0709"/>
    <w:rsid w:val="00EC0926"/>
    <w:rsid w:val="00EC09C7"/>
    <w:rsid w:val="00EC0A20"/>
    <w:rsid w:val="00EC0E40"/>
    <w:rsid w:val="00EC102F"/>
    <w:rsid w:val="00EC1066"/>
    <w:rsid w:val="00EC127F"/>
    <w:rsid w:val="00EC1303"/>
    <w:rsid w:val="00EC14BC"/>
    <w:rsid w:val="00EC157E"/>
    <w:rsid w:val="00EC16A0"/>
    <w:rsid w:val="00EC173A"/>
    <w:rsid w:val="00EC17BE"/>
    <w:rsid w:val="00EC1842"/>
    <w:rsid w:val="00EC1870"/>
    <w:rsid w:val="00EC193D"/>
    <w:rsid w:val="00EC196F"/>
    <w:rsid w:val="00EC1971"/>
    <w:rsid w:val="00EC19D7"/>
    <w:rsid w:val="00EC19F4"/>
    <w:rsid w:val="00EC1D2D"/>
    <w:rsid w:val="00EC1F2E"/>
    <w:rsid w:val="00EC1F5B"/>
    <w:rsid w:val="00EC1FF1"/>
    <w:rsid w:val="00EC1FFD"/>
    <w:rsid w:val="00EC208C"/>
    <w:rsid w:val="00EC20DD"/>
    <w:rsid w:val="00EC23A2"/>
    <w:rsid w:val="00EC2478"/>
    <w:rsid w:val="00EC24EC"/>
    <w:rsid w:val="00EC2511"/>
    <w:rsid w:val="00EC2576"/>
    <w:rsid w:val="00EC2777"/>
    <w:rsid w:val="00EC28C0"/>
    <w:rsid w:val="00EC2A32"/>
    <w:rsid w:val="00EC2B05"/>
    <w:rsid w:val="00EC2BD6"/>
    <w:rsid w:val="00EC2BDA"/>
    <w:rsid w:val="00EC2BE9"/>
    <w:rsid w:val="00EC2EB4"/>
    <w:rsid w:val="00EC30FD"/>
    <w:rsid w:val="00EC3126"/>
    <w:rsid w:val="00EC330F"/>
    <w:rsid w:val="00EC3748"/>
    <w:rsid w:val="00EC37E8"/>
    <w:rsid w:val="00EC386A"/>
    <w:rsid w:val="00EC38D4"/>
    <w:rsid w:val="00EC3A23"/>
    <w:rsid w:val="00EC3A8D"/>
    <w:rsid w:val="00EC3C4D"/>
    <w:rsid w:val="00EC3CC2"/>
    <w:rsid w:val="00EC3D4A"/>
    <w:rsid w:val="00EC3D4F"/>
    <w:rsid w:val="00EC3D69"/>
    <w:rsid w:val="00EC3E95"/>
    <w:rsid w:val="00EC4155"/>
    <w:rsid w:val="00EC41D2"/>
    <w:rsid w:val="00EC4400"/>
    <w:rsid w:val="00EC45CF"/>
    <w:rsid w:val="00EC4695"/>
    <w:rsid w:val="00EC487F"/>
    <w:rsid w:val="00EC488A"/>
    <w:rsid w:val="00EC4C87"/>
    <w:rsid w:val="00EC4CBC"/>
    <w:rsid w:val="00EC4D33"/>
    <w:rsid w:val="00EC4DF5"/>
    <w:rsid w:val="00EC4E2C"/>
    <w:rsid w:val="00EC4E45"/>
    <w:rsid w:val="00EC4FBA"/>
    <w:rsid w:val="00EC516D"/>
    <w:rsid w:val="00EC522B"/>
    <w:rsid w:val="00EC52A8"/>
    <w:rsid w:val="00EC5357"/>
    <w:rsid w:val="00EC5463"/>
    <w:rsid w:val="00EC55C2"/>
    <w:rsid w:val="00EC562B"/>
    <w:rsid w:val="00EC56EE"/>
    <w:rsid w:val="00EC5750"/>
    <w:rsid w:val="00EC583E"/>
    <w:rsid w:val="00EC5A0E"/>
    <w:rsid w:val="00EC5B49"/>
    <w:rsid w:val="00EC5D23"/>
    <w:rsid w:val="00EC5E0C"/>
    <w:rsid w:val="00EC5E1C"/>
    <w:rsid w:val="00EC5E5B"/>
    <w:rsid w:val="00EC5F64"/>
    <w:rsid w:val="00EC6015"/>
    <w:rsid w:val="00EC605F"/>
    <w:rsid w:val="00EC6073"/>
    <w:rsid w:val="00EC60DE"/>
    <w:rsid w:val="00EC615B"/>
    <w:rsid w:val="00EC6186"/>
    <w:rsid w:val="00EC61DD"/>
    <w:rsid w:val="00EC6231"/>
    <w:rsid w:val="00EC6300"/>
    <w:rsid w:val="00EC6384"/>
    <w:rsid w:val="00EC64C6"/>
    <w:rsid w:val="00EC6644"/>
    <w:rsid w:val="00EC66AE"/>
    <w:rsid w:val="00EC691A"/>
    <w:rsid w:val="00EC6A0C"/>
    <w:rsid w:val="00EC6C7E"/>
    <w:rsid w:val="00EC6D2B"/>
    <w:rsid w:val="00EC6DC5"/>
    <w:rsid w:val="00EC6FA6"/>
    <w:rsid w:val="00EC710B"/>
    <w:rsid w:val="00EC71F3"/>
    <w:rsid w:val="00EC71FE"/>
    <w:rsid w:val="00EC728A"/>
    <w:rsid w:val="00EC72EF"/>
    <w:rsid w:val="00EC730B"/>
    <w:rsid w:val="00EC7403"/>
    <w:rsid w:val="00EC745D"/>
    <w:rsid w:val="00EC78DC"/>
    <w:rsid w:val="00EC7BF7"/>
    <w:rsid w:val="00EC7C09"/>
    <w:rsid w:val="00EC7E97"/>
    <w:rsid w:val="00EC7E9F"/>
    <w:rsid w:val="00EC7EBE"/>
    <w:rsid w:val="00EC7F36"/>
    <w:rsid w:val="00ED0011"/>
    <w:rsid w:val="00ED001A"/>
    <w:rsid w:val="00ED05E6"/>
    <w:rsid w:val="00ED0645"/>
    <w:rsid w:val="00ED0733"/>
    <w:rsid w:val="00ED084B"/>
    <w:rsid w:val="00ED08B3"/>
    <w:rsid w:val="00ED093F"/>
    <w:rsid w:val="00ED0AB2"/>
    <w:rsid w:val="00ED0DD7"/>
    <w:rsid w:val="00ED0DD8"/>
    <w:rsid w:val="00ED0E00"/>
    <w:rsid w:val="00ED104F"/>
    <w:rsid w:val="00ED1217"/>
    <w:rsid w:val="00ED1325"/>
    <w:rsid w:val="00ED137F"/>
    <w:rsid w:val="00ED13B3"/>
    <w:rsid w:val="00ED144A"/>
    <w:rsid w:val="00ED14B1"/>
    <w:rsid w:val="00ED1658"/>
    <w:rsid w:val="00ED16DB"/>
    <w:rsid w:val="00ED176D"/>
    <w:rsid w:val="00ED1843"/>
    <w:rsid w:val="00ED18A5"/>
    <w:rsid w:val="00ED18AB"/>
    <w:rsid w:val="00ED1912"/>
    <w:rsid w:val="00ED1BF9"/>
    <w:rsid w:val="00ED1E2D"/>
    <w:rsid w:val="00ED1EA8"/>
    <w:rsid w:val="00ED1EEF"/>
    <w:rsid w:val="00ED1F5D"/>
    <w:rsid w:val="00ED21A8"/>
    <w:rsid w:val="00ED21AB"/>
    <w:rsid w:val="00ED227B"/>
    <w:rsid w:val="00ED233A"/>
    <w:rsid w:val="00ED2469"/>
    <w:rsid w:val="00ED25B4"/>
    <w:rsid w:val="00ED261F"/>
    <w:rsid w:val="00ED26B8"/>
    <w:rsid w:val="00ED2819"/>
    <w:rsid w:val="00ED2860"/>
    <w:rsid w:val="00ED28B9"/>
    <w:rsid w:val="00ED2984"/>
    <w:rsid w:val="00ED2A08"/>
    <w:rsid w:val="00ED2A7A"/>
    <w:rsid w:val="00ED2B44"/>
    <w:rsid w:val="00ED2C00"/>
    <w:rsid w:val="00ED2D71"/>
    <w:rsid w:val="00ED2D81"/>
    <w:rsid w:val="00ED2DEE"/>
    <w:rsid w:val="00ED2FB8"/>
    <w:rsid w:val="00ED3296"/>
    <w:rsid w:val="00ED32EE"/>
    <w:rsid w:val="00ED33A3"/>
    <w:rsid w:val="00ED33E4"/>
    <w:rsid w:val="00ED3429"/>
    <w:rsid w:val="00ED346C"/>
    <w:rsid w:val="00ED3473"/>
    <w:rsid w:val="00ED3650"/>
    <w:rsid w:val="00ED36B9"/>
    <w:rsid w:val="00ED37BA"/>
    <w:rsid w:val="00ED3A33"/>
    <w:rsid w:val="00ED3B1B"/>
    <w:rsid w:val="00ED3C0A"/>
    <w:rsid w:val="00ED3C1C"/>
    <w:rsid w:val="00ED3CCE"/>
    <w:rsid w:val="00ED3D72"/>
    <w:rsid w:val="00ED3DE2"/>
    <w:rsid w:val="00ED3DEB"/>
    <w:rsid w:val="00ED3E50"/>
    <w:rsid w:val="00ED3EDA"/>
    <w:rsid w:val="00ED41E4"/>
    <w:rsid w:val="00ED4260"/>
    <w:rsid w:val="00ED43AB"/>
    <w:rsid w:val="00ED441A"/>
    <w:rsid w:val="00ED4510"/>
    <w:rsid w:val="00ED453B"/>
    <w:rsid w:val="00ED45A3"/>
    <w:rsid w:val="00ED4665"/>
    <w:rsid w:val="00ED4883"/>
    <w:rsid w:val="00ED4908"/>
    <w:rsid w:val="00ED4966"/>
    <w:rsid w:val="00ED4CF9"/>
    <w:rsid w:val="00ED4E46"/>
    <w:rsid w:val="00ED515F"/>
    <w:rsid w:val="00ED518C"/>
    <w:rsid w:val="00ED5290"/>
    <w:rsid w:val="00ED5311"/>
    <w:rsid w:val="00ED53F6"/>
    <w:rsid w:val="00ED55E1"/>
    <w:rsid w:val="00ED55E9"/>
    <w:rsid w:val="00ED5853"/>
    <w:rsid w:val="00ED5A2D"/>
    <w:rsid w:val="00ED5AE5"/>
    <w:rsid w:val="00ED5B36"/>
    <w:rsid w:val="00ED5D6E"/>
    <w:rsid w:val="00ED5DC1"/>
    <w:rsid w:val="00ED6021"/>
    <w:rsid w:val="00ED6348"/>
    <w:rsid w:val="00ED640E"/>
    <w:rsid w:val="00ED658A"/>
    <w:rsid w:val="00ED667D"/>
    <w:rsid w:val="00ED66C5"/>
    <w:rsid w:val="00ED6762"/>
    <w:rsid w:val="00ED6856"/>
    <w:rsid w:val="00ED6860"/>
    <w:rsid w:val="00ED6B32"/>
    <w:rsid w:val="00ED6C0B"/>
    <w:rsid w:val="00ED6C2C"/>
    <w:rsid w:val="00ED6F76"/>
    <w:rsid w:val="00ED6F99"/>
    <w:rsid w:val="00ED70C5"/>
    <w:rsid w:val="00ED734D"/>
    <w:rsid w:val="00ED747C"/>
    <w:rsid w:val="00ED76A6"/>
    <w:rsid w:val="00ED7869"/>
    <w:rsid w:val="00ED7A88"/>
    <w:rsid w:val="00ED7B2E"/>
    <w:rsid w:val="00ED7BD7"/>
    <w:rsid w:val="00ED7E50"/>
    <w:rsid w:val="00ED7E81"/>
    <w:rsid w:val="00ED7EA1"/>
    <w:rsid w:val="00ED7F40"/>
    <w:rsid w:val="00EE00BB"/>
    <w:rsid w:val="00EE00E7"/>
    <w:rsid w:val="00EE016F"/>
    <w:rsid w:val="00EE017F"/>
    <w:rsid w:val="00EE01AA"/>
    <w:rsid w:val="00EE01B3"/>
    <w:rsid w:val="00EE0229"/>
    <w:rsid w:val="00EE029E"/>
    <w:rsid w:val="00EE02CF"/>
    <w:rsid w:val="00EE0401"/>
    <w:rsid w:val="00EE06A4"/>
    <w:rsid w:val="00EE0748"/>
    <w:rsid w:val="00EE0955"/>
    <w:rsid w:val="00EE09B5"/>
    <w:rsid w:val="00EE0AAE"/>
    <w:rsid w:val="00EE0B8C"/>
    <w:rsid w:val="00EE0D59"/>
    <w:rsid w:val="00EE0ED3"/>
    <w:rsid w:val="00EE0F05"/>
    <w:rsid w:val="00EE10A1"/>
    <w:rsid w:val="00EE10CE"/>
    <w:rsid w:val="00EE10E4"/>
    <w:rsid w:val="00EE111D"/>
    <w:rsid w:val="00EE1151"/>
    <w:rsid w:val="00EE12BB"/>
    <w:rsid w:val="00EE1318"/>
    <w:rsid w:val="00EE132C"/>
    <w:rsid w:val="00EE13A6"/>
    <w:rsid w:val="00EE13C9"/>
    <w:rsid w:val="00EE15EF"/>
    <w:rsid w:val="00EE165A"/>
    <w:rsid w:val="00EE17D5"/>
    <w:rsid w:val="00EE1896"/>
    <w:rsid w:val="00EE1963"/>
    <w:rsid w:val="00EE1AD8"/>
    <w:rsid w:val="00EE1AF0"/>
    <w:rsid w:val="00EE1F3C"/>
    <w:rsid w:val="00EE20B7"/>
    <w:rsid w:val="00EE24D4"/>
    <w:rsid w:val="00EE250D"/>
    <w:rsid w:val="00EE254B"/>
    <w:rsid w:val="00EE25BA"/>
    <w:rsid w:val="00EE2720"/>
    <w:rsid w:val="00EE27C7"/>
    <w:rsid w:val="00EE2832"/>
    <w:rsid w:val="00EE28A3"/>
    <w:rsid w:val="00EE28ED"/>
    <w:rsid w:val="00EE2906"/>
    <w:rsid w:val="00EE29BD"/>
    <w:rsid w:val="00EE2CA8"/>
    <w:rsid w:val="00EE2F1F"/>
    <w:rsid w:val="00EE2F56"/>
    <w:rsid w:val="00EE3083"/>
    <w:rsid w:val="00EE31F4"/>
    <w:rsid w:val="00EE32C3"/>
    <w:rsid w:val="00EE32F9"/>
    <w:rsid w:val="00EE336E"/>
    <w:rsid w:val="00EE346A"/>
    <w:rsid w:val="00EE3851"/>
    <w:rsid w:val="00EE388C"/>
    <w:rsid w:val="00EE3965"/>
    <w:rsid w:val="00EE3984"/>
    <w:rsid w:val="00EE3994"/>
    <w:rsid w:val="00EE3A39"/>
    <w:rsid w:val="00EE3AB9"/>
    <w:rsid w:val="00EE3CDF"/>
    <w:rsid w:val="00EE3E92"/>
    <w:rsid w:val="00EE4056"/>
    <w:rsid w:val="00EE4063"/>
    <w:rsid w:val="00EE40C6"/>
    <w:rsid w:val="00EE40D8"/>
    <w:rsid w:val="00EE42E7"/>
    <w:rsid w:val="00EE4350"/>
    <w:rsid w:val="00EE441A"/>
    <w:rsid w:val="00EE4662"/>
    <w:rsid w:val="00EE46FA"/>
    <w:rsid w:val="00EE4745"/>
    <w:rsid w:val="00EE486F"/>
    <w:rsid w:val="00EE4902"/>
    <w:rsid w:val="00EE4929"/>
    <w:rsid w:val="00EE49CE"/>
    <w:rsid w:val="00EE4A9E"/>
    <w:rsid w:val="00EE4BC7"/>
    <w:rsid w:val="00EE4F37"/>
    <w:rsid w:val="00EE4FCD"/>
    <w:rsid w:val="00EE5035"/>
    <w:rsid w:val="00EE5119"/>
    <w:rsid w:val="00EE51A5"/>
    <w:rsid w:val="00EE5299"/>
    <w:rsid w:val="00EE53EE"/>
    <w:rsid w:val="00EE53F5"/>
    <w:rsid w:val="00EE55BD"/>
    <w:rsid w:val="00EE5621"/>
    <w:rsid w:val="00EE579A"/>
    <w:rsid w:val="00EE5800"/>
    <w:rsid w:val="00EE5880"/>
    <w:rsid w:val="00EE58DC"/>
    <w:rsid w:val="00EE5964"/>
    <w:rsid w:val="00EE5C80"/>
    <w:rsid w:val="00EE5EBB"/>
    <w:rsid w:val="00EE61A0"/>
    <w:rsid w:val="00EE63C8"/>
    <w:rsid w:val="00EE63F8"/>
    <w:rsid w:val="00EE6405"/>
    <w:rsid w:val="00EE646D"/>
    <w:rsid w:val="00EE6679"/>
    <w:rsid w:val="00EE66F8"/>
    <w:rsid w:val="00EE67C0"/>
    <w:rsid w:val="00EE68F0"/>
    <w:rsid w:val="00EE6946"/>
    <w:rsid w:val="00EE6A3F"/>
    <w:rsid w:val="00EE6B10"/>
    <w:rsid w:val="00EE6B33"/>
    <w:rsid w:val="00EE6BDD"/>
    <w:rsid w:val="00EE6E4C"/>
    <w:rsid w:val="00EE6E78"/>
    <w:rsid w:val="00EE6EB9"/>
    <w:rsid w:val="00EE6EE0"/>
    <w:rsid w:val="00EE6FEF"/>
    <w:rsid w:val="00EE706C"/>
    <w:rsid w:val="00EE7188"/>
    <w:rsid w:val="00EE72F9"/>
    <w:rsid w:val="00EE74EB"/>
    <w:rsid w:val="00EE74F9"/>
    <w:rsid w:val="00EE77CB"/>
    <w:rsid w:val="00EE78C1"/>
    <w:rsid w:val="00EE7AC2"/>
    <w:rsid w:val="00EE7BD1"/>
    <w:rsid w:val="00EE7D3F"/>
    <w:rsid w:val="00EE7D4F"/>
    <w:rsid w:val="00EE7F90"/>
    <w:rsid w:val="00EF037E"/>
    <w:rsid w:val="00EF04A6"/>
    <w:rsid w:val="00EF04EC"/>
    <w:rsid w:val="00EF056A"/>
    <w:rsid w:val="00EF05EB"/>
    <w:rsid w:val="00EF06E4"/>
    <w:rsid w:val="00EF0766"/>
    <w:rsid w:val="00EF0896"/>
    <w:rsid w:val="00EF09A1"/>
    <w:rsid w:val="00EF09A8"/>
    <w:rsid w:val="00EF0A7E"/>
    <w:rsid w:val="00EF0AAB"/>
    <w:rsid w:val="00EF0B97"/>
    <w:rsid w:val="00EF0BF6"/>
    <w:rsid w:val="00EF0D59"/>
    <w:rsid w:val="00EF0E75"/>
    <w:rsid w:val="00EF0FED"/>
    <w:rsid w:val="00EF0FF2"/>
    <w:rsid w:val="00EF1126"/>
    <w:rsid w:val="00EF1187"/>
    <w:rsid w:val="00EF11A0"/>
    <w:rsid w:val="00EF1290"/>
    <w:rsid w:val="00EF13B1"/>
    <w:rsid w:val="00EF15AC"/>
    <w:rsid w:val="00EF1606"/>
    <w:rsid w:val="00EF186E"/>
    <w:rsid w:val="00EF190E"/>
    <w:rsid w:val="00EF198B"/>
    <w:rsid w:val="00EF1ADB"/>
    <w:rsid w:val="00EF1BA3"/>
    <w:rsid w:val="00EF1BC2"/>
    <w:rsid w:val="00EF1C17"/>
    <w:rsid w:val="00EF1D95"/>
    <w:rsid w:val="00EF1E73"/>
    <w:rsid w:val="00EF2035"/>
    <w:rsid w:val="00EF2210"/>
    <w:rsid w:val="00EF24BD"/>
    <w:rsid w:val="00EF2508"/>
    <w:rsid w:val="00EF25DE"/>
    <w:rsid w:val="00EF25F1"/>
    <w:rsid w:val="00EF2683"/>
    <w:rsid w:val="00EF272F"/>
    <w:rsid w:val="00EF2741"/>
    <w:rsid w:val="00EF2795"/>
    <w:rsid w:val="00EF293E"/>
    <w:rsid w:val="00EF2973"/>
    <w:rsid w:val="00EF2A26"/>
    <w:rsid w:val="00EF2CAB"/>
    <w:rsid w:val="00EF2D64"/>
    <w:rsid w:val="00EF30EF"/>
    <w:rsid w:val="00EF31C7"/>
    <w:rsid w:val="00EF320F"/>
    <w:rsid w:val="00EF3257"/>
    <w:rsid w:val="00EF326E"/>
    <w:rsid w:val="00EF34A8"/>
    <w:rsid w:val="00EF34CE"/>
    <w:rsid w:val="00EF35C5"/>
    <w:rsid w:val="00EF36F7"/>
    <w:rsid w:val="00EF386E"/>
    <w:rsid w:val="00EF38B6"/>
    <w:rsid w:val="00EF39AB"/>
    <w:rsid w:val="00EF3BA8"/>
    <w:rsid w:val="00EF3C99"/>
    <w:rsid w:val="00EF3E68"/>
    <w:rsid w:val="00EF4011"/>
    <w:rsid w:val="00EF4159"/>
    <w:rsid w:val="00EF4231"/>
    <w:rsid w:val="00EF4487"/>
    <w:rsid w:val="00EF44A3"/>
    <w:rsid w:val="00EF4556"/>
    <w:rsid w:val="00EF45DE"/>
    <w:rsid w:val="00EF46D0"/>
    <w:rsid w:val="00EF47D8"/>
    <w:rsid w:val="00EF4946"/>
    <w:rsid w:val="00EF4955"/>
    <w:rsid w:val="00EF49C4"/>
    <w:rsid w:val="00EF4A27"/>
    <w:rsid w:val="00EF4C71"/>
    <w:rsid w:val="00EF4C94"/>
    <w:rsid w:val="00EF4D67"/>
    <w:rsid w:val="00EF4E25"/>
    <w:rsid w:val="00EF4E7C"/>
    <w:rsid w:val="00EF4F9F"/>
    <w:rsid w:val="00EF4FB1"/>
    <w:rsid w:val="00EF5353"/>
    <w:rsid w:val="00EF5387"/>
    <w:rsid w:val="00EF53B8"/>
    <w:rsid w:val="00EF53CA"/>
    <w:rsid w:val="00EF550F"/>
    <w:rsid w:val="00EF575A"/>
    <w:rsid w:val="00EF57AF"/>
    <w:rsid w:val="00EF59DD"/>
    <w:rsid w:val="00EF5A3A"/>
    <w:rsid w:val="00EF5B1B"/>
    <w:rsid w:val="00EF5B9C"/>
    <w:rsid w:val="00EF5E6E"/>
    <w:rsid w:val="00EF613F"/>
    <w:rsid w:val="00EF6275"/>
    <w:rsid w:val="00EF64C6"/>
    <w:rsid w:val="00EF64D9"/>
    <w:rsid w:val="00EF6545"/>
    <w:rsid w:val="00EF6645"/>
    <w:rsid w:val="00EF66E7"/>
    <w:rsid w:val="00EF673C"/>
    <w:rsid w:val="00EF677A"/>
    <w:rsid w:val="00EF677D"/>
    <w:rsid w:val="00EF6A4B"/>
    <w:rsid w:val="00EF6AF7"/>
    <w:rsid w:val="00EF6B71"/>
    <w:rsid w:val="00EF6E1C"/>
    <w:rsid w:val="00EF6FEE"/>
    <w:rsid w:val="00EF705A"/>
    <w:rsid w:val="00EF71B2"/>
    <w:rsid w:val="00EF731B"/>
    <w:rsid w:val="00EF737B"/>
    <w:rsid w:val="00EF740D"/>
    <w:rsid w:val="00EF742F"/>
    <w:rsid w:val="00EF749A"/>
    <w:rsid w:val="00EF75DA"/>
    <w:rsid w:val="00EF764D"/>
    <w:rsid w:val="00EF76C9"/>
    <w:rsid w:val="00EF77B1"/>
    <w:rsid w:val="00EF78C6"/>
    <w:rsid w:val="00EF78EC"/>
    <w:rsid w:val="00EF7927"/>
    <w:rsid w:val="00EF79D1"/>
    <w:rsid w:val="00EF79E4"/>
    <w:rsid w:val="00EF7A31"/>
    <w:rsid w:val="00EF7ABE"/>
    <w:rsid w:val="00EF7AC6"/>
    <w:rsid w:val="00EF7B58"/>
    <w:rsid w:val="00EF7D32"/>
    <w:rsid w:val="00F000F5"/>
    <w:rsid w:val="00F00112"/>
    <w:rsid w:val="00F0044A"/>
    <w:rsid w:val="00F0051A"/>
    <w:rsid w:val="00F00B97"/>
    <w:rsid w:val="00F00C2C"/>
    <w:rsid w:val="00F00C98"/>
    <w:rsid w:val="00F00E13"/>
    <w:rsid w:val="00F00E6A"/>
    <w:rsid w:val="00F0103A"/>
    <w:rsid w:val="00F01296"/>
    <w:rsid w:val="00F0130B"/>
    <w:rsid w:val="00F0141B"/>
    <w:rsid w:val="00F01755"/>
    <w:rsid w:val="00F01963"/>
    <w:rsid w:val="00F01A78"/>
    <w:rsid w:val="00F01AA9"/>
    <w:rsid w:val="00F01C84"/>
    <w:rsid w:val="00F02152"/>
    <w:rsid w:val="00F02237"/>
    <w:rsid w:val="00F02379"/>
    <w:rsid w:val="00F02428"/>
    <w:rsid w:val="00F024CF"/>
    <w:rsid w:val="00F02501"/>
    <w:rsid w:val="00F02579"/>
    <w:rsid w:val="00F026A3"/>
    <w:rsid w:val="00F026BD"/>
    <w:rsid w:val="00F02760"/>
    <w:rsid w:val="00F02A4F"/>
    <w:rsid w:val="00F02A99"/>
    <w:rsid w:val="00F02B5C"/>
    <w:rsid w:val="00F02CEB"/>
    <w:rsid w:val="00F02D30"/>
    <w:rsid w:val="00F02D55"/>
    <w:rsid w:val="00F02FA5"/>
    <w:rsid w:val="00F0307A"/>
    <w:rsid w:val="00F0319E"/>
    <w:rsid w:val="00F03226"/>
    <w:rsid w:val="00F03505"/>
    <w:rsid w:val="00F0352B"/>
    <w:rsid w:val="00F0354F"/>
    <w:rsid w:val="00F0360A"/>
    <w:rsid w:val="00F038F9"/>
    <w:rsid w:val="00F039B0"/>
    <w:rsid w:val="00F039CC"/>
    <w:rsid w:val="00F03D25"/>
    <w:rsid w:val="00F03EC2"/>
    <w:rsid w:val="00F04112"/>
    <w:rsid w:val="00F041F4"/>
    <w:rsid w:val="00F04279"/>
    <w:rsid w:val="00F0430E"/>
    <w:rsid w:val="00F04366"/>
    <w:rsid w:val="00F043FE"/>
    <w:rsid w:val="00F04607"/>
    <w:rsid w:val="00F048CE"/>
    <w:rsid w:val="00F0490F"/>
    <w:rsid w:val="00F04928"/>
    <w:rsid w:val="00F04A0E"/>
    <w:rsid w:val="00F04A81"/>
    <w:rsid w:val="00F04BA0"/>
    <w:rsid w:val="00F04E01"/>
    <w:rsid w:val="00F04E0F"/>
    <w:rsid w:val="00F0500C"/>
    <w:rsid w:val="00F050F1"/>
    <w:rsid w:val="00F0527E"/>
    <w:rsid w:val="00F052EF"/>
    <w:rsid w:val="00F05370"/>
    <w:rsid w:val="00F055EA"/>
    <w:rsid w:val="00F05611"/>
    <w:rsid w:val="00F05693"/>
    <w:rsid w:val="00F056F6"/>
    <w:rsid w:val="00F05744"/>
    <w:rsid w:val="00F0579A"/>
    <w:rsid w:val="00F0581B"/>
    <w:rsid w:val="00F059B2"/>
    <w:rsid w:val="00F05B66"/>
    <w:rsid w:val="00F05B83"/>
    <w:rsid w:val="00F05CCE"/>
    <w:rsid w:val="00F05DA3"/>
    <w:rsid w:val="00F05F61"/>
    <w:rsid w:val="00F05F84"/>
    <w:rsid w:val="00F05FE5"/>
    <w:rsid w:val="00F0605A"/>
    <w:rsid w:val="00F0605F"/>
    <w:rsid w:val="00F06082"/>
    <w:rsid w:val="00F06166"/>
    <w:rsid w:val="00F06186"/>
    <w:rsid w:val="00F06194"/>
    <w:rsid w:val="00F06214"/>
    <w:rsid w:val="00F06245"/>
    <w:rsid w:val="00F0628D"/>
    <w:rsid w:val="00F0658F"/>
    <w:rsid w:val="00F065DE"/>
    <w:rsid w:val="00F0665E"/>
    <w:rsid w:val="00F066D6"/>
    <w:rsid w:val="00F066E2"/>
    <w:rsid w:val="00F06747"/>
    <w:rsid w:val="00F06899"/>
    <w:rsid w:val="00F068B9"/>
    <w:rsid w:val="00F0694E"/>
    <w:rsid w:val="00F06C8F"/>
    <w:rsid w:val="00F06CB4"/>
    <w:rsid w:val="00F06D01"/>
    <w:rsid w:val="00F06D0B"/>
    <w:rsid w:val="00F06DB5"/>
    <w:rsid w:val="00F06DD2"/>
    <w:rsid w:val="00F06E3F"/>
    <w:rsid w:val="00F06E76"/>
    <w:rsid w:val="00F06FED"/>
    <w:rsid w:val="00F0702F"/>
    <w:rsid w:val="00F0730B"/>
    <w:rsid w:val="00F076BB"/>
    <w:rsid w:val="00F0776F"/>
    <w:rsid w:val="00F0784A"/>
    <w:rsid w:val="00F07884"/>
    <w:rsid w:val="00F078CB"/>
    <w:rsid w:val="00F07A3C"/>
    <w:rsid w:val="00F07AA7"/>
    <w:rsid w:val="00F07C20"/>
    <w:rsid w:val="00F07D14"/>
    <w:rsid w:val="00F07DF1"/>
    <w:rsid w:val="00F07E65"/>
    <w:rsid w:val="00F07E8C"/>
    <w:rsid w:val="00F07F63"/>
    <w:rsid w:val="00F07FE4"/>
    <w:rsid w:val="00F1014D"/>
    <w:rsid w:val="00F10202"/>
    <w:rsid w:val="00F10215"/>
    <w:rsid w:val="00F102A9"/>
    <w:rsid w:val="00F104D7"/>
    <w:rsid w:val="00F105FC"/>
    <w:rsid w:val="00F10741"/>
    <w:rsid w:val="00F107C7"/>
    <w:rsid w:val="00F1081C"/>
    <w:rsid w:val="00F1082E"/>
    <w:rsid w:val="00F108C0"/>
    <w:rsid w:val="00F10A7B"/>
    <w:rsid w:val="00F10A8B"/>
    <w:rsid w:val="00F10CD2"/>
    <w:rsid w:val="00F10D3C"/>
    <w:rsid w:val="00F10DE5"/>
    <w:rsid w:val="00F10E57"/>
    <w:rsid w:val="00F10EB2"/>
    <w:rsid w:val="00F10F5E"/>
    <w:rsid w:val="00F11054"/>
    <w:rsid w:val="00F110C9"/>
    <w:rsid w:val="00F1110D"/>
    <w:rsid w:val="00F11140"/>
    <w:rsid w:val="00F11235"/>
    <w:rsid w:val="00F11256"/>
    <w:rsid w:val="00F11274"/>
    <w:rsid w:val="00F11356"/>
    <w:rsid w:val="00F11382"/>
    <w:rsid w:val="00F113A3"/>
    <w:rsid w:val="00F113F9"/>
    <w:rsid w:val="00F11404"/>
    <w:rsid w:val="00F114A8"/>
    <w:rsid w:val="00F11746"/>
    <w:rsid w:val="00F117BF"/>
    <w:rsid w:val="00F117C7"/>
    <w:rsid w:val="00F11837"/>
    <w:rsid w:val="00F118AC"/>
    <w:rsid w:val="00F118DF"/>
    <w:rsid w:val="00F118EE"/>
    <w:rsid w:val="00F11A7D"/>
    <w:rsid w:val="00F11ABE"/>
    <w:rsid w:val="00F11B79"/>
    <w:rsid w:val="00F11CB9"/>
    <w:rsid w:val="00F11DC8"/>
    <w:rsid w:val="00F11E11"/>
    <w:rsid w:val="00F11EAB"/>
    <w:rsid w:val="00F11ECC"/>
    <w:rsid w:val="00F11F2B"/>
    <w:rsid w:val="00F11F64"/>
    <w:rsid w:val="00F11F7B"/>
    <w:rsid w:val="00F11F7C"/>
    <w:rsid w:val="00F12058"/>
    <w:rsid w:val="00F120E5"/>
    <w:rsid w:val="00F120ED"/>
    <w:rsid w:val="00F12106"/>
    <w:rsid w:val="00F12166"/>
    <w:rsid w:val="00F1217D"/>
    <w:rsid w:val="00F12239"/>
    <w:rsid w:val="00F12278"/>
    <w:rsid w:val="00F122D5"/>
    <w:rsid w:val="00F12336"/>
    <w:rsid w:val="00F1242A"/>
    <w:rsid w:val="00F124A9"/>
    <w:rsid w:val="00F124E4"/>
    <w:rsid w:val="00F1254F"/>
    <w:rsid w:val="00F126D5"/>
    <w:rsid w:val="00F1285F"/>
    <w:rsid w:val="00F1292D"/>
    <w:rsid w:val="00F129A8"/>
    <w:rsid w:val="00F12A65"/>
    <w:rsid w:val="00F12ABD"/>
    <w:rsid w:val="00F12B58"/>
    <w:rsid w:val="00F12BE3"/>
    <w:rsid w:val="00F12C37"/>
    <w:rsid w:val="00F12CA0"/>
    <w:rsid w:val="00F12D2F"/>
    <w:rsid w:val="00F12DCA"/>
    <w:rsid w:val="00F12ED3"/>
    <w:rsid w:val="00F12EEA"/>
    <w:rsid w:val="00F12F36"/>
    <w:rsid w:val="00F12F57"/>
    <w:rsid w:val="00F1313F"/>
    <w:rsid w:val="00F13140"/>
    <w:rsid w:val="00F131FE"/>
    <w:rsid w:val="00F1334A"/>
    <w:rsid w:val="00F134A9"/>
    <w:rsid w:val="00F135E9"/>
    <w:rsid w:val="00F135F4"/>
    <w:rsid w:val="00F135FF"/>
    <w:rsid w:val="00F13705"/>
    <w:rsid w:val="00F137CA"/>
    <w:rsid w:val="00F13812"/>
    <w:rsid w:val="00F13844"/>
    <w:rsid w:val="00F13873"/>
    <w:rsid w:val="00F13999"/>
    <w:rsid w:val="00F13C36"/>
    <w:rsid w:val="00F13C92"/>
    <w:rsid w:val="00F13DB5"/>
    <w:rsid w:val="00F13EC5"/>
    <w:rsid w:val="00F14110"/>
    <w:rsid w:val="00F141B0"/>
    <w:rsid w:val="00F14218"/>
    <w:rsid w:val="00F14333"/>
    <w:rsid w:val="00F1445C"/>
    <w:rsid w:val="00F1469E"/>
    <w:rsid w:val="00F14738"/>
    <w:rsid w:val="00F14881"/>
    <w:rsid w:val="00F14A08"/>
    <w:rsid w:val="00F14A6F"/>
    <w:rsid w:val="00F14AF7"/>
    <w:rsid w:val="00F14BD4"/>
    <w:rsid w:val="00F14EC1"/>
    <w:rsid w:val="00F14ECF"/>
    <w:rsid w:val="00F15020"/>
    <w:rsid w:val="00F15203"/>
    <w:rsid w:val="00F15288"/>
    <w:rsid w:val="00F15313"/>
    <w:rsid w:val="00F15359"/>
    <w:rsid w:val="00F153F6"/>
    <w:rsid w:val="00F15461"/>
    <w:rsid w:val="00F1551A"/>
    <w:rsid w:val="00F156F1"/>
    <w:rsid w:val="00F15843"/>
    <w:rsid w:val="00F1598A"/>
    <w:rsid w:val="00F15A2F"/>
    <w:rsid w:val="00F15A5C"/>
    <w:rsid w:val="00F15A9C"/>
    <w:rsid w:val="00F15B37"/>
    <w:rsid w:val="00F15CBB"/>
    <w:rsid w:val="00F15D7A"/>
    <w:rsid w:val="00F15FA9"/>
    <w:rsid w:val="00F15FAF"/>
    <w:rsid w:val="00F1620C"/>
    <w:rsid w:val="00F16307"/>
    <w:rsid w:val="00F16434"/>
    <w:rsid w:val="00F16439"/>
    <w:rsid w:val="00F16493"/>
    <w:rsid w:val="00F16518"/>
    <w:rsid w:val="00F166D1"/>
    <w:rsid w:val="00F169E8"/>
    <w:rsid w:val="00F16A01"/>
    <w:rsid w:val="00F16A36"/>
    <w:rsid w:val="00F16D0D"/>
    <w:rsid w:val="00F16D6E"/>
    <w:rsid w:val="00F16DAE"/>
    <w:rsid w:val="00F16DE0"/>
    <w:rsid w:val="00F16DEB"/>
    <w:rsid w:val="00F16ECC"/>
    <w:rsid w:val="00F1706D"/>
    <w:rsid w:val="00F170C1"/>
    <w:rsid w:val="00F171DA"/>
    <w:rsid w:val="00F17271"/>
    <w:rsid w:val="00F172A9"/>
    <w:rsid w:val="00F1733E"/>
    <w:rsid w:val="00F1734D"/>
    <w:rsid w:val="00F173B7"/>
    <w:rsid w:val="00F173EF"/>
    <w:rsid w:val="00F1751C"/>
    <w:rsid w:val="00F17577"/>
    <w:rsid w:val="00F175AB"/>
    <w:rsid w:val="00F175C9"/>
    <w:rsid w:val="00F17629"/>
    <w:rsid w:val="00F17716"/>
    <w:rsid w:val="00F17775"/>
    <w:rsid w:val="00F177B6"/>
    <w:rsid w:val="00F17800"/>
    <w:rsid w:val="00F178D5"/>
    <w:rsid w:val="00F17934"/>
    <w:rsid w:val="00F17AB8"/>
    <w:rsid w:val="00F17BF5"/>
    <w:rsid w:val="00F20027"/>
    <w:rsid w:val="00F200D4"/>
    <w:rsid w:val="00F200F0"/>
    <w:rsid w:val="00F200FF"/>
    <w:rsid w:val="00F201B7"/>
    <w:rsid w:val="00F20382"/>
    <w:rsid w:val="00F205EB"/>
    <w:rsid w:val="00F20660"/>
    <w:rsid w:val="00F206CF"/>
    <w:rsid w:val="00F209FD"/>
    <w:rsid w:val="00F20A2B"/>
    <w:rsid w:val="00F20AAF"/>
    <w:rsid w:val="00F20B9D"/>
    <w:rsid w:val="00F20BC6"/>
    <w:rsid w:val="00F20BC9"/>
    <w:rsid w:val="00F20C09"/>
    <w:rsid w:val="00F20DA3"/>
    <w:rsid w:val="00F20EDD"/>
    <w:rsid w:val="00F20F15"/>
    <w:rsid w:val="00F210A0"/>
    <w:rsid w:val="00F21222"/>
    <w:rsid w:val="00F216BD"/>
    <w:rsid w:val="00F216F6"/>
    <w:rsid w:val="00F217FC"/>
    <w:rsid w:val="00F2181C"/>
    <w:rsid w:val="00F21940"/>
    <w:rsid w:val="00F21941"/>
    <w:rsid w:val="00F2195E"/>
    <w:rsid w:val="00F21B0F"/>
    <w:rsid w:val="00F21B14"/>
    <w:rsid w:val="00F21BC5"/>
    <w:rsid w:val="00F21C1D"/>
    <w:rsid w:val="00F21CD3"/>
    <w:rsid w:val="00F21CDF"/>
    <w:rsid w:val="00F21D1C"/>
    <w:rsid w:val="00F21D64"/>
    <w:rsid w:val="00F21D9E"/>
    <w:rsid w:val="00F22034"/>
    <w:rsid w:val="00F22123"/>
    <w:rsid w:val="00F2214A"/>
    <w:rsid w:val="00F222D4"/>
    <w:rsid w:val="00F224B4"/>
    <w:rsid w:val="00F2269D"/>
    <w:rsid w:val="00F228CF"/>
    <w:rsid w:val="00F228E4"/>
    <w:rsid w:val="00F2294D"/>
    <w:rsid w:val="00F22A02"/>
    <w:rsid w:val="00F22AE7"/>
    <w:rsid w:val="00F22BF3"/>
    <w:rsid w:val="00F22C0C"/>
    <w:rsid w:val="00F22CDF"/>
    <w:rsid w:val="00F22D3B"/>
    <w:rsid w:val="00F22E99"/>
    <w:rsid w:val="00F22EFD"/>
    <w:rsid w:val="00F22FCC"/>
    <w:rsid w:val="00F231DC"/>
    <w:rsid w:val="00F235B9"/>
    <w:rsid w:val="00F23722"/>
    <w:rsid w:val="00F23836"/>
    <w:rsid w:val="00F238CA"/>
    <w:rsid w:val="00F23916"/>
    <w:rsid w:val="00F2394F"/>
    <w:rsid w:val="00F23989"/>
    <w:rsid w:val="00F23ACB"/>
    <w:rsid w:val="00F23C3F"/>
    <w:rsid w:val="00F23C8E"/>
    <w:rsid w:val="00F23E14"/>
    <w:rsid w:val="00F23E22"/>
    <w:rsid w:val="00F23EDB"/>
    <w:rsid w:val="00F23FF6"/>
    <w:rsid w:val="00F242AA"/>
    <w:rsid w:val="00F244B7"/>
    <w:rsid w:val="00F24549"/>
    <w:rsid w:val="00F2455A"/>
    <w:rsid w:val="00F245A8"/>
    <w:rsid w:val="00F245A9"/>
    <w:rsid w:val="00F245BF"/>
    <w:rsid w:val="00F247B9"/>
    <w:rsid w:val="00F247C0"/>
    <w:rsid w:val="00F2492A"/>
    <w:rsid w:val="00F24A0C"/>
    <w:rsid w:val="00F24ABC"/>
    <w:rsid w:val="00F24B37"/>
    <w:rsid w:val="00F24B5E"/>
    <w:rsid w:val="00F24BCB"/>
    <w:rsid w:val="00F24CB2"/>
    <w:rsid w:val="00F24D64"/>
    <w:rsid w:val="00F24F4A"/>
    <w:rsid w:val="00F24FFA"/>
    <w:rsid w:val="00F252CA"/>
    <w:rsid w:val="00F2533E"/>
    <w:rsid w:val="00F253F9"/>
    <w:rsid w:val="00F2571A"/>
    <w:rsid w:val="00F2583A"/>
    <w:rsid w:val="00F25871"/>
    <w:rsid w:val="00F2598D"/>
    <w:rsid w:val="00F25A65"/>
    <w:rsid w:val="00F25AFF"/>
    <w:rsid w:val="00F25BA1"/>
    <w:rsid w:val="00F25BA5"/>
    <w:rsid w:val="00F25C1E"/>
    <w:rsid w:val="00F25CFE"/>
    <w:rsid w:val="00F25D7A"/>
    <w:rsid w:val="00F25DE4"/>
    <w:rsid w:val="00F25DEC"/>
    <w:rsid w:val="00F26022"/>
    <w:rsid w:val="00F26054"/>
    <w:rsid w:val="00F2615F"/>
    <w:rsid w:val="00F2626F"/>
    <w:rsid w:val="00F262B6"/>
    <w:rsid w:val="00F2633E"/>
    <w:rsid w:val="00F263AF"/>
    <w:rsid w:val="00F2642D"/>
    <w:rsid w:val="00F264C8"/>
    <w:rsid w:val="00F264F2"/>
    <w:rsid w:val="00F265BE"/>
    <w:rsid w:val="00F2663B"/>
    <w:rsid w:val="00F2672B"/>
    <w:rsid w:val="00F2681A"/>
    <w:rsid w:val="00F2681C"/>
    <w:rsid w:val="00F2690F"/>
    <w:rsid w:val="00F26AEB"/>
    <w:rsid w:val="00F26CDA"/>
    <w:rsid w:val="00F26DA6"/>
    <w:rsid w:val="00F26DAD"/>
    <w:rsid w:val="00F26DC2"/>
    <w:rsid w:val="00F26E63"/>
    <w:rsid w:val="00F27139"/>
    <w:rsid w:val="00F2713F"/>
    <w:rsid w:val="00F272C7"/>
    <w:rsid w:val="00F272EE"/>
    <w:rsid w:val="00F27561"/>
    <w:rsid w:val="00F27577"/>
    <w:rsid w:val="00F275C0"/>
    <w:rsid w:val="00F27611"/>
    <w:rsid w:val="00F2768A"/>
    <w:rsid w:val="00F277B6"/>
    <w:rsid w:val="00F277FA"/>
    <w:rsid w:val="00F27864"/>
    <w:rsid w:val="00F2791D"/>
    <w:rsid w:val="00F27A9D"/>
    <w:rsid w:val="00F27AA9"/>
    <w:rsid w:val="00F27B7F"/>
    <w:rsid w:val="00F27BB2"/>
    <w:rsid w:val="00F27BEE"/>
    <w:rsid w:val="00F27C06"/>
    <w:rsid w:val="00F27F3A"/>
    <w:rsid w:val="00F3018E"/>
    <w:rsid w:val="00F30338"/>
    <w:rsid w:val="00F30385"/>
    <w:rsid w:val="00F30406"/>
    <w:rsid w:val="00F3078F"/>
    <w:rsid w:val="00F30803"/>
    <w:rsid w:val="00F308B1"/>
    <w:rsid w:val="00F308F1"/>
    <w:rsid w:val="00F30932"/>
    <w:rsid w:val="00F30CCE"/>
    <w:rsid w:val="00F30DAD"/>
    <w:rsid w:val="00F310EA"/>
    <w:rsid w:val="00F31549"/>
    <w:rsid w:val="00F31608"/>
    <w:rsid w:val="00F31771"/>
    <w:rsid w:val="00F3187A"/>
    <w:rsid w:val="00F3191B"/>
    <w:rsid w:val="00F31BBA"/>
    <w:rsid w:val="00F31BCA"/>
    <w:rsid w:val="00F31BD3"/>
    <w:rsid w:val="00F31C63"/>
    <w:rsid w:val="00F31CF1"/>
    <w:rsid w:val="00F31EFE"/>
    <w:rsid w:val="00F32009"/>
    <w:rsid w:val="00F32086"/>
    <w:rsid w:val="00F32115"/>
    <w:rsid w:val="00F32264"/>
    <w:rsid w:val="00F32297"/>
    <w:rsid w:val="00F3237B"/>
    <w:rsid w:val="00F323F1"/>
    <w:rsid w:val="00F325D3"/>
    <w:rsid w:val="00F325EE"/>
    <w:rsid w:val="00F326CD"/>
    <w:rsid w:val="00F32822"/>
    <w:rsid w:val="00F328B2"/>
    <w:rsid w:val="00F32934"/>
    <w:rsid w:val="00F32AFB"/>
    <w:rsid w:val="00F32BC3"/>
    <w:rsid w:val="00F32E50"/>
    <w:rsid w:val="00F32ECC"/>
    <w:rsid w:val="00F33151"/>
    <w:rsid w:val="00F33188"/>
    <w:rsid w:val="00F332DF"/>
    <w:rsid w:val="00F33807"/>
    <w:rsid w:val="00F33826"/>
    <w:rsid w:val="00F3389E"/>
    <w:rsid w:val="00F3392B"/>
    <w:rsid w:val="00F33B10"/>
    <w:rsid w:val="00F33CE6"/>
    <w:rsid w:val="00F33E92"/>
    <w:rsid w:val="00F33EBB"/>
    <w:rsid w:val="00F34140"/>
    <w:rsid w:val="00F34399"/>
    <w:rsid w:val="00F345D3"/>
    <w:rsid w:val="00F346C3"/>
    <w:rsid w:val="00F346EC"/>
    <w:rsid w:val="00F34808"/>
    <w:rsid w:val="00F34924"/>
    <w:rsid w:val="00F3496E"/>
    <w:rsid w:val="00F34A3D"/>
    <w:rsid w:val="00F34AC5"/>
    <w:rsid w:val="00F34ADE"/>
    <w:rsid w:val="00F34B30"/>
    <w:rsid w:val="00F34C3A"/>
    <w:rsid w:val="00F34E0D"/>
    <w:rsid w:val="00F35260"/>
    <w:rsid w:val="00F3528A"/>
    <w:rsid w:val="00F3529E"/>
    <w:rsid w:val="00F35496"/>
    <w:rsid w:val="00F354AB"/>
    <w:rsid w:val="00F35534"/>
    <w:rsid w:val="00F356B5"/>
    <w:rsid w:val="00F356BF"/>
    <w:rsid w:val="00F356F0"/>
    <w:rsid w:val="00F35816"/>
    <w:rsid w:val="00F3583E"/>
    <w:rsid w:val="00F35B51"/>
    <w:rsid w:val="00F35BA6"/>
    <w:rsid w:val="00F35BD1"/>
    <w:rsid w:val="00F35BF2"/>
    <w:rsid w:val="00F35CEA"/>
    <w:rsid w:val="00F35CF5"/>
    <w:rsid w:val="00F35DAF"/>
    <w:rsid w:val="00F35E04"/>
    <w:rsid w:val="00F35E3A"/>
    <w:rsid w:val="00F36092"/>
    <w:rsid w:val="00F360B6"/>
    <w:rsid w:val="00F360FF"/>
    <w:rsid w:val="00F3623D"/>
    <w:rsid w:val="00F362CB"/>
    <w:rsid w:val="00F362F8"/>
    <w:rsid w:val="00F363D5"/>
    <w:rsid w:val="00F36450"/>
    <w:rsid w:val="00F366FC"/>
    <w:rsid w:val="00F36743"/>
    <w:rsid w:val="00F3688D"/>
    <w:rsid w:val="00F369BE"/>
    <w:rsid w:val="00F369E7"/>
    <w:rsid w:val="00F36A23"/>
    <w:rsid w:val="00F36A4A"/>
    <w:rsid w:val="00F36AA9"/>
    <w:rsid w:val="00F36C09"/>
    <w:rsid w:val="00F36C2E"/>
    <w:rsid w:val="00F36C4A"/>
    <w:rsid w:val="00F36D58"/>
    <w:rsid w:val="00F36F4D"/>
    <w:rsid w:val="00F37011"/>
    <w:rsid w:val="00F370BC"/>
    <w:rsid w:val="00F372C1"/>
    <w:rsid w:val="00F3745A"/>
    <w:rsid w:val="00F37535"/>
    <w:rsid w:val="00F375E7"/>
    <w:rsid w:val="00F3769A"/>
    <w:rsid w:val="00F37746"/>
    <w:rsid w:val="00F37916"/>
    <w:rsid w:val="00F37B52"/>
    <w:rsid w:val="00F37B60"/>
    <w:rsid w:val="00F37B9F"/>
    <w:rsid w:val="00F37CA5"/>
    <w:rsid w:val="00F37D4F"/>
    <w:rsid w:val="00F37DF6"/>
    <w:rsid w:val="00F400B6"/>
    <w:rsid w:val="00F4022D"/>
    <w:rsid w:val="00F40331"/>
    <w:rsid w:val="00F4036A"/>
    <w:rsid w:val="00F40448"/>
    <w:rsid w:val="00F40451"/>
    <w:rsid w:val="00F40526"/>
    <w:rsid w:val="00F40630"/>
    <w:rsid w:val="00F4074C"/>
    <w:rsid w:val="00F4086F"/>
    <w:rsid w:val="00F40987"/>
    <w:rsid w:val="00F40A43"/>
    <w:rsid w:val="00F40A5F"/>
    <w:rsid w:val="00F40ACE"/>
    <w:rsid w:val="00F40B69"/>
    <w:rsid w:val="00F40B96"/>
    <w:rsid w:val="00F40BC0"/>
    <w:rsid w:val="00F40C0E"/>
    <w:rsid w:val="00F40D0C"/>
    <w:rsid w:val="00F40E4C"/>
    <w:rsid w:val="00F40E58"/>
    <w:rsid w:val="00F40E5A"/>
    <w:rsid w:val="00F40E5C"/>
    <w:rsid w:val="00F40E92"/>
    <w:rsid w:val="00F40F26"/>
    <w:rsid w:val="00F412B2"/>
    <w:rsid w:val="00F412CF"/>
    <w:rsid w:val="00F413AD"/>
    <w:rsid w:val="00F41572"/>
    <w:rsid w:val="00F419F8"/>
    <w:rsid w:val="00F41CC4"/>
    <w:rsid w:val="00F41D64"/>
    <w:rsid w:val="00F42012"/>
    <w:rsid w:val="00F42020"/>
    <w:rsid w:val="00F42088"/>
    <w:rsid w:val="00F42119"/>
    <w:rsid w:val="00F42182"/>
    <w:rsid w:val="00F421E1"/>
    <w:rsid w:val="00F4227E"/>
    <w:rsid w:val="00F422DC"/>
    <w:rsid w:val="00F422FA"/>
    <w:rsid w:val="00F42382"/>
    <w:rsid w:val="00F424DB"/>
    <w:rsid w:val="00F42517"/>
    <w:rsid w:val="00F42584"/>
    <w:rsid w:val="00F425D9"/>
    <w:rsid w:val="00F4279D"/>
    <w:rsid w:val="00F42959"/>
    <w:rsid w:val="00F42977"/>
    <w:rsid w:val="00F42B4A"/>
    <w:rsid w:val="00F42BD6"/>
    <w:rsid w:val="00F42C38"/>
    <w:rsid w:val="00F42D07"/>
    <w:rsid w:val="00F42EAC"/>
    <w:rsid w:val="00F42ED7"/>
    <w:rsid w:val="00F42F9B"/>
    <w:rsid w:val="00F43183"/>
    <w:rsid w:val="00F43371"/>
    <w:rsid w:val="00F4339C"/>
    <w:rsid w:val="00F43417"/>
    <w:rsid w:val="00F43424"/>
    <w:rsid w:val="00F4347B"/>
    <w:rsid w:val="00F43567"/>
    <w:rsid w:val="00F4366C"/>
    <w:rsid w:val="00F4386C"/>
    <w:rsid w:val="00F4392C"/>
    <w:rsid w:val="00F43A55"/>
    <w:rsid w:val="00F43AED"/>
    <w:rsid w:val="00F43C20"/>
    <w:rsid w:val="00F43C7E"/>
    <w:rsid w:val="00F43E33"/>
    <w:rsid w:val="00F43FBD"/>
    <w:rsid w:val="00F43FE9"/>
    <w:rsid w:val="00F44423"/>
    <w:rsid w:val="00F444B7"/>
    <w:rsid w:val="00F4456B"/>
    <w:rsid w:val="00F445AB"/>
    <w:rsid w:val="00F445F0"/>
    <w:rsid w:val="00F4495F"/>
    <w:rsid w:val="00F44AF9"/>
    <w:rsid w:val="00F44B9C"/>
    <w:rsid w:val="00F44BB2"/>
    <w:rsid w:val="00F44BBB"/>
    <w:rsid w:val="00F44BCD"/>
    <w:rsid w:val="00F44CD5"/>
    <w:rsid w:val="00F44E06"/>
    <w:rsid w:val="00F44E17"/>
    <w:rsid w:val="00F44F80"/>
    <w:rsid w:val="00F44FC0"/>
    <w:rsid w:val="00F450DE"/>
    <w:rsid w:val="00F45167"/>
    <w:rsid w:val="00F4516D"/>
    <w:rsid w:val="00F45269"/>
    <w:rsid w:val="00F4545F"/>
    <w:rsid w:val="00F454AF"/>
    <w:rsid w:val="00F456DE"/>
    <w:rsid w:val="00F45799"/>
    <w:rsid w:val="00F4583C"/>
    <w:rsid w:val="00F45847"/>
    <w:rsid w:val="00F45B3B"/>
    <w:rsid w:val="00F45BC1"/>
    <w:rsid w:val="00F45D6D"/>
    <w:rsid w:val="00F45EBB"/>
    <w:rsid w:val="00F45F06"/>
    <w:rsid w:val="00F45F58"/>
    <w:rsid w:val="00F45F88"/>
    <w:rsid w:val="00F461D0"/>
    <w:rsid w:val="00F461FD"/>
    <w:rsid w:val="00F46292"/>
    <w:rsid w:val="00F462AA"/>
    <w:rsid w:val="00F46410"/>
    <w:rsid w:val="00F46487"/>
    <w:rsid w:val="00F464CF"/>
    <w:rsid w:val="00F465F2"/>
    <w:rsid w:val="00F4678F"/>
    <w:rsid w:val="00F467E0"/>
    <w:rsid w:val="00F467FC"/>
    <w:rsid w:val="00F4697F"/>
    <w:rsid w:val="00F469AF"/>
    <w:rsid w:val="00F46A67"/>
    <w:rsid w:val="00F46BDA"/>
    <w:rsid w:val="00F46BF3"/>
    <w:rsid w:val="00F46D07"/>
    <w:rsid w:val="00F46D0A"/>
    <w:rsid w:val="00F46E89"/>
    <w:rsid w:val="00F46EE9"/>
    <w:rsid w:val="00F46F2E"/>
    <w:rsid w:val="00F471B8"/>
    <w:rsid w:val="00F47228"/>
    <w:rsid w:val="00F472B3"/>
    <w:rsid w:val="00F47433"/>
    <w:rsid w:val="00F47489"/>
    <w:rsid w:val="00F474E5"/>
    <w:rsid w:val="00F4798A"/>
    <w:rsid w:val="00F47C66"/>
    <w:rsid w:val="00F47CC8"/>
    <w:rsid w:val="00F47D0F"/>
    <w:rsid w:val="00F47D30"/>
    <w:rsid w:val="00F47E92"/>
    <w:rsid w:val="00F47EB7"/>
    <w:rsid w:val="00F47F24"/>
    <w:rsid w:val="00F47FBB"/>
    <w:rsid w:val="00F47FF1"/>
    <w:rsid w:val="00F50226"/>
    <w:rsid w:val="00F502BF"/>
    <w:rsid w:val="00F502C3"/>
    <w:rsid w:val="00F50892"/>
    <w:rsid w:val="00F5091E"/>
    <w:rsid w:val="00F50CAA"/>
    <w:rsid w:val="00F50D78"/>
    <w:rsid w:val="00F50F73"/>
    <w:rsid w:val="00F51160"/>
    <w:rsid w:val="00F511A3"/>
    <w:rsid w:val="00F5120C"/>
    <w:rsid w:val="00F51436"/>
    <w:rsid w:val="00F51555"/>
    <w:rsid w:val="00F51739"/>
    <w:rsid w:val="00F5174F"/>
    <w:rsid w:val="00F5179D"/>
    <w:rsid w:val="00F517D0"/>
    <w:rsid w:val="00F5189E"/>
    <w:rsid w:val="00F519E9"/>
    <w:rsid w:val="00F51B32"/>
    <w:rsid w:val="00F51BAC"/>
    <w:rsid w:val="00F51C1E"/>
    <w:rsid w:val="00F51CFB"/>
    <w:rsid w:val="00F51FE9"/>
    <w:rsid w:val="00F52082"/>
    <w:rsid w:val="00F52209"/>
    <w:rsid w:val="00F522A6"/>
    <w:rsid w:val="00F52338"/>
    <w:rsid w:val="00F523FE"/>
    <w:rsid w:val="00F524F0"/>
    <w:rsid w:val="00F52524"/>
    <w:rsid w:val="00F52525"/>
    <w:rsid w:val="00F5252F"/>
    <w:rsid w:val="00F52614"/>
    <w:rsid w:val="00F52618"/>
    <w:rsid w:val="00F52AAF"/>
    <w:rsid w:val="00F52BC9"/>
    <w:rsid w:val="00F52CD8"/>
    <w:rsid w:val="00F531B4"/>
    <w:rsid w:val="00F531BA"/>
    <w:rsid w:val="00F531C2"/>
    <w:rsid w:val="00F53389"/>
    <w:rsid w:val="00F5345D"/>
    <w:rsid w:val="00F5345E"/>
    <w:rsid w:val="00F53554"/>
    <w:rsid w:val="00F53577"/>
    <w:rsid w:val="00F535C8"/>
    <w:rsid w:val="00F535ED"/>
    <w:rsid w:val="00F536D3"/>
    <w:rsid w:val="00F53834"/>
    <w:rsid w:val="00F53BC6"/>
    <w:rsid w:val="00F53D08"/>
    <w:rsid w:val="00F53D32"/>
    <w:rsid w:val="00F53E01"/>
    <w:rsid w:val="00F53F4D"/>
    <w:rsid w:val="00F53F81"/>
    <w:rsid w:val="00F53F84"/>
    <w:rsid w:val="00F53FC6"/>
    <w:rsid w:val="00F5413A"/>
    <w:rsid w:val="00F54186"/>
    <w:rsid w:val="00F5421B"/>
    <w:rsid w:val="00F5423F"/>
    <w:rsid w:val="00F5429A"/>
    <w:rsid w:val="00F5452E"/>
    <w:rsid w:val="00F54618"/>
    <w:rsid w:val="00F54753"/>
    <w:rsid w:val="00F5476E"/>
    <w:rsid w:val="00F54899"/>
    <w:rsid w:val="00F548CD"/>
    <w:rsid w:val="00F54A3E"/>
    <w:rsid w:val="00F54A5C"/>
    <w:rsid w:val="00F54B29"/>
    <w:rsid w:val="00F54B40"/>
    <w:rsid w:val="00F54BD1"/>
    <w:rsid w:val="00F54C35"/>
    <w:rsid w:val="00F54C76"/>
    <w:rsid w:val="00F54E23"/>
    <w:rsid w:val="00F54E62"/>
    <w:rsid w:val="00F54F3C"/>
    <w:rsid w:val="00F5504A"/>
    <w:rsid w:val="00F5510A"/>
    <w:rsid w:val="00F5511B"/>
    <w:rsid w:val="00F55210"/>
    <w:rsid w:val="00F55343"/>
    <w:rsid w:val="00F553B4"/>
    <w:rsid w:val="00F55636"/>
    <w:rsid w:val="00F556C7"/>
    <w:rsid w:val="00F5573D"/>
    <w:rsid w:val="00F55749"/>
    <w:rsid w:val="00F55860"/>
    <w:rsid w:val="00F55A04"/>
    <w:rsid w:val="00F55A16"/>
    <w:rsid w:val="00F55B2A"/>
    <w:rsid w:val="00F55BE8"/>
    <w:rsid w:val="00F55E36"/>
    <w:rsid w:val="00F55E40"/>
    <w:rsid w:val="00F55E73"/>
    <w:rsid w:val="00F56228"/>
    <w:rsid w:val="00F563AF"/>
    <w:rsid w:val="00F564B5"/>
    <w:rsid w:val="00F56504"/>
    <w:rsid w:val="00F56509"/>
    <w:rsid w:val="00F56533"/>
    <w:rsid w:val="00F5654B"/>
    <w:rsid w:val="00F5658A"/>
    <w:rsid w:val="00F565AF"/>
    <w:rsid w:val="00F565BF"/>
    <w:rsid w:val="00F566DB"/>
    <w:rsid w:val="00F567E3"/>
    <w:rsid w:val="00F56808"/>
    <w:rsid w:val="00F56867"/>
    <w:rsid w:val="00F56B7F"/>
    <w:rsid w:val="00F56C45"/>
    <w:rsid w:val="00F56C7F"/>
    <w:rsid w:val="00F56CBE"/>
    <w:rsid w:val="00F56D70"/>
    <w:rsid w:val="00F56D8A"/>
    <w:rsid w:val="00F56E03"/>
    <w:rsid w:val="00F56E41"/>
    <w:rsid w:val="00F56E4E"/>
    <w:rsid w:val="00F56E9D"/>
    <w:rsid w:val="00F570A9"/>
    <w:rsid w:val="00F5749E"/>
    <w:rsid w:val="00F575ED"/>
    <w:rsid w:val="00F5780A"/>
    <w:rsid w:val="00F57941"/>
    <w:rsid w:val="00F57C87"/>
    <w:rsid w:val="00F57CA8"/>
    <w:rsid w:val="00F57CB2"/>
    <w:rsid w:val="00F57CF0"/>
    <w:rsid w:val="00F57CF2"/>
    <w:rsid w:val="00F57DF9"/>
    <w:rsid w:val="00F57FF0"/>
    <w:rsid w:val="00F60114"/>
    <w:rsid w:val="00F60328"/>
    <w:rsid w:val="00F6066F"/>
    <w:rsid w:val="00F6068C"/>
    <w:rsid w:val="00F60731"/>
    <w:rsid w:val="00F60843"/>
    <w:rsid w:val="00F6086C"/>
    <w:rsid w:val="00F609BE"/>
    <w:rsid w:val="00F60A11"/>
    <w:rsid w:val="00F60ADD"/>
    <w:rsid w:val="00F60BD4"/>
    <w:rsid w:val="00F60BEC"/>
    <w:rsid w:val="00F60C65"/>
    <w:rsid w:val="00F60C71"/>
    <w:rsid w:val="00F60F7D"/>
    <w:rsid w:val="00F60F9F"/>
    <w:rsid w:val="00F61066"/>
    <w:rsid w:val="00F610E5"/>
    <w:rsid w:val="00F6110C"/>
    <w:rsid w:val="00F61263"/>
    <w:rsid w:val="00F61352"/>
    <w:rsid w:val="00F616EC"/>
    <w:rsid w:val="00F61700"/>
    <w:rsid w:val="00F61729"/>
    <w:rsid w:val="00F617E0"/>
    <w:rsid w:val="00F61842"/>
    <w:rsid w:val="00F618CC"/>
    <w:rsid w:val="00F6193D"/>
    <w:rsid w:val="00F61B1B"/>
    <w:rsid w:val="00F61C70"/>
    <w:rsid w:val="00F61DF1"/>
    <w:rsid w:val="00F61E13"/>
    <w:rsid w:val="00F6210E"/>
    <w:rsid w:val="00F622AC"/>
    <w:rsid w:val="00F6230A"/>
    <w:rsid w:val="00F62549"/>
    <w:rsid w:val="00F6280F"/>
    <w:rsid w:val="00F6283E"/>
    <w:rsid w:val="00F62B95"/>
    <w:rsid w:val="00F62C21"/>
    <w:rsid w:val="00F62E6D"/>
    <w:rsid w:val="00F62E95"/>
    <w:rsid w:val="00F62FB8"/>
    <w:rsid w:val="00F632BE"/>
    <w:rsid w:val="00F63313"/>
    <w:rsid w:val="00F634C2"/>
    <w:rsid w:val="00F635E4"/>
    <w:rsid w:val="00F6361A"/>
    <w:rsid w:val="00F6377A"/>
    <w:rsid w:val="00F6380D"/>
    <w:rsid w:val="00F638FA"/>
    <w:rsid w:val="00F6393A"/>
    <w:rsid w:val="00F63C69"/>
    <w:rsid w:val="00F63CD9"/>
    <w:rsid w:val="00F63E36"/>
    <w:rsid w:val="00F63E60"/>
    <w:rsid w:val="00F63FB8"/>
    <w:rsid w:val="00F6402C"/>
    <w:rsid w:val="00F64233"/>
    <w:rsid w:val="00F64253"/>
    <w:rsid w:val="00F642A2"/>
    <w:rsid w:val="00F643AC"/>
    <w:rsid w:val="00F646AA"/>
    <w:rsid w:val="00F647FC"/>
    <w:rsid w:val="00F6485C"/>
    <w:rsid w:val="00F64880"/>
    <w:rsid w:val="00F64991"/>
    <w:rsid w:val="00F649A5"/>
    <w:rsid w:val="00F64AC7"/>
    <w:rsid w:val="00F64B89"/>
    <w:rsid w:val="00F64C27"/>
    <w:rsid w:val="00F64D0C"/>
    <w:rsid w:val="00F64D61"/>
    <w:rsid w:val="00F64DD0"/>
    <w:rsid w:val="00F64E29"/>
    <w:rsid w:val="00F64E31"/>
    <w:rsid w:val="00F65100"/>
    <w:rsid w:val="00F6510B"/>
    <w:rsid w:val="00F654F0"/>
    <w:rsid w:val="00F6572C"/>
    <w:rsid w:val="00F65751"/>
    <w:rsid w:val="00F657E6"/>
    <w:rsid w:val="00F65A0E"/>
    <w:rsid w:val="00F65AD5"/>
    <w:rsid w:val="00F65AFD"/>
    <w:rsid w:val="00F65B3B"/>
    <w:rsid w:val="00F65B74"/>
    <w:rsid w:val="00F65C18"/>
    <w:rsid w:val="00F65D70"/>
    <w:rsid w:val="00F65E5F"/>
    <w:rsid w:val="00F65E79"/>
    <w:rsid w:val="00F6603A"/>
    <w:rsid w:val="00F662E0"/>
    <w:rsid w:val="00F6652B"/>
    <w:rsid w:val="00F66A7C"/>
    <w:rsid w:val="00F66AC6"/>
    <w:rsid w:val="00F66AE0"/>
    <w:rsid w:val="00F66BC3"/>
    <w:rsid w:val="00F66D31"/>
    <w:rsid w:val="00F66F0F"/>
    <w:rsid w:val="00F66FA1"/>
    <w:rsid w:val="00F66FCC"/>
    <w:rsid w:val="00F670A8"/>
    <w:rsid w:val="00F671AA"/>
    <w:rsid w:val="00F673CE"/>
    <w:rsid w:val="00F67774"/>
    <w:rsid w:val="00F67878"/>
    <w:rsid w:val="00F6792D"/>
    <w:rsid w:val="00F679AC"/>
    <w:rsid w:val="00F67A22"/>
    <w:rsid w:val="00F67B78"/>
    <w:rsid w:val="00F67C3A"/>
    <w:rsid w:val="00F67C61"/>
    <w:rsid w:val="00F67CCB"/>
    <w:rsid w:val="00F67F1A"/>
    <w:rsid w:val="00F70293"/>
    <w:rsid w:val="00F70380"/>
    <w:rsid w:val="00F703F3"/>
    <w:rsid w:val="00F70638"/>
    <w:rsid w:val="00F70879"/>
    <w:rsid w:val="00F70882"/>
    <w:rsid w:val="00F70887"/>
    <w:rsid w:val="00F70B1F"/>
    <w:rsid w:val="00F711ED"/>
    <w:rsid w:val="00F7132E"/>
    <w:rsid w:val="00F71353"/>
    <w:rsid w:val="00F71419"/>
    <w:rsid w:val="00F71559"/>
    <w:rsid w:val="00F71585"/>
    <w:rsid w:val="00F715D6"/>
    <w:rsid w:val="00F71648"/>
    <w:rsid w:val="00F717CB"/>
    <w:rsid w:val="00F7182B"/>
    <w:rsid w:val="00F71861"/>
    <w:rsid w:val="00F71A7A"/>
    <w:rsid w:val="00F71AD0"/>
    <w:rsid w:val="00F71B92"/>
    <w:rsid w:val="00F71D72"/>
    <w:rsid w:val="00F71DB9"/>
    <w:rsid w:val="00F71E70"/>
    <w:rsid w:val="00F71E87"/>
    <w:rsid w:val="00F71F0B"/>
    <w:rsid w:val="00F71FEB"/>
    <w:rsid w:val="00F72038"/>
    <w:rsid w:val="00F72083"/>
    <w:rsid w:val="00F72130"/>
    <w:rsid w:val="00F7213E"/>
    <w:rsid w:val="00F72189"/>
    <w:rsid w:val="00F722D7"/>
    <w:rsid w:val="00F723F3"/>
    <w:rsid w:val="00F7240E"/>
    <w:rsid w:val="00F72410"/>
    <w:rsid w:val="00F72441"/>
    <w:rsid w:val="00F72691"/>
    <w:rsid w:val="00F72706"/>
    <w:rsid w:val="00F72766"/>
    <w:rsid w:val="00F72795"/>
    <w:rsid w:val="00F727C6"/>
    <w:rsid w:val="00F72894"/>
    <w:rsid w:val="00F7289C"/>
    <w:rsid w:val="00F728AE"/>
    <w:rsid w:val="00F729C8"/>
    <w:rsid w:val="00F72A77"/>
    <w:rsid w:val="00F72ACA"/>
    <w:rsid w:val="00F72BD2"/>
    <w:rsid w:val="00F72E0B"/>
    <w:rsid w:val="00F72F40"/>
    <w:rsid w:val="00F7310D"/>
    <w:rsid w:val="00F732ED"/>
    <w:rsid w:val="00F733D0"/>
    <w:rsid w:val="00F7376B"/>
    <w:rsid w:val="00F737BF"/>
    <w:rsid w:val="00F738E0"/>
    <w:rsid w:val="00F73B0A"/>
    <w:rsid w:val="00F73FEE"/>
    <w:rsid w:val="00F73FFA"/>
    <w:rsid w:val="00F741BA"/>
    <w:rsid w:val="00F74569"/>
    <w:rsid w:val="00F7466C"/>
    <w:rsid w:val="00F746C8"/>
    <w:rsid w:val="00F74874"/>
    <w:rsid w:val="00F749D8"/>
    <w:rsid w:val="00F74AEF"/>
    <w:rsid w:val="00F74B76"/>
    <w:rsid w:val="00F74B9D"/>
    <w:rsid w:val="00F74D61"/>
    <w:rsid w:val="00F74EFE"/>
    <w:rsid w:val="00F74F09"/>
    <w:rsid w:val="00F75003"/>
    <w:rsid w:val="00F7503E"/>
    <w:rsid w:val="00F75183"/>
    <w:rsid w:val="00F75247"/>
    <w:rsid w:val="00F75373"/>
    <w:rsid w:val="00F75381"/>
    <w:rsid w:val="00F7546E"/>
    <w:rsid w:val="00F75499"/>
    <w:rsid w:val="00F754CC"/>
    <w:rsid w:val="00F75520"/>
    <w:rsid w:val="00F755BB"/>
    <w:rsid w:val="00F75698"/>
    <w:rsid w:val="00F75845"/>
    <w:rsid w:val="00F7598A"/>
    <w:rsid w:val="00F75B1A"/>
    <w:rsid w:val="00F75B4C"/>
    <w:rsid w:val="00F75B8B"/>
    <w:rsid w:val="00F75B9B"/>
    <w:rsid w:val="00F75D74"/>
    <w:rsid w:val="00F75DAB"/>
    <w:rsid w:val="00F75DEB"/>
    <w:rsid w:val="00F75E6F"/>
    <w:rsid w:val="00F75F43"/>
    <w:rsid w:val="00F75F79"/>
    <w:rsid w:val="00F7601C"/>
    <w:rsid w:val="00F76072"/>
    <w:rsid w:val="00F7621F"/>
    <w:rsid w:val="00F762F4"/>
    <w:rsid w:val="00F763F8"/>
    <w:rsid w:val="00F764A8"/>
    <w:rsid w:val="00F765FC"/>
    <w:rsid w:val="00F7661A"/>
    <w:rsid w:val="00F766D7"/>
    <w:rsid w:val="00F766E4"/>
    <w:rsid w:val="00F767DD"/>
    <w:rsid w:val="00F7688C"/>
    <w:rsid w:val="00F768FE"/>
    <w:rsid w:val="00F769A1"/>
    <w:rsid w:val="00F76A2A"/>
    <w:rsid w:val="00F76A39"/>
    <w:rsid w:val="00F76B59"/>
    <w:rsid w:val="00F76D64"/>
    <w:rsid w:val="00F76E58"/>
    <w:rsid w:val="00F76EF5"/>
    <w:rsid w:val="00F76F88"/>
    <w:rsid w:val="00F76FDB"/>
    <w:rsid w:val="00F77132"/>
    <w:rsid w:val="00F771B5"/>
    <w:rsid w:val="00F772EF"/>
    <w:rsid w:val="00F7738E"/>
    <w:rsid w:val="00F773DA"/>
    <w:rsid w:val="00F773EB"/>
    <w:rsid w:val="00F7757E"/>
    <w:rsid w:val="00F77628"/>
    <w:rsid w:val="00F776D3"/>
    <w:rsid w:val="00F777C5"/>
    <w:rsid w:val="00F778AA"/>
    <w:rsid w:val="00F778AF"/>
    <w:rsid w:val="00F779B3"/>
    <w:rsid w:val="00F779FF"/>
    <w:rsid w:val="00F77A37"/>
    <w:rsid w:val="00F77A83"/>
    <w:rsid w:val="00F77D1B"/>
    <w:rsid w:val="00F77D50"/>
    <w:rsid w:val="00F77DA2"/>
    <w:rsid w:val="00F77E54"/>
    <w:rsid w:val="00F77EB4"/>
    <w:rsid w:val="00F77F76"/>
    <w:rsid w:val="00F77F8A"/>
    <w:rsid w:val="00F77FE6"/>
    <w:rsid w:val="00F80038"/>
    <w:rsid w:val="00F8022F"/>
    <w:rsid w:val="00F8030A"/>
    <w:rsid w:val="00F803DE"/>
    <w:rsid w:val="00F8055E"/>
    <w:rsid w:val="00F80721"/>
    <w:rsid w:val="00F80788"/>
    <w:rsid w:val="00F80833"/>
    <w:rsid w:val="00F8091F"/>
    <w:rsid w:val="00F809E1"/>
    <w:rsid w:val="00F809E2"/>
    <w:rsid w:val="00F80A38"/>
    <w:rsid w:val="00F80C83"/>
    <w:rsid w:val="00F80CAC"/>
    <w:rsid w:val="00F80CC9"/>
    <w:rsid w:val="00F80D06"/>
    <w:rsid w:val="00F80D67"/>
    <w:rsid w:val="00F80D90"/>
    <w:rsid w:val="00F80ED1"/>
    <w:rsid w:val="00F810F7"/>
    <w:rsid w:val="00F81183"/>
    <w:rsid w:val="00F8156E"/>
    <w:rsid w:val="00F8161F"/>
    <w:rsid w:val="00F8179A"/>
    <w:rsid w:val="00F81849"/>
    <w:rsid w:val="00F818F3"/>
    <w:rsid w:val="00F81A44"/>
    <w:rsid w:val="00F81ABB"/>
    <w:rsid w:val="00F81ADD"/>
    <w:rsid w:val="00F81B2F"/>
    <w:rsid w:val="00F81E8B"/>
    <w:rsid w:val="00F820E8"/>
    <w:rsid w:val="00F821CE"/>
    <w:rsid w:val="00F821FC"/>
    <w:rsid w:val="00F82212"/>
    <w:rsid w:val="00F82305"/>
    <w:rsid w:val="00F82399"/>
    <w:rsid w:val="00F82409"/>
    <w:rsid w:val="00F825F0"/>
    <w:rsid w:val="00F826A5"/>
    <w:rsid w:val="00F8277D"/>
    <w:rsid w:val="00F827AC"/>
    <w:rsid w:val="00F827E7"/>
    <w:rsid w:val="00F8293B"/>
    <w:rsid w:val="00F829BE"/>
    <w:rsid w:val="00F829C5"/>
    <w:rsid w:val="00F82A6A"/>
    <w:rsid w:val="00F82A79"/>
    <w:rsid w:val="00F82B6C"/>
    <w:rsid w:val="00F82C00"/>
    <w:rsid w:val="00F82CC1"/>
    <w:rsid w:val="00F82F02"/>
    <w:rsid w:val="00F82FBA"/>
    <w:rsid w:val="00F82FCA"/>
    <w:rsid w:val="00F8306F"/>
    <w:rsid w:val="00F83182"/>
    <w:rsid w:val="00F833B5"/>
    <w:rsid w:val="00F834B4"/>
    <w:rsid w:val="00F83554"/>
    <w:rsid w:val="00F83561"/>
    <w:rsid w:val="00F8367D"/>
    <w:rsid w:val="00F83907"/>
    <w:rsid w:val="00F83936"/>
    <w:rsid w:val="00F83947"/>
    <w:rsid w:val="00F839B5"/>
    <w:rsid w:val="00F83B03"/>
    <w:rsid w:val="00F83D8C"/>
    <w:rsid w:val="00F84112"/>
    <w:rsid w:val="00F84176"/>
    <w:rsid w:val="00F842BB"/>
    <w:rsid w:val="00F842BC"/>
    <w:rsid w:val="00F84319"/>
    <w:rsid w:val="00F84384"/>
    <w:rsid w:val="00F84480"/>
    <w:rsid w:val="00F84529"/>
    <w:rsid w:val="00F845F0"/>
    <w:rsid w:val="00F84878"/>
    <w:rsid w:val="00F84907"/>
    <w:rsid w:val="00F8491E"/>
    <w:rsid w:val="00F8492C"/>
    <w:rsid w:val="00F8497A"/>
    <w:rsid w:val="00F84A87"/>
    <w:rsid w:val="00F84A9A"/>
    <w:rsid w:val="00F84BE9"/>
    <w:rsid w:val="00F84D84"/>
    <w:rsid w:val="00F84DD7"/>
    <w:rsid w:val="00F84F04"/>
    <w:rsid w:val="00F84FAD"/>
    <w:rsid w:val="00F85002"/>
    <w:rsid w:val="00F8504D"/>
    <w:rsid w:val="00F85244"/>
    <w:rsid w:val="00F852D5"/>
    <w:rsid w:val="00F852EE"/>
    <w:rsid w:val="00F85364"/>
    <w:rsid w:val="00F8536B"/>
    <w:rsid w:val="00F853CE"/>
    <w:rsid w:val="00F8542E"/>
    <w:rsid w:val="00F85629"/>
    <w:rsid w:val="00F85673"/>
    <w:rsid w:val="00F85782"/>
    <w:rsid w:val="00F85806"/>
    <w:rsid w:val="00F85AE4"/>
    <w:rsid w:val="00F85B4D"/>
    <w:rsid w:val="00F85BB4"/>
    <w:rsid w:val="00F85C23"/>
    <w:rsid w:val="00F85CD0"/>
    <w:rsid w:val="00F85E41"/>
    <w:rsid w:val="00F85F9D"/>
    <w:rsid w:val="00F85FB8"/>
    <w:rsid w:val="00F861D1"/>
    <w:rsid w:val="00F8633B"/>
    <w:rsid w:val="00F864F7"/>
    <w:rsid w:val="00F865E6"/>
    <w:rsid w:val="00F866E3"/>
    <w:rsid w:val="00F868EC"/>
    <w:rsid w:val="00F86976"/>
    <w:rsid w:val="00F8698C"/>
    <w:rsid w:val="00F869CC"/>
    <w:rsid w:val="00F86AD2"/>
    <w:rsid w:val="00F86CB6"/>
    <w:rsid w:val="00F86D31"/>
    <w:rsid w:val="00F86EC2"/>
    <w:rsid w:val="00F86F07"/>
    <w:rsid w:val="00F8715E"/>
    <w:rsid w:val="00F8739C"/>
    <w:rsid w:val="00F873E7"/>
    <w:rsid w:val="00F875EF"/>
    <w:rsid w:val="00F875F9"/>
    <w:rsid w:val="00F87774"/>
    <w:rsid w:val="00F87789"/>
    <w:rsid w:val="00F8796D"/>
    <w:rsid w:val="00F87A94"/>
    <w:rsid w:val="00F87AB3"/>
    <w:rsid w:val="00F87CD6"/>
    <w:rsid w:val="00F87E90"/>
    <w:rsid w:val="00F87F3F"/>
    <w:rsid w:val="00F9002D"/>
    <w:rsid w:val="00F9003B"/>
    <w:rsid w:val="00F9007F"/>
    <w:rsid w:val="00F90559"/>
    <w:rsid w:val="00F9075F"/>
    <w:rsid w:val="00F9077A"/>
    <w:rsid w:val="00F907C8"/>
    <w:rsid w:val="00F907D3"/>
    <w:rsid w:val="00F907EF"/>
    <w:rsid w:val="00F90814"/>
    <w:rsid w:val="00F9084F"/>
    <w:rsid w:val="00F90C2D"/>
    <w:rsid w:val="00F90C52"/>
    <w:rsid w:val="00F90FF6"/>
    <w:rsid w:val="00F910F6"/>
    <w:rsid w:val="00F9116B"/>
    <w:rsid w:val="00F915D3"/>
    <w:rsid w:val="00F91664"/>
    <w:rsid w:val="00F917B8"/>
    <w:rsid w:val="00F91867"/>
    <w:rsid w:val="00F919A1"/>
    <w:rsid w:val="00F91A68"/>
    <w:rsid w:val="00F91B77"/>
    <w:rsid w:val="00F91DC4"/>
    <w:rsid w:val="00F91EA0"/>
    <w:rsid w:val="00F91FD4"/>
    <w:rsid w:val="00F9201D"/>
    <w:rsid w:val="00F920B1"/>
    <w:rsid w:val="00F920E1"/>
    <w:rsid w:val="00F920FD"/>
    <w:rsid w:val="00F92165"/>
    <w:rsid w:val="00F921B4"/>
    <w:rsid w:val="00F921BC"/>
    <w:rsid w:val="00F9237D"/>
    <w:rsid w:val="00F92419"/>
    <w:rsid w:val="00F925B7"/>
    <w:rsid w:val="00F925BC"/>
    <w:rsid w:val="00F925C0"/>
    <w:rsid w:val="00F9261C"/>
    <w:rsid w:val="00F92881"/>
    <w:rsid w:val="00F92945"/>
    <w:rsid w:val="00F929E8"/>
    <w:rsid w:val="00F92ABE"/>
    <w:rsid w:val="00F92AC4"/>
    <w:rsid w:val="00F92AC6"/>
    <w:rsid w:val="00F92C20"/>
    <w:rsid w:val="00F92C63"/>
    <w:rsid w:val="00F92E50"/>
    <w:rsid w:val="00F92F26"/>
    <w:rsid w:val="00F930C5"/>
    <w:rsid w:val="00F9311A"/>
    <w:rsid w:val="00F931F4"/>
    <w:rsid w:val="00F93288"/>
    <w:rsid w:val="00F934DA"/>
    <w:rsid w:val="00F93552"/>
    <w:rsid w:val="00F93571"/>
    <w:rsid w:val="00F93576"/>
    <w:rsid w:val="00F936D4"/>
    <w:rsid w:val="00F93AD7"/>
    <w:rsid w:val="00F93AE2"/>
    <w:rsid w:val="00F93C06"/>
    <w:rsid w:val="00F93C17"/>
    <w:rsid w:val="00F93C38"/>
    <w:rsid w:val="00F93F13"/>
    <w:rsid w:val="00F93F54"/>
    <w:rsid w:val="00F93FEA"/>
    <w:rsid w:val="00F94348"/>
    <w:rsid w:val="00F94573"/>
    <w:rsid w:val="00F94633"/>
    <w:rsid w:val="00F946E8"/>
    <w:rsid w:val="00F94743"/>
    <w:rsid w:val="00F94831"/>
    <w:rsid w:val="00F948D6"/>
    <w:rsid w:val="00F948F4"/>
    <w:rsid w:val="00F948FF"/>
    <w:rsid w:val="00F94AB8"/>
    <w:rsid w:val="00F94C3C"/>
    <w:rsid w:val="00F94C52"/>
    <w:rsid w:val="00F94C8E"/>
    <w:rsid w:val="00F94D2B"/>
    <w:rsid w:val="00F94D98"/>
    <w:rsid w:val="00F94E3A"/>
    <w:rsid w:val="00F94EB4"/>
    <w:rsid w:val="00F94F75"/>
    <w:rsid w:val="00F94FE2"/>
    <w:rsid w:val="00F95171"/>
    <w:rsid w:val="00F952CD"/>
    <w:rsid w:val="00F954B5"/>
    <w:rsid w:val="00F954BE"/>
    <w:rsid w:val="00F9577A"/>
    <w:rsid w:val="00F957A2"/>
    <w:rsid w:val="00F957E9"/>
    <w:rsid w:val="00F959C4"/>
    <w:rsid w:val="00F95AE9"/>
    <w:rsid w:val="00F95B34"/>
    <w:rsid w:val="00F95B6A"/>
    <w:rsid w:val="00F95D45"/>
    <w:rsid w:val="00F95D50"/>
    <w:rsid w:val="00F95D57"/>
    <w:rsid w:val="00F961D1"/>
    <w:rsid w:val="00F96399"/>
    <w:rsid w:val="00F9644B"/>
    <w:rsid w:val="00F965EF"/>
    <w:rsid w:val="00F965FE"/>
    <w:rsid w:val="00F96646"/>
    <w:rsid w:val="00F96713"/>
    <w:rsid w:val="00F96723"/>
    <w:rsid w:val="00F967D3"/>
    <w:rsid w:val="00F96A28"/>
    <w:rsid w:val="00F96B63"/>
    <w:rsid w:val="00F96C7D"/>
    <w:rsid w:val="00F96D12"/>
    <w:rsid w:val="00F96E76"/>
    <w:rsid w:val="00F96EF0"/>
    <w:rsid w:val="00F96F27"/>
    <w:rsid w:val="00F96FD5"/>
    <w:rsid w:val="00F97387"/>
    <w:rsid w:val="00F97523"/>
    <w:rsid w:val="00F977A0"/>
    <w:rsid w:val="00F97802"/>
    <w:rsid w:val="00F9787E"/>
    <w:rsid w:val="00F97889"/>
    <w:rsid w:val="00F97B7F"/>
    <w:rsid w:val="00F97BA8"/>
    <w:rsid w:val="00F97BB7"/>
    <w:rsid w:val="00F97C04"/>
    <w:rsid w:val="00F97C29"/>
    <w:rsid w:val="00F97C67"/>
    <w:rsid w:val="00F97E36"/>
    <w:rsid w:val="00F97FC9"/>
    <w:rsid w:val="00FA00F6"/>
    <w:rsid w:val="00FA0205"/>
    <w:rsid w:val="00FA02D7"/>
    <w:rsid w:val="00FA03F5"/>
    <w:rsid w:val="00FA06B2"/>
    <w:rsid w:val="00FA0907"/>
    <w:rsid w:val="00FA0925"/>
    <w:rsid w:val="00FA0B7A"/>
    <w:rsid w:val="00FA0BC8"/>
    <w:rsid w:val="00FA0D7B"/>
    <w:rsid w:val="00FA0E71"/>
    <w:rsid w:val="00FA0E7C"/>
    <w:rsid w:val="00FA1028"/>
    <w:rsid w:val="00FA1087"/>
    <w:rsid w:val="00FA1123"/>
    <w:rsid w:val="00FA1245"/>
    <w:rsid w:val="00FA1312"/>
    <w:rsid w:val="00FA1431"/>
    <w:rsid w:val="00FA1638"/>
    <w:rsid w:val="00FA1773"/>
    <w:rsid w:val="00FA183B"/>
    <w:rsid w:val="00FA184A"/>
    <w:rsid w:val="00FA1A67"/>
    <w:rsid w:val="00FA1B80"/>
    <w:rsid w:val="00FA1D26"/>
    <w:rsid w:val="00FA1D90"/>
    <w:rsid w:val="00FA1F4D"/>
    <w:rsid w:val="00FA208C"/>
    <w:rsid w:val="00FA221A"/>
    <w:rsid w:val="00FA22B8"/>
    <w:rsid w:val="00FA239A"/>
    <w:rsid w:val="00FA23AD"/>
    <w:rsid w:val="00FA23F7"/>
    <w:rsid w:val="00FA258B"/>
    <w:rsid w:val="00FA2592"/>
    <w:rsid w:val="00FA27CD"/>
    <w:rsid w:val="00FA27D9"/>
    <w:rsid w:val="00FA297E"/>
    <w:rsid w:val="00FA2E84"/>
    <w:rsid w:val="00FA3063"/>
    <w:rsid w:val="00FA3267"/>
    <w:rsid w:val="00FA3389"/>
    <w:rsid w:val="00FA36AC"/>
    <w:rsid w:val="00FA3701"/>
    <w:rsid w:val="00FA376F"/>
    <w:rsid w:val="00FA37F5"/>
    <w:rsid w:val="00FA3984"/>
    <w:rsid w:val="00FA39DE"/>
    <w:rsid w:val="00FA3A5B"/>
    <w:rsid w:val="00FA3B3A"/>
    <w:rsid w:val="00FA3B49"/>
    <w:rsid w:val="00FA3CA3"/>
    <w:rsid w:val="00FA3D1A"/>
    <w:rsid w:val="00FA3DF7"/>
    <w:rsid w:val="00FA3E66"/>
    <w:rsid w:val="00FA3E98"/>
    <w:rsid w:val="00FA4117"/>
    <w:rsid w:val="00FA4199"/>
    <w:rsid w:val="00FA41B8"/>
    <w:rsid w:val="00FA41CB"/>
    <w:rsid w:val="00FA41E8"/>
    <w:rsid w:val="00FA4238"/>
    <w:rsid w:val="00FA423A"/>
    <w:rsid w:val="00FA4266"/>
    <w:rsid w:val="00FA438A"/>
    <w:rsid w:val="00FA45CB"/>
    <w:rsid w:val="00FA45EA"/>
    <w:rsid w:val="00FA468A"/>
    <w:rsid w:val="00FA47BF"/>
    <w:rsid w:val="00FA47FF"/>
    <w:rsid w:val="00FA4967"/>
    <w:rsid w:val="00FA4C1D"/>
    <w:rsid w:val="00FA4CD4"/>
    <w:rsid w:val="00FA4DCD"/>
    <w:rsid w:val="00FA5125"/>
    <w:rsid w:val="00FA5189"/>
    <w:rsid w:val="00FA54B7"/>
    <w:rsid w:val="00FA551C"/>
    <w:rsid w:val="00FA5631"/>
    <w:rsid w:val="00FA58C3"/>
    <w:rsid w:val="00FA5A89"/>
    <w:rsid w:val="00FA5BD0"/>
    <w:rsid w:val="00FA5C67"/>
    <w:rsid w:val="00FA5C76"/>
    <w:rsid w:val="00FA5CC6"/>
    <w:rsid w:val="00FA5D30"/>
    <w:rsid w:val="00FA5DD6"/>
    <w:rsid w:val="00FA5EE9"/>
    <w:rsid w:val="00FA6353"/>
    <w:rsid w:val="00FA644F"/>
    <w:rsid w:val="00FA6476"/>
    <w:rsid w:val="00FA6669"/>
    <w:rsid w:val="00FA6714"/>
    <w:rsid w:val="00FA673E"/>
    <w:rsid w:val="00FA69AB"/>
    <w:rsid w:val="00FA6A00"/>
    <w:rsid w:val="00FA6B99"/>
    <w:rsid w:val="00FA6C5C"/>
    <w:rsid w:val="00FA6D16"/>
    <w:rsid w:val="00FA6E38"/>
    <w:rsid w:val="00FA6EC0"/>
    <w:rsid w:val="00FA6F72"/>
    <w:rsid w:val="00FA6F7A"/>
    <w:rsid w:val="00FA714F"/>
    <w:rsid w:val="00FA7269"/>
    <w:rsid w:val="00FA7315"/>
    <w:rsid w:val="00FA739A"/>
    <w:rsid w:val="00FA744E"/>
    <w:rsid w:val="00FA7767"/>
    <w:rsid w:val="00FA79FA"/>
    <w:rsid w:val="00FA7A30"/>
    <w:rsid w:val="00FA7B0C"/>
    <w:rsid w:val="00FA7B41"/>
    <w:rsid w:val="00FA7B8E"/>
    <w:rsid w:val="00FA7BC5"/>
    <w:rsid w:val="00FA7CDB"/>
    <w:rsid w:val="00FA7E4E"/>
    <w:rsid w:val="00FA7F6F"/>
    <w:rsid w:val="00FB0007"/>
    <w:rsid w:val="00FB0098"/>
    <w:rsid w:val="00FB026D"/>
    <w:rsid w:val="00FB02AF"/>
    <w:rsid w:val="00FB0535"/>
    <w:rsid w:val="00FB05CF"/>
    <w:rsid w:val="00FB0614"/>
    <w:rsid w:val="00FB0757"/>
    <w:rsid w:val="00FB07A7"/>
    <w:rsid w:val="00FB088F"/>
    <w:rsid w:val="00FB08E1"/>
    <w:rsid w:val="00FB09DB"/>
    <w:rsid w:val="00FB09E7"/>
    <w:rsid w:val="00FB0AA3"/>
    <w:rsid w:val="00FB0B07"/>
    <w:rsid w:val="00FB0CE8"/>
    <w:rsid w:val="00FB0ED2"/>
    <w:rsid w:val="00FB0EFB"/>
    <w:rsid w:val="00FB1138"/>
    <w:rsid w:val="00FB11C0"/>
    <w:rsid w:val="00FB1310"/>
    <w:rsid w:val="00FB1618"/>
    <w:rsid w:val="00FB1660"/>
    <w:rsid w:val="00FB177E"/>
    <w:rsid w:val="00FB188D"/>
    <w:rsid w:val="00FB18B3"/>
    <w:rsid w:val="00FB1964"/>
    <w:rsid w:val="00FB19B7"/>
    <w:rsid w:val="00FB1A81"/>
    <w:rsid w:val="00FB1C19"/>
    <w:rsid w:val="00FB1C71"/>
    <w:rsid w:val="00FB1D5B"/>
    <w:rsid w:val="00FB1D8D"/>
    <w:rsid w:val="00FB1F38"/>
    <w:rsid w:val="00FB208B"/>
    <w:rsid w:val="00FB20D9"/>
    <w:rsid w:val="00FB220E"/>
    <w:rsid w:val="00FB22D0"/>
    <w:rsid w:val="00FB240A"/>
    <w:rsid w:val="00FB2432"/>
    <w:rsid w:val="00FB248B"/>
    <w:rsid w:val="00FB253E"/>
    <w:rsid w:val="00FB256B"/>
    <w:rsid w:val="00FB25B3"/>
    <w:rsid w:val="00FB27ED"/>
    <w:rsid w:val="00FB2974"/>
    <w:rsid w:val="00FB2A60"/>
    <w:rsid w:val="00FB2A85"/>
    <w:rsid w:val="00FB2B5C"/>
    <w:rsid w:val="00FB2B81"/>
    <w:rsid w:val="00FB2C8D"/>
    <w:rsid w:val="00FB2D37"/>
    <w:rsid w:val="00FB2DDB"/>
    <w:rsid w:val="00FB2E13"/>
    <w:rsid w:val="00FB333D"/>
    <w:rsid w:val="00FB33C0"/>
    <w:rsid w:val="00FB33D9"/>
    <w:rsid w:val="00FB36A0"/>
    <w:rsid w:val="00FB3751"/>
    <w:rsid w:val="00FB399A"/>
    <w:rsid w:val="00FB39EF"/>
    <w:rsid w:val="00FB3A5E"/>
    <w:rsid w:val="00FB3B2C"/>
    <w:rsid w:val="00FB3C52"/>
    <w:rsid w:val="00FB3CE5"/>
    <w:rsid w:val="00FB3F58"/>
    <w:rsid w:val="00FB406E"/>
    <w:rsid w:val="00FB41B0"/>
    <w:rsid w:val="00FB42AA"/>
    <w:rsid w:val="00FB42B2"/>
    <w:rsid w:val="00FB4343"/>
    <w:rsid w:val="00FB4385"/>
    <w:rsid w:val="00FB43E6"/>
    <w:rsid w:val="00FB43F7"/>
    <w:rsid w:val="00FB4406"/>
    <w:rsid w:val="00FB4526"/>
    <w:rsid w:val="00FB4559"/>
    <w:rsid w:val="00FB45A6"/>
    <w:rsid w:val="00FB4662"/>
    <w:rsid w:val="00FB477D"/>
    <w:rsid w:val="00FB480C"/>
    <w:rsid w:val="00FB4881"/>
    <w:rsid w:val="00FB48BD"/>
    <w:rsid w:val="00FB48C7"/>
    <w:rsid w:val="00FB49AE"/>
    <w:rsid w:val="00FB49F1"/>
    <w:rsid w:val="00FB4B6D"/>
    <w:rsid w:val="00FB4E20"/>
    <w:rsid w:val="00FB4E35"/>
    <w:rsid w:val="00FB4E97"/>
    <w:rsid w:val="00FB5242"/>
    <w:rsid w:val="00FB5295"/>
    <w:rsid w:val="00FB53BB"/>
    <w:rsid w:val="00FB53EE"/>
    <w:rsid w:val="00FB59E6"/>
    <w:rsid w:val="00FB5A0F"/>
    <w:rsid w:val="00FB5A84"/>
    <w:rsid w:val="00FB5BD5"/>
    <w:rsid w:val="00FB5D55"/>
    <w:rsid w:val="00FB5D92"/>
    <w:rsid w:val="00FB5EBE"/>
    <w:rsid w:val="00FB607B"/>
    <w:rsid w:val="00FB60B9"/>
    <w:rsid w:val="00FB616A"/>
    <w:rsid w:val="00FB61B2"/>
    <w:rsid w:val="00FB635C"/>
    <w:rsid w:val="00FB661F"/>
    <w:rsid w:val="00FB667E"/>
    <w:rsid w:val="00FB67C7"/>
    <w:rsid w:val="00FB681A"/>
    <w:rsid w:val="00FB6894"/>
    <w:rsid w:val="00FB68F2"/>
    <w:rsid w:val="00FB6918"/>
    <w:rsid w:val="00FB69C3"/>
    <w:rsid w:val="00FB6AA9"/>
    <w:rsid w:val="00FB6B07"/>
    <w:rsid w:val="00FB6B84"/>
    <w:rsid w:val="00FB6C9B"/>
    <w:rsid w:val="00FB6CB2"/>
    <w:rsid w:val="00FB6D13"/>
    <w:rsid w:val="00FB6D37"/>
    <w:rsid w:val="00FB6D60"/>
    <w:rsid w:val="00FB6DCC"/>
    <w:rsid w:val="00FB6ED0"/>
    <w:rsid w:val="00FB6F1B"/>
    <w:rsid w:val="00FB6FEA"/>
    <w:rsid w:val="00FB7125"/>
    <w:rsid w:val="00FB7145"/>
    <w:rsid w:val="00FB715F"/>
    <w:rsid w:val="00FB7224"/>
    <w:rsid w:val="00FB72BA"/>
    <w:rsid w:val="00FB7383"/>
    <w:rsid w:val="00FB760E"/>
    <w:rsid w:val="00FB78CA"/>
    <w:rsid w:val="00FB7999"/>
    <w:rsid w:val="00FB7B4A"/>
    <w:rsid w:val="00FC00B5"/>
    <w:rsid w:val="00FC00FB"/>
    <w:rsid w:val="00FC010D"/>
    <w:rsid w:val="00FC0140"/>
    <w:rsid w:val="00FC0494"/>
    <w:rsid w:val="00FC04AA"/>
    <w:rsid w:val="00FC05C2"/>
    <w:rsid w:val="00FC07CC"/>
    <w:rsid w:val="00FC08C7"/>
    <w:rsid w:val="00FC08FD"/>
    <w:rsid w:val="00FC092B"/>
    <w:rsid w:val="00FC0C15"/>
    <w:rsid w:val="00FC0D8D"/>
    <w:rsid w:val="00FC0DC1"/>
    <w:rsid w:val="00FC0F3A"/>
    <w:rsid w:val="00FC10FC"/>
    <w:rsid w:val="00FC11E8"/>
    <w:rsid w:val="00FC1219"/>
    <w:rsid w:val="00FC1302"/>
    <w:rsid w:val="00FC13BA"/>
    <w:rsid w:val="00FC17B2"/>
    <w:rsid w:val="00FC1815"/>
    <w:rsid w:val="00FC1974"/>
    <w:rsid w:val="00FC19AA"/>
    <w:rsid w:val="00FC1B2E"/>
    <w:rsid w:val="00FC1BBC"/>
    <w:rsid w:val="00FC1C72"/>
    <w:rsid w:val="00FC1E21"/>
    <w:rsid w:val="00FC20B1"/>
    <w:rsid w:val="00FC21CF"/>
    <w:rsid w:val="00FC23DA"/>
    <w:rsid w:val="00FC23E4"/>
    <w:rsid w:val="00FC24A0"/>
    <w:rsid w:val="00FC24FB"/>
    <w:rsid w:val="00FC25F4"/>
    <w:rsid w:val="00FC269E"/>
    <w:rsid w:val="00FC2811"/>
    <w:rsid w:val="00FC2A6C"/>
    <w:rsid w:val="00FC2BA1"/>
    <w:rsid w:val="00FC2C0F"/>
    <w:rsid w:val="00FC2CE0"/>
    <w:rsid w:val="00FC315D"/>
    <w:rsid w:val="00FC31CC"/>
    <w:rsid w:val="00FC33B9"/>
    <w:rsid w:val="00FC34EE"/>
    <w:rsid w:val="00FC36FD"/>
    <w:rsid w:val="00FC39A8"/>
    <w:rsid w:val="00FC39B7"/>
    <w:rsid w:val="00FC3A5C"/>
    <w:rsid w:val="00FC3CAB"/>
    <w:rsid w:val="00FC3D02"/>
    <w:rsid w:val="00FC3D9F"/>
    <w:rsid w:val="00FC3DFE"/>
    <w:rsid w:val="00FC3E12"/>
    <w:rsid w:val="00FC4043"/>
    <w:rsid w:val="00FC41DC"/>
    <w:rsid w:val="00FC41EE"/>
    <w:rsid w:val="00FC45BA"/>
    <w:rsid w:val="00FC47A3"/>
    <w:rsid w:val="00FC499D"/>
    <w:rsid w:val="00FC49A0"/>
    <w:rsid w:val="00FC4C9F"/>
    <w:rsid w:val="00FC4CE6"/>
    <w:rsid w:val="00FC50C1"/>
    <w:rsid w:val="00FC514C"/>
    <w:rsid w:val="00FC52BC"/>
    <w:rsid w:val="00FC541B"/>
    <w:rsid w:val="00FC54AF"/>
    <w:rsid w:val="00FC5516"/>
    <w:rsid w:val="00FC557A"/>
    <w:rsid w:val="00FC55E0"/>
    <w:rsid w:val="00FC56AD"/>
    <w:rsid w:val="00FC58F5"/>
    <w:rsid w:val="00FC5916"/>
    <w:rsid w:val="00FC5927"/>
    <w:rsid w:val="00FC5994"/>
    <w:rsid w:val="00FC5A1E"/>
    <w:rsid w:val="00FC5B0F"/>
    <w:rsid w:val="00FC5BDE"/>
    <w:rsid w:val="00FC5E00"/>
    <w:rsid w:val="00FC5E1D"/>
    <w:rsid w:val="00FC5E44"/>
    <w:rsid w:val="00FC5E59"/>
    <w:rsid w:val="00FC5EAB"/>
    <w:rsid w:val="00FC6016"/>
    <w:rsid w:val="00FC605A"/>
    <w:rsid w:val="00FC608C"/>
    <w:rsid w:val="00FC60BC"/>
    <w:rsid w:val="00FC6125"/>
    <w:rsid w:val="00FC6161"/>
    <w:rsid w:val="00FC620A"/>
    <w:rsid w:val="00FC629C"/>
    <w:rsid w:val="00FC63CF"/>
    <w:rsid w:val="00FC6495"/>
    <w:rsid w:val="00FC6601"/>
    <w:rsid w:val="00FC665A"/>
    <w:rsid w:val="00FC6789"/>
    <w:rsid w:val="00FC67AF"/>
    <w:rsid w:val="00FC68D7"/>
    <w:rsid w:val="00FC6A4F"/>
    <w:rsid w:val="00FC6B62"/>
    <w:rsid w:val="00FC6C67"/>
    <w:rsid w:val="00FC6DFB"/>
    <w:rsid w:val="00FC6E1C"/>
    <w:rsid w:val="00FC6E54"/>
    <w:rsid w:val="00FC71CB"/>
    <w:rsid w:val="00FC7427"/>
    <w:rsid w:val="00FC743E"/>
    <w:rsid w:val="00FC74D3"/>
    <w:rsid w:val="00FC763B"/>
    <w:rsid w:val="00FC7674"/>
    <w:rsid w:val="00FC7A9B"/>
    <w:rsid w:val="00FC7AAD"/>
    <w:rsid w:val="00FC7AF9"/>
    <w:rsid w:val="00FC7C23"/>
    <w:rsid w:val="00FC7D13"/>
    <w:rsid w:val="00FC7D1B"/>
    <w:rsid w:val="00FD01A6"/>
    <w:rsid w:val="00FD050E"/>
    <w:rsid w:val="00FD06C3"/>
    <w:rsid w:val="00FD07CC"/>
    <w:rsid w:val="00FD0841"/>
    <w:rsid w:val="00FD08EC"/>
    <w:rsid w:val="00FD0A22"/>
    <w:rsid w:val="00FD0C6C"/>
    <w:rsid w:val="00FD0E20"/>
    <w:rsid w:val="00FD0E70"/>
    <w:rsid w:val="00FD0F73"/>
    <w:rsid w:val="00FD159E"/>
    <w:rsid w:val="00FD15CD"/>
    <w:rsid w:val="00FD187F"/>
    <w:rsid w:val="00FD1AC5"/>
    <w:rsid w:val="00FD1AEF"/>
    <w:rsid w:val="00FD1B93"/>
    <w:rsid w:val="00FD1C38"/>
    <w:rsid w:val="00FD1C96"/>
    <w:rsid w:val="00FD1E31"/>
    <w:rsid w:val="00FD1EC0"/>
    <w:rsid w:val="00FD1EF1"/>
    <w:rsid w:val="00FD1FAE"/>
    <w:rsid w:val="00FD21F3"/>
    <w:rsid w:val="00FD225B"/>
    <w:rsid w:val="00FD23C7"/>
    <w:rsid w:val="00FD23E4"/>
    <w:rsid w:val="00FD2409"/>
    <w:rsid w:val="00FD2463"/>
    <w:rsid w:val="00FD257D"/>
    <w:rsid w:val="00FD2629"/>
    <w:rsid w:val="00FD264F"/>
    <w:rsid w:val="00FD2808"/>
    <w:rsid w:val="00FD298E"/>
    <w:rsid w:val="00FD2AB1"/>
    <w:rsid w:val="00FD2BED"/>
    <w:rsid w:val="00FD2C12"/>
    <w:rsid w:val="00FD2D1E"/>
    <w:rsid w:val="00FD2D3E"/>
    <w:rsid w:val="00FD2E58"/>
    <w:rsid w:val="00FD2EA2"/>
    <w:rsid w:val="00FD3186"/>
    <w:rsid w:val="00FD318F"/>
    <w:rsid w:val="00FD32DE"/>
    <w:rsid w:val="00FD32F9"/>
    <w:rsid w:val="00FD3328"/>
    <w:rsid w:val="00FD332C"/>
    <w:rsid w:val="00FD3394"/>
    <w:rsid w:val="00FD3434"/>
    <w:rsid w:val="00FD34F7"/>
    <w:rsid w:val="00FD36EC"/>
    <w:rsid w:val="00FD3863"/>
    <w:rsid w:val="00FD3A5A"/>
    <w:rsid w:val="00FD3B41"/>
    <w:rsid w:val="00FD3BB3"/>
    <w:rsid w:val="00FD3CE9"/>
    <w:rsid w:val="00FD3DC8"/>
    <w:rsid w:val="00FD40C4"/>
    <w:rsid w:val="00FD422C"/>
    <w:rsid w:val="00FD4257"/>
    <w:rsid w:val="00FD4351"/>
    <w:rsid w:val="00FD4378"/>
    <w:rsid w:val="00FD44BD"/>
    <w:rsid w:val="00FD458F"/>
    <w:rsid w:val="00FD45ED"/>
    <w:rsid w:val="00FD4984"/>
    <w:rsid w:val="00FD49D6"/>
    <w:rsid w:val="00FD4B13"/>
    <w:rsid w:val="00FD4C0B"/>
    <w:rsid w:val="00FD4C7F"/>
    <w:rsid w:val="00FD5149"/>
    <w:rsid w:val="00FD51D3"/>
    <w:rsid w:val="00FD5260"/>
    <w:rsid w:val="00FD543D"/>
    <w:rsid w:val="00FD554C"/>
    <w:rsid w:val="00FD5582"/>
    <w:rsid w:val="00FD5597"/>
    <w:rsid w:val="00FD569E"/>
    <w:rsid w:val="00FD5706"/>
    <w:rsid w:val="00FD57E9"/>
    <w:rsid w:val="00FD584A"/>
    <w:rsid w:val="00FD5A06"/>
    <w:rsid w:val="00FD5AD5"/>
    <w:rsid w:val="00FD5C88"/>
    <w:rsid w:val="00FD5CCD"/>
    <w:rsid w:val="00FD5CD1"/>
    <w:rsid w:val="00FD5E61"/>
    <w:rsid w:val="00FD5F2F"/>
    <w:rsid w:val="00FD604D"/>
    <w:rsid w:val="00FD6077"/>
    <w:rsid w:val="00FD611C"/>
    <w:rsid w:val="00FD63DA"/>
    <w:rsid w:val="00FD644F"/>
    <w:rsid w:val="00FD68BA"/>
    <w:rsid w:val="00FD6A3E"/>
    <w:rsid w:val="00FD6AD7"/>
    <w:rsid w:val="00FD6B6E"/>
    <w:rsid w:val="00FD6CC4"/>
    <w:rsid w:val="00FD724B"/>
    <w:rsid w:val="00FD72A8"/>
    <w:rsid w:val="00FD72ED"/>
    <w:rsid w:val="00FD775C"/>
    <w:rsid w:val="00FD7828"/>
    <w:rsid w:val="00FD783F"/>
    <w:rsid w:val="00FD78E3"/>
    <w:rsid w:val="00FD794D"/>
    <w:rsid w:val="00FD7ACC"/>
    <w:rsid w:val="00FD7B9C"/>
    <w:rsid w:val="00FD7CB7"/>
    <w:rsid w:val="00FD7CD0"/>
    <w:rsid w:val="00FD7D44"/>
    <w:rsid w:val="00FD7D76"/>
    <w:rsid w:val="00FD7DEE"/>
    <w:rsid w:val="00FD7E70"/>
    <w:rsid w:val="00FD7EB8"/>
    <w:rsid w:val="00FD7F00"/>
    <w:rsid w:val="00FD7F1E"/>
    <w:rsid w:val="00FE00F9"/>
    <w:rsid w:val="00FE03ED"/>
    <w:rsid w:val="00FE0A7F"/>
    <w:rsid w:val="00FE0ACC"/>
    <w:rsid w:val="00FE0B44"/>
    <w:rsid w:val="00FE0CC3"/>
    <w:rsid w:val="00FE0DF7"/>
    <w:rsid w:val="00FE0DFD"/>
    <w:rsid w:val="00FE0FAE"/>
    <w:rsid w:val="00FE107F"/>
    <w:rsid w:val="00FE109F"/>
    <w:rsid w:val="00FE1224"/>
    <w:rsid w:val="00FE127C"/>
    <w:rsid w:val="00FE150E"/>
    <w:rsid w:val="00FE174C"/>
    <w:rsid w:val="00FE17E7"/>
    <w:rsid w:val="00FE1935"/>
    <w:rsid w:val="00FE1C32"/>
    <w:rsid w:val="00FE1D9D"/>
    <w:rsid w:val="00FE1F07"/>
    <w:rsid w:val="00FE1F4F"/>
    <w:rsid w:val="00FE1F73"/>
    <w:rsid w:val="00FE2065"/>
    <w:rsid w:val="00FE2176"/>
    <w:rsid w:val="00FE2179"/>
    <w:rsid w:val="00FE21F7"/>
    <w:rsid w:val="00FE235E"/>
    <w:rsid w:val="00FE238D"/>
    <w:rsid w:val="00FE248F"/>
    <w:rsid w:val="00FE269E"/>
    <w:rsid w:val="00FE27CE"/>
    <w:rsid w:val="00FE2808"/>
    <w:rsid w:val="00FE2813"/>
    <w:rsid w:val="00FE28D9"/>
    <w:rsid w:val="00FE2B3A"/>
    <w:rsid w:val="00FE2C3F"/>
    <w:rsid w:val="00FE2DDA"/>
    <w:rsid w:val="00FE2E0F"/>
    <w:rsid w:val="00FE2E96"/>
    <w:rsid w:val="00FE2EA3"/>
    <w:rsid w:val="00FE2F26"/>
    <w:rsid w:val="00FE2F87"/>
    <w:rsid w:val="00FE2FFD"/>
    <w:rsid w:val="00FE318F"/>
    <w:rsid w:val="00FE3327"/>
    <w:rsid w:val="00FE348D"/>
    <w:rsid w:val="00FE34E9"/>
    <w:rsid w:val="00FE3514"/>
    <w:rsid w:val="00FE3540"/>
    <w:rsid w:val="00FE3633"/>
    <w:rsid w:val="00FE36AE"/>
    <w:rsid w:val="00FE372A"/>
    <w:rsid w:val="00FE381F"/>
    <w:rsid w:val="00FE3844"/>
    <w:rsid w:val="00FE39B8"/>
    <w:rsid w:val="00FE3B56"/>
    <w:rsid w:val="00FE3C12"/>
    <w:rsid w:val="00FE3D11"/>
    <w:rsid w:val="00FE3E2C"/>
    <w:rsid w:val="00FE3F65"/>
    <w:rsid w:val="00FE3F7A"/>
    <w:rsid w:val="00FE4116"/>
    <w:rsid w:val="00FE4137"/>
    <w:rsid w:val="00FE4171"/>
    <w:rsid w:val="00FE4271"/>
    <w:rsid w:val="00FE42DA"/>
    <w:rsid w:val="00FE437B"/>
    <w:rsid w:val="00FE43C4"/>
    <w:rsid w:val="00FE4578"/>
    <w:rsid w:val="00FE4605"/>
    <w:rsid w:val="00FE4675"/>
    <w:rsid w:val="00FE4A64"/>
    <w:rsid w:val="00FE4A76"/>
    <w:rsid w:val="00FE4AD8"/>
    <w:rsid w:val="00FE4B31"/>
    <w:rsid w:val="00FE4D0E"/>
    <w:rsid w:val="00FE4D6D"/>
    <w:rsid w:val="00FE4E51"/>
    <w:rsid w:val="00FE5001"/>
    <w:rsid w:val="00FE5147"/>
    <w:rsid w:val="00FE519B"/>
    <w:rsid w:val="00FE51A6"/>
    <w:rsid w:val="00FE5226"/>
    <w:rsid w:val="00FE5239"/>
    <w:rsid w:val="00FE52EF"/>
    <w:rsid w:val="00FE53C2"/>
    <w:rsid w:val="00FE53CA"/>
    <w:rsid w:val="00FE5855"/>
    <w:rsid w:val="00FE58D0"/>
    <w:rsid w:val="00FE58FF"/>
    <w:rsid w:val="00FE596D"/>
    <w:rsid w:val="00FE5975"/>
    <w:rsid w:val="00FE5996"/>
    <w:rsid w:val="00FE5AAB"/>
    <w:rsid w:val="00FE5BEF"/>
    <w:rsid w:val="00FE5D79"/>
    <w:rsid w:val="00FE5F54"/>
    <w:rsid w:val="00FE5FE7"/>
    <w:rsid w:val="00FE6219"/>
    <w:rsid w:val="00FE625A"/>
    <w:rsid w:val="00FE62F6"/>
    <w:rsid w:val="00FE6330"/>
    <w:rsid w:val="00FE64D2"/>
    <w:rsid w:val="00FE650D"/>
    <w:rsid w:val="00FE6650"/>
    <w:rsid w:val="00FE680D"/>
    <w:rsid w:val="00FE68A1"/>
    <w:rsid w:val="00FE6999"/>
    <w:rsid w:val="00FE69E3"/>
    <w:rsid w:val="00FE6B84"/>
    <w:rsid w:val="00FE6C30"/>
    <w:rsid w:val="00FE6CBF"/>
    <w:rsid w:val="00FE6CFA"/>
    <w:rsid w:val="00FE6D1B"/>
    <w:rsid w:val="00FE6E31"/>
    <w:rsid w:val="00FE6E5C"/>
    <w:rsid w:val="00FE6EC6"/>
    <w:rsid w:val="00FE6F0F"/>
    <w:rsid w:val="00FE70C4"/>
    <w:rsid w:val="00FE7152"/>
    <w:rsid w:val="00FE717C"/>
    <w:rsid w:val="00FE72FD"/>
    <w:rsid w:val="00FE72FE"/>
    <w:rsid w:val="00FE73D2"/>
    <w:rsid w:val="00FE7523"/>
    <w:rsid w:val="00FE75D4"/>
    <w:rsid w:val="00FE7689"/>
    <w:rsid w:val="00FE7708"/>
    <w:rsid w:val="00FE778B"/>
    <w:rsid w:val="00FE77AC"/>
    <w:rsid w:val="00FE77C8"/>
    <w:rsid w:val="00FE77EC"/>
    <w:rsid w:val="00FE789B"/>
    <w:rsid w:val="00FE78B1"/>
    <w:rsid w:val="00FE799B"/>
    <w:rsid w:val="00FE7AE1"/>
    <w:rsid w:val="00FE7AEF"/>
    <w:rsid w:val="00FE7B41"/>
    <w:rsid w:val="00FF00F5"/>
    <w:rsid w:val="00FF020D"/>
    <w:rsid w:val="00FF04D9"/>
    <w:rsid w:val="00FF0669"/>
    <w:rsid w:val="00FF0728"/>
    <w:rsid w:val="00FF0799"/>
    <w:rsid w:val="00FF0C14"/>
    <w:rsid w:val="00FF0D18"/>
    <w:rsid w:val="00FF0D83"/>
    <w:rsid w:val="00FF0F68"/>
    <w:rsid w:val="00FF0FC0"/>
    <w:rsid w:val="00FF0FDD"/>
    <w:rsid w:val="00FF1106"/>
    <w:rsid w:val="00FF12EA"/>
    <w:rsid w:val="00FF1358"/>
    <w:rsid w:val="00FF141C"/>
    <w:rsid w:val="00FF146D"/>
    <w:rsid w:val="00FF146F"/>
    <w:rsid w:val="00FF149C"/>
    <w:rsid w:val="00FF14FE"/>
    <w:rsid w:val="00FF1521"/>
    <w:rsid w:val="00FF15C0"/>
    <w:rsid w:val="00FF15C6"/>
    <w:rsid w:val="00FF15C7"/>
    <w:rsid w:val="00FF1624"/>
    <w:rsid w:val="00FF1775"/>
    <w:rsid w:val="00FF1A2F"/>
    <w:rsid w:val="00FF1BFC"/>
    <w:rsid w:val="00FF1C23"/>
    <w:rsid w:val="00FF1C88"/>
    <w:rsid w:val="00FF1CA3"/>
    <w:rsid w:val="00FF1CAD"/>
    <w:rsid w:val="00FF1D9B"/>
    <w:rsid w:val="00FF1F4E"/>
    <w:rsid w:val="00FF1FEC"/>
    <w:rsid w:val="00FF2102"/>
    <w:rsid w:val="00FF2161"/>
    <w:rsid w:val="00FF2189"/>
    <w:rsid w:val="00FF2200"/>
    <w:rsid w:val="00FF2335"/>
    <w:rsid w:val="00FF25B1"/>
    <w:rsid w:val="00FF2654"/>
    <w:rsid w:val="00FF2670"/>
    <w:rsid w:val="00FF26EF"/>
    <w:rsid w:val="00FF285F"/>
    <w:rsid w:val="00FF28D5"/>
    <w:rsid w:val="00FF293A"/>
    <w:rsid w:val="00FF2A1C"/>
    <w:rsid w:val="00FF2A52"/>
    <w:rsid w:val="00FF2A5A"/>
    <w:rsid w:val="00FF2B9A"/>
    <w:rsid w:val="00FF2C34"/>
    <w:rsid w:val="00FF2C98"/>
    <w:rsid w:val="00FF2D88"/>
    <w:rsid w:val="00FF2DC4"/>
    <w:rsid w:val="00FF2FC7"/>
    <w:rsid w:val="00FF31CE"/>
    <w:rsid w:val="00FF3355"/>
    <w:rsid w:val="00FF33F2"/>
    <w:rsid w:val="00FF3545"/>
    <w:rsid w:val="00FF369A"/>
    <w:rsid w:val="00FF3893"/>
    <w:rsid w:val="00FF3AAC"/>
    <w:rsid w:val="00FF3AE0"/>
    <w:rsid w:val="00FF3B04"/>
    <w:rsid w:val="00FF3BA1"/>
    <w:rsid w:val="00FF3F51"/>
    <w:rsid w:val="00FF4145"/>
    <w:rsid w:val="00FF41A2"/>
    <w:rsid w:val="00FF4217"/>
    <w:rsid w:val="00FF4230"/>
    <w:rsid w:val="00FF44CC"/>
    <w:rsid w:val="00FF45E2"/>
    <w:rsid w:val="00FF46F3"/>
    <w:rsid w:val="00FF4713"/>
    <w:rsid w:val="00FF472D"/>
    <w:rsid w:val="00FF4A64"/>
    <w:rsid w:val="00FF4D28"/>
    <w:rsid w:val="00FF4FA9"/>
    <w:rsid w:val="00FF5553"/>
    <w:rsid w:val="00FF55DD"/>
    <w:rsid w:val="00FF55F6"/>
    <w:rsid w:val="00FF55FF"/>
    <w:rsid w:val="00FF56CD"/>
    <w:rsid w:val="00FF571A"/>
    <w:rsid w:val="00FF572F"/>
    <w:rsid w:val="00FF57E5"/>
    <w:rsid w:val="00FF59E1"/>
    <w:rsid w:val="00FF5A08"/>
    <w:rsid w:val="00FF5A46"/>
    <w:rsid w:val="00FF5B6F"/>
    <w:rsid w:val="00FF5BE2"/>
    <w:rsid w:val="00FF5C74"/>
    <w:rsid w:val="00FF5CE2"/>
    <w:rsid w:val="00FF5DBE"/>
    <w:rsid w:val="00FF5DEA"/>
    <w:rsid w:val="00FF5E5B"/>
    <w:rsid w:val="00FF5F03"/>
    <w:rsid w:val="00FF5FA1"/>
    <w:rsid w:val="00FF60C5"/>
    <w:rsid w:val="00FF631A"/>
    <w:rsid w:val="00FF6351"/>
    <w:rsid w:val="00FF647C"/>
    <w:rsid w:val="00FF6490"/>
    <w:rsid w:val="00FF653D"/>
    <w:rsid w:val="00FF6616"/>
    <w:rsid w:val="00FF6729"/>
    <w:rsid w:val="00FF67E2"/>
    <w:rsid w:val="00FF6863"/>
    <w:rsid w:val="00FF68B0"/>
    <w:rsid w:val="00FF68DF"/>
    <w:rsid w:val="00FF6A0A"/>
    <w:rsid w:val="00FF6A6E"/>
    <w:rsid w:val="00FF6BA4"/>
    <w:rsid w:val="00FF6D42"/>
    <w:rsid w:val="00FF6D48"/>
    <w:rsid w:val="00FF6E98"/>
    <w:rsid w:val="00FF6EF9"/>
    <w:rsid w:val="00FF711E"/>
    <w:rsid w:val="00FF71B1"/>
    <w:rsid w:val="00FF73A3"/>
    <w:rsid w:val="00FF73F0"/>
    <w:rsid w:val="00FF741A"/>
    <w:rsid w:val="00FF7432"/>
    <w:rsid w:val="00FF74F2"/>
    <w:rsid w:val="00FF75BF"/>
    <w:rsid w:val="00FF765E"/>
    <w:rsid w:val="00FF78A7"/>
    <w:rsid w:val="00FF7972"/>
    <w:rsid w:val="00FF79F8"/>
    <w:rsid w:val="00FF7A0C"/>
    <w:rsid w:val="00FF7AD8"/>
    <w:rsid w:val="00FF7B31"/>
    <w:rsid w:val="00FF7B3F"/>
    <w:rsid w:val="00FF7C13"/>
    <w:rsid w:val="00FF7C26"/>
    <w:rsid w:val="00FF7CA6"/>
    <w:rsid w:val="00FF7E02"/>
    <w:rsid w:val="00FF7EBC"/>
    <w:rsid w:val="00FF7FC9"/>
    <w:rsid w:val="0135CFCC"/>
    <w:rsid w:val="014C06A0"/>
    <w:rsid w:val="0179DBB3"/>
    <w:rsid w:val="01C16C2D"/>
    <w:rsid w:val="01ED7FB8"/>
    <w:rsid w:val="0232BAB1"/>
    <w:rsid w:val="023C5EC2"/>
    <w:rsid w:val="025C2026"/>
    <w:rsid w:val="026C2069"/>
    <w:rsid w:val="027640FD"/>
    <w:rsid w:val="02894812"/>
    <w:rsid w:val="029B75CF"/>
    <w:rsid w:val="02ED600D"/>
    <w:rsid w:val="03641C8D"/>
    <w:rsid w:val="03692477"/>
    <w:rsid w:val="03955C72"/>
    <w:rsid w:val="039F2FD7"/>
    <w:rsid w:val="040EB4EC"/>
    <w:rsid w:val="041B01BB"/>
    <w:rsid w:val="042724F8"/>
    <w:rsid w:val="04481C1A"/>
    <w:rsid w:val="0506D070"/>
    <w:rsid w:val="0519D6BA"/>
    <w:rsid w:val="0569EE56"/>
    <w:rsid w:val="05EEB138"/>
    <w:rsid w:val="060DB011"/>
    <w:rsid w:val="0612BECA"/>
    <w:rsid w:val="061F0416"/>
    <w:rsid w:val="075C30D4"/>
    <w:rsid w:val="0781100B"/>
    <w:rsid w:val="078A3719"/>
    <w:rsid w:val="07A4449C"/>
    <w:rsid w:val="07C680FF"/>
    <w:rsid w:val="07D15599"/>
    <w:rsid w:val="07F4E4A3"/>
    <w:rsid w:val="08030EFB"/>
    <w:rsid w:val="0817D97F"/>
    <w:rsid w:val="084D02D2"/>
    <w:rsid w:val="08BD0A95"/>
    <w:rsid w:val="08E7B1FA"/>
    <w:rsid w:val="090480FE"/>
    <w:rsid w:val="097ABB48"/>
    <w:rsid w:val="098B97B1"/>
    <w:rsid w:val="09AEF8C0"/>
    <w:rsid w:val="0A5F41F7"/>
    <w:rsid w:val="0A9E81DF"/>
    <w:rsid w:val="0AA2C202"/>
    <w:rsid w:val="0AE639D1"/>
    <w:rsid w:val="0B4427B7"/>
    <w:rsid w:val="0B5A4794"/>
    <w:rsid w:val="0B6455A9"/>
    <w:rsid w:val="0B6E2569"/>
    <w:rsid w:val="0B7B5999"/>
    <w:rsid w:val="0B88955A"/>
    <w:rsid w:val="0B8D7038"/>
    <w:rsid w:val="0BEFA5D6"/>
    <w:rsid w:val="0C141613"/>
    <w:rsid w:val="0C20CC57"/>
    <w:rsid w:val="0C2CCA83"/>
    <w:rsid w:val="0C32BED0"/>
    <w:rsid w:val="0C39C20B"/>
    <w:rsid w:val="0C629B1A"/>
    <w:rsid w:val="0C76EC55"/>
    <w:rsid w:val="0C826979"/>
    <w:rsid w:val="0C9A534A"/>
    <w:rsid w:val="0C9B9783"/>
    <w:rsid w:val="0CAB98F8"/>
    <w:rsid w:val="0D036336"/>
    <w:rsid w:val="0D1B497D"/>
    <w:rsid w:val="0D27C983"/>
    <w:rsid w:val="0DA0FA37"/>
    <w:rsid w:val="0DB085FF"/>
    <w:rsid w:val="0DE496C3"/>
    <w:rsid w:val="0DEAE166"/>
    <w:rsid w:val="0E028FEF"/>
    <w:rsid w:val="0E07F91D"/>
    <w:rsid w:val="0E11D4ED"/>
    <w:rsid w:val="0E17D50F"/>
    <w:rsid w:val="0EBAAA44"/>
    <w:rsid w:val="0ED07F6C"/>
    <w:rsid w:val="0F26DD43"/>
    <w:rsid w:val="0F3683F5"/>
    <w:rsid w:val="0F63F422"/>
    <w:rsid w:val="0F8EB774"/>
    <w:rsid w:val="0FA7603D"/>
    <w:rsid w:val="0FB7C838"/>
    <w:rsid w:val="0FDF83E0"/>
    <w:rsid w:val="0FE59962"/>
    <w:rsid w:val="1024E6C9"/>
    <w:rsid w:val="1065AA69"/>
    <w:rsid w:val="107B9155"/>
    <w:rsid w:val="110F97DE"/>
    <w:rsid w:val="1113C185"/>
    <w:rsid w:val="116ED66B"/>
    <w:rsid w:val="12103CD9"/>
    <w:rsid w:val="12192C4E"/>
    <w:rsid w:val="127E7FF6"/>
    <w:rsid w:val="12812AAD"/>
    <w:rsid w:val="12BCB6F5"/>
    <w:rsid w:val="13058085"/>
    <w:rsid w:val="1318A4F2"/>
    <w:rsid w:val="132B2AA9"/>
    <w:rsid w:val="132F6172"/>
    <w:rsid w:val="13517773"/>
    <w:rsid w:val="136E323F"/>
    <w:rsid w:val="13985ABB"/>
    <w:rsid w:val="13C23CF4"/>
    <w:rsid w:val="14070EF0"/>
    <w:rsid w:val="14103F84"/>
    <w:rsid w:val="1426D462"/>
    <w:rsid w:val="14305484"/>
    <w:rsid w:val="144F4055"/>
    <w:rsid w:val="14A548B8"/>
    <w:rsid w:val="14A8FC83"/>
    <w:rsid w:val="15754677"/>
    <w:rsid w:val="157E359F"/>
    <w:rsid w:val="159B48A6"/>
    <w:rsid w:val="15AD0EB9"/>
    <w:rsid w:val="15C51F1D"/>
    <w:rsid w:val="15DC89DE"/>
    <w:rsid w:val="15FFCB77"/>
    <w:rsid w:val="164FBA0F"/>
    <w:rsid w:val="167CC8AB"/>
    <w:rsid w:val="16D516E7"/>
    <w:rsid w:val="16FD2880"/>
    <w:rsid w:val="17230D73"/>
    <w:rsid w:val="173E7799"/>
    <w:rsid w:val="175B38DE"/>
    <w:rsid w:val="1771DD40"/>
    <w:rsid w:val="177BC511"/>
    <w:rsid w:val="17B4E3AE"/>
    <w:rsid w:val="17BDB125"/>
    <w:rsid w:val="17C945A0"/>
    <w:rsid w:val="17CCF96B"/>
    <w:rsid w:val="17D676A5"/>
    <w:rsid w:val="17E68D93"/>
    <w:rsid w:val="18A5AB54"/>
    <w:rsid w:val="18C1E422"/>
    <w:rsid w:val="18E8011B"/>
    <w:rsid w:val="19255D34"/>
    <w:rsid w:val="19701492"/>
    <w:rsid w:val="1982517A"/>
    <w:rsid w:val="19FB8C13"/>
    <w:rsid w:val="1A107D4B"/>
    <w:rsid w:val="1A70DACD"/>
    <w:rsid w:val="1A86B41F"/>
    <w:rsid w:val="1AA279EF"/>
    <w:rsid w:val="1AF0E7CA"/>
    <w:rsid w:val="1B09CC56"/>
    <w:rsid w:val="1B341350"/>
    <w:rsid w:val="1B4E2CA7"/>
    <w:rsid w:val="1B5CA886"/>
    <w:rsid w:val="1B70D4B4"/>
    <w:rsid w:val="1B7F91FB"/>
    <w:rsid w:val="1B91C564"/>
    <w:rsid w:val="1B9831FB"/>
    <w:rsid w:val="1BF291A6"/>
    <w:rsid w:val="1C01FF7B"/>
    <w:rsid w:val="1C121C6F"/>
    <w:rsid w:val="1C6181C9"/>
    <w:rsid w:val="1C6326AA"/>
    <w:rsid w:val="1CDF7F5A"/>
    <w:rsid w:val="1CFD0636"/>
    <w:rsid w:val="1D1E51AF"/>
    <w:rsid w:val="1D71F1F8"/>
    <w:rsid w:val="1DD36CCC"/>
    <w:rsid w:val="1DEC3F79"/>
    <w:rsid w:val="1DF345FF"/>
    <w:rsid w:val="1E058A41"/>
    <w:rsid w:val="1E27FFF6"/>
    <w:rsid w:val="1E399F7D"/>
    <w:rsid w:val="1E54909D"/>
    <w:rsid w:val="1E56A76C"/>
    <w:rsid w:val="1E9425C5"/>
    <w:rsid w:val="1E953D41"/>
    <w:rsid w:val="1EA5D12D"/>
    <w:rsid w:val="1EC8E9F4"/>
    <w:rsid w:val="1F09A2A9"/>
    <w:rsid w:val="1F54775D"/>
    <w:rsid w:val="1F6EA29F"/>
    <w:rsid w:val="1F73DC3B"/>
    <w:rsid w:val="1FB40378"/>
    <w:rsid w:val="1FC9A465"/>
    <w:rsid w:val="203E5654"/>
    <w:rsid w:val="203E8BE2"/>
    <w:rsid w:val="204DE931"/>
    <w:rsid w:val="20ECDA28"/>
    <w:rsid w:val="2103EF59"/>
    <w:rsid w:val="2177AE8D"/>
    <w:rsid w:val="21D78AF6"/>
    <w:rsid w:val="21F2DE48"/>
    <w:rsid w:val="22EB492D"/>
    <w:rsid w:val="23078812"/>
    <w:rsid w:val="2322E93B"/>
    <w:rsid w:val="23ECFE97"/>
    <w:rsid w:val="240348D5"/>
    <w:rsid w:val="2416B7F7"/>
    <w:rsid w:val="2421B5BD"/>
    <w:rsid w:val="24381237"/>
    <w:rsid w:val="24595FC6"/>
    <w:rsid w:val="24C39867"/>
    <w:rsid w:val="24CCDC74"/>
    <w:rsid w:val="254EAB6B"/>
    <w:rsid w:val="255B0352"/>
    <w:rsid w:val="25BD0C65"/>
    <w:rsid w:val="261B75AF"/>
    <w:rsid w:val="262E8432"/>
    <w:rsid w:val="265ECE84"/>
    <w:rsid w:val="2668A927"/>
    <w:rsid w:val="26BA3CC9"/>
    <w:rsid w:val="26C602C6"/>
    <w:rsid w:val="26E1C382"/>
    <w:rsid w:val="26F4E543"/>
    <w:rsid w:val="273D5F7E"/>
    <w:rsid w:val="28283CF7"/>
    <w:rsid w:val="282DA519"/>
    <w:rsid w:val="286A3AA2"/>
    <w:rsid w:val="2875BBD0"/>
    <w:rsid w:val="289B5C38"/>
    <w:rsid w:val="28C5322D"/>
    <w:rsid w:val="28C5910C"/>
    <w:rsid w:val="28E71A05"/>
    <w:rsid w:val="29282CCC"/>
    <w:rsid w:val="292E4FCC"/>
    <w:rsid w:val="2930F07C"/>
    <w:rsid w:val="2943BFC5"/>
    <w:rsid w:val="29598E23"/>
    <w:rsid w:val="296B6072"/>
    <w:rsid w:val="298216D8"/>
    <w:rsid w:val="29D902F8"/>
    <w:rsid w:val="29DE2D18"/>
    <w:rsid w:val="29E92797"/>
    <w:rsid w:val="29EA734C"/>
    <w:rsid w:val="29F18AFD"/>
    <w:rsid w:val="29FD3072"/>
    <w:rsid w:val="2A797E93"/>
    <w:rsid w:val="2A987F0C"/>
    <w:rsid w:val="2AF4009B"/>
    <w:rsid w:val="2B40F022"/>
    <w:rsid w:val="2B7F5D28"/>
    <w:rsid w:val="2B8207E7"/>
    <w:rsid w:val="2B9C7E42"/>
    <w:rsid w:val="2BAE7B2A"/>
    <w:rsid w:val="2BD52490"/>
    <w:rsid w:val="2BDB343D"/>
    <w:rsid w:val="2C2E032E"/>
    <w:rsid w:val="2C3B1A8B"/>
    <w:rsid w:val="2C80AF2D"/>
    <w:rsid w:val="2CC05776"/>
    <w:rsid w:val="2CE0A310"/>
    <w:rsid w:val="2D05E5DD"/>
    <w:rsid w:val="2D928AC5"/>
    <w:rsid w:val="2DA66B67"/>
    <w:rsid w:val="2DB382F1"/>
    <w:rsid w:val="2DBBD74B"/>
    <w:rsid w:val="2DD1E130"/>
    <w:rsid w:val="2DD30442"/>
    <w:rsid w:val="2DF641B2"/>
    <w:rsid w:val="2E2F53F8"/>
    <w:rsid w:val="2E5EC03C"/>
    <w:rsid w:val="2ED0DECF"/>
    <w:rsid w:val="2EE3F00F"/>
    <w:rsid w:val="2F0703D0"/>
    <w:rsid w:val="2F10E7A5"/>
    <w:rsid w:val="2F14DA8E"/>
    <w:rsid w:val="2F4A81F4"/>
    <w:rsid w:val="2F5F0B3E"/>
    <w:rsid w:val="2F61737F"/>
    <w:rsid w:val="2FA90553"/>
    <w:rsid w:val="2FBA54F8"/>
    <w:rsid w:val="2FCCA9C9"/>
    <w:rsid w:val="30C45881"/>
    <w:rsid w:val="30E07CF9"/>
    <w:rsid w:val="30F03F92"/>
    <w:rsid w:val="30FA6D14"/>
    <w:rsid w:val="319CA5E6"/>
    <w:rsid w:val="31BEDD54"/>
    <w:rsid w:val="321A45AF"/>
    <w:rsid w:val="3263888A"/>
    <w:rsid w:val="326FFDE4"/>
    <w:rsid w:val="32836532"/>
    <w:rsid w:val="329019D0"/>
    <w:rsid w:val="32FBFEB7"/>
    <w:rsid w:val="335B94C5"/>
    <w:rsid w:val="33AC0621"/>
    <w:rsid w:val="33ED5446"/>
    <w:rsid w:val="34378952"/>
    <w:rsid w:val="34511711"/>
    <w:rsid w:val="345C893C"/>
    <w:rsid w:val="34807E1F"/>
    <w:rsid w:val="34873CB5"/>
    <w:rsid w:val="34892CC5"/>
    <w:rsid w:val="34B4AF69"/>
    <w:rsid w:val="35090E2F"/>
    <w:rsid w:val="352A8087"/>
    <w:rsid w:val="3573707B"/>
    <w:rsid w:val="35B1D337"/>
    <w:rsid w:val="35CCD847"/>
    <w:rsid w:val="35E78D4B"/>
    <w:rsid w:val="3603693D"/>
    <w:rsid w:val="361ABAE9"/>
    <w:rsid w:val="3622D829"/>
    <w:rsid w:val="36817983"/>
    <w:rsid w:val="36965DE0"/>
    <w:rsid w:val="36CA5136"/>
    <w:rsid w:val="36F096DA"/>
    <w:rsid w:val="37059895"/>
    <w:rsid w:val="3746288A"/>
    <w:rsid w:val="37531336"/>
    <w:rsid w:val="3767EE96"/>
    <w:rsid w:val="37D05B96"/>
    <w:rsid w:val="37D38B6D"/>
    <w:rsid w:val="37E553AD"/>
    <w:rsid w:val="37FBDCF0"/>
    <w:rsid w:val="38047233"/>
    <w:rsid w:val="380B3759"/>
    <w:rsid w:val="389114F1"/>
    <w:rsid w:val="38DED521"/>
    <w:rsid w:val="38E6CD4F"/>
    <w:rsid w:val="390CCD44"/>
    <w:rsid w:val="3944B09C"/>
    <w:rsid w:val="396FC7A0"/>
    <w:rsid w:val="3978EAE4"/>
    <w:rsid w:val="397C33BF"/>
    <w:rsid w:val="3981F85B"/>
    <w:rsid w:val="3989B32A"/>
    <w:rsid w:val="39C6D394"/>
    <w:rsid w:val="39D0F17D"/>
    <w:rsid w:val="39F8B92C"/>
    <w:rsid w:val="3A3C5011"/>
    <w:rsid w:val="3A4849AD"/>
    <w:rsid w:val="3A72984B"/>
    <w:rsid w:val="3A7F4A33"/>
    <w:rsid w:val="3A86EB70"/>
    <w:rsid w:val="3ACA7977"/>
    <w:rsid w:val="3AD2CBA5"/>
    <w:rsid w:val="3B11769B"/>
    <w:rsid w:val="3B3CD9E1"/>
    <w:rsid w:val="3B4C039A"/>
    <w:rsid w:val="3B88A294"/>
    <w:rsid w:val="3BA22E5A"/>
    <w:rsid w:val="3BDE1FE6"/>
    <w:rsid w:val="3C2789E5"/>
    <w:rsid w:val="3C371ADD"/>
    <w:rsid w:val="3C535174"/>
    <w:rsid w:val="3C60D29A"/>
    <w:rsid w:val="3C68C63E"/>
    <w:rsid w:val="3C70DE34"/>
    <w:rsid w:val="3C82996B"/>
    <w:rsid w:val="3C89762D"/>
    <w:rsid w:val="3D48F0B5"/>
    <w:rsid w:val="3D625B35"/>
    <w:rsid w:val="3D72A45C"/>
    <w:rsid w:val="3D769DCE"/>
    <w:rsid w:val="3D8D0EB6"/>
    <w:rsid w:val="3D90A221"/>
    <w:rsid w:val="3DA73C98"/>
    <w:rsid w:val="3DB835F2"/>
    <w:rsid w:val="3DF7CF79"/>
    <w:rsid w:val="3E0715C6"/>
    <w:rsid w:val="3E299F46"/>
    <w:rsid w:val="3EC52E18"/>
    <w:rsid w:val="3ED0C401"/>
    <w:rsid w:val="3ED6C3E1"/>
    <w:rsid w:val="3EF00AC8"/>
    <w:rsid w:val="3F169000"/>
    <w:rsid w:val="3F2313D6"/>
    <w:rsid w:val="3F4AA880"/>
    <w:rsid w:val="3F6DFB1F"/>
    <w:rsid w:val="3FCD0A2F"/>
    <w:rsid w:val="40181A6A"/>
    <w:rsid w:val="4023C9E0"/>
    <w:rsid w:val="404F9F4F"/>
    <w:rsid w:val="406946F9"/>
    <w:rsid w:val="409614C6"/>
    <w:rsid w:val="40FCE710"/>
    <w:rsid w:val="41093408"/>
    <w:rsid w:val="410D2694"/>
    <w:rsid w:val="4175F563"/>
    <w:rsid w:val="41A55A6C"/>
    <w:rsid w:val="42628573"/>
    <w:rsid w:val="42F99564"/>
    <w:rsid w:val="4341FE1E"/>
    <w:rsid w:val="43564FCD"/>
    <w:rsid w:val="436FA198"/>
    <w:rsid w:val="43B31CD1"/>
    <w:rsid w:val="43F5AEF5"/>
    <w:rsid w:val="440BC373"/>
    <w:rsid w:val="443B1741"/>
    <w:rsid w:val="44560BB0"/>
    <w:rsid w:val="4465E978"/>
    <w:rsid w:val="44997DA6"/>
    <w:rsid w:val="44A03A5A"/>
    <w:rsid w:val="44AB452D"/>
    <w:rsid w:val="451742CF"/>
    <w:rsid w:val="45444F13"/>
    <w:rsid w:val="457B8A82"/>
    <w:rsid w:val="458C4884"/>
    <w:rsid w:val="45A4345E"/>
    <w:rsid w:val="45F04454"/>
    <w:rsid w:val="460779E4"/>
    <w:rsid w:val="46275E91"/>
    <w:rsid w:val="463AAAAD"/>
    <w:rsid w:val="46586A58"/>
    <w:rsid w:val="46A7EAE7"/>
    <w:rsid w:val="46D20F60"/>
    <w:rsid w:val="470A8DCA"/>
    <w:rsid w:val="471B2B13"/>
    <w:rsid w:val="471C4F79"/>
    <w:rsid w:val="47240369"/>
    <w:rsid w:val="478D660D"/>
    <w:rsid w:val="47F79049"/>
    <w:rsid w:val="48026C19"/>
    <w:rsid w:val="4868171C"/>
    <w:rsid w:val="48878901"/>
    <w:rsid w:val="48C51836"/>
    <w:rsid w:val="48CB56E7"/>
    <w:rsid w:val="48EDD430"/>
    <w:rsid w:val="4946E6B8"/>
    <w:rsid w:val="4992D968"/>
    <w:rsid w:val="49C0FEAF"/>
    <w:rsid w:val="49C144B8"/>
    <w:rsid w:val="49D848D7"/>
    <w:rsid w:val="4A194E25"/>
    <w:rsid w:val="4A3FB41A"/>
    <w:rsid w:val="4A4857B2"/>
    <w:rsid w:val="4A4BD5FC"/>
    <w:rsid w:val="4A9481A6"/>
    <w:rsid w:val="4AE18739"/>
    <w:rsid w:val="4AE9A528"/>
    <w:rsid w:val="4AF37F4D"/>
    <w:rsid w:val="4B82CA66"/>
    <w:rsid w:val="4BB942F8"/>
    <w:rsid w:val="4BCC4437"/>
    <w:rsid w:val="4C4F9F88"/>
    <w:rsid w:val="4C5A117D"/>
    <w:rsid w:val="4C669CFC"/>
    <w:rsid w:val="4C6D836D"/>
    <w:rsid w:val="4CB7ADF4"/>
    <w:rsid w:val="4D01E993"/>
    <w:rsid w:val="4D11E2D2"/>
    <w:rsid w:val="4D17B1DE"/>
    <w:rsid w:val="4D18A2DC"/>
    <w:rsid w:val="4D2306E3"/>
    <w:rsid w:val="4D23BA1C"/>
    <w:rsid w:val="4D3FEA03"/>
    <w:rsid w:val="4D56A6F0"/>
    <w:rsid w:val="4D861527"/>
    <w:rsid w:val="4D93817B"/>
    <w:rsid w:val="4DB5FEC9"/>
    <w:rsid w:val="4DC8D7E1"/>
    <w:rsid w:val="4E03FC03"/>
    <w:rsid w:val="4E336C95"/>
    <w:rsid w:val="4EED7FD9"/>
    <w:rsid w:val="4EF6CC00"/>
    <w:rsid w:val="4F08A09A"/>
    <w:rsid w:val="4F1BE140"/>
    <w:rsid w:val="4F3F9DA0"/>
    <w:rsid w:val="4F4FDC61"/>
    <w:rsid w:val="4F51CA33"/>
    <w:rsid w:val="4F5C4883"/>
    <w:rsid w:val="4F6D93E4"/>
    <w:rsid w:val="4F86733D"/>
    <w:rsid w:val="4F897C7A"/>
    <w:rsid w:val="4F9F58C2"/>
    <w:rsid w:val="4FFF3AA6"/>
    <w:rsid w:val="500D7942"/>
    <w:rsid w:val="502AD4EF"/>
    <w:rsid w:val="5089DA7A"/>
    <w:rsid w:val="5151CD9E"/>
    <w:rsid w:val="51943647"/>
    <w:rsid w:val="51C00086"/>
    <w:rsid w:val="51CD2E3C"/>
    <w:rsid w:val="52234CFA"/>
    <w:rsid w:val="52703497"/>
    <w:rsid w:val="527C7320"/>
    <w:rsid w:val="52B92B3B"/>
    <w:rsid w:val="52E913E0"/>
    <w:rsid w:val="52EBB51E"/>
    <w:rsid w:val="52FF682E"/>
    <w:rsid w:val="530C9F34"/>
    <w:rsid w:val="53579E5B"/>
    <w:rsid w:val="538D984B"/>
    <w:rsid w:val="53AF829E"/>
    <w:rsid w:val="541F6C04"/>
    <w:rsid w:val="542E29AF"/>
    <w:rsid w:val="547D387B"/>
    <w:rsid w:val="549FFF35"/>
    <w:rsid w:val="54DCCF88"/>
    <w:rsid w:val="54DCD342"/>
    <w:rsid w:val="5520D09D"/>
    <w:rsid w:val="552717BE"/>
    <w:rsid w:val="556B0182"/>
    <w:rsid w:val="55973E4D"/>
    <w:rsid w:val="561339DF"/>
    <w:rsid w:val="567F7E37"/>
    <w:rsid w:val="56984E6C"/>
    <w:rsid w:val="56B672B8"/>
    <w:rsid w:val="5720EA71"/>
    <w:rsid w:val="572AF8D8"/>
    <w:rsid w:val="5740B9BD"/>
    <w:rsid w:val="5761D1CB"/>
    <w:rsid w:val="577269CF"/>
    <w:rsid w:val="57808AF9"/>
    <w:rsid w:val="57831D36"/>
    <w:rsid w:val="57F4F6DB"/>
    <w:rsid w:val="58421533"/>
    <w:rsid w:val="585345EB"/>
    <w:rsid w:val="5859BF7D"/>
    <w:rsid w:val="5866E29D"/>
    <w:rsid w:val="58B39B53"/>
    <w:rsid w:val="58CC9FAB"/>
    <w:rsid w:val="595B1BE0"/>
    <w:rsid w:val="5995766B"/>
    <w:rsid w:val="59ED7345"/>
    <w:rsid w:val="5A3B0C70"/>
    <w:rsid w:val="5A431766"/>
    <w:rsid w:val="5A67BCF6"/>
    <w:rsid w:val="5A7DD524"/>
    <w:rsid w:val="5A9FFB2C"/>
    <w:rsid w:val="5AE32C0F"/>
    <w:rsid w:val="5AECB750"/>
    <w:rsid w:val="5AFB3AAD"/>
    <w:rsid w:val="5B07DAE5"/>
    <w:rsid w:val="5B555C0C"/>
    <w:rsid w:val="5B5B1F56"/>
    <w:rsid w:val="5B6582F2"/>
    <w:rsid w:val="5B686C3A"/>
    <w:rsid w:val="5B6B92DE"/>
    <w:rsid w:val="5B727666"/>
    <w:rsid w:val="5B7E4B72"/>
    <w:rsid w:val="5B86BA92"/>
    <w:rsid w:val="5BDC3CF4"/>
    <w:rsid w:val="5C45A5BE"/>
    <w:rsid w:val="5C6DCFAA"/>
    <w:rsid w:val="5D33C62B"/>
    <w:rsid w:val="5D6D7095"/>
    <w:rsid w:val="5DB5C386"/>
    <w:rsid w:val="5DE85F27"/>
    <w:rsid w:val="5DF5D830"/>
    <w:rsid w:val="5E41A099"/>
    <w:rsid w:val="5E62F766"/>
    <w:rsid w:val="5E79C399"/>
    <w:rsid w:val="5E98B839"/>
    <w:rsid w:val="5EF61B0B"/>
    <w:rsid w:val="5EF64D6C"/>
    <w:rsid w:val="5F3F9BA1"/>
    <w:rsid w:val="5F7A8F8C"/>
    <w:rsid w:val="5F7BCFEF"/>
    <w:rsid w:val="5FA5C6A6"/>
    <w:rsid w:val="5FBDA8E9"/>
    <w:rsid w:val="5FCD3D31"/>
    <w:rsid w:val="5FFD31AE"/>
    <w:rsid w:val="6037A10F"/>
    <w:rsid w:val="603B68BC"/>
    <w:rsid w:val="6040374F"/>
    <w:rsid w:val="6045D572"/>
    <w:rsid w:val="606EA357"/>
    <w:rsid w:val="6072BFA7"/>
    <w:rsid w:val="607D21B6"/>
    <w:rsid w:val="60DA297E"/>
    <w:rsid w:val="61340461"/>
    <w:rsid w:val="61B3AD60"/>
    <w:rsid w:val="61FCEB2E"/>
    <w:rsid w:val="6247F75D"/>
    <w:rsid w:val="625FB4EF"/>
    <w:rsid w:val="626B0E50"/>
    <w:rsid w:val="627A5E85"/>
    <w:rsid w:val="62BD396F"/>
    <w:rsid w:val="62DF4E35"/>
    <w:rsid w:val="63476518"/>
    <w:rsid w:val="634D444B"/>
    <w:rsid w:val="638FFAC1"/>
    <w:rsid w:val="63BCE56F"/>
    <w:rsid w:val="63D81AC7"/>
    <w:rsid w:val="641CE3F5"/>
    <w:rsid w:val="64445CE0"/>
    <w:rsid w:val="64722E23"/>
    <w:rsid w:val="64C02299"/>
    <w:rsid w:val="64C0A2D3"/>
    <w:rsid w:val="652FEF9C"/>
    <w:rsid w:val="65403303"/>
    <w:rsid w:val="657BE138"/>
    <w:rsid w:val="65950B02"/>
    <w:rsid w:val="65C4CD11"/>
    <w:rsid w:val="65EDDE21"/>
    <w:rsid w:val="65FD9A04"/>
    <w:rsid w:val="6605D346"/>
    <w:rsid w:val="665F9B6D"/>
    <w:rsid w:val="667D3478"/>
    <w:rsid w:val="66A601B2"/>
    <w:rsid w:val="66AAC682"/>
    <w:rsid w:val="66B21146"/>
    <w:rsid w:val="674AA933"/>
    <w:rsid w:val="67BB24E9"/>
    <w:rsid w:val="67E7C4BF"/>
    <w:rsid w:val="684D33D9"/>
    <w:rsid w:val="68D0B779"/>
    <w:rsid w:val="69040C4B"/>
    <w:rsid w:val="69068596"/>
    <w:rsid w:val="69A46999"/>
    <w:rsid w:val="69C3284B"/>
    <w:rsid w:val="69F24804"/>
    <w:rsid w:val="6A0FB143"/>
    <w:rsid w:val="6A7ACD9D"/>
    <w:rsid w:val="6A977834"/>
    <w:rsid w:val="6ADBA528"/>
    <w:rsid w:val="6AF50D02"/>
    <w:rsid w:val="6B136A8B"/>
    <w:rsid w:val="6B3A2B77"/>
    <w:rsid w:val="6B408FE5"/>
    <w:rsid w:val="6B44C7F4"/>
    <w:rsid w:val="6B72BE08"/>
    <w:rsid w:val="6BD316B8"/>
    <w:rsid w:val="6BD6FB1A"/>
    <w:rsid w:val="6BDF69A3"/>
    <w:rsid w:val="6C050BDD"/>
    <w:rsid w:val="6C8A90A6"/>
    <w:rsid w:val="6C8DF2D9"/>
    <w:rsid w:val="6CBB5141"/>
    <w:rsid w:val="6CD88EEE"/>
    <w:rsid w:val="6CF8C49F"/>
    <w:rsid w:val="6D6F1F5D"/>
    <w:rsid w:val="6D77D9D0"/>
    <w:rsid w:val="6D87F00D"/>
    <w:rsid w:val="6DA257EB"/>
    <w:rsid w:val="6DD3E204"/>
    <w:rsid w:val="6E027095"/>
    <w:rsid w:val="6E22B081"/>
    <w:rsid w:val="6E431EB7"/>
    <w:rsid w:val="6F3850C7"/>
    <w:rsid w:val="6F62223D"/>
    <w:rsid w:val="6F65D5AA"/>
    <w:rsid w:val="6FE8D62D"/>
    <w:rsid w:val="6FF18E41"/>
    <w:rsid w:val="702ED9F8"/>
    <w:rsid w:val="7043E66F"/>
    <w:rsid w:val="70805201"/>
    <w:rsid w:val="70932E09"/>
    <w:rsid w:val="7098AF0F"/>
    <w:rsid w:val="70BFEC1B"/>
    <w:rsid w:val="70D4EAA9"/>
    <w:rsid w:val="70E6D5EC"/>
    <w:rsid w:val="71150536"/>
    <w:rsid w:val="71803AE3"/>
    <w:rsid w:val="719899D9"/>
    <w:rsid w:val="71E8FEBD"/>
    <w:rsid w:val="7245BF40"/>
    <w:rsid w:val="7282CE87"/>
    <w:rsid w:val="728C82F9"/>
    <w:rsid w:val="72903152"/>
    <w:rsid w:val="7290A784"/>
    <w:rsid w:val="72A0D882"/>
    <w:rsid w:val="72BBD6D5"/>
    <w:rsid w:val="736C3869"/>
    <w:rsid w:val="737226A3"/>
    <w:rsid w:val="73A8DC78"/>
    <w:rsid w:val="73F4CA56"/>
    <w:rsid w:val="7424AE7E"/>
    <w:rsid w:val="74496885"/>
    <w:rsid w:val="7461D794"/>
    <w:rsid w:val="748491E0"/>
    <w:rsid w:val="749E9DC2"/>
    <w:rsid w:val="74ADF224"/>
    <w:rsid w:val="74B145BC"/>
    <w:rsid w:val="74EB1CFF"/>
    <w:rsid w:val="7529BAFA"/>
    <w:rsid w:val="753D5E49"/>
    <w:rsid w:val="75419B54"/>
    <w:rsid w:val="755C7A0D"/>
    <w:rsid w:val="76139387"/>
    <w:rsid w:val="768F6442"/>
    <w:rsid w:val="76AF2566"/>
    <w:rsid w:val="76ED3F9D"/>
    <w:rsid w:val="77D6EC64"/>
    <w:rsid w:val="77F64D7B"/>
    <w:rsid w:val="78013E15"/>
    <w:rsid w:val="7816E492"/>
    <w:rsid w:val="78375D62"/>
    <w:rsid w:val="784EF11C"/>
    <w:rsid w:val="7867C5D0"/>
    <w:rsid w:val="78927447"/>
    <w:rsid w:val="78995D17"/>
    <w:rsid w:val="78ADC39C"/>
    <w:rsid w:val="78E6AFBA"/>
    <w:rsid w:val="79625D80"/>
    <w:rsid w:val="79771B20"/>
    <w:rsid w:val="798776AF"/>
    <w:rsid w:val="79884208"/>
    <w:rsid w:val="799B1CF6"/>
    <w:rsid w:val="79B6885C"/>
    <w:rsid w:val="7A08BE2B"/>
    <w:rsid w:val="7A323BEF"/>
    <w:rsid w:val="7A599A5D"/>
    <w:rsid w:val="7A7A87BA"/>
    <w:rsid w:val="7AB9B44F"/>
    <w:rsid w:val="7ADB1862"/>
    <w:rsid w:val="7AF6B687"/>
    <w:rsid w:val="7B50C8DA"/>
    <w:rsid w:val="7B7DBAB7"/>
    <w:rsid w:val="7B9C7B35"/>
    <w:rsid w:val="7B9EC539"/>
    <w:rsid w:val="7BDCEE6E"/>
    <w:rsid w:val="7C002A23"/>
    <w:rsid w:val="7D0F011A"/>
    <w:rsid w:val="7D872503"/>
    <w:rsid w:val="7DA9C68F"/>
    <w:rsid w:val="7DC10E58"/>
    <w:rsid w:val="7DCC36EE"/>
    <w:rsid w:val="7E0CE296"/>
    <w:rsid w:val="7E463F19"/>
    <w:rsid w:val="7E7789C5"/>
    <w:rsid w:val="7F478CD7"/>
    <w:rsid w:val="7F56E72F"/>
    <w:rsid w:val="7F65448D"/>
    <w:rsid w:val="7FB1C39B"/>
    <w:rsid w:val="7FB4A8E7"/>
    <w:rsid w:val="7FCDF42A"/>
    <w:rsid w:val="7FE5BBA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A6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8A"/>
    <w:pPr>
      <w:spacing w:before="160" w:line="276" w:lineRule="auto"/>
    </w:pPr>
    <w:rPr>
      <w:sz w:val="20"/>
    </w:rPr>
  </w:style>
  <w:style w:type="paragraph" w:styleId="Heading1">
    <w:name w:val="heading 1"/>
    <w:basedOn w:val="Normal"/>
    <w:next w:val="Normal"/>
    <w:link w:val="Heading1Char"/>
    <w:uiPriority w:val="9"/>
    <w:qFormat/>
    <w:rsid w:val="002218AC"/>
    <w:pPr>
      <w:keepNext/>
      <w:keepLines/>
      <w:pageBreakBefore/>
      <w:spacing w:before="0" w:after="240" w:line="240" w:lineRule="auto"/>
      <w:outlineLvl w:val="0"/>
    </w:pPr>
    <w:rPr>
      <w:rFonts w:asciiTheme="majorHAnsi" w:eastAsiaTheme="majorEastAsia" w:hAnsiTheme="majorHAnsi" w:cstheme="majorBidi"/>
      <w:b/>
      <w:color w:val="BED9CD"/>
      <w:sz w:val="40"/>
      <w:szCs w:val="40"/>
    </w:rPr>
  </w:style>
  <w:style w:type="paragraph" w:styleId="Heading2">
    <w:name w:val="heading 2"/>
    <w:basedOn w:val="Normal"/>
    <w:next w:val="Normal"/>
    <w:link w:val="Heading2Char"/>
    <w:uiPriority w:val="9"/>
    <w:qFormat/>
    <w:rsid w:val="007B7D3A"/>
    <w:pPr>
      <w:keepNext/>
      <w:keepLines/>
      <w:spacing w:before="120" w:after="240"/>
      <w:outlineLvl w:val="1"/>
    </w:pPr>
    <w:rPr>
      <w:rFonts w:asciiTheme="majorHAnsi" w:eastAsiaTheme="majorEastAsia" w:hAnsiTheme="majorHAnsi" w:cstheme="majorBidi"/>
      <w:b/>
      <w:color w:val="7B5E05" w:themeColor="accent1"/>
      <w:sz w:val="32"/>
      <w:szCs w:val="32"/>
    </w:rPr>
  </w:style>
  <w:style w:type="paragraph" w:styleId="Heading3">
    <w:name w:val="heading 3"/>
    <w:basedOn w:val="Normal"/>
    <w:next w:val="Normal"/>
    <w:link w:val="Heading3Char"/>
    <w:uiPriority w:val="9"/>
    <w:qFormat/>
    <w:rsid w:val="007B7D3A"/>
    <w:pPr>
      <w:keepNext/>
      <w:keepLines/>
      <w:spacing w:before="40" w:after="240"/>
      <w:outlineLvl w:val="2"/>
    </w:pPr>
    <w:rPr>
      <w:rFonts w:asciiTheme="majorHAnsi" w:eastAsiaTheme="majorEastAsia" w:hAnsiTheme="majorHAnsi" w:cstheme="majorBidi"/>
      <w:b/>
      <w:color w:val="403151" w:themeColor="accent2"/>
      <w:sz w:val="28"/>
      <w:szCs w:val="24"/>
    </w:rPr>
  </w:style>
  <w:style w:type="paragraph" w:styleId="Heading4">
    <w:name w:val="heading 4"/>
    <w:basedOn w:val="Normal"/>
    <w:next w:val="Normal"/>
    <w:link w:val="Heading4Char"/>
    <w:qFormat/>
    <w:rsid w:val="007B7D3A"/>
    <w:pPr>
      <w:keepNext/>
      <w:keepLines/>
      <w:spacing w:before="240" w:after="240" w:line="240" w:lineRule="auto"/>
      <w:outlineLvl w:val="3"/>
    </w:pPr>
    <w:rPr>
      <w:rFonts w:asciiTheme="majorHAnsi" w:eastAsiaTheme="majorEastAsia" w:hAnsiTheme="majorHAnsi" w:cstheme="majorBidi"/>
      <w:b/>
      <w:iCs/>
      <w:color w:val="403152"/>
      <w:sz w:val="24"/>
    </w:rPr>
  </w:style>
  <w:style w:type="paragraph" w:styleId="Heading5">
    <w:name w:val="heading 5"/>
    <w:aliases w:val="Level 1 Numbered"/>
    <w:basedOn w:val="Normal"/>
    <w:next w:val="Normal"/>
    <w:link w:val="Heading5Char"/>
    <w:uiPriority w:val="9"/>
    <w:qFormat/>
    <w:rsid w:val="00305274"/>
    <w:pPr>
      <w:keepNext/>
      <w:keepLines/>
      <w:pageBreakBefore/>
      <w:numPr>
        <w:numId w:val="1"/>
      </w:numPr>
      <w:spacing w:before="360" w:after="240" w:line="240" w:lineRule="auto"/>
      <w:outlineLvl w:val="4"/>
    </w:pPr>
    <w:rPr>
      <w:rFonts w:asciiTheme="majorHAnsi" w:eastAsiaTheme="majorEastAsia" w:hAnsiTheme="majorHAnsi" w:cstheme="majorBidi"/>
      <w:b/>
      <w:color w:val="081729"/>
      <w:sz w:val="40"/>
    </w:rPr>
  </w:style>
  <w:style w:type="paragraph" w:styleId="Heading6">
    <w:name w:val="heading 6"/>
    <w:aliases w:val="Level 2 Numbered"/>
    <w:basedOn w:val="Normal"/>
    <w:next w:val="Normal"/>
    <w:link w:val="Heading6Char"/>
    <w:uiPriority w:val="9"/>
    <w:qFormat/>
    <w:rsid w:val="003C67D9"/>
    <w:pPr>
      <w:keepNext/>
      <w:keepLines/>
      <w:numPr>
        <w:ilvl w:val="1"/>
        <w:numId w:val="1"/>
      </w:numPr>
      <w:spacing w:before="240" w:after="240" w:line="240" w:lineRule="auto"/>
      <w:outlineLvl w:val="5"/>
    </w:pPr>
    <w:rPr>
      <w:rFonts w:asciiTheme="majorHAnsi" w:eastAsiaTheme="majorEastAsia" w:hAnsiTheme="majorHAnsi" w:cstheme="majorBidi"/>
      <w:b/>
      <w:color w:val="081729"/>
      <w:sz w:val="32"/>
    </w:rPr>
  </w:style>
  <w:style w:type="paragraph" w:styleId="Heading7">
    <w:name w:val="heading 7"/>
    <w:aliases w:val="Level 3 Numbered"/>
    <w:basedOn w:val="Normal"/>
    <w:next w:val="Normal"/>
    <w:link w:val="Heading7Char"/>
    <w:uiPriority w:val="9"/>
    <w:qFormat/>
    <w:rsid w:val="00F34399"/>
    <w:pPr>
      <w:keepNext/>
      <w:keepLines/>
      <w:numPr>
        <w:ilvl w:val="2"/>
        <w:numId w:val="1"/>
      </w:numPr>
      <w:spacing w:after="240"/>
      <w:outlineLvl w:val="6"/>
    </w:pPr>
    <w:rPr>
      <w:rFonts w:asciiTheme="majorHAnsi" w:eastAsiaTheme="majorEastAsia" w:hAnsiTheme="majorHAnsi" w:cstheme="majorBidi"/>
      <w:b/>
      <w:iCs/>
      <w:color w:val="7EA0BC"/>
      <w:sz w:val="28"/>
    </w:rPr>
  </w:style>
  <w:style w:type="paragraph" w:styleId="Heading8">
    <w:name w:val="heading 8"/>
    <w:aliases w:val="Level 4 Numbered"/>
    <w:basedOn w:val="Normal"/>
    <w:next w:val="Normal"/>
    <w:link w:val="Heading8Char"/>
    <w:uiPriority w:val="9"/>
    <w:qFormat/>
    <w:rsid w:val="00710859"/>
    <w:pPr>
      <w:keepNext/>
      <w:keepLines/>
      <w:numPr>
        <w:ilvl w:val="3"/>
        <w:numId w:val="1"/>
      </w:numPr>
      <w:spacing w:before="120" w:after="240"/>
      <w:outlineLvl w:val="7"/>
    </w:pPr>
    <w:rPr>
      <w:rFonts w:asciiTheme="majorHAnsi" w:eastAsiaTheme="majorEastAsia" w:hAnsiTheme="majorHAnsi" w:cstheme="majorBidi"/>
      <w:b/>
      <w:color w:val="7EA0BC"/>
      <w:sz w:val="24"/>
      <w:szCs w:val="32"/>
    </w:rPr>
  </w:style>
  <w:style w:type="paragraph" w:styleId="Heading9">
    <w:name w:val="heading 9"/>
    <w:basedOn w:val="Normal"/>
    <w:next w:val="Normal"/>
    <w:link w:val="Heading9Char"/>
    <w:uiPriority w:val="9"/>
    <w:qFormat/>
    <w:rsid w:val="007B7D3A"/>
    <w:pPr>
      <w:keepNext/>
      <w:keepLines/>
      <w:pageBreakBefore/>
      <w:numPr>
        <w:ilvl w:val="8"/>
        <w:numId w:val="1"/>
      </w:numPr>
      <w:spacing w:before="40" w:after="0"/>
      <w:outlineLvl w:val="8"/>
    </w:pPr>
    <w:rPr>
      <w:rFonts w:asciiTheme="majorHAnsi" w:eastAsiaTheme="majorEastAsia" w:hAnsiTheme="majorHAnsi" w:cstheme="majorBidi"/>
      <w:b/>
      <w:iCs/>
      <w:color w:val="7B5E05" w:themeColor="accent1"/>
      <w:sz w:val="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02428"/>
    <w:pPr>
      <w:pBdr>
        <w:bottom w:val="single" w:sz="4" w:space="18" w:color="7B5E05" w:themeColor="accent1"/>
      </w:pBdr>
      <w:spacing w:before="2640" w:after="120" w:line="240" w:lineRule="auto"/>
      <w:contextualSpacing/>
    </w:pPr>
    <w:rPr>
      <w:rFonts w:asciiTheme="majorHAnsi" w:eastAsiaTheme="majorEastAsia" w:hAnsiTheme="majorHAnsi" w:cstheme="majorBidi"/>
      <w:color w:val="000000" w:themeColor="text1"/>
      <w:spacing w:val="-10"/>
      <w:kern w:val="28"/>
      <w:sz w:val="48"/>
      <w:szCs w:val="56"/>
    </w:rPr>
  </w:style>
  <w:style w:type="character" w:customStyle="1" w:styleId="TitleChar">
    <w:name w:val="Title Char"/>
    <w:basedOn w:val="DefaultParagraphFont"/>
    <w:link w:val="Title"/>
    <w:uiPriority w:val="99"/>
    <w:rsid w:val="005B0EB4"/>
    <w:rPr>
      <w:rFonts w:asciiTheme="majorHAnsi" w:eastAsiaTheme="majorEastAsia" w:hAnsiTheme="majorHAnsi" w:cstheme="majorBidi"/>
      <w:color w:val="000000" w:themeColor="text1"/>
      <w:spacing w:val="-10"/>
      <w:kern w:val="28"/>
      <w:sz w:val="48"/>
      <w:szCs w:val="56"/>
    </w:rPr>
  </w:style>
  <w:style w:type="paragraph" w:styleId="Subtitle">
    <w:name w:val="Subtitle"/>
    <w:basedOn w:val="Normal"/>
    <w:next w:val="Normal"/>
    <w:link w:val="SubtitleChar"/>
    <w:uiPriority w:val="99"/>
    <w:qFormat/>
    <w:rsid w:val="00F02428"/>
    <w:pPr>
      <w:numPr>
        <w:ilvl w:val="1"/>
      </w:numPr>
      <w:spacing w:before="360" w:after="840"/>
    </w:pPr>
    <w:rPr>
      <w:rFonts w:eastAsiaTheme="minorEastAsia"/>
      <w:color w:val="404040" w:themeColor="text1" w:themeTint="BF"/>
      <w:spacing w:val="15"/>
      <w:sz w:val="32"/>
    </w:rPr>
  </w:style>
  <w:style w:type="character" w:customStyle="1" w:styleId="SubtitleChar">
    <w:name w:val="Subtitle Char"/>
    <w:basedOn w:val="DefaultParagraphFont"/>
    <w:link w:val="Subtitle"/>
    <w:uiPriority w:val="99"/>
    <w:rsid w:val="005B0EB4"/>
    <w:rPr>
      <w:rFonts w:eastAsiaTheme="minorEastAsia"/>
      <w:color w:val="404040" w:themeColor="text1" w:themeTint="BF"/>
      <w:spacing w:val="15"/>
      <w:sz w:val="32"/>
    </w:rPr>
  </w:style>
  <w:style w:type="character" w:customStyle="1" w:styleId="Purple">
    <w:name w:val="Purple"/>
    <w:basedOn w:val="DefaultParagraphFont"/>
    <w:uiPriority w:val="99"/>
    <w:qFormat/>
    <w:rsid w:val="00C425F2"/>
    <w:rPr>
      <w:color w:val="403151" w:themeColor="accent2"/>
    </w:rPr>
  </w:style>
  <w:style w:type="character" w:customStyle="1" w:styleId="Heading1Char">
    <w:name w:val="Heading 1 Char"/>
    <w:basedOn w:val="DefaultParagraphFont"/>
    <w:link w:val="Heading1"/>
    <w:uiPriority w:val="9"/>
    <w:rsid w:val="00A659D0"/>
    <w:rPr>
      <w:rFonts w:asciiTheme="majorHAnsi" w:eastAsiaTheme="majorEastAsia" w:hAnsiTheme="majorHAnsi" w:cstheme="majorBidi"/>
      <w:b/>
      <w:color w:val="BED9CD"/>
      <w:sz w:val="40"/>
      <w:szCs w:val="40"/>
    </w:rPr>
  </w:style>
  <w:style w:type="character" w:customStyle="1" w:styleId="Heading2Char">
    <w:name w:val="Heading 2 Char"/>
    <w:basedOn w:val="DefaultParagraphFont"/>
    <w:link w:val="Heading2"/>
    <w:uiPriority w:val="9"/>
    <w:rsid w:val="007B7D3A"/>
    <w:rPr>
      <w:rFonts w:asciiTheme="majorHAnsi" w:eastAsiaTheme="majorEastAsia" w:hAnsiTheme="majorHAnsi" w:cstheme="majorBidi"/>
      <w:b/>
      <w:color w:val="7B5E05" w:themeColor="accent1"/>
      <w:sz w:val="32"/>
      <w:szCs w:val="32"/>
    </w:rPr>
  </w:style>
  <w:style w:type="character" w:customStyle="1" w:styleId="Heading3Char">
    <w:name w:val="Heading 3 Char"/>
    <w:basedOn w:val="DefaultParagraphFont"/>
    <w:link w:val="Heading3"/>
    <w:uiPriority w:val="9"/>
    <w:rsid w:val="007B7D3A"/>
    <w:rPr>
      <w:rFonts w:asciiTheme="majorHAnsi" w:eastAsiaTheme="majorEastAsia" w:hAnsiTheme="majorHAnsi" w:cstheme="majorBidi"/>
      <w:b/>
      <w:color w:val="403151" w:themeColor="accent2"/>
      <w:sz w:val="28"/>
      <w:szCs w:val="24"/>
    </w:rPr>
  </w:style>
  <w:style w:type="character" w:customStyle="1" w:styleId="Heading4Char">
    <w:name w:val="Heading 4 Char"/>
    <w:basedOn w:val="DefaultParagraphFont"/>
    <w:link w:val="Heading4"/>
    <w:uiPriority w:val="9"/>
    <w:rsid w:val="007B7D3A"/>
    <w:rPr>
      <w:rFonts w:asciiTheme="majorHAnsi" w:eastAsiaTheme="majorEastAsia" w:hAnsiTheme="majorHAnsi" w:cstheme="majorBidi"/>
      <w:b/>
      <w:iCs/>
      <w:color w:val="403152"/>
      <w:sz w:val="24"/>
    </w:rPr>
  </w:style>
  <w:style w:type="character" w:customStyle="1" w:styleId="Heading5Char">
    <w:name w:val="Heading 5 Char"/>
    <w:aliases w:val="Level 1 Numbered Char"/>
    <w:basedOn w:val="DefaultParagraphFont"/>
    <w:link w:val="Heading5"/>
    <w:uiPriority w:val="9"/>
    <w:rsid w:val="007B7D3A"/>
    <w:rPr>
      <w:rFonts w:asciiTheme="majorHAnsi" w:eastAsiaTheme="majorEastAsia" w:hAnsiTheme="majorHAnsi" w:cstheme="majorBidi"/>
      <w:b/>
      <w:color w:val="081729"/>
      <w:sz w:val="40"/>
    </w:rPr>
  </w:style>
  <w:style w:type="character" w:customStyle="1" w:styleId="Heading6Char">
    <w:name w:val="Heading 6 Char"/>
    <w:aliases w:val="Level 2 Numbered Char"/>
    <w:basedOn w:val="DefaultParagraphFont"/>
    <w:link w:val="Heading6"/>
    <w:uiPriority w:val="9"/>
    <w:rsid w:val="000D0F14"/>
    <w:rPr>
      <w:rFonts w:asciiTheme="majorHAnsi" w:eastAsiaTheme="majorEastAsia" w:hAnsiTheme="majorHAnsi" w:cstheme="majorBidi"/>
      <w:b/>
      <w:color w:val="081729"/>
      <w:sz w:val="32"/>
    </w:rPr>
  </w:style>
  <w:style w:type="character" w:customStyle="1" w:styleId="Heading7Char">
    <w:name w:val="Heading 7 Char"/>
    <w:aliases w:val="Level 3 Numbered Char"/>
    <w:basedOn w:val="DefaultParagraphFont"/>
    <w:link w:val="Heading7"/>
    <w:uiPriority w:val="9"/>
    <w:rsid w:val="00C200C2"/>
    <w:rPr>
      <w:rFonts w:asciiTheme="majorHAnsi" w:eastAsiaTheme="majorEastAsia" w:hAnsiTheme="majorHAnsi" w:cstheme="majorBidi"/>
      <w:b/>
      <w:iCs/>
      <w:color w:val="7EA0BC"/>
      <w:sz w:val="28"/>
    </w:rPr>
  </w:style>
  <w:style w:type="character" w:customStyle="1" w:styleId="Heading8Char">
    <w:name w:val="Heading 8 Char"/>
    <w:aliases w:val="Level 4 Numbered Char"/>
    <w:basedOn w:val="DefaultParagraphFont"/>
    <w:link w:val="Heading8"/>
    <w:uiPriority w:val="9"/>
    <w:rsid w:val="007B7D3A"/>
    <w:rPr>
      <w:rFonts w:asciiTheme="majorHAnsi" w:eastAsiaTheme="majorEastAsia" w:hAnsiTheme="majorHAnsi" w:cstheme="majorBidi"/>
      <w:b/>
      <w:color w:val="7EA0BC"/>
      <w:sz w:val="24"/>
      <w:szCs w:val="32"/>
    </w:rPr>
  </w:style>
  <w:style w:type="character" w:customStyle="1" w:styleId="Heading9Char">
    <w:name w:val="Heading 9 Char"/>
    <w:basedOn w:val="DefaultParagraphFont"/>
    <w:link w:val="Heading9"/>
    <w:uiPriority w:val="9"/>
    <w:rsid w:val="007B7D3A"/>
    <w:rPr>
      <w:rFonts w:asciiTheme="majorHAnsi" w:eastAsiaTheme="majorEastAsia" w:hAnsiTheme="majorHAnsi" w:cstheme="majorBidi"/>
      <w:b/>
      <w:iCs/>
      <w:color w:val="7B5E05" w:themeColor="accent1"/>
      <w:sz w:val="40"/>
      <w:szCs w:val="21"/>
    </w:rPr>
  </w:style>
  <w:style w:type="paragraph" w:styleId="ListNumber">
    <w:name w:val="List Number"/>
    <w:basedOn w:val="Normal"/>
    <w:uiPriority w:val="1"/>
    <w:rsid w:val="00A659D0"/>
    <w:pPr>
      <w:numPr>
        <w:numId w:val="4"/>
      </w:numPr>
      <w:spacing w:before="0" w:after="240" w:line="240" w:lineRule="auto"/>
    </w:pPr>
  </w:style>
  <w:style w:type="paragraph" w:styleId="ListBullet">
    <w:name w:val="List Bullet"/>
    <w:basedOn w:val="Normal"/>
    <w:uiPriority w:val="2"/>
    <w:rsid w:val="00A659D0"/>
    <w:pPr>
      <w:numPr>
        <w:numId w:val="94"/>
      </w:numPr>
      <w:spacing w:before="0" w:after="40"/>
    </w:pPr>
  </w:style>
  <w:style w:type="paragraph" w:styleId="Quote">
    <w:name w:val="Quote"/>
    <w:next w:val="Normal"/>
    <w:link w:val="QuoteChar"/>
    <w:uiPriority w:val="31"/>
    <w:qFormat/>
    <w:rsid w:val="00DE7098"/>
    <w:pPr>
      <w:spacing w:after="240" w:line="240" w:lineRule="auto"/>
      <w:ind w:left="567" w:right="510"/>
    </w:pPr>
    <w:rPr>
      <w:iCs/>
      <w:color w:val="595959" w:themeColor="text1" w:themeTint="A6"/>
      <w:sz w:val="20"/>
    </w:rPr>
  </w:style>
  <w:style w:type="character" w:customStyle="1" w:styleId="QuoteChar">
    <w:name w:val="Quote Char"/>
    <w:basedOn w:val="DefaultParagraphFont"/>
    <w:link w:val="Quote"/>
    <w:uiPriority w:val="31"/>
    <w:rsid w:val="00532EAC"/>
    <w:rPr>
      <w:iCs/>
      <w:color w:val="595959" w:themeColor="text1" w:themeTint="A6"/>
      <w:sz w:val="20"/>
    </w:rPr>
  </w:style>
  <w:style w:type="paragraph" w:customStyle="1" w:styleId="OutlineBox">
    <w:name w:val="Outline Box"/>
    <w:basedOn w:val="Normal"/>
    <w:uiPriority w:val="13"/>
    <w:qFormat/>
    <w:rsid w:val="00A659D0"/>
    <w:pPr>
      <w:pBdr>
        <w:top w:val="single" w:sz="4" w:space="12" w:color="7B5E05" w:themeColor="accent1"/>
        <w:left w:val="single" w:sz="4" w:space="10" w:color="7B5E05" w:themeColor="accent1"/>
        <w:bottom w:val="single" w:sz="4" w:space="12" w:color="7B5E05" w:themeColor="accent1"/>
        <w:right w:val="single" w:sz="4" w:space="4" w:color="7B5E05" w:themeColor="accent1"/>
      </w:pBdr>
      <w:spacing w:before="0" w:after="0" w:line="240" w:lineRule="auto"/>
      <w:ind w:left="805" w:right="805"/>
    </w:pPr>
  </w:style>
  <w:style w:type="paragraph" w:customStyle="1" w:styleId="OutlineBoxBullets">
    <w:name w:val="Outline Box Bullets"/>
    <w:basedOn w:val="OutlineBox"/>
    <w:uiPriority w:val="13"/>
    <w:qFormat/>
    <w:rsid w:val="00CD771B"/>
    <w:pPr>
      <w:numPr>
        <w:ilvl w:val="2"/>
        <w:numId w:val="2"/>
      </w:numPr>
    </w:pPr>
  </w:style>
  <w:style w:type="character" w:styleId="Strong">
    <w:name w:val="Strong"/>
    <w:uiPriority w:val="22"/>
    <w:qFormat/>
    <w:rsid w:val="00A37D2A"/>
    <w:rPr>
      <w:b/>
      <w:i/>
      <w:color w:val="808080" w:themeColor="background1" w:themeShade="80"/>
      <w:szCs w:val="20"/>
    </w:rPr>
  </w:style>
  <w:style w:type="table" w:styleId="TableGrid">
    <w:name w:val="Table Grid"/>
    <w:basedOn w:val="TableNormal"/>
    <w:uiPriority w:val="59"/>
    <w:rsid w:val="004F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pereTable">
    <w:name w:val="Sapere Table"/>
    <w:basedOn w:val="TableNormal"/>
    <w:uiPriority w:val="99"/>
    <w:rsid w:val="009E717E"/>
    <w:pPr>
      <w:spacing w:after="0" w:line="240" w:lineRule="auto"/>
    </w:pPr>
    <w:rPr>
      <w:color w:val="000000" w:themeColor="text1"/>
    </w:rPr>
    <w:tblPr>
      <w:tblBorders>
        <w:top w:val="single" w:sz="4" w:space="0" w:color="C3D9EE"/>
        <w:bottom w:val="single" w:sz="4" w:space="0" w:color="C3D9EE"/>
        <w:insideH w:val="single" w:sz="4" w:space="0" w:color="C3D9EE"/>
      </w:tblBorders>
      <w:tblCellMar>
        <w:top w:w="28" w:type="dxa"/>
        <w:bottom w:w="28" w:type="dxa"/>
      </w:tblCellMar>
    </w:tblPr>
    <w:tblStylePr w:type="firstRow">
      <w:rPr>
        <w:b/>
        <w:color w:val="7EA0BC"/>
      </w:rPr>
    </w:tblStylePr>
    <w:tblStylePr w:type="lastRow">
      <w:rPr>
        <w:b/>
        <w:color w:val="7EA0BC"/>
      </w:rPr>
      <w:tblPr/>
      <w:tcPr>
        <w:tcBorders>
          <w:top w:val="nil"/>
          <w:left w:val="nil"/>
          <w:bottom w:val="nil"/>
          <w:right w:val="nil"/>
          <w:insideH w:val="nil"/>
          <w:insideV w:val="nil"/>
          <w:tl2br w:val="nil"/>
          <w:tr2bl w:val="nil"/>
        </w:tcBorders>
      </w:tcPr>
    </w:tblStylePr>
    <w:tblStylePr w:type="firstCol">
      <w:rPr>
        <w:b/>
        <w:color w:val="7EA0BC"/>
      </w:rPr>
    </w:tblStylePr>
  </w:style>
  <w:style w:type="paragraph" w:customStyle="1" w:styleId="TableTopRowHeading">
    <w:name w:val="Table Top Row Heading"/>
    <w:basedOn w:val="Normal"/>
    <w:uiPriority w:val="11"/>
    <w:semiHidden/>
    <w:qFormat/>
    <w:rsid w:val="004F6B2D"/>
    <w:pPr>
      <w:spacing w:after="0" w:line="240" w:lineRule="auto"/>
    </w:pPr>
    <w:rPr>
      <w:b/>
      <w:color w:val="7B5E05" w:themeColor="accent1"/>
    </w:rPr>
  </w:style>
  <w:style w:type="paragraph" w:styleId="Header">
    <w:name w:val="header"/>
    <w:basedOn w:val="Normal"/>
    <w:link w:val="HeaderChar"/>
    <w:uiPriority w:val="99"/>
    <w:unhideWhenUsed/>
    <w:rsid w:val="00A659D0"/>
    <w:pPr>
      <w:tabs>
        <w:tab w:val="center" w:pos="4513"/>
        <w:tab w:val="right" w:pos="9026"/>
      </w:tabs>
      <w:spacing w:before="0" w:after="720" w:line="240" w:lineRule="auto"/>
      <w:ind w:right="3402"/>
    </w:pPr>
    <w:rPr>
      <w:caps/>
      <w:color w:val="6C6C6C" w:themeColor="accent3" w:themeShade="80"/>
    </w:rPr>
  </w:style>
  <w:style w:type="character" w:customStyle="1" w:styleId="HeaderChar">
    <w:name w:val="Header Char"/>
    <w:basedOn w:val="DefaultParagraphFont"/>
    <w:link w:val="Header"/>
    <w:uiPriority w:val="99"/>
    <w:rsid w:val="00A659D0"/>
    <w:rPr>
      <w:caps/>
      <w:noProof/>
      <w:color w:val="6C6C6C" w:themeColor="accent3" w:themeShade="80"/>
      <w:sz w:val="20"/>
    </w:rPr>
  </w:style>
  <w:style w:type="paragraph" w:styleId="Footer">
    <w:name w:val="footer"/>
    <w:basedOn w:val="Normal"/>
    <w:link w:val="FooterChar"/>
    <w:uiPriority w:val="99"/>
    <w:unhideWhenUsed/>
    <w:rsid w:val="00A659D0"/>
    <w:pPr>
      <w:tabs>
        <w:tab w:val="center" w:pos="4513"/>
        <w:tab w:val="right" w:pos="9026"/>
      </w:tabs>
      <w:spacing w:before="0" w:after="0" w:line="240" w:lineRule="auto"/>
    </w:pPr>
    <w:rPr>
      <w:sz w:val="18"/>
    </w:rPr>
  </w:style>
  <w:style w:type="character" w:customStyle="1" w:styleId="FooterChar">
    <w:name w:val="Footer Char"/>
    <w:basedOn w:val="DefaultParagraphFont"/>
    <w:link w:val="Footer"/>
    <w:uiPriority w:val="99"/>
    <w:rsid w:val="00A659D0"/>
    <w:rPr>
      <w:noProof/>
      <w:sz w:val="18"/>
    </w:rPr>
  </w:style>
  <w:style w:type="paragraph" w:customStyle="1" w:styleId="CalloutHeading">
    <w:name w:val="Callout Heading"/>
    <w:basedOn w:val="Normal"/>
    <w:next w:val="CalloutText"/>
    <w:uiPriority w:val="13"/>
    <w:qFormat/>
    <w:rsid w:val="00A659D0"/>
    <w:pPr>
      <w:spacing w:before="0" w:after="60"/>
    </w:pPr>
    <w:rPr>
      <w:b/>
      <w:color w:val="000000" w:themeColor="text1"/>
      <w:lang w:val="en-US"/>
    </w:rPr>
  </w:style>
  <w:style w:type="paragraph" w:customStyle="1" w:styleId="CalloutText">
    <w:name w:val="Callout Text"/>
    <w:basedOn w:val="CalloutHeading"/>
    <w:uiPriority w:val="13"/>
    <w:qFormat/>
    <w:rsid w:val="00BE6A04"/>
    <w:rPr>
      <w:b w:val="0"/>
    </w:rPr>
  </w:style>
  <w:style w:type="paragraph" w:styleId="TOC1">
    <w:name w:val="toc 1"/>
    <w:basedOn w:val="Normal"/>
    <w:next w:val="Normal"/>
    <w:autoRedefine/>
    <w:uiPriority w:val="39"/>
    <w:rsid w:val="00502617"/>
    <w:pPr>
      <w:tabs>
        <w:tab w:val="left" w:pos="425"/>
        <w:tab w:val="right" w:leader="dot" w:pos="9016"/>
      </w:tabs>
      <w:spacing w:before="0" w:after="120" w:line="240" w:lineRule="auto"/>
    </w:pPr>
  </w:style>
  <w:style w:type="paragraph" w:styleId="TOC2">
    <w:name w:val="toc 2"/>
    <w:basedOn w:val="Normal"/>
    <w:next w:val="Normal"/>
    <w:autoRedefine/>
    <w:uiPriority w:val="39"/>
    <w:rsid w:val="00A659D0"/>
    <w:pPr>
      <w:tabs>
        <w:tab w:val="right" w:leader="dot" w:pos="9016"/>
      </w:tabs>
      <w:spacing w:before="0" w:after="120" w:line="240" w:lineRule="auto"/>
      <w:ind w:left="425" w:hanging="425"/>
    </w:pPr>
  </w:style>
  <w:style w:type="character" w:styleId="Hyperlink">
    <w:name w:val="Hyperlink"/>
    <w:basedOn w:val="DefaultParagraphFont"/>
    <w:uiPriority w:val="99"/>
    <w:unhideWhenUsed/>
    <w:rsid w:val="002C727E"/>
    <w:rPr>
      <w:color w:val="7B5E05" w:themeColor="hyperlink"/>
      <w:u w:val="single"/>
    </w:rPr>
  </w:style>
  <w:style w:type="paragraph" w:styleId="TOCHeading">
    <w:name w:val="TOC Heading"/>
    <w:basedOn w:val="Normal"/>
    <w:next w:val="Normal"/>
    <w:uiPriority w:val="39"/>
    <w:qFormat/>
    <w:rsid w:val="0056113C"/>
    <w:pPr>
      <w:spacing w:before="480" w:after="60"/>
    </w:pPr>
    <w:rPr>
      <w:b/>
      <w:color w:val="7B5E05" w:themeColor="accent1"/>
      <w:sz w:val="24"/>
    </w:rPr>
  </w:style>
  <w:style w:type="paragraph" w:styleId="TOC3">
    <w:name w:val="toc 3"/>
    <w:basedOn w:val="Normal"/>
    <w:next w:val="Normal"/>
    <w:autoRedefine/>
    <w:uiPriority w:val="39"/>
    <w:rsid w:val="00EC41D2"/>
    <w:pPr>
      <w:tabs>
        <w:tab w:val="left" w:pos="1276"/>
        <w:tab w:val="right" w:leader="dot" w:pos="9016"/>
      </w:tabs>
      <w:spacing w:before="0" w:after="120" w:line="240" w:lineRule="auto"/>
      <w:ind w:left="1276" w:hanging="425"/>
    </w:pPr>
  </w:style>
  <w:style w:type="paragraph" w:styleId="TableofFigures">
    <w:name w:val="table of figures"/>
    <w:basedOn w:val="Normal"/>
    <w:next w:val="Normal"/>
    <w:uiPriority w:val="99"/>
    <w:rsid w:val="00760098"/>
    <w:pPr>
      <w:spacing w:before="0" w:after="0"/>
    </w:pPr>
  </w:style>
  <w:style w:type="table" w:customStyle="1" w:styleId="zGlossaryTable">
    <w:name w:val="zGlossary Table"/>
    <w:basedOn w:val="TableNormal"/>
    <w:uiPriority w:val="99"/>
    <w:rsid w:val="009757C5"/>
    <w:pPr>
      <w:spacing w:after="0" w:line="240" w:lineRule="auto"/>
    </w:pPr>
    <w:rPr>
      <w:sz w:val="20"/>
    </w:rPr>
    <w:tblPr>
      <w:tblCellMar>
        <w:top w:w="57" w:type="dxa"/>
        <w:left w:w="0" w:type="dxa"/>
        <w:bottom w:w="57" w:type="dxa"/>
        <w:right w:w="0" w:type="dxa"/>
      </w:tblCellMar>
    </w:tblPr>
    <w:tcPr>
      <w:vAlign w:val="center"/>
    </w:tcPr>
    <w:tblStylePr w:type="firstRow">
      <w:rPr>
        <w:b/>
      </w:rPr>
    </w:tblStylePr>
  </w:style>
  <w:style w:type="paragraph" w:customStyle="1" w:styleId="TableTitle">
    <w:name w:val="Table Title"/>
    <w:basedOn w:val="TableofFigures"/>
    <w:uiPriority w:val="11"/>
    <w:semiHidden/>
    <w:qFormat/>
    <w:rsid w:val="00A212AE"/>
    <w:pPr>
      <w:spacing w:after="240"/>
    </w:pPr>
    <w:rPr>
      <w:b/>
      <w:color w:val="000000" w:themeColor="text1"/>
    </w:rPr>
  </w:style>
  <w:style w:type="table" w:customStyle="1" w:styleId="GreyTable">
    <w:name w:val="Grey Table"/>
    <w:basedOn w:val="TableNormal"/>
    <w:uiPriority w:val="99"/>
    <w:rsid w:val="0065008B"/>
    <w:pPr>
      <w:spacing w:after="0" w:line="240" w:lineRule="auto"/>
    </w:pPr>
    <w:tblPr>
      <w:jc w:val="center"/>
      <w:tblCellMar>
        <w:top w:w="113" w:type="dxa"/>
        <w:left w:w="85" w:type="dxa"/>
        <w:bottom w:w="113" w:type="dxa"/>
        <w:right w:w="85" w:type="dxa"/>
      </w:tblCellMar>
    </w:tblPr>
    <w:trPr>
      <w:jc w:val="center"/>
    </w:trPr>
    <w:tcPr>
      <w:shd w:val="clear" w:color="auto" w:fill="D9D9D9" w:themeFill="accent3"/>
    </w:tcPr>
  </w:style>
  <w:style w:type="paragraph" w:customStyle="1" w:styleId="TableText">
    <w:name w:val="Table Text"/>
    <w:basedOn w:val="Normal"/>
    <w:uiPriority w:val="12"/>
    <w:semiHidden/>
    <w:qFormat/>
    <w:rsid w:val="007160C6"/>
    <w:pPr>
      <w:spacing w:after="0" w:line="240" w:lineRule="auto"/>
    </w:pPr>
  </w:style>
  <w:style w:type="paragraph" w:customStyle="1" w:styleId="Source">
    <w:name w:val="Source"/>
    <w:basedOn w:val="Normal"/>
    <w:next w:val="Normal"/>
    <w:uiPriority w:val="38"/>
    <w:qFormat/>
    <w:rsid w:val="00A659D0"/>
    <w:pPr>
      <w:keepNext/>
      <w:spacing w:before="0" w:after="240"/>
    </w:pPr>
    <w:rPr>
      <w:iCs/>
      <w:color w:val="000000" w:themeColor="text1"/>
      <w:sz w:val="16"/>
      <w:szCs w:val="16"/>
    </w:rPr>
  </w:style>
  <w:style w:type="table" w:customStyle="1" w:styleId="zEndPageTable">
    <w:name w:val="zEnd Page Table"/>
    <w:basedOn w:val="TableNormal"/>
    <w:uiPriority w:val="99"/>
    <w:rsid w:val="00136121"/>
    <w:pPr>
      <w:spacing w:after="0" w:line="240" w:lineRule="auto"/>
    </w:pPr>
    <w:tblPr>
      <w:tblBorders>
        <w:insideH w:val="single" w:sz="4" w:space="0" w:color="7B5E05" w:themeColor="accent1"/>
        <w:insideV w:val="single" w:sz="4" w:space="0" w:color="7B5E05" w:themeColor="accent1"/>
      </w:tblBorders>
    </w:tblPr>
  </w:style>
  <w:style w:type="paragraph" w:customStyle="1" w:styleId="Gap">
    <w:name w:val="Gap"/>
    <w:basedOn w:val="Normal"/>
    <w:semiHidden/>
    <w:qFormat/>
    <w:rsid w:val="00671F44"/>
    <w:pPr>
      <w:spacing w:after="1080"/>
    </w:pPr>
    <w:rPr>
      <w:lang w:eastAsia="en-NZ"/>
    </w:rPr>
  </w:style>
  <w:style w:type="paragraph" w:styleId="TOAHeading">
    <w:name w:val="toa heading"/>
    <w:basedOn w:val="Normal"/>
    <w:next w:val="Normal"/>
    <w:uiPriority w:val="99"/>
    <w:semiHidden/>
    <w:unhideWhenUsed/>
    <w:rsid w:val="00671F44"/>
    <w:pPr>
      <w:spacing w:before="120"/>
    </w:pPr>
    <w:rPr>
      <w:rFonts w:asciiTheme="majorHAnsi" w:eastAsiaTheme="majorEastAsia" w:hAnsiTheme="majorHAnsi" w:cstheme="majorBidi"/>
      <w:b/>
      <w:bCs/>
      <w:sz w:val="24"/>
      <w:szCs w:val="24"/>
    </w:rPr>
  </w:style>
  <w:style w:type="paragraph" w:styleId="ListParagraph">
    <w:name w:val="List Paragraph"/>
    <w:aliases w:val="Bullet List,Bullet point,List Paragraph1,List Paragraph11,Recommendation,List Bullet 1,L"/>
    <w:basedOn w:val="Normal"/>
    <w:link w:val="ListParagraphChar"/>
    <w:uiPriority w:val="34"/>
    <w:qFormat/>
    <w:rsid w:val="00636428"/>
    <w:pPr>
      <w:ind w:left="720"/>
      <w:contextualSpacing/>
    </w:pPr>
  </w:style>
  <w:style w:type="paragraph" w:styleId="TOC4">
    <w:name w:val="toc 4"/>
    <w:basedOn w:val="Normal"/>
    <w:next w:val="Normal"/>
    <w:autoRedefine/>
    <w:uiPriority w:val="39"/>
    <w:rsid w:val="004E428D"/>
    <w:pPr>
      <w:tabs>
        <w:tab w:val="right" w:leader="dot" w:pos="9016"/>
      </w:tabs>
      <w:spacing w:before="0" w:after="240" w:line="240" w:lineRule="auto"/>
      <w:ind w:left="1588" w:hanging="567"/>
      <w:contextualSpacing/>
    </w:pPr>
  </w:style>
  <w:style w:type="table" w:customStyle="1" w:styleId="zBlank">
    <w:name w:val="zBlank"/>
    <w:basedOn w:val="TableNormal"/>
    <w:uiPriority w:val="99"/>
    <w:rsid w:val="00566167"/>
    <w:pPr>
      <w:spacing w:after="0" w:line="240" w:lineRule="auto"/>
    </w:pPr>
    <w:tblPr>
      <w:tblCellMar>
        <w:left w:w="0" w:type="dxa"/>
        <w:right w:w="0" w:type="dxa"/>
      </w:tblCellMar>
    </w:tblPr>
  </w:style>
  <w:style w:type="table" w:customStyle="1" w:styleId="zStyle1">
    <w:name w:val="zStyle1"/>
    <w:basedOn w:val="TableNormal"/>
    <w:uiPriority w:val="99"/>
    <w:rsid w:val="002C1220"/>
    <w:pPr>
      <w:spacing w:after="0" w:line="240" w:lineRule="auto"/>
    </w:pPr>
    <w:rPr>
      <w:sz w:val="16"/>
    </w:rPr>
    <w:tblPr>
      <w:tblBorders>
        <w:insideV w:val="single" w:sz="4" w:space="0" w:color="000000" w:themeColor="text1"/>
      </w:tblBorders>
    </w:tblPr>
    <w:tblStylePr w:type="firstRow">
      <w:rPr>
        <w:b/>
      </w:rPr>
    </w:tblStylePr>
  </w:style>
  <w:style w:type="paragraph" w:styleId="IntenseQuote">
    <w:name w:val="Intense Quote"/>
    <w:basedOn w:val="Normal"/>
    <w:next w:val="Normal"/>
    <w:link w:val="IntenseQuoteChar"/>
    <w:uiPriority w:val="30"/>
    <w:semiHidden/>
    <w:qFormat/>
    <w:rsid w:val="002C1220"/>
    <w:pPr>
      <w:spacing w:before="840"/>
      <w:jc w:val="center"/>
    </w:pPr>
    <w:rPr>
      <w:sz w:val="32"/>
      <w:szCs w:val="32"/>
    </w:rPr>
  </w:style>
  <w:style w:type="character" w:customStyle="1" w:styleId="IntenseQuoteChar">
    <w:name w:val="Intense Quote Char"/>
    <w:basedOn w:val="DefaultParagraphFont"/>
    <w:link w:val="IntenseQuote"/>
    <w:uiPriority w:val="30"/>
    <w:semiHidden/>
    <w:rsid w:val="002C1220"/>
    <w:rPr>
      <w:sz w:val="32"/>
      <w:szCs w:val="32"/>
    </w:rPr>
  </w:style>
  <w:style w:type="paragraph" w:customStyle="1" w:styleId="Draftingnote">
    <w:name w:val="Drafting note"/>
    <w:basedOn w:val="Normal"/>
    <w:next w:val="Normal"/>
    <w:semiHidden/>
    <w:qFormat/>
    <w:rsid w:val="00074940"/>
    <w:pPr>
      <w:spacing w:before="0"/>
    </w:pPr>
    <w:rPr>
      <w:i/>
      <w:color w:val="E36C0A" w:themeColor="accent6"/>
    </w:rPr>
  </w:style>
  <w:style w:type="paragraph" w:styleId="FootnoteText">
    <w:name w:val="footnote text"/>
    <w:aliases w:val="Footnote Text Char1 Char,Footnote Text Char Char1 Char,Footnote Text Char Char Char Char Char1,Char Char,Footnote Text Char Char Char,Footnote Text Char Char Char Char,fn,FT,ft,SD Footnote Text,Footnote Text AG,(NECG) Footnote Text"/>
    <w:basedOn w:val="Normal"/>
    <w:link w:val="FootnoteTextChar"/>
    <w:uiPriority w:val="8"/>
    <w:qFormat/>
    <w:rsid w:val="00A659D0"/>
    <w:pPr>
      <w:spacing w:before="0" w:after="0" w:line="240" w:lineRule="auto"/>
      <w:ind w:left="113" w:hanging="113"/>
    </w:pPr>
    <w:rPr>
      <w:sz w:val="18"/>
      <w:szCs w:val="20"/>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FT Char,ft Char"/>
    <w:basedOn w:val="DefaultParagraphFont"/>
    <w:link w:val="FootnoteText"/>
    <w:uiPriority w:val="99"/>
    <w:rsid w:val="00A659D0"/>
    <w:rPr>
      <w:noProof/>
      <w:sz w:val="18"/>
      <w:szCs w:val="20"/>
    </w:rPr>
  </w:style>
  <w:style w:type="table" w:customStyle="1" w:styleId="ValuationTable">
    <w:name w:val="Valuation Table"/>
    <w:basedOn w:val="TableNormal"/>
    <w:uiPriority w:val="99"/>
    <w:rsid w:val="007B7D3A"/>
    <w:pPr>
      <w:spacing w:after="0" w:line="240" w:lineRule="auto"/>
    </w:pPr>
    <w:tblPr>
      <w:tblBorders>
        <w:bottom w:val="single" w:sz="4" w:space="0" w:color="000000" w:themeColor="text1"/>
      </w:tblBorders>
      <w:tblCellMar>
        <w:left w:w="0" w:type="dxa"/>
        <w:right w:w="0" w:type="dxa"/>
      </w:tblCellMar>
    </w:tblPr>
    <w:tcPr>
      <w:shd w:val="clear" w:color="auto" w:fill="E8E4DC"/>
    </w:tcPr>
    <w:tblStylePr w:type="firstRow">
      <w:rPr>
        <w:rFonts w:asciiTheme="minorHAnsi" w:hAnsiTheme="minorHAnsi"/>
        <w:b w:val="0"/>
        <w:color w:val="EEECE1" w:themeColor="background2"/>
        <w:sz w:val="20"/>
      </w:rPr>
      <w:tblPr/>
      <w:tcPr>
        <w:tcBorders>
          <w:top w:val="nil"/>
          <w:left w:val="nil"/>
          <w:bottom w:val="nil"/>
          <w:right w:val="nil"/>
          <w:insideH w:val="nil"/>
          <w:insideV w:val="nil"/>
        </w:tcBorders>
        <w:shd w:val="clear" w:color="auto" w:fill="7B5E05" w:themeFill="accent1"/>
      </w:tcPr>
    </w:tblStylePr>
  </w:style>
  <w:style w:type="paragraph" w:styleId="ListNumber2">
    <w:name w:val="List Number 2"/>
    <w:basedOn w:val="Normal"/>
    <w:uiPriority w:val="1"/>
    <w:rsid w:val="00A659D0"/>
    <w:pPr>
      <w:numPr>
        <w:ilvl w:val="1"/>
        <w:numId w:val="4"/>
      </w:numPr>
      <w:spacing w:before="0" w:after="60"/>
      <w:contextualSpacing/>
    </w:pPr>
  </w:style>
  <w:style w:type="paragraph" w:styleId="ListNumber3">
    <w:name w:val="List Number 3"/>
    <w:basedOn w:val="Normal"/>
    <w:uiPriority w:val="1"/>
    <w:rsid w:val="00A659D0"/>
    <w:pPr>
      <w:numPr>
        <w:ilvl w:val="2"/>
        <w:numId w:val="4"/>
      </w:numPr>
      <w:spacing w:before="0" w:after="60"/>
      <w:contextualSpacing/>
    </w:pPr>
  </w:style>
  <w:style w:type="paragraph" w:styleId="ListNumber4">
    <w:name w:val="List Number 4"/>
    <w:basedOn w:val="Normal"/>
    <w:uiPriority w:val="1"/>
    <w:rsid w:val="00A659D0"/>
    <w:pPr>
      <w:numPr>
        <w:ilvl w:val="3"/>
        <w:numId w:val="4"/>
      </w:numPr>
      <w:spacing w:before="0" w:after="60"/>
      <w:contextualSpacing/>
    </w:pPr>
  </w:style>
  <w:style w:type="paragraph" w:styleId="ListNumber5">
    <w:name w:val="List Number 5"/>
    <w:basedOn w:val="Normal"/>
    <w:uiPriority w:val="1"/>
    <w:rsid w:val="00A659D0"/>
    <w:pPr>
      <w:numPr>
        <w:ilvl w:val="4"/>
        <w:numId w:val="4"/>
      </w:numPr>
      <w:spacing w:before="0" w:after="60"/>
      <w:ind w:left="1798" w:hanging="335"/>
      <w:contextualSpacing/>
    </w:pPr>
  </w:style>
  <w:style w:type="paragraph" w:customStyle="1" w:styleId="Quote2">
    <w:name w:val="Quote 2"/>
    <w:uiPriority w:val="31"/>
    <w:qFormat/>
    <w:rsid w:val="00DE7098"/>
    <w:pPr>
      <w:spacing w:after="240" w:line="240" w:lineRule="auto"/>
      <w:ind w:left="1440" w:right="1939"/>
    </w:pPr>
    <w:rPr>
      <w:b/>
      <w:iCs/>
      <w:color w:val="000000" w:themeColor="text1"/>
      <w:sz w:val="20"/>
    </w:rPr>
  </w:style>
  <w:style w:type="character" w:styleId="FootnoteReference">
    <w:name w:val="footnote reference"/>
    <w:aliases w:val="fr,(NECG) Footnote Reference,Ref,de nota al pie"/>
    <w:basedOn w:val="DefaultParagraphFont"/>
    <w:uiPriority w:val="8"/>
    <w:unhideWhenUsed/>
    <w:rsid w:val="00C130EF"/>
    <w:rPr>
      <w:vertAlign w:val="superscript"/>
    </w:rPr>
  </w:style>
  <w:style w:type="paragraph" w:styleId="ListBullet2">
    <w:name w:val="List Bullet 2"/>
    <w:basedOn w:val="Normal"/>
    <w:uiPriority w:val="2"/>
    <w:rsid w:val="00A659D0"/>
    <w:pPr>
      <w:numPr>
        <w:ilvl w:val="1"/>
        <w:numId w:val="2"/>
      </w:numPr>
      <w:spacing w:before="0" w:after="40"/>
    </w:pPr>
  </w:style>
  <w:style w:type="paragraph" w:customStyle="1" w:styleId="OutlineBoxQuote">
    <w:name w:val="Outline Box Quote"/>
    <w:basedOn w:val="Quote"/>
    <w:uiPriority w:val="13"/>
    <w:qFormat/>
    <w:rsid w:val="00B36931"/>
    <w:pPr>
      <w:pBdr>
        <w:top w:val="single" w:sz="4" w:space="12" w:color="7B5E05" w:themeColor="accent1"/>
        <w:left w:val="single" w:sz="4" w:space="10" w:color="7B5E05" w:themeColor="accent1"/>
        <w:bottom w:val="single" w:sz="4" w:space="12" w:color="7B5E05" w:themeColor="accent1"/>
        <w:right w:val="single" w:sz="4" w:space="4" w:color="7B5E05" w:themeColor="accent1"/>
      </w:pBdr>
      <w:spacing w:before="240"/>
      <w:ind w:left="805" w:right="805"/>
    </w:pPr>
  </w:style>
  <w:style w:type="numbering" w:customStyle="1" w:styleId="Captions">
    <w:name w:val="Captions"/>
    <w:uiPriority w:val="99"/>
    <w:rsid w:val="0032475A"/>
    <w:pPr>
      <w:numPr>
        <w:numId w:val="6"/>
      </w:numPr>
    </w:pPr>
  </w:style>
  <w:style w:type="paragraph" w:customStyle="1" w:styleId="FigureCaption">
    <w:name w:val="Figure Caption"/>
    <w:basedOn w:val="Normal"/>
    <w:next w:val="Normal"/>
    <w:uiPriority w:val="37"/>
    <w:semiHidden/>
    <w:qFormat/>
    <w:rsid w:val="00B74F96"/>
    <w:pPr>
      <w:keepNext/>
      <w:spacing w:before="120" w:after="60"/>
    </w:pPr>
    <w:rPr>
      <w:iCs/>
      <w:color w:val="404040" w:themeColor="text2" w:themeTint="BF"/>
      <w:sz w:val="18"/>
      <w:szCs w:val="20"/>
    </w:rPr>
  </w:style>
  <w:style w:type="paragraph" w:customStyle="1" w:styleId="TableCaption">
    <w:name w:val="Table Caption"/>
    <w:basedOn w:val="FigureCaption"/>
    <w:next w:val="Normal"/>
    <w:uiPriority w:val="37"/>
    <w:semiHidden/>
    <w:qFormat/>
    <w:rsid w:val="000D6BA7"/>
  </w:style>
  <w:style w:type="paragraph" w:styleId="TOC5">
    <w:name w:val="toc 5"/>
    <w:basedOn w:val="Normal"/>
    <w:next w:val="Normal"/>
    <w:autoRedefine/>
    <w:uiPriority w:val="39"/>
    <w:rsid w:val="00A659D0"/>
    <w:pPr>
      <w:tabs>
        <w:tab w:val="left" w:pos="851"/>
        <w:tab w:val="right" w:leader="dot" w:pos="9016"/>
      </w:tabs>
      <w:spacing w:before="0" w:after="100"/>
    </w:pPr>
  </w:style>
  <w:style w:type="paragraph" w:customStyle="1" w:styleId="AppendixHeading2">
    <w:name w:val="Appendix Heading 2"/>
    <w:basedOn w:val="Heading2"/>
    <w:next w:val="Normal"/>
    <w:uiPriority w:val="10"/>
    <w:qFormat/>
    <w:rsid w:val="0009727C"/>
  </w:style>
  <w:style w:type="paragraph" w:customStyle="1" w:styleId="AppendixHeading3">
    <w:name w:val="Appendix Heading 3"/>
    <w:basedOn w:val="Heading3"/>
    <w:next w:val="Normal"/>
    <w:uiPriority w:val="10"/>
    <w:qFormat/>
    <w:rsid w:val="00532EAC"/>
  </w:style>
  <w:style w:type="paragraph" w:customStyle="1" w:styleId="AppendixHeading4">
    <w:name w:val="Appendix Heading 4"/>
    <w:basedOn w:val="Heading4"/>
    <w:next w:val="Normal"/>
    <w:uiPriority w:val="10"/>
    <w:qFormat/>
    <w:rsid w:val="00532EAC"/>
  </w:style>
  <w:style w:type="paragraph" w:styleId="Caption">
    <w:name w:val="caption"/>
    <w:basedOn w:val="FigureCaption"/>
    <w:next w:val="Normal"/>
    <w:link w:val="CaptionChar"/>
    <w:uiPriority w:val="3"/>
    <w:qFormat/>
    <w:rsid w:val="00B74F96"/>
  </w:style>
  <w:style w:type="paragraph" w:styleId="BalloonText">
    <w:name w:val="Balloon Text"/>
    <w:basedOn w:val="Normal"/>
    <w:link w:val="BalloonTextChar"/>
    <w:uiPriority w:val="99"/>
    <w:semiHidden/>
    <w:unhideWhenUsed/>
    <w:rsid w:val="001040E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0E8"/>
    <w:rPr>
      <w:rFonts w:ascii="Segoe UI" w:hAnsi="Segoe UI" w:cs="Segoe UI"/>
      <w:sz w:val="18"/>
      <w:szCs w:val="18"/>
    </w:rPr>
  </w:style>
  <w:style w:type="paragraph" w:customStyle="1" w:styleId="NumberedParagraphs">
    <w:name w:val="Numbered Paragraphs"/>
    <w:basedOn w:val="Normal"/>
    <w:qFormat/>
    <w:rsid w:val="00C06314"/>
    <w:pPr>
      <w:numPr>
        <w:numId w:val="7"/>
      </w:numPr>
      <w:spacing w:before="0"/>
    </w:pPr>
    <w:rPr>
      <w:noProof/>
    </w:rPr>
  </w:style>
  <w:style w:type="character" w:customStyle="1" w:styleId="ListParagraphChar">
    <w:name w:val="List Paragraph Char"/>
    <w:aliases w:val="Bullet List Char,Bullet point Char,List Paragraph1 Char,List Paragraph11 Char,Recommendation Char,List Bullet 1 Char,L Char"/>
    <w:link w:val="ListParagraph"/>
    <w:uiPriority w:val="34"/>
    <w:locked/>
    <w:rsid w:val="007716B9"/>
    <w:rPr>
      <w:sz w:val="20"/>
    </w:rPr>
  </w:style>
  <w:style w:type="table" w:customStyle="1" w:styleId="Style2">
    <w:name w:val="Style2"/>
    <w:basedOn w:val="TableNormal"/>
    <w:uiPriority w:val="99"/>
    <w:rsid w:val="00C91768"/>
    <w:pPr>
      <w:spacing w:after="0" w:line="240" w:lineRule="auto"/>
    </w:pPr>
    <w:tblPr>
      <w:tblBorders>
        <w:top w:val="single" w:sz="4" w:space="0" w:color="auto"/>
        <w:bottom w:val="single" w:sz="4" w:space="0" w:color="auto"/>
        <w:insideH w:val="single" w:sz="4" w:space="0" w:color="auto"/>
      </w:tblBorders>
    </w:tblPr>
  </w:style>
  <w:style w:type="paragraph" w:styleId="NormalWeb">
    <w:name w:val="Normal (Web)"/>
    <w:basedOn w:val="Normal"/>
    <w:uiPriority w:val="99"/>
    <w:semiHidden/>
    <w:unhideWhenUsed/>
    <w:rsid w:val="00C4169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customStyle="1" w:styleId="SapereSallycustom">
    <w:name w:val="Sapere Sally custom"/>
    <w:basedOn w:val="TableNormal"/>
    <w:uiPriority w:val="99"/>
    <w:rsid w:val="005B347D"/>
    <w:pPr>
      <w:spacing w:after="0" w:line="240" w:lineRule="auto"/>
    </w:pPr>
    <w:tblPr>
      <w:tblBorders>
        <w:top w:val="single" w:sz="4" w:space="0" w:color="7B5E05" w:themeColor="accent1"/>
      </w:tblBorders>
    </w:tblPr>
  </w:style>
  <w:style w:type="character" w:styleId="CommentReference">
    <w:name w:val="annotation reference"/>
    <w:basedOn w:val="DefaultParagraphFont"/>
    <w:uiPriority w:val="99"/>
    <w:unhideWhenUsed/>
    <w:rsid w:val="00B9600C"/>
    <w:rPr>
      <w:sz w:val="16"/>
      <w:szCs w:val="16"/>
    </w:rPr>
  </w:style>
  <w:style w:type="paragraph" w:styleId="CommentText">
    <w:name w:val="annotation text"/>
    <w:basedOn w:val="Normal"/>
    <w:link w:val="CommentTextChar"/>
    <w:uiPriority w:val="99"/>
    <w:unhideWhenUsed/>
    <w:rsid w:val="00B9600C"/>
    <w:pPr>
      <w:spacing w:line="240" w:lineRule="auto"/>
    </w:pPr>
    <w:rPr>
      <w:szCs w:val="20"/>
    </w:rPr>
  </w:style>
  <w:style w:type="character" w:customStyle="1" w:styleId="CommentTextChar">
    <w:name w:val="Comment Text Char"/>
    <w:basedOn w:val="DefaultParagraphFont"/>
    <w:link w:val="CommentText"/>
    <w:uiPriority w:val="99"/>
    <w:rsid w:val="00B9600C"/>
    <w:rPr>
      <w:sz w:val="20"/>
      <w:szCs w:val="20"/>
    </w:rPr>
  </w:style>
  <w:style w:type="paragraph" w:styleId="CommentSubject">
    <w:name w:val="annotation subject"/>
    <w:basedOn w:val="CommentText"/>
    <w:next w:val="CommentText"/>
    <w:link w:val="CommentSubjectChar"/>
    <w:uiPriority w:val="99"/>
    <w:semiHidden/>
    <w:unhideWhenUsed/>
    <w:rsid w:val="00B9600C"/>
    <w:rPr>
      <w:b/>
      <w:bCs/>
    </w:rPr>
  </w:style>
  <w:style w:type="character" w:customStyle="1" w:styleId="CommentSubjectChar">
    <w:name w:val="Comment Subject Char"/>
    <w:basedOn w:val="CommentTextChar"/>
    <w:link w:val="CommentSubject"/>
    <w:uiPriority w:val="99"/>
    <w:semiHidden/>
    <w:rsid w:val="00B9600C"/>
    <w:rPr>
      <w:b/>
      <w:bCs/>
      <w:sz w:val="20"/>
      <w:szCs w:val="20"/>
    </w:rPr>
  </w:style>
  <w:style w:type="paragraph" w:styleId="Revision">
    <w:name w:val="Revision"/>
    <w:hidden/>
    <w:uiPriority w:val="99"/>
    <w:semiHidden/>
    <w:rsid w:val="00D9208D"/>
    <w:pPr>
      <w:spacing w:after="0" w:line="240" w:lineRule="auto"/>
    </w:pPr>
    <w:rPr>
      <w:sz w:val="20"/>
    </w:rPr>
  </w:style>
  <w:style w:type="character" w:styleId="UnresolvedMention">
    <w:name w:val="Unresolved Mention"/>
    <w:basedOn w:val="DefaultParagraphFont"/>
    <w:uiPriority w:val="99"/>
    <w:unhideWhenUsed/>
    <w:rsid w:val="00062523"/>
    <w:rPr>
      <w:color w:val="605E5C"/>
      <w:shd w:val="clear" w:color="auto" w:fill="E1DFDD"/>
    </w:rPr>
  </w:style>
  <w:style w:type="character" w:styleId="Mention">
    <w:name w:val="Mention"/>
    <w:basedOn w:val="DefaultParagraphFont"/>
    <w:uiPriority w:val="99"/>
    <w:unhideWhenUsed/>
    <w:rsid w:val="00381930"/>
    <w:rPr>
      <w:color w:val="2B579A"/>
      <w:shd w:val="clear" w:color="auto" w:fill="E1DFDD"/>
    </w:rPr>
  </w:style>
  <w:style w:type="paragraph" w:styleId="EndnoteText">
    <w:name w:val="endnote text"/>
    <w:basedOn w:val="Normal"/>
    <w:link w:val="EndnoteTextChar"/>
    <w:semiHidden/>
    <w:rsid w:val="004C3CD8"/>
    <w:pPr>
      <w:suppressLineNumbers/>
      <w:tabs>
        <w:tab w:val="left" w:pos="426"/>
      </w:tabs>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val="en-AU"/>
    </w:rPr>
  </w:style>
  <w:style w:type="character" w:customStyle="1" w:styleId="EndnoteTextChar">
    <w:name w:val="Endnote Text Char"/>
    <w:basedOn w:val="DefaultParagraphFont"/>
    <w:link w:val="EndnoteText"/>
    <w:semiHidden/>
    <w:rsid w:val="004C3CD8"/>
    <w:rPr>
      <w:rFonts w:ascii="Times New Roman" w:eastAsia="Times New Roman" w:hAnsi="Times New Roman" w:cs="Times New Roman"/>
      <w:sz w:val="20"/>
      <w:szCs w:val="20"/>
      <w:lang w:val="en-AU"/>
    </w:rPr>
  </w:style>
  <w:style w:type="character" w:styleId="EndnoteReference">
    <w:name w:val="endnote reference"/>
    <w:basedOn w:val="DefaultParagraphFont"/>
    <w:semiHidden/>
    <w:rsid w:val="004C3CD8"/>
    <w:rPr>
      <w:vertAlign w:val="superscript"/>
    </w:rPr>
  </w:style>
  <w:style w:type="paragraph" w:customStyle="1" w:styleId="DraftHeading1">
    <w:name w:val="Draft Heading 1"/>
    <w:basedOn w:val="Normal"/>
    <w:next w:val="Normal"/>
    <w:link w:val="DraftHeading1Char"/>
    <w:rsid w:val="00D600E8"/>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0"/>
      <w:lang w:val="en-AU"/>
    </w:rPr>
  </w:style>
  <w:style w:type="character" w:customStyle="1" w:styleId="DraftHeading1Char">
    <w:name w:val="Draft Heading 1 Char"/>
    <w:basedOn w:val="DefaultParagraphFont"/>
    <w:link w:val="DraftHeading1"/>
    <w:locked/>
    <w:rsid w:val="00D600E8"/>
    <w:rPr>
      <w:rFonts w:ascii="Times New Roman" w:eastAsia="Times New Roman" w:hAnsi="Times New Roman" w:cs="Times New Roman"/>
      <w:b/>
      <w:sz w:val="24"/>
      <w:szCs w:val="20"/>
      <w:lang w:val="en-AU"/>
    </w:rPr>
  </w:style>
  <w:style w:type="paragraph" w:customStyle="1" w:styleId="pf0">
    <w:name w:val="pf0"/>
    <w:basedOn w:val="Normal"/>
    <w:rsid w:val="00121C5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121C5E"/>
    <w:rPr>
      <w:rFonts w:ascii="Segoe UI" w:hAnsi="Segoe UI" w:cs="Segoe UI" w:hint="default"/>
      <w:sz w:val="18"/>
      <w:szCs w:val="18"/>
    </w:rPr>
  </w:style>
  <w:style w:type="table" w:customStyle="1" w:styleId="Deloittetable">
    <w:name w:val="Deloitte table"/>
    <w:basedOn w:val="TableNormal"/>
    <w:uiPriority w:val="99"/>
    <w:rsid w:val="005E272B"/>
    <w:pPr>
      <w:spacing w:after="0" w:line="240" w:lineRule="atLeast"/>
    </w:pPr>
    <w:rPr>
      <w:rFonts w:ascii="Verdana" w:hAnsi="Verdana"/>
      <w:sz w:val="17"/>
      <w:szCs w:val="18"/>
      <w:lang w:val="en-AU"/>
    </w:rPr>
    <w:tblPr>
      <w:tblBorders>
        <w:top w:val="single" w:sz="4" w:space="0" w:color="D9D9D9"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D9D9D9" w:themeColor="accent3"/>
        </w:tcBorders>
      </w:tcPr>
    </w:tblStylePr>
  </w:style>
  <w:style w:type="paragraph" w:styleId="BodyText">
    <w:name w:val="Body Text"/>
    <w:basedOn w:val="Normal"/>
    <w:link w:val="BodyTextChar"/>
    <w:uiPriority w:val="99"/>
    <w:semiHidden/>
    <w:rsid w:val="005E272B"/>
    <w:pPr>
      <w:spacing w:before="0" w:after="240" w:line="240" w:lineRule="atLeast"/>
    </w:pPr>
    <w:rPr>
      <w:rFonts w:ascii="Segoe UI Light" w:hAnsi="Segoe UI Light"/>
      <w:szCs w:val="18"/>
      <w:lang w:val="en-AU"/>
    </w:rPr>
  </w:style>
  <w:style w:type="character" w:customStyle="1" w:styleId="BodyTextChar">
    <w:name w:val="Body Text Char"/>
    <w:basedOn w:val="DefaultParagraphFont"/>
    <w:link w:val="BodyText"/>
    <w:uiPriority w:val="99"/>
    <w:semiHidden/>
    <w:rsid w:val="005E272B"/>
    <w:rPr>
      <w:rFonts w:ascii="Segoe UI Light" w:hAnsi="Segoe UI Light"/>
      <w:sz w:val="20"/>
      <w:szCs w:val="18"/>
      <w:lang w:val="en-AU"/>
    </w:rPr>
  </w:style>
  <w:style w:type="character" w:customStyle="1" w:styleId="CaptionChar">
    <w:name w:val="Caption Char"/>
    <w:basedOn w:val="DefaultParagraphFont"/>
    <w:link w:val="Caption"/>
    <w:uiPriority w:val="3"/>
    <w:rsid w:val="005E272B"/>
    <w:rPr>
      <w:iCs/>
      <w:color w:val="404040" w:themeColor="text2" w:themeTint="BF"/>
      <w:sz w:val="18"/>
      <w:szCs w:val="20"/>
    </w:rPr>
  </w:style>
  <w:style w:type="character" w:customStyle="1" w:styleId="DJCSbodyChar">
    <w:name w:val="DJCS body Char"/>
    <w:basedOn w:val="DefaultParagraphFont"/>
    <w:link w:val="DJCSbody"/>
    <w:locked/>
    <w:rsid w:val="00101926"/>
    <w:rPr>
      <w:rFonts w:ascii="Arial" w:eastAsia="Times" w:hAnsi="Arial" w:cs="Arial"/>
    </w:rPr>
  </w:style>
  <w:style w:type="paragraph" w:customStyle="1" w:styleId="DJCSbody">
    <w:name w:val="DJCS body"/>
    <w:link w:val="DJCSbodyChar"/>
    <w:qFormat/>
    <w:rsid w:val="00101926"/>
    <w:pPr>
      <w:spacing w:after="120" w:line="250" w:lineRule="atLeast"/>
      <w:ind w:left="851"/>
    </w:pPr>
    <w:rPr>
      <w:rFonts w:ascii="Arial" w:eastAsia="Times" w:hAnsi="Arial" w:cs="Arial"/>
    </w:rPr>
  </w:style>
  <w:style w:type="paragraph" w:customStyle="1" w:styleId="ScheduleHeading3">
    <w:name w:val="Schedule Heading 3"/>
    <w:basedOn w:val="Normal"/>
    <w:next w:val="Normal"/>
    <w:rsid w:val="00F77D1B"/>
    <w:pPr>
      <w:overflowPunct w:val="0"/>
      <w:autoSpaceDE w:val="0"/>
      <w:autoSpaceDN w:val="0"/>
      <w:adjustRightInd w:val="0"/>
      <w:spacing w:before="120" w:after="0" w:line="240" w:lineRule="auto"/>
    </w:pPr>
    <w:rPr>
      <w:rFonts w:ascii="Times New Roman" w:eastAsia="Times New Roman" w:hAnsi="Times New Roman" w:cs="Times New Roman"/>
      <w:szCs w:val="20"/>
      <w:lang w:val="en-AU"/>
    </w:rPr>
  </w:style>
  <w:style w:type="paragraph" w:customStyle="1" w:styleId="ScheduleHeading4">
    <w:name w:val="Schedule Heading 4"/>
    <w:basedOn w:val="Normal"/>
    <w:next w:val="Normal"/>
    <w:rsid w:val="00F77D1B"/>
    <w:pPr>
      <w:overflowPunct w:val="0"/>
      <w:autoSpaceDE w:val="0"/>
      <w:autoSpaceDN w:val="0"/>
      <w:adjustRightInd w:val="0"/>
      <w:spacing w:before="120" w:after="0" w:line="240" w:lineRule="auto"/>
    </w:pPr>
    <w:rPr>
      <w:rFonts w:ascii="Times New Roman" w:eastAsia="Times New Roman" w:hAnsi="Times New Roman" w:cs="Times New Roman"/>
      <w:szCs w:val="20"/>
      <w:lang w:val="en-AU"/>
    </w:rPr>
  </w:style>
  <w:style w:type="paragraph" w:customStyle="1" w:styleId="ShoulderReference">
    <w:name w:val="Shoulder Reference"/>
    <w:next w:val="Normal"/>
    <w:rsid w:val="00F77D1B"/>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85"/>
    </w:pPr>
    <w:rPr>
      <w:rFonts w:ascii="Times New Roman" w:eastAsia="Times New Roman" w:hAnsi="Times New Roman" w:cs="Times New Roman"/>
      <w:b/>
      <w:noProof/>
      <w:spacing w:val="-6"/>
      <w:sz w:val="20"/>
      <w:szCs w:val="20"/>
      <w:lang w:val="en-AU"/>
    </w:rPr>
  </w:style>
  <w:style w:type="paragraph" w:customStyle="1" w:styleId="ScheduleNo">
    <w:name w:val="Schedule No."/>
    <w:basedOn w:val="Normal"/>
    <w:next w:val="Normal"/>
    <w:rsid w:val="00F77D1B"/>
    <w:pPr>
      <w:overflowPunct w:val="0"/>
      <w:autoSpaceDE w:val="0"/>
      <w:autoSpaceDN w:val="0"/>
      <w:adjustRightInd w:val="0"/>
      <w:spacing w:before="240" w:after="120" w:line="240" w:lineRule="auto"/>
      <w:jc w:val="center"/>
      <w:outlineLvl w:val="1"/>
    </w:pPr>
    <w:rPr>
      <w:rFonts w:ascii="Times New Roman" w:eastAsia="Times New Roman" w:hAnsi="Times New Roman" w:cs="Times New Roman"/>
      <w:b/>
      <w:caps/>
      <w:sz w:val="22"/>
      <w:szCs w:val="20"/>
      <w:lang w:val="en-AU"/>
    </w:rPr>
  </w:style>
  <w:style w:type="paragraph" w:customStyle="1" w:styleId="ScheduleTitle">
    <w:name w:val="Schedule Title"/>
    <w:basedOn w:val="Normal"/>
    <w:next w:val="Normal"/>
    <w:rsid w:val="00F77D1B"/>
    <w:pPr>
      <w:overflowPunct w:val="0"/>
      <w:autoSpaceDE w:val="0"/>
      <w:autoSpaceDN w:val="0"/>
      <w:adjustRightInd w:val="0"/>
      <w:spacing w:before="240" w:after="120" w:line="240" w:lineRule="auto"/>
      <w:jc w:val="center"/>
      <w:outlineLvl w:val="1"/>
    </w:pPr>
    <w:rPr>
      <w:rFonts w:ascii="Times New Roman" w:eastAsia="Times New Roman" w:hAnsi="Times New Roman" w:cs="Times New Roman"/>
      <w:b/>
      <w:caps/>
      <w:sz w:val="22"/>
      <w:szCs w:val="20"/>
      <w:lang w:val="en-AU"/>
    </w:rPr>
  </w:style>
  <w:style w:type="paragraph" w:customStyle="1" w:styleId="Normal-Schedule">
    <w:name w:val="Normal - Schedule"/>
    <w:rsid w:val="00F77D1B"/>
    <w:pPr>
      <w:tabs>
        <w:tab w:val="left" w:pos="454"/>
        <w:tab w:val="left" w:pos="907"/>
        <w:tab w:val="left" w:pos="1361"/>
        <w:tab w:val="left" w:pos="1814"/>
        <w:tab w:val="left" w:pos="2722"/>
      </w:tabs>
      <w:overflowPunct w:val="0"/>
      <w:autoSpaceDE w:val="0"/>
      <w:autoSpaceDN w:val="0"/>
      <w:adjustRightInd w:val="0"/>
      <w:spacing w:before="120" w:after="0" w:line="240" w:lineRule="auto"/>
    </w:pPr>
    <w:rPr>
      <w:rFonts w:ascii="Times New Roman" w:eastAsia="Times New Roman" w:hAnsi="Times New Roman" w:cs="Times New Roman"/>
      <w:sz w:val="20"/>
      <w:szCs w:val="20"/>
      <w:lang w:val="en-AU"/>
    </w:rPr>
  </w:style>
  <w:style w:type="character" w:styleId="FollowedHyperlink">
    <w:name w:val="FollowedHyperlink"/>
    <w:basedOn w:val="DefaultParagraphFont"/>
    <w:uiPriority w:val="99"/>
    <w:semiHidden/>
    <w:unhideWhenUsed/>
    <w:rsid w:val="00283362"/>
    <w:rPr>
      <w:color w:val="7B5E05" w:themeColor="followedHyperlink"/>
      <w:u w:val="single"/>
    </w:rPr>
  </w:style>
  <w:style w:type="paragraph" w:customStyle="1" w:styleId="DraftHeading3">
    <w:name w:val="Draft Heading 3"/>
    <w:basedOn w:val="Normal"/>
    <w:next w:val="Normal"/>
    <w:rsid w:val="00242DB5"/>
    <w:pPr>
      <w:overflowPunct w:val="0"/>
      <w:autoSpaceDE w:val="0"/>
      <w:autoSpaceDN w:val="0"/>
      <w:adjustRightInd w:val="0"/>
      <w:spacing w:before="120" w:after="0" w:line="240" w:lineRule="auto"/>
    </w:pPr>
    <w:rPr>
      <w:rFonts w:ascii="Times New Roman" w:eastAsia="Times New Roman" w:hAnsi="Times New Roman" w:cs="Times New Roman"/>
      <w:sz w:val="24"/>
      <w:szCs w:val="20"/>
      <w:lang w:val="en-AU"/>
    </w:rPr>
  </w:style>
  <w:style w:type="paragraph" w:customStyle="1" w:styleId="DraftHeading4">
    <w:name w:val="Draft Heading 4"/>
    <w:basedOn w:val="Normal"/>
    <w:next w:val="Normal"/>
    <w:rsid w:val="00242DB5"/>
    <w:pPr>
      <w:overflowPunct w:val="0"/>
      <w:autoSpaceDE w:val="0"/>
      <w:autoSpaceDN w:val="0"/>
      <w:adjustRightInd w:val="0"/>
      <w:spacing w:before="120" w:after="0" w:line="240" w:lineRule="auto"/>
    </w:pPr>
    <w:rPr>
      <w:rFonts w:ascii="Times New Roman" w:eastAsia="Times New Roman" w:hAnsi="Times New Roman" w:cs="Times New Roman"/>
      <w:sz w:val="24"/>
      <w:szCs w:val="20"/>
      <w:lang w:val="en-AU"/>
    </w:rPr>
  </w:style>
  <w:style w:type="character" w:customStyle="1" w:styleId="cf21">
    <w:name w:val="cf21"/>
    <w:basedOn w:val="DefaultParagraphFont"/>
    <w:rsid w:val="000A1F1C"/>
    <w:rPr>
      <w:rFonts w:ascii="Segoe UI" w:hAnsi="Segoe UI" w:cs="Segoe UI" w:hint="default"/>
      <w:color w:val="53565A"/>
      <w:sz w:val="18"/>
      <w:szCs w:val="18"/>
    </w:rPr>
  </w:style>
  <w:style w:type="character" w:customStyle="1" w:styleId="ui-provider">
    <w:name w:val="ui-provider"/>
    <w:basedOn w:val="DefaultParagraphFont"/>
    <w:rsid w:val="00710022"/>
  </w:style>
  <w:style w:type="paragraph" w:customStyle="1" w:styleId="Default">
    <w:name w:val="Default"/>
    <w:rsid w:val="00576430"/>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DraftDefinition2">
    <w:name w:val="Draft Definition 2"/>
    <w:next w:val="Normal"/>
    <w:rsid w:val="00011AE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lang w:val="en-AU"/>
    </w:rPr>
  </w:style>
  <w:style w:type="paragraph" w:customStyle="1" w:styleId="Body">
    <w:name w:val="Body"/>
    <w:link w:val="BodyChar"/>
    <w:qFormat/>
    <w:rsid w:val="00011AEC"/>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011AEC"/>
    <w:rPr>
      <w:rFonts w:ascii="Arial" w:eastAsia="Times" w:hAnsi="Arial" w:cs="Times New Roman"/>
      <w:sz w:val="21"/>
      <w:szCs w:val="20"/>
      <w:lang w:val="en-AU"/>
    </w:rPr>
  </w:style>
  <w:style w:type="character" w:customStyle="1" w:styleId="normaltextrun">
    <w:name w:val="normaltextrun"/>
    <w:basedOn w:val="DefaultParagraphFont"/>
    <w:rsid w:val="00011AEC"/>
  </w:style>
  <w:style w:type="paragraph" w:customStyle="1" w:styleId="DHHSbody">
    <w:name w:val="DHHS body"/>
    <w:link w:val="DHHSbodyChar"/>
    <w:qFormat/>
    <w:rsid w:val="002D766E"/>
    <w:pPr>
      <w:spacing w:after="120" w:line="270" w:lineRule="atLeast"/>
    </w:pPr>
    <w:rPr>
      <w:rFonts w:ascii="Arial" w:eastAsia="Times" w:hAnsi="Arial" w:cs="Times New Roman"/>
      <w:sz w:val="20"/>
      <w:szCs w:val="20"/>
      <w:lang w:val="en-AU"/>
    </w:rPr>
  </w:style>
  <w:style w:type="character" w:customStyle="1" w:styleId="DHHSbodyChar">
    <w:name w:val="DHHS body Char"/>
    <w:link w:val="DHHSbody"/>
    <w:locked/>
    <w:rsid w:val="002D766E"/>
    <w:rPr>
      <w:rFonts w:ascii="Arial" w:eastAsia="Times" w:hAnsi="Arial" w:cs="Times New Roman"/>
      <w:sz w:val="20"/>
      <w:szCs w:val="20"/>
      <w:lang w:val="en-AU"/>
    </w:rPr>
  </w:style>
  <w:style w:type="paragraph" w:customStyle="1" w:styleId="BodySectionSub">
    <w:name w:val="Body Section (Sub)"/>
    <w:next w:val="Normal"/>
    <w:link w:val="BodySectionSubChar"/>
    <w:rsid w:val="002D766E"/>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lang w:val="en-AU"/>
    </w:rPr>
  </w:style>
  <w:style w:type="character" w:customStyle="1" w:styleId="BodySectionSubChar">
    <w:name w:val="Body Section (Sub) Char"/>
    <w:basedOn w:val="DefaultParagraphFont"/>
    <w:link w:val="BodySectionSub"/>
    <w:rsid w:val="002D766E"/>
    <w:rPr>
      <w:rFonts w:ascii="Times New Roman" w:eastAsia="Times New Roman" w:hAnsi="Times New Roman" w:cs="Times New Roman"/>
      <w:sz w:val="24"/>
      <w:szCs w:val="20"/>
      <w:lang w:val="en-AU"/>
    </w:rPr>
  </w:style>
  <w:style w:type="table" w:styleId="ListTable4-Accent1">
    <w:name w:val="List Table 4 Accent 1"/>
    <w:basedOn w:val="TableNormal"/>
    <w:uiPriority w:val="49"/>
    <w:rsid w:val="006C4305"/>
    <w:pPr>
      <w:spacing w:after="0" w:line="240" w:lineRule="auto"/>
    </w:pPr>
    <w:rPr>
      <w:lang w:val="en-AU"/>
    </w:rPr>
    <w:tblPr>
      <w:tblStyleRowBandSize w:val="1"/>
      <w:tblStyleColBandSize w:val="1"/>
      <w:tblBorders>
        <w:top w:val="single" w:sz="4" w:space="0" w:color="F6C122" w:themeColor="accent1" w:themeTint="99"/>
        <w:left w:val="single" w:sz="4" w:space="0" w:color="F6C122" w:themeColor="accent1" w:themeTint="99"/>
        <w:bottom w:val="single" w:sz="4" w:space="0" w:color="F6C122" w:themeColor="accent1" w:themeTint="99"/>
        <w:right w:val="single" w:sz="4" w:space="0" w:color="F6C122" w:themeColor="accent1" w:themeTint="99"/>
        <w:insideH w:val="single" w:sz="4" w:space="0" w:color="F6C122" w:themeColor="accent1" w:themeTint="99"/>
      </w:tblBorders>
    </w:tblPr>
    <w:tblStylePr w:type="firstRow">
      <w:rPr>
        <w:b/>
        <w:bCs/>
        <w:color w:val="FFFFFF" w:themeColor="background1"/>
      </w:rPr>
      <w:tblPr/>
      <w:tcPr>
        <w:tcBorders>
          <w:top w:val="single" w:sz="4" w:space="0" w:color="7B5E05" w:themeColor="accent1"/>
          <w:left w:val="single" w:sz="4" w:space="0" w:color="7B5E05" w:themeColor="accent1"/>
          <w:bottom w:val="single" w:sz="4" w:space="0" w:color="7B5E05" w:themeColor="accent1"/>
          <w:right w:val="single" w:sz="4" w:space="0" w:color="7B5E05" w:themeColor="accent1"/>
          <w:insideH w:val="nil"/>
        </w:tcBorders>
        <w:shd w:val="clear" w:color="auto" w:fill="7B5E05" w:themeFill="accent1"/>
      </w:tcPr>
    </w:tblStylePr>
    <w:tblStylePr w:type="lastRow">
      <w:rPr>
        <w:b/>
        <w:bCs/>
      </w:rPr>
      <w:tblPr/>
      <w:tcPr>
        <w:tcBorders>
          <w:top w:val="double" w:sz="4" w:space="0" w:color="F6C122" w:themeColor="accent1" w:themeTint="99"/>
        </w:tcBorders>
      </w:tcPr>
    </w:tblStylePr>
    <w:tblStylePr w:type="firstCol">
      <w:rPr>
        <w:b/>
        <w:bCs/>
      </w:rPr>
    </w:tblStylePr>
    <w:tblStylePr w:type="lastCol">
      <w:rPr>
        <w:b/>
        <w:bCs/>
      </w:rPr>
    </w:tblStylePr>
    <w:tblStylePr w:type="band1Vert">
      <w:tblPr/>
      <w:tcPr>
        <w:shd w:val="clear" w:color="auto" w:fill="FCEAB5" w:themeFill="accent1" w:themeFillTint="33"/>
      </w:tcPr>
    </w:tblStylePr>
    <w:tblStylePr w:type="band1Horz">
      <w:tblPr/>
      <w:tcPr>
        <w:shd w:val="clear" w:color="auto" w:fill="FCEAB5" w:themeFill="accent1" w:themeFillTint="33"/>
      </w:tcPr>
    </w:tblStylePr>
  </w:style>
  <w:style w:type="character" w:customStyle="1" w:styleId="cf11">
    <w:name w:val="cf11"/>
    <w:basedOn w:val="DefaultParagraphFont"/>
    <w:rsid w:val="008774A1"/>
    <w:rPr>
      <w:rFonts w:ascii="Segoe UI" w:hAnsi="Segoe UI" w:cs="Segoe UI" w:hint="default"/>
      <w:b/>
      <w:bCs/>
      <w:sz w:val="18"/>
      <w:szCs w:val="18"/>
    </w:rPr>
  </w:style>
  <w:style w:type="paragraph" w:customStyle="1" w:styleId="DraftHeading2">
    <w:name w:val="Draft Heading 2"/>
    <w:basedOn w:val="Normal"/>
    <w:next w:val="Normal"/>
    <w:link w:val="DraftHeading2Char"/>
    <w:rsid w:val="00694FE1"/>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AU"/>
    </w:rPr>
  </w:style>
  <w:style w:type="character" w:customStyle="1" w:styleId="DraftHeading2Char">
    <w:name w:val="Draft Heading 2 Char"/>
    <w:basedOn w:val="DefaultParagraphFont"/>
    <w:link w:val="DraftHeading2"/>
    <w:rsid w:val="00694FE1"/>
    <w:rPr>
      <w:rFonts w:ascii="Times New Roman" w:eastAsia="Times New Roman" w:hAnsi="Times New Roman" w:cs="Times New Roman"/>
      <w:sz w:val="24"/>
      <w:szCs w:val="20"/>
      <w:lang w:val="en-AU"/>
    </w:rPr>
  </w:style>
  <w:style w:type="table" w:styleId="PlainTable4">
    <w:name w:val="Plain Table 4"/>
    <w:basedOn w:val="TableNormal"/>
    <w:uiPriority w:val="44"/>
    <w:rsid w:val="00694F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E43B0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E4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961">
      <w:bodyDiv w:val="1"/>
      <w:marLeft w:val="0"/>
      <w:marRight w:val="0"/>
      <w:marTop w:val="0"/>
      <w:marBottom w:val="0"/>
      <w:divBdr>
        <w:top w:val="none" w:sz="0" w:space="0" w:color="auto"/>
        <w:left w:val="none" w:sz="0" w:space="0" w:color="auto"/>
        <w:bottom w:val="none" w:sz="0" w:space="0" w:color="auto"/>
        <w:right w:val="none" w:sz="0" w:space="0" w:color="auto"/>
      </w:divBdr>
    </w:div>
    <w:div w:id="90129418">
      <w:bodyDiv w:val="1"/>
      <w:marLeft w:val="0"/>
      <w:marRight w:val="0"/>
      <w:marTop w:val="0"/>
      <w:marBottom w:val="0"/>
      <w:divBdr>
        <w:top w:val="none" w:sz="0" w:space="0" w:color="auto"/>
        <w:left w:val="none" w:sz="0" w:space="0" w:color="auto"/>
        <w:bottom w:val="none" w:sz="0" w:space="0" w:color="auto"/>
        <w:right w:val="none" w:sz="0" w:space="0" w:color="auto"/>
      </w:divBdr>
    </w:div>
    <w:div w:id="155000723">
      <w:bodyDiv w:val="1"/>
      <w:marLeft w:val="0"/>
      <w:marRight w:val="0"/>
      <w:marTop w:val="0"/>
      <w:marBottom w:val="0"/>
      <w:divBdr>
        <w:top w:val="none" w:sz="0" w:space="0" w:color="auto"/>
        <w:left w:val="none" w:sz="0" w:space="0" w:color="auto"/>
        <w:bottom w:val="none" w:sz="0" w:space="0" w:color="auto"/>
        <w:right w:val="none" w:sz="0" w:space="0" w:color="auto"/>
      </w:divBdr>
    </w:div>
    <w:div w:id="239871702">
      <w:bodyDiv w:val="1"/>
      <w:marLeft w:val="0"/>
      <w:marRight w:val="0"/>
      <w:marTop w:val="0"/>
      <w:marBottom w:val="0"/>
      <w:divBdr>
        <w:top w:val="none" w:sz="0" w:space="0" w:color="auto"/>
        <w:left w:val="none" w:sz="0" w:space="0" w:color="auto"/>
        <w:bottom w:val="none" w:sz="0" w:space="0" w:color="auto"/>
        <w:right w:val="none" w:sz="0" w:space="0" w:color="auto"/>
      </w:divBdr>
    </w:div>
    <w:div w:id="256525761">
      <w:bodyDiv w:val="1"/>
      <w:marLeft w:val="0"/>
      <w:marRight w:val="0"/>
      <w:marTop w:val="0"/>
      <w:marBottom w:val="0"/>
      <w:divBdr>
        <w:top w:val="none" w:sz="0" w:space="0" w:color="auto"/>
        <w:left w:val="none" w:sz="0" w:space="0" w:color="auto"/>
        <w:bottom w:val="none" w:sz="0" w:space="0" w:color="auto"/>
        <w:right w:val="none" w:sz="0" w:space="0" w:color="auto"/>
      </w:divBdr>
    </w:div>
    <w:div w:id="303704638">
      <w:bodyDiv w:val="1"/>
      <w:marLeft w:val="0"/>
      <w:marRight w:val="0"/>
      <w:marTop w:val="0"/>
      <w:marBottom w:val="0"/>
      <w:divBdr>
        <w:top w:val="none" w:sz="0" w:space="0" w:color="auto"/>
        <w:left w:val="none" w:sz="0" w:space="0" w:color="auto"/>
        <w:bottom w:val="none" w:sz="0" w:space="0" w:color="auto"/>
        <w:right w:val="none" w:sz="0" w:space="0" w:color="auto"/>
      </w:divBdr>
    </w:div>
    <w:div w:id="319581337">
      <w:bodyDiv w:val="1"/>
      <w:marLeft w:val="0"/>
      <w:marRight w:val="0"/>
      <w:marTop w:val="0"/>
      <w:marBottom w:val="0"/>
      <w:divBdr>
        <w:top w:val="none" w:sz="0" w:space="0" w:color="auto"/>
        <w:left w:val="none" w:sz="0" w:space="0" w:color="auto"/>
        <w:bottom w:val="none" w:sz="0" w:space="0" w:color="auto"/>
        <w:right w:val="none" w:sz="0" w:space="0" w:color="auto"/>
      </w:divBdr>
    </w:div>
    <w:div w:id="328102850">
      <w:bodyDiv w:val="1"/>
      <w:marLeft w:val="0"/>
      <w:marRight w:val="0"/>
      <w:marTop w:val="0"/>
      <w:marBottom w:val="0"/>
      <w:divBdr>
        <w:top w:val="none" w:sz="0" w:space="0" w:color="auto"/>
        <w:left w:val="none" w:sz="0" w:space="0" w:color="auto"/>
        <w:bottom w:val="none" w:sz="0" w:space="0" w:color="auto"/>
        <w:right w:val="none" w:sz="0" w:space="0" w:color="auto"/>
      </w:divBdr>
    </w:div>
    <w:div w:id="332875542">
      <w:bodyDiv w:val="1"/>
      <w:marLeft w:val="0"/>
      <w:marRight w:val="0"/>
      <w:marTop w:val="0"/>
      <w:marBottom w:val="0"/>
      <w:divBdr>
        <w:top w:val="none" w:sz="0" w:space="0" w:color="auto"/>
        <w:left w:val="none" w:sz="0" w:space="0" w:color="auto"/>
        <w:bottom w:val="none" w:sz="0" w:space="0" w:color="auto"/>
        <w:right w:val="none" w:sz="0" w:space="0" w:color="auto"/>
      </w:divBdr>
    </w:div>
    <w:div w:id="356320310">
      <w:bodyDiv w:val="1"/>
      <w:marLeft w:val="0"/>
      <w:marRight w:val="0"/>
      <w:marTop w:val="0"/>
      <w:marBottom w:val="0"/>
      <w:divBdr>
        <w:top w:val="none" w:sz="0" w:space="0" w:color="auto"/>
        <w:left w:val="none" w:sz="0" w:space="0" w:color="auto"/>
        <w:bottom w:val="none" w:sz="0" w:space="0" w:color="auto"/>
        <w:right w:val="none" w:sz="0" w:space="0" w:color="auto"/>
      </w:divBdr>
    </w:div>
    <w:div w:id="387194131">
      <w:bodyDiv w:val="1"/>
      <w:marLeft w:val="0"/>
      <w:marRight w:val="0"/>
      <w:marTop w:val="0"/>
      <w:marBottom w:val="0"/>
      <w:divBdr>
        <w:top w:val="none" w:sz="0" w:space="0" w:color="auto"/>
        <w:left w:val="none" w:sz="0" w:space="0" w:color="auto"/>
        <w:bottom w:val="none" w:sz="0" w:space="0" w:color="auto"/>
        <w:right w:val="none" w:sz="0" w:space="0" w:color="auto"/>
      </w:divBdr>
    </w:div>
    <w:div w:id="463279039">
      <w:bodyDiv w:val="1"/>
      <w:marLeft w:val="0"/>
      <w:marRight w:val="0"/>
      <w:marTop w:val="0"/>
      <w:marBottom w:val="0"/>
      <w:divBdr>
        <w:top w:val="none" w:sz="0" w:space="0" w:color="auto"/>
        <w:left w:val="none" w:sz="0" w:space="0" w:color="auto"/>
        <w:bottom w:val="none" w:sz="0" w:space="0" w:color="auto"/>
        <w:right w:val="none" w:sz="0" w:space="0" w:color="auto"/>
      </w:divBdr>
    </w:div>
    <w:div w:id="482433102">
      <w:bodyDiv w:val="1"/>
      <w:marLeft w:val="0"/>
      <w:marRight w:val="0"/>
      <w:marTop w:val="0"/>
      <w:marBottom w:val="0"/>
      <w:divBdr>
        <w:top w:val="none" w:sz="0" w:space="0" w:color="auto"/>
        <w:left w:val="none" w:sz="0" w:space="0" w:color="auto"/>
        <w:bottom w:val="none" w:sz="0" w:space="0" w:color="auto"/>
        <w:right w:val="none" w:sz="0" w:space="0" w:color="auto"/>
      </w:divBdr>
    </w:div>
    <w:div w:id="507643813">
      <w:bodyDiv w:val="1"/>
      <w:marLeft w:val="0"/>
      <w:marRight w:val="0"/>
      <w:marTop w:val="0"/>
      <w:marBottom w:val="0"/>
      <w:divBdr>
        <w:top w:val="none" w:sz="0" w:space="0" w:color="auto"/>
        <w:left w:val="none" w:sz="0" w:space="0" w:color="auto"/>
        <w:bottom w:val="none" w:sz="0" w:space="0" w:color="auto"/>
        <w:right w:val="none" w:sz="0" w:space="0" w:color="auto"/>
      </w:divBdr>
    </w:div>
    <w:div w:id="532764652">
      <w:bodyDiv w:val="1"/>
      <w:marLeft w:val="0"/>
      <w:marRight w:val="0"/>
      <w:marTop w:val="0"/>
      <w:marBottom w:val="0"/>
      <w:divBdr>
        <w:top w:val="none" w:sz="0" w:space="0" w:color="auto"/>
        <w:left w:val="none" w:sz="0" w:space="0" w:color="auto"/>
        <w:bottom w:val="none" w:sz="0" w:space="0" w:color="auto"/>
        <w:right w:val="none" w:sz="0" w:space="0" w:color="auto"/>
      </w:divBdr>
    </w:div>
    <w:div w:id="547030581">
      <w:bodyDiv w:val="1"/>
      <w:marLeft w:val="0"/>
      <w:marRight w:val="0"/>
      <w:marTop w:val="0"/>
      <w:marBottom w:val="0"/>
      <w:divBdr>
        <w:top w:val="none" w:sz="0" w:space="0" w:color="auto"/>
        <w:left w:val="none" w:sz="0" w:space="0" w:color="auto"/>
        <w:bottom w:val="none" w:sz="0" w:space="0" w:color="auto"/>
        <w:right w:val="none" w:sz="0" w:space="0" w:color="auto"/>
      </w:divBdr>
    </w:div>
    <w:div w:id="574360321">
      <w:bodyDiv w:val="1"/>
      <w:marLeft w:val="0"/>
      <w:marRight w:val="0"/>
      <w:marTop w:val="0"/>
      <w:marBottom w:val="0"/>
      <w:divBdr>
        <w:top w:val="none" w:sz="0" w:space="0" w:color="auto"/>
        <w:left w:val="none" w:sz="0" w:space="0" w:color="auto"/>
        <w:bottom w:val="none" w:sz="0" w:space="0" w:color="auto"/>
        <w:right w:val="none" w:sz="0" w:space="0" w:color="auto"/>
      </w:divBdr>
    </w:div>
    <w:div w:id="574826545">
      <w:bodyDiv w:val="1"/>
      <w:marLeft w:val="0"/>
      <w:marRight w:val="0"/>
      <w:marTop w:val="0"/>
      <w:marBottom w:val="0"/>
      <w:divBdr>
        <w:top w:val="none" w:sz="0" w:space="0" w:color="auto"/>
        <w:left w:val="none" w:sz="0" w:space="0" w:color="auto"/>
        <w:bottom w:val="none" w:sz="0" w:space="0" w:color="auto"/>
        <w:right w:val="none" w:sz="0" w:space="0" w:color="auto"/>
      </w:divBdr>
    </w:div>
    <w:div w:id="587034787">
      <w:bodyDiv w:val="1"/>
      <w:marLeft w:val="0"/>
      <w:marRight w:val="0"/>
      <w:marTop w:val="0"/>
      <w:marBottom w:val="0"/>
      <w:divBdr>
        <w:top w:val="none" w:sz="0" w:space="0" w:color="auto"/>
        <w:left w:val="none" w:sz="0" w:space="0" w:color="auto"/>
        <w:bottom w:val="none" w:sz="0" w:space="0" w:color="auto"/>
        <w:right w:val="none" w:sz="0" w:space="0" w:color="auto"/>
      </w:divBdr>
    </w:div>
    <w:div w:id="588929729">
      <w:bodyDiv w:val="1"/>
      <w:marLeft w:val="0"/>
      <w:marRight w:val="0"/>
      <w:marTop w:val="0"/>
      <w:marBottom w:val="0"/>
      <w:divBdr>
        <w:top w:val="none" w:sz="0" w:space="0" w:color="auto"/>
        <w:left w:val="none" w:sz="0" w:space="0" w:color="auto"/>
        <w:bottom w:val="none" w:sz="0" w:space="0" w:color="auto"/>
        <w:right w:val="none" w:sz="0" w:space="0" w:color="auto"/>
      </w:divBdr>
    </w:div>
    <w:div w:id="611478293">
      <w:bodyDiv w:val="1"/>
      <w:marLeft w:val="0"/>
      <w:marRight w:val="0"/>
      <w:marTop w:val="0"/>
      <w:marBottom w:val="0"/>
      <w:divBdr>
        <w:top w:val="none" w:sz="0" w:space="0" w:color="auto"/>
        <w:left w:val="none" w:sz="0" w:space="0" w:color="auto"/>
        <w:bottom w:val="none" w:sz="0" w:space="0" w:color="auto"/>
        <w:right w:val="none" w:sz="0" w:space="0" w:color="auto"/>
      </w:divBdr>
    </w:div>
    <w:div w:id="689335525">
      <w:bodyDiv w:val="1"/>
      <w:marLeft w:val="0"/>
      <w:marRight w:val="0"/>
      <w:marTop w:val="0"/>
      <w:marBottom w:val="0"/>
      <w:divBdr>
        <w:top w:val="none" w:sz="0" w:space="0" w:color="auto"/>
        <w:left w:val="none" w:sz="0" w:space="0" w:color="auto"/>
        <w:bottom w:val="none" w:sz="0" w:space="0" w:color="auto"/>
        <w:right w:val="none" w:sz="0" w:space="0" w:color="auto"/>
      </w:divBdr>
    </w:div>
    <w:div w:id="689987125">
      <w:bodyDiv w:val="1"/>
      <w:marLeft w:val="0"/>
      <w:marRight w:val="0"/>
      <w:marTop w:val="0"/>
      <w:marBottom w:val="0"/>
      <w:divBdr>
        <w:top w:val="none" w:sz="0" w:space="0" w:color="auto"/>
        <w:left w:val="none" w:sz="0" w:space="0" w:color="auto"/>
        <w:bottom w:val="none" w:sz="0" w:space="0" w:color="auto"/>
        <w:right w:val="none" w:sz="0" w:space="0" w:color="auto"/>
      </w:divBdr>
    </w:div>
    <w:div w:id="691685657">
      <w:bodyDiv w:val="1"/>
      <w:marLeft w:val="0"/>
      <w:marRight w:val="0"/>
      <w:marTop w:val="0"/>
      <w:marBottom w:val="0"/>
      <w:divBdr>
        <w:top w:val="none" w:sz="0" w:space="0" w:color="auto"/>
        <w:left w:val="none" w:sz="0" w:space="0" w:color="auto"/>
        <w:bottom w:val="none" w:sz="0" w:space="0" w:color="auto"/>
        <w:right w:val="none" w:sz="0" w:space="0" w:color="auto"/>
      </w:divBdr>
    </w:div>
    <w:div w:id="709493381">
      <w:bodyDiv w:val="1"/>
      <w:marLeft w:val="0"/>
      <w:marRight w:val="0"/>
      <w:marTop w:val="0"/>
      <w:marBottom w:val="0"/>
      <w:divBdr>
        <w:top w:val="none" w:sz="0" w:space="0" w:color="auto"/>
        <w:left w:val="none" w:sz="0" w:space="0" w:color="auto"/>
        <w:bottom w:val="none" w:sz="0" w:space="0" w:color="auto"/>
        <w:right w:val="none" w:sz="0" w:space="0" w:color="auto"/>
      </w:divBdr>
    </w:div>
    <w:div w:id="717126215">
      <w:bodyDiv w:val="1"/>
      <w:marLeft w:val="0"/>
      <w:marRight w:val="0"/>
      <w:marTop w:val="0"/>
      <w:marBottom w:val="0"/>
      <w:divBdr>
        <w:top w:val="none" w:sz="0" w:space="0" w:color="auto"/>
        <w:left w:val="none" w:sz="0" w:space="0" w:color="auto"/>
        <w:bottom w:val="none" w:sz="0" w:space="0" w:color="auto"/>
        <w:right w:val="none" w:sz="0" w:space="0" w:color="auto"/>
      </w:divBdr>
    </w:div>
    <w:div w:id="809178132">
      <w:bodyDiv w:val="1"/>
      <w:marLeft w:val="0"/>
      <w:marRight w:val="0"/>
      <w:marTop w:val="0"/>
      <w:marBottom w:val="0"/>
      <w:divBdr>
        <w:top w:val="none" w:sz="0" w:space="0" w:color="auto"/>
        <w:left w:val="none" w:sz="0" w:space="0" w:color="auto"/>
        <w:bottom w:val="none" w:sz="0" w:space="0" w:color="auto"/>
        <w:right w:val="none" w:sz="0" w:space="0" w:color="auto"/>
      </w:divBdr>
    </w:div>
    <w:div w:id="817381376">
      <w:bodyDiv w:val="1"/>
      <w:marLeft w:val="0"/>
      <w:marRight w:val="0"/>
      <w:marTop w:val="0"/>
      <w:marBottom w:val="0"/>
      <w:divBdr>
        <w:top w:val="none" w:sz="0" w:space="0" w:color="auto"/>
        <w:left w:val="none" w:sz="0" w:space="0" w:color="auto"/>
        <w:bottom w:val="none" w:sz="0" w:space="0" w:color="auto"/>
        <w:right w:val="none" w:sz="0" w:space="0" w:color="auto"/>
      </w:divBdr>
    </w:div>
    <w:div w:id="882907103">
      <w:bodyDiv w:val="1"/>
      <w:marLeft w:val="0"/>
      <w:marRight w:val="0"/>
      <w:marTop w:val="0"/>
      <w:marBottom w:val="0"/>
      <w:divBdr>
        <w:top w:val="none" w:sz="0" w:space="0" w:color="auto"/>
        <w:left w:val="none" w:sz="0" w:space="0" w:color="auto"/>
        <w:bottom w:val="none" w:sz="0" w:space="0" w:color="auto"/>
        <w:right w:val="none" w:sz="0" w:space="0" w:color="auto"/>
      </w:divBdr>
    </w:div>
    <w:div w:id="913589124">
      <w:bodyDiv w:val="1"/>
      <w:marLeft w:val="0"/>
      <w:marRight w:val="0"/>
      <w:marTop w:val="0"/>
      <w:marBottom w:val="0"/>
      <w:divBdr>
        <w:top w:val="none" w:sz="0" w:space="0" w:color="auto"/>
        <w:left w:val="none" w:sz="0" w:space="0" w:color="auto"/>
        <w:bottom w:val="none" w:sz="0" w:space="0" w:color="auto"/>
        <w:right w:val="none" w:sz="0" w:space="0" w:color="auto"/>
      </w:divBdr>
    </w:div>
    <w:div w:id="940839983">
      <w:bodyDiv w:val="1"/>
      <w:marLeft w:val="0"/>
      <w:marRight w:val="0"/>
      <w:marTop w:val="0"/>
      <w:marBottom w:val="0"/>
      <w:divBdr>
        <w:top w:val="none" w:sz="0" w:space="0" w:color="auto"/>
        <w:left w:val="none" w:sz="0" w:space="0" w:color="auto"/>
        <w:bottom w:val="none" w:sz="0" w:space="0" w:color="auto"/>
        <w:right w:val="none" w:sz="0" w:space="0" w:color="auto"/>
      </w:divBdr>
      <w:divsChild>
        <w:div w:id="538054716">
          <w:marLeft w:val="0"/>
          <w:marRight w:val="0"/>
          <w:marTop w:val="0"/>
          <w:marBottom w:val="0"/>
          <w:divBdr>
            <w:top w:val="none" w:sz="0" w:space="0" w:color="auto"/>
            <w:left w:val="none" w:sz="0" w:space="0" w:color="auto"/>
            <w:bottom w:val="none" w:sz="0" w:space="0" w:color="auto"/>
            <w:right w:val="none" w:sz="0" w:space="0" w:color="auto"/>
          </w:divBdr>
        </w:div>
        <w:div w:id="725881574">
          <w:marLeft w:val="0"/>
          <w:marRight w:val="0"/>
          <w:marTop w:val="0"/>
          <w:marBottom w:val="0"/>
          <w:divBdr>
            <w:top w:val="none" w:sz="0" w:space="0" w:color="auto"/>
            <w:left w:val="none" w:sz="0" w:space="0" w:color="auto"/>
            <w:bottom w:val="none" w:sz="0" w:space="0" w:color="auto"/>
            <w:right w:val="none" w:sz="0" w:space="0" w:color="auto"/>
          </w:divBdr>
        </w:div>
        <w:div w:id="1257908178">
          <w:marLeft w:val="0"/>
          <w:marRight w:val="0"/>
          <w:marTop w:val="0"/>
          <w:marBottom w:val="0"/>
          <w:divBdr>
            <w:top w:val="none" w:sz="0" w:space="0" w:color="auto"/>
            <w:left w:val="none" w:sz="0" w:space="0" w:color="auto"/>
            <w:bottom w:val="none" w:sz="0" w:space="0" w:color="auto"/>
            <w:right w:val="none" w:sz="0" w:space="0" w:color="auto"/>
          </w:divBdr>
        </w:div>
      </w:divsChild>
    </w:div>
    <w:div w:id="974068486">
      <w:bodyDiv w:val="1"/>
      <w:marLeft w:val="0"/>
      <w:marRight w:val="0"/>
      <w:marTop w:val="0"/>
      <w:marBottom w:val="0"/>
      <w:divBdr>
        <w:top w:val="none" w:sz="0" w:space="0" w:color="auto"/>
        <w:left w:val="none" w:sz="0" w:space="0" w:color="auto"/>
        <w:bottom w:val="none" w:sz="0" w:space="0" w:color="auto"/>
        <w:right w:val="none" w:sz="0" w:space="0" w:color="auto"/>
      </w:divBdr>
    </w:div>
    <w:div w:id="981156692">
      <w:bodyDiv w:val="1"/>
      <w:marLeft w:val="0"/>
      <w:marRight w:val="0"/>
      <w:marTop w:val="0"/>
      <w:marBottom w:val="0"/>
      <w:divBdr>
        <w:top w:val="none" w:sz="0" w:space="0" w:color="auto"/>
        <w:left w:val="none" w:sz="0" w:space="0" w:color="auto"/>
        <w:bottom w:val="none" w:sz="0" w:space="0" w:color="auto"/>
        <w:right w:val="none" w:sz="0" w:space="0" w:color="auto"/>
      </w:divBdr>
    </w:div>
    <w:div w:id="983509888">
      <w:bodyDiv w:val="1"/>
      <w:marLeft w:val="0"/>
      <w:marRight w:val="0"/>
      <w:marTop w:val="0"/>
      <w:marBottom w:val="0"/>
      <w:divBdr>
        <w:top w:val="none" w:sz="0" w:space="0" w:color="auto"/>
        <w:left w:val="none" w:sz="0" w:space="0" w:color="auto"/>
        <w:bottom w:val="none" w:sz="0" w:space="0" w:color="auto"/>
        <w:right w:val="none" w:sz="0" w:space="0" w:color="auto"/>
      </w:divBdr>
    </w:div>
    <w:div w:id="1051029698">
      <w:bodyDiv w:val="1"/>
      <w:marLeft w:val="0"/>
      <w:marRight w:val="0"/>
      <w:marTop w:val="0"/>
      <w:marBottom w:val="0"/>
      <w:divBdr>
        <w:top w:val="none" w:sz="0" w:space="0" w:color="auto"/>
        <w:left w:val="none" w:sz="0" w:space="0" w:color="auto"/>
        <w:bottom w:val="none" w:sz="0" w:space="0" w:color="auto"/>
        <w:right w:val="none" w:sz="0" w:space="0" w:color="auto"/>
      </w:divBdr>
    </w:div>
    <w:div w:id="1052968200">
      <w:bodyDiv w:val="1"/>
      <w:marLeft w:val="0"/>
      <w:marRight w:val="0"/>
      <w:marTop w:val="0"/>
      <w:marBottom w:val="0"/>
      <w:divBdr>
        <w:top w:val="none" w:sz="0" w:space="0" w:color="auto"/>
        <w:left w:val="none" w:sz="0" w:space="0" w:color="auto"/>
        <w:bottom w:val="none" w:sz="0" w:space="0" w:color="auto"/>
        <w:right w:val="none" w:sz="0" w:space="0" w:color="auto"/>
      </w:divBdr>
    </w:div>
    <w:div w:id="1086223796">
      <w:bodyDiv w:val="1"/>
      <w:marLeft w:val="0"/>
      <w:marRight w:val="0"/>
      <w:marTop w:val="0"/>
      <w:marBottom w:val="0"/>
      <w:divBdr>
        <w:top w:val="none" w:sz="0" w:space="0" w:color="auto"/>
        <w:left w:val="none" w:sz="0" w:space="0" w:color="auto"/>
        <w:bottom w:val="none" w:sz="0" w:space="0" w:color="auto"/>
        <w:right w:val="none" w:sz="0" w:space="0" w:color="auto"/>
      </w:divBdr>
    </w:div>
    <w:div w:id="1090128304">
      <w:bodyDiv w:val="1"/>
      <w:marLeft w:val="0"/>
      <w:marRight w:val="0"/>
      <w:marTop w:val="0"/>
      <w:marBottom w:val="0"/>
      <w:divBdr>
        <w:top w:val="none" w:sz="0" w:space="0" w:color="auto"/>
        <w:left w:val="none" w:sz="0" w:space="0" w:color="auto"/>
        <w:bottom w:val="none" w:sz="0" w:space="0" w:color="auto"/>
        <w:right w:val="none" w:sz="0" w:space="0" w:color="auto"/>
      </w:divBdr>
    </w:div>
    <w:div w:id="1180238057">
      <w:bodyDiv w:val="1"/>
      <w:marLeft w:val="0"/>
      <w:marRight w:val="0"/>
      <w:marTop w:val="0"/>
      <w:marBottom w:val="0"/>
      <w:divBdr>
        <w:top w:val="none" w:sz="0" w:space="0" w:color="auto"/>
        <w:left w:val="none" w:sz="0" w:space="0" w:color="auto"/>
        <w:bottom w:val="none" w:sz="0" w:space="0" w:color="auto"/>
        <w:right w:val="none" w:sz="0" w:space="0" w:color="auto"/>
      </w:divBdr>
    </w:div>
    <w:div w:id="1194463073">
      <w:bodyDiv w:val="1"/>
      <w:marLeft w:val="0"/>
      <w:marRight w:val="0"/>
      <w:marTop w:val="0"/>
      <w:marBottom w:val="0"/>
      <w:divBdr>
        <w:top w:val="none" w:sz="0" w:space="0" w:color="auto"/>
        <w:left w:val="none" w:sz="0" w:space="0" w:color="auto"/>
        <w:bottom w:val="none" w:sz="0" w:space="0" w:color="auto"/>
        <w:right w:val="none" w:sz="0" w:space="0" w:color="auto"/>
      </w:divBdr>
    </w:div>
    <w:div w:id="1225946252">
      <w:bodyDiv w:val="1"/>
      <w:marLeft w:val="0"/>
      <w:marRight w:val="0"/>
      <w:marTop w:val="0"/>
      <w:marBottom w:val="0"/>
      <w:divBdr>
        <w:top w:val="none" w:sz="0" w:space="0" w:color="auto"/>
        <w:left w:val="none" w:sz="0" w:space="0" w:color="auto"/>
        <w:bottom w:val="none" w:sz="0" w:space="0" w:color="auto"/>
        <w:right w:val="none" w:sz="0" w:space="0" w:color="auto"/>
      </w:divBdr>
    </w:div>
    <w:div w:id="1269922585">
      <w:bodyDiv w:val="1"/>
      <w:marLeft w:val="0"/>
      <w:marRight w:val="0"/>
      <w:marTop w:val="0"/>
      <w:marBottom w:val="0"/>
      <w:divBdr>
        <w:top w:val="none" w:sz="0" w:space="0" w:color="auto"/>
        <w:left w:val="none" w:sz="0" w:space="0" w:color="auto"/>
        <w:bottom w:val="none" w:sz="0" w:space="0" w:color="auto"/>
        <w:right w:val="none" w:sz="0" w:space="0" w:color="auto"/>
      </w:divBdr>
    </w:div>
    <w:div w:id="1300378991">
      <w:bodyDiv w:val="1"/>
      <w:marLeft w:val="0"/>
      <w:marRight w:val="0"/>
      <w:marTop w:val="0"/>
      <w:marBottom w:val="0"/>
      <w:divBdr>
        <w:top w:val="none" w:sz="0" w:space="0" w:color="auto"/>
        <w:left w:val="none" w:sz="0" w:space="0" w:color="auto"/>
        <w:bottom w:val="none" w:sz="0" w:space="0" w:color="auto"/>
        <w:right w:val="none" w:sz="0" w:space="0" w:color="auto"/>
      </w:divBdr>
    </w:div>
    <w:div w:id="1335300121">
      <w:bodyDiv w:val="1"/>
      <w:marLeft w:val="0"/>
      <w:marRight w:val="0"/>
      <w:marTop w:val="0"/>
      <w:marBottom w:val="0"/>
      <w:divBdr>
        <w:top w:val="none" w:sz="0" w:space="0" w:color="auto"/>
        <w:left w:val="none" w:sz="0" w:space="0" w:color="auto"/>
        <w:bottom w:val="none" w:sz="0" w:space="0" w:color="auto"/>
        <w:right w:val="none" w:sz="0" w:space="0" w:color="auto"/>
      </w:divBdr>
    </w:div>
    <w:div w:id="1350570675">
      <w:bodyDiv w:val="1"/>
      <w:marLeft w:val="0"/>
      <w:marRight w:val="0"/>
      <w:marTop w:val="0"/>
      <w:marBottom w:val="0"/>
      <w:divBdr>
        <w:top w:val="none" w:sz="0" w:space="0" w:color="auto"/>
        <w:left w:val="none" w:sz="0" w:space="0" w:color="auto"/>
        <w:bottom w:val="none" w:sz="0" w:space="0" w:color="auto"/>
        <w:right w:val="none" w:sz="0" w:space="0" w:color="auto"/>
      </w:divBdr>
    </w:div>
    <w:div w:id="1358235375">
      <w:bodyDiv w:val="1"/>
      <w:marLeft w:val="0"/>
      <w:marRight w:val="0"/>
      <w:marTop w:val="0"/>
      <w:marBottom w:val="0"/>
      <w:divBdr>
        <w:top w:val="none" w:sz="0" w:space="0" w:color="auto"/>
        <w:left w:val="none" w:sz="0" w:space="0" w:color="auto"/>
        <w:bottom w:val="none" w:sz="0" w:space="0" w:color="auto"/>
        <w:right w:val="none" w:sz="0" w:space="0" w:color="auto"/>
      </w:divBdr>
    </w:div>
    <w:div w:id="1397629014">
      <w:bodyDiv w:val="1"/>
      <w:marLeft w:val="0"/>
      <w:marRight w:val="0"/>
      <w:marTop w:val="0"/>
      <w:marBottom w:val="0"/>
      <w:divBdr>
        <w:top w:val="none" w:sz="0" w:space="0" w:color="auto"/>
        <w:left w:val="none" w:sz="0" w:space="0" w:color="auto"/>
        <w:bottom w:val="none" w:sz="0" w:space="0" w:color="auto"/>
        <w:right w:val="none" w:sz="0" w:space="0" w:color="auto"/>
      </w:divBdr>
    </w:div>
    <w:div w:id="1400248666">
      <w:bodyDiv w:val="1"/>
      <w:marLeft w:val="0"/>
      <w:marRight w:val="0"/>
      <w:marTop w:val="0"/>
      <w:marBottom w:val="0"/>
      <w:divBdr>
        <w:top w:val="none" w:sz="0" w:space="0" w:color="auto"/>
        <w:left w:val="none" w:sz="0" w:space="0" w:color="auto"/>
        <w:bottom w:val="none" w:sz="0" w:space="0" w:color="auto"/>
        <w:right w:val="none" w:sz="0" w:space="0" w:color="auto"/>
      </w:divBdr>
    </w:div>
    <w:div w:id="1400863048">
      <w:bodyDiv w:val="1"/>
      <w:marLeft w:val="0"/>
      <w:marRight w:val="0"/>
      <w:marTop w:val="0"/>
      <w:marBottom w:val="0"/>
      <w:divBdr>
        <w:top w:val="none" w:sz="0" w:space="0" w:color="auto"/>
        <w:left w:val="none" w:sz="0" w:space="0" w:color="auto"/>
        <w:bottom w:val="none" w:sz="0" w:space="0" w:color="auto"/>
        <w:right w:val="none" w:sz="0" w:space="0" w:color="auto"/>
      </w:divBdr>
    </w:div>
    <w:div w:id="1448891447">
      <w:bodyDiv w:val="1"/>
      <w:marLeft w:val="0"/>
      <w:marRight w:val="0"/>
      <w:marTop w:val="0"/>
      <w:marBottom w:val="0"/>
      <w:divBdr>
        <w:top w:val="none" w:sz="0" w:space="0" w:color="auto"/>
        <w:left w:val="none" w:sz="0" w:space="0" w:color="auto"/>
        <w:bottom w:val="none" w:sz="0" w:space="0" w:color="auto"/>
        <w:right w:val="none" w:sz="0" w:space="0" w:color="auto"/>
      </w:divBdr>
    </w:div>
    <w:div w:id="1477213947">
      <w:bodyDiv w:val="1"/>
      <w:marLeft w:val="0"/>
      <w:marRight w:val="0"/>
      <w:marTop w:val="0"/>
      <w:marBottom w:val="0"/>
      <w:divBdr>
        <w:top w:val="none" w:sz="0" w:space="0" w:color="auto"/>
        <w:left w:val="none" w:sz="0" w:space="0" w:color="auto"/>
        <w:bottom w:val="none" w:sz="0" w:space="0" w:color="auto"/>
        <w:right w:val="none" w:sz="0" w:space="0" w:color="auto"/>
      </w:divBdr>
    </w:div>
    <w:div w:id="1477869100">
      <w:bodyDiv w:val="1"/>
      <w:marLeft w:val="0"/>
      <w:marRight w:val="0"/>
      <w:marTop w:val="0"/>
      <w:marBottom w:val="0"/>
      <w:divBdr>
        <w:top w:val="none" w:sz="0" w:space="0" w:color="auto"/>
        <w:left w:val="none" w:sz="0" w:space="0" w:color="auto"/>
        <w:bottom w:val="none" w:sz="0" w:space="0" w:color="auto"/>
        <w:right w:val="none" w:sz="0" w:space="0" w:color="auto"/>
      </w:divBdr>
    </w:div>
    <w:div w:id="1486584697">
      <w:bodyDiv w:val="1"/>
      <w:marLeft w:val="0"/>
      <w:marRight w:val="0"/>
      <w:marTop w:val="0"/>
      <w:marBottom w:val="0"/>
      <w:divBdr>
        <w:top w:val="none" w:sz="0" w:space="0" w:color="auto"/>
        <w:left w:val="none" w:sz="0" w:space="0" w:color="auto"/>
        <w:bottom w:val="none" w:sz="0" w:space="0" w:color="auto"/>
        <w:right w:val="none" w:sz="0" w:space="0" w:color="auto"/>
      </w:divBdr>
    </w:div>
    <w:div w:id="1500150723">
      <w:bodyDiv w:val="1"/>
      <w:marLeft w:val="0"/>
      <w:marRight w:val="0"/>
      <w:marTop w:val="0"/>
      <w:marBottom w:val="0"/>
      <w:divBdr>
        <w:top w:val="none" w:sz="0" w:space="0" w:color="auto"/>
        <w:left w:val="none" w:sz="0" w:space="0" w:color="auto"/>
        <w:bottom w:val="none" w:sz="0" w:space="0" w:color="auto"/>
        <w:right w:val="none" w:sz="0" w:space="0" w:color="auto"/>
      </w:divBdr>
    </w:div>
    <w:div w:id="1506169499">
      <w:bodyDiv w:val="1"/>
      <w:marLeft w:val="0"/>
      <w:marRight w:val="0"/>
      <w:marTop w:val="0"/>
      <w:marBottom w:val="0"/>
      <w:divBdr>
        <w:top w:val="none" w:sz="0" w:space="0" w:color="auto"/>
        <w:left w:val="none" w:sz="0" w:space="0" w:color="auto"/>
        <w:bottom w:val="none" w:sz="0" w:space="0" w:color="auto"/>
        <w:right w:val="none" w:sz="0" w:space="0" w:color="auto"/>
      </w:divBdr>
    </w:div>
    <w:div w:id="1566640778">
      <w:bodyDiv w:val="1"/>
      <w:marLeft w:val="0"/>
      <w:marRight w:val="0"/>
      <w:marTop w:val="0"/>
      <w:marBottom w:val="0"/>
      <w:divBdr>
        <w:top w:val="none" w:sz="0" w:space="0" w:color="auto"/>
        <w:left w:val="none" w:sz="0" w:space="0" w:color="auto"/>
        <w:bottom w:val="none" w:sz="0" w:space="0" w:color="auto"/>
        <w:right w:val="none" w:sz="0" w:space="0" w:color="auto"/>
      </w:divBdr>
    </w:div>
    <w:div w:id="1638485298">
      <w:bodyDiv w:val="1"/>
      <w:marLeft w:val="0"/>
      <w:marRight w:val="0"/>
      <w:marTop w:val="0"/>
      <w:marBottom w:val="0"/>
      <w:divBdr>
        <w:top w:val="none" w:sz="0" w:space="0" w:color="auto"/>
        <w:left w:val="none" w:sz="0" w:space="0" w:color="auto"/>
        <w:bottom w:val="none" w:sz="0" w:space="0" w:color="auto"/>
        <w:right w:val="none" w:sz="0" w:space="0" w:color="auto"/>
      </w:divBdr>
    </w:div>
    <w:div w:id="1644457465">
      <w:bodyDiv w:val="1"/>
      <w:marLeft w:val="0"/>
      <w:marRight w:val="0"/>
      <w:marTop w:val="0"/>
      <w:marBottom w:val="0"/>
      <w:divBdr>
        <w:top w:val="none" w:sz="0" w:space="0" w:color="auto"/>
        <w:left w:val="none" w:sz="0" w:space="0" w:color="auto"/>
        <w:bottom w:val="none" w:sz="0" w:space="0" w:color="auto"/>
        <w:right w:val="none" w:sz="0" w:space="0" w:color="auto"/>
      </w:divBdr>
    </w:div>
    <w:div w:id="1646547378">
      <w:bodyDiv w:val="1"/>
      <w:marLeft w:val="0"/>
      <w:marRight w:val="0"/>
      <w:marTop w:val="0"/>
      <w:marBottom w:val="0"/>
      <w:divBdr>
        <w:top w:val="none" w:sz="0" w:space="0" w:color="auto"/>
        <w:left w:val="none" w:sz="0" w:space="0" w:color="auto"/>
        <w:bottom w:val="none" w:sz="0" w:space="0" w:color="auto"/>
        <w:right w:val="none" w:sz="0" w:space="0" w:color="auto"/>
      </w:divBdr>
    </w:div>
    <w:div w:id="1668510560">
      <w:bodyDiv w:val="1"/>
      <w:marLeft w:val="0"/>
      <w:marRight w:val="0"/>
      <w:marTop w:val="0"/>
      <w:marBottom w:val="0"/>
      <w:divBdr>
        <w:top w:val="none" w:sz="0" w:space="0" w:color="auto"/>
        <w:left w:val="none" w:sz="0" w:space="0" w:color="auto"/>
        <w:bottom w:val="none" w:sz="0" w:space="0" w:color="auto"/>
        <w:right w:val="none" w:sz="0" w:space="0" w:color="auto"/>
      </w:divBdr>
    </w:div>
    <w:div w:id="1783721491">
      <w:bodyDiv w:val="1"/>
      <w:marLeft w:val="0"/>
      <w:marRight w:val="0"/>
      <w:marTop w:val="0"/>
      <w:marBottom w:val="0"/>
      <w:divBdr>
        <w:top w:val="none" w:sz="0" w:space="0" w:color="auto"/>
        <w:left w:val="none" w:sz="0" w:space="0" w:color="auto"/>
        <w:bottom w:val="none" w:sz="0" w:space="0" w:color="auto"/>
        <w:right w:val="none" w:sz="0" w:space="0" w:color="auto"/>
      </w:divBdr>
    </w:div>
    <w:div w:id="1786804739">
      <w:bodyDiv w:val="1"/>
      <w:marLeft w:val="0"/>
      <w:marRight w:val="0"/>
      <w:marTop w:val="0"/>
      <w:marBottom w:val="0"/>
      <w:divBdr>
        <w:top w:val="none" w:sz="0" w:space="0" w:color="auto"/>
        <w:left w:val="none" w:sz="0" w:space="0" w:color="auto"/>
        <w:bottom w:val="none" w:sz="0" w:space="0" w:color="auto"/>
        <w:right w:val="none" w:sz="0" w:space="0" w:color="auto"/>
      </w:divBdr>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2035840200">
      <w:bodyDiv w:val="1"/>
      <w:marLeft w:val="0"/>
      <w:marRight w:val="0"/>
      <w:marTop w:val="0"/>
      <w:marBottom w:val="0"/>
      <w:divBdr>
        <w:top w:val="none" w:sz="0" w:space="0" w:color="auto"/>
        <w:left w:val="none" w:sz="0" w:space="0" w:color="auto"/>
        <w:bottom w:val="none" w:sz="0" w:space="0" w:color="auto"/>
        <w:right w:val="none" w:sz="0" w:space="0" w:color="auto"/>
      </w:divBdr>
    </w:div>
    <w:div w:id="2039623267">
      <w:bodyDiv w:val="1"/>
      <w:marLeft w:val="0"/>
      <w:marRight w:val="0"/>
      <w:marTop w:val="0"/>
      <w:marBottom w:val="0"/>
      <w:divBdr>
        <w:top w:val="none" w:sz="0" w:space="0" w:color="auto"/>
        <w:left w:val="none" w:sz="0" w:space="0" w:color="auto"/>
        <w:bottom w:val="none" w:sz="0" w:space="0" w:color="auto"/>
        <w:right w:val="none" w:sz="0" w:space="0" w:color="auto"/>
      </w:divBdr>
    </w:div>
    <w:div w:id="2085369591">
      <w:bodyDiv w:val="1"/>
      <w:marLeft w:val="0"/>
      <w:marRight w:val="0"/>
      <w:marTop w:val="0"/>
      <w:marBottom w:val="0"/>
      <w:divBdr>
        <w:top w:val="none" w:sz="0" w:space="0" w:color="auto"/>
        <w:left w:val="none" w:sz="0" w:space="0" w:color="auto"/>
        <w:bottom w:val="none" w:sz="0" w:space="0" w:color="auto"/>
        <w:right w:val="none" w:sz="0" w:space="0" w:color="auto"/>
      </w:divBdr>
    </w:div>
    <w:div w:id="208660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getmedia/71d19036-8c1e-485d-9d93-6618780346ae/australia-s-hospitals-at-a-glance.pdf" TargetMode="External"/><Relationship Id="rId13" Type="http://schemas.openxmlformats.org/officeDocument/2006/relationships/hyperlink" Target="https://www.health.vic.gov.au/health-system-design-planning/perioperative-service-capability-framework-for-victoria" TargetMode="External"/><Relationship Id="rId18" Type="http://schemas.openxmlformats.org/officeDocument/2006/relationships/hyperlink" Target="https://www.hcc.vic.gov.au/sites/default/files/media-document/HCC%20Annual%20Report%202022-2023_0.pdf" TargetMode="External"/><Relationship Id="rId3" Type="http://schemas.openxmlformats.org/officeDocument/2006/relationships/hyperlink" Target="https://www.health.vic.gov.au/publications/targeting-zero-the-review-of-hospital-safety-and-quality-assurance-in-victoria" TargetMode="External"/><Relationship Id="rId7" Type="http://schemas.openxmlformats.org/officeDocument/2006/relationships/hyperlink" Target="https://www.aihw.gov.au/" TargetMode="External"/><Relationship Id="rId12" Type="http://schemas.openxmlformats.org/officeDocument/2006/relationships/hyperlink" Target="https://www.safetyandquality.gov.au/standards/nsqhs-standards/nsqhs-standards-assessment-outcomes" TargetMode="External"/><Relationship Id="rId17" Type="http://schemas.openxmlformats.org/officeDocument/2006/relationships/hyperlink" Target="https://www.safetyandquality.gov.au/standards/nsqhs-standards/communicating-safety-standard/documentation-information" TargetMode="External"/><Relationship Id="rId2" Type="http://schemas.openxmlformats.org/officeDocument/2006/relationships/hyperlink" Target="https://www.aihw.gov.au/reports-data/myhospitals/sectors/admitted-patients" TargetMode="External"/><Relationship Id="rId16" Type="http://schemas.openxmlformats.org/officeDocument/2006/relationships/hyperlink" Target="https://www.safetyandquality.gov.au/standards/nsqhs-standards/communicating-safety-standard/documentation-information/action-611" TargetMode="External"/><Relationship Id="rId20" Type="http://schemas.openxmlformats.org/officeDocument/2006/relationships/hyperlink" Target="https://new.parliament.vic.gov.au/4a7aed/globalassets/tabled-paper-documents/tabled-paper-7465/subordinate-legislation-act-1994-guidelines-september-2023.pdf" TargetMode="External"/><Relationship Id="rId1" Type="http://schemas.openxmlformats.org/officeDocument/2006/relationships/hyperlink" Target="https://meteor.aihw.gov.au/content/327268" TargetMode="External"/><Relationship Id="rId6" Type="http://schemas.openxmlformats.org/officeDocument/2006/relationships/hyperlink" Target="https://www.aihw.gov.au/reports-data/myhospitals/intersection/spending/apc" TargetMode="External"/><Relationship Id="rId11" Type="http://schemas.openxmlformats.org/officeDocument/2006/relationships/hyperlink" Target="https://www.aihw.gov.au/reports-data/myhospitals/intersection/activity/apc" TargetMode="External"/><Relationship Id="rId5" Type="http://schemas.openxmlformats.org/officeDocument/2006/relationships/hyperlink" Target="https://www.aihw.gov.au/reports-data/myhospitals/sectors/admitted-patients" TargetMode="External"/><Relationship Id="rId15" Type="http://schemas.openxmlformats.org/officeDocument/2006/relationships/hyperlink" Target="https://www.safetyandquality.gov.au/standards/nsqhs-standards/communicating-safety-standard/documentation-information" TargetMode="External"/><Relationship Id="rId10" Type="http://schemas.openxmlformats.org/officeDocument/2006/relationships/hyperlink" Target="https://www.aihw.gov.au/reports-data/myhospitals/intersection/activity/apc" TargetMode="External"/><Relationship Id="rId19" Type="http://schemas.openxmlformats.org/officeDocument/2006/relationships/hyperlink" Target="https://www.anzca.edu.au/getattachment/9ec71c61-8a66-4f81-b0f8-c87d65e36298/Australasian-Anaesthesia-2023" TargetMode="External"/><Relationship Id="rId4" Type="http://schemas.openxmlformats.org/officeDocument/2006/relationships/hyperlink" Target="https://meteor.aihw.gov.au/content/327268" TargetMode="External"/><Relationship Id="rId9" Type="http://schemas.openxmlformats.org/officeDocument/2006/relationships/hyperlink" Target="https://www.aihw.gov.au/reports-data/myhospitals/intersection/spending/apc" TargetMode="External"/><Relationship Id="rId14" Type="http://schemas.openxmlformats.org/officeDocument/2006/relationships/hyperlink" Target="https://www.safetyandquality.gov.au/standards/nsqhs-standards/comprehensive-care-standa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xcel%20template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41970060315386"/>
          <c:y val="1.3262322472848788E-2"/>
          <c:w val="0.5374278758811134"/>
          <c:h val="0.98673767752715125"/>
        </c:manualLayout>
      </c:layout>
      <c:barChart>
        <c:barDir val="bar"/>
        <c:grouping val="stacked"/>
        <c:varyColors val="0"/>
        <c:ser>
          <c:idx val="0"/>
          <c:order val="0"/>
          <c:tx>
            <c:strRef>
              <c:f>'[202310 Vic - NSQHS Standards assessment data (October 2023).xlsx]DashboardGraphs'!$K$132</c:f>
              <c:strCache>
                <c:ptCount val="1"/>
                <c:pt idx="0">
                  <c:v>Met</c:v>
                </c:pt>
              </c:strCache>
            </c:strRef>
          </c:tx>
          <c:spPr>
            <a:solidFill>
              <a:srgbClr val="7EA0BC"/>
            </a:solidFill>
            <a:ln>
              <a:noFill/>
            </a:ln>
            <a:effectLst>
              <a:outerShdw blurRad="50800" dist="38100" dir="2700000" algn="tl" rotWithShape="0">
                <a:prstClr val="black">
                  <a:alpha val="40000"/>
                </a:prstClr>
              </a:outerShdw>
            </a:effectLst>
          </c:spPr>
          <c:invertIfNegative val="0"/>
          <c:dLbls>
            <c:dLbl>
              <c:idx val="0"/>
              <c:tx>
                <c:rich>
                  <a:bodyPr/>
                  <a:lstStyle/>
                  <a:p>
                    <a:fld id="{F7920E19-4AA5-40CE-ADC4-FDC5E2766C12}"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0F7-465F-B9E6-7EA25C5D98DB}"/>
                </c:ext>
              </c:extLst>
            </c:dLbl>
            <c:dLbl>
              <c:idx val="1"/>
              <c:tx>
                <c:rich>
                  <a:bodyPr/>
                  <a:lstStyle/>
                  <a:p>
                    <a:fld id="{2FB22129-45C3-49CC-AA30-F3F8D5AA7586}"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0F7-465F-B9E6-7EA25C5D98DB}"/>
                </c:ext>
              </c:extLst>
            </c:dLbl>
            <c:dLbl>
              <c:idx val="2"/>
              <c:tx>
                <c:rich>
                  <a:bodyPr/>
                  <a:lstStyle/>
                  <a:p>
                    <a:fld id="{9B73D1C3-B8B1-40C0-99BF-D2434B778D66}"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0F7-465F-B9E6-7EA25C5D98DB}"/>
                </c:ext>
              </c:extLst>
            </c:dLbl>
            <c:dLbl>
              <c:idx val="3"/>
              <c:tx>
                <c:rich>
                  <a:bodyPr/>
                  <a:lstStyle/>
                  <a:p>
                    <a:fld id="{33E76B9E-6F4A-49C2-9505-20EEC51F881B}"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0F7-465F-B9E6-7EA25C5D98DB}"/>
                </c:ext>
              </c:extLst>
            </c:dLbl>
            <c:dLbl>
              <c:idx val="4"/>
              <c:tx>
                <c:rich>
                  <a:bodyPr/>
                  <a:lstStyle/>
                  <a:p>
                    <a:fld id="{31F22F19-0298-4E6F-8CB9-4BFD880A5430}"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0F7-465F-B9E6-7EA25C5D98DB}"/>
                </c:ext>
              </c:extLst>
            </c:dLbl>
            <c:dLbl>
              <c:idx val="5"/>
              <c:tx>
                <c:rich>
                  <a:bodyPr/>
                  <a:lstStyle/>
                  <a:p>
                    <a:fld id="{A63A9DFB-8970-48A9-85AF-2A93D9C81804}"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0F7-465F-B9E6-7EA25C5D98DB}"/>
                </c:ext>
              </c:extLst>
            </c:dLbl>
            <c:dLbl>
              <c:idx val="6"/>
              <c:tx>
                <c:rich>
                  <a:bodyPr/>
                  <a:lstStyle/>
                  <a:p>
                    <a:fld id="{72DE0EEE-11D2-4E10-B1EB-75A243A7A5B4}"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0F7-465F-B9E6-7EA25C5D98DB}"/>
                </c:ext>
              </c:extLst>
            </c:dLbl>
            <c:dLbl>
              <c:idx val="7"/>
              <c:tx>
                <c:rich>
                  <a:bodyPr/>
                  <a:lstStyle/>
                  <a:p>
                    <a:fld id="{397B0DC3-F459-434B-BD2F-F09F701AE4E0}"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0F7-465F-B9E6-7EA25C5D98DB}"/>
                </c:ext>
              </c:extLst>
            </c:dLbl>
            <c:dLbl>
              <c:idx val="8"/>
              <c:tx>
                <c:rich>
                  <a:bodyPr/>
                  <a:lstStyle/>
                  <a:p>
                    <a:fld id="{28549023-9C29-47D1-B368-324FB1D7A7FF}" type="CELLRANGE">
                      <a:rPr lang="en-AU"/>
                      <a:pPr/>
                      <a:t>[CELLRANGE]</a:t>
                    </a:fld>
                    <a:endParaRPr lang="en-AU"/>
                  </a:p>
                </c:rich>
              </c:tx>
              <c:dLblPos val="inBase"/>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0F7-465F-B9E6-7EA25C5D98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Base"/>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'[202310 Vic - NSQHS Standards assessment data (October 2023).xlsx]DashboardGraphs'!$J$133:$J$141</c:f>
              <c:strCache>
                <c:ptCount val="9"/>
                <c:pt idx="0">
                  <c:v>Clinical Governance</c:v>
                </c:pt>
                <c:pt idx="1">
                  <c:v>Partnering with Consumers</c:v>
                </c:pt>
                <c:pt idx="2">
                  <c:v>Prevent &amp; control infections</c:v>
                </c:pt>
                <c:pt idx="3">
                  <c:v>Medication Safety</c:v>
                </c:pt>
                <c:pt idx="4">
                  <c:v>Comprehensive Care</c:v>
                </c:pt>
                <c:pt idx="5">
                  <c:v>Communicating for Safety</c:v>
                </c:pt>
                <c:pt idx="6">
                  <c:v>Blood Management</c:v>
                </c:pt>
                <c:pt idx="7">
                  <c:v>R&amp;R to acute deterioration</c:v>
                </c:pt>
                <c:pt idx="8">
                  <c:v>MPS AC module</c:v>
                </c:pt>
              </c:strCache>
            </c:strRef>
          </c:cat>
          <c:val>
            <c:numRef>
              <c:f>'[202310 Vic - NSQHS Standards assessment data (October 2023).xlsx]DashboardGraphs'!$K$133:$K$141</c:f>
              <c:numCache>
                <c:formatCode>General</c:formatCode>
                <c:ptCount val="9"/>
                <c:pt idx="0">
                  <c:v>107</c:v>
                </c:pt>
                <c:pt idx="1">
                  <c:v>157</c:v>
                </c:pt>
                <c:pt idx="2">
                  <c:v>143</c:v>
                </c:pt>
                <c:pt idx="3">
                  <c:v>153</c:v>
                </c:pt>
                <c:pt idx="4">
                  <c:v>155</c:v>
                </c:pt>
                <c:pt idx="5">
                  <c:v>169</c:v>
                </c:pt>
                <c:pt idx="6">
                  <c:v>59</c:v>
                </c:pt>
                <c:pt idx="7">
                  <c:v>152</c:v>
                </c:pt>
                <c:pt idx="8">
                  <c:v>1</c:v>
                </c:pt>
              </c:numCache>
            </c:numRef>
          </c:val>
          <c:extLst>
            <c:ext xmlns:c15="http://schemas.microsoft.com/office/drawing/2012/chart" uri="{02D57815-91ED-43cb-92C2-25804820EDAC}">
              <c15:datalabelsRange>
                <c15:f>'[202310 Vic - NSQHS Standards assessment data (October 2023).xlsx]DashboardGraphs'!$S$133:$S$141</c15:f>
                <c15:dlblRangeCache>
                  <c:ptCount val="9"/>
                  <c:pt idx="0">
                    <c:v>47%</c:v>
                  </c:pt>
                  <c:pt idx="1">
                    <c:v>69%</c:v>
                  </c:pt>
                  <c:pt idx="2">
                    <c:v>63%</c:v>
                  </c:pt>
                  <c:pt idx="3">
                    <c:v>68%</c:v>
                  </c:pt>
                  <c:pt idx="4">
                    <c:v>69%</c:v>
                  </c:pt>
                  <c:pt idx="5">
                    <c:v>75%</c:v>
                  </c:pt>
                  <c:pt idx="6">
                    <c:v>26%</c:v>
                  </c:pt>
                  <c:pt idx="7">
                    <c:v>67%</c:v>
                  </c:pt>
                </c15:dlblRangeCache>
              </c15:datalabelsRange>
            </c:ext>
            <c:ext xmlns:c16="http://schemas.microsoft.com/office/drawing/2014/chart" uri="{C3380CC4-5D6E-409C-BE32-E72D297353CC}">
              <c16:uniqueId val="{00000009-E0F7-465F-B9E6-7EA25C5D98DB}"/>
            </c:ext>
          </c:extLst>
        </c:ser>
        <c:ser>
          <c:idx val="1"/>
          <c:order val="1"/>
          <c:tx>
            <c:strRef>
              <c:f>'[202310 Vic - NSQHS Standards assessment data (October 2023).xlsx]DashboardGraphs'!$L$132</c:f>
              <c:strCache>
                <c:ptCount val="1"/>
                <c:pt idx="0">
                  <c:v>Met with recommendation</c:v>
                </c:pt>
              </c:strCache>
            </c:strRef>
          </c:tx>
          <c:spPr>
            <a:solidFill>
              <a:srgbClr val="BED9CD"/>
            </a:solidFill>
            <a:ln>
              <a:noFill/>
            </a:ln>
            <a:effectLst>
              <a:outerShdw blurRad="50800" dist="38100" dir="2700000" algn="tl" rotWithShape="0">
                <a:prstClr val="black">
                  <a:alpha val="40000"/>
                </a:prstClr>
              </a:outerShdw>
            </a:effectLst>
          </c:spPr>
          <c:invertIfNegative val="0"/>
          <c:dLbls>
            <c:dLbl>
              <c:idx val="0"/>
              <c:tx>
                <c:rich>
                  <a:bodyPr/>
                  <a:lstStyle/>
                  <a:p>
                    <a:fld id="{D54FFE20-C925-4438-B722-E19E92951117}" type="CELLRANGE">
                      <a:rPr lang="en-US"/>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E0F7-465F-B9E6-7EA25C5D98DB}"/>
                </c:ext>
              </c:extLst>
            </c:dLbl>
            <c:dLbl>
              <c:idx val="1"/>
              <c:tx>
                <c:rich>
                  <a:bodyPr/>
                  <a:lstStyle/>
                  <a:p>
                    <a:fld id="{243A397F-974E-4426-98B6-CB0BCCBD8A7E}"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0F7-465F-B9E6-7EA25C5D98DB}"/>
                </c:ext>
              </c:extLst>
            </c:dLbl>
            <c:dLbl>
              <c:idx val="2"/>
              <c:tx>
                <c:rich>
                  <a:bodyPr/>
                  <a:lstStyle/>
                  <a:p>
                    <a:fld id="{2292D89F-EFB6-40B4-A73F-572EC3A615D9}"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0F7-465F-B9E6-7EA25C5D98DB}"/>
                </c:ext>
              </c:extLst>
            </c:dLbl>
            <c:dLbl>
              <c:idx val="3"/>
              <c:tx>
                <c:rich>
                  <a:bodyPr/>
                  <a:lstStyle/>
                  <a:p>
                    <a:fld id="{9272E590-D8A7-4C4C-BDAF-C90E4EF0DC3D}"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0F7-465F-B9E6-7EA25C5D98DB}"/>
                </c:ext>
              </c:extLst>
            </c:dLbl>
            <c:dLbl>
              <c:idx val="4"/>
              <c:tx>
                <c:rich>
                  <a:bodyPr/>
                  <a:lstStyle/>
                  <a:p>
                    <a:fld id="{1DA24AAD-FE2B-42BA-A114-12ABDDE36539}"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0F7-465F-B9E6-7EA25C5D98DB}"/>
                </c:ext>
              </c:extLst>
            </c:dLbl>
            <c:dLbl>
              <c:idx val="5"/>
              <c:tx>
                <c:rich>
                  <a:bodyPr/>
                  <a:lstStyle/>
                  <a:p>
                    <a:fld id="{5D9908FA-4698-42F8-90BC-19B9379A90AD}"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0F7-465F-B9E6-7EA25C5D98DB}"/>
                </c:ext>
              </c:extLst>
            </c:dLbl>
            <c:dLbl>
              <c:idx val="6"/>
              <c:tx>
                <c:rich>
                  <a:bodyPr/>
                  <a:lstStyle/>
                  <a:p>
                    <a:fld id="{E8B63E80-3412-406D-8784-A377C35B0837}"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0F7-465F-B9E6-7EA25C5D98DB}"/>
                </c:ext>
              </c:extLst>
            </c:dLbl>
            <c:dLbl>
              <c:idx val="7"/>
              <c:tx>
                <c:rich>
                  <a:bodyPr/>
                  <a:lstStyle/>
                  <a:p>
                    <a:fld id="{AB0A00A3-A945-43A1-B97E-5D06A044FDC9}"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E0F7-465F-B9E6-7EA25C5D98DB}"/>
                </c:ext>
              </c:extLst>
            </c:dLbl>
            <c:dLbl>
              <c:idx val="8"/>
              <c:tx>
                <c:rich>
                  <a:bodyPr/>
                  <a:lstStyle/>
                  <a:p>
                    <a:fld id="{2D05BC5F-DE1E-4E76-88F1-14DC795D7507}"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0F7-465F-B9E6-7EA25C5D98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'[202310 Vic - NSQHS Standards assessment data (October 2023).xlsx]DashboardGraphs'!$J$133:$J$141</c:f>
              <c:strCache>
                <c:ptCount val="9"/>
                <c:pt idx="0">
                  <c:v>Clinical Governance</c:v>
                </c:pt>
                <c:pt idx="1">
                  <c:v>Partnering with Consumers</c:v>
                </c:pt>
                <c:pt idx="2">
                  <c:v>Prevent &amp; control infections</c:v>
                </c:pt>
                <c:pt idx="3">
                  <c:v>Medication Safety</c:v>
                </c:pt>
                <c:pt idx="4">
                  <c:v>Comprehensive Care</c:v>
                </c:pt>
                <c:pt idx="5">
                  <c:v>Communicating for Safety</c:v>
                </c:pt>
                <c:pt idx="6">
                  <c:v>Blood Management</c:v>
                </c:pt>
                <c:pt idx="7">
                  <c:v>R&amp;R to acute deterioration</c:v>
                </c:pt>
                <c:pt idx="8">
                  <c:v>MPS AC module</c:v>
                </c:pt>
              </c:strCache>
            </c:strRef>
          </c:cat>
          <c:val>
            <c:numRef>
              <c:f>'[202310 Vic - NSQHS Standards assessment data (October 2023).xlsx]DashboardGraphs'!$L$133:$L$141</c:f>
              <c:numCache>
                <c:formatCode>General</c:formatCode>
                <c:ptCount val="9"/>
                <c:pt idx="0">
                  <c:v>78</c:v>
                </c:pt>
                <c:pt idx="1">
                  <c:v>41</c:v>
                </c:pt>
                <c:pt idx="2">
                  <c:v>55</c:v>
                </c:pt>
                <c:pt idx="3">
                  <c:v>45</c:v>
                </c:pt>
                <c:pt idx="4">
                  <c:v>44</c:v>
                </c:pt>
                <c:pt idx="5">
                  <c:v>40</c:v>
                </c:pt>
                <c:pt idx="6">
                  <c:v>14</c:v>
                </c:pt>
                <c:pt idx="7">
                  <c:v>47</c:v>
                </c:pt>
                <c:pt idx="8">
                  <c:v>0</c:v>
                </c:pt>
              </c:numCache>
            </c:numRef>
          </c:val>
          <c:extLst>
            <c:ext xmlns:c15="http://schemas.microsoft.com/office/drawing/2012/chart" uri="{02D57815-91ED-43cb-92C2-25804820EDAC}">
              <c15:datalabelsRange>
                <c15:f>'[202310 Vic - NSQHS Standards assessment data (October 2023).xlsx]DashboardGraphs'!$T$133:$T$141</c15:f>
                <c15:dlblRangeCache>
                  <c:ptCount val="9"/>
                  <c:pt idx="0">
                    <c:v>35%</c:v>
                  </c:pt>
                  <c:pt idx="1">
                    <c:v>18%</c:v>
                  </c:pt>
                  <c:pt idx="2">
                    <c:v>24%</c:v>
                  </c:pt>
                  <c:pt idx="3">
                    <c:v>20%</c:v>
                  </c:pt>
                  <c:pt idx="4">
                    <c:v>19%</c:v>
                  </c:pt>
                  <c:pt idx="5">
                    <c:v>18%</c:v>
                  </c:pt>
                  <c:pt idx="6">
                    <c:v>6%</c:v>
                  </c:pt>
                  <c:pt idx="7">
                    <c:v>21%</c:v>
                  </c:pt>
                </c15:dlblRangeCache>
              </c15:datalabelsRange>
            </c:ext>
            <c:ext xmlns:c16="http://schemas.microsoft.com/office/drawing/2014/chart" uri="{C3380CC4-5D6E-409C-BE32-E72D297353CC}">
              <c16:uniqueId val="{00000013-E0F7-465F-B9E6-7EA25C5D98DB}"/>
            </c:ext>
          </c:extLst>
        </c:ser>
        <c:ser>
          <c:idx val="2"/>
          <c:order val="2"/>
          <c:tx>
            <c:strRef>
              <c:f>'[202310 Vic - NSQHS Standards assessment data (October 2023).xlsx]DashboardGraphs'!$M$132</c:f>
              <c:strCache>
                <c:ptCount val="1"/>
                <c:pt idx="0">
                  <c:v>Not met</c:v>
                </c:pt>
              </c:strCache>
            </c:strRef>
          </c:tx>
          <c:spPr>
            <a:solidFill>
              <a:schemeClr val="accent3"/>
            </a:solidFill>
            <a:ln>
              <a:noFill/>
            </a:ln>
            <a:effectLst>
              <a:outerShdw blurRad="50800" dist="38100" dir="2700000" algn="tl" rotWithShape="0">
                <a:prstClr val="black">
                  <a:alpha val="40000"/>
                </a:prstClr>
              </a:outerShdw>
            </a:effectLst>
          </c:spPr>
          <c:invertIfNegative val="0"/>
          <c:dLbls>
            <c:dLbl>
              <c:idx val="0"/>
              <c:tx>
                <c:rich>
                  <a:bodyPr/>
                  <a:lstStyle/>
                  <a:p>
                    <a:fld id="{CB9A7E67-AE4F-459A-A3E4-49E7CF01EE38}" type="CELLRANGE">
                      <a:rPr lang="en-US"/>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E0F7-465F-B9E6-7EA25C5D98DB}"/>
                </c:ext>
              </c:extLst>
            </c:dLbl>
            <c:dLbl>
              <c:idx val="1"/>
              <c:tx>
                <c:rich>
                  <a:bodyPr/>
                  <a:lstStyle/>
                  <a:p>
                    <a:fld id="{1E3E08F8-B914-4EB0-80D3-637F1F2D5F93}"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E0F7-465F-B9E6-7EA25C5D98DB}"/>
                </c:ext>
              </c:extLst>
            </c:dLbl>
            <c:dLbl>
              <c:idx val="2"/>
              <c:tx>
                <c:rich>
                  <a:bodyPr/>
                  <a:lstStyle/>
                  <a:p>
                    <a:fld id="{18230D7C-114B-4AC8-91AD-86ECCC097F12}"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E0F7-465F-B9E6-7EA25C5D98DB}"/>
                </c:ext>
              </c:extLst>
            </c:dLbl>
            <c:dLbl>
              <c:idx val="3"/>
              <c:tx>
                <c:rich>
                  <a:bodyPr/>
                  <a:lstStyle/>
                  <a:p>
                    <a:fld id="{ABB67F0E-DB70-445B-8713-86CF207A4B16}"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E0F7-465F-B9E6-7EA25C5D98DB}"/>
                </c:ext>
              </c:extLst>
            </c:dLbl>
            <c:dLbl>
              <c:idx val="4"/>
              <c:tx>
                <c:rich>
                  <a:bodyPr/>
                  <a:lstStyle/>
                  <a:p>
                    <a:fld id="{E4714DAB-9E80-4FDC-8777-71B89B10A729}"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E0F7-465F-B9E6-7EA25C5D98DB}"/>
                </c:ext>
              </c:extLst>
            </c:dLbl>
            <c:dLbl>
              <c:idx val="5"/>
              <c:tx>
                <c:rich>
                  <a:bodyPr/>
                  <a:lstStyle/>
                  <a:p>
                    <a:fld id="{F483A11E-07D6-45CB-81F0-858015A9F428}"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E0F7-465F-B9E6-7EA25C5D98DB}"/>
                </c:ext>
              </c:extLst>
            </c:dLbl>
            <c:dLbl>
              <c:idx val="6"/>
              <c:tx>
                <c:rich>
                  <a:bodyPr/>
                  <a:lstStyle/>
                  <a:p>
                    <a:fld id="{50C9C84E-3C91-4E5B-9B9E-8D11FE332BAA}"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E0F7-465F-B9E6-7EA25C5D98DB}"/>
                </c:ext>
              </c:extLst>
            </c:dLbl>
            <c:dLbl>
              <c:idx val="7"/>
              <c:tx>
                <c:rich>
                  <a:bodyPr/>
                  <a:lstStyle/>
                  <a:p>
                    <a:fld id="{87E981A2-86BC-4E6F-8405-CC8C8E56C311}"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E0F7-465F-B9E6-7EA25C5D98DB}"/>
                </c:ext>
              </c:extLst>
            </c:dLbl>
            <c:dLbl>
              <c:idx val="8"/>
              <c:tx>
                <c:rich>
                  <a:bodyPr/>
                  <a:lstStyle/>
                  <a:p>
                    <a:fld id="{126FA7D1-ACF0-4DCC-B064-6D64A7250DC8}"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E0F7-465F-B9E6-7EA25C5D98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'[202310 Vic - NSQHS Standards assessment data (October 2023).xlsx]DashboardGraphs'!$J$133:$J$141</c:f>
              <c:strCache>
                <c:ptCount val="9"/>
                <c:pt idx="0">
                  <c:v>Clinical Governance</c:v>
                </c:pt>
                <c:pt idx="1">
                  <c:v>Partnering with Consumers</c:v>
                </c:pt>
                <c:pt idx="2">
                  <c:v>Prevent &amp; control infections</c:v>
                </c:pt>
                <c:pt idx="3">
                  <c:v>Medication Safety</c:v>
                </c:pt>
                <c:pt idx="4">
                  <c:v>Comprehensive Care</c:v>
                </c:pt>
                <c:pt idx="5">
                  <c:v>Communicating for Safety</c:v>
                </c:pt>
                <c:pt idx="6">
                  <c:v>Blood Management</c:v>
                </c:pt>
                <c:pt idx="7">
                  <c:v>R&amp;R to acute deterioration</c:v>
                </c:pt>
                <c:pt idx="8">
                  <c:v>MPS AC module</c:v>
                </c:pt>
              </c:strCache>
            </c:strRef>
          </c:cat>
          <c:val>
            <c:numRef>
              <c:f>'[202310 Vic - NSQHS Standards assessment data (October 2023).xlsx]DashboardGraphs'!$M$133:$M$141</c:f>
              <c:numCache>
                <c:formatCode>General</c:formatCode>
                <c:ptCount val="9"/>
                <c:pt idx="0">
                  <c:v>41</c:v>
                </c:pt>
                <c:pt idx="1">
                  <c:v>28</c:v>
                </c:pt>
                <c:pt idx="2">
                  <c:v>28</c:v>
                </c:pt>
                <c:pt idx="3">
                  <c:v>27</c:v>
                </c:pt>
                <c:pt idx="4">
                  <c:v>27</c:v>
                </c:pt>
                <c:pt idx="5">
                  <c:v>14</c:v>
                </c:pt>
                <c:pt idx="6">
                  <c:v>4</c:v>
                </c:pt>
                <c:pt idx="7">
                  <c:v>26</c:v>
                </c:pt>
                <c:pt idx="8">
                  <c:v>0</c:v>
                </c:pt>
              </c:numCache>
            </c:numRef>
          </c:val>
          <c:extLst>
            <c:ext xmlns:c15="http://schemas.microsoft.com/office/drawing/2012/chart" uri="{02D57815-91ED-43cb-92C2-25804820EDAC}">
              <c15:datalabelsRange>
                <c15:f>'[202310 Vic - NSQHS Standards assessment data (October 2023).xlsx]DashboardGraphs'!$U$133:$U$141</c15:f>
                <c15:dlblRangeCache>
                  <c:ptCount val="9"/>
                  <c:pt idx="0">
                    <c:v>18%</c:v>
                  </c:pt>
                  <c:pt idx="1">
                    <c:v>12%</c:v>
                  </c:pt>
                  <c:pt idx="2">
                    <c:v>12%</c:v>
                  </c:pt>
                  <c:pt idx="3">
                    <c:v>12%</c:v>
                  </c:pt>
                  <c:pt idx="4">
                    <c:v>12%</c:v>
                  </c:pt>
                  <c:pt idx="5">
                    <c:v>6%</c:v>
                  </c:pt>
                  <c:pt idx="7">
                    <c:v>12%</c:v>
                  </c:pt>
                </c15:dlblRangeCache>
              </c15:datalabelsRange>
            </c:ext>
            <c:ext xmlns:c16="http://schemas.microsoft.com/office/drawing/2014/chart" uri="{C3380CC4-5D6E-409C-BE32-E72D297353CC}">
              <c16:uniqueId val="{0000001D-E0F7-465F-B9E6-7EA25C5D98DB}"/>
            </c:ext>
          </c:extLst>
        </c:ser>
        <c:ser>
          <c:idx val="3"/>
          <c:order val="3"/>
          <c:tx>
            <c:strRef>
              <c:f>'[202310 Vic - NSQHS Standards assessment data (October 2023).xlsx]DashboardGraphs'!$N$132</c:f>
              <c:strCache>
                <c:ptCount val="1"/>
                <c:pt idx="0">
                  <c:v>Not applicable</c:v>
                </c:pt>
              </c:strCache>
            </c:strRef>
          </c:tx>
          <c:spPr>
            <a:solidFill>
              <a:srgbClr val="EEECE1"/>
            </a:solidFill>
            <a:ln>
              <a:noFill/>
            </a:ln>
            <a:effectLst>
              <a:outerShdw blurRad="50800" dist="38100" dir="2700000" algn="tl" rotWithShape="0">
                <a:prstClr val="black">
                  <a:alpha val="40000"/>
                </a:prstClr>
              </a:outerShdw>
            </a:effectLst>
          </c:spPr>
          <c:invertIfNegative val="0"/>
          <c:dLbls>
            <c:dLbl>
              <c:idx val="0"/>
              <c:tx>
                <c:rich>
                  <a:bodyPr/>
                  <a:lstStyle/>
                  <a:p>
                    <a:fld id="{CAE8BC59-B325-4BD3-9649-51E0FA465064}" type="CELLRANGE">
                      <a:rPr lang="en-US"/>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E0F7-465F-B9E6-7EA25C5D98DB}"/>
                </c:ext>
              </c:extLst>
            </c:dLbl>
            <c:dLbl>
              <c:idx val="1"/>
              <c:tx>
                <c:rich>
                  <a:bodyPr/>
                  <a:lstStyle/>
                  <a:p>
                    <a:fld id="{3DBBDE5F-054B-425F-9057-0D01A6268ED1}"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F-E0F7-465F-B9E6-7EA25C5D98DB}"/>
                </c:ext>
              </c:extLst>
            </c:dLbl>
            <c:dLbl>
              <c:idx val="2"/>
              <c:tx>
                <c:rich>
                  <a:bodyPr/>
                  <a:lstStyle/>
                  <a:p>
                    <a:fld id="{9D6D8E8B-4523-4E28-8FAB-174F97B6E19E}"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0-E0F7-465F-B9E6-7EA25C5D98DB}"/>
                </c:ext>
              </c:extLst>
            </c:dLbl>
            <c:dLbl>
              <c:idx val="3"/>
              <c:tx>
                <c:rich>
                  <a:bodyPr/>
                  <a:lstStyle/>
                  <a:p>
                    <a:fld id="{B3035FCB-1929-41C5-BB52-36A8880861C5}"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1-E0F7-465F-B9E6-7EA25C5D98DB}"/>
                </c:ext>
              </c:extLst>
            </c:dLbl>
            <c:dLbl>
              <c:idx val="4"/>
              <c:tx>
                <c:rich>
                  <a:bodyPr/>
                  <a:lstStyle/>
                  <a:p>
                    <a:fld id="{743B655F-2F9E-437D-A9DF-F8E75A2E99E3}"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E0F7-465F-B9E6-7EA25C5D98DB}"/>
                </c:ext>
              </c:extLst>
            </c:dLbl>
            <c:dLbl>
              <c:idx val="5"/>
              <c:tx>
                <c:rich>
                  <a:bodyPr/>
                  <a:lstStyle/>
                  <a:p>
                    <a:fld id="{0E649AA8-996C-4D84-91A6-E818ED89C40E}"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3-E0F7-465F-B9E6-7EA25C5D98DB}"/>
                </c:ext>
              </c:extLst>
            </c:dLbl>
            <c:dLbl>
              <c:idx val="6"/>
              <c:tx>
                <c:rich>
                  <a:bodyPr/>
                  <a:lstStyle/>
                  <a:p>
                    <a:fld id="{2E5FB498-97EB-49A2-9171-DA65DED81F91}"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4-E0F7-465F-B9E6-7EA25C5D98DB}"/>
                </c:ext>
              </c:extLst>
            </c:dLbl>
            <c:dLbl>
              <c:idx val="7"/>
              <c:tx>
                <c:rich>
                  <a:bodyPr/>
                  <a:lstStyle/>
                  <a:p>
                    <a:fld id="{6B9CED0E-5611-482F-91C4-8CAE8F1E46B9}"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5-E0F7-465F-B9E6-7EA25C5D98DB}"/>
                </c:ext>
              </c:extLst>
            </c:dLbl>
            <c:dLbl>
              <c:idx val="8"/>
              <c:tx>
                <c:rich>
                  <a:bodyPr/>
                  <a:lstStyle/>
                  <a:p>
                    <a:fld id="{5DD7496A-562C-434C-AE5D-17A1018BB625}" type="CELLRANGE">
                      <a:rPr lang="en-AU"/>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6-E0F7-465F-B9E6-7EA25C5D98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'[202310 Vic - NSQHS Standards assessment data (October 2023).xlsx]DashboardGraphs'!$J$133:$J$141</c:f>
              <c:strCache>
                <c:ptCount val="9"/>
                <c:pt idx="0">
                  <c:v>Clinical Governance</c:v>
                </c:pt>
                <c:pt idx="1">
                  <c:v>Partnering with Consumers</c:v>
                </c:pt>
                <c:pt idx="2">
                  <c:v>Prevent &amp; control infections</c:v>
                </c:pt>
                <c:pt idx="3">
                  <c:v>Medication Safety</c:v>
                </c:pt>
                <c:pt idx="4">
                  <c:v>Comprehensive Care</c:v>
                </c:pt>
                <c:pt idx="5">
                  <c:v>Communicating for Safety</c:v>
                </c:pt>
                <c:pt idx="6">
                  <c:v>Blood Management</c:v>
                </c:pt>
                <c:pt idx="7">
                  <c:v>R&amp;R to acute deterioration</c:v>
                </c:pt>
                <c:pt idx="8">
                  <c:v>MPS AC module</c:v>
                </c:pt>
              </c:strCache>
            </c:strRef>
          </c:cat>
          <c:val>
            <c:numRef>
              <c:f>'[202310 Vic - NSQHS Standards assessment data (October 2023).xlsx]DashboardGraphs'!$N$133:$N$141</c:f>
              <c:numCache>
                <c:formatCode>General</c:formatCode>
                <c:ptCount val="9"/>
                <c:pt idx="0">
                  <c:v>0</c:v>
                </c:pt>
                <c:pt idx="1">
                  <c:v>0</c:v>
                </c:pt>
                <c:pt idx="2">
                  <c:v>0</c:v>
                </c:pt>
                <c:pt idx="3">
                  <c:v>0</c:v>
                </c:pt>
                <c:pt idx="4">
                  <c:v>0</c:v>
                </c:pt>
                <c:pt idx="5">
                  <c:v>0</c:v>
                </c:pt>
                <c:pt idx="6">
                  <c:v>142</c:v>
                </c:pt>
                <c:pt idx="7">
                  <c:v>0</c:v>
                </c:pt>
                <c:pt idx="8">
                  <c:v>0</c:v>
                </c:pt>
              </c:numCache>
            </c:numRef>
          </c:val>
          <c:extLst>
            <c:ext xmlns:c15="http://schemas.microsoft.com/office/drawing/2012/chart" uri="{02D57815-91ED-43cb-92C2-25804820EDAC}">
              <c15:datalabelsRange>
                <c15:f>'[202310 Vic - NSQHS Standards assessment data (October 2023).xlsx]DashboardGraphs'!$V$133:$V$141</c15:f>
                <c15:dlblRangeCache>
                  <c:ptCount val="9"/>
                  <c:pt idx="6">
                    <c:v>63%</c:v>
                  </c:pt>
                </c15:dlblRangeCache>
              </c15:datalabelsRange>
            </c:ext>
            <c:ext xmlns:c16="http://schemas.microsoft.com/office/drawing/2014/chart" uri="{C3380CC4-5D6E-409C-BE32-E72D297353CC}">
              <c16:uniqueId val="{00000027-E0F7-465F-B9E6-7EA25C5D98DB}"/>
            </c:ext>
          </c:extLst>
        </c:ser>
        <c:ser>
          <c:idx val="4"/>
          <c:order val="4"/>
          <c:tx>
            <c:strRef>
              <c:f>'[202310 Vic - NSQHS Standards assessment data (October 2023).xlsx]DashboardGraphs'!$O$132</c:f>
              <c:strCache>
                <c:ptCount val="1"/>
                <c:pt idx="0">
                  <c:v>Not assessed</c:v>
                </c:pt>
              </c:strCache>
            </c:strRef>
          </c:tx>
          <c:spPr>
            <a:solidFill>
              <a:srgbClr val="000000"/>
            </a:solidFill>
            <a:ln>
              <a:noFill/>
            </a:ln>
            <a:effectLst>
              <a:outerShdw blurRad="50800" dist="38100" dir="2700000" algn="tl" rotWithShape="0">
                <a:prstClr val="black">
                  <a:alpha val="40000"/>
                </a:prstClr>
              </a:outerShdw>
            </a:effectLst>
          </c:spPr>
          <c:invertIfNegative val="0"/>
          <c:dLbls>
            <c:dLbl>
              <c:idx val="0"/>
              <c:tx>
                <c:rich>
                  <a:bodyPr/>
                  <a:lstStyle/>
                  <a:p>
                    <a:fld id="{320EE208-09D6-4E90-BD4A-7A85B922D731}" type="CELLRANGE">
                      <a:rPr lang="en-US"/>
                      <a:pPr/>
                      <a:t>[CELLRANGE]</a:t>
                    </a:fld>
                    <a:endParaRPr lang="en-AU"/>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8-E0F7-465F-B9E6-7EA25C5D98DB}"/>
                </c:ext>
              </c:extLst>
            </c:dLbl>
            <c:dLbl>
              <c:idx val="1"/>
              <c:tx>
                <c:rich>
                  <a:bodyPr/>
                  <a:lstStyle/>
                  <a:p>
                    <a:fld id="{2792BCA9-AC0A-49D8-BDE6-18DB8B1B33D0}" type="CELLRANGE">
                      <a:rPr lang="en-AU"/>
                      <a:pPr/>
                      <a:t>[CELLRANGE]</a:t>
                    </a:fld>
                    <a:endParaRPr lang="en-AU"/>
                  </a:p>
                </c:rich>
              </c:tx>
              <c:dLblPos val="in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E0F7-465F-B9E6-7EA25C5D98DB}"/>
                </c:ext>
              </c:extLst>
            </c:dLbl>
            <c:dLbl>
              <c:idx val="2"/>
              <c:tx>
                <c:rich>
                  <a:bodyPr/>
                  <a:lstStyle/>
                  <a:p>
                    <a:fld id="{A992E299-30B7-4C8F-A588-41EB2AD2F463}" type="CELLRANGE">
                      <a:rPr lang="en-AU"/>
                      <a:pPr/>
                      <a:t>[CELLRANGE]</a:t>
                    </a:fld>
                    <a:endParaRPr lang="en-AU"/>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A-E0F7-465F-B9E6-7EA25C5D98DB}"/>
                </c:ext>
              </c:extLst>
            </c:dLbl>
            <c:dLbl>
              <c:idx val="3"/>
              <c:tx>
                <c:rich>
                  <a:bodyPr/>
                  <a:lstStyle/>
                  <a:p>
                    <a:fld id="{CFD29481-46C8-483E-97B5-60DF0A506303}" type="CELLRANGE">
                      <a:rPr lang="en-AU"/>
                      <a:pPr/>
                      <a:t>[CELLRANGE]</a:t>
                    </a:fld>
                    <a:endParaRPr lang="en-AU"/>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B-E0F7-465F-B9E6-7EA25C5D98DB}"/>
                </c:ext>
              </c:extLst>
            </c:dLbl>
            <c:dLbl>
              <c:idx val="4"/>
              <c:tx>
                <c:rich>
                  <a:bodyPr/>
                  <a:lstStyle/>
                  <a:p>
                    <a:fld id="{42872EDA-C847-4EC5-8D0B-7D359D20FE1F}" type="CELLRANGE">
                      <a:rPr lang="en-AU"/>
                      <a:pPr/>
                      <a:t>[CELLRANGE]</a:t>
                    </a:fld>
                    <a:endParaRPr lang="en-AU"/>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C-E0F7-465F-B9E6-7EA25C5D98DB}"/>
                </c:ext>
              </c:extLst>
            </c:dLbl>
            <c:dLbl>
              <c:idx val="5"/>
              <c:tx>
                <c:rich>
                  <a:bodyPr/>
                  <a:lstStyle/>
                  <a:p>
                    <a:fld id="{44412EA1-337C-4D12-8A34-B1AF9B1D3366}" type="CELLRANGE">
                      <a:rPr lang="en-AU"/>
                      <a:pPr/>
                      <a:t>[CELLRANGE]</a:t>
                    </a:fld>
                    <a:endParaRPr lang="en-AU"/>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D-E0F7-465F-B9E6-7EA25C5D98DB}"/>
                </c:ext>
              </c:extLst>
            </c:dLbl>
            <c:dLbl>
              <c:idx val="6"/>
              <c:tx>
                <c:rich>
                  <a:bodyPr/>
                  <a:lstStyle/>
                  <a:p>
                    <a:fld id="{DC20B0B9-84BD-43C4-BCF9-9F65493E1867}" type="CELLRANGE">
                      <a:rPr lang="en-US"/>
                      <a:pPr/>
                      <a:t>[CELLRANGE]</a:t>
                    </a:fld>
                    <a:endParaRPr lang="en-AU"/>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E-E0F7-465F-B9E6-7EA25C5D98DB}"/>
                </c:ext>
              </c:extLst>
            </c:dLbl>
            <c:dLbl>
              <c:idx val="7"/>
              <c:tx>
                <c:rich>
                  <a:bodyPr/>
                  <a:lstStyle/>
                  <a:p>
                    <a:fld id="{C1A9A60E-0E7A-4A70-9516-9018D9AAB5D7}" type="CELLRANGE">
                      <a:rPr lang="en-AU"/>
                      <a:pPr/>
                      <a:t>[CELLRANGE]</a:t>
                    </a:fld>
                    <a:endParaRPr lang="en-AU"/>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F-E0F7-465F-B9E6-7EA25C5D98DB}"/>
                </c:ext>
              </c:extLst>
            </c:dLbl>
            <c:dLbl>
              <c:idx val="8"/>
              <c:tx>
                <c:rich>
                  <a:bodyPr/>
                  <a:lstStyle/>
                  <a:p>
                    <a:fld id="{542F04C1-B8A0-404A-A396-A81A05753332}" type="CELLRANGE">
                      <a:rPr lang="en-AU"/>
                      <a:pPr/>
                      <a:t>[CELLRANGE]</a:t>
                    </a:fld>
                    <a:endParaRPr lang="en-AU"/>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0-E0F7-465F-B9E6-7EA25C5D98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'[202310 Vic - NSQHS Standards assessment data (October 2023).xlsx]DashboardGraphs'!$J$133:$J$141</c:f>
              <c:strCache>
                <c:ptCount val="9"/>
                <c:pt idx="0">
                  <c:v>Clinical Governance</c:v>
                </c:pt>
                <c:pt idx="1">
                  <c:v>Partnering with Consumers</c:v>
                </c:pt>
                <c:pt idx="2">
                  <c:v>Prevent &amp; control infections</c:v>
                </c:pt>
                <c:pt idx="3">
                  <c:v>Medication Safety</c:v>
                </c:pt>
                <c:pt idx="4">
                  <c:v>Comprehensive Care</c:v>
                </c:pt>
                <c:pt idx="5">
                  <c:v>Communicating for Safety</c:v>
                </c:pt>
                <c:pt idx="6">
                  <c:v>Blood Management</c:v>
                </c:pt>
                <c:pt idx="7">
                  <c:v>R&amp;R to acute deterioration</c:v>
                </c:pt>
                <c:pt idx="8">
                  <c:v>MPS AC module</c:v>
                </c:pt>
              </c:strCache>
            </c:strRef>
          </c:cat>
          <c:val>
            <c:numRef>
              <c:f>'[202310 Vic - NSQHS Standards assessment data (October 2023).xlsx]DashboardGraphs'!$O$133:$O$141</c:f>
              <c:numCache>
                <c:formatCode>General</c:formatCode>
                <c:ptCount val="9"/>
                <c:pt idx="0">
                  <c:v>0</c:v>
                </c:pt>
                <c:pt idx="1">
                  <c:v>0</c:v>
                </c:pt>
                <c:pt idx="2">
                  <c:v>0</c:v>
                </c:pt>
                <c:pt idx="3">
                  <c:v>1</c:v>
                </c:pt>
                <c:pt idx="4">
                  <c:v>0</c:v>
                </c:pt>
                <c:pt idx="5">
                  <c:v>3</c:v>
                </c:pt>
                <c:pt idx="6">
                  <c:v>7</c:v>
                </c:pt>
                <c:pt idx="7">
                  <c:v>1</c:v>
                </c:pt>
                <c:pt idx="8">
                  <c:v>225</c:v>
                </c:pt>
              </c:numCache>
            </c:numRef>
          </c:val>
          <c:extLst>
            <c:ext xmlns:c15="http://schemas.microsoft.com/office/drawing/2012/chart" uri="{02D57815-91ED-43cb-92C2-25804820EDAC}">
              <c15:datalabelsRange>
                <c15:f>'[202310 Vic - NSQHS Standards assessment data (October 2023).xlsx]DashboardGraphs'!$W$133:$W$141</c15:f>
                <c15:dlblRangeCache>
                  <c:ptCount val="9"/>
                  <c:pt idx="8">
                    <c:v>100%</c:v>
                  </c:pt>
                </c15:dlblRangeCache>
              </c15:datalabelsRange>
            </c:ext>
            <c:ext xmlns:c16="http://schemas.microsoft.com/office/drawing/2014/chart" uri="{C3380CC4-5D6E-409C-BE32-E72D297353CC}">
              <c16:uniqueId val="{00000031-E0F7-465F-B9E6-7EA25C5D98DB}"/>
            </c:ext>
          </c:extLst>
        </c:ser>
        <c:dLbls>
          <c:showLegendKey val="0"/>
          <c:showVal val="0"/>
          <c:showCatName val="0"/>
          <c:showSerName val="0"/>
          <c:showPercent val="0"/>
          <c:showBubbleSize val="0"/>
        </c:dLbls>
        <c:gapWidth val="80"/>
        <c:overlap val="100"/>
        <c:axId val="1157713720"/>
        <c:axId val="1157710768"/>
      </c:barChart>
      <c:catAx>
        <c:axId val="1157713720"/>
        <c:scaling>
          <c:orientation val="maxMin"/>
        </c:scaling>
        <c:delete val="0"/>
        <c:axPos val="l"/>
        <c:numFmt formatCode="General" sourceLinked="1"/>
        <c:majorTickMark val="none"/>
        <c:minorTickMark val="none"/>
        <c:tickLblPos val="nextTo"/>
        <c:spPr>
          <a:noFill/>
          <a:ln w="1587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7710768"/>
        <c:crosses val="autoZero"/>
        <c:auto val="1"/>
        <c:lblAlgn val="ctr"/>
        <c:lblOffset val="100"/>
        <c:noMultiLvlLbl val="0"/>
      </c:catAx>
      <c:valAx>
        <c:axId val="1157710768"/>
        <c:scaling>
          <c:orientation val="minMax"/>
        </c:scaling>
        <c:delete val="1"/>
        <c:axPos val="t"/>
        <c:numFmt formatCode="General" sourceLinked="1"/>
        <c:majorTickMark val="none"/>
        <c:minorTickMark val="none"/>
        <c:tickLblPos val="nextTo"/>
        <c:crossAx val="1157713720"/>
        <c:crosses val="autoZero"/>
        <c:crossBetween val="between"/>
      </c:valAx>
      <c:spPr>
        <a:noFill/>
        <a:ln>
          <a:noFill/>
        </a:ln>
        <a:effectLst/>
      </c:spPr>
    </c:plotArea>
    <c:legend>
      <c:legendPos val="r"/>
      <c:layout>
        <c:manualLayout>
          <c:xMode val="edge"/>
          <c:yMode val="edge"/>
          <c:x val="0.77908818399825597"/>
          <c:y val="4.4421562689279236E-2"/>
          <c:w val="0.22091181600174406"/>
          <c:h val="0.9258083124224856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rgbClr val="7EA0BC"/>
              </a:solidFill>
              <a:round/>
            </a:ln>
            <a:effectLst/>
          </c:spPr>
          <c:marker>
            <c:symbol val="none"/>
          </c:marker>
          <c:dLbls>
            <c:dLbl>
              <c:idx val="0"/>
              <c:layout>
                <c:manualLayout>
                  <c:x val="-8.3333333333333332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1A-4393-8B4D-BCBB27C9B904}"/>
                </c:ext>
              </c:extLst>
            </c:dLbl>
            <c:dLbl>
              <c:idx val="1"/>
              <c:layout>
                <c:manualLayout>
                  <c:x val="-8.3333333333333332E-3"/>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1A-4393-8B4D-BCBB27C9B904}"/>
                </c:ext>
              </c:extLst>
            </c:dLbl>
            <c:dLbl>
              <c:idx val="3"/>
              <c:layout>
                <c:manualLayout>
                  <c:x val="-2.7777777777778286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1A-4393-8B4D-BCBB27C9B904}"/>
                </c:ext>
              </c:extLst>
            </c:dLbl>
            <c:dLbl>
              <c:idx val="4"/>
              <c:layout>
                <c:manualLayout>
                  <c:x val="-2.7777777777777779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1A-4393-8B4D-BCBB27C9B904}"/>
                </c:ext>
              </c:extLst>
            </c:dLbl>
            <c:dLbl>
              <c:idx val="5"/>
              <c:tx>
                <c:rich>
                  <a:bodyPr/>
                  <a:lstStyle/>
                  <a:p>
                    <a:fld id="{490C5088-B4EE-4BA9-AC50-FB9DD553B36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61A-4393-8B4D-BCBB27C9B904}"/>
                </c:ext>
              </c:extLst>
            </c:dLbl>
            <c:dLbl>
              <c:idx val="7"/>
              <c:layout>
                <c:manualLayout>
                  <c:x val="-5.5555555555555552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61A-4393-8B4D-BCBB27C9B904}"/>
                </c:ext>
              </c:extLst>
            </c:dLbl>
            <c:dLbl>
              <c:idx val="8"/>
              <c:layout>
                <c:manualLayout>
                  <c:x val="-8.3333333333333332E-3"/>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61A-4393-8B4D-BCBB27C9B904}"/>
                </c:ext>
              </c:extLst>
            </c:dLbl>
            <c:dLbl>
              <c:idx val="9"/>
              <c:layout>
                <c:manualLayout>
                  <c:x val="-1.9444444444444445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61A-4393-8B4D-BCBB27C9B904}"/>
                </c:ext>
              </c:extLst>
            </c:dLbl>
            <c:dLbl>
              <c:idx val="10"/>
              <c:tx>
                <c:rich>
                  <a:bodyPr/>
                  <a:lstStyle/>
                  <a:p>
                    <a:fld id="{F041D5EA-2C88-4D6C-A936-AFE68A8ED08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61A-4393-8B4D-BCBB27C9B9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Sheet1!$B$6:$M$6</c:f>
              <c:strCache>
                <c:ptCount val="12"/>
                <c:pt idx="0">
                  <c:v>2010-11</c:v>
                </c:pt>
                <c:pt idx="1">
                  <c:v>2011-12</c:v>
                </c:pt>
                <c:pt idx="2">
                  <c:v>2012-13</c:v>
                </c:pt>
                <c:pt idx="3">
                  <c:v>2013-14</c:v>
                </c:pt>
                <c:pt idx="4">
                  <c:v>2014-15</c:v>
                </c:pt>
                <c:pt idx="5">
                  <c:v>2015-16</c:v>
                </c:pt>
                <c:pt idx="6">
                  <c:v>2016-17</c:v>
                </c:pt>
                <c:pt idx="7">
                  <c:v>2017-18</c:v>
                </c:pt>
                <c:pt idx="8">
                  <c:v>2018-19</c:v>
                </c:pt>
                <c:pt idx="9">
                  <c:v>2019-20</c:v>
                </c:pt>
                <c:pt idx="10">
                  <c:v>2020-21</c:v>
                </c:pt>
                <c:pt idx="11">
                  <c:v>2021-22</c:v>
                </c:pt>
              </c:strCache>
            </c:strRef>
          </c:cat>
          <c:val>
            <c:numRef>
              <c:f>Sheet1!$B$7:$M$7</c:f>
              <c:numCache>
                <c:formatCode>General</c:formatCode>
                <c:ptCount val="12"/>
                <c:pt idx="0">
                  <c:v>58</c:v>
                </c:pt>
                <c:pt idx="1">
                  <c:v>41</c:v>
                </c:pt>
                <c:pt idx="2">
                  <c:v>34</c:v>
                </c:pt>
                <c:pt idx="3">
                  <c:v>54</c:v>
                </c:pt>
                <c:pt idx="4">
                  <c:v>42</c:v>
                </c:pt>
                <c:pt idx="5">
                  <c:v>47</c:v>
                </c:pt>
                <c:pt idx="6">
                  <c:v>72</c:v>
                </c:pt>
                <c:pt idx="7">
                  <c:v>122</c:v>
                </c:pt>
                <c:pt idx="8">
                  <c:v>121</c:v>
                </c:pt>
                <c:pt idx="9">
                  <c:v>186</c:v>
                </c:pt>
                <c:pt idx="10">
                  <c:v>168</c:v>
                </c:pt>
                <c:pt idx="11">
                  <c:v>240</c:v>
                </c:pt>
              </c:numCache>
            </c:numRef>
          </c:val>
          <c:smooth val="0"/>
          <c:extLst>
            <c:ext xmlns:c16="http://schemas.microsoft.com/office/drawing/2014/chart" uri="{C3380CC4-5D6E-409C-BE32-E72D297353CC}">
              <c16:uniqueId val="{00000009-361A-4393-8B4D-BCBB27C9B904}"/>
            </c:ext>
          </c:extLst>
        </c:ser>
        <c:dLbls>
          <c:showLegendKey val="0"/>
          <c:showVal val="0"/>
          <c:showCatName val="0"/>
          <c:showSerName val="0"/>
          <c:showPercent val="0"/>
          <c:showBubbleSize val="0"/>
        </c:dLbls>
        <c:smooth val="0"/>
        <c:axId val="953845919"/>
        <c:axId val="840783023"/>
      </c:lineChart>
      <c:catAx>
        <c:axId val="95384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783023"/>
        <c:crosses val="autoZero"/>
        <c:auto val="1"/>
        <c:lblAlgn val="ctr"/>
        <c:lblOffset val="100"/>
        <c:noMultiLvlLbl val="0"/>
      </c:catAx>
      <c:valAx>
        <c:axId val="8407830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84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E43FB9-6DFB-4DB1-B7B1-81300B161B0E}" type="doc">
      <dgm:prSet loTypeId="urn:microsoft.com/office/officeart/2005/8/layout/hProcess9" loCatId="process" qsTypeId="urn:microsoft.com/office/officeart/2005/8/quickstyle/simple1" qsCatId="simple" csTypeId="urn:microsoft.com/office/officeart/2005/8/colors/accent1_2" csCatId="accent1" phldr="1"/>
      <dgm:spPr/>
    </dgm:pt>
    <dgm:pt modelId="{9A21CE0E-E13B-4FB8-95AD-359F1C848475}">
      <dgm:prSet phldrT="[Text]" custT="1"/>
      <dgm:spPr>
        <a:xfrm>
          <a:off x="944624" y="706715"/>
          <a:ext cx="813873" cy="1020282"/>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a:ea typeface="+mn-ea"/>
              <a:cs typeface="+mn-cs"/>
            </a:rPr>
            <a:t>1988: Health Services Act</a:t>
          </a:r>
        </a:p>
      </dgm:t>
    </dgm:pt>
    <dgm:pt modelId="{FECAD8A8-DC98-4319-AA20-C2E2EEB71592}" type="parTrans" cxnId="{70D40A61-C889-46DE-A84B-AB58C4B31A52}">
      <dgm:prSet/>
      <dgm:spPr/>
      <dgm:t>
        <a:bodyPr/>
        <a:lstStyle/>
        <a:p>
          <a:endParaRPr lang="en-AU" sz="900"/>
        </a:p>
      </dgm:t>
    </dgm:pt>
    <dgm:pt modelId="{06CB5A8B-AD96-4D28-BDBE-D2DE5EFB6F50}" type="sibTrans" cxnId="{70D40A61-C889-46DE-A84B-AB58C4B31A52}">
      <dgm:prSet/>
      <dgm:spPr/>
      <dgm:t>
        <a:bodyPr/>
        <a:lstStyle/>
        <a:p>
          <a:endParaRPr lang="en-AU" sz="900"/>
        </a:p>
      </dgm:t>
    </dgm:pt>
    <dgm:pt modelId="{2C1DB105-21C1-4A2E-A020-5D4EED0BED9E}">
      <dgm:prSet phldrT="[Text]" custT="1"/>
      <dgm:spPr>
        <a:xfrm>
          <a:off x="2824113" y="706715"/>
          <a:ext cx="813873" cy="1020282"/>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a:ea typeface="+mn-ea"/>
              <a:cs typeface="+mn-cs"/>
            </a:rPr>
            <a:t>2013: </a:t>
          </a:r>
          <a:r>
            <a:rPr lang="en-NZ" sz="900" b="1">
              <a:solidFill>
                <a:sysClr val="window" lastClr="FFFFFF"/>
              </a:solidFill>
              <a:latin typeface="Segoe UI"/>
              <a:ea typeface="+mn-ea"/>
              <a:cs typeface="+mn-cs"/>
            </a:rPr>
            <a:t>Refresh of regulations due to sunsetting</a:t>
          </a:r>
          <a:endParaRPr lang="en-AU" sz="900" b="1">
            <a:solidFill>
              <a:sysClr val="window" lastClr="FFFFFF"/>
            </a:solidFill>
            <a:latin typeface="Segoe UI"/>
            <a:ea typeface="+mn-ea"/>
            <a:cs typeface="+mn-cs"/>
          </a:endParaRPr>
        </a:p>
      </dgm:t>
    </dgm:pt>
    <dgm:pt modelId="{4FFFDAE8-6C82-48E7-9946-C02296881857}" type="parTrans" cxnId="{724AF420-4851-430F-A426-AF4A642B199C}">
      <dgm:prSet/>
      <dgm:spPr/>
      <dgm:t>
        <a:bodyPr/>
        <a:lstStyle/>
        <a:p>
          <a:endParaRPr lang="en-AU" sz="900"/>
        </a:p>
      </dgm:t>
    </dgm:pt>
    <dgm:pt modelId="{3096D829-C6A6-45AC-BC32-669902EA2438}" type="sibTrans" cxnId="{724AF420-4851-430F-A426-AF4A642B199C}">
      <dgm:prSet/>
      <dgm:spPr/>
      <dgm:t>
        <a:bodyPr/>
        <a:lstStyle/>
        <a:p>
          <a:endParaRPr lang="en-AU" sz="900"/>
        </a:p>
      </dgm:t>
    </dgm:pt>
    <dgm:pt modelId="{4BAF3AB9-29CB-4DCB-AB38-435E7512B296}">
      <dgm:prSet phldrT="[Text]" custT="1"/>
      <dgm:spPr>
        <a:xfrm>
          <a:off x="3714008" y="706715"/>
          <a:ext cx="813873" cy="1020282"/>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a:ea typeface="+mn-ea"/>
              <a:cs typeface="+mn-cs"/>
            </a:rPr>
            <a:t>2017: Act reformed as a result of Targeting Zero, SCV and VAHI established</a:t>
          </a:r>
        </a:p>
      </dgm:t>
    </dgm:pt>
    <dgm:pt modelId="{C22AE48C-D82B-4FEA-9A58-BD284CFE09EF}" type="parTrans" cxnId="{633CF92C-7D60-4A7C-B827-47350E380101}">
      <dgm:prSet/>
      <dgm:spPr/>
      <dgm:t>
        <a:bodyPr/>
        <a:lstStyle/>
        <a:p>
          <a:endParaRPr lang="en-AU" sz="900"/>
        </a:p>
      </dgm:t>
    </dgm:pt>
    <dgm:pt modelId="{0BEBB020-1B1B-4DF9-973A-1F4FD0351FAB}" type="sibTrans" cxnId="{633CF92C-7D60-4A7C-B827-47350E380101}">
      <dgm:prSet/>
      <dgm:spPr/>
      <dgm:t>
        <a:bodyPr/>
        <a:lstStyle/>
        <a:p>
          <a:endParaRPr lang="en-AU" sz="900"/>
        </a:p>
      </dgm:t>
    </dgm:pt>
    <dgm:pt modelId="{96C10E2D-185E-4D4C-9E2B-9038F57842D9}">
      <dgm:prSet phldrT="[Text]" custT="1"/>
      <dgm:spPr>
        <a:xfrm>
          <a:off x="1818792" y="706715"/>
          <a:ext cx="929329" cy="1020282"/>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a:ea typeface="+mn-ea"/>
              <a:cs typeface="+mn-cs"/>
            </a:rPr>
            <a:t>2002: </a:t>
          </a:r>
          <a:r>
            <a:rPr lang="en-AU" sz="900" b="1" i="0">
              <a:solidFill>
                <a:sysClr val="window" lastClr="FFFFFF"/>
              </a:solidFill>
              <a:latin typeface="Segoe UI"/>
              <a:ea typeface="+mn-ea"/>
              <a:cs typeface="+mn-cs"/>
            </a:rPr>
            <a:t>Health Services (Private Hospitals and Day Procedure Centres) Regulations</a:t>
          </a:r>
          <a:endParaRPr lang="en-AU" sz="900" b="1">
            <a:solidFill>
              <a:sysClr val="window" lastClr="FFFFFF"/>
            </a:solidFill>
            <a:latin typeface="Segoe UI"/>
            <a:ea typeface="+mn-ea"/>
            <a:cs typeface="+mn-cs"/>
          </a:endParaRPr>
        </a:p>
      </dgm:t>
    </dgm:pt>
    <dgm:pt modelId="{9A48198F-767D-41EB-8577-6172A94AB091}" type="parTrans" cxnId="{A073EAF1-7127-4CF7-A9DA-8663C8D6B638}">
      <dgm:prSet/>
      <dgm:spPr/>
      <dgm:t>
        <a:bodyPr/>
        <a:lstStyle/>
        <a:p>
          <a:endParaRPr lang="en-AU" sz="900"/>
        </a:p>
      </dgm:t>
    </dgm:pt>
    <dgm:pt modelId="{674C8238-62C9-4B45-977A-5DDAAA22C42A}" type="sibTrans" cxnId="{A073EAF1-7127-4CF7-A9DA-8663C8D6B638}">
      <dgm:prSet/>
      <dgm:spPr/>
      <dgm:t>
        <a:bodyPr/>
        <a:lstStyle/>
        <a:p>
          <a:endParaRPr lang="en-AU" sz="900"/>
        </a:p>
      </dgm:t>
    </dgm:pt>
    <dgm:pt modelId="{922A7742-3702-49A6-9D90-3C9494907CC8}">
      <dgm:prSet phldrT="[Text]" custT="1"/>
      <dgm:spPr>
        <a:xfrm>
          <a:off x="4614434" y="706715"/>
          <a:ext cx="1087904" cy="1020282"/>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900" b="1">
              <a:solidFill>
                <a:sysClr val="window" lastClr="FFFFFF"/>
              </a:solidFill>
              <a:latin typeface="Segoe UI"/>
              <a:ea typeface="+mn-ea"/>
              <a:cs typeface="+mn-cs"/>
            </a:rPr>
            <a:t>2018: Regulations reformed and renamed to Health Services (Health Service Establishments) Regulations 2013</a:t>
          </a:r>
        </a:p>
      </dgm:t>
    </dgm:pt>
    <dgm:pt modelId="{B59E3099-39B4-478C-AF94-9C360FD307B1}" type="parTrans" cxnId="{B600A773-E423-49BE-9FF9-DB82F04CA141}">
      <dgm:prSet/>
      <dgm:spPr/>
      <dgm:t>
        <a:bodyPr/>
        <a:lstStyle/>
        <a:p>
          <a:endParaRPr lang="en-AU" sz="900"/>
        </a:p>
      </dgm:t>
    </dgm:pt>
    <dgm:pt modelId="{92642287-C546-4C7C-8F27-5F8C54AACA4E}" type="sibTrans" cxnId="{B600A773-E423-49BE-9FF9-DB82F04CA141}">
      <dgm:prSet/>
      <dgm:spPr/>
      <dgm:t>
        <a:bodyPr/>
        <a:lstStyle/>
        <a:p>
          <a:endParaRPr lang="en-AU" sz="900"/>
        </a:p>
      </dgm:t>
    </dgm:pt>
    <dgm:pt modelId="{8079F0F1-7215-4BD6-9689-07B2A9D208C6}" type="pres">
      <dgm:prSet presAssocID="{79E43FB9-6DFB-4DB1-B7B1-81300B161B0E}" presName="CompostProcess" presStyleCnt="0">
        <dgm:presLayoutVars>
          <dgm:dir/>
          <dgm:resizeHandles val="exact"/>
        </dgm:presLayoutVars>
      </dgm:prSet>
      <dgm:spPr/>
    </dgm:pt>
    <dgm:pt modelId="{DE1F1F56-6129-4DC3-A379-E19F5C7BEEB0}" type="pres">
      <dgm:prSet presAssocID="{79E43FB9-6DFB-4DB1-B7B1-81300B161B0E}" presName="arrow" presStyleLbl="bgShp" presStyleIdx="0" presStyleCnt="1" custScaleX="117647" custScaleY="96512" custLinFactNeighborX="-138"/>
      <dgm:spPr>
        <a:xfrm>
          <a:off x="0" y="234786"/>
          <a:ext cx="5955027" cy="1715167"/>
        </a:xfrm>
        <a:prstGeom prst="rightArrow">
          <a:avLst/>
        </a:prstGeom>
        <a:solidFill>
          <a:schemeClr val="bg2"/>
        </a:solidFill>
        <a:ln>
          <a:noFill/>
        </a:ln>
        <a:effectLst/>
      </dgm:spPr>
    </dgm:pt>
    <dgm:pt modelId="{C1ED7E0E-3E56-4629-8F7D-10F31B9E7FD1}" type="pres">
      <dgm:prSet presAssocID="{79E43FB9-6DFB-4DB1-B7B1-81300B161B0E}" presName="linearProcess" presStyleCnt="0"/>
      <dgm:spPr/>
    </dgm:pt>
    <dgm:pt modelId="{ED3BF104-C7B3-4AC5-90FE-5BC8249713E1}" type="pres">
      <dgm:prSet presAssocID="{9A21CE0E-E13B-4FB8-95AD-359F1C848475}" presName="textNode" presStyleLbl="node1" presStyleIdx="0" presStyleCnt="5" custScaleY="116751" custLinFactNeighborX="-5110">
        <dgm:presLayoutVars>
          <dgm:bulletEnabled val="1"/>
        </dgm:presLayoutVars>
      </dgm:prSet>
      <dgm:spPr/>
    </dgm:pt>
    <dgm:pt modelId="{602E28EE-0AED-4F4F-BD07-7044B3E7B983}" type="pres">
      <dgm:prSet presAssocID="{06CB5A8B-AD96-4D28-BDBE-D2DE5EFB6F50}" presName="sibTrans" presStyleCnt="0"/>
      <dgm:spPr/>
    </dgm:pt>
    <dgm:pt modelId="{34E05A01-6D22-470B-A346-E52FA19159B6}" type="pres">
      <dgm:prSet presAssocID="{96C10E2D-185E-4D4C-9E2B-9038F57842D9}" presName="textNode" presStyleLbl="node1" presStyleIdx="1" presStyleCnt="5" custScaleX="114186" custScaleY="116751" custLinFactNeighborX="-60660">
        <dgm:presLayoutVars>
          <dgm:bulletEnabled val="1"/>
        </dgm:presLayoutVars>
      </dgm:prSet>
      <dgm:spPr/>
    </dgm:pt>
    <dgm:pt modelId="{24847D91-5A56-43A6-88C0-671D9D4D07D0}" type="pres">
      <dgm:prSet presAssocID="{674C8238-62C9-4B45-977A-5DDAAA22C42A}" presName="sibTrans" presStyleCnt="0"/>
      <dgm:spPr/>
    </dgm:pt>
    <dgm:pt modelId="{EA96AE86-B230-4A15-893B-88B199398A01}" type="pres">
      <dgm:prSet presAssocID="{2C1DB105-21C1-4A2E-A020-5D4EED0BED9E}" presName="textNode" presStyleLbl="node1" presStyleIdx="2" presStyleCnt="5" custScaleY="116751" custLinFactX="-773" custLinFactNeighborX="-100000">
        <dgm:presLayoutVars>
          <dgm:bulletEnabled val="1"/>
        </dgm:presLayoutVars>
      </dgm:prSet>
      <dgm:spPr/>
    </dgm:pt>
    <dgm:pt modelId="{0D426B5A-308A-4C6C-8355-AF4017ADA1A2}" type="pres">
      <dgm:prSet presAssocID="{3096D829-C6A6-45AC-BC32-669902EA2438}" presName="sibTrans" presStyleCnt="0"/>
      <dgm:spPr/>
    </dgm:pt>
    <dgm:pt modelId="{9B6EF9BA-9E09-441B-8A65-CC1EA8BDF498}" type="pres">
      <dgm:prSet presAssocID="{4BAF3AB9-29CB-4DCB-AB38-435E7512B296}" presName="textNode" presStyleLbl="node1" presStyleIdx="3" presStyleCnt="5" custScaleY="116751" custLinFactX="-8099" custLinFactNeighborX="-100000">
        <dgm:presLayoutVars>
          <dgm:bulletEnabled val="1"/>
        </dgm:presLayoutVars>
      </dgm:prSet>
      <dgm:spPr/>
    </dgm:pt>
    <dgm:pt modelId="{0FE086B1-3527-4818-9A95-7E32BA9B4B26}" type="pres">
      <dgm:prSet presAssocID="{0BEBB020-1B1B-4DF9-973A-1F4FD0351FAB}" presName="sibTrans" presStyleCnt="0"/>
      <dgm:spPr/>
    </dgm:pt>
    <dgm:pt modelId="{6BF86BD8-5FBF-4901-9826-F883D5B4622C}" type="pres">
      <dgm:prSet presAssocID="{922A7742-3702-49A6-9D90-3C9494907CC8}" presName="textNode" presStyleLbl="node1" presStyleIdx="4" presStyleCnt="5" custScaleX="133670" custScaleY="116751" custLinFactX="-14131" custLinFactNeighborX="-100000">
        <dgm:presLayoutVars>
          <dgm:bulletEnabled val="1"/>
        </dgm:presLayoutVars>
      </dgm:prSet>
      <dgm:spPr/>
    </dgm:pt>
  </dgm:ptLst>
  <dgm:cxnLst>
    <dgm:cxn modelId="{F7521405-AED7-4AB8-B71A-CCDA475AF9F4}" type="presOf" srcId="{922A7742-3702-49A6-9D90-3C9494907CC8}" destId="{6BF86BD8-5FBF-4901-9826-F883D5B4622C}" srcOrd="0" destOrd="0" presId="urn:microsoft.com/office/officeart/2005/8/layout/hProcess9"/>
    <dgm:cxn modelId="{724AF420-4851-430F-A426-AF4A642B199C}" srcId="{79E43FB9-6DFB-4DB1-B7B1-81300B161B0E}" destId="{2C1DB105-21C1-4A2E-A020-5D4EED0BED9E}" srcOrd="2" destOrd="0" parTransId="{4FFFDAE8-6C82-48E7-9946-C02296881857}" sibTransId="{3096D829-C6A6-45AC-BC32-669902EA2438}"/>
    <dgm:cxn modelId="{633CF92C-7D60-4A7C-B827-47350E380101}" srcId="{79E43FB9-6DFB-4DB1-B7B1-81300B161B0E}" destId="{4BAF3AB9-29CB-4DCB-AB38-435E7512B296}" srcOrd="3" destOrd="0" parTransId="{C22AE48C-D82B-4FEA-9A58-BD284CFE09EF}" sibTransId="{0BEBB020-1B1B-4DF9-973A-1F4FD0351FAB}"/>
    <dgm:cxn modelId="{70D40A61-C889-46DE-A84B-AB58C4B31A52}" srcId="{79E43FB9-6DFB-4DB1-B7B1-81300B161B0E}" destId="{9A21CE0E-E13B-4FB8-95AD-359F1C848475}" srcOrd="0" destOrd="0" parTransId="{FECAD8A8-DC98-4319-AA20-C2E2EEB71592}" sibTransId="{06CB5A8B-AD96-4D28-BDBE-D2DE5EFB6F50}"/>
    <dgm:cxn modelId="{AD76BA68-105C-40BC-B550-780A4FE37DD6}" type="presOf" srcId="{9A21CE0E-E13B-4FB8-95AD-359F1C848475}" destId="{ED3BF104-C7B3-4AC5-90FE-5BC8249713E1}" srcOrd="0" destOrd="0" presId="urn:microsoft.com/office/officeart/2005/8/layout/hProcess9"/>
    <dgm:cxn modelId="{8638C84F-15CD-4B66-B819-7FE895FDB6A4}" type="presOf" srcId="{79E43FB9-6DFB-4DB1-B7B1-81300B161B0E}" destId="{8079F0F1-7215-4BD6-9689-07B2A9D208C6}" srcOrd="0" destOrd="0" presId="urn:microsoft.com/office/officeart/2005/8/layout/hProcess9"/>
    <dgm:cxn modelId="{B600A773-E423-49BE-9FF9-DB82F04CA141}" srcId="{79E43FB9-6DFB-4DB1-B7B1-81300B161B0E}" destId="{922A7742-3702-49A6-9D90-3C9494907CC8}" srcOrd="4" destOrd="0" parTransId="{B59E3099-39B4-478C-AF94-9C360FD307B1}" sibTransId="{92642287-C546-4C7C-8F27-5F8C54AACA4E}"/>
    <dgm:cxn modelId="{5C32C8A6-5364-4848-A967-D2ECDF697857}" type="presOf" srcId="{4BAF3AB9-29CB-4DCB-AB38-435E7512B296}" destId="{9B6EF9BA-9E09-441B-8A65-CC1EA8BDF498}" srcOrd="0" destOrd="0" presId="urn:microsoft.com/office/officeart/2005/8/layout/hProcess9"/>
    <dgm:cxn modelId="{8E3CF4ED-3B7A-4E0C-A5A1-3274B3D89F39}" type="presOf" srcId="{2C1DB105-21C1-4A2E-A020-5D4EED0BED9E}" destId="{EA96AE86-B230-4A15-893B-88B199398A01}" srcOrd="0" destOrd="0" presId="urn:microsoft.com/office/officeart/2005/8/layout/hProcess9"/>
    <dgm:cxn modelId="{A073EAF1-7127-4CF7-A9DA-8663C8D6B638}" srcId="{79E43FB9-6DFB-4DB1-B7B1-81300B161B0E}" destId="{96C10E2D-185E-4D4C-9E2B-9038F57842D9}" srcOrd="1" destOrd="0" parTransId="{9A48198F-767D-41EB-8577-6172A94AB091}" sibTransId="{674C8238-62C9-4B45-977A-5DDAAA22C42A}"/>
    <dgm:cxn modelId="{736450F5-764D-4AAE-A59F-A652D7B99BC4}" type="presOf" srcId="{96C10E2D-185E-4D4C-9E2B-9038F57842D9}" destId="{34E05A01-6D22-470B-A346-E52FA19159B6}" srcOrd="0" destOrd="0" presId="urn:microsoft.com/office/officeart/2005/8/layout/hProcess9"/>
    <dgm:cxn modelId="{11CAD7FF-275A-4F61-97D7-BEE642F83EF5}" type="presParOf" srcId="{8079F0F1-7215-4BD6-9689-07B2A9D208C6}" destId="{DE1F1F56-6129-4DC3-A379-E19F5C7BEEB0}" srcOrd="0" destOrd="0" presId="urn:microsoft.com/office/officeart/2005/8/layout/hProcess9"/>
    <dgm:cxn modelId="{0AA076EE-5EDD-47A2-9EDC-B5BF465FC614}" type="presParOf" srcId="{8079F0F1-7215-4BD6-9689-07B2A9D208C6}" destId="{C1ED7E0E-3E56-4629-8F7D-10F31B9E7FD1}" srcOrd="1" destOrd="0" presId="urn:microsoft.com/office/officeart/2005/8/layout/hProcess9"/>
    <dgm:cxn modelId="{0DB3D7B1-4B28-4B19-A5B1-F093F74A3A5F}" type="presParOf" srcId="{C1ED7E0E-3E56-4629-8F7D-10F31B9E7FD1}" destId="{ED3BF104-C7B3-4AC5-90FE-5BC8249713E1}" srcOrd="0" destOrd="0" presId="urn:microsoft.com/office/officeart/2005/8/layout/hProcess9"/>
    <dgm:cxn modelId="{0CF8170D-92C5-422D-A740-F1346EF967EB}" type="presParOf" srcId="{C1ED7E0E-3E56-4629-8F7D-10F31B9E7FD1}" destId="{602E28EE-0AED-4F4F-BD07-7044B3E7B983}" srcOrd="1" destOrd="0" presId="urn:microsoft.com/office/officeart/2005/8/layout/hProcess9"/>
    <dgm:cxn modelId="{CA61AE74-06FD-45BE-B4B2-1C6F2BD0D862}" type="presParOf" srcId="{C1ED7E0E-3E56-4629-8F7D-10F31B9E7FD1}" destId="{34E05A01-6D22-470B-A346-E52FA19159B6}" srcOrd="2" destOrd="0" presId="urn:microsoft.com/office/officeart/2005/8/layout/hProcess9"/>
    <dgm:cxn modelId="{95236C1B-ECDB-4D4E-8AAA-4DD35DE3843E}" type="presParOf" srcId="{C1ED7E0E-3E56-4629-8F7D-10F31B9E7FD1}" destId="{24847D91-5A56-43A6-88C0-671D9D4D07D0}" srcOrd="3" destOrd="0" presId="urn:microsoft.com/office/officeart/2005/8/layout/hProcess9"/>
    <dgm:cxn modelId="{C7E38D06-DA04-4143-B1CD-5BCBC30AA4AD}" type="presParOf" srcId="{C1ED7E0E-3E56-4629-8F7D-10F31B9E7FD1}" destId="{EA96AE86-B230-4A15-893B-88B199398A01}" srcOrd="4" destOrd="0" presId="urn:microsoft.com/office/officeart/2005/8/layout/hProcess9"/>
    <dgm:cxn modelId="{897E0BE1-FFFF-4A1B-833C-5A0F19119589}" type="presParOf" srcId="{C1ED7E0E-3E56-4629-8F7D-10F31B9E7FD1}" destId="{0D426B5A-308A-4C6C-8355-AF4017ADA1A2}" srcOrd="5" destOrd="0" presId="urn:microsoft.com/office/officeart/2005/8/layout/hProcess9"/>
    <dgm:cxn modelId="{3007240D-0C5F-49E7-9B43-5A31F191CC59}" type="presParOf" srcId="{C1ED7E0E-3E56-4629-8F7D-10F31B9E7FD1}" destId="{9B6EF9BA-9E09-441B-8A65-CC1EA8BDF498}" srcOrd="6" destOrd="0" presId="urn:microsoft.com/office/officeart/2005/8/layout/hProcess9"/>
    <dgm:cxn modelId="{B39A6ECC-00AA-4597-BBCB-B59FCEA26A70}" type="presParOf" srcId="{C1ED7E0E-3E56-4629-8F7D-10F31B9E7FD1}" destId="{0FE086B1-3527-4818-9A95-7E32BA9B4B26}" srcOrd="7" destOrd="0" presId="urn:microsoft.com/office/officeart/2005/8/layout/hProcess9"/>
    <dgm:cxn modelId="{E2A6191F-0FD0-4CCA-B34E-2C9D15CAB232}" type="presParOf" srcId="{C1ED7E0E-3E56-4629-8F7D-10F31B9E7FD1}" destId="{6BF86BD8-5FBF-4901-9826-F883D5B4622C}" srcOrd="8"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1F1F56-6129-4DC3-A379-E19F5C7BEEB0}">
      <dsp:nvSpPr>
        <dsp:cNvPr id="0" name=""/>
        <dsp:cNvSpPr/>
      </dsp:nvSpPr>
      <dsp:spPr>
        <a:xfrm>
          <a:off x="0" y="96625"/>
          <a:ext cx="6051546" cy="2626148"/>
        </a:xfrm>
        <a:prstGeom prst="rightArrow">
          <a:avLst/>
        </a:prstGeom>
        <a:solidFill>
          <a:schemeClr val="bg2"/>
        </a:solidFill>
        <a:ln>
          <a:noFill/>
        </a:ln>
        <a:effectLst/>
      </dsp:spPr>
      <dsp:style>
        <a:lnRef idx="0">
          <a:scrgbClr r="0" g="0" b="0"/>
        </a:lnRef>
        <a:fillRef idx="1">
          <a:scrgbClr r="0" g="0" b="0"/>
        </a:fillRef>
        <a:effectRef idx="0">
          <a:scrgbClr r="0" g="0" b="0"/>
        </a:effectRef>
        <a:fontRef idx="minor"/>
      </dsp:style>
    </dsp:sp>
    <dsp:sp modelId="{ED3BF104-C7B3-4AC5-90FE-5BC8249713E1}">
      <dsp:nvSpPr>
        <dsp:cNvPr id="0" name=""/>
        <dsp:cNvSpPr/>
      </dsp:nvSpPr>
      <dsp:spPr>
        <a:xfrm>
          <a:off x="0" y="800534"/>
          <a:ext cx="983967" cy="1316671"/>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a:ea typeface="+mn-ea"/>
              <a:cs typeface="+mn-cs"/>
            </a:rPr>
            <a:t>1988: Health Services Act</a:t>
          </a:r>
        </a:p>
      </dsp:txBody>
      <dsp:txXfrm>
        <a:off x="48033" y="848567"/>
        <a:ext cx="887901" cy="1220605"/>
      </dsp:txXfrm>
    </dsp:sp>
    <dsp:sp modelId="{34E05A01-6D22-470B-A346-E52FA19159B6}">
      <dsp:nvSpPr>
        <dsp:cNvPr id="0" name=""/>
        <dsp:cNvSpPr/>
      </dsp:nvSpPr>
      <dsp:spPr>
        <a:xfrm>
          <a:off x="1050905" y="800534"/>
          <a:ext cx="1123553" cy="1316671"/>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a:ea typeface="+mn-ea"/>
              <a:cs typeface="+mn-cs"/>
            </a:rPr>
            <a:t>2002: </a:t>
          </a:r>
          <a:r>
            <a:rPr lang="en-AU" sz="900" b="1" i="0" kern="1200">
              <a:solidFill>
                <a:sysClr val="window" lastClr="FFFFFF"/>
              </a:solidFill>
              <a:latin typeface="Segoe UI"/>
              <a:ea typeface="+mn-ea"/>
              <a:cs typeface="+mn-cs"/>
            </a:rPr>
            <a:t>Health Services (Private Hospitals and Day Procedure Centres) Regulations</a:t>
          </a:r>
          <a:endParaRPr lang="en-AU" sz="900" b="1" kern="1200">
            <a:solidFill>
              <a:sysClr val="window" lastClr="FFFFFF"/>
            </a:solidFill>
            <a:latin typeface="Segoe UI"/>
            <a:ea typeface="+mn-ea"/>
            <a:cs typeface="+mn-cs"/>
          </a:endParaRPr>
        </a:p>
      </dsp:txBody>
      <dsp:txXfrm>
        <a:off x="1105752" y="855381"/>
        <a:ext cx="1013859" cy="1206977"/>
      </dsp:txXfrm>
    </dsp:sp>
    <dsp:sp modelId="{EA96AE86-B230-4A15-893B-88B199398A01}">
      <dsp:nvSpPr>
        <dsp:cNvPr id="0" name=""/>
        <dsp:cNvSpPr/>
      </dsp:nvSpPr>
      <dsp:spPr>
        <a:xfrm>
          <a:off x="2266332" y="800534"/>
          <a:ext cx="983967" cy="1316671"/>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a:ea typeface="+mn-ea"/>
              <a:cs typeface="+mn-cs"/>
            </a:rPr>
            <a:t>2013: </a:t>
          </a:r>
          <a:r>
            <a:rPr lang="en-NZ" sz="900" b="1" kern="1200">
              <a:solidFill>
                <a:sysClr val="window" lastClr="FFFFFF"/>
              </a:solidFill>
              <a:latin typeface="Segoe UI"/>
              <a:ea typeface="+mn-ea"/>
              <a:cs typeface="+mn-cs"/>
            </a:rPr>
            <a:t>Refresh of regulations due to sunsetting</a:t>
          </a:r>
          <a:endParaRPr lang="en-AU" sz="900" b="1" kern="1200">
            <a:solidFill>
              <a:sysClr val="window" lastClr="FFFFFF"/>
            </a:solidFill>
            <a:latin typeface="Segoe UI"/>
            <a:ea typeface="+mn-ea"/>
            <a:cs typeface="+mn-cs"/>
          </a:endParaRPr>
        </a:p>
      </dsp:txBody>
      <dsp:txXfrm>
        <a:off x="2314365" y="848567"/>
        <a:ext cx="887901" cy="1220605"/>
      </dsp:txXfrm>
    </dsp:sp>
    <dsp:sp modelId="{9B6EF9BA-9E09-441B-8A65-CC1EA8BDF498}">
      <dsp:nvSpPr>
        <dsp:cNvPr id="0" name=""/>
        <dsp:cNvSpPr/>
      </dsp:nvSpPr>
      <dsp:spPr>
        <a:xfrm>
          <a:off x="3342209" y="800534"/>
          <a:ext cx="983967" cy="1316671"/>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a:ea typeface="+mn-ea"/>
              <a:cs typeface="+mn-cs"/>
            </a:rPr>
            <a:t>2017: Act reformed as a result of Targeting Zero, SCV and VAHI established</a:t>
          </a:r>
        </a:p>
      </dsp:txBody>
      <dsp:txXfrm>
        <a:off x="3390242" y="848567"/>
        <a:ext cx="887901" cy="1220605"/>
      </dsp:txXfrm>
    </dsp:sp>
    <dsp:sp modelId="{6BF86BD8-5FBF-4901-9826-F883D5B4622C}">
      <dsp:nvSpPr>
        <dsp:cNvPr id="0" name=""/>
        <dsp:cNvSpPr/>
      </dsp:nvSpPr>
      <dsp:spPr>
        <a:xfrm>
          <a:off x="4430818" y="800534"/>
          <a:ext cx="1315269" cy="1316671"/>
        </a:xfrm>
        <a:prstGeom prst="roundRect">
          <a:avLst/>
        </a:prstGeom>
        <a:solidFill>
          <a:srgbClr val="7EA0B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a:solidFill>
                <a:sysClr val="window" lastClr="FFFFFF"/>
              </a:solidFill>
              <a:latin typeface="Segoe UI"/>
              <a:ea typeface="+mn-ea"/>
              <a:cs typeface="+mn-cs"/>
            </a:rPr>
            <a:t>2018: Regulations reformed and renamed to Health Services (Health Service Establishments) Regulations 2013</a:t>
          </a:r>
        </a:p>
      </dsp:txBody>
      <dsp:txXfrm>
        <a:off x="4495024" y="864740"/>
        <a:ext cx="1186857" cy="118825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apere">
      <a:dk1>
        <a:sysClr val="windowText" lastClr="000000"/>
      </a:dk1>
      <a:lt1>
        <a:sysClr val="window" lastClr="FFFFFF"/>
      </a:lt1>
      <a:dk2>
        <a:srgbClr val="000000"/>
      </a:dk2>
      <a:lt2>
        <a:srgbClr val="EEECE1"/>
      </a:lt2>
      <a:accent1>
        <a:srgbClr val="7B5E05"/>
      </a:accent1>
      <a:accent2>
        <a:srgbClr val="403151"/>
      </a:accent2>
      <a:accent3>
        <a:srgbClr val="D9D9D9"/>
      </a:accent3>
      <a:accent4>
        <a:srgbClr val="404040"/>
      </a:accent4>
      <a:accent5>
        <a:srgbClr val="92CDDC"/>
      </a:accent5>
      <a:accent6>
        <a:srgbClr val="E36C0A"/>
      </a:accent6>
      <a:hlink>
        <a:srgbClr val="7B5E05"/>
      </a:hlink>
      <a:folHlink>
        <a:srgbClr val="7B5E05"/>
      </a:folHlink>
    </a:clrScheme>
    <a:fontScheme name="Saper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28575">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apere">
    <a:dk1>
      <a:sysClr val="windowText" lastClr="000000"/>
    </a:dk1>
    <a:lt1>
      <a:sysClr val="window" lastClr="FFFFFF"/>
    </a:lt1>
    <a:dk2>
      <a:srgbClr val="000000"/>
    </a:dk2>
    <a:lt2>
      <a:srgbClr val="EEECE1"/>
    </a:lt2>
    <a:accent1>
      <a:srgbClr val="7B5E05"/>
    </a:accent1>
    <a:accent2>
      <a:srgbClr val="403151"/>
    </a:accent2>
    <a:accent3>
      <a:srgbClr val="D9D9D9"/>
    </a:accent3>
    <a:accent4>
      <a:srgbClr val="404040"/>
    </a:accent4>
    <a:accent5>
      <a:srgbClr val="92CDDC"/>
    </a:accent5>
    <a:accent6>
      <a:srgbClr val="E36C0A"/>
    </a:accent6>
    <a:hlink>
      <a:srgbClr val="7B5E05"/>
    </a:hlink>
    <a:folHlink>
      <a:srgbClr val="7B5E05"/>
    </a:folHlink>
  </a:clrScheme>
  <a:fontScheme name="Saper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apere">
    <a:dk1>
      <a:sysClr val="windowText" lastClr="000000"/>
    </a:dk1>
    <a:lt1>
      <a:sysClr val="window" lastClr="FFFFFF"/>
    </a:lt1>
    <a:dk2>
      <a:srgbClr val="000000"/>
    </a:dk2>
    <a:lt2>
      <a:srgbClr val="EEECE1"/>
    </a:lt2>
    <a:accent1>
      <a:srgbClr val="7B5E05"/>
    </a:accent1>
    <a:accent2>
      <a:srgbClr val="403151"/>
    </a:accent2>
    <a:accent3>
      <a:srgbClr val="D9D9D9"/>
    </a:accent3>
    <a:accent4>
      <a:srgbClr val="404040"/>
    </a:accent4>
    <a:accent5>
      <a:srgbClr val="92CDDC"/>
    </a:accent5>
    <a:accent6>
      <a:srgbClr val="E36C0A"/>
    </a:accent6>
    <a:hlink>
      <a:srgbClr val="7B5E05"/>
    </a:hlink>
    <a:folHlink>
      <a:srgbClr val="7B5E05"/>
    </a:folHlink>
  </a:clrScheme>
  <a:fontScheme name="Saper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AddedtoMaster xmlns="47f98658-1cbe-4b10-a767-4f9447a207a3">false</AddedtoMaster>
    <SharedWithUsers xmlns="52aff747-003e-4611-b895-d7c5be62f82a">
      <UserInfo>
        <DisplayName>Cressida Wall (DTF)</DisplayName>
        <AccountId>433</AccountId>
        <AccountType/>
      </UserInfo>
    </SharedWithUsers>
    <ce509ad5fbeb4bc7bdde1ba401049b88 xmlns="5ce0f2b5-5be5-4508-bce9-d7011ece06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df0ee81d-089c-4707-9ef8-ac9a7d96e4bd</TermId>
        </TermInfo>
      </Terms>
    </ce509ad5fbeb4bc7bdde1ba401049b88>
    <lcf76f155ced4ddcb4097134ff3c332f xmlns="47f98658-1cbe-4b10-a767-4f9447a207a3">
      <Terms xmlns="http://schemas.microsoft.com/office/infopath/2007/PartnerControls"/>
    </lcf76f155ced4ddcb4097134ff3c332f>
    <TaxCatchAll xmlns="5ce0f2b5-5be5-4508-bce9-d7011ece0659">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19" ma:contentTypeDescription="Create a new document." ma:contentTypeScope="" ma:versionID="63e252d301be594abd0ef4a16a17af27">
  <xsd:schema xmlns:xsd="http://www.w3.org/2001/XMLSchema" xmlns:xs="http://www.w3.org/2001/XMLSchema" xmlns:p="http://schemas.microsoft.com/office/2006/metadata/properties" xmlns:ns2="47f98658-1cbe-4b10-a767-4f9447a207a3" xmlns:ns3="52aff747-003e-4611-b895-d7c5be62f82a" xmlns:ns4="5ce0f2b5-5be5-4508-bce9-d7011ece0659" targetNamespace="http://schemas.microsoft.com/office/2006/metadata/properties" ma:root="true" ma:fieldsID="b06cc691950cd66c9dce8a236351f01b" ns2:_="" ns3:_="" ns4:_="">
    <xsd:import namespace="47f98658-1cbe-4b10-a767-4f9447a207a3"/>
    <xsd:import namespace="52aff747-003e-4611-b895-d7c5be62f82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ce509ad5fbeb4bc7bdde1ba401049b88" minOccurs="0"/>
                <xsd:element ref="ns4:TaxCatchAll" minOccurs="0"/>
                <xsd:element ref="ns2:AddedtoMaster"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dedtoMaster" ma:index="17" nillable="true" ma:displayName="Added to Master" ma:default="0" ma:description="This section has been added to the Master Discussion paper and is no longer in use" ma:format="Dropdown" ma:internalName="AddedtoMaster">
      <xsd:simpleType>
        <xsd:restriction base="dms:Boolea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ce509ad5fbeb4bc7bdde1ba401049b88" ma:index="15" nillable="true" ma:taxonomy="true" ma:internalName="ce509ad5fbeb4bc7bdde1ba401049b88" ma:taxonomyFieldName="Sensitivity" ma:displayName="Sensitivity" ma:default="1;#OFFICIAL|df0ee81d-089c-4707-9ef8-ac9a7d96e4bd" ma:fieldId="{ce509ad5-fbeb-4bc7-bdde-1ba401049b88}" ma:sspId="6e24e156-28e6-48ad-9c0f-4171595c9d94" ma:termSetId="7e5c6045-41cb-46b6-8d08-702c034f002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9a04787b-b796-45e3-b54e-368ff14c50a0}" ma:internalName="TaxCatchAll" ma:showField="CatchAllData" ma:web="52aff747-003e-4611-b895-d7c5be62f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97AAC-4326-44F8-889D-909F4E9AFDED}">
  <ds:schemaRefs>
    <ds:schemaRef ds:uri="http://schemas.openxmlformats.org/officeDocument/2006/bibliography"/>
  </ds:schemaRefs>
</ds:datastoreItem>
</file>

<file path=customXml/itemProps2.xml><?xml version="1.0" encoding="utf-8"?>
<ds:datastoreItem xmlns:ds="http://schemas.openxmlformats.org/officeDocument/2006/customXml" ds:itemID="{328231AF-D7E3-4B39-BDB7-EB942F73540A}">
  <ds:schemaRefs>
    <ds:schemaRef ds:uri="http://www.w3.org/2001/XMLSchema"/>
  </ds:schemaRefs>
</ds:datastoreItem>
</file>

<file path=customXml/itemProps3.xml><?xml version="1.0" encoding="utf-8"?>
<ds:datastoreItem xmlns:ds="http://schemas.openxmlformats.org/officeDocument/2006/customXml" ds:itemID="{7686CD06-637E-4515-9935-A382DE278C9A}">
  <ds:schemaRefs>
    <ds:schemaRef ds:uri="http://purl.org/dc/elements/1.1/"/>
    <ds:schemaRef ds:uri="http://schemas.microsoft.com/office/2006/metadata/properties"/>
    <ds:schemaRef ds:uri="http://schemas.openxmlformats.org/package/2006/metadata/core-properties"/>
    <ds:schemaRef ds:uri="52aff747-003e-4611-b895-d7c5be62f82a"/>
    <ds:schemaRef ds:uri="http://purl.org/dc/terms/"/>
    <ds:schemaRef ds:uri="5ce0f2b5-5be5-4508-bce9-d7011ece0659"/>
    <ds:schemaRef ds:uri="http://schemas.microsoft.com/office/2006/documentManagement/types"/>
    <ds:schemaRef ds:uri="47f98658-1cbe-4b10-a767-4f9447a207a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25C26BE-0147-49F2-B9BA-72CBB387E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E479B7-7BF1-40E2-88DD-066EB2CFC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34828</Words>
  <Characters>198524</Characters>
  <Application>Microsoft Office Word</Application>
  <DocSecurity>0</DocSecurity>
  <Lines>1654</Lines>
  <Paragraphs>465</Paragraphs>
  <ScaleCrop>false</ScaleCrop>
  <Company/>
  <LinksUpToDate>false</LinksUpToDate>
  <CharactersWithSpaces>232887</CharactersWithSpaces>
  <SharedDoc>false</SharedDoc>
  <HLinks>
    <vt:vector size="228" baseType="variant">
      <vt:variant>
        <vt:i4>3735556</vt:i4>
      </vt:variant>
      <vt:variant>
        <vt:i4>165</vt:i4>
      </vt:variant>
      <vt:variant>
        <vt:i4>0</vt:i4>
      </vt:variant>
      <vt:variant>
        <vt:i4>5</vt:i4>
      </vt:variant>
      <vt:variant>
        <vt:lpwstr>C:\Users\scarrick\AppData\Local\Microsoft\Windows\INetCache\Content.MSO\9DCF5312.xlsx</vt:lpwstr>
      </vt:variant>
      <vt:variant>
        <vt:lpwstr>RANGE!J12</vt:lpwstr>
      </vt:variant>
      <vt:variant>
        <vt:i4>1507381</vt:i4>
      </vt:variant>
      <vt:variant>
        <vt:i4>98</vt:i4>
      </vt:variant>
      <vt:variant>
        <vt:i4>0</vt:i4>
      </vt:variant>
      <vt:variant>
        <vt:i4>5</vt:i4>
      </vt:variant>
      <vt:variant>
        <vt:lpwstr/>
      </vt:variant>
      <vt:variant>
        <vt:lpwstr>_Toc164420226</vt:lpwstr>
      </vt:variant>
      <vt:variant>
        <vt:i4>1507381</vt:i4>
      </vt:variant>
      <vt:variant>
        <vt:i4>92</vt:i4>
      </vt:variant>
      <vt:variant>
        <vt:i4>0</vt:i4>
      </vt:variant>
      <vt:variant>
        <vt:i4>5</vt:i4>
      </vt:variant>
      <vt:variant>
        <vt:lpwstr/>
      </vt:variant>
      <vt:variant>
        <vt:lpwstr>_Toc164420225</vt:lpwstr>
      </vt:variant>
      <vt:variant>
        <vt:i4>1507381</vt:i4>
      </vt:variant>
      <vt:variant>
        <vt:i4>86</vt:i4>
      </vt:variant>
      <vt:variant>
        <vt:i4>0</vt:i4>
      </vt:variant>
      <vt:variant>
        <vt:i4>5</vt:i4>
      </vt:variant>
      <vt:variant>
        <vt:lpwstr/>
      </vt:variant>
      <vt:variant>
        <vt:lpwstr>_Toc164420224</vt:lpwstr>
      </vt:variant>
      <vt:variant>
        <vt:i4>1507381</vt:i4>
      </vt:variant>
      <vt:variant>
        <vt:i4>80</vt:i4>
      </vt:variant>
      <vt:variant>
        <vt:i4>0</vt:i4>
      </vt:variant>
      <vt:variant>
        <vt:i4>5</vt:i4>
      </vt:variant>
      <vt:variant>
        <vt:lpwstr/>
      </vt:variant>
      <vt:variant>
        <vt:lpwstr>_Toc164420223</vt:lpwstr>
      </vt:variant>
      <vt:variant>
        <vt:i4>1507381</vt:i4>
      </vt:variant>
      <vt:variant>
        <vt:i4>74</vt:i4>
      </vt:variant>
      <vt:variant>
        <vt:i4>0</vt:i4>
      </vt:variant>
      <vt:variant>
        <vt:i4>5</vt:i4>
      </vt:variant>
      <vt:variant>
        <vt:lpwstr/>
      </vt:variant>
      <vt:variant>
        <vt:lpwstr>_Toc164420221</vt:lpwstr>
      </vt:variant>
      <vt:variant>
        <vt:i4>1507381</vt:i4>
      </vt:variant>
      <vt:variant>
        <vt:i4>68</vt:i4>
      </vt:variant>
      <vt:variant>
        <vt:i4>0</vt:i4>
      </vt:variant>
      <vt:variant>
        <vt:i4>5</vt:i4>
      </vt:variant>
      <vt:variant>
        <vt:lpwstr/>
      </vt:variant>
      <vt:variant>
        <vt:lpwstr>_Toc164420220</vt:lpwstr>
      </vt:variant>
      <vt:variant>
        <vt:i4>1114166</vt:i4>
      </vt:variant>
      <vt:variant>
        <vt:i4>62</vt:i4>
      </vt:variant>
      <vt:variant>
        <vt:i4>0</vt:i4>
      </vt:variant>
      <vt:variant>
        <vt:i4>5</vt:i4>
      </vt:variant>
      <vt:variant>
        <vt:lpwstr/>
      </vt:variant>
      <vt:variant>
        <vt:lpwstr>_Toc164420142</vt:lpwstr>
      </vt:variant>
      <vt:variant>
        <vt:i4>1114166</vt:i4>
      </vt:variant>
      <vt:variant>
        <vt:i4>56</vt:i4>
      </vt:variant>
      <vt:variant>
        <vt:i4>0</vt:i4>
      </vt:variant>
      <vt:variant>
        <vt:i4>5</vt:i4>
      </vt:variant>
      <vt:variant>
        <vt:lpwstr/>
      </vt:variant>
      <vt:variant>
        <vt:lpwstr>_Toc164420141</vt:lpwstr>
      </vt:variant>
      <vt:variant>
        <vt:i4>1114166</vt:i4>
      </vt:variant>
      <vt:variant>
        <vt:i4>50</vt:i4>
      </vt:variant>
      <vt:variant>
        <vt:i4>0</vt:i4>
      </vt:variant>
      <vt:variant>
        <vt:i4>5</vt:i4>
      </vt:variant>
      <vt:variant>
        <vt:lpwstr/>
      </vt:variant>
      <vt:variant>
        <vt:lpwstr>_Toc164420140</vt:lpwstr>
      </vt:variant>
      <vt:variant>
        <vt:i4>1441846</vt:i4>
      </vt:variant>
      <vt:variant>
        <vt:i4>44</vt:i4>
      </vt:variant>
      <vt:variant>
        <vt:i4>0</vt:i4>
      </vt:variant>
      <vt:variant>
        <vt:i4>5</vt:i4>
      </vt:variant>
      <vt:variant>
        <vt:lpwstr/>
      </vt:variant>
      <vt:variant>
        <vt:lpwstr>_Toc164420139</vt:lpwstr>
      </vt:variant>
      <vt:variant>
        <vt:i4>1441846</vt:i4>
      </vt:variant>
      <vt:variant>
        <vt:i4>38</vt:i4>
      </vt:variant>
      <vt:variant>
        <vt:i4>0</vt:i4>
      </vt:variant>
      <vt:variant>
        <vt:i4>5</vt:i4>
      </vt:variant>
      <vt:variant>
        <vt:lpwstr/>
      </vt:variant>
      <vt:variant>
        <vt:lpwstr>_Toc164420138</vt:lpwstr>
      </vt:variant>
      <vt:variant>
        <vt:i4>1441846</vt:i4>
      </vt:variant>
      <vt:variant>
        <vt:i4>32</vt:i4>
      </vt:variant>
      <vt:variant>
        <vt:i4>0</vt:i4>
      </vt:variant>
      <vt:variant>
        <vt:i4>5</vt:i4>
      </vt:variant>
      <vt:variant>
        <vt:lpwstr/>
      </vt:variant>
      <vt:variant>
        <vt:lpwstr>_Toc164420137</vt:lpwstr>
      </vt:variant>
      <vt:variant>
        <vt:i4>1441846</vt:i4>
      </vt:variant>
      <vt:variant>
        <vt:i4>26</vt:i4>
      </vt:variant>
      <vt:variant>
        <vt:i4>0</vt:i4>
      </vt:variant>
      <vt:variant>
        <vt:i4>5</vt:i4>
      </vt:variant>
      <vt:variant>
        <vt:lpwstr/>
      </vt:variant>
      <vt:variant>
        <vt:lpwstr>_Toc164420136</vt:lpwstr>
      </vt:variant>
      <vt:variant>
        <vt:i4>1441846</vt:i4>
      </vt:variant>
      <vt:variant>
        <vt:i4>20</vt:i4>
      </vt:variant>
      <vt:variant>
        <vt:i4>0</vt:i4>
      </vt:variant>
      <vt:variant>
        <vt:i4>5</vt:i4>
      </vt:variant>
      <vt:variant>
        <vt:lpwstr/>
      </vt:variant>
      <vt:variant>
        <vt:lpwstr>_Toc164420135</vt:lpwstr>
      </vt:variant>
      <vt:variant>
        <vt:i4>1441846</vt:i4>
      </vt:variant>
      <vt:variant>
        <vt:i4>14</vt:i4>
      </vt:variant>
      <vt:variant>
        <vt:i4>0</vt:i4>
      </vt:variant>
      <vt:variant>
        <vt:i4>5</vt:i4>
      </vt:variant>
      <vt:variant>
        <vt:lpwstr/>
      </vt:variant>
      <vt:variant>
        <vt:lpwstr>_Toc164420134</vt:lpwstr>
      </vt:variant>
      <vt:variant>
        <vt:i4>1441846</vt:i4>
      </vt:variant>
      <vt:variant>
        <vt:i4>8</vt:i4>
      </vt:variant>
      <vt:variant>
        <vt:i4>0</vt:i4>
      </vt:variant>
      <vt:variant>
        <vt:i4>5</vt:i4>
      </vt:variant>
      <vt:variant>
        <vt:lpwstr/>
      </vt:variant>
      <vt:variant>
        <vt:lpwstr>_Toc164420133</vt:lpwstr>
      </vt:variant>
      <vt:variant>
        <vt:i4>1441846</vt:i4>
      </vt:variant>
      <vt:variant>
        <vt:i4>2</vt:i4>
      </vt:variant>
      <vt:variant>
        <vt:i4>0</vt:i4>
      </vt:variant>
      <vt:variant>
        <vt:i4>5</vt:i4>
      </vt:variant>
      <vt:variant>
        <vt:lpwstr/>
      </vt:variant>
      <vt:variant>
        <vt:lpwstr>_Toc164420132</vt:lpwstr>
      </vt:variant>
      <vt:variant>
        <vt:i4>5177365</vt:i4>
      </vt:variant>
      <vt:variant>
        <vt:i4>57</vt:i4>
      </vt:variant>
      <vt:variant>
        <vt:i4>0</vt:i4>
      </vt:variant>
      <vt:variant>
        <vt:i4>5</vt:i4>
      </vt:variant>
      <vt:variant>
        <vt:lpwstr>https://new.parliament.vic.gov.au/4a7aed/globalassets/tabled-paper-documents/tabled-paper-7465/subordinate-legislation-act-1994-guidelines-september-2023.pdf</vt:lpwstr>
      </vt:variant>
      <vt:variant>
        <vt:lpwstr/>
      </vt:variant>
      <vt:variant>
        <vt:i4>851979</vt:i4>
      </vt:variant>
      <vt:variant>
        <vt:i4>54</vt:i4>
      </vt:variant>
      <vt:variant>
        <vt:i4>0</vt:i4>
      </vt:variant>
      <vt:variant>
        <vt:i4>5</vt:i4>
      </vt:variant>
      <vt:variant>
        <vt:lpwstr>https://www.anzca.edu.au/getattachment/9ec71c61-8a66-4f81-b0f8-c87d65e36298/Australasian-Anaesthesia-2023</vt:lpwstr>
      </vt:variant>
      <vt:variant>
        <vt:lpwstr/>
      </vt:variant>
      <vt:variant>
        <vt:i4>4718649</vt:i4>
      </vt:variant>
      <vt:variant>
        <vt:i4>51</vt:i4>
      </vt:variant>
      <vt:variant>
        <vt:i4>0</vt:i4>
      </vt:variant>
      <vt:variant>
        <vt:i4>5</vt:i4>
      </vt:variant>
      <vt:variant>
        <vt:lpwstr>https://www.hcc.vic.gov.au/sites/default/files/media-document/HCC Annual Report 2022-2023_0.pdf</vt:lpwstr>
      </vt:variant>
      <vt:variant>
        <vt:lpwstr/>
      </vt:variant>
      <vt:variant>
        <vt:i4>1441798</vt:i4>
      </vt:variant>
      <vt:variant>
        <vt:i4>48</vt:i4>
      </vt:variant>
      <vt:variant>
        <vt:i4>0</vt:i4>
      </vt:variant>
      <vt:variant>
        <vt:i4>5</vt:i4>
      </vt:variant>
      <vt:variant>
        <vt:lpwstr>https://www.safetyandquality.gov.au/standards/nsqhs-standards/communicating-safety-standard/documentation-information</vt:lpwstr>
      </vt:variant>
      <vt:variant>
        <vt:lpwstr/>
      </vt:variant>
      <vt:variant>
        <vt:i4>5898254</vt:i4>
      </vt:variant>
      <vt:variant>
        <vt:i4>45</vt:i4>
      </vt:variant>
      <vt:variant>
        <vt:i4>0</vt:i4>
      </vt:variant>
      <vt:variant>
        <vt:i4>5</vt:i4>
      </vt:variant>
      <vt:variant>
        <vt:lpwstr>https://www.safetyandquality.gov.au/standards/nsqhs-standards/communicating-safety-standard/documentation-information/action-611</vt:lpwstr>
      </vt:variant>
      <vt:variant>
        <vt:lpwstr/>
      </vt:variant>
      <vt:variant>
        <vt:i4>1441798</vt:i4>
      </vt:variant>
      <vt:variant>
        <vt:i4>42</vt:i4>
      </vt:variant>
      <vt:variant>
        <vt:i4>0</vt:i4>
      </vt:variant>
      <vt:variant>
        <vt:i4>5</vt:i4>
      </vt:variant>
      <vt:variant>
        <vt:lpwstr>https://www.safetyandquality.gov.au/standards/nsqhs-standards/communicating-safety-standard/documentation-information</vt:lpwstr>
      </vt:variant>
      <vt:variant>
        <vt:lpwstr/>
      </vt:variant>
      <vt:variant>
        <vt:i4>327694</vt:i4>
      </vt:variant>
      <vt:variant>
        <vt:i4>39</vt:i4>
      </vt:variant>
      <vt:variant>
        <vt:i4>0</vt:i4>
      </vt:variant>
      <vt:variant>
        <vt:i4>5</vt:i4>
      </vt:variant>
      <vt:variant>
        <vt:lpwstr>https://www.safetyandquality.gov.au/standards/nsqhs-standards/comprehensive-care-standard</vt:lpwstr>
      </vt:variant>
      <vt:variant>
        <vt:lpwstr/>
      </vt:variant>
      <vt:variant>
        <vt:i4>7471159</vt:i4>
      </vt:variant>
      <vt:variant>
        <vt:i4>36</vt:i4>
      </vt:variant>
      <vt:variant>
        <vt:i4>0</vt:i4>
      </vt:variant>
      <vt:variant>
        <vt:i4>5</vt:i4>
      </vt:variant>
      <vt:variant>
        <vt:lpwstr>https://www.health.vic.gov.au/health-system-design-planning/perioperative-service-capability-framework-for-victoria</vt:lpwstr>
      </vt:variant>
      <vt:variant>
        <vt:lpwstr/>
      </vt:variant>
      <vt:variant>
        <vt:i4>5439504</vt:i4>
      </vt:variant>
      <vt:variant>
        <vt:i4>33</vt:i4>
      </vt:variant>
      <vt:variant>
        <vt:i4>0</vt:i4>
      </vt:variant>
      <vt:variant>
        <vt:i4>5</vt:i4>
      </vt:variant>
      <vt:variant>
        <vt:lpwstr>https://www.safetyandquality.gov.au/standards/nsqhs-standards/nsqhs-standards-assessment-outcomes</vt:lpwstr>
      </vt:variant>
      <vt:variant>
        <vt:lpwstr/>
      </vt:variant>
      <vt:variant>
        <vt:i4>7405674</vt:i4>
      </vt:variant>
      <vt:variant>
        <vt:i4>30</vt:i4>
      </vt:variant>
      <vt:variant>
        <vt:i4>0</vt:i4>
      </vt:variant>
      <vt:variant>
        <vt:i4>5</vt:i4>
      </vt:variant>
      <vt:variant>
        <vt:lpwstr>https://www.aihw.gov.au/reports-data/myhospitals/intersection/activity/apc</vt:lpwstr>
      </vt:variant>
      <vt:variant>
        <vt:lpwstr/>
      </vt:variant>
      <vt:variant>
        <vt:i4>7405674</vt:i4>
      </vt:variant>
      <vt:variant>
        <vt:i4>27</vt:i4>
      </vt:variant>
      <vt:variant>
        <vt:i4>0</vt:i4>
      </vt:variant>
      <vt:variant>
        <vt:i4>5</vt:i4>
      </vt:variant>
      <vt:variant>
        <vt:lpwstr>https://www.aihw.gov.au/reports-data/myhospitals/intersection/activity/apc</vt:lpwstr>
      </vt:variant>
      <vt:variant>
        <vt:lpwstr/>
      </vt:variant>
      <vt:variant>
        <vt:i4>8061025</vt:i4>
      </vt:variant>
      <vt:variant>
        <vt:i4>24</vt:i4>
      </vt:variant>
      <vt:variant>
        <vt:i4>0</vt:i4>
      </vt:variant>
      <vt:variant>
        <vt:i4>5</vt:i4>
      </vt:variant>
      <vt:variant>
        <vt:lpwstr>https://www.aihw.gov.au/reports-data/myhospitals/intersection/spending/apc</vt:lpwstr>
      </vt:variant>
      <vt:variant>
        <vt:lpwstr/>
      </vt:variant>
      <vt:variant>
        <vt:i4>7209070</vt:i4>
      </vt:variant>
      <vt:variant>
        <vt:i4>21</vt:i4>
      </vt:variant>
      <vt:variant>
        <vt:i4>0</vt:i4>
      </vt:variant>
      <vt:variant>
        <vt:i4>5</vt:i4>
      </vt:variant>
      <vt:variant>
        <vt:lpwstr>https://www.aihw.gov.au/getmedia/71d19036-8c1e-485d-9d93-6618780346ae/australia-s-hospitals-at-a-glance.pdf</vt:lpwstr>
      </vt:variant>
      <vt:variant>
        <vt:lpwstr/>
      </vt:variant>
      <vt:variant>
        <vt:i4>589907</vt:i4>
      </vt:variant>
      <vt:variant>
        <vt:i4>18</vt:i4>
      </vt:variant>
      <vt:variant>
        <vt:i4>0</vt:i4>
      </vt:variant>
      <vt:variant>
        <vt:i4>5</vt:i4>
      </vt:variant>
      <vt:variant>
        <vt:lpwstr>https://www.aihw.gov.au/</vt:lpwstr>
      </vt:variant>
      <vt:variant>
        <vt:lpwstr/>
      </vt:variant>
      <vt:variant>
        <vt:i4>8061025</vt:i4>
      </vt:variant>
      <vt:variant>
        <vt:i4>15</vt:i4>
      </vt:variant>
      <vt:variant>
        <vt:i4>0</vt:i4>
      </vt:variant>
      <vt:variant>
        <vt:i4>5</vt:i4>
      </vt:variant>
      <vt:variant>
        <vt:lpwstr>https://www.aihw.gov.au/reports-data/myhospitals/intersection/spending/apc</vt:lpwstr>
      </vt:variant>
      <vt:variant>
        <vt:lpwstr/>
      </vt:variant>
      <vt:variant>
        <vt:i4>8257658</vt:i4>
      </vt:variant>
      <vt:variant>
        <vt:i4>12</vt:i4>
      </vt:variant>
      <vt:variant>
        <vt:i4>0</vt:i4>
      </vt:variant>
      <vt:variant>
        <vt:i4>5</vt:i4>
      </vt:variant>
      <vt:variant>
        <vt:lpwstr>https://www.aihw.gov.au/reports-data/myhospitals/sectors/admitted-patients</vt:lpwstr>
      </vt:variant>
      <vt:variant>
        <vt:lpwstr/>
      </vt:variant>
      <vt:variant>
        <vt:i4>6160387</vt:i4>
      </vt:variant>
      <vt:variant>
        <vt:i4>9</vt:i4>
      </vt:variant>
      <vt:variant>
        <vt:i4>0</vt:i4>
      </vt:variant>
      <vt:variant>
        <vt:i4>5</vt:i4>
      </vt:variant>
      <vt:variant>
        <vt:lpwstr>https://meteor.aihw.gov.au/content/327268</vt:lpwstr>
      </vt:variant>
      <vt:variant>
        <vt:lpwstr/>
      </vt:variant>
      <vt:variant>
        <vt:i4>5832788</vt:i4>
      </vt:variant>
      <vt:variant>
        <vt:i4>6</vt:i4>
      </vt:variant>
      <vt:variant>
        <vt:i4>0</vt:i4>
      </vt:variant>
      <vt:variant>
        <vt:i4>5</vt:i4>
      </vt:variant>
      <vt:variant>
        <vt:lpwstr>https://www.health.vic.gov.au/publications/targeting-zero-the-review-of-hospital-safety-and-quality-assurance-in-victoria</vt:lpwstr>
      </vt:variant>
      <vt:variant>
        <vt:lpwstr/>
      </vt:variant>
      <vt:variant>
        <vt:i4>8257658</vt:i4>
      </vt:variant>
      <vt:variant>
        <vt:i4>3</vt:i4>
      </vt:variant>
      <vt:variant>
        <vt:i4>0</vt:i4>
      </vt:variant>
      <vt:variant>
        <vt:i4>5</vt:i4>
      </vt:variant>
      <vt:variant>
        <vt:lpwstr>https://www.aihw.gov.au/reports-data/myhospitals/sectors/admitted-patients</vt:lpwstr>
      </vt:variant>
      <vt:variant>
        <vt:lpwstr/>
      </vt:variant>
      <vt:variant>
        <vt:i4>6160387</vt:i4>
      </vt:variant>
      <vt:variant>
        <vt:i4>0</vt:i4>
      </vt:variant>
      <vt:variant>
        <vt:i4>0</vt:i4>
      </vt:variant>
      <vt:variant>
        <vt:i4>5</vt:i4>
      </vt:variant>
      <vt:variant>
        <vt:lpwstr>https://meteor.aihw.gov.au/content/327268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 Health Services (Health Service Establishments) Regulations 2024</dc:title>
  <dc:subject>Regulatory Impact Statement - Health Services (Health Service Establishments) Regulations 2024</dc:subject>
  <dc:creator/>
  <cp:keywords>"Regulatory Impact Statement", "Health Service Establishments", "Regulations"</cp:keywords>
  <dc:description/>
  <cp:lastModifiedBy/>
  <cp:revision>1</cp:revision>
  <cp:lastPrinted>2024-03-29T07:41:00Z</cp:lastPrinted>
  <dcterms:created xsi:type="dcterms:W3CDTF">2024-04-29T03:03:00Z</dcterms:created>
  <dcterms:modified xsi:type="dcterms:W3CDTF">2024-04-29T03:03:00Z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0x010100B71D80F382B83A49BA2054F60A134852</vt:lpwstr>
  </property>
  <property fmtid="{D5CDD505-2E9C-101B-9397-08002B2CF9AE}" pid="3" name="MediaServiceImageTags">
    <vt:lpwstr/>
  </property>
  <property fmtid="{D5CDD505-2E9C-101B-9397-08002B2CF9AE}" pid="4" name="MSIP_Label_7158ebbd-6c5e-441f-bfc9-4eb8c11e3978_Enabled">
    <vt:lpwstr>true</vt:lpwstr>
  </property>
  <property fmtid="{D5CDD505-2E9C-101B-9397-08002B2CF9AE}" pid="5" name="MSIP_Label_7158ebbd-6c5e-441f-bfc9-4eb8c11e3978_SetDate">
    <vt:lpwstr>2023-06-06T01:35:04Z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e236b40c-e2ae-45fe-9668-4d1e95446384</vt:lpwstr>
  </property>
  <property fmtid="{D5CDD505-2E9C-101B-9397-08002B2CF9AE}" pid="10" name="MSIP_Label_7158ebbd-6c5e-441f-bfc9-4eb8c11e3978_ContentBits">
    <vt:lpwstr>2</vt:lpwstr>
  </property>
  <property fmtid="{D5CDD505-2E9C-101B-9397-08002B2CF9AE}" pid="11" name="MSIP_Label_f6c7d016-c0e8-4bc1-9071-158a5ecbe94b_Enabled">
    <vt:lpwstr>true</vt:lpwstr>
  </property>
  <property fmtid="{D5CDD505-2E9C-101B-9397-08002B2CF9AE}" pid="12" name="MSIP_Label_f6c7d016-c0e8-4bc1-9071-158a5ecbe94b_SetDate">
    <vt:lpwstr>2024-03-15T02:05:53Z</vt:lpwstr>
  </property>
  <property fmtid="{D5CDD505-2E9C-101B-9397-08002B2CF9AE}" pid="13" name="MSIP_Label_f6c7d016-c0e8-4bc1-9071-158a5ecbe94b_Method">
    <vt:lpwstr>Privileged</vt:lpwstr>
  </property>
  <property fmtid="{D5CDD505-2E9C-101B-9397-08002B2CF9AE}" pid="14" name="MSIP_Label_f6c7d016-c0e8-4bc1-9071-158a5ecbe94b_Name">
    <vt:lpwstr>f6c7d016-c0e8-4bc1-9071-158a5ecbe94b</vt:lpwstr>
  </property>
  <property fmtid="{D5CDD505-2E9C-101B-9397-08002B2CF9AE}" pid="15" name="MSIP_Label_f6c7d016-c0e8-4bc1-9071-158a5ecbe94b_SiteId">
    <vt:lpwstr>c0e0601f-0fac-449c-9c88-a104c4eb9f28</vt:lpwstr>
  </property>
  <property fmtid="{D5CDD505-2E9C-101B-9397-08002B2CF9AE}" pid="16" name="MSIP_Label_f6c7d016-c0e8-4bc1-9071-158a5ecbe94b_ActionId">
    <vt:lpwstr>4b0328f5-b6a1-440c-8917-40b951f45bb2</vt:lpwstr>
  </property>
  <property fmtid="{D5CDD505-2E9C-101B-9397-08002B2CF9AE}" pid="17" name="MSIP_Label_f6c7d016-c0e8-4bc1-9071-158a5ecbe94b_ContentBits">
    <vt:lpwstr>2</vt:lpwstr>
  </property>
  <property fmtid="{D5CDD505-2E9C-101B-9397-08002B2CF9AE}" pid="18" name="Sensitivity">
    <vt:lpwstr>1;#OFFICIAL|df0ee81d-089c-4707-9ef8-ac9a7d96e4bd</vt:lpwstr>
  </property>
</Properties>
</file>