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B6DB" w14:textId="77777777" w:rsidR="00056EC4" w:rsidRPr="006F493F" w:rsidRDefault="00E9042A" w:rsidP="00056EC4">
      <w:pPr>
        <w:pStyle w:val="Body"/>
      </w:pPr>
      <w:r w:rsidRPr="006F493F">
        <w:rPr>
          <w:noProof/>
        </w:rPr>
        <w:drawing>
          <wp:anchor distT="0" distB="0" distL="114300" distR="114300" simplePos="0" relativeHeight="251658240" behindDoc="1" locked="1" layoutInCell="1" allowOverlap="0" wp14:anchorId="05CECFB1" wp14:editId="643173D4">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14515B" w14:paraId="4ED62AFE" w14:textId="77777777" w:rsidTr="00431F42">
        <w:trPr>
          <w:cantSplit/>
        </w:trPr>
        <w:tc>
          <w:tcPr>
            <w:tcW w:w="0" w:type="auto"/>
            <w:tcMar>
              <w:top w:w="0" w:type="dxa"/>
              <w:left w:w="0" w:type="dxa"/>
              <w:right w:w="0" w:type="dxa"/>
            </w:tcMar>
          </w:tcPr>
          <w:p w14:paraId="02749DCB" w14:textId="2B54E29D" w:rsidR="00AD784C" w:rsidRPr="0014515B" w:rsidRDefault="00557A12" w:rsidP="00CC3BB0">
            <w:pPr>
              <w:pStyle w:val="Documenttitle"/>
            </w:pPr>
            <w:r w:rsidRPr="0014515B">
              <w:t xml:space="preserve">Management of </w:t>
            </w:r>
            <w:r w:rsidR="006D203D">
              <w:t>a</w:t>
            </w:r>
            <w:r w:rsidRPr="0014515B">
              <w:t xml:space="preserve">cute </w:t>
            </w:r>
            <w:r w:rsidR="006D203D">
              <w:t>r</w:t>
            </w:r>
            <w:r w:rsidRPr="0014515B">
              <w:t xml:space="preserve">espiratory </w:t>
            </w:r>
            <w:r w:rsidR="006D203D">
              <w:t>i</w:t>
            </w:r>
            <w:r w:rsidRPr="0014515B">
              <w:t>nfection outbreaks, including COVID-19 and influenza, in residential care facilities</w:t>
            </w:r>
          </w:p>
        </w:tc>
      </w:tr>
      <w:tr w:rsidR="00AD784C" w:rsidRPr="0014515B" w14:paraId="67609B95" w14:textId="77777777" w:rsidTr="00431F42">
        <w:trPr>
          <w:cantSplit/>
        </w:trPr>
        <w:tc>
          <w:tcPr>
            <w:tcW w:w="0" w:type="auto"/>
          </w:tcPr>
          <w:p w14:paraId="1509E67C" w14:textId="0DD64698" w:rsidR="00081990" w:rsidRDefault="00081990" w:rsidP="009315BE">
            <w:pPr>
              <w:pStyle w:val="Documentsubtitle"/>
            </w:pPr>
            <w:r>
              <w:t>Version 3.1</w:t>
            </w:r>
          </w:p>
          <w:p w14:paraId="093C3F9A" w14:textId="00D5617F" w:rsidR="00386109" w:rsidRPr="0014515B" w:rsidRDefault="00557A12" w:rsidP="009315BE">
            <w:pPr>
              <w:pStyle w:val="Documentsubtitle"/>
            </w:pPr>
            <w:r w:rsidRPr="0014515B">
              <w:t>Public Health Division | Department of Health</w:t>
            </w:r>
          </w:p>
        </w:tc>
      </w:tr>
      <w:tr w:rsidR="00430393" w:rsidRPr="0014515B" w14:paraId="56AA3151" w14:textId="77777777" w:rsidTr="00431F42">
        <w:trPr>
          <w:cantSplit/>
        </w:trPr>
        <w:tc>
          <w:tcPr>
            <w:tcW w:w="0" w:type="auto"/>
          </w:tcPr>
          <w:p w14:paraId="003D9C84" w14:textId="77777777" w:rsidR="00430393" w:rsidRPr="006F493F" w:rsidRDefault="00000000" w:rsidP="00430393">
            <w:pPr>
              <w:pStyle w:val="Bannermarking"/>
            </w:pPr>
            <w:fldSimple w:instr="FILLIN  &quot;Type the protective marking&quot; \d OFFICIAL \o  \* MERGEFORMAT">
              <w:r w:rsidR="00557A12" w:rsidRPr="0014515B">
                <w:t>OFFICIAL</w:t>
              </w:r>
            </w:fldSimple>
          </w:p>
        </w:tc>
      </w:tr>
    </w:tbl>
    <w:p w14:paraId="5A32E790" w14:textId="1047EEC1" w:rsidR="00FE4081" w:rsidRPr="0014515B" w:rsidRDefault="00FE4081" w:rsidP="00FE4081">
      <w:pPr>
        <w:pStyle w:val="Body"/>
      </w:pPr>
    </w:p>
    <w:p w14:paraId="6DEA6031" w14:textId="72914012" w:rsidR="00FE4081" w:rsidRPr="0014515B" w:rsidRDefault="00FE4081" w:rsidP="00FE4081">
      <w:pPr>
        <w:pStyle w:val="Body"/>
        <w:rPr>
          <w:b/>
          <w:bCs/>
          <w:color w:val="FF0000"/>
          <w:sz w:val="52"/>
          <w:szCs w:val="52"/>
        </w:rPr>
        <w:sectPr w:rsidR="00FE4081" w:rsidRPr="0014515B"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6D203D" w:rsidRPr="00C072F4" w14:paraId="2D0FF50E" w14:textId="77777777" w:rsidTr="006D203D">
        <w:trPr>
          <w:cantSplit/>
          <w:trHeight w:val="7088"/>
        </w:trPr>
        <w:tc>
          <w:tcPr>
            <w:tcW w:w="0" w:type="auto"/>
          </w:tcPr>
          <w:p w14:paraId="70F45EAA" w14:textId="7BC38FF8" w:rsidR="00271553" w:rsidRPr="00C072F4" w:rsidRDefault="00271553" w:rsidP="00671C03">
            <w:pPr>
              <w:pStyle w:val="Heading1"/>
              <w:spacing w:before="0" w:line="240" w:lineRule="auto"/>
            </w:pPr>
            <w:bookmarkStart w:id="0" w:name="_Toc163051285"/>
            <w:bookmarkStart w:id="1" w:name="_Toc163135806"/>
            <w:bookmarkStart w:id="2" w:name="_Toc163573578"/>
            <w:r w:rsidRPr="00C072F4">
              <w:lastRenderedPageBreak/>
              <w:t>Version</w:t>
            </w:r>
            <w:r w:rsidRPr="00C072F4">
              <w:rPr>
                <w:spacing w:val="-3"/>
              </w:rPr>
              <w:t xml:space="preserve"> </w:t>
            </w:r>
            <w:r w:rsidR="00DA1B5B" w:rsidRPr="00C072F4">
              <w:rPr>
                <w:spacing w:val="-3"/>
              </w:rPr>
              <w:t>H</w:t>
            </w:r>
            <w:r w:rsidRPr="00C072F4">
              <w:t>istory</w:t>
            </w:r>
            <w:bookmarkEnd w:id="0"/>
            <w:bookmarkEnd w:id="1"/>
            <w:bookmarkEnd w:id="2"/>
          </w:p>
          <w:tbl>
            <w:tblPr>
              <w:tblW w:w="0" w:type="auto"/>
              <w:tblInd w:w="1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11"/>
              <w:gridCol w:w="4887"/>
              <w:gridCol w:w="2200"/>
            </w:tblGrid>
            <w:tr w:rsidR="006D203D" w:rsidRPr="00C072F4" w14:paraId="4CCB798F" w14:textId="77777777" w:rsidTr="00FC2527">
              <w:trPr>
                <w:trHeight w:val="369"/>
              </w:trPr>
              <w:tc>
                <w:tcPr>
                  <w:tcW w:w="2011" w:type="dxa"/>
                </w:tcPr>
                <w:p w14:paraId="524B5ABD" w14:textId="77777777" w:rsidR="00271553" w:rsidRPr="00C072F4" w:rsidRDefault="00271553" w:rsidP="006D203D">
                  <w:pPr>
                    <w:pStyle w:val="Tablecolhead"/>
                  </w:pPr>
                  <w:r w:rsidRPr="00C072F4">
                    <w:t>Version</w:t>
                  </w:r>
                  <w:r w:rsidRPr="00C072F4">
                    <w:rPr>
                      <w:spacing w:val="-2"/>
                    </w:rPr>
                    <w:t xml:space="preserve"> </w:t>
                  </w:r>
                  <w:r w:rsidRPr="00C072F4">
                    <w:t>number</w:t>
                  </w:r>
                </w:p>
              </w:tc>
              <w:tc>
                <w:tcPr>
                  <w:tcW w:w="4887" w:type="dxa"/>
                </w:tcPr>
                <w:p w14:paraId="2FE4DD00" w14:textId="77777777" w:rsidR="00271553" w:rsidRPr="00C072F4" w:rsidRDefault="00271553" w:rsidP="006D203D">
                  <w:pPr>
                    <w:pStyle w:val="Tablecolhead"/>
                  </w:pPr>
                  <w:r w:rsidRPr="00C072F4">
                    <w:t>Comment</w:t>
                  </w:r>
                </w:p>
              </w:tc>
              <w:tc>
                <w:tcPr>
                  <w:tcW w:w="2200" w:type="dxa"/>
                </w:tcPr>
                <w:p w14:paraId="79FF28C1" w14:textId="77777777" w:rsidR="00271553" w:rsidRPr="00C072F4" w:rsidRDefault="00271553" w:rsidP="006D203D">
                  <w:pPr>
                    <w:pStyle w:val="Tablecolhead"/>
                  </w:pPr>
                  <w:r w:rsidRPr="00C072F4">
                    <w:t>Date</w:t>
                  </w:r>
                  <w:r w:rsidRPr="00C072F4">
                    <w:rPr>
                      <w:spacing w:val="-3"/>
                    </w:rPr>
                    <w:t xml:space="preserve"> </w:t>
                  </w:r>
                  <w:r w:rsidRPr="00C072F4">
                    <w:t>of</w:t>
                  </w:r>
                  <w:r w:rsidRPr="00C072F4">
                    <w:rPr>
                      <w:spacing w:val="-2"/>
                    </w:rPr>
                    <w:t xml:space="preserve"> </w:t>
                  </w:r>
                  <w:r w:rsidRPr="00C072F4">
                    <w:t>approval</w:t>
                  </w:r>
                </w:p>
              </w:tc>
            </w:tr>
            <w:tr w:rsidR="006D203D" w:rsidRPr="00C072F4" w14:paraId="585623FD" w14:textId="77777777" w:rsidTr="00FC2527">
              <w:trPr>
                <w:trHeight w:val="369"/>
              </w:trPr>
              <w:tc>
                <w:tcPr>
                  <w:tcW w:w="2011" w:type="dxa"/>
                </w:tcPr>
                <w:p w14:paraId="490EB219" w14:textId="38AFAEA2" w:rsidR="00CF57F7" w:rsidRPr="00971DE6" w:rsidRDefault="00CF57F7" w:rsidP="006D203D">
                  <w:pPr>
                    <w:pStyle w:val="Tabletext"/>
                  </w:pPr>
                  <w:r w:rsidRPr="00971DE6">
                    <w:t>Version 1.0</w:t>
                  </w:r>
                </w:p>
              </w:tc>
              <w:tc>
                <w:tcPr>
                  <w:tcW w:w="4887" w:type="dxa"/>
                </w:tcPr>
                <w:p w14:paraId="46CB4A07" w14:textId="77777777" w:rsidR="00CF57F7" w:rsidRPr="00971DE6" w:rsidRDefault="00CF57F7" w:rsidP="006D203D">
                  <w:pPr>
                    <w:pStyle w:val="Tabletext"/>
                  </w:pPr>
                  <w:r w:rsidRPr="00971DE6">
                    <w:t xml:space="preserve">Original document. Replaces: </w:t>
                  </w:r>
                </w:p>
                <w:p w14:paraId="7FE3CBD3" w14:textId="77777777" w:rsidR="00CF57F7" w:rsidRPr="00971DE6" w:rsidRDefault="00CF57F7" w:rsidP="006F313A">
                  <w:pPr>
                    <w:pStyle w:val="Tablebullet1"/>
                    <w:rPr>
                      <w:rFonts w:ascii="Calibri" w:hAnsi="Calibri"/>
                      <w:szCs w:val="18"/>
                      <w:lang w:eastAsia="en-AU"/>
                    </w:rPr>
                  </w:pPr>
                  <w:r w:rsidRPr="00971DE6">
                    <w:rPr>
                      <w:lang w:eastAsia="en-AU"/>
                    </w:rPr>
                    <w:t xml:space="preserve">Management of influenza-like-illness and influenza outbreaks in residential and aged care facilities </w:t>
                  </w:r>
                </w:p>
                <w:p w14:paraId="610F6353" w14:textId="22621D10" w:rsidR="00CF57F7" w:rsidRPr="00971DE6" w:rsidRDefault="00CF57F7" w:rsidP="006F313A">
                  <w:pPr>
                    <w:pStyle w:val="Tablebullet1"/>
                    <w:rPr>
                      <w:lang w:eastAsia="en-AU"/>
                    </w:rPr>
                  </w:pPr>
                  <w:r w:rsidRPr="00971DE6">
                    <w:rPr>
                      <w:lang w:eastAsia="en-AU"/>
                    </w:rPr>
                    <w:t>Management of COVID-19, influenza, and influenza-like-illness outbreaks in residential and aged care facilities</w:t>
                  </w:r>
                </w:p>
                <w:p w14:paraId="266242CB" w14:textId="2901ABA8" w:rsidR="00CF57F7" w:rsidRPr="00971DE6" w:rsidRDefault="00CF57F7" w:rsidP="006F313A">
                  <w:pPr>
                    <w:pStyle w:val="Tablebullet1"/>
                    <w:rPr>
                      <w:lang w:eastAsia="en-AU"/>
                    </w:rPr>
                  </w:pPr>
                  <w:r w:rsidRPr="00971DE6">
                    <w:rPr>
                      <w:lang w:eastAsia="en-AU"/>
                    </w:rPr>
                    <w:t>Respiratory illness in residential and aged care facilities – guidelines and information</w:t>
                  </w:r>
                </w:p>
                <w:p w14:paraId="53D35773" w14:textId="10D8C85C" w:rsidR="00CF57F7" w:rsidRPr="00971DE6" w:rsidRDefault="00CF57F7" w:rsidP="006F313A">
                  <w:pPr>
                    <w:pStyle w:val="Tablebullet1"/>
                  </w:pPr>
                  <w:r w:rsidRPr="00971DE6">
                    <w:rPr>
                      <w:lang w:eastAsia="en-AU"/>
                    </w:rPr>
                    <w:t>Managing COVID-19 exposures and outbreaks: actions for residential aged care facilities</w:t>
                  </w:r>
                  <w:r w:rsidR="00BA37B8" w:rsidRPr="00971DE6">
                    <w:rPr>
                      <w:lang w:eastAsia="en-AU"/>
                    </w:rPr>
                    <w:t xml:space="preserve"> (RACFs)</w:t>
                  </w:r>
                </w:p>
              </w:tc>
              <w:tc>
                <w:tcPr>
                  <w:tcW w:w="2200" w:type="dxa"/>
                </w:tcPr>
                <w:p w14:paraId="6DCEC5F8" w14:textId="4D1107AE" w:rsidR="00CF57F7" w:rsidRPr="00971DE6" w:rsidRDefault="00CF57F7" w:rsidP="006D203D">
                  <w:pPr>
                    <w:pStyle w:val="Tabletext"/>
                  </w:pPr>
                  <w:r w:rsidRPr="00971DE6">
                    <w:t>15 September 2022</w:t>
                  </w:r>
                </w:p>
              </w:tc>
            </w:tr>
            <w:tr w:rsidR="006D203D" w:rsidRPr="00C072F4" w14:paraId="75CE52EA" w14:textId="77777777" w:rsidTr="00FC2527">
              <w:trPr>
                <w:trHeight w:val="697"/>
              </w:trPr>
              <w:tc>
                <w:tcPr>
                  <w:tcW w:w="2011" w:type="dxa"/>
                </w:tcPr>
                <w:p w14:paraId="3503501F" w14:textId="1949D1CA" w:rsidR="00271553" w:rsidRPr="00971DE6" w:rsidRDefault="00CF57F7" w:rsidP="006D203D">
                  <w:pPr>
                    <w:pStyle w:val="Tabletext"/>
                  </w:pPr>
                  <w:r w:rsidRPr="00971DE6">
                    <w:t>Version 2.0</w:t>
                  </w:r>
                </w:p>
              </w:tc>
              <w:tc>
                <w:tcPr>
                  <w:tcW w:w="4887" w:type="dxa"/>
                </w:tcPr>
                <w:p w14:paraId="645B01DF" w14:textId="21164C9A" w:rsidR="00271553" w:rsidRPr="00971DE6" w:rsidRDefault="00CF57F7" w:rsidP="006D203D">
                  <w:pPr>
                    <w:pStyle w:val="Tabletext"/>
                  </w:pPr>
                  <w:r w:rsidRPr="00971DE6">
                    <w:rPr>
                      <w:rFonts w:eastAsia="Arial" w:cs="Arial"/>
                      <w:szCs w:val="22"/>
                      <w:lang w:val="en-US"/>
                    </w:rPr>
                    <w:t xml:space="preserve">Updated to reflect cessation of the Pandemic </w:t>
                  </w:r>
                  <w:r w:rsidR="00D30982" w:rsidRPr="00971DE6">
                    <w:t>Orders from</w:t>
                  </w:r>
                  <w:r w:rsidR="004562C7" w:rsidRPr="00971DE6">
                    <w:rPr>
                      <w:rFonts w:eastAsia="Arial" w:cs="Arial"/>
                      <w:szCs w:val="22"/>
                      <w:lang w:val="en-US"/>
                    </w:rPr>
                    <w:t xml:space="preserve"> October 13, 2022</w:t>
                  </w:r>
                  <w:r w:rsidR="009E7A25" w:rsidRPr="00971DE6">
                    <w:t>. Update</w:t>
                  </w:r>
                  <w:r w:rsidR="006671EF" w:rsidRPr="00971DE6">
                    <w:t>s to</w:t>
                  </w:r>
                  <w:r w:rsidR="009E7A25" w:rsidRPr="00971DE6">
                    <w:t xml:space="preserve"> isolation, testing, mask and sensitive settings recommendations.</w:t>
                  </w:r>
                </w:p>
              </w:tc>
              <w:tc>
                <w:tcPr>
                  <w:tcW w:w="2200" w:type="dxa"/>
                </w:tcPr>
                <w:p w14:paraId="1263BFD3" w14:textId="0DEF41BA" w:rsidR="00271553" w:rsidRPr="00971DE6" w:rsidRDefault="009E7A25" w:rsidP="006D203D">
                  <w:pPr>
                    <w:pStyle w:val="Tabletext"/>
                  </w:pPr>
                  <w:r w:rsidRPr="00971DE6">
                    <w:t>1</w:t>
                  </w:r>
                  <w:r w:rsidR="00FC4DBE" w:rsidRPr="00971DE6">
                    <w:t>3</w:t>
                  </w:r>
                  <w:r w:rsidRPr="00971DE6">
                    <w:t xml:space="preserve"> October 2022</w:t>
                  </w:r>
                </w:p>
              </w:tc>
            </w:tr>
            <w:tr w:rsidR="006D203D" w:rsidRPr="00C072F4" w14:paraId="162FBD07" w14:textId="77777777" w:rsidTr="00FC2527">
              <w:trPr>
                <w:trHeight w:val="697"/>
              </w:trPr>
              <w:tc>
                <w:tcPr>
                  <w:tcW w:w="2011" w:type="dxa"/>
                </w:tcPr>
                <w:p w14:paraId="7765A9B5" w14:textId="508BED7A" w:rsidR="009727AC" w:rsidRPr="00971DE6" w:rsidRDefault="009727AC" w:rsidP="006D203D">
                  <w:pPr>
                    <w:pStyle w:val="Tabletext"/>
                  </w:pPr>
                  <w:r w:rsidRPr="00971DE6">
                    <w:t>Version 2.1</w:t>
                  </w:r>
                </w:p>
              </w:tc>
              <w:tc>
                <w:tcPr>
                  <w:tcW w:w="4887" w:type="dxa"/>
                </w:tcPr>
                <w:p w14:paraId="122C86FB" w14:textId="5E9D0F95" w:rsidR="009727AC" w:rsidRPr="00971DE6" w:rsidRDefault="00CE7D61" w:rsidP="006D203D">
                  <w:pPr>
                    <w:pStyle w:val="Tabletext"/>
                    <w:rPr>
                      <w:rFonts w:eastAsia="Arial" w:cs="Arial"/>
                      <w:szCs w:val="22"/>
                      <w:lang w:val="en-US"/>
                    </w:rPr>
                  </w:pPr>
                  <w:r w:rsidRPr="00971DE6">
                    <w:rPr>
                      <w:rFonts w:eastAsia="Arial" w:cs="Arial"/>
                      <w:szCs w:val="22"/>
                      <w:lang w:val="en-US"/>
                    </w:rPr>
                    <w:t xml:space="preserve">Minor </w:t>
                  </w:r>
                  <w:r w:rsidR="00942C83" w:rsidRPr="00971DE6">
                    <w:rPr>
                      <w:rFonts w:eastAsia="Arial" w:cs="Arial"/>
                      <w:szCs w:val="22"/>
                      <w:lang w:val="en-US"/>
                    </w:rPr>
                    <w:t xml:space="preserve">content </w:t>
                  </w:r>
                  <w:r w:rsidRPr="00971DE6">
                    <w:rPr>
                      <w:rFonts w:eastAsia="Arial" w:cs="Arial"/>
                      <w:szCs w:val="22"/>
                      <w:lang w:val="en-US"/>
                    </w:rPr>
                    <w:t>u</w:t>
                  </w:r>
                  <w:r w:rsidR="001658D8" w:rsidRPr="00971DE6">
                    <w:rPr>
                      <w:rFonts w:eastAsia="Arial" w:cs="Arial"/>
                      <w:szCs w:val="22"/>
                      <w:lang w:val="en-US"/>
                    </w:rPr>
                    <w:t xml:space="preserve">pdates to </w:t>
                  </w:r>
                  <w:r w:rsidR="001A27B3" w:rsidRPr="00971DE6">
                    <w:rPr>
                      <w:rFonts w:eastAsia="Arial" w:cs="Arial"/>
                      <w:szCs w:val="22"/>
                      <w:lang w:val="en-US"/>
                    </w:rPr>
                    <w:t>a</w:t>
                  </w:r>
                  <w:r w:rsidRPr="00971DE6">
                    <w:rPr>
                      <w:rFonts w:eastAsia="Arial" w:cs="Arial"/>
                      <w:szCs w:val="22"/>
                      <w:lang w:val="en-US"/>
                    </w:rPr>
                    <w:t xml:space="preserve">dvice for </w:t>
                  </w:r>
                  <w:r w:rsidR="00620AD7" w:rsidRPr="00971DE6">
                    <w:rPr>
                      <w:rFonts w:eastAsia="Arial" w:cs="Arial"/>
                      <w:szCs w:val="22"/>
                      <w:lang w:val="en-US"/>
                    </w:rPr>
                    <w:t xml:space="preserve">COVID-19 </w:t>
                  </w:r>
                  <w:r w:rsidR="001658D8" w:rsidRPr="00971DE6">
                    <w:rPr>
                      <w:rFonts w:eastAsia="Arial" w:cs="Arial"/>
                      <w:szCs w:val="22"/>
                      <w:lang w:val="en-US"/>
                    </w:rPr>
                    <w:t>vaccination</w:t>
                  </w:r>
                  <w:r w:rsidR="00A72CA9" w:rsidRPr="00971DE6">
                    <w:rPr>
                      <w:rFonts w:eastAsia="Arial" w:cs="Arial"/>
                      <w:szCs w:val="22"/>
                      <w:lang w:val="en-US"/>
                    </w:rPr>
                    <w:t xml:space="preserve"> and </w:t>
                  </w:r>
                  <w:r w:rsidR="00EA2C30">
                    <w:rPr>
                      <w:rFonts w:eastAsia="Arial" w:cs="Arial"/>
                      <w:szCs w:val="22"/>
                      <w:lang w:val="en-US"/>
                    </w:rPr>
                    <w:t>i</w:t>
                  </w:r>
                  <w:r w:rsidR="00A72CA9" w:rsidRPr="00971DE6">
                    <w:rPr>
                      <w:rFonts w:eastAsia="Arial" w:cs="Arial"/>
                      <w:szCs w:val="22"/>
                      <w:lang w:val="en-US"/>
                    </w:rPr>
                    <w:t xml:space="preserve">nfection </w:t>
                  </w:r>
                  <w:r w:rsidR="00EA2C30">
                    <w:rPr>
                      <w:rFonts w:eastAsia="Arial" w:cs="Arial"/>
                      <w:szCs w:val="22"/>
                      <w:lang w:val="en-US"/>
                    </w:rPr>
                    <w:t>p</w:t>
                  </w:r>
                  <w:r w:rsidR="00A72CA9" w:rsidRPr="00971DE6">
                    <w:rPr>
                      <w:rFonts w:eastAsia="Arial" w:cs="Arial"/>
                      <w:szCs w:val="22"/>
                      <w:lang w:val="en-US"/>
                    </w:rPr>
                    <w:t xml:space="preserve">revention and </w:t>
                  </w:r>
                  <w:r w:rsidR="00EA2C30">
                    <w:rPr>
                      <w:rFonts w:eastAsia="Arial" w:cs="Arial"/>
                      <w:szCs w:val="22"/>
                      <w:lang w:val="en-US"/>
                    </w:rPr>
                    <w:t>c</w:t>
                  </w:r>
                  <w:r w:rsidR="00A72CA9" w:rsidRPr="00971DE6">
                    <w:rPr>
                      <w:rFonts w:eastAsia="Arial" w:cs="Arial"/>
                      <w:szCs w:val="22"/>
                      <w:lang w:val="en-US"/>
                    </w:rPr>
                    <w:t>ontrol</w:t>
                  </w:r>
                  <w:r w:rsidR="00EA2C30">
                    <w:rPr>
                      <w:rFonts w:eastAsia="Arial" w:cs="Arial"/>
                      <w:szCs w:val="22"/>
                      <w:lang w:val="en-US"/>
                    </w:rPr>
                    <w:t>,</w:t>
                  </w:r>
                  <w:r w:rsidR="001A27B3" w:rsidRPr="00971DE6">
                    <w:rPr>
                      <w:rFonts w:eastAsia="Arial" w:cs="Arial"/>
                      <w:szCs w:val="22"/>
                      <w:lang w:val="en-US"/>
                    </w:rPr>
                    <w:t xml:space="preserve"> and references</w:t>
                  </w:r>
                  <w:r w:rsidR="00FC78B6" w:rsidRPr="00971DE6">
                    <w:rPr>
                      <w:rFonts w:eastAsia="Arial" w:cs="Arial"/>
                      <w:szCs w:val="22"/>
                      <w:lang w:val="en-US"/>
                    </w:rPr>
                    <w:t>. I</w:t>
                  </w:r>
                  <w:r w:rsidR="00172388" w:rsidRPr="00971DE6">
                    <w:rPr>
                      <w:rFonts w:eastAsia="Arial" w:cs="Arial"/>
                      <w:szCs w:val="22"/>
                      <w:lang w:val="en-US"/>
                    </w:rPr>
                    <w:t xml:space="preserve">ntegration of </w:t>
                  </w:r>
                  <w:r w:rsidR="00E40AEB" w:rsidRPr="00971DE6">
                    <w:rPr>
                      <w:rFonts w:eastAsia="Arial" w:cs="Arial"/>
                      <w:szCs w:val="22"/>
                      <w:lang w:val="en-US"/>
                    </w:rPr>
                    <w:t xml:space="preserve">advice for </w:t>
                  </w:r>
                  <w:r w:rsidR="00FC78B6" w:rsidRPr="00971DE6">
                    <w:rPr>
                      <w:rFonts w:eastAsia="Arial" w:cs="Arial"/>
                      <w:szCs w:val="22"/>
                      <w:lang w:val="en-US"/>
                    </w:rPr>
                    <w:t xml:space="preserve">management of </w:t>
                  </w:r>
                  <w:r w:rsidRPr="00971DE6">
                    <w:rPr>
                      <w:rFonts w:eastAsia="Arial" w:cs="Arial"/>
                      <w:szCs w:val="22"/>
                      <w:lang w:val="en-US"/>
                    </w:rPr>
                    <w:t>visitors</w:t>
                  </w:r>
                  <w:r w:rsidR="00E83985" w:rsidRPr="00971DE6">
                    <w:rPr>
                      <w:rFonts w:eastAsia="Arial" w:cs="Arial"/>
                      <w:szCs w:val="22"/>
                      <w:lang w:val="en-US"/>
                    </w:rPr>
                    <w:t xml:space="preserve"> to facilities</w:t>
                  </w:r>
                  <w:r w:rsidR="00FC78B6" w:rsidRPr="00971DE6">
                    <w:rPr>
                      <w:rFonts w:eastAsia="Arial" w:cs="Arial"/>
                      <w:szCs w:val="22"/>
                      <w:lang w:val="en-US"/>
                    </w:rPr>
                    <w:t>.</w:t>
                  </w:r>
                </w:p>
              </w:tc>
              <w:tc>
                <w:tcPr>
                  <w:tcW w:w="2200" w:type="dxa"/>
                </w:tcPr>
                <w:p w14:paraId="51431955" w14:textId="6AEFE224" w:rsidR="009727AC" w:rsidRPr="00971DE6" w:rsidRDefault="00FC78B6" w:rsidP="006D203D">
                  <w:pPr>
                    <w:pStyle w:val="Tabletext"/>
                  </w:pPr>
                  <w:r w:rsidRPr="00971DE6">
                    <w:t>7</w:t>
                  </w:r>
                  <w:r w:rsidR="001658D8" w:rsidRPr="00971DE6">
                    <w:t xml:space="preserve"> March 2023</w:t>
                  </w:r>
                </w:p>
              </w:tc>
            </w:tr>
            <w:tr w:rsidR="006D203D" w:rsidRPr="00C072F4" w14:paraId="00AD16FD" w14:textId="77777777" w:rsidTr="00FC2527">
              <w:trPr>
                <w:trHeight w:val="697"/>
              </w:trPr>
              <w:tc>
                <w:tcPr>
                  <w:tcW w:w="2011" w:type="dxa"/>
                </w:tcPr>
                <w:p w14:paraId="32A5FC3A" w14:textId="4B240174" w:rsidR="00383CB5" w:rsidRPr="00971DE6" w:rsidRDefault="00383CB5" w:rsidP="006D203D">
                  <w:pPr>
                    <w:pStyle w:val="Tabletext"/>
                  </w:pPr>
                  <w:r w:rsidRPr="00971DE6">
                    <w:t>Version 3.0</w:t>
                  </w:r>
                </w:p>
              </w:tc>
              <w:tc>
                <w:tcPr>
                  <w:tcW w:w="4887" w:type="dxa"/>
                </w:tcPr>
                <w:p w14:paraId="0A0DBC44" w14:textId="4BD9CF2D" w:rsidR="00383CB5" w:rsidRPr="00971DE6" w:rsidRDefault="00383CB5" w:rsidP="006F313A">
                  <w:pPr>
                    <w:pStyle w:val="Tablebullet1"/>
                    <w:rPr>
                      <w:rFonts w:eastAsia="Arial"/>
                      <w:lang w:val="en-US"/>
                    </w:rPr>
                  </w:pPr>
                  <w:r w:rsidRPr="00971DE6">
                    <w:rPr>
                      <w:rFonts w:eastAsia="Arial"/>
                      <w:lang w:val="en-US"/>
                    </w:rPr>
                    <w:t>Mask</w:t>
                  </w:r>
                  <w:r w:rsidR="00EF1854" w:rsidRPr="00971DE6">
                    <w:rPr>
                      <w:rFonts w:eastAsia="Arial"/>
                      <w:lang w:val="en-US"/>
                    </w:rPr>
                    <w:t xml:space="preserve"> and </w:t>
                  </w:r>
                  <w:r w:rsidR="00CE54D6" w:rsidRPr="00971DE6">
                    <w:rPr>
                      <w:rFonts w:eastAsia="Arial"/>
                      <w:lang w:val="en-US"/>
                    </w:rPr>
                    <w:t>respirator</w:t>
                  </w:r>
                  <w:r w:rsidRPr="00971DE6">
                    <w:rPr>
                      <w:rFonts w:eastAsia="Arial"/>
                      <w:lang w:val="en-US"/>
                    </w:rPr>
                    <w:t xml:space="preserve"> wearing, testing and return to </w:t>
                  </w:r>
                  <w:r w:rsidR="00EF1854" w:rsidRPr="00971DE6">
                    <w:rPr>
                      <w:rFonts w:eastAsia="Arial"/>
                      <w:lang w:val="en-US"/>
                    </w:rPr>
                    <w:t>work</w:t>
                  </w:r>
                  <w:r w:rsidRPr="00971DE6">
                    <w:rPr>
                      <w:rFonts w:eastAsia="Arial"/>
                      <w:lang w:val="en-US"/>
                    </w:rPr>
                    <w:t xml:space="preserve"> advice updated to reflect the recommendations of the COVID-19 </w:t>
                  </w:r>
                  <w:r w:rsidR="4940A58C" w:rsidRPr="00971DE6">
                    <w:rPr>
                      <w:rFonts w:eastAsia="Arial"/>
                      <w:lang w:val="en-US"/>
                    </w:rPr>
                    <w:t xml:space="preserve">Management </w:t>
                  </w:r>
                  <w:r w:rsidRPr="00971DE6">
                    <w:rPr>
                      <w:rFonts w:eastAsia="Arial"/>
                      <w:lang w:val="en-US"/>
                    </w:rPr>
                    <w:t>E</w:t>
                  </w:r>
                  <w:r w:rsidR="00C04200" w:rsidRPr="00971DE6">
                    <w:rPr>
                      <w:rFonts w:eastAsia="Arial"/>
                      <w:lang w:val="en-US"/>
                    </w:rPr>
                    <w:t>xpert Advisory Group</w:t>
                  </w:r>
                  <w:r w:rsidR="00660397">
                    <w:rPr>
                      <w:rFonts w:eastAsia="Arial"/>
                      <w:lang w:val="en-US"/>
                    </w:rPr>
                    <w:t>.</w:t>
                  </w:r>
                </w:p>
                <w:p w14:paraId="7F6213D6" w14:textId="5BC5BC68" w:rsidR="00EF1854" w:rsidRPr="00971DE6" w:rsidRDefault="006E6844" w:rsidP="006F313A">
                  <w:pPr>
                    <w:pStyle w:val="Tablebullet1"/>
                    <w:rPr>
                      <w:rFonts w:eastAsia="Arial"/>
                      <w:lang w:val="en-US"/>
                    </w:rPr>
                  </w:pPr>
                  <w:r w:rsidRPr="00971DE6">
                    <w:rPr>
                      <w:rFonts w:eastAsia="Arial"/>
                    </w:rPr>
                    <w:t>RSV vaccin</w:t>
                  </w:r>
                  <w:r w:rsidR="009B43E1" w:rsidRPr="00971DE6">
                    <w:rPr>
                      <w:rFonts w:eastAsia="Arial"/>
                    </w:rPr>
                    <w:t>es update</w:t>
                  </w:r>
                  <w:r w:rsidR="00660397">
                    <w:rPr>
                      <w:rFonts w:eastAsia="Arial"/>
                    </w:rPr>
                    <w:t>.</w:t>
                  </w:r>
                </w:p>
                <w:p w14:paraId="24CA0FF1" w14:textId="1F077021" w:rsidR="00EF1854" w:rsidRPr="00971DE6" w:rsidRDefault="00EF1854" w:rsidP="006F313A">
                  <w:pPr>
                    <w:pStyle w:val="Tablebullet1"/>
                    <w:rPr>
                      <w:rFonts w:eastAsia="Arial"/>
                      <w:szCs w:val="22"/>
                      <w:lang w:val="en-US"/>
                    </w:rPr>
                  </w:pPr>
                  <w:r w:rsidRPr="00971DE6">
                    <w:rPr>
                      <w:rFonts w:eastAsia="Arial"/>
                      <w:szCs w:val="22"/>
                      <w:lang w:val="en-US"/>
                    </w:rPr>
                    <w:t>Links to staff testing and visitor restriction guiding principles resources included.</w:t>
                  </w:r>
                </w:p>
              </w:tc>
              <w:tc>
                <w:tcPr>
                  <w:tcW w:w="2200" w:type="dxa"/>
                </w:tcPr>
                <w:p w14:paraId="76D26657" w14:textId="294422BF" w:rsidR="00383CB5" w:rsidRPr="00971DE6" w:rsidRDefault="00C04200" w:rsidP="006D203D">
                  <w:pPr>
                    <w:pStyle w:val="Tabletext"/>
                  </w:pPr>
                  <w:r w:rsidRPr="00971DE6">
                    <w:t>February 2024</w:t>
                  </w:r>
                </w:p>
              </w:tc>
            </w:tr>
            <w:tr w:rsidR="00081990" w:rsidRPr="00C072F4" w14:paraId="15A1EBEA" w14:textId="77777777" w:rsidTr="00FC2527">
              <w:trPr>
                <w:trHeight w:val="697"/>
              </w:trPr>
              <w:tc>
                <w:tcPr>
                  <w:tcW w:w="2011" w:type="dxa"/>
                </w:tcPr>
                <w:p w14:paraId="7435D123" w14:textId="36DC96E3" w:rsidR="00081990" w:rsidRPr="00971DE6" w:rsidRDefault="00081990" w:rsidP="006D203D">
                  <w:pPr>
                    <w:pStyle w:val="Tabletext"/>
                  </w:pPr>
                  <w:r>
                    <w:t>Version 3.1</w:t>
                  </w:r>
                </w:p>
              </w:tc>
              <w:tc>
                <w:tcPr>
                  <w:tcW w:w="4887" w:type="dxa"/>
                </w:tcPr>
                <w:p w14:paraId="1633E22A" w14:textId="7DEDD2AD" w:rsidR="006F313A" w:rsidRPr="006F313A" w:rsidRDefault="006F313A" w:rsidP="006F313A">
                  <w:pPr>
                    <w:pStyle w:val="Tablebullet1"/>
                    <w:rPr>
                      <w:rFonts w:eastAsia="Arial" w:cs="Arial"/>
                      <w:lang w:val="en-US"/>
                    </w:rPr>
                  </w:pPr>
                  <w:r>
                    <w:rPr>
                      <w:rFonts w:eastAsia="Arial"/>
                    </w:rPr>
                    <w:t>Corrected</w:t>
                  </w:r>
                  <w:r w:rsidR="00081990">
                    <w:rPr>
                      <w:rFonts w:eastAsia="Arial"/>
                    </w:rPr>
                    <w:t xml:space="preserve"> </w:t>
                  </w:r>
                  <w:r w:rsidR="003066FB" w:rsidRPr="003066FB">
                    <w:rPr>
                      <w:rFonts w:eastAsia="Arial"/>
                    </w:rPr>
                    <w:t xml:space="preserve">return to work </w:t>
                  </w:r>
                  <w:r>
                    <w:rPr>
                      <w:rFonts w:eastAsia="Arial"/>
                    </w:rPr>
                    <w:t>advice</w:t>
                  </w:r>
                  <w:r w:rsidR="00660397">
                    <w:rPr>
                      <w:rFonts w:eastAsia="Arial"/>
                    </w:rPr>
                    <w:t>.</w:t>
                  </w:r>
                </w:p>
                <w:p w14:paraId="3CC27626" w14:textId="27B8352E" w:rsidR="006F313A" w:rsidRPr="006F313A" w:rsidRDefault="006F313A" w:rsidP="006F313A">
                  <w:pPr>
                    <w:pStyle w:val="Tablebullet1"/>
                    <w:rPr>
                      <w:rFonts w:eastAsia="Arial" w:cs="Arial"/>
                      <w:lang w:val="en-US"/>
                    </w:rPr>
                  </w:pPr>
                  <w:r>
                    <w:rPr>
                      <w:rFonts w:eastAsia="Arial"/>
                    </w:rPr>
                    <w:t xml:space="preserve">Updated advice re </w:t>
                  </w:r>
                  <w:r w:rsidR="000501AD">
                    <w:rPr>
                      <w:rFonts w:eastAsia="Arial"/>
                    </w:rPr>
                    <w:t>sourcing PPE and RATs</w:t>
                  </w:r>
                  <w:r w:rsidR="00660397">
                    <w:rPr>
                      <w:rFonts w:eastAsia="Arial"/>
                    </w:rPr>
                    <w:t>.</w:t>
                  </w:r>
                </w:p>
                <w:p w14:paraId="4FA52B78" w14:textId="60DCE2C7" w:rsidR="00081990" w:rsidRPr="00971DE6" w:rsidRDefault="006F313A" w:rsidP="006F313A">
                  <w:pPr>
                    <w:pStyle w:val="Tablebullet1"/>
                    <w:rPr>
                      <w:rFonts w:eastAsia="Arial" w:cs="Arial"/>
                      <w:lang w:val="en-US"/>
                    </w:rPr>
                  </w:pPr>
                  <w:r>
                    <w:rPr>
                      <w:rFonts w:eastAsia="Arial"/>
                    </w:rPr>
                    <w:t>Updated resource links</w:t>
                  </w:r>
                  <w:r w:rsidR="00660397">
                    <w:rPr>
                      <w:rFonts w:eastAsia="Arial"/>
                    </w:rPr>
                    <w:t>.</w:t>
                  </w:r>
                </w:p>
              </w:tc>
              <w:tc>
                <w:tcPr>
                  <w:tcW w:w="2200" w:type="dxa"/>
                </w:tcPr>
                <w:p w14:paraId="0E8168E6" w14:textId="1696D322" w:rsidR="00081990" w:rsidRPr="00971DE6" w:rsidRDefault="00671C03" w:rsidP="006D203D">
                  <w:pPr>
                    <w:pStyle w:val="Tabletext"/>
                  </w:pPr>
                  <w:r>
                    <w:t>April 2024</w:t>
                  </w:r>
                </w:p>
              </w:tc>
            </w:tr>
          </w:tbl>
          <w:p w14:paraId="232E0745" w14:textId="3552705F" w:rsidR="004F0406" w:rsidRPr="00C072F4" w:rsidRDefault="004F0406" w:rsidP="00C072F4">
            <w:pPr>
              <w:pStyle w:val="Body"/>
            </w:pPr>
            <w:r w:rsidRPr="00C072F4">
              <w:t xml:space="preserve">Created: </w:t>
            </w:r>
            <w:r w:rsidR="00C04200" w:rsidRPr="00C072F4">
              <w:t>February 2024</w:t>
            </w:r>
            <w:r w:rsidR="00EA2C30">
              <w:t xml:space="preserve"> (minor corrections April 2024)</w:t>
            </w:r>
          </w:p>
          <w:p w14:paraId="3732A5D0" w14:textId="63114580" w:rsidR="00A35A12" w:rsidRPr="00C072F4" w:rsidRDefault="004F0406" w:rsidP="00C072F4">
            <w:pPr>
              <w:pStyle w:val="Body"/>
            </w:pPr>
            <w:r w:rsidRPr="00C072F4">
              <w:t xml:space="preserve">Date valid to: </w:t>
            </w:r>
            <w:r w:rsidR="00C04200" w:rsidRPr="00C072F4">
              <w:t>February 2027</w:t>
            </w:r>
            <w:r w:rsidR="00C072F4">
              <w:t xml:space="preserve"> </w:t>
            </w:r>
            <w:r w:rsidRPr="00C072F4">
              <w:t>(Standard: 36 Months after last update)</w:t>
            </w:r>
          </w:p>
        </w:tc>
      </w:tr>
      <w:tr w:rsidR="009F2182" w:rsidRPr="0014515B" w14:paraId="76752C26" w14:textId="77777777" w:rsidTr="00BA37B8">
        <w:trPr>
          <w:cantSplit/>
          <w:trHeight w:val="3061"/>
        </w:trPr>
        <w:tc>
          <w:tcPr>
            <w:tcW w:w="0" w:type="auto"/>
            <w:vAlign w:val="bottom"/>
          </w:tcPr>
          <w:p w14:paraId="5838E16B" w14:textId="57B0A786" w:rsidR="00254CCB" w:rsidRPr="00BA37B8" w:rsidRDefault="00254CCB" w:rsidP="00BA37B8">
            <w:pPr>
              <w:pStyle w:val="Accessibilitypara"/>
            </w:pPr>
            <w:r w:rsidRPr="00BA37B8">
              <w:t xml:space="preserve">To receive this document in another format, phone 1300 651 160 using the National Relay Service 13 36 77 if required, or </w:t>
            </w:r>
            <w:hyperlink r:id="rId15" w:history="1">
              <w:r w:rsidRPr="00815839">
                <w:rPr>
                  <w:rStyle w:val="Hyperlink"/>
                </w:rPr>
                <w:t>email</w:t>
              </w:r>
              <w:r w:rsidR="00147AB2" w:rsidRPr="00815839">
                <w:rPr>
                  <w:rStyle w:val="Hyperlink"/>
                </w:rPr>
                <w:t xml:space="preserve"> </w:t>
              </w:r>
              <w:r w:rsidR="00815839" w:rsidRPr="00815839">
                <w:rPr>
                  <w:rStyle w:val="Hyperlink"/>
                </w:rPr>
                <w:t>Communicable Diseases</w:t>
              </w:r>
            </w:hyperlink>
            <w:r w:rsidR="00815839">
              <w:t xml:space="preserve"> &lt;</w:t>
            </w:r>
            <w:r w:rsidR="00815839" w:rsidRPr="00815839">
              <w:t>infectious.diseases@health.vic.gov.au</w:t>
            </w:r>
            <w:r w:rsidR="00815839">
              <w:t>&gt;.</w:t>
            </w:r>
          </w:p>
          <w:p w14:paraId="192C9CB7" w14:textId="00F7F414" w:rsidR="009F2182" w:rsidRPr="00BA37B8" w:rsidRDefault="009F2182" w:rsidP="00BA37B8">
            <w:pPr>
              <w:pStyle w:val="Imprint"/>
            </w:pPr>
            <w:r w:rsidRPr="00BA37B8">
              <w:t>Authorised and published by the Victorian Government, 1 Tr</w:t>
            </w:r>
            <w:r w:rsidR="00147AB2" w:rsidRPr="00BA37B8">
              <w:t>e</w:t>
            </w:r>
            <w:r w:rsidRPr="00BA37B8">
              <w:t>asury Place, Melbourne.</w:t>
            </w:r>
          </w:p>
          <w:p w14:paraId="5F84DFF6" w14:textId="43E4B558" w:rsidR="009F2182" w:rsidRPr="00BA37B8" w:rsidRDefault="009F2182" w:rsidP="00BA37B8">
            <w:pPr>
              <w:pStyle w:val="Imprint"/>
            </w:pPr>
            <w:r w:rsidRPr="00BA37B8">
              <w:t xml:space="preserve">© State of Victoria, Australia, Department of </w:t>
            </w:r>
            <w:r w:rsidR="00D76ECC" w:rsidRPr="00BA37B8">
              <w:t>Health</w:t>
            </w:r>
            <w:r w:rsidRPr="00BA37B8">
              <w:t xml:space="preserve">, </w:t>
            </w:r>
            <w:r w:rsidR="00927C72" w:rsidRPr="00BA37B8">
              <w:t>February 2024</w:t>
            </w:r>
          </w:p>
          <w:p w14:paraId="7AA34585" w14:textId="2590220D" w:rsidR="009F2182" w:rsidRPr="00BA37B8" w:rsidRDefault="009F2182" w:rsidP="00BA37B8">
            <w:pPr>
              <w:pStyle w:val="Imprint"/>
            </w:pPr>
            <w:bookmarkStart w:id="3" w:name="_Hlk62746129"/>
            <w:r w:rsidRPr="00BA37B8">
              <w:t xml:space="preserve">ISBN/ISSN </w:t>
            </w:r>
            <w:r w:rsidR="00CF4479" w:rsidRPr="00BA37B8">
              <w:rPr>
                <w:rStyle w:val="normaltextrun"/>
              </w:rPr>
              <w:t xml:space="preserve">978-1-76131-001-0 </w:t>
            </w:r>
            <w:r w:rsidRPr="00BA37B8">
              <w:t>(online/PDF/Word) or (print)</w:t>
            </w:r>
          </w:p>
          <w:p w14:paraId="29427AFE" w14:textId="2A5B5DB6" w:rsidR="009F2182" w:rsidRPr="0014515B" w:rsidRDefault="00254CCB" w:rsidP="00BA37B8">
            <w:pPr>
              <w:pStyle w:val="Imprint"/>
            </w:pPr>
            <w:r w:rsidRPr="00BA37B8">
              <w:t xml:space="preserve">Available at </w:t>
            </w:r>
            <w:hyperlink r:id="rId16" w:history="1">
              <w:r w:rsidR="00872FFC" w:rsidRPr="00872FFC">
                <w:rPr>
                  <w:rStyle w:val="Hyperlink"/>
                </w:rPr>
                <w:t>Acute respiratory infection management in residential care facilities</w:t>
              </w:r>
            </w:hyperlink>
            <w:r w:rsidRPr="00BA37B8">
              <w:t xml:space="preserve"> </w:t>
            </w:r>
            <w:r w:rsidRPr="00BA37B8">
              <w:rPr>
                <w:rStyle w:val="normaltextrun"/>
              </w:rPr>
              <w:t>&lt;</w:t>
            </w:r>
            <w:r w:rsidR="00872FFC" w:rsidRPr="00872FFC">
              <w:rPr>
                <w:rStyle w:val="normaltextrun"/>
              </w:rPr>
              <w:t>https://www.health.vic.gov.au/infectious-diseases/acute-respiratory-infection-management-rcf</w:t>
            </w:r>
            <w:r w:rsidRPr="00BA37B8">
              <w:rPr>
                <w:rStyle w:val="normaltextrun"/>
              </w:rPr>
              <w:t>&gt;</w:t>
            </w:r>
            <w:bookmarkEnd w:id="3"/>
            <w:r w:rsidR="00872FFC">
              <w:rPr>
                <w:rStyle w:val="normaltextrun"/>
              </w:rPr>
              <w:t>.</w:t>
            </w:r>
          </w:p>
        </w:tc>
      </w:tr>
    </w:tbl>
    <w:p w14:paraId="66D934D9" w14:textId="77777777" w:rsidR="0008204A" w:rsidRPr="0014515B" w:rsidRDefault="0008204A" w:rsidP="0008204A">
      <w:pPr>
        <w:pStyle w:val="Body"/>
      </w:pPr>
      <w:r w:rsidRPr="0014515B">
        <w:br w:type="page"/>
      </w:r>
    </w:p>
    <w:p w14:paraId="35CD45AB" w14:textId="34D997C9" w:rsidR="00AD784C" w:rsidRPr="0014515B" w:rsidRDefault="00AD784C" w:rsidP="002365B4">
      <w:pPr>
        <w:pStyle w:val="TOCheadingreport"/>
      </w:pPr>
      <w:r w:rsidRPr="0014515B">
        <w:lastRenderedPageBreak/>
        <w:t>Contents</w:t>
      </w:r>
    </w:p>
    <w:p w14:paraId="6502C027" w14:textId="5441E546" w:rsidR="00A8337E" w:rsidRDefault="00AD784C">
      <w:pPr>
        <w:pStyle w:val="TOC1"/>
        <w:rPr>
          <w:rFonts w:asciiTheme="minorHAnsi" w:eastAsiaTheme="minorEastAsia" w:hAnsiTheme="minorHAnsi" w:cstheme="minorBidi"/>
          <w:b w:val="0"/>
          <w:kern w:val="2"/>
          <w:sz w:val="24"/>
          <w:szCs w:val="24"/>
          <w:lang w:eastAsia="en-AU"/>
          <w14:ligatures w14:val="standardContextual"/>
        </w:rPr>
      </w:pPr>
      <w:r w:rsidRPr="006F493F">
        <w:fldChar w:fldCharType="begin"/>
      </w:r>
      <w:r w:rsidRPr="0014515B">
        <w:instrText xml:space="preserve"> TOC \h \z \t "Heading 1,1,Heading 2,2" </w:instrText>
      </w:r>
      <w:r w:rsidRPr="006F493F">
        <w:fldChar w:fldCharType="separate"/>
      </w:r>
      <w:hyperlink w:anchor="_Toc163573579" w:history="1">
        <w:r w:rsidR="00A8337E" w:rsidRPr="00187F5D">
          <w:rPr>
            <w:rStyle w:val="Hyperlink"/>
          </w:rPr>
          <w:t>Executive Summary</w:t>
        </w:r>
        <w:r w:rsidR="00A8337E">
          <w:rPr>
            <w:webHidden/>
          </w:rPr>
          <w:tab/>
        </w:r>
        <w:r w:rsidR="00A8337E">
          <w:rPr>
            <w:webHidden/>
          </w:rPr>
          <w:fldChar w:fldCharType="begin"/>
        </w:r>
        <w:r w:rsidR="00A8337E">
          <w:rPr>
            <w:webHidden/>
          </w:rPr>
          <w:instrText xml:space="preserve"> PAGEREF _Toc163573579 \h </w:instrText>
        </w:r>
        <w:r w:rsidR="00A8337E">
          <w:rPr>
            <w:webHidden/>
          </w:rPr>
        </w:r>
        <w:r w:rsidR="00A8337E">
          <w:rPr>
            <w:webHidden/>
          </w:rPr>
          <w:fldChar w:fldCharType="separate"/>
        </w:r>
        <w:r w:rsidR="00A8337E">
          <w:rPr>
            <w:webHidden/>
          </w:rPr>
          <w:t>5</w:t>
        </w:r>
        <w:r w:rsidR="00A8337E">
          <w:rPr>
            <w:webHidden/>
          </w:rPr>
          <w:fldChar w:fldCharType="end"/>
        </w:r>
      </w:hyperlink>
    </w:p>
    <w:p w14:paraId="35927C33" w14:textId="030E6C75" w:rsidR="00A8337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3573580" w:history="1">
        <w:r w:rsidR="00A8337E" w:rsidRPr="00187F5D">
          <w:rPr>
            <w:rStyle w:val="Hyperlink"/>
          </w:rPr>
          <w:t>Key acronyms and abbreviations</w:t>
        </w:r>
        <w:r w:rsidR="00A8337E">
          <w:rPr>
            <w:webHidden/>
          </w:rPr>
          <w:tab/>
        </w:r>
        <w:r w:rsidR="00A8337E">
          <w:rPr>
            <w:webHidden/>
          </w:rPr>
          <w:fldChar w:fldCharType="begin"/>
        </w:r>
        <w:r w:rsidR="00A8337E">
          <w:rPr>
            <w:webHidden/>
          </w:rPr>
          <w:instrText xml:space="preserve"> PAGEREF _Toc163573580 \h </w:instrText>
        </w:r>
        <w:r w:rsidR="00A8337E">
          <w:rPr>
            <w:webHidden/>
          </w:rPr>
        </w:r>
        <w:r w:rsidR="00A8337E">
          <w:rPr>
            <w:webHidden/>
          </w:rPr>
          <w:fldChar w:fldCharType="separate"/>
        </w:r>
        <w:r w:rsidR="00A8337E">
          <w:rPr>
            <w:webHidden/>
          </w:rPr>
          <w:t>6</w:t>
        </w:r>
        <w:r w:rsidR="00A8337E">
          <w:rPr>
            <w:webHidden/>
          </w:rPr>
          <w:fldChar w:fldCharType="end"/>
        </w:r>
      </w:hyperlink>
    </w:p>
    <w:p w14:paraId="4FB376CF" w14:textId="15B6C79A"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581" w:history="1">
        <w:r w:rsidR="00A8337E" w:rsidRPr="00187F5D">
          <w:rPr>
            <w:rStyle w:val="Hyperlink"/>
          </w:rPr>
          <w:t>1.</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Introduction</w:t>
        </w:r>
        <w:r w:rsidR="00A8337E">
          <w:rPr>
            <w:webHidden/>
          </w:rPr>
          <w:tab/>
        </w:r>
        <w:r w:rsidR="00A8337E">
          <w:rPr>
            <w:webHidden/>
          </w:rPr>
          <w:fldChar w:fldCharType="begin"/>
        </w:r>
        <w:r w:rsidR="00A8337E">
          <w:rPr>
            <w:webHidden/>
          </w:rPr>
          <w:instrText xml:space="preserve"> PAGEREF _Toc163573581 \h </w:instrText>
        </w:r>
        <w:r w:rsidR="00A8337E">
          <w:rPr>
            <w:webHidden/>
          </w:rPr>
        </w:r>
        <w:r w:rsidR="00A8337E">
          <w:rPr>
            <w:webHidden/>
          </w:rPr>
          <w:fldChar w:fldCharType="separate"/>
        </w:r>
        <w:r w:rsidR="00A8337E">
          <w:rPr>
            <w:webHidden/>
          </w:rPr>
          <w:t>7</w:t>
        </w:r>
        <w:r w:rsidR="00A8337E">
          <w:rPr>
            <w:webHidden/>
          </w:rPr>
          <w:fldChar w:fldCharType="end"/>
        </w:r>
      </w:hyperlink>
    </w:p>
    <w:p w14:paraId="32E1CB93" w14:textId="28041124"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82" w:history="1">
        <w:r w:rsidR="00A8337E" w:rsidRPr="00187F5D">
          <w:rPr>
            <w:rStyle w:val="Hyperlink"/>
          </w:rPr>
          <w:t>Purpose</w:t>
        </w:r>
        <w:r w:rsidR="00A8337E">
          <w:rPr>
            <w:webHidden/>
          </w:rPr>
          <w:tab/>
        </w:r>
        <w:r w:rsidR="00A8337E">
          <w:rPr>
            <w:webHidden/>
          </w:rPr>
          <w:fldChar w:fldCharType="begin"/>
        </w:r>
        <w:r w:rsidR="00A8337E">
          <w:rPr>
            <w:webHidden/>
          </w:rPr>
          <w:instrText xml:space="preserve"> PAGEREF _Toc163573582 \h </w:instrText>
        </w:r>
        <w:r w:rsidR="00A8337E">
          <w:rPr>
            <w:webHidden/>
          </w:rPr>
        </w:r>
        <w:r w:rsidR="00A8337E">
          <w:rPr>
            <w:webHidden/>
          </w:rPr>
          <w:fldChar w:fldCharType="separate"/>
        </w:r>
        <w:r w:rsidR="00A8337E">
          <w:rPr>
            <w:webHidden/>
          </w:rPr>
          <w:t>7</w:t>
        </w:r>
        <w:r w:rsidR="00A8337E">
          <w:rPr>
            <w:webHidden/>
          </w:rPr>
          <w:fldChar w:fldCharType="end"/>
        </w:r>
      </w:hyperlink>
    </w:p>
    <w:p w14:paraId="1B4BA138" w14:textId="1AE741AB"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83" w:history="1">
        <w:r w:rsidR="00A8337E" w:rsidRPr="00187F5D">
          <w:rPr>
            <w:rStyle w:val="Hyperlink"/>
          </w:rPr>
          <w:t>Scope</w:t>
        </w:r>
        <w:r w:rsidR="00A8337E">
          <w:rPr>
            <w:webHidden/>
          </w:rPr>
          <w:tab/>
        </w:r>
        <w:r w:rsidR="00A8337E">
          <w:rPr>
            <w:webHidden/>
          </w:rPr>
          <w:fldChar w:fldCharType="begin"/>
        </w:r>
        <w:r w:rsidR="00A8337E">
          <w:rPr>
            <w:webHidden/>
          </w:rPr>
          <w:instrText xml:space="preserve"> PAGEREF _Toc163573583 \h </w:instrText>
        </w:r>
        <w:r w:rsidR="00A8337E">
          <w:rPr>
            <w:webHidden/>
          </w:rPr>
        </w:r>
        <w:r w:rsidR="00A8337E">
          <w:rPr>
            <w:webHidden/>
          </w:rPr>
          <w:fldChar w:fldCharType="separate"/>
        </w:r>
        <w:r w:rsidR="00A8337E">
          <w:rPr>
            <w:webHidden/>
          </w:rPr>
          <w:t>7</w:t>
        </w:r>
        <w:r w:rsidR="00A8337E">
          <w:rPr>
            <w:webHidden/>
          </w:rPr>
          <w:fldChar w:fldCharType="end"/>
        </w:r>
      </w:hyperlink>
    </w:p>
    <w:p w14:paraId="3F749A84" w14:textId="439C9874"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84" w:history="1">
        <w:r w:rsidR="00A8337E" w:rsidRPr="00187F5D">
          <w:rPr>
            <w:rStyle w:val="Hyperlink"/>
          </w:rPr>
          <w:t>Why are we concerned about respiratory outbreaks in RCFs?</w:t>
        </w:r>
        <w:r w:rsidR="00A8337E">
          <w:rPr>
            <w:webHidden/>
          </w:rPr>
          <w:tab/>
        </w:r>
        <w:r w:rsidR="00A8337E">
          <w:rPr>
            <w:webHidden/>
          </w:rPr>
          <w:fldChar w:fldCharType="begin"/>
        </w:r>
        <w:r w:rsidR="00A8337E">
          <w:rPr>
            <w:webHidden/>
          </w:rPr>
          <w:instrText xml:space="preserve"> PAGEREF _Toc163573584 \h </w:instrText>
        </w:r>
        <w:r w:rsidR="00A8337E">
          <w:rPr>
            <w:webHidden/>
          </w:rPr>
        </w:r>
        <w:r w:rsidR="00A8337E">
          <w:rPr>
            <w:webHidden/>
          </w:rPr>
          <w:fldChar w:fldCharType="separate"/>
        </w:r>
        <w:r w:rsidR="00A8337E">
          <w:rPr>
            <w:webHidden/>
          </w:rPr>
          <w:t>7</w:t>
        </w:r>
        <w:r w:rsidR="00A8337E">
          <w:rPr>
            <w:webHidden/>
          </w:rPr>
          <w:fldChar w:fldCharType="end"/>
        </w:r>
      </w:hyperlink>
    </w:p>
    <w:p w14:paraId="77588421" w14:textId="126A5F1A"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85" w:history="1">
        <w:r w:rsidR="00A8337E" w:rsidRPr="00187F5D">
          <w:rPr>
            <w:rStyle w:val="Hyperlink"/>
          </w:rPr>
          <w:t>Objectives of the public health response</w:t>
        </w:r>
        <w:r w:rsidR="00A8337E">
          <w:rPr>
            <w:webHidden/>
          </w:rPr>
          <w:tab/>
        </w:r>
        <w:r w:rsidR="00A8337E">
          <w:rPr>
            <w:webHidden/>
          </w:rPr>
          <w:fldChar w:fldCharType="begin"/>
        </w:r>
        <w:r w:rsidR="00A8337E">
          <w:rPr>
            <w:webHidden/>
          </w:rPr>
          <w:instrText xml:space="preserve"> PAGEREF _Toc163573585 \h </w:instrText>
        </w:r>
        <w:r w:rsidR="00A8337E">
          <w:rPr>
            <w:webHidden/>
          </w:rPr>
        </w:r>
        <w:r w:rsidR="00A8337E">
          <w:rPr>
            <w:webHidden/>
          </w:rPr>
          <w:fldChar w:fldCharType="separate"/>
        </w:r>
        <w:r w:rsidR="00A8337E">
          <w:rPr>
            <w:webHidden/>
          </w:rPr>
          <w:t>8</w:t>
        </w:r>
        <w:r w:rsidR="00A8337E">
          <w:rPr>
            <w:webHidden/>
          </w:rPr>
          <w:fldChar w:fldCharType="end"/>
        </w:r>
      </w:hyperlink>
    </w:p>
    <w:p w14:paraId="19D1DF73" w14:textId="154747D3"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86" w:history="1">
        <w:r w:rsidR="00A8337E" w:rsidRPr="00187F5D">
          <w:rPr>
            <w:rStyle w:val="Hyperlink"/>
          </w:rPr>
          <w:t>Key principles</w:t>
        </w:r>
        <w:r w:rsidR="00A8337E">
          <w:rPr>
            <w:webHidden/>
          </w:rPr>
          <w:tab/>
        </w:r>
        <w:r w:rsidR="00A8337E">
          <w:rPr>
            <w:webHidden/>
          </w:rPr>
          <w:fldChar w:fldCharType="begin"/>
        </w:r>
        <w:r w:rsidR="00A8337E">
          <w:rPr>
            <w:webHidden/>
          </w:rPr>
          <w:instrText xml:space="preserve"> PAGEREF _Toc163573586 \h </w:instrText>
        </w:r>
        <w:r w:rsidR="00A8337E">
          <w:rPr>
            <w:webHidden/>
          </w:rPr>
        </w:r>
        <w:r w:rsidR="00A8337E">
          <w:rPr>
            <w:webHidden/>
          </w:rPr>
          <w:fldChar w:fldCharType="separate"/>
        </w:r>
        <w:r w:rsidR="00A8337E">
          <w:rPr>
            <w:webHidden/>
          </w:rPr>
          <w:t>8</w:t>
        </w:r>
        <w:r w:rsidR="00A8337E">
          <w:rPr>
            <w:webHidden/>
          </w:rPr>
          <w:fldChar w:fldCharType="end"/>
        </w:r>
      </w:hyperlink>
    </w:p>
    <w:p w14:paraId="23760330" w14:textId="277B1907"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87" w:history="1">
        <w:r w:rsidR="00A8337E" w:rsidRPr="00187F5D">
          <w:rPr>
            <w:rStyle w:val="Hyperlink"/>
          </w:rPr>
          <w:t>Legal</w:t>
        </w:r>
        <w:r w:rsidR="00A8337E">
          <w:rPr>
            <w:webHidden/>
          </w:rPr>
          <w:tab/>
        </w:r>
        <w:r w:rsidR="00A8337E">
          <w:rPr>
            <w:webHidden/>
          </w:rPr>
          <w:fldChar w:fldCharType="begin"/>
        </w:r>
        <w:r w:rsidR="00A8337E">
          <w:rPr>
            <w:webHidden/>
          </w:rPr>
          <w:instrText xml:space="preserve"> PAGEREF _Toc163573587 \h </w:instrText>
        </w:r>
        <w:r w:rsidR="00A8337E">
          <w:rPr>
            <w:webHidden/>
          </w:rPr>
        </w:r>
        <w:r w:rsidR="00A8337E">
          <w:rPr>
            <w:webHidden/>
          </w:rPr>
          <w:fldChar w:fldCharType="separate"/>
        </w:r>
        <w:r w:rsidR="00A8337E">
          <w:rPr>
            <w:webHidden/>
          </w:rPr>
          <w:t>8</w:t>
        </w:r>
        <w:r w:rsidR="00A8337E">
          <w:rPr>
            <w:webHidden/>
          </w:rPr>
          <w:fldChar w:fldCharType="end"/>
        </w:r>
      </w:hyperlink>
    </w:p>
    <w:p w14:paraId="01651C10" w14:textId="6D462AEF"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588" w:history="1">
        <w:r w:rsidR="00A8337E" w:rsidRPr="00187F5D">
          <w:rPr>
            <w:rStyle w:val="Hyperlink"/>
          </w:rPr>
          <w:t>2.</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Prevention and preparedness</w:t>
        </w:r>
        <w:r w:rsidR="00A8337E">
          <w:rPr>
            <w:webHidden/>
          </w:rPr>
          <w:tab/>
        </w:r>
        <w:r w:rsidR="00A8337E">
          <w:rPr>
            <w:webHidden/>
          </w:rPr>
          <w:fldChar w:fldCharType="begin"/>
        </w:r>
        <w:r w:rsidR="00A8337E">
          <w:rPr>
            <w:webHidden/>
          </w:rPr>
          <w:instrText xml:space="preserve"> PAGEREF _Toc163573588 \h </w:instrText>
        </w:r>
        <w:r w:rsidR="00A8337E">
          <w:rPr>
            <w:webHidden/>
          </w:rPr>
        </w:r>
        <w:r w:rsidR="00A8337E">
          <w:rPr>
            <w:webHidden/>
          </w:rPr>
          <w:fldChar w:fldCharType="separate"/>
        </w:r>
        <w:r w:rsidR="00A8337E">
          <w:rPr>
            <w:webHidden/>
          </w:rPr>
          <w:t>10</w:t>
        </w:r>
        <w:r w:rsidR="00A8337E">
          <w:rPr>
            <w:webHidden/>
          </w:rPr>
          <w:fldChar w:fldCharType="end"/>
        </w:r>
      </w:hyperlink>
    </w:p>
    <w:p w14:paraId="1EF23A34" w14:textId="69DB8FF2"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89" w:history="1">
        <w:r w:rsidR="00A8337E" w:rsidRPr="00187F5D">
          <w:rPr>
            <w:rStyle w:val="Hyperlink"/>
          </w:rPr>
          <w:t>Developing the Outbreak Management Plan</w:t>
        </w:r>
        <w:r w:rsidR="00A8337E">
          <w:rPr>
            <w:webHidden/>
          </w:rPr>
          <w:tab/>
        </w:r>
        <w:r w:rsidR="00A8337E">
          <w:rPr>
            <w:webHidden/>
          </w:rPr>
          <w:fldChar w:fldCharType="begin"/>
        </w:r>
        <w:r w:rsidR="00A8337E">
          <w:rPr>
            <w:webHidden/>
          </w:rPr>
          <w:instrText xml:space="preserve"> PAGEREF _Toc163573589 \h </w:instrText>
        </w:r>
        <w:r w:rsidR="00A8337E">
          <w:rPr>
            <w:webHidden/>
          </w:rPr>
        </w:r>
        <w:r w:rsidR="00A8337E">
          <w:rPr>
            <w:webHidden/>
          </w:rPr>
          <w:fldChar w:fldCharType="separate"/>
        </w:r>
        <w:r w:rsidR="00A8337E">
          <w:rPr>
            <w:webHidden/>
          </w:rPr>
          <w:t>10</w:t>
        </w:r>
        <w:r w:rsidR="00A8337E">
          <w:rPr>
            <w:webHidden/>
          </w:rPr>
          <w:fldChar w:fldCharType="end"/>
        </w:r>
      </w:hyperlink>
    </w:p>
    <w:p w14:paraId="4DAF8CB2" w14:textId="506B6242"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0" w:history="1">
        <w:r w:rsidR="00A8337E" w:rsidRPr="00187F5D">
          <w:rPr>
            <w:rStyle w:val="Hyperlink"/>
          </w:rPr>
          <w:t>Vaccination</w:t>
        </w:r>
        <w:r w:rsidR="00A8337E">
          <w:rPr>
            <w:webHidden/>
          </w:rPr>
          <w:tab/>
        </w:r>
        <w:r w:rsidR="00A8337E">
          <w:rPr>
            <w:webHidden/>
          </w:rPr>
          <w:fldChar w:fldCharType="begin"/>
        </w:r>
        <w:r w:rsidR="00A8337E">
          <w:rPr>
            <w:webHidden/>
          </w:rPr>
          <w:instrText xml:space="preserve"> PAGEREF _Toc163573590 \h </w:instrText>
        </w:r>
        <w:r w:rsidR="00A8337E">
          <w:rPr>
            <w:webHidden/>
          </w:rPr>
        </w:r>
        <w:r w:rsidR="00A8337E">
          <w:rPr>
            <w:webHidden/>
          </w:rPr>
          <w:fldChar w:fldCharType="separate"/>
        </w:r>
        <w:r w:rsidR="00A8337E">
          <w:rPr>
            <w:webHidden/>
          </w:rPr>
          <w:t>11</w:t>
        </w:r>
        <w:r w:rsidR="00A8337E">
          <w:rPr>
            <w:webHidden/>
          </w:rPr>
          <w:fldChar w:fldCharType="end"/>
        </w:r>
      </w:hyperlink>
    </w:p>
    <w:p w14:paraId="62B569A8" w14:textId="343BDC23"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1" w:history="1">
        <w:r w:rsidR="00A8337E" w:rsidRPr="00187F5D">
          <w:rPr>
            <w:rStyle w:val="Hyperlink"/>
          </w:rPr>
          <w:t>Air quality and ventilation</w:t>
        </w:r>
        <w:r w:rsidR="00A8337E">
          <w:rPr>
            <w:webHidden/>
          </w:rPr>
          <w:tab/>
        </w:r>
        <w:r w:rsidR="00A8337E">
          <w:rPr>
            <w:webHidden/>
          </w:rPr>
          <w:fldChar w:fldCharType="begin"/>
        </w:r>
        <w:r w:rsidR="00A8337E">
          <w:rPr>
            <w:webHidden/>
          </w:rPr>
          <w:instrText xml:space="preserve"> PAGEREF _Toc163573591 \h </w:instrText>
        </w:r>
        <w:r w:rsidR="00A8337E">
          <w:rPr>
            <w:webHidden/>
          </w:rPr>
        </w:r>
        <w:r w:rsidR="00A8337E">
          <w:rPr>
            <w:webHidden/>
          </w:rPr>
          <w:fldChar w:fldCharType="separate"/>
        </w:r>
        <w:r w:rsidR="00A8337E">
          <w:rPr>
            <w:webHidden/>
          </w:rPr>
          <w:t>12</w:t>
        </w:r>
        <w:r w:rsidR="00A8337E">
          <w:rPr>
            <w:webHidden/>
          </w:rPr>
          <w:fldChar w:fldCharType="end"/>
        </w:r>
      </w:hyperlink>
    </w:p>
    <w:p w14:paraId="64A34438" w14:textId="5742B555"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2" w:history="1">
        <w:r w:rsidR="00A8337E" w:rsidRPr="00187F5D">
          <w:rPr>
            <w:rStyle w:val="Hyperlink"/>
          </w:rPr>
          <w:t>Masks and respirators</w:t>
        </w:r>
        <w:r w:rsidR="00A8337E">
          <w:rPr>
            <w:webHidden/>
          </w:rPr>
          <w:tab/>
        </w:r>
        <w:r w:rsidR="00A8337E">
          <w:rPr>
            <w:webHidden/>
          </w:rPr>
          <w:fldChar w:fldCharType="begin"/>
        </w:r>
        <w:r w:rsidR="00A8337E">
          <w:rPr>
            <w:webHidden/>
          </w:rPr>
          <w:instrText xml:space="preserve"> PAGEREF _Toc163573592 \h </w:instrText>
        </w:r>
        <w:r w:rsidR="00A8337E">
          <w:rPr>
            <w:webHidden/>
          </w:rPr>
        </w:r>
        <w:r w:rsidR="00A8337E">
          <w:rPr>
            <w:webHidden/>
          </w:rPr>
          <w:fldChar w:fldCharType="separate"/>
        </w:r>
        <w:r w:rsidR="00A8337E">
          <w:rPr>
            <w:webHidden/>
          </w:rPr>
          <w:t>13</w:t>
        </w:r>
        <w:r w:rsidR="00A8337E">
          <w:rPr>
            <w:webHidden/>
          </w:rPr>
          <w:fldChar w:fldCharType="end"/>
        </w:r>
      </w:hyperlink>
    </w:p>
    <w:p w14:paraId="667D11A7" w14:textId="34AE72E7"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3" w:history="1">
        <w:r w:rsidR="00A8337E" w:rsidRPr="00187F5D">
          <w:rPr>
            <w:rStyle w:val="Hyperlink"/>
          </w:rPr>
          <w:t>Antiviral treatment and prophylaxis</w:t>
        </w:r>
        <w:r w:rsidR="00A8337E">
          <w:rPr>
            <w:webHidden/>
          </w:rPr>
          <w:tab/>
        </w:r>
        <w:r w:rsidR="00A8337E">
          <w:rPr>
            <w:webHidden/>
          </w:rPr>
          <w:fldChar w:fldCharType="begin"/>
        </w:r>
        <w:r w:rsidR="00A8337E">
          <w:rPr>
            <w:webHidden/>
          </w:rPr>
          <w:instrText xml:space="preserve"> PAGEREF _Toc163573593 \h </w:instrText>
        </w:r>
        <w:r w:rsidR="00A8337E">
          <w:rPr>
            <w:webHidden/>
          </w:rPr>
        </w:r>
        <w:r w:rsidR="00A8337E">
          <w:rPr>
            <w:webHidden/>
          </w:rPr>
          <w:fldChar w:fldCharType="separate"/>
        </w:r>
        <w:r w:rsidR="00A8337E">
          <w:rPr>
            <w:webHidden/>
          </w:rPr>
          <w:t>14</w:t>
        </w:r>
        <w:r w:rsidR="00A8337E">
          <w:rPr>
            <w:webHidden/>
          </w:rPr>
          <w:fldChar w:fldCharType="end"/>
        </w:r>
      </w:hyperlink>
    </w:p>
    <w:p w14:paraId="671B106D" w14:textId="31679BF7"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4" w:history="1">
        <w:r w:rsidR="00A8337E" w:rsidRPr="00187F5D">
          <w:rPr>
            <w:rStyle w:val="Hyperlink"/>
          </w:rPr>
          <w:t>Testing</w:t>
        </w:r>
        <w:r w:rsidR="00A8337E">
          <w:rPr>
            <w:webHidden/>
          </w:rPr>
          <w:tab/>
        </w:r>
        <w:r w:rsidR="00A8337E">
          <w:rPr>
            <w:webHidden/>
          </w:rPr>
          <w:fldChar w:fldCharType="begin"/>
        </w:r>
        <w:r w:rsidR="00A8337E">
          <w:rPr>
            <w:webHidden/>
          </w:rPr>
          <w:instrText xml:space="preserve"> PAGEREF _Toc163573594 \h </w:instrText>
        </w:r>
        <w:r w:rsidR="00A8337E">
          <w:rPr>
            <w:webHidden/>
          </w:rPr>
        </w:r>
        <w:r w:rsidR="00A8337E">
          <w:rPr>
            <w:webHidden/>
          </w:rPr>
          <w:fldChar w:fldCharType="separate"/>
        </w:r>
        <w:r w:rsidR="00A8337E">
          <w:rPr>
            <w:webHidden/>
          </w:rPr>
          <w:t>14</w:t>
        </w:r>
        <w:r w:rsidR="00A8337E">
          <w:rPr>
            <w:webHidden/>
          </w:rPr>
          <w:fldChar w:fldCharType="end"/>
        </w:r>
      </w:hyperlink>
    </w:p>
    <w:p w14:paraId="145220DC" w14:textId="468A5346"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5" w:history="1">
        <w:r w:rsidR="00A8337E" w:rsidRPr="00187F5D">
          <w:rPr>
            <w:rStyle w:val="Hyperlink"/>
          </w:rPr>
          <w:t>Education and practice</w:t>
        </w:r>
        <w:r w:rsidR="00A8337E">
          <w:rPr>
            <w:webHidden/>
          </w:rPr>
          <w:tab/>
        </w:r>
        <w:r w:rsidR="00A8337E">
          <w:rPr>
            <w:webHidden/>
          </w:rPr>
          <w:fldChar w:fldCharType="begin"/>
        </w:r>
        <w:r w:rsidR="00A8337E">
          <w:rPr>
            <w:webHidden/>
          </w:rPr>
          <w:instrText xml:space="preserve"> PAGEREF _Toc163573595 \h </w:instrText>
        </w:r>
        <w:r w:rsidR="00A8337E">
          <w:rPr>
            <w:webHidden/>
          </w:rPr>
        </w:r>
        <w:r w:rsidR="00A8337E">
          <w:rPr>
            <w:webHidden/>
          </w:rPr>
          <w:fldChar w:fldCharType="separate"/>
        </w:r>
        <w:r w:rsidR="00A8337E">
          <w:rPr>
            <w:webHidden/>
          </w:rPr>
          <w:t>15</w:t>
        </w:r>
        <w:r w:rsidR="00A8337E">
          <w:rPr>
            <w:webHidden/>
          </w:rPr>
          <w:fldChar w:fldCharType="end"/>
        </w:r>
      </w:hyperlink>
    </w:p>
    <w:p w14:paraId="2DC343AE" w14:textId="53EF99E8"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6" w:history="1">
        <w:r w:rsidR="00A8337E" w:rsidRPr="00187F5D">
          <w:rPr>
            <w:rStyle w:val="Hyperlink"/>
          </w:rPr>
          <w:t>Workforce planning</w:t>
        </w:r>
        <w:r w:rsidR="00A8337E">
          <w:rPr>
            <w:webHidden/>
          </w:rPr>
          <w:tab/>
        </w:r>
        <w:r w:rsidR="00A8337E">
          <w:rPr>
            <w:webHidden/>
          </w:rPr>
          <w:fldChar w:fldCharType="begin"/>
        </w:r>
        <w:r w:rsidR="00A8337E">
          <w:rPr>
            <w:webHidden/>
          </w:rPr>
          <w:instrText xml:space="preserve"> PAGEREF _Toc163573596 \h </w:instrText>
        </w:r>
        <w:r w:rsidR="00A8337E">
          <w:rPr>
            <w:webHidden/>
          </w:rPr>
        </w:r>
        <w:r w:rsidR="00A8337E">
          <w:rPr>
            <w:webHidden/>
          </w:rPr>
          <w:fldChar w:fldCharType="separate"/>
        </w:r>
        <w:r w:rsidR="00A8337E">
          <w:rPr>
            <w:webHidden/>
          </w:rPr>
          <w:t>16</w:t>
        </w:r>
        <w:r w:rsidR="00A8337E">
          <w:rPr>
            <w:webHidden/>
          </w:rPr>
          <w:fldChar w:fldCharType="end"/>
        </w:r>
      </w:hyperlink>
    </w:p>
    <w:p w14:paraId="3708470C" w14:textId="031C157A"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7" w:history="1">
        <w:r w:rsidR="00A8337E" w:rsidRPr="00187F5D">
          <w:rPr>
            <w:rStyle w:val="Hyperlink"/>
          </w:rPr>
          <w:t>Visitors to Residential Care Facilities</w:t>
        </w:r>
        <w:r w:rsidR="00A8337E">
          <w:rPr>
            <w:webHidden/>
          </w:rPr>
          <w:tab/>
        </w:r>
        <w:r w:rsidR="00A8337E">
          <w:rPr>
            <w:webHidden/>
          </w:rPr>
          <w:fldChar w:fldCharType="begin"/>
        </w:r>
        <w:r w:rsidR="00A8337E">
          <w:rPr>
            <w:webHidden/>
          </w:rPr>
          <w:instrText xml:space="preserve"> PAGEREF _Toc163573597 \h </w:instrText>
        </w:r>
        <w:r w:rsidR="00A8337E">
          <w:rPr>
            <w:webHidden/>
          </w:rPr>
        </w:r>
        <w:r w:rsidR="00A8337E">
          <w:rPr>
            <w:webHidden/>
          </w:rPr>
          <w:fldChar w:fldCharType="separate"/>
        </w:r>
        <w:r w:rsidR="00A8337E">
          <w:rPr>
            <w:webHidden/>
          </w:rPr>
          <w:t>16</w:t>
        </w:r>
        <w:r w:rsidR="00A8337E">
          <w:rPr>
            <w:webHidden/>
          </w:rPr>
          <w:fldChar w:fldCharType="end"/>
        </w:r>
      </w:hyperlink>
    </w:p>
    <w:p w14:paraId="539A7338" w14:textId="24716D8C"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8" w:history="1">
        <w:r w:rsidR="00A8337E" w:rsidRPr="00187F5D">
          <w:rPr>
            <w:rStyle w:val="Hyperlink"/>
          </w:rPr>
          <w:t>Communication</w:t>
        </w:r>
        <w:r w:rsidR="00A8337E">
          <w:rPr>
            <w:webHidden/>
          </w:rPr>
          <w:tab/>
        </w:r>
        <w:r w:rsidR="00A8337E">
          <w:rPr>
            <w:webHidden/>
          </w:rPr>
          <w:fldChar w:fldCharType="begin"/>
        </w:r>
        <w:r w:rsidR="00A8337E">
          <w:rPr>
            <w:webHidden/>
          </w:rPr>
          <w:instrText xml:space="preserve"> PAGEREF _Toc163573598 \h </w:instrText>
        </w:r>
        <w:r w:rsidR="00A8337E">
          <w:rPr>
            <w:webHidden/>
          </w:rPr>
        </w:r>
        <w:r w:rsidR="00A8337E">
          <w:rPr>
            <w:webHidden/>
          </w:rPr>
          <w:fldChar w:fldCharType="separate"/>
        </w:r>
        <w:r w:rsidR="00A8337E">
          <w:rPr>
            <w:webHidden/>
          </w:rPr>
          <w:t>18</w:t>
        </w:r>
        <w:r w:rsidR="00A8337E">
          <w:rPr>
            <w:webHidden/>
          </w:rPr>
          <w:fldChar w:fldCharType="end"/>
        </w:r>
      </w:hyperlink>
    </w:p>
    <w:p w14:paraId="67431FB5" w14:textId="6C9225B6"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599" w:history="1">
        <w:r w:rsidR="00A8337E" w:rsidRPr="00187F5D">
          <w:rPr>
            <w:rStyle w:val="Hyperlink"/>
          </w:rPr>
          <w:t>Stock levels</w:t>
        </w:r>
        <w:r w:rsidR="00A8337E">
          <w:rPr>
            <w:webHidden/>
          </w:rPr>
          <w:tab/>
        </w:r>
        <w:r w:rsidR="00A8337E">
          <w:rPr>
            <w:webHidden/>
          </w:rPr>
          <w:fldChar w:fldCharType="begin"/>
        </w:r>
        <w:r w:rsidR="00A8337E">
          <w:rPr>
            <w:webHidden/>
          </w:rPr>
          <w:instrText xml:space="preserve"> PAGEREF _Toc163573599 \h </w:instrText>
        </w:r>
        <w:r w:rsidR="00A8337E">
          <w:rPr>
            <w:webHidden/>
          </w:rPr>
        </w:r>
        <w:r w:rsidR="00A8337E">
          <w:rPr>
            <w:webHidden/>
          </w:rPr>
          <w:fldChar w:fldCharType="separate"/>
        </w:r>
        <w:r w:rsidR="00A8337E">
          <w:rPr>
            <w:webHidden/>
          </w:rPr>
          <w:t>19</w:t>
        </w:r>
        <w:r w:rsidR="00A8337E">
          <w:rPr>
            <w:webHidden/>
          </w:rPr>
          <w:fldChar w:fldCharType="end"/>
        </w:r>
      </w:hyperlink>
    </w:p>
    <w:p w14:paraId="15243FF8" w14:textId="40CE5A8E"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00" w:history="1">
        <w:r w:rsidR="00A8337E" w:rsidRPr="00187F5D">
          <w:rPr>
            <w:rStyle w:val="Hyperlink"/>
          </w:rPr>
          <w:t>Cleaning</w:t>
        </w:r>
        <w:r w:rsidR="00A8337E">
          <w:rPr>
            <w:webHidden/>
          </w:rPr>
          <w:tab/>
        </w:r>
        <w:r w:rsidR="00A8337E">
          <w:rPr>
            <w:webHidden/>
          </w:rPr>
          <w:fldChar w:fldCharType="begin"/>
        </w:r>
        <w:r w:rsidR="00A8337E">
          <w:rPr>
            <w:webHidden/>
          </w:rPr>
          <w:instrText xml:space="preserve"> PAGEREF _Toc163573600 \h </w:instrText>
        </w:r>
        <w:r w:rsidR="00A8337E">
          <w:rPr>
            <w:webHidden/>
          </w:rPr>
        </w:r>
        <w:r w:rsidR="00A8337E">
          <w:rPr>
            <w:webHidden/>
          </w:rPr>
          <w:fldChar w:fldCharType="separate"/>
        </w:r>
        <w:r w:rsidR="00A8337E">
          <w:rPr>
            <w:webHidden/>
          </w:rPr>
          <w:t>19</w:t>
        </w:r>
        <w:r w:rsidR="00A8337E">
          <w:rPr>
            <w:webHidden/>
          </w:rPr>
          <w:fldChar w:fldCharType="end"/>
        </w:r>
      </w:hyperlink>
    </w:p>
    <w:p w14:paraId="2AB6BF13" w14:textId="431FC79D"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01" w:history="1">
        <w:r w:rsidR="00A8337E" w:rsidRPr="00187F5D">
          <w:rPr>
            <w:rStyle w:val="Hyperlink"/>
          </w:rPr>
          <w:t>Waste management</w:t>
        </w:r>
        <w:r w:rsidR="00A8337E">
          <w:rPr>
            <w:webHidden/>
          </w:rPr>
          <w:tab/>
        </w:r>
        <w:r w:rsidR="00A8337E">
          <w:rPr>
            <w:webHidden/>
          </w:rPr>
          <w:fldChar w:fldCharType="begin"/>
        </w:r>
        <w:r w:rsidR="00A8337E">
          <w:rPr>
            <w:webHidden/>
          </w:rPr>
          <w:instrText xml:space="preserve"> PAGEREF _Toc163573601 \h </w:instrText>
        </w:r>
        <w:r w:rsidR="00A8337E">
          <w:rPr>
            <w:webHidden/>
          </w:rPr>
        </w:r>
        <w:r w:rsidR="00A8337E">
          <w:rPr>
            <w:webHidden/>
          </w:rPr>
          <w:fldChar w:fldCharType="separate"/>
        </w:r>
        <w:r w:rsidR="00A8337E">
          <w:rPr>
            <w:webHidden/>
          </w:rPr>
          <w:t>20</w:t>
        </w:r>
        <w:r w:rsidR="00A8337E">
          <w:rPr>
            <w:webHidden/>
          </w:rPr>
          <w:fldChar w:fldCharType="end"/>
        </w:r>
      </w:hyperlink>
    </w:p>
    <w:p w14:paraId="3FCCF54C" w14:textId="0B40887C"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02" w:history="1">
        <w:r w:rsidR="00A8337E" w:rsidRPr="00187F5D">
          <w:rPr>
            <w:rStyle w:val="Hyperlink"/>
          </w:rPr>
          <w:t>Review other IPC measures</w:t>
        </w:r>
        <w:r w:rsidR="00A8337E">
          <w:rPr>
            <w:webHidden/>
          </w:rPr>
          <w:tab/>
        </w:r>
        <w:r w:rsidR="00A8337E">
          <w:rPr>
            <w:webHidden/>
          </w:rPr>
          <w:fldChar w:fldCharType="begin"/>
        </w:r>
        <w:r w:rsidR="00A8337E">
          <w:rPr>
            <w:webHidden/>
          </w:rPr>
          <w:instrText xml:space="preserve"> PAGEREF _Toc163573602 \h </w:instrText>
        </w:r>
        <w:r w:rsidR="00A8337E">
          <w:rPr>
            <w:webHidden/>
          </w:rPr>
        </w:r>
        <w:r w:rsidR="00A8337E">
          <w:rPr>
            <w:webHidden/>
          </w:rPr>
          <w:fldChar w:fldCharType="separate"/>
        </w:r>
        <w:r w:rsidR="00A8337E">
          <w:rPr>
            <w:webHidden/>
          </w:rPr>
          <w:t>20</w:t>
        </w:r>
        <w:r w:rsidR="00A8337E">
          <w:rPr>
            <w:webHidden/>
          </w:rPr>
          <w:fldChar w:fldCharType="end"/>
        </w:r>
      </w:hyperlink>
    </w:p>
    <w:p w14:paraId="34EB43B2" w14:textId="206395E1"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603" w:history="1">
        <w:r w:rsidR="00A8337E" w:rsidRPr="00187F5D">
          <w:rPr>
            <w:rStyle w:val="Hyperlink"/>
          </w:rPr>
          <w:t>3.</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Understanding COVID-19 and influenza</w:t>
        </w:r>
        <w:r w:rsidR="00A8337E">
          <w:rPr>
            <w:webHidden/>
          </w:rPr>
          <w:tab/>
        </w:r>
        <w:r w:rsidR="00A8337E">
          <w:rPr>
            <w:webHidden/>
          </w:rPr>
          <w:fldChar w:fldCharType="begin"/>
        </w:r>
        <w:r w:rsidR="00A8337E">
          <w:rPr>
            <w:webHidden/>
          </w:rPr>
          <w:instrText xml:space="preserve"> PAGEREF _Toc163573603 \h </w:instrText>
        </w:r>
        <w:r w:rsidR="00A8337E">
          <w:rPr>
            <w:webHidden/>
          </w:rPr>
        </w:r>
        <w:r w:rsidR="00A8337E">
          <w:rPr>
            <w:webHidden/>
          </w:rPr>
          <w:fldChar w:fldCharType="separate"/>
        </w:r>
        <w:r w:rsidR="00A8337E">
          <w:rPr>
            <w:webHidden/>
          </w:rPr>
          <w:t>22</w:t>
        </w:r>
        <w:r w:rsidR="00A8337E">
          <w:rPr>
            <w:webHidden/>
          </w:rPr>
          <w:fldChar w:fldCharType="end"/>
        </w:r>
      </w:hyperlink>
    </w:p>
    <w:p w14:paraId="4090CA66" w14:textId="36B33934"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04" w:history="1">
        <w:r w:rsidR="00A8337E" w:rsidRPr="00187F5D">
          <w:rPr>
            <w:rStyle w:val="Hyperlink"/>
          </w:rPr>
          <w:t>Clinical presentation of ARI</w:t>
        </w:r>
        <w:r w:rsidR="00A8337E">
          <w:rPr>
            <w:webHidden/>
          </w:rPr>
          <w:tab/>
        </w:r>
        <w:r w:rsidR="00A8337E">
          <w:rPr>
            <w:webHidden/>
          </w:rPr>
          <w:fldChar w:fldCharType="begin"/>
        </w:r>
        <w:r w:rsidR="00A8337E">
          <w:rPr>
            <w:webHidden/>
          </w:rPr>
          <w:instrText xml:space="preserve"> PAGEREF _Toc163573604 \h </w:instrText>
        </w:r>
        <w:r w:rsidR="00A8337E">
          <w:rPr>
            <w:webHidden/>
          </w:rPr>
        </w:r>
        <w:r w:rsidR="00A8337E">
          <w:rPr>
            <w:webHidden/>
          </w:rPr>
          <w:fldChar w:fldCharType="separate"/>
        </w:r>
        <w:r w:rsidR="00A8337E">
          <w:rPr>
            <w:webHidden/>
          </w:rPr>
          <w:t>22</w:t>
        </w:r>
        <w:r w:rsidR="00A8337E">
          <w:rPr>
            <w:webHidden/>
          </w:rPr>
          <w:fldChar w:fldCharType="end"/>
        </w:r>
      </w:hyperlink>
    </w:p>
    <w:p w14:paraId="0DB17084" w14:textId="4EB5E123"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05" w:history="1">
        <w:r w:rsidR="00A8337E" w:rsidRPr="00187F5D">
          <w:rPr>
            <w:rStyle w:val="Hyperlink"/>
          </w:rPr>
          <w:t>People at increased risk for severe disease</w:t>
        </w:r>
        <w:r w:rsidR="00A8337E">
          <w:rPr>
            <w:webHidden/>
          </w:rPr>
          <w:tab/>
        </w:r>
        <w:r w:rsidR="00A8337E">
          <w:rPr>
            <w:webHidden/>
          </w:rPr>
          <w:fldChar w:fldCharType="begin"/>
        </w:r>
        <w:r w:rsidR="00A8337E">
          <w:rPr>
            <w:webHidden/>
          </w:rPr>
          <w:instrText xml:space="preserve"> PAGEREF _Toc163573605 \h </w:instrText>
        </w:r>
        <w:r w:rsidR="00A8337E">
          <w:rPr>
            <w:webHidden/>
          </w:rPr>
        </w:r>
        <w:r w:rsidR="00A8337E">
          <w:rPr>
            <w:webHidden/>
          </w:rPr>
          <w:fldChar w:fldCharType="separate"/>
        </w:r>
        <w:r w:rsidR="00A8337E">
          <w:rPr>
            <w:webHidden/>
          </w:rPr>
          <w:t>22</w:t>
        </w:r>
        <w:r w:rsidR="00A8337E">
          <w:rPr>
            <w:webHidden/>
          </w:rPr>
          <w:fldChar w:fldCharType="end"/>
        </w:r>
      </w:hyperlink>
    </w:p>
    <w:p w14:paraId="6B363A0A" w14:textId="15540984"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606" w:history="1">
        <w:r w:rsidR="00A8337E" w:rsidRPr="00187F5D">
          <w:rPr>
            <w:rStyle w:val="Hyperlink"/>
          </w:rPr>
          <w:t>4.</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Case, contact, exposure, and outbreak definitions</w:t>
        </w:r>
        <w:r w:rsidR="00A8337E">
          <w:rPr>
            <w:webHidden/>
          </w:rPr>
          <w:tab/>
        </w:r>
        <w:r w:rsidR="00A8337E">
          <w:rPr>
            <w:webHidden/>
          </w:rPr>
          <w:fldChar w:fldCharType="begin"/>
        </w:r>
        <w:r w:rsidR="00A8337E">
          <w:rPr>
            <w:webHidden/>
          </w:rPr>
          <w:instrText xml:space="preserve"> PAGEREF _Toc163573606 \h </w:instrText>
        </w:r>
        <w:r w:rsidR="00A8337E">
          <w:rPr>
            <w:webHidden/>
          </w:rPr>
        </w:r>
        <w:r w:rsidR="00A8337E">
          <w:rPr>
            <w:webHidden/>
          </w:rPr>
          <w:fldChar w:fldCharType="separate"/>
        </w:r>
        <w:r w:rsidR="00A8337E">
          <w:rPr>
            <w:webHidden/>
          </w:rPr>
          <w:t>24</w:t>
        </w:r>
        <w:r w:rsidR="00A8337E">
          <w:rPr>
            <w:webHidden/>
          </w:rPr>
          <w:fldChar w:fldCharType="end"/>
        </w:r>
      </w:hyperlink>
    </w:p>
    <w:p w14:paraId="1A5D736B" w14:textId="5327D6E6"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607" w:history="1">
        <w:r w:rsidR="00A8337E" w:rsidRPr="00187F5D">
          <w:rPr>
            <w:rStyle w:val="Hyperlink"/>
          </w:rPr>
          <w:t>5.</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Detecting and notifying cases and outbreaks</w:t>
        </w:r>
        <w:r w:rsidR="00A8337E">
          <w:rPr>
            <w:webHidden/>
          </w:rPr>
          <w:tab/>
        </w:r>
        <w:r w:rsidR="00A8337E">
          <w:rPr>
            <w:webHidden/>
          </w:rPr>
          <w:fldChar w:fldCharType="begin"/>
        </w:r>
        <w:r w:rsidR="00A8337E">
          <w:rPr>
            <w:webHidden/>
          </w:rPr>
          <w:instrText xml:space="preserve"> PAGEREF _Toc163573607 \h </w:instrText>
        </w:r>
        <w:r w:rsidR="00A8337E">
          <w:rPr>
            <w:webHidden/>
          </w:rPr>
        </w:r>
        <w:r w:rsidR="00A8337E">
          <w:rPr>
            <w:webHidden/>
          </w:rPr>
          <w:fldChar w:fldCharType="separate"/>
        </w:r>
        <w:r w:rsidR="00A8337E">
          <w:rPr>
            <w:webHidden/>
          </w:rPr>
          <w:t>27</w:t>
        </w:r>
        <w:r w:rsidR="00A8337E">
          <w:rPr>
            <w:webHidden/>
          </w:rPr>
          <w:fldChar w:fldCharType="end"/>
        </w:r>
      </w:hyperlink>
    </w:p>
    <w:p w14:paraId="0E218500" w14:textId="18870B6B"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08" w:history="1">
        <w:r w:rsidR="00A8337E" w:rsidRPr="00187F5D">
          <w:rPr>
            <w:rStyle w:val="Hyperlink"/>
          </w:rPr>
          <w:t>Monitor for symptoms</w:t>
        </w:r>
        <w:r w:rsidR="00A8337E">
          <w:rPr>
            <w:webHidden/>
          </w:rPr>
          <w:tab/>
        </w:r>
        <w:r w:rsidR="00A8337E">
          <w:rPr>
            <w:webHidden/>
          </w:rPr>
          <w:fldChar w:fldCharType="begin"/>
        </w:r>
        <w:r w:rsidR="00A8337E">
          <w:rPr>
            <w:webHidden/>
          </w:rPr>
          <w:instrText xml:space="preserve"> PAGEREF _Toc163573608 \h </w:instrText>
        </w:r>
        <w:r w:rsidR="00A8337E">
          <w:rPr>
            <w:webHidden/>
          </w:rPr>
        </w:r>
        <w:r w:rsidR="00A8337E">
          <w:rPr>
            <w:webHidden/>
          </w:rPr>
          <w:fldChar w:fldCharType="separate"/>
        </w:r>
        <w:r w:rsidR="00A8337E">
          <w:rPr>
            <w:webHidden/>
          </w:rPr>
          <w:t>27</w:t>
        </w:r>
        <w:r w:rsidR="00A8337E">
          <w:rPr>
            <w:webHidden/>
          </w:rPr>
          <w:fldChar w:fldCharType="end"/>
        </w:r>
      </w:hyperlink>
    </w:p>
    <w:p w14:paraId="36F7FC29" w14:textId="1847A9E1"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09" w:history="1">
        <w:r w:rsidR="00A8337E" w:rsidRPr="00187F5D">
          <w:rPr>
            <w:rStyle w:val="Hyperlink"/>
          </w:rPr>
          <w:t>Conduct appropriate testing</w:t>
        </w:r>
        <w:r w:rsidR="00A8337E">
          <w:rPr>
            <w:webHidden/>
          </w:rPr>
          <w:tab/>
        </w:r>
        <w:r w:rsidR="00A8337E">
          <w:rPr>
            <w:webHidden/>
          </w:rPr>
          <w:fldChar w:fldCharType="begin"/>
        </w:r>
        <w:r w:rsidR="00A8337E">
          <w:rPr>
            <w:webHidden/>
          </w:rPr>
          <w:instrText xml:space="preserve"> PAGEREF _Toc163573609 \h </w:instrText>
        </w:r>
        <w:r w:rsidR="00A8337E">
          <w:rPr>
            <w:webHidden/>
          </w:rPr>
        </w:r>
        <w:r w:rsidR="00A8337E">
          <w:rPr>
            <w:webHidden/>
          </w:rPr>
          <w:fldChar w:fldCharType="separate"/>
        </w:r>
        <w:r w:rsidR="00A8337E">
          <w:rPr>
            <w:webHidden/>
          </w:rPr>
          <w:t>27</w:t>
        </w:r>
        <w:r w:rsidR="00A8337E">
          <w:rPr>
            <w:webHidden/>
          </w:rPr>
          <w:fldChar w:fldCharType="end"/>
        </w:r>
      </w:hyperlink>
    </w:p>
    <w:p w14:paraId="62917C58" w14:textId="4717D9A7"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10" w:history="1">
        <w:r w:rsidR="00A8337E" w:rsidRPr="00187F5D">
          <w:rPr>
            <w:rStyle w:val="Hyperlink"/>
          </w:rPr>
          <w:t>Notifying cases and outbreaks</w:t>
        </w:r>
        <w:r w:rsidR="00A8337E">
          <w:rPr>
            <w:webHidden/>
          </w:rPr>
          <w:tab/>
        </w:r>
        <w:r w:rsidR="00A8337E">
          <w:rPr>
            <w:webHidden/>
          </w:rPr>
          <w:fldChar w:fldCharType="begin"/>
        </w:r>
        <w:r w:rsidR="00A8337E">
          <w:rPr>
            <w:webHidden/>
          </w:rPr>
          <w:instrText xml:space="preserve"> PAGEREF _Toc163573610 \h </w:instrText>
        </w:r>
        <w:r w:rsidR="00A8337E">
          <w:rPr>
            <w:webHidden/>
          </w:rPr>
        </w:r>
        <w:r w:rsidR="00A8337E">
          <w:rPr>
            <w:webHidden/>
          </w:rPr>
          <w:fldChar w:fldCharType="separate"/>
        </w:r>
        <w:r w:rsidR="00A8337E">
          <w:rPr>
            <w:webHidden/>
          </w:rPr>
          <w:t>27</w:t>
        </w:r>
        <w:r w:rsidR="00A8337E">
          <w:rPr>
            <w:webHidden/>
          </w:rPr>
          <w:fldChar w:fldCharType="end"/>
        </w:r>
      </w:hyperlink>
    </w:p>
    <w:p w14:paraId="025C38CE" w14:textId="7CE5B1B5"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11" w:history="1">
        <w:r w:rsidR="00A8337E" w:rsidRPr="00187F5D">
          <w:rPr>
            <w:rStyle w:val="Hyperlink"/>
          </w:rPr>
          <w:t>Notifying resident and facility GPs</w:t>
        </w:r>
        <w:r w:rsidR="00A8337E">
          <w:rPr>
            <w:webHidden/>
          </w:rPr>
          <w:tab/>
        </w:r>
        <w:r w:rsidR="00A8337E">
          <w:rPr>
            <w:webHidden/>
          </w:rPr>
          <w:fldChar w:fldCharType="begin"/>
        </w:r>
        <w:r w:rsidR="00A8337E">
          <w:rPr>
            <w:webHidden/>
          </w:rPr>
          <w:instrText xml:space="preserve"> PAGEREF _Toc163573611 \h </w:instrText>
        </w:r>
        <w:r w:rsidR="00A8337E">
          <w:rPr>
            <w:webHidden/>
          </w:rPr>
        </w:r>
        <w:r w:rsidR="00A8337E">
          <w:rPr>
            <w:webHidden/>
          </w:rPr>
          <w:fldChar w:fldCharType="separate"/>
        </w:r>
        <w:r w:rsidR="00A8337E">
          <w:rPr>
            <w:webHidden/>
          </w:rPr>
          <w:t>28</w:t>
        </w:r>
        <w:r w:rsidR="00A8337E">
          <w:rPr>
            <w:webHidden/>
          </w:rPr>
          <w:fldChar w:fldCharType="end"/>
        </w:r>
      </w:hyperlink>
    </w:p>
    <w:p w14:paraId="26FBDB7A" w14:textId="69A262B6"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612" w:history="1">
        <w:r w:rsidR="00A8337E" w:rsidRPr="00187F5D">
          <w:rPr>
            <w:rStyle w:val="Hyperlink"/>
          </w:rPr>
          <w:t>6.</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Influenza outbreak and respiratory outbreak management</w:t>
        </w:r>
        <w:r w:rsidR="00A8337E">
          <w:rPr>
            <w:webHidden/>
          </w:rPr>
          <w:tab/>
        </w:r>
        <w:r w:rsidR="00A8337E">
          <w:rPr>
            <w:webHidden/>
          </w:rPr>
          <w:fldChar w:fldCharType="begin"/>
        </w:r>
        <w:r w:rsidR="00A8337E">
          <w:rPr>
            <w:webHidden/>
          </w:rPr>
          <w:instrText xml:space="preserve"> PAGEREF _Toc163573612 \h </w:instrText>
        </w:r>
        <w:r w:rsidR="00A8337E">
          <w:rPr>
            <w:webHidden/>
          </w:rPr>
        </w:r>
        <w:r w:rsidR="00A8337E">
          <w:rPr>
            <w:webHidden/>
          </w:rPr>
          <w:fldChar w:fldCharType="separate"/>
        </w:r>
        <w:r w:rsidR="00A8337E">
          <w:rPr>
            <w:webHidden/>
          </w:rPr>
          <w:t>29</w:t>
        </w:r>
        <w:r w:rsidR="00A8337E">
          <w:rPr>
            <w:webHidden/>
          </w:rPr>
          <w:fldChar w:fldCharType="end"/>
        </w:r>
      </w:hyperlink>
    </w:p>
    <w:p w14:paraId="271FAA58" w14:textId="2902E5E6"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613" w:history="1">
        <w:r w:rsidR="00A8337E" w:rsidRPr="00187F5D">
          <w:rPr>
            <w:rStyle w:val="Hyperlink"/>
          </w:rPr>
          <w:t>7.</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COVID-19 exposure – initiating management and identifying COVID-19 contacts</w:t>
        </w:r>
        <w:r w:rsidR="00A8337E">
          <w:rPr>
            <w:webHidden/>
          </w:rPr>
          <w:tab/>
        </w:r>
        <w:r w:rsidR="00A8337E">
          <w:rPr>
            <w:webHidden/>
          </w:rPr>
          <w:fldChar w:fldCharType="begin"/>
        </w:r>
        <w:r w:rsidR="00A8337E">
          <w:rPr>
            <w:webHidden/>
          </w:rPr>
          <w:instrText xml:space="preserve"> PAGEREF _Toc163573613 \h </w:instrText>
        </w:r>
        <w:r w:rsidR="00A8337E">
          <w:rPr>
            <w:webHidden/>
          </w:rPr>
        </w:r>
        <w:r w:rsidR="00A8337E">
          <w:rPr>
            <w:webHidden/>
          </w:rPr>
          <w:fldChar w:fldCharType="separate"/>
        </w:r>
        <w:r w:rsidR="00A8337E">
          <w:rPr>
            <w:webHidden/>
          </w:rPr>
          <w:t>34</w:t>
        </w:r>
        <w:r w:rsidR="00A8337E">
          <w:rPr>
            <w:webHidden/>
          </w:rPr>
          <w:fldChar w:fldCharType="end"/>
        </w:r>
      </w:hyperlink>
    </w:p>
    <w:p w14:paraId="04D6C658" w14:textId="11B6EB7C"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614" w:history="1">
        <w:r w:rsidR="00A8337E" w:rsidRPr="00187F5D">
          <w:rPr>
            <w:rStyle w:val="Hyperlink"/>
          </w:rPr>
          <w:t>8.</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COVID-19 outbreak management</w:t>
        </w:r>
        <w:r w:rsidR="00A8337E">
          <w:rPr>
            <w:webHidden/>
          </w:rPr>
          <w:tab/>
        </w:r>
        <w:r w:rsidR="00A8337E">
          <w:rPr>
            <w:webHidden/>
          </w:rPr>
          <w:fldChar w:fldCharType="begin"/>
        </w:r>
        <w:r w:rsidR="00A8337E">
          <w:rPr>
            <w:webHidden/>
          </w:rPr>
          <w:instrText xml:space="preserve"> PAGEREF _Toc163573614 \h </w:instrText>
        </w:r>
        <w:r w:rsidR="00A8337E">
          <w:rPr>
            <w:webHidden/>
          </w:rPr>
        </w:r>
        <w:r w:rsidR="00A8337E">
          <w:rPr>
            <w:webHidden/>
          </w:rPr>
          <w:fldChar w:fldCharType="separate"/>
        </w:r>
        <w:r w:rsidR="00A8337E">
          <w:rPr>
            <w:webHidden/>
          </w:rPr>
          <w:t>38</w:t>
        </w:r>
        <w:r w:rsidR="00A8337E">
          <w:rPr>
            <w:webHidden/>
          </w:rPr>
          <w:fldChar w:fldCharType="end"/>
        </w:r>
      </w:hyperlink>
    </w:p>
    <w:p w14:paraId="3E83BF50" w14:textId="7876430B"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615" w:history="1">
        <w:r w:rsidR="00A8337E" w:rsidRPr="00187F5D">
          <w:rPr>
            <w:rStyle w:val="Hyperlink"/>
          </w:rPr>
          <w:t>9.</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Non-influenza, non-COVID-19 outbreaks in RCFs including RSV</w:t>
        </w:r>
        <w:r w:rsidR="00A8337E">
          <w:rPr>
            <w:webHidden/>
          </w:rPr>
          <w:tab/>
        </w:r>
        <w:r w:rsidR="00A8337E">
          <w:rPr>
            <w:webHidden/>
          </w:rPr>
          <w:fldChar w:fldCharType="begin"/>
        </w:r>
        <w:r w:rsidR="00A8337E">
          <w:rPr>
            <w:webHidden/>
          </w:rPr>
          <w:instrText xml:space="preserve"> PAGEREF _Toc163573615 \h </w:instrText>
        </w:r>
        <w:r w:rsidR="00A8337E">
          <w:rPr>
            <w:webHidden/>
          </w:rPr>
        </w:r>
        <w:r w:rsidR="00A8337E">
          <w:rPr>
            <w:webHidden/>
          </w:rPr>
          <w:fldChar w:fldCharType="separate"/>
        </w:r>
        <w:r w:rsidR="00A8337E">
          <w:rPr>
            <w:webHidden/>
          </w:rPr>
          <w:t>48</w:t>
        </w:r>
        <w:r w:rsidR="00A8337E">
          <w:rPr>
            <w:webHidden/>
          </w:rPr>
          <w:fldChar w:fldCharType="end"/>
        </w:r>
      </w:hyperlink>
    </w:p>
    <w:p w14:paraId="5F4F3362" w14:textId="5E617391" w:rsidR="00A8337E" w:rsidRDefault="00000000">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63573616" w:history="1">
        <w:r w:rsidR="00A8337E" w:rsidRPr="00187F5D">
          <w:rPr>
            <w:rStyle w:val="Hyperlink"/>
          </w:rPr>
          <w:t>10.</w:t>
        </w:r>
        <w:r w:rsidR="00A8337E">
          <w:rPr>
            <w:rFonts w:asciiTheme="minorHAnsi" w:eastAsiaTheme="minorEastAsia" w:hAnsiTheme="minorHAnsi" w:cstheme="minorBidi"/>
            <w:b w:val="0"/>
            <w:kern w:val="2"/>
            <w:sz w:val="24"/>
            <w:szCs w:val="24"/>
            <w:lang w:eastAsia="en-AU"/>
            <w14:ligatures w14:val="standardContextual"/>
          </w:rPr>
          <w:tab/>
        </w:r>
        <w:r w:rsidR="00A8337E" w:rsidRPr="00187F5D">
          <w:rPr>
            <w:rStyle w:val="Hyperlink"/>
          </w:rPr>
          <w:t>Appendices</w:t>
        </w:r>
        <w:r w:rsidR="00A8337E">
          <w:rPr>
            <w:webHidden/>
          </w:rPr>
          <w:tab/>
        </w:r>
        <w:r w:rsidR="00A8337E">
          <w:rPr>
            <w:webHidden/>
          </w:rPr>
          <w:fldChar w:fldCharType="begin"/>
        </w:r>
        <w:r w:rsidR="00A8337E">
          <w:rPr>
            <w:webHidden/>
          </w:rPr>
          <w:instrText xml:space="preserve"> PAGEREF _Toc163573616 \h </w:instrText>
        </w:r>
        <w:r w:rsidR="00A8337E">
          <w:rPr>
            <w:webHidden/>
          </w:rPr>
        </w:r>
        <w:r w:rsidR="00A8337E">
          <w:rPr>
            <w:webHidden/>
          </w:rPr>
          <w:fldChar w:fldCharType="separate"/>
        </w:r>
        <w:r w:rsidR="00A8337E">
          <w:rPr>
            <w:webHidden/>
          </w:rPr>
          <w:t>49</w:t>
        </w:r>
        <w:r w:rsidR="00A8337E">
          <w:rPr>
            <w:webHidden/>
          </w:rPr>
          <w:fldChar w:fldCharType="end"/>
        </w:r>
      </w:hyperlink>
    </w:p>
    <w:p w14:paraId="7C730FD6" w14:textId="196ADDCE"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17" w:history="1">
        <w:r w:rsidR="00A8337E" w:rsidRPr="00187F5D">
          <w:rPr>
            <w:rStyle w:val="Hyperlink"/>
          </w:rPr>
          <w:t>Appendix A: Key documents</w:t>
        </w:r>
        <w:r w:rsidR="00A8337E">
          <w:rPr>
            <w:webHidden/>
          </w:rPr>
          <w:tab/>
        </w:r>
        <w:r w:rsidR="00A8337E">
          <w:rPr>
            <w:webHidden/>
          </w:rPr>
          <w:fldChar w:fldCharType="begin"/>
        </w:r>
        <w:r w:rsidR="00A8337E">
          <w:rPr>
            <w:webHidden/>
          </w:rPr>
          <w:instrText xml:space="preserve"> PAGEREF _Toc163573617 \h </w:instrText>
        </w:r>
        <w:r w:rsidR="00A8337E">
          <w:rPr>
            <w:webHidden/>
          </w:rPr>
        </w:r>
        <w:r w:rsidR="00A8337E">
          <w:rPr>
            <w:webHidden/>
          </w:rPr>
          <w:fldChar w:fldCharType="separate"/>
        </w:r>
        <w:r w:rsidR="00A8337E">
          <w:rPr>
            <w:webHidden/>
          </w:rPr>
          <w:t>49</w:t>
        </w:r>
        <w:r w:rsidR="00A8337E">
          <w:rPr>
            <w:webHidden/>
          </w:rPr>
          <w:fldChar w:fldCharType="end"/>
        </w:r>
      </w:hyperlink>
    </w:p>
    <w:p w14:paraId="653391C1" w14:textId="3A195EF1" w:rsidR="00A8337E" w:rsidRDefault="00000000">
      <w:pPr>
        <w:pStyle w:val="TOC2"/>
        <w:rPr>
          <w:rFonts w:asciiTheme="minorHAnsi" w:eastAsiaTheme="minorEastAsia" w:hAnsiTheme="minorHAnsi" w:cstheme="minorBidi"/>
          <w:kern w:val="2"/>
          <w:sz w:val="24"/>
          <w:szCs w:val="24"/>
          <w:lang w:eastAsia="en-AU"/>
          <w14:ligatures w14:val="standardContextual"/>
        </w:rPr>
      </w:pPr>
      <w:hyperlink w:anchor="_Toc163573618" w:history="1">
        <w:r w:rsidR="00A8337E" w:rsidRPr="00187F5D">
          <w:rPr>
            <w:rStyle w:val="Hyperlink"/>
          </w:rPr>
          <w:t>Appendix B: Department of Health and LPHU contact details</w:t>
        </w:r>
        <w:r w:rsidR="00A8337E">
          <w:rPr>
            <w:webHidden/>
          </w:rPr>
          <w:tab/>
        </w:r>
        <w:r w:rsidR="00A8337E">
          <w:rPr>
            <w:webHidden/>
          </w:rPr>
          <w:fldChar w:fldCharType="begin"/>
        </w:r>
        <w:r w:rsidR="00A8337E">
          <w:rPr>
            <w:webHidden/>
          </w:rPr>
          <w:instrText xml:space="preserve"> PAGEREF _Toc163573618 \h </w:instrText>
        </w:r>
        <w:r w:rsidR="00A8337E">
          <w:rPr>
            <w:webHidden/>
          </w:rPr>
        </w:r>
        <w:r w:rsidR="00A8337E">
          <w:rPr>
            <w:webHidden/>
          </w:rPr>
          <w:fldChar w:fldCharType="separate"/>
        </w:r>
        <w:r w:rsidR="00A8337E">
          <w:rPr>
            <w:webHidden/>
          </w:rPr>
          <w:t>51</w:t>
        </w:r>
        <w:r w:rsidR="00A8337E">
          <w:rPr>
            <w:webHidden/>
          </w:rPr>
          <w:fldChar w:fldCharType="end"/>
        </w:r>
      </w:hyperlink>
    </w:p>
    <w:p w14:paraId="24AC3E2F" w14:textId="066B93A0" w:rsidR="00FB1F6E" w:rsidRPr="006F493F" w:rsidRDefault="00AD784C" w:rsidP="00D079AA">
      <w:pPr>
        <w:pStyle w:val="Body"/>
      </w:pPr>
      <w:r w:rsidRPr="006F493F">
        <w:fldChar w:fldCharType="end"/>
      </w:r>
    </w:p>
    <w:p w14:paraId="37D27E2E" w14:textId="57C75558" w:rsidR="00FB1F6E" w:rsidRPr="0014515B" w:rsidRDefault="00FB1F6E">
      <w:pPr>
        <w:spacing w:after="0" w:line="240" w:lineRule="auto"/>
        <w:rPr>
          <w:rFonts w:eastAsia="Times"/>
        </w:rPr>
      </w:pPr>
    </w:p>
    <w:p w14:paraId="213F8E4B" w14:textId="77777777" w:rsidR="00454A7D" w:rsidRPr="0014515B" w:rsidRDefault="00454A7D" w:rsidP="00097A61">
      <w:pPr>
        <w:pStyle w:val="Body"/>
      </w:pPr>
      <w:r w:rsidRPr="0014515B">
        <w:br w:type="page"/>
      </w:r>
    </w:p>
    <w:p w14:paraId="1E429616" w14:textId="1685E1C1" w:rsidR="00EE29AD" w:rsidRPr="0014515B" w:rsidRDefault="00BB702E" w:rsidP="00562811">
      <w:pPr>
        <w:pStyle w:val="Heading1"/>
        <w:spacing w:before="0"/>
      </w:pPr>
      <w:bookmarkStart w:id="4" w:name="_Toc163573579"/>
      <w:bookmarkStart w:id="5" w:name="_Hlk66712316"/>
      <w:r w:rsidRPr="0014515B">
        <w:lastRenderedPageBreak/>
        <w:t>Executive Summary</w:t>
      </w:r>
      <w:bookmarkEnd w:id="4"/>
    </w:p>
    <w:p w14:paraId="6A922A28" w14:textId="0900F205" w:rsidR="00CE56BC" w:rsidRPr="0014515B" w:rsidRDefault="004D752C" w:rsidP="00CE56BC">
      <w:pPr>
        <w:pStyle w:val="Body"/>
      </w:pPr>
      <w:r>
        <w:t>S</w:t>
      </w:r>
      <w:r w:rsidRPr="00422354">
        <w:t>evere acute respiratory syndrome coronavirus 2</w:t>
      </w:r>
      <w:r>
        <w:t xml:space="preserve"> (</w:t>
      </w:r>
      <w:r w:rsidR="00CE56BC">
        <w:t>SARS-CoV-2</w:t>
      </w:r>
      <w:r>
        <w:t>)</w:t>
      </w:r>
      <w:r w:rsidR="00CA4478">
        <w:t>,</w:t>
      </w:r>
      <w:r w:rsidR="00CE56BC">
        <w:t xml:space="preserve"> influenza </w:t>
      </w:r>
      <w:r w:rsidR="00CA4478">
        <w:t xml:space="preserve">and other viruses including respiratory syncytial </w:t>
      </w:r>
      <w:r w:rsidR="00CE56BC">
        <w:t>virus</w:t>
      </w:r>
      <w:r w:rsidR="00CA4478">
        <w:t xml:space="preserve"> (RSV)</w:t>
      </w:r>
      <w:r w:rsidR="00CE56BC">
        <w:t xml:space="preserve"> are very infectious causes of acute respiratory infections </w:t>
      </w:r>
      <w:r>
        <w:t xml:space="preserve">(ARIs) </w:t>
      </w:r>
      <w:r w:rsidR="00CE56BC">
        <w:t xml:space="preserve">and can cause serious illness and death. Residential care facilities (RCFs) are considered high risk environments due to communal living arrangements of many people at </w:t>
      </w:r>
      <w:bookmarkStart w:id="6" w:name="_Int_zOH35NXT"/>
      <w:r w:rsidR="00CE56BC">
        <w:t>high risk</w:t>
      </w:r>
      <w:bookmarkEnd w:id="6"/>
      <w:r w:rsidR="00CE56BC">
        <w:t xml:space="preserve"> of illness. The elderly are particularly vulnerable due to immune weakness related to ageing and co-morbidities.</w:t>
      </w:r>
    </w:p>
    <w:p w14:paraId="04683593" w14:textId="02CDE0A2" w:rsidR="00CE56BC" w:rsidRPr="0014515B" w:rsidRDefault="00CE56BC" w:rsidP="00CE56BC">
      <w:pPr>
        <w:pStyle w:val="Body"/>
      </w:pPr>
      <w:r w:rsidRPr="0014515B">
        <w:t xml:space="preserve">Early public health response can have a significant positive impact to reduce transmission and improve health outcomes. </w:t>
      </w:r>
      <w:r w:rsidR="004D752C">
        <w:t>Coronavirus disease 2019 (</w:t>
      </w:r>
      <w:r w:rsidRPr="0014515B">
        <w:t>COVID-19</w:t>
      </w:r>
      <w:r w:rsidR="004D752C">
        <w:t>)</w:t>
      </w:r>
      <w:r w:rsidRPr="0014515B">
        <w:t>, influenza and RSV are notifiable conditions in Victoria. Vaccines are available for COVID-19</w:t>
      </w:r>
      <w:r w:rsidR="00CA4478">
        <w:t>,</w:t>
      </w:r>
      <w:r w:rsidRPr="0014515B">
        <w:t xml:space="preserve"> influenza </w:t>
      </w:r>
      <w:r w:rsidR="00CA4478">
        <w:t xml:space="preserve">and RSV </w:t>
      </w:r>
      <w:r w:rsidRPr="0014515B">
        <w:t>that reduce disease severity and likelihood of infection. Treatment is available for both influenza and COVID-19, and prophylaxis is available for influenza, and in limited circumstances for COVID-19.</w:t>
      </w:r>
    </w:p>
    <w:p w14:paraId="2CDBF13D" w14:textId="0F9AC40C" w:rsidR="00CE56BC" w:rsidRPr="0014515B" w:rsidRDefault="00CE56BC" w:rsidP="00CE56BC">
      <w:pPr>
        <w:pStyle w:val="Body"/>
      </w:pPr>
      <w:r w:rsidRPr="0014515B">
        <w:t xml:space="preserve">The purpose of this guideline is to provide state-wide public health advice to support exposure and outbreak management of </w:t>
      </w:r>
      <w:r w:rsidR="00EA3944">
        <w:t>ARI</w:t>
      </w:r>
      <w:r w:rsidRPr="0014515B">
        <w:t xml:space="preserve"> in RCFs. It is intended to be used in conjunction with the Outbreak Management Plans (OMP</w:t>
      </w:r>
      <w:r w:rsidR="00A76879">
        <w:t>s</w:t>
      </w:r>
      <w:r w:rsidRPr="0014515B">
        <w:t xml:space="preserve">) developed by the </w:t>
      </w:r>
      <w:r w:rsidR="00D531F0">
        <w:t>RCF</w:t>
      </w:r>
      <w:r w:rsidRPr="0014515B">
        <w:t>.</w:t>
      </w:r>
    </w:p>
    <w:p w14:paraId="0CC28AC7" w14:textId="3584AB38" w:rsidR="00CE56BC" w:rsidRPr="0014515B" w:rsidRDefault="00CE56BC" w:rsidP="00CE56BC">
      <w:pPr>
        <w:pStyle w:val="Body"/>
      </w:pPr>
      <w:r>
        <w:t xml:space="preserve">The guidelines also recognise the </w:t>
      </w:r>
      <w:r w:rsidR="21EF4478">
        <w:t>key role</w:t>
      </w:r>
      <w:r>
        <w:t xml:space="preserve"> the Local Public Health Units (LPHU</w:t>
      </w:r>
      <w:r w:rsidR="00097A61">
        <w:t>s</w:t>
      </w:r>
      <w:r>
        <w:t xml:space="preserve">) have in outbreak management and are intended to support the provision of consistent and practical advice to </w:t>
      </w:r>
      <w:r w:rsidR="00D531F0">
        <w:t>RCFs</w:t>
      </w:r>
      <w:r w:rsidR="00927C72">
        <w:t>.</w:t>
      </w:r>
    </w:p>
    <w:p w14:paraId="1E52B110" w14:textId="63F25F4B" w:rsidR="00CE56BC" w:rsidRPr="0014515B" w:rsidRDefault="00097A61" w:rsidP="00CE56BC">
      <w:pPr>
        <w:pStyle w:val="Body"/>
      </w:pPr>
      <w:r>
        <w:t>RCFs</w:t>
      </w:r>
      <w:r w:rsidR="00CE56BC" w:rsidRPr="0014515B">
        <w:t xml:space="preserve">, </w:t>
      </w:r>
      <w:r>
        <w:t>LPHUs</w:t>
      </w:r>
      <w:r w:rsidR="00CE56BC" w:rsidRPr="0014515B">
        <w:t xml:space="preserve"> and the </w:t>
      </w:r>
      <w:r w:rsidR="00D531F0">
        <w:t xml:space="preserve">Victorian </w:t>
      </w:r>
      <w:r w:rsidR="00CE56BC" w:rsidRPr="0014515B">
        <w:t xml:space="preserve">Department of Health </w:t>
      </w:r>
      <w:r>
        <w:t xml:space="preserve">(the department) </w:t>
      </w:r>
      <w:r w:rsidR="00CE56BC" w:rsidRPr="0014515B">
        <w:t xml:space="preserve">must balance their responsibilities to reduce the risk of COVID-19 and other respiratory infections within </w:t>
      </w:r>
      <w:r w:rsidR="00D531F0">
        <w:t>RCFs</w:t>
      </w:r>
      <w:r w:rsidR="00CE56BC" w:rsidRPr="0014515B">
        <w:t xml:space="preserve"> against their responsibilities for meeting the physical, social, and emotional needs of residents, and supporting choice and quality of life.</w:t>
      </w:r>
    </w:p>
    <w:p w14:paraId="655F7233" w14:textId="643E9DD4" w:rsidR="00CE56BC" w:rsidRPr="0014515B" w:rsidRDefault="00D531F0" w:rsidP="00CE56BC">
      <w:pPr>
        <w:pStyle w:val="Body"/>
      </w:pPr>
      <w:r>
        <w:t>RCF</w:t>
      </w:r>
      <w:r w:rsidR="00CE56BC" w:rsidRPr="0014515B">
        <w:t xml:space="preserve"> outbreak preparedness and prevention activities continue to be paramount with the emergence of COVID-19 variants, continued community transmission of seasonal influenza</w:t>
      </w:r>
      <w:r w:rsidR="00CA4478">
        <w:t xml:space="preserve"> and RSV</w:t>
      </w:r>
      <w:r w:rsidR="00CE56BC" w:rsidRPr="0014515B">
        <w:t>, in addition to other viruses causing outbreaks in residential care.</w:t>
      </w:r>
    </w:p>
    <w:p w14:paraId="19AD01FF" w14:textId="60D1182B" w:rsidR="00CE56BC" w:rsidRPr="0014515B" w:rsidRDefault="00CE56BC" w:rsidP="00CE56BC">
      <w:pPr>
        <w:pStyle w:val="Body"/>
      </w:pPr>
      <w:r w:rsidRPr="00653C60">
        <w:t xml:space="preserve">A </w:t>
      </w:r>
      <w:hyperlink r:id="rId17" w:history="1">
        <w:r w:rsidR="000F5B93" w:rsidRPr="00FC78B6">
          <w:rPr>
            <w:rStyle w:val="Hyperlink"/>
          </w:rPr>
          <w:t>checklist</w:t>
        </w:r>
      </w:hyperlink>
      <w:r w:rsidRPr="00FC78B6">
        <w:t xml:space="preserve"> </w:t>
      </w:r>
      <w:r w:rsidR="008F32B2" w:rsidRPr="00FC78B6">
        <w:t>&lt;https://www</w:t>
      </w:r>
      <w:r w:rsidR="008F32B2" w:rsidRPr="00653C60">
        <w:t>.health.vic.gov.au/infectious-diseases/acute-respiratory-infection-management-rcf&gt;</w:t>
      </w:r>
      <w:r w:rsidR="00097A61">
        <w:t xml:space="preserve"> </w:t>
      </w:r>
      <w:r w:rsidR="000F5B93" w:rsidRPr="00653C60">
        <w:t>is available</w:t>
      </w:r>
      <w:r w:rsidRPr="00653C60">
        <w:t xml:space="preserve"> to </w:t>
      </w:r>
      <w:r w:rsidR="000F5B93" w:rsidRPr="00653C60">
        <w:t xml:space="preserve">assist </w:t>
      </w:r>
      <w:r w:rsidR="00097A61">
        <w:t>RCFs</w:t>
      </w:r>
      <w:r w:rsidRPr="00653C60">
        <w:t xml:space="preserve"> </w:t>
      </w:r>
      <w:r w:rsidR="00AA53FF" w:rsidRPr="00653C60">
        <w:t xml:space="preserve">to </w:t>
      </w:r>
      <w:r w:rsidR="00AF5A6A" w:rsidRPr="00653C60">
        <w:t xml:space="preserve">assess </w:t>
      </w:r>
      <w:r w:rsidR="00AA53FF" w:rsidRPr="00653C60">
        <w:t xml:space="preserve">that they have performed key actions in </w:t>
      </w:r>
      <w:r w:rsidR="003A1AD1" w:rsidRPr="00653C60">
        <w:t xml:space="preserve">responding to cases and outbreaks of </w:t>
      </w:r>
      <w:r w:rsidR="00EA3944">
        <w:t>ARI</w:t>
      </w:r>
      <w:r w:rsidR="003A1AD1" w:rsidRPr="00653C60">
        <w:t xml:space="preserve">. </w:t>
      </w:r>
      <w:r w:rsidRPr="00653C60">
        <w:t>Further</w:t>
      </w:r>
      <w:r w:rsidRPr="0014515B">
        <w:t xml:space="preserve"> details of actions in </w:t>
      </w:r>
      <w:r w:rsidRPr="00A557B6">
        <w:t xml:space="preserve">the </w:t>
      </w:r>
      <w:r w:rsidR="003A1AD1" w:rsidRPr="00A557B6">
        <w:t xml:space="preserve">checklist </w:t>
      </w:r>
      <w:r w:rsidRPr="00A557B6">
        <w:t>are</w:t>
      </w:r>
      <w:r w:rsidRPr="0014515B">
        <w:t xml:space="preserve"> available in </w:t>
      </w:r>
      <w:r w:rsidR="00EA3944">
        <w:t>this</w:t>
      </w:r>
      <w:r w:rsidRPr="0014515B">
        <w:t xml:space="preserve"> guideline.</w:t>
      </w:r>
    </w:p>
    <w:p w14:paraId="0EFFA8DB" w14:textId="77777777" w:rsidR="00CE56BC" w:rsidRPr="0014515B" w:rsidRDefault="00CE56BC" w:rsidP="00CE56BC">
      <w:pPr>
        <w:pStyle w:val="Body"/>
      </w:pPr>
    </w:p>
    <w:p w14:paraId="09469644" w14:textId="3ED81982" w:rsidR="00CE56BC" w:rsidRDefault="003F394B" w:rsidP="003F394B">
      <w:pPr>
        <w:spacing w:after="0" w:line="240" w:lineRule="auto"/>
      </w:pPr>
      <w:r w:rsidRPr="0014515B">
        <w:br w:type="page"/>
      </w:r>
    </w:p>
    <w:p w14:paraId="7425A34D" w14:textId="77777777" w:rsidR="00F06857" w:rsidRPr="0014515B" w:rsidRDefault="00F06857" w:rsidP="00F06857">
      <w:pPr>
        <w:pStyle w:val="Heading1"/>
      </w:pPr>
      <w:bookmarkStart w:id="7" w:name="_Toc163573580"/>
      <w:r w:rsidRPr="0014515B">
        <w:lastRenderedPageBreak/>
        <w:t>Key acronyms and abbreviations</w:t>
      </w:r>
      <w:bookmarkEnd w:id="7"/>
    </w:p>
    <w:p w14:paraId="43AC1EE3" w14:textId="7A612B1C" w:rsidR="00F06857" w:rsidRPr="00422354" w:rsidRDefault="00F06857" w:rsidP="00F06857">
      <w:pPr>
        <w:pStyle w:val="Body"/>
        <w:tabs>
          <w:tab w:val="left" w:pos="1985"/>
        </w:tabs>
      </w:pPr>
      <w:r w:rsidRPr="00422354">
        <w:t>ARI</w:t>
      </w:r>
      <w:r w:rsidRPr="00422354">
        <w:tab/>
        <w:t>acute respiratory infection</w:t>
      </w:r>
    </w:p>
    <w:p w14:paraId="3D29CA73" w14:textId="33E58FC2" w:rsidR="00F06857" w:rsidRPr="00422354" w:rsidRDefault="00F06857" w:rsidP="00F06857">
      <w:pPr>
        <w:pStyle w:val="Body"/>
        <w:tabs>
          <w:tab w:val="left" w:pos="1985"/>
        </w:tabs>
      </w:pPr>
      <w:r w:rsidRPr="00422354">
        <w:t>ATAGI</w:t>
      </w:r>
      <w:r w:rsidRPr="00422354">
        <w:tab/>
        <w:t>Australian Technical Advisory Group on Immunisation</w:t>
      </w:r>
    </w:p>
    <w:p w14:paraId="004D2F28" w14:textId="633C7AF0" w:rsidR="00F06857" w:rsidRPr="00422354" w:rsidRDefault="00F06857" w:rsidP="00F06857">
      <w:pPr>
        <w:pStyle w:val="Body"/>
        <w:tabs>
          <w:tab w:val="left" w:pos="1985"/>
        </w:tabs>
      </w:pPr>
      <w:r w:rsidRPr="00422354">
        <w:t>CDNA</w:t>
      </w:r>
      <w:r w:rsidRPr="00422354">
        <w:tab/>
        <w:t>Communicable Disease Network Australia</w:t>
      </w:r>
    </w:p>
    <w:p w14:paraId="578992EE" w14:textId="2CEC72C9" w:rsidR="002B6262" w:rsidRDefault="002B6262" w:rsidP="00F06857">
      <w:pPr>
        <w:pStyle w:val="Body"/>
        <w:tabs>
          <w:tab w:val="left" w:pos="1985"/>
        </w:tabs>
      </w:pPr>
      <w:r>
        <w:t>COVID-19</w:t>
      </w:r>
      <w:r>
        <w:tab/>
        <w:t>Coronavirus disease 2019</w:t>
      </w:r>
    </w:p>
    <w:p w14:paraId="2C16B1C1" w14:textId="556D274D" w:rsidR="00F06857" w:rsidRPr="00422354" w:rsidRDefault="00F06857" w:rsidP="00F06857">
      <w:pPr>
        <w:pStyle w:val="Body"/>
        <w:tabs>
          <w:tab w:val="left" w:pos="1985"/>
        </w:tabs>
      </w:pPr>
      <w:r w:rsidRPr="00422354">
        <w:t>EPA</w:t>
      </w:r>
      <w:r w:rsidRPr="00422354">
        <w:tab/>
        <w:t>Environment Protection Authority</w:t>
      </w:r>
    </w:p>
    <w:p w14:paraId="7DADF0A2" w14:textId="290C7973" w:rsidR="00F06857" w:rsidRPr="00422354" w:rsidRDefault="00F06857" w:rsidP="00F06857">
      <w:pPr>
        <w:pStyle w:val="Body"/>
        <w:tabs>
          <w:tab w:val="left" w:pos="1985"/>
        </w:tabs>
      </w:pPr>
      <w:r w:rsidRPr="00422354">
        <w:t>GP</w:t>
      </w:r>
      <w:r w:rsidRPr="00422354">
        <w:tab/>
        <w:t>General Practitioner</w:t>
      </w:r>
    </w:p>
    <w:p w14:paraId="14F575EF" w14:textId="1F95CC02" w:rsidR="00F06857" w:rsidRPr="00422354" w:rsidRDefault="00F06857" w:rsidP="00F06857">
      <w:pPr>
        <w:pStyle w:val="Body"/>
        <w:tabs>
          <w:tab w:val="left" w:pos="1985"/>
        </w:tabs>
      </w:pPr>
      <w:r w:rsidRPr="00422354">
        <w:t>HCW</w:t>
      </w:r>
      <w:r w:rsidRPr="00422354">
        <w:tab/>
        <w:t>healthcare worker</w:t>
      </w:r>
    </w:p>
    <w:p w14:paraId="27BA07B3" w14:textId="78C6DD5D" w:rsidR="00F06857" w:rsidRPr="00422354" w:rsidRDefault="00F06857" w:rsidP="00F06857">
      <w:pPr>
        <w:pStyle w:val="Body"/>
        <w:tabs>
          <w:tab w:val="left" w:pos="1985"/>
        </w:tabs>
      </w:pPr>
      <w:r w:rsidRPr="00422354">
        <w:t>HIV</w:t>
      </w:r>
      <w:r w:rsidRPr="00422354">
        <w:tab/>
        <w:t>human immunodeficiency virus</w:t>
      </w:r>
    </w:p>
    <w:p w14:paraId="26C62882" w14:textId="102D4610" w:rsidR="00F06857" w:rsidRPr="00422354" w:rsidRDefault="00F06857" w:rsidP="00F06857">
      <w:pPr>
        <w:pStyle w:val="Body"/>
        <w:tabs>
          <w:tab w:val="left" w:pos="1985"/>
        </w:tabs>
      </w:pPr>
      <w:r w:rsidRPr="00422354">
        <w:t>IPC</w:t>
      </w:r>
      <w:r w:rsidRPr="00422354">
        <w:tab/>
        <w:t>infection prevention and control</w:t>
      </w:r>
    </w:p>
    <w:p w14:paraId="1B0CCBD6" w14:textId="32D63FD0" w:rsidR="00F06857" w:rsidRPr="00422354" w:rsidRDefault="00F06857" w:rsidP="00F06857">
      <w:pPr>
        <w:pStyle w:val="Body"/>
        <w:tabs>
          <w:tab w:val="left" w:pos="1985"/>
        </w:tabs>
      </w:pPr>
      <w:r w:rsidRPr="00422354">
        <w:t>LPHU</w:t>
      </w:r>
      <w:r w:rsidRPr="00422354">
        <w:tab/>
        <w:t>local public health unit</w:t>
      </w:r>
    </w:p>
    <w:p w14:paraId="54F48497" w14:textId="1965D4B2" w:rsidR="00F06857" w:rsidRPr="00422354" w:rsidRDefault="00F06857" w:rsidP="00F06857">
      <w:pPr>
        <w:pStyle w:val="Body"/>
        <w:tabs>
          <w:tab w:val="left" w:pos="1985"/>
        </w:tabs>
      </w:pPr>
      <w:r w:rsidRPr="00422354">
        <w:t>NAAT</w:t>
      </w:r>
      <w:r w:rsidRPr="00422354">
        <w:tab/>
        <w:t>nucleic acid amplification testing</w:t>
      </w:r>
    </w:p>
    <w:p w14:paraId="3C474417" w14:textId="77777777" w:rsidR="00BA37B8" w:rsidRPr="00422354" w:rsidRDefault="00BA37B8" w:rsidP="00BA37B8">
      <w:pPr>
        <w:pStyle w:val="Body"/>
        <w:tabs>
          <w:tab w:val="left" w:pos="1985"/>
        </w:tabs>
      </w:pPr>
      <w:r w:rsidRPr="00422354">
        <w:t>NDIS</w:t>
      </w:r>
      <w:r w:rsidRPr="00422354">
        <w:tab/>
        <w:t>National Disability Insurance Scheme</w:t>
      </w:r>
    </w:p>
    <w:p w14:paraId="438F895E" w14:textId="4BF4C1F3" w:rsidR="00F06857" w:rsidRPr="00422354" w:rsidRDefault="00F06857" w:rsidP="00F06857">
      <w:pPr>
        <w:pStyle w:val="Body"/>
        <w:tabs>
          <w:tab w:val="left" w:pos="1985"/>
        </w:tabs>
      </w:pPr>
      <w:r w:rsidRPr="00422354">
        <w:t>NMP</w:t>
      </w:r>
      <w:r w:rsidRPr="00422354">
        <w:tab/>
        <w:t>National Medical Stockpile</w:t>
      </w:r>
    </w:p>
    <w:p w14:paraId="30E521B5" w14:textId="3EBB9DE3" w:rsidR="00F06857" w:rsidRPr="00422354" w:rsidRDefault="00F06857" w:rsidP="00F06857">
      <w:pPr>
        <w:pStyle w:val="Body"/>
        <w:tabs>
          <w:tab w:val="left" w:pos="1985"/>
        </w:tabs>
      </w:pPr>
      <w:r w:rsidRPr="00422354">
        <w:t>OMP</w:t>
      </w:r>
      <w:r w:rsidRPr="00422354">
        <w:tab/>
        <w:t>outbreak management plan</w:t>
      </w:r>
    </w:p>
    <w:p w14:paraId="614AFD56" w14:textId="7B4C71ED" w:rsidR="00F06857" w:rsidRPr="00422354" w:rsidRDefault="00F06857" w:rsidP="00F06857">
      <w:pPr>
        <w:pStyle w:val="Body"/>
        <w:tabs>
          <w:tab w:val="left" w:pos="1985"/>
        </w:tabs>
      </w:pPr>
      <w:r w:rsidRPr="00422354">
        <w:t>OMT</w:t>
      </w:r>
      <w:r w:rsidRPr="00422354">
        <w:tab/>
        <w:t>Outbreak Management Team</w:t>
      </w:r>
    </w:p>
    <w:p w14:paraId="14E5AB41" w14:textId="771DD02E" w:rsidR="00F06857" w:rsidRPr="00422354" w:rsidRDefault="00F06857" w:rsidP="00F06857">
      <w:pPr>
        <w:pStyle w:val="Body"/>
        <w:tabs>
          <w:tab w:val="left" w:pos="1985"/>
        </w:tabs>
      </w:pPr>
      <w:r w:rsidRPr="00422354">
        <w:t>PCR</w:t>
      </w:r>
      <w:r w:rsidRPr="00422354">
        <w:tab/>
        <w:t>polymerase chain reaction</w:t>
      </w:r>
    </w:p>
    <w:p w14:paraId="49E79C61" w14:textId="30C11B98" w:rsidR="00F06857" w:rsidRPr="00422354" w:rsidRDefault="00F06857" w:rsidP="00F06857">
      <w:pPr>
        <w:pStyle w:val="Body"/>
        <w:tabs>
          <w:tab w:val="left" w:pos="1985"/>
        </w:tabs>
      </w:pPr>
      <w:r w:rsidRPr="00422354">
        <w:t>PPE</w:t>
      </w:r>
      <w:r w:rsidRPr="00422354">
        <w:tab/>
        <w:t>personal protective equipment</w:t>
      </w:r>
    </w:p>
    <w:p w14:paraId="6B4A8000" w14:textId="3A108C1B" w:rsidR="00F06857" w:rsidRPr="00422354" w:rsidRDefault="00F06857" w:rsidP="00F06857">
      <w:pPr>
        <w:pStyle w:val="Body"/>
        <w:tabs>
          <w:tab w:val="left" w:pos="1985"/>
        </w:tabs>
      </w:pPr>
      <w:r w:rsidRPr="00422354">
        <w:t>RACF</w:t>
      </w:r>
      <w:r w:rsidRPr="00422354">
        <w:tab/>
        <w:t>residential aged care facilities</w:t>
      </w:r>
    </w:p>
    <w:p w14:paraId="241D654E" w14:textId="2E8832C5" w:rsidR="00F06857" w:rsidRPr="00422354" w:rsidRDefault="00F06857" w:rsidP="00F06857">
      <w:pPr>
        <w:pStyle w:val="Body"/>
        <w:tabs>
          <w:tab w:val="left" w:pos="1985"/>
        </w:tabs>
      </w:pPr>
      <w:r w:rsidRPr="00422354">
        <w:t>RAT</w:t>
      </w:r>
      <w:r w:rsidRPr="00422354">
        <w:tab/>
        <w:t>rapid antigen test</w:t>
      </w:r>
    </w:p>
    <w:p w14:paraId="16C42AFE" w14:textId="1EAF615E" w:rsidR="00F06857" w:rsidRPr="00422354" w:rsidRDefault="00F06857" w:rsidP="00F06857">
      <w:pPr>
        <w:pStyle w:val="Body"/>
        <w:tabs>
          <w:tab w:val="left" w:pos="1985"/>
        </w:tabs>
      </w:pPr>
      <w:r w:rsidRPr="00422354">
        <w:t>RCF</w:t>
      </w:r>
      <w:r w:rsidRPr="00422354">
        <w:tab/>
        <w:t>residential care facilit</w:t>
      </w:r>
      <w:r w:rsidR="00D531F0">
        <w:t>y</w:t>
      </w:r>
    </w:p>
    <w:p w14:paraId="7EB21AF3" w14:textId="796CB262" w:rsidR="00F06857" w:rsidRPr="00422354" w:rsidRDefault="00F06857" w:rsidP="00F06857">
      <w:pPr>
        <w:pStyle w:val="Body"/>
        <w:tabs>
          <w:tab w:val="left" w:pos="1985"/>
        </w:tabs>
      </w:pPr>
      <w:r w:rsidRPr="00422354">
        <w:t>RICPRAC</w:t>
      </w:r>
      <w:r w:rsidRPr="00422354">
        <w:tab/>
        <w:t>rural infection control practice group</w:t>
      </w:r>
    </w:p>
    <w:p w14:paraId="11C0E3D3" w14:textId="5EC10921" w:rsidR="00F06857" w:rsidRPr="00422354" w:rsidRDefault="00F06857" w:rsidP="00F06857">
      <w:pPr>
        <w:pStyle w:val="Body"/>
        <w:tabs>
          <w:tab w:val="left" w:pos="1985"/>
        </w:tabs>
      </w:pPr>
      <w:r w:rsidRPr="00422354">
        <w:t>RSV</w:t>
      </w:r>
      <w:r w:rsidRPr="00422354">
        <w:tab/>
        <w:t>respiratory syncytial virus</w:t>
      </w:r>
    </w:p>
    <w:p w14:paraId="2FF0DFC2" w14:textId="49371E4D" w:rsidR="00F06857" w:rsidRPr="00422354" w:rsidRDefault="00F06857" w:rsidP="00F06857">
      <w:pPr>
        <w:pStyle w:val="Body"/>
        <w:tabs>
          <w:tab w:val="left" w:pos="1985"/>
        </w:tabs>
      </w:pPr>
      <w:r w:rsidRPr="00422354">
        <w:t>SARS-CoV-2</w:t>
      </w:r>
      <w:r w:rsidRPr="00422354">
        <w:tab/>
        <w:t>severe acute respiratory syndrome coronavirus 2</w:t>
      </w:r>
    </w:p>
    <w:p w14:paraId="46C4E19B" w14:textId="223795F3" w:rsidR="00F06857" w:rsidRPr="00422354" w:rsidRDefault="00F06857" w:rsidP="00F06857">
      <w:pPr>
        <w:pStyle w:val="Body"/>
        <w:tabs>
          <w:tab w:val="left" w:pos="1985"/>
        </w:tabs>
      </w:pPr>
      <w:r>
        <w:t>t</w:t>
      </w:r>
      <w:r w:rsidRPr="00422354">
        <w:t xml:space="preserve">he </w:t>
      </w:r>
      <w:r>
        <w:t>d</w:t>
      </w:r>
      <w:r w:rsidRPr="00422354">
        <w:t>epartment</w:t>
      </w:r>
      <w:r w:rsidRPr="00422354">
        <w:tab/>
        <w:t>Victorian Department of Health</w:t>
      </w:r>
    </w:p>
    <w:p w14:paraId="03575CE2" w14:textId="4992F69C" w:rsidR="00F06857" w:rsidRDefault="00F06857" w:rsidP="003F394B">
      <w:pPr>
        <w:spacing w:after="0" w:line="240" w:lineRule="auto"/>
        <w:rPr>
          <w:rFonts w:eastAsia="Times"/>
        </w:rPr>
      </w:pPr>
    </w:p>
    <w:p w14:paraId="260B9477" w14:textId="496DA336" w:rsidR="00F06857" w:rsidRDefault="00F06857">
      <w:pPr>
        <w:spacing w:after="0" w:line="240" w:lineRule="auto"/>
        <w:rPr>
          <w:rFonts w:eastAsia="Times"/>
        </w:rPr>
      </w:pPr>
      <w:r>
        <w:rPr>
          <w:rFonts w:eastAsia="Times"/>
        </w:rPr>
        <w:br w:type="page"/>
      </w:r>
    </w:p>
    <w:p w14:paraId="53CC09C2" w14:textId="77777777" w:rsidR="00DB67F5" w:rsidRPr="0014515B" w:rsidRDefault="00E72E8A" w:rsidP="006A4719">
      <w:pPr>
        <w:pStyle w:val="Heading1"/>
        <w:numPr>
          <w:ilvl w:val="0"/>
          <w:numId w:val="7"/>
        </w:numPr>
        <w:ind w:left="567"/>
      </w:pPr>
      <w:bookmarkStart w:id="8" w:name="_Quick_reference_guide"/>
      <w:bookmarkStart w:id="9" w:name="_Toc128564078"/>
      <w:bookmarkStart w:id="10" w:name="_Toc128755638"/>
      <w:bookmarkStart w:id="11" w:name="_Toc128756504"/>
      <w:bookmarkStart w:id="12" w:name="_Toc128756913"/>
      <w:bookmarkStart w:id="13" w:name="_Toc128757609"/>
      <w:bookmarkStart w:id="14" w:name="_Toc128997484"/>
      <w:bookmarkStart w:id="15" w:name="_Toc128997862"/>
      <w:bookmarkStart w:id="16" w:name="_Toc129001124"/>
      <w:bookmarkStart w:id="17" w:name="_Toc129006961"/>
      <w:bookmarkStart w:id="18" w:name="_Toc128564079"/>
      <w:bookmarkStart w:id="19" w:name="_Toc128755639"/>
      <w:bookmarkStart w:id="20" w:name="_Toc128756505"/>
      <w:bookmarkStart w:id="21" w:name="_Toc128756914"/>
      <w:bookmarkStart w:id="22" w:name="_Toc128757610"/>
      <w:bookmarkStart w:id="23" w:name="_Toc128997485"/>
      <w:bookmarkStart w:id="24" w:name="_Toc128997863"/>
      <w:bookmarkStart w:id="25" w:name="_Toc129001125"/>
      <w:bookmarkStart w:id="26" w:name="_Toc129006962"/>
      <w:bookmarkStart w:id="27" w:name="_Toc128564080"/>
      <w:bookmarkStart w:id="28" w:name="_Toc128755640"/>
      <w:bookmarkStart w:id="29" w:name="_Toc128756506"/>
      <w:bookmarkStart w:id="30" w:name="_Toc128756915"/>
      <w:bookmarkStart w:id="31" w:name="_Toc128757611"/>
      <w:bookmarkStart w:id="32" w:name="_Toc128997486"/>
      <w:bookmarkStart w:id="33" w:name="_Toc128997864"/>
      <w:bookmarkStart w:id="34" w:name="_Toc129001126"/>
      <w:bookmarkStart w:id="35" w:name="_Toc129006963"/>
      <w:bookmarkStart w:id="36" w:name="_Toc128564081"/>
      <w:bookmarkStart w:id="37" w:name="_Toc128755641"/>
      <w:bookmarkStart w:id="38" w:name="_Toc128756507"/>
      <w:bookmarkStart w:id="39" w:name="_Toc128756916"/>
      <w:bookmarkStart w:id="40" w:name="_Toc128757612"/>
      <w:bookmarkStart w:id="41" w:name="_Toc128997487"/>
      <w:bookmarkStart w:id="42" w:name="_Toc128997865"/>
      <w:bookmarkStart w:id="43" w:name="_Toc129001127"/>
      <w:bookmarkStart w:id="44" w:name="_Toc129006964"/>
      <w:bookmarkStart w:id="45" w:name="_Toc128564129"/>
      <w:bookmarkStart w:id="46" w:name="_Toc128755689"/>
      <w:bookmarkStart w:id="47" w:name="_Toc128756555"/>
      <w:bookmarkStart w:id="48" w:name="_Toc128756964"/>
      <w:bookmarkStart w:id="49" w:name="_Toc128757660"/>
      <w:bookmarkStart w:id="50" w:name="_Toc128997535"/>
      <w:bookmarkStart w:id="51" w:name="_Toc128997913"/>
      <w:bookmarkStart w:id="52" w:name="_Toc129001175"/>
      <w:bookmarkStart w:id="53" w:name="_Toc129007012"/>
      <w:bookmarkStart w:id="54" w:name="_Toc128564343"/>
      <w:bookmarkStart w:id="55" w:name="_Toc128755903"/>
      <w:bookmarkStart w:id="56" w:name="_Toc128756769"/>
      <w:bookmarkStart w:id="57" w:name="_Toc128757178"/>
      <w:bookmarkStart w:id="58" w:name="_Toc128757874"/>
      <w:bookmarkStart w:id="59" w:name="_Toc128997749"/>
      <w:bookmarkStart w:id="60" w:name="_Toc128998127"/>
      <w:bookmarkStart w:id="61" w:name="_Toc129001389"/>
      <w:bookmarkStart w:id="62" w:name="_Toc129007226"/>
      <w:bookmarkStart w:id="63" w:name="_Toc16357358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14515B">
        <w:lastRenderedPageBreak/>
        <w:t>Introduction</w:t>
      </w:r>
      <w:bookmarkEnd w:id="63"/>
    </w:p>
    <w:p w14:paraId="2E1C0075" w14:textId="04AF7864" w:rsidR="00ED7762" w:rsidRPr="0014515B" w:rsidRDefault="00A230D4" w:rsidP="00B94C5E">
      <w:pPr>
        <w:pStyle w:val="Heading2"/>
      </w:pPr>
      <w:bookmarkStart w:id="64" w:name="_Toc163573582"/>
      <w:r w:rsidRPr="0014515B">
        <w:t>Purpose</w:t>
      </w:r>
      <w:bookmarkEnd w:id="64"/>
    </w:p>
    <w:p w14:paraId="105628E0" w14:textId="6DD88C3B" w:rsidR="004C7B6A" w:rsidRPr="0014515B" w:rsidRDefault="004C7B6A" w:rsidP="004C7B6A">
      <w:pPr>
        <w:pStyle w:val="Body"/>
      </w:pPr>
      <w:r>
        <w:t xml:space="preserve">The purpose of this guideline is to provide state-wide and consistent public health advice and direction to RCFs and </w:t>
      </w:r>
      <w:r w:rsidR="00D34BAB">
        <w:t>LPHUs</w:t>
      </w:r>
      <w:r>
        <w:t xml:space="preserve"> in support of their response to respiratory </w:t>
      </w:r>
      <w:r w:rsidR="2CF35A1F">
        <w:t>outbreaks.</w:t>
      </w:r>
    </w:p>
    <w:p w14:paraId="546ADB3C" w14:textId="381612E5" w:rsidR="004C7B6A" w:rsidRPr="0014515B" w:rsidRDefault="004C7B6A" w:rsidP="004C7B6A">
      <w:pPr>
        <w:pStyle w:val="Body"/>
      </w:pPr>
      <w:r>
        <w:t>This guideline outlines key prevention and preparedness measures, noting that outbreak preparedness continues to be paramount with the emergence of variants of COVID-19, together with widespread community transmission of influenza</w:t>
      </w:r>
      <w:r w:rsidR="00AF2B01">
        <w:t xml:space="preserve">, RSV and other </w:t>
      </w:r>
      <w:r w:rsidR="00927C72">
        <w:t>viruses</w:t>
      </w:r>
      <w:r w:rsidR="503B1623">
        <w:t xml:space="preserve">. </w:t>
      </w:r>
    </w:p>
    <w:p w14:paraId="2269800A" w14:textId="4B692172" w:rsidR="004C7B6A" w:rsidRPr="0014515B" w:rsidRDefault="004C7B6A" w:rsidP="004C7B6A">
      <w:pPr>
        <w:pStyle w:val="Body"/>
      </w:pPr>
      <w:r w:rsidRPr="0014515B">
        <w:t>While this document is primarily intended to apply to RCFs (see scope</w:t>
      </w:r>
      <w:r w:rsidR="00567293">
        <w:t xml:space="preserve">) </w:t>
      </w:r>
      <w:r w:rsidRPr="0014515B">
        <w:t>many principles are applicable to other settings such as hospitals,</w:t>
      </w:r>
      <w:r w:rsidRPr="0014515B">
        <w:rPr>
          <w:spacing w:val="-1"/>
        </w:rPr>
        <w:t xml:space="preserve"> </w:t>
      </w:r>
      <w:r w:rsidRPr="0014515B">
        <w:t>cruise</w:t>
      </w:r>
      <w:r w:rsidRPr="0014515B">
        <w:rPr>
          <w:spacing w:val="-2"/>
        </w:rPr>
        <w:t xml:space="preserve"> </w:t>
      </w:r>
      <w:r w:rsidRPr="0014515B">
        <w:t>ships,</w:t>
      </w:r>
      <w:r w:rsidRPr="0014515B">
        <w:rPr>
          <w:spacing w:val="-1"/>
        </w:rPr>
        <w:t xml:space="preserve"> </w:t>
      </w:r>
      <w:r w:rsidRPr="0014515B">
        <w:t>military</w:t>
      </w:r>
      <w:r w:rsidRPr="0014515B">
        <w:rPr>
          <w:spacing w:val="-4"/>
        </w:rPr>
        <w:t xml:space="preserve"> </w:t>
      </w:r>
      <w:r w:rsidR="502685C0" w:rsidRPr="0014515B">
        <w:t>barracks,</w:t>
      </w:r>
      <w:r w:rsidRPr="0014515B">
        <w:t xml:space="preserve"> and</w:t>
      </w:r>
      <w:r w:rsidRPr="0014515B">
        <w:rPr>
          <w:spacing w:val="-2"/>
        </w:rPr>
        <w:t xml:space="preserve"> </w:t>
      </w:r>
      <w:r w:rsidRPr="0014515B">
        <w:t>boarding</w:t>
      </w:r>
      <w:r w:rsidRPr="0014515B">
        <w:rPr>
          <w:spacing w:val="-1"/>
        </w:rPr>
        <w:t xml:space="preserve"> </w:t>
      </w:r>
      <w:r w:rsidRPr="0014515B">
        <w:t>schools.</w:t>
      </w:r>
    </w:p>
    <w:p w14:paraId="4461C10C" w14:textId="77777777" w:rsidR="004C7B6A" w:rsidRPr="0014515B" w:rsidRDefault="004C7B6A" w:rsidP="004C7B6A">
      <w:pPr>
        <w:pStyle w:val="Body"/>
      </w:pPr>
      <w:r w:rsidRPr="0014515B">
        <w:t xml:space="preserve">This guidance is designed to supplement any obligation an employer may have under the </w:t>
      </w:r>
      <w:hyperlink r:id="rId18">
        <w:r w:rsidRPr="0014515B">
          <w:rPr>
            <w:rStyle w:val="Hyperlink"/>
            <w:i/>
            <w:iCs/>
          </w:rPr>
          <w:t>Occupational Health and Safety Act 2004</w:t>
        </w:r>
      </w:hyperlink>
      <w:r w:rsidRPr="006F493F">
        <w:rPr>
          <w:i/>
        </w:rPr>
        <w:t xml:space="preserve"> </w:t>
      </w:r>
      <w:r w:rsidRPr="0014515B">
        <w:rPr>
          <w:iCs/>
        </w:rPr>
        <w:t xml:space="preserve">&lt;https://www.legislation.vic.gov.au/in-force/acts/occupational-health-and-safety-act-2004/038&gt; </w:t>
      </w:r>
      <w:r w:rsidRPr="0014515B">
        <w:t>and is not intended to derogate from any such obligations.</w:t>
      </w:r>
    </w:p>
    <w:p w14:paraId="7537B2C9" w14:textId="77777777" w:rsidR="004C7B6A" w:rsidRPr="0014515B" w:rsidRDefault="004C7B6A" w:rsidP="004C7B6A">
      <w:pPr>
        <w:pStyle w:val="Body"/>
      </w:pPr>
      <w:r w:rsidRPr="0014515B">
        <w:t>This guideline will be regularly updated to reflect changes in public health policy and advice.</w:t>
      </w:r>
    </w:p>
    <w:p w14:paraId="559F331D" w14:textId="77777777" w:rsidR="00152329" w:rsidRPr="0014515B" w:rsidRDefault="004C7B6A" w:rsidP="004C7B6A">
      <w:pPr>
        <w:pStyle w:val="Heading2"/>
      </w:pPr>
      <w:bookmarkStart w:id="65" w:name="_Toc163573583"/>
      <w:r w:rsidRPr="0014515B">
        <w:t>Scope</w:t>
      </w:r>
      <w:bookmarkEnd w:id="65"/>
    </w:p>
    <w:p w14:paraId="6F94EF9A" w14:textId="709168A8" w:rsidR="00CC351A" w:rsidRPr="0014515B" w:rsidRDefault="00CC351A" w:rsidP="00CC351A">
      <w:pPr>
        <w:pStyle w:val="Body"/>
      </w:pPr>
      <w:r w:rsidRPr="0014515B">
        <w:t>In this guideline, use of the term RCF includes the following settings:</w:t>
      </w:r>
    </w:p>
    <w:p w14:paraId="3FB8E55A" w14:textId="254CAC0F" w:rsidR="00CC351A" w:rsidRPr="0014515B" w:rsidRDefault="00C86FAA" w:rsidP="006A4719">
      <w:pPr>
        <w:pStyle w:val="Bullet1"/>
        <w:numPr>
          <w:ilvl w:val="0"/>
          <w:numId w:val="8"/>
        </w:numPr>
        <w:spacing w:after="80"/>
      </w:pPr>
      <w:r>
        <w:t>r</w:t>
      </w:r>
      <w:r w:rsidR="00CC351A" w:rsidRPr="0014515B">
        <w:t>esidential aged care facilities (R</w:t>
      </w:r>
      <w:r w:rsidR="00931F34" w:rsidRPr="0014515B">
        <w:t>A</w:t>
      </w:r>
      <w:r w:rsidR="00CC351A" w:rsidRPr="0014515B">
        <w:t>CF)</w:t>
      </w:r>
    </w:p>
    <w:p w14:paraId="334371A8" w14:textId="64793510" w:rsidR="00CC351A" w:rsidRPr="0014515B" w:rsidRDefault="00C86FAA" w:rsidP="006A4719">
      <w:pPr>
        <w:pStyle w:val="Bullet1"/>
        <w:numPr>
          <w:ilvl w:val="0"/>
          <w:numId w:val="8"/>
        </w:numPr>
        <w:spacing w:after="80"/>
      </w:pPr>
      <w:r>
        <w:t>g</w:t>
      </w:r>
      <w:r w:rsidR="00CC351A" w:rsidRPr="0014515B">
        <w:t xml:space="preserve">roup accommodation </w:t>
      </w:r>
      <w:r w:rsidR="00CC351A" w:rsidRPr="0014515B" w:rsidDel="00677759">
        <w:t>where</w:t>
      </w:r>
      <w:r w:rsidR="00CC351A" w:rsidRPr="0014515B">
        <w:t xml:space="preserve"> Supported Independent Living (SIL) is provided</w:t>
      </w:r>
    </w:p>
    <w:p w14:paraId="3D6C0A34" w14:textId="7748E2BE" w:rsidR="00CC351A" w:rsidRPr="0014515B" w:rsidRDefault="00F06857" w:rsidP="006A4719">
      <w:pPr>
        <w:pStyle w:val="Bullet1"/>
        <w:numPr>
          <w:ilvl w:val="0"/>
          <w:numId w:val="8"/>
        </w:numPr>
        <w:spacing w:after="80"/>
      </w:pPr>
      <w:r>
        <w:t>S</w:t>
      </w:r>
      <w:r w:rsidR="00CC351A" w:rsidRPr="0014515B">
        <w:t>pecialist Disability Accommodation (SDA) facilities</w:t>
      </w:r>
    </w:p>
    <w:p w14:paraId="74D0545D" w14:textId="1BE43FD7" w:rsidR="00CC351A" w:rsidRPr="0014515B" w:rsidRDefault="00C86FAA" w:rsidP="006A4719">
      <w:pPr>
        <w:pStyle w:val="Bullet1"/>
        <w:numPr>
          <w:ilvl w:val="0"/>
          <w:numId w:val="8"/>
        </w:numPr>
        <w:spacing w:after="80"/>
      </w:pPr>
      <w:r>
        <w:t>f</w:t>
      </w:r>
      <w:r w:rsidR="00CC351A" w:rsidRPr="0014515B">
        <w:t>orensic residential disability settings</w:t>
      </w:r>
    </w:p>
    <w:p w14:paraId="77416E11" w14:textId="26DA6718" w:rsidR="00CC351A" w:rsidRPr="0014515B" w:rsidRDefault="00F06857" w:rsidP="006A4719">
      <w:pPr>
        <w:pStyle w:val="Bullet1"/>
        <w:numPr>
          <w:ilvl w:val="0"/>
          <w:numId w:val="8"/>
        </w:numPr>
        <w:spacing w:after="80"/>
      </w:pPr>
      <w:r>
        <w:t>S</w:t>
      </w:r>
      <w:r w:rsidR="00CC351A" w:rsidRPr="0014515B">
        <w:t>hort Term Accommodation and Assistance (STAA) or respite facilities</w:t>
      </w:r>
    </w:p>
    <w:p w14:paraId="24286CCD" w14:textId="22C863B4" w:rsidR="00CC351A" w:rsidRPr="0014515B" w:rsidRDefault="00C86FAA" w:rsidP="006A4719">
      <w:pPr>
        <w:pStyle w:val="Bullet1"/>
        <w:numPr>
          <w:ilvl w:val="0"/>
          <w:numId w:val="8"/>
        </w:numPr>
        <w:spacing w:after="80"/>
      </w:pPr>
      <w:r>
        <w:t>s</w:t>
      </w:r>
      <w:r w:rsidR="00CC351A" w:rsidRPr="0014515B">
        <w:t>upported residential services (SRS)</w:t>
      </w:r>
    </w:p>
    <w:p w14:paraId="5778BEFE" w14:textId="77777777" w:rsidR="00152329" w:rsidRPr="0014515B" w:rsidRDefault="00CC351A" w:rsidP="00CC351A">
      <w:pPr>
        <w:pStyle w:val="Heading2"/>
      </w:pPr>
      <w:bookmarkStart w:id="66" w:name="_Toc163573584"/>
      <w:r w:rsidRPr="0014515B">
        <w:t xml:space="preserve">Why are we concerned about respiratory outbreaks in </w:t>
      </w:r>
      <w:r>
        <w:t>RCFs</w:t>
      </w:r>
      <w:r w:rsidRPr="0014515B">
        <w:t>?</w:t>
      </w:r>
      <w:bookmarkEnd w:id="66"/>
    </w:p>
    <w:p w14:paraId="641555CB" w14:textId="359D6C84" w:rsidR="00931F34" w:rsidRPr="0014515B" w:rsidRDefault="00931F34" w:rsidP="00931F34">
      <w:pPr>
        <w:pStyle w:val="Body"/>
      </w:pPr>
      <w:r w:rsidRPr="0014515B">
        <w:t>RCFs are identified as high-risk settings for transmission of respiratory pathogens due to the proximity of residents who are at risk of severe disease or death from respiratory infections</w:t>
      </w:r>
      <w:r w:rsidR="006B619A">
        <w:t xml:space="preserve"> with</w:t>
      </w:r>
      <w:r w:rsidRPr="0014515B">
        <w:t xml:space="preserve"> public health measures </w:t>
      </w:r>
      <w:r w:rsidR="006B619A">
        <w:t>available</w:t>
      </w:r>
      <w:r w:rsidRPr="0014515B">
        <w:t xml:space="preserve"> to limit their spread.</w:t>
      </w:r>
    </w:p>
    <w:p w14:paraId="21892FE1" w14:textId="4CD3C826" w:rsidR="00931F34" w:rsidRPr="0014515B" w:rsidRDefault="00931F34" w:rsidP="00931F34">
      <w:pPr>
        <w:pStyle w:val="Body"/>
      </w:pPr>
      <w:r w:rsidRPr="0014515B">
        <w:t>Vaccines are available for COVID-</w:t>
      </w:r>
      <w:r w:rsidR="5527CA8D" w:rsidRPr="0014515B">
        <w:t>19, influenza</w:t>
      </w:r>
      <w:r w:rsidRPr="0014515B">
        <w:t xml:space="preserve"> </w:t>
      </w:r>
      <w:r w:rsidR="006B619A">
        <w:t xml:space="preserve">and RSV </w:t>
      </w:r>
      <w:r w:rsidRPr="0014515B">
        <w:t>that reduce disease severity and likelihood of infection. Early therapies (antivirals) are available for both COVID-19 and influenza</w:t>
      </w:r>
      <w:r w:rsidRPr="00412309">
        <w:t xml:space="preserve"> Early</w:t>
      </w:r>
      <w:r w:rsidRPr="0014515B">
        <w:t xml:space="preserve"> public health</w:t>
      </w:r>
      <w:r w:rsidRPr="0014515B">
        <w:rPr>
          <w:spacing w:val="1"/>
        </w:rPr>
        <w:t xml:space="preserve"> </w:t>
      </w:r>
      <w:r w:rsidRPr="0014515B">
        <w:t>response</w:t>
      </w:r>
      <w:r w:rsidRPr="0014515B">
        <w:rPr>
          <w:spacing w:val="-2"/>
        </w:rPr>
        <w:t xml:space="preserve"> </w:t>
      </w:r>
      <w:r w:rsidRPr="0014515B">
        <w:t>can</w:t>
      </w:r>
      <w:r w:rsidRPr="0014515B">
        <w:rPr>
          <w:spacing w:val="1"/>
        </w:rPr>
        <w:t xml:space="preserve"> </w:t>
      </w:r>
      <w:r w:rsidRPr="0014515B">
        <w:t>have</w:t>
      </w:r>
      <w:r w:rsidRPr="0014515B">
        <w:rPr>
          <w:spacing w:val="1"/>
        </w:rPr>
        <w:t xml:space="preserve"> </w:t>
      </w:r>
      <w:r w:rsidRPr="0014515B">
        <w:t>a</w:t>
      </w:r>
      <w:r w:rsidRPr="0014515B">
        <w:rPr>
          <w:spacing w:val="-2"/>
        </w:rPr>
        <w:t xml:space="preserve"> </w:t>
      </w:r>
      <w:r w:rsidRPr="0014515B">
        <w:t>significant</w:t>
      </w:r>
      <w:r w:rsidRPr="0014515B">
        <w:rPr>
          <w:spacing w:val="3"/>
        </w:rPr>
        <w:t xml:space="preserve"> </w:t>
      </w:r>
      <w:r w:rsidRPr="0014515B">
        <w:t>positive</w:t>
      </w:r>
      <w:r w:rsidRPr="0014515B">
        <w:rPr>
          <w:spacing w:val="-1"/>
        </w:rPr>
        <w:t xml:space="preserve"> </w:t>
      </w:r>
      <w:r w:rsidRPr="0014515B">
        <w:t>impact to reduce transmission and improve health outcomes for residents living in RCFs.</w:t>
      </w:r>
    </w:p>
    <w:p w14:paraId="634E5BED" w14:textId="0E8BF1C1" w:rsidR="00152329" w:rsidRPr="0014515B" w:rsidRDefault="00931F34" w:rsidP="00152329">
      <w:pPr>
        <w:pStyle w:val="Body"/>
      </w:pPr>
      <w:r w:rsidRPr="0014515B">
        <w:t>To detect outbreaks as early as possible, staff working in RCFs should monitor residents for symptoms of ARI. This will facilitate early identification and testing, and timely</w:t>
      </w:r>
      <w:r w:rsidRPr="0014515B">
        <w:rPr>
          <w:spacing w:val="1"/>
        </w:rPr>
        <w:t xml:space="preserve"> </w:t>
      </w:r>
      <w:r w:rsidRPr="0014515B">
        <w:t>implementation of</w:t>
      </w:r>
      <w:r w:rsidRPr="0014515B">
        <w:rPr>
          <w:spacing w:val="1"/>
        </w:rPr>
        <w:t xml:space="preserve"> </w:t>
      </w:r>
      <w:r w:rsidRPr="0014515B">
        <w:t>prevention</w:t>
      </w:r>
      <w:r w:rsidRPr="0014515B">
        <w:rPr>
          <w:spacing w:val="-1"/>
        </w:rPr>
        <w:t xml:space="preserve"> </w:t>
      </w:r>
      <w:r w:rsidRPr="0014515B">
        <w:t>and</w:t>
      </w:r>
      <w:r w:rsidRPr="0014515B">
        <w:rPr>
          <w:spacing w:val="-1"/>
        </w:rPr>
        <w:t xml:space="preserve"> </w:t>
      </w:r>
      <w:r w:rsidRPr="0014515B">
        <w:t>control</w:t>
      </w:r>
      <w:r w:rsidRPr="0014515B">
        <w:rPr>
          <w:spacing w:val="-2"/>
        </w:rPr>
        <w:t xml:space="preserve"> </w:t>
      </w:r>
      <w:r w:rsidRPr="0014515B">
        <w:t>measures within facilities. It will also assist with monitoring morbidity and mortality from respiratory infections.</w:t>
      </w:r>
    </w:p>
    <w:p w14:paraId="5029830A" w14:textId="18ECD401" w:rsidR="00152329" w:rsidRPr="0014515B" w:rsidRDefault="00931F34" w:rsidP="00931F34">
      <w:pPr>
        <w:pStyle w:val="Heading2"/>
      </w:pPr>
      <w:bookmarkStart w:id="67" w:name="_Toc163573585"/>
      <w:r w:rsidRPr="0014515B">
        <w:lastRenderedPageBreak/>
        <w:t>Objectives of the public health response</w:t>
      </w:r>
      <w:bookmarkEnd w:id="67"/>
    </w:p>
    <w:p w14:paraId="763393D8" w14:textId="623FEFE7" w:rsidR="00A52856" w:rsidRPr="0014515B" w:rsidRDefault="00A52856" w:rsidP="00A52856">
      <w:pPr>
        <w:pStyle w:val="Body"/>
      </w:pPr>
      <w:r w:rsidRPr="0014515B">
        <w:t>The</w:t>
      </w:r>
      <w:r w:rsidRPr="0014515B">
        <w:rPr>
          <w:spacing w:val="-4"/>
        </w:rPr>
        <w:t xml:space="preserve"> </w:t>
      </w:r>
      <w:r w:rsidRPr="0014515B">
        <w:t>objectives</w:t>
      </w:r>
      <w:r w:rsidRPr="0014515B">
        <w:rPr>
          <w:spacing w:val="-2"/>
        </w:rPr>
        <w:t xml:space="preserve"> </w:t>
      </w:r>
      <w:r w:rsidRPr="0014515B">
        <w:t>of</w:t>
      </w:r>
      <w:r w:rsidRPr="0014515B">
        <w:rPr>
          <w:spacing w:val="-1"/>
        </w:rPr>
        <w:t xml:space="preserve"> </w:t>
      </w:r>
      <w:r w:rsidRPr="0014515B">
        <w:t>the</w:t>
      </w:r>
      <w:r w:rsidRPr="0014515B">
        <w:rPr>
          <w:spacing w:val="-1"/>
        </w:rPr>
        <w:t xml:space="preserve"> </w:t>
      </w:r>
      <w:r w:rsidRPr="0014515B">
        <w:t>public health</w:t>
      </w:r>
      <w:r w:rsidRPr="0014515B">
        <w:rPr>
          <w:spacing w:val="-3"/>
        </w:rPr>
        <w:t xml:space="preserve"> </w:t>
      </w:r>
      <w:r w:rsidRPr="0014515B">
        <w:t>response</w:t>
      </w:r>
      <w:r w:rsidRPr="0014515B">
        <w:rPr>
          <w:spacing w:val="-1"/>
        </w:rPr>
        <w:t xml:space="preserve"> </w:t>
      </w:r>
      <w:r w:rsidRPr="0014515B">
        <w:t>are to:</w:t>
      </w:r>
    </w:p>
    <w:p w14:paraId="33BBAB26" w14:textId="78ED6A0C" w:rsidR="00A52856" w:rsidRPr="00F06857" w:rsidRDefault="00F06857" w:rsidP="00F06857">
      <w:pPr>
        <w:pStyle w:val="Bullet1"/>
      </w:pPr>
      <w:r>
        <w:t>r</w:t>
      </w:r>
      <w:r w:rsidR="00A52856" w:rsidRPr="00F06857">
        <w:t>educe transmission of COVID-19, influenza</w:t>
      </w:r>
      <w:r w:rsidR="006B619A" w:rsidRPr="00F06857">
        <w:t>, RSV</w:t>
      </w:r>
      <w:r w:rsidR="00A52856" w:rsidRPr="00F06857">
        <w:t xml:space="preserve"> and other respiratory</w:t>
      </w:r>
      <w:r w:rsidR="00CE54D6" w:rsidRPr="00F06857">
        <w:t xml:space="preserve"> pathogens</w:t>
      </w:r>
    </w:p>
    <w:p w14:paraId="41A19703" w14:textId="6E0DC32B" w:rsidR="00A52856" w:rsidRPr="00F06857" w:rsidRDefault="00F06857" w:rsidP="00F06857">
      <w:pPr>
        <w:pStyle w:val="Bullet1"/>
      </w:pPr>
      <w:r>
        <w:t>e</w:t>
      </w:r>
      <w:r w:rsidR="00A52856" w:rsidRPr="00F06857">
        <w:t xml:space="preserve">nable early detection of </w:t>
      </w:r>
      <w:r w:rsidR="006B619A" w:rsidRPr="00F06857">
        <w:t xml:space="preserve">respiratory </w:t>
      </w:r>
      <w:r w:rsidR="00A52856" w:rsidRPr="00F06857">
        <w:t>outbreaks</w:t>
      </w:r>
    </w:p>
    <w:p w14:paraId="6F2B2F7E" w14:textId="601E571F" w:rsidR="00A52856" w:rsidRPr="00F06857" w:rsidRDefault="00F06857" w:rsidP="00F06857">
      <w:pPr>
        <w:pStyle w:val="Bullet1"/>
      </w:pPr>
      <w:r>
        <w:t>r</w:t>
      </w:r>
      <w:r w:rsidR="00A52856" w:rsidRPr="00F06857">
        <w:t>educe morbidity and mortality in vulnerable populations (for example, the elderly, those living with a disability)</w:t>
      </w:r>
    </w:p>
    <w:p w14:paraId="66C9FA12" w14:textId="54FC1372" w:rsidR="00A52856" w:rsidRPr="00F06857" w:rsidRDefault="00F06857" w:rsidP="00F06857">
      <w:pPr>
        <w:pStyle w:val="Bullet1"/>
      </w:pPr>
      <w:r>
        <w:t>p</w:t>
      </w:r>
      <w:r w:rsidR="00A52856" w:rsidRPr="00F06857">
        <w:t>rotect residents at risk of severe disease</w:t>
      </w:r>
    </w:p>
    <w:p w14:paraId="6D8B63C5" w14:textId="69BB1241" w:rsidR="00A52856" w:rsidRPr="00F06857" w:rsidRDefault="00F06857" w:rsidP="00F06857">
      <w:pPr>
        <w:pStyle w:val="Bullet1"/>
      </w:pPr>
      <w:r>
        <w:t>o</w:t>
      </w:r>
      <w:r w:rsidR="00A52856" w:rsidRPr="00F06857">
        <w:t>ptimise care for residents</w:t>
      </w:r>
    </w:p>
    <w:p w14:paraId="177F779A" w14:textId="0E4934E3" w:rsidR="00A52856" w:rsidRPr="00F06857" w:rsidRDefault="00F06857" w:rsidP="00F06857">
      <w:pPr>
        <w:pStyle w:val="Bullet1"/>
      </w:pPr>
      <w:r>
        <w:t>m</w:t>
      </w:r>
      <w:r w:rsidR="00A52856" w:rsidRPr="00F06857">
        <w:t>inimise the harm of extended isolation on residents</w:t>
      </w:r>
    </w:p>
    <w:p w14:paraId="101C0C51" w14:textId="7B64A4DF" w:rsidR="00A52856" w:rsidRPr="00F06857" w:rsidRDefault="00F06857" w:rsidP="00F06857">
      <w:pPr>
        <w:pStyle w:val="Bullet1"/>
      </w:pPr>
      <w:r>
        <w:t>e</w:t>
      </w:r>
      <w:r w:rsidR="00A52856" w:rsidRPr="00F06857">
        <w:t>ffectively communicate with all involved</w:t>
      </w:r>
    </w:p>
    <w:p w14:paraId="1F1129D6" w14:textId="698AF71F" w:rsidR="00A52856" w:rsidRPr="00F06857" w:rsidRDefault="00F06857" w:rsidP="00F06857">
      <w:pPr>
        <w:pStyle w:val="Bullet1"/>
      </w:pPr>
      <w:r>
        <w:t>c</w:t>
      </w:r>
      <w:r w:rsidR="00A52856" w:rsidRPr="00F06857">
        <w:t>ontribute to state and national surveillance of COVID-19</w:t>
      </w:r>
      <w:r w:rsidR="006B619A" w:rsidRPr="00F06857">
        <w:t xml:space="preserve">, </w:t>
      </w:r>
      <w:r w:rsidR="00A52856" w:rsidRPr="00F06857">
        <w:t xml:space="preserve">influenza </w:t>
      </w:r>
      <w:r w:rsidR="006B619A" w:rsidRPr="00F06857">
        <w:t xml:space="preserve">and RSV </w:t>
      </w:r>
      <w:r w:rsidR="00A52856" w:rsidRPr="00F06857">
        <w:t xml:space="preserve">outbreaks, the associated morbidity and mortality of respiratory pathogens in residential care, the severity and geographical spread of outbreaks, and type/subtyping of SARS-CoV-2, </w:t>
      </w:r>
      <w:r w:rsidR="129DEF6D" w:rsidRPr="00F06857">
        <w:t>influenza,</w:t>
      </w:r>
      <w:r w:rsidR="00A52856" w:rsidRPr="00F06857">
        <w:t xml:space="preserve"> and RSV viruses.</w:t>
      </w:r>
    </w:p>
    <w:p w14:paraId="4BF08000" w14:textId="77777777" w:rsidR="00E73C53" w:rsidRPr="0014515B" w:rsidRDefault="00E73C53" w:rsidP="00E73C53">
      <w:pPr>
        <w:pStyle w:val="Heading2"/>
      </w:pPr>
      <w:bookmarkStart w:id="68" w:name="_Toc163573586"/>
      <w:r w:rsidRPr="0014515B">
        <w:t>Key principles</w:t>
      </w:r>
      <w:bookmarkEnd w:id="68"/>
    </w:p>
    <w:p w14:paraId="646B6E5E" w14:textId="133759A6" w:rsidR="00E73C53" w:rsidRPr="0014515B" w:rsidRDefault="00E73C53" w:rsidP="00E73C53">
      <w:pPr>
        <w:pStyle w:val="Body"/>
      </w:pPr>
      <w:r w:rsidRPr="0014515B">
        <w:t>These guidelines are based on the following key principles:</w:t>
      </w:r>
    </w:p>
    <w:p w14:paraId="0875FB59" w14:textId="77777777" w:rsidR="00E73C53" w:rsidRPr="00F06857" w:rsidRDefault="00E73C53" w:rsidP="00F06857">
      <w:pPr>
        <w:pStyle w:val="Bullet1"/>
      </w:pPr>
      <w:r w:rsidRPr="00F06857">
        <w:t>All people in Victoria should be able to access healthcare and live well and with dignity, regardless of their age and where they live.</w:t>
      </w:r>
    </w:p>
    <w:p w14:paraId="313827BA" w14:textId="0A6DD84E" w:rsidR="00E73C53" w:rsidRPr="00F06857" w:rsidRDefault="00E73C53" w:rsidP="00F06857">
      <w:pPr>
        <w:pStyle w:val="Bullet1"/>
      </w:pPr>
      <w:r w:rsidRPr="00F06857">
        <w:t xml:space="preserve">RCFs provide a home to thousands of vulnerable people across Victoria and Australia. Delivery of person-centred care is </w:t>
      </w:r>
      <w:r w:rsidR="00AF0AE5" w:rsidRPr="00F06857">
        <w:t>necessary,</w:t>
      </w:r>
      <w:r w:rsidRPr="00F06857">
        <w:t xml:space="preserve"> and any restrictions must be proportionate.</w:t>
      </w:r>
    </w:p>
    <w:p w14:paraId="5258CC5B" w14:textId="08219FAA" w:rsidR="00E73C53" w:rsidRPr="00F06857" w:rsidRDefault="00E73C53" w:rsidP="00F06857">
      <w:pPr>
        <w:pStyle w:val="Bullet1"/>
      </w:pPr>
      <w:r w:rsidRPr="00F06857">
        <w:t xml:space="preserve">It is acknowledged that risk cannot be eliminated and that exposures to infections will occur. Providers of residential care are expected to balance their responsibilities to reduce the risk </w:t>
      </w:r>
      <w:r w:rsidR="61021E3D" w:rsidRPr="00F06857">
        <w:t>of respiratory</w:t>
      </w:r>
      <w:r w:rsidRPr="00F06857">
        <w:t xml:space="preserve"> pathogens entering RCFs with their responsibilities for meeting the physical, social, and emotional needs of residents and supporting choice and quality of life.</w:t>
      </w:r>
    </w:p>
    <w:p w14:paraId="33A4AB55" w14:textId="4D76F2AC" w:rsidR="00E73C53" w:rsidRPr="00F06857" w:rsidRDefault="00E73C53" w:rsidP="00F06857">
      <w:pPr>
        <w:pStyle w:val="Bullet1"/>
      </w:pPr>
      <w:r w:rsidRPr="00F06857">
        <w:t xml:space="preserve">Reduce the risk of severe outcomes </w:t>
      </w:r>
      <w:r w:rsidR="458A17F2" w:rsidRPr="00F06857">
        <w:t>of respiratory</w:t>
      </w:r>
      <w:r w:rsidR="006B619A" w:rsidRPr="00F06857">
        <w:t xml:space="preserve"> </w:t>
      </w:r>
      <w:r w:rsidRPr="00F06857">
        <w:t>infection, especially amongst older people, those with medical comorbidities or who are immunosuppressed and those who are unvaccinated/partially vaccinated.</w:t>
      </w:r>
    </w:p>
    <w:p w14:paraId="3C811151" w14:textId="56D06FF1" w:rsidR="00E73C53" w:rsidRPr="00F06857" w:rsidRDefault="00E73C53" w:rsidP="00F06857">
      <w:pPr>
        <w:pStyle w:val="Bullet1"/>
      </w:pPr>
      <w:r w:rsidRPr="00F06857">
        <w:t>Continue to ensure health equity by supporting those people in our community with higher risk of disease transmission and where access to health care may be reduced, such as experiencing socioeconomic or geographical disadvantage, Aboriginal and Torres Strait Islander people and those in culturally and linguistically diverse communities.</w:t>
      </w:r>
    </w:p>
    <w:p w14:paraId="4E43FFD9" w14:textId="77777777" w:rsidR="00A52856" w:rsidRPr="0014515B" w:rsidRDefault="00A52856" w:rsidP="00A52856">
      <w:pPr>
        <w:pStyle w:val="Heading2"/>
      </w:pPr>
      <w:bookmarkStart w:id="69" w:name="_Toc163573587"/>
      <w:r w:rsidRPr="0014515B">
        <w:t>Le</w:t>
      </w:r>
      <w:r w:rsidR="009E2C82" w:rsidRPr="0014515B">
        <w:t>gal</w:t>
      </w:r>
      <w:bookmarkEnd w:id="69"/>
    </w:p>
    <w:p w14:paraId="323B62F2" w14:textId="46086496" w:rsidR="008753A7" w:rsidRPr="0014515B" w:rsidRDefault="008753A7" w:rsidP="008753A7">
      <w:pPr>
        <w:pStyle w:val="Body"/>
      </w:pPr>
      <w:r w:rsidRPr="0014515B">
        <w:t xml:space="preserve">It is the responsibility of residential care approved providers to identify and comply with relevant legislation and regulations. </w:t>
      </w:r>
    </w:p>
    <w:p w14:paraId="28DF601A" w14:textId="3E1BF71B" w:rsidR="008753A7" w:rsidRPr="0014515B" w:rsidRDefault="008753A7" w:rsidP="008753A7">
      <w:pPr>
        <w:pStyle w:val="Body"/>
      </w:pPr>
      <w:r w:rsidRPr="0014515B">
        <w:t xml:space="preserve">Whilst reporting </w:t>
      </w:r>
      <w:r w:rsidRPr="00403484">
        <w:t xml:space="preserve">respiratory outbreaks is currently not a legislative requirement in Victoria, </w:t>
      </w:r>
      <w:r w:rsidR="003A45BB" w:rsidRPr="00403484">
        <w:t>RCFs</w:t>
      </w:r>
      <w:r w:rsidR="00E56746" w:rsidRPr="00403484">
        <w:t xml:space="preserve"> </w:t>
      </w:r>
      <w:r w:rsidR="420596CF" w:rsidRPr="00403484">
        <w:t xml:space="preserve">are recommended to </w:t>
      </w:r>
      <w:r w:rsidR="00E56746" w:rsidRPr="00403484">
        <w:t>report</w:t>
      </w:r>
      <w:r w:rsidR="00BB5028" w:rsidRPr="00403484">
        <w:t xml:space="preserve"> </w:t>
      </w:r>
      <w:r w:rsidR="0098393E" w:rsidRPr="00403484">
        <w:t xml:space="preserve">outbreaks </w:t>
      </w:r>
      <w:r w:rsidR="00E3231B" w:rsidRPr="00403484">
        <w:t>to the dep</w:t>
      </w:r>
      <w:r w:rsidR="004D7F5F" w:rsidRPr="00403484">
        <w:t>artment</w:t>
      </w:r>
      <w:r w:rsidR="001C1C9E" w:rsidRPr="00403484">
        <w:t xml:space="preserve"> so that LPHUs can provide support managing the outbreak.</w:t>
      </w:r>
      <w:r w:rsidR="001C1C9E" w:rsidRPr="006F493F">
        <w:t xml:space="preserve"> </w:t>
      </w:r>
    </w:p>
    <w:p w14:paraId="5755E42C" w14:textId="05BB8F02" w:rsidR="00264A28" w:rsidRDefault="008753A7" w:rsidP="00403484">
      <w:pPr>
        <w:pStyle w:val="Body"/>
      </w:pPr>
      <w:r>
        <w:t xml:space="preserve">RCFs must fulfil their legal responsibilities in relation to managing organisational infection risk by adopting standard and </w:t>
      </w:r>
      <w:r w:rsidR="1D8543C3">
        <w:t>transmission-based</w:t>
      </w:r>
      <w:r>
        <w:t xml:space="preserve"> precautions for infection control as directed by the department and Commonwealth Public Health authorities as outlined throughout this document and in </w:t>
      </w:r>
      <w:hyperlink r:id="rId19">
        <w:r w:rsidRPr="6B2561BA">
          <w:rPr>
            <w:rStyle w:val="Hyperlink"/>
          </w:rPr>
          <w:t>Australian Guidelines for the Prevention and Control in Healthcare (2019)</w:t>
        </w:r>
      </w:hyperlink>
      <w:r w:rsidRPr="6B2561BA">
        <w:rPr>
          <w:i/>
          <w:iCs/>
        </w:rPr>
        <w:t xml:space="preserve"> </w:t>
      </w:r>
      <w:r>
        <w:t>&lt;https://www.nhmrc.gov.au/about-us/publications/australian-guidelines-prevention-and-control-</w:t>
      </w:r>
      <w:r>
        <w:lastRenderedPageBreak/>
        <w:t xml:space="preserve">infection-healthcare-2019&gt;. Residential </w:t>
      </w:r>
      <w:r w:rsidRPr="6B2561BA">
        <w:rPr>
          <w:b/>
          <w:bCs/>
        </w:rPr>
        <w:t>aged</w:t>
      </w:r>
      <w:r>
        <w:t xml:space="preserve"> care facilities are also required to operate under the Aged Care Act 1997 to be accredited and be eligible for funding. Accreditation requires adherence to infection control standards.</w:t>
      </w:r>
    </w:p>
    <w:p w14:paraId="4F691DA5" w14:textId="77777777" w:rsidR="00022159" w:rsidRPr="0014515B" w:rsidRDefault="00022159" w:rsidP="00022159">
      <w:pPr>
        <w:spacing w:after="0" w:line="240" w:lineRule="auto"/>
        <w:rPr>
          <w:rFonts w:eastAsia="Times"/>
        </w:rPr>
      </w:pPr>
      <w:bookmarkStart w:id="70" w:name="_Toc128756776"/>
      <w:bookmarkStart w:id="71" w:name="_Toc128756777"/>
      <w:bookmarkStart w:id="72" w:name="_Toc128756778"/>
      <w:bookmarkStart w:id="73" w:name="_Toc128756779"/>
      <w:bookmarkStart w:id="74" w:name="_Toc128756780"/>
      <w:bookmarkStart w:id="75" w:name="_Toc128756781"/>
      <w:bookmarkStart w:id="76" w:name="_Toc128756782"/>
      <w:bookmarkStart w:id="77" w:name="_Toc128756783"/>
      <w:bookmarkStart w:id="78" w:name="_Toc128756784"/>
      <w:bookmarkStart w:id="79" w:name="_Toc128756785"/>
      <w:bookmarkStart w:id="80" w:name="_Toc128756786"/>
      <w:bookmarkStart w:id="81" w:name="_Toc128756787"/>
      <w:bookmarkStart w:id="82" w:name="_Toc128756788"/>
      <w:bookmarkStart w:id="83" w:name="_Toc128756789"/>
      <w:bookmarkStart w:id="84" w:name="_Toc128756790"/>
      <w:bookmarkStart w:id="85" w:name="_Toc128756791"/>
      <w:bookmarkStart w:id="86" w:name="_Toc128756792"/>
      <w:bookmarkStart w:id="87" w:name="_Toc128756793"/>
      <w:bookmarkStart w:id="88" w:name="_Toc128756794"/>
      <w:bookmarkStart w:id="89" w:name="_Toc128756795"/>
      <w:bookmarkStart w:id="90" w:name="_Toc128756796"/>
      <w:bookmarkStart w:id="91" w:name="_Toc128756797"/>
      <w:bookmarkStart w:id="92" w:name="_Toc128756798"/>
      <w:bookmarkStart w:id="93" w:name="_Toc128756799"/>
      <w:bookmarkStart w:id="94" w:name="_Toc128756800"/>
      <w:bookmarkStart w:id="95" w:name="_Toc128756801"/>
      <w:bookmarkStart w:id="96" w:name="_Toc128756802"/>
      <w:bookmarkStart w:id="97" w:name="_Toc128756803"/>
      <w:bookmarkStart w:id="98" w:name="_Toc128756804"/>
      <w:bookmarkStart w:id="99" w:name="_Toc128756805"/>
      <w:bookmarkStart w:id="100" w:name="_Toc128756806"/>
      <w:bookmarkStart w:id="101" w:name="_Toc128756807"/>
      <w:bookmarkStart w:id="102" w:name="_Toc128756808"/>
      <w:bookmarkStart w:id="103" w:name="_Toc128756809"/>
      <w:bookmarkStart w:id="104" w:name="_Toc128756810"/>
      <w:bookmarkStart w:id="105" w:name="_Toc128756811"/>
      <w:bookmarkStart w:id="106" w:name="_Toc128756812"/>
      <w:bookmarkStart w:id="107" w:name="_Toc128756813"/>
      <w:bookmarkStart w:id="108" w:name="_Toc12875681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14515B">
        <w:br w:type="page"/>
      </w:r>
    </w:p>
    <w:p w14:paraId="36BD7D0E" w14:textId="77777777" w:rsidR="009824FE" w:rsidRPr="0014515B" w:rsidRDefault="00A71720" w:rsidP="00EA2C30">
      <w:pPr>
        <w:pStyle w:val="Heading1"/>
        <w:numPr>
          <w:ilvl w:val="0"/>
          <w:numId w:val="19"/>
        </w:numPr>
        <w:ind w:left="567"/>
      </w:pPr>
      <w:bookmarkStart w:id="109" w:name="_Toc128757187"/>
      <w:bookmarkStart w:id="110" w:name="_Toc128757883"/>
      <w:bookmarkStart w:id="111" w:name="_Toc128997758"/>
      <w:bookmarkStart w:id="112" w:name="_Toc128998136"/>
      <w:bookmarkStart w:id="113" w:name="_Toc129001398"/>
      <w:bookmarkStart w:id="114" w:name="_Toc129007235"/>
      <w:bookmarkStart w:id="115" w:name="_Toc128757188"/>
      <w:bookmarkStart w:id="116" w:name="_Toc128757884"/>
      <w:bookmarkStart w:id="117" w:name="_Toc128997759"/>
      <w:bookmarkStart w:id="118" w:name="_Toc128998137"/>
      <w:bookmarkStart w:id="119" w:name="_Toc129001399"/>
      <w:bookmarkStart w:id="120" w:name="_Toc129007236"/>
      <w:bookmarkStart w:id="121" w:name="_Toc128757189"/>
      <w:bookmarkStart w:id="122" w:name="_Toc128757885"/>
      <w:bookmarkStart w:id="123" w:name="_Toc128997760"/>
      <w:bookmarkStart w:id="124" w:name="_Toc128998138"/>
      <w:bookmarkStart w:id="125" w:name="_Toc129001400"/>
      <w:bookmarkStart w:id="126" w:name="_Toc129007237"/>
      <w:bookmarkStart w:id="127" w:name="_Toc128757190"/>
      <w:bookmarkStart w:id="128" w:name="_Toc128757886"/>
      <w:bookmarkStart w:id="129" w:name="_Toc128997761"/>
      <w:bookmarkStart w:id="130" w:name="_Toc128998139"/>
      <w:bookmarkStart w:id="131" w:name="_Toc129001401"/>
      <w:bookmarkStart w:id="132" w:name="_Toc129007238"/>
      <w:bookmarkStart w:id="133" w:name="_Toc128757191"/>
      <w:bookmarkStart w:id="134" w:name="_Toc128757887"/>
      <w:bookmarkStart w:id="135" w:name="_Toc128997762"/>
      <w:bookmarkStart w:id="136" w:name="_Toc128998140"/>
      <w:bookmarkStart w:id="137" w:name="_Toc129001402"/>
      <w:bookmarkStart w:id="138" w:name="_Toc129007239"/>
      <w:bookmarkStart w:id="139" w:name="_Toc128757192"/>
      <w:bookmarkStart w:id="140" w:name="_Toc128757888"/>
      <w:bookmarkStart w:id="141" w:name="_Toc128997763"/>
      <w:bookmarkStart w:id="142" w:name="_Toc128998141"/>
      <w:bookmarkStart w:id="143" w:name="_Toc129001403"/>
      <w:bookmarkStart w:id="144" w:name="_Toc129007240"/>
      <w:bookmarkStart w:id="145" w:name="_Toc128757193"/>
      <w:bookmarkStart w:id="146" w:name="_Toc128757889"/>
      <w:bookmarkStart w:id="147" w:name="_Toc128997764"/>
      <w:bookmarkStart w:id="148" w:name="_Toc128998142"/>
      <w:bookmarkStart w:id="149" w:name="_Toc129001404"/>
      <w:bookmarkStart w:id="150" w:name="_Toc129007241"/>
      <w:bookmarkStart w:id="151" w:name="_Toc128756817"/>
      <w:bookmarkStart w:id="152" w:name="_Toc128757194"/>
      <w:bookmarkStart w:id="153" w:name="_Toc128757890"/>
      <w:bookmarkStart w:id="154" w:name="_Toc128997765"/>
      <w:bookmarkStart w:id="155" w:name="_Toc128998143"/>
      <w:bookmarkStart w:id="156" w:name="_Toc129001405"/>
      <w:bookmarkStart w:id="157" w:name="_Toc129007242"/>
      <w:bookmarkStart w:id="158" w:name="_Toc128756818"/>
      <w:bookmarkStart w:id="159" w:name="_Toc128757195"/>
      <w:bookmarkStart w:id="160" w:name="_Toc128757891"/>
      <w:bookmarkStart w:id="161" w:name="_Toc128997766"/>
      <w:bookmarkStart w:id="162" w:name="_Toc128998144"/>
      <w:bookmarkStart w:id="163" w:name="_Toc129001406"/>
      <w:bookmarkStart w:id="164" w:name="_Toc129007243"/>
      <w:bookmarkStart w:id="165" w:name="_Toc128756819"/>
      <w:bookmarkStart w:id="166" w:name="_Toc128757196"/>
      <w:bookmarkStart w:id="167" w:name="_Toc128757892"/>
      <w:bookmarkStart w:id="168" w:name="_Toc128997767"/>
      <w:bookmarkStart w:id="169" w:name="_Toc128998145"/>
      <w:bookmarkStart w:id="170" w:name="_Toc129001407"/>
      <w:bookmarkStart w:id="171" w:name="_Toc129007244"/>
      <w:bookmarkStart w:id="172" w:name="_Toc128756820"/>
      <w:bookmarkStart w:id="173" w:name="_Toc128757197"/>
      <w:bookmarkStart w:id="174" w:name="_Toc128757893"/>
      <w:bookmarkStart w:id="175" w:name="_Toc128997768"/>
      <w:bookmarkStart w:id="176" w:name="_Toc128998146"/>
      <w:bookmarkStart w:id="177" w:name="_Toc129001408"/>
      <w:bookmarkStart w:id="178" w:name="_Toc129007245"/>
      <w:bookmarkStart w:id="179" w:name="_Toc128756821"/>
      <w:bookmarkStart w:id="180" w:name="_Toc128757198"/>
      <w:bookmarkStart w:id="181" w:name="_Toc128757894"/>
      <w:bookmarkStart w:id="182" w:name="_Toc128997769"/>
      <w:bookmarkStart w:id="183" w:name="_Toc128998147"/>
      <w:bookmarkStart w:id="184" w:name="_Toc129001409"/>
      <w:bookmarkStart w:id="185" w:name="_Toc129007246"/>
      <w:bookmarkStart w:id="186" w:name="_Toc128756822"/>
      <w:bookmarkStart w:id="187" w:name="_Toc128757199"/>
      <w:bookmarkStart w:id="188" w:name="_Toc128757895"/>
      <w:bookmarkStart w:id="189" w:name="_Toc128997770"/>
      <w:bookmarkStart w:id="190" w:name="_Toc128998148"/>
      <w:bookmarkStart w:id="191" w:name="_Toc129001410"/>
      <w:bookmarkStart w:id="192" w:name="_Toc129007247"/>
      <w:bookmarkStart w:id="193" w:name="_Toc128756823"/>
      <w:bookmarkStart w:id="194" w:name="_Toc128757200"/>
      <w:bookmarkStart w:id="195" w:name="_Toc128757896"/>
      <w:bookmarkStart w:id="196" w:name="_Toc128997771"/>
      <w:bookmarkStart w:id="197" w:name="_Toc128998149"/>
      <w:bookmarkStart w:id="198" w:name="_Toc129001411"/>
      <w:bookmarkStart w:id="199" w:name="_Toc129007248"/>
      <w:bookmarkStart w:id="200" w:name="_Toc128756824"/>
      <w:bookmarkStart w:id="201" w:name="_Toc128757201"/>
      <w:bookmarkStart w:id="202" w:name="_Toc128757897"/>
      <w:bookmarkStart w:id="203" w:name="_Toc128997772"/>
      <w:bookmarkStart w:id="204" w:name="_Toc128998150"/>
      <w:bookmarkStart w:id="205" w:name="_Toc129001412"/>
      <w:bookmarkStart w:id="206" w:name="_Toc129007249"/>
      <w:bookmarkStart w:id="207" w:name="_Toc128756825"/>
      <w:bookmarkStart w:id="208" w:name="_Toc128757202"/>
      <w:bookmarkStart w:id="209" w:name="_Toc128757898"/>
      <w:bookmarkStart w:id="210" w:name="_Toc128997773"/>
      <w:bookmarkStart w:id="211" w:name="_Toc128998151"/>
      <w:bookmarkStart w:id="212" w:name="_Toc129001413"/>
      <w:bookmarkStart w:id="213" w:name="_Toc129007250"/>
      <w:bookmarkStart w:id="214" w:name="_Toc128756826"/>
      <w:bookmarkStart w:id="215" w:name="_Toc128757203"/>
      <w:bookmarkStart w:id="216" w:name="_Toc128757899"/>
      <w:bookmarkStart w:id="217" w:name="_Toc128997774"/>
      <w:bookmarkStart w:id="218" w:name="_Toc128998152"/>
      <w:bookmarkStart w:id="219" w:name="_Toc129001414"/>
      <w:bookmarkStart w:id="220" w:name="_Toc129007251"/>
      <w:bookmarkStart w:id="221" w:name="_Toc128756827"/>
      <w:bookmarkStart w:id="222" w:name="_Toc128757204"/>
      <w:bookmarkStart w:id="223" w:name="_Toc128757900"/>
      <w:bookmarkStart w:id="224" w:name="_Toc128997775"/>
      <w:bookmarkStart w:id="225" w:name="_Toc128998153"/>
      <w:bookmarkStart w:id="226" w:name="_Toc129001415"/>
      <w:bookmarkStart w:id="227" w:name="_Toc129007252"/>
      <w:bookmarkStart w:id="228" w:name="_Toc128756828"/>
      <w:bookmarkStart w:id="229" w:name="_Toc128757205"/>
      <w:bookmarkStart w:id="230" w:name="_Toc128757901"/>
      <w:bookmarkStart w:id="231" w:name="_Toc128997776"/>
      <w:bookmarkStart w:id="232" w:name="_Toc128998154"/>
      <w:bookmarkStart w:id="233" w:name="_Toc129001416"/>
      <w:bookmarkStart w:id="234" w:name="_Toc129007253"/>
      <w:bookmarkStart w:id="235" w:name="_Toc128756829"/>
      <w:bookmarkStart w:id="236" w:name="_Toc128757206"/>
      <w:bookmarkStart w:id="237" w:name="_Toc128757902"/>
      <w:bookmarkStart w:id="238" w:name="_Toc128997777"/>
      <w:bookmarkStart w:id="239" w:name="_Toc128998155"/>
      <w:bookmarkStart w:id="240" w:name="_Toc129001417"/>
      <w:bookmarkStart w:id="241" w:name="_Toc129007254"/>
      <w:bookmarkStart w:id="242" w:name="_Toc128756830"/>
      <w:bookmarkStart w:id="243" w:name="_Toc128757207"/>
      <w:bookmarkStart w:id="244" w:name="_Toc128757903"/>
      <w:bookmarkStart w:id="245" w:name="_Toc128997778"/>
      <w:bookmarkStart w:id="246" w:name="_Toc128998156"/>
      <w:bookmarkStart w:id="247" w:name="_Toc129001418"/>
      <w:bookmarkStart w:id="248" w:name="_Toc129007255"/>
      <w:bookmarkStart w:id="249" w:name="_Toc128756831"/>
      <w:bookmarkStart w:id="250" w:name="_Toc128757208"/>
      <w:bookmarkStart w:id="251" w:name="_Toc128757904"/>
      <w:bookmarkStart w:id="252" w:name="_Toc128997779"/>
      <w:bookmarkStart w:id="253" w:name="_Toc128998157"/>
      <w:bookmarkStart w:id="254" w:name="_Toc129001419"/>
      <w:bookmarkStart w:id="255" w:name="_Toc129007256"/>
      <w:bookmarkStart w:id="256" w:name="_Toc128756832"/>
      <w:bookmarkStart w:id="257" w:name="_Toc128757209"/>
      <w:bookmarkStart w:id="258" w:name="_Toc128757905"/>
      <w:bookmarkStart w:id="259" w:name="_Toc128997780"/>
      <w:bookmarkStart w:id="260" w:name="_Toc128998158"/>
      <w:bookmarkStart w:id="261" w:name="_Toc129001420"/>
      <w:bookmarkStart w:id="262" w:name="_Toc129007257"/>
      <w:bookmarkStart w:id="263" w:name="_Toc128756833"/>
      <w:bookmarkStart w:id="264" w:name="_Toc128757210"/>
      <w:bookmarkStart w:id="265" w:name="_Toc128757906"/>
      <w:bookmarkStart w:id="266" w:name="_Toc128997781"/>
      <w:bookmarkStart w:id="267" w:name="_Toc128998159"/>
      <w:bookmarkStart w:id="268" w:name="_Toc129001421"/>
      <w:bookmarkStart w:id="269" w:name="_Toc129007258"/>
      <w:bookmarkStart w:id="270" w:name="_Toc128756834"/>
      <w:bookmarkStart w:id="271" w:name="_Toc128757211"/>
      <w:bookmarkStart w:id="272" w:name="_Toc128757907"/>
      <w:bookmarkStart w:id="273" w:name="_Toc128997782"/>
      <w:bookmarkStart w:id="274" w:name="_Toc128998160"/>
      <w:bookmarkStart w:id="275" w:name="_Toc129001422"/>
      <w:bookmarkStart w:id="276" w:name="_Toc129007259"/>
      <w:bookmarkStart w:id="277" w:name="_Toc128756835"/>
      <w:bookmarkStart w:id="278" w:name="_Toc128757212"/>
      <w:bookmarkStart w:id="279" w:name="_Toc128757908"/>
      <w:bookmarkStart w:id="280" w:name="_Toc128997783"/>
      <w:bookmarkStart w:id="281" w:name="_Toc128998161"/>
      <w:bookmarkStart w:id="282" w:name="_Toc129001423"/>
      <w:bookmarkStart w:id="283" w:name="_Toc129007260"/>
      <w:bookmarkStart w:id="284" w:name="_Toc128756836"/>
      <w:bookmarkStart w:id="285" w:name="_Toc128757213"/>
      <w:bookmarkStart w:id="286" w:name="_Toc128757909"/>
      <w:bookmarkStart w:id="287" w:name="_Toc128997784"/>
      <w:bookmarkStart w:id="288" w:name="_Toc128998162"/>
      <w:bookmarkStart w:id="289" w:name="_Toc129001424"/>
      <w:bookmarkStart w:id="290" w:name="_Toc129007261"/>
      <w:bookmarkStart w:id="291" w:name="_Toc16357358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14515B">
        <w:lastRenderedPageBreak/>
        <w:t>Prevention and preparedness</w:t>
      </w:r>
      <w:bookmarkEnd w:id="291"/>
    </w:p>
    <w:p w14:paraId="7F308059" w14:textId="7464AE94" w:rsidR="00142630" w:rsidRPr="0014515B" w:rsidRDefault="00142630" w:rsidP="00E80E7D">
      <w:pPr>
        <w:pStyle w:val="Body"/>
      </w:pPr>
      <w:r w:rsidRPr="00E80E7D">
        <w:t>When</w:t>
      </w:r>
      <w:r>
        <w:t xml:space="preserve"> there is widespread community transmission, it is expected that there will be exposure to </w:t>
      </w:r>
      <w:r w:rsidR="006B619A">
        <w:t>respiratory viruses</w:t>
      </w:r>
      <w:r>
        <w:t>, and cases within RCFs. RCFs are responsible for ensuring they are prepared to carry out public health measures in response to COVID-</w:t>
      </w:r>
      <w:r w:rsidR="4A436A45">
        <w:t>19, influenza</w:t>
      </w:r>
      <w:r>
        <w:t xml:space="preserve"> </w:t>
      </w:r>
      <w:r w:rsidR="006003FD">
        <w:t xml:space="preserve">and RSV </w:t>
      </w:r>
      <w:r>
        <w:t xml:space="preserve">cases in their facility. RCFs should consider plans that balance the risk of </w:t>
      </w:r>
      <w:r w:rsidR="006003FD">
        <w:t xml:space="preserve">infection </w:t>
      </w:r>
      <w:r>
        <w:t xml:space="preserve">with the health and wellbeing of residents. Additionally, facilities should implement controls to reduce the risk of </w:t>
      </w:r>
      <w:r w:rsidR="006003FD">
        <w:t xml:space="preserve">respiratory viruses </w:t>
      </w:r>
      <w:r>
        <w:t>entering the facility.</w:t>
      </w:r>
    </w:p>
    <w:p w14:paraId="1778E914" w14:textId="459C095C" w:rsidR="00FC4DBE" w:rsidRDefault="002229C7">
      <w:pPr>
        <w:pStyle w:val="Body"/>
        <w:rPr>
          <w:lang w:val="en-US"/>
        </w:rPr>
      </w:pPr>
      <w:r w:rsidRPr="6B2561BA">
        <w:rPr>
          <w:lang w:val="en-US"/>
        </w:rPr>
        <w:t xml:space="preserve">Facilities should have COVIDSafe plans (or equivalent policies) to manage positive </w:t>
      </w:r>
      <w:bookmarkStart w:id="292" w:name="_Int_0u9yxTbf"/>
      <w:r w:rsidRPr="6B2561BA">
        <w:rPr>
          <w:lang w:val="en-US"/>
        </w:rPr>
        <w:t>cases who are</w:t>
      </w:r>
      <w:bookmarkEnd w:id="292"/>
      <w:r w:rsidRPr="6B2561BA">
        <w:rPr>
          <w:lang w:val="en-US"/>
        </w:rPr>
        <w:t xml:space="preserve"> patients or residents, </w:t>
      </w:r>
      <w:r w:rsidR="3DE92682" w:rsidRPr="6B2561BA">
        <w:rPr>
          <w:lang w:val="en-US"/>
        </w:rPr>
        <w:t>employees,</w:t>
      </w:r>
      <w:r w:rsidRPr="6B2561BA">
        <w:rPr>
          <w:lang w:val="en-US"/>
        </w:rPr>
        <w:t xml:space="preserve"> and visitors and </w:t>
      </w:r>
      <w:r w:rsidR="27C0377D" w:rsidRPr="6B2561BA">
        <w:rPr>
          <w:lang w:val="en-US"/>
        </w:rPr>
        <w:t xml:space="preserve">to </w:t>
      </w:r>
      <w:r w:rsidRPr="6B2561BA">
        <w:rPr>
          <w:lang w:val="en-US"/>
        </w:rPr>
        <w:t>promote isolation of cases.</w:t>
      </w:r>
    </w:p>
    <w:p w14:paraId="55271F19" w14:textId="2BB7AD46" w:rsidR="00B97796" w:rsidRPr="0014515B" w:rsidRDefault="00B97796" w:rsidP="00B97796">
      <w:pPr>
        <w:pStyle w:val="Body"/>
      </w:pPr>
      <w:r w:rsidRPr="0014515B">
        <w:t xml:space="preserve">This section will provide practical guidance to support RCFs. The </w:t>
      </w:r>
      <w:r w:rsidR="00960897">
        <w:t xml:space="preserve">blue </w:t>
      </w:r>
      <w:r w:rsidRPr="0014515B">
        <w:t>text boxes are prompts for RCFs to help prevent and prepare for an outbreak.</w:t>
      </w:r>
    </w:p>
    <w:p w14:paraId="1E7350B0" w14:textId="77777777" w:rsidR="00445EF7" w:rsidRPr="0014515B" w:rsidRDefault="00445EF7">
      <w:pPr>
        <w:pStyle w:val="Heading2"/>
      </w:pPr>
      <w:bookmarkStart w:id="293" w:name="_Toc108093037"/>
      <w:bookmarkStart w:id="294" w:name="_Toc108623750"/>
      <w:bookmarkStart w:id="295" w:name="_Toc109729943"/>
      <w:bookmarkStart w:id="296" w:name="_Toc109729845"/>
      <w:bookmarkStart w:id="297" w:name="_Toc109730812"/>
      <w:bookmarkStart w:id="298" w:name="_Toc111121590"/>
      <w:bookmarkStart w:id="299" w:name="_Toc111638391"/>
      <w:bookmarkStart w:id="300" w:name="_Toc111708277"/>
      <w:bookmarkStart w:id="301" w:name="_Toc112144699"/>
      <w:bookmarkStart w:id="302" w:name="_Toc113443368"/>
      <w:bookmarkStart w:id="303" w:name="_Toc163573589"/>
      <w:r w:rsidRPr="0014515B">
        <w:t>Developing the Outbreak Management Plan</w:t>
      </w:r>
      <w:bookmarkEnd w:id="293"/>
      <w:bookmarkEnd w:id="294"/>
      <w:bookmarkEnd w:id="295"/>
      <w:bookmarkEnd w:id="296"/>
      <w:bookmarkEnd w:id="297"/>
      <w:bookmarkEnd w:id="298"/>
      <w:bookmarkEnd w:id="299"/>
      <w:bookmarkEnd w:id="300"/>
      <w:bookmarkEnd w:id="301"/>
      <w:bookmarkEnd w:id="302"/>
      <w:bookmarkEnd w:id="303"/>
    </w:p>
    <w:p w14:paraId="72CC2BC9" w14:textId="248872A0" w:rsidR="00445EF7" w:rsidRPr="0014515B" w:rsidRDefault="00445EF7" w:rsidP="00445EF7">
      <w:pPr>
        <w:pStyle w:val="Body"/>
      </w:pPr>
      <w:r>
        <w:t xml:space="preserve">Preparing an OMP is essential in ensuring RCFs can rapidly respond to and </w:t>
      </w:r>
      <w:r w:rsidR="49D69281">
        <w:t>manage exposures</w:t>
      </w:r>
      <w:r w:rsidR="006003FD">
        <w:t xml:space="preserve"> to respiratory viruses and </w:t>
      </w:r>
      <w:r>
        <w:t>outbreak</w:t>
      </w:r>
      <w:r w:rsidR="006003FD">
        <w:t>s</w:t>
      </w:r>
      <w:r>
        <w:t xml:space="preserve"> within their setting.</w:t>
      </w:r>
    </w:p>
    <w:p w14:paraId="1DB8C425" w14:textId="6CA71ED1" w:rsidR="00445EF7" w:rsidRPr="0014515B" w:rsidRDefault="00445EF7" w:rsidP="00445EF7">
      <w:pPr>
        <w:pStyle w:val="Body"/>
      </w:pPr>
      <w:r w:rsidRPr="0014515B">
        <w:t xml:space="preserve">The plan should describe how residents, staff and contractors will be kept safe, actions that will be taken, and pre-established processes intended to limit the severity and duration of an outbreak. It should identify dedicated staff members to plan and coordinate activities in response to an exposure or outbreak, as well as communicate with the relevant LPHU or the department. </w:t>
      </w:r>
      <w:r w:rsidR="00102FF6">
        <w:t xml:space="preserve">Larger sites should consider whether a separate plan for each </w:t>
      </w:r>
      <w:r w:rsidR="0073649B">
        <w:t>area</w:t>
      </w:r>
      <w:r w:rsidR="00102FF6">
        <w:t xml:space="preserve"> is more appropriate.</w:t>
      </w:r>
    </w:p>
    <w:p w14:paraId="48EB382B" w14:textId="428E912F" w:rsidR="00445EF7" w:rsidRPr="0014515B" w:rsidRDefault="00445EF7" w:rsidP="00445EF7">
      <w:pPr>
        <w:pStyle w:val="Body"/>
      </w:pPr>
      <w:r w:rsidRPr="0014515B">
        <w:t xml:space="preserve">Facilities should regularly review and update their plan to ensure it reflects business practices, staffing and current COVIDSafe settings. </w:t>
      </w:r>
      <w:r w:rsidR="002E10D2">
        <w:t>L</w:t>
      </w:r>
      <w:r w:rsidR="002E10D2" w:rsidRPr="0014515B">
        <w:t>earnings from previous outbreaks should be reviewed and improvements made where necessary.</w:t>
      </w:r>
      <w:r w:rsidR="002E10D2">
        <w:t xml:space="preserve"> </w:t>
      </w:r>
      <w:r w:rsidRPr="0014515B">
        <w:t>The following should be kept up to date:</w:t>
      </w:r>
    </w:p>
    <w:p w14:paraId="219969BC" w14:textId="77777777" w:rsidR="00445EF7" w:rsidRPr="00E80E7D" w:rsidRDefault="00445EF7" w:rsidP="00E80E7D">
      <w:pPr>
        <w:pStyle w:val="Bullet1"/>
      </w:pPr>
      <w:r w:rsidRPr="00E80E7D">
        <w:t>detailed floor plan</w:t>
      </w:r>
    </w:p>
    <w:p w14:paraId="157A0E84" w14:textId="77777777" w:rsidR="00445EF7" w:rsidRPr="00E80E7D" w:rsidRDefault="00445EF7" w:rsidP="00E80E7D">
      <w:pPr>
        <w:pStyle w:val="Bullet1"/>
      </w:pPr>
      <w:r w:rsidRPr="00E80E7D">
        <w:t>list of residents and family contact details where appropriate</w:t>
      </w:r>
    </w:p>
    <w:p w14:paraId="068BA0CB" w14:textId="77777777" w:rsidR="00445EF7" w:rsidRPr="00E80E7D" w:rsidRDefault="00445EF7" w:rsidP="00E80E7D">
      <w:pPr>
        <w:pStyle w:val="Bullet1"/>
      </w:pPr>
      <w:r w:rsidRPr="00E80E7D">
        <w:t>list of all staff employed by the facility, including agency staff</w:t>
      </w:r>
    </w:p>
    <w:p w14:paraId="35A4401F" w14:textId="77777777" w:rsidR="00445EF7" w:rsidRPr="00E80E7D" w:rsidRDefault="00445EF7" w:rsidP="00E80E7D">
      <w:pPr>
        <w:pStyle w:val="Bullet1"/>
      </w:pPr>
      <w:r w:rsidRPr="00E80E7D">
        <w:t>staff and resident vaccine registers</w:t>
      </w:r>
    </w:p>
    <w:p w14:paraId="793CBDD3" w14:textId="77777777" w:rsidR="00445EF7" w:rsidRPr="0014515B" w:rsidRDefault="00445EF7" w:rsidP="00E80E7D">
      <w:pPr>
        <w:pStyle w:val="Bullet1"/>
      </w:pPr>
      <w:r w:rsidRPr="00E80E7D">
        <w:t>contingency</w:t>
      </w:r>
      <w:r w:rsidRPr="0014515B">
        <w:t xml:space="preserve"> staffing plans.</w:t>
      </w:r>
    </w:p>
    <w:p w14:paraId="02D6A75C" w14:textId="12F03689" w:rsidR="00445EF7" w:rsidRPr="0014515B" w:rsidRDefault="00445EF7" w:rsidP="00E80E7D">
      <w:pPr>
        <w:pStyle w:val="Bodyafterbullets"/>
      </w:pPr>
      <w:r w:rsidRPr="0014515B">
        <w:t>The prevention strategies discussed in this section should be included in the facility OMP. Key questions should be posed for consideration and prompt in the design of the OMP.</w:t>
      </w:r>
    </w:p>
    <w:p w14:paraId="2C08D388" w14:textId="77777777" w:rsidR="00445EF7" w:rsidRPr="0014515B" w:rsidRDefault="00445EF7" w:rsidP="00E80E7D">
      <w:pPr>
        <w:pStyle w:val="Body"/>
      </w:pPr>
      <w:r w:rsidRPr="0014515B">
        <w:t xml:space="preserve">The OMP </w:t>
      </w:r>
      <w:r w:rsidRPr="00E80E7D">
        <w:t>should</w:t>
      </w:r>
      <w:r w:rsidRPr="0014515B">
        <w:t>, at a minimum, include the following:</w:t>
      </w:r>
    </w:p>
    <w:p w14:paraId="69A7E58A" w14:textId="654C1897" w:rsidR="00445EF7" w:rsidRPr="00E80E7D" w:rsidRDefault="00E80E7D" w:rsidP="00E80E7D">
      <w:pPr>
        <w:pStyle w:val="Bullet1"/>
      </w:pPr>
      <w:r>
        <w:t>i</w:t>
      </w:r>
      <w:r w:rsidR="00445EF7" w:rsidRPr="00E80E7D">
        <w:t>solation of unwell residents</w:t>
      </w:r>
    </w:p>
    <w:p w14:paraId="691DD6DE" w14:textId="0F970944" w:rsidR="00445EF7" w:rsidRPr="00E80E7D" w:rsidRDefault="00E80E7D" w:rsidP="00E80E7D">
      <w:pPr>
        <w:pStyle w:val="Bullet1"/>
      </w:pPr>
      <w:r>
        <w:t>c</w:t>
      </w:r>
      <w:r w:rsidR="00445EF7" w:rsidRPr="00E80E7D">
        <w:t xml:space="preserve">ontact </w:t>
      </w:r>
      <w:r>
        <w:t>a</w:t>
      </w:r>
      <w:r w:rsidR="00445EF7" w:rsidRPr="00E80E7D">
        <w:t xml:space="preserve">ssessment and </w:t>
      </w:r>
      <w:r>
        <w:t>m</w:t>
      </w:r>
      <w:r w:rsidR="00445EF7" w:rsidRPr="00E80E7D">
        <w:t>anagement</w:t>
      </w:r>
    </w:p>
    <w:p w14:paraId="14C6B639" w14:textId="07434344" w:rsidR="00A66C19" w:rsidRPr="00E80E7D" w:rsidRDefault="00E80E7D" w:rsidP="00E80E7D">
      <w:pPr>
        <w:pStyle w:val="Bullet1"/>
      </w:pPr>
      <w:r>
        <w:t>i</w:t>
      </w:r>
      <w:r w:rsidR="00A66C19" w:rsidRPr="00E80E7D">
        <w:t xml:space="preserve">dentification of </w:t>
      </w:r>
      <w:r w:rsidR="00AF43FB" w:rsidRPr="00E80E7D">
        <w:t xml:space="preserve">a designated </w:t>
      </w:r>
      <w:r>
        <w:t>i</w:t>
      </w:r>
      <w:r w:rsidR="001156EA" w:rsidRPr="00E80E7D">
        <w:t xml:space="preserve">nfection </w:t>
      </w:r>
      <w:r>
        <w:t>p</w:t>
      </w:r>
      <w:r w:rsidR="001156EA" w:rsidRPr="00E80E7D">
        <w:t xml:space="preserve">revention and </w:t>
      </w:r>
      <w:r>
        <w:t>c</w:t>
      </w:r>
      <w:r w:rsidR="001156EA" w:rsidRPr="00E80E7D">
        <w:t>ontrol (IPC) lead</w:t>
      </w:r>
    </w:p>
    <w:p w14:paraId="38C8E687" w14:textId="347163A1" w:rsidR="00445EF7" w:rsidRPr="00E80E7D" w:rsidRDefault="00E80E7D" w:rsidP="00E80E7D">
      <w:pPr>
        <w:pStyle w:val="Bullet1"/>
      </w:pPr>
      <w:r>
        <w:t>e</w:t>
      </w:r>
      <w:r w:rsidR="00445EF7" w:rsidRPr="00E80E7D">
        <w:t xml:space="preserve">nhanced </w:t>
      </w:r>
      <w:r w:rsidR="00AF43FB" w:rsidRPr="00E80E7D">
        <w:t>IPC</w:t>
      </w:r>
      <w:r w:rsidR="00445EF7" w:rsidRPr="00E80E7D">
        <w:t xml:space="preserve"> activities </w:t>
      </w:r>
    </w:p>
    <w:p w14:paraId="0E40A7C1" w14:textId="347A186C" w:rsidR="00445EF7" w:rsidRPr="00E80E7D" w:rsidRDefault="00E80E7D" w:rsidP="00E80E7D">
      <w:pPr>
        <w:pStyle w:val="Bullet1"/>
      </w:pPr>
      <w:r>
        <w:t>a</w:t>
      </w:r>
      <w:r w:rsidR="00445EF7" w:rsidRPr="00E80E7D">
        <w:t>ppropriate use of personal protective equipment (PPE)</w:t>
      </w:r>
    </w:p>
    <w:p w14:paraId="6170615E" w14:textId="01A99D0C" w:rsidR="00445EF7" w:rsidRPr="00E80E7D" w:rsidRDefault="00E80E7D" w:rsidP="00E80E7D">
      <w:pPr>
        <w:pStyle w:val="Bullet1"/>
      </w:pPr>
      <w:r>
        <w:t>a</w:t>
      </w:r>
      <w:r w:rsidR="00445EF7" w:rsidRPr="00E80E7D">
        <w:t>ctivating RCF Communication Plan</w:t>
      </w:r>
    </w:p>
    <w:p w14:paraId="2F542D37" w14:textId="3F57D750" w:rsidR="00445EF7" w:rsidRPr="00E80E7D" w:rsidRDefault="00E80E7D" w:rsidP="00E80E7D">
      <w:pPr>
        <w:pStyle w:val="Bullet1"/>
      </w:pPr>
      <w:r>
        <w:t>a</w:t>
      </w:r>
      <w:r w:rsidR="00445EF7" w:rsidRPr="00E80E7D">
        <w:t>ctivating screening/testing program</w:t>
      </w:r>
    </w:p>
    <w:p w14:paraId="4B575732" w14:textId="22A61157" w:rsidR="00445EF7" w:rsidRPr="00E80E7D" w:rsidRDefault="00E80E7D" w:rsidP="00E80E7D">
      <w:pPr>
        <w:pStyle w:val="Bullet1"/>
      </w:pPr>
      <w:r>
        <w:t>c</w:t>
      </w:r>
      <w:r w:rsidR="00445EF7" w:rsidRPr="00E80E7D">
        <w:t>linical care of residents, including use of antivirals</w:t>
      </w:r>
    </w:p>
    <w:p w14:paraId="70B8E630" w14:textId="3F51EE64" w:rsidR="00445EF7" w:rsidRPr="00E80E7D" w:rsidRDefault="00E80E7D" w:rsidP="00E80E7D">
      <w:pPr>
        <w:pStyle w:val="Bullet1"/>
      </w:pPr>
      <w:r>
        <w:t>d</w:t>
      </w:r>
      <w:r w:rsidR="00445EF7" w:rsidRPr="00E80E7D">
        <w:t>eclaring an outbreak over</w:t>
      </w:r>
      <w:r>
        <w:t>.</w:t>
      </w:r>
    </w:p>
    <w:p w14:paraId="01D4FE75" w14:textId="77777777" w:rsidR="00445EF7" w:rsidRPr="0014515B" w:rsidRDefault="00445EF7" w:rsidP="00445EF7">
      <w:pPr>
        <w:pStyle w:val="Heading2"/>
        <w:ind w:left="426" w:hanging="432"/>
      </w:pPr>
      <w:bookmarkStart w:id="304" w:name="_Vaccination"/>
      <w:bookmarkStart w:id="305" w:name="_Toc108093038"/>
      <w:bookmarkStart w:id="306" w:name="_Toc108623751"/>
      <w:bookmarkStart w:id="307" w:name="_Toc109729944"/>
      <w:bookmarkStart w:id="308" w:name="_Toc109729846"/>
      <w:bookmarkStart w:id="309" w:name="_Toc109730813"/>
      <w:bookmarkStart w:id="310" w:name="_Toc111121591"/>
      <w:bookmarkStart w:id="311" w:name="_Toc111638392"/>
      <w:bookmarkStart w:id="312" w:name="_Toc111708278"/>
      <w:bookmarkStart w:id="313" w:name="_Toc112144700"/>
      <w:bookmarkStart w:id="314" w:name="_Toc113443369"/>
      <w:bookmarkStart w:id="315" w:name="_Toc163573590"/>
      <w:bookmarkEnd w:id="304"/>
      <w:r w:rsidRPr="0014515B">
        <w:lastRenderedPageBreak/>
        <w:t>Vaccination</w:t>
      </w:r>
      <w:bookmarkEnd w:id="305"/>
      <w:bookmarkEnd w:id="306"/>
      <w:bookmarkEnd w:id="307"/>
      <w:bookmarkEnd w:id="308"/>
      <w:bookmarkEnd w:id="309"/>
      <w:bookmarkEnd w:id="310"/>
      <w:bookmarkEnd w:id="311"/>
      <w:bookmarkEnd w:id="312"/>
      <w:bookmarkEnd w:id="313"/>
      <w:bookmarkEnd w:id="314"/>
      <w:bookmarkEnd w:id="315"/>
    </w:p>
    <w:p w14:paraId="1FDCD354" w14:textId="244B13B4" w:rsidR="00445EF7" w:rsidRPr="0014515B" w:rsidRDefault="00445EF7" w:rsidP="00445EF7">
      <w:pPr>
        <w:pStyle w:val="Body"/>
      </w:pPr>
      <w:r w:rsidRPr="0014515B">
        <w:t>COVID-19</w:t>
      </w:r>
      <w:r w:rsidR="009E67FE">
        <w:t>,</w:t>
      </w:r>
      <w:r w:rsidRPr="0014515B">
        <w:t xml:space="preserve"> influenza </w:t>
      </w:r>
      <w:r w:rsidR="006003FD">
        <w:t xml:space="preserve">and RSV </w:t>
      </w:r>
      <w:r w:rsidRPr="0014515B">
        <w:t>vaccines are highly effective in reducing severe illness, hospitalisation, and death. It is strongly recommended that staff and residents are up to date with COVID-19 and influenza vaccinations unless an exemption applies.</w:t>
      </w:r>
    </w:p>
    <w:p w14:paraId="75A40A0D" w14:textId="77777777" w:rsidR="00445EF7" w:rsidRPr="0014515B" w:rsidRDefault="00445EF7" w:rsidP="00445EF7">
      <w:pPr>
        <w:pStyle w:val="Body"/>
      </w:pPr>
      <w:r w:rsidRPr="0014515B">
        <w:t>Vaccination is recommended annually for influenza. Influenza viruses change frequently so new influenza vaccines are formulated each year to match the influenza viruses predicted to predominate in the coming winter influenza season. Elderly people may have a weaker immune response to vaccination, but the vaccine can still reduce the duration and severity of symptoms if infection occurs. The Influenza vaccine can be co-administered with a scheduled dose of COVID-19 vaccine.</w:t>
      </w:r>
    </w:p>
    <w:p w14:paraId="63327384" w14:textId="6F3FA6F8" w:rsidR="00FB557D" w:rsidRDefault="00445EF7" w:rsidP="00445EF7">
      <w:pPr>
        <w:pStyle w:val="Body"/>
      </w:pPr>
      <w:r w:rsidRPr="0014515B">
        <w:t>COVID-19 vaccination recommendations are updated frequently. For employees who express hesitancy relating to mRNA vaccines, ensure information is available about non-mRNA vaccines such as now readily available protein-conjugate-based vaccines for COVID-19.</w:t>
      </w:r>
      <w:r w:rsidR="0078188B" w:rsidRPr="0014515B">
        <w:t xml:space="preserve"> </w:t>
      </w:r>
      <w:r w:rsidR="006C2CB2" w:rsidRPr="00403484">
        <w:t xml:space="preserve">It is strongly recommended that workers are up to date with COVID-19 vaccination. </w:t>
      </w:r>
      <w:r w:rsidR="0078188B" w:rsidRPr="00403484">
        <w:t>Some workers</w:t>
      </w:r>
      <w:r w:rsidR="009C13B6" w:rsidRPr="00403484">
        <w:t xml:space="preserve"> may be required</w:t>
      </w:r>
      <w:r w:rsidR="00A47A7E" w:rsidRPr="00403484">
        <w:t xml:space="preserve"> to </w:t>
      </w:r>
      <w:r w:rsidR="006C2CB2" w:rsidRPr="00403484">
        <w:t>meet vaccination requirements</w:t>
      </w:r>
      <w:r w:rsidR="002064DC" w:rsidRPr="00403484">
        <w:t>. Workplaces</w:t>
      </w:r>
      <w:r w:rsidR="00303965" w:rsidRPr="00403484">
        <w:t xml:space="preserve"> may continue to implement their own vaccination mandates.</w:t>
      </w:r>
      <w:r w:rsidRPr="0014515B">
        <w:t xml:space="preserve"> Employers are responsible for ensuring staff comply with </w:t>
      </w:r>
      <w:r w:rsidR="0004451D">
        <w:t xml:space="preserve">any </w:t>
      </w:r>
      <w:r w:rsidRPr="0014515B">
        <w:t>requirements that apply to their workplace.</w:t>
      </w:r>
    </w:p>
    <w:p w14:paraId="0CB5123D" w14:textId="77F57C57" w:rsidR="003E355D" w:rsidRDefault="003E355D" w:rsidP="00445EF7">
      <w:pPr>
        <w:pStyle w:val="Body"/>
      </w:pPr>
      <w:r>
        <w:t xml:space="preserve">RSV vaccines are now available for persons aged over 60 years. This vaccine is not </w:t>
      </w:r>
      <w:r w:rsidR="00180DFA">
        <w:t>currently funded under the</w:t>
      </w:r>
      <w:r>
        <w:t xml:space="preserve"> National Immunisation </w:t>
      </w:r>
      <w:r w:rsidR="004112BA">
        <w:t>Program but</w:t>
      </w:r>
      <w:r w:rsidR="00180DFA">
        <w:t xml:space="preserve"> is available via private script.</w:t>
      </w:r>
    </w:p>
    <w:p w14:paraId="16FBA6D8" w14:textId="1909AC54" w:rsidR="00445EF7" w:rsidRPr="0014515B" w:rsidRDefault="00445EF7" w:rsidP="00445EF7">
      <w:pPr>
        <w:pStyle w:val="Body"/>
      </w:pPr>
      <w:r w:rsidRPr="0014515B">
        <w:t xml:space="preserve">Information on the vaccination </w:t>
      </w:r>
      <w:r w:rsidR="006C2CB2" w:rsidRPr="00403484">
        <w:t xml:space="preserve">requirements or </w:t>
      </w:r>
      <w:r w:rsidR="00D65CCC" w:rsidRPr="00403484">
        <w:t>recommendations</w:t>
      </w:r>
      <w:r w:rsidR="00D65CCC" w:rsidRPr="0014515B">
        <w:t xml:space="preserve"> </w:t>
      </w:r>
      <w:r w:rsidRPr="0014515B">
        <w:t>is available at:</w:t>
      </w:r>
    </w:p>
    <w:p w14:paraId="5B8A555F" w14:textId="77777777" w:rsidR="00FB557D" w:rsidRPr="00ED2610" w:rsidRDefault="00000000" w:rsidP="00C47768">
      <w:pPr>
        <w:pStyle w:val="Bullet1"/>
      </w:pPr>
      <w:hyperlink r:id="rId20" w:history="1">
        <w:r w:rsidR="00FB557D" w:rsidRPr="00ED2610">
          <w:rPr>
            <w:rStyle w:val="Hyperlink"/>
          </w:rPr>
          <w:t>ATAGI clinical guidance for COVID-19 vaccine providers</w:t>
        </w:r>
      </w:hyperlink>
      <w:r w:rsidR="00FB557D" w:rsidRPr="00ED2610">
        <w:t xml:space="preserve"> &lt;https://www.health.gov.au/our-work/covid-19-vaccines/advice-for-providers/clinical-guidance&gt;</w:t>
      </w:r>
    </w:p>
    <w:p w14:paraId="218684D2" w14:textId="78C3C11A" w:rsidR="00445EF7" w:rsidRPr="00ED2610" w:rsidRDefault="00000000" w:rsidP="00C47768">
      <w:pPr>
        <w:pStyle w:val="Bullet1"/>
      </w:pPr>
      <w:hyperlink r:id="rId21">
        <w:r w:rsidR="00B43C4C" w:rsidRPr="00ED2610">
          <w:rPr>
            <w:rStyle w:val="Hyperlink"/>
          </w:rPr>
          <w:t xml:space="preserve">Seasonal Influenza and COVID-19 </w:t>
        </w:r>
        <w:r w:rsidR="00A158AA" w:rsidRPr="00ED2610">
          <w:rPr>
            <w:rStyle w:val="Hyperlink"/>
          </w:rPr>
          <w:t xml:space="preserve">- </w:t>
        </w:r>
        <w:r w:rsidR="00B43C4C" w:rsidRPr="00ED2610">
          <w:rPr>
            <w:rStyle w:val="Hyperlink"/>
          </w:rPr>
          <w:t>vaccination for healthcare workers in Victoria</w:t>
        </w:r>
      </w:hyperlink>
      <w:r w:rsidR="00445EF7" w:rsidRPr="00ED2610">
        <w:t xml:space="preserve"> &lt;https://www.health.vic.gov.au/immunisation/vaccination-for-healthcare-workers&gt;</w:t>
      </w:r>
      <w:r w:rsidR="001D1C87">
        <w:t>. T</w:t>
      </w:r>
      <w:r w:rsidR="00445EF7" w:rsidRPr="00ED2610">
        <w:t>his includes residential aged care services operated by public health services</w:t>
      </w:r>
      <w:r w:rsidR="001D1C87">
        <w:t>.</w:t>
      </w:r>
    </w:p>
    <w:p w14:paraId="53DA2A24" w14:textId="3EF15296" w:rsidR="002F6C25" w:rsidRPr="00C47768" w:rsidRDefault="00000000" w:rsidP="00C47768">
      <w:pPr>
        <w:pStyle w:val="Bullet1"/>
        <w:rPr>
          <w:rStyle w:val="CommentReference"/>
          <w:sz w:val="21"/>
          <w:szCs w:val="20"/>
        </w:rPr>
      </w:pPr>
      <w:hyperlink r:id="rId22" w:history="1">
        <w:r w:rsidR="002A3B56" w:rsidRPr="00ED2610">
          <w:rPr>
            <w:rStyle w:val="Hyperlink"/>
          </w:rPr>
          <w:t>Information for residential aged care workers</w:t>
        </w:r>
      </w:hyperlink>
      <w:r w:rsidR="002A3B56" w:rsidRPr="00ED2610">
        <w:t xml:space="preserve"> </w:t>
      </w:r>
      <w:r w:rsidR="00147AB2">
        <w:t>&lt;</w:t>
      </w:r>
      <w:r w:rsidR="00147AB2" w:rsidRPr="00147AB2">
        <w:t>https://www.health.gov.au/our-work/covid-19-vaccines/information-for-aged-care-providers-workers-and-residents-about-covid-19-vaccines/residential-aged-care-workers</w:t>
      </w:r>
      <w:r w:rsidR="00147AB2">
        <w:rPr>
          <w:rStyle w:val="CommentReference"/>
          <w:rFonts w:eastAsia="Times New Roman"/>
        </w:rPr>
        <w:t>&gt;</w:t>
      </w:r>
    </w:p>
    <w:p w14:paraId="4AFA29CB" w14:textId="77777777" w:rsidR="00C47768" w:rsidRPr="004112BA" w:rsidRDefault="00C47768" w:rsidP="00C47768">
      <w:pPr>
        <w:pStyle w:val="Body"/>
        <w:rPr>
          <w:rStyle w:val="Hyperlink"/>
          <w:color w:val="auto"/>
          <w:u w:val="none"/>
        </w:rPr>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3DE7B567" w14:textId="77777777" w:rsidTr="00EC79B2">
        <w:tc>
          <w:tcPr>
            <w:tcW w:w="9354" w:type="dxa"/>
            <w:shd w:val="clear" w:color="auto" w:fill="DBE5F1" w:themeFill="accent1" w:themeFillTint="33"/>
          </w:tcPr>
          <w:p w14:paraId="05562B62" w14:textId="77777777" w:rsidR="00445EF7" w:rsidRPr="0014515B" w:rsidRDefault="00445EF7" w:rsidP="006A4719">
            <w:pPr>
              <w:pStyle w:val="Bullet1"/>
              <w:numPr>
                <w:ilvl w:val="0"/>
                <w:numId w:val="11"/>
              </w:numPr>
              <w:spacing w:after="80"/>
            </w:pPr>
            <w:r w:rsidRPr="0014515B">
              <w:t>Is there a plan to offer all residents vaccination against COVID-19 and influenza in accordance with the current vaccination schedule?</w:t>
            </w:r>
          </w:p>
          <w:p w14:paraId="55CB07C5" w14:textId="760E3B75" w:rsidR="00445EF7" w:rsidRPr="0014515B" w:rsidRDefault="00445EF7" w:rsidP="006A4719">
            <w:pPr>
              <w:pStyle w:val="Bullet1"/>
              <w:numPr>
                <w:ilvl w:val="0"/>
                <w:numId w:val="11"/>
              </w:numPr>
              <w:spacing w:after="80"/>
            </w:pPr>
            <w:r w:rsidRPr="00403484">
              <w:t xml:space="preserve">Are all staff aware of </w:t>
            </w:r>
            <w:r w:rsidR="00BB2174" w:rsidRPr="00403484">
              <w:t>vaccination recommendations</w:t>
            </w:r>
            <w:r w:rsidR="00226451" w:rsidRPr="00403484">
              <w:t xml:space="preserve"> or requirements</w:t>
            </w:r>
            <w:r w:rsidR="00BB2174" w:rsidRPr="00403484">
              <w:t>?</w:t>
            </w:r>
          </w:p>
          <w:p w14:paraId="40956245" w14:textId="46B05734" w:rsidR="00445EF7" w:rsidRPr="0014515B" w:rsidRDefault="00445EF7" w:rsidP="006A4719">
            <w:pPr>
              <w:pStyle w:val="Bullet1"/>
              <w:numPr>
                <w:ilvl w:val="0"/>
                <w:numId w:val="11"/>
              </w:numPr>
              <w:spacing w:after="80"/>
            </w:pPr>
            <w:r w:rsidRPr="0014515B">
              <w:t>Have you recorded the vaccination status of all staff, residents, participants contractors, volunteers?</w:t>
            </w:r>
          </w:p>
        </w:tc>
      </w:tr>
    </w:tbl>
    <w:p w14:paraId="58D4481E" w14:textId="77777777" w:rsidR="00EC79B2" w:rsidRDefault="00EC79B2" w:rsidP="00EC79B2">
      <w:pPr>
        <w:pStyle w:val="Body"/>
      </w:pPr>
      <w:bookmarkStart w:id="316" w:name="_Toc109729945"/>
      <w:bookmarkStart w:id="317" w:name="_Toc109729847"/>
      <w:bookmarkStart w:id="318" w:name="_Toc109730814"/>
      <w:bookmarkStart w:id="319" w:name="_Toc111121592"/>
      <w:bookmarkStart w:id="320" w:name="_Toc111638393"/>
      <w:bookmarkStart w:id="321" w:name="_Toc111708279"/>
      <w:bookmarkStart w:id="322" w:name="_Toc112144701"/>
      <w:bookmarkStart w:id="323" w:name="_Toc113443370"/>
    </w:p>
    <w:p w14:paraId="35320F20" w14:textId="77777777" w:rsidR="00EC79B2" w:rsidRDefault="00EC79B2" w:rsidP="00EC79B2">
      <w:pPr>
        <w:pStyle w:val="Body"/>
      </w:pPr>
      <w:r>
        <w:br w:type="page"/>
      </w:r>
    </w:p>
    <w:p w14:paraId="7D26FD11" w14:textId="62DF8D06" w:rsidR="00445EF7" w:rsidRPr="0014515B" w:rsidRDefault="00445EF7" w:rsidP="00445EF7">
      <w:pPr>
        <w:pStyle w:val="Heading2"/>
      </w:pPr>
      <w:bookmarkStart w:id="324" w:name="_Air_quality_and"/>
      <w:bookmarkStart w:id="325" w:name="_Toc163573591"/>
      <w:bookmarkEnd w:id="324"/>
      <w:r w:rsidRPr="0014515B">
        <w:lastRenderedPageBreak/>
        <w:t xml:space="preserve">Air quality and </w:t>
      </w:r>
      <w:bookmarkStart w:id="326" w:name="_Toc108704011"/>
      <w:bookmarkStart w:id="327" w:name="_Toc108709754"/>
      <w:bookmarkStart w:id="328" w:name="_Toc108704012"/>
      <w:bookmarkStart w:id="329" w:name="_Toc108709755"/>
      <w:bookmarkEnd w:id="326"/>
      <w:bookmarkEnd w:id="327"/>
      <w:bookmarkEnd w:id="328"/>
      <w:bookmarkEnd w:id="329"/>
      <w:r w:rsidRPr="0014515B">
        <w:t>ventilation</w:t>
      </w:r>
      <w:bookmarkEnd w:id="316"/>
      <w:bookmarkEnd w:id="317"/>
      <w:bookmarkEnd w:id="318"/>
      <w:bookmarkEnd w:id="319"/>
      <w:bookmarkEnd w:id="320"/>
      <w:bookmarkEnd w:id="321"/>
      <w:bookmarkEnd w:id="322"/>
      <w:bookmarkEnd w:id="323"/>
      <w:bookmarkEnd w:id="325"/>
    </w:p>
    <w:p w14:paraId="5BC76E69" w14:textId="77777777" w:rsidR="00445EF7" w:rsidRPr="00C47768" w:rsidRDefault="00445EF7" w:rsidP="00C47768">
      <w:pPr>
        <w:pStyle w:val="Bullet1"/>
      </w:pPr>
      <w:r w:rsidRPr="00C47768">
        <w:t xml:space="preserve">The risk of airborne transmission of COVID-19 and other airborne pathogens is higher in inadequately ventilated indoor areas. Indoor air ventilation should be maximised to reduce the concentration of any airborne pathogens. </w:t>
      </w:r>
    </w:p>
    <w:p w14:paraId="0CE38817" w14:textId="77777777" w:rsidR="00445EF7" w:rsidRPr="00C47768" w:rsidRDefault="00445EF7" w:rsidP="00C47768">
      <w:pPr>
        <w:pStyle w:val="Bullet1"/>
      </w:pPr>
      <w:r w:rsidRPr="00C47768">
        <w:t>Ventilation consultants can be used to identify at risk areas to prioritise for ventilation improvements.</w:t>
      </w:r>
    </w:p>
    <w:p w14:paraId="265969B4" w14:textId="5550B506" w:rsidR="00422354" w:rsidRPr="0014515B" w:rsidRDefault="00445EF7" w:rsidP="001221CE">
      <w:pPr>
        <w:pStyle w:val="Bullet1"/>
      </w:pPr>
      <w:r w:rsidRPr="00C47768">
        <w:t>Ventilation strategies to reduce COVID</w:t>
      </w:r>
      <w:r w:rsidRPr="0014515B">
        <w:t xml:space="preserve">-19 airborne transmission </w:t>
      </w:r>
      <w:r w:rsidR="00422354" w:rsidRPr="0014515B">
        <w:t>is available at</w:t>
      </w:r>
      <w:r w:rsidR="001D1C87">
        <w:t>:</w:t>
      </w:r>
      <w:r w:rsidR="00422354" w:rsidRPr="0014515B">
        <w:t xml:space="preserve"> </w:t>
      </w:r>
      <w:hyperlink r:id="rId23">
        <w:r w:rsidR="00422354" w:rsidRPr="0014515B">
          <w:rPr>
            <w:rStyle w:val="Hyperlink"/>
          </w:rPr>
          <w:t>Infection prevention control resources</w:t>
        </w:r>
      </w:hyperlink>
      <w:r w:rsidR="00422354" w:rsidRPr="0014515B">
        <w:t xml:space="preserve"> &lt;https://www.health.vic.gov.au/covid-19/infection-prevention-control-resources-covid-19&gt;</w:t>
      </w:r>
      <w:r w:rsidR="001D1C87">
        <w:t>.</w:t>
      </w:r>
    </w:p>
    <w:p w14:paraId="698CFF6B" w14:textId="77777777" w:rsidR="00445EF7" w:rsidRPr="0014515B" w:rsidRDefault="00445EF7" w:rsidP="00C47768">
      <w:pPr>
        <w:pStyle w:val="Body"/>
      </w:pPr>
    </w:p>
    <w:tbl>
      <w:tblPr>
        <w:tblStyle w:val="TableGrid"/>
        <w:tblW w:w="0" w:type="auto"/>
        <w:tblLook w:val="04A0" w:firstRow="1" w:lastRow="0" w:firstColumn="1" w:lastColumn="0" w:noHBand="0" w:noVBand="1"/>
      </w:tblPr>
      <w:tblGrid>
        <w:gridCol w:w="1776"/>
        <w:gridCol w:w="7512"/>
      </w:tblGrid>
      <w:tr w:rsidR="00445EF7" w:rsidRPr="0014515B" w14:paraId="5354062A" w14:textId="77777777" w:rsidTr="007A02BA">
        <w:trPr>
          <w:tblHeader/>
        </w:trPr>
        <w:tc>
          <w:tcPr>
            <w:tcW w:w="1838" w:type="dxa"/>
            <w:shd w:val="clear" w:color="auto" w:fill="DBE5F1" w:themeFill="accent1" w:themeFillTint="33"/>
          </w:tcPr>
          <w:p w14:paraId="612F8CFA" w14:textId="77777777" w:rsidR="00445EF7" w:rsidRPr="0014515B" w:rsidRDefault="00445EF7" w:rsidP="00C47768">
            <w:pPr>
              <w:pStyle w:val="Tablecolhead"/>
            </w:pPr>
            <w:r w:rsidRPr="0014515B">
              <w:t>Type of ventilation</w:t>
            </w:r>
          </w:p>
        </w:tc>
        <w:tc>
          <w:tcPr>
            <w:tcW w:w="8356" w:type="dxa"/>
            <w:shd w:val="clear" w:color="auto" w:fill="DBE5F1" w:themeFill="accent1" w:themeFillTint="33"/>
          </w:tcPr>
          <w:p w14:paraId="78403C3E" w14:textId="77777777" w:rsidR="00445EF7" w:rsidRPr="0014515B" w:rsidRDefault="00445EF7" w:rsidP="00C47768">
            <w:pPr>
              <w:pStyle w:val="Tablecolhead"/>
            </w:pPr>
            <w:r w:rsidRPr="0014515B">
              <w:t>Instructions</w:t>
            </w:r>
          </w:p>
        </w:tc>
      </w:tr>
      <w:tr w:rsidR="00445EF7" w:rsidRPr="0014515B" w14:paraId="78050429" w14:textId="77777777" w:rsidTr="6B2561BA">
        <w:tc>
          <w:tcPr>
            <w:tcW w:w="1838" w:type="dxa"/>
          </w:tcPr>
          <w:p w14:paraId="597D6BF9" w14:textId="77777777" w:rsidR="00445EF7" w:rsidRPr="0014515B" w:rsidRDefault="00445EF7" w:rsidP="00C47768">
            <w:pPr>
              <w:pStyle w:val="Tabletext"/>
            </w:pPr>
            <w:r w:rsidRPr="0014515B">
              <w:t xml:space="preserve">Natural ventilation </w:t>
            </w:r>
          </w:p>
        </w:tc>
        <w:tc>
          <w:tcPr>
            <w:tcW w:w="8356" w:type="dxa"/>
          </w:tcPr>
          <w:p w14:paraId="3BA40CD1" w14:textId="77777777" w:rsidR="00445EF7" w:rsidRPr="00C47768" w:rsidRDefault="00445EF7" w:rsidP="00C47768">
            <w:pPr>
              <w:pStyle w:val="Tablebullet1"/>
            </w:pPr>
            <w:r w:rsidRPr="00C47768">
              <w:t>Open windows and external doors as much as practicable – provide education to staff and residents</w:t>
            </w:r>
          </w:p>
          <w:p w14:paraId="1F8C9435" w14:textId="77777777" w:rsidR="00445EF7" w:rsidRPr="00C47768" w:rsidRDefault="00445EF7" w:rsidP="00C47768">
            <w:pPr>
              <w:pStyle w:val="Tablebullet1"/>
            </w:pPr>
            <w:r w:rsidRPr="00C47768">
              <w:t>Have a break time between the use of a space or room between two groups of people. During this time, windows and doors should be opened.</w:t>
            </w:r>
          </w:p>
          <w:p w14:paraId="6F1E6668" w14:textId="77777777" w:rsidR="00445EF7" w:rsidRPr="00C47768" w:rsidRDefault="00445EF7" w:rsidP="00C47768">
            <w:pPr>
              <w:pStyle w:val="Tablebullet1"/>
            </w:pPr>
            <w:r w:rsidRPr="00C47768">
              <w:t>Some evaporative coolers may be able to be run in ‘fan only’ mode to increase natural ventilation when cooling is not required</w:t>
            </w:r>
          </w:p>
          <w:p w14:paraId="7C4B839C" w14:textId="77777777" w:rsidR="00445EF7" w:rsidRPr="0014515B" w:rsidRDefault="00445EF7" w:rsidP="00C47768">
            <w:pPr>
              <w:pStyle w:val="Tablebullet1"/>
            </w:pPr>
            <w:r w:rsidRPr="00C47768">
              <w:t>Consider minor capital works to replace fixed with openable windows or install security/fly doors</w:t>
            </w:r>
          </w:p>
        </w:tc>
      </w:tr>
      <w:tr w:rsidR="00445EF7" w:rsidRPr="0014515B" w14:paraId="60B3C0EE" w14:textId="77777777" w:rsidTr="6B2561BA">
        <w:tc>
          <w:tcPr>
            <w:tcW w:w="1838" w:type="dxa"/>
          </w:tcPr>
          <w:p w14:paraId="737D88E9" w14:textId="77777777" w:rsidR="00445EF7" w:rsidRPr="0014515B" w:rsidRDefault="00445EF7" w:rsidP="00C47768">
            <w:pPr>
              <w:pStyle w:val="Tabletext"/>
            </w:pPr>
            <w:r w:rsidRPr="0014515B">
              <w:t>Mechanical ventilation</w:t>
            </w:r>
          </w:p>
        </w:tc>
        <w:tc>
          <w:tcPr>
            <w:tcW w:w="8356" w:type="dxa"/>
          </w:tcPr>
          <w:p w14:paraId="31FA41C4" w14:textId="77777777" w:rsidR="00445EF7" w:rsidRPr="0014515B" w:rsidRDefault="00445EF7" w:rsidP="00C47768">
            <w:pPr>
              <w:pStyle w:val="Tablebullet1"/>
            </w:pPr>
            <w:r w:rsidRPr="0014515B">
              <w:t xml:space="preserve">Set centralised air handling ventilation systems to provide the maximum amount of outdoor air possible, up to 100%, considering thermal comfort. A ventilation professional may be required to assess this. </w:t>
            </w:r>
          </w:p>
          <w:p w14:paraId="68B9BE10" w14:textId="77777777" w:rsidR="00445EF7" w:rsidRPr="0014515B" w:rsidRDefault="00445EF7" w:rsidP="00C47768">
            <w:pPr>
              <w:pStyle w:val="Tablebullet1"/>
            </w:pPr>
            <w:r w:rsidRPr="0014515B">
              <w:t>Ensure the installation of sufficient</w:t>
            </w:r>
            <w:r w:rsidRPr="0014515B" w:rsidDel="00FA0AA0">
              <w:t xml:space="preserve"> </w:t>
            </w:r>
            <w:r w:rsidRPr="0014515B">
              <w:t>grade of filter in air handling systems</w:t>
            </w:r>
          </w:p>
          <w:p w14:paraId="38BD5F0E" w14:textId="77777777" w:rsidR="00445EF7" w:rsidRPr="0014515B" w:rsidRDefault="00445EF7" w:rsidP="00C47768">
            <w:pPr>
              <w:pStyle w:val="Tablebullet1"/>
            </w:pPr>
            <w:r w:rsidRPr="0014515B">
              <w:t>Ensure ventilation systems are regularly maintained for compliance and optimum functioning</w:t>
            </w:r>
          </w:p>
          <w:p w14:paraId="53F45D7F" w14:textId="77777777" w:rsidR="00445EF7" w:rsidRPr="0014515B" w:rsidRDefault="00445EF7" w:rsidP="00C47768">
            <w:pPr>
              <w:pStyle w:val="Tablebullet1"/>
            </w:pPr>
            <w:r w:rsidRPr="0014515B">
              <w:t>Have a break time between the use of a space or room between two groups of people. This will allow the mechanical system to “purge” in between sessions.</w:t>
            </w:r>
          </w:p>
        </w:tc>
      </w:tr>
      <w:tr w:rsidR="00445EF7" w:rsidRPr="0014515B" w14:paraId="3F29B9A8" w14:textId="77777777" w:rsidTr="00085F50">
        <w:tc>
          <w:tcPr>
            <w:tcW w:w="1838" w:type="dxa"/>
            <w:tcBorders>
              <w:bottom w:val="single" w:sz="4" w:space="0" w:color="auto"/>
            </w:tcBorders>
          </w:tcPr>
          <w:p w14:paraId="6AFD4499" w14:textId="77777777" w:rsidR="00445EF7" w:rsidRPr="0014515B" w:rsidRDefault="00445EF7" w:rsidP="00C47768">
            <w:pPr>
              <w:pStyle w:val="Tabletext"/>
            </w:pPr>
            <w:r w:rsidRPr="0014515B">
              <w:t>Other advice</w:t>
            </w:r>
          </w:p>
        </w:tc>
        <w:tc>
          <w:tcPr>
            <w:tcW w:w="8356" w:type="dxa"/>
            <w:tcBorders>
              <w:bottom w:val="single" w:sz="4" w:space="0" w:color="auto"/>
            </w:tcBorders>
          </w:tcPr>
          <w:p w14:paraId="113D8F21" w14:textId="77777777" w:rsidR="00445EF7" w:rsidRPr="0014515B" w:rsidRDefault="00445EF7" w:rsidP="00C47768">
            <w:pPr>
              <w:pStyle w:val="Tablebullet1"/>
            </w:pPr>
            <w:r w:rsidRPr="0014515B">
              <w:t>Electric fans, whirlybirds, or extractor fans can be installed to enhance air flow and circulation</w:t>
            </w:r>
          </w:p>
          <w:p w14:paraId="01A8AE0C" w14:textId="0A616EEB" w:rsidR="00445EF7" w:rsidRPr="0014515B" w:rsidRDefault="00445EF7" w:rsidP="00C47768">
            <w:pPr>
              <w:pStyle w:val="Tablebullet1"/>
            </w:pPr>
            <w:r w:rsidRPr="0014515B">
              <w:t>Move meetings and activities outdoors when possible</w:t>
            </w:r>
          </w:p>
        </w:tc>
      </w:tr>
      <w:tr w:rsidR="00445EF7" w:rsidRPr="0014515B" w14:paraId="4AF1B760" w14:textId="77777777" w:rsidTr="6B2561BA">
        <w:tc>
          <w:tcPr>
            <w:tcW w:w="1838" w:type="dxa"/>
          </w:tcPr>
          <w:p w14:paraId="3EC43DD2" w14:textId="77777777" w:rsidR="00445EF7" w:rsidRPr="0014515B" w:rsidRDefault="00445EF7" w:rsidP="00C47768">
            <w:pPr>
              <w:pStyle w:val="Tabletext"/>
            </w:pPr>
            <w:r w:rsidRPr="0014515B">
              <w:rPr>
                <w:bCs/>
              </w:rPr>
              <w:t>Augmented ventilation</w:t>
            </w:r>
            <w:r w:rsidRPr="0014515B">
              <w:t xml:space="preserve"> (air recirculation and filtration) </w:t>
            </w:r>
          </w:p>
        </w:tc>
        <w:tc>
          <w:tcPr>
            <w:tcW w:w="8356" w:type="dxa"/>
          </w:tcPr>
          <w:p w14:paraId="098473CA" w14:textId="6C9CDEF2" w:rsidR="00445EF7" w:rsidRPr="0014515B" w:rsidRDefault="00445EF7" w:rsidP="00C47768">
            <w:pPr>
              <w:pStyle w:val="Tablebullet1"/>
            </w:pPr>
            <w:r w:rsidRPr="0014515B">
              <w:t xml:space="preserve">Use portable high-efficiency particle air (HEPA) filter units (also called air cleaners, purifiers, or air scrubbers) to increase equivalent clean air exchange in areas where there is inadequate ventilation or unacceptable risk of </w:t>
            </w:r>
            <w:r w:rsidR="006003FD">
              <w:t>airborne virus</w:t>
            </w:r>
            <w:r w:rsidRPr="0014515B">
              <w:t xml:space="preserve"> transmission </w:t>
            </w:r>
          </w:p>
          <w:p w14:paraId="395ABF56" w14:textId="34B96F20" w:rsidR="00445EF7" w:rsidRPr="0014515B" w:rsidRDefault="00445EF7" w:rsidP="00C47768">
            <w:pPr>
              <w:pStyle w:val="Tablebullet1"/>
            </w:pPr>
            <w:r>
              <w:t xml:space="preserve">HEPA filters are not a replacement for natural or mechanical </w:t>
            </w:r>
            <w:r w:rsidR="39D1C72F">
              <w:t>ventilation but</w:t>
            </w:r>
            <w:r>
              <w:t xml:space="preserve"> can be used in conjunction with them when optimum ventilation </w:t>
            </w:r>
            <w:r w:rsidR="5C2416A7">
              <w:t>cannot</w:t>
            </w:r>
            <w:r>
              <w:t xml:space="preserve"> be achieved.</w:t>
            </w:r>
          </w:p>
          <w:p w14:paraId="696B0D7F" w14:textId="77777777" w:rsidR="00445EF7" w:rsidRPr="0014515B" w:rsidRDefault="00445EF7" w:rsidP="00C47768">
            <w:pPr>
              <w:pStyle w:val="Tablebullet1"/>
            </w:pPr>
            <w:r w:rsidRPr="0014515B">
              <w:t>Ensure air cleaners are positioned where the designed ventilation is least effective or in dead spots. They should not be placed next to openable windows, extract grilles or open doors</w:t>
            </w:r>
          </w:p>
        </w:tc>
      </w:tr>
    </w:tbl>
    <w:p w14:paraId="3614A97B" w14:textId="77777777" w:rsidR="00445EF7" w:rsidRPr="0014515B" w:rsidRDefault="00445EF7" w:rsidP="00445EF7">
      <w:pPr>
        <w:pStyle w:val="Bullet1"/>
        <w:numPr>
          <w:ilvl w:val="0"/>
          <w:numId w:val="0"/>
        </w:numPr>
        <w:ind w:left="360" w:hanging="360"/>
      </w:pPr>
    </w:p>
    <w:p w14:paraId="03114ABB" w14:textId="77777777" w:rsidR="00445EF7" w:rsidRPr="0014515B" w:rsidRDefault="00445EF7" w:rsidP="00445EF7">
      <w:pPr>
        <w:pStyle w:val="Heading2"/>
      </w:pPr>
      <w:bookmarkStart w:id="330" w:name="_Toc112160325"/>
      <w:bookmarkStart w:id="331" w:name="_Toc112256326"/>
      <w:bookmarkStart w:id="332" w:name="_Toc112256414"/>
      <w:bookmarkStart w:id="333" w:name="_Toc112308699"/>
      <w:bookmarkStart w:id="334" w:name="_Toc112312755"/>
      <w:bookmarkStart w:id="335" w:name="_Toc112316306"/>
      <w:bookmarkStart w:id="336" w:name="_Toc112316372"/>
      <w:bookmarkStart w:id="337" w:name="_Toc112316438"/>
      <w:bookmarkStart w:id="338" w:name="_Toc113377298"/>
      <w:bookmarkStart w:id="339" w:name="_Toc113431509"/>
      <w:bookmarkStart w:id="340" w:name="_Toc113443371"/>
      <w:bookmarkStart w:id="341" w:name="_Toc113443378"/>
      <w:bookmarkStart w:id="342" w:name="_Toc163573592"/>
      <w:bookmarkStart w:id="343" w:name="_Toc109729949"/>
      <w:bookmarkStart w:id="344" w:name="_Toc109729851"/>
      <w:bookmarkStart w:id="345" w:name="_Toc109730818"/>
      <w:bookmarkStart w:id="346" w:name="_Toc111121596"/>
      <w:bookmarkStart w:id="347" w:name="_Toc111638397"/>
      <w:bookmarkStart w:id="348" w:name="_Toc111708283"/>
      <w:bookmarkStart w:id="349" w:name="_Toc112144705"/>
      <w:bookmarkEnd w:id="330"/>
      <w:bookmarkEnd w:id="331"/>
      <w:bookmarkEnd w:id="332"/>
      <w:bookmarkEnd w:id="333"/>
      <w:bookmarkEnd w:id="334"/>
      <w:bookmarkEnd w:id="335"/>
      <w:bookmarkEnd w:id="336"/>
      <w:bookmarkEnd w:id="337"/>
      <w:bookmarkEnd w:id="338"/>
      <w:bookmarkEnd w:id="339"/>
      <w:bookmarkEnd w:id="340"/>
      <w:r w:rsidRPr="0014515B">
        <w:lastRenderedPageBreak/>
        <w:t>Masks and respirators</w:t>
      </w:r>
      <w:bookmarkEnd w:id="341"/>
      <w:bookmarkEnd w:id="342"/>
    </w:p>
    <w:p w14:paraId="496CAB85" w14:textId="77777777" w:rsidR="00445EF7" w:rsidRPr="0014515B" w:rsidRDefault="00445EF7" w:rsidP="00445EF7">
      <w:pPr>
        <w:pStyle w:val="Body"/>
      </w:pPr>
      <w:r w:rsidRPr="0014515B">
        <w:t>Face masks can stop or slow viruses spreading in the air when you talk, cough, sneeze and laugh. Masks lower an individual’s chance of catching and spreading both COVID-19, influenza and other respiratory infections.</w:t>
      </w:r>
    </w:p>
    <w:p w14:paraId="480D0FE7" w14:textId="12BE68CF" w:rsidR="00877D24" w:rsidRDefault="00383CB5" w:rsidP="00383CB5">
      <w:pPr>
        <w:pStyle w:val="Body"/>
      </w:pPr>
      <w:r>
        <w:t xml:space="preserve">Staff - </w:t>
      </w:r>
      <w:r w:rsidR="00877D24">
        <w:t>Facilities</w:t>
      </w:r>
      <w:r>
        <w:t xml:space="preserve"> should employ risk assessment in determining mask requirements in public facing areas.</w:t>
      </w:r>
    </w:p>
    <w:p w14:paraId="6C59E4A6" w14:textId="0AB94D74" w:rsidR="00383CB5" w:rsidRDefault="00877D24" w:rsidP="00383CB5">
      <w:pPr>
        <w:pStyle w:val="Body"/>
      </w:pPr>
      <w:r>
        <w:t>Facilities</w:t>
      </w:r>
      <w:r w:rsidR="00383CB5">
        <w:t xml:space="preserve"> may consider not employing mask requirements during periods of low community COVID-19 transmission risk. In periods of high community COVID-19 transmission risk </w:t>
      </w:r>
      <w:r>
        <w:t xml:space="preserve">facilities </w:t>
      </w:r>
      <w:r w:rsidR="00383CB5">
        <w:t xml:space="preserve">should require public facing staff to wear masks, with the choice of mask at the individual’s or </w:t>
      </w:r>
      <w:r>
        <w:t>facility’s</w:t>
      </w:r>
      <w:r w:rsidR="00383CB5">
        <w:t xml:space="preserve"> discretion and in accordance with their fit test profile.</w:t>
      </w:r>
    </w:p>
    <w:p w14:paraId="1F75BA28" w14:textId="44065A42" w:rsidR="00383CB5" w:rsidRDefault="00383CB5" w:rsidP="00383CB5">
      <w:pPr>
        <w:pStyle w:val="Body"/>
      </w:pPr>
      <w:r>
        <w:t>Individual staff choice to wear a mask should be maintained in other non-</w:t>
      </w:r>
      <w:r w:rsidR="000F2833">
        <w:t>resident</w:t>
      </w:r>
      <w:r>
        <w:t>, non-public facing areas</w:t>
      </w:r>
      <w:r w:rsidR="00C47768">
        <w:t>, for example</w:t>
      </w:r>
      <w:r>
        <w:t>, corporate support offices. Masks (both surgical masks and P2/N95 respirators) should be made available to all staff to support staff choice and risk (</w:t>
      </w:r>
      <w:r w:rsidR="00C47768">
        <w:t xml:space="preserve">for example, </w:t>
      </w:r>
      <w:r>
        <w:t xml:space="preserve">contacts attending the workplace). </w:t>
      </w:r>
      <w:r w:rsidRPr="00383CB5">
        <w:t>Cloth face masks are not recommended for staff working in residential care settings and should only be worn by staff when arriving or leaving the facility.</w:t>
      </w:r>
    </w:p>
    <w:p w14:paraId="0DE75F82" w14:textId="08495A1C" w:rsidR="00C302DE" w:rsidRPr="0014515B" w:rsidRDefault="00383CB5" w:rsidP="00383CB5">
      <w:pPr>
        <w:pStyle w:val="Body"/>
      </w:pPr>
      <w:r>
        <w:t>Visitors - Surgical masks may be adequate for most areas however health services may consider P2/N95 respirators for visitors in high</w:t>
      </w:r>
      <w:r w:rsidR="00877D24">
        <w:t>er</w:t>
      </w:r>
      <w:r>
        <w:t>-risk areas (</w:t>
      </w:r>
      <w:r w:rsidR="00C47768">
        <w:t>that is,</w:t>
      </w:r>
      <w:r>
        <w:t xml:space="preserve"> </w:t>
      </w:r>
      <w:r w:rsidR="00DF4699">
        <w:t>areas</w:t>
      </w:r>
      <w:r>
        <w:t xml:space="preserve"> with immunocompromised </w:t>
      </w:r>
      <w:r w:rsidR="00FD1517">
        <w:t>residents</w:t>
      </w:r>
      <w:r>
        <w:t>) as determined by</w:t>
      </w:r>
      <w:r w:rsidR="00877D24">
        <w:t xml:space="preserve"> the facility</w:t>
      </w:r>
      <w:r>
        <w:t xml:space="preserve"> or during periods of increased transmission risks.</w:t>
      </w:r>
    </w:p>
    <w:p w14:paraId="66478F45" w14:textId="4F3BA536" w:rsidR="00734DD0" w:rsidRPr="0014515B" w:rsidRDefault="00445EF7" w:rsidP="00445EF7">
      <w:pPr>
        <w:pStyle w:val="Body"/>
        <w:rPr>
          <w:lang w:val="en-US"/>
        </w:rPr>
      </w:pPr>
      <w:r w:rsidRPr="0014515B">
        <w:t>Facility operators should ensure staff wear</w:t>
      </w:r>
      <w:r w:rsidR="00D51D4C" w:rsidRPr="0014515B">
        <w:t>ing</w:t>
      </w:r>
      <w:r w:rsidRPr="0014515B">
        <w:t xml:space="preserve"> surgical masks and respirator masks</w:t>
      </w:r>
      <w:r w:rsidR="00D51D4C" w:rsidRPr="0014515B">
        <w:t>, do so</w:t>
      </w:r>
      <w:r w:rsidRPr="0014515B">
        <w:t xml:space="preserve"> in line with</w:t>
      </w:r>
      <w:r w:rsidR="00934D0C">
        <w:t xml:space="preserve"> </w:t>
      </w:r>
      <w:r w:rsidR="00C47768">
        <w:t>d</w:t>
      </w:r>
      <w:r w:rsidR="00B7704D">
        <w:t>epartmental guidance</w:t>
      </w:r>
      <w:r w:rsidR="006C0CB8">
        <w:t xml:space="preserve"> available </w:t>
      </w:r>
      <w:r w:rsidR="006C0CB8" w:rsidRPr="006C0CB8">
        <w:t>at</w:t>
      </w:r>
      <w:r w:rsidR="00147AB2" w:rsidRPr="006C0CB8">
        <w:t xml:space="preserve"> </w:t>
      </w:r>
      <w:hyperlink r:id="rId24" w:history="1">
        <w:r w:rsidR="00147AB2" w:rsidRPr="006C0CB8">
          <w:rPr>
            <w:rStyle w:val="Hyperlink"/>
          </w:rPr>
          <w:t>Personal protective equipment (PPE)</w:t>
        </w:r>
      </w:hyperlink>
      <w:hyperlink r:id="rId25" w:history="1">
        <w:r w:rsidR="00147AB2" w:rsidRPr="006C0CB8">
          <w:t xml:space="preserve"> </w:t>
        </w:r>
      </w:hyperlink>
      <w:r w:rsidR="00C47768">
        <w:t>&lt;</w:t>
      </w:r>
      <w:r w:rsidR="00C47768" w:rsidRPr="00C47768">
        <w:t>https://www.health.vic.gov.au/covid-19-infection-prevention-control-guidelines/personal-protective-equipment-ppe</w:t>
      </w:r>
      <w:r w:rsidR="00C47768">
        <w:t>&gt;</w:t>
      </w:r>
      <w:r w:rsidRPr="00ED2610">
        <w:t xml:space="preserve"> </w:t>
      </w:r>
      <w:r w:rsidR="00C47768">
        <w:t xml:space="preserve">and </w:t>
      </w:r>
      <w:r w:rsidRPr="00ED2610">
        <w:rPr>
          <w:lang w:val="en-US"/>
        </w:rPr>
        <w:t>ensure there is adequate signage and staff training regarding mask usage.</w:t>
      </w:r>
    </w:p>
    <w:p w14:paraId="6ACB208A" w14:textId="77777777" w:rsidR="00445EF7" w:rsidRPr="0014515B" w:rsidRDefault="00445EF7" w:rsidP="00445EF7">
      <w:pPr>
        <w:pStyle w:val="DHHSbodyafterbullets"/>
        <w:rPr>
          <w:sz w:val="21"/>
          <w:szCs w:val="21"/>
        </w:rPr>
      </w:pPr>
      <w:r w:rsidRPr="0014515B">
        <w:rPr>
          <w:sz w:val="21"/>
          <w:szCs w:val="21"/>
        </w:rPr>
        <w:t>Further resources about the use of masks can be found in:</w:t>
      </w:r>
    </w:p>
    <w:p w14:paraId="0DAC4B31" w14:textId="7F22F3EE" w:rsidR="00445EF7" w:rsidRPr="00ED2610" w:rsidRDefault="00000000" w:rsidP="00C47768">
      <w:pPr>
        <w:pStyle w:val="Bullet1"/>
      </w:pPr>
      <w:hyperlink r:id="rId26" w:history="1">
        <w:r w:rsidR="00EA6FC8" w:rsidRPr="00ED2610">
          <w:rPr>
            <w:rStyle w:val="Hyperlink"/>
            <w:szCs w:val="21"/>
          </w:rPr>
          <w:t xml:space="preserve">Infection prevention </w:t>
        </w:r>
        <w:r w:rsidR="00B7704D">
          <w:rPr>
            <w:rStyle w:val="Hyperlink"/>
            <w:szCs w:val="21"/>
          </w:rPr>
          <w:t>and Control guidelines</w:t>
        </w:r>
        <w:r w:rsidR="00EA6FC8" w:rsidRPr="00ED2610">
          <w:rPr>
            <w:rStyle w:val="Hyperlink"/>
            <w:szCs w:val="21"/>
          </w:rPr>
          <w:t xml:space="preserve"> - COVID-19</w:t>
        </w:r>
      </w:hyperlink>
      <w:r w:rsidR="00445EF7" w:rsidRPr="00ED2610">
        <w:t xml:space="preserve"> &lt;</w:t>
      </w:r>
      <w:r w:rsidR="00934D0C" w:rsidRPr="00934D0C">
        <w:t>https://www.health.vic.gov.au/covid-19-infection-prevention-control-guidelines</w:t>
      </w:r>
      <w:r w:rsidR="00445EF7" w:rsidRPr="00ED2610">
        <w:t xml:space="preserve">&gt; </w:t>
      </w:r>
    </w:p>
    <w:p w14:paraId="25CD506C" w14:textId="0D1959DB" w:rsidR="00445EF7" w:rsidRPr="00ED2610" w:rsidRDefault="00000000" w:rsidP="00C47768">
      <w:pPr>
        <w:pStyle w:val="Bullet1"/>
        <w:rPr>
          <w:rFonts w:cs="Arial"/>
        </w:rPr>
      </w:pPr>
      <w:hyperlink r:id="rId27" w:history="1">
        <w:r w:rsidR="006C0CB8" w:rsidRPr="006C0CB8">
          <w:rPr>
            <w:rStyle w:val="Hyperlink"/>
            <w:rFonts w:cs="Arial"/>
            <w:szCs w:val="21"/>
          </w:rPr>
          <w:t>IPC Expert Group (ICEG) – endorsed resources for IPC</w:t>
        </w:r>
      </w:hyperlink>
      <w:r w:rsidR="00445EF7" w:rsidRPr="00ED2610">
        <w:rPr>
          <w:rStyle w:val="Hyperlink"/>
          <w:rFonts w:cs="Arial"/>
          <w:szCs w:val="21"/>
        </w:rPr>
        <w:t xml:space="preserve"> </w:t>
      </w:r>
      <w:r w:rsidR="00A93A0D">
        <w:t>&lt;</w:t>
      </w:r>
      <w:r w:rsidR="006C0CB8" w:rsidRPr="006C0CB8">
        <w:t>https://www.health.gov.au/resources/collections/iceg-endorsed-resources-for-infection-prevention-and-control</w:t>
      </w:r>
      <w:r w:rsidR="00445EF7" w:rsidRPr="00ED2610">
        <w:rPr>
          <w:rFonts w:cs="Arial"/>
        </w:rPr>
        <w:t>&gt;</w:t>
      </w:r>
    </w:p>
    <w:p w14:paraId="50930CDC" w14:textId="05724F0E" w:rsidR="00445EF7" w:rsidRDefault="00445EF7" w:rsidP="004D752C">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EC79B2" w14:paraId="174E1F3A" w14:textId="77777777" w:rsidTr="00EC79B2">
        <w:tc>
          <w:tcPr>
            <w:tcW w:w="9354" w:type="dxa"/>
            <w:shd w:val="clear" w:color="auto" w:fill="DBE5F1" w:themeFill="accent1" w:themeFillTint="33"/>
          </w:tcPr>
          <w:p w14:paraId="6DD3BB58" w14:textId="4676EABB" w:rsidR="00EC79B2" w:rsidRPr="0014515B" w:rsidRDefault="00EC79B2" w:rsidP="00EC79B2">
            <w:pPr>
              <w:pStyle w:val="Bullet1"/>
            </w:pPr>
            <w:r w:rsidRPr="0014515B">
              <w:t>Have you undertaken a risk assessment to identifying risk of respiratory hazards?</w:t>
            </w:r>
          </w:p>
          <w:p w14:paraId="6EC70A1D" w14:textId="77777777" w:rsidR="00EC79B2" w:rsidRPr="00403484" w:rsidRDefault="00EC79B2" w:rsidP="00EC79B2">
            <w:pPr>
              <w:pStyle w:val="Bullet1"/>
            </w:pPr>
            <w:r w:rsidRPr="00403484">
              <w:t>Do you have a policy that includes wearing of masks by staff, visitors and for cases and close contacts?</w:t>
            </w:r>
          </w:p>
          <w:p w14:paraId="64DBF125" w14:textId="3D52BC2B" w:rsidR="00EC79B2" w:rsidRDefault="00EC79B2" w:rsidP="00EC79B2">
            <w:pPr>
              <w:pStyle w:val="Bullet1"/>
            </w:pPr>
            <w:r w:rsidRPr="0014515B">
              <w:t xml:space="preserve">Do you have signage </w:t>
            </w:r>
            <w:r w:rsidRPr="00403484">
              <w:t>encouraging</w:t>
            </w:r>
            <w:r w:rsidRPr="0014515B">
              <w:t xml:space="preserve"> staff to wear recommended masks?</w:t>
            </w:r>
          </w:p>
          <w:p w14:paraId="64BF06F5" w14:textId="77777777" w:rsidR="00EC79B2" w:rsidRPr="00ED2610" w:rsidRDefault="00EC79B2" w:rsidP="00EC79B2">
            <w:pPr>
              <w:pStyle w:val="Bullet1"/>
            </w:pPr>
            <w:r w:rsidRPr="00ED2610">
              <w:t>Do you have a fit testing program for staff who wear respirators?</w:t>
            </w:r>
          </w:p>
          <w:p w14:paraId="137F578B" w14:textId="2344B417" w:rsidR="00EC79B2" w:rsidRPr="00EC79B2" w:rsidRDefault="00EC79B2" w:rsidP="00EC79B2">
            <w:pPr>
              <w:pStyle w:val="Bullet1"/>
            </w:pPr>
            <w:r w:rsidRPr="0014515B">
              <w:t>Do staff know how to correctly fit their masks?</w:t>
            </w:r>
          </w:p>
        </w:tc>
      </w:tr>
    </w:tbl>
    <w:p w14:paraId="2442FE80" w14:textId="32C26C84" w:rsidR="00EC79B2" w:rsidRDefault="00EC79B2" w:rsidP="00445EF7">
      <w:pPr>
        <w:pStyle w:val="Body"/>
      </w:pPr>
    </w:p>
    <w:p w14:paraId="67C9CCB5" w14:textId="77777777" w:rsidR="00EC79B2" w:rsidRDefault="00EC79B2">
      <w:pPr>
        <w:spacing w:after="0" w:line="240" w:lineRule="auto"/>
        <w:rPr>
          <w:rFonts w:eastAsia="Times"/>
        </w:rPr>
      </w:pPr>
      <w:r>
        <w:br w:type="page"/>
      </w:r>
    </w:p>
    <w:p w14:paraId="392A4054" w14:textId="45D5EEA3" w:rsidR="00445EF7" w:rsidRPr="0014515B" w:rsidRDefault="00445EF7" w:rsidP="00445EF7">
      <w:pPr>
        <w:pStyle w:val="Heading2"/>
      </w:pPr>
      <w:bookmarkStart w:id="350" w:name="_Antiviral_treatment_and"/>
      <w:bookmarkStart w:id="351" w:name="_Toc113443379"/>
      <w:bookmarkStart w:id="352" w:name="_Toc163573593"/>
      <w:bookmarkEnd w:id="350"/>
      <w:r w:rsidRPr="0014515B">
        <w:lastRenderedPageBreak/>
        <w:t>Antiviral treatment and prophylaxis</w:t>
      </w:r>
      <w:bookmarkStart w:id="353" w:name="_Toc111121597"/>
      <w:bookmarkStart w:id="354" w:name="_Toc111121598"/>
      <w:bookmarkEnd w:id="343"/>
      <w:bookmarkEnd w:id="344"/>
      <w:bookmarkEnd w:id="345"/>
      <w:bookmarkEnd w:id="346"/>
      <w:bookmarkEnd w:id="347"/>
      <w:bookmarkEnd w:id="348"/>
      <w:bookmarkEnd w:id="349"/>
      <w:bookmarkEnd w:id="351"/>
      <w:bookmarkEnd w:id="352"/>
      <w:bookmarkEnd w:id="353"/>
      <w:bookmarkEnd w:id="354"/>
    </w:p>
    <w:p w14:paraId="24F2A977" w14:textId="77777777" w:rsidR="00445EF7" w:rsidRPr="0014515B" w:rsidRDefault="00445EF7" w:rsidP="00445EF7">
      <w:pPr>
        <w:pStyle w:val="Body"/>
      </w:pPr>
      <w:r w:rsidRPr="0014515B">
        <w:t>Facility operators should have pathways in place to ensure rapid access to medication, when indicated, for COVID-19 (early therapy only) or influenza (prophylaxis or early therapy).</w:t>
      </w:r>
    </w:p>
    <w:p w14:paraId="0C5BF0A2" w14:textId="77777777" w:rsidR="00445EF7" w:rsidRPr="0014515B" w:rsidRDefault="00445EF7" w:rsidP="00445EF7">
      <w:pPr>
        <w:pStyle w:val="Body"/>
      </w:pPr>
      <w:r w:rsidRPr="0014515B">
        <w:t>To facilitate access and best practice, facilities are encouraged to engage with residents’ General Practitioners (GPs) to pre-assess any potentially eligible residents which should include:</w:t>
      </w:r>
    </w:p>
    <w:p w14:paraId="3E2B2562" w14:textId="77777777" w:rsidR="00445EF7" w:rsidRPr="0014515B" w:rsidRDefault="00445EF7" w:rsidP="006A4719">
      <w:pPr>
        <w:pStyle w:val="Body"/>
        <w:numPr>
          <w:ilvl w:val="0"/>
          <w:numId w:val="12"/>
        </w:numPr>
        <w:spacing w:after="80"/>
      </w:pPr>
      <w:r w:rsidRPr="0014515B">
        <w:t>discussing consent options for potential treatment with the resident and relevant decision-maker</w:t>
      </w:r>
    </w:p>
    <w:p w14:paraId="1845F2BA" w14:textId="77777777" w:rsidR="00445EF7" w:rsidRPr="0014515B" w:rsidRDefault="00445EF7" w:rsidP="006A4719">
      <w:pPr>
        <w:pStyle w:val="Body"/>
        <w:numPr>
          <w:ilvl w:val="0"/>
          <w:numId w:val="12"/>
        </w:numPr>
        <w:spacing w:after="80"/>
      </w:pPr>
      <w:r w:rsidRPr="0014515B">
        <w:t>identifying eligible residents</w:t>
      </w:r>
    </w:p>
    <w:p w14:paraId="4E7D800B" w14:textId="77777777" w:rsidR="00445EF7" w:rsidRPr="0014515B" w:rsidRDefault="00445EF7" w:rsidP="006A4719">
      <w:pPr>
        <w:pStyle w:val="Body"/>
        <w:numPr>
          <w:ilvl w:val="0"/>
          <w:numId w:val="12"/>
        </w:numPr>
        <w:spacing w:after="80"/>
      </w:pPr>
      <w:r w:rsidRPr="0014515B">
        <w:t>discussing potential antiviral administration with prescriber (medical or nurse practitioner) to enable assessment</w:t>
      </w:r>
    </w:p>
    <w:p w14:paraId="3FA601DC" w14:textId="77777777" w:rsidR="00445EF7" w:rsidRPr="0014515B" w:rsidRDefault="00445EF7" w:rsidP="006A4719">
      <w:pPr>
        <w:pStyle w:val="Body"/>
        <w:numPr>
          <w:ilvl w:val="0"/>
          <w:numId w:val="12"/>
        </w:numPr>
        <w:spacing w:after="80"/>
      </w:pPr>
      <w:r w:rsidRPr="0014515B">
        <w:t>ensuring a dispensing pathway is established with community pharmacy.</w:t>
      </w:r>
    </w:p>
    <w:p w14:paraId="5EA222EC" w14:textId="77777777" w:rsidR="00445EF7" w:rsidRPr="0014515B" w:rsidRDefault="00445EF7" w:rsidP="004D752C">
      <w:pPr>
        <w:pStyle w:val="Bodyafterbullets"/>
      </w:pPr>
      <w:r w:rsidRPr="0014515B">
        <w:t>Oral medications for COVID-19 and influenza are available on the PBS. More information is available at:</w:t>
      </w:r>
    </w:p>
    <w:p w14:paraId="0D2294F3" w14:textId="2019972E" w:rsidR="00445EF7" w:rsidRPr="0014515B" w:rsidRDefault="00000000" w:rsidP="006A4719">
      <w:pPr>
        <w:pStyle w:val="Body"/>
        <w:numPr>
          <w:ilvl w:val="0"/>
          <w:numId w:val="13"/>
        </w:numPr>
        <w:spacing w:after="80"/>
      </w:pPr>
      <w:hyperlink r:id="rId28" w:history="1">
        <w:r w:rsidR="00445EF7" w:rsidRPr="00264006">
          <w:rPr>
            <w:rStyle w:val="Hyperlink"/>
          </w:rPr>
          <w:t>Medications for patients with COVID-19</w:t>
        </w:r>
      </w:hyperlink>
      <w:r w:rsidR="00445EF7" w:rsidRPr="0014515B">
        <w:t xml:space="preserve"> &lt;https://www.health.vic.gov.au/covid-19/vaccines-and-medications-in-patients-with-covid-19&gt; </w:t>
      </w:r>
    </w:p>
    <w:p w14:paraId="02B8E042" w14:textId="781E72F9" w:rsidR="00445EF7" w:rsidRPr="00EC79B2" w:rsidRDefault="00000000" w:rsidP="006A4719">
      <w:pPr>
        <w:pStyle w:val="Body"/>
        <w:numPr>
          <w:ilvl w:val="0"/>
          <w:numId w:val="13"/>
        </w:numPr>
        <w:spacing w:after="80"/>
      </w:pPr>
      <w:hyperlink r:id="rId29" w:history="1">
        <w:r w:rsidR="00264006" w:rsidRPr="00264006">
          <w:rPr>
            <w:rStyle w:val="Hyperlink"/>
          </w:rPr>
          <w:t xml:space="preserve">Better Health Channel: </w:t>
        </w:r>
        <w:r w:rsidR="00445EF7" w:rsidRPr="00264006">
          <w:rPr>
            <w:rStyle w:val="Hyperlink"/>
          </w:rPr>
          <w:t>COVID-19 antiviral medicine</w:t>
        </w:r>
      </w:hyperlink>
      <w:r w:rsidR="00445EF7" w:rsidRPr="00EC79B2">
        <w:t xml:space="preserve"> &lt;</w:t>
      </w:r>
      <w:r w:rsidR="00264006" w:rsidRPr="00264006">
        <w:t>https://www.betterhealth.vic.gov.au/covid-19/covid-19-antiviral-medicine</w:t>
      </w:r>
      <w:r w:rsidR="00B7704D" w:rsidRPr="00EC79B2">
        <w:t>&gt;</w:t>
      </w:r>
    </w:p>
    <w:p w14:paraId="097FFD60" w14:textId="2EA8926F" w:rsidR="00445EF7" w:rsidRPr="0014515B" w:rsidRDefault="00000000" w:rsidP="006A4719">
      <w:pPr>
        <w:pStyle w:val="Bullet1"/>
        <w:numPr>
          <w:ilvl w:val="0"/>
          <w:numId w:val="13"/>
        </w:numPr>
        <w:spacing w:after="80"/>
      </w:pPr>
      <w:hyperlink r:id="rId30" w:history="1">
        <w:r w:rsidR="00264006" w:rsidRPr="00264006">
          <w:rPr>
            <w:rStyle w:val="Hyperlink"/>
          </w:rPr>
          <w:t>National Clinical Evidence Taskforce COVID-19</w:t>
        </w:r>
      </w:hyperlink>
      <w:r w:rsidR="00264006" w:rsidRPr="00264006">
        <w:t xml:space="preserve"> </w:t>
      </w:r>
      <w:r w:rsidR="00445EF7" w:rsidRPr="00EC79B2">
        <w:t>&lt;</w:t>
      </w:r>
      <w:r w:rsidR="00264006" w:rsidRPr="00264006">
        <w:t>https://clinicalevidence.net.au/covid-19/</w:t>
      </w:r>
      <w:r w:rsidR="00445EF7" w:rsidRPr="00EC79B2">
        <w:t>&gt;</w:t>
      </w:r>
    </w:p>
    <w:p w14:paraId="774793B8" w14:textId="1AADE7AF" w:rsidR="00010B1B" w:rsidRPr="00403484" w:rsidRDefault="00000000" w:rsidP="006A4719">
      <w:pPr>
        <w:pStyle w:val="Bullet1"/>
        <w:numPr>
          <w:ilvl w:val="0"/>
          <w:numId w:val="13"/>
        </w:numPr>
        <w:spacing w:after="80"/>
      </w:pPr>
      <w:hyperlink r:id="rId31" w:history="1">
        <w:r w:rsidR="00010B1B" w:rsidRPr="00403484">
          <w:rPr>
            <w:rStyle w:val="Hyperlink"/>
          </w:rPr>
          <w:t>CDNA National Guidelines for the Prevention, Control and Public Health Management of Outbreaks of Acute Respiratory Infection (including COVID-19 and Influenza) in Residential Care Facilities</w:t>
        </w:r>
      </w:hyperlink>
      <w:r w:rsidR="00010B1B" w:rsidRPr="00403484">
        <w:t xml:space="preserve"> &lt;https://www.health.gov.au/resources/publications/national-guidelines-for-the-prevention-control-and-public-health-management-of-outbreaks-of-acute-respiratory-infection-including-covid-19-and-influenza-in-residential-care-facilities&gt;</w:t>
      </w:r>
    </w:p>
    <w:p w14:paraId="30453F4F" w14:textId="68C8F0C1" w:rsidR="00445EF7" w:rsidRPr="0014515B" w:rsidDel="00906D78" w:rsidRDefault="00000000" w:rsidP="006A4719">
      <w:pPr>
        <w:pStyle w:val="Bullet1"/>
        <w:numPr>
          <w:ilvl w:val="0"/>
          <w:numId w:val="13"/>
        </w:numPr>
        <w:spacing w:after="80"/>
      </w:pPr>
      <w:hyperlink r:id="rId32" w:history="1">
        <w:r w:rsidR="00264006" w:rsidRPr="00264006">
          <w:rPr>
            <w:rStyle w:val="Hyperlink"/>
          </w:rPr>
          <w:t>L</w:t>
        </w:r>
        <w:r w:rsidR="00414853" w:rsidRPr="00264006">
          <w:rPr>
            <w:rStyle w:val="Hyperlink"/>
          </w:rPr>
          <w:t>etter to GP pre-season with FluVax antiviral planning tool</w:t>
        </w:r>
      </w:hyperlink>
      <w:r w:rsidR="00445EF7" w:rsidRPr="0014515B">
        <w:t xml:space="preserve"> &lt;https://www.health.vic.gov.au/infectious-diseases/respiratory-illness-management-in-aged-care-facilities&gt;</w:t>
      </w:r>
    </w:p>
    <w:p w14:paraId="6B9A8D34" w14:textId="77777777" w:rsidR="00445EF7" w:rsidRPr="0014515B" w:rsidRDefault="00445EF7" w:rsidP="00CD7760">
      <w:pPr>
        <w:pStyle w:val="Bullet1"/>
        <w:numPr>
          <w:ilvl w:val="0"/>
          <w:numId w:val="0"/>
        </w:numPr>
      </w:pPr>
    </w:p>
    <w:tbl>
      <w:tblPr>
        <w:tblStyle w:val="TableGrid"/>
        <w:tblW w:w="9354" w:type="dxa"/>
        <w:tblInd w:w="-5"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2D80F659" w14:textId="77777777" w:rsidTr="00CD7760">
        <w:tc>
          <w:tcPr>
            <w:tcW w:w="9354" w:type="dxa"/>
            <w:shd w:val="clear" w:color="auto" w:fill="DBE5F1" w:themeFill="accent1" w:themeFillTint="33"/>
          </w:tcPr>
          <w:p w14:paraId="50D75280" w14:textId="77777777" w:rsidR="00445EF7" w:rsidRPr="0014515B" w:rsidRDefault="00445EF7" w:rsidP="00CD7760">
            <w:pPr>
              <w:pStyle w:val="Bullet1"/>
            </w:pPr>
            <w:r w:rsidRPr="0014515B">
              <w:t>Have residents been assessed by their medical practitioner for eligibility for antiviral treatment and where applicable prophylaxis therapy for COVID-19 and influenza?</w:t>
            </w:r>
          </w:p>
          <w:p w14:paraId="582F66A0" w14:textId="414F37B0" w:rsidR="00445EF7" w:rsidRPr="0014515B" w:rsidRDefault="00445EF7" w:rsidP="00CD7760">
            <w:pPr>
              <w:pStyle w:val="Bullet1"/>
            </w:pPr>
            <w:r w:rsidRPr="0014515B">
              <w:t>Are medications available onsite or are pathways in place to ensure rapid supply?</w:t>
            </w:r>
          </w:p>
        </w:tc>
      </w:tr>
    </w:tbl>
    <w:p w14:paraId="4BF2D511" w14:textId="77777777" w:rsidR="00445EF7" w:rsidRPr="0014515B" w:rsidRDefault="00445EF7" w:rsidP="00445EF7">
      <w:pPr>
        <w:pStyle w:val="Heading2"/>
      </w:pPr>
      <w:bookmarkStart w:id="355" w:name="_Toc109129914"/>
      <w:bookmarkStart w:id="356" w:name="_Toc109131071"/>
      <w:bookmarkStart w:id="357" w:name="_Toc109138363"/>
      <w:bookmarkStart w:id="358" w:name="_Toc109138623"/>
      <w:bookmarkStart w:id="359" w:name="_Toc109140663"/>
      <w:bookmarkStart w:id="360" w:name="_Toc109142048"/>
      <w:bookmarkStart w:id="361" w:name="_Toc108693940"/>
      <w:bookmarkStart w:id="362" w:name="_Toc108704017"/>
      <w:bookmarkStart w:id="363" w:name="_Toc108709760"/>
      <w:bookmarkStart w:id="364" w:name="_Toc108093039"/>
      <w:bookmarkStart w:id="365" w:name="_Toc108623752"/>
      <w:bookmarkStart w:id="366" w:name="_Toc109729950"/>
      <w:bookmarkStart w:id="367" w:name="_Toc109729852"/>
      <w:bookmarkStart w:id="368" w:name="_Toc109730819"/>
      <w:bookmarkStart w:id="369" w:name="_Toc111121599"/>
      <w:bookmarkStart w:id="370" w:name="_Toc111638398"/>
      <w:bookmarkStart w:id="371" w:name="_Toc111708284"/>
      <w:bookmarkStart w:id="372" w:name="_Toc112144706"/>
      <w:bookmarkStart w:id="373" w:name="_Toc113443380"/>
      <w:bookmarkStart w:id="374" w:name="_Toc163573594"/>
      <w:bookmarkEnd w:id="355"/>
      <w:bookmarkEnd w:id="356"/>
      <w:bookmarkEnd w:id="357"/>
      <w:bookmarkEnd w:id="358"/>
      <w:bookmarkEnd w:id="359"/>
      <w:bookmarkEnd w:id="360"/>
      <w:bookmarkEnd w:id="361"/>
      <w:bookmarkEnd w:id="362"/>
      <w:bookmarkEnd w:id="363"/>
      <w:r w:rsidRPr="0014515B">
        <w:t>Testing</w:t>
      </w:r>
      <w:bookmarkEnd w:id="364"/>
      <w:bookmarkEnd w:id="365"/>
      <w:bookmarkEnd w:id="366"/>
      <w:bookmarkEnd w:id="367"/>
      <w:bookmarkEnd w:id="368"/>
      <w:bookmarkEnd w:id="369"/>
      <w:bookmarkEnd w:id="370"/>
      <w:bookmarkEnd w:id="371"/>
      <w:bookmarkEnd w:id="372"/>
      <w:bookmarkEnd w:id="373"/>
      <w:bookmarkEnd w:id="374"/>
    </w:p>
    <w:p w14:paraId="40218F2D" w14:textId="65757DD4" w:rsidR="00BD5A8F" w:rsidRDefault="00445EF7" w:rsidP="00BD5A8F">
      <w:pPr>
        <w:pStyle w:val="Body"/>
      </w:pPr>
      <w:r w:rsidRPr="0014515B">
        <w:t xml:space="preserve">All Victorians should get tested at the first sign of symptoms for COVID-19, influenza, RSV and other respiratory pathogens. Facility operators should ensure they have communication plans in place for staff, testing capacity available for residents, staff, and participants, and mechanisms in place to report results to the </w:t>
      </w:r>
      <w:r w:rsidR="00E97F4E">
        <w:t>d</w:t>
      </w:r>
      <w:r w:rsidRPr="0014515B">
        <w:t>epartment and LPHU.</w:t>
      </w:r>
    </w:p>
    <w:p w14:paraId="2D3290A7" w14:textId="717AF983" w:rsidR="00BD5A8F" w:rsidRDefault="00BD5A8F" w:rsidP="00BD5A8F">
      <w:pPr>
        <w:pStyle w:val="Body"/>
      </w:pPr>
      <w:r>
        <w:t>Asymptomatic staff testing is not recommended during periods of low COVID-19 transmission risk unless required for staff working in high</w:t>
      </w:r>
      <w:r w:rsidR="00877D24">
        <w:t>er</w:t>
      </w:r>
      <w:r>
        <w:t xml:space="preserve">-risk areas as determined by the </w:t>
      </w:r>
      <w:r w:rsidR="00877D24">
        <w:t>facilit</w:t>
      </w:r>
      <w:r w:rsidR="004B163A">
        <w:t>y.</w:t>
      </w:r>
    </w:p>
    <w:p w14:paraId="5D27A139" w14:textId="17C99827" w:rsidR="00445EF7" w:rsidRDefault="00BD5A8F" w:rsidP="00445EF7">
      <w:pPr>
        <w:pStyle w:val="Body"/>
      </w:pPr>
      <w:r>
        <w:t>Asymptomatic staff testing should be considered in specific circumstances, such as during an outbreak, during periods of high COVID-19 transmission risk or for those working in high</w:t>
      </w:r>
      <w:r w:rsidR="00877D24">
        <w:t>er</w:t>
      </w:r>
      <w:r>
        <w:t>-risk areas as determine</w:t>
      </w:r>
      <w:r w:rsidR="00E1403A">
        <w:t>d</w:t>
      </w:r>
      <w:r>
        <w:t xml:space="preserve"> by the </w:t>
      </w:r>
      <w:r w:rsidR="00877D24">
        <w:t>facility</w:t>
      </w:r>
      <w:r>
        <w:t xml:space="preserve">. The frequency of testing should be determined by </w:t>
      </w:r>
      <w:r w:rsidR="00877D24">
        <w:t xml:space="preserve">the facility </w:t>
      </w:r>
      <w:r>
        <w:t>in accordance with the risk posed to patients and other</w:t>
      </w:r>
      <w:r w:rsidR="00877D24">
        <w:t xml:space="preserve"> </w:t>
      </w:r>
      <w:r w:rsidR="004112BA">
        <w:t>staff.</w:t>
      </w:r>
      <w:r w:rsidR="004112BA" w:rsidRPr="0014515B">
        <w:t xml:space="preserve"> See</w:t>
      </w:r>
      <w:r w:rsidR="00445EF7" w:rsidRPr="0014515B">
        <w:t xml:space="preserve"> </w:t>
      </w:r>
      <w:hyperlink w:anchor="_Toc128755931" w:history="1">
        <w:r w:rsidR="0073649B" w:rsidRPr="003A0939">
          <w:rPr>
            <w:rStyle w:val="Hyperlink"/>
          </w:rPr>
          <w:t>section 5</w:t>
        </w:r>
      </w:hyperlink>
      <w:r w:rsidR="00445EF7" w:rsidRPr="0014515B">
        <w:t xml:space="preserve"> for further information regarding testing people with respiratory symptoms and </w:t>
      </w:r>
      <w:r w:rsidR="00D954A9" w:rsidRPr="00403484">
        <w:t>reporting</w:t>
      </w:r>
      <w:r w:rsidR="00D954A9" w:rsidRPr="0014515B">
        <w:t xml:space="preserve"> </w:t>
      </w:r>
      <w:r w:rsidR="00445EF7" w:rsidRPr="0014515B">
        <w:t>COVID-19 and influenza cases.</w:t>
      </w:r>
    </w:p>
    <w:p w14:paraId="225DECCE" w14:textId="77777777" w:rsidR="00CD7760" w:rsidRPr="0014515B" w:rsidRDefault="00CD7760" w:rsidP="00445EF7">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4150615B" w14:textId="77777777" w:rsidTr="00D50E8E">
        <w:tc>
          <w:tcPr>
            <w:tcW w:w="9354" w:type="dxa"/>
            <w:shd w:val="clear" w:color="auto" w:fill="DBE5F1" w:themeFill="accent1" w:themeFillTint="33"/>
          </w:tcPr>
          <w:p w14:paraId="2665AAC1" w14:textId="3EE67696" w:rsidR="00445EF7" w:rsidRPr="00CD7760" w:rsidRDefault="00445EF7" w:rsidP="00CD7760">
            <w:pPr>
              <w:pStyle w:val="Bullet1"/>
            </w:pPr>
            <w:r w:rsidRPr="00CD7760">
              <w:t>Do residents know to report symptoms of acute respiratory infection?</w:t>
            </w:r>
          </w:p>
          <w:p w14:paraId="255471C7" w14:textId="77777777" w:rsidR="00445EF7" w:rsidRPr="00CD7760" w:rsidRDefault="00445EF7" w:rsidP="00CD7760">
            <w:pPr>
              <w:pStyle w:val="Bullet1"/>
            </w:pPr>
            <w:r w:rsidRPr="00CD7760">
              <w:t>Do your staff know they should not attend work if they are unwell?</w:t>
            </w:r>
          </w:p>
          <w:p w14:paraId="339D9398" w14:textId="77777777" w:rsidR="00445EF7" w:rsidRPr="00CD7760" w:rsidRDefault="00445EF7" w:rsidP="00CD7760">
            <w:pPr>
              <w:pStyle w:val="Bullet1"/>
            </w:pPr>
            <w:r w:rsidRPr="00CD7760">
              <w:t>Do your staff know how to get tested at the first sign of symptoms?</w:t>
            </w:r>
          </w:p>
          <w:p w14:paraId="37AB7B42" w14:textId="500589FC" w:rsidR="00715DDA" w:rsidRPr="00CD7760" w:rsidRDefault="00715DDA" w:rsidP="00CD7760">
            <w:pPr>
              <w:pStyle w:val="Bullet1"/>
            </w:pPr>
            <w:r w:rsidRPr="00CD7760">
              <w:t>Do you have a testing policy for visitors</w:t>
            </w:r>
            <w:r w:rsidR="00F662D3" w:rsidRPr="00CD7760">
              <w:t xml:space="preserve"> visiting the facility</w:t>
            </w:r>
            <w:r w:rsidRPr="00CD7760">
              <w:t>, staff or residents visiting other sensitive settings and for cases and contacts?</w:t>
            </w:r>
          </w:p>
          <w:p w14:paraId="3F33FFD1" w14:textId="77777777" w:rsidR="00445EF7" w:rsidRPr="00CD7760" w:rsidRDefault="00445EF7" w:rsidP="00CD7760">
            <w:pPr>
              <w:pStyle w:val="Bullet1"/>
            </w:pPr>
            <w:r w:rsidRPr="00CD7760">
              <w:t>Do</w:t>
            </w:r>
            <w:r w:rsidRPr="00CD7760" w:rsidDel="00BE5574">
              <w:t xml:space="preserve"> </w:t>
            </w:r>
            <w:r w:rsidRPr="00CD7760">
              <w:t>staff know who to tell if they return a positive COVID-19 or influenza test result?</w:t>
            </w:r>
          </w:p>
          <w:p w14:paraId="48E9C759" w14:textId="2A60418B" w:rsidR="00445EF7" w:rsidRPr="00CD7760" w:rsidRDefault="00445EF7" w:rsidP="00CD7760">
            <w:pPr>
              <w:pStyle w:val="Bullet1"/>
            </w:pPr>
            <w:r w:rsidRPr="00CD7760">
              <w:t>Do</w:t>
            </w:r>
            <w:r w:rsidRPr="00CD7760" w:rsidDel="00BE5574">
              <w:t xml:space="preserve"> </w:t>
            </w:r>
            <w:r w:rsidRPr="00CD7760">
              <w:t>staff know how to notify workplace contacts and advise them on actions to follow?</w:t>
            </w:r>
          </w:p>
          <w:p w14:paraId="260FA597" w14:textId="49BF3E4C" w:rsidR="00445EF7" w:rsidRPr="0014515B" w:rsidRDefault="00445EF7" w:rsidP="00CD7760">
            <w:pPr>
              <w:pStyle w:val="Bullet1"/>
            </w:pPr>
            <w:r w:rsidRPr="00CD7760">
              <w:t>Do you</w:t>
            </w:r>
            <w:r w:rsidRPr="0014515B">
              <w:t xml:space="preserve"> have testing equipment available? Are staff trained to collect tests?</w:t>
            </w:r>
          </w:p>
        </w:tc>
      </w:tr>
    </w:tbl>
    <w:p w14:paraId="5F5470B8" w14:textId="77777777" w:rsidR="00445EF7" w:rsidRPr="0014515B" w:rsidRDefault="00445EF7" w:rsidP="00445EF7">
      <w:pPr>
        <w:pStyle w:val="Heading2"/>
      </w:pPr>
      <w:bookmarkStart w:id="375" w:name="_Toc108093040"/>
      <w:bookmarkStart w:id="376" w:name="_Toc108623753"/>
      <w:bookmarkStart w:id="377" w:name="_Toc109729951"/>
      <w:bookmarkStart w:id="378" w:name="_Toc109729853"/>
      <w:bookmarkStart w:id="379" w:name="_Toc109730820"/>
      <w:bookmarkStart w:id="380" w:name="_Toc111121600"/>
      <w:bookmarkStart w:id="381" w:name="_Toc111638399"/>
      <w:bookmarkStart w:id="382" w:name="_Toc111708285"/>
      <w:bookmarkStart w:id="383" w:name="_Toc112144707"/>
      <w:bookmarkStart w:id="384" w:name="_Toc113443381"/>
      <w:bookmarkStart w:id="385" w:name="_Toc163573595"/>
      <w:r w:rsidRPr="0014515B">
        <w:t>Education and practice</w:t>
      </w:r>
      <w:bookmarkEnd w:id="375"/>
      <w:bookmarkEnd w:id="376"/>
      <w:bookmarkEnd w:id="377"/>
      <w:bookmarkEnd w:id="378"/>
      <w:bookmarkEnd w:id="379"/>
      <w:bookmarkEnd w:id="380"/>
      <w:bookmarkEnd w:id="381"/>
      <w:bookmarkEnd w:id="382"/>
      <w:bookmarkEnd w:id="383"/>
      <w:bookmarkEnd w:id="384"/>
      <w:bookmarkEnd w:id="385"/>
    </w:p>
    <w:p w14:paraId="45752A18" w14:textId="55CB5F53" w:rsidR="00445EF7" w:rsidRPr="0014515B" w:rsidRDefault="00445EF7" w:rsidP="00445EF7">
      <w:pPr>
        <w:pStyle w:val="Body"/>
      </w:pPr>
      <w:r w:rsidRPr="0014515B">
        <w:t xml:space="preserve">It is the responsibility of all RCFs </w:t>
      </w:r>
      <w:r w:rsidRPr="00ED2610">
        <w:t xml:space="preserve">to ensure staff </w:t>
      </w:r>
      <w:r w:rsidR="00050563" w:rsidRPr="00ED2610">
        <w:t xml:space="preserve">regularly </w:t>
      </w:r>
      <w:r w:rsidR="00472579" w:rsidRPr="00ED2610">
        <w:t>refresh their IPC</w:t>
      </w:r>
      <w:r w:rsidR="00C9122D" w:rsidRPr="00ED2610">
        <w:t xml:space="preserve"> training and skills</w:t>
      </w:r>
      <w:r w:rsidR="00FC4BA5" w:rsidRPr="00ED2610">
        <w:t>, including hand hygiene</w:t>
      </w:r>
      <w:r w:rsidR="002B41C8" w:rsidRPr="00ED2610">
        <w:t>, appropriate use of PPE</w:t>
      </w:r>
      <w:r w:rsidR="00F854E6" w:rsidRPr="00ED2610">
        <w:t xml:space="preserve"> and cleaning practices</w:t>
      </w:r>
      <w:r w:rsidRPr="00ED2610">
        <w:t>.</w:t>
      </w:r>
      <w:r w:rsidRPr="0014515B">
        <w:t xml:space="preserve"> Staff should be aware of the signs and symptoms of </w:t>
      </w:r>
      <w:r w:rsidR="00920CA4">
        <w:t>respiratory il</w:t>
      </w:r>
      <w:r w:rsidR="00816AAD">
        <w:t>l</w:t>
      </w:r>
      <w:r w:rsidR="00920CA4">
        <w:t>ness</w:t>
      </w:r>
      <w:r w:rsidR="0004733F">
        <w:t>es</w:t>
      </w:r>
      <w:r w:rsidRPr="0014515B">
        <w:t xml:space="preserve"> and monitor themselves and those under their care, to identify and respond quickly to a potential exposure.</w:t>
      </w:r>
    </w:p>
    <w:p w14:paraId="3ADCC019" w14:textId="77777777" w:rsidR="00445EF7" w:rsidRPr="0014515B" w:rsidRDefault="00445EF7" w:rsidP="00445EF7">
      <w:pPr>
        <w:pStyle w:val="Body"/>
      </w:pPr>
      <w:r w:rsidRPr="0014515B">
        <w:t>Staff and contractors also need to understand the facility infection prevention and control guidelines, ventilation recommendations, and workplace health and safety requirements that apply to their setting.</w:t>
      </w:r>
    </w:p>
    <w:p w14:paraId="41C24FB5" w14:textId="43E64827" w:rsidR="00445EF7" w:rsidRPr="0014515B" w:rsidRDefault="00445EF7" w:rsidP="00445EF7">
      <w:pPr>
        <w:pStyle w:val="Body"/>
      </w:pPr>
      <w:r w:rsidRPr="0014515B">
        <w:t xml:space="preserve">Facilities should practice using their </w:t>
      </w:r>
      <w:r w:rsidR="00A76879">
        <w:t>OMP</w:t>
      </w:r>
      <w:r w:rsidRPr="0014515B">
        <w:t xml:space="preserve"> and make sure staff are aware of the actions in the COVIDSafe Plan. This could include running exercises that include prevention, identification, and management activities of acute respiratory infections, including COVID-19. Facilities must adequately train staff to implement this plan and identify development opportunities.</w:t>
      </w:r>
    </w:p>
    <w:p w14:paraId="56789750" w14:textId="4E4012CA" w:rsidR="00445EF7" w:rsidRDefault="00445EF7" w:rsidP="00445EF7">
      <w:pPr>
        <w:pStyle w:val="Body"/>
        <w:rPr>
          <w:rFonts w:eastAsia="Times New Roman"/>
        </w:rPr>
      </w:pPr>
      <w:r w:rsidRPr="0014515B">
        <w:t xml:space="preserve">Training resources can be found at </w:t>
      </w:r>
      <w:hyperlink r:id="rId33" w:history="1">
        <w:r w:rsidR="001271A0" w:rsidRPr="001271A0">
          <w:rPr>
            <w:rStyle w:val="Hyperlink"/>
          </w:rPr>
          <w:t xml:space="preserve">COVID-19 </w:t>
        </w:r>
        <w:r w:rsidRPr="001271A0">
          <w:rPr>
            <w:rStyle w:val="Hyperlink"/>
          </w:rPr>
          <w:t>Infection prevention</w:t>
        </w:r>
        <w:r w:rsidR="001271A0" w:rsidRPr="001271A0">
          <w:rPr>
            <w:rStyle w:val="Hyperlink"/>
          </w:rPr>
          <w:t xml:space="preserve"> and</w:t>
        </w:r>
        <w:r w:rsidRPr="001271A0">
          <w:rPr>
            <w:rStyle w:val="Hyperlink"/>
          </w:rPr>
          <w:t xml:space="preserve"> control </w:t>
        </w:r>
        <w:r w:rsidR="001271A0" w:rsidRPr="001271A0">
          <w:rPr>
            <w:rStyle w:val="Hyperlink"/>
          </w:rPr>
          <w:t>guidelines</w:t>
        </w:r>
      </w:hyperlink>
      <w:r w:rsidRPr="0014515B">
        <w:rPr>
          <w:rFonts w:eastAsia="Times New Roman"/>
        </w:rPr>
        <w:t xml:space="preserve"> &lt;</w:t>
      </w:r>
      <w:r w:rsidRPr="0014515B">
        <w:t>https://www.health.vic.gov.au/covid-19/infection-prevention-control-resources-covid-19</w:t>
      </w:r>
      <w:r w:rsidRPr="0014515B">
        <w:rPr>
          <w:rFonts w:eastAsia="Times New Roman"/>
        </w:rPr>
        <w:t>&gt;.</w:t>
      </w:r>
    </w:p>
    <w:p w14:paraId="2390609E" w14:textId="77777777" w:rsidR="00CD7760" w:rsidRPr="0014515B" w:rsidRDefault="00CD7760" w:rsidP="00445EF7">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14515B" w14:paraId="754DA3E6" w14:textId="77777777" w:rsidTr="00D50E8E">
        <w:tc>
          <w:tcPr>
            <w:tcW w:w="9354" w:type="dxa"/>
            <w:shd w:val="clear" w:color="auto" w:fill="DBE5F1" w:themeFill="accent1" w:themeFillTint="33"/>
          </w:tcPr>
          <w:p w14:paraId="31053019" w14:textId="17BBB0C2" w:rsidR="00274B7D" w:rsidRPr="00CD7760" w:rsidRDefault="00274B7D" w:rsidP="00CD7760">
            <w:pPr>
              <w:pStyle w:val="Bullet1"/>
            </w:pPr>
            <w:r w:rsidRPr="00CD7760">
              <w:t xml:space="preserve">Does the facility have an IPC </w:t>
            </w:r>
            <w:r w:rsidR="00784802" w:rsidRPr="00CD7760">
              <w:t>L</w:t>
            </w:r>
            <w:r w:rsidRPr="00CD7760">
              <w:t>ead</w:t>
            </w:r>
            <w:r w:rsidR="00784802" w:rsidRPr="00CD7760">
              <w:t>,</w:t>
            </w:r>
            <w:r w:rsidRPr="00CD7760">
              <w:t xml:space="preserve"> and have they completed </w:t>
            </w:r>
            <w:r w:rsidR="004B26B3" w:rsidRPr="00CD7760">
              <w:t>the necessary education</w:t>
            </w:r>
            <w:r w:rsidRPr="00CD7760">
              <w:t>?</w:t>
            </w:r>
          </w:p>
          <w:p w14:paraId="2926DDA4" w14:textId="63876B5A" w:rsidR="00B1791A" w:rsidRPr="00CD7760" w:rsidRDefault="005B1493" w:rsidP="00CD7760">
            <w:pPr>
              <w:pStyle w:val="Bullet1"/>
            </w:pPr>
            <w:r w:rsidRPr="00CD7760">
              <w:t xml:space="preserve">Does </w:t>
            </w:r>
            <w:r w:rsidR="00966F96" w:rsidRPr="00CD7760">
              <w:t>facility management support</w:t>
            </w:r>
            <w:r w:rsidR="00E51604" w:rsidRPr="00CD7760">
              <w:t xml:space="preserve"> the IPC lead</w:t>
            </w:r>
            <w:r w:rsidR="000A234B" w:rsidRPr="00CD7760">
              <w:t xml:space="preserve"> and ensure they have adequate </w:t>
            </w:r>
            <w:r w:rsidR="000D30E4" w:rsidRPr="00CD7760">
              <w:t>time and resources</w:t>
            </w:r>
            <w:r w:rsidR="002E4A0E" w:rsidRPr="00CD7760">
              <w:t xml:space="preserve"> to oversee IPC capability across the service?</w:t>
            </w:r>
          </w:p>
          <w:p w14:paraId="394ACF45" w14:textId="4AE43D01" w:rsidR="00445EF7" w:rsidRPr="00CD7760" w:rsidRDefault="00445EF7" w:rsidP="00CD7760">
            <w:pPr>
              <w:pStyle w:val="Bullet1"/>
            </w:pPr>
            <w:r w:rsidRPr="00CD7760">
              <w:t>Have staff undertaken education and training in relevant aspects of outbreak identification and management?</w:t>
            </w:r>
          </w:p>
          <w:p w14:paraId="05FE6110" w14:textId="77777777" w:rsidR="00445EF7" w:rsidRPr="00CD7760" w:rsidRDefault="00445EF7" w:rsidP="00CD7760">
            <w:pPr>
              <w:pStyle w:val="Bullet1"/>
            </w:pPr>
            <w:r w:rsidRPr="00CD7760">
              <w:t>Have staff completed a donning and doffing competency assessment demonstrating safe PPE use?</w:t>
            </w:r>
          </w:p>
          <w:p w14:paraId="78615EA2" w14:textId="153AC7EE" w:rsidR="000E4EC7" w:rsidRPr="00CD7760" w:rsidRDefault="00445EF7" w:rsidP="00CD7760">
            <w:pPr>
              <w:pStyle w:val="Bullet1"/>
            </w:pPr>
            <w:r w:rsidRPr="00CD7760">
              <w:t>Are staff familiar with, and adhere to, infection prevention and control activities and the appropriate use of personal protective equipment (PPE)?</w:t>
            </w:r>
          </w:p>
          <w:p w14:paraId="0DF78E30" w14:textId="20987E87" w:rsidR="00445EF7" w:rsidRPr="00CD7760" w:rsidRDefault="00445EF7" w:rsidP="00CD7760">
            <w:pPr>
              <w:pStyle w:val="Bullet1"/>
            </w:pPr>
            <w:r w:rsidRPr="00CD7760">
              <w:t>Do staff, residents, participants, and visitors to your facility know how they can help stop the spread of COVID-19 and influenza?</w:t>
            </w:r>
          </w:p>
          <w:p w14:paraId="4BBEE46A" w14:textId="3391FABE" w:rsidR="000E4EC7" w:rsidRPr="0014515B" w:rsidRDefault="00DB6AE6" w:rsidP="00CD7760">
            <w:pPr>
              <w:pStyle w:val="Bullet1"/>
            </w:pPr>
            <w:r w:rsidRPr="00CD7760">
              <w:t>Do your staff understand the policy for visitors entering facility</w:t>
            </w:r>
            <w:r w:rsidR="0006348B" w:rsidRPr="00CD7760">
              <w:t>, including masks and pre-entry testing?</w:t>
            </w:r>
          </w:p>
        </w:tc>
      </w:tr>
    </w:tbl>
    <w:p w14:paraId="2854BD83" w14:textId="77777777" w:rsidR="001271A0" w:rsidRPr="001271A0" w:rsidRDefault="001271A0" w:rsidP="001271A0">
      <w:pPr>
        <w:pStyle w:val="Body"/>
      </w:pPr>
      <w:bookmarkStart w:id="386" w:name="_Toc108093041"/>
      <w:bookmarkStart w:id="387" w:name="_Toc108623754"/>
      <w:bookmarkStart w:id="388" w:name="_Toc109729952"/>
      <w:bookmarkStart w:id="389" w:name="_Toc109729854"/>
      <w:bookmarkStart w:id="390" w:name="_Toc109730821"/>
      <w:bookmarkStart w:id="391" w:name="_Toc111121601"/>
      <w:bookmarkStart w:id="392" w:name="_Toc111638400"/>
      <w:bookmarkStart w:id="393" w:name="_Toc111708286"/>
      <w:bookmarkStart w:id="394" w:name="_Toc112144708"/>
      <w:bookmarkStart w:id="395" w:name="_Toc113443382"/>
      <w:r w:rsidRPr="001271A0">
        <w:br w:type="page"/>
      </w:r>
    </w:p>
    <w:p w14:paraId="34EFF427" w14:textId="5FFDD802" w:rsidR="00084B9D" w:rsidRPr="0014515B" w:rsidRDefault="00084B9D" w:rsidP="00084B9D">
      <w:pPr>
        <w:pStyle w:val="Heading2"/>
      </w:pPr>
      <w:bookmarkStart w:id="396" w:name="_Toc163573596"/>
      <w:r w:rsidRPr="0014515B">
        <w:lastRenderedPageBreak/>
        <w:t>Workforce planning</w:t>
      </w:r>
      <w:bookmarkEnd w:id="396"/>
    </w:p>
    <w:p w14:paraId="74765C86" w14:textId="4C130B7B" w:rsidR="00084B9D" w:rsidRPr="0014515B" w:rsidRDefault="00084B9D" w:rsidP="00CD7760">
      <w:pPr>
        <w:pStyle w:val="Body"/>
      </w:pPr>
      <w:r w:rsidRPr="0014515B">
        <w:t>RCFs should have a contingency plan to replace staff on sick leave or furlough during outbreaks. The plan should cover a staff absentee rate of 20</w:t>
      </w:r>
      <w:r w:rsidR="001271A0">
        <w:t>–</w:t>
      </w:r>
      <w:r w:rsidRPr="0014515B">
        <w:t>50%. This should incorporate staff across all categories of workers/areas of the facility. Consideration should also be given to ability to cohort or zone staff, and minimise staff working across multiple sites/ services, and in non-public facing roles. Consider expected peaks in transmission, such as influenza transmission during winter, when planning staff leave.</w:t>
      </w:r>
    </w:p>
    <w:p w14:paraId="7BC87125" w14:textId="024D0ACB" w:rsidR="00084B9D" w:rsidRPr="0014515B" w:rsidRDefault="00084B9D" w:rsidP="00CD7760">
      <w:pPr>
        <w:pStyle w:val="Body"/>
        <w:rPr>
          <w:lang w:val="en-GB"/>
        </w:rPr>
      </w:pPr>
      <w:r w:rsidRPr="0014515B">
        <w:rPr>
          <w:lang w:val="en-GB"/>
        </w:rPr>
        <w:t xml:space="preserve">Ensure only staff essential to the delivery of care are entering areas designated for the care of suspected or confirmed of cases of COVID-19 and influenza. Consider decreasing the potential exposure of each staff member to others (including </w:t>
      </w:r>
      <w:r w:rsidR="00FD1517">
        <w:rPr>
          <w:lang w:val="en-GB"/>
        </w:rPr>
        <w:t>residents</w:t>
      </w:r>
      <w:r w:rsidRPr="0014515B">
        <w:rPr>
          <w:lang w:val="en-GB"/>
        </w:rPr>
        <w:t xml:space="preserve"> and colleagues) through stable allocation of residents. Where reasonably practicable, provide separate break areas for separate teams and consider staggering staff breaks where ventilation is limited.</w:t>
      </w:r>
    </w:p>
    <w:p w14:paraId="53A98B02" w14:textId="31AA9BFC" w:rsidR="00084B9D" w:rsidRPr="0014515B" w:rsidRDefault="00084B9D" w:rsidP="00CD7760">
      <w:pPr>
        <w:pStyle w:val="Body"/>
        <w:rPr>
          <w:lang w:val="en-GB"/>
        </w:rPr>
      </w:pPr>
      <w:r w:rsidRPr="0014515B">
        <w:rPr>
          <w:lang w:val="en-GB"/>
        </w:rPr>
        <w:t>For further information on zoning se</w:t>
      </w:r>
      <w:r w:rsidR="00B7704D">
        <w:rPr>
          <w:lang w:val="en-GB"/>
        </w:rPr>
        <w:t>e</w:t>
      </w:r>
      <w:hyperlink r:id="rId34" w:history="1">
        <w:r w:rsidR="00B7704D" w:rsidRPr="00C913A0">
          <w:rPr>
            <w:rStyle w:val="Hyperlink"/>
            <w:szCs w:val="21"/>
            <w:lang w:val="en-GB"/>
          </w:rPr>
          <w:t xml:space="preserve"> </w:t>
        </w:r>
        <w:r w:rsidR="00C913A0" w:rsidRPr="00C913A0">
          <w:rPr>
            <w:rStyle w:val="Hyperlink"/>
            <w:szCs w:val="21"/>
            <w:lang w:val="en-GB"/>
          </w:rPr>
          <w:t>managing staff, visitors and outbreaks</w:t>
        </w:r>
      </w:hyperlink>
      <w:r w:rsidR="00C913A0" w:rsidRPr="00C913A0">
        <w:rPr>
          <w:lang w:val="en-GB"/>
        </w:rPr>
        <w:t xml:space="preserve"> </w:t>
      </w:r>
      <w:r w:rsidRPr="00C913A0">
        <w:rPr>
          <w:lang w:val="en-GB"/>
        </w:rPr>
        <w:t>&lt;</w:t>
      </w:r>
      <w:r w:rsidR="00B7704D" w:rsidRPr="00B7704D">
        <w:rPr>
          <w:lang w:val="en-GB"/>
        </w:rPr>
        <w:t>https://www.health.vic.gov.au/covid-19-infection-prevention-control-guidelines/ipc-control-strategies</w:t>
      </w:r>
      <w:r w:rsidR="00B7704D">
        <w:rPr>
          <w:lang w:val="en-GB"/>
        </w:rPr>
        <w:t>&gt;</w:t>
      </w:r>
      <w:r w:rsidR="003C62E8">
        <w:rPr>
          <w:lang w:val="en-GB"/>
        </w:rPr>
        <w:t>.</w:t>
      </w:r>
    </w:p>
    <w:p w14:paraId="2A469B3A" w14:textId="77777777" w:rsidR="00084B9D" w:rsidRPr="0014515B" w:rsidRDefault="00084B9D" w:rsidP="00084B9D">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266809" w:rsidRPr="0014515B" w14:paraId="3DF4B1A3" w14:textId="77777777" w:rsidTr="002A0684">
        <w:tc>
          <w:tcPr>
            <w:tcW w:w="9354" w:type="dxa"/>
            <w:shd w:val="clear" w:color="auto" w:fill="DBE5F1" w:themeFill="accent1" w:themeFillTint="33"/>
          </w:tcPr>
          <w:p w14:paraId="19C283D0" w14:textId="77777777" w:rsidR="00084B9D" w:rsidRPr="002A0684" w:rsidRDefault="00084B9D" w:rsidP="002A0684">
            <w:pPr>
              <w:pStyle w:val="Bullet1"/>
            </w:pPr>
            <w:r w:rsidRPr="002A0684">
              <w:t>Do you have a workforce plan, and is it up to date?</w:t>
            </w:r>
          </w:p>
          <w:p w14:paraId="56478386" w14:textId="77777777" w:rsidR="00084B9D" w:rsidRPr="002A0684" w:rsidRDefault="00084B9D" w:rsidP="002A0684">
            <w:pPr>
              <w:pStyle w:val="Bullet1"/>
            </w:pPr>
            <w:r w:rsidRPr="002A0684">
              <w:t xml:space="preserve">Have you identified which staff have essential roles? </w:t>
            </w:r>
          </w:p>
          <w:p w14:paraId="108D9807" w14:textId="77777777" w:rsidR="00084B9D" w:rsidRPr="002A0684" w:rsidRDefault="00084B9D" w:rsidP="002A0684">
            <w:pPr>
              <w:pStyle w:val="Bullet1"/>
            </w:pPr>
            <w:r w:rsidRPr="002A0684">
              <w:t>Have you identified back-up staff in case essential staff are unable to work?</w:t>
            </w:r>
          </w:p>
          <w:p w14:paraId="230E110C" w14:textId="77777777" w:rsidR="00084B9D" w:rsidRPr="002A0684" w:rsidRDefault="00084B9D" w:rsidP="002A0684">
            <w:pPr>
              <w:pStyle w:val="Bullet1"/>
            </w:pPr>
            <w:r w:rsidRPr="002A0684">
              <w:t xml:space="preserve">Who do you contact to source additional staff? </w:t>
            </w:r>
          </w:p>
          <w:p w14:paraId="6DB0BE4A" w14:textId="77777777" w:rsidR="00084B9D" w:rsidRPr="002A0684" w:rsidRDefault="00084B9D" w:rsidP="002A0684">
            <w:pPr>
              <w:pStyle w:val="Bullet1"/>
            </w:pPr>
            <w:r w:rsidRPr="002A0684">
              <w:t>Have you developed a plan for cohorting/zoning staff in an outbreak?</w:t>
            </w:r>
          </w:p>
          <w:p w14:paraId="64E69F7F" w14:textId="7DE1A29F" w:rsidR="00084B9D" w:rsidRPr="0014515B" w:rsidRDefault="00084B9D" w:rsidP="002A0684">
            <w:pPr>
              <w:pStyle w:val="Bullet1"/>
            </w:pPr>
            <w:r w:rsidRPr="002A0684">
              <w:t>Do you know which staff work across multiple residential care services and which site may become their</w:t>
            </w:r>
            <w:r w:rsidRPr="0014515B">
              <w:t xml:space="preserve"> primary site if this is limited?</w:t>
            </w:r>
          </w:p>
        </w:tc>
      </w:tr>
    </w:tbl>
    <w:p w14:paraId="619658BC" w14:textId="2368FA39" w:rsidR="00084B9D" w:rsidRPr="00ED2610" w:rsidRDefault="00084B9D" w:rsidP="00084B9D">
      <w:pPr>
        <w:pStyle w:val="Heading2"/>
      </w:pPr>
      <w:bookmarkStart w:id="397" w:name="_Toc163573597"/>
      <w:r w:rsidRPr="00ED2610">
        <w:t>Visitors to Residential Care Facilities</w:t>
      </w:r>
      <w:bookmarkEnd w:id="397"/>
    </w:p>
    <w:p w14:paraId="7859DBCD" w14:textId="547DC456" w:rsidR="00F06F54" w:rsidRPr="00F06F54" w:rsidRDefault="00084B9D" w:rsidP="6B2561BA">
      <w:pPr>
        <w:pStyle w:val="Body"/>
        <w:rPr>
          <w:rStyle w:val="BodyChar"/>
          <w:rFonts w:cs="Arial"/>
        </w:rPr>
      </w:pPr>
      <w:r>
        <w:t xml:space="preserve">It is an essential part of resident’s wellbeing that they </w:t>
      </w:r>
      <w:r w:rsidR="70565A2A">
        <w:t>can</w:t>
      </w:r>
      <w:r>
        <w:t xml:space="preserve"> receive visitors to help to reduce the impacts of social isolation and mental health impacts</w:t>
      </w:r>
      <w:r w:rsidR="00986184">
        <w:t xml:space="preserve">. </w:t>
      </w:r>
      <w:r w:rsidRPr="6B2561BA">
        <w:rPr>
          <w:rStyle w:val="BodyChar"/>
          <w:rFonts w:cs="Arial"/>
        </w:rPr>
        <w:t>Visitations should be conducted in a manner that minimises the risk of introducing and spreading COVID-19</w:t>
      </w:r>
      <w:r w:rsidR="008E07D9" w:rsidRPr="6B2561BA">
        <w:rPr>
          <w:rStyle w:val="BodyChar"/>
          <w:rFonts w:cs="Arial"/>
        </w:rPr>
        <w:t xml:space="preserve"> or other </w:t>
      </w:r>
      <w:r w:rsidRPr="6B2561BA">
        <w:rPr>
          <w:rStyle w:val="BodyChar"/>
          <w:rFonts w:cs="Arial"/>
        </w:rPr>
        <w:t>infection</w:t>
      </w:r>
      <w:r w:rsidR="008E07D9" w:rsidRPr="6B2561BA">
        <w:rPr>
          <w:rStyle w:val="BodyChar"/>
          <w:rFonts w:cs="Arial"/>
        </w:rPr>
        <w:t>s</w:t>
      </w:r>
      <w:r w:rsidRPr="6B2561BA">
        <w:rPr>
          <w:rStyle w:val="BodyChar"/>
          <w:rFonts w:cs="Arial"/>
        </w:rPr>
        <w:t xml:space="preserve"> into the </w:t>
      </w:r>
      <w:r w:rsidR="00C76217" w:rsidRPr="6B2561BA">
        <w:rPr>
          <w:rStyle w:val="BodyChar"/>
          <w:rFonts w:cs="Arial"/>
        </w:rPr>
        <w:t>facility or</w:t>
      </w:r>
      <w:r w:rsidR="004A5835" w:rsidRPr="6B2561BA">
        <w:rPr>
          <w:rStyle w:val="BodyChar"/>
          <w:rFonts w:cs="Arial"/>
        </w:rPr>
        <w:t xml:space="preserve"> protecting visitors </w:t>
      </w:r>
      <w:r w:rsidR="00B30B8D" w:rsidRPr="6B2561BA">
        <w:rPr>
          <w:rStyle w:val="BodyChar"/>
          <w:rFonts w:cs="Arial"/>
        </w:rPr>
        <w:t>from infections in residents</w:t>
      </w:r>
      <w:r w:rsidR="004B163A">
        <w:rPr>
          <w:rStyle w:val="BodyChar"/>
          <w:rFonts w:cs="Arial"/>
        </w:rPr>
        <w:t>.</w:t>
      </w:r>
    </w:p>
    <w:p w14:paraId="2EE5886E" w14:textId="5FD7492A" w:rsidR="00F06F54" w:rsidRPr="00F06F54" w:rsidRDefault="00F06F54" w:rsidP="00F06F54">
      <w:pPr>
        <w:pStyle w:val="Body"/>
        <w:rPr>
          <w:rStyle w:val="BodyChar"/>
          <w:rFonts w:cs="Arial"/>
          <w:szCs w:val="21"/>
        </w:rPr>
      </w:pPr>
      <w:r w:rsidRPr="00F06F54">
        <w:rPr>
          <w:rStyle w:val="BodyChar"/>
          <w:rFonts w:cs="Arial"/>
          <w:szCs w:val="21"/>
        </w:rPr>
        <w:t>During periods of low transmission risk, visitor restrictions may not be necessary</w:t>
      </w:r>
      <w:r w:rsidR="00877D24">
        <w:rPr>
          <w:rStyle w:val="BodyChar"/>
          <w:rFonts w:cs="Arial"/>
          <w:szCs w:val="21"/>
        </w:rPr>
        <w:t>.</w:t>
      </w:r>
    </w:p>
    <w:p w14:paraId="0D1FE985" w14:textId="4A7B132B" w:rsidR="00F06F54" w:rsidRPr="00F06F54" w:rsidRDefault="00F06F54" w:rsidP="00F06F54">
      <w:pPr>
        <w:pStyle w:val="Body"/>
        <w:rPr>
          <w:rStyle w:val="BodyChar"/>
          <w:rFonts w:cs="Arial"/>
          <w:szCs w:val="21"/>
        </w:rPr>
      </w:pPr>
      <w:r w:rsidRPr="00F06F54">
        <w:rPr>
          <w:rStyle w:val="BodyChar"/>
          <w:rFonts w:cs="Arial"/>
          <w:szCs w:val="21"/>
        </w:rPr>
        <w:t xml:space="preserve">All visitors should have access to face masks upon entry to a </w:t>
      </w:r>
      <w:r w:rsidR="00877D24">
        <w:rPr>
          <w:rStyle w:val="BodyChar"/>
          <w:rFonts w:cs="Arial"/>
          <w:szCs w:val="21"/>
        </w:rPr>
        <w:t>facility</w:t>
      </w:r>
      <w:r w:rsidRPr="00F06F54">
        <w:rPr>
          <w:rStyle w:val="BodyChar"/>
          <w:rFonts w:cs="Arial"/>
          <w:szCs w:val="21"/>
        </w:rPr>
        <w:t>. Surgical masks may be adequate for most areas however health services should consider P2/N95 respirators for visitors in high</w:t>
      </w:r>
      <w:r w:rsidR="00877D24">
        <w:rPr>
          <w:rStyle w:val="BodyChar"/>
          <w:rFonts w:cs="Arial"/>
          <w:szCs w:val="21"/>
        </w:rPr>
        <w:t>er</w:t>
      </w:r>
      <w:r w:rsidRPr="00F06F54">
        <w:rPr>
          <w:rStyle w:val="BodyChar"/>
          <w:rFonts w:cs="Arial"/>
          <w:szCs w:val="21"/>
        </w:rPr>
        <w:t xml:space="preserve">-risk areas as determined by </w:t>
      </w:r>
      <w:r w:rsidR="00877D24">
        <w:rPr>
          <w:rStyle w:val="BodyChar"/>
          <w:rFonts w:cs="Arial"/>
          <w:szCs w:val="21"/>
        </w:rPr>
        <w:t>the facility</w:t>
      </w:r>
      <w:r w:rsidRPr="00F06F54">
        <w:rPr>
          <w:rStyle w:val="BodyChar"/>
          <w:rFonts w:cs="Arial"/>
          <w:szCs w:val="21"/>
        </w:rPr>
        <w:t>.</w:t>
      </w:r>
    </w:p>
    <w:p w14:paraId="13D52687" w14:textId="79A1AD1C" w:rsidR="00F06F54" w:rsidRPr="00F06F54" w:rsidRDefault="00877D24" w:rsidP="00F06F54">
      <w:pPr>
        <w:pStyle w:val="Body"/>
        <w:rPr>
          <w:rStyle w:val="BodyChar"/>
          <w:rFonts w:cs="Arial"/>
          <w:szCs w:val="21"/>
        </w:rPr>
      </w:pPr>
      <w:r>
        <w:rPr>
          <w:rStyle w:val="BodyChar"/>
          <w:rFonts w:cs="Arial"/>
          <w:szCs w:val="21"/>
        </w:rPr>
        <w:t>Faciliti</w:t>
      </w:r>
      <w:r w:rsidR="00F06F54" w:rsidRPr="00F06F54">
        <w:rPr>
          <w:rStyle w:val="BodyChar"/>
          <w:rFonts w:cs="Arial"/>
          <w:szCs w:val="21"/>
        </w:rPr>
        <w:t xml:space="preserve">es should advise that people with symptoms of an </w:t>
      </w:r>
      <w:r w:rsidR="000257D9">
        <w:rPr>
          <w:rStyle w:val="BodyChar"/>
          <w:rFonts w:cs="Arial"/>
          <w:szCs w:val="21"/>
        </w:rPr>
        <w:t>ARI</w:t>
      </w:r>
      <w:r w:rsidR="00F06F54" w:rsidRPr="00F06F54">
        <w:rPr>
          <w:rStyle w:val="BodyChar"/>
          <w:rFonts w:cs="Arial"/>
          <w:szCs w:val="21"/>
        </w:rPr>
        <w:t xml:space="preserve"> or who have been diagnosed with COVID-19 should not visit, except in exceptional circumstances (see below).</w:t>
      </w:r>
    </w:p>
    <w:p w14:paraId="49CBCB75" w14:textId="6E9B262B" w:rsidR="00F06F54" w:rsidRPr="00F06F54" w:rsidRDefault="00F06F54" w:rsidP="00F06F54">
      <w:pPr>
        <w:pStyle w:val="Body"/>
        <w:rPr>
          <w:rStyle w:val="BodyChar"/>
          <w:rFonts w:cs="Arial"/>
          <w:szCs w:val="21"/>
        </w:rPr>
      </w:pPr>
      <w:r>
        <w:rPr>
          <w:rStyle w:val="BodyChar"/>
          <w:rFonts w:cs="Arial"/>
          <w:szCs w:val="21"/>
        </w:rPr>
        <w:t>D</w:t>
      </w:r>
      <w:r w:rsidRPr="00F06F54">
        <w:rPr>
          <w:rStyle w:val="BodyChar"/>
          <w:rFonts w:cs="Arial"/>
          <w:szCs w:val="21"/>
        </w:rPr>
        <w:t>uring periods of high transmission risk or in areas of elevated clinical risk</w:t>
      </w:r>
      <w:r>
        <w:rPr>
          <w:rStyle w:val="BodyChar"/>
          <w:rFonts w:cs="Arial"/>
          <w:szCs w:val="21"/>
        </w:rPr>
        <w:t>,</w:t>
      </w:r>
      <w:r w:rsidRPr="00F06F54">
        <w:rPr>
          <w:rStyle w:val="BodyChar"/>
          <w:rFonts w:cs="Arial"/>
          <w:szCs w:val="21"/>
        </w:rPr>
        <w:t xml:space="preserve"> to reduce COVID-19 transmission </w:t>
      </w:r>
      <w:r w:rsidR="00877D24">
        <w:rPr>
          <w:rStyle w:val="BodyChar"/>
          <w:rFonts w:cs="Arial"/>
          <w:szCs w:val="21"/>
        </w:rPr>
        <w:t>facilities</w:t>
      </w:r>
      <w:r w:rsidRPr="00F06F54">
        <w:rPr>
          <w:rStyle w:val="BodyChar"/>
          <w:rFonts w:cs="Arial"/>
          <w:szCs w:val="21"/>
        </w:rPr>
        <w:t xml:space="preserve"> should consider implementing visitor restrictions (for example, up to 2 visitors per </w:t>
      </w:r>
      <w:r w:rsidR="00FD1517">
        <w:rPr>
          <w:rStyle w:val="BodyChar"/>
          <w:rFonts w:cs="Arial"/>
          <w:szCs w:val="21"/>
        </w:rPr>
        <w:t>resident</w:t>
      </w:r>
      <w:r w:rsidRPr="00F06F54">
        <w:rPr>
          <w:rStyle w:val="BodyChar"/>
          <w:rFonts w:cs="Arial"/>
          <w:szCs w:val="21"/>
        </w:rPr>
        <w:t>)</w:t>
      </w:r>
      <w:r>
        <w:rPr>
          <w:rStyle w:val="BodyChar"/>
          <w:rFonts w:cs="Arial"/>
          <w:szCs w:val="21"/>
        </w:rPr>
        <w:t>, r</w:t>
      </w:r>
      <w:r w:rsidRPr="00F06F54">
        <w:rPr>
          <w:rStyle w:val="BodyChar"/>
          <w:rFonts w:cs="Arial"/>
          <w:szCs w:val="21"/>
        </w:rPr>
        <w:t>equiring visitors to wear a P2/N95 respirator during their visit</w:t>
      </w:r>
      <w:r>
        <w:rPr>
          <w:rStyle w:val="BodyChar"/>
          <w:rFonts w:cs="Arial"/>
          <w:szCs w:val="21"/>
        </w:rPr>
        <w:t xml:space="preserve"> and l</w:t>
      </w:r>
      <w:r w:rsidRPr="00F06F54">
        <w:rPr>
          <w:rStyle w:val="BodyChar"/>
          <w:rFonts w:cs="Arial"/>
          <w:szCs w:val="21"/>
        </w:rPr>
        <w:t xml:space="preserve">imiting the location of visitation – such as to within the </w:t>
      </w:r>
      <w:r w:rsidR="00FD1517">
        <w:rPr>
          <w:rStyle w:val="BodyChar"/>
          <w:rFonts w:cs="Arial"/>
          <w:szCs w:val="21"/>
        </w:rPr>
        <w:t>resident</w:t>
      </w:r>
      <w:r w:rsidRPr="00F06F54">
        <w:rPr>
          <w:rStyle w:val="BodyChar"/>
          <w:rFonts w:cs="Arial"/>
          <w:szCs w:val="21"/>
        </w:rPr>
        <w:t xml:space="preserve">’s room only or in outdoor spaces where feasible, avoiding indoor common </w:t>
      </w:r>
      <w:r w:rsidR="00877D24" w:rsidRPr="00F06F54">
        <w:rPr>
          <w:rStyle w:val="BodyChar"/>
          <w:rFonts w:cs="Arial"/>
          <w:szCs w:val="21"/>
        </w:rPr>
        <w:t>areas.</w:t>
      </w:r>
    </w:p>
    <w:p w14:paraId="2A491C19" w14:textId="41E13468" w:rsidR="00F06F54" w:rsidRPr="00F06F54" w:rsidRDefault="00F06F54" w:rsidP="00F06F54">
      <w:pPr>
        <w:pStyle w:val="Body"/>
        <w:rPr>
          <w:rStyle w:val="BodyChar"/>
          <w:rFonts w:cs="Arial"/>
          <w:szCs w:val="21"/>
        </w:rPr>
      </w:pPr>
      <w:r w:rsidRPr="00F06F54">
        <w:rPr>
          <w:rStyle w:val="BodyChar"/>
          <w:rFonts w:cs="Arial"/>
          <w:szCs w:val="21"/>
        </w:rPr>
        <w:t xml:space="preserve">The decision to allow visitors to a </w:t>
      </w:r>
      <w:r w:rsidR="0084687C">
        <w:rPr>
          <w:rStyle w:val="BodyChar"/>
          <w:rFonts w:cs="Arial"/>
          <w:szCs w:val="21"/>
        </w:rPr>
        <w:t>resident</w:t>
      </w:r>
      <w:r w:rsidRPr="00F06F54">
        <w:rPr>
          <w:rStyle w:val="BodyChar"/>
          <w:rFonts w:cs="Arial"/>
          <w:szCs w:val="21"/>
        </w:rPr>
        <w:t xml:space="preserve"> suspected or confirmed to have COVID-19 </w:t>
      </w:r>
      <w:r w:rsidR="004112BA">
        <w:rPr>
          <w:rStyle w:val="BodyChar"/>
          <w:rFonts w:cs="Arial"/>
          <w:szCs w:val="21"/>
        </w:rPr>
        <w:t>or another respiratory virus</w:t>
      </w:r>
      <w:r w:rsidR="004112BA" w:rsidRPr="00F06F54">
        <w:rPr>
          <w:rStyle w:val="BodyChar"/>
          <w:rFonts w:cs="Arial"/>
          <w:szCs w:val="21"/>
        </w:rPr>
        <w:t xml:space="preserve"> should</w:t>
      </w:r>
      <w:r w:rsidRPr="00F06F54">
        <w:rPr>
          <w:rStyle w:val="BodyChar"/>
          <w:rFonts w:cs="Arial"/>
          <w:szCs w:val="21"/>
        </w:rPr>
        <w:t xml:space="preserve"> be managed on a case-by-case basis in conjunction with the treating medical team an</w:t>
      </w:r>
      <w:r w:rsidR="00E1403A">
        <w:rPr>
          <w:rStyle w:val="BodyChar"/>
          <w:rFonts w:cs="Arial"/>
          <w:szCs w:val="21"/>
        </w:rPr>
        <w:t xml:space="preserve">d </w:t>
      </w:r>
      <w:r w:rsidR="00E1403A" w:rsidRPr="00E1403A">
        <w:rPr>
          <w:rStyle w:val="BodyChar"/>
          <w:rFonts w:cs="Arial"/>
          <w:szCs w:val="21"/>
        </w:rPr>
        <w:t>under guidance of the LPHU as needed</w:t>
      </w:r>
      <w:r w:rsidRPr="00F06F54">
        <w:rPr>
          <w:rStyle w:val="BodyChar"/>
          <w:rFonts w:cs="Arial"/>
          <w:szCs w:val="21"/>
        </w:rPr>
        <w:t xml:space="preserve">. If the </w:t>
      </w:r>
      <w:r w:rsidR="0084687C">
        <w:rPr>
          <w:rStyle w:val="BodyChar"/>
          <w:rFonts w:cs="Arial"/>
          <w:szCs w:val="21"/>
        </w:rPr>
        <w:t>resident</w:t>
      </w:r>
      <w:r w:rsidRPr="00F06F54">
        <w:rPr>
          <w:rStyle w:val="BodyChar"/>
          <w:rFonts w:cs="Arial"/>
          <w:szCs w:val="21"/>
        </w:rPr>
        <w:t xml:space="preserve"> is suspected or confirmed </w:t>
      </w:r>
      <w:r w:rsidRPr="00F06F54">
        <w:rPr>
          <w:rStyle w:val="BodyChar"/>
          <w:rFonts w:cs="Arial"/>
          <w:szCs w:val="21"/>
        </w:rPr>
        <w:lastRenderedPageBreak/>
        <w:t xml:space="preserve">to have COVID-19, appropriate personal protective equipment (PPE) must be used by the </w:t>
      </w:r>
      <w:r w:rsidR="00B673B9">
        <w:rPr>
          <w:rStyle w:val="BodyChar"/>
          <w:rFonts w:cs="Arial"/>
          <w:szCs w:val="21"/>
        </w:rPr>
        <w:t>resident</w:t>
      </w:r>
      <w:r w:rsidRPr="00F06F54">
        <w:rPr>
          <w:rStyle w:val="BodyChar"/>
          <w:rFonts w:cs="Arial"/>
          <w:szCs w:val="21"/>
        </w:rPr>
        <w:t xml:space="preserve"> and their visitors and additional mitigations put in place to reduce the risk of transmission: see Infection prevention and control resources.</w:t>
      </w:r>
    </w:p>
    <w:p w14:paraId="5FA72131" w14:textId="2A1B4CD0" w:rsidR="00F06F54" w:rsidRPr="00F06F54" w:rsidRDefault="00C054AB" w:rsidP="00F06F54">
      <w:pPr>
        <w:pStyle w:val="Body"/>
        <w:rPr>
          <w:rStyle w:val="BodyChar"/>
          <w:rFonts w:cs="Arial"/>
          <w:szCs w:val="21"/>
        </w:rPr>
      </w:pPr>
      <w:r>
        <w:rPr>
          <w:rStyle w:val="BodyChar"/>
          <w:rFonts w:cs="Arial"/>
          <w:szCs w:val="21"/>
        </w:rPr>
        <w:t xml:space="preserve">Facilities </w:t>
      </w:r>
      <w:r w:rsidR="00F06F54" w:rsidRPr="00F06F54">
        <w:rPr>
          <w:rStyle w:val="BodyChar"/>
          <w:rFonts w:cs="Arial"/>
          <w:szCs w:val="21"/>
        </w:rPr>
        <w:t xml:space="preserve">may request </w:t>
      </w:r>
      <w:r w:rsidR="00E1403A">
        <w:rPr>
          <w:rStyle w:val="BodyChar"/>
          <w:rFonts w:cs="Arial"/>
          <w:szCs w:val="21"/>
        </w:rPr>
        <w:t xml:space="preserve">that </w:t>
      </w:r>
      <w:r w:rsidR="00F06F54" w:rsidRPr="00F06F54">
        <w:rPr>
          <w:rStyle w:val="BodyChar"/>
          <w:rFonts w:cs="Arial"/>
          <w:szCs w:val="21"/>
        </w:rPr>
        <w:t>individuals should not visit, if they:</w:t>
      </w:r>
    </w:p>
    <w:p w14:paraId="1270208A" w14:textId="6A5D80E0" w:rsidR="00F06F54" w:rsidRPr="00F06F54" w:rsidRDefault="00F06F54" w:rsidP="002A0684">
      <w:pPr>
        <w:pStyle w:val="Bullet1"/>
        <w:rPr>
          <w:rStyle w:val="BodyChar"/>
          <w:rFonts w:cs="Arial"/>
          <w:szCs w:val="21"/>
        </w:rPr>
      </w:pPr>
      <w:r w:rsidRPr="00F06F54">
        <w:rPr>
          <w:rStyle w:val="BodyChar"/>
          <w:rFonts w:cs="Arial"/>
          <w:szCs w:val="21"/>
        </w:rPr>
        <w:t>have been diagnosed with COVID-19</w:t>
      </w:r>
      <w:r w:rsidR="00816AAD">
        <w:rPr>
          <w:rStyle w:val="BodyChar"/>
          <w:rFonts w:cs="Arial"/>
          <w:szCs w:val="21"/>
        </w:rPr>
        <w:t xml:space="preserve"> or another respiratory virus </w:t>
      </w:r>
      <w:r w:rsidRPr="00F06F54">
        <w:rPr>
          <w:rStyle w:val="BodyChar"/>
          <w:rFonts w:cs="Arial"/>
          <w:szCs w:val="21"/>
        </w:rPr>
        <w:t>in the last five days</w:t>
      </w:r>
    </w:p>
    <w:p w14:paraId="3B7D5043" w14:textId="20260D3C" w:rsidR="00F06F54" w:rsidRPr="00877D24" w:rsidRDefault="00F06F54" w:rsidP="002A0684">
      <w:pPr>
        <w:pStyle w:val="Bullet1"/>
        <w:rPr>
          <w:rStyle w:val="BodyChar"/>
          <w:rFonts w:cs="Arial"/>
          <w:szCs w:val="21"/>
        </w:rPr>
      </w:pPr>
      <w:r w:rsidRPr="00F06F54">
        <w:rPr>
          <w:rStyle w:val="BodyChar"/>
          <w:rFonts w:cs="Arial"/>
          <w:szCs w:val="21"/>
        </w:rPr>
        <w:t>have had known contact with a person who has COVID-19 in the previous five days</w:t>
      </w:r>
    </w:p>
    <w:p w14:paraId="517CFA19" w14:textId="77A45FE8" w:rsidR="00F06F54" w:rsidRPr="00F06F54" w:rsidRDefault="00F06F54" w:rsidP="002A0684">
      <w:pPr>
        <w:pStyle w:val="Bullet1"/>
        <w:rPr>
          <w:rStyle w:val="BodyChar"/>
          <w:rFonts w:cs="Arial"/>
          <w:szCs w:val="21"/>
        </w:rPr>
      </w:pPr>
      <w:r w:rsidRPr="00F06F54">
        <w:rPr>
          <w:rStyle w:val="BodyChar"/>
          <w:rFonts w:cs="Arial"/>
          <w:szCs w:val="21"/>
        </w:rPr>
        <w:t xml:space="preserve">have symptoms of </w:t>
      </w:r>
      <w:r w:rsidR="000257D9">
        <w:rPr>
          <w:rStyle w:val="BodyChar"/>
          <w:rFonts w:cs="Arial"/>
          <w:szCs w:val="21"/>
        </w:rPr>
        <w:t>an ARI</w:t>
      </w:r>
      <w:r w:rsidRPr="00F06F54">
        <w:rPr>
          <w:rStyle w:val="BodyChar"/>
          <w:rFonts w:cs="Arial"/>
          <w:szCs w:val="21"/>
        </w:rPr>
        <w:t xml:space="preserve"> such as:</w:t>
      </w:r>
    </w:p>
    <w:p w14:paraId="2D42E85B" w14:textId="4EADE3C2" w:rsidR="00F06F54" w:rsidRPr="00F06F54" w:rsidRDefault="00F06F54" w:rsidP="002A0684">
      <w:pPr>
        <w:pStyle w:val="Bullet2"/>
        <w:rPr>
          <w:rStyle w:val="BodyChar"/>
          <w:rFonts w:cs="Arial"/>
          <w:szCs w:val="21"/>
        </w:rPr>
      </w:pPr>
      <w:r w:rsidRPr="00F06F54">
        <w:rPr>
          <w:rStyle w:val="BodyChar"/>
          <w:rFonts w:cs="Arial"/>
          <w:szCs w:val="21"/>
        </w:rPr>
        <w:t>a temperature higher than 37.5 degrees</w:t>
      </w:r>
    </w:p>
    <w:p w14:paraId="65F8A067" w14:textId="10C564C7" w:rsidR="00F06F54" w:rsidRPr="00F06F54" w:rsidRDefault="00F06F54" w:rsidP="002A0684">
      <w:pPr>
        <w:pStyle w:val="Bullet2"/>
        <w:rPr>
          <w:rStyle w:val="BodyChar"/>
          <w:rFonts w:cs="Arial"/>
          <w:szCs w:val="21"/>
        </w:rPr>
      </w:pPr>
      <w:r w:rsidRPr="00F06F54">
        <w:rPr>
          <w:rStyle w:val="BodyChar"/>
          <w:rFonts w:cs="Arial"/>
          <w:szCs w:val="21"/>
        </w:rPr>
        <w:t>breathing difficulties such as breathlessness</w:t>
      </w:r>
    </w:p>
    <w:p w14:paraId="26BF4CAF" w14:textId="6E8294BD" w:rsidR="00F06F54" w:rsidRPr="00F06F54" w:rsidRDefault="00F06F54" w:rsidP="002A0684">
      <w:pPr>
        <w:pStyle w:val="Bullet2"/>
        <w:rPr>
          <w:rStyle w:val="BodyChar"/>
          <w:rFonts w:cs="Arial"/>
          <w:szCs w:val="21"/>
        </w:rPr>
      </w:pPr>
      <w:r w:rsidRPr="00F06F54">
        <w:rPr>
          <w:rStyle w:val="BodyChar"/>
          <w:rFonts w:cs="Arial"/>
          <w:szCs w:val="21"/>
        </w:rPr>
        <w:t>cough</w:t>
      </w:r>
    </w:p>
    <w:p w14:paraId="1CE8AFCA" w14:textId="5ED5CCF8" w:rsidR="00F06F54" w:rsidRPr="00F06F54" w:rsidRDefault="00F06F54" w:rsidP="002A0684">
      <w:pPr>
        <w:pStyle w:val="Bullet2"/>
        <w:rPr>
          <w:rStyle w:val="BodyChar"/>
          <w:rFonts w:cs="Arial"/>
          <w:szCs w:val="21"/>
        </w:rPr>
      </w:pPr>
      <w:r w:rsidRPr="00F06F54">
        <w:rPr>
          <w:rStyle w:val="BodyChar"/>
          <w:rFonts w:cs="Arial"/>
          <w:szCs w:val="21"/>
        </w:rPr>
        <w:t>sore throat </w:t>
      </w:r>
    </w:p>
    <w:p w14:paraId="5F30790B" w14:textId="5288A2AE" w:rsidR="00F06F54" w:rsidRPr="00F06F54" w:rsidRDefault="00F06F54" w:rsidP="002A0684">
      <w:pPr>
        <w:pStyle w:val="Bullet2"/>
        <w:rPr>
          <w:rStyle w:val="BodyChar"/>
          <w:rFonts w:cs="Arial"/>
          <w:szCs w:val="21"/>
        </w:rPr>
      </w:pPr>
      <w:r w:rsidRPr="00F06F54">
        <w:rPr>
          <w:rStyle w:val="BodyChar"/>
          <w:rFonts w:cs="Arial"/>
          <w:szCs w:val="21"/>
        </w:rPr>
        <w:t>runny nose</w:t>
      </w:r>
      <w:r w:rsidR="002A0684">
        <w:rPr>
          <w:rStyle w:val="BodyChar"/>
          <w:rFonts w:cs="Arial"/>
          <w:szCs w:val="21"/>
        </w:rPr>
        <w:t>.</w:t>
      </w:r>
    </w:p>
    <w:p w14:paraId="5FD7198F" w14:textId="6ED673F0" w:rsidR="00084B9D" w:rsidRPr="003C62E8" w:rsidRDefault="00F06F54" w:rsidP="003C62E8">
      <w:pPr>
        <w:pStyle w:val="Bodyafterbullets"/>
      </w:pPr>
      <w:r w:rsidRPr="003C62E8">
        <w:t xml:space="preserve">In exceptional circumstances visitation may be permitted, such as to support end-of-life visitation or to care for a child or dependent, additional mitigations should be in place to minimise the risk of transmission to staff and </w:t>
      </w:r>
      <w:r w:rsidR="004C3E92" w:rsidRPr="003C62E8">
        <w:t>residents</w:t>
      </w:r>
      <w:r w:rsidRPr="003C62E8">
        <w:t xml:space="preserve"> (incl. wearing a face mask – preferably an N95/P2 respirator and avoiding indoor </w:t>
      </w:r>
      <w:r w:rsidR="17C3B90A" w:rsidRPr="003C62E8">
        <w:t>communal areas</w:t>
      </w:r>
      <w:r w:rsidR="00471C06" w:rsidRPr="003C62E8">
        <w:t>)</w:t>
      </w:r>
      <w:r w:rsidR="6390740D" w:rsidRPr="003C62E8">
        <w:t>.</w:t>
      </w:r>
    </w:p>
    <w:p w14:paraId="59FC670D" w14:textId="3B536DEF" w:rsidR="00084B9D" w:rsidRPr="00ED2610" w:rsidRDefault="00084B9D" w:rsidP="00084B9D">
      <w:pPr>
        <w:pStyle w:val="Body"/>
        <w:rPr>
          <w:rStyle w:val="BodyChar"/>
          <w:rFonts w:cs="Arial"/>
          <w:szCs w:val="21"/>
        </w:rPr>
      </w:pPr>
      <w:r w:rsidRPr="00ED2610">
        <w:rPr>
          <w:rStyle w:val="BodyChar"/>
          <w:rFonts w:cs="Arial"/>
          <w:szCs w:val="21"/>
        </w:rPr>
        <w:t xml:space="preserve">All visits during an outbreak should be based on a local risk assessment, </w:t>
      </w:r>
      <w:bookmarkStart w:id="398" w:name="_Hlk153198434"/>
      <w:r w:rsidRPr="00ED2610">
        <w:rPr>
          <w:rStyle w:val="BodyChar"/>
          <w:rFonts w:cs="Arial"/>
          <w:szCs w:val="21"/>
        </w:rPr>
        <w:t>under guidance of the LPHU as needed</w:t>
      </w:r>
      <w:bookmarkEnd w:id="398"/>
      <w:r w:rsidRPr="00ED2610">
        <w:rPr>
          <w:rStyle w:val="BodyChar"/>
          <w:rFonts w:cs="Arial"/>
          <w:szCs w:val="21"/>
        </w:rPr>
        <w:t>.</w:t>
      </w:r>
    </w:p>
    <w:p w14:paraId="21712CB9" w14:textId="57EE9BFA" w:rsidR="00233232" w:rsidRPr="00ED2610" w:rsidRDefault="00233232" w:rsidP="00084B9D">
      <w:pPr>
        <w:pStyle w:val="Body"/>
        <w:rPr>
          <w:rStyle w:val="BodyChar"/>
          <w:rFonts w:cs="Arial"/>
          <w:szCs w:val="21"/>
        </w:rPr>
      </w:pPr>
      <w:r w:rsidRPr="00ED2610">
        <w:rPr>
          <w:rStyle w:val="BodyChar"/>
          <w:rFonts w:cs="Arial"/>
          <w:szCs w:val="21"/>
        </w:rPr>
        <w:t>Useful resources include:</w:t>
      </w:r>
    </w:p>
    <w:p w14:paraId="75D2B139" w14:textId="1C98B013" w:rsidR="00233232" w:rsidRPr="00ED2610" w:rsidRDefault="00000000" w:rsidP="002A0684">
      <w:pPr>
        <w:pStyle w:val="Bullet1"/>
        <w:rPr>
          <w:rStyle w:val="Hyperlink"/>
          <w:color w:val="auto"/>
          <w:szCs w:val="21"/>
          <w:u w:val="none"/>
        </w:rPr>
      </w:pPr>
      <w:hyperlink r:id="rId35" w:history="1">
        <w:r w:rsidR="00233232" w:rsidRPr="002B6262">
          <w:rPr>
            <w:rStyle w:val="Hyperlink"/>
          </w:rPr>
          <w:t>A</w:t>
        </w:r>
        <w:r w:rsidR="00233232" w:rsidRPr="002B6262">
          <w:rPr>
            <w:rStyle w:val="Hyperlink"/>
            <w:szCs w:val="21"/>
          </w:rPr>
          <w:t>ged Care Quality Standards</w:t>
        </w:r>
      </w:hyperlink>
      <w:r w:rsidR="00233232" w:rsidRPr="00ED2610">
        <w:rPr>
          <w:rStyle w:val="Hyperlink"/>
          <w:szCs w:val="21"/>
        </w:rPr>
        <w:t xml:space="preserve"> </w:t>
      </w:r>
      <w:r w:rsidR="00233232" w:rsidRPr="00ED2610">
        <w:t>&lt;https://www.agedcarequality.gov.au/providers/standards&gt;</w:t>
      </w:r>
    </w:p>
    <w:p w14:paraId="2EE5DC8E" w14:textId="6B7E479B" w:rsidR="00233232" w:rsidRPr="00ED2610" w:rsidRDefault="00000000" w:rsidP="002A0684">
      <w:pPr>
        <w:pStyle w:val="Bullet1"/>
        <w:rPr>
          <w:rFonts w:cs="Arial"/>
        </w:rPr>
      </w:pPr>
      <w:hyperlink r:id="rId36" w:history="1">
        <w:r w:rsidR="00667965" w:rsidRPr="00667965">
          <w:rPr>
            <w:rStyle w:val="Hyperlink"/>
            <w:rFonts w:cs="Arial"/>
            <w:szCs w:val="21"/>
          </w:rPr>
          <w:t>Ensuring safe visitor access to residential aged care</w:t>
        </w:r>
      </w:hyperlink>
      <w:r w:rsidR="00667965">
        <w:rPr>
          <w:rFonts w:cs="Arial"/>
          <w:szCs w:val="21"/>
        </w:rPr>
        <w:t xml:space="preserve"> </w:t>
      </w:r>
      <w:r w:rsidR="00233232" w:rsidRPr="00ED2610">
        <w:rPr>
          <w:rFonts w:cs="Arial"/>
        </w:rPr>
        <w:t>&lt;</w:t>
      </w:r>
      <w:r w:rsidR="00667965" w:rsidRPr="00667965">
        <w:rPr>
          <w:rFonts w:cs="Arial"/>
        </w:rPr>
        <w:t>https://www.agedcarequality.gov.au/resource-library/ensuring-safe-visitor-access-residential-aged-care</w:t>
      </w:r>
      <w:r w:rsidR="00233232" w:rsidRPr="00ED2610">
        <w:rPr>
          <w:rFonts w:cs="Arial"/>
        </w:rPr>
        <w:t>&gt;</w:t>
      </w:r>
    </w:p>
    <w:p w14:paraId="434B0F60" w14:textId="6407A2C0" w:rsidR="00233232" w:rsidRPr="00ED2610" w:rsidRDefault="00000000" w:rsidP="002A0684">
      <w:pPr>
        <w:pStyle w:val="Bullet1"/>
        <w:rPr>
          <w:rFonts w:cs="Arial"/>
        </w:rPr>
      </w:pPr>
      <w:hyperlink r:id="rId37" w:history="1">
        <w:r w:rsidR="00233232" w:rsidRPr="00667965">
          <w:rPr>
            <w:rStyle w:val="Hyperlink"/>
            <w:rFonts w:cs="Arial"/>
            <w:szCs w:val="21"/>
          </w:rPr>
          <w:t>Coronavirus (COVID-19) – National aged care guidance – aged care visitation guidelines</w:t>
        </w:r>
      </w:hyperlink>
      <w:r w:rsidR="00233232" w:rsidRPr="00ED2610">
        <w:rPr>
          <w:rFonts w:cs="Arial"/>
        </w:rPr>
        <w:t xml:space="preserve"> &lt;https://www.health.gov.au/resources/publications/coronavirus-covid-19-national-aged-care-guidance-aged-care-visitation-guidelines&gt;</w:t>
      </w:r>
    </w:p>
    <w:p w14:paraId="31999CE9" w14:textId="0465E497" w:rsidR="00233232" w:rsidRPr="00ED2610" w:rsidRDefault="00000000" w:rsidP="002A0684">
      <w:pPr>
        <w:pStyle w:val="Bullet1"/>
        <w:rPr>
          <w:rFonts w:cs="Arial"/>
        </w:rPr>
      </w:pPr>
      <w:hyperlink r:id="rId38" w:history="1">
        <w:r w:rsidR="00233232" w:rsidRPr="00ED2610">
          <w:rPr>
            <w:rStyle w:val="Hyperlink"/>
            <w:rFonts w:cs="Arial"/>
            <w:szCs w:val="21"/>
          </w:rPr>
          <w:t>Industry Code for Visiting in Aged Care Homes</w:t>
        </w:r>
      </w:hyperlink>
      <w:r w:rsidR="00233232" w:rsidRPr="00ED2610">
        <w:rPr>
          <w:rFonts w:cs="Arial"/>
        </w:rPr>
        <w:t xml:space="preserve"> &lt;https://www.cota.org.au/policy/aged-care-reform/agedcarevisitors/&gt;</w:t>
      </w:r>
    </w:p>
    <w:p w14:paraId="6D25519C" w14:textId="751EFF76" w:rsidR="00233232" w:rsidRPr="00ED2610" w:rsidRDefault="00000000" w:rsidP="002A0684">
      <w:pPr>
        <w:pStyle w:val="Bullet1"/>
        <w:rPr>
          <w:rFonts w:cs="Arial"/>
        </w:rPr>
      </w:pPr>
      <w:hyperlink r:id="rId39" w:history="1">
        <w:r w:rsidR="00233232" w:rsidRPr="00BB3BC3">
          <w:rPr>
            <w:rStyle w:val="Hyperlink"/>
            <w:rFonts w:cs="Arial"/>
            <w:szCs w:val="21"/>
          </w:rPr>
          <w:t>Partnerships in care</w:t>
        </w:r>
      </w:hyperlink>
      <w:r w:rsidR="00BB3BC3">
        <w:rPr>
          <w:rFonts w:cs="Arial"/>
        </w:rPr>
        <w:t xml:space="preserve"> &lt;</w:t>
      </w:r>
      <w:r w:rsidR="00BB3BC3" w:rsidRPr="00BB3BC3">
        <w:t>https://www.agedcarequality.gov.au/providers/clinical-governance/infection-prevention-control/partnerships-care</w:t>
      </w:r>
      <w:r w:rsidR="00233232" w:rsidRPr="00ED2610">
        <w:rPr>
          <w:rFonts w:cs="Arial"/>
        </w:rPr>
        <w:t>&gt;</w:t>
      </w:r>
    </w:p>
    <w:p w14:paraId="3EC50BF2" w14:textId="521D0988" w:rsidR="00A45260" w:rsidRPr="00ED2610" w:rsidRDefault="00000000" w:rsidP="002A0684">
      <w:pPr>
        <w:pStyle w:val="Bullet1"/>
      </w:pPr>
      <w:hyperlink r:id="rId40" w:history="1">
        <w:r w:rsidR="00A45260" w:rsidRPr="00ED2610">
          <w:rPr>
            <w:rStyle w:val="Hyperlink"/>
          </w:rPr>
          <w:t>Control and Public Health Management of Outbreaks of Acute Respiratory Infection (including COVID-19 and Influenza) in Disability Residential Services</w:t>
        </w:r>
      </w:hyperlink>
      <w:r w:rsidR="00A45260" w:rsidRPr="00ED2610">
        <w:t xml:space="preserve"> &lt;https://www.health.gov.au/resources/publications/control-and-public-health-management-of-outbreaks-of-acute-respiratory-infection-including-covid-19-and-influenza-in-disability-residential-services&gt;</w:t>
      </w:r>
    </w:p>
    <w:p w14:paraId="430A5156" w14:textId="77777777" w:rsidR="00084B9D" w:rsidRPr="00ED2610" w:rsidRDefault="00084B9D" w:rsidP="00084B9D">
      <w:pPr>
        <w:pStyle w:val="Body"/>
        <w:rPr>
          <w:rStyle w:val="BodyChar"/>
          <w:rFonts w:cs="Arial"/>
          <w:szCs w:val="21"/>
        </w:rPr>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B030B6" w:rsidRPr="00ED2610" w14:paraId="4590D0B5" w14:textId="77777777" w:rsidTr="002A0684">
        <w:tc>
          <w:tcPr>
            <w:tcW w:w="9354" w:type="dxa"/>
            <w:shd w:val="clear" w:color="auto" w:fill="DBE5F1" w:themeFill="accent1" w:themeFillTint="33"/>
          </w:tcPr>
          <w:p w14:paraId="7DDF347E" w14:textId="48B7DFCC" w:rsidR="00084B9D" w:rsidRPr="00ED2610" w:rsidRDefault="00084B9D" w:rsidP="002A0684">
            <w:pPr>
              <w:pStyle w:val="Bullet1"/>
            </w:pPr>
            <w:r w:rsidRPr="00ED2610">
              <w:t xml:space="preserve">Do you have a </w:t>
            </w:r>
            <w:r w:rsidRPr="00ED2610">
              <w:rPr>
                <w:lang w:val="en-GB"/>
              </w:rPr>
              <w:t>system to check that visitors are well, and are not a COVID19 case or close contact?</w:t>
            </w:r>
          </w:p>
          <w:p w14:paraId="76EDC752" w14:textId="78864718" w:rsidR="00084B9D" w:rsidRPr="00ED2610" w:rsidRDefault="00084B9D" w:rsidP="002A0684">
            <w:pPr>
              <w:pStyle w:val="Bullet1"/>
              <w:rPr>
                <w:lang w:val="en-GB"/>
              </w:rPr>
            </w:pPr>
            <w:r w:rsidRPr="00ED2610">
              <w:rPr>
                <w:lang w:val="en-GB"/>
              </w:rPr>
              <w:t xml:space="preserve">Do you have policies that recommend strategies to reduce risk, such as use of masks, and visits to occur in a resident’s room, outdoors or in </w:t>
            </w:r>
            <w:r w:rsidR="00B70056" w:rsidRPr="00ED2610">
              <w:rPr>
                <w:lang w:val="en-GB"/>
              </w:rPr>
              <w:t>well-ventilated</w:t>
            </w:r>
            <w:r w:rsidRPr="00ED2610">
              <w:rPr>
                <w:lang w:val="en-GB"/>
              </w:rPr>
              <w:t xml:space="preserve"> areas, rather than communal areas with other residents?</w:t>
            </w:r>
          </w:p>
          <w:p w14:paraId="1B04973E" w14:textId="77777777" w:rsidR="00084B9D" w:rsidRPr="00ED2610" w:rsidRDefault="00084B9D" w:rsidP="002A0684">
            <w:pPr>
              <w:pStyle w:val="Bullet1"/>
              <w:rPr>
                <w:lang w:val="en-GB"/>
              </w:rPr>
            </w:pPr>
            <w:r w:rsidRPr="00ED2610">
              <w:rPr>
                <w:lang w:val="en-GB"/>
              </w:rPr>
              <w:t>Do you have policies to support end-of-life visits, urgent support for a resident's immediate physical, cognitive or emotional wellbeing, or providing professional patient care as an emergency, healthcare, or an ambulance worker?</w:t>
            </w:r>
          </w:p>
          <w:p w14:paraId="1A2AE225" w14:textId="77777777" w:rsidR="00084B9D" w:rsidRPr="00ED2610" w:rsidRDefault="00084B9D" w:rsidP="002A0684">
            <w:pPr>
              <w:pStyle w:val="Bullet1"/>
            </w:pPr>
            <w:r w:rsidRPr="00ED2610">
              <w:lastRenderedPageBreak/>
              <w:t>For residential aged care facilities, do you have a procedure for the implementation of partnership in care model?</w:t>
            </w:r>
          </w:p>
        </w:tc>
      </w:tr>
    </w:tbl>
    <w:p w14:paraId="7476BE0C" w14:textId="13E9491B" w:rsidR="00084B9D" w:rsidRPr="0014515B" w:rsidRDefault="00084B9D" w:rsidP="00084B9D">
      <w:pPr>
        <w:pStyle w:val="Heading2"/>
      </w:pPr>
      <w:bookmarkStart w:id="399" w:name="_Toc163573598"/>
      <w:r w:rsidRPr="00ED2610">
        <w:lastRenderedPageBreak/>
        <w:t>Communication</w:t>
      </w:r>
      <w:bookmarkEnd w:id="399"/>
    </w:p>
    <w:p w14:paraId="0A65D676" w14:textId="5111668E" w:rsidR="00084B9D" w:rsidRPr="0014515B" w:rsidRDefault="00084B9D" w:rsidP="00084B9D">
      <w:pPr>
        <w:pStyle w:val="Body"/>
      </w:pPr>
      <w:r w:rsidRPr="0014515B">
        <w:t>Education and communication to staff, visitors, residents and their families is critical both prior to and during an outbreak. Staff residents</w:t>
      </w:r>
      <w:r w:rsidR="00BD5A8F">
        <w:t xml:space="preserve"> and visitors</w:t>
      </w:r>
      <w:r w:rsidRPr="0014515B">
        <w:t xml:space="preserve"> should be encouraged to wear masks </w:t>
      </w:r>
      <w:r w:rsidRPr="00301A84">
        <w:t>when recommended</w:t>
      </w:r>
      <w:r w:rsidRPr="0014515B">
        <w:t xml:space="preserve">, and both staff and residents should monitor for symptoms and undertake testing as </w:t>
      </w:r>
      <w:r w:rsidRPr="00301A84">
        <w:t>recommended</w:t>
      </w:r>
      <w:r w:rsidRPr="0014515B">
        <w:t xml:space="preserve">. Staff should be supported to not attend work while unwell. The same principles apply to visitors to facilities. </w:t>
      </w:r>
    </w:p>
    <w:p w14:paraId="7FE12955" w14:textId="2D24BA77" w:rsidR="00084B9D" w:rsidRDefault="00084B9D" w:rsidP="00084B9D">
      <w:pPr>
        <w:pStyle w:val="Body"/>
      </w:pPr>
      <w:r w:rsidRPr="0014515B">
        <w:t xml:space="preserve">Staff and visitors should be aware to not enter the facility if they have respiratory symptoms, irrespective of their vaccination status. </w:t>
      </w:r>
    </w:p>
    <w:p w14:paraId="75123D9F" w14:textId="7BC1AC16" w:rsidR="008B5AF3" w:rsidRDefault="008B5AF3" w:rsidP="00084B9D">
      <w:pPr>
        <w:pStyle w:val="Body"/>
      </w:pPr>
      <w:r>
        <w:t>Some residents will benefit from the use of Easy Read documents and/or story-based learning. However, not all will be capable of implementing actions aimed at infection control and this will need to be reflected in provider planning.</w:t>
      </w:r>
    </w:p>
    <w:p w14:paraId="2B97EA3F" w14:textId="1BBC70CE" w:rsidR="008B5AF3" w:rsidRPr="0014515B" w:rsidRDefault="008B5AF3" w:rsidP="00084B9D">
      <w:pPr>
        <w:pStyle w:val="Body"/>
      </w:pPr>
      <w:r>
        <w:t>Easy Read resources on COVID-19 can be accessed via:</w:t>
      </w:r>
    </w:p>
    <w:p w14:paraId="0B2AF578" w14:textId="3A7CB8D9" w:rsidR="00084B9D" w:rsidRPr="0014515B" w:rsidRDefault="00000000" w:rsidP="008B5AF3">
      <w:pPr>
        <w:pStyle w:val="Bullet1"/>
        <w:rPr>
          <w:rStyle w:val="normaltextrun"/>
          <w:rFonts w:cs="Arial"/>
          <w:color w:val="000000"/>
        </w:rPr>
      </w:pPr>
      <w:hyperlink r:id="rId41">
        <w:r w:rsidR="00084B9D" w:rsidRPr="00403484">
          <w:rPr>
            <w:rStyle w:val="normaltextrun"/>
            <w:rFonts w:cs="Arial"/>
            <w:color w:val="004C97"/>
            <w:u w:val="dotted"/>
          </w:rPr>
          <w:t xml:space="preserve">Coronavirus </w:t>
        </w:r>
        <w:r w:rsidR="00C913A0">
          <w:rPr>
            <w:rStyle w:val="normaltextrun"/>
            <w:rFonts w:cs="Arial"/>
            <w:color w:val="004C97"/>
            <w:u w:val="dotted"/>
          </w:rPr>
          <w:t xml:space="preserve">(COVID-19) </w:t>
        </w:r>
        <w:r w:rsidR="00084B9D" w:rsidRPr="00403484">
          <w:rPr>
            <w:rStyle w:val="normaltextrun"/>
            <w:rFonts w:cs="Arial"/>
            <w:color w:val="004C97"/>
            <w:u w:val="dotted"/>
          </w:rPr>
          <w:t>Victoria</w:t>
        </w:r>
      </w:hyperlink>
      <w:r w:rsidR="00084B9D" w:rsidRPr="0014515B">
        <w:rPr>
          <w:rStyle w:val="normaltextrun"/>
          <w:rFonts w:cs="Arial"/>
          <w:color w:val="000000" w:themeColor="text1"/>
        </w:rPr>
        <w:t xml:space="preserve"> </w:t>
      </w:r>
      <w:r w:rsidR="00C913A0">
        <w:rPr>
          <w:rStyle w:val="normaltextrun"/>
          <w:rFonts w:cs="Arial"/>
          <w:color w:val="000000" w:themeColor="text1"/>
        </w:rPr>
        <w:t>&lt;</w:t>
      </w:r>
      <w:r w:rsidR="00C913A0" w:rsidRPr="00C913A0">
        <w:rPr>
          <w:rStyle w:val="normaltextrun"/>
          <w:rFonts w:cs="Arial"/>
          <w:color w:val="000000" w:themeColor="text1"/>
        </w:rPr>
        <w:t>https://www.betterhealth.vic.gov.au/coronavirus-covid-19-victoria?redirectSrc=coronavirus.vic.gov.au</w:t>
      </w:r>
      <w:r w:rsidR="00084B9D" w:rsidRPr="0014515B">
        <w:rPr>
          <w:rStyle w:val="normaltextrun"/>
          <w:rFonts w:cs="Arial"/>
          <w:color w:val="000000" w:themeColor="text1"/>
        </w:rPr>
        <w:t>&gt;</w:t>
      </w:r>
    </w:p>
    <w:p w14:paraId="0A17C68D" w14:textId="3CA5E2D2" w:rsidR="00084B9D" w:rsidRPr="0014515B" w:rsidRDefault="00000000" w:rsidP="008B5AF3">
      <w:pPr>
        <w:pStyle w:val="Bullet1"/>
        <w:rPr>
          <w:rStyle w:val="normaltextrun"/>
          <w:lang w:eastAsia="en-AU"/>
        </w:rPr>
      </w:pPr>
      <w:hyperlink r:id="rId42">
        <w:r w:rsidR="00084B9D" w:rsidRPr="00403484">
          <w:rPr>
            <w:rStyle w:val="normaltextrun"/>
            <w:rFonts w:cs="Arial"/>
            <w:color w:val="004C97"/>
            <w:u w:val="dotted"/>
          </w:rPr>
          <w:t>Coronavirus (COVID-19) Easy Read collection</w:t>
        </w:r>
      </w:hyperlink>
      <w:r w:rsidR="00084B9D" w:rsidRPr="0014515B">
        <w:rPr>
          <w:rStyle w:val="normaltextrun"/>
          <w:rFonts w:cs="Arial"/>
          <w:color w:val="004C97"/>
          <w:u w:val="single"/>
        </w:rPr>
        <w:t xml:space="preserve"> </w:t>
      </w:r>
      <w:r w:rsidR="00084B9D" w:rsidRPr="0014515B">
        <w:rPr>
          <w:rStyle w:val="normaltextrun"/>
          <w:rFonts w:cs="Arial"/>
          <w:color w:val="000000"/>
        </w:rPr>
        <w:t>&lt;https://www.health.gov.au/resources/collections/</w:t>
      </w:r>
      <w:r w:rsidR="00084B9D" w:rsidRPr="008B5AF3">
        <w:rPr>
          <w:rStyle w:val="normaltextrun"/>
        </w:rPr>
        <w:t>coronavirus</w:t>
      </w:r>
      <w:r w:rsidR="00084B9D" w:rsidRPr="0014515B">
        <w:rPr>
          <w:rStyle w:val="normaltextrun"/>
          <w:rFonts w:cs="Arial"/>
          <w:color w:val="000000"/>
        </w:rPr>
        <w:t>-covid-19-easy-read-resources&gt;</w:t>
      </w:r>
    </w:p>
    <w:p w14:paraId="4D28CD6A" w14:textId="6F6DBEBA" w:rsidR="00084B9D" w:rsidRPr="00301A84" w:rsidRDefault="00970532" w:rsidP="008B5AF3">
      <w:pPr>
        <w:pStyle w:val="Bullet1"/>
        <w:rPr>
          <w:rStyle w:val="normaltextrun"/>
          <w:lang w:eastAsia="en-AU"/>
        </w:rPr>
      </w:pPr>
      <w:r>
        <w:rPr>
          <w:rStyle w:val="normaltextrun"/>
          <w:rFonts w:cs="Arial"/>
          <w:color w:val="000000" w:themeColor="text1"/>
        </w:rPr>
        <w:t xml:space="preserve">Better Health Channel: </w:t>
      </w:r>
      <w:hyperlink r:id="rId43" w:history="1">
        <w:r w:rsidRPr="00970532">
          <w:rPr>
            <w:rStyle w:val="Hyperlink"/>
            <w:rFonts w:cs="Arial"/>
          </w:rPr>
          <w:t>COVID-19 information for people with disability</w:t>
        </w:r>
      </w:hyperlink>
      <w:r w:rsidR="00084B9D" w:rsidRPr="0014515B">
        <w:rPr>
          <w:rStyle w:val="normaltextrun"/>
          <w:rFonts w:cs="Arial"/>
          <w:color w:val="000000" w:themeColor="text1"/>
        </w:rPr>
        <w:t xml:space="preserve"> </w:t>
      </w:r>
      <w:r w:rsidR="007A7440" w:rsidRPr="00403484">
        <w:rPr>
          <w:rStyle w:val="normaltextrun"/>
          <w:rFonts w:cs="Arial"/>
        </w:rPr>
        <w:t>&lt;</w:t>
      </w:r>
      <w:r w:rsidRPr="00970532">
        <w:rPr>
          <w:rStyle w:val="normaltextrun"/>
          <w:rFonts w:cs="Arial"/>
          <w:color w:val="000000" w:themeColor="text1"/>
        </w:rPr>
        <w:t>https://www.betterhealth.vic.gov.au/covid-19/covid-19-information-people-disability</w:t>
      </w:r>
      <w:r w:rsidR="007A7440">
        <w:rPr>
          <w:rStyle w:val="normaltextrun"/>
          <w:rFonts w:cs="Arial"/>
          <w:color w:val="000000" w:themeColor="text1"/>
        </w:rPr>
        <w:t>&gt;</w:t>
      </w:r>
    </w:p>
    <w:p w14:paraId="315D2C35" w14:textId="1151F58A" w:rsidR="00084B9D" w:rsidRPr="0014515B" w:rsidRDefault="00000000" w:rsidP="008B5AF3">
      <w:pPr>
        <w:pStyle w:val="Bullet1"/>
        <w:rPr>
          <w:lang w:eastAsia="en-AU"/>
        </w:rPr>
      </w:pPr>
      <w:hyperlink r:id="rId44" w:history="1">
        <w:r w:rsidR="00970532" w:rsidRPr="006D588D">
          <w:rPr>
            <w:rStyle w:val="Hyperlink"/>
            <w:rFonts w:cs="Arial"/>
          </w:rPr>
          <w:t>Disability Advocacy Network of Australia</w:t>
        </w:r>
      </w:hyperlink>
      <w:r w:rsidR="00084B9D" w:rsidRPr="00007EC1">
        <w:rPr>
          <w:rStyle w:val="normaltextrun"/>
          <w:rFonts w:cs="Arial"/>
          <w:color w:val="000000"/>
        </w:rPr>
        <w:t xml:space="preserve"> &lt;https://</w:t>
      </w:r>
      <w:r w:rsidR="00084B9D" w:rsidRPr="008B5AF3">
        <w:rPr>
          <w:rStyle w:val="normaltextrun"/>
        </w:rPr>
        <w:t>www</w:t>
      </w:r>
      <w:r w:rsidR="00084B9D" w:rsidRPr="00007EC1">
        <w:rPr>
          <w:rStyle w:val="normaltextrun"/>
          <w:rFonts w:cs="Arial"/>
          <w:color w:val="000000"/>
        </w:rPr>
        <w:t>.dana.org.au/&gt; has resources available to assist communications with residents and families</w:t>
      </w:r>
      <w:r w:rsidR="00EC201D">
        <w:rPr>
          <w:rStyle w:val="normaltextrun"/>
          <w:rFonts w:cs="Arial"/>
          <w:color w:val="000000"/>
        </w:rPr>
        <w:t>.</w:t>
      </w:r>
    </w:p>
    <w:p w14:paraId="653EAE17" w14:textId="399CB53A" w:rsidR="00084B9D" w:rsidRPr="008B5AF3" w:rsidRDefault="00084B9D" w:rsidP="008B5AF3">
      <w:pPr>
        <w:pStyle w:val="Bodyafterbullets"/>
      </w:pPr>
      <w:r w:rsidRPr="008B5AF3">
        <w:t>Workplaces should have COVIDSafe plans (or equivalent policies) to manage positive cases who are patients or residents, employees and visitors and promote isolation of cases. This plan should include communication of cases within the facility. Prompt and active communication to facility residents and families is also necessary to reinforce preventative behaviours.</w:t>
      </w:r>
    </w:p>
    <w:p w14:paraId="30A9959A" w14:textId="77777777" w:rsidR="00084B9D" w:rsidRPr="008B5AF3" w:rsidRDefault="00084B9D" w:rsidP="008B5AF3">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8226F8" w:rsidRPr="0014515B" w14:paraId="199C2CC7" w14:textId="77777777" w:rsidTr="00EC201D">
        <w:tc>
          <w:tcPr>
            <w:tcW w:w="9354" w:type="dxa"/>
            <w:shd w:val="clear" w:color="auto" w:fill="DBE5F1" w:themeFill="accent1" w:themeFillTint="33"/>
          </w:tcPr>
          <w:p w14:paraId="5E95D1D0" w14:textId="790857B1" w:rsidR="00084B9D" w:rsidRPr="0014515B" w:rsidRDefault="00084B9D" w:rsidP="008B5AF3">
            <w:pPr>
              <w:pStyle w:val="Bullet1"/>
            </w:pPr>
            <w:r w:rsidRPr="0014515B">
              <w:t>Do you have a plan for communicating with staff, residents, volunteers, family members and other service providers (</w:t>
            </w:r>
            <w:r w:rsidR="00B81AA8">
              <w:t>for example</w:t>
            </w:r>
            <w:r w:rsidRPr="0014515B">
              <w:t>, cleaners) during an outbreak?</w:t>
            </w:r>
          </w:p>
          <w:p w14:paraId="349EFB18" w14:textId="77777777" w:rsidR="00084B9D" w:rsidRPr="0014515B" w:rsidRDefault="00084B9D" w:rsidP="008B5AF3">
            <w:pPr>
              <w:pStyle w:val="Bullet1"/>
            </w:pPr>
            <w:r w:rsidRPr="0014515B">
              <w:t>Are the contact details for resident nominated representatives up to date?</w:t>
            </w:r>
          </w:p>
          <w:p w14:paraId="52139C16" w14:textId="77777777" w:rsidR="00084B9D" w:rsidRPr="0014515B" w:rsidRDefault="00084B9D" w:rsidP="008B5AF3">
            <w:pPr>
              <w:pStyle w:val="Bullet1"/>
            </w:pPr>
            <w:r w:rsidRPr="0014515B">
              <w:t>Do you have a plan to restrict unwell visitors entering the facility? Will you limit all other visitors during an outbreak to reduce risk of transmission?</w:t>
            </w:r>
          </w:p>
          <w:p w14:paraId="5557E610" w14:textId="7F9CC112" w:rsidR="00084B9D" w:rsidRPr="0014515B" w:rsidRDefault="00084B9D" w:rsidP="008B5AF3">
            <w:pPr>
              <w:pStyle w:val="Bullet1"/>
            </w:pPr>
            <w:r w:rsidRPr="0014515B">
              <w:t>Will you promote/support alternate means of access to visitors (</w:t>
            </w:r>
            <w:r w:rsidR="00B81AA8">
              <w:t>for example</w:t>
            </w:r>
            <w:r w:rsidRPr="0014515B">
              <w:t>, telephone/video calls, outdoor meetings)?</w:t>
            </w:r>
          </w:p>
          <w:p w14:paraId="32E13C98" w14:textId="06FD5F3E" w:rsidR="00084B9D" w:rsidRPr="0014515B" w:rsidRDefault="00084B9D" w:rsidP="008B5AF3">
            <w:pPr>
              <w:pStyle w:val="Bullet1"/>
            </w:pPr>
            <w:r w:rsidRPr="0014515B">
              <w:t>Can your current screening practices cope with high visitor numbers?</w:t>
            </w:r>
          </w:p>
        </w:tc>
      </w:tr>
    </w:tbl>
    <w:p w14:paraId="0CD5638F" w14:textId="77777777" w:rsidR="00EC201D" w:rsidRPr="00EC201D" w:rsidRDefault="00EC201D" w:rsidP="00EC201D">
      <w:pPr>
        <w:pStyle w:val="Body"/>
      </w:pPr>
      <w:bookmarkStart w:id="400" w:name="_Toc109142054"/>
      <w:bookmarkStart w:id="401" w:name="_Toc108093042"/>
      <w:bookmarkStart w:id="402" w:name="_Toc108623755"/>
      <w:bookmarkStart w:id="403" w:name="_Toc109729953"/>
      <w:bookmarkStart w:id="404" w:name="_Toc109729855"/>
      <w:bookmarkStart w:id="405" w:name="_Toc109730822"/>
      <w:bookmarkStart w:id="406" w:name="_Toc111121602"/>
      <w:bookmarkStart w:id="407" w:name="_Toc111638401"/>
      <w:bookmarkStart w:id="408" w:name="_Toc111708287"/>
      <w:bookmarkStart w:id="409" w:name="_Toc112144709"/>
      <w:bookmarkStart w:id="410" w:name="_Toc113443383"/>
      <w:bookmarkEnd w:id="386"/>
      <w:bookmarkEnd w:id="387"/>
      <w:bookmarkEnd w:id="388"/>
      <w:bookmarkEnd w:id="389"/>
      <w:bookmarkEnd w:id="390"/>
      <w:bookmarkEnd w:id="391"/>
      <w:bookmarkEnd w:id="392"/>
      <w:bookmarkEnd w:id="393"/>
      <w:bookmarkEnd w:id="394"/>
      <w:bookmarkEnd w:id="395"/>
      <w:bookmarkEnd w:id="400"/>
      <w:r>
        <w:br w:type="page"/>
      </w:r>
    </w:p>
    <w:p w14:paraId="7C4A37A9" w14:textId="51783D52" w:rsidR="00445EF7" w:rsidRPr="0014515B" w:rsidRDefault="00445EF7" w:rsidP="00445EF7">
      <w:pPr>
        <w:pStyle w:val="Heading2"/>
      </w:pPr>
      <w:bookmarkStart w:id="411" w:name="_Toc163573599"/>
      <w:r w:rsidRPr="0014515B">
        <w:lastRenderedPageBreak/>
        <w:t>Stock levels</w:t>
      </w:r>
      <w:bookmarkEnd w:id="401"/>
      <w:bookmarkEnd w:id="402"/>
      <w:bookmarkEnd w:id="403"/>
      <w:bookmarkEnd w:id="404"/>
      <w:bookmarkEnd w:id="405"/>
      <w:bookmarkEnd w:id="406"/>
      <w:bookmarkEnd w:id="407"/>
      <w:bookmarkEnd w:id="408"/>
      <w:bookmarkEnd w:id="409"/>
      <w:bookmarkEnd w:id="410"/>
      <w:bookmarkEnd w:id="411"/>
    </w:p>
    <w:p w14:paraId="200E1F79" w14:textId="1D97D5D7" w:rsidR="00445EF7" w:rsidRPr="0014515B" w:rsidRDefault="00445EF7" w:rsidP="002B5CD1">
      <w:pPr>
        <w:pStyle w:val="Body"/>
      </w:pPr>
      <w:r w:rsidRPr="0014515B">
        <w:t xml:space="preserve">RCFs should ensure adequate </w:t>
      </w:r>
      <w:r w:rsidRPr="002B5CD1">
        <w:t>supply</w:t>
      </w:r>
      <w:r w:rsidRPr="0014515B">
        <w:t xml:space="preserve"> of test kits, PPE, and other outbreak related consumables are available in an outbreak response kit prior to and during an outbreak. Essential stock includes:</w:t>
      </w:r>
    </w:p>
    <w:p w14:paraId="58DA1908" w14:textId="1529B962" w:rsidR="00445EF7" w:rsidRPr="002B5CD1" w:rsidRDefault="000057C1" w:rsidP="002B5CD1">
      <w:pPr>
        <w:pStyle w:val="Bullet1"/>
      </w:pPr>
      <w:r>
        <w:t>t</w:t>
      </w:r>
      <w:r w:rsidR="00445EF7" w:rsidRPr="002B5CD1">
        <w:t xml:space="preserve">est kits including rapid antigen tests </w:t>
      </w:r>
      <w:r>
        <w:t xml:space="preserve">(RATs) </w:t>
      </w:r>
      <w:r w:rsidR="00445EF7" w:rsidRPr="002B5CD1">
        <w:t xml:space="preserve">and swabs for laboratory tests for respiratory </w:t>
      </w:r>
      <w:r w:rsidR="00B70056" w:rsidRPr="002B5CD1">
        <w:t>viruses</w:t>
      </w:r>
    </w:p>
    <w:p w14:paraId="41FF2AF6" w14:textId="6C88FA3C" w:rsidR="00445EF7" w:rsidRPr="002B5CD1" w:rsidRDefault="00445EF7" w:rsidP="002B5CD1">
      <w:pPr>
        <w:pStyle w:val="Bullet1"/>
      </w:pPr>
      <w:r w:rsidRPr="002B5CD1">
        <w:t>PPE (N95 or P2 masks, gloves, gowns,</w:t>
      </w:r>
      <w:r w:rsidRPr="002B5CD1" w:rsidDel="005C452F">
        <w:t xml:space="preserve"> </w:t>
      </w:r>
      <w:r w:rsidRPr="002B5CD1">
        <w:t>eyewear)</w:t>
      </w:r>
    </w:p>
    <w:p w14:paraId="751FFE26" w14:textId="783F9B19" w:rsidR="00445EF7" w:rsidRPr="002B5CD1" w:rsidRDefault="000057C1" w:rsidP="002B5CD1">
      <w:pPr>
        <w:pStyle w:val="Bullet1"/>
      </w:pPr>
      <w:r>
        <w:t>h</w:t>
      </w:r>
      <w:r w:rsidR="00445EF7" w:rsidRPr="002B5CD1">
        <w:t>and hygiene products (alcohol-based hand rubs, soap, paper towels)</w:t>
      </w:r>
    </w:p>
    <w:p w14:paraId="6765EF63" w14:textId="6E0139A1" w:rsidR="00445EF7" w:rsidRPr="002B5CD1" w:rsidRDefault="000057C1" w:rsidP="002B5CD1">
      <w:pPr>
        <w:pStyle w:val="Bullet1"/>
      </w:pPr>
      <w:r>
        <w:t>c</w:t>
      </w:r>
      <w:r w:rsidR="00445EF7" w:rsidRPr="002B5CD1">
        <w:t>leaning supplies (detergent and disinfectants)</w:t>
      </w:r>
    </w:p>
    <w:p w14:paraId="4C9DA545" w14:textId="13809A4D" w:rsidR="00445EF7" w:rsidRPr="002B5CD1" w:rsidRDefault="000057C1" w:rsidP="002B5CD1">
      <w:pPr>
        <w:pStyle w:val="Bullet1"/>
      </w:pPr>
      <w:r>
        <w:t>w</w:t>
      </w:r>
      <w:r w:rsidR="00445EF7" w:rsidRPr="002B5CD1">
        <w:t>aste disposal capacity (access to additional clinical waste bins)</w:t>
      </w:r>
      <w:r>
        <w:t>.</w:t>
      </w:r>
    </w:p>
    <w:p w14:paraId="0B4A9C53" w14:textId="7776A4A9" w:rsidR="00445EF7" w:rsidRPr="0014515B" w:rsidRDefault="00445EF7" w:rsidP="002B5CD1">
      <w:pPr>
        <w:pStyle w:val="Bodyafterbullets"/>
      </w:pPr>
      <w:r w:rsidRPr="0014515B">
        <w:t>Expiry dates should be checked, and stock rotated to ensure use before expiry and that stock held remains within the expiry date.</w:t>
      </w:r>
    </w:p>
    <w:p w14:paraId="485BD6E5" w14:textId="003668DE" w:rsidR="00445EF7" w:rsidRDefault="00445EF7" w:rsidP="002B5CD1">
      <w:pPr>
        <w:pStyle w:val="Body"/>
      </w:pPr>
      <w:r w:rsidRPr="002B5CD1">
        <w:t>The required amount of on-site PPE will differ for each facility. RCFs should undertake regular stocktakes of supplies, and ensure they have enough supplies stored onsite for an immediate facility-wide outbreak response using full PPE.</w:t>
      </w:r>
      <w:r w:rsidR="00B82B86">
        <w:t xml:space="preserve"> </w:t>
      </w:r>
      <w:r w:rsidRPr="002B5CD1">
        <w:t xml:space="preserve">This supply should </w:t>
      </w:r>
      <w:r w:rsidR="7F475153" w:rsidRPr="002B5CD1">
        <w:t>be always available</w:t>
      </w:r>
      <w:r w:rsidRPr="002B5CD1">
        <w:t xml:space="preserve"> and be sufficient to cover weekends and public holidays. Additional supplies should be ordered if a case occurs in the facility. If cases occur, and the RCF cannot access PPE from commercial suppliers, they can request PPE from the National Medical Stockpile (NMS).</w:t>
      </w:r>
    </w:p>
    <w:p w14:paraId="670319F3" w14:textId="42BBDFD2" w:rsidR="0034542C" w:rsidRPr="002B5CD1" w:rsidRDefault="0034542C" w:rsidP="002B5CD1">
      <w:pPr>
        <w:pStyle w:val="Body"/>
      </w:pPr>
      <w:r>
        <w:t xml:space="preserve">Information regarding </w:t>
      </w:r>
      <w:r w:rsidRPr="0034542C">
        <w:t>support to Australian Government-funded aged care services (residential and in-home care) in managing COVID-19 outbreaks</w:t>
      </w:r>
      <w:r>
        <w:t xml:space="preserve">, including </w:t>
      </w:r>
      <w:r w:rsidR="000501AD">
        <w:t xml:space="preserve">sourcing </w:t>
      </w:r>
      <w:r>
        <w:t xml:space="preserve">PPE and RATs can be found on the </w:t>
      </w:r>
      <w:hyperlink r:id="rId45" w:history="1">
        <w:r w:rsidRPr="0034542C">
          <w:rPr>
            <w:rStyle w:val="Hyperlink"/>
          </w:rPr>
          <w:t>Department of Health and Aged Care website</w:t>
        </w:r>
      </w:hyperlink>
      <w:r>
        <w:t xml:space="preserve"> &lt;</w:t>
      </w:r>
      <w:r w:rsidRPr="0034542C">
        <w:t>https://www.health.gov.au/topics/aged-care/managing-covid-19/government-support</w:t>
      </w:r>
      <w:r>
        <w:t>&gt;.</w:t>
      </w:r>
    </w:p>
    <w:p w14:paraId="67CB7569" w14:textId="77777777" w:rsidR="00445EF7" w:rsidRPr="0014515B" w:rsidRDefault="00445EF7" w:rsidP="000057C1">
      <w:pPr>
        <w:pStyle w:val="Body"/>
      </w:pPr>
    </w:p>
    <w:tbl>
      <w:tblPr>
        <w:tblW w:w="9354"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4"/>
      </w:tblGrid>
      <w:tr w:rsidR="00445EF7" w:rsidRPr="0014515B" w14:paraId="3C14C865" w14:textId="77777777" w:rsidTr="00EC201D">
        <w:trPr>
          <w:trHeight w:val="2268"/>
        </w:trPr>
        <w:tc>
          <w:tcPr>
            <w:tcW w:w="9354" w:type="dxa"/>
            <w:shd w:val="clear" w:color="auto" w:fill="F2F2F2" w:themeFill="background1" w:themeFillShade="F2"/>
          </w:tcPr>
          <w:p w14:paraId="3602C2FB" w14:textId="5ED6C020" w:rsidR="00445EF7" w:rsidRPr="0014515B" w:rsidRDefault="00445EF7" w:rsidP="00827A43">
            <w:pPr>
              <w:pStyle w:val="Tablecolhead"/>
            </w:pPr>
            <w:r w:rsidRPr="0014515B">
              <w:t>Rough guide to estimate required PPE:</w:t>
            </w:r>
          </w:p>
          <w:p w14:paraId="22FEEDF4" w14:textId="77777777" w:rsidR="00445EF7" w:rsidRPr="0014515B" w:rsidRDefault="00445EF7" w:rsidP="00827A43">
            <w:pPr>
              <w:pStyle w:val="Tablebullet1"/>
            </w:pPr>
            <w:r w:rsidRPr="0014515B">
              <w:t>Count the number of times staff members (including cleaners) access a resident’s room (for example, 20 times per day)</w:t>
            </w:r>
          </w:p>
          <w:p w14:paraId="28FB6A28" w14:textId="6F956889" w:rsidR="00445EF7" w:rsidRPr="0014515B" w:rsidRDefault="00445EF7" w:rsidP="00827A43">
            <w:pPr>
              <w:pStyle w:val="Tablebullet1"/>
            </w:pPr>
            <w:r w:rsidRPr="0014515B">
              <w:t>Add in the number of times this access needs to be by 2 carers (for example, +3 times per day)</w:t>
            </w:r>
          </w:p>
          <w:p w14:paraId="50244311" w14:textId="77777777" w:rsidR="00445EF7" w:rsidRPr="0014515B" w:rsidRDefault="00445EF7" w:rsidP="00827A43">
            <w:pPr>
              <w:pStyle w:val="Tablebullet1"/>
            </w:pPr>
            <w:r w:rsidRPr="0014515B">
              <w:t>Multiply this total by the number of residents in the facility.</w:t>
            </w:r>
          </w:p>
          <w:p w14:paraId="696E0077" w14:textId="6765340E" w:rsidR="00445EF7" w:rsidRPr="00827A43" w:rsidRDefault="00445EF7" w:rsidP="00827A43">
            <w:pPr>
              <w:pStyle w:val="Tabletext"/>
            </w:pPr>
            <w:r>
              <w:t xml:space="preserve">So, a 100 resident facility would need to have onsite (20+3) multiplied by 100 = 2,300 sets of </w:t>
            </w:r>
            <w:bookmarkStart w:id="412" w:name="_Int_cg7otwOn"/>
            <w:r>
              <w:t>PPE</w:t>
            </w:r>
            <w:bookmarkEnd w:id="412"/>
            <w:r>
              <w:t xml:space="preserve"> (mask or PFR, gloves and gowns) for one day.</w:t>
            </w:r>
          </w:p>
        </w:tc>
      </w:tr>
    </w:tbl>
    <w:p w14:paraId="2BD3234B" w14:textId="77777777" w:rsidR="00385752" w:rsidRPr="000057C1" w:rsidRDefault="00385752" w:rsidP="000057C1">
      <w:pPr>
        <w:pStyle w:val="Body"/>
      </w:pPr>
    </w:p>
    <w:tbl>
      <w:tblPr>
        <w:tblStyle w:val="TableGrid"/>
        <w:tblW w:w="9354" w:type="dxa"/>
        <w:tblInd w:w="137"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445EF7" w:rsidRPr="000057C1" w14:paraId="60AD7669" w14:textId="77777777" w:rsidTr="00EC201D">
        <w:trPr>
          <w:trHeight w:val="1304"/>
        </w:trPr>
        <w:tc>
          <w:tcPr>
            <w:tcW w:w="9354" w:type="dxa"/>
            <w:shd w:val="clear" w:color="auto" w:fill="DBE5F1" w:themeFill="accent1" w:themeFillTint="33"/>
          </w:tcPr>
          <w:p w14:paraId="29F29B7D" w14:textId="77777777" w:rsidR="00445EF7" w:rsidRPr="000057C1" w:rsidRDefault="00445EF7" w:rsidP="000057C1">
            <w:pPr>
              <w:pStyle w:val="Bullet1"/>
            </w:pPr>
            <w:r w:rsidRPr="000057C1">
              <w:t>Do you have enough PPE, hand hygiene products, testing kits, and cleaning supplies?</w:t>
            </w:r>
          </w:p>
          <w:p w14:paraId="5B43D51D" w14:textId="77777777" w:rsidR="00445EF7" w:rsidRPr="000057C1" w:rsidRDefault="00445EF7" w:rsidP="000057C1">
            <w:pPr>
              <w:pStyle w:val="Bullet1"/>
            </w:pPr>
            <w:r w:rsidRPr="000057C1">
              <w:t>Do you know where you can order more PPE?</w:t>
            </w:r>
          </w:p>
          <w:p w14:paraId="5453970B" w14:textId="77777777" w:rsidR="00445EF7" w:rsidRPr="000057C1" w:rsidRDefault="00445EF7" w:rsidP="000057C1">
            <w:pPr>
              <w:pStyle w:val="Bullet1"/>
            </w:pPr>
            <w:r w:rsidRPr="000057C1">
              <w:t>Do you know where you can order RA testing kits or swabs?</w:t>
            </w:r>
          </w:p>
          <w:p w14:paraId="2F5B67E5" w14:textId="1FDC897C" w:rsidR="00445EF7" w:rsidRPr="000057C1" w:rsidRDefault="00445EF7" w:rsidP="000057C1">
            <w:pPr>
              <w:pStyle w:val="Bullet1"/>
            </w:pPr>
            <w:r w:rsidRPr="000057C1">
              <w:t>Do you have enough storage and access if the facility and staff are cohorted?</w:t>
            </w:r>
          </w:p>
        </w:tc>
      </w:tr>
    </w:tbl>
    <w:p w14:paraId="0EFC60BD" w14:textId="77777777" w:rsidR="00BB2BCE" w:rsidRPr="0014515B" w:rsidRDefault="00BB2BCE" w:rsidP="00BB2BCE">
      <w:pPr>
        <w:pStyle w:val="Heading2"/>
      </w:pPr>
      <w:bookmarkStart w:id="413" w:name="_Toc109142057"/>
      <w:bookmarkStart w:id="414" w:name="_Toc109142058"/>
      <w:bookmarkStart w:id="415" w:name="_Toc108093045"/>
      <w:bookmarkStart w:id="416" w:name="_Toc108623758"/>
      <w:bookmarkStart w:id="417" w:name="_Toc109729955"/>
      <w:bookmarkStart w:id="418" w:name="_Toc109729857"/>
      <w:bookmarkStart w:id="419" w:name="_Toc109730824"/>
      <w:bookmarkStart w:id="420" w:name="_Toc111121604"/>
      <w:bookmarkStart w:id="421" w:name="_Toc111638403"/>
      <w:bookmarkStart w:id="422" w:name="_Toc111708289"/>
      <w:bookmarkStart w:id="423" w:name="_Toc112144711"/>
      <w:bookmarkStart w:id="424" w:name="_Toc113443385"/>
      <w:bookmarkStart w:id="425" w:name="_Toc163573600"/>
      <w:bookmarkEnd w:id="413"/>
      <w:bookmarkEnd w:id="414"/>
      <w:r w:rsidRPr="0014515B">
        <w:t>Cleaning</w:t>
      </w:r>
      <w:bookmarkEnd w:id="415"/>
      <w:bookmarkEnd w:id="416"/>
      <w:bookmarkEnd w:id="417"/>
      <w:bookmarkEnd w:id="418"/>
      <w:bookmarkEnd w:id="419"/>
      <w:bookmarkEnd w:id="420"/>
      <w:bookmarkEnd w:id="421"/>
      <w:bookmarkEnd w:id="422"/>
      <w:bookmarkEnd w:id="423"/>
      <w:bookmarkEnd w:id="424"/>
      <w:bookmarkEnd w:id="425"/>
    </w:p>
    <w:p w14:paraId="0317DBCD" w14:textId="72984EC8" w:rsidR="00BB2BCE" w:rsidRPr="0014515B" w:rsidRDefault="00BB2BCE" w:rsidP="00BB2BCE">
      <w:pPr>
        <w:pStyle w:val="Body"/>
      </w:pPr>
      <w:r w:rsidRPr="0014515B">
        <w:t>The frequency of environmental cleaning and disinfection during a respiratory outbreak should be increased to at least twice daily, particularly of frequently touched surfaces such as door handles, light switches, trays, rails, equipment for personal or clinical care, chair arms, and in shared bathrooms</w:t>
      </w:r>
      <w:r w:rsidR="00063A56">
        <w:t xml:space="preserve">, </w:t>
      </w:r>
      <w:r w:rsidRPr="0014515B">
        <w:t>dining and lounge areas.</w:t>
      </w:r>
    </w:p>
    <w:p w14:paraId="4557F03C" w14:textId="77777777" w:rsidR="00BB2BCE" w:rsidRPr="0014515B" w:rsidRDefault="00BB2BCE" w:rsidP="00BB2BCE">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BB2BCE" w:rsidRPr="0014515B" w14:paraId="23D9EA2C" w14:textId="77777777" w:rsidTr="00EC201D">
        <w:trPr>
          <w:trHeight w:val="1247"/>
        </w:trPr>
        <w:tc>
          <w:tcPr>
            <w:tcW w:w="9354" w:type="dxa"/>
            <w:shd w:val="clear" w:color="auto" w:fill="DBE5F1" w:themeFill="accent1" w:themeFillTint="33"/>
          </w:tcPr>
          <w:p w14:paraId="1D25ED4F" w14:textId="7AADB78E" w:rsidR="00BB2BCE" w:rsidRPr="00B82B86" w:rsidRDefault="00BB2BCE" w:rsidP="00B82B86">
            <w:pPr>
              <w:pStyle w:val="Bullet1"/>
            </w:pPr>
            <w:r w:rsidRPr="00B82B86">
              <w:lastRenderedPageBreak/>
              <w:t>Does the OMP identify who is responsible for overseeing increased frequency of cleaning and waste disposal, liaison with contractors or hiring extra cleaners as necessary?</w:t>
            </w:r>
          </w:p>
          <w:p w14:paraId="530DA5A6" w14:textId="77777777" w:rsidR="00BB2BCE" w:rsidRPr="00B82B86" w:rsidRDefault="00BB2BCE" w:rsidP="00B82B86">
            <w:pPr>
              <w:pStyle w:val="Bullet1"/>
            </w:pPr>
            <w:r w:rsidRPr="00B82B86">
              <w:t>Does the OMP identify the cleaning and disinfection agents that are to be used?</w:t>
            </w:r>
          </w:p>
          <w:p w14:paraId="73A88A98" w14:textId="349F9F70" w:rsidR="00FD11FF" w:rsidRPr="0014515B" w:rsidRDefault="00BB2BCE" w:rsidP="00B82B86">
            <w:pPr>
              <w:pStyle w:val="Bullet1"/>
            </w:pPr>
            <w:r w:rsidRPr="00B82B86">
              <w:t>Do you have adequate supply for an outbreak?</w:t>
            </w:r>
          </w:p>
        </w:tc>
      </w:tr>
    </w:tbl>
    <w:p w14:paraId="6F989172" w14:textId="346372FE" w:rsidR="00BB2BCE" w:rsidRPr="0014515B" w:rsidRDefault="00BB2BCE" w:rsidP="00BB2BCE">
      <w:pPr>
        <w:pStyle w:val="Heading2"/>
      </w:pPr>
      <w:bookmarkStart w:id="426" w:name="_Toc108093046"/>
      <w:bookmarkStart w:id="427" w:name="_Toc108623759"/>
      <w:bookmarkStart w:id="428" w:name="_Toc109729956"/>
      <w:bookmarkStart w:id="429" w:name="_Toc109729858"/>
      <w:bookmarkStart w:id="430" w:name="_Toc109730825"/>
      <w:bookmarkStart w:id="431" w:name="_Toc111121605"/>
      <w:bookmarkStart w:id="432" w:name="_Toc111638404"/>
      <w:bookmarkStart w:id="433" w:name="_Toc111708290"/>
      <w:bookmarkStart w:id="434" w:name="_Toc112144712"/>
      <w:bookmarkStart w:id="435" w:name="_Toc113443386"/>
      <w:bookmarkStart w:id="436" w:name="_Toc163573601"/>
      <w:r w:rsidRPr="0014515B">
        <w:t>Waste management</w:t>
      </w:r>
      <w:bookmarkEnd w:id="426"/>
      <w:bookmarkEnd w:id="427"/>
      <w:bookmarkEnd w:id="428"/>
      <w:bookmarkEnd w:id="429"/>
      <w:bookmarkEnd w:id="430"/>
      <w:bookmarkEnd w:id="431"/>
      <w:bookmarkEnd w:id="432"/>
      <w:bookmarkEnd w:id="433"/>
      <w:bookmarkEnd w:id="434"/>
      <w:bookmarkEnd w:id="435"/>
      <w:bookmarkEnd w:id="436"/>
    </w:p>
    <w:p w14:paraId="4B10B6A1" w14:textId="77777777" w:rsidR="00BB2BCE" w:rsidRPr="0014515B" w:rsidRDefault="00BB2BCE" w:rsidP="00B82B86">
      <w:pPr>
        <w:pStyle w:val="Heading3"/>
      </w:pPr>
      <w:bookmarkStart w:id="437" w:name="_Toc111121606"/>
      <w:bookmarkStart w:id="438" w:name="_Toc111638405"/>
      <w:bookmarkStart w:id="439" w:name="_Toc111648923"/>
      <w:bookmarkStart w:id="440" w:name="_Toc111708291"/>
      <w:bookmarkStart w:id="441" w:name="_Toc112144713"/>
      <w:r w:rsidRPr="0014515B">
        <w:t>COVID-19</w:t>
      </w:r>
      <w:bookmarkEnd w:id="437"/>
      <w:bookmarkEnd w:id="438"/>
      <w:bookmarkEnd w:id="439"/>
      <w:bookmarkEnd w:id="440"/>
      <w:bookmarkEnd w:id="441"/>
    </w:p>
    <w:p w14:paraId="5B3B0DD6" w14:textId="7649B0BD" w:rsidR="00BB2BCE" w:rsidRPr="0014515B" w:rsidRDefault="00BB2BCE" w:rsidP="00BB2BCE">
      <w:pPr>
        <w:pStyle w:val="Body"/>
        <w:rPr>
          <w:rFonts w:eastAsia="Times New Roman"/>
        </w:rPr>
      </w:pPr>
      <w:r w:rsidRPr="0014515B">
        <w:t>Studies into the known modes of transmission of COVID-19 indicate that PPE from patients does not routinely need to be considered clinical waste and can therefore be placed in a general waste bin (provided it is not soiled with blood or bodily fluids). All waste from an isolation room should be contained in a closed bag for transport to the waste storage area for disposal. Staff handling waste should wear gloves and ensure the waste is not carried in contact with clothing.</w:t>
      </w:r>
    </w:p>
    <w:p w14:paraId="038EB24C" w14:textId="1920B22E" w:rsidR="00BB2BCE" w:rsidRPr="0014515B" w:rsidRDefault="00BB2BCE" w:rsidP="00BB2BCE">
      <w:pPr>
        <w:pStyle w:val="Body"/>
        <w:rPr>
          <w:lang w:val="en-US"/>
        </w:rPr>
      </w:pPr>
      <w:r>
        <w:t>All used RATs from aged care facilities and acute care services must be disposed in</w:t>
      </w:r>
      <w:r w:rsidR="00B82B86">
        <w:t>to</w:t>
      </w:r>
      <w:r>
        <w:t xml:space="preserve"> clinical waste bins, whether the result is positive or negative (body fluids). Other residential care settings should follow the advice for correct disposal of RATs and PPE as set out in </w:t>
      </w:r>
      <w:hyperlink r:id="rId46">
        <w:r w:rsidRPr="6B2561BA">
          <w:rPr>
            <w:rStyle w:val="Hyperlink"/>
          </w:rPr>
          <w:t>Managing coronavirus waste from a workplace | Environment Protection Authority Victoria</w:t>
        </w:r>
      </w:hyperlink>
      <w:r>
        <w:t xml:space="preserve"> &lt;https://www.epa.vic.gov.au/about-epa/news-media-and-updates/coronavirus/managing-coronavirus-waste-from-a-workplace&gt;</w:t>
      </w:r>
      <w:r w:rsidR="219C6D11">
        <w:t>.</w:t>
      </w:r>
    </w:p>
    <w:p w14:paraId="145AC223" w14:textId="77777777" w:rsidR="00BB2BCE" w:rsidRPr="0014515B" w:rsidRDefault="00BB2BCE" w:rsidP="00B82B86">
      <w:pPr>
        <w:pStyle w:val="Heading3"/>
        <w:rPr>
          <w:lang w:val="en-US"/>
        </w:rPr>
      </w:pPr>
      <w:bookmarkStart w:id="442" w:name="_Toc111121607"/>
      <w:bookmarkStart w:id="443" w:name="_Toc111638406"/>
      <w:bookmarkStart w:id="444" w:name="_Toc111648924"/>
      <w:bookmarkStart w:id="445" w:name="_Toc111708292"/>
      <w:bookmarkStart w:id="446" w:name="_Toc112144714"/>
      <w:r w:rsidRPr="0014515B">
        <w:rPr>
          <w:lang w:val="en-US"/>
        </w:rPr>
        <w:t>Influenza</w:t>
      </w:r>
      <w:bookmarkEnd w:id="442"/>
      <w:bookmarkEnd w:id="443"/>
      <w:bookmarkEnd w:id="444"/>
      <w:bookmarkEnd w:id="445"/>
      <w:bookmarkEnd w:id="446"/>
    </w:p>
    <w:p w14:paraId="78D678DA" w14:textId="071CCE80" w:rsidR="00BB2BCE" w:rsidRPr="0014515B" w:rsidRDefault="00BB2BCE" w:rsidP="00BB2BCE">
      <w:pPr>
        <w:pStyle w:val="Body"/>
      </w:pPr>
      <w:r>
        <w:t xml:space="preserve">All gloves, masks, protective </w:t>
      </w:r>
      <w:r w:rsidR="4B963DBC">
        <w:t>eyewear,</w:t>
      </w:r>
      <w:r>
        <w:t xml:space="preserve"> or gowns used whilst caring for a resident with influenza should be disposed of into clinical waste (yellow bin or bag).</w:t>
      </w:r>
    </w:p>
    <w:p w14:paraId="56E72F9E" w14:textId="7C5ECDF0" w:rsidR="00BB2BCE" w:rsidRDefault="00BB2BCE" w:rsidP="00BB2BCE">
      <w:pPr>
        <w:pStyle w:val="Body"/>
      </w:pPr>
      <w:r w:rsidRPr="0014515B">
        <w:t xml:space="preserve">For more information refer to the EPA Victoria’s </w:t>
      </w:r>
      <w:hyperlink r:id="rId47" w:history="1">
        <w:r w:rsidR="00970532" w:rsidRPr="00970532">
          <w:rPr>
            <w:rStyle w:val="Hyperlink"/>
          </w:rPr>
          <w:t>How to manage clinical and related waste</w:t>
        </w:r>
      </w:hyperlink>
      <w:r w:rsidRPr="0014515B">
        <w:t xml:space="preserve"> &lt;</w:t>
      </w:r>
      <w:r w:rsidR="00970532" w:rsidRPr="00970532">
        <w:t>https://www.epa.vic.gov.au/for-business/find-a-topic/manage-clinical-and-related-waste</w:t>
      </w:r>
      <w:r w:rsidRPr="0014515B">
        <w:t>&gt;.</w:t>
      </w:r>
    </w:p>
    <w:p w14:paraId="44D226FB" w14:textId="77777777" w:rsidR="00385752" w:rsidRDefault="00385752" w:rsidP="00BB2BCE">
      <w:pPr>
        <w:pStyle w:val="Body"/>
      </w:pPr>
    </w:p>
    <w:tbl>
      <w:tblPr>
        <w:tblStyle w:val="TableGrid"/>
        <w:tblW w:w="9354" w:type="dxa"/>
        <w:shd w:val="clear" w:color="auto" w:fill="DBE5F1" w:themeFill="accent1" w:themeFillTint="33"/>
        <w:tblCellMar>
          <w:top w:w="57" w:type="dxa"/>
          <w:bottom w:w="57" w:type="dxa"/>
        </w:tblCellMar>
        <w:tblLook w:val="04A0" w:firstRow="1" w:lastRow="0" w:firstColumn="1" w:lastColumn="0" w:noHBand="0" w:noVBand="1"/>
      </w:tblPr>
      <w:tblGrid>
        <w:gridCol w:w="9354"/>
      </w:tblGrid>
      <w:tr w:rsidR="00BB2BCE" w:rsidRPr="0014515B" w14:paraId="1600EE4A" w14:textId="77777777" w:rsidTr="00B82B86">
        <w:tc>
          <w:tcPr>
            <w:tcW w:w="9354" w:type="dxa"/>
            <w:shd w:val="clear" w:color="auto" w:fill="DBE5F1" w:themeFill="accent1" w:themeFillTint="33"/>
          </w:tcPr>
          <w:p w14:paraId="7C74557F" w14:textId="727EA2B1" w:rsidR="00BB2BCE" w:rsidRPr="00B82B86" w:rsidRDefault="00BB2BCE" w:rsidP="00EA2C30">
            <w:pPr>
              <w:pStyle w:val="Body"/>
              <w:numPr>
                <w:ilvl w:val="0"/>
                <w:numId w:val="14"/>
              </w:numPr>
              <w:spacing w:after="80"/>
              <w:rPr>
                <w:lang w:val="en-US"/>
              </w:rPr>
            </w:pPr>
            <w:r w:rsidRPr="0014515B">
              <w:rPr>
                <w:lang w:val="en-US"/>
              </w:rPr>
              <w:t>Have you reviewed waste management requirements relevant to your workplace?</w:t>
            </w:r>
          </w:p>
        </w:tc>
      </w:tr>
    </w:tbl>
    <w:p w14:paraId="01E429D7" w14:textId="24067684" w:rsidR="00BB2BCE" w:rsidRPr="0014515B" w:rsidRDefault="00BB2BCE" w:rsidP="00BB2BCE">
      <w:pPr>
        <w:pStyle w:val="Heading2"/>
      </w:pPr>
      <w:bookmarkStart w:id="447" w:name="_Toc108093047"/>
      <w:bookmarkStart w:id="448" w:name="_Toc108623760"/>
      <w:bookmarkStart w:id="449" w:name="_Toc109729957"/>
      <w:bookmarkStart w:id="450" w:name="_Toc109729859"/>
      <w:bookmarkStart w:id="451" w:name="_Toc109730826"/>
      <w:bookmarkStart w:id="452" w:name="_Toc111121608"/>
      <w:bookmarkStart w:id="453" w:name="_Toc111638407"/>
      <w:bookmarkStart w:id="454" w:name="_Toc111708293"/>
      <w:bookmarkStart w:id="455" w:name="_Toc112144715"/>
      <w:bookmarkStart w:id="456" w:name="_Toc113443387"/>
      <w:bookmarkStart w:id="457" w:name="_Toc163573602"/>
      <w:r w:rsidRPr="0014515B">
        <w:t xml:space="preserve">Review other </w:t>
      </w:r>
      <w:r w:rsidR="00B82B86">
        <w:t>IPC</w:t>
      </w:r>
      <w:r w:rsidRPr="0014515B">
        <w:t xml:space="preserve"> measures</w:t>
      </w:r>
      <w:bookmarkEnd w:id="447"/>
      <w:bookmarkEnd w:id="448"/>
      <w:bookmarkEnd w:id="449"/>
      <w:bookmarkEnd w:id="450"/>
      <w:bookmarkEnd w:id="451"/>
      <w:bookmarkEnd w:id="452"/>
      <w:bookmarkEnd w:id="453"/>
      <w:bookmarkEnd w:id="454"/>
      <w:bookmarkEnd w:id="455"/>
      <w:bookmarkEnd w:id="456"/>
      <w:bookmarkEnd w:id="457"/>
    </w:p>
    <w:p w14:paraId="2925D993" w14:textId="3692E06A" w:rsidR="00BB2BCE" w:rsidRPr="0014515B" w:rsidRDefault="00BB2BCE" w:rsidP="00BB2BCE">
      <w:pPr>
        <w:pStyle w:val="Body"/>
      </w:pPr>
      <w:r w:rsidRPr="0014515B">
        <w:t>RCFs should ensure that sufficient IPC measures to prevent the transmission of COVID-19, influenza and other respiratory pathogens are in place, such as:</w:t>
      </w:r>
    </w:p>
    <w:p w14:paraId="2C18A649" w14:textId="1F1ECF26" w:rsidR="00BB2BCE" w:rsidRPr="0014515B" w:rsidRDefault="00BB2BCE" w:rsidP="007D2DA9">
      <w:pPr>
        <w:pStyle w:val="Bullet1"/>
      </w:pPr>
      <w:r>
        <w:t xml:space="preserve">Using </w:t>
      </w:r>
      <w:r w:rsidR="00A05BD9">
        <w:t>consistent</w:t>
      </w:r>
      <w:r w:rsidRPr="0014515B">
        <w:t xml:space="preserve"> signs in multiple sites of the facility, in graphic and text, to remind all people to maintain COVIDSafe behaviours</w:t>
      </w:r>
      <w:r w:rsidR="001256DB">
        <w:t>.</w:t>
      </w:r>
    </w:p>
    <w:p w14:paraId="48B00CBF" w14:textId="7BFDAA43" w:rsidR="00BB2BCE" w:rsidRPr="0014515B" w:rsidRDefault="00BB2BCE" w:rsidP="007D2DA9">
      <w:pPr>
        <w:pStyle w:val="Bullet1"/>
      </w:pPr>
      <w:r w:rsidRPr="0014515B">
        <w:t>Provide adequate hygiene resources, such as masks, hand hygiene supplies, paper towel and lined disposal bins are available for visitors to use</w:t>
      </w:r>
      <w:r w:rsidR="001256DB">
        <w:t>.</w:t>
      </w:r>
    </w:p>
    <w:p w14:paraId="24E5C724" w14:textId="77777777" w:rsidR="00BB2BCE" w:rsidRPr="0014515B" w:rsidRDefault="00BB2BCE" w:rsidP="007D2DA9">
      <w:pPr>
        <w:pStyle w:val="Bullet1"/>
      </w:pPr>
      <w:r w:rsidRPr="0014515B">
        <w:t>Promote physical distancing:</w:t>
      </w:r>
    </w:p>
    <w:p w14:paraId="1E157C0F" w14:textId="77777777" w:rsidR="00BB2BCE" w:rsidRPr="0014515B" w:rsidRDefault="00BB2BCE" w:rsidP="007D2DA9">
      <w:pPr>
        <w:pStyle w:val="Bullet2"/>
        <w:rPr>
          <w:rFonts w:eastAsia="Arial" w:cs="Arial"/>
        </w:rPr>
      </w:pPr>
      <w:r w:rsidRPr="0014515B">
        <w:t>For enclosed rooms:</w:t>
      </w:r>
    </w:p>
    <w:p w14:paraId="2E071904" w14:textId="33ACEC59" w:rsidR="00BB2BCE" w:rsidRPr="0014515B" w:rsidRDefault="00BB2BCE" w:rsidP="00EA2C30">
      <w:pPr>
        <w:pStyle w:val="Bullet2"/>
        <w:numPr>
          <w:ilvl w:val="1"/>
          <w:numId w:val="14"/>
        </w:numPr>
        <w:ind w:left="851" w:hanging="284"/>
      </w:pPr>
      <w:r w:rsidRPr="0014515B">
        <w:t>limit the number of people present</w:t>
      </w:r>
      <w:r w:rsidR="0073455E">
        <w:t xml:space="preserve">, </w:t>
      </w:r>
      <w:r w:rsidRPr="0014515B">
        <w:t>maintain 1.5 metres distance from other people when feasible</w:t>
      </w:r>
    </w:p>
    <w:p w14:paraId="14FCCE23" w14:textId="77777777" w:rsidR="00AA1253" w:rsidRPr="0014515B" w:rsidRDefault="00BB2BCE" w:rsidP="00EA2C30">
      <w:pPr>
        <w:pStyle w:val="Bullet2"/>
        <w:numPr>
          <w:ilvl w:val="1"/>
          <w:numId w:val="14"/>
        </w:numPr>
        <w:ind w:left="851" w:hanging="284"/>
      </w:pPr>
      <w:r>
        <w:t xml:space="preserve">if 1.5 metres distance cannot be maintained, minimise time in </w:t>
      </w:r>
      <w:bookmarkStart w:id="458" w:name="_Int_82azFY02"/>
      <w:r>
        <w:t>close proximity</w:t>
      </w:r>
      <w:bookmarkEnd w:id="458"/>
    </w:p>
    <w:p w14:paraId="0EE38FAE" w14:textId="3D058506" w:rsidR="00BB2BCE" w:rsidRPr="00403484" w:rsidRDefault="00AA1253" w:rsidP="00EA2C30">
      <w:pPr>
        <w:pStyle w:val="Bullet2"/>
        <w:numPr>
          <w:ilvl w:val="1"/>
          <w:numId w:val="14"/>
        </w:numPr>
        <w:ind w:left="851" w:hanging="284"/>
      </w:pPr>
      <w:r w:rsidRPr="00403484">
        <w:t>a mask should be worn by both staff and visitors</w:t>
      </w:r>
      <w:r w:rsidR="00CD5A02" w:rsidRPr="00403484">
        <w:t xml:space="preserve">. Masks should also be worn by </w:t>
      </w:r>
      <w:r w:rsidR="000A0612" w:rsidRPr="00403484">
        <w:t xml:space="preserve">residents when recommended if they are </w:t>
      </w:r>
      <w:r w:rsidR="00CD5A02" w:rsidRPr="00403484">
        <w:t>a case or close contact</w:t>
      </w:r>
    </w:p>
    <w:p w14:paraId="4B0BD14A" w14:textId="77777777" w:rsidR="00BB2BCE" w:rsidRPr="0014515B" w:rsidRDefault="00BB2BCE" w:rsidP="00EA2C30">
      <w:pPr>
        <w:pStyle w:val="Bullet2"/>
        <w:numPr>
          <w:ilvl w:val="1"/>
          <w:numId w:val="14"/>
        </w:numPr>
        <w:ind w:left="851" w:hanging="284"/>
      </w:pPr>
      <w:r w:rsidRPr="0014515B">
        <w:lastRenderedPageBreak/>
        <w:t>position waiting room chairs 1.5 metres apart where possible or block out interval chairs</w:t>
      </w:r>
    </w:p>
    <w:p w14:paraId="1F68DDE0" w14:textId="77777777" w:rsidR="00BB2BCE" w:rsidRPr="0014515B" w:rsidRDefault="00BB2BCE" w:rsidP="00EA2C30">
      <w:pPr>
        <w:pStyle w:val="Bullet2"/>
        <w:numPr>
          <w:ilvl w:val="1"/>
          <w:numId w:val="14"/>
        </w:numPr>
        <w:ind w:left="851" w:hanging="284"/>
      </w:pPr>
      <w:r w:rsidRPr="0014515B">
        <w:t>rearrange furniture to limit staff congregation in staff communal areas.</w:t>
      </w:r>
    </w:p>
    <w:p w14:paraId="151493A0" w14:textId="77777777" w:rsidR="00BB2BCE" w:rsidRPr="0014515B" w:rsidRDefault="00BB2BCE" w:rsidP="007D2DA9">
      <w:pPr>
        <w:pStyle w:val="Bullet2"/>
        <w:rPr>
          <w:lang w:val="en-US"/>
        </w:rPr>
      </w:pPr>
      <w:r w:rsidRPr="0014515B">
        <w:rPr>
          <w:lang w:val="en-US"/>
        </w:rPr>
        <w:t>Direct interactions between staff to be conducted at a distance:</w:t>
      </w:r>
    </w:p>
    <w:p w14:paraId="51700BE9" w14:textId="77777777" w:rsidR="00BB2BCE" w:rsidRPr="000257D9" w:rsidRDefault="00BB2BCE" w:rsidP="000257D9">
      <w:pPr>
        <w:pStyle w:val="Bullet3"/>
      </w:pPr>
      <w:r w:rsidRPr="000257D9">
        <w:t>for example (but not limited to): during ward rounds, shift handovers and meal breaks</w:t>
      </w:r>
    </w:p>
    <w:p w14:paraId="5285B89E" w14:textId="668AAB9F" w:rsidR="00BB2BCE" w:rsidRPr="0014515B" w:rsidRDefault="00BB2BCE" w:rsidP="000257D9">
      <w:pPr>
        <w:pStyle w:val="Bullet3"/>
      </w:pPr>
      <w:r w:rsidRPr="000257D9">
        <w:t>for meal breaks, consider staggering break times to limit levels of staff congregation and encourage</w:t>
      </w:r>
      <w:r w:rsidRPr="0014515B">
        <w:t xml:space="preserve"> breaks outdoors when possible. </w:t>
      </w:r>
      <w:r w:rsidR="00A44660" w:rsidRPr="00403484">
        <w:t>Staff should wear masks</w:t>
      </w:r>
      <w:r w:rsidR="00A44660" w:rsidRPr="0014515B">
        <w:t>, and</w:t>
      </w:r>
      <w:r w:rsidR="00331D23" w:rsidRPr="0014515B">
        <w:t xml:space="preserve"> </w:t>
      </w:r>
      <w:r w:rsidRPr="0014515B">
        <w:t>minimise the time when masks are removed while eating and drinking in shared tea rooms.</w:t>
      </w:r>
    </w:p>
    <w:p w14:paraId="6F087078" w14:textId="5D8606D7" w:rsidR="00BB2BCE" w:rsidRPr="0014515B" w:rsidRDefault="00BB2BCE" w:rsidP="007D2DA9">
      <w:pPr>
        <w:pStyle w:val="Bullet2"/>
        <w:rPr>
          <w:lang w:val="en-US"/>
        </w:rPr>
      </w:pPr>
      <w:r w:rsidRPr="0014515B">
        <w:rPr>
          <w:lang w:val="en-US"/>
        </w:rPr>
        <w:t xml:space="preserve">Staff and </w:t>
      </w:r>
      <w:r w:rsidR="00816AAD">
        <w:rPr>
          <w:lang w:val="en-US"/>
        </w:rPr>
        <w:t>residents</w:t>
      </w:r>
      <w:r w:rsidRPr="0014515B">
        <w:rPr>
          <w:lang w:val="en-US"/>
        </w:rPr>
        <w:t xml:space="preserve"> to remain at least 1.5 meters apart except for the provision of direct care.</w:t>
      </w:r>
    </w:p>
    <w:p w14:paraId="31CF9B17" w14:textId="70E6E6AC" w:rsidR="00BB2BCE" w:rsidRPr="0014515B" w:rsidRDefault="00BB2BCE" w:rsidP="007D2DA9">
      <w:pPr>
        <w:pStyle w:val="Bullet2"/>
        <w:rPr>
          <w:lang w:val="en-US"/>
        </w:rPr>
      </w:pPr>
      <w:r w:rsidRPr="6B2561BA">
        <w:rPr>
          <w:lang w:val="en-US"/>
        </w:rPr>
        <w:t xml:space="preserve">In residential care settings, communal activities may still proceed if physical distancing is maintained. This may mean smaller groups </w:t>
      </w:r>
      <w:r w:rsidR="05853D02" w:rsidRPr="6B2561BA">
        <w:rPr>
          <w:lang w:val="en-US"/>
        </w:rPr>
        <w:t>are offered</w:t>
      </w:r>
      <w:r w:rsidRPr="6B2561BA">
        <w:rPr>
          <w:lang w:val="en-US"/>
        </w:rPr>
        <w:t xml:space="preserve"> more frequently.</w:t>
      </w:r>
    </w:p>
    <w:p w14:paraId="7300DA5A" w14:textId="652C549C" w:rsidR="00BB2BCE" w:rsidRDefault="00BB2BCE" w:rsidP="000257D9">
      <w:pPr>
        <w:pStyle w:val="Bodyafterbullets"/>
      </w:pPr>
      <w:r w:rsidRPr="0014515B">
        <w:t>All RCFs are recommended to designate specific workers</w:t>
      </w:r>
      <w:r w:rsidR="00E90194">
        <w:t xml:space="preserve">, for example, an IPC lead, </w:t>
      </w:r>
      <w:r w:rsidRPr="0014515B">
        <w:t xml:space="preserve">with the responsibility of reviewing IPC measures to ensure facilities remain </w:t>
      </w:r>
      <w:r w:rsidR="00926802" w:rsidRPr="0014515B">
        <w:t>up to date</w:t>
      </w:r>
      <w:r w:rsidRPr="0014515B">
        <w:t xml:space="preserve"> with current advice. Residential aged care facilities should be aware of requirements for their services.</w:t>
      </w:r>
    </w:p>
    <w:p w14:paraId="571D195E" w14:textId="5B89D876" w:rsidR="00BB2BCE" w:rsidRDefault="00BB2BCE" w:rsidP="00BB2BCE">
      <w:pPr>
        <w:pStyle w:val="Body"/>
      </w:pPr>
      <w:r w:rsidRPr="0014515B" w:rsidDel="002D20B7">
        <w:t>Additionally, learnings from previous outbreaks should be reviewed and improvements made where necessary.</w:t>
      </w:r>
    </w:p>
    <w:p w14:paraId="13C2FF0B" w14:textId="77777777" w:rsidR="00B40685" w:rsidRPr="000257D9" w:rsidDel="002D20B7" w:rsidRDefault="00B40685" w:rsidP="000257D9">
      <w:pPr>
        <w:pStyle w:val="Body"/>
      </w:pPr>
    </w:p>
    <w:tbl>
      <w:tblPr>
        <w:tblStyle w:val="TableGrid"/>
        <w:tblW w:w="9354" w:type="dxa"/>
        <w:shd w:val="clear" w:color="auto" w:fill="DBE5F1" w:themeFill="accent1" w:themeFillTint="33"/>
        <w:tblCellMar>
          <w:top w:w="57" w:type="dxa"/>
          <w:bottom w:w="57" w:type="dxa"/>
        </w:tblCellMar>
        <w:tblLook w:val="0600" w:firstRow="0" w:lastRow="0" w:firstColumn="0" w:lastColumn="0" w:noHBand="1" w:noVBand="1"/>
      </w:tblPr>
      <w:tblGrid>
        <w:gridCol w:w="9354"/>
      </w:tblGrid>
      <w:tr w:rsidR="00BB2BCE" w:rsidRPr="0014515B" w14:paraId="5E992CB9" w14:textId="77777777" w:rsidTr="000257D9">
        <w:tc>
          <w:tcPr>
            <w:tcW w:w="9354" w:type="dxa"/>
            <w:shd w:val="clear" w:color="auto" w:fill="DBE5F1" w:themeFill="accent1" w:themeFillTint="33"/>
          </w:tcPr>
          <w:p w14:paraId="1419A6AD" w14:textId="24DC801D" w:rsidR="00BB2BCE" w:rsidRDefault="00BB2BCE" w:rsidP="000257D9">
            <w:pPr>
              <w:pStyle w:val="Bullet1"/>
            </w:pPr>
            <w:r w:rsidRPr="0014515B">
              <w:t xml:space="preserve">Have you reviewed the </w:t>
            </w:r>
            <w:r w:rsidR="00063FB8">
              <w:t xml:space="preserve">department’s </w:t>
            </w:r>
            <w:hyperlink r:id="rId48" w:history="1">
              <w:r w:rsidR="00063FB8" w:rsidRPr="00063FB8">
                <w:rPr>
                  <w:rStyle w:val="Hyperlink"/>
                </w:rPr>
                <w:t>COVID-19 Infection Prevention and Control Guidelines</w:t>
              </w:r>
            </w:hyperlink>
            <w:r w:rsidRPr="009F2979">
              <w:t xml:space="preserve"> &lt;</w:t>
            </w:r>
            <w:r w:rsidRPr="0014515B">
              <w:t>https://www.health.vic.gov.au/covid-19-infection-control-guidelines&gt; for further information</w:t>
            </w:r>
            <w:r w:rsidR="009F2979">
              <w:t>?</w:t>
            </w:r>
          </w:p>
          <w:p w14:paraId="5C96F228" w14:textId="77777777" w:rsidR="001D763E" w:rsidRDefault="001D763E" w:rsidP="000257D9">
            <w:pPr>
              <w:pStyle w:val="Bullet1"/>
            </w:pPr>
            <w:r w:rsidRPr="0014515B">
              <w:t>Do you know where you will place residents or participants in different exposure or outbreak scenarios, considering the layout of your facility and the implications for staff and equipment?</w:t>
            </w:r>
          </w:p>
          <w:p w14:paraId="7C5B88B9" w14:textId="0CA5D7B3" w:rsidR="00851881" w:rsidRPr="0014515B" w:rsidRDefault="00B03F1C" w:rsidP="000257D9">
            <w:pPr>
              <w:pStyle w:val="Bullet1"/>
            </w:pPr>
            <w:r>
              <w:t>Do you have consistent signs across the facility</w:t>
            </w:r>
            <w:r w:rsidR="00675D6A">
              <w:t xml:space="preserve"> and policies that support physical distancing?</w:t>
            </w:r>
          </w:p>
        </w:tc>
      </w:tr>
    </w:tbl>
    <w:p w14:paraId="4D500976" w14:textId="77777777" w:rsidR="00417C90" w:rsidRDefault="00417C90" w:rsidP="000257D9">
      <w:pPr>
        <w:pStyle w:val="Body"/>
      </w:pPr>
      <w:bookmarkStart w:id="459" w:name="_Toc128756852"/>
      <w:bookmarkStart w:id="460" w:name="_Toc128757229"/>
      <w:bookmarkStart w:id="461" w:name="_Toc128757925"/>
      <w:bookmarkStart w:id="462" w:name="_Toc128997801"/>
      <w:bookmarkStart w:id="463" w:name="_Toc128998179"/>
      <w:bookmarkStart w:id="464" w:name="_Toc129001441"/>
      <w:bookmarkStart w:id="465" w:name="_Toc129007278"/>
      <w:bookmarkStart w:id="466" w:name="_Toc128756853"/>
      <w:bookmarkStart w:id="467" w:name="_Toc128757230"/>
      <w:bookmarkStart w:id="468" w:name="_Toc128757926"/>
      <w:bookmarkStart w:id="469" w:name="_Toc128997802"/>
      <w:bookmarkStart w:id="470" w:name="_Toc128998180"/>
      <w:bookmarkStart w:id="471" w:name="_Toc129001442"/>
      <w:bookmarkStart w:id="472" w:name="_Toc129007279"/>
      <w:bookmarkStart w:id="473" w:name="_Toc128756854"/>
      <w:bookmarkStart w:id="474" w:name="_Toc128757231"/>
      <w:bookmarkStart w:id="475" w:name="_Toc128757927"/>
      <w:bookmarkStart w:id="476" w:name="_Toc128997803"/>
      <w:bookmarkStart w:id="477" w:name="_Toc128998181"/>
      <w:bookmarkStart w:id="478" w:name="_Toc129001443"/>
      <w:bookmarkStart w:id="479" w:name="_Toc129007280"/>
      <w:bookmarkStart w:id="480" w:name="_Toc128756855"/>
      <w:bookmarkStart w:id="481" w:name="_Toc128757232"/>
      <w:bookmarkStart w:id="482" w:name="_Toc128757928"/>
      <w:bookmarkStart w:id="483" w:name="_Toc128997804"/>
      <w:bookmarkStart w:id="484" w:name="_Toc128998182"/>
      <w:bookmarkStart w:id="485" w:name="_Toc129001444"/>
      <w:bookmarkStart w:id="486" w:name="_Toc129007281"/>
      <w:bookmarkStart w:id="487" w:name="_Toc128756856"/>
      <w:bookmarkStart w:id="488" w:name="_Toc128757233"/>
      <w:bookmarkStart w:id="489" w:name="_Toc128757929"/>
      <w:bookmarkStart w:id="490" w:name="_Toc128997805"/>
      <w:bookmarkStart w:id="491" w:name="_Toc128998183"/>
      <w:bookmarkStart w:id="492" w:name="_Toc129001445"/>
      <w:bookmarkStart w:id="493" w:name="_Toc129007282"/>
      <w:bookmarkStart w:id="494" w:name="_Toc128756857"/>
      <w:bookmarkStart w:id="495" w:name="_Toc128757234"/>
      <w:bookmarkStart w:id="496" w:name="_Toc128757930"/>
      <w:bookmarkStart w:id="497" w:name="_Toc128997806"/>
      <w:bookmarkStart w:id="498" w:name="_Toc128998184"/>
      <w:bookmarkStart w:id="499" w:name="_Toc129001446"/>
      <w:bookmarkStart w:id="500" w:name="_Toc129007283"/>
      <w:bookmarkStart w:id="501" w:name="_Toc128756858"/>
      <w:bookmarkStart w:id="502" w:name="_Toc128757235"/>
      <w:bookmarkStart w:id="503" w:name="_Toc128757931"/>
      <w:bookmarkStart w:id="504" w:name="_Toc128997807"/>
      <w:bookmarkStart w:id="505" w:name="_Toc128998185"/>
      <w:bookmarkStart w:id="506" w:name="_Toc129001447"/>
      <w:bookmarkStart w:id="507" w:name="_Toc129007284"/>
      <w:bookmarkStart w:id="508" w:name="_Toc128756859"/>
      <w:bookmarkStart w:id="509" w:name="_Toc128757236"/>
      <w:bookmarkStart w:id="510" w:name="_Toc128757932"/>
      <w:bookmarkStart w:id="511" w:name="_Toc128997808"/>
      <w:bookmarkStart w:id="512" w:name="_Toc128998186"/>
      <w:bookmarkStart w:id="513" w:name="_Toc129001448"/>
      <w:bookmarkStart w:id="514" w:name="_Toc129007285"/>
      <w:bookmarkStart w:id="515" w:name="_Toc128756860"/>
      <w:bookmarkStart w:id="516" w:name="_Toc128757237"/>
      <w:bookmarkStart w:id="517" w:name="_Toc128757933"/>
      <w:bookmarkStart w:id="518" w:name="_Toc128997809"/>
      <w:bookmarkStart w:id="519" w:name="_Toc128998187"/>
      <w:bookmarkStart w:id="520" w:name="_Toc129001449"/>
      <w:bookmarkStart w:id="521" w:name="_Toc129007286"/>
      <w:bookmarkStart w:id="522" w:name="_Toc128756861"/>
      <w:bookmarkStart w:id="523" w:name="_Toc128757238"/>
      <w:bookmarkStart w:id="524" w:name="_Toc128757934"/>
      <w:bookmarkStart w:id="525" w:name="_Toc128997810"/>
      <w:bookmarkStart w:id="526" w:name="_Toc128998188"/>
      <w:bookmarkStart w:id="527" w:name="_Toc129001450"/>
      <w:bookmarkStart w:id="528" w:name="_Toc129007287"/>
      <w:bookmarkStart w:id="529" w:name="_Toc128756862"/>
      <w:bookmarkStart w:id="530" w:name="_Toc128757239"/>
      <w:bookmarkStart w:id="531" w:name="_Toc128757935"/>
      <w:bookmarkStart w:id="532" w:name="_Toc128997811"/>
      <w:bookmarkStart w:id="533" w:name="_Toc128998189"/>
      <w:bookmarkStart w:id="534" w:name="_Toc129001451"/>
      <w:bookmarkStart w:id="535" w:name="_Toc129007288"/>
      <w:bookmarkStart w:id="536" w:name="_Toc128756863"/>
      <w:bookmarkStart w:id="537" w:name="_Toc128757240"/>
      <w:bookmarkStart w:id="538" w:name="_Toc128757936"/>
      <w:bookmarkStart w:id="539" w:name="_Toc128997812"/>
      <w:bookmarkStart w:id="540" w:name="_Toc128998190"/>
      <w:bookmarkStart w:id="541" w:name="_Toc129001452"/>
      <w:bookmarkStart w:id="542" w:name="_Toc129007289"/>
      <w:bookmarkStart w:id="543" w:name="_Toc128756864"/>
      <w:bookmarkStart w:id="544" w:name="_Toc128757241"/>
      <w:bookmarkStart w:id="545" w:name="_Toc128757937"/>
      <w:bookmarkStart w:id="546" w:name="_Toc128997813"/>
      <w:bookmarkStart w:id="547" w:name="_Toc128998191"/>
      <w:bookmarkStart w:id="548" w:name="_Toc129001453"/>
      <w:bookmarkStart w:id="549" w:name="_Toc129007290"/>
      <w:bookmarkStart w:id="550" w:name="_Toc128756865"/>
      <w:bookmarkStart w:id="551" w:name="_Toc128757242"/>
      <w:bookmarkStart w:id="552" w:name="_Toc128757938"/>
      <w:bookmarkStart w:id="553" w:name="_Toc128997814"/>
      <w:bookmarkStart w:id="554" w:name="_Toc128998192"/>
      <w:bookmarkStart w:id="555" w:name="_Toc129001454"/>
      <w:bookmarkStart w:id="556" w:name="_Toc129007291"/>
      <w:bookmarkStart w:id="557" w:name="_Toc128756866"/>
      <w:bookmarkStart w:id="558" w:name="_Toc128757243"/>
      <w:bookmarkStart w:id="559" w:name="_Toc128757939"/>
      <w:bookmarkStart w:id="560" w:name="_Toc128997815"/>
      <w:bookmarkStart w:id="561" w:name="_Toc128998193"/>
      <w:bookmarkStart w:id="562" w:name="_Toc129001455"/>
      <w:bookmarkStart w:id="563" w:name="_Toc129007292"/>
      <w:bookmarkStart w:id="564" w:name="_Toc128756867"/>
      <w:bookmarkStart w:id="565" w:name="_Toc128757244"/>
      <w:bookmarkStart w:id="566" w:name="_Toc128757940"/>
      <w:bookmarkStart w:id="567" w:name="_Toc128997816"/>
      <w:bookmarkStart w:id="568" w:name="_Toc128998194"/>
      <w:bookmarkStart w:id="569" w:name="_Toc129001456"/>
      <w:bookmarkStart w:id="570" w:name="_Toc129007293"/>
      <w:bookmarkStart w:id="571" w:name="_Toc128756868"/>
      <w:bookmarkStart w:id="572" w:name="_Toc128757245"/>
      <w:bookmarkStart w:id="573" w:name="_Toc128757941"/>
      <w:bookmarkStart w:id="574" w:name="_Toc128997817"/>
      <w:bookmarkStart w:id="575" w:name="_Toc128998195"/>
      <w:bookmarkStart w:id="576" w:name="_Toc129001457"/>
      <w:bookmarkStart w:id="577" w:name="_Toc129007294"/>
      <w:bookmarkStart w:id="578" w:name="_Toc128756869"/>
      <w:bookmarkStart w:id="579" w:name="_Toc128757246"/>
      <w:bookmarkStart w:id="580" w:name="_Toc128757942"/>
      <w:bookmarkStart w:id="581" w:name="_Toc128997818"/>
      <w:bookmarkStart w:id="582" w:name="_Toc128998196"/>
      <w:bookmarkStart w:id="583" w:name="_Toc129001458"/>
      <w:bookmarkStart w:id="584" w:name="_Toc129007295"/>
      <w:bookmarkStart w:id="585" w:name="_Toc128756870"/>
      <w:bookmarkStart w:id="586" w:name="_Toc128757247"/>
      <w:bookmarkStart w:id="587" w:name="_Toc128757943"/>
      <w:bookmarkStart w:id="588" w:name="_Toc128997819"/>
      <w:bookmarkStart w:id="589" w:name="_Toc128998197"/>
      <w:bookmarkStart w:id="590" w:name="_Toc129001459"/>
      <w:bookmarkStart w:id="591" w:name="_Toc129007296"/>
      <w:bookmarkStart w:id="592" w:name="_Toc128756871"/>
      <w:bookmarkStart w:id="593" w:name="_Toc128757248"/>
      <w:bookmarkStart w:id="594" w:name="_Toc128757944"/>
      <w:bookmarkStart w:id="595" w:name="_Toc128997820"/>
      <w:bookmarkStart w:id="596" w:name="_Toc128998198"/>
      <w:bookmarkStart w:id="597" w:name="_Toc129001460"/>
      <w:bookmarkStart w:id="598" w:name="_Toc129007297"/>
      <w:bookmarkStart w:id="599" w:name="_Toc128756872"/>
      <w:bookmarkStart w:id="600" w:name="_Toc128757249"/>
      <w:bookmarkStart w:id="601" w:name="_Toc128757945"/>
      <w:bookmarkStart w:id="602" w:name="_Toc128997821"/>
      <w:bookmarkStart w:id="603" w:name="_Toc128998199"/>
      <w:bookmarkStart w:id="604" w:name="_Toc129001461"/>
      <w:bookmarkStart w:id="605" w:name="_Toc12900729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br w:type="page"/>
      </w:r>
    </w:p>
    <w:p w14:paraId="4961EF60" w14:textId="4CDB96F6" w:rsidR="009824FE" w:rsidRPr="0014515B" w:rsidRDefault="00BB2BCE" w:rsidP="000501AD">
      <w:pPr>
        <w:pStyle w:val="Heading1"/>
        <w:numPr>
          <w:ilvl w:val="0"/>
          <w:numId w:val="19"/>
        </w:numPr>
        <w:ind w:left="567"/>
      </w:pPr>
      <w:bookmarkStart w:id="606" w:name="_Toc163573603"/>
      <w:r w:rsidRPr="0014515B">
        <w:lastRenderedPageBreak/>
        <w:t>Understanding COVID-19 and influenza</w:t>
      </w:r>
      <w:bookmarkEnd w:id="606"/>
    </w:p>
    <w:p w14:paraId="4F33AB1D" w14:textId="5F594E93" w:rsidR="000F6C29" w:rsidRPr="0014515B" w:rsidRDefault="000F6C29" w:rsidP="000F6C29">
      <w:pPr>
        <w:pStyle w:val="Body"/>
      </w:pPr>
      <w:r>
        <w:t xml:space="preserve">In Australia, viral respiratory outbreaks commonly occur during the months of March through to </w:t>
      </w:r>
      <w:r w:rsidR="004112BA">
        <w:t>September but</w:t>
      </w:r>
      <w:r>
        <w:t xml:space="preserve"> can occur at any time throughout the </w:t>
      </w:r>
      <w:r w:rsidR="2EFB3F5C">
        <w:t>year.</w:t>
      </w:r>
    </w:p>
    <w:p w14:paraId="0C3857AC" w14:textId="460A798A" w:rsidR="000F6C29" w:rsidRPr="0014515B" w:rsidRDefault="000F6C29" w:rsidP="000F6C29">
      <w:pPr>
        <w:pStyle w:val="Body"/>
      </w:pPr>
      <w:r>
        <w:t>It can be difficult to tell the difference between a respiratory illness caused by COVID-19, influenza</w:t>
      </w:r>
      <w:r w:rsidR="00816AAD">
        <w:t xml:space="preserve">, </w:t>
      </w:r>
      <w:r w:rsidR="1CC97AF9">
        <w:t>RSV,</w:t>
      </w:r>
      <w:r>
        <w:t xml:space="preserve"> or other viruses based on symptoms alone. </w:t>
      </w:r>
      <w:r w:rsidR="0000515D">
        <w:t>S</w:t>
      </w:r>
      <w:r>
        <w:t>everity can vary from case to case, and from one season to the next. For example, severity can be affected by pre-existing illness, the type of strains circulating</w:t>
      </w:r>
      <w:r w:rsidR="0000515D">
        <w:t>,</w:t>
      </w:r>
      <w:r w:rsidR="00DA0DF5">
        <w:t xml:space="preserve"> </w:t>
      </w:r>
      <w:r>
        <w:t>vaccine coverage of the population</w:t>
      </w:r>
      <w:r w:rsidR="0000515D">
        <w:t xml:space="preserve"> and how well the vaccine matches the circulating strains</w:t>
      </w:r>
      <w:r>
        <w:t xml:space="preserve">. Undertaking testing to determine the cause of respiratory illnesses is important for surveillance of </w:t>
      </w:r>
      <w:r w:rsidR="0000515D">
        <w:t>respiratory virus</w:t>
      </w:r>
      <w:r w:rsidR="00DA0DF5">
        <w:t xml:space="preserve"> </w:t>
      </w:r>
      <w:r>
        <w:t>activity in the community, case-finding in outbreaks, and to ensure clinical diagnosis and appropriate treatment of respiratory illnesses.</w:t>
      </w:r>
    </w:p>
    <w:p w14:paraId="3A042382" w14:textId="20C85825" w:rsidR="000F6C29" w:rsidRPr="0014515B" w:rsidRDefault="000F6C29" w:rsidP="000F6C29">
      <w:pPr>
        <w:pStyle w:val="Heading2"/>
      </w:pPr>
      <w:bookmarkStart w:id="607" w:name="_Toc108533767"/>
      <w:bookmarkStart w:id="608" w:name="_Toc108597816"/>
      <w:bookmarkStart w:id="609" w:name="_Toc108603868"/>
      <w:bookmarkStart w:id="610" w:name="_Toc108611978"/>
      <w:bookmarkStart w:id="611" w:name="_Toc108613234"/>
      <w:bookmarkStart w:id="612" w:name="_Toc108613444"/>
      <w:bookmarkStart w:id="613" w:name="_Toc108623147"/>
      <w:bookmarkStart w:id="614" w:name="_Toc108623355"/>
      <w:bookmarkStart w:id="615" w:name="_Toc108623563"/>
      <w:bookmarkStart w:id="616" w:name="_Toc108623771"/>
      <w:bookmarkStart w:id="617" w:name="_Toc108186759"/>
      <w:bookmarkStart w:id="618" w:name="_Toc108693961"/>
      <w:bookmarkStart w:id="619" w:name="_Toc108704036"/>
      <w:bookmarkStart w:id="620" w:name="_Toc108709779"/>
      <w:bookmarkStart w:id="621" w:name="_Toc108533762"/>
      <w:bookmarkStart w:id="622" w:name="_Toc108597811"/>
      <w:bookmarkStart w:id="623" w:name="_Toc108603863"/>
      <w:bookmarkStart w:id="624" w:name="_Toc108611973"/>
      <w:bookmarkStart w:id="625" w:name="_Toc108613229"/>
      <w:bookmarkStart w:id="626" w:name="_Toc108613439"/>
      <w:bookmarkStart w:id="627" w:name="_Toc108623142"/>
      <w:bookmarkStart w:id="628" w:name="_Toc108623350"/>
      <w:bookmarkStart w:id="629" w:name="_Toc108623558"/>
      <w:bookmarkStart w:id="630" w:name="_Toc108623766"/>
      <w:bookmarkStart w:id="631" w:name="_Toc108186754"/>
      <w:bookmarkStart w:id="632" w:name="_Toc108693956"/>
      <w:bookmarkStart w:id="633" w:name="_Toc108704031"/>
      <w:bookmarkStart w:id="634" w:name="_Toc108709774"/>
      <w:bookmarkStart w:id="635" w:name="_Toc108533763"/>
      <w:bookmarkStart w:id="636" w:name="_Toc108597812"/>
      <w:bookmarkStart w:id="637" w:name="_Toc108603864"/>
      <w:bookmarkStart w:id="638" w:name="_Toc108611974"/>
      <w:bookmarkStart w:id="639" w:name="_Toc108613230"/>
      <w:bookmarkStart w:id="640" w:name="_Toc108613440"/>
      <w:bookmarkStart w:id="641" w:name="_Toc108623143"/>
      <w:bookmarkStart w:id="642" w:name="_Toc108623351"/>
      <w:bookmarkStart w:id="643" w:name="_Toc108623559"/>
      <w:bookmarkStart w:id="644" w:name="_Toc108623767"/>
      <w:bookmarkStart w:id="645" w:name="_Toc108186755"/>
      <w:bookmarkStart w:id="646" w:name="_Toc108693957"/>
      <w:bookmarkStart w:id="647" w:name="_Toc108704032"/>
      <w:bookmarkStart w:id="648" w:name="_Toc108709775"/>
      <w:bookmarkStart w:id="649" w:name="_Toc108533764"/>
      <w:bookmarkStart w:id="650" w:name="_Toc108597813"/>
      <w:bookmarkStart w:id="651" w:name="_Toc108603865"/>
      <w:bookmarkStart w:id="652" w:name="_Toc108611975"/>
      <w:bookmarkStart w:id="653" w:name="_Toc108613231"/>
      <w:bookmarkStart w:id="654" w:name="_Toc108613441"/>
      <w:bookmarkStart w:id="655" w:name="_Toc108623144"/>
      <w:bookmarkStart w:id="656" w:name="_Toc108623352"/>
      <w:bookmarkStart w:id="657" w:name="_Toc108623560"/>
      <w:bookmarkStart w:id="658" w:name="_Toc108623768"/>
      <w:bookmarkStart w:id="659" w:name="_Toc108186756"/>
      <w:bookmarkStart w:id="660" w:name="_Toc108693958"/>
      <w:bookmarkStart w:id="661" w:name="_Toc108704033"/>
      <w:bookmarkStart w:id="662" w:name="_Toc108709776"/>
      <w:bookmarkStart w:id="663" w:name="_Toc108533765"/>
      <w:bookmarkStart w:id="664" w:name="_Toc108597814"/>
      <w:bookmarkStart w:id="665" w:name="_Toc108603866"/>
      <w:bookmarkStart w:id="666" w:name="_Toc108611976"/>
      <w:bookmarkStart w:id="667" w:name="_Toc108613232"/>
      <w:bookmarkStart w:id="668" w:name="_Toc108613442"/>
      <w:bookmarkStart w:id="669" w:name="_Toc108623145"/>
      <w:bookmarkStart w:id="670" w:name="_Toc108623353"/>
      <w:bookmarkStart w:id="671" w:name="_Toc108623561"/>
      <w:bookmarkStart w:id="672" w:name="_Toc108623769"/>
      <w:bookmarkStart w:id="673" w:name="_Toc108186757"/>
      <w:bookmarkStart w:id="674" w:name="_Toc108693959"/>
      <w:bookmarkStart w:id="675" w:name="_Toc108704034"/>
      <w:bookmarkStart w:id="676" w:name="_Toc108709777"/>
      <w:bookmarkStart w:id="677" w:name="_Toc108533766"/>
      <w:bookmarkStart w:id="678" w:name="_Toc108597815"/>
      <w:bookmarkStart w:id="679" w:name="_Toc108603867"/>
      <w:bookmarkStart w:id="680" w:name="_Toc108611977"/>
      <w:bookmarkStart w:id="681" w:name="_Toc108613233"/>
      <w:bookmarkStart w:id="682" w:name="_Toc108613443"/>
      <w:bookmarkStart w:id="683" w:name="_Toc108623146"/>
      <w:bookmarkStart w:id="684" w:name="_Toc108623354"/>
      <w:bookmarkStart w:id="685" w:name="_Toc108623562"/>
      <w:bookmarkStart w:id="686" w:name="_Toc108623770"/>
      <w:bookmarkStart w:id="687" w:name="_Toc108186758"/>
      <w:bookmarkStart w:id="688" w:name="_Toc108693960"/>
      <w:bookmarkStart w:id="689" w:name="_Toc108704035"/>
      <w:bookmarkStart w:id="690" w:name="_Toc108709778"/>
      <w:bookmarkStart w:id="691" w:name="_Toc108533768"/>
      <w:bookmarkStart w:id="692" w:name="_Toc108597817"/>
      <w:bookmarkStart w:id="693" w:name="_Toc108603869"/>
      <w:bookmarkStart w:id="694" w:name="_Toc108611979"/>
      <w:bookmarkStart w:id="695" w:name="_Toc108613235"/>
      <w:bookmarkStart w:id="696" w:name="_Toc108613445"/>
      <w:bookmarkStart w:id="697" w:name="_Toc108623148"/>
      <w:bookmarkStart w:id="698" w:name="_Toc108623356"/>
      <w:bookmarkStart w:id="699" w:name="_Toc108623564"/>
      <w:bookmarkStart w:id="700" w:name="_Toc108623772"/>
      <w:bookmarkStart w:id="701" w:name="_Toc108186760"/>
      <w:bookmarkStart w:id="702" w:name="_Toc108693962"/>
      <w:bookmarkStart w:id="703" w:name="_Toc108704037"/>
      <w:bookmarkStart w:id="704" w:name="_Toc108709780"/>
      <w:bookmarkStart w:id="705" w:name="_Toc108533769"/>
      <w:bookmarkStart w:id="706" w:name="_Toc108597818"/>
      <w:bookmarkStart w:id="707" w:name="_Toc108603870"/>
      <w:bookmarkStart w:id="708" w:name="_Toc108611980"/>
      <w:bookmarkStart w:id="709" w:name="_Toc108613236"/>
      <w:bookmarkStart w:id="710" w:name="_Toc108613446"/>
      <w:bookmarkStart w:id="711" w:name="_Toc108623149"/>
      <w:bookmarkStart w:id="712" w:name="_Toc108623357"/>
      <w:bookmarkStart w:id="713" w:name="_Toc108623565"/>
      <w:bookmarkStart w:id="714" w:name="_Toc108623773"/>
      <w:bookmarkStart w:id="715" w:name="_Toc108186761"/>
      <w:bookmarkStart w:id="716" w:name="_Toc108693963"/>
      <w:bookmarkStart w:id="717" w:name="_Toc108704038"/>
      <w:bookmarkStart w:id="718" w:name="_Toc108709781"/>
      <w:bookmarkStart w:id="719" w:name="_Toc108533797"/>
      <w:bookmarkStart w:id="720" w:name="_Toc108597846"/>
      <w:bookmarkStart w:id="721" w:name="_Toc108603898"/>
      <w:bookmarkStart w:id="722" w:name="_Toc108612008"/>
      <w:bookmarkStart w:id="723" w:name="_Toc108613264"/>
      <w:bookmarkStart w:id="724" w:name="_Toc108613474"/>
      <w:bookmarkStart w:id="725" w:name="_Toc108623177"/>
      <w:bookmarkStart w:id="726" w:name="_Toc108623385"/>
      <w:bookmarkStart w:id="727" w:name="_Toc108623593"/>
      <w:bookmarkStart w:id="728" w:name="_Toc108623801"/>
      <w:bookmarkStart w:id="729" w:name="_Toc108186789"/>
      <w:bookmarkStart w:id="730" w:name="_Toc108693991"/>
      <w:bookmarkStart w:id="731" w:name="_Toc108704066"/>
      <w:bookmarkStart w:id="732" w:name="_Toc108709809"/>
      <w:bookmarkStart w:id="733" w:name="_Toc108533798"/>
      <w:bookmarkStart w:id="734" w:name="_Toc108597847"/>
      <w:bookmarkStart w:id="735" w:name="_Toc108603899"/>
      <w:bookmarkStart w:id="736" w:name="_Toc108612009"/>
      <w:bookmarkStart w:id="737" w:name="_Toc108613265"/>
      <w:bookmarkStart w:id="738" w:name="_Toc108613475"/>
      <w:bookmarkStart w:id="739" w:name="_Toc108623178"/>
      <w:bookmarkStart w:id="740" w:name="_Toc108623386"/>
      <w:bookmarkStart w:id="741" w:name="_Toc108623594"/>
      <w:bookmarkStart w:id="742" w:name="_Toc108623802"/>
      <w:bookmarkStart w:id="743" w:name="_Toc108186790"/>
      <w:bookmarkStart w:id="744" w:name="_Toc108693992"/>
      <w:bookmarkStart w:id="745" w:name="_Toc108704067"/>
      <w:bookmarkStart w:id="746" w:name="_Toc108709810"/>
      <w:bookmarkStart w:id="747" w:name="_Toc108533799"/>
      <w:bookmarkStart w:id="748" w:name="_Toc108597848"/>
      <w:bookmarkStart w:id="749" w:name="_Toc108603900"/>
      <w:bookmarkStart w:id="750" w:name="_Toc108612010"/>
      <w:bookmarkStart w:id="751" w:name="_Toc108613266"/>
      <w:bookmarkStart w:id="752" w:name="_Toc108613476"/>
      <w:bookmarkStart w:id="753" w:name="_Toc108623179"/>
      <w:bookmarkStart w:id="754" w:name="_Toc108623387"/>
      <w:bookmarkStart w:id="755" w:name="_Toc108186791"/>
      <w:bookmarkStart w:id="756" w:name="_Toc108533800"/>
      <w:bookmarkStart w:id="757" w:name="_Toc108597849"/>
      <w:bookmarkStart w:id="758" w:name="_Toc108603901"/>
      <w:bookmarkStart w:id="759" w:name="_Toc108612011"/>
      <w:bookmarkStart w:id="760" w:name="_Toc108613267"/>
      <w:bookmarkStart w:id="761" w:name="_Toc108613477"/>
      <w:bookmarkStart w:id="762" w:name="_Toc108623180"/>
      <w:bookmarkStart w:id="763" w:name="_Toc108623388"/>
      <w:bookmarkStart w:id="764" w:name="_Toc108623596"/>
      <w:bookmarkStart w:id="765" w:name="_Toc108623804"/>
      <w:bookmarkStart w:id="766" w:name="_Toc108186792"/>
      <w:bookmarkStart w:id="767" w:name="_Toc108693994"/>
      <w:bookmarkStart w:id="768" w:name="_Toc108704069"/>
      <w:bookmarkStart w:id="769" w:name="_Toc108709812"/>
      <w:bookmarkStart w:id="770" w:name="_Toc108533801"/>
      <w:bookmarkStart w:id="771" w:name="_Toc108597850"/>
      <w:bookmarkStart w:id="772" w:name="_Toc108603902"/>
      <w:bookmarkStart w:id="773" w:name="_Toc108612012"/>
      <w:bookmarkStart w:id="774" w:name="_Toc108613268"/>
      <w:bookmarkStart w:id="775" w:name="_Toc108613478"/>
      <w:bookmarkStart w:id="776" w:name="_Toc108623181"/>
      <w:bookmarkStart w:id="777" w:name="_Toc108623389"/>
      <w:bookmarkStart w:id="778" w:name="_Toc108623597"/>
      <w:bookmarkStart w:id="779" w:name="_Toc108623805"/>
      <w:bookmarkStart w:id="780" w:name="_Toc108186793"/>
      <w:bookmarkStart w:id="781" w:name="_Toc108693995"/>
      <w:bookmarkStart w:id="782" w:name="_Toc108704070"/>
      <w:bookmarkStart w:id="783" w:name="_Toc108709813"/>
      <w:bookmarkStart w:id="784" w:name="_Toc108533802"/>
      <w:bookmarkStart w:id="785" w:name="_Toc108597851"/>
      <w:bookmarkStart w:id="786" w:name="_Toc108603903"/>
      <w:bookmarkStart w:id="787" w:name="_Toc108612013"/>
      <w:bookmarkStart w:id="788" w:name="_Toc108613269"/>
      <w:bookmarkStart w:id="789" w:name="_Toc108613479"/>
      <w:bookmarkStart w:id="790" w:name="_Toc108623182"/>
      <w:bookmarkStart w:id="791" w:name="_Toc108623390"/>
      <w:bookmarkStart w:id="792" w:name="_Toc108623598"/>
      <w:bookmarkStart w:id="793" w:name="_Toc108623806"/>
      <w:bookmarkStart w:id="794" w:name="_Toc108186794"/>
      <w:bookmarkStart w:id="795" w:name="_Toc108693996"/>
      <w:bookmarkStart w:id="796" w:name="_Toc108704071"/>
      <w:bookmarkStart w:id="797" w:name="_Toc108709814"/>
      <w:bookmarkStart w:id="798" w:name="_Toc108533803"/>
      <w:bookmarkStart w:id="799" w:name="_Toc108597852"/>
      <w:bookmarkStart w:id="800" w:name="_Toc108603904"/>
      <w:bookmarkStart w:id="801" w:name="_Toc108612014"/>
      <w:bookmarkStart w:id="802" w:name="_Toc108613270"/>
      <w:bookmarkStart w:id="803" w:name="_Toc108613480"/>
      <w:bookmarkStart w:id="804" w:name="_Toc108623183"/>
      <w:bookmarkStart w:id="805" w:name="_Toc108623391"/>
      <w:bookmarkStart w:id="806" w:name="_Toc108623599"/>
      <w:bookmarkStart w:id="807" w:name="_Toc108623807"/>
      <w:bookmarkStart w:id="808" w:name="_Toc108186795"/>
      <w:bookmarkStart w:id="809" w:name="_Toc108693997"/>
      <w:bookmarkStart w:id="810" w:name="_Toc108704072"/>
      <w:bookmarkStart w:id="811" w:name="_Toc108709815"/>
      <w:bookmarkStart w:id="812" w:name="_Toc108533804"/>
      <w:bookmarkStart w:id="813" w:name="_Toc108597853"/>
      <w:bookmarkStart w:id="814" w:name="_Toc108603905"/>
      <w:bookmarkStart w:id="815" w:name="_Toc108612015"/>
      <w:bookmarkStart w:id="816" w:name="_Toc108613271"/>
      <w:bookmarkStart w:id="817" w:name="_Toc108613481"/>
      <w:bookmarkStart w:id="818" w:name="_Toc108623184"/>
      <w:bookmarkStart w:id="819" w:name="_Toc108623392"/>
      <w:bookmarkStart w:id="820" w:name="_Toc108623600"/>
      <w:bookmarkStart w:id="821" w:name="_Toc108623808"/>
      <w:bookmarkStart w:id="822" w:name="_Toc108186796"/>
      <w:bookmarkStart w:id="823" w:name="_Toc108693998"/>
      <w:bookmarkStart w:id="824" w:name="_Toc108704073"/>
      <w:bookmarkStart w:id="825" w:name="_Toc108709816"/>
      <w:bookmarkStart w:id="826" w:name="_Toc108533805"/>
      <w:bookmarkStart w:id="827" w:name="_Toc108597854"/>
      <w:bookmarkStart w:id="828" w:name="_Toc108603906"/>
      <w:bookmarkStart w:id="829" w:name="_Toc108612016"/>
      <w:bookmarkStart w:id="830" w:name="_Toc108613272"/>
      <w:bookmarkStart w:id="831" w:name="_Toc108613482"/>
      <w:bookmarkStart w:id="832" w:name="_Toc108623185"/>
      <w:bookmarkStart w:id="833" w:name="_Toc108623393"/>
      <w:bookmarkStart w:id="834" w:name="_Toc108623601"/>
      <w:bookmarkStart w:id="835" w:name="_Toc108623809"/>
      <w:bookmarkStart w:id="836" w:name="_Toc108186797"/>
      <w:bookmarkStart w:id="837" w:name="_Toc108693999"/>
      <w:bookmarkStart w:id="838" w:name="_Toc108704074"/>
      <w:bookmarkStart w:id="839" w:name="_Toc108709817"/>
      <w:bookmarkStart w:id="840" w:name="_Toc108533806"/>
      <w:bookmarkStart w:id="841" w:name="_Toc108597855"/>
      <w:bookmarkStart w:id="842" w:name="_Toc108603907"/>
      <w:bookmarkStart w:id="843" w:name="_Toc108612017"/>
      <w:bookmarkStart w:id="844" w:name="_Toc108613273"/>
      <w:bookmarkStart w:id="845" w:name="_Toc108613483"/>
      <w:bookmarkStart w:id="846" w:name="_Toc108623186"/>
      <w:bookmarkStart w:id="847" w:name="_Toc108623394"/>
      <w:bookmarkStart w:id="848" w:name="_Toc108623602"/>
      <w:bookmarkStart w:id="849" w:name="_Toc108623810"/>
      <w:bookmarkStart w:id="850" w:name="_Toc108186798"/>
      <w:bookmarkStart w:id="851" w:name="_Toc108694000"/>
      <w:bookmarkStart w:id="852" w:name="_Toc108704075"/>
      <w:bookmarkStart w:id="853" w:name="_Toc108709818"/>
      <w:bookmarkStart w:id="854" w:name="_Toc108533807"/>
      <w:bookmarkStart w:id="855" w:name="_Toc108597856"/>
      <w:bookmarkStart w:id="856" w:name="_Toc108603908"/>
      <w:bookmarkStart w:id="857" w:name="_Toc108612018"/>
      <w:bookmarkStart w:id="858" w:name="_Toc108613274"/>
      <w:bookmarkStart w:id="859" w:name="_Toc108613484"/>
      <w:bookmarkStart w:id="860" w:name="_Toc108623187"/>
      <w:bookmarkStart w:id="861" w:name="_Toc108623395"/>
      <w:bookmarkStart w:id="862" w:name="_Toc108623603"/>
      <w:bookmarkStart w:id="863" w:name="_Toc108623811"/>
      <w:bookmarkStart w:id="864" w:name="_Toc108186799"/>
      <w:bookmarkStart w:id="865" w:name="_Toc108694001"/>
      <w:bookmarkStart w:id="866" w:name="_Toc108704076"/>
      <w:bookmarkStart w:id="867" w:name="_Toc108709819"/>
      <w:bookmarkStart w:id="868" w:name="_Toc108533808"/>
      <w:bookmarkStart w:id="869" w:name="_Toc108597857"/>
      <w:bookmarkStart w:id="870" w:name="_Toc108603909"/>
      <w:bookmarkStart w:id="871" w:name="_Toc108612019"/>
      <w:bookmarkStart w:id="872" w:name="_Toc108613275"/>
      <w:bookmarkStart w:id="873" w:name="_Toc108613485"/>
      <w:bookmarkStart w:id="874" w:name="_Toc108623188"/>
      <w:bookmarkStart w:id="875" w:name="_Toc108623396"/>
      <w:bookmarkStart w:id="876" w:name="_Toc108186800"/>
      <w:bookmarkStart w:id="877" w:name="_Toc108533809"/>
      <w:bookmarkStart w:id="878" w:name="_Toc108597858"/>
      <w:bookmarkStart w:id="879" w:name="_Toc108603910"/>
      <w:bookmarkStart w:id="880" w:name="_Toc108612020"/>
      <w:bookmarkStart w:id="881" w:name="_Toc108613276"/>
      <w:bookmarkStart w:id="882" w:name="_Toc108613486"/>
      <w:bookmarkStart w:id="883" w:name="_Toc108623189"/>
      <w:bookmarkStart w:id="884" w:name="_Toc108623397"/>
      <w:bookmarkStart w:id="885" w:name="_Toc108623605"/>
      <w:bookmarkStart w:id="886" w:name="_Toc108623813"/>
      <w:bookmarkStart w:id="887" w:name="_Toc108186801"/>
      <w:bookmarkStart w:id="888" w:name="_Toc108694003"/>
      <w:bookmarkStart w:id="889" w:name="_Toc108704078"/>
      <w:bookmarkStart w:id="890" w:name="_Toc108709821"/>
      <w:bookmarkStart w:id="891" w:name="_Toc108533810"/>
      <w:bookmarkStart w:id="892" w:name="_Toc108597859"/>
      <w:bookmarkStart w:id="893" w:name="_Toc108603911"/>
      <w:bookmarkStart w:id="894" w:name="_Toc108612021"/>
      <w:bookmarkStart w:id="895" w:name="_Toc108613277"/>
      <w:bookmarkStart w:id="896" w:name="_Toc108613487"/>
      <w:bookmarkStart w:id="897" w:name="_Toc108623190"/>
      <w:bookmarkStart w:id="898" w:name="_Toc108623398"/>
      <w:bookmarkStart w:id="899" w:name="_Toc108623606"/>
      <w:bookmarkStart w:id="900" w:name="_Toc108623814"/>
      <w:bookmarkStart w:id="901" w:name="_Toc108186802"/>
      <w:bookmarkStart w:id="902" w:name="_Toc108694004"/>
      <w:bookmarkStart w:id="903" w:name="_Toc108704079"/>
      <w:bookmarkStart w:id="904" w:name="_Toc108709822"/>
      <w:bookmarkStart w:id="905" w:name="_Toc108533811"/>
      <w:bookmarkStart w:id="906" w:name="_Toc108597860"/>
      <w:bookmarkStart w:id="907" w:name="_Toc108603912"/>
      <w:bookmarkStart w:id="908" w:name="_Toc108612022"/>
      <w:bookmarkStart w:id="909" w:name="_Toc108613278"/>
      <w:bookmarkStart w:id="910" w:name="_Toc108613488"/>
      <w:bookmarkStart w:id="911" w:name="_Toc108623191"/>
      <w:bookmarkStart w:id="912" w:name="_Toc108623399"/>
      <w:bookmarkStart w:id="913" w:name="_Toc108623607"/>
      <w:bookmarkStart w:id="914" w:name="_Toc108623815"/>
      <w:bookmarkStart w:id="915" w:name="_Toc108186803"/>
      <w:bookmarkStart w:id="916" w:name="_Toc108694005"/>
      <w:bookmarkStart w:id="917" w:name="_Toc108704080"/>
      <w:bookmarkStart w:id="918" w:name="_Toc108709823"/>
      <w:bookmarkStart w:id="919" w:name="_Toc108533812"/>
      <w:bookmarkStart w:id="920" w:name="_Toc108597861"/>
      <w:bookmarkStart w:id="921" w:name="_Toc108603913"/>
      <w:bookmarkStart w:id="922" w:name="_Toc108612023"/>
      <w:bookmarkStart w:id="923" w:name="_Toc108613279"/>
      <w:bookmarkStart w:id="924" w:name="_Toc108613489"/>
      <w:bookmarkStart w:id="925" w:name="_Toc108623192"/>
      <w:bookmarkStart w:id="926" w:name="_Toc108623400"/>
      <w:bookmarkStart w:id="927" w:name="_Toc108623608"/>
      <w:bookmarkStart w:id="928" w:name="_Toc108623816"/>
      <w:bookmarkStart w:id="929" w:name="_Toc108186804"/>
      <w:bookmarkStart w:id="930" w:name="_Toc108694006"/>
      <w:bookmarkStart w:id="931" w:name="_Toc108704081"/>
      <w:bookmarkStart w:id="932" w:name="_Toc108709824"/>
      <w:bookmarkStart w:id="933" w:name="_Toc108533813"/>
      <w:bookmarkStart w:id="934" w:name="_Toc108597862"/>
      <w:bookmarkStart w:id="935" w:name="_Toc108603914"/>
      <w:bookmarkStart w:id="936" w:name="_Toc108612024"/>
      <w:bookmarkStart w:id="937" w:name="_Toc108613280"/>
      <w:bookmarkStart w:id="938" w:name="_Toc108613490"/>
      <w:bookmarkStart w:id="939" w:name="_Toc108623193"/>
      <w:bookmarkStart w:id="940" w:name="_Toc108623401"/>
      <w:bookmarkStart w:id="941" w:name="_Toc108623609"/>
      <w:bookmarkStart w:id="942" w:name="_Toc108623817"/>
      <w:bookmarkStart w:id="943" w:name="_Toc108186805"/>
      <w:bookmarkStart w:id="944" w:name="_Toc108694007"/>
      <w:bookmarkStart w:id="945" w:name="_Toc108704082"/>
      <w:bookmarkStart w:id="946" w:name="_Toc108709825"/>
      <w:bookmarkStart w:id="947" w:name="_Toc108623595"/>
      <w:bookmarkStart w:id="948" w:name="_Toc108623803"/>
      <w:bookmarkStart w:id="949" w:name="_Toc108693993"/>
      <w:bookmarkStart w:id="950" w:name="_Toc108704068"/>
      <w:bookmarkStart w:id="951" w:name="_Toc108709811"/>
      <w:bookmarkStart w:id="952" w:name="_Toc108093054"/>
      <w:bookmarkStart w:id="953" w:name="_Toc108623818"/>
      <w:bookmarkStart w:id="954" w:name="_Toc109729959"/>
      <w:bookmarkStart w:id="955" w:name="_Toc109729861"/>
      <w:bookmarkStart w:id="956" w:name="_Toc109730828"/>
      <w:bookmarkStart w:id="957" w:name="_Toc111121613"/>
      <w:bookmarkStart w:id="958" w:name="_Toc111638409"/>
      <w:bookmarkStart w:id="959" w:name="_Toc111708295"/>
      <w:bookmarkStart w:id="960" w:name="_Toc112144717"/>
      <w:bookmarkStart w:id="961" w:name="_Toc113443389"/>
      <w:bookmarkStart w:id="962" w:name="_Toc163573604"/>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r w:rsidRPr="0014515B">
        <w:t>C</w:t>
      </w:r>
      <w:bookmarkEnd w:id="947"/>
      <w:bookmarkEnd w:id="948"/>
      <w:bookmarkEnd w:id="949"/>
      <w:bookmarkEnd w:id="950"/>
      <w:bookmarkEnd w:id="951"/>
      <w:r w:rsidRPr="0014515B">
        <w:t>linical presentation of ARI</w:t>
      </w:r>
      <w:bookmarkEnd w:id="952"/>
      <w:bookmarkEnd w:id="953"/>
      <w:bookmarkEnd w:id="954"/>
      <w:bookmarkEnd w:id="955"/>
      <w:bookmarkEnd w:id="956"/>
      <w:bookmarkEnd w:id="957"/>
      <w:bookmarkEnd w:id="958"/>
      <w:bookmarkEnd w:id="959"/>
      <w:bookmarkEnd w:id="960"/>
      <w:bookmarkEnd w:id="961"/>
      <w:bookmarkEnd w:id="962"/>
    </w:p>
    <w:p w14:paraId="4BD30911" w14:textId="62195C3F" w:rsidR="000F6C29" w:rsidRPr="0014515B" w:rsidRDefault="0000515D" w:rsidP="000F6C29">
      <w:pPr>
        <w:pStyle w:val="Body"/>
      </w:pPr>
      <w:r>
        <w:t xml:space="preserve">Infections with </w:t>
      </w:r>
      <w:r w:rsidR="000F6C29">
        <w:t>COVID-19, influenza</w:t>
      </w:r>
      <w:r>
        <w:t xml:space="preserve">, </w:t>
      </w:r>
      <w:r w:rsidR="1B2C6841">
        <w:t>RSV,</w:t>
      </w:r>
      <w:r>
        <w:t xml:space="preserve"> and </w:t>
      </w:r>
      <w:r w:rsidR="000F6C29">
        <w:t xml:space="preserve">other respiratory </w:t>
      </w:r>
      <w:r w:rsidR="00881585">
        <w:t>viruses</w:t>
      </w:r>
      <w:r w:rsidR="000F6C29">
        <w:t xml:space="preserve"> have similar and overlapping clinical presentations. It is important that staff of RCFs are aware of signs and symptoms of acute respiratory illness to prompt early testing of unwell residents. </w:t>
      </w:r>
    </w:p>
    <w:p w14:paraId="7A0FBF04" w14:textId="40EA4740" w:rsidR="000F6C29" w:rsidRPr="0014515B" w:rsidRDefault="000F6C29" w:rsidP="000F6C29">
      <w:pPr>
        <w:pStyle w:val="Body"/>
      </w:pPr>
      <w:r w:rsidRPr="0014515B">
        <w:t xml:space="preserve">Symptoms and signs of </w:t>
      </w:r>
      <w:r w:rsidR="000257D9">
        <w:rPr>
          <w:b/>
          <w:bCs/>
        </w:rPr>
        <w:t>ARI</w:t>
      </w:r>
      <w:r w:rsidRPr="0014515B">
        <w:rPr>
          <w:b/>
          <w:bCs/>
        </w:rPr>
        <w:t xml:space="preserve"> </w:t>
      </w:r>
      <w:r w:rsidRPr="0014515B">
        <w:t>may include the following:</w:t>
      </w:r>
    </w:p>
    <w:p w14:paraId="49200798" w14:textId="7B724A1B" w:rsidR="000F6C29" w:rsidRPr="0014515B" w:rsidRDefault="007C1121" w:rsidP="007C1121">
      <w:pPr>
        <w:pStyle w:val="Bullet1"/>
      </w:pPr>
      <w:r>
        <w:t>r</w:t>
      </w:r>
      <w:r w:rsidR="000F6C29" w:rsidRPr="0014515B">
        <w:t>ecent onset of new or worsening respiratory symptoms: cough, difficulty breathing, sore throat, runny nose, blocked or stuffy nose</w:t>
      </w:r>
    </w:p>
    <w:p w14:paraId="6CD037E5" w14:textId="653588D0" w:rsidR="000F6C29" w:rsidRPr="0014515B" w:rsidRDefault="000F6C29" w:rsidP="007C1121">
      <w:pPr>
        <w:pStyle w:val="Bullet1"/>
      </w:pPr>
      <w:r w:rsidRPr="0014515B">
        <w:t xml:space="preserve">with or without other </w:t>
      </w:r>
      <w:r w:rsidR="00926802" w:rsidRPr="0014515B">
        <w:t>symptoms</w:t>
      </w:r>
      <w:r w:rsidR="00926802" w:rsidRPr="0014515B" w:rsidDel="00D61568">
        <w:t>:</w:t>
      </w:r>
    </w:p>
    <w:p w14:paraId="0AFD38B1" w14:textId="6A91F32E" w:rsidR="000F6C29" w:rsidRPr="0014515B" w:rsidRDefault="000F6C29" w:rsidP="007C1121">
      <w:pPr>
        <w:pStyle w:val="Bullet2"/>
      </w:pPr>
      <w:r w:rsidRPr="0014515B">
        <w:t>headache, muscle aches, fatigue (tiredness), nausea or vomiting and diarrhoea. Loss of smell and taste and loss of appetite can also occur</w:t>
      </w:r>
    </w:p>
    <w:p w14:paraId="2F749261" w14:textId="77777777" w:rsidR="000F6C29" w:rsidRPr="0014515B" w:rsidRDefault="000F6C29" w:rsidP="007C1121">
      <w:pPr>
        <w:pStyle w:val="Bullet2"/>
      </w:pPr>
      <w:r w:rsidRPr="0014515B">
        <w:t>fever (≥37.5°C) can occur, but this is less common in elderly people</w:t>
      </w:r>
    </w:p>
    <w:p w14:paraId="26204FEF" w14:textId="0E8CBFAF" w:rsidR="000F6C29" w:rsidRDefault="000F6C29" w:rsidP="007C1121">
      <w:pPr>
        <w:pStyle w:val="Bullet2"/>
      </w:pPr>
      <w:r w:rsidRPr="0014515B">
        <w:t xml:space="preserve">in elderly people, other symptoms may </w:t>
      </w:r>
      <w:r w:rsidR="00926802" w:rsidRPr="0014515B">
        <w:t>include</w:t>
      </w:r>
      <w:r w:rsidRPr="0014515B">
        <w:t xml:space="preserve"> confusion or an increase in confusion, change in usual behaviour, falling, or worsening of usual illnesses (</w:t>
      </w:r>
      <w:r w:rsidR="007C1121">
        <w:t>for example</w:t>
      </w:r>
      <w:r w:rsidRPr="0014515B">
        <w:t>, increasing difficulty breathing in someone with heart failure)</w:t>
      </w:r>
      <w:r w:rsidR="007C1121">
        <w:t>.</w:t>
      </w:r>
    </w:p>
    <w:p w14:paraId="40A73C3F" w14:textId="77777777" w:rsidR="000F6C29" w:rsidRPr="0014515B" w:rsidRDefault="000F6C29" w:rsidP="000F6C29">
      <w:pPr>
        <w:pStyle w:val="Heading2"/>
      </w:pPr>
      <w:bookmarkStart w:id="963" w:name="_Toc108093056"/>
      <w:bookmarkStart w:id="964" w:name="_Toc108623835"/>
      <w:bookmarkStart w:id="965" w:name="_Toc109729960"/>
      <w:bookmarkStart w:id="966" w:name="_Toc109729862"/>
      <w:bookmarkStart w:id="967" w:name="_Toc109730829"/>
      <w:bookmarkStart w:id="968" w:name="_Toc111121614"/>
      <w:bookmarkStart w:id="969" w:name="_Toc111638410"/>
      <w:bookmarkStart w:id="970" w:name="_Toc111708296"/>
      <w:bookmarkStart w:id="971" w:name="_Toc112144718"/>
      <w:bookmarkStart w:id="972" w:name="_Toc113443390"/>
      <w:bookmarkStart w:id="973" w:name="_Toc163573605"/>
      <w:r w:rsidRPr="0014515B">
        <w:t>People at increased risk for severe disease</w:t>
      </w:r>
      <w:bookmarkEnd w:id="963"/>
      <w:bookmarkEnd w:id="964"/>
      <w:bookmarkEnd w:id="965"/>
      <w:bookmarkEnd w:id="966"/>
      <w:bookmarkEnd w:id="967"/>
      <w:bookmarkEnd w:id="968"/>
      <w:bookmarkEnd w:id="969"/>
      <w:bookmarkEnd w:id="970"/>
      <w:bookmarkEnd w:id="971"/>
      <w:bookmarkEnd w:id="972"/>
      <w:bookmarkEnd w:id="973"/>
    </w:p>
    <w:p w14:paraId="6ABF0E1B" w14:textId="0363ABA6" w:rsidR="000F6C29" w:rsidRPr="0014515B" w:rsidRDefault="000F6C29" w:rsidP="001F5D58">
      <w:pPr>
        <w:pStyle w:val="Body"/>
      </w:pPr>
      <w:r w:rsidRPr="6B2561BA">
        <w:t xml:space="preserve">Several factors may contribute to an increased risk of developing severe disease or dying from a respiratory viral infection. There are </w:t>
      </w:r>
      <w:bookmarkStart w:id="974" w:name="_Int_yePEkpm8"/>
      <w:r w:rsidRPr="6B2561BA">
        <w:t>a number of</w:t>
      </w:r>
      <w:bookmarkEnd w:id="974"/>
      <w:r w:rsidRPr="6B2561BA">
        <w:t xml:space="preserve"> common risk factors</w:t>
      </w:r>
      <w:r w:rsidR="009F2979">
        <w:t>.</w:t>
      </w:r>
    </w:p>
    <w:p w14:paraId="3E8D1E1D" w14:textId="77777777" w:rsidR="000F6C29" w:rsidRPr="0014515B" w:rsidRDefault="000F6C29" w:rsidP="001F5D58">
      <w:pPr>
        <w:pStyle w:val="Body"/>
      </w:pPr>
      <w:r w:rsidRPr="0014515B">
        <w:t>People at increased risk for severe disease or death include:</w:t>
      </w:r>
    </w:p>
    <w:p w14:paraId="46C9257D" w14:textId="05EA7912" w:rsidR="000F6C29" w:rsidRPr="001F5D58" w:rsidRDefault="00837921" w:rsidP="001F5D58">
      <w:pPr>
        <w:pStyle w:val="Bullet1"/>
      </w:pPr>
      <w:r>
        <w:t>p</w:t>
      </w:r>
      <w:r w:rsidR="000F6C29" w:rsidRPr="001F5D58">
        <w:t>eople aged 65 years and above</w:t>
      </w:r>
    </w:p>
    <w:p w14:paraId="2DAFF5EB" w14:textId="3E4070C2" w:rsidR="000F6C29" w:rsidRPr="001F5D58" w:rsidRDefault="00837921" w:rsidP="001F5D58">
      <w:pPr>
        <w:pStyle w:val="Bullet1"/>
      </w:pPr>
      <w:r>
        <w:t>r</w:t>
      </w:r>
      <w:r w:rsidR="000F6C29" w:rsidRPr="001F5D58">
        <w:t>esidents of aged care or disability care facilities</w:t>
      </w:r>
    </w:p>
    <w:p w14:paraId="5279F31D" w14:textId="346A4F32" w:rsidR="000F6C29" w:rsidRPr="001F5D58" w:rsidRDefault="00837921" w:rsidP="001F5D58">
      <w:pPr>
        <w:pStyle w:val="Bullet1"/>
      </w:pPr>
      <w:r>
        <w:t>p</w:t>
      </w:r>
      <w:r w:rsidR="000F6C29" w:rsidRPr="001F5D58">
        <w:t>eople with severe immunocompromise</w:t>
      </w:r>
    </w:p>
    <w:p w14:paraId="2B7088F6" w14:textId="0AD617A4" w:rsidR="000F6C29" w:rsidRPr="001F5D58" w:rsidRDefault="000F6C29" w:rsidP="001F5D58">
      <w:pPr>
        <w:pStyle w:val="Bullet1"/>
      </w:pPr>
      <w:r w:rsidRPr="001F5D58">
        <w:t>Aboriginal and Torres Strait Islander people aged 50 years or above</w:t>
      </w:r>
    </w:p>
    <w:p w14:paraId="17430EA6" w14:textId="098E6B16" w:rsidR="000F6C29" w:rsidRPr="0014515B" w:rsidRDefault="00837921" w:rsidP="001F5D58">
      <w:pPr>
        <w:pStyle w:val="Bullet1"/>
      </w:pPr>
      <w:r>
        <w:t>i</w:t>
      </w:r>
      <w:r w:rsidR="000F6C29" w:rsidRPr="001F5D58">
        <w:t>ndividuals with chronic</w:t>
      </w:r>
      <w:r w:rsidR="000F6C29" w:rsidRPr="0014515B">
        <w:t xml:space="preserve"> or other medical conditions including:</w:t>
      </w:r>
    </w:p>
    <w:p w14:paraId="0295C283" w14:textId="77777777" w:rsidR="000F6C29" w:rsidRPr="0014515B" w:rsidRDefault="000F6C29" w:rsidP="001F5D58">
      <w:pPr>
        <w:pStyle w:val="Bullet2"/>
      </w:pPr>
      <w:r w:rsidRPr="0014515B">
        <w:t>asthma</w:t>
      </w:r>
    </w:p>
    <w:p w14:paraId="4653C4A7" w14:textId="77777777" w:rsidR="000F6C29" w:rsidRPr="0014515B" w:rsidRDefault="000F6C29" w:rsidP="001F5D58">
      <w:pPr>
        <w:pStyle w:val="Bullet2"/>
      </w:pPr>
      <w:r w:rsidRPr="0014515B">
        <w:t>neurological and neurodevelopmental conditions including disorders of the brain, spinal cord, peripheral nerve, and muscle such as cerebral palsy, epilepsy (seizure disorders), stroke, intellectual disability, moderate to severe developmental delay, muscular dystrophy, or spinal cord injury</w:t>
      </w:r>
    </w:p>
    <w:p w14:paraId="16AC02D4" w14:textId="77777777" w:rsidR="000F6C29" w:rsidRPr="0014515B" w:rsidRDefault="000F6C29" w:rsidP="001F5D58">
      <w:pPr>
        <w:pStyle w:val="Bullet2"/>
      </w:pPr>
      <w:r w:rsidRPr="0014515B">
        <w:t>chronic lung disease (such as chronic obstructive pulmonary disease)</w:t>
      </w:r>
    </w:p>
    <w:p w14:paraId="5FF5466C" w14:textId="77777777" w:rsidR="000F6C29" w:rsidRPr="0014515B" w:rsidRDefault="000F6C29" w:rsidP="001F5D58">
      <w:pPr>
        <w:pStyle w:val="Bullet2"/>
      </w:pPr>
      <w:r w:rsidRPr="0014515B">
        <w:t>heart disease (such as congestive heart failure and coronary artery disease)</w:t>
      </w:r>
    </w:p>
    <w:p w14:paraId="5F9B7B0B" w14:textId="77777777" w:rsidR="000F6C29" w:rsidRPr="0014515B" w:rsidRDefault="000F6C29" w:rsidP="001F5D58">
      <w:pPr>
        <w:pStyle w:val="Bullet2"/>
      </w:pPr>
      <w:r w:rsidRPr="0014515B">
        <w:lastRenderedPageBreak/>
        <w:t>blood disorders (such as sickle cell disease)</w:t>
      </w:r>
    </w:p>
    <w:p w14:paraId="6ACC3EB8" w14:textId="77777777" w:rsidR="000F6C29" w:rsidRPr="0014515B" w:rsidRDefault="000F6C29" w:rsidP="001F5D58">
      <w:pPr>
        <w:pStyle w:val="Bullet2"/>
      </w:pPr>
      <w:r w:rsidRPr="0014515B">
        <w:t>endocrine disorders (such as diabetes mellitus)</w:t>
      </w:r>
    </w:p>
    <w:p w14:paraId="388EFDFF" w14:textId="77777777" w:rsidR="000F6C29" w:rsidRPr="0014515B" w:rsidRDefault="000F6C29" w:rsidP="001F5D58">
      <w:pPr>
        <w:pStyle w:val="Bullet2"/>
      </w:pPr>
      <w:r w:rsidRPr="0014515B">
        <w:t>kidney disorders</w:t>
      </w:r>
    </w:p>
    <w:p w14:paraId="60B301DE" w14:textId="77777777" w:rsidR="000F6C29" w:rsidRPr="0014515B" w:rsidRDefault="000F6C29" w:rsidP="001F5D58">
      <w:pPr>
        <w:pStyle w:val="Bullet2"/>
      </w:pPr>
      <w:r w:rsidRPr="0014515B">
        <w:t>liver disorders</w:t>
      </w:r>
    </w:p>
    <w:p w14:paraId="4E5B8082" w14:textId="77777777" w:rsidR="000F6C29" w:rsidRPr="0014515B" w:rsidRDefault="000F6C29" w:rsidP="001F5D58">
      <w:pPr>
        <w:pStyle w:val="Bullet2"/>
      </w:pPr>
      <w:r w:rsidRPr="0014515B">
        <w:t>metabolic disorders (such as inherited metabolic disorders and mitochondrial disorders)</w:t>
      </w:r>
    </w:p>
    <w:p w14:paraId="275DD36B" w14:textId="5EF3BCC5" w:rsidR="000F6C29" w:rsidRPr="0014515B" w:rsidRDefault="000F6C29" w:rsidP="001F5D58">
      <w:pPr>
        <w:pStyle w:val="Bullet2"/>
      </w:pPr>
      <w:r w:rsidRPr="0014515B">
        <w:t>immunosuppression due to disease (such as</w:t>
      </w:r>
      <w:r w:rsidR="00DC14C8">
        <w:t>,</w:t>
      </w:r>
      <w:r w:rsidRPr="0014515B">
        <w:t xml:space="preserve"> HIV or AIDS, cancer) or medications (such as</w:t>
      </w:r>
      <w:r w:rsidR="00DC14C8">
        <w:t>,</w:t>
      </w:r>
      <w:r w:rsidRPr="0014515B">
        <w:t xml:space="preserve"> chemotherapy, some anti-rheumatic medications, and long-term steroid treatment)</w:t>
      </w:r>
    </w:p>
    <w:p w14:paraId="558481B1" w14:textId="76BC4AD9" w:rsidR="000F6C29" w:rsidRPr="0014515B" w:rsidRDefault="000F6C29" w:rsidP="001F5D58">
      <w:pPr>
        <w:pStyle w:val="Bullet2"/>
      </w:pPr>
      <w:r w:rsidRPr="0014515B">
        <w:t>morbid obesity (</w:t>
      </w:r>
      <w:r w:rsidR="0048107E">
        <w:t>Body Mass Index</w:t>
      </w:r>
      <w:r w:rsidR="0048107E" w:rsidRPr="0014515B">
        <w:t xml:space="preserve"> </w:t>
      </w:r>
      <w:r w:rsidRPr="0014515B">
        <w:t>≥ 40 kg/m2)</w:t>
      </w:r>
    </w:p>
    <w:p w14:paraId="57704AA0" w14:textId="3090568D" w:rsidR="00266809" w:rsidRDefault="000F6C29" w:rsidP="001F5D58">
      <w:pPr>
        <w:pStyle w:val="Bullet2"/>
      </w:pPr>
      <w:r w:rsidRPr="0014515B">
        <w:t>severe underweight (</w:t>
      </w:r>
      <w:r w:rsidR="0048107E">
        <w:t>Body Mass Index</w:t>
      </w:r>
      <w:r w:rsidR="0048107E" w:rsidRPr="0014515B">
        <w:t xml:space="preserve"> </w:t>
      </w:r>
      <w:r w:rsidRPr="0014515B">
        <w:t>&lt; 16.5 kg/m2)</w:t>
      </w:r>
      <w:r w:rsidR="00DC14C8">
        <w:t>.</w:t>
      </w:r>
    </w:p>
    <w:p w14:paraId="29F421AD" w14:textId="77777777" w:rsidR="00266809" w:rsidRDefault="00266809">
      <w:pPr>
        <w:spacing w:after="0" w:line="240" w:lineRule="auto"/>
        <w:rPr>
          <w:rFonts w:eastAsia="Times"/>
        </w:rPr>
      </w:pPr>
      <w:r>
        <w:br w:type="page"/>
      </w:r>
    </w:p>
    <w:p w14:paraId="3932384D" w14:textId="6D4EBC40" w:rsidR="009824FE" w:rsidRPr="0014515B" w:rsidRDefault="000F6C29" w:rsidP="00EA2C30">
      <w:pPr>
        <w:pStyle w:val="Heading1"/>
        <w:numPr>
          <w:ilvl w:val="0"/>
          <w:numId w:val="20"/>
        </w:numPr>
      </w:pPr>
      <w:bookmarkStart w:id="975" w:name="_Toc129007302"/>
      <w:bookmarkStart w:id="976" w:name="_Toc128756876"/>
      <w:bookmarkStart w:id="977" w:name="_Toc128757253"/>
      <w:bookmarkStart w:id="978" w:name="_Toc128757949"/>
      <w:bookmarkStart w:id="979" w:name="_Toc128997825"/>
      <w:bookmarkStart w:id="980" w:name="_Toc128998203"/>
      <w:bookmarkStart w:id="981" w:name="_Toc129001465"/>
      <w:bookmarkStart w:id="982" w:name="_Toc129007303"/>
      <w:bookmarkStart w:id="983" w:name="_Toc128756877"/>
      <w:bookmarkStart w:id="984" w:name="_Toc128757254"/>
      <w:bookmarkStart w:id="985" w:name="_Toc128757950"/>
      <w:bookmarkStart w:id="986" w:name="_Toc128997826"/>
      <w:bookmarkStart w:id="987" w:name="_Toc128998204"/>
      <w:bookmarkStart w:id="988" w:name="_Toc129001466"/>
      <w:bookmarkStart w:id="989" w:name="_Toc129007304"/>
      <w:bookmarkStart w:id="990" w:name="_Toc128756878"/>
      <w:bookmarkStart w:id="991" w:name="_Toc128757255"/>
      <w:bookmarkStart w:id="992" w:name="_Toc128757951"/>
      <w:bookmarkStart w:id="993" w:name="_Toc128997827"/>
      <w:bookmarkStart w:id="994" w:name="_Toc128998205"/>
      <w:bookmarkStart w:id="995" w:name="_Toc129001467"/>
      <w:bookmarkStart w:id="996" w:name="_Toc129007305"/>
      <w:bookmarkStart w:id="997" w:name="_Toc128756879"/>
      <w:bookmarkStart w:id="998" w:name="_Toc128757256"/>
      <w:bookmarkStart w:id="999" w:name="_Toc128757952"/>
      <w:bookmarkStart w:id="1000" w:name="_Toc128997828"/>
      <w:bookmarkStart w:id="1001" w:name="_Toc128998206"/>
      <w:bookmarkStart w:id="1002" w:name="_Toc129001468"/>
      <w:bookmarkStart w:id="1003" w:name="_Toc129007306"/>
      <w:bookmarkStart w:id="1004" w:name="_Toc128756880"/>
      <w:bookmarkStart w:id="1005" w:name="_Toc128757257"/>
      <w:bookmarkStart w:id="1006" w:name="_Toc128757953"/>
      <w:bookmarkStart w:id="1007" w:name="_Toc128997829"/>
      <w:bookmarkStart w:id="1008" w:name="_Toc128998207"/>
      <w:bookmarkStart w:id="1009" w:name="_Toc129001469"/>
      <w:bookmarkStart w:id="1010" w:name="_Toc129007307"/>
      <w:bookmarkStart w:id="1011" w:name="_Toc128756881"/>
      <w:bookmarkStart w:id="1012" w:name="_Toc128757258"/>
      <w:bookmarkStart w:id="1013" w:name="_Toc128757954"/>
      <w:bookmarkStart w:id="1014" w:name="_Toc128997830"/>
      <w:bookmarkStart w:id="1015" w:name="_Toc128998208"/>
      <w:bookmarkStart w:id="1016" w:name="_Toc129001470"/>
      <w:bookmarkStart w:id="1017" w:name="_Toc129007308"/>
      <w:bookmarkStart w:id="1018" w:name="_Toc128756882"/>
      <w:bookmarkStart w:id="1019" w:name="_Toc128757259"/>
      <w:bookmarkStart w:id="1020" w:name="_Toc128757955"/>
      <w:bookmarkStart w:id="1021" w:name="_Toc128997831"/>
      <w:bookmarkStart w:id="1022" w:name="_Toc128998209"/>
      <w:bookmarkStart w:id="1023" w:name="_Toc129001471"/>
      <w:bookmarkStart w:id="1024" w:name="_Toc129007309"/>
      <w:bookmarkStart w:id="1025" w:name="_Toc128756883"/>
      <w:bookmarkStart w:id="1026" w:name="_Toc128757260"/>
      <w:bookmarkStart w:id="1027" w:name="_Toc128757956"/>
      <w:bookmarkStart w:id="1028" w:name="_Toc128997832"/>
      <w:bookmarkStart w:id="1029" w:name="_Toc128998210"/>
      <w:bookmarkStart w:id="1030" w:name="_Toc129001472"/>
      <w:bookmarkStart w:id="1031" w:name="_Toc129007310"/>
      <w:bookmarkStart w:id="1032" w:name="_Toc128756884"/>
      <w:bookmarkStart w:id="1033" w:name="_Toc128757261"/>
      <w:bookmarkStart w:id="1034" w:name="_Toc128757957"/>
      <w:bookmarkStart w:id="1035" w:name="_Toc128997833"/>
      <w:bookmarkStart w:id="1036" w:name="_Toc128998211"/>
      <w:bookmarkStart w:id="1037" w:name="_Toc129001473"/>
      <w:bookmarkStart w:id="1038" w:name="_Toc129007311"/>
      <w:bookmarkStart w:id="1039" w:name="_Toc128756885"/>
      <w:bookmarkStart w:id="1040" w:name="_Toc128757262"/>
      <w:bookmarkStart w:id="1041" w:name="_Toc128757958"/>
      <w:bookmarkStart w:id="1042" w:name="_Toc128997834"/>
      <w:bookmarkStart w:id="1043" w:name="_Toc128998212"/>
      <w:bookmarkStart w:id="1044" w:name="_Toc129001474"/>
      <w:bookmarkStart w:id="1045" w:name="_Toc129007312"/>
      <w:bookmarkStart w:id="1046" w:name="_Toc128756886"/>
      <w:bookmarkStart w:id="1047" w:name="_Toc128757263"/>
      <w:bookmarkStart w:id="1048" w:name="_Toc128757959"/>
      <w:bookmarkStart w:id="1049" w:name="_Toc128997835"/>
      <w:bookmarkStart w:id="1050" w:name="_Toc128998213"/>
      <w:bookmarkStart w:id="1051" w:name="_Toc129001475"/>
      <w:bookmarkStart w:id="1052" w:name="_Toc129007313"/>
      <w:bookmarkStart w:id="1053" w:name="_Toc128756887"/>
      <w:bookmarkStart w:id="1054" w:name="_Toc128757264"/>
      <w:bookmarkStart w:id="1055" w:name="_Toc128757960"/>
      <w:bookmarkStart w:id="1056" w:name="_Toc128997836"/>
      <w:bookmarkStart w:id="1057" w:name="_Toc128998214"/>
      <w:bookmarkStart w:id="1058" w:name="_Toc129001476"/>
      <w:bookmarkStart w:id="1059" w:name="_Toc129007314"/>
      <w:bookmarkStart w:id="1060" w:name="_Toc128756888"/>
      <w:bookmarkStart w:id="1061" w:name="_Toc128757265"/>
      <w:bookmarkStart w:id="1062" w:name="_Toc128757961"/>
      <w:bookmarkStart w:id="1063" w:name="_Toc128997837"/>
      <w:bookmarkStart w:id="1064" w:name="_Toc128998215"/>
      <w:bookmarkStart w:id="1065" w:name="_Toc129001477"/>
      <w:bookmarkStart w:id="1066" w:name="_Toc129007315"/>
      <w:bookmarkStart w:id="1067" w:name="_Toc128756889"/>
      <w:bookmarkStart w:id="1068" w:name="_Toc128757266"/>
      <w:bookmarkStart w:id="1069" w:name="_Toc128757962"/>
      <w:bookmarkStart w:id="1070" w:name="_Toc128997838"/>
      <w:bookmarkStart w:id="1071" w:name="_Toc128998216"/>
      <w:bookmarkStart w:id="1072" w:name="_Toc129001478"/>
      <w:bookmarkStart w:id="1073" w:name="_Toc129007316"/>
      <w:bookmarkStart w:id="1074" w:name="_Toc128756890"/>
      <w:bookmarkStart w:id="1075" w:name="_Toc128757267"/>
      <w:bookmarkStart w:id="1076" w:name="_Toc128757963"/>
      <w:bookmarkStart w:id="1077" w:name="_Toc128997839"/>
      <w:bookmarkStart w:id="1078" w:name="_Toc128998217"/>
      <w:bookmarkStart w:id="1079" w:name="_Toc129001479"/>
      <w:bookmarkStart w:id="1080" w:name="_Toc129007317"/>
      <w:bookmarkStart w:id="1081" w:name="_Toc128756891"/>
      <w:bookmarkStart w:id="1082" w:name="_Toc128757268"/>
      <w:bookmarkStart w:id="1083" w:name="_Toc128757964"/>
      <w:bookmarkStart w:id="1084" w:name="_Toc128997840"/>
      <w:bookmarkStart w:id="1085" w:name="_Toc128998218"/>
      <w:bookmarkStart w:id="1086" w:name="_Toc129001480"/>
      <w:bookmarkStart w:id="1087" w:name="_Toc129007318"/>
      <w:bookmarkStart w:id="1088" w:name="_Toc128756892"/>
      <w:bookmarkStart w:id="1089" w:name="_Toc128757269"/>
      <w:bookmarkStart w:id="1090" w:name="_Toc128757965"/>
      <w:bookmarkStart w:id="1091" w:name="_Toc128997841"/>
      <w:bookmarkStart w:id="1092" w:name="_Toc128998219"/>
      <w:bookmarkStart w:id="1093" w:name="_Toc129001481"/>
      <w:bookmarkStart w:id="1094" w:name="_Toc129007319"/>
      <w:bookmarkStart w:id="1095" w:name="_Toc128756893"/>
      <w:bookmarkStart w:id="1096" w:name="_Toc128757270"/>
      <w:bookmarkStart w:id="1097" w:name="_Toc128757966"/>
      <w:bookmarkStart w:id="1098" w:name="_Toc128997842"/>
      <w:bookmarkStart w:id="1099" w:name="_Toc128998220"/>
      <w:bookmarkStart w:id="1100" w:name="_Toc129001482"/>
      <w:bookmarkStart w:id="1101" w:name="_Toc129007320"/>
      <w:bookmarkStart w:id="1102" w:name="_Toc128756894"/>
      <w:bookmarkStart w:id="1103" w:name="_Toc128757271"/>
      <w:bookmarkStart w:id="1104" w:name="_Toc128757967"/>
      <w:bookmarkStart w:id="1105" w:name="_Toc128997843"/>
      <w:bookmarkStart w:id="1106" w:name="_Toc128998221"/>
      <w:bookmarkStart w:id="1107" w:name="_Toc129001483"/>
      <w:bookmarkStart w:id="1108" w:name="_Toc129007321"/>
      <w:bookmarkStart w:id="1109" w:name="_Toc128756895"/>
      <w:bookmarkStart w:id="1110" w:name="_Toc128757272"/>
      <w:bookmarkStart w:id="1111" w:name="_Toc128757968"/>
      <w:bookmarkStart w:id="1112" w:name="_Toc128997844"/>
      <w:bookmarkStart w:id="1113" w:name="_Toc128998222"/>
      <w:bookmarkStart w:id="1114" w:name="_Toc129001484"/>
      <w:bookmarkStart w:id="1115" w:name="_Toc129007322"/>
      <w:bookmarkStart w:id="1116" w:name="_Toc128756896"/>
      <w:bookmarkStart w:id="1117" w:name="_Toc128757273"/>
      <w:bookmarkStart w:id="1118" w:name="_Toc128757969"/>
      <w:bookmarkStart w:id="1119" w:name="_Toc128997845"/>
      <w:bookmarkStart w:id="1120" w:name="_Toc128998223"/>
      <w:bookmarkStart w:id="1121" w:name="_Toc129001485"/>
      <w:bookmarkStart w:id="1122" w:name="_Toc129007323"/>
      <w:bookmarkStart w:id="1123" w:name="_Case,_contact,_exposure,"/>
      <w:bookmarkStart w:id="1124" w:name="_Toc163573606"/>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lastRenderedPageBreak/>
        <w:t xml:space="preserve">Case, contact, </w:t>
      </w:r>
      <w:r w:rsidR="6817EB06">
        <w:t>exposure,</w:t>
      </w:r>
      <w:r>
        <w:t xml:space="preserve"> and outbreak definitions</w:t>
      </w:r>
      <w:bookmarkEnd w:id="1124"/>
    </w:p>
    <w:tbl>
      <w:tblPr>
        <w:tblStyle w:val="TableGrid"/>
        <w:tblW w:w="9638" w:type="dxa"/>
        <w:tblLayout w:type="fixed"/>
        <w:tblLook w:val="04A0" w:firstRow="1" w:lastRow="0" w:firstColumn="1" w:lastColumn="0" w:noHBand="0" w:noVBand="1"/>
      </w:tblPr>
      <w:tblGrid>
        <w:gridCol w:w="2268"/>
        <w:gridCol w:w="7370"/>
      </w:tblGrid>
      <w:tr w:rsidR="00233299" w:rsidRPr="0014515B" w14:paraId="731B84CD" w14:textId="77777777" w:rsidTr="00971DE6">
        <w:tc>
          <w:tcPr>
            <w:tcW w:w="2268" w:type="dxa"/>
            <w:shd w:val="clear" w:color="auto" w:fill="DBE5F1" w:themeFill="accent1" w:themeFillTint="33"/>
          </w:tcPr>
          <w:p w14:paraId="557F3822" w14:textId="274AD898" w:rsidR="00233299" w:rsidRPr="0014515B" w:rsidRDefault="00233299" w:rsidP="00A930EA">
            <w:pPr>
              <w:pStyle w:val="Tablecolhead"/>
            </w:pPr>
            <w:r w:rsidRPr="0014515B">
              <w:rPr>
                <w:rFonts w:eastAsia="Arial"/>
              </w:rPr>
              <w:t xml:space="preserve">Case </w:t>
            </w:r>
            <w:r w:rsidR="001A6896" w:rsidRPr="0014515B">
              <w:rPr>
                <w:rFonts w:eastAsia="Arial"/>
              </w:rPr>
              <w:t>d</w:t>
            </w:r>
            <w:r w:rsidRPr="0014515B">
              <w:rPr>
                <w:rFonts w:eastAsia="Arial"/>
              </w:rPr>
              <w:t>efinition</w:t>
            </w:r>
          </w:p>
        </w:tc>
        <w:tc>
          <w:tcPr>
            <w:tcW w:w="7370" w:type="dxa"/>
            <w:shd w:val="clear" w:color="auto" w:fill="DBE5F1" w:themeFill="accent1" w:themeFillTint="33"/>
          </w:tcPr>
          <w:p w14:paraId="0C996099" w14:textId="7D64086C" w:rsidR="00233299" w:rsidRPr="0014515B" w:rsidRDefault="002F42E9" w:rsidP="00A930EA">
            <w:pPr>
              <w:pStyle w:val="Tablecolhead"/>
            </w:pPr>
            <w:r w:rsidRPr="0014515B">
              <w:rPr>
                <w:rFonts w:eastAsia="Arial"/>
                <w:bCs/>
              </w:rPr>
              <w:t>Description</w:t>
            </w:r>
          </w:p>
        </w:tc>
      </w:tr>
      <w:tr w:rsidR="00233299" w:rsidRPr="0014515B" w14:paraId="0BA856DF" w14:textId="77777777" w:rsidTr="00A930EA">
        <w:tc>
          <w:tcPr>
            <w:tcW w:w="2268" w:type="dxa"/>
          </w:tcPr>
          <w:p w14:paraId="01C2A7A9" w14:textId="5B7DF7DD" w:rsidR="00233299" w:rsidRPr="00675D6A" w:rsidRDefault="00233299" w:rsidP="00BB6DF5">
            <w:pPr>
              <w:pStyle w:val="Tabletext"/>
              <w:rPr>
                <w:rFonts w:eastAsia="Arial"/>
              </w:rPr>
            </w:pPr>
            <w:r w:rsidRPr="00675D6A">
              <w:rPr>
                <w:rFonts w:eastAsia="Arial"/>
              </w:rPr>
              <w:t>ARI</w:t>
            </w:r>
            <w:r w:rsidR="00266809">
              <w:rPr>
                <w:rFonts w:eastAsia="Arial"/>
              </w:rPr>
              <w:t xml:space="preserve"> case</w:t>
            </w:r>
          </w:p>
        </w:tc>
        <w:tc>
          <w:tcPr>
            <w:tcW w:w="7370" w:type="dxa"/>
          </w:tcPr>
          <w:p w14:paraId="23A6A330" w14:textId="77777777" w:rsidR="00233299" w:rsidRPr="00675D6A" w:rsidRDefault="00233299" w:rsidP="00BB6DF5">
            <w:pPr>
              <w:pStyle w:val="Tabletext"/>
              <w:rPr>
                <w:rFonts w:eastAsia="Arial"/>
              </w:rPr>
            </w:pPr>
            <w:r w:rsidRPr="00675D6A">
              <w:rPr>
                <w:rFonts w:eastAsia="Arial"/>
              </w:rPr>
              <w:t>Recent onset of new or worsening cough, runny nose, or breathing difficulty or sore throat with or without the following symptoms:</w:t>
            </w:r>
          </w:p>
          <w:p w14:paraId="4ACF2309" w14:textId="77777777" w:rsidR="00233299" w:rsidRPr="00675D6A" w:rsidRDefault="00233299" w:rsidP="00EA2C30">
            <w:pPr>
              <w:pStyle w:val="Bullet1"/>
              <w:numPr>
                <w:ilvl w:val="0"/>
                <w:numId w:val="15"/>
              </w:numPr>
              <w:spacing w:after="80"/>
              <w:rPr>
                <w:rFonts w:cs="Arial"/>
              </w:rPr>
            </w:pPr>
            <w:r w:rsidRPr="00675D6A">
              <w:rPr>
                <w:rFonts w:cs="Arial"/>
              </w:rPr>
              <w:t>Headache, muscle aches, fatigue, nausea, vomiting, diarrhoea, loss of smell and taste, loss of appetite</w:t>
            </w:r>
          </w:p>
          <w:p w14:paraId="077FDC67" w14:textId="77777777" w:rsidR="00233299" w:rsidRPr="00675D6A" w:rsidRDefault="00233299" w:rsidP="00EA2C30">
            <w:pPr>
              <w:pStyle w:val="Bullet1"/>
              <w:numPr>
                <w:ilvl w:val="0"/>
                <w:numId w:val="15"/>
              </w:numPr>
              <w:spacing w:after="80"/>
              <w:rPr>
                <w:rFonts w:cs="Arial"/>
              </w:rPr>
            </w:pPr>
            <w:r w:rsidRPr="00675D6A">
              <w:rPr>
                <w:rFonts w:cs="Arial"/>
              </w:rPr>
              <w:t>Fever (≥37.5°C) can occur (less common in the elderly)</w:t>
            </w:r>
          </w:p>
          <w:p w14:paraId="4F36FD82" w14:textId="77777777" w:rsidR="00233299" w:rsidRPr="00675D6A" w:rsidRDefault="00233299" w:rsidP="00EA2C30">
            <w:pPr>
              <w:pStyle w:val="Bullet1"/>
              <w:numPr>
                <w:ilvl w:val="0"/>
                <w:numId w:val="15"/>
              </w:numPr>
              <w:spacing w:after="80"/>
              <w:rPr>
                <w:rFonts w:cs="Arial"/>
              </w:rPr>
            </w:pPr>
            <w:r w:rsidRPr="00675D6A">
              <w:rPr>
                <w:rFonts w:cs="Arial"/>
              </w:rPr>
              <w:t>In the elderly, other symptoms to consider include new onset or increase in confusion, change in baseline behaviour, falling, or exacerbation of underlying illness</w:t>
            </w:r>
          </w:p>
        </w:tc>
      </w:tr>
      <w:tr w:rsidR="00233299" w:rsidRPr="0014515B" w14:paraId="031FB800" w14:textId="77777777" w:rsidTr="00A930EA">
        <w:tc>
          <w:tcPr>
            <w:tcW w:w="2268" w:type="dxa"/>
          </w:tcPr>
          <w:p w14:paraId="5419590A" w14:textId="77777777" w:rsidR="00233299" w:rsidRPr="00675D6A" w:rsidRDefault="00233299" w:rsidP="00BB6DF5">
            <w:pPr>
              <w:pStyle w:val="Tabletext"/>
            </w:pPr>
            <w:r w:rsidRPr="00675D6A">
              <w:rPr>
                <w:rFonts w:eastAsia="Arial"/>
              </w:rPr>
              <w:t>Confirmed influenza case</w:t>
            </w:r>
          </w:p>
        </w:tc>
        <w:tc>
          <w:tcPr>
            <w:tcW w:w="7370" w:type="dxa"/>
          </w:tcPr>
          <w:p w14:paraId="6B79BF07" w14:textId="77777777" w:rsidR="00233299" w:rsidRPr="00675D6A" w:rsidRDefault="00233299" w:rsidP="00BB6DF5">
            <w:pPr>
              <w:pStyle w:val="Tabletext"/>
              <w:rPr>
                <w:rFonts w:eastAsia="Arial"/>
              </w:rPr>
            </w:pPr>
            <w:r w:rsidRPr="00675D6A">
              <w:rPr>
                <w:rFonts w:eastAsia="Arial"/>
              </w:rPr>
              <w:t xml:space="preserve">A </w:t>
            </w:r>
            <w:r w:rsidRPr="00675D6A">
              <w:rPr>
                <w:rFonts w:eastAsia="Arial"/>
                <w:b/>
                <w:bCs/>
              </w:rPr>
              <w:t>confirmed case</w:t>
            </w:r>
            <w:r w:rsidRPr="00675D6A">
              <w:rPr>
                <w:rFonts w:eastAsia="Arial"/>
              </w:rPr>
              <w:t xml:space="preserve"> of influenza requires laboratory definitive evidence:</w:t>
            </w:r>
          </w:p>
          <w:p w14:paraId="38A26D0C" w14:textId="082039FF" w:rsidR="00233299" w:rsidRPr="00675D6A" w:rsidRDefault="00233299" w:rsidP="00403484">
            <w:pPr>
              <w:pStyle w:val="Bullet1"/>
              <w:rPr>
                <w:rFonts w:eastAsia="Arial"/>
              </w:rPr>
            </w:pPr>
            <w:r w:rsidRPr="00675D6A">
              <w:t>Detection of influenza virus by nucleic acid testing from appropriate respiratory tract specimen</w:t>
            </w:r>
          </w:p>
          <w:p w14:paraId="4A3E48CA" w14:textId="77777777" w:rsidR="00233299" w:rsidRPr="00675D6A" w:rsidRDefault="00233299" w:rsidP="00403484">
            <w:pPr>
              <w:pStyle w:val="Bullet1"/>
              <w:numPr>
                <w:ilvl w:val="0"/>
                <w:numId w:val="0"/>
              </w:numPr>
              <w:ind w:left="284"/>
              <w:rPr>
                <w:rFonts w:eastAsia="Arial"/>
                <w:b/>
              </w:rPr>
            </w:pPr>
            <w:r w:rsidRPr="00675D6A">
              <w:rPr>
                <w:rFonts w:eastAsia="Arial"/>
                <w:b/>
              </w:rPr>
              <w:t>OR</w:t>
            </w:r>
          </w:p>
          <w:p w14:paraId="527B48A5" w14:textId="77777777" w:rsidR="00233299" w:rsidRPr="00675D6A" w:rsidRDefault="00233299" w:rsidP="00403484">
            <w:pPr>
              <w:pStyle w:val="Bullet1"/>
              <w:rPr>
                <w:rFonts w:eastAsia="Arial"/>
                <w:szCs w:val="21"/>
              </w:rPr>
            </w:pPr>
            <w:r w:rsidRPr="00675D6A">
              <w:rPr>
                <w:rFonts w:eastAsia="Arial"/>
                <w:szCs w:val="21"/>
              </w:rPr>
              <w:t>Isolation of influenza virus by culture from appropriate respiratory tract specimen</w:t>
            </w:r>
          </w:p>
          <w:p w14:paraId="5E9EC4EC" w14:textId="77777777" w:rsidR="00233299" w:rsidRPr="00403484" w:rsidRDefault="00233299" w:rsidP="00403484">
            <w:pPr>
              <w:pStyle w:val="Body"/>
              <w:ind w:left="284"/>
              <w:rPr>
                <w:b/>
                <w:bCs/>
              </w:rPr>
            </w:pPr>
            <w:r w:rsidRPr="00403484">
              <w:rPr>
                <w:b/>
                <w:bCs/>
              </w:rPr>
              <w:t>OR</w:t>
            </w:r>
          </w:p>
          <w:p w14:paraId="0BF5698E" w14:textId="77777777" w:rsidR="00233299" w:rsidRPr="00675D6A" w:rsidRDefault="00233299" w:rsidP="00403484">
            <w:pPr>
              <w:pStyle w:val="Bullet1"/>
              <w:rPr>
                <w:rFonts w:eastAsia="Arial"/>
                <w:szCs w:val="21"/>
              </w:rPr>
            </w:pPr>
            <w:r w:rsidRPr="00675D6A">
              <w:t>Laboratory detection of influenza virus antigen from appropriate respiratory tract specimen</w:t>
            </w:r>
          </w:p>
          <w:p w14:paraId="60DF1B90" w14:textId="77777777" w:rsidR="00233299" w:rsidRPr="00675D6A" w:rsidRDefault="00233299" w:rsidP="00403484">
            <w:pPr>
              <w:pStyle w:val="Bullet1"/>
              <w:numPr>
                <w:ilvl w:val="0"/>
                <w:numId w:val="0"/>
              </w:numPr>
              <w:ind w:left="284"/>
              <w:rPr>
                <w:rFonts w:eastAsia="Arial"/>
                <w:b/>
                <w:bCs/>
                <w:szCs w:val="21"/>
              </w:rPr>
            </w:pPr>
            <w:r w:rsidRPr="00675D6A">
              <w:rPr>
                <w:rFonts w:eastAsia="Arial"/>
                <w:b/>
                <w:bCs/>
                <w:szCs w:val="21"/>
              </w:rPr>
              <w:t>OR</w:t>
            </w:r>
          </w:p>
          <w:p w14:paraId="6A315F3E" w14:textId="7CC512D3" w:rsidR="00675D6A" w:rsidRPr="00266809" w:rsidRDefault="00233299" w:rsidP="00403484">
            <w:pPr>
              <w:pStyle w:val="Bullet1"/>
              <w:rPr>
                <w:rFonts w:cs="Arial"/>
              </w:rPr>
            </w:pPr>
            <w:r w:rsidRPr="00675D6A">
              <w:t>IgG seroconversion or a significant increase in antibody level or a fourfold or greater rise in titre to influenza virus</w:t>
            </w:r>
          </w:p>
        </w:tc>
      </w:tr>
      <w:tr w:rsidR="00233299" w:rsidRPr="0014515B" w14:paraId="081C9164" w14:textId="77777777" w:rsidTr="00A930EA">
        <w:tc>
          <w:tcPr>
            <w:tcW w:w="2268" w:type="dxa"/>
          </w:tcPr>
          <w:p w14:paraId="72E28FBE" w14:textId="77777777" w:rsidR="00233299" w:rsidRPr="00675D6A" w:rsidRDefault="00233299" w:rsidP="00BB6DF5">
            <w:pPr>
              <w:pStyle w:val="Tabletext"/>
            </w:pPr>
            <w:r w:rsidRPr="00675D6A">
              <w:rPr>
                <w:rFonts w:eastAsia="Arial"/>
              </w:rPr>
              <w:t>Confirmed COVID-19 case</w:t>
            </w:r>
          </w:p>
        </w:tc>
        <w:tc>
          <w:tcPr>
            <w:tcW w:w="7370" w:type="dxa"/>
          </w:tcPr>
          <w:p w14:paraId="78B1719F" w14:textId="77777777" w:rsidR="00233299" w:rsidRPr="00675D6A" w:rsidRDefault="00233299" w:rsidP="00BB6DF5">
            <w:pPr>
              <w:pStyle w:val="Tabletext"/>
            </w:pPr>
            <w:r w:rsidRPr="00675D6A">
              <w:rPr>
                <w:rFonts w:eastAsia="Arial"/>
              </w:rPr>
              <w:t xml:space="preserve">A </w:t>
            </w:r>
            <w:r w:rsidRPr="00675D6A">
              <w:rPr>
                <w:rFonts w:eastAsia="Arial"/>
                <w:b/>
                <w:bCs/>
              </w:rPr>
              <w:t>confirmed case</w:t>
            </w:r>
            <w:r w:rsidRPr="00675D6A">
              <w:rPr>
                <w:rFonts w:eastAsia="Arial"/>
              </w:rPr>
              <w:t xml:space="preserve"> of COVID-19 requires laboratory definitive evidence:</w:t>
            </w:r>
          </w:p>
          <w:p w14:paraId="4A60CC6F" w14:textId="77777777" w:rsidR="00233299" w:rsidRPr="00675D6A" w:rsidRDefault="00233299" w:rsidP="00403484">
            <w:pPr>
              <w:pStyle w:val="Bullet1"/>
            </w:pPr>
            <w:r w:rsidRPr="00675D6A">
              <w:t>Detection of SARS-CoV-2 by nucleic acid amplification testing (NAAT)</w:t>
            </w:r>
          </w:p>
          <w:p w14:paraId="7E8F98E9" w14:textId="77777777" w:rsidR="00233299" w:rsidRPr="00403484" w:rsidRDefault="00233299" w:rsidP="00403484">
            <w:pPr>
              <w:pStyle w:val="Bullet1"/>
              <w:numPr>
                <w:ilvl w:val="0"/>
                <w:numId w:val="0"/>
              </w:numPr>
              <w:ind w:left="284"/>
              <w:rPr>
                <w:b/>
                <w:bCs/>
              </w:rPr>
            </w:pPr>
            <w:r w:rsidRPr="00403484">
              <w:rPr>
                <w:b/>
                <w:bCs/>
              </w:rPr>
              <w:t>OR</w:t>
            </w:r>
          </w:p>
          <w:p w14:paraId="65EA13A2" w14:textId="77777777" w:rsidR="00233299" w:rsidRPr="00675D6A" w:rsidRDefault="00233299" w:rsidP="00403484">
            <w:pPr>
              <w:pStyle w:val="Bullet1"/>
            </w:pPr>
            <w:r w:rsidRPr="00675D6A">
              <w:t>Isolation of SARS-CoV-2 in cell culture, with confirmation using a NAAT</w:t>
            </w:r>
          </w:p>
          <w:p w14:paraId="60002AC1" w14:textId="575D9EA9" w:rsidR="00233299" w:rsidRPr="00403484" w:rsidRDefault="00233299" w:rsidP="00403484">
            <w:pPr>
              <w:pStyle w:val="Bullet1"/>
              <w:numPr>
                <w:ilvl w:val="0"/>
                <w:numId w:val="0"/>
              </w:numPr>
              <w:ind w:left="284"/>
              <w:rPr>
                <w:b/>
                <w:bCs/>
              </w:rPr>
            </w:pPr>
            <w:r w:rsidRPr="00403484">
              <w:rPr>
                <w:b/>
                <w:bCs/>
              </w:rPr>
              <w:t>OR</w:t>
            </w:r>
          </w:p>
          <w:p w14:paraId="01752674" w14:textId="77777777" w:rsidR="00233299" w:rsidRPr="00675D6A" w:rsidRDefault="00233299" w:rsidP="00403484">
            <w:pPr>
              <w:pStyle w:val="Bullet1"/>
            </w:pPr>
            <w:r w:rsidRPr="00675D6A">
              <w:t>SARS-CoV-2 IgG seroconversion or a four-fold or greater increase in SARS-CoV-2 antibodies of any immunoglobulin subclass including ‘total’ assays in acute and convalescent sera, in the absence of vaccination</w:t>
            </w:r>
          </w:p>
          <w:p w14:paraId="0650D8AE" w14:textId="77777777" w:rsidR="00233299" w:rsidRPr="00675D6A" w:rsidRDefault="00233299" w:rsidP="00403484">
            <w:pPr>
              <w:pStyle w:val="Bullet1"/>
              <w:numPr>
                <w:ilvl w:val="0"/>
                <w:numId w:val="0"/>
              </w:numPr>
              <w:ind w:left="284"/>
              <w:rPr>
                <w:b/>
              </w:rPr>
            </w:pPr>
            <w:r w:rsidRPr="00675D6A">
              <w:rPr>
                <w:rFonts w:eastAsia="Arial"/>
                <w:b/>
                <w:color w:val="000000" w:themeColor="text1"/>
                <w:sz w:val="20"/>
              </w:rPr>
              <w:t>AND</w:t>
            </w:r>
          </w:p>
          <w:p w14:paraId="669548F3" w14:textId="0D09A4B3" w:rsidR="00233299" w:rsidRPr="00675D6A" w:rsidRDefault="00233299" w:rsidP="00403484">
            <w:pPr>
              <w:pStyle w:val="Bullet1"/>
            </w:pPr>
            <w:r w:rsidRPr="00675D6A">
              <w:t xml:space="preserve">Has NOT been determined to be an historic case, nor false positive NAAT result, nor recently recovered confirmed case </w:t>
            </w:r>
            <w:r w:rsidR="00F87667" w:rsidRPr="00403484">
              <w:rPr>
                <w:color w:val="000000" w:themeColor="text1"/>
              </w:rPr>
              <w:t>who had a positive test and was diagnosed with COVID-19 with</w:t>
            </w:r>
            <w:r w:rsidR="00F87667" w:rsidRPr="00403484">
              <w:t>in the last 5 weeks</w:t>
            </w:r>
          </w:p>
        </w:tc>
      </w:tr>
      <w:tr w:rsidR="00233299" w:rsidRPr="0014515B" w14:paraId="51CA0CEA" w14:textId="77777777" w:rsidTr="00A930EA">
        <w:tc>
          <w:tcPr>
            <w:tcW w:w="2268" w:type="dxa"/>
          </w:tcPr>
          <w:p w14:paraId="4B026E43" w14:textId="77777777" w:rsidR="00233299" w:rsidRPr="00675D6A" w:rsidRDefault="00233299" w:rsidP="00BB6DF5">
            <w:pPr>
              <w:pStyle w:val="Tabletext"/>
            </w:pPr>
            <w:r w:rsidRPr="00675D6A">
              <w:rPr>
                <w:rFonts w:eastAsia="Arial"/>
              </w:rPr>
              <w:t>Probable COVID-19 case</w:t>
            </w:r>
          </w:p>
        </w:tc>
        <w:tc>
          <w:tcPr>
            <w:tcW w:w="7370" w:type="dxa"/>
          </w:tcPr>
          <w:p w14:paraId="374CDE60" w14:textId="77777777" w:rsidR="00233299" w:rsidRPr="00675D6A" w:rsidRDefault="00233299" w:rsidP="00BB6DF5">
            <w:pPr>
              <w:pStyle w:val="Tabletext"/>
            </w:pPr>
            <w:r w:rsidRPr="00675D6A">
              <w:t xml:space="preserve">A </w:t>
            </w:r>
            <w:r w:rsidRPr="00675D6A">
              <w:rPr>
                <w:b/>
                <w:bCs/>
              </w:rPr>
              <w:t>probable case</w:t>
            </w:r>
            <w:r w:rsidRPr="00675D6A">
              <w:t xml:space="preserve"> of COVID-19 requires laboratory suggestive evidence: </w:t>
            </w:r>
          </w:p>
          <w:p w14:paraId="1AFBE125" w14:textId="0A9AC410" w:rsidR="00233299" w:rsidRPr="00675D6A" w:rsidRDefault="00233299" w:rsidP="00403484">
            <w:pPr>
              <w:pStyle w:val="Bullet1"/>
            </w:pPr>
            <w:r w:rsidRPr="00675D6A">
              <w:t xml:space="preserve">Detection of SARS-CoV-2 by </w:t>
            </w:r>
            <w:r w:rsidR="00F50D64">
              <w:t>RAT</w:t>
            </w:r>
          </w:p>
          <w:p w14:paraId="4BF8FADE" w14:textId="77777777" w:rsidR="00233299" w:rsidRPr="00675D6A" w:rsidRDefault="00233299" w:rsidP="00403484">
            <w:pPr>
              <w:pStyle w:val="Body"/>
              <w:ind w:left="284"/>
              <w:rPr>
                <w:b/>
              </w:rPr>
            </w:pPr>
            <w:r w:rsidRPr="00675D6A">
              <w:rPr>
                <w:b/>
                <w:sz w:val="20"/>
              </w:rPr>
              <w:t>AND</w:t>
            </w:r>
          </w:p>
          <w:p w14:paraId="4019C6FD" w14:textId="1AA6E005" w:rsidR="00233299" w:rsidRDefault="00233299" w:rsidP="00986FA1">
            <w:pPr>
              <w:pStyle w:val="Bullet1"/>
            </w:pPr>
            <w:r w:rsidRPr="00675D6A">
              <w:t xml:space="preserve">Has NOT been determined to be an historic case, nor recently recovered case </w:t>
            </w:r>
            <w:r w:rsidR="002F4A06" w:rsidRPr="00403484">
              <w:t>who had a positive test and was diagnosed with COVID-19 within the last 5 weeks</w:t>
            </w:r>
          </w:p>
          <w:p w14:paraId="29BCF9DB" w14:textId="3036C469" w:rsidR="00266809" w:rsidRPr="00675D6A" w:rsidRDefault="00266809" w:rsidP="00403484">
            <w:pPr>
              <w:pStyle w:val="Bullet1"/>
              <w:numPr>
                <w:ilvl w:val="0"/>
                <w:numId w:val="0"/>
              </w:numPr>
              <w:ind w:left="284"/>
            </w:pPr>
          </w:p>
        </w:tc>
      </w:tr>
      <w:tr w:rsidR="00233299" w:rsidRPr="0014515B" w14:paraId="5261ADDF" w14:textId="77777777" w:rsidTr="00A930EA">
        <w:tc>
          <w:tcPr>
            <w:tcW w:w="2268" w:type="dxa"/>
          </w:tcPr>
          <w:p w14:paraId="4F5E5C5A" w14:textId="77777777" w:rsidR="00233299" w:rsidRPr="00675D6A" w:rsidRDefault="00233299" w:rsidP="00BB6DF5">
            <w:pPr>
              <w:pStyle w:val="Tabletext"/>
              <w:rPr>
                <w:rFonts w:eastAsia="Arial"/>
              </w:rPr>
            </w:pPr>
            <w:r w:rsidRPr="00675D6A">
              <w:rPr>
                <w:rFonts w:eastAsia="Arial"/>
              </w:rPr>
              <w:lastRenderedPageBreak/>
              <w:t>Confirmed RSV case</w:t>
            </w:r>
          </w:p>
        </w:tc>
        <w:tc>
          <w:tcPr>
            <w:tcW w:w="7370" w:type="dxa"/>
          </w:tcPr>
          <w:p w14:paraId="7209BF62" w14:textId="77777777" w:rsidR="00233299" w:rsidRPr="00675D6A" w:rsidRDefault="00233299" w:rsidP="00BB6DF5">
            <w:pPr>
              <w:pStyle w:val="Tabletext"/>
            </w:pPr>
            <w:r w:rsidRPr="00675D6A">
              <w:t xml:space="preserve">A </w:t>
            </w:r>
            <w:r w:rsidRPr="00675D6A">
              <w:rPr>
                <w:b/>
                <w:bCs/>
              </w:rPr>
              <w:t>confirmed case</w:t>
            </w:r>
            <w:r w:rsidRPr="00675D6A">
              <w:t xml:space="preserve"> of RSV requires laboratory definitive evidence:</w:t>
            </w:r>
          </w:p>
          <w:p w14:paraId="7B0018DF" w14:textId="77777777" w:rsidR="00233299" w:rsidRPr="00675D6A" w:rsidRDefault="00233299" w:rsidP="00403484">
            <w:pPr>
              <w:pStyle w:val="Bullet1"/>
            </w:pPr>
            <w:r w:rsidRPr="00675D6A">
              <w:t>Isolation of respiratory syncytial virus by cell culture</w:t>
            </w:r>
          </w:p>
          <w:p w14:paraId="4DC71008" w14:textId="77777777" w:rsidR="00233299" w:rsidRPr="00403484" w:rsidRDefault="00233299" w:rsidP="00403484">
            <w:pPr>
              <w:pStyle w:val="Bullet1"/>
              <w:numPr>
                <w:ilvl w:val="0"/>
                <w:numId w:val="0"/>
              </w:numPr>
              <w:ind w:left="284"/>
              <w:rPr>
                <w:b/>
                <w:bCs/>
                <w:color w:val="000000" w:themeColor="text1"/>
              </w:rPr>
            </w:pPr>
            <w:r w:rsidRPr="00403484">
              <w:rPr>
                <w:b/>
                <w:bCs/>
                <w:color w:val="000000" w:themeColor="text1"/>
              </w:rPr>
              <w:t>OR</w:t>
            </w:r>
          </w:p>
          <w:p w14:paraId="68BEE7D5" w14:textId="77777777" w:rsidR="00233299" w:rsidRPr="00675D6A" w:rsidRDefault="00233299" w:rsidP="00403484">
            <w:pPr>
              <w:pStyle w:val="Bullet1"/>
            </w:pPr>
            <w:r w:rsidRPr="00675D6A">
              <w:t>Detection of respiratory syncytial virus by nucleic acid testing</w:t>
            </w:r>
          </w:p>
          <w:p w14:paraId="7ED0C9EA" w14:textId="77777777" w:rsidR="00233299" w:rsidRPr="00403484" w:rsidRDefault="00233299" w:rsidP="00403484">
            <w:pPr>
              <w:pStyle w:val="Bullet1"/>
              <w:numPr>
                <w:ilvl w:val="0"/>
                <w:numId w:val="0"/>
              </w:numPr>
              <w:ind w:left="284"/>
              <w:rPr>
                <w:b/>
                <w:bCs/>
                <w:color w:val="000000" w:themeColor="text1"/>
              </w:rPr>
            </w:pPr>
            <w:r w:rsidRPr="00403484">
              <w:rPr>
                <w:b/>
                <w:bCs/>
                <w:color w:val="000000" w:themeColor="text1"/>
              </w:rPr>
              <w:t>OR</w:t>
            </w:r>
          </w:p>
          <w:p w14:paraId="2ADF19A9" w14:textId="77777777" w:rsidR="00233299" w:rsidRPr="00675D6A" w:rsidRDefault="00233299" w:rsidP="00403484">
            <w:pPr>
              <w:pStyle w:val="Bullet1"/>
            </w:pPr>
            <w:r w:rsidRPr="00675D6A">
              <w:t>Detection of respiratory syncytial virus antigen</w:t>
            </w:r>
          </w:p>
          <w:p w14:paraId="4BE8216A" w14:textId="77777777" w:rsidR="00233299" w:rsidRPr="00403484" w:rsidRDefault="00233299" w:rsidP="00403484">
            <w:pPr>
              <w:pStyle w:val="Bullet1"/>
              <w:numPr>
                <w:ilvl w:val="0"/>
                <w:numId w:val="0"/>
              </w:numPr>
              <w:ind w:left="284"/>
              <w:rPr>
                <w:b/>
                <w:bCs/>
                <w:color w:val="000000" w:themeColor="text1"/>
              </w:rPr>
            </w:pPr>
            <w:r w:rsidRPr="00403484">
              <w:rPr>
                <w:b/>
                <w:bCs/>
                <w:color w:val="000000" w:themeColor="text1"/>
              </w:rPr>
              <w:t>OR</w:t>
            </w:r>
          </w:p>
          <w:p w14:paraId="2356C21E" w14:textId="77777777" w:rsidR="00233299" w:rsidRPr="00675D6A" w:rsidRDefault="00233299" w:rsidP="00403484">
            <w:pPr>
              <w:pStyle w:val="Bullet1"/>
            </w:pPr>
            <w:r w:rsidRPr="00675D6A">
              <w:t>Seroconversion, or a significant increase in antibody level such as a fourfold or greater rise in titre, to respiratory syncytial virus between paired sera of immunoglobulin G (IgG) or total antibody</w:t>
            </w:r>
          </w:p>
        </w:tc>
      </w:tr>
      <w:tr w:rsidR="00233299" w:rsidRPr="0014515B" w14:paraId="15D6DD89" w14:textId="77777777" w:rsidTr="00971DE6">
        <w:tc>
          <w:tcPr>
            <w:tcW w:w="2268" w:type="dxa"/>
            <w:shd w:val="clear" w:color="auto" w:fill="DBE5F1" w:themeFill="accent1" w:themeFillTint="33"/>
          </w:tcPr>
          <w:p w14:paraId="08582DF7" w14:textId="77777777" w:rsidR="00233299" w:rsidRPr="00675D6A" w:rsidRDefault="00233299" w:rsidP="00F50D64">
            <w:pPr>
              <w:pStyle w:val="Tablecolhead"/>
              <w:rPr>
                <w:rFonts w:eastAsia="Arial"/>
              </w:rPr>
            </w:pPr>
            <w:r w:rsidRPr="00675D6A">
              <w:rPr>
                <w:rFonts w:eastAsia="Arial"/>
              </w:rPr>
              <w:t>Contact definition (COVID-19 only)</w:t>
            </w:r>
          </w:p>
        </w:tc>
        <w:tc>
          <w:tcPr>
            <w:tcW w:w="7370" w:type="dxa"/>
            <w:shd w:val="clear" w:color="auto" w:fill="DBE5F1" w:themeFill="accent1" w:themeFillTint="33"/>
          </w:tcPr>
          <w:p w14:paraId="39E80A10" w14:textId="3AEEC7AA" w:rsidR="00233299" w:rsidRPr="00675D6A" w:rsidRDefault="002F42E9" w:rsidP="00F50D64">
            <w:pPr>
              <w:pStyle w:val="Tablecolhead"/>
              <w:rPr>
                <w:rFonts w:eastAsia="Arial"/>
              </w:rPr>
            </w:pPr>
            <w:r w:rsidRPr="00675D6A">
              <w:rPr>
                <w:rFonts w:eastAsia="Arial"/>
              </w:rPr>
              <w:t>Description</w:t>
            </w:r>
          </w:p>
        </w:tc>
      </w:tr>
      <w:tr w:rsidR="00233299" w:rsidRPr="0014515B" w14:paraId="7979BD61" w14:textId="77777777" w:rsidTr="00A930EA">
        <w:tc>
          <w:tcPr>
            <w:tcW w:w="2268" w:type="dxa"/>
            <w:shd w:val="clear" w:color="auto" w:fill="FFFFFF" w:themeFill="background1"/>
          </w:tcPr>
          <w:p w14:paraId="6EFD7C73" w14:textId="77777777" w:rsidR="00233299" w:rsidRPr="00675D6A" w:rsidRDefault="00233299" w:rsidP="00BB6DF5">
            <w:pPr>
              <w:pStyle w:val="Tabletext"/>
              <w:rPr>
                <w:rFonts w:eastAsia="Arial"/>
              </w:rPr>
            </w:pPr>
            <w:r w:rsidRPr="00675D6A">
              <w:rPr>
                <w:rFonts w:eastAsia="Arial"/>
              </w:rPr>
              <w:t>Close contact</w:t>
            </w:r>
          </w:p>
        </w:tc>
        <w:tc>
          <w:tcPr>
            <w:tcW w:w="7370" w:type="dxa"/>
            <w:shd w:val="clear" w:color="auto" w:fill="FFFFFF" w:themeFill="background1"/>
          </w:tcPr>
          <w:p w14:paraId="0D9C4403" w14:textId="77777777" w:rsidR="00233299" w:rsidRPr="00675D6A" w:rsidRDefault="00233299" w:rsidP="00BB6DF5">
            <w:pPr>
              <w:pStyle w:val="Tabletext"/>
            </w:pPr>
            <w:r w:rsidRPr="00675D6A">
              <w:t xml:space="preserve">A </w:t>
            </w:r>
            <w:r w:rsidRPr="00675D6A">
              <w:rPr>
                <w:b/>
                <w:bCs/>
              </w:rPr>
              <w:t>close contact</w:t>
            </w:r>
            <w:r w:rsidRPr="00675D6A">
              <w:t xml:space="preserve"> is defined as an individual who is not a recent confirmed case </w:t>
            </w:r>
          </w:p>
          <w:p w14:paraId="3EE9E0DC" w14:textId="7178D770" w:rsidR="00233299" w:rsidRPr="00403484" w:rsidRDefault="00233299" w:rsidP="00403484">
            <w:pPr>
              <w:pStyle w:val="Bullet1"/>
              <w:numPr>
                <w:ilvl w:val="0"/>
                <w:numId w:val="0"/>
              </w:numPr>
              <w:ind w:left="284"/>
              <w:rPr>
                <w:b/>
                <w:bCs/>
              </w:rPr>
            </w:pPr>
            <w:r w:rsidRPr="00403484">
              <w:rPr>
                <w:b/>
                <w:bCs/>
              </w:rPr>
              <w:t>AND</w:t>
            </w:r>
          </w:p>
          <w:p w14:paraId="7157130A" w14:textId="3ECB684D" w:rsidR="00233299" w:rsidRPr="00675D6A" w:rsidRDefault="00233299" w:rsidP="00403484">
            <w:pPr>
              <w:pStyle w:val="Bullet1"/>
            </w:pPr>
            <w:r w:rsidRPr="00675D6A">
              <w:t>Has had a total of four or more hours of contact (cumulative) in an indoor space with a confirmed case or a probable case in a residential setting during their infectious period</w:t>
            </w:r>
          </w:p>
          <w:p w14:paraId="7817F489" w14:textId="4F2FA198" w:rsidR="00233299" w:rsidRPr="00403484" w:rsidRDefault="00233299" w:rsidP="00403484">
            <w:pPr>
              <w:pStyle w:val="Bullet1"/>
              <w:numPr>
                <w:ilvl w:val="0"/>
                <w:numId w:val="0"/>
              </w:numPr>
              <w:ind w:left="284"/>
              <w:rPr>
                <w:b/>
                <w:bCs/>
              </w:rPr>
            </w:pPr>
            <w:r w:rsidRPr="00403484">
              <w:rPr>
                <w:b/>
                <w:bCs/>
              </w:rPr>
              <w:t>OR</w:t>
            </w:r>
          </w:p>
          <w:p w14:paraId="56A6B1D8" w14:textId="3AFCC469" w:rsidR="00233299" w:rsidRPr="00675D6A" w:rsidRDefault="00233299" w:rsidP="00403484">
            <w:pPr>
              <w:pStyle w:val="Bullet1"/>
            </w:pPr>
            <w:r w:rsidRPr="00675D6A">
              <w:t>Is an individual who has been determined to be a close contact of a confirmed case or a probable case by an officer or nominated representative of the department, including in an event of an outbreak, and has been given notice of this</w:t>
            </w:r>
          </w:p>
        </w:tc>
      </w:tr>
      <w:tr w:rsidR="00233299" w:rsidRPr="0014515B" w14:paraId="23CA2924" w14:textId="77777777" w:rsidTr="00A930EA">
        <w:tc>
          <w:tcPr>
            <w:tcW w:w="2268" w:type="dxa"/>
            <w:shd w:val="clear" w:color="auto" w:fill="FFFFFF" w:themeFill="background1"/>
          </w:tcPr>
          <w:p w14:paraId="4E633D88" w14:textId="77777777" w:rsidR="00233299" w:rsidRPr="00675D6A" w:rsidRDefault="00233299" w:rsidP="00BB6DF5">
            <w:pPr>
              <w:pStyle w:val="Tabletext"/>
              <w:rPr>
                <w:rFonts w:eastAsia="Arial"/>
              </w:rPr>
            </w:pPr>
            <w:r w:rsidRPr="00675D6A">
              <w:rPr>
                <w:rFonts w:eastAsia="Arial"/>
              </w:rPr>
              <w:t>Social contact</w:t>
            </w:r>
          </w:p>
        </w:tc>
        <w:tc>
          <w:tcPr>
            <w:tcW w:w="7370" w:type="dxa"/>
            <w:shd w:val="clear" w:color="auto" w:fill="FFFFFF" w:themeFill="background1"/>
          </w:tcPr>
          <w:p w14:paraId="503C57A8" w14:textId="77777777" w:rsidR="00233299" w:rsidRPr="00675D6A" w:rsidRDefault="00233299" w:rsidP="00BB6DF5">
            <w:pPr>
              <w:pStyle w:val="Tabletext"/>
            </w:pPr>
            <w:r w:rsidRPr="00675D6A">
              <w:t xml:space="preserve">A </w:t>
            </w:r>
            <w:r w:rsidRPr="00675D6A">
              <w:rPr>
                <w:b/>
                <w:bCs/>
              </w:rPr>
              <w:t>social contact</w:t>
            </w:r>
            <w:r w:rsidRPr="00675D6A">
              <w:t xml:space="preserve"> is defined as an individual who is not a close contact or a recent confirmed case, and has had:</w:t>
            </w:r>
          </w:p>
          <w:p w14:paraId="35FBAC49" w14:textId="2122D429" w:rsidR="00233299" w:rsidRPr="00675D6A" w:rsidRDefault="00233299" w:rsidP="00403484">
            <w:pPr>
              <w:pStyle w:val="Bullet1"/>
            </w:pPr>
            <w:r w:rsidRPr="00675D6A">
              <w:t>at least 15 minutes face to face contact</w:t>
            </w:r>
          </w:p>
          <w:p w14:paraId="130D47B6" w14:textId="77777777" w:rsidR="00233299" w:rsidRPr="00403484" w:rsidRDefault="00233299" w:rsidP="00403484">
            <w:pPr>
              <w:pStyle w:val="Bullet2"/>
              <w:numPr>
                <w:ilvl w:val="0"/>
                <w:numId w:val="0"/>
              </w:numPr>
              <w:ind w:left="284"/>
              <w:rPr>
                <w:b/>
                <w:bCs/>
              </w:rPr>
            </w:pPr>
            <w:r w:rsidRPr="00403484">
              <w:rPr>
                <w:b/>
                <w:bCs/>
              </w:rPr>
              <w:t>OR</w:t>
            </w:r>
          </w:p>
          <w:p w14:paraId="7F84C6C3" w14:textId="42D3219F" w:rsidR="00233299" w:rsidRPr="00675D6A" w:rsidRDefault="00233299" w:rsidP="00403484">
            <w:pPr>
              <w:pStyle w:val="Bullet1"/>
            </w:pPr>
            <w:r w:rsidRPr="00675D6A">
              <w:t>greater than 2 hours within an indoor space with a confirmed case or probable case of COVID-19 during their infectious period.</w:t>
            </w:r>
          </w:p>
        </w:tc>
      </w:tr>
      <w:tr w:rsidR="00233299" w:rsidRPr="0014515B" w14:paraId="7450C661" w14:textId="77777777" w:rsidTr="00971DE6">
        <w:tc>
          <w:tcPr>
            <w:tcW w:w="2268" w:type="dxa"/>
            <w:shd w:val="clear" w:color="auto" w:fill="DBE5F1" w:themeFill="accent1" w:themeFillTint="33"/>
          </w:tcPr>
          <w:p w14:paraId="1D991F20" w14:textId="77777777" w:rsidR="00233299" w:rsidRPr="00675D6A" w:rsidRDefault="00233299" w:rsidP="00F50D64">
            <w:pPr>
              <w:pStyle w:val="Tablecolhead"/>
              <w:rPr>
                <w:rFonts w:eastAsia="Arial"/>
              </w:rPr>
            </w:pPr>
            <w:r w:rsidRPr="00675D6A">
              <w:rPr>
                <w:rFonts w:eastAsia="Arial"/>
              </w:rPr>
              <w:t xml:space="preserve">Infectious Period </w:t>
            </w:r>
          </w:p>
        </w:tc>
        <w:tc>
          <w:tcPr>
            <w:tcW w:w="7370" w:type="dxa"/>
            <w:shd w:val="clear" w:color="auto" w:fill="DBE5F1" w:themeFill="accent1" w:themeFillTint="33"/>
          </w:tcPr>
          <w:p w14:paraId="164BC853" w14:textId="12D06BE3" w:rsidR="00233299" w:rsidRPr="00675D6A" w:rsidRDefault="00586DB8" w:rsidP="00F50D64">
            <w:pPr>
              <w:pStyle w:val="Tablecolhead"/>
              <w:rPr>
                <w:rFonts w:eastAsia="Arial"/>
              </w:rPr>
            </w:pPr>
            <w:r w:rsidRPr="00675D6A">
              <w:rPr>
                <w:rFonts w:eastAsia="Arial"/>
                <w:bCs/>
              </w:rPr>
              <w:t>Description</w:t>
            </w:r>
          </w:p>
        </w:tc>
      </w:tr>
      <w:tr w:rsidR="00233299" w:rsidRPr="0014515B" w14:paraId="669E47FE" w14:textId="77777777" w:rsidTr="00A930EA">
        <w:tc>
          <w:tcPr>
            <w:tcW w:w="2268" w:type="dxa"/>
            <w:shd w:val="clear" w:color="auto" w:fill="FFFFFF" w:themeFill="background1"/>
          </w:tcPr>
          <w:p w14:paraId="59D77A36" w14:textId="77777777" w:rsidR="00233299" w:rsidRPr="00675D6A" w:rsidRDefault="00233299" w:rsidP="00BB6DF5">
            <w:pPr>
              <w:pStyle w:val="Tabletext"/>
              <w:rPr>
                <w:rFonts w:eastAsia="Arial"/>
              </w:rPr>
            </w:pPr>
            <w:r w:rsidRPr="00675D6A">
              <w:rPr>
                <w:rFonts w:eastAsia="Arial"/>
              </w:rPr>
              <w:t>Influenza</w:t>
            </w:r>
          </w:p>
        </w:tc>
        <w:tc>
          <w:tcPr>
            <w:tcW w:w="7370" w:type="dxa"/>
            <w:shd w:val="clear" w:color="auto" w:fill="FFFFFF" w:themeFill="background1"/>
          </w:tcPr>
          <w:p w14:paraId="3A7856F0" w14:textId="77777777" w:rsidR="00233299" w:rsidRPr="00675D6A" w:rsidRDefault="00233299" w:rsidP="00BB6DF5">
            <w:pPr>
              <w:pStyle w:val="Tabletext"/>
              <w:rPr>
                <w:rStyle w:val="normaltextrun"/>
                <w:rFonts w:cs="Arial"/>
                <w:color w:val="000000"/>
                <w:shd w:val="clear" w:color="auto" w:fill="FFFFFF"/>
              </w:rPr>
            </w:pPr>
            <w:r w:rsidRPr="00675D6A">
              <w:rPr>
                <w:rStyle w:val="normaltextrun"/>
                <w:rFonts w:cs="Arial"/>
                <w:color w:val="000000"/>
                <w:shd w:val="clear" w:color="auto" w:fill="FFFFFF"/>
              </w:rPr>
              <w:t xml:space="preserve">Cases with influenza are considered infectious from 1 day prior to onset of symptoms, and up to 5 days post symptom onset. Young children and severely immunocompromised people may be infectious for longer. </w:t>
            </w:r>
          </w:p>
          <w:p w14:paraId="35AC0F8D" w14:textId="2913A7ED" w:rsidR="00233299" w:rsidRPr="00675D6A" w:rsidRDefault="7FCB8375" w:rsidP="00BB6DF5">
            <w:pPr>
              <w:pStyle w:val="Tabletext"/>
              <w:rPr>
                <w:shd w:val="clear" w:color="auto" w:fill="FFFFFF"/>
              </w:rPr>
            </w:pPr>
            <w:r w:rsidRPr="00675D6A">
              <w:rPr>
                <w:shd w:val="clear" w:color="auto" w:fill="FFFFFF"/>
              </w:rPr>
              <w:t>Adults are</w:t>
            </w:r>
            <w:r w:rsidR="00233299" w:rsidRPr="00675D6A">
              <w:rPr>
                <w:shd w:val="clear" w:color="auto" w:fill="FFFFFF"/>
              </w:rPr>
              <w:t xml:space="preserve"> considered no longer infectious if 24 hours have elapsed since the resolution of the fever, provided they:</w:t>
            </w:r>
          </w:p>
          <w:p w14:paraId="24DD7050" w14:textId="2259D100" w:rsidR="00233299" w:rsidRPr="00675D6A" w:rsidRDefault="00233299" w:rsidP="009F2979">
            <w:pPr>
              <w:pStyle w:val="Bullet1"/>
              <w:rPr>
                <w:shd w:val="clear" w:color="auto" w:fill="FFFFFF"/>
              </w:rPr>
            </w:pPr>
            <w:r w:rsidRPr="00675D6A">
              <w:rPr>
                <w:shd w:val="clear" w:color="auto" w:fill="FFFFFF"/>
              </w:rPr>
              <w:t>have received 72 hours of anti-influenza medication, or,</w:t>
            </w:r>
          </w:p>
          <w:p w14:paraId="5E2A699A" w14:textId="6AB3A079" w:rsidR="00233299" w:rsidRPr="00675D6A" w:rsidRDefault="00233299" w:rsidP="009F2979">
            <w:pPr>
              <w:pStyle w:val="Bullet1"/>
              <w:rPr>
                <w:shd w:val="clear" w:color="auto" w:fill="FFFFFF"/>
              </w:rPr>
            </w:pPr>
            <w:r w:rsidRPr="00675D6A">
              <w:rPr>
                <w:shd w:val="clear" w:color="auto" w:fill="FFFFFF"/>
              </w:rPr>
              <w:t>five days have elapsed since onset of respiratory symptoms</w:t>
            </w:r>
            <w:r w:rsidR="009F2979">
              <w:rPr>
                <w:shd w:val="clear" w:color="auto" w:fill="FFFFFF"/>
              </w:rPr>
              <w:t>.</w:t>
            </w:r>
          </w:p>
          <w:p w14:paraId="1C223029" w14:textId="77777777" w:rsidR="00233299" w:rsidRPr="00675D6A" w:rsidRDefault="00233299" w:rsidP="00BB6DF5">
            <w:pPr>
              <w:pStyle w:val="Tabletext"/>
              <w:rPr>
                <w:shd w:val="clear" w:color="auto" w:fill="FFFFFF"/>
              </w:rPr>
            </w:pPr>
            <w:r w:rsidRPr="00675D6A">
              <w:rPr>
                <w:shd w:val="clear" w:color="auto" w:fill="FFFFFF"/>
              </w:rPr>
              <w:t>For infection prevention and control purposes, consider maintaining precautions for longer periods for children and immunocompromised persons with influenza.</w:t>
            </w:r>
          </w:p>
        </w:tc>
      </w:tr>
      <w:tr w:rsidR="00233299" w:rsidRPr="0014515B" w14:paraId="3B7DD60D" w14:textId="77777777" w:rsidTr="00A930EA">
        <w:tc>
          <w:tcPr>
            <w:tcW w:w="2268" w:type="dxa"/>
            <w:shd w:val="clear" w:color="auto" w:fill="FFFFFF" w:themeFill="background1"/>
          </w:tcPr>
          <w:p w14:paraId="613CD6D4" w14:textId="77777777" w:rsidR="00233299" w:rsidRPr="00675D6A" w:rsidRDefault="00233299" w:rsidP="00BB6DF5">
            <w:pPr>
              <w:pStyle w:val="Tabletext"/>
              <w:rPr>
                <w:rFonts w:eastAsia="Arial"/>
              </w:rPr>
            </w:pPr>
            <w:r w:rsidRPr="00675D6A">
              <w:rPr>
                <w:rFonts w:eastAsia="Arial"/>
              </w:rPr>
              <w:t>COVID-19</w:t>
            </w:r>
          </w:p>
        </w:tc>
        <w:tc>
          <w:tcPr>
            <w:tcW w:w="7370" w:type="dxa"/>
            <w:shd w:val="clear" w:color="auto" w:fill="FFFFFF" w:themeFill="background1"/>
          </w:tcPr>
          <w:p w14:paraId="631A049B" w14:textId="46CC9063" w:rsidR="000305AD" w:rsidRPr="00675D6A" w:rsidRDefault="00357AF0" w:rsidP="00BB6DF5">
            <w:pPr>
              <w:pStyle w:val="Tabletext"/>
              <w:rPr>
                <w:color w:val="011A3C"/>
              </w:rPr>
            </w:pPr>
            <w:r w:rsidRPr="00403484">
              <w:t xml:space="preserve">An individual’s infectious period can vary based on host or clinical factors and the variant of concern. </w:t>
            </w:r>
            <w:r w:rsidR="00F67084" w:rsidRPr="00403484">
              <w:t xml:space="preserve">In general, a person who tests positive for COVID-19 may be infectious for up to 10 </w:t>
            </w:r>
            <w:r w:rsidR="00926802" w:rsidRPr="00403484">
              <w:t>days but</w:t>
            </w:r>
            <w:r w:rsidR="00F67084" w:rsidRPr="00403484">
              <w:t xml:space="preserve"> are most infectious in the two days just before their symptoms start, and while they have acute </w:t>
            </w:r>
            <w:r w:rsidR="00F67084" w:rsidRPr="00403484">
              <w:lastRenderedPageBreak/>
              <w:t xml:space="preserve">symptoms (runny nose, sore throat, cough and fever). Most people infected with COVID-19 are still infectious after 5 </w:t>
            </w:r>
            <w:r w:rsidR="00926802" w:rsidRPr="00403484">
              <w:t>days</w:t>
            </w:r>
            <w:r w:rsidR="00926802" w:rsidRPr="00675D6A">
              <w:t>.</w:t>
            </w:r>
          </w:p>
          <w:p w14:paraId="60457AB2" w14:textId="24D4E6D1" w:rsidR="0094089B" w:rsidRPr="00403484" w:rsidRDefault="21FE8F53" w:rsidP="00BB6DF5">
            <w:pPr>
              <w:pStyle w:val="Tabletext"/>
            </w:pPr>
            <w:r w:rsidRPr="6B2561BA">
              <w:rPr>
                <w:rStyle w:val="normaltextrun"/>
                <w:rFonts w:cs="Arial"/>
                <w:color w:val="000000"/>
                <w:shd w:val="clear" w:color="auto" w:fill="FFFFFF"/>
              </w:rPr>
              <w:t>For operational purposes, a</w:t>
            </w:r>
            <w:r w:rsidR="00233299" w:rsidRPr="6B2561BA">
              <w:rPr>
                <w:rStyle w:val="normaltextrun"/>
                <w:rFonts w:cs="Arial"/>
                <w:color w:val="000000"/>
                <w:shd w:val="clear" w:color="auto" w:fill="FFFFFF"/>
              </w:rPr>
              <w:t xml:space="preserve"> person diagnosed with COVID-19 </w:t>
            </w:r>
            <w:bookmarkStart w:id="1125" w:name="_Int_HKXMYZRL"/>
            <w:r w:rsidR="00233299" w:rsidRPr="6B2561BA">
              <w:rPr>
                <w:rStyle w:val="normaltextrun"/>
                <w:rFonts w:cs="Arial"/>
                <w:color w:val="000000"/>
                <w:shd w:val="clear" w:color="auto" w:fill="FFFFFF"/>
              </w:rPr>
              <w:t>is considered to be</w:t>
            </w:r>
            <w:bookmarkEnd w:id="1125"/>
            <w:r w:rsidR="00233299" w:rsidRPr="6B2561BA">
              <w:rPr>
                <w:rStyle w:val="normaltextrun"/>
                <w:rFonts w:cs="Arial"/>
                <w:color w:val="000000"/>
                <w:shd w:val="clear" w:color="auto" w:fill="FFFFFF"/>
              </w:rPr>
              <w:t xml:space="preserve"> infectious</w:t>
            </w:r>
            <w:r w:rsidRPr="6B2561BA">
              <w:rPr>
                <w:rStyle w:val="normaltextrun"/>
                <w:rFonts w:cs="Arial"/>
                <w:color w:val="000000"/>
                <w:shd w:val="clear" w:color="auto" w:fill="FFFFFF"/>
              </w:rPr>
              <w:t xml:space="preserve"> from</w:t>
            </w:r>
            <w:r w:rsidR="00233299" w:rsidRPr="6B2561BA">
              <w:rPr>
                <w:rStyle w:val="normaltextrun"/>
                <w:rFonts w:cs="Arial"/>
                <w:color w:val="000000"/>
                <w:shd w:val="clear" w:color="auto" w:fill="FFFFFF"/>
              </w:rPr>
              <w:t xml:space="preserve"> 48 hours prior to </w:t>
            </w:r>
            <w:r w:rsidRPr="6B2561BA">
              <w:rPr>
                <w:rStyle w:val="normaltextrun"/>
                <w:rFonts w:cs="Arial"/>
                <w:color w:val="000000"/>
                <w:shd w:val="clear" w:color="auto" w:fill="FFFFFF"/>
              </w:rPr>
              <w:t xml:space="preserve">symptom </w:t>
            </w:r>
            <w:r w:rsidR="00233299" w:rsidRPr="6B2561BA">
              <w:rPr>
                <w:rStyle w:val="normaltextrun"/>
                <w:rFonts w:cs="Arial"/>
                <w:color w:val="000000"/>
                <w:shd w:val="clear" w:color="auto" w:fill="FFFFFF"/>
              </w:rPr>
              <w:t xml:space="preserve">onset </w:t>
            </w:r>
            <w:r w:rsidRPr="6B2561BA">
              <w:rPr>
                <w:rStyle w:val="normaltextrun"/>
                <w:rFonts w:cs="Arial"/>
                <w:color w:val="000000"/>
                <w:shd w:val="clear" w:color="auto" w:fill="FFFFFF"/>
              </w:rPr>
              <w:t>(</w:t>
            </w:r>
            <w:r w:rsidR="00233299" w:rsidRPr="6B2561BA">
              <w:rPr>
                <w:rStyle w:val="normaltextrun"/>
                <w:rFonts w:cs="Arial"/>
                <w:color w:val="000000"/>
                <w:shd w:val="clear" w:color="auto" w:fill="FFFFFF"/>
              </w:rPr>
              <w:t xml:space="preserve">or 48 hours prior to </w:t>
            </w:r>
            <w:r w:rsidRPr="6B2561BA">
              <w:rPr>
                <w:rStyle w:val="normaltextrun"/>
                <w:rFonts w:cs="Arial"/>
                <w:color w:val="000000"/>
                <w:shd w:val="clear" w:color="auto" w:fill="FFFFFF"/>
              </w:rPr>
              <w:t>date of</w:t>
            </w:r>
            <w:r w:rsidR="00233299" w:rsidRPr="6B2561BA">
              <w:rPr>
                <w:rStyle w:val="normaltextrun"/>
                <w:rFonts w:cs="Arial"/>
                <w:color w:val="000000"/>
                <w:shd w:val="clear" w:color="auto" w:fill="FFFFFF"/>
              </w:rPr>
              <w:t xml:space="preserve"> positive specimen </w:t>
            </w:r>
            <w:r w:rsidRPr="6B2561BA">
              <w:rPr>
                <w:rStyle w:val="normaltextrun"/>
                <w:rFonts w:cs="Arial"/>
                <w:color w:val="000000"/>
                <w:shd w:val="clear" w:color="auto" w:fill="FFFFFF"/>
              </w:rPr>
              <w:t>if asymptomatic)</w:t>
            </w:r>
            <w:r w:rsidR="49FE0635" w:rsidRPr="6B2561BA">
              <w:rPr>
                <w:rStyle w:val="normaltextrun"/>
                <w:rFonts w:cs="Arial"/>
                <w:color w:val="000000"/>
                <w:shd w:val="clear" w:color="auto" w:fill="FFFFFF"/>
              </w:rPr>
              <w:t>,</w:t>
            </w:r>
            <w:r w:rsidR="3AB6F39F" w:rsidRPr="00403484">
              <w:t xml:space="preserve"> until the end of the recommended period of isolation.</w:t>
            </w:r>
            <w:r w:rsidR="643BE286" w:rsidRPr="00403484">
              <w:t xml:space="preserve"> </w:t>
            </w:r>
            <w:r w:rsidR="282800A0" w:rsidRPr="00403484">
              <w:t>Cases should leave their recommended period of isolation at least five days after the date of their positive test, if:</w:t>
            </w:r>
          </w:p>
          <w:p w14:paraId="6480F340" w14:textId="1CED95D7" w:rsidR="0094089B" w:rsidRPr="00403484" w:rsidRDefault="0094089B" w:rsidP="009F2979">
            <w:pPr>
              <w:pStyle w:val="Bullet1"/>
            </w:pPr>
            <w:r w:rsidRPr="00403484">
              <w:t xml:space="preserve">their common symptoms </w:t>
            </w:r>
            <w:r w:rsidR="00C73F69" w:rsidRPr="00403484">
              <w:t xml:space="preserve">(runny nose, sore throat, cough, shortness of breath, fever, chills and/or </w:t>
            </w:r>
            <w:r w:rsidR="00926802" w:rsidRPr="00403484">
              <w:t>sweats)</w:t>
            </w:r>
            <w:r w:rsidR="00C73F69" w:rsidRPr="00403484">
              <w:t xml:space="preserve"> </w:t>
            </w:r>
            <w:r w:rsidRPr="00403484">
              <w:t>have resolved, or</w:t>
            </w:r>
          </w:p>
          <w:p w14:paraId="4200D05E" w14:textId="6E604711" w:rsidR="0094089B" w:rsidRPr="00675D6A" w:rsidRDefault="0094089B" w:rsidP="009F2979">
            <w:pPr>
              <w:pStyle w:val="Bullet1"/>
            </w:pPr>
            <w:r w:rsidRPr="00403484">
              <w:t xml:space="preserve">an officer or nominated representative of the </w:t>
            </w:r>
            <w:r w:rsidR="00E97F4E">
              <w:t>d</w:t>
            </w:r>
            <w:r w:rsidRPr="00403484">
              <w:t>epartment or medical practitioner has advised they can cease isolating.</w:t>
            </w:r>
          </w:p>
          <w:p w14:paraId="204EF2A5" w14:textId="5732DF21" w:rsidR="00233299" w:rsidRPr="00675D6A" w:rsidRDefault="00B83CEC" w:rsidP="00BB6DF5">
            <w:pPr>
              <w:pStyle w:val="Tabletext"/>
              <w:rPr>
                <w:lang w:val="en-US"/>
              </w:rPr>
            </w:pPr>
            <w:r w:rsidRPr="00403484">
              <w:t xml:space="preserve">However, additional </w:t>
            </w:r>
            <w:r w:rsidR="002E2561" w:rsidRPr="00403484">
              <w:t xml:space="preserve">precautions are in place in sensitive settings including RCFs, with </w:t>
            </w:r>
            <w:r w:rsidR="005D46F0">
              <w:t xml:space="preserve">staff advised not to return to work until at least 5 days and </w:t>
            </w:r>
            <w:r w:rsidR="0063018F" w:rsidRPr="00403484">
              <w:t xml:space="preserve">facilities </w:t>
            </w:r>
            <w:r w:rsidR="005D46F0">
              <w:t xml:space="preserve">are </w:t>
            </w:r>
            <w:r w:rsidR="0063018F" w:rsidRPr="00403484">
              <w:t xml:space="preserve">strongly recommended to </w:t>
            </w:r>
            <w:r w:rsidR="0063018F" w:rsidRPr="00403484">
              <w:rPr>
                <w:lang w:val="en-US"/>
              </w:rPr>
              <w:t>continue to manage residents and/or inpatients in their facility, regardless of symptoms, under appropriate precautions for 7 days</w:t>
            </w:r>
            <w:r w:rsidR="00622CAF" w:rsidRPr="00403484">
              <w:rPr>
                <w:lang w:val="en-US"/>
              </w:rPr>
              <w:t xml:space="preserve"> or longer</w:t>
            </w:r>
            <w:r w:rsidR="0063018F" w:rsidRPr="00403484">
              <w:rPr>
                <w:lang w:val="en-US"/>
              </w:rPr>
              <w:t>.</w:t>
            </w:r>
          </w:p>
          <w:p w14:paraId="0FBF5DCA" w14:textId="19551CFE" w:rsidR="00233299" w:rsidRPr="00675D6A" w:rsidRDefault="773602C7" w:rsidP="00BB6DF5">
            <w:pPr>
              <w:pStyle w:val="Tabletext"/>
              <w:rPr>
                <w:rFonts w:eastAsia="Arial" w:cs="Arial"/>
              </w:rPr>
            </w:pPr>
            <w:r w:rsidRPr="6B2561BA">
              <w:rPr>
                <w:rFonts w:cs="Arial"/>
              </w:rPr>
              <w:t>Individuals with severe disease, or who</w:t>
            </w:r>
            <w:r w:rsidR="00233299" w:rsidRPr="6B2561BA">
              <w:rPr>
                <w:rFonts w:cs="Arial"/>
              </w:rPr>
              <w:t xml:space="preserve"> are </w:t>
            </w:r>
            <w:r w:rsidRPr="6B2561BA">
              <w:rPr>
                <w:rFonts w:cs="Arial"/>
              </w:rPr>
              <w:t>significantly</w:t>
            </w:r>
            <w:r w:rsidR="00233299" w:rsidRPr="6B2561BA">
              <w:rPr>
                <w:rFonts w:cs="Arial"/>
              </w:rPr>
              <w:t xml:space="preserve"> </w:t>
            </w:r>
            <w:r w:rsidR="00233299" w:rsidRPr="00063FB8">
              <w:t>immunocompromised</w:t>
            </w:r>
            <w:r w:rsidRPr="00063FB8">
              <w:t xml:space="preserve"> may have prolonged infectious periods – see the </w:t>
            </w:r>
            <w:hyperlink r:id="rId49" w:history="1">
              <w:r w:rsidRPr="00063FB8">
                <w:rPr>
                  <w:rStyle w:val="Hyperlink"/>
                </w:rPr>
                <w:t xml:space="preserve">Coronavirus (COVID-19) – </w:t>
              </w:r>
              <w:bookmarkStart w:id="1126" w:name="_Int_6ENTPi0x"/>
              <w:r w:rsidRPr="00063FB8">
                <w:rPr>
                  <w:rStyle w:val="Hyperlink"/>
                </w:rPr>
                <w:t>CDNA</w:t>
              </w:r>
              <w:bookmarkEnd w:id="1126"/>
              <w:r w:rsidRPr="00063FB8">
                <w:rPr>
                  <w:rStyle w:val="Hyperlink"/>
                </w:rPr>
                <w:t xml:space="preserve"> National Guidelines for Public Health Units</w:t>
              </w:r>
            </w:hyperlink>
            <w:r w:rsidRPr="00063FB8">
              <w:t xml:space="preserve"> &lt;https://www.health.gov.au/resources/publications/coronavirus-covid-19-</w:t>
            </w:r>
            <w:r w:rsidRPr="6B2561BA">
              <w:rPr>
                <w:rFonts w:cs="Arial"/>
              </w:rPr>
              <w:t>cdna-national-guidelines-for-public-health-units</w:t>
            </w:r>
            <w:r w:rsidR="2C3E187B" w:rsidRPr="6B2561BA">
              <w:rPr>
                <w:rFonts w:cs="Arial"/>
              </w:rPr>
              <w:t>&gt;</w:t>
            </w:r>
            <w:r w:rsidR="00063FB8">
              <w:rPr>
                <w:rFonts w:cs="Arial"/>
              </w:rPr>
              <w:t>.</w:t>
            </w:r>
            <w:r w:rsidR="2C3E187B" w:rsidRPr="6B2561BA">
              <w:rPr>
                <w:rFonts w:cs="Arial"/>
              </w:rPr>
              <w:t xml:space="preserve"> Seek</w:t>
            </w:r>
            <w:r w:rsidR="00233299" w:rsidRPr="6B2561BA">
              <w:rPr>
                <w:rStyle w:val="normaltextrun"/>
                <w:rFonts w:cs="Arial"/>
                <w:color w:val="000000" w:themeColor="text1"/>
              </w:rPr>
              <w:t xml:space="preserve"> clinical advice for further management in this situation.</w:t>
            </w:r>
          </w:p>
        </w:tc>
      </w:tr>
      <w:tr w:rsidR="00FB7A03" w:rsidRPr="0014515B" w14:paraId="1AD9A819" w14:textId="77777777" w:rsidTr="00A930EA">
        <w:tc>
          <w:tcPr>
            <w:tcW w:w="2268" w:type="dxa"/>
            <w:shd w:val="clear" w:color="auto" w:fill="FFFFFF" w:themeFill="background1"/>
          </w:tcPr>
          <w:p w14:paraId="16E949F9" w14:textId="5CA39D29" w:rsidR="00FB7A03" w:rsidRPr="00675D6A" w:rsidRDefault="00CE60F4" w:rsidP="00BB6DF5">
            <w:pPr>
              <w:pStyle w:val="Tabletext"/>
              <w:rPr>
                <w:rFonts w:eastAsia="Arial"/>
              </w:rPr>
            </w:pPr>
            <w:r>
              <w:rPr>
                <w:rFonts w:eastAsia="Arial"/>
              </w:rPr>
              <w:lastRenderedPageBreak/>
              <w:t>Re</w:t>
            </w:r>
            <w:r w:rsidR="000A6017">
              <w:rPr>
                <w:rFonts w:eastAsia="Arial"/>
              </w:rPr>
              <w:t>spiratory Syncytial Virus</w:t>
            </w:r>
          </w:p>
        </w:tc>
        <w:tc>
          <w:tcPr>
            <w:tcW w:w="7370" w:type="dxa"/>
            <w:shd w:val="clear" w:color="auto" w:fill="FFFFFF" w:themeFill="background1"/>
          </w:tcPr>
          <w:p w14:paraId="0EC79CDE" w14:textId="3AA2B07B" w:rsidR="00FB7A03" w:rsidRPr="00403484" w:rsidRDefault="5DC347BD" w:rsidP="00BB6DF5">
            <w:pPr>
              <w:pStyle w:val="Tabletext"/>
            </w:pPr>
            <w:r w:rsidRPr="6B2561BA">
              <w:t>Infectious period is unclear, but cases are considered infectious just prior to symptom onset</w:t>
            </w:r>
            <w:r w:rsidR="79D91C72" w:rsidRPr="6B2561BA">
              <w:t xml:space="preserve"> until recovery, or </w:t>
            </w:r>
            <w:r w:rsidR="3660A358" w:rsidRPr="6B2561BA">
              <w:t>up</w:t>
            </w:r>
            <w:r w:rsidR="79D91C72" w:rsidRPr="6B2561BA">
              <w:t xml:space="preserve"> to 10 days after symptom onset.</w:t>
            </w:r>
          </w:p>
        </w:tc>
      </w:tr>
      <w:tr w:rsidR="00233299" w:rsidRPr="0014515B" w14:paraId="103EE39C" w14:textId="77777777" w:rsidTr="00A930EA">
        <w:tc>
          <w:tcPr>
            <w:tcW w:w="2268" w:type="dxa"/>
            <w:shd w:val="clear" w:color="auto" w:fill="FFFFFF" w:themeFill="background1"/>
          </w:tcPr>
          <w:p w14:paraId="658993BD" w14:textId="77777777" w:rsidR="00233299" w:rsidRPr="00675D6A" w:rsidRDefault="00233299" w:rsidP="00BB6DF5">
            <w:pPr>
              <w:pStyle w:val="Tabletext"/>
              <w:rPr>
                <w:rFonts w:eastAsia="Arial"/>
              </w:rPr>
            </w:pPr>
            <w:r w:rsidRPr="00675D6A">
              <w:rPr>
                <w:rFonts w:eastAsia="Arial"/>
              </w:rPr>
              <w:t>Other respiratory viral infections</w:t>
            </w:r>
          </w:p>
        </w:tc>
        <w:tc>
          <w:tcPr>
            <w:tcW w:w="7370" w:type="dxa"/>
            <w:shd w:val="clear" w:color="auto" w:fill="FFFFFF" w:themeFill="background1"/>
          </w:tcPr>
          <w:p w14:paraId="69F5A81A" w14:textId="67E70331" w:rsidR="00233299" w:rsidRPr="00675D6A" w:rsidRDefault="00233299" w:rsidP="00BB6DF5">
            <w:pPr>
              <w:pStyle w:val="Tabletext"/>
              <w:rPr>
                <w:rStyle w:val="normaltextrun"/>
                <w:rFonts w:cs="Arial"/>
                <w:color w:val="000000"/>
                <w:szCs w:val="21"/>
                <w:shd w:val="clear" w:color="auto" w:fill="FFFFFF"/>
              </w:rPr>
            </w:pPr>
            <w:r w:rsidRPr="009F2979">
              <w:rPr>
                <w:rFonts w:eastAsia="Arial"/>
              </w:rPr>
              <w:t xml:space="preserve">The infectious period for other pathogens varies by pathogen and by individual. For many acute respiratory viral infections, the infectious period is unknown; for practical purposes it is often assumed to equate to the duration of symptoms. In general, infectiousness is greatest in the </w:t>
            </w:r>
            <w:bookmarkStart w:id="1127" w:name="_Int_H0nfH8QB"/>
            <w:r w:rsidRPr="009F2979">
              <w:rPr>
                <w:rFonts w:eastAsia="Arial"/>
              </w:rPr>
              <w:t>early stages</w:t>
            </w:r>
            <w:bookmarkEnd w:id="1127"/>
            <w:r w:rsidRPr="009F2979">
              <w:rPr>
                <w:rFonts w:eastAsia="Arial"/>
              </w:rPr>
              <w:t xml:space="preserve"> of infection.</w:t>
            </w:r>
          </w:p>
        </w:tc>
      </w:tr>
      <w:tr w:rsidR="00233299" w:rsidRPr="0014515B" w14:paraId="3EF194AC" w14:textId="77777777" w:rsidTr="00971DE6">
        <w:tc>
          <w:tcPr>
            <w:tcW w:w="2268" w:type="dxa"/>
            <w:shd w:val="clear" w:color="auto" w:fill="DBE5F1" w:themeFill="accent1" w:themeFillTint="33"/>
          </w:tcPr>
          <w:p w14:paraId="57AE9C4E" w14:textId="77777777" w:rsidR="00233299" w:rsidRPr="00675D6A" w:rsidRDefault="00233299" w:rsidP="00F50D64">
            <w:pPr>
              <w:pStyle w:val="Tablecolhead"/>
              <w:rPr>
                <w:rFonts w:eastAsia="Arial"/>
              </w:rPr>
            </w:pPr>
            <w:r w:rsidRPr="00675D6A">
              <w:rPr>
                <w:rFonts w:eastAsia="Arial"/>
              </w:rPr>
              <w:t>Exposure definition</w:t>
            </w:r>
          </w:p>
        </w:tc>
        <w:tc>
          <w:tcPr>
            <w:tcW w:w="7370" w:type="dxa"/>
            <w:shd w:val="clear" w:color="auto" w:fill="DBE5F1" w:themeFill="accent1" w:themeFillTint="33"/>
          </w:tcPr>
          <w:p w14:paraId="60AF44DC" w14:textId="65B3DB06" w:rsidR="00233299" w:rsidRPr="00675D6A" w:rsidRDefault="00586DB8" w:rsidP="00F50D64">
            <w:pPr>
              <w:pStyle w:val="Tablecolhead"/>
              <w:rPr>
                <w:rFonts w:eastAsia="Arial"/>
              </w:rPr>
            </w:pPr>
            <w:r w:rsidRPr="00675D6A">
              <w:rPr>
                <w:rFonts w:eastAsia="Arial"/>
                <w:bCs/>
              </w:rPr>
              <w:t>Description</w:t>
            </w:r>
          </w:p>
        </w:tc>
      </w:tr>
      <w:tr w:rsidR="00233299" w:rsidRPr="0014515B" w14:paraId="357088C3" w14:textId="77777777" w:rsidTr="00A930EA">
        <w:tc>
          <w:tcPr>
            <w:tcW w:w="2268" w:type="dxa"/>
            <w:shd w:val="clear" w:color="auto" w:fill="FFFFFF" w:themeFill="background1"/>
          </w:tcPr>
          <w:p w14:paraId="54E161C6" w14:textId="77777777" w:rsidR="00233299" w:rsidRPr="00675D6A" w:rsidRDefault="00233299" w:rsidP="00BB6DF5">
            <w:pPr>
              <w:pStyle w:val="Tabletext"/>
              <w:rPr>
                <w:rFonts w:eastAsia="Arial"/>
              </w:rPr>
            </w:pPr>
            <w:r w:rsidRPr="00675D6A">
              <w:rPr>
                <w:rFonts w:eastAsia="Arial"/>
              </w:rPr>
              <w:t>Exposure</w:t>
            </w:r>
          </w:p>
        </w:tc>
        <w:tc>
          <w:tcPr>
            <w:tcW w:w="7370" w:type="dxa"/>
            <w:shd w:val="clear" w:color="auto" w:fill="FFFFFF" w:themeFill="background1"/>
          </w:tcPr>
          <w:p w14:paraId="6570DA38" w14:textId="0E5930BC" w:rsidR="00233299" w:rsidRPr="00675D6A" w:rsidRDefault="00233299" w:rsidP="00BB6DF5">
            <w:pPr>
              <w:pStyle w:val="Tabletext"/>
              <w:rPr>
                <w:rFonts w:eastAsia="Arial"/>
              </w:rPr>
            </w:pPr>
            <w:r w:rsidRPr="00675D6A">
              <w:rPr>
                <w:rFonts w:eastAsia="Arial"/>
              </w:rPr>
              <w:t>People have had contact with a case in a situation that does not meet the outbreak definition.</w:t>
            </w:r>
          </w:p>
        </w:tc>
      </w:tr>
      <w:tr w:rsidR="00233299" w:rsidRPr="0014515B" w14:paraId="1D87E707" w14:textId="77777777" w:rsidTr="00971DE6">
        <w:tc>
          <w:tcPr>
            <w:tcW w:w="2268" w:type="dxa"/>
            <w:shd w:val="clear" w:color="auto" w:fill="DBE5F1" w:themeFill="accent1" w:themeFillTint="33"/>
          </w:tcPr>
          <w:p w14:paraId="393B6254" w14:textId="77777777" w:rsidR="00233299" w:rsidRPr="00675D6A" w:rsidRDefault="00233299" w:rsidP="00F50D64">
            <w:pPr>
              <w:pStyle w:val="Tablecolhead"/>
            </w:pPr>
            <w:r w:rsidRPr="00675D6A">
              <w:rPr>
                <w:rFonts w:eastAsia="Arial"/>
              </w:rPr>
              <w:t>Outbreak definition</w:t>
            </w:r>
          </w:p>
        </w:tc>
        <w:tc>
          <w:tcPr>
            <w:tcW w:w="7370" w:type="dxa"/>
            <w:shd w:val="clear" w:color="auto" w:fill="DBE5F1" w:themeFill="accent1" w:themeFillTint="33"/>
          </w:tcPr>
          <w:p w14:paraId="363800EA" w14:textId="3470A160" w:rsidR="00233299" w:rsidRPr="00675D6A" w:rsidRDefault="00586DB8" w:rsidP="00F50D64">
            <w:pPr>
              <w:pStyle w:val="Tablecolhead"/>
            </w:pPr>
            <w:r w:rsidRPr="00675D6A">
              <w:rPr>
                <w:rFonts w:eastAsia="Arial"/>
                <w:bCs/>
              </w:rPr>
              <w:t>Description</w:t>
            </w:r>
          </w:p>
        </w:tc>
      </w:tr>
      <w:tr w:rsidR="00233299" w:rsidRPr="0014515B" w14:paraId="395D880B" w14:textId="77777777" w:rsidTr="00A930EA">
        <w:tc>
          <w:tcPr>
            <w:tcW w:w="2268" w:type="dxa"/>
          </w:tcPr>
          <w:p w14:paraId="01B6BF1B" w14:textId="77777777" w:rsidR="00233299" w:rsidRPr="00675D6A" w:rsidRDefault="00233299" w:rsidP="00BB6DF5">
            <w:pPr>
              <w:pStyle w:val="Tabletext"/>
            </w:pPr>
            <w:r w:rsidRPr="00675D6A">
              <w:rPr>
                <w:rFonts w:eastAsia="Arial"/>
              </w:rPr>
              <w:t>Respiratory outbreak</w:t>
            </w:r>
          </w:p>
        </w:tc>
        <w:tc>
          <w:tcPr>
            <w:tcW w:w="7370" w:type="dxa"/>
          </w:tcPr>
          <w:p w14:paraId="5ACE0DD4" w14:textId="77777777" w:rsidR="00233299" w:rsidRPr="00675D6A" w:rsidRDefault="00233299" w:rsidP="00BB6DF5">
            <w:pPr>
              <w:pStyle w:val="Tabletext"/>
              <w:rPr>
                <w:rFonts w:eastAsia="Arial"/>
              </w:rPr>
            </w:pPr>
            <w:r w:rsidRPr="00675D6A">
              <w:rPr>
                <w:rFonts w:eastAsia="Arial"/>
              </w:rPr>
              <w:t>A respiratory outbreak</w:t>
            </w:r>
            <w:r w:rsidRPr="00675D6A">
              <w:t xml:space="preserve"> </w:t>
            </w:r>
            <w:r w:rsidRPr="00675D6A">
              <w:rPr>
                <w:rFonts w:eastAsia="Arial"/>
              </w:rPr>
              <w:t>in a residential care setting is defined as:</w:t>
            </w:r>
          </w:p>
          <w:p w14:paraId="2DF55F80" w14:textId="0FFFC33F" w:rsidR="00233299" w:rsidRPr="00675D6A" w:rsidRDefault="00233299" w:rsidP="0002584A">
            <w:pPr>
              <w:pStyle w:val="Bullet1"/>
              <w:rPr>
                <w:b/>
              </w:rPr>
            </w:pPr>
            <w:r w:rsidRPr="00675D6A">
              <w:rPr>
                <w:b/>
              </w:rPr>
              <w:t>Three or more</w:t>
            </w:r>
            <w:r w:rsidRPr="00675D6A">
              <w:t xml:space="preserve"> </w:t>
            </w:r>
            <w:r w:rsidRPr="00675D6A">
              <w:rPr>
                <w:b/>
              </w:rPr>
              <w:t>resident</w:t>
            </w:r>
            <w:r w:rsidRPr="00675D6A">
              <w:t xml:space="preserve"> cases of </w:t>
            </w:r>
            <w:r w:rsidRPr="000257D9">
              <w:rPr>
                <w:b/>
              </w:rPr>
              <w:t>ARI</w:t>
            </w:r>
            <w:r w:rsidRPr="00675D6A">
              <w:t xml:space="preserve"> in the facility within a 72-hour period</w:t>
            </w:r>
          </w:p>
        </w:tc>
      </w:tr>
      <w:tr w:rsidR="00233299" w:rsidRPr="0014515B" w14:paraId="337E0D7E" w14:textId="77777777" w:rsidTr="00A930EA">
        <w:tc>
          <w:tcPr>
            <w:tcW w:w="2268" w:type="dxa"/>
          </w:tcPr>
          <w:p w14:paraId="5438DFF7" w14:textId="77777777" w:rsidR="00233299" w:rsidRPr="00675D6A" w:rsidRDefault="00233299" w:rsidP="00BB6DF5">
            <w:pPr>
              <w:pStyle w:val="Tabletext"/>
            </w:pPr>
            <w:r w:rsidRPr="00675D6A">
              <w:rPr>
                <w:rFonts w:eastAsia="Arial"/>
                <w:color w:val="000000" w:themeColor="text1"/>
              </w:rPr>
              <w:t>Influenza outbreak</w:t>
            </w:r>
          </w:p>
        </w:tc>
        <w:tc>
          <w:tcPr>
            <w:tcW w:w="7370" w:type="dxa"/>
          </w:tcPr>
          <w:p w14:paraId="24F4FBFF" w14:textId="77777777" w:rsidR="00233299" w:rsidRPr="00675D6A" w:rsidRDefault="00233299" w:rsidP="00BB6DF5">
            <w:pPr>
              <w:pStyle w:val="Tabletext"/>
              <w:rPr>
                <w:rFonts w:eastAsia="Arial"/>
                <w:szCs w:val="21"/>
              </w:rPr>
            </w:pPr>
            <w:r w:rsidRPr="00675D6A">
              <w:rPr>
                <w:rFonts w:eastAsia="Arial"/>
                <w:szCs w:val="21"/>
              </w:rPr>
              <w:t xml:space="preserve">An </w:t>
            </w:r>
            <w:r w:rsidRPr="00675D6A">
              <w:rPr>
                <w:rFonts w:eastAsia="Arial"/>
                <w:b/>
                <w:szCs w:val="21"/>
              </w:rPr>
              <w:t>influenza</w:t>
            </w:r>
            <w:r w:rsidRPr="00675D6A">
              <w:rPr>
                <w:rFonts w:eastAsia="Arial"/>
                <w:szCs w:val="21"/>
              </w:rPr>
              <w:t xml:space="preserve"> outbreak in a </w:t>
            </w:r>
            <w:r w:rsidRPr="00675D6A">
              <w:rPr>
                <w:rFonts w:eastAsia="Arial"/>
              </w:rPr>
              <w:t>residential care setting is defined as:</w:t>
            </w:r>
          </w:p>
          <w:p w14:paraId="65742360" w14:textId="77777777" w:rsidR="00233299" w:rsidRPr="00675D6A" w:rsidRDefault="00233299" w:rsidP="0002584A">
            <w:pPr>
              <w:pStyle w:val="Bullet1"/>
            </w:pPr>
            <w:r w:rsidRPr="0002584A">
              <w:rPr>
                <w:b/>
                <w:bCs/>
              </w:rPr>
              <w:t>Two or more residents</w:t>
            </w:r>
            <w:r w:rsidRPr="00675D6A">
              <w:t xml:space="preserve"> in the facility test positive for </w:t>
            </w:r>
            <w:r w:rsidRPr="0002584A">
              <w:rPr>
                <w:b/>
                <w:bCs/>
              </w:rPr>
              <w:t>influenza</w:t>
            </w:r>
            <w:r w:rsidRPr="00675D6A">
              <w:t xml:space="preserve"> within a </w:t>
            </w:r>
            <w:r w:rsidRPr="0002584A">
              <w:rPr>
                <w:b/>
                <w:bCs/>
              </w:rPr>
              <w:t>72-hour period</w:t>
            </w:r>
          </w:p>
        </w:tc>
      </w:tr>
      <w:tr w:rsidR="00233299" w:rsidRPr="0014515B" w14:paraId="39B84F09" w14:textId="77777777" w:rsidTr="00A930EA">
        <w:tc>
          <w:tcPr>
            <w:tcW w:w="2268" w:type="dxa"/>
          </w:tcPr>
          <w:p w14:paraId="05D858AB" w14:textId="77777777" w:rsidR="00233299" w:rsidRPr="00675D6A" w:rsidRDefault="00233299" w:rsidP="00BB6DF5">
            <w:pPr>
              <w:pStyle w:val="Tabletext"/>
              <w:rPr>
                <w:rFonts w:eastAsia="Arial"/>
                <w:color w:val="000000" w:themeColor="text1"/>
              </w:rPr>
            </w:pPr>
            <w:r w:rsidRPr="00675D6A">
              <w:rPr>
                <w:rFonts w:eastAsia="Arial"/>
                <w:color w:val="000000" w:themeColor="text1"/>
              </w:rPr>
              <w:t>COVID-19 outbreak</w:t>
            </w:r>
          </w:p>
        </w:tc>
        <w:tc>
          <w:tcPr>
            <w:tcW w:w="7370" w:type="dxa"/>
          </w:tcPr>
          <w:p w14:paraId="57CE4CF2" w14:textId="77777777" w:rsidR="00233299" w:rsidRPr="00675D6A" w:rsidRDefault="00233299" w:rsidP="00BB6DF5">
            <w:pPr>
              <w:pStyle w:val="Tabletext"/>
              <w:rPr>
                <w:rFonts w:eastAsia="Arial"/>
              </w:rPr>
            </w:pPr>
            <w:r w:rsidRPr="00675D6A">
              <w:rPr>
                <w:rFonts w:eastAsia="Arial"/>
              </w:rPr>
              <w:t xml:space="preserve">A </w:t>
            </w:r>
            <w:r w:rsidRPr="00675D6A">
              <w:rPr>
                <w:rFonts w:eastAsia="Arial"/>
                <w:b/>
              </w:rPr>
              <w:t xml:space="preserve">COVID-19 </w:t>
            </w:r>
            <w:r w:rsidRPr="00675D6A">
              <w:rPr>
                <w:rFonts w:eastAsia="Arial"/>
              </w:rPr>
              <w:t>outbreak in a residential care setting is defined as:</w:t>
            </w:r>
          </w:p>
          <w:p w14:paraId="206ABBEE" w14:textId="661CD3C4" w:rsidR="00233299" w:rsidRPr="00675D6A" w:rsidRDefault="00233299" w:rsidP="0002584A">
            <w:pPr>
              <w:pStyle w:val="Bullet1"/>
              <w:rPr>
                <w:szCs w:val="21"/>
              </w:rPr>
            </w:pPr>
            <w:r w:rsidRPr="00675D6A">
              <w:rPr>
                <w:b/>
              </w:rPr>
              <w:t>Two or more residents</w:t>
            </w:r>
            <w:r w:rsidRPr="00675D6A">
              <w:t xml:space="preserve"> in the facility test positive to </w:t>
            </w:r>
            <w:r w:rsidRPr="00675D6A">
              <w:rPr>
                <w:b/>
              </w:rPr>
              <w:t>COVID-19</w:t>
            </w:r>
            <w:r w:rsidRPr="00675D6A">
              <w:t xml:space="preserve"> (PCR or RAT) within a </w:t>
            </w:r>
            <w:r w:rsidRPr="00675D6A">
              <w:rPr>
                <w:b/>
              </w:rPr>
              <w:t>72-hour period</w:t>
            </w:r>
          </w:p>
        </w:tc>
      </w:tr>
      <w:tr w:rsidR="00233299" w:rsidRPr="0014515B" w14:paraId="365A1CD7" w14:textId="77777777" w:rsidTr="00A930EA">
        <w:tc>
          <w:tcPr>
            <w:tcW w:w="2268" w:type="dxa"/>
          </w:tcPr>
          <w:p w14:paraId="6EBCE13C" w14:textId="77777777" w:rsidR="00233299" w:rsidRPr="00675D6A" w:rsidRDefault="00233299" w:rsidP="00BB6DF5">
            <w:pPr>
              <w:pStyle w:val="Tabletext"/>
              <w:rPr>
                <w:rFonts w:eastAsia="Arial"/>
                <w:color w:val="000000" w:themeColor="text1"/>
              </w:rPr>
            </w:pPr>
            <w:r w:rsidRPr="00675D6A">
              <w:rPr>
                <w:rFonts w:eastAsia="Arial"/>
                <w:color w:val="000000" w:themeColor="text1"/>
              </w:rPr>
              <w:t>RSV outbreak</w:t>
            </w:r>
          </w:p>
        </w:tc>
        <w:tc>
          <w:tcPr>
            <w:tcW w:w="7370" w:type="dxa"/>
          </w:tcPr>
          <w:p w14:paraId="5F19BA40" w14:textId="77777777" w:rsidR="00233299" w:rsidRPr="00675D6A" w:rsidRDefault="00233299" w:rsidP="00BB6DF5">
            <w:pPr>
              <w:pStyle w:val="Tabletext"/>
              <w:rPr>
                <w:rFonts w:eastAsia="Arial"/>
              </w:rPr>
            </w:pPr>
            <w:r w:rsidRPr="00675D6A">
              <w:rPr>
                <w:rFonts w:eastAsia="Arial"/>
              </w:rPr>
              <w:t>An RSV</w:t>
            </w:r>
            <w:r w:rsidRPr="00675D6A">
              <w:rPr>
                <w:rFonts w:eastAsia="Arial"/>
                <w:szCs w:val="21"/>
              </w:rPr>
              <w:t xml:space="preserve"> outbreak in a </w:t>
            </w:r>
            <w:r w:rsidRPr="00675D6A">
              <w:rPr>
                <w:rFonts w:eastAsia="Arial"/>
              </w:rPr>
              <w:t>residential care setting is defined as:</w:t>
            </w:r>
          </w:p>
          <w:p w14:paraId="790B0209" w14:textId="77777777" w:rsidR="00233299" w:rsidRPr="00675D6A" w:rsidRDefault="00233299" w:rsidP="0002584A">
            <w:pPr>
              <w:pStyle w:val="Bullet1"/>
            </w:pPr>
            <w:r w:rsidRPr="00675D6A">
              <w:rPr>
                <w:b/>
              </w:rPr>
              <w:t>Two or more residents</w:t>
            </w:r>
            <w:r w:rsidRPr="00675D6A">
              <w:t xml:space="preserve"> in the facility test positive to </w:t>
            </w:r>
            <w:r w:rsidRPr="00675D6A">
              <w:rPr>
                <w:b/>
              </w:rPr>
              <w:t>RSV</w:t>
            </w:r>
            <w:r w:rsidRPr="00675D6A">
              <w:t xml:space="preserve"> within a </w:t>
            </w:r>
            <w:r w:rsidRPr="00675D6A">
              <w:rPr>
                <w:b/>
              </w:rPr>
              <w:t>72-hour period</w:t>
            </w:r>
          </w:p>
        </w:tc>
      </w:tr>
    </w:tbl>
    <w:p w14:paraId="69F4222D" w14:textId="77777777" w:rsidR="00FF4D05" w:rsidRDefault="00FF4D05">
      <w:pPr>
        <w:spacing w:after="0" w:line="240" w:lineRule="auto"/>
        <w:rPr>
          <w:rFonts w:eastAsia="Times"/>
        </w:rPr>
      </w:pPr>
      <w:r>
        <w:br w:type="page"/>
      </w:r>
    </w:p>
    <w:p w14:paraId="5D018FBA" w14:textId="77777777" w:rsidR="009824FE" w:rsidRPr="0014515B" w:rsidRDefault="00233299" w:rsidP="00EA2C30">
      <w:pPr>
        <w:pStyle w:val="Heading1"/>
        <w:numPr>
          <w:ilvl w:val="0"/>
          <w:numId w:val="20"/>
        </w:numPr>
        <w:ind w:left="567"/>
      </w:pPr>
      <w:bookmarkStart w:id="1128" w:name="_Toc128755931"/>
      <w:bookmarkStart w:id="1129" w:name="_Toc128756898"/>
      <w:bookmarkStart w:id="1130" w:name="_Toc128757275"/>
      <w:bookmarkStart w:id="1131" w:name="_Toc128757971"/>
      <w:bookmarkStart w:id="1132" w:name="_Toc128997847"/>
      <w:bookmarkStart w:id="1133" w:name="_Toc128998225"/>
      <w:bookmarkStart w:id="1134" w:name="_Toc129001487"/>
      <w:bookmarkStart w:id="1135" w:name="_Toc129007325"/>
      <w:bookmarkStart w:id="1136" w:name="_Toc128755932"/>
      <w:bookmarkStart w:id="1137" w:name="_Toc128756899"/>
      <w:bookmarkStart w:id="1138" w:name="_Toc128757276"/>
      <w:bookmarkStart w:id="1139" w:name="_Toc128757972"/>
      <w:bookmarkStart w:id="1140" w:name="_Toc128997848"/>
      <w:bookmarkStart w:id="1141" w:name="_Toc128998226"/>
      <w:bookmarkStart w:id="1142" w:name="_Toc129001488"/>
      <w:bookmarkStart w:id="1143" w:name="_Toc129007326"/>
      <w:bookmarkStart w:id="1144" w:name="_Detecting_and_notifying"/>
      <w:bookmarkStart w:id="1145" w:name="_Toc16357360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Pr="0014515B">
        <w:lastRenderedPageBreak/>
        <w:t xml:space="preserve">Detecting </w:t>
      </w:r>
      <w:r w:rsidR="00C60700" w:rsidRPr="0014515B">
        <w:t>and notifying cases and outbreaks</w:t>
      </w:r>
      <w:bookmarkEnd w:id="1145"/>
    </w:p>
    <w:p w14:paraId="622CA1F0" w14:textId="77777777" w:rsidR="00423497" w:rsidRPr="00F764B6" w:rsidRDefault="00423497" w:rsidP="00F764B6">
      <w:pPr>
        <w:pStyle w:val="Heading2"/>
      </w:pPr>
      <w:bookmarkStart w:id="1146" w:name="_Toc108093066"/>
      <w:bookmarkStart w:id="1147" w:name="_Toc108623838"/>
      <w:bookmarkStart w:id="1148" w:name="_Toc109729963"/>
      <w:bookmarkStart w:id="1149" w:name="_Toc109729865"/>
      <w:bookmarkStart w:id="1150" w:name="_Toc109730832"/>
      <w:bookmarkStart w:id="1151" w:name="_Toc111121617"/>
      <w:bookmarkStart w:id="1152" w:name="_Toc111638413"/>
      <w:bookmarkStart w:id="1153" w:name="_Toc111708299"/>
      <w:bookmarkStart w:id="1154" w:name="_Toc112144721"/>
      <w:bookmarkStart w:id="1155" w:name="_Toc113443393"/>
      <w:bookmarkStart w:id="1156" w:name="_Toc163573608"/>
      <w:r w:rsidRPr="0014515B">
        <w:t>Monitor for symptoms</w:t>
      </w:r>
      <w:bookmarkEnd w:id="1146"/>
      <w:bookmarkEnd w:id="1147"/>
      <w:bookmarkEnd w:id="1148"/>
      <w:bookmarkEnd w:id="1149"/>
      <w:bookmarkEnd w:id="1150"/>
      <w:bookmarkEnd w:id="1151"/>
      <w:bookmarkEnd w:id="1152"/>
      <w:bookmarkEnd w:id="1153"/>
      <w:bookmarkEnd w:id="1154"/>
      <w:bookmarkEnd w:id="1155"/>
      <w:bookmarkEnd w:id="1156"/>
    </w:p>
    <w:p w14:paraId="654D6D7F" w14:textId="4455D915" w:rsidR="00423497" w:rsidRPr="00F764B6" w:rsidRDefault="00423497" w:rsidP="00F764B6">
      <w:pPr>
        <w:pStyle w:val="Body"/>
      </w:pPr>
      <w:r w:rsidRPr="0014515B">
        <w:t xml:space="preserve">To detect respiratory illnesses and outbreaks early, all residents should be routinely monitored for respiratory symptoms. All </w:t>
      </w:r>
      <w:r w:rsidRPr="00F764B6">
        <w:t>staff working at the facility should self-monitor for symptoms</w:t>
      </w:r>
      <w:r w:rsidR="00791149" w:rsidRPr="00F764B6">
        <w:t xml:space="preserve">. Symptomatic staff and residents should </w:t>
      </w:r>
      <w:r w:rsidRPr="00F764B6">
        <w:t>follow testing recommendations</w:t>
      </w:r>
      <w:r w:rsidR="00791149" w:rsidRPr="00F764B6">
        <w:t>.</w:t>
      </w:r>
    </w:p>
    <w:p w14:paraId="2C75DE6F" w14:textId="67682BB5" w:rsidR="00782479" w:rsidRPr="0014515B" w:rsidRDefault="00782479" w:rsidP="00F764B6">
      <w:pPr>
        <w:pStyle w:val="Body"/>
      </w:pPr>
      <w:r w:rsidRPr="00F764B6">
        <w:t>In the elderly, other symptoms</w:t>
      </w:r>
      <w:r w:rsidRPr="0014515B">
        <w:t xml:space="preserve"> to consider include new onset or increase in confusion, change in baseline behaviour, falling, or exacerbation of underlying illness</w:t>
      </w:r>
    </w:p>
    <w:p w14:paraId="666E7DE5" w14:textId="77777777" w:rsidR="00423497" w:rsidRPr="0014515B" w:rsidRDefault="00423497" w:rsidP="00423497">
      <w:pPr>
        <w:pStyle w:val="Heading2"/>
      </w:pPr>
      <w:bookmarkStart w:id="1157" w:name="_Toc108093067"/>
      <w:bookmarkStart w:id="1158" w:name="_Toc108623839"/>
      <w:bookmarkStart w:id="1159" w:name="_Toc109729964"/>
      <w:bookmarkStart w:id="1160" w:name="_Toc109729866"/>
      <w:bookmarkStart w:id="1161" w:name="_Toc109730833"/>
      <w:bookmarkStart w:id="1162" w:name="_Toc111121618"/>
      <w:bookmarkStart w:id="1163" w:name="_Toc111638414"/>
      <w:bookmarkStart w:id="1164" w:name="_Toc111708300"/>
      <w:bookmarkStart w:id="1165" w:name="_Toc112144722"/>
      <w:bookmarkStart w:id="1166" w:name="_Toc113443394"/>
      <w:bookmarkStart w:id="1167" w:name="_Toc163573609"/>
      <w:r w:rsidRPr="0014515B">
        <w:t>Conduct appropriate testing</w:t>
      </w:r>
      <w:bookmarkEnd w:id="1157"/>
      <w:bookmarkEnd w:id="1158"/>
      <w:bookmarkEnd w:id="1159"/>
      <w:bookmarkEnd w:id="1160"/>
      <w:bookmarkEnd w:id="1161"/>
      <w:bookmarkEnd w:id="1162"/>
      <w:bookmarkEnd w:id="1163"/>
      <w:bookmarkEnd w:id="1164"/>
      <w:bookmarkEnd w:id="1165"/>
      <w:bookmarkEnd w:id="1166"/>
      <w:bookmarkEnd w:id="1167"/>
    </w:p>
    <w:p w14:paraId="37E0B573" w14:textId="1DA00175" w:rsidR="00423497" w:rsidRPr="0014515B" w:rsidRDefault="00423497" w:rsidP="00423497">
      <w:pPr>
        <w:pStyle w:val="Body"/>
      </w:pPr>
      <w:r w:rsidRPr="0014515B">
        <w:t xml:space="preserve">All symptomatic residents should </w:t>
      </w:r>
      <w:r w:rsidR="0004376E" w:rsidRPr="00403484">
        <w:t>isolate and</w:t>
      </w:r>
      <w:r w:rsidR="0004376E" w:rsidRPr="0014515B">
        <w:t xml:space="preserve"> </w:t>
      </w:r>
      <w:r w:rsidRPr="0014515B">
        <w:t xml:space="preserve">be tested immediately. Any staff with respiratory symptoms </w:t>
      </w:r>
      <w:r w:rsidR="00F55E4B" w:rsidRPr="00403484">
        <w:t>should</w:t>
      </w:r>
      <w:r w:rsidR="00F55E4B" w:rsidRPr="0014515B">
        <w:t xml:space="preserve"> </w:t>
      </w:r>
      <w:r w:rsidRPr="0014515B">
        <w:t xml:space="preserve">not enter the workplace, </w:t>
      </w:r>
      <w:r w:rsidR="00F55E4B" w:rsidRPr="00403484">
        <w:t>should</w:t>
      </w:r>
      <w:r w:rsidR="00F55E4B" w:rsidRPr="0014515B">
        <w:t xml:space="preserve"> </w:t>
      </w:r>
      <w:r w:rsidRPr="0014515B">
        <w:t>isolate, and undergo testing. This should occur during an outbreak and when there is no outbreak declared.</w:t>
      </w:r>
    </w:p>
    <w:p w14:paraId="429DCEE6" w14:textId="41C4E437" w:rsidR="00423497" w:rsidRPr="0014515B" w:rsidRDefault="00423497" w:rsidP="00423497">
      <w:pPr>
        <w:pStyle w:val="Body"/>
      </w:pPr>
      <w:r w:rsidRPr="0014515B">
        <w:t xml:space="preserve">This means a resident (or staff member) who has respiratory </w:t>
      </w:r>
      <w:r w:rsidR="00782479">
        <w:t xml:space="preserve">or other relevant </w:t>
      </w:r>
      <w:r w:rsidRPr="0014515B">
        <w:t>symptoms should receive:</w:t>
      </w:r>
    </w:p>
    <w:p w14:paraId="3B172A64" w14:textId="55FBA178" w:rsidR="00423497" w:rsidRPr="0014515B" w:rsidRDefault="00423497" w:rsidP="00F764B6">
      <w:pPr>
        <w:pStyle w:val="Bullet1"/>
      </w:pPr>
      <w:r w:rsidRPr="0014515B">
        <w:t xml:space="preserve">A </w:t>
      </w:r>
      <w:r w:rsidR="00F50D64">
        <w:t>RAT</w:t>
      </w:r>
      <w:r w:rsidRPr="0014515B">
        <w:t xml:space="preserve"> for COVID-19</w:t>
      </w:r>
    </w:p>
    <w:p w14:paraId="02C21A32" w14:textId="77777777" w:rsidR="00423497" w:rsidRPr="0014515B" w:rsidRDefault="00423497" w:rsidP="00EA2C30">
      <w:pPr>
        <w:pStyle w:val="Bullet2"/>
        <w:numPr>
          <w:ilvl w:val="0"/>
          <w:numId w:val="16"/>
        </w:numPr>
      </w:pPr>
      <w:r w:rsidRPr="0014515B">
        <w:t>If positive, no further testing required</w:t>
      </w:r>
    </w:p>
    <w:p w14:paraId="6B7397CC" w14:textId="669BDEB8" w:rsidR="00423497" w:rsidRPr="0014515B" w:rsidRDefault="00423497" w:rsidP="00EA2C30">
      <w:pPr>
        <w:pStyle w:val="Bullet2"/>
        <w:numPr>
          <w:ilvl w:val="0"/>
          <w:numId w:val="16"/>
        </w:numPr>
      </w:pPr>
      <w:r w:rsidRPr="0014515B">
        <w:t>If negative proceed to:</w:t>
      </w:r>
    </w:p>
    <w:p w14:paraId="4C9370AF" w14:textId="062F7B5A" w:rsidR="00423497" w:rsidRPr="0014515B" w:rsidRDefault="00423497" w:rsidP="00F764B6">
      <w:pPr>
        <w:pStyle w:val="Bullet1"/>
      </w:pPr>
      <w:r w:rsidRPr="0014515B">
        <w:t>A throat and nasal swab for multiplex respiratory PCR (includes SARS-CoV-2, influenza A/B, other respiratory viruses including RSV)</w:t>
      </w:r>
    </w:p>
    <w:p w14:paraId="4F56D8FE" w14:textId="77777777" w:rsidR="00423497" w:rsidRPr="0014515B" w:rsidRDefault="00423497" w:rsidP="00A76879">
      <w:pPr>
        <w:pStyle w:val="Bodyafterbullets"/>
      </w:pPr>
      <w:r w:rsidRPr="0014515B">
        <w:rPr>
          <w:b/>
          <w:bCs/>
        </w:rPr>
        <w:t>OR</w:t>
      </w:r>
      <w:r w:rsidRPr="0014515B">
        <w:t xml:space="preserve"> if timely results will not be available for multiplex PCR, testing should include:</w:t>
      </w:r>
    </w:p>
    <w:p w14:paraId="51CF65EF" w14:textId="77777777" w:rsidR="00423497" w:rsidRPr="0014515B" w:rsidRDefault="00423497" w:rsidP="00F764B6">
      <w:pPr>
        <w:pStyle w:val="Bullet1"/>
      </w:pPr>
      <w:r w:rsidRPr="0014515B">
        <w:t>A throat and nasal swab for influenza A/B PCR AND a throat and nasal swab for SARS-CoV-2 PCR.</w:t>
      </w:r>
    </w:p>
    <w:p w14:paraId="1C865D9D" w14:textId="77777777" w:rsidR="00423497" w:rsidRPr="0014515B" w:rsidRDefault="00423497" w:rsidP="00F764B6">
      <w:pPr>
        <w:pStyle w:val="Bodyafterbullets"/>
      </w:pPr>
      <w:r w:rsidRPr="0014515B">
        <w:t>RCFs that are unable to organise tests to be taken on-site should facilitate testing via testing GPs/health services where possible.</w:t>
      </w:r>
    </w:p>
    <w:p w14:paraId="69C21711" w14:textId="0B5588C3" w:rsidR="00423497" w:rsidRDefault="00423497" w:rsidP="00423497">
      <w:pPr>
        <w:pStyle w:val="Heading2"/>
      </w:pPr>
      <w:bookmarkStart w:id="1168" w:name="_Toc108623840"/>
      <w:bookmarkStart w:id="1169" w:name="_Toc109729965"/>
      <w:bookmarkStart w:id="1170" w:name="_Toc109729867"/>
      <w:bookmarkStart w:id="1171" w:name="_Toc109730834"/>
      <w:bookmarkStart w:id="1172" w:name="_Toc108093068"/>
      <w:bookmarkStart w:id="1173" w:name="_Toc111121619"/>
      <w:bookmarkStart w:id="1174" w:name="_Toc111638415"/>
      <w:bookmarkStart w:id="1175" w:name="_Toc111708301"/>
      <w:bookmarkStart w:id="1176" w:name="_Toc112144723"/>
      <w:bookmarkStart w:id="1177" w:name="_Toc113443395"/>
      <w:bookmarkStart w:id="1178" w:name="_Toc163573610"/>
      <w:r w:rsidRPr="0014515B">
        <w:t xml:space="preserve">Notifying </w:t>
      </w:r>
      <w:bookmarkEnd w:id="1168"/>
      <w:bookmarkEnd w:id="1169"/>
      <w:bookmarkEnd w:id="1170"/>
      <w:bookmarkEnd w:id="1171"/>
      <w:r w:rsidRPr="0014515B">
        <w:t xml:space="preserve">cases </w:t>
      </w:r>
      <w:bookmarkEnd w:id="1172"/>
      <w:r w:rsidRPr="0014515B">
        <w:t>and outbreaks</w:t>
      </w:r>
      <w:bookmarkEnd w:id="1173"/>
      <w:bookmarkEnd w:id="1174"/>
      <w:bookmarkEnd w:id="1175"/>
      <w:bookmarkEnd w:id="1176"/>
      <w:bookmarkEnd w:id="1177"/>
      <w:bookmarkEnd w:id="1178"/>
    </w:p>
    <w:p w14:paraId="6B6C5B6E" w14:textId="18A1D1FE" w:rsidR="00F764B6" w:rsidRPr="00F764B6" w:rsidRDefault="00F764B6" w:rsidP="00F764B6">
      <w:pPr>
        <w:pStyle w:val="Heading3"/>
      </w:pPr>
      <w:r>
        <w:t>COVID-19 case notification</w:t>
      </w:r>
    </w:p>
    <w:p w14:paraId="64746F6F" w14:textId="1301CD13" w:rsidR="0047561F" w:rsidRPr="00F764B6" w:rsidRDefault="00423497" w:rsidP="00F764B6">
      <w:pPr>
        <w:pStyle w:val="Bullet1"/>
      </w:pPr>
      <w:r w:rsidRPr="00F764B6">
        <w:t>WorkSafe must be notified if a staff member contracts COVID-19 at a workplace and requires immediate in-patient care or dies as a result</w:t>
      </w:r>
      <w:r w:rsidR="00F764B6">
        <w:t>.</w:t>
      </w:r>
    </w:p>
    <w:p w14:paraId="349CF929" w14:textId="3EDE4DBF" w:rsidR="00423497" w:rsidRPr="00ED2610" w:rsidRDefault="0044455B" w:rsidP="00F764B6">
      <w:pPr>
        <w:pStyle w:val="Bullet1"/>
      </w:pPr>
      <w:r w:rsidRPr="00F764B6">
        <w:t xml:space="preserve">All RCFs should remain </w:t>
      </w:r>
      <w:r w:rsidR="00926802" w:rsidRPr="00F764B6">
        <w:t>up to date</w:t>
      </w:r>
      <w:r w:rsidRPr="00F764B6">
        <w:t xml:space="preserve"> with</w:t>
      </w:r>
      <w:r w:rsidRPr="00ED2610">
        <w:t xml:space="preserve"> th</w:t>
      </w:r>
      <w:r w:rsidR="00640F9C" w:rsidRPr="00ED2610">
        <w:t>eir sector</w:t>
      </w:r>
      <w:r w:rsidR="00290C0C" w:rsidRPr="00ED2610">
        <w:t xml:space="preserve"> </w:t>
      </w:r>
      <w:r w:rsidR="00640F9C" w:rsidRPr="00ED2610">
        <w:t xml:space="preserve">specific notification </w:t>
      </w:r>
      <w:r w:rsidR="00E0396B" w:rsidRPr="00ED2610">
        <w:t>requirements and</w:t>
      </w:r>
      <w:r w:rsidR="00F358CD" w:rsidRPr="00ED2610">
        <w:t xml:space="preserve"> </w:t>
      </w:r>
      <w:r w:rsidR="006575B9" w:rsidRPr="00ED2610">
        <w:t xml:space="preserve">notify positive </w:t>
      </w:r>
      <w:r w:rsidR="00D935F8" w:rsidRPr="00ED2610">
        <w:t xml:space="preserve">COVID-19 cases to </w:t>
      </w:r>
      <w:r w:rsidR="00175192" w:rsidRPr="00ED2610">
        <w:t xml:space="preserve">the relevant </w:t>
      </w:r>
      <w:r w:rsidR="007A2D43" w:rsidRPr="00ED2610">
        <w:t xml:space="preserve">agencies </w:t>
      </w:r>
      <w:r w:rsidR="00D935F8" w:rsidRPr="00ED2610">
        <w:t>accordingly.</w:t>
      </w:r>
    </w:p>
    <w:p w14:paraId="00AC3D1C" w14:textId="77777777" w:rsidR="00423497" w:rsidRPr="00F764B6" w:rsidRDefault="00423497" w:rsidP="00ED5487">
      <w:pPr>
        <w:pStyle w:val="Heading3"/>
      </w:pPr>
      <w:bookmarkStart w:id="1179" w:name="_Toc113443397"/>
      <w:r w:rsidRPr="00F764B6">
        <w:t>Individual cases of influenza or RSV</w:t>
      </w:r>
      <w:bookmarkEnd w:id="1179"/>
    </w:p>
    <w:p w14:paraId="6AB105A7" w14:textId="318B86E7" w:rsidR="00423497" w:rsidRPr="0014515B" w:rsidRDefault="00423497" w:rsidP="00F764B6">
      <w:pPr>
        <w:pStyle w:val="Bullet1"/>
      </w:pPr>
      <w:r w:rsidRPr="0014515B">
        <w:t xml:space="preserve">RCFs do not need to notify individual cases of influenza or </w:t>
      </w:r>
      <w:r w:rsidR="00926802" w:rsidRPr="0014515B">
        <w:t>RSV but</w:t>
      </w:r>
      <w:r w:rsidRPr="0014515B">
        <w:t xml:space="preserve"> should report outbreaks as below.</w:t>
      </w:r>
    </w:p>
    <w:p w14:paraId="2432D780" w14:textId="77777777" w:rsidR="00423497" w:rsidRPr="0014515B" w:rsidRDefault="00423497" w:rsidP="00ED5487">
      <w:pPr>
        <w:pStyle w:val="Heading3"/>
      </w:pPr>
      <w:bookmarkStart w:id="1180" w:name="_Toc111121621"/>
      <w:bookmarkStart w:id="1181" w:name="_Toc111638417"/>
      <w:bookmarkStart w:id="1182" w:name="_Toc111648935"/>
      <w:bookmarkStart w:id="1183" w:name="_Toc111708303"/>
      <w:bookmarkStart w:id="1184" w:name="_Toc112144725"/>
      <w:bookmarkStart w:id="1185" w:name="_Toc113443398"/>
      <w:r w:rsidRPr="0014515B">
        <w:lastRenderedPageBreak/>
        <w:t>Outbreak notification</w:t>
      </w:r>
      <w:bookmarkEnd w:id="1180"/>
      <w:bookmarkEnd w:id="1181"/>
      <w:bookmarkEnd w:id="1182"/>
      <w:bookmarkEnd w:id="1183"/>
      <w:bookmarkEnd w:id="1184"/>
      <w:bookmarkEnd w:id="1185"/>
    </w:p>
    <w:p w14:paraId="4D8203CB" w14:textId="77777777" w:rsidR="00423497" w:rsidRPr="0014515B" w:rsidRDefault="00423497" w:rsidP="00423497">
      <w:pPr>
        <w:pStyle w:val="Heading4"/>
      </w:pPr>
      <w:r w:rsidRPr="0014515B">
        <w:t>Acute respiratory infections – respiratory outbreak</w:t>
      </w:r>
    </w:p>
    <w:p w14:paraId="7C366336" w14:textId="50C32827" w:rsidR="00423497" w:rsidRPr="0014515B" w:rsidRDefault="00423497" w:rsidP="00423497">
      <w:pPr>
        <w:pStyle w:val="Body"/>
      </w:pPr>
      <w:r>
        <w:t xml:space="preserve">To detect and respond to outbreaks early, all RCFs are strongly recommended to notify the </w:t>
      </w:r>
      <w:bookmarkStart w:id="1186" w:name="_Int_YHfi2ZTH"/>
      <w:r>
        <w:t>LPHU</w:t>
      </w:r>
      <w:bookmarkEnd w:id="1186"/>
      <w:r>
        <w:t xml:space="preserve"> and department as below when they have a respiratory outbreak at their facility. Respiratory outbreaks should be reported promptly – there is no need to wait for test results prior to reporting.</w:t>
      </w:r>
    </w:p>
    <w:p w14:paraId="4D88FEEF" w14:textId="374A69DB" w:rsidR="00423497" w:rsidRPr="0014515B" w:rsidRDefault="00D6383E" w:rsidP="00423497">
      <w:pPr>
        <w:pStyle w:val="Heading4"/>
      </w:pPr>
      <w:r>
        <w:t xml:space="preserve">Confirmed </w:t>
      </w:r>
      <w:r w:rsidR="00423497">
        <w:t>COVID-19</w:t>
      </w:r>
      <w:r>
        <w:t xml:space="preserve">, </w:t>
      </w:r>
      <w:r w:rsidR="063219DA">
        <w:t>influenza,</w:t>
      </w:r>
      <w:r>
        <w:t xml:space="preserve"> or RSV</w:t>
      </w:r>
      <w:r w:rsidR="00423497">
        <w:t xml:space="preserve"> </w:t>
      </w:r>
      <w:r w:rsidR="0013459C">
        <w:t>o</w:t>
      </w:r>
      <w:r w:rsidR="00423497">
        <w:t>utbreak</w:t>
      </w:r>
    </w:p>
    <w:p w14:paraId="5C211C08" w14:textId="61DF99D8" w:rsidR="0013459C" w:rsidRPr="0014515B" w:rsidRDefault="006816CC" w:rsidP="00F764B6">
      <w:pPr>
        <w:pStyle w:val="Body"/>
      </w:pPr>
      <w:r>
        <w:t xml:space="preserve">All RCFs </w:t>
      </w:r>
      <w:r w:rsidRPr="6B2561BA">
        <w:t>should report outbreaks of COVID-19</w:t>
      </w:r>
      <w:r w:rsidR="001138B3" w:rsidRPr="6B2561BA">
        <w:t xml:space="preserve">, </w:t>
      </w:r>
      <w:r w:rsidR="4CFA6C55" w:rsidRPr="6B2561BA">
        <w:t>influenza,</w:t>
      </w:r>
      <w:r w:rsidR="001138B3" w:rsidRPr="6B2561BA">
        <w:t xml:space="preserve"> or RSV</w:t>
      </w:r>
      <w:r w:rsidRPr="6B2561BA">
        <w:t xml:space="preserve"> so that LPHUs can provide support managing the outbreak.</w:t>
      </w:r>
    </w:p>
    <w:p w14:paraId="152D08ED" w14:textId="77777777" w:rsidR="00423497" w:rsidRPr="008F741F" w:rsidRDefault="00423497" w:rsidP="00423497">
      <w:pPr>
        <w:pStyle w:val="Heading4"/>
      </w:pPr>
      <w:r w:rsidRPr="008F741F">
        <w:t>How to notify outbreaks</w:t>
      </w:r>
    </w:p>
    <w:p w14:paraId="42CE549F" w14:textId="77777777" w:rsidR="00423497" w:rsidRPr="008F741F" w:rsidRDefault="00423497" w:rsidP="00423497">
      <w:pPr>
        <w:pStyle w:val="Body"/>
      </w:pPr>
      <w:r w:rsidRPr="008F741F">
        <w:t>RCFs can notify LPHUs and the department of an outbreak via the following channels:</w:t>
      </w:r>
    </w:p>
    <w:p w14:paraId="00913CEB" w14:textId="72CFE1CD" w:rsidR="00423497" w:rsidRDefault="00000000" w:rsidP="008F741F">
      <w:pPr>
        <w:pStyle w:val="Numberdigit"/>
      </w:pPr>
      <w:hyperlink r:id="rId50" w:history="1">
        <w:r w:rsidR="00370106" w:rsidRPr="008F741F">
          <w:rPr>
            <w:rStyle w:val="Hyperlink"/>
            <w:szCs w:val="21"/>
          </w:rPr>
          <w:t>Outbreak Notification Form</w:t>
        </w:r>
      </w:hyperlink>
      <w:r w:rsidR="00370106" w:rsidRPr="008F741F">
        <w:rPr>
          <w:szCs w:val="21"/>
        </w:rPr>
        <w:t xml:space="preserve"> &lt;https://dhvicgovau.powerappsportals.com/outbreak-notification/&gt;</w:t>
      </w:r>
      <w:r w:rsidR="00423497" w:rsidRPr="008F741F">
        <w:rPr>
          <w:szCs w:val="21"/>
        </w:rPr>
        <w:t>: F</w:t>
      </w:r>
      <w:r w:rsidR="00423497" w:rsidRPr="0014515B">
        <w:t xml:space="preserve">acility completes online notification form for the </w:t>
      </w:r>
      <w:r w:rsidR="00E97F4E">
        <w:t>d</w:t>
      </w:r>
      <w:r w:rsidR="00423497" w:rsidRPr="0014515B">
        <w:t>epartment which is then emailed directly to the appropriate LPHU</w:t>
      </w:r>
      <w:r w:rsidR="008F741F">
        <w:t>.</w:t>
      </w:r>
    </w:p>
    <w:p w14:paraId="719C7902" w14:textId="512C706F" w:rsidR="00752420" w:rsidRPr="00051CB4" w:rsidRDefault="00000000" w:rsidP="008F741F">
      <w:pPr>
        <w:pStyle w:val="Numberdigit"/>
      </w:pPr>
      <w:hyperlink r:id="rId51" w:history="1">
        <w:r w:rsidR="00782479" w:rsidRPr="00051CB4">
          <w:rPr>
            <w:rStyle w:val="Hyperlink"/>
          </w:rPr>
          <w:t>Local Public Health Units</w:t>
        </w:r>
      </w:hyperlink>
      <w:r w:rsidR="00782479" w:rsidRPr="00051CB4">
        <w:t xml:space="preserve"> </w:t>
      </w:r>
      <w:r w:rsidR="00CF69DA">
        <w:t>&lt;</w:t>
      </w:r>
      <w:r w:rsidR="00CF69DA" w:rsidRPr="00F52E51">
        <w:t>https://www.health.vic.gov.au/local-public-health-unit</w:t>
      </w:r>
      <w:r w:rsidR="008D58F1">
        <w:t xml:space="preserve">s&gt; </w:t>
      </w:r>
      <w:r w:rsidR="00782479" w:rsidRPr="00051CB4">
        <w:t>- notify the relevant LPHU for your location directly</w:t>
      </w:r>
      <w:r w:rsidR="008F741F">
        <w:t>.</w:t>
      </w:r>
    </w:p>
    <w:p w14:paraId="5EDABF16" w14:textId="160B093A" w:rsidR="00423497" w:rsidRPr="0014515B" w:rsidRDefault="00423497" w:rsidP="008F741F">
      <w:pPr>
        <w:pStyle w:val="Numberdigit"/>
      </w:pPr>
      <w:r w:rsidRPr="0014515B">
        <w:t>Facilities can also phone through the notification to 1300 651 160</w:t>
      </w:r>
      <w:r w:rsidR="008F741F">
        <w:t>.</w:t>
      </w:r>
    </w:p>
    <w:p w14:paraId="53B4DDB0" w14:textId="2C166531" w:rsidR="00423497" w:rsidRPr="0014515B" w:rsidRDefault="00423497" w:rsidP="00423497">
      <w:pPr>
        <w:pStyle w:val="Heading2"/>
      </w:pPr>
      <w:bookmarkStart w:id="1187" w:name="_Toc108533837"/>
      <w:bookmarkStart w:id="1188" w:name="_Toc108597886"/>
      <w:bookmarkStart w:id="1189" w:name="_Toc108603938"/>
      <w:bookmarkStart w:id="1190" w:name="_Toc108612048"/>
      <w:bookmarkStart w:id="1191" w:name="_Toc108613304"/>
      <w:bookmarkStart w:id="1192" w:name="_Toc108613514"/>
      <w:bookmarkStart w:id="1193" w:name="_Toc108623217"/>
      <w:bookmarkStart w:id="1194" w:name="_Toc108623425"/>
      <w:bookmarkStart w:id="1195" w:name="_Toc108623633"/>
      <w:bookmarkStart w:id="1196" w:name="_Toc108623841"/>
      <w:bookmarkStart w:id="1197" w:name="_Toc108186830"/>
      <w:bookmarkStart w:id="1198" w:name="_Toc108694091"/>
      <w:bookmarkStart w:id="1199" w:name="_Toc108704166"/>
      <w:bookmarkStart w:id="1200" w:name="_Toc108709909"/>
      <w:bookmarkStart w:id="1201" w:name="_Toc108093069"/>
      <w:bookmarkStart w:id="1202" w:name="_Toc108623842"/>
      <w:bookmarkStart w:id="1203" w:name="_Toc109729966"/>
      <w:bookmarkStart w:id="1204" w:name="_Toc109729868"/>
      <w:bookmarkStart w:id="1205" w:name="_Toc109730835"/>
      <w:bookmarkStart w:id="1206" w:name="_Toc111121622"/>
      <w:bookmarkStart w:id="1207" w:name="_Toc111638418"/>
      <w:bookmarkStart w:id="1208" w:name="_Toc111708304"/>
      <w:bookmarkStart w:id="1209" w:name="_Toc112144726"/>
      <w:bookmarkStart w:id="1210" w:name="_Toc113443399"/>
      <w:bookmarkStart w:id="1211" w:name="_Toc163573611"/>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r w:rsidRPr="0014515B">
        <w:t xml:space="preserve">Notifying resident and facility </w:t>
      </w:r>
      <w:bookmarkEnd w:id="1201"/>
      <w:bookmarkEnd w:id="1202"/>
      <w:bookmarkEnd w:id="1203"/>
      <w:bookmarkEnd w:id="1204"/>
      <w:bookmarkEnd w:id="1205"/>
      <w:bookmarkEnd w:id="1206"/>
      <w:bookmarkEnd w:id="1207"/>
      <w:bookmarkEnd w:id="1208"/>
      <w:bookmarkEnd w:id="1209"/>
      <w:bookmarkEnd w:id="1210"/>
      <w:r w:rsidR="00F320E4">
        <w:t>GPs</w:t>
      </w:r>
      <w:bookmarkEnd w:id="1211"/>
    </w:p>
    <w:p w14:paraId="5491C164" w14:textId="6027814A" w:rsidR="009824FE" w:rsidRPr="0014515B" w:rsidRDefault="00423497" w:rsidP="009824FE">
      <w:pPr>
        <w:pStyle w:val="Body"/>
      </w:pPr>
      <w:r>
        <w:t xml:space="preserve">Unwell residents require medical review by their GP regardless of whether an outbreak is present or not. If a respiratory outbreak is present, all visiting GPs should be informed at the start of the outbreak. This will facilitate swabs being obtained, </w:t>
      </w:r>
      <w:bookmarkStart w:id="1212" w:name="_Int_dHt9QCRF"/>
      <w:r>
        <w:t>early treatment</w:t>
      </w:r>
      <w:bookmarkEnd w:id="1212"/>
      <w:r>
        <w:t xml:space="preserve"> for symptomatic residents and consideration of provision of </w:t>
      </w:r>
      <w:r w:rsidR="00902DD2">
        <w:t xml:space="preserve">post-exposure </w:t>
      </w:r>
      <w:r>
        <w:t>prophylaxis (influenza only). It is important to speak with the LPHU to confirm the presence of an outbreak before issuing the outbreak letters to visiting GPs.</w:t>
      </w:r>
      <w:bookmarkStart w:id="1213" w:name="_Toc109142074"/>
      <w:bookmarkEnd w:id="1213"/>
    </w:p>
    <w:p w14:paraId="68F05EFC" w14:textId="77777777" w:rsidR="0080145D" w:rsidRDefault="0080145D" w:rsidP="004C588F">
      <w:pPr>
        <w:pStyle w:val="Body"/>
      </w:pPr>
    </w:p>
    <w:p w14:paraId="3C940F31" w14:textId="67EF788B" w:rsidR="004C588F" w:rsidRPr="004C588F" w:rsidRDefault="004C588F" w:rsidP="004C588F">
      <w:pPr>
        <w:pStyle w:val="Body"/>
        <w:sectPr w:rsidR="004C588F" w:rsidRPr="004C588F" w:rsidSect="00C072F4">
          <w:headerReference w:type="even" r:id="rId52"/>
          <w:headerReference w:type="default" r:id="rId53"/>
          <w:footerReference w:type="even" r:id="rId54"/>
          <w:footerReference w:type="default" r:id="rId55"/>
          <w:footerReference w:type="first" r:id="rId56"/>
          <w:pgSz w:w="11906" w:h="16838" w:code="9"/>
          <w:pgMar w:top="1418" w:right="1304" w:bottom="1134" w:left="1304" w:header="680" w:footer="851" w:gutter="0"/>
          <w:cols w:space="340"/>
          <w:titlePg/>
          <w:docGrid w:linePitch="360"/>
        </w:sectPr>
      </w:pPr>
    </w:p>
    <w:p w14:paraId="20CBDECD" w14:textId="5AA2A708" w:rsidR="009824FE" w:rsidRPr="0014515B" w:rsidRDefault="00423497" w:rsidP="00EA2C30">
      <w:pPr>
        <w:pStyle w:val="Heading1"/>
        <w:numPr>
          <w:ilvl w:val="0"/>
          <w:numId w:val="20"/>
        </w:numPr>
        <w:ind w:left="709"/>
      </w:pPr>
      <w:bookmarkStart w:id="1214" w:name="_Influenza_outbreak_and"/>
      <w:bookmarkStart w:id="1215" w:name="_Toc163573612"/>
      <w:bookmarkEnd w:id="1214"/>
      <w:r>
        <w:lastRenderedPageBreak/>
        <w:t>Influenza outb</w:t>
      </w:r>
      <w:r w:rsidR="004E239A">
        <w:t>reak and respiratory outbreak management</w:t>
      </w:r>
      <w:bookmarkEnd w:id="1215"/>
    </w:p>
    <w:p w14:paraId="671D532D" w14:textId="4093053E" w:rsidR="00755269" w:rsidRPr="0014515B" w:rsidRDefault="00755269" w:rsidP="00755269">
      <w:pPr>
        <w:pStyle w:val="Body"/>
      </w:pPr>
      <w:r w:rsidRPr="0014515B">
        <w:t xml:space="preserve">This section provides information on the recommended actions to be implemented for initial management of a respiratory outbreak while waiting for test results to be available, and for confirmed influenza outbreaks. Further information is included in </w:t>
      </w:r>
      <w:hyperlink w:anchor="_Non-influenza,_non-COVID-19_outbrea" w:history="1">
        <w:r w:rsidR="00B3603E" w:rsidRPr="003A0939">
          <w:rPr>
            <w:rStyle w:val="Hyperlink"/>
          </w:rPr>
          <w:t>section 9</w:t>
        </w:r>
      </w:hyperlink>
      <w:r w:rsidRPr="0014515B">
        <w:t xml:space="preserve"> for ongoing management of </w:t>
      </w:r>
      <w:r w:rsidR="000257D9">
        <w:t>ARI</w:t>
      </w:r>
      <w:r w:rsidRPr="0014515B">
        <w:t xml:space="preserve"> outbreaks including RSV outbreaks, if COVID</w:t>
      </w:r>
      <w:r w:rsidR="00FB2170">
        <w:t>-19</w:t>
      </w:r>
      <w:r w:rsidRPr="0014515B">
        <w:t xml:space="preserve"> and influenza have been excluded. </w:t>
      </w:r>
      <w:r>
        <w:t xml:space="preserve">See </w:t>
      </w:r>
      <w:hyperlink w:anchor="_Toc129007302" w:history="1">
        <w:r w:rsidR="00B3603E" w:rsidRPr="003A0939">
          <w:rPr>
            <w:rStyle w:val="Hyperlink"/>
          </w:rPr>
          <w:t>section 4</w:t>
        </w:r>
      </w:hyperlink>
      <w:r>
        <w:t xml:space="preserve"> for outbreak definitions.</w:t>
      </w:r>
    </w:p>
    <w:p w14:paraId="6B0CDDE8" w14:textId="5C92B4A7" w:rsidR="00755269" w:rsidRPr="0014515B" w:rsidRDefault="00755269" w:rsidP="00755269">
      <w:pPr>
        <w:pStyle w:val="Body"/>
      </w:pPr>
      <w:r>
        <w:t xml:space="preserve">Facilities should refer to the </w:t>
      </w:r>
      <w:hyperlink r:id="rId57">
        <w:r w:rsidR="00B724DF" w:rsidRPr="6B2561BA">
          <w:rPr>
            <w:rStyle w:val="Hyperlink"/>
          </w:rPr>
          <w:t>checklist available online</w:t>
        </w:r>
      </w:hyperlink>
      <w:r w:rsidR="008446E6">
        <w:t xml:space="preserve"> &lt;https://www.health.vic.gov.au/infectious-diseases/acute-respiratory-infection-management-rcf</w:t>
      </w:r>
      <w:r w:rsidR="7A57E7DD">
        <w:t>&gt; during</w:t>
      </w:r>
      <w:r>
        <w:t xml:space="preserve"> an outbreak.</w:t>
      </w:r>
    </w:p>
    <w:p w14:paraId="58129F81" w14:textId="164668E9" w:rsidR="00A5288F" w:rsidRPr="0014515B" w:rsidRDefault="00A5288F" w:rsidP="00A5288F">
      <w:pPr>
        <w:pStyle w:val="Body"/>
        <w:rPr>
          <w:b/>
          <w:bCs/>
        </w:rPr>
      </w:pPr>
      <w:r w:rsidRPr="0014515B">
        <w:rPr>
          <w:b/>
          <w:bCs/>
        </w:rPr>
        <w:t xml:space="preserve">If a facility has concurrent cases of influenza or another respiratory infection </w:t>
      </w:r>
      <w:r w:rsidRPr="0014515B">
        <w:rPr>
          <w:b/>
          <w:u w:val="single"/>
        </w:rPr>
        <w:t>and</w:t>
      </w:r>
      <w:r w:rsidRPr="0014515B">
        <w:rPr>
          <w:b/>
          <w:bCs/>
        </w:rPr>
        <w:t xml:space="preserve"> COVID-19, </w:t>
      </w:r>
      <w:r w:rsidR="00553BC6">
        <w:rPr>
          <w:b/>
          <w:bCs/>
        </w:rPr>
        <w:t>IPC</w:t>
      </w:r>
      <w:r w:rsidRPr="0014515B">
        <w:rPr>
          <w:b/>
          <w:bCs/>
        </w:rPr>
        <w:t xml:space="preserve"> practices – including the use of PPE </w:t>
      </w:r>
      <w:r w:rsidR="00553BC6">
        <w:rPr>
          <w:b/>
          <w:bCs/>
        </w:rPr>
        <w:t>–</w:t>
      </w:r>
      <w:r w:rsidRPr="0014515B">
        <w:rPr>
          <w:b/>
          <w:bCs/>
        </w:rPr>
        <w:t xml:space="preserve"> should default to COVID-19 outbreak measures.</w:t>
      </w:r>
    </w:p>
    <w:p w14:paraId="67A9F115" w14:textId="4FC7E1B1" w:rsidR="00755269" w:rsidRPr="0014515B" w:rsidRDefault="00755269" w:rsidP="00755269">
      <w:pPr>
        <w:pStyle w:val="Body"/>
      </w:pPr>
      <w:r w:rsidRPr="0014515B">
        <w:t>The department recommends facilities engage an infection control consultant or contact the residential</w:t>
      </w:r>
      <w:r w:rsidR="004238A4">
        <w:t xml:space="preserve"> </w:t>
      </w:r>
      <w:r w:rsidRPr="0014515B">
        <w:t xml:space="preserve">in-reach service at their local health </w:t>
      </w:r>
      <w:r w:rsidRPr="00051CB4">
        <w:t xml:space="preserve">service </w:t>
      </w:r>
      <w:r w:rsidR="007A4B29" w:rsidRPr="00051CB4">
        <w:t xml:space="preserve">or LPHU IPC team </w:t>
      </w:r>
      <w:r w:rsidRPr="00051CB4">
        <w:t xml:space="preserve">should they require additional support </w:t>
      </w:r>
      <w:r w:rsidR="007A66C0">
        <w:t>during</w:t>
      </w:r>
      <w:r w:rsidRPr="00051CB4">
        <w:t xml:space="preserve"> an outbreak.</w:t>
      </w:r>
    </w:p>
    <w:p w14:paraId="7D92B0BB" w14:textId="68DE30BC" w:rsidR="00755269" w:rsidRPr="0014515B" w:rsidRDefault="00755269" w:rsidP="006A4719">
      <w:pPr>
        <w:pStyle w:val="Bullet1"/>
        <w:numPr>
          <w:ilvl w:val="0"/>
          <w:numId w:val="9"/>
        </w:numPr>
        <w:spacing w:after="80"/>
      </w:pPr>
      <w:r w:rsidRPr="0014515B">
        <w:t xml:space="preserve">The </w:t>
      </w:r>
      <w:r w:rsidR="00B93B67">
        <w:t>R</w:t>
      </w:r>
      <w:r w:rsidRPr="0014515B">
        <w:t xml:space="preserve">ural </w:t>
      </w:r>
      <w:r w:rsidR="00B93B67">
        <w:t>I</w:t>
      </w:r>
      <w:r w:rsidRPr="0014515B">
        <w:t xml:space="preserve">nfection </w:t>
      </w:r>
      <w:r w:rsidR="00B93B67">
        <w:t>C</w:t>
      </w:r>
      <w:r w:rsidRPr="0014515B">
        <w:t xml:space="preserve">ontrol </w:t>
      </w:r>
      <w:r w:rsidR="00B93B67">
        <w:t>P</w:t>
      </w:r>
      <w:r w:rsidRPr="0014515B">
        <w:t xml:space="preserve">ractice </w:t>
      </w:r>
      <w:r w:rsidR="00B93B67">
        <w:t>G</w:t>
      </w:r>
      <w:r w:rsidRPr="0014515B">
        <w:t xml:space="preserve">roup (RICPRAC) is a collaborative network of rural infection control consultants who may be able to offer advice in relation to </w:t>
      </w:r>
      <w:r w:rsidR="007A66C0">
        <w:t>IPC</w:t>
      </w:r>
      <w:r w:rsidRPr="0014515B">
        <w:t xml:space="preserve"> issues in </w:t>
      </w:r>
      <w:r w:rsidR="001E3692" w:rsidRPr="0014515B">
        <w:t>a</w:t>
      </w:r>
      <w:r w:rsidRPr="0014515B">
        <w:t xml:space="preserve"> residential </w:t>
      </w:r>
      <w:r w:rsidRPr="0014515B">
        <w:rPr>
          <w:b/>
          <w:bCs/>
        </w:rPr>
        <w:t>aged</w:t>
      </w:r>
      <w:r w:rsidRPr="0014515B">
        <w:t xml:space="preserve"> care facility outbreak in regional Victoria. Further information and contact details for RICPRAC can be found here </w:t>
      </w:r>
      <w:hyperlink r:id="rId58">
        <w:r w:rsidRPr="0014515B">
          <w:rPr>
            <w:rStyle w:val="Hyperlink"/>
          </w:rPr>
          <w:t>Rural infection control centres</w:t>
        </w:r>
      </w:hyperlink>
      <w:r w:rsidRPr="0014515B">
        <w:t xml:space="preserve"> &lt;</w:t>
      </w:r>
      <w:r w:rsidR="00E07083" w:rsidRPr="00E07083">
        <w:t>https://www.health.vic.gov.au/quality-safety-service/rural-infection-control-centres</w:t>
      </w:r>
      <w:r w:rsidR="00E07083">
        <w:t>&gt;</w:t>
      </w:r>
      <w:r w:rsidR="00A76879">
        <w:t>.</w:t>
      </w:r>
    </w:p>
    <w:p w14:paraId="7F92EAAB" w14:textId="1C517A5A" w:rsidR="00755269" w:rsidRPr="0014515B" w:rsidRDefault="00755269" w:rsidP="006A4719">
      <w:pPr>
        <w:pStyle w:val="Bullet1"/>
        <w:numPr>
          <w:ilvl w:val="0"/>
          <w:numId w:val="9"/>
        </w:numPr>
        <w:spacing w:after="80"/>
      </w:pPr>
      <w:r w:rsidRPr="0014515B">
        <w:t xml:space="preserve">Residential in-reach services are run by Victorian public hospitals and provide tertiary care. They may be available to assist residential </w:t>
      </w:r>
      <w:r w:rsidRPr="0014515B">
        <w:rPr>
          <w:b/>
          <w:bCs/>
        </w:rPr>
        <w:t>aged</w:t>
      </w:r>
      <w:r w:rsidRPr="0014515B">
        <w:t xml:space="preserve"> care services to avoid the transfer of residents to hospital where possible. RCFs can contact the LPHU should they require support from these services. Details about Residential In-Reach services in Victoria can be found </w:t>
      </w:r>
      <w:r w:rsidR="004238A4">
        <w:t xml:space="preserve">at the Better Health Channel </w:t>
      </w:r>
      <w:hyperlink r:id="rId59" w:history="1">
        <w:r w:rsidR="004238A4" w:rsidRPr="004238A4">
          <w:rPr>
            <w:rStyle w:val="Hyperlink"/>
          </w:rPr>
          <w:t>Residential in-reach</w:t>
        </w:r>
        <w:r w:rsidRPr="004238A4">
          <w:rPr>
            <w:rStyle w:val="Hyperlink"/>
          </w:rPr>
          <w:t xml:space="preserve"> services</w:t>
        </w:r>
      </w:hyperlink>
      <w:r w:rsidRPr="004238A4">
        <w:t xml:space="preserve"> </w:t>
      </w:r>
      <w:r w:rsidRPr="0014515B">
        <w:t>&lt;</w:t>
      </w:r>
      <w:r w:rsidR="004238A4" w:rsidRPr="004238A4">
        <w:t>https://www.betterhealth.vic.gov.au/health/servicesandsupport/residential-in-reach-services</w:t>
      </w:r>
      <w:r w:rsidRPr="0014515B">
        <w:t>&gt;.</w:t>
      </w:r>
    </w:p>
    <w:p w14:paraId="79932ECB" w14:textId="77777777" w:rsidR="003E472F" w:rsidRPr="0014515B" w:rsidRDefault="003E472F" w:rsidP="003E472F">
      <w:pPr>
        <w:pStyle w:val="Body"/>
      </w:pPr>
    </w:p>
    <w:tbl>
      <w:tblPr>
        <w:tblStyle w:val="TableGrid"/>
        <w:tblW w:w="14488" w:type="dxa"/>
        <w:tblInd w:w="108" w:type="dxa"/>
        <w:tblLook w:val="04A0" w:firstRow="1" w:lastRow="0" w:firstColumn="1" w:lastColumn="0" w:noHBand="0" w:noVBand="1"/>
      </w:tblPr>
      <w:tblGrid>
        <w:gridCol w:w="2410"/>
        <w:gridCol w:w="12078"/>
      </w:tblGrid>
      <w:tr w:rsidR="003E472F" w:rsidRPr="0014515B" w14:paraId="6068182E" w14:textId="77777777" w:rsidTr="007A02BA">
        <w:trPr>
          <w:tblHeader/>
        </w:trPr>
        <w:tc>
          <w:tcPr>
            <w:tcW w:w="2410" w:type="dxa"/>
            <w:shd w:val="clear" w:color="auto" w:fill="DBE5F1" w:themeFill="accent1" w:themeFillTint="33"/>
          </w:tcPr>
          <w:p w14:paraId="1E77203A" w14:textId="77777777" w:rsidR="003E472F" w:rsidRPr="0014515B" w:rsidRDefault="003E472F" w:rsidP="00FE394C">
            <w:pPr>
              <w:pStyle w:val="Tablecolhead"/>
            </w:pPr>
            <w:r w:rsidRPr="0014515B">
              <w:t>Actions</w:t>
            </w:r>
          </w:p>
        </w:tc>
        <w:tc>
          <w:tcPr>
            <w:tcW w:w="12078" w:type="dxa"/>
            <w:shd w:val="clear" w:color="auto" w:fill="DBE5F1" w:themeFill="accent1" w:themeFillTint="33"/>
          </w:tcPr>
          <w:p w14:paraId="5B1C1BEC" w14:textId="77777777" w:rsidR="003E472F" w:rsidRPr="0014515B" w:rsidRDefault="003E472F" w:rsidP="00FE394C">
            <w:pPr>
              <w:pStyle w:val="Tablecolhead"/>
            </w:pPr>
            <w:r w:rsidRPr="0014515B">
              <w:t>Instructions</w:t>
            </w:r>
          </w:p>
        </w:tc>
      </w:tr>
      <w:tr w:rsidR="003E472F" w:rsidRPr="0014515B" w14:paraId="1863D165" w14:textId="77777777" w:rsidTr="00BC73B8">
        <w:tc>
          <w:tcPr>
            <w:tcW w:w="2410" w:type="dxa"/>
          </w:tcPr>
          <w:p w14:paraId="147488B0" w14:textId="232E7E23" w:rsidR="003E472F" w:rsidRPr="00BC73B8" w:rsidRDefault="003E472F" w:rsidP="00BC73B8">
            <w:pPr>
              <w:pStyle w:val="Tabletext"/>
              <w:rPr>
                <w:b/>
                <w:bCs/>
              </w:rPr>
            </w:pPr>
            <w:r w:rsidRPr="00BC73B8">
              <w:rPr>
                <w:b/>
                <w:bCs/>
              </w:rPr>
              <w:t>Establishing an outbreak management team</w:t>
            </w:r>
            <w:r w:rsidR="00A76879" w:rsidRPr="00BC73B8">
              <w:rPr>
                <w:b/>
                <w:bCs/>
              </w:rPr>
              <w:t xml:space="preserve"> (OMT)</w:t>
            </w:r>
          </w:p>
        </w:tc>
        <w:tc>
          <w:tcPr>
            <w:tcW w:w="12078" w:type="dxa"/>
          </w:tcPr>
          <w:p w14:paraId="55AC7199" w14:textId="3D3BF6C7" w:rsidR="003E472F" w:rsidRPr="0014515B" w:rsidRDefault="003E472F" w:rsidP="00BC73B8">
            <w:pPr>
              <w:pStyle w:val="Tabletext"/>
            </w:pPr>
            <w:r w:rsidRPr="0014515B">
              <w:t>RCFs are responsible for managing the outbreak. An internal OMT should be established to:</w:t>
            </w:r>
          </w:p>
          <w:p w14:paraId="538ED41F" w14:textId="77777777" w:rsidR="003E472F" w:rsidRPr="00AC2EF4" w:rsidRDefault="003E472F" w:rsidP="00EA2C30">
            <w:pPr>
              <w:pStyle w:val="Tablebullet1"/>
            </w:pPr>
            <w:r w:rsidRPr="0014515B">
              <w:t>direct</w:t>
            </w:r>
            <w:r w:rsidRPr="00AC2EF4">
              <w:t>, monitor and oversee the outbreak</w:t>
            </w:r>
          </w:p>
          <w:p w14:paraId="296C856D" w14:textId="77777777" w:rsidR="003E472F" w:rsidRPr="00AC2EF4" w:rsidRDefault="003E472F" w:rsidP="00EA2C30">
            <w:pPr>
              <w:pStyle w:val="Tablebullet1"/>
            </w:pPr>
            <w:r w:rsidRPr="00AC2EF4">
              <w:t>confirm roles and responsibilities</w:t>
            </w:r>
          </w:p>
          <w:p w14:paraId="296AE042" w14:textId="569C9D66" w:rsidR="003E472F" w:rsidRPr="0014515B" w:rsidRDefault="003E472F" w:rsidP="00EA2C30">
            <w:pPr>
              <w:pStyle w:val="Tablebullet1"/>
            </w:pPr>
            <w:r w:rsidRPr="00AC2EF4">
              <w:t>liaise</w:t>
            </w:r>
            <w:r w:rsidRPr="0014515B">
              <w:t xml:space="preserve"> with the LPHU.</w:t>
            </w:r>
          </w:p>
        </w:tc>
      </w:tr>
      <w:tr w:rsidR="003E472F" w:rsidRPr="0014515B" w14:paraId="360C2CD9" w14:textId="77777777" w:rsidTr="00BC73B8">
        <w:tc>
          <w:tcPr>
            <w:tcW w:w="2410" w:type="dxa"/>
          </w:tcPr>
          <w:p w14:paraId="4864E15D" w14:textId="6A08C580" w:rsidR="003E472F" w:rsidRPr="00BC73B8" w:rsidRDefault="003E472F" w:rsidP="00BC73B8">
            <w:pPr>
              <w:pStyle w:val="Tabletext"/>
              <w:rPr>
                <w:b/>
                <w:bCs/>
              </w:rPr>
            </w:pPr>
            <w:r w:rsidRPr="00BC73B8">
              <w:rPr>
                <w:b/>
                <w:bCs/>
              </w:rPr>
              <w:t xml:space="preserve">Implementing </w:t>
            </w:r>
            <w:r w:rsidR="008C0133" w:rsidRPr="00BC73B8">
              <w:rPr>
                <w:b/>
                <w:bCs/>
              </w:rPr>
              <w:t xml:space="preserve">IPC </w:t>
            </w:r>
            <w:r w:rsidRPr="00BC73B8">
              <w:rPr>
                <w:b/>
                <w:bCs/>
              </w:rPr>
              <w:t>measures</w:t>
            </w:r>
          </w:p>
        </w:tc>
        <w:tc>
          <w:tcPr>
            <w:tcW w:w="12078" w:type="dxa"/>
          </w:tcPr>
          <w:p w14:paraId="6126862C" w14:textId="02962F2E" w:rsidR="003E472F" w:rsidRPr="0014515B" w:rsidRDefault="43EFBC0E" w:rsidP="00BC73B8">
            <w:pPr>
              <w:pStyle w:val="Tabletext"/>
            </w:pPr>
            <w:bookmarkStart w:id="1216" w:name="_Int_pwh8jnAt"/>
            <w:r>
              <w:t>A number of</w:t>
            </w:r>
            <w:bookmarkEnd w:id="1216"/>
            <w:r>
              <w:t xml:space="preserve"> key measures should be employed during a respiratory outbreak in a</w:t>
            </w:r>
            <w:r w:rsidR="00DA2A55">
              <w:t>n</w:t>
            </w:r>
            <w:r>
              <w:t xml:space="preserve"> </w:t>
            </w:r>
            <w:bookmarkStart w:id="1217" w:name="_Int_6OiNkjlW"/>
            <w:r>
              <w:t>RCF</w:t>
            </w:r>
            <w:bookmarkEnd w:id="1217"/>
            <w:r>
              <w:t>, including:</w:t>
            </w:r>
          </w:p>
          <w:p w14:paraId="1DF63A93" w14:textId="77777777" w:rsidR="003E472F" w:rsidRPr="00AC2EF4" w:rsidRDefault="003E472F" w:rsidP="00EA2C30">
            <w:pPr>
              <w:pStyle w:val="Tablebullet1"/>
            </w:pPr>
            <w:r w:rsidRPr="0014515B">
              <w:lastRenderedPageBreak/>
              <w:t xml:space="preserve">standard </w:t>
            </w:r>
            <w:r w:rsidRPr="00AC2EF4">
              <w:t>precautions:</w:t>
            </w:r>
          </w:p>
          <w:p w14:paraId="0A31E529" w14:textId="77777777" w:rsidR="003E472F" w:rsidRPr="00AC2EF4" w:rsidRDefault="003E472F" w:rsidP="00EA2C30">
            <w:pPr>
              <w:pStyle w:val="Tablebullet2"/>
            </w:pPr>
            <w:r w:rsidRPr="00AC2EF4">
              <w:t>hand hygiene</w:t>
            </w:r>
          </w:p>
          <w:p w14:paraId="3730FB82" w14:textId="77777777" w:rsidR="003E472F" w:rsidRPr="00AC2EF4" w:rsidRDefault="003E472F" w:rsidP="00EA2C30">
            <w:pPr>
              <w:pStyle w:val="Tablebullet2"/>
            </w:pPr>
            <w:r w:rsidRPr="00AC2EF4">
              <w:t>use of PPE</w:t>
            </w:r>
          </w:p>
          <w:p w14:paraId="6D2D8B1B" w14:textId="77777777" w:rsidR="003E472F" w:rsidRPr="00AC2EF4" w:rsidRDefault="003E472F" w:rsidP="00EA2C30">
            <w:pPr>
              <w:pStyle w:val="Tablebullet2"/>
            </w:pPr>
            <w:r w:rsidRPr="00AC2EF4">
              <w:t>respiratory hygiene/cough etiquette</w:t>
            </w:r>
          </w:p>
          <w:p w14:paraId="073E85B2" w14:textId="77777777" w:rsidR="003E472F" w:rsidRPr="00AC2EF4" w:rsidRDefault="003E472F" w:rsidP="00EA2C30">
            <w:pPr>
              <w:pStyle w:val="Tablebullet2"/>
            </w:pPr>
            <w:r w:rsidRPr="00AC2EF4">
              <w:t>cleaning shared equipment</w:t>
            </w:r>
          </w:p>
          <w:p w14:paraId="049BACF3" w14:textId="176620ED" w:rsidR="003E472F" w:rsidRPr="00AC2EF4" w:rsidRDefault="003E472F" w:rsidP="00EA2C30">
            <w:pPr>
              <w:pStyle w:val="Tablebullet2"/>
            </w:pPr>
            <w:r w:rsidRPr="00AC2EF4">
              <w:t>enhanced environmental cleaning</w:t>
            </w:r>
            <w:r w:rsidR="003E74A2">
              <w:t>.</w:t>
            </w:r>
          </w:p>
          <w:p w14:paraId="63468AFE" w14:textId="29A58639" w:rsidR="003E472F" w:rsidRPr="00AC2EF4" w:rsidRDefault="003E472F" w:rsidP="00EA2C30">
            <w:pPr>
              <w:pStyle w:val="Tablebullet1"/>
            </w:pPr>
            <w:r w:rsidRPr="00AC2EF4">
              <w:t>transmission</w:t>
            </w:r>
            <w:r w:rsidR="009850BD">
              <w:t>-</w:t>
            </w:r>
            <w:r w:rsidRPr="00AC2EF4">
              <w:t>based precautions:</w:t>
            </w:r>
          </w:p>
          <w:p w14:paraId="244F0C44" w14:textId="77777777" w:rsidR="003E472F" w:rsidRPr="00AC2EF4" w:rsidRDefault="003E472F" w:rsidP="00EA2C30">
            <w:pPr>
              <w:pStyle w:val="Tablebullet2"/>
            </w:pPr>
            <w:r w:rsidRPr="00AC2EF4">
              <w:t>dedicated equipment where possible</w:t>
            </w:r>
          </w:p>
          <w:p w14:paraId="079645F4" w14:textId="77777777" w:rsidR="003E472F" w:rsidRPr="00AC2EF4" w:rsidRDefault="003E472F" w:rsidP="00EA2C30">
            <w:pPr>
              <w:pStyle w:val="Tablebullet2"/>
            </w:pPr>
            <w:r w:rsidRPr="00AC2EF4">
              <w:t>single room isolation</w:t>
            </w:r>
          </w:p>
          <w:p w14:paraId="2B064C6D" w14:textId="77777777" w:rsidR="003E472F" w:rsidRPr="00AC2EF4" w:rsidRDefault="003E472F" w:rsidP="00EA2C30">
            <w:pPr>
              <w:pStyle w:val="Tablebullet2"/>
            </w:pPr>
            <w:r w:rsidRPr="00AC2EF4">
              <w:t>cohorting/zoning of staff and residents where possible</w:t>
            </w:r>
          </w:p>
          <w:p w14:paraId="2BAEC093" w14:textId="77777777" w:rsidR="003E472F" w:rsidRPr="00AC2EF4" w:rsidRDefault="003E472F" w:rsidP="00EA2C30">
            <w:pPr>
              <w:pStyle w:val="Tablebullet2"/>
            </w:pPr>
            <w:r w:rsidRPr="00AC2EF4">
              <w:t>using staff vaccinated against influenza to care for influenza cases</w:t>
            </w:r>
          </w:p>
          <w:p w14:paraId="6A1E8C1C" w14:textId="77777777" w:rsidR="003E472F" w:rsidRPr="00AC2EF4" w:rsidRDefault="003E472F" w:rsidP="00EA2C30">
            <w:pPr>
              <w:pStyle w:val="Tablebullet2"/>
            </w:pPr>
            <w:r w:rsidRPr="00AC2EF4">
              <w:t>ventilation/air handling</w:t>
            </w:r>
          </w:p>
          <w:p w14:paraId="30F1FDAB" w14:textId="77777777" w:rsidR="003E472F" w:rsidRPr="00AC2EF4" w:rsidRDefault="003E472F" w:rsidP="00EA2C30">
            <w:pPr>
              <w:pStyle w:val="Tablebullet2"/>
            </w:pPr>
            <w:r w:rsidRPr="00AC2EF4">
              <w:t>increased cleaning of frequently touched surfaces</w:t>
            </w:r>
          </w:p>
          <w:p w14:paraId="4E9D4763" w14:textId="77777777" w:rsidR="003E472F" w:rsidRPr="00AC2EF4" w:rsidRDefault="003E472F" w:rsidP="00EA2C30">
            <w:pPr>
              <w:pStyle w:val="Tablebullet2"/>
            </w:pPr>
            <w:r w:rsidRPr="00AC2EF4">
              <w:t>minimising the movement of visitors into and within the facility</w:t>
            </w:r>
          </w:p>
          <w:p w14:paraId="02C878A3" w14:textId="249A67C0" w:rsidR="003E472F" w:rsidRPr="00AC2EF4" w:rsidRDefault="003E472F" w:rsidP="00EA2C30">
            <w:pPr>
              <w:pStyle w:val="Tablebullet2"/>
            </w:pPr>
            <w:r w:rsidRPr="00AC2EF4">
              <w:t xml:space="preserve">only conduct communal activities if physical distancing can be maintained, </w:t>
            </w:r>
            <w:r w:rsidR="00926802" w:rsidRPr="00AC2EF4">
              <w:t>this</w:t>
            </w:r>
            <w:r w:rsidRPr="00AC2EF4">
              <w:t xml:space="preserve"> may mean smaller groups offered more frequently. Where appropriate, activities should be moved outdoors to ensure optimal ventilation</w:t>
            </w:r>
            <w:r w:rsidR="007E3C9F">
              <w:t>.</w:t>
            </w:r>
          </w:p>
          <w:p w14:paraId="5FC8A642" w14:textId="77777777" w:rsidR="003E472F" w:rsidRPr="00AC2EF4" w:rsidRDefault="003E472F" w:rsidP="00EA2C30">
            <w:pPr>
              <w:pStyle w:val="Tablebullet2"/>
            </w:pPr>
            <w:r w:rsidRPr="00AC2EF4">
              <w:t>taking a risk-based approach to manage risk related to admissions and transfers</w:t>
            </w:r>
          </w:p>
          <w:p w14:paraId="2F9F0FCA" w14:textId="45638EB2" w:rsidR="003E472F" w:rsidRPr="0014515B" w:rsidRDefault="003E472F" w:rsidP="00EA2C30">
            <w:pPr>
              <w:pStyle w:val="Tablebullet2"/>
            </w:pPr>
            <w:r w:rsidRPr="00AC2EF4">
              <w:t>displaying appropriate</w:t>
            </w:r>
            <w:r w:rsidRPr="0014515B">
              <w:t xml:space="preserve"> signage</w:t>
            </w:r>
            <w:r w:rsidR="003E74A2">
              <w:t>.</w:t>
            </w:r>
          </w:p>
          <w:p w14:paraId="042D92C0" w14:textId="77777777" w:rsidR="003E472F" w:rsidRPr="0014515B" w:rsidRDefault="003E472F" w:rsidP="00EA2C30">
            <w:pPr>
              <w:pStyle w:val="Tablebullet1"/>
            </w:pPr>
            <w:r w:rsidRPr="0014515B">
              <w:t>Key recommendations:</w:t>
            </w:r>
          </w:p>
          <w:p w14:paraId="63638579" w14:textId="77777777" w:rsidR="003E472F" w:rsidRPr="0014515B" w:rsidRDefault="003E472F" w:rsidP="00EA2C30">
            <w:pPr>
              <w:pStyle w:val="Tablebullet2"/>
            </w:pPr>
            <w:r w:rsidRPr="0014515B">
              <w:t>Use of appropriate PPE:</w:t>
            </w:r>
          </w:p>
          <w:p w14:paraId="7C0455DC" w14:textId="681D416B" w:rsidR="003E472F" w:rsidRPr="0014515B" w:rsidRDefault="003E472F" w:rsidP="00EA2C30">
            <w:pPr>
              <w:pStyle w:val="Bullet3"/>
              <w:spacing w:line="240" w:lineRule="auto"/>
              <w:ind w:left="681" w:hanging="227"/>
            </w:pPr>
            <w:r w:rsidRPr="0014515B">
              <w:t>N95/P2 mask and face shield recommended for care of diagnosed influenza cases and for respiratory outbreak cases while waiting further test results</w:t>
            </w:r>
            <w:r w:rsidR="003E74A2">
              <w:t>.</w:t>
            </w:r>
          </w:p>
          <w:p w14:paraId="4D5ED022" w14:textId="60D1B518" w:rsidR="003E472F" w:rsidRPr="0014515B" w:rsidRDefault="43EFBC0E" w:rsidP="00EA2C30">
            <w:pPr>
              <w:pStyle w:val="Bullet3"/>
              <w:spacing w:line="240" w:lineRule="auto"/>
              <w:ind w:left="681" w:hanging="227"/>
            </w:pPr>
            <w:r>
              <w:t>At a minimum, droplet precautions should be used for care of diagnosed influenza cases (</w:t>
            </w:r>
            <w:bookmarkStart w:id="1218" w:name="_Int_C0JGASgx"/>
            <w:r>
              <w:t>single use</w:t>
            </w:r>
            <w:bookmarkEnd w:id="1218"/>
            <w:r>
              <w:t xml:space="preserve"> face mask)</w:t>
            </w:r>
            <w:r w:rsidR="003E74A2">
              <w:t>.</w:t>
            </w:r>
          </w:p>
          <w:p w14:paraId="496381E4" w14:textId="77777777" w:rsidR="003E472F" w:rsidRPr="0014515B" w:rsidRDefault="003E472F" w:rsidP="00EA2C30">
            <w:pPr>
              <w:pStyle w:val="Tablebullet2"/>
            </w:pPr>
            <w:r w:rsidRPr="0014515B">
              <w:t>Isolation for confirmed influenza cases:</w:t>
            </w:r>
          </w:p>
          <w:p w14:paraId="097AE3FE" w14:textId="5BE7A5D5" w:rsidR="003E472F" w:rsidRPr="0014515B" w:rsidRDefault="00C56E11" w:rsidP="00EA2C30">
            <w:pPr>
              <w:pStyle w:val="Bullet3"/>
              <w:spacing w:line="240" w:lineRule="auto"/>
              <w:ind w:left="681" w:hanging="227"/>
            </w:pPr>
            <w:r w:rsidRPr="0014515B">
              <w:t>R</w:t>
            </w:r>
            <w:r w:rsidR="003E472F" w:rsidRPr="0014515B">
              <w:t>esident</w:t>
            </w:r>
            <w:r w:rsidR="00432F74" w:rsidRPr="0014515B">
              <w:t xml:space="preserve"> </w:t>
            </w:r>
            <w:r w:rsidR="00432F74" w:rsidRPr="00403484">
              <w:t xml:space="preserve">cases </w:t>
            </w:r>
            <w:r w:rsidR="002F24D1" w:rsidRPr="00403484">
              <w:t>should</w:t>
            </w:r>
            <w:r w:rsidR="003E472F" w:rsidRPr="0014515B">
              <w:t xml:space="preserve"> isolat</w:t>
            </w:r>
            <w:r w:rsidR="002F24D1" w:rsidRPr="0014515B">
              <w:t>e</w:t>
            </w:r>
            <w:r w:rsidR="003E472F" w:rsidRPr="0014515B">
              <w:t xml:space="preserve"> for 5 days after symptom onset, or until symptoms have ceased</w:t>
            </w:r>
            <w:r w:rsidR="003E74A2">
              <w:t>.</w:t>
            </w:r>
          </w:p>
          <w:p w14:paraId="4A894AC9" w14:textId="0123F7D7" w:rsidR="003E472F" w:rsidRPr="0014515B" w:rsidRDefault="003E74A2" w:rsidP="00EA2C30">
            <w:pPr>
              <w:pStyle w:val="Bullet3"/>
              <w:spacing w:line="240" w:lineRule="auto"/>
              <w:ind w:left="681" w:hanging="227"/>
            </w:pPr>
            <w:r>
              <w:t>S</w:t>
            </w:r>
            <w:r w:rsidR="003E472F" w:rsidRPr="0014515B">
              <w:t>taff case</w:t>
            </w:r>
            <w:r w:rsidR="004C1C65" w:rsidRPr="0014515B">
              <w:t xml:space="preserve">s </w:t>
            </w:r>
            <w:r w:rsidR="004C1C65" w:rsidRPr="00403484">
              <w:t>should be excluded</w:t>
            </w:r>
            <w:r w:rsidR="003E472F" w:rsidRPr="0014515B">
              <w:t xml:space="preserve"> for 5 days after symptom onset, or until symptoms have ceased</w:t>
            </w:r>
            <w:r>
              <w:t>.</w:t>
            </w:r>
          </w:p>
          <w:p w14:paraId="1006CDC0" w14:textId="4C5C0476" w:rsidR="003E472F" w:rsidRPr="0014515B" w:rsidRDefault="003E472F" w:rsidP="00EA2C30">
            <w:pPr>
              <w:pStyle w:val="Tablebullet2"/>
            </w:pPr>
            <w:r w:rsidRPr="0014515B">
              <w:t>Isolation for other respiratory infections (</w:t>
            </w:r>
            <w:r w:rsidR="00B81AA8">
              <w:t>for example</w:t>
            </w:r>
            <w:r w:rsidRPr="0014515B">
              <w:t>, RSV)</w:t>
            </w:r>
            <w:r w:rsidR="003E74A2">
              <w:t>:</w:t>
            </w:r>
          </w:p>
          <w:p w14:paraId="700FF239" w14:textId="4409EAE8" w:rsidR="003E472F" w:rsidRPr="0014515B" w:rsidRDefault="003E472F" w:rsidP="00EA2C30">
            <w:pPr>
              <w:pStyle w:val="Bullet3"/>
              <w:spacing w:line="240" w:lineRule="auto"/>
              <w:ind w:left="681" w:hanging="227"/>
            </w:pPr>
            <w:r w:rsidRPr="00403484">
              <w:lastRenderedPageBreak/>
              <w:t xml:space="preserve">Resident </w:t>
            </w:r>
            <w:r w:rsidR="002621ED" w:rsidRPr="00403484">
              <w:t>cases should isolate, and staff cases should be excluded</w:t>
            </w:r>
            <w:r w:rsidR="002621ED" w:rsidRPr="0014515B">
              <w:t xml:space="preserve"> </w:t>
            </w:r>
            <w:r w:rsidRPr="0014515B">
              <w:t>from work until acute symptoms have resolved</w:t>
            </w:r>
            <w:r w:rsidR="003E74A2">
              <w:t>.</w:t>
            </w:r>
          </w:p>
          <w:p w14:paraId="2ECC6CBE" w14:textId="6F9EE9F0" w:rsidR="003E472F" w:rsidRPr="00403484" w:rsidRDefault="003E472F" w:rsidP="00EA2C30">
            <w:pPr>
              <w:pStyle w:val="Tablebullet1"/>
            </w:pPr>
            <w:r w:rsidRPr="00F625C0">
              <w:t>All staff working in RCFs should have good understanding of IPC measures required throughout an influenza or other respiratory virus outbreak at their workplace.</w:t>
            </w:r>
          </w:p>
          <w:p w14:paraId="5839F895" w14:textId="0E163AC2" w:rsidR="003E472F" w:rsidRPr="0014515B" w:rsidRDefault="6CB903D0" w:rsidP="00EA2C30">
            <w:pPr>
              <w:pStyle w:val="Tablebullet1"/>
            </w:pPr>
            <w:r w:rsidRPr="00F625C0">
              <w:t>COVID</w:t>
            </w:r>
            <w:r w:rsidR="7207B6C7" w:rsidRPr="00F625C0">
              <w:t xml:space="preserve"> IPC resources </w:t>
            </w:r>
            <w:r w:rsidR="0359A04F" w:rsidRPr="00F625C0">
              <w:t xml:space="preserve">may </w:t>
            </w:r>
            <w:r w:rsidR="4C996ABE" w:rsidRPr="00F625C0">
              <w:t xml:space="preserve">also </w:t>
            </w:r>
            <w:r w:rsidR="0359A04F" w:rsidRPr="00F625C0">
              <w:t>be useful</w:t>
            </w:r>
            <w:r w:rsidR="004238A4">
              <w:t>:</w:t>
            </w:r>
            <w:r w:rsidR="4C996ABE" w:rsidRPr="00F625C0">
              <w:t xml:space="preserve"> </w:t>
            </w:r>
            <w:hyperlink r:id="rId60" w:history="1">
              <w:r w:rsidR="004238A4" w:rsidRPr="004238A4">
                <w:rPr>
                  <w:rStyle w:val="Hyperlink"/>
                </w:rPr>
                <w:t>COVID-19 Infection Prevention and Control Guidelines</w:t>
              </w:r>
            </w:hyperlink>
            <w:r w:rsidR="7207B6C7" w:rsidRPr="00F625C0">
              <w:t xml:space="preserve"> </w:t>
            </w:r>
            <w:r w:rsidR="00AC2EF4" w:rsidRPr="00F625C0">
              <w:t>&lt;</w:t>
            </w:r>
            <w:r w:rsidR="004238A4" w:rsidRPr="004238A4">
              <w:t>https://www.health.vic.gov.au/covid-19-infection-prevention-control-guidelines</w:t>
            </w:r>
            <w:r w:rsidR="7207B6C7" w:rsidRPr="0014515B">
              <w:t>&gt;.</w:t>
            </w:r>
          </w:p>
        </w:tc>
      </w:tr>
      <w:tr w:rsidR="003E472F" w:rsidRPr="0014515B" w14:paraId="1C3E6C2D" w14:textId="77777777" w:rsidTr="00BC73B8">
        <w:tc>
          <w:tcPr>
            <w:tcW w:w="2410" w:type="dxa"/>
          </w:tcPr>
          <w:p w14:paraId="0C21526F" w14:textId="76AB9E2A" w:rsidR="003E472F" w:rsidRPr="00BC73B8" w:rsidRDefault="003E472F" w:rsidP="00BC73B8">
            <w:pPr>
              <w:pStyle w:val="Tabletext"/>
              <w:rPr>
                <w:b/>
                <w:bCs/>
              </w:rPr>
            </w:pPr>
            <w:r w:rsidRPr="00BC73B8">
              <w:rPr>
                <w:b/>
                <w:bCs/>
              </w:rPr>
              <w:lastRenderedPageBreak/>
              <w:t>For influenza cases and outbreaks, arrange antiviral treatment and prophylaxis with residents</w:t>
            </w:r>
            <w:r w:rsidR="009B77FF">
              <w:rPr>
                <w:b/>
                <w:bCs/>
              </w:rPr>
              <w:t>’</w:t>
            </w:r>
            <w:r w:rsidRPr="00BC73B8">
              <w:rPr>
                <w:b/>
                <w:bCs/>
              </w:rPr>
              <w:t xml:space="preserve"> GPs</w:t>
            </w:r>
          </w:p>
        </w:tc>
        <w:tc>
          <w:tcPr>
            <w:tcW w:w="12078" w:type="dxa"/>
          </w:tcPr>
          <w:p w14:paraId="75641861" w14:textId="77777777" w:rsidR="003E472F" w:rsidRPr="0014515B" w:rsidRDefault="003E472F" w:rsidP="00BC73B8">
            <w:pPr>
              <w:pStyle w:val="Tabletext"/>
            </w:pPr>
            <w:r w:rsidRPr="0014515B">
              <w:t>Early initiation of antiviral treatment (within 48 hours of symptoms) in adults with confirmed influenza reduces the risk of secondary complications requiring antibiotic therapy or hospitalisation</w:t>
            </w:r>
            <w:r w:rsidRPr="0014515B">
              <w:rPr>
                <w:rStyle w:val="FootnoteReference"/>
              </w:rPr>
              <w:footnoteReference w:id="2"/>
            </w:r>
            <w:r w:rsidRPr="0014515B">
              <w:t>.</w:t>
            </w:r>
          </w:p>
          <w:p w14:paraId="1C0839F3" w14:textId="0A571CBD" w:rsidR="003E472F" w:rsidRPr="00AC2EF4" w:rsidRDefault="003E472F" w:rsidP="00EA2C30">
            <w:pPr>
              <w:pStyle w:val="Tablebullet1"/>
            </w:pPr>
            <w:r w:rsidRPr="00AC2EF4">
              <w:t>Prescribing antiviral medications and treating residents in a confirmed influenza outbreak is the responsibility of the GP</w:t>
            </w:r>
            <w:r w:rsidR="003E74A2">
              <w:t>.</w:t>
            </w:r>
          </w:p>
          <w:p w14:paraId="02A3EABC" w14:textId="4AF63090" w:rsidR="003E472F" w:rsidRPr="00AC2EF4" w:rsidRDefault="003E472F" w:rsidP="00EA2C30">
            <w:pPr>
              <w:pStyle w:val="Tablebullet1"/>
            </w:pPr>
            <w:r w:rsidRPr="00AC2EF4">
              <w:t>LPHUs can assist by providing a letter to RCFs to supply to visiting GPs, recommending treatment of confirmed cases and prophylaxis (where appropriate) once the outbreak has been notified</w:t>
            </w:r>
            <w:r w:rsidR="003E74A2">
              <w:t>.</w:t>
            </w:r>
          </w:p>
          <w:p w14:paraId="6570DE66" w14:textId="61B1DD1A" w:rsidR="003E472F" w:rsidRPr="00AC2EF4" w:rsidRDefault="003E472F" w:rsidP="00EA2C30">
            <w:pPr>
              <w:pStyle w:val="Tablebullet1"/>
            </w:pPr>
            <w:r w:rsidRPr="00AC2EF4">
              <w:t>This letter should be sent to all facility GPs at the start of an influenza outbreak</w:t>
            </w:r>
            <w:r w:rsidR="003E74A2">
              <w:t>.</w:t>
            </w:r>
          </w:p>
          <w:p w14:paraId="3610E06D" w14:textId="7F7C11A6" w:rsidR="003E472F" w:rsidRPr="00AC2EF4" w:rsidRDefault="003E472F" w:rsidP="00EA2C30">
            <w:pPr>
              <w:pStyle w:val="Tablebullet1"/>
            </w:pPr>
            <w:r w:rsidRPr="00AC2EF4">
              <w:t>The department/LPHU does not provide or cover the cost of treatments – costs are to be covered by the resident and/or their families</w:t>
            </w:r>
            <w:r w:rsidR="003E74A2">
              <w:t>.</w:t>
            </w:r>
          </w:p>
          <w:p w14:paraId="407E7942" w14:textId="55BDFA06" w:rsidR="003E472F" w:rsidRPr="00AC2EF4" w:rsidRDefault="003E472F" w:rsidP="00EA2C30">
            <w:pPr>
              <w:pStyle w:val="Tablebullet1"/>
            </w:pPr>
            <w:r w:rsidRPr="00AC2EF4">
              <w:t>RCFs should liaise with local pharmacies to ensure there is adequate availability of antiviral medication</w:t>
            </w:r>
            <w:r w:rsidR="003E74A2">
              <w:t>.</w:t>
            </w:r>
          </w:p>
          <w:p w14:paraId="4EFEB3A4" w14:textId="742DA798" w:rsidR="003E472F" w:rsidRPr="0014515B" w:rsidRDefault="003E472F" w:rsidP="00EA2C30">
            <w:pPr>
              <w:pStyle w:val="Tablebullet1"/>
            </w:pPr>
            <w:r w:rsidRPr="00AC2EF4">
              <w:t>RCFs should inform</w:t>
            </w:r>
            <w:r w:rsidRPr="0014515B">
              <w:t xml:space="preserve"> LPHU if they are having difficulty sourcing medications</w:t>
            </w:r>
            <w:r w:rsidR="003E74A2">
              <w:t>.</w:t>
            </w:r>
          </w:p>
        </w:tc>
      </w:tr>
      <w:tr w:rsidR="003E472F" w:rsidRPr="0014515B" w14:paraId="3BBFA363" w14:textId="77777777" w:rsidTr="00BC73B8">
        <w:tc>
          <w:tcPr>
            <w:tcW w:w="2410" w:type="dxa"/>
          </w:tcPr>
          <w:p w14:paraId="21C8CCC5" w14:textId="77777777" w:rsidR="003E472F" w:rsidRPr="00BC73B8" w:rsidRDefault="003E472F" w:rsidP="00BC73B8">
            <w:pPr>
              <w:pStyle w:val="Tabletext"/>
              <w:rPr>
                <w:b/>
                <w:bCs/>
              </w:rPr>
            </w:pPr>
            <w:r w:rsidRPr="00BC73B8">
              <w:rPr>
                <w:b/>
                <w:bCs/>
              </w:rPr>
              <w:t>Offer vaccination</w:t>
            </w:r>
          </w:p>
        </w:tc>
        <w:tc>
          <w:tcPr>
            <w:tcW w:w="12078" w:type="dxa"/>
          </w:tcPr>
          <w:p w14:paraId="2F6473EA" w14:textId="77777777" w:rsidR="003E472F" w:rsidRPr="0014515B" w:rsidRDefault="003E472F" w:rsidP="00BC73B8">
            <w:pPr>
              <w:pStyle w:val="Tabletext"/>
            </w:pPr>
            <w:r w:rsidRPr="0014515B">
              <w:t>Review vaccination records of all residents and staff. Unvaccinated and asymptomatic staff, residents and visitors should be offered or recommended vaccination.</w:t>
            </w:r>
          </w:p>
        </w:tc>
      </w:tr>
      <w:tr w:rsidR="003E472F" w:rsidRPr="0014515B" w14:paraId="705AA4E8" w14:textId="77777777" w:rsidTr="00BC73B8">
        <w:tc>
          <w:tcPr>
            <w:tcW w:w="2410" w:type="dxa"/>
          </w:tcPr>
          <w:p w14:paraId="41EBDC77" w14:textId="77777777" w:rsidR="003E472F" w:rsidRPr="00BC73B8" w:rsidRDefault="003E472F" w:rsidP="00BC73B8">
            <w:pPr>
              <w:pStyle w:val="Tabletext"/>
              <w:rPr>
                <w:b/>
                <w:bCs/>
              </w:rPr>
            </w:pPr>
            <w:r w:rsidRPr="00BC73B8">
              <w:rPr>
                <w:b/>
                <w:bCs/>
              </w:rPr>
              <w:t>Movement of staff, residents and visitors during influenza outbreaks.</w:t>
            </w:r>
          </w:p>
          <w:p w14:paraId="1075905C" w14:textId="77777777" w:rsidR="003E472F" w:rsidRPr="00B57656" w:rsidRDefault="003E472F" w:rsidP="00B57656">
            <w:pPr>
              <w:pStyle w:val="Body"/>
              <w:rPr>
                <w:i/>
                <w:iCs/>
              </w:rPr>
            </w:pPr>
            <w:r w:rsidRPr="00B57656">
              <w:rPr>
                <w:i/>
                <w:iCs/>
              </w:rPr>
              <w:t>Also recommended for other respiratory outbreaks</w:t>
            </w:r>
          </w:p>
        </w:tc>
        <w:tc>
          <w:tcPr>
            <w:tcW w:w="12078" w:type="dxa"/>
          </w:tcPr>
          <w:p w14:paraId="092FC5B5" w14:textId="762B5691" w:rsidR="003E472F" w:rsidRPr="00BC73B8" w:rsidRDefault="7207B6C7" w:rsidP="00BC73B8">
            <w:pPr>
              <w:pStyle w:val="Tabletext"/>
              <w:rPr>
                <w:b/>
                <w:bCs/>
              </w:rPr>
            </w:pPr>
            <w:r w:rsidRPr="00BC73B8">
              <w:rPr>
                <w:b/>
                <w:bCs/>
              </w:rPr>
              <w:t>Staff movements</w:t>
            </w:r>
          </w:p>
          <w:p w14:paraId="08C071A5" w14:textId="32F8665E" w:rsidR="003E472F" w:rsidRPr="0014515B" w:rsidRDefault="003E472F" w:rsidP="00EA2C30">
            <w:pPr>
              <w:pStyle w:val="Tablebullet1"/>
            </w:pPr>
            <w:r w:rsidRPr="0014515B">
              <w:t>Staff should not move between wings of the facility where possible.</w:t>
            </w:r>
          </w:p>
          <w:p w14:paraId="59D485F4" w14:textId="77777777" w:rsidR="003E472F" w:rsidRPr="0014515B" w:rsidRDefault="003E472F" w:rsidP="00EA2C30">
            <w:pPr>
              <w:pStyle w:val="Tablebullet1"/>
            </w:pPr>
            <w:r w:rsidRPr="0014515B">
              <w:t>Staff should be allocated to the care of residents in an outbreak affected wing, and should avoid working in unaffected wings, to further reduce the risk of transmission.</w:t>
            </w:r>
          </w:p>
          <w:p w14:paraId="4923D8A0" w14:textId="1683763F" w:rsidR="003E472F" w:rsidRPr="0014515B" w:rsidRDefault="003E472F" w:rsidP="00EA2C30">
            <w:pPr>
              <w:pStyle w:val="Tablebullet1"/>
            </w:pPr>
            <w:r w:rsidRPr="0014515B">
              <w:t>Staff with respiratory illnesses should be excluded from work for the period during which they are infectious</w:t>
            </w:r>
            <w:r w:rsidR="003E74A2">
              <w:t>.</w:t>
            </w:r>
          </w:p>
          <w:p w14:paraId="7F3A5D0B" w14:textId="77777777" w:rsidR="003E472F" w:rsidRPr="0014515B" w:rsidRDefault="003E472F" w:rsidP="00EA2C30">
            <w:pPr>
              <w:pStyle w:val="Tablebullet1"/>
            </w:pPr>
            <w:r w:rsidRPr="0014515B">
              <w:t>Only vaccinated staff should care for affected residents in suspected or confirmed outbreaks.</w:t>
            </w:r>
          </w:p>
          <w:p w14:paraId="7D1076EA" w14:textId="77777777" w:rsidR="003E472F" w:rsidRPr="0014515B" w:rsidRDefault="003E472F" w:rsidP="00512DD7">
            <w:pPr>
              <w:pStyle w:val="Tablebullet1"/>
            </w:pPr>
            <w:r w:rsidRPr="0014515B">
              <w:lastRenderedPageBreak/>
              <w:t>For influenza, unvaccinated staff are recommended to attend work only if they are asymptomatic and are wearing appropriate PPE and/or taking appropriate antiviral prophylaxis in influenza confirmed outbreaks. They should also be offered immediate vaccination. Vaccination may not prevent illness if already incubating. A protective immune response takes approximately two weeks to develop.</w:t>
            </w:r>
          </w:p>
          <w:p w14:paraId="7BAEDC06" w14:textId="77777777" w:rsidR="003E472F" w:rsidRPr="0014515B" w:rsidRDefault="003E472F" w:rsidP="00512DD7">
            <w:pPr>
              <w:pStyle w:val="Tablebullet1"/>
            </w:pPr>
            <w:r w:rsidRPr="0014515B">
              <w:t>All staff members should self-monitor for signs and symptoms of respiratory illness and self-exclude if unwell.</w:t>
            </w:r>
          </w:p>
          <w:p w14:paraId="0584126B" w14:textId="77777777" w:rsidR="003E472F" w:rsidRPr="0014515B" w:rsidRDefault="003E472F" w:rsidP="00BC73B8">
            <w:pPr>
              <w:pStyle w:val="Tabletext"/>
              <w:rPr>
                <w:b/>
                <w:bCs/>
              </w:rPr>
            </w:pPr>
            <w:bookmarkStart w:id="1219" w:name="_TOC_250019"/>
            <w:bookmarkStart w:id="1220" w:name="_Toc102044819"/>
            <w:r w:rsidRPr="0014515B">
              <w:rPr>
                <w:b/>
                <w:bCs/>
              </w:rPr>
              <w:t>Resident</w:t>
            </w:r>
            <w:r w:rsidRPr="00BC73B8">
              <w:rPr>
                <w:b/>
                <w:bCs/>
              </w:rPr>
              <w:t xml:space="preserve"> </w:t>
            </w:r>
            <w:r w:rsidRPr="0014515B">
              <w:rPr>
                <w:b/>
                <w:bCs/>
              </w:rPr>
              <w:t>movement</w:t>
            </w:r>
            <w:bookmarkEnd w:id="1219"/>
            <w:bookmarkEnd w:id="1220"/>
            <w:r w:rsidRPr="0014515B">
              <w:rPr>
                <w:b/>
                <w:bCs/>
              </w:rPr>
              <w:t>s</w:t>
            </w:r>
          </w:p>
          <w:p w14:paraId="3EF52D95" w14:textId="77777777" w:rsidR="003E472F" w:rsidRPr="00F66FFA" w:rsidRDefault="003E472F" w:rsidP="00512DD7">
            <w:pPr>
              <w:pStyle w:val="Tablebullet1"/>
            </w:pPr>
            <w:r w:rsidRPr="0014515B">
              <w:t xml:space="preserve">Movement of </w:t>
            </w:r>
            <w:r w:rsidRPr="00F66FFA">
              <w:t>affected residents (cases) outside the isolation room should be limited to medically necessary/essential procedures or activities including transfer to other facilities.</w:t>
            </w:r>
          </w:p>
          <w:p w14:paraId="5EE28F49" w14:textId="77777777" w:rsidR="003E472F" w:rsidRPr="00F66FFA" w:rsidRDefault="003E472F" w:rsidP="00512DD7">
            <w:pPr>
              <w:pStyle w:val="Tablebullet1"/>
            </w:pPr>
            <w:r w:rsidRPr="00F66FFA">
              <w:t>Affected residents who must be transported outside of the room should wear a mask if tolerated and follow respiratory hygiene/cough etiquette.</w:t>
            </w:r>
          </w:p>
          <w:p w14:paraId="349FBB69" w14:textId="77777777" w:rsidR="003E472F" w:rsidRPr="00F66FFA" w:rsidRDefault="003E472F" w:rsidP="00512DD7">
            <w:pPr>
              <w:pStyle w:val="Tablebullet1"/>
            </w:pPr>
            <w:r w:rsidRPr="00F66FFA">
              <w:t>When transferred to another health care facility, the outbreak and infection status of the resident must be communicated to the accepting facility.</w:t>
            </w:r>
          </w:p>
          <w:p w14:paraId="6EE58774" w14:textId="77777777" w:rsidR="003E472F" w:rsidRPr="0014515B" w:rsidRDefault="003E472F" w:rsidP="00BC73B8">
            <w:pPr>
              <w:pStyle w:val="Tabletext"/>
              <w:rPr>
                <w:b/>
                <w:bCs/>
              </w:rPr>
            </w:pPr>
            <w:bookmarkStart w:id="1221" w:name="_TOC_250018"/>
            <w:bookmarkStart w:id="1222" w:name="_Toc102044820"/>
            <w:r w:rsidRPr="0014515B">
              <w:rPr>
                <w:b/>
                <w:bCs/>
              </w:rPr>
              <w:t>New</w:t>
            </w:r>
            <w:r w:rsidRPr="00BC73B8">
              <w:rPr>
                <w:b/>
                <w:bCs/>
              </w:rPr>
              <w:t xml:space="preserve"> </w:t>
            </w:r>
            <w:bookmarkEnd w:id="1221"/>
            <w:r w:rsidRPr="0014515B">
              <w:rPr>
                <w:b/>
                <w:bCs/>
              </w:rPr>
              <w:t>admissions</w:t>
            </w:r>
            <w:bookmarkEnd w:id="1222"/>
          </w:p>
          <w:p w14:paraId="768A64F3" w14:textId="5FC40DD6" w:rsidR="003E472F" w:rsidRPr="0014515B" w:rsidRDefault="43EFBC0E" w:rsidP="006A4719">
            <w:pPr>
              <w:pStyle w:val="Bullet1"/>
              <w:numPr>
                <w:ilvl w:val="0"/>
                <w:numId w:val="10"/>
              </w:numPr>
              <w:spacing w:after="80"/>
            </w:pPr>
            <w:r w:rsidRPr="00512DD7">
              <w:rPr>
                <w:rFonts w:eastAsia="Times New Roman"/>
              </w:rPr>
              <w:t xml:space="preserve">Admission of new residents to the affected unit during the outbreak is </w:t>
            </w:r>
            <w:r w:rsidR="1BC56A7E" w:rsidRPr="00512DD7">
              <w:rPr>
                <w:rFonts w:eastAsia="Times New Roman"/>
              </w:rPr>
              <w:t>not</w:t>
            </w:r>
            <w:r w:rsidRPr="00512DD7">
              <w:rPr>
                <w:rFonts w:eastAsia="Times New Roman"/>
              </w:rPr>
              <w:t xml:space="preserve"> recommended. If new admissions are unavoidable, new residents and their families must be informed about the current outbreak and adequate outbreak prevention</w:t>
            </w:r>
            <w:r>
              <w:t xml:space="preserve"> and control measures must be in place.</w:t>
            </w:r>
          </w:p>
          <w:p w14:paraId="36C33830" w14:textId="77777777" w:rsidR="003E472F" w:rsidRPr="0014515B" w:rsidRDefault="003E472F" w:rsidP="00BC73B8">
            <w:pPr>
              <w:pStyle w:val="Tabletext"/>
              <w:rPr>
                <w:b/>
                <w:bCs/>
              </w:rPr>
            </w:pPr>
            <w:bookmarkStart w:id="1223" w:name="_TOC_250017"/>
            <w:bookmarkStart w:id="1224" w:name="_Toc102044821"/>
            <w:r w:rsidRPr="0014515B">
              <w:rPr>
                <w:b/>
                <w:bCs/>
              </w:rPr>
              <w:t>Re-admission</w:t>
            </w:r>
            <w:r w:rsidRPr="00BC73B8">
              <w:rPr>
                <w:b/>
                <w:bCs/>
              </w:rPr>
              <w:t xml:space="preserve"> </w:t>
            </w:r>
            <w:r w:rsidRPr="0014515B">
              <w:rPr>
                <w:b/>
                <w:bCs/>
              </w:rPr>
              <w:t>of</w:t>
            </w:r>
            <w:r w:rsidRPr="00BC73B8">
              <w:rPr>
                <w:b/>
                <w:bCs/>
              </w:rPr>
              <w:t xml:space="preserve"> </w:t>
            </w:r>
            <w:bookmarkEnd w:id="1223"/>
            <w:r w:rsidRPr="0014515B">
              <w:rPr>
                <w:b/>
                <w:bCs/>
              </w:rPr>
              <w:t>residents</w:t>
            </w:r>
            <w:bookmarkEnd w:id="1224"/>
          </w:p>
          <w:p w14:paraId="08BC5160" w14:textId="77777777" w:rsidR="003E472F" w:rsidRPr="00F66FFA" w:rsidRDefault="003E472F" w:rsidP="00512DD7">
            <w:pPr>
              <w:pStyle w:val="Tablebullet1"/>
            </w:pPr>
            <w:r w:rsidRPr="0014515B">
              <w:t>Re-</w:t>
            </w:r>
            <w:r w:rsidRPr="00F66FFA">
              <w:t>admission of residents who are active cases of influenza is permitted, provided appropriate accommodation including any infection control requirements can be met.</w:t>
            </w:r>
          </w:p>
          <w:p w14:paraId="3B8A7C4F" w14:textId="6170C776" w:rsidR="003E472F" w:rsidRPr="00F66FFA" w:rsidRDefault="003E472F" w:rsidP="00512DD7">
            <w:pPr>
              <w:pStyle w:val="Tablebullet1"/>
            </w:pPr>
            <w:r w:rsidRPr="00F66FFA">
              <w:t>Re-admission of non-case residents (</w:t>
            </w:r>
            <w:r w:rsidR="00960897">
              <w:t>that is</w:t>
            </w:r>
            <w:r w:rsidRPr="00F66FFA">
              <w:t>, are not a known case) should be avoided to protect them during the outbreak period if possible.</w:t>
            </w:r>
          </w:p>
          <w:p w14:paraId="4ACFB186" w14:textId="77777777" w:rsidR="003E472F" w:rsidRPr="0014515B" w:rsidRDefault="003E472F" w:rsidP="00512DD7">
            <w:pPr>
              <w:pStyle w:val="Tablebullet1"/>
            </w:pPr>
            <w:r w:rsidRPr="00F66FFA">
              <w:t>If non-cases are re-admitted, the resident and their family must be informed about the current outbreak and adequate outbreak prevention and control</w:t>
            </w:r>
            <w:r w:rsidRPr="0014515B">
              <w:t xml:space="preserve"> measures must be in place. Families may wish to make alternative arrangements.</w:t>
            </w:r>
          </w:p>
          <w:p w14:paraId="1CDA3ED1" w14:textId="77777777" w:rsidR="003E472F" w:rsidRPr="0014515B" w:rsidRDefault="003E472F" w:rsidP="00BC73B8">
            <w:pPr>
              <w:pStyle w:val="Tabletext"/>
              <w:rPr>
                <w:b/>
                <w:bCs/>
              </w:rPr>
            </w:pPr>
            <w:bookmarkStart w:id="1225" w:name="_TOC_250016"/>
            <w:bookmarkStart w:id="1226" w:name="_Toc102044822"/>
            <w:bookmarkEnd w:id="1225"/>
            <w:r w:rsidRPr="00BC73B8">
              <w:rPr>
                <w:b/>
                <w:bCs/>
              </w:rPr>
              <w:t>Visitors</w:t>
            </w:r>
            <w:bookmarkEnd w:id="1226"/>
          </w:p>
          <w:p w14:paraId="7BA8A94B" w14:textId="77777777" w:rsidR="003E472F" w:rsidRPr="00F66FFA" w:rsidRDefault="003E472F" w:rsidP="00512DD7">
            <w:pPr>
              <w:pStyle w:val="Tablebullet1"/>
            </w:pPr>
            <w:r w:rsidRPr="0014515B">
              <w:t xml:space="preserve">Visitors should </w:t>
            </w:r>
            <w:r w:rsidRPr="00F66FFA">
              <w:t>be kept to a minimum where possible.</w:t>
            </w:r>
          </w:p>
          <w:p w14:paraId="1073AC7E" w14:textId="37D63DB7" w:rsidR="003E472F" w:rsidRPr="00F66FFA" w:rsidRDefault="003E472F" w:rsidP="00512DD7">
            <w:pPr>
              <w:pStyle w:val="Tablebullet1"/>
            </w:pPr>
            <w:r w:rsidRPr="00F66FFA">
              <w:t>Signage must be present at the entrance of facility to inform visitors of outbreak</w:t>
            </w:r>
            <w:r w:rsidR="005804BC">
              <w:t>.</w:t>
            </w:r>
          </w:p>
          <w:p w14:paraId="40AD1632" w14:textId="77777777" w:rsidR="003E472F" w:rsidRPr="00F66FFA" w:rsidRDefault="003E472F" w:rsidP="00512DD7">
            <w:pPr>
              <w:pStyle w:val="Tablebullet1"/>
            </w:pPr>
            <w:r w:rsidRPr="00F66FFA">
              <w:t>Visitors with a respiratory illness should be restricted if possible.</w:t>
            </w:r>
          </w:p>
          <w:p w14:paraId="4B394D63" w14:textId="77777777" w:rsidR="003E472F" w:rsidRPr="0014515B" w:rsidRDefault="003E472F" w:rsidP="00512DD7">
            <w:pPr>
              <w:pStyle w:val="Tablebullet1"/>
            </w:pPr>
            <w:r w:rsidRPr="00F66FFA">
              <w:t>Visitors should be instructed</w:t>
            </w:r>
            <w:r w:rsidRPr="0014515B">
              <w:t xml:space="preserve"> and supervised on the use of PPE (donning and removing masks) and hand hygiene.</w:t>
            </w:r>
          </w:p>
        </w:tc>
      </w:tr>
      <w:tr w:rsidR="003E472F" w:rsidRPr="0014515B" w14:paraId="7F100B82" w14:textId="77777777" w:rsidTr="00BC73B8">
        <w:tc>
          <w:tcPr>
            <w:tcW w:w="2410" w:type="dxa"/>
          </w:tcPr>
          <w:p w14:paraId="60753F3B" w14:textId="77777777" w:rsidR="003E472F" w:rsidRPr="00BC73B8" w:rsidRDefault="003E472F" w:rsidP="00BC73B8">
            <w:pPr>
              <w:pStyle w:val="Tabletext"/>
              <w:rPr>
                <w:b/>
                <w:bCs/>
              </w:rPr>
            </w:pPr>
            <w:r w:rsidRPr="00BC73B8">
              <w:rPr>
                <w:b/>
                <w:bCs/>
              </w:rPr>
              <w:lastRenderedPageBreak/>
              <w:t>Monitor outbreak progress</w:t>
            </w:r>
          </w:p>
        </w:tc>
        <w:tc>
          <w:tcPr>
            <w:tcW w:w="12078" w:type="dxa"/>
          </w:tcPr>
          <w:p w14:paraId="0D07AA74" w14:textId="77777777" w:rsidR="003E472F" w:rsidRPr="0014515B" w:rsidRDefault="003E472F" w:rsidP="00BC73B8">
            <w:pPr>
              <w:pStyle w:val="Tabletext"/>
            </w:pPr>
            <w:r w:rsidRPr="0014515B">
              <w:t>Increased and active observation of all residents for ARI is essential in outbreak management to identify possible ongoing transmission and potential gaps in infection control measures.</w:t>
            </w:r>
          </w:p>
          <w:p w14:paraId="7A22ECD1" w14:textId="77777777" w:rsidR="003E472F" w:rsidRPr="00F66FFA" w:rsidRDefault="003E472F" w:rsidP="00512DD7">
            <w:pPr>
              <w:pStyle w:val="Tablebullet1"/>
            </w:pPr>
            <w:r w:rsidRPr="0014515B">
              <w:t xml:space="preserve">Facilities </w:t>
            </w:r>
            <w:r w:rsidRPr="00F66FFA">
              <w:t>should have the capacity to monitor or count residents and staff displaying signs and symptoms of ARI daily to ensure swift infection control measures are implemented or strengthened to reduce transmission and the duration of the outbreak.</w:t>
            </w:r>
          </w:p>
          <w:p w14:paraId="28E41579" w14:textId="74D364B7" w:rsidR="003E472F" w:rsidRPr="00F66FFA" w:rsidRDefault="003E472F" w:rsidP="00512DD7">
            <w:pPr>
              <w:pStyle w:val="Tablebullet1"/>
            </w:pPr>
            <w:r w:rsidRPr="00F66FFA">
              <w:t>Once the outbreak is notified, a case-list of ill residents/staff should be provided to the LPHU on the same day of notification</w:t>
            </w:r>
            <w:r w:rsidR="005804BC">
              <w:t>.</w:t>
            </w:r>
          </w:p>
          <w:p w14:paraId="51188D0F" w14:textId="310A5D30" w:rsidR="003E472F" w:rsidRPr="00F66FFA" w:rsidRDefault="003E472F" w:rsidP="00512DD7">
            <w:pPr>
              <w:pStyle w:val="Tablebullet1"/>
            </w:pPr>
            <w:r w:rsidRPr="00F66FFA">
              <w:t xml:space="preserve">Update the case-list </w:t>
            </w:r>
            <w:r w:rsidR="001224E5">
              <w:t>daily</w:t>
            </w:r>
            <w:r w:rsidR="005804BC">
              <w:t>.</w:t>
            </w:r>
          </w:p>
          <w:p w14:paraId="35E86AF1" w14:textId="0D0876E2" w:rsidR="003E472F" w:rsidRDefault="003E472F" w:rsidP="00512DD7">
            <w:pPr>
              <w:pStyle w:val="Tablebullet1"/>
            </w:pPr>
            <w:r w:rsidRPr="00F66FFA">
              <w:t>Send a copy to the</w:t>
            </w:r>
            <w:r w:rsidRPr="0014515B">
              <w:t xml:space="preserve"> LPHU twice weekly, ensuring all relevant details are captured.</w:t>
            </w:r>
          </w:p>
          <w:p w14:paraId="7A4F4E71" w14:textId="77777777" w:rsidR="003E472F" w:rsidRPr="00403484" w:rsidRDefault="003E472F" w:rsidP="00BC73B8">
            <w:pPr>
              <w:pStyle w:val="Tabletext"/>
              <w:rPr>
                <w:b/>
                <w:bCs/>
              </w:rPr>
            </w:pPr>
            <w:r w:rsidRPr="00403484">
              <w:rPr>
                <w:b/>
                <w:bCs/>
              </w:rPr>
              <w:t>If influenza is NOT detected in residents or staff:</w:t>
            </w:r>
          </w:p>
          <w:p w14:paraId="3DB1E101" w14:textId="69A97D6F" w:rsidR="003E472F" w:rsidRPr="00F66FFA" w:rsidRDefault="003E472F" w:rsidP="00512DD7">
            <w:pPr>
              <w:pStyle w:val="Tablebullet1"/>
            </w:pPr>
            <w:r w:rsidRPr="0014515B">
              <w:t xml:space="preserve">When nose and </w:t>
            </w:r>
            <w:r w:rsidRPr="00F66FFA">
              <w:t>throat swabs are found to be negative for influenza (and COVID-19), or a different virus has been detected (</w:t>
            </w:r>
            <w:r w:rsidR="00960897">
              <w:t>for example</w:t>
            </w:r>
            <w:r w:rsidRPr="00F66FFA">
              <w:t>, RSV), contact the LPHU to inform and seek advice.</w:t>
            </w:r>
          </w:p>
          <w:p w14:paraId="6C11B9C1" w14:textId="49004DFA" w:rsidR="003E472F" w:rsidRPr="0014515B" w:rsidRDefault="43EFBC0E" w:rsidP="00512DD7">
            <w:pPr>
              <w:pStyle w:val="Tablebullet1"/>
            </w:pPr>
            <w:r>
              <w:t xml:space="preserve">The LPHU will </w:t>
            </w:r>
            <w:r w:rsidR="77E47E13">
              <w:t>encourage</w:t>
            </w:r>
            <w:r>
              <w:t xml:space="preserve"> the RCF to manage the remainder of the outbreak themselves (see </w:t>
            </w:r>
            <w:hyperlink w:anchor="_Non-influenza,_non-COVID-19_outbrea" w:history="1">
              <w:r w:rsidR="7ABEE276" w:rsidRPr="003A0939">
                <w:rPr>
                  <w:rStyle w:val="Hyperlink"/>
                </w:rPr>
                <w:t>section 9</w:t>
              </w:r>
            </w:hyperlink>
            <w:r>
              <w:t>) and will not continue to actively follow up or request ongoing case lists for other respiratory pathogens. It is recommended to request a final case list for RSV outbreaks from the RCF.</w:t>
            </w:r>
          </w:p>
        </w:tc>
      </w:tr>
      <w:tr w:rsidR="003E472F" w:rsidRPr="0014515B" w14:paraId="44DE8B7F" w14:textId="77777777" w:rsidTr="00BC73B8">
        <w:tc>
          <w:tcPr>
            <w:tcW w:w="2410" w:type="dxa"/>
          </w:tcPr>
          <w:p w14:paraId="259677BC" w14:textId="77777777" w:rsidR="003E472F" w:rsidRPr="00BC73B8" w:rsidRDefault="003E472F" w:rsidP="00BC73B8">
            <w:pPr>
              <w:pStyle w:val="Tabletext"/>
              <w:rPr>
                <w:b/>
                <w:bCs/>
              </w:rPr>
            </w:pPr>
            <w:r w:rsidRPr="00BC73B8">
              <w:rPr>
                <w:b/>
                <w:bCs/>
              </w:rPr>
              <w:t>Escalation criteria</w:t>
            </w:r>
          </w:p>
        </w:tc>
        <w:tc>
          <w:tcPr>
            <w:tcW w:w="12078" w:type="dxa"/>
          </w:tcPr>
          <w:p w14:paraId="187C245E" w14:textId="2A0F5971" w:rsidR="003E472F" w:rsidRPr="00B030B6" w:rsidRDefault="003E472F" w:rsidP="00BC73B8">
            <w:pPr>
              <w:pStyle w:val="Tabletext"/>
            </w:pPr>
            <w:r w:rsidRPr="00B030B6">
              <w:t xml:space="preserve">If any deaths occur during an outbreak, the LPHU </w:t>
            </w:r>
            <w:r w:rsidR="008F360D" w:rsidRPr="00B030B6">
              <w:t xml:space="preserve">should </w:t>
            </w:r>
            <w:r w:rsidRPr="00B030B6">
              <w:t>be notified within 24 hours.</w:t>
            </w:r>
          </w:p>
          <w:p w14:paraId="6D8BDF0C" w14:textId="263E0263" w:rsidR="003E472F" w:rsidRPr="00B030B6" w:rsidRDefault="003E472F" w:rsidP="00BC73B8">
            <w:pPr>
              <w:pStyle w:val="Tabletext"/>
            </w:pPr>
            <w:r w:rsidRPr="00B030B6">
              <w:t>Hospitalisation of residents may be noted on the case list and sent to the LPHU twice weekly.</w:t>
            </w:r>
          </w:p>
          <w:p w14:paraId="29F8B257" w14:textId="5A38CE35" w:rsidR="003E472F" w:rsidRPr="0014515B" w:rsidRDefault="003E472F" w:rsidP="00BC73B8">
            <w:pPr>
              <w:pStyle w:val="Tabletext"/>
            </w:pPr>
            <w:r w:rsidRPr="00B030B6">
              <w:t>During an outbreak, contact the LPHU for advice as required</w:t>
            </w:r>
            <w:r w:rsidR="00960897">
              <w:t>.</w:t>
            </w:r>
          </w:p>
        </w:tc>
      </w:tr>
      <w:tr w:rsidR="003E472F" w:rsidRPr="0014515B" w14:paraId="4FD8C72C" w14:textId="77777777" w:rsidTr="00BC73B8">
        <w:tc>
          <w:tcPr>
            <w:tcW w:w="2410" w:type="dxa"/>
          </w:tcPr>
          <w:p w14:paraId="289A6373" w14:textId="77777777" w:rsidR="003E472F" w:rsidRPr="00BC73B8" w:rsidRDefault="003E472F" w:rsidP="00BC73B8">
            <w:pPr>
              <w:pStyle w:val="Tabletext"/>
              <w:rPr>
                <w:b/>
                <w:bCs/>
              </w:rPr>
            </w:pPr>
            <w:r w:rsidRPr="00BC73B8">
              <w:rPr>
                <w:b/>
                <w:bCs/>
              </w:rPr>
              <w:t>Declaring the outbreak over</w:t>
            </w:r>
          </w:p>
        </w:tc>
        <w:tc>
          <w:tcPr>
            <w:tcW w:w="12078" w:type="dxa"/>
          </w:tcPr>
          <w:p w14:paraId="45E60439" w14:textId="33EE5B7E" w:rsidR="003E472F" w:rsidRPr="0014515B" w:rsidRDefault="003E472F" w:rsidP="00BC73B8">
            <w:pPr>
              <w:pStyle w:val="Tabletext"/>
            </w:pPr>
            <w:r w:rsidRPr="009F2022">
              <w:t>Non-COVID-19 respiratory outbreaks, including those caused by influenza, RSV or other respiratory pathogens, can be declared over if no new cases have occurred within eight days from the onset of symptoms of the last resident case.</w:t>
            </w:r>
          </w:p>
          <w:p w14:paraId="243CE98F" w14:textId="77777777" w:rsidR="003E472F" w:rsidRPr="0014515B" w:rsidRDefault="43EFBC0E" w:rsidP="00BC73B8">
            <w:pPr>
              <w:pStyle w:val="Tabletext"/>
            </w:pPr>
            <w:r>
              <w:t xml:space="preserve">In the instance of an influenza outbreak, contact LPHU for final approval when this </w:t>
            </w:r>
            <w:bookmarkStart w:id="1227" w:name="_Int_51GWnKXB"/>
            <w:r>
              <w:t>time frame</w:t>
            </w:r>
            <w:bookmarkEnd w:id="1227"/>
            <w:r>
              <w:t xml:space="preserve"> has occurred to ensure the outbreak can be formally declared over.</w:t>
            </w:r>
          </w:p>
        </w:tc>
      </w:tr>
      <w:tr w:rsidR="003E472F" w:rsidRPr="0014515B" w14:paraId="094065C3" w14:textId="77777777" w:rsidTr="00BC73B8">
        <w:tc>
          <w:tcPr>
            <w:tcW w:w="2410" w:type="dxa"/>
          </w:tcPr>
          <w:p w14:paraId="4A5DD3FA" w14:textId="77777777" w:rsidR="003E472F" w:rsidRPr="00BC73B8" w:rsidRDefault="003E472F" w:rsidP="00BC73B8">
            <w:pPr>
              <w:pStyle w:val="Tabletext"/>
              <w:rPr>
                <w:b/>
                <w:bCs/>
              </w:rPr>
            </w:pPr>
            <w:r w:rsidRPr="00BC73B8">
              <w:rPr>
                <w:b/>
                <w:bCs/>
              </w:rPr>
              <w:t>Review outbreak management</w:t>
            </w:r>
          </w:p>
        </w:tc>
        <w:tc>
          <w:tcPr>
            <w:tcW w:w="12078" w:type="dxa"/>
          </w:tcPr>
          <w:p w14:paraId="0C99F45E" w14:textId="38016BFF" w:rsidR="003E472F" w:rsidRPr="0014515B" w:rsidRDefault="003E472F" w:rsidP="00BC73B8">
            <w:pPr>
              <w:pStyle w:val="Tabletext"/>
            </w:pPr>
            <w:r w:rsidRPr="0014515B">
              <w:t>After the outbreak is declared over, it is important to reflect on strengths and weaknesses of the outbreak response and investigation process within the facility. This can occur through formal or informal debriefs with the aim to improve processes for future outbreaks.</w:t>
            </w:r>
          </w:p>
        </w:tc>
      </w:tr>
    </w:tbl>
    <w:p w14:paraId="1717AE29" w14:textId="77777777" w:rsidR="0080145D" w:rsidRPr="0014515B" w:rsidRDefault="0080145D" w:rsidP="003E472F">
      <w:pPr>
        <w:pStyle w:val="Bullet1"/>
        <w:numPr>
          <w:ilvl w:val="0"/>
          <w:numId w:val="0"/>
        </w:numPr>
        <w:spacing w:after="80"/>
        <w:sectPr w:rsidR="0080145D" w:rsidRPr="0014515B" w:rsidSect="007A02BA">
          <w:headerReference w:type="first" r:id="rId61"/>
          <w:pgSz w:w="16838" w:h="11906" w:orient="landscape" w:code="9"/>
          <w:pgMar w:top="1418" w:right="1134" w:bottom="1134" w:left="1134" w:header="680" w:footer="851" w:gutter="0"/>
          <w:cols w:space="340"/>
          <w:docGrid w:linePitch="360"/>
        </w:sectPr>
      </w:pPr>
    </w:p>
    <w:p w14:paraId="3DB6241C" w14:textId="57EBF429" w:rsidR="009824FE" w:rsidRPr="0014515B" w:rsidRDefault="00410CFA" w:rsidP="00EA2C30">
      <w:pPr>
        <w:pStyle w:val="Heading1"/>
        <w:numPr>
          <w:ilvl w:val="0"/>
          <w:numId w:val="20"/>
        </w:numPr>
        <w:spacing w:before="0"/>
        <w:ind w:left="567"/>
      </w:pPr>
      <w:bookmarkStart w:id="1228" w:name="_COVID-19_exposure_–"/>
      <w:bookmarkStart w:id="1229" w:name="_Toc163573613"/>
      <w:bookmarkEnd w:id="1228"/>
      <w:r>
        <w:lastRenderedPageBreak/>
        <w:t xml:space="preserve">COVID-19 exposure </w:t>
      </w:r>
      <w:r w:rsidR="000122EA">
        <w:t>–</w:t>
      </w:r>
      <w:r>
        <w:t xml:space="preserve"> </w:t>
      </w:r>
      <w:r w:rsidR="000122EA">
        <w:t xml:space="preserve">initiating management and </w:t>
      </w:r>
      <w:r w:rsidR="006A5115">
        <w:t xml:space="preserve">identifying </w:t>
      </w:r>
      <w:r w:rsidR="00763396">
        <w:t xml:space="preserve">COVID-19 </w:t>
      </w:r>
      <w:r w:rsidR="006A5115">
        <w:t>contacts</w:t>
      </w:r>
      <w:bookmarkEnd w:id="1229"/>
    </w:p>
    <w:p w14:paraId="15CC6428" w14:textId="6F61E644" w:rsidR="004776D1" w:rsidRPr="0014515B" w:rsidRDefault="00856A93" w:rsidP="00EE6A2B">
      <w:pPr>
        <w:pStyle w:val="Body"/>
      </w:pPr>
      <w:r w:rsidRPr="0014515B">
        <w:t xml:space="preserve">The following section outlines the steps that RCFs should follow </w:t>
      </w:r>
      <w:r w:rsidR="00C33A69" w:rsidRPr="0014515B">
        <w:t xml:space="preserve">to identify </w:t>
      </w:r>
      <w:r w:rsidR="00FF3356" w:rsidRPr="0014515B">
        <w:t xml:space="preserve">contacts </w:t>
      </w:r>
      <w:r w:rsidRPr="0014515B">
        <w:t xml:space="preserve">when there has been exposure to COVID-19 at the facility. The RCF is responsible for coordinating this response. Some actions may need to occur concurrently. </w:t>
      </w:r>
      <w:r>
        <w:t xml:space="preserve">See </w:t>
      </w:r>
      <w:hyperlink w:anchor="_COVID-19_outbreak_management" w:history="1">
        <w:r w:rsidR="00986572" w:rsidRPr="003A0939">
          <w:rPr>
            <w:rStyle w:val="Hyperlink"/>
          </w:rPr>
          <w:t>section 8</w:t>
        </w:r>
      </w:hyperlink>
      <w:r w:rsidRPr="0014515B">
        <w:t xml:space="preserve"> on outbreak management for more details on </w:t>
      </w:r>
      <w:r w:rsidR="00FF3356" w:rsidRPr="0014515B">
        <w:t xml:space="preserve">additional </w:t>
      </w:r>
      <w:r w:rsidRPr="0014515B">
        <w:t>specific actions</w:t>
      </w:r>
      <w:r w:rsidR="003E2BA8" w:rsidRPr="0014515B">
        <w:t xml:space="preserve"> including IPC </w:t>
      </w:r>
      <w:r w:rsidR="004776D1" w:rsidRPr="0014515B">
        <w:t>measures</w:t>
      </w:r>
      <w:r w:rsidR="003E2BA8" w:rsidRPr="0014515B">
        <w:t xml:space="preserve"> and clinical management of resident cases</w:t>
      </w:r>
      <w:r w:rsidRPr="0014515B">
        <w:t>.</w:t>
      </w:r>
    </w:p>
    <w:p w14:paraId="0602C033" w14:textId="5C258D22" w:rsidR="00E07083" w:rsidRPr="00E07083" w:rsidRDefault="00935EF3" w:rsidP="00C656CC">
      <w:pPr>
        <w:pStyle w:val="Body"/>
        <w:rPr>
          <w:rStyle w:val="Hyperlink"/>
          <w:color w:val="auto"/>
          <w:u w:val="none"/>
        </w:rPr>
      </w:pPr>
      <w:r>
        <w:t xml:space="preserve">See </w:t>
      </w:r>
      <w:r w:rsidR="00202E56">
        <w:t xml:space="preserve">also </w:t>
      </w:r>
      <w:r w:rsidRPr="00DB17FF">
        <w:t xml:space="preserve">the </w:t>
      </w:r>
      <w:hyperlink r:id="rId62" w:history="1">
        <w:r w:rsidR="00C41F09" w:rsidRPr="00C41F09">
          <w:rPr>
            <w:rStyle w:val="Hyperlink"/>
          </w:rPr>
          <w:t>checklist available online</w:t>
        </w:r>
      </w:hyperlink>
      <w:r w:rsidR="00C41F09">
        <w:t xml:space="preserve"> &lt;</w:t>
      </w:r>
      <w:r w:rsidR="00C41F09" w:rsidRPr="00C41F09">
        <w:t>https://www.health.vic.gov.au/infectious-diseases/acute-respiratory-infection-management-rcf</w:t>
      </w:r>
      <w:r w:rsidR="00C41F09">
        <w:t>&gt;</w:t>
      </w:r>
      <w:r w:rsidR="00202E56" w:rsidRPr="00DB17FF">
        <w:t xml:space="preserve">. </w:t>
      </w:r>
      <w:r w:rsidR="00EE6A2B" w:rsidRPr="00DB17FF">
        <w:t>Also</w:t>
      </w:r>
      <w:r w:rsidR="00EE6A2B" w:rsidRPr="0014515B">
        <w:t xml:space="preserve"> useful is the </w:t>
      </w:r>
      <w:hyperlink r:id="rId63" w:history="1">
        <w:r w:rsidR="00856A93" w:rsidRPr="00E07083">
          <w:rPr>
            <w:rStyle w:val="Hyperlink"/>
          </w:rPr>
          <w:t>Commonwealth Department of Health checklist</w:t>
        </w:r>
      </w:hyperlink>
      <w:r w:rsidR="00856A93" w:rsidRPr="0014515B">
        <w:t xml:space="preserve"> </w:t>
      </w:r>
      <w:r w:rsidR="00E07083">
        <w:t>&lt;</w:t>
      </w:r>
      <w:r w:rsidR="00E07083" w:rsidRPr="00E07083">
        <w:t>https://www.health.gov.au/sites/default/files/2023-04/first-24-hours-managing-covid-19-in-a-residential-aged-care-facility.pdf</w:t>
      </w:r>
      <w:r w:rsidR="00E07083">
        <w:t>&gt;</w:t>
      </w:r>
      <w:r w:rsidR="00E97F4E">
        <w:t>.</w:t>
      </w:r>
    </w:p>
    <w:p w14:paraId="3B7825E8" w14:textId="16C26ED5" w:rsidR="00856A93" w:rsidRPr="0014515B" w:rsidRDefault="00856A93" w:rsidP="00856A93">
      <w:pPr>
        <w:pStyle w:val="Body"/>
      </w:pPr>
      <w:r w:rsidRPr="0014515B">
        <w:rPr>
          <w:lang w:val="en-US"/>
        </w:rPr>
        <w:t xml:space="preserve">Contact definitions </w:t>
      </w:r>
      <w:r w:rsidR="00DF7E81" w:rsidRPr="0014515B">
        <w:rPr>
          <w:lang w:val="en-US"/>
        </w:rPr>
        <w:t xml:space="preserve">and infectious period </w:t>
      </w:r>
      <w:r w:rsidRPr="0014515B">
        <w:rPr>
          <w:lang w:val="en-US"/>
        </w:rPr>
        <w:t xml:space="preserve">can be found in </w:t>
      </w:r>
      <w:hyperlink w:anchor="_Toc129007302" w:history="1">
        <w:r w:rsidR="00986572" w:rsidRPr="003A0939">
          <w:rPr>
            <w:rStyle w:val="Hyperlink"/>
            <w:lang w:val="en-US"/>
          </w:rPr>
          <w:t>section 4</w:t>
        </w:r>
      </w:hyperlink>
      <w:r w:rsidRPr="0014515B">
        <w:rPr>
          <w:lang w:val="en-US"/>
        </w:rPr>
        <w:t xml:space="preserve"> </w:t>
      </w:r>
      <w:r w:rsidR="00DF7E81" w:rsidRPr="0014515B">
        <w:t>‘Case, contact, exposure and outbreak definitions</w:t>
      </w:r>
      <w:r w:rsidR="005607FB" w:rsidRPr="0014515B">
        <w:t>’</w:t>
      </w:r>
      <w:r w:rsidR="00E97F4E">
        <w:rPr>
          <w:lang w:val="en-US"/>
        </w:rPr>
        <w:t>.</w:t>
      </w:r>
    </w:p>
    <w:p w14:paraId="0B530FE0" w14:textId="77777777" w:rsidR="00856A93" w:rsidRPr="0014515B" w:rsidRDefault="00856A93" w:rsidP="00856A93">
      <w:pPr>
        <w:pStyle w:val="Body"/>
      </w:pPr>
      <w:r w:rsidRPr="0014515B">
        <w:t>It is important to note that:</w:t>
      </w:r>
    </w:p>
    <w:p w14:paraId="0C94A8A5" w14:textId="65E4A18B" w:rsidR="00856A93" w:rsidRPr="001E18AE" w:rsidRDefault="00856A93" w:rsidP="00403484">
      <w:pPr>
        <w:pStyle w:val="Bullet1"/>
      </w:pPr>
      <w:r w:rsidRPr="0014515B">
        <w:t xml:space="preserve">If the case is an </w:t>
      </w:r>
      <w:r w:rsidRPr="001E18AE">
        <w:t xml:space="preserve">asymptomatic resident identified via RAT (and is not a close contact of a case), the result should be confirmed with a PCR test as soon as possible and </w:t>
      </w:r>
      <w:r w:rsidR="006F2901" w:rsidRPr="00403484">
        <w:t>recommended to be</w:t>
      </w:r>
      <w:r w:rsidR="006F2901" w:rsidRPr="001E18AE">
        <w:t xml:space="preserve"> </w:t>
      </w:r>
      <w:r w:rsidRPr="001E18AE">
        <w:t>within 48 hours of the positive RAT. Confirmatory testing should however not delay the first round of testing in the facility, but rather occur concurrently.</w:t>
      </w:r>
    </w:p>
    <w:p w14:paraId="3E16721F" w14:textId="6B7CEC77" w:rsidR="00856A93" w:rsidRPr="001E18AE" w:rsidRDefault="00856A93" w:rsidP="00403484">
      <w:pPr>
        <w:pStyle w:val="Bullet1"/>
      </w:pPr>
      <w:r w:rsidRPr="001E18AE">
        <w:t xml:space="preserve">If the COVID </w:t>
      </w:r>
      <w:r w:rsidR="00A84958" w:rsidRPr="001E18AE">
        <w:t>o</w:t>
      </w:r>
      <w:r w:rsidRPr="001E18AE">
        <w:t xml:space="preserve">utbreak definition is met – </w:t>
      </w:r>
      <w:r w:rsidR="00B50A7A" w:rsidRPr="001E18AE">
        <w:t>refer</w:t>
      </w:r>
      <w:r w:rsidRPr="001E18AE">
        <w:t xml:space="preserve"> </w:t>
      </w:r>
      <w:r w:rsidR="00B50A7A" w:rsidRPr="001E18AE">
        <w:t xml:space="preserve">outbreak management in </w:t>
      </w:r>
      <w:hyperlink w:anchor="_COVID-19_outbreak_management" w:history="1">
        <w:r w:rsidR="00986572" w:rsidRPr="0069585D">
          <w:rPr>
            <w:rStyle w:val="Hyperlink"/>
          </w:rPr>
          <w:t xml:space="preserve">section </w:t>
        </w:r>
        <w:r w:rsidR="0069585D" w:rsidRPr="0069585D">
          <w:rPr>
            <w:rStyle w:val="Hyperlink"/>
          </w:rPr>
          <w:t>8</w:t>
        </w:r>
      </w:hyperlink>
      <w:r w:rsidR="0069585D">
        <w:t>.</w:t>
      </w:r>
    </w:p>
    <w:p w14:paraId="7E24E13B" w14:textId="0949AB23" w:rsidR="00856A93" w:rsidRPr="001E18AE" w:rsidRDefault="00856A93" w:rsidP="00403484">
      <w:pPr>
        <w:pStyle w:val="Bullet1"/>
      </w:pPr>
      <w:r w:rsidRPr="001E18AE">
        <w:t xml:space="preserve">If the outbreak definition is not met – continue with the appropriate </w:t>
      </w:r>
      <w:r w:rsidR="00420082" w:rsidRPr="001E18AE">
        <w:t>management including</w:t>
      </w:r>
      <w:r w:rsidR="00722ABE" w:rsidRPr="001E18AE">
        <w:t xml:space="preserve"> identifying contacts as outlined below, testing of resident and staff</w:t>
      </w:r>
      <w:r w:rsidR="00546968" w:rsidRPr="001E18AE">
        <w:t xml:space="preserve"> contacts</w:t>
      </w:r>
      <w:r w:rsidR="00722ABE" w:rsidRPr="001E18AE">
        <w:t xml:space="preserve">, and implement IPC measures </w:t>
      </w:r>
      <w:r w:rsidR="00546968" w:rsidRPr="001E18AE">
        <w:t xml:space="preserve">as described in outbreak management </w:t>
      </w:r>
      <w:r w:rsidR="00722ABE" w:rsidRPr="001E18AE">
        <w:t xml:space="preserve">in </w:t>
      </w:r>
      <w:hyperlink w:anchor="_COVID-19_outbreak_management" w:history="1">
        <w:r w:rsidR="0042075F" w:rsidRPr="003A0939">
          <w:rPr>
            <w:rStyle w:val="Hyperlink"/>
          </w:rPr>
          <w:t>section 8</w:t>
        </w:r>
      </w:hyperlink>
      <w:r w:rsidR="0042075F">
        <w:t>.</w:t>
      </w:r>
    </w:p>
    <w:p w14:paraId="00DA0BD5" w14:textId="6D8D9D02" w:rsidR="00E258A2" w:rsidRPr="001E18AE" w:rsidRDefault="000C0927" w:rsidP="00403484">
      <w:pPr>
        <w:pStyle w:val="Bullet1"/>
      </w:pPr>
      <w:r w:rsidRPr="00403484">
        <w:t>RCFs should</w:t>
      </w:r>
      <w:r w:rsidRPr="001E18AE">
        <w:t xml:space="preserve"> </w:t>
      </w:r>
      <w:r w:rsidR="00856A93" w:rsidRPr="001E18AE">
        <w:t xml:space="preserve">report any positive RAT results on behalf of a resident to the </w:t>
      </w:r>
      <w:r w:rsidR="00E97F4E">
        <w:t>d</w:t>
      </w:r>
      <w:r w:rsidR="00856A93" w:rsidRPr="001E18AE">
        <w:t>epartment.</w:t>
      </w:r>
    </w:p>
    <w:p w14:paraId="526C55D8" w14:textId="29C95200" w:rsidR="00856A93" w:rsidRPr="00051CB4" w:rsidRDefault="00856A93" w:rsidP="00403484">
      <w:pPr>
        <w:pStyle w:val="Bullet1"/>
      </w:pPr>
      <w:r w:rsidRPr="00051CB4">
        <w:t xml:space="preserve">RCFs </w:t>
      </w:r>
      <w:r w:rsidR="001E18AE" w:rsidRPr="00051CB4">
        <w:t>should be aware of additional reporting requirements relevant to their sector.</w:t>
      </w:r>
    </w:p>
    <w:p w14:paraId="02EA4CD0" w14:textId="6D4FD20A" w:rsidR="009C22E4" w:rsidRPr="0014515B" w:rsidRDefault="009C22E4" w:rsidP="00C656CC">
      <w:pPr>
        <w:pStyle w:val="Heading3"/>
      </w:pPr>
      <w:r w:rsidRPr="0014515B">
        <w:t>COVID exposure pathway: single resident case – identifying contacts</w:t>
      </w:r>
    </w:p>
    <w:p w14:paraId="74B9E559" w14:textId="6DB0087F" w:rsidR="009C22E4" w:rsidRDefault="009C22E4" w:rsidP="00BC73B8">
      <w:pPr>
        <w:pStyle w:val="Body"/>
      </w:pPr>
      <w:r w:rsidRPr="00BC73B8">
        <w:t>Steps RCFs should follow when there has been COVID-19 exposure in the facility. The RCF is responsible for coordinating this response and some actions may need to occur concurrently. RCF should contact their LPHU if they have any questions.</w:t>
      </w:r>
    </w:p>
    <w:p w14:paraId="64134DB4" w14:textId="1FF7D810" w:rsidR="006A4719" w:rsidRPr="006A4719" w:rsidRDefault="006A4719" w:rsidP="006A4719">
      <w:pPr>
        <w:pStyle w:val="Body"/>
        <w:rPr>
          <w:b/>
          <w:bCs/>
        </w:rPr>
      </w:pPr>
      <w:r w:rsidRPr="006A4719">
        <w:rPr>
          <w:b/>
          <w:bCs/>
        </w:rPr>
        <w:t>1. Isolate the resident with COVID-19 diagnosis</w:t>
      </w:r>
    </w:p>
    <w:p w14:paraId="1A34B343" w14:textId="3115F14C" w:rsidR="009C22E4" w:rsidRPr="00BC73B8" w:rsidRDefault="007E0E1E" w:rsidP="00BC73B8">
      <w:pPr>
        <w:pStyle w:val="Body"/>
      </w:pPr>
      <w:r w:rsidRPr="00BC73B8">
        <w:t>A resident with a COVID-19 diagnosis should be i</w:t>
      </w:r>
      <w:r w:rsidR="009C22E4" w:rsidRPr="00BC73B8">
        <w:t>mmediately</w:t>
      </w:r>
      <w:r w:rsidRPr="00BC73B8">
        <w:t xml:space="preserve"> </w:t>
      </w:r>
      <w:r w:rsidR="00354158" w:rsidRPr="00BC73B8">
        <w:t>isolated in a single room with an ensuite bathroom, if possible.</w:t>
      </w:r>
    </w:p>
    <w:p w14:paraId="5D689C0D" w14:textId="62DD4062" w:rsidR="009C22E4" w:rsidRPr="00903483" w:rsidRDefault="006A4719" w:rsidP="00903483">
      <w:pPr>
        <w:pStyle w:val="Body"/>
        <w:rPr>
          <w:b/>
          <w:bCs/>
        </w:rPr>
      </w:pPr>
      <w:r w:rsidRPr="00903483">
        <w:rPr>
          <w:b/>
          <w:bCs/>
        </w:rPr>
        <w:t xml:space="preserve">2. </w:t>
      </w:r>
      <w:r w:rsidR="009C22E4" w:rsidRPr="00903483">
        <w:rPr>
          <w:b/>
          <w:bCs/>
        </w:rPr>
        <w:t>Notify the case according to sector requirements</w:t>
      </w:r>
    </w:p>
    <w:p w14:paraId="18B9F6BF" w14:textId="47C2106A" w:rsidR="009C22E4" w:rsidRPr="00BC73B8" w:rsidRDefault="009C22E4" w:rsidP="00BC73B8">
      <w:pPr>
        <w:pStyle w:val="Body"/>
      </w:pPr>
      <w:r w:rsidRPr="00BC73B8">
        <w:t xml:space="preserve">All RCFs are required to report a COVID-19 case in a resident, worker or visitor according to sector requirements found in </w:t>
      </w:r>
      <w:hyperlink w:anchor="_Toc128755931" w:history="1">
        <w:r w:rsidR="003A0939" w:rsidRPr="003A0939">
          <w:rPr>
            <w:rStyle w:val="Hyperlink"/>
          </w:rPr>
          <w:t>s</w:t>
        </w:r>
        <w:r w:rsidRPr="003A0939">
          <w:rPr>
            <w:rStyle w:val="Hyperlink"/>
          </w:rPr>
          <w:t xml:space="preserve">ection </w:t>
        </w:r>
        <w:r w:rsidR="00791530" w:rsidRPr="003A0939">
          <w:rPr>
            <w:rStyle w:val="Hyperlink"/>
          </w:rPr>
          <w:t>5</w:t>
        </w:r>
      </w:hyperlink>
      <w:r w:rsidRPr="00BC73B8">
        <w:t xml:space="preserve"> </w:t>
      </w:r>
      <w:r w:rsidR="00B50AD1">
        <w:t>‘</w:t>
      </w:r>
      <w:r w:rsidRPr="00BC73B8">
        <w:t>Detecting and notifying cases and outbreaks</w:t>
      </w:r>
      <w:r w:rsidR="00B50AD1">
        <w:t>’</w:t>
      </w:r>
      <w:r w:rsidR="00BC73B8">
        <w:t>.</w:t>
      </w:r>
    </w:p>
    <w:p w14:paraId="313BAFD1" w14:textId="1A9A71E7" w:rsidR="009C22E4" w:rsidRPr="00903483" w:rsidRDefault="006A4719" w:rsidP="00903483">
      <w:pPr>
        <w:pStyle w:val="Body"/>
        <w:rPr>
          <w:b/>
          <w:bCs/>
        </w:rPr>
      </w:pPr>
      <w:r w:rsidRPr="00903483">
        <w:rPr>
          <w:b/>
          <w:bCs/>
        </w:rPr>
        <w:t xml:space="preserve">3. </w:t>
      </w:r>
      <w:r w:rsidR="009C22E4" w:rsidRPr="00903483">
        <w:rPr>
          <w:b/>
          <w:bCs/>
        </w:rPr>
        <w:t>Activate the internal OMT</w:t>
      </w:r>
    </w:p>
    <w:p w14:paraId="59D4A1C4" w14:textId="6356570E" w:rsidR="009C22E4" w:rsidRPr="00BC73B8" w:rsidRDefault="009C22E4" w:rsidP="00BC73B8">
      <w:pPr>
        <w:pStyle w:val="Body"/>
      </w:pPr>
      <w:r w:rsidRPr="00BC73B8">
        <w:t xml:space="preserve">Activate the internal OMT to initiate the facility </w:t>
      </w:r>
      <w:r w:rsidR="00A76879" w:rsidRPr="00BC73B8">
        <w:t>OMP</w:t>
      </w:r>
      <w:r w:rsidRPr="00BC73B8">
        <w:t>, ensuring the plan is current and all staff are clear about roles and responsibilities.</w:t>
      </w:r>
    </w:p>
    <w:p w14:paraId="4D4EC8EC" w14:textId="77777777" w:rsidR="009C22E4" w:rsidRPr="0014515B" w:rsidRDefault="009C22E4" w:rsidP="009C22E4">
      <w:pPr>
        <w:pStyle w:val="paragraph"/>
        <w:spacing w:before="0" w:beforeAutospacing="0" w:after="0" w:afterAutospacing="0"/>
        <w:jc w:val="center"/>
        <w:textAlignment w:val="baseline"/>
        <w:rPr>
          <w:rFonts w:ascii="Arial" w:hAnsi="Arial" w:cs="Arial"/>
          <w:sz w:val="21"/>
          <w:szCs w:val="21"/>
        </w:rPr>
      </w:pPr>
      <w:r w:rsidRPr="0014515B">
        <w:rPr>
          <w:rStyle w:val="eop"/>
          <w:rFonts w:ascii="Arial" w:eastAsia="MS Mincho" w:hAnsi="Arial" w:cs="Arial"/>
          <w:color w:val="000000"/>
          <w:sz w:val="21"/>
          <w:szCs w:val="21"/>
        </w:rPr>
        <w:t> </w:t>
      </w:r>
    </w:p>
    <w:p w14:paraId="627EF513" w14:textId="445E12BB" w:rsidR="009C22E4" w:rsidRPr="00903483" w:rsidRDefault="00903483" w:rsidP="00903483">
      <w:pPr>
        <w:pStyle w:val="Body"/>
        <w:rPr>
          <w:b/>
          <w:bCs/>
        </w:rPr>
      </w:pPr>
      <w:r w:rsidRPr="00903483">
        <w:rPr>
          <w:b/>
          <w:bCs/>
        </w:rPr>
        <w:lastRenderedPageBreak/>
        <w:t xml:space="preserve">4. </w:t>
      </w:r>
      <w:r w:rsidR="009C22E4" w:rsidRPr="00903483">
        <w:rPr>
          <w:b/>
          <w:bCs/>
        </w:rPr>
        <w:t>Test residents who are considered close contacts (live in the same area/wing as the case)</w:t>
      </w:r>
    </w:p>
    <w:p w14:paraId="251F54EA" w14:textId="19F284A3" w:rsidR="009C22E4" w:rsidRPr="00BC73B8" w:rsidRDefault="009C22E4" w:rsidP="00BC73B8">
      <w:pPr>
        <w:pStyle w:val="Body"/>
      </w:pPr>
      <w:r w:rsidRPr="00BC73B8">
        <w:t>This round of testing will help to determine if there is an outbreak. This testing should ideally occur on the same day that the positive case was identified. Residents who live in the same area/wing as the case are considered close contacts. Review the first round of COVID-19 test results.</w:t>
      </w:r>
    </w:p>
    <w:p w14:paraId="3E095BAA" w14:textId="7074A4F2" w:rsidR="009C22E4" w:rsidRPr="00903483" w:rsidRDefault="00903483" w:rsidP="00903483">
      <w:pPr>
        <w:pStyle w:val="Body"/>
        <w:rPr>
          <w:b/>
          <w:bCs/>
        </w:rPr>
      </w:pPr>
      <w:r w:rsidRPr="00903483">
        <w:rPr>
          <w:b/>
          <w:bCs/>
        </w:rPr>
        <w:t xml:space="preserve">5a. </w:t>
      </w:r>
      <w:r w:rsidR="009C22E4" w:rsidRPr="00903483">
        <w:rPr>
          <w:b/>
          <w:bCs/>
        </w:rPr>
        <w:t>Management of residents who are considered close contacts</w:t>
      </w:r>
    </w:p>
    <w:p w14:paraId="1B5AFA6C" w14:textId="489EE795" w:rsidR="00C67143" w:rsidRPr="00BC73B8" w:rsidRDefault="00CF1B2A" w:rsidP="00BC73B8">
      <w:pPr>
        <w:pStyle w:val="Body"/>
        <w:rPr>
          <w:rFonts w:cs="Arial"/>
          <w:szCs w:val="21"/>
          <w:u w:val="single"/>
        </w:rPr>
      </w:pPr>
      <w:r w:rsidRPr="00BC73B8">
        <w:rPr>
          <w:u w:val="single"/>
        </w:rPr>
        <w:t>Residents who are c</w:t>
      </w:r>
      <w:r w:rsidR="00C67143" w:rsidRPr="00BC73B8">
        <w:rPr>
          <w:u w:val="single"/>
        </w:rPr>
        <w:t>lose contacts are not required to self-quarantine:</w:t>
      </w:r>
    </w:p>
    <w:p w14:paraId="0C45D1C9" w14:textId="23E35BB9" w:rsidR="00C67143" w:rsidRPr="006A4719" w:rsidRDefault="006A4719" w:rsidP="006A4719">
      <w:pPr>
        <w:pStyle w:val="Bullet1"/>
        <w:rPr>
          <w:rStyle w:val="eop"/>
        </w:rPr>
      </w:pPr>
      <w:r>
        <w:t>I</w:t>
      </w:r>
      <w:r w:rsidR="00AA14CC" w:rsidRPr="006A4719">
        <w:t>t is strongly recommended that RA</w:t>
      </w:r>
      <w:r w:rsidR="00CF1B2A" w:rsidRPr="006A4719">
        <w:t>Ts</w:t>
      </w:r>
      <w:r w:rsidR="00AA14CC" w:rsidRPr="006A4719">
        <w:t xml:space="preserve"> are undertaken 24 hours apart for 5 days out of 7 days after being identified as a close contact</w:t>
      </w:r>
      <w:r w:rsidR="00376558">
        <w:rPr>
          <w:rStyle w:val="normaltextrun"/>
        </w:rPr>
        <w:t>.</w:t>
      </w:r>
    </w:p>
    <w:p w14:paraId="283E2D1B" w14:textId="6855BA4D" w:rsidR="00672232" w:rsidRPr="006A4719" w:rsidRDefault="00672232" w:rsidP="006A4719">
      <w:pPr>
        <w:pStyle w:val="Bullet1"/>
      </w:pPr>
      <w:r w:rsidRPr="006A4719">
        <w:t>If they develop any symptoms, they should isolate while unwell and take a test</w:t>
      </w:r>
      <w:r w:rsidR="00376558">
        <w:t>.</w:t>
      </w:r>
    </w:p>
    <w:p w14:paraId="6D8DC99C" w14:textId="3BD90745" w:rsidR="00C67143" w:rsidRPr="006A4719" w:rsidRDefault="0016017A" w:rsidP="006A4719">
      <w:pPr>
        <w:pStyle w:val="Bullet1"/>
      </w:pPr>
      <w:r w:rsidRPr="006A4719">
        <w:rPr>
          <w:rStyle w:val="normaltextrun"/>
        </w:rPr>
        <w:t>They should w</w:t>
      </w:r>
      <w:r w:rsidR="00C67143" w:rsidRPr="006A4719">
        <w:rPr>
          <w:rStyle w:val="normaltextrun"/>
        </w:rPr>
        <w:t xml:space="preserve">ear a face mask </w:t>
      </w:r>
      <w:r w:rsidR="00967C54" w:rsidRPr="006A4719">
        <w:rPr>
          <w:rStyle w:val="normaltextrun"/>
        </w:rPr>
        <w:t>when leaving</w:t>
      </w:r>
      <w:r w:rsidR="00C67143" w:rsidRPr="006A4719">
        <w:rPr>
          <w:rStyle w:val="normaltextrun"/>
        </w:rPr>
        <w:t xml:space="preserve"> their home</w:t>
      </w:r>
      <w:r w:rsidR="00EB39FE" w:rsidRPr="006A4719">
        <w:rPr>
          <w:rStyle w:val="normaltextrun"/>
        </w:rPr>
        <w:t xml:space="preserve"> for 7 days</w:t>
      </w:r>
      <w:r w:rsidR="00376558">
        <w:rPr>
          <w:rStyle w:val="normaltextrun"/>
        </w:rPr>
        <w:t>.</w:t>
      </w:r>
    </w:p>
    <w:p w14:paraId="737C4B59" w14:textId="0FF8C01B" w:rsidR="00C67143" w:rsidRPr="006A4719" w:rsidRDefault="00C67143" w:rsidP="006A4719">
      <w:pPr>
        <w:pStyle w:val="Bullet1"/>
      </w:pPr>
      <w:r w:rsidRPr="006A4719">
        <w:rPr>
          <w:rStyle w:val="normaltextrun"/>
        </w:rPr>
        <w:t xml:space="preserve">The wing/area where the resident lives is considered their </w:t>
      </w:r>
      <w:r w:rsidR="00967C54" w:rsidRPr="006A4719">
        <w:rPr>
          <w:rStyle w:val="normaltextrun"/>
        </w:rPr>
        <w:t>home</w:t>
      </w:r>
      <w:r w:rsidR="00376558">
        <w:rPr>
          <w:rStyle w:val="normaltextrun"/>
        </w:rPr>
        <w:t>.</w:t>
      </w:r>
    </w:p>
    <w:p w14:paraId="7C3BC0A8" w14:textId="54EE7DB6" w:rsidR="00C67143" w:rsidRPr="006A4719" w:rsidRDefault="0016017A" w:rsidP="006A4719">
      <w:pPr>
        <w:pStyle w:val="Bullet1"/>
        <w:rPr>
          <w:rStyle w:val="normaltextrun"/>
        </w:rPr>
      </w:pPr>
      <w:r w:rsidRPr="006A4719">
        <w:rPr>
          <w:rStyle w:val="normaltextrun"/>
        </w:rPr>
        <w:t>They should n</w:t>
      </w:r>
      <w:r w:rsidR="00C67143" w:rsidRPr="006A4719">
        <w:rPr>
          <w:rStyle w:val="normaltextrun"/>
        </w:rPr>
        <w:t>ot visit hospitals and other care facilities</w:t>
      </w:r>
      <w:r w:rsidR="00376558">
        <w:rPr>
          <w:rStyle w:val="normaltextrun"/>
        </w:rPr>
        <w:t>.</w:t>
      </w:r>
    </w:p>
    <w:p w14:paraId="080E6D9D" w14:textId="05FF626C" w:rsidR="009C22E4" w:rsidRPr="006A4719" w:rsidRDefault="00CF1B2A" w:rsidP="006A4719">
      <w:pPr>
        <w:pStyle w:val="Bodyafterbullets"/>
        <w:rPr>
          <w:u w:val="single"/>
        </w:rPr>
      </w:pPr>
      <w:r w:rsidRPr="006A4719">
        <w:rPr>
          <w:u w:val="single"/>
        </w:rPr>
        <w:t>Residents who are c</w:t>
      </w:r>
      <w:r w:rsidR="009C22E4" w:rsidRPr="006A4719">
        <w:rPr>
          <w:u w:val="single"/>
        </w:rPr>
        <w:t>lose contacts may</w:t>
      </w:r>
      <w:r w:rsidR="00CE70F0" w:rsidRPr="006A4719">
        <w:rPr>
          <w:u w:val="single"/>
        </w:rPr>
        <w:t xml:space="preserve"> choose to</w:t>
      </w:r>
      <w:r w:rsidR="009C22E4" w:rsidRPr="006A4719">
        <w:rPr>
          <w:u w:val="single"/>
        </w:rPr>
        <w:t xml:space="preserve"> </w:t>
      </w:r>
      <w:r w:rsidR="009C22E4" w:rsidRPr="006A4719">
        <w:rPr>
          <w:b/>
          <w:bCs/>
          <w:u w:val="single"/>
        </w:rPr>
        <w:t>self-quarantine for 7 days</w:t>
      </w:r>
      <w:r w:rsidR="009C22E4" w:rsidRPr="006A4719">
        <w:rPr>
          <w:u w:val="single"/>
        </w:rPr>
        <w:t>:</w:t>
      </w:r>
    </w:p>
    <w:p w14:paraId="6F9222E6" w14:textId="47524C0D" w:rsidR="00672232" w:rsidRPr="00903483" w:rsidRDefault="00CE70F0" w:rsidP="00903483">
      <w:pPr>
        <w:pStyle w:val="Bullet1"/>
      </w:pPr>
      <w:r w:rsidRPr="00903483">
        <w:rPr>
          <w:rStyle w:val="normaltextrun"/>
        </w:rPr>
        <w:t>It is strongly recommended to u</w:t>
      </w:r>
      <w:r w:rsidR="009C22E4" w:rsidRPr="00903483">
        <w:rPr>
          <w:rStyle w:val="normaltextrun"/>
        </w:rPr>
        <w:t xml:space="preserve">ndertake RAT </w:t>
      </w:r>
      <w:r w:rsidR="6BAD1A96" w:rsidRPr="00903483">
        <w:rPr>
          <w:rStyle w:val="normaltextrun"/>
        </w:rPr>
        <w:t xml:space="preserve">on </w:t>
      </w:r>
      <w:r w:rsidR="009C22E4" w:rsidRPr="00903483">
        <w:rPr>
          <w:rStyle w:val="normaltextrun"/>
        </w:rPr>
        <w:t>Day 1 and 6 of self-quarantine.</w:t>
      </w:r>
    </w:p>
    <w:p w14:paraId="2780B9EF" w14:textId="3B3C6291" w:rsidR="009C22E4" w:rsidRPr="00903483" w:rsidRDefault="00CE70F0" w:rsidP="00903483">
      <w:pPr>
        <w:pStyle w:val="Bullet1"/>
        <w:rPr>
          <w:rStyle w:val="eop"/>
        </w:rPr>
      </w:pPr>
      <w:r w:rsidRPr="00903483">
        <w:rPr>
          <w:rStyle w:val="normaltextrun"/>
        </w:rPr>
        <w:t>It is also r</w:t>
      </w:r>
      <w:r w:rsidR="009C22E4" w:rsidRPr="00903483">
        <w:rPr>
          <w:rStyle w:val="normaltextrun"/>
        </w:rPr>
        <w:t>ecommend</w:t>
      </w:r>
      <w:r w:rsidRPr="00903483">
        <w:rPr>
          <w:rStyle w:val="normaltextrun"/>
        </w:rPr>
        <w:t xml:space="preserve">ed to do a </w:t>
      </w:r>
      <w:r w:rsidR="009C22E4" w:rsidRPr="00903483">
        <w:rPr>
          <w:rStyle w:val="normaltextrun"/>
        </w:rPr>
        <w:t xml:space="preserve">RAT </w:t>
      </w:r>
      <w:r w:rsidR="4E2202EA" w:rsidRPr="00903483">
        <w:rPr>
          <w:rStyle w:val="normaltextrun"/>
        </w:rPr>
        <w:t xml:space="preserve">on </w:t>
      </w:r>
      <w:r w:rsidR="009C22E4" w:rsidRPr="00903483">
        <w:rPr>
          <w:rStyle w:val="normaltextrun"/>
        </w:rPr>
        <w:t>Day 3</w:t>
      </w:r>
      <w:r w:rsidR="13676C4F" w:rsidRPr="00903483">
        <w:rPr>
          <w:rStyle w:val="normaltextrun"/>
        </w:rPr>
        <w:t xml:space="preserve"> of self-quarantine</w:t>
      </w:r>
      <w:r w:rsidR="0E52BE70" w:rsidRPr="00903483">
        <w:rPr>
          <w:rStyle w:val="normaltextrun"/>
        </w:rPr>
        <w:t>.</w:t>
      </w:r>
      <w:r w:rsidR="009C22E4" w:rsidRPr="00903483">
        <w:rPr>
          <w:rStyle w:val="normaltextrun"/>
        </w:rPr>
        <w:t xml:space="preserve"> If this test is positive, it will reduce the overall amount of time spent in quarantine and isolation.</w:t>
      </w:r>
    </w:p>
    <w:p w14:paraId="062A0BCD" w14:textId="5C5987E8" w:rsidR="00672232" w:rsidRPr="00903483" w:rsidRDefault="00672232" w:rsidP="00903483">
      <w:pPr>
        <w:pStyle w:val="Bullet1"/>
      </w:pPr>
      <w:r w:rsidRPr="00903483">
        <w:t>If they develop any symptoms, they should isolate while unwell and take a test</w:t>
      </w:r>
      <w:r w:rsidR="00376558">
        <w:t>.</w:t>
      </w:r>
    </w:p>
    <w:p w14:paraId="7D7DFCF3" w14:textId="169E3855" w:rsidR="00825F45" w:rsidRPr="00903483" w:rsidRDefault="00825F45" w:rsidP="00903483">
      <w:pPr>
        <w:pStyle w:val="Bullet1"/>
      </w:pPr>
      <w:r w:rsidRPr="00903483">
        <w:rPr>
          <w:rStyle w:val="normaltextrun"/>
        </w:rPr>
        <w:t>They should wear a face mask when leaving their home for 7 days.</w:t>
      </w:r>
    </w:p>
    <w:p w14:paraId="1069BE66" w14:textId="6AF154E2" w:rsidR="009C22E4" w:rsidRPr="00903483" w:rsidRDefault="007A56CE" w:rsidP="00903483">
      <w:pPr>
        <w:pStyle w:val="Bullet1"/>
      </w:pPr>
      <w:r w:rsidRPr="00903483">
        <w:rPr>
          <w:rStyle w:val="normaltextrun"/>
        </w:rPr>
        <w:t>They m</w:t>
      </w:r>
      <w:r w:rsidR="009C22E4" w:rsidRPr="00903483">
        <w:rPr>
          <w:rStyle w:val="normaltextrun"/>
        </w:rPr>
        <w:t>ay exercise outdoors whilst wearing a face mask and physically distancing.</w:t>
      </w:r>
    </w:p>
    <w:p w14:paraId="2FA5601F" w14:textId="55DE0375" w:rsidR="009C22E4" w:rsidRPr="00903483" w:rsidRDefault="00903483" w:rsidP="00903483">
      <w:pPr>
        <w:pStyle w:val="Bodyafterbullets"/>
        <w:rPr>
          <w:b/>
          <w:bCs/>
        </w:rPr>
      </w:pPr>
      <w:r w:rsidRPr="00903483">
        <w:rPr>
          <w:b/>
          <w:bCs/>
        </w:rPr>
        <w:t xml:space="preserve">5b. </w:t>
      </w:r>
      <w:r w:rsidR="009C22E4" w:rsidRPr="00903483">
        <w:rPr>
          <w:b/>
          <w:bCs/>
        </w:rPr>
        <w:t>Identify and manage any residents identified as social contacts and monitor for symptoms</w:t>
      </w:r>
    </w:p>
    <w:p w14:paraId="7665629F" w14:textId="0D8BC0F1" w:rsidR="009C22E4" w:rsidRPr="0014515B" w:rsidRDefault="009C22E4" w:rsidP="00903483">
      <w:pPr>
        <w:pStyle w:val="Body"/>
      </w:pPr>
      <w:r w:rsidRPr="00903483">
        <w:t>Residents from other areas in the facility may need to</w:t>
      </w:r>
      <w:r w:rsidR="00D45C76" w:rsidRPr="00903483">
        <w:t xml:space="preserve"> be</w:t>
      </w:r>
      <w:r w:rsidRPr="00903483">
        <w:t xml:space="preserve"> considered as social contacts through shared activities such as day programs etc.</w:t>
      </w:r>
    </w:p>
    <w:p w14:paraId="2A85540A" w14:textId="3A7AAFC5" w:rsidR="009C22E4" w:rsidRPr="00903483" w:rsidRDefault="00E71AA7" w:rsidP="00903483">
      <w:pPr>
        <w:pStyle w:val="Bullet1"/>
      </w:pPr>
      <w:r w:rsidRPr="00903483">
        <w:rPr>
          <w:rStyle w:val="normaltextrun"/>
        </w:rPr>
        <w:t xml:space="preserve">Residents who are social contacts </w:t>
      </w:r>
      <w:r w:rsidR="003C78F1" w:rsidRPr="00903483">
        <w:rPr>
          <w:rStyle w:val="normaltextrun"/>
        </w:rPr>
        <w:t>may</w:t>
      </w:r>
      <w:r w:rsidRPr="00903483">
        <w:rPr>
          <w:rStyle w:val="normaltextrun"/>
        </w:rPr>
        <w:t xml:space="preserve"> </w:t>
      </w:r>
      <w:r w:rsidR="00E81BE4" w:rsidRPr="00903483">
        <w:rPr>
          <w:rStyle w:val="normaltextrun"/>
        </w:rPr>
        <w:t>do a RAT</w:t>
      </w:r>
      <w:r w:rsidR="00625492" w:rsidRPr="00903483">
        <w:rPr>
          <w:rStyle w:val="normaltextrun"/>
        </w:rPr>
        <w:t xml:space="preserve"> each day for </w:t>
      </w:r>
      <w:r w:rsidR="003C78F1" w:rsidRPr="00903483">
        <w:rPr>
          <w:rStyle w:val="normaltextrun"/>
        </w:rPr>
        <w:t>five days after being notified of being a contact</w:t>
      </w:r>
      <w:r w:rsidRPr="00903483">
        <w:rPr>
          <w:rStyle w:val="normaltextrun"/>
        </w:rPr>
        <w:t xml:space="preserve">. </w:t>
      </w:r>
      <w:r w:rsidR="00E251EB" w:rsidRPr="00903483">
        <w:rPr>
          <w:rStyle w:val="normaltextrun"/>
        </w:rPr>
        <w:t>For</w:t>
      </w:r>
      <w:r w:rsidR="00CF5E48" w:rsidRPr="00903483">
        <w:rPr>
          <w:rStyle w:val="normaltextrun"/>
        </w:rPr>
        <w:t xml:space="preserve"> r</w:t>
      </w:r>
      <w:r w:rsidR="009C22E4" w:rsidRPr="00903483">
        <w:rPr>
          <w:rStyle w:val="normaltextrun"/>
        </w:rPr>
        <w:t xml:space="preserve">esidents who </w:t>
      </w:r>
      <w:r w:rsidR="5707DCF3" w:rsidRPr="00903483">
        <w:rPr>
          <w:rStyle w:val="normaltextrun"/>
        </w:rPr>
        <w:t>have</w:t>
      </w:r>
      <w:r w:rsidR="009C22E4" w:rsidRPr="00903483">
        <w:rPr>
          <w:rStyle w:val="normaltextrun"/>
        </w:rPr>
        <w:t xml:space="preserve"> repeated recommendations for tests</w:t>
      </w:r>
      <w:r w:rsidR="00CF5E48" w:rsidRPr="00903483">
        <w:rPr>
          <w:rStyle w:val="normaltextrun"/>
        </w:rPr>
        <w:t xml:space="preserve">, </w:t>
      </w:r>
      <w:r w:rsidR="003C78F1" w:rsidRPr="00903483">
        <w:rPr>
          <w:rStyle w:val="normaltextrun"/>
        </w:rPr>
        <w:t xml:space="preserve">it is recommended to do </w:t>
      </w:r>
      <w:r w:rsidR="00CF5E48" w:rsidRPr="00903483">
        <w:rPr>
          <w:rStyle w:val="normaltextrun"/>
        </w:rPr>
        <w:t xml:space="preserve">a </w:t>
      </w:r>
      <w:r w:rsidR="32215C3A" w:rsidRPr="00903483">
        <w:rPr>
          <w:rStyle w:val="normaltextrun"/>
        </w:rPr>
        <w:t>RAT</w:t>
      </w:r>
      <w:r w:rsidR="009C22E4" w:rsidRPr="00903483">
        <w:rPr>
          <w:rStyle w:val="normaltextrun"/>
        </w:rPr>
        <w:t xml:space="preserve"> </w:t>
      </w:r>
      <w:r w:rsidR="00EC6586" w:rsidRPr="00903483">
        <w:t>on the first, third and sixth days</w:t>
      </w:r>
      <w:r w:rsidR="00CF5E48" w:rsidRPr="00903483">
        <w:rPr>
          <w:rStyle w:val="normaltextrun"/>
        </w:rPr>
        <w:t>.</w:t>
      </w:r>
    </w:p>
    <w:p w14:paraId="0DE80083" w14:textId="1DD4B1DB" w:rsidR="009C22E4" w:rsidRPr="00903483" w:rsidRDefault="009C22E4" w:rsidP="00903483">
      <w:pPr>
        <w:pStyle w:val="Bullet1"/>
      </w:pPr>
      <w:r w:rsidRPr="00903483">
        <w:rPr>
          <w:rStyle w:val="normaltextrun"/>
        </w:rPr>
        <w:t xml:space="preserve">If any social contact develops symptoms consistent with COVID-19, they </w:t>
      </w:r>
      <w:r w:rsidR="00917BC6" w:rsidRPr="00903483">
        <w:rPr>
          <w:rStyle w:val="normaltextrun"/>
        </w:rPr>
        <w:t xml:space="preserve">should </w:t>
      </w:r>
      <w:r w:rsidRPr="00903483">
        <w:rPr>
          <w:rStyle w:val="normaltextrun"/>
        </w:rPr>
        <w:t xml:space="preserve">be tested for COVID-19 (rapid antigen or PCR test) and </w:t>
      </w:r>
      <w:r w:rsidR="00917BC6" w:rsidRPr="00903483">
        <w:rPr>
          <w:rStyle w:val="normaltextrun"/>
        </w:rPr>
        <w:t xml:space="preserve">should </w:t>
      </w:r>
      <w:r w:rsidR="007F4BBF" w:rsidRPr="00903483">
        <w:rPr>
          <w:rStyle w:val="normaltextrun"/>
        </w:rPr>
        <w:t>isolate</w:t>
      </w:r>
      <w:r w:rsidRPr="00903483">
        <w:rPr>
          <w:rStyle w:val="normaltextrun"/>
        </w:rPr>
        <w:t xml:space="preserve"> whilst awaiting test result</w:t>
      </w:r>
      <w:r w:rsidR="00903483">
        <w:rPr>
          <w:rStyle w:val="normaltextrun"/>
        </w:rPr>
        <w:t>.</w:t>
      </w:r>
    </w:p>
    <w:p w14:paraId="18685D29" w14:textId="76BB36D3" w:rsidR="009C22E4" w:rsidRPr="0014515B" w:rsidRDefault="009C22E4" w:rsidP="00903483">
      <w:pPr>
        <w:pStyle w:val="Bodyafterbullets"/>
      </w:pPr>
      <w:r w:rsidRPr="0014515B">
        <w:rPr>
          <w:rStyle w:val="normaltextrun"/>
          <w:rFonts w:eastAsia="MS Gothic" w:cs="Arial"/>
          <w:b/>
          <w:bCs/>
          <w:szCs w:val="21"/>
        </w:rPr>
        <w:t>6. Management of staff working in the same area/wing</w:t>
      </w:r>
    </w:p>
    <w:p w14:paraId="76CAB0E1" w14:textId="073333F1" w:rsidR="009C22E4" w:rsidRPr="00903483" w:rsidRDefault="009C22E4" w:rsidP="00903483">
      <w:pPr>
        <w:pStyle w:val="Body"/>
        <w:rPr>
          <w:u w:val="single"/>
        </w:rPr>
      </w:pPr>
      <w:r w:rsidRPr="00903483">
        <w:rPr>
          <w:u w:val="single"/>
        </w:rPr>
        <w:t>N95 worn and No PPE Breaches</w:t>
      </w:r>
    </w:p>
    <w:p w14:paraId="3720EE89" w14:textId="187E6917" w:rsidR="00903483" w:rsidRDefault="00903483" w:rsidP="00903483">
      <w:pPr>
        <w:pStyle w:val="Bullet1"/>
      </w:pPr>
      <w:r>
        <w:t>Staff member wore an N95 respirator throughout interactions with case, and</w:t>
      </w:r>
    </w:p>
    <w:p w14:paraId="69529952" w14:textId="71BFB27C" w:rsidR="00903483" w:rsidRDefault="00903483" w:rsidP="00903483">
      <w:pPr>
        <w:pStyle w:val="Bullet1"/>
      </w:pPr>
      <w:r>
        <w:t>No PPE breaches</w:t>
      </w:r>
      <w:r w:rsidR="00376558">
        <w:t>.</w:t>
      </w:r>
    </w:p>
    <w:p w14:paraId="4E927A4A" w14:textId="56D6C02D" w:rsidR="00903483" w:rsidRDefault="00903483" w:rsidP="00903483">
      <w:pPr>
        <w:pStyle w:val="Bodyafterbullets"/>
        <w:rPr>
          <w:b/>
          <w:bCs/>
        </w:rPr>
      </w:pPr>
      <w:r>
        <w:t xml:space="preserve">They </w:t>
      </w:r>
      <w:r w:rsidRPr="00903483">
        <w:rPr>
          <w:b/>
          <w:bCs/>
        </w:rPr>
        <w:t>are not</w:t>
      </w:r>
      <w:r>
        <w:t xml:space="preserve"> considered a social contact. </w:t>
      </w:r>
      <w:r w:rsidRPr="00903483">
        <w:rPr>
          <w:b/>
          <w:bCs/>
        </w:rPr>
        <w:t>There is no further action required.</w:t>
      </w:r>
    </w:p>
    <w:p w14:paraId="3A13778A" w14:textId="25DDD234" w:rsidR="00903483" w:rsidRDefault="00903483" w:rsidP="00903483">
      <w:pPr>
        <w:pStyle w:val="Body"/>
        <w:rPr>
          <w:u w:val="single"/>
        </w:rPr>
      </w:pPr>
      <w:r w:rsidRPr="00903483">
        <w:rPr>
          <w:u w:val="single"/>
        </w:rPr>
        <w:t xml:space="preserve">N95 </w:t>
      </w:r>
      <w:r>
        <w:rPr>
          <w:u w:val="single"/>
        </w:rPr>
        <w:t xml:space="preserve">not </w:t>
      </w:r>
      <w:r w:rsidRPr="00903483">
        <w:rPr>
          <w:u w:val="single"/>
        </w:rPr>
        <w:t xml:space="preserve">worn </w:t>
      </w:r>
      <w:r>
        <w:rPr>
          <w:u w:val="single"/>
        </w:rPr>
        <w:t xml:space="preserve">or </w:t>
      </w:r>
      <w:r w:rsidRPr="00903483">
        <w:rPr>
          <w:u w:val="single"/>
        </w:rPr>
        <w:t>PPE Breaches</w:t>
      </w:r>
    </w:p>
    <w:p w14:paraId="3D551049" w14:textId="44BCC27F" w:rsidR="00903483" w:rsidRDefault="00903483" w:rsidP="00903483">
      <w:pPr>
        <w:pStyle w:val="Bullet1"/>
      </w:pPr>
      <w:r>
        <w:t xml:space="preserve">Staff member </w:t>
      </w:r>
      <w:r w:rsidRPr="00903483">
        <w:rPr>
          <w:u w:val="single"/>
        </w:rPr>
        <w:t>did not</w:t>
      </w:r>
      <w:r>
        <w:t xml:space="preserve"> wear an N95 respirator, or</w:t>
      </w:r>
    </w:p>
    <w:p w14:paraId="035E97BD" w14:textId="622F2BC4" w:rsidR="00903483" w:rsidRDefault="00903483" w:rsidP="00903483">
      <w:pPr>
        <w:pStyle w:val="Bullet1"/>
      </w:pPr>
      <w:r>
        <w:t>There were PPE breaches</w:t>
      </w:r>
      <w:r w:rsidR="00376558">
        <w:t>.</w:t>
      </w:r>
    </w:p>
    <w:p w14:paraId="206E2A2F" w14:textId="2C0F067D" w:rsidR="00903483" w:rsidRDefault="00903483" w:rsidP="00903483">
      <w:pPr>
        <w:pStyle w:val="Bodyafterbullets"/>
      </w:pPr>
      <w:r>
        <w:t xml:space="preserve">They </w:t>
      </w:r>
      <w:r w:rsidRPr="00903483">
        <w:rPr>
          <w:b/>
          <w:bCs/>
        </w:rPr>
        <w:t xml:space="preserve">are </w:t>
      </w:r>
      <w:r>
        <w:t>considered a social contact.</w:t>
      </w:r>
    </w:p>
    <w:p w14:paraId="4DFE6A66" w14:textId="3DFCA431" w:rsidR="00903483" w:rsidRDefault="00903483" w:rsidP="00903483">
      <w:pPr>
        <w:pStyle w:val="Body"/>
        <w:rPr>
          <w:b/>
          <w:bCs/>
        </w:rPr>
      </w:pPr>
      <w:r w:rsidRPr="00903483">
        <w:rPr>
          <w:b/>
          <w:bCs/>
        </w:rPr>
        <w:t>It is recommended that staff who are social contacts should undertake daily RAT for 5 days.</w:t>
      </w:r>
    </w:p>
    <w:p w14:paraId="40AB1616" w14:textId="08D9B507" w:rsidR="00903483" w:rsidRPr="00903483" w:rsidRDefault="00903483" w:rsidP="00903483">
      <w:pPr>
        <w:pStyle w:val="Bullet1"/>
      </w:pPr>
      <w:r w:rsidRPr="00903483">
        <w:t>If any social contact develops symptoms consistent with COVID-19, they should be tested for COVID-19 (rapid antigen or PCR test) and should isolate whilst awaiting test result</w:t>
      </w:r>
      <w:r>
        <w:t>.</w:t>
      </w:r>
    </w:p>
    <w:p w14:paraId="4792447F" w14:textId="2A39CBA3" w:rsidR="009C22E4" w:rsidRPr="0014515B" w:rsidRDefault="009C22E4" w:rsidP="00C656CC">
      <w:pPr>
        <w:pStyle w:val="Heading3"/>
      </w:pPr>
      <w:r w:rsidRPr="0014515B">
        <w:lastRenderedPageBreak/>
        <w:t>COVID exposure pathway - staff or visitor case - identifying contacts</w:t>
      </w:r>
    </w:p>
    <w:p w14:paraId="1C12DFAA" w14:textId="46AEED9F" w:rsidR="009C22E4" w:rsidRPr="008B004B" w:rsidRDefault="009C22E4" w:rsidP="00376558">
      <w:pPr>
        <w:pStyle w:val="Body"/>
      </w:pPr>
      <w:r w:rsidRPr="008B004B">
        <w:t xml:space="preserve">Steps RCFs should follow when there has been COVID-19 exposure in the facility. The RCF is responsible for coordinating this response and some actions may need to occur concurrently. RCF should contact their LPHU </w:t>
      </w:r>
      <w:r w:rsidR="00036582" w:rsidRPr="008B004B">
        <w:t>if</w:t>
      </w:r>
      <w:r w:rsidRPr="008B004B">
        <w:t xml:space="preserve"> they have any questions.</w:t>
      </w:r>
    </w:p>
    <w:p w14:paraId="1B1B4FDB" w14:textId="268E0831" w:rsidR="009C22E4" w:rsidRPr="00376558" w:rsidRDefault="009C22E4" w:rsidP="00376558">
      <w:pPr>
        <w:pStyle w:val="Body"/>
        <w:rPr>
          <w:b/>
          <w:bCs/>
        </w:rPr>
      </w:pPr>
      <w:r w:rsidRPr="00376558">
        <w:rPr>
          <w:b/>
          <w:bCs/>
        </w:rPr>
        <w:t>1. Determine if the staff or visitor were on site during their infectious period</w:t>
      </w:r>
    </w:p>
    <w:p w14:paraId="01D348E6" w14:textId="15ABF925" w:rsidR="009C22E4" w:rsidRPr="00376558" w:rsidRDefault="009C22E4" w:rsidP="00376558">
      <w:pPr>
        <w:pStyle w:val="Bullet1"/>
      </w:pPr>
      <w:r w:rsidRPr="00376558">
        <w:t>Review staff records and visitor logs</w:t>
      </w:r>
      <w:r w:rsidR="00376558">
        <w:t>.</w:t>
      </w:r>
    </w:p>
    <w:p w14:paraId="21A045D8" w14:textId="690542D9" w:rsidR="009C22E4" w:rsidRPr="00376558" w:rsidRDefault="009C22E4" w:rsidP="00376558">
      <w:pPr>
        <w:pStyle w:val="Bullet1"/>
      </w:pPr>
      <w:r w:rsidRPr="00376558">
        <w:t>Interview the staff or visitor for each interaction</w:t>
      </w:r>
      <w:r w:rsidR="00376558">
        <w:t>.</w:t>
      </w:r>
    </w:p>
    <w:p w14:paraId="6491F066" w14:textId="34BAEB90" w:rsidR="009C22E4" w:rsidRPr="00376558" w:rsidRDefault="009C22E4" w:rsidP="00376558">
      <w:pPr>
        <w:pStyle w:val="Bullet1"/>
      </w:pPr>
      <w:r w:rsidRPr="00376558">
        <w:t xml:space="preserve">If there are concerns that the RCF was the source of infection, arrange appropriate testing of </w:t>
      </w:r>
      <w:bookmarkStart w:id="1230" w:name="_Int_ruobf305"/>
      <w:r w:rsidRPr="00376558">
        <w:t>possible sources</w:t>
      </w:r>
      <w:bookmarkEnd w:id="1230"/>
      <w:r w:rsidRPr="00376558">
        <w:t>. The LPHU can provide advice in this situation</w:t>
      </w:r>
      <w:r w:rsidR="00376558">
        <w:t>.</w:t>
      </w:r>
    </w:p>
    <w:p w14:paraId="4DC06F5E" w14:textId="72C7D961" w:rsidR="009C22E4" w:rsidRPr="00376558" w:rsidRDefault="009C22E4" w:rsidP="00376558">
      <w:pPr>
        <w:pStyle w:val="Bodyafterbullets"/>
        <w:rPr>
          <w:b/>
          <w:bCs/>
        </w:rPr>
      </w:pPr>
      <w:r w:rsidRPr="00376558">
        <w:rPr>
          <w:b/>
          <w:bCs/>
        </w:rPr>
        <w:t>Interview Questions</w:t>
      </w:r>
    </w:p>
    <w:p w14:paraId="6A7D3BB8" w14:textId="15BC07C0" w:rsidR="009C22E4" w:rsidRPr="00CE3FF4" w:rsidRDefault="009C22E4" w:rsidP="00CE3FF4">
      <w:pPr>
        <w:pStyle w:val="Bullet1"/>
      </w:pPr>
      <w:r w:rsidRPr="00376558">
        <w:t>How long they spent in each area and with each person</w:t>
      </w:r>
      <w:r w:rsidR="004B277D">
        <w:t>?</w:t>
      </w:r>
    </w:p>
    <w:p w14:paraId="6168E220" w14:textId="699D8C14" w:rsidR="009C22E4" w:rsidRPr="00CE3FF4" w:rsidRDefault="004B277D" w:rsidP="00CE3FF4">
      <w:pPr>
        <w:pStyle w:val="Bullet1"/>
      </w:pPr>
      <w:r>
        <w:t>Were</w:t>
      </w:r>
      <w:r w:rsidR="009C22E4" w:rsidRPr="00376558">
        <w:t xml:space="preserve"> they were wearing PPE throughout their interactions</w:t>
      </w:r>
      <w:r>
        <w:t>?</w:t>
      </w:r>
    </w:p>
    <w:p w14:paraId="0FB7CF21" w14:textId="6E529062" w:rsidR="009C22E4" w:rsidRPr="00CE3FF4" w:rsidRDefault="009C22E4" w:rsidP="00CE3FF4">
      <w:pPr>
        <w:pStyle w:val="Bullet1"/>
      </w:pPr>
      <w:r w:rsidRPr="00376558">
        <w:t>If yes, what type of PPE was worn (for example, surgical mask, N95)</w:t>
      </w:r>
      <w:r w:rsidR="00376558">
        <w:t>.</w:t>
      </w:r>
    </w:p>
    <w:p w14:paraId="09BA2F76" w14:textId="22867506" w:rsidR="009C22E4" w:rsidRPr="0014515B" w:rsidRDefault="009C22E4" w:rsidP="00376558">
      <w:pPr>
        <w:pStyle w:val="Bullet1"/>
      </w:pPr>
      <w:r w:rsidRPr="00376558">
        <w:t xml:space="preserve">Whether there were any PPE breaches about their movements whilst on-site (for example resident’s room, </w:t>
      </w:r>
      <w:r w:rsidR="48B4C22D" w:rsidRPr="00376558">
        <w:t>a communal area</w:t>
      </w:r>
      <w:r w:rsidRPr="00376558">
        <w:t>, a bathroom).</w:t>
      </w:r>
    </w:p>
    <w:p w14:paraId="46BB6B4D" w14:textId="4502B9C3" w:rsidR="009C22E4" w:rsidRPr="00376558" w:rsidRDefault="009C22E4" w:rsidP="00376558">
      <w:pPr>
        <w:pStyle w:val="Bodyafterbullets"/>
        <w:rPr>
          <w:b/>
          <w:bCs/>
        </w:rPr>
      </w:pPr>
      <w:r w:rsidRPr="00376558">
        <w:rPr>
          <w:b/>
          <w:bCs/>
        </w:rPr>
        <w:t>2. Notify the case according to sector requirements</w:t>
      </w:r>
    </w:p>
    <w:p w14:paraId="3FD7B8DB" w14:textId="7BD4D686" w:rsidR="00D939E5" w:rsidRPr="008B004B" w:rsidRDefault="009C22E4" w:rsidP="008B004B">
      <w:pPr>
        <w:pStyle w:val="Body"/>
      </w:pPr>
      <w:r w:rsidRPr="008B004B">
        <w:t xml:space="preserve">All RCFs are required to report a COVID-19 case in a resident, </w:t>
      </w:r>
      <w:r w:rsidR="7FF3F6DC" w:rsidRPr="008B004B">
        <w:t>worker,</w:t>
      </w:r>
      <w:r w:rsidRPr="008B004B">
        <w:t xml:space="preserve"> or visitor according to sector requirements found in </w:t>
      </w:r>
      <w:hyperlink w:anchor="_Toc128755931" w:history="1">
        <w:r w:rsidR="003A0939" w:rsidRPr="003A0939">
          <w:rPr>
            <w:rStyle w:val="Hyperlink"/>
          </w:rPr>
          <w:t>s</w:t>
        </w:r>
        <w:r w:rsidRPr="003A0939">
          <w:rPr>
            <w:rStyle w:val="Hyperlink"/>
          </w:rPr>
          <w:t xml:space="preserve">ection </w:t>
        </w:r>
        <w:r w:rsidR="005D22CD" w:rsidRPr="003A0939">
          <w:rPr>
            <w:rStyle w:val="Hyperlink"/>
          </w:rPr>
          <w:t>5</w:t>
        </w:r>
      </w:hyperlink>
      <w:r w:rsidRPr="008B004B">
        <w:t xml:space="preserve"> </w:t>
      </w:r>
      <w:r w:rsidR="008B004B" w:rsidRPr="008B004B">
        <w:t>‘</w:t>
      </w:r>
      <w:r w:rsidRPr="008B004B">
        <w:t>Detecting and notifying cases</w:t>
      </w:r>
      <w:r w:rsidR="00376558" w:rsidRPr="008B004B">
        <w:t xml:space="preserve"> </w:t>
      </w:r>
      <w:r w:rsidRPr="008B004B">
        <w:t>and outbreaks</w:t>
      </w:r>
      <w:r w:rsidR="008B004B" w:rsidRPr="008B004B">
        <w:t>’.</w:t>
      </w:r>
    </w:p>
    <w:p w14:paraId="5C2D8D03" w14:textId="5066CE0D" w:rsidR="00D939E5" w:rsidRPr="00376558" w:rsidRDefault="00D939E5" w:rsidP="00376558">
      <w:pPr>
        <w:pStyle w:val="Bodyafterbullets"/>
        <w:rPr>
          <w:b/>
          <w:bCs/>
        </w:rPr>
      </w:pPr>
      <w:r w:rsidRPr="00376558">
        <w:rPr>
          <w:b/>
          <w:bCs/>
        </w:rPr>
        <w:t>3. Activate the internal OMT</w:t>
      </w:r>
    </w:p>
    <w:p w14:paraId="49194B26" w14:textId="589FD8D6" w:rsidR="009C22E4" w:rsidRPr="008B004B" w:rsidRDefault="00D939E5" w:rsidP="008B004B">
      <w:pPr>
        <w:pStyle w:val="Body"/>
      </w:pPr>
      <w:r w:rsidRPr="008B004B">
        <w:t xml:space="preserve">Activate the internal OMT to initiate the facility </w:t>
      </w:r>
      <w:r w:rsidR="00A76879" w:rsidRPr="008B004B">
        <w:t>OMP</w:t>
      </w:r>
      <w:r w:rsidRPr="008B004B">
        <w:t>, ensuring the plan is current and all staff are clear about roles and responsibilities.</w:t>
      </w:r>
    </w:p>
    <w:p w14:paraId="6A64C818" w14:textId="6007395D" w:rsidR="009C22E4" w:rsidRPr="00376558" w:rsidRDefault="00D939E5" w:rsidP="00376558">
      <w:pPr>
        <w:pStyle w:val="Bodyafterbullets"/>
        <w:rPr>
          <w:b/>
          <w:bCs/>
        </w:rPr>
      </w:pPr>
      <w:r w:rsidRPr="00376558">
        <w:rPr>
          <w:b/>
          <w:bCs/>
        </w:rPr>
        <w:t>4</w:t>
      </w:r>
      <w:r w:rsidR="009C22E4" w:rsidRPr="00376558">
        <w:rPr>
          <w:b/>
          <w:bCs/>
        </w:rPr>
        <w:t>. Identify and manage any resident contact and monitor for symptoms</w:t>
      </w:r>
    </w:p>
    <w:p w14:paraId="375D3203" w14:textId="31131F8E" w:rsidR="009C22E4" w:rsidRPr="008B004B" w:rsidRDefault="009C22E4" w:rsidP="008B004B">
      <w:pPr>
        <w:pStyle w:val="Body"/>
        <w:rPr>
          <w:u w:val="single"/>
        </w:rPr>
      </w:pPr>
      <w:r w:rsidRPr="008B004B">
        <w:rPr>
          <w:u w:val="single"/>
        </w:rPr>
        <w:t>N95 worn and No PPE Breaches</w:t>
      </w:r>
    </w:p>
    <w:p w14:paraId="0D546925" w14:textId="77777777" w:rsidR="009C22E4" w:rsidRPr="0014515B" w:rsidRDefault="009C22E4" w:rsidP="009C22E4">
      <w:pPr>
        <w:pStyle w:val="Bullet1"/>
      </w:pPr>
      <w:r w:rsidRPr="008B004B">
        <w:t>Staff or visitor wore an N95 respirator throughout interactions with residents, and</w:t>
      </w:r>
    </w:p>
    <w:p w14:paraId="7A5271ED" w14:textId="2DC9883F" w:rsidR="009C22E4" w:rsidRPr="0014515B" w:rsidRDefault="009C22E4" w:rsidP="009C22E4">
      <w:pPr>
        <w:pStyle w:val="Bullet1"/>
      </w:pPr>
      <w:r w:rsidRPr="008B004B">
        <w:t>No PPE breaches</w:t>
      </w:r>
    </w:p>
    <w:p w14:paraId="47E987DC" w14:textId="6EABA4C5" w:rsidR="009C22E4" w:rsidRPr="008B004B" w:rsidRDefault="009C22E4" w:rsidP="008B004B">
      <w:pPr>
        <w:pStyle w:val="Bodyafterbullets"/>
      </w:pPr>
      <w:r w:rsidRPr="008B004B">
        <w:t xml:space="preserve">Residents </w:t>
      </w:r>
      <w:r w:rsidRPr="008B004B">
        <w:rPr>
          <w:b/>
          <w:bCs/>
        </w:rPr>
        <w:t>are not</w:t>
      </w:r>
      <w:r w:rsidRPr="008B004B">
        <w:t xml:space="preserve"> considered a social contact.</w:t>
      </w:r>
      <w:r w:rsidR="008B004B">
        <w:t xml:space="preserve"> </w:t>
      </w:r>
      <w:r w:rsidR="008B004B" w:rsidRPr="00903483">
        <w:rPr>
          <w:b/>
          <w:bCs/>
        </w:rPr>
        <w:t>There is no further action required.</w:t>
      </w:r>
    </w:p>
    <w:p w14:paraId="5F4B3CFA" w14:textId="49D2D875" w:rsidR="009C22E4" w:rsidRPr="008B004B" w:rsidRDefault="009C22E4" w:rsidP="008B004B">
      <w:pPr>
        <w:pStyle w:val="Body"/>
        <w:rPr>
          <w:u w:val="single"/>
        </w:rPr>
      </w:pPr>
      <w:r w:rsidRPr="008B004B">
        <w:rPr>
          <w:u w:val="single"/>
        </w:rPr>
        <w:t>N95 not worn or PPE Breaches</w:t>
      </w:r>
    </w:p>
    <w:p w14:paraId="646F2A72" w14:textId="77777777" w:rsidR="009C22E4" w:rsidRPr="0014515B" w:rsidRDefault="009C22E4" w:rsidP="009C22E4">
      <w:pPr>
        <w:pStyle w:val="Bullet1"/>
      </w:pPr>
      <w:r w:rsidRPr="0014515B">
        <w:rPr>
          <w:rStyle w:val="normaltextrun"/>
          <w:rFonts w:cs="Arial"/>
          <w:color w:val="000000"/>
          <w:szCs w:val="21"/>
          <w:lang w:val="en-US"/>
        </w:rPr>
        <w:t>Staff or visitor did not wear an N95 respirator throughout interactions with residents, or</w:t>
      </w:r>
    </w:p>
    <w:p w14:paraId="17BC3946" w14:textId="3381DE90" w:rsidR="009C22E4" w:rsidRPr="0014515B" w:rsidRDefault="009C22E4" w:rsidP="009C22E4">
      <w:pPr>
        <w:pStyle w:val="Bullet1"/>
      </w:pPr>
      <w:r w:rsidRPr="0014515B">
        <w:rPr>
          <w:rStyle w:val="normaltextrun"/>
          <w:rFonts w:cs="Arial"/>
          <w:color w:val="000000"/>
          <w:szCs w:val="21"/>
          <w:lang w:val="en-US"/>
        </w:rPr>
        <w:t>There were PPE breaches</w:t>
      </w:r>
    </w:p>
    <w:p w14:paraId="04E17837" w14:textId="20E23232" w:rsidR="009C22E4" w:rsidRPr="008B004B" w:rsidRDefault="009C22E4" w:rsidP="008B004B">
      <w:pPr>
        <w:pStyle w:val="Bodyafterbullets"/>
      </w:pPr>
      <w:r w:rsidRPr="008B004B">
        <w:t xml:space="preserve">Residents </w:t>
      </w:r>
      <w:r w:rsidRPr="008B004B">
        <w:rPr>
          <w:b/>
          <w:bCs/>
        </w:rPr>
        <w:t>are</w:t>
      </w:r>
      <w:r w:rsidRPr="008B004B">
        <w:t xml:space="preserve"> considered a social contact.</w:t>
      </w:r>
    </w:p>
    <w:p w14:paraId="58CD7F91" w14:textId="73F12497" w:rsidR="009C22E4" w:rsidRPr="008B004B" w:rsidRDefault="00413A8B" w:rsidP="008B004B">
      <w:pPr>
        <w:pStyle w:val="Body"/>
      </w:pPr>
      <w:r w:rsidRPr="008B004B">
        <w:t>Testing recommendations:</w:t>
      </w:r>
    </w:p>
    <w:p w14:paraId="2937FA90" w14:textId="17E59F47" w:rsidR="00AE29B9" w:rsidRPr="008B004B" w:rsidRDefault="00AE29B9" w:rsidP="00413A8B">
      <w:pPr>
        <w:pStyle w:val="Bullet1"/>
      </w:pPr>
      <w:r w:rsidRPr="008B004B">
        <w:t xml:space="preserve">Residents who are social contacts may do a RAT each day for five days after being notified of being a contact. For residents who </w:t>
      </w:r>
      <w:r w:rsidR="05D97AE8" w:rsidRPr="008B004B">
        <w:t>have</w:t>
      </w:r>
      <w:r w:rsidRPr="008B004B">
        <w:t xml:space="preserve"> repeated recommendations for tests, it is recommended to do a </w:t>
      </w:r>
      <w:r w:rsidR="04C064D3" w:rsidRPr="008B004B">
        <w:t>RAT</w:t>
      </w:r>
      <w:r w:rsidRPr="008B004B">
        <w:t xml:space="preserve"> on the first, third and sixth days. </w:t>
      </w:r>
    </w:p>
    <w:p w14:paraId="39A9F81F" w14:textId="1CFB22F9" w:rsidR="009C22E4" w:rsidRPr="008B004B" w:rsidRDefault="00413A8B" w:rsidP="008B004B">
      <w:pPr>
        <w:pStyle w:val="Bullet1"/>
      </w:pPr>
      <w:r w:rsidRPr="008B004B">
        <w:t>If any social contact develops symptoms consistent with COVID-19, they should be tested for COVID-19 (rapid antigen or PCR test) and should isolate whilst awaiting test result</w:t>
      </w:r>
      <w:r w:rsidR="008B004B" w:rsidRPr="008B004B">
        <w:t>.</w:t>
      </w:r>
    </w:p>
    <w:p w14:paraId="48A08D82" w14:textId="39775CCB" w:rsidR="009C22E4" w:rsidRPr="008B004B" w:rsidRDefault="00D939E5" w:rsidP="008B004B">
      <w:pPr>
        <w:pStyle w:val="Bodyafterbullets"/>
        <w:rPr>
          <w:b/>
          <w:bCs/>
        </w:rPr>
      </w:pPr>
      <w:r w:rsidRPr="008B004B">
        <w:rPr>
          <w:b/>
          <w:bCs/>
        </w:rPr>
        <w:t>5</w:t>
      </w:r>
      <w:r w:rsidR="009C22E4" w:rsidRPr="008B004B">
        <w:rPr>
          <w:b/>
          <w:bCs/>
        </w:rPr>
        <w:t>. Identify and manage any staff contacts and monitor for symptoms</w:t>
      </w:r>
    </w:p>
    <w:p w14:paraId="5261A2AC" w14:textId="55637D76" w:rsidR="009C22E4" w:rsidRPr="00FD65FD" w:rsidRDefault="009C22E4" w:rsidP="00FD65FD">
      <w:pPr>
        <w:pStyle w:val="Body"/>
        <w:rPr>
          <w:u w:val="single"/>
        </w:rPr>
      </w:pPr>
      <w:r w:rsidRPr="00FD65FD">
        <w:rPr>
          <w:u w:val="single"/>
        </w:rPr>
        <w:t>N95 worn and No PPE Breaches</w:t>
      </w:r>
    </w:p>
    <w:p w14:paraId="06AA7049" w14:textId="77777777" w:rsidR="009C22E4" w:rsidRPr="0014515B" w:rsidRDefault="009C22E4" w:rsidP="009C22E4">
      <w:pPr>
        <w:pStyle w:val="Bullet1"/>
      </w:pPr>
      <w:r w:rsidRPr="00FD65FD">
        <w:t>Staff/visitor case or contacts wore an N95 respirator throughout interactions, and</w:t>
      </w:r>
    </w:p>
    <w:p w14:paraId="53A26527" w14:textId="2810A05C" w:rsidR="009C22E4" w:rsidRPr="0014515B" w:rsidRDefault="009C22E4" w:rsidP="009C22E4">
      <w:pPr>
        <w:pStyle w:val="Bullet1"/>
      </w:pPr>
      <w:r w:rsidRPr="00FD65FD">
        <w:lastRenderedPageBreak/>
        <w:t>No PPE breaches</w:t>
      </w:r>
      <w:r w:rsidR="00FD65FD">
        <w:t>.</w:t>
      </w:r>
    </w:p>
    <w:p w14:paraId="23897C0D" w14:textId="460DA740" w:rsidR="009C22E4" w:rsidRPr="00FD65FD" w:rsidRDefault="009C22E4" w:rsidP="00FD65FD">
      <w:pPr>
        <w:pStyle w:val="Bodyafterbullets"/>
      </w:pPr>
      <w:r w:rsidRPr="00FD65FD">
        <w:t xml:space="preserve">Staff </w:t>
      </w:r>
      <w:r w:rsidRPr="00FD65FD">
        <w:rPr>
          <w:b/>
          <w:bCs/>
        </w:rPr>
        <w:t>are not</w:t>
      </w:r>
      <w:r w:rsidRPr="00FD65FD">
        <w:t xml:space="preserve"> considered </w:t>
      </w:r>
      <w:bookmarkStart w:id="1231" w:name="_Int_VtLf8lZo"/>
      <w:r w:rsidRPr="00FD65FD">
        <w:t>a social</w:t>
      </w:r>
      <w:bookmarkEnd w:id="1231"/>
      <w:r w:rsidRPr="00FD65FD">
        <w:t xml:space="preserve"> contact.</w:t>
      </w:r>
      <w:r w:rsidR="00FD65FD">
        <w:t xml:space="preserve"> </w:t>
      </w:r>
      <w:r w:rsidRPr="00FD65FD">
        <w:rPr>
          <w:b/>
          <w:bCs/>
        </w:rPr>
        <w:t>There is no further action required.</w:t>
      </w:r>
    </w:p>
    <w:p w14:paraId="6C68D603" w14:textId="79CC658E" w:rsidR="009C22E4" w:rsidRPr="00FD65FD" w:rsidRDefault="009C22E4" w:rsidP="00FD65FD">
      <w:pPr>
        <w:pStyle w:val="Body"/>
        <w:rPr>
          <w:u w:val="single"/>
        </w:rPr>
      </w:pPr>
      <w:r w:rsidRPr="00FD65FD">
        <w:rPr>
          <w:u w:val="single"/>
        </w:rPr>
        <w:t>N95 not worn or PPE Breaches</w:t>
      </w:r>
    </w:p>
    <w:p w14:paraId="0CE72263" w14:textId="3E8E8931" w:rsidR="009C22E4" w:rsidRPr="0014515B" w:rsidRDefault="009C22E4" w:rsidP="009C22E4">
      <w:pPr>
        <w:pStyle w:val="Bullet1"/>
      </w:pPr>
      <w:r w:rsidRPr="0014515B">
        <w:rPr>
          <w:rStyle w:val="normaltextrun"/>
          <w:rFonts w:cs="Arial"/>
          <w:color w:val="000000"/>
          <w:szCs w:val="21"/>
          <w:lang w:val="en-US"/>
        </w:rPr>
        <w:t>Staff/visitor case or contacts did not wear an N95 respirator throughout interactions, or,</w:t>
      </w:r>
    </w:p>
    <w:p w14:paraId="1A1ED5A8" w14:textId="5EE9E016" w:rsidR="009C22E4" w:rsidRPr="0014515B" w:rsidRDefault="009C22E4" w:rsidP="009C22E4">
      <w:pPr>
        <w:pStyle w:val="Bullet1"/>
      </w:pPr>
      <w:r w:rsidRPr="0014515B">
        <w:rPr>
          <w:rStyle w:val="normaltextrun"/>
          <w:rFonts w:cs="Arial"/>
          <w:color w:val="000000"/>
          <w:szCs w:val="21"/>
          <w:lang w:val="en-US"/>
        </w:rPr>
        <w:t>There were PPE breaches</w:t>
      </w:r>
    </w:p>
    <w:p w14:paraId="49B271B7" w14:textId="7BD714EE" w:rsidR="009C22E4" w:rsidRPr="00FD65FD" w:rsidRDefault="009C22E4" w:rsidP="00FD65FD">
      <w:pPr>
        <w:pStyle w:val="Bodyafterbullets"/>
        <w:rPr>
          <w:rStyle w:val="normaltextrun"/>
        </w:rPr>
      </w:pPr>
      <w:r w:rsidRPr="00FD65FD">
        <w:t xml:space="preserve">Staff </w:t>
      </w:r>
      <w:r w:rsidRPr="00FD65FD">
        <w:rPr>
          <w:b/>
          <w:bCs/>
        </w:rPr>
        <w:t>are</w:t>
      </w:r>
      <w:r w:rsidRPr="00FD65FD">
        <w:t xml:space="preserve"> considered a social contact.</w:t>
      </w:r>
    </w:p>
    <w:p w14:paraId="78DBCDC7" w14:textId="7ECBEDD6" w:rsidR="00413A8B" w:rsidRPr="00FD65FD" w:rsidRDefault="00413A8B" w:rsidP="00FD65FD">
      <w:pPr>
        <w:pStyle w:val="Body"/>
        <w:rPr>
          <w:b/>
          <w:bCs/>
        </w:rPr>
      </w:pPr>
      <w:r w:rsidRPr="00FD65FD">
        <w:rPr>
          <w:b/>
          <w:bCs/>
        </w:rPr>
        <w:t>It is recommended that staff who are social contacts should undertake daily RAT for 5 days.</w:t>
      </w:r>
    </w:p>
    <w:p w14:paraId="49083113" w14:textId="7CDCF837" w:rsidR="0031173D" w:rsidRDefault="00413A8B" w:rsidP="131B0D3D">
      <w:pPr>
        <w:pStyle w:val="Bullet1"/>
      </w:pPr>
      <w:r w:rsidRPr="00FD65FD">
        <w:t>If any social contact develops symptoms consistent with COVID-19, they should be tested for COVID-19 (rapid antigen or PCR test) and should isolate whilst awaiting test result</w:t>
      </w:r>
      <w:bookmarkStart w:id="1232" w:name="_Toc114133172"/>
      <w:bookmarkStart w:id="1233" w:name="_Toc114133864"/>
      <w:bookmarkStart w:id="1234" w:name="_Toc114134428"/>
      <w:bookmarkStart w:id="1235" w:name="_Toc114134566"/>
      <w:bookmarkStart w:id="1236" w:name="_Toc114133173"/>
      <w:bookmarkStart w:id="1237" w:name="_Toc114133865"/>
      <w:bookmarkStart w:id="1238" w:name="_Toc114134429"/>
      <w:bookmarkStart w:id="1239" w:name="_Toc114134567"/>
      <w:bookmarkStart w:id="1240" w:name="_Toc114133174"/>
      <w:bookmarkStart w:id="1241" w:name="_Toc114133866"/>
      <w:bookmarkStart w:id="1242" w:name="_Toc114134430"/>
      <w:bookmarkStart w:id="1243" w:name="_Toc114134568"/>
      <w:bookmarkStart w:id="1244" w:name="_Toc114133175"/>
      <w:bookmarkStart w:id="1245" w:name="_Toc114133867"/>
      <w:bookmarkStart w:id="1246" w:name="_Toc114134431"/>
      <w:bookmarkStart w:id="1247" w:name="_Toc114134569"/>
      <w:bookmarkStart w:id="1248" w:name="_Toc114133176"/>
      <w:bookmarkStart w:id="1249" w:name="_Toc114133868"/>
      <w:bookmarkStart w:id="1250" w:name="_Toc114134432"/>
      <w:bookmarkStart w:id="1251" w:name="_Toc114134570"/>
      <w:bookmarkStart w:id="1252" w:name="_Toc114133177"/>
      <w:bookmarkStart w:id="1253" w:name="_Toc114133869"/>
      <w:bookmarkStart w:id="1254" w:name="_Toc114134433"/>
      <w:bookmarkStart w:id="1255" w:name="_Toc114134571"/>
      <w:bookmarkStart w:id="1256" w:name="_Toc114133178"/>
      <w:bookmarkStart w:id="1257" w:name="_Toc114133870"/>
      <w:bookmarkStart w:id="1258" w:name="_Toc114134434"/>
      <w:bookmarkStart w:id="1259" w:name="_Toc114134572"/>
      <w:bookmarkStart w:id="1260" w:name="_Toc114133179"/>
      <w:bookmarkStart w:id="1261" w:name="_Toc114133871"/>
      <w:bookmarkStart w:id="1262" w:name="_Toc114134435"/>
      <w:bookmarkStart w:id="1263" w:name="_Toc114134573"/>
      <w:bookmarkStart w:id="1264" w:name="_Toc114133180"/>
      <w:bookmarkStart w:id="1265" w:name="_Toc114133872"/>
      <w:bookmarkStart w:id="1266" w:name="_Toc114134436"/>
      <w:bookmarkStart w:id="1267" w:name="_Toc114134574"/>
      <w:bookmarkStart w:id="1268" w:name="_Toc114133181"/>
      <w:bookmarkStart w:id="1269" w:name="_Toc114133873"/>
      <w:bookmarkStart w:id="1270" w:name="_Toc114134437"/>
      <w:bookmarkStart w:id="1271" w:name="_Toc114134575"/>
      <w:bookmarkStart w:id="1272" w:name="_Toc114133182"/>
      <w:bookmarkStart w:id="1273" w:name="_Toc114133874"/>
      <w:bookmarkStart w:id="1274" w:name="_Toc114134438"/>
      <w:bookmarkStart w:id="1275" w:name="_Toc114134576"/>
      <w:bookmarkStart w:id="1276" w:name="_Toc114133183"/>
      <w:bookmarkStart w:id="1277" w:name="_Toc114133875"/>
      <w:bookmarkStart w:id="1278" w:name="_Toc114134439"/>
      <w:bookmarkStart w:id="1279" w:name="_Toc114134577"/>
      <w:bookmarkStart w:id="1280" w:name="_Toc114133184"/>
      <w:bookmarkStart w:id="1281" w:name="_Toc114133876"/>
      <w:bookmarkStart w:id="1282" w:name="_Toc114134440"/>
      <w:bookmarkStart w:id="1283" w:name="_Toc114134578"/>
      <w:bookmarkStart w:id="1284" w:name="_Toc114133185"/>
      <w:bookmarkStart w:id="1285" w:name="_Toc114133877"/>
      <w:bookmarkStart w:id="1286" w:name="_Toc114134441"/>
      <w:bookmarkStart w:id="1287" w:name="_Toc114134579"/>
      <w:bookmarkStart w:id="1288" w:name="_Toc114133186"/>
      <w:bookmarkStart w:id="1289" w:name="_Toc114133878"/>
      <w:bookmarkStart w:id="1290" w:name="_Toc114134442"/>
      <w:bookmarkStart w:id="1291" w:name="_Toc114134580"/>
      <w:bookmarkStart w:id="1292" w:name="_Toc114133187"/>
      <w:bookmarkStart w:id="1293" w:name="_Toc114133879"/>
      <w:bookmarkStart w:id="1294" w:name="_Toc114134443"/>
      <w:bookmarkStart w:id="1295" w:name="_Toc114134581"/>
      <w:bookmarkStart w:id="1296" w:name="_Toc114133188"/>
      <w:bookmarkStart w:id="1297" w:name="_Toc114133880"/>
      <w:bookmarkStart w:id="1298" w:name="_Toc114134444"/>
      <w:bookmarkStart w:id="1299" w:name="_Toc114134582"/>
      <w:bookmarkStart w:id="1300" w:name="_Toc114133189"/>
      <w:bookmarkStart w:id="1301" w:name="_Toc114133881"/>
      <w:bookmarkStart w:id="1302" w:name="_Toc114134445"/>
      <w:bookmarkStart w:id="1303" w:name="_Toc114134583"/>
      <w:bookmarkStart w:id="1304" w:name="_Toc114133190"/>
      <w:bookmarkStart w:id="1305" w:name="_Toc114133882"/>
      <w:bookmarkStart w:id="1306" w:name="_Toc114134446"/>
      <w:bookmarkStart w:id="1307" w:name="_Toc114134584"/>
      <w:bookmarkStart w:id="1308" w:name="_Toc114133191"/>
      <w:bookmarkStart w:id="1309" w:name="_Toc114133883"/>
      <w:bookmarkStart w:id="1310" w:name="_Toc114134447"/>
      <w:bookmarkStart w:id="1311" w:name="_Toc114134585"/>
      <w:bookmarkStart w:id="1312" w:name="_Toc114133192"/>
      <w:bookmarkStart w:id="1313" w:name="_Toc114133884"/>
      <w:bookmarkStart w:id="1314" w:name="_Toc114134448"/>
      <w:bookmarkStart w:id="1315" w:name="_Toc114134586"/>
      <w:bookmarkStart w:id="1316" w:name="_Toc114133193"/>
      <w:bookmarkStart w:id="1317" w:name="_Toc114133885"/>
      <w:bookmarkStart w:id="1318" w:name="_Toc114134449"/>
      <w:bookmarkStart w:id="1319" w:name="_Toc114134587"/>
      <w:bookmarkStart w:id="1320" w:name="_Toc114133194"/>
      <w:bookmarkStart w:id="1321" w:name="_Toc114133886"/>
      <w:bookmarkStart w:id="1322" w:name="_Toc114134450"/>
      <w:bookmarkStart w:id="1323" w:name="_Toc114134588"/>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r w:rsidR="00971DE6">
        <w:t>.</w:t>
      </w:r>
    </w:p>
    <w:p w14:paraId="364C148D" w14:textId="77777777" w:rsidR="00FD65FD" w:rsidRDefault="00FD65FD" w:rsidP="00FD65FD">
      <w:pPr>
        <w:pStyle w:val="Bullet1"/>
        <w:numPr>
          <w:ilvl w:val="0"/>
          <w:numId w:val="0"/>
        </w:numPr>
        <w:ind w:left="284" w:hanging="284"/>
      </w:pPr>
    </w:p>
    <w:p w14:paraId="37E0B409" w14:textId="189FFD38" w:rsidR="00FD65FD" w:rsidRPr="0014515B" w:rsidRDefault="00FD65FD" w:rsidP="00FD65FD">
      <w:pPr>
        <w:pStyle w:val="Bullet1"/>
        <w:numPr>
          <w:ilvl w:val="0"/>
          <w:numId w:val="0"/>
        </w:numPr>
        <w:ind w:left="284" w:hanging="284"/>
        <w:sectPr w:rsidR="00FD65FD" w:rsidRPr="0014515B" w:rsidSect="00BC73B8">
          <w:pgSz w:w="11906" w:h="16838" w:code="9"/>
          <w:pgMar w:top="1418" w:right="1304" w:bottom="1134" w:left="1304" w:header="680" w:footer="851" w:gutter="0"/>
          <w:cols w:space="340"/>
          <w:docGrid w:linePitch="360"/>
        </w:sectPr>
      </w:pPr>
    </w:p>
    <w:p w14:paraId="01204E9E" w14:textId="5ACB033F" w:rsidR="009824FE" w:rsidRPr="0014515B" w:rsidRDefault="00CF49C8" w:rsidP="00EA2C30">
      <w:pPr>
        <w:pStyle w:val="Heading1"/>
        <w:numPr>
          <w:ilvl w:val="0"/>
          <w:numId w:val="20"/>
        </w:numPr>
        <w:ind w:left="851"/>
      </w:pPr>
      <w:bookmarkStart w:id="1324" w:name="_COVID-19_outbreak_management"/>
      <w:bookmarkStart w:id="1325" w:name="_Toc163573614"/>
      <w:bookmarkEnd w:id="1324"/>
      <w:r>
        <w:lastRenderedPageBreak/>
        <w:t>COVID-19 outbreak management</w:t>
      </w:r>
      <w:bookmarkEnd w:id="1325"/>
    </w:p>
    <w:p w14:paraId="33DCE905" w14:textId="650EE694" w:rsidR="001E0D34" w:rsidRPr="0014515B" w:rsidRDefault="001E0D34" w:rsidP="00403484">
      <w:pPr>
        <w:ind w:left="142"/>
        <w:rPr>
          <w:rFonts w:eastAsia="Times"/>
        </w:rPr>
      </w:pPr>
      <w:r w:rsidRPr="0014515B">
        <w:rPr>
          <w:rFonts w:eastAsia="Times"/>
        </w:rPr>
        <w:t>Many of the actions</w:t>
      </w:r>
      <w:r w:rsidR="005D48F3" w:rsidRPr="0014515B">
        <w:rPr>
          <w:rFonts w:eastAsia="Times"/>
        </w:rPr>
        <w:t xml:space="preserve"> </w:t>
      </w:r>
      <w:r w:rsidRPr="0014515B" w:rsidDel="00A75A60">
        <w:rPr>
          <w:rFonts w:eastAsia="Times"/>
        </w:rPr>
        <w:t xml:space="preserve">required </w:t>
      </w:r>
      <w:r w:rsidRPr="0014515B">
        <w:rPr>
          <w:rFonts w:eastAsia="Times"/>
        </w:rPr>
        <w:t>for outbreak management are also</w:t>
      </w:r>
      <w:r w:rsidR="005D48F3" w:rsidRPr="0014515B">
        <w:rPr>
          <w:rFonts w:eastAsia="Times"/>
        </w:rPr>
        <w:t xml:space="preserve"> </w:t>
      </w:r>
      <w:r w:rsidR="005D48F3" w:rsidRPr="00403484">
        <w:rPr>
          <w:rFonts w:eastAsia="Times"/>
        </w:rPr>
        <w:t>recommended</w:t>
      </w:r>
      <w:r w:rsidRPr="0014515B">
        <w:rPr>
          <w:rFonts w:eastAsia="Times"/>
        </w:rPr>
        <w:t xml:space="preserve"> for management</w:t>
      </w:r>
      <w:r w:rsidR="0058152B" w:rsidRPr="0014515B">
        <w:rPr>
          <w:rFonts w:eastAsia="Times"/>
        </w:rPr>
        <w:t xml:space="preserve"> of exposure to isolated cases</w:t>
      </w:r>
      <w:r w:rsidRPr="0014515B">
        <w:rPr>
          <w:rFonts w:eastAsia="Times"/>
        </w:rPr>
        <w:t xml:space="preserve">. It is important that all actions are completed where necessary. Some actions may need to occur concurrently. </w:t>
      </w:r>
      <w:r>
        <w:rPr>
          <w:rFonts w:eastAsia="Times"/>
        </w:rPr>
        <w:t xml:space="preserve">Refer to </w:t>
      </w:r>
      <w:hyperlink w:anchor="_COVID-19_exposure_–" w:history="1">
        <w:r w:rsidR="005D22CD" w:rsidRPr="003A0939">
          <w:rPr>
            <w:rStyle w:val="Hyperlink"/>
            <w:rFonts w:eastAsia="Times"/>
          </w:rPr>
          <w:t>section 7</w:t>
        </w:r>
      </w:hyperlink>
      <w:r w:rsidRPr="0014515B">
        <w:rPr>
          <w:rFonts w:eastAsia="Times"/>
        </w:rPr>
        <w:t xml:space="preserve"> - exposure management section for additional consideration</w:t>
      </w:r>
      <w:r w:rsidR="00AE1F43">
        <w:rPr>
          <w:rFonts w:eastAsia="Times"/>
        </w:rPr>
        <w:t>s.</w:t>
      </w:r>
    </w:p>
    <w:p w14:paraId="1559D6EE" w14:textId="167B6D86" w:rsidR="009824FE" w:rsidRPr="0014515B" w:rsidRDefault="001E0D34" w:rsidP="00403484">
      <w:pPr>
        <w:ind w:left="142"/>
        <w:rPr>
          <w:rFonts w:eastAsia="Times"/>
        </w:rPr>
      </w:pPr>
      <w:r w:rsidRPr="0014515B">
        <w:rPr>
          <w:rFonts w:eastAsia="Times"/>
        </w:rPr>
        <w:t>If it has been established that there is an outbreak of COVID-19 within an RCF, the following actions outlined below should be conducted.</w:t>
      </w:r>
    </w:p>
    <w:p w14:paraId="4F81506B" w14:textId="77777777" w:rsidR="0031173D" w:rsidRPr="0014515B" w:rsidRDefault="0031173D" w:rsidP="0031173D">
      <w:pPr>
        <w:rPr>
          <w:rFonts w:eastAsia="Times"/>
        </w:rPr>
      </w:pPr>
    </w:p>
    <w:tbl>
      <w:tblPr>
        <w:tblStyle w:val="TableGrid"/>
        <w:tblW w:w="14485" w:type="dxa"/>
        <w:tblLook w:val="04A0" w:firstRow="1" w:lastRow="0" w:firstColumn="1" w:lastColumn="0" w:noHBand="0" w:noVBand="1"/>
      </w:tblPr>
      <w:tblGrid>
        <w:gridCol w:w="2409"/>
        <w:gridCol w:w="12076"/>
      </w:tblGrid>
      <w:tr w:rsidR="0031173D" w:rsidRPr="0014515B" w14:paraId="6E3CE2CB" w14:textId="77777777" w:rsidTr="007A02BA">
        <w:trPr>
          <w:tblHeader/>
        </w:trPr>
        <w:tc>
          <w:tcPr>
            <w:tcW w:w="2409" w:type="dxa"/>
            <w:shd w:val="clear" w:color="auto" w:fill="DBE5F1" w:themeFill="accent1" w:themeFillTint="33"/>
          </w:tcPr>
          <w:p w14:paraId="5C0BBE27" w14:textId="77777777" w:rsidR="0031173D" w:rsidRPr="0014515B" w:rsidRDefault="0031173D" w:rsidP="00FE394C">
            <w:pPr>
              <w:pStyle w:val="Tablecolhead"/>
            </w:pPr>
            <w:r w:rsidRPr="0014515B">
              <w:t>Actions</w:t>
            </w:r>
          </w:p>
        </w:tc>
        <w:tc>
          <w:tcPr>
            <w:tcW w:w="12076" w:type="dxa"/>
            <w:shd w:val="clear" w:color="auto" w:fill="DBE5F1" w:themeFill="accent1" w:themeFillTint="33"/>
          </w:tcPr>
          <w:p w14:paraId="498AD5E7" w14:textId="77777777" w:rsidR="0031173D" w:rsidRPr="0014515B" w:rsidRDefault="0031173D" w:rsidP="00FE394C">
            <w:pPr>
              <w:pStyle w:val="Tablecolhead"/>
            </w:pPr>
            <w:r w:rsidRPr="0014515B">
              <w:t>Instructions</w:t>
            </w:r>
          </w:p>
        </w:tc>
      </w:tr>
      <w:tr w:rsidR="0031173D" w:rsidRPr="0014515B" w14:paraId="3CA80E87" w14:textId="77777777" w:rsidTr="007A02BA">
        <w:trPr>
          <w:trHeight w:val="516"/>
        </w:trPr>
        <w:tc>
          <w:tcPr>
            <w:tcW w:w="2409" w:type="dxa"/>
          </w:tcPr>
          <w:p w14:paraId="2EF6ED04" w14:textId="199F0E9F" w:rsidR="0031173D" w:rsidRPr="00FE394C" w:rsidRDefault="0031173D" w:rsidP="00FE394C">
            <w:pPr>
              <w:pStyle w:val="Tabletext"/>
              <w:rPr>
                <w:b/>
                <w:bCs/>
              </w:rPr>
            </w:pPr>
            <w:r w:rsidRPr="00FE394C">
              <w:rPr>
                <w:b/>
                <w:bCs/>
              </w:rPr>
              <w:t>Notify the outbreak</w:t>
            </w:r>
          </w:p>
        </w:tc>
        <w:tc>
          <w:tcPr>
            <w:tcW w:w="12076" w:type="dxa"/>
          </w:tcPr>
          <w:p w14:paraId="008D0290" w14:textId="4F4070FA" w:rsidR="0031173D" w:rsidRPr="0014515B" w:rsidRDefault="0031173D" w:rsidP="00FE394C">
            <w:pPr>
              <w:pStyle w:val="Tabletext"/>
            </w:pPr>
            <w:r w:rsidRPr="0014515B">
              <w:t xml:space="preserve">Refer to </w:t>
            </w:r>
            <w:hyperlink w:anchor="_Toc128755931" w:history="1">
              <w:r w:rsidR="009509F3" w:rsidRPr="003A0939">
                <w:rPr>
                  <w:rStyle w:val="Hyperlink"/>
                </w:rPr>
                <w:t>section 5</w:t>
              </w:r>
            </w:hyperlink>
            <w:r w:rsidRPr="0014515B">
              <w:t xml:space="preserve"> for information </w:t>
            </w:r>
            <w:r w:rsidRPr="00403484">
              <w:t xml:space="preserve">about </w:t>
            </w:r>
            <w:r w:rsidR="00A35537" w:rsidRPr="00403484">
              <w:t>which agencies/organisations to</w:t>
            </w:r>
            <w:r w:rsidRPr="00403484">
              <w:t xml:space="preserve"> notif</w:t>
            </w:r>
            <w:r w:rsidR="00A35537" w:rsidRPr="00403484">
              <w:t>y</w:t>
            </w:r>
          </w:p>
        </w:tc>
      </w:tr>
      <w:tr w:rsidR="0031173D" w:rsidRPr="0014515B" w14:paraId="6ABE233A" w14:textId="77777777" w:rsidTr="007A02BA">
        <w:tc>
          <w:tcPr>
            <w:tcW w:w="2409" w:type="dxa"/>
          </w:tcPr>
          <w:p w14:paraId="16421E13" w14:textId="69BE89B7" w:rsidR="0031173D" w:rsidRPr="004841E3" w:rsidRDefault="004F1802" w:rsidP="00FE394C">
            <w:pPr>
              <w:pStyle w:val="Tabletext"/>
              <w:rPr>
                <w:b/>
                <w:bCs/>
              </w:rPr>
            </w:pPr>
            <w:r w:rsidRPr="004841E3">
              <w:rPr>
                <w:b/>
                <w:bCs/>
              </w:rPr>
              <w:t>I</w:t>
            </w:r>
            <w:r w:rsidR="0031173D" w:rsidRPr="004841E3">
              <w:rPr>
                <w:b/>
                <w:bCs/>
              </w:rPr>
              <w:t>nitiate the OMP</w:t>
            </w:r>
          </w:p>
        </w:tc>
        <w:tc>
          <w:tcPr>
            <w:tcW w:w="12076" w:type="dxa"/>
          </w:tcPr>
          <w:p w14:paraId="0188735B" w14:textId="77777777" w:rsidR="0031173D" w:rsidRPr="0014515B" w:rsidRDefault="0031173D" w:rsidP="00FE394C">
            <w:pPr>
              <w:pStyle w:val="Tabletext"/>
            </w:pPr>
            <w:r w:rsidRPr="0014515B">
              <w:t>Ensure the OMP is current, and staff are clear of roles and responsibilities</w:t>
            </w:r>
          </w:p>
        </w:tc>
      </w:tr>
      <w:tr w:rsidR="0031173D" w:rsidRPr="0014515B" w14:paraId="2D13C33D" w14:textId="77777777" w:rsidTr="007A02BA">
        <w:tc>
          <w:tcPr>
            <w:tcW w:w="2409" w:type="dxa"/>
          </w:tcPr>
          <w:p w14:paraId="1B5A589E" w14:textId="10B0DD19" w:rsidR="0031173D" w:rsidRPr="0014515B" w:rsidRDefault="0031173D" w:rsidP="007A02BA">
            <w:pPr>
              <w:pStyle w:val="Tabletext"/>
              <w:rPr>
                <w:b/>
                <w:bCs/>
              </w:rPr>
            </w:pPr>
            <w:r w:rsidRPr="0014515B">
              <w:rPr>
                <w:b/>
                <w:bCs/>
              </w:rPr>
              <w:t xml:space="preserve">Implement </w:t>
            </w:r>
            <w:r w:rsidR="004F1802">
              <w:rPr>
                <w:b/>
                <w:bCs/>
              </w:rPr>
              <w:t xml:space="preserve">IPC </w:t>
            </w:r>
            <w:r w:rsidRPr="0014515B">
              <w:rPr>
                <w:b/>
                <w:bCs/>
              </w:rPr>
              <w:t>measures</w:t>
            </w:r>
          </w:p>
        </w:tc>
        <w:tc>
          <w:tcPr>
            <w:tcW w:w="12076" w:type="dxa"/>
          </w:tcPr>
          <w:p w14:paraId="74065D98" w14:textId="77777777" w:rsidR="0031173D" w:rsidRPr="0014515B" w:rsidRDefault="6DEC1D6D" w:rsidP="007A02BA">
            <w:pPr>
              <w:pStyle w:val="Tabletext"/>
            </w:pPr>
            <w:bookmarkStart w:id="1326" w:name="_Int_83u9HJzr"/>
            <w:r>
              <w:t>A number of</w:t>
            </w:r>
            <w:bookmarkEnd w:id="1326"/>
            <w:r>
              <w:t xml:space="preserve"> key measures should be employed during a COVID-19 exposure or outbreak in an RCF, including:</w:t>
            </w:r>
          </w:p>
          <w:p w14:paraId="334172E7" w14:textId="605534AC" w:rsidR="0031173D" w:rsidRPr="00962AEA" w:rsidRDefault="0031173D" w:rsidP="00646DF8">
            <w:pPr>
              <w:pStyle w:val="Tablebullet1"/>
            </w:pPr>
            <w:r w:rsidRPr="00962AEA">
              <w:t>standard precautions</w:t>
            </w:r>
            <w:r w:rsidR="00C4166C">
              <w:t>:</w:t>
            </w:r>
          </w:p>
          <w:p w14:paraId="70E1C3EF" w14:textId="77777777" w:rsidR="0031173D" w:rsidRPr="0014515B" w:rsidRDefault="0031173D" w:rsidP="00E612B4">
            <w:pPr>
              <w:pStyle w:val="Tablebullet2"/>
            </w:pPr>
            <w:r w:rsidRPr="0014515B">
              <w:t>hand hygiene</w:t>
            </w:r>
          </w:p>
          <w:p w14:paraId="2026949F" w14:textId="77777777" w:rsidR="0031173D" w:rsidRPr="0014515B" w:rsidRDefault="0031173D" w:rsidP="00E612B4">
            <w:pPr>
              <w:pStyle w:val="Tablebullet2"/>
            </w:pPr>
            <w:r w:rsidRPr="0014515B">
              <w:t>use of PPE</w:t>
            </w:r>
          </w:p>
          <w:p w14:paraId="032067B7" w14:textId="77777777" w:rsidR="0031173D" w:rsidRPr="0014515B" w:rsidRDefault="0031173D" w:rsidP="00E612B4">
            <w:pPr>
              <w:pStyle w:val="Tablebullet2"/>
            </w:pPr>
            <w:r w:rsidRPr="0014515B">
              <w:t>respiratory hygiene/cough etiquette</w:t>
            </w:r>
          </w:p>
          <w:p w14:paraId="0D3783B1" w14:textId="77777777" w:rsidR="0031173D" w:rsidRPr="0014515B" w:rsidRDefault="0031173D" w:rsidP="00E612B4">
            <w:pPr>
              <w:pStyle w:val="Tablebullet2"/>
            </w:pPr>
            <w:r w:rsidRPr="0014515B">
              <w:t>cleaning shared equipment</w:t>
            </w:r>
          </w:p>
          <w:p w14:paraId="25C3D73A" w14:textId="3FD287D8" w:rsidR="0031173D" w:rsidRPr="0014515B" w:rsidRDefault="0031173D" w:rsidP="00E612B4">
            <w:pPr>
              <w:pStyle w:val="Tablebullet2"/>
            </w:pPr>
            <w:r w:rsidRPr="0014515B">
              <w:t>routine environmental cleaning</w:t>
            </w:r>
            <w:r w:rsidR="00C4166C">
              <w:t>.</w:t>
            </w:r>
          </w:p>
          <w:p w14:paraId="65247FD6" w14:textId="77777777" w:rsidR="0031173D" w:rsidRPr="00962AEA" w:rsidRDefault="0031173D" w:rsidP="00646DF8">
            <w:pPr>
              <w:pStyle w:val="Tablebullet1"/>
            </w:pPr>
            <w:r w:rsidRPr="00962AEA">
              <w:t>transmission/airborne based precautions:</w:t>
            </w:r>
          </w:p>
          <w:p w14:paraId="4449130A" w14:textId="77777777" w:rsidR="0031173D" w:rsidRPr="0014515B" w:rsidRDefault="0031173D" w:rsidP="00E612B4">
            <w:pPr>
              <w:pStyle w:val="Tablebullet2"/>
            </w:pPr>
            <w:r w:rsidRPr="0014515B">
              <w:t>N95/P2 respiratory protection</w:t>
            </w:r>
          </w:p>
          <w:p w14:paraId="426C4425" w14:textId="77777777" w:rsidR="0031173D" w:rsidRPr="0014515B" w:rsidRDefault="0031173D" w:rsidP="00E612B4">
            <w:pPr>
              <w:pStyle w:val="Tablebullet2"/>
            </w:pPr>
            <w:r w:rsidRPr="0014515B">
              <w:t>single room isolation</w:t>
            </w:r>
          </w:p>
          <w:p w14:paraId="4E7F0D4B" w14:textId="77777777" w:rsidR="0031173D" w:rsidRPr="0014515B" w:rsidRDefault="0031173D" w:rsidP="00E612B4">
            <w:pPr>
              <w:pStyle w:val="Tablebullet2"/>
            </w:pPr>
            <w:r w:rsidRPr="0014515B">
              <w:t>dedicated equipment where possible</w:t>
            </w:r>
          </w:p>
          <w:p w14:paraId="7B2DC584" w14:textId="77777777" w:rsidR="0031173D" w:rsidRPr="0014515B" w:rsidRDefault="0031173D" w:rsidP="00E612B4">
            <w:pPr>
              <w:pStyle w:val="Tablebullet2"/>
            </w:pPr>
            <w:r w:rsidRPr="0014515B">
              <w:t>physical distancing should be maintained where feasible</w:t>
            </w:r>
          </w:p>
          <w:p w14:paraId="25FF5FE7" w14:textId="77777777" w:rsidR="0031173D" w:rsidRPr="0014515B" w:rsidRDefault="0031173D" w:rsidP="00E612B4">
            <w:pPr>
              <w:pStyle w:val="Tablebullet2"/>
            </w:pPr>
            <w:r w:rsidRPr="0014515B">
              <w:t>cohorting/zoning of staff and residents where possible</w:t>
            </w:r>
          </w:p>
          <w:p w14:paraId="510ED9A3" w14:textId="77777777" w:rsidR="0031173D" w:rsidRPr="0014515B" w:rsidRDefault="0031173D" w:rsidP="00E612B4">
            <w:pPr>
              <w:pStyle w:val="Tablebullet2"/>
            </w:pPr>
            <w:r w:rsidRPr="0014515B">
              <w:t>ventilation/air handling</w:t>
            </w:r>
          </w:p>
          <w:p w14:paraId="41C02F50" w14:textId="77777777" w:rsidR="0031173D" w:rsidRPr="0014515B" w:rsidRDefault="0031173D" w:rsidP="00E612B4">
            <w:pPr>
              <w:pStyle w:val="Tablebullet2"/>
            </w:pPr>
            <w:r w:rsidRPr="0014515B">
              <w:lastRenderedPageBreak/>
              <w:t>increased cleaning of frequently touched surfaces</w:t>
            </w:r>
          </w:p>
          <w:p w14:paraId="04E3D586" w14:textId="77777777" w:rsidR="0031173D" w:rsidRPr="0014515B" w:rsidRDefault="0031173D" w:rsidP="00E612B4">
            <w:pPr>
              <w:pStyle w:val="Tablebullet2"/>
            </w:pPr>
            <w:r w:rsidRPr="0014515B">
              <w:t>minimising the movement of visitors into and within the facility</w:t>
            </w:r>
          </w:p>
          <w:p w14:paraId="338337C4" w14:textId="77777777" w:rsidR="0031173D" w:rsidRPr="0014515B" w:rsidRDefault="0031173D" w:rsidP="00E612B4">
            <w:pPr>
              <w:pStyle w:val="Tablebullet2"/>
            </w:pPr>
            <w:r w:rsidRPr="0014515B">
              <w:t>taking a risk-based approach to minimise risk related to admissions and transfers</w:t>
            </w:r>
          </w:p>
          <w:p w14:paraId="4BFF3BFC" w14:textId="0AB24FC0" w:rsidR="0031173D" w:rsidRPr="0014515B" w:rsidRDefault="0031173D" w:rsidP="00E612B4">
            <w:pPr>
              <w:pStyle w:val="Tablebullet2"/>
            </w:pPr>
            <w:r w:rsidRPr="0014515B">
              <w:t>displaying appropriate signage</w:t>
            </w:r>
            <w:r w:rsidR="00C4166C">
              <w:t>.</w:t>
            </w:r>
          </w:p>
          <w:p w14:paraId="19AD0DF6" w14:textId="75AA29E6" w:rsidR="0031173D" w:rsidRPr="00962AEA" w:rsidRDefault="0031173D" w:rsidP="00646DF8">
            <w:pPr>
              <w:pStyle w:val="Tablebullet1"/>
            </w:pPr>
            <w:r w:rsidRPr="00962AEA">
              <w:t xml:space="preserve">All staff working in RCFs should have good understanding of </w:t>
            </w:r>
            <w:r w:rsidR="00CD7280" w:rsidRPr="00962AEA">
              <w:t>IPC</w:t>
            </w:r>
            <w:r w:rsidRPr="00962AEA">
              <w:t xml:space="preserve"> measures required throughout a COVID-19 exposure or outbreak at their workplace.</w:t>
            </w:r>
          </w:p>
          <w:p w14:paraId="62C8E58B" w14:textId="3DDBCE30" w:rsidR="0031173D" w:rsidRPr="0014515B" w:rsidRDefault="0031173D" w:rsidP="00646DF8">
            <w:pPr>
              <w:pStyle w:val="Tablebullet1"/>
            </w:pPr>
            <w:r w:rsidRPr="00962AEA">
              <w:t>See the following resource for further information:</w:t>
            </w:r>
            <w:r w:rsidR="009D0C2D" w:rsidRPr="00962AEA">
              <w:t xml:space="preserve"> </w:t>
            </w:r>
            <w:hyperlink r:id="rId64" w:history="1">
              <w:r w:rsidR="004238A4" w:rsidRPr="004238A4">
                <w:rPr>
                  <w:rStyle w:val="Hyperlink"/>
                </w:rPr>
                <w:t>COVID-19 Infection Prevention and Control Guidelines</w:t>
              </w:r>
            </w:hyperlink>
            <w:r w:rsidRPr="00962AEA">
              <w:t xml:space="preserve"> &lt;</w:t>
            </w:r>
            <w:r w:rsidR="004238A4" w:rsidRPr="004238A4">
              <w:t>https://www.health.vic.gov.au/covid-19-infection-prevention-control-guidelines</w:t>
            </w:r>
            <w:r w:rsidRPr="00962AEA">
              <w:t>&gt;.</w:t>
            </w:r>
          </w:p>
        </w:tc>
      </w:tr>
      <w:tr w:rsidR="0031173D" w:rsidRPr="0014515B" w14:paraId="52658D44" w14:textId="77777777" w:rsidTr="007A02BA">
        <w:tc>
          <w:tcPr>
            <w:tcW w:w="2409" w:type="dxa"/>
          </w:tcPr>
          <w:p w14:paraId="6A35BC58" w14:textId="77777777" w:rsidR="0031173D" w:rsidRPr="0014515B" w:rsidRDefault="0031173D" w:rsidP="00FD0B4B">
            <w:pPr>
              <w:pStyle w:val="Tabletext"/>
              <w:rPr>
                <w:b/>
                <w:bCs/>
              </w:rPr>
            </w:pPr>
            <w:r w:rsidRPr="0014515B">
              <w:rPr>
                <w:b/>
                <w:bCs/>
              </w:rPr>
              <w:lastRenderedPageBreak/>
              <w:t>Clinical care of residents with COVID-19, including the use of antivirals</w:t>
            </w:r>
          </w:p>
        </w:tc>
        <w:tc>
          <w:tcPr>
            <w:tcW w:w="12076" w:type="dxa"/>
          </w:tcPr>
          <w:p w14:paraId="2A877D39" w14:textId="712A839F" w:rsidR="0031173D" w:rsidRPr="00FD0B4B" w:rsidRDefault="0031173D" w:rsidP="001B6558">
            <w:pPr>
              <w:pStyle w:val="Tabletext"/>
            </w:pPr>
            <w:r w:rsidRPr="00FD0B4B">
              <w:t>All residents should continue to receive their usual ongoing medical care, including essential allied health and mental health care. Services that maintain the physical and emotional wellbeing of residents should continue to be provided as much as possible.</w:t>
            </w:r>
          </w:p>
          <w:p w14:paraId="2ADBB3D9" w14:textId="07085949" w:rsidR="0031173D" w:rsidRPr="00FD0B4B" w:rsidRDefault="6DEC1D6D" w:rsidP="001B6558">
            <w:pPr>
              <w:pStyle w:val="Tabletext"/>
            </w:pPr>
            <w:r w:rsidRPr="00FD0B4B">
              <w:t>Where possible, the use of nebulisers, continuous positive airway pressure (CPAP) and suction should be avoided. If continuation of this therapy is necessary, a hospital transfer may be required. This should be discussed with your LPHU</w:t>
            </w:r>
            <w:r w:rsidR="2A40689F" w:rsidRPr="00FD0B4B">
              <w:t>.</w:t>
            </w:r>
          </w:p>
          <w:p w14:paraId="498F51E4" w14:textId="77777777" w:rsidR="0031173D" w:rsidRPr="00FD0B4B" w:rsidRDefault="0031173D" w:rsidP="001B6558">
            <w:pPr>
              <w:pStyle w:val="Tabletext"/>
            </w:pPr>
            <w:r w:rsidRPr="00FD0B4B">
              <w:t>Clinical supports include existing health providers (ensure GP and other key health providers are notified as appropriate), and support from the LPHUs, and in-reach teams.</w:t>
            </w:r>
          </w:p>
          <w:p w14:paraId="743229C8" w14:textId="77777777" w:rsidR="0031173D" w:rsidRPr="0014515B" w:rsidRDefault="0031173D" w:rsidP="007E0A47">
            <w:pPr>
              <w:pStyle w:val="Body"/>
              <w:rPr>
                <w:b/>
                <w:bCs/>
              </w:rPr>
            </w:pPr>
            <w:r w:rsidRPr="0014515B">
              <w:rPr>
                <w:b/>
                <w:bCs/>
              </w:rPr>
              <w:t>Antivirals</w:t>
            </w:r>
          </w:p>
          <w:p w14:paraId="4379E26E" w14:textId="6655F5FF" w:rsidR="0031173D" w:rsidRPr="0014515B" w:rsidRDefault="6DEC1D6D" w:rsidP="001B6558">
            <w:pPr>
              <w:pStyle w:val="Tabletext"/>
            </w:pPr>
            <w:r>
              <w:t xml:space="preserve">Facility operators providing care to those at </w:t>
            </w:r>
            <w:bookmarkStart w:id="1327" w:name="_Int_PTGKEFAq"/>
            <w:r>
              <w:t>high risk</w:t>
            </w:r>
            <w:bookmarkEnd w:id="1327"/>
            <w:r>
              <w:t xml:space="preserve"> of severe disease should ensure timely access to treatment including clinical assessment, </w:t>
            </w:r>
            <w:r w:rsidR="2A2F0CAF">
              <w:t>prescription,</w:t>
            </w:r>
            <w:r>
              <w:t xml:space="preserve"> and dispensing, as these are most effective in the early phase of COVID-19 infection.</w:t>
            </w:r>
          </w:p>
          <w:p w14:paraId="35F06AB5" w14:textId="7DB68D37" w:rsidR="0031173D" w:rsidRPr="0014515B" w:rsidRDefault="0031173D" w:rsidP="001B6558">
            <w:pPr>
              <w:pStyle w:val="Tabletext"/>
            </w:pPr>
            <w:r w:rsidRPr="0014515B">
              <w:t>There is no recommendation for prophylactic (preventative) use of antiviral treatments during COVID-19 outbreaks.</w:t>
            </w:r>
          </w:p>
          <w:p w14:paraId="633A65F0" w14:textId="3D1E62A6" w:rsidR="0031173D" w:rsidRPr="0014515B" w:rsidRDefault="0031173D" w:rsidP="001B6558">
            <w:pPr>
              <w:pStyle w:val="Tabletext"/>
            </w:pPr>
            <w:r w:rsidRPr="0014515B">
              <w:t xml:space="preserve">For more </w:t>
            </w:r>
            <w:r w:rsidR="00D45C76" w:rsidRPr="0014515B">
              <w:t>information,</w:t>
            </w:r>
            <w:r w:rsidRPr="0014515B">
              <w:t xml:space="preserve"> please see </w:t>
            </w:r>
            <w:hyperlink w:anchor="_Antiviral_treatment_and" w:history="1">
              <w:r w:rsidR="00533849" w:rsidRPr="003A0939">
                <w:rPr>
                  <w:rStyle w:val="Hyperlink"/>
                </w:rPr>
                <w:t>section 2</w:t>
              </w:r>
            </w:hyperlink>
            <w:r w:rsidRPr="0014515B">
              <w:t xml:space="preserve"> – antiviral treatment and prophylaxis.</w:t>
            </w:r>
          </w:p>
        </w:tc>
      </w:tr>
      <w:tr w:rsidR="0031173D" w:rsidRPr="0014515B" w14:paraId="5F37289D" w14:textId="77777777" w:rsidTr="007A02BA">
        <w:tc>
          <w:tcPr>
            <w:tcW w:w="2409" w:type="dxa"/>
          </w:tcPr>
          <w:p w14:paraId="3C01DAF8" w14:textId="4F3615FD" w:rsidR="0031173D" w:rsidRPr="0014515B" w:rsidRDefault="0031173D" w:rsidP="00FD0B4B">
            <w:pPr>
              <w:pStyle w:val="Tabletext"/>
              <w:rPr>
                <w:b/>
                <w:bCs/>
              </w:rPr>
            </w:pPr>
            <w:r w:rsidRPr="0014515B">
              <w:rPr>
                <w:b/>
                <w:bCs/>
              </w:rPr>
              <w:t>Management of residents who are considered close contacts (</w:t>
            </w:r>
            <w:r w:rsidR="00960897">
              <w:rPr>
                <w:b/>
                <w:bCs/>
              </w:rPr>
              <w:t>that is</w:t>
            </w:r>
            <w:r w:rsidRPr="0014515B">
              <w:rPr>
                <w:b/>
                <w:bCs/>
              </w:rPr>
              <w:t>, live in the same area/wing as the case)</w:t>
            </w:r>
          </w:p>
        </w:tc>
        <w:tc>
          <w:tcPr>
            <w:tcW w:w="12076" w:type="dxa"/>
          </w:tcPr>
          <w:p w14:paraId="2E3A3C27" w14:textId="6C1ECDFD" w:rsidR="0031173D" w:rsidRPr="007B3CA7" w:rsidRDefault="0031173D" w:rsidP="001B6558">
            <w:pPr>
              <w:pStyle w:val="Tabletext"/>
              <w:rPr>
                <w:iCs/>
              </w:rPr>
            </w:pPr>
            <w:r w:rsidRPr="007B3CA7">
              <w:t xml:space="preserve">A close contact with COVID-19 symptoms </w:t>
            </w:r>
            <w:r w:rsidR="00EB0169" w:rsidRPr="007B3CA7">
              <w:t xml:space="preserve">should </w:t>
            </w:r>
            <w:r w:rsidRPr="007B3CA7">
              <w:t>undertake a COVID-19 test (</w:t>
            </w:r>
            <w:r w:rsidR="00FD0B4B" w:rsidRPr="007B3CA7">
              <w:t>RAT</w:t>
            </w:r>
            <w:r w:rsidRPr="007B3CA7">
              <w:t xml:space="preserve"> or PCR).</w:t>
            </w:r>
          </w:p>
          <w:p w14:paraId="0B2278C4" w14:textId="11CE0EE8" w:rsidR="0031173D" w:rsidRPr="007B3CA7" w:rsidRDefault="0031173D" w:rsidP="001B6558">
            <w:pPr>
              <w:pStyle w:val="Tabletext"/>
            </w:pPr>
            <w:r w:rsidRPr="007B3CA7">
              <w:t>There are two options for managing close contacts. Discuss these options with residents and where applicable this decision should involve the resident’s family, guardian and/or enduring power of attorney to understand whether, in the next 7</w:t>
            </w:r>
            <w:r w:rsidR="00A5024E" w:rsidRPr="007B3CA7" w:rsidDel="00EC384C">
              <w:t xml:space="preserve"> </w:t>
            </w:r>
            <w:r w:rsidRPr="007B3CA7">
              <w:t>days, they would usually attend activities outside their place of residence, for example in another part of the facility or off-site.</w:t>
            </w:r>
          </w:p>
          <w:p w14:paraId="447FAD74" w14:textId="14595B57" w:rsidR="0031173D" w:rsidRPr="007B3CA7" w:rsidRDefault="0031173D" w:rsidP="001B6558">
            <w:pPr>
              <w:pStyle w:val="Tabletext"/>
            </w:pPr>
            <w:r w:rsidRPr="007B3CA7">
              <w:t>If leaving the RCF to go on an outing, close contacts should be strongly recommended to avoid visiting people who are elderly or medically at-risk of severe illness from COVID.</w:t>
            </w:r>
          </w:p>
          <w:p w14:paraId="712E0218" w14:textId="291E8ECF" w:rsidR="0031173D" w:rsidRPr="007B3CA7" w:rsidRDefault="0031173D" w:rsidP="007E0A47">
            <w:pPr>
              <w:pStyle w:val="Body"/>
            </w:pPr>
            <w:r w:rsidRPr="007B3CA7">
              <w:rPr>
                <w:b/>
                <w:bCs/>
              </w:rPr>
              <w:t xml:space="preserve">Option 1: </w:t>
            </w:r>
            <w:r w:rsidRPr="007B3CA7">
              <w:t xml:space="preserve">Close contacts </w:t>
            </w:r>
            <w:r w:rsidR="0054490A" w:rsidRPr="007B3CA7">
              <w:t>can choose</w:t>
            </w:r>
            <w:r w:rsidR="00C35D2D" w:rsidRPr="007B3CA7">
              <w:t xml:space="preserve"> not </w:t>
            </w:r>
            <w:r w:rsidRPr="007B3CA7">
              <w:t>to self-quarantine</w:t>
            </w:r>
            <w:r w:rsidR="0054490A" w:rsidRPr="007B3CA7">
              <w:t>, however they should:</w:t>
            </w:r>
          </w:p>
          <w:p w14:paraId="0D135373" w14:textId="2E5671D7" w:rsidR="0031173D" w:rsidRPr="007B3CA7" w:rsidRDefault="0031173D" w:rsidP="00646DF8">
            <w:pPr>
              <w:pStyle w:val="Tablebullet1"/>
              <w:rPr>
                <w:rFonts w:eastAsiaTheme="minorEastAsia"/>
              </w:rPr>
            </w:pPr>
            <w:r w:rsidRPr="007B3CA7">
              <w:t xml:space="preserve">Undertake five </w:t>
            </w:r>
            <w:r w:rsidR="00F50D64" w:rsidRPr="007B3CA7">
              <w:t>RATs</w:t>
            </w:r>
            <w:r w:rsidRPr="007B3CA7">
              <w:t>, at least 24 hours apart, within the seven-day period, and the results are negative.</w:t>
            </w:r>
          </w:p>
          <w:p w14:paraId="397518A7" w14:textId="77777777" w:rsidR="0031173D" w:rsidRPr="007B3CA7" w:rsidRDefault="0031173D" w:rsidP="00E612B4">
            <w:pPr>
              <w:pStyle w:val="Tablebullet2"/>
              <w:rPr>
                <w:rFonts w:eastAsiaTheme="minorEastAsia"/>
              </w:rPr>
            </w:pPr>
            <w:r w:rsidRPr="007B3CA7">
              <w:rPr>
                <w:rFonts w:eastAsia="Calibri"/>
              </w:rPr>
              <w:lastRenderedPageBreak/>
              <w:t xml:space="preserve">The 7-day period </w:t>
            </w:r>
            <w:r w:rsidRPr="007B3CA7">
              <w:t>commences on the date the person became a close contact (date the case/ outbreak was identified) and ends on the date the close contact’s period of self-quarantine would have ended (7 days later). For example, if self-quarantine starts on a Monday, the 7-day period ends the following Monday.</w:t>
            </w:r>
          </w:p>
          <w:p w14:paraId="5C3F8925" w14:textId="7F8A20A7" w:rsidR="0031173D" w:rsidRPr="007B3CA7" w:rsidRDefault="0031173D" w:rsidP="00646DF8">
            <w:pPr>
              <w:pStyle w:val="Tablebullet1"/>
            </w:pPr>
            <w:r w:rsidRPr="007B3CA7">
              <w:t xml:space="preserve">Wear a face mask </w:t>
            </w:r>
            <w:r w:rsidR="00CC5CF3" w:rsidRPr="007B3CA7">
              <w:t xml:space="preserve">when leaving their </w:t>
            </w:r>
            <w:r w:rsidRPr="007B3CA7">
              <w:t>home</w:t>
            </w:r>
            <w:r w:rsidR="00684DFB" w:rsidRPr="007B3CA7">
              <w:t xml:space="preserve"> for 7 days</w:t>
            </w:r>
            <w:r w:rsidRPr="007B3CA7">
              <w:t xml:space="preserve"> (considered to be the entire facility</w:t>
            </w:r>
            <w:r w:rsidR="00684DFB" w:rsidRPr="007B3CA7">
              <w:t>). Ho</w:t>
            </w:r>
            <w:r w:rsidRPr="007B3CA7">
              <w:t xml:space="preserve">wever, RCFs should </w:t>
            </w:r>
            <w:r w:rsidRPr="007B3CA7">
              <w:rPr>
                <w:u w:val="single"/>
              </w:rPr>
              <w:t xml:space="preserve">recommend </w:t>
            </w:r>
            <w:r w:rsidRPr="007B3CA7">
              <w:t>the use of masks within communal indoor areas</w:t>
            </w:r>
            <w:r w:rsidR="00684DFB" w:rsidRPr="007B3CA7">
              <w:t>.</w:t>
            </w:r>
          </w:p>
          <w:p w14:paraId="0C7D3F6A" w14:textId="23428CB1" w:rsidR="0031173D" w:rsidRPr="007B3CA7" w:rsidRDefault="0031173D" w:rsidP="00646DF8">
            <w:pPr>
              <w:pStyle w:val="Tablebullet1"/>
            </w:pPr>
            <w:r w:rsidRPr="007B3CA7">
              <w:t xml:space="preserve">Do not visit </w:t>
            </w:r>
            <w:r w:rsidR="00684DFB" w:rsidRPr="007B3CA7">
              <w:t xml:space="preserve">sensitive settings including </w:t>
            </w:r>
            <w:r w:rsidRPr="007B3CA7">
              <w:t xml:space="preserve">hospitals and other care facilities </w:t>
            </w:r>
            <w:r w:rsidR="00494024" w:rsidRPr="007B3CA7">
              <w:t xml:space="preserve">for </w:t>
            </w:r>
            <w:r w:rsidR="00684DFB" w:rsidRPr="007B3CA7">
              <w:t>7</w:t>
            </w:r>
            <w:r w:rsidR="00494024" w:rsidRPr="007B3CA7">
              <w:t xml:space="preserve"> days </w:t>
            </w:r>
            <w:r w:rsidR="00CF6849" w:rsidRPr="007B3CA7">
              <w:t>except for essential care</w:t>
            </w:r>
            <w:r w:rsidR="007B3CA7" w:rsidRPr="007B3CA7">
              <w:t>.</w:t>
            </w:r>
          </w:p>
          <w:p w14:paraId="3BF6795C" w14:textId="77777777" w:rsidR="0031173D" w:rsidRPr="007B3CA7" w:rsidRDefault="0031173D" w:rsidP="00646DF8">
            <w:pPr>
              <w:pStyle w:val="Tablebullet1"/>
              <w:rPr>
                <w:rFonts w:cs="Arial"/>
              </w:rPr>
            </w:pPr>
            <w:r w:rsidRPr="007B3CA7">
              <w:rPr>
                <w:rFonts w:cs="Arial"/>
              </w:rPr>
              <w:t>It is strongly recommended that they do not visit other areas/wings within the facility.</w:t>
            </w:r>
          </w:p>
          <w:p w14:paraId="799A8C92" w14:textId="54AECCD3" w:rsidR="0031173D" w:rsidRPr="007B3CA7" w:rsidRDefault="0031173D" w:rsidP="007B3CA7">
            <w:pPr>
              <w:pStyle w:val="Bodyafterbullets"/>
            </w:pPr>
            <w:r w:rsidRPr="007B3CA7">
              <w:rPr>
                <w:b/>
                <w:bCs/>
              </w:rPr>
              <w:t>Option 2:</w:t>
            </w:r>
            <w:r w:rsidRPr="007B3CA7">
              <w:t xml:space="preserve"> If not testing as described in Option 1, close contacts </w:t>
            </w:r>
            <w:r w:rsidR="001B4EFA" w:rsidRPr="007B3CA7">
              <w:rPr>
                <w:u w:val="single"/>
              </w:rPr>
              <w:t xml:space="preserve">should </w:t>
            </w:r>
            <w:r w:rsidRPr="007B3CA7">
              <w:t>self-quarantine for 7 days:</w:t>
            </w:r>
          </w:p>
          <w:p w14:paraId="390FA830" w14:textId="455A1C8C" w:rsidR="0031173D" w:rsidRPr="00962AEA" w:rsidRDefault="0031173D" w:rsidP="00646DF8">
            <w:pPr>
              <w:pStyle w:val="Tablebullet1"/>
            </w:pPr>
            <w:r w:rsidRPr="00962AEA">
              <w:t xml:space="preserve">They </w:t>
            </w:r>
            <w:r w:rsidR="00F07A3F" w:rsidRPr="00962AEA">
              <w:t xml:space="preserve">should </w:t>
            </w:r>
            <w:r w:rsidRPr="00962AEA">
              <w:t>undertake rapid antigen testing on the first and sixth day of self-quarantine.</w:t>
            </w:r>
          </w:p>
          <w:p w14:paraId="28B409B0" w14:textId="1CC92442" w:rsidR="0031173D" w:rsidRPr="00962AEA" w:rsidRDefault="6DEC1D6D" w:rsidP="00646DF8">
            <w:pPr>
              <w:pStyle w:val="Tablebullet1"/>
            </w:pPr>
            <w:r w:rsidRPr="00962AEA">
              <w:t xml:space="preserve">Strongly recommend a </w:t>
            </w:r>
            <w:r w:rsidR="00F50D64" w:rsidRPr="00962AEA">
              <w:t>RAT</w:t>
            </w:r>
            <w:r w:rsidRPr="00962AEA">
              <w:t xml:space="preserve"> on the third day of quarantine. If this test is positive, it will allow earlier treatment with antivirals if at </w:t>
            </w:r>
            <w:bookmarkStart w:id="1328" w:name="_Int_GuF8M4An"/>
            <w:r w:rsidRPr="00962AEA">
              <w:t>high risk</w:t>
            </w:r>
            <w:bookmarkEnd w:id="1328"/>
            <w:r w:rsidRPr="00962AEA">
              <w:t xml:space="preserve"> of severe disease, reduce the overall amount of time spent in quarantine and isolation, and contribute to outbreak management at the facility through isolation of cases.</w:t>
            </w:r>
          </w:p>
          <w:p w14:paraId="1DE46D05" w14:textId="6BCE2F16" w:rsidR="007B3CA7" w:rsidRPr="007B3CA7" w:rsidRDefault="0031173D" w:rsidP="00646DF8">
            <w:pPr>
              <w:pStyle w:val="Tablebullet1"/>
              <w:rPr>
                <w:u w:val="dotted"/>
              </w:rPr>
            </w:pPr>
            <w:r w:rsidRPr="00962AEA">
              <w:t>They may exercise outdoors</w:t>
            </w:r>
            <w:r w:rsidR="00E03D3A" w:rsidRPr="00962AEA">
              <w:t>, however should wear a face mask and maintain physically distancing.</w:t>
            </w:r>
          </w:p>
        </w:tc>
      </w:tr>
      <w:tr w:rsidR="0031173D" w:rsidRPr="0014515B" w14:paraId="19B98F79" w14:textId="77777777" w:rsidTr="007A02BA">
        <w:tc>
          <w:tcPr>
            <w:tcW w:w="2409" w:type="dxa"/>
          </w:tcPr>
          <w:p w14:paraId="621DFA08" w14:textId="77777777" w:rsidR="0031173D" w:rsidRPr="0014515B" w:rsidRDefault="0031173D" w:rsidP="00833300">
            <w:pPr>
              <w:pStyle w:val="Tabletext"/>
              <w:rPr>
                <w:b/>
                <w:bCs/>
              </w:rPr>
            </w:pPr>
            <w:r w:rsidRPr="0014515B">
              <w:rPr>
                <w:b/>
                <w:bCs/>
              </w:rPr>
              <w:lastRenderedPageBreak/>
              <w:t>Difficulties with testing some residents</w:t>
            </w:r>
          </w:p>
        </w:tc>
        <w:tc>
          <w:tcPr>
            <w:tcW w:w="12076" w:type="dxa"/>
          </w:tcPr>
          <w:p w14:paraId="330DED6F" w14:textId="77777777" w:rsidR="0031173D" w:rsidRPr="0014515B" w:rsidRDefault="0031173D" w:rsidP="001B6558">
            <w:pPr>
              <w:pStyle w:val="Tabletext"/>
            </w:pPr>
            <w:r w:rsidRPr="0014515B">
              <w:t>Testing can be difficult in some circumstances, for example there may be an inability to understand the process or reason for testing. All options to facilitate testing of residents should be explored, for example:</w:t>
            </w:r>
          </w:p>
          <w:p w14:paraId="385A7DB6" w14:textId="32EBC7B8" w:rsidR="0031173D" w:rsidRPr="0014515B" w:rsidRDefault="00632943" w:rsidP="00646DF8">
            <w:pPr>
              <w:pStyle w:val="Tablebullet1"/>
            </w:pPr>
            <w:r>
              <w:t>l</w:t>
            </w:r>
            <w:r w:rsidR="0031173D" w:rsidRPr="0014515B">
              <w:t>eaving a swab for familiar staff members to use later (this may not be possible if the specimen is critical to diagnosis)</w:t>
            </w:r>
          </w:p>
          <w:p w14:paraId="0295866A" w14:textId="33E6A8F0" w:rsidR="0031173D" w:rsidRPr="0014515B" w:rsidRDefault="00632943" w:rsidP="00646DF8">
            <w:pPr>
              <w:pStyle w:val="Tablebullet1"/>
            </w:pPr>
            <w:r>
              <w:t>s</w:t>
            </w:r>
            <w:r w:rsidR="0031173D" w:rsidRPr="0014515B">
              <w:t>upervised self-testing</w:t>
            </w:r>
          </w:p>
          <w:p w14:paraId="3D523513" w14:textId="7DEB91A0" w:rsidR="0031173D" w:rsidRPr="0014515B" w:rsidRDefault="00632943" w:rsidP="00646DF8">
            <w:pPr>
              <w:pStyle w:val="Tablebullet1"/>
            </w:pPr>
            <w:r>
              <w:t>a</w:t>
            </w:r>
            <w:r w:rsidR="0031173D" w:rsidRPr="0014515B">
              <w:t>lternative modes of testing such as saliva testing.</w:t>
            </w:r>
          </w:p>
          <w:p w14:paraId="15CAE5F6" w14:textId="1A910EBA" w:rsidR="0031173D" w:rsidRPr="001B6558" w:rsidRDefault="0031173D" w:rsidP="001B6558">
            <w:pPr>
              <w:pStyle w:val="Tabletext"/>
            </w:pPr>
            <w:r w:rsidRPr="001B6558">
              <w:t xml:space="preserve">If the resident has symptoms of COVID-19 and no test can be undertaken due to lack of consent, resistance or distress, the resident should be treated as though they had tested positive. Whilst in isolation, the resident should have care provided with </w:t>
            </w:r>
            <w:r w:rsidR="00736C6D" w:rsidRPr="001B6558">
              <w:t xml:space="preserve">COVID airborne precautions (N95 respirator and eye protection) and gloves and gowns/apron as per standard precautions, when risk of contact with blood/body fluids including respiratory secretions. </w:t>
            </w:r>
            <w:r w:rsidRPr="001B6558">
              <w:t>until a test can be undertaken or an appropriate period of isolation has been completed.</w:t>
            </w:r>
          </w:p>
          <w:p w14:paraId="23E4C07F" w14:textId="1FFDE76F" w:rsidR="0031173D" w:rsidRPr="0014515B" w:rsidRDefault="0031173D" w:rsidP="001B6558">
            <w:pPr>
              <w:pStyle w:val="Tabletext"/>
            </w:pPr>
            <w:r w:rsidRPr="001B6558">
              <w:t xml:space="preserve">If the resident </w:t>
            </w:r>
            <w:r w:rsidR="005660EA" w:rsidRPr="001B6558">
              <w:t xml:space="preserve">is recommended to </w:t>
            </w:r>
            <w:r w:rsidR="001C517D" w:rsidRPr="001B6558">
              <w:t xml:space="preserve">have a </w:t>
            </w:r>
            <w:r w:rsidRPr="001B6558">
              <w:t>test for screening purposes only (</w:t>
            </w:r>
            <w:r w:rsidR="00960897" w:rsidRPr="001B6558">
              <w:t>that is</w:t>
            </w:r>
            <w:r w:rsidRPr="001B6558">
              <w:t xml:space="preserve">, the resident does not have any symptoms) and no test can be undertaken due to lack of consent, resistance or distress, explore all the options to facilitate testing, and </w:t>
            </w:r>
            <w:r w:rsidR="00684DFB" w:rsidRPr="001B6558">
              <w:t xml:space="preserve">determine whether there is any need to consider quarantine based on the risk assessment, noting that quarantine is not mandatory. Continue </w:t>
            </w:r>
            <w:r w:rsidRPr="001B6558">
              <w:t xml:space="preserve">to monitor for symptoms and if any develop, </w:t>
            </w:r>
            <w:r w:rsidR="007723FB" w:rsidRPr="001B6558">
              <w:t>the resident should be isolated.</w:t>
            </w:r>
          </w:p>
        </w:tc>
      </w:tr>
      <w:tr w:rsidR="0031173D" w:rsidRPr="0014515B" w14:paraId="731CFCA7" w14:textId="77777777" w:rsidTr="007A02BA">
        <w:tc>
          <w:tcPr>
            <w:tcW w:w="2409" w:type="dxa"/>
          </w:tcPr>
          <w:p w14:paraId="6AC0212B" w14:textId="5E33626A" w:rsidR="0031173D" w:rsidRPr="0014515B" w:rsidRDefault="0031173D" w:rsidP="00833300">
            <w:pPr>
              <w:pStyle w:val="Tabletext"/>
              <w:rPr>
                <w:b/>
                <w:bCs/>
              </w:rPr>
            </w:pPr>
            <w:r w:rsidRPr="0014515B">
              <w:rPr>
                <w:b/>
                <w:bCs/>
              </w:rPr>
              <w:lastRenderedPageBreak/>
              <w:t>Management of staff working in the same area/wing as the case</w:t>
            </w:r>
          </w:p>
        </w:tc>
        <w:tc>
          <w:tcPr>
            <w:tcW w:w="12076" w:type="dxa"/>
          </w:tcPr>
          <w:p w14:paraId="67C5538C" w14:textId="1D1FEC00" w:rsidR="0031173D" w:rsidRPr="0014515B" w:rsidRDefault="0031173D" w:rsidP="00962AEA">
            <w:pPr>
              <w:pStyle w:val="Tabletext"/>
            </w:pPr>
            <w:r w:rsidRPr="0014515B">
              <w:t xml:space="preserve">Any staff members with symptoms of COVID-19 </w:t>
            </w:r>
            <w:r w:rsidR="00254B78" w:rsidRPr="00403484">
              <w:t>should</w:t>
            </w:r>
            <w:r w:rsidR="00254B78" w:rsidRPr="0014515B">
              <w:t xml:space="preserve"> </w:t>
            </w:r>
            <w:r w:rsidRPr="0014515B">
              <w:t xml:space="preserve">not enter the facility, </w:t>
            </w:r>
            <w:r w:rsidR="00254B78" w:rsidRPr="00403484">
              <w:t>should</w:t>
            </w:r>
            <w:r w:rsidR="00254B78" w:rsidRPr="0014515B">
              <w:t xml:space="preserve"> </w:t>
            </w:r>
            <w:r w:rsidRPr="0014515B">
              <w:t>isolate, and undergo testing.</w:t>
            </w:r>
          </w:p>
          <w:p w14:paraId="18231567" w14:textId="513E91E6" w:rsidR="0031173D" w:rsidRPr="00962AEA" w:rsidRDefault="00C65DF0" w:rsidP="00646DF8">
            <w:pPr>
              <w:pStyle w:val="Tablebullet1"/>
            </w:pPr>
            <w:r w:rsidRPr="00962AEA">
              <w:t xml:space="preserve">Staff are to follow COVID airborne precautions (N95 respirator and eye protection) and gloves and gowns/apron as per standard </w:t>
            </w:r>
            <w:r w:rsidR="00EE32D5" w:rsidRPr="00962AEA">
              <w:t>precautions when</w:t>
            </w:r>
            <w:r w:rsidRPr="00962AEA">
              <w:t xml:space="preserve"> risk of contact with blood/body fluids including respiratory secretions.</w:t>
            </w:r>
            <w:r w:rsidR="0031173D" w:rsidRPr="00962AEA">
              <w:t xml:space="preserve"> Please note that gloves are never a substitute for hand hygiene</w:t>
            </w:r>
            <w:r w:rsidR="00632943">
              <w:t>.</w:t>
            </w:r>
          </w:p>
          <w:p w14:paraId="14F8C758" w14:textId="3E99F7ED" w:rsidR="0031173D" w:rsidRPr="00962AEA" w:rsidRDefault="0031173D" w:rsidP="00646DF8">
            <w:pPr>
              <w:pStyle w:val="Tablebullet1"/>
            </w:pPr>
            <w:r w:rsidRPr="00962AEA">
              <w:t xml:space="preserve">Staff in the wing/area caring for residents who are close contacts without symptoms of COVID-19 and who have returned a negative COVID-19 test result </w:t>
            </w:r>
            <w:r w:rsidR="00C052EA" w:rsidRPr="00962AEA">
              <w:t xml:space="preserve">should </w:t>
            </w:r>
            <w:r w:rsidRPr="00962AEA">
              <w:t>wear an N95 respirator.</w:t>
            </w:r>
          </w:p>
          <w:p w14:paraId="270433EB" w14:textId="77777777" w:rsidR="0031173D" w:rsidRPr="00962AEA" w:rsidRDefault="0031173D" w:rsidP="00646DF8">
            <w:pPr>
              <w:pStyle w:val="Tablebullet1"/>
            </w:pPr>
            <w:r w:rsidRPr="00962AEA">
              <w:t>If the staff member wore an N95 respirator throughout their interactions with the positive case(s) (and there were no PPE breaches), the staff member is not considered a contact.</w:t>
            </w:r>
          </w:p>
          <w:p w14:paraId="674873A5" w14:textId="686FF83F" w:rsidR="0031173D" w:rsidRPr="00962AEA" w:rsidRDefault="0031173D" w:rsidP="00646DF8">
            <w:pPr>
              <w:pStyle w:val="Tablebullet1"/>
            </w:pPr>
            <w:r w:rsidRPr="00962AEA">
              <w:t>If the staff member was not wearing an N95 respirator throughout their interactions with the positive case(s) or there were PPE breaches, they are considered a social contact:</w:t>
            </w:r>
          </w:p>
          <w:p w14:paraId="61896066" w14:textId="77777777" w:rsidR="0031173D" w:rsidRPr="0014515B" w:rsidRDefault="0031173D" w:rsidP="00E612B4">
            <w:pPr>
              <w:pStyle w:val="Tablebullet2"/>
            </w:pPr>
            <w:r w:rsidRPr="0014515B">
              <w:t xml:space="preserve">A social contact without COVID-19 symptoms is strongly recommended to undertake daily COVID-19 RAT for five days following notification that they are a social contact, </w:t>
            </w:r>
            <w:r w:rsidRPr="00E612B4">
              <w:t>prior to their shift if they are rostered to work</w:t>
            </w:r>
            <w:r w:rsidRPr="0014515B">
              <w:t>. There is no requirement to quarantine.</w:t>
            </w:r>
          </w:p>
          <w:p w14:paraId="6E4412A0" w14:textId="33C91A23" w:rsidR="0031173D" w:rsidRPr="0014515B" w:rsidRDefault="0031173D" w:rsidP="00E612B4">
            <w:pPr>
              <w:pStyle w:val="Tablebullet2"/>
            </w:pPr>
            <w:r w:rsidRPr="0014515B">
              <w:t xml:space="preserve">If a social contact develops symptoms consistent with COVID-19, they </w:t>
            </w:r>
            <w:r w:rsidR="3A026F09" w:rsidRPr="00403484">
              <w:t>should</w:t>
            </w:r>
            <w:r w:rsidR="3A026F09" w:rsidRPr="0014515B">
              <w:t xml:space="preserve"> </w:t>
            </w:r>
            <w:r w:rsidRPr="0014515B">
              <w:t xml:space="preserve">be tested for COVID-19 (RA or PCR test) and </w:t>
            </w:r>
            <w:r w:rsidR="3A026F09" w:rsidRPr="00403484">
              <w:t>should</w:t>
            </w:r>
            <w:r w:rsidR="3A026F09" w:rsidRPr="0014515B">
              <w:t xml:space="preserve"> </w:t>
            </w:r>
            <w:r w:rsidRPr="0014515B">
              <w:t>quarantine whilst awaiting test result.</w:t>
            </w:r>
          </w:p>
          <w:p w14:paraId="448B81B4" w14:textId="77777777" w:rsidR="0031173D" w:rsidRPr="0014515B" w:rsidRDefault="0031173D" w:rsidP="00962AEA">
            <w:pPr>
              <w:pStyle w:val="Tabletext"/>
            </w:pPr>
            <w:r w:rsidRPr="0014515B">
              <w:t>During an outbreak of ARI in an RCF where testing for COVID-19 is negative, consideration should be given to performing viral multiplex PCR testing to detect influenza and other respiratory pathogens.</w:t>
            </w:r>
          </w:p>
          <w:p w14:paraId="60FA6565" w14:textId="490698C7" w:rsidR="0031173D" w:rsidRPr="0014515B" w:rsidRDefault="0031173D" w:rsidP="00962AEA">
            <w:pPr>
              <w:pStyle w:val="Tabletext"/>
            </w:pPr>
            <w:r w:rsidRPr="0014515B">
              <w:t>For documentation, prepare a line list to be sent to the LPHU daily (or as directed). See suggested line list fields in the appendix.</w:t>
            </w:r>
          </w:p>
        </w:tc>
      </w:tr>
      <w:tr w:rsidR="0031173D" w:rsidRPr="0014515B" w14:paraId="00C536F7" w14:textId="77777777" w:rsidTr="007A02BA">
        <w:tc>
          <w:tcPr>
            <w:tcW w:w="2409" w:type="dxa"/>
          </w:tcPr>
          <w:p w14:paraId="3A157A25" w14:textId="77777777" w:rsidR="0031173D" w:rsidRPr="0014515B" w:rsidRDefault="0031173D" w:rsidP="00962AEA">
            <w:pPr>
              <w:pStyle w:val="Tabletext"/>
              <w:rPr>
                <w:b/>
                <w:bCs/>
              </w:rPr>
            </w:pPr>
            <w:r w:rsidRPr="0014515B">
              <w:rPr>
                <w:b/>
                <w:bCs/>
              </w:rPr>
              <w:t>Management of residents who are not considered close contacts</w:t>
            </w:r>
          </w:p>
        </w:tc>
        <w:tc>
          <w:tcPr>
            <w:tcW w:w="12076" w:type="dxa"/>
          </w:tcPr>
          <w:p w14:paraId="64FBB16F" w14:textId="77777777" w:rsidR="0031173D" w:rsidRPr="0014515B" w:rsidRDefault="0031173D" w:rsidP="00962AEA">
            <w:pPr>
              <w:pStyle w:val="Tabletext"/>
            </w:pPr>
            <w:r w:rsidRPr="0014515B">
              <w:t>Residents who are not close contacts:</w:t>
            </w:r>
          </w:p>
          <w:p w14:paraId="26D2E0EB" w14:textId="766C737E" w:rsidR="0031173D" w:rsidRPr="0014515B" w:rsidRDefault="0031173D" w:rsidP="00646DF8">
            <w:pPr>
              <w:pStyle w:val="Tablebullet1"/>
            </w:pPr>
            <w:r w:rsidRPr="0014515B">
              <w:t xml:space="preserve">should immediately undertake a COVID-19 test should they develop </w:t>
            </w:r>
            <w:r w:rsidR="00D45C76" w:rsidRPr="0014515B">
              <w:t>symptoms and</w:t>
            </w:r>
            <w:r w:rsidR="003D73FA" w:rsidRPr="0014515B">
              <w:t xml:space="preserve"> </w:t>
            </w:r>
            <w:r w:rsidR="003D73FA" w:rsidRPr="00403484">
              <w:t>should</w:t>
            </w:r>
            <w:r w:rsidRPr="0014515B">
              <w:t xml:space="preserve"> isolate pending the results</w:t>
            </w:r>
          </w:p>
          <w:p w14:paraId="030B58F0" w14:textId="77777777" w:rsidR="0031173D" w:rsidRPr="0014515B" w:rsidRDefault="0031173D" w:rsidP="00646DF8">
            <w:pPr>
              <w:pStyle w:val="Tablebullet1"/>
            </w:pPr>
            <w:r w:rsidRPr="0014515B">
              <w:t>avoid the affected areas/wings where there are active cases</w:t>
            </w:r>
          </w:p>
          <w:p w14:paraId="655FA030" w14:textId="77777777" w:rsidR="0031173D" w:rsidRPr="0014515B" w:rsidRDefault="0031173D" w:rsidP="00646DF8">
            <w:pPr>
              <w:pStyle w:val="Tablebullet1"/>
            </w:pPr>
            <w:r w:rsidRPr="0014515B">
              <w:t>be encouraged to wear a mask in communal indoor areas</w:t>
            </w:r>
          </w:p>
          <w:p w14:paraId="138621EA" w14:textId="62E285D6" w:rsidR="0031173D" w:rsidRDefault="002D1571" w:rsidP="00646DF8">
            <w:pPr>
              <w:pStyle w:val="Tablebullet1"/>
            </w:pPr>
            <w:r>
              <w:t>b</w:t>
            </w:r>
            <w:r w:rsidR="0031173D" w:rsidRPr="0014515B">
              <w:t>e supported with a transfer out of the facility if feasible, after a risk-assessment has taken place (</w:t>
            </w:r>
            <w:r w:rsidR="00960897">
              <w:t>that is</w:t>
            </w:r>
            <w:r w:rsidR="0031173D" w:rsidRPr="0014515B">
              <w:t>, understanding family circumstance and health status prior to transfer) – the LPHU may provide advice where required</w:t>
            </w:r>
            <w:r>
              <w:t>.</w:t>
            </w:r>
          </w:p>
          <w:p w14:paraId="209149B4" w14:textId="44B2DFE9" w:rsidR="00656D2D" w:rsidRPr="0014515B" w:rsidRDefault="002D1571" w:rsidP="002D1571">
            <w:pPr>
              <w:pStyle w:val="Tabletext"/>
            </w:pPr>
            <w:r>
              <w:rPr>
                <w:rFonts w:cs="Arial"/>
                <w:color w:val="000000"/>
              </w:rPr>
              <w:t>I</w:t>
            </w:r>
            <w:r w:rsidR="002E282F" w:rsidRPr="00051CB4">
              <w:rPr>
                <w:rFonts w:eastAsia="Times" w:cs="Arial"/>
                <w:color w:val="000000"/>
              </w:rPr>
              <w:t xml:space="preserve">t is strongly recommended that close contacts do not visit other areas/wings within the </w:t>
            </w:r>
            <w:r w:rsidR="00D45C76" w:rsidRPr="00051CB4">
              <w:rPr>
                <w:rFonts w:eastAsia="Times" w:cs="Arial"/>
                <w:color w:val="000000"/>
              </w:rPr>
              <w:t>facility.</w:t>
            </w:r>
            <w:r w:rsidR="00D45C76" w:rsidRPr="00051CB4">
              <w:rPr>
                <w:lang w:val="en-US"/>
              </w:rPr>
              <w:t xml:space="preserve"> During</w:t>
            </w:r>
            <w:r w:rsidR="00656D2D" w:rsidRPr="00051CB4">
              <w:rPr>
                <w:lang w:val="en-US"/>
              </w:rPr>
              <w:t xml:space="preserve"> an outbreak, careful consideration should be taken </w:t>
            </w:r>
            <w:r w:rsidR="00E35168">
              <w:rPr>
                <w:lang w:val="en-US"/>
              </w:rPr>
              <w:t xml:space="preserve">during organisation of </w:t>
            </w:r>
            <w:r w:rsidR="00656D2D" w:rsidRPr="00051CB4">
              <w:rPr>
                <w:lang w:val="en-US"/>
              </w:rPr>
              <w:t xml:space="preserve">communal activities that </w:t>
            </w:r>
            <w:r w:rsidR="009D74FA" w:rsidRPr="00051CB4">
              <w:rPr>
                <w:lang w:val="en-US"/>
              </w:rPr>
              <w:t>may usually</w:t>
            </w:r>
            <w:r w:rsidR="00656D2D" w:rsidRPr="00051CB4">
              <w:rPr>
                <w:lang w:val="en-US"/>
              </w:rPr>
              <w:t xml:space="preserve"> </w:t>
            </w:r>
            <w:r w:rsidR="009D74FA" w:rsidRPr="00051CB4">
              <w:rPr>
                <w:lang w:val="en-US"/>
              </w:rPr>
              <w:t>include</w:t>
            </w:r>
            <w:r w:rsidR="00656D2D" w:rsidRPr="00051CB4">
              <w:rPr>
                <w:lang w:val="en-US"/>
              </w:rPr>
              <w:t xml:space="preserve"> close contacts from affected wings, and residents from unaffected wings. To reduce the risk of transmission, </w:t>
            </w:r>
            <w:r w:rsidR="00D87E44" w:rsidRPr="00051CB4">
              <w:rPr>
                <w:lang w:val="en-US"/>
              </w:rPr>
              <w:t xml:space="preserve">where possible, </w:t>
            </w:r>
            <w:r w:rsidR="00B745A7" w:rsidRPr="00051CB4">
              <w:rPr>
                <w:lang w:val="en-US"/>
              </w:rPr>
              <w:t xml:space="preserve">groups should be separated, </w:t>
            </w:r>
            <w:r w:rsidR="00D94B49" w:rsidRPr="00051CB4">
              <w:rPr>
                <w:lang w:val="en-US"/>
              </w:rPr>
              <w:t xml:space="preserve">and </w:t>
            </w:r>
            <w:r w:rsidR="00656D2D" w:rsidRPr="00051CB4">
              <w:rPr>
                <w:lang w:val="en-US"/>
              </w:rPr>
              <w:t>activities should be conducted outdoors</w:t>
            </w:r>
            <w:r w:rsidR="00D94B49" w:rsidRPr="00051CB4">
              <w:rPr>
                <w:lang w:val="en-US"/>
              </w:rPr>
              <w:t>.</w:t>
            </w:r>
          </w:p>
        </w:tc>
      </w:tr>
      <w:tr w:rsidR="0031173D" w:rsidRPr="0014515B" w14:paraId="3B54FEE5" w14:textId="77777777" w:rsidTr="007A02BA">
        <w:tc>
          <w:tcPr>
            <w:tcW w:w="2409" w:type="dxa"/>
          </w:tcPr>
          <w:p w14:paraId="5BCFBABE" w14:textId="6A4B83C1" w:rsidR="0031173D" w:rsidRPr="0014515B" w:rsidRDefault="0031173D" w:rsidP="007C56A5">
            <w:pPr>
              <w:pStyle w:val="Tabletext"/>
              <w:rPr>
                <w:b/>
                <w:bCs/>
              </w:rPr>
            </w:pPr>
            <w:r w:rsidRPr="0014515B">
              <w:rPr>
                <w:b/>
                <w:bCs/>
              </w:rPr>
              <w:lastRenderedPageBreak/>
              <w:t>LPHU risk assessment during an outbreak</w:t>
            </w:r>
          </w:p>
        </w:tc>
        <w:tc>
          <w:tcPr>
            <w:tcW w:w="12076" w:type="dxa"/>
          </w:tcPr>
          <w:p w14:paraId="4B3BFE3A" w14:textId="77777777" w:rsidR="0031173D" w:rsidRPr="005F5A90" w:rsidRDefault="0031173D" w:rsidP="005F5A90">
            <w:pPr>
              <w:pStyle w:val="Tabletext"/>
            </w:pPr>
            <w:r w:rsidRPr="005F5A90">
              <w:t>Upon notification, the LPHU will undertake a risk assessment to determine their level of involvement and the need for further enhanced public health interventions.</w:t>
            </w:r>
          </w:p>
          <w:p w14:paraId="5794C824" w14:textId="2A9384F8" w:rsidR="0031173D" w:rsidRPr="005F5A90" w:rsidRDefault="0031173D" w:rsidP="005F5A90">
            <w:pPr>
              <w:pStyle w:val="Tabletext"/>
            </w:pPr>
            <w:r w:rsidRPr="005F5A90">
              <w:t>They will take into consideration factors such as:</w:t>
            </w:r>
          </w:p>
          <w:p w14:paraId="01CEFB74" w14:textId="77777777" w:rsidR="0031173D" w:rsidRPr="005F5A90" w:rsidRDefault="0031173D" w:rsidP="00646DF8">
            <w:pPr>
              <w:pStyle w:val="Tablebullet1"/>
            </w:pPr>
            <w:r w:rsidRPr="005F5A90">
              <w:t>resident and staff case numbers</w:t>
            </w:r>
          </w:p>
          <w:p w14:paraId="7C91339B" w14:textId="77777777" w:rsidR="0031173D" w:rsidRPr="005F5A90" w:rsidRDefault="0031173D" w:rsidP="00646DF8">
            <w:pPr>
              <w:pStyle w:val="Tablebullet1"/>
            </w:pPr>
            <w:r w:rsidRPr="005F5A90">
              <w:t>staff numbers and ability to provide safe care to residents, cases across multiple wings/areas</w:t>
            </w:r>
          </w:p>
          <w:p w14:paraId="6975B06D" w14:textId="77777777" w:rsidR="0031173D" w:rsidRPr="005F5A90" w:rsidRDefault="0031173D" w:rsidP="00646DF8">
            <w:pPr>
              <w:pStyle w:val="Tablebullet1"/>
            </w:pPr>
            <w:r w:rsidRPr="005F5A90">
              <w:t>ongoing transmission</w:t>
            </w:r>
          </w:p>
          <w:p w14:paraId="62FE44C0" w14:textId="77777777" w:rsidR="0031173D" w:rsidRPr="005F5A90" w:rsidRDefault="0031173D" w:rsidP="00646DF8">
            <w:pPr>
              <w:pStyle w:val="Tablebullet1"/>
            </w:pPr>
            <w:r w:rsidRPr="005F5A90">
              <w:t>numbers of hospitalisations and/or deaths</w:t>
            </w:r>
          </w:p>
          <w:p w14:paraId="4FA05CF4" w14:textId="77777777" w:rsidR="0031173D" w:rsidRPr="005F5A90" w:rsidRDefault="0031173D" w:rsidP="00646DF8">
            <w:pPr>
              <w:pStyle w:val="Tablebullet1"/>
            </w:pPr>
            <w:r w:rsidRPr="005F5A90">
              <w:t>cases with challenging behaviours</w:t>
            </w:r>
          </w:p>
          <w:p w14:paraId="561AE95C" w14:textId="77777777" w:rsidR="0031173D" w:rsidRPr="005F5A90" w:rsidRDefault="0031173D" w:rsidP="00646DF8">
            <w:pPr>
              <w:pStyle w:val="Tablebullet1"/>
            </w:pPr>
            <w:r w:rsidRPr="005F5A90">
              <w:t>vaccination rates, including fourth doses</w:t>
            </w:r>
          </w:p>
          <w:p w14:paraId="61775DC3" w14:textId="77777777" w:rsidR="0031173D" w:rsidRPr="0014515B" w:rsidRDefault="0031173D" w:rsidP="00646DF8">
            <w:pPr>
              <w:pStyle w:val="Tablebullet1"/>
            </w:pPr>
            <w:r w:rsidRPr="005F5A90">
              <w:t>RCF outbreak management experience, resources, including being a stand-alone facility.</w:t>
            </w:r>
          </w:p>
        </w:tc>
      </w:tr>
      <w:tr w:rsidR="0031173D" w:rsidRPr="0014515B" w14:paraId="088FD7F7" w14:textId="77777777" w:rsidTr="007A02BA">
        <w:tc>
          <w:tcPr>
            <w:tcW w:w="2409" w:type="dxa"/>
          </w:tcPr>
          <w:p w14:paraId="53BCE71A" w14:textId="6E0A64AB" w:rsidR="0031173D" w:rsidRPr="0014515B" w:rsidRDefault="0031173D" w:rsidP="007C56A5">
            <w:pPr>
              <w:pStyle w:val="Tabletext"/>
              <w:rPr>
                <w:b/>
                <w:bCs/>
              </w:rPr>
            </w:pPr>
            <w:r w:rsidRPr="0014515B">
              <w:rPr>
                <w:b/>
                <w:bCs/>
              </w:rPr>
              <w:t>Review staffing levels</w:t>
            </w:r>
          </w:p>
        </w:tc>
        <w:tc>
          <w:tcPr>
            <w:tcW w:w="12076" w:type="dxa"/>
          </w:tcPr>
          <w:p w14:paraId="10FAB54D" w14:textId="77777777" w:rsidR="0031173D" w:rsidRPr="0014515B" w:rsidRDefault="0031173D" w:rsidP="005F5A90">
            <w:pPr>
              <w:pStyle w:val="Tabletext"/>
            </w:pPr>
            <w:r w:rsidRPr="0014515B">
              <w:t>Staffing levels should be reviewed in line with the facility OMP. This should consider the following:</w:t>
            </w:r>
          </w:p>
          <w:p w14:paraId="7D0A112D" w14:textId="6E17096C" w:rsidR="0031173D" w:rsidRPr="005F5A90" w:rsidRDefault="0031173D" w:rsidP="00646DF8">
            <w:pPr>
              <w:pStyle w:val="Tablebullet1"/>
            </w:pPr>
            <w:r w:rsidRPr="005F5A90">
              <w:t>review current rosters</w:t>
            </w:r>
          </w:p>
          <w:p w14:paraId="0641F31F" w14:textId="77777777" w:rsidR="0031173D" w:rsidRPr="005F5A90" w:rsidRDefault="0031173D" w:rsidP="00646DF8">
            <w:pPr>
              <w:pStyle w:val="Tablebullet1"/>
            </w:pPr>
            <w:r w:rsidRPr="005F5A90">
              <w:t>determine the estimated number of staff that may be unable to work</w:t>
            </w:r>
          </w:p>
          <w:p w14:paraId="2B18A4D6" w14:textId="77777777" w:rsidR="0031173D" w:rsidRPr="005F5A90" w:rsidRDefault="0031173D" w:rsidP="00646DF8">
            <w:pPr>
              <w:pStyle w:val="Tablebullet1"/>
            </w:pPr>
            <w:r w:rsidRPr="005F5A90">
              <w:t>implement workforce mitigation arrangements (for example, contacting workforce suppliers and/or moving to an adjusted roster of 12-hour shifts)</w:t>
            </w:r>
          </w:p>
          <w:p w14:paraId="6B785E89" w14:textId="04D167ED" w:rsidR="0031173D" w:rsidRPr="005F5A90" w:rsidRDefault="0031173D" w:rsidP="00646DF8">
            <w:pPr>
              <w:pStyle w:val="Tablebullet1"/>
            </w:pPr>
            <w:r w:rsidRPr="005F5A90">
              <w:t>cohort all staff and contractors to work consistently in one area of the facility (for example, one wing or floor) where practicable.</w:t>
            </w:r>
          </w:p>
          <w:p w14:paraId="03CFA1D6" w14:textId="456EC40D" w:rsidR="0031173D" w:rsidRPr="005F5A90" w:rsidRDefault="0031173D" w:rsidP="00195A03">
            <w:pPr>
              <w:pStyle w:val="Tabletext"/>
            </w:pPr>
            <w:r w:rsidRPr="005F5A90">
              <w:t>Residential care workers who are close contacts (and do not have any symptoms of COVID-19) may attend work at a care facility</w:t>
            </w:r>
            <w:r w:rsidR="00B134F7" w:rsidRPr="005F5A90">
              <w:t xml:space="preserve">, </w:t>
            </w:r>
            <w:r w:rsidR="00E0396B" w:rsidRPr="005F5A90">
              <w:t>however,</w:t>
            </w:r>
            <w:r w:rsidR="00B134F7" w:rsidRPr="005F5A90">
              <w:t xml:space="preserve"> </w:t>
            </w:r>
            <w:r w:rsidR="00684DFB" w:rsidRPr="005F5A90">
              <w:t>are strongly recommended to</w:t>
            </w:r>
            <w:r w:rsidR="00B134F7" w:rsidRPr="005F5A90">
              <w:t xml:space="preserve"> </w:t>
            </w:r>
            <w:r w:rsidR="00926022" w:rsidRPr="005F5A90">
              <w:t xml:space="preserve">take </w:t>
            </w:r>
            <w:r w:rsidR="00CD5638" w:rsidRPr="005F5A90">
              <w:t xml:space="preserve">a </w:t>
            </w:r>
            <w:r w:rsidR="00926022" w:rsidRPr="005F5A90">
              <w:t xml:space="preserve">RAT </w:t>
            </w:r>
            <w:r w:rsidR="00D243E5" w:rsidRPr="005F5A90">
              <w:t>five</w:t>
            </w:r>
            <w:r w:rsidR="00926022" w:rsidRPr="005F5A90">
              <w:t xml:space="preserve"> </w:t>
            </w:r>
            <w:r w:rsidR="00CD5638" w:rsidRPr="005F5A90">
              <w:t>times within 7 days from exposure, at least 24 hours apart</w:t>
            </w:r>
            <w:r w:rsidR="009B7E97" w:rsidRPr="005F5A90">
              <w:t>. They should not attend work if they return a positive RAT.</w:t>
            </w:r>
          </w:p>
          <w:p w14:paraId="4F805027" w14:textId="422CA2CF" w:rsidR="0031173D" w:rsidRPr="0014515B" w:rsidRDefault="00195A03" w:rsidP="00195A03">
            <w:pPr>
              <w:pStyle w:val="Tabletext"/>
            </w:pPr>
            <w:r>
              <w:t>I</w:t>
            </w:r>
            <w:r w:rsidR="0031173D" w:rsidRPr="005F5A90">
              <w:t>t is important that facility managers monitor and ensure staff health and wellbeing.</w:t>
            </w:r>
          </w:p>
        </w:tc>
      </w:tr>
      <w:tr w:rsidR="0031173D" w:rsidRPr="0014515B" w14:paraId="19529C72" w14:textId="77777777" w:rsidTr="007A02BA">
        <w:tc>
          <w:tcPr>
            <w:tcW w:w="2409" w:type="dxa"/>
          </w:tcPr>
          <w:p w14:paraId="31048C69" w14:textId="5597DEC7" w:rsidR="0031173D" w:rsidRPr="0014515B" w:rsidRDefault="0031173D" w:rsidP="00762A76">
            <w:pPr>
              <w:pStyle w:val="Tabletext"/>
              <w:rPr>
                <w:b/>
                <w:bCs/>
              </w:rPr>
            </w:pPr>
            <w:r w:rsidRPr="0014515B">
              <w:rPr>
                <w:b/>
                <w:bCs/>
              </w:rPr>
              <w:t>Case and contact management</w:t>
            </w:r>
          </w:p>
        </w:tc>
        <w:tc>
          <w:tcPr>
            <w:tcW w:w="12076" w:type="dxa"/>
          </w:tcPr>
          <w:p w14:paraId="7C16FF71" w14:textId="7F887EB8" w:rsidR="0031173D" w:rsidRPr="0014515B" w:rsidRDefault="6DEC1D6D" w:rsidP="005F5A90">
            <w:pPr>
              <w:pStyle w:val="Tabletext"/>
            </w:pPr>
            <w:r>
              <w:t xml:space="preserve">Follow exposure management pathways for staff, </w:t>
            </w:r>
            <w:r w:rsidR="3FB2C7D3">
              <w:t>residents,</w:t>
            </w:r>
            <w:r>
              <w:t xml:space="preserve"> and visitors (see </w:t>
            </w:r>
            <w:hyperlink w:anchor="_COVID-19_exposure_–" w:history="1">
              <w:r w:rsidR="209C2F46" w:rsidRPr="003A0939">
                <w:rPr>
                  <w:rStyle w:val="Hyperlink"/>
                </w:rPr>
                <w:t>section 7</w:t>
              </w:r>
            </w:hyperlink>
            <w:r>
              <w:t xml:space="preserve">). Ensure timely access to the use of antivirals (see </w:t>
            </w:r>
            <w:hyperlink w:anchor="_Antiviral_treatment_and" w:history="1">
              <w:r w:rsidR="209C2F46" w:rsidRPr="003A0939">
                <w:rPr>
                  <w:rStyle w:val="Hyperlink"/>
                </w:rPr>
                <w:t>section 2</w:t>
              </w:r>
            </w:hyperlink>
            <w:r>
              <w:t xml:space="preserve"> – antiviral therapy) for those at </w:t>
            </w:r>
            <w:bookmarkStart w:id="1329" w:name="_Int_XoXs9m7h"/>
            <w:r>
              <w:t>high risk</w:t>
            </w:r>
            <w:bookmarkEnd w:id="1329"/>
            <w:r>
              <w:t xml:space="preserve"> of severe disease, as these are most effective in the early phase of COVID-19 infection</w:t>
            </w:r>
            <w:r w:rsidR="005F5A90">
              <w:t>.</w:t>
            </w:r>
          </w:p>
        </w:tc>
      </w:tr>
      <w:tr w:rsidR="0031173D" w:rsidRPr="0014515B" w14:paraId="2EE97882" w14:textId="77777777" w:rsidTr="007A02BA">
        <w:tc>
          <w:tcPr>
            <w:tcW w:w="2409" w:type="dxa"/>
          </w:tcPr>
          <w:p w14:paraId="268D7FE9" w14:textId="1CDD29B5" w:rsidR="0031173D" w:rsidRPr="0014515B" w:rsidRDefault="0031173D" w:rsidP="00B0463A">
            <w:pPr>
              <w:pStyle w:val="Tabletext"/>
              <w:rPr>
                <w:b/>
                <w:bCs/>
              </w:rPr>
            </w:pPr>
            <w:r w:rsidRPr="0014515B">
              <w:rPr>
                <w:b/>
                <w:bCs/>
              </w:rPr>
              <w:t>Release from isolation</w:t>
            </w:r>
          </w:p>
        </w:tc>
        <w:tc>
          <w:tcPr>
            <w:tcW w:w="12076" w:type="dxa"/>
          </w:tcPr>
          <w:p w14:paraId="74E32AF9" w14:textId="04EB8EA5" w:rsidR="00B53EFD" w:rsidRPr="0014515B" w:rsidRDefault="00B53EFD" w:rsidP="00B0463A">
            <w:pPr>
              <w:pStyle w:val="Tabletext"/>
            </w:pPr>
            <w:r w:rsidRPr="00403484">
              <w:t>Cases (confirmed and probable) should isolate for at least five days after their first positive specimen collection date and until symptoms resolve.</w:t>
            </w:r>
            <w:r w:rsidRPr="0014515B">
              <w:t xml:space="preserve"> </w:t>
            </w:r>
            <w:r w:rsidRPr="00403484">
              <w:t>A person with COVID-19 should not leave isolation if experiencing the common symptoms of COVID-19: runny nose, sore throat, cough, shortness of breath, fever, chills and/or sweats.</w:t>
            </w:r>
          </w:p>
          <w:p w14:paraId="5F1BACB0" w14:textId="02133F8A" w:rsidR="00684DFB" w:rsidRPr="00403484" w:rsidRDefault="00684DFB" w:rsidP="00BA50B8">
            <w:pPr>
              <w:pStyle w:val="CommentText"/>
              <w:rPr>
                <w:rFonts w:eastAsia="Arial"/>
                <w:b/>
                <w:bCs/>
              </w:rPr>
            </w:pPr>
            <w:r w:rsidRPr="00403484">
              <w:rPr>
                <w:rFonts w:eastAsia="Arial"/>
                <w:b/>
                <w:bCs/>
              </w:rPr>
              <w:t>For residents with COVID-19:</w:t>
            </w:r>
          </w:p>
          <w:p w14:paraId="7FE13107" w14:textId="769F8550" w:rsidR="00377EC7" w:rsidRPr="00403484" w:rsidRDefault="15DBD5DE" w:rsidP="00646DF8">
            <w:pPr>
              <w:pStyle w:val="Tablebullet1"/>
            </w:pPr>
            <w:r w:rsidRPr="6B2561BA">
              <w:lastRenderedPageBreak/>
              <w:t xml:space="preserve">It is strongly recommended that residents should isolate for at least 7 days and until symptoms resolve. Residents should not leave isolation if they are experiencing the common symptoms of COVID-19: runny nose, sore throat, cough, shortness of breath, fever, </w:t>
            </w:r>
            <w:r w:rsidR="42478563" w:rsidRPr="6B2561BA">
              <w:t>chills,</w:t>
            </w:r>
            <w:r w:rsidRPr="6B2561BA">
              <w:t xml:space="preserve"> or sweats. </w:t>
            </w:r>
            <w:r w:rsidRPr="6B2561BA">
              <w:rPr>
                <w:rFonts w:cs="Arial"/>
                <w:color w:val="011A3C"/>
              </w:rPr>
              <w:t>People may be infectious for up to 10 days after testing positive, and sometimes longer.</w:t>
            </w:r>
          </w:p>
          <w:p w14:paraId="7D22D446" w14:textId="5B1FAC6C" w:rsidR="00377EC7" w:rsidRPr="0014515B" w:rsidRDefault="00377EC7" w:rsidP="00646DF8">
            <w:pPr>
              <w:pStyle w:val="Tablebullet1"/>
              <w:rPr>
                <w:szCs w:val="21"/>
              </w:rPr>
            </w:pPr>
            <w:r w:rsidRPr="0014515B">
              <w:t xml:space="preserve">If they have ongoing symptoms or are severely </w:t>
            </w:r>
            <w:r w:rsidR="00E0396B" w:rsidRPr="0014515B">
              <w:t>immunocompromised,</w:t>
            </w:r>
            <w:r w:rsidRPr="0014515B">
              <w:t xml:space="preserve"> they should seek advice from the medical practitioner or LPHU before leaving isolation.</w:t>
            </w:r>
          </w:p>
          <w:p w14:paraId="3C366FA6" w14:textId="67E1C3C1" w:rsidR="00377EC7" w:rsidRPr="0014515B" w:rsidRDefault="00377EC7" w:rsidP="00646DF8">
            <w:pPr>
              <w:pStyle w:val="Tablebullet1"/>
              <w:rPr>
                <w:szCs w:val="21"/>
              </w:rPr>
            </w:pPr>
            <w:r w:rsidRPr="00403484">
              <w:rPr>
                <w:szCs w:val="21"/>
              </w:rPr>
              <w:t>They should wear masks for at least 7 days after the positive test when they are needing to leave home, and they are indoors or unable to physically distance.</w:t>
            </w:r>
          </w:p>
          <w:p w14:paraId="192AEE26" w14:textId="6B80AF59" w:rsidR="005B6A96" w:rsidRPr="00B0463A" w:rsidRDefault="15DBD5DE" w:rsidP="00646DF8">
            <w:pPr>
              <w:pStyle w:val="Tablebullet1"/>
            </w:pPr>
            <w:r>
              <w:t xml:space="preserve">A negative </w:t>
            </w:r>
            <w:r w:rsidR="6A71CB40">
              <w:t>RAT</w:t>
            </w:r>
            <w:r>
              <w:t xml:space="preserve"> result is a helpful tool to determine if a case is likely to be no longer infectious. Additional testing to determine release from isolation may be considered for those severely unwell in hospital or </w:t>
            </w:r>
            <w:r w:rsidR="00D531F0">
              <w:t>RCFs</w:t>
            </w:r>
            <w:r>
              <w:t xml:space="preserve">, or those with severe immunocompromise, and may also be considered for other cases in residential care settings with residents at </w:t>
            </w:r>
            <w:bookmarkStart w:id="1330" w:name="_Int_tIHLMCHV"/>
            <w:r>
              <w:t>high risk</w:t>
            </w:r>
            <w:bookmarkEnd w:id="1330"/>
            <w:r>
              <w:t xml:space="preserve"> from COVID-19 infection, depending on the risk assessment of the situation.</w:t>
            </w:r>
          </w:p>
          <w:p w14:paraId="77BB7904" w14:textId="0A5DE6F1" w:rsidR="00383CB5" w:rsidRPr="00383CB5" w:rsidRDefault="00383CB5" w:rsidP="00B0463A">
            <w:pPr>
              <w:pStyle w:val="Bodyafterbullets"/>
              <w:rPr>
                <w:b/>
                <w:bCs/>
              </w:rPr>
            </w:pPr>
            <w:r w:rsidRPr="00B0463A">
              <w:rPr>
                <w:b/>
                <w:bCs/>
              </w:rPr>
              <w:t>Workers who are confirmed cases.</w:t>
            </w:r>
          </w:p>
          <w:p w14:paraId="222059B7" w14:textId="75EC4A4E" w:rsidR="00383CB5" w:rsidRPr="00C054AB" w:rsidRDefault="00C054AB" w:rsidP="00B0463A">
            <w:pPr>
              <w:pStyle w:val="Tabletext"/>
            </w:pPr>
            <w:r w:rsidRPr="00C054AB">
              <w:t xml:space="preserve">Facilities </w:t>
            </w:r>
            <w:r w:rsidR="00383CB5" w:rsidRPr="00C054AB">
              <w:t>should have a requirement that workers who are confirmed COVID-19 cases do not attend the workplace for a minimum of 5 days (return on day 6) following the onset of symptoms (or date of the first positive test if asymptomatic) and until the resolution of acute symptoms.</w:t>
            </w:r>
          </w:p>
          <w:p w14:paraId="014BAEC0" w14:textId="5BCC109A" w:rsidR="00383CB5" w:rsidRPr="00C054AB" w:rsidRDefault="00383CB5" w:rsidP="00B0463A">
            <w:pPr>
              <w:pStyle w:val="Tabletext"/>
            </w:pPr>
            <w:r w:rsidRPr="00C054AB">
              <w:t>On the worker's return, on day 6 and until 10 days following the onset of symptoms (or date of first positive test if asymptomatic), additional mitigations should be required by health services. This includes the worker being required to use a P2/N95 respirator and have separate breakout areas, where possible. Additional RAT testing may also be considered to support decision-making regarding a worker returning to work.</w:t>
            </w:r>
          </w:p>
          <w:p w14:paraId="554EE924" w14:textId="3EA5DAC8" w:rsidR="00383CB5" w:rsidRPr="00C054AB" w:rsidRDefault="00C054AB" w:rsidP="00B0463A">
            <w:pPr>
              <w:pStyle w:val="Tabletext"/>
            </w:pPr>
            <w:r>
              <w:t>Facilities</w:t>
            </w:r>
            <w:r w:rsidR="00383CB5" w:rsidRPr="00C054AB">
              <w:t xml:space="preserve"> can consider allowing an earlier return to work in circumstances where a worker's attendance at work is required to prevent a significant risk to safe service delivery. In these situations, a local risk assessment should be undertaken, and additional mitigations should be in place including the worker:</w:t>
            </w:r>
          </w:p>
          <w:p w14:paraId="3C4BC588" w14:textId="1154D396" w:rsidR="00383CB5" w:rsidRPr="00C054AB" w:rsidRDefault="00383CB5" w:rsidP="00646DF8">
            <w:pPr>
              <w:pStyle w:val="Tablebullet1"/>
            </w:pPr>
            <w:r w:rsidRPr="00C054AB">
              <w:t>wears a P2/N95 respirator</w:t>
            </w:r>
          </w:p>
          <w:p w14:paraId="27A880C2" w14:textId="7E45CEE5" w:rsidR="00383CB5" w:rsidRPr="00C054AB" w:rsidRDefault="00383CB5" w:rsidP="00646DF8">
            <w:pPr>
              <w:pStyle w:val="Tablebullet1"/>
            </w:pPr>
            <w:r w:rsidRPr="00C054AB">
              <w:t>is asymptomatic (or all acute symptoms having resolved)</w:t>
            </w:r>
          </w:p>
          <w:p w14:paraId="3B171D62" w14:textId="571F2A3D" w:rsidR="00383CB5" w:rsidRPr="00C054AB" w:rsidRDefault="00383CB5" w:rsidP="00646DF8">
            <w:pPr>
              <w:pStyle w:val="Tablebullet1"/>
            </w:pPr>
            <w:r w:rsidRPr="00C054AB">
              <w:t>returns a negative COVID-19 RAT</w:t>
            </w:r>
          </w:p>
          <w:p w14:paraId="241FDDEC" w14:textId="61A45A86" w:rsidR="00383CB5" w:rsidRPr="00C054AB" w:rsidRDefault="00383CB5" w:rsidP="00646DF8">
            <w:pPr>
              <w:pStyle w:val="Tablebullet1"/>
            </w:pPr>
            <w:r w:rsidRPr="00C054AB">
              <w:t>uses separate breakout areas.</w:t>
            </w:r>
          </w:p>
          <w:p w14:paraId="5AE821BC" w14:textId="759167C5" w:rsidR="001D62D5" w:rsidRPr="00C054AB" w:rsidRDefault="00383CB5" w:rsidP="00B0463A">
            <w:pPr>
              <w:pStyle w:val="Bodyafterbullets"/>
            </w:pPr>
            <w:r w:rsidRPr="00C054AB">
              <w:t>Staff must never be compelled to return to work when unwell.</w:t>
            </w:r>
          </w:p>
          <w:p w14:paraId="59E0B5A6" w14:textId="6FA4DB7C" w:rsidR="00D95227" w:rsidRPr="0014515B" w:rsidRDefault="00383CB5" w:rsidP="00646DF8">
            <w:pPr>
              <w:pStyle w:val="Tablebullet1"/>
            </w:pPr>
            <w:r>
              <w:t>Workers with</w:t>
            </w:r>
            <w:r w:rsidR="00FF57F6">
              <w:t xml:space="preserve"> </w:t>
            </w:r>
            <w:r w:rsidR="00D95227" w:rsidRPr="0014515B">
              <w:t xml:space="preserve">ongoing symptoms or </w:t>
            </w:r>
            <w:r>
              <w:t xml:space="preserve">who </w:t>
            </w:r>
            <w:r w:rsidR="00D95227" w:rsidRPr="0014515B">
              <w:t xml:space="preserve">are severely </w:t>
            </w:r>
            <w:r w:rsidR="00E0396B" w:rsidRPr="0014515B">
              <w:t>immunocompromised</w:t>
            </w:r>
            <w:r w:rsidR="00D95227" w:rsidRPr="0014515B">
              <w:t xml:space="preserve"> should seek advice from the medical practitioner or LPHU before attending work.</w:t>
            </w:r>
          </w:p>
          <w:p w14:paraId="145DC183" w14:textId="33C2E712" w:rsidR="00D95227" w:rsidRPr="0014515B" w:rsidRDefault="00D95227" w:rsidP="00B0463A">
            <w:pPr>
              <w:pStyle w:val="Tabletext"/>
            </w:pPr>
            <w:r w:rsidRPr="00403484">
              <w:lastRenderedPageBreak/>
              <w:t xml:space="preserve">A negative </w:t>
            </w:r>
            <w:r w:rsidR="00AE2D20">
              <w:t>RAT</w:t>
            </w:r>
            <w:r w:rsidRPr="00403484">
              <w:t xml:space="preserve"> result is a helpful tool to determine if a case is likely to be no longer infectious. Staff who are cases should have a negative RAT prior to returning to work. If positive, the case should stay home and seek advice.</w:t>
            </w:r>
          </w:p>
          <w:p w14:paraId="585779D3" w14:textId="0FBFD43A" w:rsidR="0031173D" w:rsidRPr="0014515B" w:rsidRDefault="00030347" w:rsidP="00B0463A">
            <w:pPr>
              <w:pStyle w:val="Tabletext"/>
            </w:pPr>
            <w:r w:rsidRPr="00B0463A">
              <w:rPr>
                <w:b/>
                <w:bCs/>
              </w:rPr>
              <w:t>Visitors</w:t>
            </w:r>
            <w:r w:rsidRPr="00403484">
              <w:t xml:space="preserve"> who</w:t>
            </w:r>
            <w:r w:rsidR="00C50EEA" w:rsidRPr="00403484">
              <w:t xml:space="preserve"> have had COVID</w:t>
            </w:r>
            <w:r w:rsidR="00F55A86" w:rsidRPr="00403484">
              <w:t>-19</w:t>
            </w:r>
            <w:r w:rsidR="00745F42" w:rsidRPr="00403484">
              <w:t xml:space="preserve"> should avoid</w:t>
            </w:r>
            <w:r w:rsidR="00845890" w:rsidRPr="00403484">
              <w:t xml:space="preserve"> visiting RCFs</w:t>
            </w:r>
            <w:r w:rsidR="00C806DB" w:rsidRPr="00403484">
              <w:t xml:space="preserve"> for at least 7 days</w:t>
            </w:r>
            <w:r w:rsidR="00CD3775" w:rsidRPr="00403484">
              <w:t xml:space="preserve"> </w:t>
            </w:r>
            <w:r w:rsidR="00CD3775" w:rsidRPr="00B0463A">
              <w:t>after</w:t>
            </w:r>
            <w:r w:rsidR="00CD3775" w:rsidRPr="00403484">
              <w:t xml:space="preserve"> the positive test was taken.</w:t>
            </w:r>
            <w:r w:rsidR="00C50EEA" w:rsidRPr="00403484">
              <w:t xml:space="preserve"> </w:t>
            </w:r>
            <w:r w:rsidR="00504338" w:rsidRPr="00403484">
              <w:t xml:space="preserve">They should </w:t>
            </w:r>
            <w:r w:rsidR="002F3CF4" w:rsidRPr="00403484">
              <w:t xml:space="preserve">take a RAT </w:t>
            </w:r>
            <w:r w:rsidR="002D3CEC" w:rsidRPr="00403484">
              <w:t xml:space="preserve">before visiting </w:t>
            </w:r>
            <w:r w:rsidR="00E0396B" w:rsidRPr="00403484">
              <w:t>an</w:t>
            </w:r>
            <w:r w:rsidR="002D3CEC" w:rsidRPr="00403484">
              <w:t xml:space="preserve"> </w:t>
            </w:r>
            <w:r w:rsidR="00E0396B" w:rsidRPr="00403484">
              <w:t>RCF and</w:t>
            </w:r>
            <w:r w:rsidR="002D3CEC" w:rsidRPr="00403484">
              <w:t xml:space="preserve"> </w:t>
            </w:r>
            <w:r w:rsidR="00A27733" w:rsidRPr="00403484">
              <w:t>should not</w:t>
            </w:r>
            <w:r w:rsidR="00214A6A" w:rsidRPr="00403484">
              <w:t xml:space="preserve"> visit </w:t>
            </w:r>
            <w:r w:rsidR="00ED5FE0" w:rsidRPr="00403484">
              <w:t>if the RAT is positive.</w:t>
            </w:r>
          </w:p>
        </w:tc>
      </w:tr>
      <w:tr w:rsidR="0031173D" w:rsidRPr="0014515B" w14:paraId="3A01BC51" w14:textId="77777777" w:rsidTr="007A02BA">
        <w:tc>
          <w:tcPr>
            <w:tcW w:w="2409" w:type="dxa"/>
          </w:tcPr>
          <w:p w14:paraId="4DC0D96F" w14:textId="77777777" w:rsidR="0031173D" w:rsidRPr="0014515B" w:rsidRDefault="0031173D" w:rsidP="00641513">
            <w:pPr>
              <w:pStyle w:val="Tabletext"/>
              <w:rPr>
                <w:b/>
                <w:bCs/>
              </w:rPr>
            </w:pPr>
            <w:r w:rsidRPr="0014515B">
              <w:rPr>
                <w:b/>
                <w:bCs/>
              </w:rPr>
              <w:lastRenderedPageBreak/>
              <w:t>Monitor outbreak progress</w:t>
            </w:r>
          </w:p>
        </w:tc>
        <w:tc>
          <w:tcPr>
            <w:tcW w:w="12076" w:type="dxa"/>
          </w:tcPr>
          <w:p w14:paraId="7A6258BA" w14:textId="77777777" w:rsidR="0031173D" w:rsidRPr="0014515B" w:rsidRDefault="0031173D" w:rsidP="00641513">
            <w:pPr>
              <w:pStyle w:val="Tabletext"/>
            </w:pPr>
            <w:r w:rsidRPr="00641513">
              <w:t xml:space="preserve">After the initial notification, the LPHU will maintain communication with the RCF by arrangement. This may </w:t>
            </w:r>
            <w:r w:rsidRPr="0014515B">
              <w:t xml:space="preserve">include daily check-in if required, or less frequent contact as deemed appropriate by the LPHU. </w:t>
            </w:r>
          </w:p>
          <w:p w14:paraId="29F2DCDF" w14:textId="77777777" w:rsidR="0031173D" w:rsidRPr="0014515B" w:rsidRDefault="0031173D" w:rsidP="00641513">
            <w:pPr>
              <w:pStyle w:val="Tabletext"/>
            </w:pPr>
            <w:r w:rsidRPr="0014515B">
              <w:t>LPHUs may choose to offer an onsite assessment of a RCF to support infection control measures and ensure an adequate outbreak response is underway.</w:t>
            </w:r>
          </w:p>
          <w:p w14:paraId="65100FE1" w14:textId="7931A3E3" w:rsidR="0031173D" w:rsidRPr="00641513" w:rsidRDefault="0031173D" w:rsidP="00646DF8">
            <w:pPr>
              <w:pStyle w:val="Tablebullet1"/>
            </w:pPr>
            <w:r w:rsidRPr="00641513">
              <w:t>Update case lists each shift/daily</w:t>
            </w:r>
            <w:r w:rsidR="00641513">
              <w:t>.</w:t>
            </w:r>
          </w:p>
          <w:p w14:paraId="343E25C6" w14:textId="00693A2C" w:rsidR="0031173D" w:rsidRPr="00641513" w:rsidRDefault="0031173D" w:rsidP="00646DF8">
            <w:pPr>
              <w:pStyle w:val="Tablebullet1"/>
            </w:pPr>
            <w:r w:rsidRPr="00641513">
              <w:t>Once the outbreak is notified, a case-list of ill residents/staff should be provided to the LPHU on the same day of notification</w:t>
            </w:r>
            <w:r w:rsidR="00641513">
              <w:t>.</w:t>
            </w:r>
          </w:p>
          <w:p w14:paraId="4F3BDA25" w14:textId="5FE96374" w:rsidR="0031173D" w:rsidRPr="00641513" w:rsidRDefault="0031173D" w:rsidP="00646DF8">
            <w:pPr>
              <w:pStyle w:val="Tablebullet1"/>
            </w:pPr>
            <w:r w:rsidRPr="00641513">
              <w:t>Update the case-list daily</w:t>
            </w:r>
            <w:r w:rsidR="00641513">
              <w:t>.</w:t>
            </w:r>
          </w:p>
          <w:p w14:paraId="462CA6A4" w14:textId="17993F32" w:rsidR="0031173D" w:rsidRPr="0014515B" w:rsidRDefault="0031173D" w:rsidP="00646DF8">
            <w:pPr>
              <w:pStyle w:val="Tablebullet1"/>
            </w:pPr>
            <w:r w:rsidRPr="00641513">
              <w:t>Send a copy to the LPHU twice weekly, ensuring all relevant details are captured</w:t>
            </w:r>
            <w:r w:rsidR="00641513">
              <w:t>.</w:t>
            </w:r>
          </w:p>
        </w:tc>
      </w:tr>
      <w:tr w:rsidR="0031173D" w:rsidRPr="0014515B" w14:paraId="77663F32" w14:textId="77777777" w:rsidTr="007A02BA">
        <w:tc>
          <w:tcPr>
            <w:tcW w:w="2409" w:type="dxa"/>
          </w:tcPr>
          <w:p w14:paraId="6FA247FD" w14:textId="77777777" w:rsidR="0031173D" w:rsidRPr="0014515B" w:rsidRDefault="0031173D" w:rsidP="00641513">
            <w:pPr>
              <w:pStyle w:val="Tabletext"/>
              <w:rPr>
                <w:b/>
                <w:bCs/>
              </w:rPr>
            </w:pPr>
            <w:r w:rsidRPr="0014515B">
              <w:rPr>
                <w:b/>
                <w:bCs/>
              </w:rPr>
              <w:t>Escalation criteria</w:t>
            </w:r>
          </w:p>
        </w:tc>
        <w:tc>
          <w:tcPr>
            <w:tcW w:w="12076" w:type="dxa"/>
          </w:tcPr>
          <w:p w14:paraId="3FB0A993" w14:textId="77777777" w:rsidR="0031173D" w:rsidRPr="0014515B" w:rsidRDefault="0031173D" w:rsidP="00641513">
            <w:pPr>
              <w:pStyle w:val="Tabletext"/>
              <w:rPr>
                <w:lang w:val="en-US"/>
              </w:rPr>
            </w:pPr>
            <w:r w:rsidRPr="0014515B">
              <w:t xml:space="preserve">If any deaths occur during an outbreak, the LPHU must be notified within 24 hours. Hospitalisation of residents should be noted on the case list and sent to the LPHU twice weekly. </w:t>
            </w:r>
          </w:p>
        </w:tc>
      </w:tr>
      <w:tr w:rsidR="0031173D" w:rsidRPr="0014515B" w14:paraId="2279B5C9" w14:textId="77777777" w:rsidTr="007A02BA">
        <w:tc>
          <w:tcPr>
            <w:tcW w:w="2409" w:type="dxa"/>
          </w:tcPr>
          <w:p w14:paraId="2893565B" w14:textId="77777777" w:rsidR="0031173D" w:rsidRPr="0014515B" w:rsidRDefault="0031173D" w:rsidP="00641513">
            <w:pPr>
              <w:pStyle w:val="Tabletext"/>
              <w:rPr>
                <w:b/>
                <w:bCs/>
              </w:rPr>
            </w:pPr>
            <w:r w:rsidRPr="0014515B">
              <w:rPr>
                <w:b/>
                <w:bCs/>
              </w:rPr>
              <w:t>Communicate and notify through internal pathways as per the OMP and communication plan</w:t>
            </w:r>
          </w:p>
        </w:tc>
        <w:tc>
          <w:tcPr>
            <w:tcW w:w="12076" w:type="dxa"/>
          </w:tcPr>
          <w:p w14:paraId="376497D5" w14:textId="5A126193" w:rsidR="0031173D" w:rsidRPr="00641513" w:rsidRDefault="6DEC1D6D" w:rsidP="00641513">
            <w:pPr>
              <w:pStyle w:val="Tabletext"/>
            </w:pPr>
            <w:r w:rsidRPr="00641513">
              <w:t xml:space="preserve">Staff, residents, </w:t>
            </w:r>
            <w:r w:rsidR="5717D61C" w:rsidRPr="00641513">
              <w:t>families,</w:t>
            </w:r>
            <w:r w:rsidRPr="00641513">
              <w:t xml:space="preserve"> and others as required (</w:t>
            </w:r>
            <w:r w:rsidR="00B81AA8" w:rsidRPr="00641513">
              <w:t>for example</w:t>
            </w:r>
            <w:r w:rsidRPr="00641513">
              <w:t>, other nominated next of kin for residents, contractors) should remain informed of any updates while the exposure remains active.</w:t>
            </w:r>
          </w:p>
          <w:p w14:paraId="292197C1" w14:textId="77777777" w:rsidR="0031173D" w:rsidRPr="00641513" w:rsidRDefault="0031173D" w:rsidP="00641513">
            <w:pPr>
              <w:pStyle w:val="Tabletext"/>
            </w:pPr>
            <w:r w:rsidRPr="00641513">
              <w:t>Further resources:</w:t>
            </w:r>
          </w:p>
          <w:p w14:paraId="6937F332" w14:textId="5F4752EF" w:rsidR="0031173D" w:rsidRPr="00641513" w:rsidRDefault="0031173D" w:rsidP="00646DF8">
            <w:pPr>
              <w:pStyle w:val="Tablebullet1"/>
              <w:rPr>
                <w:u w:val="single"/>
              </w:rPr>
            </w:pPr>
            <w:r w:rsidRPr="005D4402">
              <w:t>Older Persons Advocacy Network</w:t>
            </w:r>
            <w:r w:rsidR="005D4402">
              <w:t>:</w:t>
            </w:r>
            <w:r w:rsidRPr="005D4402">
              <w:t xml:space="preserve"> </w:t>
            </w:r>
            <w:hyperlink r:id="rId65" w:history="1">
              <w:r w:rsidRPr="005D4402">
                <w:rPr>
                  <w:rStyle w:val="Hyperlink"/>
                </w:rPr>
                <w:t xml:space="preserve">COVID-19 </w:t>
              </w:r>
              <w:r w:rsidR="005D4402" w:rsidRPr="005D4402">
                <w:rPr>
                  <w:rStyle w:val="Hyperlink"/>
                </w:rPr>
                <w:t>and visitor access</w:t>
              </w:r>
            </w:hyperlink>
            <w:r w:rsidRPr="00641513">
              <w:t xml:space="preserve"> &lt;</w:t>
            </w:r>
            <w:r w:rsidR="005D4402" w:rsidRPr="005D4402">
              <w:t>https://opan.org.au/information/covid-19-information-and-visitor-access-information/</w:t>
            </w:r>
            <w:r w:rsidRPr="00641513">
              <w:t>&gt;</w:t>
            </w:r>
          </w:p>
        </w:tc>
      </w:tr>
      <w:tr w:rsidR="0031173D" w:rsidRPr="0014515B" w14:paraId="0C3845B1" w14:textId="77777777" w:rsidTr="007A02BA">
        <w:tc>
          <w:tcPr>
            <w:tcW w:w="2409" w:type="dxa"/>
          </w:tcPr>
          <w:p w14:paraId="323F93B9" w14:textId="480F62F9" w:rsidR="0031173D" w:rsidRPr="0014515B" w:rsidRDefault="0031173D" w:rsidP="00641513">
            <w:pPr>
              <w:pStyle w:val="Tabletext"/>
              <w:rPr>
                <w:b/>
                <w:bCs/>
              </w:rPr>
            </w:pPr>
            <w:r w:rsidRPr="0014515B">
              <w:rPr>
                <w:b/>
                <w:bCs/>
              </w:rPr>
              <w:t>Organise urgent access to vaccines for staff/residents who require COVID-19 vaccination</w:t>
            </w:r>
          </w:p>
        </w:tc>
        <w:tc>
          <w:tcPr>
            <w:tcW w:w="12076" w:type="dxa"/>
          </w:tcPr>
          <w:p w14:paraId="0898A2A9" w14:textId="49D46D0E" w:rsidR="004D1DB1" w:rsidRDefault="004D1DB1" w:rsidP="00641513">
            <w:pPr>
              <w:pStyle w:val="Tabletext"/>
            </w:pPr>
            <w:r w:rsidRPr="00051CB4">
              <w:t xml:space="preserve">Follow current advice on vaccination </w:t>
            </w:r>
            <w:r w:rsidR="003D5260" w:rsidRPr="00051CB4">
              <w:t xml:space="preserve">including </w:t>
            </w:r>
            <w:r w:rsidRPr="00051CB4">
              <w:t xml:space="preserve">primary course and boosters and </w:t>
            </w:r>
            <w:r w:rsidR="003D5260" w:rsidRPr="00051CB4">
              <w:t xml:space="preserve">timing of vaccination following </w:t>
            </w:r>
            <w:r w:rsidRPr="00051CB4">
              <w:t xml:space="preserve">COVID-19 infection. </w:t>
            </w:r>
            <w:r w:rsidR="003D5260" w:rsidRPr="00051CB4">
              <w:t xml:space="preserve">See </w:t>
            </w:r>
            <w:hyperlink w:anchor="_Vaccination" w:history="1">
              <w:r w:rsidR="003D5260" w:rsidRPr="005D4402">
                <w:rPr>
                  <w:rStyle w:val="Hyperlink"/>
                </w:rPr>
                <w:t>vaccination</w:t>
              </w:r>
            </w:hyperlink>
            <w:r w:rsidR="003D5260" w:rsidRPr="00051CB4">
              <w:t xml:space="preserve"> for more details</w:t>
            </w:r>
            <w:r w:rsidR="00641513">
              <w:t>.</w:t>
            </w:r>
          </w:p>
          <w:p w14:paraId="0B385C44" w14:textId="352A8D5C" w:rsidR="0031173D" w:rsidRPr="0014515B" w:rsidRDefault="0031173D" w:rsidP="00641513">
            <w:pPr>
              <w:pStyle w:val="Tabletext"/>
            </w:pPr>
            <w:r w:rsidRPr="0014515B">
              <w:t>Boosters can be provided in the event of an outbreak if they can be provided safely on site.</w:t>
            </w:r>
          </w:p>
        </w:tc>
      </w:tr>
      <w:tr w:rsidR="0031173D" w:rsidRPr="0014515B" w14:paraId="187E767A" w14:textId="77777777" w:rsidTr="007A02BA">
        <w:tc>
          <w:tcPr>
            <w:tcW w:w="2409" w:type="dxa"/>
          </w:tcPr>
          <w:p w14:paraId="65D6587D" w14:textId="77777777" w:rsidR="0031173D" w:rsidRPr="0014515B" w:rsidRDefault="0031173D" w:rsidP="00641513">
            <w:pPr>
              <w:pStyle w:val="Tabletext"/>
              <w:rPr>
                <w:b/>
                <w:bCs/>
              </w:rPr>
            </w:pPr>
            <w:r w:rsidRPr="0014515B">
              <w:rPr>
                <w:b/>
                <w:bCs/>
              </w:rPr>
              <w:t>Visitors</w:t>
            </w:r>
          </w:p>
        </w:tc>
        <w:tc>
          <w:tcPr>
            <w:tcW w:w="12076" w:type="dxa"/>
          </w:tcPr>
          <w:p w14:paraId="6B0D8E4C" w14:textId="644AD165" w:rsidR="0031173D" w:rsidRPr="0014515B" w:rsidRDefault="0031173D" w:rsidP="00641513">
            <w:pPr>
              <w:pStyle w:val="Tabletext"/>
            </w:pPr>
            <w:r w:rsidRPr="0014515B">
              <w:t>Visitor access should continue to be facilitated by RCFs, to mitigate the adverse effects of social isolation on residents.</w:t>
            </w:r>
          </w:p>
          <w:p w14:paraId="0218E01E" w14:textId="77777777" w:rsidR="0031173D" w:rsidRPr="0014515B" w:rsidRDefault="0031173D" w:rsidP="00641513">
            <w:pPr>
              <w:pStyle w:val="Tabletext"/>
            </w:pPr>
            <w:r w:rsidRPr="0014515B">
              <w:t>Visitors to the facility must be notified of exposure and potential risk. Visitors should be reminded about safety measures such as:</w:t>
            </w:r>
          </w:p>
          <w:p w14:paraId="0F5A7E99" w14:textId="785A4858" w:rsidR="0031173D" w:rsidRPr="0014515B" w:rsidRDefault="0031173D" w:rsidP="00646DF8">
            <w:pPr>
              <w:pStyle w:val="Tablebullet1"/>
            </w:pPr>
            <w:r w:rsidRPr="0014515B">
              <w:t>hand hygiene</w:t>
            </w:r>
          </w:p>
          <w:p w14:paraId="1DB760B2" w14:textId="32CA584A" w:rsidR="0031173D" w:rsidRPr="0014515B" w:rsidRDefault="0031173D" w:rsidP="00646DF8">
            <w:pPr>
              <w:pStyle w:val="Tablebullet1"/>
            </w:pPr>
            <w:r w:rsidRPr="0014515B">
              <w:lastRenderedPageBreak/>
              <w:t>wearing masks properly (both by directly reminding visitors and indirectly, such as vis signs in the facility reminding visitors of these measures)</w:t>
            </w:r>
          </w:p>
          <w:p w14:paraId="1F053E1E" w14:textId="6B1880F9" w:rsidR="0031173D" w:rsidRPr="0014515B" w:rsidRDefault="0031173D" w:rsidP="00646DF8">
            <w:pPr>
              <w:pStyle w:val="Tablebullet1"/>
            </w:pPr>
            <w:r w:rsidRPr="0014515B">
              <w:t>social distancing should be practiced where possible and appropriate</w:t>
            </w:r>
          </w:p>
          <w:p w14:paraId="272CDA3E" w14:textId="2618C50C" w:rsidR="0031173D" w:rsidRPr="0014515B" w:rsidRDefault="0031173D" w:rsidP="00646DF8">
            <w:pPr>
              <w:pStyle w:val="Tablebullet1"/>
            </w:pPr>
            <w:r w:rsidRPr="0014515B">
              <w:t xml:space="preserve">all visitors to RCFs </w:t>
            </w:r>
            <w:r w:rsidR="00E3294A" w:rsidRPr="00403484">
              <w:t>should</w:t>
            </w:r>
            <w:r w:rsidR="00E3294A" w:rsidRPr="0014515B">
              <w:t xml:space="preserve"> </w:t>
            </w:r>
            <w:r w:rsidRPr="0014515B">
              <w:t>have a negative RAT taken on the same day that they attend the care facility</w:t>
            </w:r>
          </w:p>
          <w:p w14:paraId="7EBD5217" w14:textId="1F4C291D" w:rsidR="0031173D" w:rsidRPr="0014515B" w:rsidRDefault="0031173D" w:rsidP="00646DF8">
            <w:pPr>
              <w:pStyle w:val="Tablebullet1"/>
            </w:pPr>
            <w:r w:rsidRPr="0014515B">
              <w:t>visitors should visit residents in their rooms or private space, preferably in a well-ventilated room or outdoors.</w:t>
            </w:r>
          </w:p>
          <w:p w14:paraId="53F57133" w14:textId="632FF2E6" w:rsidR="0031173D" w:rsidRPr="00641513" w:rsidRDefault="0031173D" w:rsidP="00641513">
            <w:pPr>
              <w:pStyle w:val="Bodyafterbullets"/>
              <w:rPr>
                <w:b/>
                <w:bCs/>
              </w:rPr>
            </w:pPr>
            <w:r w:rsidRPr="00641513">
              <w:rPr>
                <w:b/>
                <w:bCs/>
              </w:rPr>
              <w:t>Visitors to residents with COVID-19</w:t>
            </w:r>
          </w:p>
          <w:p w14:paraId="0A0497BC" w14:textId="008C3C93" w:rsidR="0031173D" w:rsidRPr="00641513" w:rsidRDefault="427790B3" w:rsidP="00641513">
            <w:pPr>
              <w:pStyle w:val="Tabletext"/>
            </w:pPr>
            <w:r w:rsidRPr="00641513">
              <w:t>Residents with COVID-19 should always have access to at least one essential visitor and follow a risk-based approach.</w:t>
            </w:r>
            <w:r w:rsidR="69D7A4AE" w:rsidRPr="00641513">
              <w:t xml:space="preserve"> </w:t>
            </w:r>
            <w:r w:rsidR="41BF77B1" w:rsidRPr="00641513">
              <w:t xml:space="preserve"> </w:t>
            </w:r>
            <w:r w:rsidR="6AD580D9" w:rsidRPr="00641513">
              <w:t xml:space="preserve">This is </w:t>
            </w:r>
            <w:r w:rsidR="6DEC1D6D" w:rsidRPr="00641513">
              <w:t>particularly important in compassionate circumstances such as end-of-life care. The RCF should consult with the LPHU to determine appropriate mitigations to support families, carers</w:t>
            </w:r>
            <w:r w:rsidR="3EAED392" w:rsidRPr="00641513">
              <w:t>,</w:t>
            </w:r>
            <w:r w:rsidR="6DEC1D6D" w:rsidRPr="00641513">
              <w:t xml:space="preserve"> and pastoral supports (emotional and spiritual support) to visit cases.</w:t>
            </w:r>
          </w:p>
          <w:p w14:paraId="7AF2B0E4" w14:textId="7860F023" w:rsidR="0031173D" w:rsidRPr="0014515B" w:rsidRDefault="0031173D" w:rsidP="007E0A47">
            <w:pPr>
              <w:pStyle w:val="Tabletext"/>
            </w:pPr>
            <w:r w:rsidRPr="0014515B">
              <w:t>For further information refer to the following resources:</w:t>
            </w:r>
          </w:p>
          <w:p w14:paraId="4B7915EF" w14:textId="77777777" w:rsidR="009D61D3" w:rsidRPr="00403484" w:rsidRDefault="00000000" w:rsidP="00646DF8">
            <w:pPr>
              <w:pStyle w:val="Tablebullet1"/>
            </w:pPr>
            <w:hyperlink r:id="rId66" w:history="1">
              <w:r w:rsidR="009D61D3" w:rsidRPr="00403484">
                <w:rPr>
                  <w:rStyle w:val="Hyperlink"/>
                </w:rPr>
                <w:t>CDNA National Guidelines for the Prevention, Control and Public Health Management of Outbreaks of Acute Respiratory Infection (including COVID-19 and Influenza) in Residential Care Facilities</w:t>
              </w:r>
            </w:hyperlink>
            <w:r w:rsidR="009D61D3" w:rsidRPr="00403484">
              <w:t xml:space="preserve"> &lt;https://www.health.gov.au/resources/publications/national-guidelines-for-the-prevention-control-and-public-health-management-of-outbreaks-of-acute-respiratory-infection-including-covid-19-and-influenza-in-residential-care-facilities&gt;</w:t>
            </w:r>
          </w:p>
          <w:p w14:paraId="7098C813" w14:textId="64F50000" w:rsidR="0031173D" w:rsidRPr="0014515B" w:rsidRDefault="00000000" w:rsidP="00646DF8">
            <w:pPr>
              <w:pStyle w:val="Tablebullet1"/>
            </w:pPr>
            <w:hyperlink r:id="rId67">
              <w:r w:rsidR="0031173D" w:rsidRPr="0014515B">
                <w:rPr>
                  <w:rStyle w:val="Hyperlink"/>
                  <w:lang w:val="en-US"/>
                </w:rPr>
                <w:t>Coronavirus (COVID-19) – National aged care guidance – aged care visitation guidelines</w:t>
              </w:r>
            </w:hyperlink>
            <w:r w:rsidR="0031173D" w:rsidRPr="0014515B">
              <w:rPr>
                <w:lang w:val="en-US"/>
              </w:rPr>
              <w:t xml:space="preserve"> </w:t>
            </w:r>
            <w:r w:rsidR="0031173D" w:rsidRPr="0014515B">
              <w:t>&lt;https://www.health.gov.au/resources/publications/coronavirus-covid-19-national-aged-care-guidance-aged-care-visitation-guidelines&gt;</w:t>
            </w:r>
          </w:p>
          <w:p w14:paraId="7F4B5C72" w14:textId="037CDDF1" w:rsidR="0031173D" w:rsidRPr="00641513" w:rsidRDefault="00000000" w:rsidP="00646DF8">
            <w:pPr>
              <w:pStyle w:val="Tablebullet1"/>
              <w:rPr>
                <w:u w:val="dotted"/>
              </w:rPr>
            </w:pPr>
            <w:hyperlink r:id="rId68">
              <w:r w:rsidR="0031173D" w:rsidRPr="0014515B">
                <w:rPr>
                  <w:rStyle w:val="Hyperlink"/>
                  <w:lang w:val="en-US"/>
                </w:rPr>
                <w:t>Industry Code for Visiting RAC Homes during COVID-19</w:t>
              </w:r>
            </w:hyperlink>
            <w:r w:rsidR="0031173D" w:rsidRPr="0014515B">
              <w:rPr>
                <w:lang w:val="en-US"/>
              </w:rPr>
              <w:t xml:space="preserve"> </w:t>
            </w:r>
            <w:r w:rsidR="00585732">
              <w:rPr>
                <w:lang w:val="en-US"/>
              </w:rPr>
              <w:t>&lt;</w:t>
            </w:r>
            <w:r w:rsidR="00585732" w:rsidRPr="00E07083">
              <w:t>https://www.cota.org.au/policy/aged-care-reform/agedcarevisitors/</w:t>
            </w:r>
            <w:r w:rsidR="0031173D" w:rsidRPr="00585732">
              <w:t>&gt;</w:t>
            </w:r>
          </w:p>
        </w:tc>
      </w:tr>
      <w:tr w:rsidR="0031173D" w:rsidRPr="0014515B" w14:paraId="3F130B56" w14:textId="77777777" w:rsidTr="007A02BA">
        <w:tc>
          <w:tcPr>
            <w:tcW w:w="2409" w:type="dxa"/>
          </w:tcPr>
          <w:p w14:paraId="4693D334" w14:textId="77777777" w:rsidR="0031173D" w:rsidRPr="0014515B" w:rsidRDefault="0031173D" w:rsidP="00641513">
            <w:pPr>
              <w:pStyle w:val="Tabletext"/>
              <w:rPr>
                <w:b/>
                <w:bCs/>
              </w:rPr>
            </w:pPr>
            <w:r w:rsidRPr="0014515B">
              <w:rPr>
                <w:b/>
                <w:bCs/>
              </w:rPr>
              <w:lastRenderedPageBreak/>
              <w:t>Admissions and transfers</w:t>
            </w:r>
          </w:p>
        </w:tc>
        <w:tc>
          <w:tcPr>
            <w:tcW w:w="12076" w:type="dxa"/>
          </w:tcPr>
          <w:p w14:paraId="0589B66E" w14:textId="77777777" w:rsidR="00A42388" w:rsidRPr="0014515B" w:rsidRDefault="00000000" w:rsidP="00BA50B8">
            <w:pPr>
              <w:pStyle w:val="Bullet1"/>
              <w:numPr>
                <w:ilvl w:val="0"/>
                <w:numId w:val="0"/>
              </w:numPr>
              <w:spacing w:after="80"/>
            </w:pPr>
            <w:hyperlink r:id="rId69" w:history="1">
              <w:r w:rsidR="00A42388" w:rsidRPr="00403484">
                <w:rPr>
                  <w:rStyle w:val="Hyperlink"/>
                </w:rPr>
                <w:t>CDNA National Guidelines for the Prevention, Control and Public Health Management of Outbreaks of Acute Respiratory Infection (including COVID-19 and Influenza) in Residential Care Facilities</w:t>
              </w:r>
            </w:hyperlink>
            <w:r w:rsidR="00A42388" w:rsidRPr="00403484">
              <w:t xml:space="preserve"> &lt;https://www.health.gov.au/resources/publications/national-guidelines-for-the-prevention-control-and-public-health-management-of-outbreaks-of-acute-respiratory-infection-including-covid-19-and-influenza-in-residential-care-facilities&gt;</w:t>
            </w:r>
          </w:p>
          <w:p w14:paraId="301A442A" w14:textId="46668A6D" w:rsidR="0031173D" w:rsidRPr="0014515B" w:rsidRDefault="0031173D" w:rsidP="007E0A47">
            <w:pPr>
              <w:pStyle w:val="Tabletext"/>
            </w:pPr>
            <w:r w:rsidRPr="0014515B">
              <w:t>describe a risk-based approach to manage admissions and transfers during an outbreak:</w:t>
            </w:r>
          </w:p>
          <w:p w14:paraId="7AB5C3AA" w14:textId="77777777" w:rsidR="0031173D" w:rsidRPr="00F74DF2" w:rsidRDefault="0031173D" w:rsidP="00646DF8">
            <w:pPr>
              <w:pStyle w:val="Tablebullet1"/>
            </w:pPr>
            <w:r w:rsidRPr="00F74DF2">
              <w:t>residents attending medical or procedural appointments</w:t>
            </w:r>
          </w:p>
          <w:p w14:paraId="2A204ABE" w14:textId="77777777" w:rsidR="0031173D" w:rsidRPr="00F74DF2" w:rsidRDefault="0031173D" w:rsidP="00646DF8">
            <w:pPr>
              <w:pStyle w:val="Tablebullet1"/>
            </w:pPr>
            <w:r w:rsidRPr="00F74DF2">
              <w:t>new admissions</w:t>
            </w:r>
          </w:p>
          <w:p w14:paraId="33E029C6" w14:textId="77777777" w:rsidR="0031173D" w:rsidRPr="00F74DF2" w:rsidRDefault="0031173D" w:rsidP="00646DF8">
            <w:pPr>
              <w:pStyle w:val="Tablebullet1"/>
            </w:pPr>
            <w:r w:rsidRPr="00F74DF2">
              <w:t>re-admission of residents confirmed to have COVID-19</w:t>
            </w:r>
          </w:p>
          <w:p w14:paraId="39AF6719" w14:textId="77777777" w:rsidR="0031173D" w:rsidRPr="00F74DF2" w:rsidRDefault="0031173D" w:rsidP="00646DF8">
            <w:pPr>
              <w:pStyle w:val="Tablebullet1"/>
            </w:pPr>
            <w:r w:rsidRPr="00F74DF2">
              <w:t>re-admission of residents without COVID-19</w:t>
            </w:r>
          </w:p>
          <w:p w14:paraId="1912FF94" w14:textId="77777777" w:rsidR="0031173D" w:rsidRPr="00F74DF2" w:rsidRDefault="0031173D" w:rsidP="00646DF8">
            <w:pPr>
              <w:pStyle w:val="Tablebullet1"/>
            </w:pPr>
            <w:r w:rsidRPr="00F74DF2">
              <w:lastRenderedPageBreak/>
              <w:t>moving unaffected residents out of the facility</w:t>
            </w:r>
          </w:p>
          <w:p w14:paraId="08E38DE9" w14:textId="77777777" w:rsidR="0031173D" w:rsidRPr="00F74DF2" w:rsidRDefault="0031173D" w:rsidP="00646DF8">
            <w:pPr>
              <w:pStyle w:val="Tablebullet1"/>
            </w:pPr>
            <w:r w:rsidRPr="00F74DF2">
              <w:t>transfers to hospital.</w:t>
            </w:r>
          </w:p>
          <w:p w14:paraId="794104D5" w14:textId="64040A5F" w:rsidR="0031173D" w:rsidRPr="0014515B" w:rsidRDefault="0031173D" w:rsidP="00403484">
            <w:pPr>
              <w:pStyle w:val="Tabletext"/>
              <w:rPr>
                <w:lang w:val="en-US"/>
              </w:rPr>
            </w:pPr>
            <w:r w:rsidRPr="0014515B">
              <w:t>The risk assessment undertaken by the LPHU will also assist in guiding this risk-based approach.</w:t>
            </w:r>
          </w:p>
        </w:tc>
      </w:tr>
      <w:tr w:rsidR="0031173D" w:rsidRPr="0014515B" w14:paraId="71C842FA" w14:textId="77777777" w:rsidTr="007A02BA">
        <w:tc>
          <w:tcPr>
            <w:tcW w:w="2409" w:type="dxa"/>
          </w:tcPr>
          <w:p w14:paraId="58A6C047" w14:textId="77777777" w:rsidR="0031173D" w:rsidRPr="0014515B" w:rsidRDefault="0031173D" w:rsidP="00641513">
            <w:pPr>
              <w:pStyle w:val="Tabletext"/>
              <w:rPr>
                <w:b/>
                <w:bCs/>
              </w:rPr>
            </w:pPr>
            <w:r w:rsidRPr="0014515B">
              <w:rPr>
                <w:b/>
                <w:bCs/>
              </w:rPr>
              <w:lastRenderedPageBreak/>
              <w:t>Cleaning</w:t>
            </w:r>
          </w:p>
        </w:tc>
        <w:tc>
          <w:tcPr>
            <w:tcW w:w="12076" w:type="dxa"/>
          </w:tcPr>
          <w:p w14:paraId="102B3C10" w14:textId="68AE55C6" w:rsidR="0031173D" w:rsidRPr="0014515B" w:rsidRDefault="058F3C30" w:rsidP="00456928">
            <w:pPr>
              <w:pStyle w:val="Tabletext"/>
              <w:rPr>
                <w:lang w:val="en-US"/>
              </w:rPr>
            </w:pPr>
            <w:r w:rsidRPr="6B2561BA">
              <w:rPr>
                <w:lang w:val="en-US"/>
              </w:rPr>
              <w:t>A deep clean is no longer routinely required, but the LPHU will advise of any additional cleaning requirements required to manage an outbreak case-by-case.</w:t>
            </w:r>
          </w:p>
          <w:p w14:paraId="65ABE43D" w14:textId="031D7BAE" w:rsidR="0031173D" w:rsidRPr="0014515B" w:rsidRDefault="0031173D" w:rsidP="00456928">
            <w:pPr>
              <w:pStyle w:val="Tabletext"/>
            </w:pPr>
            <w:r w:rsidRPr="0014515B">
              <w:t>Review cleaning schedules to ensure cleaning of high (frequently) touched surfaces in communal areas is occurring twice daily. High-touch points in communal spaces such as kitchens and staffrooms, should be included in a cleaning schedule. These are areas where staff take off their masks</w:t>
            </w:r>
            <w:r w:rsidR="00D32ECA" w:rsidRPr="0014515B">
              <w:t xml:space="preserve"> </w:t>
            </w:r>
            <w:r w:rsidR="00D32ECA" w:rsidRPr="00403484">
              <w:t>(when worn)</w:t>
            </w:r>
            <w:r w:rsidRPr="0014515B">
              <w:t xml:space="preserve"> and network with their colleagues.</w:t>
            </w:r>
          </w:p>
          <w:p w14:paraId="3338021E" w14:textId="3CC94FB1" w:rsidR="0031173D" w:rsidRPr="0014515B" w:rsidRDefault="6DEC1D6D" w:rsidP="00456928">
            <w:pPr>
              <w:pStyle w:val="Tabletext"/>
            </w:pPr>
            <w:r w:rsidRPr="6B2561BA">
              <w:rPr>
                <w:lang w:val="en-US"/>
              </w:rPr>
              <w:t xml:space="preserve">High-touch surfaces </w:t>
            </w:r>
            <w:r w:rsidR="69CC6B5A" w:rsidRPr="6B2561BA">
              <w:rPr>
                <w:lang w:val="en-US"/>
              </w:rPr>
              <w:t>include</w:t>
            </w:r>
            <w:r w:rsidR="1A7389D3" w:rsidRPr="6B2561BA">
              <w:rPr>
                <w:lang w:val="en-US"/>
              </w:rPr>
              <w:t xml:space="preserve"> </w:t>
            </w:r>
            <w:r>
              <w:t>equipment</w:t>
            </w:r>
            <w:r w:rsidR="1A7389D3">
              <w:t xml:space="preserve">, </w:t>
            </w:r>
            <w:r>
              <w:t>door handles</w:t>
            </w:r>
            <w:r w:rsidR="1A7389D3">
              <w:t xml:space="preserve">, </w:t>
            </w:r>
            <w:r>
              <w:t>trays</w:t>
            </w:r>
            <w:r w:rsidR="1A7389D3">
              <w:t xml:space="preserve">, </w:t>
            </w:r>
            <w:r>
              <w:t>tables</w:t>
            </w:r>
            <w:r w:rsidR="1A7389D3">
              <w:t xml:space="preserve">, </w:t>
            </w:r>
            <w:r>
              <w:t>handrails</w:t>
            </w:r>
            <w:r w:rsidR="1A7389D3">
              <w:t xml:space="preserve">, </w:t>
            </w:r>
            <w:r>
              <w:t>chair arms</w:t>
            </w:r>
            <w:r w:rsidR="1A7389D3">
              <w:t xml:space="preserve">, </w:t>
            </w:r>
            <w:r>
              <w:t>light switches</w:t>
            </w:r>
            <w:r w:rsidR="1A7389D3">
              <w:t xml:space="preserve">, </w:t>
            </w:r>
            <w:r>
              <w:t>patient care equipment (for example, commodes, lifter slings).</w:t>
            </w:r>
          </w:p>
          <w:p w14:paraId="1FEAB61B" w14:textId="5573BBA5" w:rsidR="0031173D" w:rsidRPr="0014515B" w:rsidRDefault="6DEC1D6D" w:rsidP="00456928">
            <w:pPr>
              <w:pStyle w:val="Tabletext"/>
              <w:rPr>
                <w:lang w:val="en-US"/>
              </w:rPr>
            </w:pPr>
            <w:r w:rsidRPr="6B2561BA">
              <w:rPr>
                <w:lang w:val="en-US"/>
              </w:rPr>
              <w:t xml:space="preserve">Facilities should increase the number of sites for hand sanitizer and ensure that one is available </w:t>
            </w:r>
            <w:bookmarkStart w:id="1331" w:name="_Int_bqd9ZMnf"/>
            <w:r w:rsidRPr="6B2561BA">
              <w:rPr>
                <w:lang w:val="en-US"/>
              </w:rPr>
              <w:t>at</w:t>
            </w:r>
            <w:bookmarkEnd w:id="1331"/>
            <w:r w:rsidRPr="6B2561BA">
              <w:rPr>
                <w:lang w:val="en-US"/>
              </w:rPr>
              <w:t xml:space="preserve"> each bed space.</w:t>
            </w:r>
          </w:p>
          <w:p w14:paraId="0A58E29C" w14:textId="77777777" w:rsidR="0031173D" w:rsidRPr="0014515B" w:rsidRDefault="0031173D" w:rsidP="00456928">
            <w:pPr>
              <w:pStyle w:val="Tabletext"/>
              <w:rPr>
                <w:lang w:val="en-US"/>
              </w:rPr>
            </w:pPr>
            <w:r w:rsidRPr="0014515B">
              <w:rPr>
                <w:lang w:val="en-US"/>
              </w:rPr>
              <w:t xml:space="preserve">Detailed information on environmental cleaning and disinfection is in </w:t>
            </w:r>
            <w:hyperlink r:id="rId70">
              <w:r w:rsidRPr="0014515B">
                <w:rPr>
                  <w:rStyle w:val="Hyperlink"/>
                  <w:lang w:val="en-US"/>
                </w:rPr>
                <w:t>COVID-19 Environmental cleaning and disinfection principles for health and residential care facilities</w:t>
              </w:r>
            </w:hyperlink>
            <w:r w:rsidRPr="0014515B">
              <w:rPr>
                <w:lang w:val="en-US"/>
              </w:rPr>
              <w:t xml:space="preserve"> &lt;https://www.health.gov.au/resources/publications/coronavirus-covid-19-environmental-cleaning-and-disinfection-principles-for-health-and-residential-care-facilities&gt;.</w:t>
            </w:r>
          </w:p>
          <w:p w14:paraId="0EFA2203" w14:textId="75BD5547" w:rsidR="0031173D" w:rsidRPr="0014515B" w:rsidRDefault="6DEC1D6D" w:rsidP="00456928">
            <w:pPr>
              <w:pStyle w:val="Tabletext"/>
            </w:pPr>
            <w:r w:rsidRPr="6B2561BA">
              <w:rPr>
                <w:lang w:val="en-US"/>
              </w:rPr>
              <w:t xml:space="preserve">Disinfectants registered with the TGA as effective against the virus (SARS-CoV-2) are listed at </w:t>
            </w:r>
            <w:hyperlink r:id="rId71">
              <w:r w:rsidRPr="6B2561BA">
                <w:rPr>
                  <w:rStyle w:val="Hyperlink"/>
                </w:rPr>
                <w:t xml:space="preserve">Disinfectants for use against COVID-19 in the </w:t>
              </w:r>
            </w:hyperlink>
            <w:bookmarkStart w:id="1332" w:name="_Int_jtd6P0Rz"/>
            <w:r w:rsidRPr="6B2561BA">
              <w:rPr>
                <w:rStyle w:val="Hyperlink"/>
              </w:rPr>
              <w:t>ARTG</w:t>
            </w:r>
            <w:bookmarkEnd w:id="1332"/>
            <w:r w:rsidRPr="6B2561BA">
              <w:rPr>
                <w:rStyle w:val="Hyperlink"/>
              </w:rPr>
              <w:t xml:space="preserve"> for legal supply in Australia</w:t>
            </w:r>
            <w:r>
              <w:t xml:space="preserve"> &lt;</w:t>
            </w:r>
            <w:r w:rsidR="005D4402" w:rsidRPr="005D4402">
              <w:t>https://www.tga.gov.au/products/covid-19/covid-19-personal-protection-products/disinfectants-use-against-covid-19-artg-legal-supply-australia</w:t>
            </w:r>
            <w:r>
              <w:t>&gt;.</w:t>
            </w:r>
          </w:p>
          <w:p w14:paraId="2CF78E6E" w14:textId="77777777" w:rsidR="0031173D" w:rsidRPr="0014515B" w:rsidRDefault="0031173D" w:rsidP="00456928">
            <w:pPr>
              <w:pStyle w:val="Tabletext"/>
              <w:rPr>
                <w:lang w:val="en-US"/>
              </w:rPr>
            </w:pPr>
            <w:r w:rsidRPr="0014515B">
              <w:rPr>
                <w:lang w:val="en-US"/>
              </w:rPr>
              <w:t>Additional requirements for cleaning include:</w:t>
            </w:r>
          </w:p>
          <w:p w14:paraId="301FD46C" w14:textId="77777777" w:rsidR="0031173D" w:rsidRPr="00456928" w:rsidRDefault="0031173D" w:rsidP="00646DF8">
            <w:pPr>
              <w:pStyle w:val="Tablebullet1"/>
            </w:pPr>
            <w:r w:rsidRPr="00456928">
              <w:t>a system to clean and disinfect reusable PPE and shared equipment</w:t>
            </w:r>
          </w:p>
          <w:p w14:paraId="5025117E" w14:textId="77777777" w:rsidR="0031173D" w:rsidRPr="00456928" w:rsidRDefault="0031173D" w:rsidP="00646DF8">
            <w:pPr>
              <w:pStyle w:val="Tablebullet1"/>
            </w:pPr>
            <w:r w:rsidRPr="00456928">
              <w:t>an increase in the number of cleaning staff to:</w:t>
            </w:r>
          </w:p>
          <w:p w14:paraId="391CFBF2" w14:textId="53DD759B" w:rsidR="0031173D" w:rsidRPr="00456928" w:rsidRDefault="0031173D" w:rsidP="00E612B4">
            <w:pPr>
              <w:pStyle w:val="Tablebullet2"/>
            </w:pPr>
            <w:r w:rsidRPr="00456928">
              <w:t>support enhanced cleaning schedules</w:t>
            </w:r>
          </w:p>
          <w:p w14:paraId="27FA3F58" w14:textId="71F5A7A2" w:rsidR="0031173D" w:rsidRPr="00456928" w:rsidRDefault="0031173D" w:rsidP="00E612B4">
            <w:pPr>
              <w:pStyle w:val="Tablebullet2"/>
            </w:pPr>
            <w:r w:rsidRPr="00456928">
              <w:t>provide daily cleaning and disinfection of individuals’ rooms and communal areas.</w:t>
            </w:r>
          </w:p>
          <w:p w14:paraId="465CD0EF" w14:textId="69783A5D" w:rsidR="0031173D" w:rsidRPr="0014515B" w:rsidRDefault="0031173D" w:rsidP="007E0A47">
            <w:pPr>
              <w:pStyle w:val="Tabletext"/>
              <w:rPr>
                <w:lang w:val="en-US"/>
              </w:rPr>
            </w:pPr>
            <w:r w:rsidRPr="0014515B">
              <w:t xml:space="preserve">For further information please refer to: </w:t>
            </w:r>
            <w:hyperlink r:id="rId72" w:history="1">
              <w:r w:rsidR="00E07083" w:rsidRPr="00E07083">
                <w:rPr>
                  <w:rStyle w:val="Hyperlink"/>
                </w:rPr>
                <w:t xml:space="preserve">Standard and </w:t>
              </w:r>
              <w:r w:rsidR="005D4402">
                <w:rPr>
                  <w:rStyle w:val="Hyperlink"/>
                </w:rPr>
                <w:t>t</w:t>
              </w:r>
              <w:r w:rsidR="00E07083" w:rsidRPr="00E07083">
                <w:rPr>
                  <w:rStyle w:val="Hyperlink"/>
                </w:rPr>
                <w:t>ransmission-based precautions</w:t>
              </w:r>
            </w:hyperlink>
            <w:r w:rsidR="00E07083">
              <w:t xml:space="preserve"> </w:t>
            </w:r>
            <w:r w:rsidRPr="0014515B">
              <w:t>&lt;</w:t>
            </w:r>
            <w:r w:rsidR="00E07083" w:rsidRPr="00E07083">
              <w:t>https://www.health.vic.gov.au/covid-19-infection-prevention-control-guidelines/standard-and-transmission-based-precautions</w:t>
            </w:r>
            <w:r w:rsidRPr="0014515B">
              <w:t>&gt;.</w:t>
            </w:r>
          </w:p>
        </w:tc>
      </w:tr>
      <w:tr w:rsidR="0031173D" w:rsidRPr="0014515B" w14:paraId="5C7BDFC8" w14:textId="77777777" w:rsidTr="007A02BA">
        <w:tc>
          <w:tcPr>
            <w:tcW w:w="2409" w:type="dxa"/>
          </w:tcPr>
          <w:p w14:paraId="66B80849" w14:textId="42D3CC16" w:rsidR="0031173D" w:rsidRPr="0014515B" w:rsidRDefault="0031173D" w:rsidP="00641513">
            <w:pPr>
              <w:pStyle w:val="Tabletext"/>
              <w:rPr>
                <w:b/>
                <w:bCs/>
              </w:rPr>
            </w:pPr>
            <w:r w:rsidRPr="0014515B">
              <w:rPr>
                <w:b/>
                <w:bCs/>
              </w:rPr>
              <w:t xml:space="preserve">Ventilation strategies to reduce COVID-19 transmission in </w:t>
            </w:r>
            <w:r w:rsidR="00D531F0">
              <w:rPr>
                <w:b/>
                <w:bCs/>
              </w:rPr>
              <w:t>RCFs</w:t>
            </w:r>
          </w:p>
        </w:tc>
        <w:tc>
          <w:tcPr>
            <w:tcW w:w="12076" w:type="dxa"/>
          </w:tcPr>
          <w:p w14:paraId="3D22D74C" w14:textId="77777777" w:rsidR="0031173D" w:rsidRPr="0014515B" w:rsidRDefault="0031173D" w:rsidP="002374F0">
            <w:pPr>
              <w:pStyle w:val="Tabletext"/>
              <w:rPr>
                <w:lang w:val="en-US"/>
              </w:rPr>
            </w:pPr>
            <w:r w:rsidRPr="0014515B">
              <w:rPr>
                <w:lang w:val="en-US"/>
              </w:rPr>
              <w:t>Staff can implement ventilation strategies where appropriate, including opening windows and conducting activities outdoors.</w:t>
            </w:r>
          </w:p>
          <w:p w14:paraId="7CAA6555" w14:textId="2BC990B8" w:rsidR="0031173D" w:rsidRPr="0014515B" w:rsidRDefault="6DEC1D6D" w:rsidP="002374F0">
            <w:pPr>
              <w:pStyle w:val="Tabletext"/>
              <w:rPr>
                <w:lang w:val="en-US"/>
              </w:rPr>
            </w:pPr>
            <w:r w:rsidRPr="6B2561BA">
              <w:rPr>
                <w:lang w:val="en-US"/>
              </w:rPr>
              <w:t xml:space="preserve">Optimal ventilation via heating, </w:t>
            </w:r>
            <w:r w:rsidR="34E44221" w:rsidRPr="6B2561BA">
              <w:rPr>
                <w:lang w:val="en-US"/>
              </w:rPr>
              <w:t>ventilating,</w:t>
            </w:r>
            <w:r w:rsidRPr="6B2561BA">
              <w:rPr>
                <w:lang w:val="en-US"/>
              </w:rPr>
              <w:t xml:space="preserve"> and air-conditioning (HVAC) systems is one of a suite of controls to reduce COVID-19 transmission. These work by removing infectious aerosol particles in enclosed spaces.</w:t>
            </w:r>
          </w:p>
          <w:p w14:paraId="5CAF7076" w14:textId="567C7C36" w:rsidR="0031173D" w:rsidRPr="0014515B" w:rsidRDefault="0031173D" w:rsidP="00AE049E">
            <w:pPr>
              <w:pStyle w:val="Tabletext"/>
              <w:rPr>
                <w:lang w:val="en-US"/>
              </w:rPr>
            </w:pPr>
            <w:r w:rsidRPr="0014515B">
              <w:rPr>
                <w:lang w:val="en-US"/>
              </w:rPr>
              <w:lastRenderedPageBreak/>
              <w:t>For</w:t>
            </w:r>
            <w:r w:rsidR="00AE049E">
              <w:rPr>
                <w:lang w:val="en-US"/>
              </w:rPr>
              <w:t xml:space="preserve"> i</w:t>
            </w:r>
            <w:r w:rsidRPr="0014515B">
              <w:rPr>
                <w:lang w:val="en-US"/>
              </w:rPr>
              <w:t xml:space="preserve">nformation on ventilation refer to </w:t>
            </w:r>
            <w:hyperlink w:anchor="_Air_quality_and" w:history="1">
              <w:r w:rsidR="00840FE4" w:rsidRPr="003A0939">
                <w:rPr>
                  <w:rStyle w:val="Hyperlink"/>
                  <w:lang w:val="en-US"/>
                </w:rPr>
                <w:t>section 2</w:t>
              </w:r>
            </w:hyperlink>
            <w:r w:rsidRPr="0014515B">
              <w:rPr>
                <w:lang w:val="en-US"/>
              </w:rPr>
              <w:t xml:space="preserve"> </w:t>
            </w:r>
            <w:r w:rsidR="000327B4" w:rsidRPr="0014515B">
              <w:rPr>
                <w:lang w:val="en-US"/>
              </w:rPr>
              <w:t>–</w:t>
            </w:r>
            <w:r w:rsidRPr="0014515B">
              <w:rPr>
                <w:lang w:val="en-US"/>
              </w:rPr>
              <w:t xml:space="preserve"> </w:t>
            </w:r>
            <w:r w:rsidR="000327B4" w:rsidRPr="0014515B">
              <w:rPr>
                <w:lang w:val="en-US"/>
              </w:rPr>
              <w:t>air quality and v</w:t>
            </w:r>
            <w:r w:rsidRPr="0014515B">
              <w:rPr>
                <w:lang w:val="en-US"/>
              </w:rPr>
              <w:t>entilation</w:t>
            </w:r>
            <w:r w:rsidR="00AE049E">
              <w:rPr>
                <w:lang w:val="en-US"/>
              </w:rPr>
              <w:t xml:space="preserve">. Further information </w:t>
            </w:r>
            <w:r w:rsidR="00AE049E" w:rsidRPr="0014515B">
              <w:rPr>
                <w:lang w:val="en-US"/>
              </w:rPr>
              <w:t>on ventilation strategies that are recommended to reduce the risk of COVID-19 aerosol transmission</w:t>
            </w:r>
            <w:r w:rsidR="00AE049E">
              <w:rPr>
                <w:lang w:val="en-US"/>
              </w:rPr>
              <w:t xml:space="preserve"> can be found in the department’s </w:t>
            </w:r>
            <w:hyperlink r:id="rId73" w:history="1">
              <w:r w:rsidR="005D4402" w:rsidRPr="00AE049E">
                <w:rPr>
                  <w:rStyle w:val="Hyperlink"/>
                  <w:lang w:val="en-US"/>
                </w:rPr>
                <w:t>COVID-19 Infection Prevention and Control Guidelines</w:t>
              </w:r>
            </w:hyperlink>
            <w:r w:rsidR="005D4402">
              <w:rPr>
                <w:lang w:val="en-US"/>
              </w:rPr>
              <w:t xml:space="preserve"> </w:t>
            </w:r>
            <w:r w:rsidRPr="0014515B">
              <w:rPr>
                <w:lang w:val="en-US"/>
              </w:rPr>
              <w:t>&lt;</w:t>
            </w:r>
            <w:r w:rsidR="005D4402" w:rsidRPr="005D4402">
              <w:t>https://www.health.vic.gov.au/covid-19-infection-prevention-control-guidelines</w:t>
            </w:r>
            <w:r w:rsidRPr="0014515B">
              <w:rPr>
                <w:lang w:val="en-US"/>
              </w:rPr>
              <w:t>&gt;.</w:t>
            </w:r>
          </w:p>
          <w:p w14:paraId="517A50D5" w14:textId="011C1608" w:rsidR="0031173D" w:rsidRPr="0014515B" w:rsidRDefault="0031173D" w:rsidP="002374F0">
            <w:pPr>
              <w:pStyle w:val="Tabletext"/>
              <w:rPr>
                <w:lang w:val="en-US"/>
              </w:rPr>
            </w:pPr>
            <w:r w:rsidRPr="0014515B">
              <w:rPr>
                <w:lang w:val="en-US"/>
              </w:rPr>
              <w:t>These strategies should be implemented in consultation with an occupational physician or ventilation professional.</w:t>
            </w:r>
          </w:p>
        </w:tc>
      </w:tr>
      <w:tr w:rsidR="0031173D" w:rsidRPr="0014515B" w14:paraId="1DCD8873" w14:textId="77777777" w:rsidTr="007A02BA">
        <w:tc>
          <w:tcPr>
            <w:tcW w:w="2409" w:type="dxa"/>
          </w:tcPr>
          <w:p w14:paraId="1744E4C9" w14:textId="77777777" w:rsidR="0031173D" w:rsidRPr="0014515B" w:rsidRDefault="0031173D" w:rsidP="00641513">
            <w:pPr>
              <w:pStyle w:val="Tabletext"/>
              <w:rPr>
                <w:b/>
                <w:bCs/>
              </w:rPr>
            </w:pPr>
            <w:r w:rsidRPr="0014515B">
              <w:rPr>
                <w:b/>
                <w:bCs/>
              </w:rPr>
              <w:lastRenderedPageBreak/>
              <w:t>Waste management</w:t>
            </w:r>
          </w:p>
        </w:tc>
        <w:tc>
          <w:tcPr>
            <w:tcW w:w="12076" w:type="dxa"/>
          </w:tcPr>
          <w:p w14:paraId="4909A06D" w14:textId="53D94260" w:rsidR="0031173D" w:rsidRPr="0014515B" w:rsidRDefault="6DEC1D6D" w:rsidP="002409AE">
            <w:pPr>
              <w:pStyle w:val="Tabletext"/>
            </w:pPr>
            <w:r>
              <w:t xml:space="preserve">Studies into the known modes of transmission of COVID-19 indicate that PPE from patients does not need to be considered </w:t>
            </w:r>
            <w:r w:rsidRPr="6B2561BA">
              <w:rPr>
                <w:rStyle w:val="BodyChar"/>
              </w:rPr>
              <w:t xml:space="preserve">clinical waste, see </w:t>
            </w:r>
            <w:hyperlink r:id="rId74">
              <w:r w:rsidR="1A7389D3" w:rsidRPr="6B2561BA">
                <w:rPr>
                  <w:rStyle w:val="Hyperlink"/>
                </w:rPr>
                <w:t>Managing coronavirus waste from a workplace | Environment Protection Authority Victoria</w:t>
              </w:r>
            </w:hyperlink>
            <w:r w:rsidR="1A7389D3">
              <w:t xml:space="preserve"> &lt;https://www.epa.vic.gov.au/about-epa/news-media-and-updates/coronavirus/managing-coronavirus-waste-from-a-workplace&gt;</w:t>
            </w:r>
            <w:r w:rsidR="1DF55F38">
              <w:t>.</w:t>
            </w:r>
          </w:p>
          <w:p w14:paraId="115C524A" w14:textId="21BA2952" w:rsidR="0031173D" w:rsidRPr="0014515B" w:rsidRDefault="0031173D" w:rsidP="002409AE">
            <w:pPr>
              <w:pStyle w:val="Tabletext"/>
              <w:rPr>
                <w:lang w:val="en-US"/>
              </w:rPr>
            </w:pPr>
            <w:r w:rsidRPr="0014515B">
              <w:rPr>
                <w:lang w:val="en-US"/>
              </w:rPr>
              <w:t xml:space="preserve">See </w:t>
            </w:r>
            <w:hyperlink w:anchor="section4waste" w:history="1">
              <w:r w:rsidR="009D0C2D">
                <w:rPr>
                  <w:rStyle w:val="Hyperlink"/>
                  <w:lang w:val="en-US"/>
                </w:rPr>
                <w:t>Waste management</w:t>
              </w:r>
            </w:hyperlink>
            <w:r w:rsidRPr="0014515B">
              <w:rPr>
                <w:lang w:val="en-US"/>
              </w:rPr>
              <w:t xml:space="preserve"> for further information.</w:t>
            </w:r>
          </w:p>
        </w:tc>
      </w:tr>
      <w:tr w:rsidR="0031173D" w:rsidRPr="0014515B" w14:paraId="05333AD7" w14:textId="77777777" w:rsidTr="007A02BA">
        <w:tc>
          <w:tcPr>
            <w:tcW w:w="2409" w:type="dxa"/>
          </w:tcPr>
          <w:p w14:paraId="70F853A7" w14:textId="77777777" w:rsidR="0031173D" w:rsidRPr="0014515B" w:rsidRDefault="0031173D" w:rsidP="00641513">
            <w:pPr>
              <w:pStyle w:val="Tabletext"/>
              <w:rPr>
                <w:b/>
                <w:bCs/>
              </w:rPr>
            </w:pPr>
            <w:r w:rsidRPr="0014515B">
              <w:rPr>
                <w:b/>
                <w:bCs/>
              </w:rPr>
              <w:t>Declaring the outbreak over</w:t>
            </w:r>
          </w:p>
        </w:tc>
        <w:tc>
          <w:tcPr>
            <w:tcW w:w="12076" w:type="dxa"/>
          </w:tcPr>
          <w:p w14:paraId="01AE307F" w14:textId="66CC4B1D" w:rsidR="0031173D" w:rsidRPr="0014515B" w:rsidRDefault="6DEC1D6D" w:rsidP="002409AE">
            <w:pPr>
              <w:pStyle w:val="Tabletext"/>
              <w:rPr>
                <w:lang w:val="en-US"/>
              </w:rPr>
            </w:pPr>
            <w:r w:rsidRPr="00632943">
              <w:rPr>
                <w:lang w:val="en-US"/>
              </w:rPr>
              <w:t>An outbreak can be declared over if there have been no new cases found in the final round of resident testing conducted on the affected wings and there have been 7</w:t>
            </w:r>
            <w:r w:rsidR="00D25E7F" w:rsidRPr="00632943">
              <w:rPr>
                <w:lang w:val="en-US"/>
              </w:rPr>
              <w:t xml:space="preserve"> </w:t>
            </w:r>
            <w:r w:rsidRPr="00632943">
              <w:rPr>
                <w:lang w:val="en-US"/>
              </w:rPr>
              <w:t xml:space="preserve">days from identification of the last case, or </w:t>
            </w:r>
            <w:r w:rsidR="45FE8C90" w:rsidRPr="00632943">
              <w:rPr>
                <w:lang w:val="en-US"/>
              </w:rPr>
              <w:t>later</w:t>
            </w:r>
            <w:r w:rsidRPr="00632943">
              <w:rPr>
                <w:lang w:val="en-US"/>
              </w:rPr>
              <w:t xml:space="preserve"> at LPHU discretion.</w:t>
            </w:r>
          </w:p>
          <w:p w14:paraId="1287314F" w14:textId="7D9A7563" w:rsidR="0031173D" w:rsidRPr="0014515B" w:rsidRDefault="0031173D" w:rsidP="002409AE">
            <w:pPr>
              <w:pStyle w:val="Tabletext"/>
              <w:rPr>
                <w:lang w:val="en-US"/>
              </w:rPr>
            </w:pPr>
            <w:r w:rsidRPr="0014515B">
              <w:rPr>
                <w:lang w:val="en-US"/>
              </w:rPr>
              <w:t xml:space="preserve">If a further case is diagnosed after the outbreak has been closed and is within 14-days of when the most recent case </w:t>
            </w:r>
            <w:r w:rsidR="007756EB" w:rsidRPr="00403484">
              <w:rPr>
                <w:lang w:val="en-US"/>
              </w:rPr>
              <w:t>returned a positive test</w:t>
            </w:r>
            <w:r w:rsidR="0001680B" w:rsidRPr="00403484">
              <w:rPr>
                <w:lang w:val="en-US"/>
              </w:rPr>
              <w:t xml:space="preserve"> and was diagnosed with COVID (and entered isolation)</w:t>
            </w:r>
            <w:r w:rsidR="007756EB" w:rsidRPr="00403484">
              <w:rPr>
                <w:lang w:val="en-US"/>
              </w:rPr>
              <w:t>,</w:t>
            </w:r>
            <w:r w:rsidRPr="0014515B">
              <w:rPr>
                <w:lang w:val="en-US"/>
              </w:rPr>
              <w:t xml:space="preserve"> the outbreak is re-opened.</w:t>
            </w:r>
          </w:p>
          <w:p w14:paraId="677B6DE1" w14:textId="466A786B" w:rsidR="0031173D" w:rsidRPr="0014515B" w:rsidRDefault="0031173D" w:rsidP="002409AE">
            <w:pPr>
              <w:pStyle w:val="Tabletext"/>
            </w:pPr>
            <w:r w:rsidRPr="0014515B">
              <w:rPr>
                <w:lang w:val="en-US"/>
              </w:rPr>
              <w:t>New cases diagnosed at the RCF after this 14-day period are considered a new outbreak (if meeting the outbreak definition)</w:t>
            </w:r>
            <w:r w:rsidR="00D25E7F">
              <w:rPr>
                <w:lang w:val="en-US"/>
              </w:rPr>
              <w:t>.</w:t>
            </w:r>
          </w:p>
        </w:tc>
      </w:tr>
      <w:tr w:rsidR="0031173D" w:rsidRPr="0014515B" w14:paraId="2F8FEBDC" w14:textId="77777777" w:rsidTr="007A02BA">
        <w:tc>
          <w:tcPr>
            <w:tcW w:w="2409" w:type="dxa"/>
          </w:tcPr>
          <w:p w14:paraId="19650560" w14:textId="77777777" w:rsidR="0031173D" w:rsidRPr="0014515B" w:rsidRDefault="0031173D" w:rsidP="00641513">
            <w:pPr>
              <w:pStyle w:val="Tabletext"/>
              <w:rPr>
                <w:b/>
                <w:bCs/>
              </w:rPr>
            </w:pPr>
            <w:r w:rsidRPr="0014515B">
              <w:rPr>
                <w:b/>
                <w:bCs/>
              </w:rPr>
              <w:t>Review the outbreak</w:t>
            </w:r>
          </w:p>
        </w:tc>
        <w:tc>
          <w:tcPr>
            <w:tcW w:w="12076" w:type="dxa"/>
          </w:tcPr>
          <w:p w14:paraId="538C015A" w14:textId="77777777" w:rsidR="0031173D" w:rsidRPr="0014515B" w:rsidRDefault="0031173D" w:rsidP="002409AE">
            <w:pPr>
              <w:pStyle w:val="Tabletext"/>
            </w:pPr>
            <w:r w:rsidRPr="0014515B">
              <w:t>After the outbreak is declared over, the OMT should reflect on:</w:t>
            </w:r>
          </w:p>
          <w:p w14:paraId="3D1CAC7E" w14:textId="77777777" w:rsidR="0031173D" w:rsidRPr="0014515B" w:rsidRDefault="0031173D" w:rsidP="00646DF8">
            <w:pPr>
              <w:pStyle w:val="Tablebullet1"/>
            </w:pPr>
            <w:r w:rsidRPr="0014515B">
              <w:t>strengths and weaknesses in the response and investigation</w:t>
            </w:r>
          </w:p>
          <w:p w14:paraId="10122C9A" w14:textId="5550FADA" w:rsidR="0031173D" w:rsidRPr="0014515B" w:rsidRDefault="6DEC1D6D" w:rsidP="00646DF8">
            <w:pPr>
              <w:pStyle w:val="Tablebullet1"/>
            </w:pPr>
            <w:r>
              <w:t xml:space="preserve">policies, </w:t>
            </w:r>
            <w:r w:rsidR="09FF7ABB">
              <w:t>practices,</w:t>
            </w:r>
            <w:r>
              <w:t xml:space="preserve"> or procedures to improve responses for future outbreaks.</w:t>
            </w:r>
          </w:p>
          <w:p w14:paraId="2445C6B8" w14:textId="23FB2250" w:rsidR="0031173D" w:rsidRPr="0014515B" w:rsidRDefault="0031173D" w:rsidP="007E0A47">
            <w:pPr>
              <w:pStyle w:val="Tabletext"/>
            </w:pPr>
            <w:r w:rsidRPr="0014515B">
              <w:t xml:space="preserve">It may be useful to complete an audit to assess the outbreak response against best practice, using a tool such as </w:t>
            </w:r>
            <w:hyperlink r:id="rId75" w:history="1">
              <w:r w:rsidRPr="007862A7">
                <w:rPr>
                  <w:rStyle w:val="Hyperlink"/>
                </w:rPr>
                <w:t>A structured framework for improving outbreak investigation audits</w:t>
              </w:r>
            </w:hyperlink>
            <w:r w:rsidRPr="0014515B">
              <w:t xml:space="preserve"> &lt;https://bmcpublichealth.biomedcentral.com/articles/10.1186/1471-2458-9-472&gt;.</w:t>
            </w:r>
          </w:p>
          <w:p w14:paraId="23E55238" w14:textId="77777777" w:rsidR="0031173D" w:rsidRPr="0014515B" w:rsidRDefault="0031173D" w:rsidP="00C83A83">
            <w:pPr>
              <w:pStyle w:val="Tabletext"/>
              <w:rPr>
                <w:lang w:val="en-US"/>
              </w:rPr>
            </w:pPr>
            <w:r w:rsidRPr="0014515B">
              <w:t xml:space="preserve">Consider providing a document outlining lessons learned to the LPHU and the Australian Government to enable ongoing quality </w:t>
            </w:r>
            <w:r w:rsidRPr="0014515B">
              <w:rPr>
                <w:rStyle w:val="BodyChar"/>
              </w:rPr>
              <w:t>improvement in the management of outbreaks.</w:t>
            </w:r>
          </w:p>
        </w:tc>
      </w:tr>
    </w:tbl>
    <w:p w14:paraId="426792EA" w14:textId="77777777" w:rsidR="0031173D" w:rsidRPr="0014515B" w:rsidRDefault="0031173D" w:rsidP="001E0D34">
      <w:pPr>
        <w:ind w:left="-153"/>
        <w:rPr>
          <w:rFonts w:eastAsia="Times"/>
        </w:rPr>
        <w:sectPr w:rsidR="0031173D" w:rsidRPr="0014515B" w:rsidSect="007A02BA">
          <w:pgSz w:w="16838" w:h="11906" w:orient="landscape" w:code="9"/>
          <w:pgMar w:top="1418" w:right="1134" w:bottom="1134" w:left="1134" w:header="680" w:footer="851" w:gutter="0"/>
          <w:cols w:space="340"/>
          <w:docGrid w:linePitch="360"/>
        </w:sectPr>
      </w:pPr>
    </w:p>
    <w:p w14:paraId="6BC4761E" w14:textId="39608587" w:rsidR="009824FE" w:rsidRPr="0014515B" w:rsidRDefault="00A963FC" w:rsidP="00EA2C30">
      <w:pPr>
        <w:pStyle w:val="Heading1"/>
        <w:numPr>
          <w:ilvl w:val="0"/>
          <w:numId w:val="20"/>
        </w:numPr>
        <w:spacing w:before="0"/>
        <w:ind w:left="567"/>
      </w:pPr>
      <w:bookmarkStart w:id="1333" w:name="_Non-influenza,_non-COVID-19_outbrea"/>
      <w:bookmarkStart w:id="1334" w:name="_Toc163573615"/>
      <w:bookmarkEnd w:id="1333"/>
      <w:r>
        <w:lastRenderedPageBreak/>
        <w:t>Non-influenza, non-COVID-19 outbreaks in RCFs including RSV</w:t>
      </w:r>
      <w:bookmarkEnd w:id="1334"/>
    </w:p>
    <w:p w14:paraId="3F7284A9" w14:textId="4F5D46E4" w:rsidR="00202D55" w:rsidRPr="00D84FAB" w:rsidRDefault="00202D55" w:rsidP="00D84FAB">
      <w:pPr>
        <w:pStyle w:val="Body"/>
      </w:pPr>
      <w:r w:rsidRPr="00D84FAB">
        <w:t xml:space="preserve">It is strongly recommended that RCFs report all respiratory outbreaks to the </w:t>
      </w:r>
      <w:r w:rsidR="009E6A7F" w:rsidRPr="00D84FAB">
        <w:t xml:space="preserve">LPHU or </w:t>
      </w:r>
      <w:r w:rsidR="00E97F4E" w:rsidRPr="00D84FAB">
        <w:t>the department</w:t>
      </w:r>
      <w:r w:rsidRPr="00D84FAB">
        <w:t>. If tests are negative for both COVID-19 and influenza, or another pathogen such as RSV is detected, RCFs would usually then self-manage the outbreak.</w:t>
      </w:r>
    </w:p>
    <w:p w14:paraId="2758220F" w14:textId="2A696118" w:rsidR="00202D55" w:rsidRPr="00D84FAB" w:rsidRDefault="00202D55" w:rsidP="00D84FAB">
      <w:pPr>
        <w:pStyle w:val="Body"/>
      </w:pPr>
      <w:r w:rsidRPr="00D84FAB">
        <w:t>As a general guide the following actions should be undertaken by RCFs:</w:t>
      </w:r>
    </w:p>
    <w:p w14:paraId="7B1F6B0B" w14:textId="554B81B2" w:rsidR="00202D55" w:rsidRPr="00D84FAB" w:rsidRDefault="00D84FAB" w:rsidP="00D84FAB">
      <w:pPr>
        <w:pStyle w:val="Bullet1"/>
      </w:pPr>
      <w:r>
        <w:t>C</w:t>
      </w:r>
      <w:r w:rsidR="00202D55" w:rsidRPr="00D84FAB">
        <w:t>ontinue to monitor the outbreak by using daily case lists, however there is no need for case lists to be communicated to LPHU regularly. It is recommended that case lists are sent to the LPHU at the end of an RSV outbreak.</w:t>
      </w:r>
    </w:p>
    <w:p w14:paraId="7F5A7DC7" w14:textId="487569FA" w:rsidR="00202D55" w:rsidRPr="00D84FAB" w:rsidRDefault="00202D55" w:rsidP="00D84FAB">
      <w:pPr>
        <w:pStyle w:val="Bullet1"/>
      </w:pPr>
      <w:r w:rsidRPr="00D84FAB">
        <w:t xml:space="preserve">Continue to test all symptomatic residents: </w:t>
      </w:r>
      <w:r w:rsidR="00F50D64" w:rsidRPr="00D84FAB">
        <w:t>RAT</w:t>
      </w:r>
      <w:r w:rsidRPr="00D84FAB">
        <w:t xml:space="preserve"> (if available) to test for COVID-19, and if negative, test (or arrange testing) for multiplex respiratory PCR (includes COVID-19, influenza A/B, </w:t>
      </w:r>
      <w:r w:rsidR="7511634E" w:rsidRPr="00D84FAB">
        <w:t>RSV,</w:t>
      </w:r>
      <w:r w:rsidRPr="00D84FAB">
        <w:t xml:space="preserve"> and other respiratory viruses)</w:t>
      </w:r>
      <w:r w:rsidR="001F7539">
        <w:t>.</w:t>
      </w:r>
    </w:p>
    <w:p w14:paraId="4D983400" w14:textId="0051F122" w:rsidR="00202D55" w:rsidRPr="00D84FAB" w:rsidRDefault="00D84FAB" w:rsidP="00D84FAB">
      <w:pPr>
        <w:pStyle w:val="Bullet1"/>
      </w:pPr>
      <w:r>
        <w:t>A</w:t>
      </w:r>
      <w:r w:rsidR="00202D55" w:rsidRPr="00D84FAB">
        <w:t xml:space="preserve">ny symptomatic person </w:t>
      </w:r>
      <w:r w:rsidR="0036115F" w:rsidRPr="00D84FAB">
        <w:t xml:space="preserve">should </w:t>
      </w:r>
      <w:r w:rsidR="00202D55" w:rsidRPr="00D84FAB">
        <w:t>isolate for the duration of their symptoms</w:t>
      </w:r>
      <w:r>
        <w:t>.</w:t>
      </w:r>
    </w:p>
    <w:p w14:paraId="630FD5D0" w14:textId="06D2C7EF" w:rsidR="00202D55" w:rsidRPr="00D84FAB" w:rsidRDefault="00D84FAB" w:rsidP="00D84FAB">
      <w:pPr>
        <w:pStyle w:val="Bullet1"/>
      </w:pPr>
      <w:r>
        <w:t>C</w:t>
      </w:r>
      <w:r w:rsidR="00202D55" w:rsidRPr="00D84FAB">
        <w:t xml:space="preserve">ontinue with </w:t>
      </w:r>
      <w:r w:rsidR="003A0939">
        <w:t>IPC</w:t>
      </w:r>
      <w:r w:rsidR="00202D55" w:rsidRPr="00D84FAB">
        <w:t xml:space="preserve"> measures as referenced to in </w:t>
      </w:r>
      <w:hyperlink w:anchor="_Influenza_outbreak_and" w:history="1">
        <w:r w:rsidR="00422354" w:rsidRPr="003A0939">
          <w:rPr>
            <w:rStyle w:val="Hyperlink"/>
          </w:rPr>
          <w:t>section 6</w:t>
        </w:r>
      </w:hyperlink>
      <w:r w:rsidR="00202D55" w:rsidRPr="00D84FAB">
        <w:t>. Viruses such as human metapneumovirus or RSV can also cause significant morbidity in the elderly.</w:t>
      </w:r>
    </w:p>
    <w:p w14:paraId="718A8964" w14:textId="08DFFE1F" w:rsidR="00202D55" w:rsidRPr="00D84FAB" w:rsidRDefault="00D84FAB" w:rsidP="00D84FAB">
      <w:pPr>
        <w:pStyle w:val="Bullet1"/>
      </w:pPr>
      <w:r>
        <w:t>T</w:t>
      </w:r>
      <w:r w:rsidR="00202D55" w:rsidRPr="00D84FAB">
        <w:t>hese outbreaks can be called over after no new cases have occurred within 8 days from the onset of symptoms of the last resident case.</w:t>
      </w:r>
    </w:p>
    <w:p w14:paraId="6AC5B2B1" w14:textId="5DCCF252" w:rsidR="00202D55" w:rsidRPr="00D84FAB" w:rsidRDefault="00D84FAB" w:rsidP="00D84FAB">
      <w:pPr>
        <w:pStyle w:val="Bullet1"/>
      </w:pPr>
      <w:r>
        <w:t>C</w:t>
      </w:r>
      <w:r w:rsidR="00202D55" w:rsidRPr="00D84FAB">
        <w:t>ontact the LPHU if there are any concerns with the outbreak or if more guidance is required (</w:t>
      </w:r>
      <w:r w:rsidR="00B81AA8" w:rsidRPr="00D84FAB">
        <w:t>for example</w:t>
      </w:r>
      <w:r w:rsidR="00202D55" w:rsidRPr="00D84FAB">
        <w:t>, case numbers not decreasing, deaths)</w:t>
      </w:r>
      <w:r>
        <w:t>.</w:t>
      </w:r>
    </w:p>
    <w:p w14:paraId="3D6529C3" w14:textId="1A790CF5" w:rsidR="00202D55" w:rsidRPr="00D84FAB" w:rsidRDefault="00D84FAB" w:rsidP="00D84FAB">
      <w:pPr>
        <w:pStyle w:val="Bullet1"/>
      </w:pPr>
      <w:r>
        <w:t>I</w:t>
      </w:r>
      <w:r w:rsidR="00202D55" w:rsidRPr="00D84FAB">
        <w:t>f the facility identifies a case of COVID-19 or influenza they should notify the LPHU, and the appropriate actions must occur, as outlined in the relevant sections above</w:t>
      </w:r>
      <w:r>
        <w:t>.</w:t>
      </w:r>
    </w:p>
    <w:p w14:paraId="491EC648" w14:textId="61B292A4" w:rsidR="00B81AA8" w:rsidRDefault="00B81AA8">
      <w:pPr>
        <w:spacing w:after="0" w:line="240" w:lineRule="auto"/>
        <w:rPr>
          <w:rFonts w:eastAsia="Times"/>
        </w:rPr>
      </w:pPr>
      <w:r>
        <w:br w:type="page"/>
      </w:r>
    </w:p>
    <w:p w14:paraId="55123765" w14:textId="136E393F" w:rsidR="001D7BA0" w:rsidRPr="0014515B" w:rsidRDefault="00202D55" w:rsidP="00EA2C30">
      <w:pPr>
        <w:pStyle w:val="Heading1"/>
        <w:numPr>
          <w:ilvl w:val="0"/>
          <w:numId w:val="20"/>
        </w:numPr>
        <w:spacing w:before="0"/>
        <w:ind w:left="567"/>
      </w:pPr>
      <w:bookmarkStart w:id="1335" w:name="_Toc163573616"/>
      <w:r>
        <w:lastRenderedPageBreak/>
        <w:t>Appendices</w:t>
      </w:r>
      <w:bookmarkEnd w:id="1335"/>
    </w:p>
    <w:p w14:paraId="2A46300B" w14:textId="77777777" w:rsidR="001D7BA0" w:rsidRPr="0014515B" w:rsidRDefault="001D7BA0" w:rsidP="001D7BA0">
      <w:pPr>
        <w:pStyle w:val="Heading2"/>
      </w:pPr>
      <w:bookmarkStart w:id="1336" w:name="_Toc113443414"/>
      <w:bookmarkStart w:id="1337" w:name="_Toc163573617"/>
      <w:r w:rsidRPr="0014515B">
        <w:t>Appendix A: Key documents</w:t>
      </w:r>
      <w:bookmarkEnd w:id="1336"/>
      <w:bookmarkEnd w:id="1337"/>
    </w:p>
    <w:p w14:paraId="61ADEBB6" w14:textId="77777777" w:rsidR="001D7BA0" w:rsidRPr="0014515B" w:rsidRDefault="001D7BA0" w:rsidP="001D7BA0">
      <w:pPr>
        <w:pStyle w:val="Heading3"/>
      </w:pPr>
      <w:bookmarkStart w:id="1338" w:name="_Toc112144746"/>
      <w:bookmarkStart w:id="1339" w:name="_Toc113443415"/>
      <w:r w:rsidRPr="0014515B">
        <w:t>Key supporting documents</w:t>
      </w:r>
      <w:bookmarkEnd w:id="1338"/>
      <w:bookmarkEnd w:id="1339"/>
    </w:p>
    <w:p w14:paraId="68389D86" w14:textId="1053F0C8" w:rsidR="001D7BA0" w:rsidRPr="0014515B" w:rsidRDefault="001D7BA0" w:rsidP="00F67EE0">
      <w:pPr>
        <w:pStyle w:val="Body"/>
      </w:pPr>
      <w:r w:rsidRPr="0014515B">
        <w:t xml:space="preserve">Note that advice in national guidelines may at times differ from the requirements set out in the in the Victorian </w:t>
      </w:r>
      <w:r w:rsidR="00830CF1" w:rsidRPr="00403484">
        <w:t>guidelines</w:t>
      </w:r>
      <w:r w:rsidRPr="0014515B">
        <w:t>. Local guidelines have been developed specific to the Victorian context.</w:t>
      </w:r>
    </w:p>
    <w:p w14:paraId="57DA9EFA" w14:textId="33D2465A" w:rsidR="00692B79" w:rsidRPr="00403484" w:rsidRDefault="00000000" w:rsidP="00A87054">
      <w:pPr>
        <w:pStyle w:val="Bullet1"/>
        <w:numPr>
          <w:ilvl w:val="0"/>
          <w:numId w:val="10"/>
        </w:numPr>
        <w:spacing w:after="80"/>
        <w:ind w:left="284" w:hanging="284"/>
      </w:pPr>
      <w:hyperlink r:id="rId76" w:history="1">
        <w:r w:rsidR="00692B79" w:rsidRPr="00403484">
          <w:rPr>
            <w:rStyle w:val="Hyperlink"/>
          </w:rPr>
          <w:t>CDNA National Guidelines for the Prevention, Control and Public Health Management of Outbreaks of Acute Respiratory Infection (including COVID-19 and Influenza) in Residential Care Facilities</w:t>
        </w:r>
      </w:hyperlink>
      <w:r w:rsidR="00692B79" w:rsidRPr="00403484">
        <w:t xml:space="preserve"> &lt;https://www.health.gov.au/resources/publications/national-guidelines-for-the-prevention-control-and-public-health-management-of-outbreaks-of-acute-respiratory-infection-including-covid-19-and-influenza-in-residential-care-facilities&gt;</w:t>
      </w:r>
    </w:p>
    <w:p w14:paraId="39660BA6" w14:textId="76D15672" w:rsidR="001D7BA0" w:rsidRPr="0014515B" w:rsidRDefault="001D7BA0" w:rsidP="00A87054">
      <w:pPr>
        <w:pStyle w:val="Bullet1"/>
        <w:numPr>
          <w:ilvl w:val="0"/>
          <w:numId w:val="10"/>
        </w:numPr>
        <w:spacing w:after="80"/>
        <w:ind w:left="284" w:hanging="284"/>
      </w:pPr>
      <w:r>
        <w:t xml:space="preserve">Information relating to SARS-CoV-2 and COVID-19 has been sourced from the </w:t>
      </w:r>
      <w:r w:rsidRPr="008349EF">
        <w:t xml:space="preserve">CDNA </w:t>
      </w:r>
      <w:hyperlink r:id="rId77" w:history="1">
        <w:r w:rsidRPr="008349EF">
          <w:rPr>
            <w:rStyle w:val="Hyperlink"/>
          </w:rPr>
          <w:t xml:space="preserve">Coronavirus </w:t>
        </w:r>
        <w:r w:rsidR="008349EF" w:rsidRPr="008349EF">
          <w:rPr>
            <w:rStyle w:val="Hyperlink"/>
          </w:rPr>
          <w:t>(COVID-19) National guidelines for public health units</w:t>
        </w:r>
      </w:hyperlink>
      <w:r w:rsidR="009A76EC">
        <w:rPr>
          <w:rStyle w:val="Hyperlink"/>
        </w:rPr>
        <w:t xml:space="preserve"> </w:t>
      </w:r>
      <w:r>
        <w:t>&lt;</w:t>
      </w:r>
      <w:r w:rsidR="008349EF" w:rsidRPr="008349EF">
        <w:t>https://www.health.gov.au/resources/publications/coronavirus-covid-19-cdna-national-guidelines-for-public-health-units?language=en</w:t>
      </w:r>
      <w:r>
        <w:t>&gt;</w:t>
      </w:r>
    </w:p>
    <w:p w14:paraId="0DBB1F38" w14:textId="651F7488" w:rsidR="001D7BA0" w:rsidRPr="0014515B" w:rsidRDefault="00000000" w:rsidP="00A87054">
      <w:pPr>
        <w:pStyle w:val="Bullet1"/>
        <w:numPr>
          <w:ilvl w:val="0"/>
          <w:numId w:val="10"/>
        </w:numPr>
        <w:spacing w:after="80"/>
        <w:ind w:left="284" w:hanging="284"/>
      </w:pPr>
      <w:hyperlink r:id="rId78" w:history="1">
        <w:r w:rsidR="0018112A" w:rsidRPr="0018112A">
          <w:rPr>
            <w:rStyle w:val="Hyperlink"/>
          </w:rPr>
          <w:t xml:space="preserve">Pre-season letter to GP with </w:t>
        </w:r>
        <w:r w:rsidR="001D7BA0" w:rsidRPr="0018112A">
          <w:rPr>
            <w:rStyle w:val="Hyperlink"/>
          </w:rPr>
          <w:t>FluVax Antiviral planning tool</w:t>
        </w:r>
      </w:hyperlink>
      <w:r w:rsidR="001D7BA0">
        <w:t xml:space="preserve"> &lt;</w:t>
      </w:r>
      <w:r w:rsidR="0018112A" w:rsidRPr="0018112A">
        <w:t>https://www.health.vic.gov.au/infectious-diseases/acute-respiratory-infection-management-rcf</w:t>
      </w:r>
      <w:r w:rsidR="001D7BA0">
        <w:t>&gt;</w:t>
      </w:r>
    </w:p>
    <w:p w14:paraId="0103AC2F" w14:textId="1692D2FF" w:rsidR="001D7BA0" w:rsidRPr="008B71B3" w:rsidRDefault="00000000" w:rsidP="00A87054">
      <w:pPr>
        <w:pStyle w:val="Bullet1"/>
        <w:numPr>
          <w:ilvl w:val="0"/>
          <w:numId w:val="10"/>
        </w:numPr>
        <w:spacing w:after="80"/>
        <w:ind w:left="284" w:hanging="284"/>
      </w:pPr>
      <w:hyperlink r:id="rId79" w:history="1">
        <w:r w:rsidR="0018112A" w:rsidRPr="0018112A">
          <w:rPr>
            <w:rStyle w:val="Hyperlink"/>
          </w:rPr>
          <w:t>COVID-19 Infection Prevention and Control Guidelines</w:t>
        </w:r>
      </w:hyperlink>
      <w:r w:rsidR="0018112A">
        <w:t xml:space="preserve"> &lt;</w:t>
      </w:r>
      <w:r w:rsidR="0018112A" w:rsidRPr="0018112A">
        <w:t>https://www.health.vic.gov.au/covid-19-infection-prevention-control-guidelines</w:t>
      </w:r>
      <w:r w:rsidR="0018112A">
        <w:t>&gt;</w:t>
      </w:r>
    </w:p>
    <w:p w14:paraId="5E3B5177" w14:textId="7740EF3B" w:rsidR="005562FD" w:rsidRPr="009A76EC" w:rsidRDefault="00000000" w:rsidP="00A87054">
      <w:pPr>
        <w:pStyle w:val="Bullet1"/>
        <w:numPr>
          <w:ilvl w:val="0"/>
          <w:numId w:val="10"/>
        </w:numPr>
        <w:spacing w:after="80"/>
        <w:ind w:left="284" w:hanging="284"/>
      </w:pPr>
      <w:hyperlink r:id="rId80">
        <w:r w:rsidR="005562FD" w:rsidRPr="00051CB4">
          <w:rPr>
            <w:rStyle w:val="Hyperlink"/>
          </w:rPr>
          <w:t>Personal Protective Equipment (PPE) specific recommendations for COVID-19</w:t>
        </w:r>
      </w:hyperlink>
      <w:r w:rsidR="005562FD" w:rsidRPr="00051CB4">
        <w:rPr>
          <w:rStyle w:val="Hyperlink"/>
        </w:rPr>
        <w:t>)</w:t>
      </w:r>
      <w:r w:rsidR="005562FD" w:rsidRPr="00051CB4">
        <w:t xml:space="preserve"> &lt;</w:t>
      </w:r>
      <w:r w:rsidR="0018112A" w:rsidRPr="0018112A">
        <w:t>https://www.health.vic.gov.au/covid-19-infection-prevention-control-guidelines/personal-protective-equipment-ppe</w:t>
      </w:r>
      <w:r w:rsidR="005562FD" w:rsidRPr="00051CB4">
        <w:t>&gt;</w:t>
      </w:r>
    </w:p>
    <w:p w14:paraId="5EA97199" w14:textId="462F366C" w:rsidR="001D7BA0" w:rsidRPr="009A76EC" w:rsidRDefault="00000000" w:rsidP="00A87054">
      <w:pPr>
        <w:pStyle w:val="Bullet1"/>
        <w:numPr>
          <w:ilvl w:val="0"/>
          <w:numId w:val="10"/>
        </w:numPr>
        <w:spacing w:after="80"/>
        <w:ind w:left="284" w:hanging="284"/>
      </w:pPr>
      <w:hyperlink r:id="rId81" w:history="1">
        <w:r w:rsidR="001D7BA0" w:rsidRPr="008349EF">
          <w:rPr>
            <w:rStyle w:val="Hyperlink"/>
            <w:rFonts w:eastAsia="MS Gothic" w:cs="Arial"/>
          </w:rPr>
          <w:t>How to do a nasal rapid antigen test (available in English and other languages)</w:t>
        </w:r>
        <w:r w:rsidR="001D7BA0" w:rsidRPr="009A76EC">
          <w:t xml:space="preserve"> &lt;</w:t>
        </w:r>
      </w:hyperlink>
      <w:r w:rsidR="008349EF" w:rsidRPr="008349EF">
        <w:t>https://www.health.gov.au/resources/videos/coronavirus-covid-19-video-how-to-do-a-nasal-rapid-antigen-test?language=en</w:t>
      </w:r>
      <w:r w:rsidR="001D7BA0">
        <w:t>&gt;</w:t>
      </w:r>
    </w:p>
    <w:p w14:paraId="78E16EBE" w14:textId="3A75064F" w:rsidR="001D7BA0" w:rsidRPr="009A76EC" w:rsidRDefault="00000000" w:rsidP="00A87054">
      <w:pPr>
        <w:pStyle w:val="Bullet1"/>
        <w:numPr>
          <w:ilvl w:val="0"/>
          <w:numId w:val="10"/>
        </w:numPr>
        <w:spacing w:after="80"/>
        <w:ind w:left="284" w:hanging="284"/>
      </w:pPr>
      <w:hyperlink r:id="rId82" w:history="1">
        <w:r w:rsidR="0018112A" w:rsidRPr="0018112A">
          <w:rPr>
            <w:rStyle w:val="Hyperlink"/>
            <w:rFonts w:eastAsia="MS Gothic" w:cs="Arial"/>
          </w:rPr>
          <w:t>I</w:t>
        </w:r>
        <w:r w:rsidR="001D7BA0" w:rsidRPr="0018112A">
          <w:rPr>
            <w:rStyle w:val="Hyperlink"/>
            <w:rFonts w:eastAsia="MS Gothic" w:cs="Arial"/>
          </w:rPr>
          <w:t>nformation about COVID-1</w:t>
        </w:r>
        <w:r w:rsidR="0018112A" w:rsidRPr="0018112A">
          <w:rPr>
            <w:rStyle w:val="Hyperlink"/>
            <w:rFonts w:eastAsia="MS Gothic" w:cs="Arial"/>
          </w:rPr>
          <w:t>9 for the public</w:t>
        </w:r>
      </w:hyperlink>
      <w:r w:rsidR="0018112A">
        <w:rPr>
          <w:rFonts w:eastAsia="MS Gothic" w:cs="Arial"/>
        </w:rPr>
        <w:t xml:space="preserve"> &lt;</w:t>
      </w:r>
      <w:r w:rsidR="0018112A" w:rsidRPr="0018112A">
        <w:t>https://www.betterhealth.vic.gov.au/coronavirus-covid-19-victoria</w:t>
      </w:r>
      <w:r w:rsidR="001D7BA0" w:rsidRPr="0014515B">
        <w:t>&gt;</w:t>
      </w:r>
    </w:p>
    <w:p w14:paraId="7B627A20" w14:textId="02CDFF92" w:rsidR="001D7BA0" w:rsidRPr="0014515B" w:rsidRDefault="00000000" w:rsidP="00A87054">
      <w:pPr>
        <w:pStyle w:val="Bullet1"/>
        <w:numPr>
          <w:ilvl w:val="0"/>
          <w:numId w:val="10"/>
        </w:numPr>
        <w:spacing w:after="80"/>
        <w:ind w:left="284" w:hanging="284"/>
        <w:rPr>
          <w:rFonts w:cs="Arial"/>
          <w:b/>
          <w:color w:val="242424"/>
        </w:rPr>
      </w:pPr>
      <w:hyperlink r:id="rId83" w:history="1">
        <w:r w:rsidR="006F6811" w:rsidRPr="006F6811">
          <w:rPr>
            <w:rStyle w:val="Hyperlink"/>
            <w:rFonts w:eastAsia="Arial Nova" w:cs="Arial"/>
          </w:rPr>
          <w:t>COVID-19 information for people with disability</w:t>
        </w:r>
      </w:hyperlink>
      <w:r w:rsidR="006F6811">
        <w:rPr>
          <w:rFonts w:eastAsia="Arial Nova" w:cs="Arial"/>
        </w:rPr>
        <w:t xml:space="preserve"> &lt;</w:t>
      </w:r>
      <w:r w:rsidR="006F6811" w:rsidRPr="006F6811">
        <w:rPr>
          <w:rFonts w:cs="Arial"/>
          <w:color w:val="242424"/>
        </w:rPr>
        <w:t>https://www.betterhealth.vic.gov.au/covid-19/covid-19-information-people-disability</w:t>
      </w:r>
      <w:r w:rsidR="001D7BA0" w:rsidRPr="0014515B">
        <w:rPr>
          <w:rFonts w:cs="Arial"/>
          <w:color w:val="242424"/>
        </w:rPr>
        <w:t>&gt;</w:t>
      </w:r>
    </w:p>
    <w:p w14:paraId="0BF4130B" w14:textId="53FA4C5B" w:rsidR="001D7BA0" w:rsidRPr="0014515B" w:rsidRDefault="001D7BA0" w:rsidP="001D7BA0">
      <w:pPr>
        <w:pStyle w:val="Heading3"/>
        <w:rPr>
          <w:rStyle w:val="Hyperlink"/>
          <w:color w:val="53565A"/>
          <w:u w:val="none"/>
        </w:rPr>
      </w:pPr>
      <w:bookmarkStart w:id="1340" w:name="_Toc109730853"/>
      <w:bookmarkStart w:id="1341" w:name="_Toc111121646"/>
      <w:bookmarkStart w:id="1342" w:name="_Toc111638439"/>
      <w:bookmarkStart w:id="1343" w:name="_Toc111648946"/>
      <w:bookmarkStart w:id="1344" w:name="_Toc111708325"/>
      <w:bookmarkStart w:id="1345" w:name="_Toc112144748"/>
      <w:bookmarkStart w:id="1346" w:name="_Toc113443417"/>
      <w:r w:rsidRPr="0014515B">
        <w:rPr>
          <w:rStyle w:val="Hyperlink"/>
          <w:color w:val="53565A"/>
          <w:u w:val="none"/>
        </w:rPr>
        <w:t>Australian Department of Health</w:t>
      </w:r>
      <w:bookmarkEnd w:id="1340"/>
      <w:bookmarkEnd w:id="1341"/>
      <w:bookmarkEnd w:id="1342"/>
      <w:bookmarkEnd w:id="1343"/>
      <w:bookmarkEnd w:id="1344"/>
      <w:bookmarkEnd w:id="1345"/>
      <w:bookmarkEnd w:id="1346"/>
      <w:r w:rsidR="008226F8">
        <w:rPr>
          <w:rStyle w:val="Hyperlink"/>
          <w:color w:val="53565A"/>
          <w:u w:val="none"/>
        </w:rPr>
        <w:t xml:space="preserve"> and other </w:t>
      </w:r>
      <w:r w:rsidR="00B17292">
        <w:rPr>
          <w:rStyle w:val="Hyperlink"/>
          <w:color w:val="53565A"/>
          <w:u w:val="none"/>
        </w:rPr>
        <w:t>sources</w:t>
      </w:r>
    </w:p>
    <w:p w14:paraId="6254BD6E" w14:textId="7447AFA1" w:rsidR="001D7BA0" w:rsidRDefault="00000000" w:rsidP="00B02C85">
      <w:pPr>
        <w:pStyle w:val="Bullet1"/>
        <w:spacing w:after="80"/>
      </w:pPr>
      <w:hyperlink r:id="rId84" w:history="1">
        <w:r w:rsidR="00FE5A2F" w:rsidRPr="00051CB4">
          <w:rPr>
            <w:rStyle w:val="Hyperlink"/>
          </w:rPr>
          <w:t>Control and Public Health Management of Outbreaks of Acute Respiratory Infection (including COVID-19 and Influenza) in Disability Residential Services</w:t>
        </w:r>
      </w:hyperlink>
      <w:r w:rsidR="001D7BA0" w:rsidRPr="00051CB4">
        <w:t xml:space="preserve"> </w:t>
      </w:r>
      <w:r w:rsidR="00F37820" w:rsidRPr="00051CB4">
        <w:t>&lt;https://www.health.gov.au/resources/publications/control-and-public-health-management-of-outbreaks-of-acute-respiratory-infection-including-covid-19-and-influenza-in-disability-residential-services&gt;</w:t>
      </w:r>
    </w:p>
    <w:p w14:paraId="791DDD50" w14:textId="00597328" w:rsidR="00457C9D" w:rsidRPr="00051CB4" w:rsidRDefault="00000000" w:rsidP="00B02C85">
      <w:pPr>
        <w:pStyle w:val="Bullet1"/>
        <w:spacing w:after="80"/>
      </w:pPr>
      <w:hyperlink r:id="rId85" w:history="1">
        <w:r w:rsidR="00457C9D" w:rsidRPr="00457C9D">
          <w:rPr>
            <w:rStyle w:val="Hyperlink"/>
          </w:rPr>
          <w:t>Government support for providers and workers</w:t>
        </w:r>
      </w:hyperlink>
      <w:r w:rsidR="00457C9D">
        <w:t xml:space="preserve"> &lt;</w:t>
      </w:r>
      <w:r w:rsidR="00457C9D" w:rsidRPr="00457C9D">
        <w:t>https://www.health.gov.au/topics/aged-care/managing-covid-19/government-support</w:t>
      </w:r>
      <w:r w:rsidR="00457C9D">
        <w:t>&gt;</w:t>
      </w:r>
    </w:p>
    <w:p w14:paraId="67F41FD7" w14:textId="02D094DF" w:rsidR="001D7BA0" w:rsidRDefault="00000000" w:rsidP="00B02C85">
      <w:pPr>
        <w:pStyle w:val="Bullet1"/>
        <w:spacing w:after="80"/>
      </w:pPr>
      <w:hyperlink r:id="rId86">
        <w:r w:rsidR="001D7BA0" w:rsidRPr="6B2561BA">
          <w:rPr>
            <w:rStyle w:val="Hyperlink"/>
          </w:rPr>
          <w:t>Prevent and prepare for COVID-19 in residential aged care</w:t>
        </w:r>
      </w:hyperlink>
      <w:r w:rsidR="001D7BA0">
        <w:t xml:space="preserve"> &lt;https://www.health.gov.au/node/18602/prevent-and-prepare-for-covid-19-in-residential-aged-care&gt; covers measures that RACFs should </w:t>
      </w:r>
      <w:r w:rsidR="7A93AAF4">
        <w:t>always have in place</w:t>
      </w:r>
      <w:r w:rsidR="001D7BA0">
        <w:t xml:space="preserve"> to prevent and prepare for an outbreak</w:t>
      </w:r>
      <w:r w:rsidR="00B02C85">
        <w:t>.</w:t>
      </w:r>
    </w:p>
    <w:p w14:paraId="593AA8F7" w14:textId="7811FDBE" w:rsidR="00081990" w:rsidRPr="0014515B" w:rsidRDefault="00000000" w:rsidP="00B02C85">
      <w:pPr>
        <w:pStyle w:val="Bullet1"/>
        <w:spacing w:after="80"/>
      </w:pPr>
      <w:hyperlink r:id="rId87" w:history="1">
        <w:r w:rsidR="00081990" w:rsidRPr="00081990">
          <w:rPr>
            <w:rStyle w:val="Hyperlink"/>
          </w:rPr>
          <w:t>Managing a COVID-19 outbreak in residential aged care</w:t>
        </w:r>
      </w:hyperlink>
      <w:r w:rsidR="00081990">
        <w:t xml:space="preserve"> &lt;</w:t>
      </w:r>
      <w:r w:rsidR="00081990" w:rsidRPr="00081990">
        <w:t>https://www.health.gov.au/topics/aged-care/managing-covid-19/prevent-and-prepare-in-residential-aged-care/managing-a-covid-19-outbreak</w:t>
      </w:r>
      <w:r w:rsidR="00081990">
        <w:t>&gt;</w:t>
      </w:r>
    </w:p>
    <w:p w14:paraId="1B76771D" w14:textId="0170C7EA" w:rsidR="001D7BA0" w:rsidRDefault="00000000" w:rsidP="00B02C85">
      <w:pPr>
        <w:pStyle w:val="Bullet1"/>
        <w:spacing w:after="80"/>
      </w:pPr>
      <w:hyperlink r:id="rId88" w:history="1">
        <w:r w:rsidR="00B81215" w:rsidRPr="00E5157B">
          <w:rPr>
            <w:rStyle w:val="Hyperlink"/>
          </w:rPr>
          <w:t xml:space="preserve">First 24 hours </w:t>
        </w:r>
        <w:r w:rsidR="006F6811">
          <w:rPr>
            <w:rStyle w:val="Hyperlink"/>
          </w:rPr>
          <w:t xml:space="preserve">checklist </w:t>
        </w:r>
        <w:r w:rsidR="00B81215" w:rsidRPr="00E5157B">
          <w:rPr>
            <w:rStyle w:val="Hyperlink"/>
          </w:rPr>
          <w:t xml:space="preserve">– </w:t>
        </w:r>
        <w:r w:rsidR="006F6811">
          <w:rPr>
            <w:rStyle w:val="Hyperlink"/>
          </w:rPr>
          <w:t>M</w:t>
        </w:r>
        <w:r w:rsidR="00B81215" w:rsidRPr="00E5157B">
          <w:rPr>
            <w:rStyle w:val="Hyperlink"/>
          </w:rPr>
          <w:t>anaging COVID-19 in a residential aged care facility</w:t>
        </w:r>
      </w:hyperlink>
      <w:r w:rsidR="001D7BA0" w:rsidRPr="0014515B">
        <w:rPr>
          <w:rStyle w:val="Hyperlink"/>
          <w:color w:val="auto"/>
          <w:u w:val="none"/>
        </w:rPr>
        <w:t xml:space="preserve"> </w:t>
      </w:r>
      <w:r w:rsidR="001D7BA0" w:rsidRPr="0014515B">
        <w:t>&lt;</w:t>
      </w:r>
      <w:r w:rsidR="00E5157B" w:rsidRPr="00E5157B">
        <w:t>https://www.health.gov.au/sites/default/files/2023-04/first-24-hours-managing-covid-19-in-a-residential-aged-care-facility.pdf</w:t>
      </w:r>
      <w:r w:rsidR="001D7BA0" w:rsidRPr="0014515B">
        <w:t>&gt;</w:t>
      </w:r>
    </w:p>
    <w:p w14:paraId="6E450802" w14:textId="2FDE01EE" w:rsidR="00081990" w:rsidRPr="0014515B" w:rsidRDefault="00000000" w:rsidP="00B02C85">
      <w:pPr>
        <w:pStyle w:val="Bullet1"/>
        <w:spacing w:after="80"/>
      </w:pPr>
      <w:hyperlink r:id="rId89" w:history="1">
        <w:r w:rsidR="00081990" w:rsidRPr="00081990">
          <w:rPr>
            <w:rStyle w:val="Hyperlink"/>
          </w:rPr>
          <w:t>COVID-19 advice for people in residential aged care homes and visitors</w:t>
        </w:r>
      </w:hyperlink>
      <w:r w:rsidR="00081990">
        <w:t xml:space="preserve"> &lt;</w:t>
      </w:r>
      <w:r w:rsidR="00081990" w:rsidRPr="00081990">
        <w:t>https://www.health.gov.au/topics/aged-care/managing-covid-19/for-older-people-and-carers/for-people-in-residential-aged-care-homes-and-visitors</w:t>
      </w:r>
      <w:r w:rsidR="00081990">
        <w:t>&gt;</w:t>
      </w:r>
    </w:p>
    <w:p w14:paraId="4A6E8706" w14:textId="0507076E" w:rsidR="001D7BA0" w:rsidRPr="008559FB" w:rsidRDefault="00000000" w:rsidP="00B02C85">
      <w:pPr>
        <w:pStyle w:val="Bullet1"/>
        <w:spacing w:after="80"/>
        <w:rPr>
          <w:rFonts w:cs="Arial"/>
          <w:szCs w:val="21"/>
        </w:rPr>
      </w:pPr>
      <w:hyperlink r:id="rId90" w:history="1">
        <w:r w:rsidR="006F6811" w:rsidRPr="006F6811">
          <w:rPr>
            <w:rStyle w:val="Hyperlink"/>
            <w:rFonts w:cs="Arial"/>
          </w:rPr>
          <w:t>COVID-19 advice for disability support services</w:t>
        </w:r>
      </w:hyperlink>
      <w:r w:rsidR="001D7BA0" w:rsidRPr="006F6811">
        <w:rPr>
          <w:rFonts w:eastAsia="MS Gothic" w:cs="Arial"/>
        </w:rPr>
        <w:t xml:space="preserve"> </w:t>
      </w:r>
      <w:r w:rsidR="001D7BA0" w:rsidRPr="008559FB">
        <w:rPr>
          <w:szCs w:val="21"/>
        </w:rPr>
        <w:t>&lt;</w:t>
      </w:r>
      <w:r w:rsidR="006F6811" w:rsidRPr="006F6811">
        <w:rPr>
          <w:szCs w:val="21"/>
        </w:rPr>
        <w:t>https://www.health.gov.au/topics/covid-19/health-sector/disability</w:t>
      </w:r>
      <w:r w:rsidR="001D7BA0" w:rsidRPr="008559FB">
        <w:rPr>
          <w:szCs w:val="21"/>
        </w:rPr>
        <w:t>&gt;</w:t>
      </w:r>
    </w:p>
    <w:p w14:paraId="0D3ED0CB" w14:textId="6905F0AB" w:rsidR="001D7BA0" w:rsidRPr="008559FB" w:rsidRDefault="00000000" w:rsidP="00B02C85">
      <w:pPr>
        <w:pStyle w:val="Bullet1"/>
        <w:spacing w:after="80"/>
        <w:rPr>
          <w:szCs w:val="21"/>
        </w:rPr>
      </w:pPr>
      <w:hyperlink r:id="rId91" w:history="1">
        <w:r w:rsidR="001D7BA0" w:rsidRPr="00000C49">
          <w:rPr>
            <w:rStyle w:val="Hyperlink"/>
            <w:szCs w:val="21"/>
          </w:rPr>
          <w:t>Coronavirus (COVID-19) Easy Read resources</w:t>
        </w:r>
      </w:hyperlink>
      <w:r w:rsidR="001D7BA0" w:rsidRPr="00000C49">
        <w:rPr>
          <w:szCs w:val="21"/>
        </w:rPr>
        <w:t xml:space="preserve"> </w:t>
      </w:r>
      <w:r w:rsidR="001D7BA0" w:rsidRPr="008559FB">
        <w:rPr>
          <w:szCs w:val="21"/>
        </w:rPr>
        <w:t>&lt;</w:t>
      </w:r>
      <w:r w:rsidR="00000C49" w:rsidRPr="00000C49">
        <w:rPr>
          <w:szCs w:val="21"/>
        </w:rPr>
        <w:t>https://www.health.gov.au/resources/collections/coronavirus-covid-19-easy-read-resources</w:t>
      </w:r>
      <w:r w:rsidR="001D7BA0" w:rsidRPr="008559FB">
        <w:rPr>
          <w:szCs w:val="21"/>
        </w:rPr>
        <w:t>&gt;</w:t>
      </w:r>
    </w:p>
    <w:bookmarkStart w:id="1347" w:name="_Toc108093103"/>
    <w:bookmarkStart w:id="1348" w:name="_TOC_250009"/>
    <w:bookmarkStart w:id="1349" w:name="_Toc102044831"/>
    <w:bookmarkStart w:id="1350" w:name="_Toc102044846"/>
    <w:p w14:paraId="3DDCA688" w14:textId="6A1E9CED" w:rsidR="001D7BA0" w:rsidRPr="00051CB4" w:rsidRDefault="00000C49" w:rsidP="00B02C85">
      <w:pPr>
        <w:pStyle w:val="Bullet1"/>
        <w:spacing w:after="80"/>
        <w:rPr>
          <w:rStyle w:val="Hyperlink"/>
          <w:color w:val="auto"/>
          <w:szCs w:val="21"/>
          <w:u w:val="none"/>
        </w:rPr>
      </w:pPr>
      <w:r>
        <w:fldChar w:fldCharType="begin"/>
      </w:r>
      <w:r>
        <w:instrText>HYPERLINK "https://www.agedcarequality.gov.au/providers/standards"</w:instrText>
      </w:r>
      <w:r>
        <w:fldChar w:fldCharType="separate"/>
      </w:r>
      <w:r w:rsidR="001D7BA0" w:rsidRPr="00000C49">
        <w:rPr>
          <w:rStyle w:val="Hyperlink"/>
        </w:rPr>
        <w:t>A</w:t>
      </w:r>
      <w:r w:rsidR="001D7BA0" w:rsidRPr="00000C49">
        <w:rPr>
          <w:rStyle w:val="Hyperlink"/>
          <w:szCs w:val="21"/>
        </w:rPr>
        <w:t>ged Care Quality Standards</w:t>
      </w:r>
      <w:r>
        <w:fldChar w:fldCharType="end"/>
      </w:r>
      <w:r w:rsidR="001D7BA0" w:rsidRPr="00051CB4">
        <w:rPr>
          <w:rStyle w:val="Hyperlink"/>
          <w:szCs w:val="21"/>
        </w:rPr>
        <w:t xml:space="preserve"> </w:t>
      </w:r>
      <w:r w:rsidR="004A2C75" w:rsidRPr="00051CB4">
        <w:rPr>
          <w:szCs w:val="21"/>
        </w:rPr>
        <w:t>&lt;https://www.agedcarequality.gov.au/providers/standards&gt;</w:t>
      </w:r>
    </w:p>
    <w:p w14:paraId="04A00CF4" w14:textId="07682118" w:rsidR="002409C4" w:rsidRPr="00051CB4" w:rsidRDefault="00000000" w:rsidP="00B02C85">
      <w:pPr>
        <w:pStyle w:val="Bullet1"/>
        <w:spacing w:after="80"/>
        <w:rPr>
          <w:rFonts w:cs="Arial"/>
          <w:szCs w:val="21"/>
        </w:rPr>
      </w:pPr>
      <w:hyperlink r:id="rId92" w:history="1">
        <w:r w:rsidR="00000C49" w:rsidRPr="00000C49">
          <w:rPr>
            <w:rStyle w:val="Hyperlink"/>
            <w:rFonts w:cs="Arial"/>
            <w:szCs w:val="21"/>
          </w:rPr>
          <w:t>Visitor access</w:t>
        </w:r>
      </w:hyperlink>
      <w:r w:rsidR="002409C4" w:rsidRPr="00051CB4">
        <w:rPr>
          <w:rFonts w:cs="Arial"/>
          <w:szCs w:val="21"/>
        </w:rPr>
        <w:t xml:space="preserve"> &lt;</w:t>
      </w:r>
      <w:r w:rsidR="00000C49" w:rsidRPr="00000C49">
        <w:rPr>
          <w:rFonts w:cs="Arial"/>
          <w:szCs w:val="21"/>
        </w:rPr>
        <w:t>https://www.agedcarequality.gov.au/providers/clinical-governance/dealing-infectious-outbreaks/visitor-access</w:t>
      </w:r>
      <w:r w:rsidR="002409C4" w:rsidRPr="00051CB4">
        <w:rPr>
          <w:rFonts w:cs="Arial"/>
          <w:szCs w:val="21"/>
        </w:rPr>
        <w:t>&gt;</w:t>
      </w:r>
    </w:p>
    <w:p w14:paraId="2D5DDE35" w14:textId="2D6F7298" w:rsidR="00000C49" w:rsidRPr="00000C49" w:rsidRDefault="00000000" w:rsidP="00B02C85">
      <w:pPr>
        <w:pStyle w:val="Bullet1"/>
        <w:spacing w:after="80"/>
        <w:rPr>
          <w:rFonts w:cs="Arial"/>
          <w:szCs w:val="21"/>
        </w:rPr>
      </w:pPr>
      <w:hyperlink r:id="rId93" w:history="1">
        <w:r w:rsidR="00000C49" w:rsidRPr="00000C49">
          <w:rPr>
            <w:rStyle w:val="Hyperlink"/>
            <w:rFonts w:cs="Arial"/>
            <w:szCs w:val="21"/>
          </w:rPr>
          <w:t>Ensuring safe visitor access to residential aged care</w:t>
        </w:r>
      </w:hyperlink>
      <w:r w:rsidR="00000C49">
        <w:rPr>
          <w:rFonts w:cs="Arial"/>
          <w:szCs w:val="21"/>
        </w:rPr>
        <w:t xml:space="preserve"> &lt;</w:t>
      </w:r>
      <w:r w:rsidR="00000C49" w:rsidRPr="00000C49">
        <w:rPr>
          <w:rFonts w:cs="Arial"/>
          <w:szCs w:val="21"/>
        </w:rPr>
        <w:t>https://www.agedcarequality.gov.au/resource-library/ensuring-safe-visitor-access-residential-aged-care</w:t>
      </w:r>
      <w:r w:rsidR="00000C49">
        <w:rPr>
          <w:rFonts w:cs="Arial"/>
          <w:szCs w:val="21"/>
        </w:rPr>
        <w:t>&gt;</w:t>
      </w:r>
    </w:p>
    <w:p w14:paraId="7BAF6A6D" w14:textId="3E5B2C1F" w:rsidR="002409C4" w:rsidRPr="00051CB4" w:rsidRDefault="00000000" w:rsidP="00B02C85">
      <w:pPr>
        <w:pStyle w:val="Bullet1"/>
        <w:spacing w:after="80"/>
        <w:rPr>
          <w:rFonts w:cs="Arial"/>
          <w:szCs w:val="21"/>
        </w:rPr>
      </w:pPr>
      <w:hyperlink r:id="rId94" w:history="1">
        <w:r w:rsidR="0090412D" w:rsidRPr="00051CB4">
          <w:rPr>
            <w:rStyle w:val="Hyperlink"/>
            <w:rFonts w:cs="Arial"/>
            <w:szCs w:val="21"/>
          </w:rPr>
          <w:t>Coronavirus (COVID-19) – National aged care guidance – aged care visitation guidelines</w:t>
        </w:r>
      </w:hyperlink>
      <w:r w:rsidR="002409C4" w:rsidRPr="00051CB4">
        <w:rPr>
          <w:rFonts w:cs="Arial"/>
          <w:szCs w:val="21"/>
        </w:rPr>
        <w:t xml:space="preserve"> &lt;https://www.health.gov.au/resources/publications/coronavirus-covid-19-national-aged-care-guidance-aged-care-visitation-guidelines&gt;</w:t>
      </w:r>
    </w:p>
    <w:p w14:paraId="01B01932" w14:textId="796C6F36" w:rsidR="002409C4" w:rsidRPr="00051CB4" w:rsidRDefault="00000000" w:rsidP="00B02C85">
      <w:pPr>
        <w:pStyle w:val="Bullet1"/>
        <w:spacing w:after="80"/>
        <w:rPr>
          <w:rFonts w:cs="Arial"/>
          <w:szCs w:val="21"/>
        </w:rPr>
      </w:pPr>
      <w:hyperlink r:id="rId95" w:history="1">
        <w:r w:rsidR="004A2C75" w:rsidRPr="00210EC8">
          <w:rPr>
            <w:rStyle w:val="Hyperlink"/>
            <w:rFonts w:cs="Arial"/>
            <w:szCs w:val="21"/>
          </w:rPr>
          <w:t>Industry Code for Visiting in Aged Care Homes</w:t>
        </w:r>
      </w:hyperlink>
      <w:r w:rsidR="002409C4" w:rsidRPr="00051CB4">
        <w:rPr>
          <w:rFonts w:cs="Arial"/>
          <w:szCs w:val="21"/>
        </w:rPr>
        <w:t xml:space="preserve"> &lt;https://www.cota.org.au/policy/aged-care-reform/agedcarevisitors/&gt;</w:t>
      </w:r>
    </w:p>
    <w:p w14:paraId="71610947" w14:textId="42B6CDA5" w:rsidR="002409C4" w:rsidRDefault="00000000" w:rsidP="00B02C85">
      <w:pPr>
        <w:pStyle w:val="Bullet1"/>
        <w:spacing w:after="80"/>
        <w:rPr>
          <w:rFonts w:cs="Arial"/>
          <w:szCs w:val="21"/>
        </w:rPr>
      </w:pPr>
      <w:hyperlink r:id="rId96" w:history="1">
        <w:r w:rsidR="004A2C75" w:rsidRPr="00210EC8">
          <w:rPr>
            <w:rStyle w:val="Hyperlink"/>
            <w:rFonts w:cs="Arial"/>
            <w:szCs w:val="21"/>
          </w:rPr>
          <w:t>Partnerships</w:t>
        </w:r>
      </w:hyperlink>
      <w:r w:rsidR="004A2C75" w:rsidRPr="00210EC8">
        <w:rPr>
          <w:rFonts w:cs="Arial"/>
          <w:szCs w:val="21"/>
        </w:rPr>
        <w:t xml:space="preserve"> in care</w:t>
      </w:r>
      <w:r w:rsidR="002409C4" w:rsidRPr="00051CB4">
        <w:rPr>
          <w:rFonts w:cs="Arial"/>
          <w:szCs w:val="21"/>
        </w:rPr>
        <w:t xml:space="preserve"> </w:t>
      </w:r>
      <w:r w:rsidR="00E5157B">
        <w:rPr>
          <w:rFonts w:cs="Arial"/>
          <w:szCs w:val="21"/>
        </w:rPr>
        <w:t>&lt;</w:t>
      </w:r>
      <w:r w:rsidR="00E5157B" w:rsidRPr="00210EC8">
        <w:t>https://www.agedcarequality.gov.au/resource-library/partnerships-care&gt;</w:t>
      </w:r>
    </w:p>
    <w:p w14:paraId="321E7ECF" w14:textId="77777777" w:rsidR="002E3159" w:rsidRPr="00B02C85" w:rsidRDefault="002E3159" w:rsidP="00B02C85">
      <w:pPr>
        <w:pStyle w:val="Body"/>
      </w:pPr>
      <w:bookmarkStart w:id="1351" w:name="_Toc112144750"/>
      <w:bookmarkStart w:id="1352" w:name="_Toc113443418"/>
      <w:bookmarkStart w:id="1353" w:name="_Toc108623937"/>
      <w:r w:rsidRPr="00B02C85">
        <w:br w:type="page"/>
      </w:r>
    </w:p>
    <w:p w14:paraId="36163A50" w14:textId="182B0148" w:rsidR="001D7BA0" w:rsidRPr="0014515B" w:rsidRDefault="001D7BA0" w:rsidP="001D7BA0">
      <w:pPr>
        <w:pStyle w:val="Heading2"/>
      </w:pPr>
      <w:bookmarkStart w:id="1354" w:name="_Toc163573618"/>
      <w:r w:rsidRPr="0014515B">
        <w:lastRenderedPageBreak/>
        <w:t xml:space="preserve">Appendix </w:t>
      </w:r>
      <w:r w:rsidR="00722E3B" w:rsidRPr="0014515B">
        <w:t>B</w:t>
      </w:r>
      <w:r w:rsidRPr="0014515B">
        <w:t>: Department of Health and LPHU contact details</w:t>
      </w:r>
      <w:bookmarkEnd w:id="1351"/>
      <w:bookmarkEnd w:id="1352"/>
      <w:bookmarkEnd w:id="1354"/>
    </w:p>
    <w:p w14:paraId="0DC7D832" w14:textId="3A262DF3" w:rsidR="001D7BA0" w:rsidRPr="0014515B" w:rsidRDefault="001D7BA0" w:rsidP="001D7BA0">
      <w:pPr>
        <w:pStyle w:val="Body"/>
      </w:pPr>
    </w:p>
    <w:tbl>
      <w:tblPr>
        <w:tblStyle w:val="TableGrid"/>
        <w:tblW w:w="0" w:type="auto"/>
        <w:tblLook w:val="04A0" w:firstRow="1" w:lastRow="0" w:firstColumn="1" w:lastColumn="0" w:noHBand="0" w:noVBand="1"/>
      </w:tblPr>
      <w:tblGrid>
        <w:gridCol w:w="3054"/>
        <w:gridCol w:w="6234"/>
      </w:tblGrid>
      <w:tr w:rsidR="001D7BA0" w:rsidRPr="0014515B" w14:paraId="33F462E5" w14:textId="77777777" w:rsidTr="00C329AC">
        <w:tc>
          <w:tcPr>
            <w:tcW w:w="3291" w:type="dxa"/>
            <w:shd w:val="clear" w:color="auto" w:fill="DBE5F1" w:themeFill="accent1" w:themeFillTint="33"/>
          </w:tcPr>
          <w:p w14:paraId="46BDB46E" w14:textId="77777777" w:rsidR="001D7BA0" w:rsidRPr="0014515B" w:rsidRDefault="001D7BA0" w:rsidP="00C329AC">
            <w:pPr>
              <w:pStyle w:val="Tablecolhead"/>
            </w:pPr>
            <w:r w:rsidRPr="0014515B">
              <w:t>Organisation Name</w:t>
            </w:r>
          </w:p>
        </w:tc>
        <w:tc>
          <w:tcPr>
            <w:tcW w:w="6598" w:type="dxa"/>
            <w:shd w:val="clear" w:color="auto" w:fill="DBE5F1" w:themeFill="accent1" w:themeFillTint="33"/>
          </w:tcPr>
          <w:p w14:paraId="76BFB7A0" w14:textId="77777777" w:rsidR="001D7BA0" w:rsidRPr="0014515B" w:rsidRDefault="001D7BA0" w:rsidP="00C329AC">
            <w:pPr>
              <w:pStyle w:val="Tablecolhead"/>
            </w:pPr>
            <w:r w:rsidRPr="0014515B">
              <w:t>Phone/email</w:t>
            </w:r>
          </w:p>
        </w:tc>
      </w:tr>
      <w:tr w:rsidR="001D7BA0" w:rsidRPr="0014515B" w14:paraId="3CCA7E40" w14:textId="77777777" w:rsidTr="6B2561BA">
        <w:tc>
          <w:tcPr>
            <w:tcW w:w="3291" w:type="dxa"/>
          </w:tcPr>
          <w:p w14:paraId="4182C914" w14:textId="77777777" w:rsidR="001D7BA0" w:rsidRPr="0014515B" w:rsidRDefault="001D7BA0" w:rsidP="007E0A47">
            <w:pPr>
              <w:pStyle w:val="Body"/>
            </w:pPr>
            <w:r w:rsidRPr="0014515B">
              <w:t>Communicable Diseases, Victorian Department of Health</w:t>
            </w:r>
          </w:p>
        </w:tc>
        <w:tc>
          <w:tcPr>
            <w:tcW w:w="6598" w:type="dxa"/>
          </w:tcPr>
          <w:p w14:paraId="467958F8" w14:textId="77777777" w:rsidR="003D446D" w:rsidRDefault="001D7BA0" w:rsidP="003D446D">
            <w:pPr>
              <w:pStyle w:val="Body"/>
            </w:pPr>
            <w:r w:rsidRPr="0014515B">
              <w:t>1300</w:t>
            </w:r>
            <w:r w:rsidR="00086B3A">
              <w:t xml:space="preserve"> </w:t>
            </w:r>
            <w:r w:rsidRPr="0014515B">
              <w:t>651</w:t>
            </w:r>
            <w:r w:rsidR="00086B3A">
              <w:t xml:space="preserve"> </w:t>
            </w:r>
            <w:r w:rsidRPr="0014515B">
              <w:t>160</w:t>
            </w:r>
          </w:p>
          <w:p w14:paraId="5168CE98" w14:textId="68B46782" w:rsidR="003D446D" w:rsidRPr="0014515B" w:rsidRDefault="003D446D" w:rsidP="003D446D">
            <w:pPr>
              <w:pStyle w:val="Body"/>
            </w:pPr>
            <w:r>
              <w:t>&lt;infectious.diseases@health.vic.gov.au&gt;</w:t>
            </w:r>
          </w:p>
        </w:tc>
      </w:tr>
      <w:tr w:rsidR="001D7BA0" w:rsidRPr="0014515B" w14:paraId="45205A5C" w14:textId="77777777" w:rsidTr="6B2561BA">
        <w:tc>
          <w:tcPr>
            <w:tcW w:w="3291" w:type="dxa"/>
          </w:tcPr>
          <w:p w14:paraId="3F5A3FB5" w14:textId="5A7E81A0" w:rsidR="001D7BA0" w:rsidRPr="0014515B" w:rsidRDefault="001D7BA0" w:rsidP="007E0A47">
            <w:pPr>
              <w:pStyle w:val="Body"/>
            </w:pPr>
            <w:r>
              <w:t xml:space="preserve">Barwon </w:t>
            </w:r>
            <w:r w:rsidR="60B3B200">
              <w:t>Southwest</w:t>
            </w:r>
            <w:r w:rsidR="4100D09D">
              <w:t xml:space="preserve"> PHU</w:t>
            </w:r>
          </w:p>
        </w:tc>
        <w:tc>
          <w:tcPr>
            <w:tcW w:w="6598" w:type="dxa"/>
          </w:tcPr>
          <w:p w14:paraId="044AD029" w14:textId="50D1A915" w:rsidR="001D7BA0" w:rsidRPr="0014515B" w:rsidRDefault="00000000" w:rsidP="003D446D">
            <w:pPr>
              <w:pStyle w:val="Body"/>
              <w:rPr>
                <w:rFonts w:eastAsia="Arial" w:cs="Arial"/>
                <w:color w:val="004C97"/>
                <w:sz w:val="20"/>
                <w:u w:val="dotted"/>
              </w:rPr>
            </w:pPr>
            <w:hyperlink r:id="rId97">
              <w:r w:rsidR="001D7BA0" w:rsidRPr="0014515B">
                <w:rPr>
                  <w:rStyle w:val="Hyperlink"/>
                  <w:rFonts w:eastAsia="Arial" w:cs="Arial"/>
                  <w:sz w:val="20"/>
                </w:rPr>
                <w:t>phu@barwonhealth.org.au</w:t>
              </w:r>
            </w:hyperlink>
            <w:r w:rsidR="001D7BA0" w:rsidRPr="0014515B">
              <w:rPr>
                <w:rStyle w:val="Hyperlink"/>
                <w:rFonts w:eastAsia="Arial" w:cs="Arial"/>
                <w:sz w:val="20"/>
              </w:rPr>
              <w:t xml:space="preserve"> </w:t>
            </w:r>
            <w:r w:rsidR="001D7BA0" w:rsidRPr="0014515B">
              <w:rPr>
                <w:rFonts w:eastAsia="Arial"/>
                <w:color w:val="000000" w:themeColor="text1"/>
                <w:sz w:val="20"/>
              </w:rPr>
              <w:t>&lt;</w:t>
            </w:r>
            <w:hyperlink r:id="rId98">
              <w:r w:rsidR="001D7BA0" w:rsidRPr="0014515B">
                <w:rPr>
                  <w:rFonts w:eastAsia="Arial"/>
                  <w:color w:val="000000" w:themeColor="text1"/>
                  <w:sz w:val="20"/>
                </w:rPr>
                <w:t>phu@barwonhealth.org.au</w:t>
              </w:r>
            </w:hyperlink>
            <w:r w:rsidR="001D7BA0" w:rsidRPr="0014515B">
              <w:rPr>
                <w:rFonts w:eastAsia="Arial"/>
                <w:color w:val="000000" w:themeColor="text1"/>
                <w:sz w:val="20"/>
              </w:rPr>
              <w:t>&gt;</w:t>
            </w:r>
          </w:p>
        </w:tc>
      </w:tr>
      <w:tr w:rsidR="001D7BA0" w:rsidRPr="0014515B" w14:paraId="12E7E78B" w14:textId="77777777" w:rsidTr="6B2561BA">
        <w:tc>
          <w:tcPr>
            <w:tcW w:w="3291" w:type="dxa"/>
          </w:tcPr>
          <w:p w14:paraId="05374E5F" w14:textId="14307850" w:rsidR="001D7BA0" w:rsidRPr="0014515B" w:rsidRDefault="001D7BA0" w:rsidP="007E0A47">
            <w:pPr>
              <w:pStyle w:val="Body"/>
            </w:pPr>
            <w:r w:rsidRPr="0014515B">
              <w:t>Gippsland</w:t>
            </w:r>
            <w:r w:rsidR="003224C2">
              <w:t xml:space="preserve"> Region</w:t>
            </w:r>
            <w:r w:rsidR="00A3313A">
              <w:t xml:space="preserve"> PHU</w:t>
            </w:r>
          </w:p>
        </w:tc>
        <w:tc>
          <w:tcPr>
            <w:tcW w:w="6598" w:type="dxa"/>
          </w:tcPr>
          <w:p w14:paraId="35C648E9" w14:textId="77777777" w:rsidR="001D7BA0" w:rsidRPr="0014515B" w:rsidRDefault="00000000" w:rsidP="003D446D">
            <w:pPr>
              <w:pStyle w:val="Body"/>
              <w:rPr>
                <w:rFonts w:eastAsia="Arial"/>
                <w:color w:val="000000" w:themeColor="text1"/>
                <w:sz w:val="20"/>
              </w:rPr>
            </w:pPr>
            <w:hyperlink r:id="rId99">
              <w:r w:rsidR="001D7BA0" w:rsidRPr="0014515B">
                <w:rPr>
                  <w:rStyle w:val="Hyperlink"/>
                  <w:rFonts w:eastAsia="Arial" w:cs="Arial"/>
                  <w:sz w:val="20"/>
                </w:rPr>
                <w:t>phu@lrh.com.au</w:t>
              </w:r>
            </w:hyperlink>
            <w:r w:rsidR="001D7BA0" w:rsidRPr="0014515B">
              <w:rPr>
                <w:rStyle w:val="Hyperlink"/>
                <w:rFonts w:eastAsia="Arial" w:cs="Arial"/>
                <w:sz w:val="20"/>
              </w:rPr>
              <w:t xml:space="preserve"> </w:t>
            </w:r>
            <w:r w:rsidR="001D7BA0" w:rsidRPr="0014515B">
              <w:rPr>
                <w:rFonts w:eastAsia="Arial"/>
                <w:color w:val="000000" w:themeColor="text1"/>
                <w:sz w:val="20"/>
              </w:rPr>
              <w:t>&lt;</w:t>
            </w:r>
            <w:hyperlink r:id="rId100">
              <w:r w:rsidR="001D7BA0" w:rsidRPr="0014515B">
                <w:rPr>
                  <w:rFonts w:eastAsia="Arial"/>
                  <w:color w:val="000000" w:themeColor="text1"/>
                  <w:sz w:val="20"/>
                </w:rPr>
                <w:t>phu@lrh.com.au</w:t>
              </w:r>
            </w:hyperlink>
            <w:r w:rsidR="001D7BA0" w:rsidRPr="0014515B">
              <w:rPr>
                <w:rFonts w:eastAsia="Arial"/>
                <w:color w:val="000000" w:themeColor="text1"/>
                <w:sz w:val="20"/>
              </w:rPr>
              <w:t>&gt;</w:t>
            </w:r>
          </w:p>
        </w:tc>
      </w:tr>
      <w:tr w:rsidR="001D7BA0" w:rsidRPr="0014515B" w14:paraId="45FD0CA4" w14:textId="77777777" w:rsidTr="6B2561BA">
        <w:tc>
          <w:tcPr>
            <w:tcW w:w="3291" w:type="dxa"/>
          </w:tcPr>
          <w:p w14:paraId="65AA6B41" w14:textId="4F555E5B" w:rsidR="001D7BA0" w:rsidRPr="0014515B" w:rsidRDefault="001D7BA0" w:rsidP="007E0A47">
            <w:pPr>
              <w:pStyle w:val="Body"/>
            </w:pPr>
            <w:r w:rsidRPr="0014515B">
              <w:t>Goulbourn Valley</w:t>
            </w:r>
            <w:r w:rsidR="00A3313A">
              <w:t xml:space="preserve"> PHU</w:t>
            </w:r>
          </w:p>
        </w:tc>
        <w:tc>
          <w:tcPr>
            <w:tcW w:w="6598" w:type="dxa"/>
          </w:tcPr>
          <w:p w14:paraId="55E17973" w14:textId="77777777" w:rsidR="001D7BA0" w:rsidRPr="0014515B" w:rsidRDefault="00000000" w:rsidP="003D446D">
            <w:pPr>
              <w:pStyle w:val="Body"/>
              <w:rPr>
                <w:rFonts w:eastAsia="Arial"/>
                <w:color w:val="000000" w:themeColor="text1"/>
                <w:sz w:val="20"/>
              </w:rPr>
            </w:pPr>
            <w:hyperlink r:id="rId101">
              <w:r w:rsidR="001D7BA0" w:rsidRPr="0014515B">
                <w:rPr>
                  <w:rStyle w:val="Hyperlink"/>
                  <w:rFonts w:eastAsia="Arial" w:cs="Arial"/>
                  <w:sz w:val="20"/>
                </w:rPr>
                <w:t>phu@gvhealth.org.au</w:t>
              </w:r>
            </w:hyperlink>
            <w:r w:rsidR="001D7BA0" w:rsidRPr="0014515B">
              <w:rPr>
                <w:rStyle w:val="Hyperlink"/>
                <w:rFonts w:eastAsia="Arial" w:cs="Arial"/>
                <w:sz w:val="20"/>
              </w:rPr>
              <w:t xml:space="preserve"> </w:t>
            </w:r>
            <w:r w:rsidR="001D7BA0" w:rsidRPr="0014515B">
              <w:rPr>
                <w:rFonts w:eastAsia="Arial"/>
                <w:color w:val="000000" w:themeColor="text1"/>
                <w:sz w:val="20"/>
              </w:rPr>
              <w:t>&lt;</w:t>
            </w:r>
            <w:hyperlink r:id="rId102">
              <w:r w:rsidR="001D7BA0" w:rsidRPr="0014515B">
                <w:rPr>
                  <w:rFonts w:eastAsia="Arial"/>
                  <w:color w:val="000000" w:themeColor="text1"/>
                  <w:sz w:val="20"/>
                </w:rPr>
                <w:t>phu@gvhealth.org.au</w:t>
              </w:r>
            </w:hyperlink>
            <w:r w:rsidR="001D7BA0" w:rsidRPr="0014515B">
              <w:rPr>
                <w:rFonts w:eastAsia="Arial"/>
                <w:color w:val="000000" w:themeColor="text1"/>
                <w:sz w:val="20"/>
              </w:rPr>
              <w:t>&gt;</w:t>
            </w:r>
          </w:p>
        </w:tc>
      </w:tr>
      <w:tr w:rsidR="001D7BA0" w:rsidRPr="0014515B" w14:paraId="65B05629" w14:textId="77777777" w:rsidTr="6B2561BA">
        <w:tc>
          <w:tcPr>
            <w:tcW w:w="3291" w:type="dxa"/>
          </w:tcPr>
          <w:p w14:paraId="17DABD95" w14:textId="4DB08878" w:rsidR="001D7BA0" w:rsidRPr="0014515B" w:rsidRDefault="001D7BA0" w:rsidP="007E0A47">
            <w:pPr>
              <w:pStyle w:val="Body"/>
            </w:pPr>
            <w:r w:rsidRPr="0014515B">
              <w:t>Grampians</w:t>
            </w:r>
            <w:r w:rsidR="00A3313A">
              <w:t xml:space="preserve"> PHU</w:t>
            </w:r>
          </w:p>
        </w:tc>
        <w:tc>
          <w:tcPr>
            <w:tcW w:w="6598" w:type="dxa"/>
          </w:tcPr>
          <w:p w14:paraId="3DA7B3FA" w14:textId="77777777" w:rsidR="001D7BA0" w:rsidRPr="0014515B" w:rsidRDefault="00000000" w:rsidP="003D446D">
            <w:pPr>
              <w:pStyle w:val="Body"/>
              <w:rPr>
                <w:rFonts w:eastAsia="Arial"/>
                <w:color w:val="000000" w:themeColor="text1"/>
                <w:sz w:val="20"/>
              </w:rPr>
            </w:pPr>
            <w:hyperlink r:id="rId103">
              <w:r w:rsidR="001D7BA0" w:rsidRPr="0014515B">
                <w:rPr>
                  <w:rStyle w:val="Hyperlink"/>
                  <w:rFonts w:eastAsia="Arial" w:cs="Arial"/>
                  <w:sz w:val="20"/>
                </w:rPr>
                <w:t>phu@bhs.org.au</w:t>
              </w:r>
            </w:hyperlink>
            <w:r w:rsidR="001D7BA0" w:rsidRPr="0014515B">
              <w:rPr>
                <w:rStyle w:val="Hyperlink"/>
                <w:rFonts w:eastAsia="Arial" w:cs="Arial"/>
                <w:sz w:val="20"/>
              </w:rPr>
              <w:t xml:space="preserve"> </w:t>
            </w:r>
            <w:r w:rsidR="001D7BA0" w:rsidRPr="0014515B">
              <w:rPr>
                <w:rFonts w:eastAsia="Arial"/>
                <w:color w:val="000000" w:themeColor="text1"/>
                <w:sz w:val="20"/>
              </w:rPr>
              <w:t>&lt;</w:t>
            </w:r>
            <w:hyperlink r:id="rId104">
              <w:r w:rsidR="001D7BA0" w:rsidRPr="0014515B">
                <w:rPr>
                  <w:rFonts w:eastAsia="Arial"/>
                  <w:color w:val="000000" w:themeColor="text1"/>
                  <w:sz w:val="20"/>
                </w:rPr>
                <w:t>phu@bhs.org.au</w:t>
              </w:r>
            </w:hyperlink>
            <w:r w:rsidR="001D7BA0" w:rsidRPr="0014515B">
              <w:rPr>
                <w:rFonts w:eastAsia="Arial"/>
                <w:color w:val="000000" w:themeColor="text1"/>
                <w:sz w:val="20"/>
              </w:rPr>
              <w:t>&gt;</w:t>
            </w:r>
          </w:p>
        </w:tc>
      </w:tr>
      <w:tr w:rsidR="001D7BA0" w:rsidRPr="0014515B" w14:paraId="016FB5DA" w14:textId="77777777" w:rsidTr="6B2561BA">
        <w:tc>
          <w:tcPr>
            <w:tcW w:w="3291" w:type="dxa"/>
          </w:tcPr>
          <w:p w14:paraId="38E642A7" w14:textId="69EB683B" w:rsidR="001D7BA0" w:rsidRPr="0014515B" w:rsidRDefault="001D7BA0" w:rsidP="007E0A47">
            <w:pPr>
              <w:pStyle w:val="Body"/>
            </w:pPr>
            <w:r w:rsidRPr="0014515B">
              <w:t>Loddon Mallee</w:t>
            </w:r>
            <w:r w:rsidR="00A3313A">
              <w:t xml:space="preserve"> PHU</w:t>
            </w:r>
          </w:p>
        </w:tc>
        <w:tc>
          <w:tcPr>
            <w:tcW w:w="6598" w:type="dxa"/>
          </w:tcPr>
          <w:p w14:paraId="7497DFC0" w14:textId="165064D8" w:rsidR="001D7BA0" w:rsidRPr="0014515B" w:rsidRDefault="00000000" w:rsidP="003D446D">
            <w:pPr>
              <w:pStyle w:val="Body"/>
              <w:rPr>
                <w:rFonts w:eastAsia="Arial"/>
                <w:color w:val="000000" w:themeColor="text1"/>
                <w:sz w:val="20"/>
              </w:rPr>
            </w:pPr>
            <w:hyperlink r:id="rId105" w:history="1">
              <w:r w:rsidR="00A3031F" w:rsidRPr="006F3498">
                <w:rPr>
                  <w:rStyle w:val="Hyperlink"/>
                  <w:rFonts w:eastAsia="Arial" w:cs="Arial"/>
                  <w:sz w:val="20"/>
                </w:rPr>
                <w:t>PHU@bendigohealth.org.au</w:t>
              </w:r>
            </w:hyperlink>
            <w:r w:rsidR="001D7BA0">
              <w:rPr>
                <w:rFonts w:eastAsia="Arial" w:cs="Arial"/>
                <w:sz w:val="20"/>
              </w:rPr>
              <w:t xml:space="preserve"> </w:t>
            </w:r>
            <w:r w:rsidR="003D446D">
              <w:rPr>
                <w:rFonts w:eastAsia="Arial" w:cs="Arial"/>
                <w:sz w:val="20"/>
              </w:rPr>
              <w:t>&lt;</w:t>
            </w:r>
            <w:hyperlink r:id="rId106">
              <w:r w:rsidR="001D7BA0" w:rsidRPr="0014515B">
                <w:rPr>
                  <w:rFonts w:eastAsia="Arial"/>
                  <w:color w:val="000000" w:themeColor="text1"/>
                  <w:sz w:val="20"/>
                </w:rPr>
                <w:t>PHU@bendigohealth.org.au</w:t>
              </w:r>
            </w:hyperlink>
            <w:r w:rsidR="001D7BA0" w:rsidRPr="0014515B">
              <w:rPr>
                <w:rFonts w:eastAsia="Arial"/>
                <w:color w:val="000000" w:themeColor="text1"/>
                <w:sz w:val="20"/>
              </w:rPr>
              <w:t>&gt;</w:t>
            </w:r>
          </w:p>
        </w:tc>
      </w:tr>
      <w:tr w:rsidR="001D7BA0" w:rsidRPr="0014515B" w14:paraId="7A72F01F" w14:textId="77777777" w:rsidTr="6B2561BA">
        <w:tc>
          <w:tcPr>
            <w:tcW w:w="3291" w:type="dxa"/>
          </w:tcPr>
          <w:p w14:paraId="35A00B4B" w14:textId="6714875E" w:rsidR="001D7BA0" w:rsidRPr="0014515B" w:rsidRDefault="00A37A07" w:rsidP="007E0A47">
            <w:pPr>
              <w:pStyle w:val="Body"/>
            </w:pPr>
            <w:bookmarkStart w:id="1355" w:name="_Int_BagCePDG"/>
            <w:r>
              <w:t xml:space="preserve">North Eastern </w:t>
            </w:r>
            <w:r w:rsidR="001D7BA0">
              <w:t>PHU</w:t>
            </w:r>
            <w:bookmarkEnd w:id="1355"/>
            <w:r w:rsidR="00380CBB">
              <w:t xml:space="preserve"> (NEPHU)</w:t>
            </w:r>
          </w:p>
        </w:tc>
        <w:tc>
          <w:tcPr>
            <w:tcW w:w="6598" w:type="dxa"/>
          </w:tcPr>
          <w:p w14:paraId="57DDFE55" w14:textId="77777777" w:rsidR="001D7BA0" w:rsidRPr="0014515B" w:rsidRDefault="00000000" w:rsidP="003D446D">
            <w:pPr>
              <w:pStyle w:val="Body"/>
              <w:rPr>
                <w:rFonts w:eastAsia="Arial"/>
                <w:color w:val="000000" w:themeColor="text1"/>
                <w:sz w:val="20"/>
              </w:rPr>
            </w:pPr>
            <w:hyperlink r:id="rId107">
              <w:r w:rsidR="001D7BA0" w:rsidRPr="0014515B">
                <w:rPr>
                  <w:rStyle w:val="Hyperlink"/>
                  <w:rFonts w:eastAsia="Arial" w:cs="Arial"/>
                  <w:sz w:val="20"/>
                </w:rPr>
                <w:t>nephu@austin.org.au</w:t>
              </w:r>
            </w:hyperlink>
            <w:r w:rsidR="001D7BA0" w:rsidRPr="0014515B">
              <w:rPr>
                <w:rStyle w:val="Hyperlink"/>
                <w:rFonts w:eastAsia="Arial" w:cs="Arial"/>
                <w:sz w:val="20"/>
              </w:rPr>
              <w:t xml:space="preserve"> </w:t>
            </w:r>
            <w:r w:rsidR="001D7BA0" w:rsidRPr="0014515B">
              <w:rPr>
                <w:rFonts w:eastAsia="Arial"/>
                <w:color w:val="000000" w:themeColor="text1"/>
                <w:sz w:val="20"/>
              </w:rPr>
              <w:t>&lt;</w:t>
            </w:r>
            <w:hyperlink r:id="rId108">
              <w:r w:rsidR="001D7BA0" w:rsidRPr="0014515B">
                <w:rPr>
                  <w:rFonts w:eastAsia="Arial"/>
                  <w:color w:val="000000" w:themeColor="text1"/>
                  <w:sz w:val="20"/>
                </w:rPr>
                <w:t>nephu@austin.org.au</w:t>
              </w:r>
            </w:hyperlink>
            <w:r w:rsidR="001D7BA0" w:rsidRPr="0014515B">
              <w:rPr>
                <w:rFonts w:eastAsia="Arial"/>
                <w:color w:val="000000" w:themeColor="text1"/>
                <w:sz w:val="20"/>
              </w:rPr>
              <w:t>&gt;</w:t>
            </w:r>
          </w:p>
        </w:tc>
      </w:tr>
      <w:tr w:rsidR="001D7BA0" w:rsidRPr="0014515B" w14:paraId="58BB4F94" w14:textId="77777777" w:rsidTr="6B2561BA">
        <w:tc>
          <w:tcPr>
            <w:tcW w:w="3291" w:type="dxa"/>
          </w:tcPr>
          <w:p w14:paraId="2672CF06" w14:textId="41B53F31" w:rsidR="001D7BA0" w:rsidRPr="0014515B" w:rsidRDefault="001D7BA0" w:rsidP="007E0A47">
            <w:pPr>
              <w:pStyle w:val="Body"/>
            </w:pPr>
            <w:r w:rsidRPr="0014515B">
              <w:t>Ovens Murray</w:t>
            </w:r>
            <w:r w:rsidR="00A3313A">
              <w:t xml:space="preserve"> PHU</w:t>
            </w:r>
          </w:p>
        </w:tc>
        <w:tc>
          <w:tcPr>
            <w:tcW w:w="6598" w:type="dxa"/>
          </w:tcPr>
          <w:p w14:paraId="1D7CD31A" w14:textId="77777777" w:rsidR="001D7BA0" w:rsidRPr="0014515B" w:rsidRDefault="00000000" w:rsidP="003D446D">
            <w:pPr>
              <w:pStyle w:val="Body"/>
            </w:pPr>
            <w:hyperlink r:id="rId109" w:history="1">
              <w:r w:rsidR="001D7BA0" w:rsidRPr="000F46E2">
                <w:rPr>
                  <w:rStyle w:val="Hyperlink"/>
                </w:rPr>
                <w:t>phu@awh.org.au</w:t>
              </w:r>
            </w:hyperlink>
            <w:r w:rsidR="001D7BA0">
              <w:t xml:space="preserve"> </w:t>
            </w:r>
            <w:r w:rsidR="001D7BA0" w:rsidRPr="00D42525">
              <w:rPr>
                <w:rFonts w:eastAsia="Arial"/>
                <w:color w:val="000000" w:themeColor="text1"/>
                <w:sz w:val="20"/>
              </w:rPr>
              <w:t>&lt;</w:t>
            </w:r>
            <w:r w:rsidR="001D7BA0" w:rsidRPr="00FF3094">
              <w:rPr>
                <w:rFonts w:eastAsia="Arial"/>
                <w:color w:val="000000" w:themeColor="text1"/>
              </w:rPr>
              <w:t>phu@awh.org.au</w:t>
            </w:r>
            <w:r w:rsidR="001D7BA0" w:rsidRPr="00D42525">
              <w:rPr>
                <w:rFonts w:eastAsia="Arial"/>
                <w:color w:val="000000" w:themeColor="text1"/>
                <w:sz w:val="20"/>
              </w:rPr>
              <w:t>&gt;</w:t>
            </w:r>
          </w:p>
        </w:tc>
      </w:tr>
      <w:tr w:rsidR="001D7BA0" w:rsidRPr="0014515B" w14:paraId="4C975596" w14:textId="77777777" w:rsidTr="6B2561BA">
        <w:tc>
          <w:tcPr>
            <w:tcW w:w="3291" w:type="dxa"/>
          </w:tcPr>
          <w:p w14:paraId="24E8D761" w14:textId="199A16F0" w:rsidR="001D7BA0" w:rsidRPr="0014515B" w:rsidRDefault="00A37A07" w:rsidP="007E0A47">
            <w:pPr>
              <w:pStyle w:val="Body"/>
            </w:pPr>
            <w:r>
              <w:t xml:space="preserve">South East </w:t>
            </w:r>
            <w:r w:rsidR="001D7BA0" w:rsidRPr="0014515B">
              <w:t>PHU</w:t>
            </w:r>
            <w:r w:rsidR="00380CBB">
              <w:t xml:space="preserve"> (SEPHU)</w:t>
            </w:r>
          </w:p>
        </w:tc>
        <w:tc>
          <w:tcPr>
            <w:tcW w:w="6598" w:type="dxa"/>
          </w:tcPr>
          <w:p w14:paraId="139B6C53" w14:textId="77777777" w:rsidR="001D7BA0" w:rsidRPr="0014515B" w:rsidRDefault="00000000" w:rsidP="003D446D">
            <w:pPr>
              <w:pStyle w:val="Body"/>
              <w:rPr>
                <w:rFonts w:eastAsia="Arial"/>
                <w:color w:val="000000" w:themeColor="text1"/>
                <w:sz w:val="20"/>
              </w:rPr>
            </w:pPr>
            <w:hyperlink r:id="rId110">
              <w:r w:rsidR="001D7BA0" w:rsidRPr="0014515B">
                <w:rPr>
                  <w:rStyle w:val="Hyperlink"/>
                  <w:rFonts w:eastAsia="Arial" w:cs="Arial"/>
                  <w:sz w:val="20"/>
                </w:rPr>
                <w:t>sephu.trace@monashhealth.org</w:t>
              </w:r>
            </w:hyperlink>
            <w:r w:rsidR="001D7BA0" w:rsidRPr="0014515B">
              <w:rPr>
                <w:rStyle w:val="Hyperlink"/>
                <w:rFonts w:eastAsia="Arial" w:cs="Arial"/>
                <w:sz w:val="20"/>
              </w:rPr>
              <w:t xml:space="preserve"> </w:t>
            </w:r>
            <w:r w:rsidR="001D7BA0" w:rsidRPr="0014515B">
              <w:rPr>
                <w:rFonts w:eastAsia="Arial"/>
                <w:color w:val="000000" w:themeColor="text1"/>
                <w:sz w:val="20"/>
              </w:rPr>
              <w:t>&lt;</w:t>
            </w:r>
            <w:hyperlink r:id="rId111">
              <w:r w:rsidR="001D7BA0" w:rsidRPr="0014515B">
                <w:rPr>
                  <w:rFonts w:eastAsia="Arial"/>
                  <w:color w:val="000000" w:themeColor="text1"/>
                  <w:sz w:val="20"/>
                </w:rPr>
                <w:t>sephu.trace@monashhealth.org</w:t>
              </w:r>
            </w:hyperlink>
            <w:r w:rsidR="001D7BA0" w:rsidRPr="0014515B">
              <w:rPr>
                <w:rFonts w:eastAsia="Arial"/>
                <w:color w:val="000000" w:themeColor="text1"/>
                <w:sz w:val="20"/>
              </w:rPr>
              <w:t>&gt;</w:t>
            </w:r>
          </w:p>
        </w:tc>
      </w:tr>
      <w:tr w:rsidR="001D7BA0" w14:paraId="3B98E693" w14:textId="77777777" w:rsidTr="6B2561BA">
        <w:tc>
          <w:tcPr>
            <w:tcW w:w="3291" w:type="dxa"/>
          </w:tcPr>
          <w:p w14:paraId="64BB467D" w14:textId="476EBD58" w:rsidR="001D7BA0" w:rsidRPr="0014515B" w:rsidRDefault="00A37A07" w:rsidP="007E0A47">
            <w:pPr>
              <w:pStyle w:val="Body"/>
            </w:pPr>
            <w:r>
              <w:t xml:space="preserve">Western </w:t>
            </w:r>
            <w:r w:rsidR="001D7BA0" w:rsidRPr="0014515B">
              <w:t>PHU</w:t>
            </w:r>
            <w:r w:rsidR="00380CBB">
              <w:t xml:space="preserve"> (WPHU)</w:t>
            </w:r>
          </w:p>
        </w:tc>
        <w:tc>
          <w:tcPr>
            <w:tcW w:w="6598" w:type="dxa"/>
          </w:tcPr>
          <w:p w14:paraId="7F8C11EE" w14:textId="77777777" w:rsidR="001D7BA0" w:rsidRDefault="00000000" w:rsidP="003D446D">
            <w:pPr>
              <w:pStyle w:val="Body"/>
            </w:pPr>
            <w:hyperlink r:id="rId112">
              <w:r w:rsidR="001D7BA0" w:rsidRPr="0014515B">
                <w:rPr>
                  <w:rStyle w:val="Hyperlink"/>
                  <w:rFonts w:eastAsia="Arial" w:cs="Arial"/>
                  <w:sz w:val="20"/>
                </w:rPr>
                <w:t>wphu@wh.org.au</w:t>
              </w:r>
            </w:hyperlink>
            <w:r w:rsidR="001D7BA0" w:rsidRPr="0014515B">
              <w:rPr>
                <w:rStyle w:val="Hyperlink"/>
                <w:rFonts w:eastAsia="Arial" w:cs="Arial"/>
                <w:sz w:val="20"/>
              </w:rPr>
              <w:t xml:space="preserve"> </w:t>
            </w:r>
            <w:r w:rsidR="001D7BA0" w:rsidRPr="0014515B">
              <w:rPr>
                <w:rFonts w:eastAsia="Arial"/>
                <w:color w:val="000000" w:themeColor="text1"/>
                <w:sz w:val="20"/>
              </w:rPr>
              <w:t>&lt;</w:t>
            </w:r>
            <w:hyperlink r:id="rId113">
              <w:r w:rsidR="001D7BA0" w:rsidRPr="0014515B">
                <w:rPr>
                  <w:rFonts w:eastAsia="Arial"/>
                  <w:color w:val="000000" w:themeColor="text1"/>
                  <w:sz w:val="20"/>
                </w:rPr>
                <w:t>wphu@wh.org.au</w:t>
              </w:r>
            </w:hyperlink>
            <w:r w:rsidR="001D7BA0" w:rsidRPr="0014515B">
              <w:rPr>
                <w:rFonts w:eastAsia="Arial"/>
                <w:color w:val="000000" w:themeColor="text1"/>
                <w:sz w:val="20"/>
              </w:rPr>
              <w:t>&gt;</w:t>
            </w:r>
          </w:p>
        </w:tc>
      </w:tr>
      <w:bookmarkEnd w:id="5"/>
      <w:bookmarkEnd w:id="1347"/>
      <w:bookmarkEnd w:id="1348"/>
      <w:bookmarkEnd w:id="1349"/>
      <w:bookmarkEnd w:id="1350"/>
      <w:bookmarkEnd w:id="1353"/>
    </w:tbl>
    <w:p w14:paraId="4F902392" w14:textId="77777777" w:rsidR="009370EA" w:rsidRDefault="009370EA" w:rsidP="00C329AC">
      <w:pPr>
        <w:pStyle w:val="Body"/>
      </w:pPr>
    </w:p>
    <w:sectPr w:rsidR="009370EA" w:rsidSect="00FE55D3">
      <w:pgSz w:w="11906" w:h="16838" w:code="9"/>
      <w:pgMar w:top="1418" w:right="1304" w:bottom="1134"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C1AAF" w14:textId="77777777" w:rsidR="00E81A88" w:rsidRDefault="00E81A88">
      <w:r>
        <w:separator/>
      </w:r>
    </w:p>
    <w:p w14:paraId="333880EB" w14:textId="77777777" w:rsidR="00E81A88" w:rsidRDefault="00E81A88"/>
  </w:endnote>
  <w:endnote w:type="continuationSeparator" w:id="0">
    <w:p w14:paraId="0B49BDAA" w14:textId="77777777" w:rsidR="00E81A88" w:rsidRDefault="00E81A88">
      <w:r>
        <w:continuationSeparator/>
      </w:r>
    </w:p>
    <w:p w14:paraId="26FDDA82" w14:textId="77777777" w:rsidR="00E81A88" w:rsidRDefault="00E81A88"/>
  </w:endnote>
  <w:endnote w:type="continuationNotice" w:id="1">
    <w:p w14:paraId="6ABDA1C0" w14:textId="77777777" w:rsidR="00E81A88" w:rsidRDefault="00E81A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744A" w14:textId="117C8745" w:rsidR="00E80E7D" w:rsidRDefault="00E80E7D">
    <w:pPr>
      <w:pStyle w:val="Footer"/>
    </w:pPr>
    <w:r>
      <w:rPr>
        <w:noProof/>
      </w:rPr>
      <mc:AlternateContent>
        <mc:Choice Requires="wps">
          <w:drawing>
            <wp:anchor distT="0" distB="0" distL="114300" distR="114300" simplePos="0" relativeHeight="251658240" behindDoc="0" locked="0" layoutInCell="0" allowOverlap="1" wp14:anchorId="1D6E16DE" wp14:editId="23701346">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F6DB39"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1D6E16DE" id="_x0000_t202" coordsize="21600,21600" o:spt="202" path="m,l,21600r21600,l21600,xe">
              <v:stroke joinstyle="miter"/>
              <v:path gradientshapeok="t" o:connecttype="rect"/>
            </v:shapetype>
            <v:shape id="Text Box 7"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BF6DB39"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557E" w14:textId="5ECE5908" w:rsidR="00E80E7D" w:rsidRDefault="00E80E7D">
    <w:pPr>
      <w:pStyle w:val="Footer"/>
    </w:pPr>
    <w:r>
      <w:rPr>
        <w:noProof/>
      </w:rPr>
      <mc:AlternateContent>
        <mc:Choice Requires="wps">
          <w:drawing>
            <wp:anchor distT="0" distB="0" distL="114300" distR="114300" simplePos="0" relativeHeight="251658243" behindDoc="0" locked="0" layoutInCell="0" allowOverlap="1" wp14:anchorId="2D3A6605" wp14:editId="5A227C85">
              <wp:simplePos x="0" y="0"/>
              <wp:positionH relativeFrom="page">
                <wp:align>center</wp:align>
              </wp:positionH>
              <wp:positionV relativeFrom="page">
                <wp:align>bottom</wp:align>
              </wp:positionV>
              <wp:extent cx="7772400" cy="502285"/>
              <wp:effectExtent l="0" t="0" r="0" b="12065"/>
              <wp:wrapNone/>
              <wp:docPr id="1" name="Text Box 1"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3E29C" w14:textId="3ED66B73"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D3A6605" id="_x0000_t202" coordsize="21600,21600" o:spt="202" path="m,l,21600r21600,l21600,xe">
              <v:stroke joinstyle="miter"/>
              <v:path gradientshapeok="t" o:connecttype="rect"/>
            </v:shapetype>
            <v:shape id="Text Box 1"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2903E29C" w14:textId="3ED66B73"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7B9C" w14:textId="2BB7539E" w:rsidR="00E80E7D" w:rsidRDefault="00E80E7D">
    <w:pPr>
      <w:pStyle w:val="Footer"/>
    </w:pPr>
    <w:r>
      <w:rPr>
        <w:noProof/>
      </w:rPr>
      <mc:AlternateContent>
        <mc:Choice Requires="wps">
          <w:drawing>
            <wp:anchor distT="0" distB="0" distL="114300" distR="114300" simplePos="0" relativeHeight="251658244" behindDoc="0" locked="0" layoutInCell="0" allowOverlap="1" wp14:anchorId="330FA89E" wp14:editId="5DC9A64F">
              <wp:simplePos x="0" y="9365456"/>
              <wp:positionH relativeFrom="page">
                <wp:align>center</wp:align>
              </wp:positionH>
              <wp:positionV relativeFrom="page">
                <wp:align>bottom</wp:align>
              </wp:positionV>
              <wp:extent cx="7772400" cy="502285"/>
              <wp:effectExtent l="0" t="0" r="0" b="12065"/>
              <wp:wrapNone/>
              <wp:docPr id="8" name="Text Box 8"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95DF8" w14:textId="2AD6EBC6"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330FA89E" id="_x0000_t202" coordsize="21600,21600" o:spt="202" path="m,l,21600r21600,l21600,xe">
              <v:stroke joinstyle="miter"/>
              <v:path gradientshapeok="t" o:connecttype="rect"/>
            </v:shapetype>
            <v:shape id="Text Box 8" o:spid="_x0000_s1028"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62A95DF8" w14:textId="2AD6EBC6"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43D1" w14:textId="08254A25" w:rsidR="00E80E7D" w:rsidRDefault="00E80E7D">
    <w:pPr>
      <w:pStyle w:val="Footer"/>
    </w:pPr>
    <w:r>
      <w:rPr>
        <w:noProof/>
        <w:lang w:eastAsia="en-AU"/>
      </w:rPr>
      <mc:AlternateContent>
        <mc:Choice Requires="wps">
          <w:drawing>
            <wp:anchor distT="0" distB="0" distL="114300" distR="114300" simplePos="0" relativeHeight="251658242" behindDoc="0" locked="0" layoutInCell="0" allowOverlap="1" wp14:anchorId="51E5FB3C" wp14:editId="7EE40D74">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95B5B" w14:textId="77777777" w:rsidR="00E80E7D" w:rsidRPr="002C5B7C" w:rsidRDefault="00E80E7D"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51E5FB3C" id="_x0000_t202" coordsize="21600,21600" o:spt="202" path="m,l,21600r21600,l21600,xe">
              <v:stroke joinstyle="miter"/>
              <v:path gradientshapeok="t" o:connecttype="rect"/>
            </v:shapetype>
            <v:shape id="Text Box 4"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8F95B5B" w14:textId="77777777" w:rsidR="00E80E7D" w:rsidRPr="002C5B7C" w:rsidRDefault="00E80E7D"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FEF0" w14:textId="7B46B91D" w:rsidR="00E80E7D" w:rsidRDefault="00E80E7D">
    <w:pPr>
      <w:pStyle w:val="Footer"/>
    </w:pPr>
    <w:r>
      <w:rPr>
        <w:noProof/>
        <w:lang w:eastAsia="en-AU"/>
      </w:rPr>
      <mc:AlternateContent>
        <mc:Choice Requires="wps">
          <w:drawing>
            <wp:anchor distT="0" distB="0" distL="114300" distR="114300" simplePos="0" relativeHeight="251658241" behindDoc="0" locked="0" layoutInCell="0" allowOverlap="1" wp14:anchorId="26654040" wp14:editId="63389587">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E1FEC"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26654040" id="_x0000_t202" coordsize="21600,21600" o:spt="202" path="m,l,21600r21600,l21600,xe">
              <v:stroke joinstyle="miter"/>
              <v:path gradientshapeok="t" o:connecttype="rect"/>
            </v:shapetype>
            <v:shape id="Text Box 11" o:spid="_x0000_s1030"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3C0E1FEC" w14:textId="77777777" w:rsidR="00E80E7D" w:rsidRPr="00EB4BC7" w:rsidRDefault="00E80E7D"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0DAF" w14:textId="61009C04" w:rsidR="00E80E7D" w:rsidRDefault="00E80E7D">
    <w:pPr>
      <w:pStyle w:val="Footer"/>
    </w:pPr>
    <w:r>
      <w:rPr>
        <w:noProof/>
      </w:rPr>
      <mc:AlternateContent>
        <mc:Choice Requires="wps">
          <w:drawing>
            <wp:anchor distT="0" distB="0" distL="114300" distR="114300" simplePos="0" relativeHeight="251658246" behindDoc="0" locked="0" layoutInCell="0" allowOverlap="1" wp14:anchorId="6F6E27FB" wp14:editId="25315A7B">
              <wp:simplePos x="0" y="0"/>
              <wp:positionH relativeFrom="page">
                <wp:align>center</wp:align>
              </wp:positionH>
              <wp:positionV relativeFrom="page">
                <wp:align>bottom</wp:align>
              </wp:positionV>
              <wp:extent cx="7772400" cy="502285"/>
              <wp:effectExtent l="0" t="0" r="0" b="12065"/>
              <wp:wrapNone/>
              <wp:docPr id="14" name="Text Box 14" descr="{&quot;HashCode&quot;:904758361,&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42793A" w14:textId="00B630AC"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6F6E27FB" id="_x0000_t202" coordsize="21600,21600" o:spt="202" path="m,l,21600r21600,l21600,xe">
              <v:stroke joinstyle="miter"/>
              <v:path gradientshapeok="t" o:connecttype="rect"/>
            </v:shapetype>
            <v:shape id="Text Box 14" o:spid="_x0000_s1031" type="#_x0000_t202" alt="{&quot;HashCode&quot;:904758361,&quot;Height&quot;:9999999.0,&quot;Width&quot;:9999999.0,&quot;Placement&quot;:&quot;Footer&quot;,&quot;Index&quot;:&quot;FirstPage&quot;,&quot;Section&quot;:2,&quot;Top&quot;:0.0,&quot;Left&quot;:0.0}" style="position:absolute;left:0;text-align:left;margin-left:0;margin-top:0;width:612pt;height:39.55pt;z-index:25165824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6842793A" w14:textId="00B630AC" w:rsidR="00E80E7D" w:rsidRPr="005D7856" w:rsidRDefault="00E80E7D" w:rsidP="005D7856">
                    <w:pPr>
                      <w:spacing w:after="0"/>
                      <w:jc w:val="center"/>
                      <w:rPr>
                        <w:rFonts w:ascii="Arial Black" w:hAnsi="Arial Black"/>
                        <w:color w:val="000000"/>
                        <w:sz w:val="20"/>
                      </w:rPr>
                    </w:pPr>
                    <w:r w:rsidRPr="005D7856">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CBCDB" w14:textId="77777777" w:rsidR="00E81A88" w:rsidRDefault="00E81A88" w:rsidP="00207717">
      <w:pPr>
        <w:spacing w:before="120"/>
      </w:pPr>
      <w:r>
        <w:separator/>
      </w:r>
    </w:p>
  </w:footnote>
  <w:footnote w:type="continuationSeparator" w:id="0">
    <w:p w14:paraId="1F8A2362" w14:textId="77777777" w:rsidR="00E81A88" w:rsidRDefault="00E81A88">
      <w:r>
        <w:continuationSeparator/>
      </w:r>
    </w:p>
    <w:p w14:paraId="117C168F" w14:textId="77777777" w:rsidR="00E81A88" w:rsidRDefault="00E81A88"/>
  </w:footnote>
  <w:footnote w:type="continuationNotice" w:id="1">
    <w:p w14:paraId="498459B7" w14:textId="77777777" w:rsidR="00E81A88" w:rsidRDefault="00E81A88">
      <w:pPr>
        <w:spacing w:after="0" w:line="240" w:lineRule="auto"/>
      </w:pPr>
    </w:p>
  </w:footnote>
  <w:footnote w:id="2">
    <w:p w14:paraId="59D850FA" w14:textId="39D97F25" w:rsidR="00E80E7D" w:rsidRDefault="00E80E7D" w:rsidP="004C588F">
      <w:pPr>
        <w:pStyle w:val="Body"/>
      </w:pPr>
      <w:r>
        <w:rPr>
          <w:rStyle w:val="FootnoteReference"/>
        </w:rPr>
        <w:footnoteRef/>
      </w:r>
      <w:r>
        <w:t xml:space="preserve"> Dobson J, Whitley RJ, Pocock S, Monto AS. oseltamivir treatment for influenza in adults: a meta-</w:t>
      </w:r>
      <w:r>
        <w:rPr>
          <w:spacing w:val="-53"/>
        </w:rPr>
        <w:t xml:space="preserve"> </w:t>
      </w:r>
      <w:r>
        <w:t>analysis</w:t>
      </w:r>
      <w:r>
        <w:rPr>
          <w:spacing w:val="1"/>
        </w:rPr>
        <w:t xml:space="preserve"> </w:t>
      </w:r>
      <w:r>
        <w:t>of</w:t>
      </w:r>
      <w:r>
        <w:rPr>
          <w:spacing w:val="1"/>
        </w:rPr>
        <w:t xml:space="preserve"> </w:t>
      </w:r>
      <w:r>
        <w:t>randomised</w:t>
      </w:r>
      <w:r>
        <w:rPr>
          <w:spacing w:val="-2"/>
        </w:rPr>
        <w:t xml:space="preserve"> </w:t>
      </w:r>
      <w:r>
        <w:t>controlled</w:t>
      </w:r>
      <w:r>
        <w:rPr>
          <w:spacing w:val="-1"/>
        </w:rPr>
        <w:t xml:space="preserve"> </w:t>
      </w:r>
      <w:r>
        <w:t>trials. Lancet.</w:t>
      </w:r>
      <w:r>
        <w:rPr>
          <w:spacing w:val="-1"/>
        </w:rPr>
        <w:t xml:space="preserve"> </w:t>
      </w:r>
      <w:r>
        <w:t>2015;385(9979):1729-37.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63D9" w14:textId="77777777" w:rsidR="00E80E7D" w:rsidRPr="00454A7D" w:rsidRDefault="00E80E7D" w:rsidP="00454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8ED3" w14:textId="06168448" w:rsidR="00E80E7D" w:rsidRPr="0051568D" w:rsidRDefault="00E80E7D" w:rsidP="0017674D">
    <w:pPr>
      <w:pStyle w:val="Header"/>
    </w:pPr>
    <w:r w:rsidRPr="00A35A12">
      <w:rPr>
        <w:b w:val="0"/>
        <w:bCs/>
      </w:rPr>
      <w:t xml:space="preserve">Management of </w:t>
    </w:r>
    <w:r>
      <w:rPr>
        <w:b w:val="0"/>
        <w:bCs/>
      </w:rPr>
      <w:t>a</w:t>
    </w:r>
    <w:r w:rsidRPr="00A35A12">
      <w:rPr>
        <w:b w:val="0"/>
        <w:bCs/>
      </w:rPr>
      <w:t xml:space="preserve">cute </w:t>
    </w:r>
    <w:r>
      <w:rPr>
        <w:b w:val="0"/>
        <w:bCs/>
      </w:rPr>
      <w:t>r</w:t>
    </w:r>
    <w:r w:rsidRPr="00A35A12">
      <w:rPr>
        <w:b w:val="0"/>
        <w:bCs/>
      </w:rPr>
      <w:t xml:space="preserve">espiratory </w:t>
    </w:r>
    <w:r>
      <w:rPr>
        <w:b w:val="0"/>
        <w:bCs/>
      </w:rPr>
      <w:t>i</w:t>
    </w:r>
    <w:r w:rsidRPr="00A35A12">
      <w:rPr>
        <w:b w:val="0"/>
        <w:bCs/>
      </w:rPr>
      <w:t xml:space="preserve">nfection outbreaks, including COVID-19 and influenza, in </w:t>
    </w:r>
    <w:r>
      <w:rPr>
        <w:b w:val="0"/>
        <w:bCs/>
      </w:rPr>
      <w:t>RCFs</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210B" w14:textId="77777777" w:rsidR="00C577E8" w:rsidRDefault="00C57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B2C6CE0"/>
    <w:lvl w:ilvl="0">
      <w:start w:val="1"/>
      <w:numFmt w:val="decimal"/>
      <w:pStyle w:val="ListNumber3"/>
      <w:lvlText w:val="%1."/>
      <w:lvlJc w:val="left"/>
      <w:pPr>
        <w:tabs>
          <w:tab w:val="num" w:pos="926"/>
        </w:tabs>
        <w:ind w:left="926" w:hanging="360"/>
      </w:pPr>
    </w:lvl>
  </w:abstractNum>
  <w:abstractNum w:abstractNumId="1" w15:restartNumberingAfterBreak="0">
    <w:nsid w:val="02011BBA"/>
    <w:multiLevelType w:val="hybridMultilevel"/>
    <w:tmpl w:val="BA362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0E3D9A"/>
    <w:multiLevelType w:val="hybridMultilevel"/>
    <w:tmpl w:val="E72E8774"/>
    <w:lvl w:ilvl="0" w:tplc="B316C4AE">
      <w:start w:val="1"/>
      <w:numFmt w:val="decimal"/>
      <w:lvlText w:val="%1."/>
      <w:lvlJc w:val="left"/>
      <w:pPr>
        <w:ind w:left="100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D256938"/>
    <w:multiLevelType w:val="hybridMultilevel"/>
    <w:tmpl w:val="B48CE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C5255C"/>
    <w:multiLevelType w:val="hybridMultilevel"/>
    <w:tmpl w:val="C868DA9C"/>
    <w:lvl w:ilvl="0" w:tplc="039000FE">
      <w:start w:val="4"/>
      <w:numFmt w:val="decimal"/>
      <w:lvlText w:val="%1."/>
      <w:lvlJc w:val="left"/>
      <w:pPr>
        <w:ind w:left="100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37147B"/>
    <w:multiLevelType w:val="hybridMultilevel"/>
    <w:tmpl w:val="37842F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5C662B"/>
    <w:multiLevelType w:val="hybridMultilevel"/>
    <w:tmpl w:val="801C24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6101C38"/>
    <w:multiLevelType w:val="hybridMultilevel"/>
    <w:tmpl w:val="8C587BB8"/>
    <w:lvl w:ilvl="0" w:tplc="BCEC3D8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8A3701"/>
    <w:multiLevelType w:val="hybridMultilevel"/>
    <w:tmpl w:val="B150E6B2"/>
    <w:lvl w:ilvl="0" w:tplc="0F22FFCA">
      <w:start w:val="1"/>
      <w:numFmt w:val="bullet"/>
      <w:lvlText w:val="•"/>
      <w:lvlJc w:val="left"/>
      <w:pPr>
        <w:ind w:left="360" w:hanging="360"/>
      </w:pPr>
      <w:rPr>
        <w:rFonts w:ascii="Calibri" w:hAnsi="Calibri" w:hint="default"/>
        <w:b w:val="0"/>
        <w:bCs w:val="0"/>
        <w:i w:val="0"/>
        <w:iCs w:val="0"/>
        <w:color w:val="auto"/>
        <w:w w:val="99"/>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BB55E38"/>
    <w:multiLevelType w:val="hybridMultilevel"/>
    <w:tmpl w:val="B6A6A6BE"/>
    <w:lvl w:ilvl="0" w:tplc="0C090001">
      <w:start w:val="1"/>
      <w:numFmt w:val="bullet"/>
      <w:lvlText w:val=""/>
      <w:lvlJc w:val="left"/>
      <w:pPr>
        <w:ind w:left="360" w:hanging="360"/>
      </w:pPr>
      <w:rPr>
        <w:rFonts w:ascii="Symbol" w:hAnsi="Symbol" w:hint="default"/>
      </w:rPr>
    </w:lvl>
    <w:lvl w:ilvl="1" w:tplc="5EE87E1A">
      <w:start w:val="1"/>
      <w:numFmt w:val="bullet"/>
      <w:pStyle w:val="Bullet3"/>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1994BA2"/>
    <w:multiLevelType w:val="hybridMultilevel"/>
    <w:tmpl w:val="7F52C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2155CA4"/>
    <w:multiLevelType w:val="hybridMultilevel"/>
    <w:tmpl w:val="4E825298"/>
    <w:lvl w:ilvl="0" w:tplc="51407CB6">
      <w:start w:val="2"/>
      <w:numFmt w:val="decimal"/>
      <w:lvlText w:val="%1."/>
      <w:lvlJc w:val="left"/>
      <w:pPr>
        <w:ind w:left="1004"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5FE74BC"/>
    <w:multiLevelType w:val="hybridMultilevel"/>
    <w:tmpl w:val="E0EA1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DF4DAB"/>
    <w:multiLevelType w:val="multilevel"/>
    <w:tmpl w:val="A92EC16A"/>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bullet"/>
      <w:lvlRestart w:val="0"/>
      <w:lvlText w:val="o"/>
      <w:lvlJc w:val="left"/>
      <w:pPr>
        <w:ind w:left="851" w:hanging="284"/>
      </w:pPr>
      <w:rPr>
        <w:rFonts w:ascii="Courier New" w:hAnsi="Courier New"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F907925"/>
    <w:multiLevelType w:val="hybridMultilevel"/>
    <w:tmpl w:val="C4C2BF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84785261">
    <w:abstractNumId w:val="8"/>
  </w:num>
  <w:num w:numId="2" w16cid:durableId="1059396997">
    <w:abstractNumId w:val="13"/>
  </w:num>
  <w:num w:numId="3" w16cid:durableId="1020820379">
    <w:abstractNumId w:val="12"/>
  </w:num>
  <w:num w:numId="4" w16cid:durableId="2044671689">
    <w:abstractNumId w:val="14"/>
  </w:num>
  <w:num w:numId="5" w16cid:durableId="880938549">
    <w:abstractNumId w:val="9"/>
  </w:num>
  <w:num w:numId="6" w16cid:durableId="1913006490">
    <w:abstractNumId w:val="3"/>
  </w:num>
  <w:num w:numId="7" w16cid:durableId="192380036">
    <w:abstractNumId w:val="2"/>
  </w:num>
  <w:num w:numId="8" w16cid:durableId="1453934355">
    <w:abstractNumId w:val="19"/>
  </w:num>
  <w:num w:numId="9" w16cid:durableId="378088111">
    <w:abstractNumId w:val="20"/>
  </w:num>
  <w:num w:numId="10" w16cid:durableId="1220899496">
    <w:abstractNumId w:val="11"/>
  </w:num>
  <w:num w:numId="11" w16cid:durableId="175778924">
    <w:abstractNumId w:val="6"/>
  </w:num>
  <w:num w:numId="12" w16cid:durableId="47337823">
    <w:abstractNumId w:val="7"/>
  </w:num>
  <w:num w:numId="13" w16cid:durableId="105465462">
    <w:abstractNumId w:val="16"/>
  </w:num>
  <w:num w:numId="14" w16cid:durableId="823854614">
    <w:abstractNumId w:val="15"/>
  </w:num>
  <w:num w:numId="15" w16cid:durableId="207571307">
    <w:abstractNumId w:val="18"/>
  </w:num>
  <w:num w:numId="16" w16cid:durableId="49351162">
    <w:abstractNumId w:val="10"/>
  </w:num>
  <w:num w:numId="17" w16cid:durableId="1380402831">
    <w:abstractNumId w:val="1"/>
  </w:num>
  <w:num w:numId="18" w16cid:durableId="378751900">
    <w:abstractNumId w:val="4"/>
  </w:num>
  <w:num w:numId="19" w16cid:durableId="1307970035">
    <w:abstractNumId w:val="17"/>
  </w:num>
  <w:num w:numId="20" w16cid:durableId="438836113">
    <w:abstractNumId w:val="5"/>
  </w:num>
  <w:num w:numId="21" w16cid:durableId="1982886035">
    <w:abstractNumId w:val="0"/>
  </w:num>
  <w:num w:numId="22" w16cid:durableId="1534033057">
    <w:abstractNumId w:val="12"/>
  </w:num>
  <w:num w:numId="23" w16cid:durableId="1168910761">
    <w:abstractNumId w:val="12"/>
  </w:num>
  <w:num w:numId="24" w16cid:durableId="1251431908">
    <w:abstractNumId w:val="12"/>
  </w:num>
  <w:num w:numId="25" w16cid:durableId="1131095928">
    <w:abstractNumId w:val="12"/>
  </w:num>
  <w:num w:numId="26" w16cid:durableId="882525877">
    <w:abstractNumId w:val="12"/>
  </w:num>
  <w:num w:numId="27" w16cid:durableId="593436054">
    <w:abstractNumId w:val="12"/>
  </w:num>
  <w:num w:numId="28" w16cid:durableId="694883980">
    <w:abstractNumId w:val="12"/>
  </w:num>
  <w:num w:numId="29" w16cid:durableId="725495306">
    <w:abstractNumId w:val="12"/>
  </w:num>
  <w:num w:numId="30" w16cid:durableId="1870023055">
    <w:abstractNumId w:val="12"/>
  </w:num>
  <w:num w:numId="31" w16cid:durableId="1083062559">
    <w:abstractNumId w:val="12"/>
  </w:num>
  <w:num w:numId="32" w16cid:durableId="171453802">
    <w:abstractNumId w:val="12"/>
  </w:num>
  <w:num w:numId="33" w16cid:durableId="8141200">
    <w:abstractNumId w:val="12"/>
  </w:num>
  <w:num w:numId="34" w16cid:durableId="1397360559">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mirrorMargin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12"/>
    <w:rsid w:val="0000037E"/>
    <w:rsid w:val="00000719"/>
    <w:rsid w:val="00000C49"/>
    <w:rsid w:val="00000EA2"/>
    <w:rsid w:val="000016E1"/>
    <w:rsid w:val="00002970"/>
    <w:rsid w:val="00002984"/>
    <w:rsid w:val="00002D68"/>
    <w:rsid w:val="0000325A"/>
    <w:rsid w:val="000033F7"/>
    <w:rsid w:val="00003403"/>
    <w:rsid w:val="0000430B"/>
    <w:rsid w:val="000049B3"/>
    <w:rsid w:val="0000515D"/>
    <w:rsid w:val="000052BF"/>
    <w:rsid w:val="00005347"/>
    <w:rsid w:val="000057C1"/>
    <w:rsid w:val="00005A1C"/>
    <w:rsid w:val="00006543"/>
    <w:rsid w:val="00006AC5"/>
    <w:rsid w:val="000072B6"/>
    <w:rsid w:val="00007EC1"/>
    <w:rsid w:val="0001002B"/>
    <w:rsid w:val="0001021B"/>
    <w:rsid w:val="00010B1B"/>
    <w:rsid w:val="00010C22"/>
    <w:rsid w:val="0001117E"/>
    <w:rsid w:val="00011416"/>
    <w:rsid w:val="00011D89"/>
    <w:rsid w:val="000122BF"/>
    <w:rsid w:val="000122EA"/>
    <w:rsid w:val="00012929"/>
    <w:rsid w:val="00012D36"/>
    <w:rsid w:val="0001359E"/>
    <w:rsid w:val="0001414A"/>
    <w:rsid w:val="000154FD"/>
    <w:rsid w:val="0001636C"/>
    <w:rsid w:val="0001680B"/>
    <w:rsid w:val="00020915"/>
    <w:rsid w:val="0002154A"/>
    <w:rsid w:val="00021AF6"/>
    <w:rsid w:val="00022159"/>
    <w:rsid w:val="00022271"/>
    <w:rsid w:val="00023137"/>
    <w:rsid w:val="000235E8"/>
    <w:rsid w:val="00024485"/>
    <w:rsid w:val="00024D89"/>
    <w:rsid w:val="000250B6"/>
    <w:rsid w:val="0002571C"/>
    <w:rsid w:val="000257D9"/>
    <w:rsid w:val="0002584A"/>
    <w:rsid w:val="00026540"/>
    <w:rsid w:val="00027BF5"/>
    <w:rsid w:val="00030347"/>
    <w:rsid w:val="000305AD"/>
    <w:rsid w:val="00030CDD"/>
    <w:rsid w:val="00030E92"/>
    <w:rsid w:val="0003123E"/>
    <w:rsid w:val="00031599"/>
    <w:rsid w:val="0003173B"/>
    <w:rsid w:val="000327B4"/>
    <w:rsid w:val="00032CFD"/>
    <w:rsid w:val="00033321"/>
    <w:rsid w:val="00033D81"/>
    <w:rsid w:val="00033DC9"/>
    <w:rsid w:val="00033EF8"/>
    <w:rsid w:val="00036582"/>
    <w:rsid w:val="00037366"/>
    <w:rsid w:val="00040830"/>
    <w:rsid w:val="000415AB"/>
    <w:rsid w:val="00041BF0"/>
    <w:rsid w:val="00042C8A"/>
    <w:rsid w:val="0004376E"/>
    <w:rsid w:val="0004451D"/>
    <w:rsid w:val="00044D7B"/>
    <w:rsid w:val="0004536B"/>
    <w:rsid w:val="000459FC"/>
    <w:rsid w:val="00045DB8"/>
    <w:rsid w:val="00045E3F"/>
    <w:rsid w:val="00046B68"/>
    <w:rsid w:val="0004733F"/>
    <w:rsid w:val="000474DC"/>
    <w:rsid w:val="000501AD"/>
    <w:rsid w:val="0005050D"/>
    <w:rsid w:val="00050563"/>
    <w:rsid w:val="00051CB4"/>
    <w:rsid w:val="000527DD"/>
    <w:rsid w:val="00052A4A"/>
    <w:rsid w:val="00053032"/>
    <w:rsid w:val="00054347"/>
    <w:rsid w:val="000555E7"/>
    <w:rsid w:val="0005656D"/>
    <w:rsid w:val="00056EC4"/>
    <w:rsid w:val="000578B2"/>
    <w:rsid w:val="000604CE"/>
    <w:rsid w:val="00060959"/>
    <w:rsid w:val="00060C8F"/>
    <w:rsid w:val="000610F5"/>
    <w:rsid w:val="0006298A"/>
    <w:rsid w:val="0006348B"/>
    <w:rsid w:val="00063702"/>
    <w:rsid w:val="00063A56"/>
    <w:rsid w:val="00063FB8"/>
    <w:rsid w:val="000651C6"/>
    <w:rsid w:val="00065D8B"/>
    <w:rsid w:val="00065F4D"/>
    <w:rsid w:val="000663CD"/>
    <w:rsid w:val="00067A23"/>
    <w:rsid w:val="0007019C"/>
    <w:rsid w:val="00072E96"/>
    <w:rsid w:val="000733FE"/>
    <w:rsid w:val="00073803"/>
    <w:rsid w:val="00074219"/>
    <w:rsid w:val="00074ED5"/>
    <w:rsid w:val="00076C76"/>
    <w:rsid w:val="00081990"/>
    <w:rsid w:val="0008204A"/>
    <w:rsid w:val="000826B8"/>
    <w:rsid w:val="00084804"/>
    <w:rsid w:val="00084B9D"/>
    <w:rsid w:val="00084BD9"/>
    <w:rsid w:val="0008508E"/>
    <w:rsid w:val="00085AF7"/>
    <w:rsid w:val="00085F50"/>
    <w:rsid w:val="00086B3A"/>
    <w:rsid w:val="00087525"/>
    <w:rsid w:val="00087951"/>
    <w:rsid w:val="00090505"/>
    <w:rsid w:val="0009113B"/>
    <w:rsid w:val="000921D3"/>
    <w:rsid w:val="000925A8"/>
    <w:rsid w:val="000927FC"/>
    <w:rsid w:val="00093402"/>
    <w:rsid w:val="00094A9E"/>
    <w:rsid w:val="00094DA3"/>
    <w:rsid w:val="0009531F"/>
    <w:rsid w:val="00095637"/>
    <w:rsid w:val="000960B6"/>
    <w:rsid w:val="000967F3"/>
    <w:rsid w:val="00096CD1"/>
    <w:rsid w:val="00097737"/>
    <w:rsid w:val="00097A61"/>
    <w:rsid w:val="000A012C"/>
    <w:rsid w:val="000A0612"/>
    <w:rsid w:val="000A0EB9"/>
    <w:rsid w:val="000A186C"/>
    <w:rsid w:val="000A1EA4"/>
    <w:rsid w:val="000A234B"/>
    <w:rsid w:val="000A2476"/>
    <w:rsid w:val="000A4F99"/>
    <w:rsid w:val="000A5951"/>
    <w:rsid w:val="000A6017"/>
    <w:rsid w:val="000A641A"/>
    <w:rsid w:val="000A6468"/>
    <w:rsid w:val="000A7674"/>
    <w:rsid w:val="000B0456"/>
    <w:rsid w:val="000B2DF2"/>
    <w:rsid w:val="000B374C"/>
    <w:rsid w:val="000B3EDB"/>
    <w:rsid w:val="000B4EAE"/>
    <w:rsid w:val="000B4EBE"/>
    <w:rsid w:val="000B543D"/>
    <w:rsid w:val="000B55F9"/>
    <w:rsid w:val="000B5BF7"/>
    <w:rsid w:val="000B5F80"/>
    <w:rsid w:val="000B624E"/>
    <w:rsid w:val="000B68A2"/>
    <w:rsid w:val="000B6BC8"/>
    <w:rsid w:val="000B76CC"/>
    <w:rsid w:val="000C0303"/>
    <w:rsid w:val="000C0927"/>
    <w:rsid w:val="000C2ED9"/>
    <w:rsid w:val="000C3818"/>
    <w:rsid w:val="000C3FC7"/>
    <w:rsid w:val="000C42EA"/>
    <w:rsid w:val="000C4546"/>
    <w:rsid w:val="000C6AFD"/>
    <w:rsid w:val="000C6CDA"/>
    <w:rsid w:val="000D1242"/>
    <w:rsid w:val="000D1524"/>
    <w:rsid w:val="000D2ABA"/>
    <w:rsid w:val="000D30E4"/>
    <w:rsid w:val="000D36E0"/>
    <w:rsid w:val="000D5F24"/>
    <w:rsid w:val="000D6776"/>
    <w:rsid w:val="000D69F8"/>
    <w:rsid w:val="000E07B9"/>
    <w:rsid w:val="000E0970"/>
    <w:rsid w:val="000E0E70"/>
    <w:rsid w:val="000E1CFD"/>
    <w:rsid w:val="000E1E04"/>
    <w:rsid w:val="000E343A"/>
    <w:rsid w:val="000E3655"/>
    <w:rsid w:val="000E3CC7"/>
    <w:rsid w:val="000E4D5C"/>
    <w:rsid w:val="000E4EC7"/>
    <w:rsid w:val="000E6928"/>
    <w:rsid w:val="000E694E"/>
    <w:rsid w:val="000E6BD4"/>
    <w:rsid w:val="000E6D6D"/>
    <w:rsid w:val="000E79DE"/>
    <w:rsid w:val="000E7F90"/>
    <w:rsid w:val="000F1847"/>
    <w:rsid w:val="000F19C5"/>
    <w:rsid w:val="000F1F1E"/>
    <w:rsid w:val="000F2259"/>
    <w:rsid w:val="000F2773"/>
    <w:rsid w:val="000F2833"/>
    <w:rsid w:val="000F2CE2"/>
    <w:rsid w:val="000F2D50"/>
    <w:rsid w:val="000F2DA8"/>
    <w:rsid w:val="000F2DDA"/>
    <w:rsid w:val="000F2EA0"/>
    <w:rsid w:val="000F5213"/>
    <w:rsid w:val="000F5B93"/>
    <w:rsid w:val="000F6C29"/>
    <w:rsid w:val="000F6ED7"/>
    <w:rsid w:val="000F7F19"/>
    <w:rsid w:val="00100612"/>
    <w:rsid w:val="00100B10"/>
    <w:rsid w:val="00101001"/>
    <w:rsid w:val="001024F6"/>
    <w:rsid w:val="00102BAB"/>
    <w:rsid w:val="00102FF6"/>
    <w:rsid w:val="00103276"/>
    <w:rsid w:val="001032CF"/>
    <w:rsid w:val="0010392D"/>
    <w:rsid w:val="0010447F"/>
    <w:rsid w:val="00104FE3"/>
    <w:rsid w:val="00106F86"/>
    <w:rsid w:val="0010714F"/>
    <w:rsid w:val="00107384"/>
    <w:rsid w:val="0010749D"/>
    <w:rsid w:val="001075F3"/>
    <w:rsid w:val="001078C5"/>
    <w:rsid w:val="00110704"/>
    <w:rsid w:val="001120C5"/>
    <w:rsid w:val="00112CBC"/>
    <w:rsid w:val="001138B3"/>
    <w:rsid w:val="00113B2C"/>
    <w:rsid w:val="001156EA"/>
    <w:rsid w:val="00115871"/>
    <w:rsid w:val="00116DD3"/>
    <w:rsid w:val="00117DD4"/>
    <w:rsid w:val="00120BD3"/>
    <w:rsid w:val="00120F00"/>
    <w:rsid w:val="001224E5"/>
    <w:rsid w:val="00122E97"/>
    <w:rsid w:val="00122F74"/>
    <w:rsid w:val="00122FEA"/>
    <w:rsid w:val="001232BD"/>
    <w:rsid w:val="001236DC"/>
    <w:rsid w:val="001241A7"/>
    <w:rsid w:val="00124ED5"/>
    <w:rsid w:val="001251A1"/>
    <w:rsid w:val="00125589"/>
    <w:rsid w:val="001256DB"/>
    <w:rsid w:val="0012586E"/>
    <w:rsid w:val="001271A0"/>
    <w:rsid w:val="001271A8"/>
    <w:rsid w:val="001276FA"/>
    <w:rsid w:val="001341C8"/>
    <w:rsid w:val="00134349"/>
    <w:rsid w:val="0013459C"/>
    <w:rsid w:val="00135E6E"/>
    <w:rsid w:val="001362FF"/>
    <w:rsid w:val="0013667C"/>
    <w:rsid w:val="00136A30"/>
    <w:rsid w:val="00136F3F"/>
    <w:rsid w:val="0013727B"/>
    <w:rsid w:val="00137F8E"/>
    <w:rsid w:val="00141049"/>
    <w:rsid w:val="001410E1"/>
    <w:rsid w:val="00142630"/>
    <w:rsid w:val="001447B3"/>
    <w:rsid w:val="0014515B"/>
    <w:rsid w:val="00145F12"/>
    <w:rsid w:val="00147AB2"/>
    <w:rsid w:val="00147D5F"/>
    <w:rsid w:val="00150E95"/>
    <w:rsid w:val="0015199A"/>
    <w:rsid w:val="00151BA0"/>
    <w:rsid w:val="00152073"/>
    <w:rsid w:val="00152329"/>
    <w:rsid w:val="001539F2"/>
    <w:rsid w:val="00153BDA"/>
    <w:rsid w:val="00154202"/>
    <w:rsid w:val="00156598"/>
    <w:rsid w:val="001566E4"/>
    <w:rsid w:val="00156712"/>
    <w:rsid w:val="00156BA5"/>
    <w:rsid w:val="00156F39"/>
    <w:rsid w:val="001572A4"/>
    <w:rsid w:val="0016017A"/>
    <w:rsid w:val="00161939"/>
    <w:rsid w:val="00161AA0"/>
    <w:rsid w:val="00161D2E"/>
    <w:rsid w:val="00161E43"/>
    <w:rsid w:val="00161EEA"/>
    <w:rsid w:val="00161F3E"/>
    <w:rsid w:val="00162089"/>
    <w:rsid w:val="00162093"/>
    <w:rsid w:val="00162CA9"/>
    <w:rsid w:val="0016453E"/>
    <w:rsid w:val="00164F8C"/>
    <w:rsid w:val="00165022"/>
    <w:rsid w:val="00165459"/>
    <w:rsid w:val="001658D8"/>
    <w:rsid w:val="00165A57"/>
    <w:rsid w:val="001669FD"/>
    <w:rsid w:val="00167055"/>
    <w:rsid w:val="001671A3"/>
    <w:rsid w:val="001705B6"/>
    <w:rsid w:val="00170B87"/>
    <w:rsid w:val="00170CAB"/>
    <w:rsid w:val="00170CFD"/>
    <w:rsid w:val="0017106F"/>
    <w:rsid w:val="001712C2"/>
    <w:rsid w:val="00171D3E"/>
    <w:rsid w:val="00171D54"/>
    <w:rsid w:val="00172388"/>
    <w:rsid w:val="00172590"/>
    <w:rsid w:val="001727A6"/>
    <w:rsid w:val="00172BAF"/>
    <w:rsid w:val="00174FB0"/>
    <w:rsid w:val="00175192"/>
    <w:rsid w:val="00175290"/>
    <w:rsid w:val="0017674D"/>
    <w:rsid w:val="001771DD"/>
    <w:rsid w:val="00177995"/>
    <w:rsid w:val="00177A8C"/>
    <w:rsid w:val="00180DFA"/>
    <w:rsid w:val="0018112A"/>
    <w:rsid w:val="00181950"/>
    <w:rsid w:val="0018244E"/>
    <w:rsid w:val="00182605"/>
    <w:rsid w:val="00183609"/>
    <w:rsid w:val="0018570A"/>
    <w:rsid w:val="00185A4B"/>
    <w:rsid w:val="00185C27"/>
    <w:rsid w:val="00186136"/>
    <w:rsid w:val="001862DB"/>
    <w:rsid w:val="00186B33"/>
    <w:rsid w:val="00186C78"/>
    <w:rsid w:val="00190158"/>
    <w:rsid w:val="001906F8"/>
    <w:rsid w:val="00190DCA"/>
    <w:rsid w:val="001915A1"/>
    <w:rsid w:val="00192F9D"/>
    <w:rsid w:val="001933AB"/>
    <w:rsid w:val="00194C3A"/>
    <w:rsid w:val="0019560C"/>
    <w:rsid w:val="00195A03"/>
    <w:rsid w:val="0019660A"/>
    <w:rsid w:val="00196EB8"/>
    <w:rsid w:val="00196EFB"/>
    <w:rsid w:val="0019711C"/>
    <w:rsid w:val="001973C6"/>
    <w:rsid w:val="001979FF"/>
    <w:rsid w:val="00197B17"/>
    <w:rsid w:val="001A1723"/>
    <w:rsid w:val="001A1950"/>
    <w:rsid w:val="001A1C54"/>
    <w:rsid w:val="001A27B3"/>
    <w:rsid w:val="001A3ACE"/>
    <w:rsid w:val="001A3AE3"/>
    <w:rsid w:val="001A6272"/>
    <w:rsid w:val="001A6896"/>
    <w:rsid w:val="001A6D03"/>
    <w:rsid w:val="001B058F"/>
    <w:rsid w:val="001B0EAB"/>
    <w:rsid w:val="001B1C5D"/>
    <w:rsid w:val="001B21FE"/>
    <w:rsid w:val="001B22C7"/>
    <w:rsid w:val="001B277C"/>
    <w:rsid w:val="001B2959"/>
    <w:rsid w:val="001B4EFA"/>
    <w:rsid w:val="001B6558"/>
    <w:rsid w:val="001B6852"/>
    <w:rsid w:val="001B6B96"/>
    <w:rsid w:val="001B738B"/>
    <w:rsid w:val="001B767A"/>
    <w:rsid w:val="001C09DB"/>
    <w:rsid w:val="001C1C9E"/>
    <w:rsid w:val="001C277E"/>
    <w:rsid w:val="001C2A72"/>
    <w:rsid w:val="001C2B4E"/>
    <w:rsid w:val="001C2BD6"/>
    <w:rsid w:val="001C31B7"/>
    <w:rsid w:val="001C4679"/>
    <w:rsid w:val="001C4723"/>
    <w:rsid w:val="001C517D"/>
    <w:rsid w:val="001C5876"/>
    <w:rsid w:val="001C74B7"/>
    <w:rsid w:val="001D0B75"/>
    <w:rsid w:val="001D1BAB"/>
    <w:rsid w:val="001D1C87"/>
    <w:rsid w:val="001D25B7"/>
    <w:rsid w:val="001D39A5"/>
    <w:rsid w:val="001D3C09"/>
    <w:rsid w:val="001D44E8"/>
    <w:rsid w:val="001D5F11"/>
    <w:rsid w:val="001D5F4F"/>
    <w:rsid w:val="001D60EC"/>
    <w:rsid w:val="001D62D5"/>
    <w:rsid w:val="001D62F4"/>
    <w:rsid w:val="001D6F59"/>
    <w:rsid w:val="001D763E"/>
    <w:rsid w:val="001D7BA0"/>
    <w:rsid w:val="001E0337"/>
    <w:rsid w:val="001E0D34"/>
    <w:rsid w:val="001E1634"/>
    <w:rsid w:val="001E18AE"/>
    <w:rsid w:val="001E1FF7"/>
    <w:rsid w:val="001E33C1"/>
    <w:rsid w:val="001E3430"/>
    <w:rsid w:val="001E3692"/>
    <w:rsid w:val="001E390B"/>
    <w:rsid w:val="001E3B21"/>
    <w:rsid w:val="001E44DF"/>
    <w:rsid w:val="001E5700"/>
    <w:rsid w:val="001E5DF7"/>
    <w:rsid w:val="001E65A3"/>
    <w:rsid w:val="001E6893"/>
    <w:rsid w:val="001E68A5"/>
    <w:rsid w:val="001E6BB0"/>
    <w:rsid w:val="001E6D14"/>
    <w:rsid w:val="001E7055"/>
    <w:rsid w:val="001E7282"/>
    <w:rsid w:val="001F05EE"/>
    <w:rsid w:val="001F1869"/>
    <w:rsid w:val="001F21C0"/>
    <w:rsid w:val="001F31E0"/>
    <w:rsid w:val="001F3826"/>
    <w:rsid w:val="001F4496"/>
    <w:rsid w:val="001F52CC"/>
    <w:rsid w:val="001F5654"/>
    <w:rsid w:val="001F5D58"/>
    <w:rsid w:val="001F6792"/>
    <w:rsid w:val="001F67F7"/>
    <w:rsid w:val="001F6E46"/>
    <w:rsid w:val="001F7539"/>
    <w:rsid w:val="001F7C91"/>
    <w:rsid w:val="00200768"/>
    <w:rsid w:val="00200D6B"/>
    <w:rsid w:val="00201B52"/>
    <w:rsid w:val="00202285"/>
    <w:rsid w:val="00202A84"/>
    <w:rsid w:val="00202D55"/>
    <w:rsid w:val="00202E56"/>
    <w:rsid w:val="002033B7"/>
    <w:rsid w:val="00204FB3"/>
    <w:rsid w:val="00206463"/>
    <w:rsid w:val="002064DC"/>
    <w:rsid w:val="0020666A"/>
    <w:rsid w:val="00206F2F"/>
    <w:rsid w:val="0020768D"/>
    <w:rsid w:val="00207717"/>
    <w:rsid w:val="0021053D"/>
    <w:rsid w:val="00210A92"/>
    <w:rsid w:val="00210EC8"/>
    <w:rsid w:val="00211C2A"/>
    <w:rsid w:val="00212512"/>
    <w:rsid w:val="00212B95"/>
    <w:rsid w:val="002147BA"/>
    <w:rsid w:val="002147C2"/>
    <w:rsid w:val="00214A6A"/>
    <w:rsid w:val="00215CC8"/>
    <w:rsid w:val="002169C9"/>
    <w:rsid w:val="00216C03"/>
    <w:rsid w:val="00220A1A"/>
    <w:rsid w:val="00220C04"/>
    <w:rsid w:val="00221477"/>
    <w:rsid w:val="00221963"/>
    <w:rsid w:val="00222256"/>
    <w:rsid w:val="0022278D"/>
    <w:rsid w:val="002229C7"/>
    <w:rsid w:val="002244A8"/>
    <w:rsid w:val="00225A61"/>
    <w:rsid w:val="00226451"/>
    <w:rsid w:val="0022701F"/>
    <w:rsid w:val="00227C68"/>
    <w:rsid w:val="00230B98"/>
    <w:rsid w:val="00231D7B"/>
    <w:rsid w:val="00233232"/>
    <w:rsid w:val="00233299"/>
    <w:rsid w:val="002333F5"/>
    <w:rsid w:val="00233724"/>
    <w:rsid w:val="00233753"/>
    <w:rsid w:val="002338C5"/>
    <w:rsid w:val="00235A9C"/>
    <w:rsid w:val="002365B4"/>
    <w:rsid w:val="002374F0"/>
    <w:rsid w:val="002379B3"/>
    <w:rsid w:val="002407A3"/>
    <w:rsid w:val="002409AE"/>
    <w:rsid w:val="002409C4"/>
    <w:rsid w:val="00240CEA"/>
    <w:rsid w:val="0024152F"/>
    <w:rsid w:val="002420EC"/>
    <w:rsid w:val="00242938"/>
    <w:rsid w:val="002432E1"/>
    <w:rsid w:val="002432F3"/>
    <w:rsid w:val="00243561"/>
    <w:rsid w:val="00246207"/>
    <w:rsid w:val="00246C5E"/>
    <w:rsid w:val="00250904"/>
    <w:rsid w:val="00250960"/>
    <w:rsid w:val="0025103D"/>
    <w:rsid w:val="00251343"/>
    <w:rsid w:val="00252807"/>
    <w:rsid w:val="002536A4"/>
    <w:rsid w:val="00254B78"/>
    <w:rsid w:val="00254CCB"/>
    <w:rsid w:val="00254F58"/>
    <w:rsid w:val="00255DF9"/>
    <w:rsid w:val="002561DE"/>
    <w:rsid w:val="0025706C"/>
    <w:rsid w:val="00257CEB"/>
    <w:rsid w:val="00260F95"/>
    <w:rsid w:val="00261218"/>
    <w:rsid w:val="00261A5A"/>
    <w:rsid w:val="002620BC"/>
    <w:rsid w:val="002620E8"/>
    <w:rsid w:val="002621ED"/>
    <w:rsid w:val="00262667"/>
    <w:rsid w:val="00262802"/>
    <w:rsid w:val="00262F42"/>
    <w:rsid w:val="00263A90"/>
    <w:rsid w:val="00264006"/>
    <w:rsid w:val="0026408B"/>
    <w:rsid w:val="00264296"/>
    <w:rsid w:val="00264A28"/>
    <w:rsid w:val="00264DF6"/>
    <w:rsid w:val="00264E6A"/>
    <w:rsid w:val="00265476"/>
    <w:rsid w:val="0026629A"/>
    <w:rsid w:val="00266809"/>
    <w:rsid w:val="00266DF3"/>
    <w:rsid w:val="00267C3E"/>
    <w:rsid w:val="002700BD"/>
    <w:rsid w:val="002709BB"/>
    <w:rsid w:val="0027131C"/>
    <w:rsid w:val="00271553"/>
    <w:rsid w:val="00271F19"/>
    <w:rsid w:val="00273957"/>
    <w:rsid w:val="00273BAC"/>
    <w:rsid w:val="00274B7D"/>
    <w:rsid w:val="002763B3"/>
    <w:rsid w:val="00277805"/>
    <w:rsid w:val="002802E3"/>
    <w:rsid w:val="00281377"/>
    <w:rsid w:val="0028213D"/>
    <w:rsid w:val="0028528D"/>
    <w:rsid w:val="00285950"/>
    <w:rsid w:val="00285D12"/>
    <w:rsid w:val="002862F1"/>
    <w:rsid w:val="00286357"/>
    <w:rsid w:val="00286C0F"/>
    <w:rsid w:val="00286FA8"/>
    <w:rsid w:val="002900FD"/>
    <w:rsid w:val="00290A75"/>
    <w:rsid w:val="00290C0C"/>
    <w:rsid w:val="00291373"/>
    <w:rsid w:val="002915B4"/>
    <w:rsid w:val="0029177F"/>
    <w:rsid w:val="00292D7B"/>
    <w:rsid w:val="00293C44"/>
    <w:rsid w:val="0029597D"/>
    <w:rsid w:val="00296123"/>
    <w:rsid w:val="002962C3"/>
    <w:rsid w:val="0029752B"/>
    <w:rsid w:val="002A04D6"/>
    <w:rsid w:val="002A0684"/>
    <w:rsid w:val="002A06EF"/>
    <w:rsid w:val="002A0A9C"/>
    <w:rsid w:val="002A345D"/>
    <w:rsid w:val="002A3B56"/>
    <w:rsid w:val="002A438D"/>
    <w:rsid w:val="002A483C"/>
    <w:rsid w:val="002A637D"/>
    <w:rsid w:val="002B0C7C"/>
    <w:rsid w:val="002B1664"/>
    <w:rsid w:val="002B1729"/>
    <w:rsid w:val="002B183E"/>
    <w:rsid w:val="002B1DC9"/>
    <w:rsid w:val="002B2EA7"/>
    <w:rsid w:val="002B36C7"/>
    <w:rsid w:val="002B388C"/>
    <w:rsid w:val="002B39A1"/>
    <w:rsid w:val="002B41C8"/>
    <w:rsid w:val="002B46F4"/>
    <w:rsid w:val="002B4DD4"/>
    <w:rsid w:val="002B5277"/>
    <w:rsid w:val="002B5375"/>
    <w:rsid w:val="002B5CD1"/>
    <w:rsid w:val="002B6149"/>
    <w:rsid w:val="002B6262"/>
    <w:rsid w:val="002B69D0"/>
    <w:rsid w:val="002B77C1"/>
    <w:rsid w:val="002C0BB5"/>
    <w:rsid w:val="002C0ED7"/>
    <w:rsid w:val="002C11C0"/>
    <w:rsid w:val="002C17A4"/>
    <w:rsid w:val="002C1A71"/>
    <w:rsid w:val="002C2728"/>
    <w:rsid w:val="002C364F"/>
    <w:rsid w:val="002C3FF6"/>
    <w:rsid w:val="002C5580"/>
    <w:rsid w:val="002C5B7C"/>
    <w:rsid w:val="002C7319"/>
    <w:rsid w:val="002D038A"/>
    <w:rsid w:val="002D1363"/>
    <w:rsid w:val="002D145D"/>
    <w:rsid w:val="002D1571"/>
    <w:rsid w:val="002D19AB"/>
    <w:rsid w:val="002D1CDC"/>
    <w:rsid w:val="002D1E0D"/>
    <w:rsid w:val="002D1E45"/>
    <w:rsid w:val="002D20B7"/>
    <w:rsid w:val="002D3528"/>
    <w:rsid w:val="002D3CEC"/>
    <w:rsid w:val="002D5006"/>
    <w:rsid w:val="002D57AD"/>
    <w:rsid w:val="002D7484"/>
    <w:rsid w:val="002D7C61"/>
    <w:rsid w:val="002E01D0"/>
    <w:rsid w:val="002E10D2"/>
    <w:rsid w:val="002E14D5"/>
    <w:rsid w:val="002E161D"/>
    <w:rsid w:val="002E18C8"/>
    <w:rsid w:val="002E1C3A"/>
    <w:rsid w:val="002E2561"/>
    <w:rsid w:val="002E282F"/>
    <w:rsid w:val="002E28A2"/>
    <w:rsid w:val="002E3100"/>
    <w:rsid w:val="002E3159"/>
    <w:rsid w:val="002E45F0"/>
    <w:rsid w:val="002E4A0E"/>
    <w:rsid w:val="002E57A7"/>
    <w:rsid w:val="002E6158"/>
    <w:rsid w:val="002E693A"/>
    <w:rsid w:val="002E6C95"/>
    <w:rsid w:val="002E7C36"/>
    <w:rsid w:val="002E7D8A"/>
    <w:rsid w:val="002F04E8"/>
    <w:rsid w:val="002F090C"/>
    <w:rsid w:val="002F0F89"/>
    <w:rsid w:val="002F24D1"/>
    <w:rsid w:val="002F300D"/>
    <w:rsid w:val="002F3CF4"/>
    <w:rsid w:val="002F3D32"/>
    <w:rsid w:val="002F42E9"/>
    <w:rsid w:val="002F4691"/>
    <w:rsid w:val="002F4A06"/>
    <w:rsid w:val="002F52E2"/>
    <w:rsid w:val="002F54A7"/>
    <w:rsid w:val="002F5F31"/>
    <w:rsid w:val="002F5F46"/>
    <w:rsid w:val="002F65A0"/>
    <w:rsid w:val="002F6C25"/>
    <w:rsid w:val="00300187"/>
    <w:rsid w:val="00300640"/>
    <w:rsid w:val="00301D4C"/>
    <w:rsid w:val="00302216"/>
    <w:rsid w:val="00302FC6"/>
    <w:rsid w:val="0030312E"/>
    <w:rsid w:val="00303965"/>
    <w:rsid w:val="00303E53"/>
    <w:rsid w:val="00305CB4"/>
    <w:rsid w:val="00305CC1"/>
    <w:rsid w:val="003066FB"/>
    <w:rsid w:val="00306A8F"/>
    <w:rsid w:val="00306E5F"/>
    <w:rsid w:val="0030757A"/>
    <w:rsid w:val="00307E14"/>
    <w:rsid w:val="003103D9"/>
    <w:rsid w:val="0031173D"/>
    <w:rsid w:val="00312625"/>
    <w:rsid w:val="00313112"/>
    <w:rsid w:val="00313500"/>
    <w:rsid w:val="00314054"/>
    <w:rsid w:val="003140BE"/>
    <w:rsid w:val="003164B2"/>
    <w:rsid w:val="00316F27"/>
    <w:rsid w:val="00320A46"/>
    <w:rsid w:val="00320B39"/>
    <w:rsid w:val="003214F1"/>
    <w:rsid w:val="00321A41"/>
    <w:rsid w:val="00321B91"/>
    <w:rsid w:val="00321F2A"/>
    <w:rsid w:val="003224C2"/>
    <w:rsid w:val="00322543"/>
    <w:rsid w:val="00322CC0"/>
    <w:rsid w:val="00322E4B"/>
    <w:rsid w:val="00323495"/>
    <w:rsid w:val="00324354"/>
    <w:rsid w:val="00327240"/>
    <w:rsid w:val="00327870"/>
    <w:rsid w:val="00330631"/>
    <w:rsid w:val="0033127C"/>
    <w:rsid w:val="00331D23"/>
    <w:rsid w:val="00332476"/>
    <w:rsid w:val="0033259D"/>
    <w:rsid w:val="00332D66"/>
    <w:rsid w:val="0033330B"/>
    <w:rsid w:val="003333D2"/>
    <w:rsid w:val="00334686"/>
    <w:rsid w:val="00336402"/>
    <w:rsid w:val="00337339"/>
    <w:rsid w:val="00337D74"/>
    <w:rsid w:val="00340345"/>
    <w:rsid w:val="003406C6"/>
    <w:rsid w:val="003418CC"/>
    <w:rsid w:val="00342524"/>
    <w:rsid w:val="00343115"/>
    <w:rsid w:val="003434EE"/>
    <w:rsid w:val="00343E04"/>
    <w:rsid w:val="00344578"/>
    <w:rsid w:val="00344629"/>
    <w:rsid w:val="00345066"/>
    <w:rsid w:val="0034542C"/>
    <w:rsid w:val="003456E0"/>
    <w:rsid w:val="003459BD"/>
    <w:rsid w:val="00350961"/>
    <w:rsid w:val="00350D38"/>
    <w:rsid w:val="00350EE9"/>
    <w:rsid w:val="00351B36"/>
    <w:rsid w:val="00354158"/>
    <w:rsid w:val="003556CD"/>
    <w:rsid w:val="00355E12"/>
    <w:rsid w:val="0035669E"/>
    <w:rsid w:val="00356D17"/>
    <w:rsid w:val="003577C4"/>
    <w:rsid w:val="00357AF0"/>
    <w:rsid w:val="00357B4E"/>
    <w:rsid w:val="003604F7"/>
    <w:rsid w:val="0036115F"/>
    <w:rsid w:val="003639C7"/>
    <w:rsid w:val="00364016"/>
    <w:rsid w:val="003661A4"/>
    <w:rsid w:val="00366AFC"/>
    <w:rsid w:val="00366EB8"/>
    <w:rsid w:val="0036700E"/>
    <w:rsid w:val="00367289"/>
    <w:rsid w:val="00370106"/>
    <w:rsid w:val="0037021D"/>
    <w:rsid w:val="003716FD"/>
    <w:rsid w:val="00371B0F"/>
    <w:rsid w:val="0037204B"/>
    <w:rsid w:val="003744CF"/>
    <w:rsid w:val="003746A7"/>
    <w:rsid w:val="00374717"/>
    <w:rsid w:val="003759DC"/>
    <w:rsid w:val="00376558"/>
    <w:rsid w:val="0037676C"/>
    <w:rsid w:val="00377EC7"/>
    <w:rsid w:val="00380CBB"/>
    <w:rsid w:val="00381043"/>
    <w:rsid w:val="00382600"/>
    <w:rsid w:val="003829E5"/>
    <w:rsid w:val="00382B4D"/>
    <w:rsid w:val="00382BCA"/>
    <w:rsid w:val="00382F46"/>
    <w:rsid w:val="00382FFA"/>
    <w:rsid w:val="00383CB5"/>
    <w:rsid w:val="00384464"/>
    <w:rsid w:val="0038524F"/>
    <w:rsid w:val="00385752"/>
    <w:rsid w:val="00386109"/>
    <w:rsid w:val="003864F7"/>
    <w:rsid w:val="00386944"/>
    <w:rsid w:val="00386F12"/>
    <w:rsid w:val="00387500"/>
    <w:rsid w:val="00387682"/>
    <w:rsid w:val="003907C6"/>
    <w:rsid w:val="00390912"/>
    <w:rsid w:val="00390BB3"/>
    <w:rsid w:val="00391C8A"/>
    <w:rsid w:val="00392284"/>
    <w:rsid w:val="003923BA"/>
    <w:rsid w:val="003935A6"/>
    <w:rsid w:val="00393AC9"/>
    <w:rsid w:val="00393F66"/>
    <w:rsid w:val="00394A7C"/>
    <w:rsid w:val="00394E46"/>
    <w:rsid w:val="003956CC"/>
    <w:rsid w:val="003959CE"/>
    <w:rsid w:val="00395C9A"/>
    <w:rsid w:val="00396630"/>
    <w:rsid w:val="003A0853"/>
    <w:rsid w:val="003A0939"/>
    <w:rsid w:val="003A1AD1"/>
    <w:rsid w:val="003A3B3D"/>
    <w:rsid w:val="003A3CD1"/>
    <w:rsid w:val="003A3CD3"/>
    <w:rsid w:val="003A45BB"/>
    <w:rsid w:val="003A6B67"/>
    <w:rsid w:val="003A7787"/>
    <w:rsid w:val="003B0E07"/>
    <w:rsid w:val="003B13B6"/>
    <w:rsid w:val="003B14C3"/>
    <w:rsid w:val="003B15E6"/>
    <w:rsid w:val="003B22EF"/>
    <w:rsid w:val="003B408A"/>
    <w:rsid w:val="003B6C52"/>
    <w:rsid w:val="003B6F62"/>
    <w:rsid w:val="003B6F6E"/>
    <w:rsid w:val="003B752A"/>
    <w:rsid w:val="003C0247"/>
    <w:rsid w:val="003C08A2"/>
    <w:rsid w:val="003C2045"/>
    <w:rsid w:val="003C2070"/>
    <w:rsid w:val="003C20EE"/>
    <w:rsid w:val="003C22B3"/>
    <w:rsid w:val="003C2508"/>
    <w:rsid w:val="003C439B"/>
    <w:rsid w:val="003C43A1"/>
    <w:rsid w:val="003C4FC0"/>
    <w:rsid w:val="003C5228"/>
    <w:rsid w:val="003C55F4"/>
    <w:rsid w:val="003C62E8"/>
    <w:rsid w:val="003C66DA"/>
    <w:rsid w:val="003C680B"/>
    <w:rsid w:val="003C7897"/>
    <w:rsid w:val="003C78F1"/>
    <w:rsid w:val="003C7A3F"/>
    <w:rsid w:val="003C7D1A"/>
    <w:rsid w:val="003C7FD0"/>
    <w:rsid w:val="003D0929"/>
    <w:rsid w:val="003D2766"/>
    <w:rsid w:val="003D2A74"/>
    <w:rsid w:val="003D32EF"/>
    <w:rsid w:val="003D3D17"/>
    <w:rsid w:val="003D3D88"/>
    <w:rsid w:val="003D3E8F"/>
    <w:rsid w:val="003D446D"/>
    <w:rsid w:val="003D4CF3"/>
    <w:rsid w:val="003D5260"/>
    <w:rsid w:val="003D5CBD"/>
    <w:rsid w:val="003D6475"/>
    <w:rsid w:val="003D6EE6"/>
    <w:rsid w:val="003D73FA"/>
    <w:rsid w:val="003E0D5B"/>
    <w:rsid w:val="003E2BA8"/>
    <w:rsid w:val="003E355D"/>
    <w:rsid w:val="003E375C"/>
    <w:rsid w:val="003E3792"/>
    <w:rsid w:val="003E3AE5"/>
    <w:rsid w:val="003E3E82"/>
    <w:rsid w:val="003E4086"/>
    <w:rsid w:val="003E472F"/>
    <w:rsid w:val="003E639E"/>
    <w:rsid w:val="003E68B9"/>
    <w:rsid w:val="003E71E5"/>
    <w:rsid w:val="003E74A2"/>
    <w:rsid w:val="003F0445"/>
    <w:rsid w:val="003F0CF0"/>
    <w:rsid w:val="003F13CF"/>
    <w:rsid w:val="003F14B1"/>
    <w:rsid w:val="003F17A5"/>
    <w:rsid w:val="003F27EE"/>
    <w:rsid w:val="003F2B20"/>
    <w:rsid w:val="003F3289"/>
    <w:rsid w:val="003F394B"/>
    <w:rsid w:val="003F3C62"/>
    <w:rsid w:val="003F4CF3"/>
    <w:rsid w:val="003F5CB9"/>
    <w:rsid w:val="003F5FD5"/>
    <w:rsid w:val="003F6542"/>
    <w:rsid w:val="003F6F27"/>
    <w:rsid w:val="00401321"/>
    <w:rsid w:val="004013C7"/>
    <w:rsid w:val="00401403"/>
    <w:rsid w:val="00401535"/>
    <w:rsid w:val="00401DF5"/>
    <w:rsid w:val="00401FCF"/>
    <w:rsid w:val="00402C4D"/>
    <w:rsid w:val="00403484"/>
    <w:rsid w:val="004035E0"/>
    <w:rsid w:val="00404B4F"/>
    <w:rsid w:val="00404E5E"/>
    <w:rsid w:val="004058A9"/>
    <w:rsid w:val="0040619A"/>
    <w:rsid w:val="00406285"/>
    <w:rsid w:val="00410CFA"/>
    <w:rsid w:val="00411252"/>
    <w:rsid w:val="004112BA"/>
    <w:rsid w:val="004115A2"/>
    <w:rsid w:val="00412309"/>
    <w:rsid w:val="00413A8B"/>
    <w:rsid w:val="00414727"/>
    <w:rsid w:val="00414853"/>
    <w:rsid w:val="004148F9"/>
    <w:rsid w:val="004151CB"/>
    <w:rsid w:val="00416FE1"/>
    <w:rsid w:val="00417C90"/>
    <w:rsid w:val="00417CCA"/>
    <w:rsid w:val="00417E22"/>
    <w:rsid w:val="00420082"/>
    <w:rsid w:val="0042075F"/>
    <w:rsid w:val="0042084E"/>
    <w:rsid w:val="00421D6E"/>
    <w:rsid w:val="00421EEF"/>
    <w:rsid w:val="00422354"/>
    <w:rsid w:val="00423497"/>
    <w:rsid w:val="004238A4"/>
    <w:rsid w:val="00424D65"/>
    <w:rsid w:val="00425005"/>
    <w:rsid w:val="004259BB"/>
    <w:rsid w:val="00425A0B"/>
    <w:rsid w:val="0042716D"/>
    <w:rsid w:val="004301B2"/>
    <w:rsid w:val="00430294"/>
    <w:rsid w:val="00430393"/>
    <w:rsid w:val="004307E1"/>
    <w:rsid w:val="00430EE5"/>
    <w:rsid w:val="0043122C"/>
    <w:rsid w:val="00431806"/>
    <w:rsid w:val="00431A70"/>
    <w:rsid w:val="00431F42"/>
    <w:rsid w:val="00432AAA"/>
    <w:rsid w:val="00432F74"/>
    <w:rsid w:val="004353F4"/>
    <w:rsid w:val="00436157"/>
    <w:rsid w:val="00437323"/>
    <w:rsid w:val="00440352"/>
    <w:rsid w:val="004405D5"/>
    <w:rsid w:val="004408DF"/>
    <w:rsid w:val="0044133C"/>
    <w:rsid w:val="004424F3"/>
    <w:rsid w:val="00442C6C"/>
    <w:rsid w:val="00443570"/>
    <w:rsid w:val="00443CBE"/>
    <w:rsid w:val="00443E8A"/>
    <w:rsid w:val="004441BC"/>
    <w:rsid w:val="0044455B"/>
    <w:rsid w:val="00445EF7"/>
    <w:rsid w:val="00446515"/>
    <w:rsid w:val="004468B4"/>
    <w:rsid w:val="00446D86"/>
    <w:rsid w:val="00450384"/>
    <w:rsid w:val="0045230A"/>
    <w:rsid w:val="00452DEE"/>
    <w:rsid w:val="00454A7D"/>
    <w:rsid w:val="00454AD0"/>
    <w:rsid w:val="004562C7"/>
    <w:rsid w:val="00456928"/>
    <w:rsid w:val="00456C4D"/>
    <w:rsid w:val="004571E1"/>
    <w:rsid w:val="00457337"/>
    <w:rsid w:val="00457C9D"/>
    <w:rsid w:val="004625D2"/>
    <w:rsid w:val="00462E3D"/>
    <w:rsid w:val="00464061"/>
    <w:rsid w:val="00464F42"/>
    <w:rsid w:val="004658A5"/>
    <w:rsid w:val="004665D4"/>
    <w:rsid w:val="00466E79"/>
    <w:rsid w:val="004676D4"/>
    <w:rsid w:val="00470D7D"/>
    <w:rsid w:val="00471605"/>
    <w:rsid w:val="00471AE0"/>
    <w:rsid w:val="00471B46"/>
    <w:rsid w:val="00471C06"/>
    <w:rsid w:val="00472076"/>
    <w:rsid w:val="00472579"/>
    <w:rsid w:val="00472956"/>
    <w:rsid w:val="00473005"/>
    <w:rsid w:val="0047372D"/>
    <w:rsid w:val="00473BA3"/>
    <w:rsid w:val="00474010"/>
    <w:rsid w:val="00474213"/>
    <w:rsid w:val="004743DD"/>
    <w:rsid w:val="00474CEA"/>
    <w:rsid w:val="0047561F"/>
    <w:rsid w:val="004757AD"/>
    <w:rsid w:val="0047673A"/>
    <w:rsid w:val="004776D1"/>
    <w:rsid w:val="00477CDF"/>
    <w:rsid w:val="00480A76"/>
    <w:rsid w:val="0048107E"/>
    <w:rsid w:val="0048177D"/>
    <w:rsid w:val="004824CA"/>
    <w:rsid w:val="0048254D"/>
    <w:rsid w:val="00483899"/>
    <w:rsid w:val="00483968"/>
    <w:rsid w:val="00483FB4"/>
    <w:rsid w:val="0048411E"/>
    <w:rsid w:val="004841BE"/>
    <w:rsid w:val="004841E3"/>
    <w:rsid w:val="00484F86"/>
    <w:rsid w:val="00485E1B"/>
    <w:rsid w:val="00485F15"/>
    <w:rsid w:val="00486FD8"/>
    <w:rsid w:val="004873CB"/>
    <w:rsid w:val="00490746"/>
    <w:rsid w:val="00490852"/>
    <w:rsid w:val="004919AF"/>
    <w:rsid w:val="004919D3"/>
    <w:rsid w:val="00491C9C"/>
    <w:rsid w:val="00491EEB"/>
    <w:rsid w:val="0049262B"/>
    <w:rsid w:val="00492C5B"/>
    <w:rsid w:val="00492F30"/>
    <w:rsid w:val="00493F52"/>
    <w:rsid w:val="00494024"/>
    <w:rsid w:val="004946F4"/>
    <w:rsid w:val="0049487E"/>
    <w:rsid w:val="0049499F"/>
    <w:rsid w:val="0049661A"/>
    <w:rsid w:val="004968BA"/>
    <w:rsid w:val="004A0054"/>
    <w:rsid w:val="004A0922"/>
    <w:rsid w:val="004A160D"/>
    <w:rsid w:val="004A19D7"/>
    <w:rsid w:val="004A2C75"/>
    <w:rsid w:val="004A2EFA"/>
    <w:rsid w:val="004A388F"/>
    <w:rsid w:val="004A3E81"/>
    <w:rsid w:val="004A4195"/>
    <w:rsid w:val="004A4B82"/>
    <w:rsid w:val="004A5835"/>
    <w:rsid w:val="004A5C62"/>
    <w:rsid w:val="004A5CE5"/>
    <w:rsid w:val="004A6247"/>
    <w:rsid w:val="004A707D"/>
    <w:rsid w:val="004A7627"/>
    <w:rsid w:val="004A7683"/>
    <w:rsid w:val="004A7E36"/>
    <w:rsid w:val="004B0535"/>
    <w:rsid w:val="004B08CB"/>
    <w:rsid w:val="004B0974"/>
    <w:rsid w:val="004B0C88"/>
    <w:rsid w:val="004B0FFE"/>
    <w:rsid w:val="004B1217"/>
    <w:rsid w:val="004B163A"/>
    <w:rsid w:val="004B1EED"/>
    <w:rsid w:val="004B2453"/>
    <w:rsid w:val="004B26B3"/>
    <w:rsid w:val="004B277D"/>
    <w:rsid w:val="004B32E1"/>
    <w:rsid w:val="004B33B7"/>
    <w:rsid w:val="004B3A26"/>
    <w:rsid w:val="004B4185"/>
    <w:rsid w:val="004B5BEE"/>
    <w:rsid w:val="004B69A6"/>
    <w:rsid w:val="004B796F"/>
    <w:rsid w:val="004C1C65"/>
    <w:rsid w:val="004C1DFD"/>
    <w:rsid w:val="004C2488"/>
    <w:rsid w:val="004C2E5D"/>
    <w:rsid w:val="004C393F"/>
    <w:rsid w:val="004C3E92"/>
    <w:rsid w:val="004C4C46"/>
    <w:rsid w:val="004C5541"/>
    <w:rsid w:val="004C588F"/>
    <w:rsid w:val="004C5EE7"/>
    <w:rsid w:val="004C6EEE"/>
    <w:rsid w:val="004C702B"/>
    <w:rsid w:val="004C7A85"/>
    <w:rsid w:val="004C7B6A"/>
    <w:rsid w:val="004D0033"/>
    <w:rsid w:val="004D016B"/>
    <w:rsid w:val="004D1B22"/>
    <w:rsid w:val="004D1DA4"/>
    <w:rsid w:val="004D1DB1"/>
    <w:rsid w:val="004D1E00"/>
    <w:rsid w:val="004D23CC"/>
    <w:rsid w:val="004D2853"/>
    <w:rsid w:val="004D36F2"/>
    <w:rsid w:val="004D63D8"/>
    <w:rsid w:val="004D752C"/>
    <w:rsid w:val="004D7F5F"/>
    <w:rsid w:val="004E049E"/>
    <w:rsid w:val="004E1106"/>
    <w:rsid w:val="004E138F"/>
    <w:rsid w:val="004E20D0"/>
    <w:rsid w:val="004E239A"/>
    <w:rsid w:val="004E2AB2"/>
    <w:rsid w:val="004E2EEA"/>
    <w:rsid w:val="004E4649"/>
    <w:rsid w:val="004E48B8"/>
    <w:rsid w:val="004E5081"/>
    <w:rsid w:val="004E59BD"/>
    <w:rsid w:val="004E59D2"/>
    <w:rsid w:val="004E5C2B"/>
    <w:rsid w:val="004E699F"/>
    <w:rsid w:val="004E7865"/>
    <w:rsid w:val="004E7873"/>
    <w:rsid w:val="004F00DD"/>
    <w:rsid w:val="004F0406"/>
    <w:rsid w:val="004F164B"/>
    <w:rsid w:val="004F1802"/>
    <w:rsid w:val="004F2133"/>
    <w:rsid w:val="004F2266"/>
    <w:rsid w:val="004F338B"/>
    <w:rsid w:val="004F3F9D"/>
    <w:rsid w:val="004F5398"/>
    <w:rsid w:val="004F55F1"/>
    <w:rsid w:val="004F5D4F"/>
    <w:rsid w:val="004F5E84"/>
    <w:rsid w:val="004F616F"/>
    <w:rsid w:val="004F6936"/>
    <w:rsid w:val="004F76B0"/>
    <w:rsid w:val="00501C37"/>
    <w:rsid w:val="00503617"/>
    <w:rsid w:val="00503DC6"/>
    <w:rsid w:val="00504338"/>
    <w:rsid w:val="00506F5D"/>
    <w:rsid w:val="005071E0"/>
    <w:rsid w:val="005075E5"/>
    <w:rsid w:val="00507728"/>
    <w:rsid w:val="00510C37"/>
    <w:rsid w:val="005110C6"/>
    <w:rsid w:val="005126D0"/>
    <w:rsid w:val="00512DD7"/>
    <w:rsid w:val="00512F3A"/>
    <w:rsid w:val="00512F7C"/>
    <w:rsid w:val="00513562"/>
    <w:rsid w:val="00513E02"/>
    <w:rsid w:val="00514667"/>
    <w:rsid w:val="0051568D"/>
    <w:rsid w:val="00517A34"/>
    <w:rsid w:val="00517D35"/>
    <w:rsid w:val="00520953"/>
    <w:rsid w:val="005225E9"/>
    <w:rsid w:val="00523614"/>
    <w:rsid w:val="005236DE"/>
    <w:rsid w:val="00524562"/>
    <w:rsid w:val="00526AC7"/>
    <w:rsid w:val="00526C15"/>
    <w:rsid w:val="00526D56"/>
    <w:rsid w:val="0053071B"/>
    <w:rsid w:val="00530C51"/>
    <w:rsid w:val="00531B2B"/>
    <w:rsid w:val="00533849"/>
    <w:rsid w:val="00533B92"/>
    <w:rsid w:val="005346F7"/>
    <w:rsid w:val="00535AC9"/>
    <w:rsid w:val="00536499"/>
    <w:rsid w:val="00537364"/>
    <w:rsid w:val="005377AD"/>
    <w:rsid w:val="00537A4B"/>
    <w:rsid w:val="00537F49"/>
    <w:rsid w:val="005401CC"/>
    <w:rsid w:val="00542A03"/>
    <w:rsid w:val="00542D07"/>
    <w:rsid w:val="00543903"/>
    <w:rsid w:val="00543BCC"/>
    <w:rsid w:val="00543F11"/>
    <w:rsid w:val="00544135"/>
    <w:rsid w:val="0054490A"/>
    <w:rsid w:val="00544B58"/>
    <w:rsid w:val="00546305"/>
    <w:rsid w:val="00546968"/>
    <w:rsid w:val="00547A95"/>
    <w:rsid w:val="005500AA"/>
    <w:rsid w:val="005508C8"/>
    <w:rsid w:val="0055119B"/>
    <w:rsid w:val="005521B5"/>
    <w:rsid w:val="0055244C"/>
    <w:rsid w:val="00553258"/>
    <w:rsid w:val="0055371E"/>
    <w:rsid w:val="00553BC6"/>
    <w:rsid w:val="00554483"/>
    <w:rsid w:val="005556EB"/>
    <w:rsid w:val="005562FD"/>
    <w:rsid w:val="00557A12"/>
    <w:rsid w:val="005607FB"/>
    <w:rsid w:val="00561202"/>
    <w:rsid w:val="00562315"/>
    <w:rsid w:val="005624E1"/>
    <w:rsid w:val="00562507"/>
    <w:rsid w:val="00562811"/>
    <w:rsid w:val="00563405"/>
    <w:rsid w:val="00564128"/>
    <w:rsid w:val="005642CD"/>
    <w:rsid w:val="00564C29"/>
    <w:rsid w:val="00565F59"/>
    <w:rsid w:val="005660EA"/>
    <w:rsid w:val="005669FA"/>
    <w:rsid w:val="00567293"/>
    <w:rsid w:val="00567295"/>
    <w:rsid w:val="00567619"/>
    <w:rsid w:val="00571036"/>
    <w:rsid w:val="005716B2"/>
    <w:rsid w:val="00572031"/>
    <w:rsid w:val="005721E1"/>
    <w:rsid w:val="00572282"/>
    <w:rsid w:val="005723C4"/>
    <w:rsid w:val="0057265F"/>
    <w:rsid w:val="00573BF1"/>
    <w:rsid w:val="00573CE3"/>
    <w:rsid w:val="00574EED"/>
    <w:rsid w:val="00575CE4"/>
    <w:rsid w:val="005762C7"/>
    <w:rsid w:val="00576784"/>
    <w:rsid w:val="00576E84"/>
    <w:rsid w:val="00577D9B"/>
    <w:rsid w:val="00580394"/>
    <w:rsid w:val="005804BC"/>
    <w:rsid w:val="00580897"/>
    <w:rsid w:val="005809CD"/>
    <w:rsid w:val="005813AC"/>
    <w:rsid w:val="0058152B"/>
    <w:rsid w:val="00582B8C"/>
    <w:rsid w:val="005833ED"/>
    <w:rsid w:val="0058411A"/>
    <w:rsid w:val="00585732"/>
    <w:rsid w:val="00585B02"/>
    <w:rsid w:val="00586DB8"/>
    <w:rsid w:val="0058757E"/>
    <w:rsid w:val="005919F8"/>
    <w:rsid w:val="00591ADA"/>
    <w:rsid w:val="005953D6"/>
    <w:rsid w:val="00596A4B"/>
    <w:rsid w:val="00597507"/>
    <w:rsid w:val="00597B76"/>
    <w:rsid w:val="00597FF5"/>
    <w:rsid w:val="005A1ED8"/>
    <w:rsid w:val="005A3A85"/>
    <w:rsid w:val="005A479D"/>
    <w:rsid w:val="005A5B0F"/>
    <w:rsid w:val="005A5E92"/>
    <w:rsid w:val="005A632F"/>
    <w:rsid w:val="005A77DD"/>
    <w:rsid w:val="005A7E6E"/>
    <w:rsid w:val="005B065C"/>
    <w:rsid w:val="005B1493"/>
    <w:rsid w:val="005B19B4"/>
    <w:rsid w:val="005B1C6D"/>
    <w:rsid w:val="005B1EBC"/>
    <w:rsid w:val="005B21B6"/>
    <w:rsid w:val="005B30C7"/>
    <w:rsid w:val="005B3A08"/>
    <w:rsid w:val="005B6A96"/>
    <w:rsid w:val="005B6BD3"/>
    <w:rsid w:val="005B7A63"/>
    <w:rsid w:val="005C0955"/>
    <w:rsid w:val="005C1EBC"/>
    <w:rsid w:val="005C28E1"/>
    <w:rsid w:val="005C32D7"/>
    <w:rsid w:val="005C3F95"/>
    <w:rsid w:val="005C49DA"/>
    <w:rsid w:val="005C50F3"/>
    <w:rsid w:val="005C51E6"/>
    <w:rsid w:val="005C54B5"/>
    <w:rsid w:val="005C5D80"/>
    <w:rsid w:val="005C5D91"/>
    <w:rsid w:val="005C6B9A"/>
    <w:rsid w:val="005C78E4"/>
    <w:rsid w:val="005C7EC4"/>
    <w:rsid w:val="005D07B8"/>
    <w:rsid w:val="005D0B7D"/>
    <w:rsid w:val="005D22CD"/>
    <w:rsid w:val="005D3595"/>
    <w:rsid w:val="005D4402"/>
    <w:rsid w:val="005D46F0"/>
    <w:rsid w:val="005D48F3"/>
    <w:rsid w:val="005D550C"/>
    <w:rsid w:val="005D5B1D"/>
    <w:rsid w:val="005D5DC6"/>
    <w:rsid w:val="005D6597"/>
    <w:rsid w:val="005D6E5C"/>
    <w:rsid w:val="005D77F0"/>
    <w:rsid w:val="005D7856"/>
    <w:rsid w:val="005E14E7"/>
    <w:rsid w:val="005E2370"/>
    <w:rsid w:val="005E26A3"/>
    <w:rsid w:val="005E2ECB"/>
    <w:rsid w:val="005E4464"/>
    <w:rsid w:val="005E447E"/>
    <w:rsid w:val="005E45DA"/>
    <w:rsid w:val="005E4BC8"/>
    <w:rsid w:val="005E4FD1"/>
    <w:rsid w:val="005F0775"/>
    <w:rsid w:val="005F0CF5"/>
    <w:rsid w:val="005F21EB"/>
    <w:rsid w:val="005F3547"/>
    <w:rsid w:val="005F3C01"/>
    <w:rsid w:val="005F4080"/>
    <w:rsid w:val="005F424B"/>
    <w:rsid w:val="005F5A90"/>
    <w:rsid w:val="005F5B86"/>
    <w:rsid w:val="005F64CF"/>
    <w:rsid w:val="005F665C"/>
    <w:rsid w:val="005F7060"/>
    <w:rsid w:val="006003FD"/>
    <w:rsid w:val="00602018"/>
    <w:rsid w:val="006020AA"/>
    <w:rsid w:val="006041AD"/>
    <w:rsid w:val="006045B0"/>
    <w:rsid w:val="00604863"/>
    <w:rsid w:val="00605908"/>
    <w:rsid w:val="00605C74"/>
    <w:rsid w:val="00606240"/>
    <w:rsid w:val="006065E3"/>
    <w:rsid w:val="00607850"/>
    <w:rsid w:val="00607EF7"/>
    <w:rsid w:val="0061076F"/>
    <w:rsid w:val="00610D7C"/>
    <w:rsid w:val="00611774"/>
    <w:rsid w:val="006132B1"/>
    <w:rsid w:val="00613414"/>
    <w:rsid w:val="00613AF1"/>
    <w:rsid w:val="0061437D"/>
    <w:rsid w:val="00614873"/>
    <w:rsid w:val="00617197"/>
    <w:rsid w:val="0061765C"/>
    <w:rsid w:val="00617E3B"/>
    <w:rsid w:val="00620154"/>
    <w:rsid w:val="006206AB"/>
    <w:rsid w:val="00620AD7"/>
    <w:rsid w:val="00620F2F"/>
    <w:rsid w:val="00622CAF"/>
    <w:rsid w:val="0062408B"/>
    <w:rsid w:val="0062408D"/>
    <w:rsid w:val="006240CC"/>
    <w:rsid w:val="00624940"/>
    <w:rsid w:val="00625492"/>
    <w:rsid w:val="006254F8"/>
    <w:rsid w:val="006256F6"/>
    <w:rsid w:val="00626B7F"/>
    <w:rsid w:val="00627DA7"/>
    <w:rsid w:val="00630083"/>
    <w:rsid w:val="0063018F"/>
    <w:rsid w:val="00630C6E"/>
    <w:rsid w:val="00630DA4"/>
    <w:rsid w:val="00630F24"/>
    <w:rsid w:val="00631CD4"/>
    <w:rsid w:val="00632597"/>
    <w:rsid w:val="00632943"/>
    <w:rsid w:val="00634D13"/>
    <w:rsid w:val="0063556C"/>
    <w:rsid w:val="00635582"/>
    <w:rsid w:val="006358B4"/>
    <w:rsid w:val="00636603"/>
    <w:rsid w:val="006368D0"/>
    <w:rsid w:val="00636B80"/>
    <w:rsid w:val="006376B7"/>
    <w:rsid w:val="00637BBE"/>
    <w:rsid w:val="00637FA3"/>
    <w:rsid w:val="00640F9C"/>
    <w:rsid w:val="00641513"/>
    <w:rsid w:val="00641724"/>
    <w:rsid w:val="00641784"/>
    <w:rsid w:val="006419AA"/>
    <w:rsid w:val="00641CF0"/>
    <w:rsid w:val="00642615"/>
    <w:rsid w:val="00643271"/>
    <w:rsid w:val="006439CC"/>
    <w:rsid w:val="00644097"/>
    <w:rsid w:val="00644B1F"/>
    <w:rsid w:val="00644B7E"/>
    <w:rsid w:val="006454E6"/>
    <w:rsid w:val="00645948"/>
    <w:rsid w:val="00646179"/>
    <w:rsid w:val="00646235"/>
    <w:rsid w:val="00646A68"/>
    <w:rsid w:val="00646DF8"/>
    <w:rsid w:val="006471AB"/>
    <w:rsid w:val="006505BD"/>
    <w:rsid w:val="006508EA"/>
    <w:rsid w:val="0065092E"/>
    <w:rsid w:val="006509C5"/>
    <w:rsid w:val="00650A35"/>
    <w:rsid w:val="00650D46"/>
    <w:rsid w:val="00652261"/>
    <w:rsid w:val="0065300C"/>
    <w:rsid w:val="00653868"/>
    <w:rsid w:val="00653A43"/>
    <w:rsid w:val="00653C60"/>
    <w:rsid w:val="0065480B"/>
    <w:rsid w:val="006557A7"/>
    <w:rsid w:val="006557D8"/>
    <w:rsid w:val="0065594C"/>
    <w:rsid w:val="00655BFE"/>
    <w:rsid w:val="00656290"/>
    <w:rsid w:val="00656D2D"/>
    <w:rsid w:val="006572FF"/>
    <w:rsid w:val="006575B9"/>
    <w:rsid w:val="006601C9"/>
    <w:rsid w:val="00660397"/>
    <w:rsid w:val="006608D8"/>
    <w:rsid w:val="00661DAE"/>
    <w:rsid w:val="006621D7"/>
    <w:rsid w:val="00662E5C"/>
    <w:rsid w:val="0066302A"/>
    <w:rsid w:val="0066481C"/>
    <w:rsid w:val="00664C51"/>
    <w:rsid w:val="00664FF8"/>
    <w:rsid w:val="006663B9"/>
    <w:rsid w:val="006671EF"/>
    <w:rsid w:val="00667344"/>
    <w:rsid w:val="0066757B"/>
    <w:rsid w:val="00667770"/>
    <w:rsid w:val="00667965"/>
    <w:rsid w:val="00670597"/>
    <w:rsid w:val="006706D0"/>
    <w:rsid w:val="00670819"/>
    <w:rsid w:val="00670EDF"/>
    <w:rsid w:val="00671C03"/>
    <w:rsid w:val="00672232"/>
    <w:rsid w:val="00674BCD"/>
    <w:rsid w:val="00674E45"/>
    <w:rsid w:val="00675D6A"/>
    <w:rsid w:val="00676319"/>
    <w:rsid w:val="00677574"/>
    <w:rsid w:val="00677F40"/>
    <w:rsid w:val="006812ED"/>
    <w:rsid w:val="00681426"/>
    <w:rsid w:val="006816CC"/>
    <w:rsid w:val="00681738"/>
    <w:rsid w:val="0068181F"/>
    <w:rsid w:val="0068242D"/>
    <w:rsid w:val="00682943"/>
    <w:rsid w:val="00683878"/>
    <w:rsid w:val="00684380"/>
    <w:rsid w:val="0068454C"/>
    <w:rsid w:val="00684DFB"/>
    <w:rsid w:val="00685A42"/>
    <w:rsid w:val="00687EF1"/>
    <w:rsid w:val="006914F8"/>
    <w:rsid w:val="006917F4"/>
    <w:rsid w:val="00691B62"/>
    <w:rsid w:val="006925F2"/>
    <w:rsid w:val="00692B79"/>
    <w:rsid w:val="006933B5"/>
    <w:rsid w:val="00693D14"/>
    <w:rsid w:val="006956D4"/>
    <w:rsid w:val="0069585D"/>
    <w:rsid w:val="00696F27"/>
    <w:rsid w:val="00697175"/>
    <w:rsid w:val="0069751F"/>
    <w:rsid w:val="006978AB"/>
    <w:rsid w:val="00697EDD"/>
    <w:rsid w:val="006A1418"/>
    <w:rsid w:val="006A18C2"/>
    <w:rsid w:val="006A1A1F"/>
    <w:rsid w:val="006A1CD3"/>
    <w:rsid w:val="006A1D75"/>
    <w:rsid w:val="006A2B54"/>
    <w:rsid w:val="006A3042"/>
    <w:rsid w:val="006A3383"/>
    <w:rsid w:val="006A38E8"/>
    <w:rsid w:val="006A4719"/>
    <w:rsid w:val="006A4B76"/>
    <w:rsid w:val="006A5115"/>
    <w:rsid w:val="006A5C49"/>
    <w:rsid w:val="006A7A94"/>
    <w:rsid w:val="006B077C"/>
    <w:rsid w:val="006B0934"/>
    <w:rsid w:val="006B1E0F"/>
    <w:rsid w:val="006B2693"/>
    <w:rsid w:val="006B2CD1"/>
    <w:rsid w:val="006B2CE1"/>
    <w:rsid w:val="006B55EF"/>
    <w:rsid w:val="006B5A97"/>
    <w:rsid w:val="006B619A"/>
    <w:rsid w:val="006B6803"/>
    <w:rsid w:val="006B7523"/>
    <w:rsid w:val="006C0CB8"/>
    <w:rsid w:val="006C0E8B"/>
    <w:rsid w:val="006C2CB2"/>
    <w:rsid w:val="006C3E2A"/>
    <w:rsid w:val="006C4294"/>
    <w:rsid w:val="006C42C3"/>
    <w:rsid w:val="006D0D79"/>
    <w:rsid w:val="006D0F16"/>
    <w:rsid w:val="006D13CC"/>
    <w:rsid w:val="006D148A"/>
    <w:rsid w:val="006D1E9B"/>
    <w:rsid w:val="006D203D"/>
    <w:rsid w:val="006D2A3F"/>
    <w:rsid w:val="006D2FBC"/>
    <w:rsid w:val="006D3CAB"/>
    <w:rsid w:val="006D462A"/>
    <w:rsid w:val="006D492B"/>
    <w:rsid w:val="006D5485"/>
    <w:rsid w:val="006D5555"/>
    <w:rsid w:val="006D6C34"/>
    <w:rsid w:val="006D6DDA"/>
    <w:rsid w:val="006D6E34"/>
    <w:rsid w:val="006D7F49"/>
    <w:rsid w:val="006E08E6"/>
    <w:rsid w:val="006E138B"/>
    <w:rsid w:val="006E1867"/>
    <w:rsid w:val="006E1D8A"/>
    <w:rsid w:val="006E282D"/>
    <w:rsid w:val="006E494D"/>
    <w:rsid w:val="006E4E26"/>
    <w:rsid w:val="006E60C4"/>
    <w:rsid w:val="006E64DA"/>
    <w:rsid w:val="006E6844"/>
    <w:rsid w:val="006E739F"/>
    <w:rsid w:val="006E7B9F"/>
    <w:rsid w:val="006F0330"/>
    <w:rsid w:val="006F0547"/>
    <w:rsid w:val="006F1FDC"/>
    <w:rsid w:val="006F2901"/>
    <w:rsid w:val="006F313A"/>
    <w:rsid w:val="006F3C8D"/>
    <w:rsid w:val="006F3F95"/>
    <w:rsid w:val="006F4245"/>
    <w:rsid w:val="006F493F"/>
    <w:rsid w:val="006F4E20"/>
    <w:rsid w:val="006F630F"/>
    <w:rsid w:val="006F6811"/>
    <w:rsid w:val="006F6B8C"/>
    <w:rsid w:val="00700CE3"/>
    <w:rsid w:val="007013EF"/>
    <w:rsid w:val="007029C7"/>
    <w:rsid w:val="00703055"/>
    <w:rsid w:val="00703832"/>
    <w:rsid w:val="00703A2A"/>
    <w:rsid w:val="0070527C"/>
    <w:rsid w:val="007055BD"/>
    <w:rsid w:val="00706451"/>
    <w:rsid w:val="00707E9F"/>
    <w:rsid w:val="00707FB2"/>
    <w:rsid w:val="00710458"/>
    <w:rsid w:val="007127F8"/>
    <w:rsid w:val="00713AD3"/>
    <w:rsid w:val="00713FD8"/>
    <w:rsid w:val="007153B6"/>
    <w:rsid w:val="007153C4"/>
    <w:rsid w:val="00715DDA"/>
    <w:rsid w:val="007163E6"/>
    <w:rsid w:val="00716C35"/>
    <w:rsid w:val="0071715D"/>
    <w:rsid w:val="007173CA"/>
    <w:rsid w:val="00720509"/>
    <w:rsid w:val="007216AA"/>
    <w:rsid w:val="00721AB5"/>
    <w:rsid w:val="00721CFB"/>
    <w:rsid w:val="00721DEF"/>
    <w:rsid w:val="00722ABE"/>
    <w:rsid w:val="00722E3B"/>
    <w:rsid w:val="00723583"/>
    <w:rsid w:val="007247C4"/>
    <w:rsid w:val="00724A43"/>
    <w:rsid w:val="00724B5C"/>
    <w:rsid w:val="00726F21"/>
    <w:rsid w:val="007273AC"/>
    <w:rsid w:val="00727AD1"/>
    <w:rsid w:val="00730838"/>
    <w:rsid w:val="0073122E"/>
    <w:rsid w:val="00731674"/>
    <w:rsid w:val="00731AD4"/>
    <w:rsid w:val="007320C1"/>
    <w:rsid w:val="0073455E"/>
    <w:rsid w:val="007346E4"/>
    <w:rsid w:val="00734DD0"/>
    <w:rsid w:val="00735564"/>
    <w:rsid w:val="007357C6"/>
    <w:rsid w:val="0073649B"/>
    <w:rsid w:val="00736C6D"/>
    <w:rsid w:val="00740908"/>
    <w:rsid w:val="00740F22"/>
    <w:rsid w:val="00741CF0"/>
    <w:rsid w:val="00741D46"/>
    <w:rsid w:val="00741F1A"/>
    <w:rsid w:val="007420C3"/>
    <w:rsid w:val="007447DA"/>
    <w:rsid w:val="0074506B"/>
    <w:rsid w:val="007450F8"/>
    <w:rsid w:val="00745F42"/>
    <w:rsid w:val="007461C4"/>
    <w:rsid w:val="007464E1"/>
    <w:rsid w:val="0074696E"/>
    <w:rsid w:val="00750105"/>
    <w:rsid w:val="00750135"/>
    <w:rsid w:val="00750EBD"/>
    <w:rsid w:val="00750EC2"/>
    <w:rsid w:val="00752188"/>
    <w:rsid w:val="00752420"/>
    <w:rsid w:val="00752B28"/>
    <w:rsid w:val="007536BC"/>
    <w:rsid w:val="007541A9"/>
    <w:rsid w:val="007541E9"/>
    <w:rsid w:val="007548E6"/>
    <w:rsid w:val="00754E36"/>
    <w:rsid w:val="00755269"/>
    <w:rsid w:val="00760B99"/>
    <w:rsid w:val="00760FA1"/>
    <w:rsid w:val="0076111B"/>
    <w:rsid w:val="007619C1"/>
    <w:rsid w:val="00762A76"/>
    <w:rsid w:val="00763139"/>
    <w:rsid w:val="00763396"/>
    <w:rsid w:val="007637A6"/>
    <w:rsid w:val="007659C7"/>
    <w:rsid w:val="00770E60"/>
    <w:rsid w:val="00770F37"/>
    <w:rsid w:val="007711A0"/>
    <w:rsid w:val="007723FB"/>
    <w:rsid w:val="0077268B"/>
    <w:rsid w:val="00772D5E"/>
    <w:rsid w:val="00773036"/>
    <w:rsid w:val="0077463E"/>
    <w:rsid w:val="00774A68"/>
    <w:rsid w:val="007755CF"/>
    <w:rsid w:val="007756EB"/>
    <w:rsid w:val="00776928"/>
    <w:rsid w:val="00776D56"/>
    <w:rsid w:val="00776E0F"/>
    <w:rsid w:val="007774B1"/>
    <w:rsid w:val="00777BE1"/>
    <w:rsid w:val="007800F7"/>
    <w:rsid w:val="0078188B"/>
    <w:rsid w:val="00782222"/>
    <w:rsid w:val="00782479"/>
    <w:rsid w:val="007833D8"/>
    <w:rsid w:val="00784802"/>
    <w:rsid w:val="00785677"/>
    <w:rsid w:val="00786F16"/>
    <w:rsid w:val="00786F81"/>
    <w:rsid w:val="00786FDC"/>
    <w:rsid w:val="00787395"/>
    <w:rsid w:val="00787AF0"/>
    <w:rsid w:val="00790401"/>
    <w:rsid w:val="00791149"/>
    <w:rsid w:val="00791530"/>
    <w:rsid w:val="007917D8"/>
    <w:rsid w:val="00791BD7"/>
    <w:rsid w:val="00792026"/>
    <w:rsid w:val="007933F7"/>
    <w:rsid w:val="00793BA8"/>
    <w:rsid w:val="00793DF8"/>
    <w:rsid w:val="007944FB"/>
    <w:rsid w:val="0079489F"/>
    <w:rsid w:val="00796E20"/>
    <w:rsid w:val="00797C32"/>
    <w:rsid w:val="007A02BA"/>
    <w:rsid w:val="007A075B"/>
    <w:rsid w:val="007A098E"/>
    <w:rsid w:val="007A0E7A"/>
    <w:rsid w:val="007A11E8"/>
    <w:rsid w:val="007A1499"/>
    <w:rsid w:val="007A2D43"/>
    <w:rsid w:val="007A3488"/>
    <w:rsid w:val="007A3D35"/>
    <w:rsid w:val="007A4B29"/>
    <w:rsid w:val="007A56CE"/>
    <w:rsid w:val="007A66C0"/>
    <w:rsid w:val="007A6D2D"/>
    <w:rsid w:val="007A7440"/>
    <w:rsid w:val="007B0914"/>
    <w:rsid w:val="007B0B48"/>
    <w:rsid w:val="007B0D58"/>
    <w:rsid w:val="007B1374"/>
    <w:rsid w:val="007B1D77"/>
    <w:rsid w:val="007B32E5"/>
    <w:rsid w:val="007B36A4"/>
    <w:rsid w:val="007B3CA7"/>
    <w:rsid w:val="007B3DB9"/>
    <w:rsid w:val="007B4B29"/>
    <w:rsid w:val="007B51C6"/>
    <w:rsid w:val="007B589F"/>
    <w:rsid w:val="007B6186"/>
    <w:rsid w:val="007B6950"/>
    <w:rsid w:val="007B73BC"/>
    <w:rsid w:val="007B7BCD"/>
    <w:rsid w:val="007C1121"/>
    <w:rsid w:val="007C1838"/>
    <w:rsid w:val="007C18D5"/>
    <w:rsid w:val="007C20B9"/>
    <w:rsid w:val="007C2175"/>
    <w:rsid w:val="007C36B8"/>
    <w:rsid w:val="007C4226"/>
    <w:rsid w:val="007C4C48"/>
    <w:rsid w:val="007C5183"/>
    <w:rsid w:val="007C56A5"/>
    <w:rsid w:val="007C6AA1"/>
    <w:rsid w:val="007C7301"/>
    <w:rsid w:val="007C7311"/>
    <w:rsid w:val="007C7859"/>
    <w:rsid w:val="007C7F28"/>
    <w:rsid w:val="007D1466"/>
    <w:rsid w:val="007D20C7"/>
    <w:rsid w:val="007D2BDE"/>
    <w:rsid w:val="007D2DA9"/>
    <w:rsid w:val="007D2DBC"/>
    <w:rsid w:val="007D2FB6"/>
    <w:rsid w:val="007D3117"/>
    <w:rsid w:val="007D49EB"/>
    <w:rsid w:val="007D5AE7"/>
    <w:rsid w:val="007D5E1C"/>
    <w:rsid w:val="007E08C2"/>
    <w:rsid w:val="007E0A47"/>
    <w:rsid w:val="007E0DE2"/>
    <w:rsid w:val="007E0E1E"/>
    <w:rsid w:val="007E1655"/>
    <w:rsid w:val="007E212E"/>
    <w:rsid w:val="007E2ACE"/>
    <w:rsid w:val="007E308B"/>
    <w:rsid w:val="007E3667"/>
    <w:rsid w:val="007E3B98"/>
    <w:rsid w:val="007E3C9F"/>
    <w:rsid w:val="007E417A"/>
    <w:rsid w:val="007E510C"/>
    <w:rsid w:val="007E548D"/>
    <w:rsid w:val="007E55DB"/>
    <w:rsid w:val="007E6701"/>
    <w:rsid w:val="007E7982"/>
    <w:rsid w:val="007F1198"/>
    <w:rsid w:val="007F31B6"/>
    <w:rsid w:val="007F352B"/>
    <w:rsid w:val="007F3F0E"/>
    <w:rsid w:val="007F4BBF"/>
    <w:rsid w:val="007F546C"/>
    <w:rsid w:val="007F5B69"/>
    <w:rsid w:val="007F625F"/>
    <w:rsid w:val="007F665E"/>
    <w:rsid w:val="00800412"/>
    <w:rsid w:val="008008EE"/>
    <w:rsid w:val="0080145D"/>
    <w:rsid w:val="00802005"/>
    <w:rsid w:val="00804104"/>
    <w:rsid w:val="0080587B"/>
    <w:rsid w:val="00805960"/>
    <w:rsid w:val="008061B0"/>
    <w:rsid w:val="00806468"/>
    <w:rsid w:val="00807CB8"/>
    <w:rsid w:val="008110EA"/>
    <w:rsid w:val="008119CA"/>
    <w:rsid w:val="00812700"/>
    <w:rsid w:val="00812D5F"/>
    <w:rsid w:val="00812F03"/>
    <w:rsid w:val="008130C4"/>
    <w:rsid w:val="008131B6"/>
    <w:rsid w:val="0081355B"/>
    <w:rsid w:val="008155F0"/>
    <w:rsid w:val="00815765"/>
    <w:rsid w:val="00815839"/>
    <w:rsid w:val="008158BA"/>
    <w:rsid w:val="0081620B"/>
    <w:rsid w:val="00816311"/>
    <w:rsid w:val="00816735"/>
    <w:rsid w:val="00816AAD"/>
    <w:rsid w:val="00816C3D"/>
    <w:rsid w:val="00820141"/>
    <w:rsid w:val="00820E0C"/>
    <w:rsid w:val="008226F8"/>
    <w:rsid w:val="00823275"/>
    <w:rsid w:val="0082366F"/>
    <w:rsid w:val="00823858"/>
    <w:rsid w:val="00823873"/>
    <w:rsid w:val="00825F45"/>
    <w:rsid w:val="008260A4"/>
    <w:rsid w:val="0082737E"/>
    <w:rsid w:val="00827A43"/>
    <w:rsid w:val="00830CF1"/>
    <w:rsid w:val="00831F79"/>
    <w:rsid w:val="00832454"/>
    <w:rsid w:val="00832A68"/>
    <w:rsid w:val="00832C7E"/>
    <w:rsid w:val="00833249"/>
    <w:rsid w:val="00833300"/>
    <w:rsid w:val="008338A2"/>
    <w:rsid w:val="0083413D"/>
    <w:rsid w:val="008349A2"/>
    <w:rsid w:val="008349EF"/>
    <w:rsid w:val="00834CA1"/>
    <w:rsid w:val="00835A23"/>
    <w:rsid w:val="00835DED"/>
    <w:rsid w:val="00836B71"/>
    <w:rsid w:val="00837921"/>
    <w:rsid w:val="008405BC"/>
    <w:rsid w:val="00840FE4"/>
    <w:rsid w:val="00841AA9"/>
    <w:rsid w:val="008431B3"/>
    <w:rsid w:val="008435AE"/>
    <w:rsid w:val="00843D9A"/>
    <w:rsid w:val="00843E59"/>
    <w:rsid w:val="00844529"/>
    <w:rsid w:val="008446E6"/>
    <w:rsid w:val="00845890"/>
    <w:rsid w:val="008458AE"/>
    <w:rsid w:val="0084687C"/>
    <w:rsid w:val="008474FE"/>
    <w:rsid w:val="008501E4"/>
    <w:rsid w:val="00850C9C"/>
    <w:rsid w:val="00851881"/>
    <w:rsid w:val="00851994"/>
    <w:rsid w:val="00853148"/>
    <w:rsid w:val="00853EB4"/>
    <w:rsid w:val="00853EE4"/>
    <w:rsid w:val="00855008"/>
    <w:rsid w:val="00855535"/>
    <w:rsid w:val="0085557D"/>
    <w:rsid w:val="0085572C"/>
    <w:rsid w:val="008559FB"/>
    <w:rsid w:val="00856A93"/>
    <w:rsid w:val="00856C00"/>
    <w:rsid w:val="008576EA"/>
    <w:rsid w:val="00857879"/>
    <w:rsid w:val="00857C5A"/>
    <w:rsid w:val="00860097"/>
    <w:rsid w:val="00861F8A"/>
    <w:rsid w:val="0086255E"/>
    <w:rsid w:val="008633F0"/>
    <w:rsid w:val="00865A86"/>
    <w:rsid w:val="00866D8B"/>
    <w:rsid w:val="00867D9D"/>
    <w:rsid w:val="00871020"/>
    <w:rsid w:val="00871D13"/>
    <w:rsid w:val="00872E0A"/>
    <w:rsid w:val="00872FFC"/>
    <w:rsid w:val="00873594"/>
    <w:rsid w:val="008739FE"/>
    <w:rsid w:val="00875285"/>
    <w:rsid w:val="008753A7"/>
    <w:rsid w:val="0087546A"/>
    <w:rsid w:val="0087586C"/>
    <w:rsid w:val="00877803"/>
    <w:rsid w:val="00877D24"/>
    <w:rsid w:val="00880904"/>
    <w:rsid w:val="00880B9B"/>
    <w:rsid w:val="00881585"/>
    <w:rsid w:val="0088203C"/>
    <w:rsid w:val="00882EDC"/>
    <w:rsid w:val="00884B62"/>
    <w:rsid w:val="0088529C"/>
    <w:rsid w:val="00886126"/>
    <w:rsid w:val="00886251"/>
    <w:rsid w:val="00887903"/>
    <w:rsid w:val="008905AA"/>
    <w:rsid w:val="008905DA"/>
    <w:rsid w:val="008915D9"/>
    <w:rsid w:val="0089270A"/>
    <w:rsid w:val="00893AF6"/>
    <w:rsid w:val="008941B3"/>
    <w:rsid w:val="00894316"/>
    <w:rsid w:val="00894573"/>
    <w:rsid w:val="00894BC4"/>
    <w:rsid w:val="00894E16"/>
    <w:rsid w:val="008959EA"/>
    <w:rsid w:val="00896890"/>
    <w:rsid w:val="0089693C"/>
    <w:rsid w:val="00896C87"/>
    <w:rsid w:val="008977D1"/>
    <w:rsid w:val="00897BF4"/>
    <w:rsid w:val="008A05A9"/>
    <w:rsid w:val="008A0C13"/>
    <w:rsid w:val="008A1139"/>
    <w:rsid w:val="008A1758"/>
    <w:rsid w:val="008A1B8C"/>
    <w:rsid w:val="008A28A8"/>
    <w:rsid w:val="008A54AC"/>
    <w:rsid w:val="008A5886"/>
    <w:rsid w:val="008A58EE"/>
    <w:rsid w:val="008A5B32"/>
    <w:rsid w:val="008A6BDD"/>
    <w:rsid w:val="008B004B"/>
    <w:rsid w:val="008B2029"/>
    <w:rsid w:val="008B2EE4"/>
    <w:rsid w:val="008B3821"/>
    <w:rsid w:val="008B4D3D"/>
    <w:rsid w:val="008B57C7"/>
    <w:rsid w:val="008B5819"/>
    <w:rsid w:val="008B5AF3"/>
    <w:rsid w:val="008B6C4E"/>
    <w:rsid w:val="008B71B3"/>
    <w:rsid w:val="008C0133"/>
    <w:rsid w:val="008C1593"/>
    <w:rsid w:val="008C1E35"/>
    <w:rsid w:val="008C23F9"/>
    <w:rsid w:val="008C2970"/>
    <w:rsid w:val="008C2F92"/>
    <w:rsid w:val="008C3546"/>
    <w:rsid w:val="008C44C1"/>
    <w:rsid w:val="008C4981"/>
    <w:rsid w:val="008C589D"/>
    <w:rsid w:val="008C6D51"/>
    <w:rsid w:val="008D1DB5"/>
    <w:rsid w:val="008D20A0"/>
    <w:rsid w:val="008D2846"/>
    <w:rsid w:val="008D3EDB"/>
    <w:rsid w:val="008D4236"/>
    <w:rsid w:val="008D462F"/>
    <w:rsid w:val="008D4F0C"/>
    <w:rsid w:val="008D58F1"/>
    <w:rsid w:val="008D6309"/>
    <w:rsid w:val="008D6DCF"/>
    <w:rsid w:val="008D703E"/>
    <w:rsid w:val="008D7815"/>
    <w:rsid w:val="008E07D9"/>
    <w:rsid w:val="008E0BF2"/>
    <w:rsid w:val="008E1C69"/>
    <w:rsid w:val="008E22D7"/>
    <w:rsid w:val="008E2742"/>
    <w:rsid w:val="008E29DC"/>
    <w:rsid w:val="008E2A5B"/>
    <w:rsid w:val="008E2ECC"/>
    <w:rsid w:val="008E2FE2"/>
    <w:rsid w:val="008E4182"/>
    <w:rsid w:val="008E4376"/>
    <w:rsid w:val="008E518F"/>
    <w:rsid w:val="008E6B4F"/>
    <w:rsid w:val="008E7A0A"/>
    <w:rsid w:val="008E7B49"/>
    <w:rsid w:val="008F045D"/>
    <w:rsid w:val="008F0633"/>
    <w:rsid w:val="008F1148"/>
    <w:rsid w:val="008F32B2"/>
    <w:rsid w:val="008F360D"/>
    <w:rsid w:val="008F4601"/>
    <w:rsid w:val="008F59F6"/>
    <w:rsid w:val="008F741F"/>
    <w:rsid w:val="00900407"/>
    <w:rsid w:val="009005B2"/>
    <w:rsid w:val="00900719"/>
    <w:rsid w:val="009017AC"/>
    <w:rsid w:val="00901F47"/>
    <w:rsid w:val="00902873"/>
    <w:rsid w:val="00902A9A"/>
    <w:rsid w:val="00902DD2"/>
    <w:rsid w:val="009030CC"/>
    <w:rsid w:val="00903483"/>
    <w:rsid w:val="009036FD"/>
    <w:rsid w:val="009039A7"/>
    <w:rsid w:val="0090412D"/>
    <w:rsid w:val="0090416C"/>
    <w:rsid w:val="00904A1C"/>
    <w:rsid w:val="00905030"/>
    <w:rsid w:val="0090621D"/>
    <w:rsid w:val="00906490"/>
    <w:rsid w:val="00906B15"/>
    <w:rsid w:val="00906C6F"/>
    <w:rsid w:val="009074A7"/>
    <w:rsid w:val="00907590"/>
    <w:rsid w:val="0090775E"/>
    <w:rsid w:val="00907A33"/>
    <w:rsid w:val="009104FC"/>
    <w:rsid w:val="00910588"/>
    <w:rsid w:val="009111B2"/>
    <w:rsid w:val="00911CC9"/>
    <w:rsid w:val="009123BC"/>
    <w:rsid w:val="009128F1"/>
    <w:rsid w:val="0091291E"/>
    <w:rsid w:val="009151F5"/>
    <w:rsid w:val="009152FF"/>
    <w:rsid w:val="00915580"/>
    <w:rsid w:val="0091594B"/>
    <w:rsid w:val="00915B07"/>
    <w:rsid w:val="00915DE3"/>
    <w:rsid w:val="00917BC6"/>
    <w:rsid w:val="0092046D"/>
    <w:rsid w:val="00920738"/>
    <w:rsid w:val="00920CA4"/>
    <w:rsid w:val="00921369"/>
    <w:rsid w:val="00921467"/>
    <w:rsid w:val="00921829"/>
    <w:rsid w:val="00921EC5"/>
    <w:rsid w:val="00922335"/>
    <w:rsid w:val="009242C3"/>
    <w:rsid w:val="00924AE1"/>
    <w:rsid w:val="00925FF1"/>
    <w:rsid w:val="00926022"/>
    <w:rsid w:val="00926802"/>
    <w:rsid w:val="009269B1"/>
    <w:rsid w:val="009269F6"/>
    <w:rsid w:val="0092724D"/>
    <w:rsid w:val="009272B3"/>
    <w:rsid w:val="00927B01"/>
    <w:rsid w:val="00927BAE"/>
    <w:rsid w:val="00927C2B"/>
    <w:rsid w:val="00927C72"/>
    <w:rsid w:val="009315BE"/>
    <w:rsid w:val="00931F34"/>
    <w:rsid w:val="009326DD"/>
    <w:rsid w:val="00932C3B"/>
    <w:rsid w:val="009330FC"/>
    <w:rsid w:val="0093338F"/>
    <w:rsid w:val="00934D0C"/>
    <w:rsid w:val="00935C8B"/>
    <w:rsid w:val="00935EF3"/>
    <w:rsid w:val="00936024"/>
    <w:rsid w:val="009370EA"/>
    <w:rsid w:val="00937709"/>
    <w:rsid w:val="009379AD"/>
    <w:rsid w:val="009379EF"/>
    <w:rsid w:val="00937BD9"/>
    <w:rsid w:val="00937D0C"/>
    <w:rsid w:val="00937F99"/>
    <w:rsid w:val="0094089B"/>
    <w:rsid w:val="00941E61"/>
    <w:rsid w:val="00942C83"/>
    <w:rsid w:val="00942D67"/>
    <w:rsid w:val="00946A58"/>
    <w:rsid w:val="0095076B"/>
    <w:rsid w:val="009509F3"/>
    <w:rsid w:val="00950E2C"/>
    <w:rsid w:val="009511EA"/>
    <w:rsid w:val="00951D50"/>
    <w:rsid w:val="009525EB"/>
    <w:rsid w:val="00953C94"/>
    <w:rsid w:val="00953E79"/>
    <w:rsid w:val="0095470B"/>
    <w:rsid w:val="009547C3"/>
    <w:rsid w:val="00954874"/>
    <w:rsid w:val="00955F9A"/>
    <w:rsid w:val="0095615A"/>
    <w:rsid w:val="009577F2"/>
    <w:rsid w:val="00960408"/>
    <w:rsid w:val="00960897"/>
    <w:rsid w:val="009608B7"/>
    <w:rsid w:val="00961400"/>
    <w:rsid w:val="00961A62"/>
    <w:rsid w:val="00962AEA"/>
    <w:rsid w:val="00963458"/>
    <w:rsid w:val="00963646"/>
    <w:rsid w:val="00963715"/>
    <w:rsid w:val="0096397B"/>
    <w:rsid w:val="009649BF"/>
    <w:rsid w:val="00965085"/>
    <w:rsid w:val="009652EC"/>
    <w:rsid w:val="00966203"/>
    <w:rsid w:val="0096632D"/>
    <w:rsid w:val="00966F96"/>
    <w:rsid w:val="00967124"/>
    <w:rsid w:val="009678A5"/>
    <w:rsid w:val="00967C54"/>
    <w:rsid w:val="00967D81"/>
    <w:rsid w:val="00970532"/>
    <w:rsid w:val="0097166C"/>
    <w:rsid w:val="009718C7"/>
    <w:rsid w:val="00971DE6"/>
    <w:rsid w:val="0097207F"/>
    <w:rsid w:val="009723D7"/>
    <w:rsid w:val="009727AC"/>
    <w:rsid w:val="00972C5F"/>
    <w:rsid w:val="00973A81"/>
    <w:rsid w:val="00974A58"/>
    <w:rsid w:val="009751A9"/>
    <w:rsid w:val="0097559F"/>
    <w:rsid w:val="0097571A"/>
    <w:rsid w:val="0097580A"/>
    <w:rsid w:val="00975943"/>
    <w:rsid w:val="00975B2D"/>
    <w:rsid w:val="00975D8D"/>
    <w:rsid w:val="009761EA"/>
    <w:rsid w:val="00976504"/>
    <w:rsid w:val="00977417"/>
    <w:rsid w:val="0097761E"/>
    <w:rsid w:val="009779EC"/>
    <w:rsid w:val="00982454"/>
    <w:rsid w:val="009824FE"/>
    <w:rsid w:val="00982CF0"/>
    <w:rsid w:val="00982E25"/>
    <w:rsid w:val="0098393E"/>
    <w:rsid w:val="00983B69"/>
    <w:rsid w:val="00984035"/>
    <w:rsid w:val="009850BD"/>
    <w:rsid w:val="009853E1"/>
    <w:rsid w:val="00986184"/>
    <w:rsid w:val="00986572"/>
    <w:rsid w:val="00986E6B"/>
    <w:rsid w:val="00986FA1"/>
    <w:rsid w:val="00987A97"/>
    <w:rsid w:val="00990032"/>
    <w:rsid w:val="00990B19"/>
    <w:rsid w:val="0099153B"/>
    <w:rsid w:val="00991769"/>
    <w:rsid w:val="00991A07"/>
    <w:rsid w:val="0099232C"/>
    <w:rsid w:val="00993842"/>
    <w:rsid w:val="00994386"/>
    <w:rsid w:val="009953BB"/>
    <w:rsid w:val="009965C7"/>
    <w:rsid w:val="009A0F8C"/>
    <w:rsid w:val="009A13D8"/>
    <w:rsid w:val="009A15E7"/>
    <w:rsid w:val="009A279E"/>
    <w:rsid w:val="009A3015"/>
    <w:rsid w:val="009A3490"/>
    <w:rsid w:val="009A39C3"/>
    <w:rsid w:val="009A6379"/>
    <w:rsid w:val="009A638B"/>
    <w:rsid w:val="009A6591"/>
    <w:rsid w:val="009A76EC"/>
    <w:rsid w:val="009A7EE0"/>
    <w:rsid w:val="009B0A6F"/>
    <w:rsid w:val="009B0A94"/>
    <w:rsid w:val="009B0C62"/>
    <w:rsid w:val="009B0DB2"/>
    <w:rsid w:val="009B0EED"/>
    <w:rsid w:val="009B2AE8"/>
    <w:rsid w:val="009B4066"/>
    <w:rsid w:val="009B43E1"/>
    <w:rsid w:val="009B4B88"/>
    <w:rsid w:val="009B5622"/>
    <w:rsid w:val="009B59E9"/>
    <w:rsid w:val="009B6240"/>
    <w:rsid w:val="009B70AA"/>
    <w:rsid w:val="009B74E9"/>
    <w:rsid w:val="009B77FF"/>
    <w:rsid w:val="009B7E97"/>
    <w:rsid w:val="009B7EB4"/>
    <w:rsid w:val="009C13B6"/>
    <w:rsid w:val="009C1B7E"/>
    <w:rsid w:val="009C22E4"/>
    <w:rsid w:val="009C245E"/>
    <w:rsid w:val="009C2A68"/>
    <w:rsid w:val="009C44EA"/>
    <w:rsid w:val="009C4935"/>
    <w:rsid w:val="009C4AFC"/>
    <w:rsid w:val="009C5523"/>
    <w:rsid w:val="009C5E77"/>
    <w:rsid w:val="009C6173"/>
    <w:rsid w:val="009C73E2"/>
    <w:rsid w:val="009C7A7E"/>
    <w:rsid w:val="009D02E8"/>
    <w:rsid w:val="009D0C2D"/>
    <w:rsid w:val="009D0EBD"/>
    <w:rsid w:val="009D1BE3"/>
    <w:rsid w:val="009D36BE"/>
    <w:rsid w:val="009D4D4C"/>
    <w:rsid w:val="009D51D0"/>
    <w:rsid w:val="009D55AC"/>
    <w:rsid w:val="009D61D3"/>
    <w:rsid w:val="009D675F"/>
    <w:rsid w:val="009D70A4"/>
    <w:rsid w:val="009D74B6"/>
    <w:rsid w:val="009D74FA"/>
    <w:rsid w:val="009D7B14"/>
    <w:rsid w:val="009D7C3B"/>
    <w:rsid w:val="009E06D8"/>
    <w:rsid w:val="009E08D1"/>
    <w:rsid w:val="009E0BB8"/>
    <w:rsid w:val="009E0D96"/>
    <w:rsid w:val="009E1B95"/>
    <w:rsid w:val="009E2927"/>
    <w:rsid w:val="009E2C82"/>
    <w:rsid w:val="009E38B4"/>
    <w:rsid w:val="009E3A37"/>
    <w:rsid w:val="009E425F"/>
    <w:rsid w:val="009E496F"/>
    <w:rsid w:val="009E4B0D"/>
    <w:rsid w:val="009E5250"/>
    <w:rsid w:val="009E6199"/>
    <w:rsid w:val="009E67FE"/>
    <w:rsid w:val="009E6A7F"/>
    <w:rsid w:val="009E7745"/>
    <w:rsid w:val="009E7A25"/>
    <w:rsid w:val="009E7A69"/>
    <w:rsid w:val="009E7F92"/>
    <w:rsid w:val="009F02A3"/>
    <w:rsid w:val="009F10F6"/>
    <w:rsid w:val="009F15F6"/>
    <w:rsid w:val="009F2022"/>
    <w:rsid w:val="009F2182"/>
    <w:rsid w:val="009F25C7"/>
    <w:rsid w:val="009F28FB"/>
    <w:rsid w:val="009F2979"/>
    <w:rsid w:val="009F2F27"/>
    <w:rsid w:val="009F34AA"/>
    <w:rsid w:val="009F3CF2"/>
    <w:rsid w:val="009F4C5F"/>
    <w:rsid w:val="009F5766"/>
    <w:rsid w:val="009F6BCB"/>
    <w:rsid w:val="009F7B78"/>
    <w:rsid w:val="00A0057A"/>
    <w:rsid w:val="00A0136B"/>
    <w:rsid w:val="00A02FA1"/>
    <w:rsid w:val="00A037D3"/>
    <w:rsid w:val="00A046ED"/>
    <w:rsid w:val="00A04CCE"/>
    <w:rsid w:val="00A05BD9"/>
    <w:rsid w:val="00A07421"/>
    <w:rsid w:val="00A0776B"/>
    <w:rsid w:val="00A07793"/>
    <w:rsid w:val="00A10C14"/>
    <w:rsid w:val="00A10FB9"/>
    <w:rsid w:val="00A11421"/>
    <w:rsid w:val="00A121B5"/>
    <w:rsid w:val="00A1389F"/>
    <w:rsid w:val="00A13B7A"/>
    <w:rsid w:val="00A1477F"/>
    <w:rsid w:val="00A14817"/>
    <w:rsid w:val="00A14DC1"/>
    <w:rsid w:val="00A157B1"/>
    <w:rsid w:val="00A158AA"/>
    <w:rsid w:val="00A177F9"/>
    <w:rsid w:val="00A21468"/>
    <w:rsid w:val="00A2161A"/>
    <w:rsid w:val="00A22229"/>
    <w:rsid w:val="00A230D4"/>
    <w:rsid w:val="00A238F2"/>
    <w:rsid w:val="00A23AC6"/>
    <w:rsid w:val="00A24442"/>
    <w:rsid w:val="00A244A9"/>
    <w:rsid w:val="00A2467D"/>
    <w:rsid w:val="00A24A0D"/>
    <w:rsid w:val="00A24ADA"/>
    <w:rsid w:val="00A27190"/>
    <w:rsid w:val="00A271D9"/>
    <w:rsid w:val="00A273DA"/>
    <w:rsid w:val="00A27733"/>
    <w:rsid w:val="00A301B9"/>
    <w:rsid w:val="00A3031F"/>
    <w:rsid w:val="00A307AF"/>
    <w:rsid w:val="00A30C55"/>
    <w:rsid w:val="00A32577"/>
    <w:rsid w:val="00A32677"/>
    <w:rsid w:val="00A330BB"/>
    <w:rsid w:val="00A3313A"/>
    <w:rsid w:val="00A34CF6"/>
    <w:rsid w:val="00A35194"/>
    <w:rsid w:val="00A35537"/>
    <w:rsid w:val="00A3571C"/>
    <w:rsid w:val="00A35A12"/>
    <w:rsid w:val="00A37A07"/>
    <w:rsid w:val="00A37E64"/>
    <w:rsid w:val="00A40437"/>
    <w:rsid w:val="00A41AF7"/>
    <w:rsid w:val="00A42388"/>
    <w:rsid w:val="00A42B9C"/>
    <w:rsid w:val="00A43910"/>
    <w:rsid w:val="00A439B4"/>
    <w:rsid w:val="00A44660"/>
    <w:rsid w:val="00A446F5"/>
    <w:rsid w:val="00A44882"/>
    <w:rsid w:val="00A449DF"/>
    <w:rsid w:val="00A45125"/>
    <w:rsid w:val="00A45260"/>
    <w:rsid w:val="00A45973"/>
    <w:rsid w:val="00A47A7E"/>
    <w:rsid w:val="00A5024E"/>
    <w:rsid w:val="00A50267"/>
    <w:rsid w:val="00A50B12"/>
    <w:rsid w:val="00A52357"/>
    <w:rsid w:val="00A52856"/>
    <w:rsid w:val="00A5288F"/>
    <w:rsid w:val="00A529F5"/>
    <w:rsid w:val="00A531AF"/>
    <w:rsid w:val="00A5356A"/>
    <w:rsid w:val="00A54299"/>
    <w:rsid w:val="00A545AD"/>
    <w:rsid w:val="00A54715"/>
    <w:rsid w:val="00A55204"/>
    <w:rsid w:val="00A557B6"/>
    <w:rsid w:val="00A55FD5"/>
    <w:rsid w:val="00A56644"/>
    <w:rsid w:val="00A5670F"/>
    <w:rsid w:val="00A56C0C"/>
    <w:rsid w:val="00A57332"/>
    <w:rsid w:val="00A6061C"/>
    <w:rsid w:val="00A61042"/>
    <w:rsid w:val="00A61581"/>
    <w:rsid w:val="00A62D44"/>
    <w:rsid w:val="00A62FDC"/>
    <w:rsid w:val="00A63926"/>
    <w:rsid w:val="00A66C19"/>
    <w:rsid w:val="00A67263"/>
    <w:rsid w:val="00A70F44"/>
    <w:rsid w:val="00A7161C"/>
    <w:rsid w:val="00A71720"/>
    <w:rsid w:val="00A717A0"/>
    <w:rsid w:val="00A71CE4"/>
    <w:rsid w:val="00A72CA9"/>
    <w:rsid w:val="00A737BA"/>
    <w:rsid w:val="00A73C2D"/>
    <w:rsid w:val="00A74724"/>
    <w:rsid w:val="00A75A60"/>
    <w:rsid w:val="00A765E3"/>
    <w:rsid w:val="00A76879"/>
    <w:rsid w:val="00A76A92"/>
    <w:rsid w:val="00A76EF1"/>
    <w:rsid w:val="00A776AB"/>
    <w:rsid w:val="00A77AA3"/>
    <w:rsid w:val="00A80345"/>
    <w:rsid w:val="00A818F9"/>
    <w:rsid w:val="00A8236D"/>
    <w:rsid w:val="00A8337E"/>
    <w:rsid w:val="00A84958"/>
    <w:rsid w:val="00A8528A"/>
    <w:rsid w:val="00A854EB"/>
    <w:rsid w:val="00A85883"/>
    <w:rsid w:val="00A86CB3"/>
    <w:rsid w:val="00A87054"/>
    <w:rsid w:val="00A872E5"/>
    <w:rsid w:val="00A91406"/>
    <w:rsid w:val="00A9147C"/>
    <w:rsid w:val="00A9168F"/>
    <w:rsid w:val="00A930EA"/>
    <w:rsid w:val="00A9383F"/>
    <w:rsid w:val="00A93A0D"/>
    <w:rsid w:val="00A963FC"/>
    <w:rsid w:val="00A96E65"/>
    <w:rsid w:val="00A96ECE"/>
    <w:rsid w:val="00A97C72"/>
    <w:rsid w:val="00AA03AE"/>
    <w:rsid w:val="00AA0661"/>
    <w:rsid w:val="00AA0948"/>
    <w:rsid w:val="00AA1253"/>
    <w:rsid w:val="00AA14CC"/>
    <w:rsid w:val="00AA230F"/>
    <w:rsid w:val="00AA2887"/>
    <w:rsid w:val="00AA2CEF"/>
    <w:rsid w:val="00AA310B"/>
    <w:rsid w:val="00AA3AF0"/>
    <w:rsid w:val="00AA3AFD"/>
    <w:rsid w:val="00AA4367"/>
    <w:rsid w:val="00AA5271"/>
    <w:rsid w:val="00AA53FF"/>
    <w:rsid w:val="00AA63D4"/>
    <w:rsid w:val="00AA70DA"/>
    <w:rsid w:val="00AA7313"/>
    <w:rsid w:val="00AA75F6"/>
    <w:rsid w:val="00AB06E8"/>
    <w:rsid w:val="00AB1095"/>
    <w:rsid w:val="00AB1A12"/>
    <w:rsid w:val="00AB1CD3"/>
    <w:rsid w:val="00AB2815"/>
    <w:rsid w:val="00AB352F"/>
    <w:rsid w:val="00AB3D4F"/>
    <w:rsid w:val="00AB3E09"/>
    <w:rsid w:val="00AB4100"/>
    <w:rsid w:val="00AB615C"/>
    <w:rsid w:val="00AB7E5D"/>
    <w:rsid w:val="00AC03E6"/>
    <w:rsid w:val="00AC11BF"/>
    <w:rsid w:val="00AC22EC"/>
    <w:rsid w:val="00AC274B"/>
    <w:rsid w:val="00AC2EF4"/>
    <w:rsid w:val="00AC309B"/>
    <w:rsid w:val="00AC3BE1"/>
    <w:rsid w:val="00AC4764"/>
    <w:rsid w:val="00AC48D5"/>
    <w:rsid w:val="00AC674D"/>
    <w:rsid w:val="00AC6D36"/>
    <w:rsid w:val="00AC7ECB"/>
    <w:rsid w:val="00AD0133"/>
    <w:rsid w:val="00AD0B38"/>
    <w:rsid w:val="00AD0CBA"/>
    <w:rsid w:val="00AD10B2"/>
    <w:rsid w:val="00AD1734"/>
    <w:rsid w:val="00AD26E2"/>
    <w:rsid w:val="00AD2A44"/>
    <w:rsid w:val="00AD3F23"/>
    <w:rsid w:val="00AD420E"/>
    <w:rsid w:val="00AD5003"/>
    <w:rsid w:val="00AD659A"/>
    <w:rsid w:val="00AD784C"/>
    <w:rsid w:val="00AE0393"/>
    <w:rsid w:val="00AE049E"/>
    <w:rsid w:val="00AE126A"/>
    <w:rsid w:val="00AE171C"/>
    <w:rsid w:val="00AE1BAE"/>
    <w:rsid w:val="00AE1EF5"/>
    <w:rsid w:val="00AE1F43"/>
    <w:rsid w:val="00AE29B9"/>
    <w:rsid w:val="00AE2D20"/>
    <w:rsid w:val="00AE3005"/>
    <w:rsid w:val="00AE3BD5"/>
    <w:rsid w:val="00AE43AD"/>
    <w:rsid w:val="00AE4B9A"/>
    <w:rsid w:val="00AE4ED3"/>
    <w:rsid w:val="00AE59A0"/>
    <w:rsid w:val="00AE5BE9"/>
    <w:rsid w:val="00AE6C70"/>
    <w:rsid w:val="00AE77B6"/>
    <w:rsid w:val="00AE77D0"/>
    <w:rsid w:val="00AE7CD4"/>
    <w:rsid w:val="00AF0268"/>
    <w:rsid w:val="00AF063B"/>
    <w:rsid w:val="00AF0AE5"/>
    <w:rsid w:val="00AF0C57"/>
    <w:rsid w:val="00AF26F3"/>
    <w:rsid w:val="00AF2B01"/>
    <w:rsid w:val="00AF3AB1"/>
    <w:rsid w:val="00AF41C0"/>
    <w:rsid w:val="00AF43FB"/>
    <w:rsid w:val="00AF5A6A"/>
    <w:rsid w:val="00AF5D76"/>
    <w:rsid w:val="00AF5F04"/>
    <w:rsid w:val="00AF62E5"/>
    <w:rsid w:val="00B00672"/>
    <w:rsid w:val="00B01B4D"/>
    <w:rsid w:val="00B02C85"/>
    <w:rsid w:val="00B030B6"/>
    <w:rsid w:val="00B03F1C"/>
    <w:rsid w:val="00B04489"/>
    <w:rsid w:val="00B0463A"/>
    <w:rsid w:val="00B04B75"/>
    <w:rsid w:val="00B05099"/>
    <w:rsid w:val="00B05C33"/>
    <w:rsid w:val="00B06571"/>
    <w:rsid w:val="00B068BA"/>
    <w:rsid w:val="00B07217"/>
    <w:rsid w:val="00B07C90"/>
    <w:rsid w:val="00B134F7"/>
    <w:rsid w:val="00B13851"/>
    <w:rsid w:val="00B13B1C"/>
    <w:rsid w:val="00B14B5F"/>
    <w:rsid w:val="00B14E1A"/>
    <w:rsid w:val="00B17292"/>
    <w:rsid w:val="00B1759A"/>
    <w:rsid w:val="00B1791A"/>
    <w:rsid w:val="00B17F03"/>
    <w:rsid w:val="00B21F90"/>
    <w:rsid w:val="00B2218C"/>
    <w:rsid w:val="00B22291"/>
    <w:rsid w:val="00B222C0"/>
    <w:rsid w:val="00B23D2E"/>
    <w:rsid w:val="00B23F9A"/>
    <w:rsid w:val="00B2417B"/>
    <w:rsid w:val="00B241AC"/>
    <w:rsid w:val="00B24E6F"/>
    <w:rsid w:val="00B25C73"/>
    <w:rsid w:val="00B269D8"/>
    <w:rsid w:val="00B26A93"/>
    <w:rsid w:val="00B26CB5"/>
    <w:rsid w:val="00B26CC7"/>
    <w:rsid w:val="00B2752E"/>
    <w:rsid w:val="00B27D31"/>
    <w:rsid w:val="00B3007F"/>
    <w:rsid w:val="00B307CC"/>
    <w:rsid w:val="00B30B8D"/>
    <w:rsid w:val="00B3212C"/>
    <w:rsid w:val="00B326B7"/>
    <w:rsid w:val="00B33A9E"/>
    <w:rsid w:val="00B34C7F"/>
    <w:rsid w:val="00B35025"/>
    <w:rsid w:val="00B3588E"/>
    <w:rsid w:val="00B3603E"/>
    <w:rsid w:val="00B36D5D"/>
    <w:rsid w:val="00B371D0"/>
    <w:rsid w:val="00B37D5B"/>
    <w:rsid w:val="00B37F19"/>
    <w:rsid w:val="00B40685"/>
    <w:rsid w:val="00B40BEE"/>
    <w:rsid w:val="00B4198F"/>
    <w:rsid w:val="00B41EF2"/>
    <w:rsid w:val="00B41F3D"/>
    <w:rsid w:val="00B431E8"/>
    <w:rsid w:val="00B43C4C"/>
    <w:rsid w:val="00B4471E"/>
    <w:rsid w:val="00B447FB"/>
    <w:rsid w:val="00B4502D"/>
    <w:rsid w:val="00B45141"/>
    <w:rsid w:val="00B4547A"/>
    <w:rsid w:val="00B47375"/>
    <w:rsid w:val="00B501BC"/>
    <w:rsid w:val="00B50506"/>
    <w:rsid w:val="00B50875"/>
    <w:rsid w:val="00B50A7A"/>
    <w:rsid w:val="00B50AD1"/>
    <w:rsid w:val="00B514A6"/>
    <w:rsid w:val="00B519CD"/>
    <w:rsid w:val="00B5273A"/>
    <w:rsid w:val="00B53EFD"/>
    <w:rsid w:val="00B54703"/>
    <w:rsid w:val="00B57329"/>
    <w:rsid w:val="00B575D6"/>
    <w:rsid w:val="00B57656"/>
    <w:rsid w:val="00B601FF"/>
    <w:rsid w:val="00B60E61"/>
    <w:rsid w:val="00B62B50"/>
    <w:rsid w:val="00B635B7"/>
    <w:rsid w:val="00B63AE8"/>
    <w:rsid w:val="00B65950"/>
    <w:rsid w:val="00B65DA6"/>
    <w:rsid w:val="00B66D83"/>
    <w:rsid w:val="00B671E9"/>
    <w:rsid w:val="00B672C0"/>
    <w:rsid w:val="00B67364"/>
    <w:rsid w:val="00B673B9"/>
    <w:rsid w:val="00B67411"/>
    <w:rsid w:val="00B676FD"/>
    <w:rsid w:val="00B678B6"/>
    <w:rsid w:val="00B67B6A"/>
    <w:rsid w:val="00B67D58"/>
    <w:rsid w:val="00B70056"/>
    <w:rsid w:val="00B707AB"/>
    <w:rsid w:val="00B71745"/>
    <w:rsid w:val="00B724DF"/>
    <w:rsid w:val="00B73811"/>
    <w:rsid w:val="00B73F79"/>
    <w:rsid w:val="00B745A7"/>
    <w:rsid w:val="00B74FF5"/>
    <w:rsid w:val="00B75352"/>
    <w:rsid w:val="00B755CA"/>
    <w:rsid w:val="00B75646"/>
    <w:rsid w:val="00B7629E"/>
    <w:rsid w:val="00B7704D"/>
    <w:rsid w:val="00B7707A"/>
    <w:rsid w:val="00B7753C"/>
    <w:rsid w:val="00B77ED2"/>
    <w:rsid w:val="00B77EE7"/>
    <w:rsid w:val="00B80F6A"/>
    <w:rsid w:val="00B81215"/>
    <w:rsid w:val="00B81AA8"/>
    <w:rsid w:val="00B81ADF"/>
    <w:rsid w:val="00B82B86"/>
    <w:rsid w:val="00B82D15"/>
    <w:rsid w:val="00B83CEC"/>
    <w:rsid w:val="00B84032"/>
    <w:rsid w:val="00B855EA"/>
    <w:rsid w:val="00B8574F"/>
    <w:rsid w:val="00B86657"/>
    <w:rsid w:val="00B903C8"/>
    <w:rsid w:val="00B90729"/>
    <w:rsid w:val="00B907DA"/>
    <w:rsid w:val="00B90B09"/>
    <w:rsid w:val="00B929A3"/>
    <w:rsid w:val="00B933AA"/>
    <w:rsid w:val="00B93B67"/>
    <w:rsid w:val="00B93FC1"/>
    <w:rsid w:val="00B9482B"/>
    <w:rsid w:val="00B948E3"/>
    <w:rsid w:val="00B94C5E"/>
    <w:rsid w:val="00B950BC"/>
    <w:rsid w:val="00B96918"/>
    <w:rsid w:val="00B9714C"/>
    <w:rsid w:val="00B97796"/>
    <w:rsid w:val="00B97992"/>
    <w:rsid w:val="00BA01B9"/>
    <w:rsid w:val="00BA24A8"/>
    <w:rsid w:val="00BA26F6"/>
    <w:rsid w:val="00BA29AD"/>
    <w:rsid w:val="00BA33CF"/>
    <w:rsid w:val="00BA37B8"/>
    <w:rsid w:val="00BA3BF1"/>
    <w:rsid w:val="00BA3F8D"/>
    <w:rsid w:val="00BA50B8"/>
    <w:rsid w:val="00BA5B8E"/>
    <w:rsid w:val="00BA5C00"/>
    <w:rsid w:val="00BA72F5"/>
    <w:rsid w:val="00BB07A9"/>
    <w:rsid w:val="00BB1543"/>
    <w:rsid w:val="00BB1856"/>
    <w:rsid w:val="00BB2174"/>
    <w:rsid w:val="00BB2BCE"/>
    <w:rsid w:val="00BB3848"/>
    <w:rsid w:val="00BB3BC3"/>
    <w:rsid w:val="00BB5028"/>
    <w:rsid w:val="00BB6216"/>
    <w:rsid w:val="00BB653D"/>
    <w:rsid w:val="00BB6DF5"/>
    <w:rsid w:val="00BB702E"/>
    <w:rsid w:val="00BB74AC"/>
    <w:rsid w:val="00BB7A10"/>
    <w:rsid w:val="00BC5A24"/>
    <w:rsid w:val="00BC60BE"/>
    <w:rsid w:val="00BC73B8"/>
    <w:rsid w:val="00BC7468"/>
    <w:rsid w:val="00BC7D4F"/>
    <w:rsid w:val="00BC7D75"/>
    <w:rsid w:val="00BC7EC6"/>
    <w:rsid w:val="00BC7ED7"/>
    <w:rsid w:val="00BD0737"/>
    <w:rsid w:val="00BD2850"/>
    <w:rsid w:val="00BD34E3"/>
    <w:rsid w:val="00BD42CA"/>
    <w:rsid w:val="00BD5A8F"/>
    <w:rsid w:val="00BD6B9D"/>
    <w:rsid w:val="00BD74B9"/>
    <w:rsid w:val="00BD7CF5"/>
    <w:rsid w:val="00BE11EA"/>
    <w:rsid w:val="00BE20F5"/>
    <w:rsid w:val="00BE26A4"/>
    <w:rsid w:val="00BE28D2"/>
    <w:rsid w:val="00BE29A9"/>
    <w:rsid w:val="00BE43D3"/>
    <w:rsid w:val="00BE4691"/>
    <w:rsid w:val="00BE4A64"/>
    <w:rsid w:val="00BE5E43"/>
    <w:rsid w:val="00BF1CB2"/>
    <w:rsid w:val="00BF2065"/>
    <w:rsid w:val="00BF2A4B"/>
    <w:rsid w:val="00BF2D75"/>
    <w:rsid w:val="00BF3BFB"/>
    <w:rsid w:val="00BF521D"/>
    <w:rsid w:val="00BF557D"/>
    <w:rsid w:val="00BF658D"/>
    <w:rsid w:val="00BF75FA"/>
    <w:rsid w:val="00BF7F58"/>
    <w:rsid w:val="00C01381"/>
    <w:rsid w:val="00C0160D"/>
    <w:rsid w:val="00C01859"/>
    <w:rsid w:val="00C01AB1"/>
    <w:rsid w:val="00C01CA0"/>
    <w:rsid w:val="00C01DA7"/>
    <w:rsid w:val="00C024DF"/>
    <w:rsid w:val="00C026A0"/>
    <w:rsid w:val="00C02F8F"/>
    <w:rsid w:val="00C04200"/>
    <w:rsid w:val="00C0476C"/>
    <w:rsid w:val="00C052EA"/>
    <w:rsid w:val="00C054AB"/>
    <w:rsid w:val="00C05CD3"/>
    <w:rsid w:val="00C060DE"/>
    <w:rsid w:val="00C06137"/>
    <w:rsid w:val="00C06929"/>
    <w:rsid w:val="00C06B9E"/>
    <w:rsid w:val="00C072F4"/>
    <w:rsid w:val="00C079B8"/>
    <w:rsid w:val="00C10037"/>
    <w:rsid w:val="00C11096"/>
    <w:rsid w:val="00C115E1"/>
    <w:rsid w:val="00C123EA"/>
    <w:rsid w:val="00C12A49"/>
    <w:rsid w:val="00C133EE"/>
    <w:rsid w:val="00C149D0"/>
    <w:rsid w:val="00C14EBC"/>
    <w:rsid w:val="00C14FB3"/>
    <w:rsid w:val="00C16080"/>
    <w:rsid w:val="00C16C25"/>
    <w:rsid w:val="00C2008E"/>
    <w:rsid w:val="00C203C6"/>
    <w:rsid w:val="00C20F3C"/>
    <w:rsid w:val="00C21BAE"/>
    <w:rsid w:val="00C21E12"/>
    <w:rsid w:val="00C22B12"/>
    <w:rsid w:val="00C22BE4"/>
    <w:rsid w:val="00C22D51"/>
    <w:rsid w:val="00C238CB"/>
    <w:rsid w:val="00C239B1"/>
    <w:rsid w:val="00C24156"/>
    <w:rsid w:val="00C26588"/>
    <w:rsid w:val="00C27D39"/>
    <w:rsid w:val="00C27DE9"/>
    <w:rsid w:val="00C27E4A"/>
    <w:rsid w:val="00C302DE"/>
    <w:rsid w:val="00C30E5D"/>
    <w:rsid w:val="00C32966"/>
    <w:rsid w:val="00C32989"/>
    <w:rsid w:val="00C329AC"/>
    <w:rsid w:val="00C33388"/>
    <w:rsid w:val="00C33A69"/>
    <w:rsid w:val="00C33DB1"/>
    <w:rsid w:val="00C34EAD"/>
    <w:rsid w:val="00C35484"/>
    <w:rsid w:val="00C35D2D"/>
    <w:rsid w:val="00C35E27"/>
    <w:rsid w:val="00C36AC5"/>
    <w:rsid w:val="00C37B54"/>
    <w:rsid w:val="00C4166C"/>
    <w:rsid w:val="00C4173A"/>
    <w:rsid w:val="00C41F09"/>
    <w:rsid w:val="00C43A83"/>
    <w:rsid w:val="00C43AA0"/>
    <w:rsid w:val="00C46966"/>
    <w:rsid w:val="00C47768"/>
    <w:rsid w:val="00C477FE"/>
    <w:rsid w:val="00C50409"/>
    <w:rsid w:val="00C509C5"/>
    <w:rsid w:val="00C50DED"/>
    <w:rsid w:val="00C50EEA"/>
    <w:rsid w:val="00C52217"/>
    <w:rsid w:val="00C55B2F"/>
    <w:rsid w:val="00C56E11"/>
    <w:rsid w:val="00C57690"/>
    <w:rsid w:val="00C577E8"/>
    <w:rsid w:val="00C60291"/>
    <w:rsid w:val="00C602FF"/>
    <w:rsid w:val="00C60411"/>
    <w:rsid w:val="00C60700"/>
    <w:rsid w:val="00C61174"/>
    <w:rsid w:val="00C6148F"/>
    <w:rsid w:val="00C615AA"/>
    <w:rsid w:val="00C621B1"/>
    <w:rsid w:val="00C62275"/>
    <w:rsid w:val="00C62F7A"/>
    <w:rsid w:val="00C63B9C"/>
    <w:rsid w:val="00C656CC"/>
    <w:rsid w:val="00C65DF0"/>
    <w:rsid w:val="00C663C3"/>
    <w:rsid w:val="00C6682F"/>
    <w:rsid w:val="00C67143"/>
    <w:rsid w:val="00C67BF4"/>
    <w:rsid w:val="00C7275E"/>
    <w:rsid w:val="00C731AF"/>
    <w:rsid w:val="00C73F69"/>
    <w:rsid w:val="00C74071"/>
    <w:rsid w:val="00C749F1"/>
    <w:rsid w:val="00C74C5D"/>
    <w:rsid w:val="00C76217"/>
    <w:rsid w:val="00C77787"/>
    <w:rsid w:val="00C806DB"/>
    <w:rsid w:val="00C833A6"/>
    <w:rsid w:val="00C83A83"/>
    <w:rsid w:val="00C84787"/>
    <w:rsid w:val="00C85ED3"/>
    <w:rsid w:val="00C863C4"/>
    <w:rsid w:val="00C8690E"/>
    <w:rsid w:val="00C86FAA"/>
    <w:rsid w:val="00C90DAB"/>
    <w:rsid w:val="00C9122D"/>
    <w:rsid w:val="00C913A0"/>
    <w:rsid w:val="00C91593"/>
    <w:rsid w:val="00C920EA"/>
    <w:rsid w:val="00C920FB"/>
    <w:rsid w:val="00C92845"/>
    <w:rsid w:val="00C928DA"/>
    <w:rsid w:val="00C93844"/>
    <w:rsid w:val="00C93C3E"/>
    <w:rsid w:val="00C959ED"/>
    <w:rsid w:val="00C95BB1"/>
    <w:rsid w:val="00C96482"/>
    <w:rsid w:val="00C96767"/>
    <w:rsid w:val="00CA0438"/>
    <w:rsid w:val="00CA12E3"/>
    <w:rsid w:val="00CA1476"/>
    <w:rsid w:val="00CA3062"/>
    <w:rsid w:val="00CA3B8B"/>
    <w:rsid w:val="00CA432D"/>
    <w:rsid w:val="00CA4478"/>
    <w:rsid w:val="00CA4645"/>
    <w:rsid w:val="00CA4715"/>
    <w:rsid w:val="00CA5239"/>
    <w:rsid w:val="00CA54EF"/>
    <w:rsid w:val="00CA5707"/>
    <w:rsid w:val="00CA6611"/>
    <w:rsid w:val="00CA6AE6"/>
    <w:rsid w:val="00CA782F"/>
    <w:rsid w:val="00CA7C86"/>
    <w:rsid w:val="00CB0455"/>
    <w:rsid w:val="00CB0880"/>
    <w:rsid w:val="00CB187B"/>
    <w:rsid w:val="00CB2835"/>
    <w:rsid w:val="00CB2DB8"/>
    <w:rsid w:val="00CB3285"/>
    <w:rsid w:val="00CB33F0"/>
    <w:rsid w:val="00CB4500"/>
    <w:rsid w:val="00CB455E"/>
    <w:rsid w:val="00CB658F"/>
    <w:rsid w:val="00CB7EC6"/>
    <w:rsid w:val="00CC02D5"/>
    <w:rsid w:val="00CC0C72"/>
    <w:rsid w:val="00CC14D3"/>
    <w:rsid w:val="00CC21A0"/>
    <w:rsid w:val="00CC2BFD"/>
    <w:rsid w:val="00CC351A"/>
    <w:rsid w:val="00CC3BB0"/>
    <w:rsid w:val="00CC4705"/>
    <w:rsid w:val="00CC54C1"/>
    <w:rsid w:val="00CC5CF3"/>
    <w:rsid w:val="00CC6F40"/>
    <w:rsid w:val="00CD0F00"/>
    <w:rsid w:val="00CD1B83"/>
    <w:rsid w:val="00CD3476"/>
    <w:rsid w:val="00CD3775"/>
    <w:rsid w:val="00CD4046"/>
    <w:rsid w:val="00CD4BAE"/>
    <w:rsid w:val="00CD5638"/>
    <w:rsid w:val="00CD5A02"/>
    <w:rsid w:val="00CD64DF"/>
    <w:rsid w:val="00CD6512"/>
    <w:rsid w:val="00CD7280"/>
    <w:rsid w:val="00CD7760"/>
    <w:rsid w:val="00CE0A9F"/>
    <w:rsid w:val="00CE0EC6"/>
    <w:rsid w:val="00CE225F"/>
    <w:rsid w:val="00CE3FF4"/>
    <w:rsid w:val="00CE4655"/>
    <w:rsid w:val="00CE5167"/>
    <w:rsid w:val="00CE54D6"/>
    <w:rsid w:val="00CE56BC"/>
    <w:rsid w:val="00CE5A7A"/>
    <w:rsid w:val="00CE5FB5"/>
    <w:rsid w:val="00CE60F4"/>
    <w:rsid w:val="00CE70F0"/>
    <w:rsid w:val="00CE7D61"/>
    <w:rsid w:val="00CE7EB8"/>
    <w:rsid w:val="00CF0BD4"/>
    <w:rsid w:val="00CF1978"/>
    <w:rsid w:val="00CF1B2A"/>
    <w:rsid w:val="00CF251A"/>
    <w:rsid w:val="00CF2F50"/>
    <w:rsid w:val="00CF317F"/>
    <w:rsid w:val="00CF37D4"/>
    <w:rsid w:val="00CF3A73"/>
    <w:rsid w:val="00CF4479"/>
    <w:rsid w:val="00CF484D"/>
    <w:rsid w:val="00CF49C8"/>
    <w:rsid w:val="00CF50B8"/>
    <w:rsid w:val="00CF57F7"/>
    <w:rsid w:val="00CF5E48"/>
    <w:rsid w:val="00CF5E7B"/>
    <w:rsid w:val="00CF6198"/>
    <w:rsid w:val="00CF6776"/>
    <w:rsid w:val="00CF6849"/>
    <w:rsid w:val="00CF69DA"/>
    <w:rsid w:val="00CF72C6"/>
    <w:rsid w:val="00D006AF"/>
    <w:rsid w:val="00D017F8"/>
    <w:rsid w:val="00D02027"/>
    <w:rsid w:val="00D02261"/>
    <w:rsid w:val="00D02919"/>
    <w:rsid w:val="00D0415D"/>
    <w:rsid w:val="00D04C61"/>
    <w:rsid w:val="00D05B8D"/>
    <w:rsid w:val="00D05B9B"/>
    <w:rsid w:val="00D05F8A"/>
    <w:rsid w:val="00D065A2"/>
    <w:rsid w:val="00D0724F"/>
    <w:rsid w:val="00D079AA"/>
    <w:rsid w:val="00D07F00"/>
    <w:rsid w:val="00D1024C"/>
    <w:rsid w:val="00D1130F"/>
    <w:rsid w:val="00D12732"/>
    <w:rsid w:val="00D13ABE"/>
    <w:rsid w:val="00D17124"/>
    <w:rsid w:val="00D17B72"/>
    <w:rsid w:val="00D20FD0"/>
    <w:rsid w:val="00D217A8"/>
    <w:rsid w:val="00D22011"/>
    <w:rsid w:val="00D22AF9"/>
    <w:rsid w:val="00D243E5"/>
    <w:rsid w:val="00D24AFE"/>
    <w:rsid w:val="00D25E7F"/>
    <w:rsid w:val="00D268EF"/>
    <w:rsid w:val="00D27D23"/>
    <w:rsid w:val="00D30982"/>
    <w:rsid w:val="00D3185C"/>
    <w:rsid w:val="00D3205F"/>
    <w:rsid w:val="00D323CD"/>
    <w:rsid w:val="00D32ECA"/>
    <w:rsid w:val="00D3318E"/>
    <w:rsid w:val="00D33545"/>
    <w:rsid w:val="00D33E72"/>
    <w:rsid w:val="00D3485F"/>
    <w:rsid w:val="00D34A4D"/>
    <w:rsid w:val="00D34BAB"/>
    <w:rsid w:val="00D34BB7"/>
    <w:rsid w:val="00D3575B"/>
    <w:rsid w:val="00D35BD6"/>
    <w:rsid w:val="00D361B5"/>
    <w:rsid w:val="00D36B8D"/>
    <w:rsid w:val="00D401B8"/>
    <w:rsid w:val="00D411A2"/>
    <w:rsid w:val="00D45C76"/>
    <w:rsid w:val="00D45D69"/>
    <w:rsid w:val="00D45F5A"/>
    <w:rsid w:val="00D4606D"/>
    <w:rsid w:val="00D46F36"/>
    <w:rsid w:val="00D47D1B"/>
    <w:rsid w:val="00D5083C"/>
    <w:rsid w:val="00D50844"/>
    <w:rsid w:val="00D50B9C"/>
    <w:rsid w:val="00D50E8E"/>
    <w:rsid w:val="00D50F03"/>
    <w:rsid w:val="00D50F86"/>
    <w:rsid w:val="00D513AF"/>
    <w:rsid w:val="00D51D4C"/>
    <w:rsid w:val="00D51F6B"/>
    <w:rsid w:val="00D521F7"/>
    <w:rsid w:val="00D52D73"/>
    <w:rsid w:val="00D52E58"/>
    <w:rsid w:val="00D531F0"/>
    <w:rsid w:val="00D53AAB"/>
    <w:rsid w:val="00D546F8"/>
    <w:rsid w:val="00D55199"/>
    <w:rsid w:val="00D55715"/>
    <w:rsid w:val="00D562CF"/>
    <w:rsid w:val="00D56B20"/>
    <w:rsid w:val="00D56B23"/>
    <w:rsid w:val="00D56C2D"/>
    <w:rsid w:val="00D578B3"/>
    <w:rsid w:val="00D610C6"/>
    <w:rsid w:val="00D618F4"/>
    <w:rsid w:val="00D61AB4"/>
    <w:rsid w:val="00D62259"/>
    <w:rsid w:val="00D62D73"/>
    <w:rsid w:val="00D62E63"/>
    <w:rsid w:val="00D63636"/>
    <w:rsid w:val="00D6383E"/>
    <w:rsid w:val="00D63F51"/>
    <w:rsid w:val="00D65A49"/>
    <w:rsid w:val="00D65CCC"/>
    <w:rsid w:val="00D6632C"/>
    <w:rsid w:val="00D668CF"/>
    <w:rsid w:val="00D66B19"/>
    <w:rsid w:val="00D672A9"/>
    <w:rsid w:val="00D70246"/>
    <w:rsid w:val="00D714CC"/>
    <w:rsid w:val="00D7258E"/>
    <w:rsid w:val="00D72B5E"/>
    <w:rsid w:val="00D72C4B"/>
    <w:rsid w:val="00D754B2"/>
    <w:rsid w:val="00D758C5"/>
    <w:rsid w:val="00D75CAB"/>
    <w:rsid w:val="00D75EA7"/>
    <w:rsid w:val="00D75ECE"/>
    <w:rsid w:val="00D76DFC"/>
    <w:rsid w:val="00D76ECC"/>
    <w:rsid w:val="00D81127"/>
    <w:rsid w:val="00D81ADF"/>
    <w:rsid w:val="00D81F21"/>
    <w:rsid w:val="00D840D0"/>
    <w:rsid w:val="00D84588"/>
    <w:rsid w:val="00D84E2E"/>
    <w:rsid w:val="00D84FAB"/>
    <w:rsid w:val="00D85E9C"/>
    <w:rsid w:val="00D86011"/>
    <w:rsid w:val="00D863CB"/>
    <w:rsid w:val="00D864F2"/>
    <w:rsid w:val="00D87D42"/>
    <w:rsid w:val="00D87E44"/>
    <w:rsid w:val="00D87FD5"/>
    <w:rsid w:val="00D915CE"/>
    <w:rsid w:val="00D9228F"/>
    <w:rsid w:val="00D92370"/>
    <w:rsid w:val="00D92E10"/>
    <w:rsid w:val="00D935F8"/>
    <w:rsid w:val="00D939E5"/>
    <w:rsid w:val="00D943F8"/>
    <w:rsid w:val="00D94B49"/>
    <w:rsid w:val="00D95227"/>
    <w:rsid w:val="00D95470"/>
    <w:rsid w:val="00D954A9"/>
    <w:rsid w:val="00D96119"/>
    <w:rsid w:val="00D96B55"/>
    <w:rsid w:val="00D96FDA"/>
    <w:rsid w:val="00D971BC"/>
    <w:rsid w:val="00DA0DF5"/>
    <w:rsid w:val="00DA1155"/>
    <w:rsid w:val="00DA16A1"/>
    <w:rsid w:val="00DA1B5B"/>
    <w:rsid w:val="00DA1F2E"/>
    <w:rsid w:val="00DA2619"/>
    <w:rsid w:val="00DA2A55"/>
    <w:rsid w:val="00DA37CA"/>
    <w:rsid w:val="00DA4239"/>
    <w:rsid w:val="00DA5037"/>
    <w:rsid w:val="00DA5111"/>
    <w:rsid w:val="00DA55B3"/>
    <w:rsid w:val="00DA57ED"/>
    <w:rsid w:val="00DA588C"/>
    <w:rsid w:val="00DA65DE"/>
    <w:rsid w:val="00DA6E82"/>
    <w:rsid w:val="00DA771E"/>
    <w:rsid w:val="00DB0B61"/>
    <w:rsid w:val="00DB12C8"/>
    <w:rsid w:val="00DB1474"/>
    <w:rsid w:val="00DB17FF"/>
    <w:rsid w:val="00DB1830"/>
    <w:rsid w:val="00DB2962"/>
    <w:rsid w:val="00DB3416"/>
    <w:rsid w:val="00DB341D"/>
    <w:rsid w:val="00DB38B3"/>
    <w:rsid w:val="00DB52FB"/>
    <w:rsid w:val="00DB5780"/>
    <w:rsid w:val="00DB67F5"/>
    <w:rsid w:val="00DB6AE6"/>
    <w:rsid w:val="00DB791E"/>
    <w:rsid w:val="00DB7E03"/>
    <w:rsid w:val="00DB7EDF"/>
    <w:rsid w:val="00DC013B"/>
    <w:rsid w:val="00DC090B"/>
    <w:rsid w:val="00DC14C8"/>
    <w:rsid w:val="00DC1679"/>
    <w:rsid w:val="00DC1CEA"/>
    <w:rsid w:val="00DC1F16"/>
    <w:rsid w:val="00DC219B"/>
    <w:rsid w:val="00DC2CF1"/>
    <w:rsid w:val="00DC2DC7"/>
    <w:rsid w:val="00DC2EA0"/>
    <w:rsid w:val="00DC2F34"/>
    <w:rsid w:val="00DC3A7C"/>
    <w:rsid w:val="00DC4335"/>
    <w:rsid w:val="00DC4FCF"/>
    <w:rsid w:val="00DC50E0"/>
    <w:rsid w:val="00DC6386"/>
    <w:rsid w:val="00DD1014"/>
    <w:rsid w:val="00DD1130"/>
    <w:rsid w:val="00DD13D7"/>
    <w:rsid w:val="00DD1951"/>
    <w:rsid w:val="00DD1BF3"/>
    <w:rsid w:val="00DD487D"/>
    <w:rsid w:val="00DD4E83"/>
    <w:rsid w:val="00DD6628"/>
    <w:rsid w:val="00DD6945"/>
    <w:rsid w:val="00DD69C3"/>
    <w:rsid w:val="00DE16AE"/>
    <w:rsid w:val="00DE2082"/>
    <w:rsid w:val="00DE2C77"/>
    <w:rsid w:val="00DE2D04"/>
    <w:rsid w:val="00DE3250"/>
    <w:rsid w:val="00DE4AD1"/>
    <w:rsid w:val="00DE6028"/>
    <w:rsid w:val="00DE6038"/>
    <w:rsid w:val="00DE646E"/>
    <w:rsid w:val="00DE6625"/>
    <w:rsid w:val="00DE6C85"/>
    <w:rsid w:val="00DE72F3"/>
    <w:rsid w:val="00DE786D"/>
    <w:rsid w:val="00DE78A3"/>
    <w:rsid w:val="00DF08C5"/>
    <w:rsid w:val="00DF0A6E"/>
    <w:rsid w:val="00DF11D5"/>
    <w:rsid w:val="00DF15EE"/>
    <w:rsid w:val="00DF1A71"/>
    <w:rsid w:val="00DF3276"/>
    <w:rsid w:val="00DF3CD7"/>
    <w:rsid w:val="00DF4620"/>
    <w:rsid w:val="00DF4699"/>
    <w:rsid w:val="00DF50FC"/>
    <w:rsid w:val="00DF5595"/>
    <w:rsid w:val="00DF572C"/>
    <w:rsid w:val="00DF64AB"/>
    <w:rsid w:val="00DF6581"/>
    <w:rsid w:val="00DF68C7"/>
    <w:rsid w:val="00DF6ED7"/>
    <w:rsid w:val="00DF731A"/>
    <w:rsid w:val="00DF7E81"/>
    <w:rsid w:val="00E00BD1"/>
    <w:rsid w:val="00E01AA4"/>
    <w:rsid w:val="00E01E1F"/>
    <w:rsid w:val="00E02A92"/>
    <w:rsid w:val="00E03011"/>
    <w:rsid w:val="00E03059"/>
    <w:rsid w:val="00E031BF"/>
    <w:rsid w:val="00E0396B"/>
    <w:rsid w:val="00E03D3A"/>
    <w:rsid w:val="00E044CD"/>
    <w:rsid w:val="00E05827"/>
    <w:rsid w:val="00E05BB8"/>
    <w:rsid w:val="00E066AB"/>
    <w:rsid w:val="00E06B75"/>
    <w:rsid w:val="00E06D30"/>
    <w:rsid w:val="00E07083"/>
    <w:rsid w:val="00E0749A"/>
    <w:rsid w:val="00E11332"/>
    <w:rsid w:val="00E11352"/>
    <w:rsid w:val="00E1283D"/>
    <w:rsid w:val="00E12C12"/>
    <w:rsid w:val="00E1403A"/>
    <w:rsid w:val="00E14FE6"/>
    <w:rsid w:val="00E15AC8"/>
    <w:rsid w:val="00E1606B"/>
    <w:rsid w:val="00E164E4"/>
    <w:rsid w:val="00E170DC"/>
    <w:rsid w:val="00E17546"/>
    <w:rsid w:val="00E17913"/>
    <w:rsid w:val="00E17FCE"/>
    <w:rsid w:val="00E210B5"/>
    <w:rsid w:val="00E2138E"/>
    <w:rsid w:val="00E233D6"/>
    <w:rsid w:val="00E24D2B"/>
    <w:rsid w:val="00E251EB"/>
    <w:rsid w:val="00E258A2"/>
    <w:rsid w:val="00E261B3"/>
    <w:rsid w:val="00E26818"/>
    <w:rsid w:val="00E26B1D"/>
    <w:rsid w:val="00E26D3A"/>
    <w:rsid w:val="00E27FFC"/>
    <w:rsid w:val="00E30B15"/>
    <w:rsid w:val="00E31211"/>
    <w:rsid w:val="00E31465"/>
    <w:rsid w:val="00E31FB0"/>
    <w:rsid w:val="00E3231B"/>
    <w:rsid w:val="00E3294A"/>
    <w:rsid w:val="00E32C50"/>
    <w:rsid w:val="00E33237"/>
    <w:rsid w:val="00E33698"/>
    <w:rsid w:val="00E337DF"/>
    <w:rsid w:val="00E35168"/>
    <w:rsid w:val="00E37735"/>
    <w:rsid w:val="00E40181"/>
    <w:rsid w:val="00E40AEB"/>
    <w:rsid w:val="00E421B3"/>
    <w:rsid w:val="00E431ED"/>
    <w:rsid w:val="00E4321C"/>
    <w:rsid w:val="00E4580E"/>
    <w:rsid w:val="00E45B9C"/>
    <w:rsid w:val="00E46ADE"/>
    <w:rsid w:val="00E479C1"/>
    <w:rsid w:val="00E500DE"/>
    <w:rsid w:val="00E5035F"/>
    <w:rsid w:val="00E50799"/>
    <w:rsid w:val="00E5157B"/>
    <w:rsid w:val="00E51604"/>
    <w:rsid w:val="00E5217A"/>
    <w:rsid w:val="00E5276B"/>
    <w:rsid w:val="00E527BD"/>
    <w:rsid w:val="00E529FB"/>
    <w:rsid w:val="00E53DB4"/>
    <w:rsid w:val="00E545DA"/>
    <w:rsid w:val="00E54950"/>
    <w:rsid w:val="00E55044"/>
    <w:rsid w:val="00E55FB3"/>
    <w:rsid w:val="00E56746"/>
    <w:rsid w:val="00E56748"/>
    <w:rsid w:val="00E568C6"/>
    <w:rsid w:val="00E56A01"/>
    <w:rsid w:val="00E57E5A"/>
    <w:rsid w:val="00E612B4"/>
    <w:rsid w:val="00E629A1"/>
    <w:rsid w:val="00E62A5D"/>
    <w:rsid w:val="00E646A0"/>
    <w:rsid w:val="00E648FD"/>
    <w:rsid w:val="00E64D9C"/>
    <w:rsid w:val="00E655F7"/>
    <w:rsid w:val="00E6579A"/>
    <w:rsid w:val="00E659F2"/>
    <w:rsid w:val="00E66DA0"/>
    <w:rsid w:val="00E66EAF"/>
    <w:rsid w:val="00E66EF5"/>
    <w:rsid w:val="00E6794C"/>
    <w:rsid w:val="00E71591"/>
    <w:rsid w:val="00E71AA7"/>
    <w:rsid w:val="00E71CBC"/>
    <w:rsid w:val="00E71CEB"/>
    <w:rsid w:val="00E71E83"/>
    <w:rsid w:val="00E7210A"/>
    <w:rsid w:val="00E72E8A"/>
    <w:rsid w:val="00E73059"/>
    <w:rsid w:val="00E73C53"/>
    <w:rsid w:val="00E73DD8"/>
    <w:rsid w:val="00E7474F"/>
    <w:rsid w:val="00E76646"/>
    <w:rsid w:val="00E77D87"/>
    <w:rsid w:val="00E80DE3"/>
    <w:rsid w:val="00E80E7D"/>
    <w:rsid w:val="00E814CD"/>
    <w:rsid w:val="00E81A88"/>
    <w:rsid w:val="00E81BE4"/>
    <w:rsid w:val="00E81C8C"/>
    <w:rsid w:val="00E82C55"/>
    <w:rsid w:val="00E8379F"/>
    <w:rsid w:val="00E83985"/>
    <w:rsid w:val="00E83FFE"/>
    <w:rsid w:val="00E8487A"/>
    <w:rsid w:val="00E84F0F"/>
    <w:rsid w:val="00E869AE"/>
    <w:rsid w:val="00E86C76"/>
    <w:rsid w:val="00E8787E"/>
    <w:rsid w:val="00E90010"/>
    <w:rsid w:val="00E90194"/>
    <w:rsid w:val="00E9042A"/>
    <w:rsid w:val="00E929E8"/>
    <w:rsid w:val="00E92AC3"/>
    <w:rsid w:val="00E92C3B"/>
    <w:rsid w:val="00E932E7"/>
    <w:rsid w:val="00E957BE"/>
    <w:rsid w:val="00E96245"/>
    <w:rsid w:val="00E9624F"/>
    <w:rsid w:val="00E975D1"/>
    <w:rsid w:val="00E97C54"/>
    <w:rsid w:val="00E97D77"/>
    <w:rsid w:val="00E97F4E"/>
    <w:rsid w:val="00EA1C3B"/>
    <w:rsid w:val="00EA2C30"/>
    <w:rsid w:val="00EA2F6A"/>
    <w:rsid w:val="00EA3944"/>
    <w:rsid w:val="00EA6D8F"/>
    <w:rsid w:val="00EA6FC8"/>
    <w:rsid w:val="00EB00E0"/>
    <w:rsid w:val="00EB0169"/>
    <w:rsid w:val="00EB05D5"/>
    <w:rsid w:val="00EB07AC"/>
    <w:rsid w:val="00EB39FE"/>
    <w:rsid w:val="00EB3D00"/>
    <w:rsid w:val="00EB3D5F"/>
    <w:rsid w:val="00EB4BC7"/>
    <w:rsid w:val="00EB54AF"/>
    <w:rsid w:val="00EB56B9"/>
    <w:rsid w:val="00EB5827"/>
    <w:rsid w:val="00EB6C74"/>
    <w:rsid w:val="00EB6FFB"/>
    <w:rsid w:val="00EC059F"/>
    <w:rsid w:val="00EC0657"/>
    <w:rsid w:val="00EC1591"/>
    <w:rsid w:val="00EC1F24"/>
    <w:rsid w:val="00EC201D"/>
    <w:rsid w:val="00EC22F6"/>
    <w:rsid w:val="00EC2E22"/>
    <w:rsid w:val="00EC384C"/>
    <w:rsid w:val="00EC3DB9"/>
    <w:rsid w:val="00EC4B5D"/>
    <w:rsid w:val="00EC5049"/>
    <w:rsid w:val="00EC5EB3"/>
    <w:rsid w:val="00EC6586"/>
    <w:rsid w:val="00EC79B2"/>
    <w:rsid w:val="00EC7B9C"/>
    <w:rsid w:val="00ED1034"/>
    <w:rsid w:val="00ED1AC8"/>
    <w:rsid w:val="00ED2610"/>
    <w:rsid w:val="00ED3640"/>
    <w:rsid w:val="00ED37F3"/>
    <w:rsid w:val="00ED4C66"/>
    <w:rsid w:val="00ED4FF5"/>
    <w:rsid w:val="00ED5232"/>
    <w:rsid w:val="00ED5359"/>
    <w:rsid w:val="00ED5487"/>
    <w:rsid w:val="00ED5B18"/>
    <w:rsid w:val="00ED5B9B"/>
    <w:rsid w:val="00ED5FE0"/>
    <w:rsid w:val="00ED6BAD"/>
    <w:rsid w:val="00ED7360"/>
    <w:rsid w:val="00ED7447"/>
    <w:rsid w:val="00ED7762"/>
    <w:rsid w:val="00ED7886"/>
    <w:rsid w:val="00ED7CFB"/>
    <w:rsid w:val="00EE00B9"/>
    <w:rsid w:val="00EE00D6"/>
    <w:rsid w:val="00EE11E7"/>
    <w:rsid w:val="00EE1488"/>
    <w:rsid w:val="00EE1D23"/>
    <w:rsid w:val="00EE24D1"/>
    <w:rsid w:val="00EE28C0"/>
    <w:rsid w:val="00EE29AD"/>
    <w:rsid w:val="00EE2F8A"/>
    <w:rsid w:val="00EE30E5"/>
    <w:rsid w:val="00EE32D5"/>
    <w:rsid w:val="00EE3CBE"/>
    <w:rsid w:val="00EE3E24"/>
    <w:rsid w:val="00EE4902"/>
    <w:rsid w:val="00EE4D5D"/>
    <w:rsid w:val="00EE5131"/>
    <w:rsid w:val="00EE6A2B"/>
    <w:rsid w:val="00EF0962"/>
    <w:rsid w:val="00EF109B"/>
    <w:rsid w:val="00EF1854"/>
    <w:rsid w:val="00EF201C"/>
    <w:rsid w:val="00EF2C72"/>
    <w:rsid w:val="00EF3254"/>
    <w:rsid w:val="00EF345B"/>
    <w:rsid w:val="00EF36AF"/>
    <w:rsid w:val="00EF3AB3"/>
    <w:rsid w:val="00EF4508"/>
    <w:rsid w:val="00EF4EF6"/>
    <w:rsid w:val="00EF56B9"/>
    <w:rsid w:val="00EF59A3"/>
    <w:rsid w:val="00EF6675"/>
    <w:rsid w:val="00EF7701"/>
    <w:rsid w:val="00F001F6"/>
    <w:rsid w:val="00F0063D"/>
    <w:rsid w:val="00F00F9C"/>
    <w:rsid w:val="00F01E5F"/>
    <w:rsid w:val="00F024F3"/>
    <w:rsid w:val="00F02ABA"/>
    <w:rsid w:val="00F0355B"/>
    <w:rsid w:val="00F03ACE"/>
    <w:rsid w:val="00F0437A"/>
    <w:rsid w:val="00F04A6D"/>
    <w:rsid w:val="00F05646"/>
    <w:rsid w:val="00F06857"/>
    <w:rsid w:val="00F06F54"/>
    <w:rsid w:val="00F07A3F"/>
    <w:rsid w:val="00F101B8"/>
    <w:rsid w:val="00F10938"/>
    <w:rsid w:val="00F11037"/>
    <w:rsid w:val="00F118E3"/>
    <w:rsid w:val="00F11B17"/>
    <w:rsid w:val="00F14076"/>
    <w:rsid w:val="00F14720"/>
    <w:rsid w:val="00F14759"/>
    <w:rsid w:val="00F16F1B"/>
    <w:rsid w:val="00F1725E"/>
    <w:rsid w:val="00F20391"/>
    <w:rsid w:val="00F2452C"/>
    <w:rsid w:val="00F24EB0"/>
    <w:rsid w:val="00F250A9"/>
    <w:rsid w:val="00F256FC"/>
    <w:rsid w:val="00F267AF"/>
    <w:rsid w:val="00F2752D"/>
    <w:rsid w:val="00F30E41"/>
    <w:rsid w:val="00F30FF4"/>
    <w:rsid w:val="00F311DC"/>
    <w:rsid w:val="00F3122E"/>
    <w:rsid w:val="00F313CA"/>
    <w:rsid w:val="00F320E4"/>
    <w:rsid w:val="00F3217D"/>
    <w:rsid w:val="00F32368"/>
    <w:rsid w:val="00F331AD"/>
    <w:rsid w:val="00F34839"/>
    <w:rsid w:val="00F35287"/>
    <w:rsid w:val="00F358CD"/>
    <w:rsid w:val="00F36974"/>
    <w:rsid w:val="00F37820"/>
    <w:rsid w:val="00F409A6"/>
    <w:rsid w:val="00F40A70"/>
    <w:rsid w:val="00F410C7"/>
    <w:rsid w:val="00F42477"/>
    <w:rsid w:val="00F43A37"/>
    <w:rsid w:val="00F45BDE"/>
    <w:rsid w:val="00F4641B"/>
    <w:rsid w:val="00F46659"/>
    <w:rsid w:val="00F46986"/>
    <w:rsid w:val="00F46C92"/>
    <w:rsid w:val="00F46EB8"/>
    <w:rsid w:val="00F47778"/>
    <w:rsid w:val="00F50321"/>
    <w:rsid w:val="00F50A6F"/>
    <w:rsid w:val="00F50CD1"/>
    <w:rsid w:val="00F50D64"/>
    <w:rsid w:val="00F511E4"/>
    <w:rsid w:val="00F52D09"/>
    <w:rsid w:val="00F52E08"/>
    <w:rsid w:val="00F52E51"/>
    <w:rsid w:val="00F536E4"/>
    <w:rsid w:val="00F53A66"/>
    <w:rsid w:val="00F53E66"/>
    <w:rsid w:val="00F5462D"/>
    <w:rsid w:val="00F54957"/>
    <w:rsid w:val="00F55A86"/>
    <w:rsid w:val="00F55B21"/>
    <w:rsid w:val="00F55E4B"/>
    <w:rsid w:val="00F56EF6"/>
    <w:rsid w:val="00F60082"/>
    <w:rsid w:val="00F61A9F"/>
    <w:rsid w:val="00F61B5F"/>
    <w:rsid w:val="00F625C0"/>
    <w:rsid w:val="00F62D83"/>
    <w:rsid w:val="00F64101"/>
    <w:rsid w:val="00F64696"/>
    <w:rsid w:val="00F6496B"/>
    <w:rsid w:val="00F651D0"/>
    <w:rsid w:val="00F653DA"/>
    <w:rsid w:val="00F65539"/>
    <w:rsid w:val="00F65563"/>
    <w:rsid w:val="00F65AA9"/>
    <w:rsid w:val="00F662D3"/>
    <w:rsid w:val="00F66975"/>
    <w:rsid w:val="00F66FFA"/>
    <w:rsid w:val="00F67084"/>
    <w:rsid w:val="00F6768F"/>
    <w:rsid w:val="00F67B5A"/>
    <w:rsid w:val="00F67EE0"/>
    <w:rsid w:val="00F70270"/>
    <w:rsid w:val="00F70AF9"/>
    <w:rsid w:val="00F70CEE"/>
    <w:rsid w:val="00F72115"/>
    <w:rsid w:val="00F723FF"/>
    <w:rsid w:val="00F72C2C"/>
    <w:rsid w:val="00F72D0C"/>
    <w:rsid w:val="00F732D4"/>
    <w:rsid w:val="00F73DCC"/>
    <w:rsid w:val="00F741F2"/>
    <w:rsid w:val="00F74DF2"/>
    <w:rsid w:val="00F757CE"/>
    <w:rsid w:val="00F764B6"/>
    <w:rsid w:val="00F76CAB"/>
    <w:rsid w:val="00F772C6"/>
    <w:rsid w:val="00F807B0"/>
    <w:rsid w:val="00F808C4"/>
    <w:rsid w:val="00F815B5"/>
    <w:rsid w:val="00F81FFB"/>
    <w:rsid w:val="00F830D0"/>
    <w:rsid w:val="00F8332F"/>
    <w:rsid w:val="00F83DE0"/>
    <w:rsid w:val="00F8473F"/>
    <w:rsid w:val="00F84E0E"/>
    <w:rsid w:val="00F85195"/>
    <w:rsid w:val="00F854E6"/>
    <w:rsid w:val="00F868E3"/>
    <w:rsid w:val="00F87667"/>
    <w:rsid w:val="00F938BA"/>
    <w:rsid w:val="00F943DB"/>
    <w:rsid w:val="00F94FE8"/>
    <w:rsid w:val="00F95134"/>
    <w:rsid w:val="00F95135"/>
    <w:rsid w:val="00F95C2F"/>
    <w:rsid w:val="00F97919"/>
    <w:rsid w:val="00FA1410"/>
    <w:rsid w:val="00FA1D1D"/>
    <w:rsid w:val="00FA2C46"/>
    <w:rsid w:val="00FA3525"/>
    <w:rsid w:val="00FA35AE"/>
    <w:rsid w:val="00FA3E51"/>
    <w:rsid w:val="00FA413F"/>
    <w:rsid w:val="00FA42C7"/>
    <w:rsid w:val="00FA47F6"/>
    <w:rsid w:val="00FA4FAE"/>
    <w:rsid w:val="00FA5A53"/>
    <w:rsid w:val="00FA7913"/>
    <w:rsid w:val="00FB01AE"/>
    <w:rsid w:val="00FB0C5D"/>
    <w:rsid w:val="00FB1E65"/>
    <w:rsid w:val="00FB1F6E"/>
    <w:rsid w:val="00FB2170"/>
    <w:rsid w:val="00FB2309"/>
    <w:rsid w:val="00FB4769"/>
    <w:rsid w:val="00FB4CDA"/>
    <w:rsid w:val="00FB4FAC"/>
    <w:rsid w:val="00FB557D"/>
    <w:rsid w:val="00FB63C1"/>
    <w:rsid w:val="00FB6481"/>
    <w:rsid w:val="00FB6D36"/>
    <w:rsid w:val="00FB6DEA"/>
    <w:rsid w:val="00FB7A03"/>
    <w:rsid w:val="00FC0965"/>
    <w:rsid w:val="00FC09A5"/>
    <w:rsid w:val="00FC0F81"/>
    <w:rsid w:val="00FC1CAD"/>
    <w:rsid w:val="00FC1FBE"/>
    <w:rsid w:val="00FC2527"/>
    <w:rsid w:val="00FC252F"/>
    <w:rsid w:val="00FC395C"/>
    <w:rsid w:val="00FC4BA5"/>
    <w:rsid w:val="00FC4DBE"/>
    <w:rsid w:val="00FC58F8"/>
    <w:rsid w:val="00FC5E3A"/>
    <w:rsid w:val="00FC5E8E"/>
    <w:rsid w:val="00FC7481"/>
    <w:rsid w:val="00FC78B6"/>
    <w:rsid w:val="00FC78D3"/>
    <w:rsid w:val="00FD0B4B"/>
    <w:rsid w:val="00FD11FF"/>
    <w:rsid w:val="00FD1517"/>
    <w:rsid w:val="00FD3766"/>
    <w:rsid w:val="00FD3D05"/>
    <w:rsid w:val="00FD47C4"/>
    <w:rsid w:val="00FD4CB5"/>
    <w:rsid w:val="00FD5262"/>
    <w:rsid w:val="00FD65FD"/>
    <w:rsid w:val="00FD6617"/>
    <w:rsid w:val="00FD6AC1"/>
    <w:rsid w:val="00FD75EE"/>
    <w:rsid w:val="00FE0A26"/>
    <w:rsid w:val="00FE2DCF"/>
    <w:rsid w:val="00FE394C"/>
    <w:rsid w:val="00FE3CAF"/>
    <w:rsid w:val="00FE3FA7"/>
    <w:rsid w:val="00FE4081"/>
    <w:rsid w:val="00FE4196"/>
    <w:rsid w:val="00FE4660"/>
    <w:rsid w:val="00FE46B7"/>
    <w:rsid w:val="00FE4D4E"/>
    <w:rsid w:val="00FE55D3"/>
    <w:rsid w:val="00FE5A2F"/>
    <w:rsid w:val="00FE63F3"/>
    <w:rsid w:val="00FE6A06"/>
    <w:rsid w:val="00FE6E50"/>
    <w:rsid w:val="00FE76D3"/>
    <w:rsid w:val="00FF0081"/>
    <w:rsid w:val="00FF00C9"/>
    <w:rsid w:val="00FF0E64"/>
    <w:rsid w:val="00FF166C"/>
    <w:rsid w:val="00FF1AED"/>
    <w:rsid w:val="00FF1D2B"/>
    <w:rsid w:val="00FF2A4E"/>
    <w:rsid w:val="00FF2FCE"/>
    <w:rsid w:val="00FF3356"/>
    <w:rsid w:val="00FF343B"/>
    <w:rsid w:val="00FF4D05"/>
    <w:rsid w:val="00FF4F7D"/>
    <w:rsid w:val="00FF57F6"/>
    <w:rsid w:val="00FF6D9D"/>
    <w:rsid w:val="00FF7620"/>
    <w:rsid w:val="00FF7DD5"/>
    <w:rsid w:val="0153C137"/>
    <w:rsid w:val="016A8890"/>
    <w:rsid w:val="01B96867"/>
    <w:rsid w:val="01D41D17"/>
    <w:rsid w:val="02FB2B04"/>
    <w:rsid w:val="0349BF6D"/>
    <w:rsid w:val="0359A04F"/>
    <w:rsid w:val="037AA89B"/>
    <w:rsid w:val="03983779"/>
    <w:rsid w:val="04C064D3"/>
    <w:rsid w:val="05412081"/>
    <w:rsid w:val="05775787"/>
    <w:rsid w:val="05853D02"/>
    <w:rsid w:val="058F3C30"/>
    <w:rsid w:val="05D97AE8"/>
    <w:rsid w:val="063219DA"/>
    <w:rsid w:val="070688B0"/>
    <w:rsid w:val="075A26CB"/>
    <w:rsid w:val="076E09A8"/>
    <w:rsid w:val="081E049C"/>
    <w:rsid w:val="09C87D00"/>
    <w:rsid w:val="09EA10AF"/>
    <w:rsid w:val="09FF7ABB"/>
    <w:rsid w:val="0A75B806"/>
    <w:rsid w:val="0AB4E01C"/>
    <w:rsid w:val="0AE42872"/>
    <w:rsid w:val="0B060153"/>
    <w:rsid w:val="0B878501"/>
    <w:rsid w:val="0C9B68E8"/>
    <w:rsid w:val="0CBF09DD"/>
    <w:rsid w:val="0D1C4E69"/>
    <w:rsid w:val="0DDE3A89"/>
    <w:rsid w:val="0E52BE70"/>
    <w:rsid w:val="0E728A5B"/>
    <w:rsid w:val="0E8CA4D8"/>
    <w:rsid w:val="0E9C1954"/>
    <w:rsid w:val="0F9C4888"/>
    <w:rsid w:val="101B634D"/>
    <w:rsid w:val="10BAA0F5"/>
    <w:rsid w:val="11A7E675"/>
    <w:rsid w:val="129DEF6D"/>
    <w:rsid w:val="131B0D3D"/>
    <w:rsid w:val="13676C4F"/>
    <w:rsid w:val="13E13BA0"/>
    <w:rsid w:val="1405717B"/>
    <w:rsid w:val="14098155"/>
    <w:rsid w:val="1475872E"/>
    <w:rsid w:val="1492F4C9"/>
    <w:rsid w:val="153039F9"/>
    <w:rsid w:val="15C17CEA"/>
    <w:rsid w:val="15DBD5DE"/>
    <w:rsid w:val="1659AD23"/>
    <w:rsid w:val="167F2FA8"/>
    <w:rsid w:val="17C3B90A"/>
    <w:rsid w:val="18B2DE36"/>
    <w:rsid w:val="1A7389D3"/>
    <w:rsid w:val="1AAD55E4"/>
    <w:rsid w:val="1B2C6841"/>
    <w:rsid w:val="1B426399"/>
    <w:rsid w:val="1BC56A7E"/>
    <w:rsid w:val="1CC97AF9"/>
    <w:rsid w:val="1CD4067F"/>
    <w:rsid w:val="1CF58AA6"/>
    <w:rsid w:val="1D4CE238"/>
    <w:rsid w:val="1D8543C3"/>
    <w:rsid w:val="1DF55F38"/>
    <w:rsid w:val="1E337E0E"/>
    <w:rsid w:val="1E853935"/>
    <w:rsid w:val="209C2F46"/>
    <w:rsid w:val="20CD197A"/>
    <w:rsid w:val="2127D9D4"/>
    <w:rsid w:val="21572C3F"/>
    <w:rsid w:val="219C6D11"/>
    <w:rsid w:val="21EF4478"/>
    <w:rsid w:val="21FE8F53"/>
    <w:rsid w:val="22555F38"/>
    <w:rsid w:val="22E3076B"/>
    <w:rsid w:val="2412DC36"/>
    <w:rsid w:val="2434933F"/>
    <w:rsid w:val="24D86142"/>
    <w:rsid w:val="2552658D"/>
    <w:rsid w:val="258B29A5"/>
    <w:rsid w:val="274F4893"/>
    <w:rsid w:val="2772B08F"/>
    <w:rsid w:val="27A071FD"/>
    <w:rsid w:val="27C0377D"/>
    <w:rsid w:val="27D2E008"/>
    <w:rsid w:val="28231B9D"/>
    <w:rsid w:val="282800A0"/>
    <w:rsid w:val="2895CB5D"/>
    <w:rsid w:val="28A2E212"/>
    <w:rsid w:val="295248EF"/>
    <w:rsid w:val="2A2F0CAF"/>
    <w:rsid w:val="2A40689F"/>
    <w:rsid w:val="2A69BD63"/>
    <w:rsid w:val="2AD66FC3"/>
    <w:rsid w:val="2B9E1444"/>
    <w:rsid w:val="2C3E187B"/>
    <w:rsid w:val="2CF35A1F"/>
    <w:rsid w:val="2DDAAA5B"/>
    <w:rsid w:val="2E00A053"/>
    <w:rsid w:val="2EFB3F5C"/>
    <w:rsid w:val="307CED74"/>
    <w:rsid w:val="31C6CB42"/>
    <w:rsid w:val="31E0C2B2"/>
    <w:rsid w:val="32215C3A"/>
    <w:rsid w:val="32FD4AC1"/>
    <w:rsid w:val="34E44221"/>
    <w:rsid w:val="34FE6C04"/>
    <w:rsid w:val="35BBD966"/>
    <w:rsid w:val="3660A358"/>
    <w:rsid w:val="36AC68AE"/>
    <w:rsid w:val="38326972"/>
    <w:rsid w:val="38BBCF93"/>
    <w:rsid w:val="39D1C72F"/>
    <w:rsid w:val="3A026F09"/>
    <w:rsid w:val="3AB6F39F"/>
    <w:rsid w:val="3ADCF84C"/>
    <w:rsid w:val="3B144039"/>
    <w:rsid w:val="3B36E8B8"/>
    <w:rsid w:val="3B48F870"/>
    <w:rsid w:val="3B8FB4CC"/>
    <w:rsid w:val="3BC7A100"/>
    <w:rsid w:val="3C8E5BBD"/>
    <w:rsid w:val="3D6FAAA1"/>
    <w:rsid w:val="3D7C9787"/>
    <w:rsid w:val="3DE92682"/>
    <w:rsid w:val="3E6040DB"/>
    <w:rsid w:val="3EAED392"/>
    <w:rsid w:val="3F06746E"/>
    <w:rsid w:val="3F999EF2"/>
    <w:rsid w:val="3FB2C7D3"/>
    <w:rsid w:val="404E07CC"/>
    <w:rsid w:val="4100D09D"/>
    <w:rsid w:val="4130C5B9"/>
    <w:rsid w:val="416243C7"/>
    <w:rsid w:val="41BF77B1"/>
    <w:rsid w:val="41C0235B"/>
    <w:rsid w:val="420596CF"/>
    <w:rsid w:val="42478563"/>
    <w:rsid w:val="427790B3"/>
    <w:rsid w:val="427DFF27"/>
    <w:rsid w:val="42A0B7D8"/>
    <w:rsid w:val="42EC9629"/>
    <w:rsid w:val="4306F40A"/>
    <w:rsid w:val="4312AAE3"/>
    <w:rsid w:val="43EFBC0E"/>
    <w:rsid w:val="44DDA2C5"/>
    <w:rsid w:val="458A17F2"/>
    <w:rsid w:val="45FE8C90"/>
    <w:rsid w:val="4635B4EA"/>
    <w:rsid w:val="4683BD91"/>
    <w:rsid w:val="4697908D"/>
    <w:rsid w:val="46C4F5DA"/>
    <w:rsid w:val="47F4DC01"/>
    <w:rsid w:val="4862F434"/>
    <w:rsid w:val="48B4C22D"/>
    <w:rsid w:val="48D6746B"/>
    <w:rsid w:val="4926CB26"/>
    <w:rsid w:val="4940A58C"/>
    <w:rsid w:val="4969CF93"/>
    <w:rsid w:val="49D69281"/>
    <w:rsid w:val="49FE0635"/>
    <w:rsid w:val="4A436A45"/>
    <w:rsid w:val="4A9D8C1C"/>
    <w:rsid w:val="4B963DBC"/>
    <w:rsid w:val="4BF091FC"/>
    <w:rsid w:val="4C9579AC"/>
    <w:rsid w:val="4C996ABE"/>
    <w:rsid w:val="4CFA6C55"/>
    <w:rsid w:val="4E0F44D7"/>
    <w:rsid w:val="4E2202EA"/>
    <w:rsid w:val="502685C0"/>
    <w:rsid w:val="503B1623"/>
    <w:rsid w:val="504581FF"/>
    <w:rsid w:val="51D50A78"/>
    <w:rsid w:val="525F0260"/>
    <w:rsid w:val="5527CA8D"/>
    <w:rsid w:val="55379851"/>
    <w:rsid w:val="559FF3D3"/>
    <w:rsid w:val="5654425F"/>
    <w:rsid w:val="569CD242"/>
    <w:rsid w:val="56C1AA17"/>
    <w:rsid w:val="57008F42"/>
    <w:rsid w:val="5707DCF3"/>
    <w:rsid w:val="5717D61C"/>
    <w:rsid w:val="588369D4"/>
    <w:rsid w:val="59B94AAC"/>
    <w:rsid w:val="5A590FF2"/>
    <w:rsid w:val="5C2416A7"/>
    <w:rsid w:val="5D159FCD"/>
    <w:rsid w:val="5DC347BD"/>
    <w:rsid w:val="5DFF1B79"/>
    <w:rsid w:val="5F106AD5"/>
    <w:rsid w:val="5F505E2A"/>
    <w:rsid w:val="602A3908"/>
    <w:rsid w:val="6086CB0A"/>
    <w:rsid w:val="60B3B200"/>
    <w:rsid w:val="61021E3D"/>
    <w:rsid w:val="6180CA63"/>
    <w:rsid w:val="618D20D2"/>
    <w:rsid w:val="6325ADAE"/>
    <w:rsid w:val="6390740D"/>
    <w:rsid w:val="643BE286"/>
    <w:rsid w:val="64B51A54"/>
    <w:rsid w:val="65058B88"/>
    <w:rsid w:val="6516CCE9"/>
    <w:rsid w:val="665661EC"/>
    <w:rsid w:val="667023C9"/>
    <w:rsid w:val="6817EB06"/>
    <w:rsid w:val="6945431B"/>
    <w:rsid w:val="69CC6B5A"/>
    <w:rsid w:val="69D7A4AE"/>
    <w:rsid w:val="6A06CD29"/>
    <w:rsid w:val="6A2DAD50"/>
    <w:rsid w:val="6A71CB40"/>
    <w:rsid w:val="6AD580D9"/>
    <w:rsid w:val="6B2561BA"/>
    <w:rsid w:val="6BAD1A96"/>
    <w:rsid w:val="6BB2F586"/>
    <w:rsid w:val="6C028AE4"/>
    <w:rsid w:val="6CB903D0"/>
    <w:rsid w:val="6D2B91C1"/>
    <w:rsid w:val="6D664169"/>
    <w:rsid w:val="6D9BC2EE"/>
    <w:rsid w:val="6DEC1D6D"/>
    <w:rsid w:val="6E5DC207"/>
    <w:rsid w:val="6FB87C72"/>
    <w:rsid w:val="70565A2A"/>
    <w:rsid w:val="71B13446"/>
    <w:rsid w:val="71C4F0FC"/>
    <w:rsid w:val="7207B6C7"/>
    <w:rsid w:val="72370454"/>
    <w:rsid w:val="744DD052"/>
    <w:rsid w:val="74CA0F2E"/>
    <w:rsid w:val="74E3CE08"/>
    <w:rsid w:val="7511634E"/>
    <w:rsid w:val="75E7383B"/>
    <w:rsid w:val="762835BC"/>
    <w:rsid w:val="767B1632"/>
    <w:rsid w:val="773602C7"/>
    <w:rsid w:val="779CA038"/>
    <w:rsid w:val="77E47E13"/>
    <w:rsid w:val="78DEA93D"/>
    <w:rsid w:val="78DF3FDE"/>
    <w:rsid w:val="78F678C5"/>
    <w:rsid w:val="79D91C72"/>
    <w:rsid w:val="7A57E7DD"/>
    <w:rsid w:val="7A76E15F"/>
    <w:rsid w:val="7A93AAF4"/>
    <w:rsid w:val="7ABEE276"/>
    <w:rsid w:val="7C17ACEA"/>
    <w:rsid w:val="7C743130"/>
    <w:rsid w:val="7F475153"/>
    <w:rsid w:val="7FCB8375"/>
    <w:rsid w:val="7FF3F6D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66DA0"/>
    <w:pPr>
      <w:spacing w:after="120" w:line="280" w:lineRule="atLeast"/>
    </w:pPr>
    <w:rPr>
      <w:rFonts w:ascii="Arial" w:hAnsi="Arial"/>
      <w:sz w:val="21"/>
      <w:lang w:eastAsia="en-US"/>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qFormat/>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qFormat/>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BodyText">
    <w:name w:val="Body Text"/>
    <w:basedOn w:val="Normal"/>
    <w:link w:val="BodyTextChar"/>
    <w:uiPriority w:val="1"/>
    <w:qFormat/>
    <w:rsid w:val="00557A12"/>
    <w:pPr>
      <w:widowControl w:val="0"/>
      <w:autoSpaceDE w:val="0"/>
      <w:autoSpaceDN w:val="0"/>
      <w:spacing w:after="0" w:line="240" w:lineRule="auto"/>
    </w:pPr>
    <w:rPr>
      <w:rFonts w:eastAsia="Arial" w:cs="Arial"/>
      <w:sz w:val="20"/>
      <w:lang w:val="en-US"/>
    </w:rPr>
  </w:style>
  <w:style w:type="character" w:customStyle="1" w:styleId="BodyTextChar">
    <w:name w:val="Body Text Char"/>
    <w:basedOn w:val="DefaultParagraphFont"/>
    <w:link w:val="BodyText"/>
    <w:uiPriority w:val="1"/>
    <w:rsid w:val="00557A12"/>
    <w:rPr>
      <w:rFonts w:ascii="Arial" w:eastAsia="Arial" w:hAnsi="Arial" w:cs="Arial"/>
      <w:lang w:val="en-US" w:eastAsia="en-US"/>
    </w:rPr>
  </w:style>
  <w:style w:type="paragraph" w:customStyle="1" w:styleId="TableParagraph">
    <w:name w:val="Table Paragraph"/>
    <w:basedOn w:val="Normal"/>
    <w:uiPriority w:val="1"/>
    <w:qFormat/>
    <w:rsid w:val="00557A12"/>
    <w:pPr>
      <w:widowControl w:val="0"/>
      <w:autoSpaceDE w:val="0"/>
      <w:autoSpaceDN w:val="0"/>
      <w:spacing w:after="0" w:line="240" w:lineRule="auto"/>
      <w:ind w:left="108"/>
    </w:pPr>
    <w:rPr>
      <w:rFonts w:eastAsia="Arial" w:cs="Arial"/>
      <w:sz w:val="22"/>
      <w:szCs w:val="22"/>
      <w:lang w:val="en-US"/>
    </w:rPr>
  </w:style>
  <w:style w:type="paragraph" w:styleId="ListParagraph">
    <w:name w:val="List Paragraph"/>
    <w:aliases w:val="Bullet List,List Paragraph1,Recommendation,List Paragraph11,Bullet point,List Paragraph111,L,F5 List Paragraph,Dot pt,CV text,Medium Grid 1 - Accent 21,Numbered Paragraph,List Paragraph2,NFP GP Bulleted List,FooterText,numbered,列出段,列,列出段落"/>
    <w:basedOn w:val="Normal"/>
    <w:link w:val="ListParagraphChar"/>
    <w:uiPriority w:val="34"/>
    <w:qFormat/>
    <w:rsid w:val="00557A12"/>
    <w:pPr>
      <w:ind w:left="720"/>
      <w:contextualSpacing/>
    </w:pPr>
  </w:style>
  <w:style w:type="character" w:customStyle="1" w:styleId="ListParagraphChar">
    <w:name w:val="List Paragraph Char"/>
    <w:aliases w:val="Bullet List Char,List Paragraph1 Char,Recommendation Char,List Paragraph11 Char,Bullet point Char,List Paragraph111 Char,L Char,F5 List Paragraph Char,Dot pt Char,CV text Char,Medium Grid 1 - Accent 21 Char,Numbered Paragraph Char"/>
    <w:link w:val="ListParagraph"/>
    <w:uiPriority w:val="34"/>
    <w:qFormat/>
    <w:locked/>
    <w:rsid w:val="00557A12"/>
    <w:rPr>
      <w:rFonts w:ascii="Arial" w:hAnsi="Arial"/>
      <w:sz w:val="21"/>
      <w:lang w:eastAsia="en-US"/>
    </w:rPr>
  </w:style>
  <w:style w:type="paragraph" w:customStyle="1" w:styleId="DHHSbody">
    <w:name w:val="DHHS body"/>
    <w:link w:val="DHHSbodyChar"/>
    <w:qFormat/>
    <w:rsid w:val="00445EF7"/>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445EF7"/>
    <w:rPr>
      <w:rFonts w:ascii="Arial" w:eastAsia="Times" w:hAnsi="Arial"/>
      <w:lang w:eastAsia="en-US"/>
    </w:rPr>
  </w:style>
  <w:style w:type="paragraph" w:customStyle="1" w:styleId="DHHSbodyafterbullets">
    <w:name w:val="DHHS body after bullets"/>
    <w:basedOn w:val="DHHSbody"/>
    <w:qFormat/>
    <w:rsid w:val="00445EF7"/>
    <w:pPr>
      <w:spacing w:before="120"/>
    </w:pPr>
  </w:style>
  <w:style w:type="character" w:customStyle="1" w:styleId="normaltextrun">
    <w:name w:val="normaltextrun"/>
    <w:basedOn w:val="DefaultParagraphFont"/>
    <w:rsid w:val="00BB2BCE"/>
  </w:style>
  <w:style w:type="character" w:customStyle="1" w:styleId="eop">
    <w:name w:val="eop"/>
    <w:basedOn w:val="DefaultParagraphFont"/>
    <w:rsid w:val="00BB2BCE"/>
  </w:style>
  <w:style w:type="paragraph" w:customStyle="1" w:styleId="paragraph">
    <w:name w:val="paragraph"/>
    <w:basedOn w:val="Normal"/>
    <w:rsid w:val="00233299"/>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423497"/>
    <w:rPr>
      <w:rFonts w:ascii="Arial" w:hAnsi="Arial" w:cs="Arial"/>
      <w:szCs w:val="18"/>
      <w:lang w:eastAsia="en-US"/>
    </w:rPr>
  </w:style>
  <w:style w:type="paragraph" w:customStyle="1" w:styleId="Default">
    <w:name w:val="Default"/>
    <w:rsid w:val="009F25C7"/>
    <w:pPr>
      <w:autoSpaceDE w:val="0"/>
      <w:autoSpaceDN w:val="0"/>
      <w:adjustRightInd w:val="0"/>
    </w:pPr>
    <w:rPr>
      <w:rFonts w:ascii="Arial" w:hAnsi="Arial" w:cs="Arial"/>
      <w:color w:val="000000"/>
      <w:sz w:val="24"/>
      <w:szCs w:val="24"/>
    </w:rPr>
  </w:style>
  <w:style w:type="character" w:styleId="Mention">
    <w:name w:val="Mention"/>
    <w:basedOn w:val="DefaultParagraphFont"/>
    <w:uiPriority w:val="99"/>
    <w:unhideWhenUsed/>
    <w:rsid w:val="00643271"/>
    <w:rPr>
      <w:color w:val="2B579A"/>
      <w:shd w:val="clear" w:color="auto" w:fill="E1DFDD"/>
    </w:rPr>
  </w:style>
  <w:style w:type="paragraph" w:customStyle="1" w:styleId="Bullet3">
    <w:name w:val="Bullet 3"/>
    <w:basedOn w:val="Bullet2"/>
    <w:uiPriority w:val="3"/>
    <w:rsid w:val="000257D9"/>
    <w:pPr>
      <w:numPr>
        <w:numId w:val="14"/>
      </w:numPr>
    </w:pPr>
  </w:style>
  <w:style w:type="paragraph" w:styleId="ListNumber3">
    <w:name w:val="List Number 3"/>
    <w:basedOn w:val="Normal"/>
    <w:uiPriority w:val="99"/>
    <w:unhideWhenUsed/>
    <w:rsid w:val="008F741F"/>
    <w:pPr>
      <w:numPr>
        <w:numId w:val="2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1482812">
      <w:bodyDiv w:val="1"/>
      <w:marLeft w:val="0"/>
      <w:marRight w:val="0"/>
      <w:marTop w:val="0"/>
      <w:marBottom w:val="0"/>
      <w:divBdr>
        <w:top w:val="none" w:sz="0" w:space="0" w:color="auto"/>
        <w:left w:val="none" w:sz="0" w:space="0" w:color="auto"/>
        <w:bottom w:val="none" w:sz="0" w:space="0" w:color="auto"/>
        <w:right w:val="none" w:sz="0" w:space="0" w:color="auto"/>
      </w:divBdr>
      <w:divsChild>
        <w:div w:id="36393904">
          <w:marLeft w:val="0"/>
          <w:marRight w:val="0"/>
          <w:marTop w:val="0"/>
          <w:marBottom w:val="0"/>
          <w:divBdr>
            <w:top w:val="none" w:sz="0" w:space="0" w:color="auto"/>
            <w:left w:val="none" w:sz="0" w:space="0" w:color="auto"/>
            <w:bottom w:val="none" w:sz="0" w:space="0" w:color="auto"/>
            <w:right w:val="none" w:sz="0" w:space="0" w:color="auto"/>
          </w:divBdr>
        </w:div>
        <w:div w:id="150875065">
          <w:marLeft w:val="0"/>
          <w:marRight w:val="0"/>
          <w:marTop w:val="0"/>
          <w:marBottom w:val="0"/>
          <w:divBdr>
            <w:top w:val="none" w:sz="0" w:space="0" w:color="auto"/>
            <w:left w:val="none" w:sz="0" w:space="0" w:color="auto"/>
            <w:bottom w:val="none" w:sz="0" w:space="0" w:color="auto"/>
            <w:right w:val="none" w:sz="0" w:space="0" w:color="auto"/>
          </w:divBdr>
          <w:divsChild>
            <w:div w:id="580915918">
              <w:marLeft w:val="0"/>
              <w:marRight w:val="0"/>
              <w:marTop w:val="0"/>
              <w:marBottom w:val="0"/>
              <w:divBdr>
                <w:top w:val="none" w:sz="0" w:space="0" w:color="auto"/>
                <w:left w:val="none" w:sz="0" w:space="0" w:color="auto"/>
                <w:bottom w:val="none" w:sz="0" w:space="0" w:color="auto"/>
                <w:right w:val="none" w:sz="0" w:space="0" w:color="auto"/>
              </w:divBdr>
            </w:div>
            <w:div w:id="1169059659">
              <w:marLeft w:val="0"/>
              <w:marRight w:val="0"/>
              <w:marTop w:val="0"/>
              <w:marBottom w:val="0"/>
              <w:divBdr>
                <w:top w:val="none" w:sz="0" w:space="0" w:color="auto"/>
                <w:left w:val="none" w:sz="0" w:space="0" w:color="auto"/>
                <w:bottom w:val="none" w:sz="0" w:space="0" w:color="auto"/>
                <w:right w:val="none" w:sz="0" w:space="0" w:color="auto"/>
              </w:divBdr>
            </w:div>
          </w:divsChild>
        </w:div>
        <w:div w:id="267350470">
          <w:marLeft w:val="0"/>
          <w:marRight w:val="0"/>
          <w:marTop w:val="0"/>
          <w:marBottom w:val="0"/>
          <w:divBdr>
            <w:top w:val="none" w:sz="0" w:space="0" w:color="auto"/>
            <w:left w:val="none" w:sz="0" w:space="0" w:color="auto"/>
            <w:bottom w:val="none" w:sz="0" w:space="0" w:color="auto"/>
            <w:right w:val="none" w:sz="0" w:space="0" w:color="auto"/>
          </w:divBdr>
          <w:divsChild>
            <w:div w:id="164832996">
              <w:marLeft w:val="0"/>
              <w:marRight w:val="0"/>
              <w:marTop w:val="0"/>
              <w:marBottom w:val="0"/>
              <w:divBdr>
                <w:top w:val="none" w:sz="0" w:space="0" w:color="auto"/>
                <w:left w:val="none" w:sz="0" w:space="0" w:color="auto"/>
                <w:bottom w:val="none" w:sz="0" w:space="0" w:color="auto"/>
                <w:right w:val="none" w:sz="0" w:space="0" w:color="auto"/>
              </w:divBdr>
            </w:div>
            <w:div w:id="205801347">
              <w:marLeft w:val="0"/>
              <w:marRight w:val="0"/>
              <w:marTop w:val="0"/>
              <w:marBottom w:val="0"/>
              <w:divBdr>
                <w:top w:val="none" w:sz="0" w:space="0" w:color="auto"/>
                <w:left w:val="none" w:sz="0" w:space="0" w:color="auto"/>
                <w:bottom w:val="none" w:sz="0" w:space="0" w:color="auto"/>
                <w:right w:val="none" w:sz="0" w:space="0" w:color="auto"/>
              </w:divBdr>
            </w:div>
            <w:div w:id="316417621">
              <w:marLeft w:val="0"/>
              <w:marRight w:val="0"/>
              <w:marTop w:val="0"/>
              <w:marBottom w:val="0"/>
              <w:divBdr>
                <w:top w:val="none" w:sz="0" w:space="0" w:color="auto"/>
                <w:left w:val="none" w:sz="0" w:space="0" w:color="auto"/>
                <w:bottom w:val="none" w:sz="0" w:space="0" w:color="auto"/>
                <w:right w:val="none" w:sz="0" w:space="0" w:color="auto"/>
              </w:divBdr>
            </w:div>
            <w:div w:id="2049527243">
              <w:marLeft w:val="0"/>
              <w:marRight w:val="0"/>
              <w:marTop w:val="0"/>
              <w:marBottom w:val="0"/>
              <w:divBdr>
                <w:top w:val="none" w:sz="0" w:space="0" w:color="auto"/>
                <w:left w:val="none" w:sz="0" w:space="0" w:color="auto"/>
                <w:bottom w:val="none" w:sz="0" w:space="0" w:color="auto"/>
                <w:right w:val="none" w:sz="0" w:space="0" w:color="auto"/>
              </w:divBdr>
            </w:div>
          </w:divsChild>
        </w:div>
        <w:div w:id="339935318">
          <w:marLeft w:val="0"/>
          <w:marRight w:val="0"/>
          <w:marTop w:val="0"/>
          <w:marBottom w:val="0"/>
          <w:divBdr>
            <w:top w:val="none" w:sz="0" w:space="0" w:color="auto"/>
            <w:left w:val="none" w:sz="0" w:space="0" w:color="auto"/>
            <w:bottom w:val="none" w:sz="0" w:space="0" w:color="auto"/>
            <w:right w:val="none" w:sz="0" w:space="0" w:color="auto"/>
          </w:divBdr>
        </w:div>
        <w:div w:id="415253364">
          <w:marLeft w:val="0"/>
          <w:marRight w:val="0"/>
          <w:marTop w:val="0"/>
          <w:marBottom w:val="0"/>
          <w:divBdr>
            <w:top w:val="none" w:sz="0" w:space="0" w:color="auto"/>
            <w:left w:val="none" w:sz="0" w:space="0" w:color="auto"/>
            <w:bottom w:val="none" w:sz="0" w:space="0" w:color="auto"/>
            <w:right w:val="none" w:sz="0" w:space="0" w:color="auto"/>
          </w:divBdr>
          <w:divsChild>
            <w:div w:id="530262555">
              <w:marLeft w:val="0"/>
              <w:marRight w:val="0"/>
              <w:marTop w:val="0"/>
              <w:marBottom w:val="0"/>
              <w:divBdr>
                <w:top w:val="none" w:sz="0" w:space="0" w:color="auto"/>
                <w:left w:val="none" w:sz="0" w:space="0" w:color="auto"/>
                <w:bottom w:val="none" w:sz="0" w:space="0" w:color="auto"/>
                <w:right w:val="none" w:sz="0" w:space="0" w:color="auto"/>
              </w:divBdr>
            </w:div>
            <w:div w:id="1745487678">
              <w:marLeft w:val="0"/>
              <w:marRight w:val="0"/>
              <w:marTop w:val="0"/>
              <w:marBottom w:val="0"/>
              <w:divBdr>
                <w:top w:val="none" w:sz="0" w:space="0" w:color="auto"/>
                <w:left w:val="none" w:sz="0" w:space="0" w:color="auto"/>
                <w:bottom w:val="none" w:sz="0" w:space="0" w:color="auto"/>
                <w:right w:val="none" w:sz="0" w:space="0" w:color="auto"/>
              </w:divBdr>
            </w:div>
            <w:div w:id="1809743074">
              <w:marLeft w:val="0"/>
              <w:marRight w:val="0"/>
              <w:marTop w:val="0"/>
              <w:marBottom w:val="0"/>
              <w:divBdr>
                <w:top w:val="none" w:sz="0" w:space="0" w:color="auto"/>
                <w:left w:val="none" w:sz="0" w:space="0" w:color="auto"/>
                <w:bottom w:val="none" w:sz="0" w:space="0" w:color="auto"/>
                <w:right w:val="none" w:sz="0" w:space="0" w:color="auto"/>
              </w:divBdr>
            </w:div>
            <w:div w:id="1966306279">
              <w:marLeft w:val="0"/>
              <w:marRight w:val="0"/>
              <w:marTop w:val="0"/>
              <w:marBottom w:val="0"/>
              <w:divBdr>
                <w:top w:val="none" w:sz="0" w:space="0" w:color="auto"/>
                <w:left w:val="none" w:sz="0" w:space="0" w:color="auto"/>
                <w:bottom w:val="none" w:sz="0" w:space="0" w:color="auto"/>
                <w:right w:val="none" w:sz="0" w:space="0" w:color="auto"/>
              </w:divBdr>
            </w:div>
          </w:divsChild>
        </w:div>
        <w:div w:id="555245426">
          <w:marLeft w:val="0"/>
          <w:marRight w:val="0"/>
          <w:marTop w:val="0"/>
          <w:marBottom w:val="0"/>
          <w:divBdr>
            <w:top w:val="none" w:sz="0" w:space="0" w:color="auto"/>
            <w:left w:val="none" w:sz="0" w:space="0" w:color="auto"/>
            <w:bottom w:val="none" w:sz="0" w:space="0" w:color="auto"/>
            <w:right w:val="none" w:sz="0" w:space="0" w:color="auto"/>
          </w:divBdr>
          <w:divsChild>
            <w:div w:id="469324596">
              <w:marLeft w:val="0"/>
              <w:marRight w:val="0"/>
              <w:marTop w:val="0"/>
              <w:marBottom w:val="0"/>
              <w:divBdr>
                <w:top w:val="none" w:sz="0" w:space="0" w:color="auto"/>
                <w:left w:val="none" w:sz="0" w:space="0" w:color="auto"/>
                <w:bottom w:val="none" w:sz="0" w:space="0" w:color="auto"/>
                <w:right w:val="none" w:sz="0" w:space="0" w:color="auto"/>
              </w:divBdr>
            </w:div>
            <w:div w:id="607276245">
              <w:marLeft w:val="0"/>
              <w:marRight w:val="0"/>
              <w:marTop w:val="0"/>
              <w:marBottom w:val="0"/>
              <w:divBdr>
                <w:top w:val="none" w:sz="0" w:space="0" w:color="auto"/>
                <w:left w:val="none" w:sz="0" w:space="0" w:color="auto"/>
                <w:bottom w:val="none" w:sz="0" w:space="0" w:color="auto"/>
                <w:right w:val="none" w:sz="0" w:space="0" w:color="auto"/>
              </w:divBdr>
            </w:div>
            <w:div w:id="790973735">
              <w:marLeft w:val="0"/>
              <w:marRight w:val="0"/>
              <w:marTop w:val="0"/>
              <w:marBottom w:val="0"/>
              <w:divBdr>
                <w:top w:val="none" w:sz="0" w:space="0" w:color="auto"/>
                <w:left w:val="none" w:sz="0" w:space="0" w:color="auto"/>
                <w:bottom w:val="none" w:sz="0" w:space="0" w:color="auto"/>
                <w:right w:val="none" w:sz="0" w:space="0" w:color="auto"/>
              </w:divBdr>
            </w:div>
            <w:div w:id="1704211066">
              <w:marLeft w:val="0"/>
              <w:marRight w:val="0"/>
              <w:marTop w:val="0"/>
              <w:marBottom w:val="0"/>
              <w:divBdr>
                <w:top w:val="none" w:sz="0" w:space="0" w:color="auto"/>
                <w:left w:val="none" w:sz="0" w:space="0" w:color="auto"/>
                <w:bottom w:val="none" w:sz="0" w:space="0" w:color="auto"/>
                <w:right w:val="none" w:sz="0" w:space="0" w:color="auto"/>
              </w:divBdr>
            </w:div>
          </w:divsChild>
        </w:div>
        <w:div w:id="576747236">
          <w:marLeft w:val="0"/>
          <w:marRight w:val="0"/>
          <w:marTop w:val="0"/>
          <w:marBottom w:val="0"/>
          <w:divBdr>
            <w:top w:val="none" w:sz="0" w:space="0" w:color="auto"/>
            <w:left w:val="none" w:sz="0" w:space="0" w:color="auto"/>
            <w:bottom w:val="none" w:sz="0" w:space="0" w:color="auto"/>
            <w:right w:val="none" w:sz="0" w:space="0" w:color="auto"/>
          </w:divBdr>
          <w:divsChild>
            <w:div w:id="395468348">
              <w:marLeft w:val="0"/>
              <w:marRight w:val="0"/>
              <w:marTop w:val="0"/>
              <w:marBottom w:val="0"/>
              <w:divBdr>
                <w:top w:val="none" w:sz="0" w:space="0" w:color="auto"/>
                <w:left w:val="none" w:sz="0" w:space="0" w:color="auto"/>
                <w:bottom w:val="none" w:sz="0" w:space="0" w:color="auto"/>
                <w:right w:val="none" w:sz="0" w:space="0" w:color="auto"/>
              </w:divBdr>
            </w:div>
            <w:div w:id="698556282">
              <w:marLeft w:val="0"/>
              <w:marRight w:val="0"/>
              <w:marTop w:val="0"/>
              <w:marBottom w:val="0"/>
              <w:divBdr>
                <w:top w:val="none" w:sz="0" w:space="0" w:color="auto"/>
                <w:left w:val="none" w:sz="0" w:space="0" w:color="auto"/>
                <w:bottom w:val="none" w:sz="0" w:space="0" w:color="auto"/>
                <w:right w:val="none" w:sz="0" w:space="0" w:color="auto"/>
              </w:divBdr>
            </w:div>
            <w:div w:id="1711606929">
              <w:marLeft w:val="0"/>
              <w:marRight w:val="0"/>
              <w:marTop w:val="0"/>
              <w:marBottom w:val="0"/>
              <w:divBdr>
                <w:top w:val="none" w:sz="0" w:space="0" w:color="auto"/>
                <w:left w:val="none" w:sz="0" w:space="0" w:color="auto"/>
                <w:bottom w:val="none" w:sz="0" w:space="0" w:color="auto"/>
                <w:right w:val="none" w:sz="0" w:space="0" w:color="auto"/>
              </w:divBdr>
            </w:div>
            <w:div w:id="1714116844">
              <w:marLeft w:val="0"/>
              <w:marRight w:val="0"/>
              <w:marTop w:val="0"/>
              <w:marBottom w:val="0"/>
              <w:divBdr>
                <w:top w:val="none" w:sz="0" w:space="0" w:color="auto"/>
                <w:left w:val="none" w:sz="0" w:space="0" w:color="auto"/>
                <w:bottom w:val="none" w:sz="0" w:space="0" w:color="auto"/>
                <w:right w:val="none" w:sz="0" w:space="0" w:color="auto"/>
              </w:divBdr>
            </w:div>
            <w:div w:id="1724938476">
              <w:marLeft w:val="0"/>
              <w:marRight w:val="0"/>
              <w:marTop w:val="0"/>
              <w:marBottom w:val="0"/>
              <w:divBdr>
                <w:top w:val="none" w:sz="0" w:space="0" w:color="auto"/>
                <w:left w:val="none" w:sz="0" w:space="0" w:color="auto"/>
                <w:bottom w:val="none" w:sz="0" w:space="0" w:color="auto"/>
                <w:right w:val="none" w:sz="0" w:space="0" w:color="auto"/>
              </w:divBdr>
            </w:div>
          </w:divsChild>
        </w:div>
        <w:div w:id="623193528">
          <w:marLeft w:val="0"/>
          <w:marRight w:val="0"/>
          <w:marTop w:val="0"/>
          <w:marBottom w:val="0"/>
          <w:divBdr>
            <w:top w:val="none" w:sz="0" w:space="0" w:color="auto"/>
            <w:left w:val="none" w:sz="0" w:space="0" w:color="auto"/>
            <w:bottom w:val="none" w:sz="0" w:space="0" w:color="auto"/>
            <w:right w:val="none" w:sz="0" w:space="0" w:color="auto"/>
          </w:divBdr>
        </w:div>
        <w:div w:id="865096135">
          <w:marLeft w:val="0"/>
          <w:marRight w:val="0"/>
          <w:marTop w:val="0"/>
          <w:marBottom w:val="0"/>
          <w:divBdr>
            <w:top w:val="none" w:sz="0" w:space="0" w:color="auto"/>
            <w:left w:val="none" w:sz="0" w:space="0" w:color="auto"/>
            <w:bottom w:val="none" w:sz="0" w:space="0" w:color="auto"/>
            <w:right w:val="none" w:sz="0" w:space="0" w:color="auto"/>
          </w:divBdr>
        </w:div>
        <w:div w:id="1130318756">
          <w:marLeft w:val="0"/>
          <w:marRight w:val="0"/>
          <w:marTop w:val="0"/>
          <w:marBottom w:val="0"/>
          <w:divBdr>
            <w:top w:val="none" w:sz="0" w:space="0" w:color="auto"/>
            <w:left w:val="none" w:sz="0" w:space="0" w:color="auto"/>
            <w:bottom w:val="none" w:sz="0" w:space="0" w:color="auto"/>
            <w:right w:val="none" w:sz="0" w:space="0" w:color="auto"/>
          </w:divBdr>
          <w:divsChild>
            <w:div w:id="1372917603">
              <w:marLeft w:val="0"/>
              <w:marRight w:val="0"/>
              <w:marTop w:val="0"/>
              <w:marBottom w:val="0"/>
              <w:divBdr>
                <w:top w:val="none" w:sz="0" w:space="0" w:color="auto"/>
                <w:left w:val="none" w:sz="0" w:space="0" w:color="auto"/>
                <w:bottom w:val="none" w:sz="0" w:space="0" w:color="auto"/>
                <w:right w:val="none" w:sz="0" w:space="0" w:color="auto"/>
              </w:divBdr>
            </w:div>
            <w:div w:id="1376854318">
              <w:marLeft w:val="0"/>
              <w:marRight w:val="0"/>
              <w:marTop w:val="0"/>
              <w:marBottom w:val="0"/>
              <w:divBdr>
                <w:top w:val="none" w:sz="0" w:space="0" w:color="auto"/>
                <w:left w:val="none" w:sz="0" w:space="0" w:color="auto"/>
                <w:bottom w:val="none" w:sz="0" w:space="0" w:color="auto"/>
                <w:right w:val="none" w:sz="0" w:space="0" w:color="auto"/>
              </w:divBdr>
            </w:div>
            <w:div w:id="1867716776">
              <w:marLeft w:val="0"/>
              <w:marRight w:val="0"/>
              <w:marTop w:val="0"/>
              <w:marBottom w:val="0"/>
              <w:divBdr>
                <w:top w:val="none" w:sz="0" w:space="0" w:color="auto"/>
                <w:left w:val="none" w:sz="0" w:space="0" w:color="auto"/>
                <w:bottom w:val="none" w:sz="0" w:space="0" w:color="auto"/>
                <w:right w:val="none" w:sz="0" w:space="0" w:color="auto"/>
              </w:divBdr>
            </w:div>
            <w:div w:id="2103718858">
              <w:marLeft w:val="0"/>
              <w:marRight w:val="0"/>
              <w:marTop w:val="0"/>
              <w:marBottom w:val="0"/>
              <w:divBdr>
                <w:top w:val="none" w:sz="0" w:space="0" w:color="auto"/>
                <w:left w:val="none" w:sz="0" w:space="0" w:color="auto"/>
                <w:bottom w:val="none" w:sz="0" w:space="0" w:color="auto"/>
                <w:right w:val="none" w:sz="0" w:space="0" w:color="auto"/>
              </w:divBdr>
            </w:div>
          </w:divsChild>
        </w:div>
        <w:div w:id="1287197355">
          <w:marLeft w:val="0"/>
          <w:marRight w:val="0"/>
          <w:marTop w:val="0"/>
          <w:marBottom w:val="0"/>
          <w:divBdr>
            <w:top w:val="none" w:sz="0" w:space="0" w:color="auto"/>
            <w:left w:val="none" w:sz="0" w:space="0" w:color="auto"/>
            <w:bottom w:val="none" w:sz="0" w:space="0" w:color="auto"/>
            <w:right w:val="none" w:sz="0" w:space="0" w:color="auto"/>
          </w:divBdr>
        </w:div>
        <w:div w:id="1342590049">
          <w:marLeft w:val="0"/>
          <w:marRight w:val="0"/>
          <w:marTop w:val="0"/>
          <w:marBottom w:val="0"/>
          <w:divBdr>
            <w:top w:val="none" w:sz="0" w:space="0" w:color="auto"/>
            <w:left w:val="none" w:sz="0" w:space="0" w:color="auto"/>
            <w:bottom w:val="none" w:sz="0" w:space="0" w:color="auto"/>
            <w:right w:val="none" w:sz="0" w:space="0" w:color="auto"/>
          </w:divBdr>
        </w:div>
        <w:div w:id="1367483783">
          <w:marLeft w:val="0"/>
          <w:marRight w:val="0"/>
          <w:marTop w:val="0"/>
          <w:marBottom w:val="0"/>
          <w:divBdr>
            <w:top w:val="none" w:sz="0" w:space="0" w:color="auto"/>
            <w:left w:val="none" w:sz="0" w:space="0" w:color="auto"/>
            <w:bottom w:val="none" w:sz="0" w:space="0" w:color="auto"/>
            <w:right w:val="none" w:sz="0" w:space="0" w:color="auto"/>
          </w:divBdr>
        </w:div>
        <w:div w:id="1505628504">
          <w:marLeft w:val="0"/>
          <w:marRight w:val="0"/>
          <w:marTop w:val="0"/>
          <w:marBottom w:val="0"/>
          <w:divBdr>
            <w:top w:val="none" w:sz="0" w:space="0" w:color="auto"/>
            <w:left w:val="none" w:sz="0" w:space="0" w:color="auto"/>
            <w:bottom w:val="none" w:sz="0" w:space="0" w:color="auto"/>
            <w:right w:val="none" w:sz="0" w:space="0" w:color="auto"/>
          </w:divBdr>
          <w:divsChild>
            <w:div w:id="226494161">
              <w:marLeft w:val="0"/>
              <w:marRight w:val="0"/>
              <w:marTop w:val="0"/>
              <w:marBottom w:val="0"/>
              <w:divBdr>
                <w:top w:val="none" w:sz="0" w:space="0" w:color="auto"/>
                <w:left w:val="none" w:sz="0" w:space="0" w:color="auto"/>
                <w:bottom w:val="none" w:sz="0" w:space="0" w:color="auto"/>
                <w:right w:val="none" w:sz="0" w:space="0" w:color="auto"/>
              </w:divBdr>
            </w:div>
            <w:div w:id="231429291">
              <w:marLeft w:val="0"/>
              <w:marRight w:val="0"/>
              <w:marTop w:val="0"/>
              <w:marBottom w:val="0"/>
              <w:divBdr>
                <w:top w:val="none" w:sz="0" w:space="0" w:color="auto"/>
                <w:left w:val="none" w:sz="0" w:space="0" w:color="auto"/>
                <w:bottom w:val="none" w:sz="0" w:space="0" w:color="auto"/>
                <w:right w:val="none" w:sz="0" w:space="0" w:color="auto"/>
              </w:divBdr>
            </w:div>
            <w:div w:id="452556894">
              <w:marLeft w:val="0"/>
              <w:marRight w:val="0"/>
              <w:marTop w:val="0"/>
              <w:marBottom w:val="0"/>
              <w:divBdr>
                <w:top w:val="none" w:sz="0" w:space="0" w:color="auto"/>
                <w:left w:val="none" w:sz="0" w:space="0" w:color="auto"/>
                <w:bottom w:val="none" w:sz="0" w:space="0" w:color="auto"/>
                <w:right w:val="none" w:sz="0" w:space="0" w:color="auto"/>
              </w:divBdr>
            </w:div>
            <w:div w:id="1379820988">
              <w:marLeft w:val="0"/>
              <w:marRight w:val="0"/>
              <w:marTop w:val="0"/>
              <w:marBottom w:val="0"/>
              <w:divBdr>
                <w:top w:val="none" w:sz="0" w:space="0" w:color="auto"/>
                <w:left w:val="none" w:sz="0" w:space="0" w:color="auto"/>
                <w:bottom w:val="none" w:sz="0" w:space="0" w:color="auto"/>
                <w:right w:val="none" w:sz="0" w:space="0" w:color="auto"/>
              </w:divBdr>
            </w:div>
          </w:divsChild>
        </w:div>
        <w:div w:id="1589657373">
          <w:marLeft w:val="0"/>
          <w:marRight w:val="0"/>
          <w:marTop w:val="0"/>
          <w:marBottom w:val="0"/>
          <w:divBdr>
            <w:top w:val="none" w:sz="0" w:space="0" w:color="auto"/>
            <w:left w:val="none" w:sz="0" w:space="0" w:color="auto"/>
            <w:bottom w:val="none" w:sz="0" w:space="0" w:color="auto"/>
            <w:right w:val="none" w:sz="0" w:space="0" w:color="auto"/>
          </w:divBdr>
        </w:div>
        <w:div w:id="1654216022">
          <w:marLeft w:val="0"/>
          <w:marRight w:val="0"/>
          <w:marTop w:val="0"/>
          <w:marBottom w:val="0"/>
          <w:divBdr>
            <w:top w:val="none" w:sz="0" w:space="0" w:color="auto"/>
            <w:left w:val="none" w:sz="0" w:space="0" w:color="auto"/>
            <w:bottom w:val="none" w:sz="0" w:space="0" w:color="auto"/>
            <w:right w:val="none" w:sz="0" w:space="0" w:color="auto"/>
          </w:divBdr>
        </w:div>
        <w:div w:id="1700204230">
          <w:marLeft w:val="0"/>
          <w:marRight w:val="0"/>
          <w:marTop w:val="0"/>
          <w:marBottom w:val="0"/>
          <w:divBdr>
            <w:top w:val="none" w:sz="0" w:space="0" w:color="auto"/>
            <w:left w:val="none" w:sz="0" w:space="0" w:color="auto"/>
            <w:bottom w:val="none" w:sz="0" w:space="0" w:color="auto"/>
            <w:right w:val="none" w:sz="0" w:space="0" w:color="auto"/>
          </w:divBdr>
        </w:div>
        <w:div w:id="1723022333">
          <w:marLeft w:val="0"/>
          <w:marRight w:val="0"/>
          <w:marTop w:val="0"/>
          <w:marBottom w:val="0"/>
          <w:divBdr>
            <w:top w:val="none" w:sz="0" w:space="0" w:color="auto"/>
            <w:left w:val="none" w:sz="0" w:space="0" w:color="auto"/>
            <w:bottom w:val="none" w:sz="0" w:space="0" w:color="auto"/>
            <w:right w:val="none" w:sz="0" w:space="0" w:color="auto"/>
          </w:divBdr>
          <w:divsChild>
            <w:div w:id="46026497">
              <w:marLeft w:val="0"/>
              <w:marRight w:val="0"/>
              <w:marTop w:val="0"/>
              <w:marBottom w:val="0"/>
              <w:divBdr>
                <w:top w:val="none" w:sz="0" w:space="0" w:color="auto"/>
                <w:left w:val="none" w:sz="0" w:space="0" w:color="auto"/>
                <w:bottom w:val="none" w:sz="0" w:space="0" w:color="auto"/>
                <w:right w:val="none" w:sz="0" w:space="0" w:color="auto"/>
              </w:divBdr>
            </w:div>
            <w:div w:id="96097031">
              <w:marLeft w:val="0"/>
              <w:marRight w:val="0"/>
              <w:marTop w:val="0"/>
              <w:marBottom w:val="0"/>
              <w:divBdr>
                <w:top w:val="none" w:sz="0" w:space="0" w:color="auto"/>
                <w:left w:val="none" w:sz="0" w:space="0" w:color="auto"/>
                <w:bottom w:val="none" w:sz="0" w:space="0" w:color="auto"/>
                <w:right w:val="none" w:sz="0" w:space="0" w:color="auto"/>
              </w:divBdr>
            </w:div>
            <w:div w:id="174805712">
              <w:marLeft w:val="0"/>
              <w:marRight w:val="0"/>
              <w:marTop w:val="0"/>
              <w:marBottom w:val="0"/>
              <w:divBdr>
                <w:top w:val="none" w:sz="0" w:space="0" w:color="auto"/>
                <w:left w:val="none" w:sz="0" w:space="0" w:color="auto"/>
                <w:bottom w:val="none" w:sz="0" w:space="0" w:color="auto"/>
                <w:right w:val="none" w:sz="0" w:space="0" w:color="auto"/>
              </w:divBdr>
            </w:div>
            <w:div w:id="280957964">
              <w:marLeft w:val="0"/>
              <w:marRight w:val="0"/>
              <w:marTop w:val="0"/>
              <w:marBottom w:val="0"/>
              <w:divBdr>
                <w:top w:val="none" w:sz="0" w:space="0" w:color="auto"/>
                <w:left w:val="none" w:sz="0" w:space="0" w:color="auto"/>
                <w:bottom w:val="none" w:sz="0" w:space="0" w:color="auto"/>
                <w:right w:val="none" w:sz="0" w:space="0" w:color="auto"/>
              </w:divBdr>
            </w:div>
            <w:div w:id="504855941">
              <w:marLeft w:val="0"/>
              <w:marRight w:val="0"/>
              <w:marTop w:val="0"/>
              <w:marBottom w:val="0"/>
              <w:divBdr>
                <w:top w:val="none" w:sz="0" w:space="0" w:color="auto"/>
                <w:left w:val="none" w:sz="0" w:space="0" w:color="auto"/>
                <w:bottom w:val="none" w:sz="0" w:space="0" w:color="auto"/>
                <w:right w:val="none" w:sz="0" w:space="0" w:color="auto"/>
              </w:divBdr>
            </w:div>
          </w:divsChild>
        </w:div>
        <w:div w:id="1981185073">
          <w:marLeft w:val="0"/>
          <w:marRight w:val="0"/>
          <w:marTop w:val="0"/>
          <w:marBottom w:val="0"/>
          <w:divBdr>
            <w:top w:val="none" w:sz="0" w:space="0" w:color="auto"/>
            <w:left w:val="none" w:sz="0" w:space="0" w:color="auto"/>
            <w:bottom w:val="none" w:sz="0" w:space="0" w:color="auto"/>
            <w:right w:val="none" w:sz="0" w:space="0" w:color="auto"/>
          </w:divBdr>
          <w:divsChild>
            <w:div w:id="59448328">
              <w:marLeft w:val="0"/>
              <w:marRight w:val="0"/>
              <w:marTop w:val="0"/>
              <w:marBottom w:val="0"/>
              <w:divBdr>
                <w:top w:val="none" w:sz="0" w:space="0" w:color="auto"/>
                <w:left w:val="none" w:sz="0" w:space="0" w:color="auto"/>
                <w:bottom w:val="none" w:sz="0" w:space="0" w:color="auto"/>
                <w:right w:val="none" w:sz="0" w:space="0" w:color="auto"/>
              </w:divBdr>
            </w:div>
            <w:div w:id="142435151">
              <w:marLeft w:val="0"/>
              <w:marRight w:val="0"/>
              <w:marTop w:val="0"/>
              <w:marBottom w:val="0"/>
              <w:divBdr>
                <w:top w:val="none" w:sz="0" w:space="0" w:color="auto"/>
                <w:left w:val="none" w:sz="0" w:space="0" w:color="auto"/>
                <w:bottom w:val="none" w:sz="0" w:space="0" w:color="auto"/>
                <w:right w:val="none" w:sz="0" w:space="0" w:color="auto"/>
              </w:divBdr>
            </w:div>
            <w:div w:id="1011567088">
              <w:marLeft w:val="0"/>
              <w:marRight w:val="0"/>
              <w:marTop w:val="0"/>
              <w:marBottom w:val="0"/>
              <w:divBdr>
                <w:top w:val="none" w:sz="0" w:space="0" w:color="auto"/>
                <w:left w:val="none" w:sz="0" w:space="0" w:color="auto"/>
                <w:bottom w:val="none" w:sz="0" w:space="0" w:color="auto"/>
                <w:right w:val="none" w:sz="0" w:space="0" w:color="auto"/>
              </w:divBdr>
            </w:div>
            <w:div w:id="16372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3860">
      <w:bodyDiv w:val="1"/>
      <w:marLeft w:val="0"/>
      <w:marRight w:val="0"/>
      <w:marTop w:val="0"/>
      <w:marBottom w:val="0"/>
      <w:divBdr>
        <w:top w:val="none" w:sz="0" w:space="0" w:color="auto"/>
        <w:left w:val="none" w:sz="0" w:space="0" w:color="auto"/>
        <w:bottom w:val="none" w:sz="0" w:space="0" w:color="auto"/>
        <w:right w:val="none" w:sz="0" w:space="0" w:color="auto"/>
      </w:divBdr>
      <w:divsChild>
        <w:div w:id="220406870">
          <w:marLeft w:val="0"/>
          <w:marRight w:val="0"/>
          <w:marTop w:val="0"/>
          <w:marBottom w:val="0"/>
          <w:divBdr>
            <w:top w:val="none" w:sz="0" w:space="0" w:color="auto"/>
            <w:left w:val="none" w:sz="0" w:space="0" w:color="auto"/>
            <w:bottom w:val="none" w:sz="0" w:space="0" w:color="auto"/>
            <w:right w:val="none" w:sz="0" w:space="0" w:color="auto"/>
          </w:divBdr>
          <w:divsChild>
            <w:div w:id="413163174">
              <w:marLeft w:val="0"/>
              <w:marRight w:val="0"/>
              <w:marTop w:val="0"/>
              <w:marBottom w:val="0"/>
              <w:divBdr>
                <w:top w:val="none" w:sz="0" w:space="0" w:color="auto"/>
                <w:left w:val="none" w:sz="0" w:space="0" w:color="auto"/>
                <w:bottom w:val="none" w:sz="0" w:space="0" w:color="auto"/>
                <w:right w:val="none" w:sz="0" w:space="0" w:color="auto"/>
              </w:divBdr>
            </w:div>
            <w:div w:id="610206210">
              <w:marLeft w:val="0"/>
              <w:marRight w:val="0"/>
              <w:marTop w:val="0"/>
              <w:marBottom w:val="0"/>
              <w:divBdr>
                <w:top w:val="none" w:sz="0" w:space="0" w:color="auto"/>
                <w:left w:val="none" w:sz="0" w:space="0" w:color="auto"/>
                <w:bottom w:val="none" w:sz="0" w:space="0" w:color="auto"/>
                <w:right w:val="none" w:sz="0" w:space="0" w:color="auto"/>
              </w:divBdr>
            </w:div>
            <w:div w:id="854810773">
              <w:marLeft w:val="0"/>
              <w:marRight w:val="0"/>
              <w:marTop w:val="0"/>
              <w:marBottom w:val="0"/>
              <w:divBdr>
                <w:top w:val="none" w:sz="0" w:space="0" w:color="auto"/>
                <w:left w:val="none" w:sz="0" w:space="0" w:color="auto"/>
                <w:bottom w:val="none" w:sz="0" w:space="0" w:color="auto"/>
                <w:right w:val="none" w:sz="0" w:space="0" w:color="auto"/>
              </w:divBdr>
            </w:div>
            <w:div w:id="1585068373">
              <w:marLeft w:val="0"/>
              <w:marRight w:val="0"/>
              <w:marTop w:val="0"/>
              <w:marBottom w:val="0"/>
              <w:divBdr>
                <w:top w:val="none" w:sz="0" w:space="0" w:color="auto"/>
                <w:left w:val="none" w:sz="0" w:space="0" w:color="auto"/>
                <w:bottom w:val="none" w:sz="0" w:space="0" w:color="auto"/>
                <w:right w:val="none" w:sz="0" w:space="0" w:color="auto"/>
              </w:divBdr>
            </w:div>
            <w:div w:id="1659113684">
              <w:marLeft w:val="0"/>
              <w:marRight w:val="0"/>
              <w:marTop w:val="0"/>
              <w:marBottom w:val="0"/>
              <w:divBdr>
                <w:top w:val="none" w:sz="0" w:space="0" w:color="auto"/>
                <w:left w:val="none" w:sz="0" w:space="0" w:color="auto"/>
                <w:bottom w:val="none" w:sz="0" w:space="0" w:color="auto"/>
                <w:right w:val="none" w:sz="0" w:space="0" w:color="auto"/>
              </w:divBdr>
            </w:div>
          </w:divsChild>
        </w:div>
        <w:div w:id="506137158">
          <w:marLeft w:val="0"/>
          <w:marRight w:val="0"/>
          <w:marTop w:val="0"/>
          <w:marBottom w:val="0"/>
          <w:divBdr>
            <w:top w:val="none" w:sz="0" w:space="0" w:color="auto"/>
            <w:left w:val="none" w:sz="0" w:space="0" w:color="auto"/>
            <w:bottom w:val="none" w:sz="0" w:space="0" w:color="auto"/>
            <w:right w:val="none" w:sz="0" w:space="0" w:color="auto"/>
          </w:divBdr>
          <w:divsChild>
            <w:div w:id="186678074">
              <w:marLeft w:val="0"/>
              <w:marRight w:val="0"/>
              <w:marTop w:val="0"/>
              <w:marBottom w:val="0"/>
              <w:divBdr>
                <w:top w:val="none" w:sz="0" w:space="0" w:color="auto"/>
                <w:left w:val="none" w:sz="0" w:space="0" w:color="auto"/>
                <w:bottom w:val="none" w:sz="0" w:space="0" w:color="auto"/>
                <w:right w:val="none" w:sz="0" w:space="0" w:color="auto"/>
              </w:divBdr>
            </w:div>
            <w:div w:id="206837766">
              <w:marLeft w:val="0"/>
              <w:marRight w:val="0"/>
              <w:marTop w:val="0"/>
              <w:marBottom w:val="0"/>
              <w:divBdr>
                <w:top w:val="none" w:sz="0" w:space="0" w:color="auto"/>
                <w:left w:val="none" w:sz="0" w:space="0" w:color="auto"/>
                <w:bottom w:val="none" w:sz="0" w:space="0" w:color="auto"/>
                <w:right w:val="none" w:sz="0" w:space="0" w:color="auto"/>
              </w:divBdr>
            </w:div>
            <w:div w:id="263609437">
              <w:marLeft w:val="0"/>
              <w:marRight w:val="0"/>
              <w:marTop w:val="0"/>
              <w:marBottom w:val="0"/>
              <w:divBdr>
                <w:top w:val="none" w:sz="0" w:space="0" w:color="auto"/>
                <w:left w:val="none" w:sz="0" w:space="0" w:color="auto"/>
                <w:bottom w:val="none" w:sz="0" w:space="0" w:color="auto"/>
                <w:right w:val="none" w:sz="0" w:space="0" w:color="auto"/>
              </w:divBdr>
            </w:div>
            <w:div w:id="643581080">
              <w:marLeft w:val="0"/>
              <w:marRight w:val="0"/>
              <w:marTop w:val="0"/>
              <w:marBottom w:val="0"/>
              <w:divBdr>
                <w:top w:val="none" w:sz="0" w:space="0" w:color="auto"/>
                <w:left w:val="none" w:sz="0" w:space="0" w:color="auto"/>
                <w:bottom w:val="none" w:sz="0" w:space="0" w:color="auto"/>
                <w:right w:val="none" w:sz="0" w:space="0" w:color="auto"/>
              </w:divBdr>
            </w:div>
          </w:divsChild>
        </w:div>
        <w:div w:id="929586186">
          <w:marLeft w:val="0"/>
          <w:marRight w:val="0"/>
          <w:marTop w:val="0"/>
          <w:marBottom w:val="0"/>
          <w:divBdr>
            <w:top w:val="none" w:sz="0" w:space="0" w:color="auto"/>
            <w:left w:val="none" w:sz="0" w:space="0" w:color="auto"/>
            <w:bottom w:val="none" w:sz="0" w:space="0" w:color="auto"/>
            <w:right w:val="none" w:sz="0" w:space="0" w:color="auto"/>
          </w:divBdr>
          <w:divsChild>
            <w:div w:id="53698832">
              <w:marLeft w:val="0"/>
              <w:marRight w:val="0"/>
              <w:marTop w:val="0"/>
              <w:marBottom w:val="0"/>
              <w:divBdr>
                <w:top w:val="none" w:sz="0" w:space="0" w:color="auto"/>
                <w:left w:val="none" w:sz="0" w:space="0" w:color="auto"/>
                <w:bottom w:val="none" w:sz="0" w:space="0" w:color="auto"/>
                <w:right w:val="none" w:sz="0" w:space="0" w:color="auto"/>
              </w:divBdr>
            </w:div>
            <w:div w:id="230391743">
              <w:marLeft w:val="0"/>
              <w:marRight w:val="0"/>
              <w:marTop w:val="0"/>
              <w:marBottom w:val="0"/>
              <w:divBdr>
                <w:top w:val="none" w:sz="0" w:space="0" w:color="auto"/>
                <w:left w:val="none" w:sz="0" w:space="0" w:color="auto"/>
                <w:bottom w:val="none" w:sz="0" w:space="0" w:color="auto"/>
                <w:right w:val="none" w:sz="0" w:space="0" w:color="auto"/>
              </w:divBdr>
            </w:div>
            <w:div w:id="370496192">
              <w:marLeft w:val="0"/>
              <w:marRight w:val="0"/>
              <w:marTop w:val="0"/>
              <w:marBottom w:val="0"/>
              <w:divBdr>
                <w:top w:val="none" w:sz="0" w:space="0" w:color="auto"/>
                <w:left w:val="none" w:sz="0" w:space="0" w:color="auto"/>
                <w:bottom w:val="none" w:sz="0" w:space="0" w:color="auto"/>
                <w:right w:val="none" w:sz="0" w:space="0" w:color="auto"/>
              </w:divBdr>
            </w:div>
            <w:div w:id="512189624">
              <w:marLeft w:val="0"/>
              <w:marRight w:val="0"/>
              <w:marTop w:val="0"/>
              <w:marBottom w:val="0"/>
              <w:divBdr>
                <w:top w:val="none" w:sz="0" w:space="0" w:color="auto"/>
                <w:left w:val="none" w:sz="0" w:space="0" w:color="auto"/>
                <w:bottom w:val="none" w:sz="0" w:space="0" w:color="auto"/>
                <w:right w:val="none" w:sz="0" w:space="0" w:color="auto"/>
              </w:divBdr>
            </w:div>
            <w:div w:id="1263731016">
              <w:marLeft w:val="0"/>
              <w:marRight w:val="0"/>
              <w:marTop w:val="0"/>
              <w:marBottom w:val="0"/>
              <w:divBdr>
                <w:top w:val="none" w:sz="0" w:space="0" w:color="auto"/>
                <w:left w:val="none" w:sz="0" w:space="0" w:color="auto"/>
                <w:bottom w:val="none" w:sz="0" w:space="0" w:color="auto"/>
                <w:right w:val="none" w:sz="0" w:space="0" w:color="auto"/>
              </w:divBdr>
            </w:div>
          </w:divsChild>
        </w:div>
        <w:div w:id="1272519531">
          <w:marLeft w:val="0"/>
          <w:marRight w:val="0"/>
          <w:marTop w:val="0"/>
          <w:marBottom w:val="0"/>
          <w:divBdr>
            <w:top w:val="none" w:sz="0" w:space="0" w:color="auto"/>
            <w:left w:val="none" w:sz="0" w:space="0" w:color="auto"/>
            <w:bottom w:val="none" w:sz="0" w:space="0" w:color="auto"/>
            <w:right w:val="none" w:sz="0" w:space="0" w:color="auto"/>
          </w:divBdr>
          <w:divsChild>
            <w:div w:id="63795264">
              <w:marLeft w:val="0"/>
              <w:marRight w:val="0"/>
              <w:marTop w:val="0"/>
              <w:marBottom w:val="0"/>
              <w:divBdr>
                <w:top w:val="none" w:sz="0" w:space="0" w:color="auto"/>
                <w:left w:val="none" w:sz="0" w:space="0" w:color="auto"/>
                <w:bottom w:val="none" w:sz="0" w:space="0" w:color="auto"/>
                <w:right w:val="none" w:sz="0" w:space="0" w:color="auto"/>
              </w:divBdr>
            </w:div>
            <w:div w:id="272708607">
              <w:marLeft w:val="0"/>
              <w:marRight w:val="0"/>
              <w:marTop w:val="0"/>
              <w:marBottom w:val="0"/>
              <w:divBdr>
                <w:top w:val="none" w:sz="0" w:space="0" w:color="auto"/>
                <w:left w:val="none" w:sz="0" w:space="0" w:color="auto"/>
                <w:bottom w:val="none" w:sz="0" w:space="0" w:color="auto"/>
                <w:right w:val="none" w:sz="0" w:space="0" w:color="auto"/>
              </w:divBdr>
            </w:div>
            <w:div w:id="1398551429">
              <w:marLeft w:val="0"/>
              <w:marRight w:val="0"/>
              <w:marTop w:val="0"/>
              <w:marBottom w:val="0"/>
              <w:divBdr>
                <w:top w:val="none" w:sz="0" w:space="0" w:color="auto"/>
                <w:left w:val="none" w:sz="0" w:space="0" w:color="auto"/>
                <w:bottom w:val="none" w:sz="0" w:space="0" w:color="auto"/>
                <w:right w:val="none" w:sz="0" w:space="0" w:color="auto"/>
              </w:divBdr>
            </w:div>
            <w:div w:id="1573347782">
              <w:marLeft w:val="0"/>
              <w:marRight w:val="0"/>
              <w:marTop w:val="0"/>
              <w:marBottom w:val="0"/>
              <w:divBdr>
                <w:top w:val="none" w:sz="0" w:space="0" w:color="auto"/>
                <w:left w:val="none" w:sz="0" w:space="0" w:color="auto"/>
                <w:bottom w:val="none" w:sz="0" w:space="0" w:color="auto"/>
                <w:right w:val="none" w:sz="0" w:space="0" w:color="auto"/>
              </w:divBdr>
            </w:div>
            <w:div w:id="1957322527">
              <w:marLeft w:val="0"/>
              <w:marRight w:val="0"/>
              <w:marTop w:val="0"/>
              <w:marBottom w:val="0"/>
              <w:divBdr>
                <w:top w:val="none" w:sz="0" w:space="0" w:color="auto"/>
                <w:left w:val="none" w:sz="0" w:space="0" w:color="auto"/>
                <w:bottom w:val="none" w:sz="0" w:space="0" w:color="auto"/>
                <w:right w:val="none" w:sz="0" w:space="0" w:color="auto"/>
              </w:divBdr>
            </w:div>
          </w:divsChild>
        </w:div>
        <w:div w:id="1365212266">
          <w:marLeft w:val="0"/>
          <w:marRight w:val="0"/>
          <w:marTop w:val="0"/>
          <w:marBottom w:val="0"/>
          <w:divBdr>
            <w:top w:val="none" w:sz="0" w:space="0" w:color="auto"/>
            <w:left w:val="none" w:sz="0" w:space="0" w:color="auto"/>
            <w:bottom w:val="none" w:sz="0" w:space="0" w:color="auto"/>
            <w:right w:val="none" w:sz="0" w:space="0" w:color="auto"/>
          </w:divBdr>
          <w:divsChild>
            <w:div w:id="307169249">
              <w:marLeft w:val="0"/>
              <w:marRight w:val="0"/>
              <w:marTop w:val="0"/>
              <w:marBottom w:val="0"/>
              <w:divBdr>
                <w:top w:val="none" w:sz="0" w:space="0" w:color="auto"/>
                <w:left w:val="none" w:sz="0" w:space="0" w:color="auto"/>
                <w:bottom w:val="none" w:sz="0" w:space="0" w:color="auto"/>
                <w:right w:val="none" w:sz="0" w:space="0" w:color="auto"/>
              </w:divBdr>
            </w:div>
            <w:div w:id="643120177">
              <w:marLeft w:val="0"/>
              <w:marRight w:val="0"/>
              <w:marTop w:val="0"/>
              <w:marBottom w:val="0"/>
              <w:divBdr>
                <w:top w:val="none" w:sz="0" w:space="0" w:color="auto"/>
                <w:left w:val="none" w:sz="0" w:space="0" w:color="auto"/>
                <w:bottom w:val="none" w:sz="0" w:space="0" w:color="auto"/>
                <w:right w:val="none" w:sz="0" w:space="0" w:color="auto"/>
              </w:divBdr>
            </w:div>
            <w:div w:id="1278416796">
              <w:marLeft w:val="0"/>
              <w:marRight w:val="0"/>
              <w:marTop w:val="0"/>
              <w:marBottom w:val="0"/>
              <w:divBdr>
                <w:top w:val="none" w:sz="0" w:space="0" w:color="auto"/>
                <w:left w:val="none" w:sz="0" w:space="0" w:color="auto"/>
                <w:bottom w:val="none" w:sz="0" w:space="0" w:color="auto"/>
                <w:right w:val="none" w:sz="0" w:space="0" w:color="auto"/>
              </w:divBdr>
            </w:div>
            <w:div w:id="1333266114">
              <w:marLeft w:val="0"/>
              <w:marRight w:val="0"/>
              <w:marTop w:val="0"/>
              <w:marBottom w:val="0"/>
              <w:divBdr>
                <w:top w:val="none" w:sz="0" w:space="0" w:color="auto"/>
                <w:left w:val="none" w:sz="0" w:space="0" w:color="auto"/>
                <w:bottom w:val="none" w:sz="0" w:space="0" w:color="auto"/>
                <w:right w:val="none" w:sz="0" w:space="0" w:color="auto"/>
              </w:divBdr>
            </w:div>
          </w:divsChild>
        </w:div>
        <w:div w:id="1379476375">
          <w:marLeft w:val="0"/>
          <w:marRight w:val="0"/>
          <w:marTop w:val="0"/>
          <w:marBottom w:val="0"/>
          <w:divBdr>
            <w:top w:val="none" w:sz="0" w:space="0" w:color="auto"/>
            <w:left w:val="none" w:sz="0" w:space="0" w:color="auto"/>
            <w:bottom w:val="none" w:sz="0" w:space="0" w:color="auto"/>
            <w:right w:val="none" w:sz="0" w:space="0" w:color="auto"/>
          </w:divBdr>
          <w:divsChild>
            <w:div w:id="576549805">
              <w:marLeft w:val="0"/>
              <w:marRight w:val="0"/>
              <w:marTop w:val="0"/>
              <w:marBottom w:val="0"/>
              <w:divBdr>
                <w:top w:val="none" w:sz="0" w:space="0" w:color="auto"/>
                <w:left w:val="none" w:sz="0" w:space="0" w:color="auto"/>
                <w:bottom w:val="none" w:sz="0" w:space="0" w:color="auto"/>
                <w:right w:val="none" w:sz="0" w:space="0" w:color="auto"/>
              </w:divBdr>
            </w:div>
            <w:div w:id="853763425">
              <w:marLeft w:val="0"/>
              <w:marRight w:val="0"/>
              <w:marTop w:val="0"/>
              <w:marBottom w:val="0"/>
              <w:divBdr>
                <w:top w:val="none" w:sz="0" w:space="0" w:color="auto"/>
                <w:left w:val="none" w:sz="0" w:space="0" w:color="auto"/>
                <w:bottom w:val="none" w:sz="0" w:space="0" w:color="auto"/>
                <w:right w:val="none" w:sz="0" w:space="0" w:color="auto"/>
              </w:divBdr>
            </w:div>
            <w:div w:id="1415710130">
              <w:marLeft w:val="0"/>
              <w:marRight w:val="0"/>
              <w:marTop w:val="0"/>
              <w:marBottom w:val="0"/>
              <w:divBdr>
                <w:top w:val="none" w:sz="0" w:space="0" w:color="auto"/>
                <w:left w:val="none" w:sz="0" w:space="0" w:color="auto"/>
                <w:bottom w:val="none" w:sz="0" w:space="0" w:color="auto"/>
                <w:right w:val="none" w:sz="0" w:space="0" w:color="auto"/>
              </w:divBdr>
            </w:div>
            <w:div w:id="1976055950">
              <w:marLeft w:val="0"/>
              <w:marRight w:val="0"/>
              <w:marTop w:val="0"/>
              <w:marBottom w:val="0"/>
              <w:divBdr>
                <w:top w:val="none" w:sz="0" w:space="0" w:color="auto"/>
                <w:left w:val="none" w:sz="0" w:space="0" w:color="auto"/>
                <w:bottom w:val="none" w:sz="0" w:space="0" w:color="auto"/>
                <w:right w:val="none" w:sz="0" w:space="0" w:color="auto"/>
              </w:divBdr>
            </w:div>
          </w:divsChild>
        </w:div>
        <w:div w:id="1953707587">
          <w:marLeft w:val="0"/>
          <w:marRight w:val="0"/>
          <w:marTop w:val="0"/>
          <w:marBottom w:val="0"/>
          <w:divBdr>
            <w:top w:val="none" w:sz="0" w:space="0" w:color="auto"/>
            <w:left w:val="none" w:sz="0" w:space="0" w:color="auto"/>
            <w:bottom w:val="none" w:sz="0" w:space="0" w:color="auto"/>
            <w:right w:val="none" w:sz="0" w:space="0" w:color="auto"/>
          </w:divBdr>
          <w:divsChild>
            <w:div w:id="385107768">
              <w:marLeft w:val="0"/>
              <w:marRight w:val="0"/>
              <w:marTop w:val="0"/>
              <w:marBottom w:val="0"/>
              <w:divBdr>
                <w:top w:val="none" w:sz="0" w:space="0" w:color="auto"/>
                <w:left w:val="none" w:sz="0" w:space="0" w:color="auto"/>
                <w:bottom w:val="none" w:sz="0" w:space="0" w:color="auto"/>
                <w:right w:val="none" w:sz="0" w:space="0" w:color="auto"/>
              </w:divBdr>
            </w:div>
            <w:div w:id="553203253">
              <w:marLeft w:val="0"/>
              <w:marRight w:val="0"/>
              <w:marTop w:val="0"/>
              <w:marBottom w:val="0"/>
              <w:divBdr>
                <w:top w:val="none" w:sz="0" w:space="0" w:color="auto"/>
                <w:left w:val="none" w:sz="0" w:space="0" w:color="auto"/>
                <w:bottom w:val="none" w:sz="0" w:space="0" w:color="auto"/>
                <w:right w:val="none" w:sz="0" w:space="0" w:color="auto"/>
              </w:divBdr>
            </w:div>
            <w:div w:id="613293475">
              <w:marLeft w:val="0"/>
              <w:marRight w:val="0"/>
              <w:marTop w:val="0"/>
              <w:marBottom w:val="0"/>
              <w:divBdr>
                <w:top w:val="none" w:sz="0" w:space="0" w:color="auto"/>
                <w:left w:val="none" w:sz="0" w:space="0" w:color="auto"/>
                <w:bottom w:val="none" w:sz="0" w:space="0" w:color="auto"/>
                <w:right w:val="none" w:sz="0" w:space="0" w:color="auto"/>
              </w:divBdr>
            </w:div>
            <w:div w:id="847600392">
              <w:marLeft w:val="0"/>
              <w:marRight w:val="0"/>
              <w:marTop w:val="0"/>
              <w:marBottom w:val="0"/>
              <w:divBdr>
                <w:top w:val="none" w:sz="0" w:space="0" w:color="auto"/>
                <w:left w:val="none" w:sz="0" w:space="0" w:color="auto"/>
                <w:bottom w:val="none" w:sz="0" w:space="0" w:color="auto"/>
                <w:right w:val="none" w:sz="0" w:space="0" w:color="auto"/>
              </w:divBdr>
            </w:div>
          </w:divsChild>
        </w:div>
        <w:div w:id="2060665691">
          <w:marLeft w:val="0"/>
          <w:marRight w:val="0"/>
          <w:marTop w:val="0"/>
          <w:marBottom w:val="0"/>
          <w:divBdr>
            <w:top w:val="none" w:sz="0" w:space="0" w:color="auto"/>
            <w:left w:val="none" w:sz="0" w:space="0" w:color="auto"/>
            <w:bottom w:val="none" w:sz="0" w:space="0" w:color="auto"/>
            <w:right w:val="none" w:sz="0" w:space="0" w:color="auto"/>
          </w:divBdr>
          <w:divsChild>
            <w:div w:id="243614234">
              <w:marLeft w:val="0"/>
              <w:marRight w:val="0"/>
              <w:marTop w:val="0"/>
              <w:marBottom w:val="0"/>
              <w:divBdr>
                <w:top w:val="none" w:sz="0" w:space="0" w:color="auto"/>
                <w:left w:val="none" w:sz="0" w:space="0" w:color="auto"/>
                <w:bottom w:val="none" w:sz="0" w:space="0" w:color="auto"/>
                <w:right w:val="none" w:sz="0" w:space="0" w:color="auto"/>
              </w:divBdr>
            </w:div>
            <w:div w:id="635841753">
              <w:marLeft w:val="0"/>
              <w:marRight w:val="0"/>
              <w:marTop w:val="0"/>
              <w:marBottom w:val="0"/>
              <w:divBdr>
                <w:top w:val="none" w:sz="0" w:space="0" w:color="auto"/>
                <w:left w:val="none" w:sz="0" w:space="0" w:color="auto"/>
                <w:bottom w:val="none" w:sz="0" w:space="0" w:color="auto"/>
                <w:right w:val="none" w:sz="0" w:space="0" w:color="auto"/>
              </w:divBdr>
            </w:div>
            <w:div w:id="1384720673">
              <w:marLeft w:val="0"/>
              <w:marRight w:val="0"/>
              <w:marTop w:val="0"/>
              <w:marBottom w:val="0"/>
              <w:divBdr>
                <w:top w:val="none" w:sz="0" w:space="0" w:color="auto"/>
                <w:left w:val="none" w:sz="0" w:space="0" w:color="auto"/>
                <w:bottom w:val="none" w:sz="0" w:space="0" w:color="auto"/>
                <w:right w:val="none" w:sz="0" w:space="0" w:color="auto"/>
              </w:divBdr>
            </w:div>
            <w:div w:id="2090539431">
              <w:marLeft w:val="0"/>
              <w:marRight w:val="0"/>
              <w:marTop w:val="0"/>
              <w:marBottom w:val="0"/>
              <w:divBdr>
                <w:top w:val="none" w:sz="0" w:space="0" w:color="auto"/>
                <w:left w:val="none" w:sz="0" w:space="0" w:color="auto"/>
                <w:bottom w:val="none" w:sz="0" w:space="0" w:color="auto"/>
                <w:right w:val="none" w:sz="0" w:space="0" w:color="auto"/>
              </w:divBdr>
            </w:div>
          </w:divsChild>
        </w:div>
        <w:div w:id="2069986757">
          <w:marLeft w:val="0"/>
          <w:marRight w:val="0"/>
          <w:marTop w:val="0"/>
          <w:marBottom w:val="0"/>
          <w:divBdr>
            <w:top w:val="none" w:sz="0" w:space="0" w:color="auto"/>
            <w:left w:val="none" w:sz="0" w:space="0" w:color="auto"/>
            <w:bottom w:val="none" w:sz="0" w:space="0" w:color="auto"/>
            <w:right w:val="none" w:sz="0" w:space="0" w:color="auto"/>
          </w:divBdr>
          <w:divsChild>
            <w:div w:id="56321336">
              <w:marLeft w:val="0"/>
              <w:marRight w:val="0"/>
              <w:marTop w:val="0"/>
              <w:marBottom w:val="0"/>
              <w:divBdr>
                <w:top w:val="none" w:sz="0" w:space="0" w:color="auto"/>
                <w:left w:val="none" w:sz="0" w:space="0" w:color="auto"/>
                <w:bottom w:val="none" w:sz="0" w:space="0" w:color="auto"/>
                <w:right w:val="none" w:sz="0" w:space="0" w:color="auto"/>
              </w:divBdr>
            </w:div>
            <w:div w:id="1034118779">
              <w:marLeft w:val="0"/>
              <w:marRight w:val="0"/>
              <w:marTop w:val="0"/>
              <w:marBottom w:val="0"/>
              <w:divBdr>
                <w:top w:val="none" w:sz="0" w:space="0" w:color="auto"/>
                <w:left w:val="none" w:sz="0" w:space="0" w:color="auto"/>
                <w:bottom w:val="none" w:sz="0" w:space="0" w:color="auto"/>
                <w:right w:val="none" w:sz="0" w:space="0" w:color="auto"/>
              </w:divBdr>
            </w:div>
            <w:div w:id="1565603470">
              <w:marLeft w:val="0"/>
              <w:marRight w:val="0"/>
              <w:marTop w:val="0"/>
              <w:marBottom w:val="0"/>
              <w:divBdr>
                <w:top w:val="none" w:sz="0" w:space="0" w:color="auto"/>
                <w:left w:val="none" w:sz="0" w:space="0" w:color="auto"/>
                <w:bottom w:val="none" w:sz="0" w:space="0" w:color="auto"/>
                <w:right w:val="none" w:sz="0" w:space="0" w:color="auto"/>
              </w:divBdr>
            </w:div>
            <w:div w:id="19765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273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452146">
      <w:bodyDiv w:val="1"/>
      <w:marLeft w:val="0"/>
      <w:marRight w:val="0"/>
      <w:marTop w:val="0"/>
      <w:marBottom w:val="0"/>
      <w:divBdr>
        <w:top w:val="none" w:sz="0" w:space="0" w:color="auto"/>
        <w:left w:val="none" w:sz="0" w:space="0" w:color="auto"/>
        <w:bottom w:val="none" w:sz="0" w:space="0" w:color="auto"/>
        <w:right w:val="none" w:sz="0" w:space="0" w:color="auto"/>
      </w:divBdr>
    </w:div>
    <w:div w:id="80447195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38201815">
      <w:bodyDiv w:val="1"/>
      <w:marLeft w:val="0"/>
      <w:marRight w:val="0"/>
      <w:marTop w:val="0"/>
      <w:marBottom w:val="0"/>
      <w:divBdr>
        <w:top w:val="none" w:sz="0" w:space="0" w:color="auto"/>
        <w:left w:val="none" w:sz="0" w:space="0" w:color="auto"/>
        <w:bottom w:val="none" w:sz="0" w:space="0" w:color="auto"/>
        <w:right w:val="none" w:sz="0" w:space="0" w:color="auto"/>
      </w:divBdr>
    </w:div>
    <w:div w:id="12873518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744477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977879">
      <w:bodyDiv w:val="1"/>
      <w:marLeft w:val="0"/>
      <w:marRight w:val="0"/>
      <w:marTop w:val="0"/>
      <w:marBottom w:val="0"/>
      <w:divBdr>
        <w:top w:val="none" w:sz="0" w:space="0" w:color="auto"/>
        <w:left w:val="none" w:sz="0" w:space="0" w:color="auto"/>
        <w:bottom w:val="none" w:sz="0" w:space="0" w:color="auto"/>
        <w:right w:val="none" w:sz="0" w:space="0" w:color="auto"/>
      </w:divBdr>
      <w:divsChild>
        <w:div w:id="35205378">
          <w:marLeft w:val="0"/>
          <w:marRight w:val="0"/>
          <w:marTop w:val="0"/>
          <w:marBottom w:val="0"/>
          <w:divBdr>
            <w:top w:val="none" w:sz="0" w:space="0" w:color="auto"/>
            <w:left w:val="none" w:sz="0" w:space="0" w:color="auto"/>
            <w:bottom w:val="none" w:sz="0" w:space="0" w:color="auto"/>
            <w:right w:val="none" w:sz="0" w:space="0" w:color="auto"/>
          </w:divBdr>
          <w:divsChild>
            <w:div w:id="384567949">
              <w:marLeft w:val="0"/>
              <w:marRight w:val="0"/>
              <w:marTop w:val="0"/>
              <w:marBottom w:val="0"/>
              <w:divBdr>
                <w:top w:val="none" w:sz="0" w:space="0" w:color="auto"/>
                <w:left w:val="none" w:sz="0" w:space="0" w:color="auto"/>
                <w:bottom w:val="none" w:sz="0" w:space="0" w:color="auto"/>
                <w:right w:val="none" w:sz="0" w:space="0" w:color="auto"/>
              </w:divBdr>
            </w:div>
            <w:div w:id="1035086090">
              <w:marLeft w:val="0"/>
              <w:marRight w:val="0"/>
              <w:marTop w:val="0"/>
              <w:marBottom w:val="0"/>
              <w:divBdr>
                <w:top w:val="none" w:sz="0" w:space="0" w:color="auto"/>
                <w:left w:val="none" w:sz="0" w:space="0" w:color="auto"/>
                <w:bottom w:val="none" w:sz="0" w:space="0" w:color="auto"/>
                <w:right w:val="none" w:sz="0" w:space="0" w:color="auto"/>
              </w:divBdr>
            </w:div>
            <w:div w:id="1529564959">
              <w:marLeft w:val="0"/>
              <w:marRight w:val="0"/>
              <w:marTop w:val="0"/>
              <w:marBottom w:val="0"/>
              <w:divBdr>
                <w:top w:val="none" w:sz="0" w:space="0" w:color="auto"/>
                <w:left w:val="none" w:sz="0" w:space="0" w:color="auto"/>
                <w:bottom w:val="none" w:sz="0" w:space="0" w:color="auto"/>
                <w:right w:val="none" w:sz="0" w:space="0" w:color="auto"/>
              </w:divBdr>
            </w:div>
            <w:div w:id="1750804608">
              <w:marLeft w:val="0"/>
              <w:marRight w:val="0"/>
              <w:marTop w:val="0"/>
              <w:marBottom w:val="0"/>
              <w:divBdr>
                <w:top w:val="none" w:sz="0" w:space="0" w:color="auto"/>
                <w:left w:val="none" w:sz="0" w:space="0" w:color="auto"/>
                <w:bottom w:val="none" w:sz="0" w:space="0" w:color="auto"/>
                <w:right w:val="none" w:sz="0" w:space="0" w:color="auto"/>
              </w:divBdr>
            </w:div>
            <w:div w:id="1961839435">
              <w:marLeft w:val="0"/>
              <w:marRight w:val="0"/>
              <w:marTop w:val="0"/>
              <w:marBottom w:val="0"/>
              <w:divBdr>
                <w:top w:val="none" w:sz="0" w:space="0" w:color="auto"/>
                <w:left w:val="none" w:sz="0" w:space="0" w:color="auto"/>
                <w:bottom w:val="none" w:sz="0" w:space="0" w:color="auto"/>
                <w:right w:val="none" w:sz="0" w:space="0" w:color="auto"/>
              </w:divBdr>
            </w:div>
          </w:divsChild>
        </w:div>
        <w:div w:id="191767813">
          <w:marLeft w:val="0"/>
          <w:marRight w:val="0"/>
          <w:marTop w:val="0"/>
          <w:marBottom w:val="0"/>
          <w:divBdr>
            <w:top w:val="none" w:sz="0" w:space="0" w:color="auto"/>
            <w:left w:val="none" w:sz="0" w:space="0" w:color="auto"/>
            <w:bottom w:val="none" w:sz="0" w:space="0" w:color="auto"/>
            <w:right w:val="none" w:sz="0" w:space="0" w:color="auto"/>
          </w:divBdr>
          <w:divsChild>
            <w:div w:id="704057809">
              <w:marLeft w:val="0"/>
              <w:marRight w:val="0"/>
              <w:marTop w:val="0"/>
              <w:marBottom w:val="0"/>
              <w:divBdr>
                <w:top w:val="none" w:sz="0" w:space="0" w:color="auto"/>
                <w:left w:val="none" w:sz="0" w:space="0" w:color="auto"/>
                <w:bottom w:val="none" w:sz="0" w:space="0" w:color="auto"/>
                <w:right w:val="none" w:sz="0" w:space="0" w:color="auto"/>
              </w:divBdr>
            </w:div>
            <w:div w:id="704528018">
              <w:marLeft w:val="0"/>
              <w:marRight w:val="0"/>
              <w:marTop w:val="0"/>
              <w:marBottom w:val="0"/>
              <w:divBdr>
                <w:top w:val="none" w:sz="0" w:space="0" w:color="auto"/>
                <w:left w:val="none" w:sz="0" w:space="0" w:color="auto"/>
                <w:bottom w:val="none" w:sz="0" w:space="0" w:color="auto"/>
                <w:right w:val="none" w:sz="0" w:space="0" w:color="auto"/>
              </w:divBdr>
            </w:div>
            <w:div w:id="981080273">
              <w:marLeft w:val="0"/>
              <w:marRight w:val="0"/>
              <w:marTop w:val="0"/>
              <w:marBottom w:val="0"/>
              <w:divBdr>
                <w:top w:val="none" w:sz="0" w:space="0" w:color="auto"/>
                <w:left w:val="none" w:sz="0" w:space="0" w:color="auto"/>
                <w:bottom w:val="none" w:sz="0" w:space="0" w:color="auto"/>
                <w:right w:val="none" w:sz="0" w:space="0" w:color="auto"/>
              </w:divBdr>
            </w:div>
            <w:div w:id="1953046221">
              <w:marLeft w:val="0"/>
              <w:marRight w:val="0"/>
              <w:marTop w:val="0"/>
              <w:marBottom w:val="0"/>
              <w:divBdr>
                <w:top w:val="none" w:sz="0" w:space="0" w:color="auto"/>
                <w:left w:val="none" w:sz="0" w:space="0" w:color="auto"/>
                <w:bottom w:val="none" w:sz="0" w:space="0" w:color="auto"/>
                <w:right w:val="none" w:sz="0" w:space="0" w:color="auto"/>
              </w:divBdr>
            </w:div>
          </w:divsChild>
        </w:div>
        <w:div w:id="218590651">
          <w:marLeft w:val="0"/>
          <w:marRight w:val="0"/>
          <w:marTop w:val="0"/>
          <w:marBottom w:val="0"/>
          <w:divBdr>
            <w:top w:val="none" w:sz="0" w:space="0" w:color="auto"/>
            <w:left w:val="none" w:sz="0" w:space="0" w:color="auto"/>
            <w:bottom w:val="none" w:sz="0" w:space="0" w:color="auto"/>
            <w:right w:val="none" w:sz="0" w:space="0" w:color="auto"/>
          </w:divBdr>
        </w:div>
        <w:div w:id="256402248">
          <w:marLeft w:val="0"/>
          <w:marRight w:val="0"/>
          <w:marTop w:val="0"/>
          <w:marBottom w:val="0"/>
          <w:divBdr>
            <w:top w:val="none" w:sz="0" w:space="0" w:color="auto"/>
            <w:left w:val="none" w:sz="0" w:space="0" w:color="auto"/>
            <w:bottom w:val="none" w:sz="0" w:space="0" w:color="auto"/>
            <w:right w:val="none" w:sz="0" w:space="0" w:color="auto"/>
          </w:divBdr>
        </w:div>
        <w:div w:id="265356321">
          <w:marLeft w:val="0"/>
          <w:marRight w:val="0"/>
          <w:marTop w:val="0"/>
          <w:marBottom w:val="0"/>
          <w:divBdr>
            <w:top w:val="none" w:sz="0" w:space="0" w:color="auto"/>
            <w:left w:val="none" w:sz="0" w:space="0" w:color="auto"/>
            <w:bottom w:val="none" w:sz="0" w:space="0" w:color="auto"/>
            <w:right w:val="none" w:sz="0" w:space="0" w:color="auto"/>
          </w:divBdr>
          <w:divsChild>
            <w:div w:id="219291133">
              <w:marLeft w:val="0"/>
              <w:marRight w:val="0"/>
              <w:marTop w:val="0"/>
              <w:marBottom w:val="0"/>
              <w:divBdr>
                <w:top w:val="none" w:sz="0" w:space="0" w:color="auto"/>
                <w:left w:val="none" w:sz="0" w:space="0" w:color="auto"/>
                <w:bottom w:val="none" w:sz="0" w:space="0" w:color="auto"/>
                <w:right w:val="none" w:sz="0" w:space="0" w:color="auto"/>
              </w:divBdr>
            </w:div>
            <w:div w:id="344132861">
              <w:marLeft w:val="0"/>
              <w:marRight w:val="0"/>
              <w:marTop w:val="0"/>
              <w:marBottom w:val="0"/>
              <w:divBdr>
                <w:top w:val="none" w:sz="0" w:space="0" w:color="auto"/>
                <w:left w:val="none" w:sz="0" w:space="0" w:color="auto"/>
                <w:bottom w:val="none" w:sz="0" w:space="0" w:color="auto"/>
                <w:right w:val="none" w:sz="0" w:space="0" w:color="auto"/>
              </w:divBdr>
            </w:div>
            <w:div w:id="1257984774">
              <w:marLeft w:val="0"/>
              <w:marRight w:val="0"/>
              <w:marTop w:val="0"/>
              <w:marBottom w:val="0"/>
              <w:divBdr>
                <w:top w:val="none" w:sz="0" w:space="0" w:color="auto"/>
                <w:left w:val="none" w:sz="0" w:space="0" w:color="auto"/>
                <w:bottom w:val="none" w:sz="0" w:space="0" w:color="auto"/>
                <w:right w:val="none" w:sz="0" w:space="0" w:color="auto"/>
              </w:divBdr>
            </w:div>
          </w:divsChild>
        </w:div>
        <w:div w:id="381028136">
          <w:marLeft w:val="0"/>
          <w:marRight w:val="0"/>
          <w:marTop w:val="0"/>
          <w:marBottom w:val="0"/>
          <w:divBdr>
            <w:top w:val="none" w:sz="0" w:space="0" w:color="auto"/>
            <w:left w:val="none" w:sz="0" w:space="0" w:color="auto"/>
            <w:bottom w:val="none" w:sz="0" w:space="0" w:color="auto"/>
            <w:right w:val="none" w:sz="0" w:space="0" w:color="auto"/>
          </w:divBdr>
        </w:div>
        <w:div w:id="699018325">
          <w:marLeft w:val="0"/>
          <w:marRight w:val="0"/>
          <w:marTop w:val="0"/>
          <w:marBottom w:val="0"/>
          <w:divBdr>
            <w:top w:val="none" w:sz="0" w:space="0" w:color="auto"/>
            <w:left w:val="none" w:sz="0" w:space="0" w:color="auto"/>
            <w:bottom w:val="none" w:sz="0" w:space="0" w:color="auto"/>
            <w:right w:val="none" w:sz="0" w:space="0" w:color="auto"/>
          </w:divBdr>
          <w:divsChild>
            <w:div w:id="75324696">
              <w:marLeft w:val="0"/>
              <w:marRight w:val="0"/>
              <w:marTop w:val="0"/>
              <w:marBottom w:val="0"/>
              <w:divBdr>
                <w:top w:val="none" w:sz="0" w:space="0" w:color="auto"/>
                <w:left w:val="none" w:sz="0" w:space="0" w:color="auto"/>
                <w:bottom w:val="none" w:sz="0" w:space="0" w:color="auto"/>
                <w:right w:val="none" w:sz="0" w:space="0" w:color="auto"/>
              </w:divBdr>
            </w:div>
            <w:div w:id="340593858">
              <w:marLeft w:val="0"/>
              <w:marRight w:val="0"/>
              <w:marTop w:val="0"/>
              <w:marBottom w:val="0"/>
              <w:divBdr>
                <w:top w:val="none" w:sz="0" w:space="0" w:color="auto"/>
                <w:left w:val="none" w:sz="0" w:space="0" w:color="auto"/>
                <w:bottom w:val="none" w:sz="0" w:space="0" w:color="auto"/>
                <w:right w:val="none" w:sz="0" w:space="0" w:color="auto"/>
              </w:divBdr>
            </w:div>
            <w:div w:id="649865073">
              <w:marLeft w:val="0"/>
              <w:marRight w:val="0"/>
              <w:marTop w:val="0"/>
              <w:marBottom w:val="0"/>
              <w:divBdr>
                <w:top w:val="none" w:sz="0" w:space="0" w:color="auto"/>
                <w:left w:val="none" w:sz="0" w:space="0" w:color="auto"/>
                <w:bottom w:val="none" w:sz="0" w:space="0" w:color="auto"/>
                <w:right w:val="none" w:sz="0" w:space="0" w:color="auto"/>
              </w:divBdr>
            </w:div>
            <w:div w:id="933902734">
              <w:marLeft w:val="0"/>
              <w:marRight w:val="0"/>
              <w:marTop w:val="0"/>
              <w:marBottom w:val="0"/>
              <w:divBdr>
                <w:top w:val="none" w:sz="0" w:space="0" w:color="auto"/>
                <w:left w:val="none" w:sz="0" w:space="0" w:color="auto"/>
                <w:bottom w:val="none" w:sz="0" w:space="0" w:color="auto"/>
                <w:right w:val="none" w:sz="0" w:space="0" w:color="auto"/>
              </w:divBdr>
            </w:div>
          </w:divsChild>
        </w:div>
        <w:div w:id="868570828">
          <w:marLeft w:val="0"/>
          <w:marRight w:val="0"/>
          <w:marTop w:val="0"/>
          <w:marBottom w:val="0"/>
          <w:divBdr>
            <w:top w:val="none" w:sz="0" w:space="0" w:color="auto"/>
            <w:left w:val="none" w:sz="0" w:space="0" w:color="auto"/>
            <w:bottom w:val="none" w:sz="0" w:space="0" w:color="auto"/>
            <w:right w:val="none" w:sz="0" w:space="0" w:color="auto"/>
          </w:divBdr>
        </w:div>
        <w:div w:id="1201550776">
          <w:marLeft w:val="0"/>
          <w:marRight w:val="0"/>
          <w:marTop w:val="0"/>
          <w:marBottom w:val="0"/>
          <w:divBdr>
            <w:top w:val="none" w:sz="0" w:space="0" w:color="auto"/>
            <w:left w:val="none" w:sz="0" w:space="0" w:color="auto"/>
            <w:bottom w:val="none" w:sz="0" w:space="0" w:color="auto"/>
            <w:right w:val="none" w:sz="0" w:space="0" w:color="auto"/>
          </w:divBdr>
        </w:div>
        <w:div w:id="1253778201">
          <w:marLeft w:val="0"/>
          <w:marRight w:val="0"/>
          <w:marTop w:val="0"/>
          <w:marBottom w:val="0"/>
          <w:divBdr>
            <w:top w:val="none" w:sz="0" w:space="0" w:color="auto"/>
            <w:left w:val="none" w:sz="0" w:space="0" w:color="auto"/>
            <w:bottom w:val="none" w:sz="0" w:space="0" w:color="auto"/>
            <w:right w:val="none" w:sz="0" w:space="0" w:color="auto"/>
          </w:divBdr>
        </w:div>
        <w:div w:id="1264457568">
          <w:marLeft w:val="0"/>
          <w:marRight w:val="0"/>
          <w:marTop w:val="0"/>
          <w:marBottom w:val="0"/>
          <w:divBdr>
            <w:top w:val="none" w:sz="0" w:space="0" w:color="auto"/>
            <w:left w:val="none" w:sz="0" w:space="0" w:color="auto"/>
            <w:bottom w:val="none" w:sz="0" w:space="0" w:color="auto"/>
            <w:right w:val="none" w:sz="0" w:space="0" w:color="auto"/>
          </w:divBdr>
        </w:div>
        <w:div w:id="1455446875">
          <w:marLeft w:val="0"/>
          <w:marRight w:val="0"/>
          <w:marTop w:val="0"/>
          <w:marBottom w:val="0"/>
          <w:divBdr>
            <w:top w:val="none" w:sz="0" w:space="0" w:color="auto"/>
            <w:left w:val="none" w:sz="0" w:space="0" w:color="auto"/>
            <w:bottom w:val="none" w:sz="0" w:space="0" w:color="auto"/>
            <w:right w:val="none" w:sz="0" w:space="0" w:color="auto"/>
          </w:divBdr>
        </w:div>
        <w:div w:id="1457722222">
          <w:marLeft w:val="0"/>
          <w:marRight w:val="0"/>
          <w:marTop w:val="0"/>
          <w:marBottom w:val="0"/>
          <w:divBdr>
            <w:top w:val="none" w:sz="0" w:space="0" w:color="auto"/>
            <w:left w:val="none" w:sz="0" w:space="0" w:color="auto"/>
            <w:bottom w:val="none" w:sz="0" w:space="0" w:color="auto"/>
            <w:right w:val="none" w:sz="0" w:space="0" w:color="auto"/>
          </w:divBdr>
        </w:div>
        <w:div w:id="1466004698">
          <w:marLeft w:val="0"/>
          <w:marRight w:val="0"/>
          <w:marTop w:val="0"/>
          <w:marBottom w:val="0"/>
          <w:divBdr>
            <w:top w:val="none" w:sz="0" w:space="0" w:color="auto"/>
            <w:left w:val="none" w:sz="0" w:space="0" w:color="auto"/>
            <w:bottom w:val="none" w:sz="0" w:space="0" w:color="auto"/>
            <w:right w:val="none" w:sz="0" w:space="0" w:color="auto"/>
          </w:divBdr>
        </w:div>
        <w:div w:id="1573470811">
          <w:marLeft w:val="0"/>
          <w:marRight w:val="0"/>
          <w:marTop w:val="0"/>
          <w:marBottom w:val="0"/>
          <w:divBdr>
            <w:top w:val="none" w:sz="0" w:space="0" w:color="auto"/>
            <w:left w:val="none" w:sz="0" w:space="0" w:color="auto"/>
            <w:bottom w:val="none" w:sz="0" w:space="0" w:color="auto"/>
            <w:right w:val="none" w:sz="0" w:space="0" w:color="auto"/>
          </w:divBdr>
        </w:div>
        <w:div w:id="1707289570">
          <w:marLeft w:val="0"/>
          <w:marRight w:val="0"/>
          <w:marTop w:val="0"/>
          <w:marBottom w:val="0"/>
          <w:divBdr>
            <w:top w:val="none" w:sz="0" w:space="0" w:color="auto"/>
            <w:left w:val="none" w:sz="0" w:space="0" w:color="auto"/>
            <w:bottom w:val="none" w:sz="0" w:space="0" w:color="auto"/>
            <w:right w:val="none" w:sz="0" w:space="0" w:color="auto"/>
          </w:divBdr>
        </w:div>
        <w:div w:id="1826169020">
          <w:marLeft w:val="0"/>
          <w:marRight w:val="0"/>
          <w:marTop w:val="0"/>
          <w:marBottom w:val="0"/>
          <w:divBdr>
            <w:top w:val="none" w:sz="0" w:space="0" w:color="auto"/>
            <w:left w:val="none" w:sz="0" w:space="0" w:color="auto"/>
            <w:bottom w:val="none" w:sz="0" w:space="0" w:color="auto"/>
            <w:right w:val="none" w:sz="0" w:space="0" w:color="auto"/>
          </w:divBdr>
        </w:div>
        <w:div w:id="1925609200">
          <w:marLeft w:val="0"/>
          <w:marRight w:val="0"/>
          <w:marTop w:val="0"/>
          <w:marBottom w:val="0"/>
          <w:divBdr>
            <w:top w:val="none" w:sz="0" w:space="0" w:color="auto"/>
            <w:left w:val="none" w:sz="0" w:space="0" w:color="auto"/>
            <w:bottom w:val="none" w:sz="0" w:space="0" w:color="auto"/>
            <w:right w:val="none" w:sz="0" w:space="0" w:color="auto"/>
          </w:divBdr>
        </w:div>
        <w:div w:id="1940915653">
          <w:marLeft w:val="0"/>
          <w:marRight w:val="0"/>
          <w:marTop w:val="0"/>
          <w:marBottom w:val="0"/>
          <w:divBdr>
            <w:top w:val="none" w:sz="0" w:space="0" w:color="auto"/>
            <w:left w:val="none" w:sz="0" w:space="0" w:color="auto"/>
            <w:bottom w:val="none" w:sz="0" w:space="0" w:color="auto"/>
            <w:right w:val="none" w:sz="0" w:space="0" w:color="auto"/>
          </w:divBdr>
          <w:divsChild>
            <w:div w:id="508449207">
              <w:marLeft w:val="0"/>
              <w:marRight w:val="0"/>
              <w:marTop w:val="0"/>
              <w:marBottom w:val="0"/>
              <w:divBdr>
                <w:top w:val="none" w:sz="0" w:space="0" w:color="auto"/>
                <w:left w:val="none" w:sz="0" w:space="0" w:color="auto"/>
                <w:bottom w:val="none" w:sz="0" w:space="0" w:color="auto"/>
                <w:right w:val="none" w:sz="0" w:space="0" w:color="auto"/>
              </w:divBdr>
            </w:div>
            <w:div w:id="1771392013">
              <w:marLeft w:val="0"/>
              <w:marRight w:val="0"/>
              <w:marTop w:val="0"/>
              <w:marBottom w:val="0"/>
              <w:divBdr>
                <w:top w:val="none" w:sz="0" w:space="0" w:color="auto"/>
                <w:left w:val="none" w:sz="0" w:space="0" w:color="auto"/>
                <w:bottom w:val="none" w:sz="0" w:space="0" w:color="auto"/>
                <w:right w:val="none" w:sz="0" w:space="0" w:color="auto"/>
              </w:divBdr>
            </w:div>
            <w:div w:id="1812940601">
              <w:marLeft w:val="0"/>
              <w:marRight w:val="0"/>
              <w:marTop w:val="0"/>
              <w:marBottom w:val="0"/>
              <w:divBdr>
                <w:top w:val="none" w:sz="0" w:space="0" w:color="auto"/>
                <w:left w:val="none" w:sz="0" w:space="0" w:color="auto"/>
                <w:bottom w:val="none" w:sz="0" w:space="0" w:color="auto"/>
                <w:right w:val="none" w:sz="0" w:space="0" w:color="auto"/>
              </w:divBdr>
            </w:div>
          </w:divsChild>
        </w:div>
        <w:div w:id="1982808477">
          <w:marLeft w:val="0"/>
          <w:marRight w:val="0"/>
          <w:marTop w:val="0"/>
          <w:marBottom w:val="0"/>
          <w:divBdr>
            <w:top w:val="none" w:sz="0" w:space="0" w:color="auto"/>
            <w:left w:val="none" w:sz="0" w:space="0" w:color="auto"/>
            <w:bottom w:val="none" w:sz="0" w:space="0" w:color="auto"/>
            <w:right w:val="none" w:sz="0" w:space="0" w:color="auto"/>
          </w:divBdr>
        </w:div>
        <w:div w:id="2077438729">
          <w:marLeft w:val="0"/>
          <w:marRight w:val="0"/>
          <w:marTop w:val="0"/>
          <w:marBottom w:val="0"/>
          <w:divBdr>
            <w:top w:val="none" w:sz="0" w:space="0" w:color="auto"/>
            <w:left w:val="none" w:sz="0" w:space="0" w:color="auto"/>
            <w:bottom w:val="none" w:sz="0" w:space="0" w:color="auto"/>
            <w:right w:val="none" w:sz="0" w:space="0" w:color="auto"/>
          </w:divBdr>
          <w:divsChild>
            <w:div w:id="818616972">
              <w:marLeft w:val="0"/>
              <w:marRight w:val="0"/>
              <w:marTop w:val="0"/>
              <w:marBottom w:val="0"/>
              <w:divBdr>
                <w:top w:val="none" w:sz="0" w:space="0" w:color="auto"/>
                <w:left w:val="none" w:sz="0" w:space="0" w:color="auto"/>
                <w:bottom w:val="none" w:sz="0" w:space="0" w:color="auto"/>
                <w:right w:val="none" w:sz="0" w:space="0" w:color="auto"/>
              </w:divBdr>
            </w:div>
            <w:div w:id="1380125326">
              <w:marLeft w:val="0"/>
              <w:marRight w:val="0"/>
              <w:marTop w:val="0"/>
              <w:marBottom w:val="0"/>
              <w:divBdr>
                <w:top w:val="none" w:sz="0" w:space="0" w:color="auto"/>
                <w:left w:val="none" w:sz="0" w:space="0" w:color="auto"/>
                <w:bottom w:val="none" w:sz="0" w:space="0" w:color="auto"/>
                <w:right w:val="none" w:sz="0" w:space="0" w:color="auto"/>
              </w:divBdr>
            </w:div>
            <w:div w:id="1669944274">
              <w:marLeft w:val="0"/>
              <w:marRight w:val="0"/>
              <w:marTop w:val="0"/>
              <w:marBottom w:val="0"/>
              <w:divBdr>
                <w:top w:val="none" w:sz="0" w:space="0" w:color="auto"/>
                <w:left w:val="none" w:sz="0" w:space="0" w:color="auto"/>
                <w:bottom w:val="none" w:sz="0" w:space="0" w:color="auto"/>
                <w:right w:val="none" w:sz="0" w:space="0" w:color="auto"/>
              </w:divBdr>
            </w:div>
            <w:div w:id="18798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4271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vic.gov.au/covid-19/infection-prevention-control-resources-covid-19" TargetMode="External"/><Relationship Id="rId21" Type="http://schemas.openxmlformats.org/officeDocument/2006/relationships/hyperlink" Target="https://www.health.vic.gov.au/immunisation/vaccination-for-healthcare-workers" TargetMode="External"/><Relationship Id="rId42" Type="http://schemas.openxmlformats.org/officeDocument/2006/relationships/hyperlink" Target="https://www.health.gov.au/resources/collections/coronavirus-covid-19-easy-read-resources" TargetMode="External"/><Relationship Id="rId47" Type="http://schemas.openxmlformats.org/officeDocument/2006/relationships/hyperlink" Target="https://www.epa.vic.gov.au/for-business/find-a-topic/manage-clinical-and-related-waste" TargetMode="External"/><Relationship Id="rId63" Type="http://schemas.openxmlformats.org/officeDocument/2006/relationships/hyperlink" Target="https://www.health.gov.au/sites/default/files/2023-04/first-24-hours-managing-covid-19-in-a-residential-aged-care-facility.pdf" TargetMode="External"/><Relationship Id="rId68" Type="http://schemas.openxmlformats.org/officeDocument/2006/relationships/hyperlink" Target="https://www.cota.org.au/policy/aged-care-reform/agedcarevisitors/" TargetMode="External"/><Relationship Id="rId84" Type="http://schemas.openxmlformats.org/officeDocument/2006/relationships/hyperlink" Target="https://www.health.gov.au/resources/publications/control-and-public-health-management-of-outbreaks-of-acute-respiratory-infection-including-covid-19-and-influenza-in-disability-residential-services" TargetMode="External"/><Relationship Id="rId89" Type="http://schemas.openxmlformats.org/officeDocument/2006/relationships/hyperlink" Target="https://www.health.gov.au/topics/aged-care/managing-covid-19/for-older-people-and-carers/for-people-in-residential-aged-care-homes-and-visitors" TargetMode="External"/><Relationship Id="rId112" Type="http://schemas.openxmlformats.org/officeDocument/2006/relationships/hyperlink" Target="mailto:wphu@wh.org.au" TargetMode="External"/><Relationship Id="rId16" Type="http://schemas.openxmlformats.org/officeDocument/2006/relationships/hyperlink" Target="https://www.health.vic.gov.au/infectious-diseases/acute-respiratory-infection-management-rcf" TargetMode="External"/><Relationship Id="rId107" Type="http://schemas.openxmlformats.org/officeDocument/2006/relationships/hyperlink" Target="mailto:nephu@austin.org.au" TargetMode="External"/><Relationship Id="rId11" Type="http://schemas.openxmlformats.org/officeDocument/2006/relationships/image" Target="media/image1.jpg"/><Relationship Id="rId24" Type="http://schemas.openxmlformats.org/officeDocument/2006/relationships/hyperlink" Target="https://www.health.vic.gov.au/covid-19-infection-prevention-control-guidelines/personal-protective-equipment-ppe" TargetMode="External"/><Relationship Id="rId32" Type="http://schemas.openxmlformats.org/officeDocument/2006/relationships/hyperlink" Target="https://www.health.vic.gov.au/infectious-diseases/respiratory-illness-management-in-aged-care-facilities" TargetMode="External"/><Relationship Id="rId37" Type="http://schemas.openxmlformats.org/officeDocument/2006/relationships/hyperlink" Target="https://www.health.gov.au/resources/publications/coronavirus-covid-19-national-aged-care-guidance-aged-care-visitation-guidelines" TargetMode="External"/><Relationship Id="rId40" Type="http://schemas.openxmlformats.org/officeDocument/2006/relationships/hyperlink" Target="https://www.health.gov.au/resources/publications/control-and-public-health-management-of-outbreaks-of-acute-respiratory-infection-including-covid-19-and-influenza-in-disability-residential-services" TargetMode="External"/><Relationship Id="rId45" Type="http://schemas.openxmlformats.org/officeDocument/2006/relationships/hyperlink" Target="https://www.health.gov.au/topics/aged-care/managing-covid-19/government-support" TargetMode="External"/><Relationship Id="rId53" Type="http://schemas.openxmlformats.org/officeDocument/2006/relationships/header" Target="header2.xml"/><Relationship Id="rId58" Type="http://schemas.openxmlformats.org/officeDocument/2006/relationships/hyperlink" Target="https://www.health.vic.gov.au/quality-safety-service/rural-infection-control-centres" TargetMode="External"/><Relationship Id="rId66"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74" Type="http://schemas.openxmlformats.org/officeDocument/2006/relationships/hyperlink" Target="https://www.epa.vic.gov.au/about-epa/news-media-and-updates/coronavirus/managing-coronavirus-waste-from-a-workplace" TargetMode="External"/><Relationship Id="rId79" Type="http://schemas.openxmlformats.org/officeDocument/2006/relationships/hyperlink" Target="https://www.health.vic.gov.au/covid-19-infection-prevention-control-guidelines/ventilation" TargetMode="External"/><Relationship Id="rId87" Type="http://schemas.openxmlformats.org/officeDocument/2006/relationships/hyperlink" Target="https://www.health.gov.au/topics/aged-care/managing-covid-19/prevent-and-prepare-in-residential-aged-care/managing-a-covid-19-outbreak" TargetMode="External"/><Relationship Id="rId102" Type="http://schemas.openxmlformats.org/officeDocument/2006/relationships/hyperlink" Target="mailto:phu@gvhealth.org.au" TargetMode="External"/><Relationship Id="rId110" Type="http://schemas.openxmlformats.org/officeDocument/2006/relationships/hyperlink" Target="mailto:sephu.trace@monashhealth.org" TargetMode="External"/><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eader" Target="header3.xml"/><Relationship Id="rId82" Type="http://schemas.openxmlformats.org/officeDocument/2006/relationships/hyperlink" Target="https://www.betterhealth.vic.gov.au/coronavirus-covid-19-victoria" TargetMode="External"/><Relationship Id="rId90" Type="http://schemas.openxmlformats.org/officeDocument/2006/relationships/hyperlink" Target="https://www.health.gov.au/topics/covid-19/health-sector/disability" TargetMode="External"/><Relationship Id="rId95" Type="http://schemas.openxmlformats.org/officeDocument/2006/relationships/hyperlink" Target="https://cota.org.au/policy/aged-care-reform/agedcarevisitors/" TargetMode="External"/><Relationship Id="rId19" Type="http://schemas.openxmlformats.org/officeDocument/2006/relationships/hyperlink" Target="https://www.nhmrc.gov.au/about-us/publications/australian-guidelines-prevention-and-control-infection-healthcare-2019" TargetMode="External"/><Relationship Id="rId14" Type="http://schemas.openxmlformats.org/officeDocument/2006/relationships/footer" Target="footer3.xml"/><Relationship Id="rId22" Type="http://schemas.openxmlformats.org/officeDocument/2006/relationships/hyperlink" Target="https://www.health.gov.au/our-work/covid-19-vaccines/information-for-aged-care-providers-workers-and-residents-about-covid-19-vaccines/residential-aged-care-workers" TargetMode="External"/><Relationship Id="rId27" Type="http://schemas.openxmlformats.org/officeDocument/2006/relationships/hyperlink" Target="https://www.health.gov.au/resources/collections/iceg-endorsed-resources-for-infection-prevention-and-control" TargetMode="External"/><Relationship Id="rId30" Type="http://schemas.openxmlformats.org/officeDocument/2006/relationships/hyperlink" Target="https://clinicalevidence.net.au/covid-19/" TargetMode="External"/><Relationship Id="rId35" Type="http://schemas.openxmlformats.org/officeDocument/2006/relationships/hyperlink" Target="https://www.agedcarequality.gov.au/providers/standards" TargetMode="External"/><Relationship Id="rId43" Type="http://schemas.openxmlformats.org/officeDocument/2006/relationships/hyperlink" Target="https://www.betterhealth.vic.gov.au/covid-19/covid-19-information-people-disability" TargetMode="External"/><Relationship Id="rId48" Type="http://schemas.openxmlformats.org/officeDocument/2006/relationships/hyperlink" Target="https://www.health.vic.gov.au/covid-19-infection-prevention-control-guidelines/personal-protective-equipment-ppe" TargetMode="External"/><Relationship Id="rId56" Type="http://schemas.openxmlformats.org/officeDocument/2006/relationships/footer" Target="footer6.xml"/><Relationship Id="rId64" Type="http://schemas.openxmlformats.org/officeDocument/2006/relationships/hyperlink" Target="https://www.health.vic.gov.au/covid-19-infection-prevention-control-guidelines/personal-protective-equipment-ppe" TargetMode="External"/><Relationship Id="rId69"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77" Type="http://schemas.openxmlformats.org/officeDocument/2006/relationships/hyperlink" Target="https://www.health.gov.au/resources/publications/coronavirus-covid-19-cdna-national-guidelines-for-public-health-units?language=en" TargetMode="External"/><Relationship Id="rId100" Type="http://schemas.openxmlformats.org/officeDocument/2006/relationships/hyperlink" Target="mailto:phu@lrh.com.au" TargetMode="External"/><Relationship Id="rId105" Type="http://schemas.openxmlformats.org/officeDocument/2006/relationships/hyperlink" Target="mailto:PHU@bendigohealth.org.au" TargetMode="External"/><Relationship Id="rId113" Type="http://schemas.openxmlformats.org/officeDocument/2006/relationships/hyperlink" Target="mailto:wphu@wh.org.au" TargetMode="External"/><Relationship Id="rId8" Type="http://schemas.openxmlformats.org/officeDocument/2006/relationships/webSettings" Target="webSettings.xml"/><Relationship Id="rId51" Type="http://schemas.openxmlformats.org/officeDocument/2006/relationships/hyperlink" Target="https://www.health.vic.gov.au/local-public-health-units" TargetMode="External"/><Relationship Id="rId72" Type="http://schemas.openxmlformats.org/officeDocument/2006/relationships/hyperlink" Target="https://www.health.vic.gov.au/covid-19-infection-prevention-control-guidelines/standard-and-transmission-based-precautions" TargetMode="External"/><Relationship Id="rId80" Type="http://schemas.openxmlformats.org/officeDocument/2006/relationships/hyperlink" Target="https://www.health.vic.gov.au/covid-19-infection-prevention-control-guidelines/personal-protective-equipment-ppe" TargetMode="External"/><Relationship Id="rId85" Type="http://schemas.openxmlformats.org/officeDocument/2006/relationships/hyperlink" Target="https://www.health.gov.au/topics/aged-care/managing-covid-19/government-support" TargetMode="External"/><Relationship Id="rId93" Type="http://schemas.openxmlformats.org/officeDocument/2006/relationships/hyperlink" Target="https://www.agedcarequality.gov.au/resource-library/ensuring-safe-visitor-access-residential-aged-care" TargetMode="External"/><Relationship Id="rId98" Type="http://schemas.openxmlformats.org/officeDocument/2006/relationships/hyperlink" Target="mailto:phu@barwonhealth.org.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health.vic.gov.au/infectious-diseases/acute-respiratory-infection-management-rcf" TargetMode="External"/><Relationship Id="rId25" Type="http://schemas.openxmlformats.org/officeDocument/2006/relationships/hyperlink" Target="https://www.health.vic.gov.au/ppe-specific-recommendations-covid-1,%20%3chttps://www.health.vic.gov.au/covid-19-infection-prevention-control-guidelines/personal-protective-equipment-ppe" TargetMode="External"/><Relationship Id="rId33" Type="http://schemas.openxmlformats.org/officeDocument/2006/relationships/hyperlink" Target="https://www.health.vic.gov.au/covid-19/infection-prevention-control-resources-covid-19" TargetMode="External"/><Relationship Id="rId38" Type="http://schemas.openxmlformats.org/officeDocument/2006/relationships/hyperlink" Target="https://dhhsvicgovau.sharepoint.com/sites/TargetedOutbreakManagement-GRP/Shared%20Documents/Aged%20Care%20and%20High%20Risk%20Settings/04%20Procedures%20&amp;%20Guidelines/Templates/Read%20the%20code" TargetMode="External"/><Relationship Id="rId46" Type="http://schemas.openxmlformats.org/officeDocument/2006/relationships/hyperlink" Target="https://www.epa.vic.gov.au/about-epa/news-media-and-updates/coronavirus/managing-coronavirus-waste-from-a-workplace" TargetMode="External"/><Relationship Id="rId59" Type="http://schemas.openxmlformats.org/officeDocument/2006/relationships/hyperlink" Target="https://www.betterhealth.vic.gov.au/health/servicesandsupport/residential-in-reach-services" TargetMode="External"/><Relationship Id="rId67" Type="http://schemas.openxmlformats.org/officeDocument/2006/relationships/hyperlink" Target="https://www.health.gov.au/resources/publications/coronavirus-covid-19-national-aged-care-guidance-aged-care-visitation-guidelines" TargetMode="External"/><Relationship Id="rId103" Type="http://schemas.openxmlformats.org/officeDocument/2006/relationships/hyperlink" Target="mailto:phu@bhs.org.au" TargetMode="External"/><Relationship Id="rId108" Type="http://schemas.openxmlformats.org/officeDocument/2006/relationships/hyperlink" Target="mailto:nephu@austin.org.au" TargetMode="External"/><Relationship Id="rId20" Type="http://schemas.openxmlformats.org/officeDocument/2006/relationships/hyperlink" Target="https://www.health.gov.au/our-work/covid-19-vaccines/advice-for-providers/clinical-guidance" TargetMode="External"/><Relationship Id="rId41" Type="http://schemas.openxmlformats.org/officeDocument/2006/relationships/hyperlink" Target="https://www.coronavirus.vic.gov.au/information-people-disability-coronavirus-disease-covid-19" TargetMode="External"/><Relationship Id="rId54" Type="http://schemas.openxmlformats.org/officeDocument/2006/relationships/footer" Target="footer4.xml"/><Relationship Id="rId62" Type="http://schemas.openxmlformats.org/officeDocument/2006/relationships/hyperlink" Target="https://www.health.vic.gov.au/infectious-diseases/acute-respiratory-infection-management-rcf" TargetMode="External"/><Relationship Id="rId70" Type="http://schemas.openxmlformats.org/officeDocument/2006/relationships/hyperlink" Target="https://www.health.gov.au/resources/publications/coronavirus-covid-19-environmental-cleaning-and-disinfection-principles-for-health-and-residential-care-facilities" TargetMode="External"/><Relationship Id="rId75" Type="http://schemas.openxmlformats.org/officeDocument/2006/relationships/hyperlink" Target="https://bmcpublichealth.biomedcentral.com/articles/10.1186/1471-2458-9-472" TargetMode="External"/><Relationship Id="rId83" Type="http://schemas.openxmlformats.org/officeDocument/2006/relationships/hyperlink" Target="https://www.betterhealth.vic.gov.au/covid-19/covid-19-information-people-disability" TargetMode="External"/><Relationship Id="rId88" Type="http://schemas.openxmlformats.org/officeDocument/2006/relationships/hyperlink" Target="https://www.health.gov.au/sites/default/files/2023-04/first-24-hours-managing-covid-19-in-a-residential-aged-care-facility.pdf" TargetMode="External"/><Relationship Id="rId91" Type="http://schemas.openxmlformats.org/officeDocument/2006/relationships/hyperlink" Target="https://www.health.gov.au/resources/collections/coronavirus-covid-19-easy-read-resources" TargetMode="External"/><Relationship Id="rId96" Type="http://schemas.openxmlformats.org/officeDocument/2006/relationships/hyperlink" Target="https://www.agedcarequality.gov.au/providers/clinical-governance/infection-prevention-control/partnerships-care" TargetMode="External"/><Relationship Id="rId111" Type="http://schemas.openxmlformats.org/officeDocument/2006/relationships/hyperlink" Target="mailto:sephu.trace@monashhealth.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infectious.diseases@health.vic.gov.au" TargetMode="External"/><Relationship Id="rId23" Type="http://schemas.openxmlformats.org/officeDocument/2006/relationships/hyperlink" Target="https://www.health.vic.gov.au/covid-19/infection-prevention-control-resources-covid-19" TargetMode="External"/><Relationship Id="rId28" Type="http://schemas.openxmlformats.org/officeDocument/2006/relationships/hyperlink" Target="https://www.health.vic.gov.au/covid-19/vaccines-and-medications-in-patients-with-covid-19" TargetMode="External"/><Relationship Id="rId36" Type="http://schemas.openxmlformats.org/officeDocument/2006/relationships/hyperlink" Target="https://www.agedcarequality.gov.au/resource-library/ensuring-safe-visitor-access-residential-aged-care" TargetMode="External"/><Relationship Id="rId49" Type="http://schemas.openxmlformats.org/officeDocument/2006/relationships/hyperlink" Target="https://www.health.gov.au/resources/publications/coronavirus-covid-19-cdna-national-guidelines-for-public-health-units" TargetMode="External"/><Relationship Id="rId57" Type="http://schemas.openxmlformats.org/officeDocument/2006/relationships/hyperlink" Target="https://www.health.vic.gov.au/infectious-diseases/acute-respiratory-infection-management-rcf" TargetMode="External"/><Relationship Id="rId106" Type="http://schemas.openxmlformats.org/officeDocument/2006/relationships/hyperlink" Target="mailto:PHU@bendigohealth.org.au"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44" Type="http://schemas.openxmlformats.org/officeDocument/2006/relationships/hyperlink" Target="file:///C:\Users\vicm6fw\Downloads\Disability%20Advocacy%20Network%20of%20Australia" TargetMode="External"/><Relationship Id="rId52" Type="http://schemas.openxmlformats.org/officeDocument/2006/relationships/header" Target="header1.xml"/><Relationship Id="rId60" Type="http://schemas.openxmlformats.org/officeDocument/2006/relationships/hyperlink" Target="https://www.health.vic.gov.au/covid-19-infection-prevention-control-guidelines/personal-protective-equipment-ppe" TargetMode="External"/><Relationship Id="rId65" Type="http://schemas.openxmlformats.org/officeDocument/2006/relationships/hyperlink" Target="https://opan.org.au/information/covid-19-information-and-visitor-access-information/" TargetMode="External"/><Relationship Id="rId73" Type="http://schemas.openxmlformats.org/officeDocument/2006/relationships/hyperlink" Target="https://www.health.vic.gov.au/covid-19-infection-prevention-control-guidelines/ventilation" TargetMode="External"/><Relationship Id="rId78" Type="http://schemas.openxmlformats.org/officeDocument/2006/relationships/hyperlink" Target="https://www.health.vic.gov.au/infectious-diseases/acute-respiratory-infection-management-rcf" TargetMode="External"/><Relationship Id="rId81" Type="http://schemas.openxmlformats.org/officeDocument/2006/relationships/hyperlink" Target="https://www.health.gov.au/resources/videos/coronavirus-covid-19-video-how-to-do-a-nasal-rapid-antigen-test?language=en" TargetMode="External"/><Relationship Id="rId86" Type="http://schemas.openxmlformats.org/officeDocument/2006/relationships/hyperlink" Target="https://www.health.gov.au/node/18602/prevent-and-prepare-for-covid-19-in-residential-aged-care" TargetMode="External"/><Relationship Id="rId94" Type="http://schemas.openxmlformats.org/officeDocument/2006/relationships/hyperlink" Target="https://www.health.gov.au/resources/publications/coronavirus-covid-19-national-aged-care-guidance-aged-care-visitation-guidelines" TargetMode="External"/><Relationship Id="rId99" Type="http://schemas.openxmlformats.org/officeDocument/2006/relationships/hyperlink" Target="mailto:phu@lrh.com.au" TargetMode="External"/><Relationship Id="rId101" Type="http://schemas.openxmlformats.org/officeDocument/2006/relationships/hyperlink" Target="mailto:phu@gvhealth.org.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legislation.vic.gov.au/in-force/acts/occupational-health-and-safety-act-2004/038" TargetMode="External"/><Relationship Id="rId39" Type="http://schemas.openxmlformats.org/officeDocument/2006/relationships/hyperlink" Target="https://www.agedcarequality.gov.au/providers/clinical-governance/infection-prevention-control/partnerships-care" TargetMode="External"/><Relationship Id="rId109" Type="http://schemas.openxmlformats.org/officeDocument/2006/relationships/hyperlink" Target="mailto:phu@awh.org.au" TargetMode="External"/><Relationship Id="rId34" Type="http://schemas.openxmlformats.org/officeDocument/2006/relationships/hyperlink" Target="https://www.health.vic.gov.au/covid-19-infection-prevention-control-guidelines/ipc-control-strategies" TargetMode="External"/><Relationship Id="rId50" Type="http://schemas.openxmlformats.org/officeDocument/2006/relationships/hyperlink" Target="https://dhvicgovau.powerappsportals.com/outbreak-notification/" TargetMode="External"/><Relationship Id="rId55" Type="http://schemas.openxmlformats.org/officeDocument/2006/relationships/footer" Target="footer5.xml"/><Relationship Id="rId76" Type="http://schemas.openxmlformats.org/officeDocument/2006/relationships/hyperlink" Target="https://www.health.gov.au/resources/publications/national-guidelines-for-the-prevention-control-and-public-health-management-of-outbreaks-of-acute-respiratory-infection-including-covid-19-and-influenza-in-residential-care-facilities" TargetMode="External"/><Relationship Id="rId97" Type="http://schemas.openxmlformats.org/officeDocument/2006/relationships/hyperlink" Target="mailto:phu@barwonhealth.org.au" TargetMode="External"/><Relationship Id="rId104" Type="http://schemas.openxmlformats.org/officeDocument/2006/relationships/hyperlink" Target="mailto:phu@bhs.org.au" TargetMode="External"/><Relationship Id="rId7" Type="http://schemas.openxmlformats.org/officeDocument/2006/relationships/settings" Target="settings.xml"/><Relationship Id="rId71" Type="http://schemas.openxmlformats.org/officeDocument/2006/relationships/hyperlink" Target="https://www.tga.gov.au/products/covid-19/covid-19-personal-protection-products/disinfectants-use-against-covid-19-artg-legal-supply-australia" TargetMode="External"/><Relationship Id="rId92" Type="http://schemas.openxmlformats.org/officeDocument/2006/relationships/hyperlink" Target="https://www.agedcarequality.gov.au/providers/clinical-governance/dealing-infectious-outbreaks/visitor-access" TargetMode="External"/><Relationship Id="rId2" Type="http://schemas.openxmlformats.org/officeDocument/2006/relationships/customXml" Target="../customXml/item2.xml"/><Relationship Id="rId29" Type="http://schemas.openxmlformats.org/officeDocument/2006/relationships/hyperlink" Target="https://www.betterhealth.vic.gov.au/covid-19/covid-19-antiviral-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fda07b-0dde-437d-88e2-88b1778f2af2" xsi:nil="true"/>
    <lcf76f155ced4ddcb4097134ff3c332f xmlns="154b3de4-b613-4e0b-824a-e209c4ff7b1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9577BEFC1EDD84C9427AD0110E9E97C" ma:contentTypeVersion="14" ma:contentTypeDescription="Create a new document." ma:contentTypeScope="" ma:versionID="58c1ebb05be45c3fa43f84d7ac604a7c">
  <xsd:schema xmlns:xsd="http://www.w3.org/2001/XMLSchema" xmlns:xs="http://www.w3.org/2001/XMLSchema" xmlns:p="http://schemas.microsoft.com/office/2006/metadata/properties" xmlns:ns2="154b3de4-b613-4e0b-824a-e209c4ff7b15" xmlns:ns3="e1fda07b-0dde-437d-88e2-88b1778f2af2" targetNamespace="http://schemas.microsoft.com/office/2006/metadata/properties" ma:root="true" ma:fieldsID="07bcc99f3b30ba0b45a3fdb880551b2f" ns2:_="" ns3:_="">
    <xsd:import namespace="154b3de4-b613-4e0b-824a-e209c4ff7b15"/>
    <xsd:import namespace="e1fda07b-0dde-437d-88e2-88b1778f2a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3de4-b613-4e0b-824a-e209c4ff7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da07b-0dde-437d-88e2-88b1778f2a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8c9f23a-28b2-4ebf-bc83-be25de737976}" ma:internalName="TaxCatchAll" ma:showField="CatchAllData" ma:web="e1fda07b-0dde-437d-88e2-88b1778f2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A8645-D06D-4430-AF74-601EC2C2E25D}">
  <ds:schemaRefs>
    <ds:schemaRef ds:uri="http://schemas.microsoft.com/sharepoint/v3/contenttype/forms"/>
  </ds:schemaRefs>
</ds:datastoreItem>
</file>

<file path=customXml/itemProps2.xml><?xml version="1.0" encoding="utf-8"?>
<ds:datastoreItem xmlns:ds="http://schemas.openxmlformats.org/officeDocument/2006/customXml" ds:itemID="{B4E1660E-89D9-4F09-8F3D-B9C71EB5A2EF}">
  <ds:schemaRefs>
    <ds:schemaRef ds:uri="http://schemas.microsoft.com/office/2006/metadata/properties"/>
    <ds:schemaRef ds:uri="http://schemas.microsoft.com/office/infopath/2007/PartnerControls"/>
    <ds:schemaRef ds:uri="e1fda07b-0dde-437d-88e2-88b1778f2af2"/>
    <ds:schemaRef ds:uri="154b3de4-b613-4e0b-824a-e209c4ff7b15"/>
  </ds:schemaRefs>
</ds:datastoreItem>
</file>

<file path=customXml/itemProps3.xml><?xml version="1.0" encoding="utf-8"?>
<ds:datastoreItem xmlns:ds="http://schemas.openxmlformats.org/officeDocument/2006/customXml" ds:itemID="{09993B43-97EF-4006-A363-211120F54C05}">
  <ds:schemaRefs>
    <ds:schemaRef ds:uri="http://schemas.openxmlformats.org/officeDocument/2006/bibliography"/>
  </ds:schemaRefs>
</ds:datastoreItem>
</file>

<file path=customXml/itemProps4.xml><?xml version="1.0" encoding="utf-8"?>
<ds:datastoreItem xmlns:ds="http://schemas.openxmlformats.org/officeDocument/2006/customXml" ds:itemID="{D1B8B0F8-2D2E-44BE-B4C3-74D264744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3de4-b613-4e0b-824a-e209c4ff7b15"/>
    <ds:schemaRef ds:uri="e1fda07b-0dde-437d-88e2-88b1778f2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16643</Words>
  <Characters>103191</Characters>
  <Application>Microsoft Office Word</Application>
  <DocSecurity>0</DocSecurity>
  <Lines>1947</Lines>
  <Paragraphs>1235</Paragraphs>
  <ScaleCrop>false</ScaleCrop>
  <HeadingPairs>
    <vt:vector size="2" baseType="variant">
      <vt:variant>
        <vt:lpstr>Title</vt:lpstr>
      </vt:variant>
      <vt:variant>
        <vt:i4>1</vt:i4>
      </vt:variant>
    </vt:vector>
  </HeadingPairs>
  <TitlesOfParts>
    <vt:vector size="1" baseType="lpstr">
      <vt:lpstr>Management of Acute Respiratory Infection outbreaks including COVID-19 and influenza in residential care facilities</vt:lpstr>
    </vt:vector>
  </TitlesOfParts>
  <Manager/>
  <Company/>
  <LinksUpToDate>false</LinksUpToDate>
  <CharactersWithSpaces>118599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Acute Respiratory Infection outbreaks including COVID-19 and influenza in residential care facilities</dc:title>
  <dc:subject>Guideline - how to manage acute respiratory infection outbreaks in Residential Care settings</dc:subject>
  <dc:creator/>
  <cp:keywords>Acute Respiratory Infection, ARI, Residential Care Facilities, outbreaks</cp:keywords>
  <dc:description/>
  <cp:lastModifiedBy/>
  <cp:revision>1</cp:revision>
  <dcterms:created xsi:type="dcterms:W3CDTF">2024-04-11T23:45:00Z</dcterms:created>
  <dcterms:modified xsi:type="dcterms:W3CDTF">2024-04-11T23:45:00Z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0x010100D9577BEFC1EDD84C9427AD0110E9E97C</vt:lpwstr>
  </property>
  <property fmtid="{D5CDD505-2E9C-101B-9397-08002B2CF9AE}" pid="3" name="MediaServiceImageTags">
    <vt:lpwstr/>
  </property>
  <property fmtid="{D5CDD505-2E9C-101B-9397-08002B2CF9AE}" pid="4" name="GrammarlyDocumentId">
    <vt:lpwstr>de1199f8472e5b20b2f3dd298b9163fac82532db0fb3128b55e4646ab39aca8c</vt:lpwstr>
  </property>
  <property fmtid="{D5CDD505-2E9C-101B-9397-08002B2CF9AE}" pid="5" name="MSIP_Label_43e64453-338c-4f93-8a4d-0039a0a41f2a_Enabled">
    <vt:lpwstr>true</vt:lpwstr>
  </property>
  <property fmtid="{D5CDD505-2E9C-101B-9397-08002B2CF9AE}" pid="6" name="MSIP_Label_43e64453-338c-4f93-8a4d-0039a0a41f2a_SetDate">
    <vt:lpwstr>2024-01-30T01:50:52Z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3c2c08c5-4c5f-49c8-8c8a-3f2f5a1c126a</vt:lpwstr>
  </property>
  <property fmtid="{D5CDD505-2E9C-101B-9397-08002B2CF9AE}" pid="11" name="MSIP_Label_43e64453-338c-4f93-8a4d-0039a0a41f2a_ContentBits">
    <vt:lpwstr>2</vt:lpwstr>
  </property>
</Properties>
</file>