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355AA" w14:textId="77777777" w:rsidR="00056EC4" w:rsidRDefault="00E9042A" w:rsidP="00806E74">
      <w:pPr>
        <w:pStyle w:val="Documenttitle"/>
      </w:pPr>
      <w:bookmarkStart w:id="0" w:name="_Hlk150761947"/>
      <w:bookmarkStart w:id="1" w:name="_Hlk150856128"/>
      <w:bookmarkEnd w:id="0"/>
      <w:r w:rsidRPr="00977D59">
        <w:rPr>
          <w:noProof/>
        </w:rPr>
        <w:drawing>
          <wp:anchor distT="0" distB="0" distL="114300" distR="114300" simplePos="0" relativeHeight="251658240" behindDoc="1" locked="1" layoutInCell="1" allowOverlap="0" wp14:anchorId="03879223" wp14:editId="3BCA01EB">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8FDC989" w14:textId="77777777" w:rsidTr="00431F42">
        <w:trPr>
          <w:cantSplit/>
        </w:trPr>
        <w:tc>
          <w:tcPr>
            <w:tcW w:w="0" w:type="auto"/>
            <w:tcMar>
              <w:top w:w="0" w:type="dxa"/>
              <w:left w:w="0" w:type="dxa"/>
              <w:right w:w="0" w:type="dxa"/>
            </w:tcMar>
          </w:tcPr>
          <w:p w14:paraId="64CA1E6B" w14:textId="13B1C13B" w:rsidR="00AD784C" w:rsidRPr="00431F42" w:rsidRDefault="00E66D1C" w:rsidP="00431F42">
            <w:pPr>
              <w:pStyle w:val="Documenttitle"/>
            </w:pPr>
            <w:r>
              <w:t xml:space="preserve">Victorian </w:t>
            </w:r>
            <w:r w:rsidR="009C7868">
              <w:t>p</w:t>
            </w:r>
            <w:r>
              <w:t xml:space="preserve">ublic </w:t>
            </w:r>
            <w:r w:rsidR="009C7868">
              <w:t>h</w:t>
            </w:r>
            <w:r>
              <w:t xml:space="preserve">ealth and </w:t>
            </w:r>
            <w:r w:rsidR="009C7868">
              <w:t>w</w:t>
            </w:r>
            <w:r>
              <w:t xml:space="preserve">ellbeing </w:t>
            </w:r>
            <w:r w:rsidR="005A5AD4">
              <w:t>progress</w:t>
            </w:r>
            <w:r w:rsidR="00F55C5A">
              <w:t xml:space="preserve"> </w:t>
            </w:r>
            <w:r w:rsidR="00C10FD7">
              <w:t>report 2023</w:t>
            </w:r>
            <w:r>
              <w:t xml:space="preserve"> </w:t>
            </w:r>
          </w:p>
        </w:tc>
      </w:tr>
      <w:tr w:rsidR="00AD784C" w14:paraId="7D160E91" w14:textId="77777777" w:rsidTr="00431F42">
        <w:trPr>
          <w:cantSplit/>
        </w:trPr>
        <w:tc>
          <w:tcPr>
            <w:tcW w:w="0" w:type="auto"/>
          </w:tcPr>
          <w:p w14:paraId="7B295E5D" w14:textId="08DCB236" w:rsidR="00386109" w:rsidRPr="00A1389F" w:rsidRDefault="00D915A1" w:rsidP="009315BE">
            <w:pPr>
              <w:pStyle w:val="Documentsubtitle"/>
            </w:pPr>
            <w:r>
              <w:t>Report</w:t>
            </w:r>
            <w:r w:rsidR="00C10FD7">
              <w:t xml:space="preserve"> on </w:t>
            </w:r>
            <w:r w:rsidR="005A5AD4">
              <w:t>priority measures</w:t>
            </w:r>
            <w:r w:rsidR="00C10FD7">
              <w:t xml:space="preserve"> in the </w:t>
            </w:r>
            <w:r w:rsidR="00C10FD7" w:rsidRPr="00982D34">
              <w:rPr>
                <w:i/>
                <w:iCs/>
              </w:rPr>
              <w:t>Victorian public health and wellbeing outcomes framework</w:t>
            </w:r>
          </w:p>
        </w:tc>
      </w:tr>
      <w:tr w:rsidR="00430393" w14:paraId="0DEFA66C" w14:textId="77777777" w:rsidTr="00431F42">
        <w:trPr>
          <w:cantSplit/>
        </w:trPr>
        <w:tc>
          <w:tcPr>
            <w:tcW w:w="0" w:type="auto"/>
          </w:tcPr>
          <w:p w14:paraId="5239C962" w14:textId="77777777" w:rsidR="00430393" w:rsidRDefault="00000000" w:rsidP="00430393">
            <w:pPr>
              <w:pStyle w:val="Bannermarking"/>
            </w:pPr>
            <w:fldSimple w:instr="FILLIN  &quot;Type the protective marking&quot; \d OFFICIAL \o  \* MERGEFORMAT">
              <w:r w:rsidR="00E66D1C">
                <w:t>OFFICIAL</w:t>
              </w:r>
            </w:fldSimple>
          </w:p>
        </w:tc>
      </w:tr>
    </w:tbl>
    <w:p w14:paraId="3DD02D57" w14:textId="77777777" w:rsidR="00FE4081" w:rsidRDefault="00FE4081" w:rsidP="00FE4081">
      <w:pPr>
        <w:pStyle w:val="Body"/>
      </w:pPr>
    </w:p>
    <w:p w14:paraId="76682D9B"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7A4AF0CB" w14:textId="77777777" w:rsidTr="00431F42">
        <w:tc>
          <w:tcPr>
            <w:tcW w:w="7598" w:type="dxa"/>
          </w:tcPr>
          <w:p w14:paraId="10A3E312" w14:textId="77777777" w:rsidR="00431F42" w:rsidRDefault="00431F42" w:rsidP="00431F42">
            <w:pPr>
              <w:pStyle w:val="Body"/>
            </w:pPr>
          </w:p>
        </w:tc>
      </w:tr>
    </w:tbl>
    <w:p w14:paraId="280491FC" w14:textId="389D19EE" w:rsidR="000D2ABA" w:rsidRDefault="000D2ABA" w:rsidP="00431F42">
      <w:pPr>
        <w:pStyle w:val="Body"/>
      </w:pPr>
    </w:p>
    <w:tbl>
      <w:tblPr>
        <w:tblStyle w:val="TableGrid"/>
        <w:tblpPr w:leftFromText="180" w:rightFromText="180" w:vertAnchor="text" w:horzAnchor="margin" w:tblpY="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806E74" w14:paraId="2514176C" w14:textId="77777777" w:rsidTr="00806E74">
        <w:trPr>
          <w:cantSplit/>
          <w:trHeight w:val="5103"/>
        </w:trPr>
        <w:tc>
          <w:tcPr>
            <w:tcW w:w="9288" w:type="dxa"/>
            <w:vAlign w:val="bottom"/>
          </w:tcPr>
          <w:p w14:paraId="5816FEBB" w14:textId="64DFF91B" w:rsidR="00806E74" w:rsidRPr="0055119B" w:rsidRDefault="00806E74" w:rsidP="00806E74">
            <w:pPr>
              <w:pStyle w:val="Accessibilitypara"/>
            </w:pPr>
            <w:r w:rsidRPr="0055119B">
              <w:t>To receive this document in another format</w:t>
            </w:r>
            <w:r>
              <w:t>,</w:t>
            </w:r>
            <w:r w:rsidRPr="0055119B">
              <w:t xml:space="preserve"> </w:t>
            </w:r>
            <w:hyperlink r:id="rId18" w:history="1">
              <w:r w:rsidRPr="000471D6">
                <w:rPr>
                  <w:rStyle w:val="Hyperlink"/>
                </w:rPr>
                <w:t xml:space="preserve">email </w:t>
              </w:r>
              <w:r w:rsidR="00726303" w:rsidRPr="000471D6">
                <w:rPr>
                  <w:rStyle w:val="Hyperlink"/>
                </w:rPr>
                <w:t xml:space="preserve">the Department of </w:t>
              </w:r>
              <w:r w:rsidR="000471D6" w:rsidRPr="000471D6">
                <w:rPr>
                  <w:rStyle w:val="Hyperlink"/>
                </w:rPr>
                <w:t>H</w:t>
              </w:r>
              <w:r w:rsidR="00726303" w:rsidRPr="000471D6">
                <w:rPr>
                  <w:rStyle w:val="Hyperlink"/>
                </w:rPr>
                <w:t>ealth</w:t>
              </w:r>
            </w:hyperlink>
            <w:r w:rsidRPr="0055119B">
              <w:rPr>
                <w:color w:val="004C97"/>
              </w:rPr>
              <w:t xml:space="preserve">, </w:t>
            </w:r>
            <w:r w:rsidRPr="0055119B">
              <w:t>&lt;</w:t>
            </w:r>
            <w:r w:rsidR="000471D6">
              <w:t>prevention@health.vic.gov.au</w:t>
            </w:r>
            <w:r w:rsidRPr="0055119B">
              <w:t>&gt;.</w:t>
            </w:r>
          </w:p>
          <w:p w14:paraId="05372BD9" w14:textId="77777777" w:rsidR="00806E74" w:rsidRPr="0055119B" w:rsidRDefault="00806E74" w:rsidP="00806E74">
            <w:pPr>
              <w:pStyle w:val="Imprint"/>
            </w:pPr>
            <w:r w:rsidRPr="0055119B">
              <w:t>Authorised and published by the Victorian Government, 1 Treasury Place, Melbourne.</w:t>
            </w:r>
          </w:p>
          <w:p w14:paraId="4E2C020B" w14:textId="68F39866" w:rsidR="00AA2611" w:rsidRDefault="00806E74" w:rsidP="00806E74">
            <w:pPr>
              <w:pStyle w:val="Imprint"/>
              <w:rPr>
                <w:color w:val="004C97"/>
              </w:rPr>
            </w:pPr>
            <w:r w:rsidRPr="0055119B">
              <w:t xml:space="preserve">© State of Victoria, Australia, Department </w:t>
            </w:r>
            <w:r w:rsidRPr="001B058F">
              <w:t xml:space="preserve">of </w:t>
            </w:r>
            <w:r w:rsidRPr="000C53CD">
              <w:rPr>
                <w:color w:val="auto"/>
              </w:rPr>
              <w:t xml:space="preserve">Health, </w:t>
            </w:r>
            <w:r w:rsidR="006846D5">
              <w:rPr>
                <w:color w:val="auto"/>
              </w:rPr>
              <w:t>January 2024.</w:t>
            </w:r>
          </w:p>
          <w:p w14:paraId="0F80CD05" w14:textId="77777777" w:rsidR="00AA2611" w:rsidRPr="001F5F5B" w:rsidRDefault="00AA2611" w:rsidP="00806E74">
            <w:pPr>
              <w:pStyle w:val="Imprint"/>
              <w:rPr>
                <w:color w:val="auto"/>
              </w:rPr>
            </w:pPr>
            <w:r w:rsidRPr="001F5F5B">
              <w:rPr>
                <w:color w:val="auto"/>
              </w:rPr>
              <w:t xml:space="preserve">Except where otherwise indicated, the images in this document show models and illustrative settings only, and do not necessarily depict actual services, </w:t>
            </w:r>
            <w:proofErr w:type="gramStart"/>
            <w:r w:rsidRPr="001F5F5B">
              <w:rPr>
                <w:color w:val="auto"/>
              </w:rPr>
              <w:t>facilities</w:t>
            </w:r>
            <w:proofErr w:type="gramEnd"/>
            <w:r w:rsidRPr="001F5F5B">
              <w:rPr>
                <w:color w:val="auto"/>
              </w:rPr>
              <w:t xml:space="preserve"> or recipients of services.</w:t>
            </w:r>
            <w:bookmarkStart w:id="2" w:name="_Hlk62746129"/>
            <w:r w:rsidRPr="001F5F5B">
              <w:rPr>
                <w:color w:val="auto"/>
              </w:rPr>
              <w:t xml:space="preserve"> </w:t>
            </w:r>
          </w:p>
          <w:p w14:paraId="1605E47B" w14:textId="07A99333" w:rsidR="00806E74" w:rsidRPr="001F5F5B" w:rsidRDefault="00806E74" w:rsidP="00806E74">
            <w:pPr>
              <w:pStyle w:val="Imprint"/>
              <w:rPr>
                <w:color w:val="auto"/>
              </w:rPr>
            </w:pPr>
            <w:r w:rsidRPr="001F5F5B">
              <w:rPr>
                <w:color w:val="auto"/>
              </w:rPr>
              <w:t>This document may contain images of deceased Aboriginal and Torres Strait Islander peoples.</w:t>
            </w:r>
          </w:p>
          <w:p w14:paraId="7B1B08E3" w14:textId="3BA8CE3E" w:rsidR="00806E74" w:rsidRPr="001F5F5B" w:rsidRDefault="00806E74" w:rsidP="00806E74">
            <w:pPr>
              <w:pStyle w:val="Imprint"/>
              <w:rPr>
                <w:color w:val="auto"/>
              </w:rPr>
            </w:pPr>
            <w:r w:rsidRPr="001F5F5B">
              <w:rPr>
                <w:color w:val="auto"/>
              </w:rPr>
              <w:t xml:space="preserve">In this document, ‘Aboriginal’ refers to both Aboriginal and Torres Strait Islander people. </w:t>
            </w:r>
          </w:p>
          <w:p w14:paraId="5730F43C" w14:textId="231C9B37" w:rsidR="00806E74" w:rsidRPr="0055119B" w:rsidRDefault="00806E74" w:rsidP="00806E74">
            <w:pPr>
              <w:pStyle w:val="Imprint"/>
            </w:pPr>
            <w:r w:rsidRPr="0055119B">
              <w:t xml:space="preserve">ISBN </w:t>
            </w:r>
            <w:r w:rsidR="00A16264">
              <w:rPr>
                <w:rFonts w:cs="Arial"/>
                <w:color w:val="000000"/>
              </w:rPr>
              <w:t xml:space="preserve">978-1-76131-449-0 </w:t>
            </w:r>
            <w:r w:rsidRPr="0055119B">
              <w:t>(online/PDF/Word)</w:t>
            </w:r>
          </w:p>
          <w:bookmarkEnd w:id="2"/>
          <w:p w14:paraId="56556517" w14:textId="19382457" w:rsidR="00806E74" w:rsidRDefault="00806E74" w:rsidP="005D16B6">
            <w:pPr>
              <w:pStyle w:val="Imprint"/>
            </w:pPr>
          </w:p>
        </w:tc>
      </w:tr>
      <w:tr w:rsidR="00806E74" w14:paraId="5B0708DD" w14:textId="77777777" w:rsidTr="00806E74">
        <w:trPr>
          <w:cantSplit/>
        </w:trPr>
        <w:tc>
          <w:tcPr>
            <w:tcW w:w="9288" w:type="dxa"/>
          </w:tcPr>
          <w:p w14:paraId="0ED34B93" w14:textId="77777777" w:rsidR="00806E74" w:rsidRPr="0055119B" w:rsidRDefault="00806E74" w:rsidP="00806E74">
            <w:pPr>
              <w:pStyle w:val="Body"/>
            </w:pPr>
          </w:p>
        </w:tc>
      </w:tr>
    </w:tbl>
    <w:p w14:paraId="09F11A0A" w14:textId="37EBE48C" w:rsidR="0008204A" w:rsidRPr="0008204A" w:rsidRDefault="00806E74" w:rsidP="0008204A">
      <w:pPr>
        <w:pStyle w:val="Body"/>
      </w:pPr>
      <w:r w:rsidRPr="0008204A">
        <w:t xml:space="preserve"> </w:t>
      </w:r>
      <w:r w:rsidR="0008204A" w:rsidRPr="0008204A">
        <w:br w:type="page"/>
      </w:r>
    </w:p>
    <w:p w14:paraId="0180A7BC" w14:textId="77777777" w:rsidR="00AD784C" w:rsidRPr="00B57329" w:rsidRDefault="00AD784C" w:rsidP="002365B4">
      <w:pPr>
        <w:pStyle w:val="TOCheadingreport"/>
      </w:pPr>
      <w:r w:rsidRPr="00B57329">
        <w:lastRenderedPageBreak/>
        <w:t>Contents</w:t>
      </w:r>
    </w:p>
    <w:p w14:paraId="72B87AB5" w14:textId="19D6723B" w:rsidR="001F5F5B"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51976132" w:history="1">
        <w:r w:rsidR="001F5F5B" w:rsidRPr="0022372F">
          <w:rPr>
            <w:rStyle w:val="Hyperlink"/>
          </w:rPr>
          <w:t>Acknowledgement of Country</w:t>
        </w:r>
        <w:r w:rsidR="001F5F5B">
          <w:rPr>
            <w:webHidden/>
          </w:rPr>
          <w:tab/>
        </w:r>
        <w:r w:rsidR="001F5F5B">
          <w:rPr>
            <w:webHidden/>
          </w:rPr>
          <w:fldChar w:fldCharType="begin"/>
        </w:r>
        <w:r w:rsidR="001F5F5B">
          <w:rPr>
            <w:webHidden/>
          </w:rPr>
          <w:instrText xml:space="preserve"> PAGEREF _Toc151976132 \h </w:instrText>
        </w:r>
        <w:r w:rsidR="001F5F5B">
          <w:rPr>
            <w:webHidden/>
          </w:rPr>
        </w:r>
        <w:r w:rsidR="001F5F5B">
          <w:rPr>
            <w:webHidden/>
          </w:rPr>
          <w:fldChar w:fldCharType="separate"/>
        </w:r>
        <w:r w:rsidR="001F5F5B">
          <w:rPr>
            <w:webHidden/>
          </w:rPr>
          <w:t>4</w:t>
        </w:r>
        <w:r w:rsidR="001F5F5B">
          <w:rPr>
            <w:webHidden/>
          </w:rPr>
          <w:fldChar w:fldCharType="end"/>
        </w:r>
      </w:hyperlink>
    </w:p>
    <w:p w14:paraId="2A48599B" w14:textId="6D454B55" w:rsidR="001F5F5B" w:rsidRDefault="00000000">
      <w:pPr>
        <w:pStyle w:val="TOC1"/>
        <w:rPr>
          <w:rFonts w:asciiTheme="minorHAnsi" w:eastAsiaTheme="minorEastAsia" w:hAnsiTheme="minorHAnsi" w:cstheme="minorBidi"/>
          <w:b w:val="0"/>
          <w:sz w:val="22"/>
          <w:szCs w:val="22"/>
          <w:lang w:eastAsia="en-AU"/>
        </w:rPr>
      </w:pPr>
      <w:hyperlink w:anchor="_Toc151976133" w:history="1">
        <w:r w:rsidR="001F5F5B" w:rsidRPr="0022372F">
          <w:rPr>
            <w:rStyle w:val="Hyperlink"/>
          </w:rPr>
          <w:t>Introduction</w:t>
        </w:r>
        <w:r w:rsidR="001F5F5B">
          <w:rPr>
            <w:webHidden/>
          </w:rPr>
          <w:tab/>
        </w:r>
        <w:r w:rsidR="001F5F5B">
          <w:rPr>
            <w:webHidden/>
          </w:rPr>
          <w:fldChar w:fldCharType="begin"/>
        </w:r>
        <w:r w:rsidR="001F5F5B">
          <w:rPr>
            <w:webHidden/>
          </w:rPr>
          <w:instrText xml:space="preserve"> PAGEREF _Toc151976133 \h </w:instrText>
        </w:r>
        <w:r w:rsidR="001F5F5B">
          <w:rPr>
            <w:webHidden/>
          </w:rPr>
        </w:r>
        <w:r w:rsidR="001F5F5B">
          <w:rPr>
            <w:webHidden/>
          </w:rPr>
          <w:fldChar w:fldCharType="separate"/>
        </w:r>
        <w:r w:rsidR="001F5F5B">
          <w:rPr>
            <w:webHidden/>
          </w:rPr>
          <w:t>5</w:t>
        </w:r>
        <w:r w:rsidR="001F5F5B">
          <w:rPr>
            <w:webHidden/>
          </w:rPr>
          <w:fldChar w:fldCharType="end"/>
        </w:r>
      </w:hyperlink>
    </w:p>
    <w:p w14:paraId="34A25FDC" w14:textId="04341DC3" w:rsidR="001F5F5B" w:rsidRDefault="00000000">
      <w:pPr>
        <w:pStyle w:val="TOC2"/>
        <w:rPr>
          <w:rFonts w:asciiTheme="minorHAnsi" w:eastAsiaTheme="minorEastAsia" w:hAnsiTheme="minorHAnsi" w:cstheme="minorBidi"/>
          <w:sz w:val="22"/>
          <w:szCs w:val="22"/>
          <w:lang w:eastAsia="en-AU"/>
        </w:rPr>
      </w:pPr>
      <w:hyperlink w:anchor="_Toc151976134" w:history="1">
        <w:r w:rsidR="001F5F5B" w:rsidRPr="0022372F">
          <w:rPr>
            <w:rStyle w:val="Hyperlink"/>
          </w:rPr>
          <w:t>About the outcomes framework</w:t>
        </w:r>
        <w:r w:rsidR="001F5F5B">
          <w:rPr>
            <w:webHidden/>
          </w:rPr>
          <w:tab/>
        </w:r>
        <w:r w:rsidR="001F5F5B">
          <w:rPr>
            <w:webHidden/>
          </w:rPr>
          <w:fldChar w:fldCharType="begin"/>
        </w:r>
        <w:r w:rsidR="001F5F5B">
          <w:rPr>
            <w:webHidden/>
          </w:rPr>
          <w:instrText xml:space="preserve"> PAGEREF _Toc151976134 \h </w:instrText>
        </w:r>
        <w:r w:rsidR="001F5F5B">
          <w:rPr>
            <w:webHidden/>
          </w:rPr>
        </w:r>
        <w:r w:rsidR="001F5F5B">
          <w:rPr>
            <w:webHidden/>
          </w:rPr>
          <w:fldChar w:fldCharType="separate"/>
        </w:r>
        <w:r w:rsidR="001F5F5B">
          <w:rPr>
            <w:webHidden/>
          </w:rPr>
          <w:t>5</w:t>
        </w:r>
        <w:r w:rsidR="001F5F5B">
          <w:rPr>
            <w:webHidden/>
          </w:rPr>
          <w:fldChar w:fldCharType="end"/>
        </w:r>
      </w:hyperlink>
    </w:p>
    <w:p w14:paraId="54443883" w14:textId="01ED7B1B" w:rsidR="001F5F5B" w:rsidRDefault="00000000">
      <w:pPr>
        <w:pStyle w:val="TOC2"/>
        <w:rPr>
          <w:rFonts w:asciiTheme="minorHAnsi" w:eastAsiaTheme="minorEastAsia" w:hAnsiTheme="minorHAnsi" w:cstheme="minorBidi"/>
          <w:sz w:val="22"/>
          <w:szCs w:val="22"/>
          <w:lang w:eastAsia="en-AU"/>
        </w:rPr>
      </w:pPr>
      <w:hyperlink w:anchor="_Toc151976135" w:history="1">
        <w:r w:rsidR="001F5F5B" w:rsidRPr="0022372F">
          <w:rPr>
            <w:rStyle w:val="Hyperlink"/>
          </w:rPr>
          <w:t>About this report</w:t>
        </w:r>
        <w:r w:rsidR="001F5F5B">
          <w:rPr>
            <w:webHidden/>
          </w:rPr>
          <w:tab/>
        </w:r>
        <w:r w:rsidR="001F5F5B">
          <w:rPr>
            <w:webHidden/>
          </w:rPr>
          <w:fldChar w:fldCharType="begin"/>
        </w:r>
        <w:r w:rsidR="001F5F5B">
          <w:rPr>
            <w:webHidden/>
          </w:rPr>
          <w:instrText xml:space="preserve"> PAGEREF _Toc151976135 \h </w:instrText>
        </w:r>
        <w:r w:rsidR="001F5F5B">
          <w:rPr>
            <w:webHidden/>
          </w:rPr>
        </w:r>
        <w:r w:rsidR="001F5F5B">
          <w:rPr>
            <w:webHidden/>
          </w:rPr>
          <w:fldChar w:fldCharType="separate"/>
        </w:r>
        <w:r w:rsidR="001F5F5B">
          <w:rPr>
            <w:webHidden/>
          </w:rPr>
          <w:t>5</w:t>
        </w:r>
        <w:r w:rsidR="001F5F5B">
          <w:rPr>
            <w:webHidden/>
          </w:rPr>
          <w:fldChar w:fldCharType="end"/>
        </w:r>
      </w:hyperlink>
    </w:p>
    <w:p w14:paraId="5838DF44" w14:textId="37F75244" w:rsidR="001F5F5B" w:rsidRDefault="00000000">
      <w:pPr>
        <w:pStyle w:val="TOC2"/>
        <w:rPr>
          <w:rFonts w:asciiTheme="minorHAnsi" w:eastAsiaTheme="minorEastAsia" w:hAnsiTheme="minorHAnsi" w:cstheme="minorBidi"/>
          <w:sz w:val="22"/>
          <w:szCs w:val="22"/>
          <w:lang w:eastAsia="en-AU"/>
        </w:rPr>
      </w:pPr>
      <w:hyperlink w:anchor="_Toc151976136" w:history="1">
        <w:r w:rsidR="001F5F5B" w:rsidRPr="0022372F">
          <w:rPr>
            <w:rStyle w:val="Hyperlink"/>
          </w:rPr>
          <w:t>Impact of COVID-19</w:t>
        </w:r>
        <w:r w:rsidR="001F5F5B">
          <w:rPr>
            <w:webHidden/>
          </w:rPr>
          <w:tab/>
        </w:r>
        <w:r w:rsidR="001F5F5B">
          <w:rPr>
            <w:webHidden/>
          </w:rPr>
          <w:fldChar w:fldCharType="begin"/>
        </w:r>
        <w:r w:rsidR="001F5F5B">
          <w:rPr>
            <w:webHidden/>
          </w:rPr>
          <w:instrText xml:space="preserve"> PAGEREF _Toc151976136 \h </w:instrText>
        </w:r>
        <w:r w:rsidR="001F5F5B">
          <w:rPr>
            <w:webHidden/>
          </w:rPr>
        </w:r>
        <w:r w:rsidR="001F5F5B">
          <w:rPr>
            <w:webHidden/>
          </w:rPr>
          <w:fldChar w:fldCharType="separate"/>
        </w:r>
        <w:r w:rsidR="001F5F5B">
          <w:rPr>
            <w:webHidden/>
          </w:rPr>
          <w:t>6</w:t>
        </w:r>
        <w:r w:rsidR="001F5F5B">
          <w:rPr>
            <w:webHidden/>
          </w:rPr>
          <w:fldChar w:fldCharType="end"/>
        </w:r>
      </w:hyperlink>
    </w:p>
    <w:p w14:paraId="18DA2034" w14:textId="31E16D97" w:rsidR="001F5F5B" w:rsidRDefault="00000000">
      <w:pPr>
        <w:pStyle w:val="TOC1"/>
        <w:rPr>
          <w:rFonts w:asciiTheme="minorHAnsi" w:eastAsiaTheme="minorEastAsia" w:hAnsiTheme="minorHAnsi" w:cstheme="minorBidi"/>
          <w:b w:val="0"/>
          <w:sz w:val="22"/>
          <w:szCs w:val="22"/>
          <w:lang w:eastAsia="en-AU"/>
        </w:rPr>
      </w:pPr>
      <w:hyperlink w:anchor="_Toc151976137" w:history="1">
        <w:r w:rsidR="001F5F5B" w:rsidRPr="0022372F">
          <w:rPr>
            <w:rStyle w:val="Hyperlink"/>
          </w:rPr>
          <w:t>Themes and trends</w:t>
        </w:r>
        <w:r w:rsidR="001F5F5B">
          <w:rPr>
            <w:webHidden/>
          </w:rPr>
          <w:tab/>
        </w:r>
        <w:r w:rsidR="001F5F5B">
          <w:rPr>
            <w:webHidden/>
          </w:rPr>
          <w:fldChar w:fldCharType="begin"/>
        </w:r>
        <w:r w:rsidR="001F5F5B">
          <w:rPr>
            <w:webHidden/>
          </w:rPr>
          <w:instrText xml:space="preserve"> PAGEREF _Toc151976137 \h </w:instrText>
        </w:r>
        <w:r w:rsidR="001F5F5B">
          <w:rPr>
            <w:webHidden/>
          </w:rPr>
        </w:r>
        <w:r w:rsidR="001F5F5B">
          <w:rPr>
            <w:webHidden/>
          </w:rPr>
          <w:fldChar w:fldCharType="separate"/>
        </w:r>
        <w:r w:rsidR="001F5F5B">
          <w:rPr>
            <w:webHidden/>
          </w:rPr>
          <w:t>6</w:t>
        </w:r>
        <w:r w:rsidR="001F5F5B">
          <w:rPr>
            <w:webHidden/>
          </w:rPr>
          <w:fldChar w:fldCharType="end"/>
        </w:r>
      </w:hyperlink>
    </w:p>
    <w:p w14:paraId="03121EF8" w14:textId="03E1337A" w:rsidR="001F5F5B" w:rsidRDefault="00000000">
      <w:pPr>
        <w:pStyle w:val="TOC2"/>
        <w:rPr>
          <w:rFonts w:asciiTheme="minorHAnsi" w:eastAsiaTheme="minorEastAsia" w:hAnsiTheme="minorHAnsi" w:cstheme="minorBidi"/>
          <w:sz w:val="22"/>
          <w:szCs w:val="22"/>
          <w:lang w:eastAsia="en-AU"/>
        </w:rPr>
      </w:pPr>
      <w:hyperlink w:anchor="_Toc151976138" w:history="1">
        <w:r w:rsidR="001F5F5B" w:rsidRPr="0022372F">
          <w:rPr>
            <w:rStyle w:val="Hyperlink"/>
            <w:lang w:val="en-GB" w:eastAsia="en-AU"/>
          </w:rPr>
          <w:t>Determinants of health and wellbeing</w:t>
        </w:r>
        <w:r w:rsidR="001F5F5B">
          <w:rPr>
            <w:webHidden/>
          </w:rPr>
          <w:tab/>
        </w:r>
        <w:r w:rsidR="001F5F5B">
          <w:rPr>
            <w:webHidden/>
          </w:rPr>
          <w:fldChar w:fldCharType="begin"/>
        </w:r>
        <w:r w:rsidR="001F5F5B">
          <w:rPr>
            <w:webHidden/>
          </w:rPr>
          <w:instrText xml:space="preserve"> PAGEREF _Toc151976138 \h </w:instrText>
        </w:r>
        <w:r w:rsidR="001F5F5B">
          <w:rPr>
            <w:webHidden/>
          </w:rPr>
        </w:r>
        <w:r w:rsidR="001F5F5B">
          <w:rPr>
            <w:webHidden/>
          </w:rPr>
          <w:fldChar w:fldCharType="separate"/>
        </w:r>
        <w:r w:rsidR="001F5F5B">
          <w:rPr>
            <w:webHidden/>
          </w:rPr>
          <w:t>6</w:t>
        </w:r>
        <w:r w:rsidR="001F5F5B">
          <w:rPr>
            <w:webHidden/>
          </w:rPr>
          <w:fldChar w:fldCharType="end"/>
        </w:r>
      </w:hyperlink>
    </w:p>
    <w:p w14:paraId="693ACCC9" w14:textId="56EB634A" w:rsidR="001F5F5B" w:rsidRDefault="00000000">
      <w:pPr>
        <w:pStyle w:val="TOC2"/>
        <w:rPr>
          <w:rFonts w:asciiTheme="minorHAnsi" w:eastAsiaTheme="minorEastAsia" w:hAnsiTheme="minorHAnsi" w:cstheme="minorBidi"/>
          <w:sz w:val="22"/>
          <w:szCs w:val="22"/>
          <w:lang w:eastAsia="en-AU"/>
        </w:rPr>
      </w:pPr>
      <w:hyperlink w:anchor="_Toc151976139" w:history="1">
        <w:r w:rsidR="001F5F5B" w:rsidRPr="0022372F">
          <w:rPr>
            <w:rStyle w:val="Hyperlink"/>
            <w:rFonts w:eastAsia="Arial"/>
          </w:rPr>
          <w:t>Aboriginal health</w:t>
        </w:r>
        <w:r w:rsidR="001F5F5B">
          <w:rPr>
            <w:webHidden/>
          </w:rPr>
          <w:tab/>
        </w:r>
        <w:r w:rsidR="001F5F5B">
          <w:rPr>
            <w:webHidden/>
          </w:rPr>
          <w:fldChar w:fldCharType="begin"/>
        </w:r>
        <w:r w:rsidR="001F5F5B">
          <w:rPr>
            <w:webHidden/>
          </w:rPr>
          <w:instrText xml:space="preserve"> PAGEREF _Toc151976139 \h </w:instrText>
        </w:r>
        <w:r w:rsidR="001F5F5B">
          <w:rPr>
            <w:webHidden/>
          </w:rPr>
        </w:r>
        <w:r w:rsidR="001F5F5B">
          <w:rPr>
            <w:webHidden/>
          </w:rPr>
          <w:fldChar w:fldCharType="separate"/>
        </w:r>
        <w:r w:rsidR="001F5F5B">
          <w:rPr>
            <w:webHidden/>
          </w:rPr>
          <w:t>7</w:t>
        </w:r>
        <w:r w:rsidR="001F5F5B">
          <w:rPr>
            <w:webHidden/>
          </w:rPr>
          <w:fldChar w:fldCharType="end"/>
        </w:r>
      </w:hyperlink>
    </w:p>
    <w:p w14:paraId="0FCF19CF" w14:textId="3A30DDC5" w:rsidR="001F5F5B" w:rsidRDefault="00000000">
      <w:pPr>
        <w:pStyle w:val="TOC2"/>
        <w:rPr>
          <w:rFonts w:asciiTheme="minorHAnsi" w:eastAsiaTheme="minorEastAsia" w:hAnsiTheme="minorHAnsi" w:cstheme="minorBidi"/>
          <w:sz w:val="22"/>
          <w:szCs w:val="22"/>
          <w:lang w:eastAsia="en-AU"/>
        </w:rPr>
      </w:pPr>
      <w:hyperlink w:anchor="_Toc151976140" w:history="1">
        <w:r w:rsidR="001F5F5B" w:rsidRPr="0022372F">
          <w:rPr>
            <w:rStyle w:val="Hyperlink"/>
          </w:rPr>
          <w:t>Healthy behaviours need healthy environments</w:t>
        </w:r>
        <w:r w:rsidR="001F5F5B">
          <w:rPr>
            <w:webHidden/>
          </w:rPr>
          <w:tab/>
        </w:r>
        <w:r w:rsidR="001F5F5B">
          <w:rPr>
            <w:webHidden/>
          </w:rPr>
          <w:fldChar w:fldCharType="begin"/>
        </w:r>
        <w:r w:rsidR="001F5F5B">
          <w:rPr>
            <w:webHidden/>
          </w:rPr>
          <w:instrText xml:space="preserve"> PAGEREF _Toc151976140 \h </w:instrText>
        </w:r>
        <w:r w:rsidR="001F5F5B">
          <w:rPr>
            <w:webHidden/>
          </w:rPr>
        </w:r>
        <w:r w:rsidR="001F5F5B">
          <w:rPr>
            <w:webHidden/>
          </w:rPr>
          <w:fldChar w:fldCharType="separate"/>
        </w:r>
        <w:r w:rsidR="001F5F5B">
          <w:rPr>
            <w:webHidden/>
          </w:rPr>
          <w:t>8</w:t>
        </w:r>
        <w:r w:rsidR="001F5F5B">
          <w:rPr>
            <w:webHidden/>
          </w:rPr>
          <w:fldChar w:fldCharType="end"/>
        </w:r>
      </w:hyperlink>
    </w:p>
    <w:p w14:paraId="171DDC10" w14:textId="0C7A6BAE" w:rsidR="001F5F5B" w:rsidRDefault="00000000">
      <w:pPr>
        <w:pStyle w:val="TOC2"/>
        <w:rPr>
          <w:rFonts w:asciiTheme="minorHAnsi" w:eastAsiaTheme="minorEastAsia" w:hAnsiTheme="minorHAnsi" w:cstheme="minorBidi"/>
          <w:sz w:val="22"/>
          <w:szCs w:val="22"/>
          <w:lang w:eastAsia="en-AU"/>
        </w:rPr>
      </w:pPr>
      <w:hyperlink w:anchor="_Toc151976141" w:history="1">
        <w:r w:rsidR="001F5F5B" w:rsidRPr="0022372F">
          <w:rPr>
            <w:rStyle w:val="Hyperlink"/>
          </w:rPr>
          <w:t>Barriers to good health and wellbeing</w:t>
        </w:r>
        <w:r w:rsidR="001F5F5B">
          <w:rPr>
            <w:webHidden/>
          </w:rPr>
          <w:tab/>
        </w:r>
        <w:r w:rsidR="001F5F5B">
          <w:rPr>
            <w:webHidden/>
          </w:rPr>
          <w:fldChar w:fldCharType="begin"/>
        </w:r>
        <w:r w:rsidR="001F5F5B">
          <w:rPr>
            <w:webHidden/>
          </w:rPr>
          <w:instrText xml:space="preserve"> PAGEREF _Toc151976141 \h </w:instrText>
        </w:r>
        <w:r w:rsidR="001F5F5B">
          <w:rPr>
            <w:webHidden/>
          </w:rPr>
        </w:r>
        <w:r w:rsidR="001F5F5B">
          <w:rPr>
            <w:webHidden/>
          </w:rPr>
          <w:fldChar w:fldCharType="separate"/>
        </w:r>
        <w:r w:rsidR="001F5F5B">
          <w:rPr>
            <w:webHidden/>
          </w:rPr>
          <w:t>9</w:t>
        </w:r>
        <w:r w:rsidR="001F5F5B">
          <w:rPr>
            <w:webHidden/>
          </w:rPr>
          <w:fldChar w:fldCharType="end"/>
        </w:r>
      </w:hyperlink>
    </w:p>
    <w:p w14:paraId="6F901EB0" w14:textId="09CC20CF" w:rsidR="001F5F5B" w:rsidRDefault="00000000">
      <w:pPr>
        <w:pStyle w:val="TOC1"/>
        <w:rPr>
          <w:rFonts w:asciiTheme="minorHAnsi" w:eastAsiaTheme="minorEastAsia" w:hAnsiTheme="minorHAnsi" w:cstheme="minorBidi"/>
          <w:b w:val="0"/>
          <w:sz w:val="22"/>
          <w:szCs w:val="22"/>
          <w:lang w:eastAsia="en-AU"/>
        </w:rPr>
      </w:pPr>
      <w:hyperlink w:anchor="_Toc151976142" w:history="1">
        <w:r w:rsidR="001F5F5B" w:rsidRPr="0022372F">
          <w:rPr>
            <w:rStyle w:val="Hyperlink"/>
          </w:rPr>
          <w:t>Targets</w:t>
        </w:r>
        <w:r w:rsidR="001F5F5B">
          <w:rPr>
            <w:webHidden/>
          </w:rPr>
          <w:tab/>
        </w:r>
        <w:r w:rsidR="001F5F5B">
          <w:rPr>
            <w:webHidden/>
          </w:rPr>
          <w:fldChar w:fldCharType="begin"/>
        </w:r>
        <w:r w:rsidR="001F5F5B">
          <w:rPr>
            <w:webHidden/>
          </w:rPr>
          <w:instrText xml:space="preserve"> PAGEREF _Toc151976142 \h </w:instrText>
        </w:r>
        <w:r w:rsidR="001F5F5B">
          <w:rPr>
            <w:webHidden/>
          </w:rPr>
        </w:r>
        <w:r w:rsidR="001F5F5B">
          <w:rPr>
            <w:webHidden/>
          </w:rPr>
          <w:fldChar w:fldCharType="separate"/>
        </w:r>
        <w:r w:rsidR="001F5F5B">
          <w:rPr>
            <w:webHidden/>
          </w:rPr>
          <w:t>10</w:t>
        </w:r>
        <w:r w:rsidR="001F5F5B">
          <w:rPr>
            <w:webHidden/>
          </w:rPr>
          <w:fldChar w:fldCharType="end"/>
        </w:r>
      </w:hyperlink>
    </w:p>
    <w:p w14:paraId="06F62DB8" w14:textId="4FF5F87B" w:rsidR="001F5F5B" w:rsidRDefault="00000000">
      <w:pPr>
        <w:pStyle w:val="TOC1"/>
        <w:rPr>
          <w:rFonts w:asciiTheme="minorHAnsi" w:eastAsiaTheme="minorEastAsia" w:hAnsiTheme="minorHAnsi" w:cstheme="minorBidi"/>
          <w:b w:val="0"/>
          <w:sz w:val="22"/>
          <w:szCs w:val="22"/>
          <w:lang w:eastAsia="en-AU"/>
        </w:rPr>
      </w:pPr>
      <w:hyperlink w:anchor="_Toc151976143" w:history="1">
        <w:r w:rsidR="001F5F5B" w:rsidRPr="0022372F">
          <w:rPr>
            <w:rStyle w:val="Hyperlink"/>
          </w:rPr>
          <w:t>Domain 1: Victorians are healthy and well</w:t>
        </w:r>
        <w:r w:rsidR="001F5F5B">
          <w:rPr>
            <w:webHidden/>
          </w:rPr>
          <w:tab/>
        </w:r>
        <w:r w:rsidR="001F5F5B">
          <w:rPr>
            <w:webHidden/>
          </w:rPr>
          <w:fldChar w:fldCharType="begin"/>
        </w:r>
        <w:r w:rsidR="001F5F5B">
          <w:rPr>
            <w:webHidden/>
          </w:rPr>
          <w:instrText xml:space="preserve"> PAGEREF _Toc151976143 \h </w:instrText>
        </w:r>
        <w:r w:rsidR="001F5F5B">
          <w:rPr>
            <w:webHidden/>
          </w:rPr>
        </w:r>
        <w:r w:rsidR="001F5F5B">
          <w:rPr>
            <w:webHidden/>
          </w:rPr>
          <w:fldChar w:fldCharType="separate"/>
        </w:r>
        <w:r w:rsidR="001F5F5B">
          <w:rPr>
            <w:webHidden/>
          </w:rPr>
          <w:t>12</w:t>
        </w:r>
        <w:r w:rsidR="001F5F5B">
          <w:rPr>
            <w:webHidden/>
          </w:rPr>
          <w:fldChar w:fldCharType="end"/>
        </w:r>
      </w:hyperlink>
    </w:p>
    <w:p w14:paraId="2D448EFD" w14:textId="3EFC73D1" w:rsidR="001F5F5B" w:rsidRDefault="00000000">
      <w:pPr>
        <w:pStyle w:val="TOC2"/>
        <w:rPr>
          <w:rFonts w:asciiTheme="minorHAnsi" w:eastAsiaTheme="minorEastAsia" w:hAnsiTheme="minorHAnsi" w:cstheme="minorBidi"/>
          <w:sz w:val="22"/>
          <w:szCs w:val="22"/>
          <w:lang w:eastAsia="en-AU"/>
        </w:rPr>
      </w:pPr>
      <w:hyperlink w:anchor="_Toc151976144" w:history="1">
        <w:r w:rsidR="001F5F5B" w:rsidRPr="0022372F">
          <w:rPr>
            <w:rStyle w:val="Hyperlink"/>
          </w:rPr>
          <w:t>Outcome 1.1: Victorians have good physical health</w:t>
        </w:r>
        <w:r w:rsidR="001F5F5B">
          <w:rPr>
            <w:webHidden/>
          </w:rPr>
          <w:tab/>
        </w:r>
        <w:r w:rsidR="001F5F5B">
          <w:rPr>
            <w:webHidden/>
          </w:rPr>
          <w:fldChar w:fldCharType="begin"/>
        </w:r>
        <w:r w:rsidR="001F5F5B">
          <w:rPr>
            <w:webHidden/>
          </w:rPr>
          <w:instrText xml:space="preserve"> PAGEREF _Toc151976144 \h </w:instrText>
        </w:r>
        <w:r w:rsidR="001F5F5B">
          <w:rPr>
            <w:webHidden/>
          </w:rPr>
        </w:r>
        <w:r w:rsidR="001F5F5B">
          <w:rPr>
            <w:webHidden/>
          </w:rPr>
          <w:fldChar w:fldCharType="separate"/>
        </w:r>
        <w:r w:rsidR="001F5F5B">
          <w:rPr>
            <w:webHidden/>
          </w:rPr>
          <w:t>12</w:t>
        </w:r>
        <w:r w:rsidR="001F5F5B">
          <w:rPr>
            <w:webHidden/>
          </w:rPr>
          <w:fldChar w:fldCharType="end"/>
        </w:r>
      </w:hyperlink>
    </w:p>
    <w:p w14:paraId="3A2E3AA8" w14:textId="1A5842AD" w:rsidR="001F5F5B" w:rsidRDefault="00000000">
      <w:pPr>
        <w:pStyle w:val="TOC2"/>
        <w:rPr>
          <w:rFonts w:asciiTheme="minorHAnsi" w:eastAsiaTheme="minorEastAsia" w:hAnsiTheme="minorHAnsi" w:cstheme="minorBidi"/>
          <w:sz w:val="22"/>
          <w:szCs w:val="22"/>
          <w:lang w:eastAsia="en-AU"/>
        </w:rPr>
      </w:pPr>
      <w:hyperlink w:anchor="_Toc151976145" w:history="1">
        <w:r w:rsidR="001F5F5B" w:rsidRPr="0022372F">
          <w:rPr>
            <w:rStyle w:val="Hyperlink"/>
          </w:rPr>
          <w:t>Outcome 1.2: Victorians have good mental health</w:t>
        </w:r>
        <w:r w:rsidR="001F5F5B">
          <w:rPr>
            <w:webHidden/>
          </w:rPr>
          <w:tab/>
        </w:r>
        <w:r w:rsidR="001F5F5B">
          <w:rPr>
            <w:webHidden/>
          </w:rPr>
          <w:fldChar w:fldCharType="begin"/>
        </w:r>
        <w:r w:rsidR="001F5F5B">
          <w:rPr>
            <w:webHidden/>
          </w:rPr>
          <w:instrText xml:space="preserve"> PAGEREF _Toc151976145 \h </w:instrText>
        </w:r>
        <w:r w:rsidR="001F5F5B">
          <w:rPr>
            <w:webHidden/>
          </w:rPr>
        </w:r>
        <w:r w:rsidR="001F5F5B">
          <w:rPr>
            <w:webHidden/>
          </w:rPr>
          <w:fldChar w:fldCharType="separate"/>
        </w:r>
        <w:r w:rsidR="001F5F5B">
          <w:rPr>
            <w:webHidden/>
          </w:rPr>
          <w:t>19</w:t>
        </w:r>
        <w:r w:rsidR="001F5F5B">
          <w:rPr>
            <w:webHidden/>
          </w:rPr>
          <w:fldChar w:fldCharType="end"/>
        </w:r>
      </w:hyperlink>
    </w:p>
    <w:p w14:paraId="1A8D0218" w14:textId="11F9AC5A" w:rsidR="001F5F5B" w:rsidRDefault="00000000">
      <w:pPr>
        <w:pStyle w:val="TOC2"/>
        <w:rPr>
          <w:rFonts w:asciiTheme="minorHAnsi" w:eastAsiaTheme="minorEastAsia" w:hAnsiTheme="minorHAnsi" w:cstheme="minorBidi"/>
          <w:sz w:val="22"/>
          <w:szCs w:val="22"/>
          <w:lang w:eastAsia="en-AU"/>
        </w:rPr>
      </w:pPr>
      <w:hyperlink w:anchor="_Toc151976146" w:history="1">
        <w:r w:rsidR="001F5F5B" w:rsidRPr="0022372F">
          <w:rPr>
            <w:rStyle w:val="Hyperlink"/>
          </w:rPr>
          <w:t>Outcome 1.3: Victorians act to protect and promote health</w:t>
        </w:r>
        <w:r w:rsidR="001F5F5B">
          <w:rPr>
            <w:webHidden/>
          </w:rPr>
          <w:tab/>
        </w:r>
        <w:r w:rsidR="001F5F5B">
          <w:rPr>
            <w:webHidden/>
          </w:rPr>
          <w:fldChar w:fldCharType="begin"/>
        </w:r>
        <w:r w:rsidR="001F5F5B">
          <w:rPr>
            <w:webHidden/>
          </w:rPr>
          <w:instrText xml:space="preserve"> PAGEREF _Toc151976146 \h </w:instrText>
        </w:r>
        <w:r w:rsidR="001F5F5B">
          <w:rPr>
            <w:webHidden/>
          </w:rPr>
        </w:r>
        <w:r w:rsidR="001F5F5B">
          <w:rPr>
            <w:webHidden/>
          </w:rPr>
          <w:fldChar w:fldCharType="separate"/>
        </w:r>
        <w:r w:rsidR="001F5F5B">
          <w:rPr>
            <w:webHidden/>
          </w:rPr>
          <w:t>22</w:t>
        </w:r>
        <w:r w:rsidR="001F5F5B">
          <w:rPr>
            <w:webHidden/>
          </w:rPr>
          <w:fldChar w:fldCharType="end"/>
        </w:r>
      </w:hyperlink>
    </w:p>
    <w:p w14:paraId="2E961C00" w14:textId="0AF3ECE0" w:rsidR="001F5F5B" w:rsidRDefault="00000000">
      <w:pPr>
        <w:pStyle w:val="TOC1"/>
        <w:rPr>
          <w:rFonts w:asciiTheme="minorHAnsi" w:eastAsiaTheme="minorEastAsia" w:hAnsiTheme="minorHAnsi" w:cstheme="minorBidi"/>
          <w:b w:val="0"/>
          <w:sz w:val="22"/>
          <w:szCs w:val="22"/>
          <w:lang w:eastAsia="en-AU"/>
        </w:rPr>
      </w:pPr>
      <w:hyperlink w:anchor="_Toc151976147" w:history="1">
        <w:r w:rsidR="001F5F5B" w:rsidRPr="0022372F">
          <w:rPr>
            <w:rStyle w:val="Hyperlink"/>
          </w:rPr>
          <w:t>Domain 2: Victorians are safe and secure</w:t>
        </w:r>
        <w:r w:rsidR="001F5F5B">
          <w:rPr>
            <w:webHidden/>
          </w:rPr>
          <w:tab/>
        </w:r>
        <w:r w:rsidR="001F5F5B">
          <w:rPr>
            <w:webHidden/>
          </w:rPr>
          <w:fldChar w:fldCharType="begin"/>
        </w:r>
        <w:r w:rsidR="001F5F5B">
          <w:rPr>
            <w:webHidden/>
          </w:rPr>
          <w:instrText xml:space="preserve"> PAGEREF _Toc151976147 \h </w:instrText>
        </w:r>
        <w:r w:rsidR="001F5F5B">
          <w:rPr>
            <w:webHidden/>
          </w:rPr>
        </w:r>
        <w:r w:rsidR="001F5F5B">
          <w:rPr>
            <w:webHidden/>
          </w:rPr>
          <w:fldChar w:fldCharType="separate"/>
        </w:r>
        <w:r w:rsidR="001F5F5B">
          <w:rPr>
            <w:webHidden/>
          </w:rPr>
          <w:t>29</w:t>
        </w:r>
        <w:r w:rsidR="001F5F5B">
          <w:rPr>
            <w:webHidden/>
          </w:rPr>
          <w:fldChar w:fldCharType="end"/>
        </w:r>
      </w:hyperlink>
    </w:p>
    <w:p w14:paraId="4FBCF834" w14:textId="713F402C" w:rsidR="001F5F5B" w:rsidRDefault="00000000">
      <w:pPr>
        <w:pStyle w:val="TOC2"/>
        <w:rPr>
          <w:rFonts w:asciiTheme="minorHAnsi" w:eastAsiaTheme="minorEastAsia" w:hAnsiTheme="minorHAnsi" w:cstheme="minorBidi"/>
          <w:sz w:val="22"/>
          <w:szCs w:val="22"/>
          <w:lang w:eastAsia="en-AU"/>
        </w:rPr>
      </w:pPr>
      <w:hyperlink w:anchor="_Toc151976148" w:history="1">
        <w:r w:rsidR="001F5F5B" w:rsidRPr="0022372F">
          <w:rPr>
            <w:rStyle w:val="Hyperlink"/>
          </w:rPr>
          <w:t>Outcome 2.1: Victorians live free from abuse and violence</w:t>
        </w:r>
        <w:r w:rsidR="001F5F5B">
          <w:rPr>
            <w:webHidden/>
          </w:rPr>
          <w:tab/>
        </w:r>
        <w:r w:rsidR="001F5F5B">
          <w:rPr>
            <w:webHidden/>
          </w:rPr>
          <w:fldChar w:fldCharType="begin"/>
        </w:r>
        <w:r w:rsidR="001F5F5B">
          <w:rPr>
            <w:webHidden/>
          </w:rPr>
          <w:instrText xml:space="preserve"> PAGEREF _Toc151976148 \h </w:instrText>
        </w:r>
        <w:r w:rsidR="001F5F5B">
          <w:rPr>
            <w:webHidden/>
          </w:rPr>
        </w:r>
        <w:r w:rsidR="001F5F5B">
          <w:rPr>
            <w:webHidden/>
          </w:rPr>
          <w:fldChar w:fldCharType="separate"/>
        </w:r>
        <w:r w:rsidR="001F5F5B">
          <w:rPr>
            <w:webHidden/>
          </w:rPr>
          <w:t>29</w:t>
        </w:r>
        <w:r w:rsidR="001F5F5B">
          <w:rPr>
            <w:webHidden/>
          </w:rPr>
          <w:fldChar w:fldCharType="end"/>
        </w:r>
      </w:hyperlink>
    </w:p>
    <w:p w14:paraId="1F8AB251" w14:textId="212BB415" w:rsidR="001F5F5B" w:rsidRDefault="00000000">
      <w:pPr>
        <w:pStyle w:val="TOC2"/>
        <w:rPr>
          <w:rFonts w:asciiTheme="minorHAnsi" w:eastAsiaTheme="minorEastAsia" w:hAnsiTheme="minorHAnsi" w:cstheme="minorBidi"/>
          <w:sz w:val="22"/>
          <w:szCs w:val="22"/>
          <w:lang w:eastAsia="en-AU"/>
        </w:rPr>
      </w:pPr>
      <w:hyperlink w:anchor="_Toc151976149" w:history="1">
        <w:r w:rsidR="001F5F5B" w:rsidRPr="0022372F">
          <w:rPr>
            <w:rStyle w:val="Hyperlink"/>
          </w:rPr>
          <w:t>Outcome 2.2: Victorians have suitable and stable housing</w:t>
        </w:r>
        <w:r w:rsidR="001F5F5B">
          <w:rPr>
            <w:webHidden/>
          </w:rPr>
          <w:tab/>
        </w:r>
        <w:r w:rsidR="001F5F5B">
          <w:rPr>
            <w:webHidden/>
          </w:rPr>
          <w:fldChar w:fldCharType="begin"/>
        </w:r>
        <w:r w:rsidR="001F5F5B">
          <w:rPr>
            <w:webHidden/>
          </w:rPr>
          <w:instrText xml:space="preserve"> PAGEREF _Toc151976149 \h </w:instrText>
        </w:r>
        <w:r w:rsidR="001F5F5B">
          <w:rPr>
            <w:webHidden/>
          </w:rPr>
        </w:r>
        <w:r w:rsidR="001F5F5B">
          <w:rPr>
            <w:webHidden/>
          </w:rPr>
          <w:fldChar w:fldCharType="separate"/>
        </w:r>
        <w:r w:rsidR="001F5F5B">
          <w:rPr>
            <w:webHidden/>
          </w:rPr>
          <w:t>30</w:t>
        </w:r>
        <w:r w:rsidR="001F5F5B">
          <w:rPr>
            <w:webHidden/>
          </w:rPr>
          <w:fldChar w:fldCharType="end"/>
        </w:r>
      </w:hyperlink>
    </w:p>
    <w:p w14:paraId="26E79595" w14:textId="2D997156" w:rsidR="001F5F5B" w:rsidRDefault="00000000">
      <w:pPr>
        <w:pStyle w:val="TOC1"/>
        <w:rPr>
          <w:rFonts w:asciiTheme="minorHAnsi" w:eastAsiaTheme="minorEastAsia" w:hAnsiTheme="minorHAnsi" w:cstheme="minorBidi"/>
          <w:b w:val="0"/>
          <w:sz w:val="22"/>
          <w:szCs w:val="22"/>
          <w:lang w:eastAsia="en-AU"/>
        </w:rPr>
      </w:pPr>
      <w:hyperlink w:anchor="_Toc151976150" w:history="1">
        <w:r w:rsidR="001F5F5B" w:rsidRPr="0022372F">
          <w:rPr>
            <w:rStyle w:val="Hyperlink"/>
          </w:rPr>
          <w:t>Domain 3: Victorians have the capabilities to participate</w:t>
        </w:r>
        <w:r w:rsidR="001F5F5B">
          <w:rPr>
            <w:webHidden/>
          </w:rPr>
          <w:tab/>
        </w:r>
        <w:r w:rsidR="001F5F5B">
          <w:rPr>
            <w:webHidden/>
          </w:rPr>
          <w:fldChar w:fldCharType="begin"/>
        </w:r>
        <w:r w:rsidR="001F5F5B">
          <w:rPr>
            <w:webHidden/>
          </w:rPr>
          <w:instrText xml:space="preserve"> PAGEREF _Toc151976150 \h </w:instrText>
        </w:r>
        <w:r w:rsidR="001F5F5B">
          <w:rPr>
            <w:webHidden/>
          </w:rPr>
        </w:r>
        <w:r w:rsidR="001F5F5B">
          <w:rPr>
            <w:webHidden/>
          </w:rPr>
          <w:fldChar w:fldCharType="separate"/>
        </w:r>
        <w:r w:rsidR="001F5F5B">
          <w:rPr>
            <w:webHidden/>
          </w:rPr>
          <w:t>30</w:t>
        </w:r>
        <w:r w:rsidR="001F5F5B">
          <w:rPr>
            <w:webHidden/>
          </w:rPr>
          <w:fldChar w:fldCharType="end"/>
        </w:r>
      </w:hyperlink>
    </w:p>
    <w:p w14:paraId="1D624BE6" w14:textId="438E2BA4" w:rsidR="001F5F5B" w:rsidRDefault="00000000">
      <w:pPr>
        <w:pStyle w:val="TOC2"/>
        <w:rPr>
          <w:rFonts w:asciiTheme="minorHAnsi" w:eastAsiaTheme="minorEastAsia" w:hAnsiTheme="minorHAnsi" w:cstheme="minorBidi"/>
          <w:sz w:val="22"/>
          <w:szCs w:val="22"/>
          <w:lang w:eastAsia="en-AU"/>
        </w:rPr>
      </w:pPr>
      <w:hyperlink w:anchor="_Toc151976151" w:history="1">
        <w:r w:rsidR="001F5F5B" w:rsidRPr="0022372F">
          <w:rPr>
            <w:rStyle w:val="Hyperlink"/>
          </w:rPr>
          <w:t>Outcome 3.2: Victorians participate in and contribute to the economy</w:t>
        </w:r>
        <w:r w:rsidR="001F5F5B">
          <w:rPr>
            <w:webHidden/>
          </w:rPr>
          <w:tab/>
        </w:r>
        <w:r w:rsidR="001F5F5B">
          <w:rPr>
            <w:webHidden/>
          </w:rPr>
          <w:fldChar w:fldCharType="begin"/>
        </w:r>
        <w:r w:rsidR="001F5F5B">
          <w:rPr>
            <w:webHidden/>
          </w:rPr>
          <w:instrText xml:space="preserve"> PAGEREF _Toc151976151 \h </w:instrText>
        </w:r>
        <w:r w:rsidR="001F5F5B">
          <w:rPr>
            <w:webHidden/>
          </w:rPr>
        </w:r>
        <w:r w:rsidR="001F5F5B">
          <w:rPr>
            <w:webHidden/>
          </w:rPr>
          <w:fldChar w:fldCharType="separate"/>
        </w:r>
        <w:r w:rsidR="001F5F5B">
          <w:rPr>
            <w:webHidden/>
          </w:rPr>
          <w:t>30</w:t>
        </w:r>
        <w:r w:rsidR="001F5F5B">
          <w:rPr>
            <w:webHidden/>
          </w:rPr>
          <w:fldChar w:fldCharType="end"/>
        </w:r>
      </w:hyperlink>
    </w:p>
    <w:p w14:paraId="5F067711" w14:textId="7004E6AD" w:rsidR="001F5F5B" w:rsidRDefault="00000000">
      <w:pPr>
        <w:pStyle w:val="TOC2"/>
        <w:rPr>
          <w:rFonts w:asciiTheme="minorHAnsi" w:eastAsiaTheme="minorEastAsia" w:hAnsiTheme="minorHAnsi" w:cstheme="minorBidi"/>
          <w:sz w:val="22"/>
          <w:szCs w:val="22"/>
          <w:lang w:eastAsia="en-AU"/>
        </w:rPr>
      </w:pPr>
      <w:hyperlink w:anchor="_Toc151976152" w:history="1">
        <w:r w:rsidR="001F5F5B" w:rsidRPr="0022372F">
          <w:rPr>
            <w:rStyle w:val="Hyperlink"/>
          </w:rPr>
          <w:t>Outcome 3.3: Victorians have financial security</w:t>
        </w:r>
        <w:r w:rsidR="001F5F5B">
          <w:rPr>
            <w:webHidden/>
          </w:rPr>
          <w:tab/>
        </w:r>
        <w:r w:rsidR="001F5F5B">
          <w:rPr>
            <w:webHidden/>
          </w:rPr>
          <w:fldChar w:fldCharType="begin"/>
        </w:r>
        <w:r w:rsidR="001F5F5B">
          <w:rPr>
            <w:webHidden/>
          </w:rPr>
          <w:instrText xml:space="preserve"> PAGEREF _Toc151976152 \h </w:instrText>
        </w:r>
        <w:r w:rsidR="001F5F5B">
          <w:rPr>
            <w:webHidden/>
          </w:rPr>
        </w:r>
        <w:r w:rsidR="001F5F5B">
          <w:rPr>
            <w:webHidden/>
          </w:rPr>
          <w:fldChar w:fldCharType="separate"/>
        </w:r>
        <w:r w:rsidR="001F5F5B">
          <w:rPr>
            <w:webHidden/>
          </w:rPr>
          <w:t>31</w:t>
        </w:r>
        <w:r w:rsidR="001F5F5B">
          <w:rPr>
            <w:webHidden/>
          </w:rPr>
          <w:fldChar w:fldCharType="end"/>
        </w:r>
      </w:hyperlink>
    </w:p>
    <w:p w14:paraId="1612B014" w14:textId="612F53E1" w:rsidR="001F5F5B" w:rsidRDefault="00000000">
      <w:pPr>
        <w:pStyle w:val="TOC1"/>
        <w:rPr>
          <w:rFonts w:asciiTheme="minorHAnsi" w:eastAsiaTheme="minorEastAsia" w:hAnsiTheme="minorHAnsi" w:cstheme="minorBidi"/>
          <w:b w:val="0"/>
          <w:sz w:val="22"/>
          <w:szCs w:val="22"/>
          <w:lang w:eastAsia="en-AU"/>
        </w:rPr>
      </w:pPr>
      <w:hyperlink w:anchor="_Toc151976153" w:history="1">
        <w:r w:rsidR="001F5F5B" w:rsidRPr="0022372F">
          <w:rPr>
            <w:rStyle w:val="Hyperlink"/>
          </w:rPr>
          <w:t>Domain 4: Victorians are connected to culture and community</w:t>
        </w:r>
        <w:r w:rsidR="001F5F5B">
          <w:rPr>
            <w:webHidden/>
          </w:rPr>
          <w:tab/>
        </w:r>
        <w:r w:rsidR="001F5F5B">
          <w:rPr>
            <w:webHidden/>
          </w:rPr>
          <w:fldChar w:fldCharType="begin"/>
        </w:r>
        <w:r w:rsidR="001F5F5B">
          <w:rPr>
            <w:webHidden/>
          </w:rPr>
          <w:instrText xml:space="preserve"> PAGEREF _Toc151976153 \h </w:instrText>
        </w:r>
        <w:r w:rsidR="001F5F5B">
          <w:rPr>
            <w:webHidden/>
          </w:rPr>
        </w:r>
        <w:r w:rsidR="001F5F5B">
          <w:rPr>
            <w:webHidden/>
          </w:rPr>
          <w:fldChar w:fldCharType="separate"/>
        </w:r>
        <w:r w:rsidR="001F5F5B">
          <w:rPr>
            <w:webHidden/>
          </w:rPr>
          <w:t>32</w:t>
        </w:r>
        <w:r w:rsidR="001F5F5B">
          <w:rPr>
            <w:webHidden/>
          </w:rPr>
          <w:fldChar w:fldCharType="end"/>
        </w:r>
      </w:hyperlink>
    </w:p>
    <w:p w14:paraId="65F9AE21" w14:textId="7738ACBD" w:rsidR="001F5F5B" w:rsidRDefault="00000000">
      <w:pPr>
        <w:pStyle w:val="TOC2"/>
        <w:rPr>
          <w:rFonts w:asciiTheme="minorHAnsi" w:eastAsiaTheme="minorEastAsia" w:hAnsiTheme="minorHAnsi" w:cstheme="minorBidi"/>
          <w:sz w:val="22"/>
          <w:szCs w:val="22"/>
          <w:lang w:eastAsia="en-AU"/>
        </w:rPr>
      </w:pPr>
      <w:hyperlink w:anchor="_Toc151976154" w:history="1">
        <w:r w:rsidR="001F5F5B" w:rsidRPr="0022372F">
          <w:rPr>
            <w:rStyle w:val="Hyperlink"/>
            <w:lang w:eastAsia="en-AU"/>
          </w:rPr>
          <w:t>Outcome 4.1: Victorians are socially engaged and live in inclusive communities</w:t>
        </w:r>
        <w:r w:rsidR="001F5F5B">
          <w:rPr>
            <w:webHidden/>
          </w:rPr>
          <w:tab/>
        </w:r>
        <w:r w:rsidR="001F5F5B">
          <w:rPr>
            <w:webHidden/>
          </w:rPr>
          <w:fldChar w:fldCharType="begin"/>
        </w:r>
        <w:r w:rsidR="001F5F5B">
          <w:rPr>
            <w:webHidden/>
          </w:rPr>
          <w:instrText xml:space="preserve"> PAGEREF _Toc151976154 \h </w:instrText>
        </w:r>
        <w:r w:rsidR="001F5F5B">
          <w:rPr>
            <w:webHidden/>
          </w:rPr>
        </w:r>
        <w:r w:rsidR="001F5F5B">
          <w:rPr>
            <w:webHidden/>
          </w:rPr>
          <w:fldChar w:fldCharType="separate"/>
        </w:r>
        <w:r w:rsidR="001F5F5B">
          <w:rPr>
            <w:webHidden/>
          </w:rPr>
          <w:t>32</w:t>
        </w:r>
        <w:r w:rsidR="001F5F5B">
          <w:rPr>
            <w:webHidden/>
          </w:rPr>
          <w:fldChar w:fldCharType="end"/>
        </w:r>
      </w:hyperlink>
    </w:p>
    <w:p w14:paraId="369A110A" w14:textId="6B5AE25B" w:rsidR="001F5F5B" w:rsidRDefault="00000000">
      <w:pPr>
        <w:pStyle w:val="TOC2"/>
        <w:rPr>
          <w:rFonts w:asciiTheme="minorHAnsi" w:eastAsiaTheme="minorEastAsia" w:hAnsiTheme="minorHAnsi" w:cstheme="minorBidi"/>
          <w:sz w:val="22"/>
          <w:szCs w:val="22"/>
          <w:lang w:eastAsia="en-AU"/>
        </w:rPr>
      </w:pPr>
      <w:hyperlink w:anchor="_Toc151976155" w:history="1">
        <w:r w:rsidR="001F5F5B" w:rsidRPr="0022372F">
          <w:rPr>
            <w:rStyle w:val="Hyperlink"/>
            <w:lang w:eastAsia="en-AU"/>
          </w:rPr>
          <w:t>Outcome 4.2: Victorians can safely identify with their culture and identity</w:t>
        </w:r>
        <w:r w:rsidR="001F5F5B">
          <w:rPr>
            <w:webHidden/>
          </w:rPr>
          <w:tab/>
        </w:r>
        <w:r w:rsidR="001F5F5B">
          <w:rPr>
            <w:webHidden/>
          </w:rPr>
          <w:fldChar w:fldCharType="begin"/>
        </w:r>
        <w:r w:rsidR="001F5F5B">
          <w:rPr>
            <w:webHidden/>
          </w:rPr>
          <w:instrText xml:space="preserve"> PAGEREF _Toc151976155 \h </w:instrText>
        </w:r>
        <w:r w:rsidR="001F5F5B">
          <w:rPr>
            <w:webHidden/>
          </w:rPr>
        </w:r>
        <w:r w:rsidR="001F5F5B">
          <w:rPr>
            <w:webHidden/>
          </w:rPr>
          <w:fldChar w:fldCharType="separate"/>
        </w:r>
        <w:r w:rsidR="001F5F5B">
          <w:rPr>
            <w:webHidden/>
          </w:rPr>
          <w:t>34</w:t>
        </w:r>
        <w:r w:rsidR="001F5F5B">
          <w:rPr>
            <w:webHidden/>
          </w:rPr>
          <w:fldChar w:fldCharType="end"/>
        </w:r>
      </w:hyperlink>
    </w:p>
    <w:p w14:paraId="4F8C796F" w14:textId="78C43E81" w:rsidR="001F5F5B" w:rsidRDefault="00000000">
      <w:pPr>
        <w:pStyle w:val="TOC1"/>
        <w:rPr>
          <w:rFonts w:asciiTheme="minorHAnsi" w:eastAsiaTheme="minorEastAsia" w:hAnsiTheme="minorHAnsi" w:cstheme="minorBidi"/>
          <w:b w:val="0"/>
          <w:sz w:val="22"/>
          <w:szCs w:val="22"/>
          <w:lang w:eastAsia="en-AU"/>
        </w:rPr>
      </w:pPr>
      <w:hyperlink w:anchor="_Toc151976156" w:history="1">
        <w:r w:rsidR="001F5F5B" w:rsidRPr="0022372F">
          <w:rPr>
            <w:rStyle w:val="Hyperlink"/>
          </w:rPr>
          <w:t>Domain 5: Victoria is liveable</w:t>
        </w:r>
        <w:r w:rsidR="001F5F5B">
          <w:rPr>
            <w:webHidden/>
          </w:rPr>
          <w:tab/>
        </w:r>
        <w:r w:rsidR="001F5F5B">
          <w:rPr>
            <w:webHidden/>
          </w:rPr>
          <w:fldChar w:fldCharType="begin"/>
        </w:r>
        <w:r w:rsidR="001F5F5B">
          <w:rPr>
            <w:webHidden/>
          </w:rPr>
          <w:instrText xml:space="preserve"> PAGEREF _Toc151976156 \h </w:instrText>
        </w:r>
        <w:r w:rsidR="001F5F5B">
          <w:rPr>
            <w:webHidden/>
          </w:rPr>
        </w:r>
        <w:r w:rsidR="001F5F5B">
          <w:rPr>
            <w:webHidden/>
          </w:rPr>
          <w:fldChar w:fldCharType="separate"/>
        </w:r>
        <w:r w:rsidR="001F5F5B">
          <w:rPr>
            <w:webHidden/>
          </w:rPr>
          <w:t>35</w:t>
        </w:r>
        <w:r w:rsidR="001F5F5B">
          <w:rPr>
            <w:webHidden/>
          </w:rPr>
          <w:fldChar w:fldCharType="end"/>
        </w:r>
      </w:hyperlink>
    </w:p>
    <w:p w14:paraId="5B1B7821" w14:textId="1DFAE2D7" w:rsidR="001F5F5B" w:rsidRDefault="00000000">
      <w:pPr>
        <w:pStyle w:val="TOC2"/>
        <w:rPr>
          <w:rFonts w:asciiTheme="minorHAnsi" w:eastAsiaTheme="minorEastAsia" w:hAnsiTheme="minorHAnsi" w:cstheme="minorBidi"/>
          <w:sz w:val="22"/>
          <w:szCs w:val="22"/>
          <w:lang w:eastAsia="en-AU"/>
        </w:rPr>
      </w:pPr>
      <w:hyperlink w:anchor="_Toc151976157" w:history="1">
        <w:r w:rsidR="001F5F5B" w:rsidRPr="0022372F">
          <w:rPr>
            <w:rStyle w:val="Hyperlink"/>
          </w:rPr>
          <w:t>Outcome 5.2: Victorians have access to sustainable built and natural environments</w:t>
        </w:r>
        <w:r w:rsidR="001F5F5B">
          <w:rPr>
            <w:webHidden/>
          </w:rPr>
          <w:tab/>
        </w:r>
        <w:r w:rsidR="001F5F5B">
          <w:rPr>
            <w:webHidden/>
          </w:rPr>
          <w:fldChar w:fldCharType="begin"/>
        </w:r>
        <w:r w:rsidR="001F5F5B">
          <w:rPr>
            <w:webHidden/>
          </w:rPr>
          <w:instrText xml:space="preserve"> PAGEREF _Toc151976157 \h </w:instrText>
        </w:r>
        <w:r w:rsidR="001F5F5B">
          <w:rPr>
            <w:webHidden/>
          </w:rPr>
        </w:r>
        <w:r w:rsidR="001F5F5B">
          <w:rPr>
            <w:webHidden/>
          </w:rPr>
          <w:fldChar w:fldCharType="separate"/>
        </w:r>
        <w:r w:rsidR="001F5F5B">
          <w:rPr>
            <w:webHidden/>
          </w:rPr>
          <w:t>35</w:t>
        </w:r>
        <w:r w:rsidR="001F5F5B">
          <w:rPr>
            <w:webHidden/>
          </w:rPr>
          <w:fldChar w:fldCharType="end"/>
        </w:r>
      </w:hyperlink>
    </w:p>
    <w:p w14:paraId="47DC7DE7" w14:textId="35872E99" w:rsidR="001F5F5B" w:rsidRDefault="00000000">
      <w:pPr>
        <w:pStyle w:val="TOC1"/>
        <w:rPr>
          <w:rFonts w:asciiTheme="minorHAnsi" w:eastAsiaTheme="minorEastAsia" w:hAnsiTheme="minorHAnsi" w:cstheme="minorBidi"/>
          <w:b w:val="0"/>
          <w:sz w:val="22"/>
          <w:szCs w:val="22"/>
          <w:lang w:eastAsia="en-AU"/>
        </w:rPr>
      </w:pPr>
      <w:hyperlink w:anchor="_Toc151976158" w:history="1">
        <w:r w:rsidR="001F5F5B" w:rsidRPr="0022372F">
          <w:rPr>
            <w:rStyle w:val="Hyperlink"/>
          </w:rPr>
          <w:t>Appendix 1: Glossary of terms and acronyms</w:t>
        </w:r>
        <w:r w:rsidR="001F5F5B">
          <w:rPr>
            <w:webHidden/>
          </w:rPr>
          <w:tab/>
        </w:r>
        <w:r w:rsidR="001F5F5B">
          <w:rPr>
            <w:webHidden/>
          </w:rPr>
          <w:fldChar w:fldCharType="begin"/>
        </w:r>
        <w:r w:rsidR="001F5F5B">
          <w:rPr>
            <w:webHidden/>
          </w:rPr>
          <w:instrText xml:space="preserve"> PAGEREF _Toc151976158 \h </w:instrText>
        </w:r>
        <w:r w:rsidR="001F5F5B">
          <w:rPr>
            <w:webHidden/>
          </w:rPr>
        </w:r>
        <w:r w:rsidR="001F5F5B">
          <w:rPr>
            <w:webHidden/>
          </w:rPr>
          <w:fldChar w:fldCharType="separate"/>
        </w:r>
        <w:r w:rsidR="001F5F5B">
          <w:rPr>
            <w:webHidden/>
          </w:rPr>
          <w:t>37</w:t>
        </w:r>
        <w:r w:rsidR="001F5F5B">
          <w:rPr>
            <w:webHidden/>
          </w:rPr>
          <w:fldChar w:fldCharType="end"/>
        </w:r>
      </w:hyperlink>
    </w:p>
    <w:p w14:paraId="70D6E0AE" w14:textId="3BB9BF37" w:rsidR="001F5F5B" w:rsidRDefault="00000000">
      <w:pPr>
        <w:pStyle w:val="TOC1"/>
        <w:rPr>
          <w:rFonts w:asciiTheme="minorHAnsi" w:eastAsiaTheme="minorEastAsia" w:hAnsiTheme="minorHAnsi" w:cstheme="minorBidi"/>
          <w:b w:val="0"/>
          <w:sz w:val="22"/>
          <w:szCs w:val="22"/>
          <w:lang w:eastAsia="en-AU"/>
        </w:rPr>
      </w:pPr>
      <w:hyperlink w:anchor="_Toc151976159" w:history="1">
        <w:r w:rsidR="001F5F5B" w:rsidRPr="0022372F">
          <w:rPr>
            <w:rStyle w:val="Hyperlink"/>
          </w:rPr>
          <w:t>Appendix 2: Datasets</w:t>
        </w:r>
        <w:r w:rsidR="001F5F5B">
          <w:rPr>
            <w:webHidden/>
          </w:rPr>
          <w:tab/>
        </w:r>
        <w:r w:rsidR="001F5F5B">
          <w:rPr>
            <w:webHidden/>
          </w:rPr>
          <w:fldChar w:fldCharType="begin"/>
        </w:r>
        <w:r w:rsidR="001F5F5B">
          <w:rPr>
            <w:webHidden/>
          </w:rPr>
          <w:instrText xml:space="preserve"> PAGEREF _Toc151976159 \h </w:instrText>
        </w:r>
        <w:r w:rsidR="001F5F5B">
          <w:rPr>
            <w:webHidden/>
          </w:rPr>
        </w:r>
        <w:r w:rsidR="001F5F5B">
          <w:rPr>
            <w:webHidden/>
          </w:rPr>
          <w:fldChar w:fldCharType="separate"/>
        </w:r>
        <w:r w:rsidR="001F5F5B">
          <w:rPr>
            <w:webHidden/>
          </w:rPr>
          <w:t>38</w:t>
        </w:r>
        <w:r w:rsidR="001F5F5B">
          <w:rPr>
            <w:webHidden/>
          </w:rPr>
          <w:fldChar w:fldCharType="end"/>
        </w:r>
      </w:hyperlink>
    </w:p>
    <w:p w14:paraId="7E766446" w14:textId="13C99F6F" w:rsidR="001F5F5B" w:rsidRDefault="00000000">
      <w:pPr>
        <w:pStyle w:val="TOC2"/>
        <w:rPr>
          <w:rFonts w:asciiTheme="minorHAnsi" w:eastAsiaTheme="minorEastAsia" w:hAnsiTheme="minorHAnsi" w:cstheme="minorBidi"/>
          <w:sz w:val="22"/>
          <w:szCs w:val="22"/>
          <w:lang w:eastAsia="en-AU"/>
        </w:rPr>
      </w:pPr>
      <w:hyperlink w:anchor="_Toc151976160" w:history="1">
        <w:r w:rsidR="001F5F5B" w:rsidRPr="0022372F">
          <w:rPr>
            <w:rStyle w:val="Hyperlink"/>
          </w:rPr>
          <w:t>Limitations of datasets</w:t>
        </w:r>
        <w:r w:rsidR="001F5F5B">
          <w:rPr>
            <w:webHidden/>
          </w:rPr>
          <w:tab/>
        </w:r>
        <w:r w:rsidR="001F5F5B">
          <w:rPr>
            <w:webHidden/>
          </w:rPr>
          <w:fldChar w:fldCharType="begin"/>
        </w:r>
        <w:r w:rsidR="001F5F5B">
          <w:rPr>
            <w:webHidden/>
          </w:rPr>
          <w:instrText xml:space="preserve"> PAGEREF _Toc151976160 \h </w:instrText>
        </w:r>
        <w:r w:rsidR="001F5F5B">
          <w:rPr>
            <w:webHidden/>
          </w:rPr>
        </w:r>
        <w:r w:rsidR="001F5F5B">
          <w:rPr>
            <w:webHidden/>
          </w:rPr>
          <w:fldChar w:fldCharType="separate"/>
        </w:r>
        <w:r w:rsidR="001F5F5B">
          <w:rPr>
            <w:webHidden/>
          </w:rPr>
          <w:t>38</w:t>
        </w:r>
        <w:r w:rsidR="001F5F5B">
          <w:rPr>
            <w:webHidden/>
          </w:rPr>
          <w:fldChar w:fldCharType="end"/>
        </w:r>
      </w:hyperlink>
    </w:p>
    <w:p w14:paraId="1EF1D561" w14:textId="5068623C" w:rsidR="001F5F5B" w:rsidRDefault="00000000">
      <w:pPr>
        <w:pStyle w:val="TOC2"/>
        <w:rPr>
          <w:rFonts w:asciiTheme="minorHAnsi" w:eastAsiaTheme="minorEastAsia" w:hAnsiTheme="minorHAnsi" w:cstheme="minorBidi"/>
          <w:sz w:val="22"/>
          <w:szCs w:val="22"/>
          <w:lang w:eastAsia="en-AU"/>
        </w:rPr>
      </w:pPr>
      <w:hyperlink w:anchor="_Toc151976161" w:history="1">
        <w:r w:rsidR="001F5F5B" w:rsidRPr="0022372F">
          <w:rPr>
            <w:rStyle w:val="Hyperlink"/>
          </w:rPr>
          <w:t>A note on the breakdowns</w:t>
        </w:r>
        <w:r w:rsidR="001F5F5B">
          <w:rPr>
            <w:webHidden/>
          </w:rPr>
          <w:tab/>
        </w:r>
        <w:r w:rsidR="001F5F5B">
          <w:rPr>
            <w:webHidden/>
          </w:rPr>
          <w:fldChar w:fldCharType="begin"/>
        </w:r>
        <w:r w:rsidR="001F5F5B">
          <w:rPr>
            <w:webHidden/>
          </w:rPr>
          <w:instrText xml:space="preserve"> PAGEREF _Toc151976161 \h </w:instrText>
        </w:r>
        <w:r w:rsidR="001F5F5B">
          <w:rPr>
            <w:webHidden/>
          </w:rPr>
        </w:r>
        <w:r w:rsidR="001F5F5B">
          <w:rPr>
            <w:webHidden/>
          </w:rPr>
          <w:fldChar w:fldCharType="separate"/>
        </w:r>
        <w:r w:rsidR="001F5F5B">
          <w:rPr>
            <w:webHidden/>
          </w:rPr>
          <w:t>38</w:t>
        </w:r>
        <w:r w:rsidR="001F5F5B">
          <w:rPr>
            <w:webHidden/>
          </w:rPr>
          <w:fldChar w:fldCharType="end"/>
        </w:r>
      </w:hyperlink>
    </w:p>
    <w:p w14:paraId="3E93BF22" w14:textId="10BFB8C4" w:rsidR="001F5F5B" w:rsidRDefault="00000000">
      <w:pPr>
        <w:pStyle w:val="TOC1"/>
        <w:rPr>
          <w:rFonts w:asciiTheme="minorHAnsi" w:eastAsiaTheme="minorEastAsia" w:hAnsiTheme="minorHAnsi" w:cstheme="minorBidi"/>
          <w:b w:val="0"/>
          <w:sz w:val="22"/>
          <w:szCs w:val="22"/>
          <w:lang w:eastAsia="en-AU"/>
        </w:rPr>
      </w:pPr>
      <w:hyperlink w:anchor="_Toc151976162" w:history="1">
        <w:r w:rsidR="001F5F5B" w:rsidRPr="0022372F">
          <w:rPr>
            <w:rStyle w:val="Hyperlink"/>
          </w:rPr>
          <w:t>References</w:t>
        </w:r>
        <w:r w:rsidR="001F5F5B">
          <w:rPr>
            <w:webHidden/>
          </w:rPr>
          <w:tab/>
        </w:r>
        <w:r w:rsidR="001F5F5B">
          <w:rPr>
            <w:webHidden/>
          </w:rPr>
          <w:fldChar w:fldCharType="begin"/>
        </w:r>
        <w:r w:rsidR="001F5F5B">
          <w:rPr>
            <w:webHidden/>
          </w:rPr>
          <w:instrText xml:space="preserve"> PAGEREF _Toc151976162 \h </w:instrText>
        </w:r>
        <w:r w:rsidR="001F5F5B">
          <w:rPr>
            <w:webHidden/>
          </w:rPr>
        </w:r>
        <w:r w:rsidR="001F5F5B">
          <w:rPr>
            <w:webHidden/>
          </w:rPr>
          <w:fldChar w:fldCharType="separate"/>
        </w:r>
        <w:r w:rsidR="001F5F5B">
          <w:rPr>
            <w:webHidden/>
          </w:rPr>
          <w:t>41</w:t>
        </w:r>
        <w:r w:rsidR="001F5F5B">
          <w:rPr>
            <w:webHidden/>
          </w:rPr>
          <w:fldChar w:fldCharType="end"/>
        </w:r>
      </w:hyperlink>
    </w:p>
    <w:p w14:paraId="3B881C69" w14:textId="45184D79" w:rsidR="00FB1F6E" w:rsidRDefault="00AD784C" w:rsidP="00D079AA">
      <w:pPr>
        <w:pStyle w:val="Body"/>
      </w:pPr>
      <w:r>
        <w:fldChar w:fldCharType="end"/>
      </w:r>
    </w:p>
    <w:p w14:paraId="4716E5E2" w14:textId="26280A1F" w:rsidR="004607F9" w:rsidRPr="004607F9" w:rsidRDefault="00FB1F6E" w:rsidP="004607F9">
      <w:pPr>
        <w:spacing w:after="0" w:line="240" w:lineRule="auto"/>
        <w:rPr>
          <w:rFonts w:eastAsia="Times"/>
        </w:rPr>
      </w:pPr>
      <w:r>
        <w:br w:type="page"/>
      </w:r>
    </w:p>
    <w:p w14:paraId="5C32A38C" w14:textId="74451387" w:rsidR="00455398" w:rsidRDefault="00455398" w:rsidP="00455398">
      <w:pPr>
        <w:pStyle w:val="Heading1"/>
      </w:pPr>
      <w:bookmarkStart w:id="3" w:name="_Toc151976132"/>
      <w:r>
        <w:lastRenderedPageBreak/>
        <w:t xml:space="preserve">Acknowledgement of </w:t>
      </w:r>
      <w:r w:rsidR="00E86EAD">
        <w:t>Country</w:t>
      </w:r>
      <w:bookmarkEnd w:id="3"/>
    </w:p>
    <w:p w14:paraId="769BCD5B" w14:textId="77777777" w:rsidR="00F35145" w:rsidRPr="005E21B9" w:rsidRDefault="00F35145" w:rsidP="00806E74">
      <w:pPr>
        <w:pStyle w:val="Body"/>
      </w:pPr>
      <w:r w:rsidRPr="005E21B9">
        <w:t xml:space="preserve">The Department of Health acknowledges Victoria’s Aboriginal communities and their rich culture and pays respect to their Elders past and present. Aboriginal people are Australia’s first peoples and the Traditional Owners and custodians of the land and water on which we live, work and play. We recognise and value the ongoing contribution of Aboriginal people and communities to Victorian life and how this enriches our society more broadly. We recognise the diversity of Aboriginal people living throughout Victoria. </w:t>
      </w:r>
    </w:p>
    <w:p w14:paraId="522200D6" w14:textId="02D99346" w:rsidR="00617F78" w:rsidRPr="005E21B9" w:rsidRDefault="00F35145" w:rsidP="00806E74">
      <w:pPr>
        <w:pStyle w:val="Body"/>
      </w:pPr>
      <w:r w:rsidRPr="005E21B9">
        <w:t xml:space="preserve">This is a significant time for Aboriginal communities in Victoria and the Victorian Government. It is acknowledged that Treaty and Truth processes in Victoria may have a significant impact on </w:t>
      </w:r>
      <w:r w:rsidR="009E78EA">
        <w:t>g</w:t>
      </w:r>
      <w:r w:rsidRPr="005E21B9">
        <w:t xml:space="preserve">overnment policy, governance and funding across all areas that affect Aboriginal people. The Victorian Government has committed to Aboriginal self-determination as the guiding principle and policy for Aboriginal affairs since 2015 and has a vision that </w:t>
      </w:r>
      <w:r w:rsidR="009E78EA">
        <w:t>‘</w:t>
      </w:r>
      <w:r w:rsidRPr="005E21B9">
        <w:t>all Aboriginal Victorian people, families and communities are healthy, safe, resilient, thriving and living culturally rich lives</w:t>
      </w:r>
      <w:r w:rsidR="009E78EA">
        <w:t>’</w:t>
      </w:r>
      <w:r w:rsidR="00A23986">
        <w:t>.</w:t>
      </w:r>
      <w:r w:rsidR="00617F78" w:rsidRPr="005E21B9">
        <w:rPr>
          <w:rStyle w:val="EndnoteReference"/>
        </w:rPr>
        <w:endnoteReference w:id="2"/>
      </w:r>
    </w:p>
    <w:p w14:paraId="7D86F76B" w14:textId="6F342FA9" w:rsidR="00617F78" w:rsidRPr="005E21B9" w:rsidRDefault="000B6DE4" w:rsidP="00806E74">
      <w:pPr>
        <w:pStyle w:val="Body"/>
      </w:pPr>
      <w:r>
        <w:t xml:space="preserve">According to the </w:t>
      </w:r>
      <w:r w:rsidR="00617F78" w:rsidRPr="005E21B9">
        <w:t>National Aboriginal Community Controlled Health Organisation</w:t>
      </w:r>
      <w:r>
        <w:t>,</w:t>
      </w:r>
      <w:r w:rsidR="00617F78" w:rsidRPr="005E21B9">
        <w:t xml:space="preserve"> self-determination is the ability of Aboriginal people to determine their own political, economic, </w:t>
      </w:r>
      <w:proofErr w:type="gramStart"/>
      <w:r w:rsidR="00617F78" w:rsidRPr="005E21B9">
        <w:t>social</w:t>
      </w:r>
      <w:proofErr w:type="gramEnd"/>
      <w:r w:rsidR="00617F78" w:rsidRPr="005E21B9">
        <w:t xml:space="preserve"> and cultural development as an essential approach to overcoming Indigenous disadvantage</w:t>
      </w:r>
      <w:r w:rsidR="00A23986">
        <w:t>.</w:t>
      </w:r>
      <w:r w:rsidR="00617F78" w:rsidRPr="005E21B9">
        <w:rPr>
          <w:rStyle w:val="EndnoteReference"/>
        </w:rPr>
        <w:endnoteReference w:id="3"/>
      </w:r>
      <w:r w:rsidR="00617F78" w:rsidRPr="005E21B9">
        <w:t xml:space="preserve"> </w:t>
      </w:r>
    </w:p>
    <w:p w14:paraId="3DCEB05E" w14:textId="77777777" w:rsidR="00617F78" w:rsidRPr="005E21B9" w:rsidRDefault="00617F78" w:rsidP="00806E74">
      <w:pPr>
        <w:pStyle w:val="Body"/>
      </w:pPr>
      <w:r w:rsidRPr="005E21B9">
        <w:t xml:space="preserve">This means that rather than Aboriginal people merely being ‘engaged’ or ‘consulted’ as ‘advisors’ or ‘co-designers’ of services and policies, </w:t>
      </w:r>
      <w:r>
        <w:t>Aboriginal people</w:t>
      </w:r>
      <w:r w:rsidRPr="005E21B9">
        <w:t xml:space="preserve"> need to be authorised and empowered to own, direct, and make strategic decisions about: </w:t>
      </w:r>
    </w:p>
    <w:p w14:paraId="3D50E096" w14:textId="7E7EC422" w:rsidR="00617F78" w:rsidRPr="005E21B9" w:rsidRDefault="008B0E45" w:rsidP="00806E74">
      <w:pPr>
        <w:pStyle w:val="Bullet1"/>
      </w:pPr>
      <w:r>
        <w:t xml:space="preserve">the </w:t>
      </w:r>
      <w:r w:rsidR="00617F78" w:rsidRPr="005E21B9">
        <w:t xml:space="preserve">values and motivations on which a policy or program is </w:t>
      </w:r>
      <w:proofErr w:type="gramStart"/>
      <w:r w:rsidR="00617F78" w:rsidRPr="005E21B9">
        <w:t>based</w:t>
      </w:r>
      <w:proofErr w:type="gramEnd"/>
      <w:r w:rsidR="00617F78" w:rsidRPr="005E21B9">
        <w:t xml:space="preserve"> </w:t>
      </w:r>
    </w:p>
    <w:p w14:paraId="62C4BD8C" w14:textId="77777777" w:rsidR="00617F78" w:rsidRPr="005E21B9" w:rsidRDefault="00617F78" w:rsidP="00806E74">
      <w:pPr>
        <w:pStyle w:val="Bullet1"/>
      </w:pPr>
      <w:r w:rsidRPr="005E21B9">
        <w:t xml:space="preserve">strategic intent </w:t>
      </w:r>
    </w:p>
    <w:p w14:paraId="30A882A5" w14:textId="77777777" w:rsidR="00617F78" w:rsidRPr="005E21B9" w:rsidRDefault="00617F78" w:rsidP="00806E74">
      <w:pPr>
        <w:pStyle w:val="Bullet1"/>
      </w:pPr>
      <w:r w:rsidRPr="005E21B9">
        <w:t xml:space="preserve">policy or program design </w:t>
      </w:r>
    </w:p>
    <w:p w14:paraId="4BA8C52A" w14:textId="77777777" w:rsidR="00617F78" w:rsidRPr="005E21B9" w:rsidRDefault="00617F78" w:rsidP="00806E74">
      <w:pPr>
        <w:pStyle w:val="Bullet1"/>
      </w:pPr>
      <w:r w:rsidRPr="005E21B9">
        <w:t xml:space="preserve">funding and allocation of resources </w:t>
      </w:r>
    </w:p>
    <w:p w14:paraId="24A0B234" w14:textId="77777777" w:rsidR="00617F78" w:rsidRPr="005E21B9" w:rsidRDefault="00617F78" w:rsidP="00806E74">
      <w:pPr>
        <w:pStyle w:val="Bullet1"/>
      </w:pPr>
      <w:r w:rsidRPr="005E21B9">
        <w:t xml:space="preserve">implementation and operations </w:t>
      </w:r>
    </w:p>
    <w:p w14:paraId="43E1357B" w14:textId="77777777" w:rsidR="00617F78" w:rsidRPr="005E21B9" w:rsidRDefault="00617F78" w:rsidP="00806E74">
      <w:pPr>
        <w:pStyle w:val="Bullet1"/>
      </w:pPr>
      <w:r w:rsidRPr="005E21B9">
        <w:t xml:space="preserve">evaluation measures and definitions of success. </w:t>
      </w:r>
    </w:p>
    <w:p w14:paraId="67CA7690" w14:textId="22E14B89" w:rsidR="00617F78" w:rsidRDefault="00617F78" w:rsidP="00806E74">
      <w:pPr>
        <w:pStyle w:val="Bodyafterbullets"/>
      </w:pPr>
      <w:r w:rsidRPr="005E21B9">
        <w:t>Throughout this document</w:t>
      </w:r>
      <w:r w:rsidR="008B0E45">
        <w:t>,</w:t>
      </w:r>
      <w:r w:rsidRPr="005E21B9">
        <w:t xml:space="preserve"> the term ‘Aboriginal’ is used to include all people of Aboriginal and Torres Strait Islander descent </w:t>
      </w:r>
      <w:r w:rsidR="008B0E45">
        <w:t xml:space="preserve">who are </w:t>
      </w:r>
      <w:r w:rsidRPr="005E21B9">
        <w:t>living in Victoria.</w:t>
      </w:r>
      <w:r>
        <w:t xml:space="preserve"> </w:t>
      </w:r>
    </w:p>
    <w:p w14:paraId="23345BF4" w14:textId="77777777" w:rsidR="00617F78" w:rsidRDefault="00617F78">
      <w:pPr>
        <w:spacing w:after="0" w:line="240" w:lineRule="auto"/>
        <w:rPr>
          <w:rFonts w:eastAsia="Times"/>
        </w:rPr>
      </w:pPr>
      <w:r>
        <w:br w:type="page"/>
      </w:r>
    </w:p>
    <w:p w14:paraId="438DEB58" w14:textId="7B438176" w:rsidR="00617F78" w:rsidRDefault="00617F78" w:rsidP="007D5D8F">
      <w:pPr>
        <w:pStyle w:val="Heading1"/>
      </w:pPr>
      <w:bookmarkStart w:id="4" w:name="_Toc151976133"/>
      <w:r w:rsidRPr="005A107D">
        <w:lastRenderedPageBreak/>
        <w:t>Introduction</w:t>
      </w:r>
      <w:bookmarkEnd w:id="4"/>
    </w:p>
    <w:p w14:paraId="326587D9" w14:textId="6B1BB33D" w:rsidR="00617F78" w:rsidRPr="00C04D17" w:rsidRDefault="00617F78" w:rsidP="002711ED">
      <w:pPr>
        <w:pStyle w:val="Heading2"/>
      </w:pPr>
      <w:bookmarkStart w:id="5" w:name="_Toc151976134"/>
      <w:r>
        <w:t>About the outcomes framework</w:t>
      </w:r>
      <w:bookmarkEnd w:id="5"/>
    </w:p>
    <w:p w14:paraId="6B092B73" w14:textId="1BAD0838" w:rsidR="008B0E45" w:rsidRDefault="00617F78" w:rsidP="009670DA">
      <w:pPr>
        <w:pStyle w:val="Body"/>
      </w:pPr>
      <w:r>
        <w:t xml:space="preserve">The </w:t>
      </w:r>
      <w:bookmarkStart w:id="6" w:name="_Ref132361447"/>
      <w:r w:rsidR="00157B44" w:rsidRPr="00E5788D">
        <w:rPr>
          <w:i/>
          <w:iCs/>
        </w:rPr>
        <w:t>Victorian public health and wellbeing outcomes framework</w:t>
      </w:r>
      <w:r>
        <w:rPr>
          <w:rStyle w:val="EndnoteReference"/>
          <w:i/>
          <w:iCs/>
        </w:rPr>
        <w:endnoteReference w:id="4"/>
      </w:r>
      <w:bookmarkEnd w:id="6"/>
      <w:r>
        <w:t xml:space="preserve"> (the outcomes framework) provides a consistent and transparent mechanism for monitoring health and wellbeing outcomes over time.</w:t>
      </w:r>
    </w:p>
    <w:p w14:paraId="5B6CCA8A" w14:textId="6E23D92F" w:rsidR="00617F78" w:rsidRDefault="00617F78" w:rsidP="009670DA">
      <w:pPr>
        <w:pStyle w:val="Body"/>
      </w:pPr>
      <w:r>
        <w:t xml:space="preserve">The </w:t>
      </w:r>
      <w:r w:rsidR="008B0E45">
        <w:t xml:space="preserve">outcomes </w:t>
      </w:r>
      <w:r>
        <w:t xml:space="preserve">framework is designed to track progress against consecutive </w:t>
      </w:r>
      <w:r w:rsidR="00157B44" w:rsidRPr="008E64D8">
        <w:t>Victorian public health and wellbeing plans</w:t>
      </w:r>
      <w:r w:rsidRPr="008E64D8">
        <w:t xml:space="preserve"> </w:t>
      </w:r>
      <w:r w:rsidRPr="008B0E45">
        <w:t>and covers a comprehensive range of health and well</w:t>
      </w:r>
      <w:r w:rsidRPr="000C4861">
        <w:t>being topics</w:t>
      </w:r>
      <w:r>
        <w:t>.</w:t>
      </w:r>
      <w:r w:rsidRPr="000C4861">
        <w:t xml:space="preserve"> </w:t>
      </w:r>
      <w:r w:rsidR="008B0E45">
        <w:t>In particular</w:t>
      </w:r>
      <w:r>
        <w:t xml:space="preserve">, the outcomes framework includes priority areas of the </w:t>
      </w:r>
      <w:r w:rsidRPr="008E64D8">
        <w:rPr>
          <w:i/>
          <w:iCs/>
        </w:rPr>
        <w:t>Victorian public health and wellbeing plan 2023</w:t>
      </w:r>
      <w:r w:rsidR="008B0E45" w:rsidRPr="008E64D8">
        <w:rPr>
          <w:i/>
          <w:iCs/>
        </w:rPr>
        <w:t>–</w:t>
      </w:r>
      <w:r w:rsidRPr="008E64D8">
        <w:rPr>
          <w:i/>
          <w:iCs/>
        </w:rPr>
        <w:t>27</w:t>
      </w:r>
      <w:r w:rsidR="000373DE">
        <w:rPr>
          <w:rStyle w:val="EndnoteReference"/>
          <w:i/>
          <w:iCs/>
        </w:rPr>
        <w:endnoteReference w:id="5"/>
      </w:r>
      <w:r w:rsidRPr="00FA5150">
        <w:t xml:space="preserve"> and</w:t>
      </w:r>
      <w:r>
        <w:t xml:space="preserve"> </w:t>
      </w:r>
      <w:r w:rsidRPr="000C4861">
        <w:t xml:space="preserve">indicators spanning the social, </w:t>
      </w:r>
      <w:proofErr w:type="gramStart"/>
      <w:r w:rsidRPr="000C4861">
        <w:t>emotional</w:t>
      </w:r>
      <w:proofErr w:type="gramEnd"/>
      <w:r w:rsidRPr="000C4861">
        <w:t xml:space="preserve"> and environmental determinants of health, health behaviours and long-term health outcomes.</w:t>
      </w:r>
      <w:r>
        <w:t xml:space="preserve"> </w:t>
      </w:r>
    </w:p>
    <w:p w14:paraId="7930EDE6" w14:textId="2CD37FA5" w:rsidR="00617F78" w:rsidRDefault="00617F78" w:rsidP="008234F4">
      <w:pPr>
        <w:pStyle w:val="Body"/>
      </w:pPr>
      <w:r>
        <w:t xml:space="preserve">The outcomes framework aligns with a whole of Victorian </w:t>
      </w:r>
      <w:r w:rsidR="008B0E45">
        <w:t>G</w:t>
      </w:r>
      <w:r>
        <w:t>overnment outcomes-based approach to leverage existing</w:t>
      </w:r>
      <w:r w:rsidR="008B0E45">
        <w:t xml:space="preserve"> g</w:t>
      </w:r>
      <w:r>
        <w:t>overnment policies, outcomes frameworks, and targets where appropriate. Importantly, the outcomes framework encourages assessment of inequalities between population groups, such as people of different sex and gender, Aboriginal people, culturally and linguistically diverse groups, and geographic areas.</w:t>
      </w:r>
      <w:r w:rsidRPr="008234F4">
        <w:t xml:space="preserve"> </w:t>
      </w:r>
    </w:p>
    <w:p w14:paraId="76CB0CAB" w14:textId="6BB3B136" w:rsidR="00617F78" w:rsidRDefault="00617F78" w:rsidP="00633B62">
      <w:pPr>
        <w:pStyle w:val="Body"/>
      </w:pPr>
      <w:r>
        <w:t>Adopting an outcomes-based approach allows us to set the vision for what we want to achieve and defines how to measure whether we are achieving this vision. Defining outcomes also communicates our priorities to others and sets a shared direction for change, supporting the Victorian population health and prevention sector to align efforts to improve our collective health and wellbeing</w:t>
      </w:r>
      <w:r w:rsidR="003A645B">
        <w:t>.</w:t>
      </w:r>
      <w:r>
        <w:rPr>
          <w:rStyle w:val="EndnoteReference"/>
        </w:rPr>
        <w:endnoteReference w:id="6"/>
      </w:r>
    </w:p>
    <w:p w14:paraId="3756FA46" w14:textId="6F4D915E" w:rsidR="00617F78" w:rsidRPr="00E707BE" w:rsidRDefault="00617F78" w:rsidP="001C54C4">
      <w:pPr>
        <w:pStyle w:val="Heading3"/>
      </w:pPr>
      <w:r w:rsidRPr="00E707BE">
        <w:t xml:space="preserve">Refreshing the </w:t>
      </w:r>
      <w:r w:rsidRPr="001F60EB">
        <w:t>outcomes framework</w:t>
      </w:r>
    </w:p>
    <w:p w14:paraId="0AF3D994" w14:textId="39F5D733" w:rsidR="00617F78" w:rsidRDefault="00617F78" w:rsidP="0052422D">
      <w:pPr>
        <w:pStyle w:val="Body"/>
      </w:pPr>
      <w:r>
        <w:rPr>
          <w:szCs w:val="21"/>
        </w:rPr>
        <w:t>Following the release of the Victorian public health and wellbeing plan 2023</w:t>
      </w:r>
      <w:r w:rsidR="008B0E45">
        <w:rPr>
          <w:szCs w:val="21"/>
        </w:rPr>
        <w:t>–</w:t>
      </w:r>
      <w:r>
        <w:rPr>
          <w:szCs w:val="21"/>
        </w:rPr>
        <w:t>2027, t</w:t>
      </w:r>
      <w:r w:rsidRPr="00FC217F">
        <w:rPr>
          <w:szCs w:val="21"/>
        </w:rPr>
        <w:t>he</w:t>
      </w:r>
      <w:r>
        <w:rPr>
          <w:szCs w:val="21"/>
        </w:rPr>
        <w:t xml:space="preserve"> </w:t>
      </w:r>
      <w:hyperlink r:id="rId19" w:history="1">
        <w:r w:rsidRPr="00FC217F">
          <w:t>outcomes framework</w:t>
        </w:r>
      </w:hyperlink>
      <w:r w:rsidRPr="00FC217F">
        <w:t xml:space="preserve"> </w:t>
      </w:r>
      <w:r w:rsidRPr="00FC217F">
        <w:rPr>
          <w:szCs w:val="21"/>
        </w:rPr>
        <w:t>will be reviewed</w:t>
      </w:r>
      <w:r w:rsidR="008B0E45">
        <w:rPr>
          <w:szCs w:val="21"/>
        </w:rPr>
        <w:t>,</w:t>
      </w:r>
      <w:r w:rsidRPr="00FC217F">
        <w:rPr>
          <w:szCs w:val="21"/>
        </w:rPr>
        <w:t xml:space="preserve"> and new measures and targets will be developed </w:t>
      </w:r>
      <w:r>
        <w:rPr>
          <w:szCs w:val="21"/>
        </w:rPr>
        <w:t xml:space="preserve">where appropriate. This process will </w:t>
      </w:r>
      <w:r w:rsidR="008B0E45">
        <w:rPr>
          <w:szCs w:val="21"/>
        </w:rPr>
        <w:t>provide</w:t>
      </w:r>
      <w:r>
        <w:rPr>
          <w:szCs w:val="21"/>
        </w:rPr>
        <w:t xml:space="preserve"> consistency in measuring key health and wellbeing outcomes over </w:t>
      </w:r>
      <w:proofErr w:type="gramStart"/>
      <w:r>
        <w:rPr>
          <w:szCs w:val="21"/>
        </w:rPr>
        <w:t>time,</w:t>
      </w:r>
      <w:r w:rsidR="001C54C4">
        <w:rPr>
          <w:szCs w:val="21"/>
        </w:rPr>
        <w:t xml:space="preserve"> </w:t>
      </w:r>
      <w:r w:rsidR="008B0E45">
        <w:rPr>
          <w:szCs w:val="21"/>
        </w:rPr>
        <w:t>and</w:t>
      </w:r>
      <w:proofErr w:type="gramEnd"/>
      <w:r w:rsidR="008B0E45">
        <w:rPr>
          <w:szCs w:val="21"/>
        </w:rPr>
        <w:t xml:space="preserve"> allow</w:t>
      </w:r>
      <w:r>
        <w:rPr>
          <w:szCs w:val="21"/>
        </w:rPr>
        <w:t xml:space="preserve"> us to monitor contemporary and emerging health and wellbeing issues as they arise. </w:t>
      </w:r>
    </w:p>
    <w:p w14:paraId="2D36D00C" w14:textId="2D0451A5" w:rsidR="00617F78" w:rsidRDefault="00617F78" w:rsidP="00DF5628">
      <w:pPr>
        <w:pStyle w:val="Heading2"/>
      </w:pPr>
      <w:bookmarkStart w:id="7" w:name="_Toc151976135"/>
      <w:r>
        <w:t>About this report</w:t>
      </w:r>
      <w:bookmarkEnd w:id="7"/>
    </w:p>
    <w:p w14:paraId="29EF3691" w14:textId="48D5B3D1" w:rsidR="00617F78" w:rsidRDefault="00617F78" w:rsidP="00C655B2">
      <w:pPr>
        <w:pStyle w:val="Body"/>
      </w:pPr>
      <w:r>
        <w:t xml:space="preserve">This report includes an examination of health and wellbeing data for 57 of the measures in the </w:t>
      </w:r>
      <w:r w:rsidRPr="001C54C4">
        <w:t>outcomes framework</w:t>
      </w:r>
      <w:r w:rsidRPr="00664439">
        <w:rPr>
          <w:i/>
          <w:iCs/>
        </w:rPr>
        <w:t xml:space="preserve">. </w:t>
      </w:r>
      <w:r>
        <w:t xml:space="preserve">Measures were prioritised based on relevance to the focus areas of the </w:t>
      </w:r>
      <w:r w:rsidRPr="001C54C4">
        <w:t>Victorian public health and wellbeing plan 2019</w:t>
      </w:r>
      <w:r w:rsidR="00210727">
        <w:t>–</w:t>
      </w:r>
      <w:r w:rsidRPr="001C54C4">
        <w:t>2023</w:t>
      </w:r>
      <w:r>
        <w:t xml:space="preserve"> and availability of data. All analysis has been completed in line with the specifications of the </w:t>
      </w:r>
      <w:r w:rsidR="00157B44" w:rsidRPr="001C54C4">
        <w:t xml:space="preserve">Victorian public health and wellbeing outcomes framework </w:t>
      </w:r>
      <w:r w:rsidR="008D2BDB">
        <w:t xml:space="preserve">and </w:t>
      </w:r>
      <w:r w:rsidR="00157B44" w:rsidRPr="001C54C4">
        <w:t>data dictionary</w:t>
      </w:r>
      <w:r w:rsidR="003A645B">
        <w:t>.</w:t>
      </w:r>
      <w:r>
        <w:rPr>
          <w:rStyle w:val="Hyperlink"/>
          <w:i/>
          <w:iCs/>
        </w:rPr>
        <w:fldChar w:fldCharType="begin"/>
      </w:r>
      <w:r>
        <w:rPr>
          <w:rStyle w:val="Hyperlink"/>
          <w:i/>
          <w:iCs/>
        </w:rPr>
        <w:instrText xml:space="preserve"> NOTEREF _Ref132361447 \f </w:instrText>
      </w:r>
      <w:r>
        <w:rPr>
          <w:rStyle w:val="Hyperlink"/>
          <w:i/>
          <w:iCs/>
        </w:rPr>
        <w:fldChar w:fldCharType="separate"/>
      </w:r>
      <w:r w:rsidRPr="00820C58">
        <w:rPr>
          <w:rStyle w:val="EndnoteReference"/>
        </w:rPr>
        <w:t>3</w:t>
      </w:r>
      <w:r>
        <w:rPr>
          <w:rStyle w:val="Hyperlink"/>
          <w:i/>
          <w:iCs/>
        </w:rPr>
        <w:fldChar w:fldCharType="end"/>
      </w:r>
    </w:p>
    <w:p w14:paraId="79318D05" w14:textId="2E06C283" w:rsidR="00BE574E" w:rsidRDefault="00617F78" w:rsidP="00C655B2">
      <w:pPr>
        <w:pStyle w:val="Body"/>
      </w:pPr>
      <w:r>
        <w:t xml:space="preserve">All data </w:t>
      </w:r>
      <w:r w:rsidR="00197D14">
        <w:t>are</w:t>
      </w:r>
      <w:r>
        <w:t xml:space="preserve"> sourced from existing and reliable datasets that are representative of the Victorian population </w:t>
      </w:r>
      <w:r w:rsidR="00BE574E">
        <w:t>(</w:t>
      </w:r>
      <w:r>
        <w:t xml:space="preserve">see </w:t>
      </w:r>
      <w:hyperlink w:anchor="_Appendix_2._Datasets" w:history="1">
        <w:r w:rsidRPr="00BE574E">
          <w:rPr>
            <w:rStyle w:val="Hyperlink"/>
          </w:rPr>
          <w:t xml:space="preserve">Appendix </w:t>
        </w:r>
        <w:r w:rsidRPr="003518FE">
          <w:rPr>
            <w:rStyle w:val="Hyperlink"/>
          </w:rPr>
          <w:t>2</w:t>
        </w:r>
        <w:r w:rsidRPr="00BE574E">
          <w:rPr>
            <w:rStyle w:val="Hyperlink"/>
          </w:rPr>
          <w:t>.</w:t>
        </w:r>
        <w:r w:rsidRPr="003518FE">
          <w:rPr>
            <w:rStyle w:val="Hyperlink"/>
          </w:rPr>
          <w:t xml:space="preserve"> Datasets</w:t>
        </w:r>
      </w:hyperlink>
      <w:r w:rsidR="00BE574E">
        <w:t>)</w:t>
      </w:r>
      <w:r>
        <w:t>. Observations made in this report are statistically significant</w:t>
      </w:r>
      <w:r w:rsidR="00BE574E">
        <w:t>,</w:t>
      </w:r>
      <w:r>
        <w:t xml:space="preserve"> unless otherwise specified, and trends have been assessed using linear regression when appropriate.</w:t>
      </w:r>
    </w:p>
    <w:p w14:paraId="5726B45F" w14:textId="21EBC5BA" w:rsidR="00617F78" w:rsidRDefault="00617F78" w:rsidP="00C655B2">
      <w:pPr>
        <w:pStyle w:val="Body"/>
      </w:pPr>
      <w:r>
        <w:t xml:space="preserve">Where data </w:t>
      </w:r>
      <w:r w:rsidR="008528FE">
        <w:t>are</w:t>
      </w:r>
      <w:r>
        <w:t xml:space="preserve"> available</w:t>
      </w:r>
      <w:r w:rsidR="00BE574E">
        <w:t>,</w:t>
      </w:r>
      <w:r>
        <w:t xml:space="preserve"> this report compares changes over time since 2011, the year of the first </w:t>
      </w:r>
      <w:r w:rsidRPr="003518FE">
        <w:t>Victorian public health and wellbeing plan</w:t>
      </w:r>
      <w:r w:rsidRPr="00BE574E">
        <w:t>,</w:t>
      </w:r>
      <w:r>
        <w:t xml:space="preserve"> </w:t>
      </w:r>
      <w:r w:rsidR="00BE574E">
        <w:t>looking</w:t>
      </w:r>
      <w:r>
        <w:t xml:space="preserve"> back further when needed. The report also provides an examination of </w:t>
      </w:r>
      <w:r w:rsidR="00BE574E">
        <w:t xml:space="preserve">variations </w:t>
      </w:r>
      <w:r>
        <w:t xml:space="preserve">in health and wellbeing outcomes between different population </w:t>
      </w:r>
      <w:proofErr w:type="gramStart"/>
      <w:r>
        <w:t>groups</w:t>
      </w:r>
      <w:r w:rsidR="00BE574E">
        <w:t>,</w:t>
      </w:r>
      <w:r>
        <w:t xml:space="preserve"> and</w:t>
      </w:r>
      <w:proofErr w:type="gramEnd"/>
      <w:r>
        <w:t xml:space="preserve"> presents supporting evidence and insights relating to these </w:t>
      </w:r>
      <w:r w:rsidR="00BE574E">
        <w:t>variations</w:t>
      </w:r>
      <w:r>
        <w:t xml:space="preserve">. Data in this report </w:t>
      </w:r>
      <w:r w:rsidR="00715F44">
        <w:t>are</w:t>
      </w:r>
      <w:r>
        <w:t xml:space="preserve"> the most recently available at</w:t>
      </w:r>
      <w:r w:rsidR="001152C6">
        <w:t xml:space="preserve"> the</w:t>
      </w:r>
      <w:r>
        <w:t xml:space="preserve"> time of publishing. </w:t>
      </w:r>
    </w:p>
    <w:p w14:paraId="525A0F5A" w14:textId="787FBBCA" w:rsidR="00617F78" w:rsidRDefault="00617F78" w:rsidP="00C655B2">
      <w:pPr>
        <w:pStyle w:val="Body"/>
      </w:pPr>
      <w:r>
        <w:lastRenderedPageBreak/>
        <w:t>Progress and efforts towards achieving Aboriginal data sovereignty is recognised</w:t>
      </w:r>
      <w:r w:rsidR="00295367">
        <w:t>, and t</w:t>
      </w:r>
      <w:r w:rsidR="001152C6">
        <w:t>he</w:t>
      </w:r>
      <w:r>
        <w:t xml:space="preserve"> capacity </w:t>
      </w:r>
      <w:r w:rsidR="001152C6">
        <w:t>to adapt</w:t>
      </w:r>
      <w:r>
        <w:t xml:space="preserve"> will </w:t>
      </w:r>
      <w:r w:rsidRPr="00BC7EFA">
        <w:t>support the key aspirations and outcomes of the Victorian Treaty process</w:t>
      </w:r>
      <w:r>
        <w:t>.</w:t>
      </w:r>
    </w:p>
    <w:p w14:paraId="72529964" w14:textId="456A5F2B" w:rsidR="00617F78" w:rsidRDefault="00617F78" w:rsidP="00C655B2">
      <w:pPr>
        <w:pStyle w:val="Body"/>
      </w:pPr>
      <w:r>
        <w:t xml:space="preserve">While this report examines health and wellbeing data at a granular level, it also looks beyond the details to consider what the findings mean </w:t>
      </w:r>
      <w:r w:rsidR="001152C6">
        <w:t>more broadly</w:t>
      </w:r>
      <w:r>
        <w:t>. Th</w:t>
      </w:r>
      <w:r w:rsidR="001152C6">
        <w:t>e</w:t>
      </w:r>
      <w:r>
        <w:t xml:space="preserve"> report includes analysis of themes and trends that emerge from findings across multiple indicators</w:t>
      </w:r>
      <w:r w:rsidR="001152C6">
        <w:t>. It also</w:t>
      </w:r>
      <w:r>
        <w:t xml:space="preserve"> explores the underlying drivers of health behaviours and health outcomes to provide insights that can inform our actions to improve health and wellbeing in practice. This </w:t>
      </w:r>
      <w:r w:rsidR="001152C6">
        <w:t>will help us</w:t>
      </w:r>
      <w:r>
        <w:t xml:space="preserve"> to understand whether improvements in health and wellbeing, if any, are equally shared by all Victorians.</w:t>
      </w:r>
    </w:p>
    <w:p w14:paraId="4282BA87" w14:textId="5AAD7D7A" w:rsidR="00617F78" w:rsidRDefault="00617F78" w:rsidP="00974706">
      <w:pPr>
        <w:pStyle w:val="Heading2"/>
      </w:pPr>
      <w:bookmarkStart w:id="8" w:name="_Toc151976136"/>
      <w:r>
        <w:t>Impact of COVID-19</w:t>
      </w:r>
      <w:bookmarkEnd w:id="8"/>
    </w:p>
    <w:p w14:paraId="5ED96981" w14:textId="1AB312ED" w:rsidR="00617F78" w:rsidRDefault="00617F78" w:rsidP="005A6439">
      <w:pPr>
        <w:pStyle w:val="Body"/>
      </w:pPr>
      <w:r>
        <w:t xml:space="preserve">The conditions associated with the COVID-19 pandemic impacted the ability of data custodians to collect, analyse and report data. Several datasets informing this report were altered to adapt to these conditions, impacting the time series data for this period, </w:t>
      </w:r>
      <w:r w:rsidR="00295367">
        <w:t xml:space="preserve">which, </w:t>
      </w:r>
      <w:r>
        <w:t>in some cases</w:t>
      </w:r>
      <w:r w:rsidR="00295367">
        <w:t>, meant</w:t>
      </w:r>
      <w:r>
        <w:t xml:space="preserve"> the impact of the pandemic was not captured. Other datasets face delays in analysis and release of data, meaning the most recently collected data is not available to be included in this report. </w:t>
      </w:r>
    </w:p>
    <w:p w14:paraId="1AD73DA7" w14:textId="62E9D62D" w:rsidR="00617F78" w:rsidRDefault="00617F78" w:rsidP="00F6210E">
      <w:pPr>
        <w:pStyle w:val="Body"/>
      </w:pPr>
      <w:r>
        <w:t xml:space="preserve">While any notable shifts in trends </w:t>
      </w:r>
      <w:r w:rsidR="003641D3">
        <w:t>associated with</w:t>
      </w:r>
      <w:r>
        <w:t xml:space="preserve"> the COVID-19 pandemic will be acknowledged where appropriate, the intention of this report is to adopt a long-term focus and examine trends in population health well beyond this period. </w:t>
      </w:r>
    </w:p>
    <w:p w14:paraId="452F7F5E" w14:textId="77777777" w:rsidR="00617F78" w:rsidRDefault="00617F78" w:rsidP="005A5AD4">
      <w:pPr>
        <w:pStyle w:val="Heading1"/>
      </w:pPr>
      <w:bookmarkStart w:id="9" w:name="_Toc151976137"/>
      <w:r>
        <w:t>Themes and trends</w:t>
      </w:r>
      <w:bookmarkEnd w:id="9"/>
      <w:r>
        <w:t xml:space="preserve"> </w:t>
      </w:r>
    </w:p>
    <w:p w14:paraId="56374885" w14:textId="77777777" w:rsidR="00295367" w:rsidRDefault="00617F78" w:rsidP="005A5AD4">
      <w:pPr>
        <w:pStyle w:val="Body"/>
        <w:rPr>
          <w:rFonts w:cs="Arial"/>
          <w:lang w:val="en-GB" w:eastAsia="en-AU"/>
        </w:rPr>
      </w:pPr>
      <w:r w:rsidRPr="494BC941">
        <w:rPr>
          <w:rFonts w:cs="Arial"/>
          <w:lang w:val="en-GB" w:eastAsia="en-AU"/>
        </w:rPr>
        <w:t>In Victoria, population health status is high compared with other high-income countries</w:t>
      </w:r>
      <w:r>
        <w:rPr>
          <w:rFonts w:cs="Arial"/>
          <w:lang w:val="en-GB" w:eastAsia="en-AU"/>
        </w:rPr>
        <w:t>.</w:t>
      </w:r>
      <w:r w:rsidRPr="494BC941">
        <w:rPr>
          <w:rFonts w:cs="Arial"/>
          <w:lang w:val="en-GB" w:eastAsia="en-AU"/>
        </w:rPr>
        <w:t xml:space="preserve"> </w:t>
      </w:r>
      <w:r>
        <w:rPr>
          <w:rFonts w:cs="Arial"/>
          <w:lang w:val="en-GB" w:eastAsia="en-AU"/>
        </w:rPr>
        <w:t>Life</w:t>
      </w:r>
      <w:r w:rsidRPr="494BC941">
        <w:rPr>
          <w:rFonts w:cs="Arial"/>
          <w:lang w:val="en-GB" w:eastAsia="en-AU"/>
        </w:rPr>
        <w:t xml:space="preserve"> expectancy</w:t>
      </w:r>
      <w:r>
        <w:rPr>
          <w:rFonts w:cs="Arial"/>
          <w:lang w:val="en-GB" w:eastAsia="en-AU"/>
        </w:rPr>
        <w:t xml:space="preserve"> has</w:t>
      </w:r>
      <w:r w:rsidRPr="494BC941">
        <w:rPr>
          <w:rFonts w:cs="Arial"/>
          <w:lang w:val="en-GB" w:eastAsia="en-AU"/>
        </w:rPr>
        <w:t xml:space="preserve"> increas</w:t>
      </w:r>
      <w:r>
        <w:rPr>
          <w:rFonts w:cs="Arial"/>
          <w:lang w:val="en-GB" w:eastAsia="en-AU"/>
        </w:rPr>
        <w:t>ed</w:t>
      </w:r>
      <w:r w:rsidRPr="494BC941">
        <w:rPr>
          <w:rFonts w:cs="Arial"/>
          <w:lang w:val="en-GB" w:eastAsia="en-AU"/>
        </w:rPr>
        <w:t xml:space="preserve"> over the past three decades, largely due to decreases in </w:t>
      </w:r>
      <w:r>
        <w:rPr>
          <w:rFonts w:cs="Arial"/>
          <w:lang w:val="en-GB" w:eastAsia="en-AU"/>
        </w:rPr>
        <w:t>premature</w:t>
      </w:r>
      <w:r w:rsidRPr="494BC941">
        <w:rPr>
          <w:rFonts w:cs="Arial"/>
          <w:lang w:val="en-GB" w:eastAsia="en-AU"/>
        </w:rPr>
        <w:t xml:space="preserve"> mortality.</w:t>
      </w:r>
    </w:p>
    <w:p w14:paraId="4A3625DE" w14:textId="4736448A" w:rsidR="00617F78" w:rsidRPr="00270F98" w:rsidRDefault="00617F78" w:rsidP="005A5AD4">
      <w:pPr>
        <w:pStyle w:val="Body"/>
        <w:rPr>
          <w:rFonts w:cs="Arial"/>
          <w:lang w:val="en-GB" w:eastAsia="en-AU"/>
        </w:rPr>
      </w:pPr>
      <w:r>
        <w:rPr>
          <w:rFonts w:cs="Arial"/>
          <w:lang w:val="en-GB" w:eastAsia="en-AU"/>
        </w:rPr>
        <w:t xml:space="preserve">Overall, </w:t>
      </w:r>
      <w:r w:rsidRPr="007E44AB">
        <w:rPr>
          <w:rFonts w:cs="Arial"/>
          <w:lang w:val="en-GB" w:eastAsia="en-AU"/>
        </w:rPr>
        <w:t xml:space="preserve">Victorians experience </w:t>
      </w:r>
      <w:r w:rsidR="00295367">
        <w:rPr>
          <w:rFonts w:cs="Arial"/>
          <w:lang w:val="en-GB" w:eastAsia="en-AU"/>
        </w:rPr>
        <w:t xml:space="preserve">a </w:t>
      </w:r>
      <w:r w:rsidRPr="007E44AB">
        <w:rPr>
          <w:rFonts w:cs="Arial"/>
          <w:lang w:val="en-GB" w:eastAsia="en-AU"/>
        </w:rPr>
        <w:t xml:space="preserve">high prevalence of self-reported excellent or very good health, </w:t>
      </w:r>
      <w:r>
        <w:rPr>
          <w:rFonts w:cs="Arial"/>
          <w:lang w:val="en-GB" w:eastAsia="en-AU"/>
        </w:rPr>
        <w:t>which is a reliable indication that</w:t>
      </w:r>
      <w:r w:rsidR="00295367">
        <w:rPr>
          <w:rFonts w:cs="Arial"/>
          <w:lang w:val="en-GB" w:eastAsia="en-AU"/>
        </w:rPr>
        <w:t>,</w:t>
      </w:r>
      <w:r>
        <w:rPr>
          <w:rFonts w:cs="Arial"/>
          <w:lang w:val="en-GB" w:eastAsia="en-AU"/>
        </w:rPr>
        <w:t xml:space="preserve"> overall, we are in good </w:t>
      </w:r>
      <w:proofErr w:type="gramStart"/>
      <w:r>
        <w:rPr>
          <w:rFonts w:cs="Arial"/>
          <w:lang w:val="en-GB" w:eastAsia="en-AU"/>
        </w:rPr>
        <w:t>health</w:t>
      </w:r>
      <w:proofErr w:type="gramEnd"/>
      <w:r>
        <w:rPr>
          <w:rFonts w:cs="Arial"/>
          <w:lang w:val="en-GB" w:eastAsia="en-AU"/>
        </w:rPr>
        <w:t xml:space="preserve"> and we value good health. However, when we examine the data broken down into different population groups, it becomes clear these good health outcomes are not shared equally by all Victorians. </w:t>
      </w:r>
    </w:p>
    <w:p w14:paraId="1A57A4FF" w14:textId="77777777" w:rsidR="00617F78" w:rsidRDefault="00617F78" w:rsidP="005A5AD4">
      <w:pPr>
        <w:pStyle w:val="Heading2"/>
        <w:rPr>
          <w:lang w:val="en-GB" w:eastAsia="en-AU"/>
        </w:rPr>
      </w:pPr>
      <w:bookmarkStart w:id="10" w:name="_Toc151976138"/>
      <w:r>
        <w:rPr>
          <w:lang w:val="en-GB" w:eastAsia="en-AU"/>
        </w:rPr>
        <w:t>Determinants of health and wellbeing</w:t>
      </w:r>
      <w:bookmarkEnd w:id="10"/>
      <w:r>
        <w:rPr>
          <w:lang w:val="en-GB" w:eastAsia="en-AU"/>
        </w:rPr>
        <w:t xml:space="preserve"> </w:t>
      </w:r>
    </w:p>
    <w:p w14:paraId="2F617AF8" w14:textId="2B43BB7C" w:rsidR="00617F78" w:rsidRDefault="00617F78" w:rsidP="00A46F20">
      <w:pPr>
        <w:pStyle w:val="Body"/>
        <w:spacing w:line="276" w:lineRule="auto"/>
        <w:rPr>
          <w:lang w:val="en-GB"/>
        </w:rPr>
      </w:pPr>
      <w:r w:rsidRPr="00B834B1">
        <w:rPr>
          <w:lang w:val="en-GB"/>
        </w:rPr>
        <w:t>Many factors combine to affect the health of individuals and communities</w:t>
      </w:r>
      <w:r w:rsidR="006B213E">
        <w:rPr>
          <w:lang w:val="en-GB"/>
        </w:rPr>
        <w:t>. These factors are</w:t>
      </w:r>
      <w:r>
        <w:rPr>
          <w:lang w:val="en-GB"/>
        </w:rPr>
        <w:t xml:space="preserve"> known as the social, emotional, </w:t>
      </w:r>
      <w:proofErr w:type="gramStart"/>
      <w:r>
        <w:rPr>
          <w:lang w:val="en-GB"/>
        </w:rPr>
        <w:t>environmental</w:t>
      </w:r>
      <w:proofErr w:type="gramEnd"/>
      <w:r>
        <w:rPr>
          <w:lang w:val="en-GB"/>
        </w:rPr>
        <w:t xml:space="preserve"> and commercial determinants of health. Determinants of health include personal factors such as gender identity, sexuality, ability, socio-economic status, cultural, religious, ethnic, and linguistic background, as well as broader factors relating to education, employment, housing, access to health care, education, food production systems, sanitation, and water systems. </w:t>
      </w:r>
    </w:p>
    <w:p w14:paraId="49B735A3" w14:textId="05D45E7B" w:rsidR="00617F78" w:rsidRDefault="00617F78" w:rsidP="00D870F3">
      <w:pPr>
        <w:pStyle w:val="Body"/>
        <w:spacing w:line="276" w:lineRule="auto"/>
        <w:rPr>
          <w:rFonts w:eastAsia="Arial"/>
        </w:rPr>
      </w:pPr>
      <w:r>
        <w:t>The impact of identity and wider determinants of health is evident in the</w:t>
      </w:r>
      <w:r w:rsidRPr="00772530">
        <w:t xml:space="preserve"> clear socioeconomic and intersectional disadvantage gradient</w:t>
      </w:r>
      <w:r>
        <w:t xml:space="preserve"> that exists across </w:t>
      </w:r>
      <w:proofErr w:type="gramStart"/>
      <w:r>
        <w:t>the majority of</w:t>
      </w:r>
      <w:proofErr w:type="gramEnd"/>
      <w:r>
        <w:t xml:space="preserve"> the </w:t>
      </w:r>
      <w:r w:rsidRPr="00772530">
        <w:t xml:space="preserve">health </w:t>
      </w:r>
      <w:r>
        <w:t xml:space="preserve">and wellbeing </w:t>
      </w:r>
      <w:r w:rsidRPr="00772530">
        <w:t>outcome</w:t>
      </w:r>
      <w:r>
        <w:t xml:space="preserve"> measures presented in this report. </w:t>
      </w:r>
      <w:r>
        <w:rPr>
          <w:rFonts w:eastAsia="Arial"/>
        </w:rPr>
        <w:t>While the population</w:t>
      </w:r>
      <w:r w:rsidR="00A46F20">
        <w:rPr>
          <w:rFonts w:eastAsia="Arial"/>
        </w:rPr>
        <w:t>-</w:t>
      </w:r>
      <w:r>
        <w:rPr>
          <w:rFonts w:eastAsia="Arial"/>
        </w:rPr>
        <w:t xml:space="preserve">level data presented in this report is often not powerful enough to look at outcomes from multiple intersectional identities and determinants, looking at trends across breakdowns provides an indication of when intersecting identities might have a compounding impact on individual health outcomes. </w:t>
      </w:r>
    </w:p>
    <w:p w14:paraId="11E1E4B5" w14:textId="78941B3B" w:rsidR="00D97C4D" w:rsidRDefault="00617F78" w:rsidP="00D870F3">
      <w:pPr>
        <w:pStyle w:val="Body"/>
        <w:spacing w:line="276" w:lineRule="auto"/>
      </w:pPr>
      <w:r>
        <w:t xml:space="preserve">For example, people of low socioeconomic status and people who identify as LGBTIQ+ are independently more likely to experience high levels of psychological distress, experience extreme </w:t>
      </w:r>
      <w:r>
        <w:lastRenderedPageBreak/>
        <w:t>food insecurity</w:t>
      </w:r>
      <w:r w:rsidR="00126271">
        <w:t>,</w:t>
      </w:r>
      <w:r>
        <w:t xml:space="preserve"> smoke daily, and are more likely to die prematurely due to chronic disease. The drivers of poorer health outcomes likely stem from different but overlapping forces – discrimination and stigma for LGBTIQ+ Victorians, and income, </w:t>
      </w:r>
      <w:proofErr w:type="gramStart"/>
      <w:r>
        <w:t>education</w:t>
      </w:r>
      <w:proofErr w:type="gramEnd"/>
      <w:r>
        <w:t xml:space="preserve"> and employment for people of low socioeconomic status.</w:t>
      </w:r>
      <w:r w:rsidR="00D97C4D">
        <w:t xml:space="preserve"> </w:t>
      </w:r>
      <w:r>
        <w:t>When these identities and experiences are combined, the likelihood of experiencing poorer health outcomes is increased</w:t>
      </w:r>
      <w:r w:rsidRPr="00C6263A">
        <w:t>.</w:t>
      </w:r>
    </w:p>
    <w:p w14:paraId="14919B3D" w14:textId="6F9AB092" w:rsidR="00617F78" w:rsidRPr="001B12F4" w:rsidRDefault="00617F78" w:rsidP="00D870F3">
      <w:pPr>
        <w:pStyle w:val="Body"/>
        <w:spacing w:line="276" w:lineRule="auto"/>
      </w:pPr>
      <w:r w:rsidRPr="00C6263A">
        <w:t>While this pattern is reflected across the spread of health and wellbeing outcomes for people</w:t>
      </w:r>
      <w:r>
        <w:t xml:space="preserve"> of</w:t>
      </w:r>
      <w:r w:rsidRPr="00C6263A">
        <w:t xml:space="preserve"> different overlapping intersectional identities, it is important to acknowledge that no two Victorians have the same experience, and that experiencing overlapping identities isn’t </w:t>
      </w:r>
      <w:r w:rsidR="00D97C4D">
        <w:t>always linked</w:t>
      </w:r>
      <w:r w:rsidR="00D97C4D" w:rsidRPr="00C6263A">
        <w:t xml:space="preserve"> </w:t>
      </w:r>
      <w:r w:rsidRPr="00C6263A">
        <w:t xml:space="preserve">with poor </w:t>
      </w:r>
      <w:r>
        <w:t xml:space="preserve">health </w:t>
      </w:r>
      <w:r w:rsidRPr="00C6263A">
        <w:t>outcomes</w:t>
      </w:r>
      <w:r>
        <w:t>.</w:t>
      </w:r>
    </w:p>
    <w:p w14:paraId="32D0E743" w14:textId="54D26B15" w:rsidR="00D97C4D" w:rsidRDefault="00617F78" w:rsidP="00D870F3">
      <w:pPr>
        <w:pStyle w:val="Body"/>
        <w:spacing w:line="276" w:lineRule="auto"/>
      </w:pPr>
      <w:r>
        <w:t>Current evidence suggests that to reduce inequalities</w:t>
      </w:r>
      <w:r w:rsidR="00D97C4D">
        <w:t>,</w:t>
      </w:r>
      <w:r>
        <w:t xml:space="preserve"> the biggest gains are to be made by addressing the wider determinants that influence </w:t>
      </w:r>
      <w:r w:rsidRPr="00F3397B">
        <w:t>health, by focusing on community-wide influences on health and wellbeing</w:t>
      </w:r>
      <w:r w:rsidR="00D97C4D">
        <w:t>,</w:t>
      </w:r>
      <w:r>
        <w:t xml:space="preserve"> combined with targeted support for groups most at risk</w:t>
      </w:r>
      <w:r w:rsidRPr="00F3397B">
        <w:t>.</w:t>
      </w:r>
    </w:p>
    <w:p w14:paraId="30FD31A7" w14:textId="1738F901" w:rsidR="00617F78" w:rsidRDefault="00617F78" w:rsidP="00D870F3">
      <w:pPr>
        <w:pStyle w:val="Body"/>
        <w:spacing w:line="276" w:lineRule="auto"/>
        <w:rPr>
          <w:lang w:val="en-GB"/>
        </w:rPr>
      </w:pPr>
      <w:r>
        <w:rPr>
          <w:lang w:val="en-GB"/>
        </w:rPr>
        <w:t xml:space="preserve">This </w:t>
      </w:r>
      <w:r>
        <w:rPr>
          <w:lang w:val="en-GB" w:eastAsia="en-AU"/>
        </w:rPr>
        <w:t xml:space="preserve">requires </w:t>
      </w:r>
      <w:r w:rsidRPr="00343166">
        <w:rPr>
          <w:lang w:val="en-GB" w:eastAsia="en-AU"/>
        </w:rPr>
        <w:t xml:space="preserve">a coordinated approach between different stakeholders </w:t>
      </w:r>
      <w:r>
        <w:rPr>
          <w:lang w:val="en-GB" w:eastAsia="en-AU"/>
        </w:rPr>
        <w:t>across</w:t>
      </w:r>
      <w:r w:rsidRPr="00343166">
        <w:rPr>
          <w:lang w:val="en-GB" w:eastAsia="en-AU"/>
        </w:rPr>
        <w:t xml:space="preserve"> government, </w:t>
      </w:r>
      <w:r>
        <w:rPr>
          <w:lang w:val="en-GB" w:eastAsia="en-AU"/>
        </w:rPr>
        <w:t xml:space="preserve">funded agencies, </w:t>
      </w:r>
      <w:r w:rsidRPr="00343166">
        <w:rPr>
          <w:lang w:val="en-GB" w:eastAsia="en-AU"/>
        </w:rPr>
        <w:t>service</w:t>
      </w:r>
      <w:r>
        <w:rPr>
          <w:lang w:val="en-GB" w:eastAsia="en-AU"/>
        </w:rPr>
        <w:t xml:space="preserve"> providers</w:t>
      </w:r>
      <w:r w:rsidRPr="00343166">
        <w:rPr>
          <w:lang w:val="en-GB" w:eastAsia="en-AU"/>
        </w:rPr>
        <w:t xml:space="preserve">, community, private </w:t>
      </w:r>
      <w:proofErr w:type="gramStart"/>
      <w:r w:rsidRPr="00343166">
        <w:rPr>
          <w:lang w:val="en-GB" w:eastAsia="en-AU"/>
        </w:rPr>
        <w:t>industry</w:t>
      </w:r>
      <w:proofErr w:type="gramEnd"/>
      <w:r w:rsidRPr="00343166">
        <w:rPr>
          <w:lang w:val="en-GB" w:eastAsia="en-AU"/>
        </w:rPr>
        <w:t xml:space="preserve"> and philanthropic sectors</w:t>
      </w:r>
      <w:r>
        <w:rPr>
          <w:lang w:val="en-GB"/>
        </w:rPr>
        <w:t>. It also means improving</w:t>
      </w:r>
      <w:r w:rsidRPr="006E1B5A">
        <w:rPr>
          <w:lang w:val="en-GB"/>
        </w:rPr>
        <w:t xml:space="preserve"> the systems </w:t>
      </w:r>
      <w:r>
        <w:rPr>
          <w:lang w:val="en-GB"/>
        </w:rPr>
        <w:t>that create and sustain overlapping forms of</w:t>
      </w:r>
      <w:r w:rsidRPr="006E1B5A">
        <w:rPr>
          <w:lang w:val="en-GB"/>
        </w:rPr>
        <w:t xml:space="preserve"> disadvantage</w:t>
      </w:r>
      <w:r>
        <w:rPr>
          <w:lang w:val="en-GB"/>
        </w:rPr>
        <w:t xml:space="preserve"> and discrimination</w:t>
      </w:r>
      <w:r w:rsidRPr="006E1B5A">
        <w:rPr>
          <w:lang w:val="en-GB"/>
        </w:rPr>
        <w:t xml:space="preserve">. </w:t>
      </w:r>
    </w:p>
    <w:p w14:paraId="7C6699DF" w14:textId="25979247" w:rsidR="00617F78" w:rsidRDefault="00617F78" w:rsidP="005A5AD4">
      <w:pPr>
        <w:pStyle w:val="Heading3"/>
        <w:rPr>
          <w:lang w:val="en-GB"/>
        </w:rPr>
      </w:pPr>
      <w:r>
        <w:rPr>
          <w:lang w:val="en-GB"/>
        </w:rPr>
        <w:t>Environment</w:t>
      </w:r>
      <w:r w:rsidR="000A525F">
        <w:rPr>
          <w:lang w:val="en-GB"/>
        </w:rPr>
        <w:t xml:space="preserve"> as a determinant of health</w:t>
      </w:r>
    </w:p>
    <w:p w14:paraId="072A07C9" w14:textId="12295835" w:rsidR="00617F78" w:rsidRDefault="00617F78" w:rsidP="005A5AD4">
      <w:pPr>
        <w:pStyle w:val="Body"/>
      </w:pPr>
      <w:r>
        <w:t>The health and wellbeing of Victorians is dependent on a healthy environment. Access to clean water, clean air and a safe climate are all under threat from climate change. The changing climate also poses risks to health directly</w:t>
      </w:r>
      <w:r w:rsidR="00D97C4D">
        <w:t>,</w:t>
      </w:r>
      <w:r>
        <w:t xml:space="preserve"> through increasing frequency and severity of natural disasters, </w:t>
      </w:r>
      <w:proofErr w:type="gramStart"/>
      <w:r>
        <w:t>displacement</w:t>
      </w:r>
      <w:proofErr w:type="gramEnd"/>
      <w:r>
        <w:t xml:space="preserve"> and exposure to extreme temperatures, and indirectly</w:t>
      </w:r>
      <w:r w:rsidR="00D97C4D">
        <w:t>,</w:t>
      </w:r>
      <w:r>
        <w:t xml:space="preserve"> through food system impacts, loss of biodiversity and changing patterns of communicable diseases. </w:t>
      </w:r>
    </w:p>
    <w:p w14:paraId="373962D1" w14:textId="658391F9" w:rsidR="00D97C4D" w:rsidRDefault="00617F78" w:rsidP="005A5AD4">
      <w:pPr>
        <w:pStyle w:val="Body"/>
      </w:pPr>
      <w:r>
        <w:t>The impacts of climate change on health are felt more significantly by population groups experiencing disadvantage</w:t>
      </w:r>
      <w:r w:rsidR="00D97C4D">
        <w:t>, including</w:t>
      </w:r>
      <w:r>
        <w:t xml:space="preserve"> older people, people with chronic conditions and disabilit</w:t>
      </w:r>
      <w:r w:rsidR="00D97C4D">
        <w:t>y,</w:t>
      </w:r>
      <w:r>
        <w:t xml:space="preserve"> socially isolated people, Aboriginal people, and culturally and linguistically diverse people</w:t>
      </w:r>
      <w:r w:rsidR="00AC1959">
        <w:t>.</w:t>
      </w:r>
      <w:r>
        <w:rPr>
          <w:rStyle w:val="EndnoteReference"/>
        </w:rPr>
        <w:endnoteReference w:id="7"/>
      </w:r>
    </w:p>
    <w:p w14:paraId="33F04504" w14:textId="74CD45EF" w:rsidR="00D97C4D" w:rsidRDefault="00617F78" w:rsidP="005A5AD4">
      <w:pPr>
        <w:pStyle w:val="Body"/>
      </w:pPr>
      <w:r>
        <w:t>Those who are financially disadvantaged are more likely to live in poor</w:t>
      </w:r>
      <w:r w:rsidR="00D97C4D">
        <w:t>-</w:t>
      </w:r>
      <w:r>
        <w:t xml:space="preserve">quality housing located in areas prone to extreme weather </w:t>
      </w:r>
      <w:proofErr w:type="gramStart"/>
      <w:r>
        <w:t>events</w:t>
      </w:r>
      <w:r w:rsidR="00D97C4D">
        <w:t>,</w:t>
      </w:r>
      <w:r>
        <w:t xml:space="preserve"> and</w:t>
      </w:r>
      <w:proofErr w:type="gramEnd"/>
      <w:r>
        <w:t xml:space="preserve"> are less likely to be able to afford cooling and heating</w:t>
      </w:r>
      <w:r w:rsidR="00D97C4D">
        <w:t>,</w:t>
      </w:r>
      <w:r>
        <w:t xml:space="preserve"> and </w:t>
      </w:r>
      <w:r w:rsidR="00D97C4D">
        <w:t xml:space="preserve">to </w:t>
      </w:r>
      <w:r>
        <w:t>insure their homes</w:t>
      </w:r>
      <w:r w:rsidR="00AC1959">
        <w:t>.</w:t>
      </w:r>
      <w:r>
        <w:rPr>
          <w:rStyle w:val="EndnoteReference"/>
        </w:rPr>
        <w:endnoteReference w:id="8"/>
      </w:r>
    </w:p>
    <w:p w14:paraId="72796296" w14:textId="7A86B56A" w:rsidR="00617F78" w:rsidRPr="00F31791" w:rsidRDefault="00617F78" w:rsidP="005A5AD4">
      <w:pPr>
        <w:pStyle w:val="Body"/>
      </w:pPr>
      <w:r>
        <w:t xml:space="preserve">To avoid </w:t>
      </w:r>
      <w:r w:rsidR="00D97C4D">
        <w:t>worsening</w:t>
      </w:r>
      <w:r>
        <w:t xml:space="preserve"> existing inequity, the needs of priority communities must be central to the development of mitigation and adaptation strategies to prevent the impacts of climate change on health. </w:t>
      </w:r>
    </w:p>
    <w:p w14:paraId="35C81A04" w14:textId="77777777" w:rsidR="00617F78" w:rsidRPr="00E41DAD" w:rsidRDefault="00617F78" w:rsidP="005A5AD4">
      <w:pPr>
        <w:pStyle w:val="Heading2"/>
      </w:pPr>
      <w:bookmarkStart w:id="11" w:name="_Toc151976139"/>
      <w:r w:rsidRPr="00E41DAD">
        <w:rPr>
          <w:rFonts w:eastAsia="Arial"/>
        </w:rPr>
        <w:t xml:space="preserve">Aboriginal </w:t>
      </w:r>
      <w:r>
        <w:rPr>
          <w:rFonts w:eastAsia="Arial"/>
        </w:rPr>
        <w:t>h</w:t>
      </w:r>
      <w:r w:rsidRPr="00E41DAD">
        <w:rPr>
          <w:rFonts w:eastAsia="Arial"/>
        </w:rPr>
        <w:t>ealth</w:t>
      </w:r>
      <w:bookmarkEnd w:id="11"/>
    </w:p>
    <w:p w14:paraId="589AD94D" w14:textId="20697FDA" w:rsidR="00617F78" w:rsidRDefault="00617F78" w:rsidP="005A5AD4">
      <w:pPr>
        <w:pStyle w:val="Body"/>
      </w:pPr>
      <w:r w:rsidRPr="7F136D53">
        <w:t xml:space="preserve">Aboriginal health </w:t>
      </w:r>
      <w:r w:rsidR="000237DC">
        <w:t>is</w:t>
      </w:r>
      <w:r w:rsidR="000237DC" w:rsidRPr="7F136D53">
        <w:t xml:space="preserve"> </w:t>
      </w:r>
      <w:r w:rsidRPr="7F136D53">
        <w:t>not just the physical wellbeing of an individual</w:t>
      </w:r>
      <w:r w:rsidR="000237DC">
        <w:t>.</w:t>
      </w:r>
      <w:r w:rsidRPr="7F136D53">
        <w:t xml:space="preserve"> </w:t>
      </w:r>
      <w:r w:rsidR="000237DC">
        <w:t>It</w:t>
      </w:r>
      <w:r w:rsidRPr="7F136D53">
        <w:t xml:space="preserve"> refers to the social, </w:t>
      </w:r>
      <w:proofErr w:type="gramStart"/>
      <w:r w:rsidRPr="7F136D53">
        <w:t>emotional</w:t>
      </w:r>
      <w:proofErr w:type="gramEnd"/>
      <w:r w:rsidRPr="7F136D53">
        <w:t xml:space="preserve"> and cultural wellbeing of the whole </w:t>
      </w:r>
      <w:r w:rsidR="000237DC">
        <w:t>Aboriginal c</w:t>
      </w:r>
      <w:r w:rsidRPr="7F136D53">
        <w:t xml:space="preserve">ommunity </w:t>
      </w:r>
      <w:r w:rsidR="000237DC">
        <w:t>where</w:t>
      </w:r>
      <w:r w:rsidRPr="7F136D53">
        <w:t xml:space="preserve"> each individual is able to achieve their full potential as a human being </w:t>
      </w:r>
      <w:r w:rsidR="000237DC">
        <w:t>for</w:t>
      </w:r>
      <w:r w:rsidRPr="7F136D53">
        <w:t xml:space="preserve"> the total wellbeing of their community. It is a whole-of-life view and includes the cyclical concept of life-death-life</w:t>
      </w:r>
      <w:r w:rsidR="00AC1959">
        <w:t>.</w:t>
      </w:r>
      <w:r w:rsidRPr="7F136D53">
        <w:rPr>
          <w:rStyle w:val="EndnoteReference"/>
        </w:rPr>
        <w:endnoteReference w:id="9"/>
      </w:r>
    </w:p>
    <w:p w14:paraId="478F549C" w14:textId="4D7FA096" w:rsidR="00617F78" w:rsidRDefault="00617F78" w:rsidP="005A5AD4">
      <w:pPr>
        <w:pStyle w:val="Body"/>
      </w:pPr>
      <w:r w:rsidRPr="7F136D53">
        <w:t xml:space="preserve">The impacts of colonisation – while having devastating effects on the traditional life of Aboriginal Nations – have not diminished Aboriginal people’s connection to country, </w:t>
      </w:r>
      <w:proofErr w:type="gramStart"/>
      <w:r w:rsidRPr="7F136D53">
        <w:t>culture</w:t>
      </w:r>
      <w:proofErr w:type="gramEnd"/>
      <w:r w:rsidRPr="7F136D53">
        <w:t xml:space="preserve"> or community.</w:t>
      </w:r>
      <w:r>
        <w:t xml:space="preserve"> </w:t>
      </w:r>
      <w:r w:rsidRPr="7F136D53">
        <w:t>Ther</w:t>
      </w:r>
      <w:r>
        <w:t>e</w:t>
      </w:r>
      <w:r w:rsidRPr="7F136D53">
        <w:t xml:space="preserve"> have</w:t>
      </w:r>
      <w:r w:rsidR="000237DC">
        <w:t>,</w:t>
      </w:r>
      <w:r w:rsidRPr="7F136D53">
        <w:t xml:space="preserve"> however</w:t>
      </w:r>
      <w:r w:rsidR="000237DC">
        <w:t>,</w:t>
      </w:r>
      <w:r w:rsidRPr="7F136D53">
        <w:t xml:space="preserve"> been significant impacts on Aboriginal people’s experience of health and wellbeing. </w:t>
      </w:r>
    </w:p>
    <w:p w14:paraId="6AA3E8F6" w14:textId="77777777" w:rsidR="000237DC" w:rsidRDefault="00617F78" w:rsidP="005A5AD4">
      <w:pPr>
        <w:pStyle w:val="Body"/>
      </w:pPr>
      <w:r w:rsidRPr="7F136D53">
        <w:t>Key health indicators that impact on Aboriginal people’s health, wellbeing and safety reflect the legacy of trans-generational trauma and systemic racism. At the population level</w:t>
      </w:r>
      <w:r w:rsidR="000237DC">
        <w:t>,</w:t>
      </w:r>
      <w:r w:rsidRPr="7F136D53">
        <w:t xml:space="preserve"> there is a </w:t>
      </w:r>
      <w:r w:rsidRPr="7F136D53">
        <w:lastRenderedPageBreak/>
        <w:t xml:space="preserve">significant gap between the health status of Victoria’s Aboriginal population and the non-Aboriginal population. Although there are some areas of improvement, many areas have seen no significant </w:t>
      </w:r>
      <w:proofErr w:type="gramStart"/>
      <w:r w:rsidRPr="7F136D53">
        <w:t>change</w:t>
      </w:r>
      <w:proofErr w:type="gramEnd"/>
      <w:r w:rsidRPr="7F136D53">
        <w:t xml:space="preserve"> and some are getting worse.</w:t>
      </w:r>
    </w:p>
    <w:p w14:paraId="7AAB117B" w14:textId="4C7DA8E5" w:rsidR="000237DC" w:rsidRDefault="00617F78" w:rsidP="005A5AD4">
      <w:pPr>
        <w:pStyle w:val="Body"/>
      </w:pPr>
      <w:r w:rsidRPr="00735BBE">
        <w:t>To address the impact of ongoing colonisation, the Victorian Government has been working to embed Aboriginal self-determination approaches in our efforts to improve health and wellbeing, and delegating authority and control to Aboriginal community</w:t>
      </w:r>
      <w:r w:rsidR="000237DC">
        <w:t>-</w:t>
      </w:r>
      <w:r w:rsidRPr="00735BBE">
        <w:t>led organisations and services focused on improving health and wellbeing.</w:t>
      </w:r>
    </w:p>
    <w:p w14:paraId="60ADC541" w14:textId="73C006EF" w:rsidR="00617F78" w:rsidRDefault="00617F78" w:rsidP="005A5AD4">
      <w:pPr>
        <w:pStyle w:val="Body"/>
      </w:pPr>
      <w:r>
        <w:t>Examples of action taken include</w:t>
      </w:r>
      <w:r w:rsidR="000237DC">
        <w:t xml:space="preserve"> the</w:t>
      </w:r>
      <w:r>
        <w:t xml:space="preserve">: </w:t>
      </w:r>
    </w:p>
    <w:p w14:paraId="05752DA0" w14:textId="5E3D5695" w:rsidR="00617F78" w:rsidRDefault="00617F78" w:rsidP="005A5AD4">
      <w:pPr>
        <w:pStyle w:val="Bullet1"/>
      </w:pPr>
      <w:r w:rsidRPr="7F136D53">
        <w:t>Victorian Aboriginal Affairs Framework 2016-2023 (VAAF)</w:t>
      </w:r>
      <w:r>
        <w:rPr>
          <w:rStyle w:val="EndnoteReference"/>
        </w:rPr>
        <w:endnoteReference w:id="10"/>
      </w:r>
    </w:p>
    <w:p w14:paraId="7B6412E3" w14:textId="26B97203" w:rsidR="00617F78" w:rsidRDefault="00617F78" w:rsidP="005A5AD4">
      <w:pPr>
        <w:pStyle w:val="Bullet1"/>
      </w:pPr>
      <w:proofErr w:type="spellStart"/>
      <w:r w:rsidRPr="004462A2">
        <w:rPr>
          <w:i/>
          <w:iCs/>
        </w:rPr>
        <w:t>Balit</w:t>
      </w:r>
      <w:proofErr w:type="spellEnd"/>
      <w:r w:rsidRPr="004462A2">
        <w:rPr>
          <w:i/>
          <w:iCs/>
        </w:rPr>
        <w:t xml:space="preserve"> </w:t>
      </w:r>
      <w:proofErr w:type="spellStart"/>
      <w:r w:rsidRPr="004462A2">
        <w:rPr>
          <w:i/>
          <w:iCs/>
        </w:rPr>
        <w:t>Murrup</w:t>
      </w:r>
      <w:proofErr w:type="spellEnd"/>
      <w:r w:rsidRPr="004462A2">
        <w:rPr>
          <w:i/>
          <w:iCs/>
        </w:rPr>
        <w:t>: Aboriginal social emotional wellbeing framework 2017</w:t>
      </w:r>
      <w:r w:rsidR="000237DC">
        <w:rPr>
          <w:i/>
          <w:iCs/>
        </w:rPr>
        <w:t>–</w:t>
      </w:r>
      <w:r w:rsidRPr="004462A2">
        <w:rPr>
          <w:i/>
          <w:iCs/>
        </w:rPr>
        <w:t>2027</w:t>
      </w:r>
      <w:r>
        <w:rPr>
          <w:rStyle w:val="EndnoteReference"/>
        </w:rPr>
        <w:endnoteReference w:id="11"/>
      </w:r>
    </w:p>
    <w:p w14:paraId="49357E68" w14:textId="77777777" w:rsidR="00617F78" w:rsidRDefault="00617F78" w:rsidP="005A5AD4">
      <w:pPr>
        <w:pStyle w:val="Bullet1"/>
      </w:pPr>
      <w:r w:rsidRPr="7F136D53">
        <w:t>Aboriginal Health and Wellbeing Partnership Forum</w:t>
      </w:r>
      <w:r>
        <w:rPr>
          <w:rStyle w:val="EndnoteReference"/>
        </w:rPr>
        <w:endnoteReference w:id="12"/>
      </w:r>
    </w:p>
    <w:p w14:paraId="243F4402" w14:textId="77777777" w:rsidR="00617F78" w:rsidRDefault="00617F78" w:rsidP="005A5AD4">
      <w:pPr>
        <w:pStyle w:val="Bullet1"/>
      </w:pPr>
      <w:r w:rsidRPr="7F136D53">
        <w:t>Aboriginal Health and Wellbeing Partnership Agreement</w:t>
      </w:r>
      <w:r>
        <w:rPr>
          <w:rStyle w:val="EndnoteReference"/>
        </w:rPr>
        <w:endnoteReference w:id="13"/>
      </w:r>
    </w:p>
    <w:p w14:paraId="2A20CD9B" w14:textId="72F73257" w:rsidR="00617F78" w:rsidRDefault="00617F78" w:rsidP="005A5AD4">
      <w:pPr>
        <w:pStyle w:val="Bullet1"/>
      </w:pPr>
      <w:r w:rsidRPr="00734D53">
        <w:rPr>
          <w:i/>
          <w:iCs/>
        </w:rPr>
        <w:t>Victorian Treaty Act 2018</w:t>
      </w:r>
      <w:r>
        <w:rPr>
          <w:rStyle w:val="EndnoteReference"/>
          <w:i/>
          <w:iCs/>
        </w:rPr>
        <w:endnoteReference w:id="14"/>
      </w:r>
      <w:r w:rsidRPr="00B2170C">
        <w:rPr>
          <w:i/>
          <w:iCs/>
        </w:rPr>
        <w:t xml:space="preserve"> </w:t>
      </w:r>
      <w:r w:rsidRPr="00B2170C">
        <w:t>and</w:t>
      </w:r>
      <w:r w:rsidRPr="7F136D53">
        <w:t xml:space="preserve"> the </w:t>
      </w:r>
      <w:r w:rsidRPr="004462A2">
        <w:rPr>
          <w:i/>
          <w:iCs/>
        </w:rPr>
        <w:t>Treaty Negotiation Framework</w:t>
      </w:r>
      <w:r w:rsidR="000237DC">
        <w:rPr>
          <w:i/>
          <w:iCs/>
        </w:rPr>
        <w:t>.</w:t>
      </w:r>
    </w:p>
    <w:p w14:paraId="477C74B9" w14:textId="77777777" w:rsidR="00617F78" w:rsidRPr="00072938" w:rsidRDefault="00617F78" w:rsidP="005A5AD4">
      <w:pPr>
        <w:pStyle w:val="Heading2"/>
      </w:pPr>
      <w:bookmarkStart w:id="12" w:name="_Toc151976140"/>
      <w:r w:rsidRPr="00072938">
        <w:t>Health</w:t>
      </w:r>
      <w:r>
        <w:t>y</w:t>
      </w:r>
      <w:r w:rsidRPr="00072938">
        <w:t xml:space="preserve"> behaviours need healthy </w:t>
      </w:r>
      <w:proofErr w:type="gramStart"/>
      <w:r w:rsidRPr="00072938">
        <w:t>environments</w:t>
      </w:r>
      <w:bookmarkEnd w:id="12"/>
      <w:proofErr w:type="gramEnd"/>
    </w:p>
    <w:p w14:paraId="62E7E4F0" w14:textId="77777777" w:rsidR="000237DC" w:rsidRDefault="00617F78" w:rsidP="005A5AD4">
      <w:pPr>
        <w:pStyle w:val="Body"/>
      </w:pPr>
      <w:r>
        <w:t xml:space="preserve">Despite our collective efforts to improve healthy eating and active living over the past decade, there has been no improvements in outcomes. Historically, efforts to improve healthy eating and active living have </w:t>
      </w:r>
      <w:r w:rsidRPr="00EF4EF1">
        <w:t>focused on encouraging individuals to change their behaviours, such as eating more vegetables and exercising more.</w:t>
      </w:r>
    </w:p>
    <w:p w14:paraId="13A9EA57" w14:textId="19B313D0" w:rsidR="000237DC" w:rsidRDefault="00617F78" w:rsidP="005A5AD4">
      <w:pPr>
        <w:pStyle w:val="Body"/>
      </w:pPr>
      <w:r w:rsidRPr="00EF4EF1">
        <w:t>However, it is now understood that individuals need to be surrounded by environments that support choosing healthy options and that placing the burden on individuals does not support people trying to make the healthy choice.</w:t>
      </w:r>
      <w:r w:rsidR="000237DC">
        <w:t xml:space="preserve"> </w:t>
      </w:r>
      <w:r>
        <w:t>For example, our f</w:t>
      </w:r>
      <w:r w:rsidRPr="00BE5E45">
        <w:t>ood environment</w:t>
      </w:r>
      <w:r>
        <w:t xml:space="preserve"> and the marketing of food heavily </w:t>
      </w:r>
      <w:r w:rsidRPr="00BE5E45">
        <w:t>influence</w:t>
      </w:r>
      <w:r>
        <w:t>s</w:t>
      </w:r>
      <w:r w:rsidRPr="00BE5E45">
        <w:t xml:space="preserve"> the food and drinks we buy and consume.</w:t>
      </w:r>
    </w:p>
    <w:p w14:paraId="465843CF" w14:textId="7BDF589F" w:rsidR="000237DC" w:rsidRDefault="00617F78" w:rsidP="005A5AD4">
      <w:pPr>
        <w:pStyle w:val="Body"/>
        <w:rPr>
          <w:lang w:eastAsia="en-AU"/>
        </w:rPr>
      </w:pPr>
      <w:r>
        <w:t>The current food environment actively promotes</w:t>
      </w:r>
      <w:r w:rsidRPr="00BE5E45">
        <w:t xml:space="preserve"> unhealthy diets through the widespread availability of cheap, highly palatable, </w:t>
      </w:r>
      <w:r>
        <w:t>ultra-processed foods</w:t>
      </w:r>
      <w:r w:rsidR="00AC1959">
        <w:t>.</w:t>
      </w:r>
      <w:r>
        <w:rPr>
          <w:rStyle w:val="EndnoteReference"/>
        </w:rPr>
        <w:endnoteReference w:id="15"/>
      </w:r>
      <w:r w:rsidR="00AC1959">
        <w:t xml:space="preserve"> </w:t>
      </w:r>
      <w:r>
        <w:rPr>
          <w:lang w:eastAsia="en-AU"/>
        </w:rPr>
        <w:t>These constant pressures make it difficult for individuals to choose the healthy option and are undermining efforts to promote a healthy diet.</w:t>
      </w:r>
    </w:p>
    <w:p w14:paraId="0A83955B" w14:textId="3A78543D" w:rsidR="00617F78" w:rsidRDefault="00617F78" w:rsidP="005A5AD4">
      <w:pPr>
        <w:pStyle w:val="Body"/>
        <w:rPr>
          <w:lang w:eastAsia="en-AU"/>
        </w:rPr>
      </w:pPr>
      <w:r>
        <w:t>Food environments that support healthy choices also benefit the planet, with analysis showing that a diet consistent with</w:t>
      </w:r>
      <w:r w:rsidR="000237DC">
        <w:t xml:space="preserve"> the</w:t>
      </w:r>
      <w:r>
        <w:t xml:space="preserve"> Australian Dietary Guidelines had a 42 per cent lower climate footprint than the current average diet of Australian adults</w:t>
      </w:r>
      <w:r w:rsidR="00AC1959">
        <w:t>.</w:t>
      </w:r>
      <w:r>
        <w:rPr>
          <w:rStyle w:val="EndnoteReference"/>
        </w:rPr>
        <w:endnoteReference w:id="16"/>
      </w:r>
    </w:p>
    <w:p w14:paraId="4C94E710" w14:textId="77777777" w:rsidR="000237DC" w:rsidRDefault="00617F78" w:rsidP="005A5AD4">
      <w:pPr>
        <w:pStyle w:val="Body"/>
        <w:rPr>
          <w:rFonts w:eastAsia="Arial" w:cs="Arial"/>
        </w:rPr>
      </w:pPr>
      <w:r>
        <w:t xml:space="preserve">Living an active lifestyle also extends beyond individual choices and health </w:t>
      </w:r>
      <w:proofErr w:type="gramStart"/>
      <w:r>
        <w:t>behaviours</w:t>
      </w:r>
      <w:r w:rsidR="000237DC">
        <w:t>,</w:t>
      </w:r>
      <w:r>
        <w:t xml:space="preserve"> and</w:t>
      </w:r>
      <w:proofErr w:type="gramEnd"/>
      <w:r>
        <w:t xml:space="preserve"> is largely determined by our lifestyles and environments. </w:t>
      </w:r>
      <w:r>
        <w:rPr>
          <w:rFonts w:eastAsia="Arial" w:cs="Arial"/>
        </w:rPr>
        <w:t>Physical activity can be promoted by our built environment through walkable neighbourhoods, walking and bike paths, infrastructure such as parks and green spaces, and through promoting safe and accessible environments.</w:t>
      </w:r>
    </w:p>
    <w:p w14:paraId="75058B3D" w14:textId="3508CB6A" w:rsidR="00617F78" w:rsidRDefault="00617F78" w:rsidP="005A5AD4">
      <w:pPr>
        <w:pStyle w:val="Body"/>
        <w:rPr>
          <w:rFonts w:eastAsia="Arial" w:cs="Arial"/>
        </w:rPr>
      </w:pPr>
      <w:r>
        <w:rPr>
          <w:rFonts w:eastAsia="Arial" w:cs="Arial"/>
        </w:rPr>
        <w:t xml:space="preserve">Our built environment and facilities need to be accessible to people of all abilities, and our efforts to promote physical activity should be inclusive, regardless of age, gender, cultural </w:t>
      </w:r>
      <w:proofErr w:type="gramStart"/>
      <w:r>
        <w:rPr>
          <w:rFonts w:eastAsia="Arial" w:cs="Arial"/>
        </w:rPr>
        <w:t>background</w:t>
      </w:r>
      <w:proofErr w:type="gramEnd"/>
      <w:r w:rsidR="000237DC">
        <w:rPr>
          <w:rFonts w:eastAsia="Arial" w:cs="Arial"/>
        </w:rPr>
        <w:t xml:space="preserve"> or</w:t>
      </w:r>
      <w:r>
        <w:rPr>
          <w:rFonts w:eastAsia="Arial" w:cs="Arial"/>
        </w:rPr>
        <w:t xml:space="preserve"> disability status. These features of a built environment also create environmental co-benefits</w:t>
      </w:r>
      <w:r w:rsidR="000237DC">
        <w:rPr>
          <w:rFonts w:eastAsia="Arial" w:cs="Arial"/>
        </w:rPr>
        <w:t>,</w:t>
      </w:r>
      <w:r>
        <w:rPr>
          <w:rFonts w:eastAsia="Arial" w:cs="Arial"/>
        </w:rPr>
        <w:t xml:space="preserve"> such as reducing the urban heat island effect and minimising emissions generated from transport. </w:t>
      </w:r>
    </w:p>
    <w:p w14:paraId="70BB926D" w14:textId="2C37F73E" w:rsidR="00617F78" w:rsidRDefault="00617F78" w:rsidP="005A5AD4">
      <w:pPr>
        <w:pStyle w:val="Body"/>
      </w:pPr>
      <w:r>
        <w:t xml:space="preserve">While individual behaviour changes to increase healthy eating and active living is the outcome we are trying to achieve, the drivers of these behaviours are often beyond the scope of </w:t>
      </w:r>
      <w:r w:rsidR="00B5641D">
        <w:t>the Department of Health (the department), such as</w:t>
      </w:r>
      <w:r>
        <w:t xml:space="preserve"> agriculture, </w:t>
      </w:r>
      <w:proofErr w:type="gramStart"/>
      <w:r>
        <w:t>transport</w:t>
      </w:r>
      <w:proofErr w:type="gramEnd"/>
      <w:r w:rsidR="00B5641D">
        <w:t xml:space="preserve"> and</w:t>
      </w:r>
      <w:r>
        <w:t xml:space="preserve"> jobs. </w:t>
      </w:r>
      <w:r w:rsidR="00B5641D">
        <w:t>M</w:t>
      </w:r>
      <w:r>
        <w:t xml:space="preserve">eaningful change requires collaboration across government and industry, and stronger policy to shift the environments in which we live, </w:t>
      </w:r>
      <w:proofErr w:type="gramStart"/>
      <w:r>
        <w:t>work</w:t>
      </w:r>
      <w:proofErr w:type="gramEnd"/>
      <w:r>
        <w:t xml:space="preserve"> and play to support healthy and sustainable choices. </w:t>
      </w:r>
    </w:p>
    <w:p w14:paraId="66ED55C2" w14:textId="77777777" w:rsidR="00617F78" w:rsidRPr="00072938" w:rsidRDefault="00617F78" w:rsidP="005A5AD4">
      <w:pPr>
        <w:pStyle w:val="Heading2"/>
      </w:pPr>
      <w:bookmarkStart w:id="13" w:name="_Toc151976141"/>
      <w:r w:rsidRPr="00072938">
        <w:lastRenderedPageBreak/>
        <w:t>Barriers to good health and wellbeing</w:t>
      </w:r>
      <w:bookmarkEnd w:id="13"/>
      <w:r w:rsidRPr="00072938">
        <w:t xml:space="preserve"> </w:t>
      </w:r>
    </w:p>
    <w:p w14:paraId="39FFDE8D" w14:textId="77777777" w:rsidR="00617F78" w:rsidRDefault="00617F78" w:rsidP="005A5AD4">
      <w:pPr>
        <w:pStyle w:val="Body"/>
      </w:pPr>
      <w:r>
        <w:t xml:space="preserve">Exploring the underlying reasons behind inequity in health and wellbeing outcomes reveals that some Victorians face additional barriers to health and wellbeing, beyond the social and behavioural determinants of health.  </w:t>
      </w:r>
    </w:p>
    <w:p w14:paraId="2809905B" w14:textId="77777777" w:rsidR="00617F78" w:rsidRDefault="00617F78" w:rsidP="005A5AD4">
      <w:pPr>
        <w:pStyle w:val="Heading3"/>
      </w:pPr>
      <w:r>
        <w:t>Stigma</w:t>
      </w:r>
    </w:p>
    <w:p w14:paraId="49291A64" w14:textId="0C7119A4" w:rsidR="00B5641D" w:rsidRDefault="00617F78" w:rsidP="005A5AD4">
      <w:pPr>
        <w:pStyle w:val="Body"/>
      </w:pPr>
      <w:r>
        <w:t>Stigma associated with certain health conditions can have broader impacts on the health and wellbeing of the affected individual, most severely through preventing help</w:t>
      </w:r>
      <w:r w:rsidR="00B5641D">
        <w:t>-</w:t>
      </w:r>
      <w:r>
        <w:t>seeking behaviour, and contributing to feelings of shame and poor mental health</w:t>
      </w:r>
      <w:r w:rsidR="002D40FB">
        <w:t>.</w:t>
      </w:r>
      <w:r>
        <w:rPr>
          <w:rStyle w:val="EndnoteReference"/>
        </w:rPr>
        <w:endnoteReference w:id="17"/>
      </w:r>
      <w:r w:rsidR="002D40FB">
        <w:t xml:space="preserve"> </w:t>
      </w:r>
      <w:r w:rsidR="00B5641D">
        <w:t xml:space="preserve">There are </w:t>
      </w:r>
      <w:r>
        <w:t>documented incidents of this experience with mental health conditions and sexually transmitted diseases</w:t>
      </w:r>
      <w:r w:rsidR="00B5641D">
        <w:t>,</w:t>
      </w:r>
      <w:r>
        <w:t xml:space="preserve"> such as HIV.</w:t>
      </w:r>
    </w:p>
    <w:p w14:paraId="11F3B154" w14:textId="59908AC8" w:rsidR="00617F78" w:rsidRDefault="00617F78" w:rsidP="005A5AD4">
      <w:pPr>
        <w:pStyle w:val="Body"/>
      </w:pPr>
      <w:r>
        <w:t xml:space="preserve">Years of campaigning to reduce </w:t>
      </w:r>
      <w:r w:rsidR="00B5641D">
        <w:t xml:space="preserve">the </w:t>
      </w:r>
      <w:r>
        <w:t xml:space="preserve">stigma associated with these conditions have led to higher numbers of people speaking up and seeking help, ultimately leading to better health outcomes. </w:t>
      </w:r>
    </w:p>
    <w:p w14:paraId="1B12D24A" w14:textId="6BE0F132" w:rsidR="00B5641D" w:rsidRDefault="00617F78" w:rsidP="005A5AD4">
      <w:pPr>
        <w:pStyle w:val="Body"/>
      </w:pPr>
      <w:r>
        <w:t>More recently, the extent of the impact of weight stigma has been realised. Evidence shows experiencing weight stigma can contribute to overeating, avoidance of exercise, high levels of stress and poor mental health, all of which are risk factors for weight gain</w:t>
      </w:r>
      <w:r w:rsidR="002D40FB">
        <w:t>.</w:t>
      </w:r>
      <w:r>
        <w:rPr>
          <w:rStyle w:val="EndnoteReference"/>
        </w:rPr>
        <w:endnoteReference w:id="18"/>
      </w:r>
      <w:r w:rsidRPr="00313859">
        <w:rPr>
          <w:vertAlign w:val="superscript"/>
        </w:rPr>
        <w:t>,</w:t>
      </w:r>
      <w:r>
        <w:rPr>
          <w:rStyle w:val="EndnoteReference"/>
        </w:rPr>
        <w:endnoteReference w:id="19"/>
      </w:r>
      <w:r w:rsidRPr="00313859">
        <w:rPr>
          <w:vertAlign w:val="superscript"/>
        </w:rPr>
        <w:t>,</w:t>
      </w:r>
      <w:r>
        <w:rPr>
          <w:rStyle w:val="EndnoteReference"/>
        </w:rPr>
        <w:endnoteReference w:id="20"/>
      </w:r>
      <w:r w:rsidRPr="00313859">
        <w:rPr>
          <w:vertAlign w:val="superscript"/>
        </w:rPr>
        <w:t>,</w:t>
      </w:r>
      <w:r>
        <w:rPr>
          <w:rStyle w:val="EndnoteReference"/>
        </w:rPr>
        <w:endnoteReference w:id="21"/>
      </w:r>
    </w:p>
    <w:p w14:paraId="75915C18" w14:textId="0D2A7099" w:rsidR="00B5641D" w:rsidRDefault="00617F78" w:rsidP="005A5AD4">
      <w:pPr>
        <w:pStyle w:val="Body"/>
      </w:pPr>
      <w:r>
        <w:t>People who are overweight or obese report experiencing weight stigma in healthcare settings, which leads to people avoiding seeking help and has significant implications for quality of care</w:t>
      </w:r>
      <w:r w:rsidR="002D40FB">
        <w:t>.</w:t>
      </w:r>
      <w:r>
        <w:rPr>
          <w:rStyle w:val="EndnoteReference"/>
        </w:rPr>
        <w:endnoteReference w:id="22"/>
      </w:r>
    </w:p>
    <w:p w14:paraId="4CE694D1" w14:textId="4C0B890A" w:rsidR="00617F78" w:rsidRDefault="00617F78" w:rsidP="005A5AD4">
      <w:pPr>
        <w:pStyle w:val="Body"/>
      </w:pPr>
      <w:r>
        <w:t xml:space="preserve"> Public health messaging designed to prevent </w:t>
      </w:r>
      <w:proofErr w:type="gramStart"/>
      <w:r>
        <w:t>overweight</w:t>
      </w:r>
      <w:proofErr w:type="gramEnd"/>
      <w:r>
        <w:t xml:space="preserve"> and obesity must not place blame on individuals, perpetuating weight stigma. Instead, the focus needs to be on what changes are needed in our policies, </w:t>
      </w:r>
      <w:proofErr w:type="gramStart"/>
      <w:r>
        <w:t>programs</w:t>
      </w:r>
      <w:proofErr w:type="gramEnd"/>
      <w:r>
        <w:t xml:space="preserve"> and environments to support healthy behaviours for all people</w:t>
      </w:r>
      <w:r w:rsidR="00B5641D">
        <w:t>,</w:t>
      </w:r>
      <w:r>
        <w:t xml:space="preserve"> regardless of weight. </w:t>
      </w:r>
    </w:p>
    <w:p w14:paraId="44E803B2" w14:textId="77777777" w:rsidR="00617F78" w:rsidRDefault="00617F78" w:rsidP="005A5AD4">
      <w:pPr>
        <w:pStyle w:val="Heading3"/>
      </w:pPr>
      <w:r>
        <w:t>Racism</w:t>
      </w:r>
    </w:p>
    <w:p w14:paraId="04ABB8BF" w14:textId="6EC4B781" w:rsidR="00B5641D" w:rsidRDefault="00617F78" w:rsidP="005A5AD4">
      <w:pPr>
        <w:pStyle w:val="Body"/>
      </w:pPr>
      <w:r>
        <w:t xml:space="preserve">Racism is a powerful determinant of health and is a known contributor to health inequity globally. </w:t>
      </w:r>
      <w:r w:rsidRPr="00735BBE">
        <w:t>Experiencing racial discrimination</w:t>
      </w:r>
      <w:r>
        <w:t xml:space="preserve"> increases the likelihood of a wide range of physical and mental health conditions, such as cardiovascular disease and diabetes, as well </w:t>
      </w:r>
      <w:r w:rsidR="00B5641D">
        <w:t xml:space="preserve">as </w:t>
      </w:r>
      <w:r>
        <w:t>contributing to increases in harmful health behaviours like smoking and drug use</w:t>
      </w:r>
      <w:bookmarkStart w:id="14" w:name="_Ref150506774"/>
      <w:r w:rsidR="00BF29C5">
        <w:t>.</w:t>
      </w:r>
      <w:r>
        <w:rPr>
          <w:rStyle w:val="EndnoteReference"/>
        </w:rPr>
        <w:endnoteReference w:id="23"/>
      </w:r>
      <w:bookmarkEnd w:id="14"/>
    </w:p>
    <w:p w14:paraId="13E2A17A" w14:textId="7B4BF095" w:rsidR="00617F78" w:rsidRDefault="00B5641D" w:rsidP="005A5AD4">
      <w:pPr>
        <w:pStyle w:val="Body"/>
      </w:pPr>
      <w:r>
        <w:t>T</w:t>
      </w:r>
      <w:r w:rsidR="00617F78">
        <w:t>he expectation of experiencing discrimination in certain settings can lead to sustained high levels of psychological distress and anxiety, which can result in withdrawal and isolation from communities</w:t>
      </w:r>
      <w:r w:rsidR="00BF29C5">
        <w:t>.</w:t>
      </w:r>
      <w:r w:rsidR="00872BD1">
        <w:fldChar w:fldCharType="begin"/>
      </w:r>
      <w:r w:rsidR="00872BD1">
        <w:instrText xml:space="preserve"> NOTEREF _Ref150506774 \f \h </w:instrText>
      </w:r>
      <w:r w:rsidR="00872BD1">
        <w:fldChar w:fldCharType="separate"/>
      </w:r>
      <w:r w:rsidR="0080696C" w:rsidRPr="0080696C">
        <w:rPr>
          <w:rStyle w:val="EndnoteReference"/>
        </w:rPr>
        <w:t>22</w:t>
      </w:r>
      <w:r w:rsidR="00872BD1">
        <w:fldChar w:fldCharType="end"/>
      </w:r>
      <w:r w:rsidR="00617F78">
        <w:t xml:space="preserve"> Racial discrimination can also impact health and wellbeing through influencing other determinants of health, such as education and employment opportunities, and by contributing to reluctance to seek health care</w:t>
      </w:r>
      <w:r w:rsidR="00160633">
        <w:t>.</w:t>
      </w:r>
      <w:r w:rsidR="00160633">
        <w:fldChar w:fldCharType="begin"/>
      </w:r>
      <w:r w:rsidR="00160633">
        <w:instrText xml:space="preserve"> NOTEREF _Ref150506774 \f \h </w:instrText>
      </w:r>
      <w:r w:rsidR="00160633">
        <w:fldChar w:fldCharType="separate"/>
      </w:r>
      <w:r w:rsidR="0080696C" w:rsidRPr="0080696C">
        <w:rPr>
          <w:rStyle w:val="EndnoteReference"/>
        </w:rPr>
        <w:t>22</w:t>
      </w:r>
      <w:r w:rsidR="00160633">
        <w:fldChar w:fldCharType="end"/>
      </w:r>
    </w:p>
    <w:p w14:paraId="785988AE" w14:textId="36E005C1" w:rsidR="00617F78" w:rsidRDefault="00B5641D" w:rsidP="005A5AD4">
      <w:pPr>
        <w:pStyle w:val="Body"/>
      </w:pPr>
      <w:r>
        <w:t>I</w:t>
      </w:r>
      <w:r w:rsidR="00617F78">
        <w:t xml:space="preserve">t is essential </w:t>
      </w:r>
      <w:r>
        <w:t xml:space="preserve">that </w:t>
      </w:r>
      <w:r w:rsidR="00617F78">
        <w:t xml:space="preserve">we continue to celebrate different cultural backgrounds and increase tolerance of diversity throughout Victoria. Encouraging connection to culture and community will reduce racism in our society </w:t>
      </w:r>
      <w:r>
        <w:t>and</w:t>
      </w:r>
      <w:r w:rsidR="00617F78">
        <w:t xml:space="preserve"> have a protective effect on health and wellbeing. </w:t>
      </w:r>
      <w:r>
        <w:t>We can a</w:t>
      </w:r>
      <w:r w:rsidR="00617F78">
        <w:t>chiev</w:t>
      </w:r>
      <w:r w:rsidR="00995343">
        <w:t>e</w:t>
      </w:r>
      <w:r w:rsidR="00617F78">
        <w:t xml:space="preserve"> this </w:t>
      </w:r>
      <w:r>
        <w:t>by</w:t>
      </w:r>
      <w:r w:rsidR="00617F78">
        <w:t xml:space="preserve"> listening to and learning from people of different </w:t>
      </w:r>
      <w:proofErr w:type="gramStart"/>
      <w:r w:rsidR="00617F78">
        <w:t>backgrounds</w:t>
      </w:r>
      <w:r>
        <w:t>,</w:t>
      </w:r>
      <w:r w:rsidR="00617F78">
        <w:t xml:space="preserve"> and</w:t>
      </w:r>
      <w:proofErr w:type="gramEnd"/>
      <w:r w:rsidR="00617F78">
        <w:t xml:space="preserve"> challenging the systems and structures in place that perpetuate systemic racism. </w:t>
      </w:r>
    </w:p>
    <w:p w14:paraId="1DDD605E" w14:textId="77777777" w:rsidR="00617F78" w:rsidRDefault="00617F78" w:rsidP="005A5AD4">
      <w:pPr>
        <w:pStyle w:val="Heading3"/>
      </w:pPr>
      <w:r>
        <w:t>Access</w:t>
      </w:r>
    </w:p>
    <w:p w14:paraId="50C6B204" w14:textId="6544C57E" w:rsidR="00617F78" w:rsidRDefault="00617F78" w:rsidP="005A5AD4">
      <w:pPr>
        <w:pStyle w:val="Body"/>
      </w:pPr>
      <w:r>
        <w:t>The ability to access high</w:t>
      </w:r>
      <w:r w:rsidR="00B5641D">
        <w:t>-</w:t>
      </w:r>
      <w:r>
        <w:t xml:space="preserve">quality, affordable health care in a timely manner is critical to living a long and healthy life. People living in regional areas often face barriers accessing health care, such as getting an appointment with a GP close to home, ambulance response times and access to lifesaving treatment in hospital. </w:t>
      </w:r>
    </w:p>
    <w:p w14:paraId="71A8224F" w14:textId="37FF1526" w:rsidR="00617F78" w:rsidRDefault="00617F78" w:rsidP="005A5AD4">
      <w:pPr>
        <w:pStyle w:val="Body"/>
      </w:pPr>
      <w:r>
        <w:lastRenderedPageBreak/>
        <w:t>As a result, regional Victorians are more likely to die prematurely due to all causes, and due to non-communicable diseases</w:t>
      </w:r>
      <w:r w:rsidR="00B5641D">
        <w:t>,</w:t>
      </w:r>
      <w:r>
        <w:t xml:space="preserve"> when compared with people living in metropolitan areas. The death rate due to road traffic accidents and the death rate due to injury in children (0</w:t>
      </w:r>
      <w:r w:rsidR="00B5641D">
        <w:t>–</w:t>
      </w:r>
      <w:r>
        <w:t>24 years) is three times higher for regional Victorians</w:t>
      </w:r>
      <w:bookmarkStart w:id="15" w:name="_Ref150513562"/>
      <w:r w:rsidR="002079BA">
        <w:t>.</w:t>
      </w:r>
      <w:r w:rsidR="00072108">
        <w:rPr>
          <w:rStyle w:val="EndnoteReference"/>
        </w:rPr>
        <w:endnoteReference w:id="24"/>
      </w:r>
      <w:bookmarkEnd w:id="15"/>
    </w:p>
    <w:p w14:paraId="5A392F40" w14:textId="7F986E41" w:rsidR="00617F78" w:rsidRDefault="00617F78" w:rsidP="005A5AD4">
      <w:pPr>
        <w:pStyle w:val="Body"/>
      </w:pPr>
      <w:r>
        <w:t>The impact of access on health extends to facilities</w:t>
      </w:r>
      <w:r w:rsidR="00157B44">
        <w:t>,</w:t>
      </w:r>
      <w:r>
        <w:t xml:space="preserve"> such as walking tracks, exercise facilities and opportunities for active transport, as well as </w:t>
      </w:r>
      <w:r w:rsidR="00157B44">
        <w:t xml:space="preserve">to </w:t>
      </w:r>
      <w:r>
        <w:t xml:space="preserve">healthy, </w:t>
      </w:r>
      <w:proofErr w:type="gramStart"/>
      <w:r>
        <w:t>affordable</w:t>
      </w:r>
      <w:proofErr w:type="gramEnd"/>
      <w:r>
        <w:t xml:space="preserve"> and sustainable food. People who live in regional Victoria are more likely to smoke, be overweight or obese, and be diagnosed with cancer</w:t>
      </w:r>
      <w:r w:rsidR="00157B44">
        <w:t>,</w:t>
      </w:r>
      <w:r>
        <w:t xml:space="preserve"> compared with metropolitan Victorians. </w:t>
      </w:r>
    </w:p>
    <w:p w14:paraId="42352946" w14:textId="501C39F9" w:rsidR="00157B44" w:rsidRDefault="00617F78" w:rsidP="005A5AD4">
      <w:pPr>
        <w:pStyle w:val="Body"/>
      </w:pPr>
      <w:r>
        <w:t>While regional Victorians are more likely to belong to an organised group and have a strong sense of community, the impacts of geographic isolation can have a significant negative impact on mental health. The suicide rate for regional Victorians is 12.3 per 100,000, compared with 8.8 per 100,000 for metropolitan Victorians</w:t>
      </w:r>
      <w:r w:rsidR="002079BA">
        <w:t>.</w:t>
      </w:r>
      <w:r w:rsidR="008F49FC">
        <w:fldChar w:fldCharType="begin"/>
      </w:r>
      <w:r w:rsidR="008F49FC">
        <w:instrText xml:space="preserve"> NOTEREF _Ref150513562 \f \h </w:instrText>
      </w:r>
      <w:r w:rsidR="008F49FC">
        <w:fldChar w:fldCharType="separate"/>
      </w:r>
      <w:r w:rsidR="00633ED2" w:rsidRPr="00633ED2">
        <w:rPr>
          <w:rStyle w:val="EndnoteReference"/>
        </w:rPr>
        <w:t>23</w:t>
      </w:r>
      <w:r w:rsidR="008F49FC">
        <w:fldChar w:fldCharType="end"/>
      </w:r>
    </w:p>
    <w:p w14:paraId="5ED6A282" w14:textId="161563F7" w:rsidR="00617F78" w:rsidRDefault="00617F78" w:rsidP="005A5AD4">
      <w:pPr>
        <w:pStyle w:val="Body"/>
      </w:pPr>
      <w:r>
        <w:t xml:space="preserve">The Royal Commission into </w:t>
      </w:r>
      <w:r w:rsidR="00157B44">
        <w:t xml:space="preserve">Victoria’s </w:t>
      </w:r>
      <w:r>
        <w:t xml:space="preserve">Mental Health </w:t>
      </w:r>
      <w:r w:rsidR="00157B44">
        <w:t xml:space="preserve">System </w:t>
      </w:r>
      <w:r>
        <w:t xml:space="preserve">found that many regional Victorians didn’t know where to go to seek help for their mental </w:t>
      </w:r>
      <w:proofErr w:type="gramStart"/>
      <w:r>
        <w:t>health, and</w:t>
      </w:r>
      <w:proofErr w:type="gramEnd"/>
      <w:r>
        <w:t xml:space="preserve"> identified limited access to Mental Health and Wellbeing Services in regional Victoria as a </w:t>
      </w:r>
      <w:r w:rsidR="00157B44">
        <w:t>problem in regional areas</w:t>
      </w:r>
      <w:r>
        <w:t xml:space="preserve">. </w:t>
      </w:r>
    </w:p>
    <w:p w14:paraId="6B254385" w14:textId="77777777" w:rsidR="00617F78" w:rsidRDefault="00617F78" w:rsidP="005A5AD4">
      <w:pPr>
        <w:pStyle w:val="Body"/>
      </w:pPr>
      <w:r>
        <w:t xml:space="preserve">All Victorians should have equal opportunity to access services and facilities that support their health, regardless of where they live. </w:t>
      </w:r>
    </w:p>
    <w:p w14:paraId="09903627" w14:textId="0BB0DB3C" w:rsidR="00617F78" w:rsidRDefault="00617F78" w:rsidP="00F6210E">
      <w:pPr>
        <w:pStyle w:val="Heading1"/>
      </w:pPr>
      <w:bookmarkStart w:id="16" w:name="_Toc151976142"/>
      <w:r>
        <w:t>Targets</w:t>
      </w:r>
      <w:bookmarkEnd w:id="16"/>
      <w:r>
        <w:t xml:space="preserve"> </w:t>
      </w:r>
    </w:p>
    <w:p w14:paraId="44483947" w14:textId="2254690D" w:rsidR="00157B44" w:rsidRDefault="00617F78" w:rsidP="005A6439">
      <w:pPr>
        <w:pStyle w:val="Body"/>
      </w:pPr>
      <w:r>
        <w:t xml:space="preserve">The </w:t>
      </w:r>
      <w:r w:rsidR="00157B44" w:rsidRPr="0025730A">
        <w:rPr>
          <w:rStyle w:val="Hyperlink"/>
          <w:i/>
          <w:iCs/>
        </w:rPr>
        <w:t>Victorian public health and wellbeing outcomes framework</w:t>
      </w:r>
      <w:r w:rsidR="0065784E">
        <w:rPr>
          <w:rStyle w:val="Hyperlink"/>
          <w:i/>
          <w:iCs/>
        </w:rPr>
        <w:fldChar w:fldCharType="begin"/>
      </w:r>
      <w:r w:rsidR="0065784E">
        <w:rPr>
          <w:rStyle w:val="Hyperlink"/>
          <w:i/>
          <w:iCs/>
        </w:rPr>
        <w:instrText xml:space="preserve"> NOTEREF _Ref132361447 \f \h </w:instrText>
      </w:r>
      <w:r w:rsidR="0065784E">
        <w:rPr>
          <w:rStyle w:val="Hyperlink"/>
          <w:i/>
          <w:iCs/>
        </w:rPr>
      </w:r>
      <w:r w:rsidR="0065784E">
        <w:rPr>
          <w:rStyle w:val="Hyperlink"/>
          <w:i/>
          <w:iCs/>
        </w:rPr>
        <w:fldChar w:fldCharType="separate"/>
      </w:r>
      <w:r w:rsidR="00F96CDC" w:rsidRPr="00F96CDC">
        <w:rPr>
          <w:rStyle w:val="EndnoteReference"/>
        </w:rPr>
        <w:t>3</w:t>
      </w:r>
      <w:r w:rsidR="0065784E">
        <w:rPr>
          <w:rStyle w:val="Hyperlink"/>
          <w:i/>
          <w:iCs/>
        </w:rPr>
        <w:fldChar w:fldCharType="end"/>
      </w:r>
      <w:r w:rsidR="00160633">
        <w:t xml:space="preserve"> </w:t>
      </w:r>
      <w:r>
        <w:t>tracks progress against targets in line with state and national policies, as well as international government commitments. The Victorian Government is committed to these targets, most of which are to be achieved by 2025.</w:t>
      </w:r>
    </w:p>
    <w:p w14:paraId="4EB5FB29" w14:textId="6789C596" w:rsidR="00617F78" w:rsidRDefault="00617F78" w:rsidP="005A6439">
      <w:pPr>
        <w:pStyle w:val="Body"/>
      </w:pPr>
      <w:r>
        <w:t xml:space="preserve">Measures within the outcomes framework help us to assess </w:t>
      </w:r>
      <w:r w:rsidR="00157B44">
        <w:t>whether</w:t>
      </w:r>
      <w:r>
        <w:t xml:space="preserve"> we are on track to achieve targets for the whole of the Victorian population, and whether improvements are shared equally between all Victorians. </w:t>
      </w:r>
    </w:p>
    <w:p w14:paraId="5CAC23B6" w14:textId="476E9A86" w:rsidR="00617F78" w:rsidRPr="005A6439" w:rsidRDefault="00617F78" w:rsidP="005A6439">
      <w:pPr>
        <w:pStyle w:val="Body"/>
      </w:pPr>
      <w:r>
        <w:t>T</w:t>
      </w:r>
      <w:r w:rsidR="00157B44">
        <w:t>able 1</w:t>
      </w:r>
      <w:r>
        <w:t xml:space="preserve"> provides a summary of whether we are on track to meet our </w:t>
      </w:r>
      <w:proofErr w:type="gramStart"/>
      <w:r>
        <w:t>targets, and</w:t>
      </w:r>
      <w:proofErr w:type="gramEnd"/>
      <w:r>
        <w:t xml:space="preserve"> identifies where further effort is needed for outcomes heading in the wrong direction.</w:t>
      </w:r>
    </w:p>
    <w:p w14:paraId="63EF22F9" w14:textId="0143827D" w:rsidR="00157B44" w:rsidRDefault="00157B44" w:rsidP="0025730A">
      <w:pPr>
        <w:pStyle w:val="Tablecaption"/>
      </w:pPr>
      <w:r>
        <w:t xml:space="preserve">Table </w:t>
      </w:r>
      <w:fldSimple w:instr=" SEQ Table \* ARABIC ">
        <w:r>
          <w:rPr>
            <w:noProof/>
          </w:rPr>
          <w:t>1</w:t>
        </w:r>
      </w:fldSimple>
      <w:r w:rsidR="00873F35">
        <w:t>:</w:t>
      </w:r>
      <w:r>
        <w:t xml:space="preserve"> Scorecard for targets</w:t>
      </w:r>
    </w:p>
    <w:tbl>
      <w:tblPr>
        <w:tblStyle w:val="GridTable4-Accent2"/>
        <w:tblW w:w="4963" w:type="pct"/>
        <w:tblLook w:val="04A0" w:firstRow="1" w:lastRow="0" w:firstColumn="1" w:lastColumn="0" w:noHBand="0" w:noVBand="1"/>
      </w:tblPr>
      <w:tblGrid>
        <w:gridCol w:w="4390"/>
        <w:gridCol w:w="1149"/>
        <w:gridCol w:w="1272"/>
        <w:gridCol w:w="1132"/>
        <w:gridCol w:w="1276"/>
      </w:tblGrid>
      <w:tr w:rsidR="00806E74" w:rsidRPr="00D46600" w14:paraId="55A7530E" w14:textId="77777777" w:rsidTr="00E00CAB">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381" w:type="pct"/>
          </w:tcPr>
          <w:p w14:paraId="03373D8D" w14:textId="77777777" w:rsidR="00806E74" w:rsidRPr="00D46600" w:rsidRDefault="00806E74">
            <w:pPr>
              <w:pStyle w:val="Tablecolhead"/>
              <w:rPr>
                <w:rFonts w:eastAsia="MS Gothic"/>
                <w:b/>
                <w:bCs w:val="0"/>
                <w:color w:val="auto"/>
              </w:rPr>
            </w:pPr>
            <w:r w:rsidRPr="00D46600">
              <w:rPr>
                <w:rFonts w:eastAsia="MS Gothic"/>
                <w:b/>
                <w:bCs w:val="0"/>
                <w:color w:val="auto"/>
              </w:rPr>
              <w:t>Target</w:t>
            </w:r>
          </w:p>
        </w:tc>
        <w:tc>
          <w:tcPr>
            <w:tcW w:w="623" w:type="pct"/>
          </w:tcPr>
          <w:p w14:paraId="79410963" w14:textId="77777777" w:rsidR="00806E74" w:rsidRPr="00D46600" w:rsidRDefault="00806E74">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Progress</w:t>
            </w:r>
          </w:p>
        </w:tc>
        <w:tc>
          <w:tcPr>
            <w:tcW w:w="690" w:type="pct"/>
          </w:tcPr>
          <w:p w14:paraId="4F1207E6" w14:textId="77777777" w:rsidR="00806E74" w:rsidRPr="00D46600" w:rsidRDefault="00806E74">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Baseline</w:t>
            </w:r>
          </w:p>
        </w:tc>
        <w:tc>
          <w:tcPr>
            <w:tcW w:w="614" w:type="pct"/>
          </w:tcPr>
          <w:p w14:paraId="01C5E098" w14:textId="77777777" w:rsidR="00806E74" w:rsidRPr="00D46600" w:rsidRDefault="00806E74">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Current</w:t>
            </w:r>
          </w:p>
        </w:tc>
        <w:tc>
          <w:tcPr>
            <w:tcW w:w="693" w:type="pct"/>
          </w:tcPr>
          <w:p w14:paraId="1F45D920" w14:textId="77777777" w:rsidR="00806E74" w:rsidRPr="00D46600" w:rsidRDefault="00806E74">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Target projection</w:t>
            </w:r>
          </w:p>
        </w:tc>
      </w:tr>
      <w:tr w:rsidR="00806E74" w14:paraId="1A144A98" w14:textId="77777777" w:rsidTr="00E00CA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381" w:type="pct"/>
          </w:tcPr>
          <w:p w14:paraId="0F2A13EF" w14:textId="0211B83E" w:rsidR="00806E74" w:rsidRPr="00D46600" w:rsidRDefault="00806E74">
            <w:pPr>
              <w:pStyle w:val="Tabletext"/>
              <w:rPr>
                <w:rFonts w:eastAsia="MS Gothic"/>
                <w:b w:val="0"/>
                <w:bCs w:val="0"/>
              </w:rPr>
            </w:pPr>
            <w:r w:rsidRPr="00D46600">
              <w:rPr>
                <w:rFonts w:eastAsia="MS Gothic"/>
                <w:b w:val="0"/>
                <w:bCs w:val="0"/>
              </w:rPr>
              <w:t>25</w:t>
            </w:r>
            <w:r w:rsidR="00157B44">
              <w:rPr>
                <w:rFonts w:eastAsia="MS Gothic"/>
                <w:b w:val="0"/>
                <w:bCs w:val="0"/>
              </w:rPr>
              <w:t>%</w:t>
            </w:r>
            <w:r w:rsidRPr="00D46600">
              <w:rPr>
                <w:rFonts w:eastAsia="MS Gothic"/>
                <w:b w:val="0"/>
                <w:bCs w:val="0"/>
              </w:rPr>
              <w:t xml:space="preserve"> decrease in premature deaths due to chronic disease by 2025</w:t>
            </w:r>
          </w:p>
        </w:tc>
        <w:tc>
          <w:tcPr>
            <w:tcW w:w="623" w:type="pct"/>
          </w:tcPr>
          <w:p w14:paraId="5C4B751D"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30261">
              <w:rPr>
                <w:rFonts w:eastAsia="MS Gothic"/>
                <w:b/>
                <w:bCs/>
                <w:color w:val="92D050"/>
              </w:rPr>
              <w:t>On track</w:t>
            </w:r>
          </w:p>
        </w:tc>
        <w:tc>
          <w:tcPr>
            <w:tcW w:w="690" w:type="pct"/>
          </w:tcPr>
          <w:p w14:paraId="55D8C9B4"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161 per 100,000</w:t>
            </w:r>
          </w:p>
          <w:p w14:paraId="78BED501" w14:textId="77777777" w:rsidR="00806E74" w:rsidRPr="009A700A"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9A700A">
              <w:rPr>
                <w:rFonts w:eastAsia="MS Gothic"/>
              </w:rPr>
              <w:t>2010</w:t>
            </w:r>
          </w:p>
        </w:tc>
        <w:tc>
          <w:tcPr>
            <w:tcW w:w="614" w:type="pct"/>
          </w:tcPr>
          <w:p w14:paraId="4BFE86AB"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132 per 100,000</w:t>
            </w:r>
          </w:p>
          <w:p w14:paraId="7E8118F9" w14:textId="77777777" w:rsidR="00806E74" w:rsidRPr="009A700A"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9A700A">
              <w:rPr>
                <w:rFonts w:eastAsia="MS Gothic"/>
              </w:rPr>
              <w:t>2018</w:t>
            </w:r>
          </w:p>
        </w:tc>
        <w:tc>
          <w:tcPr>
            <w:tcW w:w="693" w:type="pct"/>
          </w:tcPr>
          <w:p w14:paraId="39A7F3E8" w14:textId="77777777" w:rsidR="00806E7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121 per 100,000</w:t>
            </w:r>
          </w:p>
          <w:p w14:paraId="7B44D109" w14:textId="77777777" w:rsidR="00806E74" w:rsidRPr="008F06FF"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8F06FF">
              <w:rPr>
                <w:rFonts w:eastAsia="MS Gothic"/>
                <w:b/>
                <w:bCs/>
              </w:rPr>
              <w:t>2025</w:t>
            </w:r>
          </w:p>
        </w:tc>
      </w:tr>
      <w:tr w:rsidR="00806E74" w14:paraId="20467DD4" w14:textId="77777777" w:rsidTr="00E00CAB">
        <w:trPr>
          <w:trHeight w:val="842"/>
        </w:trPr>
        <w:tc>
          <w:tcPr>
            <w:cnfStyle w:val="001000000000" w:firstRow="0" w:lastRow="0" w:firstColumn="1" w:lastColumn="0" w:oddVBand="0" w:evenVBand="0" w:oddHBand="0" w:evenHBand="0" w:firstRowFirstColumn="0" w:firstRowLastColumn="0" w:lastRowFirstColumn="0" w:lastRowLastColumn="0"/>
            <w:tcW w:w="2381" w:type="pct"/>
          </w:tcPr>
          <w:p w14:paraId="177E7AAB" w14:textId="6EFD1BD6" w:rsidR="00806E74" w:rsidRPr="00D46600" w:rsidRDefault="00806E74">
            <w:pPr>
              <w:pStyle w:val="Tabletext"/>
              <w:rPr>
                <w:rFonts w:eastAsia="MS Gothic"/>
                <w:b w:val="0"/>
                <w:bCs w:val="0"/>
              </w:rPr>
            </w:pPr>
            <w:r w:rsidRPr="00D46600">
              <w:rPr>
                <w:rFonts w:eastAsia="MS Gothic"/>
                <w:b w:val="0"/>
                <w:bCs w:val="0"/>
              </w:rPr>
              <w:t>20</w:t>
            </w:r>
            <w:r w:rsidR="00157B44">
              <w:rPr>
                <w:rFonts w:eastAsia="MS Gothic"/>
                <w:b w:val="0"/>
                <w:bCs w:val="0"/>
              </w:rPr>
              <w:t>%</w:t>
            </w:r>
            <w:r w:rsidRPr="00D46600">
              <w:rPr>
                <w:rFonts w:eastAsia="MS Gothic"/>
                <w:b w:val="0"/>
                <w:bCs w:val="0"/>
              </w:rPr>
              <w:t xml:space="preserve"> increase in sufficient physical activity prevalence of adolescents by 2025</w:t>
            </w:r>
          </w:p>
        </w:tc>
        <w:tc>
          <w:tcPr>
            <w:tcW w:w="623" w:type="pct"/>
          </w:tcPr>
          <w:p w14:paraId="6A34B69A"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b/>
                <w:bCs/>
                <w:color w:val="C00000"/>
              </w:rPr>
              <w:t>Not on track</w:t>
            </w:r>
          </w:p>
        </w:tc>
        <w:tc>
          <w:tcPr>
            <w:tcW w:w="690" w:type="pct"/>
          </w:tcPr>
          <w:p w14:paraId="034E32E7"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26.0%</w:t>
            </w:r>
          </w:p>
          <w:p w14:paraId="6A036C2E"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2014</w:t>
            </w:r>
          </w:p>
        </w:tc>
        <w:tc>
          <w:tcPr>
            <w:tcW w:w="614" w:type="pct"/>
          </w:tcPr>
          <w:p w14:paraId="205A1D9F"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23.4%</w:t>
            </w:r>
          </w:p>
          <w:p w14:paraId="3C2F1F60"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2018</w:t>
            </w:r>
          </w:p>
        </w:tc>
        <w:tc>
          <w:tcPr>
            <w:tcW w:w="693" w:type="pct"/>
          </w:tcPr>
          <w:p w14:paraId="76D36BB5" w14:textId="77777777" w:rsidR="00806E74"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31.2%</w:t>
            </w:r>
          </w:p>
          <w:p w14:paraId="27D7E3AF" w14:textId="77777777" w:rsidR="00806E74" w:rsidRPr="00A92697"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14:paraId="307BD223" w14:textId="77777777" w:rsidTr="00E00CA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81" w:type="pct"/>
          </w:tcPr>
          <w:p w14:paraId="4B55EBE8" w14:textId="19A4216F" w:rsidR="00806E74" w:rsidRPr="00D46600" w:rsidRDefault="00806E74">
            <w:pPr>
              <w:pStyle w:val="Tabletext"/>
              <w:rPr>
                <w:rFonts w:eastAsia="MS Gothic"/>
                <w:b w:val="0"/>
                <w:bCs w:val="0"/>
              </w:rPr>
            </w:pPr>
            <w:r w:rsidRPr="00D46600">
              <w:rPr>
                <w:rFonts w:eastAsia="MS Gothic"/>
                <w:b w:val="0"/>
                <w:bCs w:val="0"/>
              </w:rPr>
              <w:t>10</w:t>
            </w:r>
            <w:r w:rsidR="00157B44">
              <w:rPr>
                <w:rFonts w:eastAsia="MS Gothic"/>
                <w:b w:val="0"/>
                <w:bCs w:val="0"/>
              </w:rPr>
              <w:t>%</w:t>
            </w:r>
            <w:r w:rsidRPr="00D46600">
              <w:rPr>
                <w:rFonts w:eastAsia="MS Gothic"/>
                <w:b w:val="0"/>
                <w:bCs w:val="0"/>
              </w:rPr>
              <w:t xml:space="preserve"> increase in sufficient physical activity prevalence of adults by 2025*</w:t>
            </w:r>
          </w:p>
        </w:tc>
        <w:tc>
          <w:tcPr>
            <w:tcW w:w="623" w:type="pct"/>
          </w:tcPr>
          <w:p w14:paraId="3A47FE78" w14:textId="77777777" w:rsidR="00806E74" w:rsidRPr="00F30261"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color w:val="F79646" w:themeColor="accent6"/>
              </w:rPr>
            </w:pPr>
            <w:r w:rsidRPr="00F30261">
              <w:rPr>
                <w:rFonts w:eastAsia="MS Gothic"/>
                <w:b/>
                <w:bCs/>
                <w:color w:val="F79646" w:themeColor="accent6"/>
              </w:rPr>
              <w:t>No change</w:t>
            </w:r>
          </w:p>
        </w:tc>
        <w:tc>
          <w:tcPr>
            <w:tcW w:w="690" w:type="pct"/>
          </w:tcPr>
          <w:p w14:paraId="76FA1D9A" w14:textId="77777777" w:rsidR="00806E74" w:rsidRPr="008352F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47.3%</w:t>
            </w:r>
          </w:p>
          <w:p w14:paraId="744E9F3E" w14:textId="77777777" w:rsidR="00806E74" w:rsidRPr="008352F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2015</w:t>
            </w:r>
          </w:p>
        </w:tc>
        <w:tc>
          <w:tcPr>
            <w:tcW w:w="614" w:type="pct"/>
          </w:tcPr>
          <w:p w14:paraId="074008EF" w14:textId="77777777" w:rsidR="00806E74" w:rsidRPr="008352F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51.7%</w:t>
            </w:r>
          </w:p>
          <w:p w14:paraId="3EA37298" w14:textId="77777777" w:rsidR="00806E74" w:rsidRPr="008352F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2019</w:t>
            </w:r>
          </w:p>
        </w:tc>
        <w:tc>
          <w:tcPr>
            <w:tcW w:w="693" w:type="pct"/>
          </w:tcPr>
          <w:p w14:paraId="1F700CC9" w14:textId="77777777" w:rsidR="00806E74" w:rsidRPr="008352F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52</w:t>
            </w:r>
            <w:r>
              <w:rPr>
                <w:rFonts w:eastAsia="MS Gothic"/>
              </w:rPr>
              <w:t>.0</w:t>
            </w:r>
            <w:r w:rsidRPr="008352F4">
              <w:rPr>
                <w:rFonts w:eastAsia="MS Gothic"/>
              </w:rPr>
              <w:t>%</w:t>
            </w:r>
          </w:p>
          <w:p w14:paraId="28A72D26" w14:textId="77777777" w:rsidR="00806E74" w:rsidRPr="00A92697"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14:paraId="5D23A7D0" w14:textId="77777777" w:rsidTr="00E00CAB">
        <w:trPr>
          <w:trHeight w:val="707"/>
        </w:trPr>
        <w:tc>
          <w:tcPr>
            <w:cnfStyle w:val="001000000000" w:firstRow="0" w:lastRow="0" w:firstColumn="1" w:lastColumn="0" w:oddVBand="0" w:evenVBand="0" w:oddHBand="0" w:evenHBand="0" w:firstRowFirstColumn="0" w:firstRowLastColumn="0" w:lastRowFirstColumn="0" w:lastRowLastColumn="0"/>
            <w:tcW w:w="2381" w:type="pct"/>
          </w:tcPr>
          <w:p w14:paraId="19395F8F" w14:textId="76F7A291" w:rsidR="00806E74" w:rsidRPr="00D46600" w:rsidRDefault="00806E74">
            <w:pPr>
              <w:pStyle w:val="Tabletext"/>
              <w:rPr>
                <w:rFonts w:eastAsia="MS Gothic"/>
                <w:b w:val="0"/>
                <w:bCs w:val="0"/>
              </w:rPr>
            </w:pPr>
            <w:r w:rsidRPr="00D46600">
              <w:rPr>
                <w:b w:val="0"/>
                <w:bCs w:val="0"/>
              </w:rPr>
              <w:t>30</w:t>
            </w:r>
            <w:r w:rsidR="00157B44">
              <w:rPr>
                <w:rFonts w:eastAsia="MS Gothic"/>
                <w:b w:val="0"/>
                <w:bCs w:val="0"/>
              </w:rPr>
              <w:t>%</w:t>
            </w:r>
            <w:r w:rsidRPr="00D46600">
              <w:rPr>
                <w:b w:val="0"/>
                <w:bCs w:val="0"/>
              </w:rPr>
              <w:t xml:space="preserve"> decrease in smoking by adolescents by 2025</w:t>
            </w:r>
          </w:p>
        </w:tc>
        <w:tc>
          <w:tcPr>
            <w:tcW w:w="623" w:type="pct"/>
          </w:tcPr>
          <w:p w14:paraId="4913B86E" w14:textId="77777777" w:rsidR="00806E74" w:rsidRPr="00F30261"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color w:val="F79646" w:themeColor="accent6"/>
              </w:rPr>
            </w:pPr>
            <w:r w:rsidRPr="00F30261">
              <w:rPr>
                <w:rFonts w:eastAsia="MS Gothic"/>
                <w:b/>
                <w:bCs/>
                <w:color w:val="F79646" w:themeColor="accent6"/>
              </w:rPr>
              <w:t>No change</w:t>
            </w:r>
          </w:p>
        </w:tc>
        <w:tc>
          <w:tcPr>
            <w:tcW w:w="690" w:type="pct"/>
          </w:tcPr>
          <w:p w14:paraId="149738BE"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4.2%</w:t>
            </w:r>
          </w:p>
          <w:p w14:paraId="08689044"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2014</w:t>
            </w:r>
          </w:p>
        </w:tc>
        <w:tc>
          <w:tcPr>
            <w:tcW w:w="614" w:type="pct"/>
          </w:tcPr>
          <w:p w14:paraId="2E733FDE"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4.0%</w:t>
            </w:r>
          </w:p>
          <w:p w14:paraId="16660636"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2018</w:t>
            </w:r>
          </w:p>
        </w:tc>
        <w:tc>
          <w:tcPr>
            <w:tcW w:w="693" w:type="pct"/>
          </w:tcPr>
          <w:p w14:paraId="630901EF" w14:textId="77777777" w:rsidR="00806E74"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2.9%</w:t>
            </w:r>
          </w:p>
          <w:p w14:paraId="6B9C1021" w14:textId="77777777" w:rsidR="00806E74" w:rsidRPr="00A92697"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14:paraId="13DFFD0F" w14:textId="77777777" w:rsidTr="00E00CAB">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381" w:type="pct"/>
          </w:tcPr>
          <w:p w14:paraId="3BE9D112" w14:textId="602B21A3" w:rsidR="00806E74" w:rsidRPr="00D46600" w:rsidRDefault="00806E74">
            <w:pPr>
              <w:pStyle w:val="Tabletext"/>
              <w:rPr>
                <w:rFonts w:eastAsia="MS Gothic"/>
                <w:b w:val="0"/>
                <w:bCs w:val="0"/>
              </w:rPr>
            </w:pPr>
            <w:r w:rsidRPr="00D46600">
              <w:rPr>
                <w:b w:val="0"/>
                <w:bCs w:val="0"/>
              </w:rPr>
              <w:lastRenderedPageBreak/>
              <w:t>30</w:t>
            </w:r>
            <w:r w:rsidR="00157B44">
              <w:rPr>
                <w:rFonts w:eastAsia="MS Gothic"/>
                <w:b w:val="0"/>
                <w:bCs w:val="0"/>
              </w:rPr>
              <w:t>%</w:t>
            </w:r>
            <w:r w:rsidRPr="00D46600">
              <w:rPr>
                <w:b w:val="0"/>
                <w:bCs w:val="0"/>
              </w:rPr>
              <w:t xml:space="preserve"> decrease in smoking by adults by 2025</w:t>
            </w:r>
          </w:p>
        </w:tc>
        <w:tc>
          <w:tcPr>
            <w:tcW w:w="623" w:type="pct"/>
          </w:tcPr>
          <w:p w14:paraId="140678B5"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30261">
              <w:rPr>
                <w:rFonts w:eastAsia="MS Gothic"/>
                <w:b/>
                <w:bCs/>
                <w:color w:val="92D050"/>
              </w:rPr>
              <w:t>On track</w:t>
            </w:r>
          </w:p>
        </w:tc>
        <w:tc>
          <w:tcPr>
            <w:tcW w:w="690" w:type="pct"/>
          </w:tcPr>
          <w:p w14:paraId="57517113"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12.0%</w:t>
            </w:r>
          </w:p>
          <w:p w14:paraId="6A6BBE04"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2011-12</w:t>
            </w:r>
          </w:p>
        </w:tc>
        <w:tc>
          <w:tcPr>
            <w:tcW w:w="614" w:type="pct"/>
          </w:tcPr>
          <w:p w14:paraId="426590AC"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10.1%</w:t>
            </w:r>
          </w:p>
          <w:p w14:paraId="4D6BDB91"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2022</w:t>
            </w:r>
          </w:p>
        </w:tc>
        <w:tc>
          <w:tcPr>
            <w:tcW w:w="693" w:type="pct"/>
          </w:tcPr>
          <w:p w14:paraId="3DD335A6" w14:textId="77777777" w:rsidR="00806E7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8.4%</w:t>
            </w:r>
          </w:p>
          <w:p w14:paraId="6ABDF153" w14:textId="77777777" w:rsidR="00806E74" w:rsidRPr="00A92697"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14:paraId="69EB4A19" w14:textId="77777777" w:rsidTr="00E00CAB">
        <w:trPr>
          <w:trHeight w:val="854"/>
        </w:trPr>
        <w:tc>
          <w:tcPr>
            <w:cnfStyle w:val="001000000000" w:firstRow="0" w:lastRow="0" w:firstColumn="1" w:lastColumn="0" w:oddVBand="0" w:evenVBand="0" w:oddHBand="0" w:evenHBand="0" w:firstRowFirstColumn="0" w:firstRowLastColumn="0" w:lastRowFirstColumn="0" w:lastRowLastColumn="0"/>
            <w:tcW w:w="2381" w:type="pct"/>
          </w:tcPr>
          <w:p w14:paraId="12FBDE40" w14:textId="77777777" w:rsidR="00806E74" w:rsidRPr="00D46600" w:rsidRDefault="00806E74">
            <w:pPr>
              <w:pStyle w:val="Tabletext"/>
              <w:rPr>
                <w:rFonts w:eastAsia="MS Gothic"/>
                <w:b w:val="0"/>
                <w:bCs w:val="0"/>
              </w:rPr>
            </w:pPr>
            <w:r w:rsidRPr="00D46600">
              <w:rPr>
                <w:b w:val="0"/>
                <w:bCs w:val="0"/>
              </w:rPr>
              <w:t>5% decrease in prevalence of overweight and obesity in adults by 2025</w:t>
            </w:r>
          </w:p>
        </w:tc>
        <w:tc>
          <w:tcPr>
            <w:tcW w:w="623" w:type="pct"/>
          </w:tcPr>
          <w:p w14:paraId="638A00C2" w14:textId="77777777" w:rsidR="00806E74" w:rsidRPr="00062B95"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b/>
                <w:bCs/>
              </w:rPr>
            </w:pPr>
            <w:r>
              <w:rPr>
                <w:rFonts w:eastAsia="MS Gothic"/>
                <w:b/>
                <w:bCs/>
                <w:color w:val="C00000"/>
              </w:rPr>
              <w:t>Not on track</w:t>
            </w:r>
          </w:p>
        </w:tc>
        <w:tc>
          <w:tcPr>
            <w:tcW w:w="690" w:type="pct"/>
          </w:tcPr>
          <w:p w14:paraId="404C0591"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62.1%</w:t>
            </w:r>
          </w:p>
          <w:p w14:paraId="3F7E6584"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2011-12</w:t>
            </w:r>
          </w:p>
        </w:tc>
        <w:tc>
          <w:tcPr>
            <w:tcW w:w="614" w:type="pct"/>
          </w:tcPr>
          <w:p w14:paraId="6F094A9F"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68.3%</w:t>
            </w:r>
          </w:p>
          <w:p w14:paraId="5280B583"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2017-18</w:t>
            </w:r>
          </w:p>
        </w:tc>
        <w:tc>
          <w:tcPr>
            <w:tcW w:w="693" w:type="pct"/>
          </w:tcPr>
          <w:p w14:paraId="2EC05741" w14:textId="77777777" w:rsidR="00806E74"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59.0%</w:t>
            </w:r>
          </w:p>
          <w:p w14:paraId="23E02B56" w14:textId="77777777" w:rsidR="00806E74" w:rsidRPr="00A92697"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14:paraId="53569004" w14:textId="77777777" w:rsidTr="00E00CAB">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381" w:type="pct"/>
          </w:tcPr>
          <w:p w14:paraId="02868258" w14:textId="77777777" w:rsidR="00806E74" w:rsidRPr="00D46600" w:rsidRDefault="00806E74">
            <w:pPr>
              <w:pStyle w:val="Tabletext"/>
              <w:rPr>
                <w:rFonts w:eastAsia="MS Gothic"/>
                <w:b w:val="0"/>
                <w:bCs w:val="0"/>
              </w:rPr>
            </w:pPr>
            <w:r w:rsidRPr="00D46600">
              <w:rPr>
                <w:b w:val="0"/>
                <w:bCs w:val="0"/>
              </w:rPr>
              <w:t>5% decrease in prevalence of overweight and obesity in children by 2025**</w:t>
            </w:r>
          </w:p>
        </w:tc>
        <w:tc>
          <w:tcPr>
            <w:tcW w:w="623" w:type="pct"/>
          </w:tcPr>
          <w:p w14:paraId="7D431499" w14:textId="77777777" w:rsidR="00806E74" w:rsidRPr="00062B95"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b/>
                <w:bCs/>
              </w:rPr>
            </w:pPr>
            <w:r w:rsidRPr="00F30261">
              <w:rPr>
                <w:rFonts w:eastAsia="MS Gothic"/>
                <w:b/>
                <w:bCs/>
                <w:color w:val="F79646" w:themeColor="accent6"/>
              </w:rPr>
              <w:t>No change</w:t>
            </w:r>
          </w:p>
        </w:tc>
        <w:tc>
          <w:tcPr>
            <w:tcW w:w="690" w:type="pct"/>
          </w:tcPr>
          <w:p w14:paraId="117A3F5A"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23.0%</w:t>
            </w:r>
          </w:p>
          <w:p w14:paraId="19DD1D5D"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2011-12</w:t>
            </w:r>
          </w:p>
        </w:tc>
        <w:tc>
          <w:tcPr>
            <w:tcW w:w="614" w:type="pct"/>
          </w:tcPr>
          <w:p w14:paraId="52BC3F11"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21.6%</w:t>
            </w:r>
          </w:p>
          <w:p w14:paraId="1ACC578E"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2017-18</w:t>
            </w:r>
          </w:p>
        </w:tc>
        <w:tc>
          <w:tcPr>
            <w:tcW w:w="693" w:type="pct"/>
          </w:tcPr>
          <w:p w14:paraId="2C47970A" w14:textId="77777777" w:rsidR="00806E7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21.9%</w:t>
            </w:r>
          </w:p>
          <w:p w14:paraId="517A13CD" w14:textId="77777777" w:rsidR="00806E74" w:rsidRPr="00A92697"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14:paraId="2AF614CA" w14:textId="77777777" w:rsidTr="00E00CAB">
        <w:trPr>
          <w:trHeight w:val="676"/>
        </w:trPr>
        <w:tc>
          <w:tcPr>
            <w:cnfStyle w:val="001000000000" w:firstRow="0" w:lastRow="0" w:firstColumn="1" w:lastColumn="0" w:oddVBand="0" w:evenVBand="0" w:oddHBand="0" w:evenHBand="0" w:firstRowFirstColumn="0" w:firstRowLastColumn="0" w:lastRowFirstColumn="0" w:lastRowLastColumn="0"/>
            <w:tcW w:w="2381" w:type="pct"/>
          </w:tcPr>
          <w:p w14:paraId="3ADFBC8D" w14:textId="1BF7CBA8" w:rsidR="00806E74" w:rsidRPr="00D46600" w:rsidRDefault="00806E74">
            <w:pPr>
              <w:pStyle w:val="Tabletext"/>
              <w:rPr>
                <w:b w:val="0"/>
                <w:bCs w:val="0"/>
              </w:rPr>
            </w:pPr>
            <w:r w:rsidRPr="00D46600">
              <w:rPr>
                <w:b w:val="0"/>
                <w:bCs w:val="0"/>
              </w:rPr>
              <w:t>95</w:t>
            </w:r>
            <w:r w:rsidR="00157B44">
              <w:rPr>
                <w:rFonts w:eastAsia="MS Gothic"/>
                <w:b w:val="0"/>
                <w:bCs w:val="0"/>
              </w:rPr>
              <w:t>%</w:t>
            </w:r>
            <w:r w:rsidRPr="00D46600">
              <w:rPr>
                <w:b w:val="0"/>
                <w:bCs w:val="0"/>
              </w:rPr>
              <w:t xml:space="preserve"> coverage of school</w:t>
            </w:r>
            <w:r w:rsidR="008D2BDB">
              <w:rPr>
                <w:b w:val="0"/>
                <w:bCs w:val="0"/>
              </w:rPr>
              <w:t>-</w:t>
            </w:r>
            <w:r w:rsidRPr="00D46600">
              <w:rPr>
                <w:b w:val="0"/>
                <w:bCs w:val="0"/>
              </w:rPr>
              <w:t>entry immunisation by 2025</w:t>
            </w:r>
          </w:p>
        </w:tc>
        <w:tc>
          <w:tcPr>
            <w:tcW w:w="623" w:type="pct"/>
          </w:tcPr>
          <w:p w14:paraId="3451318F"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30261">
              <w:rPr>
                <w:rFonts w:eastAsia="MS Gothic"/>
                <w:b/>
                <w:bCs/>
                <w:color w:val="92D050"/>
              </w:rPr>
              <w:t>On track</w:t>
            </w:r>
          </w:p>
        </w:tc>
        <w:tc>
          <w:tcPr>
            <w:tcW w:w="690" w:type="pct"/>
          </w:tcPr>
          <w:p w14:paraId="29E7079A"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Pr>
                <w:rFonts w:eastAsia="Arial" w:cs="Arial"/>
                <w:color w:val="000000" w:themeColor="text1"/>
              </w:rPr>
              <w:t>91.0%</w:t>
            </w:r>
          </w:p>
          <w:p w14:paraId="1F1B71D1"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2011</w:t>
            </w:r>
          </w:p>
        </w:tc>
        <w:tc>
          <w:tcPr>
            <w:tcW w:w="614" w:type="pct"/>
          </w:tcPr>
          <w:p w14:paraId="7AEA34B7"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C5300B">
              <w:rPr>
                <w:rFonts w:eastAsia="Arial" w:cs="Arial"/>
                <w:color w:val="000000" w:themeColor="text1"/>
              </w:rPr>
              <w:t>95.</w:t>
            </w:r>
            <w:r>
              <w:rPr>
                <w:rFonts w:eastAsia="Arial" w:cs="Arial"/>
                <w:color w:val="000000" w:themeColor="text1"/>
              </w:rPr>
              <w:t>0%</w:t>
            </w:r>
          </w:p>
          <w:p w14:paraId="05F54FDD"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2020</w:t>
            </w:r>
          </w:p>
        </w:tc>
        <w:tc>
          <w:tcPr>
            <w:tcW w:w="693" w:type="pct"/>
          </w:tcPr>
          <w:p w14:paraId="2F057CAC" w14:textId="77777777" w:rsidR="00806E74"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95.0%</w:t>
            </w:r>
          </w:p>
          <w:p w14:paraId="008C8C7C" w14:textId="77777777" w:rsidR="00806E74" w:rsidRPr="00A92697"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14:paraId="2F628E0B" w14:textId="77777777" w:rsidTr="00E00CA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381" w:type="pct"/>
          </w:tcPr>
          <w:p w14:paraId="3D885583" w14:textId="59C2478C" w:rsidR="00806E74" w:rsidRPr="00D46600" w:rsidRDefault="00806E74">
            <w:pPr>
              <w:pStyle w:val="Tabletext"/>
              <w:rPr>
                <w:b w:val="0"/>
                <w:bCs w:val="0"/>
              </w:rPr>
            </w:pPr>
            <w:r w:rsidRPr="00D46600">
              <w:rPr>
                <w:b w:val="0"/>
                <w:bCs w:val="0"/>
              </w:rPr>
              <w:t>20</w:t>
            </w:r>
            <w:r w:rsidR="00157B44">
              <w:rPr>
                <w:rFonts w:eastAsia="MS Gothic"/>
                <w:b w:val="0"/>
                <w:bCs w:val="0"/>
              </w:rPr>
              <w:t>%</w:t>
            </w:r>
            <w:r w:rsidRPr="00D46600">
              <w:rPr>
                <w:b w:val="0"/>
                <w:bCs w:val="0"/>
              </w:rPr>
              <w:t xml:space="preserve"> increase in resilience of adolescents by 2025</w:t>
            </w:r>
          </w:p>
        </w:tc>
        <w:tc>
          <w:tcPr>
            <w:tcW w:w="623" w:type="pct"/>
          </w:tcPr>
          <w:p w14:paraId="3245568C"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b/>
                <w:bCs/>
                <w:color w:val="C00000"/>
              </w:rPr>
              <w:t>Not on track</w:t>
            </w:r>
          </w:p>
        </w:tc>
        <w:tc>
          <w:tcPr>
            <w:tcW w:w="690" w:type="pct"/>
          </w:tcPr>
          <w:p w14:paraId="291613D3"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70.1%</w:t>
            </w:r>
          </w:p>
          <w:p w14:paraId="4F034CC2"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2014</w:t>
            </w:r>
          </w:p>
        </w:tc>
        <w:tc>
          <w:tcPr>
            <w:tcW w:w="614" w:type="pct"/>
          </w:tcPr>
          <w:p w14:paraId="4CA496C7"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67.3%</w:t>
            </w:r>
          </w:p>
          <w:p w14:paraId="61392423"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2018</w:t>
            </w:r>
          </w:p>
        </w:tc>
        <w:tc>
          <w:tcPr>
            <w:tcW w:w="693" w:type="pct"/>
          </w:tcPr>
          <w:p w14:paraId="682C365E" w14:textId="77777777" w:rsidR="00806E7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84.1%</w:t>
            </w:r>
          </w:p>
          <w:p w14:paraId="032EA452" w14:textId="77777777" w:rsidR="00806E74" w:rsidRPr="00A92697"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14:paraId="6DC7ACF6" w14:textId="77777777" w:rsidTr="00E00CAB">
        <w:trPr>
          <w:trHeight w:val="1138"/>
        </w:trPr>
        <w:tc>
          <w:tcPr>
            <w:cnfStyle w:val="001000000000" w:firstRow="0" w:lastRow="0" w:firstColumn="1" w:lastColumn="0" w:oddVBand="0" w:evenVBand="0" w:oddHBand="0" w:evenHBand="0" w:firstRowFirstColumn="0" w:firstRowLastColumn="0" w:lastRowFirstColumn="0" w:lastRowLastColumn="0"/>
            <w:tcW w:w="2381" w:type="pct"/>
          </w:tcPr>
          <w:p w14:paraId="72F014EF" w14:textId="39173054" w:rsidR="00806E74" w:rsidRPr="00D46600" w:rsidRDefault="00806E74">
            <w:pPr>
              <w:pStyle w:val="Tabletext"/>
              <w:rPr>
                <w:b w:val="0"/>
                <w:bCs w:val="0"/>
              </w:rPr>
            </w:pPr>
            <w:r w:rsidRPr="00D46600">
              <w:rPr>
                <w:b w:val="0"/>
                <w:bCs w:val="0"/>
              </w:rPr>
              <w:t>25</w:t>
            </w:r>
            <w:r w:rsidR="00157B44">
              <w:rPr>
                <w:rFonts w:eastAsia="MS Gothic"/>
                <w:b w:val="0"/>
                <w:bCs w:val="0"/>
              </w:rPr>
              <w:t>%</w:t>
            </w:r>
            <w:r w:rsidRPr="00D46600">
              <w:rPr>
                <w:b w:val="0"/>
                <w:bCs w:val="0"/>
              </w:rPr>
              <w:t xml:space="preserve"> of the state’s electricity from Victorian-built renewable generation by 2020; 40</w:t>
            </w:r>
            <w:r w:rsidR="008D2BDB">
              <w:rPr>
                <w:b w:val="0"/>
                <w:bCs w:val="0"/>
              </w:rPr>
              <w:t>%</w:t>
            </w:r>
            <w:r w:rsidRPr="00D46600">
              <w:rPr>
                <w:b w:val="0"/>
                <w:bCs w:val="0"/>
              </w:rPr>
              <w:t xml:space="preserve"> by 2025</w:t>
            </w:r>
          </w:p>
        </w:tc>
        <w:tc>
          <w:tcPr>
            <w:tcW w:w="623" w:type="pct"/>
          </w:tcPr>
          <w:p w14:paraId="7F601CF7" w14:textId="77777777" w:rsidR="00806E74" w:rsidRPr="00081CD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b/>
                <w:bCs/>
              </w:rPr>
            </w:pPr>
            <w:r w:rsidRPr="00F30261">
              <w:rPr>
                <w:rFonts w:eastAsia="MS Gothic"/>
                <w:b/>
                <w:bCs/>
                <w:color w:val="92D050"/>
              </w:rPr>
              <w:t>On track</w:t>
            </w:r>
          </w:p>
        </w:tc>
        <w:tc>
          <w:tcPr>
            <w:tcW w:w="690" w:type="pct"/>
          </w:tcPr>
          <w:p w14:paraId="25443195" w14:textId="706FD9A6"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12.</w:t>
            </w:r>
            <w:r w:rsidR="00FF50AA">
              <w:rPr>
                <w:rFonts w:eastAsia="MS Gothic"/>
              </w:rPr>
              <w:t>8</w:t>
            </w:r>
            <w:r>
              <w:rPr>
                <w:rFonts w:eastAsia="MS Gothic"/>
              </w:rPr>
              <w:t>%</w:t>
            </w:r>
          </w:p>
          <w:p w14:paraId="442EF2BA" w14:textId="7E89754D"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w:t>
            </w:r>
            <w:r w:rsidR="00FF50AA">
              <w:rPr>
                <w:rFonts w:eastAsia="MS Gothic"/>
              </w:rPr>
              <w:t>3-14</w:t>
            </w:r>
          </w:p>
        </w:tc>
        <w:tc>
          <w:tcPr>
            <w:tcW w:w="614" w:type="pct"/>
          </w:tcPr>
          <w:p w14:paraId="58229BFE" w14:textId="5936528D" w:rsidR="00806E74" w:rsidRDefault="00FF50AA">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35</w:t>
            </w:r>
            <w:r w:rsidR="00952A02">
              <w:rPr>
                <w:rFonts w:eastAsia="MS Gothic"/>
              </w:rPr>
              <w:t>.1</w:t>
            </w:r>
            <w:r w:rsidR="00806E74">
              <w:rPr>
                <w:rFonts w:eastAsia="MS Gothic"/>
              </w:rPr>
              <w:t>%</w:t>
            </w:r>
          </w:p>
          <w:p w14:paraId="42C7319F" w14:textId="4891BA9E"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202</w:t>
            </w:r>
            <w:r w:rsidR="00952A02">
              <w:rPr>
                <w:rFonts w:eastAsia="MS Gothic"/>
              </w:rPr>
              <w:t>1</w:t>
            </w:r>
            <w:r>
              <w:rPr>
                <w:rFonts w:eastAsia="MS Gothic"/>
              </w:rPr>
              <w:t>-2</w:t>
            </w:r>
            <w:r w:rsidR="00952A02">
              <w:rPr>
                <w:rFonts w:eastAsia="MS Gothic"/>
              </w:rPr>
              <w:t>2</w:t>
            </w:r>
          </w:p>
        </w:tc>
        <w:tc>
          <w:tcPr>
            <w:tcW w:w="693" w:type="pct"/>
          </w:tcPr>
          <w:p w14:paraId="6EC76C23" w14:textId="77777777" w:rsidR="00806E74"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40.0%</w:t>
            </w:r>
          </w:p>
          <w:p w14:paraId="738C7093" w14:textId="77777777" w:rsidR="00806E74" w:rsidRPr="00A92697"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14:paraId="78112A92" w14:textId="77777777" w:rsidTr="00E00CAB">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381" w:type="pct"/>
          </w:tcPr>
          <w:p w14:paraId="2043596C" w14:textId="77777777" w:rsidR="00806E74" w:rsidRPr="00D46600" w:rsidRDefault="00806E74">
            <w:pPr>
              <w:pStyle w:val="Tabletext"/>
              <w:rPr>
                <w:b w:val="0"/>
                <w:bCs w:val="0"/>
              </w:rPr>
            </w:pPr>
            <w:r w:rsidRPr="00D46600">
              <w:rPr>
                <w:b w:val="0"/>
                <w:bCs w:val="0"/>
              </w:rPr>
              <w:t>Halt the rise in type two diabetes prevalence by 2025</w:t>
            </w:r>
          </w:p>
        </w:tc>
        <w:tc>
          <w:tcPr>
            <w:tcW w:w="623" w:type="pct"/>
          </w:tcPr>
          <w:p w14:paraId="52CA480B" w14:textId="77777777" w:rsidR="00806E74" w:rsidRPr="00062B95"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b/>
                <w:bCs/>
              </w:rPr>
            </w:pPr>
            <w:r>
              <w:rPr>
                <w:rFonts w:eastAsia="MS Gothic"/>
                <w:b/>
                <w:bCs/>
                <w:color w:val="C00000"/>
              </w:rPr>
              <w:t>Not on track</w:t>
            </w:r>
          </w:p>
        </w:tc>
        <w:tc>
          <w:tcPr>
            <w:tcW w:w="690" w:type="pct"/>
          </w:tcPr>
          <w:p w14:paraId="353AB699"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5.0%</w:t>
            </w:r>
          </w:p>
          <w:p w14:paraId="287BD4F0"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2011-12</w:t>
            </w:r>
          </w:p>
        </w:tc>
        <w:tc>
          <w:tcPr>
            <w:tcW w:w="614" w:type="pct"/>
          </w:tcPr>
          <w:p w14:paraId="31A4CE5C"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7.5%</w:t>
            </w:r>
          </w:p>
          <w:p w14:paraId="1A8D6ABA"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2020</w:t>
            </w:r>
          </w:p>
        </w:tc>
        <w:tc>
          <w:tcPr>
            <w:tcW w:w="693" w:type="pct"/>
          </w:tcPr>
          <w:p w14:paraId="3E442A1A" w14:textId="77777777" w:rsidR="00806E7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5.0%</w:t>
            </w:r>
          </w:p>
          <w:p w14:paraId="580FFAB1" w14:textId="77777777" w:rsidR="00806E74" w:rsidRPr="00A92697"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14:paraId="702D3129" w14:textId="77777777" w:rsidTr="00E00CAB">
        <w:trPr>
          <w:trHeight w:val="570"/>
        </w:trPr>
        <w:tc>
          <w:tcPr>
            <w:cnfStyle w:val="001000000000" w:firstRow="0" w:lastRow="0" w:firstColumn="1" w:lastColumn="0" w:oddVBand="0" w:evenVBand="0" w:oddHBand="0" w:evenHBand="0" w:firstRowFirstColumn="0" w:firstRowLastColumn="0" w:lastRowFirstColumn="0" w:lastRowLastColumn="0"/>
            <w:tcW w:w="2381" w:type="pct"/>
          </w:tcPr>
          <w:p w14:paraId="459B0DD0" w14:textId="56B31AB1" w:rsidR="00806E74" w:rsidRPr="00D46600" w:rsidRDefault="00806E74">
            <w:pPr>
              <w:pStyle w:val="Tabletext"/>
              <w:rPr>
                <w:b w:val="0"/>
                <w:bCs w:val="0"/>
              </w:rPr>
            </w:pPr>
            <w:r w:rsidRPr="00D46600">
              <w:rPr>
                <w:b w:val="0"/>
                <w:bCs w:val="0"/>
              </w:rPr>
              <w:t>20</w:t>
            </w:r>
            <w:r w:rsidR="00157B44">
              <w:rPr>
                <w:rFonts w:eastAsia="MS Gothic"/>
                <w:b w:val="0"/>
                <w:bCs w:val="0"/>
              </w:rPr>
              <w:t>%</w:t>
            </w:r>
            <w:r w:rsidRPr="00D46600">
              <w:rPr>
                <w:b w:val="0"/>
                <w:bCs w:val="0"/>
              </w:rPr>
              <w:t xml:space="preserve"> decrease in number of deaths due to road traffic crashes by 2020</w:t>
            </w:r>
          </w:p>
        </w:tc>
        <w:tc>
          <w:tcPr>
            <w:tcW w:w="623" w:type="pct"/>
          </w:tcPr>
          <w:p w14:paraId="686DB841"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667788">
              <w:rPr>
                <w:rFonts w:eastAsia="MS Gothic"/>
                <w:b/>
                <w:bCs/>
                <w:color w:val="C00000"/>
              </w:rPr>
              <w:t>Not met</w:t>
            </w:r>
          </w:p>
        </w:tc>
        <w:tc>
          <w:tcPr>
            <w:tcW w:w="690" w:type="pct"/>
          </w:tcPr>
          <w:p w14:paraId="544291B2"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252</w:t>
            </w:r>
          </w:p>
          <w:p w14:paraId="18DC2BB7"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2015</w:t>
            </w:r>
          </w:p>
        </w:tc>
        <w:tc>
          <w:tcPr>
            <w:tcW w:w="614" w:type="pct"/>
          </w:tcPr>
          <w:p w14:paraId="5185BAFC"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211</w:t>
            </w:r>
          </w:p>
          <w:p w14:paraId="12633588"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2020</w:t>
            </w:r>
          </w:p>
        </w:tc>
        <w:tc>
          <w:tcPr>
            <w:tcW w:w="693" w:type="pct"/>
          </w:tcPr>
          <w:p w14:paraId="03097009" w14:textId="77777777" w:rsidR="00806E74"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w:t>
            </w:r>
          </w:p>
          <w:p w14:paraId="1C1BC3A4" w14:textId="77777777" w:rsidR="00806E74" w:rsidRPr="006F7550"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6F7550">
              <w:rPr>
                <w:rFonts w:eastAsia="MS Gothic"/>
                <w:b/>
                <w:bCs/>
              </w:rPr>
              <w:t>2020</w:t>
            </w:r>
          </w:p>
        </w:tc>
      </w:tr>
      <w:tr w:rsidR="00806E74" w14:paraId="76449B06" w14:textId="77777777" w:rsidTr="00E00C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81" w:type="pct"/>
          </w:tcPr>
          <w:p w14:paraId="10C3E6C9" w14:textId="1E2D29D0" w:rsidR="00806E74" w:rsidRPr="00D46600" w:rsidRDefault="00806E74">
            <w:pPr>
              <w:pStyle w:val="Tabletext"/>
              <w:rPr>
                <w:b w:val="0"/>
                <w:bCs w:val="0"/>
              </w:rPr>
            </w:pPr>
            <w:r w:rsidRPr="00D46600">
              <w:rPr>
                <w:b w:val="0"/>
                <w:bCs w:val="0"/>
              </w:rPr>
              <w:t>10</w:t>
            </w:r>
            <w:r w:rsidR="00157B44">
              <w:rPr>
                <w:rFonts w:eastAsia="MS Gothic"/>
                <w:b w:val="0"/>
                <w:bCs w:val="0"/>
              </w:rPr>
              <w:t>%</w:t>
            </w:r>
            <w:r w:rsidRPr="00D46600">
              <w:rPr>
                <w:b w:val="0"/>
                <w:bCs w:val="0"/>
              </w:rPr>
              <w:t xml:space="preserve"> decrease in excess alcohol consumption by adults by 2025</w:t>
            </w:r>
          </w:p>
        </w:tc>
        <w:tc>
          <w:tcPr>
            <w:tcW w:w="623" w:type="pct"/>
          </w:tcPr>
          <w:p w14:paraId="46796E48" w14:textId="77777777" w:rsidR="00806E74" w:rsidRPr="00F30261"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b/>
                <w:bCs/>
                <w:color w:val="F79646" w:themeColor="accent6"/>
              </w:rPr>
            </w:pPr>
            <w:r w:rsidRPr="00F30261">
              <w:rPr>
                <w:rFonts w:eastAsia="MS Gothic"/>
                <w:b/>
                <w:bCs/>
                <w:color w:val="F79646" w:themeColor="accent6"/>
              </w:rPr>
              <w:t>No change</w:t>
            </w:r>
          </w:p>
        </w:tc>
        <w:tc>
          <w:tcPr>
            <w:tcW w:w="690" w:type="pct"/>
          </w:tcPr>
          <w:p w14:paraId="3B88A203"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59.2%</w:t>
            </w:r>
          </w:p>
          <w:p w14:paraId="03BC2F7A"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2014</w:t>
            </w:r>
          </w:p>
        </w:tc>
        <w:tc>
          <w:tcPr>
            <w:tcW w:w="614" w:type="pct"/>
          </w:tcPr>
          <w:p w14:paraId="6575FB63"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59.4%</w:t>
            </w:r>
          </w:p>
          <w:p w14:paraId="7A39FB46"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2019</w:t>
            </w:r>
          </w:p>
        </w:tc>
        <w:tc>
          <w:tcPr>
            <w:tcW w:w="693" w:type="pct"/>
          </w:tcPr>
          <w:p w14:paraId="1D69A55E" w14:textId="77777777" w:rsidR="00806E7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53.3%</w:t>
            </w:r>
          </w:p>
          <w:p w14:paraId="2076526B" w14:textId="6DE8B390" w:rsidR="00806E74" w:rsidRDefault="00806E74" w:rsidP="008D2BDB">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sidRPr="00A92697">
              <w:rPr>
                <w:rFonts w:eastAsia="MS Gothic"/>
                <w:b/>
                <w:bCs/>
              </w:rPr>
              <w:t>2025</w:t>
            </w:r>
          </w:p>
        </w:tc>
      </w:tr>
      <w:tr w:rsidR="00806E74" w14:paraId="36039331" w14:textId="77777777" w:rsidTr="00E00CAB">
        <w:trPr>
          <w:trHeight w:val="675"/>
        </w:trPr>
        <w:tc>
          <w:tcPr>
            <w:cnfStyle w:val="001000000000" w:firstRow="0" w:lastRow="0" w:firstColumn="1" w:lastColumn="0" w:oddVBand="0" w:evenVBand="0" w:oddHBand="0" w:evenHBand="0" w:firstRowFirstColumn="0" w:firstRowLastColumn="0" w:lastRowFirstColumn="0" w:lastRowLastColumn="0"/>
            <w:tcW w:w="2381" w:type="pct"/>
          </w:tcPr>
          <w:p w14:paraId="40FC324F" w14:textId="4EA80377" w:rsidR="00806E74" w:rsidRPr="00D46600" w:rsidRDefault="00806E74">
            <w:pPr>
              <w:pStyle w:val="Tabletext"/>
              <w:rPr>
                <w:b w:val="0"/>
                <w:bCs w:val="0"/>
              </w:rPr>
            </w:pPr>
            <w:r w:rsidRPr="00D46600">
              <w:rPr>
                <w:b w:val="0"/>
                <w:bCs w:val="0"/>
              </w:rPr>
              <w:t>10</w:t>
            </w:r>
            <w:r w:rsidR="00157B44">
              <w:rPr>
                <w:rFonts w:eastAsia="MS Gothic"/>
                <w:b w:val="0"/>
                <w:bCs w:val="0"/>
              </w:rPr>
              <w:t>%</w:t>
            </w:r>
            <w:r w:rsidRPr="00D46600">
              <w:rPr>
                <w:b w:val="0"/>
                <w:bCs w:val="0"/>
              </w:rPr>
              <w:t xml:space="preserve"> decrease in excess alcohol consumption by adolescents by 2025***</w:t>
            </w:r>
          </w:p>
        </w:tc>
        <w:tc>
          <w:tcPr>
            <w:tcW w:w="623" w:type="pct"/>
          </w:tcPr>
          <w:p w14:paraId="2622E7BA" w14:textId="77777777" w:rsidR="00806E74" w:rsidRPr="00F30261"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color w:val="F79646" w:themeColor="accent6"/>
              </w:rPr>
            </w:pPr>
            <w:r w:rsidRPr="00F30261">
              <w:rPr>
                <w:rFonts w:eastAsia="MS Gothic"/>
                <w:b/>
                <w:bCs/>
                <w:color w:val="F79646" w:themeColor="accent6"/>
              </w:rPr>
              <w:t>No change</w:t>
            </w:r>
          </w:p>
        </w:tc>
        <w:tc>
          <w:tcPr>
            <w:tcW w:w="690" w:type="pct"/>
          </w:tcPr>
          <w:p w14:paraId="24209B0C"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20.6%</w:t>
            </w:r>
          </w:p>
          <w:p w14:paraId="11E8D1FC"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2014</w:t>
            </w:r>
          </w:p>
        </w:tc>
        <w:tc>
          <w:tcPr>
            <w:tcW w:w="614" w:type="pct"/>
          </w:tcPr>
          <w:p w14:paraId="2BCC73FC"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18.1%</w:t>
            </w:r>
          </w:p>
          <w:p w14:paraId="5D8A504E" w14:textId="77777777" w:rsidR="00806E74" w:rsidRDefault="00806E74">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2018</w:t>
            </w:r>
          </w:p>
        </w:tc>
        <w:tc>
          <w:tcPr>
            <w:tcW w:w="693" w:type="pct"/>
          </w:tcPr>
          <w:p w14:paraId="1E379E4C" w14:textId="77777777" w:rsidR="00806E74"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18.5%</w:t>
            </w:r>
          </w:p>
          <w:p w14:paraId="56C09AE8" w14:textId="77777777" w:rsidR="00806E74" w:rsidRPr="00A92697" w:rsidRDefault="00806E74">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14:paraId="1936DB4F" w14:textId="77777777" w:rsidTr="00E00CA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81" w:type="pct"/>
          </w:tcPr>
          <w:p w14:paraId="4232A1A2" w14:textId="77777777" w:rsidR="00806E74" w:rsidRPr="00D46600" w:rsidRDefault="00806E74">
            <w:pPr>
              <w:pStyle w:val="Tabletext"/>
              <w:rPr>
                <w:b w:val="0"/>
                <w:bCs w:val="0"/>
              </w:rPr>
            </w:pPr>
            <w:r w:rsidRPr="00D46600">
              <w:rPr>
                <w:b w:val="0"/>
                <w:bCs w:val="0"/>
              </w:rPr>
              <w:t>Virtual elimination of HIV transmission by 2025</w:t>
            </w:r>
          </w:p>
        </w:tc>
        <w:tc>
          <w:tcPr>
            <w:tcW w:w="623" w:type="pct"/>
          </w:tcPr>
          <w:p w14:paraId="2B6F8DBC" w14:textId="77777777" w:rsidR="00806E74" w:rsidRPr="00F30261"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color w:val="92D050"/>
              </w:rPr>
            </w:pPr>
            <w:r w:rsidRPr="00F30261">
              <w:rPr>
                <w:rFonts w:eastAsia="MS Gothic"/>
                <w:b/>
                <w:bCs/>
                <w:color w:val="92D050"/>
              </w:rPr>
              <w:t>On track</w:t>
            </w:r>
          </w:p>
        </w:tc>
        <w:tc>
          <w:tcPr>
            <w:tcW w:w="690" w:type="pct"/>
          </w:tcPr>
          <w:p w14:paraId="719D1C84"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2.8 per 100,000</w:t>
            </w:r>
          </w:p>
          <w:p w14:paraId="335BEF23"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2014</w:t>
            </w:r>
          </w:p>
        </w:tc>
        <w:tc>
          <w:tcPr>
            <w:tcW w:w="614" w:type="pct"/>
          </w:tcPr>
          <w:p w14:paraId="68F1DCDE"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0.6 per 100,000</w:t>
            </w:r>
          </w:p>
          <w:p w14:paraId="21B3119C" w14:textId="77777777" w:rsidR="00806E74" w:rsidRDefault="00806E74">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2021</w:t>
            </w:r>
          </w:p>
        </w:tc>
        <w:tc>
          <w:tcPr>
            <w:tcW w:w="693" w:type="pct"/>
          </w:tcPr>
          <w:p w14:paraId="6DB742CB" w14:textId="77777777" w:rsidR="00806E74"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0 per 100,000</w:t>
            </w:r>
          </w:p>
          <w:p w14:paraId="2A8A5DA2" w14:textId="77777777" w:rsidR="00806E74" w:rsidRPr="00A92697" w:rsidRDefault="00806E74">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bl>
    <w:p w14:paraId="00993A8B" w14:textId="3DD1A2EF" w:rsidR="00617F78" w:rsidRPr="00DF672E" w:rsidRDefault="00617F78" w:rsidP="00806E74">
      <w:pPr>
        <w:pStyle w:val="Tablefigurenote"/>
        <w:rPr>
          <w:sz w:val="18"/>
          <w:szCs w:val="18"/>
        </w:rPr>
      </w:pPr>
      <w:r w:rsidRPr="00DF672E">
        <w:rPr>
          <w:sz w:val="18"/>
          <w:szCs w:val="18"/>
        </w:rPr>
        <w:t xml:space="preserve">Note: Assessment of progress considers (1) statistical significance of the overall trend using </w:t>
      </w:r>
      <w:r w:rsidRPr="00DF672E">
        <w:rPr>
          <w:rFonts w:eastAsia="Arial" w:cs="Arial"/>
          <w:color w:val="202124"/>
          <w:sz w:val="18"/>
          <w:szCs w:val="18"/>
        </w:rPr>
        <w:t xml:space="preserve">Ordinary Least Squares regression (OLS) </w:t>
      </w:r>
      <w:r w:rsidRPr="00DF672E">
        <w:rPr>
          <w:sz w:val="18"/>
          <w:szCs w:val="18"/>
        </w:rPr>
        <w:t>and (2) consideration of any statistically significant changes that may have happened more recently (but too soon to be picked up by OLS due to insufficient data points), determined by comparing 95</w:t>
      </w:r>
      <w:r w:rsidR="006B4990" w:rsidRPr="00DF672E">
        <w:rPr>
          <w:sz w:val="18"/>
          <w:szCs w:val="18"/>
        </w:rPr>
        <w:t xml:space="preserve"> per cent</w:t>
      </w:r>
      <w:r w:rsidRPr="00DF672E">
        <w:rPr>
          <w:sz w:val="18"/>
          <w:szCs w:val="18"/>
        </w:rPr>
        <w:t xml:space="preserve"> confidence intervals.</w:t>
      </w:r>
    </w:p>
    <w:p w14:paraId="2C0194BC" w14:textId="159675F3" w:rsidR="008D2BDB" w:rsidRPr="00DF672E" w:rsidRDefault="00617F78" w:rsidP="001235E6">
      <w:pPr>
        <w:pStyle w:val="Body"/>
        <w:rPr>
          <w:sz w:val="18"/>
          <w:szCs w:val="18"/>
        </w:rPr>
      </w:pPr>
      <w:r w:rsidRPr="00DF672E">
        <w:rPr>
          <w:sz w:val="18"/>
          <w:szCs w:val="18"/>
        </w:rPr>
        <w:t xml:space="preserve">Target projections and progress are determined based on relative change in the measure since baseline. For information about the measures and specifications used to calculate these targets, </w:t>
      </w:r>
      <w:r w:rsidR="008D2BDB" w:rsidRPr="00DF672E">
        <w:rPr>
          <w:sz w:val="18"/>
          <w:szCs w:val="18"/>
        </w:rPr>
        <w:t>visit</w:t>
      </w:r>
      <w:r w:rsidRPr="00DF672E">
        <w:rPr>
          <w:sz w:val="18"/>
          <w:szCs w:val="18"/>
        </w:rPr>
        <w:t xml:space="preserve"> the </w:t>
      </w:r>
      <w:hyperlink r:id="rId20" w:history="1">
        <w:r w:rsidRPr="00DF672E">
          <w:rPr>
            <w:rStyle w:val="Hyperlink"/>
            <w:sz w:val="18"/>
            <w:szCs w:val="18"/>
          </w:rPr>
          <w:t xml:space="preserve">Victorian public health and wellbeing </w:t>
        </w:r>
        <w:r w:rsidR="008D2BDB" w:rsidRPr="00DF672E">
          <w:rPr>
            <w:rStyle w:val="Hyperlink"/>
            <w:sz w:val="18"/>
            <w:szCs w:val="18"/>
          </w:rPr>
          <w:t xml:space="preserve">outcomes framework and </w:t>
        </w:r>
        <w:r w:rsidRPr="00DF672E">
          <w:rPr>
            <w:rStyle w:val="Hyperlink"/>
            <w:sz w:val="18"/>
            <w:szCs w:val="18"/>
          </w:rPr>
          <w:t>data dictionary</w:t>
        </w:r>
      </w:hyperlink>
      <w:r w:rsidR="008D2BDB" w:rsidRPr="00DF672E">
        <w:rPr>
          <w:rStyle w:val="Hyperlink"/>
          <w:sz w:val="18"/>
          <w:szCs w:val="18"/>
        </w:rPr>
        <w:t xml:space="preserve"> </w:t>
      </w:r>
      <w:r w:rsidR="008D2BDB" w:rsidRPr="00DF672E">
        <w:rPr>
          <w:rStyle w:val="Hyperlink"/>
          <w:color w:val="auto"/>
          <w:sz w:val="18"/>
          <w:szCs w:val="18"/>
          <w:u w:val="none"/>
        </w:rPr>
        <w:t>&lt;https://www.health.vic.gov.au/publications/victorian-public-health-and-wellbeing-outcomes-framework-and-data-dictionary&gt;.</w:t>
      </w:r>
    </w:p>
    <w:p w14:paraId="6025C816" w14:textId="6907F51E" w:rsidR="00617F78" w:rsidRPr="00DF672E" w:rsidRDefault="00617F78" w:rsidP="00806E74">
      <w:pPr>
        <w:pStyle w:val="Tablefigurenote"/>
        <w:rPr>
          <w:sz w:val="18"/>
          <w:szCs w:val="18"/>
        </w:rPr>
      </w:pPr>
      <w:r w:rsidRPr="00DF672E">
        <w:rPr>
          <w:sz w:val="18"/>
          <w:szCs w:val="18"/>
        </w:rPr>
        <w:t xml:space="preserve">*The definition of sufficient physical activity changed in 2015, impacting the calculation of this target. Assessment of progress against this target has been made from 2015 onwards. No change was detected between 2011 and 2014. </w:t>
      </w:r>
      <w:r w:rsidR="000C7449">
        <w:rPr>
          <w:sz w:val="18"/>
          <w:szCs w:val="18"/>
        </w:rPr>
        <w:t>Although</w:t>
      </w:r>
      <w:r w:rsidR="006966EC">
        <w:rPr>
          <w:sz w:val="18"/>
          <w:szCs w:val="18"/>
        </w:rPr>
        <w:t xml:space="preserve"> it appears this target is on track, </w:t>
      </w:r>
      <w:r w:rsidR="000C7449">
        <w:rPr>
          <w:sz w:val="18"/>
          <w:szCs w:val="18"/>
        </w:rPr>
        <w:t xml:space="preserve">the increasing trend is not statistically significant. </w:t>
      </w:r>
    </w:p>
    <w:p w14:paraId="6874DC71" w14:textId="72E6AC27" w:rsidR="00617F78" w:rsidRPr="00DF672E" w:rsidRDefault="00617F78" w:rsidP="00806E74">
      <w:pPr>
        <w:pStyle w:val="Tablefigurenote"/>
        <w:rPr>
          <w:sz w:val="18"/>
          <w:szCs w:val="18"/>
        </w:rPr>
      </w:pPr>
      <w:r w:rsidRPr="00DF672E">
        <w:rPr>
          <w:sz w:val="18"/>
          <w:szCs w:val="18"/>
        </w:rPr>
        <w:t xml:space="preserve">**Despite appearances </w:t>
      </w:r>
      <w:r w:rsidR="006B4990" w:rsidRPr="00DF672E">
        <w:rPr>
          <w:sz w:val="18"/>
          <w:szCs w:val="18"/>
        </w:rPr>
        <w:t xml:space="preserve">that </w:t>
      </w:r>
      <w:r w:rsidRPr="00DF672E">
        <w:rPr>
          <w:sz w:val="18"/>
          <w:szCs w:val="18"/>
        </w:rPr>
        <w:t xml:space="preserve">this target has been met, significant change in the trend </w:t>
      </w:r>
      <w:r w:rsidR="006B4990" w:rsidRPr="00DF672E">
        <w:rPr>
          <w:sz w:val="18"/>
          <w:szCs w:val="18"/>
        </w:rPr>
        <w:t>cannot</w:t>
      </w:r>
      <w:r w:rsidRPr="00DF672E">
        <w:rPr>
          <w:sz w:val="18"/>
          <w:szCs w:val="18"/>
        </w:rPr>
        <w:t xml:space="preserve"> be detected, and confidence intervals are too wide to determine a significant change in any one year.</w:t>
      </w:r>
    </w:p>
    <w:p w14:paraId="019B5A23" w14:textId="5D9A9882" w:rsidR="00617F78" w:rsidRPr="00DF672E" w:rsidRDefault="00617F78" w:rsidP="00806E74">
      <w:pPr>
        <w:pStyle w:val="Tablefigurenote"/>
        <w:rPr>
          <w:sz w:val="18"/>
          <w:szCs w:val="18"/>
        </w:rPr>
      </w:pPr>
      <w:r w:rsidRPr="00DF672E">
        <w:rPr>
          <w:sz w:val="18"/>
          <w:szCs w:val="18"/>
        </w:rPr>
        <w:t xml:space="preserve">***Despite appearances that we have met the target of 10 per cent decrease in alcohol consumption for adolescents, there </w:t>
      </w:r>
      <w:r w:rsidR="006B4990" w:rsidRPr="00DF672E">
        <w:rPr>
          <w:sz w:val="18"/>
          <w:szCs w:val="18"/>
        </w:rPr>
        <w:t>are</w:t>
      </w:r>
      <w:r w:rsidRPr="00DF672E">
        <w:rPr>
          <w:sz w:val="18"/>
          <w:szCs w:val="18"/>
        </w:rPr>
        <w:t xml:space="preserve"> not enough data points to assess whether this trend is significant</w:t>
      </w:r>
      <w:r w:rsidR="006B4990" w:rsidRPr="00DF672E">
        <w:rPr>
          <w:sz w:val="18"/>
          <w:szCs w:val="18"/>
        </w:rPr>
        <w:t>,</w:t>
      </w:r>
      <w:r w:rsidRPr="00DF672E">
        <w:rPr>
          <w:sz w:val="18"/>
          <w:szCs w:val="18"/>
        </w:rPr>
        <w:t xml:space="preserve"> and further monitoring is required. </w:t>
      </w:r>
    </w:p>
    <w:p w14:paraId="087D4264" w14:textId="721427B5" w:rsidR="00617F78" w:rsidRDefault="00617F78" w:rsidP="008B5E9B">
      <w:pPr>
        <w:pStyle w:val="Heading1"/>
      </w:pPr>
      <w:bookmarkStart w:id="17" w:name="_Toc151976143"/>
      <w:r>
        <w:lastRenderedPageBreak/>
        <w:t>Domain 1</w:t>
      </w:r>
      <w:r w:rsidR="00873F35">
        <w:t>:</w:t>
      </w:r>
      <w:r>
        <w:t xml:space="preserve"> Victorians are healthy and </w:t>
      </w:r>
      <w:proofErr w:type="gramStart"/>
      <w:r>
        <w:t>well</w:t>
      </w:r>
      <w:bookmarkEnd w:id="17"/>
      <w:proofErr w:type="gramEnd"/>
    </w:p>
    <w:p w14:paraId="0690AE51" w14:textId="1D291E3F" w:rsidR="00617F78" w:rsidRDefault="003A65A2" w:rsidP="008B5E9B">
      <w:pPr>
        <w:pStyle w:val="Heading2"/>
      </w:pPr>
      <w:bookmarkStart w:id="18" w:name="_Toc151976144"/>
      <w:r>
        <w:t xml:space="preserve">Outcome </w:t>
      </w:r>
      <w:r w:rsidR="00617F78">
        <w:t>1.1</w:t>
      </w:r>
      <w:r>
        <w:t>:</w:t>
      </w:r>
      <w:r w:rsidR="00617F78">
        <w:t xml:space="preserve"> Victorians have good physical </w:t>
      </w:r>
      <w:proofErr w:type="gramStart"/>
      <w:r w:rsidR="00617F78">
        <w:t>health</w:t>
      </w:r>
      <w:bookmarkEnd w:id="18"/>
      <w:proofErr w:type="gramEnd"/>
      <w:r w:rsidR="00617F78">
        <w:t xml:space="preserve"> </w:t>
      </w:r>
    </w:p>
    <w:p w14:paraId="2CAE7990" w14:textId="3DC7A7EB" w:rsidR="00617F78" w:rsidRDefault="006B4990" w:rsidP="004361C7">
      <w:pPr>
        <w:pStyle w:val="Body"/>
      </w:pPr>
      <w:r>
        <w:t>T</w:t>
      </w:r>
      <w:r w:rsidR="00617F78">
        <w:t>he ultimate measure of health and wellbeing</w:t>
      </w:r>
      <w:r>
        <w:t xml:space="preserve"> is how long we can expect to live</w:t>
      </w:r>
      <w:r w:rsidR="00617F78">
        <w:t xml:space="preserve">. Of course, it is equally important </w:t>
      </w:r>
      <w:r>
        <w:t xml:space="preserve">that </w:t>
      </w:r>
      <w:r w:rsidR="00617F78">
        <w:t>we experience these years with good physical health, so we can fully participate in activities that we love and enjoy life. Over our lifespan</w:t>
      </w:r>
      <w:r>
        <w:t>,</w:t>
      </w:r>
      <w:r w:rsidR="00617F78">
        <w:t xml:space="preserve"> we are likely to be exposed to many threats to our physical health, including infections, harmful substances, </w:t>
      </w:r>
      <w:proofErr w:type="gramStart"/>
      <w:r w:rsidR="00617F78">
        <w:t>injury</w:t>
      </w:r>
      <w:proofErr w:type="gramEnd"/>
      <w:r w:rsidR="00617F78">
        <w:t xml:space="preserve"> and non-communicable disease</w:t>
      </w:r>
      <w:r>
        <w:t>s</w:t>
      </w:r>
      <w:r w:rsidR="00617F78">
        <w:t xml:space="preserve">. </w:t>
      </w:r>
    </w:p>
    <w:p w14:paraId="7430A926" w14:textId="026C6D30" w:rsidR="00617F78" w:rsidRDefault="00617F78" w:rsidP="004361C7">
      <w:pPr>
        <w:pStyle w:val="Body"/>
      </w:pPr>
      <w:r>
        <w:t>In Victoria, we are lucky to have one of the best health systems in the world</w:t>
      </w:r>
      <w:r w:rsidR="00AF3648">
        <w:t>, which</w:t>
      </w:r>
      <w:r>
        <w:t xml:space="preserve"> can effectively treat illness and injury. However, preventing physical ill-health from occurring leads to far better outcomes for individuals and communities, and reduces the burden on our health services. </w:t>
      </w:r>
    </w:p>
    <w:p w14:paraId="14A863A7" w14:textId="33CF73C6" w:rsidR="00617F78" w:rsidRDefault="00617F78" w:rsidP="004361C7">
      <w:pPr>
        <w:pStyle w:val="Body"/>
      </w:pPr>
      <w:r>
        <w:t xml:space="preserve">By looking at outcomes focusing on physical health, we can see whether our actions to prevent physical ill-health are working, and </w:t>
      </w:r>
      <w:r w:rsidR="00AF3648">
        <w:t>whether</w:t>
      </w:r>
      <w:r>
        <w:t xml:space="preserve"> all groups of people have the same opportunities to enjoy good health throughout life. </w:t>
      </w:r>
    </w:p>
    <w:p w14:paraId="613DBBE8" w14:textId="54C181CB" w:rsidR="00617F78" w:rsidRDefault="00617F78" w:rsidP="00AE0AC3">
      <w:pPr>
        <w:pStyle w:val="Heading3"/>
      </w:pPr>
      <w:r>
        <w:t xml:space="preserve">Increase healthy start to </w:t>
      </w:r>
      <w:proofErr w:type="gramStart"/>
      <w:r>
        <w:t>life</w:t>
      </w:r>
      <w:proofErr w:type="gramEnd"/>
    </w:p>
    <w:p w14:paraId="40C7E429" w14:textId="4CDCA1B6" w:rsidR="00617F78" w:rsidRPr="00CE0B01" w:rsidRDefault="00617F78" w:rsidP="00724038">
      <w:pPr>
        <w:pStyle w:val="Heading4"/>
      </w:pPr>
      <w:r w:rsidRPr="00CE0B01">
        <w:t>Low birthweight</w:t>
      </w:r>
    </w:p>
    <w:p w14:paraId="73BAED87" w14:textId="1BA49E0D" w:rsidR="00617F78" w:rsidRDefault="00617F78" w:rsidP="00B15CB3">
      <w:pPr>
        <w:pStyle w:val="Body"/>
      </w:pPr>
      <w:r w:rsidRPr="00E12DAA">
        <w:t>From the day a baby is born</w:t>
      </w:r>
      <w:r w:rsidR="00AF3648">
        <w:t>,</w:t>
      </w:r>
      <w:r w:rsidRPr="00E12DAA">
        <w:t xml:space="preserve"> their experiences </w:t>
      </w:r>
      <w:r>
        <w:t>can have a</w:t>
      </w:r>
      <w:r w:rsidRPr="00E12DAA">
        <w:t xml:space="preserve"> significant impact on their health and wellbeing later in life.</w:t>
      </w:r>
      <w:r>
        <w:t xml:space="preserve"> Babies born of low birth weight are at greater risk of death, disability and developing long</w:t>
      </w:r>
      <w:r w:rsidR="00AF3648">
        <w:t>-</w:t>
      </w:r>
      <w:r>
        <w:t>term health conditions</w:t>
      </w:r>
      <w:r w:rsidR="00AF3648">
        <w:t>,</w:t>
      </w:r>
      <w:r>
        <w:t xml:space="preserve"> such as type 2 diabetes, high blood pressure, metabolic and cardiovascular diseases</w:t>
      </w:r>
      <w:r w:rsidR="002079BA">
        <w:t>.</w:t>
      </w:r>
      <w:r w:rsidRPr="0057029E">
        <w:rPr>
          <w:rStyle w:val="EndnoteReference"/>
        </w:rPr>
        <w:endnoteReference w:id="25"/>
      </w:r>
      <w:r w:rsidRPr="0057029E">
        <w:rPr>
          <w:vertAlign w:val="superscript"/>
        </w:rPr>
        <w:t>,</w:t>
      </w:r>
      <w:r>
        <w:rPr>
          <w:rStyle w:val="EndnoteReference"/>
        </w:rPr>
        <w:endnoteReference w:id="26"/>
      </w:r>
      <w:r w:rsidR="000F0154">
        <w:t xml:space="preserve"> </w:t>
      </w:r>
      <w:r>
        <w:t xml:space="preserve">There are significant disparities in low birthweight outcomes between different population groups and these differences are not improving over time. </w:t>
      </w:r>
    </w:p>
    <w:p w14:paraId="15501678" w14:textId="1E929B1D" w:rsidR="00995830" w:rsidRDefault="00995830" w:rsidP="00995830">
      <w:pPr>
        <w:pStyle w:val="Body"/>
        <w:jc w:val="center"/>
      </w:pPr>
      <w:r>
        <w:rPr>
          <w:noProof/>
        </w:rPr>
        <w:drawing>
          <wp:inline distT="0" distB="0" distL="0" distR="0" wp14:anchorId="79555FBA" wp14:editId="3B906845">
            <wp:extent cx="2639683" cy="2639683"/>
            <wp:effectExtent l="0" t="0" r="8890" b="8890"/>
            <wp:docPr id="12" name="Picture 12" descr="The proportion of babies born of low birth weight has steadily increased since 2011 and was 4.8 per cent in 2020. &#10;The proportion of babies born of low birth weight is higher for mothers under 24 years, is higher for Aboriginal mothers (8.7 per cent), and is higher in those living in the most disadvantaged suburbs (6.2 per cent). These gaps are not improv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proportion of babies born of low birth weight has steadily increased since 2011 and was 4.8 per cent in 2020. &#10;The proportion of babies born of low birth weight is higher for mothers under 24 years, is higher for Aboriginal mothers (8.7 per cent), and is higher in those living in the most disadvantaged suburbs (6.2 per cent). These gaps are not improving over time."/>
                    <pic:cNvPicPr/>
                  </pic:nvPicPr>
                  <pic:blipFill>
                    <a:blip r:embed="rId21"/>
                    <a:stretch>
                      <a:fillRect/>
                    </a:stretch>
                  </pic:blipFill>
                  <pic:spPr>
                    <a:xfrm>
                      <a:off x="0" y="0"/>
                      <a:ext cx="2644050" cy="2644050"/>
                    </a:xfrm>
                    <a:prstGeom prst="rect">
                      <a:avLst/>
                    </a:prstGeom>
                  </pic:spPr>
                </pic:pic>
              </a:graphicData>
            </a:graphic>
          </wp:inline>
        </w:drawing>
      </w:r>
    </w:p>
    <w:p w14:paraId="420B9BE1" w14:textId="63C74AD9" w:rsidR="00617F78" w:rsidRPr="007F1DED" w:rsidRDefault="00617F78" w:rsidP="00995830">
      <w:pPr>
        <w:pStyle w:val="Tablefigurenote"/>
        <w:jc w:val="center"/>
      </w:pPr>
      <w:r>
        <w:t>Source: Victorian Perinatal Data Collection</w:t>
      </w:r>
      <w:bookmarkStart w:id="19" w:name="_Ref150504284"/>
      <w:r>
        <w:rPr>
          <w:rStyle w:val="EndnoteReference"/>
        </w:rPr>
        <w:endnoteReference w:id="27"/>
      </w:r>
      <w:bookmarkEnd w:id="19"/>
    </w:p>
    <w:p w14:paraId="4742A283" w14:textId="36F66A87" w:rsidR="00617F78" w:rsidRPr="00CE0B01" w:rsidRDefault="00617F78" w:rsidP="00724038">
      <w:pPr>
        <w:pStyle w:val="Heading4"/>
      </w:pPr>
      <w:r w:rsidRPr="00CE0B01">
        <w:t>Exposure to harmful substances</w:t>
      </w:r>
    </w:p>
    <w:p w14:paraId="197AEF19" w14:textId="1C335046" w:rsidR="00995830" w:rsidRDefault="00617F78" w:rsidP="00995830">
      <w:pPr>
        <w:pStyle w:val="Body"/>
      </w:pPr>
      <w:r>
        <w:t>Exposure to harmful substances</w:t>
      </w:r>
      <w:r w:rsidR="00AF3648">
        <w:t>,</w:t>
      </w:r>
      <w:r>
        <w:t xml:space="preserve"> such as tobacco or alcohol</w:t>
      </w:r>
      <w:r w:rsidR="00AF3648">
        <w:t>,</w:t>
      </w:r>
      <w:r>
        <w:t xml:space="preserve"> while in utero increases the likelihood of the baby being of low birth weight, and is associated with increased risks of miscarriage, birth complications, premature birth, birth defects and serious health implications later in life</w:t>
      </w:r>
      <w:r w:rsidR="002079BA">
        <w:t>.</w:t>
      </w:r>
      <w:r>
        <w:rPr>
          <w:rStyle w:val="EndnoteReference"/>
        </w:rPr>
        <w:endnoteReference w:id="28"/>
      </w:r>
      <w:r w:rsidRPr="006D7E5A">
        <w:rPr>
          <w:vertAlign w:val="superscript"/>
        </w:rPr>
        <w:t>,</w:t>
      </w:r>
      <w:r>
        <w:rPr>
          <w:rStyle w:val="EndnoteReference"/>
        </w:rPr>
        <w:endnoteReference w:id="29"/>
      </w:r>
    </w:p>
    <w:p w14:paraId="72516408" w14:textId="2B739458" w:rsidR="00995830" w:rsidRDefault="00995830" w:rsidP="00806E74">
      <w:pPr>
        <w:pStyle w:val="Tablefigurenote"/>
      </w:pPr>
    </w:p>
    <w:p w14:paraId="3A4CE29C" w14:textId="77777777" w:rsidR="00995830" w:rsidRDefault="00995830" w:rsidP="004715A7">
      <w:pPr>
        <w:pStyle w:val="Body"/>
      </w:pPr>
    </w:p>
    <w:p w14:paraId="7D458C78" w14:textId="77777777" w:rsidR="00995830" w:rsidRDefault="00995830" w:rsidP="004715A7">
      <w:pPr>
        <w:pStyle w:val="Body"/>
      </w:pPr>
    </w:p>
    <w:p w14:paraId="7954C9E1" w14:textId="363D0D93" w:rsidR="00995830" w:rsidRDefault="00995830" w:rsidP="00995830">
      <w:pPr>
        <w:pStyle w:val="Body"/>
        <w:jc w:val="center"/>
      </w:pPr>
      <w:r>
        <w:rPr>
          <w:noProof/>
        </w:rPr>
        <w:drawing>
          <wp:inline distT="0" distB="0" distL="0" distR="0" wp14:anchorId="74D57016" wp14:editId="4F152C5D">
            <wp:extent cx="3183147" cy="2122099"/>
            <wp:effectExtent l="0" t="0" r="0" b="0"/>
            <wp:docPr id="18" name="Picture 18" descr="The proportion of children exposed to alcohol in utero has not changed since 2013, at 49.6 per cent in 2021. It did not differ between people of varying socio-economic status, or in metropolitan versus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proportion of children exposed to alcohol in utero has not changed since 2013, at 49.6 per cent in 2021. It did not differ between people of varying socio-economic status, or in metropolitan versus regional areas."/>
                    <pic:cNvPicPr/>
                  </pic:nvPicPr>
                  <pic:blipFill>
                    <a:blip r:embed="rId22"/>
                    <a:stretch>
                      <a:fillRect/>
                    </a:stretch>
                  </pic:blipFill>
                  <pic:spPr>
                    <a:xfrm>
                      <a:off x="0" y="0"/>
                      <a:ext cx="3187713" cy="2125143"/>
                    </a:xfrm>
                    <a:prstGeom prst="rect">
                      <a:avLst/>
                    </a:prstGeom>
                  </pic:spPr>
                </pic:pic>
              </a:graphicData>
            </a:graphic>
          </wp:inline>
        </w:drawing>
      </w:r>
    </w:p>
    <w:p w14:paraId="07C1539E" w14:textId="77777777" w:rsidR="00995830" w:rsidRDefault="00995830" w:rsidP="00995830">
      <w:pPr>
        <w:pStyle w:val="Tablefigurenote"/>
        <w:jc w:val="center"/>
      </w:pPr>
      <w:r>
        <w:t>Source: Victorian Child Health and Wellbeing Survey</w:t>
      </w:r>
      <w:bookmarkStart w:id="20" w:name="_Ref150505563"/>
      <w:r>
        <w:rPr>
          <w:rStyle w:val="EndnoteReference"/>
        </w:rPr>
        <w:endnoteReference w:id="30"/>
      </w:r>
      <w:bookmarkEnd w:id="20"/>
    </w:p>
    <w:p w14:paraId="3A591D2E" w14:textId="77777777" w:rsidR="00995830" w:rsidRDefault="00995830" w:rsidP="004715A7">
      <w:pPr>
        <w:pStyle w:val="Body"/>
      </w:pPr>
    </w:p>
    <w:p w14:paraId="2BD9E891" w14:textId="7D9FFC76" w:rsidR="00617F78" w:rsidRDefault="00995830" w:rsidP="00995830">
      <w:pPr>
        <w:pStyle w:val="Body"/>
        <w:jc w:val="center"/>
      </w:pPr>
      <w:r>
        <w:rPr>
          <w:noProof/>
        </w:rPr>
        <w:drawing>
          <wp:inline distT="0" distB="0" distL="0" distR="0" wp14:anchorId="17EEB201" wp14:editId="0E728D87">
            <wp:extent cx="2880995" cy="2923540"/>
            <wp:effectExtent l="0" t="0" r="0" b="0"/>
            <wp:docPr id="19" name="Picture 19" descr="The proportion of mothers who smoked tobacco in the first 20 weeks of pregnancy has steadily decreased from 11.7 per cent in 2011 to 7.7 per cent in 2021.&#10;Smoking in pregnancy is 4.6 times higher in mothers aged 0-19, is four to five times higher in mothers identifying as Aboriginal (this gap has not reduced over time) and is four times higher in mothers living in the most disadvantaged suburbs compared to the least disadvantaged suburbs (this gap is reducing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proportion of mothers who smoked tobacco in the first 20 weeks of pregnancy has steadily decreased from 11.7 per cent in 2011 to 7.7 per cent in 2021.&#10;Smoking in pregnancy is 4.6 times higher in mothers aged 0-19, is four to five times higher in mothers identifying as Aboriginal (this gap has not reduced over time) and is four times higher in mothers living in the most disadvantaged suburbs compared to the least disadvantaged suburbs (this gap is reducing over time). &#10;"/>
                    <pic:cNvPicPr/>
                  </pic:nvPicPr>
                  <pic:blipFill>
                    <a:blip r:embed="rId23"/>
                    <a:stretch>
                      <a:fillRect/>
                    </a:stretch>
                  </pic:blipFill>
                  <pic:spPr>
                    <a:xfrm>
                      <a:off x="0" y="0"/>
                      <a:ext cx="2880995" cy="2923540"/>
                    </a:xfrm>
                    <a:prstGeom prst="rect">
                      <a:avLst/>
                    </a:prstGeom>
                  </pic:spPr>
                </pic:pic>
              </a:graphicData>
            </a:graphic>
          </wp:inline>
        </w:drawing>
      </w:r>
    </w:p>
    <w:p w14:paraId="6110495A" w14:textId="30A045BB" w:rsidR="00617F78" w:rsidRDefault="00617F78" w:rsidP="00995830">
      <w:pPr>
        <w:pStyle w:val="Tablefigurenote"/>
        <w:jc w:val="center"/>
      </w:pPr>
      <w:r>
        <w:t>Source: Victorian Perinatal Data Collection</w:t>
      </w:r>
      <w:r w:rsidR="00426B11">
        <w:fldChar w:fldCharType="begin"/>
      </w:r>
      <w:r w:rsidR="00426B11">
        <w:instrText xml:space="preserve"> NOTEREF _Ref150504284 \f \h </w:instrText>
      </w:r>
      <w:r w:rsidR="00806E74">
        <w:instrText xml:space="preserve"> \* MERGEFORMAT </w:instrText>
      </w:r>
      <w:r w:rsidR="00426B11">
        <w:fldChar w:fldCharType="separate"/>
      </w:r>
      <w:r w:rsidR="00633ED2" w:rsidRPr="00633ED2">
        <w:rPr>
          <w:rStyle w:val="EndnoteReference"/>
        </w:rPr>
        <w:t>26</w:t>
      </w:r>
      <w:r w:rsidR="00426B11">
        <w:fldChar w:fldCharType="end"/>
      </w:r>
    </w:p>
    <w:p w14:paraId="03E018AD" w14:textId="0FFB76DB" w:rsidR="00617F78" w:rsidRPr="00F05A6A" w:rsidRDefault="00617F78" w:rsidP="00806E74">
      <w:pPr>
        <w:pStyle w:val="Bodyaftertablefigure"/>
      </w:pPr>
      <w:r>
        <w:t xml:space="preserve">These trends </w:t>
      </w:r>
      <w:r w:rsidR="00AF3648">
        <w:t>suggest that</w:t>
      </w:r>
      <w:r w:rsidR="00AF3648" w:rsidRPr="00F05A6A">
        <w:t xml:space="preserve"> </w:t>
      </w:r>
      <w:r>
        <w:t>a different approach may be required to</w:t>
      </w:r>
      <w:r w:rsidRPr="00F05A6A">
        <w:t xml:space="preserve"> support ou</w:t>
      </w:r>
      <w:r>
        <w:t>r</w:t>
      </w:r>
      <w:r w:rsidRPr="00F05A6A">
        <w:t xml:space="preserve"> Aboriginal mothers to quit smoking during</w:t>
      </w:r>
      <w:r>
        <w:t xml:space="preserve"> pregnancy</w:t>
      </w:r>
      <w:r w:rsidR="00AF3648">
        <w:t>,</w:t>
      </w:r>
      <w:r>
        <w:t xml:space="preserve"> and efforts should </w:t>
      </w:r>
      <w:r w:rsidR="00AF3648">
        <w:t>include</w:t>
      </w:r>
      <w:r>
        <w:t xml:space="preserve"> culturally safe and trauma</w:t>
      </w:r>
      <w:r w:rsidR="00AF3648">
        <w:t>-</w:t>
      </w:r>
      <w:r>
        <w:t xml:space="preserve">informed approaches to health and wellbeing. </w:t>
      </w:r>
      <w:r w:rsidR="00AF3648">
        <w:t>It is important to r</w:t>
      </w:r>
      <w:r>
        <w:t>ecognis</w:t>
      </w:r>
      <w:r w:rsidR="00AF3648">
        <w:t>e</w:t>
      </w:r>
      <w:r>
        <w:t xml:space="preserve"> the </w:t>
      </w:r>
      <w:r w:rsidR="00AF3648">
        <w:t xml:space="preserve">ongoing </w:t>
      </w:r>
      <w:r>
        <w:t>impact of colonisation</w:t>
      </w:r>
      <w:r w:rsidR="00AF3648">
        <w:t>,</w:t>
      </w:r>
      <w:r>
        <w:t xml:space="preserve"> including intergenerational and child removal trauma.</w:t>
      </w:r>
    </w:p>
    <w:p w14:paraId="5975F5FB" w14:textId="6694DABA" w:rsidR="00617F78" w:rsidRDefault="00617F78" w:rsidP="00636008">
      <w:pPr>
        <w:pStyle w:val="Body"/>
      </w:pPr>
      <w:r>
        <w:t>While these behaviours are described as ‘modifiable’, it is important to consider the underlying social and psychological factors driving mothers to smoke tobacco and consume alcohol during pregnancy</w:t>
      </w:r>
      <w:r w:rsidR="00AF3648">
        <w:t>,</w:t>
      </w:r>
      <w:r>
        <w:t xml:space="preserve"> rather than attributing blame to the individual for their choices and perpetuating stigma. </w:t>
      </w:r>
      <w:r w:rsidR="00AF3648">
        <w:t>It</w:t>
      </w:r>
      <w:r>
        <w:t xml:space="preserve"> is critical to understand the overlapping drivers of smoking and alcohol consumption to inform how we </w:t>
      </w:r>
      <w:r w:rsidR="00AF3648">
        <w:t xml:space="preserve">can </w:t>
      </w:r>
      <w:r>
        <w:t xml:space="preserve">best support mothers to reduce alcohol and tobacco consumption during pregnancy. </w:t>
      </w:r>
    </w:p>
    <w:p w14:paraId="56147E4E" w14:textId="1E9D1D7E" w:rsidR="00617F78" w:rsidRPr="0040697C" w:rsidRDefault="00617F78" w:rsidP="00C41FB1">
      <w:pPr>
        <w:pStyle w:val="Heading3"/>
      </w:pPr>
      <w:r>
        <w:lastRenderedPageBreak/>
        <w:t xml:space="preserve">Reduce </w:t>
      </w:r>
      <w:r w:rsidR="00AF3648">
        <w:t>p</w:t>
      </w:r>
      <w:r>
        <w:t xml:space="preserve">remature </w:t>
      </w:r>
      <w:proofErr w:type="gramStart"/>
      <w:r>
        <w:t>death</w:t>
      </w:r>
      <w:proofErr w:type="gramEnd"/>
    </w:p>
    <w:p w14:paraId="5D4EB05C" w14:textId="56588F83" w:rsidR="00617F78" w:rsidRPr="00FF3631" w:rsidRDefault="00617F78" w:rsidP="00E13811">
      <w:pPr>
        <w:pStyle w:val="Heading4"/>
      </w:pPr>
      <w:r>
        <w:t>Life expectancy</w:t>
      </w:r>
    </w:p>
    <w:p w14:paraId="59597831" w14:textId="38889A77" w:rsidR="00617F78" w:rsidRDefault="00617F78" w:rsidP="009F4885">
      <w:pPr>
        <w:pStyle w:val="Body"/>
        <w:rPr>
          <w:rFonts w:cs="Arial"/>
        </w:rPr>
      </w:pPr>
      <w:r w:rsidRPr="0094F361">
        <w:rPr>
          <w:rFonts w:cs="Arial"/>
        </w:rPr>
        <w:t>Australia</w:t>
      </w:r>
      <w:r>
        <w:rPr>
          <w:rFonts w:cs="Arial"/>
        </w:rPr>
        <w:t>ns enjoy</w:t>
      </w:r>
      <w:r w:rsidRPr="0094F361">
        <w:rPr>
          <w:rFonts w:cs="Arial"/>
        </w:rPr>
        <w:t xml:space="preserve"> one of the highest life expectancies </w:t>
      </w:r>
      <w:r>
        <w:rPr>
          <w:rFonts w:cs="Arial"/>
        </w:rPr>
        <w:t>compared to other countries across the world</w:t>
      </w:r>
      <w:r w:rsidRPr="0094F361">
        <w:rPr>
          <w:rFonts w:cs="Arial"/>
        </w:rPr>
        <w:t>, at 83.0 years in 2020</w:t>
      </w:r>
      <w:r w:rsidR="002079BA">
        <w:rPr>
          <w:rFonts w:cs="Arial"/>
        </w:rPr>
        <w:t>.</w:t>
      </w:r>
      <w:r>
        <w:rPr>
          <w:rStyle w:val="EndnoteReference"/>
          <w:rFonts w:cs="Arial"/>
        </w:rPr>
        <w:endnoteReference w:id="31"/>
      </w:r>
    </w:p>
    <w:p w14:paraId="4CAF8CA0" w14:textId="57C6AF1C" w:rsidR="00617F78" w:rsidRPr="009F4885" w:rsidRDefault="00995830" w:rsidP="00685E9B">
      <w:pPr>
        <w:pStyle w:val="Body"/>
        <w:jc w:val="center"/>
        <w:rPr>
          <w:rStyle w:val="Hyperlink"/>
          <w:color w:val="auto"/>
          <w:u w:val="none"/>
        </w:rPr>
      </w:pPr>
      <w:r>
        <w:rPr>
          <w:noProof/>
        </w:rPr>
        <w:drawing>
          <wp:inline distT="0" distB="0" distL="0" distR="0" wp14:anchorId="7673225A" wp14:editId="2EC3E38E">
            <wp:extent cx="3562710" cy="2263161"/>
            <wp:effectExtent l="0" t="0" r="0" b="3810"/>
            <wp:docPr id="23" name="Picture 23" descr="Victorians born in 2020 can expect to live to 83.7, up from 82.3 in 2009-2011. Females can expect to live longer than males, reaching 85.7 years compared with 81.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ictorians born in 2020 can expect to live to 83.7, up from 82.3 in 2009-2011. Females can expect to live longer than males, reaching 85.7 years compared with 81.7 years."/>
                    <pic:cNvPicPr/>
                  </pic:nvPicPr>
                  <pic:blipFill>
                    <a:blip r:embed="rId24"/>
                    <a:stretch>
                      <a:fillRect/>
                    </a:stretch>
                  </pic:blipFill>
                  <pic:spPr>
                    <a:xfrm>
                      <a:off x="0" y="0"/>
                      <a:ext cx="3570246" cy="2267948"/>
                    </a:xfrm>
                    <a:prstGeom prst="rect">
                      <a:avLst/>
                    </a:prstGeom>
                  </pic:spPr>
                </pic:pic>
              </a:graphicData>
            </a:graphic>
          </wp:inline>
        </w:drawing>
      </w:r>
    </w:p>
    <w:p w14:paraId="413A44CE" w14:textId="69147796" w:rsidR="00617F78" w:rsidRDefault="00617F78" w:rsidP="00806E74">
      <w:pPr>
        <w:pStyle w:val="Tablefigurenote"/>
      </w:pPr>
      <w:bookmarkStart w:id="21" w:name="_Ref132363519"/>
      <w:r>
        <w:t>Source: Australian Bureau of Statistics</w:t>
      </w:r>
      <w:r w:rsidR="00172555">
        <w:t xml:space="preserve"> (</w:t>
      </w:r>
      <w:bookmarkStart w:id="22" w:name="_Hlk150791642"/>
      <w:r w:rsidR="00172555">
        <w:t>ABS</w:t>
      </w:r>
      <w:bookmarkEnd w:id="22"/>
      <w:r w:rsidR="00172555">
        <w:t>)</w:t>
      </w:r>
      <w:r>
        <w:t xml:space="preserve">, </w:t>
      </w:r>
      <w:r w:rsidR="00DC630F">
        <w:t>Life tables</w:t>
      </w:r>
      <w:r>
        <w:rPr>
          <w:rStyle w:val="EndnoteReference"/>
        </w:rPr>
        <w:endnoteReference w:id="32"/>
      </w:r>
      <w:bookmarkEnd w:id="21"/>
    </w:p>
    <w:p w14:paraId="2F965F22" w14:textId="3B9E277A" w:rsidR="00617F78" w:rsidRDefault="00617F78" w:rsidP="00806E74">
      <w:pPr>
        <w:pStyle w:val="Bodyaftertablefigure"/>
      </w:pPr>
      <w:r>
        <w:t xml:space="preserve">National data shows that life expectancy for Aboriginal people living in Victoria is 10 years less than </w:t>
      </w:r>
      <w:r w:rsidR="00B47766">
        <w:t xml:space="preserve">for </w:t>
      </w:r>
      <w:r>
        <w:t>non-Aboriginal Australians, with females living 75.6 years, and males living 71.6 years</w:t>
      </w:r>
      <w:r w:rsidR="002079BA">
        <w:t>.</w:t>
      </w:r>
      <w:r>
        <w:rPr>
          <w:rStyle w:val="EndnoteReference"/>
        </w:rPr>
        <w:endnoteReference w:id="33"/>
      </w:r>
      <w:r w:rsidR="00DC630F">
        <w:t xml:space="preserve"> </w:t>
      </w:r>
      <w:r>
        <w:t>While life expectancy for Aboriginal males and females has increased by 2.5 years and 1.9 years respectively since 2010</w:t>
      </w:r>
      <w:r w:rsidR="00B47766">
        <w:t>–</w:t>
      </w:r>
      <w:r>
        <w:t>12, so has the life expectancy for non-Aboriginal Australians</w:t>
      </w:r>
      <w:r w:rsidR="00B47766">
        <w:t>.</w:t>
      </w:r>
      <w:r>
        <w:t xml:space="preserve"> </w:t>
      </w:r>
      <w:r w:rsidR="00B47766">
        <w:t>T</w:t>
      </w:r>
      <w:r>
        <w:t>herefore</w:t>
      </w:r>
      <w:r w:rsidR="00B47766">
        <w:t>,</w:t>
      </w:r>
      <w:r>
        <w:t xml:space="preserve"> the gap in life expectancy has remained the same</w:t>
      </w:r>
      <w:r w:rsidR="002079BA">
        <w:t>.</w:t>
      </w:r>
      <w:r>
        <w:rPr>
          <w:rStyle w:val="EndnoteReference"/>
        </w:rPr>
        <w:endnoteReference w:id="34"/>
      </w:r>
    </w:p>
    <w:p w14:paraId="52349329" w14:textId="3A913E96" w:rsidR="00617F78" w:rsidRDefault="00617F78" w:rsidP="00E13811">
      <w:pPr>
        <w:pStyle w:val="Heading4"/>
      </w:pPr>
      <w:r>
        <w:t>Premature death</w:t>
      </w:r>
    </w:p>
    <w:p w14:paraId="3D65EE13" w14:textId="44A46711" w:rsidR="00617F78" w:rsidRDefault="00617F78" w:rsidP="007667B3">
      <w:pPr>
        <w:pStyle w:val="Body"/>
      </w:pPr>
      <w:r>
        <w:t>Premature death is defined as death before the age of 75</w:t>
      </w:r>
      <w:r w:rsidRPr="001C752B">
        <w:t xml:space="preserve">. </w:t>
      </w:r>
      <w:r>
        <w:t>While it is encouraging to see</w:t>
      </w:r>
      <w:r w:rsidR="00B47766">
        <w:t xml:space="preserve"> a</w:t>
      </w:r>
      <w:r>
        <w:t xml:space="preserve"> decline in people dying before the age of 75, this is likely due to improvements in medical treatments, rather than a reduction in people diagnosed with chronic disease</w:t>
      </w:r>
      <w:bookmarkStart w:id="23" w:name="_Ref150504603"/>
      <w:r w:rsidR="002079BA">
        <w:t>.</w:t>
      </w:r>
      <w:r>
        <w:rPr>
          <w:rStyle w:val="EndnoteReference"/>
        </w:rPr>
        <w:endnoteReference w:id="35"/>
      </w:r>
      <w:bookmarkEnd w:id="23"/>
    </w:p>
    <w:p w14:paraId="54AE033D" w14:textId="1BB1C593" w:rsidR="00617F78" w:rsidRDefault="00995830" w:rsidP="00CA7EBB">
      <w:pPr>
        <w:pStyle w:val="Bullet1"/>
        <w:numPr>
          <w:ilvl w:val="0"/>
          <w:numId w:val="0"/>
        </w:numPr>
        <w:ind w:left="284" w:hanging="284"/>
        <w:jc w:val="center"/>
      </w:pPr>
      <w:r>
        <w:rPr>
          <w:noProof/>
        </w:rPr>
        <w:drawing>
          <wp:inline distT="0" distB="0" distL="0" distR="0" wp14:anchorId="32A94111" wp14:editId="6230CD30">
            <wp:extent cx="2898475" cy="1960526"/>
            <wp:effectExtent l="0" t="0" r="0" b="1905"/>
            <wp:docPr id="31" name="Picture 31" descr="The premature death rate has steadily declined since 2010, from 223 per 100,000 people to 187 per 100,000 people in 2018. It is higher for males than females, at 226 per 100,000. This difference is narrowing favourably over time. It is higher for Aboriginal people living in Victoria, at 415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premature death rate has steadily declined since 2010, from 223 per 100,000 people to 187 per 100,000 people in 2018. It is higher for males than females, at 226 per 100,000. This difference is narrowing favourably over time. It is higher for Aboriginal people living in Victoria, at 415 per 100,000."/>
                    <pic:cNvPicPr/>
                  </pic:nvPicPr>
                  <pic:blipFill>
                    <a:blip r:embed="rId25"/>
                    <a:stretch>
                      <a:fillRect/>
                    </a:stretch>
                  </pic:blipFill>
                  <pic:spPr>
                    <a:xfrm>
                      <a:off x="0" y="0"/>
                      <a:ext cx="2911284" cy="1969190"/>
                    </a:xfrm>
                    <a:prstGeom prst="rect">
                      <a:avLst/>
                    </a:prstGeom>
                  </pic:spPr>
                </pic:pic>
              </a:graphicData>
            </a:graphic>
          </wp:inline>
        </w:drawing>
      </w:r>
    </w:p>
    <w:p w14:paraId="24ADEC90" w14:textId="234EC3B3" w:rsidR="00617F78" w:rsidRDefault="00995830" w:rsidP="00995830">
      <w:pPr>
        <w:pStyle w:val="Body"/>
        <w:jc w:val="center"/>
        <w:rPr>
          <w:noProof/>
        </w:rPr>
      </w:pPr>
      <w:r>
        <w:rPr>
          <w:noProof/>
        </w:rPr>
        <w:lastRenderedPageBreak/>
        <w:drawing>
          <wp:inline distT="0" distB="0" distL="0" distR="0" wp14:anchorId="55EC96E3" wp14:editId="59D6C936">
            <wp:extent cx="2803585" cy="3052179"/>
            <wp:effectExtent l="0" t="0" r="0" b="0"/>
            <wp:docPr id="32" name="Picture 32" descr="The premature death rate specific to cancer, cardiovascular disease, diabetes, and chronic respiratory disease has steadily decreased from 161.5 per 100,000 in 2010 to 132 per 100,000 in 2018.&#10;Rates of premature death due to chronic disease are higher for males than females, however, the gap is reducing over time due to fewer males dying prematurely of these conditions.&#10;They are 1.5 times as high for those who are most disadvantaged compared to the least disadvantaged, and this gap has persisted since 2010.&#10;Our target is on track for a 25 per cent decrease in premature deaths due to chronic disease b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premature death rate specific to cancer, cardiovascular disease, diabetes, and chronic respiratory disease has steadily decreased from 161.5 per 100,000 in 2010 to 132 per 100,000 in 2018.&#10;Rates of premature death due to chronic disease are higher for males than females, however, the gap is reducing over time due to fewer males dying prematurely of these conditions.&#10;They are 1.5 times as high for those who are most disadvantaged compared to the least disadvantaged, and this gap has persisted since 2010.&#10;Our target is on track for a 25 per cent decrease in premature deaths due to chronic disease by 2025."/>
                    <pic:cNvPicPr/>
                  </pic:nvPicPr>
                  <pic:blipFill>
                    <a:blip r:embed="rId26"/>
                    <a:stretch>
                      <a:fillRect/>
                    </a:stretch>
                  </pic:blipFill>
                  <pic:spPr>
                    <a:xfrm>
                      <a:off x="0" y="0"/>
                      <a:ext cx="2807747" cy="3056710"/>
                    </a:xfrm>
                    <a:prstGeom prst="rect">
                      <a:avLst/>
                    </a:prstGeom>
                  </pic:spPr>
                </pic:pic>
              </a:graphicData>
            </a:graphic>
          </wp:inline>
        </w:drawing>
      </w:r>
    </w:p>
    <w:p w14:paraId="42F77A03" w14:textId="4425F648" w:rsidR="00B47766" w:rsidRDefault="00B47766" w:rsidP="005821E8">
      <w:pPr>
        <w:pStyle w:val="Tablefigurenote"/>
        <w:spacing w:after="120" w:line="240" w:lineRule="auto"/>
        <w:rPr>
          <w:noProof/>
        </w:rPr>
      </w:pPr>
      <w:bookmarkStart w:id="24" w:name="_Ref138344834"/>
      <w:r>
        <w:t xml:space="preserve">Source: </w:t>
      </w:r>
      <w:bookmarkEnd w:id="24"/>
      <w:r w:rsidR="00172555">
        <w:t>ABS</w:t>
      </w:r>
      <w:r>
        <w:t>, Causes of Death</w:t>
      </w:r>
      <w:bookmarkStart w:id="25" w:name="_Ref150504807"/>
      <w:r>
        <w:fldChar w:fldCharType="begin"/>
      </w:r>
      <w:r>
        <w:instrText xml:space="preserve"> NOTEREF _Ref150513562 \f \h  \* MERGEFORMAT </w:instrText>
      </w:r>
      <w:r>
        <w:fldChar w:fldCharType="separate"/>
      </w:r>
      <w:r w:rsidR="00840CEF" w:rsidRPr="00840CEF">
        <w:rPr>
          <w:rStyle w:val="EndnoteReference"/>
        </w:rPr>
        <w:t>23</w:t>
      </w:r>
      <w:r>
        <w:fldChar w:fldCharType="end"/>
      </w:r>
      <w:bookmarkEnd w:id="25"/>
    </w:p>
    <w:tbl>
      <w:tblPr>
        <w:tblStyle w:val="TableGrid"/>
        <w:tblW w:w="0" w:type="auto"/>
        <w:tblCellMar>
          <w:top w:w="57" w:type="dxa"/>
          <w:bottom w:w="57" w:type="dxa"/>
        </w:tblCellMar>
        <w:tblLook w:val="04A0" w:firstRow="1" w:lastRow="0" w:firstColumn="1" w:lastColumn="0" w:noHBand="0" w:noVBand="1"/>
      </w:tblPr>
      <w:tblGrid>
        <w:gridCol w:w="9288"/>
      </w:tblGrid>
      <w:tr w:rsidR="00806E74" w14:paraId="4730813B" w14:textId="77777777" w:rsidTr="005821E8">
        <w:tc>
          <w:tcPr>
            <w:tcW w:w="9288" w:type="dxa"/>
          </w:tcPr>
          <w:p w14:paraId="6E9EC48C" w14:textId="77777777" w:rsidR="00806E74" w:rsidRPr="004334BD" w:rsidRDefault="00806E74" w:rsidP="00806E74">
            <w:pPr>
              <w:rPr>
                <w:b/>
                <w:bCs/>
              </w:rPr>
            </w:pPr>
            <w:r>
              <w:rPr>
                <w:b/>
                <w:bCs/>
              </w:rPr>
              <w:t>Impact of cardiovascular disease on women’s health outcomes</w:t>
            </w:r>
          </w:p>
          <w:p w14:paraId="5BE72039" w14:textId="6103645B" w:rsidR="00806E74" w:rsidRDefault="00806E74" w:rsidP="00806E74">
            <w:r>
              <w:t>Although cardiovascular disease causes more premature deaths in males than females, it is the leading cause of death for females. There is evidence that females with cardiovascular disease experience poorer outcomes than males due to differences in symptoms, underrepresentation of females in clinical trials and the assumption by clinicians that cardiovascular disease affects predominately males. This shows that care needs to be taken when interpreting population</w:t>
            </w:r>
            <w:r w:rsidR="00B47766">
              <w:t>-</w:t>
            </w:r>
            <w:r>
              <w:t>level data, to look at differences between males and females, and how both sexes are being affected individually.</w:t>
            </w:r>
            <w:r w:rsidR="00B47766">
              <w:t xml:space="preserve"> R</w:t>
            </w:r>
            <w:r>
              <w:t xml:space="preserve">esearch is needed to further examine the underlying drivers of this difference in outcomes, and a sex and gender lens should be applied to all research on identification, </w:t>
            </w:r>
            <w:proofErr w:type="gramStart"/>
            <w:r>
              <w:t>treatment</w:t>
            </w:r>
            <w:proofErr w:type="gramEnd"/>
            <w:r>
              <w:t xml:space="preserve"> and management of non-communicable diseases. </w:t>
            </w:r>
          </w:p>
          <w:p w14:paraId="25ABB44C" w14:textId="29C8A5EB" w:rsidR="00806E74" w:rsidRDefault="004A12D0" w:rsidP="00354D79">
            <w:pPr>
              <w:pStyle w:val="FootnoteText"/>
            </w:pPr>
            <w:r>
              <w:t xml:space="preserve">Source: </w:t>
            </w:r>
            <w:r w:rsidR="00806E74" w:rsidRPr="00A1203A">
              <w:t>Vogel, B, et</w:t>
            </w:r>
            <w:r w:rsidR="00B47766">
              <w:t xml:space="preserve"> al.</w:t>
            </w:r>
            <w:r w:rsidR="00806E74" w:rsidRPr="00A1203A">
              <w:t xml:space="preserve"> </w:t>
            </w:r>
            <w:r>
              <w:t>(</w:t>
            </w:r>
            <w:r w:rsidR="00806E74" w:rsidRPr="00A1203A">
              <w:t>2021</w:t>
            </w:r>
            <w:r>
              <w:t>)</w:t>
            </w:r>
            <w:r w:rsidR="00806E74" w:rsidRPr="00A1203A">
              <w:t xml:space="preserve">, </w:t>
            </w:r>
            <w:r>
              <w:t>‘</w:t>
            </w:r>
            <w:hyperlink r:id="rId27" w:anchor="articleInformation" w:history="1">
              <w:r w:rsidR="00806E74" w:rsidRPr="00A1203A">
                <w:rPr>
                  <w:rStyle w:val="Hyperlink"/>
                </w:rPr>
                <w:t>The Lancet women and cardiovascular disease Commission: reducing the global burden by 2030</w:t>
              </w:r>
            </w:hyperlink>
            <w:r>
              <w:rPr>
                <w:rStyle w:val="Hyperlink"/>
              </w:rPr>
              <w:t>’</w:t>
            </w:r>
            <w:r w:rsidR="00806E74" w:rsidRPr="00A1203A">
              <w:t>,</w:t>
            </w:r>
            <w:r>
              <w:t xml:space="preserve"> &lt; </w:t>
            </w:r>
            <w:r w:rsidRPr="004A12D0">
              <w:t>https://www.thelancet.com/commissions/women-cardiovascular-disease</w:t>
            </w:r>
            <w:r>
              <w:t>&gt;</w:t>
            </w:r>
            <w:r w:rsidR="00806E74" w:rsidRPr="00A1203A">
              <w:t xml:space="preserve"> </w:t>
            </w:r>
            <w:r w:rsidR="00806E74" w:rsidRPr="00354D79">
              <w:rPr>
                <w:i/>
                <w:iCs/>
              </w:rPr>
              <w:t>The Lancet</w:t>
            </w:r>
            <w:r w:rsidR="00806E74" w:rsidRPr="00A1203A">
              <w:t xml:space="preserve">, </w:t>
            </w:r>
            <w:r>
              <w:t>397(10292),</w:t>
            </w:r>
            <w:r w:rsidR="00806E74" w:rsidRPr="00A1203A">
              <w:t xml:space="preserve"> </w:t>
            </w:r>
            <w:r>
              <w:t>accessed 13 November 2023.</w:t>
            </w:r>
          </w:p>
        </w:tc>
      </w:tr>
    </w:tbl>
    <w:p w14:paraId="6066DCBD" w14:textId="0C812EF6" w:rsidR="00617F78" w:rsidRDefault="00617F78" w:rsidP="008B5E9B">
      <w:pPr>
        <w:pStyle w:val="Heading3"/>
      </w:pPr>
      <w:r>
        <w:t xml:space="preserve">Reduce preventable chronic </w:t>
      </w:r>
      <w:proofErr w:type="gramStart"/>
      <w:r>
        <w:t>disease</w:t>
      </w:r>
      <w:proofErr w:type="gramEnd"/>
    </w:p>
    <w:p w14:paraId="6E805069" w14:textId="552BCC2B" w:rsidR="00617F78" w:rsidRDefault="00617F78" w:rsidP="009D6791">
      <w:pPr>
        <w:pStyle w:val="Body"/>
      </w:pPr>
      <w:r>
        <w:t>In 2017</w:t>
      </w:r>
      <w:r w:rsidR="004A12D0">
        <w:t>–</w:t>
      </w:r>
      <w:r>
        <w:t>18, around 47</w:t>
      </w:r>
      <w:r w:rsidR="004A12D0">
        <w:t xml:space="preserve"> per cent </w:t>
      </w:r>
      <w:r>
        <w:t>of Australians had one or more chronic conditions, increasing from 42.2</w:t>
      </w:r>
      <w:r w:rsidR="004A12D0">
        <w:t xml:space="preserve"> per cent </w:t>
      </w:r>
      <w:r>
        <w:t>of people in 2007</w:t>
      </w:r>
      <w:r w:rsidR="004A12D0">
        <w:t>–</w:t>
      </w:r>
      <w:r>
        <w:t>2008</w:t>
      </w:r>
      <w:r w:rsidR="002079BA">
        <w:t>.</w:t>
      </w:r>
      <w:r w:rsidR="002A4193">
        <w:fldChar w:fldCharType="begin"/>
      </w:r>
      <w:r w:rsidR="002A4193">
        <w:instrText xml:space="preserve"> NOTEREF _Ref150504603 \f \h </w:instrText>
      </w:r>
      <w:r w:rsidR="002A4193">
        <w:fldChar w:fldCharType="separate"/>
      </w:r>
      <w:r w:rsidR="006871FA" w:rsidRPr="006871FA">
        <w:rPr>
          <w:rStyle w:val="EndnoteReference"/>
        </w:rPr>
        <w:t>33</w:t>
      </w:r>
      <w:r w:rsidR="002A4193">
        <w:fldChar w:fldCharType="end"/>
      </w:r>
      <w:r w:rsidR="003A27E5">
        <w:t xml:space="preserve"> </w:t>
      </w:r>
      <w:r>
        <w:t>It is expected that these numbers will continue to increase.</w:t>
      </w:r>
    </w:p>
    <w:p w14:paraId="404356A4" w14:textId="293B25AD" w:rsidR="00617F78" w:rsidRPr="009D6791" w:rsidRDefault="00995830" w:rsidP="00995830">
      <w:pPr>
        <w:pStyle w:val="Body"/>
        <w:jc w:val="center"/>
      </w:pPr>
      <w:r>
        <w:rPr>
          <w:noProof/>
        </w:rPr>
        <w:lastRenderedPageBreak/>
        <w:drawing>
          <wp:inline distT="0" distB="0" distL="0" distR="0" wp14:anchorId="6A7433D1" wp14:editId="07BE43C9">
            <wp:extent cx="2725947" cy="2945890"/>
            <wp:effectExtent l="0" t="0" r="0" b="6985"/>
            <wp:docPr id="37" name="Picture 37" descr="The prevalence of type two diabetes in Victorian adults has increased significantly from 6.1 per cent in 2019 to 7.5 per cent in 2022. The target for no change to the prevalence of type-two diabetes is not on track.&#10;The proportion of people with type 2 diabetes is higher in the most disadvantaged people, is higher in people experiencing high levels of psychological distress, and is similar in metro and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prevalence of type two diabetes in Victorian adults has increased significantly from 6.1 per cent in 2019 to 7.5 per cent in 2022. The target for no change to the prevalence of type-two diabetes is not on track.&#10;The proportion of people with type 2 diabetes is higher in the most disadvantaged people, is higher in people experiencing high levels of psychological distress, and is similar in metro and regional areas."/>
                    <pic:cNvPicPr/>
                  </pic:nvPicPr>
                  <pic:blipFill>
                    <a:blip r:embed="rId28"/>
                    <a:stretch>
                      <a:fillRect/>
                    </a:stretch>
                  </pic:blipFill>
                  <pic:spPr>
                    <a:xfrm>
                      <a:off x="0" y="0"/>
                      <a:ext cx="2730180" cy="2950464"/>
                    </a:xfrm>
                    <a:prstGeom prst="rect">
                      <a:avLst/>
                    </a:prstGeom>
                  </pic:spPr>
                </pic:pic>
              </a:graphicData>
            </a:graphic>
          </wp:inline>
        </w:drawing>
      </w:r>
    </w:p>
    <w:p w14:paraId="1FA9B0EC" w14:textId="3C9A966B" w:rsidR="00617F78" w:rsidRDefault="00617F78" w:rsidP="00995830">
      <w:pPr>
        <w:pStyle w:val="Tablefigurenote"/>
        <w:jc w:val="center"/>
      </w:pPr>
      <w:bookmarkStart w:id="26" w:name="_Ref138345755"/>
      <w:r>
        <w:t>Source: Victorian Population Health Survey</w:t>
      </w:r>
      <w:bookmarkStart w:id="27" w:name="_Ref150505259"/>
      <w:r w:rsidRPr="00B42F30">
        <w:rPr>
          <w:rStyle w:val="EndnoteReference"/>
        </w:rPr>
        <w:endnoteReference w:id="36"/>
      </w:r>
      <w:bookmarkEnd w:id="26"/>
      <w:bookmarkEnd w:id="27"/>
    </w:p>
    <w:p w14:paraId="509FE3C0" w14:textId="2818EAFC" w:rsidR="00617F78" w:rsidRDefault="00617F78" w:rsidP="00354D79">
      <w:pPr>
        <w:pStyle w:val="Bodyaftertablefigure"/>
        <w:jc w:val="both"/>
      </w:pPr>
      <w:r>
        <w:t>The Victorian Population Health Survey data shows no difference in the prevalence rate of type two diabetes between Aboriginal and non-Aboriginal people</w:t>
      </w:r>
      <w:r w:rsidR="002079BA">
        <w:t>.</w:t>
      </w:r>
      <w:r>
        <w:fldChar w:fldCharType="begin"/>
      </w:r>
      <w:r>
        <w:instrText xml:space="preserve"> NOTEREF _Ref138345755 \f \h </w:instrText>
      </w:r>
      <w:r w:rsidR="00806E74">
        <w:instrText xml:space="preserve"> \* MERGEFORMAT </w:instrText>
      </w:r>
      <w:r>
        <w:fldChar w:fldCharType="separate"/>
      </w:r>
      <w:r w:rsidR="00FB5422" w:rsidRPr="00FB5422">
        <w:rPr>
          <w:rStyle w:val="EndnoteReference"/>
        </w:rPr>
        <w:t>35</w:t>
      </w:r>
      <w:r>
        <w:fldChar w:fldCharType="end"/>
      </w:r>
      <w:r>
        <w:t xml:space="preserve"> However, this data should be interpreted with caution, as the small number of Aboriginal people living in Victoria can lead to large variations in the data, and national trends show twice the proportion of Aboriginal people diagnosed with type two diabetes</w:t>
      </w:r>
      <w:r w:rsidR="004A12D0">
        <w:t>,</w:t>
      </w:r>
      <w:r>
        <w:t xml:space="preserve"> compared with non-Aboriginal people.</w:t>
      </w:r>
      <w:r w:rsidDel="008E76B3">
        <w:t xml:space="preserve"> </w:t>
      </w:r>
    </w:p>
    <w:tbl>
      <w:tblPr>
        <w:tblStyle w:val="TableGrid"/>
        <w:tblW w:w="0" w:type="auto"/>
        <w:tblLook w:val="04A0" w:firstRow="1" w:lastRow="0" w:firstColumn="1" w:lastColumn="0" w:noHBand="0" w:noVBand="1"/>
      </w:tblPr>
      <w:tblGrid>
        <w:gridCol w:w="9288"/>
      </w:tblGrid>
      <w:tr w:rsidR="00806E74" w14:paraId="2A7BBB0D" w14:textId="77777777" w:rsidTr="00806E74">
        <w:tc>
          <w:tcPr>
            <w:tcW w:w="9288" w:type="dxa"/>
          </w:tcPr>
          <w:p w14:paraId="5BAE0869" w14:textId="77777777" w:rsidR="00806E74" w:rsidRPr="006E1042" w:rsidRDefault="00806E74" w:rsidP="00806E74">
            <w:pPr>
              <w:rPr>
                <w:b/>
                <w:bCs/>
              </w:rPr>
            </w:pPr>
            <w:r w:rsidRPr="006E1042">
              <w:rPr>
                <w:b/>
                <w:bCs/>
              </w:rPr>
              <w:t>Other measures of chronic disease</w:t>
            </w:r>
          </w:p>
          <w:p w14:paraId="04D49273" w14:textId="75EEB38C" w:rsidR="004A12D0" w:rsidRDefault="00806E74" w:rsidP="0071562E">
            <w:pPr>
              <w:pStyle w:val="Tabletext"/>
            </w:pPr>
            <w:r>
              <w:t xml:space="preserve">Despite decades of effort to reduce the impact of chronic disease, there has been no improvement in the prevalence of chronic disease, and more people are diagnosed with one or more chronic diseases. As the population increases, so will the number of people affected by chronic diseases, impacting quality of </w:t>
            </w:r>
            <w:proofErr w:type="gramStart"/>
            <w:r>
              <w:t>life</w:t>
            </w:r>
            <w:proofErr w:type="gramEnd"/>
            <w:r>
              <w:t xml:space="preserve"> and putting further pressure on our health services.</w:t>
            </w:r>
          </w:p>
          <w:p w14:paraId="3E859A62" w14:textId="460E0ACB" w:rsidR="00806E74" w:rsidRDefault="004A12D0" w:rsidP="0071562E">
            <w:pPr>
              <w:pStyle w:val="Tabletext"/>
            </w:pPr>
            <w:r>
              <w:t>Measures to note include</w:t>
            </w:r>
            <w:r w:rsidR="00D26C73">
              <w:t xml:space="preserve"> that</w:t>
            </w:r>
            <w:r>
              <w:t>:</w:t>
            </w:r>
            <w:r w:rsidR="00806E74">
              <w:t xml:space="preserve">  </w:t>
            </w:r>
          </w:p>
          <w:p w14:paraId="26806D35" w14:textId="606F7D61" w:rsidR="00806E74" w:rsidRDefault="00D26C73" w:rsidP="0071562E">
            <w:pPr>
              <w:pStyle w:val="Tablebullet1"/>
            </w:pPr>
            <w:r>
              <w:t>a</w:t>
            </w:r>
            <w:r w:rsidR="00806E74" w:rsidRPr="00C10779">
              <w:t xml:space="preserve">ge-standardised rates of cancer incidence have remained constant since </w:t>
            </w:r>
            <w:proofErr w:type="gramStart"/>
            <w:r w:rsidR="00806E74" w:rsidRPr="00C10779">
              <w:t>2010</w:t>
            </w:r>
            <w:proofErr w:type="gramEnd"/>
          </w:p>
          <w:p w14:paraId="27EA484C" w14:textId="0C56FB61" w:rsidR="00806E74" w:rsidRDefault="00D26C73" w:rsidP="0071562E">
            <w:pPr>
              <w:pStyle w:val="Tablebullet1"/>
            </w:pPr>
            <w:r>
              <w:t>d</w:t>
            </w:r>
            <w:r w:rsidR="00806E74" w:rsidRPr="00C10779">
              <w:t xml:space="preserve">ata from the Victorian </w:t>
            </w:r>
            <w:r w:rsidR="00806E74">
              <w:t>P</w:t>
            </w:r>
            <w:r w:rsidR="00806E74" w:rsidRPr="00C10779">
              <w:t xml:space="preserve">opulation </w:t>
            </w:r>
            <w:r w:rsidR="00806E74">
              <w:t>H</w:t>
            </w:r>
            <w:r w:rsidR="00806E74" w:rsidRPr="00C10779">
              <w:t xml:space="preserve">ealth </w:t>
            </w:r>
            <w:r w:rsidR="00806E74">
              <w:t>S</w:t>
            </w:r>
            <w:r w:rsidR="00806E74" w:rsidRPr="00C10779">
              <w:t xml:space="preserve">urvey shows no change in the </w:t>
            </w:r>
            <w:r w:rsidR="00806E74">
              <w:t xml:space="preserve">proportion of people with </w:t>
            </w:r>
            <w:r w:rsidR="00806E74" w:rsidRPr="00C10779">
              <w:t>cardiovascular disease since 2015</w:t>
            </w:r>
            <w:r w:rsidR="0071562E">
              <w:t>.</w:t>
            </w:r>
          </w:p>
          <w:p w14:paraId="353BA7BD" w14:textId="77777777" w:rsidR="00D26C73" w:rsidRDefault="00806E74" w:rsidP="00806E74">
            <w:pPr>
              <w:pStyle w:val="FootnoteText"/>
            </w:pPr>
            <w:r w:rsidRPr="00D10F7D">
              <w:t>Sources:</w:t>
            </w:r>
          </w:p>
          <w:p w14:paraId="0E9F6649" w14:textId="107CCBD1" w:rsidR="00806E74" w:rsidRPr="00D10F7D" w:rsidRDefault="00806E74" w:rsidP="00806E74">
            <w:pPr>
              <w:pStyle w:val="FootnoteText"/>
            </w:pPr>
            <w:r w:rsidRPr="00D10F7D">
              <w:t>Victorian Cancer Registry</w:t>
            </w:r>
            <w:r w:rsidR="00D26C73">
              <w:t xml:space="preserve"> (2022)</w:t>
            </w:r>
            <w:r w:rsidRPr="00D10F7D">
              <w:t xml:space="preserve"> </w:t>
            </w:r>
            <w:r w:rsidR="00D26C73">
              <w:t>‘</w:t>
            </w:r>
            <w:hyperlink r:id="rId29" w:history="1">
              <w:r w:rsidRPr="009016F4">
                <w:rPr>
                  <w:rStyle w:val="Hyperlink"/>
                </w:rPr>
                <w:t>Cancer in Victoria</w:t>
              </w:r>
              <w:r w:rsidR="009016F4" w:rsidRPr="009016F4">
                <w:rPr>
                  <w:rStyle w:val="Hyperlink"/>
                </w:rPr>
                <w:t xml:space="preserve"> in</w:t>
              </w:r>
              <w:r w:rsidRPr="009016F4">
                <w:rPr>
                  <w:rStyle w:val="Hyperlink"/>
                </w:rPr>
                <w:t xml:space="preserve"> 2021</w:t>
              </w:r>
            </w:hyperlink>
            <w:r w:rsidR="00D26C73">
              <w:t>’</w:t>
            </w:r>
            <w:r w:rsidRPr="00D10F7D">
              <w:t xml:space="preserve">, </w:t>
            </w:r>
            <w:r w:rsidR="009016F4">
              <w:t>&lt;</w:t>
            </w:r>
            <w:r w:rsidR="009016F4" w:rsidRPr="0071562E">
              <w:t>https://www.cancervic.org.au/research/vcr</w:t>
            </w:r>
            <w:r w:rsidR="009016F4">
              <w:t>&gt; accessed 13 November 2023</w:t>
            </w:r>
            <w:r w:rsidRPr="00D10F7D">
              <w:t>.</w:t>
            </w:r>
          </w:p>
          <w:p w14:paraId="1423B4D8" w14:textId="77E17293" w:rsidR="00806E74" w:rsidRPr="00D10F7D" w:rsidRDefault="00806E74" w:rsidP="00806E74">
            <w:pPr>
              <w:pStyle w:val="FootnoteText"/>
            </w:pPr>
            <w:r w:rsidRPr="00D10F7D">
              <w:t xml:space="preserve">Victorian Agency for Health Information, </w:t>
            </w:r>
            <w:hyperlink r:id="rId30" w:history="1">
              <w:r w:rsidRPr="00D10F7D">
                <w:rPr>
                  <w:rStyle w:val="Hyperlink"/>
                  <w:i/>
                  <w:iCs/>
                </w:rPr>
                <w:t>Victorian population health survey 2020</w:t>
              </w:r>
            </w:hyperlink>
            <w:r w:rsidRPr="00D10F7D">
              <w:t xml:space="preserve">, </w:t>
            </w:r>
            <w:r w:rsidR="00D26C73">
              <w:t>&lt;</w:t>
            </w:r>
            <w:r w:rsidR="00D26C73" w:rsidRPr="0071562E">
              <w:t>https://vahi.vic.gov.au/reports/population-health/victorian-population-health-survey-2020-dashboards</w:t>
            </w:r>
            <w:r w:rsidR="00D26C73">
              <w:t>&gt; accessed 13 November 2023</w:t>
            </w:r>
            <w:r w:rsidRPr="00D10F7D">
              <w:t xml:space="preserve">. </w:t>
            </w:r>
          </w:p>
          <w:p w14:paraId="42FACC48" w14:textId="5FC808D3" w:rsidR="00806E74" w:rsidRDefault="00172555" w:rsidP="00806E74">
            <w:pPr>
              <w:pStyle w:val="FootnoteText"/>
            </w:pPr>
            <w:r>
              <w:t>ABS</w:t>
            </w:r>
            <w:r w:rsidRPr="00D10F7D" w:rsidDel="00172555">
              <w:t xml:space="preserve"> </w:t>
            </w:r>
            <w:r w:rsidR="00806E74" w:rsidRPr="00D10F7D">
              <w:t>(20</w:t>
            </w:r>
            <w:r w:rsidR="00D26C73">
              <w:t>22</w:t>
            </w:r>
            <w:r w:rsidR="00806E74" w:rsidRPr="00D10F7D">
              <w:t xml:space="preserve">), </w:t>
            </w:r>
            <w:hyperlink r:id="rId31" w:anchor="cite-window1" w:history="1">
              <w:r w:rsidR="00806E74" w:rsidRPr="0071562E">
                <w:rPr>
                  <w:rStyle w:val="Hyperlink"/>
                </w:rPr>
                <w:t>Health Conditions Prevalence</w:t>
              </w:r>
            </w:hyperlink>
            <w:r w:rsidR="00806E74" w:rsidRPr="00192715">
              <w:t xml:space="preserve">, </w:t>
            </w:r>
            <w:r w:rsidR="00D26C73">
              <w:t>&lt;</w:t>
            </w:r>
            <w:r w:rsidR="00D26C73" w:rsidRPr="00D26C73">
              <w:t>https://www.abs.gov.au/statistics/health/health-conditions-and-risks/health-conditions-prevalence/latest-release#cite-window1</w:t>
            </w:r>
            <w:r w:rsidR="00D26C73">
              <w:t>&gt;</w:t>
            </w:r>
            <w:r w:rsidR="00806E74" w:rsidRPr="00D10F7D">
              <w:t>, accessed 14 April 2023</w:t>
            </w:r>
            <w:r w:rsidR="00806E74" w:rsidRPr="002F4D99">
              <w:t>.</w:t>
            </w:r>
          </w:p>
        </w:tc>
      </w:tr>
    </w:tbl>
    <w:p w14:paraId="67913B68" w14:textId="52F35215" w:rsidR="00617F78" w:rsidRDefault="00617F78" w:rsidP="008B5E9B">
      <w:pPr>
        <w:pStyle w:val="Heading3"/>
      </w:pPr>
      <w:r>
        <w:t xml:space="preserve">Increase self-rated </w:t>
      </w:r>
      <w:proofErr w:type="gramStart"/>
      <w:r>
        <w:t>health</w:t>
      </w:r>
      <w:proofErr w:type="gramEnd"/>
    </w:p>
    <w:p w14:paraId="17C522F9" w14:textId="61A13110" w:rsidR="00617F78" w:rsidRDefault="00617F78" w:rsidP="00AE2E99">
      <w:pPr>
        <w:pStyle w:val="Body"/>
      </w:pPr>
      <w:r>
        <w:t>Self-reported health status is a reliable predictor of ill</w:t>
      </w:r>
      <w:r w:rsidR="000A525F">
        <w:t xml:space="preserve"> </w:t>
      </w:r>
      <w:r>
        <w:t xml:space="preserve">health, future healthcare use and premature mortality, independent of other medical, </w:t>
      </w:r>
      <w:proofErr w:type="gramStart"/>
      <w:r>
        <w:t>behavioural</w:t>
      </w:r>
      <w:proofErr w:type="gramEnd"/>
      <w:r>
        <w:t xml:space="preserve"> or psychosocial risk factors</w:t>
      </w:r>
      <w:r w:rsidR="002079BA">
        <w:t>.</w:t>
      </w:r>
      <w:r>
        <w:rPr>
          <w:rStyle w:val="EndnoteReference"/>
        </w:rPr>
        <w:endnoteReference w:id="37"/>
      </w:r>
    </w:p>
    <w:p w14:paraId="55D8BEE4" w14:textId="77A1A4E3" w:rsidR="00617F78" w:rsidRDefault="00B43A2F" w:rsidP="0006284E">
      <w:pPr>
        <w:pStyle w:val="Body"/>
        <w:jc w:val="center"/>
      </w:pPr>
      <w:r>
        <w:rPr>
          <w:noProof/>
        </w:rPr>
        <w:lastRenderedPageBreak/>
        <w:drawing>
          <wp:inline distT="0" distB="0" distL="0" distR="0" wp14:anchorId="5FB6A56E" wp14:editId="2A64C9E2">
            <wp:extent cx="3260785" cy="2313069"/>
            <wp:effectExtent l="0" t="0" r="0" b="0"/>
            <wp:docPr id="42" name="Picture 42" descr="The proportion of people reporting being in excellent or very good health has remained constant since 2015, at 41 per cent for all adults in 2020. It is lower in Aboriginal people living in Victoria at 30 per cent. It is also lower in adults born overseas at 36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proportion of people reporting being in excellent or very good health has remained constant since 2015, at 41 per cent for all adults in 2020. It is lower in Aboriginal people living in Victoria at 30 per cent. It is also lower in adults born overseas at 36 per cent. "/>
                    <pic:cNvPicPr/>
                  </pic:nvPicPr>
                  <pic:blipFill>
                    <a:blip r:embed="rId32"/>
                    <a:stretch>
                      <a:fillRect/>
                    </a:stretch>
                  </pic:blipFill>
                  <pic:spPr>
                    <a:xfrm>
                      <a:off x="0" y="0"/>
                      <a:ext cx="3267965" cy="2318162"/>
                    </a:xfrm>
                    <a:prstGeom prst="rect">
                      <a:avLst/>
                    </a:prstGeom>
                  </pic:spPr>
                </pic:pic>
              </a:graphicData>
            </a:graphic>
          </wp:inline>
        </w:drawing>
      </w:r>
    </w:p>
    <w:p w14:paraId="1C4E69F2" w14:textId="74276144" w:rsidR="00617F78" w:rsidRDefault="00617F78" w:rsidP="006E5C33">
      <w:pPr>
        <w:pStyle w:val="Tablefigurenote"/>
      </w:pPr>
      <w:r>
        <w:t>Source: Victorian Population Health Survey</w:t>
      </w:r>
      <w:r>
        <w:fldChar w:fldCharType="begin"/>
      </w:r>
      <w:r>
        <w:instrText xml:space="preserve"> NOTEREF _Ref138345755 \f \h </w:instrText>
      </w:r>
      <w:r w:rsidR="006871FA">
        <w:instrText xml:space="preserve"> \* MERGEFORMAT </w:instrText>
      </w:r>
      <w:r>
        <w:fldChar w:fldCharType="separate"/>
      </w:r>
      <w:r w:rsidR="00FB5422" w:rsidRPr="00FB5422">
        <w:rPr>
          <w:rStyle w:val="EndnoteReference"/>
        </w:rPr>
        <w:t>35</w:t>
      </w:r>
      <w:r>
        <w:fldChar w:fldCharType="end"/>
      </w:r>
    </w:p>
    <w:p w14:paraId="10B7804B" w14:textId="5DE401B6" w:rsidR="00617F78" w:rsidRDefault="00B43A2F" w:rsidP="00577089">
      <w:pPr>
        <w:pStyle w:val="Bullet1"/>
        <w:numPr>
          <w:ilvl w:val="0"/>
          <w:numId w:val="0"/>
        </w:numPr>
        <w:ind w:left="284" w:hanging="284"/>
        <w:jc w:val="center"/>
      </w:pPr>
      <w:r>
        <w:rPr>
          <w:noProof/>
        </w:rPr>
        <w:drawing>
          <wp:inline distT="0" distB="0" distL="0" distR="0" wp14:anchorId="72DBDB3E" wp14:editId="727A6E3D">
            <wp:extent cx="3278038" cy="2244568"/>
            <wp:effectExtent l="0" t="0" r="0" b="3810"/>
            <wp:docPr id="45" name="Picture 45" descr="The proportion of adolescents rating their health as good, very good, or excellent was 86 per cent in girls and boys in 2018, and has slightly decreased since 2014, 87.8 per cent. It is lower for adolescents with a language background other tha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proportion of adolescents rating their health as good, very good, or excellent was 86 per cent in girls and boys in 2018, and has slightly decreased since 2014, 87.8 per cent. It is lower for adolescents with a language background other than English."/>
                    <pic:cNvPicPr/>
                  </pic:nvPicPr>
                  <pic:blipFill>
                    <a:blip r:embed="rId33"/>
                    <a:stretch>
                      <a:fillRect/>
                    </a:stretch>
                  </pic:blipFill>
                  <pic:spPr>
                    <a:xfrm>
                      <a:off x="0" y="0"/>
                      <a:ext cx="3287949" cy="2251354"/>
                    </a:xfrm>
                    <a:prstGeom prst="rect">
                      <a:avLst/>
                    </a:prstGeom>
                  </pic:spPr>
                </pic:pic>
              </a:graphicData>
            </a:graphic>
          </wp:inline>
        </w:drawing>
      </w:r>
    </w:p>
    <w:p w14:paraId="0BD90328" w14:textId="38A44311" w:rsidR="00617F78" w:rsidRDefault="00617F78" w:rsidP="006E5C33">
      <w:pPr>
        <w:pStyle w:val="Tablefigurenote"/>
      </w:pPr>
      <w:r>
        <w:t>Source: Victorian Student Health and Wellbeing Survey</w:t>
      </w:r>
      <w:bookmarkStart w:id="28" w:name="_Ref150505041"/>
      <w:r>
        <w:rPr>
          <w:rStyle w:val="EndnoteReference"/>
        </w:rPr>
        <w:endnoteReference w:id="38"/>
      </w:r>
      <w:bookmarkEnd w:id="28"/>
    </w:p>
    <w:p w14:paraId="6C66BAF4" w14:textId="2CD07BDB" w:rsidR="00617F78" w:rsidRDefault="00617F78" w:rsidP="006E5C33">
      <w:pPr>
        <w:pStyle w:val="Bodyaftertablefigure"/>
      </w:pPr>
      <w:r>
        <w:t>These figures reflect that while many Victorians feel they are in very good, or excellent health, the majority believe that their health could be better.</w:t>
      </w:r>
      <w:r w:rsidR="000A525F">
        <w:t xml:space="preserve"> S</w:t>
      </w:r>
      <w:r>
        <w:t xml:space="preserve">ome groups are </w:t>
      </w:r>
      <w:r w:rsidR="000A525F">
        <w:t xml:space="preserve">also </w:t>
      </w:r>
      <w:r>
        <w:t xml:space="preserve">being left </w:t>
      </w:r>
      <w:proofErr w:type="gramStart"/>
      <w:r>
        <w:t>behind, and</w:t>
      </w:r>
      <w:proofErr w:type="gramEnd"/>
      <w:r>
        <w:t xml:space="preserve"> are not adequately supported by our environments and health systems to be as healthy as they can.  </w:t>
      </w:r>
    </w:p>
    <w:p w14:paraId="42B4B4E9" w14:textId="5BA0CABE" w:rsidR="00617F78" w:rsidRDefault="00617F78" w:rsidP="008B5E9B">
      <w:pPr>
        <w:pStyle w:val="Heading3"/>
      </w:pPr>
      <w:r>
        <w:t xml:space="preserve">Decrease unintentional </w:t>
      </w:r>
      <w:proofErr w:type="gramStart"/>
      <w:r>
        <w:t>injury</w:t>
      </w:r>
      <w:proofErr w:type="gramEnd"/>
    </w:p>
    <w:p w14:paraId="165F43B0" w14:textId="4E967088" w:rsidR="00617F78" w:rsidRPr="00606EE5" w:rsidRDefault="00617F78" w:rsidP="00606EE5">
      <w:pPr>
        <w:pStyle w:val="Body"/>
        <w:rPr>
          <w:color w:val="FF0000"/>
        </w:rPr>
      </w:pPr>
      <w:r w:rsidRPr="056FD388">
        <w:rPr>
          <w:rFonts w:cs="Arial"/>
        </w:rPr>
        <w:t>Injury is a complex public health issue and is the</w:t>
      </w:r>
      <w:r>
        <w:rPr>
          <w:rFonts w:cs="Arial"/>
        </w:rPr>
        <w:t xml:space="preserve"> leading</w:t>
      </w:r>
      <w:r w:rsidRPr="056FD388">
        <w:rPr>
          <w:rFonts w:cs="Arial"/>
        </w:rPr>
        <w:t xml:space="preserve"> cause of death in people under 45 years of age in Victoria</w:t>
      </w:r>
      <w:r w:rsidR="0086703D">
        <w:rPr>
          <w:rFonts w:cs="Arial"/>
        </w:rPr>
        <w:t>.</w:t>
      </w:r>
      <w:r>
        <w:rPr>
          <w:rStyle w:val="EndnoteReference"/>
          <w:rFonts w:cs="Arial"/>
        </w:rPr>
        <w:endnoteReference w:id="39"/>
      </w:r>
      <w:r w:rsidRPr="003C39A4">
        <w:rPr>
          <w:rFonts w:cstheme="minorBidi"/>
        </w:rPr>
        <w:t xml:space="preserve"> </w:t>
      </w:r>
      <w:r w:rsidRPr="768EDCCF">
        <w:rPr>
          <w:rFonts w:cstheme="minorBidi"/>
        </w:rPr>
        <w:t xml:space="preserve">Injury is the fifth leading health condition contributing to the burden of disease, accounting for </w:t>
      </w:r>
      <w:r w:rsidR="000A525F">
        <w:rPr>
          <w:rFonts w:cstheme="minorBidi"/>
        </w:rPr>
        <w:t>nine</w:t>
      </w:r>
      <w:r w:rsidRPr="768EDCCF">
        <w:rPr>
          <w:rFonts w:cstheme="minorBidi"/>
        </w:rPr>
        <w:t xml:space="preserve"> per cent of</w:t>
      </w:r>
      <w:r>
        <w:rPr>
          <w:rFonts w:cstheme="minorBidi"/>
        </w:rPr>
        <w:t xml:space="preserve"> the total</w:t>
      </w:r>
      <w:r w:rsidRPr="768EDCCF">
        <w:rPr>
          <w:rFonts w:cstheme="minorBidi"/>
        </w:rPr>
        <w:t xml:space="preserve"> </w:t>
      </w:r>
      <w:r>
        <w:rPr>
          <w:rFonts w:cstheme="minorBidi"/>
        </w:rPr>
        <w:t>disability adjusted life year</w:t>
      </w:r>
      <w:r w:rsidRPr="768EDCCF">
        <w:rPr>
          <w:rFonts w:cstheme="minorBidi"/>
        </w:rPr>
        <w:t>s in Australia</w:t>
      </w:r>
      <w:r w:rsidR="0086703D">
        <w:rPr>
          <w:rFonts w:cstheme="minorBidi"/>
        </w:rPr>
        <w:t>.</w:t>
      </w:r>
      <w:r>
        <w:rPr>
          <w:rStyle w:val="EndnoteReference"/>
          <w:rFonts w:cstheme="minorBidi"/>
        </w:rPr>
        <w:endnoteReference w:id="40"/>
      </w:r>
      <w:r>
        <w:rPr>
          <w:rFonts w:cstheme="minorBidi"/>
        </w:rPr>
        <w:t xml:space="preserve"> Injury prevention</w:t>
      </w:r>
      <w:r w:rsidRPr="00860FE8">
        <w:rPr>
          <w:rFonts w:cstheme="minorBidi"/>
        </w:rPr>
        <w:t xml:space="preserve"> efforts across many sectors over the years ha</w:t>
      </w:r>
      <w:r w:rsidR="000A525F">
        <w:rPr>
          <w:rFonts w:cstheme="minorBidi"/>
        </w:rPr>
        <w:t>ve</w:t>
      </w:r>
      <w:r w:rsidRPr="00860FE8">
        <w:rPr>
          <w:rFonts w:cstheme="minorBidi"/>
        </w:rPr>
        <w:t xml:space="preserve"> led to improvements in </w:t>
      </w:r>
      <w:r>
        <w:rPr>
          <w:rFonts w:cstheme="minorBidi"/>
        </w:rPr>
        <w:t>some causes of unintentional injury.</w:t>
      </w:r>
    </w:p>
    <w:p w14:paraId="2A92F848" w14:textId="307A7D39" w:rsidR="00617F78" w:rsidRDefault="00617F78" w:rsidP="001D2F6E">
      <w:pPr>
        <w:pStyle w:val="Body"/>
        <w:jc w:val="center"/>
      </w:pPr>
      <w:r>
        <w:rPr>
          <w:noProof/>
        </w:rPr>
        <w:drawing>
          <wp:inline distT="0" distB="0" distL="0" distR="0" wp14:anchorId="7142F882" wp14:editId="78ED1EBA">
            <wp:extent cx="2905125" cy="1485900"/>
            <wp:effectExtent l="0" t="0" r="9525" b="0"/>
            <wp:docPr id="51" name="Picture 51" descr="The number of lives lost due to road traffic crashes has remained relatively stable since 2015, with 241 lives lost in 2022. Our target for a 20 per cent decrease in lives lost due to road traffic crashes by 2020 was not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number of lives lost due to road traffic crashes has remained relatively stable since 2015, with 241 lives lost in 2022. Our target for a 20 per cent decrease in lives lost due to road traffic crashes by 2020 was not met."/>
                    <pic:cNvPicPr/>
                  </pic:nvPicPr>
                  <pic:blipFill>
                    <a:blip r:embed="rId34"/>
                    <a:stretch>
                      <a:fillRect/>
                    </a:stretch>
                  </pic:blipFill>
                  <pic:spPr>
                    <a:xfrm>
                      <a:off x="0" y="0"/>
                      <a:ext cx="2905125" cy="1485900"/>
                    </a:xfrm>
                    <a:prstGeom prst="rect">
                      <a:avLst/>
                    </a:prstGeom>
                  </pic:spPr>
                </pic:pic>
              </a:graphicData>
            </a:graphic>
          </wp:inline>
        </w:drawing>
      </w:r>
    </w:p>
    <w:p w14:paraId="202B6B72" w14:textId="2A5EE336" w:rsidR="00617F78" w:rsidRDefault="00617F78" w:rsidP="006E5C33">
      <w:pPr>
        <w:pStyle w:val="Tablefigurenote"/>
      </w:pPr>
      <w:r>
        <w:t>Source: Road Crash Information System</w:t>
      </w:r>
      <w:r>
        <w:rPr>
          <w:rStyle w:val="EndnoteReference"/>
        </w:rPr>
        <w:endnoteReference w:id="41"/>
      </w:r>
    </w:p>
    <w:p w14:paraId="375E04D8" w14:textId="12F24EDD" w:rsidR="00617F78" w:rsidRDefault="00B43A2F" w:rsidP="00B43A2F">
      <w:pPr>
        <w:pStyle w:val="Body"/>
        <w:jc w:val="center"/>
      </w:pPr>
      <w:r>
        <w:rPr>
          <w:noProof/>
        </w:rPr>
        <w:lastRenderedPageBreak/>
        <w:drawing>
          <wp:inline distT="0" distB="0" distL="0" distR="0" wp14:anchorId="4DDD1E7F" wp14:editId="51FD99B5">
            <wp:extent cx="2881222" cy="2339210"/>
            <wp:effectExtent l="0" t="0" r="0" b="4445"/>
            <wp:docPr id="63" name="Picture 63" descr="The death rate due to road traffic crashes has decreased from 5.2 per 100,000 in 2010 to 3.3 per 100,000 in 2018. It is higher for males, though the gap is decreasing due to a decrease in the number of males dying. It is also higher for people living in regional areas, at 5.8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death rate due to road traffic crashes has decreased from 5.2 per 100,000 in 2010 to 3.3 per 100,000 in 2018. It is higher for males, though the gap is decreasing due to a decrease in the number of males dying. It is also higher for people living in regional areas, at 5.8 per 100,000."/>
                    <pic:cNvPicPr/>
                  </pic:nvPicPr>
                  <pic:blipFill>
                    <a:blip r:embed="rId35"/>
                    <a:stretch>
                      <a:fillRect/>
                    </a:stretch>
                  </pic:blipFill>
                  <pic:spPr>
                    <a:xfrm>
                      <a:off x="0" y="0"/>
                      <a:ext cx="2886929" cy="2343843"/>
                    </a:xfrm>
                    <a:prstGeom prst="rect">
                      <a:avLst/>
                    </a:prstGeom>
                  </pic:spPr>
                </pic:pic>
              </a:graphicData>
            </a:graphic>
          </wp:inline>
        </w:drawing>
      </w:r>
      <w:r>
        <w:rPr>
          <w:noProof/>
        </w:rPr>
        <w:drawing>
          <wp:inline distT="0" distB="0" distL="0" distR="0" wp14:anchorId="1892DC62" wp14:editId="050A08DB">
            <wp:extent cx="3191773" cy="1744522"/>
            <wp:effectExtent l="0" t="0" r="8890" b="8255"/>
            <wp:docPr id="68" name="Picture 68" descr="The death rate for injury in children and young people (aged 0-24 years) has decreased over the past 10 years, from 7.7 deaths per 100,000 in 2010 to 3.1 deaths per 100,000 in 2018. It is higher for children and young people living in regional areas, at 4.3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death rate for injury in children and young people (aged 0-24 years) has decreased over the past 10 years, from 7.7 deaths per 100,000 in 2010 to 3.1 deaths per 100,000 in 2018. It is higher for children and young people living in regional areas, at 4.3 per 100,000."/>
                    <pic:cNvPicPr/>
                  </pic:nvPicPr>
                  <pic:blipFill>
                    <a:blip r:embed="rId36"/>
                    <a:stretch>
                      <a:fillRect/>
                    </a:stretch>
                  </pic:blipFill>
                  <pic:spPr>
                    <a:xfrm>
                      <a:off x="0" y="0"/>
                      <a:ext cx="3201934" cy="1750076"/>
                    </a:xfrm>
                    <a:prstGeom prst="rect">
                      <a:avLst/>
                    </a:prstGeom>
                  </pic:spPr>
                </pic:pic>
              </a:graphicData>
            </a:graphic>
          </wp:inline>
        </w:drawing>
      </w:r>
    </w:p>
    <w:p w14:paraId="4395531E" w14:textId="070ADD34" w:rsidR="00617F78" w:rsidRDefault="00617F78" w:rsidP="006E5C33">
      <w:pPr>
        <w:pStyle w:val="Tablefigurenote"/>
      </w:pPr>
      <w:r>
        <w:t>Source</w:t>
      </w:r>
      <w:r w:rsidRPr="00E34A66">
        <w:t>:</w:t>
      </w:r>
      <w:r>
        <w:t xml:space="preserve"> </w:t>
      </w:r>
      <w:r w:rsidR="00192715">
        <w:t>ABS</w:t>
      </w:r>
      <w:r>
        <w:t>, Causes of Death</w:t>
      </w:r>
      <w:r w:rsidR="006871FA">
        <w:fldChar w:fldCharType="begin"/>
      </w:r>
      <w:r w:rsidR="006871FA">
        <w:instrText xml:space="preserve"> NOTEREF _Ref150513562 \f \h </w:instrText>
      </w:r>
      <w:r w:rsidR="006E5C33">
        <w:instrText xml:space="preserve"> \* MERGEFORMAT </w:instrText>
      </w:r>
      <w:r w:rsidR="006871FA">
        <w:fldChar w:fldCharType="separate"/>
      </w:r>
      <w:r w:rsidR="00FB5422" w:rsidRPr="00FB5422">
        <w:rPr>
          <w:rStyle w:val="EndnoteReference"/>
        </w:rPr>
        <w:t>23</w:t>
      </w:r>
      <w:r w:rsidR="006871FA">
        <w:fldChar w:fldCharType="end"/>
      </w:r>
    </w:p>
    <w:p w14:paraId="4404F111" w14:textId="52BA0A1C" w:rsidR="00617F78" w:rsidRDefault="00617F78" w:rsidP="006E5C33">
      <w:pPr>
        <w:pStyle w:val="Bodyaftertablefigure"/>
      </w:pPr>
      <w:r>
        <w:t>Due to consistent reduction in the injury</w:t>
      </w:r>
      <w:r w:rsidR="000A525F">
        <w:t>-</w:t>
      </w:r>
      <w:r>
        <w:t>related death rate for males and regional Victorian</w:t>
      </w:r>
      <w:r w:rsidR="000A525F">
        <w:t>s</w:t>
      </w:r>
      <w:r>
        <w:t xml:space="preserve">, gaps in outcomes between these groups has been decreasing over time. These trends are encouraging as they indicate that our injury prevention and management policies and interventions are reaching the people </w:t>
      </w:r>
      <w:r w:rsidR="000A525F">
        <w:t xml:space="preserve">who are </w:t>
      </w:r>
      <w:r>
        <w:t xml:space="preserve">most </w:t>
      </w:r>
      <w:r w:rsidR="000A525F">
        <w:t xml:space="preserve">at </w:t>
      </w:r>
      <w:r>
        <w:t xml:space="preserve">risk. </w:t>
      </w:r>
    </w:p>
    <w:p w14:paraId="521161E2" w14:textId="3D5DF584" w:rsidR="00617F78" w:rsidRPr="004D6689" w:rsidRDefault="00B43A2F" w:rsidP="001D2F6E">
      <w:pPr>
        <w:pStyle w:val="Body"/>
        <w:jc w:val="center"/>
      </w:pPr>
      <w:r>
        <w:rPr>
          <w:noProof/>
        </w:rPr>
        <w:drawing>
          <wp:inline distT="0" distB="0" distL="0" distR="0" wp14:anchorId="1CAF4F88" wp14:editId="264B99F4">
            <wp:extent cx="2958860" cy="2206485"/>
            <wp:effectExtent l="0" t="0" r="0" b="3810"/>
            <wp:docPr id="74" name="Picture 74" descr="The hospitalisation rate due to falls in people aged over 65 in 2021/22 is 4,500 per 100,000 people, and this has not improved since 2012/13. It is 1.6 times higher in females compared with males, and increases significantly with age, with the highest risk of admission is for people aged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e hospitalisation rate due to falls in people aged over 65 in 2021/22 is 4,500 per 100,000 people, and this has not improved since 2012/13. It is 1.6 times higher in females compared with males, and increases significantly with age, with the highest risk of admission is for people aged 85+. "/>
                    <pic:cNvPicPr/>
                  </pic:nvPicPr>
                  <pic:blipFill>
                    <a:blip r:embed="rId37"/>
                    <a:stretch>
                      <a:fillRect/>
                    </a:stretch>
                  </pic:blipFill>
                  <pic:spPr>
                    <a:xfrm>
                      <a:off x="0" y="0"/>
                      <a:ext cx="2968348" cy="2213561"/>
                    </a:xfrm>
                    <a:prstGeom prst="rect">
                      <a:avLst/>
                    </a:prstGeom>
                  </pic:spPr>
                </pic:pic>
              </a:graphicData>
            </a:graphic>
          </wp:inline>
        </w:drawing>
      </w:r>
    </w:p>
    <w:p w14:paraId="18134734" w14:textId="4C053E04" w:rsidR="00617F78" w:rsidRDefault="00617F78" w:rsidP="006E5C33">
      <w:pPr>
        <w:pStyle w:val="Tablefigurenote"/>
      </w:pPr>
      <w:bookmarkStart w:id="29" w:name="_Ref132367942"/>
      <w:r>
        <w:t>Source: Victorian Admitted Episodes Dataset</w:t>
      </w:r>
      <w:bookmarkStart w:id="30" w:name="_Ref150506096"/>
      <w:r>
        <w:rPr>
          <w:rStyle w:val="EndnoteReference"/>
        </w:rPr>
        <w:endnoteReference w:id="42"/>
      </w:r>
      <w:bookmarkEnd w:id="29"/>
      <w:bookmarkEnd w:id="30"/>
    </w:p>
    <w:p w14:paraId="17907437" w14:textId="428EB011" w:rsidR="00617F78" w:rsidRDefault="00617F78" w:rsidP="008B5E9B">
      <w:pPr>
        <w:pStyle w:val="Heading3"/>
      </w:pPr>
      <w:r>
        <w:t xml:space="preserve">Increase </w:t>
      </w:r>
      <w:r w:rsidR="000A525F">
        <w:t>o</w:t>
      </w:r>
      <w:r>
        <w:t xml:space="preserve">ral </w:t>
      </w:r>
      <w:proofErr w:type="gramStart"/>
      <w:r w:rsidR="000A525F">
        <w:t>h</w:t>
      </w:r>
      <w:r>
        <w:t>ealth</w:t>
      </w:r>
      <w:proofErr w:type="gramEnd"/>
    </w:p>
    <w:p w14:paraId="20D5DF91" w14:textId="380F34B3" w:rsidR="000A525F" w:rsidRDefault="00617F78" w:rsidP="00DA5E7E">
      <w:pPr>
        <w:pStyle w:val="Body"/>
      </w:pPr>
      <w:r>
        <w:t>Good oral health is fundamental to enjoying health and wellbeing. In contrast, poor oral health is both an outcome of and precursor to poor diet, and is often a result of consumption of sugar, lack of good oral hygiene, lack of fluoridated water and lack of access to dental health services</w:t>
      </w:r>
      <w:r w:rsidR="0086703D">
        <w:t>.</w:t>
      </w:r>
      <w:r>
        <w:rPr>
          <w:rStyle w:val="EndnoteReference"/>
        </w:rPr>
        <w:endnoteReference w:id="43"/>
      </w:r>
    </w:p>
    <w:p w14:paraId="3906D26F" w14:textId="6C4A4ECF" w:rsidR="00617F78" w:rsidRDefault="00617F78" w:rsidP="00DA5E7E">
      <w:pPr>
        <w:pStyle w:val="Body"/>
      </w:pPr>
      <w:r>
        <w:lastRenderedPageBreak/>
        <w:t>Tooth decay is the most prevalent disease in Victoria, with 43 per cent of all children aged 5–10 years having signs of tooth decay</w:t>
      </w:r>
      <w:bookmarkStart w:id="31" w:name="_Ref132367790"/>
      <w:r w:rsidR="0086703D">
        <w:t>.</w:t>
      </w:r>
      <w:r>
        <w:rPr>
          <w:rStyle w:val="EndnoteReference"/>
        </w:rPr>
        <w:endnoteReference w:id="44"/>
      </w:r>
      <w:bookmarkEnd w:id="31"/>
      <w:r>
        <w:t xml:space="preserve"> Dental conditions are the highest cause of all potentially preventable hospitalisations in children</w:t>
      </w:r>
      <w:r w:rsidR="000A525F">
        <w:t xml:space="preserve"> aged</w:t>
      </w:r>
      <w:r>
        <w:t xml:space="preserve"> 0–9 years, predominantly because of tooth decay</w:t>
      </w:r>
      <w:r w:rsidR="0086703D">
        <w:t>.</w:t>
      </w:r>
      <w:r>
        <w:fldChar w:fldCharType="begin"/>
      </w:r>
      <w:r>
        <w:instrText>NOTEREF _Ref132367790 \f</w:instrText>
      </w:r>
      <w:r>
        <w:fldChar w:fldCharType="separate"/>
      </w:r>
      <w:r w:rsidR="00FB5422" w:rsidRPr="00FB5422">
        <w:rPr>
          <w:rStyle w:val="EndnoteReference"/>
        </w:rPr>
        <w:t>43</w:t>
      </w:r>
      <w:r>
        <w:fldChar w:fldCharType="end"/>
      </w:r>
    </w:p>
    <w:p w14:paraId="11844EF7" w14:textId="324A3E60" w:rsidR="00617F78" w:rsidRDefault="00B43A2F" w:rsidP="00F25D72">
      <w:pPr>
        <w:pStyle w:val="Body"/>
        <w:jc w:val="center"/>
      </w:pPr>
      <w:r>
        <w:rPr>
          <w:noProof/>
        </w:rPr>
        <w:drawing>
          <wp:inline distT="0" distB="0" distL="0" distR="0" wp14:anchorId="2E256F46" wp14:editId="6A78AB23">
            <wp:extent cx="3027872" cy="1831676"/>
            <wp:effectExtent l="0" t="0" r="1270" b="0"/>
            <wp:docPr id="61" name="Picture 61" descr="The rate of preventable hospitalisations has remained stable since 2010/11, at around 565 per 100,000 people per year (including same day ad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rate of preventable hospitalisations has remained stable since 2010/11, at around 565 per 100,000 people per year (including same day admissions). "/>
                    <pic:cNvPicPr/>
                  </pic:nvPicPr>
                  <pic:blipFill>
                    <a:blip r:embed="rId38"/>
                    <a:stretch>
                      <a:fillRect/>
                    </a:stretch>
                  </pic:blipFill>
                  <pic:spPr>
                    <a:xfrm>
                      <a:off x="0" y="0"/>
                      <a:ext cx="3034294" cy="1835561"/>
                    </a:xfrm>
                    <a:prstGeom prst="rect">
                      <a:avLst/>
                    </a:prstGeom>
                  </pic:spPr>
                </pic:pic>
              </a:graphicData>
            </a:graphic>
          </wp:inline>
        </w:drawing>
      </w:r>
    </w:p>
    <w:p w14:paraId="581C3D7A" w14:textId="14CE46BA" w:rsidR="00617F78" w:rsidRDefault="00617F78" w:rsidP="006E5C33">
      <w:pPr>
        <w:pStyle w:val="Tablefigurenote"/>
      </w:pPr>
      <w:r>
        <w:t>Source: Victorian Admitted Episodes dataset</w:t>
      </w:r>
      <w:r>
        <w:fldChar w:fldCharType="begin"/>
      </w:r>
      <w:r>
        <w:instrText>NOTEREF _Ref132367942 \f</w:instrText>
      </w:r>
      <w:r w:rsidR="006E5C33">
        <w:instrText xml:space="preserve"> \* MERGEFORMAT </w:instrText>
      </w:r>
      <w:r>
        <w:fldChar w:fldCharType="separate"/>
      </w:r>
      <w:r w:rsidR="00FB5422" w:rsidRPr="00FB5422">
        <w:rPr>
          <w:rStyle w:val="EndnoteReference"/>
        </w:rPr>
        <w:t>41</w:t>
      </w:r>
      <w:r>
        <w:fldChar w:fldCharType="end"/>
      </w:r>
    </w:p>
    <w:p w14:paraId="35E37D3B" w14:textId="23C303AF" w:rsidR="00617F78" w:rsidRPr="00DA5E7E" w:rsidRDefault="00617F78" w:rsidP="006E5C33">
      <w:pPr>
        <w:pStyle w:val="Bodyaftertablefigure"/>
      </w:pPr>
      <w:r w:rsidRPr="009B1CDF">
        <w:t xml:space="preserve">There are indications that hospital admissions are higher for </w:t>
      </w:r>
      <w:r>
        <w:t>Aboriginal people living in Victoria</w:t>
      </w:r>
      <w:r w:rsidR="000A525F">
        <w:t>,</w:t>
      </w:r>
      <w:r w:rsidRPr="009B1CDF">
        <w:t xml:space="preserve"> compared with non-</w:t>
      </w:r>
      <w:r>
        <w:t>Aboriginal people</w:t>
      </w:r>
      <w:r w:rsidRPr="009B1CDF">
        <w:t>, and</w:t>
      </w:r>
      <w:r>
        <w:t xml:space="preserve"> higher</w:t>
      </w:r>
      <w:r w:rsidRPr="009B1CDF">
        <w:t xml:space="preserve"> for people living in the most disadvantaged areas</w:t>
      </w:r>
      <w:r w:rsidR="000A525F">
        <w:t>,</w:t>
      </w:r>
      <w:r w:rsidRPr="009B1CDF">
        <w:t xml:space="preserve"> compared with the least disadvantaged</w:t>
      </w:r>
      <w:r>
        <w:t xml:space="preserve">. The data in Victoria is too small to definitively understand the scale of this difference and whether </w:t>
      </w:r>
      <w:r w:rsidR="000A525F">
        <w:t>it</w:t>
      </w:r>
      <w:r>
        <w:t xml:space="preserve"> is getting bigger or smaller over time</w:t>
      </w:r>
      <w:r w:rsidR="000A525F">
        <w:t>.</w:t>
      </w:r>
      <w:r>
        <w:t xml:space="preserve"> </w:t>
      </w:r>
      <w:r w:rsidR="000A525F">
        <w:t>H</w:t>
      </w:r>
      <w:r>
        <w:t>owever</w:t>
      </w:r>
      <w:r w:rsidR="000A525F">
        <w:t>,</w:t>
      </w:r>
      <w:r>
        <w:t xml:space="preserve"> these indications are consistent with national trends.</w:t>
      </w:r>
    </w:p>
    <w:p w14:paraId="01A5FE35" w14:textId="23B03E65" w:rsidR="00617F78" w:rsidRDefault="00617F78" w:rsidP="008B5E9B">
      <w:pPr>
        <w:pStyle w:val="Heading3"/>
      </w:pPr>
      <w:r>
        <w:t xml:space="preserve">Increase sexual and reproductive </w:t>
      </w:r>
      <w:proofErr w:type="gramStart"/>
      <w:r>
        <w:t>health</w:t>
      </w:r>
      <w:proofErr w:type="gramEnd"/>
    </w:p>
    <w:p w14:paraId="082EEE17" w14:textId="15CAAEEB" w:rsidR="00617F78" w:rsidRDefault="00617F78" w:rsidP="003B3B6D">
      <w:pPr>
        <w:pStyle w:val="Heading4"/>
      </w:pPr>
      <w:r>
        <w:t>Pregnancy and contraception</w:t>
      </w:r>
    </w:p>
    <w:p w14:paraId="7A7CD88B" w14:textId="1BDC80CD" w:rsidR="00617F78" w:rsidRDefault="00617F78" w:rsidP="00456D76">
      <w:pPr>
        <w:pStyle w:val="Body"/>
      </w:pPr>
      <w:r w:rsidRPr="004A48BF">
        <w:rPr>
          <w:rFonts w:cs="Arial"/>
        </w:rPr>
        <w:t xml:space="preserve">Motherhood for women under the age of 20 can be a positive and maturing experience. </w:t>
      </w:r>
      <w:r w:rsidRPr="0091015B">
        <w:rPr>
          <w:rFonts w:cs="Arial"/>
        </w:rPr>
        <w:t>However</w:t>
      </w:r>
      <w:r>
        <w:t xml:space="preserve">, mothers who give birth under the age of 20 are more likely to experience socioeconomic </w:t>
      </w:r>
      <w:proofErr w:type="gramStart"/>
      <w:r>
        <w:t>disadvantage, and</w:t>
      </w:r>
      <w:proofErr w:type="gramEnd"/>
      <w:r>
        <w:t xml:space="preserve"> have higher rates of behavioural risk factors that can have a compounding impact on the health and wellbeing of </w:t>
      </w:r>
      <w:r w:rsidR="00411669">
        <w:t xml:space="preserve">both the </w:t>
      </w:r>
      <w:r>
        <w:t xml:space="preserve">mother and child. As described earlier, mothers aged under 20 have a higher risk of </w:t>
      </w:r>
      <w:r w:rsidR="00411669">
        <w:t xml:space="preserve">smoking during pregnancy and </w:t>
      </w:r>
      <w:r>
        <w:t xml:space="preserve">giving birth to babies of low birth weight. </w:t>
      </w:r>
    </w:p>
    <w:p w14:paraId="6D8F1FB5" w14:textId="43D4F792" w:rsidR="00617F78" w:rsidRDefault="00B43A2F" w:rsidP="00B43A2F">
      <w:pPr>
        <w:pStyle w:val="Body"/>
        <w:jc w:val="center"/>
      </w:pPr>
      <w:r>
        <w:rPr>
          <w:noProof/>
        </w:rPr>
        <w:drawing>
          <wp:inline distT="0" distB="0" distL="0" distR="0" wp14:anchorId="4D0CE081" wp14:editId="00BA59C1">
            <wp:extent cx="2967487" cy="2938033"/>
            <wp:effectExtent l="0" t="0" r="4445" b="0"/>
            <wp:docPr id="80" name="Picture 80" descr="The birth rate for young women (aged 15-19) has more than halved since 2011, declining from 2.4 per cent to 1.0 per cent in 2020. &#10;The birth rate for young women (aged 15-19) is higher in those living in the most disadvantaged areas (2.2 per cent). This gap has reduced over time. It is also significantly higher for Aboriginal women, at 8.7 per cent. This gap has reduc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e birth rate for young women (aged 15-19) has more than halved since 2011, declining from 2.4 per cent to 1.0 per cent in 2020. &#10;The birth rate for young women (aged 15-19) is higher in those living in the most disadvantaged areas (2.2 per cent). This gap has reduced over time. It is also significantly higher for Aboriginal women, at 8.7 per cent. This gap has reduced over time."/>
                    <pic:cNvPicPr/>
                  </pic:nvPicPr>
                  <pic:blipFill>
                    <a:blip r:embed="rId39"/>
                    <a:stretch>
                      <a:fillRect/>
                    </a:stretch>
                  </pic:blipFill>
                  <pic:spPr>
                    <a:xfrm>
                      <a:off x="0" y="0"/>
                      <a:ext cx="2975848" cy="2946311"/>
                    </a:xfrm>
                    <a:prstGeom prst="rect">
                      <a:avLst/>
                    </a:prstGeom>
                  </pic:spPr>
                </pic:pic>
              </a:graphicData>
            </a:graphic>
          </wp:inline>
        </w:drawing>
      </w:r>
    </w:p>
    <w:p w14:paraId="4FD6BE58" w14:textId="570A88FF" w:rsidR="00617F78" w:rsidRDefault="00617F78" w:rsidP="006E5C33">
      <w:pPr>
        <w:pStyle w:val="Tablefigurenote"/>
      </w:pPr>
      <w:bookmarkStart w:id="32" w:name="_Ref132368363"/>
      <w:r>
        <w:t>Source: Victorian Perinatal Data Collection</w:t>
      </w:r>
      <w:r w:rsidR="00417D78">
        <w:rPr>
          <w:rStyle w:val="EndnoteReference"/>
        </w:rPr>
        <w:fldChar w:fldCharType="begin"/>
      </w:r>
      <w:r w:rsidR="00417D78">
        <w:rPr>
          <w:rStyle w:val="EndnoteReference"/>
        </w:rPr>
        <w:instrText xml:space="preserve"> NOTEREF _Ref150504284 \f \h </w:instrText>
      </w:r>
      <w:r w:rsidR="006E5C33">
        <w:rPr>
          <w:rStyle w:val="EndnoteReference"/>
        </w:rPr>
        <w:instrText xml:space="preserve"> \* MERGEFORMAT </w:instrText>
      </w:r>
      <w:r w:rsidR="00417D78">
        <w:rPr>
          <w:rStyle w:val="EndnoteReference"/>
        </w:rPr>
      </w:r>
      <w:r w:rsidR="00417D78">
        <w:rPr>
          <w:rStyle w:val="EndnoteReference"/>
        </w:rPr>
        <w:fldChar w:fldCharType="separate"/>
      </w:r>
      <w:r w:rsidR="00FB5422" w:rsidRPr="00FB5422">
        <w:rPr>
          <w:rStyle w:val="EndnoteReference"/>
        </w:rPr>
        <w:t>26</w:t>
      </w:r>
      <w:r w:rsidR="00417D78">
        <w:rPr>
          <w:rStyle w:val="EndnoteReference"/>
        </w:rPr>
        <w:fldChar w:fldCharType="end"/>
      </w:r>
      <w:bookmarkEnd w:id="32"/>
    </w:p>
    <w:p w14:paraId="0F749646" w14:textId="394A2C44" w:rsidR="00617F78" w:rsidRDefault="00617F78" w:rsidP="006E5C33">
      <w:pPr>
        <w:pStyle w:val="Bodyaftertablefigure"/>
      </w:pPr>
      <w:r>
        <w:lastRenderedPageBreak/>
        <w:t>Pleasingly</w:t>
      </w:r>
      <w:r w:rsidR="00411669">
        <w:t>,</w:t>
      </w:r>
      <w:r>
        <w:t xml:space="preserve"> the gaps in outcomes between young women from all backgrounds has reduced over time, indicating our efforts to improve outcomes in groups most at risk have been working. However, given the intersection of this health outcome with other key indicators of health and wellbeing, </w:t>
      </w:r>
      <w:proofErr w:type="gramStart"/>
      <w:r>
        <w:t xml:space="preserve">it is clear </w:t>
      </w:r>
      <w:r w:rsidR="00411669">
        <w:t xml:space="preserve">that </w:t>
      </w:r>
      <w:r>
        <w:t>further</w:t>
      </w:r>
      <w:proofErr w:type="gramEnd"/>
      <w:r>
        <w:t xml:space="preserve"> work is required to reduce inequity in this area. </w:t>
      </w:r>
    </w:p>
    <w:p w14:paraId="0438AF2F" w14:textId="2A1CCAF0" w:rsidR="00617F78" w:rsidRDefault="00617F78" w:rsidP="00690260">
      <w:pPr>
        <w:pStyle w:val="Body"/>
      </w:pPr>
      <w:r>
        <w:t>Condom use remains one of the most effective methods to prevent transmission of sexually transmitted diseases</w:t>
      </w:r>
      <w:r w:rsidR="00411669">
        <w:t>,</w:t>
      </w:r>
      <w:r>
        <w:t xml:space="preserve"> such as HIV, gonorrhoea, </w:t>
      </w:r>
      <w:proofErr w:type="gramStart"/>
      <w:r>
        <w:t>chlamydia</w:t>
      </w:r>
      <w:proofErr w:type="gramEnd"/>
      <w:r>
        <w:t xml:space="preserve"> and human papilloma virus</w:t>
      </w:r>
      <w:r w:rsidR="0086703D">
        <w:t>.</w:t>
      </w:r>
      <w:r>
        <w:rPr>
          <w:rStyle w:val="EndnoteReference"/>
        </w:rPr>
        <w:endnoteReference w:id="45"/>
      </w:r>
      <w:r>
        <w:t xml:space="preserve"> While condoms aren’t the most effective form of contraception, they still play an important role in preventing unplanned pregnancies. The proportion of male and female adolescents who practice safe sex by always using a condom has remained constant at around 25</w:t>
      </w:r>
      <w:r w:rsidR="00411669">
        <w:t xml:space="preserve"> per cent</w:t>
      </w:r>
      <w:r>
        <w:t xml:space="preserve"> from 2014 to 2018</w:t>
      </w:r>
      <w:r w:rsidR="0086703D">
        <w:t>.</w:t>
      </w:r>
      <w:r w:rsidR="001E362A">
        <w:fldChar w:fldCharType="begin"/>
      </w:r>
      <w:r w:rsidR="001E362A">
        <w:instrText xml:space="preserve"> NOTEREF _Ref150505041 \f \h </w:instrText>
      </w:r>
      <w:r w:rsidR="001E362A">
        <w:fldChar w:fldCharType="separate"/>
      </w:r>
      <w:r w:rsidR="00FB5422" w:rsidRPr="00FB5422">
        <w:rPr>
          <w:rStyle w:val="EndnoteReference"/>
        </w:rPr>
        <w:t>37</w:t>
      </w:r>
      <w:r w:rsidR="001E362A">
        <w:fldChar w:fldCharType="end"/>
      </w:r>
    </w:p>
    <w:p w14:paraId="35317E67" w14:textId="410518A2" w:rsidR="00617F78" w:rsidRDefault="00617F78" w:rsidP="00724038">
      <w:pPr>
        <w:pStyle w:val="Heading4"/>
      </w:pPr>
      <w:r w:rsidRPr="00DC7934">
        <w:t xml:space="preserve">Sexually transmitted </w:t>
      </w:r>
      <w:r>
        <w:t>infections</w:t>
      </w:r>
    </w:p>
    <w:p w14:paraId="42C8110A" w14:textId="79219EBF" w:rsidR="00411669" w:rsidRPr="00411669" w:rsidRDefault="00411669" w:rsidP="00411669">
      <w:pPr>
        <w:pStyle w:val="Bodyaftertablefigure"/>
      </w:pPr>
      <w:r>
        <w:t>Consistent decreases over time and decreases in gaps between at risk population groups highlight the impact of sustained and targeted efforts at a state and local level to prevent transmission of HIV and hepatitis C in those most at risk. As both diseases have historically been associated with men who have sex with men and intravenous drug use, infection can come with stigma</w:t>
      </w:r>
      <w:bookmarkStart w:id="33" w:name="_Ref132368919"/>
      <w:r w:rsidR="0086703D">
        <w:t>.</w:t>
      </w:r>
      <w:r w:rsidRPr="005C0EAE">
        <w:rPr>
          <w:rStyle w:val="EndnoteReference"/>
        </w:rPr>
        <w:endnoteReference w:id="46"/>
      </w:r>
      <w:bookmarkEnd w:id="33"/>
      <w:r w:rsidRPr="005C0EAE">
        <w:rPr>
          <w:vertAlign w:val="superscript"/>
        </w:rPr>
        <w:t>,</w:t>
      </w:r>
      <w:r>
        <w:rPr>
          <w:rStyle w:val="EndnoteReference"/>
        </w:rPr>
        <w:endnoteReference w:id="47"/>
      </w:r>
    </w:p>
    <w:p w14:paraId="2C77FC0C" w14:textId="3FF18338" w:rsidR="00411669" w:rsidRDefault="00411669" w:rsidP="00411669">
      <w:pPr>
        <w:pStyle w:val="Bodyaftertablefigure"/>
      </w:pPr>
      <w:r>
        <w:t>Stigma perpetuates the cycle of transmission by making people reluctant to seek support and treatment for the disease</w:t>
      </w:r>
      <w:r w:rsidR="0086703D">
        <w:t>.</w:t>
      </w:r>
      <w:fldSimple w:instr="NOTEREF _Ref132368919 \f \* MERGEFORMAT ">
        <w:r w:rsidR="00FB5422" w:rsidRPr="00FB5422">
          <w:rPr>
            <w:rStyle w:val="EndnoteReference"/>
          </w:rPr>
          <w:t>45</w:t>
        </w:r>
      </w:fldSimple>
      <w:r>
        <w:t xml:space="preserve"> Breaking down the stigma associated with these diseases has been a key component in reducing transmission, and it is essential to continue work to eliminate them from the community. </w:t>
      </w:r>
    </w:p>
    <w:p w14:paraId="2A152862" w14:textId="7FBAF13D" w:rsidR="00617F78" w:rsidRDefault="00B43A2F" w:rsidP="00B43A2F">
      <w:pPr>
        <w:pStyle w:val="Body"/>
        <w:jc w:val="center"/>
      </w:pPr>
      <w:r>
        <w:rPr>
          <w:noProof/>
        </w:rPr>
        <w:drawing>
          <wp:inline distT="0" distB="0" distL="0" distR="0" wp14:anchorId="60FDB73E" wp14:editId="2556B31C">
            <wp:extent cx="2924355" cy="3074505"/>
            <wp:effectExtent l="0" t="0" r="0" b="0"/>
            <wp:docPr id="85" name="Picture 85" descr="The rate of newly acquired HIV infections has consistently declined from 3.1 per 100,000 people in 2011 to 0.6 per 100,000 people in 2021. Our target to virtually eliminate HIV transmission by 2025 is on track. &#10;The rate of people diagnosed with HIV is higher for males, however the gap between males and females is decreasing due to decreases in cases in males. It is higher in people aged 25-44, higher in metropolitan areas compared to regional areas, and is 1.6 times higher in Aborigin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rate of newly acquired HIV infections has consistently declined from 3.1 per 100,000 people in 2011 to 0.6 per 100,000 people in 2021. Our target to virtually eliminate HIV transmission by 2025 is on track. &#10;The rate of people diagnosed with HIV is higher for males, however the gap between males and females is decreasing due to decreases in cases in males. It is higher in people aged 25-44, higher in metropolitan areas compared to regional areas, and is 1.6 times higher in Aboriginal people."/>
                    <pic:cNvPicPr/>
                  </pic:nvPicPr>
                  <pic:blipFill>
                    <a:blip r:embed="rId40"/>
                    <a:stretch>
                      <a:fillRect/>
                    </a:stretch>
                  </pic:blipFill>
                  <pic:spPr>
                    <a:xfrm>
                      <a:off x="0" y="0"/>
                      <a:ext cx="2931041" cy="3081534"/>
                    </a:xfrm>
                    <a:prstGeom prst="rect">
                      <a:avLst/>
                    </a:prstGeom>
                  </pic:spPr>
                </pic:pic>
              </a:graphicData>
            </a:graphic>
          </wp:inline>
        </w:drawing>
      </w:r>
    </w:p>
    <w:p w14:paraId="17F8AD9A" w14:textId="3E8044B0" w:rsidR="00617F78" w:rsidRDefault="00617F78" w:rsidP="006E5C33">
      <w:pPr>
        <w:pStyle w:val="Tablefigurenote"/>
      </w:pPr>
      <w:bookmarkStart w:id="34" w:name="_Ref132368827"/>
      <w:r>
        <w:t>Source: Victorian Public Health Events Surveillance System</w:t>
      </w:r>
      <w:bookmarkStart w:id="35" w:name="_Ref150505097"/>
      <w:r>
        <w:rPr>
          <w:rStyle w:val="EndnoteReference"/>
        </w:rPr>
        <w:endnoteReference w:id="48"/>
      </w:r>
      <w:bookmarkEnd w:id="34"/>
      <w:bookmarkEnd w:id="35"/>
    </w:p>
    <w:p w14:paraId="4986B007" w14:textId="2416B00D" w:rsidR="00617F78" w:rsidRPr="0046115D" w:rsidRDefault="00617F78" w:rsidP="006E5C33">
      <w:pPr>
        <w:pStyle w:val="Bodyaftertablefigure"/>
      </w:pPr>
      <w:r>
        <w:t>T</w:t>
      </w:r>
      <w:r w:rsidRPr="009A5BDB">
        <w:t>here were 19 cases of HIV among the Aboriginal population between 2016 and 2021. This represents a rate 1.6 times higher than</w:t>
      </w:r>
      <w:r w:rsidR="00411669">
        <w:t xml:space="preserve"> for</w:t>
      </w:r>
      <w:r w:rsidRPr="009A5BDB">
        <w:t xml:space="preserve"> the non-Aboriginal population</w:t>
      </w:r>
      <w:r w:rsidR="0086703D">
        <w:t>.</w:t>
      </w:r>
      <w:r w:rsidRPr="009A5BDB">
        <w:rPr>
          <w:rStyle w:val="EndnoteReference"/>
        </w:rPr>
        <w:endnoteReference w:id="49"/>
      </w:r>
    </w:p>
    <w:p w14:paraId="1E92E271" w14:textId="20812D1F" w:rsidR="00617F78" w:rsidRDefault="00B43A2F" w:rsidP="00912131">
      <w:pPr>
        <w:pStyle w:val="Body"/>
        <w:jc w:val="center"/>
      </w:pPr>
      <w:r>
        <w:rPr>
          <w:noProof/>
        </w:rPr>
        <w:lastRenderedPageBreak/>
        <w:drawing>
          <wp:inline distT="0" distB="0" distL="0" distR="0" wp14:anchorId="1E2C1043" wp14:editId="3B5755BE">
            <wp:extent cx="2958860" cy="2206485"/>
            <wp:effectExtent l="0" t="0" r="0" b="3810"/>
            <wp:docPr id="90" name="Picture 90" descr="The notification rate of hepatitis C has steadily decreased from 3.1 per 100,000 people in 2011 to 0.5 per 100,000 people in 2021. It is higher for males, people living in metropolitan areas and people aged 15-44. The gap between these groups is reduc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e notification rate of hepatitis C has steadily decreased from 3.1 per 100,000 people in 2011 to 0.5 per 100,000 people in 2021. It is higher for males, people living in metropolitan areas and people aged 15-44. The gap between these groups is reducing over time. "/>
                    <pic:cNvPicPr/>
                  </pic:nvPicPr>
                  <pic:blipFill>
                    <a:blip r:embed="rId41"/>
                    <a:stretch>
                      <a:fillRect/>
                    </a:stretch>
                  </pic:blipFill>
                  <pic:spPr>
                    <a:xfrm>
                      <a:off x="0" y="0"/>
                      <a:ext cx="2966721" cy="2212347"/>
                    </a:xfrm>
                    <a:prstGeom prst="rect">
                      <a:avLst/>
                    </a:prstGeom>
                  </pic:spPr>
                </pic:pic>
              </a:graphicData>
            </a:graphic>
          </wp:inline>
        </w:drawing>
      </w:r>
    </w:p>
    <w:p w14:paraId="275125D2" w14:textId="57D203B2" w:rsidR="00617F78" w:rsidRDefault="00617F78" w:rsidP="006E5C33">
      <w:pPr>
        <w:pStyle w:val="Tablefigurenote"/>
      </w:pPr>
      <w:r>
        <w:t>Source: Victorian Public Health Events Surveillance System</w:t>
      </w:r>
      <w:r w:rsidR="009463F7">
        <w:fldChar w:fldCharType="begin"/>
      </w:r>
      <w:r w:rsidR="009463F7">
        <w:instrText xml:space="preserve"> NOTEREF _Ref150505097 \f \h </w:instrText>
      </w:r>
      <w:r w:rsidR="006E5C33">
        <w:instrText xml:space="preserve"> \* MERGEFORMAT </w:instrText>
      </w:r>
      <w:r w:rsidR="009463F7">
        <w:fldChar w:fldCharType="separate"/>
      </w:r>
      <w:r w:rsidR="00FB5422" w:rsidRPr="00FB5422">
        <w:rPr>
          <w:rStyle w:val="EndnoteReference"/>
        </w:rPr>
        <w:t>47</w:t>
      </w:r>
      <w:r w:rsidR="009463F7">
        <w:fldChar w:fldCharType="end"/>
      </w:r>
    </w:p>
    <w:p w14:paraId="4094FBC8" w14:textId="1313B432" w:rsidR="00617F78" w:rsidRDefault="00617F78" w:rsidP="00BB758E">
      <w:pPr>
        <w:pStyle w:val="Body"/>
      </w:pPr>
      <w:r>
        <w:t>The notification rate for gonorrhoea has been consistently increasing, from 30.1 per 100,000 in 2011 to 139.6 per 100,000 people in 2019</w:t>
      </w:r>
      <w:r w:rsidR="0086703D">
        <w:t>.</w:t>
      </w:r>
      <w:r w:rsidRPr="00550BE7">
        <w:fldChar w:fldCharType="begin"/>
      </w:r>
      <w:r w:rsidRPr="00550BE7">
        <w:instrText>NOTEREF _Ref132368827 \f</w:instrText>
      </w:r>
      <w:r w:rsidR="00BD6FD6" w:rsidRPr="00550BE7">
        <w:instrText xml:space="preserve"> \* MERGEFORMAT </w:instrText>
      </w:r>
      <w:r w:rsidRPr="00550BE7">
        <w:fldChar w:fldCharType="separate"/>
      </w:r>
      <w:r w:rsidR="00FB5422" w:rsidRPr="00FB5422">
        <w:rPr>
          <w:rStyle w:val="EndnoteReference"/>
        </w:rPr>
        <w:t>47</w:t>
      </w:r>
      <w:r w:rsidRPr="00550BE7">
        <w:fldChar w:fldCharType="end"/>
      </w:r>
      <w:r>
        <w:t xml:space="preserve"> Rates of gonorrhoea improved marginally in 2020, likely due</w:t>
      </w:r>
      <w:r w:rsidR="00411669">
        <w:t xml:space="preserve"> to</w:t>
      </w:r>
      <w:r>
        <w:t xml:space="preserve"> reduced socialisation and testing throughout the COVID-19 pandemic. However, notifications rose again in 2021, suggesting a need to further promote safer sex practices in people most</w:t>
      </w:r>
      <w:r w:rsidR="00411669">
        <w:t xml:space="preserve"> at</w:t>
      </w:r>
      <w:r>
        <w:t xml:space="preserve"> risk. </w:t>
      </w:r>
    </w:p>
    <w:tbl>
      <w:tblPr>
        <w:tblStyle w:val="TableGrid"/>
        <w:tblW w:w="0" w:type="auto"/>
        <w:tblLook w:val="04A0" w:firstRow="1" w:lastRow="0" w:firstColumn="1" w:lastColumn="0" w:noHBand="0" w:noVBand="1"/>
      </w:tblPr>
      <w:tblGrid>
        <w:gridCol w:w="9288"/>
      </w:tblGrid>
      <w:tr w:rsidR="006E5C33" w14:paraId="1F159EA0" w14:textId="77777777">
        <w:tc>
          <w:tcPr>
            <w:tcW w:w="9288" w:type="dxa"/>
          </w:tcPr>
          <w:p w14:paraId="13442D45" w14:textId="1E2AFE9D" w:rsidR="00001428" w:rsidRPr="004D7176" w:rsidRDefault="00001428">
            <w:pPr>
              <w:pStyle w:val="Body"/>
              <w:rPr>
                <w:b/>
                <w:bCs/>
              </w:rPr>
            </w:pPr>
            <w:r w:rsidRPr="004E0652">
              <w:rPr>
                <w:b/>
                <w:bCs/>
              </w:rPr>
              <w:t>Infection rates</w:t>
            </w:r>
            <w:r w:rsidR="00D62C82">
              <w:rPr>
                <w:b/>
                <w:bCs/>
              </w:rPr>
              <w:t xml:space="preserve"> </w:t>
            </w:r>
            <w:r w:rsidR="004E0652">
              <w:rPr>
                <w:b/>
                <w:bCs/>
              </w:rPr>
              <w:t>in Aboriginal communities</w:t>
            </w:r>
          </w:p>
          <w:p w14:paraId="76340F4A" w14:textId="05F7ECCD" w:rsidR="006E5C33" w:rsidRDefault="006E5C33">
            <w:pPr>
              <w:pStyle w:val="Body"/>
            </w:pPr>
            <w:r w:rsidRPr="7F136D53">
              <w:t xml:space="preserve">For many reasons that involve a complex interplay of cultural and social determinants of health, Aboriginal people in Victoria continue to experience poorer </w:t>
            </w:r>
            <w:r>
              <w:t>blood-borne virus</w:t>
            </w:r>
            <w:r w:rsidRPr="7F136D53">
              <w:t xml:space="preserve"> and </w:t>
            </w:r>
            <w:r>
              <w:t>sexually transmitted infection</w:t>
            </w:r>
            <w:r w:rsidRPr="7F136D53">
              <w:t xml:space="preserve"> health outcomes than non-Aboriginal Victorians.</w:t>
            </w:r>
            <w:r>
              <w:t xml:space="preserve"> </w:t>
            </w:r>
            <w:r w:rsidRPr="7F136D53">
              <w:t xml:space="preserve">Gonorrhoea infection was over 2.5 times higher among the Aboriginal population than </w:t>
            </w:r>
            <w:r w:rsidR="00411669">
              <w:t xml:space="preserve">for </w:t>
            </w:r>
            <w:r w:rsidRPr="7F136D53">
              <w:t>the non</w:t>
            </w:r>
            <w:r>
              <w:t>-</w:t>
            </w:r>
            <w:r w:rsidRPr="7F136D53">
              <w:t>Aboriginal population in 2021.</w:t>
            </w:r>
          </w:p>
          <w:p w14:paraId="463B8836" w14:textId="611F0373" w:rsidR="006E5C33" w:rsidRDefault="006E5C33">
            <w:pPr>
              <w:pStyle w:val="Body"/>
            </w:pPr>
            <w:r>
              <w:t xml:space="preserve">In addition, rates of syphilis infection </w:t>
            </w:r>
            <w:r w:rsidR="00411669">
              <w:t>are</w:t>
            </w:r>
            <w:r>
              <w:t xml:space="preserve"> a growing concern. The rates of infectious syphilis in Aboriginal Victorians increased by 85</w:t>
            </w:r>
            <w:r w:rsidR="00411669">
              <w:t xml:space="preserve"> per cent</w:t>
            </w:r>
            <w:r>
              <w:t xml:space="preserve"> between 2016 and 2019. From 2020 to 2021, rates of infection increased by 96</w:t>
            </w:r>
            <w:r w:rsidR="00411669">
              <w:t xml:space="preserve"> per cent</w:t>
            </w:r>
            <w:r>
              <w:t>. The rate of infectious syphilis among the Aboriginal population was 4.5 times higher than the non-Aboriginal population in 2021.</w:t>
            </w:r>
          </w:p>
          <w:p w14:paraId="74E5630B" w14:textId="6916EC16" w:rsidR="006E5C33" w:rsidRPr="00B403B0" w:rsidRDefault="006E5C33">
            <w:pPr>
              <w:pStyle w:val="FootnoteText"/>
            </w:pPr>
            <w:r w:rsidRPr="009A5BDB">
              <w:t xml:space="preserve">Source: Victorian Department of Health </w:t>
            </w:r>
            <w:r w:rsidR="00411669">
              <w:t>(</w:t>
            </w:r>
            <w:r w:rsidRPr="009A5BDB">
              <w:t>2022</w:t>
            </w:r>
            <w:r w:rsidR="00411669">
              <w:t>)</w:t>
            </w:r>
            <w:r w:rsidRPr="009A5BDB">
              <w:t xml:space="preserve">, </w:t>
            </w:r>
            <w:hyperlink r:id="rId42" w:history="1">
              <w:r w:rsidRPr="009A5BDB">
                <w:rPr>
                  <w:rStyle w:val="Hyperlink"/>
                  <w:i/>
                  <w:iCs/>
                </w:rPr>
                <w:t>Victorian Aboriginal sexual and reproductive health plan 2022</w:t>
              </w:r>
              <w:r w:rsidR="00411669">
                <w:rPr>
                  <w:rStyle w:val="Hyperlink"/>
                  <w:i/>
                  <w:iCs/>
                </w:rPr>
                <w:t>–</w:t>
              </w:r>
              <w:r w:rsidRPr="009A5BDB">
                <w:rPr>
                  <w:rStyle w:val="Hyperlink"/>
                  <w:i/>
                  <w:iCs/>
                </w:rPr>
                <w:t>30</w:t>
              </w:r>
              <w:r w:rsidRPr="009A5BDB">
                <w:rPr>
                  <w:rStyle w:val="Hyperlink"/>
                </w:rPr>
                <w:t>,</w:t>
              </w:r>
            </w:hyperlink>
            <w:r w:rsidRPr="009A5BDB">
              <w:t xml:space="preserve"> </w:t>
            </w:r>
            <w:r w:rsidR="00411669">
              <w:t>&lt;</w:t>
            </w:r>
            <w:r w:rsidR="00411669" w:rsidRPr="00411669">
              <w:t>https://www.health.vic.gov.au/victorian-sexual-reproductive-health-viral-hepatitis-strategy-2022-30</w:t>
            </w:r>
            <w:r w:rsidR="00411669">
              <w:t>&gt;, accessed 13 November 2023</w:t>
            </w:r>
            <w:r w:rsidRPr="009A5BDB">
              <w:t>.</w:t>
            </w:r>
          </w:p>
        </w:tc>
      </w:tr>
    </w:tbl>
    <w:p w14:paraId="42CD9A78" w14:textId="38244CDC" w:rsidR="00617F78" w:rsidRDefault="003A65A2" w:rsidP="008B5E9B">
      <w:pPr>
        <w:pStyle w:val="Heading2"/>
      </w:pPr>
      <w:bookmarkStart w:id="36" w:name="_Toc151976145"/>
      <w:r>
        <w:t xml:space="preserve">Outcome </w:t>
      </w:r>
      <w:r w:rsidR="00617F78">
        <w:t>1.2</w:t>
      </w:r>
      <w:r>
        <w:t>:</w:t>
      </w:r>
      <w:r w:rsidR="00617F78">
        <w:t xml:space="preserve"> Victorians have good mental </w:t>
      </w:r>
      <w:proofErr w:type="gramStart"/>
      <w:r w:rsidR="00617F78">
        <w:t>health</w:t>
      </w:r>
      <w:bookmarkEnd w:id="36"/>
      <w:proofErr w:type="gramEnd"/>
    </w:p>
    <w:p w14:paraId="0877FE92" w14:textId="3A1017E2" w:rsidR="00070544" w:rsidRDefault="00617F78" w:rsidP="00E823FA">
      <w:pPr>
        <w:pStyle w:val="Body"/>
        <w:spacing w:line="276" w:lineRule="auto"/>
      </w:pPr>
      <w:r>
        <w:t xml:space="preserve">Maintaining high levels of mental wellbeing has a wide range of benefits to health, </w:t>
      </w:r>
      <w:r w:rsidR="00070544">
        <w:t>including:</w:t>
      </w:r>
    </w:p>
    <w:p w14:paraId="6540ED19" w14:textId="40EF5372" w:rsidR="00070544" w:rsidRDefault="00617F78" w:rsidP="0059098D">
      <w:pPr>
        <w:pStyle w:val="Bullet1"/>
      </w:pPr>
      <w:r>
        <w:t>protecting against the risk of psychological distress</w:t>
      </w:r>
    </w:p>
    <w:p w14:paraId="0D2E082C" w14:textId="79E1653D" w:rsidR="00070544" w:rsidRDefault="00617F78" w:rsidP="0059098D">
      <w:pPr>
        <w:pStyle w:val="Bullet1"/>
      </w:pPr>
      <w:r>
        <w:t>improving recovery from mental health conditions</w:t>
      </w:r>
    </w:p>
    <w:p w14:paraId="2F964FC6" w14:textId="77777777" w:rsidR="00070544" w:rsidRDefault="00617F78" w:rsidP="0059098D">
      <w:pPr>
        <w:pStyle w:val="Bullet1"/>
      </w:pPr>
      <w:r>
        <w:t>improving physical health</w:t>
      </w:r>
      <w:bookmarkStart w:id="37" w:name="_Ref132369219"/>
    </w:p>
    <w:p w14:paraId="5BDEB7BE" w14:textId="066C2D9B" w:rsidR="00617F78" w:rsidRDefault="00070544" w:rsidP="0059098D">
      <w:pPr>
        <w:pStyle w:val="Bullet1"/>
      </w:pPr>
      <w:r>
        <w:t xml:space="preserve">increasing </w:t>
      </w:r>
      <w:r w:rsidR="00617F78">
        <w:t>participation in social and economic activities</w:t>
      </w:r>
      <w:r w:rsidR="0086703D">
        <w:t>.</w:t>
      </w:r>
      <w:r w:rsidR="00617F78">
        <w:rPr>
          <w:rStyle w:val="EndnoteReference"/>
        </w:rPr>
        <w:endnoteReference w:id="50"/>
      </w:r>
      <w:bookmarkEnd w:id="37"/>
    </w:p>
    <w:p w14:paraId="0A3BE35F" w14:textId="56E7A8DF" w:rsidR="00617F78" w:rsidRDefault="00617F78" w:rsidP="0059098D">
      <w:pPr>
        <w:pStyle w:val="Bodyafterbullets"/>
      </w:pPr>
      <w:r>
        <w:t xml:space="preserve">We are all likely to experience psychological distress in some form over the course of our lives. </w:t>
      </w:r>
      <w:r w:rsidR="00070544">
        <w:t>However</w:t>
      </w:r>
      <w:r>
        <w:t xml:space="preserve">, some people are affected more significantly than others, and our experience of psychological distress will vary across different stages of our lives. </w:t>
      </w:r>
    </w:p>
    <w:p w14:paraId="368E63D7" w14:textId="3586AD16" w:rsidR="00617F78" w:rsidRDefault="00617F78" w:rsidP="00E823FA">
      <w:pPr>
        <w:pStyle w:val="Body"/>
        <w:spacing w:line="276" w:lineRule="auto"/>
      </w:pPr>
      <w:r>
        <w:t>The drivers of psychological distress are complex and are intrinsically linked with other social and behavioural determinants of health outcomes, such as experiences of racism or discrimination, socioeconomic status, employment, obesity and smoking</w:t>
      </w:r>
      <w:r w:rsidR="0086703D">
        <w:t>.</w:t>
      </w:r>
      <w:r>
        <w:rPr>
          <w:rStyle w:val="EndnoteReference"/>
        </w:rPr>
        <w:endnoteReference w:id="51"/>
      </w:r>
      <w:r w:rsidRPr="00F85625">
        <w:rPr>
          <w:vertAlign w:val="superscript"/>
        </w:rPr>
        <w:t>,</w:t>
      </w:r>
      <w:r>
        <w:rPr>
          <w:rStyle w:val="EndnoteReference"/>
        </w:rPr>
        <w:endnoteReference w:id="52"/>
      </w:r>
      <w:r>
        <w:t xml:space="preserve"> Recent stressors</w:t>
      </w:r>
      <w:r w:rsidR="00070544">
        <w:t>,</w:t>
      </w:r>
      <w:r>
        <w:t xml:space="preserve"> such as the COVID-19 pandemic, the greater frequency and severity of natural disasters, and ensuing social </w:t>
      </w:r>
      <w:r>
        <w:lastRenderedPageBreak/>
        <w:t>and economic conditions</w:t>
      </w:r>
      <w:r w:rsidR="00070544">
        <w:t>,</w:t>
      </w:r>
      <w:r>
        <w:t xml:space="preserve"> have led to an increase in the number of people experiencing poor mental health and wellbeing. </w:t>
      </w:r>
    </w:p>
    <w:p w14:paraId="1619C275" w14:textId="4248CFD2" w:rsidR="006E5C33" w:rsidRDefault="00617F78" w:rsidP="006E5C33">
      <w:pPr>
        <w:pStyle w:val="Body"/>
        <w:spacing w:line="276" w:lineRule="auto"/>
      </w:pPr>
      <w:r>
        <w:t>Adopting a preventative approach to improving wellbeing will put the focus on addressing the drivers of poor mental health and wellbeing, as well as identifying opportunities to improve other health and wellbeing outcomes more broadly</w:t>
      </w:r>
      <w:r w:rsidR="0086703D">
        <w:t>.</w:t>
      </w:r>
      <w:r>
        <w:fldChar w:fldCharType="begin"/>
      </w:r>
      <w:r>
        <w:instrText>NOTEREF _Ref132369219 \f</w:instrText>
      </w:r>
      <w:r>
        <w:fldChar w:fldCharType="separate"/>
      </w:r>
      <w:r w:rsidR="00FB5422" w:rsidRPr="00FB5422">
        <w:rPr>
          <w:rStyle w:val="EndnoteReference"/>
        </w:rPr>
        <w:t>49</w:t>
      </w:r>
      <w:r>
        <w:fldChar w:fldCharType="end"/>
      </w:r>
    </w:p>
    <w:tbl>
      <w:tblPr>
        <w:tblStyle w:val="TableGrid"/>
        <w:tblW w:w="0" w:type="auto"/>
        <w:tblLook w:val="04A0" w:firstRow="1" w:lastRow="0" w:firstColumn="1" w:lastColumn="0" w:noHBand="0" w:noVBand="1"/>
      </w:tblPr>
      <w:tblGrid>
        <w:gridCol w:w="9288"/>
      </w:tblGrid>
      <w:tr w:rsidR="006E5C33" w14:paraId="33C80898" w14:textId="77777777">
        <w:tc>
          <w:tcPr>
            <w:tcW w:w="9288" w:type="dxa"/>
          </w:tcPr>
          <w:p w14:paraId="7545AEC9" w14:textId="77777777" w:rsidR="006E5C33" w:rsidRPr="00174964" w:rsidRDefault="006E5C33">
            <w:pPr>
              <w:rPr>
                <w:b/>
                <w:bCs/>
              </w:rPr>
            </w:pPr>
            <w:r w:rsidRPr="00174964">
              <w:rPr>
                <w:b/>
                <w:bCs/>
              </w:rPr>
              <w:t>Mental health and wellbeing outcomes and performance framework</w:t>
            </w:r>
          </w:p>
          <w:p w14:paraId="0D4F3C46" w14:textId="7941BC5F" w:rsidR="006E5C33" w:rsidRDefault="006E5C33">
            <w:r>
              <w:t xml:space="preserve">In response to recommendations from the Royal Commission into Victoria’s Mental Health System, the Victorian Government has developed a </w:t>
            </w:r>
            <w:r w:rsidRPr="00AB0A99">
              <w:rPr>
                <w:i/>
                <w:iCs/>
              </w:rPr>
              <w:t>Mental health and wellbeing outcomes and performance framework</w:t>
            </w:r>
            <w:r>
              <w:rPr>
                <w:i/>
                <w:iCs/>
              </w:rPr>
              <w:t xml:space="preserve"> </w:t>
            </w:r>
            <w:r>
              <w:t>with significant input from people with</w:t>
            </w:r>
            <w:r w:rsidRPr="00F73C36">
              <w:t xml:space="preserve"> lived experience of </w:t>
            </w:r>
            <w:r>
              <w:t xml:space="preserve">the impact of </w:t>
            </w:r>
            <w:r w:rsidRPr="00F73C36">
              <w:t>poor mental health and wellbeing.</w:t>
            </w:r>
            <w:r>
              <w:t xml:space="preserve"> </w:t>
            </w:r>
            <w:r w:rsidRPr="00A37801">
              <w:t>Th</w:t>
            </w:r>
            <w:r>
              <w:t>is framework</w:t>
            </w:r>
            <w:r w:rsidRPr="00A37801">
              <w:t xml:space="preserve"> is aligned to the </w:t>
            </w:r>
            <w:proofErr w:type="gramStart"/>
            <w:r>
              <w:t>outcomes</w:t>
            </w:r>
            <w:proofErr w:type="gramEnd"/>
            <w:r>
              <w:t xml:space="preserve"> framework where relevant, but</w:t>
            </w:r>
            <w:r w:rsidRPr="00A37801">
              <w:t xml:space="preserve"> </w:t>
            </w:r>
            <w:r>
              <w:t xml:space="preserve">includes a more expansive range of measures </w:t>
            </w:r>
            <w:r w:rsidR="00070544">
              <w:t xml:space="preserve">that are </w:t>
            </w:r>
            <w:r>
              <w:t>specific to mental health and wellbeing outcomes</w:t>
            </w:r>
            <w:r w:rsidR="00070544">
              <w:t>. It also</w:t>
            </w:r>
            <w:r>
              <w:t xml:space="preserve"> measur</w:t>
            </w:r>
            <w:r w:rsidR="00070544">
              <w:t>es</w:t>
            </w:r>
            <w:r w:rsidRPr="00A37801">
              <w:t xml:space="preserve"> how mental health services, </w:t>
            </w:r>
            <w:proofErr w:type="gramStart"/>
            <w:r w:rsidRPr="00A37801">
              <w:t>workforces</w:t>
            </w:r>
            <w:proofErr w:type="gramEnd"/>
            <w:r w:rsidRPr="00A37801">
              <w:t xml:space="preserve"> and the syste</w:t>
            </w:r>
            <w:r>
              <w:t>m support improvements in outcomes.</w:t>
            </w:r>
          </w:p>
        </w:tc>
      </w:tr>
    </w:tbl>
    <w:p w14:paraId="2DA221AB" w14:textId="63A560B9" w:rsidR="00617F78" w:rsidRDefault="00617F78" w:rsidP="008B5E9B">
      <w:pPr>
        <w:pStyle w:val="Heading3"/>
      </w:pPr>
      <w:r>
        <w:t xml:space="preserve">Increase mental </w:t>
      </w:r>
      <w:proofErr w:type="gramStart"/>
      <w:r>
        <w:t>wellbeing</w:t>
      </w:r>
      <w:proofErr w:type="gramEnd"/>
    </w:p>
    <w:p w14:paraId="0C07C6CA" w14:textId="033FF281" w:rsidR="00617F78" w:rsidRDefault="00617F78" w:rsidP="001A3FC1">
      <w:pPr>
        <w:pStyle w:val="Body"/>
      </w:pPr>
      <w:bookmarkStart w:id="38" w:name="_Ref133932092"/>
      <w:r>
        <w:t xml:space="preserve">Experiencing persistent, high levels of psychological distress contributes to lower levels of life satisfaction and can having lasting impacts on physical health. </w:t>
      </w:r>
      <w:r w:rsidRPr="00335702">
        <w:rPr>
          <w:rFonts w:cs="Arial"/>
          <w:color w:val="000000" w:themeColor="text1"/>
        </w:rPr>
        <w:t xml:space="preserve">People who experience trauma, discrimination, </w:t>
      </w:r>
      <w:proofErr w:type="gramStart"/>
      <w:r w:rsidRPr="00335702">
        <w:rPr>
          <w:rFonts w:cs="Arial"/>
          <w:color w:val="000000" w:themeColor="text1"/>
        </w:rPr>
        <w:t>poverty</w:t>
      </w:r>
      <w:proofErr w:type="gramEnd"/>
      <w:r w:rsidRPr="00335702">
        <w:rPr>
          <w:rFonts w:cs="Arial"/>
          <w:color w:val="000000" w:themeColor="text1"/>
        </w:rPr>
        <w:t xml:space="preserve"> or </w:t>
      </w:r>
      <w:r w:rsidRPr="00C17642">
        <w:rPr>
          <w:rFonts w:cs="Arial"/>
          <w:color w:val="000000" w:themeColor="text1"/>
        </w:rPr>
        <w:t>multiple forms</w:t>
      </w:r>
      <w:r w:rsidRPr="00335702">
        <w:rPr>
          <w:rFonts w:cs="Arial"/>
          <w:color w:val="000000" w:themeColor="text1"/>
        </w:rPr>
        <w:t xml:space="preserve"> of exclusion are at greater risk of mental distress</w:t>
      </w:r>
      <w:bookmarkEnd w:id="38"/>
      <w:r w:rsidRPr="00B7741F">
        <w:t xml:space="preserve">. </w:t>
      </w:r>
    </w:p>
    <w:p w14:paraId="40C30289" w14:textId="0F2A7D84" w:rsidR="00617F78" w:rsidRDefault="00B43A2F" w:rsidP="00DF0F59">
      <w:pPr>
        <w:pStyle w:val="Body"/>
        <w:jc w:val="center"/>
      </w:pPr>
      <w:r>
        <w:rPr>
          <w:noProof/>
        </w:rPr>
        <w:drawing>
          <wp:inline distT="0" distB="0" distL="0" distR="0" wp14:anchorId="1563E2C3" wp14:editId="7F037CE2">
            <wp:extent cx="3260785" cy="2433542"/>
            <wp:effectExtent l="0" t="0" r="0" b="5080"/>
            <wp:docPr id="93" name="Picture 93" descr="The proportion of adults who report high or very high levels of psychological distress remained stable between 2015 and 2019, at around 18 per cent. It increased significantly from 18 per cent in 2019 to 23.4 per cent in 2020. It is higher for Aboriginal people compared with non-Aboriginal people, and this gap has been increas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e proportion of adults who report high or very high levels of psychological distress remained stable between 2015 and 2019, at around 18 per cent. It increased significantly from 18 per cent in 2019 to 23.4 per cent in 2020. It is higher for Aboriginal people compared with non-Aboriginal people, and this gap has been increasing over time."/>
                    <pic:cNvPicPr/>
                  </pic:nvPicPr>
                  <pic:blipFill>
                    <a:blip r:embed="rId43"/>
                    <a:stretch>
                      <a:fillRect/>
                    </a:stretch>
                  </pic:blipFill>
                  <pic:spPr>
                    <a:xfrm>
                      <a:off x="0" y="0"/>
                      <a:ext cx="3267531" cy="2438576"/>
                    </a:xfrm>
                    <a:prstGeom prst="rect">
                      <a:avLst/>
                    </a:prstGeom>
                  </pic:spPr>
                </pic:pic>
              </a:graphicData>
            </a:graphic>
          </wp:inline>
        </w:drawing>
      </w:r>
    </w:p>
    <w:p w14:paraId="607CA0DB" w14:textId="158DAE60" w:rsidR="00617F78" w:rsidRDefault="00617F78" w:rsidP="006E5C33">
      <w:pPr>
        <w:pStyle w:val="Tablefigurenote"/>
      </w:pPr>
      <w:bookmarkStart w:id="39" w:name="_Ref132369378"/>
      <w:r>
        <w:t>Source: Victorian Population Health Survey</w:t>
      </w:r>
      <w:r w:rsidR="00275DF8">
        <w:fldChar w:fldCharType="begin"/>
      </w:r>
      <w:r w:rsidR="00275DF8">
        <w:instrText xml:space="preserve"> NOTEREF _Ref150505259 \f \h </w:instrText>
      </w:r>
      <w:r w:rsidR="006E5C33">
        <w:instrText xml:space="preserve"> \* MERGEFORMAT </w:instrText>
      </w:r>
      <w:r w:rsidR="00275DF8">
        <w:fldChar w:fldCharType="separate"/>
      </w:r>
      <w:r w:rsidR="001400D6" w:rsidRPr="001400D6">
        <w:rPr>
          <w:rStyle w:val="EndnoteReference"/>
        </w:rPr>
        <w:t>35</w:t>
      </w:r>
      <w:r w:rsidR="00275DF8">
        <w:fldChar w:fldCharType="end"/>
      </w:r>
      <w:bookmarkEnd w:id="39"/>
    </w:p>
    <w:p w14:paraId="182647F4" w14:textId="55B3917B" w:rsidR="00617F78" w:rsidRPr="00B7741F" w:rsidRDefault="00EE6969" w:rsidP="00FD516E">
      <w:pPr>
        <w:pStyle w:val="Body"/>
      </w:pPr>
      <w:r>
        <w:t>The</w:t>
      </w:r>
      <w:r w:rsidR="00A44062">
        <w:t xml:space="preserve"> </w:t>
      </w:r>
      <w:r w:rsidR="0053516C">
        <w:t xml:space="preserve">level </w:t>
      </w:r>
      <w:r w:rsidR="00651763">
        <w:t>of</w:t>
      </w:r>
      <w:r w:rsidR="00651763" w:rsidRPr="00B7741F">
        <w:t xml:space="preserve"> psychological</w:t>
      </w:r>
      <w:r w:rsidR="00617F78" w:rsidRPr="00B7741F">
        <w:t xml:space="preserve"> distress </w:t>
      </w:r>
      <w:r w:rsidR="0053516C">
        <w:t xml:space="preserve">spiked </w:t>
      </w:r>
      <w:r w:rsidR="00617F78" w:rsidRPr="00B7741F">
        <w:t>in 2020</w:t>
      </w:r>
      <w:r w:rsidR="00301A83">
        <w:t>.</w:t>
      </w:r>
      <w:r w:rsidR="00617F78" w:rsidRPr="00B7741F">
        <w:t xml:space="preserve"> </w:t>
      </w:r>
      <w:r>
        <w:t>Further</w:t>
      </w:r>
      <w:r w:rsidR="00925525">
        <w:t xml:space="preserve"> monitoring is needed to</w:t>
      </w:r>
      <w:r w:rsidR="00116EB3">
        <w:t xml:space="preserve"> </w:t>
      </w:r>
      <w:r w:rsidR="003D6135">
        <w:t xml:space="preserve">see if levels of </w:t>
      </w:r>
      <w:r w:rsidR="004B052A">
        <w:t xml:space="preserve">psychological </w:t>
      </w:r>
      <w:r w:rsidR="003D6135">
        <w:t xml:space="preserve">distress will continue to increase into the </w:t>
      </w:r>
      <w:r w:rsidR="00715D32">
        <w:t>future or</w:t>
      </w:r>
      <w:r w:rsidR="00CF6A88">
        <w:t xml:space="preserve"> return to </w:t>
      </w:r>
      <w:r w:rsidR="00BF4226">
        <w:t xml:space="preserve">2015-19 levels. </w:t>
      </w:r>
    </w:p>
    <w:p w14:paraId="02D033A6" w14:textId="77A793F3" w:rsidR="00617F78" w:rsidRDefault="00617F78" w:rsidP="00757A01">
      <w:pPr>
        <w:pStyle w:val="Body"/>
      </w:pPr>
      <w:r w:rsidRPr="00735BBE">
        <w:t xml:space="preserve">In older Aboriginal Australians, higher levels of psychological distress </w:t>
      </w:r>
      <w:r w:rsidR="00070544">
        <w:t>are</w:t>
      </w:r>
      <w:r w:rsidRPr="00735BBE">
        <w:t xml:space="preserve"> largely attributable to </w:t>
      </w:r>
      <w:r>
        <w:t>the ongoing impact of colonisation, intergenerational trauma, child removal, experiences of racism</w:t>
      </w:r>
      <w:r w:rsidR="00070544">
        <w:t xml:space="preserve"> and </w:t>
      </w:r>
      <w:r>
        <w:t>barriers to accessing health care</w:t>
      </w:r>
      <w:r w:rsidR="00070544">
        <w:t>,</w:t>
      </w:r>
      <w:r>
        <w:t xml:space="preserve"> which also drive </w:t>
      </w:r>
      <w:r w:rsidRPr="00735BBE">
        <w:t xml:space="preserve">differences in socioeconomic status, morbidity, </w:t>
      </w:r>
      <w:proofErr w:type="gramStart"/>
      <w:r w:rsidRPr="00735BBE">
        <w:t>disability</w:t>
      </w:r>
      <w:proofErr w:type="gramEnd"/>
      <w:r w:rsidRPr="00735BBE">
        <w:t xml:space="preserve"> and social support</w:t>
      </w:r>
      <w:r>
        <w:t xml:space="preserve"> access</w:t>
      </w:r>
      <w:r w:rsidR="0086703D">
        <w:t>.</w:t>
      </w:r>
      <w:r>
        <w:rPr>
          <w:rStyle w:val="EndnoteReference"/>
        </w:rPr>
        <w:endnoteReference w:id="53"/>
      </w:r>
    </w:p>
    <w:p w14:paraId="6ABB71EE" w14:textId="3A1A39A2" w:rsidR="00617F78" w:rsidRPr="00B7741F" w:rsidRDefault="00617F78" w:rsidP="00757A01">
      <w:pPr>
        <w:pStyle w:val="Body"/>
      </w:pPr>
      <w:r w:rsidRPr="7F136D53">
        <w:t xml:space="preserve">The Royal Commission into Victoria’s Mental Health System highlighted that one in three Aboriginal people </w:t>
      </w:r>
      <w:r>
        <w:t xml:space="preserve">living in Australia </w:t>
      </w:r>
      <w:r w:rsidRPr="7F136D53">
        <w:t>experience high or very high levels of psychological distress</w:t>
      </w:r>
      <w:r w:rsidR="00070544">
        <w:t xml:space="preserve">, which is </w:t>
      </w:r>
      <w:r w:rsidRPr="7F136D53">
        <w:t>almost three times the rate for non-Aboriginal people</w:t>
      </w:r>
      <w:r w:rsidR="0086703D">
        <w:t>.</w:t>
      </w:r>
      <w:r>
        <w:rPr>
          <w:rStyle w:val="EndnoteReference"/>
        </w:rPr>
        <w:endnoteReference w:id="54"/>
      </w:r>
      <w:r w:rsidR="00196E80">
        <w:t xml:space="preserve"> </w:t>
      </w:r>
      <w:r w:rsidRPr="7F136D53">
        <w:t xml:space="preserve">One study found that twice as many Aboriginal adolescents as non-Aboriginal adolescents (aged 18–24 years) </w:t>
      </w:r>
      <w:r>
        <w:t xml:space="preserve">living in Australia </w:t>
      </w:r>
      <w:r w:rsidRPr="7F136D53">
        <w:t>experience considerable psychological distress</w:t>
      </w:r>
      <w:r w:rsidR="0086703D">
        <w:t>.</w:t>
      </w:r>
      <w:r>
        <w:rPr>
          <w:rStyle w:val="EndnoteReference"/>
        </w:rPr>
        <w:endnoteReference w:id="55"/>
      </w:r>
    </w:p>
    <w:p w14:paraId="79779248" w14:textId="6D49B507" w:rsidR="00617F78" w:rsidRDefault="00B43A2F" w:rsidP="00036108">
      <w:pPr>
        <w:pStyle w:val="Body"/>
        <w:jc w:val="center"/>
      </w:pPr>
      <w:r>
        <w:rPr>
          <w:noProof/>
        </w:rPr>
        <w:lastRenderedPageBreak/>
        <w:drawing>
          <wp:inline distT="0" distB="0" distL="0" distR="0" wp14:anchorId="38DFC7F6" wp14:editId="265A3255">
            <wp:extent cx="3027872" cy="1890574"/>
            <wp:effectExtent l="0" t="0" r="1270" b="0"/>
            <wp:docPr id="98" name="Picture 98" descr="The proportion of adolescents who experience psychological distress has been increasing over time, from 15.5 per cent in 2014 to 20.4 per cent in 2018. It is higher for female adolescents at 25.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e proportion of adolescents who experience psychological distress has been increasing over time, from 15.5 per cent in 2014 to 20.4 per cent in 2018. It is higher for female adolescents at 25.4 per cent."/>
                    <pic:cNvPicPr/>
                  </pic:nvPicPr>
                  <pic:blipFill>
                    <a:blip r:embed="rId44"/>
                    <a:stretch>
                      <a:fillRect/>
                    </a:stretch>
                  </pic:blipFill>
                  <pic:spPr>
                    <a:xfrm>
                      <a:off x="0" y="0"/>
                      <a:ext cx="3034460" cy="1894687"/>
                    </a:xfrm>
                    <a:prstGeom prst="rect">
                      <a:avLst/>
                    </a:prstGeom>
                  </pic:spPr>
                </pic:pic>
              </a:graphicData>
            </a:graphic>
          </wp:inline>
        </w:drawing>
      </w:r>
    </w:p>
    <w:p w14:paraId="64EE8DDE" w14:textId="4FB83813" w:rsidR="00617F78" w:rsidRPr="00036108" w:rsidRDefault="00617F78" w:rsidP="006E5C33">
      <w:pPr>
        <w:pStyle w:val="Tablefigurenote"/>
      </w:pPr>
      <w:bookmarkStart w:id="40" w:name="_Ref132370197"/>
      <w:r w:rsidRPr="00036108">
        <w:t>Source: Victorian Student Health and Wellbeing Survey</w:t>
      </w:r>
      <w:r w:rsidR="00196E80">
        <w:fldChar w:fldCharType="begin"/>
      </w:r>
      <w:r w:rsidR="00196E80">
        <w:instrText xml:space="preserve"> NOTEREF _Ref150505041 \f \h </w:instrText>
      </w:r>
      <w:r w:rsidR="006E5C33">
        <w:instrText xml:space="preserve"> \* MERGEFORMAT </w:instrText>
      </w:r>
      <w:r w:rsidR="00196E80">
        <w:fldChar w:fldCharType="separate"/>
      </w:r>
      <w:r w:rsidR="001400D6" w:rsidRPr="001400D6">
        <w:rPr>
          <w:rStyle w:val="EndnoteReference"/>
        </w:rPr>
        <w:t>37</w:t>
      </w:r>
      <w:r w:rsidR="00196E80">
        <w:fldChar w:fldCharType="end"/>
      </w:r>
      <w:bookmarkEnd w:id="40"/>
    </w:p>
    <w:p w14:paraId="46A8CA8C" w14:textId="1EF3AD55" w:rsidR="00617F78" w:rsidRDefault="00617F78" w:rsidP="007D58C0">
      <w:pPr>
        <w:pStyle w:val="Heading4"/>
      </w:pPr>
      <w:r>
        <w:t>Resilience</w:t>
      </w:r>
    </w:p>
    <w:p w14:paraId="562D9EAF" w14:textId="1EF063A3" w:rsidR="00617F78" w:rsidRDefault="00617F78" w:rsidP="001A3FC1">
      <w:pPr>
        <w:pStyle w:val="Body"/>
      </w:pPr>
      <w:r w:rsidRPr="00B7741F">
        <w:t>Resilience is the ability to recover from setbacks, adapt to difficult circumstances that can’t be changed, and to learn and grow from such experiences</w:t>
      </w:r>
      <w:r w:rsidR="00461E45">
        <w:t>.</w:t>
      </w:r>
      <w:r>
        <w:rPr>
          <w:rStyle w:val="EndnoteReference"/>
        </w:rPr>
        <w:endnoteReference w:id="56"/>
      </w:r>
      <w:r w:rsidR="00461E45">
        <w:t xml:space="preserve"> </w:t>
      </w:r>
      <w:r w:rsidRPr="00B7741F">
        <w:t>Resilience is determined by various factors, including individual characteristics, personal and family relationships, and environmental influences</w:t>
      </w:r>
      <w:r w:rsidR="00070544">
        <w:t>,</w:t>
      </w:r>
      <w:r w:rsidRPr="00B7741F">
        <w:t xml:space="preserve"> such as school and community – all of which are key protective factors for mental health and wellbeing</w:t>
      </w:r>
      <w:r w:rsidR="00461E45">
        <w:t>.</w:t>
      </w:r>
      <w:r>
        <w:rPr>
          <w:rStyle w:val="EndnoteReference"/>
        </w:rPr>
        <w:endnoteReference w:id="57"/>
      </w:r>
    </w:p>
    <w:p w14:paraId="67EE64DD" w14:textId="16D4D10E" w:rsidR="006E5C33" w:rsidRDefault="00B43A2F" w:rsidP="00B43A2F">
      <w:pPr>
        <w:pStyle w:val="Body"/>
        <w:jc w:val="center"/>
      </w:pPr>
      <w:r>
        <w:rPr>
          <w:noProof/>
        </w:rPr>
        <w:drawing>
          <wp:inline distT="0" distB="0" distL="0" distR="0" wp14:anchorId="5BA56E33" wp14:editId="38303F13">
            <wp:extent cx="2889849" cy="3038957"/>
            <wp:effectExtent l="0" t="0" r="6350" b="0"/>
            <wp:docPr id="101" name="Picture 101" descr="he proportion of adolescents with high levels of resilience has decreased from 70.1 per cent in 2014, to 67.3 per cent in 2018. Our target for a 20 per cent increase in resilience of adolescents by 2025 is not on track. &#10;The proportion of adolescents with high levels of resilience is similar between males and females and those living in metropolitan and regional areas. It is lower in adolescents with a language background other than Engl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he proportion of adolescents with high levels of resilience has decreased from 70.1 per cent in 2014, to 67.3 per cent in 2018. Our target for a 20 per cent increase in resilience of adolescents by 2025 is not on track. &#10;The proportion of adolescents with high levels of resilience is similar between males and females and those living in metropolitan and regional areas. It is lower in adolescents with a language background other than English.&#10;"/>
                    <pic:cNvPicPr/>
                  </pic:nvPicPr>
                  <pic:blipFill>
                    <a:blip r:embed="rId45"/>
                    <a:stretch>
                      <a:fillRect/>
                    </a:stretch>
                  </pic:blipFill>
                  <pic:spPr>
                    <a:xfrm>
                      <a:off x="0" y="0"/>
                      <a:ext cx="2896936" cy="3046410"/>
                    </a:xfrm>
                    <a:prstGeom prst="rect">
                      <a:avLst/>
                    </a:prstGeom>
                  </pic:spPr>
                </pic:pic>
              </a:graphicData>
            </a:graphic>
          </wp:inline>
        </w:drawing>
      </w:r>
    </w:p>
    <w:p w14:paraId="4EA4C147" w14:textId="276CD3DE" w:rsidR="00617F78" w:rsidRDefault="00617F78" w:rsidP="006E5C33">
      <w:pPr>
        <w:pStyle w:val="Tablefigurenote"/>
      </w:pPr>
      <w:r>
        <w:t>Sourc</w:t>
      </w:r>
      <w:r w:rsidRPr="00B7741F">
        <w:t>e</w:t>
      </w:r>
      <w:r>
        <w:t>: Victorian Student Health and Wellbeing Survey</w:t>
      </w:r>
      <w:r w:rsidR="00411145">
        <w:fldChar w:fldCharType="begin"/>
      </w:r>
      <w:r w:rsidR="00411145">
        <w:instrText xml:space="preserve"> NOTEREF _Ref150505041 \f \h </w:instrText>
      </w:r>
      <w:r w:rsidR="006E5C33">
        <w:instrText xml:space="preserve"> \* MERGEFORMAT </w:instrText>
      </w:r>
      <w:r w:rsidR="00411145">
        <w:fldChar w:fldCharType="separate"/>
      </w:r>
      <w:r w:rsidR="001400D6" w:rsidRPr="001400D6">
        <w:rPr>
          <w:rStyle w:val="EndnoteReference"/>
        </w:rPr>
        <w:t>37</w:t>
      </w:r>
      <w:r w:rsidR="00411145">
        <w:fldChar w:fldCharType="end"/>
      </w:r>
    </w:p>
    <w:p w14:paraId="600949C9" w14:textId="3265DC39" w:rsidR="00617F78" w:rsidRDefault="00617F78" w:rsidP="006E5C33">
      <w:pPr>
        <w:pStyle w:val="Bodyaftertablefigure"/>
      </w:pPr>
      <w:r>
        <w:t>S</w:t>
      </w:r>
      <w:r w:rsidRPr="00B7741F">
        <w:t xml:space="preserve">upporting adolescents to develop high levels of resilience will improve their capacity to maintain positive health and wellbeing at a critical stage of development and into adulthood. </w:t>
      </w:r>
    </w:p>
    <w:p w14:paraId="1BDE24A5" w14:textId="5A7C7A03" w:rsidR="00617F78" w:rsidRPr="00B7741F" w:rsidRDefault="00617F78" w:rsidP="008B5E9B">
      <w:pPr>
        <w:pStyle w:val="Heading3"/>
        <w:rPr>
          <w:bCs w:val="0"/>
        </w:rPr>
      </w:pPr>
      <w:r>
        <w:rPr>
          <w:bCs w:val="0"/>
        </w:rPr>
        <w:t>Reduce</w:t>
      </w:r>
      <w:r w:rsidRPr="00B7741F">
        <w:rPr>
          <w:bCs w:val="0"/>
        </w:rPr>
        <w:t xml:space="preserve"> </w:t>
      </w:r>
      <w:proofErr w:type="gramStart"/>
      <w:r w:rsidRPr="00B7741F">
        <w:rPr>
          <w:bCs w:val="0"/>
        </w:rPr>
        <w:t>suicide</w:t>
      </w:r>
      <w:proofErr w:type="gramEnd"/>
    </w:p>
    <w:p w14:paraId="0C15114F" w14:textId="45E22145" w:rsidR="00617F78" w:rsidRDefault="00617F78" w:rsidP="00A35E50">
      <w:pPr>
        <w:pStyle w:val="Body"/>
      </w:pPr>
      <w:r>
        <w:t>Suicide has a devastating impact, and can have a long-lasting effect on</w:t>
      </w:r>
      <w:r w:rsidRPr="00B7741F">
        <w:t xml:space="preserve"> famil</w:t>
      </w:r>
      <w:r>
        <w:t>ies</w:t>
      </w:r>
      <w:r w:rsidRPr="00B7741F">
        <w:t xml:space="preserve">, friends, </w:t>
      </w:r>
      <w:proofErr w:type="gramStart"/>
      <w:r>
        <w:t>workplaces</w:t>
      </w:r>
      <w:proofErr w:type="gramEnd"/>
      <w:r w:rsidRPr="00B7741F">
        <w:t xml:space="preserve"> and communities. </w:t>
      </w:r>
      <w:r>
        <w:t xml:space="preserve">There are a range of complex factors that may influence our mental health and </w:t>
      </w:r>
      <w:proofErr w:type="gramStart"/>
      <w:r>
        <w:t>wellbeing</w:t>
      </w:r>
      <w:r w:rsidR="00CC3473">
        <w:t>,</w:t>
      </w:r>
      <w:r>
        <w:t xml:space="preserve"> and</w:t>
      </w:r>
      <w:proofErr w:type="gramEnd"/>
      <w:r>
        <w:t xml:space="preserve"> may contribute to a person’s experience of suicidal behaviour. Reducing suicide is the goal, but to achieve this</w:t>
      </w:r>
      <w:r w:rsidR="00CC3473">
        <w:t>,</w:t>
      </w:r>
      <w:r>
        <w:t xml:space="preserve"> we must address and reduce the factors that contribute to suicide and identify opportunities to build a stronger and more connected support system.</w:t>
      </w:r>
    </w:p>
    <w:p w14:paraId="4ED398D4" w14:textId="40E1D8A7" w:rsidR="00617F78" w:rsidRDefault="00B43A2F" w:rsidP="008C63F4">
      <w:pPr>
        <w:pStyle w:val="Body"/>
        <w:jc w:val="center"/>
      </w:pPr>
      <w:r>
        <w:rPr>
          <w:noProof/>
        </w:rPr>
        <w:lastRenderedPageBreak/>
        <w:drawing>
          <wp:inline distT="0" distB="0" distL="0" distR="0" wp14:anchorId="5930B3B3" wp14:editId="71220334">
            <wp:extent cx="3217652" cy="2074642"/>
            <wp:effectExtent l="0" t="0" r="1905" b="1905"/>
            <wp:docPr id="102" name="Picture 102" descr="The suicide rate in Victoria has not decreased since 2011, with 9.2 per 100,000 people affected in 2018. It is higher among males, at 13.7 per 100,000, and is higher for people living in regional areas, at 12.2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suicide rate in Victoria has not decreased since 2011, with 9.2 per 100,000 people affected in 2018. It is higher among males, at 13.7 per 100,000, and is higher for people living in regional areas, at 12.2 per 100,000. "/>
                    <pic:cNvPicPr/>
                  </pic:nvPicPr>
                  <pic:blipFill>
                    <a:blip r:embed="rId46"/>
                    <a:stretch>
                      <a:fillRect/>
                    </a:stretch>
                  </pic:blipFill>
                  <pic:spPr>
                    <a:xfrm>
                      <a:off x="0" y="0"/>
                      <a:ext cx="3225762" cy="2079871"/>
                    </a:xfrm>
                    <a:prstGeom prst="rect">
                      <a:avLst/>
                    </a:prstGeom>
                  </pic:spPr>
                </pic:pic>
              </a:graphicData>
            </a:graphic>
          </wp:inline>
        </w:drawing>
      </w:r>
    </w:p>
    <w:p w14:paraId="4B443B80" w14:textId="08E4083F" w:rsidR="00617F78" w:rsidRDefault="00617F78" w:rsidP="006E5C33">
      <w:pPr>
        <w:pStyle w:val="Tablefigurenote"/>
      </w:pPr>
      <w:r>
        <w:t xml:space="preserve">Source: </w:t>
      </w:r>
      <w:r w:rsidR="009D088B">
        <w:t>ABS</w:t>
      </w:r>
      <w:r>
        <w:t>, Causes of Death</w:t>
      </w:r>
      <w:r w:rsidR="006871FA">
        <w:fldChar w:fldCharType="begin"/>
      </w:r>
      <w:r w:rsidR="006871FA">
        <w:instrText xml:space="preserve"> NOTEREF _Ref150513562 \f \h </w:instrText>
      </w:r>
      <w:r w:rsidR="006E5C33">
        <w:instrText xml:space="preserve"> \* MERGEFORMAT </w:instrText>
      </w:r>
      <w:r w:rsidR="006871FA">
        <w:fldChar w:fldCharType="separate"/>
      </w:r>
      <w:r w:rsidR="001400D6" w:rsidRPr="001400D6">
        <w:rPr>
          <w:rStyle w:val="EndnoteReference"/>
        </w:rPr>
        <w:t>23</w:t>
      </w:r>
      <w:r w:rsidR="006871FA">
        <w:fldChar w:fldCharType="end"/>
      </w:r>
    </w:p>
    <w:p w14:paraId="6D60D82D" w14:textId="41B3C624" w:rsidR="00617F78" w:rsidRDefault="00617F78" w:rsidP="006E5C33">
      <w:pPr>
        <w:pStyle w:val="Bodyaftertablefigure"/>
      </w:pPr>
      <w:r w:rsidRPr="7F136D53">
        <w:t>The national suicide rate for Aboriginal people is estimated to be twice the rate of the general population</w:t>
      </w:r>
      <w:r w:rsidR="00CC3473">
        <w:t>, and</w:t>
      </w:r>
      <w:r w:rsidRPr="7F136D53">
        <w:t xml:space="preserve"> suicide among Aboriginal people generally occurs at a much younger age</w:t>
      </w:r>
      <w:r w:rsidR="00461E45">
        <w:t>.</w:t>
      </w:r>
      <w:r>
        <w:rPr>
          <w:rStyle w:val="EndnoteReference"/>
        </w:rPr>
        <w:endnoteReference w:id="58"/>
      </w:r>
      <w:r w:rsidRPr="7F136D53">
        <w:t xml:space="preserve"> In 2021</w:t>
      </w:r>
      <w:r w:rsidR="00CC3473">
        <w:t>,</w:t>
      </w:r>
      <w:r w:rsidRPr="7F136D53">
        <w:t xml:space="preserve"> the Coroners Court of Victoria reported that the number of suicides of Aboriginal people increased by 75</w:t>
      </w:r>
      <w:r w:rsidR="00CC3473">
        <w:t xml:space="preserve"> per cent</w:t>
      </w:r>
      <w:r w:rsidRPr="7F136D53">
        <w:t xml:space="preserve"> in 2021</w:t>
      </w:r>
      <w:r w:rsidR="00461E45">
        <w:t>.</w:t>
      </w:r>
      <w:r>
        <w:rPr>
          <w:rStyle w:val="EndnoteReference"/>
        </w:rPr>
        <w:endnoteReference w:id="59"/>
      </w:r>
    </w:p>
    <w:p w14:paraId="7E8F64CD" w14:textId="73C3DC2B" w:rsidR="00617F78" w:rsidRPr="00B7741F" w:rsidRDefault="00617F78" w:rsidP="00112CB5">
      <w:pPr>
        <w:pStyle w:val="Bullet1"/>
        <w:numPr>
          <w:ilvl w:val="0"/>
          <w:numId w:val="0"/>
        </w:numPr>
      </w:pPr>
      <w:r>
        <w:t xml:space="preserve">Every incident of self-harm, suicide attempt and passing by suicide is a unique experience, </w:t>
      </w:r>
      <w:r w:rsidR="00CC3473">
        <w:t xml:space="preserve">which </w:t>
      </w:r>
      <w:r>
        <w:t xml:space="preserve">can </w:t>
      </w:r>
      <w:r w:rsidR="00CC3473">
        <w:t xml:space="preserve">improve </w:t>
      </w:r>
      <w:r>
        <w:t>our understanding of suicidality and instruct stronger foundations for suicide prevention and response</w:t>
      </w:r>
      <w:r w:rsidRPr="00B7741F">
        <w:t>.</w:t>
      </w:r>
    </w:p>
    <w:p w14:paraId="4022C8F7" w14:textId="516FD088" w:rsidR="00617F78" w:rsidRDefault="003A65A2" w:rsidP="008B5E9B">
      <w:pPr>
        <w:pStyle w:val="Heading2"/>
      </w:pPr>
      <w:bookmarkStart w:id="41" w:name="_Toc151976146"/>
      <w:r>
        <w:t xml:space="preserve">Outcome </w:t>
      </w:r>
      <w:r w:rsidR="00617F78">
        <w:t>1.3</w:t>
      </w:r>
      <w:r>
        <w:t>:</w:t>
      </w:r>
      <w:r w:rsidR="00617F78">
        <w:t xml:space="preserve"> Victorians act to protect and promote </w:t>
      </w:r>
      <w:proofErr w:type="gramStart"/>
      <w:r w:rsidR="00617F78">
        <w:t>health</w:t>
      </w:r>
      <w:bookmarkEnd w:id="41"/>
      <w:proofErr w:type="gramEnd"/>
    </w:p>
    <w:p w14:paraId="5B1C1515" w14:textId="15BCBC4E" w:rsidR="00617F78" w:rsidRDefault="00617F78" w:rsidP="00EA4EC2">
      <w:pPr>
        <w:pStyle w:val="Body"/>
      </w:pPr>
      <w:r>
        <w:t xml:space="preserve">For Victorians to be the healthiest people in the world, it is essential they are supported to make decisions that are good for their own health, and act to support the good health and wellbeing of others in the community. There are many behavioural risk factors, described as modifiable, that increase or decrease </w:t>
      </w:r>
      <w:r w:rsidR="00CC3473">
        <w:t xml:space="preserve">the </w:t>
      </w:r>
      <w:r>
        <w:t xml:space="preserve">risk of developing disease, such as smoking, healthy eating and physical activity. </w:t>
      </w:r>
    </w:p>
    <w:p w14:paraId="42F34E8F" w14:textId="4D401424" w:rsidR="00CC3473" w:rsidRDefault="00617F78" w:rsidP="00EA4EC2">
      <w:pPr>
        <w:pStyle w:val="Body"/>
      </w:pPr>
      <w:r>
        <w:t>Traditionally, health promotion interventions have</w:t>
      </w:r>
      <w:r w:rsidR="00CC3473">
        <w:t xml:space="preserve"> had</w:t>
      </w:r>
      <w:r>
        <w:t xml:space="preserve"> a strong focus on encouraging individuals to change their behaviours to reduce </w:t>
      </w:r>
      <w:r w:rsidR="00CC3473">
        <w:t xml:space="preserve">the </w:t>
      </w:r>
      <w:r>
        <w:t>risk of disease. However, the focus on behavioural risk factors assumes that all individuals have the freedom and capacity to choose a healthy lifestyle. Therefore, individuals who engage in unhealthy behaviours are seen to be responsible for their own ill</w:t>
      </w:r>
      <w:r w:rsidR="00CC3473">
        <w:t xml:space="preserve"> </w:t>
      </w:r>
      <w:r>
        <w:t>health</w:t>
      </w:r>
      <w:bookmarkStart w:id="42" w:name="_Ref132381235"/>
      <w:r w:rsidR="00461E45">
        <w:t>.</w:t>
      </w:r>
      <w:r>
        <w:rPr>
          <w:rStyle w:val="EndnoteReference"/>
        </w:rPr>
        <w:endnoteReference w:id="60"/>
      </w:r>
      <w:bookmarkEnd w:id="42"/>
    </w:p>
    <w:p w14:paraId="4EB544E9" w14:textId="087B9CF2" w:rsidR="00617F78" w:rsidRDefault="00617F78" w:rsidP="00EA4EC2">
      <w:pPr>
        <w:pStyle w:val="Body"/>
      </w:pPr>
      <w:r>
        <w:t>Focusing only on behavioural risk factors</w:t>
      </w:r>
      <w:r w:rsidR="00CC3473">
        <w:t>,</w:t>
      </w:r>
      <w:r>
        <w:t xml:space="preserve"> without addressing the underlying causes of the behaviour</w:t>
      </w:r>
      <w:r w:rsidR="00CC3473">
        <w:t>,</w:t>
      </w:r>
      <w:r>
        <w:t xml:space="preserve"> stigmatises people who engage in unhealthy behaviours and ignores the underlying social</w:t>
      </w:r>
      <w:r w:rsidR="00CC3473">
        <w:t>,</w:t>
      </w:r>
      <w:r>
        <w:t xml:space="preserve"> </w:t>
      </w:r>
      <w:proofErr w:type="gramStart"/>
      <w:r>
        <w:t>emotional</w:t>
      </w:r>
      <w:proofErr w:type="gramEnd"/>
      <w:r>
        <w:t xml:space="preserve"> and environmental factors that are driving the unhealthy behaviours</w:t>
      </w:r>
      <w:r w:rsidR="00461E45">
        <w:t>.</w:t>
      </w:r>
      <w:r>
        <w:fldChar w:fldCharType="begin"/>
      </w:r>
      <w:r>
        <w:instrText>NOTEREF _Ref132381235 \f</w:instrText>
      </w:r>
      <w:r>
        <w:fldChar w:fldCharType="separate"/>
      </w:r>
      <w:r w:rsidR="001400D6" w:rsidRPr="001400D6">
        <w:rPr>
          <w:rStyle w:val="EndnoteReference"/>
        </w:rPr>
        <w:t>59</w:t>
      </w:r>
      <w:r>
        <w:fldChar w:fldCharType="end"/>
      </w:r>
      <w:r w:rsidR="00C0593F" w:rsidRPr="00C0593F">
        <w:rPr>
          <w:vertAlign w:val="superscript"/>
        </w:rPr>
        <w:t>,</w:t>
      </w:r>
      <w:r>
        <w:rPr>
          <w:rStyle w:val="EndnoteReference"/>
        </w:rPr>
        <w:endnoteReference w:id="61"/>
      </w:r>
    </w:p>
    <w:p w14:paraId="6B3D364D" w14:textId="77777777" w:rsidR="00CC3473" w:rsidRDefault="00617F78" w:rsidP="00EA4EC2">
      <w:pPr>
        <w:pStyle w:val="Body"/>
      </w:pPr>
      <w:r>
        <w:t>This highlights the importance of creating settings that support people to make healthier choices. This can be done by leveraging community-wide, structural influences on health, such as</w:t>
      </w:r>
      <w:r w:rsidR="00CC3473">
        <w:t>:</w:t>
      </w:r>
    </w:p>
    <w:p w14:paraId="408E3DC4" w14:textId="203FC713" w:rsidR="00CC3473" w:rsidRDefault="00617F78" w:rsidP="00210C74">
      <w:pPr>
        <w:pStyle w:val="Bullet1"/>
      </w:pPr>
      <w:r>
        <w:t>green space for exercise</w:t>
      </w:r>
    </w:p>
    <w:p w14:paraId="0D98EDFA" w14:textId="3D2C1AC6" w:rsidR="00CC3473" w:rsidRDefault="00617F78" w:rsidP="00210C74">
      <w:pPr>
        <w:pStyle w:val="Bullet1"/>
      </w:pPr>
      <w:r>
        <w:t>access to affordable</w:t>
      </w:r>
      <w:r w:rsidR="00CC3473">
        <w:t>,</w:t>
      </w:r>
      <w:r>
        <w:t xml:space="preserve"> fresh healthy food</w:t>
      </w:r>
    </w:p>
    <w:p w14:paraId="7AB7208F" w14:textId="4EF2305A" w:rsidR="00CC3473" w:rsidRDefault="00617F78" w:rsidP="00210C74">
      <w:pPr>
        <w:pStyle w:val="Bullet1"/>
      </w:pPr>
      <w:r>
        <w:t xml:space="preserve">factors to reduce workplace and financial </w:t>
      </w:r>
      <w:proofErr w:type="gramStart"/>
      <w:r>
        <w:t>stress</w:t>
      </w:r>
      <w:proofErr w:type="gramEnd"/>
    </w:p>
    <w:p w14:paraId="4D29156B" w14:textId="76FAEB0D" w:rsidR="00CC3473" w:rsidRDefault="00617F78" w:rsidP="00210C74">
      <w:pPr>
        <w:pStyle w:val="Bullet1"/>
      </w:pPr>
      <w:r>
        <w:t>a reduction in violence</w:t>
      </w:r>
      <w:r w:rsidR="00CC3473">
        <w:t>.</w:t>
      </w:r>
    </w:p>
    <w:p w14:paraId="41FDD501" w14:textId="68403AAC" w:rsidR="00617F78" w:rsidRPr="00EA4EC2" w:rsidRDefault="00CC3473" w:rsidP="00210C74">
      <w:pPr>
        <w:pStyle w:val="Bodyafterbullets"/>
      </w:pPr>
      <w:r>
        <w:t xml:space="preserve">These influences </w:t>
      </w:r>
      <w:r w:rsidR="00617F78">
        <w:t>support individuals to make changes to behaviour that protect and promote their health for the long term.</w:t>
      </w:r>
    </w:p>
    <w:p w14:paraId="13BA546D" w14:textId="499FCC5E" w:rsidR="00617F78" w:rsidRDefault="00617F78" w:rsidP="008B5E9B">
      <w:pPr>
        <w:pStyle w:val="Heading3"/>
      </w:pPr>
      <w:r>
        <w:lastRenderedPageBreak/>
        <w:t xml:space="preserve">Increase healthy eating and active </w:t>
      </w:r>
      <w:proofErr w:type="gramStart"/>
      <w:r>
        <w:t>living</w:t>
      </w:r>
      <w:proofErr w:type="gramEnd"/>
    </w:p>
    <w:p w14:paraId="49563289" w14:textId="4DF34229" w:rsidR="00617F78" w:rsidRPr="00D1295F" w:rsidRDefault="00617F78" w:rsidP="008B5E9B">
      <w:pPr>
        <w:pStyle w:val="Heading4"/>
      </w:pPr>
      <w:r w:rsidRPr="00D1295F">
        <w:t>Healthy eating</w:t>
      </w:r>
    </w:p>
    <w:p w14:paraId="1D1E8A2D" w14:textId="0D3F623B" w:rsidR="00617F78" w:rsidRPr="00E60EF3" w:rsidRDefault="00617F78" w:rsidP="00257712">
      <w:pPr>
        <w:pStyle w:val="Body"/>
      </w:pPr>
      <w:r>
        <w:t xml:space="preserve">Good nutrition is essential for health and wellbeing. </w:t>
      </w:r>
      <w:r w:rsidRPr="08861196">
        <w:rPr>
          <w:lang w:eastAsia="en-AU"/>
        </w:rPr>
        <w:t>Dietary risk factors were the third</w:t>
      </w:r>
      <w:r w:rsidR="00CC3473">
        <w:rPr>
          <w:lang w:eastAsia="en-AU"/>
        </w:rPr>
        <w:t>-</w:t>
      </w:r>
      <w:r w:rsidRPr="08861196">
        <w:rPr>
          <w:lang w:eastAsia="en-AU"/>
        </w:rPr>
        <w:t>leading cause of modifiable disease burden in Australia in 2018, contributing to 9.9 per cent of deaths</w:t>
      </w:r>
      <w:r w:rsidR="00461E45">
        <w:rPr>
          <w:lang w:eastAsia="en-AU"/>
        </w:rPr>
        <w:t>.</w:t>
      </w:r>
      <w:r>
        <w:rPr>
          <w:lang w:eastAsia="en-AU"/>
        </w:rPr>
        <w:fldChar w:fldCharType="begin"/>
      </w:r>
      <w:r>
        <w:rPr>
          <w:lang w:eastAsia="en-AU"/>
        </w:rPr>
        <w:instrText xml:space="preserve"> NOTEREF _Ref132381589 \f  \* MERGEFORMAT </w:instrText>
      </w:r>
      <w:r>
        <w:rPr>
          <w:lang w:eastAsia="en-AU"/>
        </w:rPr>
        <w:fldChar w:fldCharType="separate"/>
      </w:r>
      <w:r w:rsidR="001400D6" w:rsidRPr="001400D6">
        <w:rPr>
          <w:rStyle w:val="EndnoteReference"/>
          <w:rFonts w:eastAsia="VIC-Regular"/>
        </w:rPr>
        <w:t>61</w:t>
      </w:r>
      <w:r>
        <w:rPr>
          <w:lang w:eastAsia="en-AU"/>
        </w:rPr>
        <w:fldChar w:fldCharType="end"/>
      </w:r>
      <w:r>
        <w:t xml:space="preserve"> Poor diet in early life can start a trajectory that increases the lifetime risk of cardiovascular disease, type 2 diabetes and some cancers associated with obesity</w:t>
      </w:r>
      <w:bookmarkStart w:id="43" w:name="_Ref132381589"/>
      <w:r w:rsidR="00461E45">
        <w:t>.</w:t>
      </w:r>
      <w:r>
        <w:rPr>
          <w:rStyle w:val="EndnoteReference"/>
          <w:rFonts w:eastAsia="VIC-Regular"/>
        </w:rPr>
        <w:endnoteReference w:id="62"/>
      </w:r>
      <w:bookmarkEnd w:id="43"/>
    </w:p>
    <w:p w14:paraId="37A7A309" w14:textId="25A0FD3B" w:rsidR="00617F78" w:rsidRPr="00B7741F" w:rsidRDefault="00617F78" w:rsidP="00257712">
      <w:pPr>
        <w:pStyle w:val="Body"/>
      </w:pPr>
      <w:r w:rsidRPr="00B7741F">
        <w:t xml:space="preserve">Healthy eating has strong links to promoting mental health and treating mental illness, such as depression. For example, people who eat a healthy diet (a diet rich in vegetables, fruits, </w:t>
      </w:r>
      <w:proofErr w:type="gramStart"/>
      <w:r w:rsidRPr="00B7741F">
        <w:t>wholegrains</w:t>
      </w:r>
      <w:proofErr w:type="gramEnd"/>
      <w:r w:rsidR="00CC3473">
        <w:t xml:space="preserve"> and</w:t>
      </w:r>
      <w:r w:rsidRPr="00B7741F">
        <w:t xml:space="preserve"> fish) are up to 35 per cent less likely to experience depression. Conversely, a diet high in processed and nutritionally poor foods </w:t>
      </w:r>
      <w:r>
        <w:t>is associated with increased</w:t>
      </w:r>
      <w:r w:rsidRPr="00B7741F">
        <w:t xml:space="preserve"> risk of developing depression</w:t>
      </w:r>
      <w:r w:rsidR="00461E45">
        <w:t>.</w:t>
      </w:r>
      <w:r>
        <w:rPr>
          <w:rStyle w:val="EndnoteReference"/>
          <w:rFonts w:eastAsia="VIC-Regular"/>
        </w:rPr>
        <w:endnoteReference w:id="63"/>
      </w:r>
    </w:p>
    <w:p w14:paraId="54B9B14B" w14:textId="615FEBFC" w:rsidR="00617F78" w:rsidRDefault="00B43A2F" w:rsidP="002049F8">
      <w:pPr>
        <w:pStyle w:val="Body"/>
        <w:jc w:val="center"/>
      </w:pPr>
      <w:r>
        <w:rPr>
          <w:noProof/>
        </w:rPr>
        <w:drawing>
          <wp:inline distT="0" distB="0" distL="0" distR="0" wp14:anchorId="10F0836A" wp14:editId="006FF03C">
            <wp:extent cx="3062377" cy="2164784"/>
            <wp:effectExtent l="0" t="0" r="5080" b="6985"/>
            <wp:docPr id="111" name="Picture 111" descr="In 2019, only 40.6 per cent of adults ate enough fruit, and 5.7 percent of adults ate enough vegetables. These proportions are lower in men, and have not changed si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n 2019, only 40.6 per cent of adults ate enough fruit, and 5.7 percent of adults ate enough vegetables. These proportions are lower in men, and have not changed since 2015."/>
                    <pic:cNvPicPr/>
                  </pic:nvPicPr>
                  <pic:blipFill>
                    <a:blip r:embed="rId47"/>
                    <a:stretch>
                      <a:fillRect/>
                    </a:stretch>
                  </pic:blipFill>
                  <pic:spPr>
                    <a:xfrm>
                      <a:off x="0" y="0"/>
                      <a:ext cx="3071244" cy="2171052"/>
                    </a:xfrm>
                    <a:prstGeom prst="rect">
                      <a:avLst/>
                    </a:prstGeom>
                  </pic:spPr>
                </pic:pic>
              </a:graphicData>
            </a:graphic>
          </wp:inline>
        </w:drawing>
      </w:r>
    </w:p>
    <w:p w14:paraId="04E465E7" w14:textId="7623BEBA" w:rsidR="00617F78" w:rsidRDefault="00617F78" w:rsidP="002049F8">
      <w:pPr>
        <w:pStyle w:val="Body"/>
        <w:jc w:val="center"/>
      </w:pPr>
      <w:bookmarkStart w:id="44" w:name="_Ref132381790"/>
      <w:r>
        <w:t>Source: Victorian Population Health Survey</w:t>
      </w:r>
      <w:r w:rsidR="00F4463F">
        <w:fldChar w:fldCharType="begin"/>
      </w:r>
      <w:r w:rsidR="00F4463F">
        <w:instrText xml:space="preserve"> NOTEREF _Ref150505259 \f \h </w:instrText>
      </w:r>
      <w:r w:rsidR="00F4463F">
        <w:fldChar w:fldCharType="separate"/>
      </w:r>
      <w:r w:rsidR="001400D6" w:rsidRPr="001400D6">
        <w:rPr>
          <w:rStyle w:val="EndnoteReference"/>
        </w:rPr>
        <w:t>35</w:t>
      </w:r>
      <w:r w:rsidR="00F4463F">
        <w:fldChar w:fldCharType="end"/>
      </w:r>
      <w:bookmarkEnd w:id="44"/>
    </w:p>
    <w:p w14:paraId="5D024E69" w14:textId="2487EBE4" w:rsidR="00617F78" w:rsidRDefault="00B43A2F" w:rsidP="002049F8">
      <w:pPr>
        <w:pStyle w:val="Body"/>
        <w:jc w:val="center"/>
      </w:pPr>
      <w:r>
        <w:rPr>
          <w:noProof/>
        </w:rPr>
        <w:drawing>
          <wp:inline distT="0" distB="0" distL="0" distR="0" wp14:anchorId="15D2F8D9" wp14:editId="65CA7F70">
            <wp:extent cx="3010619" cy="1921202"/>
            <wp:effectExtent l="0" t="0" r="0" b="3175"/>
            <wp:docPr id="107" name="Picture 107" descr="The proportion of children who usually consume at least one cup of sweet beverage a day has decreased from 28.8 per cent in 2013 to 18.7 per cent in 2019, rising slightly again to 21.2 per 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he proportion of children who usually consume at least one cup of sweet beverage a day has decreased from 28.8 per cent in 2013 to 18.7 per cent in 2019, rising slightly again to 21.2 per cent in 2021."/>
                    <pic:cNvPicPr/>
                  </pic:nvPicPr>
                  <pic:blipFill>
                    <a:blip r:embed="rId48"/>
                    <a:stretch>
                      <a:fillRect/>
                    </a:stretch>
                  </pic:blipFill>
                  <pic:spPr>
                    <a:xfrm>
                      <a:off x="0" y="0"/>
                      <a:ext cx="3017877" cy="1925834"/>
                    </a:xfrm>
                    <a:prstGeom prst="rect">
                      <a:avLst/>
                    </a:prstGeom>
                  </pic:spPr>
                </pic:pic>
              </a:graphicData>
            </a:graphic>
          </wp:inline>
        </w:drawing>
      </w:r>
    </w:p>
    <w:p w14:paraId="0C3BF9FD" w14:textId="6DE197CD" w:rsidR="00617F78" w:rsidRDefault="00617F78" w:rsidP="006E5C33">
      <w:pPr>
        <w:pStyle w:val="Tablefigurenote"/>
      </w:pPr>
      <w:r>
        <w:t>Source: Victorian Child Health and Wellbeing survey</w:t>
      </w:r>
      <w:r w:rsidR="00F4463F">
        <w:fldChar w:fldCharType="begin"/>
      </w:r>
      <w:r w:rsidR="00F4463F">
        <w:instrText xml:space="preserve"> NOTEREF _Ref150505563 \f \h </w:instrText>
      </w:r>
      <w:r w:rsidR="006E5C33">
        <w:instrText xml:space="preserve"> \* MERGEFORMAT </w:instrText>
      </w:r>
      <w:r w:rsidR="00F4463F">
        <w:fldChar w:fldCharType="separate"/>
      </w:r>
      <w:r w:rsidR="001400D6" w:rsidRPr="001400D6">
        <w:rPr>
          <w:rStyle w:val="EndnoteReference"/>
        </w:rPr>
        <w:t>29</w:t>
      </w:r>
      <w:r w:rsidR="00F4463F">
        <w:fldChar w:fldCharType="end"/>
      </w:r>
    </w:p>
    <w:p w14:paraId="4316E858" w14:textId="4EBCB729" w:rsidR="00617F78" w:rsidRDefault="00617F78" w:rsidP="006E5C33">
      <w:pPr>
        <w:pStyle w:val="Bodyaftertablefigure"/>
      </w:pPr>
      <w:r>
        <w:t>The World Health Organi</w:t>
      </w:r>
      <w:r w:rsidR="00CC3473">
        <w:t>z</w:t>
      </w:r>
      <w:r>
        <w:t xml:space="preserve">ation recommends that all babies are exclusively breastfed for the first six months of life. Breastmilk is the best food to support the health and wellbeing of </w:t>
      </w:r>
      <w:proofErr w:type="gramStart"/>
      <w:r>
        <w:t>infants</w:t>
      </w:r>
      <w:r w:rsidR="00CC3473">
        <w:t>,</w:t>
      </w:r>
      <w:r>
        <w:t xml:space="preserve"> and</w:t>
      </w:r>
      <w:proofErr w:type="gramEnd"/>
      <w:r>
        <w:t xml:space="preserve"> protects against development of non-communicable diseases later in life</w:t>
      </w:r>
      <w:r w:rsidR="00461E45">
        <w:t>.</w:t>
      </w:r>
      <w:r>
        <w:rPr>
          <w:rStyle w:val="EndnoteReference"/>
          <w:rFonts w:eastAsia="VIC-Regular"/>
        </w:rPr>
        <w:endnoteReference w:id="64"/>
      </w:r>
    </w:p>
    <w:p w14:paraId="7B7A01D2" w14:textId="063CDAE9" w:rsidR="00617F78" w:rsidRDefault="00B43A2F" w:rsidP="00091A65">
      <w:pPr>
        <w:pStyle w:val="Body"/>
        <w:jc w:val="center"/>
      </w:pPr>
      <w:r>
        <w:rPr>
          <w:noProof/>
        </w:rPr>
        <w:lastRenderedPageBreak/>
        <w:drawing>
          <wp:inline distT="0" distB="0" distL="0" distR="0" wp14:anchorId="448AE916" wp14:editId="055E1AF5">
            <wp:extent cx="2941608" cy="1819625"/>
            <wp:effectExtent l="0" t="0" r="0" b="9525"/>
            <wp:docPr id="103" name="Picture 103" descr="In Victoria, the proportion of babies exclusively breastfed to three months of age has remained constant at around 51.1 per cent since 2010-11. It is similar for babies living in metropolitan areas compared with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 Victoria, the proportion of babies exclusively breastfed to three months of age has remained constant at around 51.1 per cent since 2010-11. It is similar for babies living in metropolitan areas compared with regional areas. "/>
                    <pic:cNvPicPr/>
                  </pic:nvPicPr>
                  <pic:blipFill>
                    <a:blip r:embed="rId49"/>
                    <a:stretch>
                      <a:fillRect/>
                    </a:stretch>
                  </pic:blipFill>
                  <pic:spPr>
                    <a:xfrm>
                      <a:off x="0" y="0"/>
                      <a:ext cx="2961587" cy="1831983"/>
                    </a:xfrm>
                    <a:prstGeom prst="rect">
                      <a:avLst/>
                    </a:prstGeom>
                  </pic:spPr>
                </pic:pic>
              </a:graphicData>
            </a:graphic>
          </wp:inline>
        </w:drawing>
      </w:r>
    </w:p>
    <w:p w14:paraId="60DC5C99" w14:textId="09E473A0" w:rsidR="00617F78" w:rsidRDefault="00617F78" w:rsidP="006E5C33">
      <w:pPr>
        <w:pStyle w:val="Tablefigurenote"/>
      </w:pPr>
      <w:r>
        <w:t>Source: Maternal Child Health Collection</w:t>
      </w:r>
      <w:r>
        <w:rPr>
          <w:rStyle w:val="EndnoteReference"/>
          <w:rFonts w:eastAsia="VIC-Regular"/>
        </w:rPr>
        <w:endnoteReference w:id="65"/>
      </w:r>
    </w:p>
    <w:p w14:paraId="52F95AA2" w14:textId="46C4EB46" w:rsidR="00617F78" w:rsidRDefault="00617F78" w:rsidP="006E5C33">
      <w:pPr>
        <w:pStyle w:val="Bodyaftertablefigure"/>
      </w:pPr>
      <w:r>
        <w:t xml:space="preserve">However, there are some </w:t>
      </w:r>
      <w:r w:rsidR="003F125C">
        <w:t>l</w:t>
      </w:r>
      <w:r>
        <w:t xml:space="preserve">ocal </w:t>
      </w:r>
      <w:r w:rsidR="003F125C">
        <w:t>g</w:t>
      </w:r>
      <w:r>
        <w:t xml:space="preserve">overnment </w:t>
      </w:r>
      <w:r w:rsidR="003F125C">
        <w:t>a</w:t>
      </w:r>
      <w:r>
        <w:t xml:space="preserve">reas </w:t>
      </w:r>
      <w:r w:rsidR="00B15185">
        <w:t xml:space="preserve">(LGAs) </w:t>
      </w:r>
      <w:r>
        <w:t>where the proportion of babies breastfed until three months of age is significantly lower than the state average, sometimes below 30 per cent. Place</w:t>
      </w:r>
      <w:r w:rsidR="003F125C">
        <w:t>-</w:t>
      </w:r>
      <w:r>
        <w:t xml:space="preserve">based responses are needed to understand the barriers to mothers breastfeeding in these areas, and appropriate support and intervention services provided to enable more mothers to breastfeed for longer. </w:t>
      </w:r>
    </w:p>
    <w:p w14:paraId="17756907" w14:textId="00F1E61A" w:rsidR="00617F78" w:rsidRPr="00ED2ABB" w:rsidRDefault="00617F78" w:rsidP="00ED2ABB">
      <w:pPr>
        <w:pStyle w:val="Heading4"/>
        <w:rPr>
          <w:lang w:eastAsia="en-AU"/>
        </w:rPr>
      </w:pPr>
      <w:r w:rsidRPr="00D1295F">
        <w:rPr>
          <w:lang w:eastAsia="en-AU"/>
        </w:rPr>
        <w:t>Physical activity</w:t>
      </w:r>
    </w:p>
    <w:p w14:paraId="367CA9C0" w14:textId="6F1931E0" w:rsidR="00617F78" w:rsidRPr="006E5C33" w:rsidRDefault="00617F78" w:rsidP="006E5C33">
      <w:pPr>
        <w:pStyle w:val="Body"/>
      </w:pPr>
      <w:r w:rsidRPr="006E5C33">
        <w:t>Physical activity has been shown to improve health-related quality of life, reduce mortality rates</w:t>
      </w:r>
      <w:r w:rsidR="003F125C">
        <w:t>,</w:t>
      </w:r>
      <w:r w:rsidRPr="006E5C33">
        <w:t xml:space="preserve"> significantly improve function, physical and mental health</w:t>
      </w:r>
      <w:r w:rsidR="003F125C">
        <w:t>,</w:t>
      </w:r>
      <w:r w:rsidRPr="006E5C33">
        <w:t xml:space="preserve"> and reduce pain and disability</w:t>
      </w:r>
      <w:bookmarkStart w:id="45" w:name="_Ref132383105"/>
      <w:r w:rsidRPr="006E5C33">
        <w:t xml:space="preserve"> in people of all ages</w:t>
      </w:r>
      <w:r w:rsidR="00462E5D">
        <w:t>.</w:t>
      </w:r>
      <w:r w:rsidRPr="00EE0D7E">
        <w:rPr>
          <w:rStyle w:val="EndnoteReference"/>
        </w:rPr>
        <w:endnoteReference w:id="66"/>
      </w:r>
      <w:bookmarkEnd w:id="45"/>
      <w:r w:rsidRPr="006E5C33">
        <w:t xml:space="preserve"> In contrast, a sedentary lifestyle is a major risk factor for non-communicable diseases</w:t>
      </w:r>
      <w:r w:rsidR="003F125C">
        <w:t>,</w:t>
      </w:r>
      <w:r w:rsidRPr="006E5C33">
        <w:t xml:space="preserve"> such as cardiovascular disease, cancer and diabetes</w:t>
      </w:r>
      <w:r w:rsidR="00461E45">
        <w:t>.</w:t>
      </w:r>
      <w:r w:rsidRPr="00EE0D7E">
        <w:rPr>
          <w:vertAlign w:val="superscript"/>
        </w:rPr>
        <w:fldChar w:fldCharType="begin"/>
      </w:r>
      <w:r w:rsidRPr="00EE0D7E">
        <w:rPr>
          <w:vertAlign w:val="superscript"/>
        </w:rPr>
        <w:instrText xml:space="preserve"> NOTEREF _Ref132383105 \f </w:instrText>
      </w:r>
      <w:r w:rsidR="006E5C33" w:rsidRPr="00EE0D7E">
        <w:rPr>
          <w:vertAlign w:val="superscript"/>
        </w:rPr>
        <w:instrText xml:space="preserve"> \* MERGEFORMAT </w:instrText>
      </w:r>
      <w:r w:rsidRPr="00EE0D7E">
        <w:rPr>
          <w:vertAlign w:val="superscript"/>
        </w:rPr>
        <w:fldChar w:fldCharType="separate"/>
      </w:r>
      <w:r w:rsidR="001400D6" w:rsidRPr="001400D6">
        <w:rPr>
          <w:rStyle w:val="EndnoteReference"/>
        </w:rPr>
        <w:t>65</w:t>
      </w:r>
      <w:r w:rsidRPr="00EE0D7E">
        <w:rPr>
          <w:vertAlign w:val="superscript"/>
        </w:rPr>
        <w:fldChar w:fldCharType="end"/>
      </w:r>
      <w:r w:rsidR="003F125C">
        <w:t xml:space="preserve"> </w:t>
      </w:r>
      <w:r w:rsidRPr="006E5C33">
        <w:t>In 2018, physical inactivity contributed to 3.6 per cent of fatal burden (84,717 years of life lost) and 1.5 per cent of non-fatal burden (37,966 years lived with disability) in Australia</w:t>
      </w:r>
      <w:r w:rsidR="00461E45">
        <w:t>.</w:t>
      </w:r>
      <w:r w:rsidRPr="00EE0D7E">
        <w:rPr>
          <w:rStyle w:val="EndnoteReference"/>
        </w:rPr>
        <w:endnoteReference w:id="67"/>
      </w:r>
    </w:p>
    <w:p w14:paraId="4CAAA680" w14:textId="3F4663DE" w:rsidR="00617F78" w:rsidRDefault="0021087F" w:rsidP="0021087F">
      <w:pPr>
        <w:pStyle w:val="Body"/>
        <w:spacing w:line="276" w:lineRule="auto"/>
        <w:jc w:val="center"/>
      </w:pPr>
      <w:r>
        <w:rPr>
          <w:noProof/>
        </w:rPr>
        <w:drawing>
          <wp:inline distT="0" distB="0" distL="0" distR="0" wp14:anchorId="1929D654" wp14:editId="1DD8D416">
            <wp:extent cx="2838090" cy="3641982"/>
            <wp:effectExtent l="0" t="0" r="635" b="0"/>
            <wp:docPr id="113" name="Picture 113" descr="The proportion of adults doing sufficient physical activity has not improved since 2015, with only 51.7 per cent of Victorian adults met the physical activity guidelines. Our target for a 10 per cent increase in adults meeting the physical activity guidelines is not on track. &#10;Physical activity is similar for men and women, people living in metropolitan and regional areas, and Aboriginal people living in Victoria. It is lower for people with lower income, at 43.2 per cent, lower for people with high psychological distress, at 44.2 per cent, and lower for people born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proportion of adults doing sufficient physical activity has not improved since 2015, with only 51.7 per cent of Victorian adults met the physical activity guidelines. Our target for a 10 per cent increase in adults meeting the physical activity guidelines is not on track. &#10;Physical activity is similar for men and women, people living in metropolitan and regional areas, and Aboriginal people living in Victoria. It is lower for people with lower income, at 43.2 per cent, lower for people with high psychological distress, at 44.2 per cent, and lower for people born overseas"/>
                    <pic:cNvPicPr/>
                  </pic:nvPicPr>
                  <pic:blipFill>
                    <a:blip r:embed="rId50"/>
                    <a:stretch>
                      <a:fillRect/>
                    </a:stretch>
                  </pic:blipFill>
                  <pic:spPr>
                    <a:xfrm>
                      <a:off x="0" y="0"/>
                      <a:ext cx="2840148" cy="3644623"/>
                    </a:xfrm>
                    <a:prstGeom prst="rect">
                      <a:avLst/>
                    </a:prstGeom>
                  </pic:spPr>
                </pic:pic>
              </a:graphicData>
            </a:graphic>
          </wp:inline>
        </w:drawing>
      </w:r>
    </w:p>
    <w:p w14:paraId="6F965538" w14:textId="4693E782" w:rsidR="00617F78" w:rsidRDefault="00617F78" w:rsidP="006E5C33">
      <w:pPr>
        <w:pStyle w:val="Tablefigurenote"/>
      </w:pPr>
      <w:bookmarkStart w:id="46" w:name="_Ref132383194"/>
      <w:r>
        <w:t>Source: Victorian Population Health Survey</w:t>
      </w:r>
      <w:r w:rsidR="00137CE2">
        <w:fldChar w:fldCharType="begin"/>
      </w:r>
      <w:r w:rsidR="00137CE2">
        <w:instrText xml:space="preserve"> NOTEREF _Ref150505259 \f \h </w:instrText>
      </w:r>
      <w:r w:rsidR="006E5C33">
        <w:instrText xml:space="preserve"> \* MERGEFORMAT </w:instrText>
      </w:r>
      <w:r w:rsidR="00137CE2">
        <w:fldChar w:fldCharType="separate"/>
      </w:r>
      <w:r w:rsidR="001400D6" w:rsidRPr="001400D6">
        <w:rPr>
          <w:rStyle w:val="EndnoteReference"/>
        </w:rPr>
        <w:t>35</w:t>
      </w:r>
      <w:r w:rsidR="00137CE2">
        <w:fldChar w:fldCharType="end"/>
      </w:r>
      <w:bookmarkEnd w:id="46"/>
    </w:p>
    <w:p w14:paraId="7DA37234" w14:textId="7DE4D828" w:rsidR="00617F78" w:rsidRDefault="0021087F" w:rsidP="0021087F">
      <w:pPr>
        <w:pStyle w:val="Bullet1"/>
        <w:numPr>
          <w:ilvl w:val="0"/>
          <w:numId w:val="0"/>
        </w:numPr>
        <w:ind w:left="284" w:hanging="284"/>
        <w:jc w:val="center"/>
        <w:rPr>
          <w:noProof/>
        </w:rPr>
      </w:pPr>
      <w:r>
        <w:rPr>
          <w:noProof/>
        </w:rPr>
        <w:lastRenderedPageBreak/>
        <w:drawing>
          <wp:inline distT="0" distB="0" distL="0" distR="0" wp14:anchorId="7D4DD08C" wp14:editId="5E93C25F">
            <wp:extent cx="2881223" cy="2987410"/>
            <wp:effectExtent l="0" t="0" r="0" b="3810"/>
            <wp:docPr id="112" name="Picture 112" descr="The proportion of adolescents meeting the physical activity guidelines decreased significantly from 26.0 per cent in 2014 to 23.4 per cent in 2018. The target of 20% increase by 2025 is not on track.&#10;Male students were more likely to meet the physical activity guideline, at 30 per cent. This significantly declined with age, from 31.4 per cent in Year 5 to 11.9 per cent in Year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proportion of adolescents meeting the physical activity guidelines decreased significantly from 26.0 per cent in 2014 to 23.4 per cent in 2018. The target of 20% increase by 2025 is not on track.&#10;Male students were more likely to meet the physical activity guideline, at 30 per cent. This significantly declined with age, from 31.4 per cent in Year 5 to 11.9 per cent in Year 11. "/>
                    <pic:cNvPicPr/>
                  </pic:nvPicPr>
                  <pic:blipFill>
                    <a:blip r:embed="rId51"/>
                    <a:stretch>
                      <a:fillRect/>
                    </a:stretch>
                  </pic:blipFill>
                  <pic:spPr>
                    <a:xfrm>
                      <a:off x="0" y="0"/>
                      <a:ext cx="2889632" cy="2996129"/>
                    </a:xfrm>
                    <a:prstGeom prst="rect">
                      <a:avLst/>
                    </a:prstGeom>
                  </pic:spPr>
                </pic:pic>
              </a:graphicData>
            </a:graphic>
          </wp:inline>
        </w:drawing>
      </w:r>
    </w:p>
    <w:p w14:paraId="1B173933" w14:textId="37767995" w:rsidR="00617F78" w:rsidRPr="006E5C33" w:rsidRDefault="00617F78" w:rsidP="006E5C33">
      <w:pPr>
        <w:pStyle w:val="Tablefigurenote"/>
      </w:pPr>
      <w:bookmarkStart w:id="47" w:name="_Ref132383850"/>
      <w:r w:rsidRPr="006E5C33">
        <w:t>Source: Victorian Student Health and Wellbeing Survey</w:t>
      </w:r>
      <w:r w:rsidR="00D9659E" w:rsidRPr="001400D6">
        <w:rPr>
          <w:vertAlign w:val="superscript"/>
        </w:rPr>
        <w:fldChar w:fldCharType="begin"/>
      </w:r>
      <w:r w:rsidR="00D9659E" w:rsidRPr="001400D6">
        <w:rPr>
          <w:vertAlign w:val="superscript"/>
        </w:rPr>
        <w:instrText xml:space="preserve"> NOTEREF _Ref150505041 \f \h </w:instrText>
      </w:r>
      <w:r w:rsidR="006E5C33" w:rsidRPr="001400D6">
        <w:rPr>
          <w:vertAlign w:val="superscript"/>
        </w:rPr>
        <w:instrText xml:space="preserve"> \* MERGEFORMAT </w:instrText>
      </w:r>
      <w:r w:rsidR="00D9659E" w:rsidRPr="001400D6">
        <w:rPr>
          <w:vertAlign w:val="superscript"/>
        </w:rPr>
      </w:r>
      <w:r w:rsidR="00D9659E" w:rsidRPr="001400D6">
        <w:rPr>
          <w:vertAlign w:val="superscript"/>
        </w:rPr>
        <w:fldChar w:fldCharType="separate"/>
      </w:r>
      <w:r w:rsidR="001400D6" w:rsidRPr="001400D6">
        <w:rPr>
          <w:vertAlign w:val="superscript"/>
        </w:rPr>
        <w:t>37</w:t>
      </w:r>
      <w:r w:rsidR="00D9659E" w:rsidRPr="001400D6">
        <w:rPr>
          <w:vertAlign w:val="superscript"/>
        </w:rPr>
        <w:fldChar w:fldCharType="end"/>
      </w:r>
      <w:bookmarkEnd w:id="47"/>
    </w:p>
    <w:p w14:paraId="6E9DC982" w14:textId="4AA71F06" w:rsidR="00617F78" w:rsidRDefault="0021087F" w:rsidP="00506713">
      <w:pPr>
        <w:pStyle w:val="Bullet1"/>
        <w:numPr>
          <w:ilvl w:val="0"/>
          <w:numId w:val="0"/>
        </w:numPr>
        <w:ind w:left="284" w:hanging="284"/>
        <w:jc w:val="center"/>
        <w:rPr>
          <w:noProof/>
        </w:rPr>
      </w:pPr>
      <w:r>
        <w:rPr>
          <w:noProof/>
        </w:rPr>
        <w:drawing>
          <wp:inline distT="0" distB="0" distL="0" distR="0" wp14:anchorId="18603D92" wp14:editId="326E4057">
            <wp:extent cx="3838575" cy="2190750"/>
            <wp:effectExtent l="0" t="0" r="9525" b="0"/>
            <wp:docPr id="114" name="Picture 114" descr="The proportion of children aged 5-12 years meeting the physical activity guidelines is 47.3 per cent, and this had decreased consistently from 62.2 per cent in 201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proportion of children aged 5-12 years meeting the physical activity guidelines is 47.3 per cent, and this had decreased consistently from 62.2 per cent in 2013 . "/>
                    <pic:cNvPicPr/>
                  </pic:nvPicPr>
                  <pic:blipFill>
                    <a:blip r:embed="rId52"/>
                    <a:stretch>
                      <a:fillRect/>
                    </a:stretch>
                  </pic:blipFill>
                  <pic:spPr>
                    <a:xfrm>
                      <a:off x="0" y="0"/>
                      <a:ext cx="3838575" cy="2190750"/>
                    </a:xfrm>
                    <a:prstGeom prst="rect">
                      <a:avLst/>
                    </a:prstGeom>
                  </pic:spPr>
                </pic:pic>
              </a:graphicData>
            </a:graphic>
          </wp:inline>
        </w:drawing>
      </w:r>
    </w:p>
    <w:p w14:paraId="546BBF88" w14:textId="6D3B5D32" w:rsidR="00617F78" w:rsidRPr="00E06AF9" w:rsidRDefault="00617F78" w:rsidP="006E5C33">
      <w:pPr>
        <w:pStyle w:val="Tablefigurenote"/>
      </w:pPr>
      <w:r>
        <w:t xml:space="preserve">Source: Victorian Child Health and </w:t>
      </w:r>
      <w:r w:rsidR="003F125C">
        <w:t>Wellbeing</w:t>
      </w:r>
      <w:r>
        <w:t xml:space="preserve"> Survey</w:t>
      </w:r>
      <w:bookmarkStart w:id="48" w:name="_Ref132383831"/>
      <w:r w:rsidR="00D9659E" w:rsidRPr="001400D6">
        <w:rPr>
          <w:vertAlign w:val="superscript"/>
        </w:rPr>
        <w:fldChar w:fldCharType="begin"/>
      </w:r>
      <w:r w:rsidR="00D9659E" w:rsidRPr="001400D6">
        <w:rPr>
          <w:vertAlign w:val="superscript"/>
        </w:rPr>
        <w:instrText xml:space="preserve"> NOTEREF _Ref150505563 \f \h </w:instrText>
      </w:r>
      <w:r w:rsidR="006E5C33" w:rsidRPr="001400D6">
        <w:rPr>
          <w:vertAlign w:val="superscript"/>
        </w:rPr>
        <w:instrText xml:space="preserve"> \* MERGEFORMAT </w:instrText>
      </w:r>
      <w:r w:rsidR="00D9659E" w:rsidRPr="001400D6">
        <w:rPr>
          <w:vertAlign w:val="superscript"/>
        </w:rPr>
      </w:r>
      <w:r w:rsidR="00D9659E" w:rsidRPr="001400D6">
        <w:rPr>
          <w:vertAlign w:val="superscript"/>
        </w:rPr>
        <w:fldChar w:fldCharType="separate"/>
      </w:r>
      <w:r w:rsidR="001400D6" w:rsidRPr="001400D6">
        <w:rPr>
          <w:vertAlign w:val="superscript"/>
        </w:rPr>
        <w:t>29</w:t>
      </w:r>
      <w:r w:rsidR="00D9659E" w:rsidRPr="001400D6">
        <w:rPr>
          <w:vertAlign w:val="superscript"/>
        </w:rPr>
        <w:fldChar w:fldCharType="end"/>
      </w:r>
      <w:bookmarkEnd w:id="48"/>
    </w:p>
    <w:p w14:paraId="6B0D8BC9" w14:textId="77777777" w:rsidR="00617F78" w:rsidRPr="005744A4" w:rsidRDefault="00617F78" w:rsidP="008B5E9B">
      <w:pPr>
        <w:pStyle w:val="Heading4"/>
      </w:pPr>
      <w:r w:rsidRPr="005744A4">
        <w:t>Screen time</w:t>
      </w:r>
    </w:p>
    <w:p w14:paraId="13CF390B" w14:textId="5F2EB1A0" w:rsidR="00617F78" w:rsidRPr="006E5C33" w:rsidRDefault="00617F78" w:rsidP="006E5C33">
      <w:pPr>
        <w:pStyle w:val="Body"/>
      </w:pPr>
      <w:r w:rsidRPr="006E5C33">
        <w:t xml:space="preserve">The amount of time spent using screens has </w:t>
      </w:r>
      <w:r w:rsidR="003F125C">
        <w:t>been linked</w:t>
      </w:r>
      <w:r w:rsidRPr="006E5C33">
        <w:t xml:space="preserve"> with obesity, sleep problems, depression and anxiety, and sedentary behaviour</w:t>
      </w:r>
      <w:r w:rsidR="003F125C">
        <w:t>. It can also</w:t>
      </w:r>
      <w:r w:rsidRPr="006E5C33">
        <w:t xml:space="preserve"> impact development of physical and cognitive abilities</w:t>
      </w:r>
      <w:r w:rsidR="00461E45">
        <w:t>.</w:t>
      </w:r>
      <w:r w:rsidRPr="006A6F63">
        <w:rPr>
          <w:rStyle w:val="EndnoteReference"/>
        </w:rPr>
        <w:endnoteReference w:id="68"/>
      </w:r>
      <w:r w:rsidRPr="006E5C33">
        <w:t xml:space="preserve"> Over recent years, screen time has become more complicated, with an ever-expanding variety of electronic media devices available</w:t>
      </w:r>
      <w:r w:rsidR="003F125C">
        <w:t>,</w:t>
      </w:r>
      <w:r w:rsidRPr="006E5C33">
        <w:t xml:space="preserve"> including computer use, video games and ownership of devices, such as tablets and smart phones, </w:t>
      </w:r>
      <w:r w:rsidR="003F125C">
        <w:t xml:space="preserve">which are </w:t>
      </w:r>
      <w:r w:rsidRPr="006E5C33">
        <w:t xml:space="preserve">frequently required for work and education, and from an increasingly young age. </w:t>
      </w:r>
    </w:p>
    <w:p w14:paraId="3DE818B7" w14:textId="264E27A6" w:rsidR="00617F78" w:rsidRDefault="0021087F" w:rsidP="000364B0">
      <w:pPr>
        <w:pStyle w:val="Body"/>
        <w:spacing w:line="276" w:lineRule="auto"/>
        <w:jc w:val="center"/>
      </w:pPr>
      <w:r>
        <w:rPr>
          <w:noProof/>
        </w:rPr>
        <w:lastRenderedPageBreak/>
        <w:drawing>
          <wp:inline distT="0" distB="0" distL="0" distR="0" wp14:anchorId="6A49490C" wp14:editId="514384E5">
            <wp:extent cx="3433314" cy="2373026"/>
            <wp:effectExtent l="0" t="0" r="0" b="8255"/>
            <wp:docPr id="115" name="Picture 115" descr="The proportion of children aged 5-12 who used electronic media for recreation for more than two hours per day remained stable at around 18 per cent between 2013 and 2019. It has almost doubled in 2021 compared to 2019, to 32.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he proportion of children aged 5-12 who used electronic media for recreation for more than two hours per day remained stable at around 18 per cent between 2013 and 2019. It has almost doubled in 2021 compared to 2019, to 32.5 per cent."/>
                    <pic:cNvPicPr/>
                  </pic:nvPicPr>
                  <pic:blipFill>
                    <a:blip r:embed="rId53"/>
                    <a:stretch>
                      <a:fillRect/>
                    </a:stretch>
                  </pic:blipFill>
                  <pic:spPr>
                    <a:xfrm>
                      <a:off x="0" y="0"/>
                      <a:ext cx="3437504" cy="2375922"/>
                    </a:xfrm>
                    <a:prstGeom prst="rect">
                      <a:avLst/>
                    </a:prstGeom>
                  </pic:spPr>
                </pic:pic>
              </a:graphicData>
            </a:graphic>
          </wp:inline>
        </w:drawing>
      </w:r>
    </w:p>
    <w:p w14:paraId="512B285C" w14:textId="75D65ADB" w:rsidR="00617F78" w:rsidRDefault="00617F78" w:rsidP="000364B0">
      <w:pPr>
        <w:pStyle w:val="Body"/>
        <w:spacing w:line="276" w:lineRule="auto"/>
        <w:jc w:val="center"/>
      </w:pPr>
      <w:r>
        <w:t>Source: Victorian Child Health and Wellbeing Survey</w:t>
      </w:r>
      <w:r w:rsidR="00D9659E">
        <w:fldChar w:fldCharType="begin"/>
      </w:r>
      <w:r w:rsidR="00D9659E">
        <w:instrText xml:space="preserve"> NOTEREF _Ref150505563 \f \h </w:instrText>
      </w:r>
      <w:r w:rsidR="00D9659E">
        <w:fldChar w:fldCharType="separate"/>
      </w:r>
      <w:r w:rsidR="001400D6" w:rsidRPr="001400D6">
        <w:rPr>
          <w:rStyle w:val="EndnoteReference"/>
        </w:rPr>
        <w:t>29</w:t>
      </w:r>
      <w:r w:rsidR="00D9659E">
        <w:fldChar w:fldCharType="end"/>
      </w:r>
    </w:p>
    <w:p w14:paraId="3ADA623D" w14:textId="4A101278" w:rsidR="00617F78" w:rsidRDefault="0021087F" w:rsidP="000364B0">
      <w:pPr>
        <w:pStyle w:val="Body"/>
        <w:jc w:val="center"/>
      </w:pPr>
      <w:r>
        <w:rPr>
          <w:noProof/>
        </w:rPr>
        <w:drawing>
          <wp:inline distT="0" distB="0" distL="0" distR="0" wp14:anchorId="12C3F992" wp14:editId="4DD6F209">
            <wp:extent cx="3355676" cy="2465226"/>
            <wp:effectExtent l="0" t="0" r="0" b="0"/>
            <wp:docPr id="116" name="Picture 116" descr="The proportion of adolescents who used electronic media for recreation for more than two hours per day has increased from 61.2 per cent in 2014 to 64.4 per cent in 2018. It is higher for year 11 students, at 78.3 per cent, compared with year 5 students, at 51.2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e proportion of adolescents who used electronic media for recreation for more than two hours per day has increased from 61.2 per cent in 2014 to 64.4 per cent in 2018. It is higher for year 11 students, at 78.3 per cent, compared with year 5 students, at 51.2 per cent. "/>
                    <pic:cNvPicPr/>
                  </pic:nvPicPr>
                  <pic:blipFill>
                    <a:blip r:embed="rId54"/>
                    <a:stretch>
                      <a:fillRect/>
                    </a:stretch>
                  </pic:blipFill>
                  <pic:spPr>
                    <a:xfrm>
                      <a:off x="0" y="0"/>
                      <a:ext cx="3361718" cy="2469665"/>
                    </a:xfrm>
                    <a:prstGeom prst="rect">
                      <a:avLst/>
                    </a:prstGeom>
                  </pic:spPr>
                </pic:pic>
              </a:graphicData>
            </a:graphic>
          </wp:inline>
        </w:drawing>
      </w:r>
    </w:p>
    <w:p w14:paraId="267B8E66" w14:textId="3306C800" w:rsidR="00617F78" w:rsidRDefault="00617F78" w:rsidP="006E5C33">
      <w:pPr>
        <w:pStyle w:val="Tablefigurenote"/>
      </w:pPr>
      <w:r>
        <w:t>Source: Victorian Student Health and Wellbeing Survey</w:t>
      </w:r>
      <w:r w:rsidR="008123B0" w:rsidRPr="001400D6">
        <w:rPr>
          <w:vertAlign w:val="superscript"/>
        </w:rPr>
        <w:fldChar w:fldCharType="begin"/>
      </w:r>
      <w:r w:rsidR="008123B0" w:rsidRPr="001400D6">
        <w:rPr>
          <w:vertAlign w:val="superscript"/>
        </w:rPr>
        <w:instrText xml:space="preserve"> NOTEREF _Ref150505041 \f \h </w:instrText>
      </w:r>
      <w:r w:rsidR="006E5C33" w:rsidRPr="001400D6">
        <w:rPr>
          <w:vertAlign w:val="superscript"/>
        </w:rPr>
        <w:instrText xml:space="preserve"> \* MERGEFORMAT </w:instrText>
      </w:r>
      <w:r w:rsidR="008123B0" w:rsidRPr="001400D6">
        <w:rPr>
          <w:vertAlign w:val="superscript"/>
        </w:rPr>
      </w:r>
      <w:r w:rsidR="008123B0" w:rsidRPr="001400D6">
        <w:rPr>
          <w:vertAlign w:val="superscript"/>
        </w:rPr>
        <w:fldChar w:fldCharType="separate"/>
      </w:r>
      <w:r w:rsidR="001400D6" w:rsidRPr="001400D6">
        <w:rPr>
          <w:vertAlign w:val="superscript"/>
        </w:rPr>
        <w:t>37</w:t>
      </w:r>
      <w:r w:rsidR="008123B0" w:rsidRPr="001400D6">
        <w:rPr>
          <w:vertAlign w:val="superscript"/>
        </w:rPr>
        <w:fldChar w:fldCharType="end"/>
      </w:r>
    </w:p>
    <w:p w14:paraId="447260B7" w14:textId="1C383F66" w:rsidR="00617F78" w:rsidRDefault="00617F78" w:rsidP="008B5E9B">
      <w:pPr>
        <w:pStyle w:val="Heading3"/>
      </w:pPr>
      <w:r>
        <w:t xml:space="preserve">Reduce overweight and </w:t>
      </w:r>
      <w:proofErr w:type="gramStart"/>
      <w:r>
        <w:t>obesity</w:t>
      </w:r>
      <w:proofErr w:type="gramEnd"/>
    </w:p>
    <w:p w14:paraId="77D302CB" w14:textId="1260A22E" w:rsidR="003F125C" w:rsidRDefault="00617F78" w:rsidP="006E5C33">
      <w:pPr>
        <w:pStyle w:val="Body"/>
        <w:spacing w:line="276" w:lineRule="auto"/>
        <w:rPr>
          <w:rFonts w:cs="Arial"/>
          <w:color w:val="000000" w:themeColor="text1"/>
        </w:rPr>
      </w:pPr>
      <w:r w:rsidRPr="056FD388">
        <w:rPr>
          <w:rFonts w:cs="Arial"/>
          <w:color w:val="000000" w:themeColor="text1"/>
        </w:rPr>
        <w:t xml:space="preserve">Obesity </w:t>
      </w:r>
      <w:r>
        <w:rPr>
          <w:rFonts w:cs="Arial"/>
          <w:color w:val="000000" w:themeColor="text1"/>
        </w:rPr>
        <w:t xml:space="preserve">is close to overtaking tobacco as the leading risk factor contributing to </w:t>
      </w:r>
      <w:r w:rsidRPr="056FD388">
        <w:rPr>
          <w:rFonts w:cs="Arial"/>
          <w:color w:val="000000" w:themeColor="text1"/>
        </w:rPr>
        <w:t>non-communicable disease</w:t>
      </w:r>
      <w:r w:rsidR="00461E45">
        <w:rPr>
          <w:rFonts w:cs="Arial"/>
          <w:color w:val="000000" w:themeColor="text1"/>
        </w:rPr>
        <w:t>.</w:t>
      </w:r>
      <w:r>
        <w:rPr>
          <w:rStyle w:val="EndnoteReference"/>
          <w:rFonts w:cs="Arial"/>
          <w:color w:val="000000" w:themeColor="text1"/>
        </w:rPr>
        <w:endnoteReference w:id="69"/>
      </w:r>
      <w:r>
        <w:rPr>
          <w:rFonts w:cs="Arial"/>
          <w:color w:val="000000" w:themeColor="text1"/>
        </w:rPr>
        <w:t xml:space="preserve"> Overweight and obesity increases the likelihood of developing many chronic conditions, such as cardiovascular disease, asthma, back problems, knee problems, chronic kidney disease, dementia, </w:t>
      </w:r>
      <w:proofErr w:type="gramStart"/>
      <w:r>
        <w:rPr>
          <w:rFonts w:cs="Arial"/>
          <w:color w:val="000000" w:themeColor="text1"/>
        </w:rPr>
        <w:t>diabetes</w:t>
      </w:r>
      <w:proofErr w:type="gramEnd"/>
      <w:r>
        <w:rPr>
          <w:rFonts w:cs="Arial"/>
          <w:color w:val="000000" w:themeColor="text1"/>
        </w:rPr>
        <w:t xml:space="preserve"> and some cancers</w:t>
      </w:r>
      <w:bookmarkStart w:id="49" w:name="_Ref132384271"/>
      <w:r w:rsidR="00461E45">
        <w:rPr>
          <w:rFonts w:cs="Arial"/>
          <w:color w:val="000000" w:themeColor="text1"/>
        </w:rPr>
        <w:t>.</w:t>
      </w:r>
      <w:r>
        <w:rPr>
          <w:rStyle w:val="EndnoteReference"/>
          <w:rFonts w:cs="Arial"/>
          <w:color w:val="000000" w:themeColor="text1"/>
        </w:rPr>
        <w:endnoteReference w:id="70"/>
      </w:r>
      <w:bookmarkEnd w:id="49"/>
    </w:p>
    <w:p w14:paraId="2A5953BC" w14:textId="1ED2A042" w:rsidR="00617F78" w:rsidRDefault="00617F78" w:rsidP="006E5C33">
      <w:pPr>
        <w:pStyle w:val="Body"/>
        <w:spacing w:line="276" w:lineRule="auto"/>
        <w:rPr>
          <w:rFonts w:cs="Arial"/>
          <w:color w:val="000000" w:themeColor="text1"/>
        </w:rPr>
      </w:pPr>
      <w:r>
        <w:rPr>
          <w:rFonts w:cs="Arial"/>
          <w:color w:val="000000" w:themeColor="text1"/>
        </w:rPr>
        <w:t xml:space="preserve">Evidence shows that if Australians at risk of disease due to overweight and obesity reduced their </w:t>
      </w:r>
      <w:r w:rsidR="003F125C">
        <w:rPr>
          <w:rFonts w:cs="Arial"/>
          <w:color w:val="000000" w:themeColor="text1"/>
        </w:rPr>
        <w:t>body mass index (</w:t>
      </w:r>
      <w:r>
        <w:rPr>
          <w:rFonts w:cs="Arial"/>
          <w:color w:val="000000" w:themeColor="text1"/>
        </w:rPr>
        <w:t>BMI</w:t>
      </w:r>
      <w:r w:rsidR="003F125C">
        <w:rPr>
          <w:rFonts w:cs="Arial"/>
          <w:color w:val="000000" w:themeColor="text1"/>
        </w:rPr>
        <w:t>)</w:t>
      </w:r>
      <w:r>
        <w:rPr>
          <w:rFonts w:cs="Arial"/>
          <w:color w:val="000000" w:themeColor="text1"/>
        </w:rPr>
        <w:t xml:space="preserve"> by one point, the burden of disease due to obesity would drop significantly</w:t>
      </w:r>
      <w:r w:rsidR="00461E45">
        <w:rPr>
          <w:rFonts w:cs="Arial"/>
          <w:color w:val="000000" w:themeColor="text1"/>
        </w:rPr>
        <w:t>.</w:t>
      </w:r>
      <w:r>
        <w:rPr>
          <w:rFonts w:cs="Arial"/>
          <w:color w:val="000000" w:themeColor="text1"/>
        </w:rPr>
        <w:fldChar w:fldCharType="begin"/>
      </w:r>
      <w:r>
        <w:rPr>
          <w:rFonts w:cs="Arial"/>
          <w:color w:val="000000" w:themeColor="text1"/>
        </w:rPr>
        <w:instrText xml:space="preserve"> NOTEREF _Ref132384271 \f </w:instrText>
      </w:r>
      <w:r w:rsidR="006E5C33">
        <w:rPr>
          <w:rFonts w:cs="Arial"/>
          <w:color w:val="000000" w:themeColor="text1"/>
        </w:rPr>
        <w:instrText xml:space="preserve"> \* MERGEFORMAT </w:instrText>
      </w:r>
      <w:r>
        <w:rPr>
          <w:rFonts w:cs="Arial"/>
          <w:color w:val="000000" w:themeColor="text1"/>
        </w:rPr>
        <w:fldChar w:fldCharType="separate"/>
      </w:r>
      <w:r w:rsidR="001400D6" w:rsidRPr="001400D6">
        <w:rPr>
          <w:rStyle w:val="EndnoteReference"/>
        </w:rPr>
        <w:t>69</w:t>
      </w:r>
      <w:r>
        <w:rPr>
          <w:rFonts w:cs="Arial"/>
          <w:color w:val="000000" w:themeColor="text1"/>
        </w:rPr>
        <w:fldChar w:fldCharType="end"/>
      </w:r>
      <w:r w:rsidR="003F125C">
        <w:rPr>
          <w:rFonts w:cs="Arial"/>
          <w:color w:val="000000" w:themeColor="text1"/>
        </w:rPr>
        <w:t xml:space="preserve"> H</w:t>
      </w:r>
      <w:r>
        <w:rPr>
          <w:rFonts w:cs="Arial"/>
          <w:color w:val="000000" w:themeColor="text1"/>
        </w:rPr>
        <w:t>alting the rise in obesity by maintaining weight over the lifetime would</w:t>
      </w:r>
      <w:r w:rsidR="003F125C">
        <w:rPr>
          <w:rFonts w:cs="Arial"/>
          <w:color w:val="000000" w:themeColor="text1"/>
        </w:rPr>
        <w:t xml:space="preserve"> also</w:t>
      </w:r>
      <w:r>
        <w:rPr>
          <w:rFonts w:cs="Arial"/>
          <w:color w:val="000000" w:themeColor="text1"/>
        </w:rPr>
        <w:t xml:space="preserve"> prevent a significant portion of the burden of disease. </w:t>
      </w:r>
    </w:p>
    <w:p w14:paraId="50BE29E4" w14:textId="58222EE3" w:rsidR="00617F78" w:rsidRPr="005B1DBD" w:rsidRDefault="00617F78" w:rsidP="006E5C33">
      <w:pPr>
        <w:pStyle w:val="Body"/>
        <w:spacing w:line="276" w:lineRule="auto"/>
        <w:rPr>
          <w:rFonts w:cs="Arial"/>
          <w:color w:val="000000" w:themeColor="text1"/>
        </w:rPr>
      </w:pPr>
      <w:r>
        <w:rPr>
          <w:rFonts w:cs="Arial"/>
          <w:color w:val="000000" w:themeColor="text1"/>
        </w:rPr>
        <w:t xml:space="preserve">It is now well understood that short-term interventions aimed at individual weight loss do not support individuals to maintain a healthy weight over the long term. Australia needs action at all levels to change our food environments and built environments to be healthy and sustainable, to support people to make healthy and active choices in the settings where we live, work and play. </w:t>
      </w:r>
    </w:p>
    <w:tbl>
      <w:tblPr>
        <w:tblStyle w:val="TableGrid"/>
        <w:tblW w:w="0" w:type="auto"/>
        <w:tblLook w:val="04A0" w:firstRow="1" w:lastRow="0" w:firstColumn="1" w:lastColumn="0" w:noHBand="0" w:noVBand="1"/>
      </w:tblPr>
      <w:tblGrid>
        <w:gridCol w:w="9288"/>
      </w:tblGrid>
      <w:tr w:rsidR="006E5C33" w14:paraId="616B220A" w14:textId="77777777">
        <w:tc>
          <w:tcPr>
            <w:tcW w:w="9288" w:type="dxa"/>
          </w:tcPr>
          <w:p w14:paraId="61411AF4" w14:textId="50C5C1B6" w:rsidR="006E5C33" w:rsidRPr="00B45D5C" w:rsidRDefault="006E5C33">
            <w:pPr>
              <w:rPr>
                <w:b/>
                <w:bCs/>
              </w:rPr>
            </w:pPr>
            <w:r w:rsidRPr="00B45D5C">
              <w:rPr>
                <w:b/>
                <w:bCs/>
              </w:rPr>
              <w:t>A note on</w:t>
            </w:r>
            <w:r>
              <w:rPr>
                <w:b/>
                <w:bCs/>
              </w:rPr>
              <w:t xml:space="preserve"> using</w:t>
            </w:r>
            <w:r w:rsidRPr="00B45D5C">
              <w:rPr>
                <w:b/>
                <w:bCs/>
              </w:rPr>
              <w:t xml:space="preserve"> </w:t>
            </w:r>
            <w:r>
              <w:rPr>
                <w:b/>
                <w:bCs/>
              </w:rPr>
              <w:t xml:space="preserve">the </w:t>
            </w:r>
            <w:proofErr w:type="gramStart"/>
            <w:r>
              <w:rPr>
                <w:b/>
                <w:bCs/>
              </w:rPr>
              <w:t>BMI</w:t>
            </w:r>
            <w:proofErr w:type="gramEnd"/>
            <w:r w:rsidRPr="00B45D5C">
              <w:rPr>
                <w:b/>
                <w:bCs/>
              </w:rPr>
              <w:t xml:space="preserve"> </w:t>
            </w:r>
          </w:p>
          <w:p w14:paraId="44E12C8B" w14:textId="619012A0" w:rsidR="003F125C" w:rsidRDefault="006E5C33">
            <w:pPr>
              <w:pStyle w:val="Body"/>
              <w:rPr>
                <w:b/>
                <w:bCs/>
              </w:rPr>
            </w:pPr>
            <w:r w:rsidRPr="00CF62B6">
              <w:lastRenderedPageBreak/>
              <w:t xml:space="preserve">At the population level, a commonly used categorisation of body weight status is the BMI, </w:t>
            </w:r>
            <w:r w:rsidR="003F125C">
              <w:t>calculated using</w:t>
            </w:r>
            <w:r w:rsidRPr="00CF62B6">
              <w:t xml:space="preserve"> </w:t>
            </w:r>
            <w:r w:rsidR="003F125C">
              <w:t xml:space="preserve">the </w:t>
            </w:r>
            <w:r w:rsidRPr="00CF62B6">
              <w:t>height and weight of the individual [BMI = weight (kg)/height (m2)]. According to the BMI weight categories, anyone with a BMI of 25 or higher is overweight</w:t>
            </w:r>
            <w:r w:rsidR="003F125C">
              <w:t>,</w:t>
            </w:r>
            <w:r w:rsidRPr="00CF62B6">
              <w:t xml:space="preserve"> and a BMI of 30 or higher is classified as obese</w:t>
            </w:r>
            <w:r w:rsidRPr="00CF62B6">
              <w:rPr>
                <w:b/>
                <w:bCs/>
              </w:rPr>
              <w:t>.</w:t>
            </w:r>
          </w:p>
          <w:p w14:paraId="19B3E852" w14:textId="22BB0199" w:rsidR="006E5C33" w:rsidRPr="00CF62B6" w:rsidRDefault="006E5C33">
            <w:pPr>
              <w:pStyle w:val="Body"/>
            </w:pPr>
            <w:r>
              <w:t>H</w:t>
            </w:r>
            <w:r w:rsidRPr="00CF62B6">
              <w:t xml:space="preserve">owever, </w:t>
            </w:r>
            <w:r>
              <w:t xml:space="preserve">BMI </w:t>
            </w:r>
            <w:r w:rsidRPr="00CF62B6">
              <w:t>is a poor measure of body fat percentage</w:t>
            </w:r>
            <w:r w:rsidR="003F125C">
              <w:t>,</w:t>
            </w:r>
            <w:r w:rsidRPr="00CF62B6">
              <w:t xml:space="preserve"> because it cannot distinguish between body fat and muscle. Therefore, an individual who is very muscular, with a low body fat percentage, could be classified as obese. Nevertheless, BMI still has a place in monitoring the health of a population</w:t>
            </w:r>
            <w:r w:rsidR="003F125C">
              <w:t>,</w:t>
            </w:r>
            <w:r w:rsidRPr="00CF62B6">
              <w:t xml:space="preserve"> because </w:t>
            </w:r>
            <w:r w:rsidR="003F125C">
              <w:t>the</w:t>
            </w:r>
            <w:r w:rsidR="003F125C" w:rsidRPr="00CF62B6">
              <w:t xml:space="preserve"> </w:t>
            </w:r>
            <w:r w:rsidRPr="00CF62B6">
              <w:t xml:space="preserve">data </w:t>
            </w:r>
            <w:r w:rsidR="003F125C">
              <w:t xml:space="preserve">is </w:t>
            </w:r>
            <w:r>
              <w:t>easy</w:t>
            </w:r>
            <w:r w:rsidRPr="00CF62B6">
              <w:t xml:space="preserve"> to collect and can be used to</w:t>
            </w:r>
            <w:r>
              <w:t xml:space="preserve"> monitor trends</w:t>
            </w:r>
            <w:r w:rsidRPr="00CF62B6">
              <w:t xml:space="preserve"> over time (Victorian Agency for Health Information, 2021). </w:t>
            </w:r>
          </w:p>
          <w:p w14:paraId="25E457ED" w14:textId="0137933F" w:rsidR="006E5C33" w:rsidRPr="00CF62B6" w:rsidRDefault="006E5C33">
            <w:pPr>
              <w:pStyle w:val="Body"/>
            </w:pPr>
            <w:r w:rsidRPr="00CF62B6">
              <w:t xml:space="preserve">Self-reports and collecting physical measurements of height and weight result in different population estimates. </w:t>
            </w:r>
            <w:r>
              <w:t>People</w:t>
            </w:r>
            <w:r w:rsidRPr="00CF62B6">
              <w:t xml:space="preserve"> typically underreport their weight and over-report their height, leading to lower estimates of their </w:t>
            </w:r>
            <w:r w:rsidR="003F125C">
              <w:t>BMI</w:t>
            </w:r>
            <w:r w:rsidRPr="00CF62B6">
              <w:t xml:space="preserve"> and</w:t>
            </w:r>
            <w:r w:rsidR="003F125C">
              <w:t>,</w:t>
            </w:r>
            <w:r w:rsidRPr="00CF62B6">
              <w:t xml:space="preserve"> therefore</w:t>
            </w:r>
            <w:r w:rsidR="003F125C">
              <w:t>,</w:t>
            </w:r>
            <w:r w:rsidRPr="00CF62B6">
              <w:t xml:space="preserve"> lower estimates of the prevalence of overweight and obesity (Victorian Agency for Health Information, 2021).</w:t>
            </w:r>
            <w:r>
              <w:t xml:space="preserve"> </w:t>
            </w:r>
            <w:r w:rsidRPr="00CF62B6">
              <w:t xml:space="preserve">In the National Health Survey undertaken by the </w:t>
            </w:r>
            <w:r w:rsidR="009D088B">
              <w:t>ABS</w:t>
            </w:r>
            <w:r w:rsidRPr="00CF62B6">
              <w:t xml:space="preserve">, height and weight measurements are collected by a researcher to generate the estimates. </w:t>
            </w:r>
            <w:r>
              <w:t xml:space="preserve">In the Victorian Population Health Survey, the height and weight estimates are self-reported. While this leads to discrepancies in the overall proportion of people who are overweight and obese, similar trends are reflected in both sources, and both are considered reliable. </w:t>
            </w:r>
          </w:p>
          <w:p w14:paraId="440DD32C" w14:textId="0D855EF9" w:rsidR="006E5C33" w:rsidRPr="00973FC9" w:rsidRDefault="006E5C33">
            <w:pPr>
              <w:pStyle w:val="FootnoteText"/>
            </w:pPr>
            <w:r w:rsidRPr="008965CA">
              <w:t>S</w:t>
            </w:r>
            <w:r w:rsidRPr="00D31081">
              <w:rPr>
                <w:rStyle w:val="FootnoteTextChar"/>
              </w:rPr>
              <w:t xml:space="preserve">ource: Victorian Agency for Health Information, Victorian </w:t>
            </w:r>
            <w:r w:rsidR="00414D97">
              <w:rPr>
                <w:rStyle w:val="FootnoteTextChar"/>
              </w:rPr>
              <w:t>P</w:t>
            </w:r>
            <w:r w:rsidRPr="00D31081">
              <w:rPr>
                <w:rStyle w:val="FootnoteTextChar"/>
              </w:rPr>
              <w:t xml:space="preserve">opulation </w:t>
            </w:r>
            <w:r w:rsidR="00414D97">
              <w:rPr>
                <w:rStyle w:val="FootnoteTextChar"/>
              </w:rPr>
              <w:t>H</w:t>
            </w:r>
            <w:r w:rsidRPr="00D31081">
              <w:rPr>
                <w:rStyle w:val="FootnoteTextChar"/>
              </w:rPr>
              <w:t xml:space="preserve">ealth </w:t>
            </w:r>
            <w:r w:rsidR="00414D97">
              <w:rPr>
                <w:rStyle w:val="FootnoteTextChar"/>
              </w:rPr>
              <w:t>S</w:t>
            </w:r>
            <w:r w:rsidRPr="00D31081">
              <w:rPr>
                <w:rStyle w:val="FootnoteTextChar"/>
              </w:rPr>
              <w:t xml:space="preserve">urvey 2019 report, Victorian Department of Health, Melbourne. </w:t>
            </w:r>
          </w:p>
        </w:tc>
      </w:tr>
    </w:tbl>
    <w:p w14:paraId="3AB8B1EA" w14:textId="1E8ECDD3" w:rsidR="00617F78" w:rsidRDefault="0021087F" w:rsidP="00BF5FCA">
      <w:pPr>
        <w:pStyle w:val="Body"/>
        <w:spacing w:line="276" w:lineRule="auto"/>
        <w:jc w:val="both"/>
        <w:rPr>
          <w:rFonts w:cs="Arial"/>
          <w:color w:val="000000" w:themeColor="text1"/>
          <w:shd w:val="clear" w:color="auto" w:fill="FFFFFF"/>
        </w:rPr>
      </w:pPr>
      <w:r>
        <w:rPr>
          <w:noProof/>
        </w:rPr>
        <w:lastRenderedPageBreak/>
        <w:drawing>
          <wp:inline distT="0" distB="0" distL="0" distR="0" wp14:anchorId="55A0AF8B" wp14:editId="4CC458FD">
            <wp:extent cx="2984739" cy="3653732"/>
            <wp:effectExtent l="0" t="0" r="6350" b="4445"/>
            <wp:docPr id="117" name="Picture 117" descr="The proportion of adults who are overweight or obese has increased by 5 per cent since 2014-15, at 68.3 per cent in 2017-18. Our target to achieve a 5 per cent decrease in prevalence of overweight and obesity in children and adults by 2025 is not on track.Overweight and obesity is higher in men, at 75.9 per cent, and is higher in those most disadvantaged, at 73.7 per cent. It increases with age, at 50% for Victorians aged 18-24 years, increasing to 65 per cent for people aged 25-44, and again to 75 per cent for people aged 45-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he proportion of adults who are overweight or obese has increased by 5 per cent since 2014-15, at 68.3 per cent in 2017-18. Our target to achieve a 5 per cent decrease in prevalence of overweight and obesity in children and adults by 2025 is not on track.Overweight and obesity is higher in men, at 75.9 per cent, and is higher in those most disadvantaged, at 73.7 per cent. It increases with age, at 50% for Victorians aged 18-24 years, increasing to 65 per cent for people aged 25-44, and again to 75 per cent for people aged 45-64. "/>
                    <pic:cNvPicPr/>
                  </pic:nvPicPr>
                  <pic:blipFill>
                    <a:blip r:embed="rId55"/>
                    <a:stretch>
                      <a:fillRect/>
                    </a:stretch>
                  </pic:blipFill>
                  <pic:spPr>
                    <a:xfrm>
                      <a:off x="0" y="0"/>
                      <a:ext cx="2995077" cy="3666387"/>
                    </a:xfrm>
                    <a:prstGeom prst="rect">
                      <a:avLst/>
                    </a:prstGeom>
                  </pic:spPr>
                </pic:pic>
              </a:graphicData>
            </a:graphic>
          </wp:inline>
        </w:drawing>
      </w:r>
    </w:p>
    <w:p w14:paraId="65F3361B" w14:textId="592C5B57" w:rsidR="00617F78" w:rsidRPr="00D435FB" w:rsidRDefault="00617F78" w:rsidP="00D435FB">
      <w:pPr>
        <w:pStyle w:val="Tablefigurenote"/>
      </w:pPr>
      <w:bookmarkStart w:id="50" w:name="_Ref132384729"/>
      <w:r w:rsidRPr="00D435FB">
        <w:t xml:space="preserve">Source: </w:t>
      </w:r>
      <w:r w:rsidR="003E77A8">
        <w:t>ABS</w:t>
      </w:r>
      <w:r w:rsidR="008123B0" w:rsidRPr="00D435FB">
        <w:t xml:space="preserve">, </w:t>
      </w:r>
      <w:r w:rsidRPr="00D435FB">
        <w:t>National Health Survey</w:t>
      </w:r>
      <w:r w:rsidRPr="006A6F63">
        <w:rPr>
          <w:vertAlign w:val="superscript"/>
        </w:rPr>
        <w:endnoteReference w:id="71"/>
      </w:r>
      <w:bookmarkEnd w:id="50"/>
    </w:p>
    <w:p w14:paraId="5D452187" w14:textId="02585D77" w:rsidR="00617F78" w:rsidRPr="00484E6F" w:rsidRDefault="00617F78" w:rsidP="00D435FB">
      <w:pPr>
        <w:pStyle w:val="Bodyaftertablefigure"/>
        <w:rPr>
          <w:lang w:eastAsia="en-AU"/>
        </w:rPr>
      </w:pPr>
      <w:r w:rsidRPr="00484E6F">
        <w:rPr>
          <w:shd w:val="clear" w:color="auto" w:fill="FFFFFF"/>
        </w:rPr>
        <w:t>Th</w:t>
      </w:r>
      <w:r>
        <w:rPr>
          <w:shd w:val="clear" w:color="auto" w:fill="FFFFFF"/>
        </w:rPr>
        <w:t>ese findings</w:t>
      </w:r>
      <w:r w:rsidRPr="00484E6F">
        <w:rPr>
          <w:shd w:val="clear" w:color="auto" w:fill="FFFFFF"/>
        </w:rPr>
        <w:t xml:space="preserve"> indicate there is opportunity </w:t>
      </w:r>
      <w:r>
        <w:rPr>
          <w:shd w:val="clear" w:color="auto" w:fill="FFFFFF"/>
        </w:rPr>
        <w:t>for primary prevention by focusing on healthy weight management at all stages of life</w:t>
      </w:r>
      <w:r w:rsidRPr="00484E6F">
        <w:rPr>
          <w:shd w:val="clear" w:color="auto" w:fill="FFFFFF"/>
        </w:rPr>
        <w:t xml:space="preserve">, rather than </w:t>
      </w:r>
      <w:r>
        <w:rPr>
          <w:shd w:val="clear" w:color="auto" w:fill="FFFFFF"/>
        </w:rPr>
        <w:t>only focusing on</w:t>
      </w:r>
      <w:r w:rsidRPr="00484E6F">
        <w:rPr>
          <w:shd w:val="clear" w:color="auto" w:fill="FFFFFF"/>
        </w:rPr>
        <w:t xml:space="preserve"> losing weight. </w:t>
      </w:r>
    </w:p>
    <w:p w14:paraId="143B6DDD" w14:textId="64A6F5D7" w:rsidR="00617F78" w:rsidRDefault="00617F78" w:rsidP="00B501E3">
      <w:pPr>
        <w:pStyle w:val="Body"/>
      </w:pPr>
      <w:r>
        <w:t>T</w:t>
      </w:r>
      <w:r w:rsidRPr="00CD0DD2">
        <w:t>rends are reflected in the self-reported data captured by the Victorian Population Health Survey, although the numbers are slightly lower</w:t>
      </w:r>
      <w:r>
        <w:t>,</w:t>
      </w:r>
      <w:r w:rsidRPr="00CD0DD2">
        <w:t xml:space="preserve"> consistent with known limitations of self-reported</w:t>
      </w:r>
      <w:r>
        <w:t xml:space="preserve"> height and weight</w:t>
      </w:r>
      <w:r w:rsidRPr="00CD0DD2">
        <w:t xml:space="preserve"> data</w:t>
      </w:r>
      <w:r>
        <w:t xml:space="preserve">. </w:t>
      </w:r>
    </w:p>
    <w:p w14:paraId="14E7E7EC" w14:textId="611A04DA" w:rsidR="00617F78" w:rsidRDefault="00617F78" w:rsidP="00B501E3">
      <w:pPr>
        <w:pStyle w:val="Body"/>
      </w:pPr>
      <w:r>
        <w:lastRenderedPageBreak/>
        <w:t xml:space="preserve">Recent results from the Victorian Population Health Survey show that the proportion of adults </w:t>
      </w:r>
      <w:r w:rsidR="00414D97">
        <w:t xml:space="preserve">who are </w:t>
      </w:r>
      <w:r>
        <w:t>overweight or obese has been steadily increasing from 50 per cent in 2015 to 51.3 per cent in 2020, and with a significant jump to 56.2 per cent in 2022</w:t>
      </w:r>
      <w:r w:rsidR="00461E45">
        <w:t>.</w:t>
      </w:r>
      <w:r w:rsidR="00ED2551">
        <w:fldChar w:fldCharType="begin"/>
      </w:r>
      <w:r w:rsidR="00ED2551">
        <w:instrText xml:space="preserve"> NOTEREF _Ref150505259 \f \h </w:instrText>
      </w:r>
      <w:r w:rsidR="00ED2551">
        <w:fldChar w:fldCharType="separate"/>
      </w:r>
      <w:r w:rsidR="001400D6" w:rsidRPr="001400D6">
        <w:rPr>
          <w:rStyle w:val="EndnoteReference"/>
        </w:rPr>
        <w:t>35</w:t>
      </w:r>
      <w:r w:rsidR="00ED2551">
        <w:fldChar w:fldCharType="end"/>
      </w:r>
      <w:r>
        <w:t xml:space="preserve"> This indicates that despite our collective efforts to reduce overweight and obesity across the state for many years, urgent action at all levels is needed if we are to meet our targets and see real improvements in this measure.</w:t>
      </w:r>
    </w:p>
    <w:p w14:paraId="3C0514B6" w14:textId="25930534" w:rsidR="00617F78" w:rsidRPr="00B7741F" w:rsidRDefault="00617F78" w:rsidP="001C1F27">
      <w:pPr>
        <w:pStyle w:val="Heading4"/>
      </w:pPr>
      <w:r w:rsidRPr="00B7741F">
        <w:t>Children</w:t>
      </w:r>
    </w:p>
    <w:p w14:paraId="2090CC2A" w14:textId="1C832C10" w:rsidR="00414D97" w:rsidRDefault="00617F78" w:rsidP="00B501E3">
      <w:pPr>
        <w:pStyle w:val="Body"/>
        <w:rPr>
          <w:rFonts w:cs="Arial"/>
        </w:rPr>
      </w:pPr>
      <w:r>
        <w:t>Obesity in early life is linked to early</w:t>
      </w:r>
      <w:r w:rsidR="00414D97">
        <w:t>-</w:t>
      </w:r>
      <w:r>
        <w:t>onset type 2 diabetes in children, which has a profound impact on physical and mental health</w:t>
      </w:r>
      <w:r w:rsidR="00414D97">
        <w:t>,</w:t>
      </w:r>
      <w:r>
        <w:t xml:space="preserve"> including life expectancy. </w:t>
      </w:r>
      <w:r>
        <w:rPr>
          <w:rFonts w:cs="Arial"/>
        </w:rPr>
        <w:t>Obese</w:t>
      </w:r>
      <w:r w:rsidRPr="00CF62B6">
        <w:rPr>
          <w:rFonts w:cs="Arial"/>
        </w:rPr>
        <w:t xml:space="preserve"> children and adolescents are five times more likely to be obese in adulthood than those who are not obese, with 80 per cent of obese adolescents going on to be obese in adulthood</w:t>
      </w:r>
      <w:r w:rsidR="00461E45">
        <w:rPr>
          <w:rFonts w:cs="Arial"/>
        </w:rPr>
        <w:t>.</w:t>
      </w:r>
      <w:r>
        <w:rPr>
          <w:rStyle w:val="EndnoteReference"/>
          <w:rFonts w:cs="Arial"/>
        </w:rPr>
        <w:endnoteReference w:id="72"/>
      </w:r>
    </w:p>
    <w:p w14:paraId="150C673C" w14:textId="307AC013" w:rsidR="00617F78" w:rsidRPr="00D712CB" w:rsidRDefault="00617F78" w:rsidP="00B501E3">
      <w:pPr>
        <w:pStyle w:val="Body"/>
        <w:rPr>
          <w:rFonts w:cs="Arial"/>
        </w:rPr>
      </w:pPr>
      <w:r w:rsidRPr="0DB0E610">
        <w:rPr>
          <w:rFonts w:cs="Arial"/>
          <w:color w:val="000000" w:themeColor="text1"/>
        </w:rPr>
        <w:t>Although the rate of children and yo</w:t>
      </w:r>
      <w:r>
        <w:rPr>
          <w:rFonts w:cs="Arial"/>
          <w:color w:val="000000" w:themeColor="text1"/>
        </w:rPr>
        <w:t>ung people</w:t>
      </w:r>
      <w:r w:rsidRPr="0DB0E610">
        <w:rPr>
          <w:rFonts w:cs="Arial"/>
          <w:color w:val="000000" w:themeColor="text1"/>
        </w:rPr>
        <w:t xml:space="preserve"> who are overweight </w:t>
      </w:r>
      <w:r w:rsidRPr="2AB2A46C">
        <w:rPr>
          <w:rFonts w:cs="Arial"/>
          <w:color w:val="000000" w:themeColor="text1"/>
        </w:rPr>
        <w:t>has remained</w:t>
      </w:r>
      <w:r w:rsidRPr="0DB0E610">
        <w:rPr>
          <w:rFonts w:cs="Arial"/>
          <w:color w:val="000000" w:themeColor="text1"/>
        </w:rPr>
        <w:t xml:space="preserve"> at 25 per cent </w:t>
      </w:r>
      <w:r w:rsidRPr="4B12A818">
        <w:rPr>
          <w:rFonts w:cs="Arial"/>
          <w:color w:val="000000" w:themeColor="text1"/>
        </w:rPr>
        <w:t>from</w:t>
      </w:r>
      <w:r w:rsidRPr="0DB0E610">
        <w:rPr>
          <w:rFonts w:cs="Arial"/>
          <w:color w:val="000000" w:themeColor="text1"/>
        </w:rPr>
        <w:t xml:space="preserve"> </w:t>
      </w:r>
      <w:r w:rsidRPr="27B92EAE">
        <w:rPr>
          <w:rFonts w:cs="Arial"/>
          <w:color w:val="000000" w:themeColor="text1"/>
        </w:rPr>
        <w:t>2007 to 2019</w:t>
      </w:r>
      <w:r w:rsidR="00414D97">
        <w:rPr>
          <w:rFonts w:cs="Arial"/>
          <w:color w:val="000000" w:themeColor="text1"/>
        </w:rPr>
        <w:t>,</w:t>
      </w:r>
      <w:r w:rsidRPr="27B92EAE">
        <w:rPr>
          <w:rFonts w:cs="Arial"/>
          <w:color w:val="000000" w:themeColor="text1"/>
        </w:rPr>
        <w:t xml:space="preserve"> this is </w:t>
      </w:r>
      <w:r w:rsidRPr="7B0BC669">
        <w:rPr>
          <w:rFonts w:cs="Arial"/>
          <w:color w:val="000000" w:themeColor="text1"/>
        </w:rPr>
        <w:t>concerningly high</w:t>
      </w:r>
      <w:r w:rsidRPr="46F0487D">
        <w:rPr>
          <w:rFonts w:cs="Arial"/>
          <w:color w:val="000000" w:themeColor="text1"/>
        </w:rPr>
        <w:t xml:space="preserve"> and </w:t>
      </w:r>
      <w:r>
        <w:rPr>
          <w:rFonts w:cs="Arial"/>
          <w:color w:val="000000" w:themeColor="text1"/>
        </w:rPr>
        <w:t>a significant</w:t>
      </w:r>
      <w:r w:rsidRPr="46F0487D">
        <w:rPr>
          <w:rFonts w:cs="Arial"/>
          <w:color w:val="000000" w:themeColor="text1"/>
        </w:rPr>
        <w:t xml:space="preserve"> increase from 20 per </w:t>
      </w:r>
      <w:r w:rsidRPr="56910362">
        <w:rPr>
          <w:rFonts w:cs="Arial"/>
          <w:color w:val="000000" w:themeColor="text1"/>
        </w:rPr>
        <w:t>cent in 1995</w:t>
      </w:r>
      <w:bookmarkStart w:id="51" w:name="_Ref132615188"/>
      <w:r w:rsidR="00461E45">
        <w:rPr>
          <w:rFonts w:cs="Arial"/>
          <w:color w:val="000000" w:themeColor="text1"/>
        </w:rPr>
        <w:t>.</w:t>
      </w:r>
      <w:r>
        <w:rPr>
          <w:rStyle w:val="EndnoteReference"/>
          <w:rFonts w:cs="Arial"/>
          <w:color w:val="000000" w:themeColor="text1"/>
        </w:rPr>
        <w:endnoteReference w:id="73"/>
      </w:r>
      <w:bookmarkEnd w:id="51"/>
    </w:p>
    <w:p w14:paraId="32A25E4D" w14:textId="2ED5907B" w:rsidR="00617F78" w:rsidRDefault="00617F78" w:rsidP="008070BB">
      <w:pPr>
        <w:pStyle w:val="Body"/>
        <w:spacing w:line="276" w:lineRule="auto"/>
      </w:pPr>
      <w:r>
        <w:t>Aboriginal children and adolescents, those who have a disability, those who live in</w:t>
      </w:r>
      <w:r w:rsidR="00414D97">
        <w:t xml:space="preserve"> </w:t>
      </w:r>
      <w:r>
        <w:rPr>
          <w:rFonts w:eastAsia="MS Gothic"/>
        </w:rPr>
        <w:t>inner regional</w:t>
      </w:r>
      <w:r w:rsidR="00414D97">
        <w:t xml:space="preserve"> </w:t>
      </w:r>
      <w:r>
        <w:t xml:space="preserve">areas and those who live </w:t>
      </w:r>
      <w:r w:rsidRPr="00A6624D">
        <w:t>in the lowest socioeconomic areas, are more likely to be overweight or obese than other children and adolescents</w:t>
      </w:r>
      <w:r w:rsidR="00461E45">
        <w:t>.</w:t>
      </w:r>
      <w:r>
        <w:fldChar w:fldCharType="begin"/>
      </w:r>
      <w:r>
        <w:instrText xml:space="preserve"> NOTEREF _Ref132615188 \f \h  \* MERGEFORMAT </w:instrText>
      </w:r>
      <w:r>
        <w:fldChar w:fldCharType="separate"/>
      </w:r>
      <w:r w:rsidR="001400D6" w:rsidRPr="001400D6">
        <w:rPr>
          <w:rStyle w:val="EndnoteReference"/>
        </w:rPr>
        <w:t>72</w:t>
      </w:r>
      <w:r>
        <w:fldChar w:fldCharType="end"/>
      </w:r>
    </w:p>
    <w:p w14:paraId="1502A537" w14:textId="34E4EF6B" w:rsidR="00617F78" w:rsidRDefault="00617F78" w:rsidP="008B5E9B">
      <w:pPr>
        <w:pStyle w:val="Heading3"/>
      </w:pPr>
      <w:r>
        <w:t xml:space="preserve">Reduce </w:t>
      </w:r>
      <w:proofErr w:type="gramStart"/>
      <w:r>
        <w:t>smoking</w:t>
      </w:r>
      <w:proofErr w:type="gramEnd"/>
    </w:p>
    <w:p w14:paraId="00E11464" w14:textId="329809A6" w:rsidR="00617F78" w:rsidRPr="00FB6B40" w:rsidRDefault="00617F78" w:rsidP="00E80D7D">
      <w:pPr>
        <w:pStyle w:val="Body"/>
        <w:spacing w:line="276" w:lineRule="auto"/>
        <w:rPr>
          <w:rFonts w:eastAsia="Arial" w:cs="Arial"/>
        </w:rPr>
      </w:pPr>
      <w:r w:rsidRPr="1959E74A">
        <w:rPr>
          <w:rFonts w:cs="Arial"/>
          <w:color w:val="000000" w:themeColor="text1"/>
        </w:rPr>
        <w:t xml:space="preserve">Smoking is </w:t>
      </w:r>
      <w:r>
        <w:rPr>
          <w:rFonts w:cs="Arial"/>
          <w:color w:val="000000" w:themeColor="text1"/>
        </w:rPr>
        <w:t xml:space="preserve">the biggest single contributor to the burden of disease, contributing to 12 per cent of fatal and non-fatal burden. </w:t>
      </w:r>
      <w:r w:rsidRPr="18C5BAC1">
        <w:rPr>
          <w:rFonts w:eastAsia="Arial" w:cs="Arial"/>
        </w:rPr>
        <w:t>S</w:t>
      </w:r>
      <w:r>
        <w:rPr>
          <w:rFonts w:cs="Arial"/>
          <w:color w:val="000000"/>
          <w:shd w:val="clear" w:color="auto" w:fill="FFFFFF"/>
        </w:rPr>
        <w:t>moking is associated</w:t>
      </w:r>
      <w:r w:rsidRPr="00BA45BB">
        <w:rPr>
          <w:rFonts w:cs="Arial"/>
          <w:color w:val="000000"/>
          <w:shd w:val="clear" w:color="auto" w:fill="FFFFFF"/>
        </w:rPr>
        <w:t xml:space="preserve"> with an increased risk of a wide range of health conditions, including heart disease,</w:t>
      </w:r>
      <w:r>
        <w:rPr>
          <w:rFonts w:cs="Arial"/>
          <w:color w:val="000000"/>
          <w:shd w:val="clear" w:color="auto" w:fill="FFFFFF"/>
        </w:rPr>
        <w:t xml:space="preserve"> </w:t>
      </w:r>
      <w:r w:rsidRPr="00BA45BB">
        <w:rPr>
          <w:rFonts w:cs="Arial"/>
          <w:color w:val="000000"/>
          <w:shd w:val="clear" w:color="auto" w:fill="FFFFFF"/>
        </w:rPr>
        <w:t>diabetes, stroke, cancer, kidney disease, eye disease and respiratory conditions</w:t>
      </w:r>
      <w:r w:rsidR="00414D97">
        <w:rPr>
          <w:rFonts w:cs="Arial"/>
          <w:color w:val="000000"/>
          <w:shd w:val="clear" w:color="auto" w:fill="FFFFFF"/>
        </w:rPr>
        <w:t>,</w:t>
      </w:r>
      <w:r w:rsidRPr="00BA45BB">
        <w:rPr>
          <w:rFonts w:cs="Arial"/>
          <w:color w:val="000000"/>
          <w:shd w:val="clear" w:color="auto" w:fill="FFFFFF"/>
        </w:rPr>
        <w:t xml:space="preserve"> such as asthma, </w:t>
      </w:r>
      <w:proofErr w:type="gramStart"/>
      <w:r w:rsidRPr="00BA45BB">
        <w:rPr>
          <w:rFonts w:cs="Arial"/>
          <w:color w:val="000000"/>
          <w:shd w:val="clear" w:color="auto" w:fill="FFFFFF"/>
        </w:rPr>
        <w:t>emphysema</w:t>
      </w:r>
      <w:proofErr w:type="gramEnd"/>
      <w:r w:rsidRPr="00BA45BB">
        <w:rPr>
          <w:rFonts w:cs="Arial"/>
          <w:color w:val="000000"/>
          <w:shd w:val="clear" w:color="auto" w:fill="FFFFFF"/>
        </w:rPr>
        <w:t xml:space="preserve"> and bronchitis</w:t>
      </w:r>
      <w:bookmarkStart w:id="52" w:name="_Ref132615280"/>
      <w:r w:rsidR="00461E45">
        <w:rPr>
          <w:rFonts w:cs="Arial"/>
          <w:color w:val="000000"/>
          <w:shd w:val="clear" w:color="auto" w:fill="FFFFFF"/>
        </w:rPr>
        <w:t>.</w:t>
      </w:r>
      <w:r>
        <w:rPr>
          <w:rStyle w:val="EndnoteReference"/>
          <w:rFonts w:cs="Arial"/>
          <w:color w:val="000000"/>
          <w:shd w:val="clear" w:color="auto" w:fill="FFFFFF"/>
        </w:rPr>
        <w:endnoteReference w:id="74"/>
      </w:r>
      <w:bookmarkEnd w:id="52"/>
    </w:p>
    <w:p w14:paraId="4E32A0A7" w14:textId="297E9BF2" w:rsidR="00617F78" w:rsidRDefault="0021087F" w:rsidP="000412DB">
      <w:pPr>
        <w:pStyle w:val="Body"/>
        <w:spacing w:line="276" w:lineRule="auto"/>
        <w:jc w:val="both"/>
        <w:rPr>
          <w:rFonts w:cs="Arial"/>
          <w:shd w:val="clear" w:color="auto" w:fill="FFFFFF"/>
        </w:rPr>
      </w:pPr>
      <w:r>
        <w:rPr>
          <w:noProof/>
        </w:rPr>
        <w:drawing>
          <wp:inline distT="0" distB="0" distL="0" distR="0" wp14:anchorId="2860A9FD" wp14:editId="73FBBBCB">
            <wp:extent cx="2717321" cy="2516038"/>
            <wp:effectExtent l="0" t="0" r="6985" b="0"/>
            <wp:docPr id="118" name="Picture 118" descr="In Victoria, the proportion of adults who smoke daily has significantly decreased to 10.1 per cent in 2022, down from 13.3 per cent in 2015. Our target for a 30 per cent decrease in smoking by 2025 is on track.&#10;The proportion of adults who smoke daily is higher among men than women, higher among adults who live in regional Victoria, and is more than twice as high for Aboriginal people living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In Victoria, the proportion of adults who smoke daily has significantly decreased to 10.1 per cent in 2022, down from 13.3 per cent in 2015. Our target for a 30 per cent decrease in smoking by 2025 is on track.&#10;The proportion of adults who smoke daily is higher among men than women, higher among adults who live in regional Victoria, and is more than twice as high for Aboriginal people living in Victoria."/>
                    <pic:cNvPicPr/>
                  </pic:nvPicPr>
                  <pic:blipFill>
                    <a:blip r:embed="rId56"/>
                    <a:stretch>
                      <a:fillRect/>
                    </a:stretch>
                  </pic:blipFill>
                  <pic:spPr>
                    <a:xfrm>
                      <a:off x="0" y="0"/>
                      <a:ext cx="2721254" cy="2519679"/>
                    </a:xfrm>
                    <a:prstGeom prst="rect">
                      <a:avLst/>
                    </a:prstGeom>
                  </pic:spPr>
                </pic:pic>
              </a:graphicData>
            </a:graphic>
          </wp:inline>
        </w:drawing>
      </w:r>
    </w:p>
    <w:p w14:paraId="4A66793A" w14:textId="78AB1B30" w:rsidR="00617F78" w:rsidRPr="00D435FB" w:rsidRDefault="00617F78" w:rsidP="00D435FB">
      <w:pPr>
        <w:pStyle w:val="Tablefigurenote"/>
      </w:pPr>
      <w:r w:rsidRPr="00D435FB">
        <w:t>Source: Victorian Population Health Survey</w:t>
      </w:r>
      <w:bookmarkStart w:id="53" w:name="_Ref132615358"/>
      <w:r w:rsidR="00ED2551" w:rsidRPr="001400D6">
        <w:rPr>
          <w:vertAlign w:val="superscript"/>
        </w:rPr>
        <w:fldChar w:fldCharType="begin"/>
      </w:r>
      <w:r w:rsidR="00ED2551" w:rsidRPr="001400D6">
        <w:rPr>
          <w:vertAlign w:val="superscript"/>
        </w:rPr>
        <w:instrText xml:space="preserve"> NOTEREF _Ref150505259 \f \h </w:instrText>
      </w:r>
      <w:r w:rsidR="00D435FB" w:rsidRPr="001400D6">
        <w:rPr>
          <w:vertAlign w:val="superscript"/>
        </w:rPr>
        <w:instrText xml:space="preserve"> \* MERGEFORMAT </w:instrText>
      </w:r>
      <w:r w:rsidR="00ED2551" w:rsidRPr="001400D6">
        <w:rPr>
          <w:vertAlign w:val="superscript"/>
        </w:rPr>
      </w:r>
      <w:r w:rsidR="00ED2551" w:rsidRPr="001400D6">
        <w:rPr>
          <w:vertAlign w:val="superscript"/>
        </w:rPr>
        <w:fldChar w:fldCharType="separate"/>
      </w:r>
      <w:r w:rsidR="001400D6" w:rsidRPr="001400D6">
        <w:rPr>
          <w:vertAlign w:val="superscript"/>
        </w:rPr>
        <w:t>35</w:t>
      </w:r>
      <w:r w:rsidR="00ED2551" w:rsidRPr="001400D6">
        <w:rPr>
          <w:vertAlign w:val="superscript"/>
        </w:rPr>
        <w:fldChar w:fldCharType="end"/>
      </w:r>
      <w:bookmarkEnd w:id="53"/>
    </w:p>
    <w:p w14:paraId="7225C41E" w14:textId="76FC1CB4" w:rsidR="00617F78" w:rsidRDefault="00617F78" w:rsidP="00D435FB">
      <w:pPr>
        <w:pStyle w:val="Bodyaftertablefigure"/>
        <w:rPr>
          <w:noProof/>
        </w:rPr>
      </w:pPr>
      <w:r w:rsidRPr="3E38891A">
        <w:t>In 2018,</w:t>
      </w:r>
      <w:r w:rsidR="00414D97">
        <w:t xml:space="preserve"> </w:t>
      </w:r>
      <w:r w:rsidRPr="3E38891A">
        <w:t>tobacco use was responsible</w:t>
      </w:r>
      <w:r>
        <w:t xml:space="preserve"> for</w:t>
      </w:r>
      <w:r w:rsidRPr="3E38891A">
        <w:t xml:space="preserve"> 20</w:t>
      </w:r>
      <w:r>
        <w:t xml:space="preserve"> percent</w:t>
      </w:r>
      <w:r w:rsidRPr="3E38891A">
        <w:t xml:space="preserve"> of the health gap between </w:t>
      </w:r>
      <w:r w:rsidRPr="28A15719">
        <w:t>Aboriginal</w:t>
      </w:r>
      <w:r>
        <w:t xml:space="preserve"> Australians</w:t>
      </w:r>
      <w:r w:rsidRPr="28A15719">
        <w:t xml:space="preserve"> and</w:t>
      </w:r>
      <w:r w:rsidRPr="3E38891A">
        <w:t xml:space="preserve"> non-</w:t>
      </w:r>
      <w:r w:rsidRPr="28A15719">
        <w:t>Aboriginal</w:t>
      </w:r>
      <w:r w:rsidRPr="3E38891A">
        <w:t xml:space="preserve"> Australians</w:t>
      </w:r>
      <w:r w:rsidR="0023284B">
        <w:t>.</w:t>
      </w:r>
      <w:r>
        <w:fldChar w:fldCharType="begin"/>
      </w:r>
      <w:r>
        <w:instrText xml:space="preserve"> NOTEREF _Ref132615280 \f \h </w:instrText>
      </w:r>
      <w:r w:rsidR="00D435FB">
        <w:instrText xml:space="preserve"> \* MERGEFORMAT </w:instrText>
      </w:r>
      <w:r>
        <w:fldChar w:fldCharType="separate"/>
      </w:r>
      <w:r w:rsidR="001400D6" w:rsidRPr="001400D6">
        <w:rPr>
          <w:rStyle w:val="EndnoteReference"/>
        </w:rPr>
        <w:t>73</w:t>
      </w:r>
      <w:r>
        <w:fldChar w:fldCharType="end"/>
      </w:r>
      <w:r w:rsidRPr="00F34B0F">
        <w:rPr>
          <w:noProof/>
        </w:rPr>
        <w:t xml:space="preserve"> </w:t>
      </w:r>
      <w:r>
        <w:rPr>
          <w:noProof/>
        </w:rPr>
        <w:t xml:space="preserve">While we can’t determine long-term trends from Victorian data, national trends show there </w:t>
      </w:r>
      <w:r w:rsidRPr="00EF3774">
        <w:t>has been no change to the gap in smoking prevalence between the Aboriginal adult population and the non-Aboriginal population from 1994 to</w:t>
      </w:r>
      <w:r w:rsidR="00414D97">
        <w:t xml:space="preserve"> </w:t>
      </w:r>
      <w:r w:rsidRPr="00EF3774">
        <w:t>2018–19</w:t>
      </w:r>
      <w:r>
        <w:fldChar w:fldCharType="begin"/>
      </w:r>
      <w:r>
        <w:instrText xml:space="preserve"> NOTEREF _Ref132615280 \f \h </w:instrText>
      </w:r>
      <w:r w:rsidR="00D435FB">
        <w:instrText xml:space="preserve"> \* MERGEFORMAT </w:instrText>
      </w:r>
      <w:r>
        <w:fldChar w:fldCharType="separate"/>
      </w:r>
      <w:r w:rsidR="001400D6" w:rsidRPr="001400D6">
        <w:rPr>
          <w:rStyle w:val="EndnoteReference"/>
        </w:rPr>
        <w:t>73</w:t>
      </w:r>
      <w:r>
        <w:fldChar w:fldCharType="end"/>
      </w:r>
      <w:r>
        <w:t xml:space="preserve">, as </w:t>
      </w:r>
      <w:r w:rsidRPr="00EF3774">
        <w:t>rate</w:t>
      </w:r>
      <w:r>
        <w:t xml:space="preserve">s for </w:t>
      </w:r>
      <w:r w:rsidRPr="00EF3774">
        <w:t xml:space="preserve">non-Aboriginal Australians </w:t>
      </w:r>
      <w:r>
        <w:t xml:space="preserve">are </w:t>
      </w:r>
      <w:r w:rsidRPr="00EF3774">
        <w:t>declin</w:t>
      </w:r>
      <w:r>
        <w:t>ing</w:t>
      </w:r>
      <w:r w:rsidR="00414D97">
        <w:t xml:space="preserve"> </w:t>
      </w:r>
      <w:r w:rsidRPr="00EF3774">
        <w:t>at a similar rate.</w:t>
      </w:r>
      <w:r w:rsidRPr="3E38891A">
        <w:t xml:space="preserve"> </w:t>
      </w:r>
      <w:r>
        <w:t>The underlying drivers of this difference in outcomes is discussed later in this report.</w:t>
      </w:r>
    </w:p>
    <w:p w14:paraId="52B38022" w14:textId="28C3F849" w:rsidR="00617F78" w:rsidRDefault="00617F78" w:rsidP="000A5CFE">
      <w:pPr>
        <w:pStyle w:val="Heading4"/>
      </w:pPr>
      <w:r>
        <w:lastRenderedPageBreak/>
        <w:t>Adolescents</w:t>
      </w:r>
    </w:p>
    <w:p w14:paraId="1B62822A" w14:textId="41A4BA99" w:rsidR="00617F78" w:rsidRDefault="0021087F" w:rsidP="0021087F">
      <w:pPr>
        <w:pStyle w:val="Body"/>
        <w:spacing w:line="276" w:lineRule="auto"/>
        <w:jc w:val="center"/>
        <w:rPr>
          <w:rFonts w:cs="Arial"/>
        </w:rPr>
      </w:pPr>
      <w:r>
        <w:rPr>
          <w:noProof/>
        </w:rPr>
        <w:drawing>
          <wp:inline distT="0" distB="0" distL="0" distR="0" wp14:anchorId="6EA2EC96" wp14:editId="43A1520B">
            <wp:extent cx="2958860" cy="2857330"/>
            <wp:effectExtent l="0" t="0" r="0" b="635"/>
            <wp:docPr id="119" name="Picture 119" descr="The proportion of adolescents who currently smoke has not changed between 2014 and 2018, remaining at around 4 per cent. Our target for a 30 per cent decrease in adolescents smoking by 2025 is not on track. &#10;The proportion of adolescents who currently smoke is higher in adolescents living in regional areas, at 5.4 per cent, and is more common in adolescents in year 11, at 12.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proportion of adolescents who currently smoke has not changed between 2014 and 2018, remaining at around 4 per cent. Our target for a 30 per cent decrease in adolescents smoking by 2025 is not on track. &#10;The proportion of adolescents who currently smoke is higher in adolescents living in regional areas, at 5.4 per cent, and is more common in adolescents in year 11, at 12.4 per cent."/>
                    <pic:cNvPicPr/>
                  </pic:nvPicPr>
                  <pic:blipFill>
                    <a:blip r:embed="rId57"/>
                    <a:stretch>
                      <a:fillRect/>
                    </a:stretch>
                  </pic:blipFill>
                  <pic:spPr>
                    <a:xfrm>
                      <a:off x="0" y="0"/>
                      <a:ext cx="2961376" cy="2859759"/>
                    </a:xfrm>
                    <a:prstGeom prst="rect">
                      <a:avLst/>
                    </a:prstGeom>
                  </pic:spPr>
                </pic:pic>
              </a:graphicData>
            </a:graphic>
          </wp:inline>
        </w:drawing>
      </w:r>
    </w:p>
    <w:p w14:paraId="7D99C9DD" w14:textId="544C1748" w:rsidR="00617F78" w:rsidRDefault="00617F78" w:rsidP="00D435FB">
      <w:pPr>
        <w:pStyle w:val="Tablefigurenote"/>
      </w:pPr>
      <w:r>
        <w:t>Source: Victorian Student Health and Wellbeing Survey</w:t>
      </w:r>
      <w:r w:rsidR="007F02CA">
        <w:fldChar w:fldCharType="begin"/>
      </w:r>
      <w:r w:rsidR="007F02CA">
        <w:instrText xml:space="preserve"> NOTEREF _Ref150505041 \f \h </w:instrText>
      </w:r>
      <w:r w:rsidR="00D435FB">
        <w:instrText xml:space="preserve"> \* MERGEFORMAT </w:instrText>
      </w:r>
      <w:r w:rsidR="007F02CA">
        <w:fldChar w:fldCharType="separate"/>
      </w:r>
      <w:r w:rsidR="001400D6" w:rsidRPr="001400D6">
        <w:rPr>
          <w:rStyle w:val="EndnoteReference"/>
        </w:rPr>
        <w:t>37</w:t>
      </w:r>
      <w:r w:rsidR="007F02CA">
        <w:fldChar w:fldCharType="end"/>
      </w:r>
      <w:r>
        <w:t xml:space="preserve"> </w:t>
      </w:r>
    </w:p>
    <w:p w14:paraId="3B2614C9" w14:textId="034FE439" w:rsidR="00D435FB" w:rsidRDefault="00617F78" w:rsidP="00D435FB">
      <w:pPr>
        <w:pStyle w:val="Body"/>
      </w:pPr>
      <w:r>
        <w:t>The proportion of year 11 adolescents currently smoking has decreased from 20.3 per cent in 2014, to 12.4 per cent in 2018. However, more recent whole</w:t>
      </w:r>
      <w:r w:rsidR="00414D97">
        <w:t>-</w:t>
      </w:r>
      <w:r>
        <w:t>of</w:t>
      </w:r>
      <w:r w:rsidR="00414D97">
        <w:t>-</w:t>
      </w:r>
      <w:r>
        <w:t xml:space="preserve">population data is needed to properly assess how we are tracking against the target to reduce smoking in adolescents by 30 per cent by 2025, and to detect any impacts of COVID-19 and the rise in e-cigarettes on smoking behaviour. </w:t>
      </w:r>
    </w:p>
    <w:tbl>
      <w:tblPr>
        <w:tblStyle w:val="TableGrid"/>
        <w:tblW w:w="0" w:type="auto"/>
        <w:tblLook w:val="04A0" w:firstRow="1" w:lastRow="0" w:firstColumn="1" w:lastColumn="0" w:noHBand="0" w:noVBand="1"/>
      </w:tblPr>
      <w:tblGrid>
        <w:gridCol w:w="9288"/>
      </w:tblGrid>
      <w:tr w:rsidR="00D435FB" w14:paraId="59C649E8" w14:textId="77777777">
        <w:tc>
          <w:tcPr>
            <w:tcW w:w="9288" w:type="dxa"/>
          </w:tcPr>
          <w:p w14:paraId="3EF82DCC" w14:textId="77777777" w:rsidR="00D435FB" w:rsidRPr="00F34B0F" w:rsidRDefault="00D435FB">
            <w:pPr>
              <w:pStyle w:val="Body"/>
              <w:spacing w:line="276" w:lineRule="auto"/>
              <w:jc w:val="both"/>
              <w:rPr>
                <w:b/>
                <w:bCs/>
              </w:rPr>
            </w:pPr>
            <w:r w:rsidRPr="00C4723E">
              <w:rPr>
                <w:b/>
                <w:bCs/>
              </w:rPr>
              <w:t>E-cigarettes</w:t>
            </w:r>
          </w:p>
          <w:p w14:paraId="5201CF96" w14:textId="77777777" w:rsidR="00D435FB" w:rsidRDefault="00D435FB" w:rsidP="00E80D7D">
            <w:pPr>
              <w:pStyle w:val="Body"/>
              <w:spacing w:line="276" w:lineRule="auto"/>
            </w:pPr>
            <w:r>
              <w:t xml:space="preserve">The rapid rise in availability and use of e-cigarettes (commonly called vaping) is a threat to public health that requires urgent action.  </w:t>
            </w:r>
          </w:p>
          <w:p w14:paraId="7F410E36" w14:textId="4E3489B9" w:rsidR="00414D97" w:rsidRDefault="00D435FB" w:rsidP="00414D97">
            <w:pPr>
              <w:pStyle w:val="Body"/>
              <w:spacing w:line="276" w:lineRule="auto"/>
            </w:pPr>
            <w:r>
              <w:t>There is clear evidence of widespread use and addiction to e-cigarettes in Australia, particularly among youth, which follows global patterns of consumption. In Australia</w:t>
            </w:r>
            <w:r w:rsidR="00414D97">
              <w:t>,</w:t>
            </w:r>
            <w:r>
              <w:t xml:space="preserve"> it is estimated that 11.3 per cent of people aged 14 and over (approximately 2.4 million people) reported ever having used e-cigarettes, up from 8.8 per cent in 2016 and 4.5 per cent in 2013 (</w:t>
            </w:r>
            <w:r w:rsidR="00CE5085" w:rsidRPr="00CE5085">
              <w:t xml:space="preserve">Australian Institute of Health and Welfare </w:t>
            </w:r>
            <w:r w:rsidR="00CE5085">
              <w:t>(</w:t>
            </w:r>
            <w:r>
              <w:t>AIHW</w:t>
            </w:r>
            <w:r w:rsidR="00CE5085">
              <w:t>)</w:t>
            </w:r>
            <w:r>
              <w:t>, 2020).</w:t>
            </w:r>
          </w:p>
          <w:p w14:paraId="2A859D96" w14:textId="163D4020" w:rsidR="00D435FB" w:rsidRDefault="00D435FB" w:rsidP="00E80D7D">
            <w:pPr>
              <w:pStyle w:val="Body"/>
              <w:spacing w:line="276" w:lineRule="auto"/>
            </w:pPr>
            <w:r>
              <w:t>E-cigarette use was greater in young people aged 18</w:t>
            </w:r>
            <w:r w:rsidR="00414D97">
              <w:t>–</w:t>
            </w:r>
            <w:r>
              <w:t>24 (26.1 per cent) (AIHW, 2020). A greater proportion of males aged 15–24 reported having ever used an e-cigarette</w:t>
            </w:r>
            <w:r w:rsidR="00414D97">
              <w:t>,</w:t>
            </w:r>
            <w:r>
              <w:t xml:space="preserve"> compared to females (26.8 per cent and 17.2 per cent respectively) (AIHW, 2020). </w:t>
            </w:r>
          </w:p>
          <w:p w14:paraId="62FB5324" w14:textId="3318DE61" w:rsidR="00D435FB" w:rsidRDefault="00D435FB" w:rsidP="00E80D7D">
            <w:pPr>
              <w:pStyle w:val="Body"/>
              <w:spacing w:line="276" w:lineRule="auto"/>
            </w:pPr>
            <w:r>
              <w:t xml:space="preserve">While the impacts of e-cigarette use on long-term health outcomes is unknown, there is conclusive evidence that nicotine e-cigarettes and their constituents can cause poisoning, acute lung injury, injuries and burns, and immediate toxicity through inhalation, including seizures (Banks, 2022). Environmental impacts of e-cigarettes include waste, </w:t>
            </w:r>
            <w:proofErr w:type="gramStart"/>
            <w:r>
              <w:t>fires</w:t>
            </w:r>
            <w:proofErr w:type="gramEnd"/>
            <w:r>
              <w:t xml:space="preserve"> and indoor airborne particulate matter, which, in turn, are likely to have adverse health impacts. </w:t>
            </w:r>
          </w:p>
          <w:p w14:paraId="5EB16923" w14:textId="3854D669" w:rsidR="00D435FB" w:rsidRDefault="00D435FB">
            <w:pPr>
              <w:pStyle w:val="Body"/>
              <w:spacing w:line="276" w:lineRule="auto"/>
              <w:jc w:val="both"/>
            </w:pPr>
            <w:r>
              <w:t xml:space="preserve">One of the greatest causes for concern is the potential for another generation of young people </w:t>
            </w:r>
            <w:r w:rsidR="00414D97">
              <w:t xml:space="preserve">to </w:t>
            </w:r>
            <w:r>
              <w:t>becom</w:t>
            </w:r>
            <w:r w:rsidR="00414D97">
              <w:t>e</w:t>
            </w:r>
            <w:r>
              <w:t xml:space="preserve"> addicted to nicotine, undermining years of progress in reducing tobacco</w:t>
            </w:r>
            <w:r w:rsidR="00414D97">
              <w:t>-</w:t>
            </w:r>
            <w:r>
              <w:t>related harm.</w:t>
            </w:r>
          </w:p>
          <w:p w14:paraId="310CB1DE" w14:textId="77777777" w:rsidR="005C26CA" w:rsidRDefault="00D435FB">
            <w:pPr>
              <w:pStyle w:val="FootnoteText"/>
            </w:pPr>
            <w:r w:rsidRPr="00A6174B">
              <w:t>Source</w:t>
            </w:r>
            <w:r>
              <w:t>s</w:t>
            </w:r>
            <w:r w:rsidRPr="00A6174B">
              <w:t>:</w:t>
            </w:r>
          </w:p>
          <w:p w14:paraId="571B547B" w14:textId="2E57DC2A" w:rsidR="00D435FB" w:rsidRDefault="005B368F">
            <w:pPr>
              <w:pStyle w:val="FootnoteText"/>
            </w:pPr>
            <w:r>
              <w:t>AIHW</w:t>
            </w:r>
            <w:r w:rsidR="00D435FB" w:rsidRPr="00A6174B">
              <w:t xml:space="preserve"> (2020)</w:t>
            </w:r>
            <w:r w:rsidR="00414D97">
              <w:t>,</w:t>
            </w:r>
            <w:r w:rsidR="00D435FB" w:rsidRPr="00A6174B">
              <w:t xml:space="preserve"> </w:t>
            </w:r>
            <w:hyperlink r:id="rId58" w:history="1">
              <w:r w:rsidR="00D435FB" w:rsidRPr="00414D97">
                <w:rPr>
                  <w:rStyle w:val="Hyperlink"/>
                </w:rPr>
                <w:t>National Drug Strategy Household Survey 2019</w:t>
              </w:r>
            </w:hyperlink>
            <w:r w:rsidR="00D435FB" w:rsidRPr="00A6174B">
              <w:t xml:space="preserve">, </w:t>
            </w:r>
            <w:r w:rsidR="00414D97">
              <w:t>&lt;</w:t>
            </w:r>
            <w:r w:rsidR="005C26CA" w:rsidRPr="005C26CA">
              <w:t>https://www.aihw.gov.au/reports/illicit-use-of-drugs/national-drug-strategy-household-survey-2019/contents/summary</w:t>
            </w:r>
            <w:r w:rsidR="00414D97">
              <w:t>&gt;</w:t>
            </w:r>
            <w:r w:rsidR="00D435FB" w:rsidRPr="00A6174B">
              <w:t>, accessed 17 April 2023.</w:t>
            </w:r>
          </w:p>
          <w:p w14:paraId="4E84DAAF" w14:textId="45B05D6F" w:rsidR="00D435FB" w:rsidRPr="00A75125" w:rsidRDefault="00D435FB">
            <w:pPr>
              <w:pStyle w:val="FootnoteText"/>
              <w:rPr>
                <w:szCs w:val="18"/>
              </w:rPr>
            </w:pPr>
            <w:r w:rsidRPr="00DC1DF8">
              <w:rPr>
                <w:szCs w:val="18"/>
              </w:rPr>
              <w:t xml:space="preserve">Banks E, et al. </w:t>
            </w:r>
            <w:r w:rsidR="00414D97">
              <w:rPr>
                <w:szCs w:val="18"/>
              </w:rPr>
              <w:t>(</w:t>
            </w:r>
            <w:r w:rsidRPr="00DC1DF8">
              <w:rPr>
                <w:szCs w:val="18"/>
              </w:rPr>
              <w:t>2022</w:t>
            </w:r>
            <w:r w:rsidR="00414D97">
              <w:rPr>
                <w:szCs w:val="18"/>
              </w:rPr>
              <w:t>),</w:t>
            </w:r>
            <w:r w:rsidRPr="00DC1DF8">
              <w:rPr>
                <w:szCs w:val="18"/>
              </w:rPr>
              <w:t xml:space="preserve"> </w:t>
            </w:r>
            <w:hyperlink r:id="rId59" w:history="1">
              <w:r w:rsidRPr="005C26CA">
                <w:rPr>
                  <w:rStyle w:val="Hyperlink"/>
                  <w:szCs w:val="18"/>
                </w:rPr>
                <w:t xml:space="preserve">Electronic cigarettes and health outcomes: </w:t>
              </w:r>
              <w:r w:rsidR="005C26CA" w:rsidRPr="005C26CA">
                <w:rPr>
                  <w:rStyle w:val="Hyperlink"/>
                  <w:szCs w:val="18"/>
                </w:rPr>
                <w:t xml:space="preserve">umbrella and </w:t>
              </w:r>
              <w:r w:rsidRPr="005C26CA">
                <w:rPr>
                  <w:rStyle w:val="Hyperlink"/>
                  <w:szCs w:val="18"/>
                </w:rPr>
                <w:t xml:space="preserve">systematic review of </w:t>
              </w:r>
              <w:r w:rsidR="005C26CA" w:rsidRPr="005C26CA">
                <w:rPr>
                  <w:rStyle w:val="Hyperlink"/>
                  <w:szCs w:val="18"/>
                </w:rPr>
                <w:t xml:space="preserve">the </w:t>
              </w:r>
              <w:r w:rsidRPr="005C26CA">
                <w:rPr>
                  <w:rStyle w:val="Hyperlink"/>
                  <w:szCs w:val="18"/>
                </w:rPr>
                <w:t>global evidence</w:t>
              </w:r>
            </w:hyperlink>
            <w:r w:rsidRPr="00DC1DF8">
              <w:rPr>
                <w:szCs w:val="18"/>
              </w:rPr>
              <w:t xml:space="preserve">, </w:t>
            </w:r>
            <w:r w:rsidR="005C26CA">
              <w:rPr>
                <w:szCs w:val="18"/>
              </w:rPr>
              <w:t>&lt;</w:t>
            </w:r>
            <w:r w:rsidR="005C26CA" w:rsidRPr="005C26CA">
              <w:rPr>
                <w:szCs w:val="18"/>
              </w:rPr>
              <w:t>https://www.mja.com.au/journal/2023/218/6/electronic-cigarettes-and-health-outcomes-umbrella-and-systematic-review-global</w:t>
            </w:r>
            <w:r w:rsidR="005C26CA">
              <w:rPr>
                <w:szCs w:val="18"/>
              </w:rPr>
              <w:t>&gt;, accessed 13 November 2023</w:t>
            </w:r>
          </w:p>
        </w:tc>
      </w:tr>
    </w:tbl>
    <w:p w14:paraId="7FEE5669" w14:textId="4DC19AA9" w:rsidR="00617F78" w:rsidRDefault="00617F78" w:rsidP="008B5E9B">
      <w:pPr>
        <w:pStyle w:val="Heading3"/>
      </w:pPr>
      <w:r>
        <w:lastRenderedPageBreak/>
        <w:t xml:space="preserve">Reduce harmful alcohol and drug </w:t>
      </w:r>
      <w:proofErr w:type="gramStart"/>
      <w:r>
        <w:t>use</w:t>
      </w:r>
      <w:proofErr w:type="gramEnd"/>
    </w:p>
    <w:p w14:paraId="38E6A08C" w14:textId="6FC1626A" w:rsidR="00617F78" w:rsidRDefault="00617F78" w:rsidP="00D435FB">
      <w:pPr>
        <w:pStyle w:val="Body"/>
        <w:spacing w:line="276" w:lineRule="auto"/>
        <w:rPr>
          <w:color w:val="000000" w:themeColor="text1"/>
        </w:rPr>
      </w:pPr>
      <w:r w:rsidRPr="77B5F40C">
        <w:rPr>
          <w:color w:val="000000" w:themeColor="text1"/>
        </w:rPr>
        <w:t xml:space="preserve">Alcohol </w:t>
      </w:r>
      <w:r>
        <w:rPr>
          <w:color w:val="000000" w:themeColor="text1"/>
        </w:rPr>
        <w:t>plays a significant role in</w:t>
      </w:r>
      <w:r w:rsidRPr="77B5F40C">
        <w:rPr>
          <w:color w:val="000000" w:themeColor="text1"/>
        </w:rPr>
        <w:t xml:space="preserve"> Australian culture and is consumed in a wide range of social circumstances.</w:t>
      </w:r>
      <w:r>
        <w:rPr>
          <w:color w:val="000000" w:themeColor="text1"/>
        </w:rPr>
        <w:t xml:space="preserve"> There is no safe level of alcohol consumption that does not affect health</w:t>
      </w:r>
      <w:r w:rsidR="005C26CA">
        <w:rPr>
          <w:color w:val="000000" w:themeColor="text1"/>
        </w:rPr>
        <w:t>,</w:t>
      </w:r>
      <w:r>
        <w:rPr>
          <w:color w:val="000000" w:themeColor="text1"/>
        </w:rPr>
        <w:t xml:space="preserve"> and drinking any amount of</w:t>
      </w:r>
      <w:r w:rsidRPr="6604B94F">
        <w:rPr>
          <w:color w:val="000000" w:themeColor="text1"/>
        </w:rPr>
        <w:t xml:space="preserve"> alcohol </w:t>
      </w:r>
      <w:r>
        <w:rPr>
          <w:color w:val="000000" w:themeColor="text1"/>
        </w:rPr>
        <w:t>increases your risk of developing non-communicable diseases</w:t>
      </w:r>
      <w:r w:rsidR="0023284B">
        <w:rPr>
          <w:color w:val="000000" w:themeColor="text1"/>
        </w:rPr>
        <w:t>.</w:t>
      </w:r>
      <w:r>
        <w:rPr>
          <w:rStyle w:val="EndnoteReference"/>
          <w:color w:val="000000" w:themeColor="text1"/>
        </w:rPr>
        <w:endnoteReference w:id="75"/>
      </w:r>
      <w:r w:rsidR="0023284B">
        <w:rPr>
          <w:color w:val="000000" w:themeColor="text1"/>
        </w:rPr>
        <w:t xml:space="preserve"> </w:t>
      </w:r>
      <w:r w:rsidRPr="77B5F40C">
        <w:rPr>
          <w:color w:val="000000" w:themeColor="text1"/>
        </w:rPr>
        <w:t xml:space="preserve">However, </w:t>
      </w:r>
      <w:r>
        <w:rPr>
          <w:color w:val="000000" w:themeColor="text1"/>
        </w:rPr>
        <w:t>the amount of alcohol consumed can</w:t>
      </w:r>
      <w:r w:rsidRPr="77B5F40C">
        <w:rPr>
          <w:color w:val="000000" w:themeColor="text1"/>
        </w:rPr>
        <w:t xml:space="preserve"> </w:t>
      </w:r>
      <w:r>
        <w:rPr>
          <w:color w:val="000000" w:themeColor="text1"/>
        </w:rPr>
        <w:t xml:space="preserve">significantly </w:t>
      </w:r>
      <w:r w:rsidRPr="77B5F40C">
        <w:rPr>
          <w:color w:val="000000" w:themeColor="text1"/>
        </w:rPr>
        <w:t>increase the risk of developing health problems</w:t>
      </w:r>
      <w:r>
        <w:rPr>
          <w:color w:val="000000" w:themeColor="text1"/>
        </w:rPr>
        <w:t xml:space="preserve"> and the</w:t>
      </w:r>
      <w:r w:rsidRPr="77B5F40C">
        <w:rPr>
          <w:color w:val="000000" w:themeColor="text1"/>
        </w:rPr>
        <w:t xml:space="preserve"> risk of alcohol</w:t>
      </w:r>
      <w:r w:rsidR="005C26CA">
        <w:rPr>
          <w:color w:val="000000" w:themeColor="text1"/>
        </w:rPr>
        <w:t>-</w:t>
      </w:r>
      <w:r w:rsidRPr="77B5F40C">
        <w:rPr>
          <w:color w:val="000000" w:themeColor="text1"/>
        </w:rPr>
        <w:t>related injury</w:t>
      </w:r>
      <w:r>
        <w:rPr>
          <w:color w:val="000000" w:themeColor="text1"/>
        </w:rPr>
        <w:t xml:space="preserve"> </w:t>
      </w:r>
      <w:r w:rsidRPr="1670F126">
        <w:rPr>
          <w:color w:val="000000" w:themeColor="text1"/>
        </w:rPr>
        <w:t>or harm</w:t>
      </w:r>
      <w:r w:rsidR="0023284B">
        <w:rPr>
          <w:color w:val="000000" w:themeColor="text1"/>
        </w:rPr>
        <w:t>.</w:t>
      </w:r>
      <w:r>
        <w:rPr>
          <w:rStyle w:val="EndnoteReference"/>
          <w:color w:val="000000" w:themeColor="text1"/>
        </w:rPr>
        <w:endnoteReference w:id="76"/>
      </w:r>
    </w:p>
    <w:p w14:paraId="42D5BB6A" w14:textId="63B6AD34" w:rsidR="00617F78" w:rsidRDefault="0021087F" w:rsidP="0021087F">
      <w:pPr>
        <w:pStyle w:val="Body"/>
        <w:spacing w:line="276" w:lineRule="auto"/>
        <w:jc w:val="center"/>
        <w:rPr>
          <w:color w:val="000000" w:themeColor="text1"/>
        </w:rPr>
      </w:pPr>
      <w:r>
        <w:rPr>
          <w:noProof/>
        </w:rPr>
        <w:drawing>
          <wp:inline distT="0" distB="0" distL="0" distR="0" wp14:anchorId="48C41C31" wp14:editId="76C3ECC9">
            <wp:extent cx="2872596" cy="3169761"/>
            <wp:effectExtent l="0" t="0" r="4445" b="0"/>
            <wp:docPr id="120" name="Picture 120" descr="The proportion of adults who consumed alcohol at levels that put them at an increased lifetime risk of alcohol-related harm was 59.6 per cent in 2019 and has remained unchanged since 2015. Our target for a 10 per cent decrease in harmful alcohol consumption by 2025 is not on track.&#10;The proportion of adults who consumed alcohol at levels that put them at an increased lifetime risk of alcohol-related harm is significantly higher in males, at 69.0 per cent, higher for people with a household income greater than $100,000, at 75.4 per cent, is higher for people who were bor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e proportion of adults who consumed alcohol at levels that put them at an increased lifetime risk of alcohol-related harm was 59.6 per cent in 2019 and has remained unchanged since 2015. Our target for a 10 per cent decrease in harmful alcohol consumption by 2025 is not on track.&#10;The proportion of adults who consumed alcohol at levels that put them at an increased lifetime risk of alcohol-related harm is significantly higher in males, at 69.0 per cent, higher for people with a household income greater than $100,000, at 75.4 per cent, is higher for people who were born in Australia."/>
                    <pic:cNvPicPr/>
                  </pic:nvPicPr>
                  <pic:blipFill>
                    <a:blip r:embed="rId60"/>
                    <a:stretch>
                      <a:fillRect/>
                    </a:stretch>
                  </pic:blipFill>
                  <pic:spPr>
                    <a:xfrm>
                      <a:off x="0" y="0"/>
                      <a:ext cx="2878167" cy="3175908"/>
                    </a:xfrm>
                    <a:prstGeom prst="rect">
                      <a:avLst/>
                    </a:prstGeom>
                  </pic:spPr>
                </pic:pic>
              </a:graphicData>
            </a:graphic>
          </wp:inline>
        </w:drawing>
      </w:r>
    </w:p>
    <w:p w14:paraId="307884FE" w14:textId="7EB0C065" w:rsidR="00617F78" w:rsidRDefault="00617F78" w:rsidP="00D435FB">
      <w:pPr>
        <w:pStyle w:val="Tablefigurenote"/>
      </w:pPr>
      <w:bookmarkStart w:id="54" w:name="_Ref132617587"/>
      <w:r>
        <w:t>Source: Victorian Population Health Survey</w:t>
      </w:r>
      <w:r w:rsidR="007F02CA">
        <w:fldChar w:fldCharType="begin"/>
      </w:r>
      <w:r w:rsidR="007F02CA">
        <w:instrText xml:space="preserve"> NOTEREF _Ref150505259 \f \h </w:instrText>
      </w:r>
      <w:r w:rsidR="00D435FB">
        <w:instrText xml:space="preserve"> \* MERGEFORMAT </w:instrText>
      </w:r>
      <w:r w:rsidR="007F02CA">
        <w:fldChar w:fldCharType="separate"/>
      </w:r>
      <w:r w:rsidR="001400D6" w:rsidRPr="001400D6">
        <w:rPr>
          <w:rStyle w:val="EndnoteReference"/>
        </w:rPr>
        <w:t>35</w:t>
      </w:r>
      <w:r w:rsidR="007F02CA">
        <w:fldChar w:fldCharType="end"/>
      </w:r>
      <w:bookmarkEnd w:id="54"/>
    </w:p>
    <w:p w14:paraId="366258D2" w14:textId="5722A690" w:rsidR="00617F78" w:rsidRDefault="00617F78" w:rsidP="00D435FB">
      <w:pPr>
        <w:pStyle w:val="Bodyaftertablefigure"/>
      </w:pPr>
      <w:r>
        <w:t xml:space="preserve">Similar trends are reflected in the proportion of adults who consume alcohol at levels that increase </w:t>
      </w:r>
      <w:r w:rsidR="005C26CA">
        <w:t xml:space="preserve">the </w:t>
      </w:r>
      <w:r>
        <w:t>risk of alcohol</w:t>
      </w:r>
      <w:r w:rsidR="005C26CA">
        <w:t>-</w:t>
      </w:r>
      <w:r>
        <w:t>related injury on a single occasion at least monthly, which has seen no significant change from 2015 to 2019 at 13.5 per cent</w:t>
      </w:r>
      <w:r w:rsidR="0023284B">
        <w:t>.</w:t>
      </w:r>
      <w:r w:rsidR="007F02CA">
        <w:fldChar w:fldCharType="begin"/>
      </w:r>
      <w:r w:rsidR="007F02CA">
        <w:instrText xml:space="preserve"> NOTEREF _Ref150505259 \f \h </w:instrText>
      </w:r>
      <w:r w:rsidR="00D435FB">
        <w:instrText xml:space="preserve"> \* MERGEFORMAT </w:instrText>
      </w:r>
      <w:r w:rsidR="007F02CA">
        <w:fldChar w:fldCharType="separate"/>
      </w:r>
      <w:r w:rsidR="001400D6" w:rsidRPr="001400D6">
        <w:rPr>
          <w:rStyle w:val="EndnoteReference"/>
        </w:rPr>
        <w:t>35</w:t>
      </w:r>
      <w:r w:rsidR="007F02CA">
        <w:fldChar w:fldCharType="end"/>
      </w:r>
      <w:r>
        <w:t xml:space="preserve"> However, recent data from the National Drug Strategy Household </w:t>
      </w:r>
      <w:r w:rsidR="005C26CA">
        <w:t>S</w:t>
      </w:r>
      <w:r>
        <w:t xml:space="preserve">urvey 2019 </w:t>
      </w:r>
      <w:r w:rsidR="005C26CA">
        <w:t>shows</w:t>
      </w:r>
      <w:r>
        <w:t xml:space="preserve"> that young adults are drinking less alcohol overall, and more people in their 50s are consuming alcohol at risky levels</w:t>
      </w:r>
      <w:r w:rsidR="0023284B">
        <w:t>.</w:t>
      </w:r>
      <w:r>
        <w:rPr>
          <w:rStyle w:val="EndnoteReference"/>
          <w:color w:val="000000" w:themeColor="text1"/>
        </w:rPr>
        <w:endnoteReference w:id="77"/>
      </w:r>
    </w:p>
    <w:p w14:paraId="2CCA08B2" w14:textId="6BED12DD" w:rsidR="00617F78" w:rsidRDefault="00617F78" w:rsidP="00D435FB">
      <w:pPr>
        <w:pStyle w:val="Body"/>
        <w:spacing w:line="276" w:lineRule="auto"/>
        <w:rPr>
          <w:color w:val="000000" w:themeColor="text1"/>
        </w:rPr>
      </w:pPr>
      <w:r>
        <w:rPr>
          <w:color w:val="000000" w:themeColor="text1"/>
        </w:rPr>
        <w:t>There is no significant difference in these measures between Aboriginal and non-Aboriginal people living in Victoria, people experiencing different levels of psychological distress, and between people living in metropolitan and regional areas</w:t>
      </w:r>
      <w:r w:rsidR="00505F10">
        <w:rPr>
          <w:color w:val="000000" w:themeColor="text1"/>
        </w:rPr>
        <w:t>.</w:t>
      </w:r>
      <w:r w:rsidR="007F02CA">
        <w:rPr>
          <w:color w:val="000000" w:themeColor="text1"/>
        </w:rPr>
        <w:fldChar w:fldCharType="begin"/>
      </w:r>
      <w:r w:rsidR="007F02CA">
        <w:rPr>
          <w:color w:val="000000" w:themeColor="text1"/>
        </w:rPr>
        <w:instrText xml:space="preserve"> NOTEREF _Ref150505259 \f \h </w:instrText>
      </w:r>
      <w:r w:rsidR="00D435FB">
        <w:rPr>
          <w:color w:val="000000" w:themeColor="text1"/>
        </w:rPr>
        <w:instrText xml:space="preserve"> \* MERGEFORMAT </w:instrText>
      </w:r>
      <w:r w:rsidR="007F02CA">
        <w:rPr>
          <w:color w:val="000000" w:themeColor="text1"/>
        </w:rPr>
      </w:r>
      <w:r w:rsidR="007F02CA">
        <w:rPr>
          <w:color w:val="000000" w:themeColor="text1"/>
        </w:rPr>
        <w:fldChar w:fldCharType="separate"/>
      </w:r>
      <w:r w:rsidR="001400D6" w:rsidRPr="001400D6">
        <w:rPr>
          <w:rStyle w:val="EndnoteReference"/>
        </w:rPr>
        <w:t>35</w:t>
      </w:r>
      <w:r w:rsidR="007F02CA">
        <w:rPr>
          <w:color w:val="000000" w:themeColor="text1"/>
        </w:rPr>
        <w:fldChar w:fldCharType="end"/>
      </w:r>
    </w:p>
    <w:p w14:paraId="4393DD2F" w14:textId="311880C1" w:rsidR="00617F78" w:rsidRDefault="0021087F" w:rsidP="0021087F">
      <w:pPr>
        <w:pStyle w:val="Body"/>
        <w:spacing w:line="276" w:lineRule="auto"/>
        <w:jc w:val="center"/>
        <w:rPr>
          <w:color w:val="000000" w:themeColor="text1"/>
        </w:rPr>
      </w:pPr>
      <w:r>
        <w:rPr>
          <w:noProof/>
        </w:rPr>
        <w:lastRenderedPageBreak/>
        <w:drawing>
          <wp:inline distT="0" distB="0" distL="0" distR="0" wp14:anchorId="03E768E6" wp14:editId="66AED563">
            <wp:extent cx="2812211" cy="3096904"/>
            <wp:effectExtent l="0" t="0" r="7620" b="8255"/>
            <wp:docPr id="121" name="Picture 121" descr="The proportion of adolescents who consumed alcohol at least monthly has remained at around 18 per cent between 2014 and 2018. Our target of a 10% decrease by 2025 is not on track.&#10;The proportion of adolescents who consumed alcohol at least monthly is higher in adolescents living regionally, at 27.7 per cent, and is higher in adolescents whose language background was English, at 20.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he proportion of adolescents who consumed alcohol at least monthly has remained at around 18 per cent between 2014 and 2018. Our target of a 10% decrease by 2025 is not on track.&#10;The proportion of adolescents who consumed alcohol at least monthly is higher in adolescents living regionally, at 27.7 per cent, and is higher in adolescents whose language background was English, at 20.1 per cent."/>
                    <pic:cNvPicPr/>
                  </pic:nvPicPr>
                  <pic:blipFill>
                    <a:blip r:embed="rId61"/>
                    <a:stretch>
                      <a:fillRect/>
                    </a:stretch>
                  </pic:blipFill>
                  <pic:spPr>
                    <a:xfrm>
                      <a:off x="0" y="0"/>
                      <a:ext cx="2816238" cy="3101338"/>
                    </a:xfrm>
                    <a:prstGeom prst="rect">
                      <a:avLst/>
                    </a:prstGeom>
                  </pic:spPr>
                </pic:pic>
              </a:graphicData>
            </a:graphic>
          </wp:inline>
        </w:drawing>
      </w:r>
    </w:p>
    <w:p w14:paraId="64FC3CA9" w14:textId="01FB9508" w:rsidR="00617F78" w:rsidRPr="00D435FB" w:rsidRDefault="00617F78" w:rsidP="00D435FB">
      <w:pPr>
        <w:pStyle w:val="Tablefigurenote"/>
      </w:pPr>
      <w:r w:rsidRPr="00D435FB">
        <w:t>Source: Victorian Student Health and Wellbeing Survey</w:t>
      </w:r>
      <w:r w:rsidR="007F02CA" w:rsidRPr="001400D6">
        <w:rPr>
          <w:vertAlign w:val="superscript"/>
        </w:rPr>
        <w:fldChar w:fldCharType="begin"/>
      </w:r>
      <w:r w:rsidR="007F02CA" w:rsidRPr="001400D6">
        <w:rPr>
          <w:vertAlign w:val="superscript"/>
        </w:rPr>
        <w:instrText xml:space="preserve"> NOTEREF _Ref150505041 \f \h </w:instrText>
      </w:r>
      <w:r w:rsidR="00D435FB" w:rsidRPr="001400D6">
        <w:rPr>
          <w:vertAlign w:val="superscript"/>
        </w:rPr>
        <w:instrText xml:space="preserve"> \* MERGEFORMAT </w:instrText>
      </w:r>
      <w:r w:rsidR="007F02CA" w:rsidRPr="001400D6">
        <w:rPr>
          <w:vertAlign w:val="superscript"/>
        </w:rPr>
      </w:r>
      <w:r w:rsidR="007F02CA" w:rsidRPr="001400D6">
        <w:rPr>
          <w:vertAlign w:val="superscript"/>
        </w:rPr>
        <w:fldChar w:fldCharType="separate"/>
      </w:r>
      <w:r w:rsidR="001400D6" w:rsidRPr="001400D6">
        <w:rPr>
          <w:vertAlign w:val="superscript"/>
        </w:rPr>
        <w:t>37</w:t>
      </w:r>
      <w:r w:rsidR="007F02CA" w:rsidRPr="001400D6">
        <w:rPr>
          <w:vertAlign w:val="superscript"/>
        </w:rPr>
        <w:fldChar w:fldCharType="end"/>
      </w:r>
    </w:p>
    <w:p w14:paraId="63E04B46" w14:textId="40D7F9DA" w:rsidR="00617F78" w:rsidRDefault="00617F78" w:rsidP="00D435FB">
      <w:pPr>
        <w:pStyle w:val="Bodyaftertablefigure"/>
      </w:pPr>
      <w:r>
        <w:t xml:space="preserve">This data shows we are not on track to meet the target to reduce excess alcohol consumption by adolescents and adults by 2025, as there is no sign of change in any of these measures. </w:t>
      </w:r>
    </w:p>
    <w:p w14:paraId="25C89655" w14:textId="1757277A" w:rsidR="00617F78" w:rsidRDefault="00617F78" w:rsidP="008B5E9B">
      <w:pPr>
        <w:pStyle w:val="Heading3"/>
      </w:pPr>
      <w:r>
        <w:t xml:space="preserve">Increase </w:t>
      </w:r>
      <w:proofErr w:type="gramStart"/>
      <w:r w:rsidR="005C26CA">
        <w:t>i</w:t>
      </w:r>
      <w:r>
        <w:t>mmunisation</w:t>
      </w:r>
      <w:proofErr w:type="gramEnd"/>
    </w:p>
    <w:p w14:paraId="57567DA1" w14:textId="77777777" w:rsidR="00617F78" w:rsidRDefault="00617F78" w:rsidP="00D435FB">
      <w:pPr>
        <w:pStyle w:val="Body"/>
        <w:spacing w:line="276" w:lineRule="auto"/>
      </w:pPr>
      <w:r w:rsidRPr="77B5F40C">
        <w:t xml:space="preserve">Immunisation remains the safest and most effective way to stop the spread of many of the world’s most infectious diseases. </w:t>
      </w:r>
    </w:p>
    <w:p w14:paraId="12CB53AA" w14:textId="003ABC8C" w:rsidR="00617F78" w:rsidRDefault="0021087F" w:rsidP="00303554">
      <w:pPr>
        <w:pStyle w:val="Body"/>
        <w:spacing w:line="276" w:lineRule="auto"/>
        <w:jc w:val="center"/>
      </w:pPr>
      <w:r>
        <w:rPr>
          <w:noProof/>
        </w:rPr>
        <w:drawing>
          <wp:inline distT="0" distB="0" distL="0" distR="0" wp14:anchorId="1EBCC37F" wp14:editId="353D0021">
            <wp:extent cx="2786332" cy="1720970"/>
            <wp:effectExtent l="0" t="0" r="0" b="0"/>
            <wp:docPr id="122" name="Picture 122" descr="In 2022, 95.0 per cent of Victorian children were up to date with their vaccinations by age five, increasing from 91.2 per cent in 2011 to meet the state and national targets to achieve 95 per cent coverage of school-entry immunisation b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n 2022, 95.0 per cent of Victorian children were up to date with their vaccinations by age five, increasing from 91.2 per cent in 2011 to meet the state and national targets to achieve 95 per cent coverage of school-entry immunisation by 2025."/>
                    <pic:cNvPicPr/>
                  </pic:nvPicPr>
                  <pic:blipFill>
                    <a:blip r:embed="rId62"/>
                    <a:stretch>
                      <a:fillRect/>
                    </a:stretch>
                  </pic:blipFill>
                  <pic:spPr>
                    <a:xfrm>
                      <a:off x="0" y="0"/>
                      <a:ext cx="2790368" cy="1723463"/>
                    </a:xfrm>
                    <a:prstGeom prst="rect">
                      <a:avLst/>
                    </a:prstGeom>
                  </pic:spPr>
                </pic:pic>
              </a:graphicData>
            </a:graphic>
          </wp:inline>
        </w:drawing>
      </w:r>
    </w:p>
    <w:p w14:paraId="063A371E" w14:textId="1002EE84" w:rsidR="00617F78" w:rsidRPr="00D435FB" w:rsidRDefault="00617F78" w:rsidP="00D435FB">
      <w:pPr>
        <w:pStyle w:val="Tablefigurenote"/>
      </w:pPr>
      <w:bookmarkStart w:id="55" w:name="_Ref132620152"/>
      <w:r w:rsidRPr="00D435FB">
        <w:t>Source: Childhood Immunisation Coverage data</w:t>
      </w:r>
      <w:r w:rsidRPr="00D435FB">
        <w:rPr>
          <w:vertAlign w:val="superscript"/>
        </w:rPr>
        <w:endnoteReference w:id="78"/>
      </w:r>
      <w:bookmarkEnd w:id="55"/>
    </w:p>
    <w:p w14:paraId="4F5A61AB" w14:textId="7314D774" w:rsidR="00617F78" w:rsidRDefault="00617F78" w:rsidP="00D435FB">
      <w:pPr>
        <w:pStyle w:val="Bodyaftertablefigure"/>
      </w:pPr>
      <w:r>
        <w:t xml:space="preserve">More striking improvements are seen in vaccination coverage by age </w:t>
      </w:r>
      <w:r w:rsidR="005C26CA">
        <w:t>five</w:t>
      </w:r>
      <w:r>
        <w:t xml:space="preserve"> for Aboriginal children living in Victoria, which ha</w:t>
      </w:r>
      <w:r w:rsidR="005C26CA">
        <w:t>s</w:t>
      </w:r>
      <w:r>
        <w:t xml:space="preserve"> increased from 86.5 per cent in 2011, to 95.6 </w:t>
      </w:r>
      <w:r w:rsidR="005C26CA">
        <w:t xml:space="preserve">per cent </w:t>
      </w:r>
      <w:r>
        <w:t>in 2022</w:t>
      </w:r>
      <w:r w:rsidR="00505F10">
        <w:t>.</w:t>
      </w:r>
      <w:r>
        <w:fldChar w:fldCharType="begin"/>
      </w:r>
      <w:r>
        <w:instrText xml:space="preserve"> NOTEREF _Ref132620152 \f \h </w:instrText>
      </w:r>
      <w:r w:rsidR="00D435FB">
        <w:instrText xml:space="preserve"> \* MERGEFORMAT </w:instrText>
      </w:r>
      <w:r>
        <w:fldChar w:fldCharType="separate"/>
      </w:r>
      <w:r w:rsidR="001400D6" w:rsidRPr="001400D6">
        <w:rPr>
          <w:rStyle w:val="EndnoteReference"/>
        </w:rPr>
        <w:t>77</w:t>
      </w:r>
      <w:r>
        <w:fldChar w:fldCharType="end"/>
      </w:r>
      <w:r>
        <w:t xml:space="preserve"> These improvements are likely reflective of the successful public health interventions and policies to increase uptake of childhood immunisations across the state. The impact of this success is also reflected in the notification rate of vaccine</w:t>
      </w:r>
      <w:r w:rsidR="005C26CA">
        <w:t>-</w:t>
      </w:r>
      <w:r>
        <w:t xml:space="preserve">preventable diseases </w:t>
      </w:r>
      <w:r w:rsidR="005C26CA">
        <w:t>(</w:t>
      </w:r>
      <w:r>
        <w:t xml:space="preserve">diphtheria, tetanus, pertussis, poliomyelitis, measles, </w:t>
      </w:r>
      <w:proofErr w:type="gramStart"/>
      <w:r>
        <w:t>mumps</w:t>
      </w:r>
      <w:proofErr w:type="gramEnd"/>
      <w:r>
        <w:t xml:space="preserve"> and rubella</w:t>
      </w:r>
      <w:r w:rsidR="005C26CA">
        <w:t>)</w:t>
      </w:r>
      <w:r>
        <w:t>, which has shown a steady decline from 159 per 100,000 people in 2011, to 4.7 per 100,000 in 2021</w:t>
      </w:r>
      <w:bookmarkStart w:id="56" w:name="_Ref132620230"/>
      <w:r w:rsidR="00505F10">
        <w:t>.</w:t>
      </w:r>
      <w:r>
        <w:rPr>
          <w:rStyle w:val="EndnoteReference"/>
          <w:rFonts w:eastAsia="Arial" w:cs="Arial"/>
          <w:color w:val="000000" w:themeColor="text1"/>
        </w:rPr>
        <w:endnoteReference w:id="79"/>
      </w:r>
      <w:bookmarkEnd w:id="56"/>
    </w:p>
    <w:p w14:paraId="5F60CDE2" w14:textId="09273C05" w:rsidR="00617F78" w:rsidRDefault="00617F78" w:rsidP="001369B8">
      <w:pPr>
        <w:pStyle w:val="Body"/>
        <w:spacing w:line="276" w:lineRule="auto"/>
        <w:rPr>
          <w:rFonts w:eastAsia="Arial" w:cs="Arial"/>
          <w:color w:val="000000" w:themeColor="text1"/>
        </w:rPr>
      </w:pPr>
      <w:r>
        <w:rPr>
          <w:rFonts w:eastAsia="Arial" w:cs="Arial"/>
          <w:color w:val="000000" w:themeColor="text1"/>
        </w:rPr>
        <w:t xml:space="preserve">Further examination of this data at an individual disease level can be done using the </w:t>
      </w:r>
      <w:hyperlink r:id="rId63" w:history="1">
        <w:r w:rsidR="005C26CA" w:rsidRPr="005C26CA">
          <w:rPr>
            <w:rStyle w:val="Hyperlink"/>
            <w:rFonts w:eastAsia="Arial" w:cs="Arial"/>
          </w:rPr>
          <w:t>Interactive Infectious disease reports</w:t>
        </w:r>
      </w:hyperlink>
      <w:r>
        <w:rPr>
          <w:rFonts w:eastAsia="Arial" w:cs="Arial"/>
          <w:color w:val="000000" w:themeColor="text1"/>
        </w:rPr>
        <w:t xml:space="preserve"> &lt;</w:t>
      </w:r>
      <w:r w:rsidRPr="00041D8D">
        <w:rPr>
          <w:rFonts w:eastAsia="Arial" w:cs="Arial"/>
          <w:color w:val="000000" w:themeColor="text1"/>
        </w:rPr>
        <w:t>https://www.health.vic.gov.au/infectious-diseases/interactive-infectious-disease-reports</w:t>
      </w:r>
      <w:r>
        <w:rPr>
          <w:rFonts w:eastAsia="Arial" w:cs="Arial"/>
          <w:color w:val="000000" w:themeColor="text1"/>
        </w:rPr>
        <w:t>&gt;.</w:t>
      </w:r>
    </w:p>
    <w:p w14:paraId="401A69EE" w14:textId="5750DEF4" w:rsidR="00617F78" w:rsidRDefault="00617F78" w:rsidP="00681BD7">
      <w:pPr>
        <w:pStyle w:val="Heading1"/>
      </w:pPr>
      <w:bookmarkStart w:id="57" w:name="_Toc151976147"/>
      <w:r>
        <w:lastRenderedPageBreak/>
        <w:t>Domain 2</w:t>
      </w:r>
      <w:r w:rsidR="00EB7897">
        <w:t>:</w:t>
      </w:r>
      <w:r>
        <w:t xml:space="preserve"> Victorians are safe and </w:t>
      </w:r>
      <w:proofErr w:type="gramStart"/>
      <w:r>
        <w:t>secure</w:t>
      </w:r>
      <w:bookmarkEnd w:id="57"/>
      <w:proofErr w:type="gramEnd"/>
    </w:p>
    <w:p w14:paraId="42ED3B26" w14:textId="7B8723C9" w:rsidR="00617F78" w:rsidRDefault="00EB7897" w:rsidP="000E3EFC">
      <w:pPr>
        <w:pStyle w:val="Heading2"/>
      </w:pPr>
      <w:bookmarkStart w:id="58" w:name="_Toc151976148"/>
      <w:r>
        <w:t xml:space="preserve">Outcome </w:t>
      </w:r>
      <w:r w:rsidR="00617F78">
        <w:t>2.1</w:t>
      </w:r>
      <w:r>
        <w:t xml:space="preserve">: </w:t>
      </w:r>
      <w:r w:rsidR="00617F78">
        <w:t xml:space="preserve">Victorians live free from abuse and </w:t>
      </w:r>
      <w:proofErr w:type="gramStart"/>
      <w:r w:rsidR="00617F78">
        <w:t>violence</w:t>
      </w:r>
      <w:bookmarkEnd w:id="58"/>
      <w:proofErr w:type="gramEnd"/>
    </w:p>
    <w:p w14:paraId="65C6CFC7" w14:textId="12BD31A2" w:rsidR="00617F78" w:rsidRDefault="00617F78" w:rsidP="009A1AC9">
      <w:pPr>
        <w:pStyle w:val="Body"/>
      </w:pPr>
      <w:r>
        <w:t>F</w:t>
      </w:r>
      <w:r w:rsidRPr="000E37AF">
        <w:t xml:space="preserve">eeling safe in the areas that we live has a strong influence on our health and wellbeing. </w:t>
      </w:r>
      <w:r>
        <w:t>Alternatively, f</w:t>
      </w:r>
      <w:r w:rsidRPr="000E37AF">
        <w:t>eeling unsafe causes stress and contributes to poor mental wellbeing</w:t>
      </w:r>
      <w:bookmarkStart w:id="59" w:name="_Ref132641395"/>
      <w:r w:rsidR="00505F10">
        <w:t>.</w:t>
      </w:r>
      <w:r>
        <w:rPr>
          <w:rStyle w:val="EndnoteReference"/>
        </w:rPr>
        <w:endnoteReference w:id="80"/>
      </w:r>
      <w:bookmarkEnd w:id="59"/>
      <w:r w:rsidRPr="000E37AF">
        <w:t xml:space="preserve"> It can also affect our behaviour and engagement with the community, as</w:t>
      </w:r>
      <w:r>
        <w:t xml:space="preserve"> people who feel unsafe in their neighbourhoods are less likely to engage in physical activity</w:t>
      </w:r>
      <w:r w:rsidR="005C26CA">
        <w:t xml:space="preserve"> or</w:t>
      </w:r>
      <w:r>
        <w:t xml:space="preserve"> social activities, and have </w:t>
      </w:r>
      <w:r w:rsidR="005B388F">
        <w:t xml:space="preserve">fewer </w:t>
      </w:r>
      <w:r>
        <w:t>positive social interactions</w:t>
      </w:r>
      <w:r w:rsidR="00505F10">
        <w:t>.</w:t>
      </w:r>
      <w:r>
        <w:fldChar w:fldCharType="begin"/>
      </w:r>
      <w:r>
        <w:instrText xml:space="preserve"> NOTEREF _Ref132641395 \f \h </w:instrText>
      </w:r>
      <w:r>
        <w:fldChar w:fldCharType="separate"/>
      </w:r>
      <w:r w:rsidR="00B36EB8" w:rsidRPr="00B36EB8">
        <w:rPr>
          <w:rStyle w:val="EndnoteReference"/>
        </w:rPr>
        <w:t>79</w:t>
      </w:r>
      <w:r>
        <w:fldChar w:fldCharType="end"/>
      </w:r>
    </w:p>
    <w:p w14:paraId="0CC94105" w14:textId="0F031A57" w:rsidR="00617F78" w:rsidRDefault="00617F78" w:rsidP="009A1AC9">
      <w:pPr>
        <w:pStyle w:val="Body"/>
      </w:pPr>
      <w:r>
        <w:t>Experiencing violence directly can influence our health and wellbeing beyond the direct harm to physical health</w:t>
      </w:r>
      <w:r w:rsidR="005B388F">
        <w:t>. It</w:t>
      </w:r>
      <w:r>
        <w:t xml:space="preserve"> impacts </w:t>
      </w:r>
      <w:r w:rsidR="005B388F">
        <w:t>our</w:t>
      </w:r>
      <w:r>
        <w:t xml:space="preserve"> perceptions of safety and contribut</w:t>
      </w:r>
      <w:r w:rsidR="005B388F">
        <w:t>es</w:t>
      </w:r>
      <w:r>
        <w:t xml:space="preserve"> to mental illness, post-traumatic stress, cardiovascular </w:t>
      </w:r>
      <w:proofErr w:type="gramStart"/>
      <w:r>
        <w:t>disease</w:t>
      </w:r>
      <w:proofErr w:type="gramEnd"/>
      <w:r>
        <w:t xml:space="preserve"> and premature mortality</w:t>
      </w:r>
      <w:r w:rsidR="00505F10">
        <w:t>.</w:t>
      </w:r>
      <w:r>
        <w:rPr>
          <w:rStyle w:val="EndnoteReference"/>
        </w:rPr>
        <w:endnoteReference w:id="81"/>
      </w:r>
    </w:p>
    <w:p w14:paraId="0A4FC59E" w14:textId="10B23277" w:rsidR="005B388F" w:rsidRDefault="00617F78" w:rsidP="009A1AC9">
      <w:pPr>
        <w:pStyle w:val="Body"/>
        <w:rPr>
          <w:rFonts w:cs="Arial"/>
          <w:szCs w:val="21"/>
        </w:rPr>
      </w:pPr>
      <w:r w:rsidRPr="693CBF17">
        <w:rPr>
          <w:rFonts w:cs="Arial"/>
          <w:szCs w:val="21"/>
        </w:rPr>
        <w:t xml:space="preserve">Family violence and sexual violence can impact </w:t>
      </w:r>
      <w:r w:rsidR="005B388F">
        <w:rPr>
          <w:rFonts w:cs="Arial"/>
          <w:szCs w:val="21"/>
        </w:rPr>
        <w:t xml:space="preserve">an </w:t>
      </w:r>
      <w:r w:rsidRPr="693CBF17">
        <w:rPr>
          <w:rFonts w:cs="Arial"/>
          <w:szCs w:val="21"/>
        </w:rPr>
        <w:t>individual</w:t>
      </w:r>
      <w:r w:rsidR="005B388F">
        <w:rPr>
          <w:rFonts w:cs="Arial"/>
          <w:szCs w:val="21"/>
        </w:rPr>
        <w:t>’</w:t>
      </w:r>
      <w:r w:rsidRPr="693CBF17">
        <w:rPr>
          <w:rFonts w:cs="Arial"/>
          <w:szCs w:val="21"/>
        </w:rPr>
        <w:t xml:space="preserve">s ability to participate in employment, </w:t>
      </w:r>
      <w:r w:rsidR="005B388F">
        <w:rPr>
          <w:rFonts w:cs="Arial"/>
          <w:szCs w:val="21"/>
        </w:rPr>
        <w:t xml:space="preserve">as well as </w:t>
      </w:r>
      <w:r w:rsidRPr="693CBF17">
        <w:rPr>
          <w:rFonts w:cs="Arial"/>
          <w:szCs w:val="21"/>
        </w:rPr>
        <w:t xml:space="preserve">their financial security and access to safe, affordable housing. It can impact relationships with family and friends, increase isolation, and can impact children’s emotional, </w:t>
      </w:r>
      <w:proofErr w:type="gramStart"/>
      <w:r w:rsidRPr="693CBF17">
        <w:rPr>
          <w:rFonts w:cs="Arial"/>
          <w:szCs w:val="21"/>
        </w:rPr>
        <w:t>behavioural</w:t>
      </w:r>
      <w:proofErr w:type="gramEnd"/>
      <w:r w:rsidRPr="693CBF17">
        <w:rPr>
          <w:rFonts w:cs="Arial"/>
          <w:szCs w:val="21"/>
        </w:rPr>
        <w:t xml:space="preserve"> and social wellbeing, including attendance and achievements at school.</w:t>
      </w:r>
    </w:p>
    <w:p w14:paraId="22B36E31" w14:textId="47959F58" w:rsidR="00617F78" w:rsidRDefault="00617F78" w:rsidP="009A1AC9">
      <w:pPr>
        <w:pStyle w:val="Body"/>
      </w:pPr>
      <w:r>
        <w:t xml:space="preserve">All Victorians should be able to live free from violence and feel safe in the communities </w:t>
      </w:r>
      <w:r w:rsidR="005B388F">
        <w:t xml:space="preserve">where </w:t>
      </w:r>
      <w:r>
        <w:t xml:space="preserve">we live, work, and play. </w:t>
      </w:r>
    </w:p>
    <w:p w14:paraId="3ED15E72" w14:textId="0A74BE53" w:rsidR="00617F78" w:rsidRDefault="00617F78" w:rsidP="00A97435">
      <w:pPr>
        <w:pStyle w:val="Heading3"/>
      </w:pPr>
      <w:r>
        <w:t xml:space="preserve">Increase community </w:t>
      </w:r>
      <w:proofErr w:type="gramStart"/>
      <w:r>
        <w:t>safety</w:t>
      </w:r>
      <w:proofErr w:type="gramEnd"/>
    </w:p>
    <w:p w14:paraId="1985E552" w14:textId="7F016E90" w:rsidR="00617F78" w:rsidRDefault="00617F78" w:rsidP="00790F14">
      <w:pPr>
        <w:pStyle w:val="Body"/>
        <w:rPr>
          <w:rFonts w:eastAsia="MS Mincho"/>
        </w:rPr>
      </w:pPr>
      <w:r w:rsidRPr="00BA0058">
        <w:rPr>
          <w:rStyle w:val="normaltextrun"/>
          <w:rFonts w:eastAsia="MS Mincho" w:cs="Arial"/>
          <w:szCs w:val="21"/>
        </w:rPr>
        <w:t>Although violence can be experienced by people in a range of different ways, settings and relationships, violence is largely a gendered issue, perpetrated overwhelmingly by men against women</w:t>
      </w:r>
      <w:r w:rsidR="00505F10">
        <w:rPr>
          <w:rStyle w:val="normaltextrun"/>
          <w:rFonts w:eastAsia="MS Mincho" w:cs="Arial"/>
          <w:szCs w:val="21"/>
        </w:rPr>
        <w:t>.</w:t>
      </w:r>
      <w:r>
        <w:rPr>
          <w:rStyle w:val="EndnoteReference"/>
          <w:rFonts w:eastAsia="MS Mincho" w:cs="Arial"/>
          <w:szCs w:val="21"/>
        </w:rPr>
        <w:endnoteReference w:id="82"/>
      </w:r>
      <w:r w:rsidR="00553F2D">
        <w:rPr>
          <w:rStyle w:val="normaltextrun"/>
          <w:rFonts w:eastAsia="MS Mincho" w:cs="Arial"/>
          <w:szCs w:val="21"/>
        </w:rPr>
        <w:t xml:space="preserve"> </w:t>
      </w:r>
      <w:r w:rsidRPr="00BA0058">
        <w:rPr>
          <w:rStyle w:val="normaltextrun"/>
          <w:rFonts w:eastAsia="MS Mincho" w:cs="Arial"/>
          <w:szCs w:val="21"/>
        </w:rPr>
        <w:t xml:space="preserve">One </w:t>
      </w:r>
      <w:r w:rsidRPr="00BA0058">
        <w:rPr>
          <w:rFonts w:eastAsia="MS Mincho"/>
        </w:rPr>
        <w:t>third of women have experienced physical violence since the age of 15 years, and one in five have experienced sexual violence</w:t>
      </w:r>
      <w:r w:rsidR="00505F10">
        <w:rPr>
          <w:rFonts w:eastAsia="MS Mincho"/>
        </w:rPr>
        <w:t>.</w:t>
      </w:r>
      <w:r>
        <w:rPr>
          <w:rStyle w:val="EndnoteReference"/>
          <w:rFonts w:eastAsia="MS Mincho"/>
        </w:rPr>
        <w:endnoteReference w:id="83"/>
      </w:r>
    </w:p>
    <w:p w14:paraId="4F1E6CC0" w14:textId="5D3C96C2" w:rsidR="00617F78" w:rsidRPr="00035AE5" w:rsidRDefault="00617F78" w:rsidP="00035AE5">
      <w:pPr>
        <w:pStyle w:val="Body"/>
        <w:rPr>
          <w:rFonts w:eastAsia="MS Mincho"/>
        </w:rPr>
      </w:pPr>
      <w:r w:rsidRPr="00BA0058">
        <w:rPr>
          <w:rFonts w:eastAsia="MS Mincho"/>
        </w:rPr>
        <w:t xml:space="preserve">While hospital admissions rates due to assault are higher for men, many women </w:t>
      </w:r>
      <w:r w:rsidRPr="0A085298">
        <w:rPr>
          <w:rFonts w:eastAsia="MS Mincho"/>
        </w:rPr>
        <w:t>do not</w:t>
      </w:r>
      <w:r w:rsidRPr="00BA0058">
        <w:rPr>
          <w:rFonts w:eastAsia="MS Mincho"/>
        </w:rPr>
        <w:t xml:space="preserve"> present to hospital</w:t>
      </w:r>
      <w:r>
        <w:rPr>
          <w:rFonts w:eastAsia="MS Mincho"/>
        </w:rPr>
        <w:t xml:space="preserve"> </w:t>
      </w:r>
      <w:r w:rsidRPr="00BA0058">
        <w:rPr>
          <w:rFonts w:eastAsia="MS Mincho"/>
        </w:rPr>
        <w:t xml:space="preserve">when they experience family or </w:t>
      </w:r>
      <w:r w:rsidRPr="00B96017">
        <w:rPr>
          <w:rFonts w:eastAsia="MS Mincho"/>
        </w:rPr>
        <w:t>sexual violence</w:t>
      </w:r>
      <w:r>
        <w:rPr>
          <w:rFonts w:eastAsia="MS Mincho"/>
        </w:rPr>
        <w:t xml:space="preserve"> for many reasons.</w:t>
      </w:r>
      <w:r w:rsidRPr="00B96017">
        <w:rPr>
          <w:rFonts w:eastAsia="MS Mincho"/>
        </w:rPr>
        <w:t xml:space="preserve"> </w:t>
      </w:r>
      <w:r>
        <w:rPr>
          <w:rFonts w:eastAsia="MS Mincho"/>
        </w:rPr>
        <w:t>T</w:t>
      </w:r>
      <w:r w:rsidRPr="00B96017">
        <w:rPr>
          <w:rFonts w:eastAsia="MS Mincho"/>
        </w:rPr>
        <w:t>herefore</w:t>
      </w:r>
      <w:r>
        <w:rPr>
          <w:rFonts w:eastAsia="MS Mincho"/>
        </w:rPr>
        <w:t>,</w:t>
      </w:r>
      <w:r w:rsidRPr="00B96017">
        <w:rPr>
          <w:rFonts w:eastAsia="MS Mincho"/>
        </w:rPr>
        <w:t xml:space="preserve"> women may be underrepresented within hospital admissions data</w:t>
      </w:r>
      <w:r>
        <w:rPr>
          <w:rFonts w:eastAsia="MS Mincho"/>
        </w:rPr>
        <w:t>.</w:t>
      </w:r>
      <w:r w:rsidRPr="00B96017">
        <w:rPr>
          <w:rFonts w:eastAsia="MS Mincho"/>
        </w:rPr>
        <w:t xml:space="preserve"> </w:t>
      </w:r>
    </w:p>
    <w:p w14:paraId="24BECC18" w14:textId="378D0462" w:rsidR="00617F78" w:rsidRDefault="00617F78" w:rsidP="00A97435">
      <w:pPr>
        <w:pStyle w:val="Heading4"/>
      </w:pPr>
      <w:r>
        <w:t>Hospitalisation rate due to assault</w:t>
      </w:r>
    </w:p>
    <w:p w14:paraId="376AB4AB" w14:textId="07165A2B" w:rsidR="00617F78" w:rsidRDefault="0021087F" w:rsidP="00091A65">
      <w:pPr>
        <w:pStyle w:val="Body"/>
        <w:jc w:val="center"/>
      </w:pPr>
      <w:r>
        <w:rPr>
          <w:noProof/>
        </w:rPr>
        <w:drawing>
          <wp:inline distT="0" distB="0" distL="0" distR="0" wp14:anchorId="4BF78845" wp14:editId="3010944F">
            <wp:extent cx="3914775" cy="2895600"/>
            <wp:effectExtent l="0" t="0" r="9525" b="0"/>
            <wp:docPr id="123" name="Picture 123" descr="Hospitalisations due to assault (including same-day admissions) has steadily increased from 55 per 100,000 in 2012/13 to 70 per 100,000 in 2021/22. It is higher for males, at 105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Hospitalisations due to assault (including same-day admissions) has steadily increased from 55 per 100,000 in 2012/13 to 70 per 100,000 in 2021/22. It is higher for males, at 105 per 100,000."/>
                    <pic:cNvPicPr/>
                  </pic:nvPicPr>
                  <pic:blipFill>
                    <a:blip r:embed="rId64"/>
                    <a:stretch>
                      <a:fillRect/>
                    </a:stretch>
                  </pic:blipFill>
                  <pic:spPr>
                    <a:xfrm>
                      <a:off x="0" y="0"/>
                      <a:ext cx="3914775" cy="2895600"/>
                    </a:xfrm>
                    <a:prstGeom prst="rect">
                      <a:avLst/>
                    </a:prstGeom>
                  </pic:spPr>
                </pic:pic>
              </a:graphicData>
            </a:graphic>
          </wp:inline>
        </w:drawing>
      </w:r>
    </w:p>
    <w:p w14:paraId="39A88E85" w14:textId="676552CC" w:rsidR="00617F78" w:rsidRDefault="00617F78" w:rsidP="00D435FB">
      <w:pPr>
        <w:pStyle w:val="Tablefigurenote"/>
      </w:pPr>
      <w:r>
        <w:lastRenderedPageBreak/>
        <w:t>Source: Victorian Admitted Episodes Dataset</w:t>
      </w:r>
      <w:r w:rsidR="001D0DC4" w:rsidRPr="00B36EB8">
        <w:rPr>
          <w:vertAlign w:val="superscript"/>
        </w:rPr>
        <w:fldChar w:fldCharType="begin"/>
      </w:r>
      <w:r w:rsidR="001D0DC4" w:rsidRPr="00B36EB8">
        <w:rPr>
          <w:vertAlign w:val="superscript"/>
        </w:rPr>
        <w:instrText xml:space="preserve"> NOTEREF _Ref150506096 \f \h </w:instrText>
      </w:r>
      <w:r w:rsidR="00D435FB" w:rsidRPr="00B36EB8">
        <w:rPr>
          <w:vertAlign w:val="superscript"/>
        </w:rPr>
        <w:instrText xml:space="preserve"> \* MERGEFORMAT </w:instrText>
      </w:r>
      <w:r w:rsidR="001D0DC4" w:rsidRPr="00B36EB8">
        <w:rPr>
          <w:vertAlign w:val="superscript"/>
        </w:rPr>
      </w:r>
      <w:r w:rsidR="001D0DC4" w:rsidRPr="00B36EB8">
        <w:rPr>
          <w:vertAlign w:val="superscript"/>
        </w:rPr>
        <w:fldChar w:fldCharType="separate"/>
      </w:r>
      <w:r w:rsidR="00B36EB8" w:rsidRPr="00B36EB8">
        <w:rPr>
          <w:vertAlign w:val="superscript"/>
        </w:rPr>
        <w:t>41</w:t>
      </w:r>
      <w:r w:rsidR="001D0DC4" w:rsidRPr="00B36EB8">
        <w:rPr>
          <w:vertAlign w:val="superscript"/>
        </w:rPr>
        <w:fldChar w:fldCharType="end"/>
      </w:r>
    </w:p>
    <w:p w14:paraId="70B11A9B" w14:textId="1C415B42" w:rsidR="00617F78" w:rsidRDefault="00617F78" w:rsidP="00A97435">
      <w:pPr>
        <w:pStyle w:val="Heading4"/>
      </w:pPr>
      <w:r>
        <w:t xml:space="preserve">Feeling </w:t>
      </w:r>
      <w:r w:rsidR="005B388F">
        <w:t>s</w:t>
      </w:r>
      <w:r>
        <w:t>afe</w:t>
      </w:r>
    </w:p>
    <w:p w14:paraId="641E0D8E" w14:textId="72D5267D" w:rsidR="00617F78" w:rsidRDefault="00617F78" w:rsidP="00537BD2">
      <w:pPr>
        <w:pStyle w:val="Body"/>
      </w:pPr>
      <w:r>
        <w:t>Data for the proportion of adults feeling safe walking in their street at night is only available from 2017 onwards</w:t>
      </w:r>
      <w:r w:rsidR="005B388F">
        <w:t>.</w:t>
      </w:r>
      <w:r>
        <w:t xml:space="preserve"> </w:t>
      </w:r>
      <w:r w:rsidR="005B388F">
        <w:t>T</w:t>
      </w:r>
      <w:r>
        <w:t>herefore</w:t>
      </w:r>
      <w:r w:rsidR="005B388F">
        <w:t>,</w:t>
      </w:r>
      <w:r>
        <w:t xml:space="preserve"> there is not enough evidence to say if trends are increasing or decreasing over time. However, there are clear trends that women, people with low household income, people born overseas, people with high levels of psychological distress and those living in metropolitan areas are significantly less likely to feel safe walking down their street at night</w:t>
      </w:r>
      <w:r w:rsidR="00505F10">
        <w:t>.</w:t>
      </w:r>
      <w:r>
        <w:rPr>
          <w:rStyle w:val="EndnoteReference"/>
        </w:rPr>
        <w:endnoteReference w:id="84"/>
      </w:r>
    </w:p>
    <w:p w14:paraId="7705EBCD" w14:textId="09AEDACD" w:rsidR="00617F78" w:rsidRDefault="00EB7897" w:rsidP="00B02A14">
      <w:pPr>
        <w:pStyle w:val="Heading2"/>
      </w:pPr>
      <w:bookmarkStart w:id="60" w:name="_Toc151976149"/>
      <w:r>
        <w:t xml:space="preserve">Outcome </w:t>
      </w:r>
      <w:r w:rsidR="00617F78">
        <w:t>2.2</w:t>
      </w:r>
      <w:r>
        <w:t>:</w:t>
      </w:r>
      <w:r w:rsidR="00617F78">
        <w:t xml:space="preserve"> Victorians have suitable and stable </w:t>
      </w:r>
      <w:proofErr w:type="gramStart"/>
      <w:r w:rsidR="00617F78">
        <w:t>housing</w:t>
      </w:r>
      <w:bookmarkEnd w:id="60"/>
      <w:proofErr w:type="gramEnd"/>
    </w:p>
    <w:p w14:paraId="0C5E5C9E" w14:textId="0946BB46" w:rsidR="00617F78" w:rsidRPr="003210E0" w:rsidRDefault="00617F78" w:rsidP="003210E0">
      <w:pPr>
        <w:pStyle w:val="Body"/>
      </w:pPr>
      <w:r>
        <w:t>In Australia, most people are lucky enough to enjoy safe and secure housing throughout their lives. However, tough economic conditions and the increasing cost of buying and renting a house is making it more challenging for Victorians to secure housing. These issues are becoming increasingly important</w:t>
      </w:r>
      <w:r w:rsidR="005B388F">
        <w:t>,</w:t>
      </w:r>
      <w:r>
        <w:t xml:space="preserve"> considering the increasing impact of climate change on health and due to changing demographic trends</w:t>
      </w:r>
      <w:r w:rsidR="005B388F">
        <w:t>,</w:t>
      </w:r>
      <w:r>
        <w:t xml:space="preserve"> including urbanisation and an ageing population</w:t>
      </w:r>
      <w:r w:rsidR="00505F10">
        <w:t>.</w:t>
      </w:r>
      <w:r>
        <w:rPr>
          <w:rStyle w:val="EndnoteReference"/>
        </w:rPr>
        <w:endnoteReference w:id="85"/>
      </w:r>
      <w:r>
        <w:t xml:space="preserve"> </w:t>
      </w:r>
    </w:p>
    <w:p w14:paraId="6ED2EFFB" w14:textId="140CA405" w:rsidR="00617F78" w:rsidRDefault="00617F78" w:rsidP="00B02A14">
      <w:pPr>
        <w:pStyle w:val="Heading3"/>
      </w:pPr>
      <w:r>
        <w:t xml:space="preserve">Decrease </w:t>
      </w:r>
      <w:proofErr w:type="gramStart"/>
      <w:r>
        <w:t>homelessness</w:t>
      </w:r>
      <w:proofErr w:type="gramEnd"/>
    </w:p>
    <w:p w14:paraId="6AB4F11E" w14:textId="5BC9F7FF" w:rsidR="00617F78" w:rsidRDefault="00617F78" w:rsidP="00994FDE">
      <w:pPr>
        <w:pStyle w:val="Body"/>
      </w:pPr>
      <w:r>
        <w:t xml:space="preserve">On census night in 2021, 30,660 Victorians were experiencing homelessness, </w:t>
      </w:r>
      <w:r w:rsidR="005B388F">
        <w:t xml:space="preserve">which is </w:t>
      </w:r>
      <w:r>
        <w:t>0.47 per cent of the Victorian population. This number has jumped from 22,306 in 2011</w:t>
      </w:r>
      <w:r w:rsidR="00505F10">
        <w:t>.</w:t>
      </w:r>
      <w:r>
        <w:rPr>
          <w:rStyle w:val="EndnoteReference"/>
        </w:rPr>
        <w:endnoteReference w:id="86"/>
      </w:r>
      <w:r w:rsidR="00505F10">
        <w:t xml:space="preserve"> </w:t>
      </w:r>
      <w:r>
        <w:t xml:space="preserve">Of the people who are homeless, males make up 58 per cent and females </w:t>
      </w:r>
      <w:r w:rsidR="005B388F">
        <w:t xml:space="preserve">make up </w:t>
      </w:r>
      <w:r>
        <w:t xml:space="preserve">42 per cent. Aboriginal people living in Victoria are overrepresented, making up </w:t>
      </w:r>
      <w:r w:rsidR="005B388F">
        <w:t>four</w:t>
      </w:r>
      <w:r>
        <w:t xml:space="preserve"> per cent of the people who are homeless, while only representing </w:t>
      </w:r>
      <w:r w:rsidR="005B388F">
        <w:t>one</w:t>
      </w:r>
      <w:r>
        <w:t xml:space="preserve"> per cent of the Victorian population. </w:t>
      </w:r>
    </w:p>
    <w:p w14:paraId="6C65C595" w14:textId="5FED78CF" w:rsidR="00617F78" w:rsidRDefault="00617F78" w:rsidP="00681BD7">
      <w:pPr>
        <w:pStyle w:val="Heading1"/>
      </w:pPr>
      <w:bookmarkStart w:id="61" w:name="_Toc151976150"/>
      <w:r>
        <w:t>Domain 3</w:t>
      </w:r>
      <w:r w:rsidR="00EB7897">
        <w:t>:</w:t>
      </w:r>
      <w:r>
        <w:t xml:space="preserve"> Victorians have the capabilities to </w:t>
      </w:r>
      <w:proofErr w:type="gramStart"/>
      <w:r>
        <w:t>participate</w:t>
      </w:r>
      <w:bookmarkEnd w:id="61"/>
      <w:proofErr w:type="gramEnd"/>
    </w:p>
    <w:p w14:paraId="6E45DB6A" w14:textId="12387B2C" w:rsidR="00617F78" w:rsidRDefault="00EB7897" w:rsidP="002C6DF8">
      <w:pPr>
        <w:pStyle w:val="Heading2"/>
      </w:pPr>
      <w:bookmarkStart w:id="62" w:name="_Toc151976151"/>
      <w:r>
        <w:t xml:space="preserve">Outcome </w:t>
      </w:r>
      <w:r w:rsidR="00617F78">
        <w:t>3.2</w:t>
      </w:r>
      <w:r>
        <w:t>:</w:t>
      </w:r>
      <w:r w:rsidR="00617F78">
        <w:t xml:space="preserve"> Victorians participate in and contribute to the </w:t>
      </w:r>
      <w:proofErr w:type="gramStart"/>
      <w:r w:rsidR="00617F78">
        <w:t>economy</w:t>
      </w:r>
      <w:bookmarkEnd w:id="62"/>
      <w:proofErr w:type="gramEnd"/>
    </w:p>
    <w:p w14:paraId="565223E3" w14:textId="1568A11C" w:rsidR="00A218F9" w:rsidRDefault="00617F78" w:rsidP="00734662">
      <w:pPr>
        <w:pStyle w:val="Body"/>
      </w:pPr>
      <w:r>
        <w:t>There is a well-established relationship between employment and good health and wellbeing, where unemployment is associated with poorer health</w:t>
      </w:r>
      <w:r w:rsidR="00505F10">
        <w:t>.</w:t>
      </w:r>
      <w:r>
        <w:rPr>
          <w:rStyle w:val="EndnoteReference"/>
        </w:rPr>
        <w:endnoteReference w:id="87"/>
      </w:r>
      <w:r w:rsidR="00505F10">
        <w:t xml:space="preserve"> </w:t>
      </w:r>
      <w:r>
        <w:t>This relationship is circular and complex</w:t>
      </w:r>
      <w:r w:rsidR="00C64219">
        <w:t>.</w:t>
      </w:r>
      <w:r>
        <w:t xml:space="preserve"> </w:t>
      </w:r>
      <w:r w:rsidR="00C64219">
        <w:t>P</w:t>
      </w:r>
      <w:r>
        <w:t>oor health and wellbeing can lead to job loss and prevent re-employment, and unemployment can contribute to poor health and wellbeing through reduced financial security and participation in the community</w:t>
      </w:r>
      <w:r w:rsidR="00505F10">
        <w:t>.</w:t>
      </w:r>
      <w:r>
        <w:rPr>
          <w:rStyle w:val="EndnoteReference"/>
        </w:rPr>
        <w:endnoteReference w:id="88"/>
      </w:r>
      <w:r w:rsidRPr="009133C5">
        <w:rPr>
          <w:vertAlign w:val="superscript"/>
        </w:rPr>
        <w:t>,</w:t>
      </w:r>
      <w:bookmarkStart w:id="63" w:name="_Ref132620960"/>
      <w:r>
        <w:rPr>
          <w:rStyle w:val="EndnoteReference"/>
        </w:rPr>
        <w:endnoteReference w:id="89"/>
      </w:r>
      <w:bookmarkEnd w:id="63"/>
    </w:p>
    <w:p w14:paraId="31F03F59" w14:textId="19C790B9" w:rsidR="00617F78" w:rsidRDefault="00617F78" w:rsidP="00734662">
      <w:pPr>
        <w:pStyle w:val="Body"/>
      </w:pPr>
      <w:r>
        <w:t xml:space="preserve">For employment to be beneficial for health and wellbeing, it is important that people have good working conditions, are adequately paid, </w:t>
      </w:r>
      <w:r w:rsidR="00DB3734">
        <w:t>are</w:t>
      </w:r>
      <w:r>
        <w:t xml:space="preserve"> supported by the </w:t>
      </w:r>
      <w:proofErr w:type="gramStart"/>
      <w:r>
        <w:t>workplace</w:t>
      </w:r>
      <w:proofErr w:type="gramEnd"/>
      <w:r>
        <w:t xml:space="preserve"> and </w:t>
      </w:r>
      <w:r w:rsidR="00DB3734">
        <w:t xml:space="preserve">feel </w:t>
      </w:r>
      <w:r>
        <w:t>safe at work</w:t>
      </w:r>
      <w:r w:rsidR="00505F10">
        <w:t>.</w:t>
      </w:r>
      <w:r>
        <w:fldChar w:fldCharType="begin"/>
      </w:r>
      <w:r>
        <w:instrText xml:space="preserve"> NOTEREF _Ref132620960 \f \h </w:instrText>
      </w:r>
      <w:r>
        <w:fldChar w:fldCharType="separate"/>
      </w:r>
      <w:r w:rsidR="00B36EB8" w:rsidRPr="00B36EB8">
        <w:rPr>
          <w:rStyle w:val="EndnoteReference"/>
        </w:rPr>
        <w:t>88</w:t>
      </w:r>
      <w:r>
        <w:fldChar w:fldCharType="end"/>
      </w:r>
    </w:p>
    <w:p w14:paraId="4C4EFB56" w14:textId="15BC135B" w:rsidR="00617F78" w:rsidRPr="00734662" w:rsidRDefault="00617F78" w:rsidP="00734662">
      <w:pPr>
        <w:pStyle w:val="Body"/>
      </w:pPr>
      <w:r>
        <w:t xml:space="preserve">Employment is a fundamental underlying cause of health inequality and provides an indication of whether inequality exists. To reduce inequity, all Victorians must be provided with equal opportunity to access employment, and employers need to create workplaces that are inclusive for people of all ages, genders, </w:t>
      </w:r>
      <w:proofErr w:type="gramStart"/>
      <w:r>
        <w:t>abilities</w:t>
      </w:r>
      <w:proofErr w:type="gramEnd"/>
      <w:r>
        <w:t xml:space="preserve"> and cultural backgrounds. </w:t>
      </w:r>
    </w:p>
    <w:p w14:paraId="095C66E5" w14:textId="1BDA137D" w:rsidR="00617F78" w:rsidRDefault="00617F78" w:rsidP="00891133">
      <w:pPr>
        <w:pStyle w:val="Heading3"/>
      </w:pPr>
      <w:r>
        <w:lastRenderedPageBreak/>
        <w:t xml:space="preserve">Increase labour market </w:t>
      </w:r>
      <w:proofErr w:type="gramStart"/>
      <w:r>
        <w:t>participation</w:t>
      </w:r>
      <w:proofErr w:type="gramEnd"/>
    </w:p>
    <w:p w14:paraId="3E5FC6D7" w14:textId="2068C971" w:rsidR="00617F78" w:rsidRDefault="0021087F" w:rsidP="00C071CB">
      <w:pPr>
        <w:pStyle w:val="Body"/>
        <w:jc w:val="center"/>
      </w:pPr>
      <w:r>
        <w:rPr>
          <w:noProof/>
        </w:rPr>
        <w:drawing>
          <wp:inline distT="0" distB="0" distL="0" distR="0" wp14:anchorId="4C37AEF7" wp14:editId="3785BB22">
            <wp:extent cx="3278038" cy="1827366"/>
            <wp:effectExtent l="0" t="0" r="0" b="1905"/>
            <wp:docPr id="124" name="Picture 124" descr="The proportion of people unemployed is the lowest it has been since 2011, at 4.66 per cent in 2021. It is higher for Aboriginal people living in Victoria, at 8.9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proportion of people unemployed is the lowest it has been since 2011, at 4.66 per cent in 2021. It is higher for Aboriginal people living in Victoria, at 8.9 per cent. "/>
                    <pic:cNvPicPr/>
                  </pic:nvPicPr>
                  <pic:blipFill>
                    <a:blip r:embed="rId65"/>
                    <a:stretch>
                      <a:fillRect/>
                    </a:stretch>
                  </pic:blipFill>
                  <pic:spPr>
                    <a:xfrm>
                      <a:off x="0" y="0"/>
                      <a:ext cx="3285300" cy="1831414"/>
                    </a:xfrm>
                    <a:prstGeom prst="rect">
                      <a:avLst/>
                    </a:prstGeom>
                  </pic:spPr>
                </pic:pic>
              </a:graphicData>
            </a:graphic>
          </wp:inline>
        </w:drawing>
      </w:r>
    </w:p>
    <w:p w14:paraId="22FDE94E" w14:textId="10FE0970" w:rsidR="00617F78" w:rsidRDefault="00617F78" w:rsidP="00D435FB">
      <w:pPr>
        <w:pStyle w:val="Tablefigurenote"/>
      </w:pPr>
      <w:r>
        <w:t>Source: Census of population and housing</w:t>
      </w:r>
      <w:r w:rsidRPr="00D435FB">
        <w:rPr>
          <w:vertAlign w:val="superscript"/>
        </w:rPr>
        <w:endnoteReference w:id="90"/>
      </w:r>
    </w:p>
    <w:p w14:paraId="311C2BE4" w14:textId="14C932C9" w:rsidR="00D435FB" w:rsidRDefault="008D2CED" w:rsidP="00D435FB">
      <w:pPr>
        <w:pStyle w:val="Bodyaftertablefigure"/>
      </w:pPr>
      <w:r>
        <w:t>T</w:t>
      </w:r>
      <w:r w:rsidR="00617F78" w:rsidRPr="00585504">
        <w:t>here are early signs</w:t>
      </w:r>
      <w:r>
        <w:t xml:space="preserve"> that</w:t>
      </w:r>
      <w:r w:rsidR="00617F78" w:rsidRPr="00585504">
        <w:t xml:space="preserve"> th</w:t>
      </w:r>
      <w:r w:rsidR="00617F78">
        <w:t xml:space="preserve">e </w:t>
      </w:r>
      <w:r w:rsidR="00617F78" w:rsidRPr="00585504">
        <w:t>gap</w:t>
      </w:r>
      <w:r w:rsidR="00617F78">
        <w:t xml:space="preserve"> in unemployment between Aboriginal and non-Aboriginal people living in Victoria</w:t>
      </w:r>
      <w:r w:rsidR="00617F78" w:rsidRPr="00585504">
        <w:t xml:space="preserve"> is decreasing over time, as the unemployment rate for </w:t>
      </w:r>
      <w:r w:rsidR="00617F78">
        <w:t xml:space="preserve">Aboriginal people </w:t>
      </w:r>
      <w:r w:rsidR="00617F78" w:rsidRPr="00585504">
        <w:t>has dropped significantly from 14 per cent in 2016</w:t>
      </w:r>
      <w:r w:rsidR="00617F78">
        <w:t xml:space="preserve"> to 8.9 per cent in 2021</w:t>
      </w:r>
      <w:r w:rsidR="00617F78" w:rsidDel="007415EE">
        <w:t>.</w:t>
      </w:r>
    </w:p>
    <w:tbl>
      <w:tblPr>
        <w:tblStyle w:val="TableGrid"/>
        <w:tblW w:w="0" w:type="auto"/>
        <w:tblLook w:val="04A0" w:firstRow="1" w:lastRow="0" w:firstColumn="1" w:lastColumn="0" w:noHBand="0" w:noVBand="1"/>
      </w:tblPr>
      <w:tblGrid>
        <w:gridCol w:w="9288"/>
      </w:tblGrid>
      <w:tr w:rsidR="00D435FB" w14:paraId="4AC1C0CD" w14:textId="77777777">
        <w:tc>
          <w:tcPr>
            <w:tcW w:w="9288" w:type="dxa"/>
          </w:tcPr>
          <w:p w14:paraId="20CC8480" w14:textId="77777777" w:rsidR="00D435FB" w:rsidRPr="00AF68B8" w:rsidRDefault="00D435FB" w:rsidP="00842F0E">
            <w:pPr>
              <w:pStyle w:val="Tabletext"/>
              <w:rPr>
                <w:b/>
                <w:bCs/>
              </w:rPr>
            </w:pPr>
            <w:r w:rsidRPr="00AF68B8">
              <w:rPr>
                <w:b/>
                <w:bCs/>
              </w:rPr>
              <w:t xml:space="preserve">Employment for people living with </w:t>
            </w:r>
            <w:proofErr w:type="gramStart"/>
            <w:r w:rsidRPr="00AF68B8">
              <w:rPr>
                <w:b/>
                <w:bCs/>
              </w:rPr>
              <w:t>disability</w:t>
            </w:r>
            <w:proofErr w:type="gramEnd"/>
          </w:p>
          <w:p w14:paraId="6103DE97" w14:textId="77777777" w:rsidR="00D435FB" w:rsidRDefault="00D435FB" w:rsidP="00842F0E">
            <w:pPr>
              <w:pStyle w:val="Tabletext"/>
            </w:pPr>
            <w:r>
              <w:t>Workplaces that are inclusive of people with disabilities will contribute to better health and wellbeing outcomes and reduce inequities (Emerson et al. 2018). However, people living with a disability often face barriers to finding and engaging in employment, largely due to stigma and assumptions about people with disabilities that are not supported by evidence. Analysis by AIHW has shown that while 90 per cent of people with a disability aged 15-64 in the labour force are employed, this is lower than people of the same age without a disability (AIHW 2023). People with a disability are also twice as likely to be unemployed (10 per cent) compared with those without a disability (5 per cent). The percentage of unemployed people with a disability has increased since 2003 (8 per cent) while the rate of people without a disability has remained constant.</w:t>
            </w:r>
          </w:p>
          <w:p w14:paraId="46C3CB4F" w14:textId="77777777" w:rsidR="007E69C2" w:rsidRDefault="00D435FB">
            <w:pPr>
              <w:pStyle w:val="FootnoteText"/>
            </w:pPr>
            <w:r w:rsidRPr="001E78D1">
              <w:t>Source</w:t>
            </w:r>
            <w:r>
              <w:t>s</w:t>
            </w:r>
            <w:r w:rsidRPr="001E78D1">
              <w:t>:</w:t>
            </w:r>
          </w:p>
          <w:p w14:paraId="6C7F3A9E" w14:textId="206422B1" w:rsidR="00D435FB" w:rsidRPr="001E78D1" w:rsidRDefault="00D435FB">
            <w:pPr>
              <w:pStyle w:val="FootnoteText"/>
            </w:pPr>
            <w:r w:rsidRPr="001E78D1">
              <w:t xml:space="preserve">Emerson E, et al. </w:t>
            </w:r>
            <w:r w:rsidR="007E69C2">
              <w:t xml:space="preserve">(2018) </w:t>
            </w:r>
            <w:r w:rsidR="00B26E34">
              <w:t>‘</w:t>
            </w:r>
            <w:hyperlink r:id="rId66" w:history="1">
              <w:r w:rsidRPr="00414C19">
                <w:rPr>
                  <w:rStyle w:val="Hyperlink"/>
                </w:rPr>
                <w:t>The association between employment status and health among British adults with and without intellectual impairments: cross-sectional analyses of a cohort study</w:t>
              </w:r>
            </w:hyperlink>
            <w:r w:rsidR="00B26E34">
              <w:t>’,</w:t>
            </w:r>
            <w:r w:rsidRPr="001E78D1">
              <w:t xml:space="preserve"> </w:t>
            </w:r>
            <w:r w:rsidR="00421280">
              <w:t>&lt;</w:t>
            </w:r>
            <w:r w:rsidR="00421280" w:rsidRPr="00421280">
              <w:t>https://pubmed.ncbi.nlm.nih.gov/29587712/</w:t>
            </w:r>
            <w:r w:rsidR="00421280">
              <w:t xml:space="preserve">&gt;, </w:t>
            </w:r>
            <w:r w:rsidRPr="00842F0E">
              <w:rPr>
                <w:i/>
                <w:iCs/>
              </w:rPr>
              <w:t>BMC Public Health</w:t>
            </w:r>
            <w:r w:rsidRPr="001E78D1">
              <w:t xml:space="preserve"> 18</w:t>
            </w:r>
            <w:r w:rsidR="00B26E34">
              <w:t>(</w:t>
            </w:r>
            <w:r w:rsidRPr="001E78D1">
              <w:t>401</w:t>
            </w:r>
            <w:r w:rsidR="00B26E34">
              <w:t>)</w:t>
            </w:r>
            <w:r w:rsidR="00421280">
              <w:t>, accessed 13 November 2023.</w:t>
            </w:r>
          </w:p>
          <w:p w14:paraId="67F8B196" w14:textId="6E501CA9" w:rsidR="00D435FB" w:rsidRPr="00A75125" w:rsidRDefault="005B368F">
            <w:pPr>
              <w:pStyle w:val="FootnoteText"/>
              <w:rPr>
                <w:szCs w:val="18"/>
              </w:rPr>
            </w:pPr>
            <w:r>
              <w:rPr>
                <w:szCs w:val="18"/>
              </w:rPr>
              <w:t>AIHW</w:t>
            </w:r>
            <w:r w:rsidR="00D435FB" w:rsidRPr="001E78D1">
              <w:rPr>
                <w:szCs w:val="18"/>
              </w:rPr>
              <w:t xml:space="preserve"> (2022)</w:t>
            </w:r>
            <w:r w:rsidR="006B6B2B">
              <w:rPr>
                <w:szCs w:val="18"/>
              </w:rPr>
              <w:t xml:space="preserve"> </w:t>
            </w:r>
            <w:r w:rsidR="009C6327">
              <w:rPr>
                <w:szCs w:val="18"/>
              </w:rPr>
              <w:t>‘</w:t>
            </w:r>
            <w:hyperlink r:id="rId67" w:history="1">
              <w:r w:rsidR="00D435FB" w:rsidRPr="00842F0E">
                <w:rPr>
                  <w:rStyle w:val="Hyperlink"/>
                </w:rPr>
                <w:t>People with disability in Australia</w:t>
              </w:r>
            </w:hyperlink>
            <w:r w:rsidR="009C6327">
              <w:rPr>
                <w:rStyle w:val="Hyperlink"/>
              </w:rPr>
              <w:t>’</w:t>
            </w:r>
            <w:r w:rsidR="00D435FB" w:rsidRPr="001E78D1">
              <w:rPr>
                <w:szCs w:val="18"/>
              </w:rPr>
              <w:t xml:space="preserve">, </w:t>
            </w:r>
            <w:hyperlink r:id="rId68" w:history="1">
              <w:r w:rsidR="006E14E4" w:rsidRPr="00AA29BB">
                <w:rPr>
                  <w:rStyle w:val="Hyperlink"/>
                  <w:szCs w:val="18"/>
                </w:rPr>
                <w:t>https://www.aihw.gov.au/reports/disability/people-with-disability-in-australia/contents/about</w:t>
              </w:r>
            </w:hyperlink>
            <w:r w:rsidR="006E14E4">
              <w:rPr>
                <w:szCs w:val="18"/>
              </w:rPr>
              <w:t>,</w:t>
            </w:r>
            <w:r w:rsidR="009C6327">
              <w:rPr>
                <w:szCs w:val="18"/>
              </w:rPr>
              <w:t xml:space="preserve"> </w:t>
            </w:r>
            <w:r w:rsidR="00D435FB" w:rsidRPr="001E78D1">
              <w:rPr>
                <w:szCs w:val="18"/>
              </w:rPr>
              <w:t>accessed 22 March 2023.</w:t>
            </w:r>
          </w:p>
        </w:tc>
      </w:tr>
    </w:tbl>
    <w:p w14:paraId="37DB200D" w14:textId="5A61C6B2" w:rsidR="00617F78" w:rsidRDefault="00EB7897" w:rsidP="00891133">
      <w:pPr>
        <w:pStyle w:val="Heading2"/>
      </w:pPr>
      <w:bookmarkStart w:id="64" w:name="_Toc151976152"/>
      <w:r>
        <w:t xml:space="preserve">Outcome </w:t>
      </w:r>
      <w:r w:rsidR="00617F78">
        <w:t>3.3</w:t>
      </w:r>
      <w:r>
        <w:t>:</w:t>
      </w:r>
      <w:r w:rsidR="00617F78">
        <w:t xml:space="preserve"> Victorians have financial </w:t>
      </w:r>
      <w:proofErr w:type="gramStart"/>
      <w:r w:rsidR="00617F78">
        <w:t>security</w:t>
      </w:r>
      <w:bookmarkEnd w:id="64"/>
      <w:proofErr w:type="gramEnd"/>
    </w:p>
    <w:p w14:paraId="3070EBB9" w14:textId="5F67AB6E" w:rsidR="00617F78" w:rsidRPr="002768B2" w:rsidRDefault="00617F78" w:rsidP="00842F0E">
      <w:pPr>
        <w:pStyle w:val="Body"/>
        <w:spacing w:line="276" w:lineRule="auto"/>
      </w:pPr>
      <w:r w:rsidRPr="002768B2">
        <w:t xml:space="preserve">Financial security can profoundly impact health, </w:t>
      </w:r>
      <w:proofErr w:type="gramStart"/>
      <w:r w:rsidRPr="002768B2">
        <w:t>wellbeing</w:t>
      </w:r>
      <w:proofErr w:type="gramEnd"/>
      <w:r w:rsidRPr="002768B2">
        <w:t xml:space="preserve"> and community participation. Financial insecurity can lead to an inability to pay for food, housing, </w:t>
      </w:r>
      <w:proofErr w:type="gramStart"/>
      <w:r w:rsidRPr="002768B2">
        <w:t>energy</w:t>
      </w:r>
      <w:proofErr w:type="gramEnd"/>
      <w:r w:rsidR="006E14E4">
        <w:t xml:space="preserve"> and</w:t>
      </w:r>
      <w:r w:rsidRPr="002768B2">
        <w:t xml:space="preserve"> health</w:t>
      </w:r>
      <w:r w:rsidR="006E14E4">
        <w:t xml:space="preserve"> </w:t>
      </w:r>
      <w:r w:rsidRPr="002768B2">
        <w:t>care, all of which are key determinants of good health and directly impact</w:t>
      </w:r>
      <w:r>
        <w:t xml:space="preserve"> mental and</w:t>
      </w:r>
      <w:r w:rsidRPr="002768B2">
        <w:t xml:space="preserve"> physical health</w:t>
      </w:r>
      <w:r w:rsidR="00505F10">
        <w:t>.</w:t>
      </w:r>
      <w:r w:rsidRPr="002768B2">
        <w:rPr>
          <w:rStyle w:val="EndnoteReference"/>
        </w:rPr>
        <w:endnoteReference w:id="91"/>
      </w:r>
      <w:r w:rsidRPr="000F2DC2">
        <w:rPr>
          <w:vertAlign w:val="superscript"/>
        </w:rPr>
        <w:t>,</w:t>
      </w:r>
      <w:r w:rsidRPr="002768B2">
        <w:rPr>
          <w:rStyle w:val="EndnoteReference"/>
        </w:rPr>
        <w:endnoteReference w:id="92"/>
      </w:r>
    </w:p>
    <w:p w14:paraId="29BCD9EA" w14:textId="74108DAD" w:rsidR="00617F78" w:rsidRPr="00F75567" w:rsidRDefault="00617F78" w:rsidP="00F75567">
      <w:pPr>
        <w:pStyle w:val="Heading3"/>
      </w:pPr>
      <w:r w:rsidRPr="00F75567">
        <w:t xml:space="preserve">Decrease financial </w:t>
      </w:r>
      <w:proofErr w:type="gramStart"/>
      <w:r w:rsidRPr="00F75567">
        <w:t>stress</w:t>
      </w:r>
      <w:proofErr w:type="gramEnd"/>
    </w:p>
    <w:p w14:paraId="1219604A" w14:textId="7BEC4F6A" w:rsidR="00617F78" w:rsidRDefault="00617F78" w:rsidP="00891133">
      <w:pPr>
        <w:pStyle w:val="Body"/>
        <w:rPr>
          <w:lang w:eastAsia="en-AU"/>
        </w:rPr>
      </w:pPr>
      <w:r w:rsidRPr="00924C93">
        <w:rPr>
          <w:lang w:eastAsia="en-AU"/>
        </w:rPr>
        <w:t xml:space="preserve">Food insecurity exists </w:t>
      </w:r>
      <w:r>
        <w:rPr>
          <w:lang w:eastAsia="en-AU"/>
        </w:rPr>
        <w:t>‘</w:t>
      </w:r>
      <w:r w:rsidRPr="00924C93">
        <w:rPr>
          <w:lang w:eastAsia="en-AU"/>
        </w:rPr>
        <w:t>whenever the availability of nutritionally adequate and safe foods or the ability to acquire acceptable food in socially acceptable ways is limited or uncertain</w:t>
      </w:r>
      <w:r>
        <w:rPr>
          <w:lang w:eastAsia="en-AU"/>
        </w:rPr>
        <w:t>’</w:t>
      </w:r>
      <w:r w:rsidR="00505F10">
        <w:rPr>
          <w:lang w:eastAsia="en-AU"/>
        </w:rPr>
        <w:t>.</w:t>
      </w:r>
      <w:r>
        <w:rPr>
          <w:rStyle w:val="EndnoteReference"/>
          <w:lang w:eastAsia="en-AU"/>
        </w:rPr>
        <w:endnoteReference w:id="93"/>
      </w:r>
      <w:r w:rsidRPr="00924C93">
        <w:rPr>
          <w:lang w:eastAsia="en-AU"/>
        </w:rPr>
        <w:t xml:space="preserve"> The inability to purchase food is at the extreme end of food security and is likely to result in skipping meals and severe hunger</w:t>
      </w:r>
      <w:r w:rsidR="00505F10">
        <w:rPr>
          <w:lang w:eastAsia="en-AU"/>
        </w:rPr>
        <w:t>.</w:t>
      </w:r>
      <w:r>
        <w:rPr>
          <w:rStyle w:val="EndnoteReference"/>
          <w:lang w:eastAsia="en-AU"/>
        </w:rPr>
        <w:endnoteReference w:id="94"/>
      </w:r>
    </w:p>
    <w:p w14:paraId="1ADB8098" w14:textId="77777777" w:rsidR="0021087F" w:rsidRDefault="0021087F" w:rsidP="0021087F">
      <w:pPr>
        <w:pStyle w:val="Body"/>
        <w:jc w:val="center"/>
        <w:rPr>
          <w:noProof/>
        </w:rPr>
      </w:pPr>
      <w:r>
        <w:rPr>
          <w:noProof/>
        </w:rPr>
        <w:lastRenderedPageBreak/>
        <w:drawing>
          <wp:inline distT="0" distB="0" distL="0" distR="0" wp14:anchorId="5AB82EE5" wp14:editId="57D02207">
            <wp:extent cx="2898475" cy="2133108"/>
            <wp:effectExtent l="0" t="0" r="0" b="635"/>
            <wp:docPr id="125" name="Picture 125" descr="The proportion of adults who ran out of food and could not afford to buy more has increased from 5.8 per cent in 2019 to 8.1 per cent in 2022. It is higher in younger adults, Aboriginal adults, those with a low income and those with high levels of psychological dist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proportion of adults who ran out of food and could not afford to buy more has increased from 5.8 per cent in 2019 to 8.1 per cent in 2022. It is higher in younger adults, Aboriginal adults, those with a low income and those with high levels of psychological distress. "/>
                    <pic:cNvPicPr/>
                  </pic:nvPicPr>
                  <pic:blipFill>
                    <a:blip r:embed="rId69"/>
                    <a:stretch>
                      <a:fillRect/>
                    </a:stretch>
                  </pic:blipFill>
                  <pic:spPr>
                    <a:xfrm>
                      <a:off x="0" y="0"/>
                      <a:ext cx="2901159" cy="2135083"/>
                    </a:xfrm>
                    <a:prstGeom prst="rect">
                      <a:avLst/>
                    </a:prstGeom>
                  </pic:spPr>
                </pic:pic>
              </a:graphicData>
            </a:graphic>
          </wp:inline>
        </w:drawing>
      </w:r>
    </w:p>
    <w:p w14:paraId="55664821" w14:textId="54DA4E0D" w:rsidR="00617F78" w:rsidRDefault="0021087F" w:rsidP="0021087F">
      <w:pPr>
        <w:pStyle w:val="Body"/>
        <w:jc w:val="center"/>
        <w:rPr>
          <w:lang w:eastAsia="en-AU"/>
        </w:rPr>
      </w:pPr>
      <w:r>
        <w:rPr>
          <w:noProof/>
        </w:rPr>
        <w:drawing>
          <wp:inline distT="0" distB="0" distL="0" distR="0" wp14:anchorId="565442CF" wp14:editId="48E30B0E">
            <wp:extent cx="2984739" cy="2172714"/>
            <wp:effectExtent l="0" t="0" r="6350" b="0"/>
            <wp:docPr id="126" name="Picture 126" descr="The proportion of children aged 0-12 years living in households that ran out of food and could not afford to buy more has dropped significantly from 4.9 per cent in 2013 to 3.4 per cent in 2021. It is higher in children living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proportion of children aged 0-12 years living in households that ran out of food and could not afford to buy more has dropped significantly from 4.9 per cent in 2013 to 3.4 per cent in 2021. It is higher in children living in regional areas."/>
                    <pic:cNvPicPr/>
                  </pic:nvPicPr>
                  <pic:blipFill>
                    <a:blip r:embed="rId70"/>
                    <a:stretch>
                      <a:fillRect/>
                    </a:stretch>
                  </pic:blipFill>
                  <pic:spPr>
                    <a:xfrm>
                      <a:off x="0" y="0"/>
                      <a:ext cx="2987170" cy="2174483"/>
                    </a:xfrm>
                    <a:prstGeom prst="rect">
                      <a:avLst/>
                    </a:prstGeom>
                  </pic:spPr>
                </pic:pic>
              </a:graphicData>
            </a:graphic>
          </wp:inline>
        </w:drawing>
      </w:r>
    </w:p>
    <w:p w14:paraId="37A8079A" w14:textId="3821BD0C" w:rsidR="00617F78" w:rsidRDefault="00617F78" w:rsidP="00D435FB">
      <w:pPr>
        <w:pStyle w:val="Tablefigurenote"/>
        <w:rPr>
          <w:lang w:eastAsia="en-AU"/>
        </w:rPr>
      </w:pPr>
      <w:r>
        <w:rPr>
          <w:lang w:eastAsia="en-AU"/>
        </w:rPr>
        <w:t>Source: Victorian Population Health Survey</w:t>
      </w:r>
      <w:r w:rsidR="00BF65D4">
        <w:rPr>
          <w:lang w:eastAsia="en-AU"/>
        </w:rPr>
        <w:fldChar w:fldCharType="begin"/>
      </w:r>
      <w:r w:rsidR="00BF65D4">
        <w:rPr>
          <w:lang w:eastAsia="en-AU"/>
        </w:rPr>
        <w:instrText xml:space="preserve"> NOTEREF _Ref150505259 \f \h </w:instrText>
      </w:r>
      <w:r w:rsidR="00D435FB">
        <w:rPr>
          <w:lang w:eastAsia="en-AU"/>
        </w:rPr>
        <w:instrText xml:space="preserve"> \* MERGEFORMAT </w:instrText>
      </w:r>
      <w:r w:rsidR="00BF65D4">
        <w:rPr>
          <w:lang w:eastAsia="en-AU"/>
        </w:rPr>
      </w:r>
      <w:r w:rsidR="00BF65D4">
        <w:rPr>
          <w:lang w:eastAsia="en-AU"/>
        </w:rPr>
        <w:fldChar w:fldCharType="separate"/>
      </w:r>
      <w:r w:rsidR="00B36EB8" w:rsidRPr="00B36EB8">
        <w:rPr>
          <w:rStyle w:val="EndnoteReference"/>
        </w:rPr>
        <w:t>35</w:t>
      </w:r>
      <w:r w:rsidR="00BF65D4">
        <w:rPr>
          <w:lang w:eastAsia="en-AU"/>
        </w:rPr>
        <w:fldChar w:fldCharType="end"/>
      </w:r>
      <w:r w:rsidR="00C532DD">
        <w:rPr>
          <w:lang w:eastAsia="en-AU"/>
        </w:rPr>
        <w:t>,</w:t>
      </w:r>
      <w:r>
        <w:rPr>
          <w:lang w:eastAsia="en-AU"/>
        </w:rPr>
        <w:t xml:space="preserve"> Victorian Child Health and Wellbeing Survey</w:t>
      </w:r>
      <w:r w:rsidR="00BF65D4">
        <w:rPr>
          <w:lang w:eastAsia="en-AU"/>
        </w:rPr>
        <w:fldChar w:fldCharType="begin"/>
      </w:r>
      <w:r w:rsidR="00BF65D4">
        <w:rPr>
          <w:lang w:eastAsia="en-AU"/>
        </w:rPr>
        <w:instrText xml:space="preserve"> NOTEREF _Ref150505563 \f \h </w:instrText>
      </w:r>
      <w:r w:rsidR="00D435FB">
        <w:rPr>
          <w:lang w:eastAsia="en-AU"/>
        </w:rPr>
        <w:instrText xml:space="preserve"> \* MERGEFORMAT </w:instrText>
      </w:r>
      <w:r w:rsidR="00BF65D4">
        <w:rPr>
          <w:lang w:eastAsia="en-AU"/>
        </w:rPr>
      </w:r>
      <w:r w:rsidR="00BF65D4">
        <w:rPr>
          <w:lang w:eastAsia="en-AU"/>
        </w:rPr>
        <w:fldChar w:fldCharType="separate"/>
      </w:r>
      <w:r w:rsidR="00B36EB8" w:rsidRPr="00B36EB8">
        <w:rPr>
          <w:rStyle w:val="EndnoteReference"/>
        </w:rPr>
        <w:t>29</w:t>
      </w:r>
      <w:r w:rsidR="00BF65D4">
        <w:rPr>
          <w:lang w:eastAsia="en-AU"/>
        </w:rPr>
        <w:fldChar w:fldCharType="end"/>
      </w:r>
    </w:p>
    <w:p w14:paraId="13C38EF2" w14:textId="4A6D3E92" w:rsidR="00617F78" w:rsidRPr="00627FA6" w:rsidRDefault="00617F78" w:rsidP="00C1427E">
      <w:pPr>
        <w:pStyle w:val="Heading1"/>
      </w:pPr>
      <w:bookmarkStart w:id="65" w:name="_Toc151976153"/>
      <w:r>
        <w:t>Domain 4</w:t>
      </w:r>
      <w:r w:rsidR="00EB7897">
        <w:t>:</w:t>
      </w:r>
      <w:r>
        <w:t xml:space="preserve"> Victorians are connected to culture and </w:t>
      </w:r>
      <w:proofErr w:type="gramStart"/>
      <w:r>
        <w:t>community</w:t>
      </w:r>
      <w:bookmarkEnd w:id="65"/>
      <w:proofErr w:type="gramEnd"/>
    </w:p>
    <w:p w14:paraId="7EFF9819" w14:textId="3A1C29B7" w:rsidR="00617F78" w:rsidRDefault="00EB7897" w:rsidP="004D2BC1">
      <w:pPr>
        <w:pStyle w:val="Heading2"/>
        <w:rPr>
          <w:lang w:eastAsia="en-AU"/>
        </w:rPr>
      </w:pPr>
      <w:bookmarkStart w:id="66" w:name="_Toc151976154"/>
      <w:r>
        <w:rPr>
          <w:lang w:eastAsia="en-AU"/>
        </w:rPr>
        <w:t xml:space="preserve">Outcome </w:t>
      </w:r>
      <w:r w:rsidR="00617F78">
        <w:rPr>
          <w:lang w:eastAsia="en-AU"/>
        </w:rPr>
        <w:t>4.1</w:t>
      </w:r>
      <w:r>
        <w:rPr>
          <w:lang w:eastAsia="en-AU"/>
        </w:rPr>
        <w:t>:</w:t>
      </w:r>
      <w:r w:rsidR="00617F78">
        <w:rPr>
          <w:lang w:eastAsia="en-AU"/>
        </w:rPr>
        <w:t xml:space="preserve"> Victorians are socially engaged and live in inclusive </w:t>
      </w:r>
      <w:proofErr w:type="gramStart"/>
      <w:r w:rsidR="00617F78">
        <w:rPr>
          <w:lang w:eastAsia="en-AU"/>
        </w:rPr>
        <w:t>communities</w:t>
      </w:r>
      <w:bookmarkEnd w:id="66"/>
      <w:proofErr w:type="gramEnd"/>
    </w:p>
    <w:p w14:paraId="599F2243" w14:textId="73D84460" w:rsidR="00617F78" w:rsidRPr="00CC7273" w:rsidRDefault="00617F78" w:rsidP="00734662">
      <w:pPr>
        <w:pStyle w:val="Body"/>
        <w:rPr>
          <w:rFonts w:cs="Arial"/>
          <w:color w:val="000000" w:themeColor="text1"/>
          <w:lang w:eastAsia="en-GB"/>
        </w:rPr>
      </w:pPr>
      <w:r w:rsidRPr="056FD388">
        <w:rPr>
          <w:rFonts w:cs="Arial"/>
          <w:color w:val="000000" w:themeColor="text1"/>
          <w:lang w:eastAsia="en-GB"/>
        </w:rPr>
        <w:t xml:space="preserve">Social isolation and loneliness are risk factors for </w:t>
      </w:r>
      <w:r>
        <w:rPr>
          <w:rFonts w:cs="Arial"/>
          <w:color w:val="000000" w:themeColor="text1"/>
          <w:lang w:eastAsia="en-GB"/>
        </w:rPr>
        <w:t xml:space="preserve">premature </w:t>
      </w:r>
      <w:r w:rsidRPr="056FD388">
        <w:rPr>
          <w:rFonts w:cs="Arial"/>
          <w:color w:val="000000" w:themeColor="text1"/>
          <w:lang w:eastAsia="en-GB"/>
        </w:rPr>
        <w:t xml:space="preserve">mortality, in the same way that smoking, obesity and physical inactivity have a known impact. </w:t>
      </w:r>
      <w:r>
        <w:rPr>
          <w:rFonts w:cs="Arial"/>
          <w:color w:val="000000" w:themeColor="text1"/>
          <w:lang w:eastAsia="en-GB"/>
        </w:rPr>
        <w:t>Engaging in paid and volunteer work, caring for others, and being involved in sporting or community organisations are associated with reduced levels of isolation and loneliness</w:t>
      </w:r>
      <w:r w:rsidR="00505F10">
        <w:rPr>
          <w:rFonts w:cs="Arial"/>
          <w:color w:val="000000" w:themeColor="text1"/>
          <w:lang w:eastAsia="en-GB"/>
        </w:rPr>
        <w:t>.</w:t>
      </w:r>
      <w:r>
        <w:rPr>
          <w:rStyle w:val="EndnoteReference"/>
          <w:rFonts w:cs="Arial"/>
          <w:color w:val="000000" w:themeColor="text1"/>
          <w:lang w:eastAsia="en-GB"/>
        </w:rPr>
        <w:endnoteReference w:id="95"/>
      </w:r>
      <w:r w:rsidRPr="00096010">
        <w:rPr>
          <w:rFonts w:cs="Arial"/>
          <w:color w:val="000000" w:themeColor="text1"/>
          <w:vertAlign w:val="superscript"/>
          <w:lang w:eastAsia="en-GB"/>
        </w:rPr>
        <w:t>,</w:t>
      </w:r>
      <w:r>
        <w:rPr>
          <w:rStyle w:val="EndnoteReference"/>
          <w:lang w:eastAsia="en-AU"/>
        </w:rPr>
        <w:endnoteReference w:id="96"/>
      </w:r>
    </w:p>
    <w:p w14:paraId="629BBD94" w14:textId="007CB9DD" w:rsidR="00617F78" w:rsidRDefault="00617F78" w:rsidP="005B63F9">
      <w:pPr>
        <w:pStyle w:val="Body"/>
        <w:rPr>
          <w:bCs/>
          <w:lang w:eastAsia="en-GB"/>
        </w:rPr>
      </w:pPr>
      <w:r>
        <w:rPr>
          <w:lang w:eastAsia="en-GB"/>
        </w:rPr>
        <w:t xml:space="preserve">Feeling that the things that you do are worthwhile and being satisfied with your life </w:t>
      </w:r>
      <w:r w:rsidR="007A2DD9">
        <w:rPr>
          <w:lang w:eastAsia="en-GB"/>
        </w:rPr>
        <w:t>are</w:t>
      </w:r>
      <w:r>
        <w:rPr>
          <w:lang w:eastAsia="en-GB"/>
        </w:rPr>
        <w:t xml:space="preserve"> conducive to feelings of happiness and health and wellbeing. </w:t>
      </w:r>
      <w:r w:rsidRPr="005B63F9">
        <w:rPr>
          <w:lang w:eastAsia="en-GB"/>
        </w:rPr>
        <w:t>People</w:t>
      </w:r>
      <w:r>
        <w:rPr>
          <w:bCs/>
          <w:lang w:eastAsia="en-GB"/>
        </w:rPr>
        <w:t xml:space="preserve"> </w:t>
      </w:r>
      <w:r w:rsidRPr="005B63F9">
        <w:rPr>
          <w:lang w:eastAsia="en-GB"/>
        </w:rPr>
        <w:t xml:space="preserve">with higher wellbeing </w:t>
      </w:r>
      <w:r>
        <w:rPr>
          <w:lang w:eastAsia="en-GB"/>
        </w:rPr>
        <w:t xml:space="preserve">and happiness </w:t>
      </w:r>
      <w:r w:rsidRPr="005B63F9">
        <w:rPr>
          <w:lang w:eastAsia="en-GB"/>
        </w:rPr>
        <w:t>have lower rates of illness, recove</w:t>
      </w:r>
      <w:r>
        <w:rPr>
          <w:bCs/>
          <w:lang w:eastAsia="en-GB"/>
        </w:rPr>
        <w:t xml:space="preserve">r </w:t>
      </w:r>
      <w:r w:rsidRPr="005B63F9">
        <w:rPr>
          <w:lang w:eastAsia="en-GB"/>
        </w:rPr>
        <w:t>more quickly, and generally have better physical and mental health.</w:t>
      </w:r>
    </w:p>
    <w:p w14:paraId="37572409" w14:textId="6579300A" w:rsidR="00617F78" w:rsidRDefault="00617F78" w:rsidP="005B63F9">
      <w:pPr>
        <w:pStyle w:val="Heading3"/>
        <w:rPr>
          <w:lang w:eastAsia="en-AU"/>
        </w:rPr>
      </w:pPr>
      <w:r>
        <w:rPr>
          <w:lang w:eastAsia="en-AU"/>
        </w:rPr>
        <w:t xml:space="preserve">Increase connection to culture and </w:t>
      </w:r>
      <w:proofErr w:type="gramStart"/>
      <w:r>
        <w:rPr>
          <w:lang w:eastAsia="en-AU"/>
        </w:rPr>
        <w:t>communities</w:t>
      </w:r>
      <w:proofErr w:type="gramEnd"/>
    </w:p>
    <w:p w14:paraId="40504270" w14:textId="1A7004EF" w:rsidR="00617F78" w:rsidRPr="00BA5F95" w:rsidRDefault="00617F78" w:rsidP="00BA5F95">
      <w:pPr>
        <w:pStyle w:val="Body"/>
        <w:rPr>
          <w:lang w:eastAsia="en-AU"/>
        </w:rPr>
      </w:pPr>
      <w:r>
        <w:rPr>
          <w:lang w:eastAsia="en-AU"/>
        </w:rPr>
        <w:t xml:space="preserve">Social connectedness and feeling like you belong to a community are key social determinants of health. Belonging to an organised group can promote healthy behaviours, as well as directly leading to better health and wellbeing. Organised groups can relate to sport, religion, school, </w:t>
      </w:r>
      <w:proofErr w:type="gramStart"/>
      <w:r>
        <w:rPr>
          <w:lang w:eastAsia="en-AU"/>
        </w:rPr>
        <w:t>community</w:t>
      </w:r>
      <w:proofErr w:type="gramEnd"/>
      <w:r>
        <w:rPr>
          <w:lang w:eastAsia="en-AU"/>
        </w:rPr>
        <w:t xml:space="preserve"> or professional life</w:t>
      </w:r>
      <w:r w:rsidR="00505F10">
        <w:rPr>
          <w:lang w:eastAsia="en-AU"/>
        </w:rPr>
        <w:t>.</w:t>
      </w:r>
      <w:r w:rsidR="0096091A">
        <w:rPr>
          <w:lang w:eastAsia="en-AU"/>
        </w:rPr>
        <w:fldChar w:fldCharType="begin"/>
      </w:r>
      <w:r w:rsidR="0096091A">
        <w:rPr>
          <w:lang w:eastAsia="en-AU"/>
        </w:rPr>
        <w:instrText xml:space="preserve"> NOTEREF _Ref150505259 \f \h </w:instrText>
      </w:r>
      <w:r w:rsidR="0096091A">
        <w:rPr>
          <w:lang w:eastAsia="en-AU"/>
        </w:rPr>
      </w:r>
      <w:r w:rsidR="0096091A">
        <w:rPr>
          <w:lang w:eastAsia="en-AU"/>
        </w:rPr>
        <w:fldChar w:fldCharType="separate"/>
      </w:r>
      <w:r w:rsidR="00B36EB8" w:rsidRPr="00B36EB8">
        <w:rPr>
          <w:rStyle w:val="EndnoteReference"/>
        </w:rPr>
        <w:t>35</w:t>
      </w:r>
      <w:r w:rsidR="0096091A">
        <w:rPr>
          <w:lang w:eastAsia="en-AU"/>
        </w:rPr>
        <w:fldChar w:fldCharType="end"/>
      </w:r>
    </w:p>
    <w:p w14:paraId="3D31330B" w14:textId="534AAE1A" w:rsidR="00617F78" w:rsidRDefault="0021087F" w:rsidP="002D7D55">
      <w:pPr>
        <w:pStyle w:val="Body"/>
        <w:jc w:val="center"/>
        <w:rPr>
          <w:lang w:eastAsia="en-AU"/>
        </w:rPr>
      </w:pPr>
      <w:r>
        <w:rPr>
          <w:noProof/>
        </w:rPr>
        <w:lastRenderedPageBreak/>
        <w:drawing>
          <wp:inline distT="0" distB="0" distL="0" distR="0" wp14:anchorId="58471465" wp14:editId="227363E9">
            <wp:extent cx="3045124" cy="2047583"/>
            <wp:effectExtent l="0" t="0" r="3175" b="0"/>
            <wp:docPr id="127" name="Picture 127" descr="The proportion of people who belonged to an organised group has remained constant at around 58.3 per cent from 2017-2019. It is similar for all age groups, for people born overseas, and Aboriginal people living in Victoria, and is lower for people with a low income and people with high levels of psychologic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he proportion of people who belonged to an organised group has remained constant at around 58.3 per cent from 2017-2019. It is similar for all age groups, for people born overseas, and Aboriginal people living in Victoria, and is lower for people with a low income and people with high levels of psychological distress."/>
                    <pic:cNvPicPr/>
                  </pic:nvPicPr>
                  <pic:blipFill>
                    <a:blip r:embed="rId71"/>
                    <a:stretch>
                      <a:fillRect/>
                    </a:stretch>
                  </pic:blipFill>
                  <pic:spPr>
                    <a:xfrm>
                      <a:off x="0" y="0"/>
                      <a:ext cx="3050384" cy="2051120"/>
                    </a:xfrm>
                    <a:prstGeom prst="rect">
                      <a:avLst/>
                    </a:prstGeom>
                  </pic:spPr>
                </pic:pic>
              </a:graphicData>
            </a:graphic>
          </wp:inline>
        </w:drawing>
      </w:r>
    </w:p>
    <w:p w14:paraId="0C880A70" w14:textId="22C401CB" w:rsidR="00617F78" w:rsidRDefault="00617F78" w:rsidP="00D435FB">
      <w:pPr>
        <w:pStyle w:val="Tablefigurenote"/>
        <w:rPr>
          <w:lang w:eastAsia="en-AU"/>
        </w:rPr>
      </w:pPr>
      <w:r>
        <w:rPr>
          <w:lang w:eastAsia="en-AU"/>
        </w:rPr>
        <w:t>Source: Victorian Population Health Survey</w:t>
      </w:r>
      <w:r w:rsidR="0041709F" w:rsidRPr="00B36EB8">
        <w:rPr>
          <w:vertAlign w:val="superscript"/>
          <w:lang w:eastAsia="en-AU"/>
        </w:rPr>
        <w:fldChar w:fldCharType="begin"/>
      </w:r>
      <w:r w:rsidR="0041709F" w:rsidRPr="00B36EB8">
        <w:rPr>
          <w:vertAlign w:val="superscript"/>
          <w:lang w:eastAsia="en-AU"/>
        </w:rPr>
        <w:instrText xml:space="preserve"> NOTEREF _Ref150505259 \f \h </w:instrText>
      </w:r>
      <w:r w:rsidR="00D435FB" w:rsidRPr="00B36EB8">
        <w:rPr>
          <w:vertAlign w:val="superscript"/>
          <w:lang w:eastAsia="en-AU"/>
        </w:rPr>
        <w:instrText xml:space="preserve"> \* MERGEFORMAT </w:instrText>
      </w:r>
      <w:r w:rsidR="0041709F" w:rsidRPr="00B36EB8">
        <w:rPr>
          <w:vertAlign w:val="superscript"/>
          <w:lang w:eastAsia="en-AU"/>
        </w:rPr>
      </w:r>
      <w:r w:rsidR="0041709F" w:rsidRPr="00B36EB8">
        <w:rPr>
          <w:vertAlign w:val="superscript"/>
          <w:lang w:eastAsia="en-AU"/>
        </w:rPr>
        <w:fldChar w:fldCharType="separate"/>
      </w:r>
      <w:r w:rsidR="00B36EB8" w:rsidRPr="00B36EB8">
        <w:rPr>
          <w:vertAlign w:val="superscript"/>
          <w:lang w:eastAsia="en-AU"/>
        </w:rPr>
        <w:t>35</w:t>
      </w:r>
      <w:r w:rsidR="0041709F" w:rsidRPr="00B36EB8">
        <w:rPr>
          <w:vertAlign w:val="superscript"/>
          <w:lang w:eastAsia="en-AU"/>
        </w:rPr>
        <w:fldChar w:fldCharType="end"/>
      </w:r>
    </w:p>
    <w:p w14:paraId="47D1BAD9" w14:textId="0675295F" w:rsidR="00617F78" w:rsidRDefault="00617F78" w:rsidP="00E027D5">
      <w:pPr>
        <w:pStyle w:val="Heading3"/>
        <w:rPr>
          <w:lang w:eastAsia="en-AU"/>
        </w:rPr>
      </w:pPr>
      <w:r>
        <w:rPr>
          <w:lang w:eastAsia="en-AU"/>
        </w:rPr>
        <w:t xml:space="preserve">Increase access to social </w:t>
      </w:r>
      <w:proofErr w:type="gramStart"/>
      <w:r>
        <w:rPr>
          <w:lang w:eastAsia="en-AU"/>
        </w:rPr>
        <w:t>support</w:t>
      </w:r>
      <w:proofErr w:type="gramEnd"/>
    </w:p>
    <w:p w14:paraId="77EADE07" w14:textId="60D9C580" w:rsidR="00617F78" w:rsidRPr="00605425" w:rsidRDefault="00617F78" w:rsidP="00605425">
      <w:pPr>
        <w:pStyle w:val="Body"/>
        <w:rPr>
          <w:lang w:eastAsia="en-AU"/>
        </w:rPr>
      </w:pPr>
      <w:r>
        <w:rPr>
          <w:lang w:eastAsia="en-AU"/>
        </w:rPr>
        <w:t xml:space="preserve">Social capital is widely used to explain and describe the social environment of </w:t>
      </w:r>
      <w:proofErr w:type="gramStart"/>
      <w:r>
        <w:rPr>
          <w:lang w:eastAsia="en-AU"/>
        </w:rPr>
        <w:t>communities, and</w:t>
      </w:r>
      <w:proofErr w:type="gramEnd"/>
      <w:r>
        <w:rPr>
          <w:lang w:eastAsia="en-AU"/>
        </w:rPr>
        <w:t xml:space="preserve"> plays a significant role in individual health and wellbeing. Social and civic trust are important indicators of social capital and may be a cause or consequence of social capital. Concepts of trust and wellbeing are tightly linked.</w:t>
      </w:r>
    </w:p>
    <w:p w14:paraId="13F58CBB" w14:textId="1F21A968" w:rsidR="00617F78" w:rsidRDefault="00E262AD" w:rsidP="00762664">
      <w:pPr>
        <w:pStyle w:val="Body"/>
        <w:jc w:val="center"/>
        <w:rPr>
          <w:lang w:eastAsia="en-AU"/>
        </w:rPr>
      </w:pPr>
      <w:r>
        <w:rPr>
          <w:noProof/>
        </w:rPr>
        <w:drawing>
          <wp:inline distT="0" distB="0" distL="0" distR="0" wp14:anchorId="32A512BA" wp14:editId="48527A11">
            <wp:extent cx="3364302" cy="2527370"/>
            <wp:effectExtent l="0" t="0" r="7620" b="6350"/>
            <wp:docPr id="128" name="Picture 128" descr="The proportion of adults who have someone outside their household they can rely on to care for them or their children, in an emergency has remained stable at 86 per cent from 2017-2019. It is less likely in people with a household income of less than $40,000, at 77.8 per cent, is less likely for people born overseas, at 78.2 per cent, and is less likely for people with high levels of psychological distress, at 78.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he proportion of adults who have someone outside their household they can rely on to care for them or their children, in an emergency has remained stable at 86 per cent from 2017-2019. It is less likely in people with a household income of less than $40,000, at 77.8 per cent, is less likely for people born overseas, at 78.2 per cent, and is less likely for people with high levels of psychological distress, at 78.2 per cent."/>
                    <pic:cNvPicPr/>
                  </pic:nvPicPr>
                  <pic:blipFill>
                    <a:blip r:embed="rId72"/>
                    <a:stretch>
                      <a:fillRect/>
                    </a:stretch>
                  </pic:blipFill>
                  <pic:spPr>
                    <a:xfrm>
                      <a:off x="0" y="0"/>
                      <a:ext cx="3367062" cy="2529443"/>
                    </a:xfrm>
                    <a:prstGeom prst="rect">
                      <a:avLst/>
                    </a:prstGeom>
                  </pic:spPr>
                </pic:pic>
              </a:graphicData>
            </a:graphic>
          </wp:inline>
        </w:drawing>
      </w:r>
    </w:p>
    <w:p w14:paraId="12EAC8EC" w14:textId="1FE74949" w:rsidR="00617F78" w:rsidRDefault="00617F78" w:rsidP="0042545A">
      <w:pPr>
        <w:pStyle w:val="Body"/>
        <w:jc w:val="center"/>
        <w:rPr>
          <w:lang w:eastAsia="en-AU"/>
        </w:rPr>
      </w:pPr>
      <w:r>
        <w:rPr>
          <w:lang w:eastAsia="en-AU"/>
        </w:rPr>
        <w:t>Source: Victorian Population Health Survey</w:t>
      </w:r>
      <w:r w:rsidR="0041709F">
        <w:rPr>
          <w:lang w:eastAsia="en-AU"/>
        </w:rPr>
        <w:fldChar w:fldCharType="begin"/>
      </w:r>
      <w:r w:rsidR="0041709F">
        <w:rPr>
          <w:lang w:eastAsia="en-AU"/>
        </w:rPr>
        <w:instrText xml:space="preserve"> NOTEREF _Ref150505259 \f \h </w:instrText>
      </w:r>
      <w:r w:rsidR="0041709F">
        <w:rPr>
          <w:lang w:eastAsia="en-AU"/>
        </w:rPr>
      </w:r>
      <w:r w:rsidR="0041709F">
        <w:rPr>
          <w:lang w:eastAsia="en-AU"/>
        </w:rPr>
        <w:fldChar w:fldCharType="separate"/>
      </w:r>
      <w:r w:rsidR="00B36EB8" w:rsidRPr="00B36EB8">
        <w:rPr>
          <w:rStyle w:val="EndnoteReference"/>
        </w:rPr>
        <w:t>35</w:t>
      </w:r>
      <w:r w:rsidR="0041709F">
        <w:rPr>
          <w:lang w:eastAsia="en-AU"/>
        </w:rPr>
        <w:fldChar w:fldCharType="end"/>
      </w:r>
    </w:p>
    <w:p w14:paraId="0DBCAB35" w14:textId="5DD44B70" w:rsidR="00617F78" w:rsidRDefault="00E262AD" w:rsidP="00762664">
      <w:pPr>
        <w:pStyle w:val="Body"/>
        <w:jc w:val="center"/>
      </w:pPr>
      <w:r>
        <w:rPr>
          <w:noProof/>
        </w:rPr>
        <w:drawing>
          <wp:inline distT="0" distB="0" distL="0" distR="0" wp14:anchorId="68E31E20" wp14:editId="0D735FF3">
            <wp:extent cx="3243532" cy="2180859"/>
            <wp:effectExtent l="0" t="0" r="0" b="0"/>
            <wp:docPr id="129" name="Picture 129" descr="The proportion of adults who feel most adults can be trusted has remained stable from 2015 to 2019 at around 26.5 per cent, however, this increased significantly in 2020 to 36.1 per cent. It is much lower for people with lower household income and high levels of psychological distress, with only half as many people feeling most people can be tru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he proportion of adults who feel most adults can be trusted has remained stable from 2015 to 2019 at around 26.5 per cent, however, this increased significantly in 2020 to 36.1 per cent. It is much lower for people with lower household income and high levels of psychological distress, with only half as many people feeling most people can be trusted. "/>
                    <pic:cNvPicPr/>
                  </pic:nvPicPr>
                  <pic:blipFill>
                    <a:blip r:embed="rId73"/>
                    <a:stretch>
                      <a:fillRect/>
                    </a:stretch>
                  </pic:blipFill>
                  <pic:spPr>
                    <a:xfrm>
                      <a:off x="0" y="0"/>
                      <a:ext cx="3248901" cy="2184469"/>
                    </a:xfrm>
                    <a:prstGeom prst="rect">
                      <a:avLst/>
                    </a:prstGeom>
                  </pic:spPr>
                </pic:pic>
              </a:graphicData>
            </a:graphic>
          </wp:inline>
        </w:drawing>
      </w:r>
    </w:p>
    <w:p w14:paraId="522CD343" w14:textId="3DB9FF4B" w:rsidR="00617F78" w:rsidRDefault="00617F78" w:rsidP="00D435FB">
      <w:pPr>
        <w:pStyle w:val="Tablefigurenote"/>
        <w:rPr>
          <w:lang w:eastAsia="en-AU"/>
        </w:rPr>
      </w:pPr>
      <w:bookmarkStart w:id="67" w:name="_Ref132623259"/>
      <w:r>
        <w:rPr>
          <w:lang w:eastAsia="en-AU"/>
        </w:rPr>
        <w:t>Source: Victorian Population Health Survey</w:t>
      </w:r>
      <w:r w:rsidR="0041709F" w:rsidRPr="00B36EB8">
        <w:rPr>
          <w:vertAlign w:val="superscript"/>
          <w:lang w:eastAsia="en-AU"/>
        </w:rPr>
        <w:fldChar w:fldCharType="begin"/>
      </w:r>
      <w:r w:rsidR="0041709F" w:rsidRPr="00B36EB8">
        <w:rPr>
          <w:vertAlign w:val="superscript"/>
          <w:lang w:eastAsia="en-AU"/>
        </w:rPr>
        <w:instrText xml:space="preserve"> NOTEREF _Ref150505259 \f \h </w:instrText>
      </w:r>
      <w:r w:rsidR="00D435FB" w:rsidRPr="00B36EB8">
        <w:rPr>
          <w:vertAlign w:val="superscript"/>
          <w:lang w:eastAsia="en-AU"/>
        </w:rPr>
        <w:instrText xml:space="preserve"> \* MERGEFORMAT </w:instrText>
      </w:r>
      <w:r w:rsidR="0041709F" w:rsidRPr="00B36EB8">
        <w:rPr>
          <w:vertAlign w:val="superscript"/>
          <w:lang w:eastAsia="en-AU"/>
        </w:rPr>
      </w:r>
      <w:r w:rsidR="0041709F" w:rsidRPr="00B36EB8">
        <w:rPr>
          <w:vertAlign w:val="superscript"/>
          <w:lang w:eastAsia="en-AU"/>
        </w:rPr>
        <w:fldChar w:fldCharType="separate"/>
      </w:r>
      <w:r w:rsidR="00B36EB8" w:rsidRPr="00B36EB8">
        <w:rPr>
          <w:vertAlign w:val="superscript"/>
          <w:lang w:eastAsia="en-AU"/>
        </w:rPr>
        <w:t>35</w:t>
      </w:r>
      <w:r w:rsidR="0041709F" w:rsidRPr="00B36EB8">
        <w:rPr>
          <w:vertAlign w:val="superscript"/>
          <w:lang w:eastAsia="en-AU"/>
        </w:rPr>
        <w:fldChar w:fldCharType="end"/>
      </w:r>
      <w:r w:rsidRPr="00D435FB">
        <w:rPr>
          <w:lang w:eastAsia="en-AU"/>
        </w:rPr>
        <w:t xml:space="preserve"> </w:t>
      </w:r>
      <w:bookmarkEnd w:id="67"/>
    </w:p>
    <w:p w14:paraId="743B44F3" w14:textId="72525BA5" w:rsidR="00617F78" w:rsidRDefault="00617F78" w:rsidP="003E3D69">
      <w:pPr>
        <w:pStyle w:val="Heading4"/>
      </w:pPr>
      <w:r w:rsidRPr="00C53DF0">
        <w:lastRenderedPageBreak/>
        <w:t>Life satisfaction</w:t>
      </w:r>
    </w:p>
    <w:p w14:paraId="1042B428" w14:textId="588629B3" w:rsidR="00617F78" w:rsidRPr="00630AAC" w:rsidRDefault="00617F78" w:rsidP="00630AAC">
      <w:pPr>
        <w:pStyle w:val="Body"/>
        <w:rPr>
          <w:rFonts w:cs="Arial"/>
          <w:sz w:val="20"/>
          <w:lang w:eastAsia="en-AU"/>
        </w:rPr>
      </w:pPr>
      <w:r>
        <w:t xml:space="preserve">Life satisfaction captures how people assess their </w:t>
      </w:r>
      <w:proofErr w:type="gramStart"/>
      <w:r>
        <w:t>life as a whole, rather</w:t>
      </w:r>
      <w:proofErr w:type="gramEnd"/>
      <w:r>
        <w:t xml:space="preserve"> than how they are feeling in that moment, or how they feel about particular aspects of their life. </w:t>
      </w:r>
      <w:r>
        <w:rPr>
          <w:rFonts w:cs="Arial"/>
          <w:sz w:val="20"/>
          <w:lang w:eastAsia="en-AU"/>
        </w:rPr>
        <w:t>Feeling valued by society is an important component of social capital and wellbeing. The extent to which a person feels valued by others who are important to them is strongly related to psychological wellbeing and is a source of self-esteem.</w:t>
      </w:r>
    </w:p>
    <w:p w14:paraId="74E5C77E" w14:textId="4AA35063" w:rsidR="00617F78" w:rsidRDefault="00E262AD" w:rsidP="00165EC4">
      <w:pPr>
        <w:pStyle w:val="Body"/>
        <w:jc w:val="center"/>
      </w:pPr>
      <w:r>
        <w:rPr>
          <w:noProof/>
        </w:rPr>
        <w:drawing>
          <wp:inline distT="0" distB="0" distL="0" distR="0" wp14:anchorId="31F74DE7" wp14:editId="614FBA1A">
            <wp:extent cx="3122763" cy="1994885"/>
            <wp:effectExtent l="0" t="0" r="1905" b="5715"/>
            <wp:docPr id="130" name="Picture 130" descr="The proportion of adolescents satisfied with their life has declined from 76.6 per cent in 2014 to 71.9 per cent in 2018. It is less likely in those who have a language background other than English, compared with adolescents with an English-speakin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he proportion of adolescents satisfied with their life has declined from 76.6 per cent in 2014 to 71.9 per cent in 2018. It is less likely in those who have a language background other than English, compared with adolescents with an English-speaking background. "/>
                    <pic:cNvPicPr/>
                  </pic:nvPicPr>
                  <pic:blipFill>
                    <a:blip r:embed="rId74"/>
                    <a:stretch>
                      <a:fillRect/>
                    </a:stretch>
                  </pic:blipFill>
                  <pic:spPr>
                    <a:xfrm>
                      <a:off x="0" y="0"/>
                      <a:ext cx="3129132" cy="1998954"/>
                    </a:xfrm>
                    <a:prstGeom prst="rect">
                      <a:avLst/>
                    </a:prstGeom>
                  </pic:spPr>
                </pic:pic>
              </a:graphicData>
            </a:graphic>
          </wp:inline>
        </w:drawing>
      </w:r>
    </w:p>
    <w:p w14:paraId="602A2241" w14:textId="111BFD6F" w:rsidR="00617F78" w:rsidRDefault="00617F78" w:rsidP="00D435FB">
      <w:pPr>
        <w:pStyle w:val="Tablefigurenote"/>
        <w:rPr>
          <w:lang w:eastAsia="en-AU"/>
        </w:rPr>
      </w:pPr>
      <w:r>
        <w:rPr>
          <w:lang w:eastAsia="en-AU"/>
        </w:rPr>
        <w:t>Source: Victorian Student Health and Wellbeing Survey</w:t>
      </w:r>
      <w:r w:rsidR="0041709F" w:rsidRPr="00B36EB8">
        <w:rPr>
          <w:vertAlign w:val="superscript"/>
          <w:lang w:eastAsia="en-AU"/>
        </w:rPr>
        <w:fldChar w:fldCharType="begin"/>
      </w:r>
      <w:r w:rsidR="0041709F" w:rsidRPr="00B36EB8">
        <w:rPr>
          <w:vertAlign w:val="superscript"/>
          <w:lang w:eastAsia="en-AU"/>
        </w:rPr>
        <w:instrText xml:space="preserve"> NOTEREF _Ref150505041 \f \h </w:instrText>
      </w:r>
      <w:r w:rsidR="00D435FB" w:rsidRPr="00B36EB8">
        <w:rPr>
          <w:vertAlign w:val="superscript"/>
          <w:lang w:eastAsia="en-AU"/>
        </w:rPr>
        <w:instrText xml:space="preserve"> \* MERGEFORMAT </w:instrText>
      </w:r>
      <w:r w:rsidR="0041709F" w:rsidRPr="00B36EB8">
        <w:rPr>
          <w:vertAlign w:val="superscript"/>
          <w:lang w:eastAsia="en-AU"/>
        </w:rPr>
      </w:r>
      <w:r w:rsidR="0041709F" w:rsidRPr="00B36EB8">
        <w:rPr>
          <w:vertAlign w:val="superscript"/>
          <w:lang w:eastAsia="en-AU"/>
        </w:rPr>
        <w:fldChar w:fldCharType="separate"/>
      </w:r>
      <w:r w:rsidR="00B36EB8" w:rsidRPr="00B36EB8">
        <w:rPr>
          <w:vertAlign w:val="superscript"/>
          <w:lang w:eastAsia="en-AU"/>
        </w:rPr>
        <w:t>37</w:t>
      </w:r>
      <w:r w:rsidR="0041709F" w:rsidRPr="00B36EB8">
        <w:rPr>
          <w:vertAlign w:val="superscript"/>
          <w:lang w:eastAsia="en-AU"/>
        </w:rPr>
        <w:fldChar w:fldCharType="end"/>
      </w:r>
    </w:p>
    <w:p w14:paraId="0DC11B2D" w14:textId="38AAFE5D" w:rsidR="00617F78" w:rsidRDefault="00E262AD" w:rsidP="000B378E">
      <w:pPr>
        <w:pStyle w:val="Body"/>
        <w:jc w:val="center"/>
      </w:pPr>
      <w:r>
        <w:rPr>
          <w:noProof/>
        </w:rPr>
        <w:drawing>
          <wp:inline distT="0" distB="0" distL="0" distR="0" wp14:anchorId="68C2F8AA" wp14:editId="10492F6C">
            <wp:extent cx="3088257" cy="2937610"/>
            <wp:effectExtent l="0" t="0" r="0" b="0"/>
            <wp:docPr id="131" name="Picture 131" descr="The proportion of adults who feel valued by society is 51.7 per cent, and this has increased since 2018.&#10;he proportion of adults who feel valued by society is lower in Aboriginal people living in Victoria, 33.1 per cent, lower for people with lower income, and higher in people who are born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he proportion of adults who feel valued by society is 51.7 per cent, and this has increased since 2018.&#10;he proportion of adults who feel valued by society is lower in Aboriginal people living in Victoria, 33.1 per cent, lower for people with lower income, and higher in people who are born overseas."/>
                    <pic:cNvPicPr/>
                  </pic:nvPicPr>
                  <pic:blipFill>
                    <a:blip r:embed="rId75"/>
                    <a:stretch>
                      <a:fillRect/>
                    </a:stretch>
                  </pic:blipFill>
                  <pic:spPr>
                    <a:xfrm>
                      <a:off x="0" y="0"/>
                      <a:ext cx="3093258" cy="2942367"/>
                    </a:xfrm>
                    <a:prstGeom prst="rect">
                      <a:avLst/>
                    </a:prstGeom>
                  </pic:spPr>
                </pic:pic>
              </a:graphicData>
            </a:graphic>
          </wp:inline>
        </w:drawing>
      </w:r>
    </w:p>
    <w:p w14:paraId="0580AE58" w14:textId="2A4B3A9F" w:rsidR="00617F78" w:rsidRDefault="00617F78" w:rsidP="00D435FB">
      <w:pPr>
        <w:pStyle w:val="Tablefigurenote"/>
        <w:rPr>
          <w:lang w:eastAsia="en-AU"/>
        </w:rPr>
      </w:pPr>
      <w:r>
        <w:rPr>
          <w:lang w:eastAsia="en-AU"/>
        </w:rPr>
        <w:t>Source: Victorian Population Health Survey</w:t>
      </w:r>
      <w:r w:rsidR="0041709F" w:rsidRPr="00B36EB8">
        <w:rPr>
          <w:vertAlign w:val="superscript"/>
          <w:lang w:eastAsia="en-AU"/>
        </w:rPr>
        <w:fldChar w:fldCharType="begin"/>
      </w:r>
      <w:r w:rsidR="0041709F" w:rsidRPr="00B36EB8">
        <w:rPr>
          <w:vertAlign w:val="superscript"/>
          <w:lang w:eastAsia="en-AU"/>
        </w:rPr>
        <w:instrText xml:space="preserve"> NOTEREF _Ref150505259 \f \h </w:instrText>
      </w:r>
      <w:r w:rsidR="00D435FB" w:rsidRPr="00B36EB8">
        <w:rPr>
          <w:vertAlign w:val="superscript"/>
          <w:lang w:eastAsia="en-AU"/>
        </w:rPr>
        <w:instrText xml:space="preserve"> \* MERGEFORMAT </w:instrText>
      </w:r>
      <w:r w:rsidR="0041709F" w:rsidRPr="00B36EB8">
        <w:rPr>
          <w:vertAlign w:val="superscript"/>
          <w:lang w:eastAsia="en-AU"/>
        </w:rPr>
      </w:r>
      <w:r w:rsidR="0041709F" w:rsidRPr="00B36EB8">
        <w:rPr>
          <w:vertAlign w:val="superscript"/>
          <w:lang w:eastAsia="en-AU"/>
        </w:rPr>
        <w:fldChar w:fldCharType="separate"/>
      </w:r>
      <w:r w:rsidR="00B36EB8" w:rsidRPr="00B36EB8">
        <w:rPr>
          <w:vertAlign w:val="superscript"/>
          <w:lang w:eastAsia="en-AU"/>
        </w:rPr>
        <w:t>35</w:t>
      </w:r>
      <w:r w:rsidR="0041709F" w:rsidRPr="00B36EB8">
        <w:rPr>
          <w:vertAlign w:val="superscript"/>
          <w:lang w:eastAsia="en-AU"/>
        </w:rPr>
        <w:fldChar w:fldCharType="end"/>
      </w:r>
    </w:p>
    <w:p w14:paraId="56B7C0DD" w14:textId="3B0DAF10" w:rsidR="00617F78" w:rsidRDefault="00EB7897" w:rsidP="00D76D7A">
      <w:pPr>
        <w:pStyle w:val="Heading2"/>
        <w:rPr>
          <w:lang w:eastAsia="en-AU"/>
        </w:rPr>
      </w:pPr>
      <w:bookmarkStart w:id="68" w:name="_Toc151976155"/>
      <w:r>
        <w:rPr>
          <w:lang w:eastAsia="en-AU"/>
        </w:rPr>
        <w:t xml:space="preserve">Outcome </w:t>
      </w:r>
      <w:r w:rsidR="00617F78">
        <w:rPr>
          <w:lang w:eastAsia="en-AU"/>
        </w:rPr>
        <w:t>4.2</w:t>
      </w:r>
      <w:r>
        <w:rPr>
          <w:lang w:eastAsia="en-AU"/>
        </w:rPr>
        <w:t>:</w:t>
      </w:r>
      <w:r w:rsidR="00617F78">
        <w:rPr>
          <w:lang w:eastAsia="en-AU"/>
        </w:rPr>
        <w:t xml:space="preserve"> Victorians can safely identify with their culture and </w:t>
      </w:r>
      <w:proofErr w:type="gramStart"/>
      <w:r w:rsidR="00617F78">
        <w:rPr>
          <w:lang w:eastAsia="en-AU"/>
        </w:rPr>
        <w:t>identity</w:t>
      </w:r>
      <w:bookmarkEnd w:id="68"/>
      <w:proofErr w:type="gramEnd"/>
    </w:p>
    <w:p w14:paraId="6B7FD5D4" w14:textId="01E14725" w:rsidR="00F10064" w:rsidRDefault="00617F78" w:rsidP="00C46F80">
      <w:pPr>
        <w:pStyle w:val="Body"/>
      </w:pPr>
      <w:r>
        <w:t xml:space="preserve">Feeling safe to connect with and practice culture has a protective effect on health and </w:t>
      </w:r>
      <w:proofErr w:type="gramStart"/>
      <w:r>
        <w:t>wellbeing</w:t>
      </w:r>
      <w:r w:rsidR="00F10064">
        <w:t>,</w:t>
      </w:r>
      <w:r>
        <w:t xml:space="preserve"> and</w:t>
      </w:r>
      <w:proofErr w:type="gramEnd"/>
      <w:r>
        <w:t xml:space="preserve"> builds resilience. Evidence suggests that a strong cultural identity is associated with a stronger sense of purpose, increased self-esteem and self-worth, and stronger social networks, while also reducing the impact of experiencing discrimination</w:t>
      </w:r>
      <w:r w:rsidR="00505F10">
        <w:t>.</w:t>
      </w:r>
      <w:r>
        <w:rPr>
          <w:rStyle w:val="EndnoteReference"/>
        </w:rPr>
        <w:endnoteReference w:id="97"/>
      </w:r>
    </w:p>
    <w:p w14:paraId="50817AA6" w14:textId="55DC3BFB" w:rsidR="00617F78" w:rsidRPr="00E3099E" w:rsidRDefault="00617F78" w:rsidP="00C46F80">
      <w:pPr>
        <w:pStyle w:val="Body"/>
        <w:rPr>
          <w:lang w:eastAsia="en-AU"/>
        </w:rPr>
      </w:pPr>
      <w:r>
        <w:t xml:space="preserve">Racism is a key barrier and determinant of health for Aboriginal people and other culturally and linguistically diverse groups in </w:t>
      </w:r>
      <w:r w:rsidR="00473FA0">
        <w:t>Victoria</w:t>
      </w:r>
      <w:r>
        <w:t>.</w:t>
      </w:r>
      <w:r w:rsidRPr="7F136D53">
        <w:rPr>
          <w:lang w:val="en-US"/>
        </w:rPr>
        <w:t xml:space="preserve"> For Victorians to enjoy the highest standards of health, </w:t>
      </w:r>
      <w:proofErr w:type="gramStart"/>
      <w:r w:rsidRPr="7F136D53">
        <w:rPr>
          <w:lang w:val="en-US"/>
        </w:rPr>
        <w:t>wellbeing</w:t>
      </w:r>
      <w:proofErr w:type="gramEnd"/>
      <w:r w:rsidRPr="7F136D53">
        <w:rPr>
          <w:lang w:val="en-US"/>
        </w:rPr>
        <w:t xml:space="preserve"> and participation, </w:t>
      </w:r>
      <w:r w:rsidRPr="7F136D53">
        <w:rPr>
          <w:lang w:eastAsia="en-AU"/>
        </w:rPr>
        <w:t>we need to support all Victorians of all ages to have positive relationships with others, and to provide safe environments that promote strong connections with culture.</w:t>
      </w:r>
    </w:p>
    <w:p w14:paraId="124B0B3F" w14:textId="436EB10C" w:rsidR="00617F78" w:rsidRDefault="00617F78" w:rsidP="00C46F80">
      <w:pPr>
        <w:pStyle w:val="Heading3"/>
        <w:rPr>
          <w:lang w:eastAsia="en-AU"/>
        </w:rPr>
      </w:pPr>
      <w:r w:rsidRPr="00903D98">
        <w:rPr>
          <w:lang w:eastAsia="en-AU"/>
        </w:rPr>
        <w:lastRenderedPageBreak/>
        <w:t xml:space="preserve">Aboriginal </w:t>
      </w:r>
      <w:r w:rsidR="005C0803">
        <w:rPr>
          <w:lang w:eastAsia="en-AU"/>
        </w:rPr>
        <w:t>c</w:t>
      </w:r>
      <w:r w:rsidRPr="00903D98">
        <w:rPr>
          <w:lang w:eastAsia="en-AU"/>
        </w:rPr>
        <w:t xml:space="preserve">ultural safety </w:t>
      </w:r>
    </w:p>
    <w:p w14:paraId="63FB3AAA" w14:textId="451FF988" w:rsidR="00617F78" w:rsidRDefault="00617F78" w:rsidP="00C46F80">
      <w:pPr>
        <w:pStyle w:val="Body"/>
      </w:pPr>
      <w:r w:rsidRPr="7F136D53">
        <w:t xml:space="preserve">For Aboriginal people, the concept of health encompasses the physical, social, </w:t>
      </w:r>
      <w:proofErr w:type="gramStart"/>
      <w:r w:rsidRPr="7F136D53">
        <w:t>emotional</w:t>
      </w:r>
      <w:proofErr w:type="gramEnd"/>
      <w:r w:rsidRPr="7F136D53">
        <w:t xml:space="preserve"> and cultural wellbeing of individuals, families, wider kinship groups and entire </w:t>
      </w:r>
      <w:r w:rsidR="005C0803">
        <w:t>c</w:t>
      </w:r>
      <w:r w:rsidRPr="7F136D53">
        <w:t xml:space="preserve">ommunities. Achieving good health and social and emotional wellbeing for Aboriginal people is equally dependent on experiences in the social, historical, </w:t>
      </w:r>
      <w:proofErr w:type="gramStart"/>
      <w:r w:rsidRPr="7F136D53">
        <w:t>political</w:t>
      </w:r>
      <w:proofErr w:type="gramEnd"/>
      <w:r w:rsidRPr="7F136D53">
        <w:t xml:space="preserve"> and cultural determinants of health.</w:t>
      </w:r>
    </w:p>
    <w:p w14:paraId="04AB96CF" w14:textId="69B23528" w:rsidR="00020717" w:rsidRDefault="00617F78" w:rsidP="00C46F80">
      <w:pPr>
        <w:pStyle w:val="Body"/>
      </w:pPr>
      <w:r w:rsidRPr="00735BBE">
        <w:t>Experiencing racism directly and living in anticipation of experiencing racism can have a significant impact on an individual’s mental and physical wellbeing. Living in a society with systemic and institutional racism prevents Aboriginal people from having the same opportunity and access to improve health and wellbeing. This is reflected in the evidence that Victorian adults who frequently experience racism</w:t>
      </w:r>
      <w:r w:rsidRPr="00735BBE">
        <w:rPr>
          <w:b/>
          <w:bCs/>
        </w:rPr>
        <w:t xml:space="preserve"> </w:t>
      </w:r>
      <w:r w:rsidRPr="00735BBE">
        <w:t>are 2.5 times more likely to have poor physical health than those who do not experience racism</w:t>
      </w:r>
      <w:r w:rsidR="00505F10">
        <w:t>.</w:t>
      </w:r>
      <w:r w:rsidRPr="00735BBE">
        <w:rPr>
          <w:rStyle w:val="EndnoteReference"/>
        </w:rPr>
        <w:endnoteReference w:id="98"/>
      </w:r>
    </w:p>
    <w:p w14:paraId="3806703D" w14:textId="01DB2CB9" w:rsidR="00617F78" w:rsidRDefault="00617F78" w:rsidP="00C46F80">
      <w:pPr>
        <w:pStyle w:val="Body"/>
      </w:pPr>
      <w:r w:rsidRPr="00735BBE">
        <w:t>T</w:t>
      </w:r>
      <w:r w:rsidRPr="7F136D53">
        <w:t xml:space="preserve">he importance of recognising the strengths, resilience and connectedness of First Peoples and their communities to provide safe, </w:t>
      </w:r>
      <w:proofErr w:type="gramStart"/>
      <w:r w:rsidRPr="7F136D53">
        <w:t>supportive</w:t>
      </w:r>
      <w:proofErr w:type="gramEnd"/>
      <w:r w:rsidRPr="7F136D53">
        <w:t xml:space="preserve"> and culturally appropriate health care is at the heart of self-determination.</w:t>
      </w:r>
    </w:p>
    <w:p w14:paraId="6A0C9DE3" w14:textId="15E5629F" w:rsidR="00617F78" w:rsidRDefault="00617F78" w:rsidP="00C46F80">
      <w:pPr>
        <w:pStyle w:val="Body"/>
        <w:rPr>
          <w:lang w:eastAsia="en-AU"/>
        </w:rPr>
      </w:pPr>
      <w:r w:rsidRPr="7F136D53">
        <w:rPr>
          <w:lang w:eastAsia="en-AU"/>
        </w:rPr>
        <w:t xml:space="preserve">It is important that Aboriginal people in Victoria can access culturally safe and culturally responsive health services when they need </w:t>
      </w:r>
      <w:r w:rsidR="009E23D5">
        <w:rPr>
          <w:lang w:eastAsia="en-AU"/>
        </w:rPr>
        <w:t>them</w:t>
      </w:r>
      <w:r w:rsidRPr="7F136D53">
        <w:rPr>
          <w:lang w:eastAsia="en-AU"/>
        </w:rPr>
        <w:t xml:space="preserve"> – whether this is from an Aboriginal organisation or a mainstream service. A culturally safe and racism-free health and community service system is one in which people feel safe, where they can freely affirm their identity and where their needs are met.</w:t>
      </w:r>
    </w:p>
    <w:p w14:paraId="0A24399D" w14:textId="3982BECB" w:rsidR="00617F78" w:rsidRDefault="00617F78" w:rsidP="00D76D7A">
      <w:pPr>
        <w:pStyle w:val="Heading3"/>
        <w:rPr>
          <w:lang w:eastAsia="en-AU"/>
        </w:rPr>
      </w:pPr>
      <w:r>
        <w:rPr>
          <w:lang w:eastAsia="en-AU"/>
        </w:rPr>
        <w:t>Increase acceptance of diversity</w:t>
      </w:r>
    </w:p>
    <w:p w14:paraId="2E3051F2" w14:textId="583CEA86" w:rsidR="00617F78" w:rsidRDefault="00E262AD" w:rsidP="00A50287">
      <w:pPr>
        <w:pStyle w:val="Body"/>
        <w:jc w:val="center"/>
        <w:rPr>
          <w:lang w:eastAsia="en-AU"/>
        </w:rPr>
      </w:pPr>
      <w:r>
        <w:rPr>
          <w:noProof/>
        </w:rPr>
        <w:drawing>
          <wp:inline distT="0" distB="0" distL="0" distR="0" wp14:anchorId="38CA2465" wp14:editId="103B912B">
            <wp:extent cx="3071004" cy="2105185"/>
            <wp:effectExtent l="0" t="0" r="0" b="9525"/>
            <wp:docPr id="132" name="Picture 132" descr="The proportion of adults who thought multiculturalism definitely made life in their area better has increased consistently from 51.1 per cent in 2015 to 63.3 per cent in 2020. It decreases with increasing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he proportion of adults who thought multiculturalism definitely made life in their area better has increased consistently from 51.1 per cent in 2015 to 63.3 per cent in 2020. It decreases with increasing age. "/>
                    <pic:cNvPicPr/>
                  </pic:nvPicPr>
                  <pic:blipFill>
                    <a:blip r:embed="rId76"/>
                    <a:stretch>
                      <a:fillRect/>
                    </a:stretch>
                  </pic:blipFill>
                  <pic:spPr>
                    <a:xfrm>
                      <a:off x="0" y="0"/>
                      <a:ext cx="3074237" cy="2107401"/>
                    </a:xfrm>
                    <a:prstGeom prst="rect">
                      <a:avLst/>
                    </a:prstGeom>
                  </pic:spPr>
                </pic:pic>
              </a:graphicData>
            </a:graphic>
          </wp:inline>
        </w:drawing>
      </w:r>
    </w:p>
    <w:p w14:paraId="7AACB17E" w14:textId="6C411D0C" w:rsidR="00617F78" w:rsidRDefault="00617F78" w:rsidP="00D435FB">
      <w:pPr>
        <w:pStyle w:val="Tablefigurenote"/>
        <w:rPr>
          <w:lang w:eastAsia="en-AU"/>
        </w:rPr>
      </w:pPr>
      <w:r>
        <w:rPr>
          <w:lang w:eastAsia="en-AU"/>
        </w:rPr>
        <w:t>Source: Victorian Population Health Survey</w:t>
      </w:r>
      <w:r w:rsidR="003900BD" w:rsidRPr="00B36EB8">
        <w:rPr>
          <w:vertAlign w:val="superscript"/>
          <w:lang w:eastAsia="en-AU"/>
        </w:rPr>
        <w:fldChar w:fldCharType="begin"/>
      </w:r>
      <w:r w:rsidR="003900BD" w:rsidRPr="00B36EB8">
        <w:rPr>
          <w:vertAlign w:val="superscript"/>
          <w:lang w:eastAsia="en-AU"/>
        </w:rPr>
        <w:instrText xml:space="preserve"> NOTEREF _Ref150505259 \f \h </w:instrText>
      </w:r>
      <w:r w:rsidR="00D435FB" w:rsidRPr="00B36EB8">
        <w:rPr>
          <w:vertAlign w:val="superscript"/>
          <w:lang w:eastAsia="en-AU"/>
        </w:rPr>
        <w:instrText xml:space="preserve"> \* MERGEFORMAT </w:instrText>
      </w:r>
      <w:r w:rsidR="003900BD" w:rsidRPr="00B36EB8">
        <w:rPr>
          <w:vertAlign w:val="superscript"/>
          <w:lang w:eastAsia="en-AU"/>
        </w:rPr>
      </w:r>
      <w:r w:rsidR="003900BD" w:rsidRPr="00B36EB8">
        <w:rPr>
          <w:vertAlign w:val="superscript"/>
          <w:lang w:eastAsia="en-AU"/>
        </w:rPr>
        <w:fldChar w:fldCharType="separate"/>
      </w:r>
      <w:r w:rsidR="00B36EB8" w:rsidRPr="00B36EB8">
        <w:rPr>
          <w:vertAlign w:val="superscript"/>
          <w:lang w:eastAsia="en-AU"/>
        </w:rPr>
        <w:t>35</w:t>
      </w:r>
      <w:r w:rsidR="003900BD" w:rsidRPr="00B36EB8">
        <w:rPr>
          <w:vertAlign w:val="superscript"/>
          <w:lang w:eastAsia="en-AU"/>
        </w:rPr>
        <w:fldChar w:fldCharType="end"/>
      </w:r>
    </w:p>
    <w:p w14:paraId="29E015A3" w14:textId="5619C9A5" w:rsidR="00617F78" w:rsidRDefault="00617F78" w:rsidP="00207534">
      <w:pPr>
        <w:pStyle w:val="Body"/>
        <w:rPr>
          <w:lang w:eastAsia="en-AU"/>
        </w:rPr>
      </w:pPr>
      <w:r>
        <w:rPr>
          <w:lang w:eastAsia="en-AU"/>
        </w:rPr>
        <w:t>In 2020, 75.9 per cent of people aged 18</w:t>
      </w:r>
      <w:r w:rsidR="009E23D5">
        <w:rPr>
          <w:lang w:eastAsia="en-AU"/>
        </w:rPr>
        <w:t>–</w:t>
      </w:r>
      <w:r>
        <w:rPr>
          <w:lang w:eastAsia="en-AU"/>
        </w:rPr>
        <w:t xml:space="preserve">24 believed multiculturalism </w:t>
      </w:r>
      <w:proofErr w:type="gramStart"/>
      <w:r>
        <w:rPr>
          <w:lang w:eastAsia="en-AU"/>
        </w:rPr>
        <w:t>definitely made</w:t>
      </w:r>
      <w:proofErr w:type="gramEnd"/>
      <w:r>
        <w:rPr>
          <w:lang w:eastAsia="en-AU"/>
        </w:rPr>
        <w:t xml:space="preserve"> their life better, compared with 62 per cent in 2015. While only 45 per cent of people aged 75</w:t>
      </w:r>
      <w:r w:rsidR="00EE1FB1">
        <w:rPr>
          <w:lang w:eastAsia="en-AU"/>
        </w:rPr>
        <w:t>–</w:t>
      </w:r>
      <w:r>
        <w:rPr>
          <w:lang w:eastAsia="en-AU"/>
        </w:rPr>
        <w:t>84 agreed in 2020, this has increased from 32 per cent in 2015</w:t>
      </w:r>
      <w:r w:rsidR="00505F10">
        <w:rPr>
          <w:lang w:eastAsia="en-AU"/>
        </w:rPr>
        <w:t>.</w:t>
      </w:r>
      <w:r w:rsidR="003900BD">
        <w:rPr>
          <w:lang w:eastAsia="en-AU"/>
        </w:rPr>
        <w:fldChar w:fldCharType="begin"/>
      </w:r>
      <w:r w:rsidR="003900BD">
        <w:rPr>
          <w:lang w:eastAsia="en-AU"/>
        </w:rPr>
        <w:instrText xml:space="preserve"> NOTEREF _Ref150505259 \f \h </w:instrText>
      </w:r>
      <w:r w:rsidR="003900BD">
        <w:rPr>
          <w:lang w:eastAsia="en-AU"/>
        </w:rPr>
      </w:r>
      <w:r w:rsidR="003900BD">
        <w:rPr>
          <w:lang w:eastAsia="en-AU"/>
        </w:rPr>
        <w:fldChar w:fldCharType="separate"/>
      </w:r>
      <w:r w:rsidR="00B36EB8" w:rsidRPr="00B36EB8">
        <w:rPr>
          <w:rStyle w:val="EndnoteReference"/>
        </w:rPr>
        <w:t>35</w:t>
      </w:r>
      <w:r w:rsidR="003900BD">
        <w:rPr>
          <w:lang w:eastAsia="en-AU"/>
        </w:rPr>
        <w:fldChar w:fldCharType="end"/>
      </w:r>
    </w:p>
    <w:p w14:paraId="5242B3F4" w14:textId="0D58FC9F" w:rsidR="00617F78" w:rsidRPr="00513DF2" w:rsidRDefault="00617F78" w:rsidP="00207534">
      <w:pPr>
        <w:pStyle w:val="Body"/>
        <w:rPr>
          <w:lang w:eastAsia="en-AU"/>
        </w:rPr>
      </w:pPr>
      <w:r>
        <w:rPr>
          <w:lang w:eastAsia="en-AU"/>
        </w:rPr>
        <w:t xml:space="preserve">While this data shows we are heading in the right direction, it is clear there is still more we can be doing to celebrate the incredible cultural diversity we have in Victoria and make positive steps towards removing racism of all forms. </w:t>
      </w:r>
    </w:p>
    <w:p w14:paraId="7F1E4629" w14:textId="53D8E441" w:rsidR="00617F78" w:rsidRPr="003210E0" w:rsidRDefault="00617F78" w:rsidP="003210E0">
      <w:pPr>
        <w:pStyle w:val="Heading1"/>
      </w:pPr>
      <w:bookmarkStart w:id="69" w:name="_Toc151976156"/>
      <w:r>
        <w:lastRenderedPageBreak/>
        <w:t>Domain 5</w:t>
      </w:r>
      <w:r w:rsidR="00EB7897">
        <w:t>:</w:t>
      </w:r>
      <w:r>
        <w:t xml:space="preserve"> Victoria is </w:t>
      </w:r>
      <w:proofErr w:type="gramStart"/>
      <w:r>
        <w:t>liveable</w:t>
      </w:r>
      <w:bookmarkEnd w:id="69"/>
      <w:proofErr w:type="gramEnd"/>
    </w:p>
    <w:p w14:paraId="4D383F65" w14:textId="3B430DF3" w:rsidR="00617F78" w:rsidRDefault="00EB7897" w:rsidP="001F7AB2">
      <w:pPr>
        <w:pStyle w:val="Heading2"/>
      </w:pPr>
      <w:bookmarkStart w:id="70" w:name="_Toc151976157"/>
      <w:r>
        <w:t xml:space="preserve">Outcome </w:t>
      </w:r>
      <w:r w:rsidR="00617F78">
        <w:t>5.2</w:t>
      </w:r>
      <w:r>
        <w:t>:</w:t>
      </w:r>
      <w:r w:rsidR="00617F78">
        <w:t xml:space="preserve"> Victorians have access to sustainable built and natural </w:t>
      </w:r>
      <w:proofErr w:type="gramStart"/>
      <w:r w:rsidR="00617F78">
        <w:t>environments</w:t>
      </w:r>
      <w:bookmarkEnd w:id="70"/>
      <w:proofErr w:type="gramEnd"/>
    </w:p>
    <w:p w14:paraId="67B202D9" w14:textId="0E07BD53" w:rsidR="00B07AC0" w:rsidRDefault="00617F78" w:rsidP="00D435FB">
      <w:pPr>
        <w:spacing w:line="276" w:lineRule="auto"/>
        <w:rPr>
          <w:rFonts w:eastAsia="Arial" w:cs="Arial"/>
        </w:rPr>
      </w:pPr>
      <w:r>
        <w:rPr>
          <w:rFonts w:eastAsia="Arial" w:cs="Arial"/>
        </w:rPr>
        <w:t>A leading threat to the health and wellbeing of Victorians is the impact of our changing climate, caused by global greenhouse gas emissions. Risks to health associated with climate change in Australia include</w:t>
      </w:r>
      <w:r w:rsidR="00B07AC0">
        <w:rPr>
          <w:rFonts w:eastAsia="Arial" w:cs="Arial"/>
        </w:rPr>
        <w:t>:</w:t>
      </w:r>
    </w:p>
    <w:p w14:paraId="36E2FB19" w14:textId="4871B861" w:rsidR="00E11AD6" w:rsidRDefault="00617F78" w:rsidP="00624CFB">
      <w:pPr>
        <w:pStyle w:val="Bullet1"/>
      </w:pPr>
      <w:r>
        <w:t>rising heat</w:t>
      </w:r>
    </w:p>
    <w:p w14:paraId="7D80FBC3" w14:textId="48568055" w:rsidR="00E11AD6" w:rsidRDefault="00617F78" w:rsidP="00624CFB">
      <w:pPr>
        <w:pStyle w:val="Bullet1"/>
      </w:pPr>
      <w:r>
        <w:t>changing rainfall patterns leading to drought and flooding</w:t>
      </w:r>
    </w:p>
    <w:p w14:paraId="379009C4" w14:textId="51D4E176" w:rsidR="00E11AD6" w:rsidRDefault="00617F78" w:rsidP="00624CFB">
      <w:pPr>
        <w:pStyle w:val="Bullet1"/>
      </w:pPr>
      <w:r>
        <w:t>changing patterns of infectious disease</w:t>
      </w:r>
    </w:p>
    <w:p w14:paraId="169E87FB" w14:textId="446A85F5" w:rsidR="00E11AD6" w:rsidRDefault="00617F78" w:rsidP="00624CFB">
      <w:pPr>
        <w:pStyle w:val="Bullet1"/>
      </w:pPr>
      <w:r>
        <w:t>changes to quality of our air, water, and foo</w:t>
      </w:r>
      <w:bookmarkStart w:id="71" w:name="_Ref132623498"/>
      <w:r>
        <w:t>d</w:t>
      </w:r>
      <w:bookmarkStart w:id="72" w:name="_Ref145946935"/>
      <w:bookmarkEnd w:id="71"/>
      <w:r w:rsidR="00505F10">
        <w:t>.</w:t>
      </w:r>
      <w:r>
        <w:rPr>
          <w:rStyle w:val="EndnoteReference"/>
          <w:rFonts w:eastAsia="Arial" w:cs="Arial"/>
        </w:rPr>
        <w:endnoteReference w:id="99"/>
      </w:r>
      <w:bookmarkEnd w:id="72"/>
    </w:p>
    <w:p w14:paraId="1E5DB14E" w14:textId="281B8D40" w:rsidR="00617F78" w:rsidRDefault="00617F78" w:rsidP="00624CFB">
      <w:pPr>
        <w:pStyle w:val="Bodyafterbullets"/>
      </w:pPr>
      <w:r>
        <w:t>These changes can result in direct harms to health</w:t>
      </w:r>
      <w:r w:rsidR="00955AA2">
        <w:t>,</w:t>
      </w:r>
      <w:r>
        <w:t xml:space="preserve"> such as heat</w:t>
      </w:r>
      <w:r w:rsidR="00955AA2">
        <w:t>-</w:t>
      </w:r>
      <w:r>
        <w:t>related morbidity and mortality, increased illness, displacement, and rising injuries and fatalities due to extreme weather events</w:t>
      </w:r>
      <w:r w:rsidR="00505F10">
        <w:t>.</w:t>
      </w:r>
      <w:r w:rsidRPr="0005295D">
        <w:rPr>
          <w:vertAlign w:val="superscript"/>
        </w:rPr>
        <w:fldChar w:fldCharType="begin"/>
      </w:r>
      <w:r w:rsidRPr="0005295D">
        <w:rPr>
          <w:vertAlign w:val="superscript"/>
        </w:rPr>
        <w:instrText xml:space="preserve"> NOTEREF _Ref145946935 \h </w:instrText>
      </w:r>
      <w:r>
        <w:rPr>
          <w:vertAlign w:val="superscript"/>
        </w:rPr>
        <w:instrText xml:space="preserve"> \* MERGEFORMAT </w:instrText>
      </w:r>
      <w:r w:rsidRPr="0005295D">
        <w:rPr>
          <w:vertAlign w:val="superscript"/>
        </w:rPr>
      </w:r>
      <w:r w:rsidRPr="0005295D">
        <w:rPr>
          <w:vertAlign w:val="superscript"/>
        </w:rPr>
        <w:fldChar w:fldCharType="separate"/>
      </w:r>
      <w:r w:rsidR="00B36EB8">
        <w:rPr>
          <w:vertAlign w:val="superscript"/>
        </w:rPr>
        <w:t>98</w:t>
      </w:r>
      <w:r w:rsidRPr="0005295D">
        <w:rPr>
          <w:vertAlign w:val="superscript"/>
        </w:rPr>
        <w:fldChar w:fldCharType="end"/>
      </w:r>
      <w:r>
        <w:t xml:space="preserve"> </w:t>
      </w:r>
    </w:p>
    <w:p w14:paraId="3D52EF98" w14:textId="4DE16AB5" w:rsidR="007C175F" w:rsidRDefault="00617F78" w:rsidP="00D435FB">
      <w:pPr>
        <w:pStyle w:val="Body"/>
        <w:rPr>
          <w:rFonts w:eastAsia="Arial" w:cs="Arial"/>
        </w:rPr>
      </w:pPr>
      <w:r>
        <w:rPr>
          <w:rFonts w:eastAsia="Arial" w:cs="Arial"/>
        </w:rPr>
        <w:t>Since national climate records began in 1910, Australia’s climate has warmed by an average of 1.47± 0.24˚C</w:t>
      </w:r>
      <w:r w:rsidR="00505F10">
        <w:rPr>
          <w:rFonts w:eastAsia="Arial" w:cs="Arial"/>
        </w:rPr>
        <w:t>.</w:t>
      </w:r>
      <w:r>
        <w:rPr>
          <w:rStyle w:val="EndnoteReference"/>
          <w:rFonts w:eastAsia="Arial" w:cs="Arial"/>
        </w:rPr>
        <w:endnoteReference w:id="100"/>
      </w:r>
      <w:r>
        <w:rPr>
          <w:rFonts w:eastAsia="Arial" w:cs="Arial"/>
        </w:rPr>
        <w:t xml:space="preserve"> Victoria is already experiencing an increase in the number of very hot days and very high fire danger days, a decrease in average rainfall, and more intense extreme rainfall events. Victorian climate projections suggest that these trends and associated impacts are expected to continue in the future</w:t>
      </w:r>
      <w:r w:rsidR="00505F10">
        <w:rPr>
          <w:rFonts w:eastAsia="Arial" w:cs="Arial"/>
        </w:rPr>
        <w:t>.</w:t>
      </w:r>
      <w:r>
        <w:rPr>
          <w:rStyle w:val="EndnoteReference"/>
          <w:rFonts w:eastAsia="Arial" w:cs="Arial"/>
        </w:rPr>
        <w:endnoteReference w:id="101"/>
      </w:r>
      <w:r w:rsidRPr="00C44B09">
        <w:rPr>
          <w:rFonts w:eastAsia="Arial" w:cs="Arial"/>
          <w:vertAlign w:val="superscript"/>
        </w:rPr>
        <w:t>,</w:t>
      </w:r>
      <w:r>
        <w:rPr>
          <w:rStyle w:val="EndnoteReference"/>
          <w:rFonts w:eastAsia="Arial" w:cs="Arial"/>
        </w:rPr>
        <w:endnoteReference w:id="102"/>
      </w:r>
    </w:p>
    <w:p w14:paraId="51C315D4" w14:textId="0F75A10A" w:rsidR="00043F5A" w:rsidRDefault="00617F78" w:rsidP="00D435FB">
      <w:pPr>
        <w:pStyle w:val="Body"/>
      </w:pPr>
      <w:r>
        <w:rPr>
          <w:rFonts w:eastAsia="Arial" w:cs="Arial"/>
        </w:rPr>
        <w:t>A</w:t>
      </w:r>
      <w:r>
        <w:t xml:space="preserve"> certain amount of climate change is locked in due to already increased concentrations of greenhouse gases in the atmosphere</w:t>
      </w:r>
      <w:r w:rsidR="007C175F">
        <w:t>.</w:t>
      </w:r>
      <w:r>
        <w:t xml:space="preserve"> </w:t>
      </w:r>
      <w:r w:rsidR="007C175F">
        <w:t>H</w:t>
      </w:r>
      <w:r>
        <w:t>owever</w:t>
      </w:r>
      <w:r w:rsidR="007C175F">
        <w:t>,</w:t>
      </w:r>
      <w:r>
        <w:t xml:space="preserve"> how much the climate will change depends strongly on the greenhouse gas emissions pathway the world follows</w:t>
      </w:r>
      <w:r w:rsidR="00505F10">
        <w:t>.</w:t>
      </w:r>
      <w:r>
        <w:rPr>
          <w:rStyle w:val="EndnoteReference"/>
        </w:rPr>
        <w:endnoteReference w:id="103"/>
      </w:r>
    </w:p>
    <w:p w14:paraId="502B837D" w14:textId="369599C5" w:rsidR="00D435FB" w:rsidRDefault="00617F78" w:rsidP="00D435FB">
      <w:pPr>
        <w:pStyle w:val="Body"/>
      </w:pPr>
      <w:r>
        <w:t xml:space="preserve">As a result, there is a need to accelerate both emissions reduction and implementation of adaptation actions </w:t>
      </w:r>
      <w:r>
        <w:rPr>
          <w:rFonts w:eastAsia="Arial" w:cs="Arial"/>
        </w:rPr>
        <w:t>to mitigate the impacts of climate events on health</w:t>
      </w:r>
      <w:r w:rsidR="00043F5A">
        <w:rPr>
          <w:rFonts w:eastAsia="Arial" w:cs="Arial"/>
        </w:rPr>
        <w:t>,</w:t>
      </w:r>
      <w:r>
        <w:rPr>
          <w:rFonts w:eastAsia="Arial" w:cs="Arial"/>
        </w:rPr>
        <w:t xml:space="preserve"> and to ensure the health and wellbeing of Victorians into the future. </w:t>
      </w:r>
    </w:p>
    <w:tbl>
      <w:tblPr>
        <w:tblStyle w:val="TableGrid"/>
        <w:tblW w:w="0" w:type="auto"/>
        <w:tblLook w:val="04A0" w:firstRow="1" w:lastRow="0" w:firstColumn="1" w:lastColumn="0" w:noHBand="0" w:noVBand="1"/>
      </w:tblPr>
      <w:tblGrid>
        <w:gridCol w:w="9288"/>
      </w:tblGrid>
      <w:tr w:rsidR="00D435FB" w14:paraId="40F064B5" w14:textId="77777777">
        <w:tc>
          <w:tcPr>
            <w:tcW w:w="9288" w:type="dxa"/>
          </w:tcPr>
          <w:p w14:paraId="30603205" w14:textId="22DFF5D3" w:rsidR="00D435FB" w:rsidRPr="002A40EF" w:rsidRDefault="00D435FB" w:rsidP="002A40EF">
            <w:pPr>
              <w:pStyle w:val="Tabletext"/>
              <w:rPr>
                <w:b/>
                <w:bCs/>
              </w:rPr>
            </w:pPr>
            <w:r w:rsidRPr="002A40EF">
              <w:rPr>
                <w:b/>
                <w:bCs/>
              </w:rPr>
              <w:t>Updating Domain 5</w:t>
            </w:r>
            <w:r w:rsidR="00BD5B51">
              <w:rPr>
                <w:b/>
                <w:bCs/>
              </w:rPr>
              <w:t>.</w:t>
            </w:r>
            <w:r w:rsidRPr="002A40EF">
              <w:rPr>
                <w:b/>
                <w:bCs/>
              </w:rPr>
              <w:t xml:space="preserve"> Victoria is </w:t>
            </w:r>
            <w:proofErr w:type="gramStart"/>
            <w:r w:rsidRPr="002A40EF">
              <w:rPr>
                <w:b/>
                <w:bCs/>
              </w:rPr>
              <w:t>liveable</w:t>
            </w:r>
            <w:proofErr w:type="gramEnd"/>
            <w:r w:rsidRPr="002A40EF">
              <w:rPr>
                <w:b/>
                <w:bCs/>
              </w:rPr>
              <w:t xml:space="preserve"> </w:t>
            </w:r>
          </w:p>
          <w:p w14:paraId="756BBAF6" w14:textId="77777777" w:rsidR="00D435FB" w:rsidRDefault="00D435FB" w:rsidP="002A40EF">
            <w:pPr>
              <w:pStyle w:val="Tabletext"/>
            </w:pPr>
            <w:r>
              <w:t xml:space="preserve">Since the release of the outcomes framework, the Victorian Government has committed to more ambitious greenhouse gas emission targets. This includes achieving net zero emissions by 2045. When the outcomes framework is refreshed, the </w:t>
            </w:r>
            <w:r w:rsidRPr="00FC217F">
              <w:t>climat</w:t>
            </w:r>
            <w:r>
              <w:t xml:space="preserve">e </w:t>
            </w:r>
            <w:r w:rsidRPr="00FC217F">
              <w:t xml:space="preserve">change related </w:t>
            </w:r>
            <w:r>
              <w:t>targets will be updated to include more recent and relevant commitments, and the measures will be reviewed to ensure the impact of emerging climate mitigation and adaptation health issues is visible.</w:t>
            </w:r>
          </w:p>
        </w:tc>
      </w:tr>
    </w:tbl>
    <w:p w14:paraId="6985180D" w14:textId="167B02E4" w:rsidR="00617F78" w:rsidRDefault="00EF20B7" w:rsidP="005B0BE4">
      <w:pPr>
        <w:pStyle w:val="Heading3"/>
      </w:pPr>
      <w:r>
        <w:t xml:space="preserve">Increase environmental sustainability and </w:t>
      </w:r>
      <w:proofErr w:type="gramStart"/>
      <w:r>
        <w:t>quality</w:t>
      </w:r>
      <w:proofErr w:type="gramEnd"/>
    </w:p>
    <w:p w14:paraId="1F07A76D" w14:textId="5A12BBE7" w:rsidR="0035746B" w:rsidRPr="0035746B" w:rsidRDefault="0035746B" w:rsidP="0035746B">
      <w:pPr>
        <w:pStyle w:val="Heading4"/>
      </w:pPr>
      <w:r>
        <w:t>Energy</w:t>
      </w:r>
    </w:p>
    <w:p w14:paraId="195CC084" w14:textId="2424D9E1" w:rsidR="00617F78" w:rsidRPr="00542E8B" w:rsidRDefault="00617F78" w:rsidP="00D160CA">
      <w:pPr>
        <w:pStyle w:val="Body"/>
      </w:pPr>
      <w:r w:rsidRPr="00D37C9A">
        <w:t>The proportion of e</w:t>
      </w:r>
      <w:r>
        <w:t>lectricity</w:t>
      </w:r>
      <w:r w:rsidRPr="00D37C9A">
        <w:t xml:space="preserve"> generated by renewable sources in Victoria has</w:t>
      </w:r>
      <w:r>
        <w:t xml:space="preserve"> steadily</w:t>
      </w:r>
      <w:r w:rsidRPr="00D37C9A">
        <w:t xml:space="preserve"> increased</w:t>
      </w:r>
      <w:r>
        <w:t xml:space="preserve"> each year,</w:t>
      </w:r>
      <w:r w:rsidRPr="00D37C9A">
        <w:t xml:space="preserve"> from 12</w:t>
      </w:r>
      <w:r w:rsidR="00B5032A">
        <w:t>.8</w:t>
      </w:r>
      <w:r w:rsidRPr="00D37C9A">
        <w:t xml:space="preserve"> per cent in 201</w:t>
      </w:r>
      <w:r w:rsidR="00B5032A">
        <w:t>3</w:t>
      </w:r>
      <w:r w:rsidR="0035507B">
        <w:t>–</w:t>
      </w:r>
      <w:r w:rsidRPr="00D37C9A">
        <w:t>1</w:t>
      </w:r>
      <w:r w:rsidR="00682681">
        <w:t>4</w:t>
      </w:r>
      <w:r w:rsidRPr="00D37C9A">
        <w:t xml:space="preserve"> to </w:t>
      </w:r>
      <w:r w:rsidR="00B5032A">
        <w:t>35.1</w:t>
      </w:r>
      <w:r w:rsidRPr="00D37C9A">
        <w:t xml:space="preserve"> per cent in </w:t>
      </w:r>
      <w:r w:rsidR="00B5032A">
        <w:t>2021-22</w:t>
      </w:r>
      <w:r w:rsidR="00AA736F">
        <w:t>.</w:t>
      </w:r>
      <w:r>
        <w:rPr>
          <w:rStyle w:val="EndnoteReference"/>
        </w:rPr>
        <w:endnoteReference w:id="104"/>
      </w:r>
      <w:r w:rsidRPr="00D37C9A">
        <w:t xml:space="preserve"> This means we have met the </w:t>
      </w:r>
      <w:r w:rsidRPr="00C71639">
        <w:t>target of</w:t>
      </w:r>
      <w:r w:rsidRPr="00D37C9A">
        <w:t xml:space="preserve"> 25 per cent of Victoria’s electricity to be generated by Victorian</w:t>
      </w:r>
      <w:r w:rsidR="0035507B">
        <w:t>-</w:t>
      </w:r>
      <w:r w:rsidRPr="00D37C9A">
        <w:t xml:space="preserve">built renewable generation by 2020, and we are on track to meet the 40 per cent target by 2025. </w:t>
      </w:r>
    </w:p>
    <w:p w14:paraId="0C201DF8" w14:textId="19E3CD07" w:rsidR="00D435FB" w:rsidRDefault="00617F78" w:rsidP="005B0BE4">
      <w:pPr>
        <w:pStyle w:val="Body"/>
        <w:spacing w:line="276" w:lineRule="auto"/>
      </w:pPr>
      <w:r>
        <w:t>Between 2005 and 2011, Victoria’s greenhouse gas emissions per capita remained constant at around 23</w:t>
      </w:r>
      <w:r w:rsidR="006322C7">
        <w:t>–</w:t>
      </w:r>
      <w:r>
        <w:t>25 tonnes of carbon dioxide per person</w:t>
      </w:r>
      <w:r w:rsidR="00AA736F">
        <w:t>.</w:t>
      </w:r>
      <w:r>
        <w:rPr>
          <w:rStyle w:val="EndnoteReference"/>
        </w:rPr>
        <w:endnoteReference w:id="105"/>
      </w:r>
      <w:r w:rsidR="005A4319">
        <w:t xml:space="preserve"> </w:t>
      </w:r>
      <w:r w:rsidR="00CE7742">
        <w:t>T</w:t>
      </w:r>
      <w:r w:rsidR="005A4319">
        <w:t>here was a significant</w:t>
      </w:r>
      <w:r w:rsidR="00267B2E">
        <w:t xml:space="preserve"> decline in </w:t>
      </w:r>
      <w:r w:rsidR="003F730D">
        <w:t xml:space="preserve">greenhouse gas emissions per </w:t>
      </w:r>
      <w:r w:rsidR="00F721AC">
        <w:t>capita from</w:t>
      </w:r>
      <w:r w:rsidR="00267B2E">
        <w:t xml:space="preserve"> 2011 to 2020, with emissions </w:t>
      </w:r>
      <w:r w:rsidR="003F730D">
        <w:t>hal</w:t>
      </w:r>
      <w:r w:rsidR="00267B2E">
        <w:t>ving</w:t>
      </w:r>
      <w:r w:rsidR="003F730D">
        <w:t xml:space="preserve"> from </w:t>
      </w:r>
      <w:r w:rsidR="00D14717">
        <w:t>25</w:t>
      </w:r>
      <w:r w:rsidR="00F721AC">
        <w:t xml:space="preserve"> to 12.44</w:t>
      </w:r>
      <w:r w:rsidR="00235D53">
        <w:t xml:space="preserve"> </w:t>
      </w:r>
      <w:r w:rsidR="00D14717">
        <w:t>tonnes of carbon dioxide per person</w:t>
      </w:r>
      <w:r w:rsidR="00F721AC">
        <w:t xml:space="preserve">. </w:t>
      </w:r>
    </w:p>
    <w:tbl>
      <w:tblPr>
        <w:tblStyle w:val="TableGrid"/>
        <w:tblW w:w="0" w:type="auto"/>
        <w:tblLook w:val="04A0" w:firstRow="1" w:lastRow="0" w:firstColumn="1" w:lastColumn="0" w:noHBand="0" w:noVBand="1"/>
      </w:tblPr>
      <w:tblGrid>
        <w:gridCol w:w="9288"/>
      </w:tblGrid>
      <w:tr w:rsidR="00D435FB" w14:paraId="655B2BBE" w14:textId="77777777">
        <w:tc>
          <w:tcPr>
            <w:tcW w:w="9288" w:type="dxa"/>
          </w:tcPr>
          <w:p w14:paraId="41267B48" w14:textId="7F4FBFCD" w:rsidR="00D435FB" w:rsidRPr="00D92A61" w:rsidRDefault="00D435FB" w:rsidP="00D92A61">
            <w:pPr>
              <w:pStyle w:val="Tabletext"/>
              <w:spacing w:line="276" w:lineRule="auto"/>
              <w:rPr>
                <w:b/>
                <w:bCs/>
              </w:rPr>
            </w:pPr>
            <w:r w:rsidRPr="00D92A61">
              <w:rPr>
                <w:b/>
                <w:bCs/>
              </w:rPr>
              <w:lastRenderedPageBreak/>
              <w:t xml:space="preserve">Good air quality is essential for </w:t>
            </w:r>
            <w:proofErr w:type="gramStart"/>
            <w:r w:rsidRPr="00D92A61">
              <w:rPr>
                <w:b/>
                <w:bCs/>
              </w:rPr>
              <w:t>health</w:t>
            </w:r>
            <w:proofErr w:type="gramEnd"/>
          </w:p>
          <w:p w14:paraId="7C543EE9" w14:textId="54ECCD6A" w:rsidR="00D435FB" w:rsidRPr="00C5128E" w:rsidRDefault="00D435FB" w:rsidP="005B0BE4">
            <w:pPr>
              <w:pStyle w:val="Tabletext"/>
            </w:pPr>
            <w:r>
              <w:t>Victoria’s air quality is considered good</w:t>
            </w:r>
            <w:r w:rsidR="00E30CD7">
              <w:t>,</w:t>
            </w:r>
            <w:r>
              <w:t xml:space="preserve"> relative to international standards, and readings of air quality throughout Victoria are almost always rated as Good (Good = </w:t>
            </w:r>
            <w:r w:rsidR="00AD2584">
              <w:t>p</w:t>
            </w:r>
            <w:r w:rsidR="00426DF0">
              <w:t>articulate matter (P</w:t>
            </w:r>
            <w:r>
              <w:t>M</w:t>
            </w:r>
            <w:r w:rsidR="00BD3A85">
              <w:t>)</w:t>
            </w:r>
            <w:r>
              <w:t>10 less than 40</w:t>
            </w:r>
            <w:r w:rsidRPr="00455FE6">
              <w:t xml:space="preserve"> </w:t>
            </w:r>
            <w:proofErr w:type="spellStart"/>
            <w:r>
              <w:t>μg</w:t>
            </w:r>
            <w:proofErr w:type="spellEnd"/>
            <w:r>
              <w:t>/m</w:t>
            </w:r>
            <w:r w:rsidRPr="00455FE6">
              <w:rPr>
                <w:vertAlign w:val="superscript"/>
              </w:rPr>
              <w:t>3</w:t>
            </w:r>
            <w:r>
              <w:rPr>
                <w:vertAlign w:val="superscript"/>
              </w:rPr>
              <w:t xml:space="preserve"> </w:t>
            </w:r>
            <w:r>
              <w:t xml:space="preserve">and PM2.5 less than 12.5 over 24 hours). </w:t>
            </w:r>
          </w:p>
          <w:p w14:paraId="46FE74F8" w14:textId="293B2F2C" w:rsidR="00D435FB" w:rsidRPr="0034507D" w:rsidRDefault="00D435FB" w:rsidP="005B0BE4">
            <w:pPr>
              <w:pStyle w:val="Tabletext"/>
            </w:pPr>
            <w:r>
              <w:t xml:space="preserve">However, the links between air pollution, population exposure to air pollution and adverse health effects are now well established, and exposure to even small levels of air pollution can increase </w:t>
            </w:r>
            <w:r w:rsidR="0017471A">
              <w:t xml:space="preserve">the </w:t>
            </w:r>
            <w:r>
              <w:t>risk of respiratory and cardiovascular conditions, and premature death (E</w:t>
            </w:r>
            <w:r w:rsidR="00F122D2">
              <w:t>nvironment Protection Authority</w:t>
            </w:r>
            <w:r w:rsidR="00680F22">
              <w:t xml:space="preserve"> (EPA)</w:t>
            </w:r>
            <w:r w:rsidR="00F122D2">
              <w:t>,</w:t>
            </w:r>
            <w:r>
              <w:t xml:space="preserve"> 2018). </w:t>
            </w:r>
            <w:r w:rsidRPr="000122E6">
              <w:rPr>
                <w:rFonts w:cs="Arial"/>
                <w:szCs w:val="21"/>
              </w:rPr>
              <w:t xml:space="preserve">Fine particles cause the largest health burden and any reduction in air pollution is beneficial to </w:t>
            </w:r>
            <w:r w:rsidRPr="0034507D">
              <w:t>health (DELWP</w:t>
            </w:r>
            <w:r w:rsidR="00231411">
              <w:t>, 2019</w:t>
            </w:r>
            <w:r w:rsidRPr="0034507D">
              <w:t xml:space="preserve">). </w:t>
            </w:r>
          </w:p>
          <w:p w14:paraId="3970213A" w14:textId="45AAA9FC" w:rsidR="00932AC7" w:rsidRDefault="00D435FB" w:rsidP="00775774">
            <w:pPr>
              <w:pStyle w:val="Tabletext"/>
              <w:rPr>
                <w:rFonts w:cs="Arial"/>
                <w:szCs w:val="21"/>
              </w:rPr>
            </w:pPr>
            <w:r>
              <w:t>Air quality monitoring throughout Victoria recorded prolonged significant increases in the levels of PM2.5 and PM10 in Melbourne throughout January 2020</w:t>
            </w:r>
            <w:r w:rsidR="00932AC7">
              <w:t>,</w:t>
            </w:r>
            <w:r>
              <w:t xml:space="preserve"> due to the severe bushfire event (EPA, 2018).</w:t>
            </w:r>
            <w:r w:rsidRPr="00EA407E">
              <w:rPr>
                <w:rFonts w:cs="Arial"/>
                <w:szCs w:val="21"/>
              </w:rPr>
              <w:t xml:space="preserve"> </w:t>
            </w:r>
            <w:r w:rsidRPr="000122E6">
              <w:rPr>
                <w:rFonts w:cs="Arial"/>
                <w:szCs w:val="21"/>
              </w:rPr>
              <w:t>Predictions for a drier, hotter climate means Victoria is likely to experience harsher bushfire seasons, which</w:t>
            </w:r>
            <w:r w:rsidR="00932AC7">
              <w:rPr>
                <w:rFonts w:cs="Arial"/>
                <w:szCs w:val="21"/>
              </w:rPr>
              <w:t>,</w:t>
            </w:r>
            <w:r w:rsidRPr="000122E6">
              <w:rPr>
                <w:rFonts w:cs="Arial"/>
                <w:szCs w:val="21"/>
              </w:rPr>
              <w:t xml:space="preserve"> together with projected population increases, pose challenges to Victoria’s future air quality.</w:t>
            </w:r>
          </w:p>
          <w:p w14:paraId="2ADA1F8B" w14:textId="35229B07" w:rsidR="00D435FB" w:rsidRPr="00B53244" w:rsidRDefault="00D435FB" w:rsidP="00470861">
            <w:pPr>
              <w:pStyle w:val="Tabletext"/>
              <w:rPr>
                <w:rFonts w:cs="Arial"/>
                <w:szCs w:val="21"/>
              </w:rPr>
            </w:pPr>
            <w:r w:rsidRPr="000122E6">
              <w:rPr>
                <w:rFonts w:cs="Arial"/>
                <w:szCs w:val="21"/>
              </w:rPr>
              <w:t>Climate change may also indirectly increase natural sources of PM by increasing fire weather</w:t>
            </w:r>
            <w:r w:rsidR="00AD2584">
              <w:rPr>
                <w:rFonts w:cs="Arial"/>
                <w:szCs w:val="21"/>
              </w:rPr>
              <w:t xml:space="preserve"> and</w:t>
            </w:r>
            <w:r w:rsidRPr="000122E6">
              <w:rPr>
                <w:rFonts w:cs="Arial"/>
                <w:szCs w:val="21"/>
              </w:rPr>
              <w:t xml:space="preserve"> dust storms</w:t>
            </w:r>
            <w:r w:rsidR="00583138">
              <w:rPr>
                <w:rFonts w:cs="Arial"/>
                <w:szCs w:val="21"/>
              </w:rPr>
              <w:t>,</w:t>
            </w:r>
            <w:r w:rsidRPr="000122E6">
              <w:rPr>
                <w:rFonts w:cs="Arial"/>
                <w:szCs w:val="21"/>
              </w:rPr>
              <w:t xml:space="preserve"> and affecting the production and dispersion of aeroallergens</w:t>
            </w:r>
            <w:r w:rsidR="00583138">
              <w:rPr>
                <w:rFonts w:cs="Arial"/>
                <w:szCs w:val="21"/>
              </w:rPr>
              <w:t>,</w:t>
            </w:r>
            <w:r w:rsidRPr="000122E6">
              <w:rPr>
                <w:rFonts w:cs="Arial"/>
                <w:szCs w:val="21"/>
              </w:rPr>
              <w:t xml:space="preserve"> such as pollens and moulds (DELWP</w:t>
            </w:r>
            <w:r w:rsidR="00231411">
              <w:rPr>
                <w:rFonts w:cs="Arial"/>
                <w:szCs w:val="21"/>
              </w:rPr>
              <w:t>, 2019</w:t>
            </w:r>
            <w:r w:rsidRPr="000122E6">
              <w:rPr>
                <w:rFonts w:cs="Arial"/>
                <w:szCs w:val="21"/>
              </w:rPr>
              <w:t>).</w:t>
            </w:r>
          </w:p>
          <w:p w14:paraId="0CF8DBFC" w14:textId="4E191313" w:rsidR="00D435FB" w:rsidRDefault="00D435FB" w:rsidP="00470861">
            <w:pPr>
              <w:pStyle w:val="Tabletext"/>
              <w:rPr>
                <w:rFonts w:cs="Arial"/>
                <w:szCs w:val="21"/>
              </w:rPr>
            </w:pPr>
            <w:r>
              <w:t>Transition to cleaner energy sources and encouraging active transport have the potential to mitigate the effects of climate change</w:t>
            </w:r>
            <w:r w:rsidR="00396881">
              <w:t>,</w:t>
            </w:r>
            <w:r>
              <w:t xml:space="preserve"> while improving our health and wellbeing.</w:t>
            </w:r>
            <w:r w:rsidR="00607817">
              <w:t xml:space="preserve"> The</w:t>
            </w:r>
            <w:r>
              <w:t xml:space="preserve"> </w:t>
            </w:r>
            <w:hyperlink r:id="rId77" w:history="1">
              <w:r w:rsidRPr="000122E6">
                <w:rPr>
                  <w:rStyle w:val="Hyperlink"/>
                  <w:rFonts w:cs="Arial"/>
                  <w:szCs w:val="21"/>
                </w:rPr>
                <w:t>Victoria</w:t>
              </w:r>
              <w:r w:rsidR="00607817">
                <w:rPr>
                  <w:rStyle w:val="Hyperlink"/>
                  <w:rFonts w:cs="Arial"/>
                  <w:szCs w:val="21"/>
                </w:rPr>
                <w:t>n</w:t>
              </w:r>
              <w:r w:rsidRPr="000122E6">
                <w:rPr>
                  <w:rStyle w:val="Hyperlink"/>
                  <w:rFonts w:cs="Arial"/>
                  <w:szCs w:val="21"/>
                </w:rPr>
                <w:t xml:space="preserve"> Air Quality Strategy</w:t>
              </w:r>
            </w:hyperlink>
            <w:r w:rsidRPr="000122E6">
              <w:rPr>
                <w:rFonts w:cs="Arial"/>
                <w:szCs w:val="21"/>
              </w:rPr>
              <w:t xml:space="preserve"> </w:t>
            </w:r>
            <w:r w:rsidR="00607817">
              <w:rPr>
                <w:rFonts w:cs="Arial"/>
                <w:szCs w:val="21"/>
              </w:rPr>
              <w:t>&lt;</w:t>
            </w:r>
            <w:r w:rsidR="00607817" w:rsidRPr="00607817">
              <w:rPr>
                <w:rFonts w:cs="Arial"/>
                <w:szCs w:val="21"/>
              </w:rPr>
              <w:t>https://www.environment.vic.gov.au/sustainability/clean-air-for-all-victorians</w:t>
            </w:r>
            <w:r w:rsidR="00607817">
              <w:rPr>
                <w:rFonts w:cs="Arial"/>
                <w:szCs w:val="21"/>
              </w:rPr>
              <w:t xml:space="preserve">&gt;, </w:t>
            </w:r>
            <w:r w:rsidRPr="000122E6">
              <w:rPr>
                <w:rFonts w:cs="Arial"/>
                <w:szCs w:val="21"/>
              </w:rPr>
              <w:t>sets out how we will further reduce air pollution and tackle major pollution sources</w:t>
            </w:r>
            <w:r>
              <w:rPr>
                <w:rFonts w:cs="Arial"/>
                <w:szCs w:val="21"/>
              </w:rPr>
              <w:t>.</w:t>
            </w:r>
          </w:p>
          <w:p w14:paraId="4221335A" w14:textId="2E7304D6" w:rsidR="00E30CD7" w:rsidRDefault="00D435FB">
            <w:pPr>
              <w:pStyle w:val="FootnoteText"/>
            </w:pPr>
            <w:r w:rsidRPr="00C70E31">
              <w:t>Source</w:t>
            </w:r>
            <w:r w:rsidR="00E30CD7">
              <w:t>s</w:t>
            </w:r>
            <w:r w:rsidRPr="00C70E31">
              <w:t>:</w:t>
            </w:r>
          </w:p>
          <w:p w14:paraId="421C06C6" w14:textId="3364EE92" w:rsidR="00D435FB" w:rsidRPr="00C70E31" w:rsidRDefault="00D435FB">
            <w:pPr>
              <w:pStyle w:val="FootnoteText"/>
            </w:pPr>
            <w:r w:rsidRPr="00C70E31">
              <w:t xml:space="preserve">Environmental Protection Authority Victoria, 2022, Air quality, Victorian Government, </w:t>
            </w:r>
            <w:hyperlink r:id="rId78" w:history="1">
              <w:r w:rsidRPr="00C70E31">
                <w:rPr>
                  <w:rStyle w:val="Hyperlink"/>
                </w:rPr>
                <w:t>https://www.epa.vic.gov.au/for-community/environmental-information/air-quality</w:t>
              </w:r>
            </w:hyperlink>
            <w:r w:rsidRPr="00C70E31">
              <w:t xml:space="preserve">, accessed 17 April 2023. </w:t>
            </w:r>
          </w:p>
          <w:p w14:paraId="483CA48F" w14:textId="3CB11846" w:rsidR="00D435FB" w:rsidRPr="00C70E31" w:rsidRDefault="00D435FB">
            <w:pPr>
              <w:pStyle w:val="FootnoteText"/>
            </w:pPr>
            <w:r w:rsidRPr="00C70E31">
              <w:t>Department of Environment, Land, Water and Planning (DELWP)</w:t>
            </w:r>
            <w:r w:rsidR="008D02BB">
              <w:t xml:space="preserve"> 2019</w:t>
            </w:r>
            <w:r w:rsidRPr="00C70E31">
              <w:t xml:space="preserve">, </w:t>
            </w:r>
            <w:hyperlink r:id="rId79" w:history="1">
              <w:r w:rsidRPr="000152A2">
                <w:rPr>
                  <w:rStyle w:val="Hyperlink"/>
                </w:rPr>
                <w:t>Estimating the costs of air pollution in Victoria</w:t>
              </w:r>
            </w:hyperlink>
            <w:r w:rsidRPr="000152A2">
              <w:t>,</w:t>
            </w:r>
            <w:r w:rsidRPr="00C70E31">
              <w:t xml:space="preserve"> </w:t>
            </w:r>
            <w:r w:rsidR="00970AC1">
              <w:t>&lt;</w:t>
            </w:r>
            <w:r w:rsidR="008D02BB" w:rsidRPr="008D02BB">
              <w:t>https://www.climatechange.vic.gov.au/climate-action-targets</w:t>
            </w:r>
            <w:r w:rsidR="00970AC1">
              <w:t>&gt;, accessed 13 November 2023</w:t>
            </w:r>
            <w:r w:rsidRPr="00C70E31">
              <w:t xml:space="preserve">. </w:t>
            </w:r>
          </w:p>
          <w:p w14:paraId="5981D87D" w14:textId="69928202" w:rsidR="00D435FB" w:rsidRPr="00BD7732" w:rsidRDefault="006B0097">
            <w:pPr>
              <w:pStyle w:val="FootnoteText"/>
            </w:pPr>
            <w:r>
              <w:t>EPA</w:t>
            </w:r>
            <w:r w:rsidR="00D435FB" w:rsidRPr="00C70E31">
              <w:t xml:space="preserve"> Victoria </w:t>
            </w:r>
            <w:r w:rsidR="007F01E0">
              <w:t>(</w:t>
            </w:r>
            <w:r w:rsidR="00D435FB" w:rsidRPr="00C70E31">
              <w:t>2018</w:t>
            </w:r>
            <w:r w:rsidR="007F01E0">
              <w:t>)</w:t>
            </w:r>
            <w:r w:rsidR="00D435FB" w:rsidRPr="00C70E31">
              <w:t xml:space="preserve"> </w:t>
            </w:r>
            <w:hyperlink r:id="rId80" w:history="1">
              <w:r w:rsidR="00C37718">
                <w:rPr>
                  <w:rStyle w:val="Hyperlink"/>
                </w:rPr>
                <w:t>1709: A</w:t>
              </w:r>
              <w:r w:rsidR="00D435FB" w:rsidRPr="00C70E31">
                <w:rPr>
                  <w:rStyle w:val="Hyperlink"/>
                </w:rPr>
                <w:t>ir pollution in Victoria</w:t>
              </w:r>
              <w:r w:rsidR="00C37718">
                <w:rPr>
                  <w:rStyle w:val="Hyperlink"/>
                </w:rPr>
                <w:t xml:space="preserve"> –</w:t>
              </w:r>
              <w:r w:rsidR="00D435FB" w:rsidRPr="00C70E31">
                <w:rPr>
                  <w:rStyle w:val="Hyperlink"/>
                </w:rPr>
                <w:t xml:space="preserve"> a summary of the state of knowledge</w:t>
              </w:r>
            </w:hyperlink>
            <w:r w:rsidR="00D435FB" w:rsidRPr="00C70E31">
              <w:t xml:space="preserve">, </w:t>
            </w:r>
            <w:r w:rsidR="008D2CF6">
              <w:t>&lt;</w:t>
            </w:r>
            <w:r w:rsidR="008D2CF6" w:rsidRPr="008D2CF6">
              <w:t>https://www.epa.vic.gov.au/about-epa/publications/1709</w:t>
            </w:r>
            <w:r w:rsidR="008D2CF6">
              <w:t>&gt;, accessed 13 November 2023</w:t>
            </w:r>
            <w:r w:rsidR="00D435FB" w:rsidRPr="00C70E31">
              <w:t>.</w:t>
            </w:r>
          </w:p>
        </w:tc>
      </w:tr>
    </w:tbl>
    <w:p w14:paraId="571CEF95" w14:textId="66F210A9" w:rsidR="00D435FB" w:rsidRDefault="00D435FB" w:rsidP="002968E7">
      <w:pPr>
        <w:pStyle w:val="Body"/>
        <w:rPr>
          <w:sz w:val="18"/>
          <w:szCs w:val="16"/>
        </w:rPr>
      </w:pPr>
    </w:p>
    <w:p w14:paraId="6F761FA0" w14:textId="77777777" w:rsidR="00D435FB" w:rsidRDefault="00D435FB">
      <w:pPr>
        <w:spacing w:after="0" w:line="240" w:lineRule="auto"/>
        <w:rPr>
          <w:rFonts w:eastAsia="Times"/>
          <w:sz w:val="18"/>
          <w:szCs w:val="16"/>
        </w:rPr>
      </w:pPr>
      <w:r>
        <w:rPr>
          <w:sz w:val="18"/>
          <w:szCs w:val="16"/>
        </w:rPr>
        <w:br w:type="page"/>
      </w:r>
    </w:p>
    <w:p w14:paraId="73003950" w14:textId="63D44902" w:rsidR="00D435FB" w:rsidRPr="001B7177" w:rsidRDefault="00A16BE2" w:rsidP="000152A2">
      <w:pPr>
        <w:pStyle w:val="Heading1"/>
      </w:pPr>
      <w:bookmarkStart w:id="73" w:name="_Toc151976158"/>
      <w:r>
        <w:lastRenderedPageBreak/>
        <w:t>Appendix</w:t>
      </w:r>
      <w:r w:rsidR="00210727">
        <w:t xml:space="preserve"> 1</w:t>
      </w:r>
      <w:r w:rsidR="00EB7897">
        <w:t>:</w:t>
      </w:r>
      <w:r w:rsidR="00210727">
        <w:t xml:space="preserve"> </w:t>
      </w:r>
      <w:r w:rsidR="001F4D76">
        <w:t>Glossary</w:t>
      </w:r>
      <w:r w:rsidR="00086BAF">
        <w:t xml:space="preserve"> of terms and acronyms</w:t>
      </w:r>
      <w:bookmarkEnd w:id="73"/>
    </w:p>
    <w:tbl>
      <w:tblPr>
        <w:tblStyle w:val="GridTable4-Accent2"/>
        <w:tblW w:w="0" w:type="auto"/>
        <w:tblLook w:val="04A0" w:firstRow="1" w:lastRow="0" w:firstColumn="1" w:lastColumn="0" w:noHBand="0" w:noVBand="1"/>
      </w:tblPr>
      <w:tblGrid>
        <w:gridCol w:w="2405"/>
        <w:gridCol w:w="6883"/>
      </w:tblGrid>
      <w:tr w:rsidR="00D435FB" w:rsidRPr="00A8768A" w14:paraId="32665BB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6AA39F61" w14:textId="77777777" w:rsidR="00D435FB" w:rsidRPr="00A8768A" w:rsidRDefault="00D435FB">
            <w:pPr>
              <w:pStyle w:val="Tablecolhead"/>
              <w:rPr>
                <w:b/>
                <w:bCs w:val="0"/>
                <w:color w:val="auto"/>
              </w:rPr>
            </w:pPr>
            <w:r w:rsidRPr="00A8768A">
              <w:rPr>
                <w:b/>
                <w:bCs w:val="0"/>
                <w:color w:val="auto"/>
              </w:rPr>
              <w:t>Term</w:t>
            </w:r>
          </w:p>
        </w:tc>
        <w:tc>
          <w:tcPr>
            <w:tcW w:w="6883" w:type="dxa"/>
          </w:tcPr>
          <w:p w14:paraId="22264D0B" w14:textId="77777777" w:rsidR="00D435FB" w:rsidRPr="00A8768A" w:rsidRDefault="00D435FB">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A8768A">
              <w:rPr>
                <w:b/>
                <w:bCs w:val="0"/>
                <w:color w:val="auto"/>
              </w:rPr>
              <w:t>Definition</w:t>
            </w:r>
          </w:p>
        </w:tc>
      </w:tr>
      <w:tr w:rsidR="00862982" w14:paraId="15CE7C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21A760" w14:textId="1F64C42B" w:rsidR="00862982" w:rsidRDefault="00E17D3F">
            <w:pPr>
              <w:pStyle w:val="Body"/>
            </w:pPr>
            <w:r>
              <w:t>AIHW</w:t>
            </w:r>
          </w:p>
        </w:tc>
        <w:tc>
          <w:tcPr>
            <w:tcW w:w="6883" w:type="dxa"/>
          </w:tcPr>
          <w:p w14:paraId="381EEF48" w14:textId="377AEBED" w:rsidR="00862982" w:rsidRDefault="00E17D3F">
            <w:pPr>
              <w:pStyle w:val="Body"/>
              <w:cnfStyle w:val="000000100000" w:firstRow="0" w:lastRow="0" w:firstColumn="0" w:lastColumn="0" w:oddVBand="0" w:evenVBand="0" w:oddHBand="1" w:evenHBand="0" w:firstRowFirstColumn="0" w:firstRowLastColumn="0" w:lastRowFirstColumn="0" w:lastRowLastColumn="0"/>
            </w:pPr>
            <w:r w:rsidRPr="00E17D3F">
              <w:t>Australian Institute of Health and Welfare</w:t>
            </w:r>
          </w:p>
        </w:tc>
      </w:tr>
      <w:tr w:rsidR="00E72C3C" w14:paraId="7E79B0E6" w14:textId="77777777">
        <w:tc>
          <w:tcPr>
            <w:cnfStyle w:val="001000000000" w:firstRow="0" w:lastRow="0" w:firstColumn="1" w:lastColumn="0" w:oddVBand="0" w:evenVBand="0" w:oddHBand="0" w:evenHBand="0" w:firstRowFirstColumn="0" w:firstRowLastColumn="0" w:lastRowFirstColumn="0" w:lastRowLastColumn="0"/>
            <w:tcW w:w="2405" w:type="dxa"/>
          </w:tcPr>
          <w:p w14:paraId="015DD207" w14:textId="77777777" w:rsidR="00E72C3C" w:rsidRDefault="00E72C3C">
            <w:pPr>
              <w:pStyle w:val="Body"/>
              <w:tabs>
                <w:tab w:val="left" w:pos="1650"/>
              </w:tabs>
            </w:pPr>
            <w:r>
              <w:t>Behavioural risk factors</w:t>
            </w:r>
          </w:p>
        </w:tc>
        <w:tc>
          <w:tcPr>
            <w:tcW w:w="6883" w:type="dxa"/>
          </w:tcPr>
          <w:p w14:paraId="074F0B85" w14:textId="77777777" w:rsidR="00E72C3C" w:rsidRDefault="00E72C3C">
            <w:pPr>
              <w:pStyle w:val="Body"/>
              <w:cnfStyle w:val="000000000000" w:firstRow="0" w:lastRow="0" w:firstColumn="0" w:lastColumn="0" w:oddVBand="0" w:evenVBand="0" w:oddHBand="0" w:evenHBand="0" w:firstRowFirstColumn="0" w:firstRowLastColumn="0" w:lastRowFirstColumn="0" w:lastRowLastColumn="0"/>
            </w:pPr>
            <w:r>
              <w:t>Also known as modifiable risk factors, these are behaviours that lead to an increased likelihood of a person developing a disease or health condition</w:t>
            </w:r>
          </w:p>
        </w:tc>
      </w:tr>
      <w:tr w:rsidR="00862982" w14:paraId="6EE1EA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455507" w14:textId="662312E2" w:rsidR="00862982" w:rsidRDefault="00E17D3F">
            <w:pPr>
              <w:pStyle w:val="Body"/>
            </w:pPr>
            <w:r>
              <w:t>BMI</w:t>
            </w:r>
          </w:p>
        </w:tc>
        <w:tc>
          <w:tcPr>
            <w:tcW w:w="6883" w:type="dxa"/>
          </w:tcPr>
          <w:p w14:paraId="13DBB600" w14:textId="00B93D3D" w:rsidR="00862982" w:rsidRDefault="00E17D3F">
            <w:pPr>
              <w:pStyle w:val="Body"/>
              <w:cnfStyle w:val="000000100000" w:firstRow="0" w:lastRow="0" w:firstColumn="0" w:lastColumn="0" w:oddVBand="0" w:evenVBand="0" w:oddHBand="1" w:evenHBand="0" w:firstRowFirstColumn="0" w:firstRowLastColumn="0" w:lastRowFirstColumn="0" w:lastRowLastColumn="0"/>
            </w:pPr>
            <w:r w:rsidRPr="00E17D3F">
              <w:t>Body mass index</w:t>
            </w:r>
          </w:p>
        </w:tc>
      </w:tr>
      <w:tr w:rsidR="0061788F" w14:paraId="2B326091" w14:textId="77777777">
        <w:tc>
          <w:tcPr>
            <w:cnfStyle w:val="001000000000" w:firstRow="0" w:lastRow="0" w:firstColumn="1" w:lastColumn="0" w:oddVBand="0" w:evenVBand="0" w:oddHBand="0" w:evenHBand="0" w:firstRowFirstColumn="0" w:firstRowLastColumn="0" w:lastRowFirstColumn="0" w:lastRowLastColumn="0"/>
            <w:tcW w:w="2405" w:type="dxa"/>
          </w:tcPr>
          <w:p w14:paraId="75348244" w14:textId="2D51B37B" w:rsidR="0061788F" w:rsidRDefault="0061788F">
            <w:pPr>
              <w:pStyle w:val="Body"/>
            </w:pPr>
            <w:r>
              <w:t>Commercial Determinants of Health</w:t>
            </w:r>
          </w:p>
        </w:tc>
        <w:tc>
          <w:tcPr>
            <w:tcW w:w="6883" w:type="dxa"/>
          </w:tcPr>
          <w:p w14:paraId="7A7665F5" w14:textId="4C4DD150" w:rsidR="0061788F" w:rsidRPr="00E17D3F" w:rsidRDefault="0051342A" w:rsidP="0051342A">
            <w:pPr>
              <w:pStyle w:val="Body"/>
              <w:cnfStyle w:val="000000000000" w:firstRow="0" w:lastRow="0" w:firstColumn="0" w:lastColumn="0" w:oddVBand="0" w:evenVBand="0" w:oddHBand="0" w:evenHBand="0" w:firstRowFirstColumn="0" w:firstRowLastColumn="0" w:lastRowFirstColumn="0" w:lastRowLastColumn="0"/>
            </w:pPr>
            <w:r>
              <w:t>Commercial determinants of health are a key social determinant, and refer to the conditions, actions and omissions by commercial actors that affect health. Commercial determinants arise in the context of the provision of goods or services for payment, and include commercial activities, as well as</w:t>
            </w:r>
            <w:r w:rsidR="002741D7">
              <w:t xml:space="preserve"> the environment in which the commerce takes place. They can have beneficial or detrimental impacts on health.</w:t>
            </w:r>
          </w:p>
        </w:tc>
      </w:tr>
      <w:tr w:rsidR="00E72C3C" w14:paraId="02D359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B8665B" w14:textId="77777777" w:rsidR="00E72C3C" w:rsidRDefault="00E72C3C">
            <w:pPr>
              <w:pStyle w:val="Body"/>
              <w:tabs>
                <w:tab w:val="left" w:pos="1650"/>
              </w:tabs>
            </w:pPr>
            <w:r>
              <w:t>Disease burden</w:t>
            </w:r>
          </w:p>
        </w:tc>
        <w:tc>
          <w:tcPr>
            <w:tcW w:w="6883" w:type="dxa"/>
          </w:tcPr>
          <w:p w14:paraId="423B9517" w14:textId="77777777" w:rsidR="00E72C3C" w:rsidRDefault="00E72C3C">
            <w:pPr>
              <w:pStyle w:val="Body"/>
              <w:cnfStyle w:val="000000100000" w:firstRow="0" w:lastRow="0" w:firstColumn="0" w:lastColumn="0" w:oddVBand="0" w:evenVBand="0" w:oddHBand="1" w:evenHBand="0" w:firstRowFirstColumn="0" w:firstRowLastColumn="0" w:lastRowFirstColumn="0" w:lastRowLastColumn="0"/>
            </w:pPr>
            <w:r>
              <w:t>The impact of living with illness and injury, and dying prematurely</w:t>
            </w:r>
          </w:p>
        </w:tc>
      </w:tr>
      <w:tr w:rsidR="00E72C3C" w14:paraId="6218664D" w14:textId="77777777">
        <w:tc>
          <w:tcPr>
            <w:cnfStyle w:val="001000000000" w:firstRow="0" w:lastRow="0" w:firstColumn="1" w:lastColumn="0" w:oddVBand="0" w:evenVBand="0" w:oddHBand="0" w:evenHBand="0" w:firstRowFirstColumn="0" w:firstRowLastColumn="0" w:lastRowFirstColumn="0" w:lastRowLastColumn="0"/>
            <w:tcW w:w="2405" w:type="dxa"/>
          </w:tcPr>
          <w:p w14:paraId="5521C471" w14:textId="77777777" w:rsidR="00E72C3C" w:rsidRDefault="00E72C3C">
            <w:pPr>
              <w:pStyle w:val="Body"/>
            </w:pPr>
            <w:r>
              <w:t>Equity</w:t>
            </w:r>
          </w:p>
        </w:tc>
        <w:tc>
          <w:tcPr>
            <w:tcW w:w="6883" w:type="dxa"/>
          </w:tcPr>
          <w:p w14:paraId="0B79FE2B" w14:textId="77777777" w:rsidR="00E72C3C" w:rsidRDefault="00E72C3C">
            <w:pPr>
              <w:pStyle w:val="Body"/>
              <w:cnfStyle w:val="000000000000" w:firstRow="0" w:lastRow="0" w:firstColumn="0" w:lastColumn="0" w:oddVBand="0" w:evenVBand="0" w:oddHBand="0" w:evenHBand="0" w:firstRowFirstColumn="0" w:firstRowLastColumn="0" w:lastRowFirstColumn="0" w:lastRowLastColumn="0"/>
            </w:pPr>
            <w:r>
              <w:t>T</w:t>
            </w:r>
            <w:r w:rsidRPr="00B0603A">
              <w:t xml:space="preserve">he absence of unfair, </w:t>
            </w:r>
            <w:proofErr w:type="gramStart"/>
            <w:r w:rsidRPr="00B0603A">
              <w:t>avoidable</w:t>
            </w:r>
            <w:proofErr w:type="gramEnd"/>
            <w:r w:rsidRPr="00B0603A">
              <w:t xml:space="preserve"> or remediable differences among groups of people, whether those groups are defined socially, economically, demographically or geographically</w:t>
            </w:r>
            <w:r>
              <w:t>,</w:t>
            </w:r>
            <w:r w:rsidRPr="00B0603A">
              <w:t xml:space="preserve"> or by other dimensions of inequality (</w:t>
            </w:r>
            <w:r>
              <w:t>such as</w:t>
            </w:r>
            <w:r w:rsidRPr="00B0603A">
              <w:t xml:space="preserve"> sex, gender, ethnicity, disability or sexual orientation)</w:t>
            </w:r>
            <w:r>
              <w:t xml:space="preserve"> (World Health Organization)</w:t>
            </w:r>
          </w:p>
        </w:tc>
      </w:tr>
      <w:tr w:rsidR="00D96EB9" w14:paraId="430099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824CB7" w14:textId="77777777" w:rsidR="00D96EB9" w:rsidRDefault="00D96EB9">
            <w:pPr>
              <w:pStyle w:val="Body"/>
              <w:tabs>
                <w:tab w:val="left" w:pos="1650"/>
              </w:tabs>
            </w:pPr>
            <w:r>
              <w:t>Fatal burden of disease (years of life lost)</w:t>
            </w:r>
          </w:p>
        </w:tc>
        <w:tc>
          <w:tcPr>
            <w:tcW w:w="6883" w:type="dxa"/>
          </w:tcPr>
          <w:p w14:paraId="16C5F2CE" w14:textId="77777777" w:rsidR="00D96EB9" w:rsidRDefault="00D96EB9">
            <w:pPr>
              <w:pStyle w:val="Body"/>
              <w:cnfStyle w:val="000000100000" w:firstRow="0" w:lastRow="0" w:firstColumn="0" w:lastColumn="0" w:oddVBand="0" w:evenVBand="0" w:oddHBand="1" w:evenHBand="0" w:firstRowFirstColumn="0" w:firstRowLastColumn="0" w:lastRowFirstColumn="0" w:lastRowLastColumn="0"/>
            </w:pPr>
            <w:r>
              <w:t>Measures the y</w:t>
            </w:r>
            <w:r w:rsidRPr="002D2FD3">
              <w:t>ears lost between the age at which a person dies and the number of years they could have potentially gone on to live, based on the current best life expectancy across the world</w:t>
            </w:r>
          </w:p>
        </w:tc>
      </w:tr>
      <w:tr w:rsidR="00D96EB9" w14:paraId="3981634E" w14:textId="77777777">
        <w:tc>
          <w:tcPr>
            <w:cnfStyle w:val="001000000000" w:firstRow="0" w:lastRow="0" w:firstColumn="1" w:lastColumn="0" w:oddVBand="0" w:evenVBand="0" w:oddHBand="0" w:evenHBand="0" w:firstRowFirstColumn="0" w:firstRowLastColumn="0" w:lastRowFirstColumn="0" w:lastRowLastColumn="0"/>
            <w:tcW w:w="2405" w:type="dxa"/>
          </w:tcPr>
          <w:p w14:paraId="4F34E85B" w14:textId="77777777" w:rsidR="00D96EB9" w:rsidRDefault="00D96EB9">
            <w:pPr>
              <w:pStyle w:val="Body"/>
            </w:pPr>
            <w:r>
              <w:t>HIV</w:t>
            </w:r>
          </w:p>
        </w:tc>
        <w:tc>
          <w:tcPr>
            <w:tcW w:w="6883" w:type="dxa"/>
          </w:tcPr>
          <w:p w14:paraId="3BC2C160" w14:textId="77777777" w:rsidR="00D96EB9" w:rsidRDefault="00D96EB9">
            <w:pPr>
              <w:pStyle w:val="Body"/>
              <w:cnfStyle w:val="000000000000" w:firstRow="0" w:lastRow="0" w:firstColumn="0" w:lastColumn="0" w:oddVBand="0" w:evenVBand="0" w:oddHBand="0" w:evenHBand="0" w:firstRowFirstColumn="0" w:firstRowLastColumn="0" w:lastRowFirstColumn="0" w:lastRowLastColumn="0"/>
            </w:pPr>
            <w:r>
              <w:t>Human immunodeficiency virus</w:t>
            </w:r>
          </w:p>
        </w:tc>
      </w:tr>
      <w:tr w:rsidR="00696B68" w14:paraId="605304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2315EA" w14:textId="6EE268B3" w:rsidR="00696B68" w:rsidRDefault="00C50CEB">
            <w:pPr>
              <w:pStyle w:val="Body"/>
            </w:pPr>
            <w:r>
              <w:t>LGA</w:t>
            </w:r>
          </w:p>
        </w:tc>
        <w:tc>
          <w:tcPr>
            <w:tcW w:w="6883" w:type="dxa"/>
          </w:tcPr>
          <w:p w14:paraId="080C70E0" w14:textId="2F01A68D" w:rsidR="00696B68" w:rsidRPr="00E17D3F" w:rsidRDefault="00C50CEB">
            <w:pPr>
              <w:pStyle w:val="Body"/>
              <w:cnfStyle w:val="000000100000" w:firstRow="0" w:lastRow="0" w:firstColumn="0" w:lastColumn="0" w:oddVBand="0" w:evenVBand="0" w:oddHBand="1" w:evenHBand="0" w:firstRowFirstColumn="0" w:firstRowLastColumn="0" w:lastRowFirstColumn="0" w:lastRowLastColumn="0"/>
            </w:pPr>
            <w:r w:rsidRPr="00C50CEB">
              <w:t>Local government area</w:t>
            </w:r>
          </w:p>
        </w:tc>
      </w:tr>
      <w:tr w:rsidR="00C37917" w14:paraId="18929402" w14:textId="77777777">
        <w:tc>
          <w:tcPr>
            <w:cnfStyle w:val="001000000000" w:firstRow="0" w:lastRow="0" w:firstColumn="1" w:lastColumn="0" w:oddVBand="0" w:evenVBand="0" w:oddHBand="0" w:evenHBand="0" w:firstRowFirstColumn="0" w:firstRowLastColumn="0" w:lastRowFirstColumn="0" w:lastRowLastColumn="0"/>
            <w:tcW w:w="2405" w:type="dxa"/>
          </w:tcPr>
          <w:p w14:paraId="05746E65" w14:textId="77777777" w:rsidR="00C37917" w:rsidRDefault="00C37917">
            <w:pPr>
              <w:pStyle w:val="Body"/>
            </w:pPr>
            <w:r>
              <w:t>LGBTIQ+</w:t>
            </w:r>
          </w:p>
        </w:tc>
        <w:tc>
          <w:tcPr>
            <w:tcW w:w="6883" w:type="dxa"/>
          </w:tcPr>
          <w:p w14:paraId="5EBBD6A8" w14:textId="77777777" w:rsidR="00C37917" w:rsidRDefault="00C37917">
            <w:pPr>
              <w:pStyle w:val="Body"/>
              <w:cnfStyle w:val="000000000000" w:firstRow="0" w:lastRow="0" w:firstColumn="0" w:lastColumn="0" w:oddVBand="0" w:evenVBand="0" w:oddHBand="0" w:evenHBand="0" w:firstRowFirstColumn="0" w:firstRowLastColumn="0" w:lastRowFirstColumn="0" w:lastRowLastColumn="0"/>
            </w:pPr>
            <w:r>
              <w:t xml:space="preserve">People who identify as lesbian, gay, bisexual, transgender, intersex, queer, are questioning or asexual </w:t>
            </w:r>
          </w:p>
        </w:tc>
      </w:tr>
      <w:tr w:rsidR="00D435FB" w14:paraId="7E00E8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D84DB9" w14:textId="77777777" w:rsidR="00D435FB" w:rsidRDefault="00D435FB">
            <w:pPr>
              <w:pStyle w:val="Body"/>
            </w:pPr>
            <w:r>
              <w:t>Life expectancy</w:t>
            </w:r>
          </w:p>
        </w:tc>
        <w:tc>
          <w:tcPr>
            <w:tcW w:w="6883" w:type="dxa"/>
          </w:tcPr>
          <w:p w14:paraId="542A836E" w14:textId="7E025EA1" w:rsidR="00D435FB" w:rsidRDefault="00D435FB">
            <w:pPr>
              <w:pStyle w:val="Body"/>
              <w:cnfStyle w:val="000000100000" w:firstRow="0" w:lastRow="0" w:firstColumn="0" w:lastColumn="0" w:oddVBand="0" w:evenVBand="0" w:oddHBand="1" w:evenHBand="0" w:firstRowFirstColumn="0" w:firstRowLastColumn="0" w:lastRowFirstColumn="0" w:lastRowLastColumn="0"/>
            </w:pPr>
            <w:r>
              <w:t>The number of years a newborn baby is expected to live</w:t>
            </w:r>
          </w:p>
        </w:tc>
      </w:tr>
      <w:tr w:rsidR="00D435FB" w14:paraId="5485AF45" w14:textId="77777777">
        <w:tc>
          <w:tcPr>
            <w:cnfStyle w:val="001000000000" w:firstRow="0" w:lastRow="0" w:firstColumn="1" w:lastColumn="0" w:oddVBand="0" w:evenVBand="0" w:oddHBand="0" w:evenHBand="0" w:firstRowFirstColumn="0" w:firstRowLastColumn="0" w:lastRowFirstColumn="0" w:lastRowLastColumn="0"/>
            <w:tcW w:w="2405" w:type="dxa"/>
          </w:tcPr>
          <w:p w14:paraId="12E83EC6" w14:textId="77777777" w:rsidR="00D435FB" w:rsidRDefault="00D435FB">
            <w:pPr>
              <w:pStyle w:val="Body"/>
              <w:tabs>
                <w:tab w:val="left" w:pos="1650"/>
              </w:tabs>
            </w:pPr>
            <w:r>
              <w:t>Non-communicable disease</w:t>
            </w:r>
          </w:p>
        </w:tc>
        <w:tc>
          <w:tcPr>
            <w:tcW w:w="6883" w:type="dxa"/>
          </w:tcPr>
          <w:p w14:paraId="72BCEAB9" w14:textId="4AE91180" w:rsidR="00D435FB" w:rsidRDefault="00D435FB">
            <w:pPr>
              <w:pStyle w:val="Body"/>
              <w:cnfStyle w:val="000000000000" w:firstRow="0" w:lastRow="0" w:firstColumn="0" w:lastColumn="0" w:oddVBand="0" w:evenVBand="0" w:oddHBand="0" w:evenHBand="0" w:firstRowFirstColumn="0" w:firstRowLastColumn="0" w:lastRowFirstColumn="0" w:lastRowLastColumn="0"/>
            </w:pPr>
            <w:r>
              <w:t>Also known as chronic diseases, they are not passed from person to person</w:t>
            </w:r>
          </w:p>
        </w:tc>
      </w:tr>
      <w:tr w:rsidR="00D435FB" w14:paraId="03F94F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0D94D9" w14:textId="77777777" w:rsidR="00D435FB" w:rsidRDefault="00D435FB">
            <w:pPr>
              <w:pStyle w:val="Body"/>
              <w:tabs>
                <w:tab w:val="left" w:pos="1650"/>
              </w:tabs>
            </w:pPr>
            <w:r>
              <w:t>Non-fatal burden (years lived with disability)</w:t>
            </w:r>
          </w:p>
        </w:tc>
        <w:tc>
          <w:tcPr>
            <w:tcW w:w="6883" w:type="dxa"/>
          </w:tcPr>
          <w:p w14:paraId="131411BE"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M</w:t>
            </w:r>
            <w:r w:rsidRPr="001874DE">
              <w:t xml:space="preserve">easures the proportion of healthy life lost due to living with a disease </w:t>
            </w:r>
            <w:proofErr w:type="gramStart"/>
            <w:r w:rsidRPr="001874DE">
              <w:t>in a given year</w:t>
            </w:r>
            <w:proofErr w:type="gramEnd"/>
            <w:r w:rsidRPr="001874DE">
              <w:t>, and is influenced by the number of people with each disease, how long they spend living with it and how severe the effects are</w:t>
            </w:r>
          </w:p>
        </w:tc>
      </w:tr>
      <w:tr w:rsidR="00D33579" w14:paraId="1CBB9024" w14:textId="77777777">
        <w:tc>
          <w:tcPr>
            <w:cnfStyle w:val="001000000000" w:firstRow="0" w:lastRow="0" w:firstColumn="1" w:lastColumn="0" w:oddVBand="0" w:evenVBand="0" w:oddHBand="0" w:evenHBand="0" w:firstRowFirstColumn="0" w:firstRowLastColumn="0" w:lastRowFirstColumn="0" w:lastRowLastColumn="0"/>
            <w:tcW w:w="2405" w:type="dxa"/>
          </w:tcPr>
          <w:p w14:paraId="501B1214" w14:textId="7C7F1738" w:rsidR="00D33579" w:rsidRDefault="00D33579">
            <w:pPr>
              <w:pStyle w:val="Body"/>
            </w:pPr>
            <w:r>
              <w:t>OLS</w:t>
            </w:r>
          </w:p>
        </w:tc>
        <w:tc>
          <w:tcPr>
            <w:tcW w:w="6883" w:type="dxa"/>
          </w:tcPr>
          <w:p w14:paraId="39917829" w14:textId="05ED04EA" w:rsidR="00D33579" w:rsidRDefault="00D33579">
            <w:pPr>
              <w:pStyle w:val="Body"/>
              <w:cnfStyle w:val="000000000000" w:firstRow="0" w:lastRow="0" w:firstColumn="0" w:lastColumn="0" w:oddVBand="0" w:evenVBand="0" w:oddHBand="0" w:evenHBand="0" w:firstRowFirstColumn="0" w:firstRowLastColumn="0" w:lastRowFirstColumn="0" w:lastRowLastColumn="0"/>
            </w:pPr>
            <w:r w:rsidRPr="00D33579">
              <w:t>Ordinary Least Squares</w:t>
            </w:r>
          </w:p>
        </w:tc>
      </w:tr>
      <w:tr w:rsidR="00086BAF" w14:paraId="561CB6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C33027" w14:textId="732FCA35" w:rsidR="00086BAF" w:rsidRDefault="00086BAF">
            <w:pPr>
              <w:pStyle w:val="Body"/>
            </w:pPr>
            <w:r>
              <w:t>PM</w:t>
            </w:r>
          </w:p>
        </w:tc>
        <w:tc>
          <w:tcPr>
            <w:tcW w:w="6883" w:type="dxa"/>
          </w:tcPr>
          <w:p w14:paraId="321B230F" w14:textId="715E93F6" w:rsidR="00086BAF" w:rsidRDefault="00086BAF">
            <w:pPr>
              <w:pStyle w:val="Body"/>
              <w:cnfStyle w:val="000000100000" w:firstRow="0" w:lastRow="0" w:firstColumn="0" w:lastColumn="0" w:oddVBand="0" w:evenVBand="0" w:oddHBand="1" w:evenHBand="0" w:firstRowFirstColumn="0" w:firstRowLastColumn="0" w:lastRowFirstColumn="0" w:lastRowLastColumn="0"/>
            </w:pPr>
            <w:r>
              <w:t>Particulate matter</w:t>
            </w:r>
          </w:p>
        </w:tc>
      </w:tr>
      <w:tr w:rsidR="00C37917" w14:paraId="14182B8A" w14:textId="77777777">
        <w:tc>
          <w:tcPr>
            <w:cnfStyle w:val="001000000000" w:firstRow="0" w:lastRow="0" w:firstColumn="1" w:lastColumn="0" w:oddVBand="0" w:evenVBand="0" w:oddHBand="0" w:evenHBand="0" w:firstRowFirstColumn="0" w:firstRowLastColumn="0" w:lastRowFirstColumn="0" w:lastRowLastColumn="0"/>
            <w:tcW w:w="2405" w:type="dxa"/>
          </w:tcPr>
          <w:p w14:paraId="249BAAEA" w14:textId="77777777" w:rsidR="00C37917" w:rsidRDefault="00C37917">
            <w:pPr>
              <w:pStyle w:val="Body"/>
            </w:pPr>
            <w:r>
              <w:t>Psychological distress</w:t>
            </w:r>
          </w:p>
        </w:tc>
        <w:tc>
          <w:tcPr>
            <w:tcW w:w="6883" w:type="dxa"/>
          </w:tcPr>
          <w:p w14:paraId="02F88BCF" w14:textId="77777777" w:rsidR="00C37917" w:rsidRDefault="00C37917">
            <w:pPr>
              <w:pStyle w:val="Body"/>
              <w:cnfStyle w:val="000000000000" w:firstRow="0" w:lastRow="0" w:firstColumn="0" w:lastColumn="0" w:oddVBand="0" w:evenVBand="0" w:oddHBand="0" w:evenHBand="0" w:firstRowFirstColumn="0" w:firstRowLastColumn="0" w:lastRowFirstColumn="0" w:lastRowLastColumn="0"/>
            </w:pPr>
            <w:r>
              <w:t xml:space="preserve">Non-specific feelings of stress, </w:t>
            </w:r>
            <w:proofErr w:type="gramStart"/>
            <w:r>
              <w:t>anxiety</w:t>
            </w:r>
            <w:proofErr w:type="gramEnd"/>
            <w:r>
              <w:t xml:space="preserve"> and depression, as measured by the Kessler Psychological Distress Scale (K10)</w:t>
            </w:r>
          </w:p>
        </w:tc>
      </w:tr>
    </w:tbl>
    <w:p w14:paraId="702B3071" w14:textId="77777777" w:rsidR="00BE574E" w:rsidRDefault="00BE574E" w:rsidP="007B03EC">
      <w:pPr>
        <w:pStyle w:val="Body"/>
      </w:pPr>
    </w:p>
    <w:p w14:paraId="290E6647" w14:textId="77777777" w:rsidR="00BE574E" w:rsidRDefault="00BE574E" w:rsidP="007B03EC">
      <w:pPr>
        <w:pStyle w:val="Body"/>
      </w:pPr>
      <w:r>
        <w:br w:type="page"/>
      </w:r>
    </w:p>
    <w:p w14:paraId="43B3C2D1" w14:textId="77B4CD99" w:rsidR="00664585" w:rsidRDefault="00BE574E" w:rsidP="007B03EC">
      <w:pPr>
        <w:pStyle w:val="Heading1"/>
      </w:pPr>
      <w:bookmarkStart w:id="74" w:name="_Appendix_2._Datasets"/>
      <w:bookmarkStart w:id="75" w:name="_Toc151976159"/>
      <w:bookmarkEnd w:id="74"/>
      <w:r>
        <w:lastRenderedPageBreak/>
        <w:t>Appendix 2</w:t>
      </w:r>
      <w:r w:rsidR="00EB7897">
        <w:t>:</w:t>
      </w:r>
      <w:r>
        <w:t xml:space="preserve"> </w:t>
      </w:r>
      <w:r w:rsidR="00CA7720">
        <w:t>Data</w:t>
      </w:r>
      <w:r>
        <w:t>sets</w:t>
      </w:r>
      <w:bookmarkEnd w:id="75"/>
    </w:p>
    <w:p w14:paraId="6730F233" w14:textId="1C293F95" w:rsidR="00033216" w:rsidRDefault="007C2862" w:rsidP="00BB35E9">
      <w:pPr>
        <w:pStyle w:val="Body"/>
      </w:pPr>
      <w:r>
        <w:t xml:space="preserve">The datasets used to inform the measures in the outcomes framework are all existing </w:t>
      </w:r>
      <w:r w:rsidR="00A53499">
        <w:t>administrative data</w:t>
      </w:r>
      <w:r w:rsidR="00D03BB9">
        <w:t xml:space="preserve"> collections</w:t>
      </w:r>
      <w:r w:rsidR="00A53499">
        <w:t xml:space="preserve"> </w:t>
      </w:r>
      <w:r w:rsidR="00D03BB9">
        <w:t xml:space="preserve">or population health surveys </w:t>
      </w:r>
      <w:r w:rsidR="00A53499">
        <w:t>from a range of data custodians.</w:t>
      </w:r>
      <w:r w:rsidR="00033216">
        <w:t xml:space="preserve"> For further information about each of the datasets, visit the website of the custodian provided in Table </w:t>
      </w:r>
      <w:r w:rsidR="009C4251">
        <w:t>2.</w:t>
      </w:r>
      <w:r w:rsidR="00033216">
        <w:t xml:space="preserve"> </w:t>
      </w:r>
    </w:p>
    <w:p w14:paraId="35412E53" w14:textId="0C1FAA9B" w:rsidR="00033216" w:rsidRDefault="00033216" w:rsidP="007E30C7">
      <w:pPr>
        <w:pStyle w:val="Heading2"/>
      </w:pPr>
      <w:bookmarkStart w:id="76" w:name="_Toc151976160"/>
      <w:r>
        <w:t xml:space="preserve">Limitations </w:t>
      </w:r>
      <w:r w:rsidR="001830DF">
        <w:t>of datasets</w:t>
      </w:r>
      <w:bookmarkEnd w:id="76"/>
    </w:p>
    <w:p w14:paraId="2C77ECCB" w14:textId="77777777" w:rsidR="007648C0" w:rsidRDefault="002A7CD4" w:rsidP="002A7CD4">
      <w:pPr>
        <w:pStyle w:val="Body"/>
      </w:pPr>
      <w:r>
        <w:t>Some datasets h</w:t>
      </w:r>
      <w:r w:rsidR="00346E3B">
        <w:t>ave been impacted</w:t>
      </w:r>
      <w:r w:rsidR="00160D86">
        <w:t xml:space="preserve"> by changes in methodology and</w:t>
      </w:r>
      <w:r w:rsidR="00346E3B">
        <w:t xml:space="preserve"> by the COVID-19 pandemi</w:t>
      </w:r>
      <w:r w:rsidR="00160D86">
        <w:t>c</w:t>
      </w:r>
      <w:r w:rsidR="00346E3B">
        <w:t>.</w:t>
      </w:r>
      <w:r w:rsidR="00160D86">
        <w:t xml:space="preserve"> In some cases, these changes have impacted the content of this report.</w:t>
      </w:r>
    </w:p>
    <w:p w14:paraId="64DD8DF4" w14:textId="444BB550" w:rsidR="00033216" w:rsidRDefault="00346E3B" w:rsidP="002A7CD4">
      <w:pPr>
        <w:pStyle w:val="Body"/>
      </w:pPr>
      <w:r>
        <w:t>The details of these impacts</w:t>
      </w:r>
      <w:r w:rsidR="00A3511B">
        <w:t xml:space="preserve"> include: </w:t>
      </w:r>
    </w:p>
    <w:p w14:paraId="229BC799" w14:textId="23D5D1F5" w:rsidR="00033216" w:rsidRDefault="00182AC0" w:rsidP="00A3511B">
      <w:pPr>
        <w:pStyle w:val="Bullet1"/>
      </w:pPr>
      <w:r>
        <w:t>The methodology of the Victorian Population Health Survey was significantly changed in 2015 to include mobile phones in the sampling process</w:t>
      </w:r>
      <w:r w:rsidR="007648C0">
        <w:t>,</w:t>
      </w:r>
      <w:r>
        <w:t xml:space="preserve"> as well as other methodological changes. This resulted in significant changes to the estimates, meaning that estimates collected before 2015 are not directly comparable to estimates collected in 2015 and onwards</w:t>
      </w:r>
      <w:r w:rsidR="00542B88">
        <w:t xml:space="preserve">. </w:t>
      </w:r>
    </w:p>
    <w:p w14:paraId="70FBF06A" w14:textId="0D75B547" w:rsidR="0077005C" w:rsidRDefault="0077005C" w:rsidP="00A3511B">
      <w:pPr>
        <w:pStyle w:val="Bullet1"/>
      </w:pPr>
      <w:r>
        <w:t>The 2020 Victorian Population Health Survey was largely co-opted to measure the impacts of the COVID-19 pandemic. This means that much of the data relied on for this report is not available for 2020. The survey was not conducted in 2021 and therefore</w:t>
      </w:r>
      <w:r w:rsidR="00E1079A">
        <w:t>,</w:t>
      </w:r>
      <w:r>
        <w:t xml:space="preserve"> there is no 2021 data. The 2022 survey retained some of the new questions on the impacts of the </w:t>
      </w:r>
      <w:proofErr w:type="gramStart"/>
      <w:r>
        <w:t>pandemic</w:t>
      </w:r>
      <w:r w:rsidR="00E1079A">
        <w:t>,</w:t>
      </w:r>
      <w:r>
        <w:t xml:space="preserve"> but</w:t>
      </w:r>
      <w:proofErr w:type="gramEnd"/>
      <w:r>
        <w:t xml:space="preserve"> did recommence reporting on many of the indicators relied on in this report. The 2023 </w:t>
      </w:r>
      <w:r w:rsidR="00E1079A">
        <w:t xml:space="preserve">Victorian Population Health Survey </w:t>
      </w:r>
      <w:r>
        <w:t>is currently in the field</w:t>
      </w:r>
      <w:r w:rsidR="00E1079A">
        <w:t>,</w:t>
      </w:r>
      <w:r>
        <w:t xml:space="preserve"> with the data expected to</w:t>
      </w:r>
      <w:r w:rsidR="00323705">
        <w:t xml:space="preserve"> be</w:t>
      </w:r>
      <w:r>
        <w:t xml:space="preserve"> available later in 2024.</w:t>
      </w:r>
    </w:p>
    <w:p w14:paraId="4D44F905" w14:textId="2EEFFF2C" w:rsidR="00033216" w:rsidRDefault="00542B88" w:rsidP="00A3511B">
      <w:pPr>
        <w:pStyle w:val="Bullet1"/>
      </w:pPr>
      <w:r>
        <w:t xml:space="preserve">Due to COVID-19, the National </w:t>
      </w:r>
      <w:r w:rsidR="005027F5">
        <w:t>H</w:t>
      </w:r>
      <w:r>
        <w:t xml:space="preserve">ealth </w:t>
      </w:r>
      <w:r w:rsidR="005027F5">
        <w:t>S</w:t>
      </w:r>
      <w:r>
        <w:t>urvey did not collect measurements to calculate overweight and obesity data in the</w:t>
      </w:r>
      <w:r w:rsidR="00033216">
        <w:t xml:space="preserve"> 2020</w:t>
      </w:r>
      <w:r w:rsidR="00323705">
        <w:t>–</w:t>
      </w:r>
      <w:r w:rsidR="00033216">
        <w:t>21</w:t>
      </w:r>
      <w:r>
        <w:t xml:space="preserve"> collection</w:t>
      </w:r>
      <w:r w:rsidR="00033216">
        <w:t xml:space="preserve">. </w:t>
      </w:r>
      <w:r>
        <w:t xml:space="preserve">This means we will have to wait </w:t>
      </w:r>
      <w:r w:rsidR="005033A2">
        <w:t>for the</w:t>
      </w:r>
      <w:r>
        <w:t xml:space="preserve"> </w:t>
      </w:r>
      <w:r w:rsidR="006C7DA1">
        <w:t>2023</w:t>
      </w:r>
      <w:r w:rsidR="00323705">
        <w:t>–</w:t>
      </w:r>
      <w:r w:rsidR="006C7DA1">
        <w:t>24 collection to asses</w:t>
      </w:r>
      <w:r w:rsidR="005027F5">
        <w:t>s</w:t>
      </w:r>
      <w:r w:rsidR="006C7DA1">
        <w:t xml:space="preserve"> more recent trends in overweight and obesity.</w:t>
      </w:r>
    </w:p>
    <w:p w14:paraId="70A33095" w14:textId="7A426DC8" w:rsidR="005027F5" w:rsidRDefault="006C7DA1" w:rsidP="005027F5">
      <w:pPr>
        <w:pStyle w:val="Bullet1"/>
      </w:pPr>
      <w:r>
        <w:t>The</w:t>
      </w:r>
      <w:r w:rsidR="00033216">
        <w:t xml:space="preserve"> </w:t>
      </w:r>
      <w:r>
        <w:t xml:space="preserve">Victorian Adolescent Health and Wellbeing </w:t>
      </w:r>
      <w:r w:rsidR="00D92426">
        <w:t>S</w:t>
      </w:r>
      <w:r>
        <w:t>urvey was not conducted in 2020 and 2022</w:t>
      </w:r>
      <w:r w:rsidR="005B4AEE">
        <w:t>,</w:t>
      </w:r>
      <w:r>
        <w:t xml:space="preserve"> due to the impact of COVID-19 on schools. To make up for the missing years of data, the Department of Education </w:t>
      </w:r>
      <w:r w:rsidR="00D92426">
        <w:t xml:space="preserve">is </w:t>
      </w:r>
      <w:r w:rsidR="005027F5">
        <w:t>running this survey</w:t>
      </w:r>
      <w:r w:rsidR="00B74FC0">
        <w:t xml:space="preserve"> in 2023. </w:t>
      </w:r>
    </w:p>
    <w:p w14:paraId="6E8D92EB" w14:textId="783359D3" w:rsidR="005027F5" w:rsidRDefault="005027F5" w:rsidP="00773005">
      <w:pPr>
        <w:pStyle w:val="Heading2"/>
      </w:pPr>
      <w:bookmarkStart w:id="77" w:name="_Toc151976161"/>
      <w:r>
        <w:t>A note on the breakdowns</w:t>
      </w:r>
      <w:bookmarkEnd w:id="77"/>
    </w:p>
    <w:p w14:paraId="65DD8EEE" w14:textId="52B41244" w:rsidR="00033216" w:rsidRDefault="00723424" w:rsidP="00773005">
      <w:pPr>
        <w:pStyle w:val="Heading3"/>
      </w:pPr>
      <w:r w:rsidRPr="00723424">
        <w:t>Aboriginal data</w:t>
      </w:r>
    </w:p>
    <w:p w14:paraId="3BA616B9" w14:textId="4B033A2F" w:rsidR="00723424" w:rsidRDefault="00723424" w:rsidP="00BB35E9">
      <w:pPr>
        <w:pStyle w:val="Body"/>
      </w:pPr>
      <w:r w:rsidRPr="00723424">
        <w:t>The size of the Aboriginal population in Victoria results in smaller numbers for many of the measures and low numbers (and associated rates) have been suppressed where required. For some measures derived from survey data, the Aboriginal sample attained by the survey was not sufficient to allow for the measure to be reliably reported. Limitations relating to the identification of Aboriginal status in datasets can also contribute to the quality of available data.</w:t>
      </w:r>
    </w:p>
    <w:p w14:paraId="76FE76EA" w14:textId="102DFC4B" w:rsidR="00723424" w:rsidRDefault="00E94BC4" w:rsidP="00773005">
      <w:pPr>
        <w:pStyle w:val="Heading3"/>
      </w:pPr>
      <w:r w:rsidRPr="00E94BC4">
        <w:t xml:space="preserve">Cultural and </w:t>
      </w:r>
      <w:r w:rsidR="00D05EE7">
        <w:t>l</w:t>
      </w:r>
      <w:r w:rsidRPr="00E94BC4">
        <w:t xml:space="preserve">inguistic </w:t>
      </w:r>
      <w:r w:rsidR="00D05EE7">
        <w:t>d</w:t>
      </w:r>
      <w:r w:rsidRPr="00E94BC4">
        <w:t>iversity</w:t>
      </w:r>
    </w:p>
    <w:p w14:paraId="4232A7C7" w14:textId="7D35516F" w:rsidR="00E94BC4" w:rsidRDefault="00E94BC4" w:rsidP="00BB35E9">
      <w:pPr>
        <w:pStyle w:val="Body"/>
      </w:pPr>
      <w:r w:rsidRPr="00E94BC4">
        <w:t xml:space="preserve">Datasets included in the outcomes framework use </w:t>
      </w:r>
      <w:r w:rsidR="00BB5135">
        <w:t xml:space="preserve">the variables </w:t>
      </w:r>
      <w:r w:rsidR="00BB5135">
        <w:rPr>
          <w:i/>
          <w:iCs/>
        </w:rPr>
        <w:t>c</w:t>
      </w:r>
      <w:r w:rsidRPr="00BB5135">
        <w:rPr>
          <w:i/>
          <w:iCs/>
        </w:rPr>
        <w:t xml:space="preserve">ountry of </w:t>
      </w:r>
      <w:r w:rsidR="00BB5135">
        <w:rPr>
          <w:i/>
          <w:iCs/>
        </w:rPr>
        <w:t>b</w:t>
      </w:r>
      <w:r w:rsidRPr="00BB5135">
        <w:rPr>
          <w:i/>
          <w:iCs/>
        </w:rPr>
        <w:t>irth</w:t>
      </w:r>
      <w:r w:rsidRPr="00E94BC4">
        <w:t xml:space="preserve"> and </w:t>
      </w:r>
      <w:r w:rsidR="00BB5135">
        <w:rPr>
          <w:i/>
          <w:iCs/>
        </w:rPr>
        <w:t>l</w:t>
      </w:r>
      <w:r w:rsidRPr="00BB5135">
        <w:rPr>
          <w:i/>
          <w:iCs/>
        </w:rPr>
        <w:t xml:space="preserve">anguage </w:t>
      </w:r>
      <w:r w:rsidR="00BB5135">
        <w:rPr>
          <w:i/>
          <w:iCs/>
        </w:rPr>
        <w:t>b</w:t>
      </w:r>
      <w:r w:rsidRPr="00BB5135">
        <w:rPr>
          <w:i/>
          <w:iCs/>
        </w:rPr>
        <w:t xml:space="preserve">ackground other than </w:t>
      </w:r>
      <w:r w:rsidR="00BB5135">
        <w:rPr>
          <w:i/>
          <w:iCs/>
        </w:rPr>
        <w:t>E</w:t>
      </w:r>
      <w:r w:rsidR="00BB5135" w:rsidRPr="00BB5135">
        <w:rPr>
          <w:i/>
          <w:iCs/>
        </w:rPr>
        <w:t>nglish</w:t>
      </w:r>
      <w:r w:rsidRPr="00E94BC4">
        <w:t xml:space="preserve"> to measure cultural and linguistic diversity. Country of birth is not an ideal measure of cultural and linguistic diversity, as it does not capture people who are Australian born</w:t>
      </w:r>
      <w:r w:rsidR="001E78D0">
        <w:t>,</w:t>
      </w:r>
      <w:r w:rsidRPr="00E94BC4">
        <w:t xml:space="preserve"> but whose parents are migrants, </w:t>
      </w:r>
      <w:r w:rsidR="00243BF2">
        <w:t xml:space="preserve">nor </w:t>
      </w:r>
      <w:r w:rsidR="001E78D0">
        <w:t xml:space="preserve">are </w:t>
      </w:r>
      <w:r w:rsidR="00243BF2">
        <w:t>the</w:t>
      </w:r>
      <w:r w:rsidRPr="00E94BC4">
        <w:t xml:space="preserve"> other social elements that have a significant impact on inequity and health, such as English language proficiency, and discrimination based on race</w:t>
      </w:r>
      <w:r w:rsidR="001E78D0">
        <w:t xml:space="preserve"> or </w:t>
      </w:r>
      <w:r w:rsidRPr="00E94BC4">
        <w:t>ethnicity.</w:t>
      </w:r>
    </w:p>
    <w:p w14:paraId="54888DC0" w14:textId="5B5ED650" w:rsidR="00E94BC4" w:rsidRDefault="00E94BC4" w:rsidP="00773005">
      <w:pPr>
        <w:pStyle w:val="Heading3"/>
      </w:pPr>
      <w:r w:rsidRPr="00E94BC4">
        <w:lastRenderedPageBreak/>
        <w:t>LGBTQI+ data</w:t>
      </w:r>
    </w:p>
    <w:p w14:paraId="18565AEB" w14:textId="44FC538D" w:rsidR="00A41719" w:rsidRDefault="00A41719" w:rsidP="00A41719">
      <w:pPr>
        <w:pStyle w:val="Body"/>
      </w:pPr>
      <w:r w:rsidRPr="00A41719">
        <w:t xml:space="preserve">It is well known that sexual orientation has an impact on health and wellbeing outcomes. It is the intent of the outcomes framework to be able to break data down by LGBTIQ+ status. </w:t>
      </w:r>
      <w:r w:rsidR="002966AA">
        <w:t>At this point in time,</w:t>
      </w:r>
      <w:r w:rsidRPr="00A41719">
        <w:t xml:space="preserve"> no dataset in the outcomes framework had data of sufficient quality or sample size to </w:t>
      </w:r>
      <w:r>
        <w:t>assess trends in</w:t>
      </w:r>
      <w:r w:rsidRPr="00A41719">
        <w:t xml:space="preserve"> </w:t>
      </w:r>
      <w:r>
        <w:t>health and wellbeing over time</w:t>
      </w:r>
      <w:r w:rsidRPr="00A41719">
        <w:t xml:space="preserve"> by sexual orientation</w:t>
      </w:r>
      <w:r>
        <w:t xml:space="preserve">. </w:t>
      </w:r>
      <w:r w:rsidR="00B15F48">
        <w:t xml:space="preserve">Where appropriate, we have included data from a single point in time from supporting datasets </w:t>
      </w:r>
      <w:r w:rsidR="006722BF">
        <w:t xml:space="preserve">to highlight important inequalities in health outcomes experienced by this group. </w:t>
      </w:r>
    </w:p>
    <w:p w14:paraId="1B02FD55" w14:textId="3E235F44" w:rsidR="00A41719" w:rsidRDefault="00A41719" w:rsidP="00773005">
      <w:pPr>
        <w:pStyle w:val="Heading3"/>
      </w:pPr>
      <w:r>
        <w:t xml:space="preserve">Sex or </w:t>
      </w:r>
      <w:r w:rsidR="00B403B8">
        <w:t>g</w:t>
      </w:r>
      <w:r>
        <w:t>ender breakdowns</w:t>
      </w:r>
    </w:p>
    <w:p w14:paraId="0558C960" w14:textId="52FA3D00" w:rsidR="00A41719" w:rsidRDefault="00A41719" w:rsidP="00A41719">
      <w:pPr>
        <w:pStyle w:val="Body"/>
      </w:pPr>
      <w:r>
        <w:t xml:space="preserve">Some datasets included in </w:t>
      </w:r>
      <w:r w:rsidR="00246105">
        <w:t>this report</w:t>
      </w:r>
      <w:r>
        <w:t xml:space="preserve"> collect sex, while others</w:t>
      </w:r>
      <w:r w:rsidR="00246105">
        <w:t xml:space="preserve"> collect </w:t>
      </w:r>
      <w:r>
        <w:t xml:space="preserve">gender. These differences are reflected in the </w:t>
      </w:r>
      <w:r w:rsidR="00246105">
        <w:t>use of the terms male and female when reflecting sex, and men and women for gender</w:t>
      </w:r>
      <w:r>
        <w:t>. We acknowledge that not all Victorians identify with these binary categorie</w:t>
      </w:r>
      <w:r w:rsidR="00876088">
        <w:t>s</w:t>
      </w:r>
      <w:r w:rsidR="00731B6E">
        <w:t>,</w:t>
      </w:r>
      <w:r w:rsidR="00876088">
        <w:t xml:space="preserve"> and th</w:t>
      </w:r>
      <w:r w:rsidR="009D63A9">
        <w:t>is</w:t>
      </w:r>
      <w:r w:rsidR="00160F32">
        <w:t xml:space="preserve"> </w:t>
      </w:r>
      <w:r w:rsidR="009D63A9">
        <w:t xml:space="preserve">limits </w:t>
      </w:r>
      <w:r w:rsidR="00160F32">
        <w:t>our understanding</w:t>
      </w:r>
      <w:r w:rsidR="00351182">
        <w:t xml:space="preserve"> </w:t>
      </w:r>
      <w:r w:rsidR="009D63A9">
        <w:t xml:space="preserve">of health and </w:t>
      </w:r>
      <w:r w:rsidR="001D49CF">
        <w:t>wellbeing outcomes</w:t>
      </w:r>
      <w:r w:rsidR="009D63A9">
        <w:t xml:space="preserve"> for these individuals.</w:t>
      </w:r>
    </w:p>
    <w:p w14:paraId="4332245C" w14:textId="3951EC25" w:rsidR="00D435FB" w:rsidRPr="00C82728" w:rsidRDefault="00D435FB" w:rsidP="00D435FB">
      <w:pPr>
        <w:pStyle w:val="Tablecaption"/>
      </w:pPr>
      <w:r>
        <w:t>Table 2</w:t>
      </w:r>
      <w:r w:rsidR="00EB7897">
        <w:t>:</w:t>
      </w:r>
      <w:r>
        <w:t xml:space="preserve"> Summary of datasets</w:t>
      </w:r>
    </w:p>
    <w:tbl>
      <w:tblPr>
        <w:tblStyle w:val="GridTable4-Accent2"/>
        <w:tblpPr w:leftFromText="180" w:rightFromText="180" w:vertAnchor="text" w:tblpY="1"/>
        <w:tblW w:w="0" w:type="auto"/>
        <w:tblLayout w:type="fixed"/>
        <w:tblLook w:val="04A0" w:firstRow="1" w:lastRow="0" w:firstColumn="1" w:lastColumn="0" w:noHBand="0" w:noVBand="1"/>
      </w:tblPr>
      <w:tblGrid>
        <w:gridCol w:w="2122"/>
        <w:gridCol w:w="2268"/>
        <w:gridCol w:w="1842"/>
        <w:gridCol w:w="3056"/>
      </w:tblGrid>
      <w:tr w:rsidR="00D435FB" w14:paraId="013DC0F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hideMark/>
          </w:tcPr>
          <w:p w14:paraId="75A9B3BC" w14:textId="77777777" w:rsidR="00D435FB" w:rsidRPr="00C82728" w:rsidRDefault="00D435FB">
            <w:pPr>
              <w:pStyle w:val="Tablecolhead"/>
              <w:rPr>
                <w:b/>
                <w:bCs w:val="0"/>
                <w:color w:val="auto"/>
              </w:rPr>
            </w:pPr>
            <w:r w:rsidRPr="00C82728">
              <w:rPr>
                <w:b/>
                <w:bCs w:val="0"/>
                <w:color w:val="auto"/>
              </w:rPr>
              <w:t>Data set</w:t>
            </w:r>
          </w:p>
        </w:tc>
        <w:tc>
          <w:tcPr>
            <w:tcW w:w="2268" w:type="dxa"/>
            <w:hideMark/>
          </w:tcPr>
          <w:p w14:paraId="0A613D18" w14:textId="77777777" w:rsidR="00D435FB" w:rsidRPr="00C82728" w:rsidRDefault="00D435FB">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C82728">
              <w:rPr>
                <w:b/>
                <w:bCs w:val="0"/>
                <w:color w:val="auto"/>
              </w:rPr>
              <w:t>Custodian</w:t>
            </w:r>
          </w:p>
        </w:tc>
        <w:tc>
          <w:tcPr>
            <w:tcW w:w="1842" w:type="dxa"/>
            <w:hideMark/>
          </w:tcPr>
          <w:p w14:paraId="4F7176B1" w14:textId="77777777" w:rsidR="00D435FB" w:rsidRPr="00C82728" w:rsidRDefault="00D435FB">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C82728">
              <w:rPr>
                <w:b/>
                <w:bCs w:val="0"/>
                <w:color w:val="auto"/>
              </w:rPr>
              <w:t>Frequency of collection</w:t>
            </w:r>
          </w:p>
        </w:tc>
        <w:tc>
          <w:tcPr>
            <w:tcW w:w="3056" w:type="dxa"/>
          </w:tcPr>
          <w:p w14:paraId="4EE34E40" w14:textId="77777777" w:rsidR="00D435FB" w:rsidRPr="00C82728" w:rsidRDefault="00D435FB">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C82728">
              <w:rPr>
                <w:b/>
                <w:bCs w:val="0"/>
                <w:color w:val="auto"/>
              </w:rPr>
              <w:t>Reference</w:t>
            </w:r>
          </w:p>
        </w:tc>
      </w:tr>
      <w:tr w:rsidR="00D435FB" w14:paraId="41B804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91FD9A2" w14:textId="77777777" w:rsidR="00D435FB" w:rsidRPr="00773005" w:rsidRDefault="00D435FB">
            <w:pPr>
              <w:pStyle w:val="Body"/>
              <w:rPr>
                <w:b w:val="0"/>
                <w:bCs w:val="0"/>
              </w:rPr>
            </w:pPr>
            <w:r w:rsidRPr="00731B6E">
              <w:t>Victorian Population Health Survey</w:t>
            </w:r>
          </w:p>
        </w:tc>
        <w:tc>
          <w:tcPr>
            <w:tcW w:w="2268" w:type="dxa"/>
            <w:hideMark/>
          </w:tcPr>
          <w:p w14:paraId="15ECEDE7"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Victorian Agency for Health Information</w:t>
            </w:r>
          </w:p>
        </w:tc>
        <w:tc>
          <w:tcPr>
            <w:tcW w:w="1842" w:type="dxa"/>
            <w:hideMark/>
          </w:tcPr>
          <w:p w14:paraId="3D6F71E3"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Yearly, LGA level every three years</w:t>
            </w:r>
          </w:p>
        </w:tc>
        <w:tc>
          <w:tcPr>
            <w:tcW w:w="3056" w:type="dxa"/>
          </w:tcPr>
          <w:p w14:paraId="7770E96D"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rsidRPr="003E5875">
              <w:t>https://vahi.vic.gov.au/reports/population-health</w:t>
            </w:r>
          </w:p>
        </w:tc>
      </w:tr>
      <w:tr w:rsidR="00D435FB" w14:paraId="7E29765E" w14:textId="77777777">
        <w:tc>
          <w:tcPr>
            <w:cnfStyle w:val="001000000000" w:firstRow="0" w:lastRow="0" w:firstColumn="1" w:lastColumn="0" w:oddVBand="0" w:evenVBand="0" w:oddHBand="0" w:evenHBand="0" w:firstRowFirstColumn="0" w:firstRowLastColumn="0" w:lastRowFirstColumn="0" w:lastRowLastColumn="0"/>
            <w:tcW w:w="2122" w:type="dxa"/>
            <w:hideMark/>
          </w:tcPr>
          <w:p w14:paraId="4B878BED" w14:textId="77777777" w:rsidR="00D435FB" w:rsidRPr="00773005" w:rsidRDefault="00D435FB">
            <w:pPr>
              <w:pStyle w:val="Body"/>
              <w:rPr>
                <w:b w:val="0"/>
                <w:bCs w:val="0"/>
              </w:rPr>
            </w:pPr>
            <w:r w:rsidRPr="00731B6E">
              <w:t>Victorian Child Health and Wellbeing Survey</w:t>
            </w:r>
          </w:p>
        </w:tc>
        <w:tc>
          <w:tcPr>
            <w:tcW w:w="2268" w:type="dxa"/>
            <w:hideMark/>
          </w:tcPr>
          <w:p w14:paraId="2A0FCEED"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Victorian Department of Education</w:t>
            </w:r>
          </w:p>
        </w:tc>
        <w:tc>
          <w:tcPr>
            <w:tcW w:w="1842" w:type="dxa"/>
            <w:hideMark/>
          </w:tcPr>
          <w:p w14:paraId="3B822D0B"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Every two years</w:t>
            </w:r>
          </w:p>
        </w:tc>
        <w:tc>
          <w:tcPr>
            <w:tcW w:w="3056" w:type="dxa"/>
          </w:tcPr>
          <w:p w14:paraId="0C06DBC3"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rsidRPr="009941C2">
              <w:t>https://www.vic.gov.au/victorian-child-health-and-wellbeing-survey</w:t>
            </w:r>
          </w:p>
        </w:tc>
      </w:tr>
      <w:tr w:rsidR="00D435FB" w14:paraId="58035B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7AEECA3" w14:textId="77777777" w:rsidR="00D435FB" w:rsidRPr="00773005" w:rsidRDefault="00D435FB">
            <w:pPr>
              <w:pStyle w:val="Body"/>
              <w:rPr>
                <w:b w:val="0"/>
                <w:bCs w:val="0"/>
              </w:rPr>
            </w:pPr>
            <w:r w:rsidRPr="00731B6E">
              <w:t>Victorian Student Health and Wellbeing Survey</w:t>
            </w:r>
          </w:p>
        </w:tc>
        <w:tc>
          <w:tcPr>
            <w:tcW w:w="2268" w:type="dxa"/>
            <w:hideMark/>
          </w:tcPr>
          <w:p w14:paraId="2CB8DFB0"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Victorian Department of Education</w:t>
            </w:r>
          </w:p>
        </w:tc>
        <w:tc>
          <w:tcPr>
            <w:tcW w:w="1842" w:type="dxa"/>
            <w:hideMark/>
          </w:tcPr>
          <w:p w14:paraId="4B6A3ECD"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Every two years</w:t>
            </w:r>
          </w:p>
        </w:tc>
        <w:tc>
          <w:tcPr>
            <w:tcW w:w="3056" w:type="dxa"/>
          </w:tcPr>
          <w:p w14:paraId="45F80C79"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rsidRPr="0052020E">
              <w:t>https://www.vic.gov.au/victorian-child-health-and-wellbeing-survey</w:t>
            </w:r>
          </w:p>
        </w:tc>
      </w:tr>
      <w:tr w:rsidR="00D435FB" w14:paraId="7F8FCFA6" w14:textId="77777777">
        <w:tc>
          <w:tcPr>
            <w:cnfStyle w:val="001000000000" w:firstRow="0" w:lastRow="0" w:firstColumn="1" w:lastColumn="0" w:oddVBand="0" w:evenVBand="0" w:oddHBand="0" w:evenHBand="0" w:firstRowFirstColumn="0" w:firstRowLastColumn="0" w:lastRowFirstColumn="0" w:lastRowLastColumn="0"/>
            <w:tcW w:w="2122" w:type="dxa"/>
            <w:hideMark/>
          </w:tcPr>
          <w:p w14:paraId="13CD58F7" w14:textId="77777777" w:rsidR="00D435FB" w:rsidRPr="00773005" w:rsidRDefault="00D435FB">
            <w:pPr>
              <w:pStyle w:val="Body"/>
              <w:rPr>
                <w:b w:val="0"/>
                <w:bCs w:val="0"/>
              </w:rPr>
            </w:pPr>
            <w:r w:rsidRPr="00731B6E">
              <w:t>Victorian Perinatal Data Collection</w:t>
            </w:r>
          </w:p>
        </w:tc>
        <w:tc>
          <w:tcPr>
            <w:tcW w:w="2268" w:type="dxa"/>
            <w:hideMark/>
          </w:tcPr>
          <w:p w14:paraId="47DAB520"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Safer Care Victoria</w:t>
            </w:r>
          </w:p>
        </w:tc>
        <w:tc>
          <w:tcPr>
            <w:tcW w:w="1842" w:type="dxa"/>
            <w:hideMark/>
          </w:tcPr>
          <w:p w14:paraId="2C636BB6"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Yearly</w:t>
            </w:r>
          </w:p>
        </w:tc>
        <w:tc>
          <w:tcPr>
            <w:tcW w:w="3056" w:type="dxa"/>
          </w:tcPr>
          <w:p w14:paraId="7D27EBD9"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rsidRPr="0052020E">
              <w:t>https://www.health.vic.gov.au/quality-safety-service/victorian-perinatal-data-collection</w:t>
            </w:r>
          </w:p>
        </w:tc>
      </w:tr>
      <w:tr w:rsidR="00D435FB" w14:paraId="056CBE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B1E2231" w14:textId="77777777" w:rsidR="00D435FB" w:rsidRPr="00773005" w:rsidRDefault="00D435FB">
            <w:pPr>
              <w:pStyle w:val="Body"/>
              <w:rPr>
                <w:b w:val="0"/>
                <w:bCs w:val="0"/>
              </w:rPr>
            </w:pPr>
            <w:r w:rsidRPr="00731B6E">
              <w:t>Victorian Admitted Episodes Dataset</w:t>
            </w:r>
          </w:p>
        </w:tc>
        <w:tc>
          <w:tcPr>
            <w:tcW w:w="2268" w:type="dxa"/>
            <w:hideMark/>
          </w:tcPr>
          <w:p w14:paraId="5E129AA0"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Victorian Department of Health</w:t>
            </w:r>
          </w:p>
        </w:tc>
        <w:tc>
          <w:tcPr>
            <w:tcW w:w="1842" w:type="dxa"/>
            <w:hideMark/>
          </w:tcPr>
          <w:p w14:paraId="0AC2CA63"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Quarterly</w:t>
            </w:r>
          </w:p>
        </w:tc>
        <w:tc>
          <w:tcPr>
            <w:tcW w:w="3056" w:type="dxa"/>
          </w:tcPr>
          <w:p w14:paraId="6DDAFEC5"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rsidRPr="009F7A7D">
              <w:t>https://www.health.vic.gov.au/data-reporting/victorian-admitted-episodes-dataset</w:t>
            </w:r>
          </w:p>
        </w:tc>
      </w:tr>
      <w:tr w:rsidR="00D435FB" w14:paraId="2E1E7E22" w14:textId="77777777">
        <w:tc>
          <w:tcPr>
            <w:cnfStyle w:val="001000000000" w:firstRow="0" w:lastRow="0" w:firstColumn="1" w:lastColumn="0" w:oddVBand="0" w:evenVBand="0" w:oddHBand="0" w:evenHBand="0" w:firstRowFirstColumn="0" w:firstRowLastColumn="0" w:lastRowFirstColumn="0" w:lastRowLastColumn="0"/>
            <w:tcW w:w="2122" w:type="dxa"/>
            <w:hideMark/>
          </w:tcPr>
          <w:p w14:paraId="37CF8D63" w14:textId="77777777" w:rsidR="00D435FB" w:rsidRPr="00773005" w:rsidRDefault="00D435FB">
            <w:pPr>
              <w:pStyle w:val="Body"/>
              <w:rPr>
                <w:b w:val="0"/>
                <w:bCs w:val="0"/>
              </w:rPr>
            </w:pPr>
            <w:r w:rsidRPr="00731B6E">
              <w:t>Public Health Events Surveillance System</w:t>
            </w:r>
          </w:p>
        </w:tc>
        <w:tc>
          <w:tcPr>
            <w:tcW w:w="2268" w:type="dxa"/>
            <w:hideMark/>
          </w:tcPr>
          <w:p w14:paraId="306FF11F"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Victorian Department of Health</w:t>
            </w:r>
          </w:p>
        </w:tc>
        <w:tc>
          <w:tcPr>
            <w:tcW w:w="1842" w:type="dxa"/>
            <w:hideMark/>
          </w:tcPr>
          <w:p w14:paraId="51820A27"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Yearly</w:t>
            </w:r>
          </w:p>
        </w:tc>
        <w:tc>
          <w:tcPr>
            <w:tcW w:w="3056" w:type="dxa"/>
          </w:tcPr>
          <w:p w14:paraId="04CC567C"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rsidRPr="00420DEE">
              <w:t>https://www.health.vic.gov.au/infectious-diseases/interactive-infectious-disease-reports</w:t>
            </w:r>
          </w:p>
        </w:tc>
      </w:tr>
      <w:tr w:rsidR="00D435FB" w14:paraId="42BFA1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2D9A2D6" w14:textId="0654524D" w:rsidR="00D435FB" w:rsidRPr="00773005" w:rsidRDefault="00D435FB">
            <w:pPr>
              <w:pStyle w:val="Body"/>
              <w:rPr>
                <w:b w:val="0"/>
                <w:bCs w:val="0"/>
              </w:rPr>
            </w:pPr>
            <w:r w:rsidRPr="00731B6E">
              <w:t xml:space="preserve">Maternal and Child Health </w:t>
            </w:r>
            <w:r w:rsidR="00E05310">
              <w:rPr>
                <w:b w:val="0"/>
                <w:bCs w:val="0"/>
              </w:rPr>
              <w:t>C</w:t>
            </w:r>
            <w:r w:rsidRPr="00731B6E">
              <w:t>ollection</w:t>
            </w:r>
          </w:p>
        </w:tc>
        <w:tc>
          <w:tcPr>
            <w:tcW w:w="2268" w:type="dxa"/>
            <w:hideMark/>
          </w:tcPr>
          <w:p w14:paraId="5248C654"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Victorian Department of Health</w:t>
            </w:r>
          </w:p>
        </w:tc>
        <w:tc>
          <w:tcPr>
            <w:tcW w:w="1842" w:type="dxa"/>
            <w:hideMark/>
          </w:tcPr>
          <w:p w14:paraId="4CED7582"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Yearly</w:t>
            </w:r>
          </w:p>
        </w:tc>
        <w:tc>
          <w:tcPr>
            <w:tcW w:w="3056" w:type="dxa"/>
          </w:tcPr>
          <w:p w14:paraId="4CC1D2C5"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rsidRPr="00420DEE">
              <w:t>https://www.health.vic.gov.au/maternal-child-health/maternal-child-and-health-reporting-and-data</w:t>
            </w:r>
          </w:p>
        </w:tc>
      </w:tr>
      <w:tr w:rsidR="00D435FB" w14:paraId="43F598FB" w14:textId="77777777">
        <w:tc>
          <w:tcPr>
            <w:cnfStyle w:val="001000000000" w:firstRow="0" w:lastRow="0" w:firstColumn="1" w:lastColumn="0" w:oddVBand="0" w:evenVBand="0" w:oddHBand="0" w:evenHBand="0" w:firstRowFirstColumn="0" w:firstRowLastColumn="0" w:lastRowFirstColumn="0" w:lastRowLastColumn="0"/>
            <w:tcW w:w="2122" w:type="dxa"/>
            <w:hideMark/>
          </w:tcPr>
          <w:p w14:paraId="4CA4FA08" w14:textId="5E497F96" w:rsidR="00D435FB" w:rsidRPr="00773005" w:rsidRDefault="00D435FB">
            <w:pPr>
              <w:pStyle w:val="Body"/>
              <w:rPr>
                <w:b w:val="0"/>
                <w:bCs w:val="0"/>
              </w:rPr>
            </w:pPr>
            <w:r w:rsidRPr="00731B6E">
              <w:t>National Causes of Death</w:t>
            </w:r>
          </w:p>
        </w:tc>
        <w:tc>
          <w:tcPr>
            <w:tcW w:w="2268" w:type="dxa"/>
            <w:hideMark/>
          </w:tcPr>
          <w:p w14:paraId="7018E902" w14:textId="3C10E590" w:rsidR="00D435FB" w:rsidRDefault="009452D7">
            <w:pPr>
              <w:pStyle w:val="Body"/>
              <w:cnfStyle w:val="000000000000" w:firstRow="0" w:lastRow="0" w:firstColumn="0" w:lastColumn="0" w:oddVBand="0" w:evenVBand="0" w:oddHBand="0" w:evenHBand="0" w:firstRowFirstColumn="0" w:firstRowLastColumn="0" w:lastRowFirstColumn="0" w:lastRowLastColumn="0"/>
            </w:pPr>
            <w:r>
              <w:t>ABS</w:t>
            </w:r>
          </w:p>
        </w:tc>
        <w:tc>
          <w:tcPr>
            <w:tcW w:w="1842" w:type="dxa"/>
            <w:hideMark/>
          </w:tcPr>
          <w:p w14:paraId="06AFE558"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Yearly</w:t>
            </w:r>
          </w:p>
        </w:tc>
        <w:tc>
          <w:tcPr>
            <w:tcW w:w="3056" w:type="dxa"/>
          </w:tcPr>
          <w:p w14:paraId="24FE1EF0"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rsidRPr="007D6566">
              <w:t>https://www.aihw.gov.au/about-our-data/our-data-</w:t>
            </w:r>
            <w:r w:rsidRPr="007D6566">
              <w:lastRenderedPageBreak/>
              <w:t>collections/national-mortality-database/deaths-data</w:t>
            </w:r>
          </w:p>
        </w:tc>
      </w:tr>
      <w:tr w:rsidR="00D435FB" w14:paraId="7FD2BD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FFAAD13" w14:textId="77777777" w:rsidR="00D435FB" w:rsidRPr="00773005" w:rsidRDefault="00D435FB">
            <w:pPr>
              <w:pStyle w:val="Body"/>
              <w:rPr>
                <w:b w:val="0"/>
                <w:bCs w:val="0"/>
              </w:rPr>
            </w:pPr>
            <w:r w:rsidRPr="00731B6E">
              <w:lastRenderedPageBreak/>
              <w:t>National Health Survey</w:t>
            </w:r>
          </w:p>
        </w:tc>
        <w:tc>
          <w:tcPr>
            <w:tcW w:w="2268" w:type="dxa"/>
            <w:hideMark/>
          </w:tcPr>
          <w:p w14:paraId="0ECE8E38" w14:textId="167FC166" w:rsidR="00D435FB" w:rsidRDefault="009452D7">
            <w:pPr>
              <w:pStyle w:val="Body"/>
              <w:cnfStyle w:val="000000100000" w:firstRow="0" w:lastRow="0" w:firstColumn="0" w:lastColumn="0" w:oddVBand="0" w:evenVBand="0" w:oddHBand="1" w:evenHBand="0" w:firstRowFirstColumn="0" w:firstRowLastColumn="0" w:lastRowFirstColumn="0" w:lastRowLastColumn="0"/>
            </w:pPr>
            <w:r>
              <w:t>ABS</w:t>
            </w:r>
          </w:p>
        </w:tc>
        <w:tc>
          <w:tcPr>
            <w:tcW w:w="1842" w:type="dxa"/>
            <w:hideMark/>
          </w:tcPr>
          <w:p w14:paraId="2532A56E"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Every three years</w:t>
            </w:r>
          </w:p>
        </w:tc>
        <w:tc>
          <w:tcPr>
            <w:tcW w:w="3056" w:type="dxa"/>
          </w:tcPr>
          <w:p w14:paraId="23013173"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rsidRPr="00BA58B6">
              <w:t>https://www.abs.gov.au/statistics/health/health-conditions-and-risks/national-health-survey-first-results/latest-release</w:t>
            </w:r>
          </w:p>
        </w:tc>
      </w:tr>
      <w:tr w:rsidR="00D435FB" w14:paraId="3EE0963F" w14:textId="77777777">
        <w:tc>
          <w:tcPr>
            <w:cnfStyle w:val="001000000000" w:firstRow="0" w:lastRow="0" w:firstColumn="1" w:lastColumn="0" w:oddVBand="0" w:evenVBand="0" w:oddHBand="0" w:evenHBand="0" w:firstRowFirstColumn="0" w:firstRowLastColumn="0" w:lastRowFirstColumn="0" w:lastRowLastColumn="0"/>
            <w:tcW w:w="2122" w:type="dxa"/>
            <w:hideMark/>
          </w:tcPr>
          <w:p w14:paraId="52A999FE" w14:textId="77777777" w:rsidR="00D435FB" w:rsidRPr="00773005" w:rsidRDefault="00D435FB">
            <w:pPr>
              <w:pStyle w:val="Body"/>
              <w:rPr>
                <w:b w:val="0"/>
                <w:bCs w:val="0"/>
              </w:rPr>
            </w:pPr>
            <w:r w:rsidRPr="00731B6E">
              <w:t>Census</w:t>
            </w:r>
          </w:p>
        </w:tc>
        <w:tc>
          <w:tcPr>
            <w:tcW w:w="2268" w:type="dxa"/>
            <w:hideMark/>
          </w:tcPr>
          <w:p w14:paraId="4F857BD1" w14:textId="667F607B" w:rsidR="00D435FB" w:rsidRDefault="009452D7">
            <w:pPr>
              <w:pStyle w:val="Body"/>
              <w:cnfStyle w:val="000000000000" w:firstRow="0" w:lastRow="0" w:firstColumn="0" w:lastColumn="0" w:oddVBand="0" w:evenVBand="0" w:oddHBand="0" w:evenHBand="0" w:firstRowFirstColumn="0" w:firstRowLastColumn="0" w:lastRowFirstColumn="0" w:lastRowLastColumn="0"/>
            </w:pPr>
            <w:r>
              <w:t>ABS</w:t>
            </w:r>
          </w:p>
        </w:tc>
        <w:tc>
          <w:tcPr>
            <w:tcW w:w="1842" w:type="dxa"/>
            <w:hideMark/>
          </w:tcPr>
          <w:p w14:paraId="4EEBD2E6"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Every 5 years</w:t>
            </w:r>
          </w:p>
        </w:tc>
        <w:tc>
          <w:tcPr>
            <w:tcW w:w="3056" w:type="dxa"/>
          </w:tcPr>
          <w:p w14:paraId="48069074"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rsidRPr="008958CA">
              <w:t>https://www.abs.gov.au/census</w:t>
            </w:r>
          </w:p>
        </w:tc>
      </w:tr>
      <w:tr w:rsidR="00D435FB" w14:paraId="185DAE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F0BC23" w14:textId="77777777" w:rsidR="00D435FB" w:rsidRPr="00773005" w:rsidRDefault="00D435FB">
            <w:pPr>
              <w:pStyle w:val="Body"/>
              <w:rPr>
                <w:b w:val="0"/>
                <w:bCs w:val="0"/>
              </w:rPr>
            </w:pPr>
            <w:r w:rsidRPr="00731B6E">
              <w:t>Australian Energy Statistics</w:t>
            </w:r>
          </w:p>
        </w:tc>
        <w:tc>
          <w:tcPr>
            <w:tcW w:w="2268" w:type="dxa"/>
          </w:tcPr>
          <w:p w14:paraId="566E6EF8"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Australian Government Department of Climate Change, Energy, the Environment, and Water</w:t>
            </w:r>
          </w:p>
        </w:tc>
        <w:tc>
          <w:tcPr>
            <w:tcW w:w="1842" w:type="dxa"/>
          </w:tcPr>
          <w:p w14:paraId="65A3FB48"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Yearly</w:t>
            </w:r>
          </w:p>
        </w:tc>
        <w:tc>
          <w:tcPr>
            <w:tcW w:w="3056" w:type="dxa"/>
          </w:tcPr>
          <w:p w14:paraId="5EEBD52B" w14:textId="77777777" w:rsidR="00D435FB" w:rsidRPr="008958CA" w:rsidRDefault="00D435FB">
            <w:pPr>
              <w:pStyle w:val="Body"/>
              <w:cnfStyle w:val="000000100000" w:firstRow="0" w:lastRow="0" w:firstColumn="0" w:lastColumn="0" w:oddVBand="0" w:evenVBand="0" w:oddHBand="1" w:evenHBand="0" w:firstRowFirstColumn="0" w:firstRowLastColumn="0" w:lastRowFirstColumn="0" w:lastRowLastColumn="0"/>
            </w:pPr>
            <w:r w:rsidRPr="002A2630">
              <w:t>https://www.energy.gov.au/government-priorities/energy-data/australian-energy-statistics</w:t>
            </w:r>
          </w:p>
        </w:tc>
      </w:tr>
      <w:tr w:rsidR="00D435FB" w14:paraId="501E97A0" w14:textId="77777777">
        <w:tc>
          <w:tcPr>
            <w:cnfStyle w:val="001000000000" w:firstRow="0" w:lastRow="0" w:firstColumn="1" w:lastColumn="0" w:oddVBand="0" w:evenVBand="0" w:oddHBand="0" w:evenHBand="0" w:firstRowFirstColumn="0" w:firstRowLastColumn="0" w:lastRowFirstColumn="0" w:lastRowLastColumn="0"/>
            <w:tcW w:w="2122" w:type="dxa"/>
          </w:tcPr>
          <w:p w14:paraId="5CFE78EB" w14:textId="77777777" w:rsidR="00D435FB" w:rsidRPr="00773005" w:rsidRDefault="00D435FB">
            <w:pPr>
              <w:pStyle w:val="Body"/>
              <w:rPr>
                <w:b w:val="0"/>
                <w:bCs w:val="0"/>
              </w:rPr>
            </w:pPr>
            <w:r w:rsidRPr="00731B6E">
              <w:t>National Greenhouse Gas Inventory</w:t>
            </w:r>
          </w:p>
        </w:tc>
        <w:tc>
          <w:tcPr>
            <w:tcW w:w="2268" w:type="dxa"/>
          </w:tcPr>
          <w:p w14:paraId="2971A876"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Australian Government Department of Climate Change, Energy, the Environment, and Water</w:t>
            </w:r>
          </w:p>
        </w:tc>
        <w:tc>
          <w:tcPr>
            <w:tcW w:w="1842" w:type="dxa"/>
          </w:tcPr>
          <w:p w14:paraId="08588F96" w14:textId="77777777" w:rsidR="00D435FB" w:rsidRDefault="00D435FB">
            <w:pPr>
              <w:pStyle w:val="Body"/>
              <w:cnfStyle w:val="000000000000" w:firstRow="0" w:lastRow="0" w:firstColumn="0" w:lastColumn="0" w:oddVBand="0" w:evenVBand="0" w:oddHBand="0" w:evenHBand="0" w:firstRowFirstColumn="0" w:firstRowLastColumn="0" w:lastRowFirstColumn="0" w:lastRowLastColumn="0"/>
            </w:pPr>
            <w:r>
              <w:t>Quarterly</w:t>
            </w:r>
          </w:p>
        </w:tc>
        <w:tc>
          <w:tcPr>
            <w:tcW w:w="3056" w:type="dxa"/>
          </w:tcPr>
          <w:p w14:paraId="4889235E" w14:textId="77777777" w:rsidR="00D435FB" w:rsidRPr="008958CA" w:rsidRDefault="00D435FB">
            <w:pPr>
              <w:pStyle w:val="Body"/>
              <w:cnfStyle w:val="000000000000" w:firstRow="0" w:lastRow="0" w:firstColumn="0" w:lastColumn="0" w:oddVBand="0" w:evenVBand="0" w:oddHBand="0" w:evenHBand="0" w:firstRowFirstColumn="0" w:firstRowLastColumn="0" w:lastRowFirstColumn="0" w:lastRowLastColumn="0"/>
            </w:pPr>
            <w:r w:rsidRPr="00FD4B0E">
              <w:t>https://www.dcceew.gov.au/climate-change/publications/national-greenhouse-accounts-2020/state-and-territory-greenhouse-gas-inventories-emissions-metrics</w:t>
            </w:r>
          </w:p>
        </w:tc>
      </w:tr>
      <w:tr w:rsidR="00D435FB" w14:paraId="4F70C5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0ABC418" w14:textId="77777777" w:rsidR="00D435FB" w:rsidRPr="00773005" w:rsidRDefault="00D435FB">
            <w:pPr>
              <w:pStyle w:val="Body"/>
              <w:rPr>
                <w:b w:val="0"/>
                <w:bCs w:val="0"/>
              </w:rPr>
            </w:pPr>
            <w:r w:rsidRPr="00731B6E">
              <w:t>Australian Immunisation Register</w:t>
            </w:r>
          </w:p>
        </w:tc>
        <w:tc>
          <w:tcPr>
            <w:tcW w:w="2268" w:type="dxa"/>
            <w:hideMark/>
          </w:tcPr>
          <w:p w14:paraId="188EA6EF"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Australian Government Department of Health and Aged Care</w:t>
            </w:r>
          </w:p>
        </w:tc>
        <w:tc>
          <w:tcPr>
            <w:tcW w:w="1842" w:type="dxa"/>
            <w:hideMark/>
          </w:tcPr>
          <w:p w14:paraId="33A6ECFA"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t>Quarterly</w:t>
            </w:r>
          </w:p>
        </w:tc>
        <w:tc>
          <w:tcPr>
            <w:tcW w:w="3056" w:type="dxa"/>
          </w:tcPr>
          <w:p w14:paraId="25DDF79B" w14:textId="77777777" w:rsidR="00D435FB" w:rsidRDefault="00D435FB">
            <w:pPr>
              <w:pStyle w:val="Body"/>
              <w:cnfStyle w:val="000000100000" w:firstRow="0" w:lastRow="0" w:firstColumn="0" w:lastColumn="0" w:oddVBand="0" w:evenVBand="0" w:oddHBand="1" w:evenHBand="0" w:firstRowFirstColumn="0" w:firstRowLastColumn="0" w:lastRowFirstColumn="0" w:lastRowLastColumn="0"/>
            </w:pPr>
            <w:r w:rsidRPr="00E7571C">
              <w:t>https://www.servicesaustralia.gov.au/australian-immunisation-register</w:t>
            </w:r>
          </w:p>
        </w:tc>
      </w:tr>
    </w:tbl>
    <w:p w14:paraId="0DD2A29C" w14:textId="77777777" w:rsidR="00D435FB" w:rsidRDefault="00D435FB" w:rsidP="00D435FB">
      <w:pPr>
        <w:pStyle w:val="Body"/>
      </w:pPr>
    </w:p>
    <w:p w14:paraId="0BF8BB4A" w14:textId="77777777" w:rsidR="00D435FB" w:rsidRPr="00D435FB" w:rsidRDefault="00D435FB" w:rsidP="00D435FB">
      <w:pPr>
        <w:pStyle w:val="Body"/>
      </w:pPr>
      <w:r>
        <w:br w:type="page"/>
      </w:r>
    </w:p>
    <w:p w14:paraId="17B41CE8" w14:textId="64B4ED19" w:rsidR="00DD4C9F" w:rsidRDefault="00DD4C9F" w:rsidP="00DD4C9F">
      <w:pPr>
        <w:pStyle w:val="Heading1"/>
      </w:pPr>
      <w:bookmarkStart w:id="78" w:name="_Toc151976162"/>
      <w:r>
        <w:lastRenderedPageBreak/>
        <w:t>References</w:t>
      </w:r>
      <w:bookmarkEnd w:id="1"/>
      <w:bookmarkEnd w:id="78"/>
    </w:p>
    <w:sectPr w:rsidR="00DD4C9F" w:rsidSect="00454A7D">
      <w:headerReference w:type="even" r:id="rId81"/>
      <w:headerReference w:type="default" r:id="rId82"/>
      <w:footerReference w:type="even" r:id="rId83"/>
      <w:footerReference w:type="default" r:id="rId84"/>
      <w:endnotePr>
        <w:numFmt w:val="decimal"/>
      </w:endnotePr>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B7EF" w14:textId="77777777" w:rsidR="00110EED" w:rsidRDefault="00110EED">
      <w:r>
        <w:separator/>
      </w:r>
    </w:p>
    <w:p w14:paraId="4FFE109C" w14:textId="77777777" w:rsidR="00110EED" w:rsidRDefault="00110EED"/>
  </w:endnote>
  <w:endnote w:type="continuationSeparator" w:id="0">
    <w:p w14:paraId="26BA6613" w14:textId="77777777" w:rsidR="00110EED" w:rsidRDefault="00110EED">
      <w:r>
        <w:continuationSeparator/>
      </w:r>
    </w:p>
    <w:p w14:paraId="57EABEF1" w14:textId="77777777" w:rsidR="00110EED" w:rsidRDefault="00110EED"/>
  </w:endnote>
  <w:endnote w:type="continuationNotice" w:id="1">
    <w:p w14:paraId="5A9A3AAD" w14:textId="77777777" w:rsidR="00110EED" w:rsidRDefault="00110EED">
      <w:pPr>
        <w:spacing w:after="0" w:line="240" w:lineRule="auto"/>
      </w:pPr>
    </w:p>
  </w:endnote>
  <w:endnote w:id="2">
    <w:p w14:paraId="32AF078C" w14:textId="5F76320C"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Government of Victoria</w:t>
      </w:r>
      <w:r w:rsidR="001D5081" w:rsidRPr="005039B3">
        <w:rPr>
          <w:rFonts w:cs="Arial"/>
          <w:sz w:val="18"/>
          <w:szCs w:val="18"/>
        </w:rPr>
        <w:t xml:space="preserve"> (2018)</w:t>
      </w:r>
      <w:r w:rsidRPr="005039B3">
        <w:rPr>
          <w:rFonts w:cs="Arial"/>
          <w:sz w:val="18"/>
          <w:szCs w:val="18"/>
        </w:rPr>
        <w:t xml:space="preserve"> </w:t>
      </w:r>
      <w:r w:rsidRPr="005039B3">
        <w:rPr>
          <w:rFonts w:cs="Arial"/>
          <w:i/>
          <w:iCs/>
          <w:sz w:val="18"/>
          <w:szCs w:val="18"/>
        </w:rPr>
        <w:t>The Victorian Aboriginal Affairs Framework</w:t>
      </w:r>
      <w:r w:rsidRPr="005039B3">
        <w:rPr>
          <w:rFonts w:cs="Arial"/>
          <w:sz w:val="18"/>
          <w:szCs w:val="18"/>
        </w:rPr>
        <w:t xml:space="preserve"> 2018</w:t>
      </w:r>
      <w:r w:rsidR="00467793" w:rsidRPr="005039B3">
        <w:rPr>
          <w:rFonts w:cs="Arial"/>
          <w:sz w:val="18"/>
          <w:szCs w:val="18"/>
        </w:rPr>
        <w:t>–</w:t>
      </w:r>
      <w:r w:rsidRPr="005039B3">
        <w:rPr>
          <w:rFonts w:cs="Arial"/>
          <w:sz w:val="18"/>
          <w:szCs w:val="18"/>
        </w:rPr>
        <w:t xml:space="preserve">2023. </w:t>
      </w:r>
    </w:p>
  </w:endnote>
  <w:endnote w:id="3">
    <w:p w14:paraId="7FC148EB" w14:textId="66D3E65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National Aboriginal Health Strategy Working Party</w:t>
      </w:r>
      <w:r w:rsidR="001D5081" w:rsidRPr="005039B3">
        <w:rPr>
          <w:rFonts w:cs="Arial"/>
          <w:sz w:val="18"/>
          <w:szCs w:val="18"/>
        </w:rPr>
        <w:t xml:space="preserve"> (1989)</w:t>
      </w:r>
      <w:r w:rsidRPr="005039B3">
        <w:rPr>
          <w:rFonts w:cs="Arial"/>
          <w:sz w:val="18"/>
          <w:szCs w:val="18"/>
        </w:rPr>
        <w:t xml:space="preserve"> </w:t>
      </w:r>
      <w:r w:rsidRPr="005039B3">
        <w:rPr>
          <w:rFonts w:cs="Arial"/>
          <w:i/>
          <w:iCs/>
          <w:sz w:val="18"/>
          <w:szCs w:val="18"/>
        </w:rPr>
        <w:t>A national Aboriginal health strategy</w:t>
      </w:r>
      <w:r w:rsidR="0067424A" w:rsidRPr="005039B3">
        <w:rPr>
          <w:rFonts w:cs="Arial"/>
          <w:sz w:val="18"/>
          <w:szCs w:val="18"/>
        </w:rPr>
        <w:t xml:space="preserve">, </w:t>
      </w:r>
      <w:r w:rsidRPr="005039B3">
        <w:rPr>
          <w:rFonts w:cs="Arial"/>
          <w:sz w:val="18"/>
          <w:szCs w:val="18"/>
        </w:rPr>
        <w:t>Australian Government Department of Aboriginal Affairs.</w:t>
      </w:r>
    </w:p>
  </w:endnote>
  <w:endnote w:id="4">
    <w:p w14:paraId="64FAD88C" w14:textId="4785073D"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Human Services</w:t>
      </w:r>
      <w:r w:rsidR="006A7630" w:rsidRPr="005039B3">
        <w:rPr>
          <w:rFonts w:cs="Arial"/>
          <w:sz w:val="18"/>
          <w:szCs w:val="18"/>
        </w:rPr>
        <w:t xml:space="preserve"> (</w:t>
      </w:r>
      <w:r w:rsidR="005256D7" w:rsidRPr="005039B3">
        <w:rPr>
          <w:rFonts w:cs="Arial"/>
          <w:sz w:val="18"/>
          <w:szCs w:val="18"/>
        </w:rPr>
        <w:t>2016)</w:t>
      </w:r>
      <w:r w:rsidRPr="005039B3">
        <w:rPr>
          <w:rFonts w:cs="Arial"/>
          <w:sz w:val="18"/>
          <w:szCs w:val="18"/>
        </w:rPr>
        <w:t xml:space="preserve"> </w:t>
      </w:r>
      <w:hyperlink r:id="rId1" w:history="1">
        <w:r w:rsidRPr="005039B3">
          <w:rPr>
            <w:rStyle w:val="Hyperlink"/>
            <w:rFonts w:cs="Arial"/>
            <w:i/>
            <w:iCs/>
            <w:sz w:val="18"/>
            <w:szCs w:val="18"/>
          </w:rPr>
          <w:t>Victorian public health and wellbeing outcomes framework 2016</w:t>
        </w:r>
      </w:hyperlink>
      <w:r w:rsidR="0094644B">
        <w:rPr>
          <w:rStyle w:val="Hyperlink"/>
          <w:rFonts w:cs="Arial"/>
          <w:i/>
          <w:iCs/>
          <w:sz w:val="18"/>
          <w:szCs w:val="18"/>
        </w:rPr>
        <w:t xml:space="preserve"> </w:t>
      </w:r>
      <w:r w:rsidR="0094644B" w:rsidRPr="0094644B">
        <w:rPr>
          <w:sz w:val="18"/>
          <w:szCs w:val="18"/>
        </w:rPr>
        <w:t>&lt;https://www.health.vic.gov.au/publications/victorian-public-health-and-wellbeing-outcomes-framework-and-data-dictionary&gt;</w:t>
      </w:r>
      <w:r w:rsidRPr="0094644B">
        <w:rPr>
          <w:rFonts w:cs="Arial"/>
          <w:sz w:val="18"/>
          <w:szCs w:val="18"/>
        </w:rPr>
        <w:t>,</w:t>
      </w:r>
      <w:r w:rsidR="0094644B" w:rsidRPr="0094644B">
        <w:rPr>
          <w:rFonts w:cs="Arial"/>
          <w:sz w:val="18"/>
          <w:szCs w:val="18"/>
        </w:rPr>
        <w:t xml:space="preserve"> </w:t>
      </w:r>
      <w:r w:rsidRPr="0094644B">
        <w:rPr>
          <w:rFonts w:cs="Arial"/>
          <w:sz w:val="18"/>
          <w:szCs w:val="18"/>
        </w:rPr>
        <w:t xml:space="preserve"> State</w:t>
      </w:r>
      <w:r w:rsidRPr="005039B3">
        <w:rPr>
          <w:rFonts w:cs="Arial"/>
          <w:sz w:val="18"/>
          <w:szCs w:val="18"/>
        </w:rPr>
        <w:t xml:space="preserve"> Government of Victoria, Melbourne.</w:t>
      </w:r>
    </w:p>
  </w:endnote>
  <w:endnote w:id="5">
    <w:p w14:paraId="704FC599" w14:textId="6D538820" w:rsidR="000373DE" w:rsidRPr="005B0CE9" w:rsidRDefault="000373DE">
      <w:pPr>
        <w:pStyle w:val="EndnoteText"/>
        <w:rPr>
          <w:sz w:val="18"/>
          <w:szCs w:val="18"/>
        </w:rPr>
      </w:pPr>
      <w:r w:rsidRPr="005B0CE9">
        <w:rPr>
          <w:rStyle w:val="EndnoteReference"/>
          <w:sz w:val="18"/>
          <w:szCs w:val="18"/>
        </w:rPr>
        <w:endnoteRef/>
      </w:r>
      <w:r w:rsidRPr="005B0CE9">
        <w:rPr>
          <w:sz w:val="18"/>
          <w:szCs w:val="18"/>
        </w:rPr>
        <w:t xml:space="preserve"> Department of Health</w:t>
      </w:r>
      <w:r w:rsidR="001A4C56" w:rsidRPr="005B0CE9">
        <w:rPr>
          <w:sz w:val="18"/>
          <w:szCs w:val="18"/>
        </w:rPr>
        <w:t xml:space="preserve"> (2023) </w:t>
      </w:r>
      <w:hyperlink r:id="rId2" w:history="1">
        <w:r w:rsidR="001A4C56" w:rsidRPr="005B0CE9">
          <w:rPr>
            <w:rStyle w:val="Hyperlink"/>
            <w:sz w:val="18"/>
            <w:szCs w:val="18"/>
          </w:rPr>
          <w:t>Victorian public health and wellbeing plan 2023-</w:t>
        </w:r>
      </w:hyperlink>
      <w:r w:rsidR="001A4C56" w:rsidRPr="005B0CE9">
        <w:rPr>
          <w:rStyle w:val="Hyperlink"/>
          <w:sz w:val="18"/>
          <w:szCs w:val="18"/>
        </w:rPr>
        <w:t>27</w:t>
      </w:r>
      <w:r w:rsidR="005B0CE9">
        <w:rPr>
          <w:rStyle w:val="Hyperlink"/>
        </w:rPr>
        <w:t xml:space="preserve"> </w:t>
      </w:r>
      <w:r w:rsidR="005B0CE9">
        <w:rPr>
          <w:sz w:val="18"/>
          <w:szCs w:val="18"/>
        </w:rPr>
        <w:t>&lt;</w:t>
      </w:r>
      <w:r w:rsidR="005B0CE9" w:rsidRPr="005B0CE9">
        <w:rPr>
          <w:sz w:val="18"/>
          <w:szCs w:val="18"/>
        </w:rPr>
        <w:t>https://www.health.vic.gov.au/victorian-public-health-and-wellbeing-plan</w:t>
      </w:r>
      <w:r w:rsidR="005B0CE9">
        <w:rPr>
          <w:sz w:val="18"/>
          <w:szCs w:val="18"/>
        </w:rPr>
        <w:t>&gt;</w:t>
      </w:r>
      <w:r w:rsidR="001A4C56" w:rsidRPr="005B0CE9">
        <w:rPr>
          <w:sz w:val="18"/>
          <w:szCs w:val="18"/>
        </w:rPr>
        <w:t>, State Government of Victoria, Melbourne</w:t>
      </w:r>
    </w:p>
  </w:endnote>
  <w:endnote w:id="6">
    <w:p w14:paraId="263BB481" w14:textId="64BB870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Premier and Cabinet</w:t>
      </w:r>
      <w:r w:rsidR="0039522F" w:rsidRPr="005039B3">
        <w:rPr>
          <w:rFonts w:cs="Arial"/>
          <w:sz w:val="18"/>
          <w:szCs w:val="18"/>
        </w:rPr>
        <w:t xml:space="preserve"> (2019)</w:t>
      </w:r>
      <w:r w:rsidRPr="005039B3">
        <w:rPr>
          <w:rFonts w:cs="Arial"/>
          <w:sz w:val="18"/>
          <w:szCs w:val="18"/>
        </w:rPr>
        <w:t xml:space="preserve"> </w:t>
      </w:r>
      <w:r w:rsidRPr="005039B3">
        <w:rPr>
          <w:rFonts w:cs="Arial"/>
          <w:i/>
          <w:iCs/>
          <w:sz w:val="18"/>
          <w:szCs w:val="18"/>
        </w:rPr>
        <w:t>Outcomes Reform in Victoria</w:t>
      </w:r>
      <w:r w:rsidRPr="005039B3">
        <w:rPr>
          <w:rFonts w:cs="Arial"/>
          <w:sz w:val="18"/>
          <w:szCs w:val="18"/>
        </w:rPr>
        <w:t>, State Government of Victoria, Melbourne.</w:t>
      </w:r>
    </w:p>
  </w:endnote>
  <w:endnote w:id="7">
    <w:p w14:paraId="1613D629" w14:textId="334EAA48"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Ebi KL, Hess JJ</w:t>
      </w:r>
      <w:r w:rsidR="00AE51D9" w:rsidRPr="005039B3">
        <w:rPr>
          <w:rFonts w:cs="Arial"/>
          <w:sz w:val="18"/>
          <w:szCs w:val="18"/>
        </w:rPr>
        <w:t xml:space="preserve"> (2020)</w:t>
      </w:r>
      <w:r w:rsidRPr="005039B3">
        <w:rPr>
          <w:rFonts w:cs="Arial"/>
          <w:sz w:val="18"/>
          <w:szCs w:val="18"/>
        </w:rPr>
        <w:t xml:space="preserve"> </w:t>
      </w:r>
      <w:r w:rsidR="00A91E31" w:rsidRPr="005039B3">
        <w:rPr>
          <w:rFonts w:cs="Arial"/>
          <w:sz w:val="18"/>
          <w:szCs w:val="18"/>
        </w:rPr>
        <w:t>‘</w:t>
      </w:r>
      <w:r w:rsidRPr="005039B3">
        <w:rPr>
          <w:rFonts w:cs="Arial"/>
          <w:sz w:val="18"/>
          <w:szCs w:val="18"/>
        </w:rPr>
        <w:t>Health Risks Due To Climate Change: Inequity In Causes And Consequences</w:t>
      </w:r>
      <w:r w:rsidR="00BA7ADD" w:rsidRPr="005039B3">
        <w:rPr>
          <w:rFonts w:cs="Arial"/>
          <w:sz w:val="18"/>
          <w:szCs w:val="18"/>
        </w:rPr>
        <w:t>’,</w:t>
      </w:r>
      <w:r w:rsidRPr="005039B3">
        <w:rPr>
          <w:rFonts w:cs="Arial"/>
          <w:sz w:val="18"/>
          <w:szCs w:val="18"/>
        </w:rPr>
        <w:t xml:space="preserve"> </w:t>
      </w:r>
      <w:r w:rsidRPr="005039B3">
        <w:rPr>
          <w:rFonts w:cs="Arial"/>
          <w:i/>
          <w:iCs/>
          <w:sz w:val="18"/>
          <w:szCs w:val="18"/>
        </w:rPr>
        <w:t>Health Aff</w:t>
      </w:r>
      <w:r w:rsidR="00BA7ADD" w:rsidRPr="005039B3">
        <w:rPr>
          <w:rFonts w:cs="Arial"/>
          <w:i/>
          <w:iCs/>
          <w:sz w:val="18"/>
          <w:szCs w:val="18"/>
        </w:rPr>
        <w:t>airs</w:t>
      </w:r>
      <w:r w:rsidR="00134A43" w:rsidRPr="005039B3">
        <w:rPr>
          <w:rFonts w:cs="Arial"/>
          <w:sz w:val="18"/>
          <w:szCs w:val="18"/>
        </w:rPr>
        <w:t>,</w:t>
      </w:r>
      <w:r w:rsidRPr="005039B3">
        <w:rPr>
          <w:rFonts w:cs="Arial"/>
          <w:sz w:val="18"/>
          <w:szCs w:val="18"/>
        </w:rPr>
        <w:t xml:space="preserve"> 39(12):2</w:t>
      </w:r>
      <w:r w:rsidR="00134A43" w:rsidRPr="005039B3">
        <w:rPr>
          <w:rFonts w:cs="Arial"/>
          <w:sz w:val="18"/>
          <w:szCs w:val="18"/>
        </w:rPr>
        <w:t>,</w:t>
      </w:r>
      <w:r w:rsidRPr="005039B3">
        <w:rPr>
          <w:rFonts w:cs="Arial"/>
          <w:sz w:val="18"/>
          <w:szCs w:val="18"/>
        </w:rPr>
        <w:t>056</w:t>
      </w:r>
      <w:r w:rsidR="00134A43" w:rsidRPr="005039B3">
        <w:rPr>
          <w:rFonts w:cs="Arial"/>
          <w:sz w:val="18"/>
          <w:szCs w:val="18"/>
        </w:rPr>
        <w:t>–</w:t>
      </w:r>
      <w:r w:rsidRPr="005039B3">
        <w:rPr>
          <w:rFonts w:cs="Arial"/>
          <w:sz w:val="18"/>
          <w:szCs w:val="18"/>
        </w:rPr>
        <w:t>2</w:t>
      </w:r>
      <w:r w:rsidR="00134A43" w:rsidRPr="005039B3">
        <w:rPr>
          <w:rFonts w:cs="Arial"/>
          <w:sz w:val="18"/>
          <w:szCs w:val="18"/>
        </w:rPr>
        <w:t>,</w:t>
      </w:r>
      <w:r w:rsidRPr="005039B3">
        <w:rPr>
          <w:rFonts w:cs="Arial"/>
          <w:sz w:val="18"/>
          <w:szCs w:val="18"/>
        </w:rPr>
        <w:t>062.</w:t>
      </w:r>
    </w:p>
  </w:endnote>
  <w:endnote w:id="8">
    <w:p w14:paraId="120BA85B" w14:textId="696B7FAC"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Friel S </w:t>
      </w:r>
      <w:r w:rsidR="00390D41" w:rsidRPr="005039B3">
        <w:rPr>
          <w:rFonts w:cs="Arial"/>
          <w:sz w:val="18"/>
          <w:szCs w:val="18"/>
        </w:rPr>
        <w:t>(</w:t>
      </w:r>
      <w:r w:rsidRPr="005039B3">
        <w:rPr>
          <w:rFonts w:cs="Arial"/>
          <w:sz w:val="18"/>
          <w:szCs w:val="18"/>
        </w:rPr>
        <w:t>2022</w:t>
      </w:r>
      <w:r w:rsidR="00390D41" w:rsidRPr="005039B3">
        <w:rPr>
          <w:rFonts w:cs="Arial"/>
          <w:sz w:val="18"/>
          <w:szCs w:val="18"/>
        </w:rPr>
        <w:t>)</w:t>
      </w:r>
      <w:r w:rsidRPr="005039B3">
        <w:rPr>
          <w:rFonts w:cs="Arial"/>
          <w:sz w:val="18"/>
          <w:szCs w:val="18"/>
        </w:rPr>
        <w:t xml:space="preserve"> </w:t>
      </w:r>
      <w:r w:rsidR="004D2899" w:rsidRPr="005039B3">
        <w:rPr>
          <w:rFonts w:cs="Arial"/>
          <w:sz w:val="18"/>
          <w:szCs w:val="18"/>
        </w:rPr>
        <w:t>‘</w:t>
      </w:r>
      <w:r w:rsidRPr="005039B3">
        <w:rPr>
          <w:rFonts w:cs="Arial"/>
          <w:sz w:val="18"/>
          <w:szCs w:val="18"/>
        </w:rPr>
        <w:t>Climate change, society and health inequities</w:t>
      </w:r>
      <w:r w:rsidR="004D2899" w:rsidRPr="005039B3">
        <w:rPr>
          <w:rFonts w:cs="Arial"/>
          <w:sz w:val="18"/>
          <w:szCs w:val="18"/>
        </w:rPr>
        <w:t>’</w:t>
      </w:r>
      <w:r w:rsidRPr="005039B3">
        <w:rPr>
          <w:rFonts w:cs="Arial"/>
          <w:sz w:val="18"/>
          <w:szCs w:val="18"/>
        </w:rPr>
        <w:t xml:space="preserve">, </w:t>
      </w:r>
      <w:r w:rsidRPr="005039B3">
        <w:rPr>
          <w:rFonts w:cs="Arial"/>
          <w:i/>
          <w:iCs/>
          <w:sz w:val="18"/>
          <w:szCs w:val="18"/>
        </w:rPr>
        <w:t>Medical Journal of Australia</w:t>
      </w:r>
      <w:r w:rsidRPr="005039B3">
        <w:rPr>
          <w:rFonts w:cs="Arial"/>
          <w:sz w:val="18"/>
          <w:szCs w:val="18"/>
        </w:rPr>
        <w:t>, 217(9)</w:t>
      </w:r>
      <w:r w:rsidR="0036029A" w:rsidRPr="005039B3">
        <w:rPr>
          <w:rFonts w:cs="Arial"/>
          <w:sz w:val="18"/>
          <w:szCs w:val="18"/>
        </w:rPr>
        <w:t>.</w:t>
      </w:r>
      <w:r w:rsidRPr="005039B3">
        <w:rPr>
          <w:rFonts w:cs="Arial"/>
          <w:sz w:val="18"/>
          <w:szCs w:val="18"/>
        </w:rPr>
        <w:t xml:space="preserve"> </w:t>
      </w:r>
    </w:p>
  </w:endnote>
  <w:endnote w:id="9">
    <w:p w14:paraId="64466D25" w14:textId="230225D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hyperlink r:id="rId3" w:history="1">
        <w:r w:rsidR="00DA66F1" w:rsidRPr="005039B3">
          <w:rPr>
            <w:rStyle w:val="Hyperlink"/>
            <w:rFonts w:cs="Arial"/>
            <w:sz w:val="18"/>
            <w:szCs w:val="18"/>
          </w:rPr>
          <w:t>National Aboriginal and Torres Strait Islander Health Plan 2021–2031</w:t>
        </w:r>
      </w:hyperlink>
      <w:r w:rsidRPr="005039B3">
        <w:rPr>
          <w:rFonts w:cs="Arial"/>
          <w:sz w:val="18"/>
          <w:szCs w:val="18"/>
        </w:rPr>
        <w:t xml:space="preserve"> </w:t>
      </w:r>
      <w:r w:rsidR="00571B17" w:rsidRPr="005039B3">
        <w:rPr>
          <w:rFonts w:cs="Arial"/>
          <w:sz w:val="18"/>
          <w:szCs w:val="18"/>
        </w:rPr>
        <w:t xml:space="preserve">(2021) </w:t>
      </w:r>
      <w:r w:rsidR="004F2767" w:rsidRPr="005039B3">
        <w:rPr>
          <w:rFonts w:cs="Arial"/>
          <w:sz w:val="18"/>
          <w:szCs w:val="18"/>
        </w:rPr>
        <w:t>&lt;https://www.health.gov.au/resources/publications/national-aboriginal-and-torres-strait-islander-health-plan-2021-2031?language=en&gt;</w:t>
      </w:r>
      <w:r w:rsidR="008F3496" w:rsidRPr="005039B3">
        <w:rPr>
          <w:rFonts w:cs="Arial"/>
          <w:sz w:val="18"/>
          <w:szCs w:val="18"/>
        </w:rPr>
        <w:t>,</w:t>
      </w:r>
      <w:r w:rsidR="004F2767" w:rsidRPr="005039B3">
        <w:rPr>
          <w:rFonts w:cs="Arial"/>
          <w:sz w:val="18"/>
          <w:szCs w:val="18"/>
        </w:rPr>
        <w:t xml:space="preserve"> </w:t>
      </w:r>
      <w:r w:rsidR="000F6630" w:rsidRPr="005039B3">
        <w:rPr>
          <w:rFonts w:cs="Arial"/>
          <w:sz w:val="18"/>
          <w:szCs w:val="18"/>
        </w:rPr>
        <w:t>p. 18</w:t>
      </w:r>
      <w:r w:rsidR="004F2767" w:rsidRPr="005039B3">
        <w:rPr>
          <w:rFonts w:cs="Arial"/>
          <w:sz w:val="18"/>
          <w:szCs w:val="18"/>
        </w:rPr>
        <w:t>, accessed 13 November 2023</w:t>
      </w:r>
      <w:r w:rsidR="000F6630" w:rsidRPr="005039B3">
        <w:rPr>
          <w:rFonts w:cs="Arial"/>
          <w:sz w:val="18"/>
          <w:szCs w:val="18"/>
        </w:rPr>
        <w:t>.</w:t>
      </w:r>
    </w:p>
  </w:endnote>
  <w:endnote w:id="10">
    <w:p w14:paraId="7CD60638" w14:textId="2C28EF0D"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Premier and Cabinet </w:t>
      </w:r>
      <w:r w:rsidR="00031609" w:rsidRPr="005039B3">
        <w:rPr>
          <w:rFonts w:cs="Arial"/>
          <w:sz w:val="18"/>
          <w:szCs w:val="18"/>
        </w:rPr>
        <w:t>(</w:t>
      </w:r>
      <w:r w:rsidRPr="005039B3">
        <w:rPr>
          <w:rFonts w:cs="Arial"/>
          <w:sz w:val="18"/>
          <w:szCs w:val="18"/>
        </w:rPr>
        <w:t>2018</w:t>
      </w:r>
      <w:r w:rsidR="00031609" w:rsidRPr="005039B3">
        <w:rPr>
          <w:rFonts w:cs="Arial"/>
          <w:sz w:val="18"/>
          <w:szCs w:val="18"/>
        </w:rPr>
        <w:t>)</w:t>
      </w:r>
      <w:r w:rsidRPr="005039B3">
        <w:rPr>
          <w:rFonts w:cs="Arial"/>
          <w:sz w:val="18"/>
          <w:szCs w:val="18"/>
        </w:rPr>
        <w:t xml:space="preserve"> </w:t>
      </w:r>
      <w:r w:rsidRPr="005039B3">
        <w:rPr>
          <w:rFonts w:cs="Arial"/>
          <w:i/>
          <w:iCs/>
          <w:sz w:val="18"/>
          <w:szCs w:val="18"/>
        </w:rPr>
        <w:t>Victorian Aboriginal Affairs Framework 2016</w:t>
      </w:r>
      <w:r w:rsidR="00031609" w:rsidRPr="005039B3">
        <w:rPr>
          <w:rFonts w:cs="Arial"/>
          <w:i/>
          <w:iCs/>
          <w:sz w:val="18"/>
          <w:szCs w:val="18"/>
        </w:rPr>
        <w:t>–</w:t>
      </w:r>
      <w:r w:rsidRPr="005039B3">
        <w:rPr>
          <w:rFonts w:cs="Arial"/>
          <w:i/>
          <w:iCs/>
          <w:sz w:val="18"/>
          <w:szCs w:val="18"/>
        </w:rPr>
        <w:t>2023</w:t>
      </w:r>
      <w:r w:rsidRPr="005039B3">
        <w:rPr>
          <w:rFonts w:cs="Arial"/>
          <w:sz w:val="18"/>
          <w:szCs w:val="18"/>
        </w:rPr>
        <w:t xml:space="preserve">, State Government of Victoria, Melbourne. </w:t>
      </w:r>
    </w:p>
  </w:endnote>
  <w:endnote w:id="11">
    <w:p w14:paraId="39B9941F" w14:textId="77A18A92"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Human Services </w:t>
      </w:r>
      <w:r w:rsidR="00031609" w:rsidRPr="005039B3">
        <w:rPr>
          <w:rFonts w:cs="Arial"/>
          <w:sz w:val="18"/>
          <w:szCs w:val="18"/>
        </w:rPr>
        <w:t>(</w:t>
      </w:r>
      <w:r w:rsidRPr="005039B3">
        <w:rPr>
          <w:rFonts w:cs="Arial"/>
          <w:sz w:val="18"/>
          <w:szCs w:val="18"/>
        </w:rPr>
        <w:t>2017</w:t>
      </w:r>
      <w:r w:rsidR="00031609" w:rsidRPr="005039B3">
        <w:rPr>
          <w:rFonts w:cs="Arial"/>
          <w:sz w:val="18"/>
          <w:szCs w:val="18"/>
        </w:rPr>
        <w:t>)</w:t>
      </w:r>
      <w:r w:rsidRPr="005039B3">
        <w:rPr>
          <w:rFonts w:cs="Arial"/>
          <w:sz w:val="18"/>
          <w:szCs w:val="18"/>
        </w:rPr>
        <w:t xml:space="preserve"> </w:t>
      </w:r>
      <w:r w:rsidRPr="005039B3">
        <w:rPr>
          <w:rFonts w:cs="Arial"/>
          <w:i/>
          <w:iCs/>
          <w:sz w:val="18"/>
          <w:szCs w:val="18"/>
        </w:rPr>
        <w:t>Balit Murrup: Aboriginal social emotional wellbeing framework 2017-2027</w:t>
      </w:r>
      <w:r w:rsidRPr="005039B3">
        <w:rPr>
          <w:rFonts w:cs="Arial"/>
          <w:sz w:val="18"/>
          <w:szCs w:val="18"/>
        </w:rPr>
        <w:t>, State Government of Victoria, Melbourne.</w:t>
      </w:r>
    </w:p>
  </w:endnote>
  <w:endnote w:id="12">
    <w:p w14:paraId="1F7433D1" w14:textId="587ACE77"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hyperlink r:id="rId4" w:history="1">
        <w:r w:rsidR="00813195" w:rsidRPr="005039B3">
          <w:rPr>
            <w:rStyle w:val="Hyperlink"/>
            <w:rFonts w:cs="Arial"/>
            <w:sz w:val="18"/>
            <w:szCs w:val="18"/>
          </w:rPr>
          <w:t xml:space="preserve">The </w:t>
        </w:r>
        <w:r w:rsidRPr="005039B3">
          <w:rPr>
            <w:rStyle w:val="Hyperlink"/>
            <w:rFonts w:cs="Arial"/>
            <w:sz w:val="18"/>
            <w:szCs w:val="18"/>
          </w:rPr>
          <w:t xml:space="preserve">Aboriginal </w:t>
        </w:r>
        <w:r w:rsidR="00813195" w:rsidRPr="005039B3">
          <w:rPr>
            <w:rStyle w:val="Hyperlink"/>
            <w:rFonts w:cs="Arial"/>
            <w:sz w:val="18"/>
            <w:szCs w:val="18"/>
          </w:rPr>
          <w:t>H</w:t>
        </w:r>
        <w:r w:rsidRPr="005039B3">
          <w:rPr>
            <w:rStyle w:val="Hyperlink"/>
            <w:rFonts w:cs="Arial"/>
            <w:sz w:val="18"/>
            <w:szCs w:val="18"/>
          </w:rPr>
          <w:t xml:space="preserve">ealth and </w:t>
        </w:r>
        <w:r w:rsidR="00813195" w:rsidRPr="005039B3">
          <w:rPr>
            <w:rStyle w:val="Hyperlink"/>
            <w:rFonts w:cs="Arial"/>
            <w:sz w:val="18"/>
            <w:szCs w:val="18"/>
          </w:rPr>
          <w:t>W</w:t>
        </w:r>
        <w:r w:rsidRPr="005039B3">
          <w:rPr>
            <w:rStyle w:val="Hyperlink"/>
            <w:rFonts w:cs="Arial"/>
            <w:sz w:val="18"/>
            <w:szCs w:val="18"/>
          </w:rPr>
          <w:t xml:space="preserve">ellbeing </w:t>
        </w:r>
        <w:r w:rsidR="00813195" w:rsidRPr="005039B3">
          <w:rPr>
            <w:rStyle w:val="Hyperlink"/>
            <w:rFonts w:cs="Arial"/>
            <w:sz w:val="18"/>
            <w:szCs w:val="18"/>
          </w:rPr>
          <w:t>P</w:t>
        </w:r>
        <w:r w:rsidRPr="005039B3">
          <w:rPr>
            <w:rStyle w:val="Hyperlink"/>
            <w:rFonts w:cs="Arial"/>
            <w:sz w:val="18"/>
            <w:szCs w:val="18"/>
          </w:rPr>
          <w:t xml:space="preserve">artnership </w:t>
        </w:r>
        <w:r w:rsidR="00813195" w:rsidRPr="005039B3">
          <w:rPr>
            <w:rStyle w:val="Hyperlink"/>
            <w:rFonts w:cs="Arial"/>
            <w:sz w:val="18"/>
            <w:szCs w:val="18"/>
          </w:rPr>
          <w:t>F</w:t>
        </w:r>
        <w:r w:rsidRPr="005039B3">
          <w:rPr>
            <w:rStyle w:val="Hyperlink"/>
            <w:rFonts w:cs="Arial"/>
            <w:sz w:val="18"/>
            <w:szCs w:val="18"/>
          </w:rPr>
          <w:t>orum</w:t>
        </w:r>
      </w:hyperlink>
      <w:r w:rsidR="00340CB0" w:rsidRPr="005039B3">
        <w:rPr>
          <w:rFonts w:cs="Arial"/>
          <w:sz w:val="18"/>
          <w:szCs w:val="18"/>
        </w:rPr>
        <w:t xml:space="preserve"> (2023)</w:t>
      </w:r>
      <w:r w:rsidRPr="005039B3">
        <w:rPr>
          <w:rFonts w:cs="Arial"/>
          <w:sz w:val="18"/>
          <w:szCs w:val="18"/>
        </w:rPr>
        <w:t xml:space="preserve"> </w:t>
      </w:r>
      <w:r w:rsidR="004B416F" w:rsidRPr="005039B3">
        <w:rPr>
          <w:rFonts w:cs="Arial"/>
          <w:sz w:val="18"/>
          <w:szCs w:val="18"/>
        </w:rPr>
        <w:t>&lt;</w:t>
      </w:r>
      <w:hyperlink w:history="1"/>
      <w:r w:rsidR="004B416F" w:rsidRPr="005039B3">
        <w:rPr>
          <w:rFonts w:cs="Arial"/>
          <w:sz w:val="18"/>
          <w:szCs w:val="18"/>
        </w:rPr>
        <w:t>https://www.vaccho.org.au/ahwpf/&gt;</w:t>
      </w:r>
      <w:r w:rsidRPr="005039B3">
        <w:rPr>
          <w:rFonts w:cs="Arial"/>
          <w:sz w:val="18"/>
          <w:szCs w:val="18"/>
        </w:rPr>
        <w:t xml:space="preserve">, </w:t>
      </w:r>
      <w:r w:rsidR="004B416F" w:rsidRPr="005039B3">
        <w:rPr>
          <w:rFonts w:cs="Arial"/>
          <w:sz w:val="18"/>
          <w:szCs w:val="18"/>
        </w:rPr>
        <w:t xml:space="preserve">accessed </w:t>
      </w:r>
      <w:r w:rsidRPr="005039B3">
        <w:rPr>
          <w:rFonts w:cs="Arial"/>
          <w:sz w:val="18"/>
          <w:szCs w:val="18"/>
        </w:rPr>
        <w:t>2 October 2023.</w:t>
      </w:r>
    </w:p>
  </w:endnote>
  <w:endnote w:id="13">
    <w:p w14:paraId="47F4A880" w14:textId="5C699AD4"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340CB0" w:rsidRPr="005039B3">
        <w:rPr>
          <w:rFonts w:cs="Arial"/>
          <w:sz w:val="18"/>
          <w:szCs w:val="18"/>
        </w:rPr>
        <w:t xml:space="preserve">The Aboriginal Health and Wellbeing Partnership Forum (2023) </w:t>
      </w:r>
      <w:r w:rsidRPr="005039B3">
        <w:rPr>
          <w:rFonts w:cs="Arial"/>
          <w:i/>
          <w:iCs/>
          <w:sz w:val="18"/>
          <w:szCs w:val="18"/>
        </w:rPr>
        <w:t>Aboriginal Health and Wellbeing Partnership agreement</w:t>
      </w:r>
      <w:r w:rsidRPr="005039B3">
        <w:rPr>
          <w:rFonts w:cs="Arial"/>
          <w:sz w:val="18"/>
          <w:szCs w:val="18"/>
        </w:rPr>
        <w:t xml:space="preserve">, State Government of Victoria, Melbourne. </w:t>
      </w:r>
    </w:p>
  </w:endnote>
  <w:endnote w:id="14">
    <w:p w14:paraId="0FF10C99" w14:textId="2A08577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Government</w:t>
      </w:r>
      <w:r w:rsidR="00C33ADC" w:rsidRPr="005039B3">
        <w:rPr>
          <w:rFonts w:cs="Arial"/>
          <w:sz w:val="18"/>
          <w:szCs w:val="18"/>
        </w:rPr>
        <w:t xml:space="preserve"> (2018)</w:t>
      </w:r>
      <w:r w:rsidRPr="005039B3">
        <w:rPr>
          <w:rFonts w:cs="Arial"/>
          <w:sz w:val="18"/>
          <w:szCs w:val="18"/>
        </w:rPr>
        <w:t xml:space="preserve"> </w:t>
      </w:r>
      <w:r w:rsidRPr="005039B3">
        <w:rPr>
          <w:rFonts w:cs="Arial"/>
          <w:i/>
          <w:iCs/>
          <w:sz w:val="18"/>
          <w:szCs w:val="18"/>
        </w:rPr>
        <w:t>Advancing the treaty process with Aboriginal Victorians Act 2018</w:t>
      </w:r>
      <w:r w:rsidRPr="005039B3">
        <w:rPr>
          <w:rFonts w:cs="Arial"/>
          <w:sz w:val="18"/>
          <w:szCs w:val="18"/>
        </w:rPr>
        <w:t xml:space="preserve">, Victorian Government, Melbourne. </w:t>
      </w:r>
    </w:p>
  </w:endnote>
  <w:endnote w:id="15">
    <w:p w14:paraId="2D7CF1BF" w14:textId="3F5AFF99"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Watson W, Martin J</w:t>
      </w:r>
      <w:r w:rsidR="00323F8D" w:rsidRPr="005039B3">
        <w:rPr>
          <w:rFonts w:cs="Arial"/>
          <w:sz w:val="18"/>
          <w:szCs w:val="18"/>
        </w:rPr>
        <w:t xml:space="preserve"> </w:t>
      </w:r>
      <w:r w:rsidR="00C97072" w:rsidRPr="005039B3">
        <w:rPr>
          <w:rFonts w:cs="Arial"/>
          <w:sz w:val="18"/>
          <w:szCs w:val="18"/>
        </w:rPr>
        <w:t>(2019)</w:t>
      </w:r>
      <w:r w:rsidRPr="005039B3">
        <w:rPr>
          <w:rFonts w:cs="Arial"/>
          <w:sz w:val="18"/>
          <w:szCs w:val="18"/>
        </w:rPr>
        <w:t xml:space="preserve"> </w:t>
      </w:r>
      <w:r w:rsidR="00C97072" w:rsidRPr="005039B3">
        <w:rPr>
          <w:rFonts w:cs="Arial"/>
          <w:sz w:val="18"/>
          <w:szCs w:val="18"/>
        </w:rPr>
        <w:t>‘</w:t>
      </w:r>
      <w:r w:rsidRPr="005039B3">
        <w:rPr>
          <w:rFonts w:cs="Arial"/>
          <w:sz w:val="18"/>
          <w:szCs w:val="18"/>
        </w:rPr>
        <w:t>Countering commercial interests: building advocacy campaigns to protect children from food marketing</w:t>
      </w:r>
      <w:r w:rsidR="00C97072" w:rsidRPr="005039B3">
        <w:rPr>
          <w:rFonts w:cs="Arial"/>
          <w:sz w:val="18"/>
          <w:szCs w:val="18"/>
        </w:rPr>
        <w:t>’,</w:t>
      </w:r>
      <w:r w:rsidRPr="005039B3">
        <w:rPr>
          <w:rFonts w:cs="Arial"/>
          <w:sz w:val="18"/>
          <w:szCs w:val="18"/>
        </w:rPr>
        <w:t xml:space="preserve"> </w:t>
      </w:r>
      <w:r w:rsidRPr="005039B3">
        <w:rPr>
          <w:rFonts w:cs="Arial"/>
          <w:i/>
          <w:iCs/>
          <w:sz w:val="18"/>
          <w:szCs w:val="18"/>
        </w:rPr>
        <w:t>Public Health Research &amp; Practice</w:t>
      </w:r>
      <w:r w:rsidR="00720DFF" w:rsidRPr="005039B3">
        <w:rPr>
          <w:rFonts w:cs="Arial"/>
          <w:sz w:val="18"/>
          <w:szCs w:val="18"/>
        </w:rPr>
        <w:t>,</w:t>
      </w:r>
      <w:r w:rsidRPr="005039B3">
        <w:rPr>
          <w:rFonts w:cs="Arial"/>
          <w:sz w:val="18"/>
          <w:szCs w:val="18"/>
        </w:rPr>
        <w:t xml:space="preserve"> 29</w:t>
      </w:r>
      <w:r w:rsidR="007D7C41" w:rsidRPr="005039B3">
        <w:rPr>
          <w:rFonts w:cs="Arial"/>
          <w:sz w:val="18"/>
          <w:szCs w:val="18"/>
        </w:rPr>
        <w:t>(3):e</w:t>
      </w:r>
      <w:r w:rsidR="00506C79" w:rsidRPr="005039B3">
        <w:rPr>
          <w:rFonts w:cs="Arial"/>
          <w:sz w:val="18"/>
          <w:szCs w:val="18"/>
        </w:rPr>
        <w:t>2931923</w:t>
      </w:r>
      <w:r w:rsidRPr="005039B3">
        <w:rPr>
          <w:rFonts w:cs="Arial"/>
          <w:sz w:val="18"/>
          <w:szCs w:val="18"/>
        </w:rPr>
        <w:t>.</w:t>
      </w:r>
    </w:p>
  </w:endnote>
  <w:endnote w:id="16">
    <w:p w14:paraId="2D52EDA7" w14:textId="0811D35C"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Ridoutt B, Baird D, Hendrie GA</w:t>
      </w:r>
      <w:r w:rsidR="00506C79" w:rsidRPr="005039B3">
        <w:rPr>
          <w:rFonts w:cs="Arial"/>
          <w:sz w:val="18"/>
          <w:szCs w:val="18"/>
        </w:rPr>
        <w:t xml:space="preserve"> (2021)</w:t>
      </w:r>
      <w:r w:rsidRPr="005039B3">
        <w:rPr>
          <w:rFonts w:cs="Arial"/>
          <w:sz w:val="18"/>
          <w:szCs w:val="18"/>
        </w:rPr>
        <w:t xml:space="preserve"> </w:t>
      </w:r>
      <w:r w:rsidR="00506C79" w:rsidRPr="005039B3">
        <w:rPr>
          <w:rFonts w:cs="Arial"/>
          <w:sz w:val="18"/>
          <w:szCs w:val="18"/>
        </w:rPr>
        <w:t>‘</w:t>
      </w:r>
      <w:r w:rsidRPr="005039B3">
        <w:rPr>
          <w:rFonts w:cs="Arial"/>
          <w:sz w:val="18"/>
          <w:szCs w:val="18"/>
        </w:rPr>
        <w:t>Diets within Environmental Limits: The Climate Impact of Current and Recommended Australian Diets</w:t>
      </w:r>
      <w:r w:rsidR="00506C79" w:rsidRPr="005039B3">
        <w:rPr>
          <w:rFonts w:cs="Arial"/>
          <w:sz w:val="18"/>
          <w:szCs w:val="18"/>
        </w:rPr>
        <w:t>’,</w:t>
      </w:r>
      <w:r w:rsidRPr="005039B3">
        <w:rPr>
          <w:rFonts w:cs="Arial"/>
          <w:sz w:val="18"/>
          <w:szCs w:val="18"/>
        </w:rPr>
        <w:t xml:space="preserve"> </w:t>
      </w:r>
      <w:r w:rsidRPr="005039B3">
        <w:rPr>
          <w:rFonts w:cs="Arial"/>
          <w:i/>
          <w:iCs/>
          <w:sz w:val="18"/>
          <w:szCs w:val="18"/>
        </w:rPr>
        <w:t>Nutrients</w:t>
      </w:r>
      <w:r w:rsidR="00086B21" w:rsidRPr="005039B3">
        <w:rPr>
          <w:rFonts w:cs="Arial"/>
          <w:sz w:val="18"/>
          <w:szCs w:val="18"/>
        </w:rPr>
        <w:t>,</w:t>
      </w:r>
      <w:r w:rsidRPr="005039B3">
        <w:rPr>
          <w:rFonts w:cs="Arial"/>
          <w:sz w:val="18"/>
          <w:szCs w:val="18"/>
        </w:rPr>
        <w:t xml:space="preserve"> 13(4):1</w:t>
      </w:r>
      <w:r w:rsidR="00600667" w:rsidRPr="005039B3">
        <w:rPr>
          <w:rFonts w:cs="Arial"/>
          <w:sz w:val="18"/>
          <w:szCs w:val="18"/>
        </w:rPr>
        <w:t>,</w:t>
      </w:r>
      <w:r w:rsidRPr="005039B3">
        <w:rPr>
          <w:rFonts w:cs="Arial"/>
          <w:sz w:val="18"/>
          <w:szCs w:val="18"/>
        </w:rPr>
        <w:t>122.</w:t>
      </w:r>
    </w:p>
  </w:endnote>
  <w:endnote w:id="17">
    <w:p w14:paraId="6173DB29" w14:textId="3D3F4E3D"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Stangl AL, Earnshaw VA, Logie CH</w:t>
      </w:r>
      <w:r w:rsidR="00764E42" w:rsidRPr="005039B3">
        <w:rPr>
          <w:rFonts w:cs="Arial"/>
          <w:sz w:val="18"/>
          <w:szCs w:val="18"/>
        </w:rPr>
        <w:t>,</w:t>
      </w:r>
      <w:r w:rsidRPr="005039B3">
        <w:rPr>
          <w:rFonts w:cs="Arial"/>
          <w:sz w:val="18"/>
          <w:szCs w:val="18"/>
        </w:rPr>
        <w:t xml:space="preserve"> et al. </w:t>
      </w:r>
      <w:r w:rsidR="00764E42" w:rsidRPr="005039B3">
        <w:rPr>
          <w:rFonts w:cs="Arial"/>
          <w:sz w:val="18"/>
          <w:szCs w:val="18"/>
        </w:rPr>
        <w:t>(2019) ‘</w:t>
      </w:r>
      <w:hyperlink r:id="rId5" w:history="1">
        <w:r w:rsidRPr="005039B3">
          <w:rPr>
            <w:rStyle w:val="Hyperlink"/>
            <w:rFonts w:cs="Arial"/>
            <w:sz w:val="18"/>
            <w:szCs w:val="18"/>
          </w:rPr>
          <w:t>The Health Stigma and Discrimination Framework: a global, crosscutting framework to inform research, intervention development, and policy on health-related stigmas</w:t>
        </w:r>
      </w:hyperlink>
      <w:r w:rsidR="00764E42" w:rsidRPr="005039B3">
        <w:rPr>
          <w:rFonts w:cs="Arial"/>
          <w:sz w:val="18"/>
          <w:szCs w:val="18"/>
        </w:rPr>
        <w:t>’,</w:t>
      </w:r>
      <w:r w:rsidRPr="005039B3">
        <w:rPr>
          <w:rFonts w:cs="Arial"/>
          <w:sz w:val="18"/>
          <w:szCs w:val="18"/>
        </w:rPr>
        <w:t xml:space="preserve"> </w:t>
      </w:r>
      <w:r w:rsidRPr="005039B3">
        <w:rPr>
          <w:rFonts w:cs="Arial"/>
          <w:i/>
          <w:iCs/>
          <w:sz w:val="18"/>
          <w:szCs w:val="18"/>
        </w:rPr>
        <w:t>BMC Med</w:t>
      </w:r>
      <w:r w:rsidRPr="005039B3">
        <w:rPr>
          <w:rFonts w:cs="Arial"/>
          <w:sz w:val="18"/>
          <w:szCs w:val="18"/>
        </w:rPr>
        <w:t xml:space="preserve"> 17</w:t>
      </w:r>
      <w:r w:rsidR="00D60E22" w:rsidRPr="005039B3">
        <w:rPr>
          <w:rFonts w:cs="Arial"/>
          <w:sz w:val="18"/>
          <w:szCs w:val="18"/>
        </w:rPr>
        <w:t>(</w:t>
      </w:r>
      <w:r w:rsidRPr="005039B3">
        <w:rPr>
          <w:rFonts w:cs="Arial"/>
          <w:sz w:val="18"/>
          <w:szCs w:val="18"/>
        </w:rPr>
        <w:t>31</w:t>
      </w:r>
      <w:r w:rsidR="00D60E22" w:rsidRPr="005039B3">
        <w:rPr>
          <w:rFonts w:cs="Arial"/>
          <w:sz w:val="18"/>
          <w:szCs w:val="18"/>
        </w:rPr>
        <w:t>),</w:t>
      </w:r>
      <w:r w:rsidRPr="005039B3">
        <w:rPr>
          <w:rFonts w:cs="Arial"/>
          <w:sz w:val="18"/>
          <w:szCs w:val="18"/>
        </w:rPr>
        <w:t xml:space="preserve"> </w:t>
      </w:r>
      <w:r w:rsidR="004F2B80" w:rsidRPr="005039B3">
        <w:rPr>
          <w:rFonts w:cs="Arial"/>
          <w:sz w:val="18"/>
          <w:szCs w:val="18"/>
        </w:rPr>
        <w:t>&lt;</w:t>
      </w:r>
      <w:r w:rsidRPr="005039B3">
        <w:rPr>
          <w:rFonts w:cs="Arial"/>
          <w:sz w:val="18"/>
          <w:szCs w:val="18"/>
        </w:rPr>
        <w:t>https://doi.org/10.1186/s12916-019-1271-3</w:t>
      </w:r>
      <w:r w:rsidR="004F2B80" w:rsidRPr="005039B3">
        <w:rPr>
          <w:rFonts w:cs="Arial"/>
          <w:sz w:val="18"/>
          <w:szCs w:val="18"/>
        </w:rPr>
        <w:t>&gt;, accessed 24 November 2023</w:t>
      </w:r>
      <w:r w:rsidR="00F2481D" w:rsidRPr="005039B3">
        <w:rPr>
          <w:rFonts w:cs="Arial"/>
          <w:sz w:val="18"/>
          <w:szCs w:val="18"/>
        </w:rPr>
        <w:t>.</w:t>
      </w:r>
    </w:p>
  </w:endnote>
  <w:endnote w:id="18">
    <w:p w14:paraId="34AB9647" w14:textId="37FBBBD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Major B, Tomiyama AJ, Hunger JM</w:t>
      </w:r>
      <w:r w:rsidR="00204F0E" w:rsidRPr="005039B3">
        <w:rPr>
          <w:rFonts w:cs="Arial"/>
          <w:sz w:val="18"/>
          <w:szCs w:val="18"/>
        </w:rPr>
        <w:t xml:space="preserve"> (2018)</w:t>
      </w:r>
      <w:r w:rsidRPr="005039B3">
        <w:rPr>
          <w:rFonts w:cs="Arial"/>
          <w:sz w:val="18"/>
          <w:szCs w:val="18"/>
        </w:rPr>
        <w:t xml:space="preserve"> </w:t>
      </w:r>
      <w:r w:rsidR="00204F0E" w:rsidRPr="005039B3">
        <w:rPr>
          <w:rFonts w:cs="Arial"/>
          <w:sz w:val="18"/>
          <w:szCs w:val="18"/>
        </w:rPr>
        <w:t>‘</w:t>
      </w:r>
      <w:r w:rsidRPr="005039B3">
        <w:rPr>
          <w:rFonts w:cs="Arial"/>
          <w:sz w:val="18"/>
          <w:szCs w:val="18"/>
        </w:rPr>
        <w:t>The negative and bidirectional effects of weight stigma on health</w:t>
      </w:r>
      <w:r w:rsidR="008F0A02" w:rsidRPr="005039B3">
        <w:rPr>
          <w:rFonts w:cs="Arial"/>
          <w:sz w:val="18"/>
          <w:szCs w:val="18"/>
        </w:rPr>
        <w:t>’,</w:t>
      </w:r>
      <w:r w:rsidRPr="005039B3">
        <w:rPr>
          <w:rFonts w:cs="Arial"/>
          <w:sz w:val="18"/>
          <w:szCs w:val="18"/>
        </w:rPr>
        <w:t xml:space="preserve"> </w:t>
      </w:r>
      <w:r w:rsidRPr="005039B3">
        <w:rPr>
          <w:rFonts w:cs="Arial"/>
          <w:i/>
          <w:iCs/>
          <w:sz w:val="18"/>
          <w:szCs w:val="18"/>
        </w:rPr>
        <w:t>The Oxford Handbook of Stigma, Discrimination, and Health</w:t>
      </w:r>
      <w:r w:rsidR="00EB0193" w:rsidRPr="005039B3">
        <w:rPr>
          <w:rFonts w:cs="Arial"/>
          <w:sz w:val="18"/>
          <w:szCs w:val="18"/>
        </w:rPr>
        <w:t>,</w:t>
      </w:r>
      <w:r w:rsidRPr="005039B3">
        <w:rPr>
          <w:rFonts w:cs="Arial"/>
          <w:sz w:val="18"/>
          <w:szCs w:val="18"/>
        </w:rPr>
        <w:t xml:space="preserve"> p</w:t>
      </w:r>
      <w:r w:rsidR="00EB0193" w:rsidRPr="005039B3">
        <w:rPr>
          <w:rFonts w:cs="Arial"/>
          <w:sz w:val="18"/>
          <w:szCs w:val="18"/>
        </w:rPr>
        <w:t>p</w:t>
      </w:r>
      <w:r w:rsidRPr="005039B3">
        <w:rPr>
          <w:rFonts w:cs="Arial"/>
          <w:sz w:val="18"/>
          <w:szCs w:val="18"/>
        </w:rPr>
        <w:t>. 499–519.</w:t>
      </w:r>
    </w:p>
  </w:endnote>
  <w:endnote w:id="19">
    <w:p w14:paraId="35B0E83A" w14:textId="5F1287B6"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Major B, Hunger JM, Bunyan DP, Miller CT</w:t>
      </w:r>
      <w:r w:rsidR="00EB0193" w:rsidRPr="005039B3">
        <w:rPr>
          <w:rFonts w:cs="Arial"/>
          <w:sz w:val="18"/>
          <w:szCs w:val="18"/>
        </w:rPr>
        <w:t xml:space="preserve"> (2014)</w:t>
      </w:r>
      <w:r w:rsidRPr="005039B3">
        <w:rPr>
          <w:rFonts w:cs="Arial"/>
          <w:sz w:val="18"/>
          <w:szCs w:val="18"/>
        </w:rPr>
        <w:t xml:space="preserve"> </w:t>
      </w:r>
      <w:r w:rsidR="00EB0193" w:rsidRPr="005039B3">
        <w:rPr>
          <w:rFonts w:cs="Arial"/>
          <w:sz w:val="18"/>
          <w:szCs w:val="18"/>
        </w:rPr>
        <w:t>‘</w:t>
      </w:r>
      <w:r w:rsidRPr="005039B3">
        <w:rPr>
          <w:rFonts w:cs="Arial"/>
          <w:sz w:val="18"/>
          <w:szCs w:val="18"/>
        </w:rPr>
        <w:t>The ironic effects of weight stigma</w:t>
      </w:r>
      <w:r w:rsidR="00EB0193" w:rsidRPr="005039B3">
        <w:rPr>
          <w:rFonts w:cs="Arial"/>
          <w:sz w:val="18"/>
          <w:szCs w:val="18"/>
        </w:rPr>
        <w:t>’,</w:t>
      </w:r>
      <w:r w:rsidRPr="005039B3">
        <w:rPr>
          <w:rFonts w:cs="Arial"/>
          <w:sz w:val="18"/>
          <w:szCs w:val="18"/>
        </w:rPr>
        <w:t xml:space="preserve"> </w:t>
      </w:r>
      <w:r w:rsidRPr="005039B3">
        <w:rPr>
          <w:rFonts w:cs="Arial"/>
          <w:i/>
          <w:iCs/>
          <w:sz w:val="18"/>
          <w:szCs w:val="18"/>
        </w:rPr>
        <w:t>J Exp Soc Psychol</w:t>
      </w:r>
      <w:r w:rsidRPr="005039B3">
        <w:rPr>
          <w:rFonts w:cs="Arial"/>
          <w:sz w:val="18"/>
          <w:szCs w:val="18"/>
        </w:rPr>
        <w:t>.</w:t>
      </w:r>
      <w:r w:rsidR="004E1AFA" w:rsidRPr="005039B3">
        <w:rPr>
          <w:rFonts w:cs="Arial"/>
          <w:sz w:val="18"/>
          <w:szCs w:val="18"/>
        </w:rPr>
        <w:t xml:space="preserve">, </w:t>
      </w:r>
      <w:r w:rsidR="008953C6" w:rsidRPr="005039B3">
        <w:rPr>
          <w:rFonts w:cs="Arial"/>
          <w:sz w:val="18"/>
          <w:szCs w:val="18"/>
        </w:rPr>
        <w:t>51:74–80.</w:t>
      </w:r>
    </w:p>
  </w:endnote>
  <w:endnote w:id="20">
    <w:p w14:paraId="5EC9C904" w14:textId="132AFAA9"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Hatzenbuehler ML, Keyes KM, Hasin DS</w:t>
      </w:r>
      <w:r w:rsidR="008953C6" w:rsidRPr="005039B3">
        <w:rPr>
          <w:rFonts w:cs="Arial"/>
          <w:sz w:val="18"/>
          <w:szCs w:val="18"/>
        </w:rPr>
        <w:t xml:space="preserve"> (2009)</w:t>
      </w:r>
      <w:r w:rsidRPr="005039B3">
        <w:rPr>
          <w:rFonts w:cs="Arial"/>
          <w:sz w:val="18"/>
          <w:szCs w:val="18"/>
        </w:rPr>
        <w:t xml:space="preserve"> </w:t>
      </w:r>
      <w:r w:rsidR="008953C6" w:rsidRPr="005039B3">
        <w:rPr>
          <w:rFonts w:cs="Arial"/>
          <w:sz w:val="18"/>
          <w:szCs w:val="18"/>
        </w:rPr>
        <w:t>‘</w:t>
      </w:r>
      <w:r w:rsidRPr="005039B3">
        <w:rPr>
          <w:rFonts w:cs="Arial"/>
          <w:sz w:val="18"/>
          <w:szCs w:val="18"/>
        </w:rPr>
        <w:t>Associations between perceived weight discrimination and the prevalence of psychiatric disorders in the general population</w:t>
      </w:r>
      <w:r w:rsidR="008953C6" w:rsidRPr="005039B3">
        <w:rPr>
          <w:rFonts w:cs="Arial"/>
          <w:sz w:val="18"/>
          <w:szCs w:val="18"/>
        </w:rPr>
        <w:t>’,</w:t>
      </w:r>
      <w:r w:rsidRPr="005039B3">
        <w:rPr>
          <w:rFonts w:cs="Arial"/>
          <w:sz w:val="18"/>
          <w:szCs w:val="18"/>
        </w:rPr>
        <w:t xml:space="preserve"> </w:t>
      </w:r>
      <w:r w:rsidRPr="005039B3">
        <w:rPr>
          <w:rFonts w:cs="Arial"/>
          <w:i/>
          <w:iCs/>
          <w:sz w:val="18"/>
          <w:szCs w:val="18"/>
        </w:rPr>
        <w:t>Obesity</w:t>
      </w:r>
      <w:r w:rsidR="008953C6" w:rsidRPr="005039B3">
        <w:rPr>
          <w:rFonts w:cs="Arial"/>
          <w:sz w:val="18"/>
          <w:szCs w:val="18"/>
        </w:rPr>
        <w:t>,</w:t>
      </w:r>
      <w:r w:rsidRPr="005039B3">
        <w:rPr>
          <w:rFonts w:cs="Arial"/>
          <w:sz w:val="18"/>
          <w:szCs w:val="18"/>
        </w:rPr>
        <w:t xml:space="preserve"> 17(11):2</w:t>
      </w:r>
      <w:r w:rsidR="008953C6" w:rsidRPr="005039B3">
        <w:rPr>
          <w:rFonts w:cs="Arial"/>
          <w:sz w:val="18"/>
          <w:szCs w:val="18"/>
        </w:rPr>
        <w:t>,</w:t>
      </w:r>
      <w:r w:rsidRPr="005039B3">
        <w:rPr>
          <w:rFonts w:cs="Arial"/>
          <w:sz w:val="18"/>
          <w:szCs w:val="18"/>
        </w:rPr>
        <w:t>033–</w:t>
      </w:r>
      <w:r w:rsidR="00600667" w:rsidRPr="005039B3">
        <w:rPr>
          <w:rFonts w:cs="Arial"/>
          <w:sz w:val="18"/>
          <w:szCs w:val="18"/>
        </w:rPr>
        <w:t>2,03</w:t>
      </w:r>
      <w:r w:rsidRPr="005039B3">
        <w:rPr>
          <w:rFonts w:cs="Arial"/>
          <w:sz w:val="18"/>
          <w:szCs w:val="18"/>
        </w:rPr>
        <w:t>9.</w:t>
      </w:r>
    </w:p>
  </w:endnote>
  <w:endnote w:id="21">
    <w:p w14:paraId="7E319762" w14:textId="05E2C432"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Hackman J, Maupin J, Brewis AA</w:t>
      </w:r>
      <w:r w:rsidR="009155FE" w:rsidRPr="005039B3">
        <w:rPr>
          <w:rFonts w:cs="Arial"/>
          <w:sz w:val="18"/>
          <w:szCs w:val="18"/>
        </w:rPr>
        <w:t xml:space="preserve"> (2016)</w:t>
      </w:r>
      <w:r w:rsidRPr="005039B3">
        <w:rPr>
          <w:rFonts w:cs="Arial"/>
          <w:sz w:val="18"/>
          <w:szCs w:val="18"/>
        </w:rPr>
        <w:t xml:space="preserve"> </w:t>
      </w:r>
      <w:r w:rsidR="009155FE" w:rsidRPr="005039B3">
        <w:rPr>
          <w:rFonts w:cs="Arial"/>
          <w:sz w:val="18"/>
          <w:szCs w:val="18"/>
        </w:rPr>
        <w:t>‘</w:t>
      </w:r>
      <w:r w:rsidRPr="005039B3">
        <w:rPr>
          <w:rFonts w:cs="Arial"/>
          <w:sz w:val="18"/>
          <w:szCs w:val="18"/>
        </w:rPr>
        <w:t>Weight-related stigma is a significant psychosocial stressor in developing countries: evidence from Guatemala</w:t>
      </w:r>
      <w:r w:rsidR="009155FE" w:rsidRPr="005039B3">
        <w:rPr>
          <w:rFonts w:cs="Arial"/>
          <w:sz w:val="18"/>
          <w:szCs w:val="18"/>
        </w:rPr>
        <w:t>’,</w:t>
      </w:r>
      <w:r w:rsidRPr="005039B3">
        <w:rPr>
          <w:rFonts w:cs="Arial"/>
          <w:sz w:val="18"/>
          <w:szCs w:val="18"/>
        </w:rPr>
        <w:t xml:space="preserve"> </w:t>
      </w:r>
      <w:r w:rsidRPr="005039B3">
        <w:rPr>
          <w:rFonts w:cs="Arial"/>
          <w:i/>
          <w:iCs/>
          <w:sz w:val="18"/>
          <w:szCs w:val="18"/>
        </w:rPr>
        <w:t>Soc Sci Med</w:t>
      </w:r>
      <w:r w:rsidRPr="005039B3">
        <w:rPr>
          <w:rFonts w:cs="Arial"/>
          <w:sz w:val="18"/>
          <w:szCs w:val="18"/>
        </w:rPr>
        <w:t>.</w:t>
      </w:r>
      <w:r w:rsidR="009155FE" w:rsidRPr="005039B3">
        <w:rPr>
          <w:rFonts w:cs="Arial"/>
          <w:sz w:val="18"/>
          <w:szCs w:val="18"/>
        </w:rPr>
        <w:t>,</w:t>
      </w:r>
      <w:r w:rsidRPr="005039B3">
        <w:rPr>
          <w:rFonts w:cs="Arial"/>
          <w:sz w:val="18"/>
          <w:szCs w:val="18"/>
        </w:rPr>
        <w:t>161:55–60.</w:t>
      </w:r>
    </w:p>
  </w:endnote>
  <w:endnote w:id="22">
    <w:p w14:paraId="4F89913F" w14:textId="7CDBCCB3"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Tomiyama A, Carr D, Granberg E</w:t>
      </w:r>
      <w:r w:rsidR="008E6B10" w:rsidRPr="005039B3">
        <w:rPr>
          <w:rFonts w:cs="Arial"/>
          <w:sz w:val="18"/>
          <w:szCs w:val="18"/>
        </w:rPr>
        <w:t>,</w:t>
      </w:r>
      <w:r w:rsidRPr="005039B3">
        <w:rPr>
          <w:rFonts w:cs="Arial"/>
          <w:sz w:val="18"/>
          <w:szCs w:val="18"/>
        </w:rPr>
        <w:t xml:space="preserve"> et al.</w:t>
      </w:r>
      <w:r w:rsidR="008E6B10" w:rsidRPr="005039B3">
        <w:rPr>
          <w:rFonts w:cs="Arial"/>
          <w:sz w:val="18"/>
          <w:szCs w:val="18"/>
        </w:rPr>
        <w:t xml:space="preserve"> (2018)</w:t>
      </w:r>
      <w:r w:rsidRPr="005039B3">
        <w:rPr>
          <w:rFonts w:cs="Arial"/>
          <w:sz w:val="18"/>
          <w:szCs w:val="18"/>
        </w:rPr>
        <w:t xml:space="preserve"> </w:t>
      </w:r>
      <w:r w:rsidR="008E6B10" w:rsidRPr="005039B3">
        <w:rPr>
          <w:rFonts w:cs="Arial"/>
          <w:sz w:val="18"/>
          <w:szCs w:val="18"/>
        </w:rPr>
        <w:t>‘</w:t>
      </w:r>
      <w:hyperlink r:id="rId6" w:history="1">
        <w:r w:rsidRPr="005039B3">
          <w:rPr>
            <w:rStyle w:val="Hyperlink"/>
            <w:rFonts w:cs="Arial"/>
            <w:sz w:val="18"/>
            <w:szCs w:val="18"/>
          </w:rPr>
          <w:t>How and why weight stigma drives the obesity ‘epidemic’ and harms health</w:t>
        </w:r>
      </w:hyperlink>
      <w:r w:rsidR="008E6B10" w:rsidRPr="005039B3">
        <w:rPr>
          <w:rFonts w:cs="Arial"/>
          <w:sz w:val="18"/>
          <w:szCs w:val="18"/>
        </w:rPr>
        <w:t>’,</w:t>
      </w:r>
      <w:r w:rsidRPr="005039B3">
        <w:rPr>
          <w:rFonts w:cs="Arial"/>
          <w:sz w:val="18"/>
          <w:szCs w:val="18"/>
        </w:rPr>
        <w:t xml:space="preserve"> </w:t>
      </w:r>
      <w:r w:rsidRPr="005039B3">
        <w:rPr>
          <w:rFonts w:cs="Arial"/>
          <w:i/>
          <w:iCs/>
          <w:sz w:val="18"/>
          <w:szCs w:val="18"/>
        </w:rPr>
        <w:t>BMC Med</w:t>
      </w:r>
      <w:r w:rsidR="008E6B10" w:rsidRPr="005039B3">
        <w:rPr>
          <w:rFonts w:cs="Arial"/>
          <w:sz w:val="18"/>
          <w:szCs w:val="18"/>
        </w:rPr>
        <w:t>,</w:t>
      </w:r>
      <w:r w:rsidRPr="005039B3">
        <w:rPr>
          <w:rFonts w:cs="Arial"/>
          <w:sz w:val="18"/>
          <w:szCs w:val="18"/>
        </w:rPr>
        <w:t xml:space="preserve"> 16</w:t>
      </w:r>
      <w:r w:rsidR="0093718D" w:rsidRPr="005039B3">
        <w:rPr>
          <w:rFonts w:cs="Arial"/>
          <w:sz w:val="18"/>
          <w:szCs w:val="18"/>
        </w:rPr>
        <w:t>(</w:t>
      </w:r>
      <w:r w:rsidRPr="005039B3">
        <w:rPr>
          <w:rFonts w:cs="Arial"/>
          <w:sz w:val="18"/>
          <w:szCs w:val="18"/>
        </w:rPr>
        <w:t>123</w:t>
      </w:r>
      <w:r w:rsidR="0093718D" w:rsidRPr="005039B3">
        <w:rPr>
          <w:rFonts w:cs="Arial"/>
          <w:sz w:val="18"/>
          <w:szCs w:val="18"/>
        </w:rPr>
        <w:t>)</w:t>
      </w:r>
      <w:r w:rsidRPr="005039B3">
        <w:rPr>
          <w:rFonts w:cs="Arial"/>
          <w:sz w:val="18"/>
          <w:szCs w:val="18"/>
        </w:rPr>
        <w:t xml:space="preserve"> </w:t>
      </w:r>
      <w:r w:rsidR="0046128A" w:rsidRPr="005039B3">
        <w:rPr>
          <w:rFonts w:cs="Arial"/>
          <w:sz w:val="18"/>
          <w:szCs w:val="18"/>
        </w:rPr>
        <w:t>&lt;</w:t>
      </w:r>
      <w:r w:rsidRPr="005039B3">
        <w:rPr>
          <w:rFonts w:cs="Arial"/>
          <w:sz w:val="18"/>
          <w:szCs w:val="18"/>
        </w:rPr>
        <w:t>https://doi.org/10.1186/s12916-018-1116-5</w:t>
      </w:r>
      <w:r w:rsidR="0046128A" w:rsidRPr="005039B3">
        <w:rPr>
          <w:rFonts w:cs="Arial"/>
          <w:sz w:val="18"/>
          <w:szCs w:val="18"/>
        </w:rPr>
        <w:t>&gt;</w:t>
      </w:r>
      <w:r w:rsidR="0093718D" w:rsidRPr="005039B3">
        <w:rPr>
          <w:rFonts w:cs="Arial"/>
          <w:sz w:val="18"/>
          <w:szCs w:val="18"/>
        </w:rPr>
        <w:t xml:space="preserve"> accessed 14 November 2023.</w:t>
      </w:r>
    </w:p>
  </w:endnote>
  <w:endnote w:id="23">
    <w:p w14:paraId="6B960775" w14:textId="1095473C"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Ferdinand AS, Paradies Y</w:t>
      </w:r>
      <w:r w:rsidR="00823279" w:rsidRPr="005039B3">
        <w:rPr>
          <w:rFonts w:cs="Arial"/>
          <w:sz w:val="18"/>
          <w:szCs w:val="18"/>
        </w:rPr>
        <w:t>,</w:t>
      </w:r>
      <w:r w:rsidRPr="005039B3">
        <w:rPr>
          <w:rFonts w:cs="Arial"/>
          <w:sz w:val="18"/>
          <w:szCs w:val="18"/>
        </w:rPr>
        <w:t xml:space="preserve"> Kelaher M</w:t>
      </w:r>
      <w:r w:rsidR="00BE45C2" w:rsidRPr="005039B3">
        <w:rPr>
          <w:rFonts w:cs="Arial"/>
          <w:sz w:val="18"/>
          <w:szCs w:val="18"/>
        </w:rPr>
        <w:t xml:space="preserve"> (2015)</w:t>
      </w:r>
      <w:r w:rsidRPr="005039B3">
        <w:rPr>
          <w:rFonts w:cs="Arial"/>
          <w:sz w:val="18"/>
          <w:szCs w:val="18"/>
        </w:rPr>
        <w:t xml:space="preserve"> </w:t>
      </w:r>
      <w:r w:rsidR="00BE45C2" w:rsidRPr="005039B3">
        <w:rPr>
          <w:rFonts w:cs="Arial"/>
          <w:sz w:val="18"/>
          <w:szCs w:val="18"/>
        </w:rPr>
        <w:t>‘</w:t>
      </w:r>
      <w:hyperlink r:id="rId7" w:history="1">
        <w:r w:rsidRPr="005039B3">
          <w:rPr>
            <w:rStyle w:val="Hyperlink"/>
            <w:rFonts w:cs="Arial"/>
            <w:sz w:val="18"/>
            <w:szCs w:val="18"/>
          </w:rPr>
          <w:t>Mental health impacts of racial discrimination in Australian culturally and linguistically diverse communities: a cross-sectional survey</w:t>
        </w:r>
      </w:hyperlink>
      <w:r w:rsidR="00BE45C2" w:rsidRPr="005039B3">
        <w:rPr>
          <w:rFonts w:cs="Arial"/>
          <w:sz w:val="18"/>
          <w:szCs w:val="18"/>
        </w:rPr>
        <w:t>’,</w:t>
      </w:r>
      <w:r w:rsidRPr="005039B3">
        <w:rPr>
          <w:rFonts w:cs="Arial"/>
          <w:sz w:val="18"/>
          <w:szCs w:val="18"/>
        </w:rPr>
        <w:t xml:space="preserve"> </w:t>
      </w:r>
      <w:r w:rsidRPr="005039B3">
        <w:rPr>
          <w:rFonts w:cs="Arial"/>
          <w:i/>
          <w:iCs/>
          <w:sz w:val="18"/>
          <w:szCs w:val="18"/>
        </w:rPr>
        <w:t>BMC Public Health</w:t>
      </w:r>
      <w:r w:rsidR="00BE45C2" w:rsidRPr="005039B3">
        <w:rPr>
          <w:rFonts w:cs="Arial"/>
          <w:sz w:val="18"/>
          <w:szCs w:val="18"/>
        </w:rPr>
        <w:t>,</w:t>
      </w:r>
      <w:r w:rsidRPr="005039B3">
        <w:rPr>
          <w:rFonts w:cs="Arial"/>
          <w:sz w:val="18"/>
          <w:szCs w:val="18"/>
        </w:rPr>
        <w:t xml:space="preserve"> 15</w:t>
      </w:r>
      <w:r w:rsidR="00BE45C2" w:rsidRPr="005039B3">
        <w:rPr>
          <w:rFonts w:cs="Arial"/>
          <w:sz w:val="18"/>
          <w:szCs w:val="18"/>
        </w:rPr>
        <w:t>(</w:t>
      </w:r>
      <w:r w:rsidRPr="005039B3">
        <w:rPr>
          <w:rFonts w:cs="Arial"/>
          <w:sz w:val="18"/>
          <w:szCs w:val="18"/>
        </w:rPr>
        <w:t>401</w:t>
      </w:r>
      <w:r w:rsidR="00BE45C2" w:rsidRPr="005039B3">
        <w:rPr>
          <w:rFonts w:cs="Arial"/>
          <w:sz w:val="18"/>
          <w:szCs w:val="18"/>
        </w:rPr>
        <w:t>)</w:t>
      </w:r>
      <w:r w:rsidRPr="005039B3">
        <w:rPr>
          <w:rFonts w:cs="Arial"/>
          <w:sz w:val="18"/>
          <w:szCs w:val="18"/>
        </w:rPr>
        <w:t xml:space="preserve"> </w:t>
      </w:r>
      <w:r w:rsidR="00367760" w:rsidRPr="005039B3">
        <w:rPr>
          <w:rFonts w:cs="Arial"/>
          <w:sz w:val="18"/>
          <w:szCs w:val="18"/>
        </w:rPr>
        <w:t>&lt;</w:t>
      </w:r>
      <w:r w:rsidRPr="005039B3">
        <w:rPr>
          <w:rFonts w:cs="Arial"/>
          <w:sz w:val="18"/>
          <w:szCs w:val="18"/>
        </w:rPr>
        <w:t>https://doi.org/10.1186/s12889-015-1661-1</w:t>
      </w:r>
      <w:r w:rsidR="00367760" w:rsidRPr="005039B3">
        <w:rPr>
          <w:rFonts w:cs="Arial"/>
          <w:sz w:val="18"/>
          <w:szCs w:val="18"/>
        </w:rPr>
        <w:t>&gt;</w:t>
      </w:r>
      <w:r w:rsidR="00ED37FD" w:rsidRPr="005039B3">
        <w:rPr>
          <w:rFonts w:cs="Arial"/>
          <w:sz w:val="18"/>
          <w:szCs w:val="18"/>
        </w:rPr>
        <w:t xml:space="preserve"> accessed 14 November 2023</w:t>
      </w:r>
      <w:r w:rsidR="00367760" w:rsidRPr="005039B3">
        <w:rPr>
          <w:rFonts w:cs="Arial"/>
          <w:sz w:val="18"/>
          <w:szCs w:val="18"/>
        </w:rPr>
        <w:t>.</w:t>
      </w:r>
    </w:p>
  </w:endnote>
  <w:endnote w:id="24">
    <w:p w14:paraId="16C04D9D" w14:textId="4067DE71" w:rsidR="00072108" w:rsidRPr="005039B3" w:rsidRDefault="00072108">
      <w:pPr>
        <w:pStyle w:val="EndnoteText"/>
        <w:rPr>
          <w:sz w:val="18"/>
          <w:szCs w:val="18"/>
        </w:rPr>
      </w:pPr>
      <w:r w:rsidRPr="005039B3">
        <w:rPr>
          <w:rStyle w:val="EndnoteReference"/>
          <w:sz w:val="18"/>
          <w:szCs w:val="18"/>
        </w:rPr>
        <w:endnoteRef/>
      </w:r>
      <w:r w:rsidRPr="005039B3">
        <w:rPr>
          <w:sz w:val="18"/>
          <w:szCs w:val="18"/>
        </w:rPr>
        <w:t xml:space="preserve"> </w:t>
      </w:r>
      <w:r w:rsidR="008F49FC" w:rsidRPr="005039B3">
        <w:rPr>
          <w:rFonts w:cs="Arial"/>
          <w:sz w:val="18"/>
          <w:szCs w:val="18"/>
        </w:rPr>
        <w:t>Victorian Department of Health</w:t>
      </w:r>
      <w:r w:rsidR="00140DBC" w:rsidRPr="005039B3">
        <w:rPr>
          <w:rFonts w:cs="Arial"/>
          <w:sz w:val="18"/>
          <w:szCs w:val="18"/>
        </w:rPr>
        <w:t xml:space="preserve"> (2023)</w:t>
      </w:r>
      <w:r w:rsidR="00B21194" w:rsidRPr="005039B3">
        <w:rPr>
          <w:rFonts w:cs="Arial"/>
          <w:sz w:val="18"/>
          <w:szCs w:val="18"/>
        </w:rPr>
        <w:t>,</w:t>
      </w:r>
      <w:r w:rsidR="008F49FC" w:rsidRPr="005039B3">
        <w:rPr>
          <w:rFonts w:cs="Arial"/>
          <w:sz w:val="18"/>
          <w:szCs w:val="18"/>
        </w:rPr>
        <w:t xml:space="preserve"> Causes of Death</w:t>
      </w:r>
      <w:r w:rsidR="00B21194" w:rsidRPr="005039B3">
        <w:rPr>
          <w:rFonts w:cs="Arial"/>
          <w:sz w:val="18"/>
          <w:szCs w:val="18"/>
        </w:rPr>
        <w:t xml:space="preserve"> Dataset,</w:t>
      </w:r>
      <w:r w:rsidR="008F49FC" w:rsidRPr="005039B3">
        <w:rPr>
          <w:rFonts w:cs="Arial"/>
          <w:sz w:val="18"/>
          <w:szCs w:val="18"/>
        </w:rPr>
        <w:t xml:space="preserve"> </w:t>
      </w:r>
      <w:r w:rsidR="00D650AA" w:rsidRPr="005039B3">
        <w:rPr>
          <w:rFonts w:cs="Arial"/>
          <w:i/>
          <w:iCs/>
          <w:sz w:val="18"/>
          <w:szCs w:val="18"/>
        </w:rPr>
        <w:t>ABS</w:t>
      </w:r>
      <w:r w:rsidR="00B21194" w:rsidRPr="005039B3">
        <w:rPr>
          <w:rFonts w:cs="Arial"/>
          <w:sz w:val="18"/>
          <w:szCs w:val="18"/>
        </w:rPr>
        <w:t>, Australia</w:t>
      </w:r>
    </w:p>
  </w:endnote>
  <w:endnote w:id="25">
    <w:p w14:paraId="209A7CD8" w14:textId="77D4F66E" w:rsidR="00617F78" w:rsidRPr="005039B3" w:rsidRDefault="00617F78" w:rsidP="00E31E2F">
      <w:pPr>
        <w:spacing w:before="100" w:beforeAutospacing="1" w:after="60" w:line="240" w:lineRule="auto"/>
        <w:ind w:right="300"/>
        <w:rPr>
          <w:rFonts w:eastAsia="MS Gothic" w:cs="Arial"/>
          <w:sz w:val="18"/>
          <w:szCs w:val="18"/>
        </w:rPr>
      </w:pPr>
      <w:r w:rsidRPr="005039B3">
        <w:rPr>
          <w:rStyle w:val="EndnoteReference"/>
          <w:rFonts w:cs="Arial"/>
          <w:sz w:val="18"/>
          <w:szCs w:val="18"/>
        </w:rPr>
        <w:endnoteRef/>
      </w:r>
      <w:r w:rsidRPr="005039B3">
        <w:rPr>
          <w:rFonts w:eastAsia="MS Gothic" w:cs="Arial"/>
          <w:sz w:val="18"/>
          <w:szCs w:val="18"/>
        </w:rPr>
        <w:t xml:space="preserve"> Phillips D </w:t>
      </w:r>
      <w:r w:rsidR="00140DBC" w:rsidRPr="005039B3">
        <w:rPr>
          <w:rFonts w:eastAsia="MS Gothic" w:cs="Arial"/>
          <w:sz w:val="18"/>
          <w:szCs w:val="18"/>
        </w:rPr>
        <w:t>(</w:t>
      </w:r>
      <w:r w:rsidRPr="005039B3">
        <w:rPr>
          <w:rFonts w:eastAsia="MS Gothic" w:cs="Arial"/>
          <w:sz w:val="18"/>
          <w:szCs w:val="18"/>
        </w:rPr>
        <w:t>2006</w:t>
      </w:r>
      <w:r w:rsidR="00140DBC" w:rsidRPr="005039B3">
        <w:rPr>
          <w:rFonts w:eastAsia="MS Gothic" w:cs="Arial"/>
          <w:sz w:val="18"/>
          <w:szCs w:val="18"/>
        </w:rPr>
        <w:t>)</w:t>
      </w:r>
      <w:r w:rsidRPr="005039B3">
        <w:rPr>
          <w:rFonts w:eastAsia="MS Gothic" w:cs="Arial"/>
          <w:sz w:val="18"/>
          <w:szCs w:val="18"/>
        </w:rPr>
        <w:t xml:space="preserve"> </w:t>
      </w:r>
      <w:r w:rsidR="00140DBC" w:rsidRPr="005039B3">
        <w:rPr>
          <w:rFonts w:eastAsia="MS Gothic" w:cs="Arial"/>
          <w:sz w:val="18"/>
          <w:szCs w:val="18"/>
        </w:rPr>
        <w:t>‘</w:t>
      </w:r>
      <w:r w:rsidRPr="005039B3">
        <w:rPr>
          <w:rFonts w:eastAsia="MS Gothic" w:cs="Arial"/>
          <w:sz w:val="18"/>
          <w:szCs w:val="18"/>
        </w:rPr>
        <w:t>Birth weight and adulthood disease and the controversies</w:t>
      </w:r>
      <w:r w:rsidR="00140DBC" w:rsidRPr="005039B3">
        <w:rPr>
          <w:rFonts w:eastAsia="MS Gothic" w:cs="Arial"/>
          <w:sz w:val="18"/>
          <w:szCs w:val="18"/>
        </w:rPr>
        <w:t>’,</w:t>
      </w:r>
      <w:r w:rsidRPr="005039B3">
        <w:rPr>
          <w:rFonts w:eastAsia="MS Gothic" w:cs="Arial"/>
          <w:sz w:val="18"/>
          <w:szCs w:val="18"/>
        </w:rPr>
        <w:t xml:space="preserve"> </w:t>
      </w:r>
      <w:r w:rsidRPr="005039B3">
        <w:rPr>
          <w:rFonts w:eastAsia="MS Gothic" w:cs="Arial"/>
          <w:i/>
          <w:iCs/>
          <w:sz w:val="18"/>
          <w:szCs w:val="18"/>
        </w:rPr>
        <w:t>Fetal and Maternal Medicine Review</w:t>
      </w:r>
      <w:r w:rsidR="00140DBC" w:rsidRPr="005039B3">
        <w:rPr>
          <w:rFonts w:eastAsia="MS Gothic" w:cs="Arial"/>
          <w:i/>
          <w:iCs/>
          <w:sz w:val="18"/>
          <w:szCs w:val="18"/>
        </w:rPr>
        <w:t>,</w:t>
      </w:r>
      <w:r w:rsidRPr="005039B3">
        <w:rPr>
          <w:rFonts w:eastAsia="MS Gothic" w:cs="Arial"/>
          <w:sz w:val="18"/>
          <w:szCs w:val="18"/>
        </w:rPr>
        <w:t xml:space="preserve"> 17(3):205–27.</w:t>
      </w:r>
    </w:p>
  </w:endnote>
  <w:endnote w:id="26">
    <w:p w14:paraId="159F725A" w14:textId="640E2DC2"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Verrips GE</w:t>
      </w:r>
      <w:r w:rsidR="00140DBC" w:rsidRPr="005039B3">
        <w:rPr>
          <w:rFonts w:cs="Arial"/>
          <w:sz w:val="18"/>
          <w:szCs w:val="18"/>
        </w:rPr>
        <w:t>,</w:t>
      </w:r>
      <w:r w:rsidRPr="005039B3">
        <w:rPr>
          <w:rFonts w:cs="Arial"/>
          <w:sz w:val="18"/>
          <w:szCs w:val="18"/>
        </w:rPr>
        <w:t xml:space="preserve"> Van der Pal S </w:t>
      </w:r>
      <w:r w:rsidR="00140DBC" w:rsidRPr="005039B3">
        <w:rPr>
          <w:rFonts w:cs="Arial"/>
          <w:sz w:val="18"/>
          <w:szCs w:val="18"/>
        </w:rPr>
        <w:t>(</w:t>
      </w:r>
      <w:r w:rsidRPr="005039B3">
        <w:rPr>
          <w:rFonts w:cs="Arial"/>
          <w:sz w:val="18"/>
          <w:szCs w:val="18"/>
        </w:rPr>
        <w:t>2014</w:t>
      </w:r>
      <w:r w:rsidR="00140DBC" w:rsidRPr="005039B3">
        <w:rPr>
          <w:rFonts w:cs="Arial"/>
          <w:sz w:val="18"/>
          <w:szCs w:val="18"/>
        </w:rPr>
        <w:t>)</w:t>
      </w:r>
      <w:r w:rsidRPr="005039B3">
        <w:rPr>
          <w:rFonts w:cs="Arial"/>
          <w:sz w:val="18"/>
          <w:szCs w:val="18"/>
        </w:rPr>
        <w:t xml:space="preserve"> </w:t>
      </w:r>
      <w:r w:rsidR="00140DBC" w:rsidRPr="005039B3">
        <w:rPr>
          <w:rFonts w:cs="Arial"/>
          <w:sz w:val="18"/>
          <w:szCs w:val="18"/>
        </w:rPr>
        <w:t>‘</w:t>
      </w:r>
      <w:r w:rsidRPr="005039B3">
        <w:rPr>
          <w:rFonts w:cs="Arial"/>
          <w:sz w:val="18"/>
          <w:szCs w:val="18"/>
        </w:rPr>
        <w:t>Low birth weight babies</w:t>
      </w:r>
      <w:r w:rsidR="00140DBC" w:rsidRPr="005039B3">
        <w:rPr>
          <w:rFonts w:cs="Arial"/>
          <w:sz w:val="18"/>
          <w:szCs w:val="18"/>
        </w:rPr>
        <w:t>’,</w:t>
      </w:r>
      <w:r w:rsidRPr="005039B3">
        <w:rPr>
          <w:rFonts w:cs="Arial"/>
          <w:sz w:val="18"/>
          <w:szCs w:val="18"/>
        </w:rPr>
        <w:t xml:space="preserve"> </w:t>
      </w:r>
      <w:r w:rsidRPr="005039B3">
        <w:rPr>
          <w:rFonts w:cs="Arial"/>
          <w:i/>
          <w:iCs/>
          <w:sz w:val="18"/>
          <w:szCs w:val="18"/>
        </w:rPr>
        <w:t>Encyclopedia of Quality of Life and Well-Being Research</w:t>
      </w:r>
      <w:r w:rsidR="00140DBC" w:rsidRPr="005039B3">
        <w:rPr>
          <w:rFonts w:cs="Arial"/>
          <w:i/>
          <w:iCs/>
          <w:sz w:val="18"/>
          <w:szCs w:val="18"/>
        </w:rPr>
        <w:t>,</w:t>
      </w:r>
      <w:r w:rsidRPr="005039B3">
        <w:rPr>
          <w:rFonts w:cs="Arial"/>
          <w:sz w:val="18"/>
          <w:szCs w:val="18"/>
        </w:rPr>
        <w:t xml:space="preserve"> </w:t>
      </w:r>
      <w:r w:rsidR="003D07C9" w:rsidRPr="005039B3">
        <w:rPr>
          <w:rFonts w:cs="Arial"/>
          <w:sz w:val="18"/>
          <w:szCs w:val="18"/>
        </w:rPr>
        <w:t xml:space="preserve">pp. </w:t>
      </w:r>
      <w:r w:rsidRPr="005039B3">
        <w:rPr>
          <w:rFonts w:cs="Arial"/>
          <w:sz w:val="18"/>
          <w:szCs w:val="18"/>
        </w:rPr>
        <w:t>3</w:t>
      </w:r>
      <w:r w:rsidR="003D07C9" w:rsidRPr="005039B3">
        <w:rPr>
          <w:rFonts w:cs="Arial"/>
          <w:sz w:val="18"/>
          <w:szCs w:val="18"/>
        </w:rPr>
        <w:t>,</w:t>
      </w:r>
      <w:r w:rsidRPr="005039B3">
        <w:rPr>
          <w:rFonts w:cs="Arial"/>
          <w:sz w:val="18"/>
          <w:szCs w:val="18"/>
        </w:rPr>
        <w:t>712</w:t>
      </w:r>
      <w:r w:rsidR="003D07C9" w:rsidRPr="005039B3">
        <w:rPr>
          <w:rFonts w:cs="Arial"/>
          <w:sz w:val="18"/>
          <w:szCs w:val="18"/>
        </w:rPr>
        <w:t>–</w:t>
      </w:r>
      <w:r w:rsidRPr="005039B3">
        <w:rPr>
          <w:rFonts w:cs="Arial"/>
          <w:sz w:val="18"/>
          <w:szCs w:val="18"/>
        </w:rPr>
        <w:t>3</w:t>
      </w:r>
      <w:r w:rsidR="003D07C9" w:rsidRPr="005039B3">
        <w:rPr>
          <w:rFonts w:cs="Arial"/>
          <w:sz w:val="18"/>
          <w:szCs w:val="18"/>
        </w:rPr>
        <w:t>,</w:t>
      </w:r>
      <w:r w:rsidRPr="005039B3">
        <w:rPr>
          <w:rFonts w:cs="Arial"/>
          <w:sz w:val="18"/>
          <w:szCs w:val="18"/>
        </w:rPr>
        <w:t>715.</w:t>
      </w:r>
    </w:p>
  </w:endnote>
  <w:endnote w:id="27">
    <w:p w14:paraId="04658F24" w14:textId="60D028D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Safer Care Victoria</w:t>
      </w:r>
      <w:r w:rsidR="00FC4AA3" w:rsidRPr="005039B3">
        <w:rPr>
          <w:rFonts w:cs="Arial"/>
          <w:sz w:val="18"/>
          <w:szCs w:val="18"/>
        </w:rPr>
        <w:t xml:space="preserve"> (2023)</w:t>
      </w:r>
      <w:r w:rsidR="00C6518A" w:rsidRPr="005039B3">
        <w:rPr>
          <w:rFonts w:cs="Arial"/>
          <w:sz w:val="18"/>
          <w:szCs w:val="18"/>
        </w:rPr>
        <w:t>,</w:t>
      </w:r>
      <w:r w:rsidRPr="005039B3">
        <w:rPr>
          <w:rFonts w:cs="Arial"/>
          <w:sz w:val="18"/>
          <w:szCs w:val="18"/>
        </w:rPr>
        <w:t xml:space="preserve"> </w:t>
      </w:r>
      <w:r w:rsidRPr="005039B3">
        <w:rPr>
          <w:rFonts w:cs="Arial"/>
          <w:i/>
          <w:iCs/>
          <w:sz w:val="18"/>
          <w:szCs w:val="18"/>
        </w:rPr>
        <w:t>Victorian Perinatal Data Collection</w:t>
      </w:r>
      <w:r w:rsidRPr="005039B3">
        <w:rPr>
          <w:rFonts w:cs="Arial"/>
          <w:sz w:val="18"/>
          <w:szCs w:val="18"/>
        </w:rPr>
        <w:t>, Victorian Department of Health, State Government of Victoria, Melbourne</w:t>
      </w:r>
      <w:r w:rsidR="007F3B23" w:rsidRPr="005039B3">
        <w:rPr>
          <w:rFonts w:cs="Arial"/>
          <w:sz w:val="18"/>
          <w:szCs w:val="18"/>
        </w:rPr>
        <w:t>.</w:t>
      </w:r>
    </w:p>
  </w:endnote>
  <w:endnote w:id="28">
    <w:p w14:paraId="56CFE164" w14:textId="52668EA7"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835348" w:rsidRPr="005039B3">
        <w:rPr>
          <w:rFonts w:cs="Arial"/>
          <w:sz w:val="18"/>
          <w:szCs w:val="18"/>
        </w:rPr>
        <w:t xml:space="preserve">National Health and Medical Research Council </w:t>
      </w:r>
      <w:r w:rsidR="007F3B23" w:rsidRPr="005039B3">
        <w:rPr>
          <w:rFonts w:cs="Arial"/>
          <w:sz w:val="18"/>
          <w:szCs w:val="18"/>
        </w:rPr>
        <w:t xml:space="preserve">(2020) </w:t>
      </w:r>
      <w:r w:rsidRPr="005039B3">
        <w:rPr>
          <w:rFonts w:cs="Arial"/>
          <w:i/>
          <w:iCs/>
          <w:sz w:val="18"/>
          <w:szCs w:val="18"/>
        </w:rPr>
        <w:t>Australian Guidelines to Reduce Health Risks from Drinking Alcohol</w:t>
      </w:r>
      <w:r w:rsidR="007F3B23" w:rsidRPr="005039B3">
        <w:rPr>
          <w:rFonts w:cs="Arial"/>
          <w:sz w:val="18"/>
          <w:szCs w:val="18"/>
        </w:rPr>
        <w:t>,</w:t>
      </w:r>
      <w:r w:rsidRPr="005039B3">
        <w:rPr>
          <w:rFonts w:cs="Arial"/>
          <w:sz w:val="18"/>
          <w:szCs w:val="18"/>
        </w:rPr>
        <w:t xml:space="preserve"> Commonwealth of Australia, Canberra</w:t>
      </w:r>
      <w:r w:rsidR="007F3B23" w:rsidRPr="005039B3">
        <w:rPr>
          <w:rFonts w:cs="Arial"/>
          <w:sz w:val="18"/>
          <w:szCs w:val="18"/>
        </w:rPr>
        <w:t>.</w:t>
      </w:r>
    </w:p>
  </w:endnote>
  <w:endnote w:id="29">
    <w:p w14:paraId="3A517EFB" w14:textId="661B608F"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QUIT</w:t>
      </w:r>
      <w:r w:rsidR="00C24E0D" w:rsidRPr="005039B3">
        <w:rPr>
          <w:rFonts w:cs="Arial"/>
          <w:sz w:val="18"/>
          <w:szCs w:val="18"/>
        </w:rPr>
        <w:t xml:space="preserve"> (2023)</w:t>
      </w:r>
      <w:r w:rsidRPr="005039B3">
        <w:rPr>
          <w:rFonts w:cs="Arial"/>
          <w:sz w:val="18"/>
          <w:szCs w:val="18"/>
        </w:rPr>
        <w:t xml:space="preserve"> </w:t>
      </w:r>
      <w:hyperlink r:id="rId8" w:history="1">
        <w:r w:rsidRPr="005039B3">
          <w:rPr>
            <w:rStyle w:val="Hyperlink"/>
            <w:rFonts w:cs="Arial"/>
            <w:i/>
            <w:iCs/>
            <w:sz w:val="18"/>
            <w:szCs w:val="18"/>
          </w:rPr>
          <w:t>The risks of smoking while pregnant</w:t>
        </w:r>
      </w:hyperlink>
      <w:r w:rsidRPr="005039B3">
        <w:rPr>
          <w:rFonts w:cs="Arial"/>
          <w:sz w:val="18"/>
          <w:szCs w:val="18"/>
        </w:rPr>
        <w:t xml:space="preserve"> &lt;</w:t>
      </w:r>
      <w:hyperlink w:history="1"/>
      <w:r w:rsidR="001D21F9" w:rsidRPr="005039B3">
        <w:rPr>
          <w:rFonts w:cs="Arial"/>
          <w:sz w:val="18"/>
          <w:szCs w:val="18"/>
        </w:rPr>
        <w:t>https://www.quit.org.au/articles/the-risks-of-smoking-while-pregnant/</w:t>
      </w:r>
      <w:r w:rsidRPr="005039B3">
        <w:rPr>
          <w:rFonts w:cs="Arial"/>
          <w:sz w:val="18"/>
          <w:szCs w:val="18"/>
        </w:rPr>
        <w:t xml:space="preserve">&gt;, accessed 14 April 2023. </w:t>
      </w:r>
    </w:p>
  </w:endnote>
  <w:endnote w:id="30">
    <w:p w14:paraId="1EB18913" w14:textId="77777777" w:rsidR="00995830" w:rsidRPr="005039B3" w:rsidRDefault="00995830" w:rsidP="0099583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Education (2021), </w:t>
      </w:r>
      <w:r w:rsidRPr="005039B3">
        <w:rPr>
          <w:rFonts w:cs="Arial"/>
          <w:i/>
          <w:iCs/>
          <w:sz w:val="18"/>
          <w:szCs w:val="18"/>
        </w:rPr>
        <w:t>Victorian child health and wellbeing survey</w:t>
      </w:r>
      <w:r w:rsidRPr="005039B3">
        <w:rPr>
          <w:rFonts w:cs="Arial"/>
          <w:sz w:val="18"/>
          <w:szCs w:val="18"/>
        </w:rPr>
        <w:t>, State Government of Victoria, Melbourne.</w:t>
      </w:r>
    </w:p>
  </w:endnote>
  <w:endnote w:id="31">
    <w:p w14:paraId="4B6523AE" w14:textId="633A5EA6"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B368F" w:rsidRPr="005039B3">
        <w:rPr>
          <w:rFonts w:cs="Arial"/>
          <w:sz w:val="18"/>
          <w:szCs w:val="18"/>
        </w:rPr>
        <w:t>AIHW</w:t>
      </w:r>
      <w:r w:rsidR="00515335" w:rsidRPr="005039B3">
        <w:rPr>
          <w:rFonts w:cs="Arial"/>
          <w:sz w:val="18"/>
          <w:szCs w:val="18"/>
        </w:rPr>
        <w:t xml:space="preserve"> (2022)</w:t>
      </w:r>
      <w:r w:rsidR="00C6518A" w:rsidRPr="005039B3">
        <w:rPr>
          <w:rFonts w:cs="Arial"/>
          <w:sz w:val="18"/>
          <w:szCs w:val="18"/>
        </w:rPr>
        <w:t>,</w:t>
      </w:r>
      <w:r w:rsidRPr="005039B3">
        <w:rPr>
          <w:rFonts w:cs="Arial"/>
          <w:sz w:val="18"/>
          <w:szCs w:val="18"/>
        </w:rPr>
        <w:t xml:space="preserve"> </w:t>
      </w:r>
      <w:hyperlink r:id="rId9" w:history="1">
        <w:r w:rsidRPr="005039B3">
          <w:rPr>
            <w:rStyle w:val="Hyperlink"/>
            <w:rFonts w:cs="Arial"/>
            <w:sz w:val="18"/>
            <w:szCs w:val="18"/>
          </w:rPr>
          <w:t>Deaths in Australia</w:t>
        </w:r>
      </w:hyperlink>
      <w:r w:rsidRPr="005039B3">
        <w:rPr>
          <w:rFonts w:cs="Arial"/>
          <w:sz w:val="18"/>
          <w:szCs w:val="18"/>
        </w:rPr>
        <w:t xml:space="preserve"> </w:t>
      </w:r>
      <w:r w:rsidR="00932C4D" w:rsidRPr="005039B3">
        <w:rPr>
          <w:rFonts w:cs="Arial"/>
          <w:sz w:val="18"/>
          <w:szCs w:val="18"/>
        </w:rPr>
        <w:t>&lt;</w:t>
      </w:r>
      <w:r w:rsidRPr="005039B3">
        <w:rPr>
          <w:rFonts w:cs="Arial"/>
          <w:sz w:val="18"/>
          <w:szCs w:val="18"/>
        </w:rPr>
        <w:t>https://www.aihw.gov.au/reports/life-expectancy-death/deaths-in-australia/contents/life-expectancy</w:t>
      </w:r>
      <w:r w:rsidR="00932C4D" w:rsidRPr="005039B3">
        <w:rPr>
          <w:rFonts w:cs="Arial"/>
          <w:sz w:val="18"/>
          <w:szCs w:val="18"/>
        </w:rPr>
        <w:t>&gt;</w:t>
      </w:r>
      <w:r w:rsidR="00D37B08" w:rsidRPr="005039B3">
        <w:rPr>
          <w:rFonts w:cs="Arial"/>
          <w:sz w:val="18"/>
          <w:szCs w:val="18"/>
        </w:rPr>
        <w:t xml:space="preserve"> accessed 14 November 2023</w:t>
      </w:r>
      <w:r w:rsidRPr="005039B3">
        <w:rPr>
          <w:rFonts w:cs="Arial"/>
          <w:sz w:val="18"/>
          <w:szCs w:val="18"/>
        </w:rPr>
        <w:t>.</w:t>
      </w:r>
    </w:p>
  </w:endnote>
  <w:endnote w:id="32">
    <w:p w14:paraId="4F0DE45C" w14:textId="1638451D"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009306D3" w:rsidRPr="005039B3" w:rsidDel="009306D3">
        <w:rPr>
          <w:rFonts w:cs="Arial"/>
          <w:sz w:val="18"/>
          <w:szCs w:val="18"/>
        </w:rPr>
        <w:t xml:space="preserve"> </w:t>
      </w:r>
      <w:r w:rsidRPr="005039B3">
        <w:rPr>
          <w:rFonts w:cs="Arial"/>
          <w:sz w:val="18"/>
          <w:szCs w:val="18"/>
        </w:rPr>
        <w:t>(20</w:t>
      </w:r>
      <w:r w:rsidR="009F1121" w:rsidRPr="005039B3">
        <w:rPr>
          <w:rFonts w:cs="Arial"/>
          <w:sz w:val="18"/>
          <w:szCs w:val="18"/>
        </w:rPr>
        <w:t>23</w:t>
      </w:r>
      <w:r w:rsidRPr="005039B3">
        <w:rPr>
          <w:rFonts w:cs="Arial"/>
          <w:sz w:val="18"/>
          <w:szCs w:val="18"/>
        </w:rPr>
        <w:t xml:space="preserve">) </w:t>
      </w:r>
      <w:hyperlink r:id="rId10" w:history="1">
        <w:r w:rsidRPr="005039B3">
          <w:rPr>
            <w:rStyle w:val="Hyperlink"/>
            <w:i/>
            <w:iCs/>
            <w:sz w:val="18"/>
            <w:szCs w:val="18"/>
          </w:rPr>
          <w:t>Life tables</w:t>
        </w:r>
      </w:hyperlink>
      <w:r w:rsidRPr="005039B3">
        <w:rPr>
          <w:rFonts w:cs="Arial"/>
          <w:sz w:val="18"/>
          <w:szCs w:val="18"/>
        </w:rPr>
        <w:t xml:space="preserve">, </w:t>
      </w:r>
      <w:r w:rsidR="000546CE" w:rsidRPr="005039B3">
        <w:rPr>
          <w:rFonts w:cs="Arial"/>
          <w:sz w:val="18"/>
          <w:szCs w:val="18"/>
        </w:rPr>
        <w:t>&lt;https://www.abs.gov.au/statistics/people/population/life-expectancy/2020-2022&gt;</w:t>
      </w:r>
      <w:r w:rsidRPr="005039B3">
        <w:rPr>
          <w:rFonts w:cs="Arial"/>
          <w:sz w:val="18"/>
          <w:szCs w:val="18"/>
        </w:rPr>
        <w:t>, accessed 14 April 2023.</w:t>
      </w:r>
    </w:p>
  </w:endnote>
  <w:endnote w:id="33">
    <w:p w14:paraId="5834A4AD" w14:textId="531BE2C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009306D3" w:rsidRPr="005039B3" w:rsidDel="009306D3">
        <w:rPr>
          <w:rFonts w:cs="Arial"/>
          <w:sz w:val="18"/>
          <w:szCs w:val="18"/>
        </w:rPr>
        <w:t xml:space="preserve"> </w:t>
      </w:r>
      <w:r w:rsidR="001D5D0A" w:rsidRPr="005039B3">
        <w:rPr>
          <w:rFonts w:cs="Arial"/>
          <w:sz w:val="18"/>
          <w:szCs w:val="18"/>
        </w:rPr>
        <w:t>(</w:t>
      </w:r>
      <w:r w:rsidRPr="005039B3">
        <w:rPr>
          <w:rFonts w:cs="Arial"/>
          <w:sz w:val="18"/>
          <w:szCs w:val="18"/>
        </w:rPr>
        <w:t>2018</w:t>
      </w:r>
      <w:r w:rsidR="001D5D0A" w:rsidRPr="005039B3">
        <w:rPr>
          <w:rFonts w:cs="Arial"/>
          <w:sz w:val="18"/>
          <w:szCs w:val="18"/>
        </w:rPr>
        <w:t>)</w:t>
      </w:r>
      <w:r w:rsidRPr="005039B3">
        <w:rPr>
          <w:rFonts w:cs="Arial"/>
          <w:sz w:val="18"/>
          <w:szCs w:val="18"/>
        </w:rPr>
        <w:t xml:space="preserve"> </w:t>
      </w:r>
      <w:hyperlink r:id="rId11" w:history="1">
        <w:r w:rsidRPr="005039B3">
          <w:rPr>
            <w:rStyle w:val="Hyperlink"/>
            <w:i/>
            <w:iCs/>
            <w:sz w:val="18"/>
            <w:szCs w:val="18"/>
          </w:rPr>
          <w:t>Life tables for Aboriginal and Torres Strait Islander Australians, 2015–2017</w:t>
        </w:r>
      </w:hyperlink>
      <w:r w:rsidRPr="005039B3">
        <w:rPr>
          <w:rFonts w:cs="Arial"/>
          <w:sz w:val="18"/>
          <w:szCs w:val="18"/>
        </w:rPr>
        <w:t xml:space="preserve"> </w:t>
      </w:r>
      <w:r w:rsidR="004266C2" w:rsidRPr="005039B3">
        <w:rPr>
          <w:rFonts w:cs="Arial"/>
          <w:sz w:val="18"/>
          <w:szCs w:val="18"/>
        </w:rPr>
        <w:t>&lt;https://www.abs.gov.au/statistics/people/aboriginal-and-torres-strait-islander-peoples/aboriginal-and-torres-strait-islander-life-expectancy/latest-release&gt;</w:t>
      </w:r>
      <w:r w:rsidR="00963238" w:rsidRPr="005039B3">
        <w:rPr>
          <w:rFonts w:cs="Arial"/>
          <w:sz w:val="18"/>
          <w:szCs w:val="18"/>
        </w:rPr>
        <w:t xml:space="preserve"> accessed 14 November 2023.</w:t>
      </w:r>
    </w:p>
  </w:endnote>
  <w:endnote w:id="34">
    <w:p w14:paraId="769E7249" w14:textId="1B881F92"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Australian Government</w:t>
      </w:r>
      <w:r w:rsidR="00A44CC2" w:rsidRPr="005039B3">
        <w:rPr>
          <w:rFonts w:cs="Arial"/>
          <w:sz w:val="18"/>
          <w:szCs w:val="18"/>
        </w:rPr>
        <w:t xml:space="preserve"> (2020)</w:t>
      </w:r>
      <w:r w:rsidRPr="005039B3">
        <w:rPr>
          <w:rFonts w:cs="Arial"/>
          <w:i/>
          <w:iCs/>
          <w:sz w:val="18"/>
          <w:szCs w:val="18"/>
        </w:rPr>
        <w:t xml:space="preserve"> </w:t>
      </w:r>
      <w:hyperlink r:id="rId12" w:history="1">
        <w:r w:rsidR="00A6527C" w:rsidRPr="005039B3">
          <w:rPr>
            <w:rStyle w:val="Hyperlink"/>
            <w:rFonts w:cs="Arial"/>
            <w:i/>
            <w:iCs/>
            <w:sz w:val="18"/>
            <w:szCs w:val="18"/>
          </w:rPr>
          <w:t>Life expectancy: Closing the gap report 2020</w:t>
        </w:r>
      </w:hyperlink>
      <w:r w:rsidRPr="005039B3">
        <w:rPr>
          <w:rFonts w:cs="Arial"/>
          <w:sz w:val="18"/>
          <w:szCs w:val="18"/>
        </w:rPr>
        <w:t xml:space="preserve"> &lt;https://ctgreport.niaa.gov.au/life-expectancy&gt;</w:t>
      </w:r>
      <w:r w:rsidR="00A44CC2" w:rsidRPr="005039B3">
        <w:rPr>
          <w:rFonts w:cs="Arial"/>
          <w:sz w:val="18"/>
          <w:szCs w:val="18"/>
        </w:rPr>
        <w:t xml:space="preserve"> accessed 14 November 2023.</w:t>
      </w:r>
    </w:p>
  </w:endnote>
  <w:endnote w:id="35">
    <w:p w14:paraId="6F72FC46" w14:textId="389AE8B7" w:rsidR="00617F78" w:rsidRPr="005039B3" w:rsidRDefault="00617F78" w:rsidP="00461C72">
      <w:pPr>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009306D3" w:rsidRPr="005039B3" w:rsidDel="009306D3">
        <w:rPr>
          <w:rFonts w:cs="Arial"/>
          <w:sz w:val="18"/>
          <w:szCs w:val="18"/>
        </w:rPr>
        <w:t xml:space="preserve"> </w:t>
      </w:r>
      <w:r w:rsidRPr="005039B3">
        <w:rPr>
          <w:rFonts w:cs="Arial"/>
          <w:sz w:val="18"/>
          <w:szCs w:val="18"/>
        </w:rPr>
        <w:t>(202</w:t>
      </w:r>
      <w:r w:rsidR="00AF19E6" w:rsidRPr="005039B3">
        <w:rPr>
          <w:rFonts w:cs="Arial"/>
          <w:sz w:val="18"/>
          <w:szCs w:val="18"/>
        </w:rPr>
        <w:t>2</w:t>
      </w:r>
      <w:r w:rsidRPr="005039B3">
        <w:rPr>
          <w:rFonts w:cs="Arial"/>
          <w:sz w:val="18"/>
          <w:szCs w:val="18"/>
        </w:rPr>
        <w:t xml:space="preserve">), </w:t>
      </w:r>
      <w:hyperlink r:id="rId13" w:anchor="cite-window1" w:history="1">
        <w:r w:rsidRPr="005039B3">
          <w:rPr>
            <w:rStyle w:val="Hyperlink"/>
            <w:rFonts w:cs="Arial"/>
            <w:i/>
            <w:iCs/>
            <w:sz w:val="18"/>
            <w:szCs w:val="18"/>
          </w:rPr>
          <w:t>Health Conditions Prevalence</w:t>
        </w:r>
      </w:hyperlink>
      <w:r w:rsidRPr="005039B3">
        <w:rPr>
          <w:rFonts w:cs="Arial"/>
          <w:sz w:val="18"/>
          <w:szCs w:val="18"/>
        </w:rPr>
        <w:t xml:space="preserve"> </w:t>
      </w:r>
      <w:r w:rsidR="00A6527C" w:rsidRPr="005039B3">
        <w:rPr>
          <w:rFonts w:cs="Arial"/>
          <w:sz w:val="18"/>
          <w:szCs w:val="18"/>
        </w:rPr>
        <w:t>&lt;https://www.abs.gov.au/statistics/health/health-conditions-and-risks/health-conditions-prevalence/latest-release#cite-window1&gt;</w:t>
      </w:r>
      <w:r w:rsidRPr="005039B3">
        <w:rPr>
          <w:rFonts w:cs="Arial"/>
          <w:sz w:val="18"/>
          <w:szCs w:val="18"/>
        </w:rPr>
        <w:t xml:space="preserve"> accessed 14 April 2023.</w:t>
      </w:r>
    </w:p>
  </w:endnote>
  <w:endnote w:id="36">
    <w:p w14:paraId="64989823" w14:textId="7F022DAF"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Agency for Health Information</w:t>
      </w:r>
      <w:r w:rsidR="001541CF" w:rsidRPr="005039B3">
        <w:rPr>
          <w:rFonts w:cs="Arial"/>
          <w:sz w:val="18"/>
          <w:szCs w:val="18"/>
        </w:rPr>
        <w:t xml:space="preserve"> (2023)</w:t>
      </w:r>
      <w:r w:rsidRPr="005039B3">
        <w:rPr>
          <w:rFonts w:cs="Arial"/>
          <w:sz w:val="18"/>
          <w:szCs w:val="18"/>
        </w:rPr>
        <w:t xml:space="preserve"> </w:t>
      </w:r>
      <w:r w:rsidRPr="005039B3">
        <w:rPr>
          <w:rFonts w:cs="Arial"/>
          <w:i/>
          <w:iCs/>
          <w:sz w:val="18"/>
          <w:szCs w:val="18"/>
        </w:rPr>
        <w:t>Victorian Population Health Survey</w:t>
      </w:r>
      <w:r w:rsidR="003D2D07" w:rsidRPr="005039B3">
        <w:rPr>
          <w:rFonts w:cs="Arial"/>
          <w:i/>
          <w:iCs/>
          <w:sz w:val="18"/>
          <w:szCs w:val="18"/>
        </w:rPr>
        <w:t>,</w:t>
      </w:r>
      <w:r w:rsidRPr="005039B3">
        <w:rPr>
          <w:rFonts w:cs="Arial"/>
          <w:sz w:val="18"/>
          <w:szCs w:val="18"/>
        </w:rPr>
        <w:t xml:space="preserve"> State Government of Victoria, Melbourne. </w:t>
      </w:r>
    </w:p>
  </w:endnote>
  <w:endnote w:id="37">
    <w:p w14:paraId="52FEFC7A" w14:textId="007D29CB"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Burström B, Fredlund P</w:t>
      </w:r>
      <w:r w:rsidR="00840470" w:rsidRPr="005039B3">
        <w:rPr>
          <w:rFonts w:cs="Arial"/>
          <w:sz w:val="18"/>
          <w:szCs w:val="18"/>
        </w:rPr>
        <w:t xml:space="preserve"> (2021)</w:t>
      </w:r>
      <w:r w:rsidRPr="005039B3">
        <w:rPr>
          <w:rFonts w:cs="Arial"/>
          <w:sz w:val="18"/>
          <w:szCs w:val="18"/>
        </w:rPr>
        <w:t xml:space="preserve"> </w:t>
      </w:r>
      <w:r w:rsidR="00840470" w:rsidRPr="005039B3">
        <w:rPr>
          <w:rFonts w:cs="Arial"/>
          <w:sz w:val="18"/>
          <w:szCs w:val="18"/>
        </w:rPr>
        <w:t>‘</w:t>
      </w:r>
      <w:r w:rsidRPr="005039B3">
        <w:rPr>
          <w:rFonts w:cs="Arial"/>
          <w:sz w:val="18"/>
          <w:szCs w:val="18"/>
        </w:rPr>
        <w:t>Self rated health: Is it as good a predictor of subsequent mortality among adults in lower as well as in higher social classes?</w:t>
      </w:r>
      <w:r w:rsidR="00840470" w:rsidRPr="005039B3">
        <w:rPr>
          <w:rFonts w:cs="Arial"/>
          <w:sz w:val="18"/>
          <w:szCs w:val="18"/>
        </w:rPr>
        <w:t>’</w:t>
      </w:r>
      <w:r w:rsidRPr="005039B3">
        <w:rPr>
          <w:rFonts w:cs="Arial"/>
          <w:sz w:val="18"/>
          <w:szCs w:val="18"/>
        </w:rPr>
        <w:t xml:space="preserve"> </w:t>
      </w:r>
      <w:r w:rsidRPr="005039B3">
        <w:rPr>
          <w:rFonts w:cs="Arial"/>
          <w:i/>
          <w:iCs/>
          <w:sz w:val="18"/>
          <w:szCs w:val="18"/>
        </w:rPr>
        <w:t>J Epidemiol Community Health</w:t>
      </w:r>
      <w:r w:rsidR="00840470" w:rsidRPr="005039B3">
        <w:rPr>
          <w:rFonts w:cs="Arial"/>
          <w:i/>
          <w:iCs/>
          <w:sz w:val="18"/>
          <w:szCs w:val="18"/>
        </w:rPr>
        <w:t xml:space="preserve">, </w:t>
      </w:r>
      <w:r w:rsidR="00840470" w:rsidRPr="005039B3">
        <w:rPr>
          <w:rFonts w:cs="Arial"/>
          <w:sz w:val="18"/>
          <w:szCs w:val="18"/>
        </w:rPr>
        <w:t>55(11):</w:t>
      </w:r>
      <w:r w:rsidR="004037C7" w:rsidRPr="005039B3">
        <w:rPr>
          <w:rFonts w:cs="Arial"/>
          <w:sz w:val="18"/>
          <w:szCs w:val="18"/>
        </w:rPr>
        <w:t>836–840.</w:t>
      </w:r>
    </w:p>
  </w:endnote>
  <w:endnote w:id="38">
    <w:p w14:paraId="065E9538" w14:textId="40A00D7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Education</w:t>
      </w:r>
      <w:r w:rsidR="00230C5C" w:rsidRPr="005039B3">
        <w:rPr>
          <w:rFonts w:cs="Arial"/>
          <w:sz w:val="18"/>
          <w:szCs w:val="18"/>
        </w:rPr>
        <w:t xml:space="preserve"> (2023)</w:t>
      </w:r>
      <w:r w:rsidR="003D2D07" w:rsidRPr="005039B3">
        <w:rPr>
          <w:rFonts w:cs="Arial"/>
          <w:sz w:val="18"/>
          <w:szCs w:val="18"/>
        </w:rPr>
        <w:t>,</w:t>
      </w:r>
      <w:r w:rsidRPr="005039B3">
        <w:rPr>
          <w:rFonts w:cs="Arial"/>
          <w:sz w:val="18"/>
          <w:szCs w:val="18"/>
        </w:rPr>
        <w:t xml:space="preserve"> </w:t>
      </w:r>
      <w:r w:rsidRPr="005039B3">
        <w:rPr>
          <w:rFonts w:cs="Arial"/>
          <w:i/>
          <w:iCs/>
          <w:sz w:val="18"/>
          <w:szCs w:val="18"/>
        </w:rPr>
        <w:t xml:space="preserve">Victorian </w:t>
      </w:r>
      <w:r w:rsidR="002B41C8" w:rsidRPr="005039B3">
        <w:rPr>
          <w:rFonts w:cs="Arial"/>
          <w:i/>
          <w:iCs/>
          <w:sz w:val="18"/>
          <w:szCs w:val="18"/>
        </w:rPr>
        <w:t>student health and wellbeing survey</w:t>
      </w:r>
      <w:r w:rsidRPr="005039B3">
        <w:rPr>
          <w:rFonts w:cs="Arial"/>
          <w:sz w:val="18"/>
          <w:szCs w:val="18"/>
        </w:rPr>
        <w:t>, Victorian Government, Melbourne.</w:t>
      </w:r>
    </w:p>
  </w:endnote>
  <w:endnote w:id="39">
    <w:p w14:paraId="5DA2F80A" w14:textId="42BCCB75"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B368F" w:rsidRPr="005039B3">
        <w:rPr>
          <w:rFonts w:cs="Arial"/>
          <w:sz w:val="18"/>
          <w:szCs w:val="18"/>
        </w:rPr>
        <w:t xml:space="preserve">AIHW </w:t>
      </w:r>
      <w:r w:rsidR="00896F7A" w:rsidRPr="005039B3">
        <w:rPr>
          <w:rFonts w:cs="Arial"/>
          <w:sz w:val="18"/>
          <w:szCs w:val="18"/>
        </w:rPr>
        <w:t>(2023)</w:t>
      </w:r>
      <w:r w:rsidR="003D2D07" w:rsidRPr="005039B3">
        <w:rPr>
          <w:rFonts w:cs="Arial"/>
          <w:sz w:val="18"/>
          <w:szCs w:val="18"/>
        </w:rPr>
        <w:t>,</w:t>
      </w:r>
      <w:r w:rsidRPr="005039B3">
        <w:rPr>
          <w:rFonts w:cs="Arial"/>
          <w:sz w:val="18"/>
          <w:szCs w:val="18"/>
        </w:rPr>
        <w:t xml:space="preserve"> </w:t>
      </w:r>
      <w:r w:rsidRPr="005039B3">
        <w:rPr>
          <w:rFonts w:cs="Arial"/>
          <w:i/>
          <w:iCs/>
          <w:sz w:val="18"/>
          <w:szCs w:val="18"/>
        </w:rPr>
        <w:t>Injury in Australia</w:t>
      </w:r>
      <w:r w:rsidR="00896F7A" w:rsidRPr="005039B3">
        <w:rPr>
          <w:rFonts w:cs="Arial"/>
          <w:sz w:val="18"/>
          <w:szCs w:val="18"/>
        </w:rPr>
        <w:t>,</w:t>
      </w:r>
      <w:r w:rsidRPr="005039B3">
        <w:rPr>
          <w:rFonts w:cs="Arial"/>
          <w:sz w:val="18"/>
          <w:szCs w:val="18"/>
        </w:rPr>
        <w:t xml:space="preserve"> </w:t>
      </w:r>
      <w:r w:rsidR="0037741D" w:rsidRPr="005039B3">
        <w:rPr>
          <w:rFonts w:cs="Arial"/>
          <w:sz w:val="18"/>
          <w:szCs w:val="18"/>
        </w:rPr>
        <w:t>Commonwealth of Australia, Canberra.</w:t>
      </w:r>
    </w:p>
  </w:endnote>
  <w:endnote w:id="40">
    <w:p w14:paraId="03E239C7" w14:textId="27159DC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B368F" w:rsidRPr="005039B3">
        <w:rPr>
          <w:rFonts w:cs="Arial"/>
          <w:sz w:val="18"/>
          <w:szCs w:val="18"/>
        </w:rPr>
        <w:t xml:space="preserve">AIHW </w:t>
      </w:r>
      <w:r w:rsidR="00331621" w:rsidRPr="005039B3">
        <w:rPr>
          <w:rFonts w:cs="Arial"/>
          <w:sz w:val="18"/>
          <w:szCs w:val="18"/>
        </w:rPr>
        <w:t>(2022)</w:t>
      </w:r>
      <w:r w:rsidR="003D2D07" w:rsidRPr="005039B3">
        <w:rPr>
          <w:rFonts w:cs="Arial"/>
          <w:sz w:val="18"/>
          <w:szCs w:val="18"/>
        </w:rPr>
        <w:t>,</w:t>
      </w:r>
      <w:r w:rsidRPr="005039B3">
        <w:rPr>
          <w:rFonts w:cs="Arial"/>
          <w:sz w:val="18"/>
          <w:szCs w:val="18"/>
        </w:rPr>
        <w:t xml:space="preserve"> </w:t>
      </w:r>
      <w:r w:rsidRPr="005039B3">
        <w:rPr>
          <w:rFonts w:cs="Arial"/>
          <w:i/>
          <w:iCs/>
          <w:sz w:val="18"/>
          <w:szCs w:val="18"/>
        </w:rPr>
        <w:t>Australian burden of disease study</w:t>
      </w:r>
      <w:r w:rsidR="00331621" w:rsidRPr="005039B3">
        <w:rPr>
          <w:rFonts w:cs="Arial"/>
          <w:sz w:val="18"/>
          <w:szCs w:val="18"/>
        </w:rPr>
        <w:t>, Commonwealth of Australia, Canberra</w:t>
      </w:r>
      <w:r w:rsidRPr="005039B3">
        <w:rPr>
          <w:rFonts w:cs="Arial"/>
          <w:sz w:val="18"/>
          <w:szCs w:val="18"/>
        </w:rPr>
        <w:t>.</w:t>
      </w:r>
    </w:p>
  </w:endnote>
  <w:endnote w:id="41">
    <w:p w14:paraId="2D43B497" w14:textId="1167113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C24D3D" w:rsidRPr="005039B3">
        <w:rPr>
          <w:rFonts w:cs="Arial"/>
          <w:sz w:val="18"/>
          <w:szCs w:val="18"/>
        </w:rPr>
        <w:t>Road Crash Information Database</w:t>
      </w:r>
      <w:r w:rsidR="00C24D3D" w:rsidRPr="005039B3" w:rsidDel="00C24D3D">
        <w:rPr>
          <w:rFonts w:cs="Arial"/>
          <w:sz w:val="18"/>
          <w:szCs w:val="18"/>
        </w:rPr>
        <w:t xml:space="preserve"> </w:t>
      </w:r>
      <w:r w:rsidR="00A6337C" w:rsidRPr="005039B3">
        <w:rPr>
          <w:rFonts w:cs="Arial"/>
          <w:sz w:val="18"/>
          <w:szCs w:val="18"/>
        </w:rPr>
        <w:t>(2022)</w:t>
      </w:r>
      <w:r w:rsidR="009704C7" w:rsidRPr="005039B3">
        <w:rPr>
          <w:rFonts w:cs="Arial"/>
          <w:sz w:val="18"/>
          <w:szCs w:val="18"/>
        </w:rPr>
        <w:t xml:space="preserve"> </w:t>
      </w:r>
      <w:hyperlink r:id="rId14" w:history="1">
        <w:r w:rsidR="00111556" w:rsidRPr="005039B3">
          <w:rPr>
            <w:rStyle w:val="Hyperlink"/>
            <w:rFonts w:cs="Arial"/>
            <w:i/>
            <w:iCs/>
            <w:sz w:val="18"/>
            <w:szCs w:val="18"/>
          </w:rPr>
          <w:t>Lives Lost – Annual</w:t>
        </w:r>
      </w:hyperlink>
      <w:r w:rsidRPr="005039B3">
        <w:rPr>
          <w:rFonts w:cs="Arial"/>
          <w:sz w:val="18"/>
          <w:szCs w:val="18"/>
        </w:rPr>
        <w:t xml:space="preserve"> </w:t>
      </w:r>
      <w:r w:rsidR="00D64B2E" w:rsidRPr="005039B3">
        <w:rPr>
          <w:rFonts w:cs="Arial"/>
          <w:sz w:val="18"/>
          <w:szCs w:val="18"/>
        </w:rPr>
        <w:t>&lt;</w:t>
      </w:r>
      <w:hyperlink w:history="1"/>
      <w:r w:rsidR="00D64B2E" w:rsidRPr="005039B3">
        <w:rPr>
          <w:sz w:val="18"/>
          <w:szCs w:val="18"/>
        </w:rPr>
        <w:t>https://www.tac.vic.gov.au/road-safety/statistics/lives-lost-annual</w:t>
      </w:r>
      <w:r w:rsidR="00D64B2E" w:rsidRPr="005039B3">
        <w:rPr>
          <w:rFonts w:cs="Arial"/>
          <w:sz w:val="18"/>
          <w:szCs w:val="18"/>
        </w:rPr>
        <w:t>&gt;</w:t>
      </w:r>
      <w:r w:rsidRPr="005039B3">
        <w:rPr>
          <w:rFonts w:cs="Arial"/>
          <w:sz w:val="18"/>
          <w:szCs w:val="18"/>
        </w:rPr>
        <w:t xml:space="preserve">, </w:t>
      </w:r>
      <w:r w:rsidR="00532D0D" w:rsidRPr="005039B3">
        <w:rPr>
          <w:rFonts w:cs="Arial"/>
          <w:sz w:val="18"/>
          <w:szCs w:val="18"/>
        </w:rPr>
        <w:t>a</w:t>
      </w:r>
      <w:r w:rsidRPr="005039B3">
        <w:rPr>
          <w:rFonts w:cs="Arial"/>
          <w:sz w:val="18"/>
          <w:szCs w:val="18"/>
        </w:rPr>
        <w:t>ccesse</w:t>
      </w:r>
      <w:r w:rsidR="00532D0D" w:rsidRPr="005039B3">
        <w:rPr>
          <w:rFonts w:cs="Arial"/>
          <w:sz w:val="18"/>
          <w:szCs w:val="18"/>
        </w:rPr>
        <w:t>d</w:t>
      </w:r>
      <w:r w:rsidRPr="005039B3">
        <w:rPr>
          <w:rFonts w:cs="Arial"/>
          <w:sz w:val="18"/>
          <w:szCs w:val="18"/>
        </w:rPr>
        <w:t xml:space="preserve"> 13</w:t>
      </w:r>
      <w:r w:rsidR="00532D0D" w:rsidRPr="005039B3">
        <w:rPr>
          <w:rFonts w:cs="Arial"/>
          <w:sz w:val="18"/>
          <w:szCs w:val="18"/>
        </w:rPr>
        <w:t xml:space="preserve"> October </w:t>
      </w:r>
      <w:r w:rsidRPr="005039B3">
        <w:rPr>
          <w:rFonts w:cs="Arial"/>
          <w:sz w:val="18"/>
          <w:szCs w:val="18"/>
        </w:rPr>
        <w:t xml:space="preserve">2023. </w:t>
      </w:r>
    </w:p>
  </w:endnote>
  <w:endnote w:id="42">
    <w:p w14:paraId="2A23C6E0" w14:textId="1A792B0C"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w:t>
      </w:r>
      <w:r w:rsidR="00654B4A" w:rsidRPr="005039B3">
        <w:rPr>
          <w:rFonts w:cs="Arial"/>
          <w:sz w:val="18"/>
          <w:szCs w:val="18"/>
        </w:rPr>
        <w:t xml:space="preserve"> (2023)</w:t>
      </w:r>
      <w:r w:rsidR="00EC02F9" w:rsidRPr="005039B3">
        <w:rPr>
          <w:rFonts w:cs="Arial"/>
          <w:sz w:val="18"/>
          <w:szCs w:val="18"/>
        </w:rPr>
        <w:t>,</w:t>
      </w:r>
      <w:r w:rsidRPr="005039B3">
        <w:rPr>
          <w:rFonts w:cs="Arial"/>
          <w:sz w:val="18"/>
          <w:szCs w:val="18"/>
        </w:rPr>
        <w:t xml:space="preserve"> </w:t>
      </w:r>
      <w:r w:rsidRPr="005039B3">
        <w:rPr>
          <w:rFonts w:cs="Arial"/>
          <w:i/>
          <w:iCs/>
          <w:sz w:val="18"/>
          <w:szCs w:val="18"/>
        </w:rPr>
        <w:t>Victorian Admitted Episodes Dataset</w:t>
      </w:r>
      <w:r w:rsidRPr="005039B3">
        <w:rPr>
          <w:rFonts w:cs="Arial"/>
          <w:sz w:val="18"/>
          <w:szCs w:val="18"/>
        </w:rPr>
        <w:t>, State Government of Victoria, Melbourne.</w:t>
      </w:r>
    </w:p>
  </w:endnote>
  <w:endnote w:id="43">
    <w:p w14:paraId="76226668" w14:textId="1BC6578D"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COAG Health Council</w:t>
      </w:r>
      <w:r w:rsidR="009A1B4B" w:rsidRPr="005039B3">
        <w:rPr>
          <w:rFonts w:cs="Arial"/>
          <w:sz w:val="18"/>
          <w:szCs w:val="18"/>
        </w:rPr>
        <w:t xml:space="preserve"> (2015)</w:t>
      </w:r>
      <w:r w:rsidRPr="005039B3">
        <w:rPr>
          <w:rFonts w:cs="Arial"/>
          <w:sz w:val="18"/>
          <w:szCs w:val="18"/>
        </w:rPr>
        <w:t xml:space="preserve"> </w:t>
      </w:r>
      <w:r w:rsidRPr="005039B3">
        <w:rPr>
          <w:rFonts w:cs="Arial"/>
          <w:i/>
          <w:iCs/>
          <w:sz w:val="18"/>
          <w:szCs w:val="18"/>
        </w:rPr>
        <w:t>Australia’s National Oral Health Plan 2015</w:t>
      </w:r>
      <w:r w:rsidR="00F1257A" w:rsidRPr="005039B3">
        <w:rPr>
          <w:rFonts w:cs="Arial"/>
          <w:i/>
          <w:iCs/>
          <w:sz w:val="18"/>
          <w:szCs w:val="18"/>
        </w:rPr>
        <w:t>–</w:t>
      </w:r>
      <w:r w:rsidRPr="005039B3">
        <w:rPr>
          <w:rFonts w:cs="Arial"/>
          <w:i/>
          <w:iCs/>
          <w:sz w:val="18"/>
          <w:szCs w:val="18"/>
        </w:rPr>
        <w:t>2024</w:t>
      </w:r>
      <w:r w:rsidRPr="005039B3">
        <w:rPr>
          <w:rFonts w:cs="Arial"/>
          <w:sz w:val="18"/>
          <w:szCs w:val="18"/>
        </w:rPr>
        <w:t xml:space="preserve">, Australian Government, Canberra. </w:t>
      </w:r>
    </w:p>
  </w:endnote>
  <w:endnote w:id="44">
    <w:p w14:paraId="127AE8A8" w14:textId="19E3CAD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and Human Services</w:t>
      </w:r>
      <w:r w:rsidR="00654B4A" w:rsidRPr="005039B3">
        <w:rPr>
          <w:rFonts w:cs="Arial"/>
          <w:sz w:val="18"/>
          <w:szCs w:val="18"/>
        </w:rPr>
        <w:t xml:space="preserve"> (2020)</w:t>
      </w:r>
      <w:r w:rsidR="00EC02F9" w:rsidRPr="005039B3">
        <w:rPr>
          <w:rFonts w:cs="Arial"/>
          <w:sz w:val="18"/>
          <w:szCs w:val="18"/>
        </w:rPr>
        <w:t>,</w:t>
      </w:r>
      <w:r w:rsidRPr="005039B3">
        <w:rPr>
          <w:rFonts w:cs="Arial"/>
          <w:sz w:val="18"/>
          <w:szCs w:val="18"/>
        </w:rPr>
        <w:t xml:space="preserve"> </w:t>
      </w:r>
      <w:hyperlink r:id="rId15" w:history="1">
        <w:r w:rsidRPr="005039B3">
          <w:rPr>
            <w:rStyle w:val="Hyperlink"/>
            <w:rFonts w:cs="Arial"/>
            <w:i/>
            <w:iCs/>
            <w:sz w:val="18"/>
            <w:szCs w:val="18"/>
          </w:rPr>
          <w:t>Victorian action plan to prevent oral disease 2020–30</w:t>
        </w:r>
      </w:hyperlink>
      <w:r w:rsidRPr="005039B3">
        <w:rPr>
          <w:rFonts w:cs="Arial"/>
          <w:sz w:val="18"/>
          <w:szCs w:val="18"/>
        </w:rPr>
        <w:t xml:space="preserve"> </w:t>
      </w:r>
      <w:r w:rsidR="009D6A16" w:rsidRPr="005039B3">
        <w:rPr>
          <w:rFonts w:cs="Arial"/>
          <w:sz w:val="18"/>
          <w:szCs w:val="18"/>
        </w:rPr>
        <w:t xml:space="preserve">&lt;https://www.health.vic.gov.au/preventive-health/oral-health-planning&gt; </w:t>
      </w:r>
      <w:r w:rsidR="007818EA" w:rsidRPr="005039B3">
        <w:rPr>
          <w:rFonts w:cs="Arial"/>
          <w:sz w:val="18"/>
          <w:szCs w:val="18"/>
        </w:rPr>
        <w:t>accessed 14 November 2023</w:t>
      </w:r>
      <w:r w:rsidRPr="005039B3">
        <w:rPr>
          <w:rFonts w:cs="Arial"/>
          <w:sz w:val="18"/>
          <w:szCs w:val="18"/>
        </w:rPr>
        <w:t>.</w:t>
      </w:r>
    </w:p>
  </w:endnote>
  <w:endnote w:id="45">
    <w:p w14:paraId="3FD5F335" w14:textId="49D625B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Better Health Channel, </w:t>
      </w:r>
      <w:hyperlink r:id="rId16" w:anchor="bhc-content" w:history="1">
        <w:r w:rsidRPr="005039B3">
          <w:rPr>
            <w:rStyle w:val="Hyperlink"/>
            <w:rFonts w:cs="Arial"/>
            <w:sz w:val="18"/>
            <w:szCs w:val="18"/>
          </w:rPr>
          <w:t>Contraception – Male (external) condoms</w:t>
        </w:r>
      </w:hyperlink>
      <w:r w:rsidRPr="005039B3">
        <w:rPr>
          <w:rFonts w:cs="Arial"/>
          <w:sz w:val="18"/>
          <w:szCs w:val="18"/>
        </w:rPr>
        <w:t xml:space="preserve">, </w:t>
      </w:r>
      <w:r w:rsidR="00541A4E" w:rsidRPr="005039B3">
        <w:rPr>
          <w:rFonts w:cs="Arial"/>
          <w:sz w:val="18"/>
          <w:szCs w:val="18"/>
        </w:rPr>
        <w:t>&lt;</w:t>
      </w:r>
      <w:hyperlink w:history="1"/>
      <w:r w:rsidR="00541A4E" w:rsidRPr="005039B3">
        <w:rPr>
          <w:sz w:val="18"/>
          <w:szCs w:val="18"/>
        </w:rPr>
        <w:t>https://www.betterhealth.vic.gov.au/health/healthyliving/contraception-condoms-for-men#bhc-content</w:t>
      </w:r>
      <w:r w:rsidR="00541A4E" w:rsidRPr="005039B3">
        <w:rPr>
          <w:rFonts w:cs="Arial"/>
          <w:sz w:val="18"/>
          <w:szCs w:val="18"/>
        </w:rPr>
        <w:t>&gt;</w:t>
      </w:r>
      <w:r w:rsidRPr="005039B3">
        <w:rPr>
          <w:rFonts w:cs="Arial"/>
          <w:sz w:val="18"/>
          <w:szCs w:val="18"/>
        </w:rPr>
        <w:t xml:space="preserve">, </w:t>
      </w:r>
      <w:r w:rsidR="00541A4E" w:rsidRPr="005039B3">
        <w:rPr>
          <w:rFonts w:cs="Arial"/>
          <w:sz w:val="18"/>
          <w:szCs w:val="18"/>
        </w:rPr>
        <w:t>a</w:t>
      </w:r>
      <w:r w:rsidRPr="005039B3">
        <w:rPr>
          <w:rFonts w:cs="Arial"/>
          <w:sz w:val="18"/>
          <w:szCs w:val="18"/>
        </w:rPr>
        <w:t xml:space="preserve">ccessed 14 April 2023. </w:t>
      </w:r>
    </w:p>
  </w:endnote>
  <w:endnote w:id="46">
    <w:p w14:paraId="120D12A8" w14:textId="3AB18BDC" w:rsidR="00411669" w:rsidRPr="005039B3" w:rsidRDefault="00411669" w:rsidP="00411669">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Golub SA, Gamarel KE</w:t>
      </w:r>
      <w:r w:rsidR="00541A4E" w:rsidRPr="005039B3">
        <w:rPr>
          <w:rFonts w:cs="Arial"/>
          <w:sz w:val="18"/>
          <w:szCs w:val="18"/>
        </w:rPr>
        <w:t xml:space="preserve"> (20</w:t>
      </w:r>
      <w:r w:rsidR="009A3A87" w:rsidRPr="005039B3">
        <w:rPr>
          <w:rFonts w:cs="Arial"/>
          <w:sz w:val="18"/>
          <w:szCs w:val="18"/>
        </w:rPr>
        <w:t>13)</w:t>
      </w:r>
      <w:r w:rsidRPr="005039B3">
        <w:rPr>
          <w:rFonts w:cs="Arial"/>
          <w:sz w:val="18"/>
          <w:szCs w:val="18"/>
        </w:rPr>
        <w:t xml:space="preserve"> </w:t>
      </w:r>
      <w:r w:rsidR="009A3A87" w:rsidRPr="005039B3">
        <w:rPr>
          <w:rFonts w:cs="Arial"/>
          <w:sz w:val="18"/>
          <w:szCs w:val="18"/>
        </w:rPr>
        <w:t>‘</w:t>
      </w:r>
      <w:r w:rsidRPr="005039B3">
        <w:rPr>
          <w:rFonts w:cs="Arial"/>
          <w:sz w:val="18"/>
          <w:szCs w:val="18"/>
        </w:rPr>
        <w:t>The impact of anticipated HIV stigma on delays in HIV testing behaviors: findings from a community-based sample of men who have sex with men and transgender women in New York City</w:t>
      </w:r>
      <w:r w:rsidR="009A3A87" w:rsidRPr="005039B3">
        <w:rPr>
          <w:rFonts w:cs="Arial"/>
          <w:sz w:val="18"/>
          <w:szCs w:val="18"/>
        </w:rPr>
        <w:t>’,</w:t>
      </w:r>
      <w:r w:rsidRPr="005039B3">
        <w:rPr>
          <w:rFonts w:cs="Arial"/>
          <w:sz w:val="18"/>
          <w:szCs w:val="18"/>
        </w:rPr>
        <w:t xml:space="preserve"> </w:t>
      </w:r>
      <w:r w:rsidRPr="005039B3">
        <w:rPr>
          <w:rFonts w:cs="Arial"/>
          <w:i/>
          <w:iCs/>
          <w:sz w:val="18"/>
          <w:szCs w:val="18"/>
        </w:rPr>
        <w:t>AIDS patient care STD</w:t>
      </w:r>
      <w:r w:rsidR="009362C0" w:rsidRPr="005039B3">
        <w:rPr>
          <w:rFonts w:cs="Arial"/>
          <w:i/>
          <w:iCs/>
          <w:sz w:val="18"/>
          <w:szCs w:val="18"/>
        </w:rPr>
        <w:t>S</w:t>
      </w:r>
      <w:r w:rsidR="009A3A87" w:rsidRPr="005039B3">
        <w:rPr>
          <w:rFonts w:cs="Arial"/>
          <w:sz w:val="18"/>
          <w:szCs w:val="18"/>
        </w:rPr>
        <w:t>,</w:t>
      </w:r>
      <w:r w:rsidRPr="005039B3">
        <w:rPr>
          <w:rFonts w:cs="Arial"/>
          <w:sz w:val="18"/>
          <w:szCs w:val="18"/>
        </w:rPr>
        <w:t xml:space="preserve"> </w:t>
      </w:r>
      <w:r w:rsidR="009362C0" w:rsidRPr="005039B3">
        <w:rPr>
          <w:rFonts w:cs="Arial"/>
          <w:sz w:val="18"/>
          <w:szCs w:val="18"/>
        </w:rPr>
        <w:t>27</w:t>
      </w:r>
      <w:r w:rsidRPr="005039B3">
        <w:rPr>
          <w:rFonts w:cs="Arial"/>
          <w:sz w:val="18"/>
          <w:szCs w:val="18"/>
        </w:rPr>
        <w:t>(11):621–627.</w:t>
      </w:r>
    </w:p>
  </w:endnote>
  <w:endnote w:id="47">
    <w:p w14:paraId="1A9176A6" w14:textId="27EB570D" w:rsidR="00411669" w:rsidRPr="005039B3" w:rsidRDefault="00411669" w:rsidP="00411669">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Marinho RT, Barreira DP</w:t>
      </w:r>
      <w:r w:rsidR="009362C0" w:rsidRPr="005039B3">
        <w:rPr>
          <w:rFonts w:cs="Arial"/>
          <w:sz w:val="18"/>
          <w:szCs w:val="18"/>
        </w:rPr>
        <w:t xml:space="preserve"> (2013)</w:t>
      </w:r>
      <w:r w:rsidRPr="005039B3">
        <w:rPr>
          <w:rFonts w:cs="Arial"/>
          <w:sz w:val="18"/>
          <w:szCs w:val="18"/>
        </w:rPr>
        <w:t xml:space="preserve"> </w:t>
      </w:r>
      <w:r w:rsidR="009362C0" w:rsidRPr="005039B3">
        <w:rPr>
          <w:rFonts w:cs="Arial"/>
          <w:sz w:val="18"/>
          <w:szCs w:val="18"/>
        </w:rPr>
        <w:t>‘</w:t>
      </w:r>
      <w:r w:rsidRPr="005039B3">
        <w:rPr>
          <w:rFonts w:cs="Arial"/>
          <w:sz w:val="18"/>
          <w:szCs w:val="18"/>
        </w:rPr>
        <w:t>Hepatitis C, stigma and cure</w:t>
      </w:r>
      <w:r w:rsidR="009362C0" w:rsidRPr="005039B3">
        <w:rPr>
          <w:rFonts w:cs="Arial"/>
          <w:sz w:val="18"/>
          <w:szCs w:val="18"/>
        </w:rPr>
        <w:t>’,</w:t>
      </w:r>
      <w:r w:rsidRPr="005039B3">
        <w:rPr>
          <w:rFonts w:cs="Arial"/>
          <w:sz w:val="18"/>
          <w:szCs w:val="18"/>
        </w:rPr>
        <w:t xml:space="preserve"> </w:t>
      </w:r>
      <w:r w:rsidRPr="005039B3">
        <w:rPr>
          <w:rFonts w:cs="Arial"/>
          <w:i/>
          <w:iCs/>
          <w:sz w:val="18"/>
          <w:szCs w:val="18"/>
        </w:rPr>
        <w:t>World J Gastroenterol</w:t>
      </w:r>
      <w:r w:rsidRPr="005039B3">
        <w:rPr>
          <w:rFonts w:cs="Arial"/>
          <w:sz w:val="18"/>
          <w:szCs w:val="18"/>
        </w:rPr>
        <w:t>.</w:t>
      </w:r>
      <w:r w:rsidR="00485431" w:rsidRPr="005039B3">
        <w:rPr>
          <w:rFonts w:cs="Arial"/>
          <w:sz w:val="18"/>
          <w:szCs w:val="18"/>
        </w:rPr>
        <w:t>,</w:t>
      </w:r>
      <w:r w:rsidRPr="005039B3">
        <w:rPr>
          <w:rFonts w:cs="Arial"/>
          <w:sz w:val="18"/>
          <w:szCs w:val="18"/>
        </w:rPr>
        <w:t xml:space="preserve"> 19(40):6</w:t>
      </w:r>
      <w:r w:rsidR="009362C0" w:rsidRPr="005039B3">
        <w:rPr>
          <w:rFonts w:cs="Arial"/>
          <w:sz w:val="18"/>
          <w:szCs w:val="18"/>
        </w:rPr>
        <w:t>,</w:t>
      </w:r>
      <w:r w:rsidRPr="005039B3">
        <w:rPr>
          <w:rFonts w:cs="Arial"/>
          <w:sz w:val="18"/>
          <w:szCs w:val="18"/>
        </w:rPr>
        <w:t>703–6</w:t>
      </w:r>
      <w:r w:rsidR="009362C0" w:rsidRPr="005039B3">
        <w:rPr>
          <w:rFonts w:cs="Arial"/>
          <w:sz w:val="18"/>
          <w:szCs w:val="18"/>
        </w:rPr>
        <w:t>,</w:t>
      </w:r>
      <w:r w:rsidRPr="005039B3">
        <w:rPr>
          <w:rFonts w:cs="Arial"/>
          <w:sz w:val="18"/>
          <w:szCs w:val="18"/>
        </w:rPr>
        <w:t>709</w:t>
      </w:r>
      <w:r w:rsidR="009362C0" w:rsidRPr="005039B3">
        <w:rPr>
          <w:rFonts w:cs="Arial"/>
          <w:sz w:val="18"/>
          <w:szCs w:val="18"/>
        </w:rPr>
        <w:t>.</w:t>
      </w:r>
    </w:p>
  </w:endnote>
  <w:endnote w:id="48">
    <w:p w14:paraId="325D2D1D" w14:textId="77777777"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Public Health Events Surveillance System, Victorian Government, Melbourne. </w:t>
      </w:r>
    </w:p>
  </w:endnote>
  <w:endnote w:id="49">
    <w:p w14:paraId="0273908C" w14:textId="1180F994"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w:t>
      </w:r>
      <w:r w:rsidR="002A556E" w:rsidRPr="005039B3">
        <w:rPr>
          <w:rFonts w:cs="Arial"/>
          <w:sz w:val="18"/>
          <w:szCs w:val="18"/>
        </w:rPr>
        <w:t>(</w:t>
      </w:r>
      <w:r w:rsidRPr="005039B3">
        <w:rPr>
          <w:rFonts w:cs="Arial"/>
          <w:sz w:val="18"/>
          <w:szCs w:val="18"/>
        </w:rPr>
        <w:t>2022</w:t>
      </w:r>
      <w:r w:rsidR="002A556E" w:rsidRPr="005039B3">
        <w:rPr>
          <w:rFonts w:cs="Arial"/>
          <w:sz w:val="18"/>
          <w:szCs w:val="18"/>
        </w:rPr>
        <w:t>)</w:t>
      </w:r>
      <w:r w:rsidRPr="005039B3">
        <w:rPr>
          <w:rFonts w:cs="Arial"/>
          <w:sz w:val="18"/>
          <w:szCs w:val="18"/>
        </w:rPr>
        <w:t xml:space="preserve"> </w:t>
      </w:r>
      <w:r w:rsidRPr="005039B3">
        <w:rPr>
          <w:rFonts w:cs="Arial"/>
          <w:i/>
          <w:iCs/>
          <w:sz w:val="18"/>
          <w:szCs w:val="18"/>
        </w:rPr>
        <w:t>Victorian Aboriginal sexual and reproductive health plan 2022</w:t>
      </w:r>
      <w:r w:rsidR="002A556E" w:rsidRPr="005039B3">
        <w:rPr>
          <w:rFonts w:cs="Arial"/>
          <w:i/>
          <w:iCs/>
          <w:sz w:val="18"/>
          <w:szCs w:val="18"/>
        </w:rPr>
        <w:t>–</w:t>
      </w:r>
      <w:r w:rsidRPr="005039B3">
        <w:rPr>
          <w:rFonts w:cs="Arial"/>
          <w:i/>
          <w:iCs/>
          <w:sz w:val="18"/>
          <w:szCs w:val="18"/>
        </w:rPr>
        <w:t>30</w:t>
      </w:r>
      <w:r w:rsidRPr="005039B3">
        <w:rPr>
          <w:rFonts w:cs="Arial"/>
          <w:sz w:val="18"/>
          <w:szCs w:val="18"/>
        </w:rPr>
        <w:t>, Victorian Government, Melbourne.</w:t>
      </w:r>
    </w:p>
  </w:endnote>
  <w:endnote w:id="50">
    <w:p w14:paraId="7DE1D31B" w14:textId="49F1323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Prevention Coalition in Mental Health</w:t>
      </w:r>
      <w:r w:rsidR="00511295" w:rsidRPr="005039B3">
        <w:rPr>
          <w:rFonts w:cs="Arial"/>
          <w:sz w:val="18"/>
          <w:szCs w:val="18"/>
        </w:rPr>
        <w:t xml:space="preserve"> (2020)</w:t>
      </w:r>
      <w:r w:rsidRPr="005039B3">
        <w:rPr>
          <w:rFonts w:cs="Arial"/>
          <w:sz w:val="18"/>
          <w:szCs w:val="18"/>
        </w:rPr>
        <w:t xml:space="preserve"> </w:t>
      </w:r>
      <w:r w:rsidRPr="005039B3">
        <w:rPr>
          <w:rFonts w:cs="Arial"/>
          <w:i/>
          <w:iCs/>
          <w:sz w:val="18"/>
          <w:szCs w:val="18"/>
        </w:rPr>
        <w:t>Primed for prevention: a consensus statement on the prevention of mental disorders</w:t>
      </w:r>
      <w:r w:rsidR="00EF1E42" w:rsidRPr="005039B3">
        <w:rPr>
          <w:rFonts w:cs="Arial"/>
          <w:sz w:val="18"/>
          <w:szCs w:val="18"/>
        </w:rPr>
        <w:t>, Australian Government, Canberra.</w:t>
      </w:r>
    </w:p>
  </w:endnote>
  <w:endnote w:id="51">
    <w:p w14:paraId="5B6CBE06" w14:textId="039E7AC8"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McLachlan KJJ, Gale CR</w:t>
      </w:r>
      <w:r w:rsidR="00792876" w:rsidRPr="005039B3">
        <w:rPr>
          <w:rFonts w:cs="Arial"/>
          <w:sz w:val="18"/>
          <w:szCs w:val="18"/>
        </w:rPr>
        <w:t xml:space="preserve"> (2018)</w:t>
      </w:r>
      <w:r w:rsidRPr="005039B3">
        <w:rPr>
          <w:rFonts w:cs="Arial"/>
          <w:sz w:val="18"/>
          <w:szCs w:val="18"/>
        </w:rPr>
        <w:t xml:space="preserve"> </w:t>
      </w:r>
      <w:r w:rsidR="00792876" w:rsidRPr="005039B3">
        <w:rPr>
          <w:rFonts w:cs="Arial"/>
          <w:sz w:val="18"/>
          <w:szCs w:val="18"/>
        </w:rPr>
        <w:t>‘</w:t>
      </w:r>
      <w:r w:rsidRPr="005039B3">
        <w:rPr>
          <w:rFonts w:cs="Arial"/>
          <w:sz w:val="18"/>
          <w:szCs w:val="18"/>
        </w:rPr>
        <w:t>The effects of psychological distress and its interaction with socioeconomic position on risk of developing four chronic diseases</w:t>
      </w:r>
      <w:r w:rsidR="00792876" w:rsidRPr="005039B3">
        <w:rPr>
          <w:rFonts w:cs="Arial"/>
          <w:sz w:val="18"/>
          <w:szCs w:val="18"/>
        </w:rPr>
        <w:t>’,</w:t>
      </w:r>
      <w:r w:rsidRPr="005039B3">
        <w:rPr>
          <w:rFonts w:cs="Arial"/>
          <w:sz w:val="18"/>
          <w:szCs w:val="18"/>
        </w:rPr>
        <w:t xml:space="preserve"> </w:t>
      </w:r>
      <w:r w:rsidRPr="005039B3">
        <w:rPr>
          <w:rFonts w:cs="Arial"/>
          <w:i/>
          <w:iCs/>
          <w:sz w:val="18"/>
          <w:szCs w:val="18"/>
        </w:rPr>
        <w:t>J Psychosom Res</w:t>
      </w:r>
      <w:r w:rsidRPr="005039B3">
        <w:rPr>
          <w:rFonts w:cs="Arial"/>
          <w:sz w:val="18"/>
          <w:szCs w:val="18"/>
        </w:rPr>
        <w:t>.</w:t>
      </w:r>
      <w:r w:rsidR="00792876" w:rsidRPr="005039B3">
        <w:rPr>
          <w:rFonts w:cs="Arial"/>
          <w:sz w:val="18"/>
          <w:szCs w:val="18"/>
        </w:rPr>
        <w:t>, 1</w:t>
      </w:r>
      <w:r w:rsidRPr="005039B3">
        <w:rPr>
          <w:rFonts w:cs="Arial"/>
          <w:sz w:val="18"/>
          <w:szCs w:val="18"/>
        </w:rPr>
        <w:t>09:79</w:t>
      </w:r>
      <w:r w:rsidR="0029668D" w:rsidRPr="005039B3">
        <w:rPr>
          <w:rFonts w:cs="Arial"/>
          <w:sz w:val="18"/>
          <w:szCs w:val="18"/>
        </w:rPr>
        <w:t>–</w:t>
      </w:r>
      <w:r w:rsidRPr="005039B3">
        <w:rPr>
          <w:rFonts w:cs="Arial"/>
          <w:sz w:val="18"/>
          <w:szCs w:val="18"/>
        </w:rPr>
        <w:t>85</w:t>
      </w:r>
      <w:r w:rsidR="0029668D" w:rsidRPr="005039B3">
        <w:rPr>
          <w:rFonts w:cs="Arial"/>
          <w:sz w:val="18"/>
          <w:szCs w:val="18"/>
        </w:rPr>
        <w:t>.</w:t>
      </w:r>
    </w:p>
  </w:endnote>
  <w:endnote w:id="52">
    <w:p w14:paraId="75C2D8E6" w14:textId="533DF357"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Barry V, Stout ME, Lynch ME, et al. </w:t>
      </w:r>
      <w:r w:rsidR="0029668D" w:rsidRPr="005039B3">
        <w:rPr>
          <w:rFonts w:cs="Arial"/>
          <w:sz w:val="18"/>
          <w:szCs w:val="18"/>
        </w:rPr>
        <w:t>(2020) ‘</w:t>
      </w:r>
      <w:r w:rsidRPr="005039B3">
        <w:rPr>
          <w:rFonts w:cs="Arial"/>
          <w:sz w:val="18"/>
          <w:szCs w:val="18"/>
        </w:rPr>
        <w:t>The effect of psychological distress on health outcomes: A systematic review and meta-analysis of prospective studies</w:t>
      </w:r>
      <w:r w:rsidR="0029668D" w:rsidRPr="005039B3">
        <w:rPr>
          <w:rFonts w:cs="Arial"/>
          <w:sz w:val="18"/>
          <w:szCs w:val="18"/>
        </w:rPr>
        <w:t>’,</w:t>
      </w:r>
      <w:r w:rsidRPr="005039B3">
        <w:rPr>
          <w:rFonts w:cs="Arial"/>
          <w:sz w:val="18"/>
          <w:szCs w:val="18"/>
        </w:rPr>
        <w:t xml:space="preserve"> </w:t>
      </w:r>
      <w:r w:rsidRPr="005039B3">
        <w:rPr>
          <w:rFonts w:cs="Arial"/>
          <w:i/>
          <w:iCs/>
          <w:sz w:val="18"/>
          <w:szCs w:val="18"/>
        </w:rPr>
        <w:t>Journal of Health Psychology</w:t>
      </w:r>
      <w:r w:rsidR="0029668D" w:rsidRPr="005039B3">
        <w:rPr>
          <w:rFonts w:cs="Arial"/>
          <w:sz w:val="18"/>
          <w:szCs w:val="18"/>
        </w:rPr>
        <w:t xml:space="preserve">, </w:t>
      </w:r>
      <w:r w:rsidRPr="005039B3">
        <w:rPr>
          <w:rFonts w:cs="Arial"/>
          <w:sz w:val="18"/>
          <w:szCs w:val="18"/>
        </w:rPr>
        <w:t>25(2):227</w:t>
      </w:r>
      <w:r w:rsidR="0029668D" w:rsidRPr="005039B3">
        <w:rPr>
          <w:rFonts w:cs="Arial"/>
          <w:sz w:val="18"/>
          <w:szCs w:val="18"/>
        </w:rPr>
        <w:t>–</w:t>
      </w:r>
      <w:r w:rsidRPr="005039B3">
        <w:rPr>
          <w:rFonts w:cs="Arial"/>
          <w:sz w:val="18"/>
          <w:szCs w:val="18"/>
        </w:rPr>
        <w:t xml:space="preserve">239. </w:t>
      </w:r>
    </w:p>
  </w:endnote>
  <w:endnote w:id="53">
    <w:p w14:paraId="7344B21E" w14:textId="7BDCF2F1"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McNamara BJ, Banks E, Gubhaju L, </w:t>
      </w:r>
      <w:r w:rsidR="00A96F3E" w:rsidRPr="005039B3">
        <w:rPr>
          <w:rFonts w:cs="Arial"/>
          <w:sz w:val="18"/>
          <w:szCs w:val="18"/>
        </w:rPr>
        <w:t>et al</w:t>
      </w:r>
      <w:r w:rsidRPr="005039B3">
        <w:rPr>
          <w:rFonts w:cs="Arial"/>
          <w:sz w:val="18"/>
          <w:szCs w:val="18"/>
        </w:rPr>
        <w:t xml:space="preserve">. </w:t>
      </w:r>
      <w:r w:rsidR="00A96F3E" w:rsidRPr="005039B3">
        <w:rPr>
          <w:rFonts w:cs="Arial"/>
          <w:sz w:val="18"/>
          <w:szCs w:val="18"/>
        </w:rPr>
        <w:t>(2018</w:t>
      </w:r>
      <w:r w:rsidR="000708A1" w:rsidRPr="005039B3">
        <w:rPr>
          <w:rFonts w:cs="Arial"/>
          <w:sz w:val="18"/>
          <w:szCs w:val="18"/>
        </w:rPr>
        <w:t>) ‘</w:t>
      </w:r>
      <w:r w:rsidRPr="005039B3">
        <w:rPr>
          <w:rFonts w:cs="Arial"/>
          <w:sz w:val="18"/>
          <w:szCs w:val="18"/>
        </w:rPr>
        <w:t>Factors relating to high psychological distress in Indigenous Australians and their contribution to Indigenous-non-Indigenous disparities</w:t>
      </w:r>
      <w:r w:rsidR="000708A1" w:rsidRPr="005039B3">
        <w:rPr>
          <w:rFonts w:cs="Arial"/>
          <w:sz w:val="18"/>
          <w:szCs w:val="18"/>
        </w:rPr>
        <w:t>’,</w:t>
      </w:r>
      <w:r w:rsidRPr="005039B3">
        <w:rPr>
          <w:rFonts w:cs="Arial"/>
          <w:sz w:val="18"/>
          <w:szCs w:val="18"/>
        </w:rPr>
        <w:t xml:space="preserve"> </w:t>
      </w:r>
      <w:r w:rsidRPr="005039B3">
        <w:rPr>
          <w:rFonts w:cs="Arial"/>
          <w:i/>
          <w:iCs/>
          <w:sz w:val="18"/>
          <w:szCs w:val="18"/>
        </w:rPr>
        <w:t>Aust NZ J Public Health</w:t>
      </w:r>
      <w:r w:rsidR="008A6C77" w:rsidRPr="005039B3">
        <w:rPr>
          <w:rFonts w:cs="Arial"/>
          <w:i/>
          <w:iCs/>
          <w:sz w:val="18"/>
          <w:szCs w:val="18"/>
        </w:rPr>
        <w:t>,</w:t>
      </w:r>
      <w:r w:rsidR="008A6C77" w:rsidRPr="005039B3">
        <w:rPr>
          <w:rFonts w:cs="Arial"/>
          <w:sz w:val="18"/>
          <w:szCs w:val="18"/>
        </w:rPr>
        <w:t xml:space="preserve"> </w:t>
      </w:r>
      <w:r w:rsidRPr="005039B3">
        <w:rPr>
          <w:rFonts w:cs="Arial"/>
          <w:sz w:val="18"/>
          <w:szCs w:val="18"/>
        </w:rPr>
        <w:t>42(2):145</w:t>
      </w:r>
      <w:r w:rsidR="008A6C77" w:rsidRPr="005039B3">
        <w:rPr>
          <w:rFonts w:cs="Arial"/>
          <w:sz w:val="18"/>
          <w:szCs w:val="18"/>
        </w:rPr>
        <w:t>–</w:t>
      </w:r>
      <w:r w:rsidRPr="005039B3">
        <w:rPr>
          <w:rFonts w:cs="Arial"/>
          <w:sz w:val="18"/>
          <w:szCs w:val="18"/>
        </w:rPr>
        <w:t xml:space="preserve">152. </w:t>
      </w:r>
    </w:p>
  </w:endnote>
  <w:endnote w:id="54">
    <w:p w14:paraId="527C8E6D" w14:textId="283BE3F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AIHW (2015)</w:t>
      </w:r>
      <w:r w:rsidR="005F78A2" w:rsidRPr="005039B3">
        <w:rPr>
          <w:rFonts w:cs="Arial"/>
          <w:sz w:val="18"/>
          <w:szCs w:val="18"/>
        </w:rPr>
        <w:t>,</w:t>
      </w:r>
      <w:r w:rsidR="008A6C77" w:rsidRPr="005039B3">
        <w:rPr>
          <w:rFonts w:cs="Arial"/>
          <w:sz w:val="18"/>
          <w:szCs w:val="18"/>
        </w:rPr>
        <w:t xml:space="preserve"> </w:t>
      </w:r>
      <w:hyperlink r:id="rId17" w:history="1">
        <w:r w:rsidRPr="005039B3">
          <w:rPr>
            <w:rStyle w:val="Hyperlink"/>
            <w:rFonts w:cs="Arial"/>
            <w:i/>
            <w:iCs/>
            <w:sz w:val="18"/>
            <w:szCs w:val="18"/>
          </w:rPr>
          <w:t>The health and welfare of Australia’s Aboriginal and Torres Strait Islander peoples: 2015</w:t>
        </w:r>
      </w:hyperlink>
      <w:r w:rsidRPr="005039B3">
        <w:rPr>
          <w:rFonts w:cs="Arial"/>
          <w:sz w:val="18"/>
          <w:szCs w:val="18"/>
        </w:rPr>
        <w:t xml:space="preserve">, </w:t>
      </w:r>
      <w:r w:rsidR="0015583E" w:rsidRPr="005039B3">
        <w:rPr>
          <w:rFonts w:cs="Arial"/>
          <w:sz w:val="18"/>
          <w:szCs w:val="18"/>
        </w:rPr>
        <w:t>&lt;</w:t>
      </w:r>
      <w:r w:rsidR="00E9175F" w:rsidRPr="005039B3">
        <w:rPr>
          <w:rFonts w:cs="Arial"/>
          <w:sz w:val="18"/>
          <w:szCs w:val="18"/>
        </w:rPr>
        <w:t>https://www.aihw.gov.au/reports/indigenous-australians/indigenous-health-welfare-2015/contents/table-of-contents</w:t>
      </w:r>
      <w:r w:rsidR="0015583E" w:rsidRPr="005039B3">
        <w:rPr>
          <w:rFonts w:cs="Arial"/>
          <w:sz w:val="18"/>
          <w:szCs w:val="18"/>
        </w:rPr>
        <w:t>&gt;</w:t>
      </w:r>
      <w:r w:rsidR="00E9175F" w:rsidRPr="005039B3" w:rsidDel="00E9175F">
        <w:rPr>
          <w:rFonts w:cs="Arial"/>
          <w:sz w:val="18"/>
          <w:szCs w:val="18"/>
        </w:rPr>
        <w:t xml:space="preserve"> </w:t>
      </w:r>
      <w:r w:rsidRPr="005039B3">
        <w:rPr>
          <w:rFonts w:cs="Arial"/>
          <w:sz w:val="18"/>
          <w:szCs w:val="18"/>
        </w:rPr>
        <w:t>, accessed 21 September 2023</w:t>
      </w:r>
      <w:r w:rsidR="0015583E" w:rsidRPr="005039B3">
        <w:rPr>
          <w:rFonts w:cs="Arial"/>
          <w:sz w:val="18"/>
          <w:szCs w:val="18"/>
        </w:rPr>
        <w:t>.</w:t>
      </w:r>
    </w:p>
  </w:endnote>
  <w:endnote w:id="55">
    <w:p w14:paraId="6E263201" w14:textId="44798B55"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Azzopardi </w:t>
      </w:r>
      <w:r w:rsidR="00B061B0" w:rsidRPr="005039B3">
        <w:rPr>
          <w:rFonts w:cs="Arial"/>
          <w:sz w:val="18"/>
          <w:szCs w:val="18"/>
        </w:rPr>
        <w:t>PS et al. (2018)</w:t>
      </w:r>
      <w:r w:rsidRPr="005039B3">
        <w:rPr>
          <w:rFonts w:cs="Arial"/>
          <w:sz w:val="18"/>
          <w:szCs w:val="18"/>
        </w:rPr>
        <w:t xml:space="preserve"> </w:t>
      </w:r>
      <w:r w:rsidR="0043718E" w:rsidRPr="005039B3">
        <w:rPr>
          <w:rFonts w:cs="Arial"/>
          <w:sz w:val="18"/>
          <w:szCs w:val="18"/>
        </w:rPr>
        <w:t>‘</w:t>
      </w:r>
      <w:r w:rsidRPr="005039B3">
        <w:rPr>
          <w:rFonts w:cs="Arial"/>
          <w:sz w:val="18"/>
          <w:szCs w:val="18"/>
        </w:rPr>
        <w:t xml:space="preserve">Health and </w:t>
      </w:r>
      <w:r w:rsidR="00900B7F" w:rsidRPr="005039B3">
        <w:rPr>
          <w:rFonts w:cs="Arial"/>
          <w:sz w:val="18"/>
          <w:szCs w:val="18"/>
        </w:rPr>
        <w:t>wellbeing of Indigenous adolescents in Australia: a systematic synthesis of population data’</w:t>
      </w:r>
      <w:r w:rsidRPr="005039B3">
        <w:rPr>
          <w:rFonts w:cs="Arial"/>
          <w:sz w:val="18"/>
          <w:szCs w:val="18"/>
        </w:rPr>
        <w:t xml:space="preserve">, </w:t>
      </w:r>
      <w:r w:rsidRPr="005039B3">
        <w:rPr>
          <w:rFonts w:cs="Arial"/>
          <w:i/>
          <w:iCs/>
          <w:sz w:val="18"/>
          <w:szCs w:val="18"/>
        </w:rPr>
        <w:t>The Lancet</w:t>
      </w:r>
      <w:r w:rsidRPr="005039B3">
        <w:rPr>
          <w:rFonts w:cs="Arial"/>
          <w:sz w:val="18"/>
          <w:szCs w:val="18"/>
        </w:rPr>
        <w:t>, 391</w:t>
      </w:r>
      <w:r w:rsidR="003D56F4" w:rsidRPr="005039B3">
        <w:rPr>
          <w:rFonts w:cs="Arial"/>
          <w:sz w:val="18"/>
          <w:szCs w:val="18"/>
        </w:rPr>
        <w:t>(</w:t>
      </w:r>
      <w:r w:rsidRPr="005039B3">
        <w:rPr>
          <w:rFonts w:cs="Arial"/>
          <w:sz w:val="18"/>
          <w:szCs w:val="18"/>
        </w:rPr>
        <w:t>10122</w:t>
      </w:r>
      <w:r w:rsidR="003D56F4" w:rsidRPr="005039B3">
        <w:rPr>
          <w:rFonts w:cs="Arial"/>
          <w:sz w:val="18"/>
          <w:szCs w:val="18"/>
        </w:rPr>
        <w:t>)</w:t>
      </w:r>
      <w:r w:rsidR="0043718E" w:rsidRPr="005039B3">
        <w:rPr>
          <w:rFonts w:cs="Arial"/>
          <w:sz w:val="18"/>
          <w:szCs w:val="18"/>
        </w:rPr>
        <w:t>:</w:t>
      </w:r>
      <w:r w:rsidR="003D56F4" w:rsidRPr="005039B3">
        <w:rPr>
          <w:rFonts w:cs="Arial"/>
          <w:sz w:val="18"/>
          <w:szCs w:val="18"/>
        </w:rPr>
        <w:t>766</w:t>
      </w:r>
      <w:r w:rsidRPr="005039B3">
        <w:rPr>
          <w:rFonts w:cs="Arial"/>
          <w:sz w:val="18"/>
          <w:szCs w:val="18"/>
        </w:rPr>
        <w:t>–</w:t>
      </w:r>
      <w:r w:rsidR="003D56F4" w:rsidRPr="005039B3">
        <w:rPr>
          <w:rFonts w:cs="Arial"/>
          <w:sz w:val="18"/>
          <w:szCs w:val="18"/>
        </w:rPr>
        <w:t>782</w:t>
      </w:r>
      <w:r w:rsidRPr="005039B3">
        <w:rPr>
          <w:rFonts w:cs="Arial"/>
          <w:sz w:val="18"/>
          <w:szCs w:val="18"/>
        </w:rPr>
        <w:t>.</w:t>
      </w:r>
    </w:p>
  </w:endnote>
  <w:endnote w:id="56">
    <w:p w14:paraId="59DE9438" w14:textId="5916A2F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Luthar SS, Cicchetti D, Becker B</w:t>
      </w:r>
      <w:r w:rsidR="00DA4567" w:rsidRPr="005039B3">
        <w:rPr>
          <w:rFonts w:cs="Arial"/>
          <w:sz w:val="18"/>
          <w:szCs w:val="18"/>
        </w:rPr>
        <w:t xml:space="preserve"> (2000)</w:t>
      </w:r>
      <w:r w:rsidRPr="005039B3">
        <w:rPr>
          <w:rFonts w:cs="Arial"/>
          <w:sz w:val="18"/>
          <w:szCs w:val="18"/>
        </w:rPr>
        <w:t xml:space="preserve"> </w:t>
      </w:r>
      <w:r w:rsidR="00DA4567" w:rsidRPr="005039B3">
        <w:rPr>
          <w:rFonts w:cs="Arial"/>
          <w:sz w:val="18"/>
          <w:szCs w:val="18"/>
        </w:rPr>
        <w:t>‘</w:t>
      </w:r>
      <w:r w:rsidRPr="005039B3">
        <w:rPr>
          <w:rFonts w:cs="Arial"/>
          <w:sz w:val="18"/>
          <w:szCs w:val="18"/>
        </w:rPr>
        <w:t>The construct of resilience: a critical evaluation and guidelines for future work</w:t>
      </w:r>
      <w:r w:rsidR="00DA4567" w:rsidRPr="005039B3">
        <w:rPr>
          <w:rFonts w:cs="Arial"/>
          <w:sz w:val="18"/>
          <w:szCs w:val="18"/>
        </w:rPr>
        <w:t>’,</w:t>
      </w:r>
      <w:r w:rsidRPr="005039B3">
        <w:rPr>
          <w:rFonts w:cs="Arial"/>
          <w:sz w:val="18"/>
          <w:szCs w:val="18"/>
        </w:rPr>
        <w:t xml:space="preserve"> </w:t>
      </w:r>
      <w:r w:rsidRPr="005039B3">
        <w:rPr>
          <w:rFonts w:cs="Arial"/>
          <w:i/>
          <w:iCs/>
          <w:sz w:val="18"/>
          <w:szCs w:val="18"/>
        </w:rPr>
        <w:t>Child Dev</w:t>
      </w:r>
      <w:r w:rsidRPr="005039B3">
        <w:rPr>
          <w:rFonts w:cs="Arial"/>
          <w:sz w:val="18"/>
          <w:szCs w:val="18"/>
        </w:rPr>
        <w:t>.</w:t>
      </w:r>
      <w:r w:rsidR="00DA4567" w:rsidRPr="005039B3">
        <w:rPr>
          <w:rFonts w:cs="Arial"/>
          <w:sz w:val="18"/>
          <w:szCs w:val="18"/>
        </w:rPr>
        <w:t>,</w:t>
      </w:r>
      <w:r w:rsidRPr="005039B3">
        <w:rPr>
          <w:rFonts w:cs="Arial"/>
          <w:sz w:val="18"/>
          <w:szCs w:val="18"/>
        </w:rPr>
        <w:t xml:space="preserve"> 71(3):543</w:t>
      </w:r>
      <w:r w:rsidR="00380029" w:rsidRPr="005039B3">
        <w:rPr>
          <w:rFonts w:cs="Arial"/>
          <w:sz w:val="18"/>
          <w:szCs w:val="18"/>
        </w:rPr>
        <w:t>–5</w:t>
      </w:r>
      <w:r w:rsidRPr="005039B3">
        <w:rPr>
          <w:rFonts w:cs="Arial"/>
          <w:sz w:val="18"/>
          <w:szCs w:val="18"/>
        </w:rPr>
        <w:t>62.</w:t>
      </w:r>
    </w:p>
  </w:endnote>
  <w:endnote w:id="57">
    <w:p w14:paraId="5E9307A7" w14:textId="77EB98A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VicHealth </w:t>
      </w:r>
      <w:r w:rsidR="00380029" w:rsidRPr="005039B3">
        <w:rPr>
          <w:rFonts w:cs="Arial"/>
          <w:sz w:val="18"/>
          <w:szCs w:val="18"/>
        </w:rPr>
        <w:t>(</w:t>
      </w:r>
      <w:r w:rsidRPr="005039B3">
        <w:rPr>
          <w:rFonts w:cs="Arial"/>
          <w:sz w:val="18"/>
          <w:szCs w:val="18"/>
        </w:rPr>
        <w:t>2019</w:t>
      </w:r>
      <w:r w:rsidR="00380029" w:rsidRPr="005039B3">
        <w:rPr>
          <w:rFonts w:cs="Arial"/>
          <w:sz w:val="18"/>
          <w:szCs w:val="18"/>
        </w:rPr>
        <w:t>)</w:t>
      </w:r>
      <w:r w:rsidR="005F78A2" w:rsidRPr="005039B3">
        <w:rPr>
          <w:rFonts w:cs="Arial"/>
          <w:sz w:val="18"/>
          <w:szCs w:val="18"/>
        </w:rPr>
        <w:t>,</w:t>
      </w:r>
      <w:r w:rsidRPr="005039B3">
        <w:rPr>
          <w:rFonts w:cs="Arial"/>
          <w:sz w:val="18"/>
          <w:szCs w:val="18"/>
        </w:rPr>
        <w:t xml:space="preserve"> </w:t>
      </w:r>
      <w:r w:rsidR="00757457" w:rsidRPr="005039B3">
        <w:rPr>
          <w:rFonts w:cs="Arial"/>
          <w:sz w:val="18"/>
          <w:szCs w:val="18"/>
        </w:rPr>
        <w:t>‘</w:t>
      </w:r>
      <w:r w:rsidRPr="005039B3">
        <w:rPr>
          <w:rFonts w:cs="Arial"/>
          <w:sz w:val="18"/>
          <w:szCs w:val="18"/>
        </w:rPr>
        <w:t xml:space="preserve">Evidence Review: </w:t>
      </w:r>
      <w:r w:rsidR="00C7038C" w:rsidRPr="005039B3">
        <w:rPr>
          <w:rFonts w:cs="Arial"/>
          <w:sz w:val="18"/>
          <w:szCs w:val="18"/>
        </w:rPr>
        <w:t>The p</w:t>
      </w:r>
      <w:r w:rsidRPr="005039B3">
        <w:rPr>
          <w:rFonts w:cs="Arial"/>
          <w:sz w:val="18"/>
          <w:szCs w:val="18"/>
        </w:rPr>
        <w:t>rimary prevention of mental health conditions</w:t>
      </w:r>
      <w:r w:rsidR="00757457" w:rsidRPr="005039B3">
        <w:rPr>
          <w:rFonts w:cs="Arial"/>
          <w:sz w:val="18"/>
          <w:szCs w:val="18"/>
        </w:rPr>
        <w:t>’</w:t>
      </w:r>
      <w:r w:rsidRPr="005039B3">
        <w:rPr>
          <w:rFonts w:cs="Arial"/>
          <w:sz w:val="18"/>
          <w:szCs w:val="18"/>
        </w:rPr>
        <w:t xml:space="preserve">, </w:t>
      </w:r>
      <w:r w:rsidRPr="005039B3">
        <w:rPr>
          <w:rFonts w:cs="Arial"/>
          <w:i/>
          <w:iCs/>
          <w:sz w:val="18"/>
          <w:szCs w:val="18"/>
        </w:rPr>
        <w:t>Victorian Health Promotion Foundation</w:t>
      </w:r>
      <w:r w:rsidRPr="005039B3">
        <w:rPr>
          <w:rFonts w:cs="Arial"/>
          <w:sz w:val="18"/>
          <w:szCs w:val="18"/>
        </w:rPr>
        <w:t>, Melbourne.</w:t>
      </w:r>
    </w:p>
  </w:endnote>
  <w:endnote w:id="58">
    <w:p w14:paraId="639205F3" w14:textId="2652D145"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757457" w:rsidRPr="005039B3">
        <w:rPr>
          <w:rFonts w:cs="Arial"/>
          <w:sz w:val="18"/>
          <w:szCs w:val="18"/>
        </w:rPr>
        <w:t>AIHW</w:t>
      </w:r>
      <w:r w:rsidRPr="005039B3">
        <w:rPr>
          <w:rFonts w:cs="Arial"/>
          <w:sz w:val="18"/>
          <w:szCs w:val="18"/>
        </w:rPr>
        <w:t xml:space="preserve">, </w:t>
      </w:r>
      <w:hyperlink r:id="rId18" w:history="1">
        <w:r w:rsidRPr="005039B3">
          <w:rPr>
            <w:rStyle w:val="Hyperlink"/>
            <w:i/>
            <w:iCs/>
            <w:sz w:val="18"/>
            <w:szCs w:val="18"/>
          </w:rPr>
          <w:t xml:space="preserve">Suicide and self-harm monitoring – deaths by suicide among </w:t>
        </w:r>
        <w:r w:rsidR="007472D4" w:rsidRPr="005039B3">
          <w:rPr>
            <w:rStyle w:val="Hyperlink"/>
            <w:i/>
            <w:iCs/>
            <w:sz w:val="18"/>
            <w:szCs w:val="18"/>
          </w:rPr>
          <w:t>First Nations people</w:t>
        </w:r>
      </w:hyperlink>
      <w:r w:rsidRPr="005039B3">
        <w:rPr>
          <w:rFonts w:cs="Arial"/>
          <w:sz w:val="18"/>
          <w:szCs w:val="18"/>
        </w:rPr>
        <w:t xml:space="preserve">, </w:t>
      </w:r>
      <w:r w:rsidR="0022170A" w:rsidRPr="005039B3">
        <w:rPr>
          <w:rFonts w:cs="Arial"/>
          <w:sz w:val="18"/>
          <w:szCs w:val="18"/>
        </w:rPr>
        <w:t>&lt;</w:t>
      </w:r>
      <w:hyperlink w:history="1"/>
      <w:r w:rsidR="0022170A" w:rsidRPr="005039B3">
        <w:rPr>
          <w:sz w:val="18"/>
          <w:szCs w:val="18"/>
        </w:rPr>
        <w:t>https://www.aihw.gov.au/suicide-self-harm-monitoring/data/populations-age-groups/suicide-indigenous-australians</w:t>
      </w:r>
      <w:r w:rsidR="0022170A" w:rsidRPr="005039B3">
        <w:rPr>
          <w:rFonts w:cs="Arial"/>
          <w:sz w:val="18"/>
          <w:szCs w:val="18"/>
        </w:rPr>
        <w:t>&gt;</w:t>
      </w:r>
      <w:r w:rsidRPr="005039B3">
        <w:rPr>
          <w:rFonts w:cs="Arial"/>
          <w:sz w:val="18"/>
          <w:szCs w:val="18"/>
        </w:rPr>
        <w:t xml:space="preserve">, accessed 21 September 2023. </w:t>
      </w:r>
    </w:p>
  </w:endnote>
  <w:endnote w:id="59">
    <w:p w14:paraId="55EAFB61" w14:textId="74546C91"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Coroners Koori Engagement Unit </w:t>
      </w:r>
      <w:r w:rsidR="007D2A36" w:rsidRPr="005039B3">
        <w:rPr>
          <w:rFonts w:cs="Arial"/>
          <w:sz w:val="18"/>
          <w:szCs w:val="18"/>
        </w:rPr>
        <w:t>(</w:t>
      </w:r>
      <w:r w:rsidRPr="005039B3">
        <w:rPr>
          <w:rFonts w:cs="Arial"/>
          <w:sz w:val="18"/>
          <w:szCs w:val="18"/>
        </w:rPr>
        <w:t>2021</w:t>
      </w:r>
      <w:r w:rsidR="007D2A36" w:rsidRPr="005039B3">
        <w:rPr>
          <w:rFonts w:cs="Arial"/>
          <w:sz w:val="18"/>
          <w:szCs w:val="18"/>
        </w:rPr>
        <w:t>)</w:t>
      </w:r>
      <w:r w:rsidRPr="005039B3">
        <w:rPr>
          <w:rFonts w:cs="Arial"/>
          <w:sz w:val="18"/>
          <w:szCs w:val="18"/>
        </w:rPr>
        <w:t xml:space="preserve"> </w:t>
      </w:r>
      <w:r w:rsidRPr="005039B3">
        <w:rPr>
          <w:rFonts w:cs="Arial"/>
          <w:i/>
          <w:iCs/>
          <w:sz w:val="18"/>
          <w:szCs w:val="18"/>
        </w:rPr>
        <w:t>Suicides of Aboriginal and Torres-Strait Islander people, Victoria 2018</w:t>
      </w:r>
      <w:r w:rsidR="007D2A36" w:rsidRPr="005039B3">
        <w:rPr>
          <w:rFonts w:cs="Arial"/>
          <w:i/>
          <w:iCs/>
          <w:sz w:val="18"/>
          <w:szCs w:val="18"/>
        </w:rPr>
        <w:t>–</w:t>
      </w:r>
      <w:r w:rsidRPr="005039B3">
        <w:rPr>
          <w:rFonts w:cs="Arial"/>
          <w:i/>
          <w:iCs/>
          <w:sz w:val="18"/>
          <w:szCs w:val="18"/>
        </w:rPr>
        <w:t>2021</w:t>
      </w:r>
      <w:r w:rsidRPr="005039B3">
        <w:rPr>
          <w:rFonts w:cs="Arial"/>
          <w:sz w:val="18"/>
          <w:szCs w:val="18"/>
        </w:rPr>
        <w:t>, Coroners Court of Victoria, Melbourne.</w:t>
      </w:r>
    </w:p>
  </w:endnote>
  <w:endnote w:id="60">
    <w:p w14:paraId="7A44BA4D" w14:textId="48C0B167"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Brown RC</w:t>
      </w:r>
      <w:r w:rsidR="007D2A36" w:rsidRPr="005039B3">
        <w:rPr>
          <w:rFonts w:cs="Arial"/>
          <w:sz w:val="18"/>
          <w:szCs w:val="18"/>
        </w:rPr>
        <w:t xml:space="preserve"> (2013)</w:t>
      </w:r>
      <w:r w:rsidR="005F78A2" w:rsidRPr="005039B3">
        <w:rPr>
          <w:rFonts w:cs="Arial"/>
          <w:sz w:val="18"/>
          <w:szCs w:val="18"/>
        </w:rPr>
        <w:t>,</w:t>
      </w:r>
      <w:r w:rsidRPr="005039B3">
        <w:rPr>
          <w:rFonts w:cs="Arial"/>
          <w:sz w:val="18"/>
          <w:szCs w:val="18"/>
        </w:rPr>
        <w:t xml:space="preserve"> </w:t>
      </w:r>
      <w:r w:rsidR="006435F8" w:rsidRPr="005039B3">
        <w:rPr>
          <w:rFonts w:cs="Arial"/>
          <w:sz w:val="18"/>
          <w:szCs w:val="18"/>
        </w:rPr>
        <w:t>‘</w:t>
      </w:r>
      <w:r w:rsidRPr="005039B3">
        <w:rPr>
          <w:rFonts w:cs="Arial"/>
          <w:sz w:val="18"/>
          <w:szCs w:val="18"/>
        </w:rPr>
        <w:t>Moral responsibility for (un)healthy behaviour</w:t>
      </w:r>
      <w:r w:rsidR="006435F8" w:rsidRPr="005039B3">
        <w:rPr>
          <w:rFonts w:cs="Arial"/>
          <w:sz w:val="18"/>
          <w:szCs w:val="18"/>
        </w:rPr>
        <w:t>’,</w:t>
      </w:r>
      <w:r w:rsidRPr="005039B3">
        <w:rPr>
          <w:rFonts w:cs="Arial"/>
          <w:sz w:val="18"/>
          <w:szCs w:val="18"/>
        </w:rPr>
        <w:t xml:space="preserve"> </w:t>
      </w:r>
      <w:r w:rsidRPr="005039B3">
        <w:rPr>
          <w:rFonts w:cs="Arial"/>
          <w:i/>
          <w:iCs/>
          <w:sz w:val="18"/>
          <w:szCs w:val="18"/>
        </w:rPr>
        <w:t>J Med Ethics</w:t>
      </w:r>
      <w:r w:rsidR="006435F8" w:rsidRPr="005039B3">
        <w:rPr>
          <w:rFonts w:cs="Arial"/>
          <w:sz w:val="18"/>
          <w:szCs w:val="18"/>
        </w:rPr>
        <w:t xml:space="preserve">, </w:t>
      </w:r>
      <w:r w:rsidRPr="005039B3">
        <w:rPr>
          <w:rFonts w:cs="Arial"/>
          <w:sz w:val="18"/>
          <w:szCs w:val="18"/>
        </w:rPr>
        <w:t>39(11):695</w:t>
      </w:r>
      <w:r w:rsidR="006435F8" w:rsidRPr="005039B3">
        <w:rPr>
          <w:rFonts w:cs="Arial"/>
          <w:sz w:val="18"/>
          <w:szCs w:val="18"/>
        </w:rPr>
        <w:t>–69</w:t>
      </w:r>
      <w:r w:rsidRPr="005039B3">
        <w:rPr>
          <w:rFonts w:cs="Arial"/>
          <w:sz w:val="18"/>
          <w:szCs w:val="18"/>
        </w:rPr>
        <w:t>8.</w:t>
      </w:r>
    </w:p>
  </w:endnote>
  <w:endnote w:id="61">
    <w:p w14:paraId="7218D77B" w14:textId="54D8ACFB"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Baum F</w:t>
      </w:r>
      <w:r w:rsidR="006435F8" w:rsidRPr="005039B3">
        <w:rPr>
          <w:rFonts w:cs="Arial"/>
          <w:sz w:val="18"/>
          <w:szCs w:val="18"/>
        </w:rPr>
        <w:t>,</w:t>
      </w:r>
      <w:r w:rsidRPr="005039B3">
        <w:rPr>
          <w:rFonts w:cs="Arial"/>
          <w:sz w:val="18"/>
          <w:szCs w:val="18"/>
        </w:rPr>
        <w:t xml:space="preserve"> Fisher</w:t>
      </w:r>
      <w:r w:rsidR="00895D7C" w:rsidRPr="005039B3">
        <w:rPr>
          <w:rFonts w:cs="Arial"/>
          <w:sz w:val="18"/>
          <w:szCs w:val="18"/>
        </w:rPr>
        <w:t xml:space="preserve"> M</w:t>
      </w:r>
      <w:r w:rsidRPr="005039B3">
        <w:rPr>
          <w:rFonts w:cs="Arial"/>
          <w:sz w:val="18"/>
          <w:szCs w:val="18"/>
        </w:rPr>
        <w:t xml:space="preserve"> </w:t>
      </w:r>
      <w:r w:rsidR="00895D7C" w:rsidRPr="005039B3">
        <w:rPr>
          <w:rFonts w:cs="Arial"/>
          <w:sz w:val="18"/>
          <w:szCs w:val="18"/>
        </w:rPr>
        <w:t>(</w:t>
      </w:r>
      <w:r w:rsidRPr="005039B3">
        <w:rPr>
          <w:rFonts w:cs="Arial"/>
          <w:sz w:val="18"/>
          <w:szCs w:val="18"/>
        </w:rPr>
        <w:t>2011</w:t>
      </w:r>
      <w:r w:rsidR="00895D7C" w:rsidRPr="005039B3">
        <w:rPr>
          <w:rFonts w:cs="Arial"/>
          <w:sz w:val="18"/>
          <w:szCs w:val="18"/>
        </w:rPr>
        <w:t>)</w:t>
      </w:r>
      <w:r w:rsidRPr="005039B3">
        <w:rPr>
          <w:rFonts w:cs="Arial"/>
          <w:sz w:val="18"/>
          <w:szCs w:val="18"/>
        </w:rPr>
        <w:t xml:space="preserve"> ‘Are the national preventive health initiatives likely to reduce health inequities?’ </w:t>
      </w:r>
      <w:r w:rsidRPr="005039B3">
        <w:rPr>
          <w:rFonts w:cs="Arial"/>
          <w:i/>
          <w:iCs/>
          <w:sz w:val="18"/>
          <w:szCs w:val="18"/>
        </w:rPr>
        <w:t>Australian Journal of Primary Health</w:t>
      </w:r>
      <w:r w:rsidRPr="005039B3">
        <w:rPr>
          <w:rFonts w:cs="Arial"/>
          <w:sz w:val="18"/>
          <w:szCs w:val="18"/>
        </w:rPr>
        <w:t xml:space="preserve"> 17(4): 320–</w:t>
      </w:r>
      <w:r w:rsidR="00895D7C" w:rsidRPr="005039B3">
        <w:rPr>
          <w:rFonts w:cs="Arial"/>
          <w:sz w:val="18"/>
          <w:szCs w:val="18"/>
        </w:rPr>
        <w:t>32</w:t>
      </w:r>
      <w:r w:rsidRPr="005039B3">
        <w:rPr>
          <w:rFonts w:cs="Arial"/>
          <w:sz w:val="18"/>
          <w:szCs w:val="18"/>
        </w:rPr>
        <w:t>6.</w:t>
      </w:r>
    </w:p>
  </w:endnote>
  <w:endnote w:id="62">
    <w:p w14:paraId="6BEE91DF" w14:textId="6B0B498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6A6F1C" w:rsidRPr="005039B3">
        <w:rPr>
          <w:rFonts w:cs="Arial"/>
          <w:sz w:val="18"/>
          <w:szCs w:val="18"/>
        </w:rPr>
        <w:t>AIHW (2021)</w:t>
      </w:r>
      <w:r w:rsidR="003644DC" w:rsidRPr="005039B3">
        <w:rPr>
          <w:rFonts w:cs="Arial"/>
          <w:sz w:val="18"/>
          <w:szCs w:val="18"/>
        </w:rPr>
        <w:t>,</w:t>
      </w:r>
      <w:r w:rsidR="009306D3" w:rsidRPr="005039B3" w:rsidDel="009306D3">
        <w:rPr>
          <w:rFonts w:cs="Arial"/>
          <w:sz w:val="18"/>
          <w:szCs w:val="18"/>
        </w:rPr>
        <w:t xml:space="preserve"> </w:t>
      </w:r>
      <w:r w:rsidRPr="005039B3">
        <w:rPr>
          <w:rFonts w:cs="Arial"/>
          <w:sz w:val="18"/>
          <w:szCs w:val="18"/>
        </w:rPr>
        <w:t>Australian Burden of Disease Study 2018 – Key findings</w:t>
      </w:r>
      <w:r w:rsidR="00476209" w:rsidRPr="005039B3">
        <w:rPr>
          <w:rFonts w:cs="Arial"/>
          <w:sz w:val="18"/>
          <w:szCs w:val="18"/>
        </w:rPr>
        <w:t>, Australian Government, Canberra</w:t>
      </w:r>
      <w:r w:rsidRPr="005039B3">
        <w:rPr>
          <w:rFonts w:cs="Arial"/>
          <w:sz w:val="18"/>
          <w:szCs w:val="18"/>
        </w:rPr>
        <w:t>.</w:t>
      </w:r>
    </w:p>
  </w:endnote>
  <w:endnote w:id="63">
    <w:p w14:paraId="74F8D0B9" w14:textId="3D6214A1"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Ljungberg T, Bondza E, Lethin C</w:t>
      </w:r>
      <w:r w:rsidR="00476209" w:rsidRPr="005039B3">
        <w:rPr>
          <w:rFonts w:cs="Arial"/>
          <w:sz w:val="18"/>
          <w:szCs w:val="18"/>
        </w:rPr>
        <w:t xml:space="preserve"> (2020)</w:t>
      </w:r>
      <w:r w:rsidRPr="005039B3">
        <w:rPr>
          <w:rFonts w:cs="Arial"/>
          <w:sz w:val="18"/>
          <w:szCs w:val="18"/>
        </w:rPr>
        <w:t xml:space="preserve"> </w:t>
      </w:r>
      <w:r w:rsidR="000356FA" w:rsidRPr="005039B3">
        <w:rPr>
          <w:rFonts w:cs="Arial"/>
          <w:sz w:val="18"/>
          <w:szCs w:val="18"/>
        </w:rPr>
        <w:t>‘</w:t>
      </w:r>
      <w:r w:rsidRPr="005039B3">
        <w:rPr>
          <w:rFonts w:cs="Arial"/>
          <w:sz w:val="18"/>
          <w:szCs w:val="18"/>
        </w:rPr>
        <w:t>Evidence of the Importance of Dietary Habits Regarding Depressive Symptoms and Depression</w:t>
      </w:r>
      <w:r w:rsidR="000356FA" w:rsidRPr="005039B3">
        <w:rPr>
          <w:rFonts w:cs="Arial"/>
          <w:sz w:val="18"/>
          <w:szCs w:val="18"/>
        </w:rPr>
        <w:t>’,</w:t>
      </w:r>
      <w:r w:rsidRPr="005039B3">
        <w:rPr>
          <w:rFonts w:cs="Arial"/>
          <w:sz w:val="18"/>
          <w:szCs w:val="18"/>
        </w:rPr>
        <w:t xml:space="preserve"> </w:t>
      </w:r>
      <w:r w:rsidRPr="005039B3">
        <w:rPr>
          <w:rFonts w:cs="Arial"/>
          <w:i/>
          <w:iCs/>
          <w:sz w:val="18"/>
          <w:szCs w:val="18"/>
        </w:rPr>
        <w:t>Int J Environ Res Public Health</w:t>
      </w:r>
      <w:r w:rsidR="00F4528C" w:rsidRPr="005039B3">
        <w:rPr>
          <w:rFonts w:cs="Arial"/>
          <w:sz w:val="18"/>
          <w:szCs w:val="18"/>
        </w:rPr>
        <w:t xml:space="preserve">, </w:t>
      </w:r>
      <w:r w:rsidR="006F22C1" w:rsidRPr="005039B3">
        <w:rPr>
          <w:rFonts w:cs="Arial"/>
          <w:sz w:val="18"/>
          <w:szCs w:val="18"/>
        </w:rPr>
        <w:t>17(5):1,616.</w:t>
      </w:r>
    </w:p>
  </w:endnote>
  <w:endnote w:id="64">
    <w:p w14:paraId="1CF69255" w14:textId="153913E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World Health Organi</w:t>
      </w:r>
      <w:r w:rsidR="009306D3" w:rsidRPr="005039B3">
        <w:rPr>
          <w:rFonts w:cs="Arial"/>
          <w:sz w:val="18"/>
          <w:szCs w:val="18"/>
        </w:rPr>
        <w:t>z</w:t>
      </w:r>
      <w:r w:rsidRPr="005039B3">
        <w:rPr>
          <w:rFonts w:cs="Arial"/>
          <w:sz w:val="18"/>
          <w:szCs w:val="18"/>
        </w:rPr>
        <w:t xml:space="preserve">ation </w:t>
      </w:r>
      <w:r w:rsidR="006F22C1" w:rsidRPr="005039B3">
        <w:rPr>
          <w:rFonts w:cs="Arial"/>
          <w:sz w:val="18"/>
          <w:szCs w:val="18"/>
        </w:rPr>
        <w:t>(</w:t>
      </w:r>
      <w:r w:rsidRPr="005039B3">
        <w:rPr>
          <w:rFonts w:cs="Arial"/>
          <w:sz w:val="18"/>
          <w:szCs w:val="18"/>
        </w:rPr>
        <w:t>2023</w:t>
      </w:r>
      <w:r w:rsidR="006F22C1" w:rsidRPr="005039B3">
        <w:rPr>
          <w:rFonts w:cs="Arial"/>
          <w:sz w:val="18"/>
          <w:szCs w:val="18"/>
        </w:rPr>
        <w:t>)</w:t>
      </w:r>
      <w:r w:rsidRPr="005039B3">
        <w:rPr>
          <w:rFonts w:cs="Arial"/>
          <w:sz w:val="18"/>
          <w:szCs w:val="18"/>
        </w:rPr>
        <w:t xml:space="preserve"> </w:t>
      </w:r>
      <w:hyperlink r:id="rId19" w:anchor="tab=tab_1" w:history="1">
        <w:r w:rsidRPr="005039B3">
          <w:rPr>
            <w:rStyle w:val="Hyperlink"/>
            <w:rFonts w:cs="Arial"/>
            <w:sz w:val="18"/>
            <w:szCs w:val="18"/>
          </w:rPr>
          <w:t>Breastfeeding</w:t>
        </w:r>
      </w:hyperlink>
      <w:r w:rsidRPr="005039B3">
        <w:rPr>
          <w:rFonts w:cs="Arial"/>
          <w:sz w:val="18"/>
          <w:szCs w:val="18"/>
        </w:rPr>
        <w:t xml:space="preserve"> </w:t>
      </w:r>
      <w:r w:rsidR="0081445E" w:rsidRPr="005039B3">
        <w:rPr>
          <w:rFonts w:cs="Arial"/>
          <w:sz w:val="18"/>
          <w:szCs w:val="18"/>
        </w:rPr>
        <w:t>&lt;https://www.who.int/health-topics/breastfeeding#tab=tab_1&gt;</w:t>
      </w:r>
      <w:r w:rsidRPr="005039B3">
        <w:rPr>
          <w:rFonts w:cs="Arial"/>
          <w:sz w:val="18"/>
          <w:szCs w:val="18"/>
        </w:rPr>
        <w:t>, accessed 14 April 2023.</w:t>
      </w:r>
    </w:p>
  </w:endnote>
  <w:endnote w:id="65">
    <w:p w14:paraId="4F221C23" w14:textId="77777777"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Maternal Child Health Collection, Victorian Government, Melbourne. </w:t>
      </w:r>
    </w:p>
  </w:endnote>
  <w:endnote w:id="66">
    <w:p w14:paraId="0619A648" w14:textId="796BFEF8"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Posadzki P, Pieper D, Bajpai R, et al. </w:t>
      </w:r>
      <w:r w:rsidR="009502CE" w:rsidRPr="005039B3">
        <w:rPr>
          <w:rFonts w:cs="Arial"/>
          <w:sz w:val="18"/>
          <w:szCs w:val="18"/>
        </w:rPr>
        <w:t>(2020) ‘</w:t>
      </w:r>
      <w:r w:rsidRPr="005039B3">
        <w:rPr>
          <w:rFonts w:cs="Arial"/>
          <w:sz w:val="18"/>
          <w:szCs w:val="18"/>
        </w:rPr>
        <w:t>Exercise/physical activity and health outcomes: an overview of Cochrane systematic reviews</w:t>
      </w:r>
      <w:r w:rsidR="009502CE" w:rsidRPr="005039B3">
        <w:rPr>
          <w:rFonts w:cs="Arial"/>
          <w:sz w:val="18"/>
          <w:szCs w:val="18"/>
        </w:rPr>
        <w:t>’,</w:t>
      </w:r>
      <w:r w:rsidRPr="005039B3">
        <w:rPr>
          <w:rFonts w:cs="Arial"/>
          <w:sz w:val="18"/>
          <w:szCs w:val="18"/>
        </w:rPr>
        <w:t xml:space="preserve"> </w:t>
      </w:r>
      <w:r w:rsidRPr="005039B3">
        <w:rPr>
          <w:rFonts w:cs="Arial"/>
          <w:i/>
          <w:iCs/>
          <w:sz w:val="18"/>
          <w:szCs w:val="18"/>
        </w:rPr>
        <w:t>BMC Public Health</w:t>
      </w:r>
      <w:r w:rsidR="009502CE" w:rsidRPr="005039B3">
        <w:rPr>
          <w:rFonts w:cs="Arial"/>
          <w:sz w:val="18"/>
          <w:szCs w:val="18"/>
        </w:rPr>
        <w:t xml:space="preserve">, </w:t>
      </w:r>
      <w:r w:rsidRPr="005039B3">
        <w:rPr>
          <w:rFonts w:cs="Arial"/>
          <w:sz w:val="18"/>
          <w:szCs w:val="18"/>
        </w:rPr>
        <w:t>20(1):1</w:t>
      </w:r>
      <w:r w:rsidR="009502CE" w:rsidRPr="005039B3">
        <w:rPr>
          <w:rFonts w:cs="Arial"/>
          <w:sz w:val="18"/>
          <w:szCs w:val="18"/>
        </w:rPr>
        <w:t>,</w:t>
      </w:r>
      <w:r w:rsidRPr="005039B3">
        <w:rPr>
          <w:rFonts w:cs="Arial"/>
          <w:sz w:val="18"/>
          <w:szCs w:val="18"/>
        </w:rPr>
        <w:t>724.</w:t>
      </w:r>
    </w:p>
  </w:endnote>
  <w:endnote w:id="67">
    <w:p w14:paraId="78481DFE" w14:textId="757ECCB4"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009306D3" w:rsidRPr="005039B3" w:rsidDel="009306D3">
        <w:rPr>
          <w:rFonts w:cs="Arial"/>
          <w:sz w:val="18"/>
          <w:szCs w:val="18"/>
        </w:rPr>
        <w:t xml:space="preserve"> </w:t>
      </w:r>
      <w:r w:rsidRPr="005039B3">
        <w:rPr>
          <w:rFonts w:cs="Arial"/>
          <w:sz w:val="18"/>
          <w:szCs w:val="18"/>
        </w:rPr>
        <w:t>Australian Burden of Disease Study 2018 – Key findings. Australian Institute of Health and Welfare; 2021.</w:t>
      </w:r>
    </w:p>
  </w:endnote>
  <w:endnote w:id="68">
    <w:p w14:paraId="2C8E7263" w14:textId="4548B2B3"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Australian Institute of Family Studies, Too much time on screens? Screen time effects and guidelines for children and young people, </w:t>
      </w:r>
      <w:hyperlink r:id="rId20" w:anchor=":~:text=For%20children%20and%20young%20people%20aged%205%E2%80%9317%20years%2C%20screen,self%2Desteem%20and%20psychosocial%20health" w:history="1">
        <w:r w:rsidRPr="005039B3">
          <w:rPr>
            <w:rStyle w:val="Hyperlink"/>
            <w:rFonts w:cs="Arial"/>
            <w:sz w:val="18"/>
            <w:szCs w:val="18"/>
          </w:rPr>
          <w:t>https://aifs.gov.au/resources/short-articles/too-much-time-screens#:~:text=For%20children%20and%20young%20people%20aged%205%E2%80%9317%20years%2C%20screen,self%2Desteem%20and%20psychosocial%20health</w:t>
        </w:r>
      </w:hyperlink>
      <w:r w:rsidRPr="005039B3">
        <w:rPr>
          <w:rFonts w:cs="Arial"/>
          <w:sz w:val="18"/>
          <w:szCs w:val="18"/>
        </w:rPr>
        <w:t xml:space="preserve">, Accessed 14 April 2023. </w:t>
      </w:r>
    </w:p>
  </w:endnote>
  <w:endnote w:id="69">
    <w:p w14:paraId="2A41EF0B" w14:textId="3D46C624"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B368F" w:rsidRPr="005039B3">
        <w:rPr>
          <w:rFonts w:cs="Arial"/>
          <w:sz w:val="18"/>
          <w:szCs w:val="18"/>
        </w:rPr>
        <w:t xml:space="preserve">AIHW </w:t>
      </w:r>
      <w:r w:rsidRPr="005039B3">
        <w:rPr>
          <w:rFonts w:cs="Arial"/>
          <w:sz w:val="18"/>
          <w:szCs w:val="18"/>
        </w:rPr>
        <w:t xml:space="preserve">(2021) </w:t>
      </w:r>
      <w:r w:rsidRPr="005039B3">
        <w:rPr>
          <w:rFonts w:cs="Arial"/>
          <w:i/>
          <w:iCs/>
          <w:sz w:val="18"/>
          <w:szCs w:val="18"/>
        </w:rPr>
        <w:t>Australian Burden of Disease Study 2018 – Key findings</w:t>
      </w:r>
      <w:r w:rsidRPr="005039B3">
        <w:rPr>
          <w:rFonts w:cs="Arial"/>
          <w:sz w:val="18"/>
          <w:szCs w:val="18"/>
        </w:rPr>
        <w:t xml:space="preserve">, </w:t>
      </w:r>
      <w:r w:rsidR="009116E5" w:rsidRPr="005039B3">
        <w:rPr>
          <w:rFonts w:cs="Arial"/>
          <w:sz w:val="18"/>
          <w:szCs w:val="18"/>
        </w:rPr>
        <w:t>Australian Government, Canberra</w:t>
      </w:r>
      <w:r w:rsidRPr="005039B3">
        <w:rPr>
          <w:rFonts w:cs="Arial"/>
          <w:sz w:val="18"/>
          <w:szCs w:val="18"/>
        </w:rPr>
        <w:t>.</w:t>
      </w:r>
    </w:p>
  </w:endnote>
  <w:endnote w:id="70">
    <w:p w14:paraId="2C8C164B" w14:textId="72E56CC4"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B368F" w:rsidRPr="005039B3">
        <w:rPr>
          <w:rFonts w:cs="Arial"/>
          <w:sz w:val="18"/>
          <w:szCs w:val="18"/>
        </w:rPr>
        <w:t xml:space="preserve">AIHW </w:t>
      </w:r>
      <w:r w:rsidRPr="005039B3">
        <w:rPr>
          <w:rFonts w:cs="Arial"/>
          <w:sz w:val="18"/>
          <w:szCs w:val="18"/>
        </w:rPr>
        <w:t xml:space="preserve">(2022) </w:t>
      </w:r>
      <w:r w:rsidRPr="005039B3">
        <w:rPr>
          <w:rFonts w:cs="Arial"/>
          <w:i/>
          <w:iCs/>
          <w:sz w:val="18"/>
          <w:szCs w:val="18"/>
        </w:rPr>
        <w:t>Overweight and obesity</w:t>
      </w:r>
      <w:r w:rsidRPr="005039B3">
        <w:rPr>
          <w:rFonts w:cs="Arial"/>
          <w:sz w:val="18"/>
          <w:szCs w:val="18"/>
        </w:rPr>
        <w:t xml:space="preserve">, </w:t>
      </w:r>
      <w:r w:rsidR="009116E5" w:rsidRPr="005039B3">
        <w:rPr>
          <w:rFonts w:cs="Arial"/>
          <w:sz w:val="18"/>
          <w:szCs w:val="18"/>
        </w:rPr>
        <w:t>Australian Government, Canberra</w:t>
      </w:r>
      <w:r w:rsidRPr="005039B3">
        <w:rPr>
          <w:rFonts w:cs="Arial"/>
          <w:sz w:val="18"/>
          <w:szCs w:val="18"/>
        </w:rPr>
        <w:t>.</w:t>
      </w:r>
    </w:p>
  </w:endnote>
  <w:endnote w:id="71">
    <w:p w14:paraId="54F48ACC" w14:textId="736C7746"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009306D3" w:rsidRPr="005039B3" w:rsidDel="009306D3">
        <w:rPr>
          <w:rFonts w:cs="Arial"/>
          <w:sz w:val="18"/>
          <w:szCs w:val="18"/>
        </w:rPr>
        <w:t xml:space="preserve"> </w:t>
      </w:r>
      <w:r w:rsidR="000F050E" w:rsidRPr="005039B3">
        <w:rPr>
          <w:rFonts w:cs="Arial"/>
          <w:sz w:val="18"/>
          <w:szCs w:val="18"/>
        </w:rPr>
        <w:t xml:space="preserve">(2022) </w:t>
      </w:r>
      <w:r w:rsidRPr="005039B3">
        <w:rPr>
          <w:rFonts w:cs="Arial"/>
          <w:i/>
          <w:iCs/>
          <w:sz w:val="18"/>
          <w:szCs w:val="18"/>
        </w:rPr>
        <w:t>National Health Survey</w:t>
      </w:r>
      <w:r w:rsidR="000F050E" w:rsidRPr="005039B3">
        <w:rPr>
          <w:rFonts w:cs="Arial"/>
          <w:i/>
          <w:iCs/>
          <w:sz w:val="18"/>
          <w:szCs w:val="18"/>
        </w:rPr>
        <w:t>: First results</w:t>
      </w:r>
      <w:r w:rsidR="00B40C40" w:rsidRPr="005039B3">
        <w:rPr>
          <w:rFonts w:cs="Arial"/>
          <w:sz w:val="18"/>
          <w:szCs w:val="18"/>
        </w:rPr>
        <w:t>, Australian Government, Canberra.</w:t>
      </w:r>
    </w:p>
  </w:endnote>
  <w:endnote w:id="72">
    <w:p w14:paraId="48E0C4BC" w14:textId="1A760C5C"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Simmonds M, Llewellyn A, Owen CG, Woolacott N</w:t>
      </w:r>
      <w:r w:rsidR="00B40C40" w:rsidRPr="005039B3">
        <w:rPr>
          <w:rFonts w:cs="Arial"/>
          <w:sz w:val="18"/>
          <w:szCs w:val="18"/>
        </w:rPr>
        <w:t xml:space="preserve"> (2016)</w:t>
      </w:r>
      <w:r w:rsidRPr="005039B3">
        <w:rPr>
          <w:rFonts w:cs="Arial"/>
          <w:sz w:val="18"/>
          <w:szCs w:val="18"/>
        </w:rPr>
        <w:t xml:space="preserve"> </w:t>
      </w:r>
      <w:r w:rsidR="00D3189E" w:rsidRPr="005039B3">
        <w:rPr>
          <w:rFonts w:cs="Arial"/>
          <w:sz w:val="18"/>
          <w:szCs w:val="18"/>
        </w:rPr>
        <w:t>‘</w:t>
      </w:r>
      <w:r w:rsidRPr="005039B3">
        <w:rPr>
          <w:rFonts w:cs="Arial"/>
          <w:sz w:val="18"/>
          <w:szCs w:val="18"/>
        </w:rPr>
        <w:t>Predicting adult obesity from childhood obesity: a systematic review and meta-analysis</w:t>
      </w:r>
      <w:r w:rsidR="00D3189E" w:rsidRPr="005039B3">
        <w:rPr>
          <w:rFonts w:cs="Arial"/>
          <w:sz w:val="18"/>
          <w:szCs w:val="18"/>
        </w:rPr>
        <w:t>’,</w:t>
      </w:r>
      <w:r w:rsidRPr="005039B3">
        <w:rPr>
          <w:rFonts w:cs="Arial"/>
          <w:sz w:val="18"/>
          <w:szCs w:val="18"/>
        </w:rPr>
        <w:t xml:space="preserve"> </w:t>
      </w:r>
      <w:r w:rsidRPr="005039B3">
        <w:rPr>
          <w:rFonts w:cs="Arial"/>
          <w:i/>
          <w:iCs/>
          <w:sz w:val="18"/>
          <w:szCs w:val="18"/>
        </w:rPr>
        <w:t>Obes Rev</w:t>
      </w:r>
      <w:r w:rsidRPr="005039B3">
        <w:rPr>
          <w:rFonts w:cs="Arial"/>
          <w:sz w:val="18"/>
          <w:szCs w:val="18"/>
        </w:rPr>
        <w:t>.</w:t>
      </w:r>
      <w:r w:rsidR="00D3189E" w:rsidRPr="005039B3">
        <w:rPr>
          <w:rFonts w:cs="Arial"/>
          <w:sz w:val="18"/>
          <w:szCs w:val="18"/>
        </w:rPr>
        <w:t xml:space="preserve">, </w:t>
      </w:r>
      <w:r w:rsidRPr="005039B3">
        <w:rPr>
          <w:rFonts w:cs="Arial"/>
          <w:sz w:val="18"/>
          <w:szCs w:val="18"/>
        </w:rPr>
        <w:t>17(2):95</w:t>
      </w:r>
      <w:r w:rsidR="00D3189E" w:rsidRPr="005039B3">
        <w:rPr>
          <w:rFonts w:cs="Arial"/>
          <w:sz w:val="18"/>
          <w:szCs w:val="18"/>
        </w:rPr>
        <w:t>–</w:t>
      </w:r>
      <w:r w:rsidRPr="005039B3">
        <w:rPr>
          <w:rFonts w:cs="Arial"/>
          <w:sz w:val="18"/>
          <w:szCs w:val="18"/>
        </w:rPr>
        <w:t>107.</w:t>
      </w:r>
    </w:p>
  </w:endnote>
  <w:endnote w:id="73">
    <w:p w14:paraId="7D76D0C4" w14:textId="61B41F8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D3189E" w:rsidRPr="005039B3">
        <w:rPr>
          <w:rFonts w:cs="Arial"/>
          <w:sz w:val="18"/>
          <w:szCs w:val="18"/>
        </w:rPr>
        <w:t>AIHW</w:t>
      </w:r>
      <w:r w:rsidR="00A804CD" w:rsidRPr="005039B3">
        <w:rPr>
          <w:rFonts w:cs="Arial"/>
          <w:sz w:val="18"/>
          <w:szCs w:val="18"/>
        </w:rPr>
        <w:t xml:space="preserve"> (2020)</w:t>
      </w:r>
      <w:r w:rsidRPr="005039B3">
        <w:rPr>
          <w:rFonts w:cs="Arial"/>
          <w:sz w:val="18"/>
          <w:szCs w:val="18"/>
        </w:rPr>
        <w:t xml:space="preserve"> </w:t>
      </w:r>
      <w:r w:rsidRPr="005039B3">
        <w:rPr>
          <w:rFonts w:cs="Arial"/>
          <w:i/>
          <w:iCs/>
          <w:sz w:val="18"/>
          <w:szCs w:val="18"/>
        </w:rPr>
        <w:t>Overweight and obesity among Australian children and adolescents</w:t>
      </w:r>
      <w:r w:rsidR="0077412F" w:rsidRPr="005039B3">
        <w:rPr>
          <w:rFonts w:cs="Arial"/>
          <w:i/>
          <w:iCs/>
          <w:sz w:val="18"/>
          <w:szCs w:val="18"/>
        </w:rPr>
        <w:t>,</w:t>
      </w:r>
      <w:r w:rsidR="00A804CD" w:rsidRPr="005039B3">
        <w:rPr>
          <w:rFonts w:cs="Arial"/>
          <w:sz w:val="18"/>
          <w:szCs w:val="18"/>
        </w:rPr>
        <w:t xml:space="preserve"> </w:t>
      </w:r>
      <w:r w:rsidR="0077412F" w:rsidRPr="005039B3">
        <w:rPr>
          <w:rFonts w:cs="Arial"/>
          <w:sz w:val="18"/>
          <w:szCs w:val="18"/>
        </w:rPr>
        <w:t>Australian Government, Canberra</w:t>
      </w:r>
      <w:r w:rsidRPr="005039B3">
        <w:rPr>
          <w:rFonts w:cs="Arial"/>
          <w:sz w:val="18"/>
          <w:szCs w:val="18"/>
        </w:rPr>
        <w:t>.</w:t>
      </w:r>
    </w:p>
  </w:endnote>
  <w:endnote w:id="74">
    <w:p w14:paraId="0E882C39" w14:textId="1947C42D"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B368F" w:rsidRPr="005039B3">
        <w:rPr>
          <w:rFonts w:cs="Arial"/>
          <w:sz w:val="18"/>
          <w:szCs w:val="18"/>
        </w:rPr>
        <w:t xml:space="preserve">AIHW </w:t>
      </w:r>
      <w:r w:rsidRPr="005039B3">
        <w:rPr>
          <w:rFonts w:cs="Arial"/>
          <w:sz w:val="18"/>
          <w:szCs w:val="18"/>
        </w:rPr>
        <w:t xml:space="preserve">(2022) </w:t>
      </w:r>
      <w:r w:rsidRPr="005039B3">
        <w:rPr>
          <w:rFonts w:cs="Arial"/>
          <w:i/>
          <w:iCs/>
          <w:sz w:val="18"/>
          <w:szCs w:val="18"/>
        </w:rPr>
        <w:t>Alcohol, tobacco &amp; other drugs in Australia</w:t>
      </w:r>
      <w:r w:rsidRPr="005039B3">
        <w:rPr>
          <w:rFonts w:cs="Arial"/>
          <w:sz w:val="18"/>
          <w:szCs w:val="18"/>
        </w:rPr>
        <w:t xml:space="preserve">, </w:t>
      </w:r>
      <w:r w:rsidR="006D5CD5" w:rsidRPr="005039B3">
        <w:rPr>
          <w:rFonts w:cs="Arial"/>
          <w:sz w:val="18"/>
          <w:szCs w:val="18"/>
        </w:rPr>
        <w:t>Australian Government, Canberra</w:t>
      </w:r>
      <w:r w:rsidRPr="005039B3">
        <w:rPr>
          <w:rFonts w:cs="Arial"/>
          <w:sz w:val="18"/>
          <w:szCs w:val="18"/>
        </w:rPr>
        <w:t>.</w:t>
      </w:r>
    </w:p>
  </w:endnote>
  <w:endnote w:id="75">
    <w:p w14:paraId="7A2FE93C" w14:textId="3393319E"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World Health Organi</w:t>
      </w:r>
      <w:r w:rsidR="009306D3" w:rsidRPr="005039B3">
        <w:rPr>
          <w:rFonts w:cs="Arial"/>
          <w:sz w:val="18"/>
          <w:szCs w:val="18"/>
        </w:rPr>
        <w:t>z</w:t>
      </w:r>
      <w:r w:rsidRPr="005039B3">
        <w:rPr>
          <w:rFonts w:cs="Arial"/>
          <w:sz w:val="18"/>
          <w:szCs w:val="18"/>
        </w:rPr>
        <w:t xml:space="preserve">ation </w:t>
      </w:r>
      <w:r w:rsidR="008F0FD3" w:rsidRPr="005039B3">
        <w:rPr>
          <w:rFonts w:cs="Arial"/>
          <w:sz w:val="18"/>
          <w:szCs w:val="18"/>
        </w:rPr>
        <w:t>(</w:t>
      </w:r>
      <w:r w:rsidRPr="005039B3">
        <w:rPr>
          <w:rFonts w:cs="Arial"/>
          <w:sz w:val="18"/>
          <w:szCs w:val="18"/>
        </w:rPr>
        <w:t>2023</w:t>
      </w:r>
      <w:r w:rsidR="008F0FD3" w:rsidRPr="005039B3">
        <w:rPr>
          <w:rFonts w:cs="Arial"/>
          <w:sz w:val="18"/>
          <w:szCs w:val="18"/>
        </w:rPr>
        <w:t>)</w:t>
      </w:r>
      <w:r w:rsidRPr="005039B3">
        <w:rPr>
          <w:rFonts w:cs="Arial"/>
          <w:sz w:val="18"/>
          <w:szCs w:val="18"/>
        </w:rPr>
        <w:t xml:space="preserve"> </w:t>
      </w:r>
      <w:r w:rsidR="008F0FD3" w:rsidRPr="005039B3">
        <w:rPr>
          <w:rFonts w:cs="Arial"/>
          <w:sz w:val="18"/>
          <w:szCs w:val="18"/>
        </w:rPr>
        <w:t>‘</w:t>
      </w:r>
      <w:r w:rsidRPr="005039B3">
        <w:rPr>
          <w:rFonts w:cs="Arial"/>
          <w:sz w:val="18"/>
          <w:szCs w:val="18"/>
        </w:rPr>
        <w:t>Health and cancer risks associated with low levels of alcohol consumption</w:t>
      </w:r>
      <w:r w:rsidR="008F0FD3" w:rsidRPr="005039B3">
        <w:rPr>
          <w:rFonts w:cs="Arial"/>
          <w:sz w:val="18"/>
          <w:szCs w:val="18"/>
        </w:rPr>
        <w:t>’</w:t>
      </w:r>
      <w:r w:rsidRPr="005039B3">
        <w:rPr>
          <w:rFonts w:cs="Arial"/>
          <w:sz w:val="18"/>
          <w:szCs w:val="18"/>
        </w:rPr>
        <w:t xml:space="preserve">, </w:t>
      </w:r>
      <w:r w:rsidRPr="005039B3">
        <w:rPr>
          <w:rFonts w:cs="Arial"/>
          <w:i/>
          <w:iCs/>
          <w:sz w:val="18"/>
          <w:szCs w:val="18"/>
        </w:rPr>
        <w:t>The Lancet: Public Health</w:t>
      </w:r>
      <w:r w:rsidRPr="005039B3">
        <w:rPr>
          <w:rFonts w:cs="Arial"/>
          <w:sz w:val="18"/>
          <w:szCs w:val="18"/>
        </w:rPr>
        <w:t xml:space="preserve">, </w:t>
      </w:r>
      <w:r w:rsidR="00353D52" w:rsidRPr="005039B3">
        <w:rPr>
          <w:rFonts w:cs="Arial"/>
          <w:sz w:val="18"/>
          <w:szCs w:val="18"/>
        </w:rPr>
        <w:t>8(1):e6–e7.</w:t>
      </w:r>
    </w:p>
  </w:endnote>
  <w:endnote w:id="76">
    <w:p w14:paraId="531998DF" w14:textId="77AA3C4C"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009306D3" w:rsidRPr="005039B3" w:rsidDel="009306D3">
        <w:rPr>
          <w:rFonts w:cs="Arial"/>
          <w:sz w:val="18"/>
          <w:szCs w:val="18"/>
        </w:rPr>
        <w:t xml:space="preserve"> </w:t>
      </w:r>
      <w:r w:rsidRPr="005039B3">
        <w:rPr>
          <w:rFonts w:cs="Arial"/>
          <w:color w:val="000000"/>
          <w:sz w:val="18"/>
          <w:szCs w:val="18"/>
          <w:shd w:val="clear" w:color="auto" w:fill="FFFFFF"/>
        </w:rPr>
        <w:t>(202</w:t>
      </w:r>
      <w:r w:rsidR="00CE1A7C" w:rsidRPr="005039B3">
        <w:rPr>
          <w:rFonts w:cs="Arial"/>
          <w:color w:val="000000"/>
          <w:sz w:val="18"/>
          <w:szCs w:val="18"/>
          <w:shd w:val="clear" w:color="auto" w:fill="FFFFFF"/>
        </w:rPr>
        <w:t>2</w:t>
      </w:r>
      <w:r w:rsidRPr="005039B3">
        <w:rPr>
          <w:rFonts w:cs="Arial"/>
          <w:color w:val="000000"/>
          <w:sz w:val="18"/>
          <w:szCs w:val="18"/>
          <w:shd w:val="clear" w:color="auto" w:fill="FFFFFF"/>
        </w:rPr>
        <w:t>)</w:t>
      </w:r>
      <w:r w:rsidR="00CE1A7C" w:rsidRPr="005039B3">
        <w:rPr>
          <w:rFonts w:cs="Arial"/>
          <w:color w:val="000000"/>
          <w:sz w:val="18"/>
          <w:szCs w:val="18"/>
          <w:shd w:val="clear" w:color="auto" w:fill="FFFFFF"/>
        </w:rPr>
        <w:t xml:space="preserve"> </w:t>
      </w:r>
      <w:hyperlink r:id="rId21" w:history="1">
        <w:r w:rsidRPr="005039B3">
          <w:rPr>
            <w:rStyle w:val="Hyperlink"/>
            <w:rFonts w:cs="Arial"/>
            <w:i/>
            <w:iCs/>
            <w:sz w:val="18"/>
            <w:szCs w:val="18"/>
            <w:shd w:val="clear" w:color="auto" w:fill="FFFFFF"/>
          </w:rPr>
          <w:t>Alcohol consumption</w:t>
        </w:r>
      </w:hyperlink>
      <w:r w:rsidRPr="005039B3">
        <w:rPr>
          <w:rFonts w:cs="Arial"/>
          <w:color w:val="000000"/>
          <w:sz w:val="18"/>
          <w:szCs w:val="18"/>
          <w:shd w:val="clear" w:color="auto" w:fill="FFFFFF"/>
        </w:rPr>
        <w:t xml:space="preserve">, </w:t>
      </w:r>
      <w:r w:rsidR="00BF7B13" w:rsidRPr="005039B3">
        <w:rPr>
          <w:rFonts w:cs="Arial"/>
          <w:color w:val="000000"/>
          <w:sz w:val="18"/>
          <w:szCs w:val="18"/>
          <w:shd w:val="clear" w:color="auto" w:fill="FFFFFF"/>
        </w:rPr>
        <w:t>&lt;https://www.abs.gov.au/statistics/health/health-conditions-and-risks/alcohol-consumption/latest-release&gt;</w:t>
      </w:r>
      <w:r w:rsidRPr="005039B3">
        <w:rPr>
          <w:rFonts w:cs="Arial"/>
          <w:color w:val="000000"/>
          <w:sz w:val="18"/>
          <w:szCs w:val="18"/>
          <w:shd w:val="clear" w:color="auto" w:fill="FFFFFF"/>
        </w:rPr>
        <w:t xml:space="preserve"> accessed 17 April </w:t>
      </w:r>
      <w:r w:rsidRPr="005039B3">
        <w:rPr>
          <w:rFonts w:cs="Arial"/>
          <w:sz w:val="18"/>
          <w:szCs w:val="18"/>
        </w:rPr>
        <w:t>2023</w:t>
      </w:r>
      <w:r w:rsidRPr="005039B3">
        <w:rPr>
          <w:rFonts w:cs="Arial"/>
          <w:color w:val="000000"/>
          <w:sz w:val="18"/>
          <w:szCs w:val="18"/>
          <w:shd w:val="clear" w:color="auto" w:fill="FFFFFF"/>
        </w:rPr>
        <w:t>.</w:t>
      </w:r>
    </w:p>
  </w:endnote>
  <w:endnote w:id="77">
    <w:p w14:paraId="3718AD97" w14:textId="5597C4E6"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B368F" w:rsidRPr="005039B3">
        <w:rPr>
          <w:rFonts w:cs="Arial"/>
          <w:sz w:val="18"/>
          <w:szCs w:val="18"/>
        </w:rPr>
        <w:t xml:space="preserve">AIHW </w:t>
      </w:r>
      <w:r w:rsidRPr="005039B3">
        <w:rPr>
          <w:rFonts w:cs="Arial"/>
          <w:sz w:val="18"/>
          <w:szCs w:val="18"/>
        </w:rPr>
        <w:t xml:space="preserve">(2020) </w:t>
      </w:r>
      <w:r w:rsidRPr="005039B3">
        <w:rPr>
          <w:rFonts w:cs="Arial"/>
          <w:i/>
          <w:iCs/>
          <w:sz w:val="18"/>
          <w:szCs w:val="18"/>
        </w:rPr>
        <w:t>National Drug Strategy Household Survey 2019</w:t>
      </w:r>
      <w:r w:rsidRPr="005039B3">
        <w:rPr>
          <w:rFonts w:cs="Arial"/>
          <w:sz w:val="18"/>
          <w:szCs w:val="18"/>
        </w:rPr>
        <w:t xml:space="preserve">, </w:t>
      </w:r>
      <w:r w:rsidR="007369CC" w:rsidRPr="005039B3">
        <w:rPr>
          <w:rFonts w:cs="Arial"/>
          <w:sz w:val="18"/>
          <w:szCs w:val="18"/>
        </w:rPr>
        <w:t>Australian Government, Canberra.</w:t>
      </w:r>
    </w:p>
  </w:endnote>
  <w:endnote w:id="78">
    <w:p w14:paraId="598BAC8A" w14:textId="2A90750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Aged Care, </w:t>
      </w:r>
      <w:hyperlink r:id="rId22" w:history="1">
        <w:r w:rsidRPr="005039B3">
          <w:rPr>
            <w:rStyle w:val="Hyperlink"/>
            <w:i/>
            <w:iCs/>
            <w:sz w:val="18"/>
            <w:szCs w:val="18"/>
          </w:rPr>
          <w:t>Childhood immunisation coverage</w:t>
        </w:r>
      </w:hyperlink>
      <w:r w:rsidRPr="005039B3">
        <w:rPr>
          <w:rFonts w:cs="Arial"/>
          <w:sz w:val="18"/>
          <w:szCs w:val="18"/>
        </w:rPr>
        <w:t xml:space="preserve"> </w:t>
      </w:r>
      <w:r w:rsidR="00590656" w:rsidRPr="005039B3">
        <w:rPr>
          <w:rFonts w:cs="Arial"/>
          <w:sz w:val="18"/>
          <w:szCs w:val="18"/>
        </w:rPr>
        <w:t>&lt;https://www.health.gov.au/topics/immunisation/immunisation-data/childhood-immunisation-coverage&gt;</w:t>
      </w:r>
      <w:r w:rsidRPr="005039B3">
        <w:rPr>
          <w:rFonts w:cs="Arial"/>
          <w:sz w:val="18"/>
          <w:szCs w:val="18"/>
        </w:rPr>
        <w:t xml:space="preserve">, </w:t>
      </w:r>
      <w:r w:rsidR="00590656" w:rsidRPr="005039B3">
        <w:rPr>
          <w:rFonts w:cs="Arial"/>
          <w:sz w:val="18"/>
          <w:szCs w:val="18"/>
        </w:rPr>
        <w:t>a</w:t>
      </w:r>
      <w:r w:rsidRPr="005039B3">
        <w:rPr>
          <w:rFonts w:cs="Arial"/>
          <w:sz w:val="18"/>
          <w:szCs w:val="18"/>
        </w:rPr>
        <w:t>ccessed 14 April 2023.</w:t>
      </w:r>
    </w:p>
  </w:endnote>
  <w:endnote w:id="79">
    <w:p w14:paraId="09DB097A" w14:textId="352EE3CB"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w:t>
      </w:r>
      <w:r w:rsidRPr="005039B3">
        <w:rPr>
          <w:rFonts w:cs="Arial"/>
          <w:i/>
          <w:iCs/>
          <w:sz w:val="18"/>
          <w:szCs w:val="18"/>
        </w:rPr>
        <w:t>Public Health Events Surveillance System</w:t>
      </w:r>
      <w:r w:rsidRPr="005039B3">
        <w:rPr>
          <w:rFonts w:cs="Arial"/>
          <w:sz w:val="18"/>
          <w:szCs w:val="18"/>
        </w:rPr>
        <w:t>, Victorian Government, Melbourne.</w:t>
      </w:r>
    </w:p>
  </w:endnote>
  <w:endnote w:id="80">
    <w:p w14:paraId="4C0981BD" w14:textId="3AF6E51B"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Pearson AL, Clevenger KA, Horton TH</w:t>
      </w:r>
      <w:r w:rsidR="003149C3" w:rsidRPr="005039B3">
        <w:rPr>
          <w:rFonts w:cs="Arial"/>
          <w:sz w:val="18"/>
          <w:szCs w:val="18"/>
        </w:rPr>
        <w:t>,</w:t>
      </w:r>
      <w:r w:rsidRPr="005039B3">
        <w:rPr>
          <w:rFonts w:cs="Arial"/>
          <w:sz w:val="18"/>
          <w:szCs w:val="18"/>
        </w:rPr>
        <w:t xml:space="preserve"> et al. </w:t>
      </w:r>
      <w:r w:rsidR="003149C3" w:rsidRPr="005039B3">
        <w:rPr>
          <w:rFonts w:cs="Arial"/>
          <w:sz w:val="18"/>
          <w:szCs w:val="18"/>
        </w:rPr>
        <w:t xml:space="preserve">(2021) </w:t>
      </w:r>
      <w:r w:rsidR="00A421EC" w:rsidRPr="005039B3">
        <w:rPr>
          <w:rFonts w:cs="Arial"/>
          <w:sz w:val="18"/>
          <w:szCs w:val="18"/>
        </w:rPr>
        <w:t>‘</w:t>
      </w:r>
      <w:r w:rsidRPr="005039B3">
        <w:rPr>
          <w:rFonts w:cs="Arial"/>
          <w:sz w:val="18"/>
          <w:szCs w:val="18"/>
        </w:rPr>
        <w:t>Feelings of safety during daytime walking: associations with mental health, physical activity and cardiometabolic health in high vacancy, low-income neighbourhoods in Detroit, Michigan</w:t>
      </w:r>
      <w:r w:rsidR="00A421EC" w:rsidRPr="005039B3">
        <w:rPr>
          <w:rFonts w:cs="Arial"/>
          <w:sz w:val="18"/>
          <w:szCs w:val="18"/>
        </w:rPr>
        <w:t>’,</w:t>
      </w:r>
      <w:r w:rsidRPr="005039B3">
        <w:rPr>
          <w:rFonts w:cs="Arial"/>
          <w:sz w:val="18"/>
          <w:szCs w:val="18"/>
        </w:rPr>
        <w:t xml:space="preserve"> </w:t>
      </w:r>
      <w:r w:rsidRPr="005039B3">
        <w:rPr>
          <w:rFonts w:cs="Arial"/>
          <w:i/>
          <w:iCs/>
          <w:sz w:val="18"/>
          <w:szCs w:val="18"/>
        </w:rPr>
        <w:t>Int J Health Geogr</w:t>
      </w:r>
      <w:r w:rsidR="00710F48" w:rsidRPr="005039B3">
        <w:rPr>
          <w:rFonts w:cs="Arial"/>
          <w:i/>
          <w:iCs/>
          <w:sz w:val="18"/>
          <w:szCs w:val="18"/>
        </w:rPr>
        <w:t>,</w:t>
      </w:r>
      <w:r w:rsidRPr="005039B3">
        <w:rPr>
          <w:rFonts w:cs="Arial"/>
          <w:sz w:val="18"/>
          <w:szCs w:val="18"/>
        </w:rPr>
        <w:t xml:space="preserve"> 20</w:t>
      </w:r>
      <w:r w:rsidR="00710F48" w:rsidRPr="005039B3">
        <w:rPr>
          <w:rFonts w:cs="Arial"/>
          <w:sz w:val="18"/>
          <w:szCs w:val="18"/>
        </w:rPr>
        <w:t>(</w:t>
      </w:r>
      <w:r w:rsidRPr="005039B3">
        <w:rPr>
          <w:rFonts w:cs="Arial"/>
          <w:sz w:val="18"/>
          <w:szCs w:val="18"/>
        </w:rPr>
        <w:t>19</w:t>
      </w:r>
      <w:r w:rsidR="00710F48" w:rsidRPr="005039B3">
        <w:rPr>
          <w:rFonts w:cs="Arial"/>
          <w:sz w:val="18"/>
          <w:szCs w:val="18"/>
        </w:rPr>
        <w:t>)</w:t>
      </w:r>
      <w:r w:rsidR="004C3ED1" w:rsidRPr="005039B3">
        <w:rPr>
          <w:rFonts w:cs="Arial"/>
          <w:sz w:val="18"/>
          <w:szCs w:val="18"/>
        </w:rPr>
        <w:t>.</w:t>
      </w:r>
    </w:p>
  </w:endnote>
  <w:endnote w:id="81">
    <w:p w14:paraId="09B57404" w14:textId="52F183AB"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Norman RE, Byambaa M, De R, </w:t>
      </w:r>
      <w:r w:rsidR="00CC324E" w:rsidRPr="005039B3">
        <w:rPr>
          <w:rFonts w:cs="Arial"/>
          <w:sz w:val="18"/>
          <w:szCs w:val="18"/>
        </w:rPr>
        <w:t>et al. (2012)</w:t>
      </w:r>
      <w:r w:rsidRPr="005039B3">
        <w:rPr>
          <w:rFonts w:cs="Arial"/>
          <w:sz w:val="18"/>
          <w:szCs w:val="18"/>
        </w:rPr>
        <w:t xml:space="preserve"> </w:t>
      </w:r>
      <w:r w:rsidR="00CC324E" w:rsidRPr="005039B3">
        <w:rPr>
          <w:rFonts w:cs="Arial"/>
          <w:sz w:val="18"/>
          <w:szCs w:val="18"/>
        </w:rPr>
        <w:t>‘</w:t>
      </w:r>
      <w:r w:rsidRPr="005039B3">
        <w:rPr>
          <w:rFonts w:cs="Arial"/>
          <w:sz w:val="18"/>
          <w:szCs w:val="18"/>
        </w:rPr>
        <w:t>The long-term health consequences of child physical abuse, emotional abuse, and neglect: a systematic review and meta-analysis</w:t>
      </w:r>
      <w:r w:rsidR="00CC324E" w:rsidRPr="005039B3">
        <w:rPr>
          <w:rFonts w:cs="Arial"/>
          <w:sz w:val="18"/>
          <w:szCs w:val="18"/>
        </w:rPr>
        <w:t>’,</w:t>
      </w:r>
      <w:r w:rsidRPr="005039B3">
        <w:rPr>
          <w:rFonts w:cs="Arial"/>
          <w:sz w:val="18"/>
          <w:szCs w:val="18"/>
        </w:rPr>
        <w:t xml:space="preserve"> </w:t>
      </w:r>
      <w:r w:rsidRPr="005039B3">
        <w:rPr>
          <w:rFonts w:cs="Arial"/>
          <w:i/>
          <w:iCs/>
          <w:sz w:val="18"/>
          <w:szCs w:val="18"/>
        </w:rPr>
        <w:t>PLoS Med</w:t>
      </w:r>
      <w:r w:rsidRPr="005039B3">
        <w:rPr>
          <w:rFonts w:cs="Arial"/>
          <w:sz w:val="18"/>
          <w:szCs w:val="18"/>
        </w:rPr>
        <w:t>. 9(11):e1001349.</w:t>
      </w:r>
    </w:p>
  </w:endnote>
  <w:endnote w:id="82">
    <w:p w14:paraId="7BF8D210" w14:textId="754EF2AB"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Australian Department of Social Services</w:t>
      </w:r>
      <w:r w:rsidR="00F02C58" w:rsidRPr="005039B3">
        <w:rPr>
          <w:rFonts w:cs="Arial"/>
          <w:sz w:val="18"/>
          <w:szCs w:val="18"/>
        </w:rPr>
        <w:t xml:space="preserve"> (2022)</w:t>
      </w:r>
      <w:r w:rsidRPr="005039B3">
        <w:rPr>
          <w:rFonts w:cs="Arial"/>
          <w:sz w:val="18"/>
          <w:szCs w:val="18"/>
        </w:rPr>
        <w:t xml:space="preserve"> </w:t>
      </w:r>
      <w:r w:rsidRPr="005039B3">
        <w:rPr>
          <w:rFonts w:cs="Arial"/>
          <w:i/>
          <w:iCs/>
          <w:sz w:val="18"/>
          <w:szCs w:val="18"/>
        </w:rPr>
        <w:t>National Plan to End Violence against Women and Children 2022</w:t>
      </w:r>
      <w:r w:rsidR="00F02C58" w:rsidRPr="005039B3">
        <w:rPr>
          <w:rFonts w:cs="Arial"/>
          <w:i/>
          <w:iCs/>
          <w:sz w:val="18"/>
          <w:szCs w:val="18"/>
        </w:rPr>
        <w:t>–</w:t>
      </w:r>
      <w:r w:rsidRPr="005039B3">
        <w:rPr>
          <w:rFonts w:cs="Arial"/>
          <w:i/>
          <w:iCs/>
          <w:sz w:val="18"/>
          <w:szCs w:val="18"/>
        </w:rPr>
        <w:t>2032</w:t>
      </w:r>
      <w:r w:rsidR="00F02C58" w:rsidRPr="005039B3">
        <w:rPr>
          <w:rFonts w:cs="Arial"/>
          <w:sz w:val="18"/>
          <w:szCs w:val="18"/>
        </w:rPr>
        <w:t xml:space="preserve">, </w:t>
      </w:r>
      <w:r w:rsidR="00C7728D" w:rsidRPr="005039B3">
        <w:rPr>
          <w:rFonts w:cs="Arial"/>
          <w:sz w:val="18"/>
          <w:szCs w:val="18"/>
        </w:rPr>
        <w:t>Australian Government, Canberra.</w:t>
      </w:r>
    </w:p>
  </w:endnote>
  <w:endnote w:id="83">
    <w:p w14:paraId="74D2E3CD" w14:textId="4F3ABD7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Our Watch</w:t>
      </w:r>
      <w:r w:rsidR="00C7728D" w:rsidRPr="005039B3">
        <w:rPr>
          <w:rFonts w:cs="Arial"/>
          <w:sz w:val="18"/>
          <w:szCs w:val="18"/>
        </w:rPr>
        <w:t xml:space="preserve"> (2021)</w:t>
      </w:r>
      <w:r w:rsidRPr="005039B3">
        <w:rPr>
          <w:rFonts w:cs="Arial"/>
          <w:sz w:val="18"/>
          <w:szCs w:val="18"/>
        </w:rPr>
        <w:t xml:space="preserve"> </w:t>
      </w:r>
      <w:r w:rsidRPr="005039B3">
        <w:rPr>
          <w:rFonts w:cs="Arial"/>
          <w:i/>
          <w:iCs/>
          <w:sz w:val="18"/>
          <w:szCs w:val="18"/>
        </w:rPr>
        <w:t>Change the story: A shared framework for the primary prevention of violence against women in Australia</w:t>
      </w:r>
      <w:r w:rsidR="007460C2" w:rsidRPr="005039B3">
        <w:rPr>
          <w:rFonts w:cs="Arial"/>
          <w:sz w:val="18"/>
          <w:szCs w:val="18"/>
        </w:rPr>
        <w:t>,</w:t>
      </w:r>
      <w:r w:rsidRPr="005039B3">
        <w:rPr>
          <w:rFonts w:cs="Arial"/>
          <w:sz w:val="18"/>
          <w:szCs w:val="18"/>
        </w:rPr>
        <w:t xml:space="preserve"> Melbourne.</w:t>
      </w:r>
    </w:p>
  </w:endnote>
  <w:endnote w:id="84">
    <w:p w14:paraId="1C7AF2A9" w14:textId="55F08C95"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Agency for Health Information, </w:t>
      </w:r>
      <w:r w:rsidRPr="005039B3">
        <w:rPr>
          <w:rFonts w:cs="Arial"/>
          <w:i/>
          <w:iCs/>
          <w:sz w:val="18"/>
          <w:szCs w:val="18"/>
        </w:rPr>
        <w:t>Victorian Population Health Survey</w:t>
      </w:r>
      <w:r w:rsidRPr="005039B3">
        <w:rPr>
          <w:rFonts w:cs="Arial"/>
          <w:sz w:val="18"/>
          <w:szCs w:val="18"/>
        </w:rPr>
        <w:t>, Victorian Department of Health, Melbourne.</w:t>
      </w:r>
    </w:p>
  </w:endnote>
  <w:endnote w:id="85">
    <w:p w14:paraId="6EAB70DF" w14:textId="1DE62E81"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7460C2" w:rsidRPr="005039B3">
        <w:rPr>
          <w:rFonts w:cs="Arial"/>
          <w:sz w:val="18"/>
          <w:szCs w:val="18"/>
        </w:rPr>
        <w:t>World Health Organization</w:t>
      </w:r>
      <w:r w:rsidR="007460C2" w:rsidRPr="005039B3" w:rsidDel="007460C2">
        <w:rPr>
          <w:rFonts w:cs="Arial"/>
          <w:sz w:val="18"/>
          <w:szCs w:val="18"/>
        </w:rPr>
        <w:t xml:space="preserve"> </w:t>
      </w:r>
      <w:r w:rsidR="00775E4F" w:rsidRPr="005039B3">
        <w:rPr>
          <w:rFonts w:cs="Arial"/>
          <w:sz w:val="18"/>
          <w:szCs w:val="18"/>
        </w:rPr>
        <w:t xml:space="preserve">(2018) </w:t>
      </w:r>
      <w:r w:rsidRPr="005039B3">
        <w:rPr>
          <w:rFonts w:cs="Arial"/>
          <w:i/>
          <w:iCs/>
          <w:sz w:val="18"/>
          <w:szCs w:val="18"/>
        </w:rPr>
        <w:t>Housing and health guidelines</w:t>
      </w:r>
      <w:r w:rsidR="00775E4F" w:rsidRPr="005039B3">
        <w:rPr>
          <w:rFonts w:cs="Arial"/>
          <w:sz w:val="18"/>
          <w:szCs w:val="18"/>
        </w:rPr>
        <w:t>,</w:t>
      </w:r>
      <w:r w:rsidRPr="005039B3">
        <w:rPr>
          <w:rFonts w:cs="Arial"/>
          <w:sz w:val="18"/>
          <w:szCs w:val="18"/>
        </w:rPr>
        <w:t xml:space="preserve"> Geneva</w:t>
      </w:r>
      <w:r w:rsidR="00775E4F" w:rsidRPr="005039B3">
        <w:rPr>
          <w:rFonts w:cs="Arial"/>
          <w:sz w:val="18"/>
          <w:szCs w:val="18"/>
        </w:rPr>
        <w:t>.</w:t>
      </w:r>
    </w:p>
  </w:endnote>
  <w:endnote w:id="86">
    <w:p w14:paraId="29F55220" w14:textId="45001B42"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009306D3" w:rsidRPr="005039B3" w:rsidDel="009306D3">
        <w:rPr>
          <w:rFonts w:cs="Arial"/>
          <w:sz w:val="18"/>
          <w:szCs w:val="18"/>
        </w:rPr>
        <w:t xml:space="preserve"> </w:t>
      </w:r>
      <w:r w:rsidRPr="005039B3">
        <w:rPr>
          <w:rFonts w:cs="Arial"/>
          <w:sz w:val="18"/>
          <w:szCs w:val="18"/>
        </w:rPr>
        <w:t>(202</w:t>
      </w:r>
      <w:r w:rsidR="009C5F64" w:rsidRPr="005039B3">
        <w:rPr>
          <w:rFonts w:cs="Arial"/>
          <w:sz w:val="18"/>
          <w:szCs w:val="18"/>
        </w:rPr>
        <w:t>3</w:t>
      </w:r>
      <w:r w:rsidRPr="005039B3">
        <w:rPr>
          <w:rFonts w:cs="Arial"/>
          <w:sz w:val="18"/>
          <w:szCs w:val="18"/>
        </w:rPr>
        <w:t xml:space="preserve">), </w:t>
      </w:r>
      <w:hyperlink r:id="rId23" w:history="1">
        <w:r w:rsidRPr="005039B3">
          <w:rPr>
            <w:rStyle w:val="Hyperlink"/>
            <w:rFonts w:cs="Arial"/>
            <w:i/>
            <w:iCs/>
            <w:sz w:val="18"/>
            <w:szCs w:val="18"/>
          </w:rPr>
          <w:t>Estimating Homelessness: Census</w:t>
        </w:r>
      </w:hyperlink>
      <w:r w:rsidRPr="005039B3">
        <w:rPr>
          <w:rFonts w:cs="Arial"/>
          <w:sz w:val="18"/>
          <w:szCs w:val="18"/>
        </w:rPr>
        <w:t xml:space="preserve">, </w:t>
      </w:r>
      <w:r w:rsidR="00D54065" w:rsidRPr="005039B3">
        <w:rPr>
          <w:rFonts w:cs="Arial"/>
          <w:sz w:val="18"/>
          <w:szCs w:val="18"/>
        </w:rPr>
        <w:t>&lt;https://www.abs.gov.au/statistics/people/housing/estimating-homelessness-census/latest-release&gt;</w:t>
      </w:r>
      <w:r w:rsidRPr="005039B3">
        <w:rPr>
          <w:rFonts w:cs="Arial"/>
          <w:sz w:val="18"/>
          <w:szCs w:val="18"/>
        </w:rPr>
        <w:t>, accessed 17 April 2023.</w:t>
      </w:r>
    </w:p>
  </w:endnote>
  <w:endnote w:id="87">
    <w:p w14:paraId="50FB684B" w14:textId="0E719ACF"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Dooley D, Fielding J, Levi L</w:t>
      </w:r>
      <w:r w:rsidR="00D54065" w:rsidRPr="005039B3">
        <w:rPr>
          <w:rFonts w:cs="Arial"/>
          <w:sz w:val="18"/>
          <w:szCs w:val="18"/>
        </w:rPr>
        <w:t xml:space="preserve"> (1996)</w:t>
      </w:r>
      <w:r w:rsidRPr="005039B3">
        <w:rPr>
          <w:rFonts w:cs="Arial"/>
          <w:sz w:val="18"/>
          <w:szCs w:val="18"/>
        </w:rPr>
        <w:t xml:space="preserve"> </w:t>
      </w:r>
      <w:r w:rsidR="00D54065" w:rsidRPr="005039B3">
        <w:rPr>
          <w:rFonts w:cs="Arial"/>
          <w:sz w:val="18"/>
          <w:szCs w:val="18"/>
        </w:rPr>
        <w:t>‘</w:t>
      </w:r>
      <w:r w:rsidRPr="005039B3">
        <w:rPr>
          <w:rFonts w:cs="Arial"/>
          <w:sz w:val="18"/>
          <w:szCs w:val="18"/>
        </w:rPr>
        <w:t>Health and unemployment</w:t>
      </w:r>
      <w:r w:rsidR="00D54065" w:rsidRPr="005039B3">
        <w:rPr>
          <w:rFonts w:cs="Arial"/>
          <w:sz w:val="18"/>
          <w:szCs w:val="18"/>
        </w:rPr>
        <w:t>’,</w:t>
      </w:r>
      <w:r w:rsidRPr="005039B3">
        <w:rPr>
          <w:rFonts w:cs="Arial"/>
          <w:sz w:val="18"/>
          <w:szCs w:val="18"/>
        </w:rPr>
        <w:t xml:space="preserve"> </w:t>
      </w:r>
      <w:r w:rsidRPr="005039B3">
        <w:rPr>
          <w:rFonts w:cs="Arial"/>
          <w:i/>
          <w:iCs/>
          <w:sz w:val="18"/>
          <w:szCs w:val="18"/>
        </w:rPr>
        <w:t>Annu Rev Public Health</w:t>
      </w:r>
      <w:r w:rsidR="0096624E" w:rsidRPr="005039B3">
        <w:rPr>
          <w:rFonts w:cs="Arial"/>
          <w:sz w:val="18"/>
          <w:szCs w:val="18"/>
        </w:rPr>
        <w:t xml:space="preserve">, </w:t>
      </w:r>
      <w:r w:rsidRPr="005039B3">
        <w:rPr>
          <w:rFonts w:cs="Arial"/>
          <w:sz w:val="18"/>
          <w:szCs w:val="18"/>
        </w:rPr>
        <w:t>17:449</w:t>
      </w:r>
      <w:r w:rsidR="0096624E" w:rsidRPr="005039B3">
        <w:rPr>
          <w:rFonts w:cs="Arial"/>
          <w:sz w:val="18"/>
          <w:szCs w:val="18"/>
        </w:rPr>
        <w:t>–4</w:t>
      </w:r>
      <w:r w:rsidRPr="005039B3">
        <w:rPr>
          <w:rFonts w:cs="Arial"/>
          <w:sz w:val="18"/>
          <w:szCs w:val="18"/>
        </w:rPr>
        <w:t>65.</w:t>
      </w:r>
    </w:p>
  </w:endnote>
  <w:endnote w:id="88">
    <w:p w14:paraId="0F96CE14" w14:textId="4AEC12FD"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Jin RL, Shah CP, Svoboda TJ. </w:t>
      </w:r>
      <w:r w:rsidR="00474932" w:rsidRPr="005039B3">
        <w:rPr>
          <w:rFonts w:cs="Arial"/>
          <w:sz w:val="18"/>
          <w:szCs w:val="18"/>
        </w:rPr>
        <w:t>(1995) ‘</w:t>
      </w:r>
      <w:r w:rsidRPr="005039B3">
        <w:rPr>
          <w:rFonts w:cs="Arial"/>
          <w:sz w:val="18"/>
          <w:szCs w:val="18"/>
        </w:rPr>
        <w:t>The impact of unemployment on health: a review of the evidence</w:t>
      </w:r>
      <w:r w:rsidR="00474932" w:rsidRPr="005039B3">
        <w:rPr>
          <w:rFonts w:cs="Arial"/>
          <w:sz w:val="18"/>
          <w:szCs w:val="18"/>
        </w:rPr>
        <w:t>’,</w:t>
      </w:r>
      <w:r w:rsidRPr="005039B3">
        <w:rPr>
          <w:rFonts w:cs="Arial"/>
          <w:sz w:val="18"/>
          <w:szCs w:val="18"/>
        </w:rPr>
        <w:t xml:space="preserve"> </w:t>
      </w:r>
      <w:r w:rsidRPr="005039B3">
        <w:rPr>
          <w:rFonts w:cs="Arial"/>
          <w:i/>
          <w:iCs/>
          <w:sz w:val="18"/>
          <w:szCs w:val="18"/>
        </w:rPr>
        <w:t>CMAJ</w:t>
      </w:r>
      <w:r w:rsidR="00474932" w:rsidRPr="005039B3">
        <w:rPr>
          <w:rFonts w:cs="Arial"/>
          <w:sz w:val="18"/>
          <w:szCs w:val="18"/>
        </w:rPr>
        <w:t>,</w:t>
      </w:r>
      <w:r w:rsidRPr="005039B3">
        <w:rPr>
          <w:rFonts w:cs="Arial"/>
          <w:sz w:val="18"/>
          <w:szCs w:val="18"/>
        </w:rPr>
        <w:t xml:space="preserve"> 153(5):529</w:t>
      </w:r>
      <w:r w:rsidR="00474932" w:rsidRPr="005039B3">
        <w:rPr>
          <w:rFonts w:cs="Arial"/>
          <w:sz w:val="18"/>
          <w:szCs w:val="18"/>
        </w:rPr>
        <w:t>–5</w:t>
      </w:r>
      <w:r w:rsidRPr="005039B3">
        <w:rPr>
          <w:rFonts w:cs="Arial"/>
          <w:sz w:val="18"/>
          <w:szCs w:val="18"/>
        </w:rPr>
        <w:t xml:space="preserve">40. </w:t>
      </w:r>
    </w:p>
  </w:endnote>
  <w:endnote w:id="89">
    <w:p w14:paraId="53F98B7D" w14:textId="4CB5FA71"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Avendano M, Berkman</w:t>
      </w:r>
      <w:r w:rsidR="00CB463F" w:rsidRPr="005039B3">
        <w:rPr>
          <w:rFonts w:cs="Arial"/>
          <w:sz w:val="18"/>
          <w:szCs w:val="18"/>
        </w:rPr>
        <w:t xml:space="preserve"> LF</w:t>
      </w:r>
      <w:r w:rsidR="00EE76A3" w:rsidRPr="005039B3">
        <w:rPr>
          <w:rFonts w:cs="Arial"/>
          <w:sz w:val="18"/>
          <w:szCs w:val="18"/>
        </w:rPr>
        <w:t xml:space="preserve"> (2014)</w:t>
      </w:r>
      <w:r w:rsidRPr="005039B3">
        <w:rPr>
          <w:rFonts w:cs="Arial"/>
          <w:sz w:val="18"/>
          <w:szCs w:val="18"/>
        </w:rPr>
        <w:t xml:space="preserve"> </w:t>
      </w:r>
      <w:hyperlink r:id="rId24" w:history="1">
        <w:r w:rsidRPr="005039B3">
          <w:rPr>
            <w:rStyle w:val="Hyperlink"/>
            <w:rFonts w:cs="Arial"/>
            <w:sz w:val="18"/>
            <w:szCs w:val="18"/>
          </w:rPr>
          <w:t>'Labor Markets, Employment Policies, and Health'</w:t>
        </w:r>
      </w:hyperlink>
      <w:r w:rsidRPr="005039B3">
        <w:rPr>
          <w:rFonts w:cs="Arial"/>
          <w:sz w:val="18"/>
          <w:szCs w:val="18"/>
        </w:rPr>
        <w:t xml:space="preserve">, </w:t>
      </w:r>
      <w:r w:rsidRPr="005039B3">
        <w:rPr>
          <w:rFonts w:cs="Arial"/>
          <w:i/>
          <w:iCs/>
          <w:sz w:val="18"/>
          <w:szCs w:val="18"/>
        </w:rPr>
        <w:t>Social Epidemiology</w:t>
      </w:r>
      <w:r w:rsidRPr="005039B3">
        <w:rPr>
          <w:rFonts w:cs="Arial"/>
          <w:sz w:val="18"/>
          <w:szCs w:val="18"/>
        </w:rPr>
        <w:t xml:space="preserve">, 2 edn </w:t>
      </w:r>
      <w:r w:rsidR="007E6BA4" w:rsidRPr="005039B3">
        <w:rPr>
          <w:rFonts w:cs="Arial"/>
          <w:sz w:val="18"/>
          <w:szCs w:val="18"/>
        </w:rPr>
        <w:t>&lt;</w:t>
      </w:r>
      <w:r w:rsidRPr="005039B3">
        <w:rPr>
          <w:rFonts w:cs="Arial"/>
          <w:sz w:val="18"/>
          <w:szCs w:val="18"/>
        </w:rPr>
        <w:t>https://doi.org/10.1093/med/9780195377903.003.0006</w:t>
      </w:r>
      <w:r w:rsidR="007E6BA4" w:rsidRPr="005039B3">
        <w:rPr>
          <w:rFonts w:cs="Arial"/>
          <w:sz w:val="18"/>
          <w:szCs w:val="18"/>
        </w:rPr>
        <w:t>&gt;</w:t>
      </w:r>
      <w:r w:rsidRPr="005039B3">
        <w:rPr>
          <w:rFonts w:cs="Arial"/>
          <w:sz w:val="18"/>
          <w:szCs w:val="18"/>
        </w:rPr>
        <w:t xml:space="preserve"> accessed 21 Mar</w:t>
      </w:r>
      <w:r w:rsidR="007E6BA4" w:rsidRPr="005039B3">
        <w:rPr>
          <w:rFonts w:cs="Arial"/>
          <w:sz w:val="18"/>
          <w:szCs w:val="18"/>
        </w:rPr>
        <w:t>ch</w:t>
      </w:r>
      <w:r w:rsidRPr="005039B3">
        <w:rPr>
          <w:rFonts w:cs="Arial"/>
          <w:sz w:val="18"/>
          <w:szCs w:val="18"/>
        </w:rPr>
        <w:t xml:space="preserve"> 2023.</w:t>
      </w:r>
    </w:p>
  </w:endnote>
  <w:endnote w:id="90">
    <w:p w14:paraId="1ABED221" w14:textId="742F7704"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9306D3" w:rsidRPr="005039B3">
        <w:rPr>
          <w:rFonts w:cs="Arial"/>
          <w:sz w:val="18"/>
          <w:szCs w:val="18"/>
        </w:rPr>
        <w:t>ABS</w:t>
      </w:r>
      <w:r w:rsidRPr="005039B3">
        <w:rPr>
          <w:rFonts w:cs="Arial"/>
          <w:sz w:val="18"/>
          <w:szCs w:val="18"/>
        </w:rPr>
        <w:t xml:space="preserve"> </w:t>
      </w:r>
      <w:r w:rsidR="00BC0553" w:rsidRPr="005039B3">
        <w:rPr>
          <w:rFonts w:cs="Arial"/>
          <w:sz w:val="18"/>
          <w:szCs w:val="18"/>
        </w:rPr>
        <w:t xml:space="preserve">(2019) </w:t>
      </w:r>
      <w:r w:rsidRPr="005039B3">
        <w:rPr>
          <w:rFonts w:cs="Arial"/>
          <w:i/>
          <w:iCs/>
          <w:sz w:val="18"/>
          <w:szCs w:val="18"/>
        </w:rPr>
        <w:t>Census of Population and Housing</w:t>
      </w:r>
      <w:r w:rsidRPr="005039B3">
        <w:rPr>
          <w:rFonts w:cs="Arial"/>
          <w:sz w:val="18"/>
          <w:szCs w:val="18"/>
        </w:rPr>
        <w:t xml:space="preserve">, Australian Government, Canberra. </w:t>
      </w:r>
    </w:p>
  </w:endnote>
  <w:endnote w:id="91">
    <w:p w14:paraId="6032AA3C" w14:textId="50C1A2C3"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Weida EB, Phojanakong P, Patel F, Chilton M</w:t>
      </w:r>
      <w:r w:rsidR="00BC0553" w:rsidRPr="005039B3">
        <w:rPr>
          <w:rFonts w:cs="Arial"/>
          <w:sz w:val="18"/>
          <w:szCs w:val="18"/>
        </w:rPr>
        <w:t xml:space="preserve"> (2020)</w:t>
      </w:r>
      <w:r w:rsidRPr="005039B3">
        <w:rPr>
          <w:rFonts w:cs="Arial"/>
          <w:sz w:val="18"/>
          <w:szCs w:val="18"/>
        </w:rPr>
        <w:t xml:space="preserve"> </w:t>
      </w:r>
      <w:r w:rsidR="00BC0553" w:rsidRPr="005039B3">
        <w:rPr>
          <w:rFonts w:cs="Arial"/>
          <w:sz w:val="18"/>
          <w:szCs w:val="18"/>
        </w:rPr>
        <w:t>‘</w:t>
      </w:r>
      <w:r w:rsidRPr="005039B3">
        <w:rPr>
          <w:rFonts w:cs="Arial"/>
          <w:sz w:val="18"/>
          <w:szCs w:val="18"/>
        </w:rPr>
        <w:t>Financial health as a measurable social determinant of health</w:t>
      </w:r>
      <w:r w:rsidR="00BC0553" w:rsidRPr="005039B3">
        <w:rPr>
          <w:rFonts w:cs="Arial"/>
          <w:sz w:val="18"/>
          <w:szCs w:val="18"/>
        </w:rPr>
        <w:t>’,</w:t>
      </w:r>
      <w:r w:rsidRPr="005039B3">
        <w:rPr>
          <w:rFonts w:cs="Arial"/>
          <w:sz w:val="18"/>
          <w:szCs w:val="18"/>
        </w:rPr>
        <w:t xml:space="preserve"> </w:t>
      </w:r>
      <w:r w:rsidRPr="005039B3">
        <w:rPr>
          <w:rFonts w:cs="Arial"/>
          <w:i/>
          <w:iCs/>
          <w:sz w:val="18"/>
          <w:szCs w:val="18"/>
        </w:rPr>
        <w:t>PLoS One</w:t>
      </w:r>
      <w:r w:rsidR="001017DA" w:rsidRPr="005039B3">
        <w:rPr>
          <w:rFonts w:cs="Arial"/>
          <w:sz w:val="18"/>
          <w:szCs w:val="18"/>
        </w:rPr>
        <w:t xml:space="preserve"> </w:t>
      </w:r>
      <w:r w:rsidRPr="005039B3">
        <w:rPr>
          <w:rFonts w:cs="Arial"/>
          <w:sz w:val="18"/>
          <w:szCs w:val="18"/>
        </w:rPr>
        <w:t xml:space="preserve">15(5):e0233359. </w:t>
      </w:r>
    </w:p>
  </w:endnote>
  <w:endnote w:id="92">
    <w:p w14:paraId="12AE40D7" w14:textId="6DFDB559"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Beyond Blue </w:t>
      </w:r>
      <w:r w:rsidR="001017DA" w:rsidRPr="005039B3">
        <w:rPr>
          <w:rFonts w:cs="Arial"/>
          <w:sz w:val="18"/>
          <w:szCs w:val="18"/>
        </w:rPr>
        <w:t>(</w:t>
      </w:r>
      <w:r w:rsidRPr="005039B3">
        <w:rPr>
          <w:rFonts w:cs="Arial"/>
          <w:sz w:val="18"/>
          <w:szCs w:val="18"/>
        </w:rPr>
        <w:t>2022</w:t>
      </w:r>
      <w:r w:rsidR="001017DA" w:rsidRPr="005039B3">
        <w:rPr>
          <w:rFonts w:cs="Arial"/>
          <w:sz w:val="18"/>
          <w:szCs w:val="18"/>
        </w:rPr>
        <w:t>)</w:t>
      </w:r>
      <w:r w:rsidRPr="005039B3">
        <w:rPr>
          <w:rFonts w:cs="Arial"/>
          <w:sz w:val="18"/>
          <w:szCs w:val="18"/>
        </w:rPr>
        <w:t xml:space="preserve"> </w:t>
      </w:r>
      <w:r w:rsidR="00994DD5" w:rsidRPr="005039B3">
        <w:rPr>
          <w:i/>
          <w:iCs/>
          <w:sz w:val="18"/>
          <w:szCs w:val="18"/>
        </w:rPr>
        <w:t>Money and Mental Health Social Research Report</w:t>
      </w:r>
      <w:r w:rsidRPr="005039B3">
        <w:rPr>
          <w:rFonts w:cs="Arial"/>
          <w:sz w:val="18"/>
          <w:szCs w:val="18"/>
        </w:rPr>
        <w:t xml:space="preserve">, Heartward Strategic. </w:t>
      </w:r>
    </w:p>
  </w:endnote>
  <w:endnote w:id="93">
    <w:p w14:paraId="6A6D267C" w14:textId="725B099F"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Radimer K (2002) </w:t>
      </w:r>
      <w:r w:rsidR="000668CE" w:rsidRPr="005039B3">
        <w:rPr>
          <w:rFonts w:cs="Arial"/>
          <w:sz w:val="18"/>
          <w:szCs w:val="18"/>
        </w:rPr>
        <w:t>‘</w:t>
      </w:r>
      <w:r w:rsidRPr="005039B3">
        <w:rPr>
          <w:rFonts w:cs="Arial"/>
          <w:sz w:val="18"/>
          <w:szCs w:val="18"/>
        </w:rPr>
        <w:t>Measurement of household food security in the USA and other industrialized countries</w:t>
      </w:r>
      <w:r w:rsidR="000668CE" w:rsidRPr="005039B3">
        <w:rPr>
          <w:rFonts w:cs="Arial"/>
          <w:sz w:val="18"/>
          <w:szCs w:val="18"/>
        </w:rPr>
        <w:t>’,</w:t>
      </w:r>
      <w:r w:rsidRPr="005039B3">
        <w:rPr>
          <w:rFonts w:cs="Arial"/>
          <w:sz w:val="18"/>
          <w:szCs w:val="18"/>
        </w:rPr>
        <w:t xml:space="preserve"> </w:t>
      </w:r>
      <w:r w:rsidRPr="005039B3">
        <w:rPr>
          <w:rFonts w:cs="Arial"/>
          <w:i/>
          <w:iCs/>
          <w:sz w:val="18"/>
          <w:szCs w:val="18"/>
        </w:rPr>
        <w:t>Public Health Nutrition</w:t>
      </w:r>
      <w:r w:rsidRPr="005039B3">
        <w:rPr>
          <w:rFonts w:cs="Arial"/>
          <w:sz w:val="18"/>
          <w:szCs w:val="18"/>
        </w:rPr>
        <w:t>, 5(6A)</w:t>
      </w:r>
      <w:r w:rsidR="000668CE" w:rsidRPr="005039B3">
        <w:rPr>
          <w:rFonts w:cs="Arial"/>
          <w:sz w:val="18"/>
          <w:szCs w:val="18"/>
        </w:rPr>
        <w:t>:</w:t>
      </w:r>
      <w:r w:rsidRPr="005039B3">
        <w:rPr>
          <w:rFonts w:cs="Arial"/>
          <w:sz w:val="18"/>
          <w:szCs w:val="18"/>
        </w:rPr>
        <w:t>859</w:t>
      </w:r>
      <w:r w:rsidR="000668CE" w:rsidRPr="005039B3">
        <w:rPr>
          <w:rFonts w:cs="Arial"/>
          <w:sz w:val="18"/>
          <w:szCs w:val="18"/>
        </w:rPr>
        <w:t>–</w:t>
      </w:r>
      <w:r w:rsidRPr="005039B3">
        <w:rPr>
          <w:rFonts w:cs="Arial"/>
          <w:sz w:val="18"/>
          <w:szCs w:val="18"/>
        </w:rPr>
        <w:t>864.</w:t>
      </w:r>
    </w:p>
  </w:endnote>
  <w:endnote w:id="94">
    <w:p w14:paraId="7657BC07" w14:textId="5DC733F3"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Burns C (2004) </w:t>
      </w:r>
      <w:r w:rsidRPr="005039B3">
        <w:rPr>
          <w:rFonts w:cs="Arial"/>
          <w:i/>
          <w:iCs/>
          <w:sz w:val="18"/>
          <w:szCs w:val="18"/>
        </w:rPr>
        <w:t>A review of the literature describing the link between poverty, food insecurity and obesity with specific reference to Australia</w:t>
      </w:r>
      <w:r w:rsidR="00BC260A" w:rsidRPr="005039B3">
        <w:rPr>
          <w:rFonts w:cs="Arial"/>
          <w:sz w:val="18"/>
          <w:szCs w:val="18"/>
        </w:rPr>
        <w:t>,</w:t>
      </w:r>
      <w:r w:rsidRPr="005039B3">
        <w:rPr>
          <w:rFonts w:cs="Arial"/>
          <w:sz w:val="18"/>
          <w:szCs w:val="18"/>
        </w:rPr>
        <w:t xml:space="preserve"> Victorian Health Promotion Foundation.</w:t>
      </w:r>
    </w:p>
  </w:endnote>
  <w:endnote w:id="95">
    <w:p w14:paraId="5774C7B3" w14:textId="00ED8E0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Flood M </w:t>
      </w:r>
      <w:r w:rsidR="00813C6B" w:rsidRPr="005039B3">
        <w:rPr>
          <w:rFonts w:cs="Arial"/>
          <w:sz w:val="18"/>
          <w:szCs w:val="18"/>
        </w:rPr>
        <w:t>(</w:t>
      </w:r>
      <w:r w:rsidRPr="005039B3">
        <w:rPr>
          <w:rFonts w:cs="Arial"/>
          <w:sz w:val="18"/>
          <w:szCs w:val="18"/>
        </w:rPr>
        <w:t>2005</w:t>
      </w:r>
      <w:r w:rsidR="00813C6B" w:rsidRPr="005039B3">
        <w:rPr>
          <w:rFonts w:cs="Arial"/>
          <w:sz w:val="18"/>
          <w:szCs w:val="18"/>
        </w:rPr>
        <w:t>)</w:t>
      </w:r>
      <w:r w:rsidRPr="005039B3">
        <w:rPr>
          <w:rFonts w:cs="Arial"/>
          <w:sz w:val="18"/>
          <w:szCs w:val="18"/>
        </w:rPr>
        <w:t xml:space="preserve"> </w:t>
      </w:r>
      <w:r w:rsidRPr="005039B3">
        <w:rPr>
          <w:rFonts w:cs="Arial"/>
          <w:i/>
          <w:iCs/>
          <w:sz w:val="18"/>
          <w:szCs w:val="18"/>
        </w:rPr>
        <w:t>Mapping Loneliness in Australia</w:t>
      </w:r>
      <w:r w:rsidRPr="005039B3">
        <w:rPr>
          <w:rFonts w:cs="Arial"/>
          <w:sz w:val="18"/>
          <w:szCs w:val="18"/>
        </w:rPr>
        <w:t xml:space="preserve">, The Australia Institute, Canberra. </w:t>
      </w:r>
    </w:p>
  </w:endnote>
  <w:endnote w:id="96">
    <w:p w14:paraId="1A999D60" w14:textId="20338B09"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Baker D </w:t>
      </w:r>
      <w:r w:rsidR="00813C6B" w:rsidRPr="005039B3">
        <w:rPr>
          <w:rFonts w:cs="Arial"/>
          <w:sz w:val="18"/>
          <w:szCs w:val="18"/>
        </w:rPr>
        <w:t>(</w:t>
      </w:r>
      <w:r w:rsidRPr="005039B3">
        <w:rPr>
          <w:rFonts w:cs="Arial"/>
          <w:sz w:val="18"/>
          <w:szCs w:val="18"/>
        </w:rPr>
        <w:t>2012</w:t>
      </w:r>
      <w:r w:rsidR="00813C6B" w:rsidRPr="005039B3">
        <w:rPr>
          <w:rFonts w:cs="Arial"/>
          <w:sz w:val="18"/>
          <w:szCs w:val="18"/>
        </w:rPr>
        <w:t>)</w:t>
      </w:r>
      <w:r w:rsidRPr="005039B3">
        <w:rPr>
          <w:rFonts w:cs="Arial"/>
          <w:sz w:val="18"/>
          <w:szCs w:val="18"/>
        </w:rPr>
        <w:t xml:space="preserve"> </w:t>
      </w:r>
      <w:r w:rsidRPr="005039B3">
        <w:rPr>
          <w:rFonts w:cs="Arial"/>
          <w:i/>
          <w:iCs/>
          <w:sz w:val="18"/>
          <w:szCs w:val="18"/>
        </w:rPr>
        <w:t>All the Lonely people: Loneliness in Australia, 2001</w:t>
      </w:r>
      <w:r w:rsidR="00813C6B" w:rsidRPr="005039B3">
        <w:rPr>
          <w:rFonts w:cs="Arial"/>
          <w:i/>
          <w:iCs/>
          <w:sz w:val="18"/>
          <w:szCs w:val="18"/>
        </w:rPr>
        <w:t>–</w:t>
      </w:r>
      <w:r w:rsidRPr="005039B3">
        <w:rPr>
          <w:rFonts w:cs="Arial"/>
          <w:i/>
          <w:iCs/>
          <w:sz w:val="18"/>
          <w:szCs w:val="18"/>
        </w:rPr>
        <w:t>2009</w:t>
      </w:r>
      <w:r w:rsidRPr="005039B3">
        <w:rPr>
          <w:rFonts w:cs="Arial"/>
          <w:sz w:val="18"/>
          <w:szCs w:val="18"/>
        </w:rPr>
        <w:t xml:space="preserve">, The Australia Institute, Canberra. </w:t>
      </w:r>
    </w:p>
  </w:endnote>
  <w:endnote w:id="97">
    <w:p w14:paraId="2B1C3C62" w14:textId="528DA3DA"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Shepherd SM, Delgado RH, Sherwood J</w:t>
      </w:r>
      <w:r w:rsidR="002223E7" w:rsidRPr="005039B3">
        <w:rPr>
          <w:rFonts w:cs="Arial"/>
          <w:sz w:val="18"/>
          <w:szCs w:val="18"/>
        </w:rPr>
        <w:t>,</w:t>
      </w:r>
      <w:r w:rsidRPr="005039B3">
        <w:rPr>
          <w:rFonts w:cs="Arial"/>
          <w:sz w:val="18"/>
          <w:szCs w:val="18"/>
        </w:rPr>
        <w:t xml:space="preserve"> et al. </w:t>
      </w:r>
      <w:r w:rsidR="002223E7" w:rsidRPr="005039B3">
        <w:rPr>
          <w:rFonts w:cs="Arial"/>
          <w:sz w:val="18"/>
          <w:szCs w:val="18"/>
        </w:rPr>
        <w:t xml:space="preserve">(2018) </w:t>
      </w:r>
      <w:r w:rsidR="009C1E00" w:rsidRPr="005039B3">
        <w:rPr>
          <w:rFonts w:cs="Arial"/>
          <w:sz w:val="18"/>
          <w:szCs w:val="18"/>
        </w:rPr>
        <w:t>‘</w:t>
      </w:r>
      <w:hyperlink r:id="rId25" w:history="1">
        <w:r w:rsidRPr="005039B3">
          <w:rPr>
            <w:rStyle w:val="Hyperlink"/>
            <w:rFonts w:cs="Arial"/>
            <w:sz w:val="18"/>
            <w:szCs w:val="18"/>
          </w:rPr>
          <w:t>The impact of indigenous cultural identity and cultural engagement on violent offending</w:t>
        </w:r>
      </w:hyperlink>
      <w:r w:rsidR="009C1E00" w:rsidRPr="005039B3">
        <w:rPr>
          <w:rFonts w:cs="Arial"/>
          <w:sz w:val="18"/>
          <w:szCs w:val="18"/>
        </w:rPr>
        <w:t>’,</w:t>
      </w:r>
      <w:r w:rsidRPr="005039B3">
        <w:rPr>
          <w:rFonts w:cs="Arial"/>
          <w:sz w:val="18"/>
          <w:szCs w:val="18"/>
        </w:rPr>
        <w:t xml:space="preserve"> </w:t>
      </w:r>
      <w:r w:rsidRPr="005039B3">
        <w:rPr>
          <w:rFonts w:cs="Arial"/>
          <w:i/>
          <w:iCs/>
          <w:sz w:val="18"/>
          <w:szCs w:val="18"/>
        </w:rPr>
        <w:t>BMC Public Health</w:t>
      </w:r>
      <w:r w:rsidRPr="005039B3">
        <w:rPr>
          <w:rFonts w:cs="Arial"/>
          <w:sz w:val="18"/>
          <w:szCs w:val="18"/>
        </w:rPr>
        <w:t xml:space="preserve"> 18</w:t>
      </w:r>
      <w:r w:rsidR="00662553" w:rsidRPr="005039B3">
        <w:rPr>
          <w:rFonts w:cs="Arial"/>
          <w:sz w:val="18"/>
          <w:szCs w:val="18"/>
        </w:rPr>
        <w:t>(</w:t>
      </w:r>
      <w:r w:rsidRPr="005039B3">
        <w:rPr>
          <w:rFonts w:cs="Arial"/>
          <w:sz w:val="18"/>
          <w:szCs w:val="18"/>
        </w:rPr>
        <w:t>50</w:t>
      </w:r>
      <w:r w:rsidR="00662553" w:rsidRPr="005039B3">
        <w:rPr>
          <w:rFonts w:cs="Arial"/>
          <w:sz w:val="18"/>
          <w:szCs w:val="18"/>
        </w:rPr>
        <w:t>)</w:t>
      </w:r>
      <w:r w:rsidRPr="005039B3">
        <w:rPr>
          <w:rFonts w:cs="Arial"/>
          <w:sz w:val="18"/>
          <w:szCs w:val="18"/>
        </w:rPr>
        <w:t xml:space="preserve"> </w:t>
      </w:r>
      <w:r w:rsidR="00BE22F1" w:rsidRPr="005039B3">
        <w:rPr>
          <w:rFonts w:cs="Arial"/>
          <w:sz w:val="18"/>
          <w:szCs w:val="18"/>
        </w:rPr>
        <w:t>&lt;</w:t>
      </w:r>
      <w:r w:rsidRPr="005039B3">
        <w:rPr>
          <w:rFonts w:cs="Arial"/>
          <w:sz w:val="18"/>
          <w:szCs w:val="18"/>
        </w:rPr>
        <w:t>https://doi.org/10.1186/s12889-017-4603-2</w:t>
      </w:r>
      <w:r w:rsidR="00BE22F1" w:rsidRPr="005039B3">
        <w:rPr>
          <w:rFonts w:cs="Arial"/>
          <w:sz w:val="18"/>
          <w:szCs w:val="18"/>
        </w:rPr>
        <w:t xml:space="preserve">&gt; accessed </w:t>
      </w:r>
      <w:r w:rsidR="00446FC3" w:rsidRPr="005039B3">
        <w:rPr>
          <w:rFonts w:cs="Arial"/>
          <w:sz w:val="18"/>
          <w:szCs w:val="18"/>
        </w:rPr>
        <w:t>14</w:t>
      </w:r>
      <w:r w:rsidR="00BE22F1" w:rsidRPr="005039B3">
        <w:rPr>
          <w:rFonts w:cs="Arial"/>
          <w:sz w:val="18"/>
          <w:szCs w:val="18"/>
        </w:rPr>
        <w:t xml:space="preserve"> </w:t>
      </w:r>
      <w:r w:rsidR="00446FC3" w:rsidRPr="005039B3">
        <w:rPr>
          <w:rFonts w:cs="Arial"/>
          <w:sz w:val="18"/>
          <w:szCs w:val="18"/>
        </w:rPr>
        <w:t>Novem</w:t>
      </w:r>
      <w:r w:rsidR="00BE22F1" w:rsidRPr="005039B3">
        <w:rPr>
          <w:rFonts w:cs="Arial"/>
          <w:sz w:val="18"/>
          <w:szCs w:val="18"/>
        </w:rPr>
        <w:t>ber 2023</w:t>
      </w:r>
      <w:r w:rsidR="00446FC3" w:rsidRPr="005039B3">
        <w:rPr>
          <w:rFonts w:cs="Arial"/>
          <w:sz w:val="18"/>
          <w:szCs w:val="18"/>
        </w:rPr>
        <w:t>.</w:t>
      </w:r>
    </w:p>
  </w:endnote>
  <w:endnote w:id="98">
    <w:p w14:paraId="75454601" w14:textId="0222D368"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Human Services </w:t>
      </w:r>
      <w:r w:rsidR="00446FC3" w:rsidRPr="005039B3">
        <w:rPr>
          <w:rFonts w:cs="Arial"/>
          <w:sz w:val="18"/>
          <w:szCs w:val="18"/>
        </w:rPr>
        <w:t>(</w:t>
      </w:r>
      <w:r w:rsidRPr="005039B3">
        <w:rPr>
          <w:rFonts w:cs="Arial"/>
          <w:sz w:val="18"/>
          <w:szCs w:val="18"/>
        </w:rPr>
        <w:t>2017</w:t>
      </w:r>
      <w:r w:rsidR="00446FC3" w:rsidRPr="005039B3">
        <w:rPr>
          <w:rFonts w:cs="Arial"/>
          <w:sz w:val="18"/>
          <w:szCs w:val="18"/>
        </w:rPr>
        <w:t>)</w:t>
      </w:r>
      <w:r w:rsidRPr="005039B3">
        <w:rPr>
          <w:rFonts w:cs="Arial"/>
          <w:sz w:val="18"/>
          <w:szCs w:val="18"/>
        </w:rPr>
        <w:t xml:space="preserve"> </w:t>
      </w:r>
      <w:r w:rsidRPr="005039B3">
        <w:rPr>
          <w:rFonts w:cs="Arial"/>
          <w:i/>
          <w:iCs/>
          <w:sz w:val="18"/>
          <w:szCs w:val="18"/>
        </w:rPr>
        <w:t>Racism in Victoria and what it means for the health of Victorians</w:t>
      </w:r>
      <w:r w:rsidRPr="005039B3">
        <w:rPr>
          <w:rFonts w:cs="Arial"/>
          <w:sz w:val="18"/>
          <w:szCs w:val="18"/>
        </w:rPr>
        <w:t>, State Government of Victoria, Melbourne</w:t>
      </w:r>
    </w:p>
  </w:endnote>
  <w:endnote w:id="99">
    <w:p w14:paraId="32402BA7" w14:textId="1BC595EF"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and Department of Families, Fairness and Housing </w:t>
      </w:r>
      <w:r w:rsidR="00A80D08" w:rsidRPr="005039B3">
        <w:rPr>
          <w:rFonts w:cs="Arial"/>
          <w:sz w:val="18"/>
          <w:szCs w:val="18"/>
        </w:rPr>
        <w:t>(</w:t>
      </w:r>
      <w:r w:rsidRPr="005039B3">
        <w:rPr>
          <w:rFonts w:cs="Arial"/>
          <w:sz w:val="18"/>
          <w:szCs w:val="18"/>
        </w:rPr>
        <w:t>2022</w:t>
      </w:r>
      <w:r w:rsidR="00A80D08" w:rsidRPr="005039B3">
        <w:rPr>
          <w:rFonts w:cs="Arial"/>
          <w:sz w:val="18"/>
          <w:szCs w:val="18"/>
        </w:rPr>
        <w:t>)</w:t>
      </w:r>
      <w:r w:rsidRPr="005039B3">
        <w:rPr>
          <w:rFonts w:cs="Arial"/>
          <w:sz w:val="18"/>
          <w:szCs w:val="18"/>
        </w:rPr>
        <w:t xml:space="preserve"> </w:t>
      </w:r>
      <w:r w:rsidRPr="005039B3">
        <w:rPr>
          <w:rFonts w:cs="Arial"/>
          <w:i/>
          <w:iCs/>
          <w:sz w:val="18"/>
          <w:szCs w:val="18"/>
        </w:rPr>
        <w:t>Health and Human Services Climate Change Adaptation Action Plan 2022</w:t>
      </w:r>
      <w:r w:rsidR="00A80D08" w:rsidRPr="005039B3">
        <w:rPr>
          <w:rFonts w:cs="Arial"/>
          <w:i/>
          <w:iCs/>
          <w:sz w:val="18"/>
          <w:szCs w:val="18"/>
        </w:rPr>
        <w:t>–</w:t>
      </w:r>
      <w:r w:rsidRPr="005039B3">
        <w:rPr>
          <w:rFonts w:cs="Arial"/>
          <w:i/>
          <w:iCs/>
          <w:sz w:val="18"/>
          <w:szCs w:val="18"/>
        </w:rPr>
        <w:t>2026</w:t>
      </w:r>
      <w:r w:rsidRPr="005039B3">
        <w:rPr>
          <w:rFonts w:cs="Arial"/>
          <w:sz w:val="18"/>
          <w:szCs w:val="18"/>
        </w:rPr>
        <w:t>, State Government of Victoria, Melbourne</w:t>
      </w:r>
    </w:p>
  </w:endnote>
  <w:endnote w:id="100">
    <w:p w14:paraId="68AA8685" w14:textId="180AE500"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CSIRO and The Bureau of Meteorology </w:t>
      </w:r>
      <w:r w:rsidR="00A80D08" w:rsidRPr="005039B3">
        <w:rPr>
          <w:rFonts w:cs="Arial"/>
          <w:sz w:val="18"/>
          <w:szCs w:val="18"/>
        </w:rPr>
        <w:t>(</w:t>
      </w:r>
      <w:r w:rsidRPr="005039B3">
        <w:rPr>
          <w:rFonts w:cs="Arial"/>
          <w:sz w:val="18"/>
          <w:szCs w:val="18"/>
        </w:rPr>
        <w:t>2022</w:t>
      </w:r>
      <w:r w:rsidR="00A80D08" w:rsidRPr="005039B3">
        <w:rPr>
          <w:rFonts w:cs="Arial"/>
          <w:sz w:val="18"/>
          <w:szCs w:val="18"/>
        </w:rPr>
        <w:t>)</w:t>
      </w:r>
      <w:r w:rsidRPr="005039B3">
        <w:rPr>
          <w:rFonts w:cs="Arial"/>
          <w:sz w:val="18"/>
          <w:szCs w:val="18"/>
        </w:rPr>
        <w:t xml:space="preserve"> </w:t>
      </w:r>
      <w:hyperlink r:id="rId26" w:history="1">
        <w:r w:rsidRPr="005039B3">
          <w:rPr>
            <w:rStyle w:val="Hyperlink"/>
            <w:i/>
            <w:iCs/>
            <w:sz w:val="18"/>
            <w:szCs w:val="18"/>
          </w:rPr>
          <w:t>State of the Climate 2022</w:t>
        </w:r>
      </w:hyperlink>
      <w:r w:rsidRPr="005039B3">
        <w:rPr>
          <w:rFonts w:cs="Arial"/>
          <w:sz w:val="18"/>
          <w:szCs w:val="18"/>
        </w:rPr>
        <w:t xml:space="preserve"> </w:t>
      </w:r>
      <w:r w:rsidR="008B77D4" w:rsidRPr="005039B3">
        <w:rPr>
          <w:rFonts w:cs="Arial"/>
          <w:sz w:val="18"/>
          <w:szCs w:val="18"/>
        </w:rPr>
        <w:t>&lt;http://www.bom.gov.au/state-of-the-climate&gt;</w:t>
      </w:r>
      <w:r w:rsidRPr="005039B3">
        <w:rPr>
          <w:rFonts w:cs="Arial"/>
          <w:sz w:val="18"/>
          <w:szCs w:val="18"/>
        </w:rPr>
        <w:t xml:space="preserve">, </w:t>
      </w:r>
      <w:r w:rsidR="008B77D4" w:rsidRPr="005039B3">
        <w:rPr>
          <w:rFonts w:cs="Arial"/>
          <w:sz w:val="18"/>
          <w:szCs w:val="18"/>
        </w:rPr>
        <w:t>a</w:t>
      </w:r>
      <w:r w:rsidRPr="005039B3">
        <w:rPr>
          <w:rFonts w:cs="Arial"/>
          <w:sz w:val="18"/>
          <w:szCs w:val="18"/>
        </w:rPr>
        <w:t xml:space="preserve">ccessed 14 </w:t>
      </w:r>
      <w:r w:rsidR="0095358A" w:rsidRPr="005039B3">
        <w:rPr>
          <w:rFonts w:cs="Arial"/>
          <w:sz w:val="18"/>
          <w:szCs w:val="18"/>
        </w:rPr>
        <w:t>November</w:t>
      </w:r>
      <w:r w:rsidRPr="005039B3">
        <w:rPr>
          <w:rFonts w:cs="Arial"/>
          <w:sz w:val="18"/>
          <w:szCs w:val="18"/>
        </w:rPr>
        <w:t xml:space="preserve"> 2023.</w:t>
      </w:r>
    </w:p>
  </w:endnote>
  <w:endnote w:id="101">
    <w:p w14:paraId="70F77E78" w14:textId="54F182C9"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Clarke JM, Grose M, Thatcher M, </w:t>
      </w:r>
      <w:r w:rsidR="0095358A" w:rsidRPr="005039B3">
        <w:rPr>
          <w:rFonts w:cs="Arial"/>
          <w:sz w:val="18"/>
          <w:szCs w:val="18"/>
        </w:rPr>
        <w:t>et al.</w:t>
      </w:r>
      <w:r w:rsidRPr="005039B3">
        <w:rPr>
          <w:rFonts w:cs="Arial"/>
          <w:sz w:val="18"/>
          <w:szCs w:val="18"/>
        </w:rPr>
        <w:t xml:space="preserve"> </w:t>
      </w:r>
      <w:r w:rsidR="0095358A" w:rsidRPr="005039B3">
        <w:rPr>
          <w:rFonts w:cs="Arial"/>
          <w:sz w:val="18"/>
          <w:szCs w:val="18"/>
        </w:rPr>
        <w:t>(</w:t>
      </w:r>
      <w:r w:rsidRPr="005039B3">
        <w:rPr>
          <w:rFonts w:cs="Arial"/>
          <w:sz w:val="18"/>
          <w:szCs w:val="18"/>
        </w:rPr>
        <w:t>2019</w:t>
      </w:r>
      <w:r w:rsidR="0095358A" w:rsidRPr="005039B3">
        <w:rPr>
          <w:rFonts w:cs="Arial"/>
          <w:sz w:val="18"/>
          <w:szCs w:val="18"/>
        </w:rPr>
        <w:t>)</w:t>
      </w:r>
      <w:r w:rsidRPr="005039B3">
        <w:rPr>
          <w:rFonts w:cs="Arial"/>
          <w:sz w:val="18"/>
          <w:szCs w:val="18"/>
        </w:rPr>
        <w:t xml:space="preserve"> </w:t>
      </w:r>
      <w:r w:rsidR="0095358A" w:rsidRPr="005039B3">
        <w:rPr>
          <w:rFonts w:cs="Arial"/>
          <w:sz w:val="18"/>
          <w:szCs w:val="18"/>
        </w:rPr>
        <w:t>‘</w:t>
      </w:r>
      <w:r w:rsidRPr="005039B3">
        <w:rPr>
          <w:rFonts w:cs="Arial"/>
          <w:sz w:val="18"/>
          <w:szCs w:val="18"/>
        </w:rPr>
        <w:t>Victorian Climate Projections 2019 Technical Report</w:t>
      </w:r>
      <w:r w:rsidR="0095358A" w:rsidRPr="005039B3">
        <w:rPr>
          <w:rFonts w:cs="Arial"/>
          <w:sz w:val="18"/>
          <w:szCs w:val="18"/>
        </w:rPr>
        <w:t>’,</w:t>
      </w:r>
      <w:r w:rsidRPr="005039B3">
        <w:rPr>
          <w:rFonts w:cs="Arial"/>
          <w:sz w:val="18"/>
          <w:szCs w:val="18"/>
        </w:rPr>
        <w:t xml:space="preserve"> </w:t>
      </w:r>
      <w:r w:rsidRPr="005039B3">
        <w:rPr>
          <w:rFonts w:cs="Arial"/>
          <w:i/>
          <w:iCs/>
          <w:sz w:val="18"/>
          <w:szCs w:val="18"/>
        </w:rPr>
        <w:t>CSIRO</w:t>
      </w:r>
      <w:r w:rsidRPr="005039B3">
        <w:rPr>
          <w:rFonts w:cs="Arial"/>
          <w:sz w:val="18"/>
          <w:szCs w:val="18"/>
        </w:rPr>
        <w:t>, Melbourne Australia.</w:t>
      </w:r>
    </w:p>
  </w:endnote>
  <w:endnote w:id="102">
    <w:p w14:paraId="61BBBFD9" w14:textId="2980774F"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Environment, Land, Water and Planning </w:t>
      </w:r>
      <w:r w:rsidR="00D4382C" w:rsidRPr="005039B3">
        <w:rPr>
          <w:rFonts w:cs="Arial"/>
          <w:sz w:val="18"/>
          <w:szCs w:val="18"/>
        </w:rPr>
        <w:t>(</w:t>
      </w:r>
      <w:r w:rsidRPr="005039B3">
        <w:rPr>
          <w:rFonts w:cs="Arial"/>
          <w:sz w:val="18"/>
          <w:szCs w:val="18"/>
        </w:rPr>
        <w:t>2019</w:t>
      </w:r>
      <w:r w:rsidR="00D4382C" w:rsidRPr="005039B3">
        <w:rPr>
          <w:rFonts w:cs="Arial"/>
          <w:sz w:val="18"/>
          <w:szCs w:val="18"/>
        </w:rPr>
        <w:t>)</w:t>
      </w:r>
      <w:r w:rsidRPr="005039B3">
        <w:rPr>
          <w:rFonts w:cs="Arial"/>
          <w:sz w:val="18"/>
          <w:szCs w:val="18"/>
        </w:rPr>
        <w:t xml:space="preserve"> </w:t>
      </w:r>
      <w:hyperlink r:id="rId27" w:history="1">
        <w:r w:rsidRPr="005039B3">
          <w:rPr>
            <w:rStyle w:val="Hyperlink"/>
            <w:i/>
            <w:iCs/>
            <w:sz w:val="18"/>
            <w:szCs w:val="18"/>
          </w:rPr>
          <w:t>Victoria’s Climate Science Report 2019</w:t>
        </w:r>
      </w:hyperlink>
      <w:r w:rsidRPr="005039B3">
        <w:rPr>
          <w:rFonts w:cs="Arial"/>
          <w:sz w:val="18"/>
          <w:szCs w:val="18"/>
        </w:rPr>
        <w:t xml:space="preserve">, </w:t>
      </w:r>
      <w:r w:rsidR="00A05576" w:rsidRPr="005039B3">
        <w:rPr>
          <w:rFonts w:cs="Arial"/>
          <w:sz w:val="18"/>
          <w:szCs w:val="18"/>
        </w:rPr>
        <w:t>&lt;https://www.climatechange.vic.gov.au/victorias-changing-climate&gt; a</w:t>
      </w:r>
      <w:r w:rsidRPr="005039B3">
        <w:rPr>
          <w:rFonts w:cs="Arial"/>
          <w:sz w:val="18"/>
          <w:szCs w:val="18"/>
        </w:rPr>
        <w:t>ccessed</w:t>
      </w:r>
      <w:r w:rsidR="00A05576" w:rsidRPr="005039B3">
        <w:rPr>
          <w:rFonts w:cs="Arial"/>
          <w:sz w:val="18"/>
          <w:szCs w:val="18"/>
        </w:rPr>
        <w:t xml:space="preserve"> 14 November</w:t>
      </w:r>
      <w:r w:rsidRPr="005039B3">
        <w:rPr>
          <w:rFonts w:cs="Arial"/>
          <w:sz w:val="18"/>
          <w:szCs w:val="18"/>
        </w:rPr>
        <w:t xml:space="preserve"> 2023. </w:t>
      </w:r>
    </w:p>
  </w:endnote>
  <w:endnote w:id="103">
    <w:p w14:paraId="7ABBC437" w14:textId="67F2DDD2"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5A356C" w:rsidRPr="005039B3">
        <w:rPr>
          <w:rFonts w:cs="Arial"/>
          <w:sz w:val="18"/>
          <w:szCs w:val="18"/>
        </w:rPr>
        <w:t xml:space="preserve">Department of Environment, Land, Water and Planning (2019) </w:t>
      </w:r>
      <w:hyperlink r:id="rId28" w:history="1">
        <w:r w:rsidR="005A356C" w:rsidRPr="005039B3">
          <w:rPr>
            <w:rStyle w:val="Hyperlink"/>
            <w:rFonts w:cs="Arial"/>
            <w:i/>
            <w:iCs/>
            <w:sz w:val="18"/>
            <w:szCs w:val="18"/>
          </w:rPr>
          <w:t>Victoria’s Climate Science Report 2019</w:t>
        </w:r>
      </w:hyperlink>
      <w:r w:rsidR="005A356C" w:rsidRPr="005039B3">
        <w:rPr>
          <w:rFonts w:cs="Arial"/>
          <w:sz w:val="18"/>
          <w:szCs w:val="18"/>
        </w:rPr>
        <w:t xml:space="preserve">, &lt;https://www.climatechange.vic.gov.au/victorias-changing-climate&gt; accessed 14 November 2023. </w:t>
      </w:r>
    </w:p>
  </w:endnote>
  <w:endnote w:id="104">
    <w:p w14:paraId="2DC7CD65" w14:textId="7A6E1DF7" w:rsidR="00617F78" w:rsidRPr="005039B3" w:rsidRDefault="00617F78" w:rsidP="00E31E2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00AB11AC" w:rsidRPr="005039B3">
        <w:rPr>
          <w:rFonts w:cs="Arial"/>
          <w:sz w:val="18"/>
          <w:szCs w:val="18"/>
        </w:rPr>
        <w:t xml:space="preserve">Department of Industry, Science, Energy and Resources (2022) </w:t>
      </w:r>
      <w:hyperlink r:id="rId29" w:history="1">
        <w:r w:rsidRPr="005039B3">
          <w:rPr>
            <w:rStyle w:val="Hyperlink"/>
            <w:i/>
            <w:iCs/>
            <w:sz w:val="18"/>
            <w:szCs w:val="18"/>
          </w:rPr>
          <w:t xml:space="preserve">Australian Energy Statistics </w:t>
        </w:r>
        <w:r w:rsidRPr="005039B3">
          <w:rPr>
            <w:rStyle w:val="Hyperlink"/>
            <w:rFonts w:cs="Arial"/>
            <w:i/>
            <w:iCs/>
            <w:sz w:val="18"/>
            <w:szCs w:val="18"/>
          </w:rPr>
          <w:t>Table O, Electricity generation by fuel type</w:t>
        </w:r>
      </w:hyperlink>
      <w:r w:rsidRPr="005039B3">
        <w:rPr>
          <w:rFonts w:cs="Arial"/>
          <w:sz w:val="18"/>
          <w:szCs w:val="18"/>
        </w:rPr>
        <w:t xml:space="preserve"> </w:t>
      </w:r>
      <w:r w:rsidR="00AB11AC" w:rsidRPr="005039B3">
        <w:rPr>
          <w:rFonts w:cs="Arial"/>
          <w:sz w:val="18"/>
          <w:szCs w:val="18"/>
        </w:rPr>
        <w:t>&lt;</w:t>
      </w:r>
      <w:r w:rsidRPr="005039B3">
        <w:rPr>
          <w:rFonts w:cs="Arial"/>
          <w:sz w:val="18"/>
          <w:szCs w:val="18"/>
        </w:rPr>
        <w:t>https://www.energy.gov.au/publications/australian-energy-statistics-table-o-electricity-generation-fuel-type-2020-21-and-2021</w:t>
      </w:r>
      <w:r w:rsidR="00AB11AC" w:rsidRPr="005039B3">
        <w:rPr>
          <w:rFonts w:cs="Arial"/>
          <w:sz w:val="18"/>
          <w:szCs w:val="18"/>
        </w:rPr>
        <w:t xml:space="preserve">&gt; accessed 14 November 2023. </w:t>
      </w:r>
    </w:p>
  </w:endnote>
  <w:endnote w:id="105">
    <w:p w14:paraId="3BE5CE11" w14:textId="23BB1D09" w:rsidR="00617F78" w:rsidRDefault="00617F78" w:rsidP="00E31E2F">
      <w:pPr>
        <w:pStyle w:val="EndnoteText"/>
      </w:pPr>
      <w:r w:rsidRPr="005039B3">
        <w:rPr>
          <w:rStyle w:val="EndnoteReference"/>
          <w:rFonts w:cs="Arial"/>
          <w:sz w:val="18"/>
          <w:szCs w:val="18"/>
        </w:rPr>
        <w:endnoteRef/>
      </w:r>
      <w:r w:rsidRPr="005039B3">
        <w:rPr>
          <w:rFonts w:cs="Arial"/>
          <w:sz w:val="18"/>
          <w:szCs w:val="18"/>
        </w:rPr>
        <w:t xml:space="preserve"> Department of Climate Change, Energy, the Environment and Water </w:t>
      </w:r>
      <w:r w:rsidR="00F84AA9" w:rsidRPr="005039B3">
        <w:rPr>
          <w:rFonts w:cs="Arial"/>
          <w:sz w:val="18"/>
          <w:szCs w:val="18"/>
        </w:rPr>
        <w:t>(</w:t>
      </w:r>
      <w:r w:rsidRPr="005039B3">
        <w:rPr>
          <w:rFonts w:cs="Arial"/>
          <w:sz w:val="18"/>
          <w:szCs w:val="18"/>
        </w:rPr>
        <w:t>2022</w:t>
      </w:r>
      <w:r w:rsidR="00F84AA9" w:rsidRPr="005039B3">
        <w:rPr>
          <w:rFonts w:cs="Arial"/>
          <w:sz w:val="18"/>
          <w:szCs w:val="18"/>
        </w:rPr>
        <w:t>)</w:t>
      </w:r>
      <w:r w:rsidRPr="005039B3">
        <w:rPr>
          <w:rFonts w:cs="Arial"/>
          <w:sz w:val="18"/>
          <w:szCs w:val="18"/>
        </w:rPr>
        <w:t xml:space="preserve"> </w:t>
      </w:r>
      <w:hyperlink r:id="rId30" w:history="1">
        <w:r w:rsidRPr="005039B3">
          <w:rPr>
            <w:rStyle w:val="Hyperlink"/>
            <w:i/>
            <w:iCs/>
            <w:sz w:val="18"/>
            <w:szCs w:val="18"/>
          </w:rPr>
          <w:t xml:space="preserve">State and </w:t>
        </w:r>
        <w:r w:rsidR="00AF0226" w:rsidRPr="005039B3">
          <w:rPr>
            <w:rStyle w:val="Hyperlink"/>
            <w:i/>
            <w:iCs/>
            <w:sz w:val="18"/>
            <w:szCs w:val="18"/>
          </w:rPr>
          <w:t>t</w:t>
        </w:r>
        <w:r w:rsidRPr="005039B3">
          <w:rPr>
            <w:rStyle w:val="Hyperlink"/>
            <w:i/>
            <w:iCs/>
            <w:sz w:val="18"/>
            <w:szCs w:val="18"/>
          </w:rPr>
          <w:t>erritory greenhouse gas inventories: emissions metrics</w:t>
        </w:r>
      </w:hyperlink>
      <w:r w:rsidRPr="005039B3">
        <w:rPr>
          <w:rFonts w:cs="Arial"/>
          <w:sz w:val="18"/>
          <w:szCs w:val="18"/>
        </w:rPr>
        <w:t xml:space="preserve"> </w:t>
      </w:r>
      <w:r w:rsidR="00AF0226" w:rsidRPr="005039B3">
        <w:rPr>
          <w:rFonts w:cs="Arial"/>
          <w:sz w:val="18"/>
          <w:szCs w:val="18"/>
        </w:rPr>
        <w:t>&lt;</w:t>
      </w:r>
      <w:hyperlink w:history="1"/>
      <w:r w:rsidR="00AF0226" w:rsidRPr="005039B3">
        <w:rPr>
          <w:sz w:val="18"/>
          <w:szCs w:val="18"/>
        </w:rPr>
        <w:t>https://www.dcceew.gov.au/climate-change/publications/national-greenhouse-accounts-2020/state-and-territory-greenhouse-gas-inventories-emissions-metrics</w:t>
      </w:r>
      <w:r w:rsidR="00F84AA9" w:rsidRPr="005039B3">
        <w:rPr>
          <w:rFonts w:cs="Arial"/>
          <w:sz w:val="18"/>
          <w:szCs w:val="18"/>
        </w:rPr>
        <w:t>&gt;</w:t>
      </w:r>
      <w:r w:rsidRPr="005039B3">
        <w:rPr>
          <w:rFonts w:cs="Arial"/>
          <w:sz w:val="18"/>
          <w:szCs w:val="18"/>
        </w:rPr>
        <w:t>, accessed 17 April 2023.</w:t>
      </w:r>
      <w:r w:rsidRPr="00E31E2F">
        <w:rPr>
          <w:rFonts w:cs="Arial"/>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IC-Regular">
    <w:altName w:val="Yu Gothic"/>
    <w:panose1 w:val="00000000000000000000"/>
    <w:charset w:val="80"/>
    <w:family w:val="swiss"/>
    <w:notTrueType/>
    <w:pitch w:val="default"/>
    <w:sig w:usb0="00000001"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375C" w14:textId="77777777" w:rsidR="00EB4BC7" w:rsidRDefault="00EB4BC7">
    <w:pPr>
      <w:pStyle w:val="Footer"/>
    </w:pPr>
    <w:r>
      <w:rPr>
        <w:noProof/>
      </w:rPr>
      <mc:AlternateContent>
        <mc:Choice Requires="wps">
          <w:drawing>
            <wp:anchor distT="0" distB="0" distL="114300" distR="114300" simplePos="0" relativeHeight="251644416" behindDoc="0" locked="0" layoutInCell="0" allowOverlap="1" wp14:anchorId="4786BBBD" wp14:editId="16DD2C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C0414A"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86BBBD"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444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0FC0414A"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DA54" w14:textId="558DA03D" w:rsidR="00431A70" w:rsidRDefault="00E262AD">
    <w:pPr>
      <w:pStyle w:val="Footer"/>
    </w:pPr>
    <w:r>
      <w:rPr>
        <w:noProof/>
        <w:lang w:eastAsia="en-AU"/>
      </w:rPr>
      <mc:AlternateContent>
        <mc:Choice Requires="wps">
          <w:drawing>
            <wp:anchor distT="0" distB="0" distL="114300" distR="114300" simplePos="0" relativeHeight="251671040" behindDoc="0" locked="0" layoutInCell="0" allowOverlap="1" wp14:anchorId="354925F1" wp14:editId="0D1CE5D0">
              <wp:simplePos x="0" y="0"/>
              <wp:positionH relativeFrom="page">
                <wp:posOffset>0</wp:posOffset>
              </wp:positionH>
              <wp:positionV relativeFrom="page">
                <wp:posOffset>10189210</wp:posOffset>
              </wp:positionV>
              <wp:extent cx="7560310" cy="311785"/>
              <wp:effectExtent l="0" t="0" r="0" b="12065"/>
              <wp:wrapNone/>
              <wp:docPr id="133" name="MSIPCMc85d4797973b38b92d0ee7e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40719" w14:textId="422FC428" w:rsidR="00E262AD" w:rsidRPr="00E262AD" w:rsidRDefault="00E262AD" w:rsidP="00E262AD">
                          <w:pPr>
                            <w:spacing w:after="0"/>
                            <w:jc w:val="center"/>
                            <w:rPr>
                              <w:rFonts w:ascii="Arial Black" w:hAnsi="Arial Black"/>
                              <w:color w:val="000000"/>
                              <w:sz w:val="20"/>
                            </w:rPr>
                          </w:pPr>
                          <w:r w:rsidRPr="00E262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4925F1" id="_x0000_t202" coordsize="21600,21600" o:spt="202" path="m,l,21600r21600,l21600,xe">
              <v:stroke joinstyle="miter"/>
              <v:path gradientshapeok="t" o:connecttype="rect"/>
            </v:shapetype>
            <v:shape id="MSIPCMc85d4797973b38b92d0ee7e1"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710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17A40719" w14:textId="422FC428" w:rsidR="00E262AD" w:rsidRPr="00E262AD" w:rsidRDefault="00E262AD" w:rsidP="00E262AD">
                    <w:pPr>
                      <w:spacing w:after="0"/>
                      <w:jc w:val="center"/>
                      <w:rPr>
                        <w:rFonts w:ascii="Arial Black" w:hAnsi="Arial Black"/>
                        <w:color w:val="000000"/>
                        <w:sz w:val="20"/>
                      </w:rPr>
                    </w:pPr>
                    <w:r w:rsidRPr="00E262AD">
                      <w:rPr>
                        <w:rFonts w:ascii="Arial Black" w:hAnsi="Arial Black"/>
                        <w:color w:val="000000"/>
                        <w:sz w:val="20"/>
                      </w:rPr>
                      <w:t>OFFICIAL</w:t>
                    </w:r>
                  </w:p>
                </w:txbxContent>
              </v:textbox>
              <w10:wrap anchorx="page" anchory="page"/>
            </v:shape>
          </w:pict>
        </mc:Fallback>
      </mc:AlternateContent>
    </w:r>
    <w:r w:rsidR="005B6319">
      <w:rPr>
        <w:noProof/>
        <w:lang w:eastAsia="en-AU"/>
      </w:rPr>
      <mc:AlternateContent>
        <mc:Choice Requires="wps">
          <w:drawing>
            <wp:anchor distT="0" distB="0" distL="114300" distR="114300" simplePos="0" relativeHeight="251668992" behindDoc="0" locked="0" layoutInCell="0" allowOverlap="1" wp14:anchorId="4D8B7278" wp14:editId="14D70314">
              <wp:simplePos x="0" y="0"/>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2AC00E" w14:textId="46063EDD" w:rsidR="005B6319" w:rsidRPr="005B6319" w:rsidRDefault="005B6319" w:rsidP="005B6319">
                          <w:pPr>
                            <w:spacing w:after="0"/>
                            <w:jc w:val="center"/>
                            <w:rPr>
                              <w:rFonts w:ascii="Arial Black" w:hAnsi="Arial Black"/>
                              <w:color w:val="000000"/>
                              <w:sz w:val="20"/>
                            </w:rPr>
                          </w:pPr>
                          <w:r w:rsidRPr="005B63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D8B7278" id="Text Box 1" o:spid="_x0000_s1028"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92AC00E" w14:textId="46063EDD" w:rsidR="005B6319" w:rsidRPr="005B6319" w:rsidRDefault="005B6319" w:rsidP="005B6319">
                    <w:pPr>
                      <w:spacing w:after="0"/>
                      <w:jc w:val="center"/>
                      <w:rPr>
                        <w:rFonts w:ascii="Arial Black" w:hAnsi="Arial Black"/>
                        <w:color w:val="000000"/>
                        <w:sz w:val="20"/>
                      </w:rPr>
                    </w:pPr>
                    <w:r w:rsidRPr="005B6319">
                      <w:rPr>
                        <w:rFonts w:ascii="Arial Black" w:hAnsi="Arial Black"/>
                        <w:color w:val="000000"/>
                        <w:sz w:val="20"/>
                      </w:rPr>
                      <w:t>OFFICIAL</w:t>
                    </w:r>
                  </w:p>
                </w:txbxContent>
              </v:textbox>
              <w10:wrap anchorx="page" anchory="page"/>
            </v:shape>
          </w:pict>
        </mc:Fallback>
      </mc:AlternateContent>
    </w:r>
    <w:r w:rsidR="00FE722E">
      <w:rPr>
        <w:noProof/>
        <w:lang w:eastAsia="en-AU"/>
      </w:rPr>
      <mc:AlternateContent>
        <mc:Choice Requires="wps">
          <w:drawing>
            <wp:anchor distT="0" distB="0" distL="114300" distR="114300" simplePos="0" relativeHeight="251666944" behindDoc="0" locked="0" layoutInCell="0" allowOverlap="1" wp14:anchorId="2DD0795D" wp14:editId="209659E7">
              <wp:simplePos x="0" y="0"/>
              <wp:positionH relativeFrom="page">
                <wp:posOffset>0</wp:posOffset>
              </wp:positionH>
              <wp:positionV relativeFrom="page">
                <wp:posOffset>10189210</wp:posOffset>
              </wp:positionV>
              <wp:extent cx="7560310" cy="311785"/>
              <wp:effectExtent l="0" t="0" r="0" b="12065"/>
              <wp:wrapNone/>
              <wp:docPr id="35" name="Text Box 3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B0B59F" w14:textId="517DA1B9" w:rsidR="00FE722E" w:rsidRPr="00FE722E" w:rsidRDefault="00FE722E" w:rsidP="00FE722E">
                          <w:pPr>
                            <w:spacing w:after="0"/>
                            <w:jc w:val="center"/>
                            <w:rPr>
                              <w:rFonts w:ascii="Arial Black" w:hAnsi="Arial Black"/>
                              <w:color w:val="000000"/>
                              <w:sz w:val="20"/>
                            </w:rPr>
                          </w:pPr>
                          <w:r w:rsidRPr="00FE722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DD0795D" id="Text Box 35" o:spid="_x0000_s1029"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6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40B0B59F" w14:textId="517DA1B9" w:rsidR="00FE722E" w:rsidRPr="00FE722E" w:rsidRDefault="00FE722E" w:rsidP="00FE722E">
                    <w:pPr>
                      <w:spacing w:after="0"/>
                      <w:jc w:val="center"/>
                      <w:rPr>
                        <w:rFonts w:ascii="Arial Black" w:hAnsi="Arial Black"/>
                        <w:color w:val="000000"/>
                        <w:sz w:val="20"/>
                      </w:rPr>
                    </w:pPr>
                    <w:r w:rsidRPr="00FE722E">
                      <w:rPr>
                        <w:rFonts w:ascii="Arial Black" w:hAnsi="Arial Black"/>
                        <w:color w:val="000000"/>
                        <w:sz w:val="20"/>
                      </w:rPr>
                      <w:t>OFFICIAL</w:t>
                    </w:r>
                  </w:p>
                </w:txbxContent>
              </v:textbox>
              <w10:wrap anchorx="page" anchory="page"/>
            </v:shape>
          </w:pict>
        </mc:Fallback>
      </mc:AlternateContent>
    </w:r>
    <w:r w:rsidR="00E73406">
      <w:rPr>
        <w:noProof/>
        <w:lang w:eastAsia="en-AU"/>
      </w:rPr>
      <mc:AlternateContent>
        <mc:Choice Requires="wps">
          <w:drawing>
            <wp:anchor distT="0" distB="0" distL="114300" distR="114300" simplePos="0" relativeHeight="251663872" behindDoc="0" locked="0" layoutInCell="0" allowOverlap="1" wp14:anchorId="21B358F3" wp14:editId="1AE21442">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0B780A" w14:textId="2BBDA426" w:rsidR="00E73406" w:rsidRPr="00E73406" w:rsidRDefault="00E73406" w:rsidP="00E73406">
                          <w:pPr>
                            <w:spacing w:after="0"/>
                            <w:jc w:val="center"/>
                            <w:rPr>
                              <w:rFonts w:ascii="Arial Black" w:hAnsi="Arial Black"/>
                              <w:color w:val="000000"/>
                              <w:sz w:val="20"/>
                            </w:rPr>
                          </w:pPr>
                          <w:r w:rsidRPr="00E734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1B358F3" id="Text Box 27" o:spid="_x0000_s1030"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50B780A" w14:textId="2BBDA426" w:rsidR="00E73406" w:rsidRPr="00E73406" w:rsidRDefault="00E73406" w:rsidP="00E73406">
                    <w:pPr>
                      <w:spacing w:after="0"/>
                      <w:jc w:val="center"/>
                      <w:rPr>
                        <w:rFonts w:ascii="Arial Black" w:hAnsi="Arial Black"/>
                        <w:color w:val="000000"/>
                        <w:sz w:val="20"/>
                      </w:rPr>
                    </w:pPr>
                    <w:r w:rsidRPr="00E73406">
                      <w:rPr>
                        <w:rFonts w:ascii="Arial Black" w:hAnsi="Arial Black"/>
                        <w:color w:val="000000"/>
                        <w:sz w:val="20"/>
                      </w:rPr>
                      <w:t>OFFICIAL</w:t>
                    </w:r>
                  </w:p>
                </w:txbxContent>
              </v:textbox>
              <w10:wrap anchorx="page" anchory="page"/>
            </v:shape>
          </w:pict>
        </mc:Fallback>
      </mc:AlternateContent>
    </w:r>
    <w:r w:rsidR="004A300C">
      <w:rPr>
        <w:noProof/>
        <w:lang w:eastAsia="en-AU"/>
      </w:rPr>
      <mc:AlternateContent>
        <mc:Choice Requires="wps">
          <w:drawing>
            <wp:anchor distT="0" distB="0" distL="114300" distR="114300" simplePos="0" relativeHeight="251658752" behindDoc="0" locked="0" layoutInCell="0" allowOverlap="1" wp14:anchorId="27C193F6" wp14:editId="50A18233">
              <wp:simplePos x="0" y="0"/>
              <wp:positionH relativeFrom="page">
                <wp:posOffset>0</wp:posOffset>
              </wp:positionH>
              <wp:positionV relativeFrom="page">
                <wp:posOffset>10189210</wp:posOffset>
              </wp:positionV>
              <wp:extent cx="7560310" cy="311785"/>
              <wp:effectExtent l="0" t="0" r="0" b="12065"/>
              <wp:wrapNone/>
              <wp:docPr id="24" name="Text Box 2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A99D9" w14:textId="294CCD67" w:rsidR="004A300C" w:rsidRPr="004A300C" w:rsidRDefault="004A300C" w:rsidP="004A300C">
                          <w:pPr>
                            <w:spacing w:after="0"/>
                            <w:jc w:val="center"/>
                            <w:rPr>
                              <w:rFonts w:ascii="Arial Black" w:hAnsi="Arial Black"/>
                              <w:color w:val="000000"/>
                              <w:sz w:val="20"/>
                            </w:rPr>
                          </w:pPr>
                          <w:r w:rsidRPr="004A300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C193F6" id="Text Box 24" o:spid="_x0000_s1031"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6A99D9" w14:textId="294CCD67" w:rsidR="004A300C" w:rsidRPr="004A300C" w:rsidRDefault="004A300C" w:rsidP="004A300C">
                    <w:pPr>
                      <w:spacing w:after="0"/>
                      <w:jc w:val="center"/>
                      <w:rPr>
                        <w:rFonts w:ascii="Arial Black" w:hAnsi="Arial Black"/>
                        <w:color w:val="000000"/>
                        <w:sz w:val="20"/>
                      </w:rPr>
                    </w:pPr>
                    <w:r w:rsidRPr="004A300C">
                      <w:rPr>
                        <w:rFonts w:ascii="Arial Black" w:hAnsi="Arial Black"/>
                        <w:color w:val="000000"/>
                        <w:sz w:val="20"/>
                      </w:rPr>
                      <w:t>OFFICIAL</w:t>
                    </w:r>
                  </w:p>
                </w:txbxContent>
              </v:textbox>
              <w10:wrap anchorx="page" anchory="page"/>
            </v:shape>
          </w:pict>
        </mc:Fallback>
      </mc:AlternateContent>
    </w:r>
    <w:r w:rsidR="00B56BBF">
      <w:rPr>
        <w:noProof/>
        <w:lang w:eastAsia="en-AU"/>
      </w:rPr>
      <mc:AlternateContent>
        <mc:Choice Requires="wps">
          <w:drawing>
            <wp:anchor distT="0" distB="0" distL="114300" distR="114300" simplePos="0" relativeHeight="251649536" behindDoc="0" locked="0" layoutInCell="0" allowOverlap="1" wp14:anchorId="41E49372" wp14:editId="69303F2C">
              <wp:simplePos x="0" y="0"/>
              <wp:positionH relativeFrom="page">
                <wp:posOffset>0</wp:posOffset>
              </wp:positionH>
              <wp:positionV relativeFrom="page">
                <wp:posOffset>10189210</wp:posOffset>
              </wp:positionV>
              <wp:extent cx="7560310" cy="311785"/>
              <wp:effectExtent l="0" t="0" r="0" b="12065"/>
              <wp:wrapNone/>
              <wp:docPr id="20" name="Text Box 2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07F9E" w14:textId="3FB01D24" w:rsidR="00B56BBF" w:rsidRPr="00B56BBF" w:rsidRDefault="00B56BBF" w:rsidP="00B56BBF">
                          <w:pPr>
                            <w:spacing w:after="0"/>
                            <w:jc w:val="center"/>
                            <w:rPr>
                              <w:rFonts w:ascii="Arial Black" w:hAnsi="Arial Black"/>
                              <w:color w:val="000000"/>
                              <w:sz w:val="20"/>
                            </w:rPr>
                          </w:pPr>
                          <w:r w:rsidRPr="00B56BB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E49372" id="Text Box 20" o:spid="_x0000_s1032"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49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0A107F9E" w14:textId="3FB01D24" w:rsidR="00B56BBF" w:rsidRPr="00B56BBF" w:rsidRDefault="00B56BBF" w:rsidP="00B56BBF">
                    <w:pPr>
                      <w:spacing w:after="0"/>
                      <w:jc w:val="center"/>
                      <w:rPr>
                        <w:rFonts w:ascii="Arial Black" w:hAnsi="Arial Black"/>
                        <w:color w:val="000000"/>
                        <w:sz w:val="20"/>
                      </w:rPr>
                    </w:pPr>
                    <w:r w:rsidRPr="00B56BBF">
                      <w:rPr>
                        <w:rFonts w:ascii="Arial Black" w:hAnsi="Arial Black"/>
                        <w:color w:val="000000"/>
                        <w:sz w:val="20"/>
                      </w:rPr>
                      <w:t>OFFICIAL</w:t>
                    </w:r>
                  </w:p>
                </w:txbxContent>
              </v:textbox>
              <w10:wrap anchorx="page" anchory="page"/>
            </v:shape>
          </w:pict>
        </mc:Fallback>
      </mc:AlternateContent>
    </w:r>
    <w:r w:rsidR="00052F31">
      <w:rPr>
        <w:noProof/>
        <w:lang w:eastAsia="en-AU"/>
      </w:rPr>
      <mc:AlternateContent>
        <mc:Choice Requires="wps">
          <w:drawing>
            <wp:anchor distT="0" distB="0" distL="114300" distR="114300" simplePos="0" relativeHeight="251647488" behindDoc="0" locked="0" layoutInCell="0" allowOverlap="1" wp14:anchorId="7936FD7D" wp14:editId="1A6C3021">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B5199" w14:textId="62C18CB0" w:rsidR="00052F31" w:rsidRPr="00052F31" w:rsidRDefault="00052F31" w:rsidP="00052F31">
                          <w:pPr>
                            <w:spacing w:after="0"/>
                            <w:jc w:val="center"/>
                            <w:rPr>
                              <w:rFonts w:ascii="Arial Black" w:hAnsi="Arial Black"/>
                              <w:color w:val="000000"/>
                              <w:sz w:val="20"/>
                            </w:rPr>
                          </w:pPr>
                          <w:r w:rsidRPr="00052F3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936FD7D" id="Text Box 15" o:spid="_x0000_s1033"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474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72B5199" w14:textId="62C18CB0" w:rsidR="00052F31" w:rsidRPr="00052F31" w:rsidRDefault="00052F31" w:rsidP="00052F31">
                    <w:pPr>
                      <w:spacing w:after="0"/>
                      <w:jc w:val="center"/>
                      <w:rPr>
                        <w:rFonts w:ascii="Arial Black" w:hAnsi="Arial Black"/>
                        <w:color w:val="000000"/>
                        <w:sz w:val="20"/>
                      </w:rPr>
                    </w:pPr>
                    <w:r w:rsidRPr="00052F31">
                      <w:rPr>
                        <w:rFonts w:ascii="Arial Black" w:hAnsi="Arial Black"/>
                        <w:color w:val="000000"/>
                        <w:sz w:val="20"/>
                      </w:rPr>
                      <w:t>OFFICIAL</w:t>
                    </w:r>
                  </w:p>
                </w:txbxContent>
              </v:textbox>
              <w10:wrap anchorx="page" anchory="page"/>
            </v:shape>
          </w:pict>
        </mc:Fallback>
      </mc:AlternateContent>
    </w:r>
    <w:r w:rsidR="00C729D1">
      <w:rPr>
        <w:noProof/>
        <w:lang w:eastAsia="en-AU"/>
      </w:rPr>
      <mc:AlternateContent>
        <mc:Choice Requires="wps">
          <w:drawing>
            <wp:anchor distT="0" distB="0" distL="114300" distR="114300" simplePos="0" relativeHeight="251645440" behindDoc="0" locked="0" layoutInCell="0" allowOverlap="1" wp14:anchorId="6569F78A" wp14:editId="367D1905">
              <wp:simplePos x="0" y="0"/>
              <wp:positionH relativeFrom="page">
                <wp:posOffset>0</wp:posOffset>
              </wp:positionH>
              <wp:positionV relativeFrom="page">
                <wp:posOffset>10189210</wp:posOffset>
              </wp:positionV>
              <wp:extent cx="7560310" cy="311785"/>
              <wp:effectExtent l="0" t="0" r="0" b="12065"/>
              <wp:wrapNone/>
              <wp:docPr id="9" name="Text Box 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B6263" w14:textId="1705DF26" w:rsidR="00C729D1" w:rsidRPr="00C729D1" w:rsidRDefault="00C729D1" w:rsidP="00C729D1">
                          <w:pPr>
                            <w:spacing w:after="0"/>
                            <w:jc w:val="center"/>
                            <w:rPr>
                              <w:rFonts w:ascii="Arial Black" w:hAnsi="Arial Black"/>
                              <w:color w:val="000000"/>
                              <w:sz w:val="20"/>
                            </w:rPr>
                          </w:pPr>
                          <w:r w:rsidRPr="00C729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569F78A" id="Text Box 9" o:spid="_x0000_s1034"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454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422B6263" w14:textId="1705DF26" w:rsidR="00C729D1" w:rsidRPr="00C729D1" w:rsidRDefault="00C729D1" w:rsidP="00C729D1">
                    <w:pPr>
                      <w:spacing w:after="0"/>
                      <w:jc w:val="center"/>
                      <w:rPr>
                        <w:rFonts w:ascii="Arial Black" w:hAnsi="Arial Black"/>
                        <w:color w:val="000000"/>
                        <w:sz w:val="20"/>
                      </w:rPr>
                    </w:pPr>
                    <w:r w:rsidRPr="00C729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42368" behindDoc="0" locked="0" layoutInCell="0" allowOverlap="1" wp14:anchorId="3E0CD14C" wp14:editId="0CC6311F">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3AAB1F"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E0CD14C" id="Text Box 5" o:spid="_x0000_s1035"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42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o:allowincell="f" filled="f" stroked="f" strokeweight=".5pt">
              <v:textbox inset=",0,,0">
                <w:txbxContent>
                  <w:p w14:paraId="493AAB1F"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2B06" w14:textId="7C5CD8D3" w:rsidR="00EB4BC7" w:rsidRDefault="00E262AD">
    <w:pPr>
      <w:pStyle w:val="Footer"/>
    </w:pPr>
    <w:r>
      <w:rPr>
        <w:noProof/>
      </w:rPr>
      <mc:AlternateContent>
        <mc:Choice Requires="wps">
          <w:drawing>
            <wp:anchor distT="0" distB="0" distL="114300" distR="114300" simplePos="0" relativeHeight="251672064" behindDoc="0" locked="0" layoutInCell="0" allowOverlap="1" wp14:anchorId="10F6FE82" wp14:editId="7C0680DA">
              <wp:simplePos x="0" y="0"/>
              <wp:positionH relativeFrom="page">
                <wp:posOffset>0</wp:posOffset>
              </wp:positionH>
              <wp:positionV relativeFrom="page">
                <wp:posOffset>10189210</wp:posOffset>
              </wp:positionV>
              <wp:extent cx="7560310" cy="311785"/>
              <wp:effectExtent l="0" t="0" r="0" b="12065"/>
              <wp:wrapNone/>
              <wp:docPr id="134" name="MSIPCM1c674ad991a66656150e2c4e"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7C7E8" w14:textId="26290547" w:rsidR="00E262AD" w:rsidRPr="00E262AD" w:rsidRDefault="00E262AD" w:rsidP="00E262AD">
                          <w:pPr>
                            <w:spacing w:after="0"/>
                            <w:jc w:val="center"/>
                            <w:rPr>
                              <w:rFonts w:ascii="Arial Black" w:hAnsi="Arial Black"/>
                              <w:color w:val="000000"/>
                              <w:sz w:val="20"/>
                            </w:rPr>
                          </w:pPr>
                          <w:r w:rsidRPr="00E262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6FE82" id="_x0000_t202" coordsize="21600,21600" o:spt="202" path="m,l,21600r21600,l21600,xe">
              <v:stroke joinstyle="miter"/>
              <v:path gradientshapeok="t" o:connecttype="rect"/>
            </v:shapetype>
            <v:shape id="MSIPCM1c674ad991a66656150e2c4e" o:spid="_x0000_s1036"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720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7C07C7E8" w14:textId="26290547" w:rsidR="00E262AD" w:rsidRPr="00E262AD" w:rsidRDefault="00E262AD" w:rsidP="00E262AD">
                    <w:pPr>
                      <w:spacing w:after="0"/>
                      <w:jc w:val="center"/>
                      <w:rPr>
                        <w:rFonts w:ascii="Arial Black" w:hAnsi="Arial Black"/>
                        <w:color w:val="000000"/>
                        <w:sz w:val="20"/>
                      </w:rPr>
                    </w:pPr>
                    <w:r w:rsidRPr="00E262AD">
                      <w:rPr>
                        <w:rFonts w:ascii="Arial Black" w:hAnsi="Arial Black"/>
                        <w:color w:val="000000"/>
                        <w:sz w:val="20"/>
                      </w:rPr>
                      <w:t>OFFICIAL</w:t>
                    </w:r>
                  </w:p>
                </w:txbxContent>
              </v:textbox>
              <w10:wrap anchorx="page" anchory="page"/>
            </v:shape>
          </w:pict>
        </mc:Fallback>
      </mc:AlternateContent>
    </w:r>
    <w:r w:rsidR="005B6319">
      <w:rPr>
        <w:noProof/>
      </w:rPr>
      <mc:AlternateContent>
        <mc:Choice Requires="wps">
          <w:drawing>
            <wp:anchor distT="0" distB="0" distL="114300" distR="114300" simplePos="0" relativeHeight="251670016" behindDoc="0" locked="0" layoutInCell="0" allowOverlap="1" wp14:anchorId="2EB45D14" wp14:editId="4DC6B2D4">
              <wp:simplePos x="0" y="0"/>
              <wp:positionH relativeFrom="page">
                <wp:posOffset>0</wp:posOffset>
              </wp:positionH>
              <wp:positionV relativeFrom="page">
                <wp:posOffset>10189210</wp:posOffset>
              </wp:positionV>
              <wp:extent cx="7560310" cy="311785"/>
              <wp:effectExtent l="0" t="0" r="0" b="12065"/>
              <wp:wrapNone/>
              <wp:docPr id="8" name="Text Box 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5CA19" w14:textId="291D494B" w:rsidR="005B6319" w:rsidRPr="005B6319" w:rsidRDefault="005B6319" w:rsidP="005B6319">
                          <w:pPr>
                            <w:spacing w:after="0"/>
                            <w:jc w:val="center"/>
                            <w:rPr>
                              <w:rFonts w:ascii="Arial Black" w:hAnsi="Arial Black"/>
                              <w:color w:val="000000"/>
                              <w:sz w:val="20"/>
                            </w:rPr>
                          </w:pPr>
                          <w:r w:rsidRPr="005B63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B45D14" id="Text Box 8" o:spid="_x0000_s103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5005CA19" w14:textId="291D494B" w:rsidR="005B6319" w:rsidRPr="005B6319" w:rsidRDefault="005B6319" w:rsidP="005B6319">
                    <w:pPr>
                      <w:spacing w:after="0"/>
                      <w:jc w:val="center"/>
                      <w:rPr>
                        <w:rFonts w:ascii="Arial Black" w:hAnsi="Arial Black"/>
                        <w:color w:val="000000"/>
                        <w:sz w:val="20"/>
                      </w:rPr>
                    </w:pPr>
                    <w:r w:rsidRPr="005B6319">
                      <w:rPr>
                        <w:rFonts w:ascii="Arial Black" w:hAnsi="Arial Black"/>
                        <w:color w:val="000000"/>
                        <w:sz w:val="20"/>
                      </w:rPr>
                      <w:t>OFFICIAL</w:t>
                    </w:r>
                  </w:p>
                </w:txbxContent>
              </v:textbox>
              <w10:wrap anchorx="page" anchory="page"/>
            </v:shape>
          </w:pict>
        </mc:Fallback>
      </mc:AlternateContent>
    </w:r>
    <w:r w:rsidR="00FE722E">
      <w:rPr>
        <w:noProof/>
      </w:rPr>
      <mc:AlternateContent>
        <mc:Choice Requires="wps">
          <w:drawing>
            <wp:anchor distT="0" distB="0" distL="114300" distR="114300" simplePos="0" relativeHeight="251667968" behindDoc="0" locked="0" layoutInCell="0" allowOverlap="1" wp14:anchorId="1A7FB08E" wp14:editId="5AFBD5F8">
              <wp:simplePos x="0" y="0"/>
              <wp:positionH relativeFrom="page">
                <wp:posOffset>0</wp:posOffset>
              </wp:positionH>
              <wp:positionV relativeFrom="page">
                <wp:posOffset>10189210</wp:posOffset>
              </wp:positionV>
              <wp:extent cx="7560310" cy="311785"/>
              <wp:effectExtent l="0" t="0" r="0" b="12065"/>
              <wp:wrapNone/>
              <wp:docPr id="38" name="Text Box 3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1DC28" w14:textId="0FB57354" w:rsidR="00FE722E" w:rsidRPr="00FE722E" w:rsidRDefault="00FE722E" w:rsidP="00FE722E">
                          <w:pPr>
                            <w:spacing w:after="0"/>
                            <w:jc w:val="center"/>
                            <w:rPr>
                              <w:rFonts w:ascii="Arial Black" w:hAnsi="Arial Black"/>
                              <w:color w:val="000000"/>
                              <w:sz w:val="20"/>
                            </w:rPr>
                          </w:pPr>
                          <w:r w:rsidRPr="00FE722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7FB08E" id="Text Box 38" o:spid="_x0000_s1038"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79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0B71DC28" w14:textId="0FB57354" w:rsidR="00FE722E" w:rsidRPr="00FE722E" w:rsidRDefault="00FE722E" w:rsidP="00FE722E">
                    <w:pPr>
                      <w:spacing w:after="0"/>
                      <w:jc w:val="center"/>
                      <w:rPr>
                        <w:rFonts w:ascii="Arial Black" w:hAnsi="Arial Black"/>
                        <w:color w:val="000000"/>
                        <w:sz w:val="20"/>
                      </w:rPr>
                    </w:pPr>
                    <w:r w:rsidRPr="00FE722E">
                      <w:rPr>
                        <w:rFonts w:ascii="Arial Black" w:hAnsi="Arial Black"/>
                        <w:color w:val="000000"/>
                        <w:sz w:val="20"/>
                      </w:rPr>
                      <w:t>OFFICIAL</w:t>
                    </w:r>
                  </w:p>
                </w:txbxContent>
              </v:textbox>
              <w10:wrap anchorx="page" anchory="page"/>
            </v:shape>
          </w:pict>
        </mc:Fallback>
      </mc:AlternateContent>
    </w:r>
    <w:r w:rsidR="00E73406">
      <w:rPr>
        <w:noProof/>
      </w:rPr>
      <mc:AlternateContent>
        <mc:Choice Requires="wps">
          <w:drawing>
            <wp:anchor distT="0" distB="0" distL="114300" distR="114300" simplePos="0" relativeHeight="251665920" behindDoc="0" locked="0" layoutInCell="0" allowOverlap="1" wp14:anchorId="744345ED" wp14:editId="76CE76E3">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37444E" w14:textId="4E485058" w:rsidR="00E73406" w:rsidRPr="00E73406" w:rsidRDefault="00E73406" w:rsidP="00E73406">
                          <w:pPr>
                            <w:spacing w:after="0"/>
                            <w:jc w:val="center"/>
                            <w:rPr>
                              <w:rFonts w:ascii="Arial Black" w:hAnsi="Arial Black"/>
                              <w:color w:val="000000"/>
                              <w:sz w:val="20"/>
                            </w:rPr>
                          </w:pPr>
                          <w:r w:rsidRPr="00E734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44345ED" id="Text Box 28" o:spid="_x0000_s1039"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6D37444E" w14:textId="4E485058" w:rsidR="00E73406" w:rsidRPr="00E73406" w:rsidRDefault="00E73406" w:rsidP="00E73406">
                    <w:pPr>
                      <w:spacing w:after="0"/>
                      <w:jc w:val="center"/>
                      <w:rPr>
                        <w:rFonts w:ascii="Arial Black" w:hAnsi="Arial Black"/>
                        <w:color w:val="000000"/>
                        <w:sz w:val="20"/>
                      </w:rPr>
                    </w:pPr>
                    <w:r w:rsidRPr="00E73406">
                      <w:rPr>
                        <w:rFonts w:ascii="Arial Black" w:hAnsi="Arial Black"/>
                        <w:color w:val="000000"/>
                        <w:sz w:val="20"/>
                      </w:rPr>
                      <w:t>OFFICIAL</w:t>
                    </w:r>
                  </w:p>
                </w:txbxContent>
              </v:textbox>
              <w10:wrap anchorx="page" anchory="page"/>
            </v:shape>
          </w:pict>
        </mc:Fallback>
      </mc:AlternateContent>
    </w:r>
    <w:r w:rsidR="004A300C">
      <w:rPr>
        <w:noProof/>
      </w:rPr>
      <mc:AlternateContent>
        <mc:Choice Requires="wps">
          <w:drawing>
            <wp:anchor distT="0" distB="0" distL="114300" distR="114300" simplePos="0" relativeHeight="251662848" behindDoc="0" locked="0" layoutInCell="0" allowOverlap="1" wp14:anchorId="2CF9C740" wp14:editId="6EA6D649">
              <wp:simplePos x="0" y="0"/>
              <wp:positionH relativeFrom="page">
                <wp:posOffset>0</wp:posOffset>
              </wp:positionH>
              <wp:positionV relativeFrom="page">
                <wp:posOffset>10189210</wp:posOffset>
              </wp:positionV>
              <wp:extent cx="7560310" cy="311785"/>
              <wp:effectExtent l="0" t="0" r="0" b="12065"/>
              <wp:wrapNone/>
              <wp:docPr id="25" name="Text Box 2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B6E5B1" w14:textId="501B619C" w:rsidR="004A300C" w:rsidRPr="004A300C" w:rsidRDefault="004A300C" w:rsidP="004A300C">
                          <w:pPr>
                            <w:spacing w:after="0"/>
                            <w:jc w:val="center"/>
                            <w:rPr>
                              <w:rFonts w:ascii="Arial Black" w:hAnsi="Arial Black"/>
                              <w:color w:val="000000"/>
                              <w:sz w:val="20"/>
                            </w:rPr>
                          </w:pPr>
                          <w:r w:rsidRPr="004A300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CF9C740" id="Text Box 25" o:spid="_x0000_s1040"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4FB6E5B1" w14:textId="501B619C" w:rsidR="004A300C" w:rsidRPr="004A300C" w:rsidRDefault="004A300C" w:rsidP="004A300C">
                    <w:pPr>
                      <w:spacing w:after="0"/>
                      <w:jc w:val="center"/>
                      <w:rPr>
                        <w:rFonts w:ascii="Arial Black" w:hAnsi="Arial Black"/>
                        <w:color w:val="000000"/>
                        <w:sz w:val="20"/>
                      </w:rPr>
                    </w:pPr>
                    <w:r w:rsidRPr="004A300C">
                      <w:rPr>
                        <w:rFonts w:ascii="Arial Black" w:hAnsi="Arial Black"/>
                        <w:color w:val="000000"/>
                        <w:sz w:val="20"/>
                      </w:rPr>
                      <w:t>OFFICIAL</w:t>
                    </w:r>
                  </w:p>
                </w:txbxContent>
              </v:textbox>
              <w10:wrap anchorx="page" anchory="page"/>
            </v:shape>
          </w:pict>
        </mc:Fallback>
      </mc:AlternateContent>
    </w:r>
    <w:r w:rsidR="00B56BBF">
      <w:rPr>
        <w:noProof/>
      </w:rPr>
      <mc:AlternateContent>
        <mc:Choice Requires="wps">
          <w:drawing>
            <wp:anchor distT="0" distB="0" distL="114300" distR="114300" simplePos="0" relativeHeight="251653632" behindDoc="0" locked="0" layoutInCell="0" allowOverlap="1" wp14:anchorId="2A5A964C" wp14:editId="408AEDBD">
              <wp:simplePos x="0" y="0"/>
              <wp:positionH relativeFrom="page">
                <wp:posOffset>0</wp:posOffset>
              </wp:positionH>
              <wp:positionV relativeFrom="page">
                <wp:posOffset>10189210</wp:posOffset>
              </wp:positionV>
              <wp:extent cx="7560310" cy="311785"/>
              <wp:effectExtent l="0" t="0" r="0" b="12065"/>
              <wp:wrapNone/>
              <wp:docPr id="21" name="Text Box 2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4B762" w14:textId="4EA66421" w:rsidR="00B56BBF" w:rsidRPr="00B56BBF" w:rsidRDefault="00B56BBF" w:rsidP="00B56BBF">
                          <w:pPr>
                            <w:spacing w:after="0"/>
                            <w:jc w:val="center"/>
                            <w:rPr>
                              <w:rFonts w:ascii="Arial Black" w:hAnsi="Arial Black"/>
                              <w:color w:val="000000"/>
                              <w:sz w:val="20"/>
                            </w:rPr>
                          </w:pPr>
                          <w:r w:rsidRPr="00B56BB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5A964C" id="Text Box 21" o:spid="_x0000_s1041"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0374B762" w14:textId="4EA66421" w:rsidR="00B56BBF" w:rsidRPr="00B56BBF" w:rsidRDefault="00B56BBF" w:rsidP="00B56BBF">
                    <w:pPr>
                      <w:spacing w:after="0"/>
                      <w:jc w:val="center"/>
                      <w:rPr>
                        <w:rFonts w:ascii="Arial Black" w:hAnsi="Arial Black"/>
                        <w:color w:val="000000"/>
                        <w:sz w:val="20"/>
                      </w:rPr>
                    </w:pPr>
                    <w:r w:rsidRPr="00B56BBF">
                      <w:rPr>
                        <w:rFonts w:ascii="Arial Black" w:hAnsi="Arial Black"/>
                        <w:color w:val="000000"/>
                        <w:sz w:val="20"/>
                      </w:rPr>
                      <w:t>OFFICIAL</w:t>
                    </w:r>
                  </w:p>
                </w:txbxContent>
              </v:textbox>
              <w10:wrap anchorx="page" anchory="page"/>
            </v:shape>
          </w:pict>
        </mc:Fallback>
      </mc:AlternateContent>
    </w:r>
    <w:r w:rsidR="00052F31">
      <w:rPr>
        <w:noProof/>
      </w:rPr>
      <mc:AlternateContent>
        <mc:Choice Requires="wps">
          <w:drawing>
            <wp:anchor distT="0" distB="0" distL="114300" distR="114300" simplePos="0" relativeHeight="251648512" behindDoc="0" locked="0" layoutInCell="0" allowOverlap="1" wp14:anchorId="466FED46" wp14:editId="77BFBD97">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B51FB" w14:textId="318BCD08" w:rsidR="00052F31" w:rsidRPr="00052F31" w:rsidRDefault="00052F31" w:rsidP="00052F31">
                          <w:pPr>
                            <w:spacing w:after="0"/>
                            <w:jc w:val="center"/>
                            <w:rPr>
                              <w:rFonts w:ascii="Arial Black" w:hAnsi="Arial Black"/>
                              <w:color w:val="000000"/>
                              <w:sz w:val="20"/>
                            </w:rPr>
                          </w:pPr>
                          <w:r w:rsidRPr="00052F3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66FED46" id="Text Box 16" o:spid="_x0000_s1042"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4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73FB51FB" w14:textId="318BCD08" w:rsidR="00052F31" w:rsidRPr="00052F31" w:rsidRDefault="00052F31" w:rsidP="00052F31">
                    <w:pPr>
                      <w:spacing w:after="0"/>
                      <w:jc w:val="center"/>
                      <w:rPr>
                        <w:rFonts w:ascii="Arial Black" w:hAnsi="Arial Black"/>
                        <w:color w:val="000000"/>
                        <w:sz w:val="20"/>
                      </w:rPr>
                    </w:pPr>
                    <w:r w:rsidRPr="00052F31">
                      <w:rPr>
                        <w:rFonts w:ascii="Arial Black" w:hAnsi="Arial Black"/>
                        <w:color w:val="000000"/>
                        <w:sz w:val="20"/>
                      </w:rPr>
                      <w:t>OFFICIAL</w:t>
                    </w:r>
                  </w:p>
                </w:txbxContent>
              </v:textbox>
              <w10:wrap anchorx="page" anchory="page"/>
            </v:shape>
          </w:pict>
        </mc:Fallback>
      </mc:AlternateContent>
    </w:r>
    <w:r w:rsidR="00C729D1">
      <w:rPr>
        <w:noProof/>
      </w:rPr>
      <mc:AlternateContent>
        <mc:Choice Requires="wps">
          <w:drawing>
            <wp:anchor distT="0" distB="0" distL="114300" distR="114300" simplePos="0" relativeHeight="251646464" behindDoc="0" locked="0" layoutInCell="0" allowOverlap="1" wp14:anchorId="3E9A6A0D" wp14:editId="505DBFF4">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43474C" w14:textId="46DF0DB1" w:rsidR="00C729D1" w:rsidRPr="00C729D1" w:rsidRDefault="00C729D1" w:rsidP="00C729D1">
                          <w:pPr>
                            <w:spacing w:after="0"/>
                            <w:jc w:val="center"/>
                            <w:rPr>
                              <w:rFonts w:ascii="Arial Black" w:hAnsi="Arial Black"/>
                              <w:color w:val="000000"/>
                              <w:sz w:val="20"/>
                            </w:rPr>
                          </w:pPr>
                          <w:r w:rsidRPr="00C729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E9A6A0D" id="Text Box 13" o:spid="_x0000_s1043"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46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o:allowincell="f" filled="f" stroked="f" strokeweight=".5pt">
              <v:textbox inset=",0,,0">
                <w:txbxContent>
                  <w:p w14:paraId="0F43474C" w14:textId="46DF0DB1" w:rsidR="00C729D1" w:rsidRPr="00C729D1" w:rsidRDefault="00C729D1" w:rsidP="00C729D1">
                    <w:pPr>
                      <w:spacing w:after="0"/>
                      <w:jc w:val="center"/>
                      <w:rPr>
                        <w:rFonts w:ascii="Arial Black" w:hAnsi="Arial Black"/>
                        <w:color w:val="000000"/>
                        <w:sz w:val="20"/>
                      </w:rPr>
                    </w:pPr>
                    <w:r w:rsidRPr="00C729D1">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43392" behindDoc="0" locked="0" layoutInCell="0" allowOverlap="1" wp14:anchorId="2A5723F1" wp14:editId="6C0A986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CA90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5723F1" id="Text Box 6" o:spid="_x0000_s1044"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43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a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2RBAWhgCAAAsBAAADgAAAAAAAAAAAAAAAAAuAgAAZHJzL2Uyb0RvYy54bWxQSwECLQAU&#10;AAYACAAAACEAL5BIl+AAAAALAQAADwAAAAAAAAAAAAAAAAByBAAAZHJzL2Rvd25yZXYueG1sUEsF&#10;BgAAAAAEAAQA8wAAAH8FAAAAAA==&#10;" o:allowincell="f" filled="f" stroked="f" strokeweight=".5pt">
              <v:textbox inset=",0,,0">
                <w:txbxContent>
                  <w:p w14:paraId="6C8CA90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84E9" w14:textId="77777777" w:rsidR="00D63636" w:rsidRDefault="002C5B7C">
    <w:pPr>
      <w:pStyle w:val="Footer"/>
    </w:pPr>
    <w:r>
      <w:rPr>
        <w:noProof/>
        <w:lang w:eastAsia="en-AU"/>
      </w:rPr>
      <mc:AlternateContent>
        <mc:Choice Requires="wps">
          <w:drawing>
            <wp:anchor distT="0" distB="0" distL="114300" distR="114300" simplePos="0" relativeHeight="251651584" behindDoc="0" locked="0" layoutInCell="0" allowOverlap="1" wp14:anchorId="6D86C9E4" wp14:editId="66FC1B7F">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84CF8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86C9E4" id="_x0000_t202" coordsize="21600,21600" o:spt="202" path="m,l,21600r21600,l21600,xe">
              <v:stroke joinstyle="miter"/>
              <v:path gradientshapeok="t" o:connecttype="rect"/>
            </v:shapetype>
            <v:shape id="Text Box 4" o:spid="_x0000_s104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1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textbox inset=",0,,0">
                <w:txbxContent>
                  <w:p w14:paraId="1784CF8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3A96" w14:textId="6F3F9EC5" w:rsidR="00431A70" w:rsidRDefault="00E262AD">
    <w:pPr>
      <w:pStyle w:val="Footer"/>
    </w:pPr>
    <w:r>
      <w:rPr>
        <w:noProof/>
        <w:lang w:eastAsia="en-AU"/>
      </w:rPr>
      <mc:AlternateContent>
        <mc:Choice Requires="wps">
          <w:drawing>
            <wp:anchor distT="0" distB="0" distL="114300" distR="114300" simplePos="0" relativeHeight="251664896" behindDoc="0" locked="0" layoutInCell="0" allowOverlap="1" wp14:anchorId="76BACC39" wp14:editId="09FF1CEF">
              <wp:simplePos x="0" y="0"/>
              <wp:positionH relativeFrom="page">
                <wp:posOffset>0</wp:posOffset>
              </wp:positionH>
              <wp:positionV relativeFrom="page">
                <wp:posOffset>10189210</wp:posOffset>
              </wp:positionV>
              <wp:extent cx="7560310" cy="311785"/>
              <wp:effectExtent l="0" t="0" r="0" b="12065"/>
              <wp:wrapNone/>
              <wp:docPr id="135" name="MSIPCMc8df4c369d6dbaf9c126817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48CD0" w14:textId="7BD98A06" w:rsidR="00E262AD" w:rsidRPr="00E262AD" w:rsidRDefault="00E262AD" w:rsidP="00E262AD">
                          <w:pPr>
                            <w:spacing w:after="0"/>
                            <w:jc w:val="center"/>
                            <w:rPr>
                              <w:rFonts w:ascii="Arial Black" w:hAnsi="Arial Black"/>
                              <w:color w:val="000000"/>
                              <w:sz w:val="20"/>
                            </w:rPr>
                          </w:pPr>
                          <w:r w:rsidRPr="00E262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BACC39" id="_x0000_t202" coordsize="21600,21600" o:spt="202" path="m,l,21600r21600,l21600,xe">
              <v:stroke joinstyle="miter"/>
              <v:path gradientshapeok="t" o:connecttype="rect"/>
            </v:shapetype>
            <v:shape id="MSIPCMc8df4c369d6dbaf9c126817d" o:spid="_x0000_s1046"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Z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yYja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r6ETZGAIAACwEAAAOAAAAAAAAAAAAAAAAAC4CAABkcnMvZTJvRG9jLnhtbFBLAQItABQA&#10;BgAIAAAAIQBIDV6a3wAAAAsBAAAPAAAAAAAAAAAAAAAAAHIEAABkcnMvZG93bnJldi54bWxQSwUG&#10;AAAAAAQABADzAAAAfgUAAAAA&#10;" o:allowincell="f" filled="f" stroked="f" strokeweight=".5pt">
              <v:textbox inset=",0,,0">
                <w:txbxContent>
                  <w:p w14:paraId="2F748CD0" w14:textId="7BD98A06" w:rsidR="00E262AD" w:rsidRPr="00E262AD" w:rsidRDefault="00E262AD" w:rsidP="00E262AD">
                    <w:pPr>
                      <w:spacing w:after="0"/>
                      <w:jc w:val="center"/>
                      <w:rPr>
                        <w:rFonts w:ascii="Arial Black" w:hAnsi="Arial Black"/>
                        <w:color w:val="000000"/>
                        <w:sz w:val="20"/>
                      </w:rPr>
                    </w:pPr>
                    <w:r w:rsidRPr="00E262AD">
                      <w:rPr>
                        <w:rFonts w:ascii="Arial Black" w:hAnsi="Arial Black"/>
                        <w:color w:val="000000"/>
                        <w:sz w:val="20"/>
                      </w:rPr>
                      <w:t>OFFICIAL</w:t>
                    </w:r>
                  </w:p>
                </w:txbxContent>
              </v:textbox>
              <w10:wrap anchorx="page" anchory="page"/>
            </v:shape>
          </w:pict>
        </mc:Fallback>
      </mc:AlternateContent>
    </w:r>
    <w:r w:rsidR="005B6319">
      <w:rPr>
        <w:noProof/>
        <w:lang w:eastAsia="en-AU"/>
      </w:rPr>
      <mc:AlternateContent>
        <mc:Choice Requires="wps">
          <w:drawing>
            <wp:anchor distT="0" distB="0" distL="114300" distR="114300" simplePos="0" relativeHeight="251661824" behindDoc="0" locked="0" layoutInCell="0" allowOverlap="1" wp14:anchorId="7EC37C97" wp14:editId="287D49D4">
              <wp:simplePos x="0" y="0"/>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8DBB4E" w14:textId="474ECC0F" w:rsidR="005B6319" w:rsidRPr="005B6319" w:rsidRDefault="005B6319" w:rsidP="005B6319">
                          <w:pPr>
                            <w:spacing w:after="0"/>
                            <w:jc w:val="center"/>
                            <w:rPr>
                              <w:rFonts w:ascii="Arial Black" w:hAnsi="Arial Black"/>
                              <w:color w:val="000000"/>
                              <w:sz w:val="20"/>
                            </w:rPr>
                          </w:pPr>
                          <w:r w:rsidRPr="005B63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EC37C97" id="Text Box 10" o:spid="_x0000_s1047"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bZ8VRGAIAACwEAAAOAAAAAAAAAAAAAAAAAC4CAABkcnMvZTJvRG9jLnhtbFBLAQItABQA&#10;BgAIAAAAIQBIDV6a3wAAAAsBAAAPAAAAAAAAAAAAAAAAAHIEAABkcnMvZG93bnJldi54bWxQSwUG&#10;AAAAAAQABADzAAAAfgUAAAAA&#10;" o:allowincell="f" filled="f" stroked="f" strokeweight=".5pt">
              <v:textbox inset=",0,,0">
                <w:txbxContent>
                  <w:p w14:paraId="198DBB4E" w14:textId="474ECC0F" w:rsidR="005B6319" w:rsidRPr="005B6319" w:rsidRDefault="005B6319" w:rsidP="005B6319">
                    <w:pPr>
                      <w:spacing w:after="0"/>
                      <w:jc w:val="center"/>
                      <w:rPr>
                        <w:rFonts w:ascii="Arial Black" w:hAnsi="Arial Black"/>
                        <w:color w:val="000000"/>
                        <w:sz w:val="20"/>
                      </w:rPr>
                    </w:pPr>
                    <w:r w:rsidRPr="005B6319">
                      <w:rPr>
                        <w:rFonts w:ascii="Arial Black" w:hAnsi="Arial Black"/>
                        <w:color w:val="000000"/>
                        <w:sz w:val="20"/>
                      </w:rPr>
                      <w:t>OFFICIAL</w:t>
                    </w:r>
                  </w:p>
                </w:txbxContent>
              </v:textbox>
              <w10:wrap anchorx="page" anchory="page"/>
            </v:shape>
          </w:pict>
        </mc:Fallback>
      </mc:AlternateContent>
    </w:r>
    <w:r w:rsidR="00FE722E">
      <w:rPr>
        <w:noProof/>
        <w:lang w:eastAsia="en-AU"/>
      </w:rPr>
      <mc:AlternateContent>
        <mc:Choice Requires="wps">
          <w:drawing>
            <wp:anchor distT="0" distB="0" distL="114300" distR="114300" simplePos="0" relativeHeight="251660800" behindDoc="0" locked="0" layoutInCell="0" allowOverlap="1" wp14:anchorId="223F2CE7" wp14:editId="14093924">
              <wp:simplePos x="0" y="0"/>
              <wp:positionH relativeFrom="page">
                <wp:posOffset>0</wp:posOffset>
              </wp:positionH>
              <wp:positionV relativeFrom="page">
                <wp:posOffset>10189210</wp:posOffset>
              </wp:positionV>
              <wp:extent cx="7560310" cy="311785"/>
              <wp:effectExtent l="0" t="0" r="0" b="12065"/>
              <wp:wrapNone/>
              <wp:docPr id="44" name="Text Box 4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3D3019" w14:textId="52ECC2AF" w:rsidR="00FE722E" w:rsidRPr="00FE722E" w:rsidRDefault="00FE722E" w:rsidP="00FE722E">
                          <w:pPr>
                            <w:spacing w:after="0"/>
                            <w:jc w:val="center"/>
                            <w:rPr>
                              <w:rFonts w:ascii="Arial Black" w:hAnsi="Arial Black"/>
                              <w:color w:val="000000"/>
                              <w:sz w:val="20"/>
                            </w:rPr>
                          </w:pPr>
                          <w:r w:rsidRPr="00FE722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23F2CE7" id="Text Box 44" o:spid="_x0000_s104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T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7H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vE2ExkCAAAsBAAADgAAAAAAAAAAAAAAAAAuAgAAZHJzL2Uyb0RvYy54bWxQSwECLQAU&#10;AAYACAAAACEASA1emt8AAAALAQAADwAAAAAAAAAAAAAAAABzBAAAZHJzL2Rvd25yZXYueG1sUEsF&#10;BgAAAAAEAAQA8wAAAH8FAAAAAA==&#10;" o:allowincell="f" filled="f" stroked="f" strokeweight=".5pt">
              <v:textbox inset=",0,,0">
                <w:txbxContent>
                  <w:p w14:paraId="133D3019" w14:textId="52ECC2AF" w:rsidR="00FE722E" w:rsidRPr="00FE722E" w:rsidRDefault="00FE722E" w:rsidP="00FE722E">
                    <w:pPr>
                      <w:spacing w:after="0"/>
                      <w:jc w:val="center"/>
                      <w:rPr>
                        <w:rFonts w:ascii="Arial Black" w:hAnsi="Arial Black"/>
                        <w:color w:val="000000"/>
                        <w:sz w:val="20"/>
                      </w:rPr>
                    </w:pPr>
                    <w:r w:rsidRPr="00FE722E">
                      <w:rPr>
                        <w:rFonts w:ascii="Arial Black" w:hAnsi="Arial Black"/>
                        <w:color w:val="000000"/>
                        <w:sz w:val="20"/>
                      </w:rPr>
                      <w:t>OFFICIAL</w:t>
                    </w:r>
                  </w:p>
                </w:txbxContent>
              </v:textbox>
              <w10:wrap anchorx="page" anchory="page"/>
            </v:shape>
          </w:pict>
        </mc:Fallback>
      </mc:AlternateContent>
    </w:r>
    <w:r w:rsidR="00E73406">
      <w:rPr>
        <w:noProof/>
        <w:lang w:eastAsia="en-AU"/>
      </w:rPr>
      <mc:AlternateContent>
        <mc:Choice Requires="wps">
          <w:drawing>
            <wp:anchor distT="0" distB="0" distL="114300" distR="114300" simplePos="0" relativeHeight="251659776" behindDoc="0" locked="0" layoutInCell="0" allowOverlap="1" wp14:anchorId="3763E845" wp14:editId="210341BE">
              <wp:simplePos x="0" y="0"/>
              <wp:positionH relativeFrom="page">
                <wp:posOffset>0</wp:posOffset>
              </wp:positionH>
              <wp:positionV relativeFrom="page">
                <wp:posOffset>10189210</wp:posOffset>
              </wp:positionV>
              <wp:extent cx="7560310" cy="311785"/>
              <wp:effectExtent l="0" t="0" r="0" b="12065"/>
              <wp:wrapNone/>
              <wp:docPr id="29" name="Text Box 2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E8D92B" w14:textId="5E5A550E" w:rsidR="00E73406" w:rsidRPr="00E73406" w:rsidRDefault="00E73406" w:rsidP="00E73406">
                          <w:pPr>
                            <w:spacing w:after="0"/>
                            <w:jc w:val="center"/>
                            <w:rPr>
                              <w:rFonts w:ascii="Arial Black" w:hAnsi="Arial Black"/>
                              <w:color w:val="000000"/>
                              <w:sz w:val="20"/>
                            </w:rPr>
                          </w:pPr>
                          <w:r w:rsidRPr="00E734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763E845" id="Text Box 29" o:spid="_x0000_s104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eb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4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n63mxkCAAAsBAAADgAAAAAAAAAAAAAAAAAuAgAAZHJzL2Uyb0RvYy54bWxQSwECLQAU&#10;AAYACAAAACEASA1emt8AAAALAQAADwAAAAAAAAAAAAAAAABzBAAAZHJzL2Rvd25yZXYueG1sUEsF&#10;BgAAAAAEAAQA8wAAAH8FAAAAAA==&#10;" o:allowincell="f" filled="f" stroked="f" strokeweight=".5pt">
              <v:textbox inset=",0,,0">
                <w:txbxContent>
                  <w:p w14:paraId="48E8D92B" w14:textId="5E5A550E" w:rsidR="00E73406" w:rsidRPr="00E73406" w:rsidRDefault="00E73406" w:rsidP="00E73406">
                    <w:pPr>
                      <w:spacing w:after="0"/>
                      <w:jc w:val="center"/>
                      <w:rPr>
                        <w:rFonts w:ascii="Arial Black" w:hAnsi="Arial Black"/>
                        <w:color w:val="000000"/>
                        <w:sz w:val="20"/>
                      </w:rPr>
                    </w:pPr>
                    <w:r w:rsidRPr="00E73406">
                      <w:rPr>
                        <w:rFonts w:ascii="Arial Black" w:hAnsi="Arial Black"/>
                        <w:color w:val="000000"/>
                        <w:sz w:val="20"/>
                      </w:rPr>
                      <w:t>OFFICIAL</w:t>
                    </w:r>
                  </w:p>
                </w:txbxContent>
              </v:textbox>
              <w10:wrap anchorx="page" anchory="page"/>
            </v:shape>
          </w:pict>
        </mc:Fallback>
      </mc:AlternateContent>
    </w:r>
    <w:r w:rsidR="004A300C">
      <w:rPr>
        <w:noProof/>
        <w:lang w:eastAsia="en-AU"/>
      </w:rPr>
      <mc:AlternateContent>
        <mc:Choice Requires="wps">
          <w:drawing>
            <wp:anchor distT="0" distB="0" distL="114300" distR="114300" simplePos="0" relativeHeight="251657728" behindDoc="0" locked="0" layoutInCell="0" allowOverlap="1" wp14:anchorId="7DC90A32" wp14:editId="5B1E97C0">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F04CE2" w14:textId="51FBF4BE" w:rsidR="004A300C" w:rsidRPr="004A300C" w:rsidRDefault="004A300C" w:rsidP="004A300C">
                          <w:pPr>
                            <w:spacing w:after="0"/>
                            <w:jc w:val="center"/>
                            <w:rPr>
                              <w:rFonts w:ascii="Arial Black" w:hAnsi="Arial Black"/>
                              <w:color w:val="000000"/>
                              <w:sz w:val="20"/>
                            </w:rPr>
                          </w:pPr>
                          <w:r w:rsidRPr="004A300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C90A32" id="Text Box 26" o:spid="_x0000_s105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N3RlhkCAAAsBAAADgAAAAAAAAAAAAAAAAAuAgAAZHJzL2Uyb0RvYy54bWxQSwECLQAU&#10;AAYACAAAACEASA1emt8AAAALAQAADwAAAAAAAAAAAAAAAABzBAAAZHJzL2Rvd25yZXYueG1sUEsF&#10;BgAAAAAEAAQA8wAAAH8FAAAAAA==&#10;" o:allowincell="f" filled="f" stroked="f" strokeweight=".5pt">
              <v:textbox inset=",0,,0">
                <w:txbxContent>
                  <w:p w14:paraId="7BF04CE2" w14:textId="51FBF4BE" w:rsidR="004A300C" w:rsidRPr="004A300C" w:rsidRDefault="004A300C" w:rsidP="004A300C">
                    <w:pPr>
                      <w:spacing w:after="0"/>
                      <w:jc w:val="center"/>
                      <w:rPr>
                        <w:rFonts w:ascii="Arial Black" w:hAnsi="Arial Black"/>
                        <w:color w:val="000000"/>
                        <w:sz w:val="20"/>
                      </w:rPr>
                    </w:pPr>
                    <w:r w:rsidRPr="004A300C">
                      <w:rPr>
                        <w:rFonts w:ascii="Arial Black" w:hAnsi="Arial Black"/>
                        <w:color w:val="000000"/>
                        <w:sz w:val="20"/>
                      </w:rPr>
                      <w:t>OFFICIAL</w:t>
                    </w:r>
                  </w:p>
                </w:txbxContent>
              </v:textbox>
              <w10:wrap anchorx="page" anchory="page"/>
            </v:shape>
          </w:pict>
        </mc:Fallback>
      </mc:AlternateContent>
    </w:r>
    <w:r w:rsidR="00B56BBF">
      <w:rPr>
        <w:noProof/>
        <w:lang w:eastAsia="en-AU"/>
      </w:rPr>
      <mc:AlternateContent>
        <mc:Choice Requires="wps">
          <w:drawing>
            <wp:anchor distT="0" distB="0" distL="114300" distR="114300" simplePos="0" relativeHeight="251656704" behindDoc="0" locked="0" layoutInCell="0" allowOverlap="1" wp14:anchorId="5D68B6CC" wp14:editId="0BD862D9">
              <wp:simplePos x="0" y="0"/>
              <wp:positionH relativeFrom="page">
                <wp:posOffset>0</wp:posOffset>
              </wp:positionH>
              <wp:positionV relativeFrom="page">
                <wp:posOffset>10189210</wp:posOffset>
              </wp:positionV>
              <wp:extent cx="7560310" cy="311785"/>
              <wp:effectExtent l="0" t="0" r="0" b="12065"/>
              <wp:wrapNone/>
              <wp:docPr id="22" name="Text Box 2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A8A0BC" w14:textId="391E502B" w:rsidR="00B56BBF" w:rsidRPr="00B56BBF" w:rsidRDefault="00B56BBF" w:rsidP="00B56BBF">
                          <w:pPr>
                            <w:spacing w:after="0"/>
                            <w:jc w:val="center"/>
                            <w:rPr>
                              <w:rFonts w:ascii="Arial Black" w:hAnsi="Arial Black"/>
                              <w:color w:val="000000"/>
                              <w:sz w:val="20"/>
                            </w:rPr>
                          </w:pPr>
                          <w:r w:rsidRPr="00B56BB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68B6CC" id="Text Box 22" o:spid="_x0000_s105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YUlAeGAIAACwEAAAOAAAAAAAAAAAAAAAAAC4CAABkcnMvZTJvRG9jLnhtbFBLAQItABQA&#10;BgAIAAAAIQBIDV6a3wAAAAsBAAAPAAAAAAAAAAAAAAAAAHIEAABkcnMvZG93bnJldi54bWxQSwUG&#10;AAAAAAQABADzAAAAfgUAAAAA&#10;" o:allowincell="f" filled="f" stroked="f" strokeweight=".5pt">
              <v:textbox inset=",0,,0">
                <w:txbxContent>
                  <w:p w14:paraId="39A8A0BC" w14:textId="391E502B" w:rsidR="00B56BBF" w:rsidRPr="00B56BBF" w:rsidRDefault="00B56BBF" w:rsidP="00B56BBF">
                    <w:pPr>
                      <w:spacing w:after="0"/>
                      <w:jc w:val="center"/>
                      <w:rPr>
                        <w:rFonts w:ascii="Arial Black" w:hAnsi="Arial Black"/>
                        <w:color w:val="000000"/>
                        <w:sz w:val="20"/>
                      </w:rPr>
                    </w:pPr>
                    <w:r w:rsidRPr="00B56BBF">
                      <w:rPr>
                        <w:rFonts w:ascii="Arial Black" w:hAnsi="Arial Black"/>
                        <w:color w:val="000000"/>
                        <w:sz w:val="20"/>
                      </w:rPr>
                      <w:t>OFFICIAL</w:t>
                    </w:r>
                  </w:p>
                </w:txbxContent>
              </v:textbox>
              <w10:wrap anchorx="page" anchory="page"/>
            </v:shape>
          </w:pict>
        </mc:Fallback>
      </mc:AlternateContent>
    </w:r>
    <w:r w:rsidR="00052F31">
      <w:rPr>
        <w:noProof/>
        <w:lang w:eastAsia="en-AU"/>
      </w:rPr>
      <mc:AlternateContent>
        <mc:Choice Requires="wps">
          <w:drawing>
            <wp:anchor distT="0" distB="0" distL="114300" distR="114300" simplePos="0" relativeHeight="251655680" behindDoc="0" locked="0" layoutInCell="0" allowOverlap="1" wp14:anchorId="57A3C31E" wp14:editId="2DDA50D9">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AD80EE" w14:textId="4D62D647" w:rsidR="00052F31" w:rsidRPr="00052F31" w:rsidRDefault="00052F31" w:rsidP="00052F31">
                          <w:pPr>
                            <w:spacing w:after="0"/>
                            <w:jc w:val="center"/>
                            <w:rPr>
                              <w:rFonts w:ascii="Arial Black" w:hAnsi="Arial Black"/>
                              <w:color w:val="000000"/>
                              <w:sz w:val="20"/>
                            </w:rPr>
                          </w:pPr>
                          <w:r w:rsidRPr="00052F3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7A3C31E" id="Text Box 17" o:spid="_x0000_s105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Nc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5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cSjXBkCAAAsBAAADgAAAAAAAAAAAAAAAAAuAgAAZHJzL2Uyb0RvYy54bWxQSwECLQAU&#10;AAYACAAAACEASA1emt8AAAALAQAADwAAAAAAAAAAAAAAAABzBAAAZHJzL2Rvd25yZXYueG1sUEsF&#10;BgAAAAAEAAQA8wAAAH8FAAAAAA==&#10;" o:allowincell="f" filled="f" stroked="f" strokeweight=".5pt">
              <v:textbox inset=",0,,0">
                <w:txbxContent>
                  <w:p w14:paraId="49AD80EE" w14:textId="4D62D647" w:rsidR="00052F31" w:rsidRPr="00052F31" w:rsidRDefault="00052F31" w:rsidP="00052F31">
                    <w:pPr>
                      <w:spacing w:after="0"/>
                      <w:jc w:val="center"/>
                      <w:rPr>
                        <w:rFonts w:ascii="Arial Black" w:hAnsi="Arial Black"/>
                        <w:color w:val="000000"/>
                        <w:sz w:val="20"/>
                      </w:rPr>
                    </w:pPr>
                    <w:r w:rsidRPr="00052F31">
                      <w:rPr>
                        <w:rFonts w:ascii="Arial Black" w:hAnsi="Arial Black"/>
                        <w:color w:val="000000"/>
                        <w:sz w:val="20"/>
                      </w:rPr>
                      <w:t>OFFICIAL</w:t>
                    </w:r>
                  </w:p>
                </w:txbxContent>
              </v:textbox>
              <w10:wrap anchorx="page" anchory="page"/>
            </v:shape>
          </w:pict>
        </mc:Fallback>
      </mc:AlternateContent>
    </w:r>
    <w:r w:rsidR="00C729D1">
      <w:rPr>
        <w:noProof/>
        <w:lang w:eastAsia="en-AU"/>
      </w:rPr>
      <mc:AlternateContent>
        <mc:Choice Requires="wps">
          <w:drawing>
            <wp:anchor distT="0" distB="0" distL="114300" distR="114300" simplePos="0" relativeHeight="251654656" behindDoc="0" locked="0" layoutInCell="0" allowOverlap="1" wp14:anchorId="74BFFF58" wp14:editId="28C0148D">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B8EB3" w14:textId="317AD5E8" w:rsidR="00C729D1" w:rsidRPr="00C729D1" w:rsidRDefault="00C729D1" w:rsidP="00C729D1">
                          <w:pPr>
                            <w:spacing w:after="0"/>
                            <w:jc w:val="center"/>
                            <w:rPr>
                              <w:rFonts w:ascii="Arial Black" w:hAnsi="Arial Black"/>
                              <w:color w:val="000000"/>
                              <w:sz w:val="20"/>
                            </w:rPr>
                          </w:pPr>
                          <w:r w:rsidRPr="00C729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4BFFF58" id="Text Box 14" o:spid="_x0000_s105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Usi1BkCAAAsBAAADgAAAAAAAAAAAAAAAAAuAgAAZHJzL2Uyb0RvYy54bWxQSwECLQAU&#10;AAYACAAAACEASA1emt8AAAALAQAADwAAAAAAAAAAAAAAAABzBAAAZHJzL2Rvd25yZXYueG1sUEsF&#10;BgAAAAAEAAQA8wAAAH8FAAAAAA==&#10;" o:allowincell="f" filled="f" stroked="f" strokeweight=".5pt">
              <v:textbox inset=",0,,0">
                <w:txbxContent>
                  <w:p w14:paraId="5CEB8EB3" w14:textId="317AD5E8" w:rsidR="00C729D1" w:rsidRPr="00C729D1" w:rsidRDefault="00C729D1" w:rsidP="00C729D1">
                    <w:pPr>
                      <w:spacing w:after="0"/>
                      <w:jc w:val="center"/>
                      <w:rPr>
                        <w:rFonts w:ascii="Arial Black" w:hAnsi="Arial Black"/>
                        <w:color w:val="000000"/>
                        <w:sz w:val="20"/>
                      </w:rPr>
                    </w:pPr>
                    <w:r w:rsidRPr="00C729D1">
                      <w:rPr>
                        <w:rFonts w:ascii="Arial Black" w:hAnsi="Arial Black"/>
                        <w:color w:val="000000"/>
                        <w:sz w:val="20"/>
                      </w:rPr>
                      <w:t>OFFICIAL</w:t>
                    </w:r>
                  </w:p>
                </w:txbxContent>
              </v:textbox>
              <w10:wrap anchorx="page" anchory="page"/>
            </v:shape>
          </w:pict>
        </mc:Fallback>
      </mc:AlternateContent>
    </w:r>
    <w:r w:rsidR="008977D1">
      <w:rPr>
        <w:noProof/>
        <w:lang w:eastAsia="en-AU"/>
      </w:rPr>
      <mc:AlternateContent>
        <mc:Choice Requires="wps">
          <w:drawing>
            <wp:anchor distT="0" distB="0" distL="114300" distR="114300" simplePos="0" relativeHeight="251652608" behindDoc="0" locked="0" layoutInCell="0" allowOverlap="1" wp14:anchorId="70B7D816" wp14:editId="57E9B4FC">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C5A971"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7D816" id="Text Box 2" o:spid="_x0000_s1054"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LYJuRhkCAAAsBAAADgAAAAAAAAAAAAAAAAAuAgAAZHJzL2Uyb0RvYy54bWxQSwECLQAU&#10;AAYACAAAACEASA1emt8AAAALAQAADwAAAAAAAAAAAAAAAABzBAAAZHJzL2Rvd25yZXYueG1sUEsF&#10;BgAAAAAEAAQA8wAAAH8FAAAAAA==&#10;" o:allowincell="f" filled="f" stroked="f" strokeweight=".5pt">
              <v:textbox inset=",0,,0">
                <w:txbxContent>
                  <w:p w14:paraId="55C5A971"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0560" behindDoc="0" locked="0" layoutInCell="0" allowOverlap="1" wp14:anchorId="3BD0FE17" wp14:editId="5BB08A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12E2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D0FE17" id="Text Box 11" o:spid="_x0000_s1055"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0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" o:allowincell="f" filled="f" stroked="f" strokeweight=".5pt">
              <v:textbox inset=",0,,0">
                <w:txbxContent>
                  <w:p w14:paraId="41112E2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E0B49" w14:textId="77777777" w:rsidR="00110EED" w:rsidRDefault="00110EED" w:rsidP="00207717">
      <w:pPr>
        <w:spacing w:before="120"/>
      </w:pPr>
      <w:r>
        <w:separator/>
      </w:r>
    </w:p>
  </w:footnote>
  <w:footnote w:type="continuationSeparator" w:id="0">
    <w:p w14:paraId="1F8C196D" w14:textId="77777777" w:rsidR="00110EED" w:rsidRDefault="00110EED">
      <w:r>
        <w:continuationSeparator/>
      </w:r>
    </w:p>
    <w:p w14:paraId="5CB83F7D" w14:textId="77777777" w:rsidR="00110EED" w:rsidRDefault="00110EED"/>
  </w:footnote>
  <w:footnote w:type="continuationNotice" w:id="1">
    <w:p w14:paraId="7E71AC06" w14:textId="77777777" w:rsidR="00110EED" w:rsidRDefault="00110E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7455" w14:textId="77777777" w:rsidR="00231540" w:rsidRDefault="002315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8DBD" w14:textId="77777777" w:rsidR="00231540" w:rsidRDefault="002315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DA9E" w14:textId="77777777" w:rsidR="00231540" w:rsidRDefault="002315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5E3F"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DD9F" w14:textId="36858146" w:rsidR="00562811" w:rsidRPr="0051568D" w:rsidRDefault="00DB4395" w:rsidP="0017674D">
    <w:pPr>
      <w:pStyle w:val="Header"/>
    </w:pPr>
    <w:r w:rsidRPr="00DB4395">
      <w:t xml:space="preserve">Victorian </w:t>
    </w:r>
    <w:r w:rsidR="00BF0933">
      <w:t>p</w:t>
    </w:r>
    <w:r w:rsidRPr="00DB4395">
      <w:t xml:space="preserve">ublic </w:t>
    </w:r>
    <w:r w:rsidR="00BF0933">
      <w:t>h</w:t>
    </w:r>
    <w:r w:rsidRPr="00DB4395">
      <w:t xml:space="preserve">ealth and </w:t>
    </w:r>
    <w:r w:rsidR="00BF0933">
      <w:t>w</w:t>
    </w:r>
    <w:r w:rsidRPr="00DB4395">
      <w:t xml:space="preserve">ellbeing </w:t>
    </w:r>
    <w:r w:rsidR="00BF0933">
      <w:t xml:space="preserve">progress </w:t>
    </w:r>
    <w:r w:rsidRPr="00DB4395">
      <w:t>report 2023</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246F"/>
    <w:multiLevelType w:val="hybridMultilevel"/>
    <w:tmpl w:val="452AB0CA"/>
    <w:lvl w:ilvl="0" w:tplc="BB901DE2">
      <w:start w:val="1"/>
      <w:numFmt w:val="bullet"/>
      <w:lvlText w:val=""/>
      <w:lvlJc w:val="left"/>
      <w:pPr>
        <w:ind w:left="720" w:hanging="360"/>
      </w:pPr>
      <w:rPr>
        <w:rFonts w:ascii="Symbol" w:hAnsi="Symbol" w:hint="default"/>
      </w:rPr>
    </w:lvl>
    <w:lvl w:ilvl="1" w:tplc="D8B63EF8">
      <w:start w:val="1"/>
      <w:numFmt w:val="bullet"/>
      <w:lvlText w:val="o"/>
      <w:lvlJc w:val="left"/>
      <w:pPr>
        <w:ind w:left="1440" w:hanging="360"/>
      </w:pPr>
      <w:rPr>
        <w:rFonts w:ascii="Courier New" w:hAnsi="Courier New" w:hint="default"/>
      </w:rPr>
    </w:lvl>
    <w:lvl w:ilvl="2" w:tplc="180E4DA2">
      <w:start w:val="1"/>
      <w:numFmt w:val="bullet"/>
      <w:lvlText w:val=""/>
      <w:lvlJc w:val="left"/>
      <w:pPr>
        <w:ind w:left="2160" w:hanging="360"/>
      </w:pPr>
      <w:rPr>
        <w:rFonts w:ascii="Wingdings" w:hAnsi="Wingdings" w:hint="default"/>
      </w:rPr>
    </w:lvl>
    <w:lvl w:ilvl="3" w:tplc="C0D2E1C0">
      <w:start w:val="1"/>
      <w:numFmt w:val="bullet"/>
      <w:lvlText w:val=""/>
      <w:lvlJc w:val="left"/>
      <w:pPr>
        <w:ind w:left="2880" w:hanging="360"/>
      </w:pPr>
      <w:rPr>
        <w:rFonts w:ascii="Symbol" w:hAnsi="Symbol" w:hint="default"/>
      </w:rPr>
    </w:lvl>
    <w:lvl w:ilvl="4" w:tplc="434AF694">
      <w:start w:val="1"/>
      <w:numFmt w:val="bullet"/>
      <w:lvlText w:val="o"/>
      <w:lvlJc w:val="left"/>
      <w:pPr>
        <w:ind w:left="3600" w:hanging="360"/>
      </w:pPr>
      <w:rPr>
        <w:rFonts w:ascii="Courier New" w:hAnsi="Courier New" w:hint="default"/>
      </w:rPr>
    </w:lvl>
    <w:lvl w:ilvl="5" w:tplc="512EA7C2">
      <w:start w:val="1"/>
      <w:numFmt w:val="bullet"/>
      <w:lvlText w:val=""/>
      <w:lvlJc w:val="left"/>
      <w:pPr>
        <w:ind w:left="4320" w:hanging="360"/>
      </w:pPr>
      <w:rPr>
        <w:rFonts w:ascii="Wingdings" w:hAnsi="Wingdings" w:hint="default"/>
      </w:rPr>
    </w:lvl>
    <w:lvl w:ilvl="6" w:tplc="48D0DE16">
      <w:start w:val="1"/>
      <w:numFmt w:val="bullet"/>
      <w:lvlText w:val=""/>
      <w:lvlJc w:val="left"/>
      <w:pPr>
        <w:ind w:left="5040" w:hanging="360"/>
      </w:pPr>
      <w:rPr>
        <w:rFonts w:ascii="Symbol" w:hAnsi="Symbol" w:hint="default"/>
      </w:rPr>
    </w:lvl>
    <w:lvl w:ilvl="7" w:tplc="ACCA5918">
      <w:start w:val="1"/>
      <w:numFmt w:val="bullet"/>
      <w:lvlText w:val="o"/>
      <w:lvlJc w:val="left"/>
      <w:pPr>
        <w:ind w:left="5760" w:hanging="360"/>
      </w:pPr>
      <w:rPr>
        <w:rFonts w:ascii="Courier New" w:hAnsi="Courier New" w:hint="default"/>
      </w:rPr>
    </w:lvl>
    <w:lvl w:ilvl="8" w:tplc="5E3E03B0">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3636C75"/>
    <w:multiLevelType w:val="hybridMultilevel"/>
    <w:tmpl w:val="3108467A"/>
    <w:lvl w:ilvl="0" w:tplc="F7BA65B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004F9E"/>
    <w:multiLevelType w:val="hybridMultilevel"/>
    <w:tmpl w:val="021ADBCC"/>
    <w:lvl w:ilvl="0" w:tplc="CC5A317E">
      <w:numFmt w:val="bullet"/>
      <w:lvlText w:val="-"/>
      <w:lvlJc w:val="left"/>
      <w:pPr>
        <w:ind w:left="644" w:hanging="360"/>
      </w:pPr>
      <w:rPr>
        <w:rFonts w:ascii="Arial" w:eastAsia="Times"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263D2262"/>
    <w:multiLevelType w:val="hybridMultilevel"/>
    <w:tmpl w:val="71182450"/>
    <w:lvl w:ilvl="0" w:tplc="537E78D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E6C2C"/>
    <w:multiLevelType w:val="multilevel"/>
    <w:tmpl w:val="3CDE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07B6E"/>
    <w:multiLevelType w:val="hybridMultilevel"/>
    <w:tmpl w:val="FF8E8F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3AA0C96"/>
    <w:multiLevelType w:val="hybridMultilevel"/>
    <w:tmpl w:val="31C6E0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1BB44FA"/>
    <w:multiLevelType w:val="hybridMultilevel"/>
    <w:tmpl w:val="8FB0DFEC"/>
    <w:lvl w:ilvl="0" w:tplc="3A16A6B2">
      <w:start w:val="5"/>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DB7C16"/>
    <w:multiLevelType w:val="hybridMultilevel"/>
    <w:tmpl w:val="686EE324"/>
    <w:lvl w:ilvl="0" w:tplc="A67EB06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4678" w:hanging="283"/>
      </w:pPr>
      <w:rPr>
        <w:rFonts w:ascii="Calibri" w:hAnsi="Calibri" w:hint="default"/>
      </w:rPr>
    </w:lvl>
    <w:lvl w:ilvl="2">
      <w:start w:val="1"/>
      <w:numFmt w:val="none"/>
      <w:lvlRestart w:val="0"/>
      <w:lvlText w:val=""/>
      <w:lvlJc w:val="left"/>
      <w:pPr>
        <w:ind w:left="-5245" w:firstLine="0"/>
      </w:pPr>
      <w:rPr>
        <w:rFonts w:hint="default"/>
      </w:rPr>
    </w:lvl>
    <w:lvl w:ilvl="3">
      <w:start w:val="1"/>
      <w:numFmt w:val="none"/>
      <w:lvlRestart w:val="0"/>
      <w:lvlText w:val=""/>
      <w:lvlJc w:val="left"/>
      <w:pPr>
        <w:ind w:left="-5245" w:firstLine="0"/>
      </w:pPr>
      <w:rPr>
        <w:rFonts w:hint="default"/>
      </w:rPr>
    </w:lvl>
    <w:lvl w:ilvl="4">
      <w:start w:val="1"/>
      <w:numFmt w:val="none"/>
      <w:lvlRestart w:val="0"/>
      <w:lvlText w:val=""/>
      <w:lvlJc w:val="left"/>
      <w:pPr>
        <w:ind w:left="-5245" w:firstLine="0"/>
      </w:pPr>
      <w:rPr>
        <w:rFonts w:hint="default"/>
      </w:rPr>
    </w:lvl>
    <w:lvl w:ilvl="5">
      <w:start w:val="1"/>
      <w:numFmt w:val="none"/>
      <w:lvlRestart w:val="0"/>
      <w:lvlText w:val=""/>
      <w:lvlJc w:val="left"/>
      <w:pPr>
        <w:ind w:left="-5245" w:firstLine="0"/>
      </w:pPr>
      <w:rPr>
        <w:rFonts w:hint="default"/>
      </w:rPr>
    </w:lvl>
    <w:lvl w:ilvl="6">
      <w:start w:val="1"/>
      <w:numFmt w:val="none"/>
      <w:lvlRestart w:val="0"/>
      <w:lvlText w:val=""/>
      <w:lvlJc w:val="left"/>
      <w:pPr>
        <w:ind w:left="-5245" w:firstLine="0"/>
      </w:pPr>
      <w:rPr>
        <w:rFonts w:hint="default"/>
      </w:rPr>
    </w:lvl>
    <w:lvl w:ilvl="7">
      <w:start w:val="1"/>
      <w:numFmt w:val="none"/>
      <w:lvlRestart w:val="0"/>
      <w:lvlText w:val=""/>
      <w:lvlJc w:val="left"/>
      <w:pPr>
        <w:ind w:left="-5245" w:firstLine="0"/>
      </w:pPr>
      <w:rPr>
        <w:rFonts w:hint="default"/>
      </w:rPr>
    </w:lvl>
    <w:lvl w:ilvl="8">
      <w:start w:val="1"/>
      <w:numFmt w:val="none"/>
      <w:lvlRestart w:val="0"/>
      <w:lvlText w:val=""/>
      <w:lvlJc w:val="left"/>
      <w:pPr>
        <w:ind w:left="-5245" w:firstLine="0"/>
      </w:pPr>
      <w:rPr>
        <w:rFonts w:hint="default"/>
      </w:rPr>
    </w:lvl>
  </w:abstractNum>
  <w:abstractNum w:abstractNumId="14" w15:restartNumberingAfterBreak="0">
    <w:nsid w:val="5AB5131D"/>
    <w:multiLevelType w:val="hybridMultilevel"/>
    <w:tmpl w:val="44087DB0"/>
    <w:lvl w:ilvl="0" w:tplc="C336A02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6697868"/>
    <w:multiLevelType w:val="hybridMultilevel"/>
    <w:tmpl w:val="904897BE"/>
    <w:lvl w:ilvl="0" w:tplc="5A3633BE">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2194100">
    <w:abstractNumId w:val="7"/>
  </w:num>
  <w:num w:numId="2" w16cid:durableId="1403135662">
    <w:abstractNumId w:val="13"/>
  </w:num>
  <w:num w:numId="3" w16cid:durableId="1214925592">
    <w:abstractNumId w:val="12"/>
  </w:num>
  <w:num w:numId="4" w16cid:durableId="1427340923">
    <w:abstractNumId w:val="15"/>
  </w:num>
  <w:num w:numId="5" w16cid:durableId="1891576167">
    <w:abstractNumId w:val="8"/>
  </w:num>
  <w:num w:numId="6" w16cid:durableId="1315448074">
    <w:abstractNumId w:val="1"/>
  </w:num>
  <w:num w:numId="7" w16cid:durableId="37244693">
    <w:abstractNumId w:val="16"/>
  </w:num>
  <w:num w:numId="8" w16cid:durableId="959799820">
    <w:abstractNumId w:val="4"/>
  </w:num>
  <w:num w:numId="9" w16cid:durableId="706949516">
    <w:abstractNumId w:val="9"/>
  </w:num>
  <w:num w:numId="10" w16cid:durableId="1984772552">
    <w:abstractNumId w:val="0"/>
  </w:num>
  <w:num w:numId="11" w16cid:durableId="1108886061">
    <w:abstractNumId w:val="2"/>
  </w:num>
  <w:num w:numId="12" w16cid:durableId="303050004">
    <w:abstractNumId w:val="10"/>
  </w:num>
  <w:num w:numId="13" w16cid:durableId="30959434">
    <w:abstractNumId w:val="11"/>
  </w:num>
  <w:num w:numId="14" w16cid:durableId="7605498">
    <w:abstractNumId w:val="5"/>
  </w:num>
  <w:num w:numId="15" w16cid:durableId="1777362938">
    <w:abstractNumId w:val="6"/>
  </w:num>
  <w:num w:numId="16" w16cid:durableId="602617768">
    <w:abstractNumId w:val="14"/>
  </w:num>
  <w:num w:numId="17" w16cid:durableId="184177426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1C"/>
    <w:rsid w:val="0000039F"/>
    <w:rsid w:val="00000719"/>
    <w:rsid w:val="00000CE3"/>
    <w:rsid w:val="000011BF"/>
    <w:rsid w:val="00001428"/>
    <w:rsid w:val="00001A1D"/>
    <w:rsid w:val="000021AF"/>
    <w:rsid w:val="00002D68"/>
    <w:rsid w:val="00003289"/>
    <w:rsid w:val="000033F7"/>
    <w:rsid w:val="00003403"/>
    <w:rsid w:val="000034B1"/>
    <w:rsid w:val="000037D9"/>
    <w:rsid w:val="0000397B"/>
    <w:rsid w:val="00003A3A"/>
    <w:rsid w:val="00003EBE"/>
    <w:rsid w:val="000041D3"/>
    <w:rsid w:val="000044F0"/>
    <w:rsid w:val="00004929"/>
    <w:rsid w:val="00004F13"/>
    <w:rsid w:val="00005347"/>
    <w:rsid w:val="00005B70"/>
    <w:rsid w:val="00005B91"/>
    <w:rsid w:val="000060CA"/>
    <w:rsid w:val="00006621"/>
    <w:rsid w:val="00006DF1"/>
    <w:rsid w:val="00007005"/>
    <w:rsid w:val="000071E6"/>
    <w:rsid w:val="000072B6"/>
    <w:rsid w:val="00007B42"/>
    <w:rsid w:val="0001021B"/>
    <w:rsid w:val="00011D7A"/>
    <w:rsid w:val="00011D89"/>
    <w:rsid w:val="00012000"/>
    <w:rsid w:val="00012684"/>
    <w:rsid w:val="000126BF"/>
    <w:rsid w:val="00012979"/>
    <w:rsid w:val="00013604"/>
    <w:rsid w:val="0001381C"/>
    <w:rsid w:val="00013FBA"/>
    <w:rsid w:val="000143D5"/>
    <w:rsid w:val="0001453D"/>
    <w:rsid w:val="00014614"/>
    <w:rsid w:val="00014656"/>
    <w:rsid w:val="000147E9"/>
    <w:rsid w:val="000152A2"/>
    <w:rsid w:val="000154FD"/>
    <w:rsid w:val="00015939"/>
    <w:rsid w:val="00016710"/>
    <w:rsid w:val="00016720"/>
    <w:rsid w:val="00016833"/>
    <w:rsid w:val="0001741B"/>
    <w:rsid w:val="000174FE"/>
    <w:rsid w:val="00017B21"/>
    <w:rsid w:val="00017E54"/>
    <w:rsid w:val="00020717"/>
    <w:rsid w:val="00021131"/>
    <w:rsid w:val="000213AA"/>
    <w:rsid w:val="00021A30"/>
    <w:rsid w:val="00021A5F"/>
    <w:rsid w:val="00021FB3"/>
    <w:rsid w:val="00022271"/>
    <w:rsid w:val="00022854"/>
    <w:rsid w:val="000235E8"/>
    <w:rsid w:val="000237DC"/>
    <w:rsid w:val="00023B53"/>
    <w:rsid w:val="00024163"/>
    <w:rsid w:val="000247A9"/>
    <w:rsid w:val="00024CB1"/>
    <w:rsid w:val="00024D89"/>
    <w:rsid w:val="000250B6"/>
    <w:rsid w:val="00025557"/>
    <w:rsid w:val="00025894"/>
    <w:rsid w:val="00025A96"/>
    <w:rsid w:val="0002600D"/>
    <w:rsid w:val="00026167"/>
    <w:rsid w:val="000264AA"/>
    <w:rsid w:val="00026A3F"/>
    <w:rsid w:val="00027038"/>
    <w:rsid w:val="00027248"/>
    <w:rsid w:val="000274C6"/>
    <w:rsid w:val="00027580"/>
    <w:rsid w:val="00027722"/>
    <w:rsid w:val="00027968"/>
    <w:rsid w:val="00027C06"/>
    <w:rsid w:val="00030CDD"/>
    <w:rsid w:val="00031609"/>
    <w:rsid w:val="00032D5B"/>
    <w:rsid w:val="00033216"/>
    <w:rsid w:val="00033522"/>
    <w:rsid w:val="000339F6"/>
    <w:rsid w:val="00033D81"/>
    <w:rsid w:val="00033DC9"/>
    <w:rsid w:val="000347BE"/>
    <w:rsid w:val="00034B4A"/>
    <w:rsid w:val="00034F5E"/>
    <w:rsid w:val="000354C0"/>
    <w:rsid w:val="000356FA"/>
    <w:rsid w:val="0003584C"/>
    <w:rsid w:val="00035AE5"/>
    <w:rsid w:val="00035B0B"/>
    <w:rsid w:val="00036108"/>
    <w:rsid w:val="000364B0"/>
    <w:rsid w:val="00036AED"/>
    <w:rsid w:val="00037366"/>
    <w:rsid w:val="000373DE"/>
    <w:rsid w:val="00037D5E"/>
    <w:rsid w:val="0004077D"/>
    <w:rsid w:val="00040FD1"/>
    <w:rsid w:val="000412DB"/>
    <w:rsid w:val="00041318"/>
    <w:rsid w:val="0004155A"/>
    <w:rsid w:val="000419AC"/>
    <w:rsid w:val="00041BF0"/>
    <w:rsid w:val="00041D8D"/>
    <w:rsid w:val="00041FE1"/>
    <w:rsid w:val="00042645"/>
    <w:rsid w:val="00042689"/>
    <w:rsid w:val="0004270B"/>
    <w:rsid w:val="000428D0"/>
    <w:rsid w:val="00042C8A"/>
    <w:rsid w:val="000438D1"/>
    <w:rsid w:val="000439CC"/>
    <w:rsid w:val="00043F5A"/>
    <w:rsid w:val="0004423A"/>
    <w:rsid w:val="0004495A"/>
    <w:rsid w:val="00044F00"/>
    <w:rsid w:val="0004536B"/>
    <w:rsid w:val="000453FF"/>
    <w:rsid w:val="00045A71"/>
    <w:rsid w:val="00045AAB"/>
    <w:rsid w:val="00045CC4"/>
    <w:rsid w:val="0004676C"/>
    <w:rsid w:val="000467B8"/>
    <w:rsid w:val="00046B68"/>
    <w:rsid w:val="000471D6"/>
    <w:rsid w:val="00047498"/>
    <w:rsid w:val="00047714"/>
    <w:rsid w:val="0004793D"/>
    <w:rsid w:val="00047E15"/>
    <w:rsid w:val="000504D8"/>
    <w:rsid w:val="00050B05"/>
    <w:rsid w:val="00051C27"/>
    <w:rsid w:val="000522F2"/>
    <w:rsid w:val="000526F8"/>
    <w:rsid w:val="000527DD"/>
    <w:rsid w:val="0005295D"/>
    <w:rsid w:val="00052F31"/>
    <w:rsid w:val="00053715"/>
    <w:rsid w:val="000538D7"/>
    <w:rsid w:val="00053B2C"/>
    <w:rsid w:val="00053E51"/>
    <w:rsid w:val="000543D1"/>
    <w:rsid w:val="00054469"/>
    <w:rsid w:val="00054539"/>
    <w:rsid w:val="000546CE"/>
    <w:rsid w:val="000547DC"/>
    <w:rsid w:val="00054F2E"/>
    <w:rsid w:val="00055181"/>
    <w:rsid w:val="0005553F"/>
    <w:rsid w:val="00055923"/>
    <w:rsid w:val="00055B52"/>
    <w:rsid w:val="0005685E"/>
    <w:rsid w:val="00056937"/>
    <w:rsid w:val="00056BED"/>
    <w:rsid w:val="00056D23"/>
    <w:rsid w:val="00056EC4"/>
    <w:rsid w:val="0005761C"/>
    <w:rsid w:val="00057812"/>
    <w:rsid w:val="000578B2"/>
    <w:rsid w:val="000579DD"/>
    <w:rsid w:val="00057DA6"/>
    <w:rsid w:val="00057E63"/>
    <w:rsid w:val="000600D0"/>
    <w:rsid w:val="00060959"/>
    <w:rsid w:val="00060C8F"/>
    <w:rsid w:val="00060D83"/>
    <w:rsid w:val="00061B80"/>
    <w:rsid w:val="00061EE7"/>
    <w:rsid w:val="00062322"/>
    <w:rsid w:val="00062472"/>
    <w:rsid w:val="0006284E"/>
    <w:rsid w:val="0006298A"/>
    <w:rsid w:val="00062B95"/>
    <w:rsid w:val="00062F31"/>
    <w:rsid w:val="00062F93"/>
    <w:rsid w:val="00063B63"/>
    <w:rsid w:val="00063C55"/>
    <w:rsid w:val="00063FA9"/>
    <w:rsid w:val="00064040"/>
    <w:rsid w:val="00064A50"/>
    <w:rsid w:val="00064E05"/>
    <w:rsid w:val="00064F0E"/>
    <w:rsid w:val="000663CD"/>
    <w:rsid w:val="0006641D"/>
    <w:rsid w:val="000668CE"/>
    <w:rsid w:val="00066B7A"/>
    <w:rsid w:val="0006714F"/>
    <w:rsid w:val="0006718F"/>
    <w:rsid w:val="00067355"/>
    <w:rsid w:val="00067A80"/>
    <w:rsid w:val="00067C9D"/>
    <w:rsid w:val="00070091"/>
    <w:rsid w:val="00070544"/>
    <w:rsid w:val="000708A1"/>
    <w:rsid w:val="000717A1"/>
    <w:rsid w:val="00071AF5"/>
    <w:rsid w:val="00071D5F"/>
    <w:rsid w:val="00071E32"/>
    <w:rsid w:val="00071EC0"/>
    <w:rsid w:val="00072108"/>
    <w:rsid w:val="0007239C"/>
    <w:rsid w:val="00072938"/>
    <w:rsid w:val="00072A58"/>
    <w:rsid w:val="000733FE"/>
    <w:rsid w:val="00073676"/>
    <w:rsid w:val="0007371E"/>
    <w:rsid w:val="00073927"/>
    <w:rsid w:val="00073F83"/>
    <w:rsid w:val="00073FF3"/>
    <w:rsid w:val="00074219"/>
    <w:rsid w:val="000742C1"/>
    <w:rsid w:val="000742E8"/>
    <w:rsid w:val="000744BF"/>
    <w:rsid w:val="00074ED5"/>
    <w:rsid w:val="0007576D"/>
    <w:rsid w:val="00075D1E"/>
    <w:rsid w:val="00075E23"/>
    <w:rsid w:val="00075ED2"/>
    <w:rsid w:val="000762FD"/>
    <w:rsid w:val="000768AD"/>
    <w:rsid w:val="00076949"/>
    <w:rsid w:val="0007785F"/>
    <w:rsid w:val="00080295"/>
    <w:rsid w:val="000803D7"/>
    <w:rsid w:val="0008082C"/>
    <w:rsid w:val="00080861"/>
    <w:rsid w:val="00081CD4"/>
    <w:rsid w:val="0008204A"/>
    <w:rsid w:val="0008244F"/>
    <w:rsid w:val="000828DC"/>
    <w:rsid w:val="00082BA2"/>
    <w:rsid w:val="000830DC"/>
    <w:rsid w:val="00083709"/>
    <w:rsid w:val="00083C54"/>
    <w:rsid w:val="00083D36"/>
    <w:rsid w:val="00083EB4"/>
    <w:rsid w:val="000848F4"/>
    <w:rsid w:val="00084F84"/>
    <w:rsid w:val="0008508E"/>
    <w:rsid w:val="000850EF"/>
    <w:rsid w:val="00085182"/>
    <w:rsid w:val="00085C98"/>
    <w:rsid w:val="000863DB"/>
    <w:rsid w:val="00086B21"/>
    <w:rsid w:val="00086B78"/>
    <w:rsid w:val="00086BAF"/>
    <w:rsid w:val="00087015"/>
    <w:rsid w:val="00087326"/>
    <w:rsid w:val="00087677"/>
    <w:rsid w:val="00087951"/>
    <w:rsid w:val="00087C7A"/>
    <w:rsid w:val="00087CC8"/>
    <w:rsid w:val="000908AC"/>
    <w:rsid w:val="00090D33"/>
    <w:rsid w:val="0009113B"/>
    <w:rsid w:val="0009128E"/>
    <w:rsid w:val="000914B4"/>
    <w:rsid w:val="00091A65"/>
    <w:rsid w:val="00091BFA"/>
    <w:rsid w:val="00092996"/>
    <w:rsid w:val="000929C9"/>
    <w:rsid w:val="00092CC1"/>
    <w:rsid w:val="00093402"/>
    <w:rsid w:val="00093A2A"/>
    <w:rsid w:val="00093DAB"/>
    <w:rsid w:val="000942E5"/>
    <w:rsid w:val="00094D0E"/>
    <w:rsid w:val="00094DA3"/>
    <w:rsid w:val="00095532"/>
    <w:rsid w:val="0009588D"/>
    <w:rsid w:val="00095E0B"/>
    <w:rsid w:val="00096010"/>
    <w:rsid w:val="00096031"/>
    <w:rsid w:val="0009609C"/>
    <w:rsid w:val="000961B5"/>
    <w:rsid w:val="00096252"/>
    <w:rsid w:val="00096608"/>
    <w:rsid w:val="000967DA"/>
    <w:rsid w:val="000969A7"/>
    <w:rsid w:val="00096CD1"/>
    <w:rsid w:val="00096DB4"/>
    <w:rsid w:val="000A012C"/>
    <w:rsid w:val="000A0283"/>
    <w:rsid w:val="000A0BA5"/>
    <w:rsid w:val="000A0EB9"/>
    <w:rsid w:val="000A0F14"/>
    <w:rsid w:val="000A0F52"/>
    <w:rsid w:val="000A11FD"/>
    <w:rsid w:val="000A186C"/>
    <w:rsid w:val="000A1EA4"/>
    <w:rsid w:val="000A2458"/>
    <w:rsid w:val="000A2476"/>
    <w:rsid w:val="000A2623"/>
    <w:rsid w:val="000A3192"/>
    <w:rsid w:val="000A34F3"/>
    <w:rsid w:val="000A3A11"/>
    <w:rsid w:val="000A3D4E"/>
    <w:rsid w:val="000A3E3A"/>
    <w:rsid w:val="000A4D92"/>
    <w:rsid w:val="000A525F"/>
    <w:rsid w:val="000A577A"/>
    <w:rsid w:val="000A5CFE"/>
    <w:rsid w:val="000A5EB2"/>
    <w:rsid w:val="000A63D9"/>
    <w:rsid w:val="000A641A"/>
    <w:rsid w:val="000A72B7"/>
    <w:rsid w:val="000A74FC"/>
    <w:rsid w:val="000A7513"/>
    <w:rsid w:val="000A75E7"/>
    <w:rsid w:val="000A7946"/>
    <w:rsid w:val="000A7E03"/>
    <w:rsid w:val="000B078F"/>
    <w:rsid w:val="000B09FD"/>
    <w:rsid w:val="000B0A22"/>
    <w:rsid w:val="000B1959"/>
    <w:rsid w:val="000B1D00"/>
    <w:rsid w:val="000B2500"/>
    <w:rsid w:val="000B299C"/>
    <w:rsid w:val="000B2CF2"/>
    <w:rsid w:val="000B2D54"/>
    <w:rsid w:val="000B2ED9"/>
    <w:rsid w:val="000B3646"/>
    <w:rsid w:val="000B378E"/>
    <w:rsid w:val="000B38F4"/>
    <w:rsid w:val="000B3E89"/>
    <w:rsid w:val="000B3EBA"/>
    <w:rsid w:val="000B3EDB"/>
    <w:rsid w:val="000B43F2"/>
    <w:rsid w:val="000B4654"/>
    <w:rsid w:val="000B4913"/>
    <w:rsid w:val="000B4B46"/>
    <w:rsid w:val="000B4DEC"/>
    <w:rsid w:val="000B4E2D"/>
    <w:rsid w:val="000B543D"/>
    <w:rsid w:val="000B55F9"/>
    <w:rsid w:val="000B5BF7"/>
    <w:rsid w:val="000B67CC"/>
    <w:rsid w:val="000B6978"/>
    <w:rsid w:val="000B6B64"/>
    <w:rsid w:val="000B6B73"/>
    <w:rsid w:val="000B6B9B"/>
    <w:rsid w:val="000B6BC8"/>
    <w:rsid w:val="000B6C43"/>
    <w:rsid w:val="000B6DE4"/>
    <w:rsid w:val="000B7981"/>
    <w:rsid w:val="000B7FD0"/>
    <w:rsid w:val="000C0303"/>
    <w:rsid w:val="000C030B"/>
    <w:rsid w:val="000C0AED"/>
    <w:rsid w:val="000C0DD5"/>
    <w:rsid w:val="000C0FA7"/>
    <w:rsid w:val="000C111F"/>
    <w:rsid w:val="000C13AA"/>
    <w:rsid w:val="000C1D52"/>
    <w:rsid w:val="000C1EF6"/>
    <w:rsid w:val="000C2699"/>
    <w:rsid w:val="000C2773"/>
    <w:rsid w:val="000C2C7D"/>
    <w:rsid w:val="000C33A3"/>
    <w:rsid w:val="000C3762"/>
    <w:rsid w:val="000C3EA1"/>
    <w:rsid w:val="000C42EA"/>
    <w:rsid w:val="000C4546"/>
    <w:rsid w:val="000C4861"/>
    <w:rsid w:val="000C501D"/>
    <w:rsid w:val="000C53CD"/>
    <w:rsid w:val="000C54D7"/>
    <w:rsid w:val="000C60F1"/>
    <w:rsid w:val="000C6701"/>
    <w:rsid w:val="000C7449"/>
    <w:rsid w:val="000C7E92"/>
    <w:rsid w:val="000C7F29"/>
    <w:rsid w:val="000D000B"/>
    <w:rsid w:val="000D072B"/>
    <w:rsid w:val="000D0BFE"/>
    <w:rsid w:val="000D1014"/>
    <w:rsid w:val="000D1242"/>
    <w:rsid w:val="000D1888"/>
    <w:rsid w:val="000D1AC4"/>
    <w:rsid w:val="000D1F98"/>
    <w:rsid w:val="000D268B"/>
    <w:rsid w:val="000D26F9"/>
    <w:rsid w:val="000D2ABA"/>
    <w:rsid w:val="000D2DDE"/>
    <w:rsid w:val="000D3336"/>
    <w:rsid w:val="000D34C5"/>
    <w:rsid w:val="000D3ED9"/>
    <w:rsid w:val="000D3F79"/>
    <w:rsid w:val="000D49E2"/>
    <w:rsid w:val="000D505D"/>
    <w:rsid w:val="000D529B"/>
    <w:rsid w:val="000D5557"/>
    <w:rsid w:val="000D55B0"/>
    <w:rsid w:val="000D561C"/>
    <w:rsid w:val="000D5C9A"/>
    <w:rsid w:val="000D6AFF"/>
    <w:rsid w:val="000D6F7A"/>
    <w:rsid w:val="000D778B"/>
    <w:rsid w:val="000E0970"/>
    <w:rsid w:val="000E16E9"/>
    <w:rsid w:val="000E1964"/>
    <w:rsid w:val="000E19CC"/>
    <w:rsid w:val="000E24C9"/>
    <w:rsid w:val="000E2522"/>
    <w:rsid w:val="000E2EB7"/>
    <w:rsid w:val="000E30D6"/>
    <w:rsid w:val="000E31A7"/>
    <w:rsid w:val="000E3616"/>
    <w:rsid w:val="000E37AF"/>
    <w:rsid w:val="000E3CC7"/>
    <w:rsid w:val="000E3D54"/>
    <w:rsid w:val="000E3EFC"/>
    <w:rsid w:val="000E4167"/>
    <w:rsid w:val="000E483E"/>
    <w:rsid w:val="000E5188"/>
    <w:rsid w:val="000E52E1"/>
    <w:rsid w:val="000E52E4"/>
    <w:rsid w:val="000E53E1"/>
    <w:rsid w:val="000E53E6"/>
    <w:rsid w:val="000E5854"/>
    <w:rsid w:val="000E5B47"/>
    <w:rsid w:val="000E5F8B"/>
    <w:rsid w:val="000E6BD4"/>
    <w:rsid w:val="000E6D6D"/>
    <w:rsid w:val="000E6F92"/>
    <w:rsid w:val="000E7868"/>
    <w:rsid w:val="000E7AB3"/>
    <w:rsid w:val="000E7EA8"/>
    <w:rsid w:val="000E7ED1"/>
    <w:rsid w:val="000E7F63"/>
    <w:rsid w:val="000F0121"/>
    <w:rsid w:val="000F0154"/>
    <w:rsid w:val="000F050E"/>
    <w:rsid w:val="000F08FD"/>
    <w:rsid w:val="000F10EB"/>
    <w:rsid w:val="000F1F1E"/>
    <w:rsid w:val="000F201C"/>
    <w:rsid w:val="000F2259"/>
    <w:rsid w:val="000F27E2"/>
    <w:rsid w:val="000F2C91"/>
    <w:rsid w:val="000F2DC2"/>
    <w:rsid w:val="000F2DDA"/>
    <w:rsid w:val="000F2EA0"/>
    <w:rsid w:val="000F31DD"/>
    <w:rsid w:val="000F35B3"/>
    <w:rsid w:val="000F36DB"/>
    <w:rsid w:val="000F3A54"/>
    <w:rsid w:val="000F4363"/>
    <w:rsid w:val="000F43D1"/>
    <w:rsid w:val="000F4959"/>
    <w:rsid w:val="000F4B22"/>
    <w:rsid w:val="000F5099"/>
    <w:rsid w:val="000F5213"/>
    <w:rsid w:val="000F52E2"/>
    <w:rsid w:val="000F56FA"/>
    <w:rsid w:val="000F57F2"/>
    <w:rsid w:val="000F5942"/>
    <w:rsid w:val="000F5D15"/>
    <w:rsid w:val="000F6630"/>
    <w:rsid w:val="000F6CC7"/>
    <w:rsid w:val="000F74F1"/>
    <w:rsid w:val="000F7559"/>
    <w:rsid w:val="000F7616"/>
    <w:rsid w:val="000F766A"/>
    <w:rsid w:val="000F79EE"/>
    <w:rsid w:val="001004DB"/>
    <w:rsid w:val="0010094C"/>
    <w:rsid w:val="00100F07"/>
    <w:rsid w:val="00101001"/>
    <w:rsid w:val="001011EE"/>
    <w:rsid w:val="001012B4"/>
    <w:rsid w:val="001013ED"/>
    <w:rsid w:val="001015A3"/>
    <w:rsid w:val="001017DA"/>
    <w:rsid w:val="00101C0D"/>
    <w:rsid w:val="00101CCF"/>
    <w:rsid w:val="00101CF5"/>
    <w:rsid w:val="001020AF"/>
    <w:rsid w:val="001021BC"/>
    <w:rsid w:val="001022F9"/>
    <w:rsid w:val="0010234E"/>
    <w:rsid w:val="00102D48"/>
    <w:rsid w:val="00102F30"/>
    <w:rsid w:val="00102F47"/>
    <w:rsid w:val="00102FE8"/>
    <w:rsid w:val="00103018"/>
    <w:rsid w:val="00103276"/>
    <w:rsid w:val="001034BD"/>
    <w:rsid w:val="0010392D"/>
    <w:rsid w:val="0010447F"/>
    <w:rsid w:val="00104FE3"/>
    <w:rsid w:val="001057F1"/>
    <w:rsid w:val="00105ABB"/>
    <w:rsid w:val="00106596"/>
    <w:rsid w:val="00106EEA"/>
    <w:rsid w:val="00107066"/>
    <w:rsid w:val="0010714F"/>
    <w:rsid w:val="001072CC"/>
    <w:rsid w:val="001076F0"/>
    <w:rsid w:val="00107B65"/>
    <w:rsid w:val="00107E0A"/>
    <w:rsid w:val="00110B0C"/>
    <w:rsid w:val="00110EED"/>
    <w:rsid w:val="00111039"/>
    <w:rsid w:val="001112E5"/>
    <w:rsid w:val="00111556"/>
    <w:rsid w:val="001119C3"/>
    <w:rsid w:val="001119FC"/>
    <w:rsid w:val="00112052"/>
    <w:rsid w:val="001120C5"/>
    <w:rsid w:val="00112CB5"/>
    <w:rsid w:val="00112E6E"/>
    <w:rsid w:val="001139F0"/>
    <w:rsid w:val="00113AB4"/>
    <w:rsid w:val="00113BF2"/>
    <w:rsid w:val="001146DA"/>
    <w:rsid w:val="001150A9"/>
    <w:rsid w:val="001152C6"/>
    <w:rsid w:val="00115450"/>
    <w:rsid w:val="0011550A"/>
    <w:rsid w:val="00116050"/>
    <w:rsid w:val="0011617F"/>
    <w:rsid w:val="0011619E"/>
    <w:rsid w:val="001163FE"/>
    <w:rsid w:val="001165E3"/>
    <w:rsid w:val="00116EB3"/>
    <w:rsid w:val="00117111"/>
    <w:rsid w:val="0011757B"/>
    <w:rsid w:val="00117944"/>
    <w:rsid w:val="00117A95"/>
    <w:rsid w:val="00120206"/>
    <w:rsid w:val="001204B7"/>
    <w:rsid w:val="00120BD3"/>
    <w:rsid w:val="0012103A"/>
    <w:rsid w:val="00121232"/>
    <w:rsid w:val="00121857"/>
    <w:rsid w:val="00121A3A"/>
    <w:rsid w:val="00121D0C"/>
    <w:rsid w:val="00122165"/>
    <w:rsid w:val="0012265A"/>
    <w:rsid w:val="00122FEA"/>
    <w:rsid w:val="001232BD"/>
    <w:rsid w:val="00123534"/>
    <w:rsid w:val="001235E6"/>
    <w:rsid w:val="00123606"/>
    <w:rsid w:val="001236DC"/>
    <w:rsid w:val="00123A05"/>
    <w:rsid w:val="001240B6"/>
    <w:rsid w:val="00124D99"/>
    <w:rsid w:val="00124ED5"/>
    <w:rsid w:val="0012511E"/>
    <w:rsid w:val="0012534A"/>
    <w:rsid w:val="001255B1"/>
    <w:rsid w:val="00126271"/>
    <w:rsid w:val="0012631F"/>
    <w:rsid w:val="00126626"/>
    <w:rsid w:val="0012674C"/>
    <w:rsid w:val="00126945"/>
    <w:rsid w:val="0012698C"/>
    <w:rsid w:val="00126DD0"/>
    <w:rsid w:val="00126DF1"/>
    <w:rsid w:val="00126EC6"/>
    <w:rsid w:val="001270C2"/>
    <w:rsid w:val="001273DD"/>
    <w:rsid w:val="001276FA"/>
    <w:rsid w:val="00127F88"/>
    <w:rsid w:val="00130BBD"/>
    <w:rsid w:val="0013147C"/>
    <w:rsid w:val="00131535"/>
    <w:rsid w:val="00131922"/>
    <w:rsid w:val="00131A59"/>
    <w:rsid w:val="00131B67"/>
    <w:rsid w:val="00131E19"/>
    <w:rsid w:val="001321E9"/>
    <w:rsid w:val="00132DB0"/>
    <w:rsid w:val="00133B21"/>
    <w:rsid w:val="00133E53"/>
    <w:rsid w:val="001341A2"/>
    <w:rsid w:val="0013434B"/>
    <w:rsid w:val="00134A43"/>
    <w:rsid w:val="00134B0D"/>
    <w:rsid w:val="00134F98"/>
    <w:rsid w:val="001351E6"/>
    <w:rsid w:val="001353F6"/>
    <w:rsid w:val="001355F1"/>
    <w:rsid w:val="0013566F"/>
    <w:rsid w:val="00135809"/>
    <w:rsid w:val="00135D36"/>
    <w:rsid w:val="00135EBB"/>
    <w:rsid w:val="00135F65"/>
    <w:rsid w:val="00135FD7"/>
    <w:rsid w:val="00136519"/>
    <w:rsid w:val="0013680F"/>
    <w:rsid w:val="001368A1"/>
    <w:rsid w:val="0013694D"/>
    <w:rsid w:val="001369B8"/>
    <w:rsid w:val="00137CE2"/>
    <w:rsid w:val="001400D6"/>
    <w:rsid w:val="00140DBC"/>
    <w:rsid w:val="00140EF2"/>
    <w:rsid w:val="001426A3"/>
    <w:rsid w:val="00142AB1"/>
    <w:rsid w:val="00142B9C"/>
    <w:rsid w:val="00142C8E"/>
    <w:rsid w:val="00143F24"/>
    <w:rsid w:val="00144255"/>
    <w:rsid w:val="00144385"/>
    <w:rsid w:val="0014460A"/>
    <w:rsid w:val="001447B3"/>
    <w:rsid w:val="00144D54"/>
    <w:rsid w:val="001451AC"/>
    <w:rsid w:val="00146695"/>
    <w:rsid w:val="0014717E"/>
    <w:rsid w:val="00147283"/>
    <w:rsid w:val="00147412"/>
    <w:rsid w:val="0014755C"/>
    <w:rsid w:val="00147822"/>
    <w:rsid w:val="00147942"/>
    <w:rsid w:val="00150526"/>
    <w:rsid w:val="00151011"/>
    <w:rsid w:val="00151219"/>
    <w:rsid w:val="001512D5"/>
    <w:rsid w:val="00151DFF"/>
    <w:rsid w:val="00152073"/>
    <w:rsid w:val="00152329"/>
    <w:rsid w:val="0015292F"/>
    <w:rsid w:val="00152B41"/>
    <w:rsid w:val="00152C13"/>
    <w:rsid w:val="00152C5B"/>
    <w:rsid w:val="00153562"/>
    <w:rsid w:val="00153AE5"/>
    <w:rsid w:val="001541CF"/>
    <w:rsid w:val="00154515"/>
    <w:rsid w:val="00154608"/>
    <w:rsid w:val="001547A6"/>
    <w:rsid w:val="00154C74"/>
    <w:rsid w:val="0015521E"/>
    <w:rsid w:val="001552E3"/>
    <w:rsid w:val="0015583E"/>
    <w:rsid w:val="001560AB"/>
    <w:rsid w:val="001560CA"/>
    <w:rsid w:val="00156598"/>
    <w:rsid w:val="00156B55"/>
    <w:rsid w:val="00156EEA"/>
    <w:rsid w:val="0015741C"/>
    <w:rsid w:val="001575F5"/>
    <w:rsid w:val="001577E6"/>
    <w:rsid w:val="00157B44"/>
    <w:rsid w:val="001605E0"/>
    <w:rsid w:val="00160633"/>
    <w:rsid w:val="00160730"/>
    <w:rsid w:val="0016076F"/>
    <w:rsid w:val="00160BB3"/>
    <w:rsid w:val="00160D86"/>
    <w:rsid w:val="00160F32"/>
    <w:rsid w:val="001610BE"/>
    <w:rsid w:val="00161232"/>
    <w:rsid w:val="00161355"/>
    <w:rsid w:val="001613BF"/>
    <w:rsid w:val="00161939"/>
    <w:rsid w:val="00161AA0"/>
    <w:rsid w:val="00161D2E"/>
    <w:rsid w:val="00161F3E"/>
    <w:rsid w:val="00162093"/>
    <w:rsid w:val="00162333"/>
    <w:rsid w:val="0016273C"/>
    <w:rsid w:val="00162CA9"/>
    <w:rsid w:val="00163100"/>
    <w:rsid w:val="00165459"/>
    <w:rsid w:val="001655BA"/>
    <w:rsid w:val="001659AF"/>
    <w:rsid w:val="00165A57"/>
    <w:rsid w:val="00165B4D"/>
    <w:rsid w:val="00165B73"/>
    <w:rsid w:val="00165C45"/>
    <w:rsid w:val="00165CBE"/>
    <w:rsid w:val="00165EC4"/>
    <w:rsid w:val="00165EDD"/>
    <w:rsid w:val="00166010"/>
    <w:rsid w:val="00166457"/>
    <w:rsid w:val="00166D63"/>
    <w:rsid w:val="00166F0C"/>
    <w:rsid w:val="00167290"/>
    <w:rsid w:val="001674C2"/>
    <w:rsid w:val="001678EA"/>
    <w:rsid w:val="00167E28"/>
    <w:rsid w:val="00170BF5"/>
    <w:rsid w:val="001712C2"/>
    <w:rsid w:val="00171858"/>
    <w:rsid w:val="00172148"/>
    <w:rsid w:val="001724EF"/>
    <w:rsid w:val="00172555"/>
    <w:rsid w:val="0017269A"/>
    <w:rsid w:val="0017286F"/>
    <w:rsid w:val="00172B55"/>
    <w:rsid w:val="00172BAF"/>
    <w:rsid w:val="00172DBE"/>
    <w:rsid w:val="00172E99"/>
    <w:rsid w:val="001734B4"/>
    <w:rsid w:val="00173F8B"/>
    <w:rsid w:val="0017404D"/>
    <w:rsid w:val="0017471A"/>
    <w:rsid w:val="00174964"/>
    <w:rsid w:val="001751EF"/>
    <w:rsid w:val="00175538"/>
    <w:rsid w:val="001758AC"/>
    <w:rsid w:val="00175912"/>
    <w:rsid w:val="0017592D"/>
    <w:rsid w:val="00176422"/>
    <w:rsid w:val="0017674D"/>
    <w:rsid w:val="00176816"/>
    <w:rsid w:val="00176BB7"/>
    <w:rsid w:val="001771DD"/>
    <w:rsid w:val="0017755A"/>
    <w:rsid w:val="0017760A"/>
    <w:rsid w:val="00177780"/>
    <w:rsid w:val="00177995"/>
    <w:rsid w:val="00177A8C"/>
    <w:rsid w:val="001805AF"/>
    <w:rsid w:val="00180724"/>
    <w:rsid w:val="00181CBC"/>
    <w:rsid w:val="00181F5A"/>
    <w:rsid w:val="00182325"/>
    <w:rsid w:val="0018244E"/>
    <w:rsid w:val="001825F6"/>
    <w:rsid w:val="00182AC0"/>
    <w:rsid w:val="00182D16"/>
    <w:rsid w:val="00182E9F"/>
    <w:rsid w:val="001830DF"/>
    <w:rsid w:val="00183167"/>
    <w:rsid w:val="001833D1"/>
    <w:rsid w:val="0018407E"/>
    <w:rsid w:val="0018450E"/>
    <w:rsid w:val="0018455A"/>
    <w:rsid w:val="00184EBE"/>
    <w:rsid w:val="001858BD"/>
    <w:rsid w:val="00185F11"/>
    <w:rsid w:val="001861C1"/>
    <w:rsid w:val="00186367"/>
    <w:rsid w:val="001864C6"/>
    <w:rsid w:val="00186B33"/>
    <w:rsid w:val="00186FA8"/>
    <w:rsid w:val="00187092"/>
    <w:rsid w:val="001874DE"/>
    <w:rsid w:val="001903F0"/>
    <w:rsid w:val="00190742"/>
    <w:rsid w:val="001911E4"/>
    <w:rsid w:val="001915CF"/>
    <w:rsid w:val="00191790"/>
    <w:rsid w:val="0019193C"/>
    <w:rsid w:val="00192715"/>
    <w:rsid w:val="00192833"/>
    <w:rsid w:val="00192BC2"/>
    <w:rsid w:val="00192CE7"/>
    <w:rsid w:val="00192F9D"/>
    <w:rsid w:val="00193EE7"/>
    <w:rsid w:val="00194051"/>
    <w:rsid w:val="00194683"/>
    <w:rsid w:val="00194887"/>
    <w:rsid w:val="00194BA1"/>
    <w:rsid w:val="00194BB9"/>
    <w:rsid w:val="00195B1F"/>
    <w:rsid w:val="00195FCB"/>
    <w:rsid w:val="00196989"/>
    <w:rsid w:val="00196E80"/>
    <w:rsid w:val="00196EB8"/>
    <w:rsid w:val="00196EFB"/>
    <w:rsid w:val="00196F4D"/>
    <w:rsid w:val="001979FF"/>
    <w:rsid w:val="00197B17"/>
    <w:rsid w:val="00197C10"/>
    <w:rsid w:val="00197D14"/>
    <w:rsid w:val="001A0658"/>
    <w:rsid w:val="001A0C17"/>
    <w:rsid w:val="001A10F0"/>
    <w:rsid w:val="001A113D"/>
    <w:rsid w:val="001A18C1"/>
    <w:rsid w:val="001A1950"/>
    <w:rsid w:val="001A19E7"/>
    <w:rsid w:val="001A1C54"/>
    <w:rsid w:val="001A1F5F"/>
    <w:rsid w:val="001A226E"/>
    <w:rsid w:val="001A2A9A"/>
    <w:rsid w:val="001A2CB6"/>
    <w:rsid w:val="001A399C"/>
    <w:rsid w:val="001A3ACE"/>
    <w:rsid w:val="001A3FC1"/>
    <w:rsid w:val="001A44CD"/>
    <w:rsid w:val="001A4C56"/>
    <w:rsid w:val="001A5148"/>
    <w:rsid w:val="001A57BF"/>
    <w:rsid w:val="001A57F0"/>
    <w:rsid w:val="001A5888"/>
    <w:rsid w:val="001A5AA2"/>
    <w:rsid w:val="001A5CC8"/>
    <w:rsid w:val="001A5D71"/>
    <w:rsid w:val="001A6272"/>
    <w:rsid w:val="001A692D"/>
    <w:rsid w:val="001A726D"/>
    <w:rsid w:val="001B0073"/>
    <w:rsid w:val="001B058F"/>
    <w:rsid w:val="001B0A3A"/>
    <w:rsid w:val="001B12F4"/>
    <w:rsid w:val="001B143E"/>
    <w:rsid w:val="001B1A9F"/>
    <w:rsid w:val="001B20E6"/>
    <w:rsid w:val="001B214F"/>
    <w:rsid w:val="001B24DA"/>
    <w:rsid w:val="001B2A2E"/>
    <w:rsid w:val="001B2BE0"/>
    <w:rsid w:val="001B2C46"/>
    <w:rsid w:val="001B3395"/>
    <w:rsid w:val="001B382F"/>
    <w:rsid w:val="001B3D97"/>
    <w:rsid w:val="001B4854"/>
    <w:rsid w:val="001B4C56"/>
    <w:rsid w:val="001B4D6C"/>
    <w:rsid w:val="001B5642"/>
    <w:rsid w:val="001B5741"/>
    <w:rsid w:val="001B578F"/>
    <w:rsid w:val="001B594D"/>
    <w:rsid w:val="001B59E3"/>
    <w:rsid w:val="001B5AAF"/>
    <w:rsid w:val="001B61BA"/>
    <w:rsid w:val="001B64F7"/>
    <w:rsid w:val="001B6B96"/>
    <w:rsid w:val="001B6F57"/>
    <w:rsid w:val="001B7177"/>
    <w:rsid w:val="001B7204"/>
    <w:rsid w:val="001B738B"/>
    <w:rsid w:val="001B73A3"/>
    <w:rsid w:val="001B740A"/>
    <w:rsid w:val="001B7AFB"/>
    <w:rsid w:val="001B7B69"/>
    <w:rsid w:val="001B7D00"/>
    <w:rsid w:val="001B7FBF"/>
    <w:rsid w:val="001C09DB"/>
    <w:rsid w:val="001C0CC8"/>
    <w:rsid w:val="001C10C9"/>
    <w:rsid w:val="001C1F27"/>
    <w:rsid w:val="001C24DA"/>
    <w:rsid w:val="001C277E"/>
    <w:rsid w:val="001C2A72"/>
    <w:rsid w:val="001C2C97"/>
    <w:rsid w:val="001C2D85"/>
    <w:rsid w:val="001C2F0A"/>
    <w:rsid w:val="001C31B7"/>
    <w:rsid w:val="001C34A8"/>
    <w:rsid w:val="001C353E"/>
    <w:rsid w:val="001C3AC4"/>
    <w:rsid w:val="001C41C6"/>
    <w:rsid w:val="001C4A58"/>
    <w:rsid w:val="001C54A8"/>
    <w:rsid w:val="001C54C4"/>
    <w:rsid w:val="001C572A"/>
    <w:rsid w:val="001C5865"/>
    <w:rsid w:val="001C5FD3"/>
    <w:rsid w:val="001C64A6"/>
    <w:rsid w:val="001C66D1"/>
    <w:rsid w:val="001C6DCE"/>
    <w:rsid w:val="001C752B"/>
    <w:rsid w:val="001C75B4"/>
    <w:rsid w:val="001D070E"/>
    <w:rsid w:val="001D0B75"/>
    <w:rsid w:val="001D0DC4"/>
    <w:rsid w:val="001D0F88"/>
    <w:rsid w:val="001D152F"/>
    <w:rsid w:val="001D1F2D"/>
    <w:rsid w:val="001D2110"/>
    <w:rsid w:val="001D21F9"/>
    <w:rsid w:val="001D2989"/>
    <w:rsid w:val="001D2A96"/>
    <w:rsid w:val="001D2BBE"/>
    <w:rsid w:val="001D2EA8"/>
    <w:rsid w:val="001D2F6E"/>
    <w:rsid w:val="001D336D"/>
    <w:rsid w:val="001D39A5"/>
    <w:rsid w:val="001D3B82"/>
    <w:rsid w:val="001D3C09"/>
    <w:rsid w:val="001D425A"/>
    <w:rsid w:val="001D444A"/>
    <w:rsid w:val="001D44E8"/>
    <w:rsid w:val="001D4932"/>
    <w:rsid w:val="001D49CF"/>
    <w:rsid w:val="001D4FF1"/>
    <w:rsid w:val="001D5081"/>
    <w:rsid w:val="001D5603"/>
    <w:rsid w:val="001D5D0A"/>
    <w:rsid w:val="001D5F61"/>
    <w:rsid w:val="001D5FC6"/>
    <w:rsid w:val="001D60EC"/>
    <w:rsid w:val="001D67D5"/>
    <w:rsid w:val="001D6C03"/>
    <w:rsid w:val="001D6F59"/>
    <w:rsid w:val="001E0EFF"/>
    <w:rsid w:val="001E11E4"/>
    <w:rsid w:val="001E18D3"/>
    <w:rsid w:val="001E1A02"/>
    <w:rsid w:val="001E1F3B"/>
    <w:rsid w:val="001E2F11"/>
    <w:rsid w:val="001E3512"/>
    <w:rsid w:val="001E362A"/>
    <w:rsid w:val="001E3A99"/>
    <w:rsid w:val="001E42C2"/>
    <w:rsid w:val="001E42CD"/>
    <w:rsid w:val="001E44DF"/>
    <w:rsid w:val="001E46AC"/>
    <w:rsid w:val="001E46BD"/>
    <w:rsid w:val="001E50E6"/>
    <w:rsid w:val="001E5A3C"/>
    <w:rsid w:val="001E63CF"/>
    <w:rsid w:val="001E68A5"/>
    <w:rsid w:val="001E6BB0"/>
    <w:rsid w:val="001E71EE"/>
    <w:rsid w:val="001E7282"/>
    <w:rsid w:val="001E749A"/>
    <w:rsid w:val="001E783A"/>
    <w:rsid w:val="001E78D0"/>
    <w:rsid w:val="001E78D1"/>
    <w:rsid w:val="001E78FE"/>
    <w:rsid w:val="001E7D15"/>
    <w:rsid w:val="001E7E22"/>
    <w:rsid w:val="001E7E5F"/>
    <w:rsid w:val="001F0C09"/>
    <w:rsid w:val="001F127C"/>
    <w:rsid w:val="001F1738"/>
    <w:rsid w:val="001F184C"/>
    <w:rsid w:val="001F21F5"/>
    <w:rsid w:val="001F2202"/>
    <w:rsid w:val="001F24C2"/>
    <w:rsid w:val="001F2505"/>
    <w:rsid w:val="001F2E76"/>
    <w:rsid w:val="001F3092"/>
    <w:rsid w:val="001F3350"/>
    <w:rsid w:val="001F3826"/>
    <w:rsid w:val="001F3942"/>
    <w:rsid w:val="001F3A9C"/>
    <w:rsid w:val="001F3CA6"/>
    <w:rsid w:val="001F4D76"/>
    <w:rsid w:val="001F5F5B"/>
    <w:rsid w:val="001F60EB"/>
    <w:rsid w:val="001F6652"/>
    <w:rsid w:val="001F692B"/>
    <w:rsid w:val="001F6C1B"/>
    <w:rsid w:val="001F6C23"/>
    <w:rsid w:val="001F6E46"/>
    <w:rsid w:val="001F734A"/>
    <w:rsid w:val="001F7AB2"/>
    <w:rsid w:val="001F7C91"/>
    <w:rsid w:val="001F7EC3"/>
    <w:rsid w:val="002003F7"/>
    <w:rsid w:val="002004BA"/>
    <w:rsid w:val="00200852"/>
    <w:rsid w:val="00200B09"/>
    <w:rsid w:val="00200C1E"/>
    <w:rsid w:val="00201071"/>
    <w:rsid w:val="002013C7"/>
    <w:rsid w:val="002015B7"/>
    <w:rsid w:val="00202A0C"/>
    <w:rsid w:val="00202F00"/>
    <w:rsid w:val="002030FE"/>
    <w:rsid w:val="00203168"/>
    <w:rsid w:val="002032CD"/>
    <w:rsid w:val="0020333D"/>
    <w:rsid w:val="002033B7"/>
    <w:rsid w:val="00203F0F"/>
    <w:rsid w:val="00204091"/>
    <w:rsid w:val="00204170"/>
    <w:rsid w:val="002049F8"/>
    <w:rsid w:val="00204B38"/>
    <w:rsid w:val="00204D41"/>
    <w:rsid w:val="00204F0E"/>
    <w:rsid w:val="00204F6F"/>
    <w:rsid w:val="00205D2F"/>
    <w:rsid w:val="00205D55"/>
    <w:rsid w:val="00205FC9"/>
    <w:rsid w:val="0020645E"/>
    <w:rsid w:val="00206463"/>
    <w:rsid w:val="00206ADC"/>
    <w:rsid w:val="00206B6A"/>
    <w:rsid w:val="00206E6E"/>
    <w:rsid w:val="00206F2F"/>
    <w:rsid w:val="00207534"/>
    <w:rsid w:val="00207717"/>
    <w:rsid w:val="00207737"/>
    <w:rsid w:val="002079BA"/>
    <w:rsid w:val="00210067"/>
    <w:rsid w:val="0021026C"/>
    <w:rsid w:val="002102E4"/>
    <w:rsid w:val="0021053D"/>
    <w:rsid w:val="00210727"/>
    <w:rsid w:val="0021087F"/>
    <w:rsid w:val="00210A92"/>
    <w:rsid w:val="00210C74"/>
    <w:rsid w:val="00211194"/>
    <w:rsid w:val="002112EF"/>
    <w:rsid w:val="00211E83"/>
    <w:rsid w:val="00212AE3"/>
    <w:rsid w:val="00212B95"/>
    <w:rsid w:val="00212F94"/>
    <w:rsid w:val="002133FB"/>
    <w:rsid w:val="00213481"/>
    <w:rsid w:val="0021371F"/>
    <w:rsid w:val="0021382E"/>
    <w:rsid w:val="00213C07"/>
    <w:rsid w:val="00213D43"/>
    <w:rsid w:val="00214583"/>
    <w:rsid w:val="00214997"/>
    <w:rsid w:val="00214E51"/>
    <w:rsid w:val="002154B6"/>
    <w:rsid w:val="00215770"/>
    <w:rsid w:val="00215ADB"/>
    <w:rsid w:val="00215CC8"/>
    <w:rsid w:val="00216052"/>
    <w:rsid w:val="0021657E"/>
    <w:rsid w:val="00216C03"/>
    <w:rsid w:val="00216EEC"/>
    <w:rsid w:val="00217421"/>
    <w:rsid w:val="0021787B"/>
    <w:rsid w:val="00217D9B"/>
    <w:rsid w:val="00220A03"/>
    <w:rsid w:val="00220A1A"/>
    <w:rsid w:val="00220C04"/>
    <w:rsid w:val="0022170A"/>
    <w:rsid w:val="00221F13"/>
    <w:rsid w:val="002223E7"/>
    <w:rsid w:val="0022278D"/>
    <w:rsid w:val="00223242"/>
    <w:rsid w:val="0022325E"/>
    <w:rsid w:val="00223436"/>
    <w:rsid w:val="00224990"/>
    <w:rsid w:val="00224E4C"/>
    <w:rsid w:val="00225604"/>
    <w:rsid w:val="00225F23"/>
    <w:rsid w:val="00226036"/>
    <w:rsid w:val="0022610E"/>
    <w:rsid w:val="00226196"/>
    <w:rsid w:val="0022671F"/>
    <w:rsid w:val="0022701F"/>
    <w:rsid w:val="00227565"/>
    <w:rsid w:val="00227C68"/>
    <w:rsid w:val="0023008D"/>
    <w:rsid w:val="00230C5C"/>
    <w:rsid w:val="00231126"/>
    <w:rsid w:val="00231248"/>
    <w:rsid w:val="00231411"/>
    <w:rsid w:val="00231540"/>
    <w:rsid w:val="002317D3"/>
    <w:rsid w:val="00231B83"/>
    <w:rsid w:val="00231D9A"/>
    <w:rsid w:val="002320E3"/>
    <w:rsid w:val="0023222A"/>
    <w:rsid w:val="0023284B"/>
    <w:rsid w:val="0023305B"/>
    <w:rsid w:val="00233302"/>
    <w:rsid w:val="002333F5"/>
    <w:rsid w:val="002336C2"/>
    <w:rsid w:val="00233724"/>
    <w:rsid w:val="002338E3"/>
    <w:rsid w:val="00233D4D"/>
    <w:rsid w:val="002348F6"/>
    <w:rsid w:val="00234E70"/>
    <w:rsid w:val="00235793"/>
    <w:rsid w:val="00235D53"/>
    <w:rsid w:val="00236071"/>
    <w:rsid w:val="002365B4"/>
    <w:rsid w:val="00236674"/>
    <w:rsid w:val="002379F9"/>
    <w:rsid w:val="00237AD3"/>
    <w:rsid w:val="00237B86"/>
    <w:rsid w:val="00240532"/>
    <w:rsid w:val="00240A7F"/>
    <w:rsid w:val="00240FCC"/>
    <w:rsid w:val="0024159C"/>
    <w:rsid w:val="00241887"/>
    <w:rsid w:val="00241C3D"/>
    <w:rsid w:val="00242AA7"/>
    <w:rsid w:val="00242AB2"/>
    <w:rsid w:val="00242ACC"/>
    <w:rsid w:val="00242B27"/>
    <w:rsid w:val="00242EF7"/>
    <w:rsid w:val="00242FFC"/>
    <w:rsid w:val="002432E1"/>
    <w:rsid w:val="0024355B"/>
    <w:rsid w:val="002438EE"/>
    <w:rsid w:val="00243BF2"/>
    <w:rsid w:val="00244772"/>
    <w:rsid w:val="00244EC1"/>
    <w:rsid w:val="0024519E"/>
    <w:rsid w:val="002456CC"/>
    <w:rsid w:val="00245BBB"/>
    <w:rsid w:val="00246105"/>
    <w:rsid w:val="00246207"/>
    <w:rsid w:val="0024628A"/>
    <w:rsid w:val="00246C5E"/>
    <w:rsid w:val="00247B2B"/>
    <w:rsid w:val="00247B4D"/>
    <w:rsid w:val="00247DF5"/>
    <w:rsid w:val="00247F8A"/>
    <w:rsid w:val="00250552"/>
    <w:rsid w:val="002507A3"/>
    <w:rsid w:val="00250960"/>
    <w:rsid w:val="00250ACE"/>
    <w:rsid w:val="00250AD2"/>
    <w:rsid w:val="00251343"/>
    <w:rsid w:val="00251748"/>
    <w:rsid w:val="0025201A"/>
    <w:rsid w:val="002528B3"/>
    <w:rsid w:val="00252A2E"/>
    <w:rsid w:val="00252AF7"/>
    <w:rsid w:val="00252B83"/>
    <w:rsid w:val="002532C9"/>
    <w:rsid w:val="002536A4"/>
    <w:rsid w:val="0025413E"/>
    <w:rsid w:val="00254F37"/>
    <w:rsid w:val="00254F58"/>
    <w:rsid w:val="00254FC5"/>
    <w:rsid w:val="0025506B"/>
    <w:rsid w:val="00255570"/>
    <w:rsid w:val="002557B2"/>
    <w:rsid w:val="002559D9"/>
    <w:rsid w:val="00256ABD"/>
    <w:rsid w:val="00256F08"/>
    <w:rsid w:val="002570E5"/>
    <w:rsid w:val="0025730A"/>
    <w:rsid w:val="00257712"/>
    <w:rsid w:val="00257C2F"/>
    <w:rsid w:val="00257DBC"/>
    <w:rsid w:val="00257DBD"/>
    <w:rsid w:val="002604AE"/>
    <w:rsid w:val="00260B41"/>
    <w:rsid w:val="00260C8F"/>
    <w:rsid w:val="00261257"/>
    <w:rsid w:val="00261F3A"/>
    <w:rsid w:val="002620BC"/>
    <w:rsid w:val="002620D4"/>
    <w:rsid w:val="002622A7"/>
    <w:rsid w:val="002624B2"/>
    <w:rsid w:val="00262802"/>
    <w:rsid w:val="0026290E"/>
    <w:rsid w:val="002629EA"/>
    <w:rsid w:val="00262A6E"/>
    <w:rsid w:val="00262B97"/>
    <w:rsid w:val="00262F72"/>
    <w:rsid w:val="002632EC"/>
    <w:rsid w:val="002638F7"/>
    <w:rsid w:val="0026394F"/>
    <w:rsid w:val="00263967"/>
    <w:rsid w:val="00263972"/>
    <w:rsid w:val="00263A90"/>
    <w:rsid w:val="00263AD4"/>
    <w:rsid w:val="0026408B"/>
    <w:rsid w:val="002641AC"/>
    <w:rsid w:val="00264495"/>
    <w:rsid w:val="00265115"/>
    <w:rsid w:val="0026569E"/>
    <w:rsid w:val="002656F1"/>
    <w:rsid w:val="00265D31"/>
    <w:rsid w:val="0026714A"/>
    <w:rsid w:val="00267687"/>
    <w:rsid w:val="0026797B"/>
    <w:rsid w:val="00267A09"/>
    <w:rsid w:val="00267B2E"/>
    <w:rsid w:val="00267C3E"/>
    <w:rsid w:val="00270299"/>
    <w:rsid w:val="0027085C"/>
    <w:rsid w:val="0027094C"/>
    <w:rsid w:val="002709BB"/>
    <w:rsid w:val="002709D0"/>
    <w:rsid w:val="00270EDF"/>
    <w:rsid w:val="00270F98"/>
    <w:rsid w:val="002711ED"/>
    <w:rsid w:val="0027131C"/>
    <w:rsid w:val="0027156A"/>
    <w:rsid w:val="0027200F"/>
    <w:rsid w:val="00272664"/>
    <w:rsid w:val="0027269E"/>
    <w:rsid w:val="00272924"/>
    <w:rsid w:val="00272C32"/>
    <w:rsid w:val="00272F24"/>
    <w:rsid w:val="00273036"/>
    <w:rsid w:val="00273369"/>
    <w:rsid w:val="002736E6"/>
    <w:rsid w:val="002738B0"/>
    <w:rsid w:val="00273BAC"/>
    <w:rsid w:val="002741D7"/>
    <w:rsid w:val="002750A1"/>
    <w:rsid w:val="00275DF8"/>
    <w:rsid w:val="00276235"/>
    <w:rsid w:val="002763B3"/>
    <w:rsid w:val="002768B2"/>
    <w:rsid w:val="00276E4A"/>
    <w:rsid w:val="0027711A"/>
    <w:rsid w:val="00277AA3"/>
    <w:rsid w:val="00277C5B"/>
    <w:rsid w:val="00277D2A"/>
    <w:rsid w:val="00280261"/>
    <w:rsid w:val="002802E3"/>
    <w:rsid w:val="00280396"/>
    <w:rsid w:val="002803A8"/>
    <w:rsid w:val="00280489"/>
    <w:rsid w:val="00280509"/>
    <w:rsid w:val="00280E91"/>
    <w:rsid w:val="00280F60"/>
    <w:rsid w:val="00281287"/>
    <w:rsid w:val="00281E81"/>
    <w:rsid w:val="0028213D"/>
    <w:rsid w:val="00283740"/>
    <w:rsid w:val="00284734"/>
    <w:rsid w:val="00284A25"/>
    <w:rsid w:val="00284CCE"/>
    <w:rsid w:val="00285060"/>
    <w:rsid w:val="00285DCA"/>
    <w:rsid w:val="00285F5A"/>
    <w:rsid w:val="002861C5"/>
    <w:rsid w:val="002862F1"/>
    <w:rsid w:val="00286B22"/>
    <w:rsid w:val="00286DAD"/>
    <w:rsid w:val="0028734A"/>
    <w:rsid w:val="0028754B"/>
    <w:rsid w:val="00287881"/>
    <w:rsid w:val="00287EDA"/>
    <w:rsid w:val="0029069A"/>
    <w:rsid w:val="00291373"/>
    <w:rsid w:val="00291492"/>
    <w:rsid w:val="002914BA"/>
    <w:rsid w:val="002915AB"/>
    <w:rsid w:val="002916C2"/>
    <w:rsid w:val="00291AF6"/>
    <w:rsid w:val="00291F9C"/>
    <w:rsid w:val="00292013"/>
    <w:rsid w:val="002925D9"/>
    <w:rsid w:val="0029275C"/>
    <w:rsid w:val="00292929"/>
    <w:rsid w:val="00292A39"/>
    <w:rsid w:val="00293079"/>
    <w:rsid w:val="00293A48"/>
    <w:rsid w:val="00294672"/>
    <w:rsid w:val="0029468F"/>
    <w:rsid w:val="00294F5D"/>
    <w:rsid w:val="00295127"/>
    <w:rsid w:val="00295367"/>
    <w:rsid w:val="0029597D"/>
    <w:rsid w:val="002962C2"/>
    <w:rsid w:val="002962C3"/>
    <w:rsid w:val="0029668D"/>
    <w:rsid w:val="002966AA"/>
    <w:rsid w:val="002968E7"/>
    <w:rsid w:val="00296B25"/>
    <w:rsid w:val="002972DF"/>
    <w:rsid w:val="0029752B"/>
    <w:rsid w:val="00297A73"/>
    <w:rsid w:val="00297B08"/>
    <w:rsid w:val="00297C0E"/>
    <w:rsid w:val="00297D67"/>
    <w:rsid w:val="002A018C"/>
    <w:rsid w:val="002A01C6"/>
    <w:rsid w:val="002A0203"/>
    <w:rsid w:val="002A0666"/>
    <w:rsid w:val="002A06EB"/>
    <w:rsid w:val="002A0703"/>
    <w:rsid w:val="002A0978"/>
    <w:rsid w:val="002A0A9C"/>
    <w:rsid w:val="002A2630"/>
    <w:rsid w:val="002A2ECE"/>
    <w:rsid w:val="002A3416"/>
    <w:rsid w:val="002A3431"/>
    <w:rsid w:val="002A3922"/>
    <w:rsid w:val="002A40EF"/>
    <w:rsid w:val="002A4135"/>
    <w:rsid w:val="002A4193"/>
    <w:rsid w:val="002A46CD"/>
    <w:rsid w:val="002A483C"/>
    <w:rsid w:val="002A48FA"/>
    <w:rsid w:val="002A5359"/>
    <w:rsid w:val="002A54E9"/>
    <w:rsid w:val="002A556E"/>
    <w:rsid w:val="002A5AB6"/>
    <w:rsid w:val="002A6261"/>
    <w:rsid w:val="002A6343"/>
    <w:rsid w:val="002A6515"/>
    <w:rsid w:val="002A6BB6"/>
    <w:rsid w:val="002A70D6"/>
    <w:rsid w:val="002A7366"/>
    <w:rsid w:val="002A76D5"/>
    <w:rsid w:val="002A7721"/>
    <w:rsid w:val="002A7920"/>
    <w:rsid w:val="002A7953"/>
    <w:rsid w:val="002A7B7F"/>
    <w:rsid w:val="002A7CD4"/>
    <w:rsid w:val="002B04DA"/>
    <w:rsid w:val="002B04FE"/>
    <w:rsid w:val="002B054F"/>
    <w:rsid w:val="002B08E4"/>
    <w:rsid w:val="002B0BB9"/>
    <w:rsid w:val="002B0C7C"/>
    <w:rsid w:val="002B0CD4"/>
    <w:rsid w:val="002B0FD3"/>
    <w:rsid w:val="002B1708"/>
    <w:rsid w:val="002B1729"/>
    <w:rsid w:val="002B18E6"/>
    <w:rsid w:val="002B1A76"/>
    <w:rsid w:val="002B21BB"/>
    <w:rsid w:val="002B227A"/>
    <w:rsid w:val="002B2378"/>
    <w:rsid w:val="002B36C7"/>
    <w:rsid w:val="002B374B"/>
    <w:rsid w:val="002B3DB4"/>
    <w:rsid w:val="002B41C8"/>
    <w:rsid w:val="002B45DF"/>
    <w:rsid w:val="002B46AD"/>
    <w:rsid w:val="002B4D27"/>
    <w:rsid w:val="002B4DD4"/>
    <w:rsid w:val="002B5128"/>
    <w:rsid w:val="002B5277"/>
    <w:rsid w:val="002B5375"/>
    <w:rsid w:val="002B5384"/>
    <w:rsid w:val="002B5B90"/>
    <w:rsid w:val="002B6D26"/>
    <w:rsid w:val="002B7091"/>
    <w:rsid w:val="002B77C1"/>
    <w:rsid w:val="002B7C1E"/>
    <w:rsid w:val="002C061C"/>
    <w:rsid w:val="002C0717"/>
    <w:rsid w:val="002C0C0B"/>
    <w:rsid w:val="002C0CE6"/>
    <w:rsid w:val="002C0ED7"/>
    <w:rsid w:val="002C1303"/>
    <w:rsid w:val="002C133B"/>
    <w:rsid w:val="002C2728"/>
    <w:rsid w:val="002C27C0"/>
    <w:rsid w:val="002C2C4A"/>
    <w:rsid w:val="002C318E"/>
    <w:rsid w:val="002C3349"/>
    <w:rsid w:val="002C3579"/>
    <w:rsid w:val="002C3ABC"/>
    <w:rsid w:val="002C467B"/>
    <w:rsid w:val="002C4B4D"/>
    <w:rsid w:val="002C4E2E"/>
    <w:rsid w:val="002C5007"/>
    <w:rsid w:val="002C5A26"/>
    <w:rsid w:val="002C5A79"/>
    <w:rsid w:val="002C5B7C"/>
    <w:rsid w:val="002C6031"/>
    <w:rsid w:val="002C62D9"/>
    <w:rsid w:val="002C63C9"/>
    <w:rsid w:val="002C66B6"/>
    <w:rsid w:val="002C6CAA"/>
    <w:rsid w:val="002C6DF8"/>
    <w:rsid w:val="002C6F30"/>
    <w:rsid w:val="002C71A9"/>
    <w:rsid w:val="002C7280"/>
    <w:rsid w:val="002C76BC"/>
    <w:rsid w:val="002C77E2"/>
    <w:rsid w:val="002D03A5"/>
    <w:rsid w:val="002D04A8"/>
    <w:rsid w:val="002D0624"/>
    <w:rsid w:val="002D0C9E"/>
    <w:rsid w:val="002D0D10"/>
    <w:rsid w:val="002D1718"/>
    <w:rsid w:val="002D1878"/>
    <w:rsid w:val="002D18CE"/>
    <w:rsid w:val="002D1D93"/>
    <w:rsid w:val="002D1E0D"/>
    <w:rsid w:val="002D1FA4"/>
    <w:rsid w:val="002D204F"/>
    <w:rsid w:val="002D28A7"/>
    <w:rsid w:val="002D2FD3"/>
    <w:rsid w:val="002D321A"/>
    <w:rsid w:val="002D33DA"/>
    <w:rsid w:val="002D36B4"/>
    <w:rsid w:val="002D37E6"/>
    <w:rsid w:val="002D3819"/>
    <w:rsid w:val="002D3E51"/>
    <w:rsid w:val="002D40FB"/>
    <w:rsid w:val="002D4CD6"/>
    <w:rsid w:val="002D5006"/>
    <w:rsid w:val="002D577D"/>
    <w:rsid w:val="002D5F0F"/>
    <w:rsid w:val="002D658D"/>
    <w:rsid w:val="002D6765"/>
    <w:rsid w:val="002D6E39"/>
    <w:rsid w:val="002D7446"/>
    <w:rsid w:val="002D783C"/>
    <w:rsid w:val="002D7AE4"/>
    <w:rsid w:val="002D7C61"/>
    <w:rsid w:val="002D7D55"/>
    <w:rsid w:val="002D7E09"/>
    <w:rsid w:val="002E0193"/>
    <w:rsid w:val="002E01D0"/>
    <w:rsid w:val="002E0C9D"/>
    <w:rsid w:val="002E0EB6"/>
    <w:rsid w:val="002E1397"/>
    <w:rsid w:val="002E1528"/>
    <w:rsid w:val="002E161D"/>
    <w:rsid w:val="002E1C76"/>
    <w:rsid w:val="002E1E7A"/>
    <w:rsid w:val="002E28A2"/>
    <w:rsid w:val="002E2D6D"/>
    <w:rsid w:val="002E3100"/>
    <w:rsid w:val="002E412C"/>
    <w:rsid w:val="002E4A80"/>
    <w:rsid w:val="002E5716"/>
    <w:rsid w:val="002E591E"/>
    <w:rsid w:val="002E5B02"/>
    <w:rsid w:val="002E5C55"/>
    <w:rsid w:val="002E6082"/>
    <w:rsid w:val="002E623A"/>
    <w:rsid w:val="002E645E"/>
    <w:rsid w:val="002E65B8"/>
    <w:rsid w:val="002E680D"/>
    <w:rsid w:val="002E69C7"/>
    <w:rsid w:val="002E6BA9"/>
    <w:rsid w:val="002E6C95"/>
    <w:rsid w:val="002E71D4"/>
    <w:rsid w:val="002E7C36"/>
    <w:rsid w:val="002E7CFD"/>
    <w:rsid w:val="002F024A"/>
    <w:rsid w:val="002F075C"/>
    <w:rsid w:val="002F16AA"/>
    <w:rsid w:val="002F21E8"/>
    <w:rsid w:val="002F2373"/>
    <w:rsid w:val="002F2527"/>
    <w:rsid w:val="002F27E8"/>
    <w:rsid w:val="002F31AE"/>
    <w:rsid w:val="002F3686"/>
    <w:rsid w:val="002F3A3E"/>
    <w:rsid w:val="002F3D32"/>
    <w:rsid w:val="002F43AD"/>
    <w:rsid w:val="002F4411"/>
    <w:rsid w:val="002F4B75"/>
    <w:rsid w:val="002F4D99"/>
    <w:rsid w:val="002F50E0"/>
    <w:rsid w:val="002F5F31"/>
    <w:rsid w:val="002F5F46"/>
    <w:rsid w:val="002F61DF"/>
    <w:rsid w:val="002F63EF"/>
    <w:rsid w:val="002F6495"/>
    <w:rsid w:val="002F69AB"/>
    <w:rsid w:val="002F6F02"/>
    <w:rsid w:val="002F7099"/>
    <w:rsid w:val="002F70C2"/>
    <w:rsid w:val="002F7454"/>
    <w:rsid w:val="002F7777"/>
    <w:rsid w:val="002F7841"/>
    <w:rsid w:val="002F7E8D"/>
    <w:rsid w:val="00300705"/>
    <w:rsid w:val="003007B9"/>
    <w:rsid w:val="00301331"/>
    <w:rsid w:val="00301A83"/>
    <w:rsid w:val="00301EBF"/>
    <w:rsid w:val="00302051"/>
    <w:rsid w:val="00302216"/>
    <w:rsid w:val="00302280"/>
    <w:rsid w:val="00302E29"/>
    <w:rsid w:val="0030318E"/>
    <w:rsid w:val="00303509"/>
    <w:rsid w:val="00303554"/>
    <w:rsid w:val="00303948"/>
    <w:rsid w:val="00303E53"/>
    <w:rsid w:val="00303EEF"/>
    <w:rsid w:val="0030523B"/>
    <w:rsid w:val="003058CD"/>
    <w:rsid w:val="00305CC1"/>
    <w:rsid w:val="0030633F"/>
    <w:rsid w:val="003068B5"/>
    <w:rsid w:val="00306E5F"/>
    <w:rsid w:val="00306FF5"/>
    <w:rsid w:val="0030725D"/>
    <w:rsid w:val="003072B4"/>
    <w:rsid w:val="003072BA"/>
    <w:rsid w:val="00307E14"/>
    <w:rsid w:val="0031012C"/>
    <w:rsid w:val="00310F0D"/>
    <w:rsid w:val="00312604"/>
    <w:rsid w:val="0031276E"/>
    <w:rsid w:val="00313042"/>
    <w:rsid w:val="00313607"/>
    <w:rsid w:val="00313859"/>
    <w:rsid w:val="00313BB5"/>
    <w:rsid w:val="00313C73"/>
    <w:rsid w:val="00313CC6"/>
    <w:rsid w:val="00313D91"/>
    <w:rsid w:val="00314054"/>
    <w:rsid w:val="003149C3"/>
    <w:rsid w:val="00314A7F"/>
    <w:rsid w:val="00314B8B"/>
    <w:rsid w:val="00315056"/>
    <w:rsid w:val="003161BF"/>
    <w:rsid w:val="0031678B"/>
    <w:rsid w:val="003169FF"/>
    <w:rsid w:val="00316F27"/>
    <w:rsid w:val="00317351"/>
    <w:rsid w:val="0031753B"/>
    <w:rsid w:val="00317A7A"/>
    <w:rsid w:val="00317B2B"/>
    <w:rsid w:val="0032059B"/>
    <w:rsid w:val="003209FC"/>
    <w:rsid w:val="003210E0"/>
    <w:rsid w:val="003214F1"/>
    <w:rsid w:val="00321937"/>
    <w:rsid w:val="00321F5D"/>
    <w:rsid w:val="00322442"/>
    <w:rsid w:val="003229D8"/>
    <w:rsid w:val="00322DAF"/>
    <w:rsid w:val="00322E4B"/>
    <w:rsid w:val="003233C4"/>
    <w:rsid w:val="003236ED"/>
    <w:rsid w:val="00323705"/>
    <w:rsid w:val="00323CAC"/>
    <w:rsid w:val="00323DF7"/>
    <w:rsid w:val="00323F1C"/>
    <w:rsid w:val="00323F8D"/>
    <w:rsid w:val="0032423F"/>
    <w:rsid w:val="00324899"/>
    <w:rsid w:val="003249C8"/>
    <w:rsid w:val="00324D0C"/>
    <w:rsid w:val="00325822"/>
    <w:rsid w:val="00325FEC"/>
    <w:rsid w:val="00326505"/>
    <w:rsid w:val="00326A4E"/>
    <w:rsid w:val="00327309"/>
    <w:rsid w:val="00327870"/>
    <w:rsid w:val="00327CBA"/>
    <w:rsid w:val="00330092"/>
    <w:rsid w:val="00330844"/>
    <w:rsid w:val="00330B7C"/>
    <w:rsid w:val="00331062"/>
    <w:rsid w:val="00331621"/>
    <w:rsid w:val="00331971"/>
    <w:rsid w:val="00331C56"/>
    <w:rsid w:val="00332276"/>
    <w:rsid w:val="0033259D"/>
    <w:rsid w:val="0033291C"/>
    <w:rsid w:val="00332BE1"/>
    <w:rsid w:val="00332C4D"/>
    <w:rsid w:val="003333D2"/>
    <w:rsid w:val="0033392A"/>
    <w:rsid w:val="003341C7"/>
    <w:rsid w:val="00334686"/>
    <w:rsid w:val="00334770"/>
    <w:rsid w:val="003348A0"/>
    <w:rsid w:val="00334E59"/>
    <w:rsid w:val="003352A3"/>
    <w:rsid w:val="00335492"/>
    <w:rsid w:val="003359B6"/>
    <w:rsid w:val="00335DB8"/>
    <w:rsid w:val="00335F20"/>
    <w:rsid w:val="00336140"/>
    <w:rsid w:val="00336239"/>
    <w:rsid w:val="003368A2"/>
    <w:rsid w:val="00336BC7"/>
    <w:rsid w:val="00336C18"/>
    <w:rsid w:val="00337153"/>
    <w:rsid w:val="00337154"/>
    <w:rsid w:val="003371BF"/>
    <w:rsid w:val="00337339"/>
    <w:rsid w:val="00337CAD"/>
    <w:rsid w:val="00340345"/>
    <w:rsid w:val="003406C6"/>
    <w:rsid w:val="00340A16"/>
    <w:rsid w:val="00340C0D"/>
    <w:rsid w:val="00340CB0"/>
    <w:rsid w:val="00340CDB"/>
    <w:rsid w:val="003410E9"/>
    <w:rsid w:val="003418CC"/>
    <w:rsid w:val="00343141"/>
    <w:rsid w:val="00343228"/>
    <w:rsid w:val="003434EE"/>
    <w:rsid w:val="003435EE"/>
    <w:rsid w:val="00343ED8"/>
    <w:rsid w:val="00344021"/>
    <w:rsid w:val="00344574"/>
    <w:rsid w:val="00344EBD"/>
    <w:rsid w:val="00344EE9"/>
    <w:rsid w:val="0034507D"/>
    <w:rsid w:val="003454C1"/>
    <w:rsid w:val="003459BD"/>
    <w:rsid w:val="00345B41"/>
    <w:rsid w:val="00345BC6"/>
    <w:rsid w:val="00345C5A"/>
    <w:rsid w:val="00345E30"/>
    <w:rsid w:val="00346053"/>
    <w:rsid w:val="003460F4"/>
    <w:rsid w:val="003467A1"/>
    <w:rsid w:val="00346814"/>
    <w:rsid w:val="0034692B"/>
    <w:rsid w:val="00346D44"/>
    <w:rsid w:val="00346E3B"/>
    <w:rsid w:val="003473AF"/>
    <w:rsid w:val="00347446"/>
    <w:rsid w:val="00347498"/>
    <w:rsid w:val="003474E2"/>
    <w:rsid w:val="003476DE"/>
    <w:rsid w:val="003478FC"/>
    <w:rsid w:val="00347921"/>
    <w:rsid w:val="0035001C"/>
    <w:rsid w:val="0035043D"/>
    <w:rsid w:val="0035051E"/>
    <w:rsid w:val="003507E0"/>
    <w:rsid w:val="00350D38"/>
    <w:rsid w:val="00351182"/>
    <w:rsid w:val="003518FE"/>
    <w:rsid w:val="00351B36"/>
    <w:rsid w:val="00351FB0"/>
    <w:rsid w:val="003526BB"/>
    <w:rsid w:val="00352D7E"/>
    <w:rsid w:val="00352DD3"/>
    <w:rsid w:val="003535B8"/>
    <w:rsid w:val="00353D52"/>
    <w:rsid w:val="00353F6F"/>
    <w:rsid w:val="003547AB"/>
    <w:rsid w:val="00354D4F"/>
    <w:rsid w:val="00354D79"/>
    <w:rsid w:val="00354F38"/>
    <w:rsid w:val="0035507B"/>
    <w:rsid w:val="0035536B"/>
    <w:rsid w:val="0035557F"/>
    <w:rsid w:val="003557DD"/>
    <w:rsid w:val="00355A2B"/>
    <w:rsid w:val="00355ADC"/>
    <w:rsid w:val="00355BAF"/>
    <w:rsid w:val="00355BF3"/>
    <w:rsid w:val="00356293"/>
    <w:rsid w:val="00356368"/>
    <w:rsid w:val="00356455"/>
    <w:rsid w:val="00356EDE"/>
    <w:rsid w:val="00356F77"/>
    <w:rsid w:val="00356FF4"/>
    <w:rsid w:val="003570ED"/>
    <w:rsid w:val="0035746B"/>
    <w:rsid w:val="00357611"/>
    <w:rsid w:val="00357B4E"/>
    <w:rsid w:val="00357D07"/>
    <w:rsid w:val="0036029A"/>
    <w:rsid w:val="003602A8"/>
    <w:rsid w:val="0036045F"/>
    <w:rsid w:val="0036073E"/>
    <w:rsid w:val="00361F1D"/>
    <w:rsid w:val="003627E7"/>
    <w:rsid w:val="003628B5"/>
    <w:rsid w:val="00362EE4"/>
    <w:rsid w:val="003632B4"/>
    <w:rsid w:val="0036377D"/>
    <w:rsid w:val="00363BB8"/>
    <w:rsid w:val="00363BC5"/>
    <w:rsid w:val="003641A2"/>
    <w:rsid w:val="003641D3"/>
    <w:rsid w:val="003644DC"/>
    <w:rsid w:val="003654E4"/>
    <w:rsid w:val="003661A2"/>
    <w:rsid w:val="00366DCC"/>
    <w:rsid w:val="00367466"/>
    <w:rsid w:val="00367760"/>
    <w:rsid w:val="0036778B"/>
    <w:rsid w:val="00370068"/>
    <w:rsid w:val="00370591"/>
    <w:rsid w:val="003707AE"/>
    <w:rsid w:val="00370A20"/>
    <w:rsid w:val="00370FE7"/>
    <w:rsid w:val="0037145D"/>
    <w:rsid w:val="003716FD"/>
    <w:rsid w:val="0037204B"/>
    <w:rsid w:val="0037226F"/>
    <w:rsid w:val="00372293"/>
    <w:rsid w:val="003723A5"/>
    <w:rsid w:val="003727CC"/>
    <w:rsid w:val="00372832"/>
    <w:rsid w:val="003728C0"/>
    <w:rsid w:val="0037370E"/>
    <w:rsid w:val="00373726"/>
    <w:rsid w:val="00373833"/>
    <w:rsid w:val="00373A9E"/>
    <w:rsid w:val="003740F7"/>
    <w:rsid w:val="0037423F"/>
    <w:rsid w:val="003744CF"/>
    <w:rsid w:val="00374717"/>
    <w:rsid w:val="00374F84"/>
    <w:rsid w:val="00375E6D"/>
    <w:rsid w:val="003763F8"/>
    <w:rsid w:val="0037674A"/>
    <w:rsid w:val="0037676C"/>
    <w:rsid w:val="00376E50"/>
    <w:rsid w:val="00376F47"/>
    <w:rsid w:val="0037741D"/>
    <w:rsid w:val="0037777C"/>
    <w:rsid w:val="00377AFC"/>
    <w:rsid w:val="00380029"/>
    <w:rsid w:val="0038018A"/>
    <w:rsid w:val="003803B0"/>
    <w:rsid w:val="0038055B"/>
    <w:rsid w:val="003805A9"/>
    <w:rsid w:val="0038090A"/>
    <w:rsid w:val="00380E21"/>
    <w:rsid w:val="00380ECA"/>
    <w:rsid w:val="00381043"/>
    <w:rsid w:val="00381183"/>
    <w:rsid w:val="00382399"/>
    <w:rsid w:val="003828BA"/>
    <w:rsid w:val="003829E5"/>
    <w:rsid w:val="00383486"/>
    <w:rsid w:val="0038371E"/>
    <w:rsid w:val="00383E61"/>
    <w:rsid w:val="00385470"/>
    <w:rsid w:val="003859E2"/>
    <w:rsid w:val="00385A84"/>
    <w:rsid w:val="00385B3F"/>
    <w:rsid w:val="00385D7D"/>
    <w:rsid w:val="00386109"/>
    <w:rsid w:val="0038633E"/>
    <w:rsid w:val="0038669C"/>
    <w:rsid w:val="00386944"/>
    <w:rsid w:val="00386F7C"/>
    <w:rsid w:val="00387046"/>
    <w:rsid w:val="00387078"/>
    <w:rsid w:val="00387538"/>
    <w:rsid w:val="00387CDB"/>
    <w:rsid w:val="00387EEF"/>
    <w:rsid w:val="003900BD"/>
    <w:rsid w:val="003900D9"/>
    <w:rsid w:val="003903CF"/>
    <w:rsid w:val="00390493"/>
    <w:rsid w:val="003906FF"/>
    <w:rsid w:val="00390896"/>
    <w:rsid w:val="00390D41"/>
    <w:rsid w:val="00390EEA"/>
    <w:rsid w:val="003917DF"/>
    <w:rsid w:val="00391DEE"/>
    <w:rsid w:val="003923E2"/>
    <w:rsid w:val="00392472"/>
    <w:rsid w:val="0039251D"/>
    <w:rsid w:val="00392BFC"/>
    <w:rsid w:val="00392ED9"/>
    <w:rsid w:val="00393443"/>
    <w:rsid w:val="003934A1"/>
    <w:rsid w:val="0039391C"/>
    <w:rsid w:val="00394E4E"/>
    <w:rsid w:val="0039522F"/>
    <w:rsid w:val="003956CC"/>
    <w:rsid w:val="00395C9A"/>
    <w:rsid w:val="003966DE"/>
    <w:rsid w:val="00396881"/>
    <w:rsid w:val="00397126"/>
    <w:rsid w:val="00397240"/>
    <w:rsid w:val="0039784E"/>
    <w:rsid w:val="00397F7C"/>
    <w:rsid w:val="003A026B"/>
    <w:rsid w:val="003A0446"/>
    <w:rsid w:val="003A0853"/>
    <w:rsid w:val="003A0C2C"/>
    <w:rsid w:val="003A1513"/>
    <w:rsid w:val="003A19D1"/>
    <w:rsid w:val="003A1AE8"/>
    <w:rsid w:val="003A1B44"/>
    <w:rsid w:val="003A1D09"/>
    <w:rsid w:val="003A1F26"/>
    <w:rsid w:val="003A27E5"/>
    <w:rsid w:val="003A2B10"/>
    <w:rsid w:val="003A358D"/>
    <w:rsid w:val="003A3CA0"/>
    <w:rsid w:val="003A4134"/>
    <w:rsid w:val="003A4CE6"/>
    <w:rsid w:val="003A5D68"/>
    <w:rsid w:val="003A645B"/>
    <w:rsid w:val="003A65A2"/>
    <w:rsid w:val="003A69B1"/>
    <w:rsid w:val="003A6B67"/>
    <w:rsid w:val="003A6EC0"/>
    <w:rsid w:val="003A7AAA"/>
    <w:rsid w:val="003A7D14"/>
    <w:rsid w:val="003A7F3C"/>
    <w:rsid w:val="003B016C"/>
    <w:rsid w:val="003B017A"/>
    <w:rsid w:val="003B0445"/>
    <w:rsid w:val="003B05C6"/>
    <w:rsid w:val="003B13B6"/>
    <w:rsid w:val="003B14C3"/>
    <w:rsid w:val="003B15E6"/>
    <w:rsid w:val="003B1E42"/>
    <w:rsid w:val="003B22EF"/>
    <w:rsid w:val="003B26A7"/>
    <w:rsid w:val="003B2846"/>
    <w:rsid w:val="003B2F3F"/>
    <w:rsid w:val="003B3B6D"/>
    <w:rsid w:val="003B3F6D"/>
    <w:rsid w:val="003B408A"/>
    <w:rsid w:val="003B40FF"/>
    <w:rsid w:val="003B434B"/>
    <w:rsid w:val="003B4817"/>
    <w:rsid w:val="003B494E"/>
    <w:rsid w:val="003B4B49"/>
    <w:rsid w:val="003B5189"/>
    <w:rsid w:val="003B54EA"/>
    <w:rsid w:val="003B5951"/>
    <w:rsid w:val="003B5A02"/>
    <w:rsid w:val="003B7173"/>
    <w:rsid w:val="003B7B23"/>
    <w:rsid w:val="003B7C86"/>
    <w:rsid w:val="003B7F60"/>
    <w:rsid w:val="003C08A2"/>
    <w:rsid w:val="003C1878"/>
    <w:rsid w:val="003C2045"/>
    <w:rsid w:val="003C2371"/>
    <w:rsid w:val="003C24EB"/>
    <w:rsid w:val="003C2C49"/>
    <w:rsid w:val="003C349F"/>
    <w:rsid w:val="003C39A4"/>
    <w:rsid w:val="003C3A0A"/>
    <w:rsid w:val="003C4369"/>
    <w:rsid w:val="003C43A1"/>
    <w:rsid w:val="003C4E7C"/>
    <w:rsid w:val="003C4FC0"/>
    <w:rsid w:val="003C55F4"/>
    <w:rsid w:val="003C586B"/>
    <w:rsid w:val="003C5950"/>
    <w:rsid w:val="003C5B3D"/>
    <w:rsid w:val="003C5B67"/>
    <w:rsid w:val="003C5C67"/>
    <w:rsid w:val="003C6583"/>
    <w:rsid w:val="003C6611"/>
    <w:rsid w:val="003C6C86"/>
    <w:rsid w:val="003C72A7"/>
    <w:rsid w:val="003C7897"/>
    <w:rsid w:val="003C7A3F"/>
    <w:rsid w:val="003C7FAA"/>
    <w:rsid w:val="003D0172"/>
    <w:rsid w:val="003D0235"/>
    <w:rsid w:val="003D0280"/>
    <w:rsid w:val="003D0527"/>
    <w:rsid w:val="003D07C9"/>
    <w:rsid w:val="003D0A4C"/>
    <w:rsid w:val="003D0F0D"/>
    <w:rsid w:val="003D19E7"/>
    <w:rsid w:val="003D1FD7"/>
    <w:rsid w:val="003D2238"/>
    <w:rsid w:val="003D233E"/>
    <w:rsid w:val="003D242E"/>
    <w:rsid w:val="003D2475"/>
    <w:rsid w:val="003D25B1"/>
    <w:rsid w:val="003D2766"/>
    <w:rsid w:val="003D28DE"/>
    <w:rsid w:val="003D29AE"/>
    <w:rsid w:val="003D2A74"/>
    <w:rsid w:val="003D2D07"/>
    <w:rsid w:val="003D3658"/>
    <w:rsid w:val="003D371D"/>
    <w:rsid w:val="003D38F0"/>
    <w:rsid w:val="003D3D88"/>
    <w:rsid w:val="003D3E8F"/>
    <w:rsid w:val="003D43F9"/>
    <w:rsid w:val="003D473D"/>
    <w:rsid w:val="003D4915"/>
    <w:rsid w:val="003D4E00"/>
    <w:rsid w:val="003D56F4"/>
    <w:rsid w:val="003D5A32"/>
    <w:rsid w:val="003D5D2A"/>
    <w:rsid w:val="003D5FEB"/>
    <w:rsid w:val="003D6135"/>
    <w:rsid w:val="003D63B5"/>
    <w:rsid w:val="003D6475"/>
    <w:rsid w:val="003D6D1D"/>
    <w:rsid w:val="003D6D73"/>
    <w:rsid w:val="003D6EE6"/>
    <w:rsid w:val="003D761A"/>
    <w:rsid w:val="003D768A"/>
    <w:rsid w:val="003D77D1"/>
    <w:rsid w:val="003D7891"/>
    <w:rsid w:val="003D7EF3"/>
    <w:rsid w:val="003E081A"/>
    <w:rsid w:val="003E08B3"/>
    <w:rsid w:val="003E14E2"/>
    <w:rsid w:val="003E1954"/>
    <w:rsid w:val="003E206E"/>
    <w:rsid w:val="003E20C5"/>
    <w:rsid w:val="003E2406"/>
    <w:rsid w:val="003E25FA"/>
    <w:rsid w:val="003E28A9"/>
    <w:rsid w:val="003E2BCF"/>
    <w:rsid w:val="003E2ED2"/>
    <w:rsid w:val="003E34B9"/>
    <w:rsid w:val="003E358B"/>
    <w:rsid w:val="003E375C"/>
    <w:rsid w:val="003E396C"/>
    <w:rsid w:val="003E3B79"/>
    <w:rsid w:val="003E3D69"/>
    <w:rsid w:val="003E4086"/>
    <w:rsid w:val="003E40F2"/>
    <w:rsid w:val="003E4565"/>
    <w:rsid w:val="003E4A00"/>
    <w:rsid w:val="003E4ADD"/>
    <w:rsid w:val="003E4B83"/>
    <w:rsid w:val="003E5875"/>
    <w:rsid w:val="003E58E8"/>
    <w:rsid w:val="003E5F63"/>
    <w:rsid w:val="003E639E"/>
    <w:rsid w:val="003E71E5"/>
    <w:rsid w:val="003E74CB"/>
    <w:rsid w:val="003E77A8"/>
    <w:rsid w:val="003E7C3B"/>
    <w:rsid w:val="003F0445"/>
    <w:rsid w:val="003F0CF0"/>
    <w:rsid w:val="003F125C"/>
    <w:rsid w:val="003F14B1"/>
    <w:rsid w:val="003F1756"/>
    <w:rsid w:val="003F17ED"/>
    <w:rsid w:val="003F19E4"/>
    <w:rsid w:val="003F217A"/>
    <w:rsid w:val="003F22AA"/>
    <w:rsid w:val="003F2360"/>
    <w:rsid w:val="003F2488"/>
    <w:rsid w:val="003F2739"/>
    <w:rsid w:val="003F2B20"/>
    <w:rsid w:val="003F2B87"/>
    <w:rsid w:val="003F2BF4"/>
    <w:rsid w:val="003F3131"/>
    <w:rsid w:val="003F3289"/>
    <w:rsid w:val="003F3C62"/>
    <w:rsid w:val="003F3DE3"/>
    <w:rsid w:val="003F3FD4"/>
    <w:rsid w:val="003F47EC"/>
    <w:rsid w:val="003F5B3D"/>
    <w:rsid w:val="003F5CB9"/>
    <w:rsid w:val="003F612E"/>
    <w:rsid w:val="003F67FA"/>
    <w:rsid w:val="003F6834"/>
    <w:rsid w:val="003F730D"/>
    <w:rsid w:val="003F7A46"/>
    <w:rsid w:val="003F7EAF"/>
    <w:rsid w:val="00400D79"/>
    <w:rsid w:val="00401377"/>
    <w:rsid w:val="004013C7"/>
    <w:rsid w:val="0040175C"/>
    <w:rsid w:val="00401879"/>
    <w:rsid w:val="00401FCF"/>
    <w:rsid w:val="00402038"/>
    <w:rsid w:val="00402307"/>
    <w:rsid w:val="00402469"/>
    <w:rsid w:val="00402B76"/>
    <w:rsid w:val="00402C37"/>
    <w:rsid w:val="00402F09"/>
    <w:rsid w:val="004032EA"/>
    <w:rsid w:val="00403674"/>
    <w:rsid w:val="0040373B"/>
    <w:rsid w:val="004037C7"/>
    <w:rsid w:val="004038B7"/>
    <w:rsid w:val="00403917"/>
    <w:rsid w:val="00403AD7"/>
    <w:rsid w:val="0040443D"/>
    <w:rsid w:val="004046BC"/>
    <w:rsid w:val="004049B3"/>
    <w:rsid w:val="00404F01"/>
    <w:rsid w:val="00405318"/>
    <w:rsid w:val="0040568E"/>
    <w:rsid w:val="00405A1E"/>
    <w:rsid w:val="00405B2B"/>
    <w:rsid w:val="00405D62"/>
    <w:rsid w:val="00406285"/>
    <w:rsid w:val="0040697C"/>
    <w:rsid w:val="00406AD3"/>
    <w:rsid w:val="00406D6D"/>
    <w:rsid w:val="00406E09"/>
    <w:rsid w:val="00406EC7"/>
    <w:rsid w:val="00406F8E"/>
    <w:rsid w:val="0040706B"/>
    <w:rsid w:val="00407CF7"/>
    <w:rsid w:val="00407E70"/>
    <w:rsid w:val="0041048E"/>
    <w:rsid w:val="00410537"/>
    <w:rsid w:val="0041097F"/>
    <w:rsid w:val="00410983"/>
    <w:rsid w:val="00410995"/>
    <w:rsid w:val="00410AB6"/>
    <w:rsid w:val="00410CD7"/>
    <w:rsid w:val="00411145"/>
    <w:rsid w:val="004112B9"/>
    <w:rsid w:val="004115A2"/>
    <w:rsid w:val="00411669"/>
    <w:rsid w:val="00411833"/>
    <w:rsid w:val="00412041"/>
    <w:rsid w:val="00412508"/>
    <w:rsid w:val="00412B24"/>
    <w:rsid w:val="004130DB"/>
    <w:rsid w:val="00414381"/>
    <w:rsid w:val="004148F9"/>
    <w:rsid w:val="00414948"/>
    <w:rsid w:val="00414AAF"/>
    <w:rsid w:val="00414BE7"/>
    <w:rsid w:val="00414C19"/>
    <w:rsid w:val="00414D97"/>
    <w:rsid w:val="00414FA2"/>
    <w:rsid w:val="00415120"/>
    <w:rsid w:val="00415A5E"/>
    <w:rsid w:val="00416E01"/>
    <w:rsid w:val="0041709F"/>
    <w:rsid w:val="0041721D"/>
    <w:rsid w:val="004177BC"/>
    <w:rsid w:val="00417897"/>
    <w:rsid w:val="00417C05"/>
    <w:rsid w:val="00417C7E"/>
    <w:rsid w:val="00417D78"/>
    <w:rsid w:val="00417F34"/>
    <w:rsid w:val="004204F6"/>
    <w:rsid w:val="0042084E"/>
    <w:rsid w:val="00420B29"/>
    <w:rsid w:val="00420B34"/>
    <w:rsid w:val="00420DEE"/>
    <w:rsid w:val="00421280"/>
    <w:rsid w:val="00421394"/>
    <w:rsid w:val="00421EEF"/>
    <w:rsid w:val="00422C92"/>
    <w:rsid w:val="004231DB"/>
    <w:rsid w:val="004235F6"/>
    <w:rsid w:val="00423760"/>
    <w:rsid w:val="00423DD1"/>
    <w:rsid w:val="00423E32"/>
    <w:rsid w:val="004240E5"/>
    <w:rsid w:val="00424D62"/>
    <w:rsid w:val="00424D65"/>
    <w:rsid w:val="0042545A"/>
    <w:rsid w:val="004258D4"/>
    <w:rsid w:val="00425A1A"/>
    <w:rsid w:val="00425D8F"/>
    <w:rsid w:val="00425E0A"/>
    <w:rsid w:val="004266C2"/>
    <w:rsid w:val="00426B11"/>
    <w:rsid w:val="00426DF0"/>
    <w:rsid w:val="00426FED"/>
    <w:rsid w:val="004277F8"/>
    <w:rsid w:val="00427A6E"/>
    <w:rsid w:val="00427BD3"/>
    <w:rsid w:val="00427CCA"/>
    <w:rsid w:val="00427D68"/>
    <w:rsid w:val="00430393"/>
    <w:rsid w:val="00430AFA"/>
    <w:rsid w:val="00430E91"/>
    <w:rsid w:val="0043135F"/>
    <w:rsid w:val="00431806"/>
    <w:rsid w:val="00431A70"/>
    <w:rsid w:val="00431B56"/>
    <w:rsid w:val="00431D22"/>
    <w:rsid w:val="00431F42"/>
    <w:rsid w:val="00432CAF"/>
    <w:rsid w:val="00433482"/>
    <w:rsid w:val="004334BD"/>
    <w:rsid w:val="00434439"/>
    <w:rsid w:val="004345B1"/>
    <w:rsid w:val="004348EC"/>
    <w:rsid w:val="00435B04"/>
    <w:rsid w:val="00435CB7"/>
    <w:rsid w:val="00435CF7"/>
    <w:rsid w:val="00435D0E"/>
    <w:rsid w:val="004361C7"/>
    <w:rsid w:val="004364C9"/>
    <w:rsid w:val="00436E88"/>
    <w:rsid w:val="0043718E"/>
    <w:rsid w:val="00437E9C"/>
    <w:rsid w:val="00440EC3"/>
    <w:rsid w:val="0044123A"/>
    <w:rsid w:val="0044202D"/>
    <w:rsid w:val="0044256E"/>
    <w:rsid w:val="00442AC4"/>
    <w:rsid w:val="00442B6C"/>
    <w:rsid w:val="00442C6C"/>
    <w:rsid w:val="00442CCC"/>
    <w:rsid w:val="00443CBE"/>
    <w:rsid w:val="00443E8A"/>
    <w:rsid w:val="004441BC"/>
    <w:rsid w:val="00444766"/>
    <w:rsid w:val="004448ED"/>
    <w:rsid w:val="00444BFE"/>
    <w:rsid w:val="00444CA2"/>
    <w:rsid w:val="00445033"/>
    <w:rsid w:val="0044506C"/>
    <w:rsid w:val="004454D5"/>
    <w:rsid w:val="00445891"/>
    <w:rsid w:val="00445B3A"/>
    <w:rsid w:val="00445DA2"/>
    <w:rsid w:val="00445DE5"/>
    <w:rsid w:val="0044606B"/>
    <w:rsid w:val="004462A2"/>
    <w:rsid w:val="004463EF"/>
    <w:rsid w:val="004468B4"/>
    <w:rsid w:val="0044692D"/>
    <w:rsid w:val="00446A66"/>
    <w:rsid w:val="00446C37"/>
    <w:rsid w:val="00446D55"/>
    <w:rsid w:val="00446D86"/>
    <w:rsid w:val="00446E2C"/>
    <w:rsid w:val="00446E72"/>
    <w:rsid w:val="00446FC3"/>
    <w:rsid w:val="004471B3"/>
    <w:rsid w:val="0044731D"/>
    <w:rsid w:val="00447C5C"/>
    <w:rsid w:val="00447D5F"/>
    <w:rsid w:val="00450325"/>
    <w:rsid w:val="00450C8C"/>
    <w:rsid w:val="00450ECD"/>
    <w:rsid w:val="004514F0"/>
    <w:rsid w:val="004519E0"/>
    <w:rsid w:val="00451BCA"/>
    <w:rsid w:val="00452013"/>
    <w:rsid w:val="004520DF"/>
    <w:rsid w:val="00452308"/>
    <w:rsid w:val="0045230A"/>
    <w:rsid w:val="00452CA7"/>
    <w:rsid w:val="004530B3"/>
    <w:rsid w:val="004532C5"/>
    <w:rsid w:val="00453482"/>
    <w:rsid w:val="00453BF5"/>
    <w:rsid w:val="00454776"/>
    <w:rsid w:val="00454A7D"/>
    <w:rsid w:val="00454AD0"/>
    <w:rsid w:val="00454F1B"/>
    <w:rsid w:val="00455398"/>
    <w:rsid w:val="0045583F"/>
    <w:rsid w:val="00455985"/>
    <w:rsid w:val="00455E79"/>
    <w:rsid w:val="00455FE6"/>
    <w:rsid w:val="004566C5"/>
    <w:rsid w:val="004568CE"/>
    <w:rsid w:val="00456D76"/>
    <w:rsid w:val="00457337"/>
    <w:rsid w:val="00457FD0"/>
    <w:rsid w:val="00460106"/>
    <w:rsid w:val="00460228"/>
    <w:rsid w:val="0046065E"/>
    <w:rsid w:val="004607F9"/>
    <w:rsid w:val="00460B2A"/>
    <w:rsid w:val="0046115D"/>
    <w:rsid w:val="0046128A"/>
    <w:rsid w:val="00461677"/>
    <w:rsid w:val="00461C72"/>
    <w:rsid w:val="00461CBE"/>
    <w:rsid w:val="00461D92"/>
    <w:rsid w:val="00461E45"/>
    <w:rsid w:val="00462C45"/>
    <w:rsid w:val="00462E3D"/>
    <w:rsid w:val="00462E5D"/>
    <w:rsid w:val="00463070"/>
    <w:rsid w:val="004630D0"/>
    <w:rsid w:val="0046340F"/>
    <w:rsid w:val="00463DF0"/>
    <w:rsid w:val="00463EB8"/>
    <w:rsid w:val="004644F2"/>
    <w:rsid w:val="0046477B"/>
    <w:rsid w:val="00464A24"/>
    <w:rsid w:val="00464C75"/>
    <w:rsid w:val="00464CF0"/>
    <w:rsid w:val="00464F29"/>
    <w:rsid w:val="00465B6A"/>
    <w:rsid w:val="00465F8D"/>
    <w:rsid w:val="00466E79"/>
    <w:rsid w:val="00466F18"/>
    <w:rsid w:val="00467214"/>
    <w:rsid w:val="00467377"/>
    <w:rsid w:val="00467793"/>
    <w:rsid w:val="0046796C"/>
    <w:rsid w:val="00470861"/>
    <w:rsid w:val="00470874"/>
    <w:rsid w:val="00470B72"/>
    <w:rsid w:val="00470D7D"/>
    <w:rsid w:val="0047100C"/>
    <w:rsid w:val="00471077"/>
    <w:rsid w:val="004715A7"/>
    <w:rsid w:val="00471784"/>
    <w:rsid w:val="0047190D"/>
    <w:rsid w:val="00471C77"/>
    <w:rsid w:val="00471F2A"/>
    <w:rsid w:val="004721B4"/>
    <w:rsid w:val="00472410"/>
    <w:rsid w:val="00472A6F"/>
    <w:rsid w:val="00472DC5"/>
    <w:rsid w:val="0047372D"/>
    <w:rsid w:val="00473BA3"/>
    <w:rsid w:val="00473EA6"/>
    <w:rsid w:val="00473FA0"/>
    <w:rsid w:val="0047421E"/>
    <w:rsid w:val="004743DD"/>
    <w:rsid w:val="0047486F"/>
    <w:rsid w:val="00474932"/>
    <w:rsid w:val="00474A9C"/>
    <w:rsid w:val="00474CEA"/>
    <w:rsid w:val="00475389"/>
    <w:rsid w:val="00475427"/>
    <w:rsid w:val="00475C7F"/>
    <w:rsid w:val="00475F6F"/>
    <w:rsid w:val="00476209"/>
    <w:rsid w:val="004762F8"/>
    <w:rsid w:val="004765A8"/>
    <w:rsid w:val="00476B99"/>
    <w:rsid w:val="00476E2F"/>
    <w:rsid w:val="00476F7A"/>
    <w:rsid w:val="0047723E"/>
    <w:rsid w:val="0047724D"/>
    <w:rsid w:val="0047759D"/>
    <w:rsid w:val="004777E1"/>
    <w:rsid w:val="00477B39"/>
    <w:rsid w:val="004803A3"/>
    <w:rsid w:val="00480679"/>
    <w:rsid w:val="0048068D"/>
    <w:rsid w:val="004819C7"/>
    <w:rsid w:val="00481CCD"/>
    <w:rsid w:val="00481FA7"/>
    <w:rsid w:val="0048240C"/>
    <w:rsid w:val="00482779"/>
    <w:rsid w:val="004827C3"/>
    <w:rsid w:val="00483968"/>
    <w:rsid w:val="004841BE"/>
    <w:rsid w:val="00484291"/>
    <w:rsid w:val="0048435C"/>
    <w:rsid w:val="00484AA8"/>
    <w:rsid w:val="00484B4C"/>
    <w:rsid w:val="00484E6F"/>
    <w:rsid w:val="00484F86"/>
    <w:rsid w:val="004852C1"/>
    <w:rsid w:val="004852FE"/>
    <w:rsid w:val="004853D3"/>
    <w:rsid w:val="00485431"/>
    <w:rsid w:val="00485492"/>
    <w:rsid w:val="00485553"/>
    <w:rsid w:val="00485908"/>
    <w:rsid w:val="00485B7E"/>
    <w:rsid w:val="00485C0F"/>
    <w:rsid w:val="00485DDF"/>
    <w:rsid w:val="004862FC"/>
    <w:rsid w:val="00486C3B"/>
    <w:rsid w:val="00486C73"/>
    <w:rsid w:val="00487475"/>
    <w:rsid w:val="0048787D"/>
    <w:rsid w:val="00487CC6"/>
    <w:rsid w:val="00490746"/>
    <w:rsid w:val="00490852"/>
    <w:rsid w:val="00490E2F"/>
    <w:rsid w:val="004917CE"/>
    <w:rsid w:val="00491C9C"/>
    <w:rsid w:val="00492629"/>
    <w:rsid w:val="00492AF5"/>
    <w:rsid w:val="00492F30"/>
    <w:rsid w:val="00493B2F"/>
    <w:rsid w:val="00493C20"/>
    <w:rsid w:val="0049440B"/>
    <w:rsid w:val="004946F4"/>
    <w:rsid w:val="0049487E"/>
    <w:rsid w:val="00494B00"/>
    <w:rsid w:val="00494DC3"/>
    <w:rsid w:val="00495263"/>
    <w:rsid w:val="004955D0"/>
    <w:rsid w:val="00495986"/>
    <w:rsid w:val="00496389"/>
    <w:rsid w:val="00496B72"/>
    <w:rsid w:val="00496E40"/>
    <w:rsid w:val="00497383"/>
    <w:rsid w:val="00497789"/>
    <w:rsid w:val="00497821"/>
    <w:rsid w:val="004978F6"/>
    <w:rsid w:val="00497A5A"/>
    <w:rsid w:val="004A0CFB"/>
    <w:rsid w:val="004A12D0"/>
    <w:rsid w:val="004A14BB"/>
    <w:rsid w:val="004A160D"/>
    <w:rsid w:val="004A1765"/>
    <w:rsid w:val="004A1DC4"/>
    <w:rsid w:val="004A300C"/>
    <w:rsid w:val="004A36F8"/>
    <w:rsid w:val="004A36FE"/>
    <w:rsid w:val="004A3B8E"/>
    <w:rsid w:val="004A3DB5"/>
    <w:rsid w:val="004A3DE2"/>
    <w:rsid w:val="004A3E81"/>
    <w:rsid w:val="004A3F18"/>
    <w:rsid w:val="004A4195"/>
    <w:rsid w:val="004A4779"/>
    <w:rsid w:val="004A485A"/>
    <w:rsid w:val="004A48BF"/>
    <w:rsid w:val="004A4D08"/>
    <w:rsid w:val="004A5432"/>
    <w:rsid w:val="004A566E"/>
    <w:rsid w:val="004A5C62"/>
    <w:rsid w:val="004A5CE5"/>
    <w:rsid w:val="004A707D"/>
    <w:rsid w:val="004A7209"/>
    <w:rsid w:val="004A77C2"/>
    <w:rsid w:val="004A7CAE"/>
    <w:rsid w:val="004A7CC8"/>
    <w:rsid w:val="004B052A"/>
    <w:rsid w:val="004B0816"/>
    <w:rsid w:val="004B0974"/>
    <w:rsid w:val="004B0A47"/>
    <w:rsid w:val="004B0AA0"/>
    <w:rsid w:val="004B0E99"/>
    <w:rsid w:val="004B1045"/>
    <w:rsid w:val="004B1087"/>
    <w:rsid w:val="004B1374"/>
    <w:rsid w:val="004B142B"/>
    <w:rsid w:val="004B1894"/>
    <w:rsid w:val="004B2079"/>
    <w:rsid w:val="004B27DB"/>
    <w:rsid w:val="004B28A8"/>
    <w:rsid w:val="004B2CEB"/>
    <w:rsid w:val="004B326F"/>
    <w:rsid w:val="004B3687"/>
    <w:rsid w:val="004B36B0"/>
    <w:rsid w:val="004B36F2"/>
    <w:rsid w:val="004B3A5F"/>
    <w:rsid w:val="004B3CAA"/>
    <w:rsid w:val="004B412D"/>
    <w:rsid w:val="004B416F"/>
    <w:rsid w:val="004B4185"/>
    <w:rsid w:val="004B440F"/>
    <w:rsid w:val="004B448D"/>
    <w:rsid w:val="004B47D3"/>
    <w:rsid w:val="004B4CB9"/>
    <w:rsid w:val="004B523A"/>
    <w:rsid w:val="004B58C4"/>
    <w:rsid w:val="004B61AA"/>
    <w:rsid w:val="004B6246"/>
    <w:rsid w:val="004B672C"/>
    <w:rsid w:val="004B6A09"/>
    <w:rsid w:val="004B772F"/>
    <w:rsid w:val="004B78EA"/>
    <w:rsid w:val="004B791C"/>
    <w:rsid w:val="004B7EC3"/>
    <w:rsid w:val="004C00BE"/>
    <w:rsid w:val="004C07AF"/>
    <w:rsid w:val="004C09DB"/>
    <w:rsid w:val="004C0BCF"/>
    <w:rsid w:val="004C0BEB"/>
    <w:rsid w:val="004C1006"/>
    <w:rsid w:val="004C1399"/>
    <w:rsid w:val="004C15D1"/>
    <w:rsid w:val="004C169D"/>
    <w:rsid w:val="004C1884"/>
    <w:rsid w:val="004C2286"/>
    <w:rsid w:val="004C2342"/>
    <w:rsid w:val="004C23A0"/>
    <w:rsid w:val="004C25F0"/>
    <w:rsid w:val="004C271A"/>
    <w:rsid w:val="004C28E3"/>
    <w:rsid w:val="004C2B4D"/>
    <w:rsid w:val="004C3ED1"/>
    <w:rsid w:val="004C46ED"/>
    <w:rsid w:val="004C491B"/>
    <w:rsid w:val="004C4960"/>
    <w:rsid w:val="004C4B45"/>
    <w:rsid w:val="004C5541"/>
    <w:rsid w:val="004C5842"/>
    <w:rsid w:val="004C5F09"/>
    <w:rsid w:val="004C6DA2"/>
    <w:rsid w:val="004C6EEE"/>
    <w:rsid w:val="004C702B"/>
    <w:rsid w:val="004C7E77"/>
    <w:rsid w:val="004D0033"/>
    <w:rsid w:val="004D016B"/>
    <w:rsid w:val="004D043C"/>
    <w:rsid w:val="004D095A"/>
    <w:rsid w:val="004D0A7E"/>
    <w:rsid w:val="004D0B84"/>
    <w:rsid w:val="004D0EDF"/>
    <w:rsid w:val="004D15FE"/>
    <w:rsid w:val="004D1700"/>
    <w:rsid w:val="004D1A0A"/>
    <w:rsid w:val="004D1B22"/>
    <w:rsid w:val="004D2155"/>
    <w:rsid w:val="004D23CC"/>
    <w:rsid w:val="004D2416"/>
    <w:rsid w:val="004D2804"/>
    <w:rsid w:val="004D2899"/>
    <w:rsid w:val="004D2B63"/>
    <w:rsid w:val="004D2BC1"/>
    <w:rsid w:val="004D2BD0"/>
    <w:rsid w:val="004D2D4E"/>
    <w:rsid w:val="004D343C"/>
    <w:rsid w:val="004D36F2"/>
    <w:rsid w:val="004D40E2"/>
    <w:rsid w:val="004D4508"/>
    <w:rsid w:val="004D4889"/>
    <w:rsid w:val="004D5103"/>
    <w:rsid w:val="004D52B5"/>
    <w:rsid w:val="004D56CC"/>
    <w:rsid w:val="004D5F82"/>
    <w:rsid w:val="004D601F"/>
    <w:rsid w:val="004D6689"/>
    <w:rsid w:val="004D7019"/>
    <w:rsid w:val="004D7176"/>
    <w:rsid w:val="004D7682"/>
    <w:rsid w:val="004D78AC"/>
    <w:rsid w:val="004E0652"/>
    <w:rsid w:val="004E0CB8"/>
    <w:rsid w:val="004E1106"/>
    <w:rsid w:val="004E125B"/>
    <w:rsid w:val="004E138F"/>
    <w:rsid w:val="004E1416"/>
    <w:rsid w:val="004E146A"/>
    <w:rsid w:val="004E14AC"/>
    <w:rsid w:val="004E1AFA"/>
    <w:rsid w:val="004E1C38"/>
    <w:rsid w:val="004E1CD5"/>
    <w:rsid w:val="004E1F4A"/>
    <w:rsid w:val="004E21A4"/>
    <w:rsid w:val="004E31EB"/>
    <w:rsid w:val="004E342E"/>
    <w:rsid w:val="004E3D51"/>
    <w:rsid w:val="004E3DD6"/>
    <w:rsid w:val="004E4568"/>
    <w:rsid w:val="004E4649"/>
    <w:rsid w:val="004E469C"/>
    <w:rsid w:val="004E48B8"/>
    <w:rsid w:val="004E4F4A"/>
    <w:rsid w:val="004E5365"/>
    <w:rsid w:val="004E5C2B"/>
    <w:rsid w:val="004E664F"/>
    <w:rsid w:val="004E6BEA"/>
    <w:rsid w:val="004E6E3B"/>
    <w:rsid w:val="004E6FB8"/>
    <w:rsid w:val="004E75FD"/>
    <w:rsid w:val="004E7F76"/>
    <w:rsid w:val="004F00DD"/>
    <w:rsid w:val="004F0246"/>
    <w:rsid w:val="004F085A"/>
    <w:rsid w:val="004F0ABD"/>
    <w:rsid w:val="004F0CBD"/>
    <w:rsid w:val="004F154B"/>
    <w:rsid w:val="004F1906"/>
    <w:rsid w:val="004F2133"/>
    <w:rsid w:val="004F2174"/>
    <w:rsid w:val="004F2498"/>
    <w:rsid w:val="004F2767"/>
    <w:rsid w:val="004F2B29"/>
    <w:rsid w:val="004F2B80"/>
    <w:rsid w:val="004F2D23"/>
    <w:rsid w:val="004F2E4E"/>
    <w:rsid w:val="004F305C"/>
    <w:rsid w:val="004F3E82"/>
    <w:rsid w:val="004F3F22"/>
    <w:rsid w:val="004F41E9"/>
    <w:rsid w:val="004F4F80"/>
    <w:rsid w:val="004F50C5"/>
    <w:rsid w:val="004F5398"/>
    <w:rsid w:val="004F55F1"/>
    <w:rsid w:val="004F66A6"/>
    <w:rsid w:val="004F6923"/>
    <w:rsid w:val="004F6936"/>
    <w:rsid w:val="004F6FFD"/>
    <w:rsid w:val="004F7419"/>
    <w:rsid w:val="004F7D09"/>
    <w:rsid w:val="004F7E9F"/>
    <w:rsid w:val="00500C9F"/>
    <w:rsid w:val="00501226"/>
    <w:rsid w:val="00501400"/>
    <w:rsid w:val="00501A67"/>
    <w:rsid w:val="00501DF8"/>
    <w:rsid w:val="005027F5"/>
    <w:rsid w:val="00502809"/>
    <w:rsid w:val="00502D7C"/>
    <w:rsid w:val="005031DA"/>
    <w:rsid w:val="005033A2"/>
    <w:rsid w:val="005037BB"/>
    <w:rsid w:val="005039B3"/>
    <w:rsid w:val="00503DC6"/>
    <w:rsid w:val="00504501"/>
    <w:rsid w:val="005055FB"/>
    <w:rsid w:val="00505B72"/>
    <w:rsid w:val="00505B82"/>
    <w:rsid w:val="00505CC3"/>
    <w:rsid w:val="00505E62"/>
    <w:rsid w:val="00505E98"/>
    <w:rsid w:val="00505EA9"/>
    <w:rsid w:val="00505F10"/>
    <w:rsid w:val="00506084"/>
    <w:rsid w:val="00506457"/>
    <w:rsid w:val="00506713"/>
    <w:rsid w:val="00506818"/>
    <w:rsid w:val="00506AF5"/>
    <w:rsid w:val="00506C79"/>
    <w:rsid w:val="00506F5D"/>
    <w:rsid w:val="00507E23"/>
    <w:rsid w:val="00510C37"/>
    <w:rsid w:val="00510FCC"/>
    <w:rsid w:val="00511295"/>
    <w:rsid w:val="0051160D"/>
    <w:rsid w:val="00511867"/>
    <w:rsid w:val="00512301"/>
    <w:rsid w:val="005126D0"/>
    <w:rsid w:val="00512B4C"/>
    <w:rsid w:val="00512B50"/>
    <w:rsid w:val="00512ED9"/>
    <w:rsid w:val="0051342A"/>
    <w:rsid w:val="005139A7"/>
    <w:rsid w:val="00513B10"/>
    <w:rsid w:val="00513B64"/>
    <w:rsid w:val="00513DF2"/>
    <w:rsid w:val="005145B7"/>
    <w:rsid w:val="00514667"/>
    <w:rsid w:val="00514CFB"/>
    <w:rsid w:val="00514E58"/>
    <w:rsid w:val="00514EFA"/>
    <w:rsid w:val="0051502B"/>
    <w:rsid w:val="00515237"/>
    <w:rsid w:val="00515335"/>
    <w:rsid w:val="0051568D"/>
    <w:rsid w:val="00515F50"/>
    <w:rsid w:val="0051654E"/>
    <w:rsid w:val="005169DB"/>
    <w:rsid w:val="00517184"/>
    <w:rsid w:val="00517833"/>
    <w:rsid w:val="005201B5"/>
    <w:rsid w:val="0052020E"/>
    <w:rsid w:val="00520FA7"/>
    <w:rsid w:val="00520FCC"/>
    <w:rsid w:val="005211B5"/>
    <w:rsid w:val="005215C2"/>
    <w:rsid w:val="00521891"/>
    <w:rsid w:val="0052193F"/>
    <w:rsid w:val="00521A95"/>
    <w:rsid w:val="00521EEC"/>
    <w:rsid w:val="00522269"/>
    <w:rsid w:val="005224A5"/>
    <w:rsid w:val="0052264C"/>
    <w:rsid w:val="00522D53"/>
    <w:rsid w:val="00523BCA"/>
    <w:rsid w:val="00523F76"/>
    <w:rsid w:val="0052422D"/>
    <w:rsid w:val="00524325"/>
    <w:rsid w:val="0052456E"/>
    <w:rsid w:val="005246D0"/>
    <w:rsid w:val="00524A9F"/>
    <w:rsid w:val="00524E52"/>
    <w:rsid w:val="005250ED"/>
    <w:rsid w:val="005256D7"/>
    <w:rsid w:val="005257B9"/>
    <w:rsid w:val="005264F7"/>
    <w:rsid w:val="005268FA"/>
    <w:rsid w:val="00526928"/>
    <w:rsid w:val="00526AC7"/>
    <w:rsid w:val="00526C15"/>
    <w:rsid w:val="00527234"/>
    <w:rsid w:val="005272F8"/>
    <w:rsid w:val="00527B8B"/>
    <w:rsid w:val="00527C29"/>
    <w:rsid w:val="00527C3A"/>
    <w:rsid w:val="00527D52"/>
    <w:rsid w:val="005300BE"/>
    <w:rsid w:val="0053033D"/>
    <w:rsid w:val="00530E69"/>
    <w:rsid w:val="005313EB"/>
    <w:rsid w:val="005315EB"/>
    <w:rsid w:val="005317B5"/>
    <w:rsid w:val="005323AD"/>
    <w:rsid w:val="005328BE"/>
    <w:rsid w:val="00532D0D"/>
    <w:rsid w:val="00532E5C"/>
    <w:rsid w:val="00533DF1"/>
    <w:rsid w:val="00533F33"/>
    <w:rsid w:val="00534557"/>
    <w:rsid w:val="00534725"/>
    <w:rsid w:val="005347EE"/>
    <w:rsid w:val="00534FA7"/>
    <w:rsid w:val="0053516C"/>
    <w:rsid w:val="00535188"/>
    <w:rsid w:val="00535933"/>
    <w:rsid w:val="00535B22"/>
    <w:rsid w:val="00535F62"/>
    <w:rsid w:val="00535FDB"/>
    <w:rsid w:val="00536499"/>
    <w:rsid w:val="005364B2"/>
    <w:rsid w:val="005365D9"/>
    <w:rsid w:val="0053734F"/>
    <w:rsid w:val="0053753E"/>
    <w:rsid w:val="00537BBC"/>
    <w:rsid w:val="00537BD2"/>
    <w:rsid w:val="0054033A"/>
    <w:rsid w:val="00540F50"/>
    <w:rsid w:val="00541A4E"/>
    <w:rsid w:val="00542393"/>
    <w:rsid w:val="00542542"/>
    <w:rsid w:val="00542A03"/>
    <w:rsid w:val="00542B88"/>
    <w:rsid w:val="00542E8B"/>
    <w:rsid w:val="00543903"/>
    <w:rsid w:val="0054399D"/>
    <w:rsid w:val="00543AB9"/>
    <w:rsid w:val="00543B94"/>
    <w:rsid w:val="00543BCC"/>
    <w:rsid w:val="00543DC8"/>
    <w:rsid w:val="00543F11"/>
    <w:rsid w:val="00544135"/>
    <w:rsid w:val="005443A4"/>
    <w:rsid w:val="0054440E"/>
    <w:rsid w:val="005445F0"/>
    <w:rsid w:val="005448B4"/>
    <w:rsid w:val="00544A08"/>
    <w:rsid w:val="00544DB5"/>
    <w:rsid w:val="00544F1A"/>
    <w:rsid w:val="00546305"/>
    <w:rsid w:val="0054678B"/>
    <w:rsid w:val="0054690C"/>
    <w:rsid w:val="0054790D"/>
    <w:rsid w:val="00547A95"/>
    <w:rsid w:val="00547AD4"/>
    <w:rsid w:val="00550BE7"/>
    <w:rsid w:val="00551043"/>
    <w:rsid w:val="0055119B"/>
    <w:rsid w:val="005515F1"/>
    <w:rsid w:val="00551951"/>
    <w:rsid w:val="00552BEE"/>
    <w:rsid w:val="00552D43"/>
    <w:rsid w:val="0055311C"/>
    <w:rsid w:val="00553461"/>
    <w:rsid w:val="005534B7"/>
    <w:rsid w:val="00553DA5"/>
    <w:rsid w:val="00553EB3"/>
    <w:rsid w:val="00553F2D"/>
    <w:rsid w:val="00554276"/>
    <w:rsid w:val="0055439D"/>
    <w:rsid w:val="005546A0"/>
    <w:rsid w:val="0055638A"/>
    <w:rsid w:val="005565D0"/>
    <w:rsid w:val="00556734"/>
    <w:rsid w:val="005570A8"/>
    <w:rsid w:val="0055727A"/>
    <w:rsid w:val="0055741E"/>
    <w:rsid w:val="005577EA"/>
    <w:rsid w:val="00557DF9"/>
    <w:rsid w:val="00560244"/>
    <w:rsid w:val="00561202"/>
    <w:rsid w:val="00561853"/>
    <w:rsid w:val="0056229C"/>
    <w:rsid w:val="0056238A"/>
    <w:rsid w:val="005623FD"/>
    <w:rsid w:val="00562507"/>
    <w:rsid w:val="00562811"/>
    <w:rsid w:val="00562886"/>
    <w:rsid w:val="005629F1"/>
    <w:rsid w:val="00562B00"/>
    <w:rsid w:val="00562C90"/>
    <w:rsid w:val="00563454"/>
    <w:rsid w:val="00563664"/>
    <w:rsid w:val="00563C37"/>
    <w:rsid w:val="00563D4F"/>
    <w:rsid w:val="00564ABF"/>
    <w:rsid w:val="00564B78"/>
    <w:rsid w:val="00565133"/>
    <w:rsid w:val="00566027"/>
    <w:rsid w:val="0056647D"/>
    <w:rsid w:val="005664B5"/>
    <w:rsid w:val="005664F6"/>
    <w:rsid w:val="00566A1F"/>
    <w:rsid w:val="00567EB1"/>
    <w:rsid w:val="0057029E"/>
    <w:rsid w:val="00570E65"/>
    <w:rsid w:val="0057138D"/>
    <w:rsid w:val="00571410"/>
    <w:rsid w:val="00571B17"/>
    <w:rsid w:val="00571EA0"/>
    <w:rsid w:val="00572031"/>
    <w:rsid w:val="0057219D"/>
    <w:rsid w:val="005721F8"/>
    <w:rsid w:val="00572282"/>
    <w:rsid w:val="005726C9"/>
    <w:rsid w:val="00572860"/>
    <w:rsid w:val="00572882"/>
    <w:rsid w:val="00572A3D"/>
    <w:rsid w:val="00572F0B"/>
    <w:rsid w:val="0057303A"/>
    <w:rsid w:val="00573A9F"/>
    <w:rsid w:val="00573CE3"/>
    <w:rsid w:val="00573E6A"/>
    <w:rsid w:val="005744A4"/>
    <w:rsid w:val="005747BF"/>
    <w:rsid w:val="00574A33"/>
    <w:rsid w:val="005755AC"/>
    <w:rsid w:val="0057579E"/>
    <w:rsid w:val="00576248"/>
    <w:rsid w:val="00576366"/>
    <w:rsid w:val="00576412"/>
    <w:rsid w:val="0057698B"/>
    <w:rsid w:val="00576D33"/>
    <w:rsid w:val="00576E84"/>
    <w:rsid w:val="00577089"/>
    <w:rsid w:val="005772BF"/>
    <w:rsid w:val="005775DF"/>
    <w:rsid w:val="00580334"/>
    <w:rsid w:val="00580394"/>
    <w:rsid w:val="005806AC"/>
    <w:rsid w:val="005806C7"/>
    <w:rsid w:val="005809CD"/>
    <w:rsid w:val="00580BD2"/>
    <w:rsid w:val="00580E5A"/>
    <w:rsid w:val="00580EBA"/>
    <w:rsid w:val="005813BD"/>
    <w:rsid w:val="0058185C"/>
    <w:rsid w:val="00581C55"/>
    <w:rsid w:val="005820EC"/>
    <w:rsid w:val="005821DD"/>
    <w:rsid w:val="005821E8"/>
    <w:rsid w:val="00582B8C"/>
    <w:rsid w:val="00583043"/>
    <w:rsid w:val="00583138"/>
    <w:rsid w:val="00583753"/>
    <w:rsid w:val="00583A0A"/>
    <w:rsid w:val="005849C5"/>
    <w:rsid w:val="00584A1F"/>
    <w:rsid w:val="005854B6"/>
    <w:rsid w:val="00585504"/>
    <w:rsid w:val="0058554C"/>
    <w:rsid w:val="0058563E"/>
    <w:rsid w:val="00586057"/>
    <w:rsid w:val="00586070"/>
    <w:rsid w:val="0058632C"/>
    <w:rsid w:val="0058687A"/>
    <w:rsid w:val="00586AB0"/>
    <w:rsid w:val="0058757E"/>
    <w:rsid w:val="0058790D"/>
    <w:rsid w:val="00590065"/>
    <w:rsid w:val="00590235"/>
    <w:rsid w:val="00590403"/>
    <w:rsid w:val="00590656"/>
    <w:rsid w:val="0059098D"/>
    <w:rsid w:val="00590CF6"/>
    <w:rsid w:val="005916F1"/>
    <w:rsid w:val="005925E1"/>
    <w:rsid w:val="00592B26"/>
    <w:rsid w:val="00592B86"/>
    <w:rsid w:val="00592DE5"/>
    <w:rsid w:val="00592FB9"/>
    <w:rsid w:val="00593210"/>
    <w:rsid w:val="00595B5B"/>
    <w:rsid w:val="00595ECA"/>
    <w:rsid w:val="00596A4B"/>
    <w:rsid w:val="00596A68"/>
    <w:rsid w:val="00597507"/>
    <w:rsid w:val="00597842"/>
    <w:rsid w:val="00597B71"/>
    <w:rsid w:val="00597BF4"/>
    <w:rsid w:val="00597E8A"/>
    <w:rsid w:val="005A039C"/>
    <w:rsid w:val="005A0509"/>
    <w:rsid w:val="005A0812"/>
    <w:rsid w:val="005A0817"/>
    <w:rsid w:val="005A0CC0"/>
    <w:rsid w:val="005A107D"/>
    <w:rsid w:val="005A10DE"/>
    <w:rsid w:val="005A1CA0"/>
    <w:rsid w:val="005A1FF7"/>
    <w:rsid w:val="005A204E"/>
    <w:rsid w:val="005A21A4"/>
    <w:rsid w:val="005A239B"/>
    <w:rsid w:val="005A2C85"/>
    <w:rsid w:val="005A356C"/>
    <w:rsid w:val="005A3721"/>
    <w:rsid w:val="005A3C59"/>
    <w:rsid w:val="005A405D"/>
    <w:rsid w:val="005A4071"/>
    <w:rsid w:val="005A4319"/>
    <w:rsid w:val="005A479D"/>
    <w:rsid w:val="005A51C5"/>
    <w:rsid w:val="005A536F"/>
    <w:rsid w:val="005A5AD4"/>
    <w:rsid w:val="005A5D61"/>
    <w:rsid w:val="005A631A"/>
    <w:rsid w:val="005A63DF"/>
    <w:rsid w:val="005A6439"/>
    <w:rsid w:val="005A6A1A"/>
    <w:rsid w:val="005A6E74"/>
    <w:rsid w:val="005A6F1A"/>
    <w:rsid w:val="005A714D"/>
    <w:rsid w:val="005A7973"/>
    <w:rsid w:val="005A7AA9"/>
    <w:rsid w:val="005A7D3D"/>
    <w:rsid w:val="005A7DE1"/>
    <w:rsid w:val="005A7F92"/>
    <w:rsid w:val="005B0415"/>
    <w:rsid w:val="005B0478"/>
    <w:rsid w:val="005B0929"/>
    <w:rsid w:val="005B092A"/>
    <w:rsid w:val="005B0BE4"/>
    <w:rsid w:val="005B0CE9"/>
    <w:rsid w:val="005B0EF7"/>
    <w:rsid w:val="005B0F13"/>
    <w:rsid w:val="005B1101"/>
    <w:rsid w:val="005B123B"/>
    <w:rsid w:val="005B1C6D"/>
    <w:rsid w:val="005B1DBD"/>
    <w:rsid w:val="005B21B6"/>
    <w:rsid w:val="005B27E0"/>
    <w:rsid w:val="005B2E40"/>
    <w:rsid w:val="005B2FFD"/>
    <w:rsid w:val="005B32FB"/>
    <w:rsid w:val="005B330B"/>
    <w:rsid w:val="005B33C8"/>
    <w:rsid w:val="005B3615"/>
    <w:rsid w:val="005B368F"/>
    <w:rsid w:val="005B388F"/>
    <w:rsid w:val="005B3A08"/>
    <w:rsid w:val="005B3B1A"/>
    <w:rsid w:val="005B3B72"/>
    <w:rsid w:val="005B3BEC"/>
    <w:rsid w:val="005B3CE0"/>
    <w:rsid w:val="005B4AEE"/>
    <w:rsid w:val="005B4B7E"/>
    <w:rsid w:val="005B4DE6"/>
    <w:rsid w:val="005B5249"/>
    <w:rsid w:val="005B540C"/>
    <w:rsid w:val="005B54AF"/>
    <w:rsid w:val="005B5600"/>
    <w:rsid w:val="005B5603"/>
    <w:rsid w:val="005B61E4"/>
    <w:rsid w:val="005B6319"/>
    <w:rsid w:val="005B63F9"/>
    <w:rsid w:val="005B6A1A"/>
    <w:rsid w:val="005B70C7"/>
    <w:rsid w:val="005B7364"/>
    <w:rsid w:val="005B73F6"/>
    <w:rsid w:val="005B7770"/>
    <w:rsid w:val="005B77CE"/>
    <w:rsid w:val="005B79DB"/>
    <w:rsid w:val="005B7A63"/>
    <w:rsid w:val="005B7CFF"/>
    <w:rsid w:val="005B7D68"/>
    <w:rsid w:val="005C0108"/>
    <w:rsid w:val="005C0803"/>
    <w:rsid w:val="005C0955"/>
    <w:rsid w:val="005C0C02"/>
    <w:rsid w:val="005C0E7B"/>
    <w:rsid w:val="005C0EAE"/>
    <w:rsid w:val="005C15CD"/>
    <w:rsid w:val="005C1954"/>
    <w:rsid w:val="005C26CA"/>
    <w:rsid w:val="005C275F"/>
    <w:rsid w:val="005C2CF3"/>
    <w:rsid w:val="005C3629"/>
    <w:rsid w:val="005C430E"/>
    <w:rsid w:val="005C4651"/>
    <w:rsid w:val="005C49DA"/>
    <w:rsid w:val="005C4C59"/>
    <w:rsid w:val="005C50F3"/>
    <w:rsid w:val="005C54B5"/>
    <w:rsid w:val="005C5C0C"/>
    <w:rsid w:val="005C5D80"/>
    <w:rsid w:val="005C5D91"/>
    <w:rsid w:val="005C6313"/>
    <w:rsid w:val="005C704A"/>
    <w:rsid w:val="005C75B3"/>
    <w:rsid w:val="005C75E3"/>
    <w:rsid w:val="005C7AD6"/>
    <w:rsid w:val="005C7BDE"/>
    <w:rsid w:val="005D07B8"/>
    <w:rsid w:val="005D1091"/>
    <w:rsid w:val="005D16B6"/>
    <w:rsid w:val="005D1D59"/>
    <w:rsid w:val="005D23DA"/>
    <w:rsid w:val="005D2439"/>
    <w:rsid w:val="005D2A4C"/>
    <w:rsid w:val="005D2E4E"/>
    <w:rsid w:val="005D3219"/>
    <w:rsid w:val="005D3390"/>
    <w:rsid w:val="005D3C60"/>
    <w:rsid w:val="005D4064"/>
    <w:rsid w:val="005D4220"/>
    <w:rsid w:val="005D4656"/>
    <w:rsid w:val="005D482A"/>
    <w:rsid w:val="005D4EE6"/>
    <w:rsid w:val="005D51FE"/>
    <w:rsid w:val="005D5955"/>
    <w:rsid w:val="005D5AD6"/>
    <w:rsid w:val="005D6597"/>
    <w:rsid w:val="005D6813"/>
    <w:rsid w:val="005D6DBD"/>
    <w:rsid w:val="005D73A7"/>
    <w:rsid w:val="005E039B"/>
    <w:rsid w:val="005E04CE"/>
    <w:rsid w:val="005E056F"/>
    <w:rsid w:val="005E061C"/>
    <w:rsid w:val="005E099D"/>
    <w:rsid w:val="005E0AE0"/>
    <w:rsid w:val="005E101F"/>
    <w:rsid w:val="005E10AF"/>
    <w:rsid w:val="005E14E7"/>
    <w:rsid w:val="005E179B"/>
    <w:rsid w:val="005E1A24"/>
    <w:rsid w:val="005E213F"/>
    <w:rsid w:val="005E21BD"/>
    <w:rsid w:val="005E26A3"/>
    <w:rsid w:val="005E2AE1"/>
    <w:rsid w:val="005E2ECB"/>
    <w:rsid w:val="005E447E"/>
    <w:rsid w:val="005E4604"/>
    <w:rsid w:val="005E4CDC"/>
    <w:rsid w:val="005E4DD0"/>
    <w:rsid w:val="005E4FD1"/>
    <w:rsid w:val="005E56E4"/>
    <w:rsid w:val="005E65D5"/>
    <w:rsid w:val="005E68E6"/>
    <w:rsid w:val="005E6CB3"/>
    <w:rsid w:val="005E77BD"/>
    <w:rsid w:val="005E784D"/>
    <w:rsid w:val="005E797E"/>
    <w:rsid w:val="005E7C33"/>
    <w:rsid w:val="005F0775"/>
    <w:rsid w:val="005F079E"/>
    <w:rsid w:val="005F0CF5"/>
    <w:rsid w:val="005F0E30"/>
    <w:rsid w:val="005F1109"/>
    <w:rsid w:val="005F12DD"/>
    <w:rsid w:val="005F139F"/>
    <w:rsid w:val="005F17D9"/>
    <w:rsid w:val="005F1A25"/>
    <w:rsid w:val="005F2000"/>
    <w:rsid w:val="005F206B"/>
    <w:rsid w:val="005F21EB"/>
    <w:rsid w:val="005F2485"/>
    <w:rsid w:val="005F250A"/>
    <w:rsid w:val="005F2B4B"/>
    <w:rsid w:val="005F3611"/>
    <w:rsid w:val="005F3620"/>
    <w:rsid w:val="005F36FB"/>
    <w:rsid w:val="005F382F"/>
    <w:rsid w:val="005F424B"/>
    <w:rsid w:val="005F4D07"/>
    <w:rsid w:val="005F5153"/>
    <w:rsid w:val="005F57DC"/>
    <w:rsid w:val="005F64CF"/>
    <w:rsid w:val="005F6BD9"/>
    <w:rsid w:val="005F78A2"/>
    <w:rsid w:val="005F7E82"/>
    <w:rsid w:val="006003B4"/>
    <w:rsid w:val="006005E7"/>
    <w:rsid w:val="00600667"/>
    <w:rsid w:val="00600BDD"/>
    <w:rsid w:val="0060147A"/>
    <w:rsid w:val="006014C7"/>
    <w:rsid w:val="00601F01"/>
    <w:rsid w:val="00601FD3"/>
    <w:rsid w:val="00602516"/>
    <w:rsid w:val="00602677"/>
    <w:rsid w:val="006031D4"/>
    <w:rsid w:val="006035A2"/>
    <w:rsid w:val="006036C1"/>
    <w:rsid w:val="006036EE"/>
    <w:rsid w:val="00603D4C"/>
    <w:rsid w:val="006041AD"/>
    <w:rsid w:val="006044DE"/>
    <w:rsid w:val="006044E2"/>
    <w:rsid w:val="00604663"/>
    <w:rsid w:val="00604896"/>
    <w:rsid w:val="006050AA"/>
    <w:rsid w:val="00605281"/>
    <w:rsid w:val="00605425"/>
    <w:rsid w:val="006056AC"/>
    <w:rsid w:val="00605908"/>
    <w:rsid w:val="00605ADA"/>
    <w:rsid w:val="00605C75"/>
    <w:rsid w:val="00606EE5"/>
    <w:rsid w:val="00607025"/>
    <w:rsid w:val="006073C4"/>
    <w:rsid w:val="00607817"/>
    <w:rsid w:val="00607850"/>
    <w:rsid w:val="00607ABB"/>
    <w:rsid w:val="00607C4C"/>
    <w:rsid w:val="00607C6E"/>
    <w:rsid w:val="00607EF7"/>
    <w:rsid w:val="00610962"/>
    <w:rsid w:val="00610D7C"/>
    <w:rsid w:val="006111DA"/>
    <w:rsid w:val="00611B8A"/>
    <w:rsid w:val="006121C7"/>
    <w:rsid w:val="00612264"/>
    <w:rsid w:val="006127F1"/>
    <w:rsid w:val="00612892"/>
    <w:rsid w:val="00613323"/>
    <w:rsid w:val="00613414"/>
    <w:rsid w:val="0061358F"/>
    <w:rsid w:val="006138FC"/>
    <w:rsid w:val="00614A8C"/>
    <w:rsid w:val="00614B50"/>
    <w:rsid w:val="00614D13"/>
    <w:rsid w:val="0061541C"/>
    <w:rsid w:val="00615C10"/>
    <w:rsid w:val="006167B5"/>
    <w:rsid w:val="00616AF1"/>
    <w:rsid w:val="00616CC5"/>
    <w:rsid w:val="0061740A"/>
    <w:rsid w:val="006176AA"/>
    <w:rsid w:val="0061788F"/>
    <w:rsid w:val="00617926"/>
    <w:rsid w:val="00617E64"/>
    <w:rsid w:val="00617F78"/>
    <w:rsid w:val="00620154"/>
    <w:rsid w:val="006201A2"/>
    <w:rsid w:val="006204FF"/>
    <w:rsid w:val="00620550"/>
    <w:rsid w:val="00621108"/>
    <w:rsid w:val="006214C2"/>
    <w:rsid w:val="00621624"/>
    <w:rsid w:val="006225D3"/>
    <w:rsid w:val="0062408D"/>
    <w:rsid w:val="006240CC"/>
    <w:rsid w:val="00624389"/>
    <w:rsid w:val="00624940"/>
    <w:rsid w:val="00624996"/>
    <w:rsid w:val="00624CFB"/>
    <w:rsid w:val="00624E8B"/>
    <w:rsid w:val="00624EE8"/>
    <w:rsid w:val="006250BF"/>
    <w:rsid w:val="006254F8"/>
    <w:rsid w:val="0062574F"/>
    <w:rsid w:val="006257B8"/>
    <w:rsid w:val="006258BC"/>
    <w:rsid w:val="00625ABC"/>
    <w:rsid w:val="00625E7E"/>
    <w:rsid w:val="00626289"/>
    <w:rsid w:val="00626464"/>
    <w:rsid w:val="00627878"/>
    <w:rsid w:val="00627DA7"/>
    <w:rsid w:val="00627FA6"/>
    <w:rsid w:val="0063017F"/>
    <w:rsid w:val="0063052C"/>
    <w:rsid w:val="006306BA"/>
    <w:rsid w:val="00630849"/>
    <w:rsid w:val="00630AAC"/>
    <w:rsid w:val="00630DA4"/>
    <w:rsid w:val="00630FCC"/>
    <w:rsid w:val="00631698"/>
    <w:rsid w:val="0063173D"/>
    <w:rsid w:val="00631CD4"/>
    <w:rsid w:val="0063215D"/>
    <w:rsid w:val="006322C7"/>
    <w:rsid w:val="006322D3"/>
    <w:rsid w:val="00632597"/>
    <w:rsid w:val="00632D56"/>
    <w:rsid w:val="00632E8D"/>
    <w:rsid w:val="00632F48"/>
    <w:rsid w:val="00633531"/>
    <w:rsid w:val="0063355F"/>
    <w:rsid w:val="00633932"/>
    <w:rsid w:val="00633B62"/>
    <w:rsid w:val="00633ED2"/>
    <w:rsid w:val="00634568"/>
    <w:rsid w:val="006349AB"/>
    <w:rsid w:val="00634C1F"/>
    <w:rsid w:val="00634D13"/>
    <w:rsid w:val="006358B4"/>
    <w:rsid w:val="00636008"/>
    <w:rsid w:val="00636268"/>
    <w:rsid w:val="00636C12"/>
    <w:rsid w:val="006400A5"/>
    <w:rsid w:val="00640118"/>
    <w:rsid w:val="00640404"/>
    <w:rsid w:val="0064041A"/>
    <w:rsid w:val="006407A5"/>
    <w:rsid w:val="006409FE"/>
    <w:rsid w:val="00641537"/>
    <w:rsid w:val="00641724"/>
    <w:rsid w:val="006418DA"/>
    <w:rsid w:val="006419AA"/>
    <w:rsid w:val="0064233C"/>
    <w:rsid w:val="00642A14"/>
    <w:rsid w:val="00643259"/>
    <w:rsid w:val="00643478"/>
    <w:rsid w:val="006435F8"/>
    <w:rsid w:val="00643FC4"/>
    <w:rsid w:val="00644144"/>
    <w:rsid w:val="00644B1F"/>
    <w:rsid w:val="00644B7E"/>
    <w:rsid w:val="00644D23"/>
    <w:rsid w:val="00644DB4"/>
    <w:rsid w:val="006454E6"/>
    <w:rsid w:val="00645B69"/>
    <w:rsid w:val="00645F14"/>
    <w:rsid w:val="00646235"/>
    <w:rsid w:val="00646A68"/>
    <w:rsid w:val="00646EF0"/>
    <w:rsid w:val="006479CF"/>
    <w:rsid w:val="00647CDD"/>
    <w:rsid w:val="006505BD"/>
    <w:rsid w:val="006506A5"/>
    <w:rsid w:val="006508EA"/>
    <w:rsid w:val="0065092E"/>
    <w:rsid w:val="00650A9B"/>
    <w:rsid w:val="00650AD7"/>
    <w:rsid w:val="00651199"/>
    <w:rsid w:val="00651763"/>
    <w:rsid w:val="006518A2"/>
    <w:rsid w:val="00651DDC"/>
    <w:rsid w:val="00651DF8"/>
    <w:rsid w:val="00651FF8"/>
    <w:rsid w:val="00652188"/>
    <w:rsid w:val="00652335"/>
    <w:rsid w:val="0065282A"/>
    <w:rsid w:val="0065290B"/>
    <w:rsid w:val="00652BFF"/>
    <w:rsid w:val="006531CC"/>
    <w:rsid w:val="0065364A"/>
    <w:rsid w:val="00653A54"/>
    <w:rsid w:val="00653A6E"/>
    <w:rsid w:val="00653C2E"/>
    <w:rsid w:val="00653F47"/>
    <w:rsid w:val="00654253"/>
    <w:rsid w:val="00654299"/>
    <w:rsid w:val="00654408"/>
    <w:rsid w:val="00654B4A"/>
    <w:rsid w:val="00655071"/>
    <w:rsid w:val="00655327"/>
    <w:rsid w:val="006557A7"/>
    <w:rsid w:val="006557AD"/>
    <w:rsid w:val="00655E39"/>
    <w:rsid w:val="00656290"/>
    <w:rsid w:val="006566B5"/>
    <w:rsid w:val="00656B88"/>
    <w:rsid w:val="00657120"/>
    <w:rsid w:val="00657322"/>
    <w:rsid w:val="0065784E"/>
    <w:rsid w:val="006601C9"/>
    <w:rsid w:val="00660248"/>
    <w:rsid w:val="006602D9"/>
    <w:rsid w:val="006603BB"/>
    <w:rsid w:val="006608D8"/>
    <w:rsid w:val="00660C94"/>
    <w:rsid w:val="00660D06"/>
    <w:rsid w:val="0066154C"/>
    <w:rsid w:val="00661667"/>
    <w:rsid w:val="0066183B"/>
    <w:rsid w:val="006621D7"/>
    <w:rsid w:val="006623F4"/>
    <w:rsid w:val="00662553"/>
    <w:rsid w:val="006627F0"/>
    <w:rsid w:val="006628AA"/>
    <w:rsid w:val="00662B28"/>
    <w:rsid w:val="0066302A"/>
    <w:rsid w:val="0066331B"/>
    <w:rsid w:val="00663523"/>
    <w:rsid w:val="00663568"/>
    <w:rsid w:val="00663F0A"/>
    <w:rsid w:val="00664439"/>
    <w:rsid w:val="00664585"/>
    <w:rsid w:val="006646AF"/>
    <w:rsid w:val="00664EC8"/>
    <w:rsid w:val="00665528"/>
    <w:rsid w:val="00666A89"/>
    <w:rsid w:val="00666E53"/>
    <w:rsid w:val="006670FE"/>
    <w:rsid w:val="00667509"/>
    <w:rsid w:val="0066751A"/>
    <w:rsid w:val="00667770"/>
    <w:rsid w:val="00667788"/>
    <w:rsid w:val="00667FA6"/>
    <w:rsid w:val="00670472"/>
    <w:rsid w:val="00670597"/>
    <w:rsid w:val="006706D0"/>
    <w:rsid w:val="00670ED7"/>
    <w:rsid w:val="006712C4"/>
    <w:rsid w:val="00671A00"/>
    <w:rsid w:val="00671A59"/>
    <w:rsid w:val="00671B78"/>
    <w:rsid w:val="006722B5"/>
    <w:rsid w:val="006722BF"/>
    <w:rsid w:val="006725AD"/>
    <w:rsid w:val="00672743"/>
    <w:rsid w:val="00673AE6"/>
    <w:rsid w:val="00673C60"/>
    <w:rsid w:val="00673E22"/>
    <w:rsid w:val="0067424A"/>
    <w:rsid w:val="006742E0"/>
    <w:rsid w:val="00674454"/>
    <w:rsid w:val="00674653"/>
    <w:rsid w:val="00675268"/>
    <w:rsid w:val="00675871"/>
    <w:rsid w:val="006759A6"/>
    <w:rsid w:val="00675D20"/>
    <w:rsid w:val="0067606B"/>
    <w:rsid w:val="00676156"/>
    <w:rsid w:val="00677051"/>
    <w:rsid w:val="0067708D"/>
    <w:rsid w:val="00677574"/>
    <w:rsid w:val="006777E4"/>
    <w:rsid w:val="006778F5"/>
    <w:rsid w:val="00677A64"/>
    <w:rsid w:val="00677F90"/>
    <w:rsid w:val="006801F0"/>
    <w:rsid w:val="00680A07"/>
    <w:rsid w:val="00680C93"/>
    <w:rsid w:val="00680CA6"/>
    <w:rsid w:val="00680F22"/>
    <w:rsid w:val="006812ED"/>
    <w:rsid w:val="006819C6"/>
    <w:rsid w:val="00681BD7"/>
    <w:rsid w:val="00681F81"/>
    <w:rsid w:val="006821B1"/>
    <w:rsid w:val="00682681"/>
    <w:rsid w:val="00683878"/>
    <w:rsid w:val="00683A63"/>
    <w:rsid w:val="00683D97"/>
    <w:rsid w:val="00683F05"/>
    <w:rsid w:val="0068406E"/>
    <w:rsid w:val="0068420C"/>
    <w:rsid w:val="00684380"/>
    <w:rsid w:val="0068454C"/>
    <w:rsid w:val="006846D5"/>
    <w:rsid w:val="00684E84"/>
    <w:rsid w:val="00684FFE"/>
    <w:rsid w:val="006852C1"/>
    <w:rsid w:val="00685578"/>
    <w:rsid w:val="00685BF5"/>
    <w:rsid w:val="00685E9B"/>
    <w:rsid w:val="0068625B"/>
    <w:rsid w:val="00686377"/>
    <w:rsid w:val="00686E44"/>
    <w:rsid w:val="006871FA"/>
    <w:rsid w:val="006875BC"/>
    <w:rsid w:val="00690260"/>
    <w:rsid w:val="00690454"/>
    <w:rsid w:val="006906EE"/>
    <w:rsid w:val="00690F91"/>
    <w:rsid w:val="00691104"/>
    <w:rsid w:val="00691342"/>
    <w:rsid w:val="006914C2"/>
    <w:rsid w:val="00691920"/>
    <w:rsid w:val="00691B62"/>
    <w:rsid w:val="006921C2"/>
    <w:rsid w:val="006923C6"/>
    <w:rsid w:val="00692DEB"/>
    <w:rsid w:val="00692ED3"/>
    <w:rsid w:val="00693356"/>
    <w:rsid w:val="006933B5"/>
    <w:rsid w:val="006935BA"/>
    <w:rsid w:val="006936B3"/>
    <w:rsid w:val="00693D14"/>
    <w:rsid w:val="00693E45"/>
    <w:rsid w:val="00694510"/>
    <w:rsid w:val="0069462E"/>
    <w:rsid w:val="00695396"/>
    <w:rsid w:val="00695E4B"/>
    <w:rsid w:val="00696280"/>
    <w:rsid w:val="00696360"/>
    <w:rsid w:val="006963A5"/>
    <w:rsid w:val="006964E3"/>
    <w:rsid w:val="00696613"/>
    <w:rsid w:val="006966EC"/>
    <w:rsid w:val="0069691B"/>
    <w:rsid w:val="00696B68"/>
    <w:rsid w:val="00696BE7"/>
    <w:rsid w:val="00696F27"/>
    <w:rsid w:val="00697023"/>
    <w:rsid w:val="00697B3C"/>
    <w:rsid w:val="00697EA3"/>
    <w:rsid w:val="00697F50"/>
    <w:rsid w:val="00697F7A"/>
    <w:rsid w:val="006A03EE"/>
    <w:rsid w:val="006A16D7"/>
    <w:rsid w:val="006A1772"/>
    <w:rsid w:val="006A18C2"/>
    <w:rsid w:val="006A1949"/>
    <w:rsid w:val="006A1B11"/>
    <w:rsid w:val="006A216F"/>
    <w:rsid w:val="006A304E"/>
    <w:rsid w:val="006A31BF"/>
    <w:rsid w:val="006A31C2"/>
    <w:rsid w:val="006A31F0"/>
    <w:rsid w:val="006A3383"/>
    <w:rsid w:val="006A3AC7"/>
    <w:rsid w:val="006A3D90"/>
    <w:rsid w:val="006A4756"/>
    <w:rsid w:val="006A5198"/>
    <w:rsid w:val="006A51B3"/>
    <w:rsid w:val="006A5AAD"/>
    <w:rsid w:val="006A5E2A"/>
    <w:rsid w:val="006A6B92"/>
    <w:rsid w:val="006A6F1C"/>
    <w:rsid w:val="006A6F63"/>
    <w:rsid w:val="006A743F"/>
    <w:rsid w:val="006A7630"/>
    <w:rsid w:val="006A7B8C"/>
    <w:rsid w:val="006A7D04"/>
    <w:rsid w:val="006A7D9B"/>
    <w:rsid w:val="006B0097"/>
    <w:rsid w:val="006B077C"/>
    <w:rsid w:val="006B0995"/>
    <w:rsid w:val="006B09FA"/>
    <w:rsid w:val="006B10B9"/>
    <w:rsid w:val="006B213E"/>
    <w:rsid w:val="006B27B4"/>
    <w:rsid w:val="006B2AA1"/>
    <w:rsid w:val="006B323A"/>
    <w:rsid w:val="006B34BD"/>
    <w:rsid w:val="006B3B4F"/>
    <w:rsid w:val="006B3B8D"/>
    <w:rsid w:val="006B4281"/>
    <w:rsid w:val="006B4777"/>
    <w:rsid w:val="006B4990"/>
    <w:rsid w:val="006B5415"/>
    <w:rsid w:val="006B5C95"/>
    <w:rsid w:val="006B633A"/>
    <w:rsid w:val="006B63FD"/>
    <w:rsid w:val="006B6803"/>
    <w:rsid w:val="006B69E7"/>
    <w:rsid w:val="006B6B2B"/>
    <w:rsid w:val="006B7373"/>
    <w:rsid w:val="006B793C"/>
    <w:rsid w:val="006C07E1"/>
    <w:rsid w:val="006C0A66"/>
    <w:rsid w:val="006C0C4B"/>
    <w:rsid w:val="006C1306"/>
    <w:rsid w:val="006C169B"/>
    <w:rsid w:val="006C1BB1"/>
    <w:rsid w:val="006C2B6C"/>
    <w:rsid w:val="006C2C7E"/>
    <w:rsid w:val="006C2E66"/>
    <w:rsid w:val="006C32B1"/>
    <w:rsid w:val="006C40EC"/>
    <w:rsid w:val="006C4434"/>
    <w:rsid w:val="006C4595"/>
    <w:rsid w:val="006C4915"/>
    <w:rsid w:val="006C5523"/>
    <w:rsid w:val="006C5C51"/>
    <w:rsid w:val="006C64CC"/>
    <w:rsid w:val="006C6ED9"/>
    <w:rsid w:val="006C6F09"/>
    <w:rsid w:val="006C71E6"/>
    <w:rsid w:val="006C74F0"/>
    <w:rsid w:val="006C76AB"/>
    <w:rsid w:val="006C7884"/>
    <w:rsid w:val="006C78F4"/>
    <w:rsid w:val="006C7B0A"/>
    <w:rsid w:val="006C7DA1"/>
    <w:rsid w:val="006D0D69"/>
    <w:rsid w:val="006D0F16"/>
    <w:rsid w:val="006D2A3F"/>
    <w:rsid w:val="006D2AFE"/>
    <w:rsid w:val="006D2FBC"/>
    <w:rsid w:val="006D3446"/>
    <w:rsid w:val="006D3CAA"/>
    <w:rsid w:val="006D3D98"/>
    <w:rsid w:val="006D3E51"/>
    <w:rsid w:val="006D3E5F"/>
    <w:rsid w:val="006D4584"/>
    <w:rsid w:val="006D459F"/>
    <w:rsid w:val="006D4E5D"/>
    <w:rsid w:val="006D52B2"/>
    <w:rsid w:val="006D53DC"/>
    <w:rsid w:val="006D5CD5"/>
    <w:rsid w:val="006D5DC5"/>
    <w:rsid w:val="006D648F"/>
    <w:rsid w:val="006D6BDC"/>
    <w:rsid w:val="006D6D2A"/>
    <w:rsid w:val="006D6E34"/>
    <w:rsid w:val="006D7374"/>
    <w:rsid w:val="006D7861"/>
    <w:rsid w:val="006D7E5A"/>
    <w:rsid w:val="006D7EF8"/>
    <w:rsid w:val="006E04FF"/>
    <w:rsid w:val="006E0712"/>
    <w:rsid w:val="006E1042"/>
    <w:rsid w:val="006E114A"/>
    <w:rsid w:val="006E138B"/>
    <w:rsid w:val="006E14E4"/>
    <w:rsid w:val="006E1867"/>
    <w:rsid w:val="006E1D64"/>
    <w:rsid w:val="006E2154"/>
    <w:rsid w:val="006E24B1"/>
    <w:rsid w:val="006E272E"/>
    <w:rsid w:val="006E2A26"/>
    <w:rsid w:val="006E2BC2"/>
    <w:rsid w:val="006E3883"/>
    <w:rsid w:val="006E3CBA"/>
    <w:rsid w:val="006E43B1"/>
    <w:rsid w:val="006E47A9"/>
    <w:rsid w:val="006E4A39"/>
    <w:rsid w:val="006E4B64"/>
    <w:rsid w:val="006E4C64"/>
    <w:rsid w:val="006E5418"/>
    <w:rsid w:val="006E5C33"/>
    <w:rsid w:val="006E5DB8"/>
    <w:rsid w:val="006E6566"/>
    <w:rsid w:val="006E7204"/>
    <w:rsid w:val="006E7414"/>
    <w:rsid w:val="006E77AD"/>
    <w:rsid w:val="006E785C"/>
    <w:rsid w:val="006F0330"/>
    <w:rsid w:val="006F0A89"/>
    <w:rsid w:val="006F1E3F"/>
    <w:rsid w:val="006F1FDC"/>
    <w:rsid w:val="006F2016"/>
    <w:rsid w:val="006F21B2"/>
    <w:rsid w:val="006F22C1"/>
    <w:rsid w:val="006F24A9"/>
    <w:rsid w:val="006F2624"/>
    <w:rsid w:val="006F271A"/>
    <w:rsid w:val="006F28E5"/>
    <w:rsid w:val="006F35FF"/>
    <w:rsid w:val="006F3A9E"/>
    <w:rsid w:val="006F4AC0"/>
    <w:rsid w:val="006F4F1F"/>
    <w:rsid w:val="006F4F64"/>
    <w:rsid w:val="006F5316"/>
    <w:rsid w:val="006F55BA"/>
    <w:rsid w:val="006F5902"/>
    <w:rsid w:val="006F5F42"/>
    <w:rsid w:val="006F693E"/>
    <w:rsid w:val="006F6B8C"/>
    <w:rsid w:val="006F6E22"/>
    <w:rsid w:val="006F7550"/>
    <w:rsid w:val="007006A5"/>
    <w:rsid w:val="007007F6"/>
    <w:rsid w:val="00700A62"/>
    <w:rsid w:val="00700C73"/>
    <w:rsid w:val="007013EF"/>
    <w:rsid w:val="00701C77"/>
    <w:rsid w:val="00702177"/>
    <w:rsid w:val="007023C1"/>
    <w:rsid w:val="0070265B"/>
    <w:rsid w:val="00703471"/>
    <w:rsid w:val="0070352F"/>
    <w:rsid w:val="00703812"/>
    <w:rsid w:val="00703D2D"/>
    <w:rsid w:val="00703DAC"/>
    <w:rsid w:val="00703DE0"/>
    <w:rsid w:val="007042E5"/>
    <w:rsid w:val="007044EB"/>
    <w:rsid w:val="0070474A"/>
    <w:rsid w:val="0070476C"/>
    <w:rsid w:val="00704887"/>
    <w:rsid w:val="00704B0A"/>
    <w:rsid w:val="007050E6"/>
    <w:rsid w:val="007055BD"/>
    <w:rsid w:val="007057B7"/>
    <w:rsid w:val="00705A02"/>
    <w:rsid w:val="00705BB7"/>
    <w:rsid w:val="00706D29"/>
    <w:rsid w:val="0070712B"/>
    <w:rsid w:val="0070720F"/>
    <w:rsid w:val="007072A4"/>
    <w:rsid w:val="00707651"/>
    <w:rsid w:val="00707C08"/>
    <w:rsid w:val="00707C36"/>
    <w:rsid w:val="00710026"/>
    <w:rsid w:val="007103BD"/>
    <w:rsid w:val="00710B88"/>
    <w:rsid w:val="00710CA6"/>
    <w:rsid w:val="00710F48"/>
    <w:rsid w:val="00711545"/>
    <w:rsid w:val="00711D51"/>
    <w:rsid w:val="00712384"/>
    <w:rsid w:val="007125AB"/>
    <w:rsid w:val="00712A4D"/>
    <w:rsid w:val="00712F59"/>
    <w:rsid w:val="00713085"/>
    <w:rsid w:val="00713340"/>
    <w:rsid w:val="00713536"/>
    <w:rsid w:val="00713882"/>
    <w:rsid w:val="00714136"/>
    <w:rsid w:val="00714213"/>
    <w:rsid w:val="007147FD"/>
    <w:rsid w:val="007149CD"/>
    <w:rsid w:val="007151D1"/>
    <w:rsid w:val="007152BC"/>
    <w:rsid w:val="0071562E"/>
    <w:rsid w:val="00715A7D"/>
    <w:rsid w:val="00715C11"/>
    <w:rsid w:val="00715D32"/>
    <w:rsid w:val="00715F44"/>
    <w:rsid w:val="00716080"/>
    <w:rsid w:val="0071631B"/>
    <w:rsid w:val="0071638B"/>
    <w:rsid w:val="00716C35"/>
    <w:rsid w:val="00716CEE"/>
    <w:rsid w:val="007170AC"/>
    <w:rsid w:val="007173CA"/>
    <w:rsid w:val="0071761C"/>
    <w:rsid w:val="00717A4F"/>
    <w:rsid w:val="007204B0"/>
    <w:rsid w:val="00720AEC"/>
    <w:rsid w:val="00720DFF"/>
    <w:rsid w:val="007216AA"/>
    <w:rsid w:val="00721802"/>
    <w:rsid w:val="007219B2"/>
    <w:rsid w:val="00721AB5"/>
    <w:rsid w:val="00721CFB"/>
    <w:rsid w:val="00721DD7"/>
    <w:rsid w:val="00721DEF"/>
    <w:rsid w:val="00722D7C"/>
    <w:rsid w:val="00723424"/>
    <w:rsid w:val="007236EE"/>
    <w:rsid w:val="007237C2"/>
    <w:rsid w:val="00724038"/>
    <w:rsid w:val="00724416"/>
    <w:rsid w:val="0072482D"/>
    <w:rsid w:val="00724A43"/>
    <w:rsid w:val="00724DB1"/>
    <w:rsid w:val="007253D3"/>
    <w:rsid w:val="00725703"/>
    <w:rsid w:val="00725D78"/>
    <w:rsid w:val="00726303"/>
    <w:rsid w:val="007265BF"/>
    <w:rsid w:val="0072662F"/>
    <w:rsid w:val="00726DBA"/>
    <w:rsid w:val="00726DEC"/>
    <w:rsid w:val="0072738A"/>
    <w:rsid w:val="007273AC"/>
    <w:rsid w:val="007274F2"/>
    <w:rsid w:val="00727FCA"/>
    <w:rsid w:val="007305FD"/>
    <w:rsid w:val="0073095A"/>
    <w:rsid w:val="00730A8D"/>
    <w:rsid w:val="00730AFD"/>
    <w:rsid w:val="00730B3B"/>
    <w:rsid w:val="00730FC6"/>
    <w:rsid w:val="007310D4"/>
    <w:rsid w:val="00731AD4"/>
    <w:rsid w:val="00731B6E"/>
    <w:rsid w:val="00731DA6"/>
    <w:rsid w:val="007323E0"/>
    <w:rsid w:val="00732CAE"/>
    <w:rsid w:val="00733165"/>
    <w:rsid w:val="00733758"/>
    <w:rsid w:val="00733DE1"/>
    <w:rsid w:val="00734459"/>
    <w:rsid w:val="00734662"/>
    <w:rsid w:val="007346E4"/>
    <w:rsid w:val="00734D53"/>
    <w:rsid w:val="00734E54"/>
    <w:rsid w:val="00735564"/>
    <w:rsid w:val="00735853"/>
    <w:rsid w:val="00735879"/>
    <w:rsid w:val="00735906"/>
    <w:rsid w:val="007369CC"/>
    <w:rsid w:val="00736E48"/>
    <w:rsid w:val="007370A1"/>
    <w:rsid w:val="00740200"/>
    <w:rsid w:val="0074096B"/>
    <w:rsid w:val="00740D57"/>
    <w:rsid w:val="00740F22"/>
    <w:rsid w:val="00740F34"/>
    <w:rsid w:val="00741230"/>
    <w:rsid w:val="007415EE"/>
    <w:rsid w:val="00741725"/>
    <w:rsid w:val="00741AB5"/>
    <w:rsid w:val="00741B76"/>
    <w:rsid w:val="00741C05"/>
    <w:rsid w:val="00741CEF"/>
    <w:rsid w:val="00741CF0"/>
    <w:rsid w:val="00741F1A"/>
    <w:rsid w:val="00742F00"/>
    <w:rsid w:val="00743116"/>
    <w:rsid w:val="0074319D"/>
    <w:rsid w:val="007443C7"/>
    <w:rsid w:val="007444FB"/>
    <w:rsid w:val="007447DA"/>
    <w:rsid w:val="0074483D"/>
    <w:rsid w:val="007449B8"/>
    <w:rsid w:val="00744A68"/>
    <w:rsid w:val="00744BFC"/>
    <w:rsid w:val="007450F8"/>
    <w:rsid w:val="007460C2"/>
    <w:rsid w:val="00746558"/>
    <w:rsid w:val="00746596"/>
    <w:rsid w:val="00746643"/>
    <w:rsid w:val="0074696E"/>
    <w:rsid w:val="00746EBC"/>
    <w:rsid w:val="007472B7"/>
    <w:rsid w:val="007472D4"/>
    <w:rsid w:val="00747467"/>
    <w:rsid w:val="007477FF"/>
    <w:rsid w:val="00747A82"/>
    <w:rsid w:val="0075010F"/>
    <w:rsid w:val="00750135"/>
    <w:rsid w:val="0075034B"/>
    <w:rsid w:val="007503F6"/>
    <w:rsid w:val="00750538"/>
    <w:rsid w:val="00750EC2"/>
    <w:rsid w:val="00750F3B"/>
    <w:rsid w:val="00751071"/>
    <w:rsid w:val="00751462"/>
    <w:rsid w:val="00751793"/>
    <w:rsid w:val="007518E7"/>
    <w:rsid w:val="00751D50"/>
    <w:rsid w:val="00752631"/>
    <w:rsid w:val="0075275D"/>
    <w:rsid w:val="00752843"/>
    <w:rsid w:val="00752A70"/>
    <w:rsid w:val="00752B28"/>
    <w:rsid w:val="007533AE"/>
    <w:rsid w:val="007534FE"/>
    <w:rsid w:val="007534FF"/>
    <w:rsid w:val="007536BC"/>
    <w:rsid w:val="00753EBC"/>
    <w:rsid w:val="00754119"/>
    <w:rsid w:val="007541A9"/>
    <w:rsid w:val="007545D7"/>
    <w:rsid w:val="00754712"/>
    <w:rsid w:val="00754778"/>
    <w:rsid w:val="007547EB"/>
    <w:rsid w:val="00754E36"/>
    <w:rsid w:val="00755804"/>
    <w:rsid w:val="00755EEC"/>
    <w:rsid w:val="00756380"/>
    <w:rsid w:val="007568AD"/>
    <w:rsid w:val="0075700F"/>
    <w:rsid w:val="007571B9"/>
    <w:rsid w:val="00757457"/>
    <w:rsid w:val="00757877"/>
    <w:rsid w:val="00757A01"/>
    <w:rsid w:val="007602E8"/>
    <w:rsid w:val="007604CA"/>
    <w:rsid w:val="007605DD"/>
    <w:rsid w:val="007607ED"/>
    <w:rsid w:val="00760D9E"/>
    <w:rsid w:val="0076140A"/>
    <w:rsid w:val="007618EB"/>
    <w:rsid w:val="0076199F"/>
    <w:rsid w:val="0076207F"/>
    <w:rsid w:val="0076214D"/>
    <w:rsid w:val="007622BD"/>
    <w:rsid w:val="00762664"/>
    <w:rsid w:val="0076271D"/>
    <w:rsid w:val="00762A9A"/>
    <w:rsid w:val="00763139"/>
    <w:rsid w:val="00763A82"/>
    <w:rsid w:val="00764297"/>
    <w:rsid w:val="0076457D"/>
    <w:rsid w:val="007648C0"/>
    <w:rsid w:val="00764A91"/>
    <w:rsid w:val="00764E42"/>
    <w:rsid w:val="00765662"/>
    <w:rsid w:val="0076566C"/>
    <w:rsid w:val="00765DCF"/>
    <w:rsid w:val="007667B3"/>
    <w:rsid w:val="0076697D"/>
    <w:rsid w:val="00766DA3"/>
    <w:rsid w:val="00767201"/>
    <w:rsid w:val="007672AB"/>
    <w:rsid w:val="00767C8C"/>
    <w:rsid w:val="00767CB3"/>
    <w:rsid w:val="00767D53"/>
    <w:rsid w:val="00767DCC"/>
    <w:rsid w:val="0077005C"/>
    <w:rsid w:val="00770074"/>
    <w:rsid w:val="00770307"/>
    <w:rsid w:val="00770F37"/>
    <w:rsid w:val="0077113B"/>
    <w:rsid w:val="007711A0"/>
    <w:rsid w:val="00771A10"/>
    <w:rsid w:val="00771CCB"/>
    <w:rsid w:val="007720C0"/>
    <w:rsid w:val="00772D5E"/>
    <w:rsid w:val="00773005"/>
    <w:rsid w:val="0077338F"/>
    <w:rsid w:val="007735A8"/>
    <w:rsid w:val="007738FF"/>
    <w:rsid w:val="00773C7C"/>
    <w:rsid w:val="00773ED6"/>
    <w:rsid w:val="0077412F"/>
    <w:rsid w:val="00774504"/>
    <w:rsid w:val="0077463E"/>
    <w:rsid w:val="007748C6"/>
    <w:rsid w:val="00774A7D"/>
    <w:rsid w:val="00774C2C"/>
    <w:rsid w:val="00774F6D"/>
    <w:rsid w:val="007751F6"/>
    <w:rsid w:val="007752A9"/>
    <w:rsid w:val="007752BE"/>
    <w:rsid w:val="007756A2"/>
    <w:rsid w:val="00775774"/>
    <w:rsid w:val="00775E4F"/>
    <w:rsid w:val="00775EFC"/>
    <w:rsid w:val="00776310"/>
    <w:rsid w:val="0077680D"/>
    <w:rsid w:val="00776928"/>
    <w:rsid w:val="007769BD"/>
    <w:rsid w:val="00776BAC"/>
    <w:rsid w:val="00776D56"/>
    <w:rsid w:val="00776E0F"/>
    <w:rsid w:val="007774B1"/>
    <w:rsid w:val="00777BCC"/>
    <w:rsid w:val="00777BE1"/>
    <w:rsid w:val="007803CA"/>
    <w:rsid w:val="0078091D"/>
    <w:rsid w:val="00780AD3"/>
    <w:rsid w:val="00780C33"/>
    <w:rsid w:val="007811AA"/>
    <w:rsid w:val="007818EA"/>
    <w:rsid w:val="00781DDF"/>
    <w:rsid w:val="00781E01"/>
    <w:rsid w:val="00782045"/>
    <w:rsid w:val="00782222"/>
    <w:rsid w:val="0078242F"/>
    <w:rsid w:val="00782825"/>
    <w:rsid w:val="00782ADB"/>
    <w:rsid w:val="007833D8"/>
    <w:rsid w:val="00783609"/>
    <w:rsid w:val="00783657"/>
    <w:rsid w:val="00784913"/>
    <w:rsid w:val="00784BC6"/>
    <w:rsid w:val="00784FFE"/>
    <w:rsid w:val="00785677"/>
    <w:rsid w:val="0078632C"/>
    <w:rsid w:val="0078699A"/>
    <w:rsid w:val="00786F16"/>
    <w:rsid w:val="007879D7"/>
    <w:rsid w:val="00787CCE"/>
    <w:rsid w:val="00787F97"/>
    <w:rsid w:val="007901E8"/>
    <w:rsid w:val="00790C99"/>
    <w:rsid w:val="00790F14"/>
    <w:rsid w:val="00791360"/>
    <w:rsid w:val="00791624"/>
    <w:rsid w:val="00791BD7"/>
    <w:rsid w:val="00791C25"/>
    <w:rsid w:val="0079265F"/>
    <w:rsid w:val="00792876"/>
    <w:rsid w:val="00792E66"/>
    <w:rsid w:val="00793395"/>
    <w:rsid w:val="007933F7"/>
    <w:rsid w:val="00793449"/>
    <w:rsid w:val="0079351C"/>
    <w:rsid w:val="007935A4"/>
    <w:rsid w:val="00793772"/>
    <w:rsid w:val="00793D08"/>
    <w:rsid w:val="00793DCE"/>
    <w:rsid w:val="00794275"/>
    <w:rsid w:val="0079453F"/>
    <w:rsid w:val="007947A9"/>
    <w:rsid w:val="00794A3A"/>
    <w:rsid w:val="007955F7"/>
    <w:rsid w:val="00795814"/>
    <w:rsid w:val="00795909"/>
    <w:rsid w:val="00795CEC"/>
    <w:rsid w:val="00795EC3"/>
    <w:rsid w:val="00796E20"/>
    <w:rsid w:val="00797644"/>
    <w:rsid w:val="00797C32"/>
    <w:rsid w:val="00797D5F"/>
    <w:rsid w:val="00797F1F"/>
    <w:rsid w:val="007A01DA"/>
    <w:rsid w:val="007A0565"/>
    <w:rsid w:val="007A0843"/>
    <w:rsid w:val="007A0B12"/>
    <w:rsid w:val="007A0F0B"/>
    <w:rsid w:val="007A11E8"/>
    <w:rsid w:val="007A1CAB"/>
    <w:rsid w:val="007A1E0C"/>
    <w:rsid w:val="007A1F66"/>
    <w:rsid w:val="007A2DBC"/>
    <w:rsid w:val="007A2DD9"/>
    <w:rsid w:val="007A3001"/>
    <w:rsid w:val="007A309E"/>
    <w:rsid w:val="007A3191"/>
    <w:rsid w:val="007A3306"/>
    <w:rsid w:val="007A3811"/>
    <w:rsid w:val="007A3A1A"/>
    <w:rsid w:val="007A3B72"/>
    <w:rsid w:val="007A3E6C"/>
    <w:rsid w:val="007A5090"/>
    <w:rsid w:val="007A5ECD"/>
    <w:rsid w:val="007A6916"/>
    <w:rsid w:val="007A6BF1"/>
    <w:rsid w:val="007A70C1"/>
    <w:rsid w:val="007A72B5"/>
    <w:rsid w:val="007A7B4F"/>
    <w:rsid w:val="007B03EC"/>
    <w:rsid w:val="007B0914"/>
    <w:rsid w:val="007B0DFF"/>
    <w:rsid w:val="007B1374"/>
    <w:rsid w:val="007B1ED4"/>
    <w:rsid w:val="007B208B"/>
    <w:rsid w:val="007B32E5"/>
    <w:rsid w:val="007B3DB9"/>
    <w:rsid w:val="007B4187"/>
    <w:rsid w:val="007B4906"/>
    <w:rsid w:val="007B4D8D"/>
    <w:rsid w:val="007B4FF4"/>
    <w:rsid w:val="007B57A5"/>
    <w:rsid w:val="007B589F"/>
    <w:rsid w:val="007B5B5F"/>
    <w:rsid w:val="007B5CBA"/>
    <w:rsid w:val="007B5FA9"/>
    <w:rsid w:val="007B6186"/>
    <w:rsid w:val="007B71E2"/>
    <w:rsid w:val="007B73BC"/>
    <w:rsid w:val="007B7C8A"/>
    <w:rsid w:val="007C01CD"/>
    <w:rsid w:val="007C0B1B"/>
    <w:rsid w:val="007C0BA4"/>
    <w:rsid w:val="007C0C15"/>
    <w:rsid w:val="007C0C27"/>
    <w:rsid w:val="007C0D1C"/>
    <w:rsid w:val="007C0E27"/>
    <w:rsid w:val="007C175F"/>
    <w:rsid w:val="007C1838"/>
    <w:rsid w:val="007C1BB7"/>
    <w:rsid w:val="007C1BF9"/>
    <w:rsid w:val="007C1CDE"/>
    <w:rsid w:val="007C20B9"/>
    <w:rsid w:val="007C268F"/>
    <w:rsid w:val="007C273B"/>
    <w:rsid w:val="007C2862"/>
    <w:rsid w:val="007C2940"/>
    <w:rsid w:val="007C2ABF"/>
    <w:rsid w:val="007C347B"/>
    <w:rsid w:val="007C4096"/>
    <w:rsid w:val="007C4308"/>
    <w:rsid w:val="007C4A64"/>
    <w:rsid w:val="007C5093"/>
    <w:rsid w:val="007C5377"/>
    <w:rsid w:val="007C541F"/>
    <w:rsid w:val="007C54A8"/>
    <w:rsid w:val="007C5A62"/>
    <w:rsid w:val="007C5CAA"/>
    <w:rsid w:val="007C689A"/>
    <w:rsid w:val="007C70B1"/>
    <w:rsid w:val="007C7301"/>
    <w:rsid w:val="007C745C"/>
    <w:rsid w:val="007C7859"/>
    <w:rsid w:val="007C7C90"/>
    <w:rsid w:val="007C7F28"/>
    <w:rsid w:val="007D000C"/>
    <w:rsid w:val="007D0940"/>
    <w:rsid w:val="007D0DC1"/>
    <w:rsid w:val="007D1466"/>
    <w:rsid w:val="007D1C3B"/>
    <w:rsid w:val="007D2529"/>
    <w:rsid w:val="007D2A36"/>
    <w:rsid w:val="007D2A93"/>
    <w:rsid w:val="007D2BDE"/>
    <w:rsid w:val="007D2CF3"/>
    <w:rsid w:val="007D2FB6"/>
    <w:rsid w:val="007D395C"/>
    <w:rsid w:val="007D3D65"/>
    <w:rsid w:val="007D3E17"/>
    <w:rsid w:val="007D46FB"/>
    <w:rsid w:val="007D49EB"/>
    <w:rsid w:val="007D4CAC"/>
    <w:rsid w:val="007D5209"/>
    <w:rsid w:val="007D5667"/>
    <w:rsid w:val="007D58C0"/>
    <w:rsid w:val="007D5D8F"/>
    <w:rsid w:val="007D5E1C"/>
    <w:rsid w:val="007D6478"/>
    <w:rsid w:val="007D6566"/>
    <w:rsid w:val="007D6672"/>
    <w:rsid w:val="007D7327"/>
    <w:rsid w:val="007D753B"/>
    <w:rsid w:val="007D7C41"/>
    <w:rsid w:val="007E0694"/>
    <w:rsid w:val="007E0DE2"/>
    <w:rsid w:val="007E1175"/>
    <w:rsid w:val="007E121F"/>
    <w:rsid w:val="007E12FA"/>
    <w:rsid w:val="007E144E"/>
    <w:rsid w:val="007E146D"/>
    <w:rsid w:val="007E16B1"/>
    <w:rsid w:val="007E1B36"/>
    <w:rsid w:val="007E2149"/>
    <w:rsid w:val="007E2566"/>
    <w:rsid w:val="007E2620"/>
    <w:rsid w:val="007E26D6"/>
    <w:rsid w:val="007E30C7"/>
    <w:rsid w:val="007E3667"/>
    <w:rsid w:val="007E3875"/>
    <w:rsid w:val="007E3B98"/>
    <w:rsid w:val="007E417A"/>
    <w:rsid w:val="007E4915"/>
    <w:rsid w:val="007E503A"/>
    <w:rsid w:val="007E548D"/>
    <w:rsid w:val="007E5B92"/>
    <w:rsid w:val="007E6698"/>
    <w:rsid w:val="007E69C2"/>
    <w:rsid w:val="007E6BA4"/>
    <w:rsid w:val="007E6D5D"/>
    <w:rsid w:val="007E7CCA"/>
    <w:rsid w:val="007E7F2D"/>
    <w:rsid w:val="007F01E0"/>
    <w:rsid w:val="007F0241"/>
    <w:rsid w:val="007F02CA"/>
    <w:rsid w:val="007F14AC"/>
    <w:rsid w:val="007F176D"/>
    <w:rsid w:val="007F1C30"/>
    <w:rsid w:val="007F1DED"/>
    <w:rsid w:val="007F2227"/>
    <w:rsid w:val="007F2AF0"/>
    <w:rsid w:val="007F2B18"/>
    <w:rsid w:val="007F2D3E"/>
    <w:rsid w:val="007F3116"/>
    <w:rsid w:val="007F31B6"/>
    <w:rsid w:val="007F327F"/>
    <w:rsid w:val="007F3B23"/>
    <w:rsid w:val="007F40D4"/>
    <w:rsid w:val="007F4AF0"/>
    <w:rsid w:val="007F4B99"/>
    <w:rsid w:val="007F4EF7"/>
    <w:rsid w:val="007F546C"/>
    <w:rsid w:val="007F5D07"/>
    <w:rsid w:val="007F5D43"/>
    <w:rsid w:val="007F5E3F"/>
    <w:rsid w:val="007F625F"/>
    <w:rsid w:val="007F6439"/>
    <w:rsid w:val="007F660F"/>
    <w:rsid w:val="007F665E"/>
    <w:rsid w:val="007F7BD7"/>
    <w:rsid w:val="00800412"/>
    <w:rsid w:val="008004B5"/>
    <w:rsid w:val="0080050E"/>
    <w:rsid w:val="008008C8"/>
    <w:rsid w:val="00801389"/>
    <w:rsid w:val="00801BE1"/>
    <w:rsid w:val="008020F4"/>
    <w:rsid w:val="00802151"/>
    <w:rsid w:val="00802411"/>
    <w:rsid w:val="008027A7"/>
    <w:rsid w:val="00802CB6"/>
    <w:rsid w:val="00802EC6"/>
    <w:rsid w:val="00802F81"/>
    <w:rsid w:val="008030DF"/>
    <w:rsid w:val="0080330A"/>
    <w:rsid w:val="00803C34"/>
    <w:rsid w:val="00803FC3"/>
    <w:rsid w:val="008049EC"/>
    <w:rsid w:val="0080555A"/>
    <w:rsid w:val="008057FD"/>
    <w:rsid w:val="0080587B"/>
    <w:rsid w:val="00805B86"/>
    <w:rsid w:val="00805DC5"/>
    <w:rsid w:val="00806468"/>
    <w:rsid w:val="0080658B"/>
    <w:rsid w:val="008065A7"/>
    <w:rsid w:val="0080696C"/>
    <w:rsid w:val="00806E74"/>
    <w:rsid w:val="00806FF2"/>
    <w:rsid w:val="008070BB"/>
    <w:rsid w:val="00807172"/>
    <w:rsid w:val="008071B9"/>
    <w:rsid w:val="008074C5"/>
    <w:rsid w:val="00810574"/>
    <w:rsid w:val="00810BDB"/>
    <w:rsid w:val="00810E75"/>
    <w:rsid w:val="008112A0"/>
    <w:rsid w:val="00811711"/>
    <w:rsid w:val="008119CA"/>
    <w:rsid w:val="008123B0"/>
    <w:rsid w:val="00812948"/>
    <w:rsid w:val="00812AE8"/>
    <w:rsid w:val="008130C4"/>
    <w:rsid w:val="00813195"/>
    <w:rsid w:val="0081348B"/>
    <w:rsid w:val="00813C6B"/>
    <w:rsid w:val="00814297"/>
    <w:rsid w:val="008142D8"/>
    <w:rsid w:val="0081445E"/>
    <w:rsid w:val="00814763"/>
    <w:rsid w:val="00814771"/>
    <w:rsid w:val="0081498E"/>
    <w:rsid w:val="00814EE2"/>
    <w:rsid w:val="0081518F"/>
    <w:rsid w:val="0081546A"/>
    <w:rsid w:val="008155F0"/>
    <w:rsid w:val="00816291"/>
    <w:rsid w:val="00816735"/>
    <w:rsid w:val="00816BDA"/>
    <w:rsid w:val="008177C1"/>
    <w:rsid w:val="008179F1"/>
    <w:rsid w:val="00820141"/>
    <w:rsid w:val="008203F5"/>
    <w:rsid w:val="0082066B"/>
    <w:rsid w:val="00820C58"/>
    <w:rsid w:val="00820D40"/>
    <w:rsid w:val="00820E0C"/>
    <w:rsid w:val="00821794"/>
    <w:rsid w:val="008219FD"/>
    <w:rsid w:val="00821DCC"/>
    <w:rsid w:val="00822432"/>
    <w:rsid w:val="008224BA"/>
    <w:rsid w:val="008229BD"/>
    <w:rsid w:val="00823275"/>
    <w:rsid w:val="00823279"/>
    <w:rsid w:val="008234F4"/>
    <w:rsid w:val="0082366F"/>
    <w:rsid w:val="00823BC9"/>
    <w:rsid w:val="00823F22"/>
    <w:rsid w:val="008240F0"/>
    <w:rsid w:val="00824641"/>
    <w:rsid w:val="008253DF"/>
    <w:rsid w:val="0082549E"/>
    <w:rsid w:val="00826515"/>
    <w:rsid w:val="00826AF9"/>
    <w:rsid w:val="00827543"/>
    <w:rsid w:val="00827B60"/>
    <w:rsid w:val="00827D28"/>
    <w:rsid w:val="00827D81"/>
    <w:rsid w:val="0083020C"/>
    <w:rsid w:val="00830CD5"/>
    <w:rsid w:val="00831334"/>
    <w:rsid w:val="0083153E"/>
    <w:rsid w:val="0083186C"/>
    <w:rsid w:val="00831BAE"/>
    <w:rsid w:val="0083259C"/>
    <w:rsid w:val="008327F7"/>
    <w:rsid w:val="008328C5"/>
    <w:rsid w:val="00832DB1"/>
    <w:rsid w:val="008335B2"/>
    <w:rsid w:val="008338A2"/>
    <w:rsid w:val="008340AC"/>
    <w:rsid w:val="00834A0B"/>
    <w:rsid w:val="008352F4"/>
    <w:rsid w:val="00835348"/>
    <w:rsid w:val="00836391"/>
    <w:rsid w:val="0083640A"/>
    <w:rsid w:val="00836660"/>
    <w:rsid w:val="008366B7"/>
    <w:rsid w:val="008368DD"/>
    <w:rsid w:val="008369F5"/>
    <w:rsid w:val="00836C31"/>
    <w:rsid w:val="00836F43"/>
    <w:rsid w:val="0083717B"/>
    <w:rsid w:val="00837241"/>
    <w:rsid w:val="00840470"/>
    <w:rsid w:val="008407BE"/>
    <w:rsid w:val="00840CEF"/>
    <w:rsid w:val="0084120D"/>
    <w:rsid w:val="00841AA9"/>
    <w:rsid w:val="008420CD"/>
    <w:rsid w:val="00842DD0"/>
    <w:rsid w:val="00842F0E"/>
    <w:rsid w:val="008432D1"/>
    <w:rsid w:val="00843DC9"/>
    <w:rsid w:val="00843ECB"/>
    <w:rsid w:val="008441AB"/>
    <w:rsid w:val="00844AA1"/>
    <w:rsid w:val="00844B7D"/>
    <w:rsid w:val="00844C40"/>
    <w:rsid w:val="00844EBA"/>
    <w:rsid w:val="00845458"/>
    <w:rsid w:val="00845485"/>
    <w:rsid w:val="00845936"/>
    <w:rsid w:val="00845EF1"/>
    <w:rsid w:val="00845FC4"/>
    <w:rsid w:val="0084606F"/>
    <w:rsid w:val="00846092"/>
    <w:rsid w:val="0084653F"/>
    <w:rsid w:val="00846F70"/>
    <w:rsid w:val="00847257"/>
    <w:rsid w:val="008474A6"/>
    <w:rsid w:val="008474FE"/>
    <w:rsid w:val="008479D2"/>
    <w:rsid w:val="00847F9C"/>
    <w:rsid w:val="008502E6"/>
    <w:rsid w:val="008504BC"/>
    <w:rsid w:val="008505CE"/>
    <w:rsid w:val="00850A7C"/>
    <w:rsid w:val="0085100D"/>
    <w:rsid w:val="00851675"/>
    <w:rsid w:val="00851907"/>
    <w:rsid w:val="00851A20"/>
    <w:rsid w:val="00851EDB"/>
    <w:rsid w:val="008520C4"/>
    <w:rsid w:val="008523A8"/>
    <w:rsid w:val="0085278D"/>
    <w:rsid w:val="008528FE"/>
    <w:rsid w:val="0085378D"/>
    <w:rsid w:val="008537BC"/>
    <w:rsid w:val="008538DA"/>
    <w:rsid w:val="0085391A"/>
    <w:rsid w:val="00853A43"/>
    <w:rsid w:val="00853B8E"/>
    <w:rsid w:val="00853EE4"/>
    <w:rsid w:val="00854A46"/>
    <w:rsid w:val="00854CD4"/>
    <w:rsid w:val="00855387"/>
    <w:rsid w:val="00855535"/>
    <w:rsid w:val="00856325"/>
    <w:rsid w:val="00856356"/>
    <w:rsid w:val="00856DD2"/>
    <w:rsid w:val="008579D6"/>
    <w:rsid w:val="00857C5A"/>
    <w:rsid w:val="00857FEE"/>
    <w:rsid w:val="008604D8"/>
    <w:rsid w:val="00860695"/>
    <w:rsid w:val="00860C97"/>
    <w:rsid w:val="00860FE8"/>
    <w:rsid w:val="0086135C"/>
    <w:rsid w:val="008618AD"/>
    <w:rsid w:val="00861A64"/>
    <w:rsid w:val="0086208A"/>
    <w:rsid w:val="0086255E"/>
    <w:rsid w:val="00862982"/>
    <w:rsid w:val="00862AB5"/>
    <w:rsid w:val="00862DFB"/>
    <w:rsid w:val="00862EBE"/>
    <w:rsid w:val="008633F0"/>
    <w:rsid w:val="008633FE"/>
    <w:rsid w:val="0086349C"/>
    <w:rsid w:val="008637A3"/>
    <w:rsid w:val="008638D5"/>
    <w:rsid w:val="00863A7B"/>
    <w:rsid w:val="00863ACE"/>
    <w:rsid w:val="00863C75"/>
    <w:rsid w:val="008646D6"/>
    <w:rsid w:val="008649D5"/>
    <w:rsid w:val="00865E8E"/>
    <w:rsid w:val="00865EF8"/>
    <w:rsid w:val="0086629E"/>
    <w:rsid w:val="0086649E"/>
    <w:rsid w:val="0086703D"/>
    <w:rsid w:val="00867889"/>
    <w:rsid w:val="00867D9D"/>
    <w:rsid w:val="008702C7"/>
    <w:rsid w:val="008702D1"/>
    <w:rsid w:val="00870486"/>
    <w:rsid w:val="00870F61"/>
    <w:rsid w:val="008716DD"/>
    <w:rsid w:val="00871965"/>
    <w:rsid w:val="00871B5E"/>
    <w:rsid w:val="0087245D"/>
    <w:rsid w:val="00872BD1"/>
    <w:rsid w:val="00872E0A"/>
    <w:rsid w:val="00873594"/>
    <w:rsid w:val="00873779"/>
    <w:rsid w:val="00873F2D"/>
    <w:rsid w:val="00873F35"/>
    <w:rsid w:val="00873F8A"/>
    <w:rsid w:val="00874BE9"/>
    <w:rsid w:val="00874F05"/>
    <w:rsid w:val="00875088"/>
    <w:rsid w:val="00875285"/>
    <w:rsid w:val="008756FD"/>
    <w:rsid w:val="00876088"/>
    <w:rsid w:val="00876B17"/>
    <w:rsid w:val="00877E7D"/>
    <w:rsid w:val="00880340"/>
    <w:rsid w:val="00880EC2"/>
    <w:rsid w:val="00880FEE"/>
    <w:rsid w:val="0088100C"/>
    <w:rsid w:val="008811C3"/>
    <w:rsid w:val="00881272"/>
    <w:rsid w:val="00881333"/>
    <w:rsid w:val="00881A11"/>
    <w:rsid w:val="00881DD7"/>
    <w:rsid w:val="00881FD5"/>
    <w:rsid w:val="00883291"/>
    <w:rsid w:val="0088334F"/>
    <w:rsid w:val="0088369F"/>
    <w:rsid w:val="00883BBE"/>
    <w:rsid w:val="00883D1E"/>
    <w:rsid w:val="00883ED5"/>
    <w:rsid w:val="00884223"/>
    <w:rsid w:val="008844BE"/>
    <w:rsid w:val="00884B62"/>
    <w:rsid w:val="00884EB7"/>
    <w:rsid w:val="0088529C"/>
    <w:rsid w:val="008854E8"/>
    <w:rsid w:val="0088644E"/>
    <w:rsid w:val="00886B39"/>
    <w:rsid w:val="00886FF8"/>
    <w:rsid w:val="00887903"/>
    <w:rsid w:val="0089008E"/>
    <w:rsid w:val="00890178"/>
    <w:rsid w:val="008902E7"/>
    <w:rsid w:val="0089074F"/>
    <w:rsid w:val="00891133"/>
    <w:rsid w:val="00891843"/>
    <w:rsid w:val="00891B83"/>
    <w:rsid w:val="0089270A"/>
    <w:rsid w:val="00892805"/>
    <w:rsid w:val="00892AA8"/>
    <w:rsid w:val="00892C56"/>
    <w:rsid w:val="00892F17"/>
    <w:rsid w:val="00893AF6"/>
    <w:rsid w:val="00894258"/>
    <w:rsid w:val="008943F9"/>
    <w:rsid w:val="00894416"/>
    <w:rsid w:val="00894A70"/>
    <w:rsid w:val="00894BC4"/>
    <w:rsid w:val="00894F9A"/>
    <w:rsid w:val="008953C6"/>
    <w:rsid w:val="008954B0"/>
    <w:rsid w:val="0089586B"/>
    <w:rsid w:val="008958CA"/>
    <w:rsid w:val="00895D7C"/>
    <w:rsid w:val="008965CA"/>
    <w:rsid w:val="00896890"/>
    <w:rsid w:val="00896A62"/>
    <w:rsid w:val="00896B0F"/>
    <w:rsid w:val="00896F0C"/>
    <w:rsid w:val="00896F7A"/>
    <w:rsid w:val="0089711A"/>
    <w:rsid w:val="008973BA"/>
    <w:rsid w:val="00897629"/>
    <w:rsid w:val="008977D1"/>
    <w:rsid w:val="00897E3F"/>
    <w:rsid w:val="008A0EBE"/>
    <w:rsid w:val="008A0F19"/>
    <w:rsid w:val="008A126E"/>
    <w:rsid w:val="008A12C2"/>
    <w:rsid w:val="008A1EB1"/>
    <w:rsid w:val="008A200A"/>
    <w:rsid w:val="008A28A8"/>
    <w:rsid w:val="008A2912"/>
    <w:rsid w:val="008A36A6"/>
    <w:rsid w:val="008A3874"/>
    <w:rsid w:val="008A3C3E"/>
    <w:rsid w:val="008A4B3B"/>
    <w:rsid w:val="008A4D4F"/>
    <w:rsid w:val="008A4EEF"/>
    <w:rsid w:val="008A54AC"/>
    <w:rsid w:val="008A586E"/>
    <w:rsid w:val="008A5B32"/>
    <w:rsid w:val="008A5D0C"/>
    <w:rsid w:val="008A61C9"/>
    <w:rsid w:val="008A6498"/>
    <w:rsid w:val="008A6645"/>
    <w:rsid w:val="008A6C77"/>
    <w:rsid w:val="008A6DA8"/>
    <w:rsid w:val="008A774E"/>
    <w:rsid w:val="008A7F55"/>
    <w:rsid w:val="008B043A"/>
    <w:rsid w:val="008B08CE"/>
    <w:rsid w:val="008B0DE6"/>
    <w:rsid w:val="008B0E45"/>
    <w:rsid w:val="008B1015"/>
    <w:rsid w:val="008B13A9"/>
    <w:rsid w:val="008B1ACD"/>
    <w:rsid w:val="008B2029"/>
    <w:rsid w:val="008B212C"/>
    <w:rsid w:val="008B2481"/>
    <w:rsid w:val="008B2EE4"/>
    <w:rsid w:val="008B3360"/>
    <w:rsid w:val="008B3469"/>
    <w:rsid w:val="008B3821"/>
    <w:rsid w:val="008B385A"/>
    <w:rsid w:val="008B38F8"/>
    <w:rsid w:val="008B3A70"/>
    <w:rsid w:val="008B4438"/>
    <w:rsid w:val="008B4555"/>
    <w:rsid w:val="008B4BE0"/>
    <w:rsid w:val="008B4D3D"/>
    <w:rsid w:val="008B57C7"/>
    <w:rsid w:val="008B595B"/>
    <w:rsid w:val="008B5982"/>
    <w:rsid w:val="008B5E9B"/>
    <w:rsid w:val="008B5EEF"/>
    <w:rsid w:val="008B5F06"/>
    <w:rsid w:val="008B68BC"/>
    <w:rsid w:val="008B6908"/>
    <w:rsid w:val="008B6B2D"/>
    <w:rsid w:val="008B6B49"/>
    <w:rsid w:val="008B77D4"/>
    <w:rsid w:val="008B7AE1"/>
    <w:rsid w:val="008B7D7A"/>
    <w:rsid w:val="008C0466"/>
    <w:rsid w:val="008C04B2"/>
    <w:rsid w:val="008C04EA"/>
    <w:rsid w:val="008C05BB"/>
    <w:rsid w:val="008C0679"/>
    <w:rsid w:val="008C06C8"/>
    <w:rsid w:val="008C08EB"/>
    <w:rsid w:val="008C0D64"/>
    <w:rsid w:val="008C1AEA"/>
    <w:rsid w:val="008C1F29"/>
    <w:rsid w:val="008C1F5A"/>
    <w:rsid w:val="008C218C"/>
    <w:rsid w:val="008C2904"/>
    <w:rsid w:val="008C2B3E"/>
    <w:rsid w:val="008C2B74"/>
    <w:rsid w:val="008C2F92"/>
    <w:rsid w:val="008C3546"/>
    <w:rsid w:val="008C355E"/>
    <w:rsid w:val="008C389D"/>
    <w:rsid w:val="008C3B10"/>
    <w:rsid w:val="008C3C22"/>
    <w:rsid w:val="008C3E41"/>
    <w:rsid w:val="008C4457"/>
    <w:rsid w:val="008C4C00"/>
    <w:rsid w:val="008C4F03"/>
    <w:rsid w:val="008C589D"/>
    <w:rsid w:val="008C5E95"/>
    <w:rsid w:val="008C63F4"/>
    <w:rsid w:val="008C67E5"/>
    <w:rsid w:val="008C6D51"/>
    <w:rsid w:val="008C6D99"/>
    <w:rsid w:val="008D02BB"/>
    <w:rsid w:val="008D055F"/>
    <w:rsid w:val="008D0D02"/>
    <w:rsid w:val="008D2828"/>
    <w:rsid w:val="008D2846"/>
    <w:rsid w:val="008D2BDB"/>
    <w:rsid w:val="008D2CED"/>
    <w:rsid w:val="008D2CF6"/>
    <w:rsid w:val="008D3CFC"/>
    <w:rsid w:val="008D4236"/>
    <w:rsid w:val="008D462F"/>
    <w:rsid w:val="008D4DD3"/>
    <w:rsid w:val="008D51A7"/>
    <w:rsid w:val="008D5752"/>
    <w:rsid w:val="008D5AC8"/>
    <w:rsid w:val="008D6579"/>
    <w:rsid w:val="008D6DCF"/>
    <w:rsid w:val="008D6E9A"/>
    <w:rsid w:val="008D7143"/>
    <w:rsid w:val="008D7D5F"/>
    <w:rsid w:val="008E0444"/>
    <w:rsid w:val="008E04C0"/>
    <w:rsid w:val="008E19D6"/>
    <w:rsid w:val="008E1CD6"/>
    <w:rsid w:val="008E2052"/>
    <w:rsid w:val="008E2388"/>
    <w:rsid w:val="008E262B"/>
    <w:rsid w:val="008E2CB4"/>
    <w:rsid w:val="008E2CD1"/>
    <w:rsid w:val="008E308F"/>
    <w:rsid w:val="008E354A"/>
    <w:rsid w:val="008E4292"/>
    <w:rsid w:val="008E432D"/>
    <w:rsid w:val="008E4376"/>
    <w:rsid w:val="008E4E93"/>
    <w:rsid w:val="008E4F87"/>
    <w:rsid w:val="008E578C"/>
    <w:rsid w:val="008E5AD6"/>
    <w:rsid w:val="008E5B7B"/>
    <w:rsid w:val="008E6135"/>
    <w:rsid w:val="008E64D8"/>
    <w:rsid w:val="008E6B10"/>
    <w:rsid w:val="008E6B7A"/>
    <w:rsid w:val="008E73E7"/>
    <w:rsid w:val="008E76B3"/>
    <w:rsid w:val="008E7A0A"/>
    <w:rsid w:val="008E7B00"/>
    <w:rsid w:val="008E7B49"/>
    <w:rsid w:val="008E7F51"/>
    <w:rsid w:val="008F007D"/>
    <w:rsid w:val="008F06FF"/>
    <w:rsid w:val="008F095F"/>
    <w:rsid w:val="008F0A02"/>
    <w:rsid w:val="008F0D39"/>
    <w:rsid w:val="008F0FD3"/>
    <w:rsid w:val="008F130A"/>
    <w:rsid w:val="008F2078"/>
    <w:rsid w:val="008F241B"/>
    <w:rsid w:val="008F3399"/>
    <w:rsid w:val="008F3496"/>
    <w:rsid w:val="008F3FA2"/>
    <w:rsid w:val="008F404C"/>
    <w:rsid w:val="008F41B5"/>
    <w:rsid w:val="008F4676"/>
    <w:rsid w:val="008F49FC"/>
    <w:rsid w:val="008F524E"/>
    <w:rsid w:val="008F5269"/>
    <w:rsid w:val="008F566A"/>
    <w:rsid w:val="008F56E7"/>
    <w:rsid w:val="008F59F6"/>
    <w:rsid w:val="008F60DF"/>
    <w:rsid w:val="008F60EC"/>
    <w:rsid w:val="008F6240"/>
    <w:rsid w:val="008F6736"/>
    <w:rsid w:val="008F6A9A"/>
    <w:rsid w:val="008F7153"/>
    <w:rsid w:val="00900719"/>
    <w:rsid w:val="00900B7F"/>
    <w:rsid w:val="009016F4"/>
    <w:rsid w:val="009017AC"/>
    <w:rsid w:val="00901B52"/>
    <w:rsid w:val="00901ED2"/>
    <w:rsid w:val="009023D9"/>
    <w:rsid w:val="0090240D"/>
    <w:rsid w:val="00902772"/>
    <w:rsid w:val="009028E7"/>
    <w:rsid w:val="00902A9A"/>
    <w:rsid w:val="00902D0B"/>
    <w:rsid w:val="00903A20"/>
    <w:rsid w:val="00903AB8"/>
    <w:rsid w:val="00903F81"/>
    <w:rsid w:val="00904325"/>
    <w:rsid w:val="00904A1C"/>
    <w:rsid w:val="00904BEF"/>
    <w:rsid w:val="00904C5D"/>
    <w:rsid w:val="00904E8B"/>
    <w:rsid w:val="00905030"/>
    <w:rsid w:val="009053D0"/>
    <w:rsid w:val="009053E7"/>
    <w:rsid w:val="00906490"/>
    <w:rsid w:val="0090695B"/>
    <w:rsid w:val="00906EAD"/>
    <w:rsid w:val="0090712B"/>
    <w:rsid w:val="00907A67"/>
    <w:rsid w:val="00907CFC"/>
    <w:rsid w:val="0091015B"/>
    <w:rsid w:val="00910543"/>
    <w:rsid w:val="009106E1"/>
    <w:rsid w:val="00910B2E"/>
    <w:rsid w:val="00910B93"/>
    <w:rsid w:val="009111B2"/>
    <w:rsid w:val="00911342"/>
    <w:rsid w:val="009116E5"/>
    <w:rsid w:val="00911882"/>
    <w:rsid w:val="00911C37"/>
    <w:rsid w:val="00911F0C"/>
    <w:rsid w:val="0091206C"/>
    <w:rsid w:val="0091206D"/>
    <w:rsid w:val="00912131"/>
    <w:rsid w:val="00912E2E"/>
    <w:rsid w:val="00912EB9"/>
    <w:rsid w:val="009132AB"/>
    <w:rsid w:val="009133C5"/>
    <w:rsid w:val="0091374B"/>
    <w:rsid w:val="009137C3"/>
    <w:rsid w:val="00913C95"/>
    <w:rsid w:val="00914C50"/>
    <w:rsid w:val="00914D5E"/>
    <w:rsid w:val="009151F5"/>
    <w:rsid w:val="009153BB"/>
    <w:rsid w:val="009155FE"/>
    <w:rsid w:val="009156B4"/>
    <w:rsid w:val="009165D9"/>
    <w:rsid w:val="00916765"/>
    <w:rsid w:val="00916ACD"/>
    <w:rsid w:val="00916D12"/>
    <w:rsid w:val="00916EC7"/>
    <w:rsid w:val="0091761D"/>
    <w:rsid w:val="009176F9"/>
    <w:rsid w:val="00917926"/>
    <w:rsid w:val="00920011"/>
    <w:rsid w:val="0092010F"/>
    <w:rsid w:val="009207B6"/>
    <w:rsid w:val="00920CF1"/>
    <w:rsid w:val="009215CF"/>
    <w:rsid w:val="00921D87"/>
    <w:rsid w:val="0092220F"/>
    <w:rsid w:val="0092221D"/>
    <w:rsid w:val="0092222A"/>
    <w:rsid w:val="0092251B"/>
    <w:rsid w:val="009225C5"/>
    <w:rsid w:val="00922A76"/>
    <w:rsid w:val="00922BDB"/>
    <w:rsid w:val="00922C99"/>
    <w:rsid w:val="00922E57"/>
    <w:rsid w:val="00923B05"/>
    <w:rsid w:val="00923DFC"/>
    <w:rsid w:val="0092472A"/>
    <w:rsid w:val="009249AF"/>
    <w:rsid w:val="00924AE1"/>
    <w:rsid w:val="00924C29"/>
    <w:rsid w:val="00924C93"/>
    <w:rsid w:val="00924D89"/>
    <w:rsid w:val="009250C2"/>
    <w:rsid w:val="009253CF"/>
    <w:rsid w:val="009254B3"/>
    <w:rsid w:val="00925525"/>
    <w:rsid w:val="00925E7C"/>
    <w:rsid w:val="009263BE"/>
    <w:rsid w:val="00926498"/>
    <w:rsid w:val="009267D1"/>
    <w:rsid w:val="009267D4"/>
    <w:rsid w:val="009267D5"/>
    <w:rsid w:val="009269B1"/>
    <w:rsid w:val="0092724D"/>
    <w:rsid w:val="009272B3"/>
    <w:rsid w:val="00927CD8"/>
    <w:rsid w:val="00930197"/>
    <w:rsid w:val="0093020A"/>
    <w:rsid w:val="009306D3"/>
    <w:rsid w:val="00930C9C"/>
    <w:rsid w:val="00930DE3"/>
    <w:rsid w:val="009315BE"/>
    <w:rsid w:val="00931DF6"/>
    <w:rsid w:val="00931FA5"/>
    <w:rsid w:val="009321A3"/>
    <w:rsid w:val="0093225A"/>
    <w:rsid w:val="009326DD"/>
    <w:rsid w:val="00932999"/>
    <w:rsid w:val="00932AC7"/>
    <w:rsid w:val="00932C4D"/>
    <w:rsid w:val="0093338F"/>
    <w:rsid w:val="009333C5"/>
    <w:rsid w:val="009347A2"/>
    <w:rsid w:val="00934DF4"/>
    <w:rsid w:val="00934FB4"/>
    <w:rsid w:val="00935E13"/>
    <w:rsid w:val="009362C0"/>
    <w:rsid w:val="0093635A"/>
    <w:rsid w:val="0093636C"/>
    <w:rsid w:val="00936653"/>
    <w:rsid w:val="00936B9A"/>
    <w:rsid w:val="0093718D"/>
    <w:rsid w:val="00937676"/>
    <w:rsid w:val="0093783D"/>
    <w:rsid w:val="00937A33"/>
    <w:rsid w:val="00937BD9"/>
    <w:rsid w:val="00937CF6"/>
    <w:rsid w:val="00937D07"/>
    <w:rsid w:val="00937E3A"/>
    <w:rsid w:val="009403CC"/>
    <w:rsid w:val="00940A82"/>
    <w:rsid w:val="00940C87"/>
    <w:rsid w:val="0094148A"/>
    <w:rsid w:val="009414A9"/>
    <w:rsid w:val="009414EA"/>
    <w:rsid w:val="00941931"/>
    <w:rsid w:val="009420FA"/>
    <w:rsid w:val="009422B7"/>
    <w:rsid w:val="00942A9D"/>
    <w:rsid w:val="00942C2A"/>
    <w:rsid w:val="0094381B"/>
    <w:rsid w:val="0094394B"/>
    <w:rsid w:val="009443D3"/>
    <w:rsid w:val="0094470E"/>
    <w:rsid w:val="00944818"/>
    <w:rsid w:val="00944869"/>
    <w:rsid w:val="00944A96"/>
    <w:rsid w:val="00945083"/>
    <w:rsid w:val="009452D7"/>
    <w:rsid w:val="00945BF9"/>
    <w:rsid w:val="009463A4"/>
    <w:rsid w:val="009463D6"/>
    <w:rsid w:val="009463F7"/>
    <w:rsid w:val="0094644B"/>
    <w:rsid w:val="00946928"/>
    <w:rsid w:val="00947708"/>
    <w:rsid w:val="00947714"/>
    <w:rsid w:val="00947EE9"/>
    <w:rsid w:val="009502CE"/>
    <w:rsid w:val="0095041D"/>
    <w:rsid w:val="0095058F"/>
    <w:rsid w:val="009509BA"/>
    <w:rsid w:val="00950CB1"/>
    <w:rsid w:val="00950E2C"/>
    <w:rsid w:val="00950FF4"/>
    <w:rsid w:val="00951634"/>
    <w:rsid w:val="009516B0"/>
    <w:rsid w:val="00951D50"/>
    <w:rsid w:val="00952539"/>
    <w:rsid w:val="009525EB"/>
    <w:rsid w:val="009527F5"/>
    <w:rsid w:val="0095285F"/>
    <w:rsid w:val="00952A02"/>
    <w:rsid w:val="00952BA5"/>
    <w:rsid w:val="00952C08"/>
    <w:rsid w:val="00952ED6"/>
    <w:rsid w:val="0095311C"/>
    <w:rsid w:val="009532AA"/>
    <w:rsid w:val="00953438"/>
    <w:rsid w:val="0095358A"/>
    <w:rsid w:val="0095370F"/>
    <w:rsid w:val="0095470B"/>
    <w:rsid w:val="00954844"/>
    <w:rsid w:val="00954874"/>
    <w:rsid w:val="00954B23"/>
    <w:rsid w:val="009552AD"/>
    <w:rsid w:val="0095560A"/>
    <w:rsid w:val="00955AA2"/>
    <w:rsid w:val="0095615A"/>
    <w:rsid w:val="00956306"/>
    <w:rsid w:val="00956C13"/>
    <w:rsid w:val="009570B5"/>
    <w:rsid w:val="00957872"/>
    <w:rsid w:val="00957CAD"/>
    <w:rsid w:val="00957D9C"/>
    <w:rsid w:val="00960817"/>
    <w:rsid w:val="0096088E"/>
    <w:rsid w:val="0096091A"/>
    <w:rsid w:val="00961368"/>
    <w:rsid w:val="00961400"/>
    <w:rsid w:val="009617F6"/>
    <w:rsid w:val="009619C9"/>
    <w:rsid w:val="009619D8"/>
    <w:rsid w:val="00961B21"/>
    <w:rsid w:val="00961DE2"/>
    <w:rsid w:val="00963011"/>
    <w:rsid w:val="00963238"/>
    <w:rsid w:val="00963646"/>
    <w:rsid w:val="0096374D"/>
    <w:rsid w:val="00963E6A"/>
    <w:rsid w:val="00964C63"/>
    <w:rsid w:val="009656F5"/>
    <w:rsid w:val="00965E4A"/>
    <w:rsid w:val="0096623C"/>
    <w:rsid w:val="0096624E"/>
    <w:rsid w:val="0096632D"/>
    <w:rsid w:val="0096648F"/>
    <w:rsid w:val="009666A8"/>
    <w:rsid w:val="0096685C"/>
    <w:rsid w:val="00966CEA"/>
    <w:rsid w:val="00966FDC"/>
    <w:rsid w:val="009670DA"/>
    <w:rsid w:val="00967124"/>
    <w:rsid w:val="00967608"/>
    <w:rsid w:val="00970445"/>
    <w:rsid w:val="009704C7"/>
    <w:rsid w:val="009704EB"/>
    <w:rsid w:val="009707F0"/>
    <w:rsid w:val="00970AC1"/>
    <w:rsid w:val="00970C4D"/>
    <w:rsid w:val="0097117B"/>
    <w:rsid w:val="009713D4"/>
    <w:rsid w:val="0097166C"/>
    <w:rsid w:val="009718C7"/>
    <w:rsid w:val="009719E1"/>
    <w:rsid w:val="009720A5"/>
    <w:rsid w:val="0097221F"/>
    <w:rsid w:val="00972A57"/>
    <w:rsid w:val="00973147"/>
    <w:rsid w:val="009732DF"/>
    <w:rsid w:val="00973FA7"/>
    <w:rsid w:val="00974706"/>
    <w:rsid w:val="0097473F"/>
    <w:rsid w:val="009748A9"/>
    <w:rsid w:val="00974F07"/>
    <w:rsid w:val="0097559F"/>
    <w:rsid w:val="00975665"/>
    <w:rsid w:val="0097582A"/>
    <w:rsid w:val="009761EA"/>
    <w:rsid w:val="009766DE"/>
    <w:rsid w:val="00976C76"/>
    <w:rsid w:val="00976FE9"/>
    <w:rsid w:val="0097724F"/>
    <w:rsid w:val="009774F2"/>
    <w:rsid w:val="0097761E"/>
    <w:rsid w:val="0097781B"/>
    <w:rsid w:val="00977D59"/>
    <w:rsid w:val="009807EB"/>
    <w:rsid w:val="00980CAD"/>
    <w:rsid w:val="009810EF"/>
    <w:rsid w:val="00982454"/>
    <w:rsid w:val="00982590"/>
    <w:rsid w:val="00982C23"/>
    <w:rsid w:val="00982CF0"/>
    <w:rsid w:val="00982CF5"/>
    <w:rsid w:val="00982D34"/>
    <w:rsid w:val="00984B1F"/>
    <w:rsid w:val="009853E1"/>
    <w:rsid w:val="0098540C"/>
    <w:rsid w:val="0098557F"/>
    <w:rsid w:val="009857B4"/>
    <w:rsid w:val="00985935"/>
    <w:rsid w:val="00985B7F"/>
    <w:rsid w:val="0098612F"/>
    <w:rsid w:val="00986955"/>
    <w:rsid w:val="00986D92"/>
    <w:rsid w:val="00986E6B"/>
    <w:rsid w:val="00986FEA"/>
    <w:rsid w:val="00987601"/>
    <w:rsid w:val="00987B59"/>
    <w:rsid w:val="00987F67"/>
    <w:rsid w:val="00990032"/>
    <w:rsid w:val="00990650"/>
    <w:rsid w:val="009909CE"/>
    <w:rsid w:val="00990B19"/>
    <w:rsid w:val="00990F83"/>
    <w:rsid w:val="009912CF"/>
    <w:rsid w:val="0099153B"/>
    <w:rsid w:val="00991769"/>
    <w:rsid w:val="00991E98"/>
    <w:rsid w:val="00991FF7"/>
    <w:rsid w:val="0099232C"/>
    <w:rsid w:val="009927A7"/>
    <w:rsid w:val="009930DC"/>
    <w:rsid w:val="009931CD"/>
    <w:rsid w:val="0099326A"/>
    <w:rsid w:val="00993783"/>
    <w:rsid w:val="00993807"/>
    <w:rsid w:val="009941C2"/>
    <w:rsid w:val="00994386"/>
    <w:rsid w:val="00994A4E"/>
    <w:rsid w:val="00994AF3"/>
    <w:rsid w:val="00994DD5"/>
    <w:rsid w:val="00994FBC"/>
    <w:rsid w:val="00994FDE"/>
    <w:rsid w:val="00995343"/>
    <w:rsid w:val="00995830"/>
    <w:rsid w:val="00995F00"/>
    <w:rsid w:val="009965DC"/>
    <w:rsid w:val="00996A93"/>
    <w:rsid w:val="00997262"/>
    <w:rsid w:val="009976CD"/>
    <w:rsid w:val="009977D9"/>
    <w:rsid w:val="009A0B35"/>
    <w:rsid w:val="009A13D8"/>
    <w:rsid w:val="009A14AD"/>
    <w:rsid w:val="009A1609"/>
    <w:rsid w:val="009A16E5"/>
    <w:rsid w:val="009A1AC9"/>
    <w:rsid w:val="009A1AF4"/>
    <w:rsid w:val="009A1B4B"/>
    <w:rsid w:val="009A22B1"/>
    <w:rsid w:val="009A2541"/>
    <w:rsid w:val="009A25E2"/>
    <w:rsid w:val="009A279E"/>
    <w:rsid w:val="009A2E9B"/>
    <w:rsid w:val="009A2F39"/>
    <w:rsid w:val="009A3015"/>
    <w:rsid w:val="009A3490"/>
    <w:rsid w:val="009A390D"/>
    <w:rsid w:val="009A3A87"/>
    <w:rsid w:val="009A3B8D"/>
    <w:rsid w:val="009A4839"/>
    <w:rsid w:val="009A5045"/>
    <w:rsid w:val="009A5BDB"/>
    <w:rsid w:val="009A61DE"/>
    <w:rsid w:val="009A6ACD"/>
    <w:rsid w:val="009A6CF2"/>
    <w:rsid w:val="009A700A"/>
    <w:rsid w:val="009A713A"/>
    <w:rsid w:val="009A7690"/>
    <w:rsid w:val="009A76D5"/>
    <w:rsid w:val="009B0151"/>
    <w:rsid w:val="009B0A6F"/>
    <w:rsid w:val="009B0A94"/>
    <w:rsid w:val="009B0C62"/>
    <w:rsid w:val="009B102D"/>
    <w:rsid w:val="009B140E"/>
    <w:rsid w:val="009B1CDF"/>
    <w:rsid w:val="009B1E01"/>
    <w:rsid w:val="009B27AC"/>
    <w:rsid w:val="009B2AE8"/>
    <w:rsid w:val="009B2E60"/>
    <w:rsid w:val="009B2F97"/>
    <w:rsid w:val="009B366D"/>
    <w:rsid w:val="009B3C82"/>
    <w:rsid w:val="009B49CE"/>
    <w:rsid w:val="009B4F05"/>
    <w:rsid w:val="009B51C9"/>
    <w:rsid w:val="009B5622"/>
    <w:rsid w:val="009B565C"/>
    <w:rsid w:val="009B5895"/>
    <w:rsid w:val="009B59E9"/>
    <w:rsid w:val="009B5D5C"/>
    <w:rsid w:val="009B5FD5"/>
    <w:rsid w:val="009B70AA"/>
    <w:rsid w:val="009B7357"/>
    <w:rsid w:val="009B73B7"/>
    <w:rsid w:val="009B7695"/>
    <w:rsid w:val="009B780D"/>
    <w:rsid w:val="009B78F6"/>
    <w:rsid w:val="009C03A2"/>
    <w:rsid w:val="009C06C9"/>
    <w:rsid w:val="009C072B"/>
    <w:rsid w:val="009C0917"/>
    <w:rsid w:val="009C0959"/>
    <w:rsid w:val="009C0D9C"/>
    <w:rsid w:val="009C12B4"/>
    <w:rsid w:val="009C137E"/>
    <w:rsid w:val="009C148D"/>
    <w:rsid w:val="009C1536"/>
    <w:rsid w:val="009C1AEE"/>
    <w:rsid w:val="009C1E00"/>
    <w:rsid w:val="009C20CF"/>
    <w:rsid w:val="009C245E"/>
    <w:rsid w:val="009C28ED"/>
    <w:rsid w:val="009C2AE7"/>
    <w:rsid w:val="009C2D4C"/>
    <w:rsid w:val="009C3431"/>
    <w:rsid w:val="009C3437"/>
    <w:rsid w:val="009C3529"/>
    <w:rsid w:val="009C383C"/>
    <w:rsid w:val="009C3C49"/>
    <w:rsid w:val="009C4251"/>
    <w:rsid w:val="009C42DB"/>
    <w:rsid w:val="009C45F2"/>
    <w:rsid w:val="009C48DF"/>
    <w:rsid w:val="009C53AA"/>
    <w:rsid w:val="009C54F0"/>
    <w:rsid w:val="009C57F6"/>
    <w:rsid w:val="009C5E77"/>
    <w:rsid w:val="009C5F64"/>
    <w:rsid w:val="009C5F6F"/>
    <w:rsid w:val="009C6327"/>
    <w:rsid w:val="009C6753"/>
    <w:rsid w:val="009C67B0"/>
    <w:rsid w:val="009C69B9"/>
    <w:rsid w:val="009C6E9E"/>
    <w:rsid w:val="009C70DB"/>
    <w:rsid w:val="009C7868"/>
    <w:rsid w:val="009C7A7E"/>
    <w:rsid w:val="009C7BFC"/>
    <w:rsid w:val="009D0093"/>
    <w:rsid w:val="009D02E8"/>
    <w:rsid w:val="009D0775"/>
    <w:rsid w:val="009D088B"/>
    <w:rsid w:val="009D1037"/>
    <w:rsid w:val="009D17CC"/>
    <w:rsid w:val="009D2105"/>
    <w:rsid w:val="009D269F"/>
    <w:rsid w:val="009D2B95"/>
    <w:rsid w:val="009D3791"/>
    <w:rsid w:val="009D3BCE"/>
    <w:rsid w:val="009D43CF"/>
    <w:rsid w:val="009D4FDB"/>
    <w:rsid w:val="009D51D0"/>
    <w:rsid w:val="009D54E8"/>
    <w:rsid w:val="009D5BD5"/>
    <w:rsid w:val="009D5E12"/>
    <w:rsid w:val="009D5E33"/>
    <w:rsid w:val="009D615E"/>
    <w:rsid w:val="009D63A9"/>
    <w:rsid w:val="009D64D9"/>
    <w:rsid w:val="009D6791"/>
    <w:rsid w:val="009D6793"/>
    <w:rsid w:val="009D688F"/>
    <w:rsid w:val="009D69AB"/>
    <w:rsid w:val="009D6A16"/>
    <w:rsid w:val="009D6ECB"/>
    <w:rsid w:val="009D6F82"/>
    <w:rsid w:val="009D70A4"/>
    <w:rsid w:val="009D70FE"/>
    <w:rsid w:val="009D7B14"/>
    <w:rsid w:val="009D7CA8"/>
    <w:rsid w:val="009E08D1"/>
    <w:rsid w:val="009E0A19"/>
    <w:rsid w:val="009E0BB6"/>
    <w:rsid w:val="009E0D65"/>
    <w:rsid w:val="009E0D96"/>
    <w:rsid w:val="009E0F14"/>
    <w:rsid w:val="009E0F52"/>
    <w:rsid w:val="009E17D9"/>
    <w:rsid w:val="009E1B95"/>
    <w:rsid w:val="009E23AC"/>
    <w:rsid w:val="009E23D5"/>
    <w:rsid w:val="009E24FE"/>
    <w:rsid w:val="009E2700"/>
    <w:rsid w:val="009E30C9"/>
    <w:rsid w:val="009E320B"/>
    <w:rsid w:val="009E37C0"/>
    <w:rsid w:val="009E39BB"/>
    <w:rsid w:val="009E3ADD"/>
    <w:rsid w:val="009E3BB8"/>
    <w:rsid w:val="009E444D"/>
    <w:rsid w:val="009E45CF"/>
    <w:rsid w:val="009E496F"/>
    <w:rsid w:val="009E4B0D"/>
    <w:rsid w:val="009E5250"/>
    <w:rsid w:val="009E5AB4"/>
    <w:rsid w:val="009E5DBF"/>
    <w:rsid w:val="009E6166"/>
    <w:rsid w:val="009E6393"/>
    <w:rsid w:val="009E6862"/>
    <w:rsid w:val="009E6F6A"/>
    <w:rsid w:val="009E6F86"/>
    <w:rsid w:val="009E7300"/>
    <w:rsid w:val="009E786B"/>
    <w:rsid w:val="009E78EA"/>
    <w:rsid w:val="009E7A69"/>
    <w:rsid w:val="009E7F92"/>
    <w:rsid w:val="009F02A3"/>
    <w:rsid w:val="009F077C"/>
    <w:rsid w:val="009F091E"/>
    <w:rsid w:val="009F1121"/>
    <w:rsid w:val="009F18C9"/>
    <w:rsid w:val="009F2182"/>
    <w:rsid w:val="009F2B13"/>
    <w:rsid w:val="009F2CBE"/>
    <w:rsid w:val="009F2F27"/>
    <w:rsid w:val="009F3058"/>
    <w:rsid w:val="009F309C"/>
    <w:rsid w:val="009F34AA"/>
    <w:rsid w:val="009F3A19"/>
    <w:rsid w:val="009F41A8"/>
    <w:rsid w:val="009F46C4"/>
    <w:rsid w:val="009F4885"/>
    <w:rsid w:val="009F4E00"/>
    <w:rsid w:val="009F507E"/>
    <w:rsid w:val="009F6269"/>
    <w:rsid w:val="009F62A7"/>
    <w:rsid w:val="009F64E0"/>
    <w:rsid w:val="009F6B9C"/>
    <w:rsid w:val="009F6BCB"/>
    <w:rsid w:val="009F702D"/>
    <w:rsid w:val="009F7775"/>
    <w:rsid w:val="009F791A"/>
    <w:rsid w:val="009F7A7D"/>
    <w:rsid w:val="009F7B78"/>
    <w:rsid w:val="009F7E30"/>
    <w:rsid w:val="009F7FC3"/>
    <w:rsid w:val="00A00213"/>
    <w:rsid w:val="00A002F3"/>
    <w:rsid w:val="00A0057A"/>
    <w:rsid w:val="00A009CC"/>
    <w:rsid w:val="00A00C53"/>
    <w:rsid w:val="00A00DCC"/>
    <w:rsid w:val="00A01008"/>
    <w:rsid w:val="00A013A8"/>
    <w:rsid w:val="00A01A2C"/>
    <w:rsid w:val="00A02378"/>
    <w:rsid w:val="00A02E29"/>
    <w:rsid w:val="00A02ECB"/>
    <w:rsid w:val="00A02FA1"/>
    <w:rsid w:val="00A042CD"/>
    <w:rsid w:val="00A04537"/>
    <w:rsid w:val="00A0480B"/>
    <w:rsid w:val="00A04948"/>
    <w:rsid w:val="00A04CCE"/>
    <w:rsid w:val="00A05153"/>
    <w:rsid w:val="00A0518E"/>
    <w:rsid w:val="00A05576"/>
    <w:rsid w:val="00A06139"/>
    <w:rsid w:val="00A0696C"/>
    <w:rsid w:val="00A06F52"/>
    <w:rsid w:val="00A06FB8"/>
    <w:rsid w:val="00A07421"/>
    <w:rsid w:val="00A0746E"/>
    <w:rsid w:val="00A0776B"/>
    <w:rsid w:val="00A077AC"/>
    <w:rsid w:val="00A077B2"/>
    <w:rsid w:val="00A07B3B"/>
    <w:rsid w:val="00A100B9"/>
    <w:rsid w:val="00A10605"/>
    <w:rsid w:val="00A10FB9"/>
    <w:rsid w:val="00A11121"/>
    <w:rsid w:val="00A11421"/>
    <w:rsid w:val="00A11882"/>
    <w:rsid w:val="00A1203A"/>
    <w:rsid w:val="00A120FB"/>
    <w:rsid w:val="00A12846"/>
    <w:rsid w:val="00A12C70"/>
    <w:rsid w:val="00A12D85"/>
    <w:rsid w:val="00A12FE5"/>
    <w:rsid w:val="00A13208"/>
    <w:rsid w:val="00A137C6"/>
    <w:rsid w:val="00A1389F"/>
    <w:rsid w:val="00A13916"/>
    <w:rsid w:val="00A13B7A"/>
    <w:rsid w:val="00A13BED"/>
    <w:rsid w:val="00A13FF8"/>
    <w:rsid w:val="00A14052"/>
    <w:rsid w:val="00A14D90"/>
    <w:rsid w:val="00A14EE9"/>
    <w:rsid w:val="00A15270"/>
    <w:rsid w:val="00A157B1"/>
    <w:rsid w:val="00A15AF8"/>
    <w:rsid w:val="00A15ECA"/>
    <w:rsid w:val="00A16252"/>
    <w:rsid w:val="00A16264"/>
    <w:rsid w:val="00A163A9"/>
    <w:rsid w:val="00A16BE2"/>
    <w:rsid w:val="00A16E8E"/>
    <w:rsid w:val="00A16FE9"/>
    <w:rsid w:val="00A1751C"/>
    <w:rsid w:val="00A1785F"/>
    <w:rsid w:val="00A1794F"/>
    <w:rsid w:val="00A17EE8"/>
    <w:rsid w:val="00A17F40"/>
    <w:rsid w:val="00A17F53"/>
    <w:rsid w:val="00A203AD"/>
    <w:rsid w:val="00A20860"/>
    <w:rsid w:val="00A20BD7"/>
    <w:rsid w:val="00A218D1"/>
    <w:rsid w:val="00A218F9"/>
    <w:rsid w:val="00A21DF6"/>
    <w:rsid w:val="00A21E80"/>
    <w:rsid w:val="00A22229"/>
    <w:rsid w:val="00A231A4"/>
    <w:rsid w:val="00A2358F"/>
    <w:rsid w:val="00A23986"/>
    <w:rsid w:val="00A242C5"/>
    <w:rsid w:val="00A24419"/>
    <w:rsid w:val="00A24442"/>
    <w:rsid w:val="00A244C5"/>
    <w:rsid w:val="00A24A97"/>
    <w:rsid w:val="00A24ADA"/>
    <w:rsid w:val="00A24C6D"/>
    <w:rsid w:val="00A25254"/>
    <w:rsid w:val="00A25444"/>
    <w:rsid w:val="00A2549F"/>
    <w:rsid w:val="00A25558"/>
    <w:rsid w:val="00A260AA"/>
    <w:rsid w:val="00A2678F"/>
    <w:rsid w:val="00A2796A"/>
    <w:rsid w:val="00A27A0D"/>
    <w:rsid w:val="00A27A9B"/>
    <w:rsid w:val="00A303EB"/>
    <w:rsid w:val="00A30A17"/>
    <w:rsid w:val="00A30FE1"/>
    <w:rsid w:val="00A31495"/>
    <w:rsid w:val="00A31AF8"/>
    <w:rsid w:val="00A32577"/>
    <w:rsid w:val="00A330BB"/>
    <w:rsid w:val="00A33470"/>
    <w:rsid w:val="00A33558"/>
    <w:rsid w:val="00A335D1"/>
    <w:rsid w:val="00A33D06"/>
    <w:rsid w:val="00A343A9"/>
    <w:rsid w:val="00A3447C"/>
    <w:rsid w:val="00A35042"/>
    <w:rsid w:val="00A3511B"/>
    <w:rsid w:val="00A3516E"/>
    <w:rsid w:val="00A35193"/>
    <w:rsid w:val="00A35E50"/>
    <w:rsid w:val="00A36133"/>
    <w:rsid w:val="00A363B9"/>
    <w:rsid w:val="00A370A1"/>
    <w:rsid w:val="00A3740D"/>
    <w:rsid w:val="00A37491"/>
    <w:rsid w:val="00A374AD"/>
    <w:rsid w:val="00A37801"/>
    <w:rsid w:val="00A37BAF"/>
    <w:rsid w:val="00A37E9C"/>
    <w:rsid w:val="00A40439"/>
    <w:rsid w:val="00A40626"/>
    <w:rsid w:val="00A406B0"/>
    <w:rsid w:val="00A40AA1"/>
    <w:rsid w:val="00A40E65"/>
    <w:rsid w:val="00A41719"/>
    <w:rsid w:val="00A4207F"/>
    <w:rsid w:val="00A421EC"/>
    <w:rsid w:val="00A42492"/>
    <w:rsid w:val="00A42A50"/>
    <w:rsid w:val="00A43165"/>
    <w:rsid w:val="00A431F4"/>
    <w:rsid w:val="00A439B2"/>
    <w:rsid w:val="00A43AC7"/>
    <w:rsid w:val="00A43D4C"/>
    <w:rsid w:val="00A43DF4"/>
    <w:rsid w:val="00A43F57"/>
    <w:rsid w:val="00A43FD1"/>
    <w:rsid w:val="00A44062"/>
    <w:rsid w:val="00A4407E"/>
    <w:rsid w:val="00A44122"/>
    <w:rsid w:val="00A44606"/>
    <w:rsid w:val="00A446D0"/>
    <w:rsid w:val="00A446F5"/>
    <w:rsid w:val="00A44882"/>
    <w:rsid w:val="00A44B9C"/>
    <w:rsid w:val="00A44CC2"/>
    <w:rsid w:val="00A44F7F"/>
    <w:rsid w:val="00A45125"/>
    <w:rsid w:val="00A4536B"/>
    <w:rsid w:val="00A456BB"/>
    <w:rsid w:val="00A45834"/>
    <w:rsid w:val="00A46178"/>
    <w:rsid w:val="00A462B8"/>
    <w:rsid w:val="00A4646A"/>
    <w:rsid w:val="00A46B0E"/>
    <w:rsid w:val="00A46F20"/>
    <w:rsid w:val="00A471D0"/>
    <w:rsid w:val="00A47804"/>
    <w:rsid w:val="00A47DC3"/>
    <w:rsid w:val="00A50287"/>
    <w:rsid w:val="00A506CD"/>
    <w:rsid w:val="00A50971"/>
    <w:rsid w:val="00A511F6"/>
    <w:rsid w:val="00A514A7"/>
    <w:rsid w:val="00A51745"/>
    <w:rsid w:val="00A52A8B"/>
    <w:rsid w:val="00A52F03"/>
    <w:rsid w:val="00A53154"/>
    <w:rsid w:val="00A53198"/>
    <w:rsid w:val="00A53499"/>
    <w:rsid w:val="00A53E14"/>
    <w:rsid w:val="00A541CA"/>
    <w:rsid w:val="00A543B1"/>
    <w:rsid w:val="00A5461C"/>
    <w:rsid w:val="00A54715"/>
    <w:rsid w:val="00A54BDF"/>
    <w:rsid w:val="00A54FB3"/>
    <w:rsid w:val="00A5511C"/>
    <w:rsid w:val="00A55280"/>
    <w:rsid w:val="00A553DD"/>
    <w:rsid w:val="00A5546E"/>
    <w:rsid w:val="00A55685"/>
    <w:rsid w:val="00A55B11"/>
    <w:rsid w:val="00A55BE2"/>
    <w:rsid w:val="00A560F7"/>
    <w:rsid w:val="00A5629E"/>
    <w:rsid w:val="00A56516"/>
    <w:rsid w:val="00A56CFB"/>
    <w:rsid w:val="00A56E49"/>
    <w:rsid w:val="00A573D2"/>
    <w:rsid w:val="00A60140"/>
    <w:rsid w:val="00A6061C"/>
    <w:rsid w:val="00A60A6A"/>
    <w:rsid w:val="00A61128"/>
    <w:rsid w:val="00A61526"/>
    <w:rsid w:val="00A6174B"/>
    <w:rsid w:val="00A620E1"/>
    <w:rsid w:val="00A62110"/>
    <w:rsid w:val="00A625C7"/>
    <w:rsid w:val="00A629BE"/>
    <w:rsid w:val="00A62D44"/>
    <w:rsid w:val="00A6337C"/>
    <w:rsid w:val="00A63D0F"/>
    <w:rsid w:val="00A63F5C"/>
    <w:rsid w:val="00A649A0"/>
    <w:rsid w:val="00A6527C"/>
    <w:rsid w:val="00A65461"/>
    <w:rsid w:val="00A65BCE"/>
    <w:rsid w:val="00A65D8B"/>
    <w:rsid w:val="00A65DE2"/>
    <w:rsid w:val="00A65F3A"/>
    <w:rsid w:val="00A6671D"/>
    <w:rsid w:val="00A6674E"/>
    <w:rsid w:val="00A670BD"/>
    <w:rsid w:val="00A67263"/>
    <w:rsid w:val="00A67507"/>
    <w:rsid w:val="00A675B3"/>
    <w:rsid w:val="00A67AD4"/>
    <w:rsid w:val="00A67C5E"/>
    <w:rsid w:val="00A70187"/>
    <w:rsid w:val="00A70BC9"/>
    <w:rsid w:val="00A70DB3"/>
    <w:rsid w:val="00A7152F"/>
    <w:rsid w:val="00A7161C"/>
    <w:rsid w:val="00A7163C"/>
    <w:rsid w:val="00A71CE4"/>
    <w:rsid w:val="00A72949"/>
    <w:rsid w:val="00A72C00"/>
    <w:rsid w:val="00A72C9D"/>
    <w:rsid w:val="00A737ED"/>
    <w:rsid w:val="00A73D42"/>
    <w:rsid w:val="00A73E20"/>
    <w:rsid w:val="00A74138"/>
    <w:rsid w:val="00A74E6C"/>
    <w:rsid w:val="00A7537A"/>
    <w:rsid w:val="00A7539F"/>
    <w:rsid w:val="00A754EA"/>
    <w:rsid w:val="00A762A2"/>
    <w:rsid w:val="00A7645D"/>
    <w:rsid w:val="00A7679D"/>
    <w:rsid w:val="00A7695F"/>
    <w:rsid w:val="00A76AFA"/>
    <w:rsid w:val="00A77800"/>
    <w:rsid w:val="00A778DB"/>
    <w:rsid w:val="00A77AA3"/>
    <w:rsid w:val="00A77ACF"/>
    <w:rsid w:val="00A77E3E"/>
    <w:rsid w:val="00A804CD"/>
    <w:rsid w:val="00A80C43"/>
    <w:rsid w:val="00A80C50"/>
    <w:rsid w:val="00A80D08"/>
    <w:rsid w:val="00A81551"/>
    <w:rsid w:val="00A81838"/>
    <w:rsid w:val="00A81B17"/>
    <w:rsid w:val="00A81EC9"/>
    <w:rsid w:val="00A8236D"/>
    <w:rsid w:val="00A82437"/>
    <w:rsid w:val="00A82CAD"/>
    <w:rsid w:val="00A82D90"/>
    <w:rsid w:val="00A833EC"/>
    <w:rsid w:val="00A839D1"/>
    <w:rsid w:val="00A83D5A"/>
    <w:rsid w:val="00A840D0"/>
    <w:rsid w:val="00A847BF"/>
    <w:rsid w:val="00A84ABA"/>
    <w:rsid w:val="00A8510C"/>
    <w:rsid w:val="00A854EB"/>
    <w:rsid w:val="00A85825"/>
    <w:rsid w:val="00A8626E"/>
    <w:rsid w:val="00A86430"/>
    <w:rsid w:val="00A86AD9"/>
    <w:rsid w:val="00A86E06"/>
    <w:rsid w:val="00A86F88"/>
    <w:rsid w:val="00A87015"/>
    <w:rsid w:val="00A872E5"/>
    <w:rsid w:val="00A87336"/>
    <w:rsid w:val="00A8740E"/>
    <w:rsid w:val="00A87D85"/>
    <w:rsid w:val="00A9028D"/>
    <w:rsid w:val="00A90502"/>
    <w:rsid w:val="00A90CF9"/>
    <w:rsid w:val="00A90EA3"/>
    <w:rsid w:val="00A91406"/>
    <w:rsid w:val="00A914D5"/>
    <w:rsid w:val="00A91B20"/>
    <w:rsid w:val="00A91BF2"/>
    <w:rsid w:val="00A91DEF"/>
    <w:rsid w:val="00A91E31"/>
    <w:rsid w:val="00A92697"/>
    <w:rsid w:val="00A92AF7"/>
    <w:rsid w:val="00A930BB"/>
    <w:rsid w:val="00A9475E"/>
    <w:rsid w:val="00A9541E"/>
    <w:rsid w:val="00A96621"/>
    <w:rsid w:val="00A96A71"/>
    <w:rsid w:val="00A96E65"/>
    <w:rsid w:val="00A96ECE"/>
    <w:rsid w:val="00A96F0D"/>
    <w:rsid w:val="00A96F3E"/>
    <w:rsid w:val="00A97435"/>
    <w:rsid w:val="00A97636"/>
    <w:rsid w:val="00A97ADD"/>
    <w:rsid w:val="00A97C72"/>
    <w:rsid w:val="00AA0AA8"/>
    <w:rsid w:val="00AA1C6B"/>
    <w:rsid w:val="00AA21C0"/>
    <w:rsid w:val="00AA23BE"/>
    <w:rsid w:val="00AA2611"/>
    <w:rsid w:val="00AA2790"/>
    <w:rsid w:val="00AA310B"/>
    <w:rsid w:val="00AA311B"/>
    <w:rsid w:val="00AA41D3"/>
    <w:rsid w:val="00AA4A92"/>
    <w:rsid w:val="00AA50CE"/>
    <w:rsid w:val="00AA62D8"/>
    <w:rsid w:val="00AA63D4"/>
    <w:rsid w:val="00AA6657"/>
    <w:rsid w:val="00AA669E"/>
    <w:rsid w:val="00AA6968"/>
    <w:rsid w:val="00AA698E"/>
    <w:rsid w:val="00AA6D9B"/>
    <w:rsid w:val="00AA736F"/>
    <w:rsid w:val="00AA7D04"/>
    <w:rsid w:val="00AA7D4E"/>
    <w:rsid w:val="00AB06E8"/>
    <w:rsid w:val="00AB0A99"/>
    <w:rsid w:val="00AB0C19"/>
    <w:rsid w:val="00AB11AC"/>
    <w:rsid w:val="00AB1407"/>
    <w:rsid w:val="00AB190B"/>
    <w:rsid w:val="00AB1CD3"/>
    <w:rsid w:val="00AB21EF"/>
    <w:rsid w:val="00AB2958"/>
    <w:rsid w:val="00AB2B41"/>
    <w:rsid w:val="00AB2CFC"/>
    <w:rsid w:val="00AB2E61"/>
    <w:rsid w:val="00AB2EDA"/>
    <w:rsid w:val="00AB2EE8"/>
    <w:rsid w:val="00AB342D"/>
    <w:rsid w:val="00AB352F"/>
    <w:rsid w:val="00AB3E5E"/>
    <w:rsid w:val="00AB3E8F"/>
    <w:rsid w:val="00AB4564"/>
    <w:rsid w:val="00AB4EA4"/>
    <w:rsid w:val="00AB5041"/>
    <w:rsid w:val="00AB5839"/>
    <w:rsid w:val="00AB5D80"/>
    <w:rsid w:val="00AB6A99"/>
    <w:rsid w:val="00AB6D6A"/>
    <w:rsid w:val="00AB7272"/>
    <w:rsid w:val="00AB76D1"/>
    <w:rsid w:val="00AC0AA7"/>
    <w:rsid w:val="00AC0CD7"/>
    <w:rsid w:val="00AC1959"/>
    <w:rsid w:val="00AC1ADC"/>
    <w:rsid w:val="00AC1CED"/>
    <w:rsid w:val="00AC2638"/>
    <w:rsid w:val="00AC274B"/>
    <w:rsid w:val="00AC283E"/>
    <w:rsid w:val="00AC2C59"/>
    <w:rsid w:val="00AC2DBD"/>
    <w:rsid w:val="00AC2FC1"/>
    <w:rsid w:val="00AC34CF"/>
    <w:rsid w:val="00AC3AC1"/>
    <w:rsid w:val="00AC4481"/>
    <w:rsid w:val="00AC44DA"/>
    <w:rsid w:val="00AC4764"/>
    <w:rsid w:val="00AC604A"/>
    <w:rsid w:val="00AC625A"/>
    <w:rsid w:val="00AC6761"/>
    <w:rsid w:val="00AC68FB"/>
    <w:rsid w:val="00AC6D36"/>
    <w:rsid w:val="00AC6FAB"/>
    <w:rsid w:val="00AC7046"/>
    <w:rsid w:val="00AC7829"/>
    <w:rsid w:val="00AD0CBA"/>
    <w:rsid w:val="00AD2584"/>
    <w:rsid w:val="00AD26E2"/>
    <w:rsid w:val="00AD2FD7"/>
    <w:rsid w:val="00AD3E96"/>
    <w:rsid w:val="00AD3F02"/>
    <w:rsid w:val="00AD469F"/>
    <w:rsid w:val="00AD53B5"/>
    <w:rsid w:val="00AD58D8"/>
    <w:rsid w:val="00AD6A03"/>
    <w:rsid w:val="00AD6D10"/>
    <w:rsid w:val="00AD6E4A"/>
    <w:rsid w:val="00AD6FF8"/>
    <w:rsid w:val="00AD74FA"/>
    <w:rsid w:val="00AD75B6"/>
    <w:rsid w:val="00AD77DB"/>
    <w:rsid w:val="00AD784C"/>
    <w:rsid w:val="00AD7A45"/>
    <w:rsid w:val="00AD7BC4"/>
    <w:rsid w:val="00AE00CC"/>
    <w:rsid w:val="00AE05E6"/>
    <w:rsid w:val="00AE075F"/>
    <w:rsid w:val="00AE0AC3"/>
    <w:rsid w:val="00AE0CF7"/>
    <w:rsid w:val="00AE0FBF"/>
    <w:rsid w:val="00AE126A"/>
    <w:rsid w:val="00AE18D9"/>
    <w:rsid w:val="00AE1BAE"/>
    <w:rsid w:val="00AE1FB8"/>
    <w:rsid w:val="00AE261B"/>
    <w:rsid w:val="00AE2CE0"/>
    <w:rsid w:val="00AE2E99"/>
    <w:rsid w:val="00AE3005"/>
    <w:rsid w:val="00AE31BA"/>
    <w:rsid w:val="00AE3494"/>
    <w:rsid w:val="00AE3BD5"/>
    <w:rsid w:val="00AE431C"/>
    <w:rsid w:val="00AE51D9"/>
    <w:rsid w:val="00AE57EE"/>
    <w:rsid w:val="00AE59A0"/>
    <w:rsid w:val="00AE59F7"/>
    <w:rsid w:val="00AE5BCD"/>
    <w:rsid w:val="00AE6BE5"/>
    <w:rsid w:val="00AE7227"/>
    <w:rsid w:val="00AE77DD"/>
    <w:rsid w:val="00AE7984"/>
    <w:rsid w:val="00AE7ACF"/>
    <w:rsid w:val="00AF0226"/>
    <w:rsid w:val="00AF05B7"/>
    <w:rsid w:val="00AF0B4F"/>
    <w:rsid w:val="00AF0C57"/>
    <w:rsid w:val="00AF0EFB"/>
    <w:rsid w:val="00AF19E6"/>
    <w:rsid w:val="00AF1FC7"/>
    <w:rsid w:val="00AF224E"/>
    <w:rsid w:val="00AF237B"/>
    <w:rsid w:val="00AF26F3"/>
    <w:rsid w:val="00AF2755"/>
    <w:rsid w:val="00AF288B"/>
    <w:rsid w:val="00AF28F4"/>
    <w:rsid w:val="00AF328E"/>
    <w:rsid w:val="00AF34A6"/>
    <w:rsid w:val="00AF3648"/>
    <w:rsid w:val="00AF3731"/>
    <w:rsid w:val="00AF39DB"/>
    <w:rsid w:val="00AF3EEB"/>
    <w:rsid w:val="00AF4A7F"/>
    <w:rsid w:val="00AF5D50"/>
    <w:rsid w:val="00AF5F04"/>
    <w:rsid w:val="00AF68B8"/>
    <w:rsid w:val="00AF6CAB"/>
    <w:rsid w:val="00AF6E9B"/>
    <w:rsid w:val="00AF6F1A"/>
    <w:rsid w:val="00AF797B"/>
    <w:rsid w:val="00B00235"/>
    <w:rsid w:val="00B003EE"/>
    <w:rsid w:val="00B004B7"/>
    <w:rsid w:val="00B004E8"/>
    <w:rsid w:val="00B00524"/>
    <w:rsid w:val="00B00672"/>
    <w:rsid w:val="00B00879"/>
    <w:rsid w:val="00B00B7E"/>
    <w:rsid w:val="00B00B99"/>
    <w:rsid w:val="00B00C44"/>
    <w:rsid w:val="00B0100F"/>
    <w:rsid w:val="00B012B5"/>
    <w:rsid w:val="00B0137F"/>
    <w:rsid w:val="00B013BA"/>
    <w:rsid w:val="00B01B4D"/>
    <w:rsid w:val="00B01CE3"/>
    <w:rsid w:val="00B01ED5"/>
    <w:rsid w:val="00B01F81"/>
    <w:rsid w:val="00B020DD"/>
    <w:rsid w:val="00B02243"/>
    <w:rsid w:val="00B023BC"/>
    <w:rsid w:val="00B027A8"/>
    <w:rsid w:val="00B02A14"/>
    <w:rsid w:val="00B02A15"/>
    <w:rsid w:val="00B0316C"/>
    <w:rsid w:val="00B033F3"/>
    <w:rsid w:val="00B041C8"/>
    <w:rsid w:val="00B04238"/>
    <w:rsid w:val="00B04489"/>
    <w:rsid w:val="00B05283"/>
    <w:rsid w:val="00B05DFD"/>
    <w:rsid w:val="00B0603A"/>
    <w:rsid w:val="00B061B0"/>
    <w:rsid w:val="00B063D6"/>
    <w:rsid w:val="00B06571"/>
    <w:rsid w:val="00B068BA"/>
    <w:rsid w:val="00B07093"/>
    <w:rsid w:val="00B07217"/>
    <w:rsid w:val="00B07AC0"/>
    <w:rsid w:val="00B1002E"/>
    <w:rsid w:val="00B102A6"/>
    <w:rsid w:val="00B109D2"/>
    <w:rsid w:val="00B10F08"/>
    <w:rsid w:val="00B110EB"/>
    <w:rsid w:val="00B1113D"/>
    <w:rsid w:val="00B112CE"/>
    <w:rsid w:val="00B11396"/>
    <w:rsid w:val="00B113A3"/>
    <w:rsid w:val="00B11671"/>
    <w:rsid w:val="00B1167F"/>
    <w:rsid w:val="00B1207C"/>
    <w:rsid w:val="00B121EB"/>
    <w:rsid w:val="00B128C4"/>
    <w:rsid w:val="00B12A9F"/>
    <w:rsid w:val="00B12B9B"/>
    <w:rsid w:val="00B12F1B"/>
    <w:rsid w:val="00B136D2"/>
    <w:rsid w:val="00B13829"/>
    <w:rsid w:val="00B13851"/>
    <w:rsid w:val="00B13B1C"/>
    <w:rsid w:val="00B13D2C"/>
    <w:rsid w:val="00B1413A"/>
    <w:rsid w:val="00B141FA"/>
    <w:rsid w:val="00B14B5F"/>
    <w:rsid w:val="00B14DAD"/>
    <w:rsid w:val="00B14F8E"/>
    <w:rsid w:val="00B15185"/>
    <w:rsid w:val="00B158CE"/>
    <w:rsid w:val="00B15CB3"/>
    <w:rsid w:val="00B15F43"/>
    <w:rsid w:val="00B15F48"/>
    <w:rsid w:val="00B15F5C"/>
    <w:rsid w:val="00B16635"/>
    <w:rsid w:val="00B168A2"/>
    <w:rsid w:val="00B1765C"/>
    <w:rsid w:val="00B17994"/>
    <w:rsid w:val="00B20093"/>
    <w:rsid w:val="00B20A8B"/>
    <w:rsid w:val="00B21194"/>
    <w:rsid w:val="00B2170C"/>
    <w:rsid w:val="00B21D83"/>
    <w:rsid w:val="00B21F90"/>
    <w:rsid w:val="00B21FE2"/>
    <w:rsid w:val="00B2205D"/>
    <w:rsid w:val="00B22291"/>
    <w:rsid w:val="00B22550"/>
    <w:rsid w:val="00B22BB5"/>
    <w:rsid w:val="00B22DFA"/>
    <w:rsid w:val="00B22EA8"/>
    <w:rsid w:val="00B230B0"/>
    <w:rsid w:val="00B238CF"/>
    <w:rsid w:val="00B23BA0"/>
    <w:rsid w:val="00B23F9A"/>
    <w:rsid w:val="00B24165"/>
    <w:rsid w:val="00B2417B"/>
    <w:rsid w:val="00B24328"/>
    <w:rsid w:val="00B24DDE"/>
    <w:rsid w:val="00B24E6F"/>
    <w:rsid w:val="00B2542D"/>
    <w:rsid w:val="00B2570A"/>
    <w:rsid w:val="00B2694D"/>
    <w:rsid w:val="00B26CB5"/>
    <w:rsid w:val="00B26E34"/>
    <w:rsid w:val="00B26FCB"/>
    <w:rsid w:val="00B2752E"/>
    <w:rsid w:val="00B307CC"/>
    <w:rsid w:val="00B309A7"/>
    <w:rsid w:val="00B30F5A"/>
    <w:rsid w:val="00B3135E"/>
    <w:rsid w:val="00B314D4"/>
    <w:rsid w:val="00B31971"/>
    <w:rsid w:val="00B326B7"/>
    <w:rsid w:val="00B3363A"/>
    <w:rsid w:val="00B33685"/>
    <w:rsid w:val="00B33A85"/>
    <w:rsid w:val="00B33D63"/>
    <w:rsid w:val="00B33DBD"/>
    <w:rsid w:val="00B33EB2"/>
    <w:rsid w:val="00B344A5"/>
    <w:rsid w:val="00B347FE"/>
    <w:rsid w:val="00B34902"/>
    <w:rsid w:val="00B34DAB"/>
    <w:rsid w:val="00B35796"/>
    <w:rsid w:val="00B3588E"/>
    <w:rsid w:val="00B35E39"/>
    <w:rsid w:val="00B35EB2"/>
    <w:rsid w:val="00B35F3A"/>
    <w:rsid w:val="00B3602A"/>
    <w:rsid w:val="00B36863"/>
    <w:rsid w:val="00B36960"/>
    <w:rsid w:val="00B36AB8"/>
    <w:rsid w:val="00B36EB8"/>
    <w:rsid w:val="00B37171"/>
    <w:rsid w:val="00B374C0"/>
    <w:rsid w:val="00B37914"/>
    <w:rsid w:val="00B37B32"/>
    <w:rsid w:val="00B37C19"/>
    <w:rsid w:val="00B37D87"/>
    <w:rsid w:val="00B37FB9"/>
    <w:rsid w:val="00B403B8"/>
    <w:rsid w:val="00B40C40"/>
    <w:rsid w:val="00B40EA9"/>
    <w:rsid w:val="00B4131A"/>
    <w:rsid w:val="00B416FD"/>
    <w:rsid w:val="00B41890"/>
    <w:rsid w:val="00B4198F"/>
    <w:rsid w:val="00B41C94"/>
    <w:rsid w:val="00B41F3D"/>
    <w:rsid w:val="00B41F63"/>
    <w:rsid w:val="00B42043"/>
    <w:rsid w:val="00B42352"/>
    <w:rsid w:val="00B4235C"/>
    <w:rsid w:val="00B42F30"/>
    <w:rsid w:val="00B42F9F"/>
    <w:rsid w:val="00B431E8"/>
    <w:rsid w:val="00B4352A"/>
    <w:rsid w:val="00B439AE"/>
    <w:rsid w:val="00B43A2F"/>
    <w:rsid w:val="00B43BE1"/>
    <w:rsid w:val="00B443D4"/>
    <w:rsid w:val="00B4450D"/>
    <w:rsid w:val="00B44C19"/>
    <w:rsid w:val="00B44C5C"/>
    <w:rsid w:val="00B450C3"/>
    <w:rsid w:val="00B45141"/>
    <w:rsid w:val="00B453E3"/>
    <w:rsid w:val="00B45D21"/>
    <w:rsid w:val="00B45D51"/>
    <w:rsid w:val="00B45D5C"/>
    <w:rsid w:val="00B462B4"/>
    <w:rsid w:val="00B46F7F"/>
    <w:rsid w:val="00B4727B"/>
    <w:rsid w:val="00B47766"/>
    <w:rsid w:val="00B479AE"/>
    <w:rsid w:val="00B501E3"/>
    <w:rsid w:val="00B5032A"/>
    <w:rsid w:val="00B5094B"/>
    <w:rsid w:val="00B50D18"/>
    <w:rsid w:val="00B50D50"/>
    <w:rsid w:val="00B5117B"/>
    <w:rsid w:val="00B51548"/>
    <w:rsid w:val="00B51673"/>
    <w:rsid w:val="00B51850"/>
    <w:rsid w:val="00B519CD"/>
    <w:rsid w:val="00B51B86"/>
    <w:rsid w:val="00B51C36"/>
    <w:rsid w:val="00B51C75"/>
    <w:rsid w:val="00B5260A"/>
    <w:rsid w:val="00B5273A"/>
    <w:rsid w:val="00B52A87"/>
    <w:rsid w:val="00B53244"/>
    <w:rsid w:val="00B5363A"/>
    <w:rsid w:val="00B53B74"/>
    <w:rsid w:val="00B53C87"/>
    <w:rsid w:val="00B53FB8"/>
    <w:rsid w:val="00B54117"/>
    <w:rsid w:val="00B549D8"/>
    <w:rsid w:val="00B54B86"/>
    <w:rsid w:val="00B54E21"/>
    <w:rsid w:val="00B54F89"/>
    <w:rsid w:val="00B55680"/>
    <w:rsid w:val="00B557A1"/>
    <w:rsid w:val="00B55F59"/>
    <w:rsid w:val="00B56030"/>
    <w:rsid w:val="00B5641D"/>
    <w:rsid w:val="00B56BBF"/>
    <w:rsid w:val="00B56CC6"/>
    <w:rsid w:val="00B56DC8"/>
    <w:rsid w:val="00B57329"/>
    <w:rsid w:val="00B57580"/>
    <w:rsid w:val="00B602B4"/>
    <w:rsid w:val="00B606BD"/>
    <w:rsid w:val="00B606CA"/>
    <w:rsid w:val="00B60DC5"/>
    <w:rsid w:val="00B60E61"/>
    <w:rsid w:val="00B614DD"/>
    <w:rsid w:val="00B6175D"/>
    <w:rsid w:val="00B62010"/>
    <w:rsid w:val="00B6262D"/>
    <w:rsid w:val="00B627B8"/>
    <w:rsid w:val="00B62B50"/>
    <w:rsid w:val="00B6318E"/>
    <w:rsid w:val="00B635B7"/>
    <w:rsid w:val="00B63AE8"/>
    <w:rsid w:val="00B6418F"/>
    <w:rsid w:val="00B64716"/>
    <w:rsid w:val="00B65950"/>
    <w:rsid w:val="00B65DAD"/>
    <w:rsid w:val="00B66461"/>
    <w:rsid w:val="00B666C9"/>
    <w:rsid w:val="00B66778"/>
    <w:rsid w:val="00B66D2F"/>
    <w:rsid w:val="00B66D83"/>
    <w:rsid w:val="00B672C0"/>
    <w:rsid w:val="00B675E2"/>
    <w:rsid w:val="00B676FD"/>
    <w:rsid w:val="00B678B6"/>
    <w:rsid w:val="00B67FD9"/>
    <w:rsid w:val="00B70A1C"/>
    <w:rsid w:val="00B718DD"/>
    <w:rsid w:val="00B72329"/>
    <w:rsid w:val="00B72CF7"/>
    <w:rsid w:val="00B73209"/>
    <w:rsid w:val="00B73463"/>
    <w:rsid w:val="00B73593"/>
    <w:rsid w:val="00B73CB4"/>
    <w:rsid w:val="00B743A3"/>
    <w:rsid w:val="00B74CFF"/>
    <w:rsid w:val="00B74FC0"/>
    <w:rsid w:val="00B74FF2"/>
    <w:rsid w:val="00B75499"/>
    <w:rsid w:val="00B754A1"/>
    <w:rsid w:val="00B75646"/>
    <w:rsid w:val="00B75C5A"/>
    <w:rsid w:val="00B75E70"/>
    <w:rsid w:val="00B75F45"/>
    <w:rsid w:val="00B75FA3"/>
    <w:rsid w:val="00B7605D"/>
    <w:rsid w:val="00B7625A"/>
    <w:rsid w:val="00B7629E"/>
    <w:rsid w:val="00B762BC"/>
    <w:rsid w:val="00B769C7"/>
    <w:rsid w:val="00B76B3E"/>
    <w:rsid w:val="00B7741F"/>
    <w:rsid w:val="00B7780C"/>
    <w:rsid w:val="00B77E08"/>
    <w:rsid w:val="00B77E80"/>
    <w:rsid w:val="00B80124"/>
    <w:rsid w:val="00B8016C"/>
    <w:rsid w:val="00B80775"/>
    <w:rsid w:val="00B8095D"/>
    <w:rsid w:val="00B809E2"/>
    <w:rsid w:val="00B80BA0"/>
    <w:rsid w:val="00B80DCB"/>
    <w:rsid w:val="00B8171E"/>
    <w:rsid w:val="00B81B84"/>
    <w:rsid w:val="00B81EB1"/>
    <w:rsid w:val="00B824AD"/>
    <w:rsid w:val="00B825EA"/>
    <w:rsid w:val="00B828D4"/>
    <w:rsid w:val="00B82ED7"/>
    <w:rsid w:val="00B8329A"/>
    <w:rsid w:val="00B834B1"/>
    <w:rsid w:val="00B83852"/>
    <w:rsid w:val="00B8389B"/>
    <w:rsid w:val="00B838C9"/>
    <w:rsid w:val="00B84075"/>
    <w:rsid w:val="00B84BDD"/>
    <w:rsid w:val="00B852C0"/>
    <w:rsid w:val="00B856BD"/>
    <w:rsid w:val="00B86436"/>
    <w:rsid w:val="00B86A7E"/>
    <w:rsid w:val="00B8725F"/>
    <w:rsid w:val="00B87A10"/>
    <w:rsid w:val="00B87A1D"/>
    <w:rsid w:val="00B90224"/>
    <w:rsid w:val="00B9070A"/>
    <w:rsid w:val="00B90729"/>
    <w:rsid w:val="00B907C9"/>
    <w:rsid w:val="00B907DA"/>
    <w:rsid w:val="00B908CD"/>
    <w:rsid w:val="00B90B09"/>
    <w:rsid w:val="00B9151A"/>
    <w:rsid w:val="00B916B5"/>
    <w:rsid w:val="00B916D6"/>
    <w:rsid w:val="00B919A8"/>
    <w:rsid w:val="00B91E67"/>
    <w:rsid w:val="00B91F3F"/>
    <w:rsid w:val="00B9226F"/>
    <w:rsid w:val="00B92936"/>
    <w:rsid w:val="00B929C7"/>
    <w:rsid w:val="00B92EC4"/>
    <w:rsid w:val="00B930F1"/>
    <w:rsid w:val="00B93237"/>
    <w:rsid w:val="00B93C03"/>
    <w:rsid w:val="00B9435E"/>
    <w:rsid w:val="00B94576"/>
    <w:rsid w:val="00B94831"/>
    <w:rsid w:val="00B94C5E"/>
    <w:rsid w:val="00B950BC"/>
    <w:rsid w:val="00B951FB"/>
    <w:rsid w:val="00B95370"/>
    <w:rsid w:val="00B95652"/>
    <w:rsid w:val="00B963AA"/>
    <w:rsid w:val="00B96418"/>
    <w:rsid w:val="00B96638"/>
    <w:rsid w:val="00B9714C"/>
    <w:rsid w:val="00B972DB"/>
    <w:rsid w:val="00B97441"/>
    <w:rsid w:val="00B97688"/>
    <w:rsid w:val="00BA0057"/>
    <w:rsid w:val="00BA010C"/>
    <w:rsid w:val="00BA04CA"/>
    <w:rsid w:val="00BA0707"/>
    <w:rsid w:val="00BA0A02"/>
    <w:rsid w:val="00BA0BE2"/>
    <w:rsid w:val="00BA179A"/>
    <w:rsid w:val="00BA25CA"/>
    <w:rsid w:val="00BA26F6"/>
    <w:rsid w:val="00BA29AD"/>
    <w:rsid w:val="00BA2E26"/>
    <w:rsid w:val="00BA33CF"/>
    <w:rsid w:val="00BA39A8"/>
    <w:rsid w:val="00BA3C6D"/>
    <w:rsid w:val="00BA3F8D"/>
    <w:rsid w:val="00BA52AB"/>
    <w:rsid w:val="00BA530E"/>
    <w:rsid w:val="00BA54DC"/>
    <w:rsid w:val="00BA58B6"/>
    <w:rsid w:val="00BA5F95"/>
    <w:rsid w:val="00BA670B"/>
    <w:rsid w:val="00BA698B"/>
    <w:rsid w:val="00BA6A8C"/>
    <w:rsid w:val="00BA7A26"/>
    <w:rsid w:val="00BA7ADD"/>
    <w:rsid w:val="00BA7EC2"/>
    <w:rsid w:val="00BB1EFD"/>
    <w:rsid w:val="00BB2421"/>
    <w:rsid w:val="00BB2423"/>
    <w:rsid w:val="00BB2964"/>
    <w:rsid w:val="00BB35E9"/>
    <w:rsid w:val="00BB4004"/>
    <w:rsid w:val="00BB4417"/>
    <w:rsid w:val="00BB447D"/>
    <w:rsid w:val="00BB466C"/>
    <w:rsid w:val="00BB4B21"/>
    <w:rsid w:val="00BB5135"/>
    <w:rsid w:val="00BB5BEC"/>
    <w:rsid w:val="00BB5D6C"/>
    <w:rsid w:val="00BB6C76"/>
    <w:rsid w:val="00BB720F"/>
    <w:rsid w:val="00BB74AC"/>
    <w:rsid w:val="00BB758E"/>
    <w:rsid w:val="00BB7A10"/>
    <w:rsid w:val="00BC029C"/>
    <w:rsid w:val="00BC04DD"/>
    <w:rsid w:val="00BC0553"/>
    <w:rsid w:val="00BC06D3"/>
    <w:rsid w:val="00BC06E5"/>
    <w:rsid w:val="00BC0920"/>
    <w:rsid w:val="00BC1232"/>
    <w:rsid w:val="00BC1378"/>
    <w:rsid w:val="00BC151B"/>
    <w:rsid w:val="00BC1977"/>
    <w:rsid w:val="00BC2348"/>
    <w:rsid w:val="00BC24B0"/>
    <w:rsid w:val="00BC260A"/>
    <w:rsid w:val="00BC298C"/>
    <w:rsid w:val="00BC2C3A"/>
    <w:rsid w:val="00BC3100"/>
    <w:rsid w:val="00BC3154"/>
    <w:rsid w:val="00BC3596"/>
    <w:rsid w:val="00BC3B66"/>
    <w:rsid w:val="00BC414D"/>
    <w:rsid w:val="00BC43AE"/>
    <w:rsid w:val="00BC4908"/>
    <w:rsid w:val="00BC563E"/>
    <w:rsid w:val="00BC585C"/>
    <w:rsid w:val="00BC5A6D"/>
    <w:rsid w:val="00BC5A95"/>
    <w:rsid w:val="00BC5C60"/>
    <w:rsid w:val="00BC6066"/>
    <w:rsid w:val="00BC60BE"/>
    <w:rsid w:val="00BC6795"/>
    <w:rsid w:val="00BC694D"/>
    <w:rsid w:val="00BC6D23"/>
    <w:rsid w:val="00BC6F47"/>
    <w:rsid w:val="00BC70AC"/>
    <w:rsid w:val="00BC71ED"/>
    <w:rsid w:val="00BC7468"/>
    <w:rsid w:val="00BC7D4F"/>
    <w:rsid w:val="00BC7ED7"/>
    <w:rsid w:val="00BD0A11"/>
    <w:rsid w:val="00BD0C38"/>
    <w:rsid w:val="00BD0CE4"/>
    <w:rsid w:val="00BD14B1"/>
    <w:rsid w:val="00BD16DA"/>
    <w:rsid w:val="00BD1982"/>
    <w:rsid w:val="00BD1A51"/>
    <w:rsid w:val="00BD2850"/>
    <w:rsid w:val="00BD2866"/>
    <w:rsid w:val="00BD2BA1"/>
    <w:rsid w:val="00BD2E21"/>
    <w:rsid w:val="00BD306E"/>
    <w:rsid w:val="00BD3127"/>
    <w:rsid w:val="00BD3208"/>
    <w:rsid w:val="00BD35D5"/>
    <w:rsid w:val="00BD39CB"/>
    <w:rsid w:val="00BD3A6B"/>
    <w:rsid w:val="00BD3A85"/>
    <w:rsid w:val="00BD4651"/>
    <w:rsid w:val="00BD4E2E"/>
    <w:rsid w:val="00BD5B51"/>
    <w:rsid w:val="00BD6383"/>
    <w:rsid w:val="00BD696B"/>
    <w:rsid w:val="00BD6FD6"/>
    <w:rsid w:val="00BD70B3"/>
    <w:rsid w:val="00BD7493"/>
    <w:rsid w:val="00BD768C"/>
    <w:rsid w:val="00BD7AB5"/>
    <w:rsid w:val="00BD7C15"/>
    <w:rsid w:val="00BD7C32"/>
    <w:rsid w:val="00BD7CE2"/>
    <w:rsid w:val="00BD7CFF"/>
    <w:rsid w:val="00BE0A68"/>
    <w:rsid w:val="00BE14B4"/>
    <w:rsid w:val="00BE19A1"/>
    <w:rsid w:val="00BE22F1"/>
    <w:rsid w:val="00BE28D2"/>
    <w:rsid w:val="00BE2F62"/>
    <w:rsid w:val="00BE3328"/>
    <w:rsid w:val="00BE38A2"/>
    <w:rsid w:val="00BE433D"/>
    <w:rsid w:val="00BE45C2"/>
    <w:rsid w:val="00BE4693"/>
    <w:rsid w:val="00BE46BE"/>
    <w:rsid w:val="00BE4A64"/>
    <w:rsid w:val="00BE5131"/>
    <w:rsid w:val="00BE55DB"/>
    <w:rsid w:val="00BE574E"/>
    <w:rsid w:val="00BE588C"/>
    <w:rsid w:val="00BE5CC8"/>
    <w:rsid w:val="00BE5D56"/>
    <w:rsid w:val="00BE5D6E"/>
    <w:rsid w:val="00BE5E43"/>
    <w:rsid w:val="00BE6162"/>
    <w:rsid w:val="00BE6293"/>
    <w:rsid w:val="00BE65D9"/>
    <w:rsid w:val="00BE65E6"/>
    <w:rsid w:val="00BE6F2F"/>
    <w:rsid w:val="00BE74A9"/>
    <w:rsid w:val="00BE76A1"/>
    <w:rsid w:val="00BE7866"/>
    <w:rsid w:val="00BF0066"/>
    <w:rsid w:val="00BF03D5"/>
    <w:rsid w:val="00BF0537"/>
    <w:rsid w:val="00BF0933"/>
    <w:rsid w:val="00BF09C3"/>
    <w:rsid w:val="00BF0DFC"/>
    <w:rsid w:val="00BF1888"/>
    <w:rsid w:val="00BF27C9"/>
    <w:rsid w:val="00BF29C5"/>
    <w:rsid w:val="00BF3016"/>
    <w:rsid w:val="00BF33CB"/>
    <w:rsid w:val="00BF3D4F"/>
    <w:rsid w:val="00BF4219"/>
    <w:rsid w:val="00BF4226"/>
    <w:rsid w:val="00BF4643"/>
    <w:rsid w:val="00BF482A"/>
    <w:rsid w:val="00BF4A0F"/>
    <w:rsid w:val="00BF4C98"/>
    <w:rsid w:val="00BF4FAF"/>
    <w:rsid w:val="00BF557D"/>
    <w:rsid w:val="00BF5684"/>
    <w:rsid w:val="00BF5848"/>
    <w:rsid w:val="00BF5B57"/>
    <w:rsid w:val="00BF5FCA"/>
    <w:rsid w:val="00BF658D"/>
    <w:rsid w:val="00BF65D4"/>
    <w:rsid w:val="00BF6661"/>
    <w:rsid w:val="00BF7164"/>
    <w:rsid w:val="00BF7401"/>
    <w:rsid w:val="00BF76C1"/>
    <w:rsid w:val="00BF7B13"/>
    <w:rsid w:val="00BF7F58"/>
    <w:rsid w:val="00C00053"/>
    <w:rsid w:val="00C0007E"/>
    <w:rsid w:val="00C01032"/>
    <w:rsid w:val="00C0132B"/>
    <w:rsid w:val="00C01381"/>
    <w:rsid w:val="00C01AB1"/>
    <w:rsid w:val="00C01DB2"/>
    <w:rsid w:val="00C01E67"/>
    <w:rsid w:val="00C026A0"/>
    <w:rsid w:val="00C03601"/>
    <w:rsid w:val="00C03F8C"/>
    <w:rsid w:val="00C040EA"/>
    <w:rsid w:val="00C048DE"/>
    <w:rsid w:val="00C04D17"/>
    <w:rsid w:val="00C05081"/>
    <w:rsid w:val="00C05136"/>
    <w:rsid w:val="00C0568B"/>
    <w:rsid w:val="00C0593F"/>
    <w:rsid w:val="00C0602D"/>
    <w:rsid w:val="00C06137"/>
    <w:rsid w:val="00C06929"/>
    <w:rsid w:val="00C06AD8"/>
    <w:rsid w:val="00C0708C"/>
    <w:rsid w:val="00C071CB"/>
    <w:rsid w:val="00C079B8"/>
    <w:rsid w:val="00C07F25"/>
    <w:rsid w:val="00C10037"/>
    <w:rsid w:val="00C10779"/>
    <w:rsid w:val="00C10B3F"/>
    <w:rsid w:val="00C10C1A"/>
    <w:rsid w:val="00C10FD7"/>
    <w:rsid w:val="00C110DD"/>
    <w:rsid w:val="00C113BE"/>
    <w:rsid w:val="00C115E1"/>
    <w:rsid w:val="00C11FB7"/>
    <w:rsid w:val="00C123EA"/>
    <w:rsid w:val="00C1289F"/>
    <w:rsid w:val="00C12A49"/>
    <w:rsid w:val="00C12A96"/>
    <w:rsid w:val="00C12C7C"/>
    <w:rsid w:val="00C12E75"/>
    <w:rsid w:val="00C13399"/>
    <w:rsid w:val="00C133EE"/>
    <w:rsid w:val="00C13A4B"/>
    <w:rsid w:val="00C1427E"/>
    <w:rsid w:val="00C144B4"/>
    <w:rsid w:val="00C145A4"/>
    <w:rsid w:val="00C149D0"/>
    <w:rsid w:val="00C14CB4"/>
    <w:rsid w:val="00C14E1C"/>
    <w:rsid w:val="00C14E3F"/>
    <w:rsid w:val="00C15022"/>
    <w:rsid w:val="00C15B9F"/>
    <w:rsid w:val="00C1619A"/>
    <w:rsid w:val="00C16328"/>
    <w:rsid w:val="00C16340"/>
    <w:rsid w:val="00C16947"/>
    <w:rsid w:val="00C16AC8"/>
    <w:rsid w:val="00C1716A"/>
    <w:rsid w:val="00C17DD6"/>
    <w:rsid w:val="00C20276"/>
    <w:rsid w:val="00C20CEF"/>
    <w:rsid w:val="00C2172C"/>
    <w:rsid w:val="00C223EC"/>
    <w:rsid w:val="00C22548"/>
    <w:rsid w:val="00C22B08"/>
    <w:rsid w:val="00C23277"/>
    <w:rsid w:val="00C23B47"/>
    <w:rsid w:val="00C244CD"/>
    <w:rsid w:val="00C24574"/>
    <w:rsid w:val="00C246D2"/>
    <w:rsid w:val="00C249BA"/>
    <w:rsid w:val="00C24D3D"/>
    <w:rsid w:val="00C24E0D"/>
    <w:rsid w:val="00C24EF8"/>
    <w:rsid w:val="00C25076"/>
    <w:rsid w:val="00C253A9"/>
    <w:rsid w:val="00C263FF"/>
    <w:rsid w:val="00C26588"/>
    <w:rsid w:val="00C26671"/>
    <w:rsid w:val="00C2671D"/>
    <w:rsid w:val="00C27DE9"/>
    <w:rsid w:val="00C27F82"/>
    <w:rsid w:val="00C3049F"/>
    <w:rsid w:val="00C30C6D"/>
    <w:rsid w:val="00C30DF2"/>
    <w:rsid w:val="00C30F57"/>
    <w:rsid w:val="00C32032"/>
    <w:rsid w:val="00C323AA"/>
    <w:rsid w:val="00C32989"/>
    <w:rsid w:val="00C329DE"/>
    <w:rsid w:val="00C32A9B"/>
    <w:rsid w:val="00C32BAC"/>
    <w:rsid w:val="00C33334"/>
    <w:rsid w:val="00C33388"/>
    <w:rsid w:val="00C33A45"/>
    <w:rsid w:val="00C33ADC"/>
    <w:rsid w:val="00C340B6"/>
    <w:rsid w:val="00C34ECF"/>
    <w:rsid w:val="00C35484"/>
    <w:rsid w:val="00C3593B"/>
    <w:rsid w:val="00C36086"/>
    <w:rsid w:val="00C3638A"/>
    <w:rsid w:val="00C371CB"/>
    <w:rsid w:val="00C376ED"/>
    <w:rsid w:val="00C37718"/>
    <w:rsid w:val="00C377F9"/>
    <w:rsid w:val="00C37917"/>
    <w:rsid w:val="00C37994"/>
    <w:rsid w:val="00C37BD2"/>
    <w:rsid w:val="00C40E29"/>
    <w:rsid w:val="00C40E90"/>
    <w:rsid w:val="00C41236"/>
    <w:rsid w:val="00C412E0"/>
    <w:rsid w:val="00C4149E"/>
    <w:rsid w:val="00C4173A"/>
    <w:rsid w:val="00C41C3C"/>
    <w:rsid w:val="00C41FB1"/>
    <w:rsid w:val="00C41FB7"/>
    <w:rsid w:val="00C43101"/>
    <w:rsid w:val="00C43AD3"/>
    <w:rsid w:val="00C447A6"/>
    <w:rsid w:val="00C448AD"/>
    <w:rsid w:val="00C44AC3"/>
    <w:rsid w:val="00C44B09"/>
    <w:rsid w:val="00C45004"/>
    <w:rsid w:val="00C45471"/>
    <w:rsid w:val="00C4549F"/>
    <w:rsid w:val="00C45642"/>
    <w:rsid w:val="00C45AA1"/>
    <w:rsid w:val="00C4618D"/>
    <w:rsid w:val="00C46261"/>
    <w:rsid w:val="00C463FF"/>
    <w:rsid w:val="00C4698D"/>
    <w:rsid w:val="00C46B3A"/>
    <w:rsid w:val="00C46F80"/>
    <w:rsid w:val="00C47227"/>
    <w:rsid w:val="00C4723E"/>
    <w:rsid w:val="00C4784E"/>
    <w:rsid w:val="00C47AA7"/>
    <w:rsid w:val="00C50CEB"/>
    <w:rsid w:val="00C50DED"/>
    <w:rsid w:val="00C5128E"/>
    <w:rsid w:val="00C5134C"/>
    <w:rsid w:val="00C5178E"/>
    <w:rsid w:val="00C517EB"/>
    <w:rsid w:val="00C51D09"/>
    <w:rsid w:val="00C51FC0"/>
    <w:rsid w:val="00C5217E"/>
    <w:rsid w:val="00C521B7"/>
    <w:rsid w:val="00C52217"/>
    <w:rsid w:val="00C5300B"/>
    <w:rsid w:val="00C532DD"/>
    <w:rsid w:val="00C53360"/>
    <w:rsid w:val="00C5369F"/>
    <w:rsid w:val="00C538BF"/>
    <w:rsid w:val="00C539B3"/>
    <w:rsid w:val="00C53DF0"/>
    <w:rsid w:val="00C55CCD"/>
    <w:rsid w:val="00C55D85"/>
    <w:rsid w:val="00C5659C"/>
    <w:rsid w:val="00C56B29"/>
    <w:rsid w:val="00C56C6D"/>
    <w:rsid w:val="00C56CBC"/>
    <w:rsid w:val="00C56F62"/>
    <w:rsid w:val="00C571E1"/>
    <w:rsid w:val="00C57469"/>
    <w:rsid w:val="00C57686"/>
    <w:rsid w:val="00C5769C"/>
    <w:rsid w:val="00C57901"/>
    <w:rsid w:val="00C57EAC"/>
    <w:rsid w:val="00C602FF"/>
    <w:rsid w:val="00C60411"/>
    <w:rsid w:val="00C60D8A"/>
    <w:rsid w:val="00C60DA4"/>
    <w:rsid w:val="00C61174"/>
    <w:rsid w:val="00C6148F"/>
    <w:rsid w:val="00C619FE"/>
    <w:rsid w:val="00C61EF4"/>
    <w:rsid w:val="00C62074"/>
    <w:rsid w:val="00C621B1"/>
    <w:rsid w:val="00C6263A"/>
    <w:rsid w:val="00C629C1"/>
    <w:rsid w:val="00C62AD8"/>
    <w:rsid w:val="00C62F7A"/>
    <w:rsid w:val="00C6344B"/>
    <w:rsid w:val="00C6394F"/>
    <w:rsid w:val="00C63A26"/>
    <w:rsid w:val="00C63B9C"/>
    <w:rsid w:val="00C63D99"/>
    <w:rsid w:val="00C64219"/>
    <w:rsid w:val="00C64C19"/>
    <w:rsid w:val="00C6518A"/>
    <w:rsid w:val="00C655B2"/>
    <w:rsid w:val="00C6563D"/>
    <w:rsid w:val="00C656EA"/>
    <w:rsid w:val="00C6573C"/>
    <w:rsid w:val="00C65CB6"/>
    <w:rsid w:val="00C65FAD"/>
    <w:rsid w:val="00C66029"/>
    <w:rsid w:val="00C666E6"/>
    <w:rsid w:val="00C6682F"/>
    <w:rsid w:val="00C66BDA"/>
    <w:rsid w:val="00C6762C"/>
    <w:rsid w:val="00C677C8"/>
    <w:rsid w:val="00C67BF4"/>
    <w:rsid w:val="00C70385"/>
    <w:rsid w:val="00C7038C"/>
    <w:rsid w:val="00C709D4"/>
    <w:rsid w:val="00C70E31"/>
    <w:rsid w:val="00C70EA8"/>
    <w:rsid w:val="00C70FEC"/>
    <w:rsid w:val="00C71639"/>
    <w:rsid w:val="00C71818"/>
    <w:rsid w:val="00C718EE"/>
    <w:rsid w:val="00C71FAC"/>
    <w:rsid w:val="00C7275E"/>
    <w:rsid w:val="00C7288F"/>
    <w:rsid w:val="00C729D1"/>
    <w:rsid w:val="00C72E5C"/>
    <w:rsid w:val="00C731AF"/>
    <w:rsid w:val="00C73B39"/>
    <w:rsid w:val="00C743AC"/>
    <w:rsid w:val="00C74C5D"/>
    <w:rsid w:val="00C74FF4"/>
    <w:rsid w:val="00C7516D"/>
    <w:rsid w:val="00C7525B"/>
    <w:rsid w:val="00C75625"/>
    <w:rsid w:val="00C75685"/>
    <w:rsid w:val="00C75740"/>
    <w:rsid w:val="00C76192"/>
    <w:rsid w:val="00C76609"/>
    <w:rsid w:val="00C76B47"/>
    <w:rsid w:val="00C76E4F"/>
    <w:rsid w:val="00C77221"/>
    <w:rsid w:val="00C7728D"/>
    <w:rsid w:val="00C77928"/>
    <w:rsid w:val="00C77977"/>
    <w:rsid w:val="00C8048E"/>
    <w:rsid w:val="00C805EB"/>
    <w:rsid w:val="00C80B58"/>
    <w:rsid w:val="00C80CCF"/>
    <w:rsid w:val="00C80D04"/>
    <w:rsid w:val="00C8107D"/>
    <w:rsid w:val="00C81146"/>
    <w:rsid w:val="00C82320"/>
    <w:rsid w:val="00C829D0"/>
    <w:rsid w:val="00C82B4C"/>
    <w:rsid w:val="00C83562"/>
    <w:rsid w:val="00C83A51"/>
    <w:rsid w:val="00C83FF5"/>
    <w:rsid w:val="00C84A61"/>
    <w:rsid w:val="00C84CB1"/>
    <w:rsid w:val="00C850A5"/>
    <w:rsid w:val="00C85333"/>
    <w:rsid w:val="00C8535C"/>
    <w:rsid w:val="00C853C6"/>
    <w:rsid w:val="00C853CD"/>
    <w:rsid w:val="00C8567A"/>
    <w:rsid w:val="00C85860"/>
    <w:rsid w:val="00C85ED3"/>
    <w:rsid w:val="00C8633F"/>
    <w:rsid w:val="00C863C4"/>
    <w:rsid w:val="00C86563"/>
    <w:rsid w:val="00C865E3"/>
    <w:rsid w:val="00C86A54"/>
    <w:rsid w:val="00C86F4E"/>
    <w:rsid w:val="00C902E0"/>
    <w:rsid w:val="00C90845"/>
    <w:rsid w:val="00C90C04"/>
    <w:rsid w:val="00C90DAB"/>
    <w:rsid w:val="00C9169C"/>
    <w:rsid w:val="00C91AC4"/>
    <w:rsid w:val="00C91CA5"/>
    <w:rsid w:val="00C920EA"/>
    <w:rsid w:val="00C927D2"/>
    <w:rsid w:val="00C92FEB"/>
    <w:rsid w:val="00C93147"/>
    <w:rsid w:val="00C932A2"/>
    <w:rsid w:val="00C93602"/>
    <w:rsid w:val="00C93615"/>
    <w:rsid w:val="00C93C3E"/>
    <w:rsid w:val="00C95118"/>
    <w:rsid w:val="00C951BD"/>
    <w:rsid w:val="00C95326"/>
    <w:rsid w:val="00C95AF8"/>
    <w:rsid w:val="00C95C5C"/>
    <w:rsid w:val="00C95D2C"/>
    <w:rsid w:val="00C9632E"/>
    <w:rsid w:val="00C9632F"/>
    <w:rsid w:val="00C96772"/>
    <w:rsid w:val="00C96B30"/>
    <w:rsid w:val="00C96C43"/>
    <w:rsid w:val="00C96DAF"/>
    <w:rsid w:val="00C96EF6"/>
    <w:rsid w:val="00C97072"/>
    <w:rsid w:val="00CA0349"/>
    <w:rsid w:val="00CA044C"/>
    <w:rsid w:val="00CA05A8"/>
    <w:rsid w:val="00CA0DEC"/>
    <w:rsid w:val="00CA0F67"/>
    <w:rsid w:val="00CA12E3"/>
    <w:rsid w:val="00CA1476"/>
    <w:rsid w:val="00CA1827"/>
    <w:rsid w:val="00CA1BC4"/>
    <w:rsid w:val="00CA1E19"/>
    <w:rsid w:val="00CA21A4"/>
    <w:rsid w:val="00CA2638"/>
    <w:rsid w:val="00CA2B8F"/>
    <w:rsid w:val="00CA2E3C"/>
    <w:rsid w:val="00CA3145"/>
    <w:rsid w:val="00CA36F8"/>
    <w:rsid w:val="00CA4799"/>
    <w:rsid w:val="00CA4BBC"/>
    <w:rsid w:val="00CA4C4D"/>
    <w:rsid w:val="00CA50D3"/>
    <w:rsid w:val="00CA5181"/>
    <w:rsid w:val="00CA5C07"/>
    <w:rsid w:val="00CA636A"/>
    <w:rsid w:val="00CA6611"/>
    <w:rsid w:val="00CA6AE6"/>
    <w:rsid w:val="00CA6E7B"/>
    <w:rsid w:val="00CA7720"/>
    <w:rsid w:val="00CA7795"/>
    <w:rsid w:val="00CA77D0"/>
    <w:rsid w:val="00CA782F"/>
    <w:rsid w:val="00CA7EBB"/>
    <w:rsid w:val="00CB0068"/>
    <w:rsid w:val="00CB0124"/>
    <w:rsid w:val="00CB01A5"/>
    <w:rsid w:val="00CB0347"/>
    <w:rsid w:val="00CB0C92"/>
    <w:rsid w:val="00CB0E57"/>
    <w:rsid w:val="00CB1137"/>
    <w:rsid w:val="00CB159D"/>
    <w:rsid w:val="00CB181E"/>
    <w:rsid w:val="00CB187B"/>
    <w:rsid w:val="00CB21FD"/>
    <w:rsid w:val="00CB269F"/>
    <w:rsid w:val="00CB2835"/>
    <w:rsid w:val="00CB2B14"/>
    <w:rsid w:val="00CB3285"/>
    <w:rsid w:val="00CB334B"/>
    <w:rsid w:val="00CB34AA"/>
    <w:rsid w:val="00CB34C5"/>
    <w:rsid w:val="00CB355E"/>
    <w:rsid w:val="00CB4500"/>
    <w:rsid w:val="00CB463F"/>
    <w:rsid w:val="00CB4E23"/>
    <w:rsid w:val="00CB4F05"/>
    <w:rsid w:val="00CB5861"/>
    <w:rsid w:val="00CB5C15"/>
    <w:rsid w:val="00CB5C53"/>
    <w:rsid w:val="00CB646F"/>
    <w:rsid w:val="00CB67EA"/>
    <w:rsid w:val="00CB7DE8"/>
    <w:rsid w:val="00CB7F34"/>
    <w:rsid w:val="00CC0061"/>
    <w:rsid w:val="00CC054D"/>
    <w:rsid w:val="00CC06C9"/>
    <w:rsid w:val="00CC0A84"/>
    <w:rsid w:val="00CC0C72"/>
    <w:rsid w:val="00CC0F0D"/>
    <w:rsid w:val="00CC10EC"/>
    <w:rsid w:val="00CC1B21"/>
    <w:rsid w:val="00CC2BFD"/>
    <w:rsid w:val="00CC324E"/>
    <w:rsid w:val="00CC330A"/>
    <w:rsid w:val="00CC3473"/>
    <w:rsid w:val="00CC3760"/>
    <w:rsid w:val="00CC3C73"/>
    <w:rsid w:val="00CC3CC4"/>
    <w:rsid w:val="00CC460A"/>
    <w:rsid w:val="00CC52EF"/>
    <w:rsid w:val="00CC6155"/>
    <w:rsid w:val="00CC64C6"/>
    <w:rsid w:val="00CC6613"/>
    <w:rsid w:val="00CC6AF3"/>
    <w:rsid w:val="00CC6B8F"/>
    <w:rsid w:val="00CC6E8D"/>
    <w:rsid w:val="00CC6F40"/>
    <w:rsid w:val="00CC6F99"/>
    <w:rsid w:val="00CC7273"/>
    <w:rsid w:val="00CD038E"/>
    <w:rsid w:val="00CD06BA"/>
    <w:rsid w:val="00CD086E"/>
    <w:rsid w:val="00CD0DD2"/>
    <w:rsid w:val="00CD0DDC"/>
    <w:rsid w:val="00CD0F1D"/>
    <w:rsid w:val="00CD1DD7"/>
    <w:rsid w:val="00CD210B"/>
    <w:rsid w:val="00CD2283"/>
    <w:rsid w:val="00CD23B3"/>
    <w:rsid w:val="00CD2497"/>
    <w:rsid w:val="00CD2504"/>
    <w:rsid w:val="00CD25C8"/>
    <w:rsid w:val="00CD2645"/>
    <w:rsid w:val="00CD29F7"/>
    <w:rsid w:val="00CD2C3D"/>
    <w:rsid w:val="00CD2C5D"/>
    <w:rsid w:val="00CD2C5E"/>
    <w:rsid w:val="00CD3476"/>
    <w:rsid w:val="00CD3C07"/>
    <w:rsid w:val="00CD3DCA"/>
    <w:rsid w:val="00CD4B47"/>
    <w:rsid w:val="00CD4E98"/>
    <w:rsid w:val="00CD5CC9"/>
    <w:rsid w:val="00CD5D1A"/>
    <w:rsid w:val="00CD60D5"/>
    <w:rsid w:val="00CD64DF"/>
    <w:rsid w:val="00CD6504"/>
    <w:rsid w:val="00CD6C52"/>
    <w:rsid w:val="00CD6E0D"/>
    <w:rsid w:val="00CD6F74"/>
    <w:rsid w:val="00CD707A"/>
    <w:rsid w:val="00CD73EF"/>
    <w:rsid w:val="00CD7E85"/>
    <w:rsid w:val="00CE048F"/>
    <w:rsid w:val="00CE0707"/>
    <w:rsid w:val="00CE0854"/>
    <w:rsid w:val="00CE0969"/>
    <w:rsid w:val="00CE0B01"/>
    <w:rsid w:val="00CE0D08"/>
    <w:rsid w:val="00CE1833"/>
    <w:rsid w:val="00CE1A7C"/>
    <w:rsid w:val="00CE1C16"/>
    <w:rsid w:val="00CE20C9"/>
    <w:rsid w:val="00CE225F"/>
    <w:rsid w:val="00CE256A"/>
    <w:rsid w:val="00CE2637"/>
    <w:rsid w:val="00CE2D2E"/>
    <w:rsid w:val="00CE3254"/>
    <w:rsid w:val="00CE341F"/>
    <w:rsid w:val="00CE34D2"/>
    <w:rsid w:val="00CE4CB5"/>
    <w:rsid w:val="00CE5085"/>
    <w:rsid w:val="00CE5103"/>
    <w:rsid w:val="00CE5230"/>
    <w:rsid w:val="00CE5A7A"/>
    <w:rsid w:val="00CE6189"/>
    <w:rsid w:val="00CE67F8"/>
    <w:rsid w:val="00CE71F0"/>
    <w:rsid w:val="00CE7527"/>
    <w:rsid w:val="00CE7742"/>
    <w:rsid w:val="00CE77D7"/>
    <w:rsid w:val="00CE7FE5"/>
    <w:rsid w:val="00CF04EA"/>
    <w:rsid w:val="00CF0C1F"/>
    <w:rsid w:val="00CF0E6F"/>
    <w:rsid w:val="00CF133D"/>
    <w:rsid w:val="00CF1E71"/>
    <w:rsid w:val="00CF269C"/>
    <w:rsid w:val="00CF2F50"/>
    <w:rsid w:val="00CF3DF1"/>
    <w:rsid w:val="00CF3EFB"/>
    <w:rsid w:val="00CF4132"/>
    <w:rsid w:val="00CF4631"/>
    <w:rsid w:val="00CF46F9"/>
    <w:rsid w:val="00CF547C"/>
    <w:rsid w:val="00CF56E8"/>
    <w:rsid w:val="00CF6198"/>
    <w:rsid w:val="00CF62B6"/>
    <w:rsid w:val="00CF64E6"/>
    <w:rsid w:val="00CF6A88"/>
    <w:rsid w:val="00CF6E5F"/>
    <w:rsid w:val="00CF7277"/>
    <w:rsid w:val="00CF78FE"/>
    <w:rsid w:val="00CF7CB5"/>
    <w:rsid w:val="00D000AC"/>
    <w:rsid w:val="00D0038F"/>
    <w:rsid w:val="00D006E7"/>
    <w:rsid w:val="00D00922"/>
    <w:rsid w:val="00D00DED"/>
    <w:rsid w:val="00D01AE4"/>
    <w:rsid w:val="00D0266C"/>
    <w:rsid w:val="00D02919"/>
    <w:rsid w:val="00D03181"/>
    <w:rsid w:val="00D03531"/>
    <w:rsid w:val="00D0380C"/>
    <w:rsid w:val="00D0386B"/>
    <w:rsid w:val="00D0386C"/>
    <w:rsid w:val="00D03BB9"/>
    <w:rsid w:val="00D03BF2"/>
    <w:rsid w:val="00D04C61"/>
    <w:rsid w:val="00D04F97"/>
    <w:rsid w:val="00D050DF"/>
    <w:rsid w:val="00D05442"/>
    <w:rsid w:val="00D056C4"/>
    <w:rsid w:val="00D0574F"/>
    <w:rsid w:val="00D05B8D"/>
    <w:rsid w:val="00D05B9B"/>
    <w:rsid w:val="00D05B9D"/>
    <w:rsid w:val="00D05E5A"/>
    <w:rsid w:val="00D05EE7"/>
    <w:rsid w:val="00D062ED"/>
    <w:rsid w:val="00D065A2"/>
    <w:rsid w:val="00D06728"/>
    <w:rsid w:val="00D06E00"/>
    <w:rsid w:val="00D06F14"/>
    <w:rsid w:val="00D06F22"/>
    <w:rsid w:val="00D0744B"/>
    <w:rsid w:val="00D078E7"/>
    <w:rsid w:val="00D07935"/>
    <w:rsid w:val="00D079AA"/>
    <w:rsid w:val="00D07C2D"/>
    <w:rsid w:val="00D07E44"/>
    <w:rsid w:val="00D07F00"/>
    <w:rsid w:val="00D1036F"/>
    <w:rsid w:val="00D109C8"/>
    <w:rsid w:val="00D10D47"/>
    <w:rsid w:val="00D10F7D"/>
    <w:rsid w:val="00D10FA0"/>
    <w:rsid w:val="00D11025"/>
    <w:rsid w:val="00D110C4"/>
    <w:rsid w:val="00D1130F"/>
    <w:rsid w:val="00D11A56"/>
    <w:rsid w:val="00D12932"/>
    <w:rsid w:val="00D1295F"/>
    <w:rsid w:val="00D12AA0"/>
    <w:rsid w:val="00D12E3E"/>
    <w:rsid w:val="00D13263"/>
    <w:rsid w:val="00D13F4F"/>
    <w:rsid w:val="00D142FA"/>
    <w:rsid w:val="00D146AC"/>
    <w:rsid w:val="00D14717"/>
    <w:rsid w:val="00D14CC2"/>
    <w:rsid w:val="00D151FE"/>
    <w:rsid w:val="00D15567"/>
    <w:rsid w:val="00D15A85"/>
    <w:rsid w:val="00D15B2F"/>
    <w:rsid w:val="00D15C17"/>
    <w:rsid w:val="00D15C40"/>
    <w:rsid w:val="00D15E33"/>
    <w:rsid w:val="00D160CA"/>
    <w:rsid w:val="00D16406"/>
    <w:rsid w:val="00D17071"/>
    <w:rsid w:val="00D17AE2"/>
    <w:rsid w:val="00D17B72"/>
    <w:rsid w:val="00D20230"/>
    <w:rsid w:val="00D2092A"/>
    <w:rsid w:val="00D2099C"/>
    <w:rsid w:val="00D21906"/>
    <w:rsid w:val="00D21D98"/>
    <w:rsid w:val="00D22A5E"/>
    <w:rsid w:val="00D2390B"/>
    <w:rsid w:val="00D23F8E"/>
    <w:rsid w:val="00D24328"/>
    <w:rsid w:val="00D24735"/>
    <w:rsid w:val="00D24BF6"/>
    <w:rsid w:val="00D24C73"/>
    <w:rsid w:val="00D25A69"/>
    <w:rsid w:val="00D25AA8"/>
    <w:rsid w:val="00D25BF1"/>
    <w:rsid w:val="00D26C73"/>
    <w:rsid w:val="00D26CB4"/>
    <w:rsid w:val="00D26F50"/>
    <w:rsid w:val="00D271A7"/>
    <w:rsid w:val="00D2748C"/>
    <w:rsid w:val="00D279CF"/>
    <w:rsid w:val="00D27B39"/>
    <w:rsid w:val="00D27D75"/>
    <w:rsid w:val="00D27ED2"/>
    <w:rsid w:val="00D27FC0"/>
    <w:rsid w:val="00D30581"/>
    <w:rsid w:val="00D3185C"/>
    <w:rsid w:val="00D3189E"/>
    <w:rsid w:val="00D31DF3"/>
    <w:rsid w:val="00D3205F"/>
    <w:rsid w:val="00D325E6"/>
    <w:rsid w:val="00D3268E"/>
    <w:rsid w:val="00D32A2B"/>
    <w:rsid w:val="00D3318E"/>
    <w:rsid w:val="00D33579"/>
    <w:rsid w:val="00D33912"/>
    <w:rsid w:val="00D33E72"/>
    <w:rsid w:val="00D33E9B"/>
    <w:rsid w:val="00D34738"/>
    <w:rsid w:val="00D3583A"/>
    <w:rsid w:val="00D3586C"/>
    <w:rsid w:val="00D35BD6"/>
    <w:rsid w:val="00D35D7D"/>
    <w:rsid w:val="00D361B5"/>
    <w:rsid w:val="00D36D6E"/>
    <w:rsid w:val="00D36D7C"/>
    <w:rsid w:val="00D36E5F"/>
    <w:rsid w:val="00D370A6"/>
    <w:rsid w:val="00D37896"/>
    <w:rsid w:val="00D378DC"/>
    <w:rsid w:val="00D37AA8"/>
    <w:rsid w:val="00D37B08"/>
    <w:rsid w:val="00D37C9A"/>
    <w:rsid w:val="00D37D0D"/>
    <w:rsid w:val="00D40154"/>
    <w:rsid w:val="00D40A51"/>
    <w:rsid w:val="00D40A8B"/>
    <w:rsid w:val="00D411A2"/>
    <w:rsid w:val="00D414FC"/>
    <w:rsid w:val="00D41917"/>
    <w:rsid w:val="00D41E96"/>
    <w:rsid w:val="00D420A0"/>
    <w:rsid w:val="00D42708"/>
    <w:rsid w:val="00D429E8"/>
    <w:rsid w:val="00D42B2C"/>
    <w:rsid w:val="00D42F3D"/>
    <w:rsid w:val="00D42F82"/>
    <w:rsid w:val="00D435FB"/>
    <w:rsid w:val="00D4382C"/>
    <w:rsid w:val="00D43CA2"/>
    <w:rsid w:val="00D44176"/>
    <w:rsid w:val="00D44912"/>
    <w:rsid w:val="00D44C50"/>
    <w:rsid w:val="00D4591D"/>
    <w:rsid w:val="00D45934"/>
    <w:rsid w:val="00D45BDF"/>
    <w:rsid w:val="00D4606D"/>
    <w:rsid w:val="00D462E9"/>
    <w:rsid w:val="00D46309"/>
    <w:rsid w:val="00D46FD2"/>
    <w:rsid w:val="00D47018"/>
    <w:rsid w:val="00D47757"/>
    <w:rsid w:val="00D50B9C"/>
    <w:rsid w:val="00D50C85"/>
    <w:rsid w:val="00D513AF"/>
    <w:rsid w:val="00D516E1"/>
    <w:rsid w:val="00D52240"/>
    <w:rsid w:val="00D523BA"/>
    <w:rsid w:val="00D52679"/>
    <w:rsid w:val="00D52B20"/>
    <w:rsid w:val="00D52BF2"/>
    <w:rsid w:val="00D52BFB"/>
    <w:rsid w:val="00D52D32"/>
    <w:rsid w:val="00D52D73"/>
    <w:rsid w:val="00D52E58"/>
    <w:rsid w:val="00D5334E"/>
    <w:rsid w:val="00D53E93"/>
    <w:rsid w:val="00D54065"/>
    <w:rsid w:val="00D54133"/>
    <w:rsid w:val="00D54A43"/>
    <w:rsid w:val="00D54AC7"/>
    <w:rsid w:val="00D54EE0"/>
    <w:rsid w:val="00D5523A"/>
    <w:rsid w:val="00D56B20"/>
    <w:rsid w:val="00D578B3"/>
    <w:rsid w:val="00D57B97"/>
    <w:rsid w:val="00D57C99"/>
    <w:rsid w:val="00D57F9A"/>
    <w:rsid w:val="00D6021A"/>
    <w:rsid w:val="00D60795"/>
    <w:rsid w:val="00D607F8"/>
    <w:rsid w:val="00D608E0"/>
    <w:rsid w:val="00D60D24"/>
    <w:rsid w:val="00D60DC0"/>
    <w:rsid w:val="00D60E22"/>
    <w:rsid w:val="00D618F4"/>
    <w:rsid w:val="00D61AB8"/>
    <w:rsid w:val="00D61F76"/>
    <w:rsid w:val="00D625CF"/>
    <w:rsid w:val="00D62906"/>
    <w:rsid w:val="00D62A99"/>
    <w:rsid w:val="00D62C82"/>
    <w:rsid w:val="00D62CE4"/>
    <w:rsid w:val="00D62CE5"/>
    <w:rsid w:val="00D63052"/>
    <w:rsid w:val="00D630A1"/>
    <w:rsid w:val="00D6347E"/>
    <w:rsid w:val="00D63636"/>
    <w:rsid w:val="00D63A2B"/>
    <w:rsid w:val="00D63E8A"/>
    <w:rsid w:val="00D6403D"/>
    <w:rsid w:val="00D6413F"/>
    <w:rsid w:val="00D644C8"/>
    <w:rsid w:val="00D6484F"/>
    <w:rsid w:val="00D64B2E"/>
    <w:rsid w:val="00D64E40"/>
    <w:rsid w:val="00D65018"/>
    <w:rsid w:val="00D650AA"/>
    <w:rsid w:val="00D652C4"/>
    <w:rsid w:val="00D656B2"/>
    <w:rsid w:val="00D657D3"/>
    <w:rsid w:val="00D65A7D"/>
    <w:rsid w:val="00D669FE"/>
    <w:rsid w:val="00D66FA8"/>
    <w:rsid w:val="00D704DD"/>
    <w:rsid w:val="00D709DC"/>
    <w:rsid w:val="00D714CC"/>
    <w:rsid w:val="00D71667"/>
    <w:rsid w:val="00D71EF0"/>
    <w:rsid w:val="00D72ECD"/>
    <w:rsid w:val="00D73F2C"/>
    <w:rsid w:val="00D747CE"/>
    <w:rsid w:val="00D74C5C"/>
    <w:rsid w:val="00D753E2"/>
    <w:rsid w:val="00D755CB"/>
    <w:rsid w:val="00D75CF0"/>
    <w:rsid w:val="00D75E91"/>
    <w:rsid w:val="00D75EA7"/>
    <w:rsid w:val="00D76127"/>
    <w:rsid w:val="00D76287"/>
    <w:rsid w:val="00D762E1"/>
    <w:rsid w:val="00D76373"/>
    <w:rsid w:val="00D769B1"/>
    <w:rsid w:val="00D76B35"/>
    <w:rsid w:val="00D76BB6"/>
    <w:rsid w:val="00D76C72"/>
    <w:rsid w:val="00D76D7A"/>
    <w:rsid w:val="00D76ECC"/>
    <w:rsid w:val="00D772C6"/>
    <w:rsid w:val="00D77A69"/>
    <w:rsid w:val="00D81324"/>
    <w:rsid w:val="00D819C6"/>
    <w:rsid w:val="00D81ADF"/>
    <w:rsid w:val="00D81B95"/>
    <w:rsid w:val="00D81F21"/>
    <w:rsid w:val="00D820A9"/>
    <w:rsid w:val="00D8259B"/>
    <w:rsid w:val="00D8267F"/>
    <w:rsid w:val="00D82B6D"/>
    <w:rsid w:val="00D82CEE"/>
    <w:rsid w:val="00D82E2D"/>
    <w:rsid w:val="00D834E8"/>
    <w:rsid w:val="00D83A9F"/>
    <w:rsid w:val="00D83CC5"/>
    <w:rsid w:val="00D83F32"/>
    <w:rsid w:val="00D84526"/>
    <w:rsid w:val="00D84752"/>
    <w:rsid w:val="00D84A9F"/>
    <w:rsid w:val="00D84D07"/>
    <w:rsid w:val="00D84DA1"/>
    <w:rsid w:val="00D851D1"/>
    <w:rsid w:val="00D864F2"/>
    <w:rsid w:val="00D86C20"/>
    <w:rsid w:val="00D86C4B"/>
    <w:rsid w:val="00D86CEF"/>
    <w:rsid w:val="00D870B8"/>
    <w:rsid w:val="00D870F3"/>
    <w:rsid w:val="00D87482"/>
    <w:rsid w:val="00D8787D"/>
    <w:rsid w:val="00D900C5"/>
    <w:rsid w:val="00D901FB"/>
    <w:rsid w:val="00D905C5"/>
    <w:rsid w:val="00D908BC"/>
    <w:rsid w:val="00D90B14"/>
    <w:rsid w:val="00D9115A"/>
    <w:rsid w:val="00D915A1"/>
    <w:rsid w:val="00D922F6"/>
    <w:rsid w:val="00D92426"/>
    <w:rsid w:val="00D92893"/>
    <w:rsid w:val="00D92A61"/>
    <w:rsid w:val="00D92C91"/>
    <w:rsid w:val="00D92DA5"/>
    <w:rsid w:val="00D92E6C"/>
    <w:rsid w:val="00D92EA0"/>
    <w:rsid w:val="00D92FBD"/>
    <w:rsid w:val="00D93179"/>
    <w:rsid w:val="00D9355D"/>
    <w:rsid w:val="00D93696"/>
    <w:rsid w:val="00D9389F"/>
    <w:rsid w:val="00D93A69"/>
    <w:rsid w:val="00D93B28"/>
    <w:rsid w:val="00D94016"/>
    <w:rsid w:val="00D943F8"/>
    <w:rsid w:val="00D94A3C"/>
    <w:rsid w:val="00D94D14"/>
    <w:rsid w:val="00D94DB8"/>
    <w:rsid w:val="00D94E0C"/>
    <w:rsid w:val="00D94E3C"/>
    <w:rsid w:val="00D94FDD"/>
    <w:rsid w:val="00D95470"/>
    <w:rsid w:val="00D95513"/>
    <w:rsid w:val="00D959FC"/>
    <w:rsid w:val="00D95BA2"/>
    <w:rsid w:val="00D9659E"/>
    <w:rsid w:val="00D96B55"/>
    <w:rsid w:val="00D96E84"/>
    <w:rsid w:val="00D96EB9"/>
    <w:rsid w:val="00D97083"/>
    <w:rsid w:val="00D9714C"/>
    <w:rsid w:val="00D9723F"/>
    <w:rsid w:val="00D975BC"/>
    <w:rsid w:val="00D97C43"/>
    <w:rsid w:val="00D97C4D"/>
    <w:rsid w:val="00DA04EA"/>
    <w:rsid w:val="00DA0583"/>
    <w:rsid w:val="00DA083F"/>
    <w:rsid w:val="00DA141B"/>
    <w:rsid w:val="00DA165C"/>
    <w:rsid w:val="00DA1A75"/>
    <w:rsid w:val="00DA2442"/>
    <w:rsid w:val="00DA245F"/>
    <w:rsid w:val="00DA24B0"/>
    <w:rsid w:val="00DA2619"/>
    <w:rsid w:val="00DA272A"/>
    <w:rsid w:val="00DA283D"/>
    <w:rsid w:val="00DA36B9"/>
    <w:rsid w:val="00DA3C73"/>
    <w:rsid w:val="00DA4239"/>
    <w:rsid w:val="00DA4567"/>
    <w:rsid w:val="00DA4C32"/>
    <w:rsid w:val="00DA536A"/>
    <w:rsid w:val="00DA54B6"/>
    <w:rsid w:val="00DA56AD"/>
    <w:rsid w:val="00DA588C"/>
    <w:rsid w:val="00DA59C9"/>
    <w:rsid w:val="00DA5DC2"/>
    <w:rsid w:val="00DA5E7E"/>
    <w:rsid w:val="00DA65DE"/>
    <w:rsid w:val="00DA66F1"/>
    <w:rsid w:val="00DA681A"/>
    <w:rsid w:val="00DA6AA0"/>
    <w:rsid w:val="00DA6FA1"/>
    <w:rsid w:val="00DA74D8"/>
    <w:rsid w:val="00DB01E8"/>
    <w:rsid w:val="00DB04C3"/>
    <w:rsid w:val="00DB0B61"/>
    <w:rsid w:val="00DB0DE6"/>
    <w:rsid w:val="00DB0E5A"/>
    <w:rsid w:val="00DB0FAA"/>
    <w:rsid w:val="00DB11C4"/>
    <w:rsid w:val="00DB1474"/>
    <w:rsid w:val="00DB1829"/>
    <w:rsid w:val="00DB2962"/>
    <w:rsid w:val="00DB2EAF"/>
    <w:rsid w:val="00DB3734"/>
    <w:rsid w:val="00DB386C"/>
    <w:rsid w:val="00DB4395"/>
    <w:rsid w:val="00DB445E"/>
    <w:rsid w:val="00DB46E2"/>
    <w:rsid w:val="00DB47A0"/>
    <w:rsid w:val="00DB4830"/>
    <w:rsid w:val="00DB485D"/>
    <w:rsid w:val="00DB488C"/>
    <w:rsid w:val="00DB4901"/>
    <w:rsid w:val="00DB52FB"/>
    <w:rsid w:val="00DB53A3"/>
    <w:rsid w:val="00DB5716"/>
    <w:rsid w:val="00DB5D02"/>
    <w:rsid w:val="00DB5DF2"/>
    <w:rsid w:val="00DB5F7E"/>
    <w:rsid w:val="00DB6618"/>
    <w:rsid w:val="00DB665B"/>
    <w:rsid w:val="00DB68CC"/>
    <w:rsid w:val="00DB6D00"/>
    <w:rsid w:val="00DB6E4F"/>
    <w:rsid w:val="00DB7153"/>
    <w:rsid w:val="00DB7523"/>
    <w:rsid w:val="00DB7A57"/>
    <w:rsid w:val="00DC00E1"/>
    <w:rsid w:val="00DC013B"/>
    <w:rsid w:val="00DC0651"/>
    <w:rsid w:val="00DC090B"/>
    <w:rsid w:val="00DC0A6A"/>
    <w:rsid w:val="00DC0E56"/>
    <w:rsid w:val="00DC1679"/>
    <w:rsid w:val="00DC1DF8"/>
    <w:rsid w:val="00DC219B"/>
    <w:rsid w:val="00DC22B9"/>
    <w:rsid w:val="00DC2A60"/>
    <w:rsid w:val="00DC2CF1"/>
    <w:rsid w:val="00DC2DC7"/>
    <w:rsid w:val="00DC2E7B"/>
    <w:rsid w:val="00DC2EA0"/>
    <w:rsid w:val="00DC38DC"/>
    <w:rsid w:val="00DC3A7C"/>
    <w:rsid w:val="00DC3A95"/>
    <w:rsid w:val="00DC3D33"/>
    <w:rsid w:val="00DC4600"/>
    <w:rsid w:val="00DC4DDF"/>
    <w:rsid w:val="00DC4FCF"/>
    <w:rsid w:val="00DC4FF7"/>
    <w:rsid w:val="00DC50E0"/>
    <w:rsid w:val="00DC5C22"/>
    <w:rsid w:val="00DC5F30"/>
    <w:rsid w:val="00DC5FD7"/>
    <w:rsid w:val="00DC630F"/>
    <w:rsid w:val="00DC6386"/>
    <w:rsid w:val="00DC6402"/>
    <w:rsid w:val="00DC6683"/>
    <w:rsid w:val="00DC7934"/>
    <w:rsid w:val="00DC7ECB"/>
    <w:rsid w:val="00DC7F41"/>
    <w:rsid w:val="00DD0398"/>
    <w:rsid w:val="00DD0B92"/>
    <w:rsid w:val="00DD0CC5"/>
    <w:rsid w:val="00DD105D"/>
    <w:rsid w:val="00DD1130"/>
    <w:rsid w:val="00DD1951"/>
    <w:rsid w:val="00DD1B7C"/>
    <w:rsid w:val="00DD1E90"/>
    <w:rsid w:val="00DD2507"/>
    <w:rsid w:val="00DD2521"/>
    <w:rsid w:val="00DD26FE"/>
    <w:rsid w:val="00DD28B3"/>
    <w:rsid w:val="00DD3161"/>
    <w:rsid w:val="00DD352D"/>
    <w:rsid w:val="00DD392E"/>
    <w:rsid w:val="00DD3A97"/>
    <w:rsid w:val="00DD3BF1"/>
    <w:rsid w:val="00DD4289"/>
    <w:rsid w:val="00DD4384"/>
    <w:rsid w:val="00DD487D"/>
    <w:rsid w:val="00DD4906"/>
    <w:rsid w:val="00DD4AC6"/>
    <w:rsid w:val="00DD4AFE"/>
    <w:rsid w:val="00DD4C9F"/>
    <w:rsid w:val="00DD4D7C"/>
    <w:rsid w:val="00DD4E83"/>
    <w:rsid w:val="00DD4FE1"/>
    <w:rsid w:val="00DD5179"/>
    <w:rsid w:val="00DD51B0"/>
    <w:rsid w:val="00DD52A0"/>
    <w:rsid w:val="00DD5542"/>
    <w:rsid w:val="00DD5815"/>
    <w:rsid w:val="00DD5C0E"/>
    <w:rsid w:val="00DD5CB0"/>
    <w:rsid w:val="00DD65EF"/>
    <w:rsid w:val="00DD6628"/>
    <w:rsid w:val="00DD6656"/>
    <w:rsid w:val="00DD679E"/>
    <w:rsid w:val="00DD6945"/>
    <w:rsid w:val="00DD6CA8"/>
    <w:rsid w:val="00DD6ED5"/>
    <w:rsid w:val="00DD6EF6"/>
    <w:rsid w:val="00DD7735"/>
    <w:rsid w:val="00DD77CD"/>
    <w:rsid w:val="00DD785B"/>
    <w:rsid w:val="00DD7BB8"/>
    <w:rsid w:val="00DD7CAF"/>
    <w:rsid w:val="00DE0886"/>
    <w:rsid w:val="00DE1265"/>
    <w:rsid w:val="00DE14FB"/>
    <w:rsid w:val="00DE1FA7"/>
    <w:rsid w:val="00DE208E"/>
    <w:rsid w:val="00DE22C7"/>
    <w:rsid w:val="00DE22C8"/>
    <w:rsid w:val="00DE26B8"/>
    <w:rsid w:val="00DE2D04"/>
    <w:rsid w:val="00DE306C"/>
    <w:rsid w:val="00DE3250"/>
    <w:rsid w:val="00DE366F"/>
    <w:rsid w:val="00DE381E"/>
    <w:rsid w:val="00DE3C52"/>
    <w:rsid w:val="00DE3D52"/>
    <w:rsid w:val="00DE4100"/>
    <w:rsid w:val="00DE4695"/>
    <w:rsid w:val="00DE4A7F"/>
    <w:rsid w:val="00DE4F60"/>
    <w:rsid w:val="00DE543C"/>
    <w:rsid w:val="00DE587C"/>
    <w:rsid w:val="00DE5AB6"/>
    <w:rsid w:val="00DE5CA1"/>
    <w:rsid w:val="00DE6028"/>
    <w:rsid w:val="00DE605F"/>
    <w:rsid w:val="00DE619F"/>
    <w:rsid w:val="00DE6C85"/>
    <w:rsid w:val="00DE6DB9"/>
    <w:rsid w:val="00DE7084"/>
    <w:rsid w:val="00DE72CE"/>
    <w:rsid w:val="00DE7710"/>
    <w:rsid w:val="00DE78A3"/>
    <w:rsid w:val="00DF0471"/>
    <w:rsid w:val="00DF0674"/>
    <w:rsid w:val="00DF0A6E"/>
    <w:rsid w:val="00DF0B46"/>
    <w:rsid w:val="00DF0BDD"/>
    <w:rsid w:val="00DF0F59"/>
    <w:rsid w:val="00DF110D"/>
    <w:rsid w:val="00DF1390"/>
    <w:rsid w:val="00DF1414"/>
    <w:rsid w:val="00DF1A06"/>
    <w:rsid w:val="00DF1A71"/>
    <w:rsid w:val="00DF1C3E"/>
    <w:rsid w:val="00DF1E41"/>
    <w:rsid w:val="00DF2346"/>
    <w:rsid w:val="00DF249D"/>
    <w:rsid w:val="00DF2504"/>
    <w:rsid w:val="00DF2511"/>
    <w:rsid w:val="00DF2ED0"/>
    <w:rsid w:val="00DF3178"/>
    <w:rsid w:val="00DF341A"/>
    <w:rsid w:val="00DF387D"/>
    <w:rsid w:val="00DF3CA2"/>
    <w:rsid w:val="00DF41ED"/>
    <w:rsid w:val="00DF4B7D"/>
    <w:rsid w:val="00DF4BA6"/>
    <w:rsid w:val="00DF50FC"/>
    <w:rsid w:val="00DF5110"/>
    <w:rsid w:val="00DF53AC"/>
    <w:rsid w:val="00DF5586"/>
    <w:rsid w:val="00DF5628"/>
    <w:rsid w:val="00DF5815"/>
    <w:rsid w:val="00DF5856"/>
    <w:rsid w:val="00DF6147"/>
    <w:rsid w:val="00DF6639"/>
    <w:rsid w:val="00DF672E"/>
    <w:rsid w:val="00DF67D3"/>
    <w:rsid w:val="00DF68C7"/>
    <w:rsid w:val="00DF6B6F"/>
    <w:rsid w:val="00DF6BBA"/>
    <w:rsid w:val="00DF6C7A"/>
    <w:rsid w:val="00DF702E"/>
    <w:rsid w:val="00DF7256"/>
    <w:rsid w:val="00DF731A"/>
    <w:rsid w:val="00DF76A7"/>
    <w:rsid w:val="00DF7ACD"/>
    <w:rsid w:val="00E00A60"/>
    <w:rsid w:val="00E00B3C"/>
    <w:rsid w:val="00E00CAB"/>
    <w:rsid w:val="00E015D3"/>
    <w:rsid w:val="00E027D5"/>
    <w:rsid w:val="00E02CFC"/>
    <w:rsid w:val="00E030EC"/>
    <w:rsid w:val="00E0320A"/>
    <w:rsid w:val="00E037FD"/>
    <w:rsid w:val="00E03D23"/>
    <w:rsid w:val="00E03D65"/>
    <w:rsid w:val="00E04301"/>
    <w:rsid w:val="00E05310"/>
    <w:rsid w:val="00E053AB"/>
    <w:rsid w:val="00E0566F"/>
    <w:rsid w:val="00E057D2"/>
    <w:rsid w:val="00E05A39"/>
    <w:rsid w:val="00E05A90"/>
    <w:rsid w:val="00E05EC3"/>
    <w:rsid w:val="00E06659"/>
    <w:rsid w:val="00E066B1"/>
    <w:rsid w:val="00E067E8"/>
    <w:rsid w:val="00E06AF9"/>
    <w:rsid w:val="00E06B75"/>
    <w:rsid w:val="00E103A4"/>
    <w:rsid w:val="00E1079A"/>
    <w:rsid w:val="00E11332"/>
    <w:rsid w:val="00E11352"/>
    <w:rsid w:val="00E11434"/>
    <w:rsid w:val="00E114ED"/>
    <w:rsid w:val="00E11ACD"/>
    <w:rsid w:val="00E11AD6"/>
    <w:rsid w:val="00E12DAA"/>
    <w:rsid w:val="00E12EF7"/>
    <w:rsid w:val="00E13811"/>
    <w:rsid w:val="00E141D8"/>
    <w:rsid w:val="00E1476C"/>
    <w:rsid w:val="00E148BC"/>
    <w:rsid w:val="00E151B7"/>
    <w:rsid w:val="00E15539"/>
    <w:rsid w:val="00E15932"/>
    <w:rsid w:val="00E15A5E"/>
    <w:rsid w:val="00E15D29"/>
    <w:rsid w:val="00E170DC"/>
    <w:rsid w:val="00E171AB"/>
    <w:rsid w:val="00E1742A"/>
    <w:rsid w:val="00E17500"/>
    <w:rsid w:val="00E17546"/>
    <w:rsid w:val="00E179CD"/>
    <w:rsid w:val="00E17D3F"/>
    <w:rsid w:val="00E205A2"/>
    <w:rsid w:val="00E210B5"/>
    <w:rsid w:val="00E213E8"/>
    <w:rsid w:val="00E21C16"/>
    <w:rsid w:val="00E224F7"/>
    <w:rsid w:val="00E22727"/>
    <w:rsid w:val="00E22989"/>
    <w:rsid w:val="00E22A09"/>
    <w:rsid w:val="00E22C86"/>
    <w:rsid w:val="00E2398D"/>
    <w:rsid w:val="00E245DB"/>
    <w:rsid w:val="00E246D4"/>
    <w:rsid w:val="00E25486"/>
    <w:rsid w:val="00E2566E"/>
    <w:rsid w:val="00E25971"/>
    <w:rsid w:val="00E261B3"/>
    <w:rsid w:val="00E262AD"/>
    <w:rsid w:val="00E26407"/>
    <w:rsid w:val="00E26512"/>
    <w:rsid w:val="00E26681"/>
    <w:rsid w:val="00E26818"/>
    <w:rsid w:val="00E26D0E"/>
    <w:rsid w:val="00E272D9"/>
    <w:rsid w:val="00E2731F"/>
    <w:rsid w:val="00E2735E"/>
    <w:rsid w:val="00E27F94"/>
    <w:rsid w:val="00E27FFC"/>
    <w:rsid w:val="00E30489"/>
    <w:rsid w:val="00E3099E"/>
    <w:rsid w:val="00E30B15"/>
    <w:rsid w:val="00E30B60"/>
    <w:rsid w:val="00E30CD7"/>
    <w:rsid w:val="00E3106A"/>
    <w:rsid w:val="00E31C07"/>
    <w:rsid w:val="00E31E2F"/>
    <w:rsid w:val="00E32DC9"/>
    <w:rsid w:val="00E33237"/>
    <w:rsid w:val="00E332C4"/>
    <w:rsid w:val="00E3377B"/>
    <w:rsid w:val="00E33ED9"/>
    <w:rsid w:val="00E34041"/>
    <w:rsid w:val="00E3419A"/>
    <w:rsid w:val="00E34A66"/>
    <w:rsid w:val="00E34B64"/>
    <w:rsid w:val="00E34F11"/>
    <w:rsid w:val="00E350BA"/>
    <w:rsid w:val="00E350E1"/>
    <w:rsid w:val="00E35245"/>
    <w:rsid w:val="00E35261"/>
    <w:rsid w:val="00E35861"/>
    <w:rsid w:val="00E35BF1"/>
    <w:rsid w:val="00E36143"/>
    <w:rsid w:val="00E36492"/>
    <w:rsid w:val="00E36A3B"/>
    <w:rsid w:val="00E370A5"/>
    <w:rsid w:val="00E370FF"/>
    <w:rsid w:val="00E37FB3"/>
    <w:rsid w:val="00E40181"/>
    <w:rsid w:val="00E402C7"/>
    <w:rsid w:val="00E406E7"/>
    <w:rsid w:val="00E40766"/>
    <w:rsid w:val="00E40F17"/>
    <w:rsid w:val="00E4174F"/>
    <w:rsid w:val="00E4176E"/>
    <w:rsid w:val="00E41B21"/>
    <w:rsid w:val="00E41DAD"/>
    <w:rsid w:val="00E430F5"/>
    <w:rsid w:val="00E43429"/>
    <w:rsid w:val="00E43663"/>
    <w:rsid w:val="00E43ACA"/>
    <w:rsid w:val="00E44E46"/>
    <w:rsid w:val="00E460E2"/>
    <w:rsid w:val="00E463A4"/>
    <w:rsid w:val="00E463ED"/>
    <w:rsid w:val="00E465E7"/>
    <w:rsid w:val="00E47B98"/>
    <w:rsid w:val="00E47C8B"/>
    <w:rsid w:val="00E5000B"/>
    <w:rsid w:val="00E503F1"/>
    <w:rsid w:val="00E50F51"/>
    <w:rsid w:val="00E510D7"/>
    <w:rsid w:val="00E511BA"/>
    <w:rsid w:val="00E51236"/>
    <w:rsid w:val="00E51B4E"/>
    <w:rsid w:val="00E5225F"/>
    <w:rsid w:val="00E52619"/>
    <w:rsid w:val="00E5265B"/>
    <w:rsid w:val="00E52CE8"/>
    <w:rsid w:val="00E52FBC"/>
    <w:rsid w:val="00E53538"/>
    <w:rsid w:val="00E5419B"/>
    <w:rsid w:val="00E545DD"/>
    <w:rsid w:val="00E54950"/>
    <w:rsid w:val="00E54A0E"/>
    <w:rsid w:val="00E54B5A"/>
    <w:rsid w:val="00E54C0F"/>
    <w:rsid w:val="00E5503F"/>
    <w:rsid w:val="00E55105"/>
    <w:rsid w:val="00E556BD"/>
    <w:rsid w:val="00E55BD6"/>
    <w:rsid w:val="00E55E5E"/>
    <w:rsid w:val="00E55F9E"/>
    <w:rsid w:val="00E55FB3"/>
    <w:rsid w:val="00E56030"/>
    <w:rsid w:val="00E562B4"/>
    <w:rsid w:val="00E56487"/>
    <w:rsid w:val="00E564D7"/>
    <w:rsid w:val="00E56A01"/>
    <w:rsid w:val="00E57352"/>
    <w:rsid w:val="00E5788D"/>
    <w:rsid w:val="00E57B46"/>
    <w:rsid w:val="00E57C70"/>
    <w:rsid w:val="00E60466"/>
    <w:rsid w:val="00E60BA9"/>
    <w:rsid w:val="00E60EF3"/>
    <w:rsid w:val="00E60F31"/>
    <w:rsid w:val="00E610CF"/>
    <w:rsid w:val="00E61274"/>
    <w:rsid w:val="00E61657"/>
    <w:rsid w:val="00E61B54"/>
    <w:rsid w:val="00E61B96"/>
    <w:rsid w:val="00E629A1"/>
    <w:rsid w:val="00E62AE8"/>
    <w:rsid w:val="00E62C8A"/>
    <w:rsid w:val="00E62D1A"/>
    <w:rsid w:val="00E63905"/>
    <w:rsid w:val="00E63B65"/>
    <w:rsid w:val="00E63CCB"/>
    <w:rsid w:val="00E64DA6"/>
    <w:rsid w:val="00E65442"/>
    <w:rsid w:val="00E6652E"/>
    <w:rsid w:val="00E6658F"/>
    <w:rsid w:val="00E66CAE"/>
    <w:rsid w:val="00E66D1C"/>
    <w:rsid w:val="00E67924"/>
    <w:rsid w:val="00E6794C"/>
    <w:rsid w:val="00E67A33"/>
    <w:rsid w:val="00E7028A"/>
    <w:rsid w:val="00E7040D"/>
    <w:rsid w:val="00E707BE"/>
    <w:rsid w:val="00E709A2"/>
    <w:rsid w:val="00E71591"/>
    <w:rsid w:val="00E719E5"/>
    <w:rsid w:val="00E71CEB"/>
    <w:rsid w:val="00E72163"/>
    <w:rsid w:val="00E722AC"/>
    <w:rsid w:val="00E7234B"/>
    <w:rsid w:val="00E729AA"/>
    <w:rsid w:val="00E729F3"/>
    <w:rsid w:val="00E72C3C"/>
    <w:rsid w:val="00E72C88"/>
    <w:rsid w:val="00E72E86"/>
    <w:rsid w:val="00E73152"/>
    <w:rsid w:val="00E731AD"/>
    <w:rsid w:val="00E73406"/>
    <w:rsid w:val="00E73B36"/>
    <w:rsid w:val="00E73B7E"/>
    <w:rsid w:val="00E74050"/>
    <w:rsid w:val="00E74445"/>
    <w:rsid w:val="00E7474F"/>
    <w:rsid w:val="00E74892"/>
    <w:rsid w:val="00E7531C"/>
    <w:rsid w:val="00E7571C"/>
    <w:rsid w:val="00E7576C"/>
    <w:rsid w:val="00E75F45"/>
    <w:rsid w:val="00E76039"/>
    <w:rsid w:val="00E7614C"/>
    <w:rsid w:val="00E761FF"/>
    <w:rsid w:val="00E7646C"/>
    <w:rsid w:val="00E764F1"/>
    <w:rsid w:val="00E7652C"/>
    <w:rsid w:val="00E76CDB"/>
    <w:rsid w:val="00E77306"/>
    <w:rsid w:val="00E775B4"/>
    <w:rsid w:val="00E775F9"/>
    <w:rsid w:val="00E77F71"/>
    <w:rsid w:val="00E80A73"/>
    <w:rsid w:val="00E80D7D"/>
    <w:rsid w:val="00E80DE3"/>
    <w:rsid w:val="00E81937"/>
    <w:rsid w:val="00E82199"/>
    <w:rsid w:val="00E823FA"/>
    <w:rsid w:val="00E82C55"/>
    <w:rsid w:val="00E82D5D"/>
    <w:rsid w:val="00E82F1B"/>
    <w:rsid w:val="00E83C4A"/>
    <w:rsid w:val="00E83ED9"/>
    <w:rsid w:val="00E8475F"/>
    <w:rsid w:val="00E84BAB"/>
    <w:rsid w:val="00E853D8"/>
    <w:rsid w:val="00E85D33"/>
    <w:rsid w:val="00E85F4E"/>
    <w:rsid w:val="00E860CB"/>
    <w:rsid w:val="00E866FE"/>
    <w:rsid w:val="00E86EAD"/>
    <w:rsid w:val="00E8718B"/>
    <w:rsid w:val="00E8746F"/>
    <w:rsid w:val="00E8754D"/>
    <w:rsid w:val="00E8787E"/>
    <w:rsid w:val="00E879F7"/>
    <w:rsid w:val="00E87A55"/>
    <w:rsid w:val="00E87B22"/>
    <w:rsid w:val="00E9042A"/>
    <w:rsid w:val="00E9042D"/>
    <w:rsid w:val="00E90E36"/>
    <w:rsid w:val="00E9175F"/>
    <w:rsid w:val="00E91AA9"/>
    <w:rsid w:val="00E91E92"/>
    <w:rsid w:val="00E928B6"/>
    <w:rsid w:val="00E929AE"/>
    <w:rsid w:val="00E92AC3"/>
    <w:rsid w:val="00E92DC3"/>
    <w:rsid w:val="00E92EC5"/>
    <w:rsid w:val="00E935E3"/>
    <w:rsid w:val="00E93BA9"/>
    <w:rsid w:val="00E94BC4"/>
    <w:rsid w:val="00E94E4B"/>
    <w:rsid w:val="00E94EBE"/>
    <w:rsid w:val="00E9503D"/>
    <w:rsid w:val="00E9579E"/>
    <w:rsid w:val="00E95989"/>
    <w:rsid w:val="00E959AE"/>
    <w:rsid w:val="00E95CAD"/>
    <w:rsid w:val="00E95EE3"/>
    <w:rsid w:val="00E96148"/>
    <w:rsid w:val="00E96DED"/>
    <w:rsid w:val="00EA00BC"/>
    <w:rsid w:val="00EA0B96"/>
    <w:rsid w:val="00EA196A"/>
    <w:rsid w:val="00EA1F34"/>
    <w:rsid w:val="00EA1FED"/>
    <w:rsid w:val="00EA2F6A"/>
    <w:rsid w:val="00EA3238"/>
    <w:rsid w:val="00EA3E83"/>
    <w:rsid w:val="00EA407E"/>
    <w:rsid w:val="00EA4178"/>
    <w:rsid w:val="00EA4EC2"/>
    <w:rsid w:val="00EA4F1B"/>
    <w:rsid w:val="00EA5625"/>
    <w:rsid w:val="00EA571A"/>
    <w:rsid w:val="00EA5D4C"/>
    <w:rsid w:val="00EA631A"/>
    <w:rsid w:val="00EA656F"/>
    <w:rsid w:val="00EA6772"/>
    <w:rsid w:val="00EA6A05"/>
    <w:rsid w:val="00EA6E7E"/>
    <w:rsid w:val="00EA7A72"/>
    <w:rsid w:val="00EB00E0"/>
    <w:rsid w:val="00EB0193"/>
    <w:rsid w:val="00EB02EE"/>
    <w:rsid w:val="00EB0343"/>
    <w:rsid w:val="00EB05B6"/>
    <w:rsid w:val="00EB05D5"/>
    <w:rsid w:val="00EB07DA"/>
    <w:rsid w:val="00EB08C8"/>
    <w:rsid w:val="00EB093C"/>
    <w:rsid w:val="00EB0A29"/>
    <w:rsid w:val="00EB1197"/>
    <w:rsid w:val="00EB1FAB"/>
    <w:rsid w:val="00EB1FBB"/>
    <w:rsid w:val="00EB22DE"/>
    <w:rsid w:val="00EB2388"/>
    <w:rsid w:val="00EB3095"/>
    <w:rsid w:val="00EB33A1"/>
    <w:rsid w:val="00EB3593"/>
    <w:rsid w:val="00EB382F"/>
    <w:rsid w:val="00EB411E"/>
    <w:rsid w:val="00EB4298"/>
    <w:rsid w:val="00EB435B"/>
    <w:rsid w:val="00EB4621"/>
    <w:rsid w:val="00EB4A72"/>
    <w:rsid w:val="00EB4BC7"/>
    <w:rsid w:val="00EB56B9"/>
    <w:rsid w:val="00EB5858"/>
    <w:rsid w:val="00EB677B"/>
    <w:rsid w:val="00EB6CE5"/>
    <w:rsid w:val="00EB6F2A"/>
    <w:rsid w:val="00EB7897"/>
    <w:rsid w:val="00EC0183"/>
    <w:rsid w:val="00EC02F9"/>
    <w:rsid w:val="00EC059F"/>
    <w:rsid w:val="00EC09C8"/>
    <w:rsid w:val="00EC0BC3"/>
    <w:rsid w:val="00EC0FA3"/>
    <w:rsid w:val="00EC1A86"/>
    <w:rsid w:val="00EC1F24"/>
    <w:rsid w:val="00EC2204"/>
    <w:rsid w:val="00EC22F6"/>
    <w:rsid w:val="00EC2C04"/>
    <w:rsid w:val="00EC2C14"/>
    <w:rsid w:val="00EC3223"/>
    <w:rsid w:val="00EC3AF5"/>
    <w:rsid w:val="00EC3DB9"/>
    <w:rsid w:val="00EC4082"/>
    <w:rsid w:val="00EC44F4"/>
    <w:rsid w:val="00EC47D1"/>
    <w:rsid w:val="00EC4D5A"/>
    <w:rsid w:val="00EC4F6C"/>
    <w:rsid w:val="00EC51EE"/>
    <w:rsid w:val="00EC5410"/>
    <w:rsid w:val="00EC5727"/>
    <w:rsid w:val="00EC6ED5"/>
    <w:rsid w:val="00EC6F0C"/>
    <w:rsid w:val="00EC7121"/>
    <w:rsid w:val="00EC727B"/>
    <w:rsid w:val="00EC739B"/>
    <w:rsid w:val="00EC7991"/>
    <w:rsid w:val="00EC7A8D"/>
    <w:rsid w:val="00EC7F32"/>
    <w:rsid w:val="00ED022B"/>
    <w:rsid w:val="00ED04CF"/>
    <w:rsid w:val="00ED0BE1"/>
    <w:rsid w:val="00ED0F16"/>
    <w:rsid w:val="00ED0FC0"/>
    <w:rsid w:val="00ED13FC"/>
    <w:rsid w:val="00ED1922"/>
    <w:rsid w:val="00ED1933"/>
    <w:rsid w:val="00ED2551"/>
    <w:rsid w:val="00ED2915"/>
    <w:rsid w:val="00ED2923"/>
    <w:rsid w:val="00ED2ABB"/>
    <w:rsid w:val="00ED2C16"/>
    <w:rsid w:val="00ED37FD"/>
    <w:rsid w:val="00ED3DF0"/>
    <w:rsid w:val="00ED5627"/>
    <w:rsid w:val="00ED5AF3"/>
    <w:rsid w:val="00ED5B9B"/>
    <w:rsid w:val="00ED5BDD"/>
    <w:rsid w:val="00ED64A2"/>
    <w:rsid w:val="00ED67FB"/>
    <w:rsid w:val="00ED6BAD"/>
    <w:rsid w:val="00ED6D4E"/>
    <w:rsid w:val="00ED6D62"/>
    <w:rsid w:val="00ED72E9"/>
    <w:rsid w:val="00ED72FA"/>
    <w:rsid w:val="00ED7447"/>
    <w:rsid w:val="00ED7708"/>
    <w:rsid w:val="00ED771E"/>
    <w:rsid w:val="00ED7762"/>
    <w:rsid w:val="00EE00D6"/>
    <w:rsid w:val="00EE0233"/>
    <w:rsid w:val="00EE0457"/>
    <w:rsid w:val="00EE0889"/>
    <w:rsid w:val="00EE0BA5"/>
    <w:rsid w:val="00EE0D7E"/>
    <w:rsid w:val="00EE0D9D"/>
    <w:rsid w:val="00EE11E7"/>
    <w:rsid w:val="00EE1488"/>
    <w:rsid w:val="00EE1D91"/>
    <w:rsid w:val="00EE1E2B"/>
    <w:rsid w:val="00EE1FB1"/>
    <w:rsid w:val="00EE251C"/>
    <w:rsid w:val="00EE27E9"/>
    <w:rsid w:val="00EE298C"/>
    <w:rsid w:val="00EE2996"/>
    <w:rsid w:val="00EE29AD"/>
    <w:rsid w:val="00EE34DF"/>
    <w:rsid w:val="00EE3B31"/>
    <w:rsid w:val="00EE3D3D"/>
    <w:rsid w:val="00EE3E24"/>
    <w:rsid w:val="00EE43D6"/>
    <w:rsid w:val="00EE44CC"/>
    <w:rsid w:val="00EE4AAA"/>
    <w:rsid w:val="00EE4D5D"/>
    <w:rsid w:val="00EE50CA"/>
    <w:rsid w:val="00EE5131"/>
    <w:rsid w:val="00EE5276"/>
    <w:rsid w:val="00EE53DE"/>
    <w:rsid w:val="00EE54D4"/>
    <w:rsid w:val="00EE5859"/>
    <w:rsid w:val="00EE5AB0"/>
    <w:rsid w:val="00EE5E1C"/>
    <w:rsid w:val="00EE62DC"/>
    <w:rsid w:val="00EE68EE"/>
    <w:rsid w:val="00EE6969"/>
    <w:rsid w:val="00EE6993"/>
    <w:rsid w:val="00EE71AE"/>
    <w:rsid w:val="00EE74C5"/>
    <w:rsid w:val="00EE76A3"/>
    <w:rsid w:val="00EE7C9E"/>
    <w:rsid w:val="00EF005B"/>
    <w:rsid w:val="00EF0247"/>
    <w:rsid w:val="00EF07A6"/>
    <w:rsid w:val="00EF0AA3"/>
    <w:rsid w:val="00EF0D06"/>
    <w:rsid w:val="00EF109B"/>
    <w:rsid w:val="00EF1419"/>
    <w:rsid w:val="00EF1454"/>
    <w:rsid w:val="00EF163F"/>
    <w:rsid w:val="00EF1E42"/>
    <w:rsid w:val="00EF1ECB"/>
    <w:rsid w:val="00EF201C"/>
    <w:rsid w:val="00EF20B7"/>
    <w:rsid w:val="00EF2489"/>
    <w:rsid w:val="00EF2978"/>
    <w:rsid w:val="00EF2C72"/>
    <w:rsid w:val="00EF32C3"/>
    <w:rsid w:val="00EF36AF"/>
    <w:rsid w:val="00EF36B2"/>
    <w:rsid w:val="00EF3774"/>
    <w:rsid w:val="00EF3D9E"/>
    <w:rsid w:val="00EF4137"/>
    <w:rsid w:val="00EF4652"/>
    <w:rsid w:val="00EF4885"/>
    <w:rsid w:val="00EF4BD0"/>
    <w:rsid w:val="00EF4EF1"/>
    <w:rsid w:val="00EF4F06"/>
    <w:rsid w:val="00EF5004"/>
    <w:rsid w:val="00EF593E"/>
    <w:rsid w:val="00EF59A3"/>
    <w:rsid w:val="00EF5BF0"/>
    <w:rsid w:val="00EF6272"/>
    <w:rsid w:val="00EF62FE"/>
    <w:rsid w:val="00EF6422"/>
    <w:rsid w:val="00EF6675"/>
    <w:rsid w:val="00EF7648"/>
    <w:rsid w:val="00EF7D55"/>
    <w:rsid w:val="00F0063D"/>
    <w:rsid w:val="00F00C2F"/>
    <w:rsid w:val="00F00F9C"/>
    <w:rsid w:val="00F01E5F"/>
    <w:rsid w:val="00F02174"/>
    <w:rsid w:val="00F0218E"/>
    <w:rsid w:val="00F024F3"/>
    <w:rsid w:val="00F026F4"/>
    <w:rsid w:val="00F027E7"/>
    <w:rsid w:val="00F02ABA"/>
    <w:rsid w:val="00F02C58"/>
    <w:rsid w:val="00F02D8F"/>
    <w:rsid w:val="00F034EE"/>
    <w:rsid w:val="00F036C5"/>
    <w:rsid w:val="00F03E46"/>
    <w:rsid w:val="00F041F5"/>
    <w:rsid w:val="00F0437A"/>
    <w:rsid w:val="00F0448A"/>
    <w:rsid w:val="00F0509C"/>
    <w:rsid w:val="00F05647"/>
    <w:rsid w:val="00F05A6A"/>
    <w:rsid w:val="00F05AD2"/>
    <w:rsid w:val="00F06BF6"/>
    <w:rsid w:val="00F06C34"/>
    <w:rsid w:val="00F06C68"/>
    <w:rsid w:val="00F0721E"/>
    <w:rsid w:val="00F073A7"/>
    <w:rsid w:val="00F07ECD"/>
    <w:rsid w:val="00F10064"/>
    <w:rsid w:val="00F1014E"/>
    <w:rsid w:val="00F101B8"/>
    <w:rsid w:val="00F102D5"/>
    <w:rsid w:val="00F10FB8"/>
    <w:rsid w:val="00F11037"/>
    <w:rsid w:val="00F110C2"/>
    <w:rsid w:val="00F11562"/>
    <w:rsid w:val="00F115AE"/>
    <w:rsid w:val="00F11600"/>
    <w:rsid w:val="00F12126"/>
    <w:rsid w:val="00F12152"/>
    <w:rsid w:val="00F122D2"/>
    <w:rsid w:val="00F1257A"/>
    <w:rsid w:val="00F12A19"/>
    <w:rsid w:val="00F13C9F"/>
    <w:rsid w:val="00F13F23"/>
    <w:rsid w:val="00F141EE"/>
    <w:rsid w:val="00F147CC"/>
    <w:rsid w:val="00F14D9A"/>
    <w:rsid w:val="00F15047"/>
    <w:rsid w:val="00F15307"/>
    <w:rsid w:val="00F15353"/>
    <w:rsid w:val="00F15945"/>
    <w:rsid w:val="00F15D33"/>
    <w:rsid w:val="00F15D64"/>
    <w:rsid w:val="00F15E18"/>
    <w:rsid w:val="00F16AF0"/>
    <w:rsid w:val="00F16ED0"/>
    <w:rsid w:val="00F16F1B"/>
    <w:rsid w:val="00F1721B"/>
    <w:rsid w:val="00F173EA"/>
    <w:rsid w:val="00F173F3"/>
    <w:rsid w:val="00F17637"/>
    <w:rsid w:val="00F178F1"/>
    <w:rsid w:val="00F20E91"/>
    <w:rsid w:val="00F21193"/>
    <w:rsid w:val="00F22A87"/>
    <w:rsid w:val="00F234C6"/>
    <w:rsid w:val="00F236A8"/>
    <w:rsid w:val="00F23D8B"/>
    <w:rsid w:val="00F24296"/>
    <w:rsid w:val="00F2481D"/>
    <w:rsid w:val="00F2499C"/>
    <w:rsid w:val="00F250A9"/>
    <w:rsid w:val="00F254CE"/>
    <w:rsid w:val="00F256E7"/>
    <w:rsid w:val="00F25C9D"/>
    <w:rsid w:val="00F25D72"/>
    <w:rsid w:val="00F267AF"/>
    <w:rsid w:val="00F270FC"/>
    <w:rsid w:val="00F273A8"/>
    <w:rsid w:val="00F2745A"/>
    <w:rsid w:val="00F27743"/>
    <w:rsid w:val="00F27D06"/>
    <w:rsid w:val="00F3011F"/>
    <w:rsid w:val="00F30261"/>
    <w:rsid w:val="00F307D2"/>
    <w:rsid w:val="00F3099E"/>
    <w:rsid w:val="00F30CED"/>
    <w:rsid w:val="00F30FE9"/>
    <w:rsid w:val="00F30FF4"/>
    <w:rsid w:val="00F310E3"/>
    <w:rsid w:val="00F3122E"/>
    <w:rsid w:val="00F31791"/>
    <w:rsid w:val="00F31B4F"/>
    <w:rsid w:val="00F32131"/>
    <w:rsid w:val="00F32368"/>
    <w:rsid w:val="00F3266D"/>
    <w:rsid w:val="00F328E8"/>
    <w:rsid w:val="00F3294A"/>
    <w:rsid w:val="00F32E1F"/>
    <w:rsid w:val="00F32F57"/>
    <w:rsid w:val="00F331AD"/>
    <w:rsid w:val="00F3385E"/>
    <w:rsid w:val="00F3397B"/>
    <w:rsid w:val="00F33AEA"/>
    <w:rsid w:val="00F33BA2"/>
    <w:rsid w:val="00F33F69"/>
    <w:rsid w:val="00F342C4"/>
    <w:rsid w:val="00F34AE1"/>
    <w:rsid w:val="00F34B0F"/>
    <w:rsid w:val="00F35145"/>
    <w:rsid w:val="00F35152"/>
    <w:rsid w:val="00F35287"/>
    <w:rsid w:val="00F354EB"/>
    <w:rsid w:val="00F35E12"/>
    <w:rsid w:val="00F35EB8"/>
    <w:rsid w:val="00F369E7"/>
    <w:rsid w:val="00F3755C"/>
    <w:rsid w:val="00F37CD0"/>
    <w:rsid w:val="00F37FD6"/>
    <w:rsid w:val="00F40A70"/>
    <w:rsid w:val="00F40BA3"/>
    <w:rsid w:val="00F40BB8"/>
    <w:rsid w:val="00F40CC3"/>
    <w:rsid w:val="00F4171A"/>
    <w:rsid w:val="00F41EC9"/>
    <w:rsid w:val="00F423B9"/>
    <w:rsid w:val="00F42EB2"/>
    <w:rsid w:val="00F42FCE"/>
    <w:rsid w:val="00F43162"/>
    <w:rsid w:val="00F43A37"/>
    <w:rsid w:val="00F43E5A"/>
    <w:rsid w:val="00F44220"/>
    <w:rsid w:val="00F4463F"/>
    <w:rsid w:val="00F4473B"/>
    <w:rsid w:val="00F4528C"/>
    <w:rsid w:val="00F4580B"/>
    <w:rsid w:val="00F45897"/>
    <w:rsid w:val="00F45AED"/>
    <w:rsid w:val="00F462BD"/>
    <w:rsid w:val="00F46379"/>
    <w:rsid w:val="00F4641B"/>
    <w:rsid w:val="00F46E1B"/>
    <w:rsid w:val="00F46EB8"/>
    <w:rsid w:val="00F4751B"/>
    <w:rsid w:val="00F50028"/>
    <w:rsid w:val="00F50CD1"/>
    <w:rsid w:val="00F50D13"/>
    <w:rsid w:val="00F50E00"/>
    <w:rsid w:val="00F51064"/>
    <w:rsid w:val="00F511E4"/>
    <w:rsid w:val="00F513D3"/>
    <w:rsid w:val="00F51A24"/>
    <w:rsid w:val="00F51E72"/>
    <w:rsid w:val="00F5224B"/>
    <w:rsid w:val="00F525DC"/>
    <w:rsid w:val="00F52656"/>
    <w:rsid w:val="00F52798"/>
    <w:rsid w:val="00F529A4"/>
    <w:rsid w:val="00F52D09"/>
    <w:rsid w:val="00F52E01"/>
    <w:rsid w:val="00F52E08"/>
    <w:rsid w:val="00F532F4"/>
    <w:rsid w:val="00F53A66"/>
    <w:rsid w:val="00F542BE"/>
    <w:rsid w:val="00F544AC"/>
    <w:rsid w:val="00F5462D"/>
    <w:rsid w:val="00F54769"/>
    <w:rsid w:val="00F54BA2"/>
    <w:rsid w:val="00F550A9"/>
    <w:rsid w:val="00F5578D"/>
    <w:rsid w:val="00F55B21"/>
    <w:rsid w:val="00F55BE1"/>
    <w:rsid w:val="00F55C5A"/>
    <w:rsid w:val="00F55C8C"/>
    <w:rsid w:val="00F55CAB"/>
    <w:rsid w:val="00F55D49"/>
    <w:rsid w:val="00F56031"/>
    <w:rsid w:val="00F5616A"/>
    <w:rsid w:val="00F5693F"/>
    <w:rsid w:val="00F56EF6"/>
    <w:rsid w:val="00F5705F"/>
    <w:rsid w:val="00F57346"/>
    <w:rsid w:val="00F60082"/>
    <w:rsid w:val="00F606FF"/>
    <w:rsid w:val="00F6079C"/>
    <w:rsid w:val="00F607AC"/>
    <w:rsid w:val="00F6097C"/>
    <w:rsid w:val="00F60FD5"/>
    <w:rsid w:val="00F61196"/>
    <w:rsid w:val="00F61520"/>
    <w:rsid w:val="00F61A9F"/>
    <w:rsid w:val="00F61B5F"/>
    <w:rsid w:val="00F61D4D"/>
    <w:rsid w:val="00F6210E"/>
    <w:rsid w:val="00F62175"/>
    <w:rsid w:val="00F622DB"/>
    <w:rsid w:val="00F62996"/>
    <w:rsid w:val="00F62C47"/>
    <w:rsid w:val="00F640F8"/>
    <w:rsid w:val="00F645F6"/>
    <w:rsid w:val="00F64696"/>
    <w:rsid w:val="00F647FE"/>
    <w:rsid w:val="00F6504B"/>
    <w:rsid w:val="00F651A4"/>
    <w:rsid w:val="00F65260"/>
    <w:rsid w:val="00F654AC"/>
    <w:rsid w:val="00F65945"/>
    <w:rsid w:val="00F6594D"/>
    <w:rsid w:val="00F65AA9"/>
    <w:rsid w:val="00F65D0E"/>
    <w:rsid w:val="00F65EA0"/>
    <w:rsid w:val="00F665CD"/>
    <w:rsid w:val="00F6768F"/>
    <w:rsid w:val="00F67AC5"/>
    <w:rsid w:val="00F7044E"/>
    <w:rsid w:val="00F70A11"/>
    <w:rsid w:val="00F70DDD"/>
    <w:rsid w:val="00F714F5"/>
    <w:rsid w:val="00F715D4"/>
    <w:rsid w:val="00F716BC"/>
    <w:rsid w:val="00F721AC"/>
    <w:rsid w:val="00F7255D"/>
    <w:rsid w:val="00F72908"/>
    <w:rsid w:val="00F72B13"/>
    <w:rsid w:val="00F72C2C"/>
    <w:rsid w:val="00F73578"/>
    <w:rsid w:val="00F7383B"/>
    <w:rsid w:val="00F739D2"/>
    <w:rsid w:val="00F73C36"/>
    <w:rsid w:val="00F741F2"/>
    <w:rsid w:val="00F7516B"/>
    <w:rsid w:val="00F7548E"/>
    <w:rsid w:val="00F75567"/>
    <w:rsid w:val="00F76712"/>
    <w:rsid w:val="00F76CAB"/>
    <w:rsid w:val="00F772C6"/>
    <w:rsid w:val="00F776C7"/>
    <w:rsid w:val="00F77C88"/>
    <w:rsid w:val="00F8067C"/>
    <w:rsid w:val="00F80B16"/>
    <w:rsid w:val="00F815B5"/>
    <w:rsid w:val="00F817C1"/>
    <w:rsid w:val="00F826CC"/>
    <w:rsid w:val="00F8292C"/>
    <w:rsid w:val="00F82D3C"/>
    <w:rsid w:val="00F84224"/>
    <w:rsid w:val="00F847EA"/>
    <w:rsid w:val="00F849D0"/>
    <w:rsid w:val="00F84AA9"/>
    <w:rsid w:val="00F84B34"/>
    <w:rsid w:val="00F84BC5"/>
    <w:rsid w:val="00F84D35"/>
    <w:rsid w:val="00F84E63"/>
    <w:rsid w:val="00F85195"/>
    <w:rsid w:val="00F85625"/>
    <w:rsid w:val="00F85C5B"/>
    <w:rsid w:val="00F868E3"/>
    <w:rsid w:val="00F86A6E"/>
    <w:rsid w:val="00F87954"/>
    <w:rsid w:val="00F90752"/>
    <w:rsid w:val="00F90C85"/>
    <w:rsid w:val="00F9171C"/>
    <w:rsid w:val="00F9184C"/>
    <w:rsid w:val="00F91ABE"/>
    <w:rsid w:val="00F91AD7"/>
    <w:rsid w:val="00F921E5"/>
    <w:rsid w:val="00F92280"/>
    <w:rsid w:val="00F928BE"/>
    <w:rsid w:val="00F929E9"/>
    <w:rsid w:val="00F92B74"/>
    <w:rsid w:val="00F93212"/>
    <w:rsid w:val="00F934D8"/>
    <w:rsid w:val="00F93674"/>
    <w:rsid w:val="00F938BA"/>
    <w:rsid w:val="00F93B2B"/>
    <w:rsid w:val="00F9443D"/>
    <w:rsid w:val="00F9496C"/>
    <w:rsid w:val="00F96CDC"/>
    <w:rsid w:val="00F96EA4"/>
    <w:rsid w:val="00F97360"/>
    <w:rsid w:val="00F9747B"/>
    <w:rsid w:val="00F97919"/>
    <w:rsid w:val="00F97CAC"/>
    <w:rsid w:val="00F97F84"/>
    <w:rsid w:val="00FA015A"/>
    <w:rsid w:val="00FA0A82"/>
    <w:rsid w:val="00FA0B5D"/>
    <w:rsid w:val="00FA0C88"/>
    <w:rsid w:val="00FA1169"/>
    <w:rsid w:val="00FA1337"/>
    <w:rsid w:val="00FA1A31"/>
    <w:rsid w:val="00FA1C58"/>
    <w:rsid w:val="00FA2033"/>
    <w:rsid w:val="00FA2474"/>
    <w:rsid w:val="00FA24ED"/>
    <w:rsid w:val="00FA2C46"/>
    <w:rsid w:val="00FA2CFF"/>
    <w:rsid w:val="00FA3142"/>
    <w:rsid w:val="00FA3468"/>
    <w:rsid w:val="00FA3525"/>
    <w:rsid w:val="00FA35D4"/>
    <w:rsid w:val="00FA3A1E"/>
    <w:rsid w:val="00FA3A7F"/>
    <w:rsid w:val="00FA4118"/>
    <w:rsid w:val="00FA491A"/>
    <w:rsid w:val="00FA5150"/>
    <w:rsid w:val="00FA5A53"/>
    <w:rsid w:val="00FA5EBC"/>
    <w:rsid w:val="00FA5FB2"/>
    <w:rsid w:val="00FA620E"/>
    <w:rsid w:val="00FA6AB3"/>
    <w:rsid w:val="00FA6DE2"/>
    <w:rsid w:val="00FA7E65"/>
    <w:rsid w:val="00FB03B1"/>
    <w:rsid w:val="00FB040E"/>
    <w:rsid w:val="00FB0B53"/>
    <w:rsid w:val="00FB1220"/>
    <w:rsid w:val="00FB136F"/>
    <w:rsid w:val="00FB1499"/>
    <w:rsid w:val="00FB16D8"/>
    <w:rsid w:val="00FB1E7A"/>
    <w:rsid w:val="00FB1F6E"/>
    <w:rsid w:val="00FB240A"/>
    <w:rsid w:val="00FB254B"/>
    <w:rsid w:val="00FB27B8"/>
    <w:rsid w:val="00FB2897"/>
    <w:rsid w:val="00FB2EC6"/>
    <w:rsid w:val="00FB3923"/>
    <w:rsid w:val="00FB4769"/>
    <w:rsid w:val="00FB4C4B"/>
    <w:rsid w:val="00FB4CDA"/>
    <w:rsid w:val="00FB5422"/>
    <w:rsid w:val="00FB5B3C"/>
    <w:rsid w:val="00FB5C05"/>
    <w:rsid w:val="00FB5DA1"/>
    <w:rsid w:val="00FB5DFD"/>
    <w:rsid w:val="00FB641A"/>
    <w:rsid w:val="00FB6481"/>
    <w:rsid w:val="00FB65E0"/>
    <w:rsid w:val="00FB6CAB"/>
    <w:rsid w:val="00FB6D36"/>
    <w:rsid w:val="00FB72C6"/>
    <w:rsid w:val="00FB7569"/>
    <w:rsid w:val="00FB7CC3"/>
    <w:rsid w:val="00FC01E2"/>
    <w:rsid w:val="00FC08C9"/>
    <w:rsid w:val="00FC0965"/>
    <w:rsid w:val="00FC0F81"/>
    <w:rsid w:val="00FC13D2"/>
    <w:rsid w:val="00FC17C6"/>
    <w:rsid w:val="00FC1861"/>
    <w:rsid w:val="00FC1C9F"/>
    <w:rsid w:val="00FC252F"/>
    <w:rsid w:val="00FC2E7A"/>
    <w:rsid w:val="00FC3459"/>
    <w:rsid w:val="00FC395C"/>
    <w:rsid w:val="00FC3ED8"/>
    <w:rsid w:val="00FC43F2"/>
    <w:rsid w:val="00FC4AA3"/>
    <w:rsid w:val="00FC550D"/>
    <w:rsid w:val="00FC550E"/>
    <w:rsid w:val="00FC5675"/>
    <w:rsid w:val="00FC5A54"/>
    <w:rsid w:val="00FC5E8E"/>
    <w:rsid w:val="00FC5F56"/>
    <w:rsid w:val="00FC65BA"/>
    <w:rsid w:val="00FC6C2F"/>
    <w:rsid w:val="00FC6F89"/>
    <w:rsid w:val="00FC7228"/>
    <w:rsid w:val="00FC731B"/>
    <w:rsid w:val="00FC736E"/>
    <w:rsid w:val="00FC740E"/>
    <w:rsid w:val="00FC779A"/>
    <w:rsid w:val="00FC7911"/>
    <w:rsid w:val="00FC7C6C"/>
    <w:rsid w:val="00FD066B"/>
    <w:rsid w:val="00FD08D4"/>
    <w:rsid w:val="00FD0A1D"/>
    <w:rsid w:val="00FD175C"/>
    <w:rsid w:val="00FD1B55"/>
    <w:rsid w:val="00FD1F8D"/>
    <w:rsid w:val="00FD2211"/>
    <w:rsid w:val="00FD2730"/>
    <w:rsid w:val="00FD2D2B"/>
    <w:rsid w:val="00FD3766"/>
    <w:rsid w:val="00FD3D05"/>
    <w:rsid w:val="00FD3E32"/>
    <w:rsid w:val="00FD3EC2"/>
    <w:rsid w:val="00FD3F82"/>
    <w:rsid w:val="00FD45B0"/>
    <w:rsid w:val="00FD46B4"/>
    <w:rsid w:val="00FD47C4"/>
    <w:rsid w:val="00FD4B0E"/>
    <w:rsid w:val="00FD4C50"/>
    <w:rsid w:val="00FD4C51"/>
    <w:rsid w:val="00FD50DC"/>
    <w:rsid w:val="00FD516E"/>
    <w:rsid w:val="00FD5590"/>
    <w:rsid w:val="00FD5748"/>
    <w:rsid w:val="00FD6021"/>
    <w:rsid w:val="00FD6164"/>
    <w:rsid w:val="00FD6878"/>
    <w:rsid w:val="00FD6B0C"/>
    <w:rsid w:val="00FD6DBD"/>
    <w:rsid w:val="00FD6EC0"/>
    <w:rsid w:val="00FD78A4"/>
    <w:rsid w:val="00FD78E0"/>
    <w:rsid w:val="00FD7FF7"/>
    <w:rsid w:val="00FE0564"/>
    <w:rsid w:val="00FE07C5"/>
    <w:rsid w:val="00FE1142"/>
    <w:rsid w:val="00FE1A37"/>
    <w:rsid w:val="00FE21F9"/>
    <w:rsid w:val="00FE23EC"/>
    <w:rsid w:val="00FE2DCF"/>
    <w:rsid w:val="00FE30D0"/>
    <w:rsid w:val="00FE3C05"/>
    <w:rsid w:val="00FE3FA7"/>
    <w:rsid w:val="00FE4081"/>
    <w:rsid w:val="00FE4613"/>
    <w:rsid w:val="00FE5072"/>
    <w:rsid w:val="00FE5725"/>
    <w:rsid w:val="00FE5BC8"/>
    <w:rsid w:val="00FE606C"/>
    <w:rsid w:val="00FE622F"/>
    <w:rsid w:val="00FE64A9"/>
    <w:rsid w:val="00FE7151"/>
    <w:rsid w:val="00FE722E"/>
    <w:rsid w:val="00FE7730"/>
    <w:rsid w:val="00FE7D2A"/>
    <w:rsid w:val="00FF023F"/>
    <w:rsid w:val="00FF0A43"/>
    <w:rsid w:val="00FF125B"/>
    <w:rsid w:val="00FF1388"/>
    <w:rsid w:val="00FF1BEE"/>
    <w:rsid w:val="00FF2195"/>
    <w:rsid w:val="00FF27E7"/>
    <w:rsid w:val="00FF2A4E"/>
    <w:rsid w:val="00FF2FCE"/>
    <w:rsid w:val="00FF3631"/>
    <w:rsid w:val="00FF3BCF"/>
    <w:rsid w:val="00FF4015"/>
    <w:rsid w:val="00FF461B"/>
    <w:rsid w:val="00FF4F37"/>
    <w:rsid w:val="00FF4F7D"/>
    <w:rsid w:val="00FF50AA"/>
    <w:rsid w:val="00FF581A"/>
    <w:rsid w:val="00FF587A"/>
    <w:rsid w:val="00FF5B7B"/>
    <w:rsid w:val="00FF5BDC"/>
    <w:rsid w:val="00FF5C2E"/>
    <w:rsid w:val="00FF6441"/>
    <w:rsid w:val="00FF64F8"/>
    <w:rsid w:val="00FF6A8B"/>
    <w:rsid w:val="00FF6D9D"/>
    <w:rsid w:val="00FF6EFB"/>
    <w:rsid w:val="00FF722A"/>
    <w:rsid w:val="00FF7620"/>
    <w:rsid w:val="00FF77E5"/>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7B54B8"/>
  <w15:docId w15:val="{DD647743-719C-42C6-B8F1-E41A9ADE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0697C"/>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9"/>
    <w:rsid w:val="004A14BB"/>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styleId="ListParagraph">
    <w:name w:val="List Paragraph"/>
    <w:basedOn w:val="Normal"/>
    <w:uiPriority w:val="72"/>
    <w:semiHidden/>
    <w:qFormat/>
    <w:rsid w:val="00BF5684"/>
    <w:pPr>
      <w:ind w:left="720"/>
      <w:contextualSpacing/>
    </w:pPr>
  </w:style>
  <w:style w:type="table" w:styleId="GridTable1Light">
    <w:name w:val="Grid Table 1 Light"/>
    <w:basedOn w:val="TableNormal"/>
    <w:uiPriority w:val="46"/>
    <w:rsid w:val="00CF62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5744A4"/>
    <w:pPr>
      <w:spacing w:before="100" w:beforeAutospacing="1" w:after="100" w:afterAutospacing="1" w:line="240" w:lineRule="auto"/>
    </w:pPr>
    <w:rPr>
      <w:rFonts w:ascii="Times New Roman" w:hAnsi="Times New Roman"/>
      <w:sz w:val="24"/>
      <w:szCs w:val="24"/>
      <w:lang w:eastAsia="en-GB"/>
    </w:rPr>
  </w:style>
  <w:style w:type="paragraph" w:customStyle="1" w:styleId="EndNoteBibliography">
    <w:name w:val="EndNote Bibliography"/>
    <w:basedOn w:val="Normal"/>
    <w:link w:val="EndNoteBibliographyChar"/>
    <w:rsid w:val="00FD50DC"/>
    <w:pPr>
      <w:spacing w:line="240" w:lineRule="atLeast"/>
    </w:pPr>
    <w:rPr>
      <w:rFonts w:eastAsia="Times" w:cs="Arial"/>
      <w:noProof/>
      <w:sz w:val="20"/>
      <w:lang w:val="en-US"/>
    </w:rPr>
  </w:style>
  <w:style w:type="character" w:customStyle="1" w:styleId="EndNoteBibliographyChar">
    <w:name w:val="EndNote Bibliography Char"/>
    <w:basedOn w:val="DefaultParagraphFont"/>
    <w:link w:val="EndNoteBibliography"/>
    <w:rsid w:val="00FD50DC"/>
    <w:rPr>
      <w:rFonts w:ascii="Arial" w:eastAsia="Times" w:hAnsi="Arial" w:cs="Arial"/>
      <w:noProof/>
      <w:lang w:val="en-US" w:eastAsia="en-US"/>
    </w:rPr>
  </w:style>
  <w:style w:type="character" w:styleId="Emphasis">
    <w:name w:val="Emphasis"/>
    <w:basedOn w:val="DefaultParagraphFont"/>
    <w:uiPriority w:val="20"/>
    <w:qFormat/>
    <w:rsid w:val="00EC7121"/>
    <w:rPr>
      <w:i/>
      <w:iCs/>
    </w:rPr>
  </w:style>
  <w:style w:type="character" w:customStyle="1" w:styleId="contributors">
    <w:name w:val="contributors"/>
    <w:basedOn w:val="DefaultParagraphFont"/>
    <w:rsid w:val="003D768A"/>
  </w:style>
  <w:style w:type="character" w:customStyle="1" w:styleId="maintitle">
    <w:name w:val="maintitle"/>
    <w:basedOn w:val="DefaultParagraphFont"/>
    <w:rsid w:val="003D768A"/>
  </w:style>
  <w:style w:type="character" w:customStyle="1" w:styleId="editors">
    <w:name w:val="editors"/>
    <w:basedOn w:val="DefaultParagraphFont"/>
    <w:rsid w:val="003D768A"/>
  </w:style>
  <w:style w:type="character" w:customStyle="1" w:styleId="edition">
    <w:name w:val="edition"/>
    <w:basedOn w:val="DefaultParagraphFont"/>
    <w:rsid w:val="003D768A"/>
  </w:style>
  <w:style w:type="character" w:customStyle="1" w:styleId="publisher-location">
    <w:name w:val="publisher-location"/>
    <w:basedOn w:val="DefaultParagraphFont"/>
    <w:rsid w:val="003D768A"/>
  </w:style>
  <w:style w:type="character" w:customStyle="1" w:styleId="print-publication-date">
    <w:name w:val="print-publication-date"/>
    <w:basedOn w:val="DefaultParagraphFont"/>
    <w:rsid w:val="003D768A"/>
  </w:style>
  <w:style w:type="character" w:customStyle="1" w:styleId="online-edition">
    <w:name w:val="online-edition"/>
    <w:basedOn w:val="DefaultParagraphFont"/>
    <w:rsid w:val="003D768A"/>
  </w:style>
  <w:style w:type="character" w:customStyle="1" w:styleId="containing-site">
    <w:name w:val="containing-site"/>
    <w:basedOn w:val="DefaultParagraphFont"/>
    <w:rsid w:val="003D768A"/>
  </w:style>
  <w:style w:type="character" w:customStyle="1" w:styleId="online-publication-date">
    <w:name w:val="online-publication-date"/>
    <w:basedOn w:val="DefaultParagraphFont"/>
    <w:rsid w:val="003D768A"/>
  </w:style>
  <w:style w:type="character" w:customStyle="1" w:styleId="accessed-date">
    <w:name w:val="accessed-date"/>
    <w:basedOn w:val="DefaultParagraphFont"/>
    <w:rsid w:val="003D768A"/>
  </w:style>
  <w:style w:type="paragraph" w:customStyle="1" w:styleId="s-report-citationitemdetail">
    <w:name w:val="s-report-citation__item__detail"/>
    <w:basedOn w:val="Normal"/>
    <w:rsid w:val="003236ED"/>
    <w:pPr>
      <w:spacing w:before="100" w:beforeAutospacing="1" w:after="100" w:afterAutospacing="1" w:line="240" w:lineRule="auto"/>
    </w:pPr>
    <w:rPr>
      <w:rFonts w:ascii="Times New Roman" w:hAnsi="Times New Roman"/>
      <w:sz w:val="24"/>
      <w:szCs w:val="24"/>
      <w:lang w:eastAsia="en-AU"/>
    </w:rPr>
  </w:style>
  <w:style w:type="character" w:customStyle="1" w:styleId="ref-title">
    <w:name w:val="ref-title"/>
    <w:basedOn w:val="DefaultParagraphFont"/>
    <w:rsid w:val="00194683"/>
  </w:style>
  <w:style w:type="character" w:customStyle="1" w:styleId="ref-journal">
    <w:name w:val="ref-journal"/>
    <w:basedOn w:val="DefaultParagraphFont"/>
    <w:rsid w:val="00194683"/>
  </w:style>
  <w:style w:type="character" w:customStyle="1" w:styleId="ref-vol">
    <w:name w:val="ref-vol"/>
    <w:basedOn w:val="DefaultParagraphFont"/>
    <w:rsid w:val="00194683"/>
  </w:style>
  <w:style w:type="character" w:customStyle="1" w:styleId="ref-iss">
    <w:name w:val="ref-iss"/>
    <w:basedOn w:val="DefaultParagraphFont"/>
    <w:rsid w:val="00194683"/>
  </w:style>
  <w:style w:type="character" w:styleId="Mention">
    <w:name w:val="Mention"/>
    <w:basedOn w:val="DefaultParagraphFont"/>
    <w:uiPriority w:val="99"/>
    <w:unhideWhenUsed/>
    <w:rsid w:val="00DF1E41"/>
    <w:rPr>
      <w:color w:val="2B579A"/>
      <w:shd w:val="clear" w:color="auto" w:fill="E1DFDD"/>
    </w:rPr>
  </w:style>
  <w:style w:type="character" w:customStyle="1" w:styleId="citation">
    <w:name w:val="citation"/>
    <w:basedOn w:val="DefaultParagraphFont"/>
    <w:rsid w:val="009225C5"/>
  </w:style>
  <w:style w:type="character" w:customStyle="1" w:styleId="doi">
    <w:name w:val="doi"/>
    <w:basedOn w:val="DefaultParagraphFont"/>
    <w:rsid w:val="009225C5"/>
  </w:style>
  <w:style w:type="character" w:customStyle="1" w:styleId="normaltextrun">
    <w:name w:val="normaltextrun"/>
    <w:basedOn w:val="DefaultParagraphFont"/>
    <w:rsid w:val="00D00922"/>
  </w:style>
  <w:style w:type="table" w:styleId="GridTable4-Accent2">
    <w:name w:val="Grid Table 4 Accent 2"/>
    <w:basedOn w:val="TableNormal"/>
    <w:uiPriority w:val="49"/>
    <w:rsid w:val="00806E7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Caption">
    <w:name w:val="caption"/>
    <w:basedOn w:val="Normal"/>
    <w:next w:val="Normal"/>
    <w:uiPriority w:val="35"/>
    <w:unhideWhenUsed/>
    <w:qFormat/>
    <w:rsid w:val="00157B44"/>
    <w:pPr>
      <w:spacing w:after="200" w:line="240" w:lineRule="auto"/>
    </w:pPr>
    <w:rPr>
      <w:i/>
      <w:iCs/>
      <w:color w:val="1F497D" w:themeColor="text2"/>
      <w:sz w:val="18"/>
      <w:szCs w:val="18"/>
    </w:rPr>
  </w:style>
  <w:style w:type="character" w:customStyle="1" w:styleId="cf01">
    <w:name w:val="cf01"/>
    <w:basedOn w:val="DefaultParagraphFont"/>
    <w:rsid w:val="000174F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7886">
      <w:bodyDiv w:val="1"/>
      <w:marLeft w:val="0"/>
      <w:marRight w:val="0"/>
      <w:marTop w:val="0"/>
      <w:marBottom w:val="0"/>
      <w:divBdr>
        <w:top w:val="none" w:sz="0" w:space="0" w:color="auto"/>
        <w:left w:val="none" w:sz="0" w:space="0" w:color="auto"/>
        <w:bottom w:val="none" w:sz="0" w:space="0" w:color="auto"/>
        <w:right w:val="none" w:sz="0" w:space="0" w:color="auto"/>
      </w:divBdr>
      <w:divsChild>
        <w:div w:id="358551373">
          <w:marLeft w:val="0"/>
          <w:marRight w:val="0"/>
          <w:marTop w:val="0"/>
          <w:marBottom w:val="0"/>
          <w:divBdr>
            <w:top w:val="none" w:sz="0" w:space="0" w:color="auto"/>
            <w:left w:val="none" w:sz="0" w:space="0" w:color="auto"/>
            <w:bottom w:val="none" w:sz="0" w:space="0" w:color="auto"/>
            <w:right w:val="none" w:sz="0" w:space="0" w:color="auto"/>
          </w:divBdr>
          <w:divsChild>
            <w:div w:id="1081677319">
              <w:marLeft w:val="0"/>
              <w:marRight w:val="0"/>
              <w:marTop w:val="0"/>
              <w:marBottom w:val="0"/>
              <w:divBdr>
                <w:top w:val="none" w:sz="0" w:space="0" w:color="auto"/>
                <w:left w:val="none" w:sz="0" w:space="0" w:color="auto"/>
                <w:bottom w:val="single" w:sz="36" w:space="0" w:color="F2F2F2"/>
                <w:right w:val="none" w:sz="0" w:space="0" w:color="auto"/>
              </w:divBdr>
            </w:div>
          </w:divsChild>
        </w:div>
        <w:div w:id="1265726233">
          <w:marLeft w:val="0"/>
          <w:marRight w:val="0"/>
          <w:marTop w:val="0"/>
          <w:marBottom w:val="0"/>
          <w:divBdr>
            <w:top w:val="none" w:sz="0" w:space="0" w:color="auto"/>
            <w:left w:val="none" w:sz="0" w:space="0" w:color="auto"/>
            <w:bottom w:val="none" w:sz="0" w:space="0" w:color="auto"/>
            <w:right w:val="none" w:sz="0" w:space="0" w:color="auto"/>
          </w:divBdr>
          <w:divsChild>
            <w:div w:id="1829711460">
              <w:marLeft w:val="0"/>
              <w:marRight w:val="0"/>
              <w:marTop w:val="0"/>
              <w:marBottom w:val="0"/>
              <w:divBdr>
                <w:top w:val="none" w:sz="0" w:space="0" w:color="auto"/>
                <w:left w:val="none" w:sz="0" w:space="0" w:color="auto"/>
                <w:bottom w:val="none" w:sz="0" w:space="0" w:color="auto"/>
                <w:right w:val="none" w:sz="0" w:space="0" w:color="auto"/>
              </w:divBdr>
            </w:div>
          </w:divsChild>
        </w:div>
        <w:div w:id="1886481398">
          <w:marLeft w:val="0"/>
          <w:marRight w:val="0"/>
          <w:marTop w:val="0"/>
          <w:marBottom w:val="0"/>
          <w:divBdr>
            <w:top w:val="none" w:sz="0" w:space="0" w:color="auto"/>
            <w:left w:val="none" w:sz="0" w:space="0" w:color="auto"/>
            <w:bottom w:val="none" w:sz="0" w:space="0" w:color="auto"/>
            <w:right w:val="none" w:sz="0" w:space="0" w:color="auto"/>
          </w:divBdr>
        </w:div>
      </w:divsChild>
    </w:div>
    <w:div w:id="132480503">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00514488">
      <w:bodyDiv w:val="1"/>
      <w:marLeft w:val="0"/>
      <w:marRight w:val="0"/>
      <w:marTop w:val="0"/>
      <w:marBottom w:val="0"/>
      <w:divBdr>
        <w:top w:val="none" w:sz="0" w:space="0" w:color="auto"/>
        <w:left w:val="none" w:sz="0" w:space="0" w:color="auto"/>
        <w:bottom w:val="none" w:sz="0" w:space="0" w:color="auto"/>
        <w:right w:val="none" w:sz="0" w:space="0" w:color="auto"/>
      </w:divBdr>
    </w:div>
    <w:div w:id="797643364">
      <w:bodyDiv w:val="1"/>
      <w:marLeft w:val="0"/>
      <w:marRight w:val="0"/>
      <w:marTop w:val="0"/>
      <w:marBottom w:val="0"/>
      <w:divBdr>
        <w:top w:val="none" w:sz="0" w:space="0" w:color="auto"/>
        <w:left w:val="none" w:sz="0" w:space="0" w:color="auto"/>
        <w:bottom w:val="none" w:sz="0" w:space="0" w:color="auto"/>
        <w:right w:val="none" w:sz="0" w:space="0" w:color="auto"/>
      </w:divBdr>
    </w:div>
    <w:div w:id="808785190">
      <w:bodyDiv w:val="1"/>
      <w:marLeft w:val="0"/>
      <w:marRight w:val="0"/>
      <w:marTop w:val="0"/>
      <w:marBottom w:val="0"/>
      <w:divBdr>
        <w:top w:val="none" w:sz="0" w:space="0" w:color="auto"/>
        <w:left w:val="none" w:sz="0" w:space="0" w:color="auto"/>
        <w:bottom w:val="none" w:sz="0" w:space="0" w:color="auto"/>
        <w:right w:val="none" w:sz="0" w:space="0" w:color="auto"/>
      </w:divBdr>
    </w:div>
    <w:div w:id="82813325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2382473">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322428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0479991">
      <w:bodyDiv w:val="1"/>
      <w:marLeft w:val="0"/>
      <w:marRight w:val="0"/>
      <w:marTop w:val="0"/>
      <w:marBottom w:val="0"/>
      <w:divBdr>
        <w:top w:val="none" w:sz="0" w:space="0" w:color="auto"/>
        <w:left w:val="none" w:sz="0" w:space="0" w:color="auto"/>
        <w:bottom w:val="none" w:sz="0" w:space="0" w:color="auto"/>
        <w:right w:val="none" w:sz="0" w:space="0" w:color="auto"/>
      </w:divBdr>
    </w:div>
    <w:div w:id="991448283">
      <w:bodyDiv w:val="1"/>
      <w:marLeft w:val="0"/>
      <w:marRight w:val="0"/>
      <w:marTop w:val="0"/>
      <w:marBottom w:val="0"/>
      <w:divBdr>
        <w:top w:val="none" w:sz="0" w:space="0" w:color="auto"/>
        <w:left w:val="none" w:sz="0" w:space="0" w:color="auto"/>
        <w:bottom w:val="none" w:sz="0" w:space="0" w:color="auto"/>
        <w:right w:val="none" w:sz="0" w:space="0" w:color="auto"/>
      </w:divBdr>
    </w:div>
    <w:div w:id="11603156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661702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527126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620626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revention@health.vic.gov.au"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hyperlink" Target="https://www.health.vic.gov.au/victorian-sexual-reproductive-health-viral-hepatitis-strategy-2022-30"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yperlink" Target="file:///C:/Users/vicsa7u/AppData/Local/Microsoft/Windows/INetCache/Content.Outlook/QZD9BJLG/Interactive%20Infectious%20disease%20reports" TargetMode="External"/><Relationship Id="rId68" Type="http://schemas.openxmlformats.org/officeDocument/2006/relationships/hyperlink" Target="https://www.aihw.gov.au/reports/disability/people-with-disability-in-australia/contents/about" TargetMode="External"/><Relationship Id="rId76" Type="http://schemas.openxmlformats.org/officeDocument/2006/relationships/image" Target="media/image46.png"/><Relationship Id="rId8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ancervic.org.au/research/vcr" TargetMode="Externa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https://www.aihw.gov.au/reports/illicit-use-of-drugs/national-drug-strategy-household-survey-2019/contents/summary" TargetMode="External"/><Relationship Id="rId66" Type="http://schemas.openxmlformats.org/officeDocument/2006/relationships/hyperlink" Target="https://pubmed.ncbi.nlm.nih.gov/29587712/" TargetMode="External"/><Relationship Id="rId74" Type="http://schemas.openxmlformats.org/officeDocument/2006/relationships/image" Target="media/image44.png"/><Relationship Id="rId79" Type="http://schemas.openxmlformats.org/officeDocument/2006/relationships/hyperlink" Target="https://www.climatechange.vic.gov.au/climate-action-targets" TargetMode="Externa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header" Target="header5.xml"/><Relationship Id="rId19" Type="http://schemas.openxmlformats.org/officeDocument/2006/relationships/hyperlink" Target="https://www.health.vic.gov.au/publications/victorian-public-health-and-wellbeing-outcomes-framework-and-data-diction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thelancet.com/journals/lancet/article/PIIS0140-6736(21)00684-X/fulltext" TargetMode="External"/><Relationship Id="rId30" Type="http://schemas.openxmlformats.org/officeDocument/2006/relationships/hyperlink" Target="https://vahi.vic.gov.au/reports/population-health/victorian-population-health-survey-2020-dashboards"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39.png"/><Relationship Id="rId77" Type="http://schemas.openxmlformats.org/officeDocument/2006/relationships/hyperlink" Target="https://www.environment.vic.gov.au/sustainability/clean-air-for-all-victorians"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hyperlink" Target="https://www.epa.vic.gov.au/about-epa/publications/1709"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yperlink" Target="https://www.mja.com.au/journal/2023/218/6/electronic-cigarettes-and-health-outcomes-umbrella-and-systematic-review-global" TargetMode="External"/><Relationship Id="rId67" Type="http://schemas.openxmlformats.org/officeDocument/2006/relationships/hyperlink" Target="https://www.aihw.gov.au/reports/disability/people-with-disability-in-australia" TargetMode="External"/><Relationship Id="rId20" Type="http://schemas.openxmlformats.org/officeDocument/2006/relationships/hyperlink" Target="https://www.health.vic.gov.au/publications/victorian-public-health-and-wellbeing-outcomes-framework-and-data-dictionary"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https://www.abs.gov.au/statistics/health/health-conditions-and-risks/health-conditions-prevalence/latest-release"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3.png"/><Relationship Id="rId78" Type="http://schemas.openxmlformats.org/officeDocument/2006/relationships/hyperlink" Target="https://www.epa.vic.gov.au/for-community/environmental-information/air-quality" TargetMode="External"/><Relationship Id="rId81" Type="http://schemas.openxmlformats.org/officeDocument/2006/relationships/header" Target="header4.xml"/><Relationship Id="rId86"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quit.org.au/articles/the-risks-of-smoking-while-pregnant/" TargetMode="External"/><Relationship Id="rId13" Type="http://schemas.openxmlformats.org/officeDocument/2006/relationships/hyperlink" Target="https://www.abs.gov.au/statistics/health/health-conditions-and-risks/health-conditions-prevalence/latest-release" TargetMode="External"/><Relationship Id="rId18" Type="http://schemas.openxmlformats.org/officeDocument/2006/relationships/hyperlink" Target="https://www.aihw.gov.au/suicide-self-harm-monitoring/data/populations-age-groups/suicide-indigenous-australians" TargetMode="External"/><Relationship Id="rId26" Type="http://schemas.openxmlformats.org/officeDocument/2006/relationships/hyperlink" Target="http://www.bom.gov.au/state-of-the-climate/" TargetMode="External"/><Relationship Id="rId3" Type="http://schemas.openxmlformats.org/officeDocument/2006/relationships/hyperlink" Target="https://www.health.gov.au/resources/publications/national-aboriginal-and-torres-strait-islander-health-plan-2021-2031?language=en" TargetMode="External"/><Relationship Id="rId21" Type="http://schemas.openxmlformats.org/officeDocument/2006/relationships/hyperlink" Target="https://www.abs.gov.au/statistics/health/health-conditions-and-risks/alcohol-consumption/latest-release" TargetMode="External"/><Relationship Id="rId7" Type="http://schemas.openxmlformats.org/officeDocument/2006/relationships/hyperlink" Target="https://doi.org/10.1186/s12889-015-1661-1" TargetMode="External"/><Relationship Id="rId12" Type="http://schemas.openxmlformats.org/officeDocument/2006/relationships/hyperlink" Target="file:///C:/Users/vicsa7u/AppData/Local/Microsoft/Windows/INetCache/Content.Outlook/QZD9BJLG/Life%20expectancy:%20Closing%20the%20gap%20report%202020" TargetMode="External"/><Relationship Id="rId17" Type="http://schemas.openxmlformats.org/officeDocument/2006/relationships/hyperlink" Target="https://www.aihw.gov.au/reports/indigenous-australians/indigenous-health-welfare-2015" TargetMode="External"/><Relationship Id="rId25" Type="http://schemas.openxmlformats.org/officeDocument/2006/relationships/hyperlink" Target="https://doi.org/10.1186/s12889-017-4603-2" TargetMode="External"/><Relationship Id="rId2" Type="http://schemas.openxmlformats.org/officeDocument/2006/relationships/hyperlink" Target="https://www.health.vic.gov.au/victorian-public-health-and-wellbeing-plan" TargetMode="External"/><Relationship Id="rId16" Type="http://schemas.openxmlformats.org/officeDocument/2006/relationships/hyperlink" Target="https://www.betterhealth.vic.gov.au/health/healthyliving/contraception-condoms-for-men" TargetMode="External"/><Relationship Id="rId20" Type="http://schemas.openxmlformats.org/officeDocument/2006/relationships/hyperlink" Target="https://aifs.gov.au/resources/short-articles/too-much-time-screens" TargetMode="External"/><Relationship Id="rId29" Type="http://schemas.openxmlformats.org/officeDocument/2006/relationships/hyperlink" Target="https://www.energy.gov.au/publications/australian-energy-statistics-table-o-electricity-generation-fuel-type-2020-21-and-2021" TargetMode="External"/><Relationship Id="rId1" Type="http://schemas.openxmlformats.org/officeDocument/2006/relationships/hyperlink" Target="https://www.health.vic.gov.au/publications/victorian-public-health-and-wellbeing-outcomes-framework-and-data-dictionary" TargetMode="External"/><Relationship Id="rId6" Type="http://schemas.openxmlformats.org/officeDocument/2006/relationships/hyperlink" Target="https://doi.org/10.1186/s12916-018-1116-5" TargetMode="External"/><Relationship Id="rId11" Type="http://schemas.openxmlformats.org/officeDocument/2006/relationships/hyperlink" Target="https://www.abs.gov.au/statistics/people/aboriginal-and-torres-strait-islander-peoples/aboriginal-and-torres-strait-islander-life-expectancy/latest-release" TargetMode="External"/><Relationship Id="rId24" Type="http://schemas.openxmlformats.org/officeDocument/2006/relationships/hyperlink" Target="https://doi.org/10.1093/med/9780195377903.003.0006" TargetMode="External"/><Relationship Id="rId5" Type="http://schemas.openxmlformats.org/officeDocument/2006/relationships/hyperlink" Target="https://doi.org/10.1186/s12916-019-1271-3" TargetMode="External"/><Relationship Id="rId15" Type="http://schemas.openxmlformats.org/officeDocument/2006/relationships/hyperlink" Target="https://www.health.vic.gov.au/preventive-health/oral-health-planning" TargetMode="External"/><Relationship Id="rId23" Type="http://schemas.openxmlformats.org/officeDocument/2006/relationships/hyperlink" Target="https://www.abs.gov.au/statistics/people/housing/estimating-homelessness-census/latest-release" TargetMode="External"/><Relationship Id="rId28" Type="http://schemas.openxmlformats.org/officeDocument/2006/relationships/hyperlink" Target="https://www.climatechange.vic.gov.au/victorias-changing-climate" TargetMode="External"/><Relationship Id="rId10" Type="http://schemas.openxmlformats.org/officeDocument/2006/relationships/hyperlink" Target="https://www.abs.gov.au/statistics/people/population/life-expectancy/2020-2022" TargetMode="External"/><Relationship Id="rId19" Type="http://schemas.openxmlformats.org/officeDocument/2006/relationships/hyperlink" Target="https://www.who.int/health-topics/breastfeeding" TargetMode="External"/><Relationship Id="rId4" Type="http://schemas.openxmlformats.org/officeDocument/2006/relationships/hyperlink" Target="https://www.vaccho.org.au/ahwpf/" TargetMode="External"/><Relationship Id="rId9" Type="http://schemas.openxmlformats.org/officeDocument/2006/relationships/hyperlink" Target="https://www.aihw.gov.au/reports/life-expectancy-death/deaths-in-australia/contents/life-expectancy" TargetMode="External"/><Relationship Id="rId14" Type="http://schemas.openxmlformats.org/officeDocument/2006/relationships/hyperlink" Target="file:///C:/Users/vicsa7u/AppData/Local/Microsoft/Windows/INetCache/Content.Outlook/QZD9BJLG/Lives%20Lost%20&#8211;%20Annual" TargetMode="External"/><Relationship Id="rId22" Type="http://schemas.openxmlformats.org/officeDocument/2006/relationships/hyperlink" Target="https://www.health.gov.au/topics/immunisation/immunisation-data/childhood-immunisation-coverage" TargetMode="External"/><Relationship Id="rId27" Type="http://schemas.openxmlformats.org/officeDocument/2006/relationships/hyperlink" Target="https://www.climatechange.vic.gov.au/victorias-changing-climate" TargetMode="External"/><Relationship Id="rId30" Type="http://schemas.openxmlformats.org/officeDocument/2006/relationships/hyperlink" Target="https://www.dcceew.gov.au/climate-change/publications/national-greenhouse-accounts-2020/state-and-territory-greenhouse-gas-inventories-emissions-metr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6517faba5757975182124e88ceaa0da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d06b24ccf18dbbab5b19428dedfd8715"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8b3533e-58e9-4299-b01d-b16ee7c26a4b}"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SharedWithUsers xmlns="7ee2ad8a-2b33-419f-875c-ac0e4cfc6b7f">
      <UserInfo>
        <DisplayName>Kirrily Fasham (Health)</DisplayName>
        <AccountId>195</AccountId>
        <AccountType/>
      </UserInfo>
      <UserInfo>
        <DisplayName>Maddy Quinn (Health)</DisplayName>
        <AccountId>159</AccountId>
        <AccountType/>
      </UserInfo>
      <UserInfo>
        <DisplayName>Katharine L Gibson (Health)</DisplayName>
        <AccountId>56</AccountId>
        <AccountType/>
      </UserInfo>
      <UserInfo>
        <DisplayName>Brooke Atkins (Health)</DisplayName>
        <AccountId>333</AccountId>
        <AccountType/>
      </UserInfo>
      <UserInfo>
        <DisplayName>Kimberley Brummelen (Health)</DisplayName>
        <AccountId>12</AccountId>
        <AccountType/>
      </UserInfo>
      <UserInfo>
        <DisplayName>Aleksandra Natora (Health)</DisplayName>
        <AccountId>80</AccountId>
        <AccountType/>
      </UserInfo>
      <UserInfo>
        <DisplayName>Charlene Quinn (Health)</DisplayName>
        <AccountId>628</AccountId>
        <AccountType/>
      </UserInfo>
      <UserInfo>
        <DisplayName>Tara Jois (Health)</DisplayName>
        <AccountId>645</AccountId>
        <AccountType/>
      </UserInfo>
      <UserInfo>
        <DisplayName>Jenna Davey-Burns (Health)</DisplayName>
        <AccountId>652</AccountId>
        <AccountType/>
      </UserInfo>
      <UserInfo>
        <DisplayName>Anna McNaughton (Health)</DisplayName>
        <AccountId>1040</AccountId>
        <AccountType/>
      </UserInfo>
      <UserInfo>
        <DisplayName>Donna Hillier (Health)</DisplayName>
        <AccountId>530</AccountId>
        <AccountType/>
      </UserInfo>
      <UserInfo>
        <DisplayName>Sarah Luscombe (Health)</DisplayName>
        <AccountId>795</AccountId>
        <AccountType/>
      </UserInfo>
      <UserInfo>
        <DisplayName>Fiona Ellis (Health)</DisplayName>
        <AccountId>1042</AccountId>
        <AccountType/>
      </UserInfo>
    </SharedWithUsers>
  </documentManagement>
</p:properties>
</file>

<file path=customXml/itemProps1.xml><?xml version="1.0" encoding="utf-8"?>
<ds:datastoreItem xmlns:ds="http://schemas.openxmlformats.org/officeDocument/2006/customXml" ds:itemID="{D381CD00-B3D0-4821-A6F6-5D383B46C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31b2e4f9-c376-4e2f-bd2e-796d1bcd5746"/>
    <ds:schemaRef ds:uri="5ce0f2b5-5be5-4508-bce9-d7011ece0659"/>
    <ds:schemaRef ds:uri="7ee2ad8a-2b33-419f-875c-ac0e4cfc6b7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13661</Words>
  <Characters>77870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Victorian public health and wellbeing outcomes framework progress report 2023</vt:lpstr>
    </vt:vector>
  </TitlesOfParts>
  <Manager/>
  <Company>Victoria State Government, Department of Health</Company>
  <LinksUpToDate>false</LinksUpToDate>
  <CharactersWithSpaces>91349</CharactersWithSpaces>
  <SharedDoc>false</SharedDoc>
  <HyperlinkBase/>
  <HLinks>
    <vt:vector size="480" baseType="variant">
      <vt:variant>
        <vt:i4>2556024</vt:i4>
      </vt:variant>
      <vt:variant>
        <vt:i4>426</vt:i4>
      </vt:variant>
      <vt:variant>
        <vt:i4>0</vt:i4>
      </vt:variant>
      <vt:variant>
        <vt:i4>5</vt:i4>
      </vt:variant>
      <vt:variant>
        <vt:lpwstr>https://www.epa.vic.gov.au/about-epa/publications/1709</vt:lpwstr>
      </vt:variant>
      <vt:variant>
        <vt:lpwstr/>
      </vt:variant>
      <vt:variant>
        <vt:i4>3014712</vt:i4>
      </vt:variant>
      <vt:variant>
        <vt:i4>423</vt:i4>
      </vt:variant>
      <vt:variant>
        <vt:i4>0</vt:i4>
      </vt:variant>
      <vt:variant>
        <vt:i4>5</vt:i4>
      </vt:variant>
      <vt:variant>
        <vt:lpwstr>https://www.climatechange.vic.gov.au/climate-action-targets</vt:lpwstr>
      </vt:variant>
      <vt:variant>
        <vt:lpwstr/>
      </vt:variant>
      <vt:variant>
        <vt:i4>6291501</vt:i4>
      </vt:variant>
      <vt:variant>
        <vt:i4>420</vt:i4>
      </vt:variant>
      <vt:variant>
        <vt:i4>0</vt:i4>
      </vt:variant>
      <vt:variant>
        <vt:i4>5</vt:i4>
      </vt:variant>
      <vt:variant>
        <vt:lpwstr>https://www.epa.vic.gov.au/for-community/environmental-information/air-quality</vt:lpwstr>
      </vt:variant>
      <vt:variant>
        <vt:lpwstr/>
      </vt:variant>
      <vt:variant>
        <vt:i4>4063355</vt:i4>
      </vt:variant>
      <vt:variant>
        <vt:i4>417</vt:i4>
      </vt:variant>
      <vt:variant>
        <vt:i4>0</vt:i4>
      </vt:variant>
      <vt:variant>
        <vt:i4>5</vt:i4>
      </vt:variant>
      <vt:variant>
        <vt:lpwstr>https://www.environment.vic.gov.au/sustainability/clean-air-for-all-victorians</vt:lpwstr>
      </vt:variant>
      <vt:variant>
        <vt:lpwstr/>
      </vt:variant>
      <vt:variant>
        <vt:i4>1114199</vt:i4>
      </vt:variant>
      <vt:variant>
        <vt:i4>381</vt:i4>
      </vt:variant>
      <vt:variant>
        <vt:i4>0</vt:i4>
      </vt:variant>
      <vt:variant>
        <vt:i4>5</vt:i4>
      </vt:variant>
      <vt:variant>
        <vt:lpwstr>https://www.aihw.gov.au/reports/disability/people-with-disability-in-australia/contents/about</vt:lpwstr>
      </vt:variant>
      <vt:variant>
        <vt:lpwstr/>
      </vt:variant>
      <vt:variant>
        <vt:i4>3473520</vt:i4>
      </vt:variant>
      <vt:variant>
        <vt:i4>378</vt:i4>
      </vt:variant>
      <vt:variant>
        <vt:i4>0</vt:i4>
      </vt:variant>
      <vt:variant>
        <vt:i4>5</vt:i4>
      </vt:variant>
      <vt:variant>
        <vt:lpwstr>https://www.aihw.gov.au/reports/disability/people-with-disability-in-australia</vt:lpwstr>
      </vt:variant>
      <vt:variant>
        <vt:lpwstr/>
      </vt:variant>
      <vt:variant>
        <vt:i4>917510</vt:i4>
      </vt:variant>
      <vt:variant>
        <vt:i4>375</vt:i4>
      </vt:variant>
      <vt:variant>
        <vt:i4>0</vt:i4>
      </vt:variant>
      <vt:variant>
        <vt:i4>5</vt:i4>
      </vt:variant>
      <vt:variant>
        <vt:lpwstr>https://pubmed.ncbi.nlm.nih.gov/29587712/</vt:lpwstr>
      </vt:variant>
      <vt:variant>
        <vt:lpwstr/>
      </vt:variant>
      <vt:variant>
        <vt:i4>4390920</vt:i4>
      </vt:variant>
      <vt:variant>
        <vt:i4>363</vt:i4>
      </vt:variant>
      <vt:variant>
        <vt:i4>0</vt:i4>
      </vt:variant>
      <vt:variant>
        <vt:i4>5</vt:i4>
      </vt:variant>
      <vt:variant>
        <vt:lpwstr>C:\Users\vicsa7u\AppData\Local\Microsoft\Windows\INetCache\Content.Outlook\QZD9BJLG\Interactive Infectious disease reports</vt:lpwstr>
      </vt:variant>
      <vt:variant>
        <vt:lpwstr/>
      </vt:variant>
      <vt:variant>
        <vt:i4>5898317</vt:i4>
      </vt:variant>
      <vt:variant>
        <vt:i4>345</vt:i4>
      </vt:variant>
      <vt:variant>
        <vt:i4>0</vt:i4>
      </vt:variant>
      <vt:variant>
        <vt:i4>5</vt:i4>
      </vt:variant>
      <vt:variant>
        <vt:lpwstr>https://www.mja.com.au/journal/2023/218/6/electronic-cigarettes-and-health-outcomes-umbrella-and-systematic-review-global</vt:lpwstr>
      </vt:variant>
      <vt:variant>
        <vt:lpwstr/>
      </vt:variant>
      <vt:variant>
        <vt:i4>3342463</vt:i4>
      </vt:variant>
      <vt:variant>
        <vt:i4>342</vt:i4>
      </vt:variant>
      <vt:variant>
        <vt:i4>0</vt:i4>
      </vt:variant>
      <vt:variant>
        <vt:i4>5</vt:i4>
      </vt:variant>
      <vt:variant>
        <vt:lpwstr>https://www.aihw.gov.au/reports/illicit-use-of-drugs/national-drug-strategy-household-survey-2019/contents/summary</vt:lpwstr>
      </vt:variant>
      <vt:variant>
        <vt:lpwstr/>
      </vt:variant>
      <vt:variant>
        <vt:i4>6750270</vt:i4>
      </vt:variant>
      <vt:variant>
        <vt:i4>273</vt:i4>
      </vt:variant>
      <vt:variant>
        <vt:i4>0</vt:i4>
      </vt:variant>
      <vt:variant>
        <vt:i4>5</vt:i4>
      </vt:variant>
      <vt:variant>
        <vt:lpwstr>https://www.health.vic.gov.au/victorian-sexual-reproductive-health-viral-hepatitis-strategy-2022-30</vt:lpwstr>
      </vt:variant>
      <vt:variant>
        <vt:lpwstr/>
      </vt:variant>
      <vt:variant>
        <vt:i4>1638478</vt:i4>
      </vt:variant>
      <vt:variant>
        <vt:i4>243</vt:i4>
      </vt:variant>
      <vt:variant>
        <vt:i4>0</vt:i4>
      </vt:variant>
      <vt:variant>
        <vt:i4>5</vt:i4>
      </vt:variant>
      <vt:variant>
        <vt:lpwstr>https://www.abs.gov.au/statistics/health/health-conditions-and-risks/health-conditions-prevalence/latest-release</vt:lpwstr>
      </vt:variant>
      <vt:variant>
        <vt:lpwstr>cite-window1</vt:lpwstr>
      </vt:variant>
      <vt:variant>
        <vt:i4>1245252</vt:i4>
      </vt:variant>
      <vt:variant>
        <vt:i4>240</vt:i4>
      </vt:variant>
      <vt:variant>
        <vt:i4>0</vt:i4>
      </vt:variant>
      <vt:variant>
        <vt:i4>5</vt:i4>
      </vt:variant>
      <vt:variant>
        <vt:lpwstr>https://vahi.vic.gov.au/reports/population-health/victorian-population-health-survey-2020-dashboards</vt:lpwstr>
      </vt:variant>
      <vt:variant>
        <vt:lpwstr/>
      </vt:variant>
      <vt:variant>
        <vt:i4>1638423</vt:i4>
      </vt:variant>
      <vt:variant>
        <vt:i4>237</vt:i4>
      </vt:variant>
      <vt:variant>
        <vt:i4>0</vt:i4>
      </vt:variant>
      <vt:variant>
        <vt:i4>5</vt:i4>
      </vt:variant>
      <vt:variant>
        <vt:lpwstr>https://www.cancervic.org.au/research/vcr</vt:lpwstr>
      </vt:variant>
      <vt:variant>
        <vt:lpwstr/>
      </vt:variant>
      <vt:variant>
        <vt:i4>1114182</vt:i4>
      </vt:variant>
      <vt:variant>
        <vt:i4>228</vt:i4>
      </vt:variant>
      <vt:variant>
        <vt:i4>0</vt:i4>
      </vt:variant>
      <vt:variant>
        <vt:i4>5</vt:i4>
      </vt:variant>
      <vt:variant>
        <vt:lpwstr>https://www.thelancet.com/journals/lancet/article/PIIS0140-6736(21)00684-X/fulltext</vt:lpwstr>
      </vt:variant>
      <vt:variant>
        <vt:lpwstr>articleInformation</vt:lpwstr>
      </vt:variant>
      <vt:variant>
        <vt:i4>7536754</vt:i4>
      </vt:variant>
      <vt:variant>
        <vt:i4>219</vt:i4>
      </vt:variant>
      <vt:variant>
        <vt:i4>0</vt:i4>
      </vt:variant>
      <vt:variant>
        <vt:i4>5</vt:i4>
      </vt:variant>
      <vt:variant>
        <vt:lpwstr>https://www.health.vic.gov.au/publications/victorian-public-health-and-wellbeing-outcomes-framework-and-data-dictionary</vt:lpwstr>
      </vt:variant>
      <vt:variant>
        <vt:lpwstr/>
      </vt:variant>
      <vt:variant>
        <vt:i4>7340126</vt:i4>
      </vt:variant>
      <vt:variant>
        <vt:i4>201</vt:i4>
      </vt:variant>
      <vt:variant>
        <vt:i4>0</vt:i4>
      </vt:variant>
      <vt:variant>
        <vt:i4>5</vt:i4>
      </vt:variant>
      <vt:variant>
        <vt:lpwstr/>
      </vt:variant>
      <vt:variant>
        <vt:lpwstr>_Appendix_2._Datasets</vt:lpwstr>
      </vt:variant>
      <vt:variant>
        <vt:i4>7536754</vt:i4>
      </vt:variant>
      <vt:variant>
        <vt:i4>195</vt:i4>
      </vt:variant>
      <vt:variant>
        <vt:i4>0</vt:i4>
      </vt:variant>
      <vt:variant>
        <vt:i4>5</vt:i4>
      </vt:variant>
      <vt:variant>
        <vt:lpwstr>https://www.health.vic.gov.au/publications/victorian-public-health-and-wellbeing-outcomes-framework-and-data-dictionary</vt:lpwstr>
      </vt:variant>
      <vt:variant>
        <vt:lpwstr/>
      </vt:variant>
      <vt:variant>
        <vt:i4>1769526</vt:i4>
      </vt:variant>
      <vt:variant>
        <vt:i4>188</vt:i4>
      </vt:variant>
      <vt:variant>
        <vt:i4>0</vt:i4>
      </vt:variant>
      <vt:variant>
        <vt:i4>5</vt:i4>
      </vt:variant>
      <vt:variant>
        <vt:lpwstr/>
      </vt:variant>
      <vt:variant>
        <vt:lpwstr>_Toc151976162</vt:lpwstr>
      </vt:variant>
      <vt:variant>
        <vt:i4>1769526</vt:i4>
      </vt:variant>
      <vt:variant>
        <vt:i4>182</vt:i4>
      </vt:variant>
      <vt:variant>
        <vt:i4>0</vt:i4>
      </vt:variant>
      <vt:variant>
        <vt:i4>5</vt:i4>
      </vt:variant>
      <vt:variant>
        <vt:lpwstr/>
      </vt:variant>
      <vt:variant>
        <vt:lpwstr>_Toc151976161</vt:lpwstr>
      </vt:variant>
      <vt:variant>
        <vt:i4>1769526</vt:i4>
      </vt:variant>
      <vt:variant>
        <vt:i4>176</vt:i4>
      </vt:variant>
      <vt:variant>
        <vt:i4>0</vt:i4>
      </vt:variant>
      <vt:variant>
        <vt:i4>5</vt:i4>
      </vt:variant>
      <vt:variant>
        <vt:lpwstr/>
      </vt:variant>
      <vt:variant>
        <vt:lpwstr>_Toc151976160</vt:lpwstr>
      </vt:variant>
      <vt:variant>
        <vt:i4>1572918</vt:i4>
      </vt:variant>
      <vt:variant>
        <vt:i4>170</vt:i4>
      </vt:variant>
      <vt:variant>
        <vt:i4>0</vt:i4>
      </vt:variant>
      <vt:variant>
        <vt:i4>5</vt:i4>
      </vt:variant>
      <vt:variant>
        <vt:lpwstr/>
      </vt:variant>
      <vt:variant>
        <vt:lpwstr>_Toc151976159</vt:lpwstr>
      </vt:variant>
      <vt:variant>
        <vt:i4>1572918</vt:i4>
      </vt:variant>
      <vt:variant>
        <vt:i4>164</vt:i4>
      </vt:variant>
      <vt:variant>
        <vt:i4>0</vt:i4>
      </vt:variant>
      <vt:variant>
        <vt:i4>5</vt:i4>
      </vt:variant>
      <vt:variant>
        <vt:lpwstr/>
      </vt:variant>
      <vt:variant>
        <vt:lpwstr>_Toc151976158</vt:lpwstr>
      </vt:variant>
      <vt:variant>
        <vt:i4>1572918</vt:i4>
      </vt:variant>
      <vt:variant>
        <vt:i4>158</vt:i4>
      </vt:variant>
      <vt:variant>
        <vt:i4>0</vt:i4>
      </vt:variant>
      <vt:variant>
        <vt:i4>5</vt:i4>
      </vt:variant>
      <vt:variant>
        <vt:lpwstr/>
      </vt:variant>
      <vt:variant>
        <vt:lpwstr>_Toc151976157</vt:lpwstr>
      </vt:variant>
      <vt:variant>
        <vt:i4>1572918</vt:i4>
      </vt:variant>
      <vt:variant>
        <vt:i4>152</vt:i4>
      </vt:variant>
      <vt:variant>
        <vt:i4>0</vt:i4>
      </vt:variant>
      <vt:variant>
        <vt:i4>5</vt:i4>
      </vt:variant>
      <vt:variant>
        <vt:lpwstr/>
      </vt:variant>
      <vt:variant>
        <vt:lpwstr>_Toc151976156</vt:lpwstr>
      </vt:variant>
      <vt:variant>
        <vt:i4>1572918</vt:i4>
      </vt:variant>
      <vt:variant>
        <vt:i4>146</vt:i4>
      </vt:variant>
      <vt:variant>
        <vt:i4>0</vt:i4>
      </vt:variant>
      <vt:variant>
        <vt:i4>5</vt:i4>
      </vt:variant>
      <vt:variant>
        <vt:lpwstr/>
      </vt:variant>
      <vt:variant>
        <vt:lpwstr>_Toc151976155</vt:lpwstr>
      </vt:variant>
      <vt:variant>
        <vt:i4>1572918</vt:i4>
      </vt:variant>
      <vt:variant>
        <vt:i4>140</vt:i4>
      </vt:variant>
      <vt:variant>
        <vt:i4>0</vt:i4>
      </vt:variant>
      <vt:variant>
        <vt:i4>5</vt:i4>
      </vt:variant>
      <vt:variant>
        <vt:lpwstr/>
      </vt:variant>
      <vt:variant>
        <vt:lpwstr>_Toc151976154</vt:lpwstr>
      </vt:variant>
      <vt:variant>
        <vt:i4>1572918</vt:i4>
      </vt:variant>
      <vt:variant>
        <vt:i4>134</vt:i4>
      </vt:variant>
      <vt:variant>
        <vt:i4>0</vt:i4>
      </vt:variant>
      <vt:variant>
        <vt:i4>5</vt:i4>
      </vt:variant>
      <vt:variant>
        <vt:lpwstr/>
      </vt:variant>
      <vt:variant>
        <vt:lpwstr>_Toc151976153</vt:lpwstr>
      </vt:variant>
      <vt:variant>
        <vt:i4>1572918</vt:i4>
      </vt:variant>
      <vt:variant>
        <vt:i4>128</vt:i4>
      </vt:variant>
      <vt:variant>
        <vt:i4>0</vt:i4>
      </vt:variant>
      <vt:variant>
        <vt:i4>5</vt:i4>
      </vt:variant>
      <vt:variant>
        <vt:lpwstr/>
      </vt:variant>
      <vt:variant>
        <vt:lpwstr>_Toc151976152</vt:lpwstr>
      </vt:variant>
      <vt:variant>
        <vt:i4>1572918</vt:i4>
      </vt:variant>
      <vt:variant>
        <vt:i4>122</vt:i4>
      </vt:variant>
      <vt:variant>
        <vt:i4>0</vt:i4>
      </vt:variant>
      <vt:variant>
        <vt:i4>5</vt:i4>
      </vt:variant>
      <vt:variant>
        <vt:lpwstr/>
      </vt:variant>
      <vt:variant>
        <vt:lpwstr>_Toc151976151</vt:lpwstr>
      </vt:variant>
      <vt:variant>
        <vt:i4>1572918</vt:i4>
      </vt:variant>
      <vt:variant>
        <vt:i4>116</vt:i4>
      </vt:variant>
      <vt:variant>
        <vt:i4>0</vt:i4>
      </vt:variant>
      <vt:variant>
        <vt:i4>5</vt:i4>
      </vt:variant>
      <vt:variant>
        <vt:lpwstr/>
      </vt:variant>
      <vt:variant>
        <vt:lpwstr>_Toc151976150</vt:lpwstr>
      </vt:variant>
      <vt:variant>
        <vt:i4>1638454</vt:i4>
      </vt:variant>
      <vt:variant>
        <vt:i4>110</vt:i4>
      </vt:variant>
      <vt:variant>
        <vt:i4>0</vt:i4>
      </vt:variant>
      <vt:variant>
        <vt:i4>5</vt:i4>
      </vt:variant>
      <vt:variant>
        <vt:lpwstr/>
      </vt:variant>
      <vt:variant>
        <vt:lpwstr>_Toc151976149</vt:lpwstr>
      </vt:variant>
      <vt:variant>
        <vt:i4>1638454</vt:i4>
      </vt:variant>
      <vt:variant>
        <vt:i4>104</vt:i4>
      </vt:variant>
      <vt:variant>
        <vt:i4>0</vt:i4>
      </vt:variant>
      <vt:variant>
        <vt:i4>5</vt:i4>
      </vt:variant>
      <vt:variant>
        <vt:lpwstr/>
      </vt:variant>
      <vt:variant>
        <vt:lpwstr>_Toc151976148</vt:lpwstr>
      </vt:variant>
      <vt:variant>
        <vt:i4>1638454</vt:i4>
      </vt:variant>
      <vt:variant>
        <vt:i4>98</vt:i4>
      </vt:variant>
      <vt:variant>
        <vt:i4>0</vt:i4>
      </vt:variant>
      <vt:variant>
        <vt:i4>5</vt:i4>
      </vt:variant>
      <vt:variant>
        <vt:lpwstr/>
      </vt:variant>
      <vt:variant>
        <vt:lpwstr>_Toc151976147</vt:lpwstr>
      </vt:variant>
      <vt:variant>
        <vt:i4>1638454</vt:i4>
      </vt:variant>
      <vt:variant>
        <vt:i4>92</vt:i4>
      </vt:variant>
      <vt:variant>
        <vt:i4>0</vt:i4>
      </vt:variant>
      <vt:variant>
        <vt:i4>5</vt:i4>
      </vt:variant>
      <vt:variant>
        <vt:lpwstr/>
      </vt:variant>
      <vt:variant>
        <vt:lpwstr>_Toc151976146</vt:lpwstr>
      </vt:variant>
      <vt:variant>
        <vt:i4>1638454</vt:i4>
      </vt:variant>
      <vt:variant>
        <vt:i4>86</vt:i4>
      </vt:variant>
      <vt:variant>
        <vt:i4>0</vt:i4>
      </vt:variant>
      <vt:variant>
        <vt:i4>5</vt:i4>
      </vt:variant>
      <vt:variant>
        <vt:lpwstr/>
      </vt:variant>
      <vt:variant>
        <vt:lpwstr>_Toc151976145</vt:lpwstr>
      </vt:variant>
      <vt:variant>
        <vt:i4>1638454</vt:i4>
      </vt:variant>
      <vt:variant>
        <vt:i4>80</vt:i4>
      </vt:variant>
      <vt:variant>
        <vt:i4>0</vt:i4>
      </vt:variant>
      <vt:variant>
        <vt:i4>5</vt:i4>
      </vt:variant>
      <vt:variant>
        <vt:lpwstr/>
      </vt:variant>
      <vt:variant>
        <vt:lpwstr>_Toc151976144</vt:lpwstr>
      </vt:variant>
      <vt:variant>
        <vt:i4>1638454</vt:i4>
      </vt:variant>
      <vt:variant>
        <vt:i4>74</vt:i4>
      </vt:variant>
      <vt:variant>
        <vt:i4>0</vt:i4>
      </vt:variant>
      <vt:variant>
        <vt:i4>5</vt:i4>
      </vt:variant>
      <vt:variant>
        <vt:lpwstr/>
      </vt:variant>
      <vt:variant>
        <vt:lpwstr>_Toc151976143</vt:lpwstr>
      </vt:variant>
      <vt:variant>
        <vt:i4>1638454</vt:i4>
      </vt:variant>
      <vt:variant>
        <vt:i4>68</vt:i4>
      </vt:variant>
      <vt:variant>
        <vt:i4>0</vt:i4>
      </vt:variant>
      <vt:variant>
        <vt:i4>5</vt:i4>
      </vt:variant>
      <vt:variant>
        <vt:lpwstr/>
      </vt:variant>
      <vt:variant>
        <vt:lpwstr>_Toc151976142</vt:lpwstr>
      </vt:variant>
      <vt:variant>
        <vt:i4>1638454</vt:i4>
      </vt:variant>
      <vt:variant>
        <vt:i4>62</vt:i4>
      </vt:variant>
      <vt:variant>
        <vt:i4>0</vt:i4>
      </vt:variant>
      <vt:variant>
        <vt:i4>5</vt:i4>
      </vt:variant>
      <vt:variant>
        <vt:lpwstr/>
      </vt:variant>
      <vt:variant>
        <vt:lpwstr>_Toc151976141</vt:lpwstr>
      </vt:variant>
      <vt:variant>
        <vt:i4>1638454</vt:i4>
      </vt:variant>
      <vt:variant>
        <vt:i4>56</vt:i4>
      </vt:variant>
      <vt:variant>
        <vt:i4>0</vt:i4>
      </vt:variant>
      <vt:variant>
        <vt:i4>5</vt:i4>
      </vt:variant>
      <vt:variant>
        <vt:lpwstr/>
      </vt:variant>
      <vt:variant>
        <vt:lpwstr>_Toc151976140</vt:lpwstr>
      </vt:variant>
      <vt:variant>
        <vt:i4>1966134</vt:i4>
      </vt:variant>
      <vt:variant>
        <vt:i4>50</vt:i4>
      </vt:variant>
      <vt:variant>
        <vt:i4>0</vt:i4>
      </vt:variant>
      <vt:variant>
        <vt:i4>5</vt:i4>
      </vt:variant>
      <vt:variant>
        <vt:lpwstr/>
      </vt:variant>
      <vt:variant>
        <vt:lpwstr>_Toc151976139</vt:lpwstr>
      </vt:variant>
      <vt:variant>
        <vt:i4>1966134</vt:i4>
      </vt:variant>
      <vt:variant>
        <vt:i4>44</vt:i4>
      </vt:variant>
      <vt:variant>
        <vt:i4>0</vt:i4>
      </vt:variant>
      <vt:variant>
        <vt:i4>5</vt:i4>
      </vt:variant>
      <vt:variant>
        <vt:lpwstr/>
      </vt:variant>
      <vt:variant>
        <vt:lpwstr>_Toc151976138</vt:lpwstr>
      </vt:variant>
      <vt:variant>
        <vt:i4>1966134</vt:i4>
      </vt:variant>
      <vt:variant>
        <vt:i4>38</vt:i4>
      </vt:variant>
      <vt:variant>
        <vt:i4>0</vt:i4>
      </vt:variant>
      <vt:variant>
        <vt:i4>5</vt:i4>
      </vt:variant>
      <vt:variant>
        <vt:lpwstr/>
      </vt:variant>
      <vt:variant>
        <vt:lpwstr>_Toc151976137</vt:lpwstr>
      </vt:variant>
      <vt:variant>
        <vt:i4>1966134</vt:i4>
      </vt:variant>
      <vt:variant>
        <vt:i4>32</vt:i4>
      </vt:variant>
      <vt:variant>
        <vt:i4>0</vt:i4>
      </vt:variant>
      <vt:variant>
        <vt:i4>5</vt:i4>
      </vt:variant>
      <vt:variant>
        <vt:lpwstr/>
      </vt:variant>
      <vt:variant>
        <vt:lpwstr>_Toc151976136</vt:lpwstr>
      </vt:variant>
      <vt:variant>
        <vt:i4>1966134</vt:i4>
      </vt:variant>
      <vt:variant>
        <vt:i4>26</vt:i4>
      </vt:variant>
      <vt:variant>
        <vt:i4>0</vt:i4>
      </vt:variant>
      <vt:variant>
        <vt:i4>5</vt:i4>
      </vt:variant>
      <vt:variant>
        <vt:lpwstr/>
      </vt:variant>
      <vt:variant>
        <vt:lpwstr>_Toc151976135</vt:lpwstr>
      </vt:variant>
      <vt:variant>
        <vt:i4>1966134</vt:i4>
      </vt:variant>
      <vt:variant>
        <vt:i4>20</vt:i4>
      </vt:variant>
      <vt:variant>
        <vt:i4>0</vt:i4>
      </vt:variant>
      <vt:variant>
        <vt:i4>5</vt:i4>
      </vt:variant>
      <vt:variant>
        <vt:lpwstr/>
      </vt:variant>
      <vt:variant>
        <vt:lpwstr>_Toc151976134</vt:lpwstr>
      </vt:variant>
      <vt:variant>
        <vt:i4>1966134</vt:i4>
      </vt:variant>
      <vt:variant>
        <vt:i4>14</vt:i4>
      </vt:variant>
      <vt:variant>
        <vt:i4>0</vt:i4>
      </vt:variant>
      <vt:variant>
        <vt:i4>5</vt:i4>
      </vt:variant>
      <vt:variant>
        <vt:lpwstr/>
      </vt:variant>
      <vt:variant>
        <vt:lpwstr>_Toc151976133</vt:lpwstr>
      </vt:variant>
      <vt:variant>
        <vt:i4>1966134</vt:i4>
      </vt:variant>
      <vt:variant>
        <vt:i4>8</vt:i4>
      </vt:variant>
      <vt:variant>
        <vt:i4>0</vt:i4>
      </vt:variant>
      <vt:variant>
        <vt:i4>5</vt:i4>
      </vt:variant>
      <vt:variant>
        <vt:lpwstr/>
      </vt:variant>
      <vt:variant>
        <vt:lpwstr>_Toc151976132</vt:lpwstr>
      </vt:variant>
      <vt:variant>
        <vt:i4>5046386</vt:i4>
      </vt:variant>
      <vt:variant>
        <vt:i4>3</vt:i4>
      </vt:variant>
      <vt:variant>
        <vt:i4>0</vt:i4>
      </vt:variant>
      <vt:variant>
        <vt:i4>5</vt:i4>
      </vt:variant>
      <vt:variant>
        <vt:lpwstr>mailto:prevention@health.vic.gov.au</vt:lpwstr>
      </vt:variant>
      <vt:variant>
        <vt:lpwstr/>
      </vt:variant>
      <vt:variant>
        <vt:i4>4915209</vt:i4>
      </vt:variant>
      <vt:variant>
        <vt:i4>102</vt:i4>
      </vt:variant>
      <vt:variant>
        <vt:i4>0</vt:i4>
      </vt:variant>
      <vt:variant>
        <vt:i4>5</vt:i4>
      </vt:variant>
      <vt:variant>
        <vt:lpwstr>https://www.dcceew.gov.au/climate-change/publications/national-greenhouse-accounts-2020/state-and-territory-greenhouse-gas-inventories-emissions-metrics</vt:lpwstr>
      </vt:variant>
      <vt:variant>
        <vt:lpwstr/>
      </vt:variant>
      <vt:variant>
        <vt:i4>196683</vt:i4>
      </vt:variant>
      <vt:variant>
        <vt:i4>99</vt:i4>
      </vt:variant>
      <vt:variant>
        <vt:i4>0</vt:i4>
      </vt:variant>
      <vt:variant>
        <vt:i4>5</vt:i4>
      </vt:variant>
      <vt:variant>
        <vt:lpwstr>https://www.energy.gov.au/publications/australian-energy-statistics-table-o-electricity-generation-fuel-type-2020-21-and-2021</vt:lpwstr>
      </vt:variant>
      <vt:variant>
        <vt:lpwstr/>
      </vt:variant>
      <vt:variant>
        <vt:i4>3538983</vt:i4>
      </vt:variant>
      <vt:variant>
        <vt:i4>96</vt:i4>
      </vt:variant>
      <vt:variant>
        <vt:i4>0</vt:i4>
      </vt:variant>
      <vt:variant>
        <vt:i4>5</vt:i4>
      </vt:variant>
      <vt:variant>
        <vt:lpwstr>https://www.climatechange.vic.gov.au/victorias-changing-climate</vt:lpwstr>
      </vt:variant>
      <vt:variant>
        <vt:lpwstr/>
      </vt:variant>
      <vt:variant>
        <vt:i4>3538983</vt:i4>
      </vt:variant>
      <vt:variant>
        <vt:i4>93</vt:i4>
      </vt:variant>
      <vt:variant>
        <vt:i4>0</vt:i4>
      </vt:variant>
      <vt:variant>
        <vt:i4>5</vt:i4>
      </vt:variant>
      <vt:variant>
        <vt:lpwstr>https://www.climatechange.vic.gov.au/victorias-changing-climate</vt:lpwstr>
      </vt:variant>
      <vt:variant>
        <vt:lpwstr/>
      </vt:variant>
      <vt:variant>
        <vt:i4>3080224</vt:i4>
      </vt:variant>
      <vt:variant>
        <vt:i4>90</vt:i4>
      </vt:variant>
      <vt:variant>
        <vt:i4>0</vt:i4>
      </vt:variant>
      <vt:variant>
        <vt:i4>5</vt:i4>
      </vt:variant>
      <vt:variant>
        <vt:lpwstr>http://www.bom.gov.au/state-of-the-climate/</vt:lpwstr>
      </vt:variant>
      <vt:variant>
        <vt:lpwstr/>
      </vt:variant>
      <vt:variant>
        <vt:i4>327696</vt:i4>
      </vt:variant>
      <vt:variant>
        <vt:i4>87</vt:i4>
      </vt:variant>
      <vt:variant>
        <vt:i4>0</vt:i4>
      </vt:variant>
      <vt:variant>
        <vt:i4>5</vt:i4>
      </vt:variant>
      <vt:variant>
        <vt:lpwstr>https://doi.org/10.1186/s12889-017-4603-2</vt:lpwstr>
      </vt:variant>
      <vt:variant>
        <vt:lpwstr/>
      </vt:variant>
      <vt:variant>
        <vt:i4>7077995</vt:i4>
      </vt:variant>
      <vt:variant>
        <vt:i4>84</vt:i4>
      </vt:variant>
      <vt:variant>
        <vt:i4>0</vt:i4>
      </vt:variant>
      <vt:variant>
        <vt:i4>5</vt:i4>
      </vt:variant>
      <vt:variant>
        <vt:lpwstr>https://doi.org/10.1093/med/9780195377903.003.0006</vt:lpwstr>
      </vt:variant>
      <vt:variant>
        <vt:lpwstr/>
      </vt:variant>
      <vt:variant>
        <vt:i4>7077994</vt:i4>
      </vt:variant>
      <vt:variant>
        <vt:i4>81</vt:i4>
      </vt:variant>
      <vt:variant>
        <vt:i4>0</vt:i4>
      </vt:variant>
      <vt:variant>
        <vt:i4>5</vt:i4>
      </vt:variant>
      <vt:variant>
        <vt:lpwstr>https://www.abs.gov.au/statistics/people/housing/estimating-homelessness-census/latest-release</vt:lpwstr>
      </vt:variant>
      <vt:variant>
        <vt:lpwstr/>
      </vt:variant>
      <vt:variant>
        <vt:i4>4128886</vt:i4>
      </vt:variant>
      <vt:variant>
        <vt:i4>78</vt:i4>
      </vt:variant>
      <vt:variant>
        <vt:i4>0</vt:i4>
      </vt:variant>
      <vt:variant>
        <vt:i4>5</vt:i4>
      </vt:variant>
      <vt:variant>
        <vt:lpwstr>https://www.health.gov.au/topics/immunisation/immunisation-data/childhood-immunisation-coverage</vt:lpwstr>
      </vt:variant>
      <vt:variant>
        <vt:lpwstr/>
      </vt:variant>
      <vt:variant>
        <vt:i4>6946940</vt:i4>
      </vt:variant>
      <vt:variant>
        <vt:i4>75</vt:i4>
      </vt:variant>
      <vt:variant>
        <vt:i4>0</vt:i4>
      </vt:variant>
      <vt:variant>
        <vt:i4>5</vt:i4>
      </vt:variant>
      <vt:variant>
        <vt:lpwstr>https://www.abs.gov.au/statistics/health/health-conditions-and-risks/alcohol-consumption/latest-release</vt:lpwstr>
      </vt:variant>
      <vt:variant>
        <vt:lpwstr/>
      </vt:variant>
      <vt:variant>
        <vt:i4>5374031</vt:i4>
      </vt:variant>
      <vt:variant>
        <vt:i4>72</vt:i4>
      </vt:variant>
      <vt:variant>
        <vt:i4>0</vt:i4>
      </vt:variant>
      <vt:variant>
        <vt:i4>5</vt:i4>
      </vt:variant>
      <vt:variant>
        <vt:lpwstr>https://aifs.gov.au/resources/short-articles/too-much-time-screens</vt:lpwstr>
      </vt:variant>
      <vt:variant>
        <vt:lpwstr>:~:text=For%20children%20and%20young%20people%20aged%205%E2%80%9317%20years%2C%20screen,self%2Desteem%20and%20psychosocial%20health</vt:lpwstr>
      </vt:variant>
      <vt:variant>
        <vt:i4>786558</vt:i4>
      </vt:variant>
      <vt:variant>
        <vt:i4>69</vt:i4>
      </vt:variant>
      <vt:variant>
        <vt:i4>0</vt:i4>
      </vt:variant>
      <vt:variant>
        <vt:i4>5</vt:i4>
      </vt:variant>
      <vt:variant>
        <vt:lpwstr>https://www.who.int/health-topics/breastfeeding</vt:lpwstr>
      </vt:variant>
      <vt:variant>
        <vt:lpwstr>tab=tab_1</vt:lpwstr>
      </vt:variant>
      <vt:variant>
        <vt:i4>7864356</vt:i4>
      </vt:variant>
      <vt:variant>
        <vt:i4>63</vt:i4>
      </vt:variant>
      <vt:variant>
        <vt:i4>0</vt:i4>
      </vt:variant>
      <vt:variant>
        <vt:i4>5</vt:i4>
      </vt:variant>
      <vt:variant>
        <vt:lpwstr>https://www.aihw.gov.au/suicide-self-harm-monitoring/data/populations-age-groups/suicide-indigenous-australians</vt:lpwstr>
      </vt:variant>
      <vt:variant>
        <vt:lpwstr/>
      </vt:variant>
      <vt:variant>
        <vt:i4>1638406</vt:i4>
      </vt:variant>
      <vt:variant>
        <vt:i4>60</vt:i4>
      </vt:variant>
      <vt:variant>
        <vt:i4>0</vt:i4>
      </vt:variant>
      <vt:variant>
        <vt:i4>5</vt:i4>
      </vt:variant>
      <vt:variant>
        <vt:lpwstr>https://www.aihw.gov.au/reports/indigenous-australians/indigenous-health-welfare-2015</vt:lpwstr>
      </vt:variant>
      <vt:variant>
        <vt:lpwstr/>
      </vt:variant>
      <vt:variant>
        <vt:i4>6226007</vt:i4>
      </vt:variant>
      <vt:variant>
        <vt:i4>54</vt:i4>
      </vt:variant>
      <vt:variant>
        <vt:i4>0</vt:i4>
      </vt:variant>
      <vt:variant>
        <vt:i4>5</vt:i4>
      </vt:variant>
      <vt:variant>
        <vt:lpwstr>https://www.betterhealth.vic.gov.au/health/healthyliving/contraception-condoms-for-men</vt:lpwstr>
      </vt:variant>
      <vt:variant>
        <vt:lpwstr>bhc-content</vt:lpwstr>
      </vt:variant>
      <vt:variant>
        <vt:i4>1376269</vt:i4>
      </vt:variant>
      <vt:variant>
        <vt:i4>51</vt:i4>
      </vt:variant>
      <vt:variant>
        <vt:i4>0</vt:i4>
      </vt:variant>
      <vt:variant>
        <vt:i4>5</vt:i4>
      </vt:variant>
      <vt:variant>
        <vt:lpwstr>https://www.health.vic.gov.au/preventive-health/oral-health-planning</vt:lpwstr>
      </vt:variant>
      <vt:variant>
        <vt:lpwstr/>
      </vt:variant>
      <vt:variant>
        <vt:i4>540147732</vt:i4>
      </vt:variant>
      <vt:variant>
        <vt:i4>45</vt:i4>
      </vt:variant>
      <vt:variant>
        <vt:i4>0</vt:i4>
      </vt:variant>
      <vt:variant>
        <vt:i4>5</vt:i4>
      </vt:variant>
      <vt:variant>
        <vt:lpwstr>C:\Users\vicsa7u\AppData\Local\Microsoft\Windows\INetCache\Content.Outlook\QZD9BJLG\Lives Lost – Annual</vt:lpwstr>
      </vt:variant>
      <vt:variant>
        <vt:lpwstr/>
      </vt:variant>
      <vt:variant>
        <vt:i4>1638478</vt:i4>
      </vt:variant>
      <vt:variant>
        <vt:i4>42</vt:i4>
      </vt:variant>
      <vt:variant>
        <vt:i4>0</vt:i4>
      </vt:variant>
      <vt:variant>
        <vt:i4>5</vt:i4>
      </vt:variant>
      <vt:variant>
        <vt:lpwstr>https://www.abs.gov.au/statistics/health/health-conditions-and-risks/health-conditions-prevalence/latest-release</vt:lpwstr>
      </vt:variant>
      <vt:variant>
        <vt:lpwstr>cite-window1</vt:lpwstr>
      </vt:variant>
      <vt:variant>
        <vt:i4>7209003</vt:i4>
      </vt:variant>
      <vt:variant>
        <vt:i4>39</vt:i4>
      </vt:variant>
      <vt:variant>
        <vt:i4>0</vt:i4>
      </vt:variant>
      <vt:variant>
        <vt:i4>5</vt:i4>
      </vt:variant>
      <vt:variant>
        <vt:lpwstr>C:\Users\vicsa7u\AppData\Local\Microsoft\Windows\INetCache\Content.Outlook\QZD9BJLG\Life expectancy: Closing the gap report 2020</vt:lpwstr>
      </vt:variant>
      <vt:variant>
        <vt:lpwstr/>
      </vt:variant>
      <vt:variant>
        <vt:i4>7274559</vt:i4>
      </vt:variant>
      <vt:variant>
        <vt:i4>36</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786432</vt:i4>
      </vt:variant>
      <vt:variant>
        <vt:i4>33</vt:i4>
      </vt:variant>
      <vt:variant>
        <vt:i4>0</vt:i4>
      </vt:variant>
      <vt:variant>
        <vt:i4>5</vt:i4>
      </vt:variant>
      <vt:variant>
        <vt:lpwstr>https://www.abs.gov.au/statistics/people/population/life-expectancy/2020-2022</vt:lpwstr>
      </vt:variant>
      <vt:variant>
        <vt:lpwstr/>
      </vt:variant>
      <vt:variant>
        <vt:i4>7077996</vt:i4>
      </vt:variant>
      <vt:variant>
        <vt:i4>30</vt:i4>
      </vt:variant>
      <vt:variant>
        <vt:i4>0</vt:i4>
      </vt:variant>
      <vt:variant>
        <vt:i4>5</vt:i4>
      </vt:variant>
      <vt:variant>
        <vt:lpwstr>https://www.aihw.gov.au/reports/life-expectancy-death/deaths-in-australia/contents/life-expectancy</vt:lpwstr>
      </vt:variant>
      <vt:variant>
        <vt:lpwstr/>
      </vt:variant>
      <vt:variant>
        <vt:i4>4587539</vt:i4>
      </vt:variant>
      <vt:variant>
        <vt:i4>24</vt:i4>
      </vt:variant>
      <vt:variant>
        <vt:i4>0</vt:i4>
      </vt:variant>
      <vt:variant>
        <vt:i4>5</vt:i4>
      </vt:variant>
      <vt:variant>
        <vt:lpwstr>https://www.quit.org.au/articles/the-risks-of-smoking-while-pregnant/</vt:lpwstr>
      </vt:variant>
      <vt:variant>
        <vt:lpwstr/>
      </vt:variant>
      <vt:variant>
        <vt:i4>262162</vt:i4>
      </vt:variant>
      <vt:variant>
        <vt:i4>21</vt:i4>
      </vt:variant>
      <vt:variant>
        <vt:i4>0</vt:i4>
      </vt:variant>
      <vt:variant>
        <vt:i4>5</vt:i4>
      </vt:variant>
      <vt:variant>
        <vt:lpwstr>https://doi.org/10.1186/s12889-015-1661-1</vt:lpwstr>
      </vt:variant>
      <vt:variant>
        <vt:lpwstr/>
      </vt:variant>
      <vt:variant>
        <vt:i4>27</vt:i4>
      </vt:variant>
      <vt:variant>
        <vt:i4>18</vt:i4>
      </vt:variant>
      <vt:variant>
        <vt:i4>0</vt:i4>
      </vt:variant>
      <vt:variant>
        <vt:i4>5</vt:i4>
      </vt:variant>
      <vt:variant>
        <vt:lpwstr>https://doi.org/10.1186/s12916-018-1116-5</vt:lpwstr>
      </vt:variant>
      <vt:variant>
        <vt:lpwstr/>
      </vt:variant>
      <vt:variant>
        <vt:i4>458783</vt:i4>
      </vt:variant>
      <vt:variant>
        <vt:i4>15</vt:i4>
      </vt:variant>
      <vt:variant>
        <vt:i4>0</vt:i4>
      </vt:variant>
      <vt:variant>
        <vt:i4>5</vt:i4>
      </vt:variant>
      <vt:variant>
        <vt:lpwstr>https://doi.org/10.1186/s12916-019-1271-3</vt:lpwstr>
      </vt:variant>
      <vt:variant>
        <vt:lpwstr/>
      </vt:variant>
      <vt:variant>
        <vt:i4>5505098</vt:i4>
      </vt:variant>
      <vt:variant>
        <vt:i4>9</vt:i4>
      </vt:variant>
      <vt:variant>
        <vt:i4>0</vt:i4>
      </vt:variant>
      <vt:variant>
        <vt:i4>5</vt:i4>
      </vt:variant>
      <vt:variant>
        <vt:lpwstr>https://www.vaccho.org.au/ahwpf/</vt:lpwstr>
      </vt:variant>
      <vt:variant>
        <vt:lpwstr/>
      </vt:variant>
      <vt:variant>
        <vt:i4>1441798</vt:i4>
      </vt:variant>
      <vt:variant>
        <vt:i4>6</vt:i4>
      </vt:variant>
      <vt:variant>
        <vt:i4>0</vt:i4>
      </vt:variant>
      <vt:variant>
        <vt:i4>5</vt:i4>
      </vt:variant>
      <vt:variant>
        <vt:lpwstr>https://www.health.gov.au/resources/publications/national-aboriginal-and-torres-strait-islander-health-plan-2021-2031?language=en</vt:lpwstr>
      </vt:variant>
      <vt:variant>
        <vt:lpwstr/>
      </vt:variant>
      <vt:variant>
        <vt:i4>262217</vt:i4>
      </vt:variant>
      <vt:variant>
        <vt:i4>3</vt:i4>
      </vt:variant>
      <vt:variant>
        <vt:i4>0</vt:i4>
      </vt:variant>
      <vt:variant>
        <vt:i4>5</vt:i4>
      </vt:variant>
      <vt:variant>
        <vt:lpwstr>https://www.health.vic.gov.au/victorian-public-health-and-wellbeing-plan</vt:lpwstr>
      </vt:variant>
      <vt:variant>
        <vt:lpwstr/>
      </vt:variant>
      <vt:variant>
        <vt:i4>7536754</vt:i4>
      </vt:variant>
      <vt:variant>
        <vt:i4>0</vt:i4>
      </vt:variant>
      <vt:variant>
        <vt:i4>0</vt:i4>
      </vt:variant>
      <vt:variant>
        <vt:i4>5</vt:i4>
      </vt:variant>
      <vt:variant>
        <vt:lpwstr>https://www.health.vic.gov.au/publications/victorian-public-health-and-wellbeing-outcomes-framework-and-data-dictionary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public health and wellbeing outcomes framework progress report 2023</dc:title>
  <dc:subject>Victorian public health and wellbeing outcomes framework progress report 2023</dc:subject>
  <dc:creator>Population Health</dc:creator>
  <cp:keywords>Victorian, public health and wellbeing, outcomes framework, report, 2023</cp:keywords>
  <dc:description/>
  <cp:lastModifiedBy>Claire East (Health)</cp:lastModifiedBy>
  <cp:revision>2</cp:revision>
  <cp:lastPrinted>2021-01-31T14:27:00Z</cp:lastPrinted>
  <dcterms:created xsi:type="dcterms:W3CDTF">2024-01-15T04:06:00Z</dcterms:created>
  <dcterms:modified xsi:type="dcterms:W3CDTF">2024-01-15T04:06:00Z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2024-01-12T05:40:43Z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a8556f37-21c2-4810-8841-f078fe4adffc</vt:lpwstr>
  </property>
  <property fmtid="{D5CDD505-2E9C-101B-9397-08002B2CF9AE}" pid="12" name="MSIP_Label_43e64453-338c-4f93-8a4d-0039a0a41f2a_ContentBits">
    <vt:lpwstr>2</vt:lpwstr>
  </property>
</Properties>
</file>